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32"/>
              </w:rPr>
              <w:t xml:space="preserve">Постановление Правительства ХМАО - Югры от 27.12.2021 N 594-п</w:t>
              <w:br/>
              <w:t xml:space="preserve">(ред. от 27.10.2023)</w:t>
              <w:br/>
              <w:t xml:space="preserve">"О мерах по реализации государственной программы Ханты-Мансийского автономного округа - Югры "Современное здравоохранение"</w:t>
              <w:br/>
              <w:t xml:space="preserve">(вместе с "Программой развития детского здравоохранения, включая создание современной инфраструктуры оказания медицинской помощи детям Ханты-Мансийского автономного округа - Югры", "Региональной программой Ханты-Мансийского автономного округа - Югры "Борьба с онкологическими заболеваниями", "Региональной программой Ханты-Мансийского автономного округа - Югры "Борьба с сердечно-сосудистыми заболеваниями", "Программой Ханты-Мансийского автономного округа - Югры "Развитие системы оказания паллиативной медицинской помощи", "Программой Ханты-Мансийского автономного округа - Югры "Развитие системы оказания гериатрической медицинской помощи", "Программой укрепления общественного здоровья в Ханты-Мансийском автономном округе - Югре "Профилактика заболеваний и формирование здорового образа жизни" ("Здоровая Югра")", "Региональной программой "Оптимальная для восстановления здоровья медицинская реабилитация в Ханты-Мансийском автономном округе - Югре", "Региональной программой Ханты-Мансийского автономного округа - Югры "Обеспечение расширенного неонатального скрининга", "Межведомственной программой Ханты-Мансийского автономного округа - Югры, направленная на снижение младенческой и детской смертности от внешних причин")</w:t>
              <w:br/>
              <w:t xml:space="preserve">(с изм. и доп., вступающими в силу с 06.11.2023)</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26.11.2023</w:t>
            </w:r>
            <w:r>
              <w:rPr>
                <w:sz w:val="28"/>
              </w:rPr>
              <w:br/>
              <w:t xml:space="preserve"> </w:t>
            </w:r>
          </w:p>
        </w:tc>
      </w:tr>
    </w:tbl>
    <w:p>
      <w:pPr>
        <w:sectPr>
          <w:pgSz w:w="11906" w:h="16838"/>
          <w:pgMar w:top="841" w:right="595" w:bottom="841" w:left="595" w:header="0" w:footer="0" w:gutter="0"/>
          <w:titlePg/>
        </w:sectPr>
      </w:pPr>
    </w:p>
    <w:p>
      <w:pPr>
        <w:pStyle w:val="0"/>
        <w:outlineLvl w:val="0"/>
      </w:pPr>
      <w:r>
        <w:rPr>
          <w:sz w:val="20"/>
        </w:rPr>
      </w:r>
    </w:p>
    <w:p>
      <w:pPr>
        <w:pStyle w:val="2"/>
        <w:outlineLvl w:val="0"/>
        <w:jc w:val="center"/>
      </w:pPr>
      <w:r>
        <w:rPr>
          <w:sz w:val="20"/>
        </w:rPr>
        <w:t xml:space="preserve">ПРАВИТЕЛЬСТВО ХАНТЫ-МАНСИЙСКОГО АВТОНОМНОГО ОКРУГА - ЮГРЫ</w:t>
      </w:r>
    </w:p>
    <w:p>
      <w:pPr>
        <w:pStyle w:val="2"/>
        <w:jc w:val="center"/>
      </w:pPr>
      <w:r>
        <w:rPr>
          <w:sz w:val="20"/>
        </w:rPr>
      </w:r>
    </w:p>
    <w:p>
      <w:pPr>
        <w:pStyle w:val="2"/>
        <w:jc w:val="center"/>
      </w:pPr>
      <w:r>
        <w:rPr>
          <w:sz w:val="20"/>
        </w:rPr>
        <w:t xml:space="preserve">ПОСТАНОВЛЕНИЕ</w:t>
      </w:r>
    </w:p>
    <w:p>
      <w:pPr>
        <w:pStyle w:val="2"/>
        <w:jc w:val="center"/>
      </w:pPr>
      <w:r>
        <w:rPr>
          <w:sz w:val="20"/>
        </w:rPr>
        <w:t xml:space="preserve">от 27 декабря 2021 г. N 594-п</w:t>
      </w:r>
    </w:p>
    <w:p>
      <w:pPr>
        <w:pStyle w:val="2"/>
        <w:jc w:val="center"/>
      </w:pPr>
      <w:r>
        <w:rPr>
          <w:sz w:val="20"/>
        </w:rPr>
      </w:r>
    </w:p>
    <w:p>
      <w:pPr>
        <w:pStyle w:val="2"/>
        <w:jc w:val="center"/>
      </w:pPr>
      <w:r>
        <w:rPr>
          <w:sz w:val="20"/>
        </w:rPr>
        <w:t xml:space="preserve">О МЕРАХ ПО РЕАЛИЗАЦИИ ГОСУДАРСТВЕННОЙ ПРОГРАММЫ</w:t>
      </w:r>
    </w:p>
    <w:p>
      <w:pPr>
        <w:pStyle w:val="2"/>
        <w:jc w:val="center"/>
      </w:pPr>
      <w:r>
        <w:rPr>
          <w:sz w:val="20"/>
        </w:rPr>
        <w:t xml:space="preserve">ХАНТЫ-МАНСИЙСКОГО АВТОНОМНОГО ОКРУГА - ЮГРЫ "СОВРЕМЕННОЕ</w:t>
      </w:r>
    </w:p>
    <w:p>
      <w:pPr>
        <w:pStyle w:val="2"/>
        <w:jc w:val="center"/>
      </w:pPr>
      <w:r>
        <w:rPr>
          <w:sz w:val="20"/>
        </w:rPr>
        <w:t xml:space="preserve">ЗДРАВООХРАНЕНИЕ"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ХМАО - Югры от 20.05.2022 </w:t>
            </w:r>
            <w:hyperlink w:history="0" r:id="rId7" w:tooltip="Постановление Правительства ХМАО - Югры от 20.05.2022 N 20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206-п</w:t>
              </w:r>
            </w:hyperlink>
            <w:r>
              <w:rPr>
                <w:sz w:val="20"/>
                <w:color w:val="392c69"/>
              </w:rPr>
              <w:t xml:space="preserve">,</w:t>
            </w:r>
          </w:p>
          <w:p>
            <w:pPr>
              <w:pStyle w:val="0"/>
              <w:jc w:val="center"/>
            </w:pPr>
            <w:r>
              <w:rPr>
                <w:sz w:val="20"/>
                <w:color w:val="392c69"/>
              </w:rPr>
              <w:t xml:space="preserve">от 27.05.2022 </w:t>
            </w:r>
            <w:hyperlink w:history="0" r:id="rId8" w:tooltip="Постановление Правительства ХМАО - Югры от 27.05.2022 N 229-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229-п</w:t>
              </w:r>
            </w:hyperlink>
            <w:r>
              <w:rPr>
                <w:sz w:val="20"/>
                <w:color w:val="392c69"/>
              </w:rPr>
              <w:t xml:space="preserve">, от 01.06.2022 </w:t>
            </w:r>
            <w:hyperlink w:history="0" r:id="rId9" w:tooltip="Постановление Правительства ХМАО - Югры от 01.06.2022 N 243-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243-п</w:t>
              </w:r>
            </w:hyperlink>
            <w:r>
              <w:rPr>
                <w:sz w:val="20"/>
                <w:color w:val="392c69"/>
              </w:rPr>
              <w:t xml:space="preserve">, от 07.10.2022 </w:t>
            </w:r>
            <w:hyperlink w:history="0" r:id="rId10" w:tooltip="Постановление Правительства ХМАО - Югры от 07.10.2022 N 502-п &quot;О внесении изменений в приложение 7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502-п</w:t>
              </w:r>
            </w:hyperlink>
            <w:r>
              <w:rPr>
                <w:sz w:val="20"/>
                <w:color w:val="392c69"/>
              </w:rPr>
              <w:t xml:space="preserve">,</w:t>
            </w:r>
          </w:p>
          <w:p>
            <w:pPr>
              <w:pStyle w:val="0"/>
              <w:jc w:val="center"/>
            </w:pPr>
            <w:r>
              <w:rPr>
                <w:sz w:val="20"/>
                <w:color w:val="392c69"/>
              </w:rPr>
              <w:t xml:space="preserve">от 18.11.2022 </w:t>
            </w:r>
            <w:hyperlink w:history="0" r:id="rId11" w:tooltip="Постановление Правительства ХМАО - Югры от 18.11.2022 N 61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610-п</w:t>
              </w:r>
            </w:hyperlink>
            <w:r>
              <w:rPr>
                <w:sz w:val="20"/>
                <w:color w:val="392c69"/>
              </w:rPr>
              <w:t xml:space="preserve">, от 23.12.2022 </w:t>
            </w:r>
            <w:hyperlink w:history="0" r:id="rId12" w:tooltip="Постановление Правительства ХМАО - Югры от 23.12.2022 N 69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692-п</w:t>
              </w:r>
            </w:hyperlink>
            <w:r>
              <w:rPr>
                <w:sz w:val="20"/>
                <w:color w:val="392c69"/>
              </w:rPr>
              <w:t xml:space="preserve">, от 29.12.2022 </w:t>
            </w:r>
            <w:hyperlink w:history="0" r:id="rId13" w:tooltip="Постановление Правительства ХМАО - Югры от 29.12.2022 N 733-п &quot;О внесении изменений в приложение 4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733-п</w:t>
              </w:r>
            </w:hyperlink>
            <w:r>
              <w:rPr>
                <w:sz w:val="20"/>
                <w:color w:val="392c69"/>
              </w:rPr>
              <w:t xml:space="preserve">,</w:t>
            </w:r>
          </w:p>
          <w:p>
            <w:pPr>
              <w:pStyle w:val="0"/>
              <w:jc w:val="center"/>
            </w:pPr>
            <w:r>
              <w:rPr>
                <w:sz w:val="20"/>
                <w:color w:val="392c69"/>
              </w:rPr>
              <w:t xml:space="preserve">от 07.04.2023 </w:t>
            </w:r>
            <w:hyperlink w:history="0" r:id="rId14" w:tooltip="Постановление Правительства ХМАО - Югры от 07.04.2023 N 133-п &quot;О внесении изменений в некоторые постановления Правительства Ханты-Мансийского автономного округа - Югры&quot; {КонсультантПлюс}">
              <w:r>
                <w:rPr>
                  <w:sz w:val="20"/>
                  <w:color w:val="0000ff"/>
                </w:rPr>
                <w:t xml:space="preserve">N 133-п</w:t>
              </w:r>
            </w:hyperlink>
            <w:r>
              <w:rPr>
                <w:sz w:val="20"/>
                <w:color w:val="392c69"/>
              </w:rPr>
              <w:t xml:space="preserve">, от 02.06.2023 </w:t>
            </w:r>
            <w:hyperlink w:history="0" r:id="rId15" w:tooltip="Постановление Правительства ХМАО - Югры от 02.06.2023 N 242-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242-п</w:t>
              </w:r>
            </w:hyperlink>
            <w:r>
              <w:rPr>
                <w:sz w:val="20"/>
                <w:color w:val="392c69"/>
              </w:rPr>
              <w:t xml:space="preserve">, от 14.07.2023 </w:t>
            </w:r>
            <w:hyperlink w:history="0" r:id="rId16" w:tooltip="Постановление Правительства ХМАО - Югры от 14.07.2023 N 332-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332-п</w:t>
              </w:r>
            </w:hyperlink>
            <w:r>
              <w:rPr>
                <w:sz w:val="20"/>
                <w:color w:val="392c69"/>
              </w:rPr>
              <w:t xml:space="preserve">,</w:t>
            </w:r>
          </w:p>
          <w:p>
            <w:pPr>
              <w:pStyle w:val="0"/>
              <w:jc w:val="center"/>
            </w:pPr>
            <w:r>
              <w:rPr>
                <w:sz w:val="20"/>
                <w:color w:val="392c69"/>
              </w:rPr>
              <w:t xml:space="preserve">от 20.07.2023 </w:t>
            </w:r>
            <w:hyperlink w:history="0" r:id="rId17" w:tooltip="Постановление Правительства ХМАО - Югры от 20.07.2023 N 341-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341-п</w:t>
              </w:r>
            </w:hyperlink>
            <w:r>
              <w:rPr>
                <w:sz w:val="20"/>
                <w:color w:val="392c69"/>
              </w:rPr>
              <w:t xml:space="preserve">, от 04.08.2023 </w:t>
            </w:r>
            <w:hyperlink w:history="0" r:id="rId18" w:tooltip="Постановление Правительства ХМАО - Югры от 04.08.2023 N 378-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378-п</w:t>
              </w:r>
            </w:hyperlink>
            <w:r>
              <w:rPr>
                <w:sz w:val="20"/>
                <w:color w:val="392c69"/>
              </w:rPr>
              <w:t xml:space="preserve">, от 11.08.2023 </w:t>
            </w:r>
            <w:hyperlink w:history="0" r:id="rId19" w:tooltip="Постановление Правительства ХМАО - Югры от 11.08.2023 N 398-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398-п</w:t>
              </w:r>
            </w:hyperlink>
            <w:r>
              <w:rPr>
                <w:sz w:val="20"/>
                <w:color w:val="392c69"/>
              </w:rPr>
              <w:t xml:space="preserve">,</w:t>
            </w:r>
          </w:p>
          <w:p>
            <w:pPr>
              <w:pStyle w:val="0"/>
              <w:jc w:val="center"/>
            </w:pPr>
            <w:r>
              <w:rPr>
                <w:sz w:val="20"/>
                <w:color w:val="392c69"/>
              </w:rPr>
              <w:t xml:space="preserve">от 25.08.2023 </w:t>
            </w:r>
            <w:hyperlink w:history="0" r:id="rId20" w:tooltip="Постановление Правительства ХМАО - Югры от 25.08.2023 N 421-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421-п</w:t>
              </w:r>
            </w:hyperlink>
            <w:r>
              <w:rPr>
                <w:sz w:val="20"/>
                <w:color w:val="392c69"/>
              </w:rPr>
              <w:t xml:space="preserve">, от 28.09.2023 </w:t>
            </w:r>
            <w:hyperlink w:history="0" r:id="rId21" w:tooltip="Постановление Правительства ХМАО - Югры от 28.09.2023 N 47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472-п</w:t>
              </w:r>
            </w:hyperlink>
            <w:r>
              <w:rPr>
                <w:sz w:val="20"/>
                <w:color w:val="392c69"/>
              </w:rPr>
              <w:t xml:space="preserve">, от 06.10.2023 </w:t>
            </w:r>
            <w:hyperlink w:history="0" r:id="rId22" w:tooltip="Постановление Правительства ХМАО - Югры от 06.10.2023 N 49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490-п</w:t>
              </w:r>
            </w:hyperlink>
            <w:r>
              <w:rPr>
                <w:sz w:val="20"/>
                <w:color w:val="392c69"/>
              </w:rPr>
              <w:t xml:space="preserve">,</w:t>
            </w:r>
          </w:p>
          <w:p>
            <w:pPr>
              <w:pStyle w:val="0"/>
              <w:jc w:val="center"/>
            </w:pPr>
            <w:r>
              <w:rPr>
                <w:sz w:val="20"/>
                <w:color w:val="392c69"/>
              </w:rPr>
              <w:t xml:space="preserve">от 20.10.2023 </w:t>
            </w:r>
            <w:hyperlink w:history="0" r:id="rId23" w:tooltip="Постановление Правительства ХМАО - Югры от 20.10.2023 N 51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516-п</w:t>
              </w:r>
            </w:hyperlink>
            <w:r>
              <w:rPr>
                <w:sz w:val="20"/>
                <w:color w:val="392c69"/>
              </w:rPr>
              <w:t xml:space="preserve">, от 27.10.2023 </w:t>
            </w:r>
            <w:hyperlink w:history="0" r:id="rId24" w:tooltip="Постановление Правительства ХМАО - Югры от 27.10.2023 N 52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527-п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В соответствии с Бюджетным </w:t>
      </w:r>
      <w:hyperlink w:history="0" r:id="rId25" w:tooltip="&quot;Бюджетный кодекс Российской Федерации&quot; от 31.07.1998 N 145-ФЗ (ред. от 02.11.2023) {КонсультантПлюс}">
        <w:r>
          <w:rPr>
            <w:sz w:val="20"/>
            <w:color w:val="0000ff"/>
          </w:rPr>
          <w:t xml:space="preserve">кодексом</w:t>
        </w:r>
      </w:hyperlink>
      <w:r>
        <w:rPr>
          <w:sz w:val="20"/>
        </w:rPr>
        <w:t xml:space="preserve"> Российской Федерации, постановлениями Правительства Ханты-Мансийского автономного округа - Югры от 5 августа 2021 года </w:t>
      </w:r>
      <w:hyperlink w:history="0" r:id="rId26" w:tooltip="Постановление Правительства ХМАО - Югры от 05.08.2021 N 289-п (ред. от 19.05.2023) &quot;О порядке разработки и реализации государственных программ Ханты-Мансийского автономного округа - Югры&quot; {КонсультантПлюс}">
        <w:r>
          <w:rPr>
            <w:sz w:val="20"/>
            <w:color w:val="0000ff"/>
          </w:rPr>
          <w:t xml:space="preserve">N 289-п</w:t>
        </w:r>
      </w:hyperlink>
      <w:r>
        <w:rPr>
          <w:sz w:val="20"/>
        </w:rPr>
        <w:t xml:space="preserve"> "О порядке разработки и реализации государственных программ Ханты-Мансийского автономного округа - Югры", от 31 октября 2021 года </w:t>
      </w:r>
      <w:hyperlink w:history="0" r:id="rId27" w:tooltip="Постановление Правительства ХМАО - Югры от 31.10.2021 N 467-п (ред. от 13.10.2023) &quot;О государственной программе Ханты-Мансийского автономного округа - Югры &quot;Современное здравоохранение&quot; (с изм. и доп., вступающими в силу с 22.10.2023) {КонсультантПлюс}">
        <w:r>
          <w:rPr>
            <w:sz w:val="20"/>
            <w:color w:val="0000ff"/>
          </w:rPr>
          <w:t xml:space="preserve">N 467-п</w:t>
        </w:r>
      </w:hyperlink>
      <w:r>
        <w:rPr>
          <w:sz w:val="20"/>
        </w:rPr>
        <w:t xml:space="preserve"> "О государственной программе Ханты-Мансийского автономного округа - Югры "Современное здравоохранение", учитывая решение Общественного совета при Департаменте здравоохранения Ханты-Мансийского автономного округа - Югры (протокол заседания от 1 декабря 2021 года N 27), Правительство Ханты-Мансийского автономного округа - Югры постановляет:</w:t>
      </w:r>
    </w:p>
    <w:bookmarkStart w:id="19" w:name="P19"/>
    <w:bookmarkEnd w:id="19"/>
    <w:p>
      <w:pPr>
        <w:pStyle w:val="0"/>
        <w:spacing w:before="200" w:line-rule="auto"/>
        <w:ind w:firstLine="540"/>
        <w:jc w:val="both"/>
      </w:pPr>
      <w:r>
        <w:rPr>
          <w:sz w:val="20"/>
        </w:rPr>
        <w:t xml:space="preserve">1. Утвердить:</w:t>
      </w:r>
    </w:p>
    <w:p>
      <w:pPr>
        <w:pStyle w:val="0"/>
        <w:spacing w:before="200" w:line-rule="auto"/>
        <w:ind w:firstLine="540"/>
        <w:jc w:val="both"/>
      </w:pPr>
      <w:r>
        <w:rPr>
          <w:sz w:val="20"/>
        </w:rPr>
        <w:t xml:space="preserve">1.1. Утратил силу. - </w:t>
      </w:r>
      <w:hyperlink w:history="0" r:id="rId28" w:tooltip="Постановление Правительства ХМАО - Югры от 07.04.2023 N 133-п &quot;О внесении изменений в некоторые постановления Правительства Ханты-Мансийского автономного округа - Югры&quot; {КонсультантПлюс}">
        <w:r>
          <w:rPr>
            <w:sz w:val="20"/>
            <w:color w:val="0000ff"/>
          </w:rPr>
          <w:t xml:space="preserve">Постановление</w:t>
        </w:r>
      </w:hyperlink>
      <w:r>
        <w:rPr>
          <w:sz w:val="20"/>
        </w:rPr>
        <w:t xml:space="preserve"> Правительства ХМАО - Югры от 07.04.2023 N 133-п.</w:t>
      </w:r>
    </w:p>
    <w:p>
      <w:pPr>
        <w:pStyle w:val="0"/>
        <w:spacing w:before="200" w:line-rule="auto"/>
        <w:ind w:firstLine="540"/>
        <w:jc w:val="both"/>
      </w:pPr>
      <w:r>
        <w:rPr>
          <w:sz w:val="20"/>
        </w:rPr>
        <w:t xml:space="preserve">1.2. </w:t>
      </w:r>
      <w:hyperlink w:history="0" w:anchor="P117" w:tooltip="ПРОГРАММА">
        <w:r>
          <w:rPr>
            <w:sz w:val="20"/>
            <w:color w:val="0000ff"/>
          </w:rPr>
          <w:t xml:space="preserve">Программу</w:t>
        </w:r>
      </w:hyperlink>
      <w:r>
        <w:rPr>
          <w:sz w:val="20"/>
        </w:rPr>
        <w:t xml:space="preserve"> развития детского здравоохранения, включая создание современной инфраструктуры оказания медицинской помощи детям Ханты-Мансийского автономного округа - Югры (приложение 2).</w:t>
      </w:r>
    </w:p>
    <w:p>
      <w:pPr>
        <w:pStyle w:val="0"/>
        <w:spacing w:before="200" w:line-rule="auto"/>
        <w:ind w:firstLine="540"/>
        <w:jc w:val="both"/>
      </w:pPr>
      <w:r>
        <w:rPr>
          <w:sz w:val="20"/>
        </w:rPr>
        <w:t xml:space="preserve">1.3. Региональную </w:t>
      </w:r>
      <w:hyperlink w:history="0" w:anchor="P1500" w:tooltip="РЕГИОНАЛЬНАЯ ПРОГРАММА">
        <w:r>
          <w:rPr>
            <w:sz w:val="20"/>
            <w:color w:val="0000ff"/>
          </w:rPr>
          <w:t xml:space="preserve">программу</w:t>
        </w:r>
      </w:hyperlink>
      <w:r>
        <w:rPr>
          <w:sz w:val="20"/>
        </w:rPr>
        <w:t xml:space="preserve"> Ханты-Мансийского автономного округа - Югры "Борьба с онкологическими заболеваниями" (приложение 3).</w:t>
      </w:r>
    </w:p>
    <w:p>
      <w:pPr>
        <w:pStyle w:val="0"/>
        <w:spacing w:before="200" w:line-rule="auto"/>
        <w:ind w:firstLine="540"/>
        <w:jc w:val="both"/>
      </w:pPr>
      <w:r>
        <w:rPr>
          <w:sz w:val="20"/>
        </w:rPr>
        <w:t xml:space="preserve">1.4. Региональную </w:t>
      </w:r>
      <w:hyperlink w:history="0" w:anchor="P13040" w:tooltip="РЕГИОНАЛЬНАЯ ПРОГРАММА">
        <w:r>
          <w:rPr>
            <w:sz w:val="20"/>
            <w:color w:val="0000ff"/>
          </w:rPr>
          <w:t xml:space="preserve">программу</w:t>
        </w:r>
      </w:hyperlink>
      <w:r>
        <w:rPr>
          <w:sz w:val="20"/>
        </w:rPr>
        <w:t xml:space="preserve"> Ханты-Мансийского автономного округа - Югры "Борьба с сердечно-сосудистыми заболеваниями" (приложение 4).</w:t>
      </w:r>
    </w:p>
    <w:p>
      <w:pPr>
        <w:pStyle w:val="0"/>
        <w:spacing w:before="200" w:line-rule="auto"/>
        <w:ind w:firstLine="540"/>
        <w:jc w:val="both"/>
      </w:pPr>
      <w:r>
        <w:rPr>
          <w:sz w:val="20"/>
        </w:rPr>
        <w:t xml:space="preserve">1.5. </w:t>
      </w:r>
      <w:hyperlink w:history="0" w:anchor="P20732" w:tooltip="ПРОГРАММА">
        <w:r>
          <w:rPr>
            <w:sz w:val="20"/>
            <w:color w:val="0000ff"/>
          </w:rPr>
          <w:t xml:space="preserve">Программу</w:t>
        </w:r>
      </w:hyperlink>
      <w:r>
        <w:rPr>
          <w:sz w:val="20"/>
        </w:rPr>
        <w:t xml:space="preserve"> Ханты-Мансийского автономного округа - Югры "Развитие системы оказания паллиативной медицинской помощи" (приложение 5).</w:t>
      </w:r>
    </w:p>
    <w:p>
      <w:pPr>
        <w:pStyle w:val="0"/>
        <w:spacing w:before="200" w:line-rule="auto"/>
        <w:ind w:firstLine="540"/>
        <w:jc w:val="both"/>
      </w:pPr>
      <w:r>
        <w:rPr>
          <w:sz w:val="20"/>
        </w:rPr>
        <w:t xml:space="preserve">1.6. </w:t>
      </w:r>
      <w:hyperlink w:history="0" w:anchor="P21316" w:tooltip="ПРОГРАММА">
        <w:r>
          <w:rPr>
            <w:sz w:val="20"/>
            <w:color w:val="0000ff"/>
          </w:rPr>
          <w:t xml:space="preserve">Программу</w:t>
        </w:r>
      </w:hyperlink>
      <w:r>
        <w:rPr>
          <w:sz w:val="20"/>
        </w:rPr>
        <w:t xml:space="preserve"> Ханты-Мансийского автономного округа - Югры "Развитие системы оказания гериатрической медицинской помощи" (приложение 6).</w:t>
      </w:r>
    </w:p>
    <w:p>
      <w:pPr>
        <w:pStyle w:val="0"/>
        <w:spacing w:before="200" w:line-rule="auto"/>
        <w:ind w:firstLine="540"/>
        <w:jc w:val="both"/>
      </w:pPr>
      <w:r>
        <w:rPr>
          <w:sz w:val="20"/>
        </w:rPr>
        <w:t xml:space="preserve">1.7. </w:t>
      </w:r>
      <w:hyperlink w:history="0" w:anchor="P21940" w:tooltip="ПРОГРАММА">
        <w:r>
          <w:rPr>
            <w:sz w:val="20"/>
            <w:color w:val="0000ff"/>
          </w:rPr>
          <w:t xml:space="preserve">Программу</w:t>
        </w:r>
      </w:hyperlink>
      <w:r>
        <w:rPr>
          <w:sz w:val="20"/>
        </w:rPr>
        <w:t xml:space="preserve"> укрепления общественного здоровья в Ханты-Мансийском автономном округе - Югре "Профилактика заболеваний и формирование здорового образа жизни" ("Здоровая Югра") (приложение 7).</w:t>
      </w:r>
    </w:p>
    <w:p>
      <w:pPr>
        <w:pStyle w:val="0"/>
        <w:spacing w:before="200" w:line-rule="auto"/>
        <w:ind w:firstLine="540"/>
        <w:jc w:val="both"/>
      </w:pPr>
      <w:r>
        <w:rPr>
          <w:sz w:val="20"/>
        </w:rPr>
        <w:t xml:space="preserve">1.8. Утратил силу. - </w:t>
      </w:r>
      <w:hyperlink w:history="0" r:id="rId29" w:tooltip="Постановление Правительства ХМАО - Югры от 04.08.2023 N 378-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w:t>
        </w:r>
      </w:hyperlink>
      <w:r>
        <w:rPr>
          <w:sz w:val="20"/>
        </w:rPr>
        <w:t xml:space="preserve"> Правительства ХМАО - Югры от 04.08.2023 N 378-п.</w:t>
      </w:r>
    </w:p>
    <w:p>
      <w:pPr>
        <w:pStyle w:val="0"/>
        <w:spacing w:before="200" w:line-rule="auto"/>
        <w:ind w:firstLine="540"/>
        <w:jc w:val="both"/>
      </w:pPr>
      <w:r>
        <w:rPr>
          <w:sz w:val="20"/>
        </w:rPr>
        <w:t xml:space="preserve">1.9. </w:t>
      </w:r>
      <w:hyperlink w:history="0" w:anchor="P24171" w:tooltip="ПЛАН">
        <w:r>
          <w:rPr>
            <w:sz w:val="20"/>
            <w:color w:val="0000ff"/>
          </w:rPr>
          <w:t xml:space="preserve">План</w:t>
        </w:r>
      </w:hyperlink>
      <w:r>
        <w:rPr>
          <w:sz w:val="20"/>
        </w:rPr>
        <w:t xml:space="preserve"> мероприятий по проведению Года здоровьесбережения в Ханты-Мансийском автономном округе - Югре в 2022 году (приложение 9).</w:t>
      </w:r>
    </w:p>
    <w:p>
      <w:pPr>
        <w:pStyle w:val="0"/>
        <w:jc w:val="both"/>
      </w:pPr>
      <w:r>
        <w:rPr>
          <w:sz w:val="20"/>
        </w:rPr>
        <w:t xml:space="preserve">(пп. 1.9 введен </w:t>
      </w:r>
      <w:hyperlink w:history="0" r:id="rId30" w:tooltip="Постановление Правительства ХМАО - Югры от 20.05.2022 N 20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 от 20.05.2022 N 206-п)</w:t>
      </w:r>
    </w:p>
    <w:p>
      <w:pPr>
        <w:pStyle w:val="0"/>
        <w:spacing w:before="200" w:line-rule="auto"/>
        <w:ind w:firstLine="540"/>
        <w:jc w:val="both"/>
      </w:pPr>
      <w:r>
        <w:rPr>
          <w:sz w:val="20"/>
        </w:rPr>
        <w:t xml:space="preserve">1.10. Региональную </w:t>
      </w:r>
      <w:hyperlink w:history="0" w:anchor="P24347" w:tooltip="РЕГИОНАЛЬНАЯ ПРОГРАММА">
        <w:r>
          <w:rPr>
            <w:sz w:val="20"/>
            <w:color w:val="0000ff"/>
          </w:rPr>
          <w:t xml:space="preserve">программу</w:t>
        </w:r>
      </w:hyperlink>
      <w:r>
        <w:rPr>
          <w:sz w:val="20"/>
        </w:rPr>
        <w:t xml:space="preserve"> "Оптимальная для восстановления здоровья медицинская реабилитация в Ханты-Мансийском автономном округе - Югре" (приложение 10).</w:t>
      </w:r>
    </w:p>
    <w:p>
      <w:pPr>
        <w:pStyle w:val="0"/>
        <w:jc w:val="both"/>
      </w:pPr>
      <w:r>
        <w:rPr>
          <w:sz w:val="20"/>
        </w:rPr>
        <w:t xml:space="preserve">(пп. 1.10 введен </w:t>
      </w:r>
      <w:hyperlink w:history="0" r:id="rId31" w:tooltip="Постановление Правительства ХМАО - Югры от 27.05.2022 N 229-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 от 27.05.2022 N 229-п)</w:t>
      </w:r>
    </w:p>
    <w:p>
      <w:pPr>
        <w:pStyle w:val="0"/>
        <w:spacing w:before="200" w:line-rule="auto"/>
        <w:ind w:firstLine="540"/>
        <w:jc w:val="both"/>
      </w:pPr>
      <w:r>
        <w:rPr>
          <w:sz w:val="20"/>
        </w:rPr>
        <w:t xml:space="preserve">1.11. </w:t>
      </w:r>
      <w:hyperlink w:history="0" w:anchor="P27748" w:tooltip="ПЛАН">
        <w:r>
          <w:rPr>
            <w:sz w:val="20"/>
            <w:color w:val="0000ff"/>
          </w:rPr>
          <w:t xml:space="preserve">План</w:t>
        </w:r>
      </w:hyperlink>
      <w:r>
        <w:rPr>
          <w:sz w:val="20"/>
        </w:rPr>
        <w:t xml:space="preserve"> мероприятий по снижению смертности среди несовершеннолетних от внешних причин, в том числе по профилактике суицидов среди несовершеннолетних, на период 2022 - 2025 годы (приложение 11).</w:t>
      </w:r>
    </w:p>
    <w:p>
      <w:pPr>
        <w:pStyle w:val="0"/>
        <w:jc w:val="both"/>
      </w:pPr>
      <w:r>
        <w:rPr>
          <w:sz w:val="20"/>
        </w:rPr>
        <w:t xml:space="preserve">(пп. 1.11 введен </w:t>
      </w:r>
      <w:hyperlink w:history="0" r:id="rId32" w:tooltip="Постановление Правительства ХМАО - Югры от 18.11.2022 N 61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 от 18.11.2022 N 610-п)</w:t>
      </w:r>
    </w:p>
    <w:p>
      <w:pPr>
        <w:pStyle w:val="0"/>
        <w:spacing w:before="200" w:line-rule="auto"/>
        <w:ind w:firstLine="540"/>
        <w:jc w:val="both"/>
      </w:pPr>
      <w:r>
        <w:rPr>
          <w:sz w:val="20"/>
        </w:rPr>
        <w:t xml:space="preserve">1.12. Региональную </w:t>
      </w:r>
      <w:hyperlink w:history="0" w:anchor="P27890" w:tooltip="РЕГИОНАЛЬНАЯ ПРОГРАММА">
        <w:r>
          <w:rPr>
            <w:sz w:val="20"/>
            <w:color w:val="0000ff"/>
          </w:rPr>
          <w:t xml:space="preserve">программу</w:t>
        </w:r>
      </w:hyperlink>
      <w:r>
        <w:rPr>
          <w:sz w:val="20"/>
        </w:rPr>
        <w:t xml:space="preserve"> Ханты-Мансийского автономного округа - Югры "Обеспечение расширенного неонатального скрининга" (приложение 12).</w:t>
      </w:r>
    </w:p>
    <w:p>
      <w:pPr>
        <w:pStyle w:val="0"/>
        <w:jc w:val="both"/>
      </w:pPr>
      <w:r>
        <w:rPr>
          <w:sz w:val="20"/>
        </w:rPr>
        <w:t xml:space="preserve">(пп. 1.12 введен </w:t>
      </w:r>
      <w:hyperlink w:history="0" r:id="rId33" w:tooltip="Постановление Правительства ХМАО - Югры от 23.12.2022 N 69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 от 23.12.2022 N 692-п)</w:t>
      </w:r>
    </w:p>
    <w:p>
      <w:pPr>
        <w:pStyle w:val="0"/>
        <w:spacing w:before="200" w:line-rule="auto"/>
        <w:ind w:firstLine="540"/>
        <w:jc w:val="both"/>
      </w:pPr>
      <w:r>
        <w:rPr>
          <w:sz w:val="20"/>
        </w:rPr>
        <w:t xml:space="preserve">1.13. </w:t>
      </w:r>
      <w:hyperlink w:history="0" w:anchor="P30451" w:tooltip="ПЛАН">
        <w:r>
          <w:rPr>
            <w:sz w:val="20"/>
            <w:color w:val="0000ff"/>
          </w:rPr>
          <w:t xml:space="preserve">План</w:t>
        </w:r>
      </w:hyperlink>
      <w:r>
        <w:rPr>
          <w:sz w:val="20"/>
        </w:rPr>
        <w:t xml:space="preserve"> мероприятий по профилактике и лечению хронического вирусного гепатита C в Ханты-Мансийском автономном округе - Югре до 2030 года (приложение 13).</w:t>
      </w:r>
    </w:p>
    <w:p>
      <w:pPr>
        <w:pStyle w:val="0"/>
        <w:jc w:val="both"/>
      </w:pPr>
      <w:r>
        <w:rPr>
          <w:sz w:val="20"/>
        </w:rPr>
        <w:t xml:space="preserve">(пп. 1.13 введен </w:t>
      </w:r>
      <w:hyperlink w:history="0" r:id="rId34" w:tooltip="Постановление Правительства ХМАО - Югры от 25.08.2023 N 421-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 от 25.08.2023 N 421-п)</w:t>
      </w:r>
    </w:p>
    <w:p>
      <w:pPr>
        <w:pStyle w:val="0"/>
        <w:spacing w:before="200" w:line-rule="auto"/>
        <w:ind w:firstLine="540"/>
        <w:jc w:val="both"/>
      </w:pPr>
      <w:r>
        <w:rPr>
          <w:sz w:val="20"/>
        </w:rPr>
        <w:t xml:space="preserve">1.14. </w:t>
      </w:r>
      <w:hyperlink w:history="0" w:anchor="P30739" w:tooltip="ПЛАН">
        <w:r>
          <w:rPr>
            <w:sz w:val="20"/>
            <w:color w:val="0000ff"/>
          </w:rPr>
          <w:t xml:space="preserve">План</w:t>
        </w:r>
      </w:hyperlink>
      <w:r>
        <w:rPr>
          <w:sz w:val="20"/>
        </w:rPr>
        <w:t xml:space="preserve"> мероприятий ("дорожную карту") по привлечению специалистов в систему здравоохранения Ханты-Мансийского автономного округа - Югры на 2023 - 2026 годы (приложение 14).</w:t>
      </w:r>
    </w:p>
    <w:p>
      <w:pPr>
        <w:pStyle w:val="0"/>
        <w:jc w:val="both"/>
      </w:pPr>
      <w:r>
        <w:rPr>
          <w:sz w:val="20"/>
        </w:rPr>
        <w:t xml:space="preserve">(пп. 1.14 введен </w:t>
      </w:r>
      <w:hyperlink w:history="0" r:id="rId35" w:tooltip="Постановление Правительства ХМАО - Югры от 28.09.2023 N 47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 от 28.09.2023 N 472-п)</w:t>
      </w:r>
    </w:p>
    <w:p>
      <w:pPr>
        <w:pStyle w:val="0"/>
        <w:spacing w:before="200" w:line-rule="auto"/>
        <w:ind w:firstLine="540"/>
        <w:jc w:val="both"/>
      </w:pPr>
      <w:r>
        <w:rPr>
          <w:sz w:val="20"/>
        </w:rPr>
        <w:t xml:space="preserve">1.15. </w:t>
      </w:r>
      <w:hyperlink w:history="0" w:anchor="P30852" w:tooltip="ПЛАН">
        <w:r>
          <w:rPr>
            <w:sz w:val="20"/>
            <w:color w:val="0000ff"/>
          </w:rPr>
          <w:t xml:space="preserve">План</w:t>
        </w:r>
      </w:hyperlink>
      <w:r>
        <w:rPr>
          <w:sz w:val="20"/>
        </w:rPr>
        <w:t xml:space="preserve"> мероприятий ("дорожную карту") по поддержанию свободного от полиомиелита статуса Ханты-Мансийского автономного округа - Югры в 2023 - 2024 годах (приложение 15).</w:t>
      </w:r>
    </w:p>
    <w:p>
      <w:pPr>
        <w:pStyle w:val="0"/>
        <w:jc w:val="both"/>
      </w:pPr>
      <w:r>
        <w:rPr>
          <w:sz w:val="20"/>
        </w:rPr>
        <w:t xml:space="preserve">(пп. 1.15 введен </w:t>
      </w:r>
      <w:hyperlink w:history="0" r:id="rId36" w:tooltip="Постановление Правительства ХМАО - Югры от 06.10.2023 N 49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 от 06.10.2023 N 490-п)</w:t>
      </w:r>
    </w:p>
    <w:p>
      <w:pPr>
        <w:pStyle w:val="0"/>
        <w:spacing w:before="200" w:line-rule="auto"/>
        <w:ind w:firstLine="540"/>
        <w:jc w:val="both"/>
      </w:pPr>
      <w:r>
        <w:rPr>
          <w:sz w:val="20"/>
        </w:rPr>
        <w:t xml:space="preserve">1.16. Межведомственную </w:t>
      </w:r>
      <w:hyperlink w:history="0" w:anchor="P30933" w:tooltip="МЕЖВЕДОМСТВЕННАЯ ПРОГРАММА">
        <w:r>
          <w:rPr>
            <w:sz w:val="20"/>
            <w:color w:val="0000ff"/>
          </w:rPr>
          <w:t xml:space="preserve">программу</w:t>
        </w:r>
      </w:hyperlink>
      <w:r>
        <w:rPr>
          <w:sz w:val="20"/>
        </w:rPr>
        <w:t xml:space="preserve"> Ханты-Мансийского автономного округа - Югры, направленную на снижение младенческой и детской смертности от внешних причин (приложение 16).</w:t>
      </w:r>
    </w:p>
    <w:p>
      <w:pPr>
        <w:pStyle w:val="0"/>
        <w:jc w:val="both"/>
      </w:pPr>
      <w:r>
        <w:rPr>
          <w:sz w:val="20"/>
        </w:rPr>
        <w:t xml:space="preserve">(пп. 1.16 введен </w:t>
      </w:r>
      <w:hyperlink w:history="0" r:id="rId37" w:tooltip="Постановление Правительства ХМАО - Югры от 20.10.2023 N 51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 от 20.10.2023 N 516-п)</w:t>
      </w:r>
    </w:p>
    <w:p>
      <w:pPr>
        <w:pStyle w:val="0"/>
        <w:spacing w:before="200" w:line-rule="auto"/>
        <w:ind w:firstLine="540"/>
        <w:jc w:val="both"/>
      </w:pPr>
      <w:r>
        <w:rPr>
          <w:sz w:val="20"/>
        </w:rPr>
        <w:t xml:space="preserve">2. Меры, указанные в </w:t>
      </w:r>
      <w:hyperlink w:history="0" w:anchor="P19" w:tooltip="1. Утвердить:">
        <w:r>
          <w:rPr>
            <w:sz w:val="20"/>
            <w:color w:val="0000ff"/>
          </w:rPr>
          <w:t xml:space="preserve">пункте 1</w:t>
        </w:r>
      </w:hyperlink>
      <w:r>
        <w:rPr>
          <w:sz w:val="20"/>
        </w:rPr>
        <w:t xml:space="preserve"> настоящего постановления, являются составной частью государственной </w:t>
      </w:r>
      <w:hyperlink w:history="0" r:id="rId38" w:tooltip="Постановление Правительства ХМАО - Югры от 31.10.2021 N 467-п (ред. от 13.10.2023) &quot;О государственной программе Ханты-Мансийского автономного округа - Югры &quot;Современное здравоохранение&quot; (с изм. и доп., вступающими в силу с 22.10.2023) {КонсультантПлюс}">
        <w:r>
          <w:rPr>
            <w:sz w:val="20"/>
            <w:color w:val="0000ff"/>
          </w:rPr>
          <w:t xml:space="preserve">программы</w:t>
        </w:r>
      </w:hyperlink>
      <w:r>
        <w:rPr>
          <w:sz w:val="20"/>
        </w:rPr>
        <w:t xml:space="preserve"> Ханты-Мансийского автономного округа - Югры "Современное здравоохранение", утвержденной постановлением Правительства Ханты-Мансийского автономного округа - Югры от 31 октября 2021 года N 467-п.</w:t>
      </w:r>
    </w:p>
    <w:p>
      <w:pPr>
        <w:pStyle w:val="0"/>
        <w:spacing w:before="200" w:line-rule="auto"/>
        <w:ind w:firstLine="540"/>
        <w:jc w:val="both"/>
      </w:pPr>
      <w:r>
        <w:rPr>
          <w:sz w:val="20"/>
        </w:rPr>
        <w:t xml:space="preserve">3. Признать утратившими силу постановления Правительства Ханты-Мансийского автономного округа - Югры:</w:t>
      </w:r>
    </w:p>
    <w:p>
      <w:pPr>
        <w:pStyle w:val="0"/>
        <w:spacing w:before="200" w:line-rule="auto"/>
        <w:ind w:firstLine="540"/>
        <w:jc w:val="both"/>
      </w:pPr>
      <w:r>
        <w:rPr>
          <w:sz w:val="20"/>
        </w:rPr>
        <w:t xml:space="preserve">от 5 октября 2018 года </w:t>
      </w:r>
      <w:hyperlink w:history="0" r:id="rId39" w:tooltip="Постановление Правительства ХМАО - Югры от 05.10.2018 N 337-п (ред. от 10.12.2021) &quot;О государственной программе Ханты-Мансийского автономного округа - Югры &quot;Современное здравоохранение&quot; (вместе с &quot;Порядком предоставления социально ориентированным некоммерческим организациям субсидии на реализацию отдельных мероприятий государственной программы Ханты-Мансийского автономного округа - Югры &quot;Современное здравоохранение&quot;, &quot;Программой развития детского здравоохранения, включая создание современной инфраструктуры  ------------ Утратил силу или отменен {КонсультантПлюс}">
        <w:r>
          <w:rPr>
            <w:sz w:val="20"/>
            <w:color w:val="0000ff"/>
          </w:rPr>
          <w:t xml:space="preserve">N 337-п</w:t>
        </w:r>
      </w:hyperlink>
      <w:r>
        <w:rPr>
          <w:sz w:val="20"/>
        </w:rPr>
        <w:t xml:space="preserve">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8 февраля 2019 года </w:t>
      </w:r>
      <w:hyperlink w:history="0" r:id="rId40" w:tooltip="Постановление Правительства ХМАО - Югры от 08.02.2019 N 28-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28-п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5 апреля 2019 года </w:t>
      </w:r>
      <w:hyperlink w:history="0" r:id="rId41" w:tooltip="Постановление Правительства ХМАО - Югры от 05.04.2019 N 106-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106-п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21 июня 2019 года </w:t>
      </w:r>
      <w:hyperlink w:history="0" r:id="rId42" w:tooltip="Постановление Правительства ХМАО - Югры от 21.06.2019 N 196-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196-п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16 августа 2019 года </w:t>
      </w:r>
      <w:hyperlink w:history="0" r:id="rId43" w:tooltip="Постановление Правительства ХМАО - Югры от 16.08.2019 N 271-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271-п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30 августа 2019 года </w:t>
      </w:r>
      <w:hyperlink w:history="0" r:id="rId44" w:tooltip="Постановление Правительства ХМАО - Югры от 30.08.2019 N 300-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300-п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18 октября 2019 года </w:t>
      </w:r>
      <w:hyperlink w:history="0" r:id="rId45" w:tooltip="Постановление Правительства ХМАО - Югры от 18.10.2019 N 37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375-п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22 октября 2019 года </w:t>
      </w:r>
      <w:hyperlink w:history="0" r:id="rId46" w:tooltip="Постановление Правительства ХМАО - Югры от 22.10.2019 N 396-п &quot;О внесении изменений в приложение 1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396-п</w:t>
        </w:r>
      </w:hyperlink>
      <w:r>
        <w:rPr>
          <w:sz w:val="20"/>
        </w:rPr>
        <w:t xml:space="preserve"> "О внесении изменений в приложение 1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29 ноября 2019 года </w:t>
      </w:r>
      <w:hyperlink w:history="0" r:id="rId47" w:tooltip="Постановление Правительства ХМАО - Югры от 29.11.2019 N 439-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439-п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6 декабря 2019 года </w:t>
      </w:r>
      <w:hyperlink w:history="0" r:id="rId48" w:tooltip="Постановление Правительства ХМАО - Югры от 06.12.2019 N 469-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469-п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31 января 2020 года </w:t>
      </w:r>
      <w:hyperlink w:history="0" r:id="rId49" w:tooltip="Постановление Правительства ХМАО - Югры от 31.01.2020 N 17-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17-п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24 апреля 2020 года </w:t>
      </w:r>
      <w:hyperlink w:history="0" r:id="rId50" w:tooltip="Постановление Правительства ХМАО - Югры от 24.04.2020 N 154-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154-п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8 мая 2020 года </w:t>
      </w:r>
      <w:hyperlink w:history="0" r:id="rId51" w:tooltip="Постановление Правительства ХМАО - Югры от 08.05.2020 N 182-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182-п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15 мая 2020 года </w:t>
      </w:r>
      <w:hyperlink w:history="0" r:id="rId52" w:tooltip="Постановление Правительства ХМАО - Югры от 15.05.2020 N 188-п &quot;О внесении изменений в приложение 1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188-п</w:t>
        </w:r>
      </w:hyperlink>
      <w:r>
        <w:rPr>
          <w:sz w:val="20"/>
        </w:rPr>
        <w:t xml:space="preserve"> "О внесении изменений в приложение 1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26 июня 2020 года </w:t>
      </w:r>
      <w:hyperlink w:history="0" r:id="rId53" w:tooltip="Постановление Правительства ХМАО - Югры от 26.06.2020 N 262-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262-п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18 сентября 2020 года </w:t>
      </w:r>
      <w:hyperlink w:history="0" r:id="rId54" w:tooltip="Постановление Правительства ХМАО - Югры от 18.09.2020 N 398-п &quot;О внесении изменений в приложение 5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398-п</w:t>
        </w:r>
      </w:hyperlink>
      <w:r>
        <w:rPr>
          <w:sz w:val="20"/>
        </w:rPr>
        <w:t xml:space="preserve"> "О внесении изменений в приложение 5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9 октября 2020 года </w:t>
      </w:r>
      <w:hyperlink w:history="0" r:id="rId55" w:tooltip="Постановление Правительства ХМАО - Югры от 09.10.2020 N 437-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437-п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23 октября 2020 года </w:t>
      </w:r>
      <w:hyperlink w:history="0" r:id="rId56" w:tooltip="Постановление Правительства ХМАО - Югры от 23.10.2020 N 456-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456-п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7 ноября 2020 года </w:t>
      </w:r>
      <w:hyperlink w:history="0" r:id="rId57" w:tooltip="Постановление Правительства ХМАО - Югры от 07.11.2020 N 501-п &quot;О внесении изменений в приложение 1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501-п</w:t>
        </w:r>
      </w:hyperlink>
      <w:r>
        <w:rPr>
          <w:sz w:val="20"/>
        </w:rPr>
        <w:t xml:space="preserve"> "О внесении изменений в приложение 1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20 ноября 2020 года </w:t>
      </w:r>
      <w:hyperlink w:history="0" r:id="rId58" w:tooltip="Постановление Правительства ХМАО - Югры от 20.11.2020 N 51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515-п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25 декабря 2020 года </w:t>
      </w:r>
      <w:hyperlink w:history="0" r:id="rId59" w:tooltip="Постановление Правительства ХМАО - Югры от 25.12.2020 N 587-п &quot;О внесении изменений в приложение 1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587-п</w:t>
        </w:r>
      </w:hyperlink>
      <w:r>
        <w:rPr>
          <w:sz w:val="20"/>
        </w:rPr>
        <w:t xml:space="preserve"> "О внесении изменений в приложение 1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20 марта 2021 года </w:t>
      </w:r>
      <w:hyperlink w:history="0" r:id="rId60" w:tooltip="Постановление Правительства ХМАО - Югры от 20.03.2021 N 7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75-п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9 апреля 2021 года </w:t>
      </w:r>
      <w:hyperlink w:history="0" r:id="rId61" w:tooltip="Постановление Правительства ХМАО - Югры от 09.04.2021 N 120-п &quot;О внесении изменений в приложение 5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120-п</w:t>
        </w:r>
      </w:hyperlink>
      <w:r>
        <w:rPr>
          <w:sz w:val="20"/>
        </w:rPr>
        <w:t xml:space="preserve"> "О внесении изменений в приложение 5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14 мая 2021 года </w:t>
      </w:r>
      <w:hyperlink w:history="0" r:id="rId62" w:tooltip="Постановление Правительства ХМАО - Югры от 14.05.2021 N 17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175-п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25 июня 2021 года </w:t>
      </w:r>
      <w:hyperlink w:history="0" r:id="rId63" w:tooltip="Постановление Правительства ХМАО - Югры от 25.06.2021 N 227-п &quot;О внесении изменения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227-п</w:t>
        </w:r>
      </w:hyperlink>
      <w:r>
        <w:rPr>
          <w:sz w:val="20"/>
        </w:rPr>
        <w:t xml:space="preserve"> "О внесении изменения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29 июня 2021 года </w:t>
      </w:r>
      <w:hyperlink w:history="0" r:id="rId64" w:tooltip="Постановление Правительства ХМАО - Югры от 29.06.2021 N 238-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238-п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9 июля 2021 года </w:t>
      </w:r>
      <w:hyperlink w:history="0" r:id="rId65" w:tooltip="Постановление Правительства ХМАО - Югры от 09.07.2021 N 25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255-п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13 августа 2021 года </w:t>
      </w:r>
      <w:hyperlink w:history="0" r:id="rId66" w:tooltip="Постановление Правительства ХМАО - Югры от 13.08.2021 N 30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305-п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10 сентября 2021 года </w:t>
      </w:r>
      <w:hyperlink w:history="0" r:id="rId67" w:tooltip="Постановление Правительства ХМАО - Югры от 10.09.2021 N 343-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343-п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17 сентября 2021 года </w:t>
      </w:r>
      <w:hyperlink w:history="0" r:id="rId68" w:tooltip="Постановление Правительства ХМАО - Югры от 17.09.2021 N 37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375-п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8 октября 2021 года </w:t>
      </w:r>
      <w:hyperlink w:history="0" r:id="rId69" w:tooltip="Постановление Правительства ХМАО - Югры от 08.10.2021 N 415-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415-п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22 октября 2021 года </w:t>
      </w:r>
      <w:hyperlink w:history="0" r:id="rId70" w:tooltip="Постановление Правительства ХМАО - Югры от 22.10.2021 N 452-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452-п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10 декабря 2021 года </w:t>
      </w:r>
      <w:hyperlink w:history="0" r:id="rId71" w:tooltip="Постановление Правительства ХМАО - Югры от 10.12.2021 N 539-п &quot;О внесении изменений в приложение 1 к постановлению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539-п</w:t>
        </w:r>
      </w:hyperlink>
      <w:r>
        <w:rPr>
          <w:sz w:val="20"/>
        </w:rPr>
        <w:t xml:space="preserve"> "О внесении изменений в приложение 1 к постановлению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от 24 декабря 2021 года </w:t>
      </w:r>
      <w:hyperlink w:history="0" r:id="rId72" w:tooltip="Постановление Правительства ХМАО - Югры от 24.12.2021 N 580-п &quot;О внесении изменений в постановление Правительства Ханты-Мансийского автономного округа - Югры от 5 октября 2018 года N 337-п &quot;О государственной программе Ханты-Мансийского автономного округа - Югры &quot;Современное здравоохранение&quot; ------------ Утратил силу или отменен {КонсультантПлюс}">
        <w:r>
          <w:rPr>
            <w:sz w:val="20"/>
            <w:color w:val="0000ff"/>
          </w:rPr>
          <w:t xml:space="preserve">N 580-п</w:t>
        </w:r>
      </w:hyperlink>
      <w:r>
        <w:rPr>
          <w:sz w:val="20"/>
        </w:rPr>
        <w:t xml:space="preserve"> "О внесении изменений в постановление Правительства Ханты-Мансийского автономного округа - Югры от 5 октября 2018 года N 337-п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4. Настоящее постановление вступает в силу с 1 января 2022 года.</w:t>
      </w:r>
    </w:p>
    <w:p>
      <w:pPr>
        <w:pStyle w:val="0"/>
        <w:ind w:firstLine="540"/>
        <w:jc w:val="both"/>
      </w:pPr>
      <w:r>
        <w:rPr>
          <w:sz w:val="20"/>
        </w:rPr>
      </w:r>
    </w:p>
    <w:p>
      <w:pPr>
        <w:pStyle w:val="0"/>
        <w:jc w:val="right"/>
      </w:pPr>
      <w:r>
        <w:rPr>
          <w:sz w:val="20"/>
        </w:rPr>
        <w:t xml:space="preserve">Губернатор</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Н.В.КОМАРОВА</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1</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pPr>
      <w:r>
        <w:rPr>
          <w:sz w:val="20"/>
        </w:rPr>
      </w:r>
    </w:p>
    <w:p>
      <w:pPr>
        <w:pStyle w:val="2"/>
        <w:jc w:val="center"/>
      </w:pPr>
      <w:r>
        <w:rPr>
          <w:sz w:val="20"/>
        </w:rPr>
        <w:t xml:space="preserve">ПОРЯДОК</w:t>
      </w:r>
    </w:p>
    <w:p>
      <w:pPr>
        <w:pStyle w:val="2"/>
        <w:jc w:val="center"/>
      </w:pPr>
      <w:r>
        <w:rPr>
          <w:sz w:val="20"/>
        </w:rPr>
        <w:t xml:space="preserve">ПРЕДОСТАВЛЕНИЯ СУБСИДИИ СОЦИАЛЬНО ОРИЕНТИРОВАННЫМ</w:t>
      </w:r>
    </w:p>
    <w:p>
      <w:pPr>
        <w:pStyle w:val="2"/>
        <w:jc w:val="center"/>
      </w:pPr>
      <w:r>
        <w:rPr>
          <w:sz w:val="20"/>
        </w:rPr>
        <w:t xml:space="preserve">НЕКОММЕРЧЕСКИМ ОРГАНИЗАЦИЯМ ИЗ БЮДЖЕТА ХАНТЫ-МАНСИЙСКОГО</w:t>
      </w:r>
    </w:p>
    <w:p>
      <w:pPr>
        <w:pStyle w:val="2"/>
        <w:jc w:val="center"/>
      </w:pPr>
      <w:r>
        <w:rPr>
          <w:sz w:val="20"/>
        </w:rPr>
        <w:t xml:space="preserve">АВТОНОМНОГО ОКРУГА - ЮГРЫ НА РЕАЛИЗАЦИЮ ОТДЕЛЬНЫХ</w:t>
      </w:r>
    </w:p>
    <w:p>
      <w:pPr>
        <w:pStyle w:val="2"/>
        <w:jc w:val="center"/>
      </w:pPr>
      <w:r>
        <w:rPr>
          <w:sz w:val="20"/>
        </w:rPr>
        <w:t xml:space="preserve">МЕРОПРИЯТИЙ ГОСУДАРСТВЕННОЙ ПРОГРАММЫ ХАНТЫ-МАНСИЙСКОГО</w:t>
      </w:r>
    </w:p>
    <w:p>
      <w:pPr>
        <w:pStyle w:val="2"/>
        <w:jc w:val="center"/>
      </w:pPr>
      <w:r>
        <w:rPr>
          <w:sz w:val="20"/>
        </w:rPr>
        <w:t xml:space="preserve">АВТОНОМНОГО ОКРУГА - ЮГРЫ "СОВРЕМЕННОЕ ЗДРАВООХРАНЕНИЕ"</w:t>
      </w:r>
    </w:p>
    <w:p>
      <w:pPr>
        <w:pStyle w:val="2"/>
        <w:jc w:val="center"/>
      </w:pPr>
      <w:r>
        <w:rPr>
          <w:sz w:val="20"/>
        </w:rPr>
        <w:t xml:space="preserve">(ДАЛЕЕ - ПОРЯДОК)</w:t>
      </w:r>
    </w:p>
    <w:p>
      <w:pPr>
        <w:pStyle w:val="0"/>
      </w:pPr>
      <w:r>
        <w:rPr>
          <w:sz w:val="20"/>
        </w:rPr>
      </w:r>
    </w:p>
    <w:p>
      <w:pPr>
        <w:pStyle w:val="0"/>
        <w:ind w:firstLine="540"/>
        <w:jc w:val="both"/>
      </w:pPr>
      <w:r>
        <w:rPr>
          <w:sz w:val="20"/>
        </w:rPr>
        <w:t xml:space="preserve">Утратил силу. - </w:t>
      </w:r>
      <w:hyperlink w:history="0" r:id="rId73" w:tooltip="Постановление Правительства ХМАО - Югры от 07.04.2023 N 133-п &quot;О внесении изменений в некоторые постановления Правительства Ханты-Мансийского автономного округа - Югры&quot; {КонсультантПлюс}">
        <w:r>
          <w:rPr>
            <w:sz w:val="20"/>
            <w:color w:val="0000ff"/>
          </w:rPr>
          <w:t xml:space="preserve">Постановление</w:t>
        </w:r>
      </w:hyperlink>
      <w:r>
        <w:rPr>
          <w:sz w:val="20"/>
        </w:rPr>
        <w:t xml:space="preserve"> Правительства ХМАО - Югры от 07.04.2023 N 133-п.</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2</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pPr>
      <w:r>
        <w:rPr>
          <w:sz w:val="20"/>
        </w:rPr>
      </w:r>
    </w:p>
    <w:bookmarkStart w:id="117" w:name="P117"/>
    <w:bookmarkEnd w:id="117"/>
    <w:p>
      <w:pPr>
        <w:pStyle w:val="2"/>
        <w:jc w:val="center"/>
      </w:pPr>
      <w:r>
        <w:rPr>
          <w:sz w:val="20"/>
        </w:rPr>
        <w:t xml:space="preserve">ПРОГРАММА</w:t>
      </w:r>
    </w:p>
    <w:p>
      <w:pPr>
        <w:pStyle w:val="2"/>
        <w:jc w:val="center"/>
      </w:pPr>
      <w:r>
        <w:rPr>
          <w:sz w:val="20"/>
        </w:rPr>
        <w:t xml:space="preserve">РАЗВИТИЯ ДЕТСКОГО ЗДРАВООХРАНЕНИЯ, ВКЛЮЧАЯ СОЗДАНИЕ</w:t>
      </w:r>
    </w:p>
    <w:p>
      <w:pPr>
        <w:pStyle w:val="2"/>
        <w:jc w:val="center"/>
      </w:pPr>
      <w:r>
        <w:rPr>
          <w:sz w:val="20"/>
        </w:rPr>
        <w:t xml:space="preserve">СОВРЕМЕННОЙ ИНФРАСТРУКТУРЫ ОКАЗАНИЯ МЕДИЦИНСКОЙ ПОМОЩИ ДЕТЯМ</w:t>
      </w:r>
    </w:p>
    <w:p>
      <w:pPr>
        <w:pStyle w:val="2"/>
        <w:jc w:val="center"/>
      </w:pPr>
      <w:r>
        <w:rPr>
          <w:sz w:val="20"/>
        </w:rPr>
        <w:t xml:space="preserve">ХАНТЫ-МАНСИЙСКОГО АВТОНОМНОГО ОКРУГА - ЮГРЫ</w:t>
      </w:r>
    </w:p>
    <w:p>
      <w:pPr>
        <w:pStyle w:val="2"/>
        <w:jc w:val="center"/>
      </w:pPr>
      <w:r>
        <w:rPr>
          <w:sz w:val="20"/>
        </w:rPr>
        <w:t xml:space="preserve">(ДАЛЕЕ - РЕГИОНАЛЬНАЯ ПРОГРАММА)</w:t>
      </w:r>
    </w:p>
    <w:p>
      <w:pPr>
        <w:pStyle w:val="0"/>
      </w:pPr>
      <w:r>
        <w:rPr>
          <w:sz w:val="20"/>
        </w:rPr>
      </w:r>
    </w:p>
    <w:p>
      <w:pPr>
        <w:pStyle w:val="2"/>
        <w:outlineLvl w:val="1"/>
        <w:jc w:val="center"/>
      </w:pPr>
      <w:r>
        <w:rPr>
          <w:sz w:val="20"/>
        </w:rPr>
        <w:t xml:space="preserve">Раздел 1. ВВЕДЕНИЕ</w:t>
      </w:r>
    </w:p>
    <w:p>
      <w:pPr>
        <w:pStyle w:val="0"/>
        <w:ind w:firstLine="540"/>
        <w:jc w:val="both"/>
      </w:pPr>
      <w:r>
        <w:rPr>
          <w:sz w:val="20"/>
        </w:rPr>
      </w:r>
    </w:p>
    <w:p>
      <w:pPr>
        <w:pStyle w:val="0"/>
        <w:ind w:firstLine="540"/>
        <w:jc w:val="both"/>
      </w:pPr>
      <w:r>
        <w:rPr>
          <w:sz w:val="20"/>
        </w:rPr>
        <w:t xml:space="preserve">Региональная программа создана на основе паспорта регионального проекта "Развитие детского здравоохранения, включая создание современной инфраструктуры оказания медицинской помощи детям", утвержденного протоколом Проектного комитета Ханты-Мансийского автономного округа - Югры от 31 января 2019 года N 2.</w:t>
      </w:r>
    </w:p>
    <w:p>
      <w:pPr>
        <w:pStyle w:val="0"/>
        <w:spacing w:before="200" w:line-rule="auto"/>
        <w:ind w:firstLine="540"/>
        <w:jc w:val="both"/>
      </w:pPr>
      <w:r>
        <w:rPr>
          <w:sz w:val="20"/>
        </w:rPr>
        <w:t xml:space="preserve">Региональная программа направлена на достижение целевого показателя национального проекта "Здравоохранение" - снижение младенческой смертности по Российской Федерации в 2024 году до 4,5 случаев и в Ханты-Мансийском автономном округе - Югре (далее - автономный округ) до 3,7 на 1000 родившихся живыми, являющегося индикатором целевого показателя "Повышение ожидаемой продолжительности жизни до 75,31 лет", характеризующего достижение национальной цели развития "Сохранение населения, здоровье и благополучие людей", поэтому основными мероприятиями Региональной программы являются мероприятия по обеспечению доступности для детей и созданию современной инфраструктуры оказания медицинской помощи в больницах, детских поликлиниках.</w:t>
      </w:r>
    </w:p>
    <w:p>
      <w:pPr>
        <w:pStyle w:val="0"/>
        <w:spacing w:before="200" w:line-rule="auto"/>
        <w:ind w:firstLine="540"/>
        <w:jc w:val="both"/>
      </w:pPr>
      <w:r>
        <w:rPr>
          <w:sz w:val="20"/>
        </w:rPr>
        <w:t xml:space="preserve">Направлениями Региональной программы являются:</w:t>
      </w:r>
    </w:p>
    <w:p>
      <w:pPr>
        <w:pStyle w:val="0"/>
        <w:spacing w:before="200" w:line-rule="auto"/>
        <w:ind w:firstLine="540"/>
        <w:jc w:val="both"/>
      </w:pPr>
      <w:r>
        <w:rPr>
          <w:sz w:val="20"/>
        </w:rPr>
        <w:t xml:space="preserve">развитие материально-технической базы медицинских организаций, оказывающих помощь детям, что обеспечивает создание для них и их законных представителей комфортное пребывание в детских поликлиниках, доступность профилактической медицинской помощи, раннюю диагностику заболеваний;</w:t>
      </w:r>
    </w:p>
    <w:p>
      <w:pPr>
        <w:pStyle w:val="0"/>
        <w:spacing w:before="200" w:line-rule="auto"/>
        <w:ind w:firstLine="540"/>
        <w:jc w:val="both"/>
      </w:pPr>
      <w:r>
        <w:rPr>
          <w:sz w:val="20"/>
        </w:rPr>
        <w:t xml:space="preserve">развитие профилактического направления медицинской помощи по улучшению репродуктивного здоровья несовершеннолетних за счет увеличения охвата профилактическими осмотрами, своевременное взятие на диспансерный учет при выявлении заболевания;</w:t>
      </w:r>
    </w:p>
    <w:p>
      <w:pPr>
        <w:pStyle w:val="0"/>
        <w:spacing w:before="200" w:line-rule="auto"/>
        <w:ind w:firstLine="540"/>
        <w:jc w:val="both"/>
      </w:pPr>
      <w:r>
        <w:rPr>
          <w:sz w:val="20"/>
        </w:rPr>
        <w:t xml:space="preserve">повышение квалификации врачей, оказывающих помощь детям, женщинам, в целях обеспечения квалифицированной и своевременной медицинской помощи, снижения рисков оказания некачественной медицинской помощи;</w:t>
      </w:r>
    </w:p>
    <w:p>
      <w:pPr>
        <w:pStyle w:val="0"/>
        <w:spacing w:before="200" w:line-rule="auto"/>
        <w:ind w:firstLine="540"/>
        <w:jc w:val="both"/>
      </w:pPr>
      <w:r>
        <w:rPr>
          <w:sz w:val="20"/>
        </w:rPr>
        <w:t xml:space="preserve">обеспечение своевременной госпитализации беременных женщин с преждевременными родами в перинатальные центры для улучшения качества помощи новорожденным, в том числе недоношенным.</w:t>
      </w:r>
    </w:p>
    <w:p>
      <w:pPr>
        <w:pStyle w:val="0"/>
        <w:ind w:firstLine="540"/>
        <w:jc w:val="both"/>
      </w:pPr>
      <w:r>
        <w:rPr>
          <w:sz w:val="20"/>
        </w:rPr>
      </w:r>
    </w:p>
    <w:p>
      <w:pPr>
        <w:pStyle w:val="2"/>
        <w:outlineLvl w:val="1"/>
        <w:jc w:val="center"/>
      </w:pPr>
      <w:r>
        <w:rPr>
          <w:sz w:val="20"/>
        </w:rPr>
        <w:t xml:space="preserve">Раздел 2. ИСПОЛНИТЕЛИ</w:t>
      </w:r>
    </w:p>
    <w:p>
      <w:pPr>
        <w:pStyle w:val="0"/>
        <w:ind w:firstLine="540"/>
        <w:jc w:val="both"/>
      </w:pPr>
      <w:r>
        <w:rPr>
          <w:sz w:val="20"/>
        </w:rPr>
      </w:r>
    </w:p>
    <w:p>
      <w:pPr>
        <w:pStyle w:val="0"/>
        <w:ind w:firstLine="540"/>
        <w:jc w:val="both"/>
      </w:pPr>
      <w:r>
        <w:rPr>
          <w:sz w:val="20"/>
        </w:rPr>
        <w:t xml:space="preserve">Ответственным исполнителем Региональной программы является Департамент здравоохранения автономного округа.</w:t>
      </w:r>
    </w:p>
    <w:p>
      <w:pPr>
        <w:pStyle w:val="0"/>
        <w:spacing w:before="200" w:line-rule="auto"/>
        <w:ind w:firstLine="540"/>
        <w:jc w:val="both"/>
      </w:pPr>
      <w:r>
        <w:rPr>
          <w:sz w:val="20"/>
        </w:rPr>
        <w:t xml:space="preserve">Соисполнителями Региональной программы являются:</w:t>
      </w:r>
    </w:p>
    <w:p>
      <w:pPr>
        <w:pStyle w:val="0"/>
        <w:spacing w:before="200" w:line-rule="auto"/>
        <w:ind w:firstLine="540"/>
        <w:jc w:val="both"/>
      </w:pPr>
      <w:r>
        <w:rPr>
          <w:sz w:val="20"/>
        </w:rPr>
        <w:t xml:space="preserve">Территориальный фонд обязательного медицинского страхования автономного округа (по согласованию);</w:t>
      </w:r>
    </w:p>
    <w:p>
      <w:pPr>
        <w:pStyle w:val="0"/>
        <w:spacing w:before="200" w:line-rule="auto"/>
        <w:ind w:firstLine="540"/>
        <w:jc w:val="both"/>
      </w:pPr>
      <w:r>
        <w:rPr>
          <w:sz w:val="20"/>
        </w:rPr>
        <w:t xml:space="preserve">Территориальный орган Федеральной службы по надзору в сфере здравоохранения по Тюменской области, автономному округу и Ямало-Ненецкому автономному округу (по согласованию);</w:t>
      </w:r>
    </w:p>
    <w:p>
      <w:pPr>
        <w:pStyle w:val="0"/>
        <w:spacing w:before="200" w:line-rule="auto"/>
        <w:ind w:firstLine="540"/>
        <w:jc w:val="both"/>
      </w:pPr>
      <w:r>
        <w:rPr>
          <w:sz w:val="20"/>
        </w:rPr>
        <w:t xml:space="preserve">государственное учреждение - региональное отделение Фонда социального страхования Российской Федерации по автономному округу (по согласованию);</w:t>
      </w:r>
    </w:p>
    <w:p>
      <w:pPr>
        <w:pStyle w:val="0"/>
        <w:spacing w:before="200" w:line-rule="auto"/>
        <w:ind w:firstLine="540"/>
        <w:jc w:val="both"/>
      </w:pPr>
      <w:r>
        <w:rPr>
          <w:sz w:val="20"/>
        </w:rPr>
        <w:t xml:space="preserve">Департамент образования и молодежной политики автономного округа;</w:t>
      </w:r>
    </w:p>
    <w:p>
      <w:pPr>
        <w:pStyle w:val="0"/>
        <w:spacing w:before="200" w:line-rule="auto"/>
        <w:ind w:firstLine="540"/>
        <w:jc w:val="both"/>
      </w:pPr>
      <w:r>
        <w:rPr>
          <w:sz w:val="20"/>
        </w:rPr>
        <w:t xml:space="preserve">Департамент социального развития автономного округа;</w:t>
      </w:r>
    </w:p>
    <w:p>
      <w:pPr>
        <w:pStyle w:val="0"/>
        <w:spacing w:before="200" w:line-rule="auto"/>
        <w:ind w:firstLine="540"/>
        <w:jc w:val="both"/>
      </w:pPr>
      <w:r>
        <w:rPr>
          <w:sz w:val="20"/>
        </w:rPr>
        <w:t xml:space="preserve">медицинские организации государственной системы здравоохранения автономного округа (по согласованию).</w:t>
      </w:r>
    </w:p>
    <w:p>
      <w:pPr>
        <w:pStyle w:val="0"/>
        <w:ind w:firstLine="540"/>
        <w:jc w:val="both"/>
      </w:pPr>
      <w:r>
        <w:rPr>
          <w:sz w:val="20"/>
        </w:rPr>
      </w:r>
    </w:p>
    <w:p>
      <w:pPr>
        <w:pStyle w:val="2"/>
        <w:outlineLvl w:val="1"/>
        <w:jc w:val="center"/>
      </w:pPr>
      <w:r>
        <w:rPr>
          <w:sz w:val="20"/>
        </w:rPr>
        <w:t xml:space="preserve">Раздел 3. ЦЕЛЬ</w:t>
      </w:r>
    </w:p>
    <w:p>
      <w:pPr>
        <w:pStyle w:val="0"/>
        <w:jc w:val="center"/>
      </w:pPr>
      <w:r>
        <w:rPr>
          <w:sz w:val="20"/>
        </w:rPr>
      </w:r>
    </w:p>
    <w:p>
      <w:pPr>
        <w:pStyle w:val="0"/>
        <w:ind w:firstLine="540"/>
        <w:jc w:val="both"/>
      </w:pPr>
      <w:r>
        <w:rPr>
          <w:sz w:val="20"/>
        </w:rPr>
        <w:t xml:space="preserve">Целью Региональной программы является формирование системы детского здравоохранения автономного округа, направленной на достижение показателя младенческой смертности 3,7 на 1000 родившихся живыми к 2024 году.</w:t>
      </w:r>
    </w:p>
    <w:p>
      <w:pPr>
        <w:pStyle w:val="0"/>
        <w:ind w:firstLine="540"/>
        <w:jc w:val="both"/>
      </w:pPr>
      <w:r>
        <w:rPr>
          <w:sz w:val="20"/>
        </w:rPr>
      </w:r>
    </w:p>
    <w:p>
      <w:pPr>
        <w:pStyle w:val="2"/>
        <w:outlineLvl w:val="1"/>
        <w:jc w:val="center"/>
      </w:pPr>
      <w:r>
        <w:rPr>
          <w:sz w:val="20"/>
        </w:rPr>
        <w:t xml:space="preserve">Раздел 4. ЗАДАЧИ</w:t>
      </w:r>
    </w:p>
    <w:p>
      <w:pPr>
        <w:pStyle w:val="0"/>
        <w:jc w:val="center"/>
      </w:pPr>
      <w:r>
        <w:rPr>
          <w:sz w:val="20"/>
        </w:rPr>
      </w:r>
    </w:p>
    <w:p>
      <w:pPr>
        <w:pStyle w:val="0"/>
        <w:ind w:firstLine="540"/>
        <w:jc w:val="both"/>
      </w:pPr>
      <w:r>
        <w:rPr>
          <w:sz w:val="20"/>
        </w:rPr>
        <w:t xml:space="preserve">Задача 1. Снижение детской смертности.</w:t>
      </w:r>
    </w:p>
    <w:p>
      <w:pPr>
        <w:pStyle w:val="0"/>
        <w:spacing w:before="200" w:line-rule="auto"/>
        <w:ind w:firstLine="540"/>
        <w:jc w:val="both"/>
      </w:pPr>
      <w:r>
        <w:rPr>
          <w:sz w:val="20"/>
        </w:rPr>
        <w:t xml:space="preserve">За счет реализации мероприятий по улучшению маршрутизации детей, внедрению системы контроля качества медицинской помощи в медицинских организациях автономного округа, развития паллиативной службы и медицинской реабилитации детей.</w:t>
      </w:r>
    </w:p>
    <w:p>
      <w:pPr>
        <w:pStyle w:val="0"/>
        <w:spacing w:before="200" w:line-rule="auto"/>
        <w:ind w:firstLine="540"/>
        <w:jc w:val="both"/>
      </w:pPr>
      <w:r>
        <w:rPr>
          <w:sz w:val="20"/>
        </w:rPr>
        <w:t xml:space="preserve">Задача 2. Повышение качества медицинской помощи женщинам в период беременности, родов и в послеродовой период.</w:t>
      </w:r>
    </w:p>
    <w:p>
      <w:pPr>
        <w:pStyle w:val="0"/>
        <w:spacing w:before="200" w:line-rule="auto"/>
        <w:ind w:firstLine="540"/>
        <w:jc w:val="both"/>
      </w:pPr>
      <w:r>
        <w:rPr>
          <w:sz w:val="20"/>
        </w:rPr>
        <w:t xml:space="preserve">За счет оказания медицинской помощи не менее 113,4 тыс. женщин в период беременности, родов и в послеродовой период, в том числе за счет средств родовых сертификатов, обеспечения своевременной госпитализации (не менее 87,9% к 2024 году) с преждевременными родами в перинатальные центры, соблюдения маршрутизации беременных высокой группы риска, совершенствования электронной системы мониторинга беременных будет осуществлено повышение качества медицинской помощи женщинам.</w:t>
      </w:r>
    </w:p>
    <w:p>
      <w:pPr>
        <w:pStyle w:val="0"/>
        <w:spacing w:before="200" w:line-rule="auto"/>
        <w:ind w:firstLine="540"/>
        <w:jc w:val="both"/>
      </w:pPr>
      <w:r>
        <w:rPr>
          <w:sz w:val="20"/>
        </w:rPr>
        <w:t xml:space="preserve">Задача 3. Повышение квалификации специалистов в области перинатологии, неонатологии и педиатрии с целью совершенствования манипуляционных и коммуникативных навыков врачей, повышения качества медицинской помощи детям и снижения смертности и инвалидности.</w:t>
      </w:r>
    </w:p>
    <w:p>
      <w:pPr>
        <w:pStyle w:val="0"/>
        <w:spacing w:before="200" w:line-rule="auto"/>
        <w:ind w:firstLine="540"/>
        <w:jc w:val="both"/>
      </w:pPr>
      <w:r>
        <w:rPr>
          <w:sz w:val="20"/>
        </w:rPr>
        <w:t xml:space="preserve">Реализуется за счет направления на обучение в 2022 - 2024 годах в симуляционные центры федеральных учреждений, подведомственные Министерству здравоохранения Российской Федерации, не менее 478 специалистов за период 2022 - 2024 гг.</w:t>
      </w:r>
    </w:p>
    <w:p>
      <w:pPr>
        <w:pStyle w:val="0"/>
        <w:spacing w:before="200" w:line-rule="auto"/>
        <w:ind w:firstLine="540"/>
        <w:jc w:val="both"/>
      </w:pPr>
      <w:r>
        <w:rPr>
          <w:sz w:val="20"/>
        </w:rPr>
        <w:t xml:space="preserve">Задача 4. Организация работы консультативно-диагностического отделения специализированной медицинской помощи II группы на базе бюджетного учреждения автономного округа "Сургутская городская клиническая больница" для детей старшего возраста и подростков, консультативно-диагностических центров на базе медицинских организаций III группы, оказывающих медицинскую помощь детям по принципу зональности, в бюджетных учреждениях автономного округа "Нижневартовская окружная клиническая детская больница", "Сургутский окружной клинический центр охраны материнства и детства", "Окружная клиническая больница".</w:t>
      </w:r>
    </w:p>
    <w:p>
      <w:pPr>
        <w:pStyle w:val="0"/>
        <w:spacing w:before="200" w:line-rule="auto"/>
        <w:ind w:firstLine="540"/>
        <w:jc w:val="both"/>
      </w:pPr>
      <w:r>
        <w:rPr>
          <w:sz w:val="20"/>
        </w:rPr>
        <w:t xml:space="preserve">За счет проведения организационных мероприятий будут созданы и к 2024 году укомплектованы кадрами консультативно-диагностические отделения и центры, что обеспечит повышение доступности специализированной медицинской помощи детям, развитие выездных и дистанционных консультативных форм работы.</w:t>
      </w:r>
    </w:p>
    <w:p>
      <w:pPr>
        <w:pStyle w:val="0"/>
        <w:spacing w:before="200" w:line-rule="auto"/>
        <w:ind w:firstLine="540"/>
        <w:jc w:val="both"/>
      </w:pPr>
      <w:r>
        <w:rPr>
          <w:sz w:val="20"/>
        </w:rPr>
        <w:t xml:space="preserve">Задача 5. Приведение в соответствие с требованиями </w:t>
      </w:r>
      <w:hyperlink w:history="0" r:id="rId74"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Министерства здравоохранения Российской Федерации (далее - Минздрав России) от 7 марта 2018 года N 92н "Об утверждении Положения об организации оказания первичной медико-санитарной помощи детям" детских поликлиник медицинских организаций автономного округа.</w:t>
      </w:r>
    </w:p>
    <w:p>
      <w:pPr>
        <w:pStyle w:val="0"/>
        <w:spacing w:before="200" w:line-rule="auto"/>
        <w:ind w:firstLine="540"/>
        <w:jc w:val="both"/>
      </w:pPr>
      <w:r>
        <w:rPr>
          <w:sz w:val="20"/>
        </w:rPr>
        <w:t xml:space="preserve">За счет дооснащения 95% детских поликлиник медицинских организаций медицинскими изделиями (всего 23 детские поликлиники и 1 консультативно-диагностический центр) и организации в них планировочных решений внутренних пространств будут внедрены принципы бережливого производства и комфортного пребывания детей и их родителей при оказании первичной медико-санитарной помощи, сокращено время ожидания в очереди при обращении в указанные организации, усовершенствована процедура записи к врачу, уменьшено время ожидания приема, создание понятной системы навигации.</w:t>
      </w:r>
    </w:p>
    <w:p>
      <w:pPr>
        <w:pStyle w:val="0"/>
        <w:spacing w:before="200" w:line-rule="auto"/>
        <w:ind w:firstLine="540"/>
        <w:jc w:val="both"/>
      </w:pPr>
      <w:r>
        <w:rPr>
          <w:sz w:val="20"/>
        </w:rPr>
        <w:t xml:space="preserve">Задача 6. Увеличение не менее чем до 80% охвата профилактическими медицинскими осмотрами детей в возрасте 15 - 17 лет по реализации </w:t>
      </w:r>
      <w:hyperlink w:history="0" r:id="rId75" w:tooltip="Приказ Минздрава России от 10.08.2017 N 514н (ред. от 19.11.2020) &quot;О Порядке проведения профилактических медицинских осмотров несовершеннолетних&quot; (вместе с &quot;Порядком заполнения учетной формы N 030-ПО/у-17 &quot;Карта профилактического медицинского осмотра несовершеннолетнего&quot;, &quot;Порядком заполнения и сроки представления формы статистической отчетности N 030-ПО/о-17 &quot;Сведения о профилактических медицинских осмотрах несовершеннолетних&quot;) (Зарегистрировано в Минюсте России 18.08.2017 N 47855) {КонсультантПлюс}">
        <w:r>
          <w:rPr>
            <w:sz w:val="20"/>
            <w:color w:val="0000ff"/>
          </w:rPr>
          <w:t xml:space="preserve">приказа</w:t>
        </w:r>
      </w:hyperlink>
      <w:r>
        <w:rPr>
          <w:sz w:val="20"/>
        </w:rPr>
        <w:t xml:space="preserve"> Минздрава России от 10 августа 2017 года N 514н "О Порядке проведения профилактических медицинских осмотров несовершеннолетних" в целях сохранения репродуктивного здоровья: девочек - врачами - акушерами-гинекологами; мальчиков - врачами - детскими урологами-андрологами.</w:t>
      </w:r>
    </w:p>
    <w:p>
      <w:pPr>
        <w:pStyle w:val="0"/>
        <w:spacing w:before="200" w:line-rule="auto"/>
        <w:ind w:firstLine="540"/>
        <w:jc w:val="both"/>
      </w:pPr>
      <w:r>
        <w:rPr>
          <w:sz w:val="20"/>
        </w:rPr>
        <w:t xml:space="preserve">Данная задача будет решена путем проведения не менее 500 информационно-коммуникационной мероприятий ("круглые столы", конференции, лекции, школы, в том числе в интерактивном режиме, при участии средств массовой информации, издание печатных агитационных материалов) по вопросам необходимости проведения профилактических медицинских осмотров несовершеннолетних.</w:t>
      </w:r>
    </w:p>
    <w:p>
      <w:pPr>
        <w:pStyle w:val="0"/>
        <w:spacing w:before="200" w:line-rule="auto"/>
        <w:ind w:firstLine="540"/>
        <w:jc w:val="both"/>
      </w:pPr>
      <w:r>
        <w:rPr>
          <w:sz w:val="20"/>
        </w:rPr>
        <w:t xml:space="preserve">Будут организованы профилактические осмотры подростков на немедицинское потребление наркотических и психоактивных веществ с достижением охвата до 95% подростков из группы риска, сформированной по результатам 1 этапа (анкетирования), и при наличии информированного добровольного согласия проведены мероприятия по увеличению доли посещений детей с профилактическими целями не менее 52,3% к 2024 году, охвата детей всех возрастов профилактическими осмотрами не менее 96,7% к 2024 году.</w:t>
      </w:r>
    </w:p>
    <w:p>
      <w:pPr>
        <w:pStyle w:val="0"/>
        <w:spacing w:before="200" w:line-rule="auto"/>
        <w:ind w:firstLine="540"/>
        <w:jc w:val="both"/>
      </w:pPr>
      <w:r>
        <w:rPr>
          <w:sz w:val="20"/>
        </w:rPr>
        <w:t xml:space="preserve">Задача 7. В 2022 - 2024 годах развитие материально-технической базы детских поликлиник медицинских организаций автономного округа.</w:t>
      </w:r>
    </w:p>
    <w:p>
      <w:pPr>
        <w:pStyle w:val="0"/>
        <w:spacing w:before="200" w:line-rule="auto"/>
        <w:ind w:firstLine="540"/>
        <w:jc w:val="both"/>
      </w:pPr>
      <w:r>
        <w:rPr>
          <w:sz w:val="20"/>
        </w:rPr>
        <w:t xml:space="preserve">За счет проведения модернизации оборудования, поддержания внутренних помещений детских поликлиник согласно требованиям, будет продолжено укрепление материально-технической базы службы охраны материнства и детства.</w:t>
      </w:r>
    </w:p>
    <w:p>
      <w:pPr>
        <w:pStyle w:val="0"/>
        <w:ind w:firstLine="540"/>
        <w:jc w:val="both"/>
      </w:pPr>
      <w:r>
        <w:rPr>
          <w:sz w:val="20"/>
        </w:rPr>
      </w:r>
    </w:p>
    <w:p>
      <w:pPr>
        <w:pStyle w:val="2"/>
        <w:outlineLvl w:val="1"/>
        <w:jc w:val="center"/>
      </w:pPr>
      <w:r>
        <w:rPr>
          <w:sz w:val="20"/>
        </w:rPr>
        <w:t xml:space="preserve">Раздел 5. ХАРАКТЕРИСТИКА СЛУЖБЫ МЕДИЦИНСКОЙ ПОМОЩИ ДЕТЯМ</w:t>
      </w:r>
    </w:p>
    <w:p>
      <w:pPr>
        <w:pStyle w:val="2"/>
        <w:jc w:val="center"/>
      </w:pPr>
      <w:r>
        <w:rPr>
          <w:sz w:val="20"/>
        </w:rPr>
        <w:t xml:space="preserve">И РОДОВСПОМОЖЕНИЯ АВТОНОМНОГО ОКРУГА</w:t>
      </w:r>
    </w:p>
    <w:p>
      <w:pPr>
        <w:pStyle w:val="0"/>
        <w:ind w:firstLine="540"/>
        <w:jc w:val="both"/>
      </w:pPr>
      <w:r>
        <w:rPr>
          <w:sz w:val="20"/>
        </w:rPr>
      </w:r>
    </w:p>
    <w:p>
      <w:pPr>
        <w:pStyle w:val="0"/>
        <w:ind w:firstLine="540"/>
        <w:jc w:val="both"/>
      </w:pPr>
      <w:r>
        <w:rPr>
          <w:sz w:val="20"/>
        </w:rPr>
        <w:t xml:space="preserve">Особенности географического расположения автономного округа (большая площадь, протяженность с запада на восток, низкая плотность населения и высокая доля урбанизации) оказывает влияние на оказание медицинской помощи населению автономного округа, в том числе детям.</w:t>
      </w:r>
    </w:p>
    <w:p>
      <w:pPr>
        <w:pStyle w:val="0"/>
        <w:spacing w:before="200" w:line-rule="auto"/>
        <w:ind w:firstLine="540"/>
        <w:jc w:val="both"/>
      </w:pPr>
      <w:r>
        <w:rPr>
          <w:sz w:val="20"/>
        </w:rPr>
        <w:t xml:space="preserve">В автономном округе детское население в основном проживает в городах и поселках городского типа, расстояние между которыми составляет до 300 - 500 км. При этом около 3% населения проживает в населенных пунктах, расположенных отдаленно, не имеющих дорог с твердым покрытием, с отсутствием доступности в осенне-весенний сезон, проживающих в общинах с укладом жизни, характерным для коренного малочисленного населения региона (ханты, манси).</w:t>
      </w:r>
    </w:p>
    <w:p>
      <w:pPr>
        <w:pStyle w:val="0"/>
        <w:spacing w:before="200" w:line-rule="auto"/>
        <w:ind w:firstLine="540"/>
        <w:jc w:val="both"/>
      </w:pPr>
      <w:r>
        <w:rPr>
          <w:sz w:val="20"/>
        </w:rPr>
        <w:t xml:space="preserve">За 3 года численность населения автономного округа увеличилась на 24,6 тыс. человек или на 1,5%, что обусловлено как миграционным, так и естественным приростом. Показатель естественного прироста в 2020 году составил 4,7 на 1 тыс. населения.</w:t>
      </w:r>
    </w:p>
    <w:p>
      <w:pPr>
        <w:pStyle w:val="0"/>
        <w:spacing w:before="200" w:line-rule="auto"/>
        <w:ind w:firstLine="540"/>
        <w:jc w:val="both"/>
      </w:pPr>
      <w:r>
        <w:rPr>
          <w:sz w:val="20"/>
        </w:rPr>
        <w:t xml:space="preserve">Из всех субъектов Российской Федерации автономный округ занимает 10-е место по показателю рождаемости и 5 место по показателю смертности. Число родов в 2020 году в автономном округе составило 20 648.</w:t>
      </w:r>
    </w:p>
    <w:p>
      <w:pPr>
        <w:pStyle w:val="0"/>
        <w:ind w:firstLine="540"/>
        <w:jc w:val="both"/>
      </w:pPr>
      <w:r>
        <w:rPr>
          <w:sz w:val="20"/>
        </w:rPr>
      </w:r>
    </w:p>
    <w:p>
      <w:pPr>
        <w:pStyle w:val="0"/>
        <w:outlineLvl w:val="2"/>
        <w:jc w:val="right"/>
      </w:pPr>
      <w:r>
        <w:rPr>
          <w:sz w:val="20"/>
        </w:rPr>
        <w:t xml:space="preserve">Таблица 1</w:t>
      </w:r>
    </w:p>
    <w:p>
      <w:pPr>
        <w:pStyle w:val="0"/>
        <w:jc w:val="right"/>
      </w:pPr>
      <w:r>
        <w:rPr>
          <w:sz w:val="20"/>
        </w:rPr>
      </w:r>
    </w:p>
    <w:p>
      <w:pPr>
        <w:pStyle w:val="2"/>
        <w:jc w:val="center"/>
      </w:pPr>
      <w:r>
        <w:rPr>
          <w:sz w:val="20"/>
        </w:rPr>
        <w:t xml:space="preserve">Рождаемость в Российской Федерации, Уральском федеральном</w:t>
      </w:r>
    </w:p>
    <w:p>
      <w:pPr>
        <w:pStyle w:val="2"/>
        <w:jc w:val="center"/>
      </w:pPr>
      <w:r>
        <w:rPr>
          <w:sz w:val="20"/>
        </w:rPr>
        <w:t xml:space="preserve">округе, автономном округе за 2018 - 2020 годы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3"/>
        <w:gridCol w:w="1418"/>
        <w:gridCol w:w="1276"/>
        <w:gridCol w:w="1275"/>
      </w:tblGrid>
      <w:tr>
        <w:tc>
          <w:tcPr>
            <w:tcW w:w="5103" w:type="dxa"/>
            <w:vMerge w:val="restart"/>
          </w:tcPr>
          <w:p>
            <w:pPr>
              <w:pStyle w:val="0"/>
              <w:jc w:val="center"/>
            </w:pPr>
            <w:r>
              <w:rPr>
                <w:sz w:val="20"/>
              </w:rPr>
              <w:t xml:space="preserve">Территория</w:t>
            </w:r>
          </w:p>
        </w:tc>
        <w:tc>
          <w:tcPr>
            <w:gridSpan w:val="3"/>
            <w:tcW w:w="3969" w:type="dxa"/>
          </w:tcPr>
          <w:p>
            <w:pPr>
              <w:pStyle w:val="0"/>
              <w:jc w:val="center"/>
            </w:pPr>
            <w:r>
              <w:rPr>
                <w:sz w:val="20"/>
              </w:rPr>
              <w:t xml:space="preserve">Число родившихся на 1 тыс. населения</w:t>
            </w:r>
          </w:p>
        </w:tc>
      </w:tr>
      <w:tr>
        <w:tc>
          <w:tcPr>
            <w:vMerge w:val="continue"/>
          </w:tcPr>
          <w:p/>
        </w:tc>
        <w:tc>
          <w:tcPr>
            <w:tcW w:w="1418" w:type="dxa"/>
          </w:tcPr>
          <w:p>
            <w:pPr>
              <w:pStyle w:val="0"/>
              <w:jc w:val="center"/>
            </w:pPr>
            <w:r>
              <w:rPr>
                <w:sz w:val="20"/>
              </w:rPr>
              <w:t xml:space="preserve">2018 год</w:t>
            </w:r>
          </w:p>
        </w:tc>
        <w:tc>
          <w:tcPr>
            <w:tcW w:w="1276" w:type="dxa"/>
          </w:tcPr>
          <w:p>
            <w:pPr>
              <w:pStyle w:val="0"/>
              <w:jc w:val="center"/>
            </w:pPr>
            <w:r>
              <w:rPr>
                <w:sz w:val="20"/>
              </w:rPr>
              <w:t xml:space="preserve">2019 год</w:t>
            </w:r>
          </w:p>
        </w:tc>
        <w:tc>
          <w:tcPr>
            <w:tcW w:w="1275" w:type="dxa"/>
          </w:tcPr>
          <w:p>
            <w:pPr>
              <w:pStyle w:val="0"/>
              <w:jc w:val="center"/>
            </w:pPr>
            <w:r>
              <w:rPr>
                <w:sz w:val="20"/>
              </w:rPr>
              <w:t xml:space="preserve">2020 год</w:t>
            </w:r>
          </w:p>
        </w:tc>
      </w:tr>
      <w:tr>
        <w:tc>
          <w:tcPr>
            <w:tcW w:w="5103" w:type="dxa"/>
          </w:tcPr>
          <w:p>
            <w:pPr>
              <w:pStyle w:val="0"/>
            </w:pPr>
            <w:r>
              <w:rPr>
                <w:sz w:val="20"/>
              </w:rPr>
              <w:t xml:space="preserve">Российская Федерация</w:t>
            </w:r>
          </w:p>
        </w:tc>
        <w:tc>
          <w:tcPr>
            <w:tcW w:w="1418" w:type="dxa"/>
          </w:tcPr>
          <w:p>
            <w:pPr>
              <w:pStyle w:val="0"/>
            </w:pPr>
            <w:r>
              <w:rPr>
                <w:sz w:val="20"/>
              </w:rPr>
              <w:t xml:space="preserve">10,9</w:t>
            </w:r>
          </w:p>
        </w:tc>
        <w:tc>
          <w:tcPr>
            <w:tcW w:w="1276" w:type="dxa"/>
          </w:tcPr>
          <w:p>
            <w:pPr>
              <w:pStyle w:val="0"/>
            </w:pPr>
            <w:r>
              <w:rPr>
                <w:sz w:val="20"/>
              </w:rPr>
              <w:t xml:space="preserve">10,1</w:t>
            </w:r>
          </w:p>
        </w:tc>
        <w:tc>
          <w:tcPr>
            <w:tcW w:w="1275" w:type="dxa"/>
          </w:tcPr>
          <w:p>
            <w:pPr>
              <w:pStyle w:val="0"/>
            </w:pPr>
            <w:r>
              <w:rPr>
                <w:sz w:val="20"/>
              </w:rPr>
              <w:t xml:space="preserve">9,8</w:t>
            </w:r>
          </w:p>
        </w:tc>
      </w:tr>
      <w:tr>
        <w:tc>
          <w:tcPr>
            <w:tcW w:w="5103" w:type="dxa"/>
          </w:tcPr>
          <w:p>
            <w:pPr>
              <w:pStyle w:val="0"/>
            </w:pPr>
            <w:r>
              <w:rPr>
                <w:sz w:val="20"/>
              </w:rPr>
              <w:t xml:space="preserve">Уральский федеральный округ</w:t>
            </w:r>
          </w:p>
        </w:tc>
        <w:tc>
          <w:tcPr>
            <w:tcW w:w="1418" w:type="dxa"/>
          </w:tcPr>
          <w:p>
            <w:pPr>
              <w:pStyle w:val="0"/>
            </w:pPr>
            <w:r>
              <w:rPr>
                <w:sz w:val="20"/>
              </w:rPr>
              <w:t xml:space="preserve">11,9</w:t>
            </w:r>
          </w:p>
        </w:tc>
        <w:tc>
          <w:tcPr>
            <w:tcW w:w="1276" w:type="dxa"/>
          </w:tcPr>
          <w:p>
            <w:pPr>
              <w:pStyle w:val="0"/>
            </w:pPr>
            <w:r>
              <w:rPr>
                <w:sz w:val="20"/>
              </w:rPr>
              <w:t xml:space="preserve">11,0</w:t>
            </w:r>
          </w:p>
        </w:tc>
        <w:tc>
          <w:tcPr>
            <w:tcW w:w="1275" w:type="dxa"/>
          </w:tcPr>
          <w:p>
            <w:pPr>
              <w:pStyle w:val="0"/>
            </w:pPr>
            <w:r>
              <w:rPr>
                <w:sz w:val="20"/>
              </w:rPr>
              <w:t xml:space="preserve">10,6</w:t>
            </w:r>
          </w:p>
        </w:tc>
      </w:tr>
      <w:tr>
        <w:tc>
          <w:tcPr>
            <w:tcW w:w="5103" w:type="dxa"/>
          </w:tcPr>
          <w:p>
            <w:pPr>
              <w:pStyle w:val="0"/>
            </w:pPr>
            <w:r>
              <w:rPr>
                <w:sz w:val="20"/>
              </w:rPr>
              <w:t xml:space="preserve">автономный округ</w:t>
            </w:r>
          </w:p>
        </w:tc>
        <w:tc>
          <w:tcPr>
            <w:tcW w:w="1418" w:type="dxa"/>
          </w:tcPr>
          <w:p>
            <w:pPr>
              <w:pStyle w:val="0"/>
            </w:pPr>
            <w:r>
              <w:rPr>
                <w:sz w:val="20"/>
              </w:rPr>
              <w:t xml:space="preserve">13,6</w:t>
            </w:r>
          </w:p>
        </w:tc>
        <w:tc>
          <w:tcPr>
            <w:tcW w:w="1276" w:type="dxa"/>
          </w:tcPr>
          <w:p>
            <w:pPr>
              <w:pStyle w:val="0"/>
            </w:pPr>
            <w:r>
              <w:rPr>
                <w:sz w:val="20"/>
              </w:rPr>
              <w:t xml:space="preserve">12,4</w:t>
            </w:r>
          </w:p>
        </w:tc>
        <w:tc>
          <w:tcPr>
            <w:tcW w:w="1275" w:type="dxa"/>
          </w:tcPr>
          <w:p>
            <w:pPr>
              <w:pStyle w:val="0"/>
            </w:pPr>
            <w:r>
              <w:rPr>
                <w:sz w:val="20"/>
              </w:rPr>
              <w:t xml:space="preserve">12,3</w:t>
            </w:r>
          </w:p>
        </w:tc>
      </w:tr>
    </w:tbl>
    <w:p>
      <w:pPr>
        <w:pStyle w:val="0"/>
        <w:ind w:firstLine="540"/>
        <w:jc w:val="both"/>
      </w:pPr>
      <w:r>
        <w:rPr>
          <w:sz w:val="20"/>
        </w:rPr>
      </w:r>
    </w:p>
    <w:p>
      <w:pPr>
        <w:pStyle w:val="0"/>
        <w:ind w:firstLine="540"/>
        <w:jc w:val="both"/>
      </w:pPr>
      <w:r>
        <w:rPr>
          <w:sz w:val="20"/>
        </w:rPr>
        <w:t xml:space="preserve">В автономном округе, как и во многих регионах Российской Федерации, на протяжении анализируемого периода зарегистрировано снижение показателя рождаемости. За 2018 - 2020 годы рождаемость снизилась на 9,5%. В 2020 году в регионе родились 20 605 детей (в 2019 году - 20 821 ребенок, в 2018 году - 22 538 детей), умерли 12 794 человека (в 2019 году - 10 112 человека, в 2018 году - 10 393 человека), естественный прирост населения составил 7 811 человек (в 2019 году - 10 709 человек, в 2018 году - 12 145 человек).</w:t>
      </w:r>
    </w:p>
    <w:p>
      <w:pPr>
        <w:pStyle w:val="0"/>
        <w:spacing w:before="200" w:line-rule="auto"/>
        <w:ind w:firstLine="540"/>
        <w:jc w:val="both"/>
      </w:pPr>
      <w:r>
        <w:rPr>
          <w:sz w:val="20"/>
        </w:rPr>
        <w:t xml:space="preserve">За 2020 год в сравнении с 2019 годом, по данным Федеральной службы государственной статистики (далее - Росстат), зарегистрировано снижение коэффициента рождаемости:</w:t>
      </w:r>
    </w:p>
    <w:p>
      <w:pPr>
        <w:pStyle w:val="0"/>
        <w:spacing w:before="200" w:line-rule="auto"/>
        <w:ind w:firstLine="540"/>
        <w:jc w:val="both"/>
      </w:pPr>
      <w:r>
        <w:rPr>
          <w:sz w:val="20"/>
        </w:rPr>
        <w:t xml:space="preserve">по Российской Федерации - на 3,0%;</w:t>
      </w:r>
    </w:p>
    <w:p>
      <w:pPr>
        <w:pStyle w:val="0"/>
        <w:spacing w:before="200" w:line-rule="auto"/>
        <w:ind w:firstLine="540"/>
        <w:jc w:val="both"/>
      </w:pPr>
      <w:r>
        <w:rPr>
          <w:sz w:val="20"/>
        </w:rPr>
        <w:t xml:space="preserve">по Уральскому федеральному округу (далее - УрФО) - на 3,6%;</w:t>
      </w:r>
    </w:p>
    <w:p>
      <w:pPr>
        <w:pStyle w:val="0"/>
        <w:spacing w:before="200" w:line-rule="auto"/>
        <w:ind w:firstLine="540"/>
        <w:jc w:val="both"/>
      </w:pPr>
      <w:r>
        <w:rPr>
          <w:sz w:val="20"/>
        </w:rPr>
        <w:t xml:space="preserve">по автономному округу - на 0,8%.</w:t>
      </w:r>
    </w:p>
    <w:p>
      <w:pPr>
        <w:pStyle w:val="0"/>
        <w:spacing w:before="200" w:line-rule="auto"/>
        <w:ind w:firstLine="540"/>
        <w:jc w:val="both"/>
      </w:pPr>
      <w:r>
        <w:rPr>
          <w:sz w:val="20"/>
        </w:rPr>
        <w:t xml:space="preserve">По данным Росстата, на 1 января 2021 года численность населения автономного округа составила 1 687 654 человек.</w:t>
      </w:r>
    </w:p>
    <w:p>
      <w:pPr>
        <w:pStyle w:val="0"/>
        <w:spacing w:before="200" w:line-rule="auto"/>
        <w:ind w:firstLine="540"/>
        <w:jc w:val="both"/>
      </w:pPr>
      <w:r>
        <w:rPr>
          <w:sz w:val="20"/>
        </w:rPr>
        <w:t xml:space="preserve">Детское население автономного округа от 0 до 17 лет по состоянию на 1 января 2021 года составило 428 063 человека (доля детей от общей численности населения составляет 25,4%), в том числе от 0 - 14 лет - 365 540 человек, 15 - 17 лет - 62 523 человека.</w:t>
      </w:r>
    </w:p>
    <w:p>
      <w:pPr>
        <w:pStyle w:val="0"/>
        <w:spacing w:before="200" w:line-rule="auto"/>
        <w:ind w:firstLine="540"/>
        <w:jc w:val="both"/>
      </w:pPr>
      <w:r>
        <w:rPr>
          <w:sz w:val="20"/>
        </w:rPr>
        <w:t xml:space="preserve">Показатель общей заболеваемости </w:t>
      </w:r>
      <w:hyperlink w:history="0" w:anchor="P208" w:tooltip="Общая заболеваемость населения автономного округа, дети">
        <w:r>
          <w:rPr>
            <w:sz w:val="20"/>
            <w:color w:val="0000ff"/>
          </w:rPr>
          <w:t xml:space="preserve">(таблица 2)</w:t>
        </w:r>
      </w:hyperlink>
      <w:r>
        <w:rPr>
          <w:sz w:val="20"/>
        </w:rPr>
        <w:t xml:space="preserve"> среди детского населения (0 - 14 лет) снизился на 16% (с 2487,1 на 1 тыс. населения в 2019 году до 2089,3 в 2020 году). По УрФО в 2019 году показатель составил 2307,4, по Российской Федерации - 2198,2 на 1 тыс. населения, за 2020 год - нет данных. При этом рост зарегистрирован по классу болезни крови и кроветворных органов и отдельным нарушениям, вовлекающим иммунный механизм, на 31,6%.</w:t>
      </w:r>
    </w:p>
    <w:p>
      <w:pPr>
        <w:pStyle w:val="0"/>
        <w:ind w:firstLine="540"/>
        <w:jc w:val="both"/>
      </w:pPr>
      <w:r>
        <w:rPr>
          <w:sz w:val="20"/>
        </w:rPr>
      </w:r>
    </w:p>
    <w:p>
      <w:pPr>
        <w:pStyle w:val="0"/>
        <w:outlineLvl w:val="2"/>
        <w:jc w:val="right"/>
      </w:pPr>
      <w:r>
        <w:rPr>
          <w:sz w:val="20"/>
        </w:rPr>
        <w:t xml:space="preserve">Таблица 2</w:t>
      </w:r>
    </w:p>
    <w:p>
      <w:pPr>
        <w:pStyle w:val="0"/>
        <w:ind w:firstLine="540"/>
        <w:jc w:val="both"/>
      </w:pPr>
      <w:r>
        <w:rPr>
          <w:sz w:val="20"/>
        </w:rPr>
      </w:r>
    </w:p>
    <w:bookmarkStart w:id="208" w:name="P208"/>
    <w:bookmarkEnd w:id="208"/>
    <w:p>
      <w:pPr>
        <w:pStyle w:val="2"/>
        <w:jc w:val="center"/>
      </w:pPr>
      <w:r>
        <w:rPr>
          <w:sz w:val="20"/>
        </w:rPr>
        <w:t xml:space="preserve">Общая заболеваемость населения автономного округа, дети</w:t>
      </w:r>
    </w:p>
    <w:p>
      <w:pPr>
        <w:pStyle w:val="2"/>
        <w:jc w:val="center"/>
      </w:pPr>
      <w:r>
        <w:rPr>
          <w:sz w:val="20"/>
        </w:rPr>
        <w:t xml:space="preserve">в возрасте 0 - 14 лет (на 1 тыс. человек)</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52"/>
        <w:gridCol w:w="1077"/>
        <w:gridCol w:w="1276"/>
        <w:gridCol w:w="1276"/>
        <w:gridCol w:w="1134"/>
      </w:tblGrid>
      <w:tr>
        <w:tc>
          <w:tcPr>
            <w:tcW w:w="4252" w:type="dxa"/>
          </w:tcPr>
          <w:p>
            <w:pPr>
              <w:pStyle w:val="0"/>
              <w:jc w:val="center"/>
            </w:pPr>
            <w:r>
              <w:rPr>
                <w:sz w:val="20"/>
              </w:rPr>
              <w:t xml:space="preserve">Классы болезней МКБ-10</w:t>
            </w:r>
          </w:p>
        </w:tc>
        <w:tc>
          <w:tcPr>
            <w:tcW w:w="1077" w:type="dxa"/>
          </w:tcPr>
          <w:p>
            <w:pPr>
              <w:pStyle w:val="0"/>
              <w:jc w:val="center"/>
            </w:pPr>
            <w:r>
              <w:rPr>
                <w:sz w:val="20"/>
              </w:rPr>
              <w:t xml:space="preserve">2018 год</w:t>
            </w:r>
          </w:p>
        </w:tc>
        <w:tc>
          <w:tcPr>
            <w:tcW w:w="1276" w:type="dxa"/>
          </w:tcPr>
          <w:p>
            <w:pPr>
              <w:pStyle w:val="0"/>
              <w:jc w:val="center"/>
            </w:pPr>
            <w:r>
              <w:rPr>
                <w:sz w:val="20"/>
              </w:rPr>
              <w:t xml:space="preserve">2019 год</w:t>
            </w:r>
          </w:p>
        </w:tc>
        <w:tc>
          <w:tcPr>
            <w:tcW w:w="1276" w:type="dxa"/>
          </w:tcPr>
          <w:p>
            <w:pPr>
              <w:pStyle w:val="0"/>
              <w:jc w:val="center"/>
            </w:pPr>
            <w:r>
              <w:rPr>
                <w:sz w:val="20"/>
              </w:rPr>
              <w:t xml:space="preserve">2020 год</w:t>
            </w:r>
          </w:p>
        </w:tc>
        <w:tc>
          <w:tcPr>
            <w:tcW w:w="1134" w:type="dxa"/>
          </w:tcPr>
          <w:p>
            <w:pPr>
              <w:pStyle w:val="0"/>
              <w:jc w:val="center"/>
            </w:pPr>
            <w:r>
              <w:rPr>
                <w:sz w:val="20"/>
              </w:rPr>
              <w:t xml:space="preserve">Темп прироста/ убыли к 2019 году, %</w:t>
            </w:r>
          </w:p>
        </w:tc>
      </w:tr>
      <w:tr>
        <w:tc>
          <w:tcPr>
            <w:tcW w:w="4252" w:type="dxa"/>
          </w:tcPr>
          <w:p>
            <w:pPr>
              <w:pStyle w:val="0"/>
            </w:pPr>
            <w:r>
              <w:rPr>
                <w:sz w:val="20"/>
              </w:rPr>
              <w:t xml:space="preserve">Всего</w:t>
            </w:r>
          </w:p>
        </w:tc>
        <w:tc>
          <w:tcPr>
            <w:tcW w:w="1077" w:type="dxa"/>
          </w:tcPr>
          <w:p>
            <w:pPr>
              <w:pStyle w:val="0"/>
            </w:pPr>
            <w:r>
              <w:rPr>
                <w:sz w:val="20"/>
              </w:rPr>
              <w:t xml:space="preserve">2613,7</w:t>
            </w:r>
          </w:p>
        </w:tc>
        <w:tc>
          <w:tcPr>
            <w:tcW w:w="1276" w:type="dxa"/>
          </w:tcPr>
          <w:p>
            <w:pPr>
              <w:pStyle w:val="0"/>
            </w:pPr>
            <w:r>
              <w:rPr>
                <w:sz w:val="20"/>
              </w:rPr>
              <w:t xml:space="preserve">2487,1</w:t>
            </w:r>
          </w:p>
        </w:tc>
        <w:tc>
          <w:tcPr>
            <w:tcW w:w="1276" w:type="dxa"/>
          </w:tcPr>
          <w:p>
            <w:pPr>
              <w:pStyle w:val="0"/>
            </w:pPr>
            <w:r>
              <w:rPr>
                <w:sz w:val="20"/>
              </w:rPr>
              <w:t xml:space="preserve">2089,3</w:t>
            </w:r>
          </w:p>
        </w:tc>
        <w:tc>
          <w:tcPr>
            <w:tcW w:w="1134" w:type="dxa"/>
          </w:tcPr>
          <w:p>
            <w:pPr>
              <w:pStyle w:val="0"/>
            </w:pPr>
            <w:r>
              <w:rPr>
                <w:sz w:val="20"/>
              </w:rPr>
              <w:t xml:space="preserve">-16,0</w:t>
            </w:r>
          </w:p>
        </w:tc>
      </w:tr>
      <w:tr>
        <w:tc>
          <w:tcPr>
            <w:tcW w:w="4252" w:type="dxa"/>
          </w:tcPr>
          <w:p>
            <w:pPr>
              <w:pStyle w:val="0"/>
            </w:pPr>
            <w:r>
              <w:rPr>
                <w:sz w:val="20"/>
              </w:rPr>
              <w:t xml:space="preserve">Инфекционные и паразитарные болезни</w:t>
            </w:r>
          </w:p>
        </w:tc>
        <w:tc>
          <w:tcPr>
            <w:tcW w:w="1077" w:type="dxa"/>
          </w:tcPr>
          <w:p>
            <w:pPr>
              <w:pStyle w:val="0"/>
            </w:pPr>
            <w:r>
              <w:rPr>
                <w:sz w:val="20"/>
              </w:rPr>
              <w:t xml:space="preserve">119,7</w:t>
            </w:r>
          </w:p>
        </w:tc>
        <w:tc>
          <w:tcPr>
            <w:tcW w:w="1276" w:type="dxa"/>
          </w:tcPr>
          <w:p>
            <w:pPr>
              <w:pStyle w:val="0"/>
            </w:pPr>
            <w:r>
              <w:rPr>
                <w:sz w:val="20"/>
              </w:rPr>
              <w:t xml:space="preserve">118,9</w:t>
            </w:r>
          </w:p>
        </w:tc>
        <w:tc>
          <w:tcPr>
            <w:tcW w:w="1276" w:type="dxa"/>
          </w:tcPr>
          <w:p>
            <w:pPr>
              <w:pStyle w:val="0"/>
            </w:pPr>
            <w:r>
              <w:rPr>
                <w:sz w:val="20"/>
              </w:rPr>
              <w:t xml:space="preserve">76,2</w:t>
            </w:r>
          </w:p>
        </w:tc>
        <w:tc>
          <w:tcPr>
            <w:tcW w:w="1134" w:type="dxa"/>
          </w:tcPr>
          <w:p>
            <w:pPr>
              <w:pStyle w:val="0"/>
            </w:pPr>
            <w:r>
              <w:rPr>
                <w:sz w:val="20"/>
              </w:rPr>
              <w:t xml:space="preserve">-35,9</w:t>
            </w:r>
          </w:p>
        </w:tc>
      </w:tr>
      <w:tr>
        <w:tc>
          <w:tcPr>
            <w:tcW w:w="4252" w:type="dxa"/>
          </w:tcPr>
          <w:p>
            <w:pPr>
              <w:pStyle w:val="0"/>
            </w:pPr>
            <w:r>
              <w:rPr>
                <w:sz w:val="20"/>
              </w:rPr>
              <w:t xml:space="preserve">Новообразования</w:t>
            </w:r>
          </w:p>
        </w:tc>
        <w:tc>
          <w:tcPr>
            <w:tcW w:w="1077" w:type="dxa"/>
          </w:tcPr>
          <w:p>
            <w:pPr>
              <w:pStyle w:val="0"/>
            </w:pPr>
            <w:r>
              <w:rPr>
                <w:sz w:val="20"/>
              </w:rPr>
              <w:t xml:space="preserve">10,6</w:t>
            </w:r>
          </w:p>
        </w:tc>
        <w:tc>
          <w:tcPr>
            <w:tcW w:w="1276" w:type="dxa"/>
          </w:tcPr>
          <w:p>
            <w:pPr>
              <w:pStyle w:val="0"/>
            </w:pPr>
            <w:r>
              <w:rPr>
                <w:sz w:val="20"/>
              </w:rPr>
              <w:t xml:space="preserve">10,4</w:t>
            </w:r>
          </w:p>
        </w:tc>
        <w:tc>
          <w:tcPr>
            <w:tcW w:w="1276" w:type="dxa"/>
          </w:tcPr>
          <w:p>
            <w:pPr>
              <w:pStyle w:val="0"/>
            </w:pPr>
            <w:r>
              <w:rPr>
                <w:sz w:val="20"/>
              </w:rPr>
              <w:t xml:space="preserve">7,9</w:t>
            </w:r>
          </w:p>
        </w:tc>
        <w:tc>
          <w:tcPr>
            <w:tcW w:w="1134" w:type="dxa"/>
          </w:tcPr>
          <w:p>
            <w:pPr>
              <w:pStyle w:val="0"/>
            </w:pPr>
            <w:r>
              <w:rPr>
                <w:sz w:val="20"/>
              </w:rPr>
              <w:t xml:space="preserve">-24,0</w:t>
            </w:r>
          </w:p>
        </w:tc>
      </w:tr>
      <w:tr>
        <w:tc>
          <w:tcPr>
            <w:tcW w:w="4252" w:type="dxa"/>
          </w:tcPr>
          <w:p>
            <w:pPr>
              <w:pStyle w:val="0"/>
            </w:pPr>
            <w:r>
              <w:rPr>
                <w:sz w:val="20"/>
              </w:rPr>
              <w:t xml:space="preserve">Болезни крови и кроветворных органов и отдельные нарушения, вовлекающие иммунный механизм</w:t>
            </w:r>
          </w:p>
        </w:tc>
        <w:tc>
          <w:tcPr>
            <w:tcW w:w="1077" w:type="dxa"/>
          </w:tcPr>
          <w:p>
            <w:pPr>
              <w:pStyle w:val="0"/>
            </w:pPr>
            <w:r>
              <w:rPr>
                <w:sz w:val="20"/>
              </w:rPr>
              <w:t xml:space="preserve">14,9</w:t>
            </w:r>
          </w:p>
        </w:tc>
        <w:tc>
          <w:tcPr>
            <w:tcW w:w="1276" w:type="dxa"/>
          </w:tcPr>
          <w:p>
            <w:pPr>
              <w:pStyle w:val="0"/>
            </w:pPr>
            <w:r>
              <w:rPr>
                <w:sz w:val="20"/>
              </w:rPr>
              <w:t xml:space="preserve">13,3</w:t>
            </w:r>
          </w:p>
        </w:tc>
        <w:tc>
          <w:tcPr>
            <w:tcW w:w="1276" w:type="dxa"/>
          </w:tcPr>
          <w:p>
            <w:pPr>
              <w:pStyle w:val="0"/>
            </w:pPr>
            <w:r>
              <w:rPr>
                <w:sz w:val="20"/>
              </w:rPr>
              <w:t xml:space="preserve">17,5</w:t>
            </w:r>
          </w:p>
        </w:tc>
        <w:tc>
          <w:tcPr>
            <w:tcW w:w="1134" w:type="dxa"/>
          </w:tcPr>
          <w:p>
            <w:pPr>
              <w:pStyle w:val="0"/>
            </w:pPr>
            <w:r>
              <w:rPr>
                <w:sz w:val="20"/>
              </w:rPr>
              <w:t xml:space="preserve">31,6</w:t>
            </w:r>
          </w:p>
        </w:tc>
      </w:tr>
      <w:tr>
        <w:tc>
          <w:tcPr>
            <w:tcW w:w="4252" w:type="dxa"/>
          </w:tcPr>
          <w:p>
            <w:pPr>
              <w:pStyle w:val="0"/>
            </w:pPr>
            <w:r>
              <w:rPr>
                <w:sz w:val="20"/>
              </w:rPr>
              <w:t xml:space="preserve">Болезни эндокринной системы, расстройства питания, нарушение обмена веществ</w:t>
            </w:r>
          </w:p>
        </w:tc>
        <w:tc>
          <w:tcPr>
            <w:tcW w:w="1077" w:type="dxa"/>
          </w:tcPr>
          <w:p>
            <w:pPr>
              <w:pStyle w:val="0"/>
            </w:pPr>
            <w:r>
              <w:rPr>
                <w:sz w:val="20"/>
              </w:rPr>
              <w:t xml:space="preserve">39,2</w:t>
            </w:r>
          </w:p>
        </w:tc>
        <w:tc>
          <w:tcPr>
            <w:tcW w:w="1276" w:type="dxa"/>
          </w:tcPr>
          <w:p>
            <w:pPr>
              <w:pStyle w:val="0"/>
            </w:pPr>
            <w:r>
              <w:rPr>
                <w:sz w:val="20"/>
              </w:rPr>
              <w:t xml:space="preserve">40,6</w:t>
            </w:r>
          </w:p>
        </w:tc>
        <w:tc>
          <w:tcPr>
            <w:tcW w:w="1276" w:type="dxa"/>
          </w:tcPr>
          <w:p>
            <w:pPr>
              <w:pStyle w:val="0"/>
            </w:pPr>
            <w:r>
              <w:rPr>
                <w:sz w:val="20"/>
              </w:rPr>
              <w:t xml:space="preserve">35,7</w:t>
            </w:r>
          </w:p>
        </w:tc>
        <w:tc>
          <w:tcPr>
            <w:tcW w:w="1134" w:type="dxa"/>
          </w:tcPr>
          <w:p>
            <w:pPr>
              <w:pStyle w:val="0"/>
            </w:pPr>
            <w:r>
              <w:rPr>
                <w:sz w:val="20"/>
              </w:rPr>
              <w:t xml:space="preserve">-12,1</w:t>
            </w:r>
          </w:p>
        </w:tc>
      </w:tr>
      <w:tr>
        <w:tc>
          <w:tcPr>
            <w:tcW w:w="4252" w:type="dxa"/>
          </w:tcPr>
          <w:p>
            <w:pPr>
              <w:pStyle w:val="0"/>
            </w:pPr>
            <w:r>
              <w:rPr>
                <w:sz w:val="20"/>
              </w:rPr>
              <w:t xml:space="preserve">Психические расстройства и расстройства поведения</w:t>
            </w:r>
          </w:p>
        </w:tc>
        <w:tc>
          <w:tcPr>
            <w:tcW w:w="1077" w:type="dxa"/>
          </w:tcPr>
          <w:p>
            <w:pPr>
              <w:pStyle w:val="0"/>
            </w:pPr>
            <w:r>
              <w:rPr>
                <w:sz w:val="20"/>
              </w:rPr>
              <w:t xml:space="preserve">18,1</w:t>
            </w:r>
          </w:p>
        </w:tc>
        <w:tc>
          <w:tcPr>
            <w:tcW w:w="1276" w:type="dxa"/>
          </w:tcPr>
          <w:p>
            <w:pPr>
              <w:pStyle w:val="0"/>
            </w:pPr>
            <w:r>
              <w:rPr>
                <w:sz w:val="20"/>
              </w:rPr>
              <w:t xml:space="preserve">18,9</w:t>
            </w:r>
          </w:p>
        </w:tc>
        <w:tc>
          <w:tcPr>
            <w:tcW w:w="1276" w:type="dxa"/>
          </w:tcPr>
          <w:p>
            <w:pPr>
              <w:pStyle w:val="0"/>
            </w:pPr>
            <w:r>
              <w:rPr>
                <w:sz w:val="20"/>
              </w:rPr>
              <w:t xml:space="preserve">18,3</w:t>
            </w:r>
          </w:p>
        </w:tc>
        <w:tc>
          <w:tcPr>
            <w:tcW w:w="1134" w:type="dxa"/>
          </w:tcPr>
          <w:p>
            <w:pPr>
              <w:pStyle w:val="0"/>
            </w:pPr>
            <w:r>
              <w:rPr>
                <w:sz w:val="20"/>
              </w:rPr>
              <w:t xml:space="preserve">-3,2</w:t>
            </w:r>
          </w:p>
        </w:tc>
      </w:tr>
      <w:tr>
        <w:tc>
          <w:tcPr>
            <w:tcW w:w="4252" w:type="dxa"/>
          </w:tcPr>
          <w:p>
            <w:pPr>
              <w:pStyle w:val="0"/>
            </w:pPr>
            <w:r>
              <w:rPr>
                <w:sz w:val="20"/>
              </w:rPr>
              <w:t xml:space="preserve">Болезни нервной системы</w:t>
            </w:r>
          </w:p>
        </w:tc>
        <w:tc>
          <w:tcPr>
            <w:tcW w:w="1077" w:type="dxa"/>
          </w:tcPr>
          <w:p>
            <w:pPr>
              <w:pStyle w:val="0"/>
            </w:pPr>
            <w:r>
              <w:rPr>
                <w:sz w:val="20"/>
              </w:rPr>
              <w:t xml:space="preserve">115,5</w:t>
            </w:r>
          </w:p>
        </w:tc>
        <w:tc>
          <w:tcPr>
            <w:tcW w:w="1276" w:type="dxa"/>
          </w:tcPr>
          <w:p>
            <w:pPr>
              <w:pStyle w:val="0"/>
            </w:pPr>
            <w:r>
              <w:rPr>
                <w:sz w:val="20"/>
              </w:rPr>
              <w:t xml:space="preserve">119,9</w:t>
            </w:r>
          </w:p>
        </w:tc>
        <w:tc>
          <w:tcPr>
            <w:tcW w:w="1276" w:type="dxa"/>
          </w:tcPr>
          <w:p>
            <w:pPr>
              <w:pStyle w:val="0"/>
            </w:pPr>
            <w:r>
              <w:rPr>
                <w:sz w:val="20"/>
              </w:rPr>
              <w:t xml:space="preserve">93,1</w:t>
            </w:r>
          </w:p>
        </w:tc>
        <w:tc>
          <w:tcPr>
            <w:tcW w:w="1134" w:type="dxa"/>
          </w:tcPr>
          <w:p>
            <w:pPr>
              <w:pStyle w:val="0"/>
            </w:pPr>
            <w:r>
              <w:rPr>
                <w:sz w:val="20"/>
              </w:rPr>
              <w:t xml:space="preserve">-22,4</w:t>
            </w:r>
          </w:p>
        </w:tc>
      </w:tr>
      <w:tr>
        <w:tc>
          <w:tcPr>
            <w:tcW w:w="4252" w:type="dxa"/>
          </w:tcPr>
          <w:p>
            <w:pPr>
              <w:pStyle w:val="0"/>
            </w:pPr>
            <w:r>
              <w:rPr>
                <w:sz w:val="20"/>
              </w:rPr>
              <w:t xml:space="preserve">Болезни глаза и его придаточного аппарата</w:t>
            </w:r>
          </w:p>
        </w:tc>
        <w:tc>
          <w:tcPr>
            <w:tcW w:w="1077" w:type="dxa"/>
          </w:tcPr>
          <w:p>
            <w:pPr>
              <w:pStyle w:val="0"/>
            </w:pPr>
            <w:r>
              <w:rPr>
                <w:sz w:val="20"/>
              </w:rPr>
              <w:t xml:space="preserve">160,5</w:t>
            </w:r>
          </w:p>
        </w:tc>
        <w:tc>
          <w:tcPr>
            <w:tcW w:w="1276" w:type="dxa"/>
          </w:tcPr>
          <w:p>
            <w:pPr>
              <w:pStyle w:val="0"/>
            </w:pPr>
            <w:r>
              <w:rPr>
                <w:sz w:val="20"/>
              </w:rPr>
              <w:t xml:space="preserve">141</w:t>
            </w:r>
          </w:p>
        </w:tc>
        <w:tc>
          <w:tcPr>
            <w:tcW w:w="1276" w:type="dxa"/>
          </w:tcPr>
          <w:p>
            <w:pPr>
              <w:pStyle w:val="0"/>
            </w:pPr>
            <w:r>
              <w:rPr>
                <w:sz w:val="20"/>
              </w:rPr>
              <w:t xml:space="preserve">107,3</w:t>
            </w:r>
          </w:p>
        </w:tc>
        <w:tc>
          <w:tcPr>
            <w:tcW w:w="1134" w:type="dxa"/>
          </w:tcPr>
          <w:p>
            <w:pPr>
              <w:pStyle w:val="0"/>
            </w:pPr>
            <w:r>
              <w:rPr>
                <w:sz w:val="20"/>
              </w:rPr>
              <w:t xml:space="preserve">-23,9</w:t>
            </w:r>
          </w:p>
        </w:tc>
      </w:tr>
      <w:tr>
        <w:tc>
          <w:tcPr>
            <w:tcW w:w="4252" w:type="dxa"/>
          </w:tcPr>
          <w:p>
            <w:pPr>
              <w:pStyle w:val="0"/>
            </w:pPr>
            <w:r>
              <w:rPr>
                <w:sz w:val="20"/>
              </w:rPr>
              <w:t xml:space="preserve">Болезни уха и сосцевидного отростка</w:t>
            </w:r>
          </w:p>
        </w:tc>
        <w:tc>
          <w:tcPr>
            <w:tcW w:w="1077" w:type="dxa"/>
          </w:tcPr>
          <w:p>
            <w:pPr>
              <w:pStyle w:val="0"/>
            </w:pPr>
            <w:r>
              <w:rPr>
                <w:sz w:val="20"/>
              </w:rPr>
              <w:t xml:space="preserve">52,9</w:t>
            </w:r>
          </w:p>
        </w:tc>
        <w:tc>
          <w:tcPr>
            <w:tcW w:w="1276" w:type="dxa"/>
          </w:tcPr>
          <w:p>
            <w:pPr>
              <w:pStyle w:val="0"/>
            </w:pPr>
            <w:r>
              <w:rPr>
                <w:sz w:val="20"/>
              </w:rPr>
              <w:t xml:space="preserve">49,5</w:t>
            </w:r>
          </w:p>
        </w:tc>
        <w:tc>
          <w:tcPr>
            <w:tcW w:w="1276" w:type="dxa"/>
          </w:tcPr>
          <w:p>
            <w:pPr>
              <w:pStyle w:val="0"/>
            </w:pPr>
            <w:r>
              <w:rPr>
                <w:sz w:val="20"/>
              </w:rPr>
              <w:t xml:space="preserve">37,6</w:t>
            </w:r>
          </w:p>
        </w:tc>
        <w:tc>
          <w:tcPr>
            <w:tcW w:w="1134" w:type="dxa"/>
          </w:tcPr>
          <w:p>
            <w:pPr>
              <w:pStyle w:val="0"/>
            </w:pPr>
            <w:r>
              <w:rPr>
                <w:sz w:val="20"/>
              </w:rPr>
              <w:t xml:space="preserve">-24,0</w:t>
            </w:r>
          </w:p>
        </w:tc>
      </w:tr>
      <w:tr>
        <w:tc>
          <w:tcPr>
            <w:tcW w:w="4252" w:type="dxa"/>
          </w:tcPr>
          <w:p>
            <w:pPr>
              <w:pStyle w:val="0"/>
            </w:pPr>
            <w:r>
              <w:rPr>
                <w:sz w:val="20"/>
              </w:rPr>
              <w:t xml:space="preserve">Болезни системы кровообращения</w:t>
            </w:r>
          </w:p>
        </w:tc>
        <w:tc>
          <w:tcPr>
            <w:tcW w:w="1077" w:type="dxa"/>
          </w:tcPr>
          <w:p>
            <w:pPr>
              <w:pStyle w:val="0"/>
            </w:pPr>
            <w:r>
              <w:rPr>
                <w:sz w:val="20"/>
              </w:rPr>
              <w:t xml:space="preserve">16,9</w:t>
            </w:r>
          </w:p>
        </w:tc>
        <w:tc>
          <w:tcPr>
            <w:tcW w:w="1276" w:type="dxa"/>
          </w:tcPr>
          <w:p>
            <w:pPr>
              <w:pStyle w:val="0"/>
            </w:pPr>
            <w:r>
              <w:rPr>
                <w:sz w:val="20"/>
              </w:rPr>
              <w:t xml:space="preserve">15,5</w:t>
            </w:r>
          </w:p>
        </w:tc>
        <w:tc>
          <w:tcPr>
            <w:tcW w:w="1276" w:type="dxa"/>
          </w:tcPr>
          <w:p>
            <w:pPr>
              <w:pStyle w:val="0"/>
            </w:pPr>
            <w:r>
              <w:rPr>
                <w:sz w:val="20"/>
              </w:rPr>
              <w:t xml:space="preserve">13,2</w:t>
            </w:r>
          </w:p>
        </w:tc>
        <w:tc>
          <w:tcPr>
            <w:tcW w:w="1134" w:type="dxa"/>
          </w:tcPr>
          <w:p>
            <w:pPr>
              <w:pStyle w:val="0"/>
            </w:pPr>
            <w:r>
              <w:rPr>
                <w:sz w:val="20"/>
              </w:rPr>
              <w:t xml:space="preserve">-14,8</w:t>
            </w:r>
          </w:p>
        </w:tc>
      </w:tr>
      <w:tr>
        <w:tc>
          <w:tcPr>
            <w:tcW w:w="4252" w:type="dxa"/>
          </w:tcPr>
          <w:p>
            <w:pPr>
              <w:pStyle w:val="0"/>
            </w:pPr>
            <w:r>
              <w:rPr>
                <w:sz w:val="20"/>
              </w:rPr>
              <w:t xml:space="preserve">Болезни органов дыхания (включая грипп, ОРВИ)</w:t>
            </w:r>
          </w:p>
        </w:tc>
        <w:tc>
          <w:tcPr>
            <w:tcW w:w="1077" w:type="dxa"/>
          </w:tcPr>
          <w:p>
            <w:pPr>
              <w:pStyle w:val="0"/>
            </w:pPr>
            <w:r>
              <w:rPr>
                <w:sz w:val="20"/>
              </w:rPr>
              <w:t xml:space="preserve">1482,1</w:t>
            </w:r>
          </w:p>
        </w:tc>
        <w:tc>
          <w:tcPr>
            <w:tcW w:w="1276" w:type="dxa"/>
          </w:tcPr>
          <w:p>
            <w:pPr>
              <w:pStyle w:val="0"/>
            </w:pPr>
            <w:r>
              <w:rPr>
                <w:sz w:val="20"/>
              </w:rPr>
              <w:t xml:space="preserve">1403,5</w:t>
            </w:r>
          </w:p>
        </w:tc>
        <w:tc>
          <w:tcPr>
            <w:tcW w:w="1276" w:type="dxa"/>
          </w:tcPr>
          <w:p>
            <w:pPr>
              <w:pStyle w:val="0"/>
            </w:pPr>
            <w:r>
              <w:rPr>
                <w:sz w:val="20"/>
              </w:rPr>
              <w:t xml:space="preserve">1215,2</w:t>
            </w:r>
          </w:p>
        </w:tc>
        <w:tc>
          <w:tcPr>
            <w:tcW w:w="1134" w:type="dxa"/>
          </w:tcPr>
          <w:p>
            <w:pPr>
              <w:pStyle w:val="0"/>
            </w:pPr>
            <w:r>
              <w:rPr>
                <w:sz w:val="20"/>
              </w:rPr>
              <w:t xml:space="preserve">-13,4</w:t>
            </w:r>
          </w:p>
        </w:tc>
      </w:tr>
      <w:tr>
        <w:tc>
          <w:tcPr>
            <w:tcW w:w="4252" w:type="dxa"/>
          </w:tcPr>
          <w:p>
            <w:pPr>
              <w:pStyle w:val="0"/>
            </w:pPr>
            <w:r>
              <w:rPr>
                <w:sz w:val="20"/>
              </w:rPr>
              <w:t xml:space="preserve">Болезни органов пищеварения</w:t>
            </w:r>
          </w:p>
        </w:tc>
        <w:tc>
          <w:tcPr>
            <w:tcW w:w="1077" w:type="dxa"/>
          </w:tcPr>
          <w:p>
            <w:pPr>
              <w:pStyle w:val="0"/>
            </w:pPr>
            <w:r>
              <w:rPr>
                <w:sz w:val="20"/>
              </w:rPr>
              <w:t xml:space="preserve">137,1</w:t>
            </w:r>
          </w:p>
        </w:tc>
        <w:tc>
          <w:tcPr>
            <w:tcW w:w="1276" w:type="dxa"/>
          </w:tcPr>
          <w:p>
            <w:pPr>
              <w:pStyle w:val="0"/>
            </w:pPr>
            <w:r>
              <w:rPr>
                <w:sz w:val="20"/>
              </w:rPr>
              <w:t xml:space="preserve">134,3</w:t>
            </w:r>
          </w:p>
        </w:tc>
        <w:tc>
          <w:tcPr>
            <w:tcW w:w="1276" w:type="dxa"/>
          </w:tcPr>
          <w:p>
            <w:pPr>
              <w:pStyle w:val="0"/>
            </w:pPr>
            <w:r>
              <w:rPr>
                <w:sz w:val="20"/>
              </w:rPr>
              <w:t xml:space="preserve">99,4</w:t>
            </w:r>
          </w:p>
        </w:tc>
        <w:tc>
          <w:tcPr>
            <w:tcW w:w="1134" w:type="dxa"/>
          </w:tcPr>
          <w:p>
            <w:pPr>
              <w:pStyle w:val="0"/>
            </w:pPr>
            <w:r>
              <w:rPr>
                <w:sz w:val="20"/>
              </w:rPr>
              <w:t xml:space="preserve">-26,0</w:t>
            </w:r>
          </w:p>
        </w:tc>
      </w:tr>
      <w:tr>
        <w:tc>
          <w:tcPr>
            <w:tcW w:w="4252" w:type="dxa"/>
          </w:tcPr>
          <w:p>
            <w:pPr>
              <w:pStyle w:val="0"/>
            </w:pPr>
            <w:r>
              <w:rPr>
                <w:sz w:val="20"/>
              </w:rPr>
              <w:t xml:space="preserve">Болезни кожи и подкожной клетчатки</w:t>
            </w:r>
          </w:p>
        </w:tc>
        <w:tc>
          <w:tcPr>
            <w:tcW w:w="1077" w:type="dxa"/>
          </w:tcPr>
          <w:p>
            <w:pPr>
              <w:pStyle w:val="0"/>
            </w:pPr>
            <w:r>
              <w:rPr>
                <w:sz w:val="20"/>
              </w:rPr>
              <w:t xml:space="preserve">117,8</w:t>
            </w:r>
          </w:p>
        </w:tc>
        <w:tc>
          <w:tcPr>
            <w:tcW w:w="1276" w:type="dxa"/>
          </w:tcPr>
          <w:p>
            <w:pPr>
              <w:pStyle w:val="0"/>
            </w:pPr>
            <w:r>
              <w:rPr>
                <w:sz w:val="20"/>
              </w:rPr>
              <w:t xml:space="preserve">110,4</w:t>
            </w:r>
          </w:p>
        </w:tc>
        <w:tc>
          <w:tcPr>
            <w:tcW w:w="1276" w:type="dxa"/>
          </w:tcPr>
          <w:p>
            <w:pPr>
              <w:pStyle w:val="0"/>
            </w:pPr>
            <w:r>
              <w:rPr>
                <w:sz w:val="20"/>
              </w:rPr>
              <w:t xml:space="preserve">99,6</w:t>
            </w:r>
          </w:p>
        </w:tc>
        <w:tc>
          <w:tcPr>
            <w:tcW w:w="1134" w:type="dxa"/>
          </w:tcPr>
          <w:p>
            <w:pPr>
              <w:pStyle w:val="0"/>
            </w:pPr>
            <w:r>
              <w:rPr>
                <w:sz w:val="20"/>
              </w:rPr>
              <w:t xml:space="preserve">-9,8</w:t>
            </w:r>
          </w:p>
        </w:tc>
      </w:tr>
      <w:tr>
        <w:tc>
          <w:tcPr>
            <w:tcW w:w="4252" w:type="dxa"/>
          </w:tcPr>
          <w:p>
            <w:pPr>
              <w:pStyle w:val="0"/>
            </w:pPr>
            <w:r>
              <w:rPr>
                <w:sz w:val="20"/>
              </w:rPr>
              <w:t xml:space="preserve">Болезни костно-мышечной системы и соединительной ткани</w:t>
            </w:r>
          </w:p>
        </w:tc>
        <w:tc>
          <w:tcPr>
            <w:tcW w:w="1077" w:type="dxa"/>
          </w:tcPr>
          <w:p>
            <w:pPr>
              <w:pStyle w:val="0"/>
            </w:pPr>
            <w:r>
              <w:rPr>
                <w:sz w:val="20"/>
              </w:rPr>
              <w:t xml:space="preserve">77,6</w:t>
            </w:r>
          </w:p>
        </w:tc>
        <w:tc>
          <w:tcPr>
            <w:tcW w:w="1276" w:type="dxa"/>
          </w:tcPr>
          <w:p>
            <w:pPr>
              <w:pStyle w:val="0"/>
            </w:pPr>
            <w:r>
              <w:rPr>
                <w:sz w:val="20"/>
              </w:rPr>
              <w:t xml:space="preserve">69,2</w:t>
            </w:r>
          </w:p>
        </w:tc>
        <w:tc>
          <w:tcPr>
            <w:tcW w:w="1276" w:type="dxa"/>
          </w:tcPr>
          <w:p>
            <w:pPr>
              <w:pStyle w:val="0"/>
            </w:pPr>
            <w:r>
              <w:rPr>
                <w:sz w:val="20"/>
              </w:rPr>
              <w:t xml:space="preserve">60,2</w:t>
            </w:r>
          </w:p>
        </w:tc>
        <w:tc>
          <w:tcPr>
            <w:tcW w:w="1134" w:type="dxa"/>
          </w:tcPr>
          <w:p>
            <w:pPr>
              <w:pStyle w:val="0"/>
            </w:pPr>
            <w:r>
              <w:rPr>
                <w:sz w:val="20"/>
              </w:rPr>
              <w:t xml:space="preserve">-13,0</w:t>
            </w:r>
          </w:p>
        </w:tc>
      </w:tr>
      <w:tr>
        <w:tc>
          <w:tcPr>
            <w:tcW w:w="4252" w:type="dxa"/>
          </w:tcPr>
          <w:p>
            <w:pPr>
              <w:pStyle w:val="0"/>
            </w:pPr>
            <w:r>
              <w:rPr>
                <w:sz w:val="20"/>
              </w:rPr>
              <w:t xml:space="preserve">Болезни мочеполовой системы</w:t>
            </w:r>
          </w:p>
        </w:tc>
        <w:tc>
          <w:tcPr>
            <w:tcW w:w="1077" w:type="dxa"/>
          </w:tcPr>
          <w:p>
            <w:pPr>
              <w:pStyle w:val="0"/>
            </w:pPr>
            <w:r>
              <w:rPr>
                <w:sz w:val="20"/>
              </w:rPr>
              <w:t xml:space="preserve">62,5</w:t>
            </w:r>
          </w:p>
        </w:tc>
        <w:tc>
          <w:tcPr>
            <w:tcW w:w="1276" w:type="dxa"/>
          </w:tcPr>
          <w:p>
            <w:pPr>
              <w:pStyle w:val="0"/>
            </w:pPr>
            <w:r>
              <w:rPr>
                <w:sz w:val="20"/>
              </w:rPr>
              <w:t xml:space="preserve">54,2</w:t>
            </w:r>
          </w:p>
        </w:tc>
        <w:tc>
          <w:tcPr>
            <w:tcW w:w="1276" w:type="dxa"/>
          </w:tcPr>
          <w:p>
            <w:pPr>
              <w:pStyle w:val="0"/>
            </w:pPr>
            <w:r>
              <w:rPr>
                <w:sz w:val="20"/>
              </w:rPr>
              <w:t xml:space="preserve">42,6</w:t>
            </w:r>
          </w:p>
        </w:tc>
        <w:tc>
          <w:tcPr>
            <w:tcW w:w="1134" w:type="dxa"/>
          </w:tcPr>
          <w:p>
            <w:pPr>
              <w:pStyle w:val="0"/>
            </w:pPr>
            <w:r>
              <w:rPr>
                <w:sz w:val="20"/>
              </w:rPr>
              <w:t xml:space="preserve">-21,4</w:t>
            </w:r>
          </w:p>
        </w:tc>
      </w:tr>
      <w:tr>
        <w:tc>
          <w:tcPr>
            <w:tcW w:w="4252" w:type="dxa"/>
          </w:tcPr>
          <w:p>
            <w:pPr>
              <w:pStyle w:val="0"/>
            </w:pPr>
            <w:r>
              <w:rPr>
                <w:sz w:val="20"/>
              </w:rPr>
              <w:t xml:space="preserve">Врожденные аномалии (пороки развития), деформации и хромосомные нарушения</w:t>
            </w:r>
          </w:p>
        </w:tc>
        <w:tc>
          <w:tcPr>
            <w:tcW w:w="1077" w:type="dxa"/>
          </w:tcPr>
          <w:p>
            <w:pPr>
              <w:pStyle w:val="0"/>
            </w:pPr>
            <w:r>
              <w:rPr>
                <w:sz w:val="20"/>
              </w:rPr>
              <w:t xml:space="preserve">3,6</w:t>
            </w:r>
          </w:p>
        </w:tc>
        <w:tc>
          <w:tcPr>
            <w:tcW w:w="1276" w:type="dxa"/>
          </w:tcPr>
          <w:p>
            <w:pPr>
              <w:pStyle w:val="0"/>
            </w:pPr>
            <w:r>
              <w:rPr>
                <w:sz w:val="20"/>
              </w:rPr>
              <w:t xml:space="preserve">3,6</w:t>
            </w:r>
          </w:p>
        </w:tc>
        <w:tc>
          <w:tcPr>
            <w:tcW w:w="1276" w:type="dxa"/>
          </w:tcPr>
          <w:p>
            <w:pPr>
              <w:pStyle w:val="0"/>
            </w:pPr>
            <w:r>
              <w:rPr>
                <w:sz w:val="20"/>
              </w:rPr>
              <w:t xml:space="preserve">3,4</w:t>
            </w:r>
          </w:p>
        </w:tc>
        <w:tc>
          <w:tcPr>
            <w:tcW w:w="1134" w:type="dxa"/>
          </w:tcPr>
          <w:p>
            <w:pPr>
              <w:pStyle w:val="0"/>
            </w:pPr>
            <w:r>
              <w:rPr>
                <w:sz w:val="20"/>
              </w:rPr>
              <w:t xml:space="preserve">-5,6</w:t>
            </w:r>
          </w:p>
        </w:tc>
      </w:tr>
      <w:tr>
        <w:tc>
          <w:tcPr>
            <w:tcW w:w="4252" w:type="dxa"/>
          </w:tcPr>
          <w:p>
            <w:pPr>
              <w:pStyle w:val="0"/>
            </w:pPr>
            <w:r>
              <w:rPr>
                <w:sz w:val="20"/>
              </w:rPr>
              <w:t xml:space="preserve">Травмы, отравления и некоторые другие последствия воздействия внешних причин</w:t>
            </w:r>
          </w:p>
        </w:tc>
        <w:tc>
          <w:tcPr>
            <w:tcW w:w="1077" w:type="dxa"/>
          </w:tcPr>
          <w:p>
            <w:pPr>
              <w:pStyle w:val="0"/>
            </w:pPr>
            <w:r>
              <w:rPr>
                <w:sz w:val="20"/>
              </w:rPr>
              <w:t xml:space="preserve">120,7</w:t>
            </w:r>
          </w:p>
        </w:tc>
        <w:tc>
          <w:tcPr>
            <w:tcW w:w="1276" w:type="dxa"/>
          </w:tcPr>
          <w:p>
            <w:pPr>
              <w:pStyle w:val="0"/>
            </w:pPr>
            <w:r>
              <w:rPr>
                <w:sz w:val="20"/>
              </w:rPr>
              <w:t xml:space="preserve">129,3</w:t>
            </w:r>
          </w:p>
        </w:tc>
        <w:tc>
          <w:tcPr>
            <w:tcW w:w="1276" w:type="dxa"/>
          </w:tcPr>
          <w:p>
            <w:pPr>
              <w:pStyle w:val="0"/>
            </w:pPr>
            <w:r>
              <w:rPr>
                <w:sz w:val="20"/>
              </w:rPr>
              <w:t xml:space="preserve">104,2</w:t>
            </w:r>
          </w:p>
        </w:tc>
        <w:tc>
          <w:tcPr>
            <w:tcW w:w="1134" w:type="dxa"/>
          </w:tcPr>
          <w:p>
            <w:pPr>
              <w:pStyle w:val="0"/>
            </w:pPr>
            <w:r>
              <w:rPr>
                <w:sz w:val="20"/>
              </w:rPr>
              <w:t xml:space="preserve">-19,4</w:t>
            </w:r>
          </w:p>
        </w:tc>
      </w:tr>
      <w:tr>
        <w:tc>
          <w:tcPr>
            <w:tcW w:w="4252" w:type="dxa"/>
          </w:tcPr>
          <w:p>
            <w:pPr>
              <w:pStyle w:val="0"/>
            </w:pPr>
            <w:r>
              <w:rPr>
                <w:sz w:val="20"/>
              </w:rPr>
              <w:t xml:space="preserve">Новая коронавирусная инфекция, вызванная COVID-19</w:t>
            </w:r>
          </w:p>
        </w:tc>
        <w:tc>
          <w:tcPr>
            <w:tcW w:w="1077" w:type="dxa"/>
          </w:tcPr>
          <w:p>
            <w:pPr>
              <w:pStyle w:val="0"/>
            </w:pPr>
            <w:r>
              <w:rPr>
                <w:sz w:val="20"/>
              </w:rPr>
              <w:t xml:space="preserve">0</w:t>
            </w:r>
          </w:p>
        </w:tc>
        <w:tc>
          <w:tcPr>
            <w:tcW w:w="1276" w:type="dxa"/>
          </w:tcPr>
          <w:p>
            <w:pPr>
              <w:pStyle w:val="0"/>
            </w:pPr>
            <w:r>
              <w:rPr>
                <w:sz w:val="20"/>
              </w:rPr>
              <w:t xml:space="preserve">0</w:t>
            </w:r>
          </w:p>
        </w:tc>
        <w:tc>
          <w:tcPr>
            <w:tcW w:w="1276" w:type="dxa"/>
          </w:tcPr>
          <w:p>
            <w:pPr>
              <w:pStyle w:val="0"/>
            </w:pPr>
            <w:r>
              <w:rPr>
                <w:sz w:val="20"/>
              </w:rPr>
              <w:t xml:space="preserve">15,9</w:t>
            </w:r>
          </w:p>
        </w:tc>
        <w:tc>
          <w:tcPr>
            <w:tcW w:w="1134" w:type="dxa"/>
          </w:tcPr>
          <w:p>
            <w:pPr>
              <w:pStyle w:val="0"/>
            </w:pPr>
            <w:r>
              <w:rPr>
                <w:sz w:val="20"/>
              </w:rPr>
              <w:t xml:space="preserve">0</w:t>
            </w:r>
          </w:p>
        </w:tc>
      </w:tr>
    </w:tbl>
    <w:p>
      <w:pPr>
        <w:pStyle w:val="0"/>
        <w:ind w:firstLine="540"/>
        <w:jc w:val="both"/>
      </w:pPr>
      <w:r>
        <w:rPr>
          <w:sz w:val="20"/>
        </w:rPr>
      </w:r>
    </w:p>
    <w:p>
      <w:pPr>
        <w:pStyle w:val="0"/>
        <w:ind w:firstLine="540"/>
        <w:jc w:val="both"/>
      </w:pPr>
      <w:r>
        <w:rPr>
          <w:sz w:val="20"/>
        </w:rPr>
        <w:t xml:space="preserve">Особое отношение в 2020 году уделено регистрации редких заболеваний, требующих льготного обеспечения лекарствами. Всех детей, в том числе с ремиссией, поставили на учет для постоянного наблюдения специалистами медицинских организаций. Этим объясняется прирост показателя зарегистрированных пациентов по этому классу на 31,6.</w:t>
      </w:r>
    </w:p>
    <w:p>
      <w:pPr>
        <w:pStyle w:val="0"/>
        <w:spacing w:before="200" w:line-rule="auto"/>
        <w:ind w:firstLine="540"/>
        <w:jc w:val="both"/>
      </w:pPr>
      <w:r>
        <w:rPr>
          <w:sz w:val="20"/>
        </w:rPr>
        <w:t xml:space="preserve">По остальным классам идет снижение показателей. У детей от 0 до 14 лет на 30% и более зарегистрировано снижение по инфекционным и паразитарным заболеваниям. На 20% и более снижение отмечается по новообразованиям, болезням нервной системы, глаза, уха и сосцевидного отростка, пищеварения и болезням мочеполовой системы. Менее 20% и более 10% имеют темп убыли такие заболевания как травмы и отравления, болезни костно-мышечной системы, болезни органов дыхания, кровообращения, заболевания эндокринной системы.</w:t>
      </w:r>
    </w:p>
    <w:p>
      <w:pPr>
        <w:pStyle w:val="0"/>
        <w:spacing w:before="200" w:line-rule="auto"/>
        <w:ind w:firstLine="540"/>
        <w:jc w:val="both"/>
      </w:pPr>
      <w:r>
        <w:rPr>
          <w:sz w:val="20"/>
        </w:rPr>
        <w:t xml:space="preserve">В структуре общей заболеваемости детей первое место занимают болезни органов дыхания (58%). Далее следуют болезни глаза и его придаточного аппарата (5,1%), травмы, отравления и некоторые другие последствия воздействия внешних причин (5%), болезни органов пищеварения (4,8%), болезни кожи и подкожной клетчатки (4,8%), болезни нервной системы (4%), инфекционные и паразитарные болезни (4,5%). По 2% - эндокринные заболевания, болезни уха и сосцевидного отростка, мочеполовой системы. По 1% и менее - заболевания новой коронавирусной инфекцией, вызванной COVID-19, болезни системы кровообращения, новообразования, психические расстройства и болезни крови, врожденные аномалии.</w:t>
      </w:r>
    </w:p>
    <w:p>
      <w:pPr>
        <w:pStyle w:val="0"/>
        <w:spacing w:before="200" w:line-rule="auto"/>
        <w:ind w:firstLine="540"/>
        <w:jc w:val="both"/>
      </w:pPr>
      <w:r>
        <w:rPr>
          <w:sz w:val="20"/>
        </w:rPr>
        <w:t xml:space="preserve">В автономном округе имеет место снижение первичной заболеваемости детского населения от 0 до 14 лет </w:t>
      </w:r>
      <w:hyperlink w:history="0" w:anchor="P314" w:tooltip="Первичная заболеваемость населения автономного округа, дети">
        <w:r>
          <w:rPr>
            <w:sz w:val="20"/>
            <w:color w:val="0000ff"/>
          </w:rPr>
          <w:t xml:space="preserve">(таблица 3)</w:t>
        </w:r>
      </w:hyperlink>
      <w:r>
        <w:rPr>
          <w:sz w:val="20"/>
        </w:rPr>
        <w:t xml:space="preserve"> на 15,0% (с 1887,2 на 1 тыс. населения в 2019 году до 1602,0 в 2020 году). По УрФО в 2019 году этот показатель составил 1824,9, по Российской Федерации - 1724,4 на 1 тыс. населения, за 2020 год нет данных.</w:t>
      </w:r>
    </w:p>
    <w:p>
      <w:pPr>
        <w:pStyle w:val="0"/>
        <w:ind w:firstLine="540"/>
        <w:jc w:val="both"/>
      </w:pPr>
      <w:r>
        <w:rPr>
          <w:sz w:val="20"/>
        </w:rPr>
      </w:r>
    </w:p>
    <w:p>
      <w:pPr>
        <w:pStyle w:val="0"/>
        <w:outlineLvl w:val="2"/>
        <w:jc w:val="right"/>
      </w:pPr>
      <w:r>
        <w:rPr>
          <w:sz w:val="20"/>
        </w:rPr>
        <w:t xml:space="preserve">Таблица 3</w:t>
      </w:r>
    </w:p>
    <w:p>
      <w:pPr>
        <w:pStyle w:val="0"/>
        <w:jc w:val="right"/>
      </w:pPr>
      <w:r>
        <w:rPr>
          <w:sz w:val="20"/>
        </w:rPr>
      </w:r>
    </w:p>
    <w:bookmarkStart w:id="314" w:name="P314"/>
    <w:bookmarkEnd w:id="314"/>
    <w:p>
      <w:pPr>
        <w:pStyle w:val="2"/>
        <w:jc w:val="center"/>
      </w:pPr>
      <w:r>
        <w:rPr>
          <w:sz w:val="20"/>
        </w:rPr>
        <w:t xml:space="preserve">Первичная заболеваемость населения автономного округа, дети</w:t>
      </w:r>
    </w:p>
    <w:p>
      <w:pPr>
        <w:pStyle w:val="2"/>
        <w:jc w:val="center"/>
      </w:pPr>
      <w:r>
        <w:rPr>
          <w:sz w:val="20"/>
        </w:rPr>
        <w:t xml:space="preserve">в возрасте 0 - 14 лет (на 1 тыс. человек)</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1417"/>
        <w:gridCol w:w="1276"/>
        <w:gridCol w:w="1276"/>
        <w:gridCol w:w="1382"/>
      </w:tblGrid>
      <w:tr>
        <w:tc>
          <w:tcPr>
            <w:tcW w:w="3628" w:type="dxa"/>
          </w:tcPr>
          <w:p>
            <w:pPr>
              <w:pStyle w:val="0"/>
              <w:jc w:val="center"/>
            </w:pPr>
            <w:r>
              <w:rPr>
                <w:sz w:val="20"/>
              </w:rPr>
              <w:t xml:space="preserve">Классы болезней МКБ-10</w:t>
            </w:r>
          </w:p>
        </w:tc>
        <w:tc>
          <w:tcPr>
            <w:tcW w:w="1417" w:type="dxa"/>
          </w:tcPr>
          <w:p>
            <w:pPr>
              <w:pStyle w:val="0"/>
              <w:jc w:val="center"/>
            </w:pPr>
            <w:r>
              <w:rPr>
                <w:sz w:val="20"/>
              </w:rPr>
              <w:t xml:space="preserve">2018 год</w:t>
            </w:r>
          </w:p>
        </w:tc>
        <w:tc>
          <w:tcPr>
            <w:tcW w:w="1276" w:type="dxa"/>
          </w:tcPr>
          <w:p>
            <w:pPr>
              <w:pStyle w:val="0"/>
              <w:jc w:val="center"/>
            </w:pPr>
            <w:r>
              <w:rPr>
                <w:sz w:val="20"/>
              </w:rPr>
              <w:t xml:space="preserve">2019 год</w:t>
            </w:r>
          </w:p>
        </w:tc>
        <w:tc>
          <w:tcPr>
            <w:tcW w:w="1276" w:type="dxa"/>
          </w:tcPr>
          <w:p>
            <w:pPr>
              <w:pStyle w:val="0"/>
              <w:jc w:val="center"/>
            </w:pPr>
            <w:r>
              <w:rPr>
                <w:sz w:val="20"/>
              </w:rPr>
              <w:t xml:space="preserve">2020 год</w:t>
            </w:r>
          </w:p>
        </w:tc>
        <w:tc>
          <w:tcPr>
            <w:tcW w:w="1382" w:type="dxa"/>
          </w:tcPr>
          <w:p>
            <w:pPr>
              <w:pStyle w:val="0"/>
              <w:jc w:val="center"/>
            </w:pPr>
            <w:r>
              <w:rPr>
                <w:sz w:val="20"/>
              </w:rPr>
              <w:t xml:space="preserve">Темп прироста/ убыли к 2019 году, %</w:t>
            </w:r>
          </w:p>
        </w:tc>
      </w:tr>
      <w:tr>
        <w:tc>
          <w:tcPr>
            <w:tcW w:w="3628" w:type="dxa"/>
          </w:tcPr>
          <w:p>
            <w:pPr>
              <w:pStyle w:val="0"/>
            </w:pPr>
            <w:r>
              <w:rPr>
                <w:sz w:val="20"/>
              </w:rPr>
              <w:t xml:space="preserve">Всего</w:t>
            </w:r>
          </w:p>
        </w:tc>
        <w:tc>
          <w:tcPr>
            <w:tcW w:w="1417" w:type="dxa"/>
          </w:tcPr>
          <w:p>
            <w:pPr>
              <w:pStyle w:val="0"/>
            </w:pPr>
            <w:r>
              <w:rPr>
                <w:sz w:val="20"/>
              </w:rPr>
              <w:t xml:space="preserve">2776,9</w:t>
            </w:r>
          </w:p>
        </w:tc>
        <w:tc>
          <w:tcPr>
            <w:tcW w:w="1276" w:type="dxa"/>
          </w:tcPr>
          <w:p>
            <w:pPr>
              <w:pStyle w:val="0"/>
            </w:pPr>
            <w:r>
              <w:rPr>
                <w:sz w:val="20"/>
              </w:rPr>
              <w:t xml:space="preserve">1887,2</w:t>
            </w:r>
          </w:p>
        </w:tc>
        <w:tc>
          <w:tcPr>
            <w:tcW w:w="1276" w:type="dxa"/>
          </w:tcPr>
          <w:p>
            <w:pPr>
              <w:pStyle w:val="0"/>
            </w:pPr>
            <w:r>
              <w:rPr>
                <w:sz w:val="20"/>
              </w:rPr>
              <w:t xml:space="preserve">1602,0</w:t>
            </w:r>
          </w:p>
        </w:tc>
        <w:tc>
          <w:tcPr>
            <w:tcW w:w="1382" w:type="dxa"/>
          </w:tcPr>
          <w:p>
            <w:pPr>
              <w:pStyle w:val="0"/>
            </w:pPr>
            <w:r>
              <w:rPr>
                <w:sz w:val="20"/>
              </w:rPr>
              <w:t xml:space="preserve">-15,1</w:t>
            </w:r>
          </w:p>
        </w:tc>
      </w:tr>
      <w:tr>
        <w:tc>
          <w:tcPr>
            <w:tcW w:w="3628" w:type="dxa"/>
          </w:tcPr>
          <w:p>
            <w:pPr>
              <w:pStyle w:val="0"/>
            </w:pPr>
            <w:r>
              <w:rPr>
                <w:sz w:val="20"/>
              </w:rPr>
              <w:t xml:space="preserve">Инфекционные и паразитарные болезни</w:t>
            </w:r>
          </w:p>
        </w:tc>
        <w:tc>
          <w:tcPr>
            <w:tcW w:w="1417" w:type="dxa"/>
          </w:tcPr>
          <w:p>
            <w:pPr>
              <w:pStyle w:val="0"/>
            </w:pPr>
            <w:r>
              <w:rPr>
                <w:sz w:val="20"/>
              </w:rPr>
              <w:t xml:space="preserve">99,4</w:t>
            </w:r>
          </w:p>
        </w:tc>
        <w:tc>
          <w:tcPr>
            <w:tcW w:w="1276" w:type="dxa"/>
          </w:tcPr>
          <w:p>
            <w:pPr>
              <w:pStyle w:val="0"/>
            </w:pPr>
            <w:r>
              <w:rPr>
                <w:sz w:val="20"/>
              </w:rPr>
              <w:t xml:space="preserve">102,9</w:t>
            </w:r>
          </w:p>
        </w:tc>
        <w:tc>
          <w:tcPr>
            <w:tcW w:w="1276" w:type="dxa"/>
          </w:tcPr>
          <w:p>
            <w:pPr>
              <w:pStyle w:val="0"/>
            </w:pPr>
            <w:r>
              <w:rPr>
                <w:sz w:val="20"/>
              </w:rPr>
              <w:t xml:space="preserve">62,4</w:t>
            </w:r>
          </w:p>
        </w:tc>
        <w:tc>
          <w:tcPr>
            <w:tcW w:w="1382" w:type="dxa"/>
          </w:tcPr>
          <w:p>
            <w:pPr>
              <w:pStyle w:val="0"/>
            </w:pPr>
            <w:r>
              <w:rPr>
                <w:sz w:val="20"/>
              </w:rPr>
              <w:t xml:space="preserve">-39,4</w:t>
            </w:r>
          </w:p>
        </w:tc>
      </w:tr>
      <w:tr>
        <w:tc>
          <w:tcPr>
            <w:tcW w:w="3628" w:type="dxa"/>
          </w:tcPr>
          <w:p>
            <w:pPr>
              <w:pStyle w:val="0"/>
            </w:pPr>
            <w:r>
              <w:rPr>
                <w:sz w:val="20"/>
              </w:rPr>
              <w:t xml:space="preserve">Новообразования</w:t>
            </w:r>
          </w:p>
        </w:tc>
        <w:tc>
          <w:tcPr>
            <w:tcW w:w="1417" w:type="dxa"/>
          </w:tcPr>
          <w:p>
            <w:pPr>
              <w:pStyle w:val="0"/>
            </w:pPr>
            <w:r>
              <w:rPr>
                <w:sz w:val="20"/>
              </w:rPr>
              <w:t xml:space="preserve">3,6</w:t>
            </w:r>
          </w:p>
        </w:tc>
        <w:tc>
          <w:tcPr>
            <w:tcW w:w="1276" w:type="dxa"/>
          </w:tcPr>
          <w:p>
            <w:pPr>
              <w:pStyle w:val="0"/>
            </w:pPr>
            <w:r>
              <w:rPr>
                <w:sz w:val="20"/>
              </w:rPr>
              <w:t xml:space="preserve">3,7</w:t>
            </w:r>
          </w:p>
        </w:tc>
        <w:tc>
          <w:tcPr>
            <w:tcW w:w="1276" w:type="dxa"/>
          </w:tcPr>
          <w:p>
            <w:pPr>
              <w:pStyle w:val="0"/>
            </w:pPr>
            <w:r>
              <w:rPr>
                <w:sz w:val="20"/>
              </w:rPr>
              <w:t xml:space="preserve">2,7</w:t>
            </w:r>
          </w:p>
        </w:tc>
        <w:tc>
          <w:tcPr>
            <w:tcW w:w="1382" w:type="dxa"/>
          </w:tcPr>
          <w:p>
            <w:pPr>
              <w:pStyle w:val="0"/>
            </w:pPr>
            <w:r>
              <w:rPr>
                <w:sz w:val="20"/>
              </w:rPr>
              <w:t xml:space="preserve">-27,0</w:t>
            </w:r>
          </w:p>
        </w:tc>
      </w:tr>
      <w:tr>
        <w:tc>
          <w:tcPr>
            <w:tcW w:w="3628" w:type="dxa"/>
          </w:tcPr>
          <w:p>
            <w:pPr>
              <w:pStyle w:val="0"/>
            </w:pPr>
            <w:r>
              <w:rPr>
                <w:sz w:val="20"/>
              </w:rPr>
              <w:t xml:space="preserve">Болезни крови и кроветворных органов и отдельные нарушения, вовлекающие иммунный механизм</w:t>
            </w:r>
          </w:p>
        </w:tc>
        <w:tc>
          <w:tcPr>
            <w:tcW w:w="1417" w:type="dxa"/>
          </w:tcPr>
          <w:p>
            <w:pPr>
              <w:pStyle w:val="0"/>
            </w:pPr>
            <w:r>
              <w:rPr>
                <w:sz w:val="20"/>
              </w:rPr>
              <w:t xml:space="preserve">7,2</w:t>
            </w:r>
          </w:p>
        </w:tc>
        <w:tc>
          <w:tcPr>
            <w:tcW w:w="1276" w:type="dxa"/>
          </w:tcPr>
          <w:p>
            <w:pPr>
              <w:pStyle w:val="0"/>
            </w:pPr>
            <w:r>
              <w:rPr>
                <w:sz w:val="20"/>
              </w:rPr>
              <w:t xml:space="preserve">7,4</w:t>
            </w:r>
          </w:p>
        </w:tc>
        <w:tc>
          <w:tcPr>
            <w:tcW w:w="1276" w:type="dxa"/>
          </w:tcPr>
          <w:p>
            <w:pPr>
              <w:pStyle w:val="0"/>
            </w:pPr>
            <w:r>
              <w:rPr>
                <w:sz w:val="20"/>
              </w:rPr>
              <w:t xml:space="preserve">5,9</w:t>
            </w:r>
          </w:p>
        </w:tc>
        <w:tc>
          <w:tcPr>
            <w:tcW w:w="1382" w:type="dxa"/>
          </w:tcPr>
          <w:p>
            <w:pPr>
              <w:pStyle w:val="0"/>
            </w:pPr>
            <w:r>
              <w:rPr>
                <w:sz w:val="20"/>
              </w:rPr>
              <w:t xml:space="preserve">-20,3</w:t>
            </w:r>
          </w:p>
        </w:tc>
      </w:tr>
      <w:tr>
        <w:tc>
          <w:tcPr>
            <w:tcW w:w="3628" w:type="dxa"/>
          </w:tcPr>
          <w:p>
            <w:pPr>
              <w:pStyle w:val="0"/>
            </w:pPr>
            <w:r>
              <w:rPr>
                <w:sz w:val="20"/>
              </w:rPr>
              <w:t xml:space="preserve">Болезни эндокринной системы, расстройства питания, нарушение обмена веществ</w:t>
            </w:r>
          </w:p>
        </w:tc>
        <w:tc>
          <w:tcPr>
            <w:tcW w:w="1417" w:type="dxa"/>
          </w:tcPr>
          <w:p>
            <w:pPr>
              <w:pStyle w:val="0"/>
            </w:pPr>
            <w:r>
              <w:rPr>
                <w:sz w:val="20"/>
              </w:rPr>
              <w:t xml:space="preserve">11,8</w:t>
            </w:r>
          </w:p>
        </w:tc>
        <w:tc>
          <w:tcPr>
            <w:tcW w:w="1276" w:type="dxa"/>
          </w:tcPr>
          <w:p>
            <w:pPr>
              <w:pStyle w:val="0"/>
            </w:pPr>
            <w:r>
              <w:rPr>
                <w:sz w:val="20"/>
              </w:rPr>
              <w:t xml:space="preserve">10,8</w:t>
            </w:r>
          </w:p>
        </w:tc>
        <w:tc>
          <w:tcPr>
            <w:tcW w:w="1276" w:type="dxa"/>
          </w:tcPr>
          <w:p>
            <w:pPr>
              <w:pStyle w:val="0"/>
            </w:pPr>
            <w:r>
              <w:rPr>
                <w:sz w:val="20"/>
              </w:rPr>
              <w:t xml:space="preserve">8,1</w:t>
            </w:r>
          </w:p>
        </w:tc>
        <w:tc>
          <w:tcPr>
            <w:tcW w:w="1382" w:type="dxa"/>
          </w:tcPr>
          <w:p>
            <w:pPr>
              <w:pStyle w:val="0"/>
            </w:pPr>
            <w:r>
              <w:rPr>
                <w:sz w:val="20"/>
              </w:rPr>
              <w:t xml:space="preserve">-25,0</w:t>
            </w:r>
          </w:p>
        </w:tc>
      </w:tr>
      <w:tr>
        <w:tc>
          <w:tcPr>
            <w:tcW w:w="3628" w:type="dxa"/>
          </w:tcPr>
          <w:p>
            <w:pPr>
              <w:pStyle w:val="0"/>
            </w:pPr>
            <w:r>
              <w:rPr>
                <w:sz w:val="20"/>
              </w:rPr>
              <w:t xml:space="preserve">Психические расстройства и расстройства поведения</w:t>
            </w:r>
          </w:p>
        </w:tc>
        <w:tc>
          <w:tcPr>
            <w:tcW w:w="1417" w:type="dxa"/>
          </w:tcPr>
          <w:p>
            <w:pPr>
              <w:pStyle w:val="0"/>
            </w:pPr>
            <w:r>
              <w:rPr>
                <w:sz w:val="20"/>
              </w:rPr>
              <w:t xml:space="preserve">3,1</w:t>
            </w:r>
          </w:p>
        </w:tc>
        <w:tc>
          <w:tcPr>
            <w:tcW w:w="1276" w:type="dxa"/>
          </w:tcPr>
          <w:p>
            <w:pPr>
              <w:pStyle w:val="0"/>
            </w:pPr>
            <w:r>
              <w:rPr>
                <w:sz w:val="20"/>
              </w:rPr>
              <w:t xml:space="preserve">3,5</w:t>
            </w:r>
          </w:p>
        </w:tc>
        <w:tc>
          <w:tcPr>
            <w:tcW w:w="1276" w:type="dxa"/>
          </w:tcPr>
          <w:p>
            <w:pPr>
              <w:pStyle w:val="0"/>
            </w:pPr>
            <w:r>
              <w:rPr>
                <w:sz w:val="20"/>
              </w:rPr>
              <w:t xml:space="preserve">2,3</w:t>
            </w:r>
          </w:p>
        </w:tc>
        <w:tc>
          <w:tcPr>
            <w:tcW w:w="1382" w:type="dxa"/>
          </w:tcPr>
          <w:p>
            <w:pPr>
              <w:pStyle w:val="0"/>
            </w:pPr>
            <w:r>
              <w:rPr>
                <w:sz w:val="20"/>
              </w:rPr>
              <w:t xml:space="preserve">-34,3</w:t>
            </w:r>
          </w:p>
        </w:tc>
      </w:tr>
      <w:tr>
        <w:tc>
          <w:tcPr>
            <w:tcW w:w="3628" w:type="dxa"/>
          </w:tcPr>
          <w:p>
            <w:pPr>
              <w:pStyle w:val="0"/>
            </w:pPr>
            <w:r>
              <w:rPr>
                <w:sz w:val="20"/>
              </w:rPr>
              <w:t xml:space="preserve">Болезни нервной системы</w:t>
            </w:r>
          </w:p>
        </w:tc>
        <w:tc>
          <w:tcPr>
            <w:tcW w:w="1417" w:type="dxa"/>
          </w:tcPr>
          <w:p>
            <w:pPr>
              <w:pStyle w:val="0"/>
            </w:pPr>
            <w:r>
              <w:rPr>
                <w:sz w:val="20"/>
              </w:rPr>
              <w:t xml:space="preserve">39,2</w:t>
            </w:r>
          </w:p>
        </w:tc>
        <w:tc>
          <w:tcPr>
            <w:tcW w:w="1276" w:type="dxa"/>
          </w:tcPr>
          <w:p>
            <w:pPr>
              <w:pStyle w:val="0"/>
            </w:pPr>
            <w:r>
              <w:rPr>
                <w:sz w:val="20"/>
              </w:rPr>
              <w:t xml:space="preserve">32,9</w:t>
            </w:r>
          </w:p>
        </w:tc>
        <w:tc>
          <w:tcPr>
            <w:tcW w:w="1276" w:type="dxa"/>
          </w:tcPr>
          <w:p>
            <w:pPr>
              <w:pStyle w:val="0"/>
            </w:pPr>
            <w:r>
              <w:rPr>
                <w:sz w:val="20"/>
              </w:rPr>
              <w:t xml:space="preserve">26,3</w:t>
            </w:r>
          </w:p>
        </w:tc>
        <w:tc>
          <w:tcPr>
            <w:tcW w:w="1382" w:type="dxa"/>
          </w:tcPr>
          <w:p>
            <w:pPr>
              <w:pStyle w:val="0"/>
            </w:pPr>
            <w:r>
              <w:rPr>
                <w:sz w:val="20"/>
              </w:rPr>
              <w:t xml:space="preserve">-20,1</w:t>
            </w:r>
          </w:p>
        </w:tc>
      </w:tr>
      <w:tr>
        <w:tc>
          <w:tcPr>
            <w:tcW w:w="3628" w:type="dxa"/>
          </w:tcPr>
          <w:p>
            <w:pPr>
              <w:pStyle w:val="0"/>
            </w:pPr>
            <w:r>
              <w:rPr>
                <w:sz w:val="20"/>
              </w:rPr>
              <w:t xml:space="preserve">Болезни глаза и его придаточного аппарата</w:t>
            </w:r>
          </w:p>
        </w:tc>
        <w:tc>
          <w:tcPr>
            <w:tcW w:w="1417" w:type="dxa"/>
          </w:tcPr>
          <w:p>
            <w:pPr>
              <w:pStyle w:val="0"/>
            </w:pPr>
            <w:r>
              <w:rPr>
                <w:sz w:val="20"/>
              </w:rPr>
              <w:t xml:space="preserve">64,5</w:t>
            </w:r>
          </w:p>
        </w:tc>
        <w:tc>
          <w:tcPr>
            <w:tcW w:w="1276" w:type="dxa"/>
          </w:tcPr>
          <w:p>
            <w:pPr>
              <w:pStyle w:val="0"/>
            </w:pPr>
            <w:r>
              <w:rPr>
                <w:sz w:val="20"/>
              </w:rPr>
              <w:t xml:space="preserve">40,1</w:t>
            </w:r>
          </w:p>
        </w:tc>
        <w:tc>
          <w:tcPr>
            <w:tcW w:w="1276" w:type="dxa"/>
          </w:tcPr>
          <w:p>
            <w:pPr>
              <w:pStyle w:val="0"/>
            </w:pPr>
            <w:r>
              <w:rPr>
                <w:sz w:val="20"/>
              </w:rPr>
              <w:t xml:space="preserve">29,8</w:t>
            </w:r>
          </w:p>
        </w:tc>
        <w:tc>
          <w:tcPr>
            <w:tcW w:w="1382" w:type="dxa"/>
          </w:tcPr>
          <w:p>
            <w:pPr>
              <w:pStyle w:val="0"/>
            </w:pPr>
            <w:r>
              <w:rPr>
                <w:sz w:val="20"/>
              </w:rPr>
              <w:t xml:space="preserve">-25,7</w:t>
            </w:r>
          </w:p>
        </w:tc>
      </w:tr>
      <w:tr>
        <w:tc>
          <w:tcPr>
            <w:tcW w:w="3628" w:type="dxa"/>
          </w:tcPr>
          <w:p>
            <w:pPr>
              <w:pStyle w:val="0"/>
            </w:pPr>
            <w:r>
              <w:rPr>
                <w:sz w:val="20"/>
              </w:rPr>
              <w:t xml:space="preserve">Болезни уха и сосцевидного отростка</w:t>
            </w:r>
          </w:p>
        </w:tc>
        <w:tc>
          <w:tcPr>
            <w:tcW w:w="1417" w:type="dxa"/>
          </w:tcPr>
          <w:p>
            <w:pPr>
              <w:pStyle w:val="0"/>
            </w:pPr>
            <w:r>
              <w:rPr>
                <w:sz w:val="20"/>
              </w:rPr>
              <w:t xml:space="preserve">45,3</w:t>
            </w:r>
          </w:p>
        </w:tc>
        <w:tc>
          <w:tcPr>
            <w:tcW w:w="1276" w:type="dxa"/>
          </w:tcPr>
          <w:p>
            <w:pPr>
              <w:pStyle w:val="0"/>
            </w:pPr>
            <w:r>
              <w:rPr>
                <w:sz w:val="20"/>
              </w:rPr>
              <w:t xml:space="preserve">41,2</w:t>
            </w:r>
          </w:p>
        </w:tc>
        <w:tc>
          <w:tcPr>
            <w:tcW w:w="1276" w:type="dxa"/>
          </w:tcPr>
          <w:p>
            <w:pPr>
              <w:pStyle w:val="0"/>
            </w:pPr>
            <w:r>
              <w:rPr>
                <w:sz w:val="20"/>
              </w:rPr>
              <w:t xml:space="preserve">29,4</w:t>
            </w:r>
          </w:p>
        </w:tc>
        <w:tc>
          <w:tcPr>
            <w:tcW w:w="1382" w:type="dxa"/>
          </w:tcPr>
          <w:p>
            <w:pPr>
              <w:pStyle w:val="0"/>
            </w:pPr>
            <w:r>
              <w:rPr>
                <w:sz w:val="20"/>
              </w:rPr>
              <w:t xml:space="preserve">-28,6</w:t>
            </w:r>
          </w:p>
        </w:tc>
      </w:tr>
      <w:tr>
        <w:tc>
          <w:tcPr>
            <w:tcW w:w="3628" w:type="dxa"/>
          </w:tcPr>
          <w:p>
            <w:pPr>
              <w:pStyle w:val="0"/>
            </w:pPr>
            <w:r>
              <w:rPr>
                <w:sz w:val="20"/>
              </w:rPr>
              <w:t xml:space="preserve">Болезни системы кровообращения</w:t>
            </w:r>
          </w:p>
        </w:tc>
        <w:tc>
          <w:tcPr>
            <w:tcW w:w="1417" w:type="dxa"/>
          </w:tcPr>
          <w:p>
            <w:pPr>
              <w:pStyle w:val="0"/>
            </w:pPr>
            <w:r>
              <w:rPr>
                <w:sz w:val="20"/>
              </w:rPr>
              <w:t xml:space="preserve">6,9</w:t>
            </w:r>
          </w:p>
        </w:tc>
        <w:tc>
          <w:tcPr>
            <w:tcW w:w="1276" w:type="dxa"/>
          </w:tcPr>
          <w:p>
            <w:pPr>
              <w:pStyle w:val="0"/>
            </w:pPr>
            <w:r>
              <w:rPr>
                <w:sz w:val="20"/>
              </w:rPr>
              <w:t xml:space="preserve">4,3</w:t>
            </w:r>
          </w:p>
        </w:tc>
        <w:tc>
          <w:tcPr>
            <w:tcW w:w="1276" w:type="dxa"/>
          </w:tcPr>
          <w:p>
            <w:pPr>
              <w:pStyle w:val="0"/>
            </w:pPr>
            <w:r>
              <w:rPr>
                <w:sz w:val="20"/>
              </w:rPr>
              <w:t xml:space="preserve">3,7</w:t>
            </w:r>
          </w:p>
        </w:tc>
        <w:tc>
          <w:tcPr>
            <w:tcW w:w="1382" w:type="dxa"/>
          </w:tcPr>
          <w:p>
            <w:pPr>
              <w:pStyle w:val="0"/>
            </w:pPr>
            <w:r>
              <w:rPr>
                <w:sz w:val="20"/>
              </w:rPr>
              <w:t xml:space="preserve">-14,0</w:t>
            </w:r>
          </w:p>
        </w:tc>
      </w:tr>
      <w:tr>
        <w:tc>
          <w:tcPr>
            <w:tcW w:w="3628" w:type="dxa"/>
          </w:tcPr>
          <w:p>
            <w:pPr>
              <w:pStyle w:val="0"/>
            </w:pPr>
            <w:r>
              <w:rPr>
                <w:sz w:val="20"/>
              </w:rPr>
              <w:t xml:space="preserve">Болезни органов дыхания (включая грипп, ОРВИ)</w:t>
            </w:r>
          </w:p>
        </w:tc>
        <w:tc>
          <w:tcPr>
            <w:tcW w:w="1417" w:type="dxa"/>
          </w:tcPr>
          <w:p>
            <w:pPr>
              <w:pStyle w:val="0"/>
            </w:pPr>
            <w:r>
              <w:rPr>
                <w:sz w:val="20"/>
              </w:rPr>
              <w:t xml:space="preserve">1409,7</w:t>
            </w:r>
          </w:p>
        </w:tc>
        <w:tc>
          <w:tcPr>
            <w:tcW w:w="1276" w:type="dxa"/>
          </w:tcPr>
          <w:p>
            <w:pPr>
              <w:pStyle w:val="0"/>
            </w:pPr>
            <w:r>
              <w:rPr>
                <w:sz w:val="20"/>
              </w:rPr>
              <w:t xml:space="preserve">1332,3</w:t>
            </w:r>
          </w:p>
        </w:tc>
        <w:tc>
          <w:tcPr>
            <w:tcW w:w="1276" w:type="dxa"/>
          </w:tcPr>
          <w:p>
            <w:pPr>
              <w:pStyle w:val="0"/>
            </w:pPr>
            <w:r>
              <w:rPr>
                <w:sz w:val="20"/>
              </w:rPr>
              <w:t xml:space="preserve">1154,9</w:t>
            </w:r>
          </w:p>
        </w:tc>
        <w:tc>
          <w:tcPr>
            <w:tcW w:w="1382" w:type="dxa"/>
          </w:tcPr>
          <w:p>
            <w:pPr>
              <w:pStyle w:val="0"/>
            </w:pPr>
            <w:r>
              <w:rPr>
                <w:sz w:val="20"/>
              </w:rPr>
              <w:t xml:space="preserve">-13,3</w:t>
            </w:r>
          </w:p>
        </w:tc>
      </w:tr>
      <w:tr>
        <w:tc>
          <w:tcPr>
            <w:tcW w:w="3628" w:type="dxa"/>
          </w:tcPr>
          <w:p>
            <w:pPr>
              <w:pStyle w:val="0"/>
            </w:pPr>
            <w:r>
              <w:rPr>
                <w:sz w:val="20"/>
              </w:rPr>
              <w:t xml:space="preserve">Болезни органов пищеварения</w:t>
            </w:r>
          </w:p>
        </w:tc>
        <w:tc>
          <w:tcPr>
            <w:tcW w:w="1417" w:type="dxa"/>
          </w:tcPr>
          <w:p>
            <w:pPr>
              <w:pStyle w:val="0"/>
            </w:pPr>
            <w:r>
              <w:rPr>
                <w:sz w:val="20"/>
              </w:rPr>
              <w:t xml:space="preserve">83,4</w:t>
            </w:r>
          </w:p>
        </w:tc>
        <w:tc>
          <w:tcPr>
            <w:tcW w:w="1276" w:type="dxa"/>
          </w:tcPr>
          <w:p>
            <w:pPr>
              <w:pStyle w:val="0"/>
            </w:pPr>
            <w:r>
              <w:rPr>
                <w:sz w:val="20"/>
              </w:rPr>
              <w:t xml:space="preserve">52,5</w:t>
            </w:r>
          </w:p>
        </w:tc>
        <w:tc>
          <w:tcPr>
            <w:tcW w:w="1276" w:type="dxa"/>
          </w:tcPr>
          <w:p>
            <w:pPr>
              <w:pStyle w:val="0"/>
            </w:pPr>
            <w:r>
              <w:rPr>
                <w:sz w:val="20"/>
              </w:rPr>
              <w:t xml:space="preserve">36,2</w:t>
            </w:r>
          </w:p>
        </w:tc>
        <w:tc>
          <w:tcPr>
            <w:tcW w:w="1382" w:type="dxa"/>
          </w:tcPr>
          <w:p>
            <w:pPr>
              <w:pStyle w:val="0"/>
            </w:pPr>
            <w:r>
              <w:rPr>
                <w:sz w:val="20"/>
              </w:rPr>
              <w:t xml:space="preserve">-31,0</w:t>
            </w:r>
          </w:p>
        </w:tc>
      </w:tr>
      <w:tr>
        <w:tc>
          <w:tcPr>
            <w:tcW w:w="3628" w:type="dxa"/>
          </w:tcPr>
          <w:p>
            <w:pPr>
              <w:pStyle w:val="0"/>
            </w:pPr>
            <w:r>
              <w:rPr>
                <w:sz w:val="20"/>
              </w:rPr>
              <w:t xml:space="preserve">Болезни кожи и подкожной клетчатки</w:t>
            </w:r>
          </w:p>
        </w:tc>
        <w:tc>
          <w:tcPr>
            <w:tcW w:w="1417" w:type="dxa"/>
          </w:tcPr>
          <w:p>
            <w:pPr>
              <w:pStyle w:val="0"/>
            </w:pPr>
            <w:r>
              <w:rPr>
                <w:sz w:val="20"/>
              </w:rPr>
              <w:t xml:space="preserve">89,1</w:t>
            </w:r>
          </w:p>
        </w:tc>
        <w:tc>
          <w:tcPr>
            <w:tcW w:w="1276" w:type="dxa"/>
          </w:tcPr>
          <w:p>
            <w:pPr>
              <w:pStyle w:val="0"/>
            </w:pPr>
            <w:r>
              <w:rPr>
                <w:sz w:val="20"/>
              </w:rPr>
              <w:t xml:space="preserve">78,6</w:t>
            </w:r>
          </w:p>
        </w:tc>
        <w:tc>
          <w:tcPr>
            <w:tcW w:w="1276" w:type="dxa"/>
          </w:tcPr>
          <w:p>
            <w:pPr>
              <w:pStyle w:val="0"/>
            </w:pPr>
            <w:r>
              <w:rPr>
                <w:sz w:val="20"/>
              </w:rPr>
              <w:t xml:space="preserve">68,7</w:t>
            </w:r>
          </w:p>
        </w:tc>
        <w:tc>
          <w:tcPr>
            <w:tcW w:w="1382" w:type="dxa"/>
          </w:tcPr>
          <w:p>
            <w:pPr>
              <w:pStyle w:val="0"/>
            </w:pPr>
            <w:r>
              <w:rPr>
                <w:sz w:val="20"/>
              </w:rPr>
              <w:t xml:space="preserve">-12,6</w:t>
            </w:r>
          </w:p>
        </w:tc>
      </w:tr>
      <w:tr>
        <w:tc>
          <w:tcPr>
            <w:tcW w:w="3628" w:type="dxa"/>
          </w:tcPr>
          <w:p>
            <w:pPr>
              <w:pStyle w:val="0"/>
            </w:pPr>
            <w:r>
              <w:rPr>
                <w:sz w:val="20"/>
              </w:rPr>
              <w:t xml:space="preserve">Болезни костно-мышечной системы и соединительной ткани</w:t>
            </w:r>
          </w:p>
        </w:tc>
        <w:tc>
          <w:tcPr>
            <w:tcW w:w="1417" w:type="dxa"/>
          </w:tcPr>
          <w:p>
            <w:pPr>
              <w:pStyle w:val="0"/>
            </w:pPr>
            <w:r>
              <w:rPr>
                <w:sz w:val="20"/>
              </w:rPr>
              <w:t xml:space="preserve">31,9</w:t>
            </w:r>
          </w:p>
        </w:tc>
        <w:tc>
          <w:tcPr>
            <w:tcW w:w="1276" w:type="dxa"/>
          </w:tcPr>
          <w:p>
            <w:pPr>
              <w:pStyle w:val="0"/>
            </w:pPr>
            <w:r>
              <w:rPr>
                <w:sz w:val="20"/>
              </w:rPr>
              <w:t xml:space="preserve">21,4</w:t>
            </w:r>
          </w:p>
        </w:tc>
        <w:tc>
          <w:tcPr>
            <w:tcW w:w="1276" w:type="dxa"/>
          </w:tcPr>
          <w:p>
            <w:pPr>
              <w:pStyle w:val="0"/>
            </w:pPr>
            <w:r>
              <w:rPr>
                <w:sz w:val="20"/>
              </w:rPr>
              <w:t xml:space="preserve">15,2</w:t>
            </w:r>
          </w:p>
        </w:tc>
        <w:tc>
          <w:tcPr>
            <w:tcW w:w="1382" w:type="dxa"/>
          </w:tcPr>
          <w:p>
            <w:pPr>
              <w:pStyle w:val="0"/>
            </w:pPr>
            <w:r>
              <w:rPr>
                <w:sz w:val="20"/>
              </w:rPr>
              <w:t xml:space="preserve">-29,0</w:t>
            </w:r>
          </w:p>
        </w:tc>
      </w:tr>
      <w:tr>
        <w:tc>
          <w:tcPr>
            <w:tcW w:w="3628" w:type="dxa"/>
          </w:tcPr>
          <w:p>
            <w:pPr>
              <w:pStyle w:val="0"/>
            </w:pPr>
            <w:r>
              <w:rPr>
                <w:sz w:val="20"/>
              </w:rPr>
              <w:t xml:space="preserve">Болезни мочеполовой системы</w:t>
            </w:r>
          </w:p>
        </w:tc>
        <w:tc>
          <w:tcPr>
            <w:tcW w:w="1417" w:type="dxa"/>
          </w:tcPr>
          <w:p>
            <w:pPr>
              <w:pStyle w:val="0"/>
            </w:pPr>
            <w:r>
              <w:rPr>
                <w:sz w:val="20"/>
              </w:rPr>
              <w:t xml:space="preserve">29,9</w:t>
            </w:r>
          </w:p>
        </w:tc>
        <w:tc>
          <w:tcPr>
            <w:tcW w:w="1276" w:type="dxa"/>
          </w:tcPr>
          <w:p>
            <w:pPr>
              <w:pStyle w:val="0"/>
            </w:pPr>
            <w:r>
              <w:rPr>
                <w:sz w:val="20"/>
              </w:rPr>
              <w:t xml:space="preserve">26</w:t>
            </w:r>
          </w:p>
        </w:tc>
        <w:tc>
          <w:tcPr>
            <w:tcW w:w="1276" w:type="dxa"/>
          </w:tcPr>
          <w:p>
            <w:pPr>
              <w:pStyle w:val="0"/>
            </w:pPr>
            <w:r>
              <w:rPr>
                <w:sz w:val="20"/>
              </w:rPr>
              <w:t xml:space="preserve">19,7</w:t>
            </w:r>
          </w:p>
        </w:tc>
        <w:tc>
          <w:tcPr>
            <w:tcW w:w="1382" w:type="dxa"/>
          </w:tcPr>
          <w:p>
            <w:pPr>
              <w:pStyle w:val="0"/>
            </w:pPr>
            <w:r>
              <w:rPr>
                <w:sz w:val="20"/>
              </w:rPr>
              <w:t xml:space="preserve">-24,2</w:t>
            </w:r>
          </w:p>
        </w:tc>
      </w:tr>
      <w:tr>
        <w:tc>
          <w:tcPr>
            <w:tcW w:w="3628" w:type="dxa"/>
          </w:tcPr>
          <w:p>
            <w:pPr>
              <w:pStyle w:val="0"/>
            </w:pPr>
            <w:r>
              <w:rPr>
                <w:sz w:val="20"/>
              </w:rPr>
              <w:t xml:space="preserve">Врожденные аномалии (пороки развития), деформации и хромосомные нарушения</w:t>
            </w:r>
          </w:p>
        </w:tc>
        <w:tc>
          <w:tcPr>
            <w:tcW w:w="1417" w:type="dxa"/>
          </w:tcPr>
          <w:p>
            <w:pPr>
              <w:pStyle w:val="0"/>
            </w:pPr>
            <w:r>
              <w:rPr>
                <w:sz w:val="20"/>
              </w:rPr>
              <w:t xml:space="preserve">6,6</w:t>
            </w:r>
          </w:p>
        </w:tc>
        <w:tc>
          <w:tcPr>
            <w:tcW w:w="1276" w:type="dxa"/>
          </w:tcPr>
          <w:p>
            <w:pPr>
              <w:pStyle w:val="0"/>
            </w:pPr>
            <w:r>
              <w:rPr>
                <w:sz w:val="20"/>
              </w:rPr>
              <w:t xml:space="preserve">6,6</w:t>
            </w:r>
          </w:p>
        </w:tc>
        <w:tc>
          <w:tcPr>
            <w:tcW w:w="1276" w:type="dxa"/>
          </w:tcPr>
          <w:p>
            <w:pPr>
              <w:pStyle w:val="0"/>
            </w:pPr>
            <w:r>
              <w:rPr>
                <w:sz w:val="20"/>
              </w:rPr>
              <w:t xml:space="preserve">5,5</w:t>
            </w:r>
          </w:p>
        </w:tc>
        <w:tc>
          <w:tcPr>
            <w:tcW w:w="1382" w:type="dxa"/>
          </w:tcPr>
          <w:p>
            <w:pPr>
              <w:pStyle w:val="0"/>
            </w:pPr>
            <w:r>
              <w:rPr>
                <w:sz w:val="20"/>
              </w:rPr>
              <w:t xml:space="preserve">-16,7</w:t>
            </w:r>
          </w:p>
        </w:tc>
      </w:tr>
      <w:tr>
        <w:tc>
          <w:tcPr>
            <w:tcW w:w="3628" w:type="dxa"/>
          </w:tcPr>
          <w:p>
            <w:pPr>
              <w:pStyle w:val="0"/>
            </w:pPr>
            <w:r>
              <w:rPr>
                <w:sz w:val="20"/>
              </w:rPr>
              <w:t xml:space="preserve">Травмы, отравления и некоторые другие последствия воздействия внешних причин</w:t>
            </w:r>
          </w:p>
        </w:tc>
        <w:tc>
          <w:tcPr>
            <w:tcW w:w="1417" w:type="dxa"/>
          </w:tcPr>
          <w:p>
            <w:pPr>
              <w:pStyle w:val="0"/>
            </w:pPr>
            <w:r>
              <w:rPr>
                <w:sz w:val="20"/>
              </w:rPr>
              <w:t xml:space="preserve">120,7</w:t>
            </w:r>
          </w:p>
        </w:tc>
        <w:tc>
          <w:tcPr>
            <w:tcW w:w="1276" w:type="dxa"/>
          </w:tcPr>
          <w:p>
            <w:pPr>
              <w:pStyle w:val="0"/>
            </w:pPr>
            <w:r>
              <w:rPr>
                <w:sz w:val="20"/>
              </w:rPr>
              <w:t xml:space="preserve">129,3</w:t>
            </w:r>
          </w:p>
        </w:tc>
        <w:tc>
          <w:tcPr>
            <w:tcW w:w="1276" w:type="dxa"/>
          </w:tcPr>
          <w:p>
            <w:pPr>
              <w:pStyle w:val="0"/>
            </w:pPr>
            <w:r>
              <w:rPr>
                <w:sz w:val="20"/>
              </w:rPr>
              <w:t xml:space="preserve">104,2</w:t>
            </w:r>
          </w:p>
        </w:tc>
        <w:tc>
          <w:tcPr>
            <w:tcW w:w="1382" w:type="dxa"/>
          </w:tcPr>
          <w:p>
            <w:pPr>
              <w:pStyle w:val="0"/>
            </w:pPr>
            <w:r>
              <w:rPr>
                <w:sz w:val="20"/>
              </w:rPr>
              <w:t xml:space="preserve">-19,4</w:t>
            </w:r>
          </w:p>
        </w:tc>
      </w:tr>
      <w:tr>
        <w:tc>
          <w:tcPr>
            <w:tcW w:w="3628" w:type="dxa"/>
          </w:tcPr>
          <w:p>
            <w:pPr>
              <w:pStyle w:val="0"/>
            </w:pPr>
            <w:r>
              <w:rPr>
                <w:sz w:val="20"/>
              </w:rPr>
              <w:t xml:space="preserve">Новая коронавирусная инфекция, вызванная COVID-19</w:t>
            </w:r>
          </w:p>
        </w:tc>
        <w:tc>
          <w:tcPr>
            <w:tcW w:w="1417" w:type="dxa"/>
          </w:tcPr>
          <w:p>
            <w:pPr>
              <w:pStyle w:val="0"/>
            </w:pPr>
            <w:r>
              <w:rPr>
                <w:sz w:val="20"/>
              </w:rPr>
              <w:t xml:space="preserve">0</w:t>
            </w:r>
          </w:p>
        </w:tc>
        <w:tc>
          <w:tcPr>
            <w:tcW w:w="1276" w:type="dxa"/>
          </w:tcPr>
          <w:p>
            <w:pPr>
              <w:pStyle w:val="0"/>
            </w:pPr>
            <w:r>
              <w:rPr>
                <w:sz w:val="20"/>
              </w:rPr>
              <w:t xml:space="preserve">0</w:t>
            </w:r>
          </w:p>
        </w:tc>
        <w:tc>
          <w:tcPr>
            <w:tcW w:w="1276" w:type="dxa"/>
          </w:tcPr>
          <w:p>
            <w:pPr>
              <w:pStyle w:val="0"/>
            </w:pPr>
            <w:r>
              <w:rPr>
                <w:sz w:val="20"/>
              </w:rPr>
              <w:t xml:space="preserve">15,9</w:t>
            </w:r>
          </w:p>
        </w:tc>
        <w:tc>
          <w:tcPr>
            <w:tcW w:w="1382" w:type="dxa"/>
          </w:tcPr>
          <w:p>
            <w:pPr>
              <w:pStyle w:val="0"/>
            </w:pPr>
            <w:r>
              <w:rPr>
                <w:sz w:val="20"/>
              </w:rPr>
              <w:t xml:space="preserve">0</w:t>
            </w:r>
          </w:p>
        </w:tc>
      </w:tr>
    </w:tbl>
    <w:p>
      <w:pPr>
        <w:pStyle w:val="0"/>
        <w:ind w:firstLine="540"/>
        <w:jc w:val="both"/>
      </w:pPr>
      <w:r>
        <w:rPr>
          <w:sz w:val="20"/>
        </w:rPr>
      </w:r>
    </w:p>
    <w:p>
      <w:pPr>
        <w:pStyle w:val="0"/>
        <w:ind w:firstLine="540"/>
        <w:jc w:val="both"/>
      </w:pPr>
      <w:r>
        <w:rPr>
          <w:sz w:val="20"/>
        </w:rPr>
        <w:t xml:space="preserve">В структуре первичной заболеваемости детского населения первое место занимают болезни органов дыхания (72%), далее следуют травмы, отравления и некоторые другие последствия воздействия внешних причин (6,5%), болезни кожи и подкожной клетчатки (4,3%), инфекционные и паразитарные болезни (4%).</w:t>
      </w:r>
    </w:p>
    <w:p>
      <w:pPr>
        <w:pStyle w:val="0"/>
        <w:spacing w:before="200" w:line-rule="auto"/>
        <w:ind w:firstLine="540"/>
        <w:jc w:val="both"/>
      </w:pPr>
      <w:r>
        <w:rPr>
          <w:sz w:val="20"/>
        </w:rPr>
        <w:t xml:space="preserve">Показатель общей заболеваемости </w:t>
      </w:r>
      <w:hyperlink w:history="0" w:anchor="P418" w:tooltip="Общая заболеваемость населения автономного округа, дети">
        <w:r>
          <w:rPr>
            <w:sz w:val="20"/>
            <w:color w:val="0000ff"/>
          </w:rPr>
          <w:t xml:space="preserve">(таблица 4)</w:t>
        </w:r>
      </w:hyperlink>
      <w:r>
        <w:rPr>
          <w:sz w:val="20"/>
        </w:rPr>
        <w:t xml:space="preserve"> среди подросткового возраста (15 - 17 лет) снизился на 7,8% (с 2109,8 на 1 тыс. населения в 2019 году до 1944,6 в 2020 году). По УрФО в 2019 году такой показатель составил 2190,5, по Российской Федерации - 2225,4 на 1 тыс. населения, за 2020 год - нет данных.</w:t>
      </w:r>
    </w:p>
    <w:p>
      <w:pPr>
        <w:pStyle w:val="0"/>
        <w:ind w:firstLine="540"/>
        <w:jc w:val="both"/>
      </w:pPr>
      <w:r>
        <w:rPr>
          <w:sz w:val="20"/>
        </w:rPr>
      </w:r>
    </w:p>
    <w:p>
      <w:pPr>
        <w:pStyle w:val="0"/>
        <w:outlineLvl w:val="2"/>
        <w:jc w:val="right"/>
      </w:pPr>
      <w:r>
        <w:rPr>
          <w:sz w:val="20"/>
        </w:rPr>
        <w:t xml:space="preserve">Таблица 4</w:t>
      </w:r>
    </w:p>
    <w:p>
      <w:pPr>
        <w:pStyle w:val="0"/>
        <w:ind w:firstLine="540"/>
        <w:jc w:val="both"/>
      </w:pPr>
      <w:r>
        <w:rPr>
          <w:sz w:val="20"/>
        </w:rPr>
      </w:r>
    </w:p>
    <w:bookmarkStart w:id="418" w:name="P418"/>
    <w:bookmarkEnd w:id="418"/>
    <w:p>
      <w:pPr>
        <w:pStyle w:val="2"/>
        <w:jc w:val="center"/>
      </w:pPr>
      <w:r>
        <w:rPr>
          <w:sz w:val="20"/>
        </w:rPr>
        <w:t xml:space="preserve">Общая заболеваемость населения автономного округа, дети</w:t>
      </w:r>
    </w:p>
    <w:p>
      <w:pPr>
        <w:pStyle w:val="2"/>
        <w:jc w:val="center"/>
      </w:pPr>
      <w:r>
        <w:rPr>
          <w:sz w:val="20"/>
        </w:rPr>
        <w:t xml:space="preserve">в возрасте 15 - 17 лет (на 1 тыс. человек)</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1417"/>
        <w:gridCol w:w="1276"/>
        <w:gridCol w:w="1276"/>
        <w:gridCol w:w="1382"/>
      </w:tblGrid>
      <w:tr>
        <w:tc>
          <w:tcPr>
            <w:tcW w:w="3685" w:type="dxa"/>
          </w:tcPr>
          <w:p>
            <w:pPr>
              <w:pStyle w:val="0"/>
              <w:jc w:val="center"/>
            </w:pPr>
            <w:r>
              <w:rPr>
                <w:sz w:val="20"/>
              </w:rPr>
              <w:t xml:space="preserve">Классы болезней МКБ-10</w:t>
            </w:r>
          </w:p>
        </w:tc>
        <w:tc>
          <w:tcPr>
            <w:tcW w:w="1417" w:type="dxa"/>
          </w:tcPr>
          <w:p>
            <w:pPr>
              <w:pStyle w:val="0"/>
              <w:jc w:val="center"/>
            </w:pPr>
            <w:r>
              <w:rPr>
                <w:sz w:val="20"/>
              </w:rPr>
              <w:t xml:space="preserve">2018 год</w:t>
            </w:r>
          </w:p>
        </w:tc>
        <w:tc>
          <w:tcPr>
            <w:tcW w:w="1276" w:type="dxa"/>
          </w:tcPr>
          <w:p>
            <w:pPr>
              <w:pStyle w:val="0"/>
              <w:jc w:val="center"/>
            </w:pPr>
            <w:r>
              <w:rPr>
                <w:sz w:val="20"/>
              </w:rPr>
              <w:t xml:space="preserve">2019 год</w:t>
            </w:r>
          </w:p>
        </w:tc>
        <w:tc>
          <w:tcPr>
            <w:tcW w:w="1276" w:type="dxa"/>
          </w:tcPr>
          <w:p>
            <w:pPr>
              <w:pStyle w:val="0"/>
              <w:jc w:val="center"/>
            </w:pPr>
            <w:r>
              <w:rPr>
                <w:sz w:val="20"/>
              </w:rPr>
              <w:t xml:space="preserve">2020 год</w:t>
            </w:r>
          </w:p>
        </w:tc>
        <w:tc>
          <w:tcPr>
            <w:tcW w:w="1382" w:type="dxa"/>
          </w:tcPr>
          <w:p>
            <w:pPr>
              <w:pStyle w:val="0"/>
              <w:jc w:val="center"/>
            </w:pPr>
            <w:r>
              <w:rPr>
                <w:sz w:val="20"/>
              </w:rPr>
              <w:t xml:space="preserve">Темп прироста/ убыли к 2019 году, %</w:t>
            </w:r>
          </w:p>
        </w:tc>
      </w:tr>
      <w:tr>
        <w:tc>
          <w:tcPr>
            <w:tcW w:w="3685" w:type="dxa"/>
          </w:tcPr>
          <w:p>
            <w:pPr>
              <w:pStyle w:val="0"/>
            </w:pPr>
            <w:r>
              <w:rPr>
                <w:sz w:val="20"/>
              </w:rPr>
              <w:t xml:space="preserve">Всего</w:t>
            </w:r>
          </w:p>
        </w:tc>
        <w:tc>
          <w:tcPr>
            <w:tcW w:w="1417" w:type="dxa"/>
          </w:tcPr>
          <w:p>
            <w:pPr>
              <w:pStyle w:val="0"/>
            </w:pPr>
            <w:r>
              <w:rPr>
                <w:sz w:val="20"/>
              </w:rPr>
              <w:t xml:space="preserve">2108,9</w:t>
            </w:r>
          </w:p>
        </w:tc>
        <w:tc>
          <w:tcPr>
            <w:tcW w:w="1276" w:type="dxa"/>
          </w:tcPr>
          <w:p>
            <w:pPr>
              <w:pStyle w:val="0"/>
            </w:pPr>
            <w:r>
              <w:rPr>
                <w:sz w:val="20"/>
              </w:rPr>
              <w:t xml:space="preserve">2109,8</w:t>
            </w:r>
          </w:p>
        </w:tc>
        <w:tc>
          <w:tcPr>
            <w:tcW w:w="1276" w:type="dxa"/>
          </w:tcPr>
          <w:p>
            <w:pPr>
              <w:pStyle w:val="0"/>
            </w:pPr>
            <w:r>
              <w:rPr>
                <w:sz w:val="20"/>
              </w:rPr>
              <w:t xml:space="preserve">1944,6</w:t>
            </w:r>
          </w:p>
        </w:tc>
        <w:tc>
          <w:tcPr>
            <w:tcW w:w="1382" w:type="dxa"/>
          </w:tcPr>
          <w:p>
            <w:pPr>
              <w:pStyle w:val="0"/>
            </w:pPr>
            <w:r>
              <w:rPr>
                <w:sz w:val="20"/>
              </w:rPr>
              <w:t xml:space="preserve">-7,8</w:t>
            </w:r>
          </w:p>
        </w:tc>
      </w:tr>
      <w:tr>
        <w:tc>
          <w:tcPr>
            <w:tcW w:w="3685" w:type="dxa"/>
          </w:tcPr>
          <w:p>
            <w:pPr>
              <w:pStyle w:val="0"/>
            </w:pPr>
            <w:r>
              <w:rPr>
                <w:sz w:val="20"/>
              </w:rPr>
              <w:t xml:space="preserve">Инфекционные и паразитарные болезни</w:t>
            </w:r>
          </w:p>
        </w:tc>
        <w:tc>
          <w:tcPr>
            <w:tcW w:w="1417" w:type="dxa"/>
          </w:tcPr>
          <w:p>
            <w:pPr>
              <w:pStyle w:val="0"/>
            </w:pPr>
            <w:r>
              <w:rPr>
                <w:sz w:val="20"/>
              </w:rPr>
              <w:t xml:space="preserve">46,6</w:t>
            </w:r>
          </w:p>
        </w:tc>
        <w:tc>
          <w:tcPr>
            <w:tcW w:w="1276" w:type="dxa"/>
          </w:tcPr>
          <w:p>
            <w:pPr>
              <w:pStyle w:val="0"/>
            </w:pPr>
            <w:r>
              <w:rPr>
                <w:sz w:val="20"/>
              </w:rPr>
              <w:t xml:space="preserve">48,9</w:t>
            </w:r>
          </w:p>
        </w:tc>
        <w:tc>
          <w:tcPr>
            <w:tcW w:w="1276" w:type="dxa"/>
          </w:tcPr>
          <w:p>
            <w:pPr>
              <w:pStyle w:val="0"/>
            </w:pPr>
            <w:r>
              <w:rPr>
                <w:sz w:val="20"/>
              </w:rPr>
              <w:t xml:space="preserve">34,6</w:t>
            </w:r>
          </w:p>
        </w:tc>
        <w:tc>
          <w:tcPr>
            <w:tcW w:w="1382" w:type="dxa"/>
          </w:tcPr>
          <w:p>
            <w:pPr>
              <w:pStyle w:val="0"/>
            </w:pPr>
            <w:r>
              <w:rPr>
                <w:sz w:val="20"/>
              </w:rPr>
              <w:t xml:space="preserve">-29,2</w:t>
            </w:r>
          </w:p>
        </w:tc>
      </w:tr>
      <w:tr>
        <w:tc>
          <w:tcPr>
            <w:tcW w:w="3685" w:type="dxa"/>
          </w:tcPr>
          <w:p>
            <w:pPr>
              <w:pStyle w:val="0"/>
            </w:pPr>
            <w:r>
              <w:rPr>
                <w:sz w:val="20"/>
              </w:rPr>
              <w:t xml:space="preserve">Новообразования</w:t>
            </w:r>
          </w:p>
        </w:tc>
        <w:tc>
          <w:tcPr>
            <w:tcW w:w="1417" w:type="dxa"/>
          </w:tcPr>
          <w:p>
            <w:pPr>
              <w:pStyle w:val="0"/>
            </w:pPr>
            <w:r>
              <w:rPr>
                <w:sz w:val="20"/>
              </w:rPr>
              <w:t xml:space="preserve">11,4</w:t>
            </w:r>
          </w:p>
        </w:tc>
        <w:tc>
          <w:tcPr>
            <w:tcW w:w="1276" w:type="dxa"/>
          </w:tcPr>
          <w:p>
            <w:pPr>
              <w:pStyle w:val="0"/>
            </w:pPr>
            <w:r>
              <w:rPr>
                <w:sz w:val="20"/>
              </w:rPr>
              <w:t xml:space="preserve">11,4</w:t>
            </w:r>
          </w:p>
        </w:tc>
        <w:tc>
          <w:tcPr>
            <w:tcW w:w="1276" w:type="dxa"/>
          </w:tcPr>
          <w:p>
            <w:pPr>
              <w:pStyle w:val="0"/>
            </w:pPr>
            <w:r>
              <w:rPr>
                <w:sz w:val="20"/>
              </w:rPr>
              <w:t xml:space="preserve">9,97</w:t>
            </w:r>
          </w:p>
        </w:tc>
        <w:tc>
          <w:tcPr>
            <w:tcW w:w="1382" w:type="dxa"/>
          </w:tcPr>
          <w:p>
            <w:pPr>
              <w:pStyle w:val="0"/>
            </w:pPr>
            <w:r>
              <w:rPr>
                <w:sz w:val="20"/>
              </w:rPr>
              <w:t xml:space="preserve">-12,5</w:t>
            </w:r>
          </w:p>
        </w:tc>
      </w:tr>
      <w:tr>
        <w:tc>
          <w:tcPr>
            <w:tcW w:w="3685" w:type="dxa"/>
          </w:tcPr>
          <w:p>
            <w:pPr>
              <w:pStyle w:val="0"/>
            </w:pPr>
            <w:r>
              <w:rPr>
                <w:sz w:val="20"/>
              </w:rPr>
              <w:t xml:space="preserve">Болезни крови и кроветворных органов и отдельные нарушения, вовлекающие иммунный механизм</w:t>
            </w:r>
          </w:p>
        </w:tc>
        <w:tc>
          <w:tcPr>
            <w:tcW w:w="1417" w:type="dxa"/>
          </w:tcPr>
          <w:p>
            <w:pPr>
              <w:pStyle w:val="0"/>
            </w:pPr>
            <w:r>
              <w:rPr>
                <w:sz w:val="20"/>
              </w:rPr>
              <w:t xml:space="preserve">14,4</w:t>
            </w:r>
          </w:p>
        </w:tc>
        <w:tc>
          <w:tcPr>
            <w:tcW w:w="1276" w:type="dxa"/>
          </w:tcPr>
          <w:p>
            <w:pPr>
              <w:pStyle w:val="0"/>
            </w:pPr>
            <w:r>
              <w:rPr>
                <w:sz w:val="20"/>
              </w:rPr>
              <w:t xml:space="preserve">13,4</w:t>
            </w:r>
          </w:p>
        </w:tc>
        <w:tc>
          <w:tcPr>
            <w:tcW w:w="1276" w:type="dxa"/>
          </w:tcPr>
          <w:p>
            <w:pPr>
              <w:pStyle w:val="0"/>
            </w:pPr>
            <w:r>
              <w:rPr>
                <w:sz w:val="20"/>
              </w:rPr>
              <w:t xml:space="preserve">14,9</w:t>
            </w:r>
          </w:p>
        </w:tc>
        <w:tc>
          <w:tcPr>
            <w:tcW w:w="1382" w:type="dxa"/>
          </w:tcPr>
          <w:p>
            <w:pPr>
              <w:pStyle w:val="0"/>
            </w:pPr>
            <w:r>
              <w:rPr>
                <w:sz w:val="20"/>
              </w:rPr>
              <w:t xml:space="preserve">11,2</w:t>
            </w:r>
          </w:p>
        </w:tc>
      </w:tr>
      <w:tr>
        <w:tc>
          <w:tcPr>
            <w:tcW w:w="3685" w:type="dxa"/>
          </w:tcPr>
          <w:p>
            <w:pPr>
              <w:pStyle w:val="0"/>
            </w:pPr>
            <w:r>
              <w:rPr>
                <w:sz w:val="20"/>
              </w:rPr>
              <w:t xml:space="preserve">Болезни эндокринной системы, расстройства питания, нарушение обмена веществ</w:t>
            </w:r>
          </w:p>
        </w:tc>
        <w:tc>
          <w:tcPr>
            <w:tcW w:w="1417" w:type="dxa"/>
          </w:tcPr>
          <w:p>
            <w:pPr>
              <w:pStyle w:val="0"/>
            </w:pPr>
            <w:r>
              <w:rPr>
                <w:sz w:val="20"/>
              </w:rPr>
              <w:t xml:space="preserve">87,5</w:t>
            </w:r>
          </w:p>
        </w:tc>
        <w:tc>
          <w:tcPr>
            <w:tcW w:w="1276" w:type="dxa"/>
          </w:tcPr>
          <w:p>
            <w:pPr>
              <w:pStyle w:val="0"/>
            </w:pPr>
            <w:r>
              <w:rPr>
                <w:sz w:val="20"/>
              </w:rPr>
              <w:t xml:space="preserve">93,6</w:t>
            </w:r>
          </w:p>
        </w:tc>
        <w:tc>
          <w:tcPr>
            <w:tcW w:w="1276" w:type="dxa"/>
          </w:tcPr>
          <w:p>
            <w:pPr>
              <w:pStyle w:val="0"/>
            </w:pPr>
            <w:r>
              <w:rPr>
                <w:sz w:val="20"/>
              </w:rPr>
              <w:t xml:space="preserve">85,5</w:t>
            </w:r>
          </w:p>
        </w:tc>
        <w:tc>
          <w:tcPr>
            <w:tcW w:w="1382" w:type="dxa"/>
          </w:tcPr>
          <w:p>
            <w:pPr>
              <w:pStyle w:val="0"/>
            </w:pPr>
            <w:r>
              <w:rPr>
                <w:sz w:val="20"/>
              </w:rPr>
              <w:t xml:space="preserve">-8,7</w:t>
            </w:r>
          </w:p>
        </w:tc>
      </w:tr>
      <w:tr>
        <w:tc>
          <w:tcPr>
            <w:tcW w:w="3685" w:type="dxa"/>
          </w:tcPr>
          <w:p>
            <w:pPr>
              <w:pStyle w:val="0"/>
            </w:pPr>
            <w:r>
              <w:rPr>
                <w:sz w:val="20"/>
              </w:rPr>
              <w:t xml:space="preserve">Психические расстройства и расстройства поведения</w:t>
            </w:r>
          </w:p>
        </w:tc>
        <w:tc>
          <w:tcPr>
            <w:tcW w:w="1417" w:type="dxa"/>
          </w:tcPr>
          <w:p>
            <w:pPr>
              <w:pStyle w:val="0"/>
            </w:pPr>
            <w:r>
              <w:rPr>
                <w:sz w:val="20"/>
              </w:rPr>
              <w:t xml:space="preserve">37,1</w:t>
            </w:r>
          </w:p>
        </w:tc>
        <w:tc>
          <w:tcPr>
            <w:tcW w:w="1276" w:type="dxa"/>
          </w:tcPr>
          <w:p>
            <w:pPr>
              <w:pStyle w:val="0"/>
            </w:pPr>
            <w:r>
              <w:rPr>
                <w:sz w:val="20"/>
              </w:rPr>
              <w:t xml:space="preserve">37,6</w:t>
            </w:r>
          </w:p>
        </w:tc>
        <w:tc>
          <w:tcPr>
            <w:tcW w:w="1276" w:type="dxa"/>
          </w:tcPr>
          <w:p>
            <w:pPr>
              <w:pStyle w:val="0"/>
            </w:pPr>
            <w:r>
              <w:rPr>
                <w:sz w:val="20"/>
              </w:rPr>
              <w:t xml:space="preserve">33,1</w:t>
            </w:r>
          </w:p>
        </w:tc>
        <w:tc>
          <w:tcPr>
            <w:tcW w:w="1382" w:type="dxa"/>
          </w:tcPr>
          <w:p>
            <w:pPr>
              <w:pStyle w:val="0"/>
            </w:pPr>
            <w:r>
              <w:rPr>
                <w:sz w:val="20"/>
              </w:rPr>
              <w:t xml:space="preserve">-12,0</w:t>
            </w:r>
          </w:p>
        </w:tc>
      </w:tr>
      <w:tr>
        <w:tc>
          <w:tcPr>
            <w:tcW w:w="3685" w:type="dxa"/>
          </w:tcPr>
          <w:p>
            <w:pPr>
              <w:pStyle w:val="0"/>
            </w:pPr>
            <w:r>
              <w:rPr>
                <w:sz w:val="20"/>
              </w:rPr>
              <w:t xml:space="preserve">Болезни нервной системы</w:t>
            </w:r>
          </w:p>
        </w:tc>
        <w:tc>
          <w:tcPr>
            <w:tcW w:w="1417" w:type="dxa"/>
          </w:tcPr>
          <w:p>
            <w:pPr>
              <w:pStyle w:val="0"/>
            </w:pPr>
            <w:r>
              <w:rPr>
                <w:sz w:val="20"/>
              </w:rPr>
              <w:t xml:space="preserve">125,1</w:t>
            </w:r>
          </w:p>
        </w:tc>
        <w:tc>
          <w:tcPr>
            <w:tcW w:w="1276" w:type="dxa"/>
          </w:tcPr>
          <w:p>
            <w:pPr>
              <w:pStyle w:val="0"/>
            </w:pPr>
            <w:r>
              <w:rPr>
                <w:sz w:val="20"/>
              </w:rPr>
              <w:t xml:space="preserve">118,5</w:t>
            </w:r>
          </w:p>
        </w:tc>
        <w:tc>
          <w:tcPr>
            <w:tcW w:w="1276" w:type="dxa"/>
          </w:tcPr>
          <w:p>
            <w:pPr>
              <w:pStyle w:val="0"/>
            </w:pPr>
            <w:r>
              <w:rPr>
                <w:sz w:val="20"/>
              </w:rPr>
              <w:t xml:space="preserve">107,9</w:t>
            </w:r>
          </w:p>
        </w:tc>
        <w:tc>
          <w:tcPr>
            <w:tcW w:w="1382" w:type="dxa"/>
          </w:tcPr>
          <w:p>
            <w:pPr>
              <w:pStyle w:val="0"/>
            </w:pPr>
            <w:r>
              <w:rPr>
                <w:sz w:val="20"/>
              </w:rPr>
              <w:t xml:space="preserve">-8,9</w:t>
            </w:r>
          </w:p>
        </w:tc>
      </w:tr>
      <w:tr>
        <w:tc>
          <w:tcPr>
            <w:tcW w:w="3685" w:type="dxa"/>
          </w:tcPr>
          <w:p>
            <w:pPr>
              <w:pStyle w:val="0"/>
            </w:pPr>
            <w:r>
              <w:rPr>
                <w:sz w:val="20"/>
              </w:rPr>
              <w:t xml:space="preserve">Болезни глаза и его придаточного аппарата</w:t>
            </w:r>
          </w:p>
        </w:tc>
        <w:tc>
          <w:tcPr>
            <w:tcW w:w="1417" w:type="dxa"/>
          </w:tcPr>
          <w:p>
            <w:pPr>
              <w:pStyle w:val="0"/>
            </w:pPr>
            <w:r>
              <w:rPr>
                <w:sz w:val="20"/>
              </w:rPr>
              <w:t xml:space="preserve">209,8</w:t>
            </w:r>
          </w:p>
        </w:tc>
        <w:tc>
          <w:tcPr>
            <w:tcW w:w="1276" w:type="dxa"/>
          </w:tcPr>
          <w:p>
            <w:pPr>
              <w:pStyle w:val="0"/>
            </w:pPr>
            <w:r>
              <w:rPr>
                <w:sz w:val="20"/>
              </w:rPr>
              <w:t xml:space="preserve">196,2</w:t>
            </w:r>
          </w:p>
        </w:tc>
        <w:tc>
          <w:tcPr>
            <w:tcW w:w="1276" w:type="dxa"/>
          </w:tcPr>
          <w:p>
            <w:pPr>
              <w:pStyle w:val="0"/>
            </w:pPr>
            <w:r>
              <w:rPr>
                <w:sz w:val="20"/>
              </w:rPr>
              <w:t xml:space="preserve">196,4</w:t>
            </w:r>
          </w:p>
        </w:tc>
        <w:tc>
          <w:tcPr>
            <w:tcW w:w="1382" w:type="dxa"/>
          </w:tcPr>
          <w:p>
            <w:pPr>
              <w:pStyle w:val="0"/>
            </w:pPr>
            <w:r>
              <w:rPr>
                <w:sz w:val="20"/>
              </w:rPr>
              <w:t xml:space="preserve">0,1</w:t>
            </w:r>
          </w:p>
        </w:tc>
      </w:tr>
      <w:tr>
        <w:tc>
          <w:tcPr>
            <w:tcW w:w="3685" w:type="dxa"/>
          </w:tcPr>
          <w:p>
            <w:pPr>
              <w:pStyle w:val="0"/>
            </w:pPr>
            <w:r>
              <w:rPr>
                <w:sz w:val="20"/>
              </w:rPr>
              <w:t xml:space="preserve">Болезни уха и сосцевидного отростка</w:t>
            </w:r>
          </w:p>
        </w:tc>
        <w:tc>
          <w:tcPr>
            <w:tcW w:w="1417" w:type="dxa"/>
          </w:tcPr>
          <w:p>
            <w:pPr>
              <w:pStyle w:val="0"/>
            </w:pPr>
            <w:r>
              <w:rPr>
                <w:sz w:val="20"/>
              </w:rPr>
              <w:t xml:space="preserve">33,9</w:t>
            </w:r>
          </w:p>
        </w:tc>
        <w:tc>
          <w:tcPr>
            <w:tcW w:w="1276" w:type="dxa"/>
          </w:tcPr>
          <w:p>
            <w:pPr>
              <w:pStyle w:val="0"/>
            </w:pPr>
            <w:r>
              <w:rPr>
                <w:sz w:val="20"/>
              </w:rPr>
              <w:t xml:space="preserve">31,9</w:t>
            </w:r>
          </w:p>
        </w:tc>
        <w:tc>
          <w:tcPr>
            <w:tcW w:w="1276" w:type="dxa"/>
          </w:tcPr>
          <w:p>
            <w:pPr>
              <w:pStyle w:val="0"/>
            </w:pPr>
            <w:r>
              <w:rPr>
                <w:sz w:val="20"/>
              </w:rPr>
              <w:t xml:space="preserve">29,4</w:t>
            </w:r>
          </w:p>
        </w:tc>
        <w:tc>
          <w:tcPr>
            <w:tcW w:w="1382" w:type="dxa"/>
          </w:tcPr>
          <w:p>
            <w:pPr>
              <w:pStyle w:val="0"/>
            </w:pPr>
            <w:r>
              <w:rPr>
                <w:sz w:val="20"/>
              </w:rPr>
              <w:t xml:space="preserve">-7,8</w:t>
            </w:r>
          </w:p>
        </w:tc>
      </w:tr>
      <w:tr>
        <w:tc>
          <w:tcPr>
            <w:tcW w:w="3685" w:type="dxa"/>
          </w:tcPr>
          <w:p>
            <w:pPr>
              <w:pStyle w:val="0"/>
            </w:pPr>
            <w:r>
              <w:rPr>
                <w:sz w:val="20"/>
              </w:rPr>
              <w:t xml:space="preserve">Болезни системы кровообращения</w:t>
            </w:r>
          </w:p>
        </w:tc>
        <w:tc>
          <w:tcPr>
            <w:tcW w:w="1417" w:type="dxa"/>
          </w:tcPr>
          <w:p>
            <w:pPr>
              <w:pStyle w:val="0"/>
            </w:pPr>
            <w:r>
              <w:rPr>
                <w:sz w:val="20"/>
              </w:rPr>
              <w:t xml:space="preserve">44,7</w:t>
            </w:r>
          </w:p>
        </w:tc>
        <w:tc>
          <w:tcPr>
            <w:tcW w:w="1276" w:type="dxa"/>
          </w:tcPr>
          <w:p>
            <w:pPr>
              <w:pStyle w:val="0"/>
            </w:pPr>
            <w:r>
              <w:rPr>
                <w:sz w:val="20"/>
              </w:rPr>
              <w:t xml:space="preserve">41</w:t>
            </w:r>
          </w:p>
        </w:tc>
        <w:tc>
          <w:tcPr>
            <w:tcW w:w="1276" w:type="dxa"/>
          </w:tcPr>
          <w:p>
            <w:pPr>
              <w:pStyle w:val="0"/>
            </w:pPr>
            <w:r>
              <w:rPr>
                <w:sz w:val="20"/>
              </w:rPr>
              <w:t xml:space="preserve">36,1</w:t>
            </w:r>
          </w:p>
        </w:tc>
        <w:tc>
          <w:tcPr>
            <w:tcW w:w="1382" w:type="dxa"/>
          </w:tcPr>
          <w:p>
            <w:pPr>
              <w:pStyle w:val="0"/>
            </w:pPr>
            <w:r>
              <w:rPr>
                <w:sz w:val="20"/>
              </w:rPr>
              <w:t xml:space="preserve">-12,0</w:t>
            </w:r>
          </w:p>
        </w:tc>
      </w:tr>
      <w:tr>
        <w:tc>
          <w:tcPr>
            <w:tcW w:w="3685" w:type="dxa"/>
          </w:tcPr>
          <w:p>
            <w:pPr>
              <w:pStyle w:val="0"/>
            </w:pPr>
            <w:r>
              <w:rPr>
                <w:sz w:val="20"/>
              </w:rPr>
              <w:t xml:space="preserve">Болезни органов дыхания (включая грипп, ОРВИ)</w:t>
            </w:r>
          </w:p>
        </w:tc>
        <w:tc>
          <w:tcPr>
            <w:tcW w:w="1417" w:type="dxa"/>
          </w:tcPr>
          <w:p>
            <w:pPr>
              <w:pStyle w:val="0"/>
            </w:pPr>
            <w:r>
              <w:rPr>
                <w:sz w:val="20"/>
              </w:rPr>
              <w:t xml:space="preserve">771,4</w:t>
            </w:r>
          </w:p>
        </w:tc>
        <w:tc>
          <w:tcPr>
            <w:tcW w:w="1276" w:type="dxa"/>
          </w:tcPr>
          <w:p>
            <w:pPr>
              <w:pStyle w:val="0"/>
            </w:pPr>
            <w:r>
              <w:rPr>
                <w:sz w:val="20"/>
              </w:rPr>
              <w:t xml:space="preserve">804,5</w:t>
            </w:r>
          </w:p>
        </w:tc>
        <w:tc>
          <w:tcPr>
            <w:tcW w:w="1276" w:type="dxa"/>
          </w:tcPr>
          <w:p>
            <w:pPr>
              <w:pStyle w:val="0"/>
            </w:pPr>
            <w:r>
              <w:rPr>
                <w:sz w:val="20"/>
              </w:rPr>
              <w:t xml:space="preserve">787,7</w:t>
            </w:r>
          </w:p>
        </w:tc>
        <w:tc>
          <w:tcPr>
            <w:tcW w:w="1382" w:type="dxa"/>
          </w:tcPr>
          <w:p>
            <w:pPr>
              <w:pStyle w:val="0"/>
            </w:pPr>
            <w:r>
              <w:rPr>
                <w:sz w:val="20"/>
              </w:rPr>
              <w:t xml:space="preserve">-2,1</w:t>
            </w:r>
          </w:p>
        </w:tc>
      </w:tr>
      <w:tr>
        <w:tc>
          <w:tcPr>
            <w:tcW w:w="3685" w:type="dxa"/>
          </w:tcPr>
          <w:p>
            <w:pPr>
              <w:pStyle w:val="0"/>
            </w:pPr>
            <w:r>
              <w:rPr>
                <w:sz w:val="20"/>
              </w:rPr>
              <w:t xml:space="preserve">Болезни органов пищеварения</w:t>
            </w:r>
          </w:p>
        </w:tc>
        <w:tc>
          <w:tcPr>
            <w:tcW w:w="1417" w:type="dxa"/>
          </w:tcPr>
          <w:p>
            <w:pPr>
              <w:pStyle w:val="0"/>
            </w:pPr>
            <w:r>
              <w:rPr>
                <w:sz w:val="20"/>
              </w:rPr>
              <w:t xml:space="preserve">154</w:t>
            </w:r>
          </w:p>
        </w:tc>
        <w:tc>
          <w:tcPr>
            <w:tcW w:w="1276" w:type="dxa"/>
          </w:tcPr>
          <w:p>
            <w:pPr>
              <w:pStyle w:val="0"/>
            </w:pPr>
            <w:r>
              <w:rPr>
                <w:sz w:val="20"/>
              </w:rPr>
              <w:t xml:space="preserve">152,9</w:t>
            </w:r>
          </w:p>
        </w:tc>
        <w:tc>
          <w:tcPr>
            <w:tcW w:w="1276" w:type="dxa"/>
          </w:tcPr>
          <w:p>
            <w:pPr>
              <w:pStyle w:val="0"/>
            </w:pPr>
            <w:r>
              <w:rPr>
                <w:sz w:val="20"/>
              </w:rPr>
              <w:t xml:space="preserve">116,5</w:t>
            </w:r>
          </w:p>
        </w:tc>
        <w:tc>
          <w:tcPr>
            <w:tcW w:w="1382" w:type="dxa"/>
          </w:tcPr>
          <w:p>
            <w:pPr>
              <w:pStyle w:val="0"/>
            </w:pPr>
            <w:r>
              <w:rPr>
                <w:sz w:val="20"/>
              </w:rPr>
              <w:t xml:space="preserve">-23,8</w:t>
            </w:r>
          </w:p>
        </w:tc>
      </w:tr>
      <w:tr>
        <w:tc>
          <w:tcPr>
            <w:tcW w:w="3685" w:type="dxa"/>
          </w:tcPr>
          <w:p>
            <w:pPr>
              <w:pStyle w:val="0"/>
            </w:pPr>
            <w:r>
              <w:rPr>
                <w:sz w:val="20"/>
              </w:rPr>
              <w:t xml:space="preserve">Болезни кожи и подкожной клетчатки</w:t>
            </w:r>
          </w:p>
        </w:tc>
        <w:tc>
          <w:tcPr>
            <w:tcW w:w="1417" w:type="dxa"/>
          </w:tcPr>
          <w:p>
            <w:pPr>
              <w:pStyle w:val="0"/>
            </w:pPr>
            <w:r>
              <w:rPr>
                <w:sz w:val="20"/>
              </w:rPr>
              <w:t xml:space="preserve">117</w:t>
            </w:r>
          </w:p>
        </w:tc>
        <w:tc>
          <w:tcPr>
            <w:tcW w:w="1276" w:type="dxa"/>
          </w:tcPr>
          <w:p>
            <w:pPr>
              <w:pStyle w:val="0"/>
            </w:pPr>
            <w:r>
              <w:rPr>
                <w:sz w:val="20"/>
              </w:rPr>
              <w:t xml:space="preserve">116,6</w:t>
            </w:r>
          </w:p>
        </w:tc>
        <w:tc>
          <w:tcPr>
            <w:tcW w:w="1276" w:type="dxa"/>
          </w:tcPr>
          <w:p>
            <w:pPr>
              <w:pStyle w:val="0"/>
            </w:pPr>
            <w:r>
              <w:rPr>
                <w:sz w:val="20"/>
              </w:rPr>
              <w:t xml:space="preserve">98,96</w:t>
            </w:r>
          </w:p>
        </w:tc>
        <w:tc>
          <w:tcPr>
            <w:tcW w:w="1382" w:type="dxa"/>
          </w:tcPr>
          <w:p>
            <w:pPr>
              <w:pStyle w:val="0"/>
            </w:pPr>
            <w:r>
              <w:rPr>
                <w:sz w:val="20"/>
              </w:rPr>
              <w:t xml:space="preserve">-15,1</w:t>
            </w:r>
          </w:p>
        </w:tc>
      </w:tr>
      <w:tr>
        <w:tc>
          <w:tcPr>
            <w:tcW w:w="3685" w:type="dxa"/>
          </w:tcPr>
          <w:p>
            <w:pPr>
              <w:pStyle w:val="0"/>
            </w:pPr>
            <w:r>
              <w:rPr>
                <w:sz w:val="20"/>
              </w:rPr>
              <w:t xml:space="preserve">Болезни костно-мышечной системы и соединительной ткани</w:t>
            </w:r>
          </w:p>
        </w:tc>
        <w:tc>
          <w:tcPr>
            <w:tcW w:w="1417" w:type="dxa"/>
          </w:tcPr>
          <w:p>
            <w:pPr>
              <w:pStyle w:val="0"/>
            </w:pPr>
            <w:r>
              <w:rPr>
                <w:sz w:val="20"/>
              </w:rPr>
              <w:t xml:space="preserve">147,6</w:t>
            </w:r>
          </w:p>
        </w:tc>
        <w:tc>
          <w:tcPr>
            <w:tcW w:w="1276" w:type="dxa"/>
          </w:tcPr>
          <w:p>
            <w:pPr>
              <w:pStyle w:val="0"/>
            </w:pPr>
            <w:r>
              <w:rPr>
                <w:sz w:val="20"/>
              </w:rPr>
              <w:t xml:space="preserve">147,2</w:t>
            </w:r>
          </w:p>
        </w:tc>
        <w:tc>
          <w:tcPr>
            <w:tcW w:w="1276" w:type="dxa"/>
          </w:tcPr>
          <w:p>
            <w:pPr>
              <w:pStyle w:val="0"/>
            </w:pPr>
            <w:r>
              <w:rPr>
                <w:sz w:val="20"/>
              </w:rPr>
              <w:t xml:space="preserve">124,5</w:t>
            </w:r>
          </w:p>
        </w:tc>
        <w:tc>
          <w:tcPr>
            <w:tcW w:w="1382" w:type="dxa"/>
          </w:tcPr>
          <w:p>
            <w:pPr>
              <w:pStyle w:val="0"/>
            </w:pPr>
            <w:r>
              <w:rPr>
                <w:sz w:val="20"/>
              </w:rPr>
              <w:t xml:space="preserve">-15,4</w:t>
            </w:r>
          </w:p>
        </w:tc>
      </w:tr>
      <w:tr>
        <w:tc>
          <w:tcPr>
            <w:tcW w:w="3685" w:type="dxa"/>
          </w:tcPr>
          <w:p>
            <w:pPr>
              <w:pStyle w:val="0"/>
            </w:pPr>
            <w:r>
              <w:rPr>
                <w:sz w:val="20"/>
              </w:rPr>
              <w:t xml:space="preserve">Болезни мочеполовой системы</w:t>
            </w:r>
          </w:p>
        </w:tc>
        <w:tc>
          <w:tcPr>
            <w:tcW w:w="1417" w:type="dxa"/>
          </w:tcPr>
          <w:p>
            <w:pPr>
              <w:pStyle w:val="0"/>
            </w:pPr>
            <w:r>
              <w:rPr>
                <w:sz w:val="20"/>
              </w:rPr>
              <w:t xml:space="preserve">106,6</w:t>
            </w:r>
          </w:p>
        </w:tc>
        <w:tc>
          <w:tcPr>
            <w:tcW w:w="1276" w:type="dxa"/>
          </w:tcPr>
          <w:p>
            <w:pPr>
              <w:pStyle w:val="0"/>
            </w:pPr>
            <w:r>
              <w:rPr>
                <w:sz w:val="20"/>
              </w:rPr>
              <w:t xml:space="preserve">129,2</w:t>
            </w:r>
          </w:p>
        </w:tc>
        <w:tc>
          <w:tcPr>
            <w:tcW w:w="1276" w:type="dxa"/>
          </w:tcPr>
          <w:p>
            <w:pPr>
              <w:pStyle w:val="0"/>
            </w:pPr>
            <w:r>
              <w:rPr>
                <w:sz w:val="20"/>
              </w:rPr>
              <w:t xml:space="preserve">85,9</w:t>
            </w:r>
          </w:p>
        </w:tc>
        <w:tc>
          <w:tcPr>
            <w:tcW w:w="1382" w:type="dxa"/>
          </w:tcPr>
          <w:p>
            <w:pPr>
              <w:pStyle w:val="0"/>
            </w:pPr>
            <w:r>
              <w:rPr>
                <w:sz w:val="20"/>
              </w:rPr>
              <w:t xml:space="preserve">-33,5</w:t>
            </w:r>
          </w:p>
        </w:tc>
      </w:tr>
      <w:tr>
        <w:tc>
          <w:tcPr>
            <w:tcW w:w="3685" w:type="dxa"/>
          </w:tcPr>
          <w:p>
            <w:pPr>
              <w:pStyle w:val="0"/>
            </w:pPr>
            <w:r>
              <w:rPr>
                <w:sz w:val="20"/>
              </w:rPr>
              <w:t xml:space="preserve">Врожденные аномалии (пороки развития), деформации и хромосомные нарушения</w:t>
            </w:r>
          </w:p>
        </w:tc>
        <w:tc>
          <w:tcPr>
            <w:tcW w:w="1417" w:type="dxa"/>
          </w:tcPr>
          <w:p>
            <w:pPr>
              <w:pStyle w:val="0"/>
            </w:pPr>
            <w:r>
              <w:rPr>
                <w:sz w:val="20"/>
              </w:rPr>
              <w:t xml:space="preserve">2,0,</w:t>
            </w:r>
          </w:p>
        </w:tc>
        <w:tc>
          <w:tcPr>
            <w:tcW w:w="1276" w:type="dxa"/>
          </w:tcPr>
          <w:p>
            <w:pPr>
              <w:pStyle w:val="0"/>
            </w:pPr>
            <w:r>
              <w:rPr>
                <w:sz w:val="20"/>
              </w:rPr>
              <w:t xml:space="preserve">2,0</w:t>
            </w:r>
          </w:p>
        </w:tc>
        <w:tc>
          <w:tcPr>
            <w:tcW w:w="1276" w:type="dxa"/>
          </w:tcPr>
          <w:p>
            <w:pPr>
              <w:pStyle w:val="0"/>
            </w:pPr>
            <w:r>
              <w:rPr>
                <w:sz w:val="20"/>
              </w:rPr>
              <w:t xml:space="preserve">1,9</w:t>
            </w:r>
          </w:p>
        </w:tc>
        <w:tc>
          <w:tcPr>
            <w:tcW w:w="1382" w:type="dxa"/>
          </w:tcPr>
          <w:p>
            <w:pPr>
              <w:pStyle w:val="0"/>
            </w:pPr>
            <w:r>
              <w:rPr>
                <w:sz w:val="20"/>
              </w:rPr>
              <w:t xml:space="preserve">-5,0</w:t>
            </w:r>
          </w:p>
        </w:tc>
      </w:tr>
      <w:tr>
        <w:tc>
          <w:tcPr>
            <w:tcW w:w="3685" w:type="dxa"/>
          </w:tcPr>
          <w:p>
            <w:pPr>
              <w:pStyle w:val="0"/>
            </w:pPr>
            <w:r>
              <w:rPr>
                <w:sz w:val="20"/>
              </w:rPr>
              <w:t xml:space="preserve">Травмы, отравления и некоторые другие последствия воздействия внешних причин</w:t>
            </w:r>
          </w:p>
        </w:tc>
        <w:tc>
          <w:tcPr>
            <w:tcW w:w="1417" w:type="dxa"/>
          </w:tcPr>
          <w:p>
            <w:pPr>
              <w:pStyle w:val="0"/>
            </w:pPr>
            <w:r>
              <w:rPr>
                <w:sz w:val="20"/>
              </w:rPr>
              <w:t xml:space="preserve">177,9</w:t>
            </w:r>
          </w:p>
        </w:tc>
        <w:tc>
          <w:tcPr>
            <w:tcW w:w="1276" w:type="dxa"/>
          </w:tcPr>
          <w:p>
            <w:pPr>
              <w:pStyle w:val="0"/>
            </w:pPr>
            <w:r>
              <w:rPr>
                <w:sz w:val="20"/>
              </w:rPr>
              <w:t xml:space="preserve">142,7</w:t>
            </w:r>
          </w:p>
        </w:tc>
        <w:tc>
          <w:tcPr>
            <w:tcW w:w="1276" w:type="dxa"/>
          </w:tcPr>
          <w:p>
            <w:pPr>
              <w:pStyle w:val="0"/>
            </w:pPr>
            <w:r>
              <w:rPr>
                <w:sz w:val="20"/>
              </w:rPr>
              <w:t xml:space="preserve">133,9</w:t>
            </w:r>
          </w:p>
        </w:tc>
        <w:tc>
          <w:tcPr>
            <w:tcW w:w="1382" w:type="dxa"/>
          </w:tcPr>
          <w:p>
            <w:pPr>
              <w:pStyle w:val="0"/>
            </w:pPr>
            <w:r>
              <w:rPr>
                <w:sz w:val="20"/>
              </w:rPr>
              <w:t xml:space="preserve">-6,2</w:t>
            </w:r>
          </w:p>
        </w:tc>
      </w:tr>
      <w:tr>
        <w:tc>
          <w:tcPr>
            <w:tcW w:w="3685" w:type="dxa"/>
          </w:tcPr>
          <w:p>
            <w:pPr>
              <w:pStyle w:val="0"/>
            </w:pPr>
            <w:r>
              <w:rPr>
                <w:sz w:val="20"/>
              </w:rPr>
              <w:t xml:space="preserve">Новая коронавирусная инфекция, вызванная COVID-19</w:t>
            </w:r>
          </w:p>
        </w:tc>
        <w:tc>
          <w:tcPr>
            <w:tcW w:w="1417" w:type="dxa"/>
          </w:tcPr>
          <w:p>
            <w:pPr>
              <w:pStyle w:val="0"/>
            </w:pPr>
            <w:r>
              <w:rPr>
                <w:sz w:val="20"/>
              </w:rPr>
              <w:t xml:space="preserve">0</w:t>
            </w:r>
          </w:p>
        </w:tc>
        <w:tc>
          <w:tcPr>
            <w:tcW w:w="1276" w:type="dxa"/>
          </w:tcPr>
          <w:p>
            <w:pPr>
              <w:pStyle w:val="0"/>
            </w:pPr>
            <w:r>
              <w:rPr>
                <w:sz w:val="20"/>
              </w:rPr>
              <w:t xml:space="preserve">0</w:t>
            </w:r>
          </w:p>
        </w:tc>
        <w:tc>
          <w:tcPr>
            <w:tcW w:w="1276" w:type="dxa"/>
          </w:tcPr>
          <w:p>
            <w:pPr>
              <w:pStyle w:val="0"/>
            </w:pPr>
            <w:r>
              <w:rPr>
                <w:sz w:val="20"/>
              </w:rPr>
              <w:t xml:space="preserve">27,6</w:t>
            </w:r>
          </w:p>
        </w:tc>
        <w:tc>
          <w:tcPr>
            <w:tcW w:w="1382" w:type="dxa"/>
          </w:tcPr>
          <w:p>
            <w:pPr>
              <w:pStyle w:val="0"/>
            </w:pPr>
            <w:r>
              <w:rPr>
                <w:sz w:val="20"/>
              </w:rPr>
              <w:t xml:space="preserve">0</w:t>
            </w:r>
          </w:p>
        </w:tc>
      </w:tr>
    </w:tbl>
    <w:p>
      <w:pPr>
        <w:pStyle w:val="0"/>
        <w:ind w:firstLine="540"/>
        <w:jc w:val="both"/>
      </w:pPr>
      <w:r>
        <w:rPr>
          <w:sz w:val="20"/>
        </w:rPr>
      </w:r>
    </w:p>
    <w:p>
      <w:pPr>
        <w:pStyle w:val="0"/>
        <w:ind w:firstLine="540"/>
        <w:jc w:val="both"/>
      </w:pPr>
      <w:r>
        <w:rPr>
          <w:sz w:val="20"/>
        </w:rPr>
        <w:t xml:space="preserve">При этом снижение зарегистрировано по всем классам болезней, кроме болезней крови и кроветворных органов (11,2): на 33,5% - показателя общей заболеваемости мочеполовой системы; на 20% и более - по инфекционным и паразитарным заболеваниям (-29,2%), болезням органов пищеварения (-23,8%); менее 20% и более 10% - новообразования (-12,5%), психические расстройства (-12%), болезни системы кровообращения (-12%), болезни кожи (-15,1%), болезни костно-мышечной системы (-15,4%).</w:t>
      </w:r>
    </w:p>
    <w:p>
      <w:pPr>
        <w:pStyle w:val="0"/>
        <w:spacing w:before="200" w:line-rule="auto"/>
        <w:ind w:firstLine="540"/>
        <w:jc w:val="both"/>
      </w:pPr>
      <w:r>
        <w:rPr>
          <w:sz w:val="20"/>
        </w:rPr>
        <w:t xml:space="preserve">В структуре общей заболеваемости подростков первое место занимают болезни органов дыхания (41%). Далее следуют болезни глаза и его придаточного аппарата (10%), травмы, отравления и некоторые другие последствия воздействия внешних причин (7%), болезни органов пищеварения (6%), болезни костно-мышечной системы (6%), болезни нервной системы (6%), болезни кожи и подкожной клетчатки (5%), инфекционные и паразитарные болезни (2%), по 4% - эндокринных заболеваний и мочеполовой системы.</w:t>
      </w:r>
    </w:p>
    <w:p>
      <w:pPr>
        <w:pStyle w:val="0"/>
        <w:spacing w:before="200" w:line-rule="auto"/>
        <w:ind w:firstLine="540"/>
        <w:jc w:val="both"/>
      </w:pPr>
      <w:r>
        <w:rPr>
          <w:sz w:val="20"/>
        </w:rPr>
        <w:t xml:space="preserve">В автономном округе имеет место снижение первичной заболеваемости подростков </w:t>
      </w:r>
      <w:hyperlink w:history="0" w:anchor="P523" w:tooltip="Первичная заболеваемость населения автономного округа, дети">
        <w:r>
          <w:rPr>
            <w:sz w:val="20"/>
            <w:color w:val="0000ff"/>
          </w:rPr>
          <w:t xml:space="preserve">(таблица 5)</w:t>
        </w:r>
      </w:hyperlink>
      <w:r>
        <w:rPr>
          <w:sz w:val="20"/>
        </w:rPr>
        <w:t xml:space="preserve"> от 15 до 17 лет на 9,3% (с 1294,3 на 1 тыс. населения в 2019 году до 1173,4 в 2020 году). По УрФО в 2019 году этот показатель составил 1368,7, по Российской Федерации - 1371,3 на 1 тыс. населения, за 2020 год нет данных.</w:t>
      </w:r>
    </w:p>
    <w:p>
      <w:pPr>
        <w:pStyle w:val="0"/>
        <w:ind w:firstLine="540"/>
        <w:jc w:val="both"/>
      </w:pPr>
      <w:r>
        <w:rPr>
          <w:sz w:val="20"/>
        </w:rPr>
      </w:r>
    </w:p>
    <w:p>
      <w:pPr>
        <w:pStyle w:val="0"/>
        <w:outlineLvl w:val="2"/>
        <w:jc w:val="right"/>
      </w:pPr>
      <w:r>
        <w:rPr>
          <w:sz w:val="20"/>
        </w:rPr>
        <w:t xml:space="preserve">Таблица 5</w:t>
      </w:r>
    </w:p>
    <w:p>
      <w:pPr>
        <w:pStyle w:val="0"/>
        <w:ind w:firstLine="540"/>
        <w:jc w:val="both"/>
      </w:pPr>
      <w:r>
        <w:rPr>
          <w:sz w:val="20"/>
        </w:rPr>
      </w:r>
    </w:p>
    <w:bookmarkStart w:id="523" w:name="P523"/>
    <w:bookmarkEnd w:id="523"/>
    <w:p>
      <w:pPr>
        <w:pStyle w:val="2"/>
        <w:jc w:val="center"/>
      </w:pPr>
      <w:r>
        <w:rPr>
          <w:sz w:val="20"/>
        </w:rPr>
        <w:t xml:space="preserve">Первичная заболеваемость населения автономного округа, дети</w:t>
      </w:r>
    </w:p>
    <w:p>
      <w:pPr>
        <w:pStyle w:val="2"/>
        <w:jc w:val="center"/>
      </w:pPr>
      <w:r>
        <w:rPr>
          <w:sz w:val="20"/>
        </w:rPr>
        <w:t xml:space="preserve">в возрасте 15 - 17 лет (на 1 тыс. человек)</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1417"/>
        <w:gridCol w:w="1276"/>
        <w:gridCol w:w="1276"/>
        <w:gridCol w:w="1382"/>
      </w:tblGrid>
      <w:tr>
        <w:tc>
          <w:tcPr>
            <w:tcW w:w="3628" w:type="dxa"/>
          </w:tcPr>
          <w:p>
            <w:pPr>
              <w:pStyle w:val="0"/>
              <w:jc w:val="center"/>
            </w:pPr>
            <w:r>
              <w:rPr>
                <w:sz w:val="20"/>
              </w:rPr>
              <w:t xml:space="preserve">Классы болезней МКБ-10</w:t>
            </w:r>
          </w:p>
        </w:tc>
        <w:tc>
          <w:tcPr>
            <w:tcW w:w="1417" w:type="dxa"/>
          </w:tcPr>
          <w:p>
            <w:pPr>
              <w:pStyle w:val="0"/>
              <w:jc w:val="center"/>
            </w:pPr>
            <w:r>
              <w:rPr>
                <w:sz w:val="20"/>
              </w:rPr>
              <w:t xml:space="preserve">2018 год</w:t>
            </w:r>
          </w:p>
        </w:tc>
        <w:tc>
          <w:tcPr>
            <w:tcW w:w="1276" w:type="dxa"/>
          </w:tcPr>
          <w:p>
            <w:pPr>
              <w:pStyle w:val="0"/>
              <w:jc w:val="center"/>
            </w:pPr>
            <w:r>
              <w:rPr>
                <w:sz w:val="20"/>
              </w:rPr>
              <w:t xml:space="preserve">2019 год</w:t>
            </w:r>
          </w:p>
        </w:tc>
        <w:tc>
          <w:tcPr>
            <w:tcW w:w="1276" w:type="dxa"/>
          </w:tcPr>
          <w:p>
            <w:pPr>
              <w:pStyle w:val="0"/>
              <w:jc w:val="center"/>
            </w:pPr>
            <w:r>
              <w:rPr>
                <w:sz w:val="20"/>
              </w:rPr>
              <w:t xml:space="preserve">2020 год</w:t>
            </w:r>
          </w:p>
        </w:tc>
        <w:tc>
          <w:tcPr>
            <w:tcW w:w="1382" w:type="dxa"/>
          </w:tcPr>
          <w:p>
            <w:pPr>
              <w:pStyle w:val="0"/>
              <w:jc w:val="center"/>
            </w:pPr>
            <w:r>
              <w:rPr>
                <w:sz w:val="20"/>
              </w:rPr>
              <w:t xml:space="preserve">Темп прироста/ убыли к 2019 году, %</w:t>
            </w:r>
          </w:p>
        </w:tc>
      </w:tr>
      <w:tr>
        <w:tc>
          <w:tcPr>
            <w:tcW w:w="3628" w:type="dxa"/>
          </w:tcPr>
          <w:p>
            <w:pPr>
              <w:pStyle w:val="0"/>
            </w:pPr>
            <w:r>
              <w:rPr>
                <w:sz w:val="20"/>
              </w:rPr>
              <w:t xml:space="preserve">Всего</w:t>
            </w:r>
          </w:p>
        </w:tc>
        <w:tc>
          <w:tcPr>
            <w:tcW w:w="1417" w:type="dxa"/>
          </w:tcPr>
          <w:p>
            <w:pPr>
              <w:pStyle w:val="0"/>
            </w:pPr>
            <w:r>
              <w:rPr>
                <w:sz w:val="20"/>
              </w:rPr>
              <w:t xml:space="preserve">1316,3</w:t>
            </w:r>
          </w:p>
        </w:tc>
        <w:tc>
          <w:tcPr>
            <w:tcW w:w="1276" w:type="dxa"/>
          </w:tcPr>
          <w:p>
            <w:pPr>
              <w:pStyle w:val="0"/>
            </w:pPr>
            <w:r>
              <w:rPr>
                <w:sz w:val="20"/>
              </w:rPr>
              <w:t xml:space="preserve">1294,3</w:t>
            </w:r>
          </w:p>
        </w:tc>
        <w:tc>
          <w:tcPr>
            <w:tcW w:w="1276" w:type="dxa"/>
          </w:tcPr>
          <w:p>
            <w:pPr>
              <w:pStyle w:val="0"/>
            </w:pPr>
            <w:r>
              <w:rPr>
                <w:sz w:val="20"/>
              </w:rPr>
              <w:t xml:space="preserve">1173,4</w:t>
            </w:r>
          </w:p>
        </w:tc>
        <w:tc>
          <w:tcPr>
            <w:tcW w:w="1382" w:type="dxa"/>
          </w:tcPr>
          <w:p>
            <w:pPr>
              <w:pStyle w:val="0"/>
            </w:pPr>
            <w:r>
              <w:rPr>
                <w:sz w:val="20"/>
              </w:rPr>
              <w:t xml:space="preserve">-9,3</w:t>
            </w:r>
          </w:p>
        </w:tc>
      </w:tr>
      <w:tr>
        <w:tc>
          <w:tcPr>
            <w:tcW w:w="3628" w:type="dxa"/>
          </w:tcPr>
          <w:p>
            <w:pPr>
              <w:pStyle w:val="0"/>
            </w:pPr>
            <w:r>
              <w:rPr>
                <w:sz w:val="20"/>
              </w:rPr>
              <w:t xml:space="preserve">Инфекционные и паразитарные болезни</w:t>
            </w:r>
          </w:p>
        </w:tc>
        <w:tc>
          <w:tcPr>
            <w:tcW w:w="1417" w:type="dxa"/>
          </w:tcPr>
          <w:p>
            <w:pPr>
              <w:pStyle w:val="0"/>
            </w:pPr>
            <w:r>
              <w:rPr>
                <w:sz w:val="20"/>
              </w:rPr>
              <w:t xml:space="preserve">31,9</w:t>
            </w:r>
          </w:p>
        </w:tc>
        <w:tc>
          <w:tcPr>
            <w:tcW w:w="1276" w:type="dxa"/>
          </w:tcPr>
          <w:p>
            <w:pPr>
              <w:pStyle w:val="0"/>
            </w:pPr>
            <w:r>
              <w:rPr>
                <w:sz w:val="20"/>
              </w:rPr>
              <w:t xml:space="preserve">34,6</w:t>
            </w:r>
          </w:p>
        </w:tc>
        <w:tc>
          <w:tcPr>
            <w:tcW w:w="1276" w:type="dxa"/>
          </w:tcPr>
          <w:p>
            <w:pPr>
              <w:pStyle w:val="0"/>
            </w:pPr>
            <w:r>
              <w:rPr>
                <w:sz w:val="20"/>
              </w:rPr>
              <w:t xml:space="preserve">22,8</w:t>
            </w:r>
          </w:p>
        </w:tc>
        <w:tc>
          <w:tcPr>
            <w:tcW w:w="1382" w:type="dxa"/>
          </w:tcPr>
          <w:p>
            <w:pPr>
              <w:pStyle w:val="0"/>
            </w:pPr>
            <w:r>
              <w:rPr>
                <w:sz w:val="20"/>
              </w:rPr>
              <w:t xml:space="preserve">-34,1</w:t>
            </w:r>
          </w:p>
        </w:tc>
      </w:tr>
      <w:tr>
        <w:tc>
          <w:tcPr>
            <w:tcW w:w="3628" w:type="dxa"/>
          </w:tcPr>
          <w:p>
            <w:pPr>
              <w:pStyle w:val="0"/>
            </w:pPr>
            <w:r>
              <w:rPr>
                <w:sz w:val="20"/>
              </w:rPr>
              <w:t xml:space="preserve">Новообразования</w:t>
            </w:r>
          </w:p>
        </w:tc>
        <w:tc>
          <w:tcPr>
            <w:tcW w:w="1417" w:type="dxa"/>
          </w:tcPr>
          <w:p>
            <w:pPr>
              <w:pStyle w:val="0"/>
            </w:pPr>
            <w:r>
              <w:rPr>
                <w:sz w:val="20"/>
              </w:rPr>
              <w:t xml:space="preserve">4,4</w:t>
            </w:r>
          </w:p>
        </w:tc>
        <w:tc>
          <w:tcPr>
            <w:tcW w:w="1276" w:type="dxa"/>
          </w:tcPr>
          <w:p>
            <w:pPr>
              <w:pStyle w:val="0"/>
            </w:pPr>
            <w:r>
              <w:rPr>
                <w:sz w:val="20"/>
              </w:rPr>
              <w:t xml:space="preserve">4, 4</w:t>
            </w:r>
          </w:p>
        </w:tc>
        <w:tc>
          <w:tcPr>
            <w:tcW w:w="1276" w:type="dxa"/>
          </w:tcPr>
          <w:p>
            <w:pPr>
              <w:pStyle w:val="0"/>
            </w:pPr>
            <w:r>
              <w:rPr>
                <w:sz w:val="20"/>
              </w:rPr>
              <w:t xml:space="preserve">3</w:t>
            </w:r>
          </w:p>
        </w:tc>
        <w:tc>
          <w:tcPr>
            <w:tcW w:w="1382" w:type="dxa"/>
          </w:tcPr>
          <w:p>
            <w:pPr>
              <w:pStyle w:val="0"/>
            </w:pPr>
            <w:r>
              <w:rPr>
                <w:sz w:val="20"/>
              </w:rPr>
              <w:t xml:space="preserve">-31,8</w:t>
            </w:r>
          </w:p>
        </w:tc>
      </w:tr>
      <w:tr>
        <w:tc>
          <w:tcPr>
            <w:tcW w:w="3628" w:type="dxa"/>
          </w:tcPr>
          <w:p>
            <w:pPr>
              <w:pStyle w:val="0"/>
            </w:pPr>
            <w:r>
              <w:rPr>
                <w:sz w:val="20"/>
              </w:rPr>
              <w:t xml:space="preserve">Болезни крови и кроветворных органов и отдельные нарушения, вовлекающие иммунный механизм</w:t>
            </w:r>
          </w:p>
        </w:tc>
        <w:tc>
          <w:tcPr>
            <w:tcW w:w="1417" w:type="dxa"/>
          </w:tcPr>
          <w:p>
            <w:pPr>
              <w:pStyle w:val="0"/>
            </w:pPr>
            <w:r>
              <w:rPr>
                <w:sz w:val="20"/>
              </w:rPr>
              <w:t xml:space="preserve">4,8</w:t>
            </w:r>
          </w:p>
        </w:tc>
        <w:tc>
          <w:tcPr>
            <w:tcW w:w="1276" w:type="dxa"/>
          </w:tcPr>
          <w:p>
            <w:pPr>
              <w:pStyle w:val="0"/>
            </w:pPr>
            <w:r>
              <w:rPr>
                <w:sz w:val="20"/>
              </w:rPr>
              <w:t xml:space="preserve">5,7</w:t>
            </w:r>
          </w:p>
        </w:tc>
        <w:tc>
          <w:tcPr>
            <w:tcW w:w="1276" w:type="dxa"/>
          </w:tcPr>
          <w:p>
            <w:pPr>
              <w:pStyle w:val="0"/>
            </w:pPr>
            <w:r>
              <w:rPr>
                <w:sz w:val="20"/>
              </w:rPr>
              <w:t xml:space="preserve">4,7</w:t>
            </w:r>
          </w:p>
        </w:tc>
        <w:tc>
          <w:tcPr>
            <w:tcW w:w="1382" w:type="dxa"/>
          </w:tcPr>
          <w:p>
            <w:pPr>
              <w:pStyle w:val="0"/>
            </w:pPr>
            <w:r>
              <w:rPr>
                <w:sz w:val="20"/>
              </w:rPr>
              <w:t xml:space="preserve">-17,5</w:t>
            </w:r>
          </w:p>
        </w:tc>
      </w:tr>
      <w:tr>
        <w:tc>
          <w:tcPr>
            <w:tcW w:w="3628" w:type="dxa"/>
          </w:tcPr>
          <w:p>
            <w:pPr>
              <w:pStyle w:val="0"/>
            </w:pPr>
            <w:r>
              <w:rPr>
                <w:sz w:val="20"/>
              </w:rPr>
              <w:t xml:space="preserve">Болезни эндокринной системы, расстройства питания, нарушение обмена веществ</w:t>
            </w:r>
          </w:p>
        </w:tc>
        <w:tc>
          <w:tcPr>
            <w:tcW w:w="1417" w:type="dxa"/>
          </w:tcPr>
          <w:p>
            <w:pPr>
              <w:pStyle w:val="0"/>
            </w:pPr>
            <w:r>
              <w:rPr>
                <w:sz w:val="20"/>
              </w:rPr>
              <w:t xml:space="preserve">21</w:t>
            </w:r>
          </w:p>
        </w:tc>
        <w:tc>
          <w:tcPr>
            <w:tcW w:w="1276" w:type="dxa"/>
          </w:tcPr>
          <w:p>
            <w:pPr>
              <w:pStyle w:val="0"/>
            </w:pPr>
            <w:r>
              <w:rPr>
                <w:sz w:val="20"/>
              </w:rPr>
              <w:t xml:space="preserve">19,8</w:t>
            </w:r>
          </w:p>
        </w:tc>
        <w:tc>
          <w:tcPr>
            <w:tcW w:w="1276" w:type="dxa"/>
          </w:tcPr>
          <w:p>
            <w:pPr>
              <w:pStyle w:val="0"/>
            </w:pPr>
            <w:r>
              <w:rPr>
                <w:sz w:val="20"/>
              </w:rPr>
              <w:t xml:space="preserve">16,5</w:t>
            </w:r>
          </w:p>
        </w:tc>
        <w:tc>
          <w:tcPr>
            <w:tcW w:w="1382" w:type="dxa"/>
          </w:tcPr>
          <w:p>
            <w:pPr>
              <w:pStyle w:val="0"/>
            </w:pPr>
            <w:r>
              <w:rPr>
                <w:sz w:val="20"/>
              </w:rPr>
              <w:t xml:space="preserve">-16,7</w:t>
            </w:r>
          </w:p>
        </w:tc>
      </w:tr>
      <w:tr>
        <w:tc>
          <w:tcPr>
            <w:tcW w:w="3628" w:type="dxa"/>
          </w:tcPr>
          <w:p>
            <w:pPr>
              <w:pStyle w:val="0"/>
            </w:pPr>
            <w:r>
              <w:rPr>
                <w:sz w:val="20"/>
              </w:rPr>
              <w:t xml:space="preserve">Психические расстройства и расстройства поведения</w:t>
            </w:r>
          </w:p>
        </w:tc>
        <w:tc>
          <w:tcPr>
            <w:tcW w:w="1417" w:type="dxa"/>
          </w:tcPr>
          <w:p>
            <w:pPr>
              <w:pStyle w:val="0"/>
            </w:pPr>
            <w:r>
              <w:rPr>
                <w:sz w:val="20"/>
              </w:rPr>
              <w:t xml:space="preserve">5,8</w:t>
            </w:r>
          </w:p>
        </w:tc>
        <w:tc>
          <w:tcPr>
            <w:tcW w:w="1276" w:type="dxa"/>
          </w:tcPr>
          <w:p>
            <w:pPr>
              <w:pStyle w:val="0"/>
            </w:pPr>
            <w:r>
              <w:rPr>
                <w:sz w:val="20"/>
              </w:rPr>
              <w:t xml:space="preserve">7,9</w:t>
            </w:r>
          </w:p>
        </w:tc>
        <w:tc>
          <w:tcPr>
            <w:tcW w:w="1276" w:type="dxa"/>
          </w:tcPr>
          <w:p>
            <w:pPr>
              <w:pStyle w:val="0"/>
            </w:pPr>
            <w:r>
              <w:rPr>
                <w:sz w:val="20"/>
              </w:rPr>
              <w:t xml:space="preserve">5,2</w:t>
            </w:r>
          </w:p>
        </w:tc>
        <w:tc>
          <w:tcPr>
            <w:tcW w:w="1382" w:type="dxa"/>
          </w:tcPr>
          <w:p>
            <w:pPr>
              <w:pStyle w:val="0"/>
            </w:pPr>
            <w:r>
              <w:rPr>
                <w:sz w:val="20"/>
              </w:rPr>
              <w:t xml:space="preserve">-34,2</w:t>
            </w:r>
          </w:p>
        </w:tc>
      </w:tr>
      <w:tr>
        <w:tc>
          <w:tcPr>
            <w:tcW w:w="3628" w:type="dxa"/>
          </w:tcPr>
          <w:p>
            <w:pPr>
              <w:pStyle w:val="0"/>
            </w:pPr>
            <w:r>
              <w:rPr>
                <w:sz w:val="20"/>
              </w:rPr>
              <w:t xml:space="preserve">Болезни нервной системы</w:t>
            </w:r>
          </w:p>
        </w:tc>
        <w:tc>
          <w:tcPr>
            <w:tcW w:w="1417" w:type="dxa"/>
          </w:tcPr>
          <w:p>
            <w:pPr>
              <w:pStyle w:val="0"/>
            </w:pPr>
            <w:r>
              <w:rPr>
                <w:sz w:val="20"/>
              </w:rPr>
              <w:t xml:space="preserve">37,9</w:t>
            </w:r>
          </w:p>
        </w:tc>
        <w:tc>
          <w:tcPr>
            <w:tcW w:w="1276" w:type="dxa"/>
          </w:tcPr>
          <w:p>
            <w:pPr>
              <w:pStyle w:val="0"/>
            </w:pPr>
            <w:r>
              <w:rPr>
                <w:sz w:val="20"/>
              </w:rPr>
              <w:t xml:space="preserve">38,6</w:t>
            </w:r>
          </w:p>
        </w:tc>
        <w:tc>
          <w:tcPr>
            <w:tcW w:w="1276" w:type="dxa"/>
          </w:tcPr>
          <w:p>
            <w:pPr>
              <w:pStyle w:val="0"/>
            </w:pPr>
            <w:r>
              <w:rPr>
                <w:sz w:val="20"/>
              </w:rPr>
              <w:t xml:space="preserve">24,5</w:t>
            </w:r>
          </w:p>
        </w:tc>
        <w:tc>
          <w:tcPr>
            <w:tcW w:w="1382" w:type="dxa"/>
          </w:tcPr>
          <w:p>
            <w:pPr>
              <w:pStyle w:val="0"/>
            </w:pPr>
            <w:r>
              <w:rPr>
                <w:sz w:val="20"/>
              </w:rPr>
              <w:t xml:space="preserve">-36,5</w:t>
            </w:r>
          </w:p>
        </w:tc>
      </w:tr>
      <w:tr>
        <w:tc>
          <w:tcPr>
            <w:tcW w:w="3628" w:type="dxa"/>
          </w:tcPr>
          <w:p>
            <w:pPr>
              <w:pStyle w:val="0"/>
            </w:pPr>
            <w:r>
              <w:rPr>
                <w:sz w:val="20"/>
              </w:rPr>
              <w:t xml:space="preserve">Болезни глаза и его придаточного аппарата</w:t>
            </w:r>
          </w:p>
        </w:tc>
        <w:tc>
          <w:tcPr>
            <w:tcW w:w="1417" w:type="dxa"/>
          </w:tcPr>
          <w:p>
            <w:pPr>
              <w:pStyle w:val="0"/>
            </w:pPr>
            <w:r>
              <w:rPr>
                <w:sz w:val="20"/>
              </w:rPr>
              <w:t xml:space="preserve">44</w:t>
            </w:r>
          </w:p>
        </w:tc>
        <w:tc>
          <w:tcPr>
            <w:tcW w:w="1276" w:type="dxa"/>
          </w:tcPr>
          <w:p>
            <w:pPr>
              <w:pStyle w:val="0"/>
            </w:pPr>
            <w:r>
              <w:rPr>
                <w:sz w:val="20"/>
              </w:rPr>
              <w:t xml:space="preserve">31,7</w:t>
            </w:r>
          </w:p>
        </w:tc>
        <w:tc>
          <w:tcPr>
            <w:tcW w:w="1276" w:type="dxa"/>
          </w:tcPr>
          <w:p>
            <w:pPr>
              <w:pStyle w:val="0"/>
            </w:pPr>
            <w:r>
              <w:rPr>
                <w:sz w:val="20"/>
              </w:rPr>
              <w:t xml:space="preserve">26,8</w:t>
            </w:r>
          </w:p>
        </w:tc>
        <w:tc>
          <w:tcPr>
            <w:tcW w:w="1382" w:type="dxa"/>
          </w:tcPr>
          <w:p>
            <w:pPr>
              <w:pStyle w:val="0"/>
            </w:pPr>
            <w:r>
              <w:rPr>
                <w:sz w:val="20"/>
              </w:rPr>
              <w:t xml:space="preserve">-15,5</w:t>
            </w:r>
          </w:p>
        </w:tc>
      </w:tr>
      <w:tr>
        <w:tc>
          <w:tcPr>
            <w:tcW w:w="3628" w:type="dxa"/>
          </w:tcPr>
          <w:p>
            <w:pPr>
              <w:pStyle w:val="0"/>
            </w:pPr>
            <w:r>
              <w:rPr>
                <w:sz w:val="20"/>
              </w:rPr>
              <w:t xml:space="preserve">Болезни уха и сосцевидного отростка</w:t>
            </w:r>
          </w:p>
        </w:tc>
        <w:tc>
          <w:tcPr>
            <w:tcW w:w="1417" w:type="dxa"/>
          </w:tcPr>
          <w:p>
            <w:pPr>
              <w:pStyle w:val="0"/>
            </w:pPr>
            <w:r>
              <w:rPr>
                <w:sz w:val="20"/>
              </w:rPr>
              <w:t xml:space="preserve">22,9</w:t>
            </w:r>
          </w:p>
        </w:tc>
        <w:tc>
          <w:tcPr>
            <w:tcW w:w="1276" w:type="dxa"/>
          </w:tcPr>
          <w:p>
            <w:pPr>
              <w:pStyle w:val="0"/>
            </w:pPr>
            <w:r>
              <w:rPr>
                <w:sz w:val="20"/>
              </w:rPr>
              <w:t xml:space="preserve">22,1</w:t>
            </w:r>
          </w:p>
        </w:tc>
        <w:tc>
          <w:tcPr>
            <w:tcW w:w="1276" w:type="dxa"/>
          </w:tcPr>
          <w:p>
            <w:pPr>
              <w:pStyle w:val="0"/>
            </w:pPr>
            <w:r>
              <w:rPr>
                <w:sz w:val="20"/>
              </w:rPr>
              <w:t xml:space="preserve">17,4</w:t>
            </w:r>
          </w:p>
        </w:tc>
        <w:tc>
          <w:tcPr>
            <w:tcW w:w="1382" w:type="dxa"/>
          </w:tcPr>
          <w:p>
            <w:pPr>
              <w:pStyle w:val="0"/>
            </w:pPr>
            <w:r>
              <w:rPr>
                <w:sz w:val="20"/>
              </w:rPr>
              <w:t xml:space="preserve">-21,3</w:t>
            </w:r>
          </w:p>
        </w:tc>
      </w:tr>
      <w:tr>
        <w:tc>
          <w:tcPr>
            <w:tcW w:w="3628" w:type="dxa"/>
          </w:tcPr>
          <w:p>
            <w:pPr>
              <w:pStyle w:val="0"/>
            </w:pPr>
            <w:r>
              <w:rPr>
                <w:sz w:val="20"/>
              </w:rPr>
              <w:t xml:space="preserve">Болезни системы кровообращения</w:t>
            </w:r>
          </w:p>
        </w:tc>
        <w:tc>
          <w:tcPr>
            <w:tcW w:w="1417" w:type="dxa"/>
          </w:tcPr>
          <w:p>
            <w:pPr>
              <w:pStyle w:val="0"/>
            </w:pPr>
            <w:r>
              <w:rPr>
                <w:sz w:val="20"/>
              </w:rPr>
              <w:t xml:space="preserve">14</w:t>
            </w:r>
          </w:p>
        </w:tc>
        <w:tc>
          <w:tcPr>
            <w:tcW w:w="1276" w:type="dxa"/>
          </w:tcPr>
          <w:p>
            <w:pPr>
              <w:pStyle w:val="0"/>
            </w:pPr>
            <w:r>
              <w:rPr>
                <w:sz w:val="20"/>
              </w:rPr>
              <w:t xml:space="preserve">10,1</w:t>
            </w:r>
          </w:p>
        </w:tc>
        <w:tc>
          <w:tcPr>
            <w:tcW w:w="1276" w:type="dxa"/>
          </w:tcPr>
          <w:p>
            <w:pPr>
              <w:pStyle w:val="0"/>
            </w:pPr>
            <w:r>
              <w:rPr>
                <w:sz w:val="20"/>
              </w:rPr>
              <w:t xml:space="preserve">7,4</w:t>
            </w:r>
          </w:p>
        </w:tc>
        <w:tc>
          <w:tcPr>
            <w:tcW w:w="1382" w:type="dxa"/>
          </w:tcPr>
          <w:p>
            <w:pPr>
              <w:pStyle w:val="0"/>
            </w:pPr>
            <w:r>
              <w:rPr>
                <w:sz w:val="20"/>
              </w:rPr>
              <w:t xml:space="preserve">-26,7</w:t>
            </w:r>
          </w:p>
        </w:tc>
      </w:tr>
      <w:tr>
        <w:tc>
          <w:tcPr>
            <w:tcW w:w="3628" w:type="dxa"/>
          </w:tcPr>
          <w:p>
            <w:pPr>
              <w:pStyle w:val="0"/>
            </w:pPr>
            <w:r>
              <w:rPr>
                <w:sz w:val="20"/>
              </w:rPr>
              <w:t xml:space="preserve">Болезни органов дыхания (включая грипп, ОРВИ)</w:t>
            </w:r>
          </w:p>
        </w:tc>
        <w:tc>
          <w:tcPr>
            <w:tcW w:w="1417" w:type="dxa"/>
          </w:tcPr>
          <w:p>
            <w:pPr>
              <w:pStyle w:val="0"/>
            </w:pPr>
            <w:r>
              <w:rPr>
                <w:sz w:val="20"/>
              </w:rPr>
              <w:t xml:space="preserve">688,1</w:t>
            </w:r>
          </w:p>
        </w:tc>
        <w:tc>
          <w:tcPr>
            <w:tcW w:w="1276" w:type="dxa"/>
          </w:tcPr>
          <w:p>
            <w:pPr>
              <w:pStyle w:val="0"/>
            </w:pPr>
            <w:r>
              <w:rPr>
                <w:sz w:val="20"/>
              </w:rPr>
              <w:t xml:space="preserve">729,1</w:t>
            </w:r>
          </w:p>
        </w:tc>
        <w:tc>
          <w:tcPr>
            <w:tcW w:w="1276" w:type="dxa"/>
          </w:tcPr>
          <w:p>
            <w:pPr>
              <w:pStyle w:val="0"/>
            </w:pPr>
            <w:r>
              <w:rPr>
                <w:sz w:val="20"/>
              </w:rPr>
              <w:t xml:space="preserve">716,3</w:t>
            </w:r>
          </w:p>
        </w:tc>
        <w:tc>
          <w:tcPr>
            <w:tcW w:w="1382" w:type="dxa"/>
          </w:tcPr>
          <w:p>
            <w:pPr>
              <w:pStyle w:val="0"/>
            </w:pPr>
            <w:r>
              <w:rPr>
                <w:sz w:val="20"/>
              </w:rPr>
              <w:t xml:space="preserve">-1,8</w:t>
            </w:r>
          </w:p>
        </w:tc>
      </w:tr>
      <w:tr>
        <w:tc>
          <w:tcPr>
            <w:tcW w:w="3628" w:type="dxa"/>
          </w:tcPr>
          <w:p>
            <w:pPr>
              <w:pStyle w:val="0"/>
            </w:pPr>
            <w:r>
              <w:rPr>
                <w:sz w:val="20"/>
              </w:rPr>
              <w:t xml:space="preserve">Болезни органов пищеварения</w:t>
            </w:r>
          </w:p>
        </w:tc>
        <w:tc>
          <w:tcPr>
            <w:tcW w:w="1417" w:type="dxa"/>
          </w:tcPr>
          <w:p>
            <w:pPr>
              <w:pStyle w:val="0"/>
            </w:pPr>
            <w:r>
              <w:rPr>
                <w:sz w:val="20"/>
              </w:rPr>
              <w:t xml:space="preserve">79,4</w:t>
            </w:r>
          </w:p>
        </w:tc>
        <w:tc>
          <w:tcPr>
            <w:tcW w:w="1276" w:type="dxa"/>
          </w:tcPr>
          <w:p>
            <w:pPr>
              <w:pStyle w:val="0"/>
            </w:pPr>
            <w:r>
              <w:rPr>
                <w:sz w:val="20"/>
              </w:rPr>
              <w:t xml:space="preserve">48,9</w:t>
            </w:r>
          </w:p>
        </w:tc>
        <w:tc>
          <w:tcPr>
            <w:tcW w:w="1276" w:type="dxa"/>
          </w:tcPr>
          <w:p>
            <w:pPr>
              <w:pStyle w:val="0"/>
            </w:pPr>
            <w:r>
              <w:rPr>
                <w:sz w:val="20"/>
              </w:rPr>
              <w:t xml:space="preserve">34,9</w:t>
            </w:r>
          </w:p>
        </w:tc>
        <w:tc>
          <w:tcPr>
            <w:tcW w:w="1382" w:type="dxa"/>
          </w:tcPr>
          <w:p>
            <w:pPr>
              <w:pStyle w:val="0"/>
            </w:pPr>
            <w:r>
              <w:rPr>
                <w:sz w:val="20"/>
              </w:rPr>
              <w:t xml:space="preserve">-28,6</w:t>
            </w:r>
          </w:p>
        </w:tc>
      </w:tr>
      <w:tr>
        <w:tc>
          <w:tcPr>
            <w:tcW w:w="3628" w:type="dxa"/>
          </w:tcPr>
          <w:p>
            <w:pPr>
              <w:pStyle w:val="0"/>
            </w:pPr>
            <w:r>
              <w:rPr>
                <w:sz w:val="20"/>
              </w:rPr>
              <w:t xml:space="preserve">Болезни кожи и подкожной клетчатки</w:t>
            </w:r>
          </w:p>
        </w:tc>
        <w:tc>
          <w:tcPr>
            <w:tcW w:w="1417" w:type="dxa"/>
          </w:tcPr>
          <w:p>
            <w:pPr>
              <w:pStyle w:val="0"/>
            </w:pPr>
            <w:r>
              <w:rPr>
                <w:sz w:val="20"/>
              </w:rPr>
              <w:t xml:space="preserve">73,6</w:t>
            </w:r>
          </w:p>
        </w:tc>
        <w:tc>
          <w:tcPr>
            <w:tcW w:w="1276" w:type="dxa"/>
          </w:tcPr>
          <w:p>
            <w:pPr>
              <w:pStyle w:val="0"/>
            </w:pPr>
            <w:r>
              <w:rPr>
                <w:sz w:val="20"/>
              </w:rPr>
              <w:t xml:space="preserve">76,2</w:t>
            </w:r>
          </w:p>
        </w:tc>
        <w:tc>
          <w:tcPr>
            <w:tcW w:w="1276" w:type="dxa"/>
          </w:tcPr>
          <w:p>
            <w:pPr>
              <w:pStyle w:val="0"/>
            </w:pPr>
            <w:r>
              <w:rPr>
                <w:sz w:val="20"/>
              </w:rPr>
              <w:t xml:space="preserve">59,8</w:t>
            </w:r>
          </w:p>
        </w:tc>
        <w:tc>
          <w:tcPr>
            <w:tcW w:w="1382" w:type="dxa"/>
          </w:tcPr>
          <w:p>
            <w:pPr>
              <w:pStyle w:val="0"/>
            </w:pPr>
            <w:r>
              <w:rPr>
                <w:sz w:val="20"/>
              </w:rPr>
              <w:t xml:space="preserve">-21,5</w:t>
            </w:r>
          </w:p>
        </w:tc>
      </w:tr>
      <w:tr>
        <w:tc>
          <w:tcPr>
            <w:tcW w:w="3628" w:type="dxa"/>
          </w:tcPr>
          <w:p>
            <w:pPr>
              <w:pStyle w:val="0"/>
            </w:pPr>
            <w:r>
              <w:rPr>
                <w:sz w:val="20"/>
              </w:rPr>
              <w:t xml:space="preserve">Болезни костно-мышечной системы и соединительной ткани</w:t>
            </w:r>
          </w:p>
        </w:tc>
        <w:tc>
          <w:tcPr>
            <w:tcW w:w="1417" w:type="dxa"/>
          </w:tcPr>
          <w:p>
            <w:pPr>
              <w:pStyle w:val="0"/>
            </w:pPr>
            <w:r>
              <w:rPr>
                <w:sz w:val="20"/>
              </w:rPr>
              <w:t xml:space="preserve">54,2</w:t>
            </w:r>
          </w:p>
        </w:tc>
        <w:tc>
          <w:tcPr>
            <w:tcW w:w="1276" w:type="dxa"/>
          </w:tcPr>
          <w:p>
            <w:pPr>
              <w:pStyle w:val="0"/>
            </w:pPr>
            <w:r>
              <w:rPr>
                <w:sz w:val="20"/>
              </w:rPr>
              <w:t xml:space="preserve">35,6</w:t>
            </w:r>
          </w:p>
        </w:tc>
        <w:tc>
          <w:tcPr>
            <w:tcW w:w="1276" w:type="dxa"/>
          </w:tcPr>
          <w:p>
            <w:pPr>
              <w:pStyle w:val="0"/>
            </w:pPr>
            <w:r>
              <w:rPr>
                <w:sz w:val="20"/>
              </w:rPr>
              <w:t xml:space="preserve">30,7</w:t>
            </w:r>
          </w:p>
        </w:tc>
        <w:tc>
          <w:tcPr>
            <w:tcW w:w="1382" w:type="dxa"/>
          </w:tcPr>
          <w:p>
            <w:pPr>
              <w:pStyle w:val="0"/>
            </w:pPr>
            <w:r>
              <w:rPr>
                <w:sz w:val="20"/>
              </w:rPr>
              <w:t xml:space="preserve">-13,8</w:t>
            </w:r>
          </w:p>
        </w:tc>
      </w:tr>
      <w:tr>
        <w:tc>
          <w:tcPr>
            <w:tcW w:w="3628" w:type="dxa"/>
          </w:tcPr>
          <w:p>
            <w:pPr>
              <w:pStyle w:val="0"/>
            </w:pPr>
            <w:r>
              <w:rPr>
                <w:sz w:val="20"/>
              </w:rPr>
              <w:t xml:space="preserve">Болезни мочеполовой системы</w:t>
            </w:r>
          </w:p>
        </w:tc>
        <w:tc>
          <w:tcPr>
            <w:tcW w:w="1417" w:type="dxa"/>
          </w:tcPr>
          <w:p>
            <w:pPr>
              <w:pStyle w:val="0"/>
            </w:pPr>
            <w:r>
              <w:rPr>
                <w:sz w:val="20"/>
              </w:rPr>
              <w:t xml:space="preserve">49,9</w:t>
            </w:r>
          </w:p>
        </w:tc>
        <w:tc>
          <w:tcPr>
            <w:tcW w:w="1276" w:type="dxa"/>
          </w:tcPr>
          <w:p>
            <w:pPr>
              <w:pStyle w:val="0"/>
            </w:pPr>
            <w:r>
              <w:rPr>
                <w:sz w:val="20"/>
              </w:rPr>
              <w:t xml:space="preserve">78,8</w:t>
            </w:r>
          </w:p>
        </w:tc>
        <w:tc>
          <w:tcPr>
            <w:tcW w:w="1276" w:type="dxa"/>
          </w:tcPr>
          <w:p>
            <w:pPr>
              <w:pStyle w:val="0"/>
            </w:pPr>
            <w:r>
              <w:rPr>
                <w:sz w:val="20"/>
              </w:rPr>
              <w:t xml:space="preserve">37,9</w:t>
            </w:r>
          </w:p>
        </w:tc>
        <w:tc>
          <w:tcPr>
            <w:tcW w:w="1382" w:type="dxa"/>
          </w:tcPr>
          <w:p>
            <w:pPr>
              <w:pStyle w:val="0"/>
            </w:pPr>
            <w:r>
              <w:rPr>
                <w:sz w:val="20"/>
              </w:rPr>
              <w:t xml:space="preserve">-51,9</w:t>
            </w:r>
          </w:p>
        </w:tc>
      </w:tr>
      <w:tr>
        <w:tc>
          <w:tcPr>
            <w:tcW w:w="3628" w:type="dxa"/>
          </w:tcPr>
          <w:p>
            <w:pPr>
              <w:pStyle w:val="0"/>
            </w:pPr>
            <w:r>
              <w:rPr>
                <w:sz w:val="20"/>
              </w:rPr>
              <w:t xml:space="preserve">Врожденные аномалии (пороки развития), деформации и хромосомные нарушения</w:t>
            </w:r>
          </w:p>
        </w:tc>
        <w:tc>
          <w:tcPr>
            <w:tcW w:w="1417" w:type="dxa"/>
          </w:tcPr>
          <w:p>
            <w:pPr>
              <w:pStyle w:val="0"/>
            </w:pPr>
            <w:r>
              <w:rPr>
                <w:sz w:val="20"/>
              </w:rPr>
              <w:t xml:space="preserve">2,2</w:t>
            </w:r>
          </w:p>
        </w:tc>
        <w:tc>
          <w:tcPr>
            <w:tcW w:w="1276" w:type="dxa"/>
          </w:tcPr>
          <w:p>
            <w:pPr>
              <w:pStyle w:val="0"/>
            </w:pPr>
            <w:r>
              <w:rPr>
                <w:sz w:val="20"/>
              </w:rPr>
              <w:t xml:space="preserve">2,8</w:t>
            </w:r>
          </w:p>
        </w:tc>
        <w:tc>
          <w:tcPr>
            <w:tcW w:w="1276" w:type="dxa"/>
          </w:tcPr>
          <w:p>
            <w:pPr>
              <w:pStyle w:val="0"/>
            </w:pPr>
            <w:r>
              <w:rPr>
                <w:sz w:val="20"/>
              </w:rPr>
              <w:t xml:space="preserve">1,3</w:t>
            </w:r>
          </w:p>
        </w:tc>
        <w:tc>
          <w:tcPr>
            <w:tcW w:w="1382" w:type="dxa"/>
          </w:tcPr>
          <w:p>
            <w:pPr>
              <w:pStyle w:val="0"/>
            </w:pPr>
            <w:r>
              <w:rPr>
                <w:sz w:val="20"/>
              </w:rPr>
              <w:t xml:space="preserve">-53,6</w:t>
            </w:r>
          </w:p>
        </w:tc>
      </w:tr>
      <w:tr>
        <w:tc>
          <w:tcPr>
            <w:tcW w:w="3628" w:type="dxa"/>
          </w:tcPr>
          <w:p>
            <w:pPr>
              <w:pStyle w:val="0"/>
            </w:pPr>
            <w:r>
              <w:rPr>
                <w:sz w:val="20"/>
              </w:rPr>
              <w:t xml:space="preserve">Травмы, отравления и некоторые другие последствия воздействия внешних причин</w:t>
            </w:r>
          </w:p>
        </w:tc>
        <w:tc>
          <w:tcPr>
            <w:tcW w:w="1417" w:type="dxa"/>
          </w:tcPr>
          <w:p>
            <w:pPr>
              <w:pStyle w:val="0"/>
            </w:pPr>
            <w:r>
              <w:rPr>
                <w:sz w:val="20"/>
              </w:rPr>
              <w:t xml:space="preserve">177,9</w:t>
            </w:r>
          </w:p>
        </w:tc>
        <w:tc>
          <w:tcPr>
            <w:tcW w:w="1276" w:type="dxa"/>
          </w:tcPr>
          <w:p>
            <w:pPr>
              <w:pStyle w:val="0"/>
            </w:pPr>
            <w:r>
              <w:rPr>
                <w:sz w:val="20"/>
              </w:rPr>
              <w:t xml:space="preserve">142,7</w:t>
            </w:r>
          </w:p>
        </w:tc>
        <w:tc>
          <w:tcPr>
            <w:tcW w:w="1276" w:type="dxa"/>
          </w:tcPr>
          <w:p>
            <w:pPr>
              <w:pStyle w:val="0"/>
            </w:pPr>
            <w:r>
              <w:rPr>
                <w:sz w:val="20"/>
              </w:rPr>
              <w:t xml:space="preserve">133,9</w:t>
            </w:r>
          </w:p>
        </w:tc>
        <w:tc>
          <w:tcPr>
            <w:tcW w:w="1382" w:type="dxa"/>
          </w:tcPr>
          <w:p>
            <w:pPr>
              <w:pStyle w:val="0"/>
            </w:pPr>
            <w:r>
              <w:rPr>
                <w:sz w:val="20"/>
              </w:rPr>
              <w:t xml:space="preserve">-6,2</w:t>
            </w:r>
          </w:p>
        </w:tc>
      </w:tr>
      <w:tr>
        <w:tc>
          <w:tcPr>
            <w:tcW w:w="3628" w:type="dxa"/>
          </w:tcPr>
          <w:p>
            <w:pPr>
              <w:pStyle w:val="0"/>
            </w:pPr>
            <w:r>
              <w:rPr>
                <w:sz w:val="20"/>
              </w:rPr>
              <w:t xml:space="preserve">Новая коронавирусная инфекция, вызванная COVID-19</w:t>
            </w:r>
          </w:p>
        </w:tc>
        <w:tc>
          <w:tcPr>
            <w:tcW w:w="1417" w:type="dxa"/>
          </w:tcPr>
          <w:p>
            <w:pPr>
              <w:pStyle w:val="0"/>
            </w:pPr>
            <w:r>
              <w:rPr>
                <w:sz w:val="20"/>
              </w:rPr>
              <w:t xml:space="preserve">0</w:t>
            </w:r>
          </w:p>
        </w:tc>
        <w:tc>
          <w:tcPr>
            <w:tcW w:w="1276" w:type="dxa"/>
          </w:tcPr>
          <w:p>
            <w:pPr>
              <w:pStyle w:val="0"/>
            </w:pPr>
            <w:r>
              <w:rPr>
                <w:sz w:val="20"/>
              </w:rPr>
              <w:t xml:space="preserve">0</w:t>
            </w:r>
          </w:p>
        </w:tc>
        <w:tc>
          <w:tcPr>
            <w:tcW w:w="1276" w:type="dxa"/>
          </w:tcPr>
          <w:p>
            <w:pPr>
              <w:pStyle w:val="0"/>
            </w:pPr>
            <w:r>
              <w:rPr>
                <w:sz w:val="20"/>
              </w:rPr>
              <w:t xml:space="preserve">27,56</w:t>
            </w:r>
          </w:p>
        </w:tc>
        <w:tc>
          <w:tcPr>
            <w:tcW w:w="1382" w:type="dxa"/>
          </w:tcPr>
          <w:p>
            <w:pPr>
              <w:pStyle w:val="0"/>
            </w:pPr>
            <w:r>
              <w:rPr>
                <w:sz w:val="20"/>
              </w:rPr>
              <w:t xml:space="preserve">0</w:t>
            </w:r>
          </w:p>
        </w:tc>
      </w:tr>
    </w:tbl>
    <w:p>
      <w:pPr>
        <w:pStyle w:val="0"/>
        <w:ind w:firstLine="540"/>
        <w:jc w:val="both"/>
      </w:pPr>
      <w:r>
        <w:rPr>
          <w:sz w:val="20"/>
        </w:rPr>
      </w:r>
    </w:p>
    <w:p>
      <w:pPr>
        <w:pStyle w:val="0"/>
        <w:ind w:firstLine="540"/>
        <w:jc w:val="both"/>
      </w:pPr>
      <w:r>
        <w:rPr>
          <w:sz w:val="20"/>
        </w:rPr>
        <w:t xml:space="preserve">Среди подростков отмечается снижение всех показателей первичной заболеваемости: 30% и более - инфекционные и паразитарные заболевания (-39,4%), психические расстройства и расстройства поведения (-34,3%), болезни органов пищеварения (-31,0%); по 20% и более - новообразования (-27%), болезни крови и кроветворных органов (-20,3%), болезни эндокринной системы (-25%), болезни нервной системы (-20,1%), болезни глаза (-25,7%), болезни уха (28,6%), болезни костно-мышечной системы (-29%), болезни мочеполовой системы (-24,2%). По травмам и отравлениям зарегистрировано снижение на -19,4%, врожденным аномалиям (-16,7%), на 14% снизился показатель первичной заболеваемости по болезням системы кровообращения и на 13% по болезням органов дыхания.</w:t>
      </w:r>
    </w:p>
    <w:p>
      <w:pPr>
        <w:pStyle w:val="0"/>
        <w:spacing w:before="200" w:line-rule="auto"/>
        <w:ind w:firstLine="540"/>
        <w:jc w:val="both"/>
      </w:pPr>
      <w:r>
        <w:rPr>
          <w:sz w:val="20"/>
        </w:rPr>
        <w:t xml:space="preserve">Более чем на 50% снизился показатель по врожденным аномалиям, болезням мочеполовой системы. Более чем на 30% снижение показателя по инфекционным и паразитарным заболеваниям, новообразованиям, психическим расстройствам, болезням нервной системы.</w:t>
      </w:r>
    </w:p>
    <w:p>
      <w:pPr>
        <w:pStyle w:val="0"/>
        <w:spacing w:before="200" w:line-rule="auto"/>
        <w:ind w:firstLine="540"/>
        <w:jc w:val="both"/>
      </w:pPr>
      <w:r>
        <w:rPr>
          <w:sz w:val="20"/>
        </w:rPr>
        <w:t xml:space="preserve">Больше 20% снижения показателя первичной заболеваемости зарегистрировано по заболеваниям уха и сосцевидного отростка, органов пищеварения, кожи и подкожной клетчатки, болезням системы кровообращения.</w:t>
      </w:r>
    </w:p>
    <w:p>
      <w:pPr>
        <w:pStyle w:val="0"/>
        <w:spacing w:before="200" w:line-rule="auto"/>
        <w:ind w:firstLine="540"/>
        <w:jc w:val="both"/>
      </w:pPr>
      <w:r>
        <w:rPr>
          <w:sz w:val="20"/>
        </w:rPr>
        <w:t xml:space="preserve">В структуре первичной заболеваемости детского населения первое место занимают болезни органов дыхания (61%), далее следуют травмы, отравления и некоторые другие последствия воздействия внешних причин (11%), болезни кожи и подкожной клетчатки (5%).</w:t>
      </w:r>
    </w:p>
    <w:p>
      <w:pPr>
        <w:pStyle w:val="0"/>
        <w:spacing w:before="200" w:line-rule="auto"/>
        <w:ind w:firstLine="540"/>
        <w:jc w:val="both"/>
      </w:pPr>
      <w:r>
        <w:rPr>
          <w:sz w:val="20"/>
        </w:rPr>
        <w:t xml:space="preserve">Заболеваемость репродуктивной системы.</w:t>
      </w:r>
    </w:p>
    <w:p>
      <w:pPr>
        <w:pStyle w:val="0"/>
        <w:spacing w:before="200" w:line-rule="auto"/>
        <w:ind w:firstLine="540"/>
        <w:jc w:val="both"/>
      </w:pPr>
      <w:r>
        <w:rPr>
          <w:sz w:val="20"/>
        </w:rPr>
        <w:t xml:space="preserve">В автономном округе в течение 2018 - 2021 годов отмечается рост первичной заболеваемости среди девочек-подростков 15 - 17 лет органов репродуктивной системы, обусловленный внедрением систематических профилактических осмотров врачами - акушерами-гинекологами.</w:t>
      </w:r>
    </w:p>
    <w:p>
      <w:pPr>
        <w:pStyle w:val="0"/>
        <w:spacing w:before="200" w:line-rule="auto"/>
        <w:ind w:firstLine="540"/>
        <w:jc w:val="both"/>
      </w:pPr>
      <w:r>
        <w:rPr>
          <w:sz w:val="20"/>
        </w:rPr>
        <w:t xml:space="preserve">В 2020 году выявлено всего 2643 заболевания, что составляет 94,3 на 1000 девочек соответствующего возраста, в 2018 году выявлено 2221 заболевание, что составило 39,0 на 1000 девочек соответствующего возраста.</w:t>
      </w:r>
    </w:p>
    <w:p>
      <w:pPr>
        <w:pStyle w:val="0"/>
        <w:spacing w:before="200" w:line-rule="auto"/>
        <w:ind w:firstLine="540"/>
        <w:jc w:val="both"/>
      </w:pPr>
      <w:r>
        <w:rPr>
          <w:sz w:val="20"/>
        </w:rPr>
        <w:t xml:space="preserve">Из числа заболеваний зарегистрированы:</w:t>
      </w:r>
    </w:p>
    <w:p>
      <w:pPr>
        <w:pStyle w:val="0"/>
        <w:spacing w:before="200" w:line-rule="auto"/>
        <w:ind w:firstLine="540"/>
        <w:jc w:val="both"/>
      </w:pPr>
      <w:r>
        <w:rPr>
          <w:sz w:val="20"/>
        </w:rPr>
        <w:t xml:space="preserve">воспалительные заболевания - 849, в 2018 году - 436,</w:t>
      </w:r>
    </w:p>
    <w:p>
      <w:pPr>
        <w:pStyle w:val="0"/>
        <w:spacing w:before="200" w:line-rule="auto"/>
        <w:ind w:firstLine="540"/>
        <w:jc w:val="both"/>
      </w:pPr>
      <w:r>
        <w:rPr>
          <w:sz w:val="20"/>
        </w:rPr>
        <w:t xml:space="preserve">эндометриоз - 245, в 2018 году - 78,</w:t>
      </w:r>
    </w:p>
    <w:p>
      <w:pPr>
        <w:pStyle w:val="0"/>
        <w:spacing w:before="200" w:line-rule="auto"/>
        <w:ind w:firstLine="540"/>
        <w:jc w:val="both"/>
      </w:pPr>
      <w:r>
        <w:rPr>
          <w:sz w:val="20"/>
        </w:rPr>
        <w:t xml:space="preserve">эрозия и эктропион шейки матки - 109, в 2018 году - 196,</w:t>
      </w:r>
    </w:p>
    <w:p>
      <w:pPr>
        <w:pStyle w:val="0"/>
        <w:spacing w:before="200" w:line-rule="auto"/>
        <w:ind w:firstLine="540"/>
        <w:jc w:val="both"/>
      </w:pPr>
      <w:r>
        <w:rPr>
          <w:sz w:val="20"/>
        </w:rPr>
        <w:t xml:space="preserve">расстройство менструации - 1435, в 2018 году 1311.</w:t>
      </w:r>
    </w:p>
    <w:p>
      <w:pPr>
        <w:pStyle w:val="0"/>
        <w:spacing w:before="200" w:line-rule="auto"/>
        <w:ind w:firstLine="540"/>
        <w:jc w:val="both"/>
      </w:pPr>
      <w:r>
        <w:rPr>
          <w:sz w:val="20"/>
        </w:rPr>
        <w:t xml:space="preserve">В ходе профилактических осмотров в 2020 году осмотрено 22647 мальчиков урологами-андрологами, что составило 78,7% от плана, 21750 девочек акушерами-гинекологами, что составило 77,7% от плана.</w:t>
      </w:r>
    </w:p>
    <w:p>
      <w:pPr>
        <w:pStyle w:val="0"/>
        <w:spacing w:before="200" w:line-rule="auto"/>
        <w:ind w:firstLine="540"/>
        <w:jc w:val="both"/>
      </w:pPr>
      <w:r>
        <w:rPr>
          <w:sz w:val="20"/>
        </w:rPr>
        <w:t xml:space="preserve">Выявлены заболевания у 2647 подростков, из них у 1498 впервые в жизни, 1578 подростков направлены на 2 этап обследования.</w:t>
      </w:r>
    </w:p>
    <w:p>
      <w:pPr>
        <w:pStyle w:val="0"/>
        <w:spacing w:before="200" w:line-rule="auto"/>
        <w:ind w:firstLine="540"/>
        <w:jc w:val="both"/>
      </w:pPr>
      <w:r>
        <w:rPr>
          <w:sz w:val="20"/>
        </w:rPr>
        <w:t xml:space="preserve">За 2020 год общая смертность населения в автономном округе увеличилась и составила 7,6 на 1 тыс. населения.</w:t>
      </w:r>
    </w:p>
    <w:p>
      <w:pPr>
        <w:pStyle w:val="0"/>
        <w:ind w:firstLine="540"/>
        <w:jc w:val="both"/>
      </w:pPr>
      <w:r>
        <w:rPr>
          <w:sz w:val="20"/>
        </w:rPr>
      </w:r>
    </w:p>
    <w:p>
      <w:pPr>
        <w:pStyle w:val="0"/>
        <w:outlineLvl w:val="2"/>
        <w:jc w:val="right"/>
      </w:pPr>
      <w:r>
        <w:rPr>
          <w:sz w:val="20"/>
        </w:rPr>
        <w:t xml:space="preserve">Таблица 6</w:t>
      </w:r>
    </w:p>
    <w:p>
      <w:pPr>
        <w:pStyle w:val="0"/>
        <w:jc w:val="right"/>
      </w:pPr>
      <w:r>
        <w:rPr>
          <w:sz w:val="20"/>
        </w:rPr>
      </w:r>
    </w:p>
    <w:p>
      <w:pPr>
        <w:pStyle w:val="2"/>
        <w:jc w:val="center"/>
      </w:pPr>
      <w:r>
        <w:rPr>
          <w:sz w:val="20"/>
        </w:rPr>
        <w:t xml:space="preserve">Смертность в Российской Федерации, УрФО, автономном округе</w:t>
      </w:r>
    </w:p>
    <w:p>
      <w:pPr>
        <w:pStyle w:val="2"/>
        <w:jc w:val="center"/>
      </w:pPr>
      <w:r>
        <w:rPr>
          <w:sz w:val="20"/>
        </w:rPr>
        <w:t xml:space="preserve">за 2018 - 2020 годы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96"/>
        <w:gridCol w:w="1401"/>
        <w:gridCol w:w="1263"/>
        <w:gridCol w:w="1401"/>
      </w:tblGrid>
      <w:tr>
        <w:tc>
          <w:tcPr>
            <w:tcW w:w="4996" w:type="dxa"/>
            <w:vMerge w:val="restart"/>
          </w:tcPr>
          <w:p>
            <w:pPr>
              <w:pStyle w:val="0"/>
              <w:jc w:val="center"/>
            </w:pPr>
            <w:r>
              <w:rPr>
                <w:sz w:val="20"/>
              </w:rPr>
              <w:t xml:space="preserve">Территория</w:t>
            </w:r>
          </w:p>
        </w:tc>
        <w:tc>
          <w:tcPr>
            <w:gridSpan w:val="3"/>
            <w:tcW w:w="4065" w:type="dxa"/>
          </w:tcPr>
          <w:p>
            <w:pPr>
              <w:pStyle w:val="0"/>
              <w:jc w:val="center"/>
            </w:pPr>
            <w:r>
              <w:rPr>
                <w:sz w:val="20"/>
              </w:rPr>
              <w:t xml:space="preserve">Число умерших на 1 тыс. населения</w:t>
            </w:r>
          </w:p>
        </w:tc>
      </w:tr>
      <w:tr>
        <w:tc>
          <w:tcPr>
            <w:vMerge w:val="continue"/>
          </w:tcPr>
          <w:p/>
        </w:tc>
        <w:tc>
          <w:tcPr>
            <w:tcW w:w="1401" w:type="dxa"/>
          </w:tcPr>
          <w:p>
            <w:pPr>
              <w:pStyle w:val="0"/>
              <w:jc w:val="center"/>
            </w:pPr>
            <w:r>
              <w:rPr>
                <w:sz w:val="20"/>
              </w:rPr>
              <w:t xml:space="preserve">2018 год</w:t>
            </w:r>
          </w:p>
        </w:tc>
        <w:tc>
          <w:tcPr>
            <w:tcW w:w="1263" w:type="dxa"/>
          </w:tcPr>
          <w:p>
            <w:pPr>
              <w:pStyle w:val="0"/>
              <w:jc w:val="center"/>
            </w:pPr>
            <w:r>
              <w:rPr>
                <w:sz w:val="20"/>
              </w:rPr>
              <w:t xml:space="preserve">2019 год</w:t>
            </w:r>
          </w:p>
        </w:tc>
        <w:tc>
          <w:tcPr>
            <w:tcW w:w="1401" w:type="dxa"/>
          </w:tcPr>
          <w:p>
            <w:pPr>
              <w:pStyle w:val="0"/>
              <w:jc w:val="center"/>
            </w:pPr>
            <w:r>
              <w:rPr>
                <w:sz w:val="20"/>
              </w:rPr>
              <w:t xml:space="preserve">2020 год</w:t>
            </w:r>
          </w:p>
        </w:tc>
      </w:tr>
      <w:tr>
        <w:tc>
          <w:tcPr>
            <w:tcW w:w="4996" w:type="dxa"/>
          </w:tcPr>
          <w:p>
            <w:pPr>
              <w:pStyle w:val="0"/>
            </w:pPr>
            <w:r>
              <w:rPr>
                <w:sz w:val="20"/>
              </w:rPr>
              <w:t xml:space="preserve">Российская Федерация</w:t>
            </w:r>
          </w:p>
        </w:tc>
        <w:tc>
          <w:tcPr>
            <w:tcW w:w="1401" w:type="dxa"/>
          </w:tcPr>
          <w:p>
            <w:pPr>
              <w:pStyle w:val="0"/>
            </w:pPr>
            <w:r>
              <w:rPr>
                <w:sz w:val="20"/>
              </w:rPr>
              <w:t xml:space="preserve">12,4</w:t>
            </w:r>
          </w:p>
        </w:tc>
        <w:tc>
          <w:tcPr>
            <w:tcW w:w="1263" w:type="dxa"/>
          </w:tcPr>
          <w:p>
            <w:pPr>
              <w:pStyle w:val="0"/>
            </w:pPr>
            <w:r>
              <w:rPr>
                <w:sz w:val="20"/>
              </w:rPr>
              <w:t xml:space="preserve">12,3</w:t>
            </w:r>
          </w:p>
        </w:tc>
        <w:tc>
          <w:tcPr>
            <w:tcW w:w="1401" w:type="dxa"/>
          </w:tcPr>
          <w:p>
            <w:pPr>
              <w:pStyle w:val="0"/>
            </w:pPr>
            <w:r>
              <w:rPr>
                <w:sz w:val="20"/>
              </w:rPr>
              <w:t xml:space="preserve">14,5</w:t>
            </w:r>
          </w:p>
        </w:tc>
      </w:tr>
      <w:tr>
        <w:tc>
          <w:tcPr>
            <w:tcW w:w="4996" w:type="dxa"/>
          </w:tcPr>
          <w:p>
            <w:pPr>
              <w:pStyle w:val="0"/>
            </w:pPr>
            <w:r>
              <w:rPr>
                <w:sz w:val="20"/>
              </w:rPr>
              <w:t xml:space="preserve">Уральский федеральный округ</w:t>
            </w:r>
          </w:p>
        </w:tc>
        <w:tc>
          <w:tcPr>
            <w:tcW w:w="1401" w:type="dxa"/>
          </w:tcPr>
          <w:p>
            <w:pPr>
              <w:pStyle w:val="0"/>
            </w:pPr>
            <w:r>
              <w:rPr>
                <w:sz w:val="20"/>
              </w:rPr>
              <w:t xml:space="preserve">11,8</w:t>
            </w:r>
          </w:p>
        </w:tc>
        <w:tc>
          <w:tcPr>
            <w:tcW w:w="1263" w:type="dxa"/>
          </w:tcPr>
          <w:p>
            <w:pPr>
              <w:pStyle w:val="0"/>
            </w:pPr>
            <w:r>
              <w:rPr>
                <w:sz w:val="20"/>
              </w:rPr>
              <w:t xml:space="preserve">11,7</w:t>
            </w:r>
          </w:p>
        </w:tc>
        <w:tc>
          <w:tcPr>
            <w:tcW w:w="1401" w:type="dxa"/>
          </w:tcPr>
          <w:p>
            <w:pPr>
              <w:pStyle w:val="0"/>
            </w:pPr>
            <w:r>
              <w:rPr>
                <w:sz w:val="20"/>
              </w:rPr>
              <w:t xml:space="preserve">13,9</w:t>
            </w:r>
          </w:p>
        </w:tc>
      </w:tr>
      <w:tr>
        <w:tc>
          <w:tcPr>
            <w:tcW w:w="4996" w:type="dxa"/>
          </w:tcPr>
          <w:p>
            <w:pPr>
              <w:pStyle w:val="0"/>
            </w:pPr>
            <w:r>
              <w:rPr>
                <w:sz w:val="20"/>
              </w:rPr>
              <w:t xml:space="preserve">автономный округ</w:t>
            </w:r>
          </w:p>
        </w:tc>
        <w:tc>
          <w:tcPr>
            <w:tcW w:w="1401" w:type="dxa"/>
          </w:tcPr>
          <w:p>
            <w:pPr>
              <w:pStyle w:val="0"/>
            </w:pPr>
            <w:r>
              <w:rPr>
                <w:sz w:val="20"/>
              </w:rPr>
              <w:t xml:space="preserve">6,3</w:t>
            </w:r>
          </w:p>
        </w:tc>
        <w:tc>
          <w:tcPr>
            <w:tcW w:w="1263" w:type="dxa"/>
          </w:tcPr>
          <w:p>
            <w:pPr>
              <w:pStyle w:val="0"/>
            </w:pPr>
            <w:r>
              <w:rPr>
                <w:sz w:val="20"/>
              </w:rPr>
              <w:t xml:space="preserve">6,0</w:t>
            </w:r>
          </w:p>
        </w:tc>
        <w:tc>
          <w:tcPr>
            <w:tcW w:w="1401" w:type="dxa"/>
          </w:tcPr>
          <w:p>
            <w:pPr>
              <w:pStyle w:val="0"/>
            </w:pPr>
            <w:r>
              <w:rPr>
                <w:sz w:val="20"/>
              </w:rPr>
              <w:t xml:space="preserve">7,6</w:t>
            </w:r>
          </w:p>
        </w:tc>
      </w:tr>
    </w:tbl>
    <w:p>
      <w:pPr>
        <w:pStyle w:val="0"/>
        <w:jc w:val="right"/>
      </w:pPr>
      <w:r>
        <w:rPr>
          <w:sz w:val="20"/>
        </w:rPr>
      </w:r>
    </w:p>
    <w:p>
      <w:pPr>
        <w:pStyle w:val="0"/>
        <w:outlineLvl w:val="2"/>
        <w:jc w:val="right"/>
      </w:pPr>
      <w:r>
        <w:rPr>
          <w:sz w:val="20"/>
        </w:rPr>
        <w:t xml:space="preserve">Таблица 7</w:t>
      </w:r>
    </w:p>
    <w:p>
      <w:pPr>
        <w:pStyle w:val="0"/>
        <w:jc w:val="right"/>
      </w:pPr>
      <w:r>
        <w:rPr>
          <w:sz w:val="20"/>
        </w:rPr>
      </w:r>
    </w:p>
    <w:p>
      <w:pPr>
        <w:pStyle w:val="2"/>
        <w:jc w:val="center"/>
      </w:pPr>
      <w:r>
        <w:rPr>
          <w:sz w:val="20"/>
        </w:rPr>
        <w:t xml:space="preserve">Младенческая смертность в Российской Федерации, УрФО,</w:t>
      </w:r>
    </w:p>
    <w:p>
      <w:pPr>
        <w:pStyle w:val="2"/>
        <w:jc w:val="center"/>
      </w:pPr>
      <w:r>
        <w:rPr>
          <w:sz w:val="20"/>
        </w:rPr>
        <w:t xml:space="preserve">автономном округе за период 2018 - 2020 годы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58"/>
        <w:gridCol w:w="1418"/>
        <w:gridCol w:w="1134"/>
        <w:gridCol w:w="1134"/>
      </w:tblGrid>
      <w:tr>
        <w:tc>
          <w:tcPr>
            <w:tcW w:w="5358" w:type="dxa"/>
            <w:vMerge w:val="restart"/>
          </w:tcPr>
          <w:p>
            <w:pPr>
              <w:pStyle w:val="0"/>
              <w:jc w:val="center"/>
            </w:pPr>
            <w:r>
              <w:rPr>
                <w:sz w:val="20"/>
              </w:rPr>
              <w:t xml:space="preserve">Территория</w:t>
            </w:r>
          </w:p>
        </w:tc>
        <w:tc>
          <w:tcPr>
            <w:gridSpan w:val="3"/>
            <w:tcW w:w="3686" w:type="dxa"/>
          </w:tcPr>
          <w:p>
            <w:pPr>
              <w:pStyle w:val="0"/>
              <w:jc w:val="center"/>
            </w:pPr>
            <w:r>
              <w:rPr>
                <w:sz w:val="20"/>
              </w:rPr>
              <w:t xml:space="preserve">Число умерших детей в возрасте до 1 года на 1 тыс. родившихся живыми</w:t>
            </w:r>
          </w:p>
        </w:tc>
      </w:tr>
      <w:tr>
        <w:tc>
          <w:tcPr>
            <w:vMerge w:val="continue"/>
          </w:tcPr>
          <w:p/>
        </w:tc>
        <w:tc>
          <w:tcPr>
            <w:tcW w:w="1418" w:type="dxa"/>
          </w:tcPr>
          <w:p>
            <w:pPr>
              <w:pStyle w:val="0"/>
              <w:jc w:val="center"/>
            </w:pPr>
            <w:r>
              <w:rPr>
                <w:sz w:val="20"/>
              </w:rPr>
              <w:t xml:space="preserve">2018 год</w:t>
            </w:r>
          </w:p>
        </w:tc>
        <w:tc>
          <w:tcPr>
            <w:tcW w:w="1134" w:type="dxa"/>
          </w:tcPr>
          <w:p>
            <w:pPr>
              <w:pStyle w:val="0"/>
              <w:jc w:val="center"/>
            </w:pPr>
            <w:r>
              <w:rPr>
                <w:sz w:val="20"/>
              </w:rPr>
              <w:t xml:space="preserve">2019 год</w:t>
            </w:r>
          </w:p>
        </w:tc>
        <w:tc>
          <w:tcPr>
            <w:tcW w:w="1134" w:type="dxa"/>
          </w:tcPr>
          <w:p>
            <w:pPr>
              <w:pStyle w:val="0"/>
              <w:jc w:val="center"/>
            </w:pPr>
            <w:r>
              <w:rPr>
                <w:sz w:val="20"/>
              </w:rPr>
              <w:t xml:space="preserve">2020 год</w:t>
            </w:r>
          </w:p>
        </w:tc>
      </w:tr>
      <w:tr>
        <w:tc>
          <w:tcPr>
            <w:tcW w:w="5358" w:type="dxa"/>
          </w:tcPr>
          <w:p>
            <w:pPr>
              <w:pStyle w:val="0"/>
            </w:pPr>
            <w:r>
              <w:rPr>
                <w:sz w:val="20"/>
              </w:rPr>
              <w:t xml:space="preserve">Российская Федерация</w:t>
            </w:r>
          </w:p>
        </w:tc>
        <w:tc>
          <w:tcPr>
            <w:tcW w:w="1418" w:type="dxa"/>
          </w:tcPr>
          <w:p>
            <w:pPr>
              <w:pStyle w:val="0"/>
            </w:pPr>
            <w:r>
              <w:rPr>
                <w:sz w:val="20"/>
              </w:rPr>
              <w:t xml:space="preserve">5,1</w:t>
            </w:r>
          </w:p>
        </w:tc>
        <w:tc>
          <w:tcPr>
            <w:tcW w:w="1134" w:type="dxa"/>
          </w:tcPr>
          <w:p>
            <w:pPr>
              <w:pStyle w:val="0"/>
            </w:pPr>
            <w:r>
              <w:rPr>
                <w:sz w:val="20"/>
              </w:rPr>
              <w:t xml:space="preserve">4,9</w:t>
            </w:r>
          </w:p>
        </w:tc>
        <w:tc>
          <w:tcPr>
            <w:tcW w:w="1134" w:type="dxa"/>
          </w:tcPr>
          <w:p>
            <w:pPr>
              <w:pStyle w:val="0"/>
            </w:pPr>
            <w:r>
              <w:rPr>
                <w:sz w:val="20"/>
              </w:rPr>
              <w:t xml:space="preserve">4,5</w:t>
            </w:r>
          </w:p>
        </w:tc>
      </w:tr>
      <w:tr>
        <w:tc>
          <w:tcPr>
            <w:tcW w:w="5358" w:type="dxa"/>
          </w:tcPr>
          <w:p>
            <w:pPr>
              <w:pStyle w:val="0"/>
            </w:pPr>
            <w:r>
              <w:rPr>
                <w:sz w:val="20"/>
              </w:rPr>
              <w:t xml:space="preserve">Уральский федеральный округ</w:t>
            </w:r>
          </w:p>
        </w:tc>
        <w:tc>
          <w:tcPr>
            <w:tcW w:w="1418" w:type="dxa"/>
          </w:tcPr>
          <w:p>
            <w:pPr>
              <w:pStyle w:val="0"/>
            </w:pPr>
            <w:r>
              <w:rPr>
                <w:sz w:val="20"/>
              </w:rPr>
              <w:t xml:space="preserve">4,6</w:t>
            </w:r>
          </w:p>
        </w:tc>
        <w:tc>
          <w:tcPr>
            <w:tcW w:w="1134" w:type="dxa"/>
          </w:tcPr>
          <w:p>
            <w:pPr>
              <w:pStyle w:val="0"/>
            </w:pPr>
            <w:r>
              <w:rPr>
                <w:sz w:val="20"/>
              </w:rPr>
              <w:t xml:space="preserve">4,7</w:t>
            </w:r>
          </w:p>
        </w:tc>
        <w:tc>
          <w:tcPr>
            <w:tcW w:w="1134" w:type="dxa"/>
          </w:tcPr>
          <w:p>
            <w:pPr>
              <w:pStyle w:val="0"/>
            </w:pPr>
            <w:r>
              <w:rPr>
                <w:sz w:val="20"/>
              </w:rPr>
              <w:t xml:space="preserve">4,0</w:t>
            </w:r>
          </w:p>
        </w:tc>
      </w:tr>
      <w:tr>
        <w:tc>
          <w:tcPr>
            <w:tcW w:w="5358" w:type="dxa"/>
          </w:tcPr>
          <w:p>
            <w:pPr>
              <w:pStyle w:val="0"/>
            </w:pPr>
            <w:r>
              <w:rPr>
                <w:sz w:val="20"/>
              </w:rPr>
              <w:t xml:space="preserve">автономный округ</w:t>
            </w:r>
          </w:p>
        </w:tc>
        <w:tc>
          <w:tcPr>
            <w:tcW w:w="1418" w:type="dxa"/>
          </w:tcPr>
          <w:p>
            <w:pPr>
              <w:pStyle w:val="0"/>
            </w:pPr>
            <w:r>
              <w:rPr>
                <w:sz w:val="20"/>
              </w:rPr>
              <w:t xml:space="preserve">2,9</w:t>
            </w:r>
          </w:p>
        </w:tc>
        <w:tc>
          <w:tcPr>
            <w:tcW w:w="1134" w:type="dxa"/>
          </w:tcPr>
          <w:p>
            <w:pPr>
              <w:pStyle w:val="0"/>
            </w:pPr>
            <w:r>
              <w:rPr>
                <w:sz w:val="20"/>
              </w:rPr>
              <w:t xml:space="preserve">4,2</w:t>
            </w:r>
          </w:p>
        </w:tc>
        <w:tc>
          <w:tcPr>
            <w:tcW w:w="1134" w:type="dxa"/>
          </w:tcPr>
          <w:p>
            <w:pPr>
              <w:pStyle w:val="0"/>
            </w:pPr>
            <w:r>
              <w:rPr>
                <w:sz w:val="20"/>
              </w:rPr>
              <w:t xml:space="preserve">3,6</w:t>
            </w:r>
          </w:p>
        </w:tc>
      </w:tr>
    </w:tbl>
    <w:p>
      <w:pPr>
        <w:pStyle w:val="0"/>
        <w:ind w:firstLine="540"/>
        <w:jc w:val="both"/>
      </w:pPr>
      <w:r>
        <w:rPr>
          <w:sz w:val="20"/>
        </w:rPr>
      </w:r>
    </w:p>
    <w:p>
      <w:pPr>
        <w:pStyle w:val="0"/>
        <w:outlineLvl w:val="2"/>
        <w:jc w:val="right"/>
      </w:pPr>
      <w:r>
        <w:rPr>
          <w:sz w:val="20"/>
        </w:rPr>
        <w:t xml:space="preserve">Таблица 8</w:t>
      </w:r>
    </w:p>
    <w:p>
      <w:pPr>
        <w:pStyle w:val="0"/>
        <w:jc w:val="right"/>
      </w:pPr>
      <w:r>
        <w:rPr>
          <w:sz w:val="20"/>
        </w:rPr>
      </w:r>
    </w:p>
    <w:p>
      <w:pPr>
        <w:pStyle w:val="2"/>
        <w:jc w:val="center"/>
      </w:pPr>
      <w:r>
        <w:rPr>
          <w:sz w:val="20"/>
        </w:rPr>
        <w:t xml:space="preserve">Показатель младенческой смертности в автономном округе</w:t>
      </w:r>
    </w:p>
    <w:p>
      <w:pPr>
        <w:pStyle w:val="2"/>
        <w:jc w:val="center"/>
      </w:pPr>
      <w:r>
        <w:rPr>
          <w:sz w:val="20"/>
        </w:rPr>
        <w:t xml:space="preserve">в динамике за период 2016 - 2020 годы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52"/>
        <w:gridCol w:w="1134"/>
        <w:gridCol w:w="1134"/>
        <w:gridCol w:w="1134"/>
        <w:gridCol w:w="992"/>
        <w:gridCol w:w="993"/>
      </w:tblGrid>
      <w:tr>
        <w:tc>
          <w:tcPr>
            <w:tcW w:w="3652" w:type="dxa"/>
          </w:tcPr>
          <w:p>
            <w:pPr>
              <w:pStyle w:val="0"/>
              <w:jc w:val="both"/>
            </w:pPr>
            <w:r>
              <w:rPr>
                <w:sz w:val="20"/>
              </w:rPr>
              <w:t xml:space="preserve">Период</w:t>
            </w:r>
          </w:p>
        </w:tc>
        <w:tc>
          <w:tcPr>
            <w:tcW w:w="1134" w:type="dxa"/>
          </w:tcPr>
          <w:p>
            <w:pPr>
              <w:pStyle w:val="0"/>
              <w:jc w:val="center"/>
            </w:pPr>
            <w:r>
              <w:rPr>
                <w:sz w:val="20"/>
              </w:rPr>
              <w:t xml:space="preserve">2016 год</w:t>
            </w:r>
          </w:p>
        </w:tc>
        <w:tc>
          <w:tcPr>
            <w:tcW w:w="1134" w:type="dxa"/>
          </w:tcPr>
          <w:p>
            <w:pPr>
              <w:pStyle w:val="0"/>
              <w:jc w:val="center"/>
            </w:pPr>
            <w:r>
              <w:rPr>
                <w:sz w:val="20"/>
              </w:rPr>
              <w:t xml:space="preserve">2017 год</w:t>
            </w:r>
          </w:p>
        </w:tc>
        <w:tc>
          <w:tcPr>
            <w:tcW w:w="1134" w:type="dxa"/>
          </w:tcPr>
          <w:p>
            <w:pPr>
              <w:pStyle w:val="0"/>
              <w:jc w:val="center"/>
            </w:pPr>
            <w:r>
              <w:rPr>
                <w:sz w:val="20"/>
              </w:rPr>
              <w:t xml:space="preserve">2018 год</w:t>
            </w:r>
          </w:p>
        </w:tc>
        <w:tc>
          <w:tcPr>
            <w:tcW w:w="992" w:type="dxa"/>
          </w:tcPr>
          <w:p>
            <w:pPr>
              <w:pStyle w:val="0"/>
              <w:jc w:val="center"/>
            </w:pPr>
            <w:r>
              <w:rPr>
                <w:sz w:val="20"/>
              </w:rPr>
              <w:t xml:space="preserve">2019 год</w:t>
            </w:r>
          </w:p>
        </w:tc>
        <w:tc>
          <w:tcPr>
            <w:tcW w:w="993" w:type="dxa"/>
          </w:tcPr>
          <w:p>
            <w:pPr>
              <w:pStyle w:val="0"/>
              <w:jc w:val="center"/>
            </w:pPr>
            <w:r>
              <w:rPr>
                <w:sz w:val="20"/>
              </w:rPr>
              <w:t xml:space="preserve">2020 год</w:t>
            </w:r>
          </w:p>
        </w:tc>
      </w:tr>
      <w:tr>
        <w:tc>
          <w:tcPr>
            <w:tcW w:w="3652" w:type="dxa"/>
          </w:tcPr>
          <w:p>
            <w:pPr>
              <w:pStyle w:val="0"/>
            </w:pPr>
            <w:r>
              <w:rPr>
                <w:sz w:val="20"/>
              </w:rPr>
              <w:t xml:space="preserve">Показатель числа случаев на 1000 родившихся живыми</w:t>
            </w:r>
          </w:p>
        </w:tc>
        <w:tc>
          <w:tcPr>
            <w:tcW w:w="1134" w:type="dxa"/>
          </w:tcPr>
          <w:p>
            <w:pPr>
              <w:pStyle w:val="0"/>
            </w:pPr>
            <w:r>
              <w:rPr>
                <w:sz w:val="20"/>
              </w:rPr>
              <w:t xml:space="preserve">4,1</w:t>
            </w:r>
          </w:p>
        </w:tc>
        <w:tc>
          <w:tcPr>
            <w:tcW w:w="1134" w:type="dxa"/>
          </w:tcPr>
          <w:p>
            <w:pPr>
              <w:pStyle w:val="0"/>
            </w:pPr>
            <w:r>
              <w:rPr>
                <w:sz w:val="20"/>
              </w:rPr>
              <w:t xml:space="preserve">4,6</w:t>
            </w:r>
          </w:p>
        </w:tc>
        <w:tc>
          <w:tcPr>
            <w:tcW w:w="1134" w:type="dxa"/>
          </w:tcPr>
          <w:p>
            <w:pPr>
              <w:pStyle w:val="0"/>
            </w:pPr>
            <w:r>
              <w:rPr>
                <w:sz w:val="20"/>
              </w:rPr>
              <w:t xml:space="preserve">2,9</w:t>
            </w:r>
          </w:p>
        </w:tc>
        <w:tc>
          <w:tcPr>
            <w:tcW w:w="992" w:type="dxa"/>
          </w:tcPr>
          <w:p>
            <w:pPr>
              <w:pStyle w:val="0"/>
            </w:pPr>
            <w:r>
              <w:rPr>
                <w:sz w:val="20"/>
              </w:rPr>
              <w:t xml:space="preserve">4,2</w:t>
            </w:r>
          </w:p>
        </w:tc>
        <w:tc>
          <w:tcPr>
            <w:tcW w:w="993" w:type="dxa"/>
          </w:tcPr>
          <w:p>
            <w:pPr>
              <w:pStyle w:val="0"/>
            </w:pPr>
            <w:r>
              <w:rPr>
                <w:sz w:val="20"/>
              </w:rPr>
              <w:t xml:space="preserve">3,6</w:t>
            </w:r>
          </w:p>
        </w:tc>
      </w:tr>
    </w:tbl>
    <w:p>
      <w:pPr>
        <w:pStyle w:val="0"/>
        <w:ind w:firstLine="540"/>
        <w:jc w:val="both"/>
      </w:pPr>
      <w:r>
        <w:rPr>
          <w:sz w:val="20"/>
        </w:rPr>
      </w:r>
    </w:p>
    <w:p>
      <w:pPr>
        <w:pStyle w:val="0"/>
        <w:ind w:firstLine="540"/>
        <w:jc w:val="both"/>
      </w:pPr>
      <w:r>
        <w:rPr>
          <w:sz w:val="20"/>
        </w:rPr>
        <w:t xml:space="preserve">Динамика за 5 лет составила снижение на 12,2%.</w:t>
      </w:r>
    </w:p>
    <w:p>
      <w:pPr>
        <w:pStyle w:val="0"/>
        <w:spacing w:before="200" w:line-rule="auto"/>
        <w:ind w:firstLine="540"/>
        <w:jc w:val="both"/>
      </w:pPr>
      <w:r>
        <w:rPr>
          <w:sz w:val="20"/>
        </w:rPr>
        <w:t xml:space="preserve">В структуре младенческой смертности на класс заболеваний "отдельные состояния, возникающие в перинатальном периоде" </w:t>
      </w:r>
      <w:hyperlink w:history="0" w:anchor="P707" w:tooltip="Структура младенческой смертности по автономному округу">
        <w:r>
          <w:rPr>
            <w:sz w:val="20"/>
            <w:color w:val="0000ff"/>
          </w:rPr>
          <w:t xml:space="preserve">(таблица 9)</w:t>
        </w:r>
      </w:hyperlink>
      <w:r>
        <w:rPr>
          <w:sz w:val="20"/>
        </w:rPr>
        <w:t xml:space="preserve"> приходится 52,7%, на класс "врожденные аномалии, деформации и хромосомные нарушения" - 23,1%, на класс "симптомы, признаки, отклонения от нормы, выявленные при клинических и лабораторных исследованиях, в том числе внезапная смерть грудного ребенка" приходится 9,5%, на "болезни нервной системы" - 5,4%, на "травмы, отравления и другие последствия воздействия внешних причин" - 4,1%.</w:t>
      </w:r>
    </w:p>
    <w:p>
      <w:pPr>
        <w:pStyle w:val="0"/>
        <w:jc w:val="right"/>
      </w:pPr>
      <w:r>
        <w:rPr>
          <w:sz w:val="20"/>
        </w:rPr>
      </w:r>
    </w:p>
    <w:p>
      <w:pPr>
        <w:pStyle w:val="0"/>
        <w:outlineLvl w:val="2"/>
        <w:jc w:val="right"/>
      </w:pPr>
      <w:r>
        <w:rPr>
          <w:sz w:val="20"/>
        </w:rPr>
        <w:t xml:space="preserve">Таблица 9</w:t>
      </w:r>
    </w:p>
    <w:p>
      <w:pPr>
        <w:pStyle w:val="0"/>
        <w:jc w:val="right"/>
      </w:pPr>
      <w:r>
        <w:rPr>
          <w:sz w:val="20"/>
        </w:rPr>
      </w:r>
    </w:p>
    <w:bookmarkStart w:id="707" w:name="P707"/>
    <w:bookmarkEnd w:id="707"/>
    <w:p>
      <w:pPr>
        <w:pStyle w:val="2"/>
        <w:jc w:val="center"/>
      </w:pPr>
      <w:r>
        <w:rPr>
          <w:sz w:val="20"/>
        </w:rPr>
        <w:t xml:space="preserve">Структура младенческой смертности по автономному округу</w:t>
      </w:r>
    </w:p>
    <w:p>
      <w:pPr>
        <w:pStyle w:val="2"/>
        <w:jc w:val="center"/>
      </w:pPr>
      <w:r>
        <w:rPr>
          <w:sz w:val="20"/>
        </w:rPr>
        <w:t xml:space="preserve">за период 2018 - 2020 годы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65"/>
        <w:gridCol w:w="1129"/>
        <w:gridCol w:w="1134"/>
        <w:gridCol w:w="1134"/>
        <w:gridCol w:w="1208"/>
      </w:tblGrid>
      <w:tr>
        <w:tc>
          <w:tcPr>
            <w:tcW w:w="4365" w:type="dxa"/>
          </w:tcPr>
          <w:p>
            <w:pPr>
              <w:pStyle w:val="0"/>
              <w:jc w:val="center"/>
            </w:pPr>
            <w:r>
              <w:rPr>
                <w:sz w:val="20"/>
              </w:rPr>
              <w:t xml:space="preserve">Наименование классов и отдельных заболеваний</w:t>
            </w:r>
          </w:p>
        </w:tc>
        <w:tc>
          <w:tcPr>
            <w:tcW w:w="1129" w:type="dxa"/>
          </w:tcPr>
          <w:p>
            <w:pPr>
              <w:pStyle w:val="0"/>
              <w:jc w:val="center"/>
            </w:pPr>
            <w:r>
              <w:rPr>
                <w:sz w:val="20"/>
              </w:rPr>
              <w:t xml:space="preserve">2018 год</w:t>
            </w:r>
          </w:p>
        </w:tc>
        <w:tc>
          <w:tcPr>
            <w:tcW w:w="1134" w:type="dxa"/>
          </w:tcPr>
          <w:p>
            <w:pPr>
              <w:pStyle w:val="0"/>
              <w:jc w:val="center"/>
            </w:pPr>
            <w:r>
              <w:rPr>
                <w:sz w:val="20"/>
              </w:rPr>
              <w:t xml:space="preserve">2019 год</w:t>
            </w:r>
          </w:p>
        </w:tc>
        <w:tc>
          <w:tcPr>
            <w:tcW w:w="1134" w:type="dxa"/>
          </w:tcPr>
          <w:p>
            <w:pPr>
              <w:pStyle w:val="0"/>
              <w:jc w:val="center"/>
            </w:pPr>
            <w:r>
              <w:rPr>
                <w:sz w:val="20"/>
              </w:rPr>
              <w:t xml:space="preserve">2020 год</w:t>
            </w:r>
          </w:p>
        </w:tc>
        <w:tc>
          <w:tcPr>
            <w:tcW w:w="1208" w:type="dxa"/>
          </w:tcPr>
          <w:p>
            <w:pPr>
              <w:pStyle w:val="0"/>
              <w:jc w:val="center"/>
            </w:pPr>
            <w:r>
              <w:rPr>
                <w:sz w:val="20"/>
              </w:rPr>
              <w:t xml:space="preserve">Темп снижения /роста в случаях к 2019 году и %</w:t>
            </w:r>
          </w:p>
        </w:tc>
      </w:tr>
      <w:tr>
        <w:tc>
          <w:tcPr>
            <w:tcW w:w="4365" w:type="dxa"/>
          </w:tcPr>
          <w:p>
            <w:pPr>
              <w:pStyle w:val="0"/>
            </w:pPr>
            <w:r>
              <w:rPr>
                <w:sz w:val="20"/>
              </w:rPr>
              <w:t xml:space="preserve">От всех причин, в том числе</w:t>
            </w:r>
          </w:p>
        </w:tc>
        <w:tc>
          <w:tcPr>
            <w:tcW w:w="1129" w:type="dxa"/>
          </w:tcPr>
          <w:p>
            <w:pPr>
              <w:pStyle w:val="0"/>
            </w:pPr>
            <w:r>
              <w:rPr>
                <w:sz w:val="20"/>
              </w:rPr>
              <w:t xml:space="preserve">65</w:t>
            </w:r>
          </w:p>
        </w:tc>
        <w:tc>
          <w:tcPr>
            <w:tcW w:w="1134" w:type="dxa"/>
          </w:tcPr>
          <w:p>
            <w:pPr>
              <w:pStyle w:val="0"/>
            </w:pPr>
            <w:r>
              <w:rPr>
                <w:sz w:val="20"/>
              </w:rPr>
              <w:t xml:space="preserve">86</w:t>
            </w:r>
          </w:p>
        </w:tc>
        <w:tc>
          <w:tcPr>
            <w:tcW w:w="1134" w:type="dxa"/>
          </w:tcPr>
          <w:p>
            <w:pPr>
              <w:pStyle w:val="0"/>
            </w:pPr>
            <w:r>
              <w:rPr>
                <w:sz w:val="20"/>
              </w:rPr>
              <w:t xml:space="preserve">74</w:t>
            </w:r>
          </w:p>
        </w:tc>
        <w:tc>
          <w:tcPr>
            <w:tcW w:w="1208" w:type="dxa"/>
          </w:tcPr>
          <w:p>
            <w:pPr>
              <w:pStyle w:val="0"/>
            </w:pPr>
            <w:r>
              <w:rPr>
                <w:sz w:val="20"/>
              </w:rPr>
              <w:t xml:space="preserve">-14%</w:t>
            </w:r>
          </w:p>
        </w:tc>
      </w:tr>
      <w:tr>
        <w:tc>
          <w:tcPr>
            <w:tcW w:w="4365" w:type="dxa"/>
          </w:tcPr>
          <w:p>
            <w:pPr>
              <w:pStyle w:val="0"/>
            </w:pPr>
            <w:r>
              <w:rPr>
                <w:sz w:val="20"/>
              </w:rPr>
              <w:t xml:space="preserve">Некоторые инфекционные и паразитарные заболевания</w:t>
            </w:r>
          </w:p>
        </w:tc>
        <w:tc>
          <w:tcPr>
            <w:tcW w:w="1129" w:type="dxa"/>
          </w:tcPr>
          <w:p>
            <w:pPr>
              <w:pStyle w:val="0"/>
            </w:pPr>
            <w:r>
              <w:rPr>
                <w:sz w:val="20"/>
              </w:rPr>
              <w:t xml:space="preserve">3</w:t>
            </w:r>
          </w:p>
        </w:tc>
        <w:tc>
          <w:tcPr>
            <w:tcW w:w="1134" w:type="dxa"/>
          </w:tcPr>
          <w:p>
            <w:pPr>
              <w:pStyle w:val="0"/>
            </w:pPr>
            <w:r>
              <w:rPr>
                <w:sz w:val="20"/>
              </w:rPr>
              <w:t xml:space="preserve">1</w:t>
            </w:r>
          </w:p>
        </w:tc>
        <w:tc>
          <w:tcPr>
            <w:tcW w:w="1134" w:type="dxa"/>
          </w:tcPr>
          <w:p>
            <w:pPr>
              <w:pStyle w:val="0"/>
            </w:pPr>
            <w:r>
              <w:rPr>
                <w:sz w:val="20"/>
              </w:rPr>
              <w:t xml:space="preserve">1</w:t>
            </w:r>
          </w:p>
        </w:tc>
        <w:tc>
          <w:tcPr>
            <w:tcW w:w="1208" w:type="dxa"/>
          </w:tcPr>
          <w:p>
            <w:pPr>
              <w:pStyle w:val="0"/>
            </w:pPr>
            <w:r>
              <w:rPr>
                <w:sz w:val="20"/>
              </w:rPr>
              <w:t xml:space="preserve">3 и 1</w:t>
            </w:r>
          </w:p>
        </w:tc>
      </w:tr>
      <w:tr>
        <w:tc>
          <w:tcPr>
            <w:tcW w:w="4365" w:type="dxa"/>
          </w:tcPr>
          <w:p>
            <w:pPr>
              <w:pStyle w:val="0"/>
            </w:pPr>
            <w:r>
              <w:rPr>
                <w:sz w:val="20"/>
              </w:rPr>
              <w:t xml:space="preserve">Болезни крови</w:t>
            </w:r>
          </w:p>
        </w:tc>
        <w:tc>
          <w:tcPr>
            <w:tcW w:w="1129" w:type="dxa"/>
          </w:tcPr>
          <w:p>
            <w:pPr>
              <w:pStyle w:val="0"/>
            </w:pPr>
            <w:r>
              <w:rPr>
                <w:sz w:val="20"/>
              </w:rPr>
              <w:t xml:space="preserve">0</w:t>
            </w:r>
          </w:p>
        </w:tc>
        <w:tc>
          <w:tcPr>
            <w:tcW w:w="1134" w:type="dxa"/>
          </w:tcPr>
          <w:p>
            <w:pPr>
              <w:pStyle w:val="0"/>
            </w:pPr>
            <w:r>
              <w:rPr>
                <w:sz w:val="20"/>
              </w:rPr>
              <w:t xml:space="preserve">0</w:t>
            </w:r>
          </w:p>
        </w:tc>
        <w:tc>
          <w:tcPr>
            <w:tcW w:w="1134" w:type="dxa"/>
          </w:tcPr>
          <w:p>
            <w:pPr>
              <w:pStyle w:val="0"/>
            </w:pPr>
            <w:r>
              <w:rPr>
                <w:sz w:val="20"/>
              </w:rPr>
              <w:t xml:space="preserve">1</w:t>
            </w:r>
          </w:p>
        </w:tc>
        <w:tc>
          <w:tcPr>
            <w:tcW w:w="1208" w:type="dxa"/>
          </w:tcPr>
          <w:p>
            <w:pPr>
              <w:pStyle w:val="0"/>
            </w:pPr>
            <w:r>
              <w:rPr>
                <w:sz w:val="20"/>
              </w:rPr>
              <w:t xml:space="preserve">0 и 1</w:t>
            </w:r>
          </w:p>
        </w:tc>
      </w:tr>
      <w:tr>
        <w:tc>
          <w:tcPr>
            <w:tcW w:w="4365" w:type="dxa"/>
          </w:tcPr>
          <w:p>
            <w:pPr>
              <w:pStyle w:val="0"/>
            </w:pPr>
            <w:r>
              <w:rPr>
                <w:sz w:val="20"/>
              </w:rPr>
              <w:t xml:space="preserve">Новообразования</w:t>
            </w:r>
          </w:p>
        </w:tc>
        <w:tc>
          <w:tcPr>
            <w:tcW w:w="1129" w:type="dxa"/>
          </w:tcPr>
          <w:p>
            <w:pPr>
              <w:pStyle w:val="0"/>
            </w:pPr>
            <w:r>
              <w:rPr>
                <w:sz w:val="20"/>
              </w:rPr>
              <w:t xml:space="preserve">0</w:t>
            </w:r>
          </w:p>
        </w:tc>
        <w:tc>
          <w:tcPr>
            <w:tcW w:w="1134" w:type="dxa"/>
          </w:tcPr>
          <w:p>
            <w:pPr>
              <w:pStyle w:val="0"/>
            </w:pPr>
            <w:r>
              <w:rPr>
                <w:sz w:val="20"/>
              </w:rPr>
              <w:t xml:space="preserve">0</w:t>
            </w:r>
          </w:p>
        </w:tc>
        <w:tc>
          <w:tcPr>
            <w:tcW w:w="1134" w:type="dxa"/>
          </w:tcPr>
          <w:p>
            <w:pPr>
              <w:pStyle w:val="0"/>
            </w:pPr>
            <w:r>
              <w:rPr>
                <w:sz w:val="20"/>
              </w:rPr>
              <w:t xml:space="preserve">0</w:t>
            </w:r>
          </w:p>
        </w:tc>
        <w:tc>
          <w:tcPr>
            <w:tcW w:w="1208" w:type="dxa"/>
          </w:tcPr>
          <w:p>
            <w:pPr>
              <w:pStyle w:val="0"/>
            </w:pPr>
            <w:r>
              <w:rPr>
                <w:sz w:val="20"/>
              </w:rPr>
              <w:t xml:space="preserve">0</w:t>
            </w:r>
          </w:p>
        </w:tc>
      </w:tr>
      <w:tr>
        <w:tc>
          <w:tcPr>
            <w:tcW w:w="4365" w:type="dxa"/>
          </w:tcPr>
          <w:p>
            <w:pPr>
              <w:pStyle w:val="0"/>
            </w:pPr>
            <w:r>
              <w:rPr>
                <w:sz w:val="20"/>
              </w:rPr>
              <w:t xml:space="preserve">Болезни эндокринной системы, расстройство питания и нарушение обмена веществ</w:t>
            </w:r>
          </w:p>
        </w:tc>
        <w:tc>
          <w:tcPr>
            <w:tcW w:w="1129" w:type="dxa"/>
          </w:tcPr>
          <w:p>
            <w:pPr>
              <w:pStyle w:val="0"/>
            </w:pPr>
            <w:r>
              <w:rPr>
                <w:sz w:val="20"/>
              </w:rPr>
              <w:t xml:space="preserve">0</w:t>
            </w:r>
          </w:p>
        </w:tc>
        <w:tc>
          <w:tcPr>
            <w:tcW w:w="1134" w:type="dxa"/>
          </w:tcPr>
          <w:p>
            <w:pPr>
              <w:pStyle w:val="0"/>
            </w:pPr>
            <w:r>
              <w:rPr>
                <w:sz w:val="20"/>
              </w:rPr>
              <w:t xml:space="preserve">0</w:t>
            </w:r>
          </w:p>
        </w:tc>
        <w:tc>
          <w:tcPr>
            <w:tcW w:w="1134" w:type="dxa"/>
          </w:tcPr>
          <w:p>
            <w:pPr>
              <w:pStyle w:val="0"/>
            </w:pPr>
            <w:r>
              <w:rPr>
                <w:sz w:val="20"/>
              </w:rPr>
              <w:t xml:space="preserve">0</w:t>
            </w:r>
          </w:p>
        </w:tc>
        <w:tc>
          <w:tcPr>
            <w:tcW w:w="1208" w:type="dxa"/>
          </w:tcPr>
          <w:p>
            <w:pPr>
              <w:pStyle w:val="0"/>
            </w:pPr>
            <w:r>
              <w:rPr>
                <w:sz w:val="20"/>
              </w:rPr>
              <w:t xml:space="preserve">0</w:t>
            </w:r>
          </w:p>
        </w:tc>
      </w:tr>
      <w:tr>
        <w:tc>
          <w:tcPr>
            <w:tcW w:w="4365" w:type="dxa"/>
          </w:tcPr>
          <w:p>
            <w:pPr>
              <w:pStyle w:val="0"/>
            </w:pPr>
            <w:r>
              <w:rPr>
                <w:sz w:val="20"/>
              </w:rPr>
              <w:t xml:space="preserve">Болезни органов пищеварения</w:t>
            </w:r>
          </w:p>
        </w:tc>
        <w:tc>
          <w:tcPr>
            <w:tcW w:w="1129" w:type="dxa"/>
          </w:tcPr>
          <w:p>
            <w:pPr>
              <w:pStyle w:val="0"/>
            </w:pPr>
            <w:r>
              <w:rPr>
                <w:sz w:val="20"/>
              </w:rPr>
              <w:t xml:space="preserve">0</w:t>
            </w:r>
          </w:p>
        </w:tc>
        <w:tc>
          <w:tcPr>
            <w:tcW w:w="1134" w:type="dxa"/>
          </w:tcPr>
          <w:p>
            <w:pPr>
              <w:pStyle w:val="0"/>
            </w:pPr>
            <w:r>
              <w:rPr>
                <w:sz w:val="20"/>
              </w:rPr>
              <w:t xml:space="preserve">0</w:t>
            </w:r>
          </w:p>
        </w:tc>
        <w:tc>
          <w:tcPr>
            <w:tcW w:w="1134" w:type="dxa"/>
          </w:tcPr>
          <w:p>
            <w:pPr>
              <w:pStyle w:val="0"/>
            </w:pPr>
            <w:r>
              <w:rPr>
                <w:sz w:val="20"/>
              </w:rPr>
              <w:t xml:space="preserve">0</w:t>
            </w:r>
          </w:p>
        </w:tc>
        <w:tc>
          <w:tcPr>
            <w:tcW w:w="1208" w:type="dxa"/>
          </w:tcPr>
          <w:p>
            <w:pPr>
              <w:pStyle w:val="0"/>
            </w:pPr>
            <w:r>
              <w:rPr>
                <w:sz w:val="20"/>
              </w:rPr>
              <w:t xml:space="preserve">0</w:t>
            </w:r>
          </w:p>
        </w:tc>
      </w:tr>
      <w:tr>
        <w:tc>
          <w:tcPr>
            <w:tcW w:w="4365" w:type="dxa"/>
          </w:tcPr>
          <w:p>
            <w:pPr>
              <w:pStyle w:val="0"/>
            </w:pPr>
            <w:r>
              <w:rPr>
                <w:sz w:val="20"/>
              </w:rPr>
              <w:t xml:space="preserve">Болезни системы кровообращения</w:t>
            </w:r>
          </w:p>
        </w:tc>
        <w:tc>
          <w:tcPr>
            <w:tcW w:w="1129" w:type="dxa"/>
          </w:tcPr>
          <w:p>
            <w:pPr>
              <w:pStyle w:val="0"/>
            </w:pPr>
            <w:r>
              <w:rPr>
                <w:sz w:val="20"/>
              </w:rPr>
              <w:t xml:space="preserve">0</w:t>
            </w:r>
          </w:p>
        </w:tc>
        <w:tc>
          <w:tcPr>
            <w:tcW w:w="1134" w:type="dxa"/>
          </w:tcPr>
          <w:p>
            <w:pPr>
              <w:pStyle w:val="0"/>
            </w:pPr>
            <w:r>
              <w:rPr>
                <w:sz w:val="20"/>
              </w:rPr>
              <w:t xml:space="preserve">5</w:t>
            </w:r>
          </w:p>
        </w:tc>
        <w:tc>
          <w:tcPr>
            <w:tcW w:w="1134" w:type="dxa"/>
          </w:tcPr>
          <w:p>
            <w:pPr>
              <w:pStyle w:val="0"/>
            </w:pPr>
            <w:r>
              <w:rPr>
                <w:sz w:val="20"/>
              </w:rPr>
              <w:t xml:space="preserve">2</w:t>
            </w:r>
          </w:p>
        </w:tc>
        <w:tc>
          <w:tcPr>
            <w:tcW w:w="1208" w:type="dxa"/>
          </w:tcPr>
          <w:p>
            <w:pPr>
              <w:pStyle w:val="0"/>
            </w:pPr>
            <w:r>
              <w:rPr>
                <w:sz w:val="20"/>
              </w:rPr>
              <w:t xml:space="preserve">5 и 2</w:t>
            </w:r>
          </w:p>
        </w:tc>
      </w:tr>
      <w:tr>
        <w:tc>
          <w:tcPr>
            <w:tcW w:w="4365" w:type="dxa"/>
          </w:tcPr>
          <w:p>
            <w:pPr>
              <w:pStyle w:val="0"/>
            </w:pPr>
            <w:r>
              <w:rPr>
                <w:sz w:val="20"/>
              </w:rPr>
              <w:t xml:space="preserve">Болезни нервной системы</w:t>
            </w:r>
          </w:p>
        </w:tc>
        <w:tc>
          <w:tcPr>
            <w:tcW w:w="1129" w:type="dxa"/>
          </w:tcPr>
          <w:p>
            <w:pPr>
              <w:pStyle w:val="0"/>
            </w:pPr>
            <w:r>
              <w:rPr>
                <w:sz w:val="20"/>
              </w:rPr>
              <w:t xml:space="preserve">2</w:t>
            </w:r>
          </w:p>
        </w:tc>
        <w:tc>
          <w:tcPr>
            <w:tcW w:w="1134" w:type="dxa"/>
          </w:tcPr>
          <w:p>
            <w:pPr>
              <w:pStyle w:val="0"/>
            </w:pPr>
            <w:r>
              <w:rPr>
                <w:sz w:val="20"/>
              </w:rPr>
              <w:t xml:space="preserve">3</w:t>
            </w:r>
          </w:p>
        </w:tc>
        <w:tc>
          <w:tcPr>
            <w:tcW w:w="1134" w:type="dxa"/>
          </w:tcPr>
          <w:p>
            <w:pPr>
              <w:pStyle w:val="0"/>
            </w:pPr>
            <w:r>
              <w:rPr>
                <w:sz w:val="20"/>
              </w:rPr>
              <w:t xml:space="preserve">4</w:t>
            </w:r>
          </w:p>
        </w:tc>
        <w:tc>
          <w:tcPr>
            <w:tcW w:w="1208" w:type="dxa"/>
          </w:tcPr>
          <w:p>
            <w:pPr>
              <w:pStyle w:val="0"/>
            </w:pPr>
            <w:r>
              <w:rPr>
                <w:sz w:val="20"/>
              </w:rPr>
              <w:t xml:space="preserve">3 и 4</w:t>
            </w:r>
          </w:p>
        </w:tc>
      </w:tr>
      <w:tr>
        <w:tc>
          <w:tcPr>
            <w:tcW w:w="4365" w:type="dxa"/>
          </w:tcPr>
          <w:p>
            <w:pPr>
              <w:pStyle w:val="0"/>
            </w:pPr>
            <w:r>
              <w:rPr>
                <w:sz w:val="20"/>
              </w:rPr>
              <w:t xml:space="preserve">Болезни органов дыхания, из них</w:t>
            </w:r>
          </w:p>
        </w:tc>
        <w:tc>
          <w:tcPr>
            <w:tcW w:w="1129" w:type="dxa"/>
          </w:tcPr>
          <w:p>
            <w:pPr>
              <w:pStyle w:val="0"/>
            </w:pPr>
            <w:r>
              <w:rPr>
                <w:sz w:val="20"/>
              </w:rPr>
              <w:t xml:space="preserve">1</w:t>
            </w:r>
          </w:p>
        </w:tc>
        <w:tc>
          <w:tcPr>
            <w:tcW w:w="1134" w:type="dxa"/>
          </w:tcPr>
          <w:p>
            <w:pPr>
              <w:pStyle w:val="0"/>
            </w:pPr>
            <w:r>
              <w:rPr>
                <w:sz w:val="20"/>
              </w:rPr>
              <w:t xml:space="preserve">3</w:t>
            </w:r>
          </w:p>
        </w:tc>
        <w:tc>
          <w:tcPr>
            <w:tcW w:w="1134" w:type="dxa"/>
          </w:tcPr>
          <w:p>
            <w:pPr>
              <w:pStyle w:val="0"/>
            </w:pPr>
            <w:r>
              <w:rPr>
                <w:sz w:val="20"/>
              </w:rPr>
              <w:t xml:space="preserve">0</w:t>
            </w:r>
          </w:p>
        </w:tc>
        <w:tc>
          <w:tcPr>
            <w:tcW w:w="1208" w:type="dxa"/>
          </w:tcPr>
          <w:p>
            <w:pPr>
              <w:pStyle w:val="0"/>
            </w:pPr>
            <w:r>
              <w:rPr>
                <w:sz w:val="20"/>
              </w:rPr>
              <w:t xml:space="preserve">3 и 0</w:t>
            </w:r>
          </w:p>
        </w:tc>
      </w:tr>
      <w:tr>
        <w:tc>
          <w:tcPr>
            <w:tcW w:w="4365" w:type="dxa"/>
          </w:tcPr>
          <w:p>
            <w:pPr>
              <w:pStyle w:val="0"/>
            </w:pPr>
            <w:r>
              <w:rPr>
                <w:sz w:val="20"/>
              </w:rPr>
              <w:t xml:space="preserve">Отдельные состояния, возникающие в перинатальном периоде</w:t>
            </w:r>
          </w:p>
        </w:tc>
        <w:tc>
          <w:tcPr>
            <w:tcW w:w="1129" w:type="dxa"/>
          </w:tcPr>
          <w:p>
            <w:pPr>
              <w:pStyle w:val="0"/>
            </w:pPr>
            <w:r>
              <w:rPr>
                <w:sz w:val="20"/>
              </w:rPr>
              <w:t xml:space="preserve">35</w:t>
            </w:r>
          </w:p>
        </w:tc>
        <w:tc>
          <w:tcPr>
            <w:tcW w:w="1134" w:type="dxa"/>
          </w:tcPr>
          <w:p>
            <w:pPr>
              <w:pStyle w:val="0"/>
            </w:pPr>
            <w:r>
              <w:rPr>
                <w:sz w:val="20"/>
              </w:rPr>
              <w:t xml:space="preserve">47</w:t>
            </w:r>
          </w:p>
        </w:tc>
        <w:tc>
          <w:tcPr>
            <w:tcW w:w="1134" w:type="dxa"/>
          </w:tcPr>
          <w:p>
            <w:pPr>
              <w:pStyle w:val="0"/>
            </w:pPr>
            <w:r>
              <w:rPr>
                <w:sz w:val="20"/>
              </w:rPr>
              <w:t xml:space="preserve">39</w:t>
            </w:r>
          </w:p>
        </w:tc>
        <w:tc>
          <w:tcPr>
            <w:tcW w:w="1208" w:type="dxa"/>
          </w:tcPr>
          <w:p>
            <w:pPr>
              <w:pStyle w:val="0"/>
            </w:pPr>
            <w:r>
              <w:rPr>
                <w:sz w:val="20"/>
              </w:rPr>
              <w:t xml:space="preserve">-17,0%</w:t>
            </w:r>
          </w:p>
        </w:tc>
      </w:tr>
      <w:tr>
        <w:tc>
          <w:tcPr>
            <w:tcW w:w="4365" w:type="dxa"/>
          </w:tcPr>
          <w:p>
            <w:pPr>
              <w:pStyle w:val="0"/>
            </w:pPr>
            <w:r>
              <w:rPr>
                <w:sz w:val="20"/>
              </w:rPr>
              <w:t xml:space="preserve">Врожденные аномалии, деформации и хромосомные нарушения</w:t>
            </w:r>
          </w:p>
        </w:tc>
        <w:tc>
          <w:tcPr>
            <w:tcW w:w="1129" w:type="dxa"/>
          </w:tcPr>
          <w:p>
            <w:pPr>
              <w:pStyle w:val="0"/>
            </w:pPr>
            <w:r>
              <w:rPr>
                <w:sz w:val="20"/>
              </w:rPr>
              <w:t xml:space="preserve">15</w:t>
            </w:r>
          </w:p>
        </w:tc>
        <w:tc>
          <w:tcPr>
            <w:tcW w:w="1134" w:type="dxa"/>
          </w:tcPr>
          <w:p>
            <w:pPr>
              <w:pStyle w:val="0"/>
            </w:pPr>
            <w:r>
              <w:rPr>
                <w:sz w:val="20"/>
              </w:rPr>
              <w:t xml:space="preserve">19</w:t>
            </w:r>
          </w:p>
        </w:tc>
        <w:tc>
          <w:tcPr>
            <w:tcW w:w="1134" w:type="dxa"/>
          </w:tcPr>
          <w:p>
            <w:pPr>
              <w:pStyle w:val="0"/>
            </w:pPr>
            <w:r>
              <w:rPr>
                <w:sz w:val="20"/>
              </w:rPr>
              <w:t xml:space="preserve">17</w:t>
            </w:r>
          </w:p>
        </w:tc>
        <w:tc>
          <w:tcPr>
            <w:tcW w:w="1208" w:type="dxa"/>
          </w:tcPr>
          <w:p>
            <w:pPr>
              <w:pStyle w:val="0"/>
            </w:pPr>
            <w:r>
              <w:rPr>
                <w:sz w:val="20"/>
              </w:rPr>
              <w:t xml:space="preserve">-10,5%</w:t>
            </w:r>
          </w:p>
        </w:tc>
      </w:tr>
      <w:tr>
        <w:tc>
          <w:tcPr>
            <w:tcW w:w="4365" w:type="dxa"/>
          </w:tcPr>
          <w:p>
            <w:pPr>
              <w:pStyle w:val="0"/>
            </w:pPr>
            <w:r>
              <w:rPr>
                <w:sz w:val="20"/>
              </w:rPr>
              <w:t xml:space="preserve">Травмы, отравления и другие последствия воздействия внешних причин</w:t>
            </w:r>
          </w:p>
        </w:tc>
        <w:tc>
          <w:tcPr>
            <w:tcW w:w="1129" w:type="dxa"/>
          </w:tcPr>
          <w:p>
            <w:pPr>
              <w:pStyle w:val="0"/>
            </w:pPr>
            <w:r>
              <w:rPr>
                <w:sz w:val="20"/>
              </w:rPr>
              <w:t xml:space="preserve">6</w:t>
            </w:r>
          </w:p>
        </w:tc>
        <w:tc>
          <w:tcPr>
            <w:tcW w:w="1134" w:type="dxa"/>
          </w:tcPr>
          <w:p>
            <w:pPr>
              <w:pStyle w:val="0"/>
            </w:pPr>
            <w:r>
              <w:rPr>
                <w:sz w:val="20"/>
              </w:rPr>
              <w:t xml:space="preserve">3</w:t>
            </w:r>
          </w:p>
        </w:tc>
        <w:tc>
          <w:tcPr>
            <w:tcW w:w="1134" w:type="dxa"/>
          </w:tcPr>
          <w:p>
            <w:pPr>
              <w:pStyle w:val="0"/>
            </w:pPr>
            <w:r>
              <w:rPr>
                <w:sz w:val="20"/>
              </w:rPr>
              <w:t xml:space="preserve">3</w:t>
            </w:r>
          </w:p>
        </w:tc>
        <w:tc>
          <w:tcPr>
            <w:tcW w:w="1208" w:type="dxa"/>
          </w:tcPr>
          <w:p>
            <w:pPr>
              <w:pStyle w:val="0"/>
            </w:pPr>
            <w:r>
              <w:rPr>
                <w:sz w:val="20"/>
              </w:rPr>
              <w:t xml:space="preserve">0</w:t>
            </w:r>
          </w:p>
        </w:tc>
      </w:tr>
      <w:tr>
        <w:tc>
          <w:tcPr>
            <w:tcW w:w="4365" w:type="dxa"/>
          </w:tcPr>
          <w:p>
            <w:pPr>
              <w:pStyle w:val="0"/>
            </w:pPr>
            <w:r>
              <w:rPr>
                <w:sz w:val="20"/>
              </w:rPr>
              <w:t xml:space="preserve">Симптомы, признаки, отклонения от нормы, выявленные при клинических и лабораторных исследованиях, в том числе</w:t>
            </w:r>
          </w:p>
        </w:tc>
        <w:tc>
          <w:tcPr>
            <w:tcW w:w="1129" w:type="dxa"/>
          </w:tcPr>
          <w:p>
            <w:pPr>
              <w:pStyle w:val="0"/>
            </w:pPr>
            <w:r>
              <w:rPr>
                <w:sz w:val="20"/>
              </w:rPr>
              <w:t xml:space="preserve">3</w:t>
            </w:r>
          </w:p>
        </w:tc>
        <w:tc>
          <w:tcPr>
            <w:tcW w:w="1134" w:type="dxa"/>
          </w:tcPr>
          <w:p>
            <w:pPr>
              <w:pStyle w:val="0"/>
            </w:pPr>
            <w:r>
              <w:rPr>
                <w:sz w:val="20"/>
              </w:rPr>
              <w:t xml:space="preserve">5</w:t>
            </w:r>
          </w:p>
        </w:tc>
        <w:tc>
          <w:tcPr>
            <w:tcW w:w="1134" w:type="dxa"/>
          </w:tcPr>
          <w:p>
            <w:pPr>
              <w:pStyle w:val="0"/>
            </w:pPr>
            <w:r>
              <w:rPr>
                <w:sz w:val="20"/>
              </w:rPr>
              <w:t xml:space="preserve">7</w:t>
            </w:r>
          </w:p>
        </w:tc>
        <w:tc>
          <w:tcPr>
            <w:tcW w:w="1208" w:type="dxa"/>
          </w:tcPr>
          <w:p>
            <w:pPr>
              <w:pStyle w:val="0"/>
            </w:pPr>
            <w:r>
              <w:rPr>
                <w:sz w:val="20"/>
              </w:rPr>
              <w:t xml:space="preserve">5 и 7</w:t>
            </w:r>
          </w:p>
        </w:tc>
      </w:tr>
      <w:tr>
        <w:tc>
          <w:tcPr>
            <w:tcW w:w="4365" w:type="dxa"/>
          </w:tcPr>
          <w:p>
            <w:pPr>
              <w:pStyle w:val="0"/>
            </w:pPr>
            <w:r>
              <w:rPr>
                <w:sz w:val="20"/>
              </w:rPr>
              <w:t xml:space="preserve">смерть по неустановленной причине</w:t>
            </w:r>
          </w:p>
        </w:tc>
        <w:tc>
          <w:tcPr>
            <w:tcW w:w="1129" w:type="dxa"/>
          </w:tcPr>
          <w:p>
            <w:pPr>
              <w:pStyle w:val="0"/>
            </w:pPr>
            <w:r>
              <w:rPr>
                <w:sz w:val="20"/>
              </w:rPr>
              <w:t xml:space="preserve">2</w:t>
            </w:r>
          </w:p>
        </w:tc>
        <w:tc>
          <w:tcPr>
            <w:tcW w:w="1134" w:type="dxa"/>
          </w:tcPr>
          <w:p>
            <w:pPr>
              <w:pStyle w:val="0"/>
            </w:pPr>
            <w:r>
              <w:rPr>
                <w:sz w:val="20"/>
              </w:rPr>
              <w:t xml:space="preserve">0</w:t>
            </w:r>
          </w:p>
        </w:tc>
        <w:tc>
          <w:tcPr>
            <w:tcW w:w="1134" w:type="dxa"/>
          </w:tcPr>
          <w:p>
            <w:pPr>
              <w:pStyle w:val="0"/>
            </w:pPr>
            <w:r>
              <w:rPr>
                <w:sz w:val="20"/>
              </w:rPr>
              <w:t xml:space="preserve">1</w:t>
            </w:r>
          </w:p>
        </w:tc>
        <w:tc>
          <w:tcPr>
            <w:tcW w:w="1208" w:type="dxa"/>
          </w:tcPr>
          <w:p>
            <w:pPr>
              <w:pStyle w:val="0"/>
            </w:pPr>
            <w:r>
              <w:rPr>
                <w:sz w:val="20"/>
              </w:rPr>
              <w:t xml:space="preserve">0 и 1</w:t>
            </w:r>
          </w:p>
        </w:tc>
      </w:tr>
      <w:tr>
        <w:tc>
          <w:tcPr>
            <w:tcW w:w="4365" w:type="dxa"/>
          </w:tcPr>
          <w:p>
            <w:pPr>
              <w:pStyle w:val="0"/>
            </w:pPr>
            <w:r>
              <w:rPr>
                <w:sz w:val="20"/>
              </w:rPr>
              <w:t xml:space="preserve">внезапная смерть грудного ребенка</w:t>
            </w:r>
          </w:p>
        </w:tc>
        <w:tc>
          <w:tcPr>
            <w:tcW w:w="1129" w:type="dxa"/>
          </w:tcPr>
          <w:p>
            <w:pPr>
              <w:pStyle w:val="0"/>
            </w:pPr>
            <w:r>
              <w:rPr>
                <w:sz w:val="20"/>
              </w:rPr>
              <w:t xml:space="preserve">1</w:t>
            </w:r>
          </w:p>
        </w:tc>
        <w:tc>
          <w:tcPr>
            <w:tcW w:w="1134" w:type="dxa"/>
          </w:tcPr>
          <w:p>
            <w:pPr>
              <w:pStyle w:val="0"/>
            </w:pPr>
            <w:r>
              <w:rPr>
                <w:sz w:val="20"/>
              </w:rPr>
              <w:t xml:space="preserve">5</w:t>
            </w:r>
          </w:p>
        </w:tc>
        <w:tc>
          <w:tcPr>
            <w:tcW w:w="1134" w:type="dxa"/>
          </w:tcPr>
          <w:p>
            <w:pPr>
              <w:pStyle w:val="0"/>
            </w:pPr>
            <w:r>
              <w:rPr>
                <w:sz w:val="20"/>
              </w:rPr>
              <w:t xml:space="preserve">6</w:t>
            </w:r>
          </w:p>
        </w:tc>
        <w:tc>
          <w:tcPr>
            <w:tcW w:w="1208" w:type="dxa"/>
          </w:tcPr>
          <w:p>
            <w:pPr>
              <w:pStyle w:val="0"/>
            </w:pPr>
            <w:r>
              <w:rPr>
                <w:sz w:val="20"/>
              </w:rPr>
              <w:t xml:space="preserve">5 и 6</w:t>
            </w:r>
          </w:p>
        </w:tc>
      </w:tr>
    </w:tbl>
    <w:p>
      <w:pPr>
        <w:pStyle w:val="0"/>
        <w:ind w:firstLine="540"/>
        <w:jc w:val="both"/>
      </w:pPr>
      <w:r>
        <w:rPr>
          <w:sz w:val="20"/>
        </w:rPr>
      </w:r>
    </w:p>
    <w:p>
      <w:pPr>
        <w:pStyle w:val="0"/>
        <w:ind w:firstLine="540"/>
        <w:jc w:val="both"/>
      </w:pPr>
      <w:r>
        <w:rPr>
          <w:sz w:val="20"/>
        </w:rPr>
        <w:t xml:space="preserve">Снижение младенческой смертности на 14,3% в 2020 году в сравнении с 2019 годом (с 4,2 до 3,6 на 1 тыс. родившихся живыми) произошло за счет отдельных состояний перинатального периода (родовая травма, внутриутробная гипоксия, асфиксия, дыхательные нарушения, инфекционные болезни, специфичные для перинатального периода). При этом отмечается уменьшение смертности детей до года от врожденных аномалий, деформаций и хромосомных нарушений на 10,5%.</w:t>
      </w:r>
    </w:p>
    <w:p>
      <w:pPr>
        <w:pStyle w:val="0"/>
        <w:spacing w:before="200" w:line-rule="auto"/>
        <w:ind w:firstLine="540"/>
        <w:jc w:val="both"/>
      </w:pPr>
      <w:r>
        <w:rPr>
          <w:sz w:val="20"/>
        </w:rPr>
        <w:t xml:space="preserve">Ниже среднероссийского показателя зарегистрирован в автономном округе уровень смертности детей от 0 до 4 лет включительно, а также смертность детей от 0 до 17 лет включительно.</w:t>
      </w:r>
    </w:p>
    <w:p>
      <w:pPr>
        <w:pStyle w:val="0"/>
        <w:ind w:firstLine="540"/>
        <w:jc w:val="both"/>
      </w:pPr>
      <w:r>
        <w:rPr>
          <w:sz w:val="20"/>
        </w:rPr>
      </w:r>
    </w:p>
    <w:p>
      <w:pPr>
        <w:pStyle w:val="0"/>
        <w:outlineLvl w:val="2"/>
        <w:jc w:val="right"/>
      </w:pPr>
      <w:r>
        <w:rPr>
          <w:sz w:val="20"/>
        </w:rPr>
        <w:t xml:space="preserve">Таблица 10</w:t>
      </w:r>
    </w:p>
    <w:p>
      <w:pPr>
        <w:pStyle w:val="0"/>
        <w:ind w:firstLine="540"/>
        <w:jc w:val="both"/>
      </w:pPr>
      <w:r>
        <w:rPr>
          <w:sz w:val="20"/>
        </w:rPr>
      </w:r>
    </w:p>
    <w:p>
      <w:pPr>
        <w:pStyle w:val="2"/>
        <w:jc w:val="center"/>
      </w:pPr>
      <w:r>
        <w:rPr>
          <w:sz w:val="20"/>
        </w:rPr>
        <w:t xml:space="preserve">Показатель детской смертности от 0 до 4 лет и 0 - 17 лет</w:t>
      </w:r>
    </w:p>
    <w:p>
      <w:pPr>
        <w:pStyle w:val="2"/>
        <w:jc w:val="center"/>
      </w:pPr>
      <w:r>
        <w:rPr>
          <w:sz w:val="20"/>
        </w:rPr>
        <w:t xml:space="preserve">в автономном округе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1134"/>
        <w:gridCol w:w="1134"/>
        <w:gridCol w:w="1134"/>
        <w:gridCol w:w="1134"/>
        <w:gridCol w:w="1134"/>
      </w:tblGrid>
      <w:tr>
        <w:tc>
          <w:tcPr>
            <w:tcW w:w="3288" w:type="dxa"/>
          </w:tcPr>
          <w:p>
            <w:pPr>
              <w:pStyle w:val="0"/>
              <w:jc w:val="center"/>
            </w:pPr>
            <w:r>
              <w:rPr>
                <w:sz w:val="20"/>
              </w:rPr>
              <w:t xml:space="preserve">Показатель</w:t>
            </w:r>
          </w:p>
        </w:tc>
        <w:tc>
          <w:tcPr>
            <w:tcW w:w="1134" w:type="dxa"/>
          </w:tcPr>
          <w:p>
            <w:pPr>
              <w:pStyle w:val="0"/>
              <w:jc w:val="center"/>
            </w:pPr>
            <w:r>
              <w:rPr>
                <w:sz w:val="20"/>
              </w:rPr>
              <w:t xml:space="preserve">2016</w:t>
            </w:r>
          </w:p>
        </w:tc>
        <w:tc>
          <w:tcPr>
            <w:tcW w:w="1134" w:type="dxa"/>
          </w:tcPr>
          <w:p>
            <w:pPr>
              <w:pStyle w:val="0"/>
              <w:jc w:val="center"/>
            </w:pPr>
            <w:r>
              <w:rPr>
                <w:sz w:val="20"/>
              </w:rPr>
              <w:t xml:space="preserve">2017</w:t>
            </w:r>
          </w:p>
        </w:tc>
        <w:tc>
          <w:tcPr>
            <w:tcW w:w="1134" w:type="dxa"/>
          </w:tcPr>
          <w:p>
            <w:pPr>
              <w:pStyle w:val="0"/>
              <w:jc w:val="center"/>
            </w:pPr>
            <w:r>
              <w:rPr>
                <w:sz w:val="20"/>
              </w:rPr>
              <w:t xml:space="preserve">2018</w:t>
            </w:r>
          </w:p>
        </w:tc>
        <w:tc>
          <w:tcPr>
            <w:tcW w:w="1134" w:type="dxa"/>
          </w:tcPr>
          <w:p>
            <w:pPr>
              <w:pStyle w:val="0"/>
              <w:jc w:val="center"/>
            </w:pPr>
            <w:r>
              <w:rPr>
                <w:sz w:val="20"/>
              </w:rPr>
              <w:t xml:space="preserve">2019</w:t>
            </w:r>
          </w:p>
        </w:tc>
        <w:tc>
          <w:tcPr>
            <w:tcW w:w="1134" w:type="dxa"/>
          </w:tcPr>
          <w:p>
            <w:pPr>
              <w:pStyle w:val="0"/>
              <w:jc w:val="center"/>
            </w:pPr>
            <w:r>
              <w:rPr>
                <w:sz w:val="20"/>
              </w:rPr>
              <w:t xml:space="preserve">2020</w:t>
            </w:r>
          </w:p>
        </w:tc>
      </w:tr>
      <w:tr>
        <w:tc>
          <w:tcPr>
            <w:tcW w:w="3288" w:type="dxa"/>
          </w:tcPr>
          <w:p>
            <w:pPr>
              <w:pStyle w:val="0"/>
            </w:pPr>
            <w:r>
              <w:rPr>
                <w:sz w:val="20"/>
              </w:rPr>
              <w:t xml:space="preserve">Смертность детей от 0 - 4 лет число случаев на 1000 родившихся живыми</w:t>
            </w:r>
          </w:p>
        </w:tc>
        <w:tc>
          <w:tcPr>
            <w:tcW w:w="1134" w:type="dxa"/>
          </w:tcPr>
          <w:p>
            <w:pPr>
              <w:pStyle w:val="0"/>
            </w:pPr>
            <w:r>
              <w:rPr>
                <w:sz w:val="20"/>
              </w:rPr>
              <w:t xml:space="preserve">5,1</w:t>
            </w:r>
          </w:p>
        </w:tc>
        <w:tc>
          <w:tcPr>
            <w:tcW w:w="1134" w:type="dxa"/>
          </w:tcPr>
          <w:p>
            <w:pPr>
              <w:pStyle w:val="0"/>
            </w:pPr>
            <w:r>
              <w:rPr>
                <w:sz w:val="20"/>
              </w:rPr>
              <w:t xml:space="preserve">5,9</w:t>
            </w:r>
          </w:p>
        </w:tc>
        <w:tc>
          <w:tcPr>
            <w:tcW w:w="1134" w:type="dxa"/>
          </w:tcPr>
          <w:p>
            <w:pPr>
              <w:pStyle w:val="0"/>
            </w:pPr>
            <w:r>
              <w:rPr>
                <w:sz w:val="20"/>
              </w:rPr>
              <w:t xml:space="preserve">4,0</w:t>
            </w:r>
          </w:p>
        </w:tc>
        <w:tc>
          <w:tcPr>
            <w:tcW w:w="1134" w:type="dxa"/>
          </w:tcPr>
          <w:p>
            <w:pPr>
              <w:pStyle w:val="0"/>
            </w:pPr>
            <w:r>
              <w:rPr>
                <w:sz w:val="20"/>
              </w:rPr>
              <w:t xml:space="preserve">5,2</w:t>
            </w:r>
          </w:p>
        </w:tc>
        <w:tc>
          <w:tcPr>
            <w:tcW w:w="1134" w:type="dxa"/>
          </w:tcPr>
          <w:p>
            <w:pPr>
              <w:pStyle w:val="0"/>
            </w:pPr>
            <w:r>
              <w:rPr>
                <w:sz w:val="20"/>
              </w:rPr>
              <w:t xml:space="preserve">4,3</w:t>
            </w:r>
          </w:p>
        </w:tc>
      </w:tr>
      <w:tr>
        <w:tc>
          <w:tcPr>
            <w:tcW w:w="3288" w:type="dxa"/>
          </w:tcPr>
          <w:p>
            <w:pPr>
              <w:pStyle w:val="0"/>
            </w:pPr>
            <w:r>
              <w:rPr>
                <w:sz w:val="20"/>
              </w:rPr>
              <w:t xml:space="preserve">Смертность детей от 0 - 17 лет число случаев на 100 000 детей соответствующего возраста</w:t>
            </w:r>
          </w:p>
        </w:tc>
        <w:tc>
          <w:tcPr>
            <w:tcW w:w="1134" w:type="dxa"/>
          </w:tcPr>
          <w:p>
            <w:pPr>
              <w:pStyle w:val="0"/>
            </w:pPr>
            <w:r>
              <w:rPr>
                <w:sz w:val="20"/>
              </w:rPr>
              <w:t xml:space="preserve">49,8</w:t>
            </w:r>
          </w:p>
        </w:tc>
        <w:tc>
          <w:tcPr>
            <w:tcW w:w="1134" w:type="dxa"/>
          </w:tcPr>
          <w:p>
            <w:pPr>
              <w:pStyle w:val="0"/>
            </w:pPr>
            <w:r>
              <w:rPr>
                <w:sz w:val="20"/>
              </w:rPr>
              <w:t xml:space="preserve">48,9</w:t>
            </w:r>
          </w:p>
        </w:tc>
        <w:tc>
          <w:tcPr>
            <w:tcW w:w="1134" w:type="dxa"/>
          </w:tcPr>
          <w:p>
            <w:pPr>
              <w:pStyle w:val="0"/>
            </w:pPr>
            <w:r>
              <w:rPr>
                <w:sz w:val="20"/>
              </w:rPr>
              <w:t xml:space="preserve">35,4</w:t>
            </w:r>
          </w:p>
        </w:tc>
        <w:tc>
          <w:tcPr>
            <w:tcW w:w="1134" w:type="dxa"/>
          </w:tcPr>
          <w:p>
            <w:pPr>
              <w:pStyle w:val="0"/>
            </w:pPr>
            <w:r>
              <w:rPr>
                <w:sz w:val="20"/>
              </w:rPr>
              <w:t xml:space="preserve">39,3</w:t>
            </w:r>
          </w:p>
        </w:tc>
        <w:tc>
          <w:tcPr>
            <w:tcW w:w="1134" w:type="dxa"/>
          </w:tcPr>
          <w:p>
            <w:pPr>
              <w:pStyle w:val="0"/>
            </w:pPr>
            <w:r>
              <w:rPr>
                <w:sz w:val="20"/>
              </w:rPr>
              <w:t xml:space="preserve">27,8</w:t>
            </w:r>
          </w:p>
        </w:tc>
      </w:tr>
    </w:tbl>
    <w:p>
      <w:pPr>
        <w:pStyle w:val="0"/>
        <w:ind w:firstLine="540"/>
        <w:jc w:val="both"/>
      </w:pPr>
      <w:r>
        <w:rPr>
          <w:sz w:val="20"/>
        </w:rPr>
      </w:r>
    </w:p>
    <w:p>
      <w:pPr>
        <w:pStyle w:val="0"/>
        <w:ind w:firstLine="540"/>
        <w:jc w:val="both"/>
      </w:pPr>
      <w:r>
        <w:rPr>
          <w:sz w:val="20"/>
        </w:rPr>
        <w:t xml:space="preserve">В структуре причин смертности детей от 0 до 4 лет включительно ведущие причины смерти - это врожденные пороки развития, травмы и отравления, заболевания нервной системы. В структуре смертности детей от 0 до 17 лет включительно на первое место выходят внешние причины смерти, болезни нервной системы, новообразования.</w:t>
      </w:r>
    </w:p>
    <w:p>
      <w:pPr>
        <w:pStyle w:val="0"/>
        <w:spacing w:before="200" w:line-rule="auto"/>
        <w:ind w:firstLine="540"/>
        <w:jc w:val="both"/>
      </w:pPr>
      <w:r>
        <w:rPr>
          <w:sz w:val="20"/>
        </w:rPr>
        <w:t xml:space="preserve">Снижение показателей за 5 лет с 2016 по 2020 годы отмечается:</w:t>
      </w:r>
    </w:p>
    <w:p>
      <w:pPr>
        <w:pStyle w:val="0"/>
        <w:spacing w:before="200" w:line-rule="auto"/>
        <w:ind w:firstLine="540"/>
        <w:jc w:val="both"/>
      </w:pPr>
      <w:r>
        <w:rPr>
          <w:sz w:val="20"/>
        </w:rPr>
        <w:t xml:space="preserve">на 15,6% в возрастной группе 0 - 4 лет;</w:t>
      </w:r>
    </w:p>
    <w:p>
      <w:pPr>
        <w:pStyle w:val="0"/>
        <w:spacing w:before="200" w:line-rule="auto"/>
        <w:ind w:firstLine="540"/>
        <w:jc w:val="both"/>
      </w:pPr>
      <w:r>
        <w:rPr>
          <w:sz w:val="20"/>
        </w:rPr>
        <w:t xml:space="preserve">на 44,2% в группе 0 - 17 лет.</w:t>
      </w:r>
    </w:p>
    <w:p>
      <w:pPr>
        <w:pStyle w:val="0"/>
        <w:spacing w:before="200" w:line-rule="auto"/>
        <w:ind w:firstLine="540"/>
        <w:jc w:val="both"/>
      </w:pPr>
      <w:r>
        <w:rPr>
          <w:sz w:val="20"/>
        </w:rPr>
        <w:t xml:space="preserve">Материнская смертность - один из важнейших показателей эффективности деятельности службы охраны здоровья матери и ребенка, который в полной мере отражает состояние системы здравоохранения в автономном округе.</w:t>
      </w:r>
    </w:p>
    <w:p>
      <w:pPr>
        <w:pStyle w:val="0"/>
        <w:spacing w:before="200" w:line-rule="auto"/>
        <w:ind w:firstLine="540"/>
        <w:jc w:val="both"/>
      </w:pPr>
      <w:r>
        <w:rPr>
          <w:sz w:val="20"/>
        </w:rPr>
        <w:t xml:space="preserve">В течение периода 2018 - 2020 годов зарегистрировано по 1 случаю материнской смертности ежегодно. В 2020 году случай признан непредотвратимым, причиной материнской смертности послужили осложнения новой коронавирусной инфекции </w:t>
      </w:r>
      <w:hyperlink w:history="0" w:anchor="P827" w:tooltip="Материнская смертность в Российской Федерации, УрФО,">
        <w:r>
          <w:rPr>
            <w:sz w:val="20"/>
            <w:color w:val="0000ff"/>
          </w:rPr>
          <w:t xml:space="preserve">(таблица 11)</w:t>
        </w:r>
      </w:hyperlink>
      <w:r>
        <w:rPr>
          <w:sz w:val="20"/>
        </w:rPr>
        <w:t xml:space="preserve">.</w:t>
      </w:r>
    </w:p>
    <w:p>
      <w:pPr>
        <w:pStyle w:val="0"/>
        <w:ind w:firstLine="540"/>
        <w:jc w:val="both"/>
      </w:pPr>
      <w:r>
        <w:rPr>
          <w:sz w:val="20"/>
        </w:rPr>
      </w:r>
    </w:p>
    <w:p>
      <w:pPr>
        <w:pStyle w:val="0"/>
        <w:outlineLvl w:val="2"/>
        <w:jc w:val="right"/>
      </w:pPr>
      <w:r>
        <w:rPr>
          <w:sz w:val="20"/>
        </w:rPr>
        <w:t xml:space="preserve">Таблица 11</w:t>
      </w:r>
    </w:p>
    <w:p>
      <w:pPr>
        <w:pStyle w:val="0"/>
        <w:jc w:val="right"/>
      </w:pPr>
      <w:r>
        <w:rPr>
          <w:sz w:val="20"/>
        </w:rPr>
      </w:r>
    </w:p>
    <w:bookmarkStart w:id="827" w:name="P827"/>
    <w:bookmarkEnd w:id="827"/>
    <w:p>
      <w:pPr>
        <w:pStyle w:val="2"/>
        <w:jc w:val="center"/>
      </w:pPr>
      <w:r>
        <w:rPr>
          <w:sz w:val="20"/>
        </w:rPr>
        <w:t xml:space="preserve">Материнская смертность в Российской Федерации, УрФО,</w:t>
      </w:r>
    </w:p>
    <w:p>
      <w:pPr>
        <w:pStyle w:val="2"/>
        <w:jc w:val="center"/>
      </w:pPr>
      <w:r>
        <w:rPr>
          <w:sz w:val="20"/>
        </w:rPr>
        <w:t xml:space="preserve">автономном округе за 2018 - 2020 годы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762"/>
        <w:gridCol w:w="1422"/>
        <w:gridCol w:w="1138"/>
        <w:gridCol w:w="1600"/>
      </w:tblGrid>
      <w:tr>
        <w:tc>
          <w:tcPr>
            <w:tcW w:w="4762" w:type="dxa"/>
          </w:tcPr>
          <w:p>
            <w:pPr>
              <w:pStyle w:val="0"/>
              <w:jc w:val="center"/>
            </w:pPr>
            <w:r>
              <w:rPr>
                <w:sz w:val="20"/>
              </w:rPr>
              <w:t xml:space="preserve">Территория</w:t>
            </w:r>
          </w:p>
        </w:tc>
        <w:tc>
          <w:tcPr>
            <w:gridSpan w:val="3"/>
            <w:tcW w:w="4160" w:type="dxa"/>
          </w:tcPr>
          <w:p>
            <w:pPr>
              <w:pStyle w:val="0"/>
              <w:jc w:val="center"/>
            </w:pPr>
            <w:r>
              <w:rPr>
                <w:sz w:val="20"/>
              </w:rPr>
              <w:t xml:space="preserve">Материнская смертность на 100 тыс. родившихся живыми</w:t>
            </w:r>
          </w:p>
        </w:tc>
      </w:tr>
      <w:tr>
        <w:tc>
          <w:tcPr>
            <w:tcW w:w="4762" w:type="dxa"/>
          </w:tcPr>
          <w:p>
            <w:pPr>
              <w:pStyle w:val="0"/>
            </w:pPr>
            <w:r>
              <w:rPr>
                <w:sz w:val="20"/>
              </w:rPr>
            </w:r>
          </w:p>
        </w:tc>
        <w:tc>
          <w:tcPr>
            <w:tcW w:w="1422" w:type="dxa"/>
          </w:tcPr>
          <w:p>
            <w:pPr>
              <w:pStyle w:val="0"/>
              <w:jc w:val="center"/>
            </w:pPr>
            <w:r>
              <w:rPr>
                <w:sz w:val="20"/>
              </w:rPr>
              <w:t xml:space="preserve">2018 год</w:t>
            </w:r>
          </w:p>
        </w:tc>
        <w:tc>
          <w:tcPr>
            <w:tcW w:w="1138" w:type="dxa"/>
          </w:tcPr>
          <w:p>
            <w:pPr>
              <w:pStyle w:val="0"/>
              <w:jc w:val="center"/>
            </w:pPr>
            <w:r>
              <w:rPr>
                <w:sz w:val="20"/>
              </w:rPr>
              <w:t xml:space="preserve">2019 год</w:t>
            </w:r>
          </w:p>
        </w:tc>
        <w:tc>
          <w:tcPr>
            <w:tcW w:w="1600" w:type="dxa"/>
          </w:tcPr>
          <w:p>
            <w:pPr>
              <w:pStyle w:val="0"/>
              <w:jc w:val="center"/>
            </w:pPr>
            <w:r>
              <w:rPr>
                <w:sz w:val="20"/>
              </w:rPr>
              <w:t xml:space="preserve">2020 год </w:t>
            </w:r>
            <w:hyperlink w:history="0" w:anchor="P850" w:tooltip="&lt;1&gt; Данные Росстат.">
              <w:r>
                <w:rPr>
                  <w:sz w:val="20"/>
                  <w:color w:val="0000ff"/>
                </w:rPr>
                <w:t xml:space="preserve">&lt;1&gt;</w:t>
              </w:r>
            </w:hyperlink>
          </w:p>
        </w:tc>
      </w:tr>
      <w:tr>
        <w:tc>
          <w:tcPr>
            <w:tcW w:w="4762" w:type="dxa"/>
          </w:tcPr>
          <w:p>
            <w:pPr>
              <w:pStyle w:val="0"/>
            </w:pPr>
            <w:r>
              <w:rPr>
                <w:sz w:val="20"/>
              </w:rPr>
              <w:t xml:space="preserve">Российская Федерация</w:t>
            </w:r>
          </w:p>
        </w:tc>
        <w:tc>
          <w:tcPr>
            <w:tcW w:w="1422" w:type="dxa"/>
          </w:tcPr>
          <w:p>
            <w:pPr>
              <w:pStyle w:val="0"/>
            </w:pPr>
            <w:r>
              <w:rPr>
                <w:sz w:val="20"/>
              </w:rPr>
              <w:t xml:space="preserve">9,1</w:t>
            </w:r>
          </w:p>
        </w:tc>
        <w:tc>
          <w:tcPr>
            <w:tcW w:w="1138" w:type="dxa"/>
          </w:tcPr>
          <w:p>
            <w:pPr>
              <w:pStyle w:val="0"/>
            </w:pPr>
            <w:r>
              <w:rPr>
                <w:sz w:val="20"/>
              </w:rPr>
              <w:t xml:space="preserve">9,0</w:t>
            </w:r>
          </w:p>
        </w:tc>
        <w:tc>
          <w:tcPr>
            <w:tcW w:w="1600" w:type="dxa"/>
          </w:tcPr>
          <w:p>
            <w:pPr>
              <w:pStyle w:val="0"/>
            </w:pPr>
            <w:r>
              <w:rPr>
                <w:sz w:val="20"/>
              </w:rPr>
              <w:t xml:space="preserve">11,2</w:t>
            </w:r>
          </w:p>
        </w:tc>
      </w:tr>
      <w:tr>
        <w:tc>
          <w:tcPr>
            <w:tcW w:w="4762" w:type="dxa"/>
          </w:tcPr>
          <w:p>
            <w:pPr>
              <w:pStyle w:val="0"/>
            </w:pPr>
            <w:r>
              <w:rPr>
                <w:sz w:val="20"/>
              </w:rPr>
              <w:t xml:space="preserve">Уральский федеральный округ</w:t>
            </w:r>
          </w:p>
        </w:tc>
        <w:tc>
          <w:tcPr>
            <w:tcW w:w="1422" w:type="dxa"/>
          </w:tcPr>
          <w:p>
            <w:pPr>
              <w:pStyle w:val="0"/>
            </w:pPr>
            <w:r>
              <w:rPr>
                <w:sz w:val="20"/>
              </w:rPr>
              <w:t xml:space="preserve">6,8</w:t>
            </w:r>
          </w:p>
        </w:tc>
        <w:tc>
          <w:tcPr>
            <w:tcW w:w="1138" w:type="dxa"/>
          </w:tcPr>
          <w:p>
            <w:pPr>
              <w:pStyle w:val="0"/>
            </w:pPr>
            <w:r>
              <w:rPr>
                <w:sz w:val="20"/>
              </w:rPr>
              <w:t xml:space="preserve">6,7</w:t>
            </w:r>
          </w:p>
        </w:tc>
        <w:tc>
          <w:tcPr>
            <w:tcW w:w="1600" w:type="dxa"/>
          </w:tcPr>
          <w:p>
            <w:pPr>
              <w:pStyle w:val="0"/>
            </w:pPr>
            <w:r>
              <w:rPr>
                <w:sz w:val="20"/>
              </w:rPr>
              <w:t xml:space="preserve">7,6</w:t>
            </w:r>
          </w:p>
        </w:tc>
      </w:tr>
      <w:tr>
        <w:tc>
          <w:tcPr>
            <w:tcW w:w="4762" w:type="dxa"/>
          </w:tcPr>
          <w:p>
            <w:pPr>
              <w:pStyle w:val="0"/>
            </w:pPr>
            <w:r>
              <w:rPr>
                <w:sz w:val="20"/>
              </w:rPr>
              <w:t xml:space="preserve">автономный округ</w:t>
            </w:r>
          </w:p>
        </w:tc>
        <w:tc>
          <w:tcPr>
            <w:tcW w:w="1422" w:type="dxa"/>
          </w:tcPr>
          <w:p>
            <w:pPr>
              <w:pStyle w:val="0"/>
            </w:pPr>
            <w:r>
              <w:rPr>
                <w:sz w:val="20"/>
              </w:rPr>
              <w:t xml:space="preserve">4,5</w:t>
            </w:r>
          </w:p>
        </w:tc>
        <w:tc>
          <w:tcPr>
            <w:tcW w:w="1138" w:type="dxa"/>
          </w:tcPr>
          <w:p>
            <w:pPr>
              <w:pStyle w:val="0"/>
            </w:pPr>
            <w:r>
              <w:rPr>
                <w:sz w:val="20"/>
              </w:rPr>
              <w:t xml:space="preserve">4,8</w:t>
            </w:r>
          </w:p>
        </w:tc>
        <w:tc>
          <w:tcPr>
            <w:tcW w:w="1600" w:type="dxa"/>
          </w:tcPr>
          <w:p>
            <w:pPr>
              <w:pStyle w:val="0"/>
            </w:pPr>
            <w:r>
              <w:rPr>
                <w:sz w:val="20"/>
              </w:rPr>
              <w:t xml:space="preserve">0</w:t>
            </w:r>
          </w:p>
        </w:tc>
      </w:tr>
    </w:tbl>
    <w:p>
      <w:pPr>
        <w:pStyle w:val="0"/>
        <w:ind w:firstLine="540"/>
        <w:jc w:val="both"/>
      </w:pPr>
      <w:r>
        <w:rPr>
          <w:sz w:val="20"/>
        </w:rPr>
      </w:r>
    </w:p>
    <w:p>
      <w:pPr>
        <w:pStyle w:val="0"/>
        <w:ind w:firstLine="540"/>
        <w:jc w:val="both"/>
      </w:pPr>
      <w:r>
        <w:rPr>
          <w:sz w:val="20"/>
        </w:rPr>
        <w:t xml:space="preserve">--------------------------------</w:t>
      </w:r>
    </w:p>
    <w:bookmarkStart w:id="850" w:name="P850"/>
    <w:bookmarkEnd w:id="850"/>
    <w:p>
      <w:pPr>
        <w:pStyle w:val="0"/>
        <w:spacing w:before="200" w:line-rule="auto"/>
        <w:ind w:firstLine="540"/>
        <w:jc w:val="both"/>
      </w:pPr>
      <w:r>
        <w:rPr>
          <w:sz w:val="20"/>
        </w:rPr>
        <w:t xml:space="preserve">&lt;1&gt; Данные Росстат.</w:t>
      </w:r>
    </w:p>
    <w:p>
      <w:pPr>
        <w:pStyle w:val="0"/>
        <w:ind w:firstLine="540"/>
        <w:jc w:val="both"/>
      </w:pPr>
      <w:r>
        <w:rPr>
          <w:sz w:val="20"/>
        </w:rPr>
      </w:r>
    </w:p>
    <w:p>
      <w:pPr>
        <w:pStyle w:val="0"/>
        <w:ind w:firstLine="540"/>
        <w:jc w:val="both"/>
      </w:pPr>
      <w:r>
        <w:rPr>
          <w:sz w:val="20"/>
        </w:rPr>
        <w:t xml:space="preserve">Увеличение показателя за 2020 год в сравнении с 2019 годом на 2,1% обусловлено снижением родившихся живорожденных детей по данным Росстата: с 20 821 ребенка в 2019 году до 20 605 детей в 2020 году.</w:t>
      </w:r>
    </w:p>
    <w:p>
      <w:pPr>
        <w:pStyle w:val="0"/>
        <w:spacing w:before="200" w:line-rule="auto"/>
        <w:ind w:firstLine="540"/>
        <w:jc w:val="both"/>
      </w:pPr>
      <w:r>
        <w:rPr>
          <w:sz w:val="20"/>
        </w:rPr>
        <w:t xml:space="preserve">По данным ФКУ ГБ МСЭ по автономному округу, Минтруда России, в 2020 году в автономном округе численность детей-инвалидов в возрасте до 18 лет составила 6 450, из них мальчиков - 3 848, девочек - 2 602.</w:t>
      </w:r>
    </w:p>
    <w:p>
      <w:pPr>
        <w:pStyle w:val="0"/>
        <w:spacing w:before="200" w:line-rule="auto"/>
        <w:ind w:firstLine="540"/>
        <w:jc w:val="both"/>
      </w:pPr>
      <w:r>
        <w:rPr>
          <w:sz w:val="20"/>
        </w:rPr>
        <w:t xml:space="preserve">Уровень первичной инвалидности детей в 2020 году: 15,3 на 10 тысяч детского населения (654 человека), из них мальчики - 379 (58%), девочки - 75 (42%).</w:t>
      </w:r>
    </w:p>
    <w:p>
      <w:pPr>
        <w:pStyle w:val="0"/>
        <w:spacing w:before="200" w:line-rule="auto"/>
        <w:ind w:firstLine="540"/>
        <w:jc w:val="both"/>
      </w:pPr>
      <w:r>
        <w:rPr>
          <w:sz w:val="20"/>
        </w:rPr>
        <w:t xml:space="preserve">По возрастному составу: от 0 - 3 лет - 35,7%, 4 - 7 лет - 34,3%, 8 - 14 лет - 20,8%, 15 - 17 лет - 9,2%.</w:t>
      </w:r>
    </w:p>
    <w:p>
      <w:pPr>
        <w:pStyle w:val="0"/>
        <w:ind w:firstLine="540"/>
        <w:jc w:val="both"/>
      </w:pPr>
      <w:r>
        <w:rPr>
          <w:sz w:val="20"/>
        </w:rPr>
      </w:r>
    </w:p>
    <w:p>
      <w:pPr>
        <w:pStyle w:val="0"/>
        <w:outlineLvl w:val="2"/>
        <w:jc w:val="right"/>
      </w:pPr>
      <w:r>
        <w:rPr>
          <w:sz w:val="20"/>
        </w:rPr>
        <w:t xml:space="preserve">Таблица 12</w:t>
      </w:r>
    </w:p>
    <w:p>
      <w:pPr>
        <w:pStyle w:val="0"/>
        <w:ind w:firstLine="540"/>
        <w:jc w:val="both"/>
      </w:pPr>
      <w:r>
        <w:rPr>
          <w:sz w:val="20"/>
        </w:rPr>
      </w:r>
    </w:p>
    <w:bookmarkStart w:id="859" w:name="P859"/>
    <w:bookmarkEnd w:id="859"/>
    <w:p>
      <w:pPr>
        <w:pStyle w:val="2"/>
        <w:jc w:val="center"/>
      </w:pPr>
      <w:r>
        <w:rPr>
          <w:sz w:val="20"/>
        </w:rPr>
        <w:t xml:space="preserve">Динамика уровня первичной инвалидности в автономном округе</w:t>
      </w:r>
    </w:p>
    <w:p>
      <w:pPr>
        <w:pStyle w:val="2"/>
        <w:jc w:val="center"/>
      </w:pPr>
      <w:r>
        <w:rPr>
          <w:sz w:val="20"/>
        </w:rPr>
        <w:t xml:space="preserve">за 2018 - 2020 годы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1878"/>
        <w:gridCol w:w="1879"/>
        <w:gridCol w:w="1879"/>
      </w:tblGrid>
      <w:tr>
        <w:tc>
          <w:tcPr>
            <w:tcW w:w="3402" w:type="dxa"/>
          </w:tcPr>
          <w:p>
            <w:pPr>
              <w:pStyle w:val="0"/>
              <w:jc w:val="both"/>
            </w:pPr>
            <w:r>
              <w:rPr>
                <w:sz w:val="20"/>
              </w:rPr>
              <w:t xml:space="preserve">Период</w:t>
            </w:r>
          </w:p>
        </w:tc>
        <w:tc>
          <w:tcPr>
            <w:tcW w:w="1878" w:type="dxa"/>
          </w:tcPr>
          <w:p>
            <w:pPr>
              <w:pStyle w:val="0"/>
              <w:jc w:val="center"/>
            </w:pPr>
            <w:r>
              <w:rPr>
                <w:sz w:val="20"/>
              </w:rPr>
              <w:t xml:space="preserve">2018 год</w:t>
            </w:r>
          </w:p>
        </w:tc>
        <w:tc>
          <w:tcPr>
            <w:tcW w:w="1879" w:type="dxa"/>
          </w:tcPr>
          <w:p>
            <w:pPr>
              <w:pStyle w:val="0"/>
              <w:jc w:val="center"/>
            </w:pPr>
            <w:r>
              <w:rPr>
                <w:sz w:val="20"/>
              </w:rPr>
              <w:t xml:space="preserve">2019 год</w:t>
            </w:r>
          </w:p>
        </w:tc>
        <w:tc>
          <w:tcPr>
            <w:tcW w:w="1879" w:type="dxa"/>
          </w:tcPr>
          <w:p>
            <w:pPr>
              <w:pStyle w:val="0"/>
              <w:jc w:val="center"/>
            </w:pPr>
            <w:r>
              <w:rPr>
                <w:sz w:val="20"/>
              </w:rPr>
              <w:t xml:space="preserve">2020 год</w:t>
            </w:r>
          </w:p>
        </w:tc>
      </w:tr>
      <w:tr>
        <w:tc>
          <w:tcPr>
            <w:tcW w:w="3402" w:type="dxa"/>
          </w:tcPr>
          <w:p>
            <w:pPr>
              <w:pStyle w:val="0"/>
            </w:pPr>
            <w:r>
              <w:rPr>
                <w:sz w:val="20"/>
              </w:rPr>
              <w:t xml:space="preserve">Показатель на 10 тыс. детского населения</w:t>
            </w:r>
          </w:p>
        </w:tc>
        <w:tc>
          <w:tcPr>
            <w:tcW w:w="1878" w:type="dxa"/>
          </w:tcPr>
          <w:p>
            <w:pPr>
              <w:pStyle w:val="0"/>
            </w:pPr>
            <w:r>
              <w:rPr>
                <w:sz w:val="20"/>
              </w:rPr>
              <w:t xml:space="preserve">19,6</w:t>
            </w:r>
          </w:p>
        </w:tc>
        <w:tc>
          <w:tcPr>
            <w:tcW w:w="1879" w:type="dxa"/>
          </w:tcPr>
          <w:p>
            <w:pPr>
              <w:pStyle w:val="0"/>
            </w:pPr>
            <w:r>
              <w:rPr>
                <w:sz w:val="20"/>
              </w:rPr>
              <w:t xml:space="preserve">18,5</w:t>
            </w:r>
          </w:p>
        </w:tc>
        <w:tc>
          <w:tcPr>
            <w:tcW w:w="1879" w:type="dxa"/>
          </w:tcPr>
          <w:p>
            <w:pPr>
              <w:pStyle w:val="0"/>
            </w:pPr>
            <w:r>
              <w:rPr>
                <w:sz w:val="20"/>
              </w:rPr>
              <w:t xml:space="preserve">15,3</w:t>
            </w:r>
          </w:p>
        </w:tc>
      </w:tr>
    </w:tbl>
    <w:p>
      <w:pPr>
        <w:pStyle w:val="0"/>
        <w:ind w:firstLine="540"/>
        <w:jc w:val="both"/>
      </w:pPr>
      <w:r>
        <w:rPr>
          <w:sz w:val="20"/>
        </w:rPr>
      </w:r>
    </w:p>
    <w:p>
      <w:pPr>
        <w:pStyle w:val="0"/>
        <w:ind w:firstLine="540"/>
        <w:jc w:val="both"/>
      </w:pPr>
      <w:r>
        <w:rPr>
          <w:sz w:val="20"/>
        </w:rPr>
        <w:t xml:space="preserve">В автономном округе зарегистрирована тенденция к снижению уровня первичной детской инвалидности, за 3 года снизилась на 21,9%.</w:t>
      </w:r>
    </w:p>
    <w:p>
      <w:pPr>
        <w:pStyle w:val="0"/>
        <w:spacing w:before="200" w:line-rule="auto"/>
        <w:ind w:firstLine="540"/>
        <w:jc w:val="both"/>
      </w:pPr>
      <w:r>
        <w:rPr>
          <w:sz w:val="20"/>
        </w:rPr>
        <w:t xml:space="preserve">В структуре причин детской инвалидности, впервые признанной, лидирующие места занимают:</w:t>
      </w:r>
    </w:p>
    <w:p>
      <w:pPr>
        <w:pStyle w:val="0"/>
        <w:spacing w:before="200" w:line-rule="auto"/>
        <w:ind w:firstLine="540"/>
        <w:jc w:val="both"/>
      </w:pPr>
      <w:r>
        <w:rPr>
          <w:sz w:val="20"/>
        </w:rPr>
        <w:t xml:space="preserve">психические расстройства - 28,7%,</w:t>
      </w:r>
    </w:p>
    <w:p>
      <w:pPr>
        <w:pStyle w:val="0"/>
        <w:spacing w:before="200" w:line-rule="auto"/>
        <w:ind w:firstLine="540"/>
        <w:jc w:val="both"/>
      </w:pPr>
      <w:r>
        <w:rPr>
          <w:sz w:val="20"/>
        </w:rPr>
        <w:t xml:space="preserve">болезни нервной системы - 16,7%,</w:t>
      </w:r>
    </w:p>
    <w:p>
      <w:pPr>
        <w:pStyle w:val="0"/>
        <w:spacing w:before="200" w:line-rule="auto"/>
        <w:ind w:firstLine="540"/>
        <w:jc w:val="both"/>
      </w:pPr>
      <w:r>
        <w:rPr>
          <w:sz w:val="20"/>
        </w:rPr>
        <w:t xml:space="preserve">болезни эндокринной системы - 15,3%,</w:t>
      </w:r>
    </w:p>
    <w:p>
      <w:pPr>
        <w:pStyle w:val="0"/>
        <w:spacing w:before="200" w:line-rule="auto"/>
        <w:ind w:firstLine="540"/>
        <w:jc w:val="both"/>
      </w:pPr>
      <w:r>
        <w:rPr>
          <w:sz w:val="20"/>
        </w:rPr>
        <w:t xml:space="preserve">врожденные аномалии - 14,5%,</w:t>
      </w:r>
    </w:p>
    <w:p>
      <w:pPr>
        <w:pStyle w:val="0"/>
        <w:spacing w:before="200" w:line-rule="auto"/>
        <w:ind w:firstLine="540"/>
        <w:jc w:val="both"/>
      </w:pPr>
      <w:r>
        <w:rPr>
          <w:sz w:val="20"/>
        </w:rPr>
        <w:t xml:space="preserve">новообразования - 5,4%.</w:t>
      </w:r>
    </w:p>
    <w:p>
      <w:pPr>
        <w:pStyle w:val="0"/>
        <w:spacing w:before="200" w:line-rule="auto"/>
        <w:ind w:firstLine="540"/>
        <w:jc w:val="both"/>
      </w:pPr>
      <w:r>
        <w:rPr>
          <w:sz w:val="20"/>
        </w:rPr>
        <w:t xml:space="preserve">Признаны инвалидами по результатам переосвидетельствования в 2020 году 1499 детей 35,1 на 10 000 населения, в том числе мальчики - 930 (62,0%), девочки 569 (38%).</w:t>
      </w:r>
    </w:p>
    <w:p>
      <w:pPr>
        <w:pStyle w:val="0"/>
        <w:spacing w:before="200" w:line-rule="auto"/>
        <w:ind w:firstLine="540"/>
        <w:jc w:val="both"/>
      </w:pPr>
      <w:r>
        <w:rPr>
          <w:sz w:val="20"/>
        </w:rPr>
        <w:t xml:space="preserve">По возрастному составу: от 0 - 3 лет - 12,9%, 4 - 7 лет - 43,9%, 8 - 14 лет - 38,1%, 15 - 17 лет - 5,1%.</w:t>
      </w:r>
    </w:p>
    <w:p>
      <w:pPr>
        <w:pStyle w:val="0"/>
        <w:spacing w:before="200" w:line-rule="auto"/>
        <w:ind w:firstLine="540"/>
        <w:jc w:val="both"/>
      </w:pPr>
      <w:r>
        <w:rPr>
          <w:sz w:val="20"/>
        </w:rPr>
        <w:t xml:space="preserve">В структуре причин детской инвалидности по результатам переосвидетельствования лидирующие места занимают:</w:t>
      </w:r>
    </w:p>
    <w:p>
      <w:pPr>
        <w:pStyle w:val="0"/>
        <w:spacing w:before="200" w:line-rule="auto"/>
        <w:ind w:firstLine="540"/>
        <w:jc w:val="both"/>
      </w:pPr>
      <w:r>
        <w:rPr>
          <w:sz w:val="20"/>
        </w:rPr>
        <w:t xml:space="preserve">психические расстройства - 34,6%,</w:t>
      </w:r>
    </w:p>
    <w:p>
      <w:pPr>
        <w:pStyle w:val="0"/>
        <w:spacing w:before="200" w:line-rule="auto"/>
        <w:ind w:firstLine="540"/>
        <w:jc w:val="both"/>
      </w:pPr>
      <w:r>
        <w:rPr>
          <w:sz w:val="20"/>
        </w:rPr>
        <w:t xml:space="preserve">болезни нервной системы - 20,7%,</w:t>
      </w:r>
    </w:p>
    <w:p>
      <w:pPr>
        <w:pStyle w:val="0"/>
        <w:spacing w:before="200" w:line-rule="auto"/>
        <w:ind w:firstLine="540"/>
        <w:jc w:val="both"/>
      </w:pPr>
      <w:r>
        <w:rPr>
          <w:sz w:val="20"/>
        </w:rPr>
        <w:t xml:space="preserve">врожденные аномалии - 14,8%,</w:t>
      </w:r>
    </w:p>
    <w:p>
      <w:pPr>
        <w:pStyle w:val="0"/>
        <w:spacing w:before="200" w:line-rule="auto"/>
        <w:ind w:firstLine="540"/>
        <w:jc w:val="both"/>
      </w:pPr>
      <w:r>
        <w:rPr>
          <w:sz w:val="20"/>
        </w:rPr>
        <w:t xml:space="preserve">болезни костно-мышечной системы - 7,1%,</w:t>
      </w:r>
    </w:p>
    <w:p>
      <w:pPr>
        <w:pStyle w:val="0"/>
        <w:spacing w:before="200" w:line-rule="auto"/>
        <w:ind w:firstLine="540"/>
        <w:jc w:val="both"/>
      </w:pPr>
      <w:r>
        <w:rPr>
          <w:sz w:val="20"/>
        </w:rPr>
        <w:t xml:space="preserve">болезни эндокринной системы - 6,5%.</w:t>
      </w:r>
    </w:p>
    <w:p>
      <w:pPr>
        <w:pStyle w:val="0"/>
        <w:ind w:firstLine="540"/>
        <w:jc w:val="both"/>
      </w:pPr>
      <w:r>
        <w:rPr>
          <w:sz w:val="20"/>
        </w:rPr>
      </w:r>
    </w:p>
    <w:p>
      <w:pPr>
        <w:pStyle w:val="2"/>
        <w:outlineLvl w:val="2"/>
        <w:jc w:val="center"/>
      </w:pPr>
      <w:r>
        <w:rPr>
          <w:sz w:val="20"/>
        </w:rPr>
        <w:t xml:space="preserve">Структура службы медицинской помощи детям и родовспоможения</w:t>
      </w:r>
    </w:p>
    <w:p>
      <w:pPr>
        <w:pStyle w:val="0"/>
        <w:ind w:firstLine="540"/>
        <w:jc w:val="both"/>
      </w:pPr>
      <w:r>
        <w:rPr>
          <w:sz w:val="20"/>
        </w:rPr>
      </w:r>
    </w:p>
    <w:p>
      <w:pPr>
        <w:pStyle w:val="0"/>
        <w:ind w:firstLine="540"/>
        <w:jc w:val="both"/>
      </w:pPr>
      <w:r>
        <w:rPr>
          <w:sz w:val="20"/>
        </w:rPr>
        <w:t xml:space="preserve">В автономном округе первичная медико-санитарная помощь в амбулаторных условиях детям оказывается на базе 35 медицинских организаций, в том числе 23 детских поликлиник, 1 консультативно-диагностического центра БУ "Нижневартовская окружная клиническая детская больница".</w:t>
      </w:r>
    </w:p>
    <w:p>
      <w:pPr>
        <w:pStyle w:val="0"/>
        <w:spacing w:before="200" w:line-rule="auto"/>
        <w:ind w:firstLine="540"/>
        <w:jc w:val="both"/>
      </w:pPr>
      <w:r>
        <w:rPr>
          <w:sz w:val="20"/>
        </w:rPr>
        <w:t xml:space="preserve">Они составляют современную инфраструктуру оказания медицинской помощи согласно </w:t>
      </w:r>
      <w:hyperlink w:history="0" r:id="rId76"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приказу</w:t>
        </w:r>
      </w:hyperlink>
      <w:r>
        <w:rPr>
          <w:sz w:val="20"/>
        </w:rPr>
        <w:t xml:space="preserve"> Минздрава России от 07 марта 2018 года N 92н "Об утверждении Положения об организации оказания первичной медико-санитарной помощи детям" (планировочные решения внутренних пространств, обеспечивающих комфортность пребывания детей, включая организацию крытой колясочной, отдельного входа для больных детей, открытой регистратуры с инфоматом, электронного табло с расписанием приема врачей, колл-центра, игровой зоны для детей, комнаты для кормления грудных детей и детей раннего возраста, системы навигации, зоны комфортного пребывания в холлах и оснащение входа автоматическими дверями).</w:t>
      </w:r>
    </w:p>
    <w:p>
      <w:pPr>
        <w:pStyle w:val="0"/>
        <w:spacing w:before="200" w:line-rule="auto"/>
        <w:ind w:firstLine="540"/>
        <w:jc w:val="both"/>
      </w:pPr>
      <w:r>
        <w:rPr>
          <w:sz w:val="20"/>
        </w:rPr>
        <w:t xml:space="preserve">Оснащение оборудованием указанных медицинских организаций осуществляется в соответствии с порядками оказания медицинской помощи несовершеннолетним, утвержденными Минздравом России.</w:t>
      </w:r>
    </w:p>
    <w:p>
      <w:pPr>
        <w:pStyle w:val="0"/>
        <w:spacing w:before="200" w:line-rule="auto"/>
        <w:ind w:firstLine="540"/>
        <w:jc w:val="both"/>
      </w:pPr>
      <w:r>
        <w:rPr>
          <w:sz w:val="20"/>
        </w:rPr>
        <w:t xml:space="preserve">Обеспеченность педиатрами в автономном округе составляет 18,3 на 10 000 детского населения, укомплектованность должностей педиатров составляет 96,2%, коэффициент совместительства - 1,27.</w:t>
      </w:r>
    </w:p>
    <w:p>
      <w:pPr>
        <w:pStyle w:val="0"/>
        <w:spacing w:before="200" w:line-rule="auto"/>
        <w:ind w:firstLine="540"/>
        <w:jc w:val="both"/>
      </w:pPr>
      <w:r>
        <w:rPr>
          <w:sz w:val="20"/>
        </w:rPr>
        <w:t xml:space="preserve">Число посещений детьми медицинских организаций за 2020 год составило 4 231 269.</w:t>
      </w:r>
    </w:p>
    <w:p>
      <w:pPr>
        <w:pStyle w:val="0"/>
        <w:spacing w:before="200" w:line-rule="auto"/>
        <w:ind w:firstLine="540"/>
        <w:jc w:val="both"/>
      </w:pPr>
      <w:r>
        <w:rPr>
          <w:sz w:val="20"/>
        </w:rPr>
        <w:t xml:space="preserve">Внедрение и использование информационно-коммуникационных технологий в медицинских организациях автономного округа, оказывающих медицинскую помощь несовершеннолетним, проводится в соответствии с </w:t>
      </w:r>
      <w:hyperlink w:history="0" r:id="rId77" w:tooltip="Приказ Минздравсоцразвития России от 28.04.2011 N 364 (ред. от 12.04.2012) &quot;Об утверждении Концепции создания единой государственной информационной системы в сфере здравоохранения&quot; {КонсультантПлюс}">
        <w:r>
          <w:rPr>
            <w:sz w:val="20"/>
            <w:color w:val="0000ff"/>
          </w:rPr>
          <w:t xml:space="preserve">Концепцией</w:t>
        </w:r>
      </w:hyperlink>
      <w:r>
        <w:rPr>
          <w:sz w:val="20"/>
        </w:rPr>
        <w:t xml:space="preserve"> создания единой государственной информационной системы в сфере здравоохранения, утвержденной приказом Министерства здравоохранения и социального развития Российской Федерации от 28 апреля 2011 года N 364, и региональным проектом "Создание единого цифрового контура в здравоохранении на основе единой государственной информационной системы в сфере здравоохранения (ЕГИСЗ)" (далее - цифровой контур), входящим в Паспорт портфеля проектов "Здравоохранение".</w:t>
      </w:r>
    </w:p>
    <w:p>
      <w:pPr>
        <w:pStyle w:val="0"/>
        <w:spacing w:before="200" w:line-rule="auto"/>
        <w:ind w:firstLine="540"/>
        <w:jc w:val="both"/>
      </w:pPr>
      <w:r>
        <w:rPr>
          <w:sz w:val="20"/>
        </w:rPr>
        <w:t xml:space="preserve">Цифровой контур направлен на повышение эффективности функционирования системы здравоохранения автономного округа путем создания механизмов взаимодействия медицинских организаций на основе единой государственной системы в сфере здравоохранения и внедрения цифровых технологий и платформенных решений до 2024 года, формирующих единый цифровой контур здравоохранения.</w:t>
      </w:r>
    </w:p>
    <w:p>
      <w:pPr>
        <w:pStyle w:val="0"/>
        <w:spacing w:before="200" w:line-rule="auto"/>
        <w:ind w:firstLine="540"/>
        <w:jc w:val="both"/>
      </w:pPr>
      <w:r>
        <w:rPr>
          <w:sz w:val="20"/>
        </w:rPr>
        <w:t xml:space="preserve">Реализация цифрового контура позволит во всех медицинских организациях автономного округа, оказывающих медицинскую помощь детям, внедрить медицинские информационные системы, создать единый цифровой архив медицинских изображений, цифровой архив лабораторных исследований, региональную диспетчерскую службу скорой помощи, включая санитарную авиацию, которые позволят обеспечить преемственность оказания медицинской помощи между медицинскими организациями, мониторировать качество оказанной медицинской помощи и маршрутизацию пациентов.</w:t>
      </w:r>
    </w:p>
    <w:p>
      <w:pPr>
        <w:pStyle w:val="0"/>
        <w:spacing w:before="200" w:line-rule="auto"/>
        <w:ind w:firstLine="540"/>
        <w:jc w:val="both"/>
      </w:pPr>
      <w:r>
        <w:rPr>
          <w:sz w:val="20"/>
        </w:rPr>
        <w:t xml:space="preserve">Информатизация отрасли здравоохранения в части оказания медицинской помощи матерям и детям осуществляется по следующим основным направлениям:</w:t>
      </w:r>
    </w:p>
    <w:p>
      <w:pPr>
        <w:pStyle w:val="0"/>
        <w:spacing w:before="200" w:line-rule="auto"/>
        <w:ind w:firstLine="540"/>
        <w:jc w:val="both"/>
      </w:pPr>
      <w:r>
        <w:rPr>
          <w:sz w:val="20"/>
        </w:rPr>
        <w:t xml:space="preserve">подключение медицинских организаций к защищенной сети передачи данных, оснащение информационно-телекоммуникационным оборудованием,</w:t>
      </w:r>
    </w:p>
    <w:p>
      <w:pPr>
        <w:pStyle w:val="0"/>
        <w:spacing w:before="200" w:line-rule="auto"/>
        <w:ind w:firstLine="540"/>
        <w:jc w:val="both"/>
      </w:pPr>
      <w:r>
        <w:rPr>
          <w:sz w:val="20"/>
        </w:rPr>
        <w:t xml:space="preserve">персонифицированный учет оказанных медицинских услуг, запись к врачу и на вакцинацию в электронном виде, вызов врача на дом, ведение электронной медицинской карты гражданина с возможностью передачи данных в "Личный кабинет" пациента "Мое здоровье",</w:t>
      </w:r>
    </w:p>
    <w:p>
      <w:pPr>
        <w:pStyle w:val="0"/>
        <w:spacing w:before="200" w:line-rule="auto"/>
        <w:ind w:firstLine="540"/>
        <w:jc w:val="both"/>
      </w:pPr>
      <w:r>
        <w:rPr>
          <w:sz w:val="20"/>
        </w:rPr>
        <w:t xml:space="preserve">развитие и обеспечение бесперебойной работы региональной телемедицинской сети,</w:t>
      </w:r>
    </w:p>
    <w:p>
      <w:pPr>
        <w:pStyle w:val="0"/>
        <w:spacing w:before="200" w:line-rule="auto"/>
        <w:ind w:firstLine="540"/>
        <w:jc w:val="both"/>
      </w:pPr>
      <w:r>
        <w:rPr>
          <w:sz w:val="20"/>
        </w:rPr>
        <w:t xml:space="preserve">подключение к ВИМИС "Акушерство и гинекология", "Неонатология",</w:t>
      </w:r>
    </w:p>
    <w:p>
      <w:pPr>
        <w:pStyle w:val="0"/>
        <w:spacing w:before="200" w:line-rule="auto"/>
        <w:ind w:firstLine="540"/>
        <w:jc w:val="both"/>
      </w:pPr>
      <w:r>
        <w:rPr>
          <w:sz w:val="20"/>
        </w:rPr>
        <w:t xml:space="preserve">межведомственное электронное взаимодействие с бюро Медико-социальной экспертизы, Единым государственным реестром ЗАГС, Единой государственной информационной системой социального обеспечения, Депспорта автономного округа и Депобразования автономного округа,</w:t>
      </w:r>
    </w:p>
    <w:p>
      <w:pPr>
        <w:pStyle w:val="0"/>
        <w:spacing w:before="200" w:line-rule="auto"/>
        <w:ind w:firstLine="540"/>
        <w:jc w:val="both"/>
      </w:pPr>
      <w:r>
        <w:rPr>
          <w:sz w:val="20"/>
        </w:rPr>
        <w:t xml:space="preserve">пилотный проект по запуску суперсервиса "Рождение ребенка".</w:t>
      </w:r>
    </w:p>
    <w:p>
      <w:pPr>
        <w:pStyle w:val="0"/>
        <w:spacing w:before="200" w:line-rule="auto"/>
        <w:ind w:firstLine="540"/>
        <w:jc w:val="both"/>
      </w:pPr>
      <w:r>
        <w:rPr>
          <w:sz w:val="20"/>
        </w:rPr>
        <w:t xml:space="preserve">Оснащенность автоматизированными рабочими местами (АРМ), подключенными к медицинским информационным системам, составляет 12 206 единиц, запланировано до 2024 года к приобретению 11 418 АРМ.</w:t>
      </w:r>
    </w:p>
    <w:p>
      <w:pPr>
        <w:pStyle w:val="0"/>
        <w:spacing w:before="200" w:line-rule="auto"/>
        <w:ind w:firstLine="540"/>
        <w:jc w:val="both"/>
      </w:pPr>
      <w:r>
        <w:rPr>
          <w:sz w:val="20"/>
        </w:rPr>
        <w:t xml:space="preserve">В региональном центре обработки медицинских данных запущена региональная медицинская информационная система, которая является частью регионального сегмента ЕГИСЗ в сфере здравоохранения и позволяет работать медицинским организациям с единой электронной медицинской картой пациента. Всего за 2020 год в региональный центр обработки медицинских данных из медицинских организаций передано более 15 миллионов медицинских документов.</w:t>
      </w:r>
    </w:p>
    <w:p>
      <w:pPr>
        <w:pStyle w:val="0"/>
        <w:spacing w:before="200" w:line-rule="auto"/>
        <w:ind w:firstLine="540"/>
        <w:jc w:val="both"/>
      </w:pPr>
      <w:r>
        <w:rPr>
          <w:sz w:val="20"/>
        </w:rPr>
        <w:t xml:space="preserve">Развитие телемедицинского консультирования обусловлено необходимостью преодоления разрыва между концентрацией лучших врачей в ведущих медицинских центрах и не всегда высоким уровнем обеспеченности высококвалифицированными специалистами в удаленных или труднодоступных районах.</w:t>
      </w:r>
    </w:p>
    <w:p>
      <w:pPr>
        <w:pStyle w:val="0"/>
        <w:spacing w:before="200" w:line-rule="auto"/>
        <w:ind w:firstLine="540"/>
        <w:jc w:val="both"/>
      </w:pPr>
      <w:r>
        <w:rPr>
          <w:sz w:val="20"/>
        </w:rPr>
        <w:t xml:space="preserve">В 2020 году к Государственной региональной медицинской системе "Удаленное консультирование" подключено 76 удаленных медицинских пунктов, в том числе оказывающих медицинскую помощь детям.</w:t>
      </w:r>
    </w:p>
    <w:p>
      <w:pPr>
        <w:pStyle w:val="0"/>
        <w:spacing w:before="200" w:line-rule="auto"/>
        <w:ind w:firstLine="540"/>
        <w:jc w:val="both"/>
      </w:pPr>
      <w:r>
        <w:rPr>
          <w:sz w:val="20"/>
        </w:rPr>
        <w:t xml:space="preserve">В автономном округе организован Центральный архив медицинских изображений, к которому подключено свыше 120 единиц диагностического оборудования, с него осуществляется передача медицинских изображений.</w:t>
      </w:r>
    </w:p>
    <w:p>
      <w:pPr>
        <w:pStyle w:val="0"/>
        <w:spacing w:before="200" w:line-rule="auto"/>
        <w:ind w:firstLine="540"/>
        <w:jc w:val="both"/>
      </w:pPr>
      <w:r>
        <w:rPr>
          <w:sz w:val="20"/>
        </w:rPr>
        <w:t xml:space="preserve">"Личный кабинет" пациента: в 70 медицинских организациях, в том числе 23 детских поликлиниках, функционирует интернет-регистратура. Этот региональный сервис интегрирован с "личными кабинетами" пациентов "Мое здоровье" на Едином портале государственных услуг (далее - ЕПГУ). С использованием интернет-регистратуры, терминалов самозаписи, ЕПГУ, мобильного приложения "Электронный кабинет пациента" и Контакт-центра Департамента здравоохранения автономного округа осуществляется запись к врачу электронном виде.</w:t>
      </w:r>
    </w:p>
    <w:p>
      <w:pPr>
        <w:pStyle w:val="0"/>
        <w:spacing w:before="200" w:line-rule="auto"/>
        <w:ind w:firstLine="540"/>
        <w:jc w:val="both"/>
      </w:pPr>
      <w:r>
        <w:rPr>
          <w:sz w:val="20"/>
        </w:rPr>
        <w:t xml:space="preserve">Реализована возможность на портале "Электронная регистратура Югры" (https://er.dzhmao.ru/) и Едином портале государственных услуг и функций записаться на прохождение вакцинации.</w:t>
      </w:r>
    </w:p>
    <w:p>
      <w:pPr>
        <w:pStyle w:val="0"/>
        <w:spacing w:before="200" w:line-rule="auto"/>
        <w:ind w:firstLine="540"/>
        <w:jc w:val="both"/>
      </w:pPr>
      <w:r>
        <w:rPr>
          <w:sz w:val="20"/>
        </w:rPr>
        <w:t xml:space="preserve">На базе 26 медицинских организаций развернуты 493 педиатрические койки. Обеспеченность педиатрическими койками составляет 11,5 на 10 000 детского населения.</w:t>
      </w:r>
    </w:p>
    <w:p>
      <w:pPr>
        <w:pStyle w:val="0"/>
        <w:spacing w:before="200" w:line-rule="auto"/>
        <w:ind w:firstLine="540"/>
        <w:jc w:val="both"/>
      </w:pPr>
      <w:r>
        <w:rPr>
          <w:sz w:val="20"/>
        </w:rPr>
        <w:t xml:space="preserve">Специализированная, в том числе высокотехнологичная, медицинская помощь детскому населению оказывается на базе следующих медицинских организаций: БУ "Окружная клиническая больница", БУ "Няганская окружная больница", БУ "Сургутская клиническая травматологическая больница", БУ "Сургутская окружная клиническая больница", БУ "Нижневартовская окружная клиническая детская больница", БУ "Сургутская городская клиническая больница", БУ "Нефтеюганская окружная клиническая больница им. В.И. Яцкив".</w:t>
      </w:r>
    </w:p>
    <w:p>
      <w:pPr>
        <w:pStyle w:val="0"/>
        <w:spacing w:before="200" w:line-rule="auto"/>
        <w:ind w:firstLine="540"/>
        <w:jc w:val="both"/>
      </w:pPr>
      <w:r>
        <w:rPr>
          <w:sz w:val="20"/>
        </w:rPr>
        <w:t xml:space="preserve">Оснащение оборудованием указанных медицинских организаций осуществляется в соответствии с порядками оказания медицинской помощи несовершеннолетним, утвержденными Минздравом России.</w:t>
      </w:r>
    </w:p>
    <w:p>
      <w:pPr>
        <w:pStyle w:val="0"/>
        <w:spacing w:before="200" w:line-rule="auto"/>
        <w:ind w:firstLine="540"/>
        <w:jc w:val="both"/>
      </w:pPr>
      <w:r>
        <w:rPr>
          <w:sz w:val="20"/>
        </w:rPr>
        <w:t xml:space="preserve">На базе вышеуказанных медицинских организаций оказывается медицинская помощь детям в условиях стационара по следующим профилям: "педиатрия", "инфекционные болезни", "травматология и ортопедия", "неврология", "детская хирургия", "нефрология", "оториноларингология", "нейрохирургия", "сурдология-оториноларингология", "детская эндокринология", "гастроэнтерология", "аллергология и иммунология", "гематология", "детская кардиология", "детская онкология", "пульмонология", "офтальмология", "ревматология", "детская урология-андрология", "паллиативная медицинская помощь".</w:t>
      </w:r>
    </w:p>
    <w:p>
      <w:pPr>
        <w:pStyle w:val="0"/>
        <w:spacing w:before="200" w:line-rule="auto"/>
        <w:ind w:firstLine="540"/>
        <w:jc w:val="both"/>
      </w:pPr>
      <w:r>
        <w:rPr>
          <w:sz w:val="20"/>
        </w:rPr>
        <w:t xml:space="preserve">БУ "Нижневартовская окружная клиническая детская больница" (далее - детская больница) - многопрофильная организация 3-го уровня по оказанию специализированной, в том числе высокотехнологичной, медицинской помощи детям от 0 до 17 лет включительно в амбулаторных и стационарных условиях.</w:t>
      </w:r>
    </w:p>
    <w:p>
      <w:pPr>
        <w:pStyle w:val="0"/>
        <w:spacing w:before="200" w:line-rule="auto"/>
        <w:ind w:firstLine="540"/>
        <w:jc w:val="both"/>
      </w:pPr>
      <w:r>
        <w:rPr>
          <w:sz w:val="20"/>
        </w:rPr>
        <w:t xml:space="preserve">В структуре детской больницы 13 специализированных отделений круглосуточного стационара на 430 коек хирургического и педиатрического профиля, отделение анестезиологии и реанимации на 18 коек с блоком эфферентных методов лечения, дневной стационар на 15 коек, детский консультативно-диагностический центр на 150 посещений, центр амбулаторного диализа, реанимационно-консультативный центр, травмпункт, отделение выездной патронажной паллиативной медицинской помощи детям, другие диагностические и вспомогательные подразделения.</w:t>
      </w:r>
    </w:p>
    <w:p>
      <w:pPr>
        <w:pStyle w:val="0"/>
        <w:spacing w:before="200" w:line-rule="auto"/>
        <w:ind w:firstLine="540"/>
        <w:jc w:val="both"/>
      </w:pPr>
      <w:r>
        <w:rPr>
          <w:sz w:val="20"/>
        </w:rPr>
        <w:t xml:space="preserve">Специалисты детского консультативно-диагностического центра детской больницы ведут прием по 19 специальностям, за 2020 год выполнено 21 992 посещения (в 2018 году 34 733 посещения, в 2019 году - 34 126 посещений), что обусловлено временным прекращением оказания плановой консультативно-диагностической помощи в связи с эпидемиологической ситуацией по новой коронавирусной инфекции, вызванной COVID-19. Дети из отдаленных территорий автономного округа составляют 44,2% (в 2018 году 38,3%, в 2019 году 46,6%).</w:t>
      </w:r>
    </w:p>
    <w:p>
      <w:pPr>
        <w:pStyle w:val="0"/>
        <w:spacing w:before="200" w:line-rule="auto"/>
        <w:ind w:firstLine="540"/>
        <w:jc w:val="both"/>
      </w:pPr>
      <w:r>
        <w:rPr>
          <w:sz w:val="20"/>
        </w:rPr>
        <w:t xml:space="preserve">В 2020 году в условиях круглосуточного стационара специализированную медицинскую помощь получили 10 628 детей (в 2018 году 12 517 детей, в 2019 году 12 619 детей). Дети из отдаленных территорий автономного округа составляют 47,8% (в 2018 году - 51,0%, в 2019 году - 50,0%).</w:t>
      </w:r>
    </w:p>
    <w:p>
      <w:pPr>
        <w:pStyle w:val="0"/>
        <w:spacing w:before="200" w:line-rule="auto"/>
        <w:ind w:firstLine="540"/>
        <w:jc w:val="both"/>
      </w:pPr>
      <w:r>
        <w:rPr>
          <w:sz w:val="20"/>
        </w:rPr>
        <w:t xml:space="preserve">В 2018 году средняя длительность пребывания детей в стационаре детской больницы составила 9,9 дней, в 2019 году - 10,0 дней, в 2020 году - 9,7 дней.</w:t>
      </w:r>
    </w:p>
    <w:p>
      <w:pPr>
        <w:pStyle w:val="0"/>
        <w:spacing w:before="200" w:line-rule="auto"/>
        <w:ind w:firstLine="540"/>
        <w:jc w:val="both"/>
      </w:pPr>
      <w:r>
        <w:rPr>
          <w:sz w:val="20"/>
        </w:rPr>
        <w:t xml:space="preserve">Ежегодно в детской больнице выполняются запланированные объемы высокотехнологичной медицинской помощи (далее - ВМП) по педиатрии, неонатологии и детской хирургии в периоде новорожденности, травматологии и ортопедии, детской онкологии, офтальмологии, ревматологии, комбустиологии. Длительность ожидания не превышает 14 дней.</w:t>
      </w:r>
    </w:p>
    <w:p>
      <w:pPr>
        <w:pStyle w:val="0"/>
        <w:spacing w:before="200" w:line-rule="auto"/>
        <w:ind w:firstLine="540"/>
        <w:jc w:val="both"/>
      </w:pPr>
      <w:r>
        <w:rPr>
          <w:sz w:val="20"/>
        </w:rPr>
        <w:t xml:space="preserve">В 2020 году ВМП оказана 534 детям (в 2018 году - 470 детям, 2019 году - 501 ребенку). У детей до года уменьшилось число проведенных операций с 101 до 79 по поводу врожденных пороков развития, но увеличилось число операций с применением высоких технологий с 13 до 16.</w:t>
      </w:r>
    </w:p>
    <w:p>
      <w:pPr>
        <w:pStyle w:val="0"/>
        <w:spacing w:before="200" w:line-rule="auto"/>
        <w:ind w:firstLine="540"/>
        <w:jc w:val="both"/>
      </w:pPr>
      <w:r>
        <w:rPr>
          <w:sz w:val="20"/>
        </w:rPr>
        <w:t xml:space="preserve">В отделениях хирургического профиля выполнено 3 626 операций (в 2018 году 4 794 операции, в 2019 году 4 715 операций). За 2020 год снизилась на 4,8% операционная активность (с 77,7% до 72,9%) за счет временного прекращения плановых оперативных вмешательств в период распространения новой коронавирусной инфекции, вызванной COVID-19.</w:t>
      </w:r>
    </w:p>
    <w:p>
      <w:pPr>
        <w:pStyle w:val="0"/>
        <w:spacing w:before="200" w:line-rule="auto"/>
        <w:ind w:firstLine="540"/>
        <w:jc w:val="both"/>
      </w:pPr>
      <w:r>
        <w:rPr>
          <w:sz w:val="20"/>
        </w:rPr>
        <w:t xml:space="preserve">В реанимационно-консультативном центре детской больницы проводится ежедневный дистанционный мониторинг динамики состояния детей, находящихся в тяжелом состоянии в медицинских организациях автономного округа. Количество консультаций значительно выросло с 236 в 2019 году до 732 в 2020 году, из них заочных - 444, очных - 288. Дистанционно велись 128 пациентов (в 2019 году - 67).</w:t>
      </w:r>
    </w:p>
    <w:p>
      <w:pPr>
        <w:pStyle w:val="0"/>
        <w:spacing w:before="200" w:line-rule="auto"/>
        <w:ind w:firstLine="540"/>
        <w:jc w:val="both"/>
      </w:pPr>
      <w:r>
        <w:rPr>
          <w:sz w:val="20"/>
        </w:rPr>
        <w:t xml:space="preserve">За 2020 год в больнице внедрено 2 лечебных и 8 диагностических методик. Лечебные методики внедрены в отделениях области детской хирургии и детской эндокринологии: лапароскопическое низведение толстой кишки в модификации Свенсона-Хиатта-Исакова при болезни Гиршпрунга, что приводит к восстановлению пассажа кишечного содержимого по толстой кишке, улучшает качество жизни; установка инсулиновых помп нового образца MetroNic MiNi Med Paradigm Veo с гибридной обратной связью и с функцией предикативной автоматической остановки подачи инсулина до гипогликемии, улучшает качество жизни, приводит к снижению дозы инсулина, увеличивает точность расчетов, обеспечивает непрерывное мониторирование гликемии, уменьшение число проколов кожи.</w:t>
      </w:r>
    </w:p>
    <w:p>
      <w:pPr>
        <w:pStyle w:val="0"/>
        <w:spacing w:before="200" w:line-rule="auto"/>
        <w:ind w:firstLine="540"/>
        <w:jc w:val="both"/>
      </w:pPr>
      <w:r>
        <w:rPr>
          <w:sz w:val="20"/>
        </w:rPr>
        <w:t xml:space="preserve">Диагностические методики представлены в области лабораторной диагностики, что позволило определять РНК SARS-Cov-2, IgG к SARS-Cov-2, IgМ к SARS-Cov-2, IgG к SARS-Cov-2 (экспресс-тест), IgМ к SARS-Cov-2 (экспресс-тест). Пункция и катетеризация магистральных сосудов под УЗИ навигацией позволила уменьшить лучевую нагрузку на пациента, ускорить процесс постановки катетера, снизить, а порой предупредить осложнения при пункции магистрального сосуда. Оценка чувствительности микроорганизмов на основе пограничных значений EUCAST в версии 10.0 от 1 января 2020 года определение чувствительности грамм-отрицательных микроорганизмов к антибактериальным препаратам методом серийных разведений на анализаторе "Феникс" позволили определять чувствительность микроорганизмов к антибактериальным препаратам в соответствии с актуальными современными международными документами.</w:t>
      </w:r>
    </w:p>
    <w:p>
      <w:pPr>
        <w:pStyle w:val="0"/>
        <w:ind w:firstLine="540"/>
        <w:jc w:val="both"/>
      </w:pPr>
      <w:r>
        <w:rPr>
          <w:sz w:val="20"/>
        </w:rPr>
      </w:r>
    </w:p>
    <w:p>
      <w:pPr>
        <w:pStyle w:val="0"/>
        <w:outlineLvl w:val="3"/>
        <w:jc w:val="right"/>
      </w:pPr>
      <w:r>
        <w:rPr>
          <w:sz w:val="20"/>
        </w:rPr>
        <w:t xml:space="preserve">Таблица 13</w:t>
      </w:r>
    </w:p>
    <w:p>
      <w:pPr>
        <w:pStyle w:val="0"/>
        <w:ind w:firstLine="540"/>
        <w:jc w:val="both"/>
      </w:pPr>
      <w:r>
        <w:rPr>
          <w:sz w:val="20"/>
        </w:rPr>
      </w:r>
    </w:p>
    <w:p>
      <w:pPr>
        <w:pStyle w:val="2"/>
        <w:jc w:val="center"/>
      </w:pPr>
      <w:r>
        <w:rPr>
          <w:sz w:val="20"/>
        </w:rPr>
        <w:t xml:space="preserve">Информация об оказании высокотехнологичной медицинской</w:t>
      </w:r>
    </w:p>
    <w:p>
      <w:pPr>
        <w:pStyle w:val="2"/>
        <w:jc w:val="center"/>
      </w:pPr>
      <w:r>
        <w:rPr>
          <w:sz w:val="20"/>
        </w:rPr>
        <w:t xml:space="preserve">помощи детям за 2018 - 2020 годы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79"/>
        <w:gridCol w:w="1134"/>
        <w:gridCol w:w="1134"/>
        <w:gridCol w:w="1134"/>
        <w:gridCol w:w="1191"/>
      </w:tblGrid>
      <w:tr>
        <w:tc>
          <w:tcPr>
            <w:tcW w:w="4479" w:type="dxa"/>
          </w:tcPr>
          <w:p>
            <w:pPr>
              <w:pStyle w:val="0"/>
              <w:jc w:val="center"/>
            </w:pPr>
            <w:r>
              <w:rPr>
                <w:sz w:val="20"/>
              </w:rPr>
              <w:t xml:space="preserve">Дети, которым оказана высокотехнологичная медицинская помощь</w:t>
            </w:r>
          </w:p>
        </w:tc>
        <w:tc>
          <w:tcPr>
            <w:tcW w:w="1134" w:type="dxa"/>
          </w:tcPr>
          <w:p>
            <w:pPr>
              <w:pStyle w:val="0"/>
              <w:jc w:val="center"/>
            </w:pPr>
            <w:r>
              <w:rPr>
                <w:sz w:val="20"/>
              </w:rPr>
              <w:t xml:space="preserve">2018 год</w:t>
            </w:r>
          </w:p>
        </w:tc>
        <w:tc>
          <w:tcPr>
            <w:tcW w:w="1134" w:type="dxa"/>
          </w:tcPr>
          <w:p>
            <w:pPr>
              <w:pStyle w:val="0"/>
              <w:jc w:val="center"/>
            </w:pPr>
            <w:r>
              <w:rPr>
                <w:sz w:val="20"/>
              </w:rPr>
              <w:t xml:space="preserve">2019 год</w:t>
            </w:r>
          </w:p>
        </w:tc>
        <w:tc>
          <w:tcPr>
            <w:tcW w:w="1134" w:type="dxa"/>
          </w:tcPr>
          <w:p>
            <w:pPr>
              <w:pStyle w:val="0"/>
              <w:jc w:val="center"/>
            </w:pPr>
            <w:r>
              <w:rPr>
                <w:sz w:val="20"/>
              </w:rPr>
              <w:t xml:space="preserve">2020 год</w:t>
            </w:r>
          </w:p>
        </w:tc>
        <w:tc>
          <w:tcPr>
            <w:tcW w:w="1191" w:type="dxa"/>
          </w:tcPr>
          <w:p>
            <w:pPr>
              <w:pStyle w:val="0"/>
              <w:jc w:val="center"/>
            </w:pPr>
            <w:r>
              <w:rPr>
                <w:sz w:val="20"/>
              </w:rPr>
              <w:t xml:space="preserve">Темп прироста/ убыли к 2019 году, %</w:t>
            </w:r>
          </w:p>
        </w:tc>
      </w:tr>
      <w:tr>
        <w:tc>
          <w:tcPr>
            <w:tcW w:w="4479" w:type="dxa"/>
          </w:tcPr>
          <w:p>
            <w:pPr>
              <w:pStyle w:val="0"/>
            </w:pPr>
            <w:r>
              <w:rPr>
                <w:sz w:val="20"/>
              </w:rPr>
              <w:t xml:space="preserve">Число детей, которым оказана высокотехнологичная медицинская помощь</w:t>
            </w:r>
          </w:p>
        </w:tc>
        <w:tc>
          <w:tcPr>
            <w:tcW w:w="1134" w:type="dxa"/>
          </w:tcPr>
          <w:p>
            <w:pPr>
              <w:pStyle w:val="0"/>
            </w:pPr>
            <w:r>
              <w:rPr>
                <w:sz w:val="20"/>
              </w:rPr>
              <w:t xml:space="preserve">1784</w:t>
            </w:r>
          </w:p>
        </w:tc>
        <w:tc>
          <w:tcPr>
            <w:tcW w:w="1134" w:type="dxa"/>
          </w:tcPr>
          <w:p>
            <w:pPr>
              <w:pStyle w:val="0"/>
            </w:pPr>
            <w:r>
              <w:rPr>
                <w:sz w:val="20"/>
              </w:rPr>
              <w:t xml:space="preserve">1964</w:t>
            </w:r>
          </w:p>
        </w:tc>
        <w:tc>
          <w:tcPr>
            <w:tcW w:w="1134" w:type="dxa"/>
          </w:tcPr>
          <w:p>
            <w:pPr>
              <w:pStyle w:val="0"/>
            </w:pPr>
            <w:r>
              <w:rPr>
                <w:sz w:val="20"/>
              </w:rPr>
              <w:t xml:space="preserve">1975</w:t>
            </w:r>
          </w:p>
        </w:tc>
        <w:tc>
          <w:tcPr>
            <w:tcW w:w="1191" w:type="dxa"/>
          </w:tcPr>
          <w:p>
            <w:pPr>
              <w:pStyle w:val="0"/>
            </w:pPr>
            <w:r>
              <w:rPr>
                <w:sz w:val="20"/>
              </w:rPr>
              <w:t xml:space="preserve">+0,6</w:t>
            </w:r>
          </w:p>
        </w:tc>
      </w:tr>
      <w:tr>
        <w:tc>
          <w:tcPr>
            <w:tcW w:w="4479" w:type="dxa"/>
          </w:tcPr>
          <w:p>
            <w:pPr>
              <w:pStyle w:val="0"/>
            </w:pPr>
            <w:r>
              <w:rPr>
                <w:sz w:val="20"/>
              </w:rPr>
              <w:t xml:space="preserve">Из них дети-инвалиды</w:t>
            </w:r>
          </w:p>
        </w:tc>
        <w:tc>
          <w:tcPr>
            <w:tcW w:w="1134" w:type="dxa"/>
          </w:tcPr>
          <w:p>
            <w:pPr>
              <w:pStyle w:val="0"/>
            </w:pPr>
            <w:r>
              <w:rPr>
                <w:sz w:val="20"/>
              </w:rPr>
              <w:t xml:space="preserve">578</w:t>
            </w:r>
          </w:p>
        </w:tc>
        <w:tc>
          <w:tcPr>
            <w:tcW w:w="1134" w:type="dxa"/>
          </w:tcPr>
          <w:p>
            <w:pPr>
              <w:pStyle w:val="0"/>
            </w:pPr>
            <w:r>
              <w:rPr>
                <w:sz w:val="20"/>
              </w:rPr>
              <w:t xml:space="preserve">659</w:t>
            </w:r>
          </w:p>
        </w:tc>
        <w:tc>
          <w:tcPr>
            <w:tcW w:w="1134" w:type="dxa"/>
          </w:tcPr>
          <w:p>
            <w:pPr>
              <w:pStyle w:val="0"/>
            </w:pPr>
            <w:r>
              <w:rPr>
                <w:sz w:val="20"/>
              </w:rPr>
              <w:t xml:space="preserve">740</w:t>
            </w:r>
          </w:p>
        </w:tc>
        <w:tc>
          <w:tcPr>
            <w:tcW w:w="1191" w:type="dxa"/>
          </w:tcPr>
          <w:p>
            <w:pPr>
              <w:pStyle w:val="0"/>
            </w:pPr>
            <w:r>
              <w:rPr>
                <w:sz w:val="20"/>
              </w:rPr>
              <w:t xml:space="preserve">+12,3</w:t>
            </w:r>
          </w:p>
        </w:tc>
      </w:tr>
    </w:tbl>
    <w:p>
      <w:pPr>
        <w:pStyle w:val="0"/>
        <w:ind w:firstLine="540"/>
        <w:jc w:val="both"/>
      </w:pPr>
      <w:r>
        <w:rPr>
          <w:sz w:val="20"/>
        </w:rPr>
      </w:r>
    </w:p>
    <w:p>
      <w:pPr>
        <w:pStyle w:val="0"/>
        <w:ind w:firstLine="540"/>
        <w:jc w:val="both"/>
      </w:pPr>
      <w:r>
        <w:rPr>
          <w:sz w:val="20"/>
        </w:rPr>
        <w:t xml:space="preserve">За пределами автономного округа в 2020 году за счет средств федерального бюджета высокотехнологичная медицинская помощь оказана 622 детям, из них 307 детям, имеющим статус "ребенок-инвалид", за счет средств обязательного медицинского страхования высокотехнологичная медицинская помощь оказана 189 детям, из них 75 детям, имеющему статус "ребенок-инвалид".</w:t>
      </w:r>
    </w:p>
    <w:p>
      <w:pPr>
        <w:pStyle w:val="0"/>
        <w:spacing w:before="200" w:line-rule="auto"/>
        <w:ind w:firstLine="540"/>
        <w:jc w:val="both"/>
      </w:pPr>
      <w:r>
        <w:rPr>
          <w:sz w:val="20"/>
        </w:rPr>
        <w:t xml:space="preserve">В медицинских организациях автономного округа в 2020 году за счет средств бюджета автономного округа высокотехнологичная медицинская помощь оказана 811 детям, из них 338 детям, имеющим статус "ребенок-инвалид", за счет средств обязательного медицинского страхования высокотехнологичная медицинская помощь оказана 353 детям, из них 20 детям, имеющим статус "ребенок-инвалид".</w:t>
      </w:r>
    </w:p>
    <w:p>
      <w:pPr>
        <w:pStyle w:val="0"/>
        <w:spacing w:before="200" w:line-rule="auto"/>
        <w:ind w:firstLine="540"/>
        <w:jc w:val="both"/>
      </w:pPr>
      <w:r>
        <w:rPr>
          <w:sz w:val="20"/>
        </w:rPr>
        <w:t xml:space="preserve">Акушерско-гинекологическая помощь оказывается в 28 женских консультациях и 41 акушерско-гинекологических отделениях и кабинетах бюджетных учреждений автономного округа.</w:t>
      </w:r>
    </w:p>
    <w:p>
      <w:pPr>
        <w:pStyle w:val="0"/>
        <w:spacing w:before="200" w:line-rule="auto"/>
        <w:ind w:firstLine="540"/>
        <w:jc w:val="both"/>
      </w:pPr>
      <w:r>
        <w:rPr>
          <w:sz w:val="20"/>
        </w:rPr>
        <w:t xml:space="preserve">В соответствии с нормативными документами Минздрава России в автономном округе создана трехэтапная система оказания медицинской помощи матерям новорожденных и завершена регионализация перинатальной помощи.</w:t>
      </w:r>
    </w:p>
    <w:p>
      <w:pPr>
        <w:pStyle w:val="0"/>
        <w:spacing w:before="200" w:line-rule="auto"/>
        <w:ind w:firstLine="540"/>
        <w:jc w:val="both"/>
      </w:pPr>
      <w:r>
        <w:rPr>
          <w:sz w:val="20"/>
        </w:rPr>
        <w:t xml:space="preserve">В соответствии с </w:t>
      </w:r>
      <w:hyperlink w:history="0" r:id="rId78" w:tooltip="Приказ Минздрава России от 20.10.2020 N 1130н &quot;Об утверждении Порядка оказания медицинской помощи по профилю &quot;акушерство и гинекология&quot; (Зарегистрировано в Минюсте России 12.11.2020 N 60869) {КонсультантПлюс}">
        <w:r>
          <w:rPr>
            <w:sz w:val="20"/>
            <w:color w:val="0000ff"/>
          </w:rPr>
          <w:t xml:space="preserve">Порядком</w:t>
        </w:r>
      </w:hyperlink>
      <w:r>
        <w:rPr>
          <w:sz w:val="20"/>
        </w:rPr>
        <w:t xml:space="preserve"> оказания медицинской помощи по профилю "акушерство и гинекология", утвержденным Минздравом России от 20 октября 2020 года N 1130н, в автономном округе актуализированы приказы Департамента здравоохранения автономного округа: от 9 апреля 2021 года N 496 "Об утверждении плана маршрутизации беременных, рожениц, родильниц и пациенток с гинекологическими заболеваниями в медицинские организации первой, второй и третьей группы в Ханты-Мансийском автономном округе - Югре", от 7 мая 2021 года N 657 "Об организации акушерско-гинекологической и неонатальной помощи в Ханты-Мансийском автономном округе - Югре".</w:t>
      </w:r>
    </w:p>
    <w:p>
      <w:pPr>
        <w:pStyle w:val="0"/>
        <w:spacing w:before="200" w:line-rule="auto"/>
        <w:ind w:firstLine="540"/>
        <w:jc w:val="both"/>
      </w:pPr>
      <w:r>
        <w:rPr>
          <w:sz w:val="20"/>
        </w:rPr>
        <w:t xml:space="preserve">Перинатальная помощь представлена сетью подразделений родовспоможения, разделенных на 3 группы: 1 группа (5 районных больниц), 2 группа (11 городских и районных больниц) и 3 группа (3 окружных перинатальных центра). Все учреждения родовспоможения разделены на административные зоны - восточную, центральную и западную. Женское население прикреплено к 2 окружным перинатальным центрам в городах Ханты-Мансийске и Нижневартовске и окружному клиническому центру охраны материнства и детства в городе Сургуте (далее - перинатальные центры).</w:t>
      </w:r>
    </w:p>
    <w:p>
      <w:pPr>
        <w:pStyle w:val="0"/>
        <w:spacing w:before="200" w:line-rule="auto"/>
        <w:ind w:firstLine="540"/>
        <w:jc w:val="both"/>
      </w:pPr>
      <w:r>
        <w:rPr>
          <w:sz w:val="20"/>
        </w:rPr>
        <w:t xml:space="preserve">Три перинатальных центра имеют сертификаты соответствия системы менеджмента качества требованиям ISO 9001-2009, из них Сургутский окружной клинический центр охраны материнства и детства соответствует требованиям международной системы сертификации.</w:t>
      </w:r>
    </w:p>
    <w:p>
      <w:pPr>
        <w:pStyle w:val="0"/>
        <w:spacing w:before="200" w:line-rule="auto"/>
        <w:ind w:firstLine="540"/>
        <w:jc w:val="both"/>
      </w:pPr>
      <w:r>
        <w:rPr>
          <w:sz w:val="20"/>
        </w:rPr>
        <w:t xml:space="preserve">Самостоятельными из 19 медицинских организаций, оказывающих перинатальную помощь, являются 2 родовспомогательных медицинских организации (Сургут и Нижневартовск), остальные 17 в составе многопрофильных стационаров.</w:t>
      </w:r>
    </w:p>
    <w:p>
      <w:pPr>
        <w:pStyle w:val="0"/>
        <w:spacing w:before="200" w:line-rule="auto"/>
        <w:ind w:firstLine="540"/>
        <w:jc w:val="both"/>
      </w:pPr>
      <w:r>
        <w:rPr>
          <w:sz w:val="20"/>
        </w:rPr>
        <w:t xml:space="preserve">В автономном округе осуществляют деятельность 2 выездные анестезиолого-реанимационных неонатальных бригады на базе Нижневартовской окружной детской клинической больницы и Сургутского клинического перинатального центра, выездная акушерская анестезиолого-реанимационная бригада на базе казенного учреждения автономного округа "Центр медицины катастроф", оснащенные реанимобилями, укомплектованные врачами неонатологами, анестезиологами-реаниматологами и другими профильными специалистами, оказывающими круглосуточную консультативную помощь медицинским организациям автономного округа.</w:t>
      </w:r>
    </w:p>
    <w:p>
      <w:pPr>
        <w:pStyle w:val="0"/>
        <w:spacing w:before="200" w:line-rule="auto"/>
        <w:ind w:firstLine="540"/>
        <w:jc w:val="both"/>
      </w:pPr>
      <w:r>
        <w:rPr>
          <w:sz w:val="20"/>
        </w:rPr>
        <w:t xml:space="preserve">Работают акушерские дистанционно-консультативные центры на базе перинатальных центров, оказывающих консультации профильными специалистами, в том числе при скорой специализированной медицинской помощи.</w:t>
      </w:r>
    </w:p>
    <w:p>
      <w:pPr>
        <w:pStyle w:val="0"/>
        <w:spacing w:before="200" w:line-rule="auto"/>
        <w:ind w:firstLine="540"/>
        <w:jc w:val="both"/>
      </w:pPr>
      <w:r>
        <w:rPr>
          <w:sz w:val="20"/>
        </w:rPr>
        <w:t xml:space="preserve">По данным медицинских организаций в 2020 году произошло 20 648 родов, что выше на 1,2% в сравнении 2019 годом (в 2019 году - 20 414 родов, в 2018 году - 22 300 родов).</w:t>
      </w:r>
    </w:p>
    <w:p>
      <w:pPr>
        <w:pStyle w:val="0"/>
        <w:ind w:firstLine="540"/>
        <w:jc w:val="both"/>
      </w:pPr>
      <w:r>
        <w:rPr>
          <w:sz w:val="20"/>
        </w:rPr>
      </w:r>
    </w:p>
    <w:p>
      <w:pPr>
        <w:pStyle w:val="0"/>
        <w:outlineLvl w:val="3"/>
        <w:jc w:val="right"/>
      </w:pPr>
      <w:r>
        <w:rPr>
          <w:sz w:val="20"/>
        </w:rPr>
        <w:t xml:space="preserve">Таблица 14</w:t>
      </w:r>
    </w:p>
    <w:p>
      <w:pPr>
        <w:pStyle w:val="0"/>
        <w:jc w:val="right"/>
      </w:pPr>
      <w:r>
        <w:rPr>
          <w:sz w:val="20"/>
        </w:rPr>
      </w:r>
    </w:p>
    <w:p>
      <w:pPr>
        <w:pStyle w:val="2"/>
        <w:jc w:val="center"/>
      </w:pPr>
      <w:r>
        <w:rPr>
          <w:sz w:val="20"/>
        </w:rPr>
        <w:t xml:space="preserve">Динамика родов в автономном округе за 2018 - 2020 годы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31"/>
        <w:gridCol w:w="1701"/>
        <w:gridCol w:w="2127"/>
        <w:gridCol w:w="1842"/>
      </w:tblGrid>
      <w:tr>
        <w:tc>
          <w:tcPr>
            <w:tcW w:w="3231" w:type="dxa"/>
          </w:tcPr>
          <w:p>
            <w:pPr>
              <w:pStyle w:val="0"/>
              <w:jc w:val="center"/>
            </w:pPr>
            <w:r>
              <w:rPr>
                <w:sz w:val="20"/>
              </w:rPr>
              <w:t xml:space="preserve">Период</w:t>
            </w:r>
          </w:p>
        </w:tc>
        <w:tc>
          <w:tcPr>
            <w:tcW w:w="1701" w:type="dxa"/>
          </w:tcPr>
          <w:p>
            <w:pPr>
              <w:pStyle w:val="0"/>
              <w:jc w:val="center"/>
            </w:pPr>
            <w:r>
              <w:rPr>
                <w:sz w:val="20"/>
              </w:rPr>
              <w:t xml:space="preserve">2018 год</w:t>
            </w:r>
          </w:p>
        </w:tc>
        <w:tc>
          <w:tcPr>
            <w:tcW w:w="2127" w:type="dxa"/>
          </w:tcPr>
          <w:p>
            <w:pPr>
              <w:pStyle w:val="0"/>
              <w:jc w:val="center"/>
            </w:pPr>
            <w:r>
              <w:rPr>
                <w:sz w:val="20"/>
              </w:rPr>
              <w:t xml:space="preserve">2019 год</w:t>
            </w:r>
          </w:p>
        </w:tc>
        <w:tc>
          <w:tcPr>
            <w:tcW w:w="1842" w:type="dxa"/>
          </w:tcPr>
          <w:p>
            <w:pPr>
              <w:pStyle w:val="0"/>
              <w:jc w:val="center"/>
            </w:pPr>
            <w:r>
              <w:rPr>
                <w:sz w:val="20"/>
              </w:rPr>
              <w:t xml:space="preserve">2020 год</w:t>
            </w:r>
          </w:p>
        </w:tc>
      </w:tr>
      <w:tr>
        <w:tc>
          <w:tcPr>
            <w:tcW w:w="3231" w:type="dxa"/>
          </w:tcPr>
          <w:p>
            <w:pPr>
              <w:pStyle w:val="0"/>
            </w:pPr>
            <w:r>
              <w:rPr>
                <w:sz w:val="20"/>
              </w:rPr>
              <w:t xml:space="preserve">Число родов</w:t>
            </w:r>
          </w:p>
        </w:tc>
        <w:tc>
          <w:tcPr>
            <w:tcW w:w="1701" w:type="dxa"/>
          </w:tcPr>
          <w:p>
            <w:pPr>
              <w:pStyle w:val="0"/>
            </w:pPr>
            <w:r>
              <w:rPr>
                <w:sz w:val="20"/>
              </w:rPr>
              <w:t xml:space="preserve">22300</w:t>
            </w:r>
          </w:p>
        </w:tc>
        <w:tc>
          <w:tcPr>
            <w:tcW w:w="2127" w:type="dxa"/>
          </w:tcPr>
          <w:p>
            <w:pPr>
              <w:pStyle w:val="0"/>
            </w:pPr>
            <w:r>
              <w:rPr>
                <w:sz w:val="20"/>
              </w:rPr>
              <w:t xml:space="preserve">20414</w:t>
            </w:r>
          </w:p>
        </w:tc>
        <w:tc>
          <w:tcPr>
            <w:tcW w:w="1842" w:type="dxa"/>
          </w:tcPr>
          <w:p>
            <w:pPr>
              <w:pStyle w:val="0"/>
            </w:pPr>
            <w:r>
              <w:rPr>
                <w:sz w:val="20"/>
              </w:rPr>
              <w:t xml:space="preserve">20648</w:t>
            </w:r>
          </w:p>
        </w:tc>
      </w:tr>
    </w:tbl>
    <w:p>
      <w:pPr>
        <w:pStyle w:val="0"/>
        <w:ind w:firstLine="540"/>
        <w:jc w:val="both"/>
      </w:pPr>
      <w:r>
        <w:rPr>
          <w:sz w:val="20"/>
        </w:rPr>
      </w:r>
    </w:p>
    <w:p>
      <w:pPr>
        <w:pStyle w:val="0"/>
        <w:ind w:firstLine="540"/>
        <w:jc w:val="both"/>
      </w:pPr>
      <w:r>
        <w:rPr>
          <w:sz w:val="20"/>
        </w:rPr>
        <w:t xml:space="preserve">Доля преждевременных родов снизилась на 0,2% и составила 5,1% (в 2019 году - 5,3%, в 2018 году - 5,7%). В условиях регионализации перинатальной помощи преждевременные роды преимущественно проходят в медицинских организациях III уровня - перинатальных центрах. Удельный вес преждевременных родов в перинатальных центрах остался на уровне 2019 года, составил 87,8%, при этом 90,0% родов в сроке 22 - 27 недель (сверхранние преждевременные роды) происходят в организациях III уровня (в 2019 году - 87,8%, в 2018 году - 93,2%).</w:t>
      </w:r>
    </w:p>
    <w:p>
      <w:pPr>
        <w:pStyle w:val="0"/>
        <w:spacing w:before="200" w:line-rule="auto"/>
        <w:ind w:firstLine="540"/>
        <w:jc w:val="both"/>
      </w:pPr>
      <w:r>
        <w:rPr>
          <w:sz w:val="20"/>
        </w:rPr>
        <w:t xml:space="preserve">Перинатальная смертность в 2020 году, по данным медицинских организаций, составила 4,4 на 1 тыс. родившихся живыми и мертвыми, что соответствует уровню 2019 года (в 2019 году - 4,4, в 2018 году - 4,3).</w:t>
      </w:r>
    </w:p>
    <w:p>
      <w:pPr>
        <w:pStyle w:val="0"/>
        <w:spacing w:before="200" w:line-rule="auto"/>
        <w:ind w:firstLine="540"/>
        <w:jc w:val="both"/>
      </w:pPr>
      <w:r>
        <w:rPr>
          <w:sz w:val="20"/>
        </w:rPr>
        <w:t xml:space="preserve">Доля беременных, поступивших под наблюдение до 12 недель, составила 90,3%, что на 0,1% больше, чем в 2019 году (в 2019 году -- 90,2%, в 2018 году - 89,9%).</w:t>
      </w:r>
    </w:p>
    <w:p>
      <w:pPr>
        <w:pStyle w:val="0"/>
        <w:spacing w:before="200" w:line-rule="auto"/>
        <w:ind w:firstLine="540"/>
        <w:jc w:val="both"/>
      </w:pPr>
      <w:r>
        <w:rPr>
          <w:sz w:val="20"/>
        </w:rPr>
        <w:t xml:space="preserve">В структуре заболеваний, предшествовавших или возникших во время беременности, первые места занимают анемии - 22,0% (в 2019 году - 19,7%, в 2018 году - 22,4%) и болезни мочеполовой системы - 18,3% (в 2019 году - 15,5%, в 2018 году - 14,0%).</w:t>
      </w:r>
    </w:p>
    <w:p>
      <w:pPr>
        <w:pStyle w:val="0"/>
        <w:spacing w:before="200" w:line-rule="auto"/>
        <w:ind w:firstLine="540"/>
        <w:jc w:val="both"/>
      </w:pPr>
      <w:r>
        <w:rPr>
          <w:sz w:val="20"/>
        </w:rPr>
        <w:t xml:space="preserve">Удельный вес нормальных родов составил 33,0%, что соответствует уровню 2019 года (в 2018 году - 33,0%, в 2018 году - 34,4%).</w:t>
      </w:r>
    </w:p>
    <w:p>
      <w:pPr>
        <w:pStyle w:val="0"/>
        <w:spacing w:before="200" w:line-rule="auto"/>
        <w:ind w:firstLine="540"/>
        <w:jc w:val="both"/>
      </w:pPr>
      <w:r>
        <w:rPr>
          <w:sz w:val="20"/>
        </w:rPr>
        <w:t xml:space="preserve">В автономном округе работает 14 экспертных кабинетов пренатальной диагностики нарушений развития ребенка, сертификатом Фонда медицины плода сертифицированы 35 специалистов.</w:t>
      </w:r>
    </w:p>
    <w:p>
      <w:pPr>
        <w:pStyle w:val="0"/>
        <w:spacing w:before="200" w:line-rule="auto"/>
        <w:ind w:firstLine="540"/>
        <w:jc w:val="both"/>
      </w:pPr>
      <w:r>
        <w:rPr>
          <w:sz w:val="20"/>
        </w:rPr>
        <w:t xml:space="preserve">По итогам 2020 года по данным программно-аппаратного комплекса по охране материнства и детства "Астрайа" доля охвата беременных в 1 триместре составила 93,9%, что на 1,0% больше 2019 года (в 2019 году - 92,4%, в 2018 году - 90,7%). При этом группа высокого риска хромосомной патологии плода более 1:100 составила 1,3%, на сегодняшний день соответствует рекомендованным международным нормам (менее 2,0%).</w:t>
      </w:r>
    </w:p>
    <w:p>
      <w:pPr>
        <w:pStyle w:val="0"/>
        <w:spacing w:before="200" w:line-rule="auto"/>
        <w:ind w:firstLine="540"/>
        <w:jc w:val="both"/>
      </w:pPr>
      <w:r>
        <w:rPr>
          <w:sz w:val="20"/>
        </w:rPr>
        <w:t xml:space="preserve">Всем пациенткам группы высокого риска проведено медико-генетическое консультирование, в 176 случаях выполнена инвазивная диагностика.</w:t>
      </w:r>
    </w:p>
    <w:p>
      <w:pPr>
        <w:pStyle w:val="0"/>
        <w:spacing w:before="200" w:line-rule="auto"/>
        <w:ind w:firstLine="540"/>
        <w:jc w:val="both"/>
      </w:pPr>
      <w:r>
        <w:rPr>
          <w:sz w:val="20"/>
        </w:rPr>
        <w:t xml:space="preserve">В 2020 году абсолютное число абортов составило 7 400, что на 8,3% меньше 2019 года (в 2019 - 8 071 аборт, в 2018 - 9 014 абортов). Показатель абортов на 1 000 женщин фертильного возраста составил 18,1, что на 3,7% меньше 2019 года (в 2019 году - 18,8, в 2018 году - 20,9); показатель на 100 родившихся живыми и мертвыми - 35,8, что на 8% меньше 2019 года (в 2019 году - 38,9, в 2018 году - 39,8).</w:t>
      </w:r>
    </w:p>
    <w:p>
      <w:pPr>
        <w:pStyle w:val="0"/>
        <w:spacing w:before="200" w:line-rule="auto"/>
        <w:ind w:firstLine="540"/>
        <w:jc w:val="both"/>
      </w:pPr>
      <w:r>
        <w:rPr>
          <w:sz w:val="20"/>
        </w:rPr>
        <w:t xml:space="preserve">Лечение бесплодия с применением вспомогательных репродуктивных технологий за счет средств обязательного медицинского страхования проводилось в отделениях Сургутского окружного клинического центра охраны материнства и детства, перинатального центра Окружной клинической больницы г. Ханты-Мансийска, а также в медицинских организациях, расположенных за пределами автономного округа.</w:t>
      </w:r>
    </w:p>
    <w:p>
      <w:pPr>
        <w:pStyle w:val="0"/>
        <w:spacing w:before="200" w:line-rule="auto"/>
        <w:ind w:firstLine="540"/>
        <w:jc w:val="both"/>
      </w:pPr>
      <w:r>
        <w:rPr>
          <w:sz w:val="20"/>
        </w:rPr>
        <w:t xml:space="preserve">В 2020 году проведено 1220 циклов экстракорпорального оплодотворения (далее - ЭКО) в год за счет средств обязательного медицинского страхования, в том числе в медицинских организациях, расположенных за пределами автономного округа.</w:t>
      </w:r>
    </w:p>
    <w:p>
      <w:pPr>
        <w:pStyle w:val="0"/>
        <w:spacing w:before="200" w:line-rule="auto"/>
        <w:ind w:firstLine="540"/>
        <w:jc w:val="both"/>
      </w:pPr>
      <w:r>
        <w:rPr>
          <w:sz w:val="20"/>
        </w:rPr>
        <w:t xml:space="preserve">По данным информационно-аналитической системы "Регистр пациенток, получивших ЭКО" и Территориального фонда обязательного медицинского страхования автономного округа, за январь - декабрь 2020 года за счет средств обязательного медицинского страхования проведено ЭКО 1 448 циклов (в 2019 году - 1 382 цикла, в 2018 году - 1 405 циклов), на диспансерный учет по беременности поставлены 480 женщин (в 2019 году - 561 женщина, в 2018 году - 458 женщин), зарегистрировано 594 родов (в 2019 году - 547 родов, в 2018 году - 521 роды), родилось 684 ребенка (в 2019 году - 646 детей, в 2018 году - 635 детей).</w:t>
      </w:r>
    </w:p>
    <w:p>
      <w:pPr>
        <w:pStyle w:val="0"/>
        <w:spacing w:before="200" w:line-rule="auto"/>
        <w:ind w:firstLine="540"/>
        <w:jc w:val="both"/>
      </w:pPr>
      <w:r>
        <w:rPr>
          <w:sz w:val="20"/>
        </w:rPr>
        <w:t xml:space="preserve">Развитие профилактического направления в педиатрии:</w:t>
      </w:r>
    </w:p>
    <w:p>
      <w:pPr>
        <w:pStyle w:val="0"/>
        <w:spacing w:before="200" w:line-rule="auto"/>
        <w:ind w:firstLine="540"/>
        <w:jc w:val="both"/>
      </w:pPr>
      <w:r>
        <w:rPr>
          <w:sz w:val="20"/>
        </w:rPr>
        <w:t xml:space="preserve">В 2020 году в целях раннего выявления наследственных заболеваний неонатальным скринингом охвачено 99,3% новорожденных.</w:t>
      </w:r>
    </w:p>
    <w:p>
      <w:pPr>
        <w:pStyle w:val="0"/>
        <w:spacing w:before="200" w:line-rule="auto"/>
        <w:ind w:firstLine="540"/>
        <w:jc w:val="both"/>
      </w:pPr>
      <w:r>
        <w:rPr>
          <w:sz w:val="20"/>
        </w:rPr>
        <w:t xml:space="preserve">По результатам диагностики </w:t>
      </w:r>
      <w:hyperlink w:history="0" w:anchor="P991" w:tooltip="Число детей с наследственными заболеваниями, выявленными">
        <w:r>
          <w:rPr>
            <w:sz w:val="20"/>
            <w:color w:val="0000ff"/>
          </w:rPr>
          <w:t xml:space="preserve">(таблица 15)</w:t>
        </w:r>
      </w:hyperlink>
      <w:r>
        <w:rPr>
          <w:sz w:val="20"/>
        </w:rPr>
        <w:t xml:space="preserve"> у 19 новорожденных выявлены наследственные заболевания (в 2019 году - у 22 новорожденных, в 2018 году - у 20 новорожденных): фенилкетонурия - у 2 новорожденных (в 2019 году - у 8 детей, в 2018 году - у 1 ребенка); врожденный гипотиреоз - у 9 детей (в 2019 году - у 6 детей, в 2018 году - у 9 детей); галактоземия - у 1 ребенка (в 2019 году - у 1 ребенка, в 2018 году - у 1 ребенка); муковисцидоз - у 3 детей (в 2019 году - у 5 детей, в 2018 году - у 2 детей); адреногенитальный синдром - у 4 детей (в 2019 году - у 2 детей, в 2018 году - у 7 новорожденных). Детям назначено специфическое лечение.</w:t>
      </w:r>
    </w:p>
    <w:p>
      <w:pPr>
        <w:pStyle w:val="0"/>
        <w:ind w:firstLine="540"/>
        <w:jc w:val="both"/>
      </w:pPr>
      <w:r>
        <w:rPr>
          <w:sz w:val="20"/>
        </w:rPr>
      </w:r>
    </w:p>
    <w:p>
      <w:pPr>
        <w:pStyle w:val="0"/>
        <w:outlineLvl w:val="3"/>
        <w:jc w:val="right"/>
      </w:pPr>
      <w:r>
        <w:rPr>
          <w:sz w:val="20"/>
        </w:rPr>
        <w:t xml:space="preserve">Таблица 15</w:t>
      </w:r>
    </w:p>
    <w:p>
      <w:pPr>
        <w:pStyle w:val="0"/>
        <w:ind w:firstLine="540"/>
        <w:jc w:val="both"/>
      </w:pPr>
      <w:r>
        <w:rPr>
          <w:sz w:val="20"/>
        </w:rPr>
      </w:r>
    </w:p>
    <w:bookmarkStart w:id="991" w:name="P991"/>
    <w:bookmarkEnd w:id="991"/>
    <w:p>
      <w:pPr>
        <w:pStyle w:val="2"/>
        <w:jc w:val="center"/>
      </w:pPr>
      <w:r>
        <w:rPr>
          <w:sz w:val="20"/>
        </w:rPr>
        <w:t xml:space="preserve">Число детей с наследственными заболеваниями, выявленными</w:t>
      </w:r>
    </w:p>
    <w:p>
      <w:pPr>
        <w:pStyle w:val="2"/>
        <w:jc w:val="center"/>
      </w:pPr>
      <w:r>
        <w:rPr>
          <w:sz w:val="20"/>
        </w:rPr>
        <w:t xml:space="preserve">в ходе проведения неонатального скрининга</w:t>
      </w:r>
    </w:p>
    <w:p>
      <w:pPr>
        <w:pStyle w:val="2"/>
        <w:jc w:val="center"/>
      </w:pPr>
      <w:r>
        <w:rPr>
          <w:sz w:val="20"/>
        </w:rPr>
        <w:t xml:space="preserve">за 2018 - 2020 годы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1275"/>
        <w:gridCol w:w="1418"/>
        <w:gridCol w:w="1559"/>
        <w:gridCol w:w="1417"/>
      </w:tblGrid>
      <w:tr>
        <w:tc>
          <w:tcPr>
            <w:tcW w:w="3288" w:type="dxa"/>
          </w:tcPr>
          <w:p>
            <w:pPr>
              <w:pStyle w:val="0"/>
              <w:jc w:val="center"/>
            </w:pPr>
            <w:r>
              <w:rPr>
                <w:sz w:val="20"/>
              </w:rPr>
              <w:t xml:space="preserve">Наименование заболевания</w:t>
            </w:r>
          </w:p>
        </w:tc>
        <w:tc>
          <w:tcPr>
            <w:tcW w:w="1275" w:type="dxa"/>
          </w:tcPr>
          <w:p>
            <w:pPr>
              <w:pStyle w:val="0"/>
              <w:jc w:val="center"/>
            </w:pPr>
            <w:r>
              <w:rPr>
                <w:sz w:val="20"/>
              </w:rPr>
              <w:t xml:space="preserve">2018 год</w:t>
            </w:r>
          </w:p>
        </w:tc>
        <w:tc>
          <w:tcPr>
            <w:tcW w:w="1418" w:type="dxa"/>
          </w:tcPr>
          <w:p>
            <w:pPr>
              <w:pStyle w:val="0"/>
              <w:jc w:val="center"/>
            </w:pPr>
            <w:r>
              <w:rPr>
                <w:sz w:val="20"/>
              </w:rPr>
              <w:t xml:space="preserve">2019 год</w:t>
            </w:r>
          </w:p>
        </w:tc>
        <w:tc>
          <w:tcPr>
            <w:tcW w:w="1559" w:type="dxa"/>
          </w:tcPr>
          <w:p>
            <w:pPr>
              <w:pStyle w:val="0"/>
              <w:jc w:val="center"/>
            </w:pPr>
            <w:r>
              <w:rPr>
                <w:sz w:val="20"/>
              </w:rPr>
              <w:t xml:space="preserve">2020 год</w:t>
            </w:r>
          </w:p>
        </w:tc>
        <w:tc>
          <w:tcPr>
            <w:tcW w:w="1417" w:type="dxa"/>
          </w:tcPr>
          <w:p>
            <w:pPr>
              <w:pStyle w:val="0"/>
              <w:jc w:val="center"/>
            </w:pPr>
            <w:r>
              <w:rPr>
                <w:sz w:val="20"/>
              </w:rPr>
              <w:t xml:space="preserve">Темп прироста/убыли к 2019 году, случаи</w:t>
            </w:r>
          </w:p>
        </w:tc>
      </w:tr>
      <w:tr>
        <w:tc>
          <w:tcPr>
            <w:tcW w:w="3288" w:type="dxa"/>
          </w:tcPr>
          <w:p>
            <w:pPr>
              <w:pStyle w:val="0"/>
            </w:pPr>
            <w:r>
              <w:rPr>
                <w:sz w:val="20"/>
              </w:rPr>
              <w:t xml:space="preserve">фенилкетонурия</w:t>
            </w:r>
          </w:p>
        </w:tc>
        <w:tc>
          <w:tcPr>
            <w:tcW w:w="1275" w:type="dxa"/>
          </w:tcPr>
          <w:p>
            <w:pPr>
              <w:pStyle w:val="0"/>
            </w:pPr>
            <w:r>
              <w:rPr>
                <w:sz w:val="20"/>
              </w:rPr>
              <w:t xml:space="preserve">1</w:t>
            </w:r>
          </w:p>
        </w:tc>
        <w:tc>
          <w:tcPr>
            <w:tcW w:w="1418" w:type="dxa"/>
          </w:tcPr>
          <w:p>
            <w:pPr>
              <w:pStyle w:val="0"/>
            </w:pPr>
            <w:r>
              <w:rPr>
                <w:sz w:val="20"/>
              </w:rPr>
              <w:t xml:space="preserve">8</w:t>
            </w:r>
          </w:p>
        </w:tc>
        <w:tc>
          <w:tcPr>
            <w:tcW w:w="1559" w:type="dxa"/>
          </w:tcPr>
          <w:p>
            <w:pPr>
              <w:pStyle w:val="0"/>
            </w:pPr>
            <w:r>
              <w:rPr>
                <w:sz w:val="20"/>
              </w:rPr>
              <w:t xml:space="preserve">2</w:t>
            </w:r>
          </w:p>
        </w:tc>
        <w:tc>
          <w:tcPr>
            <w:tcW w:w="1417" w:type="dxa"/>
          </w:tcPr>
          <w:p>
            <w:pPr>
              <w:pStyle w:val="0"/>
            </w:pPr>
            <w:r>
              <w:rPr>
                <w:sz w:val="20"/>
              </w:rPr>
              <w:t xml:space="preserve">- 6</w:t>
            </w:r>
          </w:p>
        </w:tc>
      </w:tr>
      <w:tr>
        <w:tc>
          <w:tcPr>
            <w:tcW w:w="3288" w:type="dxa"/>
          </w:tcPr>
          <w:p>
            <w:pPr>
              <w:pStyle w:val="0"/>
            </w:pPr>
            <w:r>
              <w:rPr>
                <w:sz w:val="20"/>
              </w:rPr>
              <w:t xml:space="preserve">врожденный гипотиреоз</w:t>
            </w:r>
          </w:p>
        </w:tc>
        <w:tc>
          <w:tcPr>
            <w:tcW w:w="1275" w:type="dxa"/>
          </w:tcPr>
          <w:p>
            <w:pPr>
              <w:pStyle w:val="0"/>
            </w:pPr>
            <w:r>
              <w:rPr>
                <w:sz w:val="20"/>
              </w:rPr>
              <w:t xml:space="preserve">9</w:t>
            </w:r>
          </w:p>
        </w:tc>
        <w:tc>
          <w:tcPr>
            <w:tcW w:w="1418" w:type="dxa"/>
          </w:tcPr>
          <w:p>
            <w:pPr>
              <w:pStyle w:val="0"/>
            </w:pPr>
            <w:r>
              <w:rPr>
                <w:sz w:val="20"/>
              </w:rPr>
              <w:t xml:space="preserve">6</w:t>
            </w:r>
          </w:p>
        </w:tc>
        <w:tc>
          <w:tcPr>
            <w:tcW w:w="1559" w:type="dxa"/>
          </w:tcPr>
          <w:p>
            <w:pPr>
              <w:pStyle w:val="0"/>
            </w:pPr>
            <w:r>
              <w:rPr>
                <w:sz w:val="20"/>
              </w:rPr>
              <w:t xml:space="preserve">9</w:t>
            </w:r>
          </w:p>
        </w:tc>
        <w:tc>
          <w:tcPr>
            <w:tcW w:w="1417" w:type="dxa"/>
          </w:tcPr>
          <w:p>
            <w:pPr>
              <w:pStyle w:val="0"/>
            </w:pPr>
            <w:r>
              <w:rPr>
                <w:sz w:val="20"/>
              </w:rPr>
              <w:t xml:space="preserve">+ 3</w:t>
            </w:r>
          </w:p>
        </w:tc>
      </w:tr>
      <w:tr>
        <w:tc>
          <w:tcPr>
            <w:tcW w:w="3288" w:type="dxa"/>
          </w:tcPr>
          <w:p>
            <w:pPr>
              <w:pStyle w:val="0"/>
            </w:pPr>
            <w:r>
              <w:rPr>
                <w:sz w:val="20"/>
              </w:rPr>
              <w:t xml:space="preserve">галактоземия</w:t>
            </w:r>
          </w:p>
        </w:tc>
        <w:tc>
          <w:tcPr>
            <w:tcW w:w="1275" w:type="dxa"/>
          </w:tcPr>
          <w:p>
            <w:pPr>
              <w:pStyle w:val="0"/>
            </w:pPr>
            <w:r>
              <w:rPr>
                <w:sz w:val="20"/>
              </w:rPr>
              <w:t xml:space="preserve">1</w:t>
            </w:r>
          </w:p>
        </w:tc>
        <w:tc>
          <w:tcPr>
            <w:tcW w:w="1418" w:type="dxa"/>
          </w:tcPr>
          <w:p>
            <w:pPr>
              <w:pStyle w:val="0"/>
            </w:pPr>
            <w:r>
              <w:rPr>
                <w:sz w:val="20"/>
              </w:rPr>
              <w:t xml:space="preserve">1</w:t>
            </w:r>
          </w:p>
        </w:tc>
        <w:tc>
          <w:tcPr>
            <w:tcW w:w="1559" w:type="dxa"/>
          </w:tcPr>
          <w:p>
            <w:pPr>
              <w:pStyle w:val="0"/>
            </w:pPr>
            <w:r>
              <w:rPr>
                <w:sz w:val="20"/>
              </w:rPr>
              <w:t xml:space="preserve">1</w:t>
            </w:r>
          </w:p>
        </w:tc>
        <w:tc>
          <w:tcPr>
            <w:tcW w:w="1417" w:type="dxa"/>
          </w:tcPr>
          <w:p>
            <w:pPr>
              <w:pStyle w:val="0"/>
            </w:pPr>
            <w:r>
              <w:rPr>
                <w:sz w:val="20"/>
              </w:rPr>
              <w:t xml:space="preserve">0</w:t>
            </w:r>
          </w:p>
        </w:tc>
      </w:tr>
      <w:tr>
        <w:tc>
          <w:tcPr>
            <w:tcW w:w="3288" w:type="dxa"/>
          </w:tcPr>
          <w:p>
            <w:pPr>
              <w:pStyle w:val="0"/>
            </w:pPr>
            <w:r>
              <w:rPr>
                <w:sz w:val="20"/>
              </w:rPr>
              <w:t xml:space="preserve">муковисцидоз</w:t>
            </w:r>
          </w:p>
        </w:tc>
        <w:tc>
          <w:tcPr>
            <w:tcW w:w="1275" w:type="dxa"/>
          </w:tcPr>
          <w:p>
            <w:pPr>
              <w:pStyle w:val="0"/>
            </w:pPr>
            <w:r>
              <w:rPr>
                <w:sz w:val="20"/>
              </w:rPr>
              <w:t xml:space="preserve">2</w:t>
            </w:r>
          </w:p>
        </w:tc>
        <w:tc>
          <w:tcPr>
            <w:tcW w:w="1418" w:type="dxa"/>
          </w:tcPr>
          <w:p>
            <w:pPr>
              <w:pStyle w:val="0"/>
            </w:pPr>
            <w:r>
              <w:rPr>
                <w:sz w:val="20"/>
              </w:rPr>
              <w:t xml:space="preserve">5</w:t>
            </w:r>
          </w:p>
        </w:tc>
        <w:tc>
          <w:tcPr>
            <w:tcW w:w="1559" w:type="dxa"/>
          </w:tcPr>
          <w:p>
            <w:pPr>
              <w:pStyle w:val="0"/>
            </w:pPr>
            <w:r>
              <w:rPr>
                <w:sz w:val="20"/>
              </w:rPr>
              <w:t xml:space="preserve">3</w:t>
            </w:r>
          </w:p>
        </w:tc>
        <w:tc>
          <w:tcPr>
            <w:tcW w:w="1417" w:type="dxa"/>
          </w:tcPr>
          <w:p>
            <w:pPr>
              <w:pStyle w:val="0"/>
            </w:pPr>
            <w:r>
              <w:rPr>
                <w:sz w:val="20"/>
              </w:rPr>
              <w:t xml:space="preserve">- 2</w:t>
            </w:r>
          </w:p>
        </w:tc>
      </w:tr>
      <w:tr>
        <w:tc>
          <w:tcPr>
            <w:tcW w:w="3288" w:type="dxa"/>
          </w:tcPr>
          <w:p>
            <w:pPr>
              <w:pStyle w:val="0"/>
            </w:pPr>
            <w:r>
              <w:rPr>
                <w:sz w:val="20"/>
              </w:rPr>
              <w:t xml:space="preserve">адреногенитальный синдром</w:t>
            </w:r>
          </w:p>
        </w:tc>
        <w:tc>
          <w:tcPr>
            <w:tcW w:w="1275" w:type="dxa"/>
          </w:tcPr>
          <w:p>
            <w:pPr>
              <w:pStyle w:val="0"/>
            </w:pPr>
            <w:r>
              <w:rPr>
                <w:sz w:val="20"/>
              </w:rPr>
              <w:t xml:space="preserve">7</w:t>
            </w:r>
          </w:p>
        </w:tc>
        <w:tc>
          <w:tcPr>
            <w:tcW w:w="1418" w:type="dxa"/>
          </w:tcPr>
          <w:p>
            <w:pPr>
              <w:pStyle w:val="0"/>
            </w:pPr>
            <w:r>
              <w:rPr>
                <w:sz w:val="20"/>
              </w:rPr>
              <w:t xml:space="preserve">2</w:t>
            </w:r>
          </w:p>
        </w:tc>
        <w:tc>
          <w:tcPr>
            <w:tcW w:w="1559" w:type="dxa"/>
          </w:tcPr>
          <w:p>
            <w:pPr>
              <w:pStyle w:val="0"/>
            </w:pPr>
            <w:r>
              <w:rPr>
                <w:sz w:val="20"/>
              </w:rPr>
              <w:t xml:space="preserve">4</w:t>
            </w:r>
          </w:p>
        </w:tc>
        <w:tc>
          <w:tcPr>
            <w:tcW w:w="1417" w:type="dxa"/>
          </w:tcPr>
          <w:p>
            <w:pPr>
              <w:pStyle w:val="0"/>
            </w:pPr>
            <w:r>
              <w:rPr>
                <w:sz w:val="20"/>
              </w:rPr>
              <w:t xml:space="preserve">+ 2</w:t>
            </w:r>
          </w:p>
        </w:tc>
      </w:tr>
      <w:tr>
        <w:tc>
          <w:tcPr>
            <w:tcW w:w="3288" w:type="dxa"/>
          </w:tcPr>
          <w:p>
            <w:pPr>
              <w:pStyle w:val="0"/>
            </w:pPr>
            <w:r>
              <w:rPr>
                <w:sz w:val="20"/>
              </w:rPr>
              <w:t xml:space="preserve">Всего</w:t>
            </w:r>
          </w:p>
        </w:tc>
        <w:tc>
          <w:tcPr>
            <w:tcW w:w="1275" w:type="dxa"/>
          </w:tcPr>
          <w:p>
            <w:pPr>
              <w:pStyle w:val="0"/>
            </w:pPr>
            <w:r>
              <w:rPr>
                <w:sz w:val="20"/>
              </w:rPr>
              <w:t xml:space="preserve">20</w:t>
            </w:r>
          </w:p>
        </w:tc>
        <w:tc>
          <w:tcPr>
            <w:tcW w:w="1418" w:type="dxa"/>
          </w:tcPr>
          <w:p>
            <w:pPr>
              <w:pStyle w:val="0"/>
            </w:pPr>
            <w:r>
              <w:rPr>
                <w:sz w:val="20"/>
              </w:rPr>
              <w:t xml:space="preserve">22</w:t>
            </w:r>
          </w:p>
        </w:tc>
        <w:tc>
          <w:tcPr>
            <w:tcW w:w="1559" w:type="dxa"/>
          </w:tcPr>
          <w:p>
            <w:pPr>
              <w:pStyle w:val="0"/>
            </w:pPr>
            <w:r>
              <w:rPr>
                <w:sz w:val="20"/>
              </w:rPr>
              <w:t xml:space="preserve">19</w:t>
            </w:r>
          </w:p>
        </w:tc>
        <w:tc>
          <w:tcPr>
            <w:tcW w:w="1417" w:type="dxa"/>
          </w:tcPr>
          <w:p>
            <w:pPr>
              <w:pStyle w:val="0"/>
            </w:pPr>
            <w:r>
              <w:rPr>
                <w:sz w:val="20"/>
              </w:rPr>
              <w:t xml:space="preserve">- 3</w:t>
            </w:r>
          </w:p>
        </w:tc>
      </w:tr>
    </w:tbl>
    <w:p>
      <w:pPr>
        <w:pStyle w:val="0"/>
        <w:ind w:firstLine="540"/>
        <w:jc w:val="both"/>
      </w:pPr>
      <w:r>
        <w:rPr>
          <w:sz w:val="20"/>
        </w:rPr>
      </w:r>
    </w:p>
    <w:p>
      <w:pPr>
        <w:pStyle w:val="0"/>
        <w:ind w:firstLine="540"/>
        <w:jc w:val="both"/>
      </w:pPr>
      <w:r>
        <w:rPr>
          <w:sz w:val="20"/>
        </w:rPr>
        <w:t xml:space="preserve">Для исключения патологии слуха в 2020 году обследованы 20 198 новорожденных (99,8%) (в 2019 году обследованы 20 458, в 2018 году - 22 562 детей), после проведения второго этапа диагностики выявлены 6 детей </w:t>
      </w:r>
      <w:hyperlink w:history="0" w:anchor="P859" w:tooltip="Динамика уровня первичной инвалидности в автономном округе">
        <w:r>
          <w:rPr>
            <w:sz w:val="20"/>
            <w:color w:val="0000ff"/>
          </w:rPr>
          <w:t xml:space="preserve">(таблица 12)</w:t>
        </w:r>
      </w:hyperlink>
      <w:r>
        <w:rPr>
          <w:sz w:val="20"/>
        </w:rPr>
        <w:t xml:space="preserve"> с нарушением слуха (в 2019 году - 93 ребенка, в 2018 году - 40 детей), все дети взяты под динамическое наблюдение специалистами-сурдологами клинико-диагностического Центра сурдологии и слухопротезирования (далее - Центр), созданного на базе БУ "Сургутская окружная клиническая больница". В Центре оказывается первичная медико-санитарная и специализированная помощь пациентам с нарушением слуха по профилю "сурдология-оториноларингология".</w:t>
      </w:r>
    </w:p>
    <w:p>
      <w:pPr>
        <w:pStyle w:val="0"/>
        <w:ind w:firstLine="540"/>
        <w:jc w:val="both"/>
      </w:pPr>
      <w:r>
        <w:rPr>
          <w:sz w:val="20"/>
        </w:rPr>
      </w:r>
    </w:p>
    <w:p>
      <w:pPr>
        <w:pStyle w:val="0"/>
        <w:outlineLvl w:val="3"/>
        <w:jc w:val="right"/>
      </w:pPr>
      <w:r>
        <w:rPr>
          <w:sz w:val="20"/>
        </w:rPr>
        <w:t xml:space="preserve">Таблица 16</w:t>
      </w:r>
    </w:p>
    <w:p>
      <w:pPr>
        <w:pStyle w:val="0"/>
        <w:jc w:val="right"/>
      </w:pPr>
      <w:r>
        <w:rPr>
          <w:sz w:val="20"/>
        </w:rPr>
      </w:r>
    </w:p>
    <w:p>
      <w:pPr>
        <w:pStyle w:val="2"/>
        <w:jc w:val="center"/>
      </w:pPr>
      <w:r>
        <w:rPr>
          <w:sz w:val="20"/>
        </w:rPr>
        <w:t xml:space="preserve">Число детей с выявленным нарушением слуха по итогам</w:t>
      </w:r>
    </w:p>
    <w:p>
      <w:pPr>
        <w:pStyle w:val="2"/>
        <w:jc w:val="center"/>
      </w:pPr>
      <w:r>
        <w:rPr>
          <w:sz w:val="20"/>
        </w:rPr>
        <w:t xml:space="preserve">аудиологического скрининга, после проведения второго этапа</w:t>
      </w:r>
    </w:p>
    <w:p>
      <w:pPr>
        <w:pStyle w:val="2"/>
        <w:jc w:val="center"/>
      </w:pPr>
      <w:r>
        <w:rPr>
          <w:sz w:val="20"/>
        </w:rPr>
        <w:t xml:space="preserve">диагностики за 2018 - 2020 годы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65"/>
        <w:gridCol w:w="861"/>
        <w:gridCol w:w="851"/>
        <w:gridCol w:w="992"/>
        <w:gridCol w:w="1814"/>
      </w:tblGrid>
      <w:tr>
        <w:tc>
          <w:tcPr>
            <w:tcW w:w="4365" w:type="dxa"/>
          </w:tcPr>
          <w:p>
            <w:pPr>
              <w:pStyle w:val="0"/>
              <w:jc w:val="center"/>
            </w:pPr>
            <w:r>
              <w:rPr>
                <w:sz w:val="20"/>
              </w:rPr>
              <w:t xml:space="preserve">Показатель</w:t>
            </w:r>
          </w:p>
        </w:tc>
        <w:tc>
          <w:tcPr>
            <w:tcW w:w="861" w:type="dxa"/>
          </w:tcPr>
          <w:p>
            <w:pPr>
              <w:pStyle w:val="0"/>
              <w:jc w:val="center"/>
            </w:pPr>
            <w:r>
              <w:rPr>
                <w:sz w:val="20"/>
              </w:rPr>
              <w:t xml:space="preserve">2018 год</w:t>
            </w:r>
          </w:p>
        </w:tc>
        <w:tc>
          <w:tcPr>
            <w:tcW w:w="851" w:type="dxa"/>
          </w:tcPr>
          <w:p>
            <w:pPr>
              <w:pStyle w:val="0"/>
              <w:jc w:val="center"/>
            </w:pPr>
            <w:r>
              <w:rPr>
                <w:sz w:val="20"/>
              </w:rPr>
              <w:t xml:space="preserve">2019 год</w:t>
            </w:r>
          </w:p>
        </w:tc>
        <w:tc>
          <w:tcPr>
            <w:tcW w:w="992" w:type="dxa"/>
          </w:tcPr>
          <w:p>
            <w:pPr>
              <w:pStyle w:val="0"/>
              <w:jc w:val="center"/>
            </w:pPr>
            <w:r>
              <w:rPr>
                <w:sz w:val="20"/>
              </w:rPr>
              <w:t xml:space="preserve">2020 год</w:t>
            </w:r>
          </w:p>
        </w:tc>
        <w:tc>
          <w:tcPr>
            <w:tcW w:w="1814" w:type="dxa"/>
          </w:tcPr>
          <w:p>
            <w:pPr>
              <w:pStyle w:val="0"/>
              <w:jc w:val="center"/>
            </w:pPr>
            <w:r>
              <w:rPr>
                <w:sz w:val="20"/>
              </w:rPr>
              <w:t xml:space="preserve">Темп прироста/ убыли к 2019 году, случаи</w:t>
            </w:r>
          </w:p>
        </w:tc>
      </w:tr>
      <w:tr>
        <w:tc>
          <w:tcPr>
            <w:tcW w:w="4365" w:type="dxa"/>
          </w:tcPr>
          <w:p>
            <w:pPr>
              <w:pStyle w:val="0"/>
            </w:pPr>
            <w:r>
              <w:rPr>
                <w:sz w:val="20"/>
              </w:rPr>
              <w:t xml:space="preserve">Число детей с выявленным нарушением слуха по итогам аудиологического скрининга, после проведения второго этапа диагностики</w:t>
            </w:r>
          </w:p>
        </w:tc>
        <w:tc>
          <w:tcPr>
            <w:tcW w:w="861" w:type="dxa"/>
          </w:tcPr>
          <w:p>
            <w:pPr>
              <w:pStyle w:val="0"/>
            </w:pPr>
            <w:r>
              <w:rPr>
                <w:sz w:val="20"/>
              </w:rPr>
              <w:t xml:space="preserve">40</w:t>
            </w:r>
          </w:p>
        </w:tc>
        <w:tc>
          <w:tcPr>
            <w:tcW w:w="851" w:type="dxa"/>
          </w:tcPr>
          <w:p>
            <w:pPr>
              <w:pStyle w:val="0"/>
            </w:pPr>
            <w:r>
              <w:rPr>
                <w:sz w:val="20"/>
              </w:rPr>
              <w:t xml:space="preserve">93</w:t>
            </w:r>
          </w:p>
        </w:tc>
        <w:tc>
          <w:tcPr>
            <w:tcW w:w="992" w:type="dxa"/>
          </w:tcPr>
          <w:p>
            <w:pPr>
              <w:pStyle w:val="0"/>
            </w:pPr>
            <w:r>
              <w:rPr>
                <w:sz w:val="20"/>
              </w:rPr>
              <w:t xml:space="preserve">37</w:t>
            </w:r>
          </w:p>
        </w:tc>
        <w:tc>
          <w:tcPr>
            <w:tcW w:w="1814" w:type="dxa"/>
          </w:tcPr>
          <w:p>
            <w:pPr>
              <w:pStyle w:val="0"/>
            </w:pPr>
            <w:r>
              <w:rPr>
                <w:sz w:val="20"/>
              </w:rPr>
              <w:t xml:space="preserve">- 60,2</w:t>
            </w:r>
          </w:p>
        </w:tc>
      </w:tr>
    </w:tbl>
    <w:p>
      <w:pPr>
        <w:pStyle w:val="0"/>
        <w:ind w:firstLine="540"/>
        <w:jc w:val="both"/>
      </w:pPr>
      <w:r>
        <w:rPr>
          <w:sz w:val="20"/>
        </w:rPr>
      </w:r>
    </w:p>
    <w:p>
      <w:pPr>
        <w:pStyle w:val="0"/>
        <w:ind w:firstLine="540"/>
        <w:jc w:val="both"/>
      </w:pPr>
      <w:r>
        <w:rPr>
          <w:sz w:val="20"/>
        </w:rPr>
        <w:t xml:space="preserve">Всего на диспансерном учете в Центре состоят 196 детей после перенесенной операции кохлеарной имплантации (в 2019 году - 187 детей, в 2018 году - 180 детей). В 2020 году в Центре 14 детям с двухсторонней нейросенсорной тугоухостью проведены операции по кохлеарной имплантации.</w:t>
      </w:r>
    </w:p>
    <w:p>
      <w:pPr>
        <w:pStyle w:val="0"/>
        <w:spacing w:before="200" w:line-rule="auto"/>
        <w:ind w:firstLine="540"/>
        <w:jc w:val="both"/>
      </w:pPr>
      <w:r>
        <w:rPr>
          <w:sz w:val="20"/>
        </w:rPr>
        <w:t xml:space="preserve">Профилактические осмотры несовершеннолетних организованы в соответствии с </w:t>
      </w:r>
      <w:hyperlink w:history="0" r:id="rId79" w:tooltip="Приказ Минздрава России от 10.08.2017 N 514н (ред. от 19.11.2020) &quot;О Порядке проведения профилактических медицинских осмотров несовершеннолетних&quot; (вместе с &quot;Порядком заполнения учетной формы N 030-ПО/у-17 &quot;Карта профилактического медицинского осмотра несовершеннолетнего&quot;, &quot;Порядком заполнения и сроки представления формы статистической отчетности N 030-ПО/о-17 &quot;Сведения о профилактических медицинских осмотрах несовершеннолетних&quot;) (Зарегистрировано в Минюсте России 18.08.2017 N 47855) {КонсультантПлюс}">
        <w:r>
          <w:rPr>
            <w:sz w:val="20"/>
            <w:color w:val="0000ff"/>
          </w:rPr>
          <w:t xml:space="preserve">приказом</w:t>
        </w:r>
      </w:hyperlink>
      <w:r>
        <w:rPr>
          <w:sz w:val="20"/>
        </w:rPr>
        <w:t xml:space="preserve"> Минздрава России от 10 августа 2017 года N 514н "О Порядке проведения профилактических медицинских осмотров несовершеннолетних".</w:t>
      </w:r>
    </w:p>
    <w:p>
      <w:pPr>
        <w:pStyle w:val="0"/>
        <w:spacing w:before="200" w:line-rule="auto"/>
        <w:ind w:firstLine="540"/>
        <w:jc w:val="both"/>
      </w:pPr>
      <w:r>
        <w:rPr>
          <w:sz w:val="20"/>
        </w:rPr>
        <w:t xml:space="preserve">В соответствии с данными медицинских организаций автономного округа численность детей, подлежащих медицинским осмотрам, прошедших в 2020 году профилактический медицинский осмотр - 384 655 человек (в 2019 году - 399 286, в 2018 году - 317 388 детей), I этап прошли 249 649 человек (в 2019 году - 391 028 человек, в 2018 году - 314 282), направлено на II этап - 42 247 несовершеннолетних (17,0% от общей численности осмотренных) (в 2019 году - 77 029 несовершеннолетних, в 2018 году - 61 514 несовершеннолетних); завершили II этап - 35 644 детей (84,4% от направленных) (в 2019 году - 63 702 ребенка, в 2018 году - 49 582 ребенка).</w:t>
      </w:r>
    </w:p>
    <w:p>
      <w:pPr>
        <w:pStyle w:val="0"/>
        <w:spacing w:before="200" w:line-rule="auto"/>
        <w:ind w:firstLine="540"/>
        <w:jc w:val="both"/>
      </w:pPr>
      <w:r>
        <w:rPr>
          <w:sz w:val="20"/>
        </w:rPr>
        <w:t xml:space="preserve">В ходе медицинских профилактических осмотров 2020 года соотношение по группам здоровья от всех осмотренных распределено следующим образом:</w:t>
      </w:r>
    </w:p>
    <w:p>
      <w:pPr>
        <w:pStyle w:val="0"/>
        <w:spacing w:before="200" w:line-rule="auto"/>
        <w:ind w:firstLine="540"/>
        <w:jc w:val="both"/>
      </w:pPr>
      <w:r>
        <w:rPr>
          <w:sz w:val="20"/>
        </w:rPr>
        <w:t xml:space="preserve">I группа здоровья - 32,6%;</w:t>
      </w:r>
    </w:p>
    <w:p>
      <w:pPr>
        <w:pStyle w:val="0"/>
        <w:spacing w:before="200" w:line-rule="auto"/>
        <w:ind w:firstLine="540"/>
        <w:jc w:val="both"/>
      </w:pPr>
      <w:r>
        <w:rPr>
          <w:sz w:val="20"/>
        </w:rPr>
        <w:t xml:space="preserve">II группа здоровья - 59,5%;</w:t>
      </w:r>
    </w:p>
    <w:p>
      <w:pPr>
        <w:pStyle w:val="0"/>
        <w:spacing w:before="200" w:line-rule="auto"/>
        <w:ind w:firstLine="540"/>
        <w:jc w:val="both"/>
      </w:pPr>
      <w:r>
        <w:rPr>
          <w:sz w:val="20"/>
        </w:rPr>
        <w:t xml:space="preserve">III группа здоровья - 6,9%;</w:t>
      </w:r>
    </w:p>
    <w:p>
      <w:pPr>
        <w:pStyle w:val="0"/>
        <w:spacing w:before="200" w:line-rule="auto"/>
        <w:ind w:firstLine="540"/>
        <w:jc w:val="both"/>
      </w:pPr>
      <w:r>
        <w:rPr>
          <w:sz w:val="20"/>
        </w:rPr>
        <w:t xml:space="preserve">IV и V группы здоровья - 1,0%.</w:t>
      </w:r>
    </w:p>
    <w:p>
      <w:pPr>
        <w:pStyle w:val="0"/>
        <w:spacing w:before="200" w:line-rule="auto"/>
        <w:ind w:firstLine="540"/>
        <w:jc w:val="both"/>
      </w:pPr>
      <w:r>
        <w:rPr>
          <w:sz w:val="20"/>
        </w:rPr>
        <w:t xml:space="preserve">В 2020 году в части профилактического направления в педиатрии достигнуты следующие показатели:</w:t>
      </w:r>
    </w:p>
    <w:p>
      <w:pPr>
        <w:pStyle w:val="0"/>
        <w:spacing w:before="200" w:line-rule="auto"/>
        <w:ind w:firstLine="540"/>
        <w:jc w:val="both"/>
      </w:pPr>
      <w:r>
        <w:rPr>
          <w:sz w:val="20"/>
        </w:rPr>
        <w:t xml:space="preserve">доля посещений детьми медицинских организаций с профилактическими целями составила 54,4%, целевой показатель на 2020 год 51,3%;</w:t>
      </w:r>
    </w:p>
    <w:p>
      <w:pPr>
        <w:pStyle w:val="0"/>
        <w:spacing w:before="200" w:line-rule="auto"/>
        <w:ind w:firstLine="540"/>
        <w:jc w:val="both"/>
      </w:pPr>
      <w:r>
        <w:rPr>
          <w:sz w:val="20"/>
        </w:rPr>
        <w:t xml:space="preserve">доля взятых под диспансерное наблюдение детей в возрасте 0 - 17 лет с впервые в жизни установленным диагнозом "болезни костно-мышечной системы и соединительной ткани" составила 51,7%, целевой показатель на 2020 год - 50%;</w:t>
      </w:r>
    </w:p>
    <w:p>
      <w:pPr>
        <w:pStyle w:val="0"/>
        <w:spacing w:before="200" w:line-rule="auto"/>
        <w:ind w:firstLine="540"/>
        <w:jc w:val="both"/>
      </w:pPr>
      <w:r>
        <w:rPr>
          <w:sz w:val="20"/>
        </w:rPr>
        <w:t xml:space="preserve">доля взятых под диспансерное наблюдение детей в возрасте 0 - 17 лет с впервые в жизни установленным диагнозом "болезни глаза и его придаточного аппарата" составила 44,1%, целевой показатель на 2020 год - 40%;</w:t>
      </w:r>
    </w:p>
    <w:p>
      <w:pPr>
        <w:pStyle w:val="0"/>
        <w:spacing w:before="200" w:line-rule="auto"/>
        <w:ind w:firstLine="540"/>
        <w:jc w:val="both"/>
      </w:pPr>
      <w:r>
        <w:rPr>
          <w:sz w:val="20"/>
        </w:rPr>
        <w:t xml:space="preserve">доля взятых под диспансерное наблюдение детей в возрасте 0 - 17 лет с впервые в жизни установленным диагнозом "болезни органов пищеварения" составила 50,3%, целевой показатель на 2020 год - 50%;</w:t>
      </w:r>
    </w:p>
    <w:p>
      <w:pPr>
        <w:pStyle w:val="0"/>
        <w:spacing w:before="200" w:line-rule="auto"/>
        <w:ind w:firstLine="540"/>
        <w:jc w:val="both"/>
      </w:pPr>
      <w:r>
        <w:rPr>
          <w:sz w:val="20"/>
        </w:rPr>
        <w:t xml:space="preserve">доля взятых под диспансерное наблюдение детей в возрасте 0 - 17 лет с впервые в жизни установленным диагнозом "болезни системы кровообращения" составила 55,3%, целевой показатель на 2020 год - 50%;</w:t>
      </w:r>
    </w:p>
    <w:p>
      <w:pPr>
        <w:pStyle w:val="0"/>
        <w:spacing w:before="200" w:line-rule="auto"/>
        <w:ind w:firstLine="540"/>
        <w:jc w:val="both"/>
      </w:pPr>
      <w:r>
        <w:rPr>
          <w:sz w:val="20"/>
        </w:rPr>
        <w:t xml:space="preserve">доля взятых под диспансерное наблюдение детей в возрасте 0 - 17 лет с впервые в жизни установленным диагнозом "болезни эндокринной системы, расстройств питания и нарушения обмена веществ" составила 53,4%, целевой показатель на 2020 год - 50%.</w:t>
      </w:r>
    </w:p>
    <w:p>
      <w:pPr>
        <w:pStyle w:val="0"/>
        <w:ind w:firstLine="540"/>
        <w:jc w:val="both"/>
      </w:pPr>
      <w:r>
        <w:rPr>
          <w:sz w:val="20"/>
        </w:rPr>
      </w:r>
    </w:p>
    <w:p>
      <w:pPr>
        <w:pStyle w:val="2"/>
        <w:outlineLvl w:val="2"/>
        <w:jc w:val="center"/>
      </w:pPr>
      <w:r>
        <w:rPr>
          <w:sz w:val="20"/>
        </w:rPr>
        <w:t xml:space="preserve">Перспективы развития службы помощи матерям и детям</w:t>
      </w:r>
    </w:p>
    <w:p>
      <w:pPr>
        <w:pStyle w:val="0"/>
        <w:ind w:firstLine="540"/>
        <w:jc w:val="both"/>
      </w:pPr>
      <w:r>
        <w:rPr>
          <w:sz w:val="20"/>
        </w:rPr>
      </w:r>
    </w:p>
    <w:p>
      <w:pPr>
        <w:pStyle w:val="0"/>
        <w:ind w:firstLine="540"/>
        <w:jc w:val="both"/>
      </w:pPr>
      <w:r>
        <w:rPr>
          <w:sz w:val="20"/>
        </w:rPr>
        <w:t xml:space="preserve">Реализация мероприятий Региональной программы обеспечит повышение качества и доступности первичной медико-санитарной помощи детям, в том числе профилактической, направленной на предупреждение заболеваний, инвалидности, развитие медико-социальной помощи.</w:t>
      </w:r>
    </w:p>
    <w:p>
      <w:pPr>
        <w:pStyle w:val="0"/>
        <w:spacing w:before="200" w:line-rule="auto"/>
        <w:ind w:firstLine="540"/>
        <w:jc w:val="both"/>
      </w:pPr>
      <w:r>
        <w:rPr>
          <w:sz w:val="20"/>
        </w:rPr>
        <w:t xml:space="preserve">Перед службой охраны здоровья детей стоит задача по повышению доступности специализированной, в том числе высокотехнологичной медицинской помощи, квалифицированной дистанционной и выездной помощи детям. Создание консультативно-диагностических отделений и центров на базе медицинских организаций II - III группы, что обеспечит регионализацию педиатрической службы в соответствии с принципом зонирования оказания медицинской помощи за счет формирования 3 центров специализированной помощи.</w:t>
      </w:r>
    </w:p>
    <w:p>
      <w:pPr>
        <w:pStyle w:val="0"/>
        <w:spacing w:before="200" w:line-rule="auto"/>
        <w:ind w:firstLine="540"/>
        <w:jc w:val="both"/>
      </w:pPr>
      <w:r>
        <w:rPr>
          <w:sz w:val="20"/>
        </w:rPr>
        <w:t xml:space="preserve">Сургутский окружной клинический центр охраны материнства и детства осуществляет регулирующую, консультативно-диагностическую, методологическую, научную функцию в области родовспоможения и раннего детства, позволит привести к единым подходам в обследовании и лечении в автономном округе.</w:t>
      </w:r>
    </w:p>
    <w:p>
      <w:pPr>
        <w:pStyle w:val="0"/>
        <w:spacing w:before="200" w:line-rule="auto"/>
        <w:ind w:firstLine="540"/>
        <w:jc w:val="both"/>
      </w:pPr>
      <w:r>
        <w:rPr>
          <w:sz w:val="20"/>
        </w:rPr>
        <w:t xml:space="preserve">В течение 2022 - 2024 годов будет осуществляться комплексная оценка деятельности службы охраны материнства и детства автономного округа на основе мониторинга показателей основных значимых результатов Региональной программы:</w:t>
      </w:r>
    </w:p>
    <w:p>
      <w:pPr>
        <w:pStyle w:val="0"/>
        <w:spacing w:before="200" w:line-rule="auto"/>
        <w:ind w:firstLine="540"/>
        <w:jc w:val="both"/>
      </w:pPr>
      <w:r>
        <w:rPr>
          <w:sz w:val="20"/>
        </w:rPr>
        <w:t xml:space="preserve">укомплектованность медицинских организаций, оказывающих медицинскую помощь детям (доля занятых физическими лицами должностей от общего количества должностей в медицинских организациях, оказывающих медицинскую помощь в амбулаторных условиях), нарастающим итогом врачами-педиатрами - запланировано достижение не менее 95% к 2024 году.</w:t>
      </w:r>
    </w:p>
    <w:p>
      <w:pPr>
        <w:pStyle w:val="0"/>
        <w:spacing w:before="200" w:line-rule="auto"/>
        <w:ind w:firstLine="540"/>
        <w:jc w:val="both"/>
      </w:pPr>
      <w:r>
        <w:rPr>
          <w:sz w:val="20"/>
        </w:rPr>
        <w:t xml:space="preserve">количество (доля) детских поликлиник и детских поликлинических отделений с созданной современной инфраструктурой оказания медицинской помощи детям - запланировано достижение не менее 95% к 2024 году.</w:t>
      </w:r>
    </w:p>
    <w:p>
      <w:pPr>
        <w:pStyle w:val="0"/>
        <w:spacing w:before="200" w:line-rule="auto"/>
        <w:ind w:firstLine="540"/>
        <w:jc w:val="both"/>
      </w:pPr>
      <w:r>
        <w:rPr>
          <w:sz w:val="20"/>
        </w:rPr>
        <w:t xml:space="preserve">число выполненных детьми посещений детских поликлиник и поликлинических подразделений, в которых созданы комфортные условия пребывания детей и которые дооснащены медицинским оборудованием, от общего числа посещений детьми детских поликлиник и поликлинических подразделений запланировано достижение не менее 95% к 2024 году.</w:t>
      </w:r>
    </w:p>
    <w:p>
      <w:pPr>
        <w:pStyle w:val="0"/>
        <w:ind w:firstLine="540"/>
        <w:jc w:val="both"/>
      </w:pPr>
      <w:r>
        <w:rPr>
          <w:sz w:val="20"/>
        </w:rPr>
      </w:r>
    </w:p>
    <w:p>
      <w:pPr>
        <w:pStyle w:val="2"/>
        <w:outlineLvl w:val="2"/>
        <w:jc w:val="center"/>
      </w:pPr>
      <w:r>
        <w:rPr>
          <w:sz w:val="20"/>
        </w:rPr>
        <w:t xml:space="preserve">Характеристика ожидаемых результатов проекта</w:t>
      </w:r>
    </w:p>
    <w:p>
      <w:pPr>
        <w:pStyle w:val="0"/>
        <w:ind w:firstLine="540"/>
        <w:jc w:val="both"/>
      </w:pPr>
      <w:r>
        <w:rPr>
          <w:sz w:val="20"/>
        </w:rPr>
      </w:r>
    </w:p>
    <w:p>
      <w:pPr>
        <w:pStyle w:val="0"/>
        <w:ind w:firstLine="540"/>
        <w:jc w:val="both"/>
      </w:pPr>
      <w:r>
        <w:rPr>
          <w:sz w:val="20"/>
        </w:rPr>
        <w:t xml:space="preserve">В автономном округе к 2024 году планируется достигнуть показателя младенческой смертности 3,7 на 1000 родившихся живыми за счет:</w:t>
      </w:r>
    </w:p>
    <w:p>
      <w:pPr>
        <w:pStyle w:val="0"/>
        <w:spacing w:before="200" w:line-rule="auto"/>
        <w:ind w:firstLine="540"/>
        <w:jc w:val="both"/>
      </w:pPr>
      <w:r>
        <w:rPr>
          <w:sz w:val="20"/>
        </w:rPr>
        <w:t xml:space="preserve">проведения преждевременных родов в перинатальных центрах не ниже 87,9%;</w:t>
      </w:r>
    </w:p>
    <w:p>
      <w:pPr>
        <w:pStyle w:val="0"/>
        <w:spacing w:before="200" w:line-rule="auto"/>
        <w:ind w:firstLine="540"/>
        <w:jc w:val="both"/>
      </w:pPr>
      <w:r>
        <w:rPr>
          <w:sz w:val="20"/>
        </w:rPr>
        <w:t xml:space="preserve">внедрения маршрутизации беременных с высоким риском по перинатальной патологии в перинатальные центры;</w:t>
      </w:r>
    </w:p>
    <w:p>
      <w:pPr>
        <w:pStyle w:val="0"/>
        <w:spacing w:before="200" w:line-rule="auto"/>
        <w:ind w:firstLine="540"/>
        <w:jc w:val="both"/>
      </w:pPr>
      <w:r>
        <w:rPr>
          <w:sz w:val="20"/>
        </w:rPr>
        <w:t xml:space="preserve">охвата пренатальным скринингом беременных и неонатальным скринингом новорожденных.</w:t>
      </w:r>
    </w:p>
    <w:p>
      <w:pPr>
        <w:pStyle w:val="0"/>
        <w:spacing w:before="200" w:line-rule="auto"/>
        <w:ind w:firstLine="540"/>
        <w:jc w:val="both"/>
      </w:pPr>
      <w:r>
        <w:rPr>
          <w:sz w:val="20"/>
        </w:rPr>
        <w:t xml:space="preserve">Снижение показателей детской смертности до целевого уровня к 2024 году будет осуществлено за счет:</w:t>
      </w:r>
    </w:p>
    <w:p>
      <w:pPr>
        <w:pStyle w:val="0"/>
        <w:spacing w:before="200" w:line-rule="auto"/>
        <w:ind w:firstLine="540"/>
        <w:jc w:val="both"/>
      </w:pPr>
      <w:r>
        <w:rPr>
          <w:sz w:val="20"/>
        </w:rPr>
        <w:t xml:space="preserve">обеспечения профилактической направленности амбулаторной помощи детям;</w:t>
      </w:r>
    </w:p>
    <w:p>
      <w:pPr>
        <w:pStyle w:val="0"/>
        <w:spacing w:before="200" w:line-rule="auto"/>
        <w:ind w:firstLine="540"/>
        <w:jc w:val="both"/>
      </w:pPr>
      <w:r>
        <w:rPr>
          <w:sz w:val="20"/>
        </w:rPr>
        <w:t xml:space="preserve">организации специализированной медицинской помощи детям в стационарных условиях;</w:t>
      </w:r>
    </w:p>
    <w:p>
      <w:pPr>
        <w:pStyle w:val="0"/>
        <w:spacing w:before="200" w:line-rule="auto"/>
        <w:ind w:firstLine="540"/>
        <w:jc w:val="both"/>
      </w:pPr>
      <w:r>
        <w:rPr>
          <w:sz w:val="20"/>
        </w:rPr>
        <w:t xml:space="preserve">формирования трехуровневой мультицентровой системы педиатрической помощи.</w:t>
      </w:r>
    </w:p>
    <w:p>
      <w:pPr>
        <w:pStyle w:val="0"/>
        <w:spacing w:before="200" w:line-rule="auto"/>
        <w:ind w:firstLine="540"/>
        <w:jc w:val="both"/>
      </w:pPr>
      <w:r>
        <w:rPr>
          <w:sz w:val="20"/>
        </w:rPr>
        <w:t xml:space="preserve">Достижение целевых показателей взятия на диспансерный учет детей с впервые выявленной патологией будет возможно при условии формирования сети медицинских организаций, соответствующих требованиям </w:t>
      </w:r>
      <w:hyperlink w:history="0" r:id="rId80"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7 марта 2018 года N 92н "Об утверждении Положения об организации оказания первичной медико-санитарной помощи детям" в части систематической модернизации оснащения медицинскими изделиями, поддержания организационно-планировочных решений внутренних пространств детских поликлиник.</w:t>
      </w:r>
    </w:p>
    <w:p>
      <w:pPr>
        <w:pStyle w:val="0"/>
        <w:ind w:firstLine="540"/>
        <w:jc w:val="both"/>
      </w:pPr>
      <w:r>
        <w:rPr>
          <w:sz w:val="20"/>
        </w:rPr>
      </w:r>
    </w:p>
    <w:p>
      <w:pPr>
        <w:pStyle w:val="2"/>
        <w:outlineLvl w:val="1"/>
        <w:jc w:val="center"/>
      </w:pPr>
      <w:r>
        <w:rPr>
          <w:sz w:val="20"/>
        </w:rPr>
        <w:t xml:space="preserve">Раздел 6. СРОКИ И ЭТАПЫ РЕАЛИЗАЦИИ</w:t>
      </w:r>
    </w:p>
    <w:p>
      <w:pPr>
        <w:pStyle w:val="0"/>
        <w:ind w:firstLine="540"/>
        <w:jc w:val="both"/>
      </w:pPr>
      <w:r>
        <w:rPr>
          <w:sz w:val="20"/>
        </w:rPr>
      </w:r>
    </w:p>
    <w:p>
      <w:pPr>
        <w:pStyle w:val="0"/>
        <w:ind w:firstLine="540"/>
        <w:jc w:val="both"/>
      </w:pPr>
      <w:r>
        <w:rPr>
          <w:sz w:val="20"/>
        </w:rPr>
        <w:t xml:space="preserve">Региональная программа реализуется в 2022 - 2024 годах, разбивается на 3 этапа:</w:t>
      </w:r>
    </w:p>
    <w:p>
      <w:pPr>
        <w:pStyle w:val="0"/>
        <w:spacing w:before="200" w:line-rule="auto"/>
        <w:ind w:firstLine="540"/>
        <w:jc w:val="both"/>
      </w:pPr>
      <w:r>
        <w:rPr>
          <w:sz w:val="20"/>
        </w:rPr>
        <w:t xml:space="preserve">1 этап - 2022 год,</w:t>
      </w:r>
    </w:p>
    <w:p>
      <w:pPr>
        <w:pStyle w:val="0"/>
        <w:spacing w:before="200" w:line-rule="auto"/>
        <w:ind w:firstLine="540"/>
        <w:jc w:val="both"/>
      </w:pPr>
      <w:r>
        <w:rPr>
          <w:sz w:val="20"/>
        </w:rPr>
        <w:t xml:space="preserve">2 этап - 2023 год,</w:t>
      </w:r>
    </w:p>
    <w:p>
      <w:pPr>
        <w:pStyle w:val="0"/>
        <w:spacing w:before="200" w:line-rule="auto"/>
        <w:ind w:firstLine="540"/>
        <w:jc w:val="both"/>
      </w:pPr>
      <w:r>
        <w:rPr>
          <w:sz w:val="20"/>
        </w:rPr>
        <w:t xml:space="preserve">3 этап - 2024 год.</w:t>
      </w:r>
    </w:p>
    <w:p>
      <w:pPr>
        <w:pStyle w:val="0"/>
        <w:ind w:firstLine="540"/>
        <w:jc w:val="both"/>
      </w:pPr>
      <w:r>
        <w:rPr>
          <w:sz w:val="20"/>
        </w:rPr>
      </w:r>
    </w:p>
    <w:p>
      <w:pPr>
        <w:pStyle w:val="2"/>
        <w:outlineLvl w:val="1"/>
        <w:jc w:val="center"/>
      </w:pPr>
      <w:r>
        <w:rPr>
          <w:sz w:val="20"/>
        </w:rPr>
        <w:t xml:space="preserve">Раздел 7. ПРОГРАММНЫЕ МЕРОПРИЯТИЯ</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5613"/>
        <w:gridCol w:w="2041"/>
        <w:gridCol w:w="3061"/>
      </w:tblGrid>
      <w:tr>
        <w:tc>
          <w:tcPr>
            <w:tcW w:w="604" w:type="dxa"/>
          </w:tcPr>
          <w:p>
            <w:pPr>
              <w:pStyle w:val="0"/>
              <w:jc w:val="center"/>
            </w:pPr>
            <w:r>
              <w:rPr>
                <w:sz w:val="20"/>
              </w:rPr>
              <w:t xml:space="preserve">N п/п</w:t>
            </w:r>
          </w:p>
        </w:tc>
        <w:tc>
          <w:tcPr>
            <w:tcW w:w="5613" w:type="dxa"/>
          </w:tcPr>
          <w:p>
            <w:pPr>
              <w:pStyle w:val="0"/>
              <w:jc w:val="center"/>
            </w:pPr>
            <w:r>
              <w:rPr>
                <w:sz w:val="20"/>
              </w:rPr>
              <w:t xml:space="preserve">Мероприятия</w:t>
            </w:r>
          </w:p>
        </w:tc>
        <w:tc>
          <w:tcPr>
            <w:tcW w:w="2041" w:type="dxa"/>
          </w:tcPr>
          <w:p>
            <w:pPr>
              <w:pStyle w:val="0"/>
              <w:jc w:val="center"/>
            </w:pPr>
            <w:r>
              <w:rPr>
                <w:sz w:val="20"/>
              </w:rPr>
              <w:t xml:space="preserve">Сроки исполнения</w:t>
            </w:r>
          </w:p>
        </w:tc>
        <w:tc>
          <w:tcPr>
            <w:tcW w:w="3061" w:type="dxa"/>
          </w:tcPr>
          <w:p>
            <w:pPr>
              <w:pStyle w:val="0"/>
              <w:jc w:val="center"/>
            </w:pPr>
            <w:r>
              <w:rPr>
                <w:sz w:val="20"/>
              </w:rPr>
              <w:t xml:space="preserve">Исполнитель</w:t>
            </w:r>
          </w:p>
        </w:tc>
      </w:tr>
      <w:tr>
        <w:tc>
          <w:tcPr>
            <w:tcW w:w="604" w:type="dxa"/>
          </w:tcPr>
          <w:p>
            <w:pPr>
              <w:pStyle w:val="0"/>
            </w:pPr>
            <w:r>
              <w:rPr>
                <w:sz w:val="20"/>
              </w:rPr>
              <w:t xml:space="preserve">1.</w:t>
            </w:r>
          </w:p>
        </w:tc>
        <w:tc>
          <w:tcPr>
            <w:tcW w:w="5613" w:type="dxa"/>
          </w:tcPr>
          <w:p>
            <w:pPr>
              <w:pStyle w:val="0"/>
            </w:pPr>
            <w:r>
              <w:rPr>
                <w:sz w:val="20"/>
              </w:rPr>
              <w:t xml:space="preserve">Поддержание в соответствии с требованиями </w:t>
            </w:r>
            <w:hyperlink w:history="0" r:id="rId83"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7 марта 2018 года N 92н "Об утверждении Положения об организации оказания первичной медико-санитарной помощи детям" не менее 95% медицинских организаций (24 детские поликлиники) за счет средств бюджета автономного округа:</w:t>
            </w:r>
          </w:p>
          <w:p>
            <w:pPr>
              <w:pStyle w:val="0"/>
            </w:pPr>
            <w:r>
              <w:rPr>
                <w:sz w:val="20"/>
              </w:rPr>
              <w:t xml:space="preserve">БУ "Белоярская районная больница"</w:t>
            </w:r>
          </w:p>
          <w:p>
            <w:pPr>
              <w:pStyle w:val="0"/>
            </w:pPr>
            <w:r>
              <w:rPr>
                <w:sz w:val="20"/>
              </w:rPr>
              <w:t xml:space="preserve">БУ "Лангепасская городская больница"</w:t>
            </w:r>
          </w:p>
          <w:p>
            <w:pPr>
              <w:pStyle w:val="0"/>
            </w:pPr>
            <w:r>
              <w:rPr>
                <w:sz w:val="20"/>
              </w:rPr>
              <w:t xml:space="preserve">БУ "Пыть-Яхская окружная клиническая больница"</w:t>
            </w:r>
          </w:p>
          <w:p>
            <w:pPr>
              <w:pStyle w:val="0"/>
            </w:pPr>
            <w:r>
              <w:rPr>
                <w:sz w:val="20"/>
              </w:rPr>
              <w:t xml:space="preserve">БУ "Радужнинская городская больница"</w:t>
            </w:r>
          </w:p>
          <w:p>
            <w:pPr>
              <w:pStyle w:val="0"/>
            </w:pPr>
            <w:r>
              <w:rPr>
                <w:sz w:val="20"/>
              </w:rPr>
              <w:t xml:space="preserve">АУ "Советская районная больница"</w:t>
            </w:r>
          </w:p>
          <w:p>
            <w:pPr>
              <w:pStyle w:val="0"/>
            </w:pPr>
            <w:r>
              <w:rPr>
                <w:sz w:val="20"/>
              </w:rPr>
              <w:t xml:space="preserve">БУ "Сургутская городская клиническая поликлиника N 3"</w:t>
            </w:r>
          </w:p>
          <w:p>
            <w:pPr>
              <w:pStyle w:val="0"/>
            </w:pPr>
            <w:r>
              <w:rPr>
                <w:sz w:val="20"/>
              </w:rPr>
              <w:t xml:space="preserve">БУ "Югорская городская больница"</w:t>
            </w:r>
          </w:p>
          <w:p>
            <w:pPr>
              <w:pStyle w:val="0"/>
            </w:pPr>
            <w:r>
              <w:rPr>
                <w:sz w:val="20"/>
              </w:rPr>
              <w:t xml:space="preserve">БУ "Когалымская городская больница"</w:t>
            </w:r>
          </w:p>
          <w:p>
            <w:pPr>
              <w:pStyle w:val="0"/>
            </w:pPr>
            <w:r>
              <w:rPr>
                <w:sz w:val="20"/>
              </w:rPr>
              <w:t xml:space="preserve">БУ "Кондинская районная больница"</w:t>
            </w:r>
          </w:p>
          <w:p>
            <w:pPr>
              <w:pStyle w:val="0"/>
            </w:pPr>
            <w:r>
              <w:rPr>
                <w:sz w:val="20"/>
              </w:rPr>
              <w:t xml:space="preserve">БУ "Лянторская городская больница"</w:t>
            </w:r>
          </w:p>
          <w:p>
            <w:pPr>
              <w:pStyle w:val="0"/>
            </w:pPr>
            <w:r>
              <w:rPr>
                <w:sz w:val="20"/>
              </w:rPr>
              <w:t xml:space="preserve">БУ "Мегионская городская больница"</w:t>
            </w:r>
          </w:p>
          <w:p>
            <w:pPr>
              <w:pStyle w:val="0"/>
            </w:pPr>
            <w:r>
              <w:rPr>
                <w:sz w:val="20"/>
              </w:rPr>
              <w:t xml:space="preserve">БУ "Нефтеюганская районная больница"</w:t>
            </w:r>
          </w:p>
          <w:p>
            <w:pPr>
              <w:pStyle w:val="0"/>
            </w:pPr>
            <w:r>
              <w:rPr>
                <w:sz w:val="20"/>
              </w:rPr>
              <w:t xml:space="preserve">БУ "Нефтеюганская окружная клиническая больница им. В.И. Яцкив"</w:t>
            </w:r>
          </w:p>
          <w:p>
            <w:pPr>
              <w:pStyle w:val="0"/>
            </w:pPr>
            <w:r>
              <w:rPr>
                <w:sz w:val="20"/>
              </w:rPr>
              <w:t xml:space="preserve">БУ "Нижневартовская районная больница"</w:t>
            </w:r>
          </w:p>
          <w:p>
            <w:pPr>
              <w:pStyle w:val="0"/>
            </w:pPr>
            <w:r>
              <w:rPr>
                <w:sz w:val="20"/>
              </w:rPr>
              <w:t xml:space="preserve">БУ "Нижневартовская городская детская поликлиника"</w:t>
            </w:r>
          </w:p>
          <w:p>
            <w:pPr>
              <w:pStyle w:val="0"/>
            </w:pPr>
            <w:r>
              <w:rPr>
                <w:sz w:val="20"/>
              </w:rPr>
              <w:t xml:space="preserve">БУ "Нижневартовская окружная клиническая детская больница"</w:t>
            </w:r>
          </w:p>
          <w:p>
            <w:pPr>
              <w:pStyle w:val="0"/>
            </w:pPr>
            <w:r>
              <w:rPr>
                <w:sz w:val="20"/>
              </w:rPr>
              <w:t xml:space="preserve">БУ "Няганская городская детская поликлиника"</w:t>
            </w:r>
          </w:p>
          <w:p>
            <w:pPr>
              <w:pStyle w:val="0"/>
            </w:pPr>
            <w:r>
              <w:rPr>
                <w:sz w:val="20"/>
              </w:rPr>
              <w:t xml:space="preserve">БУ "Окружная клиническая больница"</w:t>
            </w:r>
          </w:p>
          <w:p>
            <w:pPr>
              <w:pStyle w:val="0"/>
            </w:pPr>
            <w:r>
              <w:rPr>
                <w:sz w:val="20"/>
              </w:rPr>
              <w:t xml:space="preserve">БУ "Покачевская городская больница"</w:t>
            </w:r>
          </w:p>
          <w:p>
            <w:pPr>
              <w:pStyle w:val="0"/>
            </w:pPr>
            <w:r>
              <w:rPr>
                <w:sz w:val="20"/>
              </w:rPr>
              <w:t xml:space="preserve">БУ "Сургутская городская клиническая поликлиника N 1"</w:t>
            </w:r>
          </w:p>
          <w:p>
            <w:pPr>
              <w:pStyle w:val="0"/>
            </w:pPr>
            <w:r>
              <w:rPr>
                <w:sz w:val="20"/>
              </w:rPr>
              <w:t xml:space="preserve">БУ "Сургутская городская клиническая поликлиника N 2"</w:t>
            </w:r>
          </w:p>
          <w:p>
            <w:pPr>
              <w:pStyle w:val="0"/>
            </w:pPr>
            <w:r>
              <w:rPr>
                <w:sz w:val="20"/>
              </w:rPr>
              <w:t xml:space="preserve">БУ "Сургутская городская клиническая поликлиника N 4"</w:t>
            </w:r>
          </w:p>
          <w:p>
            <w:pPr>
              <w:pStyle w:val="0"/>
            </w:pPr>
            <w:r>
              <w:rPr>
                <w:sz w:val="20"/>
              </w:rPr>
              <w:t xml:space="preserve">БУ "Сургутская городская клиническая поликлиника N 5"</w:t>
            </w:r>
          </w:p>
          <w:p>
            <w:pPr>
              <w:pStyle w:val="0"/>
            </w:pPr>
            <w:r>
              <w:rPr>
                <w:sz w:val="20"/>
              </w:rPr>
              <w:t xml:space="preserve">БУ "Урайская городская клиническая больница"</w:t>
            </w:r>
          </w:p>
        </w:tc>
        <w:tc>
          <w:tcPr>
            <w:tcW w:w="2041" w:type="dxa"/>
          </w:tcPr>
          <w:p>
            <w:pPr>
              <w:pStyle w:val="0"/>
            </w:pPr>
            <w:r>
              <w:rPr>
                <w:sz w:val="20"/>
              </w:rPr>
              <w:t xml:space="preserve">до 31 декабря 2024 года</w:t>
            </w:r>
          </w:p>
        </w:tc>
        <w:tc>
          <w:tcPr>
            <w:tcW w:w="3061"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0"/>
              </w:rPr>
              <w:t xml:space="preserve">2.</w:t>
            </w:r>
          </w:p>
        </w:tc>
        <w:tc>
          <w:tcPr>
            <w:tcW w:w="5613" w:type="dxa"/>
          </w:tcPr>
          <w:p>
            <w:pPr>
              <w:pStyle w:val="0"/>
            </w:pPr>
            <w:r>
              <w:rPr>
                <w:sz w:val="20"/>
              </w:rPr>
              <w:t xml:space="preserve">Поддержание в соответствие с требованиями </w:t>
            </w:r>
            <w:hyperlink w:history="0" r:id="rId84"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приказа</w:t>
              </w:r>
            </w:hyperlink>
            <w:r>
              <w:rPr>
                <w:sz w:val="20"/>
              </w:rPr>
              <w:t xml:space="preserve"> Минздрава России от 7 марта 2018 года N 92н "Об утверждении Положения об организации оказания первичной медико-санитарной помощи детям" не менее 95% медицинских организаций (24 детские поликлиники) за счет средств бюджета автономного округа:</w:t>
            </w:r>
          </w:p>
          <w:p>
            <w:pPr>
              <w:pStyle w:val="0"/>
            </w:pPr>
            <w:r>
              <w:rPr>
                <w:sz w:val="20"/>
              </w:rPr>
              <w:t xml:space="preserve">БУ "Белоярская районная больница"</w:t>
            </w:r>
          </w:p>
          <w:p>
            <w:pPr>
              <w:pStyle w:val="0"/>
            </w:pPr>
            <w:r>
              <w:rPr>
                <w:sz w:val="20"/>
              </w:rPr>
              <w:t xml:space="preserve">БУ "Лангепасская городская больница"</w:t>
            </w:r>
          </w:p>
          <w:p>
            <w:pPr>
              <w:pStyle w:val="0"/>
            </w:pPr>
            <w:r>
              <w:rPr>
                <w:sz w:val="20"/>
              </w:rPr>
              <w:t xml:space="preserve">БУ "Пыть-Яхская окружная клиническая больница"</w:t>
            </w:r>
          </w:p>
          <w:p>
            <w:pPr>
              <w:pStyle w:val="0"/>
            </w:pPr>
            <w:r>
              <w:rPr>
                <w:sz w:val="20"/>
              </w:rPr>
              <w:t xml:space="preserve">БУ "Радужнинская городская больница"</w:t>
            </w:r>
          </w:p>
          <w:p>
            <w:pPr>
              <w:pStyle w:val="0"/>
            </w:pPr>
            <w:r>
              <w:rPr>
                <w:sz w:val="20"/>
              </w:rPr>
              <w:t xml:space="preserve">АУ "Советская районная больница"</w:t>
            </w:r>
          </w:p>
          <w:p>
            <w:pPr>
              <w:pStyle w:val="0"/>
            </w:pPr>
            <w:r>
              <w:rPr>
                <w:sz w:val="20"/>
              </w:rPr>
              <w:t xml:space="preserve">БУ "Сургутская городская клиническая поликлиника N 3"</w:t>
            </w:r>
          </w:p>
          <w:p>
            <w:pPr>
              <w:pStyle w:val="0"/>
            </w:pPr>
            <w:r>
              <w:rPr>
                <w:sz w:val="20"/>
              </w:rPr>
              <w:t xml:space="preserve">БУ "Югорская городская больница"</w:t>
            </w:r>
          </w:p>
          <w:p>
            <w:pPr>
              <w:pStyle w:val="0"/>
            </w:pPr>
            <w:r>
              <w:rPr>
                <w:sz w:val="20"/>
              </w:rPr>
              <w:t xml:space="preserve">БУ "Когалымская городская больница"</w:t>
            </w:r>
          </w:p>
          <w:p>
            <w:pPr>
              <w:pStyle w:val="0"/>
            </w:pPr>
            <w:r>
              <w:rPr>
                <w:sz w:val="20"/>
              </w:rPr>
              <w:t xml:space="preserve">БУ "Кондинская районная больница"</w:t>
            </w:r>
          </w:p>
          <w:p>
            <w:pPr>
              <w:pStyle w:val="0"/>
            </w:pPr>
            <w:r>
              <w:rPr>
                <w:sz w:val="20"/>
              </w:rPr>
              <w:t xml:space="preserve">БУ "Лянторская городская больница"</w:t>
            </w:r>
          </w:p>
          <w:p>
            <w:pPr>
              <w:pStyle w:val="0"/>
            </w:pPr>
            <w:r>
              <w:rPr>
                <w:sz w:val="20"/>
              </w:rPr>
              <w:t xml:space="preserve">БУ "Мегионская городская больница"</w:t>
            </w:r>
          </w:p>
          <w:p>
            <w:pPr>
              <w:pStyle w:val="0"/>
            </w:pPr>
            <w:r>
              <w:rPr>
                <w:sz w:val="20"/>
              </w:rPr>
              <w:t xml:space="preserve">БУ "Нефтеюганская районная больница"</w:t>
            </w:r>
          </w:p>
          <w:p>
            <w:pPr>
              <w:pStyle w:val="0"/>
            </w:pPr>
            <w:r>
              <w:rPr>
                <w:sz w:val="20"/>
              </w:rPr>
              <w:t xml:space="preserve">БУ "Нефтеюганская окружная клиническая больница им. В.И. Яцкив"</w:t>
            </w:r>
          </w:p>
          <w:p>
            <w:pPr>
              <w:pStyle w:val="0"/>
            </w:pPr>
            <w:r>
              <w:rPr>
                <w:sz w:val="20"/>
              </w:rPr>
              <w:t xml:space="preserve">БУ "Нижневартовская районная больница"</w:t>
            </w:r>
          </w:p>
          <w:p>
            <w:pPr>
              <w:pStyle w:val="0"/>
            </w:pPr>
            <w:r>
              <w:rPr>
                <w:sz w:val="20"/>
              </w:rPr>
              <w:t xml:space="preserve">БУ "Нижневартовская городская детская поликлиника"</w:t>
            </w:r>
          </w:p>
          <w:p>
            <w:pPr>
              <w:pStyle w:val="0"/>
            </w:pPr>
            <w:r>
              <w:rPr>
                <w:sz w:val="20"/>
              </w:rPr>
              <w:t xml:space="preserve">БУ "Нижневартовская окружная клиническая детская больница"</w:t>
            </w:r>
          </w:p>
          <w:p>
            <w:pPr>
              <w:pStyle w:val="0"/>
            </w:pPr>
            <w:r>
              <w:rPr>
                <w:sz w:val="20"/>
              </w:rPr>
              <w:t xml:space="preserve">БУ "Няганская городская детская поликлиника"</w:t>
            </w:r>
          </w:p>
          <w:p>
            <w:pPr>
              <w:pStyle w:val="0"/>
            </w:pPr>
            <w:r>
              <w:rPr>
                <w:sz w:val="20"/>
              </w:rPr>
              <w:t xml:space="preserve">БУ "Окружная клиническая больница"</w:t>
            </w:r>
          </w:p>
          <w:p>
            <w:pPr>
              <w:pStyle w:val="0"/>
            </w:pPr>
            <w:r>
              <w:rPr>
                <w:sz w:val="20"/>
              </w:rPr>
              <w:t xml:space="preserve">БУ "Покачевская городская больница"</w:t>
            </w:r>
          </w:p>
          <w:p>
            <w:pPr>
              <w:pStyle w:val="0"/>
            </w:pPr>
            <w:r>
              <w:rPr>
                <w:sz w:val="20"/>
              </w:rPr>
              <w:t xml:space="preserve">БУ "Сургутская городская клиническая поликлиника N 1"</w:t>
            </w:r>
          </w:p>
          <w:p>
            <w:pPr>
              <w:pStyle w:val="0"/>
            </w:pPr>
            <w:r>
              <w:rPr>
                <w:sz w:val="20"/>
              </w:rPr>
              <w:t xml:space="preserve">БУ "Сургутская городская клиническая поликлиника N 2"</w:t>
            </w:r>
          </w:p>
          <w:p>
            <w:pPr>
              <w:pStyle w:val="0"/>
            </w:pPr>
            <w:r>
              <w:rPr>
                <w:sz w:val="20"/>
              </w:rPr>
              <w:t xml:space="preserve">БУ "Сургутская городская клиническая поликлиника N 4"</w:t>
            </w:r>
          </w:p>
          <w:p>
            <w:pPr>
              <w:pStyle w:val="0"/>
            </w:pPr>
            <w:r>
              <w:rPr>
                <w:sz w:val="20"/>
              </w:rPr>
              <w:t xml:space="preserve">БУ "Сургутская городская клиническая поликлиника N 5"</w:t>
            </w:r>
          </w:p>
          <w:p>
            <w:pPr>
              <w:pStyle w:val="0"/>
            </w:pPr>
            <w:r>
              <w:rPr>
                <w:sz w:val="20"/>
              </w:rPr>
              <w:t xml:space="preserve">БУ "Урайская городская клиническая больница"</w:t>
            </w:r>
          </w:p>
        </w:tc>
        <w:tc>
          <w:tcPr>
            <w:tcW w:w="2041" w:type="dxa"/>
          </w:tcPr>
          <w:p>
            <w:pPr>
              <w:pStyle w:val="0"/>
            </w:pPr>
            <w:r>
              <w:rPr>
                <w:sz w:val="20"/>
              </w:rPr>
              <w:t xml:space="preserve">до 31 декабря 2024 года</w:t>
            </w:r>
          </w:p>
        </w:tc>
        <w:tc>
          <w:tcPr>
            <w:tcW w:w="3061"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0"/>
              </w:rPr>
              <w:t xml:space="preserve">3.</w:t>
            </w:r>
          </w:p>
        </w:tc>
        <w:tc>
          <w:tcPr>
            <w:tcW w:w="5613" w:type="dxa"/>
          </w:tcPr>
          <w:p>
            <w:pPr>
              <w:pStyle w:val="0"/>
            </w:pPr>
            <w:r>
              <w:rPr>
                <w:sz w:val="20"/>
              </w:rPr>
              <w:t xml:space="preserve">Развитие профилактического направления деятельности службы охраны здоровья детей медицинских организаций</w:t>
            </w:r>
          </w:p>
        </w:tc>
        <w:tc>
          <w:tcPr>
            <w:tcW w:w="2041" w:type="dxa"/>
          </w:tcPr>
          <w:p>
            <w:pPr>
              <w:pStyle w:val="0"/>
            </w:pPr>
            <w:r>
              <w:rPr>
                <w:sz w:val="20"/>
              </w:rPr>
              <w:t xml:space="preserve">до 31 декабря 2024 года</w:t>
            </w:r>
          </w:p>
        </w:tc>
        <w:tc>
          <w:tcPr>
            <w:tcW w:w="3061"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0"/>
              </w:rPr>
              <w:t xml:space="preserve">3.1</w:t>
            </w:r>
          </w:p>
        </w:tc>
        <w:tc>
          <w:tcPr>
            <w:tcW w:w="5613" w:type="dxa"/>
          </w:tcPr>
          <w:p>
            <w:pPr>
              <w:pStyle w:val="0"/>
            </w:pPr>
            <w:r>
              <w:rPr>
                <w:sz w:val="20"/>
              </w:rPr>
              <w:t xml:space="preserve">Проведение медицинскими организациями не менее 500 информационно-коммуникационной мероприятий по вопросам необходимости проведения профилактических медицинских осмотров несовершеннолетних: девочек - врачами-акушерами-гинекологами; мальчиков - врачами-детскими урологами-андрологами</w:t>
            </w:r>
          </w:p>
        </w:tc>
        <w:tc>
          <w:tcPr>
            <w:tcW w:w="2041" w:type="dxa"/>
          </w:tcPr>
          <w:p>
            <w:pPr>
              <w:pStyle w:val="0"/>
            </w:pPr>
            <w:r>
              <w:rPr>
                <w:sz w:val="20"/>
              </w:rPr>
              <w:t xml:space="preserve">до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3.2</w:t>
            </w:r>
          </w:p>
        </w:tc>
        <w:tc>
          <w:tcPr>
            <w:tcW w:w="5613" w:type="dxa"/>
          </w:tcPr>
          <w:p>
            <w:pPr>
              <w:pStyle w:val="0"/>
            </w:pPr>
            <w:r>
              <w:rPr>
                <w:sz w:val="20"/>
              </w:rPr>
              <w:t xml:space="preserve">Проведение профилактических медицинских осмотров детей в возрасте 15 - 17 лет с целью сохранения репродуктивного здоровья: девочек - врачами - акушерами-гинекологами; мальчиков - врачами - детскими урологами-андрологами. Увеличение охвата осмотренных до 80% к 2024 году за счет укомплектования медицинским кадрами детских поликлиник, повышения информированности подростков и их родителей, организации выездных форм работы</w:t>
            </w:r>
          </w:p>
        </w:tc>
        <w:tc>
          <w:tcPr>
            <w:tcW w:w="2041" w:type="dxa"/>
          </w:tcPr>
          <w:p>
            <w:pPr>
              <w:pStyle w:val="0"/>
            </w:pPr>
            <w:r>
              <w:rPr>
                <w:sz w:val="20"/>
              </w:rPr>
              <w:t xml:space="preserve">до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3.3</w:t>
            </w:r>
          </w:p>
        </w:tc>
        <w:tc>
          <w:tcPr>
            <w:tcW w:w="5613" w:type="dxa"/>
          </w:tcPr>
          <w:p>
            <w:pPr>
              <w:pStyle w:val="0"/>
            </w:pPr>
            <w:r>
              <w:rPr>
                <w:sz w:val="20"/>
              </w:rPr>
              <w:t xml:space="preserve">Проведение мероприятий по увеличению доли посещений детей с профилактическими целями не менее 52,3%, охвата детей всех возрастов профилактическими осмотрами не менее 96,7%</w:t>
            </w:r>
          </w:p>
        </w:tc>
        <w:tc>
          <w:tcPr>
            <w:tcW w:w="2041" w:type="dxa"/>
          </w:tcPr>
          <w:p>
            <w:pPr>
              <w:pStyle w:val="0"/>
            </w:pPr>
            <w:r>
              <w:rPr>
                <w:sz w:val="20"/>
              </w:rPr>
              <w:t xml:space="preserve">до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3.4</w:t>
            </w:r>
          </w:p>
        </w:tc>
        <w:tc>
          <w:tcPr>
            <w:tcW w:w="5613" w:type="dxa"/>
          </w:tcPr>
          <w:p>
            <w:pPr>
              <w:pStyle w:val="0"/>
            </w:pPr>
            <w:r>
              <w:rPr>
                <w:sz w:val="20"/>
              </w:rPr>
              <w:t xml:space="preserve">Проведение профилактических осмотров на немедицинское потребление наркотических и психоактивных веществ с достижением охвата до 95% подростков из группы риска, сформированной по результатам 1 этапа (анкетирования), и при наличии информированного добровольного согласия</w:t>
            </w:r>
          </w:p>
        </w:tc>
        <w:tc>
          <w:tcPr>
            <w:tcW w:w="2041" w:type="dxa"/>
          </w:tcPr>
          <w:p>
            <w:pPr>
              <w:pStyle w:val="0"/>
            </w:pPr>
            <w:r>
              <w:rPr>
                <w:sz w:val="20"/>
              </w:rPr>
              <w:t xml:space="preserve">до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3.5</w:t>
            </w:r>
          </w:p>
        </w:tc>
        <w:tc>
          <w:tcPr>
            <w:tcW w:w="5613" w:type="dxa"/>
          </w:tcPr>
          <w:p>
            <w:pPr>
              <w:pStyle w:val="0"/>
            </w:pPr>
            <w:r>
              <w:rPr>
                <w:sz w:val="20"/>
              </w:rPr>
              <w:t xml:space="preserve">Проведение не менее 500 мероприятий ("круглые столы", конференции, лекции, в том числе в интерактивном режиме и др.) по вопросам формирования принципов здорового образа жизни у детей и их родителей</w:t>
            </w:r>
          </w:p>
        </w:tc>
        <w:tc>
          <w:tcPr>
            <w:tcW w:w="2041" w:type="dxa"/>
          </w:tcPr>
          <w:p>
            <w:pPr>
              <w:pStyle w:val="0"/>
            </w:pPr>
            <w:r>
              <w:rPr>
                <w:sz w:val="20"/>
              </w:rPr>
              <w:t xml:space="preserve">до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4.</w:t>
            </w:r>
          </w:p>
        </w:tc>
        <w:tc>
          <w:tcPr>
            <w:tcW w:w="5613" w:type="dxa"/>
          </w:tcPr>
          <w:p>
            <w:pPr>
              <w:pStyle w:val="0"/>
            </w:pPr>
            <w:r>
              <w:rPr>
                <w:sz w:val="20"/>
              </w:rPr>
              <w:t xml:space="preserve">Оказание медицинской помощи в период беременности, родов и в послеродовой период, в том числе за счет средств родовых сертификатов Повышение рождаемости планируется за счет:</w:t>
            </w:r>
          </w:p>
          <w:p>
            <w:pPr>
              <w:pStyle w:val="0"/>
            </w:pPr>
            <w:r>
              <w:rPr>
                <w:sz w:val="20"/>
              </w:rPr>
              <w:t xml:space="preserve">1. Снижения числа абортов: проведения доабортного консультирования в женских консультациях и гинекологических отделениях, функционирования кризисных отделений для женщин на базе учреждений социального обслуживания, обучения психологов и врачей - акушеров-гинекологов для работы с беременными женщинами по профилактике абортов и отказов от новорожденных, включения в оценку эффективности работы врачей женской консультации показателя "Число отказов женщин от прерывания беременности после проведенного консультирования", проведения информационно-просветительских мероприятий по профилактике абортов, реализация проекта "Навстречу жизни", направленного на работу с женщинами по отказу от аборта, дополнительных мер мотивации женщин к рождению ребенка (вручение дисков с записями колыбельных песен и сказок).</w:t>
            </w:r>
          </w:p>
          <w:p>
            <w:pPr>
              <w:pStyle w:val="0"/>
            </w:pPr>
            <w:r>
              <w:rPr>
                <w:sz w:val="20"/>
              </w:rPr>
              <w:t xml:space="preserve">2. Проведение лечения супружеских пар с применением вспомогательных репродуктивных технологий (ЭКО).</w:t>
            </w:r>
          </w:p>
          <w:p>
            <w:pPr>
              <w:pStyle w:val="0"/>
            </w:pPr>
            <w:r>
              <w:rPr>
                <w:sz w:val="20"/>
              </w:rPr>
              <w:t xml:space="preserve">3. Проведение медицинских профилактических осмотров несовершеннолетних с целью раннего выявления отклонений с последующим выполнением программ лечения.</w:t>
            </w:r>
          </w:p>
          <w:p>
            <w:pPr>
              <w:pStyle w:val="0"/>
            </w:pPr>
            <w:r>
              <w:rPr>
                <w:sz w:val="20"/>
              </w:rPr>
              <w:t xml:space="preserve">4. Обеспечение обследования беременных женщин высокой группы риска с последующим выполнением программ лечения.</w:t>
            </w:r>
          </w:p>
          <w:p>
            <w:pPr>
              <w:pStyle w:val="0"/>
            </w:pPr>
            <w:r>
              <w:rPr>
                <w:sz w:val="20"/>
              </w:rPr>
              <w:t xml:space="preserve">5. Обеспечение санаторно-курортного лечения беременных женщин, страдающих хроническими заболеваниями</w:t>
            </w:r>
          </w:p>
        </w:tc>
        <w:tc>
          <w:tcPr>
            <w:tcW w:w="2041" w:type="dxa"/>
          </w:tcPr>
          <w:p>
            <w:pPr>
              <w:pStyle w:val="0"/>
            </w:pPr>
            <w:r>
              <w:rPr>
                <w:sz w:val="20"/>
              </w:rPr>
              <w:t xml:space="preserve">до 31 декабря 2024 года</w:t>
            </w:r>
          </w:p>
        </w:tc>
        <w:tc>
          <w:tcPr>
            <w:tcW w:w="3061"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0"/>
              </w:rPr>
              <w:t xml:space="preserve">4.1</w:t>
            </w:r>
          </w:p>
        </w:tc>
        <w:tc>
          <w:tcPr>
            <w:tcW w:w="5613" w:type="dxa"/>
          </w:tcPr>
          <w:p>
            <w:pPr>
              <w:pStyle w:val="0"/>
            </w:pPr>
            <w:r>
              <w:rPr>
                <w:sz w:val="20"/>
              </w:rPr>
              <w:t xml:space="preserve">Оказание медицинской помощи 18,8 тыс. женщинам в период беременности, родов и в послеродовой период, в том числе за счет средств родовых сертификатов</w:t>
            </w:r>
          </w:p>
        </w:tc>
        <w:tc>
          <w:tcPr>
            <w:tcW w:w="2041" w:type="dxa"/>
          </w:tcPr>
          <w:p>
            <w:pPr>
              <w:pStyle w:val="0"/>
            </w:pPr>
            <w:r>
              <w:rPr>
                <w:sz w:val="20"/>
              </w:rPr>
              <w:t xml:space="preserve">с 1 января 2022 года по 31 декабря 2022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4.2</w:t>
            </w:r>
          </w:p>
        </w:tc>
        <w:tc>
          <w:tcPr>
            <w:tcW w:w="5613" w:type="dxa"/>
          </w:tcPr>
          <w:p>
            <w:pPr>
              <w:pStyle w:val="0"/>
            </w:pPr>
            <w:r>
              <w:rPr>
                <w:sz w:val="20"/>
              </w:rPr>
              <w:t xml:space="preserve">Оказание медицинской помощи 18,8 тыс. женщинам в период беременности, родов и в послеродовой период, в том числе за счет средств родовых сертификатов</w:t>
            </w:r>
          </w:p>
        </w:tc>
        <w:tc>
          <w:tcPr>
            <w:tcW w:w="2041" w:type="dxa"/>
          </w:tcPr>
          <w:p>
            <w:pPr>
              <w:pStyle w:val="0"/>
            </w:pPr>
            <w:r>
              <w:rPr>
                <w:sz w:val="20"/>
              </w:rPr>
              <w:t xml:space="preserve">с 1 января 2023 года по 31 декабря 2023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4.3</w:t>
            </w:r>
          </w:p>
        </w:tc>
        <w:tc>
          <w:tcPr>
            <w:tcW w:w="5613" w:type="dxa"/>
          </w:tcPr>
          <w:p>
            <w:pPr>
              <w:pStyle w:val="0"/>
            </w:pPr>
            <w:r>
              <w:rPr>
                <w:sz w:val="20"/>
              </w:rPr>
              <w:t xml:space="preserve">Оказание медицинской помощи 18,8 тыс. женщинам в период беременности, родов и в послеродовой период, в том числе за счет средств родовых сертификатов</w:t>
            </w:r>
          </w:p>
        </w:tc>
        <w:tc>
          <w:tcPr>
            <w:tcW w:w="2041" w:type="dxa"/>
          </w:tcPr>
          <w:p>
            <w:pPr>
              <w:pStyle w:val="0"/>
            </w:pPr>
            <w:r>
              <w:rPr>
                <w:sz w:val="20"/>
              </w:rPr>
              <w:t xml:space="preserve">с 1 января 2024 года по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4.4</w:t>
            </w:r>
          </w:p>
        </w:tc>
        <w:tc>
          <w:tcPr>
            <w:tcW w:w="5613" w:type="dxa"/>
          </w:tcPr>
          <w:p>
            <w:pPr>
              <w:pStyle w:val="0"/>
            </w:pPr>
            <w:r>
              <w:rPr>
                <w:sz w:val="20"/>
              </w:rPr>
              <w:t xml:space="preserve">Укрепление материально-технической базы учреждений родовспоможения за счет приобретения медицинских изделий (мониторы пациента, ИВЛ для новорожденных, инкубаторы, КТГ-мониторы, УЗИ-аппараты) за счет средств родовых сертификатов</w:t>
            </w:r>
          </w:p>
        </w:tc>
        <w:tc>
          <w:tcPr>
            <w:tcW w:w="2041" w:type="dxa"/>
          </w:tcPr>
          <w:p>
            <w:pPr>
              <w:pStyle w:val="0"/>
            </w:pPr>
            <w:r>
              <w:rPr>
                <w:sz w:val="20"/>
              </w:rPr>
              <w:t xml:space="preserve">до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4.5.</w:t>
            </w:r>
          </w:p>
        </w:tc>
        <w:tc>
          <w:tcPr>
            <w:tcW w:w="5613" w:type="dxa"/>
          </w:tcPr>
          <w:p>
            <w:pPr>
              <w:pStyle w:val="0"/>
            </w:pPr>
            <w:r>
              <w:rPr>
                <w:sz w:val="20"/>
              </w:rPr>
              <w:t xml:space="preserve">Оптимизация маршрутизации пациентов группы высокого риска:</w:t>
            </w:r>
          </w:p>
          <w:p>
            <w:pPr>
              <w:pStyle w:val="0"/>
            </w:pPr>
            <w:r>
              <w:rPr>
                <w:sz w:val="20"/>
              </w:rPr>
              <w:t xml:space="preserve">1. В Восточной медицинской зоне направление беременных с экстрагенитальной патологией, пациенток с гинекологической патологией, прерыванием беременности по медицинским показаниям в БУ "Нижневартовская окружная клиническая больница".</w:t>
            </w:r>
          </w:p>
          <w:p>
            <w:pPr>
              <w:pStyle w:val="0"/>
            </w:pPr>
            <w:r>
              <w:rPr>
                <w:sz w:val="20"/>
              </w:rPr>
              <w:t xml:space="preserve">2. Направление беременных с врожденной патологией плода в Сургутский окружной клинический центр охраны материнства и детства.</w:t>
            </w:r>
          </w:p>
          <w:p>
            <w:pPr>
              <w:pStyle w:val="0"/>
            </w:pPr>
            <w:r>
              <w:rPr>
                <w:sz w:val="20"/>
              </w:rPr>
              <w:t xml:space="preserve">3. Направление беременных высокой группы риска с предлежанием плаценты, вращением плаценты, патологией беременности, требующей использования МРТ, КТ, ангиографических методов исследования, в Сургутский окружной клинический центр охраны материнства и детства.</w:t>
            </w:r>
          </w:p>
          <w:p>
            <w:pPr>
              <w:pStyle w:val="0"/>
            </w:pPr>
            <w:r>
              <w:rPr>
                <w:sz w:val="20"/>
              </w:rPr>
              <w:t xml:space="preserve">4. Направление детей до 3 лет с патологией, обусловленной осложненным течение беременности и родов, врожденной патологией для катамнестического наблюдения и проведение реабилитационных мероприятий исследования в Сургутский окружной клинический центр охраны материнства и детства.</w:t>
            </w:r>
          </w:p>
          <w:p>
            <w:pPr>
              <w:pStyle w:val="0"/>
            </w:pPr>
            <w:r>
              <w:rPr>
                <w:sz w:val="20"/>
              </w:rPr>
              <w:t xml:space="preserve">5. Направление пациенток с гинекологической патологией, требующих проведения ВРТ с предимплантационной диагностикой, в Сургутский окружной клинический центр охраны материнства и детства</w:t>
            </w:r>
          </w:p>
        </w:tc>
        <w:tc>
          <w:tcPr>
            <w:tcW w:w="2041" w:type="dxa"/>
          </w:tcPr>
          <w:p>
            <w:pPr>
              <w:pStyle w:val="0"/>
            </w:pPr>
            <w:r>
              <w:rPr>
                <w:sz w:val="20"/>
              </w:rPr>
              <w:t xml:space="preserve">с 1 января 2022 года по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5.</w:t>
            </w:r>
          </w:p>
        </w:tc>
        <w:tc>
          <w:tcPr>
            <w:tcW w:w="5613" w:type="dxa"/>
          </w:tcPr>
          <w:p>
            <w:pPr>
              <w:pStyle w:val="0"/>
            </w:pPr>
            <w:r>
              <w:rPr>
                <w:sz w:val="20"/>
              </w:rPr>
              <w:t xml:space="preserve">Повышение квалификации специалистов в области перинатологии, неонатологии и педиатрии будет способствовать совершенствованию манипуляционных и коммуникативных навыков врачей, что отразится на повышении качества медицинской помощи детям и снижении смертности и инвалидности</w:t>
            </w:r>
          </w:p>
        </w:tc>
        <w:tc>
          <w:tcPr>
            <w:tcW w:w="2041" w:type="dxa"/>
          </w:tcPr>
          <w:p>
            <w:pPr>
              <w:pStyle w:val="0"/>
            </w:pPr>
            <w:r>
              <w:rPr>
                <w:sz w:val="20"/>
              </w:rPr>
              <w:t xml:space="preserve">до 31 декабря 2024 года</w:t>
            </w:r>
          </w:p>
        </w:tc>
        <w:tc>
          <w:tcPr>
            <w:tcW w:w="3061"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0"/>
              </w:rPr>
              <w:t xml:space="preserve">5.1.</w:t>
            </w:r>
          </w:p>
        </w:tc>
        <w:tc>
          <w:tcPr>
            <w:tcW w:w="5613" w:type="dxa"/>
          </w:tcPr>
          <w:p>
            <w:pPr>
              <w:pStyle w:val="0"/>
            </w:pPr>
            <w:r>
              <w:rPr>
                <w:sz w:val="20"/>
              </w:rPr>
              <w:t xml:space="preserve">Разработка и утверждение графика обучения специалистов в федеральных учреждениях, подведомственных Минздраву России:</w:t>
            </w:r>
          </w:p>
          <w:p>
            <w:pPr>
              <w:pStyle w:val="0"/>
            </w:pPr>
            <w:r>
              <w:rPr>
                <w:sz w:val="20"/>
              </w:rPr>
              <w:t xml:space="preserve">ФГБУ "Уральский научно-исследовательский институт охраны материнства и младенчества" Минздрава России,</w:t>
            </w:r>
          </w:p>
          <w:p>
            <w:pPr>
              <w:pStyle w:val="0"/>
            </w:pPr>
            <w:r>
              <w:rPr>
                <w:sz w:val="20"/>
              </w:rPr>
              <w:t xml:space="preserve">ФГБУ "Ивановский научно-исследовательский институт материнства и детства им. В.Н. Городкова" Минздрава России</w:t>
            </w:r>
          </w:p>
        </w:tc>
        <w:tc>
          <w:tcPr>
            <w:tcW w:w="2041" w:type="dxa"/>
          </w:tcPr>
          <w:p>
            <w:pPr>
              <w:pStyle w:val="0"/>
            </w:pPr>
            <w:r>
              <w:rPr>
                <w:sz w:val="20"/>
              </w:rPr>
              <w:t xml:space="preserve">до 31 декабря 2024 года</w:t>
            </w:r>
          </w:p>
        </w:tc>
        <w:tc>
          <w:tcPr>
            <w:tcW w:w="3061" w:type="dxa"/>
          </w:tcPr>
          <w:p>
            <w:pPr>
              <w:pStyle w:val="0"/>
            </w:pPr>
            <w:r>
              <w:rPr>
                <w:sz w:val="20"/>
              </w:rPr>
              <w:t xml:space="preserve">Департамент здравоохранения автономного округа</w:t>
            </w:r>
          </w:p>
        </w:tc>
      </w:tr>
      <w:tr>
        <w:tc>
          <w:tcPr>
            <w:tcW w:w="604" w:type="dxa"/>
          </w:tcPr>
          <w:p>
            <w:pPr>
              <w:pStyle w:val="0"/>
            </w:pPr>
            <w:r>
              <w:rPr>
                <w:sz w:val="20"/>
              </w:rPr>
              <w:t xml:space="preserve">5.2.</w:t>
            </w:r>
          </w:p>
        </w:tc>
        <w:tc>
          <w:tcPr>
            <w:tcW w:w="5613" w:type="dxa"/>
          </w:tcPr>
          <w:p>
            <w:pPr>
              <w:pStyle w:val="0"/>
            </w:pPr>
            <w:r>
              <w:rPr>
                <w:sz w:val="20"/>
              </w:rPr>
              <w:t xml:space="preserve">Обучение 152 специалистов</w:t>
            </w:r>
          </w:p>
        </w:tc>
        <w:tc>
          <w:tcPr>
            <w:tcW w:w="2041" w:type="dxa"/>
          </w:tcPr>
          <w:p>
            <w:pPr>
              <w:pStyle w:val="0"/>
            </w:pPr>
            <w:r>
              <w:rPr>
                <w:sz w:val="20"/>
              </w:rPr>
              <w:t xml:space="preserve">с 1 января 2022 года по 31 декабря 2022 года</w:t>
            </w:r>
          </w:p>
        </w:tc>
        <w:tc>
          <w:tcPr>
            <w:tcW w:w="3061" w:type="dxa"/>
            <w:vMerge w:val="restart"/>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5.3.</w:t>
            </w:r>
          </w:p>
        </w:tc>
        <w:tc>
          <w:tcPr>
            <w:tcW w:w="5613" w:type="dxa"/>
          </w:tcPr>
          <w:p>
            <w:pPr>
              <w:pStyle w:val="0"/>
            </w:pPr>
            <w:r>
              <w:rPr>
                <w:sz w:val="20"/>
              </w:rPr>
              <w:t xml:space="preserve">Обучение 157 специалистов</w:t>
            </w:r>
          </w:p>
        </w:tc>
        <w:tc>
          <w:tcPr>
            <w:tcW w:w="2041" w:type="dxa"/>
          </w:tcPr>
          <w:p>
            <w:pPr>
              <w:pStyle w:val="0"/>
            </w:pPr>
            <w:r>
              <w:rPr>
                <w:sz w:val="20"/>
              </w:rPr>
              <w:t xml:space="preserve">с 1 января 2023 года по 31 декабря 2023 года</w:t>
            </w:r>
          </w:p>
        </w:tc>
        <w:tc>
          <w:tcPr>
            <w:vMerge w:val="continue"/>
          </w:tcPr>
          <w:p/>
        </w:tc>
      </w:tr>
      <w:tr>
        <w:tc>
          <w:tcPr>
            <w:tcW w:w="604" w:type="dxa"/>
          </w:tcPr>
          <w:p>
            <w:pPr>
              <w:pStyle w:val="0"/>
            </w:pPr>
            <w:r>
              <w:rPr>
                <w:sz w:val="20"/>
              </w:rPr>
              <w:t xml:space="preserve">5.4.</w:t>
            </w:r>
          </w:p>
        </w:tc>
        <w:tc>
          <w:tcPr>
            <w:tcW w:w="5613" w:type="dxa"/>
          </w:tcPr>
          <w:p>
            <w:pPr>
              <w:pStyle w:val="0"/>
            </w:pPr>
            <w:r>
              <w:rPr>
                <w:sz w:val="20"/>
              </w:rPr>
              <w:t xml:space="preserve">Обучение 169 специалистов</w:t>
            </w:r>
          </w:p>
        </w:tc>
        <w:tc>
          <w:tcPr>
            <w:tcW w:w="2041" w:type="dxa"/>
          </w:tcPr>
          <w:p>
            <w:pPr>
              <w:pStyle w:val="0"/>
            </w:pPr>
            <w:r>
              <w:rPr>
                <w:sz w:val="20"/>
              </w:rPr>
              <w:t xml:space="preserve">с 1 января 2024 года по 31 декабря 2024 года</w:t>
            </w:r>
          </w:p>
        </w:tc>
        <w:tc>
          <w:tcPr>
            <w:vMerge w:val="continue"/>
          </w:tcPr>
          <w:p/>
        </w:tc>
      </w:tr>
      <w:tr>
        <w:tc>
          <w:tcPr>
            <w:tcW w:w="604" w:type="dxa"/>
          </w:tcPr>
          <w:p>
            <w:pPr>
              <w:pStyle w:val="0"/>
            </w:pPr>
            <w:r>
              <w:rPr>
                <w:sz w:val="20"/>
              </w:rPr>
              <w:t xml:space="preserve">6.</w:t>
            </w:r>
          </w:p>
        </w:tc>
        <w:tc>
          <w:tcPr>
            <w:tcW w:w="5613" w:type="dxa"/>
          </w:tcPr>
          <w:p>
            <w:pPr>
              <w:pStyle w:val="0"/>
            </w:pPr>
            <w:r>
              <w:rPr>
                <w:sz w:val="20"/>
              </w:rPr>
              <w:t xml:space="preserve">Развитие специализированной медицинской помощи, включая консультативно-диагностическую и выездную медицинскую помощь детям, в том числе проживающим в отдаленных территориях Ханты-Мансийского автономного округа - Югры</w:t>
            </w:r>
          </w:p>
        </w:tc>
        <w:tc>
          <w:tcPr>
            <w:tcW w:w="2041" w:type="dxa"/>
          </w:tcPr>
          <w:p>
            <w:pPr>
              <w:pStyle w:val="0"/>
            </w:pPr>
            <w:r>
              <w:rPr>
                <w:sz w:val="20"/>
              </w:rPr>
              <w:t xml:space="preserve">до 1 января 2024 года</w:t>
            </w:r>
          </w:p>
        </w:tc>
        <w:tc>
          <w:tcPr>
            <w:tcW w:w="3061"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0"/>
              </w:rPr>
              <w:t xml:space="preserve">6.1.</w:t>
            </w:r>
          </w:p>
        </w:tc>
        <w:tc>
          <w:tcPr>
            <w:tcW w:w="5613" w:type="dxa"/>
          </w:tcPr>
          <w:p>
            <w:pPr>
              <w:pStyle w:val="0"/>
            </w:pPr>
            <w:r>
              <w:rPr>
                <w:sz w:val="20"/>
              </w:rPr>
              <w:t xml:space="preserve">Создание выездной бригады на базе консультативно-диагностического отделения медицинской организации II группы бюджетного учреждения автономного округа "Сургутская городская клиническая больница"</w:t>
            </w:r>
          </w:p>
        </w:tc>
        <w:tc>
          <w:tcPr>
            <w:tcW w:w="2041" w:type="dxa"/>
          </w:tcPr>
          <w:p>
            <w:pPr>
              <w:pStyle w:val="0"/>
            </w:pPr>
            <w:r>
              <w:rPr>
                <w:sz w:val="20"/>
              </w:rPr>
              <w:t xml:space="preserve">с 1 января 2022 года по 31 декабря 2022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6.2.</w:t>
            </w:r>
          </w:p>
        </w:tc>
        <w:tc>
          <w:tcPr>
            <w:tcW w:w="5613" w:type="dxa"/>
          </w:tcPr>
          <w:p>
            <w:pPr>
              <w:pStyle w:val="0"/>
            </w:pPr>
            <w:r>
              <w:rPr>
                <w:sz w:val="20"/>
              </w:rPr>
              <w:t xml:space="preserve">Формирование на базе БУ "Сургутский окружной клинический центр охраны материнства и детства" центров оказания специализированной, в том числе высокотехнологичной, медицинской помощи матерям и детям до 5 лет по направлениям:</w:t>
            </w:r>
          </w:p>
          <w:p>
            <w:pPr>
              <w:pStyle w:val="0"/>
            </w:pPr>
            <w:r>
              <w:rPr>
                <w:sz w:val="20"/>
              </w:rPr>
              <w:t xml:space="preserve">лечение патологии беременности, родоразрешение беременных высокой степени риска по материнской и младенческой смертности;</w:t>
            </w:r>
          </w:p>
          <w:p>
            <w:pPr>
              <w:pStyle w:val="0"/>
            </w:pPr>
            <w:r>
              <w:rPr>
                <w:sz w:val="20"/>
              </w:rPr>
              <w:t xml:space="preserve">развитие репродуктивной гинекологии;</w:t>
            </w:r>
          </w:p>
          <w:p>
            <w:pPr>
              <w:pStyle w:val="0"/>
            </w:pPr>
            <w:r>
              <w:rPr>
                <w:sz w:val="20"/>
              </w:rPr>
              <w:t xml:space="preserve">развитие вспомогательных репродуктивных технологий с акцентом на развитие предимплантационной генетической диагностики;</w:t>
            </w:r>
          </w:p>
          <w:p>
            <w:pPr>
              <w:pStyle w:val="0"/>
            </w:pPr>
            <w:r>
              <w:rPr>
                <w:sz w:val="20"/>
              </w:rPr>
              <w:t xml:space="preserve">центры выездных акушерских и неонатальных бригад;</w:t>
            </w:r>
          </w:p>
          <w:p>
            <w:pPr>
              <w:pStyle w:val="0"/>
            </w:pPr>
            <w:r>
              <w:rPr>
                <w:sz w:val="20"/>
              </w:rPr>
              <w:t xml:space="preserve">дистанционные центры акушерского мониторинга беременных, рожениц и родильниц высокой степени риска по материнской и перинатальной смертности, дистанционного центра мониторинга (в том числе - катамнестического) новорожденных;</w:t>
            </w:r>
          </w:p>
          <w:p>
            <w:pPr>
              <w:pStyle w:val="0"/>
            </w:pPr>
            <w:r>
              <w:rPr>
                <w:sz w:val="20"/>
              </w:rPr>
              <w:t xml:space="preserve">комплексная внутриутробная ультразвуковая и лабораторная диагностика;</w:t>
            </w:r>
          </w:p>
          <w:p>
            <w:pPr>
              <w:pStyle w:val="0"/>
            </w:pPr>
            <w:r>
              <w:rPr>
                <w:sz w:val="20"/>
              </w:rPr>
              <w:t xml:space="preserve">развитие неонатальной реанимационной и анестезиологической помощи;</w:t>
            </w:r>
          </w:p>
          <w:p>
            <w:pPr>
              <w:pStyle w:val="0"/>
            </w:pPr>
            <w:r>
              <w:rPr>
                <w:sz w:val="20"/>
              </w:rPr>
              <w:t xml:space="preserve">центр терапевтической гипотермии;</w:t>
            </w:r>
          </w:p>
          <w:p>
            <w:pPr>
              <w:pStyle w:val="0"/>
            </w:pPr>
            <w:r>
              <w:rPr>
                <w:sz w:val="20"/>
              </w:rPr>
              <w:t xml:space="preserve">отделение хирургии детей до года, развитие сердечно-сосудистой хирургии врожденных пороков сердца, центр детской эпилептологии;</w:t>
            </w:r>
          </w:p>
          <w:p>
            <w:pPr>
              <w:pStyle w:val="0"/>
            </w:pPr>
            <w:r>
              <w:rPr>
                <w:sz w:val="20"/>
              </w:rPr>
              <w:t xml:space="preserve">центр диагностики и реабилитации для детей до 5 лет жизни, начиная с внутриутробного развития;</w:t>
            </w:r>
          </w:p>
          <w:p>
            <w:pPr>
              <w:pStyle w:val="0"/>
            </w:pPr>
            <w:r>
              <w:rPr>
                <w:sz w:val="20"/>
              </w:rPr>
              <w:t xml:space="preserve">реабилитация и катамнестическое наблюдение, паллиативная помощь детям до 1 года;</w:t>
            </w:r>
          </w:p>
          <w:p>
            <w:pPr>
              <w:pStyle w:val="0"/>
            </w:pPr>
            <w:r>
              <w:rPr>
                <w:sz w:val="20"/>
              </w:rPr>
              <w:t xml:space="preserve">банк грудного молока</w:t>
            </w:r>
          </w:p>
        </w:tc>
        <w:tc>
          <w:tcPr>
            <w:tcW w:w="2041" w:type="dxa"/>
          </w:tcPr>
          <w:p>
            <w:pPr>
              <w:pStyle w:val="0"/>
            </w:pPr>
            <w:r>
              <w:rPr>
                <w:sz w:val="20"/>
              </w:rPr>
              <w:t xml:space="preserve">с 1 января 2022 года по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6.3.</w:t>
            </w:r>
          </w:p>
        </w:tc>
        <w:tc>
          <w:tcPr>
            <w:tcW w:w="5613" w:type="dxa"/>
          </w:tcPr>
          <w:p>
            <w:pPr>
              <w:pStyle w:val="0"/>
            </w:pPr>
            <w:r>
              <w:rPr>
                <w:sz w:val="20"/>
              </w:rPr>
              <w:t xml:space="preserve">Оптимизация маршрутизации детского населения по видам специализированной медицинской помощи:</w:t>
            </w:r>
          </w:p>
          <w:p>
            <w:pPr>
              <w:pStyle w:val="0"/>
            </w:pPr>
            <w:r>
              <w:rPr>
                <w:sz w:val="20"/>
              </w:rPr>
              <w:t xml:space="preserve">1. Перепрофилирование педиатрических коек в койки по детской эндокринологии в БУ "Окружная клиническая больница" (3 койки) (Западная медицинская зона), в БУ "Сургутская городская клиническая больница" (3 койки) (Центральная медицинская зона) для оказания специализированной медицинской помощи детям с сахарным диабетом с целью обследования, мониторинга терапии, установки амбулаторных инсулиновых помп.</w:t>
            </w:r>
          </w:p>
          <w:p>
            <w:pPr>
              <w:pStyle w:val="0"/>
            </w:pPr>
            <w:r>
              <w:rPr>
                <w:sz w:val="20"/>
              </w:rPr>
              <w:t xml:space="preserve">2. Перепрофилирование педиатрических коек в неврологические койки в БУ "Окружная клиническая больница" (3 койки) (Западная медицинская зона), в БУ "Сургутская городская клиническая больница" (3 койки) (Центральная медицинская зона) для проведения обследования, мониторинга терапии, проведения медицинской реабилитации.</w:t>
            </w:r>
          </w:p>
          <w:p>
            <w:pPr>
              <w:pStyle w:val="0"/>
            </w:pPr>
            <w:r>
              <w:rPr>
                <w:sz w:val="20"/>
              </w:rPr>
              <w:t xml:space="preserve">3. Организация в БУ "Нижневартовская окружная клиническая детская больница" детского эпилептологического центра.</w:t>
            </w:r>
          </w:p>
          <w:p>
            <w:pPr>
              <w:pStyle w:val="0"/>
            </w:pPr>
            <w:r>
              <w:rPr>
                <w:sz w:val="20"/>
              </w:rPr>
              <w:t xml:space="preserve">4. Преобразование в БУ "Нижневартовская окружная клиническая детская больница" отделения неврологии в детское психоневрологическое отделение</w:t>
            </w:r>
          </w:p>
        </w:tc>
        <w:tc>
          <w:tcPr>
            <w:tcW w:w="2041" w:type="dxa"/>
          </w:tcPr>
          <w:p>
            <w:pPr>
              <w:pStyle w:val="0"/>
            </w:pPr>
            <w:r>
              <w:rPr>
                <w:sz w:val="20"/>
              </w:rPr>
              <w:t xml:space="preserve">до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6.4.</w:t>
            </w:r>
          </w:p>
        </w:tc>
        <w:tc>
          <w:tcPr>
            <w:tcW w:w="5613" w:type="dxa"/>
          </w:tcPr>
          <w:p>
            <w:pPr>
              <w:pStyle w:val="0"/>
            </w:pPr>
            <w:r>
              <w:rPr>
                <w:sz w:val="20"/>
              </w:rPr>
              <w:t xml:space="preserve">Внедрение системы контроля качества медицинской помощи в медицинских организациях автономного округа:</w:t>
            </w:r>
          </w:p>
          <w:p>
            <w:pPr>
              <w:pStyle w:val="0"/>
            </w:pPr>
            <w:r>
              <w:rPr>
                <w:sz w:val="20"/>
              </w:rPr>
              <w:t xml:space="preserve">1. Проведение педиатрических аудитов медицинской помощи на амбулаторном и стационарном этапах.</w:t>
            </w:r>
          </w:p>
          <w:p>
            <w:pPr>
              <w:pStyle w:val="0"/>
            </w:pPr>
            <w:r>
              <w:rPr>
                <w:sz w:val="20"/>
              </w:rPr>
              <w:t xml:space="preserve">2. Осуществление выездной консультативной и аудиторской работы главными внештатными специалистами педиатрического профиля Департамента здравоохранения автономного округа в муниципальные образования автономного округа.</w:t>
            </w:r>
          </w:p>
          <w:p>
            <w:pPr>
              <w:pStyle w:val="0"/>
            </w:pPr>
            <w:r>
              <w:rPr>
                <w:sz w:val="20"/>
              </w:rPr>
              <w:t xml:space="preserve">3. Внедрение контроля (самоконтроля) качества медицинской помощи детям в медицинской организации за счет внедрения чек-листов</w:t>
            </w:r>
          </w:p>
        </w:tc>
        <w:tc>
          <w:tcPr>
            <w:tcW w:w="2041" w:type="dxa"/>
          </w:tcPr>
          <w:p>
            <w:pPr>
              <w:pStyle w:val="0"/>
            </w:pPr>
            <w:r>
              <w:rPr>
                <w:sz w:val="20"/>
              </w:rPr>
              <w:t xml:space="preserve">до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6.5.</w:t>
            </w:r>
          </w:p>
        </w:tc>
        <w:tc>
          <w:tcPr>
            <w:tcW w:w="5613" w:type="dxa"/>
          </w:tcPr>
          <w:p>
            <w:pPr>
              <w:pStyle w:val="0"/>
            </w:pPr>
            <w:r>
              <w:rPr>
                <w:sz w:val="20"/>
              </w:rPr>
              <w:t xml:space="preserve">Развитие детской паллиативной службы:</w:t>
            </w:r>
          </w:p>
          <w:p>
            <w:pPr>
              <w:pStyle w:val="0"/>
            </w:pPr>
            <w:r>
              <w:rPr>
                <w:sz w:val="20"/>
              </w:rPr>
              <w:t xml:space="preserve">1. Увеличение до 40 паллиативных коек 2. Совершенствование регистра паллиативных детей за счет введения учета нутритивной поддержки.</w:t>
            </w:r>
          </w:p>
          <w:p>
            <w:pPr>
              <w:pStyle w:val="0"/>
            </w:pPr>
            <w:r>
              <w:rPr>
                <w:sz w:val="20"/>
              </w:rPr>
              <w:t xml:space="preserve">3. Формирование региональной программы нутритивной поддержки детей с паллиативным статусом.</w:t>
            </w:r>
          </w:p>
          <w:p>
            <w:pPr>
              <w:pStyle w:val="0"/>
            </w:pPr>
            <w:r>
              <w:rPr>
                <w:sz w:val="20"/>
              </w:rPr>
              <w:t xml:space="preserve">4. Проведение круглых столов, видеоконференций с пациентскими и общественными организациями.</w:t>
            </w:r>
          </w:p>
          <w:p>
            <w:pPr>
              <w:pStyle w:val="0"/>
            </w:pPr>
            <w:r>
              <w:rPr>
                <w:sz w:val="20"/>
              </w:rPr>
              <w:t xml:space="preserve">5. Проведение обучения врачей педиатров оказанию медицинской помощи детям с паллиативным статусом.</w:t>
            </w:r>
          </w:p>
        </w:tc>
        <w:tc>
          <w:tcPr>
            <w:tcW w:w="2041" w:type="dxa"/>
          </w:tcPr>
          <w:p>
            <w:pPr>
              <w:pStyle w:val="0"/>
            </w:pPr>
            <w:r>
              <w:rPr>
                <w:sz w:val="20"/>
              </w:rPr>
              <w:t xml:space="preserve">до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6.6.</w:t>
            </w:r>
          </w:p>
        </w:tc>
        <w:tc>
          <w:tcPr>
            <w:tcW w:w="5613" w:type="dxa"/>
          </w:tcPr>
          <w:p>
            <w:pPr>
              <w:pStyle w:val="0"/>
            </w:pPr>
            <w:r>
              <w:rPr>
                <w:sz w:val="20"/>
              </w:rPr>
              <w:t xml:space="preserve">Развитие отделений медицинской реабилитации:</w:t>
            </w:r>
          </w:p>
          <w:p>
            <w:pPr>
              <w:pStyle w:val="0"/>
            </w:pPr>
            <w:r>
              <w:rPr>
                <w:sz w:val="20"/>
              </w:rPr>
              <w:t xml:space="preserve">на базе БУ "Сургутский окружной клинический центр охраны материнства и детства" для детей до 5 лет с перинатальной патологией и врожденной патологией,</w:t>
            </w:r>
          </w:p>
          <w:p>
            <w:pPr>
              <w:pStyle w:val="0"/>
            </w:pPr>
            <w:r>
              <w:rPr>
                <w:sz w:val="20"/>
              </w:rPr>
              <w:t xml:space="preserve">на базе БУ "Нижневартовская окружная клиническая детская больница" для детей с неврологической, кардиологической, ревматологической, хирургической патологией</w:t>
            </w:r>
          </w:p>
        </w:tc>
        <w:tc>
          <w:tcPr>
            <w:tcW w:w="2041" w:type="dxa"/>
          </w:tcPr>
          <w:p>
            <w:pPr>
              <w:pStyle w:val="0"/>
            </w:pPr>
            <w:r>
              <w:rPr>
                <w:sz w:val="20"/>
              </w:rPr>
              <w:t xml:space="preserve">до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7.</w:t>
            </w:r>
          </w:p>
        </w:tc>
        <w:tc>
          <w:tcPr>
            <w:tcW w:w="5613" w:type="dxa"/>
          </w:tcPr>
          <w:p>
            <w:pPr>
              <w:pStyle w:val="0"/>
            </w:pPr>
            <w:r>
              <w:rPr>
                <w:sz w:val="20"/>
              </w:rPr>
              <w:t xml:space="preserve">Укрепление материально-технической базы детских поликлиник медицинских организаций Ханты-Мансийского автономного округа - Югры</w:t>
            </w:r>
          </w:p>
        </w:tc>
        <w:tc>
          <w:tcPr>
            <w:tcW w:w="2041" w:type="dxa"/>
          </w:tcPr>
          <w:p>
            <w:pPr>
              <w:pStyle w:val="0"/>
            </w:pPr>
            <w:r>
              <w:rPr>
                <w:sz w:val="20"/>
              </w:rPr>
              <w:t xml:space="preserve">с 1 января 2022 года по 31 декабря 2024 года</w:t>
            </w:r>
          </w:p>
        </w:tc>
        <w:tc>
          <w:tcPr>
            <w:tcW w:w="3061"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0"/>
              </w:rPr>
              <w:t xml:space="preserve">7.1.</w:t>
            </w:r>
          </w:p>
        </w:tc>
        <w:tc>
          <w:tcPr>
            <w:tcW w:w="5613" w:type="dxa"/>
          </w:tcPr>
          <w:p>
            <w:pPr>
              <w:pStyle w:val="0"/>
            </w:pPr>
            <w:r>
              <w:rPr>
                <w:sz w:val="20"/>
              </w:rPr>
              <w:t xml:space="preserve">Разработка и утверждение перечня медицинских организаций и графика мероприятий по укреплению материально-технической базы детских поликлиник медицинских организаций автономного округа</w:t>
            </w:r>
          </w:p>
        </w:tc>
        <w:tc>
          <w:tcPr>
            <w:tcW w:w="2041" w:type="dxa"/>
          </w:tcPr>
          <w:p>
            <w:pPr>
              <w:pStyle w:val="0"/>
            </w:pPr>
            <w:r>
              <w:rPr>
                <w:sz w:val="20"/>
              </w:rPr>
              <w:t xml:space="preserve">с 1 января 2022 года по 31 декабря 2022 года</w:t>
            </w:r>
          </w:p>
        </w:tc>
        <w:tc>
          <w:tcPr>
            <w:tcW w:w="3061" w:type="dxa"/>
          </w:tcPr>
          <w:p>
            <w:pPr>
              <w:pStyle w:val="0"/>
            </w:pPr>
            <w:r>
              <w:rPr>
                <w:sz w:val="20"/>
              </w:rPr>
              <w:t xml:space="preserve">Департамент здравоохранения автономного округа</w:t>
            </w:r>
          </w:p>
        </w:tc>
      </w:tr>
      <w:tr>
        <w:tc>
          <w:tcPr>
            <w:tcW w:w="604" w:type="dxa"/>
          </w:tcPr>
          <w:p>
            <w:pPr>
              <w:pStyle w:val="0"/>
            </w:pPr>
            <w:r>
              <w:rPr>
                <w:sz w:val="20"/>
              </w:rPr>
              <w:t xml:space="preserve">7.2.</w:t>
            </w:r>
          </w:p>
        </w:tc>
        <w:tc>
          <w:tcPr>
            <w:tcW w:w="5613" w:type="dxa"/>
          </w:tcPr>
          <w:p>
            <w:pPr>
              <w:pStyle w:val="0"/>
            </w:pPr>
            <w:r>
              <w:rPr>
                <w:sz w:val="20"/>
              </w:rPr>
              <w:t xml:space="preserve">Проведение мероприятий по укреплению материально-технической базы детских поликлиник медицинских организаций автономного округа:</w:t>
            </w:r>
          </w:p>
          <w:p>
            <w:pPr>
              <w:pStyle w:val="0"/>
            </w:pPr>
            <w:r>
              <w:rPr>
                <w:sz w:val="20"/>
              </w:rPr>
              <w:t xml:space="preserve">БУ "Нижневартовская городская детская поликлиника"</w:t>
            </w:r>
          </w:p>
          <w:p>
            <w:pPr>
              <w:pStyle w:val="0"/>
            </w:pPr>
            <w:r>
              <w:rPr>
                <w:sz w:val="20"/>
              </w:rPr>
              <w:t xml:space="preserve">БУ "Сургутская городская клиническая поликлиника N 2"</w:t>
            </w:r>
          </w:p>
          <w:p>
            <w:pPr>
              <w:pStyle w:val="0"/>
            </w:pPr>
            <w:r>
              <w:rPr>
                <w:sz w:val="20"/>
              </w:rPr>
              <w:t xml:space="preserve">БУ "Сургутская городская клиническая поликлиника N 4"</w:t>
            </w:r>
          </w:p>
          <w:p>
            <w:pPr>
              <w:pStyle w:val="0"/>
            </w:pPr>
            <w:r>
              <w:rPr>
                <w:sz w:val="20"/>
              </w:rPr>
              <w:t xml:space="preserve">БУ "Мегионская городская больница"</w:t>
            </w:r>
          </w:p>
        </w:tc>
        <w:tc>
          <w:tcPr>
            <w:tcW w:w="2041" w:type="dxa"/>
          </w:tcPr>
          <w:p>
            <w:pPr>
              <w:pStyle w:val="0"/>
            </w:pPr>
            <w:r>
              <w:rPr>
                <w:sz w:val="20"/>
              </w:rPr>
              <w:t xml:space="preserve">с 1 января 2022 года по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8.</w:t>
            </w:r>
          </w:p>
        </w:tc>
        <w:tc>
          <w:tcPr>
            <w:tcW w:w="5613" w:type="dxa"/>
          </w:tcPr>
          <w:p>
            <w:pPr>
              <w:pStyle w:val="0"/>
            </w:pPr>
            <w:r>
              <w:rPr>
                <w:sz w:val="20"/>
              </w:rPr>
              <w:t xml:space="preserve">Мероприятия по повышению охвата диспансерным наблюдением в соответствии с индикаторами программы</w:t>
            </w:r>
          </w:p>
        </w:tc>
        <w:tc>
          <w:tcPr>
            <w:tcW w:w="2041" w:type="dxa"/>
          </w:tcPr>
          <w:p>
            <w:pPr>
              <w:pStyle w:val="0"/>
            </w:pPr>
            <w:r>
              <w:rPr>
                <w:sz w:val="20"/>
              </w:rPr>
              <w:t xml:space="preserve">до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8.1</w:t>
            </w:r>
          </w:p>
        </w:tc>
        <w:tc>
          <w:tcPr>
            <w:tcW w:w="5613" w:type="dxa"/>
          </w:tcPr>
          <w:p>
            <w:pPr>
              <w:pStyle w:val="0"/>
            </w:pPr>
            <w:r>
              <w:rPr>
                <w:sz w:val="20"/>
              </w:rPr>
              <w:t xml:space="preserve">Обучение специалистов по соблюдению требований нормативных документов, регламентирующих проведение диспансеризации детей и подростков</w:t>
            </w:r>
          </w:p>
        </w:tc>
        <w:tc>
          <w:tcPr>
            <w:tcW w:w="2041" w:type="dxa"/>
          </w:tcPr>
          <w:p>
            <w:pPr>
              <w:pStyle w:val="0"/>
            </w:pPr>
            <w:r>
              <w:rPr>
                <w:sz w:val="20"/>
              </w:rPr>
              <w:t xml:space="preserve">до 31 декабря 2024 года</w:t>
            </w:r>
          </w:p>
        </w:tc>
        <w:tc>
          <w:tcPr>
            <w:tcW w:w="3061" w:type="dxa"/>
          </w:tcPr>
          <w:p>
            <w:pPr>
              <w:pStyle w:val="0"/>
            </w:pPr>
            <w:r>
              <w:rPr>
                <w:sz w:val="20"/>
              </w:rPr>
              <w:t xml:space="preserve">медицинские организации автономного округа (по согласованию)</w:t>
            </w:r>
          </w:p>
        </w:tc>
      </w:tr>
      <w:tr>
        <w:tc>
          <w:tcPr>
            <w:tcW w:w="604" w:type="dxa"/>
          </w:tcPr>
          <w:p>
            <w:pPr>
              <w:pStyle w:val="0"/>
            </w:pPr>
            <w:r>
              <w:rPr>
                <w:sz w:val="20"/>
              </w:rPr>
              <w:t xml:space="preserve">8.2</w:t>
            </w:r>
          </w:p>
        </w:tc>
        <w:tc>
          <w:tcPr>
            <w:tcW w:w="5613" w:type="dxa"/>
          </w:tcPr>
          <w:p>
            <w:pPr>
              <w:pStyle w:val="0"/>
            </w:pPr>
            <w:r>
              <w:rPr>
                <w:sz w:val="20"/>
              </w:rPr>
              <w:t xml:space="preserve">Ежеквартальные видеоконференции с медицинскими организациями по итогам достижения показателей проекта</w:t>
            </w:r>
          </w:p>
        </w:tc>
        <w:tc>
          <w:tcPr>
            <w:tcW w:w="2041" w:type="dxa"/>
          </w:tcPr>
          <w:p>
            <w:pPr>
              <w:pStyle w:val="0"/>
            </w:pPr>
            <w:r>
              <w:rPr>
                <w:sz w:val="20"/>
              </w:rPr>
              <w:t xml:space="preserve">до 31 декабря 2024 года</w:t>
            </w:r>
          </w:p>
        </w:tc>
        <w:tc>
          <w:tcPr>
            <w:tcW w:w="3061"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0"/>
              </w:rPr>
              <w:t xml:space="preserve">8.3</w:t>
            </w:r>
          </w:p>
        </w:tc>
        <w:tc>
          <w:tcPr>
            <w:tcW w:w="5613" w:type="dxa"/>
          </w:tcPr>
          <w:p>
            <w:pPr>
              <w:pStyle w:val="0"/>
            </w:pPr>
            <w:r>
              <w:rPr>
                <w:sz w:val="20"/>
              </w:rPr>
              <w:t xml:space="preserve">Выездные аудиты амбулаторно-поликлинической педиатрической службы</w:t>
            </w:r>
          </w:p>
        </w:tc>
        <w:tc>
          <w:tcPr>
            <w:tcW w:w="2041" w:type="dxa"/>
          </w:tcPr>
          <w:p>
            <w:pPr>
              <w:pStyle w:val="0"/>
            </w:pPr>
            <w:r>
              <w:rPr>
                <w:sz w:val="20"/>
              </w:rPr>
              <w:t xml:space="preserve">до 31 декабря 2024 года</w:t>
            </w:r>
          </w:p>
        </w:tc>
        <w:tc>
          <w:tcPr>
            <w:tcW w:w="3061"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0"/>
              </w:rPr>
              <w:t xml:space="preserve">8.4</w:t>
            </w:r>
          </w:p>
        </w:tc>
        <w:tc>
          <w:tcPr>
            <w:tcW w:w="5613" w:type="dxa"/>
          </w:tcPr>
          <w:p>
            <w:pPr>
              <w:pStyle w:val="0"/>
            </w:pPr>
            <w:r>
              <w:rPr>
                <w:sz w:val="20"/>
              </w:rPr>
              <w:t xml:space="preserve">Проведение заседаний Окружного консультативно-экспертного совета по охране материнства и детства не менее 2 раз в год</w:t>
            </w:r>
          </w:p>
        </w:tc>
        <w:tc>
          <w:tcPr>
            <w:tcW w:w="2041" w:type="dxa"/>
          </w:tcPr>
          <w:p>
            <w:pPr>
              <w:pStyle w:val="0"/>
            </w:pPr>
            <w:r>
              <w:rPr>
                <w:sz w:val="20"/>
              </w:rPr>
              <w:t xml:space="preserve">до 31 декабря 2024 года</w:t>
            </w:r>
          </w:p>
        </w:tc>
        <w:tc>
          <w:tcPr>
            <w:tcW w:w="3061"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0"/>
              </w:rPr>
              <w:t xml:space="preserve">9.</w:t>
            </w:r>
          </w:p>
        </w:tc>
        <w:tc>
          <w:tcPr>
            <w:tcW w:w="5613" w:type="dxa"/>
          </w:tcPr>
          <w:p>
            <w:pPr>
              <w:pStyle w:val="0"/>
            </w:pPr>
            <w:r>
              <w:rPr>
                <w:sz w:val="20"/>
              </w:rPr>
              <w:t xml:space="preserve">Взаимодействие с национальными медицинскими исследовательскими центрами</w:t>
            </w:r>
          </w:p>
        </w:tc>
        <w:tc>
          <w:tcPr>
            <w:tcW w:w="2041" w:type="dxa"/>
          </w:tcPr>
          <w:p>
            <w:pPr>
              <w:pStyle w:val="0"/>
            </w:pPr>
            <w:r>
              <w:rPr>
                <w:sz w:val="20"/>
              </w:rPr>
              <w:t xml:space="preserve">до 31 декабря 2024 года</w:t>
            </w:r>
          </w:p>
        </w:tc>
        <w:tc>
          <w:tcPr>
            <w:tcW w:w="3061"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r>
      <w:tr>
        <w:tc>
          <w:tcPr>
            <w:tcW w:w="604" w:type="dxa"/>
          </w:tcPr>
          <w:p>
            <w:pPr>
              <w:pStyle w:val="0"/>
            </w:pPr>
            <w:r>
              <w:rPr>
                <w:sz w:val="20"/>
              </w:rPr>
              <w:t xml:space="preserve">9.1</w:t>
            </w:r>
          </w:p>
        </w:tc>
        <w:tc>
          <w:tcPr>
            <w:tcW w:w="5613" w:type="dxa"/>
          </w:tcPr>
          <w:p>
            <w:pPr>
              <w:pStyle w:val="0"/>
            </w:pPr>
            <w:r>
              <w:rPr>
                <w:sz w:val="20"/>
              </w:rPr>
              <w:t xml:space="preserve">Взаимодействие с ФГБУ "Национальный медицинский Исследовательский центр акушерства, гинекологии, гинекологии и перинатологии имени академика В.И. Кулакова" Минздрава России</w:t>
            </w:r>
          </w:p>
        </w:tc>
        <w:tc>
          <w:tcPr>
            <w:tcW w:w="2041" w:type="dxa"/>
          </w:tcPr>
          <w:p>
            <w:pPr>
              <w:pStyle w:val="0"/>
            </w:pPr>
            <w:r>
              <w:rPr>
                <w:sz w:val="20"/>
              </w:rPr>
              <w:t xml:space="preserve">до 31 декабря 2024 года</w:t>
            </w:r>
          </w:p>
        </w:tc>
        <w:tc>
          <w:tcPr>
            <w:tcW w:w="3061" w:type="dxa"/>
          </w:tcPr>
          <w:p>
            <w:pPr>
              <w:pStyle w:val="0"/>
            </w:pPr>
            <w:r>
              <w:rPr>
                <w:sz w:val="20"/>
              </w:rPr>
              <w:t xml:space="preserve">БУ "Сургутский клинический перинатальный центр" (по согласованию)</w:t>
            </w:r>
          </w:p>
        </w:tc>
      </w:tr>
      <w:tr>
        <w:tc>
          <w:tcPr>
            <w:tcW w:w="604" w:type="dxa"/>
          </w:tcPr>
          <w:p>
            <w:pPr>
              <w:pStyle w:val="0"/>
            </w:pPr>
            <w:r>
              <w:rPr>
                <w:sz w:val="20"/>
              </w:rPr>
              <w:t xml:space="preserve">9.2</w:t>
            </w:r>
          </w:p>
        </w:tc>
        <w:tc>
          <w:tcPr>
            <w:tcW w:w="5613" w:type="dxa"/>
          </w:tcPr>
          <w:p>
            <w:pPr>
              <w:pStyle w:val="0"/>
            </w:pPr>
            <w:r>
              <w:rPr>
                <w:sz w:val="20"/>
              </w:rPr>
              <w:t xml:space="preserve">Взаимодействие с ФГБУ "Национальный медицинский исследовательский Центр Здоровья Детей" Минздрава России</w:t>
            </w:r>
          </w:p>
        </w:tc>
        <w:tc>
          <w:tcPr>
            <w:tcW w:w="2041" w:type="dxa"/>
          </w:tcPr>
          <w:p>
            <w:pPr>
              <w:pStyle w:val="0"/>
            </w:pPr>
            <w:r>
              <w:rPr>
                <w:sz w:val="20"/>
              </w:rPr>
              <w:t xml:space="preserve">до 31 декабря 2024 года</w:t>
            </w:r>
          </w:p>
        </w:tc>
        <w:tc>
          <w:tcPr>
            <w:tcW w:w="3061" w:type="dxa"/>
          </w:tcPr>
          <w:p>
            <w:pPr>
              <w:pStyle w:val="0"/>
            </w:pPr>
            <w:r>
              <w:rPr>
                <w:sz w:val="20"/>
              </w:rPr>
              <w:t xml:space="preserve">БУ "Нижневартовская окружная клиническая детская больница" (по согласованию)</w:t>
            </w:r>
          </w:p>
        </w:tc>
      </w:tr>
    </w:tbl>
    <w:p>
      <w:pPr>
        <w:pStyle w:val="0"/>
        <w:ind w:firstLine="540"/>
        <w:jc w:val="both"/>
      </w:pPr>
      <w:r>
        <w:rPr>
          <w:sz w:val="20"/>
        </w:rPr>
      </w:r>
    </w:p>
    <w:p>
      <w:pPr>
        <w:pStyle w:val="2"/>
        <w:outlineLvl w:val="1"/>
        <w:jc w:val="center"/>
      </w:pPr>
      <w:r>
        <w:rPr>
          <w:sz w:val="20"/>
        </w:rPr>
        <w:t xml:space="preserve">Раздел 8. ПОКАЗАТЕЛИ ЭФФЕКТИВНОСТИ РЕГИОНАЛЬНОЙ ПРОГРАММЫ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025"/>
        <w:gridCol w:w="814"/>
        <w:gridCol w:w="1814"/>
        <w:gridCol w:w="769"/>
        <w:gridCol w:w="737"/>
        <w:gridCol w:w="814"/>
        <w:gridCol w:w="604"/>
        <w:gridCol w:w="604"/>
        <w:gridCol w:w="604"/>
      </w:tblGrid>
      <w:tr>
        <w:tc>
          <w:tcPr>
            <w:gridSpan w:val="9"/>
            <w:tcW w:w="10785" w:type="dxa"/>
          </w:tcPr>
          <w:p>
            <w:pPr>
              <w:pStyle w:val="0"/>
              <w:outlineLvl w:val="2"/>
              <w:jc w:val="center"/>
            </w:pPr>
            <w:r>
              <w:rPr>
                <w:sz w:val="20"/>
              </w:rPr>
              <w:t xml:space="preserve">Снижение младенческой смертности в Ханты-Мансийском автономном округе - Югре до 3,7 на 1000 родившихся живыми к 2024 году</w:t>
            </w:r>
          </w:p>
        </w:tc>
      </w:tr>
      <w:tr>
        <w:tc>
          <w:tcPr>
            <w:tcW w:w="4025" w:type="dxa"/>
            <w:vMerge w:val="restart"/>
          </w:tcPr>
          <w:p>
            <w:pPr>
              <w:pStyle w:val="0"/>
              <w:jc w:val="center"/>
            </w:pPr>
            <w:r>
              <w:rPr>
                <w:sz w:val="20"/>
              </w:rPr>
              <w:t xml:space="preserve">Наименование показателя</w:t>
            </w:r>
          </w:p>
        </w:tc>
        <w:tc>
          <w:tcPr>
            <w:tcW w:w="814" w:type="dxa"/>
            <w:vMerge w:val="restart"/>
          </w:tcPr>
          <w:p>
            <w:pPr>
              <w:pStyle w:val="0"/>
              <w:jc w:val="center"/>
            </w:pPr>
            <w:r>
              <w:rPr>
                <w:sz w:val="20"/>
              </w:rPr>
              <w:t xml:space="preserve">Код строки</w:t>
            </w:r>
          </w:p>
        </w:tc>
        <w:tc>
          <w:tcPr>
            <w:gridSpan w:val="2"/>
            <w:tcW w:w="2583" w:type="dxa"/>
          </w:tcPr>
          <w:p>
            <w:pPr>
              <w:pStyle w:val="0"/>
              <w:jc w:val="center"/>
            </w:pPr>
            <w:r>
              <w:rPr>
                <w:sz w:val="20"/>
              </w:rPr>
              <w:t xml:space="preserve">Единица измерения</w:t>
            </w:r>
          </w:p>
        </w:tc>
        <w:tc>
          <w:tcPr>
            <w:gridSpan w:val="2"/>
            <w:tcW w:w="1551" w:type="dxa"/>
          </w:tcPr>
          <w:p>
            <w:pPr>
              <w:pStyle w:val="0"/>
              <w:jc w:val="center"/>
            </w:pPr>
            <w:r>
              <w:rPr>
                <w:sz w:val="20"/>
              </w:rPr>
              <w:t xml:space="preserve">Базовое значение</w:t>
            </w:r>
          </w:p>
        </w:tc>
        <w:tc>
          <w:tcPr>
            <w:gridSpan w:val="3"/>
            <w:tcW w:w="1812" w:type="dxa"/>
          </w:tcPr>
          <w:p>
            <w:pPr>
              <w:pStyle w:val="0"/>
              <w:jc w:val="center"/>
            </w:pPr>
            <w:r>
              <w:rPr>
                <w:sz w:val="20"/>
              </w:rPr>
              <w:t xml:space="preserve">Период, год</w:t>
            </w:r>
          </w:p>
        </w:tc>
      </w:tr>
      <w:tr>
        <w:tc>
          <w:tcPr>
            <w:vMerge w:val="continue"/>
          </w:tcPr>
          <w:p/>
        </w:tc>
        <w:tc>
          <w:tcPr>
            <w:vMerge w:val="continue"/>
          </w:tcPr>
          <w:p/>
        </w:tc>
        <w:tc>
          <w:tcPr>
            <w:tcW w:w="1814" w:type="dxa"/>
          </w:tcPr>
          <w:p>
            <w:pPr>
              <w:pStyle w:val="0"/>
              <w:jc w:val="center"/>
            </w:pPr>
            <w:r>
              <w:rPr>
                <w:sz w:val="20"/>
              </w:rPr>
              <w:t xml:space="preserve">Наименование</w:t>
            </w:r>
          </w:p>
        </w:tc>
        <w:tc>
          <w:tcPr>
            <w:tcW w:w="769" w:type="dxa"/>
          </w:tcPr>
          <w:p>
            <w:pPr>
              <w:pStyle w:val="0"/>
              <w:jc w:val="center"/>
            </w:pPr>
            <w:r>
              <w:rPr>
                <w:sz w:val="20"/>
              </w:rPr>
              <w:t xml:space="preserve">Код по </w:t>
            </w:r>
            <w:hyperlink w:history="0" r:id="rId85" w:tooltip="&quot;ОК 015-94 (МК 002-97). Общероссийский классификатор единиц измерения&quot; (утв. Постановлением Госстандарта России от 26.12.1994 N 366) (ред. от 07.02.2023) {КонсультантПлюс}">
              <w:r>
                <w:rPr>
                  <w:sz w:val="20"/>
                  <w:color w:val="0000ff"/>
                </w:rPr>
                <w:t xml:space="preserve">ОКЕИ</w:t>
              </w:r>
            </w:hyperlink>
          </w:p>
        </w:tc>
        <w:tc>
          <w:tcPr>
            <w:tcW w:w="737" w:type="dxa"/>
          </w:tcPr>
          <w:p>
            <w:pPr>
              <w:pStyle w:val="0"/>
              <w:jc w:val="center"/>
            </w:pPr>
            <w:r>
              <w:rPr>
                <w:sz w:val="20"/>
              </w:rPr>
              <w:t xml:space="preserve">Значение</w:t>
            </w:r>
          </w:p>
        </w:tc>
        <w:tc>
          <w:tcPr>
            <w:tcW w:w="814" w:type="dxa"/>
          </w:tcPr>
          <w:p>
            <w:pPr>
              <w:pStyle w:val="0"/>
              <w:jc w:val="center"/>
            </w:pPr>
            <w:r>
              <w:rPr>
                <w:sz w:val="20"/>
              </w:rPr>
              <w:t xml:space="preserve">Дата (мм.гг)</w:t>
            </w:r>
          </w:p>
        </w:tc>
        <w:tc>
          <w:tcPr>
            <w:tcW w:w="604" w:type="dxa"/>
          </w:tcPr>
          <w:p>
            <w:pPr>
              <w:pStyle w:val="0"/>
              <w:jc w:val="center"/>
            </w:pPr>
            <w:r>
              <w:rPr>
                <w:sz w:val="20"/>
              </w:rPr>
              <w:t xml:space="preserve">2022</w:t>
            </w:r>
          </w:p>
        </w:tc>
        <w:tc>
          <w:tcPr>
            <w:tcW w:w="604" w:type="dxa"/>
          </w:tcPr>
          <w:p>
            <w:pPr>
              <w:pStyle w:val="0"/>
              <w:jc w:val="center"/>
            </w:pPr>
            <w:r>
              <w:rPr>
                <w:sz w:val="20"/>
              </w:rPr>
              <w:t xml:space="preserve">2023</w:t>
            </w:r>
          </w:p>
        </w:tc>
        <w:tc>
          <w:tcPr>
            <w:tcW w:w="604" w:type="dxa"/>
          </w:tcPr>
          <w:p>
            <w:pPr>
              <w:pStyle w:val="0"/>
              <w:jc w:val="center"/>
            </w:pPr>
            <w:r>
              <w:rPr>
                <w:sz w:val="20"/>
              </w:rPr>
              <w:t xml:space="preserve">2024</w:t>
            </w:r>
          </w:p>
        </w:tc>
      </w:tr>
      <w:tr>
        <w:tc>
          <w:tcPr>
            <w:tcW w:w="4025" w:type="dxa"/>
          </w:tcPr>
          <w:p>
            <w:pPr>
              <w:pStyle w:val="0"/>
              <w:jc w:val="center"/>
            </w:pPr>
            <w:r>
              <w:rPr>
                <w:sz w:val="20"/>
              </w:rPr>
              <w:t xml:space="preserve">1</w:t>
            </w:r>
          </w:p>
        </w:tc>
        <w:tc>
          <w:tcPr>
            <w:tcW w:w="814" w:type="dxa"/>
          </w:tcPr>
          <w:p>
            <w:pPr>
              <w:pStyle w:val="0"/>
              <w:jc w:val="center"/>
            </w:pPr>
            <w:r>
              <w:rPr>
                <w:sz w:val="20"/>
              </w:rPr>
              <w:t xml:space="preserve">2</w:t>
            </w:r>
          </w:p>
        </w:tc>
        <w:tc>
          <w:tcPr>
            <w:tcW w:w="1814" w:type="dxa"/>
          </w:tcPr>
          <w:p>
            <w:pPr>
              <w:pStyle w:val="0"/>
              <w:jc w:val="center"/>
            </w:pPr>
            <w:r>
              <w:rPr>
                <w:sz w:val="20"/>
              </w:rPr>
              <w:t xml:space="preserve">3</w:t>
            </w:r>
          </w:p>
        </w:tc>
        <w:tc>
          <w:tcPr>
            <w:tcW w:w="769" w:type="dxa"/>
          </w:tcPr>
          <w:p>
            <w:pPr>
              <w:pStyle w:val="0"/>
              <w:jc w:val="center"/>
            </w:pPr>
            <w:r>
              <w:rPr>
                <w:sz w:val="20"/>
              </w:rPr>
              <w:t xml:space="preserve">4</w:t>
            </w:r>
          </w:p>
        </w:tc>
        <w:tc>
          <w:tcPr>
            <w:tcW w:w="737" w:type="dxa"/>
          </w:tcPr>
          <w:p>
            <w:pPr>
              <w:pStyle w:val="0"/>
              <w:jc w:val="center"/>
            </w:pPr>
            <w:r>
              <w:rPr>
                <w:sz w:val="20"/>
              </w:rPr>
              <w:t xml:space="preserve">5</w:t>
            </w:r>
          </w:p>
        </w:tc>
        <w:tc>
          <w:tcPr>
            <w:tcW w:w="814" w:type="dxa"/>
          </w:tcPr>
          <w:p>
            <w:pPr>
              <w:pStyle w:val="0"/>
              <w:jc w:val="center"/>
            </w:pPr>
            <w:r>
              <w:rPr>
                <w:sz w:val="20"/>
              </w:rPr>
              <w:t xml:space="preserve">6</w:t>
            </w:r>
          </w:p>
        </w:tc>
        <w:tc>
          <w:tcPr>
            <w:tcW w:w="604" w:type="dxa"/>
          </w:tcPr>
          <w:p>
            <w:pPr>
              <w:pStyle w:val="0"/>
              <w:jc w:val="center"/>
            </w:pPr>
            <w:r>
              <w:rPr>
                <w:sz w:val="20"/>
              </w:rPr>
              <w:t xml:space="preserve">7</w:t>
            </w:r>
          </w:p>
        </w:tc>
        <w:tc>
          <w:tcPr>
            <w:tcW w:w="604" w:type="dxa"/>
          </w:tcPr>
          <w:p>
            <w:pPr>
              <w:pStyle w:val="0"/>
              <w:jc w:val="center"/>
            </w:pPr>
            <w:r>
              <w:rPr>
                <w:sz w:val="20"/>
              </w:rPr>
              <w:t xml:space="preserve">8</w:t>
            </w:r>
          </w:p>
        </w:tc>
        <w:tc>
          <w:tcPr>
            <w:tcW w:w="604" w:type="dxa"/>
          </w:tcPr>
          <w:p>
            <w:pPr>
              <w:pStyle w:val="0"/>
              <w:jc w:val="center"/>
            </w:pPr>
            <w:r>
              <w:rPr>
                <w:sz w:val="20"/>
              </w:rPr>
              <w:t xml:space="preserve">9</w:t>
            </w:r>
          </w:p>
        </w:tc>
      </w:tr>
      <w:tr>
        <w:tc>
          <w:tcPr>
            <w:tcW w:w="4025" w:type="dxa"/>
          </w:tcPr>
          <w:p>
            <w:pPr>
              <w:pStyle w:val="0"/>
            </w:pPr>
            <w:r>
              <w:rPr>
                <w:sz w:val="20"/>
              </w:rPr>
              <w:t xml:space="preserve">Укомплектованность медицинских организаций, оказывающих медицинскую помощь детям (доля занятых физическими лицами должностей от общего количества должностей в медицинских организациях, оказывающих медицинскую помощь в амбулаторных условиях), нарастающим итогом врачами-педиатрами</w:t>
            </w:r>
          </w:p>
        </w:tc>
        <w:tc>
          <w:tcPr>
            <w:tcW w:w="814" w:type="dxa"/>
          </w:tcPr>
          <w:p>
            <w:pPr>
              <w:pStyle w:val="0"/>
            </w:pPr>
            <w:r>
              <w:rPr>
                <w:sz w:val="20"/>
              </w:rPr>
              <w:t xml:space="preserve">01</w:t>
            </w:r>
          </w:p>
        </w:tc>
        <w:tc>
          <w:tcPr>
            <w:tcW w:w="1814" w:type="dxa"/>
          </w:tcPr>
          <w:p>
            <w:pPr>
              <w:pStyle w:val="0"/>
            </w:pPr>
            <w:r>
              <w:rPr>
                <w:sz w:val="20"/>
              </w:rPr>
              <w:t xml:space="preserve">процент</w:t>
            </w:r>
          </w:p>
        </w:tc>
        <w:tc>
          <w:tcPr>
            <w:tcW w:w="769" w:type="dxa"/>
          </w:tcPr>
          <w:p>
            <w:pPr>
              <w:pStyle w:val="0"/>
            </w:pPr>
            <w:hyperlink w:history="0" r:id="rId86" w:tooltip="&quot;ОК 015-94 (МК 002-97). Общероссийский классификатор единиц измерения&quot; (утв. Постановлением Госстандарта России от 26.12.1994 N 366) (ред. от 07.02.2023) {КонсультантПлюс}">
              <w:r>
                <w:rPr>
                  <w:sz w:val="20"/>
                  <w:color w:val="0000ff"/>
                </w:rPr>
                <w:t xml:space="preserve">744</w:t>
              </w:r>
            </w:hyperlink>
          </w:p>
        </w:tc>
        <w:tc>
          <w:tcPr>
            <w:tcW w:w="737" w:type="dxa"/>
          </w:tcPr>
          <w:p>
            <w:pPr>
              <w:pStyle w:val="0"/>
            </w:pPr>
            <w:r>
              <w:rPr>
                <w:sz w:val="20"/>
              </w:rPr>
              <w:t xml:space="preserve">95</w:t>
            </w:r>
          </w:p>
        </w:tc>
        <w:tc>
          <w:tcPr>
            <w:tcW w:w="814" w:type="dxa"/>
          </w:tcPr>
          <w:p>
            <w:pPr>
              <w:pStyle w:val="0"/>
            </w:pPr>
            <w:r>
              <w:rPr>
                <w:sz w:val="20"/>
              </w:rPr>
              <w:t xml:space="preserve">12.19</w:t>
            </w:r>
          </w:p>
        </w:tc>
        <w:tc>
          <w:tcPr>
            <w:tcW w:w="604" w:type="dxa"/>
          </w:tcPr>
          <w:p>
            <w:pPr>
              <w:pStyle w:val="0"/>
            </w:pPr>
            <w:r>
              <w:rPr>
                <w:sz w:val="20"/>
              </w:rPr>
              <w:t xml:space="preserve">95</w:t>
            </w:r>
          </w:p>
        </w:tc>
        <w:tc>
          <w:tcPr>
            <w:tcW w:w="604" w:type="dxa"/>
          </w:tcPr>
          <w:p>
            <w:pPr>
              <w:pStyle w:val="0"/>
            </w:pPr>
            <w:r>
              <w:rPr>
                <w:sz w:val="20"/>
              </w:rPr>
              <w:t xml:space="preserve">95</w:t>
            </w:r>
          </w:p>
        </w:tc>
        <w:tc>
          <w:tcPr>
            <w:tcW w:w="604" w:type="dxa"/>
          </w:tcPr>
          <w:p>
            <w:pPr>
              <w:pStyle w:val="0"/>
            </w:pPr>
            <w:r>
              <w:rPr>
                <w:sz w:val="20"/>
              </w:rPr>
              <w:t xml:space="preserve">95</w:t>
            </w:r>
          </w:p>
        </w:tc>
      </w:tr>
      <w:tr>
        <w:tc>
          <w:tcPr>
            <w:tcW w:w="4025" w:type="dxa"/>
          </w:tcPr>
          <w:p>
            <w:pPr>
              <w:pStyle w:val="0"/>
            </w:pPr>
            <w:r>
              <w:rPr>
                <w:sz w:val="20"/>
              </w:rPr>
              <w:t xml:space="preserve">Количество (доля) детских поликлиник и детских поликлинических отделений с созданной современной инфраструктурой оказания медицинской помощи детям</w:t>
            </w:r>
          </w:p>
        </w:tc>
        <w:tc>
          <w:tcPr>
            <w:tcW w:w="814" w:type="dxa"/>
          </w:tcPr>
          <w:p>
            <w:pPr>
              <w:pStyle w:val="0"/>
            </w:pPr>
            <w:r>
              <w:rPr>
                <w:sz w:val="20"/>
              </w:rPr>
              <w:t xml:space="preserve">02</w:t>
            </w:r>
          </w:p>
        </w:tc>
        <w:tc>
          <w:tcPr>
            <w:tcW w:w="1814" w:type="dxa"/>
          </w:tcPr>
          <w:p>
            <w:pPr>
              <w:pStyle w:val="0"/>
            </w:pPr>
            <w:r>
              <w:rPr>
                <w:sz w:val="20"/>
              </w:rPr>
              <w:t xml:space="preserve">процент</w:t>
            </w:r>
          </w:p>
        </w:tc>
        <w:tc>
          <w:tcPr>
            <w:tcW w:w="769" w:type="dxa"/>
          </w:tcPr>
          <w:p>
            <w:pPr>
              <w:pStyle w:val="0"/>
            </w:pPr>
            <w:hyperlink w:history="0" r:id="rId87" w:tooltip="&quot;ОК 015-94 (МК 002-97). Общероссийский классификатор единиц измерения&quot; (утв. Постановлением Госстандарта России от 26.12.1994 N 366) (ред. от 07.02.2023) {КонсультантПлюс}">
              <w:r>
                <w:rPr>
                  <w:sz w:val="20"/>
                  <w:color w:val="0000ff"/>
                </w:rPr>
                <w:t xml:space="preserve">744</w:t>
              </w:r>
            </w:hyperlink>
          </w:p>
        </w:tc>
        <w:tc>
          <w:tcPr>
            <w:tcW w:w="737" w:type="dxa"/>
          </w:tcPr>
          <w:p>
            <w:pPr>
              <w:pStyle w:val="0"/>
            </w:pPr>
            <w:r>
              <w:rPr>
                <w:sz w:val="20"/>
              </w:rPr>
              <w:t xml:space="preserve">24,1</w:t>
            </w:r>
          </w:p>
        </w:tc>
        <w:tc>
          <w:tcPr>
            <w:tcW w:w="814" w:type="dxa"/>
          </w:tcPr>
          <w:p>
            <w:pPr>
              <w:pStyle w:val="0"/>
            </w:pPr>
            <w:r>
              <w:rPr>
                <w:sz w:val="20"/>
              </w:rPr>
              <w:t xml:space="preserve">12.19</w:t>
            </w:r>
          </w:p>
        </w:tc>
        <w:tc>
          <w:tcPr>
            <w:tcW w:w="604" w:type="dxa"/>
          </w:tcPr>
          <w:p>
            <w:pPr>
              <w:pStyle w:val="0"/>
            </w:pPr>
            <w:r>
              <w:rPr>
                <w:sz w:val="20"/>
              </w:rPr>
              <w:t xml:space="preserve">95</w:t>
            </w:r>
          </w:p>
        </w:tc>
        <w:tc>
          <w:tcPr>
            <w:tcW w:w="604" w:type="dxa"/>
          </w:tcPr>
          <w:p>
            <w:pPr>
              <w:pStyle w:val="0"/>
            </w:pPr>
            <w:r>
              <w:rPr>
                <w:sz w:val="20"/>
              </w:rPr>
              <w:t xml:space="preserve">95</w:t>
            </w:r>
          </w:p>
        </w:tc>
        <w:tc>
          <w:tcPr>
            <w:tcW w:w="604" w:type="dxa"/>
          </w:tcPr>
          <w:p>
            <w:pPr>
              <w:pStyle w:val="0"/>
            </w:pPr>
            <w:r>
              <w:rPr>
                <w:sz w:val="20"/>
              </w:rPr>
              <w:t xml:space="preserve">95</w:t>
            </w:r>
          </w:p>
        </w:tc>
      </w:tr>
      <w:tr>
        <w:tc>
          <w:tcPr>
            <w:tcW w:w="4025" w:type="dxa"/>
          </w:tcPr>
          <w:p>
            <w:pPr>
              <w:pStyle w:val="0"/>
            </w:pPr>
            <w:r>
              <w:rPr>
                <w:sz w:val="20"/>
              </w:rPr>
              <w:t xml:space="preserve">Число выполненных детьми посещений детских поликлиник и поликлинических подразделений, в которых созданы комфортные условия пребывания детей и дооснащенных медицинским оборудованием, от общего числа посещений детьми детских поликлиник и поликлинических подразделений</w:t>
            </w:r>
          </w:p>
        </w:tc>
        <w:tc>
          <w:tcPr>
            <w:tcW w:w="814" w:type="dxa"/>
          </w:tcPr>
          <w:p>
            <w:pPr>
              <w:pStyle w:val="0"/>
            </w:pPr>
            <w:r>
              <w:rPr>
                <w:sz w:val="20"/>
              </w:rPr>
              <w:t xml:space="preserve">03</w:t>
            </w:r>
          </w:p>
        </w:tc>
        <w:tc>
          <w:tcPr>
            <w:tcW w:w="1814" w:type="dxa"/>
          </w:tcPr>
          <w:p>
            <w:pPr>
              <w:pStyle w:val="0"/>
            </w:pPr>
            <w:r>
              <w:rPr>
                <w:sz w:val="20"/>
              </w:rPr>
              <w:t xml:space="preserve">процент</w:t>
            </w:r>
          </w:p>
        </w:tc>
        <w:tc>
          <w:tcPr>
            <w:tcW w:w="769" w:type="dxa"/>
          </w:tcPr>
          <w:p>
            <w:pPr>
              <w:pStyle w:val="0"/>
            </w:pPr>
            <w:hyperlink w:history="0" r:id="rId88" w:tooltip="&quot;ОК 015-94 (МК 002-97). Общероссийский классификатор единиц измерения&quot; (утв. Постановлением Госстандарта России от 26.12.1994 N 366) (ред. от 07.02.2023) {КонсультантПлюс}">
              <w:r>
                <w:rPr>
                  <w:sz w:val="20"/>
                  <w:color w:val="0000ff"/>
                </w:rPr>
                <w:t xml:space="preserve">744</w:t>
              </w:r>
            </w:hyperlink>
          </w:p>
        </w:tc>
        <w:tc>
          <w:tcPr>
            <w:tcW w:w="737" w:type="dxa"/>
          </w:tcPr>
          <w:p>
            <w:pPr>
              <w:pStyle w:val="0"/>
            </w:pPr>
            <w:r>
              <w:rPr>
                <w:sz w:val="20"/>
              </w:rPr>
              <w:t xml:space="preserve">0</w:t>
            </w:r>
          </w:p>
        </w:tc>
        <w:tc>
          <w:tcPr>
            <w:tcW w:w="814" w:type="dxa"/>
          </w:tcPr>
          <w:p>
            <w:pPr>
              <w:pStyle w:val="0"/>
            </w:pPr>
            <w:r>
              <w:rPr>
                <w:sz w:val="20"/>
              </w:rPr>
              <w:t xml:space="preserve">12.21</w:t>
            </w:r>
          </w:p>
        </w:tc>
        <w:tc>
          <w:tcPr>
            <w:tcW w:w="604" w:type="dxa"/>
          </w:tcPr>
          <w:p>
            <w:pPr>
              <w:pStyle w:val="0"/>
            </w:pPr>
            <w:r>
              <w:rPr>
                <w:sz w:val="20"/>
              </w:rPr>
              <w:t xml:space="preserve">70</w:t>
            </w:r>
          </w:p>
        </w:tc>
        <w:tc>
          <w:tcPr>
            <w:tcW w:w="604" w:type="dxa"/>
          </w:tcPr>
          <w:p>
            <w:pPr>
              <w:pStyle w:val="0"/>
            </w:pPr>
            <w:r>
              <w:rPr>
                <w:sz w:val="20"/>
              </w:rPr>
              <w:t xml:space="preserve">90</w:t>
            </w:r>
          </w:p>
        </w:tc>
        <w:tc>
          <w:tcPr>
            <w:tcW w:w="604" w:type="dxa"/>
          </w:tcPr>
          <w:p>
            <w:pPr>
              <w:pStyle w:val="0"/>
            </w:pPr>
            <w:r>
              <w:rPr>
                <w:sz w:val="20"/>
              </w:rPr>
              <w:t xml:space="preserve">95</w:t>
            </w:r>
          </w:p>
        </w:tc>
      </w:tr>
      <w:tr>
        <w:tc>
          <w:tcPr>
            <w:tcW w:w="4025" w:type="dxa"/>
          </w:tcPr>
          <w:p>
            <w:pPr>
              <w:pStyle w:val="0"/>
            </w:pPr>
            <w:r>
              <w:rPr>
                <w:sz w:val="20"/>
              </w:rPr>
              <w:t xml:space="preserve">Младенческая смертность</w:t>
            </w:r>
          </w:p>
        </w:tc>
        <w:tc>
          <w:tcPr>
            <w:tcW w:w="814" w:type="dxa"/>
          </w:tcPr>
          <w:p>
            <w:pPr>
              <w:pStyle w:val="0"/>
            </w:pPr>
            <w:r>
              <w:rPr>
                <w:sz w:val="20"/>
              </w:rPr>
              <w:t xml:space="preserve">04</w:t>
            </w:r>
          </w:p>
        </w:tc>
        <w:tc>
          <w:tcPr>
            <w:tcW w:w="1814" w:type="dxa"/>
          </w:tcPr>
          <w:p>
            <w:pPr>
              <w:pStyle w:val="0"/>
            </w:pPr>
            <w:r>
              <w:rPr>
                <w:sz w:val="20"/>
              </w:rPr>
              <w:t xml:space="preserve">промилле (0,1 процента)</w:t>
            </w:r>
          </w:p>
        </w:tc>
        <w:tc>
          <w:tcPr>
            <w:tcW w:w="769" w:type="dxa"/>
          </w:tcPr>
          <w:p>
            <w:pPr>
              <w:pStyle w:val="0"/>
            </w:pPr>
            <w:hyperlink w:history="0" r:id="rId89" w:tooltip="&quot;ОК 015-94 (МК 002-97). Общероссийский классификатор единиц измерения&quot; (утв. Постановлением Госстандарта России от 26.12.1994 N 366) (ред. от 07.02.2023) {КонсультантПлюс}">
              <w:r>
                <w:rPr>
                  <w:sz w:val="20"/>
                  <w:color w:val="0000ff"/>
                </w:rPr>
                <w:t xml:space="preserve">746</w:t>
              </w:r>
            </w:hyperlink>
          </w:p>
        </w:tc>
        <w:tc>
          <w:tcPr>
            <w:tcW w:w="737" w:type="dxa"/>
          </w:tcPr>
          <w:p>
            <w:pPr>
              <w:pStyle w:val="0"/>
            </w:pPr>
            <w:r>
              <w:rPr>
                <w:sz w:val="20"/>
              </w:rPr>
              <w:t xml:space="preserve">4,6</w:t>
            </w:r>
          </w:p>
        </w:tc>
        <w:tc>
          <w:tcPr>
            <w:tcW w:w="814" w:type="dxa"/>
          </w:tcPr>
          <w:p>
            <w:pPr>
              <w:pStyle w:val="0"/>
            </w:pPr>
            <w:r>
              <w:rPr>
                <w:sz w:val="20"/>
              </w:rPr>
              <w:t xml:space="preserve">12.17</w:t>
            </w:r>
          </w:p>
        </w:tc>
        <w:tc>
          <w:tcPr>
            <w:tcW w:w="604" w:type="dxa"/>
          </w:tcPr>
          <w:p>
            <w:pPr>
              <w:pStyle w:val="0"/>
            </w:pPr>
            <w:r>
              <w:rPr>
                <w:sz w:val="20"/>
              </w:rPr>
              <w:t xml:space="preserve">3,9</w:t>
            </w:r>
          </w:p>
        </w:tc>
        <w:tc>
          <w:tcPr>
            <w:tcW w:w="604" w:type="dxa"/>
          </w:tcPr>
          <w:p>
            <w:pPr>
              <w:pStyle w:val="0"/>
            </w:pPr>
            <w:r>
              <w:rPr>
                <w:sz w:val="20"/>
              </w:rPr>
              <w:t xml:space="preserve">3,8</w:t>
            </w:r>
          </w:p>
        </w:tc>
        <w:tc>
          <w:tcPr>
            <w:tcW w:w="604" w:type="dxa"/>
          </w:tcPr>
          <w:p>
            <w:pPr>
              <w:pStyle w:val="0"/>
            </w:pPr>
            <w:r>
              <w:rPr>
                <w:sz w:val="20"/>
              </w:rPr>
              <w:t xml:space="preserve">3,7</w:t>
            </w:r>
          </w:p>
        </w:tc>
      </w:tr>
      <w:tr>
        <w:tc>
          <w:tcPr>
            <w:tcW w:w="4025" w:type="dxa"/>
          </w:tcPr>
          <w:p>
            <w:pPr>
              <w:pStyle w:val="0"/>
            </w:pPr>
            <w:r>
              <w:rPr>
                <w:sz w:val="20"/>
              </w:rPr>
              <w:t xml:space="preserve">Доля посещений детьми медицинских организаций с профилактическими целями</w:t>
            </w:r>
          </w:p>
        </w:tc>
        <w:tc>
          <w:tcPr>
            <w:tcW w:w="814" w:type="dxa"/>
          </w:tcPr>
          <w:p>
            <w:pPr>
              <w:pStyle w:val="0"/>
            </w:pPr>
            <w:r>
              <w:rPr>
                <w:sz w:val="20"/>
              </w:rPr>
              <w:t xml:space="preserve">05</w:t>
            </w:r>
          </w:p>
        </w:tc>
        <w:tc>
          <w:tcPr>
            <w:tcW w:w="1814" w:type="dxa"/>
          </w:tcPr>
          <w:p>
            <w:pPr>
              <w:pStyle w:val="0"/>
            </w:pPr>
            <w:r>
              <w:rPr>
                <w:sz w:val="20"/>
              </w:rPr>
              <w:t xml:space="preserve">процент</w:t>
            </w:r>
          </w:p>
        </w:tc>
        <w:tc>
          <w:tcPr>
            <w:tcW w:w="769" w:type="dxa"/>
          </w:tcPr>
          <w:p>
            <w:pPr>
              <w:pStyle w:val="0"/>
            </w:pPr>
            <w:hyperlink w:history="0" r:id="rId90" w:tooltip="&quot;ОК 015-94 (МК 002-97). Общероссийский классификатор единиц измерения&quot; (утв. Постановлением Госстандарта России от 26.12.1994 N 366) (ред. от 07.02.2023) {КонсультантПлюс}">
              <w:r>
                <w:rPr>
                  <w:sz w:val="20"/>
                  <w:color w:val="0000ff"/>
                </w:rPr>
                <w:t xml:space="preserve">744</w:t>
              </w:r>
            </w:hyperlink>
          </w:p>
        </w:tc>
        <w:tc>
          <w:tcPr>
            <w:tcW w:w="737" w:type="dxa"/>
          </w:tcPr>
          <w:p>
            <w:pPr>
              <w:pStyle w:val="0"/>
            </w:pPr>
            <w:r>
              <w:rPr>
                <w:sz w:val="20"/>
              </w:rPr>
              <w:t xml:space="preserve">50,6</w:t>
            </w:r>
          </w:p>
        </w:tc>
        <w:tc>
          <w:tcPr>
            <w:tcW w:w="814" w:type="dxa"/>
          </w:tcPr>
          <w:p>
            <w:pPr>
              <w:pStyle w:val="0"/>
            </w:pPr>
            <w:r>
              <w:rPr>
                <w:sz w:val="20"/>
              </w:rPr>
              <w:t xml:space="preserve">12.17</w:t>
            </w:r>
          </w:p>
        </w:tc>
        <w:tc>
          <w:tcPr>
            <w:tcW w:w="604" w:type="dxa"/>
          </w:tcPr>
          <w:p>
            <w:pPr>
              <w:pStyle w:val="0"/>
            </w:pPr>
            <w:r>
              <w:rPr>
                <w:sz w:val="20"/>
              </w:rPr>
              <w:t xml:space="preserve">51,8</w:t>
            </w:r>
          </w:p>
        </w:tc>
        <w:tc>
          <w:tcPr>
            <w:tcW w:w="604" w:type="dxa"/>
          </w:tcPr>
          <w:p>
            <w:pPr>
              <w:pStyle w:val="0"/>
            </w:pPr>
            <w:r>
              <w:rPr>
                <w:sz w:val="20"/>
              </w:rPr>
              <w:t xml:space="preserve">52</w:t>
            </w:r>
          </w:p>
        </w:tc>
        <w:tc>
          <w:tcPr>
            <w:tcW w:w="604" w:type="dxa"/>
          </w:tcPr>
          <w:p>
            <w:pPr>
              <w:pStyle w:val="0"/>
            </w:pPr>
            <w:r>
              <w:rPr>
                <w:sz w:val="20"/>
              </w:rPr>
              <w:t xml:space="preserve">52,3</w:t>
            </w:r>
          </w:p>
        </w:tc>
      </w:tr>
      <w:tr>
        <w:tc>
          <w:tcPr>
            <w:tcW w:w="4025" w:type="dxa"/>
          </w:tcPr>
          <w:p>
            <w:pPr>
              <w:pStyle w:val="0"/>
            </w:pPr>
            <w:r>
              <w:rPr>
                <w:sz w:val="20"/>
              </w:rPr>
              <w:t xml:space="preserve">Доля преждевременных родов (22 - 37 недель) в перинатальных центрах (%)</w:t>
            </w:r>
          </w:p>
        </w:tc>
        <w:tc>
          <w:tcPr>
            <w:tcW w:w="814" w:type="dxa"/>
          </w:tcPr>
          <w:p>
            <w:pPr>
              <w:pStyle w:val="0"/>
            </w:pPr>
            <w:r>
              <w:rPr>
                <w:sz w:val="20"/>
              </w:rPr>
              <w:t xml:space="preserve">06</w:t>
            </w:r>
          </w:p>
        </w:tc>
        <w:tc>
          <w:tcPr>
            <w:tcW w:w="1814" w:type="dxa"/>
          </w:tcPr>
          <w:p>
            <w:pPr>
              <w:pStyle w:val="0"/>
            </w:pPr>
            <w:r>
              <w:rPr>
                <w:sz w:val="20"/>
              </w:rPr>
              <w:t xml:space="preserve">процент</w:t>
            </w:r>
          </w:p>
        </w:tc>
        <w:tc>
          <w:tcPr>
            <w:tcW w:w="769" w:type="dxa"/>
          </w:tcPr>
          <w:p>
            <w:pPr>
              <w:pStyle w:val="0"/>
            </w:pPr>
            <w:hyperlink w:history="0" r:id="rId91" w:tooltip="&quot;ОК 015-94 (МК 002-97). Общероссийский классификатор единиц измерения&quot; (утв. Постановлением Госстандарта России от 26.12.1994 N 366) (ред. от 07.02.2023) {КонсультантПлюс}">
              <w:r>
                <w:rPr>
                  <w:sz w:val="20"/>
                  <w:color w:val="0000ff"/>
                </w:rPr>
                <w:t xml:space="preserve">744</w:t>
              </w:r>
            </w:hyperlink>
          </w:p>
        </w:tc>
        <w:tc>
          <w:tcPr>
            <w:tcW w:w="737" w:type="dxa"/>
          </w:tcPr>
          <w:p>
            <w:pPr>
              <w:pStyle w:val="0"/>
            </w:pPr>
            <w:r>
              <w:rPr>
                <w:sz w:val="20"/>
              </w:rPr>
              <w:t xml:space="preserve">79,0</w:t>
            </w:r>
          </w:p>
        </w:tc>
        <w:tc>
          <w:tcPr>
            <w:tcW w:w="814" w:type="dxa"/>
          </w:tcPr>
          <w:p>
            <w:pPr>
              <w:pStyle w:val="0"/>
            </w:pPr>
            <w:r>
              <w:rPr>
                <w:sz w:val="20"/>
              </w:rPr>
              <w:t xml:space="preserve">12.17</w:t>
            </w:r>
          </w:p>
        </w:tc>
        <w:tc>
          <w:tcPr>
            <w:tcW w:w="604" w:type="dxa"/>
          </w:tcPr>
          <w:p>
            <w:pPr>
              <w:pStyle w:val="0"/>
            </w:pPr>
            <w:r>
              <w:rPr>
                <w:sz w:val="20"/>
              </w:rPr>
              <w:t xml:space="preserve">87,7</w:t>
            </w:r>
          </w:p>
        </w:tc>
        <w:tc>
          <w:tcPr>
            <w:tcW w:w="604" w:type="dxa"/>
          </w:tcPr>
          <w:p>
            <w:pPr>
              <w:pStyle w:val="0"/>
            </w:pPr>
            <w:r>
              <w:rPr>
                <w:sz w:val="20"/>
              </w:rPr>
              <w:t xml:space="preserve">87,8</w:t>
            </w:r>
          </w:p>
        </w:tc>
        <w:tc>
          <w:tcPr>
            <w:tcW w:w="604" w:type="dxa"/>
          </w:tcPr>
          <w:p>
            <w:pPr>
              <w:pStyle w:val="0"/>
            </w:pPr>
            <w:r>
              <w:rPr>
                <w:sz w:val="20"/>
              </w:rPr>
              <w:t xml:space="preserve">87,9</w:t>
            </w:r>
          </w:p>
        </w:tc>
      </w:tr>
      <w:tr>
        <w:tc>
          <w:tcPr>
            <w:tcW w:w="4025" w:type="dxa"/>
          </w:tcPr>
          <w:p>
            <w:pPr>
              <w:pStyle w:val="0"/>
            </w:pPr>
            <w:r>
              <w:rPr>
                <w:sz w:val="20"/>
              </w:rPr>
              <w:t xml:space="preserve">Смертность детей в возрасте 0 - 4 года на 1000 родившихся живыми</w:t>
            </w:r>
          </w:p>
        </w:tc>
        <w:tc>
          <w:tcPr>
            <w:tcW w:w="814" w:type="dxa"/>
          </w:tcPr>
          <w:p>
            <w:pPr>
              <w:pStyle w:val="0"/>
            </w:pPr>
            <w:r>
              <w:rPr>
                <w:sz w:val="20"/>
              </w:rPr>
              <w:t xml:space="preserve">07</w:t>
            </w:r>
          </w:p>
        </w:tc>
        <w:tc>
          <w:tcPr>
            <w:tcW w:w="1814" w:type="dxa"/>
          </w:tcPr>
          <w:p>
            <w:pPr>
              <w:pStyle w:val="0"/>
            </w:pPr>
            <w:r>
              <w:rPr>
                <w:sz w:val="20"/>
              </w:rPr>
              <w:t xml:space="preserve">промилле (0,1 процента)</w:t>
            </w:r>
          </w:p>
        </w:tc>
        <w:tc>
          <w:tcPr>
            <w:tcW w:w="769" w:type="dxa"/>
          </w:tcPr>
          <w:p>
            <w:pPr>
              <w:pStyle w:val="0"/>
            </w:pPr>
            <w:hyperlink w:history="0" r:id="rId92" w:tooltip="&quot;ОК 015-94 (МК 002-97). Общероссийский классификатор единиц измерения&quot; (утв. Постановлением Госстандарта России от 26.12.1994 N 366) (ред. от 07.02.2023) {КонсультантПлюс}">
              <w:r>
                <w:rPr>
                  <w:sz w:val="20"/>
                  <w:color w:val="0000ff"/>
                </w:rPr>
                <w:t xml:space="preserve">746</w:t>
              </w:r>
            </w:hyperlink>
          </w:p>
        </w:tc>
        <w:tc>
          <w:tcPr>
            <w:tcW w:w="737" w:type="dxa"/>
          </w:tcPr>
          <w:p>
            <w:pPr>
              <w:pStyle w:val="0"/>
            </w:pPr>
            <w:r>
              <w:rPr>
                <w:sz w:val="20"/>
              </w:rPr>
              <w:t xml:space="preserve">5,9</w:t>
            </w:r>
          </w:p>
        </w:tc>
        <w:tc>
          <w:tcPr>
            <w:tcW w:w="814" w:type="dxa"/>
          </w:tcPr>
          <w:p>
            <w:pPr>
              <w:pStyle w:val="0"/>
            </w:pPr>
            <w:r>
              <w:rPr>
                <w:sz w:val="20"/>
              </w:rPr>
              <w:t xml:space="preserve">12.17</w:t>
            </w:r>
          </w:p>
        </w:tc>
        <w:tc>
          <w:tcPr>
            <w:tcW w:w="604" w:type="dxa"/>
          </w:tcPr>
          <w:p>
            <w:pPr>
              <w:pStyle w:val="0"/>
            </w:pPr>
            <w:r>
              <w:rPr>
                <w:sz w:val="20"/>
              </w:rPr>
              <w:t xml:space="preserve">4,9</w:t>
            </w:r>
          </w:p>
        </w:tc>
        <w:tc>
          <w:tcPr>
            <w:tcW w:w="604" w:type="dxa"/>
          </w:tcPr>
          <w:p>
            <w:pPr>
              <w:pStyle w:val="0"/>
            </w:pPr>
            <w:r>
              <w:rPr>
                <w:sz w:val="20"/>
              </w:rPr>
              <w:t xml:space="preserve">4,5</w:t>
            </w:r>
          </w:p>
        </w:tc>
        <w:tc>
          <w:tcPr>
            <w:tcW w:w="604" w:type="dxa"/>
          </w:tcPr>
          <w:p>
            <w:pPr>
              <w:pStyle w:val="0"/>
            </w:pPr>
            <w:r>
              <w:rPr>
                <w:sz w:val="20"/>
              </w:rPr>
              <w:t xml:space="preserve">4</w:t>
            </w:r>
          </w:p>
        </w:tc>
      </w:tr>
      <w:tr>
        <w:tc>
          <w:tcPr>
            <w:tcW w:w="4025" w:type="dxa"/>
          </w:tcPr>
          <w:p>
            <w:pPr>
              <w:pStyle w:val="0"/>
            </w:pPr>
            <w:r>
              <w:rPr>
                <w:sz w:val="20"/>
              </w:rPr>
              <w:t xml:space="preserve">Смертность детей в возрасте 0 - 17 лет на 100 000 детей соответствующего возраста</w:t>
            </w:r>
          </w:p>
        </w:tc>
        <w:tc>
          <w:tcPr>
            <w:tcW w:w="814" w:type="dxa"/>
          </w:tcPr>
          <w:p>
            <w:pPr>
              <w:pStyle w:val="0"/>
            </w:pPr>
            <w:r>
              <w:rPr>
                <w:sz w:val="20"/>
              </w:rPr>
              <w:t xml:space="preserve">08</w:t>
            </w:r>
          </w:p>
        </w:tc>
        <w:tc>
          <w:tcPr>
            <w:tcW w:w="1814" w:type="dxa"/>
          </w:tcPr>
          <w:p>
            <w:pPr>
              <w:pStyle w:val="0"/>
            </w:pPr>
            <w:r>
              <w:rPr>
                <w:sz w:val="20"/>
              </w:rPr>
              <w:t xml:space="preserve">число случаев на 100 тысяч детей соответствующего возраста</w:t>
            </w:r>
          </w:p>
        </w:tc>
        <w:tc>
          <w:tcPr>
            <w:tcW w:w="769" w:type="dxa"/>
          </w:tcPr>
          <w:p>
            <w:pPr>
              <w:pStyle w:val="0"/>
            </w:pPr>
            <w:r>
              <w:rPr>
                <w:sz w:val="20"/>
              </w:rPr>
              <w:t xml:space="preserve">007</w:t>
            </w:r>
          </w:p>
        </w:tc>
        <w:tc>
          <w:tcPr>
            <w:tcW w:w="737" w:type="dxa"/>
          </w:tcPr>
          <w:p>
            <w:pPr>
              <w:pStyle w:val="0"/>
            </w:pPr>
            <w:r>
              <w:rPr>
                <w:sz w:val="20"/>
              </w:rPr>
              <w:t xml:space="preserve">48,9</w:t>
            </w:r>
          </w:p>
        </w:tc>
        <w:tc>
          <w:tcPr>
            <w:tcW w:w="814" w:type="dxa"/>
          </w:tcPr>
          <w:p>
            <w:pPr>
              <w:pStyle w:val="0"/>
            </w:pPr>
            <w:r>
              <w:rPr>
                <w:sz w:val="20"/>
              </w:rPr>
              <w:t xml:space="preserve">12.17</w:t>
            </w:r>
          </w:p>
        </w:tc>
        <w:tc>
          <w:tcPr>
            <w:tcW w:w="604" w:type="dxa"/>
          </w:tcPr>
          <w:p>
            <w:pPr>
              <w:pStyle w:val="0"/>
            </w:pPr>
            <w:r>
              <w:rPr>
                <w:sz w:val="20"/>
              </w:rPr>
              <w:t xml:space="preserve">43</w:t>
            </w:r>
          </w:p>
        </w:tc>
        <w:tc>
          <w:tcPr>
            <w:tcW w:w="604" w:type="dxa"/>
          </w:tcPr>
          <w:p>
            <w:pPr>
              <w:pStyle w:val="0"/>
            </w:pPr>
            <w:r>
              <w:rPr>
                <w:sz w:val="20"/>
              </w:rPr>
              <w:t xml:space="preserve">41</w:t>
            </w:r>
          </w:p>
        </w:tc>
        <w:tc>
          <w:tcPr>
            <w:tcW w:w="604" w:type="dxa"/>
          </w:tcPr>
          <w:p>
            <w:pPr>
              <w:pStyle w:val="0"/>
            </w:pPr>
            <w:r>
              <w:rPr>
                <w:sz w:val="20"/>
              </w:rPr>
              <w:t xml:space="preserve">39</w:t>
            </w:r>
          </w:p>
        </w:tc>
      </w:tr>
      <w:tr>
        <w:tc>
          <w:tcPr>
            <w:tcW w:w="4025" w:type="dxa"/>
          </w:tcPr>
          <w:p>
            <w:pPr>
              <w:pStyle w:val="0"/>
            </w:pPr>
            <w:r>
              <w:rPr>
                <w:sz w:val="20"/>
              </w:rPr>
              <w:t xml:space="preserve">Доля взятых под диспансерное наблюдение детей в возрасте 0 - 17 лет с впервые в жизни установленным диагнозом "болезни костно-мышечной системы и соединительной ткани"</w:t>
            </w:r>
          </w:p>
        </w:tc>
        <w:tc>
          <w:tcPr>
            <w:tcW w:w="814" w:type="dxa"/>
          </w:tcPr>
          <w:p>
            <w:pPr>
              <w:pStyle w:val="0"/>
            </w:pPr>
            <w:r>
              <w:rPr>
                <w:sz w:val="20"/>
              </w:rPr>
              <w:t xml:space="preserve">09</w:t>
            </w:r>
          </w:p>
        </w:tc>
        <w:tc>
          <w:tcPr>
            <w:tcW w:w="1814" w:type="dxa"/>
          </w:tcPr>
          <w:p>
            <w:pPr>
              <w:pStyle w:val="0"/>
            </w:pPr>
            <w:r>
              <w:rPr>
                <w:sz w:val="20"/>
              </w:rPr>
              <w:t xml:space="preserve">процент</w:t>
            </w:r>
          </w:p>
        </w:tc>
        <w:tc>
          <w:tcPr>
            <w:tcW w:w="769" w:type="dxa"/>
          </w:tcPr>
          <w:p>
            <w:pPr>
              <w:pStyle w:val="0"/>
            </w:pPr>
            <w:hyperlink w:history="0" r:id="rId93" w:tooltip="&quot;ОК 015-94 (МК 002-97). Общероссийский классификатор единиц измерения&quot; (утв. Постановлением Госстандарта России от 26.12.1994 N 366) (ред. от 07.02.2023) {КонсультантПлюс}">
              <w:r>
                <w:rPr>
                  <w:sz w:val="20"/>
                  <w:color w:val="0000ff"/>
                </w:rPr>
                <w:t xml:space="preserve">744</w:t>
              </w:r>
            </w:hyperlink>
          </w:p>
        </w:tc>
        <w:tc>
          <w:tcPr>
            <w:tcW w:w="737" w:type="dxa"/>
          </w:tcPr>
          <w:p>
            <w:pPr>
              <w:pStyle w:val="0"/>
            </w:pPr>
            <w:r>
              <w:rPr>
                <w:sz w:val="20"/>
              </w:rPr>
              <w:t xml:space="preserve">4,9</w:t>
            </w:r>
          </w:p>
        </w:tc>
        <w:tc>
          <w:tcPr>
            <w:tcW w:w="814" w:type="dxa"/>
          </w:tcPr>
          <w:p>
            <w:pPr>
              <w:pStyle w:val="0"/>
            </w:pPr>
            <w:r>
              <w:rPr>
                <w:sz w:val="20"/>
              </w:rPr>
              <w:t xml:space="preserve">12.17</w:t>
            </w:r>
          </w:p>
        </w:tc>
        <w:tc>
          <w:tcPr>
            <w:tcW w:w="604" w:type="dxa"/>
          </w:tcPr>
          <w:p>
            <w:pPr>
              <w:pStyle w:val="0"/>
            </w:pPr>
            <w:r>
              <w:rPr>
                <w:sz w:val="20"/>
              </w:rPr>
              <w:t xml:space="preserve">70</w:t>
            </w:r>
          </w:p>
        </w:tc>
        <w:tc>
          <w:tcPr>
            <w:tcW w:w="604" w:type="dxa"/>
          </w:tcPr>
          <w:p>
            <w:pPr>
              <w:pStyle w:val="0"/>
            </w:pPr>
            <w:r>
              <w:rPr>
                <w:sz w:val="20"/>
              </w:rPr>
              <w:t xml:space="preserve">80</w:t>
            </w:r>
          </w:p>
        </w:tc>
        <w:tc>
          <w:tcPr>
            <w:tcW w:w="604" w:type="dxa"/>
          </w:tcPr>
          <w:p>
            <w:pPr>
              <w:pStyle w:val="0"/>
            </w:pPr>
            <w:r>
              <w:rPr>
                <w:sz w:val="20"/>
              </w:rPr>
              <w:t xml:space="preserve">90</w:t>
            </w:r>
          </w:p>
        </w:tc>
      </w:tr>
      <w:tr>
        <w:tc>
          <w:tcPr>
            <w:tcW w:w="4025" w:type="dxa"/>
          </w:tcPr>
          <w:p>
            <w:pPr>
              <w:pStyle w:val="0"/>
            </w:pPr>
            <w:r>
              <w:rPr>
                <w:sz w:val="20"/>
              </w:rPr>
              <w:t xml:space="preserve">Доля взятых под диспансерное наблюдение детей в возрасте 0 - 17 лет с впервые в жизни установленным диагнозом "болезни глаза и его придаточного аппарата"</w:t>
            </w:r>
          </w:p>
        </w:tc>
        <w:tc>
          <w:tcPr>
            <w:tcW w:w="814" w:type="dxa"/>
          </w:tcPr>
          <w:p>
            <w:pPr>
              <w:pStyle w:val="0"/>
            </w:pPr>
            <w:r>
              <w:rPr>
                <w:sz w:val="20"/>
              </w:rPr>
              <w:t xml:space="preserve">10</w:t>
            </w:r>
          </w:p>
        </w:tc>
        <w:tc>
          <w:tcPr>
            <w:tcW w:w="1814" w:type="dxa"/>
          </w:tcPr>
          <w:p>
            <w:pPr>
              <w:pStyle w:val="0"/>
            </w:pPr>
            <w:r>
              <w:rPr>
                <w:sz w:val="20"/>
              </w:rPr>
              <w:t xml:space="preserve">процент</w:t>
            </w:r>
          </w:p>
        </w:tc>
        <w:tc>
          <w:tcPr>
            <w:tcW w:w="769" w:type="dxa"/>
          </w:tcPr>
          <w:p>
            <w:pPr>
              <w:pStyle w:val="0"/>
            </w:pPr>
            <w:hyperlink w:history="0" r:id="rId94" w:tooltip="&quot;ОК 015-94 (МК 002-97). Общероссийский классификатор единиц измерения&quot; (утв. Постановлением Госстандарта России от 26.12.1994 N 366) (ред. от 07.02.2023) {КонсультантПлюс}">
              <w:r>
                <w:rPr>
                  <w:sz w:val="20"/>
                  <w:color w:val="0000ff"/>
                </w:rPr>
                <w:t xml:space="preserve">744</w:t>
              </w:r>
            </w:hyperlink>
          </w:p>
        </w:tc>
        <w:tc>
          <w:tcPr>
            <w:tcW w:w="737" w:type="dxa"/>
          </w:tcPr>
          <w:p>
            <w:pPr>
              <w:pStyle w:val="0"/>
            </w:pPr>
            <w:r>
              <w:rPr>
                <w:sz w:val="20"/>
              </w:rPr>
              <w:t xml:space="preserve">4,2</w:t>
            </w:r>
          </w:p>
        </w:tc>
        <w:tc>
          <w:tcPr>
            <w:tcW w:w="814" w:type="dxa"/>
          </w:tcPr>
          <w:p>
            <w:pPr>
              <w:pStyle w:val="0"/>
            </w:pPr>
            <w:r>
              <w:rPr>
                <w:sz w:val="20"/>
              </w:rPr>
              <w:t xml:space="preserve">12.7</w:t>
            </w:r>
          </w:p>
        </w:tc>
        <w:tc>
          <w:tcPr>
            <w:tcW w:w="604" w:type="dxa"/>
          </w:tcPr>
          <w:p>
            <w:pPr>
              <w:pStyle w:val="0"/>
            </w:pPr>
            <w:r>
              <w:rPr>
                <w:sz w:val="20"/>
              </w:rPr>
              <w:t xml:space="preserve">70</w:t>
            </w:r>
          </w:p>
        </w:tc>
        <w:tc>
          <w:tcPr>
            <w:tcW w:w="604" w:type="dxa"/>
          </w:tcPr>
          <w:p>
            <w:pPr>
              <w:pStyle w:val="0"/>
            </w:pPr>
            <w:r>
              <w:rPr>
                <w:sz w:val="20"/>
              </w:rPr>
              <w:t xml:space="preserve">80</w:t>
            </w:r>
          </w:p>
        </w:tc>
        <w:tc>
          <w:tcPr>
            <w:tcW w:w="604" w:type="dxa"/>
          </w:tcPr>
          <w:p>
            <w:pPr>
              <w:pStyle w:val="0"/>
            </w:pPr>
            <w:r>
              <w:rPr>
                <w:sz w:val="20"/>
              </w:rPr>
              <w:t xml:space="preserve">90</w:t>
            </w:r>
          </w:p>
        </w:tc>
      </w:tr>
      <w:tr>
        <w:tc>
          <w:tcPr>
            <w:tcW w:w="4025" w:type="dxa"/>
          </w:tcPr>
          <w:p>
            <w:pPr>
              <w:pStyle w:val="0"/>
            </w:pPr>
            <w:r>
              <w:rPr>
                <w:sz w:val="20"/>
              </w:rPr>
              <w:t xml:space="preserve">Доля взятых под диспансерное наблюдение детей в возрасте 0 - 17 лет с впервые в жизни установленным диагнозом "болезни органов пищеварения"</w:t>
            </w:r>
          </w:p>
        </w:tc>
        <w:tc>
          <w:tcPr>
            <w:tcW w:w="814" w:type="dxa"/>
          </w:tcPr>
          <w:p>
            <w:pPr>
              <w:pStyle w:val="0"/>
            </w:pPr>
            <w:r>
              <w:rPr>
                <w:sz w:val="20"/>
              </w:rPr>
              <w:t xml:space="preserve">11</w:t>
            </w:r>
          </w:p>
        </w:tc>
        <w:tc>
          <w:tcPr>
            <w:tcW w:w="1814" w:type="dxa"/>
          </w:tcPr>
          <w:p>
            <w:pPr>
              <w:pStyle w:val="0"/>
            </w:pPr>
            <w:r>
              <w:rPr>
                <w:sz w:val="20"/>
              </w:rPr>
              <w:t xml:space="preserve">процент</w:t>
            </w:r>
          </w:p>
        </w:tc>
        <w:tc>
          <w:tcPr>
            <w:tcW w:w="769" w:type="dxa"/>
          </w:tcPr>
          <w:p>
            <w:pPr>
              <w:pStyle w:val="0"/>
            </w:pPr>
            <w:hyperlink w:history="0" r:id="rId95" w:tooltip="&quot;ОК 015-94 (МК 002-97). Общероссийский классификатор единиц измерения&quot; (утв. Постановлением Госстандарта России от 26.12.1994 N 366) (ред. от 07.02.2023) {КонсультантПлюс}">
              <w:r>
                <w:rPr>
                  <w:sz w:val="20"/>
                  <w:color w:val="0000ff"/>
                </w:rPr>
                <w:t xml:space="preserve">744</w:t>
              </w:r>
            </w:hyperlink>
          </w:p>
        </w:tc>
        <w:tc>
          <w:tcPr>
            <w:tcW w:w="737" w:type="dxa"/>
          </w:tcPr>
          <w:p>
            <w:pPr>
              <w:pStyle w:val="0"/>
            </w:pPr>
            <w:r>
              <w:rPr>
                <w:sz w:val="20"/>
              </w:rPr>
              <w:t xml:space="preserve">10,1</w:t>
            </w:r>
          </w:p>
        </w:tc>
        <w:tc>
          <w:tcPr>
            <w:tcW w:w="814" w:type="dxa"/>
          </w:tcPr>
          <w:p>
            <w:pPr>
              <w:pStyle w:val="0"/>
            </w:pPr>
            <w:r>
              <w:rPr>
                <w:sz w:val="20"/>
              </w:rPr>
              <w:t xml:space="preserve">12.17</w:t>
            </w:r>
          </w:p>
        </w:tc>
        <w:tc>
          <w:tcPr>
            <w:tcW w:w="604" w:type="dxa"/>
          </w:tcPr>
          <w:p>
            <w:pPr>
              <w:pStyle w:val="0"/>
            </w:pPr>
            <w:r>
              <w:rPr>
                <w:sz w:val="20"/>
              </w:rPr>
              <w:t xml:space="preserve">70</w:t>
            </w:r>
          </w:p>
        </w:tc>
        <w:tc>
          <w:tcPr>
            <w:tcW w:w="604" w:type="dxa"/>
          </w:tcPr>
          <w:p>
            <w:pPr>
              <w:pStyle w:val="0"/>
            </w:pPr>
            <w:r>
              <w:rPr>
                <w:sz w:val="20"/>
              </w:rPr>
              <w:t xml:space="preserve">80</w:t>
            </w:r>
          </w:p>
        </w:tc>
        <w:tc>
          <w:tcPr>
            <w:tcW w:w="604" w:type="dxa"/>
          </w:tcPr>
          <w:p>
            <w:pPr>
              <w:pStyle w:val="0"/>
            </w:pPr>
            <w:r>
              <w:rPr>
                <w:sz w:val="20"/>
              </w:rPr>
              <w:t xml:space="preserve">90</w:t>
            </w:r>
          </w:p>
        </w:tc>
      </w:tr>
      <w:tr>
        <w:tc>
          <w:tcPr>
            <w:tcW w:w="4025" w:type="dxa"/>
          </w:tcPr>
          <w:p>
            <w:pPr>
              <w:pStyle w:val="0"/>
            </w:pPr>
            <w:r>
              <w:rPr>
                <w:sz w:val="20"/>
              </w:rPr>
              <w:t xml:space="preserve">Доля взятых под диспансерное наблюдение детей в возрасте 0 - 17 лет с впервые в жизни установленным диагнозом "болезни системы кровообращения"</w:t>
            </w:r>
          </w:p>
        </w:tc>
        <w:tc>
          <w:tcPr>
            <w:tcW w:w="814" w:type="dxa"/>
          </w:tcPr>
          <w:p>
            <w:pPr>
              <w:pStyle w:val="0"/>
            </w:pPr>
            <w:r>
              <w:rPr>
                <w:sz w:val="20"/>
              </w:rPr>
              <w:t xml:space="preserve">12</w:t>
            </w:r>
          </w:p>
        </w:tc>
        <w:tc>
          <w:tcPr>
            <w:tcW w:w="1814" w:type="dxa"/>
          </w:tcPr>
          <w:p>
            <w:pPr>
              <w:pStyle w:val="0"/>
            </w:pPr>
            <w:r>
              <w:rPr>
                <w:sz w:val="20"/>
              </w:rPr>
              <w:t xml:space="preserve">процент</w:t>
            </w:r>
          </w:p>
        </w:tc>
        <w:tc>
          <w:tcPr>
            <w:tcW w:w="769" w:type="dxa"/>
          </w:tcPr>
          <w:p>
            <w:pPr>
              <w:pStyle w:val="0"/>
            </w:pPr>
            <w:hyperlink w:history="0" r:id="rId96" w:tooltip="&quot;ОК 015-94 (МК 002-97). Общероссийский классификатор единиц измерения&quot; (утв. Постановлением Госстандарта России от 26.12.1994 N 366) (ред. от 07.02.2023) {КонсультантПлюс}">
              <w:r>
                <w:rPr>
                  <w:sz w:val="20"/>
                  <w:color w:val="0000ff"/>
                </w:rPr>
                <w:t xml:space="preserve">744</w:t>
              </w:r>
            </w:hyperlink>
          </w:p>
        </w:tc>
        <w:tc>
          <w:tcPr>
            <w:tcW w:w="737" w:type="dxa"/>
          </w:tcPr>
          <w:p>
            <w:pPr>
              <w:pStyle w:val="0"/>
            </w:pPr>
            <w:r>
              <w:rPr>
                <w:sz w:val="20"/>
              </w:rPr>
              <w:t xml:space="preserve">9,7</w:t>
            </w:r>
          </w:p>
        </w:tc>
        <w:tc>
          <w:tcPr>
            <w:tcW w:w="814" w:type="dxa"/>
          </w:tcPr>
          <w:p>
            <w:pPr>
              <w:pStyle w:val="0"/>
            </w:pPr>
            <w:r>
              <w:rPr>
                <w:sz w:val="20"/>
              </w:rPr>
              <w:t xml:space="preserve">12.17</w:t>
            </w:r>
          </w:p>
        </w:tc>
        <w:tc>
          <w:tcPr>
            <w:tcW w:w="604" w:type="dxa"/>
          </w:tcPr>
          <w:p>
            <w:pPr>
              <w:pStyle w:val="0"/>
            </w:pPr>
            <w:r>
              <w:rPr>
                <w:sz w:val="20"/>
              </w:rPr>
              <w:t xml:space="preserve">70</w:t>
            </w:r>
          </w:p>
        </w:tc>
        <w:tc>
          <w:tcPr>
            <w:tcW w:w="604" w:type="dxa"/>
          </w:tcPr>
          <w:p>
            <w:pPr>
              <w:pStyle w:val="0"/>
            </w:pPr>
            <w:r>
              <w:rPr>
                <w:sz w:val="20"/>
              </w:rPr>
              <w:t xml:space="preserve">80</w:t>
            </w:r>
          </w:p>
        </w:tc>
        <w:tc>
          <w:tcPr>
            <w:tcW w:w="604" w:type="dxa"/>
          </w:tcPr>
          <w:p>
            <w:pPr>
              <w:pStyle w:val="0"/>
            </w:pPr>
            <w:r>
              <w:rPr>
                <w:sz w:val="20"/>
              </w:rPr>
              <w:t xml:space="preserve">90</w:t>
            </w:r>
          </w:p>
        </w:tc>
      </w:tr>
      <w:tr>
        <w:tc>
          <w:tcPr>
            <w:tcW w:w="4025" w:type="dxa"/>
          </w:tcPr>
          <w:p>
            <w:pPr>
              <w:pStyle w:val="0"/>
            </w:pPr>
            <w:r>
              <w:rPr>
                <w:sz w:val="20"/>
              </w:rPr>
              <w:t xml:space="preserve">Доля взятых под диспансерное наблюдение детей в возрасте 0 - 17 лет с впервые в жизни установленным диагнозом "болезни эндокринной системы, расстройств питания и нарушения обмена веществ"</w:t>
            </w:r>
          </w:p>
        </w:tc>
        <w:tc>
          <w:tcPr>
            <w:tcW w:w="814" w:type="dxa"/>
          </w:tcPr>
          <w:p>
            <w:pPr>
              <w:pStyle w:val="0"/>
            </w:pPr>
            <w:r>
              <w:rPr>
                <w:sz w:val="20"/>
              </w:rPr>
              <w:t xml:space="preserve">13</w:t>
            </w:r>
          </w:p>
        </w:tc>
        <w:tc>
          <w:tcPr>
            <w:tcW w:w="1814" w:type="dxa"/>
          </w:tcPr>
          <w:p>
            <w:pPr>
              <w:pStyle w:val="0"/>
            </w:pPr>
            <w:r>
              <w:rPr>
                <w:sz w:val="20"/>
              </w:rPr>
              <w:t xml:space="preserve">процент</w:t>
            </w:r>
          </w:p>
        </w:tc>
        <w:tc>
          <w:tcPr>
            <w:tcW w:w="769" w:type="dxa"/>
          </w:tcPr>
          <w:p>
            <w:pPr>
              <w:pStyle w:val="0"/>
            </w:pPr>
            <w:hyperlink w:history="0" r:id="rId97" w:tooltip="&quot;ОК 015-94 (МК 002-97). Общероссийский классификатор единиц измерения&quot; (утв. Постановлением Госстандарта России от 26.12.1994 N 366) (ред. от 07.02.2023) {КонсультантПлюс}">
              <w:r>
                <w:rPr>
                  <w:sz w:val="20"/>
                  <w:color w:val="0000ff"/>
                </w:rPr>
                <w:t xml:space="preserve">744</w:t>
              </w:r>
            </w:hyperlink>
          </w:p>
        </w:tc>
        <w:tc>
          <w:tcPr>
            <w:tcW w:w="737" w:type="dxa"/>
          </w:tcPr>
          <w:p>
            <w:pPr>
              <w:pStyle w:val="0"/>
            </w:pPr>
            <w:r>
              <w:rPr>
                <w:sz w:val="20"/>
              </w:rPr>
              <w:t xml:space="preserve">8,9</w:t>
            </w:r>
          </w:p>
        </w:tc>
        <w:tc>
          <w:tcPr>
            <w:tcW w:w="814" w:type="dxa"/>
          </w:tcPr>
          <w:p>
            <w:pPr>
              <w:pStyle w:val="0"/>
            </w:pPr>
            <w:r>
              <w:rPr>
                <w:sz w:val="20"/>
              </w:rPr>
              <w:t xml:space="preserve">12.17</w:t>
            </w:r>
          </w:p>
        </w:tc>
        <w:tc>
          <w:tcPr>
            <w:tcW w:w="604" w:type="dxa"/>
          </w:tcPr>
          <w:p>
            <w:pPr>
              <w:pStyle w:val="0"/>
            </w:pPr>
            <w:r>
              <w:rPr>
                <w:sz w:val="20"/>
              </w:rPr>
              <w:t xml:space="preserve">70</w:t>
            </w:r>
          </w:p>
        </w:tc>
        <w:tc>
          <w:tcPr>
            <w:tcW w:w="604" w:type="dxa"/>
          </w:tcPr>
          <w:p>
            <w:pPr>
              <w:pStyle w:val="0"/>
            </w:pPr>
            <w:r>
              <w:rPr>
                <w:sz w:val="20"/>
              </w:rPr>
              <w:t xml:space="preserve">80</w:t>
            </w:r>
          </w:p>
        </w:tc>
        <w:tc>
          <w:tcPr>
            <w:tcW w:w="604" w:type="dxa"/>
          </w:tcPr>
          <w:p>
            <w:pPr>
              <w:pStyle w:val="0"/>
            </w:pPr>
            <w:r>
              <w:rPr>
                <w:sz w:val="20"/>
              </w:rPr>
              <w:t xml:space="preserve">90</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2"/>
        <w:outlineLvl w:val="1"/>
        <w:jc w:val="center"/>
      </w:pPr>
      <w:r>
        <w:rPr>
          <w:sz w:val="20"/>
        </w:rPr>
        <w:t xml:space="preserve">Раздел 9. ОЦЕНКА СОЦИАЛЬНО-ЭКОНОМИЧЕСКОЙ ЭФФЕКТИВНОСТИ</w:t>
      </w:r>
    </w:p>
    <w:p>
      <w:pPr>
        <w:pStyle w:val="2"/>
        <w:jc w:val="center"/>
      </w:pPr>
      <w:r>
        <w:rPr>
          <w:sz w:val="20"/>
        </w:rPr>
        <w:t xml:space="preserve">РЕАЛИЗАЦИИ РЕГИОНАЛЬНОЙ ПРОГРАММЫ</w:t>
      </w:r>
    </w:p>
    <w:p>
      <w:pPr>
        <w:pStyle w:val="0"/>
        <w:jc w:val="center"/>
      </w:pPr>
      <w:r>
        <w:rPr>
          <w:sz w:val="20"/>
        </w:rPr>
      </w:r>
    </w:p>
    <w:p>
      <w:pPr>
        <w:pStyle w:val="0"/>
        <w:ind w:firstLine="540"/>
        <w:jc w:val="both"/>
      </w:pPr>
      <w:r>
        <w:rPr>
          <w:sz w:val="20"/>
        </w:rPr>
        <w:t xml:space="preserve">По итогам реализации Региональной программы в 2022 - 2024 годах планируется достичь снижения младенческой смертности до уровня 3,7 и ниже на 1000 родившихся живыми, что косвенно приведет к повышению продолжительности жизни в автономном округе.</w:t>
      </w:r>
    </w:p>
    <w:p>
      <w:pPr>
        <w:pStyle w:val="0"/>
        <w:spacing w:before="200" w:line-rule="auto"/>
        <w:ind w:firstLine="540"/>
        <w:jc w:val="both"/>
      </w:pPr>
      <w:r>
        <w:rPr>
          <w:sz w:val="20"/>
        </w:rPr>
        <w:t xml:space="preserve">За счет средств федерального бюджета и консолидированного бюджета автономного округа, а также средств внебюджетных фондов планируется провести ряд мероприятий Региональной программы, в частности дооснащение медицинскими изделиями и создание планировочных решений в детских поликлиниках медицинских организаций автономного округа, дооснащение учреждений родовспоможения, что обеспечит повышение доступности и качества медицинской помощи детям и женщинам в период беременности и родов.</w:t>
      </w:r>
    </w:p>
    <w:p>
      <w:pPr>
        <w:pStyle w:val="0"/>
        <w:spacing w:before="200" w:line-rule="auto"/>
        <w:ind w:firstLine="540"/>
        <w:jc w:val="both"/>
      </w:pPr>
      <w:r>
        <w:rPr>
          <w:sz w:val="20"/>
        </w:rPr>
        <w:t xml:space="preserve">За счет изменения организации работы детских поликлиник - внедрения форм оказания медицинской помощи по типу бережливого производства - будет достигнуто комфортное пребывание детей и их родителей в медицинских организациях, повысится доступность и простота записи к специалистам, что позволит направить усилия врачей на профилактические мероприятия: осмотры, диспансеризацию детей, медицинскую реабилитацию в условиях дневного стационара.</w:t>
      </w:r>
    </w:p>
    <w:p>
      <w:pPr>
        <w:pStyle w:val="0"/>
        <w:spacing w:before="200" w:line-rule="auto"/>
        <w:ind w:firstLine="540"/>
        <w:jc w:val="both"/>
      </w:pPr>
      <w:r>
        <w:rPr>
          <w:sz w:val="20"/>
        </w:rPr>
        <w:t xml:space="preserve">В то же время расширение доступности и спектра профилактических мероприятий обеспечат раннюю диагностику и своевременное лечение детей, в том числе их репродуктивной системы.</w:t>
      </w:r>
    </w:p>
    <w:p>
      <w:pPr>
        <w:pStyle w:val="0"/>
        <w:spacing w:before="200" w:line-rule="auto"/>
        <w:ind w:firstLine="540"/>
        <w:jc w:val="both"/>
      </w:pPr>
      <w:r>
        <w:rPr>
          <w:sz w:val="20"/>
        </w:rPr>
        <w:t xml:space="preserve">Развитие мультицентровой системы детского здравоохранения в автономном округе позволит повысить доступность специализированной, в том числе высокотехнологичной помощи детям. При взаимодействии медицинских организаций с национальными медицинскими центрами планируется обеспечить своевременную госпитализацию и оказание высокотехнологичной помощи детям, проведение дистанционных консультаций, что снизит детскую инвалидность и смертность.</w:t>
      </w:r>
    </w:p>
    <w:p>
      <w:pPr>
        <w:pStyle w:val="0"/>
        <w:spacing w:before="200" w:line-rule="auto"/>
        <w:ind w:firstLine="540"/>
        <w:jc w:val="both"/>
      </w:pPr>
      <w:r>
        <w:rPr>
          <w:sz w:val="20"/>
        </w:rPr>
        <w:t xml:space="preserve">Высокая доля специалистов, обученных в симуляционных центрах, повысит компетенцию врачей, что отразится на качестве медицинской помощи и коммуникации врача и пациента.</w:t>
      </w:r>
    </w:p>
    <w:p>
      <w:pPr>
        <w:pStyle w:val="0"/>
        <w:spacing w:before="200" w:line-rule="auto"/>
        <w:ind w:firstLine="540"/>
        <w:jc w:val="both"/>
      </w:pPr>
      <w:r>
        <w:rPr>
          <w:sz w:val="20"/>
        </w:rPr>
        <w:t xml:space="preserve">Введение в эксплуатацию в 2021 году и функционирование Сургутского окружного клинического центра охраны материнства и детства обеспечило оказание качественной высококвалифицированной медицинской помощи новорожденным высокой группы риска за счет развития в автономном округе хирургии новорожденных, катамнестического наблюдения и медицинской реабилитации детей до 3 лет, для беременных будет доступна комплексная диагностика патологии беременности и лечение осложнений беременности за счет внедрения магнитно-ядерной томографии, ангиографии, компьютерной томографии, а также внедрения современных подходов к оказанию вспомогательных репродуктивных технологий.</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3</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pPr>
      <w:r>
        <w:rPr>
          <w:sz w:val="20"/>
        </w:rPr>
      </w:r>
    </w:p>
    <w:bookmarkStart w:id="1500" w:name="P1500"/>
    <w:bookmarkEnd w:id="1500"/>
    <w:p>
      <w:pPr>
        <w:pStyle w:val="2"/>
        <w:jc w:val="center"/>
      </w:pPr>
      <w:r>
        <w:rPr>
          <w:sz w:val="20"/>
        </w:rPr>
        <w:t xml:space="preserve">РЕГИОНАЛЬНАЯ ПРОГРАММА</w:t>
      </w:r>
    </w:p>
    <w:p>
      <w:pPr>
        <w:pStyle w:val="2"/>
        <w:jc w:val="center"/>
      </w:pPr>
      <w:r>
        <w:rPr>
          <w:sz w:val="20"/>
        </w:rPr>
        <w:t xml:space="preserve">ХАНТЫ-МАНСИЙСКОГО АВТОНОМНОГО ОКРУГА - ЮГРЫ</w:t>
      </w:r>
    </w:p>
    <w:p>
      <w:pPr>
        <w:pStyle w:val="2"/>
        <w:jc w:val="center"/>
      </w:pPr>
      <w:r>
        <w:rPr>
          <w:sz w:val="20"/>
        </w:rPr>
        <w:t xml:space="preserve">"БОРЬБА С ОНКОЛОГИЧЕСКИМИ ЗАБОЛЕВАНИЯМИ"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ХМАО - Югры от 20.07.2023 </w:t>
            </w:r>
            <w:hyperlink w:history="0" r:id="rId98" w:tooltip="Постановление Правительства ХМАО - Югры от 20.07.2023 N 341-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341-п</w:t>
              </w:r>
            </w:hyperlink>
            <w:r>
              <w:rPr>
                <w:sz w:val="20"/>
                <w:color w:val="392c69"/>
              </w:rPr>
              <w:t xml:space="preserve">,</w:t>
            </w:r>
          </w:p>
          <w:p>
            <w:pPr>
              <w:pStyle w:val="0"/>
              <w:jc w:val="center"/>
            </w:pPr>
            <w:r>
              <w:rPr>
                <w:sz w:val="20"/>
                <w:color w:val="392c69"/>
              </w:rPr>
              <w:t xml:space="preserve">от 27.10.2023 </w:t>
            </w:r>
            <w:hyperlink w:history="0" r:id="rId99" w:tooltip="Постановление Правительства ХМАО - Югры от 27.10.2023 N 52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527-п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1"/>
        <w:jc w:val="center"/>
      </w:pPr>
      <w:r>
        <w:rPr>
          <w:sz w:val="20"/>
        </w:rPr>
        <w:t xml:space="preserve">Раздел 1. ТЕКУЩЕЕ СОСТОЯНИЕ ОНКОЛОГИЧЕСКОЙ ПОМОЩИ</w:t>
      </w:r>
    </w:p>
    <w:p>
      <w:pPr>
        <w:pStyle w:val="2"/>
        <w:jc w:val="center"/>
      </w:pPr>
      <w:r>
        <w:rPr>
          <w:sz w:val="20"/>
        </w:rPr>
        <w:t xml:space="preserve">В ХАНТЫ-МАНСИЙСКОМ АВТОНОМНОМ ОКРУГЕ - ЮГРЕ. ОСНОВНЫЕ</w:t>
      </w:r>
    </w:p>
    <w:p>
      <w:pPr>
        <w:pStyle w:val="2"/>
        <w:jc w:val="center"/>
      </w:pPr>
      <w:r>
        <w:rPr>
          <w:sz w:val="20"/>
        </w:rPr>
        <w:t xml:space="preserve">ПОКАЗАТЕЛИ ОНКОЛОГИЧЕСКОЙ ПОМОЩИ НАСЕЛЕНИЮ РЕГИОНА</w:t>
      </w:r>
    </w:p>
    <w:p>
      <w:pPr>
        <w:pStyle w:val="0"/>
        <w:ind w:firstLine="540"/>
        <w:jc w:val="both"/>
      </w:pPr>
      <w:r>
        <w:rPr>
          <w:sz w:val="20"/>
        </w:rPr>
      </w:r>
    </w:p>
    <w:p>
      <w:pPr>
        <w:pStyle w:val="2"/>
        <w:outlineLvl w:val="2"/>
        <w:jc w:val="center"/>
      </w:pPr>
      <w:r>
        <w:rPr>
          <w:sz w:val="20"/>
        </w:rPr>
        <w:t xml:space="preserve">1.1. Краткая характеристика Ханты-Мансийского автономного</w:t>
      </w:r>
    </w:p>
    <w:p>
      <w:pPr>
        <w:pStyle w:val="2"/>
        <w:jc w:val="center"/>
      </w:pPr>
      <w:r>
        <w:rPr>
          <w:sz w:val="20"/>
        </w:rPr>
        <w:t xml:space="preserve">округа - Югры</w:t>
      </w:r>
    </w:p>
    <w:p>
      <w:pPr>
        <w:pStyle w:val="0"/>
        <w:ind w:firstLine="540"/>
        <w:jc w:val="both"/>
      </w:pPr>
      <w:r>
        <w:rPr>
          <w:sz w:val="20"/>
        </w:rPr>
      </w:r>
    </w:p>
    <w:p>
      <w:pPr>
        <w:pStyle w:val="0"/>
        <w:ind w:firstLine="540"/>
        <w:jc w:val="both"/>
      </w:pPr>
      <w:r>
        <w:rPr>
          <w:sz w:val="20"/>
        </w:rPr>
        <w:t xml:space="preserve">Ханты-Мансийский автономный округ - Югра (далее также - автономный округ) занимает центральную часть Западно-Сибирской равнины, протяженность составляет с запада на восток почти 1400 км - от Уральского хребта до Обско-Енисейского водораздела, с севера на юг - на 800 км. Протяженность границ составляет 4733 км (рисунок 1).</w:t>
      </w:r>
    </w:p>
    <w:p>
      <w:pPr>
        <w:pStyle w:val="0"/>
        <w:jc w:val="right"/>
      </w:pPr>
      <w:r>
        <w:rPr>
          <w:sz w:val="20"/>
        </w:rPr>
      </w:r>
    </w:p>
    <w:p>
      <w:pPr>
        <w:pStyle w:val="0"/>
        <w:jc w:val="right"/>
      </w:pPr>
      <w:r>
        <w:rPr>
          <w:sz w:val="20"/>
        </w:rPr>
        <w:t xml:space="preserve">Рисунок 1</w:t>
      </w:r>
    </w:p>
    <w:p>
      <w:pPr>
        <w:pStyle w:val="0"/>
        <w:jc w:val="right"/>
      </w:pPr>
      <w:r>
        <w:rPr>
          <w:sz w:val="20"/>
        </w:rPr>
      </w:r>
    </w:p>
    <w:p>
      <w:pPr>
        <w:pStyle w:val="0"/>
        <w:jc w:val="center"/>
      </w:pPr>
      <w:r>
        <w:rPr>
          <w:sz w:val="20"/>
        </w:rPr>
        <w:t xml:space="preserve">Географическое положение автономного округа</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30"/>
        </w:rPr>
        <w:drawing>
          <wp:inline distT="0" distB="0" distL="0" distR="0">
            <wp:extent cx="7212965" cy="4327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7212965" cy="4327525"/>
                    </a:xfrm>
                    <a:prstGeom prst="rect">
                      <a:avLst/>
                    </a:prstGeom>
                    <a:noFill/>
                    <a:ln>
                      <a:noFill/>
                    </a:ln>
                  </pic:spPr>
                </pic:pic>
              </a:graphicData>
            </a:graphic>
          </wp:inline>
        </w:drawing>
      </w:r>
    </w:p>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jc w:val="center"/>
      </w:pPr>
      <w:r>
        <w:rPr>
          <w:sz w:val="20"/>
        </w:rPr>
      </w:r>
    </w:p>
    <w:p>
      <w:pPr>
        <w:pStyle w:val="0"/>
        <w:ind w:firstLine="540"/>
        <w:jc w:val="both"/>
      </w:pPr>
      <w:r>
        <w:rPr>
          <w:sz w:val="20"/>
        </w:rPr>
        <w:t xml:space="preserve">Площадь автономного округа составляет 534,8 тыс. кв. км. В пределах муниципального устройства в автономном округе создано 105 муниципальных образований (13 городских округов, 9 муниципальных районов, поселений 83, в том числе: 26 городских и 57 сельских), 194 населенных пункта: 16 городов (из них 14 наделены статусом "город окружного значения"), 24 поселка городского типа, 154 сельских населенных пункта: в том числе 58 поселков, 45 сел, 51 деревня).</w:t>
      </w:r>
    </w:p>
    <w:p>
      <w:pPr>
        <w:pStyle w:val="0"/>
        <w:spacing w:before="200" w:line-rule="auto"/>
        <w:ind w:firstLine="540"/>
        <w:jc w:val="both"/>
      </w:pPr>
      <w:r>
        <w:rPr>
          <w:sz w:val="20"/>
        </w:rPr>
        <w:t xml:space="preserve">По состоянию на 2022 год плотность населения составляет 3,2 человек на 1 кв. км; данный факт обуславливает географические особенности оказания медицинской помощи жителям отдаленных территорий округа.</w:t>
      </w:r>
    </w:p>
    <w:p>
      <w:pPr>
        <w:pStyle w:val="0"/>
        <w:spacing w:before="200" w:line-rule="auto"/>
        <w:ind w:firstLine="540"/>
        <w:jc w:val="both"/>
      </w:pPr>
      <w:r>
        <w:rPr>
          <w:sz w:val="20"/>
        </w:rPr>
        <w:t xml:space="preserve">Общая численность населения автономного округа, по данным Федеральной службы государственной статистики (далее - Росстат), по состоянию на 1 января 2023 года составила 1 730 353 человека. Численность сельского населения - 134 587 человек (7,8% от общего числа населения автономного округа).</w:t>
      </w:r>
    </w:p>
    <w:p>
      <w:pPr>
        <w:pStyle w:val="0"/>
        <w:spacing w:before="200" w:line-rule="auto"/>
        <w:ind w:firstLine="540"/>
        <w:jc w:val="both"/>
      </w:pPr>
      <w:r>
        <w:rPr>
          <w:sz w:val="20"/>
        </w:rPr>
        <w:t xml:space="preserve">За 3 года численность населения региона увеличилась на 42,7 тыс. чел. или на 2,5%, что обусловлено как миграционным, так и естественным приростом. Показатель прироста на 1 тыс. населения в 2021 году составил всего 8,6, в том числе естественный 3,1 и миграционный 5,5 (таблица 1).</w:t>
      </w:r>
    </w:p>
    <w:p>
      <w:pPr>
        <w:pStyle w:val="0"/>
        <w:jc w:val="right"/>
      </w:pPr>
      <w:r>
        <w:rPr>
          <w:sz w:val="20"/>
        </w:rPr>
      </w:r>
    </w:p>
    <w:p>
      <w:pPr>
        <w:pStyle w:val="0"/>
        <w:jc w:val="right"/>
      </w:pPr>
      <w:r>
        <w:rPr>
          <w:sz w:val="20"/>
        </w:rPr>
        <w:t xml:space="preserve">Таблица 1</w:t>
      </w:r>
    </w:p>
    <w:p>
      <w:pPr>
        <w:pStyle w:val="0"/>
        <w:jc w:val="right"/>
      </w:pPr>
      <w:r>
        <w:rPr>
          <w:sz w:val="20"/>
        </w:rPr>
      </w:r>
    </w:p>
    <w:p>
      <w:pPr>
        <w:pStyle w:val="0"/>
        <w:jc w:val="center"/>
      </w:pPr>
      <w:r>
        <w:rPr>
          <w:sz w:val="20"/>
        </w:rPr>
        <w:t xml:space="preserve">Численность населения автономного округа в разрезе</w:t>
      </w:r>
    </w:p>
    <w:p>
      <w:pPr>
        <w:pStyle w:val="0"/>
        <w:jc w:val="center"/>
      </w:pPr>
      <w:r>
        <w:rPr>
          <w:sz w:val="20"/>
        </w:rPr>
        <w:t xml:space="preserve">муниципальных образований на 1 января 2023 года (Росстат)</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54"/>
        <w:gridCol w:w="1622"/>
        <w:gridCol w:w="2028"/>
        <w:gridCol w:w="1658"/>
      </w:tblGrid>
      <w:tr>
        <w:tc>
          <w:tcPr>
            <w:tcW w:w="3754" w:type="dxa"/>
            <w:vMerge w:val="restart"/>
          </w:tcPr>
          <w:p>
            <w:pPr>
              <w:pStyle w:val="0"/>
              <w:jc w:val="center"/>
            </w:pPr>
            <w:r>
              <w:rPr>
                <w:sz w:val="20"/>
              </w:rPr>
              <w:t xml:space="preserve">Наименование городских округов, муниципальных районов автономного округа</w:t>
            </w:r>
          </w:p>
        </w:tc>
        <w:tc>
          <w:tcPr>
            <w:tcW w:w="1622" w:type="dxa"/>
            <w:vMerge w:val="restart"/>
          </w:tcPr>
          <w:p>
            <w:pPr>
              <w:pStyle w:val="0"/>
              <w:jc w:val="center"/>
            </w:pPr>
            <w:r>
              <w:rPr>
                <w:sz w:val="20"/>
              </w:rPr>
              <w:t xml:space="preserve">Численность населения - всего, человек</w:t>
            </w:r>
          </w:p>
        </w:tc>
        <w:tc>
          <w:tcPr>
            <w:gridSpan w:val="2"/>
            <w:tcW w:w="3686" w:type="dxa"/>
          </w:tcPr>
          <w:p>
            <w:pPr>
              <w:pStyle w:val="0"/>
              <w:jc w:val="center"/>
            </w:pPr>
            <w:r>
              <w:rPr>
                <w:sz w:val="20"/>
              </w:rPr>
              <w:t xml:space="preserve">В том числе:</w:t>
            </w:r>
          </w:p>
        </w:tc>
      </w:tr>
      <w:tr>
        <w:tc>
          <w:tcPr>
            <w:vMerge w:val="continue"/>
          </w:tcPr>
          <w:p/>
        </w:tc>
        <w:tc>
          <w:tcPr>
            <w:vMerge w:val="continue"/>
          </w:tcPr>
          <w:p/>
        </w:tc>
        <w:tc>
          <w:tcPr>
            <w:tcW w:w="2028" w:type="dxa"/>
          </w:tcPr>
          <w:p>
            <w:pPr>
              <w:pStyle w:val="0"/>
              <w:jc w:val="center"/>
            </w:pPr>
            <w:r>
              <w:rPr>
                <w:sz w:val="20"/>
              </w:rPr>
              <w:t xml:space="preserve">городское, человек</w:t>
            </w:r>
          </w:p>
        </w:tc>
        <w:tc>
          <w:tcPr>
            <w:tcW w:w="1658" w:type="dxa"/>
          </w:tcPr>
          <w:p>
            <w:pPr>
              <w:pStyle w:val="0"/>
              <w:jc w:val="center"/>
            </w:pPr>
            <w:r>
              <w:rPr>
                <w:sz w:val="20"/>
              </w:rPr>
              <w:t xml:space="preserve">сельское, человек</w:t>
            </w:r>
          </w:p>
        </w:tc>
      </w:tr>
      <w:tr>
        <w:tc>
          <w:tcPr>
            <w:tcW w:w="3754" w:type="dxa"/>
          </w:tcPr>
          <w:p>
            <w:pPr>
              <w:pStyle w:val="0"/>
            </w:pPr>
            <w:r>
              <w:rPr>
                <w:sz w:val="20"/>
              </w:rPr>
              <w:t xml:space="preserve">Автономный округ</w:t>
            </w:r>
          </w:p>
        </w:tc>
        <w:tc>
          <w:tcPr>
            <w:tcW w:w="1622" w:type="dxa"/>
          </w:tcPr>
          <w:p>
            <w:pPr>
              <w:pStyle w:val="0"/>
              <w:jc w:val="center"/>
            </w:pPr>
            <w:r>
              <w:rPr>
                <w:sz w:val="20"/>
              </w:rPr>
              <w:t xml:space="preserve">1730353</w:t>
            </w:r>
          </w:p>
        </w:tc>
        <w:tc>
          <w:tcPr>
            <w:tcW w:w="2028" w:type="dxa"/>
          </w:tcPr>
          <w:p>
            <w:pPr>
              <w:pStyle w:val="0"/>
              <w:jc w:val="center"/>
            </w:pPr>
            <w:r>
              <w:rPr>
                <w:sz w:val="20"/>
              </w:rPr>
              <w:t xml:space="preserve">1595766</w:t>
            </w:r>
          </w:p>
        </w:tc>
        <w:tc>
          <w:tcPr>
            <w:tcW w:w="1658" w:type="dxa"/>
          </w:tcPr>
          <w:p>
            <w:pPr>
              <w:pStyle w:val="0"/>
              <w:jc w:val="center"/>
            </w:pPr>
            <w:r>
              <w:rPr>
                <w:sz w:val="20"/>
              </w:rPr>
              <w:t xml:space="preserve">134587</w:t>
            </w:r>
          </w:p>
        </w:tc>
      </w:tr>
      <w:tr>
        <w:tc>
          <w:tcPr>
            <w:tcW w:w="3754" w:type="dxa"/>
          </w:tcPr>
          <w:p>
            <w:pPr>
              <w:pStyle w:val="0"/>
            </w:pPr>
            <w:r>
              <w:rPr>
                <w:sz w:val="20"/>
              </w:rPr>
              <w:t xml:space="preserve">Ханты-Мансийск</w:t>
            </w:r>
          </w:p>
        </w:tc>
        <w:tc>
          <w:tcPr>
            <w:tcW w:w="1622" w:type="dxa"/>
          </w:tcPr>
          <w:p>
            <w:pPr>
              <w:pStyle w:val="0"/>
              <w:jc w:val="center"/>
            </w:pPr>
            <w:r>
              <w:rPr>
                <w:sz w:val="20"/>
              </w:rPr>
              <w:t xml:space="preserve">109745</w:t>
            </w:r>
          </w:p>
        </w:tc>
        <w:tc>
          <w:tcPr>
            <w:tcW w:w="2028" w:type="dxa"/>
          </w:tcPr>
          <w:p>
            <w:pPr>
              <w:pStyle w:val="0"/>
              <w:jc w:val="center"/>
            </w:pPr>
            <w:r>
              <w:rPr>
                <w:sz w:val="20"/>
              </w:rPr>
              <w:t xml:space="preserve">109745</w:t>
            </w:r>
          </w:p>
        </w:tc>
        <w:tc>
          <w:tcPr>
            <w:tcW w:w="1658" w:type="dxa"/>
          </w:tcPr>
          <w:p>
            <w:pPr>
              <w:pStyle w:val="0"/>
              <w:jc w:val="center"/>
            </w:pPr>
            <w:r>
              <w:rPr>
                <w:sz w:val="20"/>
              </w:rPr>
            </w:r>
          </w:p>
        </w:tc>
      </w:tr>
      <w:tr>
        <w:tc>
          <w:tcPr>
            <w:tcW w:w="3754" w:type="dxa"/>
          </w:tcPr>
          <w:p>
            <w:pPr>
              <w:pStyle w:val="0"/>
            </w:pPr>
            <w:r>
              <w:rPr>
                <w:sz w:val="20"/>
              </w:rPr>
              <w:t xml:space="preserve">Когалым</w:t>
            </w:r>
          </w:p>
        </w:tc>
        <w:tc>
          <w:tcPr>
            <w:tcW w:w="1622" w:type="dxa"/>
          </w:tcPr>
          <w:p>
            <w:pPr>
              <w:pStyle w:val="0"/>
              <w:jc w:val="center"/>
            </w:pPr>
            <w:r>
              <w:rPr>
                <w:sz w:val="20"/>
              </w:rPr>
              <w:t xml:space="preserve">62494</w:t>
            </w:r>
          </w:p>
        </w:tc>
        <w:tc>
          <w:tcPr>
            <w:tcW w:w="2028" w:type="dxa"/>
          </w:tcPr>
          <w:p>
            <w:pPr>
              <w:pStyle w:val="0"/>
              <w:jc w:val="center"/>
            </w:pPr>
            <w:r>
              <w:rPr>
                <w:sz w:val="20"/>
              </w:rPr>
              <w:t xml:space="preserve">62062</w:t>
            </w:r>
          </w:p>
        </w:tc>
        <w:tc>
          <w:tcPr>
            <w:tcW w:w="1658" w:type="dxa"/>
          </w:tcPr>
          <w:p>
            <w:pPr>
              <w:pStyle w:val="0"/>
              <w:jc w:val="center"/>
            </w:pPr>
            <w:r>
              <w:rPr>
                <w:sz w:val="20"/>
              </w:rPr>
              <w:t xml:space="preserve">432</w:t>
            </w:r>
          </w:p>
        </w:tc>
      </w:tr>
      <w:tr>
        <w:tc>
          <w:tcPr>
            <w:tcW w:w="3754" w:type="dxa"/>
          </w:tcPr>
          <w:p>
            <w:pPr>
              <w:pStyle w:val="0"/>
            </w:pPr>
            <w:r>
              <w:rPr>
                <w:sz w:val="20"/>
              </w:rPr>
              <w:t xml:space="preserve">Лангепас</w:t>
            </w:r>
          </w:p>
        </w:tc>
        <w:tc>
          <w:tcPr>
            <w:tcW w:w="1622" w:type="dxa"/>
          </w:tcPr>
          <w:p>
            <w:pPr>
              <w:pStyle w:val="0"/>
              <w:jc w:val="center"/>
            </w:pPr>
            <w:r>
              <w:rPr>
                <w:sz w:val="20"/>
              </w:rPr>
              <w:t xml:space="preserve">43407</w:t>
            </w:r>
          </w:p>
        </w:tc>
        <w:tc>
          <w:tcPr>
            <w:tcW w:w="2028" w:type="dxa"/>
          </w:tcPr>
          <w:p>
            <w:pPr>
              <w:pStyle w:val="0"/>
              <w:jc w:val="center"/>
            </w:pPr>
            <w:r>
              <w:rPr>
                <w:sz w:val="20"/>
              </w:rPr>
              <w:t xml:space="preserve">43407</w:t>
            </w:r>
          </w:p>
        </w:tc>
        <w:tc>
          <w:tcPr>
            <w:tcW w:w="1658" w:type="dxa"/>
          </w:tcPr>
          <w:p>
            <w:pPr>
              <w:pStyle w:val="0"/>
              <w:jc w:val="center"/>
            </w:pPr>
            <w:r>
              <w:rPr>
                <w:sz w:val="20"/>
              </w:rPr>
            </w:r>
          </w:p>
        </w:tc>
      </w:tr>
      <w:tr>
        <w:tc>
          <w:tcPr>
            <w:tcW w:w="3754" w:type="dxa"/>
          </w:tcPr>
          <w:p>
            <w:pPr>
              <w:pStyle w:val="0"/>
            </w:pPr>
            <w:r>
              <w:rPr>
                <w:sz w:val="20"/>
              </w:rPr>
              <w:t xml:space="preserve">Мегион</w:t>
            </w:r>
          </w:p>
        </w:tc>
        <w:tc>
          <w:tcPr>
            <w:tcW w:w="1622" w:type="dxa"/>
          </w:tcPr>
          <w:p>
            <w:pPr>
              <w:pStyle w:val="0"/>
              <w:jc w:val="center"/>
            </w:pPr>
            <w:r>
              <w:rPr>
                <w:sz w:val="20"/>
              </w:rPr>
              <w:t xml:space="preserve">59174</w:t>
            </w:r>
          </w:p>
        </w:tc>
        <w:tc>
          <w:tcPr>
            <w:tcW w:w="2028" w:type="dxa"/>
          </w:tcPr>
          <w:p>
            <w:pPr>
              <w:pStyle w:val="0"/>
              <w:jc w:val="center"/>
            </w:pPr>
            <w:r>
              <w:rPr>
                <w:sz w:val="20"/>
              </w:rPr>
              <w:t xml:space="preserve">59174</w:t>
            </w:r>
          </w:p>
        </w:tc>
        <w:tc>
          <w:tcPr>
            <w:tcW w:w="1658" w:type="dxa"/>
          </w:tcPr>
          <w:p>
            <w:pPr>
              <w:pStyle w:val="0"/>
              <w:jc w:val="center"/>
            </w:pPr>
            <w:r>
              <w:rPr>
                <w:sz w:val="20"/>
              </w:rPr>
            </w:r>
          </w:p>
        </w:tc>
      </w:tr>
      <w:tr>
        <w:tc>
          <w:tcPr>
            <w:tcW w:w="3754" w:type="dxa"/>
          </w:tcPr>
          <w:p>
            <w:pPr>
              <w:pStyle w:val="0"/>
            </w:pPr>
            <w:r>
              <w:rPr>
                <w:sz w:val="20"/>
              </w:rPr>
              <w:t xml:space="preserve">Нефтеюганск</w:t>
            </w:r>
          </w:p>
        </w:tc>
        <w:tc>
          <w:tcPr>
            <w:tcW w:w="1622" w:type="dxa"/>
          </w:tcPr>
          <w:p>
            <w:pPr>
              <w:pStyle w:val="0"/>
              <w:jc w:val="center"/>
            </w:pPr>
            <w:r>
              <w:rPr>
                <w:sz w:val="20"/>
              </w:rPr>
              <w:t xml:space="preserve">124989</w:t>
            </w:r>
          </w:p>
        </w:tc>
        <w:tc>
          <w:tcPr>
            <w:tcW w:w="2028" w:type="dxa"/>
          </w:tcPr>
          <w:p>
            <w:pPr>
              <w:pStyle w:val="0"/>
              <w:jc w:val="center"/>
            </w:pPr>
            <w:r>
              <w:rPr>
                <w:sz w:val="20"/>
              </w:rPr>
              <w:t xml:space="preserve">124989</w:t>
            </w:r>
          </w:p>
        </w:tc>
        <w:tc>
          <w:tcPr>
            <w:tcW w:w="1658" w:type="dxa"/>
          </w:tcPr>
          <w:p>
            <w:pPr>
              <w:pStyle w:val="0"/>
              <w:jc w:val="center"/>
            </w:pPr>
            <w:r>
              <w:rPr>
                <w:sz w:val="20"/>
              </w:rPr>
            </w:r>
          </w:p>
        </w:tc>
      </w:tr>
      <w:tr>
        <w:tc>
          <w:tcPr>
            <w:tcW w:w="3754" w:type="dxa"/>
          </w:tcPr>
          <w:p>
            <w:pPr>
              <w:pStyle w:val="0"/>
            </w:pPr>
            <w:r>
              <w:rPr>
                <w:sz w:val="20"/>
              </w:rPr>
              <w:t xml:space="preserve">Нижневартовск</w:t>
            </w:r>
          </w:p>
        </w:tc>
        <w:tc>
          <w:tcPr>
            <w:tcW w:w="1622" w:type="dxa"/>
          </w:tcPr>
          <w:p>
            <w:pPr>
              <w:pStyle w:val="0"/>
              <w:jc w:val="center"/>
            </w:pPr>
            <w:r>
              <w:rPr>
                <w:sz w:val="20"/>
              </w:rPr>
              <w:t xml:space="preserve">287095</w:t>
            </w:r>
          </w:p>
        </w:tc>
        <w:tc>
          <w:tcPr>
            <w:tcW w:w="2028" w:type="dxa"/>
          </w:tcPr>
          <w:p>
            <w:pPr>
              <w:pStyle w:val="0"/>
              <w:jc w:val="center"/>
            </w:pPr>
            <w:r>
              <w:rPr>
                <w:sz w:val="20"/>
              </w:rPr>
              <w:t xml:space="preserve">287095</w:t>
            </w:r>
          </w:p>
        </w:tc>
        <w:tc>
          <w:tcPr>
            <w:tcW w:w="1658" w:type="dxa"/>
          </w:tcPr>
          <w:p>
            <w:pPr>
              <w:pStyle w:val="0"/>
              <w:jc w:val="center"/>
            </w:pPr>
            <w:r>
              <w:rPr>
                <w:sz w:val="20"/>
              </w:rPr>
            </w:r>
          </w:p>
        </w:tc>
      </w:tr>
      <w:tr>
        <w:tc>
          <w:tcPr>
            <w:tcW w:w="3754" w:type="dxa"/>
          </w:tcPr>
          <w:p>
            <w:pPr>
              <w:pStyle w:val="0"/>
            </w:pPr>
            <w:r>
              <w:rPr>
                <w:sz w:val="20"/>
              </w:rPr>
              <w:t xml:space="preserve">Нягань</w:t>
            </w:r>
          </w:p>
        </w:tc>
        <w:tc>
          <w:tcPr>
            <w:tcW w:w="1622" w:type="dxa"/>
          </w:tcPr>
          <w:p>
            <w:pPr>
              <w:pStyle w:val="0"/>
              <w:jc w:val="center"/>
            </w:pPr>
            <w:r>
              <w:rPr>
                <w:sz w:val="20"/>
              </w:rPr>
              <w:t xml:space="preserve">63054</w:t>
            </w:r>
          </w:p>
        </w:tc>
        <w:tc>
          <w:tcPr>
            <w:tcW w:w="2028" w:type="dxa"/>
          </w:tcPr>
          <w:p>
            <w:pPr>
              <w:pStyle w:val="0"/>
              <w:jc w:val="center"/>
            </w:pPr>
            <w:r>
              <w:rPr>
                <w:sz w:val="20"/>
              </w:rPr>
              <w:t xml:space="preserve">63054</w:t>
            </w:r>
          </w:p>
        </w:tc>
        <w:tc>
          <w:tcPr>
            <w:tcW w:w="1658" w:type="dxa"/>
          </w:tcPr>
          <w:p>
            <w:pPr>
              <w:pStyle w:val="0"/>
              <w:jc w:val="center"/>
            </w:pPr>
            <w:r>
              <w:rPr>
                <w:sz w:val="20"/>
              </w:rPr>
            </w:r>
          </w:p>
        </w:tc>
      </w:tr>
      <w:tr>
        <w:tc>
          <w:tcPr>
            <w:tcW w:w="3754" w:type="dxa"/>
          </w:tcPr>
          <w:p>
            <w:pPr>
              <w:pStyle w:val="0"/>
            </w:pPr>
            <w:r>
              <w:rPr>
                <w:sz w:val="20"/>
              </w:rPr>
              <w:t xml:space="preserve">Покачи</w:t>
            </w:r>
          </w:p>
        </w:tc>
        <w:tc>
          <w:tcPr>
            <w:tcW w:w="1622" w:type="dxa"/>
          </w:tcPr>
          <w:p>
            <w:pPr>
              <w:pStyle w:val="0"/>
              <w:jc w:val="center"/>
            </w:pPr>
            <w:r>
              <w:rPr>
                <w:sz w:val="20"/>
              </w:rPr>
              <w:t xml:space="preserve">16201</w:t>
            </w:r>
          </w:p>
        </w:tc>
        <w:tc>
          <w:tcPr>
            <w:tcW w:w="2028" w:type="dxa"/>
          </w:tcPr>
          <w:p>
            <w:pPr>
              <w:pStyle w:val="0"/>
              <w:jc w:val="center"/>
            </w:pPr>
            <w:r>
              <w:rPr>
                <w:sz w:val="20"/>
              </w:rPr>
              <w:t xml:space="preserve">16201</w:t>
            </w:r>
          </w:p>
        </w:tc>
        <w:tc>
          <w:tcPr>
            <w:tcW w:w="1658" w:type="dxa"/>
          </w:tcPr>
          <w:p>
            <w:pPr>
              <w:pStyle w:val="0"/>
              <w:jc w:val="center"/>
            </w:pPr>
            <w:r>
              <w:rPr>
                <w:sz w:val="20"/>
              </w:rPr>
            </w:r>
          </w:p>
        </w:tc>
      </w:tr>
      <w:tr>
        <w:tc>
          <w:tcPr>
            <w:tcW w:w="3754" w:type="dxa"/>
          </w:tcPr>
          <w:p>
            <w:pPr>
              <w:pStyle w:val="0"/>
            </w:pPr>
            <w:r>
              <w:rPr>
                <w:sz w:val="20"/>
              </w:rPr>
              <w:t xml:space="preserve">Пыть-Ях</w:t>
            </w:r>
          </w:p>
        </w:tc>
        <w:tc>
          <w:tcPr>
            <w:tcW w:w="1622" w:type="dxa"/>
          </w:tcPr>
          <w:p>
            <w:pPr>
              <w:pStyle w:val="0"/>
              <w:jc w:val="center"/>
            </w:pPr>
            <w:r>
              <w:rPr>
                <w:sz w:val="20"/>
              </w:rPr>
              <w:t xml:space="preserve">40253</w:t>
            </w:r>
          </w:p>
        </w:tc>
        <w:tc>
          <w:tcPr>
            <w:tcW w:w="2028" w:type="dxa"/>
          </w:tcPr>
          <w:p>
            <w:pPr>
              <w:pStyle w:val="0"/>
              <w:jc w:val="center"/>
            </w:pPr>
            <w:r>
              <w:rPr>
                <w:sz w:val="20"/>
              </w:rPr>
              <w:t xml:space="preserve">40253</w:t>
            </w:r>
          </w:p>
        </w:tc>
        <w:tc>
          <w:tcPr>
            <w:tcW w:w="1658" w:type="dxa"/>
          </w:tcPr>
          <w:p>
            <w:pPr>
              <w:pStyle w:val="0"/>
              <w:jc w:val="center"/>
            </w:pPr>
            <w:r>
              <w:rPr>
                <w:sz w:val="20"/>
              </w:rPr>
            </w:r>
          </w:p>
        </w:tc>
      </w:tr>
      <w:tr>
        <w:tc>
          <w:tcPr>
            <w:tcW w:w="3754" w:type="dxa"/>
          </w:tcPr>
          <w:p>
            <w:pPr>
              <w:pStyle w:val="0"/>
            </w:pPr>
            <w:r>
              <w:rPr>
                <w:sz w:val="20"/>
              </w:rPr>
              <w:t xml:space="preserve">Радужный</w:t>
            </w:r>
          </w:p>
        </w:tc>
        <w:tc>
          <w:tcPr>
            <w:tcW w:w="1622" w:type="dxa"/>
          </w:tcPr>
          <w:p>
            <w:pPr>
              <w:pStyle w:val="0"/>
              <w:jc w:val="center"/>
            </w:pPr>
            <w:r>
              <w:rPr>
                <w:sz w:val="20"/>
              </w:rPr>
              <w:t xml:space="preserve">44635</w:t>
            </w:r>
          </w:p>
        </w:tc>
        <w:tc>
          <w:tcPr>
            <w:tcW w:w="2028" w:type="dxa"/>
          </w:tcPr>
          <w:p>
            <w:pPr>
              <w:pStyle w:val="0"/>
              <w:jc w:val="center"/>
            </w:pPr>
            <w:r>
              <w:rPr>
                <w:sz w:val="20"/>
              </w:rPr>
              <w:t xml:space="preserve">44635</w:t>
            </w:r>
          </w:p>
        </w:tc>
        <w:tc>
          <w:tcPr>
            <w:tcW w:w="1658" w:type="dxa"/>
          </w:tcPr>
          <w:p>
            <w:pPr>
              <w:pStyle w:val="0"/>
              <w:jc w:val="center"/>
            </w:pPr>
            <w:r>
              <w:rPr>
                <w:sz w:val="20"/>
              </w:rPr>
            </w:r>
          </w:p>
        </w:tc>
      </w:tr>
      <w:tr>
        <w:tc>
          <w:tcPr>
            <w:tcW w:w="3754" w:type="dxa"/>
          </w:tcPr>
          <w:p>
            <w:pPr>
              <w:pStyle w:val="0"/>
            </w:pPr>
            <w:r>
              <w:rPr>
                <w:sz w:val="20"/>
              </w:rPr>
              <w:t xml:space="preserve">Сургут</w:t>
            </w:r>
          </w:p>
        </w:tc>
        <w:tc>
          <w:tcPr>
            <w:tcW w:w="1622" w:type="dxa"/>
          </w:tcPr>
          <w:p>
            <w:pPr>
              <w:pStyle w:val="0"/>
              <w:jc w:val="center"/>
            </w:pPr>
            <w:r>
              <w:rPr>
                <w:sz w:val="20"/>
              </w:rPr>
              <w:t xml:space="preserve">406938</w:t>
            </w:r>
          </w:p>
        </w:tc>
        <w:tc>
          <w:tcPr>
            <w:tcW w:w="2028" w:type="dxa"/>
          </w:tcPr>
          <w:p>
            <w:pPr>
              <w:pStyle w:val="0"/>
              <w:jc w:val="center"/>
            </w:pPr>
            <w:r>
              <w:rPr>
                <w:sz w:val="20"/>
              </w:rPr>
              <w:t xml:space="preserve">406938</w:t>
            </w:r>
          </w:p>
        </w:tc>
        <w:tc>
          <w:tcPr>
            <w:tcW w:w="1658" w:type="dxa"/>
          </w:tcPr>
          <w:p>
            <w:pPr>
              <w:pStyle w:val="0"/>
              <w:jc w:val="center"/>
            </w:pPr>
            <w:r>
              <w:rPr>
                <w:sz w:val="20"/>
              </w:rPr>
            </w:r>
          </w:p>
        </w:tc>
      </w:tr>
      <w:tr>
        <w:tc>
          <w:tcPr>
            <w:tcW w:w="3754" w:type="dxa"/>
          </w:tcPr>
          <w:p>
            <w:pPr>
              <w:pStyle w:val="0"/>
            </w:pPr>
            <w:r>
              <w:rPr>
                <w:sz w:val="20"/>
              </w:rPr>
              <w:t xml:space="preserve">Урай</w:t>
            </w:r>
          </w:p>
        </w:tc>
        <w:tc>
          <w:tcPr>
            <w:tcW w:w="1622" w:type="dxa"/>
          </w:tcPr>
          <w:p>
            <w:pPr>
              <w:pStyle w:val="0"/>
              <w:jc w:val="center"/>
            </w:pPr>
            <w:r>
              <w:rPr>
                <w:sz w:val="20"/>
              </w:rPr>
              <w:t xml:space="preserve">41141</w:t>
            </w:r>
          </w:p>
        </w:tc>
        <w:tc>
          <w:tcPr>
            <w:tcW w:w="2028" w:type="dxa"/>
          </w:tcPr>
          <w:p>
            <w:pPr>
              <w:pStyle w:val="0"/>
              <w:jc w:val="center"/>
            </w:pPr>
            <w:r>
              <w:rPr>
                <w:sz w:val="20"/>
              </w:rPr>
              <w:t xml:space="preserve">41141</w:t>
            </w:r>
          </w:p>
        </w:tc>
        <w:tc>
          <w:tcPr>
            <w:tcW w:w="1658" w:type="dxa"/>
          </w:tcPr>
          <w:p>
            <w:pPr>
              <w:pStyle w:val="0"/>
              <w:jc w:val="center"/>
            </w:pPr>
            <w:r>
              <w:rPr>
                <w:sz w:val="20"/>
              </w:rPr>
            </w:r>
          </w:p>
        </w:tc>
      </w:tr>
      <w:tr>
        <w:tc>
          <w:tcPr>
            <w:tcW w:w="3754" w:type="dxa"/>
          </w:tcPr>
          <w:p>
            <w:pPr>
              <w:pStyle w:val="0"/>
            </w:pPr>
            <w:r>
              <w:rPr>
                <w:sz w:val="20"/>
              </w:rPr>
              <w:t xml:space="preserve">Югорск</w:t>
            </w:r>
          </w:p>
        </w:tc>
        <w:tc>
          <w:tcPr>
            <w:tcW w:w="1622" w:type="dxa"/>
          </w:tcPr>
          <w:p>
            <w:pPr>
              <w:pStyle w:val="0"/>
              <w:jc w:val="center"/>
            </w:pPr>
            <w:r>
              <w:rPr>
                <w:sz w:val="20"/>
              </w:rPr>
              <w:t xml:space="preserve">38611</w:t>
            </w:r>
          </w:p>
        </w:tc>
        <w:tc>
          <w:tcPr>
            <w:tcW w:w="2028" w:type="dxa"/>
          </w:tcPr>
          <w:p>
            <w:pPr>
              <w:pStyle w:val="0"/>
              <w:jc w:val="center"/>
            </w:pPr>
            <w:r>
              <w:rPr>
                <w:sz w:val="20"/>
              </w:rPr>
              <w:t xml:space="preserve">38611</w:t>
            </w:r>
          </w:p>
        </w:tc>
        <w:tc>
          <w:tcPr>
            <w:tcW w:w="1658" w:type="dxa"/>
          </w:tcPr>
          <w:p>
            <w:pPr>
              <w:pStyle w:val="0"/>
              <w:jc w:val="center"/>
            </w:pPr>
            <w:r>
              <w:rPr>
                <w:sz w:val="20"/>
              </w:rPr>
            </w:r>
          </w:p>
        </w:tc>
      </w:tr>
      <w:tr>
        <w:tc>
          <w:tcPr>
            <w:tcW w:w="3754" w:type="dxa"/>
          </w:tcPr>
          <w:p>
            <w:pPr>
              <w:pStyle w:val="0"/>
            </w:pPr>
            <w:r>
              <w:rPr>
                <w:sz w:val="20"/>
              </w:rPr>
              <w:t xml:space="preserve">Белоярский</w:t>
            </w:r>
          </w:p>
        </w:tc>
        <w:tc>
          <w:tcPr>
            <w:tcW w:w="1622" w:type="dxa"/>
          </w:tcPr>
          <w:p>
            <w:pPr>
              <w:pStyle w:val="0"/>
              <w:jc w:val="center"/>
            </w:pPr>
            <w:r>
              <w:rPr>
                <w:sz w:val="20"/>
              </w:rPr>
              <w:t xml:space="preserve">28798</w:t>
            </w:r>
          </w:p>
        </w:tc>
        <w:tc>
          <w:tcPr>
            <w:tcW w:w="2028" w:type="dxa"/>
          </w:tcPr>
          <w:p>
            <w:pPr>
              <w:pStyle w:val="0"/>
              <w:jc w:val="center"/>
            </w:pPr>
            <w:r>
              <w:rPr>
                <w:sz w:val="20"/>
              </w:rPr>
              <w:t xml:space="preserve">20016</w:t>
            </w:r>
          </w:p>
        </w:tc>
        <w:tc>
          <w:tcPr>
            <w:tcW w:w="1658" w:type="dxa"/>
          </w:tcPr>
          <w:p>
            <w:pPr>
              <w:pStyle w:val="0"/>
              <w:jc w:val="center"/>
            </w:pPr>
            <w:r>
              <w:rPr>
                <w:sz w:val="20"/>
              </w:rPr>
              <w:t xml:space="preserve">8782</w:t>
            </w:r>
          </w:p>
        </w:tc>
      </w:tr>
      <w:tr>
        <w:tc>
          <w:tcPr>
            <w:tcW w:w="3754" w:type="dxa"/>
          </w:tcPr>
          <w:p>
            <w:pPr>
              <w:pStyle w:val="0"/>
            </w:pPr>
            <w:r>
              <w:rPr>
                <w:sz w:val="20"/>
              </w:rPr>
              <w:t xml:space="preserve">Березовский</w:t>
            </w:r>
          </w:p>
        </w:tc>
        <w:tc>
          <w:tcPr>
            <w:tcW w:w="1622" w:type="dxa"/>
          </w:tcPr>
          <w:p>
            <w:pPr>
              <w:pStyle w:val="0"/>
              <w:jc w:val="center"/>
            </w:pPr>
            <w:r>
              <w:rPr>
                <w:sz w:val="20"/>
              </w:rPr>
              <w:t xml:space="preserve">22690</w:t>
            </w:r>
          </w:p>
        </w:tc>
        <w:tc>
          <w:tcPr>
            <w:tcW w:w="2028" w:type="dxa"/>
          </w:tcPr>
          <w:p>
            <w:pPr>
              <w:pStyle w:val="0"/>
              <w:jc w:val="center"/>
            </w:pPr>
            <w:r>
              <w:rPr>
                <w:sz w:val="20"/>
              </w:rPr>
              <w:t xml:space="preserve">13493</w:t>
            </w:r>
          </w:p>
        </w:tc>
        <w:tc>
          <w:tcPr>
            <w:tcW w:w="1658" w:type="dxa"/>
          </w:tcPr>
          <w:p>
            <w:pPr>
              <w:pStyle w:val="0"/>
              <w:jc w:val="center"/>
            </w:pPr>
            <w:r>
              <w:rPr>
                <w:sz w:val="20"/>
              </w:rPr>
              <w:t xml:space="preserve">9197</w:t>
            </w:r>
          </w:p>
        </w:tc>
      </w:tr>
      <w:tr>
        <w:tc>
          <w:tcPr>
            <w:tcW w:w="3754" w:type="dxa"/>
          </w:tcPr>
          <w:p>
            <w:pPr>
              <w:pStyle w:val="0"/>
            </w:pPr>
            <w:r>
              <w:rPr>
                <w:sz w:val="20"/>
              </w:rPr>
              <w:t xml:space="preserve">Кондинский</w:t>
            </w:r>
          </w:p>
        </w:tc>
        <w:tc>
          <w:tcPr>
            <w:tcW w:w="1622" w:type="dxa"/>
          </w:tcPr>
          <w:p>
            <w:pPr>
              <w:pStyle w:val="0"/>
              <w:jc w:val="center"/>
            </w:pPr>
            <w:r>
              <w:rPr>
                <w:sz w:val="20"/>
              </w:rPr>
              <w:t xml:space="preserve">30495</w:t>
            </w:r>
          </w:p>
        </w:tc>
        <w:tc>
          <w:tcPr>
            <w:tcW w:w="2028" w:type="dxa"/>
          </w:tcPr>
          <w:p>
            <w:pPr>
              <w:pStyle w:val="0"/>
              <w:jc w:val="center"/>
            </w:pPr>
            <w:r>
              <w:rPr>
                <w:sz w:val="20"/>
              </w:rPr>
              <w:t xml:space="preserve">20908</w:t>
            </w:r>
          </w:p>
        </w:tc>
        <w:tc>
          <w:tcPr>
            <w:tcW w:w="1658" w:type="dxa"/>
          </w:tcPr>
          <w:p>
            <w:pPr>
              <w:pStyle w:val="0"/>
              <w:jc w:val="center"/>
            </w:pPr>
            <w:r>
              <w:rPr>
                <w:sz w:val="20"/>
              </w:rPr>
              <w:t xml:space="preserve">9587</w:t>
            </w:r>
          </w:p>
        </w:tc>
      </w:tr>
      <w:tr>
        <w:tc>
          <w:tcPr>
            <w:tcW w:w="3754" w:type="dxa"/>
          </w:tcPr>
          <w:p>
            <w:pPr>
              <w:pStyle w:val="0"/>
            </w:pPr>
            <w:r>
              <w:rPr>
                <w:sz w:val="20"/>
              </w:rPr>
              <w:t xml:space="preserve">Нефтеюганский</w:t>
            </w:r>
          </w:p>
        </w:tc>
        <w:tc>
          <w:tcPr>
            <w:tcW w:w="1622" w:type="dxa"/>
          </w:tcPr>
          <w:p>
            <w:pPr>
              <w:pStyle w:val="0"/>
              <w:jc w:val="center"/>
            </w:pPr>
            <w:r>
              <w:rPr>
                <w:sz w:val="20"/>
              </w:rPr>
              <w:t xml:space="preserve">47014</w:t>
            </w:r>
          </w:p>
        </w:tc>
        <w:tc>
          <w:tcPr>
            <w:tcW w:w="2028" w:type="dxa"/>
          </w:tcPr>
          <w:p>
            <w:pPr>
              <w:pStyle w:val="0"/>
              <w:jc w:val="center"/>
            </w:pPr>
            <w:r>
              <w:rPr>
                <w:sz w:val="20"/>
              </w:rPr>
              <w:t xml:space="preserve">24541</w:t>
            </w:r>
          </w:p>
        </w:tc>
        <w:tc>
          <w:tcPr>
            <w:tcW w:w="1658" w:type="dxa"/>
          </w:tcPr>
          <w:p>
            <w:pPr>
              <w:pStyle w:val="0"/>
              <w:jc w:val="center"/>
            </w:pPr>
            <w:r>
              <w:rPr>
                <w:sz w:val="20"/>
              </w:rPr>
              <w:t xml:space="preserve">22473</w:t>
            </w:r>
          </w:p>
        </w:tc>
      </w:tr>
      <w:tr>
        <w:tc>
          <w:tcPr>
            <w:tcW w:w="3754" w:type="dxa"/>
          </w:tcPr>
          <w:p>
            <w:pPr>
              <w:pStyle w:val="0"/>
            </w:pPr>
            <w:r>
              <w:rPr>
                <w:sz w:val="20"/>
              </w:rPr>
              <w:t xml:space="preserve">Нижневартовский</w:t>
            </w:r>
          </w:p>
        </w:tc>
        <w:tc>
          <w:tcPr>
            <w:tcW w:w="1622" w:type="dxa"/>
          </w:tcPr>
          <w:p>
            <w:pPr>
              <w:pStyle w:val="0"/>
              <w:jc w:val="center"/>
            </w:pPr>
            <w:r>
              <w:rPr>
                <w:sz w:val="20"/>
              </w:rPr>
              <w:t xml:space="preserve">38507</w:t>
            </w:r>
          </w:p>
        </w:tc>
        <w:tc>
          <w:tcPr>
            <w:tcW w:w="2028" w:type="dxa"/>
          </w:tcPr>
          <w:p>
            <w:pPr>
              <w:pStyle w:val="0"/>
              <w:jc w:val="center"/>
            </w:pPr>
            <w:r>
              <w:rPr>
                <w:sz w:val="20"/>
              </w:rPr>
              <w:t xml:space="preserve">30751</w:t>
            </w:r>
          </w:p>
        </w:tc>
        <w:tc>
          <w:tcPr>
            <w:tcW w:w="1658" w:type="dxa"/>
          </w:tcPr>
          <w:p>
            <w:pPr>
              <w:pStyle w:val="0"/>
              <w:jc w:val="center"/>
            </w:pPr>
            <w:r>
              <w:rPr>
                <w:sz w:val="20"/>
              </w:rPr>
              <w:t xml:space="preserve">7756</w:t>
            </w:r>
          </w:p>
        </w:tc>
      </w:tr>
      <w:tr>
        <w:tc>
          <w:tcPr>
            <w:tcW w:w="3754" w:type="dxa"/>
          </w:tcPr>
          <w:p>
            <w:pPr>
              <w:pStyle w:val="0"/>
            </w:pPr>
            <w:r>
              <w:rPr>
                <w:sz w:val="20"/>
              </w:rPr>
              <w:t xml:space="preserve">Октябрьский</w:t>
            </w:r>
          </w:p>
        </w:tc>
        <w:tc>
          <w:tcPr>
            <w:tcW w:w="1622" w:type="dxa"/>
          </w:tcPr>
          <w:p>
            <w:pPr>
              <w:pStyle w:val="0"/>
              <w:jc w:val="center"/>
            </w:pPr>
            <w:r>
              <w:rPr>
                <w:sz w:val="20"/>
              </w:rPr>
              <w:t xml:space="preserve">32050</w:t>
            </w:r>
          </w:p>
        </w:tc>
        <w:tc>
          <w:tcPr>
            <w:tcW w:w="2028" w:type="dxa"/>
          </w:tcPr>
          <w:p>
            <w:pPr>
              <w:pStyle w:val="0"/>
              <w:jc w:val="center"/>
            </w:pPr>
            <w:r>
              <w:rPr>
                <w:sz w:val="20"/>
              </w:rPr>
              <w:t xml:space="preserve">16283</w:t>
            </w:r>
          </w:p>
        </w:tc>
        <w:tc>
          <w:tcPr>
            <w:tcW w:w="1658" w:type="dxa"/>
          </w:tcPr>
          <w:p>
            <w:pPr>
              <w:pStyle w:val="0"/>
              <w:jc w:val="center"/>
            </w:pPr>
            <w:r>
              <w:rPr>
                <w:sz w:val="20"/>
              </w:rPr>
              <w:t xml:space="preserve">15767</w:t>
            </w:r>
          </w:p>
        </w:tc>
      </w:tr>
      <w:tr>
        <w:tc>
          <w:tcPr>
            <w:tcW w:w="3754" w:type="dxa"/>
          </w:tcPr>
          <w:p>
            <w:pPr>
              <w:pStyle w:val="0"/>
            </w:pPr>
            <w:r>
              <w:rPr>
                <w:sz w:val="20"/>
              </w:rPr>
              <w:t xml:space="preserve">Советский</w:t>
            </w:r>
          </w:p>
        </w:tc>
        <w:tc>
          <w:tcPr>
            <w:tcW w:w="1622" w:type="dxa"/>
          </w:tcPr>
          <w:p>
            <w:pPr>
              <w:pStyle w:val="0"/>
              <w:jc w:val="center"/>
            </w:pPr>
            <w:r>
              <w:rPr>
                <w:sz w:val="20"/>
              </w:rPr>
              <w:t xml:space="preserve">46585</w:t>
            </w:r>
          </w:p>
        </w:tc>
        <w:tc>
          <w:tcPr>
            <w:tcW w:w="2028" w:type="dxa"/>
          </w:tcPr>
          <w:p>
            <w:pPr>
              <w:pStyle w:val="0"/>
              <w:jc w:val="center"/>
            </w:pPr>
            <w:r>
              <w:rPr>
                <w:sz w:val="20"/>
              </w:rPr>
              <w:t xml:space="preserve">43824</w:t>
            </w:r>
          </w:p>
        </w:tc>
        <w:tc>
          <w:tcPr>
            <w:tcW w:w="1658" w:type="dxa"/>
          </w:tcPr>
          <w:p>
            <w:pPr>
              <w:pStyle w:val="0"/>
              <w:jc w:val="center"/>
            </w:pPr>
            <w:r>
              <w:rPr>
                <w:sz w:val="20"/>
              </w:rPr>
              <w:t xml:space="preserve">2761</w:t>
            </w:r>
          </w:p>
        </w:tc>
      </w:tr>
      <w:tr>
        <w:tc>
          <w:tcPr>
            <w:tcW w:w="3754" w:type="dxa"/>
          </w:tcPr>
          <w:p>
            <w:pPr>
              <w:pStyle w:val="0"/>
            </w:pPr>
            <w:r>
              <w:rPr>
                <w:sz w:val="20"/>
              </w:rPr>
              <w:t xml:space="preserve">Сургутский</w:t>
            </w:r>
          </w:p>
        </w:tc>
        <w:tc>
          <w:tcPr>
            <w:tcW w:w="1622" w:type="dxa"/>
          </w:tcPr>
          <w:p>
            <w:pPr>
              <w:pStyle w:val="0"/>
              <w:jc w:val="center"/>
            </w:pPr>
            <w:r>
              <w:rPr>
                <w:sz w:val="20"/>
              </w:rPr>
              <w:t xml:space="preserve">127611</w:t>
            </w:r>
          </w:p>
        </w:tc>
        <w:tc>
          <w:tcPr>
            <w:tcW w:w="2028" w:type="dxa"/>
          </w:tcPr>
          <w:p>
            <w:pPr>
              <w:pStyle w:val="0"/>
              <w:jc w:val="center"/>
            </w:pPr>
            <w:r>
              <w:rPr>
                <w:sz w:val="20"/>
              </w:rPr>
              <w:t xml:space="preserve">88645</w:t>
            </w:r>
          </w:p>
        </w:tc>
        <w:tc>
          <w:tcPr>
            <w:tcW w:w="1658" w:type="dxa"/>
          </w:tcPr>
          <w:p>
            <w:pPr>
              <w:pStyle w:val="0"/>
              <w:jc w:val="center"/>
            </w:pPr>
            <w:r>
              <w:rPr>
                <w:sz w:val="20"/>
              </w:rPr>
              <w:t xml:space="preserve">38966</w:t>
            </w:r>
          </w:p>
        </w:tc>
      </w:tr>
      <w:tr>
        <w:tc>
          <w:tcPr>
            <w:tcW w:w="3754" w:type="dxa"/>
          </w:tcPr>
          <w:p>
            <w:pPr>
              <w:pStyle w:val="0"/>
            </w:pPr>
            <w:r>
              <w:rPr>
                <w:sz w:val="20"/>
              </w:rPr>
              <w:t xml:space="preserve">Ханты-Мансийский</w:t>
            </w:r>
          </w:p>
        </w:tc>
        <w:tc>
          <w:tcPr>
            <w:tcW w:w="1622" w:type="dxa"/>
          </w:tcPr>
          <w:p>
            <w:pPr>
              <w:pStyle w:val="0"/>
              <w:jc w:val="center"/>
            </w:pPr>
            <w:r>
              <w:rPr>
                <w:sz w:val="20"/>
              </w:rPr>
              <w:t xml:space="preserve">18866</w:t>
            </w:r>
          </w:p>
        </w:tc>
        <w:tc>
          <w:tcPr>
            <w:tcW w:w="2028" w:type="dxa"/>
          </w:tcPr>
          <w:p>
            <w:pPr>
              <w:pStyle w:val="0"/>
              <w:jc w:val="center"/>
            </w:pPr>
            <w:r>
              <w:rPr>
                <w:sz w:val="20"/>
              </w:rPr>
            </w:r>
          </w:p>
        </w:tc>
        <w:tc>
          <w:tcPr>
            <w:tcW w:w="1658" w:type="dxa"/>
          </w:tcPr>
          <w:p>
            <w:pPr>
              <w:pStyle w:val="0"/>
              <w:jc w:val="center"/>
            </w:pPr>
            <w:r>
              <w:rPr>
                <w:sz w:val="20"/>
              </w:rPr>
              <w:t xml:space="preserve">18866</w:t>
            </w:r>
          </w:p>
        </w:tc>
      </w:tr>
    </w:tbl>
    <w:p>
      <w:pPr>
        <w:pStyle w:val="0"/>
        <w:jc w:val="right"/>
      </w:pPr>
      <w:r>
        <w:rPr>
          <w:sz w:val="20"/>
        </w:rPr>
      </w:r>
    </w:p>
    <w:p>
      <w:pPr>
        <w:pStyle w:val="0"/>
        <w:jc w:val="right"/>
      </w:pPr>
      <w:r>
        <w:rPr>
          <w:sz w:val="20"/>
        </w:rPr>
        <w:t xml:space="preserve">Таблица 2</w:t>
      </w:r>
    </w:p>
    <w:p>
      <w:pPr>
        <w:pStyle w:val="0"/>
        <w:jc w:val="right"/>
      </w:pPr>
      <w:r>
        <w:rPr>
          <w:sz w:val="20"/>
        </w:rPr>
      </w:r>
    </w:p>
    <w:p>
      <w:pPr>
        <w:pStyle w:val="0"/>
        <w:jc w:val="center"/>
      </w:pPr>
      <w:r>
        <w:rPr>
          <w:sz w:val="20"/>
        </w:rPr>
        <w:t xml:space="preserve">Демографические процессы в структуре населения автономного</w:t>
      </w:r>
    </w:p>
    <w:p>
      <w:pPr>
        <w:pStyle w:val="0"/>
        <w:jc w:val="center"/>
      </w:pPr>
      <w:r>
        <w:rPr>
          <w:sz w:val="20"/>
        </w:rPr>
        <w:t xml:space="preserve">округа в динамике за 5 лет (Росстат)</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03"/>
        <w:gridCol w:w="1083"/>
        <w:gridCol w:w="1082"/>
        <w:gridCol w:w="1082"/>
        <w:gridCol w:w="1216"/>
        <w:gridCol w:w="946"/>
        <w:gridCol w:w="1350"/>
      </w:tblGrid>
      <w:tr>
        <w:tc>
          <w:tcPr>
            <w:tcW w:w="2303" w:type="dxa"/>
          </w:tcPr>
          <w:p>
            <w:pPr>
              <w:pStyle w:val="0"/>
              <w:jc w:val="center"/>
            </w:pPr>
            <w:r>
              <w:rPr>
                <w:sz w:val="20"/>
              </w:rPr>
              <w:t xml:space="preserve">Показатели</w:t>
            </w:r>
          </w:p>
        </w:tc>
        <w:tc>
          <w:tcPr>
            <w:tcW w:w="1083" w:type="dxa"/>
          </w:tcPr>
          <w:p>
            <w:pPr>
              <w:pStyle w:val="0"/>
              <w:jc w:val="center"/>
            </w:pPr>
            <w:r>
              <w:rPr>
                <w:sz w:val="20"/>
              </w:rPr>
              <w:t xml:space="preserve">2018</w:t>
            </w:r>
          </w:p>
        </w:tc>
        <w:tc>
          <w:tcPr>
            <w:tcW w:w="1082" w:type="dxa"/>
          </w:tcPr>
          <w:p>
            <w:pPr>
              <w:pStyle w:val="0"/>
              <w:jc w:val="center"/>
            </w:pPr>
            <w:r>
              <w:rPr>
                <w:sz w:val="20"/>
              </w:rPr>
              <w:t xml:space="preserve">2019</w:t>
            </w:r>
          </w:p>
        </w:tc>
        <w:tc>
          <w:tcPr>
            <w:tcW w:w="1082" w:type="dxa"/>
          </w:tcPr>
          <w:p>
            <w:pPr>
              <w:pStyle w:val="0"/>
              <w:jc w:val="center"/>
            </w:pPr>
            <w:r>
              <w:rPr>
                <w:sz w:val="20"/>
              </w:rPr>
              <w:t xml:space="preserve">2020</w:t>
            </w:r>
          </w:p>
        </w:tc>
        <w:tc>
          <w:tcPr>
            <w:tcW w:w="1216" w:type="dxa"/>
          </w:tcPr>
          <w:p>
            <w:pPr>
              <w:pStyle w:val="0"/>
              <w:jc w:val="center"/>
            </w:pPr>
            <w:r>
              <w:rPr>
                <w:sz w:val="20"/>
              </w:rPr>
              <w:t xml:space="preserve">2021</w:t>
            </w:r>
          </w:p>
        </w:tc>
        <w:tc>
          <w:tcPr>
            <w:tcW w:w="946" w:type="dxa"/>
          </w:tcPr>
          <w:p>
            <w:pPr>
              <w:pStyle w:val="0"/>
              <w:jc w:val="center"/>
            </w:pPr>
            <w:r>
              <w:rPr>
                <w:sz w:val="20"/>
              </w:rPr>
              <w:t xml:space="preserve">2022</w:t>
            </w:r>
          </w:p>
        </w:tc>
        <w:tc>
          <w:tcPr>
            <w:tcW w:w="1350" w:type="dxa"/>
          </w:tcPr>
          <w:p>
            <w:pPr>
              <w:pStyle w:val="0"/>
              <w:jc w:val="center"/>
            </w:pPr>
            <w:r>
              <w:rPr>
                <w:sz w:val="20"/>
              </w:rPr>
              <w:t xml:space="preserve">Динамика (%) 2018 - 2022</w:t>
            </w:r>
          </w:p>
        </w:tc>
      </w:tr>
      <w:tr>
        <w:tc>
          <w:tcPr>
            <w:tcW w:w="2303" w:type="dxa"/>
          </w:tcPr>
          <w:p>
            <w:pPr>
              <w:pStyle w:val="0"/>
            </w:pPr>
            <w:r>
              <w:rPr>
                <w:sz w:val="20"/>
              </w:rPr>
              <w:t xml:space="preserve">Население на 31 декабря (в тыс.)</w:t>
            </w:r>
          </w:p>
        </w:tc>
        <w:tc>
          <w:tcPr>
            <w:tcW w:w="1083" w:type="dxa"/>
          </w:tcPr>
          <w:p>
            <w:pPr>
              <w:pStyle w:val="0"/>
              <w:jc w:val="center"/>
            </w:pPr>
            <w:r>
              <w:rPr>
                <w:sz w:val="20"/>
              </w:rPr>
              <w:t xml:space="preserve">1663,8</w:t>
            </w:r>
          </w:p>
        </w:tc>
        <w:tc>
          <w:tcPr>
            <w:tcW w:w="1082" w:type="dxa"/>
          </w:tcPr>
          <w:p>
            <w:pPr>
              <w:pStyle w:val="0"/>
              <w:jc w:val="center"/>
            </w:pPr>
            <w:r>
              <w:rPr>
                <w:sz w:val="20"/>
              </w:rPr>
              <w:t xml:space="preserve">1674,7</w:t>
            </w:r>
          </w:p>
        </w:tc>
        <w:tc>
          <w:tcPr>
            <w:tcW w:w="1082" w:type="dxa"/>
          </w:tcPr>
          <w:p>
            <w:pPr>
              <w:pStyle w:val="0"/>
              <w:jc w:val="center"/>
            </w:pPr>
            <w:r>
              <w:rPr>
                <w:sz w:val="20"/>
              </w:rPr>
              <w:t xml:space="preserve">1687,7</w:t>
            </w:r>
          </w:p>
        </w:tc>
        <w:tc>
          <w:tcPr>
            <w:tcW w:w="1216" w:type="dxa"/>
          </w:tcPr>
          <w:p>
            <w:pPr>
              <w:pStyle w:val="0"/>
              <w:jc w:val="center"/>
            </w:pPr>
            <w:r>
              <w:rPr>
                <w:sz w:val="20"/>
              </w:rPr>
              <w:t xml:space="preserve">1713,8</w:t>
            </w:r>
          </w:p>
        </w:tc>
        <w:tc>
          <w:tcPr>
            <w:tcW w:w="946" w:type="dxa"/>
          </w:tcPr>
          <w:p>
            <w:pPr>
              <w:pStyle w:val="0"/>
              <w:jc w:val="center"/>
            </w:pPr>
            <w:r>
              <w:rPr>
                <w:sz w:val="20"/>
              </w:rPr>
              <w:t xml:space="preserve">1730,4</w:t>
            </w:r>
          </w:p>
        </w:tc>
        <w:tc>
          <w:tcPr>
            <w:tcW w:w="1350" w:type="dxa"/>
          </w:tcPr>
          <w:p>
            <w:pPr>
              <w:pStyle w:val="0"/>
              <w:jc w:val="center"/>
            </w:pPr>
            <w:r>
              <w:rPr>
                <w:sz w:val="20"/>
              </w:rPr>
              <w:t xml:space="preserve">4,0</w:t>
            </w:r>
          </w:p>
        </w:tc>
      </w:tr>
      <w:tr>
        <w:tc>
          <w:tcPr>
            <w:tcW w:w="2303" w:type="dxa"/>
          </w:tcPr>
          <w:p>
            <w:pPr>
              <w:pStyle w:val="0"/>
            </w:pPr>
            <w:r>
              <w:rPr>
                <w:sz w:val="20"/>
              </w:rPr>
              <w:t xml:space="preserve">Рождаемость на 1000 населения</w:t>
            </w:r>
          </w:p>
        </w:tc>
        <w:tc>
          <w:tcPr>
            <w:tcW w:w="1083" w:type="dxa"/>
          </w:tcPr>
          <w:p>
            <w:pPr>
              <w:pStyle w:val="0"/>
              <w:jc w:val="center"/>
            </w:pPr>
            <w:r>
              <w:rPr>
                <w:sz w:val="20"/>
              </w:rPr>
              <w:t xml:space="preserve">13,6</w:t>
            </w:r>
          </w:p>
        </w:tc>
        <w:tc>
          <w:tcPr>
            <w:tcW w:w="1082" w:type="dxa"/>
          </w:tcPr>
          <w:p>
            <w:pPr>
              <w:pStyle w:val="0"/>
              <w:jc w:val="center"/>
            </w:pPr>
            <w:r>
              <w:rPr>
                <w:sz w:val="20"/>
              </w:rPr>
              <w:t xml:space="preserve">12,4</w:t>
            </w:r>
          </w:p>
        </w:tc>
        <w:tc>
          <w:tcPr>
            <w:tcW w:w="1082" w:type="dxa"/>
          </w:tcPr>
          <w:p>
            <w:pPr>
              <w:pStyle w:val="0"/>
              <w:jc w:val="center"/>
            </w:pPr>
            <w:r>
              <w:rPr>
                <w:sz w:val="20"/>
              </w:rPr>
              <w:t xml:space="preserve">12,3</w:t>
            </w:r>
          </w:p>
        </w:tc>
        <w:tc>
          <w:tcPr>
            <w:tcW w:w="1216" w:type="dxa"/>
          </w:tcPr>
          <w:p>
            <w:pPr>
              <w:pStyle w:val="0"/>
              <w:jc w:val="center"/>
            </w:pPr>
            <w:r>
              <w:rPr>
                <w:sz w:val="20"/>
              </w:rPr>
              <w:t xml:space="preserve">11,6</w:t>
            </w:r>
          </w:p>
        </w:tc>
        <w:tc>
          <w:tcPr>
            <w:tcW w:w="946" w:type="dxa"/>
          </w:tcPr>
          <w:p>
            <w:pPr>
              <w:pStyle w:val="0"/>
              <w:jc w:val="center"/>
            </w:pPr>
            <w:r>
              <w:rPr>
                <w:sz w:val="20"/>
              </w:rPr>
              <w:t xml:space="preserve">11,1</w:t>
            </w:r>
          </w:p>
        </w:tc>
        <w:tc>
          <w:tcPr>
            <w:tcW w:w="1350" w:type="dxa"/>
          </w:tcPr>
          <w:p>
            <w:pPr>
              <w:pStyle w:val="0"/>
              <w:jc w:val="center"/>
            </w:pPr>
            <w:r>
              <w:rPr>
                <w:sz w:val="20"/>
              </w:rPr>
              <w:t xml:space="preserve">-18,4</w:t>
            </w:r>
          </w:p>
        </w:tc>
      </w:tr>
      <w:tr>
        <w:tc>
          <w:tcPr>
            <w:tcW w:w="2303" w:type="dxa"/>
          </w:tcPr>
          <w:p>
            <w:pPr>
              <w:pStyle w:val="0"/>
            </w:pPr>
            <w:r>
              <w:rPr>
                <w:sz w:val="20"/>
              </w:rPr>
              <w:t xml:space="preserve">Общая смертность на 1000 населения</w:t>
            </w:r>
          </w:p>
        </w:tc>
        <w:tc>
          <w:tcPr>
            <w:tcW w:w="1083" w:type="dxa"/>
          </w:tcPr>
          <w:p>
            <w:pPr>
              <w:pStyle w:val="0"/>
              <w:jc w:val="center"/>
            </w:pPr>
            <w:r>
              <w:rPr>
                <w:sz w:val="20"/>
              </w:rPr>
              <w:t xml:space="preserve">6,3</w:t>
            </w:r>
          </w:p>
        </w:tc>
        <w:tc>
          <w:tcPr>
            <w:tcW w:w="1082" w:type="dxa"/>
          </w:tcPr>
          <w:p>
            <w:pPr>
              <w:pStyle w:val="0"/>
              <w:jc w:val="center"/>
            </w:pPr>
            <w:r>
              <w:rPr>
                <w:sz w:val="20"/>
              </w:rPr>
              <w:t xml:space="preserve">6,0</w:t>
            </w:r>
          </w:p>
        </w:tc>
        <w:tc>
          <w:tcPr>
            <w:tcW w:w="1082" w:type="dxa"/>
          </w:tcPr>
          <w:p>
            <w:pPr>
              <w:pStyle w:val="0"/>
              <w:jc w:val="center"/>
            </w:pPr>
            <w:r>
              <w:rPr>
                <w:sz w:val="20"/>
              </w:rPr>
              <w:t xml:space="preserve">7,6</w:t>
            </w:r>
          </w:p>
        </w:tc>
        <w:tc>
          <w:tcPr>
            <w:tcW w:w="1216" w:type="dxa"/>
          </w:tcPr>
          <w:p>
            <w:pPr>
              <w:pStyle w:val="0"/>
              <w:jc w:val="center"/>
            </w:pPr>
            <w:r>
              <w:rPr>
                <w:sz w:val="20"/>
              </w:rPr>
              <w:t xml:space="preserve">8,5</w:t>
            </w:r>
          </w:p>
        </w:tc>
        <w:tc>
          <w:tcPr>
            <w:tcW w:w="946" w:type="dxa"/>
          </w:tcPr>
          <w:p>
            <w:pPr>
              <w:pStyle w:val="0"/>
              <w:jc w:val="center"/>
            </w:pPr>
            <w:r>
              <w:rPr>
                <w:sz w:val="20"/>
              </w:rPr>
              <w:t xml:space="preserve">6,5</w:t>
            </w:r>
          </w:p>
        </w:tc>
        <w:tc>
          <w:tcPr>
            <w:tcW w:w="1350" w:type="dxa"/>
          </w:tcPr>
          <w:p>
            <w:pPr>
              <w:pStyle w:val="0"/>
              <w:jc w:val="center"/>
            </w:pPr>
            <w:r>
              <w:rPr>
                <w:sz w:val="20"/>
              </w:rPr>
              <w:t xml:space="preserve">3,2</w:t>
            </w:r>
          </w:p>
        </w:tc>
      </w:tr>
      <w:tr>
        <w:tc>
          <w:tcPr>
            <w:tcW w:w="2303" w:type="dxa"/>
          </w:tcPr>
          <w:p>
            <w:pPr>
              <w:pStyle w:val="0"/>
            </w:pPr>
            <w:r>
              <w:rPr>
                <w:sz w:val="20"/>
              </w:rPr>
              <w:t xml:space="preserve">Естественный прирост на 1000 населения</w:t>
            </w:r>
          </w:p>
        </w:tc>
        <w:tc>
          <w:tcPr>
            <w:tcW w:w="1083" w:type="dxa"/>
          </w:tcPr>
          <w:p>
            <w:pPr>
              <w:pStyle w:val="0"/>
              <w:jc w:val="center"/>
            </w:pPr>
            <w:r>
              <w:rPr>
                <w:sz w:val="20"/>
              </w:rPr>
              <w:t xml:space="preserve">7,3</w:t>
            </w:r>
          </w:p>
        </w:tc>
        <w:tc>
          <w:tcPr>
            <w:tcW w:w="1082" w:type="dxa"/>
          </w:tcPr>
          <w:p>
            <w:pPr>
              <w:pStyle w:val="0"/>
              <w:jc w:val="center"/>
            </w:pPr>
            <w:r>
              <w:rPr>
                <w:sz w:val="20"/>
              </w:rPr>
              <w:t xml:space="preserve">6,4</w:t>
            </w:r>
          </w:p>
        </w:tc>
        <w:tc>
          <w:tcPr>
            <w:tcW w:w="1082" w:type="dxa"/>
          </w:tcPr>
          <w:p>
            <w:pPr>
              <w:pStyle w:val="0"/>
              <w:jc w:val="center"/>
            </w:pPr>
            <w:r>
              <w:rPr>
                <w:sz w:val="20"/>
              </w:rPr>
              <w:t xml:space="preserve">4,7</w:t>
            </w:r>
          </w:p>
        </w:tc>
        <w:tc>
          <w:tcPr>
            <w:tcW w:w="1216" w:type="dxa"/>
          </w:tcPr>
          <w:p>
            <w:pPr>
              <w:pStyle w:val="0"/>
              <w:jc w:val="center"/>
            </w:pPr>
            <w:r>
              <w:rPr>
                <w:sz w:val="20"/>
              </w:rPr>
              <w:t xml:space="preserve">3,1</w:t>
            </w:r>
          </w:p>
        </w:tc>
        <w:tc>
          <w:tcPr>
            <w:tcW w:w="946" w:type="dxa"/>
          </w:tcPr>
          <w:p>
            <w:pPr>
              <w:pStyle w:val="0"/>
              <w:jc w:val="center"/>
            </w:pPr>
            <w:r>
              <w:rPr>
                <w:sz w:val="20"/>
              </w:rPr>
              <w:t xml:space="preserve">4,5</w:t>
            </w:r>
          </w:p>
        </w:tc>
        <w:tc>
          <w:tcPr>
            <w:tcW w:w="1350" w:type="dxa"/>
          </w:tcPr>
          <w:p>
            <w:pPr>
              <w:pStyle w:val="0"/>
              <w:jc w:val="center"/>
            </w:pPr>
            <w:r>
              <w:rPr>
                <w:sz w:val="20"/>
              </w:rPr>
              <w:t xml:space="preserve">-38,4</w:t>
            </w:r>
          </w:p>
        </w:tc>
      </w:tr>
    </w:tbl>
    <w:p>
      <w:pPr>
        <w:pStyle w:val="0"/>
        <w:ind w:firstLine="540"/>
        <w:jc w:val="both"/>
      </w:pPr>
      <w:r>
        <w:rPr>
          <w:sz w:val="20"/>
        </w:rPr>
      </w:r>
    </w:p>
    <w:p>
      <w:pPr>
        <w:pStyle w:val="0"/>
        <w:ind w:firstLine="540"/>
        <w:jc w:val="both"/>
      </w:pPr>
      <w:r>
        <w:rPr>
          <w:sz w:val="20"/>
        </w:rPr>
        <w:t xml:space="preserve">Как показывает ряд научных исследований, факторами, влияющими на организм человека в экстремальных условиях Севера, являются как природно-климатические (холод, специфическая фотопериодичность, нестабильность барометрического давления, гипоксия, флюктуации геомагнитных полей), так и антропогенные, приведшие к дестабилизации северных экосистем. По данным Всемирной организации здравоохранения, 75 - 80% возникновения онкологических заболеваний связано с различными факторами внешней среды. Одним из неблагоприятных условий проживания на Севере является нарушение циркадного ритма и, как следствие, подавление секреции ночного гормона мелатонина. Полученные данные о стимулирующем влиянии постоянного освещения на развитие опухолей молочной железы и других органов у животных согласуются с результатами анализа эпидемиологических данных. Эти данные показали, что у женщин, проживающих в странах, расположенных ближе к географическим полюсам, где население подвергается воздействию нарушенного светового режима (включая освещение в ночное время), отмечается увеличение заболеваемости раком молочной железы в 2 раза, тела матки в 2 - 2,5 раза по сравнению со странами, расположенными у экватора.</w:t>
      </w:r>
    </w:p>
    <w:p>
      <w:pPr>
        <w:pStyle w:val="0"/>
        <w:spacing w:before="200" w:line-rule="auto"/>
        <w:ind w:firstLine="540"/>
        <w:jc w:val="both"/>
      </w:pPr>
      <w:r>
        <w:rPr>
          <w:sz w:val="20"/>
        </w:rPr>
        <w:t xml:space="preserve">Также автономный округ является эндемичной территорией с природнообусловленным дефицитом йода, в связи с чем заболевания щитовидной железы являются одной из самых частых эндокринных патологией (3-е место в структуре эндокринных заболеваний - 18,6%), причем их распространенность среди женщин выше, чем у мужчин. Йодная недостаточность является одним из факторов риска развития злокачественных новообразований щитовидной железы.</w:t>
      </w:r>
    </w:p>
    <w:p>
      <w:pPr>
        <w:pStyle w:val="0"/>
        <w:spacing w:before="200" w:line-rule="auto"/>
        <w:ind w:firstLine="540"/>
        <w:jc w:val="both"/>
      </w:pPr>
      <w:r>
        <w:rPr>
          <w:sz w:val="20"/>
        </w:rPr>
        <w:t xml:space="preserve">При разработке программ онконастороженности в автономном округе учитывается тот факт, что длительное нахождение на территории мест бурения нефти влияет на развитие рака желудка, мочевого пузыря и легких. Рабочие нефтеперерабатывающих заводов обладают высоким риском заболевания раком ротовой полости, желудка, печени, поджелудочной железы, соединительной ткани, простаты, глаз, мозга, крови.</w:t>
      </w:r>
    </w:p>
    <w:p>
      <w:pPr>
        <w:pStyle w:val="0"/>
        <w:ind w:firstLine="540"/>
        <w:jc w:val="both"/>
      </w:pPr>
      <w:r>
        <w:rPr>
          <w:sz w:val="20"/>
        </w:rPr>
      </w:r>
    </w:p>
    <w:p>
      <w:pPr>
        <w:pStyle w:val="2"/>
        <w:outlineLvl w:val="2"/>
        <w:jc w:val="center"/>
      </w:pPr>
      <w:r>
        <w:rPr>
          <w:sz w:val="20"/>
        </w:rPr>
        <w:t xml:space="preserve">1.2. Эпидемиологические показатели: анализ динамики данных</w:t>
      </w:r>
    </w:p>
    <w:p>
      <w:pPr>
        <w:pStyle w:val="2"/>
        <w:jc w:val="center"/>
      </w:pPr>
      <w:r>
        <w:rPr>
          <w:sz w:val="20"/>
        </w:rPr>
        <w:t xml:space="preserve">по заболеваемости и распространенности онкологических</w:t>
      </w:r>
    </w:p>
    <w:p>
      <w:pPr>
        <w:pStyle w:val="2"/>
        <w:jc w:val="center"/>
      </w:pPr>
      <w:r>
        <w:rPr>
          <w:sz w:val="20"/>
        </w:rPr>
        <w:t xml:space="preserve">заболеваний</w:t>
      </w:r>
    </w:p>
    <w:p>
      <w:pPr>
        <w:pStyle w:val="0"/>
        <w:jc w:val="center"/>
      </w:pPr>
      <w:r>
        <w:rPr>
          <w:sz w:val="20"/>
        </w:rPr>
      </w:r>
    </w:p>
    <w:p>
      <w:pPr>
        <w:pStyle w:val="0"/>
        <w:ind w:firstLine="540"/>
        <w:jc w:val="both"/>
      </w:pPr>
      <w:r>
        <w:rPr>
          <w:sz w:val="20"/>
        </w:rPr>
        <w:t xml:space="preserve">Показатель заболеваемости онкологических заболеваний в автономном округе за десятилетний период с 2013 года по 2022 год увеличился на 28,9% (с 3825 случаев до 4929 в абсолютных числах соответственно).</w:t>
      </w:r>
    </w:p>
    <w:p>
      <w:pPr>
        <w:pStyle w:val="0"/>
        <w:spacing w:before="200" w:line-rule="auto"/>
        <w:ind w:firstLine="540"/>
        <w:jc w:val="both"/>
      </w:pPr>
      <w:r>
        <w:rPr>
          <w:sz w:val="20"/>
        </w:rPr>
        <w:t xml:space="preserve">Заболеваемость злокачественными новообразованиями детского населения (0 - 17 лет) в 2013 году составила 11,4 на 100 тыс. населения (зарегистрировано 42 вновь выявленных случая заболеваний), в 2022 году - 13,1 на 100 тыс. населения (зарегистрировано 56 вновь выявленных заболеваний). Рост за 10 лет составил 14,9%.</w:t>
      </w:r>
    </w:p>
    <w:p>
      <w:pPr>
        <w:pStyle w:val="0"/>
        <w:spacing w:before="200" w:line-rule="auto"/>
        <w:ind w:firstLine="540"/>
        <w:jc w:val="both"/>
      </w:pPr>
      <w:r>
        <w:rPr>
          <w:sz w:val="20"/>
        </w:rPr>
        <w:t xml:space="preserve">"Грубый" показатель заболеваемости злокачественными новообразованиями в 2022 году составил 286,3 на 100 тыс. населения, что на 20% выше показателя 2013 года (240,5 на 100 тыс. населения). Динамика показателя заболеваемости населения злокачественными новообразованиями за последние 10 лет представлена на рисунке 2.</w:t>
      </w:r>
    </w:p>
    <w:p>
      <w:pPr>
        <w:pStyle w:val="0"/>
        <w:jc w:val="right"/>
      </w:pPr>
      <w:r>
        <w:rPr>
          <w:sz w:val="20"/>
        </w:rPr>
      </w:r>
    </w:p>
    <w:p>
      <w:pPr>
        <w:pStyle w:val="0"/>
        <w:jc w:val="right"/>
      </w:pPr>
      <w:r>
        <w:rPr>
          <w:sz w:val="20"/>
        </w:rPr>
        <w:t xml:space="preserve">Рисунок 2</w:t>
      </w:r>
    </w:p>
    <w:p>
      <w:pPr>
        <w:pStyle w:val="0"/>
        <w:jc w:val="right"/>
      </w:pPr>
      <w:r>
        <w:rPr>
          <w:sz w:val="20"/>
        </w:rPr>
      </w:r>
    </w:p>
    <w:p>
      <w:pPr>
        <w:pStyle w:val="0"/>
        <w:jc w:val="center"/>
      </w:pPr>
      <w:r>
        <w:rPr>
          <w:sz w:val="20"/>
        </w:rPr>
        <w:t xml:space="preserve">Динамика показателя заболеваемости населения</w:t>
      </w:r>
    </w:p>
    <w:p>
      <w:pPr>
        <w:pStyle w:val="0"/>
        <w:jc w:val="center"/>
      </w:pPr>
      <w:r>
        <w:rPr>
          <w:sz w:val="20"/>
        </w:rPr>
        <w:t xml:space="preserve">злокачественными новообразованиями за период с 2013</w:t>
      </w:r>
    </w:p>
    <w:p>
      <w:pPr>
        <w:pStyle w:val="0"/>
        <w:jc w:val="center"/>
      </w:pPr>
      <w:r>
        <w:rPr>
          <w:sz w:val="20"/>
        </w:rPr>
        <w:t xml:space="preserve">по 2022 год (на 100 тыс. населения)</w:t>
      </w:r>
    </w:p>
    <w:p>
      <w:pPr>
        <w:pStyle w:val="0"/>
        <w:jc w:val="center"/>
      </w:pPr>
      <w:r>
        <w:rPr>
          <w:sz w:val="20"/>
        </w:rPr>
      </w:r>
    </w:p>
    <w:p>
      <w:pPr>
        <w:pStyle w:val="0"/>
        <w:jc w:val="center"/>
      </w:pPr>
      <w:r>
        <w:rPr>
          <w:sz w:val="20"/>
        </w:rPr>
        <w:t xml:space="preserve">По автономному округу</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57"/>
        </w:rPr>
        <w:drawing>
          <wp:inline distT="0" distB="0" distL="0" distR="0">
            <wp:extent cx="6619875" cy="3395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6619875" cy="3395345"/>
                    </a:xfrm>
                    <a:prstGeom prst="rect">
                      <a:avLst/>
                    </a:prstGeom>
                    <a:noFill/>
                    <a:ln>
                      <a:noFill/>
                    </a:ln>
                  </pic:spPr>
                </pic:pic>
              </a:graphicData>
            </a:graphic>
          </wp:inline>
        </w:drawing>
      </w:r>
    </w:p>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jc w:val="center"/>
      </w:pPr>
      <w:r>
        <w:rPr>
          <w:sz w:val="20"/>
        </w:rPr>
      </w:r>
    </w:p>
    <w:p>
      <w:pPr>
        <w:pStyle w:val="0"/>
        <w:ind w:firstLine="540"/>
        <w:jc w:val="both"/>
      </w:pPr>
      <w:r>
        <w:rPr>
          <w:sz w:val="20"/>
        </w:rPr>
        <w:t xml:space="preserve">С 2019 года показатель заболеваемости сельского населения устанавливается ниже аналогичного среди городских жителей.</w:t>
      </w:r>
    </w:p>
    <w:p>
      <w:pPr>
        <w:pStyle w:val="0"/>
        <w:jc w:val="right"/>
      </w:pPr>
      <w:r>
        <w:rPr>
          <w:sz w:val="20"/>
        </w:rPr>
      </w:r>
    </w:p>
    <w:p>
      <w:pPr>
        <w:pStyle w:val="0"/>
        <w:jc w:val="right"/>
      </w:pPr>
      <w:r>
        <w:rPr>
          <w:sz w:val="20"/>
        </w:rPr>
        <w:t xml:space="preserve">Таблица 3</w:t>
      </w:r>
    </w:p>
    <w:p>
      <w:pPr>
        <w:pStyle w:val="0"/>
        <w:jc w:val="right"/>
      </w:pPr>
      <w:r>
        <w:rPr>
          <w:sz w:val="20"/>
        </w:rPr>
      </w:r>
    </w:p>
    <w:p>
      <w:pPr>
        <w:pStyle w:val="0"/>
        <w:jc w:val="center"/>
      </w:pPr>
      <w:r>
        <w:rPr>
          <w:sz w:val="20"/>
        </w:rPr>
        <w:t xml:space="preserve">Динамика показателя заболеваемости злокачественными</w:t>
      </w:r>
    </w:p>
    <w:p>
      <w:pPr>
        <w:pStyle w:val="0"/>
        <w:jc w:val="center"/>
      </w:pPr>
      <w:r>
        <w:rPr>
          <w:sz w:val="20"/>
        </w:rPr>
        <w:t xml:space="preserve">новообразованиями сельского и городского населения (на 100</w:t>
      </w:r>
    </w:p>
    <w:p>
      <w:pPr>
        <w:pStyle w:val="0"/>
        <w:jc w:val="center"/>
      </w:pPr>
      <w:r>
        <w:rPr>
          <w:sz w:val="20"/>
        </w:rPr>
        <w:t xml:space="preserve">тыс. населения)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34"/>
        <w:gridCol w:w="737"/>
        <w:gridCol w:w="737"/>
        <w:gridCol w:w="737"/>
        <w:gridCol w:w="737"/>
        <w:gridCol w:w="737"/>
        <w:gridCol w:w="737"/>
        <w:gridCol w:w="737"/>
        <w:gridCol w:w="737"/>
        <w:gridCol w:w="737"/>
        <w:gridCol w:w="737"/>
      </w:tblGrid>
      <w:tr>
        <w:tc>
          <w:tcPr>
            <w:tcW w:w="1334" w:type="dxa"/>
          </w:tcPr>
          <w:p>
            <w:pPr>
              <w:pStyle w:val="0"/>
              <w:jc w:val="both"/>
            </w:pPr>
            <w:r>
              <w:rPr>
                <w:sz w:val="20"/>
              </w:rPr>
            </w:r>
          </w:p>
        </w:tc>
        <w:tc>
          <w:tcPr>
            <w:tcW w:w="737" w:type="dxa"/>
          </w:tcPr>
          <w:p>
            <w:pPr>
              <w:pStyle w:val="0"/>
              <w:jc w:val="center"/>
            </w:pPr>
            <w:r>
              <w:rPr>
                <w:sz w:val="20"/>
              </w:rPr>
              <w:t xml:space="preserve">2013</w:t>
            </w:r>
          </w:p>
        </w:tc>
        <w:tc>
          <w:tcPr>
            <w:tcW w:w="737" w:type="dxa"/>
          </w:tcPr>
          <w:p>
            <w:pPr>
              <w:pStyle w:val="0"/>
              <w:jc w:val="center"/>
            </w:pPr>
            <w:r>
              <w:rPr>
                <w:sz w:val="20"/>
              </w:rPr>
              <w:t xml:space="preserve">2014</w:t>
            </w:r>
          </w:p>
        </w:tc>
        <w:tc>
          <w:tcPr>
            <w:tcW w:w="737" w:type="dxa"/>
          </w:tcPr>
          <w:p>
            <w:pPr>
              <w:pStyle w:val="0"/>
              <w:jc w:val="center"/>
            </w:pPr>
            <w:r>
              <w:rPr>
                <w:sz w:val="20"/>
              </w:rPr>
              <w:t xml:space="preserve">2015</w:t>
            </w:r>
          </w:p>
        </w:tc>
        <w:tc>
          <w:tcPr>
            <w:tcW w:w="737" w:type="dxa"/>
          </w:tcPr>
          <w:p>
            <w:pPr>
              <w:pStyle w:val="0"/>
              <w:jc w:val="center"/>
            </w:pPr>
            <w:r>
              <w:rPr>
                <w:sz w:val="20"/>
              </w:rPr>
              <w:t xml:space="preserve">2016</w:t>
            </w:r>
          </w:p>
        </w:tc>
        <w:tc>
          <w:tcPr>
            <w:tcW w:w="737" w:type="dxa"/>
          </w:tcPr>
          <w:p>
            <w:pPr>
              <w:pStyle w:val="0"/>
              <w:jc w:val="center"/>
            </w:pPr>
            <w:r>
              <w:rPr>
                <w:sz w:val="20"/>
              </w:rPr>
              <w:t xml:space="preserve">2017</w:t>
            </w:r>
          </w:p>
        </w:tc>
        <w:tc>
          <w:tcPr>
            <w:tcW w:w="737" w:type="dxa"/>
          </w:tcPr>
          <w:p>
            <w:pPr>
              <w:pStyle w:val="0"/>
              <w:jc w:val="center"/>
            </w:pPr>
            <w:r>
              <w:rPr>
                <w:sz w:val="20"/>
              </w:rPr>
              <w:t xml:space="preserve">2018</w:t>
            </w:r>
          </w:p>
        </w:tc>
        <w:tc>
          <w:tcPr>
            <w:tcW w:w="737" w:type="dxa"/>
          </w:tcPr>
          <w:p>
            <w:pPr>
              <w:pStyle w:val="0"/>
              <w:jc w:val="center"/>
            </w:pPr>
            <w:r>
              <w:rPr>
                <w:sz w:val="20"/>
              </w:rPr>
              <w:t xml:space="preserve">2019</w:t>
            </w:r>
          </w:p>
        </w:tc>
        <w:tc>
          <w:tcPr>
            <w:tcW w:w="737" w:type="dxa"/>
          </w:tcPr>
          <w:p>
            <w:pPr>
              <w:pStyle w:val="0"/>
              <w:jc w:val="center"/>
            </w:pPr>
            <w:r>
              <w:rPr>
                <w:sz w:val="20"/>
              </w:rPr>
              <w:t xml:space="preserve">2020</w:t>
            </w:r>
          </w:p>
        </w:tc>
        <w:tc>
          <w:tcPr>
            <w:tcW w:w="737" w:type="dxa"/>
          </w:tcPr>
          <w:p>
            <w:pPr>
              <w:pStyle w:val="0"/>
              <w:jc w:val="center"/>
            </w:pPr>
            <w:r>
              <w:rPr>
                <w:sz w:val="20"/>
              </w:rPr>
              <w:t xml:space="preserve">2021</w:t>
            </w:r>
          </w:p>
        </w:tc>
        <w:tc>
          <w:tcPr>
            <w:tcW w:w="737" w:type="dxa"/>
          </w:tcPr>
          <w:p>
            <w:pPr>
              <w:pStyle w:val="0"/>
              <w:jc w:val="center"/>
            </w:pPr>
            <w:r>
              <w:rPr>
                <w:sz w:val="20"/>
              </w:rPr>
              <w:t xml:space="preserve">2022</w:t>
            </w:r>
          </w:p>
        </w:tc>
      </w:tr>
      <w:tr>
        <w:tc>
          <w:tcPr>
            <w:tcW w:w="1334" w:type="dxa"/>
          </w:tcPr>
          <w:p>
            <w:pPr>
              <w:pStyle w:val="0"/>
            </w:pPr>
            <w:r>
              <w:rPr>
                <w:sz w:val="20"/>
              </w:rPr>
              <w:t xml:space="preserve">Городское население</w:t>
            </w:r>
          </w:p>
        </w:tc>
        <w:tc>
          <w:tcPr>
            <w:tcW w:w="737" w:type="dxa"/>
          </w:tcPr>
          <w:p>
            <w:pPr>
              <w:pStyle w:val="0"/>
              <w:jc w:val="center"/>
            </w:pPr>
            <w:r>
              <w:rPr>
                <w:sz w:val="20"/>
              </w:rPr>
              <w:t xml:space="preserve">239,2</w:t>
            </w:r>
          </w:p>
        </w:tc>
        <w:tc>
          <w:tcPr>
            <w:tcW w:w="737" w:type="dxa"/>
          </w:tcPr>
          <w:p>
            <w:pPr>
              <w:pStyle w:val="0"/>
              <w:jc w:val="center"/>
            </w:pPr>
            <w:r>
              <w:rPr>
                <w:sz w:val="20"/>
              </w:rPr>
              <w:t xml:space="preserve">236,7</w:t>
            </w:r>
          </w:p>
        </w:tc>
        <w:tc>
          <w:tcPr>
            <w:tcW w:w="737" w:type="dxa"/>
          </w:tcPr>
          <w:p>
            <w:pPr>
              <w:pStyle w:val="0"/>
              <w:jc w:val="center"/>
            </w:pPr>
            <w:r>
              <w:rPr>
                <w:sz w:val="20"/>
              </w:rPr>
              <w:t xml:space="preserve">256,6</w:t>
            </w:r>
          </w:p>
        </w:tc>
        <w:tc>
          <w:tcPr>
            <w:tcW w:w="737" w:type="dxa"/>
          </w:tcPr>
          <w:p>
            <w:pPr>
              <w:pStyle w:val="0"/>
              <w:jc w:val="center"/>
            </w:pPr>
            <w:r>
              <w:rPr>
                <w:sz w:val="20"/>
              </w:rPr>
              <w:t xml:space="preserve">263,4</w:t>
            </w:r>
          </w:p>
        </w:tc>
        <w:tc>
          <w:tcPr>
            <w:tcW w:w="737" w:type="dxa"/>
          </w:tcPr>
          <w:p>
            <w:pPr>
              <w:pStyle w:val="0"/>
              <w:jc w:val="center"/>
            </w:pPr>
            <w:r>
              <w:rPr>
                <w:sz w:val="20"/>
              </w:rPr>
              <w:t xml:space="preserve">269,0</w:t>
            </w:r>
          </w:p>
        </w:tc>
        <w:tc>
          <w:tcPr>
            <w:tcW w:w="737" w:type="dxa"/>
          </w:tcPr>
          <w:p>
            <w:pPr>
              <w:pStyle w:val="0"/>
              <w:jc w:val="center"/>
            </w:pPr>
            <w:r>
              <w:rPr>
                <w:sz w:val="20"/>
              </w:rPr>
              <w:t xml:space="preserve">235,5</w:t>
            </w:r>
          </w:p>
        </w:tc>
        <w:tc>
          <w:tcPr>
            <w:tcW w:w="737" w:type="dxa"/>
          </w:tcPr>
          <w:p>
            <w:pPr>
              <w:pStyle w:val="0"/>
              <w:jc w:val="center"/>
            </w:pPr>
            <w:r>
              <w:rPr>
                <w:sz w:val="20"/>
              </w:rPr>
              <w:t xml:space="preserve">302,7</w:t>
            </w:r>
          </w:p>
        </w:tc>
        <w:tc>
          <w:tcPr>
            <w:tcW w:w="737" w:type="dxa"/>
          </w:tcPr>
          <w:p>
            <w:pPr>
              <w:pStyle w:val="0"/>
              <w:jc w:val="center"/>
            </w:pPr>
            <w:r>
              <w:rPr>
                <w:sz w:val="20"/>
              </w:rPr>
              <w:t xml:space="preserve">221,4</w:t>
            </w:r>
          </w:p>
        </w:tc>
        <w:tc>
          <w:tcPr>
            <w:tcW w:w="737" w:type="dxa"/>
          </w:tcPr>
          <w:p>
            <w:pPr>
              <w:pStyle w:val="0"/>
              <w:jc w:val="center"/>
            </w:pPr>
            <w:r>
              <w:rPr>
                <w:sz w:val="20"/>
              </w:rPr>
              <w:t xml:space="preserve">291,5</w:t>
            </w:r>
          </w:p>
        </w:tc>
        <w:tc>
          <w:tcPr>
            <w:tcW w:w="737" w:type="dxa"/>
          </w:tcPr>
          <w:p>
            <w:pPr>
              <w:pStyle w:val="0"/>
              <w:jc w:val="center"/>
            </w:pPr>
            <w:r>
              <w:rPr>
                <w:sz w:val="20"/>
              </w:rPr>
              <w:t xml:space="preserve">267,7</w:t>
            </w:r>
          </w:p>
        </w:tc>
      </w:tr>
      <w:tr>
        <w:tc>
          <w:tcPr>
            <w:tcW w:w="1334" w:type="dxa"/>
          </w:tcPr>
          <w:p>
            <w:pPr>
              <w:pStyle w:val="0"/>
            </w:pPr>
            <w:r>
              <w:rPr>
                <w:sz w:val="20"/>
              </w:rPr>
              <w:t xml:space="preserve">Сельское население</w:t>
            </w:r>
          </w:p>
        </w:tc>
        <w:tc>
          <w:tcPr>
            <w:tcW w:w="737" w:type="dxa"/>
          </w:tcPr>
          <w:p>
            <w:pPr>
              <w:pStyle w:val="0"/>
              <w:jc w:val="center"/>
            </w:pPr>
            <w:r>
              <w:rPr>
                <w:sz w:val="20"/>
              </w:rPr>
              <w:t xml:space="preserve">254,5</w:t>
            </w:r>
          </w:p>
        </w:tc>
        <w:tc>
          <w:tcPr>
            <w:tcW w:w="737" w:type="dxa"/>
          </w:tcPr>
          <w:p>
            <w:pPr>
              <w:pStyle w:val="0"/>
              <w:jc w:val="center"/>
            </w:pPr>
            <w:r>
              <w:rPr>
                <w:sz w:val="20"/>
              </w:rPr>
              <w:t xml:space="preserve">254,7</w:t>
            </w:r>
          </w:p>
        </w:tc>
        <w:tc>
          <w:tcPr>
            <w:tcW w:w="737" w:type="dxa"/>
          </w:tcPr>
          <w:p>
            <w:pPr>
              <w:pStyle w:val="0"/>
              <w:jc w:val="center"/>
            </w:pPr>
            <w:r>
              <w:rPr>
                <w:sz w:val="20"/>
              </w:rPr>
              <w:t xml:space="preserve">261,2</w:t>
            </w:r>
          </w:p>
        </w:tc>
        <w:tc>
          <w:tcPr>
            <w:tcW w:w="737" w:type="dxa"/>
          </w:tcPr>
          <w:p>
            <w:pPr>
              <w:pStyle w:val="0"/>
              <w:jc w:val="center"/>
            </w:pPr>
            <w:r>
              <w:rPr>
                <w:sz w:val="20"/>
              </w:rPr>
              <w:t xml:space="preserve">273,4</w:t>
            </w:r>
          </w:p>
        </w:tc>
        <w:tc>
          <w:tcPr>
            <w:tcW w:w="737" w:type="dxa"/>
          </w:tcPr>
          <w:p>
            <w:pPr>
              <w:pStyle w:val="0"/>
              <w:jc w:val="center"/>
            </w:pPr>
            <w:r>
              <w:rPr>
                <w:sz w:val="20"/>
              </w:rPr>
              <w:t xml:space="preserve">287,1</w:t>
            </w:r>
          </w:p>
        </w:tc>
        <w:tc>
          <w:tcPr>
            <w:tcW w:w="737" w:type="dxa"/>
          </w:tcPr>
          <w:p>
            <w:pPr>
              <w:pStyle w:val="0"/>
              <w:jc w:val="center"/>
            </w:pPr>
            <w:r>
              <w:rPr>
                <w:sz w:val="20"/>
              </w:rPr>
              <w:t xml:space="preserve">281,0</w:t>
            </w:r>
          </w:p>
        </w:tc>
        <w:tc>
          <w:tcPr>
            <w:tcW w:w="737" w:type="dxa"/>
          </w:tcPr>
          <w:p>
            <w:pPr>
              <w:pStyle w:val="0"/>
              <w:jc w:val="center"/>
            </w:pPr>
            <w:r>
              <w:rPr>
                <w:sz w:val="20"/>
              </w:rPr>
              <w:t xml:space="preserve">270,0</w:t>
            </w:r>
          </w:p>
        </w:tc>
        <w:tc>
          <w:tcPr>
            <w:tcW w:w="737" w:type="dxa"/>
          </w:tcPr>
          <w:p>
            <w:pPr>
              <w:pStyle w:val="0"/>
              <w:jc w:val="center"/>
            </w:pPr>
            <w:r>
              <w:rPr>
                <w:sz w:val="20"/>
              </w:rPr>
              <w:t xml:space="preserve">195,4</w:t>
            </w:r>
          </w:p>
        </w:tc>
        <w:tc>
          <w:tcPr>
            <w:tcW w:w="737" w:type="dxa"/>
          </w:tcPr>
          <w:p>
            <w:pPr>
              <w:pStyle w:val="0"/>
              <w:jc w:val="center"/>
            </w:pPr>
            <w:r>
              <w:rPr>
                <w:sz w:val="20"/>
              </w:rPr>
              <w:t xml:space="preserve">224,6</w:t>
            </w:r>
          </w:p>
        </w:tc>
        <w:tc>
          <w:tcPr>
            <w:tcW w:w="737" w:type="dxa"/>
          </w:tcPr>
          <w:p>
            <w:pPr>
              <w:pStyle w:val="0"/>
              <w:jc w:val="center"/>
            </w:pPr>
            <w:r>
              <w:rPr>
                <w:sz w:val="20"/>
              </w:rPr>
              <w:t xml:space="preserve">209,9</w:t>
            </w:r>
          </w:p>
        </w:tc>
      </w:tr>
    </w:tbl>
    <w:p>
      <w:pPr>
        <w:pStyle w:val="0"/>
        <w:ind w:firstLine="540"/>
        <w:jc w:val="both"/>
      </w:pPr>
      <w:r>
        <w:rPr>
          <w:sz w:val="20"/>
        </w:rPr>
      </w:r>
    </w:p>
    <w:p>
      <w:pPr>
        <w:pStyle w:val="0"/>
        <w:ind w:firstLine="540"/>
        <w:jc w:val="both"/>
      </w:pPr>
      <w:r>
        <w:rPr>
          <w:sz w:val="20"/>
        </w:rPr>
        <w:t xml:space="preserve">"Стандартизованный" показатель заболеваемости злокачественными новообразованиями (таблица 4) в 2020 году составил 223,5 на 100 тыс. населения, что на 6,5% ниже 2013 года (239,2 на 100 тыс. населения).</w:t>
      </w:r>
    </w:p>
    <w:p>
      <w:pPr>
        <w:pStyle w:val="0"/>
        <w:ind w:firstLine="540"/>
        <w:jc w:val="both"/>
      </w:pPr>
      <w:r>
        <w:rPr>
          <w:sz w:val="20"/>
        </w:rPr>
      </w:r>
    </w:p>
    <w:p>
      <w:pPr>
        <w:pStyle w:val="0"/>
        <w:jc w:val="right"/>
      </w:pPr>
      <w:r>
        <w:rPr>
          <w:sz w:val="20"/>
        </w:rPr>
        <w:t xml:space="preserve">Таблица 4</w:t>
      </w:r>
    </w:p>
    <w:p>
      <w:pPr>
        <w:pStyle w:val="0"/>
        <w:jc w:val="right"/>
      </w:pPr>
      <w:r>
        <w:rPr>
          <w:sz w:val="20"/>
        </w:rPr>
      </w:r>
    </w:p>
    <w:p>
      <w:pPr>
        <w:pStyle w:val="0"/>
        <w:jc w:val="center"/>
      </w:pPr>
      <w:r>
        <w:rPr>
          <w:sz w:val="20"/>
        </w:rPr>
        <w:t xml:space="preserve">Динамика стандартизованного показателя заболеваемости</w:t>
      </w:r>
    </w:p>
    <w:p>
      <w:pPr>
        <w:pStyle w:val="0"/>
        <w:jc w:val="center"/>
      </w:pPr>
      <w:r>
        <w:rPr>
          <w:sz w:val="20"/>
        </w:rPr>
        <w:t xml:space="preserve">злокачественными новообразованиями за период с 2013</w:t>
      </w:r>
    </w:p>
    <w:p>
      <w:pPr>
        <w:pStyle w:val="0"/>
        <w:jc w:val="center"/>
      </w:pPr>
      <w:r>
        <w:rPr>
          <w:sz w:val="20"/>
        </w:rPr>
        <w:t xml:space="preserve">по 2022 год (на 100 тыс. населения)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26"/>
        <w:gridCol w:w="763"/>
        <w:gridCol w:w="763"/>
        <w:gridCol w:w="763"/>
        <w:gridCol w:w="763"/>
        <w:gridCol w:w="763"/>
        <w:gridCol w:w="763"/>
        <w:gridCol w:w="763"/>
        <w:gridCol w:w="763"/>
        <w:gridCol w:w="763"/>
        <w:gridCol w:w="764"/>
      </w:tblGrid>
      <w:tr>
        <w:tc>
          <w:tcPr>
            <w:tcW w:w="1426" w:type="dxa"/>
          </w:tcPr>
          <w:p>
            <w:pPr>
              <w:pStyle w:val="0"/>
              <w:jc w:val="both"/>
            </w:pPr>
            <w:r>
              <w:rPr>
                <w:sz w:val="20"/>
              </w:rPr>
              <w:t xml:space="preserve">Год</w:t>
            </w:r>
          </w:p>
        </w:tc>
        <w:tc>
          <w:tcPr>
            <w:tcW w:w="763" w:type="dxa"/>
          </w:tcPr>
          <w:p>
            <w:pPr>
              <w:pStyle w:val="0"/>
              <w:jc w:val="center"/>
            </w:pPr>
            <w:r>
              <w:rPr>
                <w:sz w:val="20"/>
              </w:rPr>
              <w:t xml:space="preserve">2013</w:t>
            </w:r>
          </w:p>
        </w:tc>
        <w:tc>
          <w:tcPr>
            <w:tcW w:w="763" w:type="dxa"/>
          </w:tcPr>
          <w:p>
            <w:pPr>
              <w:pStyle w:val="0"/>
              <w:jc w:val="center"/>
            </w:pPr>
            <w:r>
              <w:rPr>
                <w:sz w:val="20"/>
              </w:rPr>
              <w:t xml:space="preserve">2014</w:t>
            </w:r>
          </w:p>
        </w:tc>
        <w:tc>
          <w:tcPr>
            <w:tcW w:w="763" w:type="dxa"/>
          </w:tcPr>
          <w:p>
            <w:pPr>
              <w:pStyle w:val="0"/>
              <w:jc w:val="center"/>
            </w:pPr>
            <w:r>
              <w:rPr>
                <w:sz w:val="20"/>
              </w:rPr>
              <w:t xml:space="preserve">2015</w:t>
            </w:r>
          </w:p>
        </w:tc>
        <w:tc>
          <w:tcPr>
            <w:tcW w:w="763" w:type="dxa"/>
          </w:tcPr>
          <w:p>
            <w:pPr>
              <w:pStyle w:val="0"/>
              <w:jc w:val="center"/>
            </w:pPr>
            <w:r>
              <w:rPr>
                <w:sz w:val="20"/>
              </w:rPr>
              <w:t xml:space="preserve">2016</w:t>
            </w:r>
          </w:p>
        </w:tc>
        <w:tc>
          <w:tcPr>
            <w:tcW w:w="763" w:type="dxa"/>
          </w:tcPr>
          <w:p>
            <w:pPr>
              <w:pStyle w:val="0"/>
              <w:jc w:val="center"/>
            </w:pPr>
            <w:r>
              <w:rPr>
                <w:sz w:val="20"/>
              </w:rPr>
              <w:t xml:space="preserve">2017</w:t>
            </w:r>
          </w:p>
        </w:tc>
        <w:tc>
          <w:tcPr>
            <w:tcW w:w="763" w:type="dxa"/>
          </w:tcPr>
          <w:p>
            <w:pPr>
              <w:pStyle w:val="0"/>
              <w:jc w:val="center"/>
            </w:pPr>
            <w:r>
              <w:rPr>
                <w:sz w:val="20"/>
              </w:rPr>
              <w:t xml:space="preserve">2018</w:t>
            </w:r>
          </w:p>
        </w:tc>
        <w:tc>
          <w:tcPr>
            <w:tcW w:w="763" w:type="dxa"/>
          </w:tcPr>
          <w:p>
            <w:pPr>
              <w:pStyle w:val="0"/>
              <w:jc w:val="center"/>
            </w:pPr>
            <w:r>
              <w:rPr>
                <w:sz w:val="20"/>
              </w:rPr>
              <w:t xml:space="preserve">2019</w:t>
            </w:r>
          </w:p>
        </w:tc>
        <w:tc>
          <w:tcPr>
            <w:tcW w:w="763" w:type="dxa"/>
          </w:tcPr>
          <w:p>
            <w:pPr>
              <w:pStyle w:val="0"/>
              <w:jc w:val="center"/>
            </w:pPr>
            <w:r>
              <w:rPr>
                <w:sz w:val="20"/>
              </w:rPr>
              <w:t xml:space="preserve">2020</w:t>
            </w:r>
          </w:p>
        </w:tc>
        <w:tc>
          <w:tcPr>
            <w:tcW w:w="763" w:type="dxa"/>
          </w:tcPr>
          <w:p>
            <w:pPr>
              <w:pStyle w:val="0"/>
              <w:jc w:val="center"/>
            </w:pPr>
            <w:r>
              <w:rPr>
                <w:sz w:val="20"/>
              </w:rPr>
              <w:t xml:space="preserve">2021</w:t>
            </w:r>
          </w:p>
        </w:tc>
        <w:tc>
          <w:tcPr>
            <w:tcW w:w="764" w:type="dxa"/>
          </w:tcPr>
          <w:p>
            <w:pPr>
              <w:pStyle w:val="0"/>
              <w:jc w:val="center"/>
            </w:pPr>
            <w:r>
              <w:rPr>
                <w:sz w:val="20"/>
              </w:rPr>
              <w:t xml:space="preserve">2022</w:t>
            </w:r>
          </w:p>
        </w:tc>
      </w:tr>
      <w:tr>
        <w:tc>
          <w:tcPr>
            <w:tcW w:w="1426" w:type="dxa"/>
          </w:tcPr>
          <w:p>
            <w:pPr>
              <w:pStyle w:val="0"/>
            </w:pPr>
            <w:r>
              <w:rPr>
                <w:sz w:val="20"/>
              </w:rPr>
              <w:t xml:space="preserve">Показатель</w:t>
            </w:r>
          </w:p>
        </w:tc>
        <w:tc>
          <w:tcPr>
            <w:tcW w:w="763" w:type="dxa"/>
          </w:tcPr>
          <w:p>
            <w:pPr>
              <w:pStyle w:val="0"/>
              <w:jc w:val="center"/>
            </w:pPr>
            <w:r>
              <w:rPr>
                <w:sz w:val="20"/>
              </w:rPr>
              <w:t xml:space="preserve">239,2</w:t>
            </w:r>
          </w:p>
        </w:tc>
        <w:tc>
          <w:tcPr>
            <w:tcW w:w="763" w:type="dxa"/>
          </w:tcPr>
          <w:p>
            <w:pPr>
              <w:pStyle w:val="0"/>
              <w:jc w:val="center"/>
            </w:pPr>
            <w:r>
              <w:rPr>
                <w:sz w:val="20"/>
              </w:rPr>
              <w:t xml:space="preserve">226,9</w:t>
            </w:r>
          </w:p>
        </w:tc>
        <w:tc>
          <w:tcPr>
            <w:tcW w:w="763" w:type="dxa"/>
          </w:tcPr>
          <w:p>
            <w:pPr>
              <w:pStyle w:val="0"/>
              <w:jc w:val="center"/>
            </w:pPr>
            <w:r>
              <w:rPr>
                <w:sz w:val="20"/>
              </w:rPr>
              <w:t xml:space="preserve">252,2</w:t>
            </w:r>
          </w:p>
        </w:tc>
        <w:tc>
          <w:tcPr>
            <w:tcW w:w="763" w:type="dxa"/>
          </w:tcPr>
          <w:p>
            <w:pPr>
              <w:pStyle w:val="0"/>
              <w:jc w:val="center"/>
            </w:pPr>
            <w:r>
              <w:rPr>
                <w:sz w:val="20"/>
              </w:rPr>
              <w:t xml:space="preserve">242,9</w:t>
            </w:r>
          </w:p>
        </w:tc>
        <w:tc>
          <w:tcPr>
            <w:tcW w:w="763" w:type="dxa"/>
          </w:tcPr>
          <w:p>
            <w:pPr>
              <w:pStyle w:val="0"/>
              <w:jc w:val="center"/>
            </w:pPr>
            <w:r>
              <w:rPr>
                <w:sz w:val="20"/>
              </w:rPr>
              <w:t xml:space="preserve">238,8</w:t>
            </w:r>
          </w:p>
        </w:tc>
        <w:tc>
          <w:tcPr>
            <w:tcW w:w="763" w:type="dxa"/>
          </w:tcPr>
          <w:p>
            <w:pPr>
              <w:pStyle w:val="0"/>
              <w:jc w:val="center"/>
            </w:pPr>
            <w:r>
              <w:rPr>
                <w:sz w:val="20"/>
              </w:rPr>
              <w:t xml:space="preserve">235,4</w:t>
            </w:r>
          </w:p>
        </w:tc>
        <w:tc>
          <w:tcPr>
            <w:tcW w:w="763" w:type="dxa"/>
          </w:tcPr>
          <w:p>
            <w:pPr>
              <w:pStyle w:val="0"/>
              <w:jc w:val="center"/>
            </w:pPr>
            <w:r>
              <w:rPr>
                <w:sz w:val="20"/>
              </w:rPr>
              <w:t xml:space="preserve">244,3</w:t>
            </w:r>
          </w:p>
        </w:tc>
        <w:tc>
          <w:tcPr>
            <w:tcW w:w="763" w:type="dxa"/>
          </w:tcPr>
          <w:p>
            <w:pPr>
              <w:pStyle w:val="0"/>
              <w:jc w:val="center"/>
            </w:pPr>
            <w:r>
              <w:rPr>
                <w:sz w:val="20"/>
              </w:rPr>
              <w:t xml:space="preserve">235,2</w:t>
            </w:r>
          </w:p>
        </w:tc>
        <w:tc>
          <w:tcPr>
            <w:tcW w:w="763" w:type="dxa"/>
          </w:tcPr>
          <w:p>
            <w:pPr>
              <w:pStyle w:val="0"/>
              <w:jc w:val="center"/>
            </w:pPr>
            <w:r>
              <w:rPr>
                <w:sz w:val="20"/>
              </w:rPr>
              <w:t xml:space="preserve">219,6</w:t>
            </w:r>
          </w:p>
        </w:tc>
        <w:tc>
          <w:tcPr>
            <w:tcW w:w="764" w:type="dxa"/>
          </w:tcPr>
          <w:p>
            <w:pPr>
              <w:pStyle w:val="0"/>
              <w:jc w:val="center"/>
            </w:pPr>
            <w:r>
              <w:rPr>
                <w:sz w:val="20"/>
              </w:rPr>
              <w:t xml:space="preserve">223,5</w:t>
            </w:r>
          </w:p>
        </w:tc>
      </w:tr>
    </w:tbl>
    <w:p>
      <w:pPr>
        <w:pStyle w:val="0"/>
        <w:ind w:firstLine="540"/>
        <w:jc w:val="both"/>
      </w:pPr>
      <w:r>
        <w:rPr>
          <w:sz w:val="20"/>
        </w:rPr>
      </w:r>
    </w:p>
    <w:p>
      <w:pPr>
        <w:pStyle w:val="0"/>
        <w:ind w:firstLine="540"/>
        <w:jc w:val="both"/>
      </w:pPr>
      <w:r>
        <w:rPr>
          <w:sz w:val="20"/>
        </w:rPr>
        <w:t xml:space="preserve">За последние 10 лет (с 2013 по 2022 год) отмечен рост заболеваемости злокачественными новообразованиями (далее - ЗНО) следующих локализаций:</w:t>
      </w:r>
    </w:p>
    <w:p>
      <w:pPr>
        <w:pStyle w:val="0"/>
        <w:spacing w:before="200" w:line-rule="auto"/>
        <w:ind w:firstLine="540"/>
        <w:jc w:val="both"/>
      </w:pPr>
      <w:r>
        <w:rPr>
          <w:sz w:val="20"/>
        </w:rPr>
        <w:t xml:space="preserve">предстательной железы - 37,3% (с 28,7 до 39,4 на 100 тыс. населения),</w:t>
      </w:r>
    </w:p>
    <w:p>
      <w:pPr>
        <w:pStyle w:val="0"/>
        <w:spacing w:before="200" w:line-rule="auto"/>
        <w:ind w:firstLine="540"/>
        <w:jc w:val="both"/>
      </w:pPr>
      <w:r>
        <w:rPr>
          <w:sz w:val="20"/>
        </w:rPr>
        <w:t xml:space="preserve">ободочной кишки - 29,9% (с 17,4 до 22,6 на 100 тыс. населения),</w:t>
      </w:r>
    </w:p>
    <w:p>
      <w:pPr>
        <w:pStyle w:val="0"/>
        <w:spacing w:before="200" w:line-rule="auto"/>
        <w:ind w:firstLine="540"/>
        <w:jc w:val="both"/>
      </w:pPr>
      <w:r>
        <w:rPr>
          <w:sz w:val="20"/>
        </w:rPr>
        <w:t xml:space="preserve">кожи - 29,3% (с 15,7 до 18,3 на 100 тыс. населения),</w:t>
      </w:r>
    </w:p>
    <w:p>
      <w:pPr>
        <w:pStyle w:val="0"/>
        <w:spacing w:before="200" w:line-rule="auto"/>
        <w:ind w:firstLine="540"/>
        <w:jc w:val="both"/>
      </w:pPr>
      <w:r>
        <w:rPr>
          <w:sz w:val="20"/>
        </w:rPr>
        <w:t xml:space="preserve">полости рта - 8,7% (с 2,3 до 2,5 на 100 тыс. населения),</w:t>
      </w:r>
    </w:p>
    <w:p>
      <w:pPr>
        <w:pStyle w:val="0"/>
        <w:spacing w:before="200" w:line-rule="auto"/>
        <w:ind w:firstLine="540"/>
        <w:jc w:val="both"/>
      </w:pPr>
      <w:r>
        <w:rPr>
          <w:sz w:val="20"/>
        </w:rPr>
        <w:t xml:space="preserve">прямой кишки, ректосигмоидного соединения, ануса - 18,9% (с 13,7 до 16,3 на 100 тыс. населения),</w:t>
      </w:r>
    </w:p>
    <w:p>
      <w:pPr>
        <w:pStyle w:val="0"/>
        <w:spacing w:before="200" w:line-rule="auto"/>
        <w:ind w:firstLine="540"/>
        <w:jc w:val="both"/>
      </w:pPr>
      <w:r>
        <w:rPr>
          <w:sz w:val="20"/>
        </w:rPr>
        <w:t xml:space="preserve">молочной железы - на 23,6% (с 31,3 до 38,7 на 100 тыс. населения),</w:t>
      </w:r>
    </w:p>
    <w:p>
      <w:pPr>
        <w:pStyle w:val="0"/>
        <w:spacing w:before="200" w:line-rule="auto"/>
        <w:ind w:firstLine="540"/>
        <w:jc w:val="both"/>
      </w:pPr>
      <w:r>
        <w:rPr>
          <w:sz w:val="20"/>
        </w:rPr>
        <w:t xml:space="preserve">трахеи, бронхов, легкого - на 2,2% (с 27,7 до 28,3 на 100 тыс. населения),</w:t>
      </w:r>
    </w:p>
    <w:p>
      <w:pPr>
        <w:pStyle w:val="0"/>
        <w:spacing w:before="200" w:line-rule="auto"/>
        <w:ind w:firstLine="540"/>
        <w:jc w:val="both"/>
      </w:pPr>
      <w:r>
        <w:rPr>
          <w:sz w:val="20"/>
        </w:rPr>
        <w:t xml:space="preserve">желудка - на 8,6% (с 12,8 до 13,9 на 100 тыс. населения),</w:t>
      </w:r>
    </w:p>
    <w:p>
      <w:pPr>
        <w:pStyle w:val="0"/>
        <w:spacing w:before="200" w:line-rule="auto"/>
        <w:ind w:firstLine="540"/>
        <w:jc w:val="both"/>
      </w:pPr>
      <w:r>
        <w:rPr>
          <w:sz w:val="20"/>
        </w:rPr>
        <w:t xml:space="preserve">печени и внутрипеченочных желчных протоков - на 27,5% (с 5,1 до 6,5 на 100 тыс. населения),</w:t>
      </w:r>
    </w:p>
    <w:p>
      <w:pPr>
        <w:pStyle w:val="0"/>
        <w:spacing w:before="200" w:line-rule="auto"/>
        <w:ind w:firstLine="540"/>
        <w:jc w:val="both"/>
      </w:pPr>
      <w:r>
        <w:rPr>
          <w:sz w:val="20"/>
        </w:rPr>
        <w:t xml:space="preserve">почек - на 12,9% (с 13,1 до 14,8 на 100 тыс. населения).</w:t>
      </w:r>
    </w:p>
    <w:p>
      <w:pPr>
        <w:pStyle w:val="0"/>
        <w:spacing w:before="200" w:line-rule="auto"/>
        <w:ind w:firstLine="540"/>
        <w:jc w:val="both"/>
      </w:pPr>
      <w:r>
        <w:rPr>
          <w:sz w:val="20"/>
        </w:rPr>
        <w:t xml:space="preserve">Структура заболеваемости на протяжении последних 10 лет неизменна.</w:t>
      </w:r>
    </w:p>
    <w:p>
      <w:pPr>
        <w:pStyle w:val="0"/>
        <w:spacing w:before="200" w:line-rule="auto"/>
        <w:ind w:firstLine="540"/>
        <w:jc w:val="both"/>
      </w:pPr>
      <w:r>
        <w:rPr>
          <w:sz w:val="20"/>
        </w:rPr>
        <w:t xml:space="preserve">В 2022 году она представлена следующими злокачественными новообразованиями </w:t>
      </w:r>
      <w:hyperlink w:history="0" w:anchor="P1792" w:tooltip="Структура заболеваемости злокачественными новообразованиями">
        <w:r>
          <w:rPr>
            <w:sz w:val="20"/>
            <w:color w:val="0000ff"/>
          </w:rPr>
          <w:t xml:space="preserve">(рисунок 3)</w:t>
        </w:r>
      </w:hyperlink>
      <w:r>
        <w:rPr>
          <w:sz w:val="20"/>
        </w:rPr>
        <w:t xml:space="preserve">:</w:t>
      </w:r>
    </w:p>
    <w:p>
      <w:pPr>
        <w:pStyle w:val="0"/>
        <w:spacing w:before="200" w:line-rule="auto"/>
        <w:ind w:firstLine="540"/>
        <w:jc w:val="both"/>
      </w:pPr>
      <w:r>
        <w:rPr>
          <w:sz w:val="20"/>
        </w:rPr>
        <w:t xml:space="preserve">1. Рак молочной железы 13,4% (657 случаев)</w:t>
      </w:r>
    </w:p>
    <w:p>
      <w:pPr>
        <w:pStyle w:val="0"/>
        <w:spacing w:before="200" w:line-rule="auto"/>
        <w:ind w:firstLine="540"/>
        <w:jc w:val="both"/>
      </w:pPr>
      <w:r>
        <w:rPr>
          <w:sz w:val="20"/>
        </w:rPr>
        <w:t xml:space="preserve">2. Другие новообразования кожи 10,2% (498 случаев)</w:t>
      </w:r>
    </w:p>
    <w:p>
      <w:pPr>
        <w:pStyle w:val="0"/>
        <w:spacing w:before="200" w:line-rule="auto"/>
        <w:ind w:firstLine="540"/>
        <w:jc w:val="both"/>
      </w:pPr>
      <w:r>
        <w:rPr>
          <w:sz w:val="20"/>
        </w:rPr>
        <w:t xml:space="preserve">3. Рак трахеи, бронхов, легкого 9,6% (467 случаев)</w:t>
      </w:r>
    </w:p>
    <w:p>
      <w:pPr>
        <w:pStyle w:val="0"/>
        <w:spacing w:before="200" w:line-rule="auto"/>
        <w:ind w:firstLine="540"/>
        <w:jc w:val="both"/>
      </w:pPr>
      <w:r>
        <w:rPr>
          <w:sz w:val="20"/>
        </w:rPr>
        <w:t xml:space="preserve">4. Рак предстательной железы 8,8% (434 случаев)</w:t>
      </w:r>
    </w:p>
    <w:p>
      <w:pPr>
        <w:pStyle w:val="0"/>
        <w:spacing w:before="200" w:line-rule="auto"/>
        <w:ind w:firstLine="540"/>
        <w:jc w:val="both"/>
      </w:pPr>
      <w:r>
        <w:rPr>
          <w:sz w:val="20"/>
        </w:rPr>
        <w:t xml:space="preserve">5. Рак ободочной кишки 7,8% (385 случаев)</w:t>
      </w:r>
    </w:p>
    <w:p>
      <w:pPr>
        <w:pStyle w:val="0"/>
        <w:spacing w:before="200" w:line-rule="auto"/>
        <w:ind w:firstLine="540"/>
        <w:jc w:val="both"/>
      </w:pPr>
      <w:r>
        <w:rPr>
          <w:sz w:val="20"/>
        </w:rPr>
        <w:t xml:space="preserve">6. Рак прямой кишки, ректосигмоидного соединения, ануса 5,6% (276 случаев);</w:t>
      </w:r>
    </w:p>
    <w:p>
      <w:pPr>
        <w:pStyle w:val="0"/>
        <w:spacing w:before="200" w:line-rule="auto"/>
        <w:ind w:firstLine="540"/>
        <w:jc w:val="both"/>
      </w:pPr>
      <w:r>
        <w:rPr>
          <w:sz w:val="20"/>
        </w:rPr>
        <w:t xml:space="preserve">7. Рак почки 5,1% (251 случай);</w:t>
      </w:r>
    </w:p>
    <w:p>
      <w:pPr>
        <w:pStyle w:val="0"/>
        <w:spacing w:before="200" w:line-rule="auto"/>
        <w:ind w:firstLine="540"/>
        <w:jc w:val="both"/>
      </w:pPr>
      <w:r>
        <w:rPr>
          <w:sz w:val="20"/>
        </w:rPr>
        <w:t xml:space="preserve">8. ЗНО лимфоидной, кроветворной и родственных им тканей 4,8% (238 случаев);</w:t>
      </w:r>
    </w:p>
    <w:p>
      <w:pPr>
        <w:pStyle w:val="0"/>
        <w:spacing w:before="200" w:line-rule="auto"/>
        <w:ind w:firstLine="540"/>
        <w:jc w:val="both"/>
      </w:pPr>
      <w:r>
        <w:rPr>
          <w:sz w:val="20"/>
        </w:rPr>
        <w:t xml:space="preserve">9. Рак желудка 4,7% (235 случаев);</w:t>
      </w:r>
    </w:p>
    <w:p>
      <w:pPr>
        <w:pStyle w:val="0"/>
        <w:spacing w:before="200" w:line-rule="auto"/>
        <w:ind w:firstLine="540"/>
        <w:jc w:val="both"/>
      </w:pPr>
      <w:r>
        <w:rPr>
          <w:sz w:val="20"/>
        </w:rPr>
        <w:t xml:space="preserve">10. Рак тела матки 4,1% (202 случая).</w:t>
      </w:r>
    </w:p>
    <w:p>
      <w:pPr>
        <w:pStyle w:val="0"/>
        <w:ind w:firstLine="540"/>
        <w:jc w:val="both"/>
      </w:pPr>
      <w:r>
        <w:rPr>
          <w:sz w:val="20"/>
        </w:rPr>
      </w:r>
    </w:p>
    <w:p>
      <w:pPr>
        <w:pStyle w:val="0"/>
        <w:jc w:val="right"/>
      </w:pPr>
      <w:r>
        <w:rPr>
          <w:sz w:val="20"/>
        </w:rPr>
        <w:t xml:space="preserve">Рисунок 3</w:t>
      </w:r>
    </w:p>
    <w:p>
      <w:pPr>
        <w:pStyle w:val="0"/>
        <w:jc w:val="right"/>
      </w:pPr>
      <w:r>
        <w:rPr>
          <w:sz w:val="20"/>
        </w:rPr>
      </w:r>
    </w:p>
    <w:bookmarkStart w:id="1792" w:name="P1792"/>
    <w:bookmarkEnd w:id="1792"/>
    <w:p>
      <w:pPr>
        <w:pStyle w:val="0"/>
        <w:jc w:val="center"/>
      </w:pPr>
      <w:r>
        <w:rPr>
          <w:sz w:val="20"/>
        </w:rPr>
        <w:t xml:space="preserve">Структура заболеваемости злокачественными новообразованиями</w:t>
      </w:r>
    </w:p>
    <w:p>
      <w:pPr>
        <w:pStyle w:val="0"/>
        <w:jc w:val="center"/>
      </w:pPr>
      <w:r>
        <w:rPr>
          <w:sz w:val="20"/>
        </w:rPr>
        <w:t xml:space="preserve">основных локализаций в 2022 году, %</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94"/>
        </w:rPr>
        <w:drawing>
          <wp:inline distT="0" distB="0" distL="0" distR="0">
            <wp:extent cx="7178675" cy="3872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7178675" cy="3872865"/>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Средний возраст заболевших с впервые в жизни установленным диагнозом злокачественного новообразования в 2022 году составил 56,5 лет (в 2013 году - 54,1 лет).</w:t>
      </w:r>
    </w:p>
    <w:p>
      <w:pPr>
        <w:pStyle w:val="0"/>
        <w:spacing w:before="200" w:line-rule="auto"/>
        <w:ind w:firstLine="540"/>
        <w:jc w:val="both"/>
      </w:pPr>
      <w:r>
        <w:rPr>
          <w:sz w:val="20"/>
        </w:rPr>
        <w:t xml:space="preserve">В структуре заболеваемости у мужчин в 2022 году лидируют злокачественные новообразования:</w:t>
      </w:r>
    </w:p>
    <w:p>
      <w:pPr>
        <w:pStyle w:val="0"/>
        <w:spacing w:before="200" w:line-rule="auto"/>
        <w:ind w:firstLine="540"/>
        <w:jc w:val="both"/>
      </w:pPr>
      <w:r>
        <w:rPr>
          <w:sz w:val="20"/>
        </w:rPr>
        <w:t xml:space="preserve">трахеи, бронхов и легкого - 15,8% (373 случая),</w:t>
      </w:r>
    </w:p>
    <w:p>
      <w:pPr>
        <w:pStyle w:val="0"/>
        <w:spacing w:before="200" w:line-rule="auto"/>
        <w:ind w:firstLine="540"/>
        <w:jc w:val="both"/>
      </w:pPr>
      <w:r>
        <w:rPr>
          <w:sz w:val="20"/>
        </w:rPr>
        <w:t xml:space="preserve">предстательной железы - 18,4% (434 случая),</w:t>
      </w:r>
    </w:p>
    <w:p>
      <w:pPr>
        <w:pStyle w:val="0"/>
        <w:spacing w:before="200" w:line-rule="auto"/>
        <w:ind w:firstLine="540"/>
        <w:jc w:val="both"/>
      </w:pPr>
      <w:r>
        <w:rPr>
          <w:sz w:val="20"/>
        </w:rPr>
        <w:t xml:space="preserve">ободочной кишки - 7,9% (187 случаев).</w:t>
      </w:r>
    </w:p>
    <w:p>
      <w:pPr>
        <w:pStyle w:val="0"/>
        <w:spacing w:before="200" w:line-rule="auto"/>
        <w:ind w:firstLine="540"/>
        <w:jc w:val="both"/>
      </w:pPr>
      <w:r>
        <w:rPr>
          <w:sz w:val="20"/>
        </w:rPr>
        <w:t xml:space="preserve">В структуре заболеваемости у женщин в 2022 году преобладают злокачественные новообразования:</w:t>
      </w:r>
    </w:p>
    <w:p>
      <w:pPr>
        <w:pStyle w:val="0"/>
        <w:spacing w:before="200" w:line-rule="auto"/>
        <w:ind w:firstLine="540"/>
        <w:jc w:val="both"/>
      </w:pPr>
      <w:r>
        <w:rPr>
          <w:sz w:val="20"/>
        </w:rPr>
        <w:t xml:space="preserve">молочной железы - 25,2% (649 случаев),</w:t>
      </w:r>
    </w:p>
    <w:p>
      <w:pPr>
        <w:pStyle w:val="0"/>
        <w:spacing w:before="200" w:line-rule="auto"/>
        <w:ind w:firstLine="540"/>
        <w:jc w:val="both"/>
      </w:pPr>
      <w:r>
        <w:rPr>
          <w:sz w:val="20"/>
        </w:rPr>
        <w:t xml:space="preserve">кожи - 11,9% (306 случаев),</w:t>
      </w:r>
    </w:p>
    <w:p>
      <w:pPr>
        <w:pStyle w:val="0"/>
        <w:spacing w:before="200" w:line-rule="auto"/>
        <w:ind w:firstLine="540"/>
        <w:jc w:val="both"/>
      </w:pPr>
      <w:r>
        <w:rPr>
          <w:sz w:val="20"/>
        </w:rPr>
        <w:t xml:space="preserve">ободочной кишки - 7,7% (198 случаев).</w:t>
      </w:r>
    </w:p>
    <w:p>
      <w:pPr>
        <w:pStyle w:val="0"/>
        <w:spacing w:before="200" w:line-rule="auto"/>
        <w:ind w:firstLine="540"/>
        <w:jc w:val="both"/>
      </w:pPr>
      <w:r>
        <w:rPr>
          <w:sz w:val="20"/>
        </w:rPr>
        <w:t xml:space="preserve">В 2022 году по возрастной структуре заболевших наибольший удельный вес в автономном округе составили лица в возрасте 60 - 64 лет (899 случаев или 18,2% от общего числа заболевших), доля лиц указанной возрастной группы у мужчин составила 20,5%, у женщин - 16,2% (для сравнения в 2013 году доля возрастной группы 60 - 64 лет у мужчин составляла 18,8%, у женщин - 16,1%).</w:t>
      </w:r>
    </w:p>
    <w:p>
      <w:pPr>
        <w:pStyle w:val="0"/>
        <w:spacing w:before="200" w:line-rule="auto"/>
        <w:ind w:firstLine="540"/>
        <w:jc w:val="both"/>
      </w:pPr>
      <w:r>
        <w:rPr>
          <w:sz w:val="20"/>
        </w:rPr>
        <w:t xml:space="preserve">Далее в структуре возрастных категорий идет группа лиц 50 - 54 лет (14,3% от общего числа заболевших).</w:t>
      </w:r>
    </w:p>
    <w:p>
      <w:pPr>
        <w:pStyle w:val="0"/>
        <w:spacing w:before="200" w:line-rule="auto"/>
        <w:ind w:firstLine="540"/>
        <w:jc w:val="both"/>
      </w:pPr>
      <w:r>
        <w:rPr>
          <w:sz w:val="20"/>
        </w:rPr>
        <w:t xml:space="preserve">Заболеваемость населения ЗНО с разбивкой по муниципальным образованиям автономного округа ("грубый" показатель) за период с 2013 по 2022 год представлена в таблице 5.</w:t>
      </w:r>
    </w:p>
    <w:p>
      <w:pPr>
        <w:pStyle w:val="0"/>
        <w:ind w:firstLine="540"/>
        <w:jc w:val="both"/>
      </w:pPr>
      <w:r>
        <w:rPr>
          <w:sz w:val="20"/>
        </w:rPr>
      </w:r>
    </w:p>
    <w:p>
      <w:pPr>
        <w:pStyle w:val="0"/>
        <w:jc w:val="right"/>
      </w:pPr>
      <w:r>
        <w:rPr>
          <w:sz w:val="20"/>
        </w:rPr>
        <w:t xml:space="preserve">Таблица 5</w:t>
      </w:r>
    </w:p>
    <w:p>
      <w:pPr>
        <w:pStyle w:val="0"/>
        <w:jc w:val="right"/>
      </w:pPr>
      <w:r>
        <w:rPr>
          <w:sz w:val="20"/>
        </w:rPr>
      </w:r>
    </w:p>
    <w:p>
      <w:pPr>
        <w:pStyle w:val="0"/>
        <w:jc w:val="center"/>
      </w:pPr>
      <w:r>
        <w:rPr>
          <w:sz w:val="20"/>
        </w:rPr>
        <w:t xml:space="preserve">Заболеваемость населения злокачественными новообразованиями</w:t>
      </w:r>
    </w:p>
    <w:p>
      <w:pPr>
        <w:pStyle w:val="0"/>
        <w:jc w:val="center"/>
      </w:pPr>
      <w:r>
        <w:rPr>
          <w:sz w:val="20"/>
        </w:rPr>
        <w:t xml:space="preserve">в 2013 - 2022 годах в муниципальных образованиях автономного</w:t>
      </w:r>
    </w:p>
    <w:p>
      <w:pPr>
        <w:pStyle w:val="0"/>
        <w:jc w:val="center"/>
      </w:pPr>
      <w:r>
        <w:rPr>
          <w:sz w:val="20"/>
        </w:rPr>
        <w:t xml:space="preserve">округа ("грубый" показатель, на 100 тыс. населения)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1159"/>
        <w:gridCol w:w="784"/>
        <w:gridCol w:w="1159"/>
        <w:gridCol w:w="784"/>
        <w:gridCol w:w="1159"/>
        <w:gridCol w:w="784"/>
        <w:gridCol w:w="1159"/>
        <w:gridCol w:w="784"/>
        <w:gridCol w:w="1159"/>
        <w:gridCol w:w="784"/>
        <w:gridCol w:w="1159"/>
        <w:gridCol w:w="784"/>
        <w:gridCol w:w="1159"/>
        <w:gridCol w:w="784"/>
        <w:gridCol w:w="1159"/>
        <w:gridCol w:w="1247"/>
        <w:gridCol w:w="1247"/>
        <w:gridCol w:w="1247"/>
        <w:gridCol w:w="1247"/>
        <w:gridCol w:w="1247"/>
      </w:tblGrid>
      <w:tr>
        <w:tc>
          <w:tcPr>
            <w:tcW w:w="2194" w:type="dxa"/>
            <w:vMerge w:val="restart"/>
          </w:tcPr>
          <w:p>
            <w:pPr>
              <w:pStyle w:val="0"/>
              <w:jc w:val="center"/>
            </w:pPr>
            <w:r>
              <w:rPr>
                <w:sz w:val="20"/>
              </w:rPr>
              <w:t xml:space="preserve">Муниципальные образования - городские округа и муниципальные районы автономного округа</w:t>
            </w:r>
          </w:p>
        </w:tc>
        <w:tc>
          <w:tcPr>
            <w:gridSpan w:val="2"/>
            <w:tcW w:w="1943" w:type="dxa"/>
          </w:tcPr>
          <w:p>
            <w:pPr>
              <w:pStyle w:val="0"/>
              <w:jc w:val="center"/>
            </w:pPr>
            <w:r>
              <w:rPr>
                <w:sz w:val="20"/>
              </w:rPr>
              <w:t xml:space="preserve">2013</w:t>
            </w:r>
          </w:p>
        </w:tc>
        <w:tc>
          <w:tcPr>
            <w:gridSpan w:val="2"/>
            <w:tcW w:w="1943" w:type="dxa"/>
          </w:tcPr>
          <w:p>
            <w:pPr>
              <w:pStyle w:val="0"/>
              <w:jc w:val="center"/>
            </w:pPr>
            <w:r>
              <w:rPr>
                <w:sz w:val="20"/>
              </w:rPr>
              <w:t xml:space="preserve">2014</w:t>
            </w:r>
          </w:p>
        </w:tc>
        <w:tc>
          <w:tcPr>
            <w:gridSpan w:val="2"/>
            <w:tcW w:w="1943" w:type="dxa"/>
          </w:tcPr>
          <w:p>
            <w:pPr>
              <w:pStyle w:val="0"/>
              <w:jc w:val="center"/>
            </w:pPr>
            <w:r>
              <w:rPr>
                <w:sz w:val="20"/>
              </w:rPr>
              <w:t xml:space="preserve">2015</w:t>
            </w:r>
          </w:p>
        </w:tc>
        <w:tc>
          <w:tcPr>
            <w:gridSpan w:val="2"/>
            <w:tcW w:w="1943" w:type="dxa"/>
          </w:tcPr>
          <w:p>
            <w:pPr>
              <w:pStyle w:val="0"/>
              <w:jc w:val="center"/>
            </w:pPr>
            <w:r>
              <w:rPr>
                <w:sz w:val="20"/>
              </w:rPr>
              <w:t xml:space="preserve">2016</w:t>
            </w:r>
          </w:p>
        </w:tc>
        <w:tc>
          <w:tcPr>
            <w:gridSpan w:val="2"/>
            <w:tcW w:w="1943" w:type="dxa"/>
          </w:tcPr>
          <w:p>
            <w:pPr>
              <w:pStyle w:val="0"/>
              <w:jc w:val="center"/>
            </w:pPr>
            <w:r>
              <w:rPr>
                <w:sz w:val="20"/>
              </w:rPr>
              <w:t xml:space="preserve">2017</w:t>
            </w:r>
          </w:p>
        </w:tc>
        <w:tc>
          <w:tcPr>
            <w:gridSpan w:val="2"/>
            <w:tcW w:w="1943" w:type="dxa"/>
          </w:tcPr>
          <w:p>
            <w:pPr>
              <w:pStyle w:val="0"/>
              <w:jc w:val="center"/>
            </w:pPr>
            <w:r>
              <w:rPr>
                <w:sz w:val="20"/>
              </w:rPr>
              <w:t xml:space="preserve">2018</w:t>
            </w:r>
          </w:p>
        </w:tc>
        <w:tc>
          <w:tcPr>
            <w:gridSpan w:val="2"/>
            <w:tcW w:w="1943" w:type="dxa"/>
          </w:tcPr>
          <w:p>
            <w:pPr>
              <w:pStyle w:val="0"/>
              <w:jc w:val="center"/>
            </w:pPr>
            <w:r>
              <w:rPr>
                <w:sz w:val="20"/>
              </w:rPr>
              <w:t xml:space="preserve">2019</w:t>
            </w:r>
          </w:p>
        </w:tc>
        <w:tc>
          <w:tcPr>
            <w:gridSpan w:val="2"/>
            <w:tcW w:w="2406" w:type="dxa"/>
          </w:tcPr>
          <w:p>
            <w:pPr>
              <w:pStyle w:val="0"/>
              <w:jc w:val="center"/>
            </w:pPr>
            <w:r>
              <w:rPr>
                <w:sz w:val="20"/>
              </w:rPr>
              <w:t xml:space="preserve">2020</w:t>
            </w:r>
          </w:p>
        </w:tc>
        <w:tc>
          <w:tcPr>
            <w:gridSpan w:val="2"/>
            <w:tcW w:w="2494" w:type="dxa"/>
          </w:tcPr>
          <w:p>
            <w:pPr>
              <w:pStyle w:val="0"/>
              <w:jc w:val="center"/>
            </w:pPr>
            <w:r>
              <w:rPr>
                <w:sz w:val="20"/>
              </w:rPr>
              <w:t xml:space="preserve">2021</w:t>
            </w:r>
          </w:p>
        </w:tc>
        <w:tc>
          <w:tcPr>
            <w:gridSpan w:val="2"/>
            <w:tcW w:w="2494" w:type="dxa"/>
          </w:tcPr>
          <w:p>
            <w:pPr>
              <w:pStyle w:val="0"/>
              <w:jc w:val="center"/>
            </w:pPr>
            <w:r>
              <w:rPr>
                <w:sz w:val="20"/>
              </w:rPr>
              <w:t xml:space="preserve">2022</w:t>
            </w:r>
          </w:p>
        </w:tc>
      </w:tr>
      <w:tr>
        <w:tc>
          <w:tcPr>
            <w:vMerge w:val="continue"/>
          </w:tcPr>
          <w:p/>
        </w:tc>
        <w:tc>
          <w:tcPr>
            <w:tcW w:w="1159" w:type="dxa"/>
          </w:tcPr>
          <w:p>
            <w:pPr>
              <w:pStyle w:val="0"/>
              <w:jc w:val="center"/>
            </w:pPr>
            <w:r>
              <w:rPr>
                <w:sz w:val="20"/>
              </w:rPr>
              <w:t xml:space="preserve">зарегистр. забол.</w:t>
            </w:r>
          </w:p>
        </w:tc>
        <w:tc>
          <w:tcPr>
            <w:tcW w:w="784" w:type="dxa"/>
          </w:tcPr>
          <w:p>
            <w:pPr>
              <w:pStyle w:val="0"/>
              <w:jc w:val="center"/>
            </w:pPr>
            <w:r>
              <w:rPr>
                <w:sz w:val="20"/>
              </w:rPr>
              <w:t xml:space="preserve">показ на 100 тыс.</w:t>
            </w:r>
          </w:p>
        </w:tc>
        <w:tc>
          <w:tcPr>
            <w:tcW w:w="1159" w:type="dxa"/>
          </w:tcPr>
          <w:p>
            <w:pPr>
              <w:pStyle w:val="0"/>
              <w:jc w:val="center"/>
            </w:pPr>
            <w:r>
              <w:rPr>
                <w:sz w:val="20"/>
              </w:rPr>
              <w:t xml:space="preserve">зарегистр. забол.</w:t>
            </w:r>
          </w:p>
        </w:tc>
        <w:tc>
          <w:tcPr>
            <w:tcW w:w="784" w:type="dxa"/>
          </w:tcPr>
          <w:p>
            <w:pPr>
              <w:pStyle w:val="0"/>
              <w:jc w:val="center"/>
            </w:pPr>
            <w:r>
              <w:rPr>
                <w:sz w:val="20"/>
              </w:rPr>
              <w:t xml:space="preserve">показ на 100 тыс.</w:t>
            </w:r>
          </w:p>
        </w:tc>
        <w:tc>
          <w:tcPr>
            <w:tcW w:w="1159" w:type="dxa"/>
          </w:tcPr>
          <w:p>
            <w:pPr>
              <w:pStyle w:val="0"/>
              <w:jc w:val="center"/>
            </w:pPr>
            <w:r>
              <w:rPr>
                <w:sz w:val="20"/>
              </w:rPr>
              <w:t xml:space="preserve">зарегистр. забол.</w:t>
            </w:r>
          </w:p>
        </w:tc>
        <w:tc>
          <w:tcPr>
            <w:tcW w:w="784" w:type="dxa"/>
          </w:tcPr>
          <w:p>
            <w:pPr>
              <w:pStyle w:val="0"/>
              <w:jc w:val="center"/>
            </w:pPr>
            <w:r>
              <w:rPr>
                <w:sz w:val="20"/>
              </w:rPr>
              <w:t xml:space="preserve">показ на 100 тыс.</w:t>
            </w:r>
          </w:p>
        </w:tc>
        <w:tc>
          <w:tcPr>
            <w:tcW w:w="1159" w:type="dxa"/>
          </w:tcPr>
          <w:p>
            <w:pPr>
              <w:pStyle w:val="0"/>
              <w:jc w:val="center"/>
            </w:pPr>
            <w:r>
              <w:rPr>
                <w:sz w:val="20"/>
              </w:rPr>
              <w:t xml:space="preserve">зарегистр. забол.</w:t>
            </w:r>
          </w:p>
        </w:tc>
        <w:tc>
          <w:tcPr>
            <w:tcW w:w="784" w:type="dxa"/>
          </w:tcPr>
          <w:p>
            <w:pPr>
              <w:pStyle w:val="0"/>
              <w:jc w:val="center"/>
            </w:pPr>
            <w:r>
              <w:rPr>
                <w:sz w:val="20"/>
              </w:rPr>
              <w:t xml:space="preserve">показ на 100 тыс.</w:t>
            </w:r>
          </w:p>
        </w:tc>
        <w:tc>
          <w:tcPr>
            <w:tcW w:w="1159" w:type="dxa"/>
          </w:tcPr>
          <w:p>
            <w:pPr>
              <w:pStyle w:val="0"/>
              <w:jc w:val="center"/>
            </w:pPr>
            <w:r>
              <w:rPr>
                <w:sz w:val="20"/>
              </w:rPr>
              <w:t xml:space="preserve">зарегистр. забол.</w:t>
            </w:r>
          </w:p>
        </w:tc>
        <w:tc>
          <w:tcPr>
            <w:tcW w:w="784" w:type="dxa"/>
          </w:tcPr>
          <w:p>
            <w:pPr>
              <w:pStyle w:val="0"/>
              <w:jc w:val="center"/>
            </w:pPr>
            <w:r>
              <w:rPr>
                <w:sz w:val="20"/>
              </w:rPr>
              <w:t xml:space="preserve">показ на 100 тыс.</w:t>
            </w:r>
          </w:p>
        </w:tc>
        <w:tc>
          <w:tcPr>
            <w:tcW w:w="1159" w:type="dxa"/>
          </w:tcPr>
          <w:p>
            <w:pPr>
              <w:pStyle w:val="0"/>
              <w:jc w:val="center"/>
            </w:pPr>
            <w:r>
              <w:rPr>
                <w:sz w:val="20"/>
              </w:rPr>
              <w:t xml:space="preserve">зарегистр. забол.</w:t>
            </w:r>
          </w:p>
        </w:tc>
        <w:tc>
          <w:tcPr>
            <w:tcW w:w="784" w:type="dxa"/>
          </w:tcPr>
          <w:p>
            <w:pPr>
              <w:pStyle w:val="0"/>
              <w:jc w:val="center"/>
            </w:pPr>
            <w:r>
              <w:rPr>
                <w:sz w:val="20"/>
              </w:rPr>
              <w:t xml:space="preserve">показ на 100 тыс.</w:t>
            </w:r>
          </w:p>
        </w:tc>
        <w:tc>
          <w:tcPr>
            <w:tcW w:w="1159" w:type="dxa"/>
          </w:tcPr>
          <w:p>
            <w:pPr>
              <w:pStyle w:val="0"/>
              <w:jc w:val="center"/>
            </w:pPr>
            <w:r>
              <w:rPr>
                <w:sz w:val="20"/>
              </w:rPr>
              <w:t xml:space="preserve">зарегистр. забол.</w:t>
            </w:r>
          </w:p>
        </w:tc>
        <w:tc>
          <w:tcPr>
            <w:tcW w:w="784" w:type="dxa"/>
          </w:tcPr>
          <w:p>
            <w:pPr>
              <w:pStyle w:val="0"/>
              <w:jc w:val="center"/>
            </w:pPr>
            <w:r>
              <w:rPr>
                <w:sz w:val="20"/>
              </w:rPr>
              <w:t xml:space="preserve">показ на 100 тыс.</w:t>
            </w:r>
          </w:p>
        </w:tc>
        <w:tc>
          <w:tcPr>
            <w:tcW w:w="1159" w:type="dxa"/>
          </w:tcPr>
          <w:p>
            <w:pPr>
              <w:pStyle w:val="0"/>
              <w:jc w:val="center"/>
            </w:pPr>
            <w:r>
              <w:rPr>
                <w:sz w:val="20"/>
              </w:rPr>
              <w:t xml:space="preserve">зарегистр. забол.</w:t>
            </w:r>
          </w:p>
        </w:tc>
        <w:tc>
          <w:tcPr>
            <w:tcW w:w="1247" w:type="dxa"/>
          </w:tcPr>
          <w:p>
            <w:pPr>
              <w:pStyle w:val="0"/>
              <w:jc w:val="center"/>
            </w:pPr>
            <w:r>
              <w:rPr>
                <w:sz w:val="20"/>
              </w:rPr>
              <w:t xml:space="preserve">показ на 100 тыс.</w:t>
            </w:r>
          </w:p>
        </w:tc>
        <w:tc>
          <w:tcPr>
            <w:tcW w:w="1247" w:type="dxa"/>
          </w:tcPr>
          <w:p>
            <w:pPr>
              <w:pStyle w:val="0"/>
              <w:jc w:val="center"/>
            </w:pPr>
            <w:r>
              <w:rPr>
                <w:sz w:val="20"/>
              </w:rPr>
              <w:t xml:space="preserve">зарегистр. забол.</w:t>
            </w:r>
          </w:p>
        </w:tc>
        <w:tc>
          <w:tcPr>
            <w:tcW w:w="1247" w:type="dxa"/>
          </w:tcPr>
          <w:p>
            <w:pPr>
              <w:pStyle w:val="0"/>
              <w:jc w:val="center"/>
            </w:pPr>
            <w:r>
              <w:rPr>
                <w:sz w:val="20"/>
              </w:rPr>
              <w:t xml:space="preserve">показ на 100 тыс.</w:t>
            </w:r>
          </w:p>
        </w:tc>
        <w:tc>
          <w:tcPr>
            <w:tcW w:w="1247" w:type="dxa"/>
          </w:tcPr>
          <w:p>
            <w:pPr>
              <w:pStyle w:val="0"/>
              <w:jc w:val="center"/>
            </w:pPr>
            <w:r>
              <w:rPr>
                <w:sz w:val="20"/>
              </w:rPr>
              <w:t xml:space="preserve">зарегистр. забол.</w:t>
            </w:r>
          </w:p>
        </w:tc>
        <w:tc>
          <w:tcPr>
            <w:tcW w:w="1247" w:type="dxa"/>
          </w:tcPr>
          <w:p>
            <w:pPr>
              <w:pStyle w:val="0"/>
              <w:jc w:val="center"/>
            </w:pPr>
            <w:r>
              <w:rPr>
                <w:sz w:val="20"/>
              </w:rPr>
              <w:t xml:space="preserve">показ на 100 тыс.</w:t>
            </w:r>
          </w:p>
        </w:tc>
      </w:tr>
      <w:tr>
        <w:tc>
          <w:tcPr>
            <w:tcW w:w="2194" w:type="dxa"/>
          </w:tcPr>
          <w:p>
            <w:pPr>
              <w:pStyle w:val="0"/>
            </w:pPr>
            <w:r>
              <w:rPr>
                <w:sz w:val="20"/>
              </w:rPr>
              <w:t xml:space="preserve">Когалым</w:t>
            </w:r>
          </w:p>
        </w:tc>
        <w:tc>
          <w:tcPr>
            <w:tcW w:w="1159" w:type="dxa"/>
          </w:tcPr>
          <w:p>
            <w:pPr>
              <w:pStyle w:val="0"/>
            </w:pPr>
            <w:r>
              <w:rPr>
                <w:sz w:val="20"/>
              </w:rPr>
              <w:t xml:space="preserve">79</w:t>
            </w:r>
          </w:p>
        </w:tc>
        <w:tc>
          <w:tcPr>
            <w:tcW w:w="784" w:type="dxa"/>
          </w:tcPr>
          <w:p>
            <w:pPr>
              <w:pStyle w:val="0"/>
            </w:pPr>
            <w:r>
              <w:rPr>
                <w:sz w:val="20"/>
              </w:rPr>
              <w:t xml:space="preserve">130,3</w:t>
            </w:r>
          </w:p>
        </w:tc>
        <w:tc>
          <w:tcPr>
            <w:tcW w:w="1159" w:type="dxa"/>
          </w:tcPr>
          <w:p>
            <w:pPr>
              <w:pStyle w:val="0"/>
            </w:pPr>
            <w:r>
              <w:rPr>
                <w:sz w:val="20"/>
              </w:rPr>
              <w:t xml:space="preserve">81</w:t>
            </w:r>
          </w:p>
        </w:tc>
        <w:tc>
          <w:tcPr>
            <w:tcW w:w="784" w:type="dxa"/>
          </w:tcPr>
          <w:p>
            <w:pPr>
              <w:pStyle w:val="0"/>
            </w:pPr>
            <w:r>
              <w:rPr>
                <w:sz w:val="20"/>
              </w:rPr>
              <w:t xml:space="preserve">131,2</w:t>
            </w:r>
          </w:p>
        </w:tc>
        <w:tc>
          <w:tcPr>
            <w:tcW w:w="1159" w:type="dxa"/>
          </w:tcPr>
          <w:p>
            <w:pPr>
              <w:pStyle w:val="0"/>
            </w:pPr>
            <w:r>
              <w:rPr>
                <w:sz w:val="20"/>
              </w:rPr>
              <w:t xml:space="preserve">93</w:t>
            </w:r>
          </w:p>
        </w:tc>
        <w:tc>
          <w:tcPr>
            <w:tcW w:w="784" w:type="dxa"/>
          </w:tcPr>
          <w:p>
            <w:pPr>
              <w:pStyle w:val="0"/>
            </w:pPr>
            <w:r>
              <w:rPr>
                <w:sz w:val="20"/>
              </w:rPr>
              <w:t xml:space="preserve">147,8</w:t>
            </w:r>
          </w:p>
        </w:tc>
        <w:tc>
          <w:tcPr>
            <w:tcW w:w="1159" w:type="dxa"/>
          </w:tcPr>
          <w:p>
            <w:pPr>
              <w:pStyle w:val="0"/>
            </w:pPr>
            <w:r>
              <w:rPr>
                <w:sz w:val="20"/>
              </w:rPr>
              <w:t xml:space="preserve">71</w:t>
            </w:r>
          </w:p>
        </w:tc>
        <w:tc>
          <w:tcPr>
            <w:tcW w:w="784" w:type="dxa"/>
          </w:tcPr>
          <w:p>
            <w:pPr>
              <w:pStyle w:val="0"/>
            </w:pPr>
            <w:r>
              <w:rPr>
                <w:sz w:val="20"/>
              </w:rPr>
              <w:t xml:space="preserve">111,2</w:t>
            </w:r>
          </w:p>
        </w:tc>
        <w:tc>
          <w:tcPr>
            <w:tcW w:w="1159" w:type="dxa"/>
          </w:tcPr>
          <w:p>
            <w:pPr>
              <w:pStyle w:val="0"/>
            </w:pPr>
            <w:r>
              <w:rPr>
                <w:sz w:val="20"/>
              </w:rPr>
              <w:t xml:space="preserve">96</w:t>
            </w:r>
          </w:p>
        </w:tc>
        <w:tc>
          <w:tcPr>
            <w:tcW w:w="784" w:type="dxa"/>
          </w:tcPr>
          <w:p>
            <w:pPr>
              <w:pStyle w:val="0"/>
            </w:pPr>
            <w:r>
              <w:rPr>
                <w:sz w:val="20"/>
              </w:rPr>
              <w:t xml:space="preserve">147,3</w:t>
            </w:r>
          </w:p>
        </w:tc>
        <w:tc>
          <w:tcPr>
            <w:tcW w:w="1159" w:type="dxa"/>
          </w:tcPr>
          <w:p>
            <w:pPr>
              <w:pStyle w:val="0"/>
            </w:pPr>
            <w:r>
              <w:rPr>
                <w:sz w:val="20"/>
              </w:rPr>
              <w:t xml:space="preserve">100</w:t>
            </w:r>
          </w:p>
        </w:tc>
        <w:tc>
          <w:tcPr>
            <w:tcW w:w="784" w:type="dxa"/>
          </w:tcPr>
          <w:p>
            <w:pPr>
              <w:pStyle w:val="0"/>
            </w:pPr>
            <w:r>
              <w:rPr>
                <w:sz w:val="20"/>
              </w:rPr>
              <w:t xml:space="preserve">150,1</w:t>
            </w:r>
          </w:p>
        </w:tc>
        <w:tc>
          <w:tcPr>
            <w:tcW w:w="1159" w:type="dxa"/>
          </w:tcPr>
          <w:p>
            <w:pPr>
              <w:pStyle w:val="0"/>
            </w:pPr>
            <w:r>
              <w:rPr>
                <w:sz w:val="20"/>
              </w:rPr>
              <w:t xml:space="preserve">114</w:t>
            </w:r>
          </w:p>
        </w:tc>
        <w:tc>
          <w:tcPr>
            <w:tcW w:w="784" w:type="dxa"/>
          </w:tcPr>
          <w:p>
            <w:pPr>
              <w:pStyle w:val="0"/>
            </w:pPr>
            <w:r>
              <w:rPr>
                <w:sz w:val="20"/>
              </w:rPr>
              <w:t xml:space="preserve">177,9</w:t>
            </w:r>
          </w:p>
        </w:tc>
        <w:tc>
          <w:tcPr>
            <w:tcW w:w="1159" w:type="dxa"/>
          </w:tcPr>
          <w:p>
            <w:pPr>
              <w:pStyle w:val="0"/>
            </w:pPr>
            <w:r>
              <w:rPr>
                <w:sz w:val="20"/>
              </w:rPr>
              <w:t xml:space="preserve">59</w:t>
            </w:r>
          </w:p>
        </w:tc>
        <w:tc>
          <w:tcPr>
            <w:tcW w:w="1247" w:type="dxa"/>
          </w:tcPr>
          <w:p>
            <w:pPr>
              <w:pStyle w:val="0"/>
            </w:pPr>
            <w:r>
              <w:rPr>
                <w:sz w:val="20"/>
              </w:rPr>
              <w:t xml:space="preserve">82,7</w:t>
            </w:r>
          </w:p>
        </w:tc>
        <w:tc>
          <w:tcPr>
            <w:tcW w:w="1247" w:type="dxa"/>
          </w:tcPr>
          <w:p>
            <w:pPr>
              <w:pStyle w:val="0"/>
            </w:pPr>
            <w:r>
              <w:rPr>
                <w:sz w:val="20"/>
              </w:rPr>
              <w:t xml:space="preserve">137</w:t>
            </w:r>
          </w:p>
        </w:tc>
        <w:tc>
          <w:tcPr>
            <w:tcW w:w="1247" w:type="dxa"/>
          </w:tcPr>
          <w:p>
            <w:pPr>
              <w:pStyle w:val="0"/>
            </w:pPr>
            <w:r>
              <w:rPr>
                <w:sz w:val="20"/>
              </w:rPr>
              <w:t xml:space="preserve">197,4</w:t>
            </w:r>
          </w:p>
        </w:tc>
        <w:tc>
          <w:tcPr>
            <w:tcW w:w="1247" w:type="dxa"/>
          </w:tcPr>
          <w:p>
            <w:pPr>
              <w:pStyle w:val="0"/>
            </w:pPr>
            <w:r>
              <w:rPr>
                <w:sz w:val="20"/>
              </w:rPr>
              <w:t xml:space="preserve">121</w:t>
            </w:r>
          </w:p>
        </w:tc>
        <w:tc>
          <w:tcPr>
            <w:tcW w:w="1247" w:type="dxa"/>
          </w:tcPr>
          <w:p>
            <w:pPr>
              <w:pStyle w:val="0"/>
            </w:pPr>
            <w:r>
              <w:rPr>
                <w:sz w:val="20"/>
              </w:rPr>
              <w:t xml:space="preserve">175,0</w:t>
            </w:r>
          </w:p>
        </w:tc>
      </w:tr>
      <w:tr>
        <w:tc>
          <w:tcPr>
            <w:tcW w:w="2194" w:type="dxa"/>
          </w:tcPr>
          <w:p>
            <w:pPr>
              <w:pStyle w:val="0"/>
            </w:pPr>
            <w:r>
              <w:rPr>
                <w:sz w:val="20"/>
              </w:rPr>
              <w:t xml:space="preserve">Лангепас</w:t>
            </w:r>
          </w:p>
        </w:tc>
        <w:tc>
          <w:tcPr>
            <w:tcW w:w="1159" w:type="dxa"/>
          </w:tcPr>
          <w:p>
            <w:pPr>
              <w:pStyle w:val="0"/>
            </w:pPr>
            <w:r>
              <w:rPr>
                <w:sz w:val="20"/>
              </w:rPr>
              <w:t xml:space="preserve">65</w:t>
            </w:r>
          </w:p>
        </w:tc>
        <w:tc>
          <w:tcPr>
            <w:tcW w:w="784" w:type="dxa"/>
          </w:tcPr>
          <w:p>
            <w:pPr>
              <w:pStyle w:val="0"/>
            </w:pPr>
            <w:r>
              <w:rPr>
                <w:sz w:val="20"/>
              </w:rPr>
              <w:t xml:space="preserve">152,1</w:t>
            </w:r>
          </w:p>
        </w:tc>
        <w:tc>
          <w:tcPr>
            <w:tcW w:w="1159" w:type="dxa"/>
          </w:tcPr>
          <w:p>
            <w:pPr>
              <w:pStyle w:val="0"/>
            </w:pPr>
            <w:r>
              <w:rPr>
                <w:sz w:val="20"/>
              </w:rPr>
              <w:t xml:space="preserve">96</w:t>
            </w:r>
          </w:p>
        </w:tc>
        <w:tc>
          <w:tcPr>
            <w:tcW w:w="784" w:type="dxa"/>
          </w:tcPr>
          <w:p>
            <w:pPr>
              <w:pStyle w:val="0"/>
            </w:pPr>
            <w:r>
              <w:rPr>
                <w:sz w:val="20"/>
              </w:rPr>
              <w:t xml:space="preserve">223,8</w:t>
            </w:r>
          </w:p>
        </w:tc>
        <w:tc>
          <w:tcPr>
            <w:tcW w:w="1159" w:type="dxa"/>
          </w:tcPr>
          <w:p>
            <w:pPr>
              <w:pStyle w:val="0"/>
            </w:pPr>
            <w:r>
              <w:rPr>
                <w:sz w:val="20"/>
              </w:rPr>
              <w:t xml:space="preserve">104</w:t>
            </w:r>
          </w:p>
        </w:tc>
        <w:tc>
          <w:tcPr>
            <w:tcW w:w="784" w:type="dxa"/>
          </w:tcPr>
          <w:p>
            <w:pPr>
              <w:pStyle w:val="0"/>
            </w:pPr>
            <w:r>
              <w:rPr>
                <w:sz w:val="20"/>
              </w:rPr>
              <w:t xml:space="preserve">240,9</w:t>
            </w:r>
          </w:p>
        </w:tc>
        <w:tc>
          <w:tcPr>
            <w:tcW w:w="1159" w:type="dxa"/>
          </w:tcPr>
          <w:p>
            <w:pPr>
              <w:pStyle w:val="0"/>
            </w:pPr>
            <w:r>
              <w:rPr>
                <w:sz w:val="20"/>
              </w:rPr>
              <w:t xml:space="preserve">86</w:t>
            </w:r>
          </w:p>
        </w:tc>
        <w:tc>
          <w:tcPr>
            <w:tcW w:w="784" w:type="dxa"/>
          </w:tcPr>
          <w:p>
            <w:pPr>
              <w:pStyle w:val="0"/>
            </w:pPr>
            <w:r>
              <w:rPr>
                <w:sz w:val="20"/>
              </w:rPr>
              <w:t xml:space="preserve">197,5</w:t>
            </w:r>
          </w:p>
        </w:tc>
        <w:tc>
          <w:tcPr>
            <w:tcW w:w="1159" w:type="dxa"/>
          </w:tcPr>
          <w:p>
            <w:pPr>
              <w:pStyle w:val="0"/>
            </w:pPr>
            <w:r>
              <w:rPr>
                <w:sz w:val="20"/>
              </w:rPr>
              <w:t xml:space="preserve">66</w:t>
            </w:r>
          </w:p>
        </w:tc>
        <w:tc>
          <w:tcPr>
            <w:tcW w:w="784" w:type="dxa"/>
          </w:tcPr>
          <w:p>
            <w:pPr>
              <w:pStyle w:val="0"/>
            </w:pPr>
            <w:r>
              <w:rPr>
                <w:sz w:val="20"/>
              </w:rPr>
              <w:t xml:space="preserve">151</w:t>
            </w:r>
          </w:p>
        </w:tc>
        <w:tc>
          <w:tcPr>
            <w:tcW w:w="1159" w:type="dxa"/>
          </w:tcPr>
          <w:p>
            <w:pPr>
              <w:pStyle w:val="0"/>
            </w:pPr>
            <w:r>
              <w:rPr>
                <w:sz w:val="20"/>
              </w:rPr>
              <w:t xml:space="preserve">91</w:t>
            </w:r>
          </w:p>
        </w:tc>
        <w:tc>
          <w:tcPr>
            <w:tcW w:w="784" w:type="dxa"/>
          </w:tcPr>
          <w:p>
            <w:pPr>
              <w:pStyle w:val="0"/>
            </w:pPr>
            <w:r>
              <w:rPr>
                <w:sz w:val="20"/>
              </w:rPr>
              <w:t xml:space="preserve">205,2</w:t>
            </w:r>
          </w:p>
        </w:tc>
        <w:tc>
          <w:tcPr>
            <w:tcW w:w="1159" w:type="dxa"/>
          </w:tcPr>
          <w:p>
            <w:pPr>
              <w:pStyle w:val="0"/>
            </w:pPr>
            <w:r>
              <w:rPr>
                <w:sz w:val="20"/>
              </w:rPr>
              <w:t xml:space="preserve">102</w:t>
            </w:r>
          </w:p>
        </w:tc>
        <w:tc>
          <w:tcPr>
            <w:tcW w:w="784" w:type="dxa"/>
          </w:tcPr>
          <w:p>
            <w:pPr>
              <w:pStyle w:val="0"/>
            </w:pPr>
            <w:r>
              <w:rPr>
                <w:sz w:val="20"/>
              </w:rPr>
              <w:t xml:space="preserve">224,9</w:t>
            </w:r>
          </w:p>
        </w:tc>
        <w:tc>
          <w:tcPr>
            <w:tcW w:w="1159" w:type="dxa"/>
          </w:tcPr>
          <w:p>
            <w:pPr>
              <w:pStyle w:val="0"/>
            </w:pPr>
            <w:r>
              <w:rPr>
                <w:sz w:val="20"/>
              </w:rPr>
              <w:t xml:space="preserve">88</w:t>
            </w:r>
          </w:p>
        </w:tc>
        <w:tc>
          <w:tcPr>
            <w:tcW w:w="1247" w:type="dxa"/>
          </w:tcPr>
          <w:p>
            <w:pPr>
              <w:pStyle w:val="0"/>
            </w:pPr>
            <w:r>
              <w:rPr>
                <w:sz w:val="20"/>
              </w:rPr>
              <w:t xml:space="preserve">196,2</w:t>
            </w:r>
          </w:p>
        </w:tc>
        <w:tc>
          <w:tcPr>
            <w:tcW w:w="1247" w:type="dxa"/>
          </w:tcPr>
          <w:p>
            <w:pPr>
              <w:pStyle w:val="0"/>
            </w:pPr>
            <w:r>
              <w:rPr>
                <w:sz w:val="20"/>
              </w:rPr>
              <w:t xml:space="preserve">117</w:t>
            </w:r>
          </w:p>
        </w:tc>
        <w:tc>
          <w:tcPr>
            <w:tcW w:w="1247" w:type="dxa"/>
          </w:tcPr>
          <w:p>
            <w:pPr>
              <w:pStyle w:val="0"/>
            </w:pPr>
            <w:r>
              <w:rPr>
                <w:sz w:val="20"/>
              </w:rPr>
              <w:t xml:space="preserve">248,4</w:t>
            </w:r>
          </w:p>
        </w:tc>
        <w:tc>
          <w:tcPr>
            <w:tcW w:w="1247" w:type="dxa"/>
          </w:tcPr>
          <w:p>
            <w:pPr>
              <w:pStyle w:val="0"/>
            </w:pPr>
            <w:r>
              <w:rPr>
                <w:sz w:val="20"/>
              </w:rPr>
              <w:t xml:space="preserve">78</w:t>
            </w:r>
          </w:p>
        </w:tc>
        <w:tc>
          <w:tcPr>
            <w:tcW w:w="1247" w:type="dxa"/>
          </w:tcPr>
          <w:p>
            <w:pPr>
              <w:pStyle w:val="0"/>
            </w:pPr>
            <w:r>
              <w:rPr>
                <w:sz w:val="20"/>
              </w:rPr>
              <w:t xml:space="preserve">171,8</w:t>
            </w:r>
          </w:p>
        </w:tc>
      </w:tr>
      <w:tr>
        <w:tc>
          <w:tcPr>
            <w:tcW w:w="2194" w:type="dxa"/>
          </w:tcPr>
          <w:p>
            <w:pPr>
              <w:pStyle w:val="0"/>
            </w:pPr>
            <w:r>
              <w:rPr>
                <w:sz w:val="20"/>
              </w:rPr>
              <w:t xml:space="preserve">Мегион</w:t>
            </w:r>
          </w:p>
        </w:tc>
        <w:tc>
          <w:tcPr>
            <w:tcW w:w="1159" w:type="dxa"/>
          </w:tcPr>
          <w:p>
            <w:pPr>
              <w:pStyle w:val="0"/>
            </w:pPr>
            <w:r>
              <w:rPr>
                <w:sz w:val="20"/>
              </w:rPr>
              <w:t xml:space="preserve">106</w:t>
            </w:r>
          </w:p>
        </w:tc>
        <w:tc>
          <w:tcPr>
            <w:tcW w:w="784" w:type="dxa"/>
          </w:tcPr>
          <w:p>
            <w:pPr>
              <w:pStyle w:val="0"/>
            </w:pPr>
            <w:r>
              <w:rPr>
                <w:sz w:val="20"/>
              </w:rPr>
              <w:t xml:space="preserve">190,2</w:t>
            </w:r>
          </w:p>
        </w:tc>
        <w:tc>
          <w:tcPr>
            <w:tcW w:w="1159" w:type="dxa"/>
          </w:tcPr>
          <w:p>
            <w:pPr>
              <w:pStyle w:val="0"/>
            </w:pPr>
            <w:r>
              <w:rPr>
                <w:sz w:val="20"/>
              </w:rPr>
              <w:t xml:space="preserve">87</w:t>
            </w:r>
          </w:p>
        </w:tc>
        <w:tc>
          <w:tcPr>
            <w:tcW w:w="784" w:type="dxa"/>
          </w:tcPr>
          <w:p>
            <w:pPr>
              <w:pStyle w:val="0"/>
            </w:pPr>
            <w:r>
              <w:rPr>
                <w:sz w:val="20"/>
              </w:rPr>
              <w:t xml:space="preserve">155,2</w:t>
            </w:r>
          </w:p>
        </w:tc>
        <w:tc>
          <w:tcPr>
            <w:tcW w:w="1159" w:type="dxa"/>
          </w:tcPr>
          <w:p>
            <w:pPr>
              <w:pStyle w:val="0"/>
            </w:pPr>
            <w:r>
              <w:rPr>
                <w:sz w:val="20"/>
              </w:rPr>
              <w:t xml:space="preserve">131</w:t>
            </w:r>
          </w:p>
        </w:tc>
        <w:tc>
          <w:tcPr>
            <w:tcW w:w="784" w:type="dxa"/>
          </w:tcPr>
          <w:p>
            <w:pPr>
              <w:pStyle w:val="0"/>
            </w:pPr>
            <w:r>
              <w:rPr>
                <w:sz w:val="20"/>
              </w:rPr>
              <w:t xml:space="preserve">234</w:t>
            </w:r>
          </w:p>
        </w:tc>
        <w:tc>
          <w:tcPr>
            <w:tcW w:w="1159" w:type="dxa"/>
          </w:tcPr>
          <w:p>
            <w:pPr>
              <w:pStyle w:val="0"/>
            </w:pPr>
            <w:r>
              <w:rPr>
                <w:sz w:val="20"/>
              </w:rPr>
              <w:t xml:space="preserve">210</w:t>
            </w:r>
          </w:p>
        </w:tc>
        <w:tc>
          <w:tcPr>
            <w:tcW w:w="784" w:type="dxa"/>
          </w:tcPr>
          <w:p>
            <w:pPr>
              <w:pStyle w:val="0"/>
            </w:pPr>
            <w:r>
              <w:rPr>
                <w:sz w:val="20"/>
              </w:rPr>
              <w:t xml:space="preserve">374,4</w:t>
            </w:r>
          </w:p>
        </w:tc>
        <w:tc>
          <w:tcPr>
            <w:tcW w:w="1159" w:type="dxa"/>
          </w:tcPr>
          <w:p>
            <w:pPr>
              <w:pStyle w:val="0"/>
            </w:pPr>
            <w:r>
              <w:rPr>
                <w:sz w:val="20"/>
              </w:rPr>
              <w:t xml:space="preserve">153</w:t>
            </w:r>
          </w:p>
        </w:tc>
        <w:tc>
          <w:tcPr>
            <w:tcW w:w="784" w:type="dxa"/>
          </w:tcPr>
          <w:p>
            <w:pPr>
              <w:pStyle w:val="0"/>
            </w:pPr>
            <w:r>
              <w:rPr>
                <w:sz w:val="20"/>
              </w:rPr>
              <w:t xml:space="preserve">276,1</w:t>
            </w:r>
          </w:p>
        </w:tc>
        <w:tc>
          <w:tcPr>
            <w:tcW w:w="1159" w:type="dxa"/>
          </w:tcPr>
          <w:p>
            <w:pPr>
              <w:pStyle w:val="0"/>
            </w:pPr>
            <w:r>
              <w:rPr>
                <w:sz w:val="20"/>
              </w:rPr>
              <w:t xml:space="preserve">180</w:t>
            </w:r>
          </w:p>
        </w:tc>
        <w:tc>
          <w:tcPr>
            <w:tcW w:w="784" w:type="dxa"/>
          </w:tcPr>
          <w:p>
            <w:pPr>
              <w:pStyle w:val="0"/>
            </w:pPr>
            <w:r>
              <w:rPr>
                <w:sz w:val="20"/>
              </w:rPr>
              <w:t xml:space="preserve">330,7</w:t>
            </w:r>
          </w:p>
        </w:tc>
        <w:tc>
          <w:tcPr>
            <w:tcW w:w="1159" w:type="dxa"/>
          </w:tcPr>
          <w:p>
            <w:pPr>
              <w:pStyle w:val="0"/>
            </w:pPr>
            <w:r>
              <w:rPr>
                <w:sz w:val="20"/>
              </w:rPr>
              <w:t xml:space="preserve">151</w:t>
            </w:r>
          </w:p>
        </w:tc>
        <w:tc>
          <w:tcPr>
            <w:tcW w:w="784" w:type="dxa"/>
          </w:tcPr>
          <w:p>
            <w:pPr>
              <w:pStyle w:val="0"/>
            </w:pPr>
            <w:r>
              <w:rPr>
                <w:sz w:val="20"/>
              </w:rPr>
              <w:t xml:space="preserve">262,7</w:t>
            </w:r>
          </w:p>
        </w:tc>
        <w:tc>
          <w:tcPr>
            <w:tcW w:w="1159" w:type="dxa"/>
          </w:tcPr>
          <w:p>
            <w:pPr>
              <w:pStyle w:val="0"/>
            </w:pPr>
            <w:r>
              <w:rPr>
                <w:sz w:val="20"/>
              </w:rPr>
              <w:t xml:space="preserve">100</w:t>
            </w:r>
          </w:p>
        </w:tc>
        <w:tc>
          <w:tcPr>
            <w:tcW w:w="1247" w:type="dxa"/>
          </w:tcPr>
          <w:p>
            <w:pPr>
              <w:pStyle w:val="0"/>
            </w:pPr>
            <w:r>
              <w:rPr>
                <w:sz w:val="20"/>
              </w:rPr>
              <w:t xml:space="preserve">167</w:t>
            </w:r>
          </w:p>
        </w:tc>
        <w:tc>
          <w:tcPr>
            <w:tcW w:w="1247" w:type="dxa"/>
          </w:tcPr>
          <w:p>
            <w:pPr>
              <w:pStyle w:val="0"/>
            </w:pPr>
            <w:r>
              <w:rPr>
                <w:sz w:val="20"/>
              </w:rPr>
              <w:t xml:space="preserve">171</w:t>
            </w:r>
          </w:p>
        </w:tc>
        <w:tc>
          <w:tcPr>
            <w:tcW w:w="1247" w:type="dxa"/>
          </w:tcPr>
          <w:p>
            <w:pPr>
              <w:pStyle w:val="0"/>
            </w:pPr>
            <w:r>
              <w:rPr>
                <w:sz w:val="20"/>
              </w:rPr>
              <w:t xml:space="preserve">321,8</w:t>
            </w:r>
          </w:p>
        </w:tc>
        <w:tc>
          <w:tcPr>
            <w:tcW w:w="1247" w:type="dxa"/>
          </w:tcPr>
          <w:p>
            <w:pPr>
              <w:pStyle w:val="0"/>
            </w:pPr>
            <w:r>
              <w:rPr>
                <w:sz w:val="20"/>
              </w:rPr>
              <w:t xml:space="preserve">177</w:t>
            </w:r>
          </w:p>
        </w:tc>
        <w:tc>
          <w:tcPr>
            <w:tcW w:w="1247" w:type="dxa"/>
          </w:tcPr>
          <w:p>
            <w:pPr>
              <w:pStyle w:val="0"/>
            </w:pPr>
            <w:r>
              <w:rPr>
                <w:sz w:val="20"/>
              </w:rPr>
              <w:t xml:space="preserve">334,8</w:t>
            </w:r>
          </w:p>
        </w:tc>
      </w:tr>
      <w:tr>
        <w:tc>
          <w:tcPr>
            <w:tcW w:w="2194" w:type="dxa"/>
          </w:tcPr>
          <w:p>
            <w:pPr>
              <w:pStyle w:val="0"/>
            </w:pPr>
            <w:r>
              <w:rPr>
                <w:sz w:val="20"/>
              </w:rPr>
              <w:t xml:space="preserve">Нефтеюганск</w:t>
            </w:r>
          </w:p>
        </w:tc>
        <w:tc>
          <w:tcPr>
            <w:tcW w:w="1159" w:type="dxa"/>
          </w:tcPr>
          <w:p>
            <w:pPr>
              <w:pStyle w:val="0"/>
            </w:pPr>
            <w:r>
              <w:rPr>
                <w:sz w:val="20"/>
              </w:rPr>
              <w:t xml:space="preserve">273</w:t>
            </w:r>
          </w:p>
        </w:tc>
        <w:tc>
          <w:tcPr>
            <w:tcW w:w="784" w:type="dxa"/>
          </w:tcPr>
          <w:p>
            <w:pPr>
              <w:pStyle w:val="0"/>
            </w:pPr>
            <w:r>
              <w:rPr>
                <w:sz w:val="20"/>
              </w:rPr>
              <w:t xml:space="preserve">216,8</w:t>
            </w:r>
          </w:p>
        </w:tc>
        <w:tc>
          <w:tcPr>
            <w:tcW w:w="1159" w:type="dxa"/>
          </w:tcPr>
          <w:p>
            <w:pPr>
              <w:pStyle w:val="0"/>
            </w:pPr>
            <w:r>
              <w:rPr>
                <w:sz w:val="20"/>
              </w:rPr>
              <w:t xml:space="preserve">253</w:t>
            </w:r>
          </w:p>
        </w:tc>
        <w:tc>
          <w:tcPr>
            <w:tcW w:w="784" w:type="dxa"/>
          </w:tcPr>
          <w:p>
            <w:pPr>
              <w:pStyle w:val="0"/>
            </w:pPr>
            <w:r>
              <w:rPr>
                <w:sz w:val="20"/>
              </w:rPr>
              <w:t xml:space="preserve">201</w:t>
            </w:r>
          </w:p>
        </w:tc>
        <w:tc>
          <w:tcPr>
            <w:tcW w:w="1159" w:type="dxa"/>
          </w:tcPr>
          <w:p>
            <w:pPr>
              <w:pStyle w:val="0"/>
            </w:pPr>
            <w:r>
              <w:rPr>
                <w:sz w:val="20"/>
              </w:rPr>
              <w:t xml:space="preserve">286</w:t>
            </w:r>
          </w:p>
        </w:tc>
        <w:tc>
          <w:tcPr>
            <w:tcW w:w="784" w:type="dxa"/>
          </w:tcPr>
          <w:p>
            <w:pPr>
              <w:pStyle w:val="0"/>
            </w:pPr>
            <w:r>
              <w:rPr>
                <w:sz w:val="20"/>
              </w:rPr>
              <w:t xml:space="preserve">228,1</w:t>
            </w:r>
          </w:p>
        </w:tc>
        <w:tc>
          <w:tcPr>
            <w:tcW w:w="1159" w:type="dxa"/>
          </w:tcPr>
          <w:p>
            <w:pPr>
              <w:pStyle w:val="0"/>
            </w:pPr>
            <w:r>
              <w:rPr>
                <w:sz w:val="20"/>
              </w:rPr>
              <w:t xml:space="preserve">342</w:t>
            </w:r>
          </w:p>
        </w:tc>
        <w:tc>
          <w:tcPr>
            <w:tcW w:w="784" w:type="dxa"/>
          </w:tcPr>
          <w:p>
            <w:pPr>
              <w:pStyle w:val="0"/>
            </w:pPr>
            <w:r>
              <w:rPr>
                <w:sz w:val="20"/>
              </w:rPr>
              <w:t xml:space="preserve">271,1</w:t>
            </w:r>
          </w:p>
        </w:tc>
        <w:tc>
          <w:tcPr>
            <w:tcW w:w="1159" w:type="dxa"/>
          </w:tcPr>
          <w:p>
            <w:pPr>
              <w:pStyle w:val="0"/>
            </w:pPr>
            <w:r>
              <w:rPr>
                <w:sz w:val="20"/>
              </w:rPr>
              <w:t xml:space="preserve">328</w:t>
            </w:r>
          </w:p>
        </w:tc>
        <w:tc>
          <w:tcPr>
            <w:tcW w:w="784" w:type="dxa"/>
          </w:tcPr>
          <w:p>
            <w:pPr>
              <w:pStyle w:val="0"/>
            </w:pPr>
            <w:r>
              <w:rPr>
                <w:sz w:val="20"/>
              </w:rPr>
              <w:t xml:space="preserve">259,2</w:t>
            </w:r>
          </w:p>
        </w:tc>
        <w:tc>
          <w:tcPr>
            <w:tcW w:w="1159" w:type="dxa"/>
          </w:tcPr>
          <w:p>
            <w:pPr>
              <w:pStyle w:val="0"/>
            </w:pPr>
            <w:r>
              <w:rPr>
                <w:sz w:val="20"/>
              </w:rPr>
              <w:t xml:space="preserve">310</w:t>
            </w:r>
          </w:p>
        </w:tc>
        <w:tc>
          <w:tcPr>
            <w:tcW w:w="784" w:type="dxa"/>
          </w:tcPr>
          <w:p>
            <w:pPr>
              <w:pStyle w:val="0"/>
            </w:pPr>
            <w:r>
              <w:rPr>
                <w:sz w:val="20"/>
              </w:rPr>
              <w:t xml:space="preserve">243,4</w:t>
            </w:r>
          </w:p>
        </w:tc>
        <w:tc>
          <w:tcPr>
            <w:tcW w:w="1159" w:type="dxa"/>
          </w:tcPr>
          <w:p>
            <w:pPr>
              <w:pStyle w:val="0"/>
            </w:pPr>
            <w:r>
              <w:rPr>
                <w:sz w:val="20"/>
              </w:rPr>
              <w:t xml:space="preserve">286</w:t>
            </w:r>
          </w:p>
        </w:tc>
        <w:tc>
          <w:tcPr>
            <w:tcW w:w="784" w:type="dxa"/>
          </w:tcPr>
          <w:p>
            <w:pPr>
              <w:pStyle w:val="0"/>
            </w:pPr>
            <w:r>
              <w:rPr>
                <w:sz w:val="20"/>
              </w:rPr>
              <w:t xml:space="preserve">225,6</w:t>
            </w:r>
          </w:p>
        </w:tc>
        <w:tc>
          <w:tcPr>
            <w:tcW w:w="1159" w:type="dxa"/>
          </w:tcPr>
          <w:p>
            <w:pPr>
              <w:pStyle w:val="0"/>
            </w:pPr>
            <w:r>
              <w:rPr>
                <w:sz w:val="20"/>
              </w:rPr>
              <w:t xml:space="preserve">232</w:t>
            </w:r>
          </w:p>
        </w:tc>
        <w:tc>
          <w:tcPr>
            <w:tcW w:w="1247" w:type="dxa"/>
          </w:tcPr>
          <w:p>
            <w:pPr>
              <w:pStyle w:val="0"/>
            </w:pPr>
            <w:r>
              <w:rPr>
                <w:sz w:val="20"/>
              </w:rPr>
              <w:t xml:space="preserve">168</w:t>
            </w:r>
          </w:p>
        </w:tc>
        <w:tc>
          <w:tcPr>
            <w:tcW w:w="1247" w:type="dxa"/>
          </w:tcPr>
          <w:p>
            <w:pPr>
              <w:pStyle w:val="0"/>
            </w:pPr>
            <w:r>
              <w:rPr>
                <w:sz w:val="20"/>
              </w:rPr>
              <w:t xml:space="preserve">297</w:t>
            </w:r>
          </w:p>
        </w:tc>
        <w:tc>
          <w:tcPr>
            <w:tcW w:w="1247" w:type="dxa"/>
          </w:tcPr>
          <w:p>
            <w:pPr>
              <w:pStyle w:val="0"/>
            </w:pPr>
            <w:r>
              <w:rPr>
                <w:sz w:val="20"/>
              </w:rPr>
              <w:t xml:space="preserve">230,8</w:t>
            </w:r>
          </w:p>
        </w:tc>
        <w:tc>
          <w:tcPr>
            <w:tcW w:w="1247" w:type="dxa"/>
          </w:tcPr>
          <w:p>
            <w:pPr>
              <w:pStyle w:val="0"/>
            </w:pPr>
            <w:r>
              <w:rPr>
                <w:sz w:val="20"/>
              </w:rPr>
              <w:t xml:space="preserve">276</w:t>
            </w:r>
          </w:p>
        </w:tc>
        <w:tc>
          <w:tcPr>
            <w:tcW w:w="1247" w:type="dxa"/>
          </w:tcPr>
          <w:p>
            <w:pPr>
              <w:pStyle w:val="0"/>
            </w:pPr>
            <w:r>
              <w:rPr>
                <w:sz w:val="20"/>
              </w:rPr>
              <w:t xml:space="preserve">214,9</w:t>
            </w:r>
          </w:p>
        </w:tc>
      </w:tr>
      <w:tr>
        <w:tc>
          <w:tcPr>
            <w:tcW w:w="2194" w:type="dxa"/>
          </w:tcPr>
          <w:p>
            <w:pPr>
              <w:pStyle w:val="0"/>
            </w:pPr>
            <w:r>
              <w:rPr>
                <w:sz w:val="20"/>
              </w:rPr>
              <w:t xml:space="preserve">Нижневартовск</w:t>
            </w:r>
          </w:p>
        </w:tc>
        <w:tc>
          <w:tcPr>
            <w:tcW w:w="1159" w:type="dxa"/>
          </w:tcPr>
          <w:p>
            <w:pPr>
              <w:pStyle w:val="0"/>
            </w:pPr>
            <w:r>
              <w:rPr>
                <w:sz w:val="20"/>
              </w:rPr>
              <w:t xml:space="preserve">749</w:t>
            </w:r>
          </w:p>
        </w:tc>
        <w:tc>
          <w:tcPr>
            <w:tcW w:w="784" w:type="dxa"/>
          </w:tcPr>
          <w:p>
            <w:pPr>
              <w:pStyle w:val="0"/>
            </w:pPr>
            <w:r>
              <w:rPr>
                <w:sz w:val="20"/>
              </w:rPr>
              <w:t xml:space="preserve">283,1</w:t>
            </w:r>
          </w:p>
        </w:tc>
        <w:tc>
          <w:tcPr>
            <w:tcW w:w="1159" w:type="dxa"/>
          </w:tcPr>
          <w:p>
            <w:pPr>
              <w:pStyle w:val="0"/>
            </w:pPr>
            <w:r>
              <w:rPr>
                <w:sz w:val="20"/>
              </w:rPr>
              <w:t xml:space="preserve">750</w:t>
            </w:r>
          </w:p>
        </w:tc>
        <w:tc>
          <w:tcPr>
            <w:tcW w:w="784" w:type="dxa"/>
          </w:tcPr>
          <w:p>
            <w:pPr>
              <w:pStyle w:val="0"/>
            </w:pPr>
            <w:r>
              <w:rPr>
                <w:sz w:val="20"/>
              </w:rPr>
              <w:t xml:space="preserve">280,4</w:t>
            </w:r>
          </w:p>
        </w:tc>
        <w:tc>
          <w:tcPr>
            <w:tcW w:w="1159" w:type="dxa"/>
          </w:tcPr>
          <w:p>
            <w:pPr>
              <w:pStyle w:val="0"/>
            </w:pPr>
            <w:r>
              <w:rPr>
                <w:sz w:val="20"/>
              </w:rPr>
              <w:t xml:space="preserve">793</w:t>
            </w:r>
          </w:p>
        </w:tc>
        <w:tc>
          <w:tcPr>
            <w:tcW w:w="784" w:type="dxa"/>
          </w:tcPr>
          <w:p>
            <w:pPr>
              <w:pStyle w:val="0"/>
            </w:pPr>
            <w:r>
              <w:rPr>
                <w:sz w:val="20"/>
              </w:rPr>
              <w:t xml:space="preserve">294,1</w:t>
            </w:r>
          </w:p>
        </w:tc>
        <w:tc>
          <w:tcPr>
            <w:tcW w:w="1159" w:type="dxa"/>
          </w:tcPr>
          <w:p>
            <w:pPr>
              <w:pStyle w:val="0"/>
            </w:pPr>
            <w:r>
              <w:rPr>
                <w:sz w:val="20"/>
              </w:rPr>
              <w:t xml:space="preserve">837</w:t>
            </w:r>
          </w:p>
        </w:tc>
        <w:tc>
          <w:tcPr>
            <w:tcW w:w="784" w:type="dxa"/>
          </w:tcPr>
          <w:p>
            <w:pPr>
              <w:pStyle w:val="0"/>
            </w:pPr>
            <w:r>
              <w:rPr>
                <w:sz w:val="20"/>
              </w:rPr>
              <w:t xml:space="preserve">307</w:t>
            </w:r>
          </w:p>
        </w:tc>
        <w:tc>
          <w:tcPr>
            <w:tcW w:w="1159" w:type="dxa"/>
          </w:tcPr>
          <w:p>
            <w:pPr>
              <w:pStyle w:val="0"/>
            </w:pPr>
            <w:r>
              <w:rPr>
                <w:sz w:val="20"/>
              </w:rPr>
              <w:t xml:space="preserve">943</w:t>
            </w:r>
          </w:p>
        </w:tc>
        <w:tc>
          <w:tcPr>
            <w:tcW w:w="784" w:type="dxa"/>
          </w:tcPr>
          <w:p>
            <w:pPr>
              <w:pStyle w:val="0"/>
            </w:pPr>
            <w:r>
              <w:rPr>
                <w:sz w:val="20"/>
              </w:rPr>
              <w:t xml:space="preserve">350,3</w:t>
            </w:r>
          </w:p>
        </w:tc>
        <w:tc>
          <w:tcPr>
            <w:tcW w:w="1159" w:type="dxa"/>
          </w:tcPr>
          <w:p>
            <w:pPr>
              <w:pStyle w:val="0"/>
            </w:pPr>
            <w:r>
              <w:rPr>
                <w:sz w:val="20"/>
              </w:rPr>
              <w:t xml:space="preserve">859</w:t>
            </w:r>
          </w:p>
        </w:tc>
        <w:tc>
          <w:tcPr>
            <w:tcW w:w="784" w:type="dxa"/>
          </w:tcPr>
          <w:p>
            <w:pPr>
              <w:pStyle w:val="0"/>
            </w:pPr>
            <w:r>
              <w:rPr>
                <w:sz w:val="20"/>
              </w:rPr>
              <w:t xml:space="preserve">311,3</w:t>
            </w:r>
          </w:p>
        </w:tc>
        <w:tc>
          <w:tcPr>
            <w:tcW w:w="1159" w:type="dxa"/>
          </w:tcPr>
          <w:p>
            <w:pPr>
              <w:pStyle w:val="0"/>
            </w:pPr>
            <w:r>
              <w:rPr>
                <w:sz w:val="20"/>
              </w:rPr>
              <w:t xml:space="preserve">1019</w:t>
            </w:r>
          </w:p>
        </w:tc>
        <w:tc>
          <w:tcPr>
            <w:tcW w:w="784" w:type="dxa"/>
          </w:tcPr>
          <w:p>
            <w:pPr>
              <w:pStyle w:val="0"/>
            </w:pPr>
            <w:r>
              <w:rPr>
                <w:sz w:val="20"/>
              </w:rPr>
              <w:t xml:space="preserve">368,5</w:t>
            </w:r>
          </w:p>
        </w:tc>
        <w:tc>
          <w:tcPr>
            <w:tcW w:w="1159" w:type="dxa"/>
          </w:tcPr>
          <w:p>
            <w:pPr>
              <w:pStyle w:val="0"/>
            </w:pPr>
            <w:r>
              <w:rPr>
                <w:sz w:val="20"/>
              </w:rPr>
              <w:t xml:space="preserve">846</w:t>
            </w:r>
          </w:p>
        </w:tc>
        <w:tc>
          <w:tcPr>
            <w:tcW w:w="1247" w:type="dxa"/>
          </w:tcPr>
          <w:p>
            <w:pPr>
              <w:pStyle w:val="0"/>
            </w:pPr>
            <w:r>
              <w:rPr>
                <w:sz w:val="20"/>
              </w:rPr>
              <w:t xml:space="preserve">277,3</w:t>
            </w:r>
          </w:p>
        </w:tc>
        <w:tc>
          <w:tcPr>
            <w:tcW w:w="1247" w:type="dxa"/>
          </w:tcPr>
          <w:p>
            <w:pPr>
              <w:pStyle w:val="0"/>
            </w:pPr>
            <w:r>
              <w:rPr>
                <w:sz w:val="20"/>
              </w:rPr>
              <w:t xml:space="preserve">978</w:t>
            </w:r>
          </w:p>
        </w:tc>
        <w:tc>
          <w:tcPr>
            <w:tcW w:w="1247" w:type="dxa"/>
          </w:tcPr>
          <w:p>
            <w:pPr>
              <w:pStyle w:val="0"/>
            </w:pPr>
            <w:r>
              <w:rPr>
                <w:sz w:val="20"/>
              </w:rPr>
              <w:t xml:space="preserve">349,2</w:t>
            </w:r>
          </w:p>
        </w:tc>
        <w:tc>
          <w:tcPr>
            <w:tcW w:w="1247" w:type="dxa"/>
          </w:tcPr>
          <w:p>
            <w:pPr>
              <w:pStyle w:val="0"/>
            </w:pPr>
            <w:r>
              <w:rPr>
                <w:sz w:val="20"/>
              </w:rPr>
              <w:t xml:space="preserve">983</w:t>
            </w:r>
          </w:p>
        </w:tc>
        <w:tc>
          <w:tcPr>
            <w:tcW w:w="1247" w:type="dxa"/>
          </w:tcPr>
          <w:p>
            <w:pPr>
              <w:pStyle w:val="0"/>
            </w:pPr>
            <w:r>
              <w:rPr>
                <w:sz w:val="20"/>
              </w:rPr>
              <w:t xml:space="preserve">351,3</w:t>
            </w:r>
          </w:p>
        </w:tc>
      </w:tr>
      <w:tr>
        <w:tc>
          <w:tcPr>
            <w:tcW w:w="2194" w:type="dxa"/>
          </w:tcPr>
          <w:p>
            <w:pPr>
              <w:pStyle w:val="0"/>
            </w:pPr>
            <w:r>
              <w:rPr>
                <w:sz w:val="20"/>
              </w:rPr>
              <w:t xml:space="preserve">Нягань</w:t>
            </w:r>
          </w:p>
        </w:tc>
        <w:tc>
          <w:tcPr>
            <w:tcW w:w="1159" w:type="dxa"/>
          </w:tcPr>
          <w:p>
            <w:pPr>
              <w:pStyle w:val="0"/>
            </w:pPr>
            <w:r>
              <w:rPr>
                <w:sz w:val="20"/>
              </w:rPr>
              <w:t xml:space="preserve">202</w:t>
            </w:r>
          </w:p>
        </w:tc>
        <w:tc>
          <w:tcPr>
            <w:tcW w:w="784" w:type="dxa"/>
          </w:tcPr>
          <w:p>
            <w:pPr>
              <w:pStyle w:val="0"/>
            </w:pPr>
            <w:r>
              <w:rPr>
                <w:sz w:val="20"/>
              </w:rPr>
              <w:t xml:space="preserve">362</w:t>
            </w:r>
          </w:p>
        </w:tc>
        <w:tc>
          <w:tcPr>
            <w:tcW w:w="1159" w:type="dxa"/>
          </w:tcPr>
          <w:p>
            <w:pPr>
              <w:pStyle w:val="0"/>
            </w:pPr>
            <w:r>
              <w:rPr>
                <w:sz w:val="20"/>
              </w:rPr>
              <w:t xml:space="preserve">189</w:t>
            </w:r>
          </w:p>
        </w:tc>
        <w:tc>
          <w:tcPr>
            <w:tcW w:w="784" w:type="dxa"/>
          </w:tcPr>
          <w:p>
            <w:pPr>
              <w:pStyle w:val="0"/>
            </w:pPr>
            <w:r>
              <w:rPr>
                <w:sz w:val="20"/>
              </w:rPr>
              <w:t xml:space="preserve">335,8</w:t>
            </w:r>
          </w:p>
        </w:tc>
        <w:tc>
          <w:tcPr>
            <w:tcW w:w="1159" w:type="dxa"/>
          </w:tcPr>
          <w:p>
            <w:pPr>
              <w:pStyle w:val="0"/>
            </w:pPr>
            <w:r>
              <w:rPr>
                <w:sz w:val="20"/>
              </w:rPr>
              <w:t xml:space="preserve">193</w:t>
            </w:r>
          </w:p>
        </w:tc>
        <w:tc>
          <w:tcPr>
            <w:tcW w:w="784" w:type="dxa"/>
          </w:tcPr>
          <w:p>
            <w:pPr>
              <w:pStyle w:val="0"/>
            </w:pPr>
            <w:r>
              <w:rPr>
                <w:sz w:val="20"/>
              </w:rPr>
              <w:t xml:space="preserve">339,4</w:t>
            </w:r>
          </w:p>
        </w:tc>
        <w:tc>
          <w:tcPr>
            <w:tcW w:w="1159" w:type="dxa"/>
          </w:tcPr>
          <w:p>
            <w:pPr>
              <w:pStyle w:val="0"/>
            </w:pPr>
            <w:r>
              <w:rPr>
                <w:sz w:val="20"/>
              </w:rPr>
              <w:t xml:space="preserve">219</w:t>
            </w:r>
          </w:p>
        </w:tc>
        <w:tc>
          <w:tcPr>
            <w:tcW w:w="784" w:type="dxa"/>
          </w:tcPr>
          <w:p>
            <w:pPr>
              <w:pStyle w:val="0"/>
            </w:pPr>
            <w:r>
              <w:rPr>
                <w:sz w:val="20"/>
              </w:rPr>
              <w:t xml:space="preserve">381,7</w:t>
            </w:r>
          </w:p>
        </w:tc>
        <w:tc>
          <w:tcPr>
            <w:tcW w:w="1159" w:type="dxa"/>
          </w:tcPr>
          <w:p>
            <w:pPr>
              <w:pStyle w:val="0"/>
            </w:pPr>
            <w:r>
              <w:rPr>
                <w:sz w:val="20"/>
              </w:rPr>
              <w:t xml:space="preserve">225</w:t>
            </w:r>
          </w:p>
        </w:tc>
        <w:tc>
          <w:tcPr>
            <w:tcW w:w="784" w:type="dxa"/>
          </w:tcPr>
          <w:p>
            <w:pPr>
              <w:pStyle w:val="0"/>
            </w:pPr>
            <w:r>
              <w:rPr>
                <w:sz w:val="20"/>
              </w:rPr>
              <w:t xml:space="preserve">393,4</w:t>
            </w:r>
          </w:p>
        </w:tc>
        <w:tc>
          <w:tcPr>
            <w:tcW w:w="1159" w:type="dxa"/>
          </w:tcPr>
          <w:p>
            <w:pPr>
              <w:pStyle w:val="0"/>
            </w:pPr>
            <w:r>
              <w:rPr>
                <w:sz w:val="20"/>
              </w:rPr>
              <w:t xml:space="preserve">261</w:t>
            </w:r>
          </w:p>
        </w:tc>
        <w:tc>
          <w:tcPr>
            <w:tcW w:w="784" w:type="dxa"/>
          </w:tcPr>
          <w:p>
            <w:pPr>
              <w:pStyle w:val="0"/>
            </w:pPr>
            <w:r>
              <w:rPr>
                <w:sz w:val="20"/>
              </w:rPr>
              <w:t xml:space="preserve">447,9</w:t>
            </w:r>
          </w:p>
        </w:tc>
        <w:tc>
          <w:tcPr>
            <w:tcW w:w="1159" w:type="dxa"/>
          </w:tcPr>
          <w:p>
            <w:pPr>
              <w:pStyle w:val="0"/>
            </w:pPr>
            <w:r>
              <w:rPr>
                <w:sz w:val="20"/>
              </w:rPr>
              <w:t xml:space="preserve">258</w:t>
            </w:r>
          </w:p>
        </w:tc>
        <w:tc>
          <w:tcPr>
            <w:tcW w:w="784" w:type="dxa"/>
          </w:tcPr>
          <w:p>
            <w:pPr>
              <w:pStyle w:val="0"/>
            </w:pPr>
            <w:r>
              <w:rPr>
                <w:sz w:val="20"/>
              </w:rPr>
              <w:t xml:space="preserve">407,5</w:t>
            </w:r>
          </w:p>
        </w:tc>
        <w:tc>
          <w:tcPr>
            <w:tcW w:w="1159" w:type="dxa"/>
          </w:tcPr>
          <w:p>
            <w:pPr>
              <w:pStyle w:val="0"/>
            </w:pPr>
            <w:r>
              <w:rPr>
                <w:sz w:val="20"/>
              </w:rPr>
              <w:t xml:space="preserve">190</w:t>
            </w:r>
          </w:p>
        </w:tc>
        <w:tc>
          <w:tcPr>
            <w:tcW w:w="1247" w:type="dxa"/>
          </w:tcPr>
          <w:p>
            <w:pPr>
              <w:pStyle w:val="0"/>
            </w:pPr>
            <w:r>
              <w:rPr>
                <w:sz w:val="20"/>
              </w:rPr>
              <w:t xml:space="preserve">257,4</w:t>
            </w:r>
          </w:p>
        </w:tc>
        <w:tc>
          <w:tcPr>
            <w:tcW w:w="1247" w:type="dxa"/>
          </w:tcPr>
          <w:p>
            <w:pPr>
              <w:pStyle w:val="0"/>
            </w:pPr>
            <w:r>
              <w:rPr>
                <w:sz w:val="20"/>
              </w:rPr>
              <w:t xml:space="preserve">192</w:t>
            </w:r>
          </w:p>
        </w:tc>
        <w:tc>
          <w:tcPr>
            <w:tcW w:w="1247" w:type="dxa"/>
          </w:tcPr>
          <w:p>
            <w:pPr>
              <w:pStyle w:val="0"/>
            </w:pPr>
            <w:r>
              <w:rPr>
                <w:sz w:val="20"/>
              </w:rPr>
              <w:t xml:space="preserve">304,7</w:t>
            </w:r>
          </w:p>
        </w:tc>
        <w:tc>
          <w:tcPr>
            <w:tcW w:w="1247" w:type="dxa"/>
          </w:tcPr>
          <w:p>
            <w:pPr>
              <w:pStyle w:val="0"/>
            </w:pPr>
            <w:r>
              <w:rPr>
                <w:sz w:val="20"/>
              </w:rPr>
              <w:t xml:space="preserve">191</w:t>
            </w:r>
          </w:p>
        </w:tc>
        <w:tc>
          <w:tcPr>
            <w:tcW w:w="1247" w:type="dxa"/>
          </w:tcPr>
          <w:p>
            <w:pPr>
              <w:pStyle w:val="0"/>
            </w:pPr>
            <w:r>
              <w:rPr>
                <w:sz w:val="20"/>
              </w:rPr>
              <w:t xml:space="preserve">325,7</w:t>
            </w:r>
          </w:p>
        </w:tc>
      </w:tr>
      <w:tr>
        <w:tc>
          <w:tcPr>
            <w:tcW w:w="2194" w:type="dxa"/>
          </w:tcPr>
          <w:p>
            <w:pPr>
              <w:pStyle w:val="0"/>
            </w:pPr>
            <w:r>
              <w:rPr>
                <w:sz w:val="20"/>
              </w:rPr>
              <w:t xml:space="preserve">Покачи</w:t>
            </w:r>
          </w:p>
        </w:tc>
        <w:tc>
          <w:tcPr>
            <w:tcW w:w="1159" w:type="dxa"/>
          </w:tcPr>
          <w:p>
            <w:pPr>
              <w:pStyle w:val="0"/>
            </w:pPr>
            <w:r>
              <w:rPr>
                <w:sz w:val="20"/>
              </w:rPr>
              <w:t xml:space="preserve">29</w:t>
            </w:r>
          </w:p>
        </w:tc>
        <w:tc>
          <w:tcPr>
            <w:tcW w:w="784" w:type="dxa"/>
          </w:tcPr>
          <w:p>
            <w:pPr>
              <w:pStyle w:val="0"/>
            </w:pPr>
            <w:r>
              <w:rPr>
                <w:sz w:val="20"/>
              </w:rPr>
              <w:t xml:space="preserve">166,9</w:t>
            </w:r>
          </w:p>
        </w:tc>
        <w:tc>
          <w:tcPr>
            <w:tcW w:w="1159" w:type="dxa"/>
          </w:tcPr>
          <w:p>
            <w:pPr>
              <w:pStyle w:val="0"/>
            </w:pPr>
            <w:r>
              <w:rPr>
                <w:sz w:val="20"/>
              </w:rPr>
              <w:t xml:space="preserve">27</w:t>
            </w:r>
          </w:p>
        </w:tc>
        <w:tc>
          <w:tcPr>
            <w:tcW w:w="784" w:type="dxa"/>
          </w:tcPr>
          <w:p>
            <w:pPr>
              <w:pStyle w:val="0"/>
            </w:pPr>
            <w:r>
              <w:rPr>
                <w:sz w:val="20"/>
              </w:rPr>
              <w:t xml:space="preserve">153,3</w:t>
            </w:r>
          </w:p>
        </w:tc>
        <w:tc>
          <w:tcPr>
            <w:tcW w:w="1159" w:type="dxa"/>
          </w:tcPr>
          <w:p>
            <w:pPr>
              <w:pStyle w:val="0"/>
            </w:pPr>
            <w:r>
              <w:rPr>
                <w:sz w:val="20"/>
              </w:rPr>
              <w:t xml:space="preserve">33</w:t>
            </w:r>
          </w:p>
        </w:tc>
        <w:tc>
          <w:tcPr>
            <w:tcW w:w="784" w:type="dxa"/>
          </w:tcPr>
          <w:p>
            <w:pPr>
              <w:pStyle w:val="0"/>
            </w:pPr>
            <w:r>
              <w:rPr>
                <w:sz w:val="20"/>
              </w:rPr>
              <w:t xml:space="preserve">185,2</w:t>
            </w:r>
          </w:p>
        </w:tc>
        <w:tc>
          <w:tcPr>
            <w:tcW w:w="1159" w:type="dxa"/>
          </w:tcPr>
          <w:p>
            <w:pPr>
              <w:pStyle w:val="0"/>
            </w:pPr>
            <w:r>
              <w:rPr>
                <w:sz w:val="20"/>
              </w:rPr>
              <w:t xml:space="preserve">29</w:t>
            </w:r>
          </w:p>
        </w:tc>
        <w:tc>
          <w:tcPr>
            <w:tcW w:w="784" w:type="dxa"/>
          </w:tcPr>
          <w:p>
            <w:pPr>
              <w:pStyle w:val="0"/>
            </w:pPr>
            <w:r>
              <w:rPr>
                <w:sz w:val="20"/>
              </w:rPr>
              <w:t xml:space="preserve">161</w:t>
            </w:r>
          </w:p>
        </w:tc>
        <w:tc>
          <w:tcPr>
            <w:tcW w:w="1159" w:type="dxa"/>
          </w:tcPr>
          <w:p>
            <w:pPr>
              <w:pStyle w:val="0"/>
            </w:pPr>
            <w:r>
              <w:rPr>
                <w:sz w:val="20"/>
              </w:rPr>
              <w:t xml:space="preserve">39</w:t>
            </w:r>
          </w:p>
        </w:tc>
        <w:tc>
          <w:tcPr>
            <w:tcW w:w="784" w:type="dxa"/>
          </w:tcPr>
          <w:p>
            <w:pPr>
              <w:pStyle w:val="0"/>
            </w:pPr>
            <w:r>
              <w:rPr>
                <w:sz w:val="20"/>
              </w:rPr>
              <w:t xml:space="preserve">216,8</w:t>
            </w:r>
          </w:p>
        </w:tc>
        <w:tc>
          <w:tcPr>
            <w:tcW w:w="1159" w:type="dxa"/>
          </w:tcPr>
          <w:p>
            <w:pPr>
              <w:pStyle w:val="0"/>
            </w:pPr>
            <w:r>
              <w:rPr>
                <w:sz w:val="20"/>
              </w:rPr>
              <w:t xml:space="preserve">28</w:t>
            </w:r>
          </w:p>
        </w:tc>
        <w:tc>
          <w:tcPr>
            <w:tcW w:w="784" w:type="dxa"/>
          </w:tcPr>
          <w:p>
            <w:pPr>
              <w:pStyle w:val="0"/>
            </w:pPr>
            <w:r>
              <w:rPr>
                <w:sz w:val="20"/>
              </w:rPr>
              <w:t xml:space="preserve">156,2</w:t>
            </w:r>
          </w:p>
        </w:tc>
        <w:tc>
          <w:tcPr>
            <w:tcW w:w="1159" w:type="dxa"/>
          </w:tcPr>
          <w:p>
            <w:pPr>
              <w:pStyle w:val="0"/>
            </w:pPr>
            <w:r>
              <w:rPr>
                <w:sz w:val="20"/>
              </w:rPr>
              <w:t xml:space="preserve">46</w:t>
            </w:r>
          </w:p>
        </w:tc>
        <w:tc>
          <w:tcPr>
            <w:tcW w:w="784" w:type="dxa"/>
          </w:tcPr>
          <w:p>
            <w:pPr>
              <w:pStyle w:val="0"/>
            </w:pPr>
            <w:r>
              <w:rPr>
                <w:sz w:val="20"/>
              </w:rPr>
              <w:t xml:space="preserve">260</w:t>
            </w:r>
          </w:p>
        </w:tc>
        <w:tc>
          <w:tcPr>
            <w:tcW w:w="1159" w:type="dxa"/>
          </w:tcPr>
          <w:p>
            <w:pPr>
              <w:pStyle w:val="0"/>
            </w:pPr>
            <w:r>
              <w:rPr>
                <w:sz w:val="20"/>
              </w:rPr>
              <w:t xml:space="preserve">35</w:t>
            </w:r>
          </w:p>
        </w:tc>
        <w:tc>
          <w:tcPr>
            <w:tcW w:w="1247" w:type="dxa"/>
          </w:tcPr>
          <w:p>
            <w:pPr>
              <w:pStyle w:val="0"/>
            </w:pPr>
            <w:r>
              <w:rPr>
                <w:sz w:val="20"/>
              </w:rPr>
              <w:t xml:space="preserve">180,9</w:t>
            </w:r>
          </w:p>
        </w:tc>
        <w:tc>
          <w:tcPr>
            <w:tcW w:w="1247" w:type="dxa"/>
          </w:tcPr>
          <w:p>
            <w:pPr>
              <w:pStyle w:val="0"/>
            </w:pPr>
            <w:r>
              <w:rPr>
                <w:sz w:val="20"/>
              </w:rPr>
              <w:t xml:space="preserve">37</w:t>
            </w:r>
          </w:p>
        </w:tc>
        <w:tc>
          <w:tcPr>
            <w:tcW w:w="1247" w:type="dxa"/>
          </w:tcPr>
          <w:p>
            <w:pPr>
              <w:pStyle w:val="0"/>
            </w:pPr>
            <w:r>
              <w:rPr>
                <w:sz w:val="20"/>
              </w:rPr>
              <w:t xml:space="preserve">199,6</w:t>
            </w:r>
          </w:p>
        </w:tc>
        <w:tc>
          <w:tcPr>
            <w:tcW w:w="1247" w:type="dxa"/>
          </w:tcPr>
          <w:p>
            <w:pPr>
              <w:pStyle w:val="0"/>
            </w:pPr>
            <w:r>
              <w:rPr>
                <w:sz w:val="20"/>
              </w:rPr>
              <w:t xml:space="preserve">22</w:t>
            </w:r>
          </w:p>
        </w:tc>
        <w:tc>
          <w:tcPr>
            <w:tcW w:w="1247" w:type="dxa"/>
          </w:tcPr>
          <w:p>
            <w:pPr>
              <w:pStyle w:val="0"/>
            </w:pPr>
            <w:r>
              <w:rPr>
                <w:sz w:val="20"/>
              </w:rPr>
              <w:t xml:space="preserve">120,4</w:t>
            </w:r>
          </w:p>
        </w:tc>
      </w:tr>
      <w:tr>
        <w:tc>
          <w:tcPr>
            <w:tcW w:w="2194" w:type="dxa"/>
          </w:tcPr>
          <w:p>
            <w:pPr>
              <w:pStyle w:val="0"/>
            </w:pPr>
            <w:r>
              <w:rPr>
                <w:sz w:val="20"/>
              </w:rPr>
              <w:t xml:space="preserve">Пыть-Ях</w:t>
            </w:r>
          </w:p>
        </w:tc>
        <w:tc>
          <w:tcPr>
            <w:tcW w:w="1159" w:type="dxa"/>
          </w:tcPr>
          <w:p>
            <w:pPr>
              <w:pStyle w:val="0"/>
            </w:pPr>
            <w:r>
              <w:rPr>
                <w:sz w:val="20"/>
              </w:rPr>
              <w:t xml:space="preserve">77</w:t>
            </w:r>
          </w:p>
        </w:tc>
        <w:tc>
          <w:tcPr>
            <w:tcW w:w="784" w:type="dxa"/>
          </w:tcPr>
          <w:p>
            <w:pPr>
              <w:pStyle w:val="0"/>
            </w:pPr>
            <w:r>
              <w:rPr>
                <w:sz w:val="20"/>
              </w:rPr>
              <w:t xml:space="preserve">188,3</w:t>
            </w:r>
          </w:p>
        </w:tc>
        <w:tc>
          <w:tcPr>
            <w:tcW w:w="1159" w:type="dxa"/>
          </w:tcPr>
          <w:p>
            <w:pPr>
              <w:pStyle w:val="0"/>
            </w:pPr>
            <w:r>
              <w:rPr>
                <w:sz w:val="20"/>
              </w:rPr>
              <w:t xml:space="preserve">95</w:t>
            </w:r>
          </w:p>
        </w:tc>
        <w:tc>
          <w:tcPr>
            <w:tcW w:w="784" w:type="dxa"/>
          </w:tcPr>
          <w:p>
            <w:pPr>
              <w:pStyle w:val="0"/>
            </w:pPr>
            <w:r>
              <w:rPr>
                <w:sz w:val="20"/>
              </w:rPr>
              <w:t xml:space="preserve">231,5</w:t>
            </w:r>
          </w:p>
        </w:tc>
        <w:tc>
          <w:tcPr>
            <w:tcW w:w="1159" w:type="dxa"/>
          </w:tcPr>
          <w:p>
            <w:pPr>
              <w:pStyle w:val="0"/>
            </w:pPr>
            <w:r>
              <w:rPr>
                <w:sz w:val="20"/>
              </w:rPr>
              <w:t xml:space="preserve">93</w:t>
            </w:r>
          </w:p>
        </w:tc>
        <w:tc>
          <w:tcPr>
            <w:tcW w:w="784" w:type="dxa"/>
          </w:tcPr>
          <w:p>
            <w:pPr>
              <w:pStyle w:val="0"/>
            </w:pPr>
            <w:r>
              <w:rPr>
                <w:sz w:val="20"/>
              </w:rPr>
              <w:t xml:space="preserve">227,1</w:t>
            </w:r>
          </w:p>
        </w:tc>
        <w:tc>
          <w:tcPr>
            <w:tcW w:w="1159" w:type="dxa"/>
          </w:tcPr>
          <w:p>
            <w:pPr>
              <w:pStyle w:val="0"/>
            </w:pPr>
            <w:r>
              <w:rPr>
                <w:sz w:val="20"/>
              </w:rPr>
              <w:t xml:space="preserve">115</w:t>
            </w:r>
          </w:p>
        </w:tc>
        <w:tc>
          <w:tcPr>
            <w:tcW w:w="784" w:type="dxa"/>
          </w:tcPr>
          <w:p>
            <w:pPr>
              <w:pStyle w:val="0"/>
            </w:pPr>
            <w:r>
              <w:rPr>
                <w:sz w:val="20"/>
              </w:rPr>
              <w:t xml:space="preserve">279,6</w:t>
            </w:r>
          </w:p>
        </w:tc>
        <w:tc>
          <w:tcPr>
            <w:tcW w:w="1159" w:type="dxa"/>
          </w:tcPr>
          <w:p>
            <w:pPr>
              <w:pStyle w:val="0"/>
            </w:pPr>
            <w:r>
              <w:rPr>
                <w:sz w:val="20"/>
              </w:rPr>
              <w:t xml:space="preserve">121</w:t>
            </w:r>
          </w:p>
        </w:tc>
        <w:tc>
          <w:tcPr>
            <w:tcW w:w="784" w:type="dxa"/>
          </w:tcPr>
          <w:p>
            <w:pPr>
              <w:pStyle w:val="0"/>
            </w:pPr>
            <w:r>
              <w:rPr>
                <w:sz w:val="20"/>
              </w:rPr>
              <w:t xml:space="preserve">295,3</w:t>
            </w:r>
          </w:p>
        </w:tc>
        <w:tc>
          <w:tcPr>
            <w:tcW w:w="1159" w:type="dxa"/>
          </w:tcPr>
          <w:p>
            <w:pPr>
              <w:pStyle w:val="0"/>
            </w:pPr>
            <w:r>
              <w:rPr>
                <w:sz w:val="20"/>
              </w:rPr>
              <w:t xml:space="preserve">140</w:t>
            </w:r>
          </w:p>
        </w:tc>
        <w:tc>
          <w:tcPr>
            <w:tcW w:w="784" w:type="dxa"/>
          </w:tcPr>
          <w:p>
            <w:pPr>
              <w:pStyle w:val="0"/>
            </w:pPr>
            <w:r>
              <w:rPr>
                <w:sz w:val="20"/>
              </w:rPr>
              <w:t xml:space="preserve">349,4</w:t>
            </w:r>
          </w:p>
        </w:tc>
        <w:tc>
          <w:tcPr>
            <w:tcW w:w="1159" w:type="dxa"/>
          </w:tcPr>
          <w:p>
            <w:pPr>
              <w:pStyle w:val="0"/>
            </w:pPr>
            <w:r>
              <w:rPr>
                <w:sz w:val="20"/>
              </w:rPr>
              <w:t xml:space="preserve">139</w:t>
            </w:r>
          </w:p>
        </w:tc>
        <w:tc>
          <w:tcPr>
            <w:tcW w:w="784" w:type="dxa"/>
          </w:tcPr>
          <w:p>
            <w:pPr>
              <w:pStyle w:val="0"/>
            </w:pPr>
            <w:r>
              <w:rPr>
                <w:sz w:val="20"/>
              </w:rPr>
              <w:t xml:space="preserve">342,9</w:t>
            </w:r>
          </w:p>
        </w:tc>
        <w:tc>
          <w:tcPr>
            <w:tcW w:w="1159" w:type="dxa"/>
          </w:tcPr>
          <w:p>
            <w:pPr>
              <w:pStyle w:val="0"/>
            </w:pPr>
            <w:r>
              <w:rPr>
                <w:sz w:val="20"/>
              </w:rPr>
              <w:t xml:space="preserve">128</w:t>
            </w:r>
          </w:p>
        </w:tc>
        <w:tc>
          <w:tcPr>
            <w:tcW w:w="1247" w:type="dxa"/>
          </w:tcPr>
          <w:p>
            <w:pPr>
              <w:pStyle w:val="0"/>
            </w:pPr>
            <w:r>
              <w:rPr>
                <w:sz w:val="20"/>
              </w:rPr>
              <w:t xml:space="preserve">303,4</w:t>
            </w:r>
          </w:p>
        </w:tc>
        <w:tc>
          <w:tcPr>
            <w:tcW w:w="1247" w:type="dxa"/>
          </w:tcPr>
          <w:p>
            <w:pPr>
              <w:pStyle w:val="0"/>
            </w:pPr>
            <w:r>
              <w:rPr>
                <w:sz w:val="20"/>
              </w:rPr>
              <w:t xml:space="preserve">113</w:t>
            </w:r>
          </w:p>
        </w:tc>
        <w:tc>
          <w:tcPr>
            <w:tcW w:w="1247" w:type="dxa"/>
          </w:tcPr>
          <w:p>
            <w:pPr>
              <w:pStyle w:val="0"/>
            </w:pPr>
            <w:r>
              <w:rPr>
                <w:sz w:val="20"/>
              </w:rPr>
              <w:t xml:space="preserve">285,0</w:t>
            </w:r>
          </w:p>
        </w:tc>
        <w:tc>
          <w:tcPr>
            <w:tcW w:w="1247" w:type="dxa"/>
          </w:tcPr>
          <w:p>
            <w:pPr>
              <w:pStyle w:val="0"/>
            </w:pPr>
            <w:r>
              <w:rPr>
                <w:sz w:val="20"/>
              </w:rPr>
              <w:t xml:space="preserve">126</w:t>
            </w:r>
          </w:p>
        </w:tc>
        <w:tc>
          <w:tcPr>
            <w:tcW w:w="1247" w:type="dxa"/>
          </w:tcPr>
          <w:p>
            <w:pPr>
              <w:pStyle w:val="0"/>
            </w:pPr>
            <w:r>
              <w:rPr>
                <w:sz w:val="20"/>
              </w:rPr>
              <w:t xml:space="preserve">320,0</w:t>
            </w:r>
          </w:p>
        </w:tc>
      </w:tr>
      <w:tr>
        <w:tc>
          <w:tcPr>
            <w:tcW w:w="2194" w:type="dxa"/>
          </w:tcPr>
          <w:p>
            <w:pPr>
              <w:pStyle w:val="0"/>
            </w:pPr>
            <w:r>
              <w:rPr>
                <w:sz w:val="20"/>
              </w:rPr>
              <w:t xml:space="preserve">Радужный</w:t>
            </w:r>
          </w:p>
        </w:tc>
        <w:tc>
          <w:tcPr>
            <w:tcW w:w="1159" w:type="dxa"/>
          </w:tcPr>
          <w:p>
            <w:pPr>
              <w:pStyle w:val="0"/>
            </w:pPr>
            <w:r>
              <w:rPr>
                <w:sz w:val="20"/>
              </w:rPr>
              <w:t xml:space="preserve">78</w:t>
            </w:r>
          </w:p>
        </w:tc>
        <w:tc>
          <w:tcPr>
            <w:tcW w:w="784" w:type="dxa"/>
          </w:tcPr>
          <w:p>
            <w:pPr>
              <w:pStyle w:val="0"/>
            </w:pPr>
            <w:r>
              <w:rPr>
                <w:sz w:val="20"/>
              </w:rPr>
              <w:t xml:space="preserve">179,8</w:t>
            </w:r>
          </w:p>
        </w:tc>
        <w:tc>
          <w:tcPr>
            <w:tcW w:w="1159" w:type="dxa"/>
          </w:tcPr>
          <w:p>
            <w:pPr>
              <w:pStyle w:val="0"/>
            </w:pPr>
            <w:r>
              <w:rPr>
                <w:sz w:val="20"/>
              </w:rPr>
              <w:t xml:space="preserve">82</w:t>
            </w:r>
          </w:p>
        </w:tc>
        <w:tc>
          <w:tcPr>
            <w:tcW w:w="784" w:type="dxa"/>
          </w:tcPr>
          <w:p>
            <w:pPr>
              <w:pStyle w:val="0"/>
            </w:pPr>
            <w:r>
              <w:rPr>
                <w:sz w:val="20"/>
              </w:rPr>
              <w:t xml:space="preserve">190,3</w:t>
            </w:r>
          </w:p>
        </w:tc>
        <w:tc>
          <w:tcPr>
            <w:tcW w:w="1159" w:type="dxa"/>
          </w:tcPr>
          <w:p>
            <w:pPr>
              <w:pStyle w:val="0"/>
            </w:pPr>
            <w:r>
              <w:rPr>
                <w:sz w:val="20"/>
              </w:rPr>
              <w:t xml:space="preserve">108</w:t>
            </w:r>
          </w:p>
        </w:tc>
        <w:tc>
          <w:tcPr>
            <w:tcW w:w="784" w:type="dxa"/>
          </w:tcPr>
          <w:p>
            <w:pPr>
              <w:pStyle w:val="0"/>
            </w:pPr>
            <w:r>
              <w:rPr>
                <w:sz w:val="20"/>
              </w:rPr>
              <w:t xml:space="preserve">251,5</w:t>
            </w:r>
          </w:p>
        </w:tc>
        <w:tc>
          <w:tcPr>
            <w:tcW w:w="1159" w:type="dxa"/>
          </w:tcPr>
          <w:p>
            <w:pPr>
              <w:pStyle w:val="0"/>
            </w:pPr>
            <w:r>
              <w:rPr>
                <w:sz w:val="20"/>
              </w:rPr>
              <w:t xml:space="preserve">78</w:t>
            </w:r>
          </w:p>
        </w:tc>
        <w:tc>
          <w:tcPr>
            <w:tcW w:w="784" w:type="dxa"/>
          </w:tcPr>
          <w:p>
            <w:pPr>
              <w:pStyle w:val="0"/>
            </w:pPr>
            <w:r>
              <w:rPr>
                <w:sz w:val="20"/>
              </w:rPr>
              <w:t xml:space="preserve">180,6</w:t>
            </w:r>
          </w:p>
        </w:tc>
        <w:tc>
          <w:tcPr>
            <w:tcW w:w="1159" w:type="dxa"/>
          </w:tcPr>
          <w:p>
            <w:pPr>
              <w:pStyle w:val="0"/>
            </w:pPr>
            <w:r>
              <w:rPr>
                <w:sz w:val="20"/>
              </w:rPr>
              <w:t xml:space="preserve">115</w:t>
            </w:r>
          </w:p>
        </w:tc>
        <w:tc>
          <w:tcPr>
            <w:tcW w:w="784" w:type="dxa"/>
          </w:tcPr>
          <w:p>
            <w:pPr>
              <w:pStyle w:val="0"/>
            </w:pPr>
            <w:r>
              <w:rPr>
                <w:sz w:val="20"/>
              </w:rPr>
              <w:t xml:space="preserve">265,3</w:t>
            </w:r>
          </w:p>
        </w:tc>
        <w:tc>
          <w:tcPr>
            <w:tcW w:w="1159" w:type="dxa"/>
          </w:tcPr>
          <w:p>
            <w:pPr>
              <w:pStyle w:val="0"/>
            </w:pPr>
            <w:r>
              <w:rPr>
                <w:sz w:val="20"/>
              </w:rPr>
              <w:t xml:space="preserve">91</w:t>
            </w:r>
          </w:p>
        </w:tc>
        <w:tc>
          <w:tcPr>
            <w:tcW w:w="784" w:type="dxa"/>
          </w:tcPr>
          <w:p>
            <w:pPr>
              <w:pStyle w:val="0"/>
            </w:pPr>
            <w:r>
              <w:rPr>
                <w:sz w:val="20"/>
              </w:rPr>
              <w:t xml:space="preserve">208,7</w:t>
            </w:r>
          </w:p>
        </w:tc>
        <w:tc>
          <w:tcPr>
            <w:tcW w:w="1159" w:type="dxa"/>
          </w:tcPr>
          <w:p>
            <w:pPr>
              <w:pStyle w:val="0"/>
            </w:pPr>
            <w:r>
              <w:rPr>
                <w:sz w:val="20"/>
              </w:rPr>
              <w:t xml:space="preserve">138</w:t>
            </w:r>
          </w:p>
        </w:tc>
        <w:tc>
          <w:tcPr>
            <w:tcW w:w="784" w:type="dxa"/>
          </w:tcPr>
          <w:p>
            <w:pPr>
              <w:pStyle w:val="0"/>
            </w:pPr>
            <w:r>
              <w:rPr>
                <w:sz w:val="20"/>
              </w:rPr>
              <w:t xml:space="preserve">318,9</w:t>
            </w:r>
          </w:p>
        </w:tc>
        <w:tc>
          <w:tcPr>
            <w:tcW w:w="1159" w:type="dxa"/>
          </w:tcPr>
          <w:p>
            <w:pPr>
              <w:pStyle w:val="0"/>
            </w:pPr>
            <w:r>
              <w:rPr>
                <w:sz w:val="20"/>
              </w:rPr>
              <w:t xml:space="preserve">107</w:t>
            </w:r>
          </w:p>
        </w:tc>
        <w:tc>
          <w:tcPr>
            <w:tcW w:w="1247" w:type="dxa"/>
          </w:tcPr>
          <w:p>
            <w:pPr>
              <w:pStyle w:val="0"/>
            </w:pPr>
            <w:r>
              <w:rPr>
                <w:sz w:val="20"/>
              </w:rPr>
              <w:t xml:space="preserve">214,9</w:t>
            </w:r>
          </w:p>
        </w:tc>
        <w:tc>
          <w:tcPr>
            <w:tcW w:w="1247" w:type="dxa"/>
          </w:tcPr>
          <w:p>
            <w:pPr>
              <w:pStyle w:val="0"/>
            </w:pPr>
            <w:r>
              <w:rPr>
                <w:sz w:val="20"/>
              </w:rPr>
              <w:t xml:space="preserve">130</w:t>
            </w:r>
          </w:p>
        </w:tc>
        <w:tc>
          <w:tcPr>
            <w:tcW w:w="1247" w:type="dxa"/>
          </w:tcPr>
          <w:p>
            <w:pPr>
              <w:pStyle w:val="0"/>
            </w:pPr>
            <w:r>
              <w:rPr>
                <w:sz w:val="20"/>
              </w:rPr>
              <w:t xml:space="preserve">291,8</w:t>
            </w:r>
          </w:p>
        </w:tc>
        <w:tc>
          <w:tcPr>
            <w:tcW w:w="1247" w:type="dxa"/>
          </w:tcPr>
          <w:p>
            <w:pPr>
              <w:pStyle w:val="0"/>
            </w:pPr>
            <w:r>
              <w:rPr>
                <w:sz w:val="20"/>
              </w:rPr>
              <w:t xml:space="preserve">121</w:t>
            </w:r>
          </w:p>
        </w:tc>
        <w:tc>
          <w:tcPr>
            <w:tcW w:w="1247" w:type="dxa"/>
          </w:tcPr>
          <w:p>
            <w:pPr>
              <w:pStyle w:val="0"/>
            </w:pPr>
            <w:r>
              <w:rPr>
                <w:sz w:val="20"/>
              </w:rPr>
              <w:t xml:space="preserve">273,3</w:t>
            </w:r>
          </w:p>
        </w:tc>
      </w:tr>
      <w:tr>
        <w:tc>
          <w:tcPr>
            <w:tcW w:w="2194" w:type="dxa"/>
          </w:tcPr>
          <w:p>
            <w:pPr>
              <w:pStyle w:val="0"/>
            </w:pPr>
            <w:r>
              <w:rPr>
                <w:sz w:val="20"/>
              </w:rPr>
              <w:t xml:space="preserve">Сургут</w:t>
            </w:r>
          </w:p>
        </w:tc>
        <w:tc>
          <w:tcPr>
            <w:tcW w:w="1159" w:type="dxa"/>
          </w:tcPr>
          <w:p>
            <w:pPr>
              <w:pStyle w:val="0"/>
            </w:pPr>
            <w:r>
              <w:rPr>
                <w:sz w:val="20"/>
              </w:rPr>
              <w:t xml:space="preserve">776</w:t>
            </w:r>
          </w:p>
        </w:tc>
        <w:tc>
          <w:tcPr>
            <w:tcW w:w="784" w:type="dxa"/>
          </w:tcPr>
          <w:p>
            <w:pPr>
              <w:pStyle w:val="0"/>
            </w:pPr>
            <w:r>
              <w:rPr>
                <w:sz w:val="20"/>
              </w:rPr>
              <w:t xml:space="preserve">236</w:t>
            </w:r>
          </w:p>
        </w:tc>
        <w:tc>
          <w:tcPr>
            <w:tcW w:w="1159" w:type="dxa"/>
          </w:tcPr>
          <w:p>
            <w:pPr>
              <w:pStyle w:val="0"/>
            </w:pPr>
            <w:r>
              <w:rPr>
                <w:sz w:val="20"/>
              </w:rPr>
              <w:t xml:space="preserve">783</w:t>
            </w:r>
          </w:p>
        </w:tc>
        <w:tc>
          <w:tcPr>
            <w:tcW w:w="784" w:type="dxa"/>
          </w:tcPr>
          <w:p>
            <w:pPr>
              <w:pStyle w:val="0"/>
            </w:pPr>
            <w:r>
              <w:rPr>
                <w:sz w:val="20"/>
              </w:rPr>
              <w:t xml:space="preserve">232,7</w:t>
            </w:r>
          </w:p>
        </w:tc>
        <w:tc>
          <w:tcPr>
            <w:tcW w:w="1159" w:type="dxa"/>
          </w:tcPr>
          <w:p>
            <w:pPr>
              <w:pStyle w:val="0"/>
            </w:pPr>
            <w:r>
              <w:rPr>
                <w:sz w:val="20"/>
              </w:rPr>
              <w:t xml:space="preserve">934</w:t>
            </w:r>
          </w:p>
        </w:tc>
        <w:tc>
          <w:tcPr>
            <w:tcW w:w="784" w:type="dxa"/>
          </w:tcPr>
          <w:p>
            <w:pPr>
              <w:pStyle w:val="0"/>
            </w:pPr>
            <w:r>
              <w:rPr>
                <w:sz w:val="20"/>
              </w:rPr>
              <w:t xml:space="preserve">270,9</w:t>
            </w:r>
          </w:p>
        </w:tc>
        <w:tc>
          <w:tcPr>
            <w:tcW w:w="1159" w:type="dxa"/>
          </w:tcPr>
          <w:p>
            <w:pPr>
              <w:pStyle w:val="0"/>
            </w:pPr>
            <w:r>
              <w:rPr>
                <w:sz w:val="20"/>
              </w:rPr>
              <w:t xml:space="preserve">821</w:t>
            </w:r>
          </w:p>
        </w:tc>
        <w:tc>
          <w:tcPr>
            <w:tcW w:w="784" w:type="dxa"/>
          </w:tcPr>
          <w:p>
            <w:pPr>
              <w:pStyle w:val="0"/>
            </w:pPr>
            <w:r>
              <w:rPr>
                <w:sz w:val="20"/>
              </w:rPr>
              <w:t xml:space="preserve">233,2</w:t>
            </w:r>
          </w:p>
        </w:tc>
        <w:tc>
          <w:tcPr>
            <w:tcW w:w="1159" w:type="dxa"/>
          </w:tcPr>
          <w:p>
            <w:pPr>
              <w:pStyle w:val="0"/>
            </w:pPr>
            <w:r>
              <w:rPr>
                <w:sz w:val="20"/>
              </w:rPr>
              <w:t xml:space="preserve">713</w:t>
            </w:r>
          </w:p>
        </w:tc>
        <w:tc>
          <w:tcPr>
            <w:tcW w:w="784" w:type="dxa"/>
          </w:tcPr>
          <w:p>
            <w:pPr>
              <w:pStyle w:val="0"/>
            </w:pPr>
            <w:r>
              <w:rPr>
                <w:sz w:val="20"/>
              </w:rPr>
              <w:t xml:space="preserve">203,1</w:t>
            </w:r>
          </w:p>
        </w:tc>
        <w:tc>
          <w:tcPr>
            <w:tcW w:w="1159" w:type="dxa"/>
          </w:tcPr>
          <w:p>
            <w:pPr>
              <w:pStyle w:val="0"/>
            </w:pPr>
            <w:r>
              <w:rPr>
                <w:sz w:val="20"/>
              </w:rPr>
              <w:t xml:space="preserve">882</w:t>
            </w:r>
          </w:p>
        </w:tc>
        <w:tc>
          <w:tcPr>
            <w:tcW w:w="784" w:type="dxa"/>
          </w:tcPr>
          <w:p>
            <w:pPr>
              <w:pStyle w:val="0"/>
            </w:pPr>
            <w:r>
              <w:rPr>
                <w:sz w:val="20"/>
              </w:rPr>
              <w:t xml:space="preserve">238,3</w:t>
            </w:r>
          </w:p>
        </w:tc>
        <w:tc>
          <w:tcPr>
            <w:tcW w:w="1159" w:type="dxa"/>
          </w:tcPr>
          <w:p>
            <w:pPr>
              <w:pStyle w:val="0"/>
            </w:pPr>
            <w:r>
              <w:rPr>
                <w:sz w:val="20"/>
              </w:rPr>
              <w:t xml:space="preserve">1089</w:t>
            </w:r>
          </w:p>
        </w:tc>
        <w:tc>
          <w:tcPr>
            <w:tcW w:w="784" w:type="dxa"/>
          </w:tcPr>
          <w:p>
            <w:pPr>
              <w:pStyle w:val="0"/>
            </w:pPr>
            <w:r>
              <w:rPr>
                <w:sz w:val="20"/>
              </w:rPr>
              <w:t xml:space="preserve">289,7</w:t>
            </w:r>
          </w:p>
        </w:tc>
        <w:tc>
          <w:tcPr>
            <w:tcW w:w="1159" w:type="dxa"/>
          </w:tcPr>
          <w:p>
            <w:pPr>
              <w:pStyle w:val="0"/>
            </w:pPr>
            <w:r>
              <w:rPr>
                <w:sz w:val="20"/>
              </w:rPr>
              <w:t xml:space="preserve">918</w:t>
            </w:r>
          </w:p>
        </w:tc>
        <w:tc>
          <w:tcPr>
            <w:tcW w:w="1247" w:type="dxa"/>
          </w:tcPr>
          <w:p>
            <w:pPr>
              <w:pStyle w:val="0"/>
            </w:pPr>
            <w:r>
              <w:rPr>
                <w:sz w:val="20"/>
              </w:rPr>
              <w:t xml:space="preserve">227,9</w:t>
            </w:r>
          </w:p>
        </w:tc>
        <w:tc>
          <w:tcPr>
            <w:tcW w:w="1247" w:type="dxa"/>
          </w:tcPr>
          <w:p>
            <w:pPr>
              <w:pStyle w:val="0"/>
            </w:pPr>
            <w:r>
              <w:rPr>
                <w:sz w:val="20"/>
              </w:rPr>
              <w:t xml:space="preserve">1165</w:t>
            </w:r>
          </w:p>
        </w:tc>
        <w:tc>
          <w:tcPr>
            <w:tcW w:w="1247" w:type="dxa"/>
          </w:tcPr>
          <w:p>
            <w:pPr>
              <w:pStyle w:val="0"/>
            </w:pPr>
            <w:r>
              <w:rPr>
                <w:sz w:val="20"/>
              </w:rPr>
              <w:t xml:space="preserve">297,3</w:t>
            </w:r>
          </w:p>
        </w:tc>
        <w:tc>
          <w:tcPr>
            <w:tcW w:w="1247" w:type="dxa"/>
          </w:tcPr>
          <w:p>
            <w:pPr>
              <w:pStyle w:val="0"/>
            </w:pPr>
            <w:r>
              <w:rPr>
                <w:sz w:val="20"/>
              </w:rPr>
              <w:t xml:space="preserve">1266</w:t>
            </w:r>
          </w:p>
        </w:tc>
        <w:tc>
          <w:tcPr>
            <w:tcW w:w="1247" w:type="dxa"/>
          </w:tcPr>
          <w:p>
            <w:pPr>
              <w:pStyle w:val="0"/>
            </w:pPr>
            <w:r>
              <w:rPr>
                <w:sz w:val="20"/>
              </w:rPr>
              <w:t xml:space="preserve">323,3</w:t>
            </w:r>
          </w:p>
        </w:tc>
      </w:tr>
      <w:tr>
        <w:tc>
          <w:tcPr>
            <w:tcW w:w="2194" w:type="dxa"/>
          </w:tcPr>
          <w:p>
            <w:pPr>
              <w:pStyle w:val="0"/>
            </w:pPr>
            <w:r>
              <w:rPr>
                <w:sz w:val="20"/>
              </w:rPr>
              <w:t xml:space="preserve">Урай</w:t>
            </w:r>
          </w:p>
        </w:tc>
        <w:tc>
          <w:tcPr>
            <w:tcW w:w="1159" w:type="dxa"/>
          </w:tcPr>
          <w:p>
            <w:pPr>
              <w:pStyle w:val="0"/>
            </w:pPr>
            <w:r>
              <w:rPr>
                <w:sz w:val="20"/>
              </w:rPr>
              <w:t xml:space="preserve">142</w:t>
            </w:r>
          </w:p>
        </w:tc>
        <w:tc>
          <w:tcPr>
            <w:tcW w:w="784" w:type="dxa"/>
          </w:tcPr>
          <w:p>
            <w:pPr>
              <w:pStyle w:val="0"/>
            </w:pPr>
            <w:r>
              <w:rPr>
                <w:sz w:val="20"/>
              </w:rPr>
              <w:t xml:space="preserve">357,4</w:t>
            </w:r>
          </w:p>
        </w:tc>
        <w:tc>
          <w:tcPr>
            <w:tcW w:w="1159" w:type="dxa"/>
          </w:tcPr>
          <w:p>
            <w:pPr>
              <w:pStyle w:val="0"/>
            </w:pPr>
            <w:r>
              <w:rPr>
                <w:sz w:val="20"/>
              </w:rPr>
              <w:t xml:space="preserve">115</w:t>
            </w:r>
          </w:p>
        </w:tc>
        <w:tc>
          <w:tcPr>
            <w:tcW w:w="784" w:type="dxa"/>
          </w:tcPr>
          <w:p>
            <w:pPr>
              <w:pStyle w:val="0"/>
            </w:pPr>
            <w:r>
              <w:rPr>
                <w:sz w:val="20"/>
              </w:rPr>
              <w:t xml:space="preserve">286,7</w:t>
            </w:r>
          </w:p>
        </w:tc>
        <w:tc>
          <w:tcPr>
            <w:tcW w:w="1159" w:type="dxa"/>
          </w:tcPr>
          <w:p>
            <w:pPr>
              <w:pStyle w:val="0"/>
            </w:pPr>
            <w:r>
              <w:rPr>
                <w:sz w:val="20"/>
              </w:rPr>
              <w:t xml:space="preserve">153</w:t>
            </w:r>
          </w:p>
        </w:tc>
        <w:tc>
          <w:tcPr>
            <w:tcW w:w="784" w:type="dxa"/>
          </w:tcPr>
          <w:p>
            <w:pPr>
              <w:pStyle w:val="0"/>
            </w:pPr>
            <w:r>
              <w:rPr>
                <w:sz w:val="20"/>
              </w:rPr>
              <w:t xml:space="preserve">378,5</w:t>
            </w:r>
          </w:p>
        </w:tc>
        <w:tc>
          <w:tcPr>
            <w:tcW w:w="1159" w:type="dxa"/>
          </w:tcPr>
          <w:p>
            <w:pPr>
              <w:pStyle w:val="0"/>
            </w:pPr>
            <w:r>
              <w:rPr>
                <w:sz w:val="20"/>
              </w:rPr>
              <w:t xml:space="preserve">179</w:t>
            </w:r>
          </w:p>
        </w:tc>
        <w:tc>
          <w:tcPr>
            <w:tcW w:w="784" w:type="dxa"/>
          </w:tcPr>
          <w:p>
            <w:pPr>
              <w:pStyle w:val="0"/>
            </w:pPr>
            <w:r>
              <w:rPr>
                <w:sz w:val="20"/>
              </w:rPr>
              <w:t xml:space="preserve">441,2</w:t>
            </w:r>
          </w:p>
        </w:tc>
        <w:tc>
          <w:tcPr>
            <w:tcW w:w="1159" w:type="dxa"/>
          </w:tcPr>
          <w:p>
            <w:pPr>
              <w:pStyle w:val="0"/>
            </w:pPr>
            <w:r>
              <w:rPr>
                <w:sz w:val="20"/>
              </w:rPr>
              <w:t xml:space="preserve">170</w:t>
            </w:r>
          </w:p>
        </w:tc>
        <w:tc>
          <w:tcPr>
            <w:tcW w:w="784" w:type="dxa"/>
          </w:tcPr>
          <w:p>
            <w:pPr>
              <w:pStyle w:val="0"/>
            </w:pPr>
            <w:r>
              <w:rPr>
                <w:sz w:val="20"/>
              </w:rPr>
              <w:t xml:space="preserve">418,3</w:t>
            </w:r>
          </w:p>
        </w:tc>
        <w:tc>
          <w:tcPr>
            <w:tcW w:w="1159" w:type="dxa"/>
          </w:tcPr>
          <w:p>
            <w:pPr>
              <w:pStyle w:val="0"/>
            </w:pPr>
            <w:r>
              <w:rPr>
                <w:sz w:val="20"/>
              </w:rPr>
              <w:t xml:space="preserve">203</w:t>
            </w:r>
          </w:p>
        </w:tc>
        <w:tc>
          <w:tcPr>
            <w:tcW w:w="784" w:type="dxa"/>
          </w:tcPr>
          <w:p>
            <w:pPr>
              <w:pStyle w:val="0"/>
            </w:pPr>
            <w:r>
              <w:rPr>
                <w:sz w:val="20"/>
              </w:rPr>
              <w:t xml:space="preserve">502,7</w:t>
            </w:r>
          </w:p>
        </w:tc>
        <w:tc>
          <w:tcPr>
            <w:tcW w:w="1159" w:type="dxa"/>
          </w:tcPr>
          <w:p>
            <w:pPr>
              <w:pStyle w:val="0"/>
            </w:pPr>
            <w:r>
              <w:rPr>
                <w:sz w:val="20"/>
              </w:rPr>
              <w:t xml:space="preserve">147</w:t>
            </w:r>
          </w:p>
        </w:tc>
        <w:tc>
          <w:tcPr>
            <w:tcW w:w="784" w:type="dxa"/>
          </w:tcPr>
          <w:p>
            <w:pPr>
              <w:pStyle w:val="0"/>
            </w:pPr>
            <w:r>
              <w:rPr>
                <w:sz w:val="20"/>
              </w:rPr>
              <w:t xml:space="preserve">364,3</w:t>
            </w:r>
          </w:p>
        </w:tc>
        <w:tc>
          <w:tcPr>
            <w:tcW w:w="1159" w:type="dxa"/>
          </w:tcPr>
          <w:p>
            <w:pPr>
              <w:pStyle w:val="0"/>
            </w:pPr>
            <w:r>
              <w:rPr>
                <w:sz w:val="20"/>
              </w:rPr>
              <w:t xml:space="preserve">137</w:t>
            </w:r>
          </w:p>
        </w:tc>
        <w:tc>
          <w:tcPr>
            <w:tcW w:w="1247" w:type="dxa"/>
          </w:tcPr>
          <w:p>
            <w:pPr>
              <w:pStyle w:val="0"/>
            </w:pPr>
            <w:r>
              <w:rPr>
                <w:sz w:val="20"/>
              </w:rPr>
              <w:t xml:space="preserve">339,5</w:t>
            </w:r>
          </w:p>
        </w:tc>
        <w:tc>
          <w:tcPr>
            <w:tcW w:w="1247" w:type="dxa"/>
          </w:tcPr>
          <w:p>
            <w:pPr>
              <w:pStyle w:val="0"/>
            </w:pPr>
            <w:r>
              <w:rPr>
                <w:sz w:val="20"/>
              </w:rPr>
              <w:t xml:space="preserve">121</w:t>
            </w:r>
          </w:p>
        </w:tc>
        <w:tc>
          <w:tcPr>
            <w:tcW w:w="1247" w:type="dxa"/>
          </w:tcPr>
          <w:p>
            <w:pPr>
              <w:pStyle w:val="0"/>
            </w:pPr>
            <w:r>
              <w:rPr>
                <w:sz w:val="20"/>
              </w:rPr>
              <w:t xml:space="preserve">295,7</w:t>
            </w:r>
          </w:p>
        </w:tc>
        <w:tc>
          <w:tcPr>
            <w:tcW w:w="1247" w:type="dxa"/>
          </w:tcPr>
          <w:p>
            <w:pPr>
              <w:pStyle w:val="0"/>
            </w:pPr>
            <w:r>
              <w:rPr>
                <w:sz w:val="20"/>
              </w:rPr>
              <w:t xml:space="preserve">109</w:t>
            </w:r>
          </w:p>
        </w:tc>
        <w:tc>
          <w:tcPr>
            <w:tcW w:w="1247" w:type="dxa"/>
          </w:tcPr>
          <w:p>
            <w:pPr>
              <w:pStyle w:val="0"/>
            </w:pPr>
            <w:r>
              <w:rPr>
                <w:sz w:val="20"/>
              </w:rPr>
              <w:t xml:space="preserve">268,1</w:t>
            </w:r>
          </w:p>
        </w:tc>
      </w:tr>
      <w:tr>
        <w:tc>
          <w:tcPr>
            <w:tcW w:w="2194" w:type="dxa"/>
          </w:tcPr>
          <w:p>
            <w:pPr>
              <w:pStyle w:val="0"/>
            </w:pPr>
            <w:r>
              <w:rPr>
                <w:sz w:val="20"/>
              </w:rPr>
              <w:t xml:space="preserve">Ханты-Мансийск</w:t>
            </w:r>
          </w:p>
        </w:tc>
        <w:tc>
          <w:tcPr>
            <w:tcW w:w="1159" w:type="dxa"/>
          </w:tcPr>
          <w:p>
            <w:pPr>
              <w:pStyle w:val="0"/>
            </w:pPr>
            <w:r>
              <w:rPr>
                <w:sz w:val="20"/>
              </w:rPr>
              <w:t xml:space="preserve">202</w:t>
            </w:r>
          </w:p>
        </w:tc>
        <w:tc>
          <w:tcPr>
            <w:tcW w:w="784" w:type="dxa"/>
          </w:tcPr>
          <w:p>
            <w:pPr>
              <w:pStyle w:val="0"/>
            </w:pPr>
            <w:r>
              <w:rPr>
                <w:sz w:val="20"/>
              </w:rPr>
              <w:t xml:space="preserve">219,1</w:t>
            </w:r>
          </w:p>
        </w:tc>
        <w:tc>
          <w:tcPr>
            <w:tcW w:w="1159" w:type="dxa"/>
          </w:tcPr>
          <w:p>
            <w:pPr>
              <w:pStyle w:val="0"/>
            </w:pPr>
            <w:r>
              <w:rPr>
                <w:sz w:val="20"/>
              </w:rPr>
              <w:t xml:space="preserve">244</w:t>
            </w:r>
          </w:p>
        </w:tc>
        <w:tc>
          <w:tcPr>
            <w:tcW w:w="784" w:type="dxa"/>
          </w:tcPr>
          <w:p>
            <w:pPr>
              <w:pStyle w:val="0"/>
            </w:pPr>
            <w:r>
              <w:rPr>
                <w:sz w:val="20"/>
              </w:rPr>
              <w:t xml:space="preserve">258,6</w:t>
            </w:r>
          </w:p>
        </w:tc>
        <w:tc>
          <w:tcPr>
            <w:tcW w:w="1159" w:type="dxa"/>
          </w:tcPr>
          <w:p>
            <w:pPr>
              <w:pStyle w:val="0"/>
            </w:pPr>
            <w:r>
              <w:rPr>
                <w:sz w:val="20"/>
              </w:rPr>
              <w:t xml:space="preserve">228</w:t>
            </w:r>
          </w:p>
        </w:tc>
        <w:tc>
          <w:tcPr>
            <w:tcW w:w="784" w:type="dxa"/>
          </w:tcPr>
          <w:p>
            <w:pPr>
              <w:pStyle w:val="0"/>
            </w:pPr>
            <w:r>
              <w:rPr>
                <w:sz w:val="20"/>
              </w:rPr>
              <w:t xml:space="preserve">237,1</w:t>
            </w:r>
          </w:p>
        </w:tc>
        <w:tc>
          <w:tcPr>
            <w:tcW w:w="1159" w:type="dxa"/>
          </w:tcPr>
          <w:p>
            <w:pPr>
              <w:pStyle w:val="0"/>
            </w:pPr>
            <w:r>
              <w:rPr>
                <w:sz w:val="20"/>
              </w:rPr>
              <w:t xml:space="preserve">272</w:t>
            </w:r>
          </w:p>
        </w:tc>
        <w:tc>
          <w:tcPr>
            <w:tcW w:w="784" w:type="dxa"/>
          </w:tcPr>
          <w:p>
            <w:pPr>
              <w:pStyle w:val="0"/>
            </w:pPr>
            <w:r>
              <w:rPr>
                <w:sz w:val="20"/>
              </w:rPr>
              <w:t xml:space="preserve">279</w:t>
            </w:r>
          </w:p>
        </w:tc>
        <w:tc>
          <w:tcPr>
            <w:tcW w:w="1159" w:type="dxa"/>
          </w:tcPr>
          <w:p>
            <w:pPr>
              <w:pStyle w:val="0"/>
            </w:pPr>
            <w:r>
              <w:rPr>
                <w:sz w:val="20"/>
              </w:rPr>
              <w:t xml:space="preserve">332</w:t>
            </w:r>
          </w:p>
        </w:tc>
        <w:tc>
          <w:tcPr>
            <w:tcW w:w="784" w:type="dxa"/>
          </w:tcPr>
          <w:p>
            <w:pPr>
              <w:pStyle w:val="0"/>
            </w:pPr>
            <w:r>
              <w:rPr>
                <w:sz w:val="20"/>
              </w:rPr>
              <w:t xml:space="preserve">335,5</w:t>
            </w:r>
          </w:p>
        </w:tc>
        <w:tc>
          <w:tcPr>
            <w:tcW w:w="1159" w:type="dxa"/>
          </w:tcPr>
          <w:p>
            <w:pPr>
              <w:pStyle w:val="0"/>
            </w:pPr>
            <w:r>
              <w:rPr>
                <w:sz w:val="20"/>
              </w:rPr>
              <w:t xml:space="preserve">295</w:t>
            </w:r>
          </w:p>
        </w:tc>
        <w:tc>
          <w:tcPr>
            <w:tcW w:w="784" w:type="dxa"/>
          </w:tcPr>
          <w:p>
            <w:pPr>
              <w:pStyle w:val="0"/>
            </w:pPr>
            <w:r>
              <w:rPr>
                <w:sz w:val="20"/>
              </w:rPr>
              <w:t xml:space="preserve">298,2</w:t>
            </w:r>
          </w:p>
        </w:tc>
        <w:tc>
          <w:tcPr>
            <w:tcW w:w="1159" w:type="dxa"/>
          </w:tcPr>
          <w:p>
            <w:pPr>
              <w:pStyle w:val="0"/>
            </w:pPr>
            <w:r>
              <w:rPr>
                <w:sz w:val="20"/>
              </w:rPr>
              <w:t xml:space="preserve">249</w:t>
            </w:r>
          </w:p>
        </w:tc>
        <w:tc>
          <w:tcPr>
            <w:tcW w:w="784" w:type="dxa"/>
          </w:tcPr>
          <w:p>
            <w:pPr>
              <w:pStyle w:val="0"/>
            </w:pPr>
            <w:r>
              <w:rPr>
                <w:sz w:val="20"/>
              </w:rPr>
              <w:t xml:space="preserve">245,8</w:t>
            </w:r>
          </w:p>
        </w:tc>
        <w:tc>
          <w:tcPr>
            <w:tcW w:w="1159" w:type="dxa"/>
          </w:tcPr>
          <w:p>
            <w:pPr>
              <w:pStyle w:val="0"/>
            </w:pPr>
            <w:r>
              <w:rPr>
                <w:sz w:val="20"/>
              </w:rPr>
              <w:t xml:space="preserve">163</w:t>
            </w:r>
          </w:p>
        </w:tc>
        <w:tc>
          <w:tcPr>
            <w:tcW w:w="1247" w:type="dxa"/>
          </w:tcPr>
          <w:p>
            <w:pPr>
              <w:pStyle w:val="0"/>
            </w:pPr>
            <w:r>
              <w:rPr>
                <w:sz w:val="20"/>
              </w:rPr>
              <w:t xml:space="preserve">145,1</w:t>
            </w:r>
          </w:p>
        </w:tc>
        <w:tc>
          <w:tcPr>
            <w:tcW w:w="1247" w:type="dxa"/>
          </w:tcPr>
          <w:p>
            <w:pPr>
              <w:pStyle w:val="0"/>
            </w:pPr>
            <w:r>
              <w:rPr>
                <w:sz w:val="20"/>
              </w:rPr>
              <w:t xml:space="preserve">250</w:t>
            </w:r>
          </w:p>
        </w:tc>
        <w:tc>
          <w:tcPr>
            <w:tcW w:w="1247" w:type="dxa"/>
          </w:tcPr>
          <w:p>
            <w:pPr>
              <w:pStyle w:val="0"/>
            </w:pPr>
            <w:r>
              <w:rPr>
                <w:sz w:val="20"/>
              </w:rPr>
              <w:t xml:space="preserve">238,6</w:t>
            </w:r>
          </w:p>
        </w:tc>
        <w:tc>
          <w:tcPr>
            <w:tcW w:w="1247" w:type="dxa"/>
          </w:tcPr>
          <w:p>
            <w:pPr>
              <w:pStyle w:val="0"/>
            </w:pPr>
            <w:r>
              <w:rPr>
                <w:sz w:val="20"/>
              </w:rPr>
              <w:t xml:space="preserve">224</w:t>
            </w:r>
          </w:p>
        </w:tc>
        <w:tc>
          <w:tcPr>
            <w:tcW w:w="1247" w:type="dxa"/>
          </w:tcPr>
          <w:p>
            <w:pPr>
              <w:pStyle w:val="0"/>
            </w:pPr>
            <w:r>
              <w:rPr>
                <w:sz w:val="20"/>
              </w:rPr>
              <w:t xml:space="preserve">214,2</w:t>
            </w:r>
          </w:p>
        </w:tc>
      </w:tr>
      <w:tr>
        <w:tc>
          <w:tcPr>
            <w:tcW w:w="2194" w:type="dxa"/>
          </w:tcPr>
          <w:p>
            <w:pPr>
              <w:pStyle w:val="0"/>
            </w:pPr>
            <w:r>
              <w:rPr>
                <w:sz w:val="20"/>
              </w:rPr>
              <w:t xml:space="preserve">Югорск</w:t>
            </w:r>
          </w:p>
        </w:tc>
        <w:tc>
          <w:tcPr>
            <w:tcW w:w="1159" w:type="dxa"/>
          </w:tcPr>
          <w:p>
            <w:pPr>
              <w:pStyle w:val="0"/>
            </w:pPr>
            <w:r>
              <w:rPr>
                <w:sz w:val="20"/>
              </w:rPr>
              <w:t xml:space="preserve">96</w:t>
            </w:r>
          </w:p>
        </w:tc>
        <w:tc>
          <w:tcPr>
            <w:tcW w:w="784" w:type="dxa"/>
          </w:tcPr>
          <w:p>
            <w:pPr>
              <w:pStyle w:val="0"/>
            </w:pPr>
            <w:r>
              <w:rPr>
                <w:sz w:val="20"/>
              </w:rPr>
              <w:t xml:space="preserve">269,9</w:t>
            </w:r>
          </w:p>
        </w:tc>
        <w:tc>
          <w:tcPr>
            <w:tcW w:w="1159" w:type="dxa"/>
          </w:tcPr>
          <w:p>
            <w:pPr>
              <w:pStyle w:val="0"/>
            </w:pPr>
            <w:r>
              <w:rPr>
                <w:sz w:val="20"/>
              </w:rPr>
              <w:t xml:space="preserve">107</w:t>
            </w:r>
          </w:p>
        </w:tc>
        <w:tc>
          <w:tcPr>
            <w:tcW w:w="784" w:type="dxa"/>
          </w:tcPr>
          <w:p>
            <w:pPr>
              <w:pStyle w:val="0"/>
            </w:pPr>
            <w:r>
              <w:rPr>
                <w:sz w:val="20"/>
              </w:rPr>
              <w:t xml:space="preserve">296,5</w:t>
            </w:r>
          </w:p>
        </w:tc>
        <w:tc>
          <w:tcPr>
            <w:tcW w:w="1159" w:type="dxa"/>
          </w:tcPr>
          <w:p>
            <w:pPr>
              <w:pStyle w:val="0"/>
            </w:pPr>
            <w:r>
              <w:rPr>
                <w:sz w:val="20"/>
              </w:rPr>
              <w:t xml:space="preserve">112</w:t>
            </w:r>
          </w:p>
        </w:tc>
        <w:tc>
          <w:tcPr>
            <w:tcW w:w="784" w:type="dxa"/>
          </w:tcPr>
          <w:p>
            <w:pPr>
              <w:pStyle w:val="0"/>
            </w:pPr>
            <w:r>
              <w:rPr>
                <w:sz w:val="20"/>
              </w:rPr>
              <w:t xml:space="preserve">306,6</w:t>
            </w:r>
          </w:p>
        </w:tc>
        <w:tc>
          <w:tcPr>
            <w:tcW w:w="1159" w:type="dxa"/>
          </w:tcPr>
          <w:p>
            <w:pPr>
              <w:pStyle w:val="0"/>
            </w:pPr>
            <w:r>
              <w:rPr>
                <w:sz w:val="20"/>
              </w:rPr>
              <w:t xml:space="preserve">147</w:t>
            </w:r>
          </w:p>
        </w:tc>
        <w:tc>
          <w:tcPr>
            <w:tcW w:w="784" w:type="dxa"/>
          </w:tcPr>
          <w:p>
            <w:pPr>
              <w:pStyle w:val="0"/>
            </w:pPr>
            <w:r>
              <w:rPr>
                <w:sz w:val="20"/>
              </w:rPr>
              <w:t xml:space="preserve">398,6</w:t>
            </w:r>
          </w:p>
        </w:tc>
        <w:tc>
          <w:tcPr>
            <w:tcW w:w="1159" w:type="dxa"/>
          </w:tcPr>
          <w:p>
            <w:pPr>
              <w:pStyle w:val="0"/>
            </w:pPr>
            <w:r>
              <w:rPr>
                <w:sz w:val="20"/>
              </w:rPr>
              <w:t xml:space="preserve">117</w:t>
            </w:r>
          </w:p>
        </w:tc>
        <w:tc>
          <w:tcPr>
            <w:tcW w:w="784" w:type="dxa"/>
          </w:tcPr>
          <w:p>
            <w:pPr>
              <w:pStyle w:val="0"/>
            </w:pPr>
            <w:r>
              <w:rPr>
                <w:sz w:val="20"/>
              </w:rPr>
              <w:t xml:space="preserve">314,1</w:t>
            </w:r>
          </w:p>
        </w:tc>
        <w:tc>
          <w:tcPr>
            <w:tcW w:w="1159" w:type="dxa"/>
          </w:tcPr>
          <w:p>
            <w:pPr>
              <w:pStyle w:val="0"/>
            </w:pPr>
            <w:r>
              <w:rPr>
                <w:sz w:val="20"/>
              </w:rPr>
              <w:t xml:space="preserve">171</w:t>
            </w:r>
          </w:p>
        </w:tc>
        <w:tc>
          <w:tcPr>
            <w:tcW w:w="784" w:type="dxa"/>
          </w:tcPr>
          <w:p>
            <w:pPr>
              <w:pStyle w:val="0"/>
            </w:pPr>
            <w:r>
              <w:rPr>
                <w:sz w:val="20"/>
              </w:rPr>
              <w:t xml:space="preserve">457</w:t>
            </w:r>
          </w:p>
        </w:tc>
        <w:tc>
          <w:tcPr>
            <w:tcW w:w="1159" w:type="dxa"/>
          </w:tcPr>
          <w:p>
            <w:pPr>
              <w:pStyle w:val="0"/>
            </w:pPr>
            <w:r>
              <w:rPr>
                <w:sz w:val="20"/>
              </w:rPr>
              <w:t xml:space="preserve">150</w:t>
            </w:r>
          </w:p>
        </w:tc>
        <w:tc>
          <w:tcPr>
            <w:tcW w:w="784" w:type="dxa"/>
          </w:tcPr>
          <w:p>
            <w:pPr>
              <w:pStyle w:val="0"/>
            </w:pPr>
            <w:r>
              <w:rPr>
                <w:sz w:val="20"/>
              </w:rPr>
              <w:t xml:space="preserve">399,3</w:t>
            </w:r>
          </w:p>
        </w:tc>
        <w:tc>
          <w:tcPr>
            <w:tcW w:w="1159" w:type="dxa"/>
          </w:tcPr>
          <w:p>
            <w:pPr>
              <w:pStyle w:val="0"/>
            </w:pPr>
            <w:r>
              <w:rPr>
                <w:sz w:val="20"/>
              </w:rPr>
              <w:t xml:space="preserve">123</w:t>
            </w:r>
          </w:p>
        </w:tc>
        <w:tc>
          <w:tcPr>
            <w:tcW w:w="1247" w:type="dxa"/>
          </w:tcPr>
          <w:p>
            <w:pPr>
              <w:pStyle w:val="0"/>
            </w:pPr>
            <w:r>
              <w:rPr>
                <w:sz w:val="20"/>
              </w:rPr>
              <w:t xml:space="preserve">292,8</w:t>
            </w:r>
          </w:p>
        </w:tc>
        <w:tc>
          <w:tcPr>
            <w:tcW w:w="1247" w:type="dxa"/>
          </w:tcPr>
          <w:p>
            <w:pPr>
              <w:pStyle w:val="0"/>
            </w:pPr>
            <w:r>
              <w:rPr>
                <w:sz w:val="20"/>
              </w:rPr>
              <w:t xml:space="preserve">138</w:t>
            </w:r>
          </w:p>
        </w:tc>
        <w:tc>
          <w:tcPr>
            <w:tcW w:w="1247" w:type="dxa"/>
          </w:tcPr>
          <w:p>
            <w:pPr>
              <w:pStyle w:val="0"/>
            </w:pPr>
            <w:r>
              <w:rPr>
                <w:sz w:val="20"/>
              </w:rPr>
              <w:t xml:space="preserve">354,1</w:t>
            </w:r>
          </w:p>
        </w:tc>
        <w:tc>
          <w:tcPr>
            <w:tcW w:w="1247" w:type="dxa"/>
          </w:tcPr>
          <w:p>
            <w:pPr>
              <w:pStyle w:val="0"/>
            </w:pPr>
            <w:r>
              <w:rPr>
                <w:sz w:val="20"/>
              </w:rPr>
              <w:t xml:space="preserve">160</w:t>
            </w:r>
          </w:p>
        </w:tc>
        <w:tc>
          <w:tcPr>
            <w:tcW w:w="1247" w:type="dxa"/>
          </w:tcPr>
          <w:p>
            <w:pPr>
              <w:pStyle w:val="0"/>
            </w:pPr>
            <w:r>
              <w:rPr>
                <w:sz w:val="20"/>
              </w:rPr>
              <w:t xml:space="preserve">413,4</w:t>
            </w:r>
          </w:p>
        </w:tc>
      </w:tr>
      <w:tr>
        <w:tc>
          <w:tcPr>
            <w:tcW w:w="2194" w:type="dxa"/>
          </w:tcPr>
          <w:p>
            <w:pPr>
              <w:pStyle w:val="0"/>
            </w:pPr>
            <w:r>
              <w:rPr>
                <w:sz w:val="20"/>
              </w:rPr>
              <w:t xml:space="preserve">Белоярский</w:t>
            </w:r>
          </w:p>
        </w:tc>
        <w:tc>
          <w:tcPr>
            <w:tcW w:w="1159" w:type="dxa"/>
          </w:tcPr>
          <w:p>
            <w:pPr>
              <w:pStyle w:val="0"/>
            </w:pPr>
            <w:r>
              <w:rPr>
                <w:sz w:val="20"/>
              </w:rPr>
              <w:t xml:space="preserve">65</w:t>
            </w:r>
          </w:p>
        </w:tc>
        <w:tc>
          <w:tcPr>
            <w:tcW w:w="784" w:type="dxa"/>
          </w:tcPr>
          <w:p>
            <w:pPr>
              <w:pStyle w:val="0"/>
            </w:pPr>
            <w:r>
              <w:rPr>
                <w:sz w:val="20"/>
              </w:rPr>
              <w:t xml:space="preserve">217,4</w:t>
            </w:r>
          </w:p>
        </w:tc>
        <w:tc>
          <w:tcPr>
            <w:tcW w:w="1159" w:type="dxa"/>
          </w:tcPr>
          <w:p>
            <w:pPr>
              <w:pStyle w:val="0"/>
            </w:pPr>
            <w:r>
              <w:rPr>
                <w:sz w:val="20"/>
              </w:rPr>
              <w:t xml:space="preserve">77</w:t>
            </w:r>
          </w:p>
        </w:tc>
        <w:tc>
          <w:tcPr>
            <w:tcW w:w="784" w:type="dxa"/>
          </w:tcPr>
          <w:p>
            <w:pPr>
              <w:pStyle w:val="0"/>
            </w:pPr>
            <w:r>
              <w:rPr>
                <w:sz w:val="20"/>
              </w:rPr>
              <w:t xml:space="preserve">258,4</w:t>
            </w:r>
          </w:p>
        </w:tc>
        <w:tc>
          <w:tcPr>
            <w:tcW w:w="1159" w:type="dxa"/>
          </w:tcPr>
          <w:p>
            <w:pPr>
              <w:pStyle w:val="0"/>
            </w:pPr>
            <w:r>
              <w:rPr>
                <w:sz w:val="20"/>
              </w:rPr>
              <w:t xml:space="preserve">96</w:t>
            </w:r>
          </w:p>
        </w:tc>
        <w:tc>
          <w:tcPr>
            <w:tcW w:w="784" w:type="dxa"/>
          </w:tcPr>
          <w:p>
            <w:pPr>
              <w:pStyle w:val="0"/>
            </w:pPr>
            <w:r>
              <w:rPr>
                <w:sz w:val="20"/>
              </w:rPr>
              <w:t xml:space="preserve">323,7</w:t>
            </w:r>
          </w:p>
        </w:tc>
        <w:tc>
          <w:tcPr>
            <w:tcW w:w="1159" w:type="dxa"/>
          </w:tcPr>
          <w:p>
            <w:pPr>
              <w:pStyle w:val="0"/>
            </w:pPr>
            <w:r>
              <w:rPr>
                <w:sz w:val="20"/>
              </w:rPr>
              <w:t xml:space="preserve">61</w:t>
            </w:r>
          </w:p>
        </w:tc>
        <w:tc>
          <w:tcPr>
            <w:tcW w:w="784" w:type="dxa"/>
          </w:tcPr>
          <w:p>
            <w:pPr>
              <w:pStyle w:val="0"/>
            </w:pPr>
            <w:r>
              <w:rPr>
                <w:sz w:val="20"/>
              </w:rPr>
              <w:t xml:space="preserve">205,1</w:t>
            </w:r>
          </w:p>
        </w:tc>
        <w:tc>
          <w:tcPr>
            <w:tcW w:w="1159" w:type="dxa"/>
          </w:tcPr>
          <w:p>
            <w:pPr>
              <w:pStyle w:val="0"/>
            </w:pPr>
            <w:r>
              <w:rPr>
                <w:sz w:val="20"/>
              </w:rPr>
              <w:t xml:space="preserve">73</w:t>
            </w:r>
          </w:p>
        </w:tc>
        <w:tc>
          <w:tcPr>
            <w:tcW w:w="784" w:type="dxa"/>
          </w:tcPr>
          <w:p>
            <w:pPr>
              <w:pStyle w:val="0"/>
            </w:pPr>
            <w:r>
              <w:rPr>
                <w:sz w:val="20"/>
              </w:rPr>
              <w:t xml:space="preserve">247,4</w:t>
            </w:r>
          </w:p>
        </w:tc>
        <w:tc>
          <w:tcPr>
            <w:tcW w:w="1159" w:type="dxa"/>
          </w:tcPr>
          <w:p>
            <w:pPr>
              <w:pStyle w:val="0"/>
            </w:pPr>
            <w:r>
              <w:rPr>
                <w:sz w:val="20"/>
              </w:rPr>
              <w:t xml:space="preserve">92</w:t>
            </w:r>
          </w:p>
        </w:tc>
        <w:tc>
          <w:tcPr>
            <w:tcW w:w="784" w:type="dxa"/>
          </w:tcPr>
          <w:p>
            <w:pPr>
              <w:pStyle w:val="0"/>
            </w:pPr>
            <w:r>
              <w:rPr>
                <w:sz w:val="20"/>
              </w:rPr>
              <w:t xml:space="preserve">320,8</w:t>
            </w:r>
          </w:p>
        </w:tc>
        <w:tc>
          <w:tcPr>
            <w:tcW w:w="1159" w:type="dxa"/>
          </w:tcPr>
          <w:p>
            <w:pPr>
              <w:pStyle w:val="0"/>
            </w:pPr>
            <w:r>
              <w:rPr>
                <w:sz w:val="20"/>
              </w:rPr>
              <w:t xml:space="preserve">92</w:t>
            </w:r>
          </w:p>
        </w:tc>
        <w:tc>
          <w:tcPr>
            <w:tcW w:w="784" w:type="dxa"/>
          </w:tcPr>
          <w:p>
            <w:pPr>
              <w:pStyle w:val="0"/>
            </w:pPr>
            <w:r>
              <w:rPr>
                <w:sz w:val="20"/>
              </w:rPr>
              <w:t xml:space="preserve">327</w:t>
            </w:r>
          </w:p>
        </w:tc>
        <w:tc>
          <w:tcPr>
            <w:tcW w:w="1159" w:type="dxa"/>
          </w:tcPr>
          <w:p>
            <w:pPr>
              <w:pStyle w:val="0"/>
            </w:pPr>
            <w:r>
              <w:rPr>
                <w:sz w:val="20"/>
              </w:rPr>
              <w:t xml:space="preserve">78</w:t>
            </w:r>
          </w:p>
        </w:tc>
        <w:tc>
          <w:tcPr>
            <w:tcW w:w="1247" w:type="dxa"/>
          </w:tcPr>
          <w:p>
            <w:pPr>
              <w:pStyle w:val="0"/>
            </w:pPr>
            <w:r>
              <w:rPr>
                <w:sz w:val="20"/>
              </w:rPr>
              <w:t xml:space="preserve">234,6</w:t>
            </w:r>
          </w:p>
        </w:tc>
        <w:tc>
          <w:tcPr>
            <w:tcW w:w="1247" w:type="dxa"/>
          </w:tcPr>
          <w:p>
            <w:pPr>
              <w:pStyle w:val="0"/>
            </w:pPr>
            <w:r>
              <w:rPr>
                <w:sz w:val="20"/>
              </w:rPr>
              <w:t xml:space="preserve">79</w:t>
            </w:r>
          </w:p>
        </w:tc>
        <w:tc>
          <w:tcPr>
            <w:tcW w:w="1247" w:type="dxa"/>
          </w:tcPr>
          <w:p>
            <w:pPr>
              <w:pStyle w:val="0"/>
            </w:pPr>
            <w:r>
              <w:rPr>
                <w:sz w:val="20"/>
              </w:rPr>
              <w:t xml:space="preserve">272,8</w:t>
            </w:r>
          </w:p>
        </w:tc>
        <w:tc>
          <w:tcPr>
            <w:tcW w:w="1247" w:type="dxa"/>
          </w:tcPr>
          <w:p>
            <w:pPr>
              <w:pStyle w:val="0"/>
            </w:pPr>
            <w:r>
              <w:rPr>
                <w:sz w:val="20"/>
              </w:rPr>
              <w:t xml:space="preserve">88</w:t>
            </w:r>
          </w:p>
        </w:tc>
        <w:tc>
          <w:tcPr>
            <w:tcW w:w="1247" w:type="dxa"/>
          </w:tcPr>
          <w:p>
            <w:pPr>
              <w:pStyle w:val="0"/>
            </w:pPr>
            <w:r>
              <w:rPr>
                <w:sz w:val="20"/>
              </w:rPr>
              <w:t xml:space="preserve">306,4</w:t>
            </w:r>
          </w:p>
        </w:tc>
      </w:tr>
      <w:tr>
        <w:tc>
          <w:tcPr>
            <w:tcW w:w="2194" w:type="dxa"/>
          </w:tcPr>
          <w:p>
            <w:pPr>
              <w:pStyle w:val="0"/>
            </w:pPr>
            <w:r>
              <w:rPr>
                <w:sz w:val="20"/>
              </w:rPr>
              <w:t xml:space="preserve">Березовский</w:t>
            </w:r>
          </w:p>
        </w:tc>
        <w:tc>
          <w:tcPr>
            <w:tcW w:w="1159" w:type="dxa"/>
          </w:tcPr>
          <w:p>
            <w:pPr>
              <w:pStyle w:val="0"/>
            </w:pPr>
            <w:r>
              <w:rPr>
                <w:sz w:val="20"/>
              </w:rPr>
              <w:t xml:space="preserve">49</w:t>
            </w:r>
          </w:p>
        </w:tc>
        <w:tc>
          <w:tcPr>
            <w:tcW w:w="784" w:type="dxa"/>
          </w:tcPr>
          <w:p>
            <w:pPr>
              <w:pStyle w:val="0"/>
            </w:pPr>
            <w:r>
              <w:rPr>
                <w:sz w:val="20"/>
              </w:rPr>
              <w:t xml:space="preserve">200,1</w:t>
            </w:r>
          </w:p>
        </w:tc>
        <w:tc>
          <w:tcPr>
            <w:tcW w:w="1159" w:type="dxa"/>
          </w:tcPr>
          <w:p>
            <w:pPr>
              <w:pStyle w:val="0"/>
            </w:pPr>
            <w:r>
              <w:rPr>
                <w:sz w:val="20"/>
              </w:rPr>
              <w:t xml:space="preserve">27</w:t>
            </w:r>
          </w:p>
        </w:tc>
        <w:tc>
          <w:tcPr>
            <w:tcW w:w="784" w:type="dxa"/>
          </w:tcPr>
          <w:p>
            <w:pPr>
              <w:pStyle w:val="0"/>
            </w:pPr>
            <w:r>
              <w:rPr>
                <w:sz w:val="20"/>
              </w:rPr>
              <w:t xml:space="preserve">112</w:t>
            </w:r>
          </w:p>
        </w:tc>
        <w:tc>
          <w:tcPr>
            <w:tcW w:w="1159" w:type="dxa"/>
          </w:tcPr>
          <w:p>
            <w:pPr>
              <w:pStyle w:val="0"/>
            </w:pPr>
            <w:r>
              <w:rPr>
                <w:sz w:val="20"/>
              </w:rPr>
              <w:t xml:space="preserve">83</w:t>
            </w:r>
          </w:p>
        </w:tc>
        <w:tc>
          <w:tcPr>
            <w:tcW w:w="784" w:type="dxa"/>
          </w:tcPr>
          <w:p>
            <w:pPr>
              <w:pStyle w:val="0"/>
            </w:pPr>
            <w:r>
              <w:rPr>
                <w:sz w:val="20"/>
              </w:rPr>
              <w:t xml:space="preserve">352,4</w:t>
            </w:r>
          </w:p>
        </w:tc>
        <w:tc>
          <w:tcPr>
            <w:tcW w:w="1159" w:type="dxa"/>
          </w:tcPr>
          <w:p>
            <w:pPr>
              <w:pStyle w:val="0"/>
            </w:pPr>
            <w:r>
              <w:rPr>
                <w:sz w:val="20"/>
              </w:rPr>
              <w:t xml:space="preserve">93</w:t>
            </w:r>
          </w:p>
        </w:tc>
        <w:tc>
          <w:tcPr>
            <w:tcW w:w="784" w:type="dxa"/>
          </w:tcPr>
          <w:p>
            <w:pPr>
              <w:pStyle w:val="0"/>
            </w:pPr>
            <w:r>
              <w:rPr>
                <w:sz w:val="20"/>
              </w:rPr>
              <w:t xml:space="preserve">398,8</w:t>
            </w:r>
          </w:p>
        </w:tc>
        <w:tc>
          <w:tcPr>
            <w:tcW w:w="1159" w:type="dxa"/>
          </w:tcPr>
          <w:p>
            <w:pPr>
              <w:pStyle w:val="0"/>
            </w:pPr>
            <w:r>
              <w:rPr>
                <w:sz w:val="20"/>
              </w:rPr>
              <w:t xml:space="preserve">114</w:t>
            </w:r>
          </w:p>
        </w:tc>
        <w:tc>
          <w:tcPr>
            <w:tcW w:w="784" w:type="dxa"/>
          </w:tcPr>
          <w:p>
            <w:pPr>
              <w:pStyle w:val="0"/>
            </w:pPr>
            <w:r>
              <w:rPr>
                <w:sz w:val="20"/>
              </w:rPr>
              <w:t xml:space="preserve">495</w:t>
            </w:r>
          </w:p>
        </w:tc>
        <w:tc>
          <w:tcPr>
            <w:tcW w:w="1159" w:type="dxa"/>
          </w:tcPr>
          <w:p>
            <w:pPr>
              <w:pStyle w:val="0"/>
            </w:pPr>
            <w:r>
              <w:rPr>
                <w:sz w:val="20"/>
              </w:rPr>
              <w:t xml:space="preserve">110</w:t>
            </w:r>
          </w:p>
        </w:tc>
        <w:tc>
          <w:tcPr>
            <w:tcW w:w="784" w:type="dxa"/>
          </w:tcPr>
          <w:p>
            <w:pPr>
              <w:pStyle w:val="0"/>
            </w:pPr>
            <w:r>
              <w:rPr>
                <w:sz w:val="20"/>
              </w:rPr>
              <w:t xml:space="preserve">490,2</w:t>
            </w:r>
          </w:p>
        </w:tc>
        <w:tc>
          <w:tcPr>
            <w:tcW w:w="1159" w:type="dxa"/>
          </w:tcPr>
          <w:p>
            <w:pPr>
              <w:pStyle w:val="0"/>
            </w:pPr>
            <w:r>
              <w:rPr>
                <w:sz w:val="20"/>
              </w:rPr>
              <w:t xml:space="preserve">98</w:t>
            </w:r>
          </w:p>
        </w:tc>
        <w:tc>
          <w:tcPr>
            <w:tcW w:w="784" w:type="dxa"/>
          </w:tcPr>
          <w:p>
            <w:pPr>
              <w:pStyle w:val="0"/>
            </w:pPr>
            <w:r>
              <w:rPr>
                <w:sz w:val="20"/>
              </w:rPr>
              <w:t xml:space="preserve">419,8</w:t>
            </w:r>
          </w:p>
        </w:tc>
        <w:tc>
          <w:tcPr>
            <w:tcW w:w="1159" w:type="dxa"/>
          </w:tcPr>
          <w:p>
            <w:pPr>
              <w:pStyle w:val="0"/>
            </w:pPr>
            <w:r>
              <w:rPr>
                <w:sz w:val="20"/>
              </w:rPr>
              <w:t xml:space="preserve">68</w:t>
            </w:r>
          </w:p>
        </w:tc>
        <w:tc>
          <w:tcPr>
            <w:tcW w:w="1247" w:type="dxa"/>
          </w:tcPr>
          <w:p>
            <w:pPr>
              <w:pStyle w:val="0"/>
            </w:pPr>
            <w:r>
              <w:rPr>
                <w:sz w:val="20"/>
              </w:rPr>
              <w:t xml:space="preserve">265,6</w:t>
            </w:r>
          </w:p>
        </w:tc>
        <w:tc>
          <w:tcPr>
            <w:tcW w:w="1247" w:type="dxa"/>
          </w:tcPr>
          <w:p>
            <w:pPr>
              <w:pStyle w:val="0"/>
            </w:pPr>
            <w:r>
              <w:rPr>
                <w:sz w:val="20"/>
              </w:rPr>
              <w:t xml:space="preserve">79</w:t>
            </w:r>
          </w:p>
        </w:tc>
        <w:tc>
          <w:tcPr>
            <w:tcW w:w="1247" w:type="dxa"/>
          </w:tcPr>
          <w:p>
            <w:pPr>
              <w:pStyle w:val="0"/>
            </w:pPr>
            <w:r>
              <w:rPr>
                <w:sz w:val="20"/>
              </w:rPr>
              <w:t xml:space="preserve">349,2</w:t>
            </w:r>
          </w:p>
        </w:tc>
        <w:tc>
          <w:tcPr>
            <w:tcW w:w="1247" w:type="dxa"/>
          </w:tcPr>
          <w:p>
            <w:pPr>
              <w:pStyle w:val="0"/>
            </w:pPr>
            <w:r>
              <w:rPr>
                <w:sz w:val="20"/>
              </w:rPr>
              <w:t xml:space="preserve">83</w:t>
            </w:r>
          </w:p>
        </w:tc>
        <w:tc>
          <w:tcPr>
            <w:tcW w:w="1247" w:type="dxa"/>
          </w:tcPr>
          <w:p>
            <w:pPr>
              <w:pStyle w:val="0"/>
            </w:pPr>
            <w:r>
              <w:rPr>
                <w:sz w:val="20"/>
              </w:rPr>
              <w:t xml:space="preserve">373,7</w:t>
            </w:r>
          </w:p>
        </w:tc>
      </w:tr>
      <w:tr>
        <w:tc>
          <w:tcPr>
            <w:tcW w:w="2194" w:type="dxa"/>
          </w:tcPr>
          <w:p>
            <w:pPr>
              <w:pStyle w:val="0"/>
            </w:pPr>
            <w:r>
              <w:rPr>
                <w:sz w:val="20"/>
              </w:rPr>
              <w:t xml:space="preserve">Кондинский</w:t>
            </w:r>
          </w:p>
        </w:tc>
        <w:tc>
          <w:tcPr>
            <w:tcW w:w="1159" w:type="dxa"/>
          </w:tcPr>
          <w:p>
            <w:pPr>
              <w:pStyle w:val="0"/>
            </w:pPr>
            <w:r>
              <w:rPr>
                <w:sz w:val="20"/>
              </w:rPr>
              <w:t xml:space="preserve">153</w:t>
            </w:r>
          </w:p>
        </w:tc>
        <w:tc>
          <w:tcPr>
            <w:tcW w:w="784" w:type="dxa"/>
          </w:tcPr>
          <w:p>
            <w:pPr>
              <w:pStyle w:val="0"/>
            </w:pPr>
            <w:r>
              <w:rPr>
                <w:sz w:val="20"/>
              </w:rPr>
              <w:t xml:space="preserve">465,5</w:t>
            </w:r>
          </w:p>
        </w:tc>
        <w:tc>
          <w:tcPr>
            <w:tcW w:w="1159" w:type="dxa"/>
          </w:tcPr>
          <w:p>
            <w:pPr>
              <w:pStyle w:val="0"/>
            </w:pPr>
            <w:r>
              <w:rPr>
                <w:sz w:val="20"/>
              </w:rPr>
              <w:t xml:space="preserve">104</w:t>
            </w:r>
          </w:p>
        </w:tc>
        <w:tc>
          <w:tcPr>
            <w:tcW w:w="784" w:type="dxa"/>
          </w:tcPr>
          <w:p>
            <w:pPr>
              <w:pStyle w:val="0"/>
            </w:pPr>
            <w:r>
              <w:rPr>
                <w:sz w:val="20"/>
              </w:rPr>
              <w:t xml:space="preserve">321,2</w:t>
            </w:r>
          </w:p>
        </w:tc>
        <w:tc>
          <w:tcPr>
            <w:tcW w:w="1159" w:type="dxa"/>
          </w:tcPr>
          <w:p>
            <w:pPr>
              <w:pStyle w:val="0"/>
            </w:pPr>
            <w:r>
              <w:rPr>
                <w:sz w:val="20"/>
              </w:rPr>
              <w:t xml:space="preserve">149</w:t>
            </w:r>
          </w:p>
        </w:tc>
        <w:tc>
          <w:tcPr>
            <w:tcW w:w="784" w:type="dxa"/>
          </w:tcPr>
          <w:p>
            <w:pPr>
              <w:pStyle w:val="0"/>
            </w:pPr>
            <w:r>
              <w:rPr>
                <w:sz w:val="20"/>
              </w:rPr>
              <w:t xml:space="preserve">467,8</w:t>
            </w:r>
          </w:p>
        </w:tc>
        <w:tc>
          <w:tcPr>
            <w:tcW w:w="1159" w:type="dxa"/>
          </w:tcPr>
          <w:p>
            <w:pPr>
              <w:pStyle w:val="0"/>
            </w:pPr>
            <w:r>
              <w:rPr>
                <w:sz w:val="20"/>
              </w:rPr>
              <w:t xml:space="preserve">136</w:t>
            </w:r>
          </w:p>
        </w:tc>
        <w:tc>
          <w:tcPr>
            <w:tcW w:w="784" w:type="dxa"/>
          </w:tcPr>
          <w:p>
            <w:pPr>
              <w:pStyle w:val="0"/>
            </w:pPr>
            <w:r>
              <w:rPr>
                <w:sz w:val="20"/>
              </w:rPr>
              <w:t xml:space="preserve">429,4</w:t>
            </w:r>
          </w:p>
        </w:tc>
        <w:tc>
          <w:tcPr>
            <w:tcW w:w="1159" w:type="dxa"/>
          </w:tcPr>
          <w:p>
            <w:pPr>
              <w:pStyle w:val="0"/>
            </w:pPr>
            <w:r>
              <w:rPr>
                <w:sz w:val="20"/>
              </w:rPr>
              <w:t xml:space="preserve">155</w:t>
            </w:r>
          </w:p>
        </w:tc>
        <w:tc>
          <w:tcPr>
            <w:tcW w:w="784" w:type="dxa"/>
          </w:tcPr>
          <w:p>
            <w:pPr>
              <w:pStyle w:val="0"/>
            </w:pPr>
            <w:r>
              <w:rPr>
                <w:sz w:val="20"/>
              </w:rPr>
              <w:t xml:space="preserve">495,9</w:t>
            </w:r>
          </w:p>
        </w:tc>
        <w:tc>
          <w:tcPr>
            <w:tcW w:w="1159" w:type="dxa"/>
          </w:tcPr>
          <w:p>
            <w:pPr>
              <w:pStyle w:val="0"/>
            </w:pPr>
            <w:r>
              <w:rPr>
                <w:sz w:val="20"/>
              </w:rPr>
              <w:t xml:space="preserve">129</w:t>
            </w:r>
          </w:p>
        </w:tc>
        <w:tc>
          <w:tcPr>
            <w:tcW w:w="784" w:type="dxa"/>
          </w:tcPr>
          <w:p>
            <w:pPr>
              <w:pStyle w:val="0"/>
            </w:pPr>
            <w:r>
              <w:rPr>
                <w:sz w:val="20"/>
              </w:rPr>
              <w:t xml:space="preserve">417,7</w:t>
            </w:r>
          </w:p>
        </w:tc>
        <w:tc>
          <w:tcPr>
            <w:tcW w:w="1159" w:type="dxa"/>
          </w:tcPr>
          <w:p>
            <w:pPr>
              <w:pStyle w:val="0"/>
            </w:pPr>
            <w:r>
              <w:rPr>
                <w:sz w:val="20"/>
              </w:rPr>
              <w:t xml:space="preserve">129</w:t>
            </w:r>
          </w:p>
        </w:tc>
        <w:tc>
          <w:tcPr>
            <w:tcW w:w="784" w:type="dxa"/>
          </w:tcPr>
          <w:p>
            <w:pPr>
              <w:pStyle w:val="0"/>
            </w:pPr>
            <w:r>
              <w:rPr>
                <w:sz w:val="20"/>
              </w:rPr>
              <w:t xml:space="preserve">409,5</w:t>
            </w:r>
          </w:p>
        </w:tc>
        <w:tc>
          <w:tcPr>
            <w:tcW w:w="1159" w:type="dxa"/>
          </w:tcPr>
          <w:p>
            <w:pPr>
              <w:pStyle w:val="0"/>
            </w:pPr>
            <w:r>
              <w:rPr>
                <w:sz w:val="20"/>
              </w:rPr>
              <w:t xml:space="preserve">85</w:t>
            </w:r>
          </w:p>
        </w:tc>
        <w:tc>
          <w:tcPr>
            <w:tcW w:w="1247" w:type="dxa"/>
          </w:tcPr>
          <w:p>
            <w:pPr>
              <w:pStyle w:val="0"/>
            </w:pPr>
            <w:r>
              <w:rPr>
                <w:sz w:val="20"/>
              </w:rPr>
              <w:t xml:space="preserve">228,6</w:t>
            </w:r>
          </w:p>
        </w:tc>
        <w:tc>
          <w:tcPr>
            <w:tcW w:w="1247" w:type="dxa"/>
          </w:tcPr>
          <w:p>
            <w:pPr>
              <w:pStyle w:val="0"/>
            </w:pPr>
            <w:r>
              <w:rPr>
                <w:sz w:val="20"/>
              </w:rPr>
              <w:t xml:space="preserve">112</w:t>
            </w:r>
          </w:p>
        </w:tc>
        <w:tc>
          <w:tcPr>
            <w:tcW w:w="1247" w:type="dxa"/>
          </w:tcPr>
          <w:p>
            <w:pPr>
              <w:pStyle w:val="0"/>
            </w:pPr>
            <w:r>
              <w:rPr>
                <w:sz w:val="20"/>
              </w:rPr>
              <w:t xml:space="preserve">364,9</w:t>
            </w:r>
          </w:p>
        </w:tc>
        <w:tc>
          <w:tcPr>
            <w:tcW w:w="1247" w:type="dxa"/>
          </w:tcPr>
          <w:p>
            <w:pPr>
              <w:pStyle w:val="0"/>
            </w:pPr>
            <w:r>
              <w:rPr>
                <w:sz w:val="20"/>
              </w:rPr>
              <w:t xml:space="preserve">109</w:t>
            </w:r>
          </w:p>
        </w:tc>
        <w:tc>
          <w:tcPr>
            <w:tcW w:w="1247" w:type="dxa"/>
          </w:tcPr>
          <w:p>
            <w:pPr>
              <w:pStyle w:val="0"/>
            </w:pPr>
            <w:r>
              <w:rPr>
                <w:sz w:val="20"/>
              </w:rPr>
              <w:t xml:space="preserve">357,9</w:t>
            </w:r>
          </w:p>
        </w:tc>
      </w:tr>
      <w:tr>
        <w:tc>
          <w:tcPr>
            <w:tcW w:w="2194" w:type="dxa"/>
          </w:tcPr>
          <w:p>
            <w:pPr>
              <w:pStyle w:val="0"/>
            </w:pPr>
            <w:r>
              <w:rPr>
                <w:sz w:val="20"/>
              </w:rPr>
              <w:t xml:space="preserve">Нефтеюганский</w:t>
            </w:r>
          </w:p>
        </w:tc>
        <w:tc>
          <w:tcPr>
            <w:tcW w:w="1159" w:type="dxa"/>
          </w:tcPr>
          <w:p>
            <w:pPr>
              <w:pStyle w:val="0"/>
            </w:pPr>
            <w:r>
              <w:rPr>
                <w:sz w:val="20"/>
              </w:rPr>
              <w:t xml:space="preserve">81</w:t>
            </w:r>
          </w:p>
        </w:tc>
        <w:tc>
          <w:tcPr>
            <w:tcW w:w="784" w:type="dxa"/>
          </w:tcPr>
          <w:p>
            <w:pPr>
              <w:pStyle w:val="0"/>
            </w:pPr>
            <w:r>
              <w:rPr>
                <w:sz w:val="20"/>
              </w:rPr>
              <w:t xml:space="preserve">183,2</w:t>
            </w:r>
          </w:p>
        </w:tc>
        <w:tc>
          <w:tcPr>
            <w:tcW w:w="1159" w:type="dxa"/>
          </w:tcPr>
          <w:p>
            <w:pPr>
              <w:pStyle w:val="0"/>
            </w:pPr>
            <w:r>
              <w:rPr>
                <w:sz w:val="20"/>
              </w:rPr>
              <w:t xml:space="preserve">65</w:t>
            </w:r>
          </w:p>
        </w:tc>
        <w:tc>
          <w:tcPr>
            <w:tcW w:w="784" w:type="dxa"/>
          </w:tcPr>
          <w:p>
            <w:pPr>
              <w:pStyle w:val="0"/>
            </w:pPr>
            <w:r>
              <w:rPr>
                <w:sz w:val="20"/>
              </w:rPr>
              <w:t xml:space="preserve">146,6</w:t>
            </w:r>
          </w:p>
        </w:tc>
        <w:tc>
          <w:tcPr>
            <w:tcW w:w="1159" w:type="dxa"/>
          </w:tcPr>
          <w:p>
            <w:pPr>
              <w:pStyle w:val="0"/>
            </w:pPr>
            <w:r>
              <w:rPr>
                <w:sz w:val="20"/>
              </w:rPr>
              <w:t xml:space="preserve">91</w:t>
            </w:r>
          </w:p>
        </w:tc>
        <w:tc>
          <w:tcPr>
            <w:tcW w:w="784" w:type="dxa"/>
          </w:tcPr>
          <w:p>
            <w:pPr>
              <w:pStyle w:val="0"/>
            </w:pPr>
            <w:r>
              <w:rPr>
                <w:sz w:val="20"/>
              </w:rPr>
              <w:t xml:space="preserve">202,9</w:t>
            </w:r>
          </w:p>
        </w:tc>
        <w:tc>
          <w:tcPr>
            <w:tcW w:w="1159" w:type="dxa"/>
          </w:tcPr>
          <w:p>
            <w:pPr>
              <w:pStyle w:val="0"/>
            </w:pPr>
            <w:r>
              <w:rPr>
                <w:sz w:val="20"/>
              </w:rPr>
              <w:t xml:space="preserve">98</w:t>
            </w:r>
          </w:p>
        </w:tc>
        <w:tc>
          <w:tcPr>
            <w:tcW w:w="784" w:type="dxa"/>
          </w:tcPr>
          <w:p>
            <w:pPr>
              <w:pStyle w:val="0"/>
            </w:pPr>
            <w:r>
              <w:rPr>
                <w:sz w:val="20"/>
              </w:rPr>
              <w:t xml:space="preserve">217,2</w:t>
            </w:r>
          </w:p>
        </w:tc>
        <w:tc>
          <w:tcPr>
            <w:tcW w:w="1159" w:type="dxa"/>
          </w:tcPr>
          <w:p>
            <w:pPr>
              <w:pStyle w:val="0"/>
            </w:pPr>
            <w:r>
              <w:rPr>
                <w:sz w:val="20"/>
              </w:rPr>
              <w:t xml:space="preserve">86</w:t>
            </w:r>
          </w:p>
        </w:tc>
        <w:tc>
          <w:tcPr>
            <w:tcW w:w="784" w:type="dxa"/>
          </w:tcPr>
          <w:p>
            <w:pPr>
              <w:pStyle w:val="0"/>
            </w:pPr>
            <w:r>
              <w:rPr>
                <w:sz w:val="20"/>
              </w:rPr>
              <w:t xml:space="preserve">189,7</w:t>
            </w:r>
          </w:p>
        </w:tc>
        <w:tc>
          <w:tcPr>
            <w:tcW w:w="1159" w:type="dxa"/>
          </w:tcPr>
          <w:p>
            <w:pPr>
              <w:pStyle w:val="0"/>
            </w:pPr>
            <w:r>
              <w:rPr>
                <w:sz w:val="20"/>
              </w:rPr>
              <w:t xml:space="preserve">91</w:t>
            </w:r>
          </w:p>
        </w:tc>
        <w:tc>
          <w:tcPr>
            <w:tcW w:w="784" w:type="dxa"/>
          </w:tcPr>
          <w:p>
            <w:pPr>
              <w:pStyle w:val="0"/>
            </w:pPr>
            <w:r>
              <w:rPr>
                <w:sz w:val="20"/>
              </w:rPr>
              <w:t xml:space="preserve">203,1</w:t>
            </w:r>
          </w:p>
        </w:tc>
        <w:tc>
          <w:tcPr>
            <w:tcW w:w="1159" w:type="dxa"/>
          </w:tcPr>
          <w:p>
            <w:pPr>
              <w:pStyle w:val="0"/>
            </w:pPr>
            <w:r>
              <w:rPr>
                <w:sz w:val="20"/>
              </w:rPr>
              <w:t xml:space="preserve">96</w:t>
            </w:r>
          </w:p>
        </w:tc>
        <w:tc>
          <w:tcPr>
            <w:tcW w:w="784" w:type="dxa"/>
          </w:tcPr>
          <w:p>
            <w:pPr>
              <w:pStyle w:val="0"/>
            </w:pPr>
            <w:r>
              <w:rPr>
                <w:sz w:val="20"/>
              </w:rPr>
              <w:t xml:space="preserve">215,3</w:t>
            </w:r>
          </w:p>
        </w:tc>
        <w:tc>
          <w:tcPr>
            <w:tcW w:w="1159" w:type="dxa"/>
          </w:tcPr>
          <w:p>
            <w:pPr>
              <w:pStyle w:val="0"/>
            </w:pPr>
            <w:r>
              <w:rPr>
                <w:sz w:val="20"/>
              </w:rPr>
              <w:t xml:space="preserve">80</w:t>
            </w:r>
          </w:p>
        </w:tc>
        <w:tc>
          <w:tcPr>
            <w:tcW w:w="1247" w:type="dxa"/>
          </w:tcPr>
          <w:p>
            <w:pPr>
              <w:pStyle w:val="0"/>
            </w:pPr>
            <w:r>
              <w:rPr>
                <w:sz w:val="20"/>
              </w:rPr>
              <w:t xml:space="preserve">168,2</w:t>
            </w:r>
          </w:p>
        </w:tc>
        <w:tc>
          <w:tcPr>
            <w:tcW w:w="1247" w:type="dxa"/>
          </w:tcPr>
          <w:p>
            <w:pPr>
              <w:pStyle w:val="0"/>
            </w:pPr>
            <w:r>
              <w:rPr>
                <w:sz w:val="20"/>
              </w:rPr>
              <w:t xml:space="preserve">83</w:t>
            </w:r>
          </w:p>
        </w:tc>
        <w:tc>
          <w:tcPr>
            <w:tcW w:w="1247" w:type="dxa"/>
          </w:tcPr>
          <w:p>
            <w:pPr>
              <w:pStyle w:val="0"/>
            </w:pPr>
            <w:r>
              <w:rPr>
                <w:sz w:val="20"/>
              </w:rPr>
              <w:t xml:space="preserve">183,1</w:t>
            </w:r>
          </w:p>
        </w:tc>
        <w:tc>
          <w:tcPr>
            <w:tcW w:w="1247" w:type="dxa"/>
          </w:tcPr>
          <w:p>
            <w:pPr>
              <w:pStyle w:val="0"/>
            </w:pPr>
            <w:r>
              <w:rPr>
                <w:sz w:val="20"/>
              </w:rPr>
              <w:t xml:space="preserve">107</w:t>
            </w:r>
          </w:p>
        </w:tc>
        <w:tc>
          <w:tcPr>
            <w:tcW w:w="1247" w:type="dxa"/>
          </w:tcPr>
          <w:p>
            <w:pPr>
              <w:pStyle w:val="0"/>
            </w:pPr>
            <w:r>
              <w:rPr>
                <w:sz w:val="20"/>
              </w:rPr>
              <w:t xml:space="preserve">237,4</w:t>
            </w:r>
          </w:p>
        </w:tc>
      </w:tr>
      <w:tr>
        <w:tc>
          <w:tcPr>
            <w:tcW w:w="2194" w:type="dxa"/>
          </w:tcPr>
          <w:p>
            <w:pPr>
              <w:pStyle w:val="0"/>
            </w:pPr>
            <w:r>
              <w:rPr>
                <w:sz w:val="20"/>
              </w:rPr>
              <w:t xml:space="preserve">Нижневартовский</w:t>
            </w:r>
          </w:p>
        </w:tc>
        <w:tc>
          <w:tcPr>
            <w:tcW w:w="1159" w:type="dxa"/>
          </w:tcPr>
          <w:p>
            <w:pPr>
              <w:pStyle w:val="0"/>
            </w:pPr>
            <w:r>
              <w:rPr>
                <w:sz w:val="20"/>
              </w:rPr>
              <w:t xml:space="preserve">72</w:t>
            </w:r>
          </w:p>
        </w:tc>
        <w:tc>
          <w:tcPr>
            <w:tcW w:w="784" w:type="dxa"/>
          </w:tcPr>
          <w:p>
            <w:pPr>
              <w:pStyle w:val="0"/>
            </w:pPr>
            <w:r>
              <w:rPr>
                <w:sz w:val="20"/>
              </w:rPr>
              <w:t xml:space="preserve">199,5</w:t>
            </w:r>
          </w:p>
        </w:tc>
        <w:tc>
          <w:tcPr>
            <w:tcW w:w="1159" w:type="dxa"/>
          </w:tcPr>
          <w:p>
            <w:pPr>
              <w:pStyle w:val="0"/>
            </w:pPr>
            <w:r>
              <w:rPr>
                <w:sz w:val="20"/>
              </w:rPr>
              <w:t xml:space="preserve">103</w:t>
            </w:r>
          </w:p>
        </w:tc>
        <w:tc>
          <w:tcPr>
            <w:tcW w:w="784" w:type="dxa"/>
          </w:tcPr>
          <w:p>
            <w:pPr>
              <w:pStyle w:val="0"/>
            </w:pPr>
            <w:r>
              <w:rPr>
                <w:sz w:val="20"/>
              </w:rPr>
              <w:t xml:space="preserve">288,1</w:t>
            </w:r>
          </w:p>
        </w:tc>
        <w:tc>
          <w:tcPr>
            <w:tcW w:w="1159" w:type="dxa"/>
          </w:tcPr>
          <w:p>
            <w:pPr>
              <w:pStyle w:val="0"/>
            </w:pPr>
            <w:r>
              <w:rPr>
                <w:sz w:val="20"/>
              </w:rPr>
              <w:t xml:space="preserve">88</w:t>
            </w:r>
          </w:p>
        </w:tc>
        <w:tc>
          <w:tcPr>
            <w:tcW w:w="784" w:type="dxa"/>
          </w:tcPr>
          <w:p>
            <w:pPr>
              <w:pStyle w:val="0"/>
            </w:pPr>
            <w:r>
              <w:rPr>
                <w:sz w:val="20"/>
              </w:rPr>
              <w:t xml:space="preserve">245</w:t>
            </w:r>
          </w:p>
        </w:tc>
        <w:tc>
          <w:tcPr>
            <w:tcW w:w="1159" w:type="dxa"/>
          </w:tcPr>
          <w:p>
            <w:pPr>
              <w:pStyle w:val="0"/>
            </w:pPr>
            <w:r>
              <w:rPr>
                <w:sz w:val="20"/>
              </w:rPr>
              <w:t xml:space="preserve">85</w:t>
            </w:r>
          </w:p>
        </w:tc>
        <w:tc>
          <w:tcPr>
            <w:tcW w:w="784" w:type="dxa"/>
          </w:tcPr>
          <w:p>
            <w:pPr>
              <w:pStyle w:val="0"/>
            </w:pPr>
            <w:r>
              <w:rPr>
                <w:sz w:val="20"/>
              </w:rPr>
              <w:t xml:space="preserve">235,1</w:t>
            </w:r>
          </w:p>
        </w:tc>
        <w:tc>
          <w:tcPr>
            <w:tcW w:w="1159" w:type="dxa"/>
          </w:tcPr>
          <w:p>
            <w:pPr>
              <w:pStyle w:val="0"/>
            </w:pPr>
            <w:r>
              <w:rPr>
                <w:sz w:val="20"/>
              </w:rPr>
              <w:t xml:space="preserve">78</w:t>
            </w:r>
          </w:p>
        </w:tc>
        <w:tc>
          <w:tcPr>
            <w:tcW w:w="784" w:type="dxa"/>
          </w:tcPr>
          <w:p>
            <w:pPr>
              <w:pStyle w:val="0"/>
            </w:pPr>
            <w:r>
              <w:rPr>
                <w:sz w:val="20"/>
              </w:rPr>
              <w:t xml:space="preserve">215,1</w:t>
            </w:r>
          </w:p>
        </w:tc>
        <w:tc>
          <w:tcPr>
            <w:tcW w:w="1159" w:type="dxa"/>
          </w:tcPr>
          <w:p>
            <w:pPr>
              <w:pStyle w:val="0"/>
            </w:pPr>
            <w:r>
              <w:rPr>
                <w:sz w:val="20"/>
              </w:rPr>
              <w:t xml:space="preserve">60</w:t>
            </w:r>
          </w:p>
        </w:tc>
        <w:tc>
          <w:tcPr>
            <w:tcW w:w="784" w:type="dxa"/>
          </w:tcPr>
          <w:p>
            <w:pPr>
              <w:pStyle w:val="0"/>
            </w:pPr>
            <w:r>
              <w:rPr>
                <w:sz w:val="20"/>
              </w:rPr>
              <w:t xml:space="preserve">166,4</w:t>
            </w:r>
          </w:p>
        </w:tc>
        <w:tc>
          <w:tcPr>
            <w:tcW w:w="1159" w:type="dxa"/>
          </w:tcPr>
          <w:p>
            <w:pPr>
              <w:pStyle w:val="0"/>
            </w:pPr>
            <w:r>
              <w:rPr>
                <w:sz w:val="20"/>
              </w:rPr>
              <w:t xml:space="preserve">73</w:t>
            </w:r>
          </w:p>
        </w:tc>
        <w:tc>
          <w:tcPr>
            <w:tcW w:w="784" w:type="dxa"/>
          </w:tcPr>
          <w:p>
            <w:pPr>
              <w:pStyle w:val="0"/>
            </w:pPr>
            <w:r>
              <w:rPr>
                <w:sz w:val="20"/>
              </w:rPr>
              <w:t xml:space="preserve">202,7</w:t>
            </w:r>
          </w:p>
        </w:tc>
        <w:tc>
          <w:tcPr>
            <w:tcW w:w="1159" w:type="dxa"/>
          </w:tcPr>
          <w:p>
            <w:pPr>
              <w:pStyle w:val="0"/>
            </w:pPr>
            <w:r>
              <w:rPr>
                <w:sz w:val="20"/>
              </w:rPr>
              <w:t xml:space="preserve">85</w:t>
            </w:r>
          </w:p>
        </w:tc>
        <w:tc>
          <w:tcPr>
            <w:tcW w:w="1247" w:type="dxa"/>
          </w:tcPr>
          <w:p>
            <w:pPr>
              <w:pStyle w:val="0"/>
            </w:pPr>
            <w:r>
              <w:rPr>
                <w:sz w:val="20"/>
              </w:rPr>
              <w:t xml:space="preserve">224,9</w:t>
            </w:r>
          </w:p>
        </w:tc>
        <w:tc>
          <w:tcPr>
            <w:tcW w:w="1247" w:type="dxa"/>
          </w:tcPr>
          <w:p>
            <w:pPr>
              <w:pStyle w:val="0"/>
            </w:pPr>
            <w:r>
              <w:rPr>
                <w:sz w:val="20"/>
              </w:rPr>
              <w:t xml:space="preserve">88</w:t>
            </w:r>
          </w:p>
        </w:tc>
        <w:tc>
          <w:tcPr>
            <w:tcW w:w="1247" w:type="dxa"/>
          </w:tcPr>
          <w:p>
            <w:pPr>
              <w:pStyle w:val="0"/>
            </w:pPr>
            <w:r>
              <w:rPr>
                <w:sz w:val="20"/>
              </w:rPr>
              <w:t xml:space="preserve">241,1</w:t>
            </w:r>
          </w:p>
        </w:tc>
        <w:tc>
          <w:tcPr>
            <w:tcW w:w="1247" w:type="dxa"/>
          </w:tcPr>
          <w:p>
            <w:pPr>
              <w:pStyle w:val="0"/>
            </w:pPr>
            <w:r>
              <w:rPr>
                <w:sz w:val="20"/>
              </w:rPr>
              <w:t xml:space="preserve">82</w:t>
            </w:r>
          </w:p>
        </w:tc>
        <w:tc>
          <w:tcPr>
            <w:tcW w:w="1247" w:type="dxa"/>
          </w:tcPr>
          <w:p>
            <w:pPr>
              <w:pStyle w:val="0"/>
            </w:pPr>
            <w:r>
              <w:rPr>
                <w:sz w:val="20"/>
              </w:rPr>
              <w:t xml:space="preserve">226,1</w:t>
            </w:r>
          </w:p>
        </w:tc>
      </w:tr>
      <w:tr>
        <w:tc>
          <w:tcPr>
            <w:tcW w:w="2194" w:type="dxa"/>
          </w:tcPr>
          <w:p>
            <w:pPr>
              <w:pStyle w:val="0"/>
            </w:pPr>
            <w:r>
              <w:rPr>
                <w:sz w:val="20"/>
              </w:rPr>
              <w:t xml:space="preserve">Октябрьский</w:t>
            </w:r>
          </w:p>
        </w:tc>
        <w:tc>
          <w:tcPr>
            <w:tcW w:w="1159" w:type="dxa"/>
          </w:tcPr>
          <w:p>
            <w:pPr>
              <w:pStyle w:val="0"/>
            </w:pPr>
            <w:r>
              <w:rPr>
                <w:sz w:val="20"/>
              </w:rPr>
              <w:t xml:space="preserve">109</w:t>
            </w:r>
          </w:p>
        </w:tc>
        <w:tc>
          <w:tcPr>
            <w:tcW w:w="784" w:type="dxa"/>
          </w:tcPr>
          <w:p>
            <w:pPr>
              <w:pStyle w:val="0"/>
            </w:pPr>
            <w:r>
              <w:rPr>
                <w:sz w:val="20"/>
              </w:rPr>
              <w:t xml:space="preserve">358,6</w:t>
            </w:r>
          </w:p>
        </w:tc>
        <w:tc>
          <w:tcPr>
            <w:tcW w:w="1159" w:type="dxa"/>
          </w:tcPr>
          <w:p>
            <w:pPr>
              <w:pStyle w:val="0"/>
            </w:pPr>
            <w:r>
              <w:rPr>
                <w:sz w:val="20"/>
              </w:rPr>
              <w:t xml:space="preserve">112</w:t>
            </w:r>
          </w:p>
        </w:tc>
        <w:tc>
          <w:tcPr>
            <w:tcW w:w="784" w:type="dxa"/>
          </w:tcPr>
          <w:p>
            <w:pPr>
              <w:pStyle w:val="0"/>
            </w:pPr>
            <w:r>
              <w:rPr>
                <w:sz w:val="20"/>
              </w:rPr>
              <w:t xml:space="preserve">375,5</w:t>
            </w:r>
          </w:p>
        </w:tc>
        <w:tc>
          <w:tcPr>
            <w:tcW w:w="1159" w:type="dxa"/>
          </w:tcPr>
          <w:p>
            <w:pPr>
              <w:pStyle w:val="0"/>
            </w:pPr>
            <w:r>
              <w:rPr>
                <w:sz w:val="20"/>
              </w:rPr>
              <w:t xml:space="preserve">104</w:t>
            </w:r>
          </w:p>
        </w:tc>
        <w:tc>
          <w:tcPr>
            <w:tcW w:w="784" w:type="dxa"/>
          </w:tcPr>
          <w:p>
            <w:pPr>
              <w:pStyle w:val="0"/>
            </w:pPr>
            <w:r>
              <w:rPr>
                <w:sz w:val="20"/>
              </w:rPr>
              <w:t xml:space="preserve">353,5</w:t>
            </w:r>
          </w:p>
        </w:tc>
        <w:tc>
          <w:tcPr>
            <w:tcW w:w="1159" w:type="dxa"/>
          </w:tcPr>
          <w:p>
            <w:pPr>
              <w:pStyle w:val="0"/>
            </w:pPr>
            <w:r>
              <w:rPr>
                <w:sz w:val="20"/>
              </w:rPr>
              <w:t xml:space="preserve">113</w:t>
            </w:r>
          </w:p>
        </w:tc>
        <w:tc>
          <w:tcPr>
            <w:tcW w:w="784" w:type="dxa"/>
          </w:tcPr>
          <w:p>
            <w:pPr>
              <w:pStyle w:val="0"/>
            </w:pPr>
            <w:r>
              <w:rPr>
                <w:sz w:val="20"/>
              </w:rPr>
              <w:t xml:space="preserve">385,1</w:t>
            </w:r>
          </w:p>
        </w:tc>
        <w:tc>
          <w:tcPr>
            <w:tcW w:w="1159" w:type="dxa"/>
          </w:tcPr>
          <w:p>
            <w:pPr>
              <w:pStyle w:val="0"/>
            </w:pPr>
            <w:r>
              <w:rPr>
                <w:sz w:val="20"/>
              </w:rPr>
              <w:t xml:space="preserve">101</w:t>
            </w:r>
          </w:p>
        </w:tc>
        <w:tc>
          <w:tcPr>
            <w:tcW w:w="784" w:type="dxa"/>
          </w:tcPr>
          <w:p>
            <w:pPr>
              <w:pStyle w:val="0"/>
            </w:pPr>
            <w:r>
              <w:rPr>
                <w:sz w:val="20"/>
              </w:rPr>
              <w:t xml:space="preserve">347,2</w:t>
            </w:r>
          </w:p>
        </w:tc>
        <w:tc>
          <w:tcPr>
            <w:tcW w:w="1159" w:type="dxa"/>
          </w:tcPr>
          <w:p>
            <w:pPr>
              <w:pStyle w:val="0"/>
            </w:pPr>
            <w:r>
              <w:rPr>
                <w:sz w:val="20"/>
              </w:rPr>
              <w:t xml:space="preserve">114</w:t>
            </w:r>
          </w:p>
        </w:tc>
        <w:tc>
          <w:tcPr>
            <w:tcW w:w="784" w:type="dxa"/>
          </w:tcPr>
          <w:p>
            <w:pPr>
              <w:pStyle w:val="0"/>
            </w:pPr>
            <w:r>
              <w:rPr>
                <w:sz w:val="20"/>
              </w:rPr>
              <w:t xml:space="preserve">400,6</w:t>
            </w:r>
          </w:p>
        </w:tc>
        <w:tc>
          <w:tcPr>
            <w:tcW w:w="1159" w:type="dxa"/>
          </w:tcPr>
          <w:p>
            <w:pPr>
              <w:pStyle w:val="0"/>
            </w:pPr>
            <w:r>
              <w:rPr>
                <w:sz w:val="20"/>
              </w:rPr>
              <w:t xml:space="preserve">99</w:t>
            </w:r>
          </w:p>
        </w:tc>
        <w:tc>
          <w:tcPr>
            <w:tcW w:w="784" w:type="dxa"/>
          </w:tcPr>
          <w:p>
            <w:pPr>
              <w:pStyle w:val="0"/>
            </w:pPr>
            <w:r>
              <w:rPr>
                <w:sz w:val="20"/>
              </w:rPr>
              <w:t xml:space="preserve">385</w:t>
            </w:r>
          </w:p>
        </w:tc>
        <w:tc>
          <w:tcPr>
            <w:tcW w:w="1159" w:type="dxa"/>
          </w:tcPr>
          <w:p>
            <w:pPr>
              <w:pStyle w:val="0"/>
            </w:pPr>
            <w:r>
              <w:rPr>
                <w:sz w:val="20"/>
              </w:rPr>
              <w:t xml:space="preserve">70</w:t>
            </w:r>
          </w:p>
        </w:tc>
        <w:tc>
          <w:tcPr>
            <w:tcW w:w="1247" w:type="dxa"/>
          </w:tcPr>
          <w:p>
            <w:pPr>
              <w:pStyle w:val="0"/>
            </w:pPr>
            <w:r>
              <w:rPr>
                <w:sz w:val="20"/>
              </w:rPr>
              <w:t xml:space="preserve">248,9</w:t>
            </w:r>
          </w:p>
        </w:tc>
        <w:tc>
          <w:tcPr>
            <w:tcW w:w="1247" w:type="dxa"/>
          </w:tcPr>
          <w:p>
            <w:pPr>
              <w:pStyle w:val="0"/>
            </w:pPr>
            <w:r>
              <w:rPr>
                <w:sz w:val="20"/>
              </w:rPr>
              <w:t xml:space="preserve">75</w:t>
            </w:r>
          </w:p>
        </w:tc>
        <w:tc>
          <w:tcPr>
            <w:tcW w:w="1247" w:type="dxa"/>
          </w:tcPr>
          <w:p>
            <w:pPr>
              <w:pStyle w:val="0"/>
            </w:pPr>
            <w:r>
              <w:rPr>
                <w:sz w:val="20"/>
              </w:rPr>
              <w:t xml:space="preserve">317,8</w:t>
            </w:r>
          </w:p>
        </w:tc>
        <w:tc>
          <w:tcPr>
            <w:tcW w:w="1247" w:type="dxa"/>
          </w:tcPr>
          <w:p>
            <w:pPr>
              <w:pStyle w:val="0"/>
            </w:pPr>
            <w:r>
              <w:rPr>
                <w:sz w:val="20"/>
              </w:rPr>
              <w:t xml:space="preserve">36</w:t>
            </w:r>
          </w:p>
        </w:tc>
        <w:tc>
          <w:tcPr>
            <w:tcW w:w="1247" w:type="dxa"/>
          </w:tcPr>
          <w:p>
            <w:pPr>
              <w:pStyle w:val="0"/>
            </w:pPr>
            <w:r>
              <w:rPr>
                <w:sz w:val="20"/>
              </w:rPr>
              <w:t xml:space="preserve">130,4</w:t>
            </w:r>
          </w:p>
        </w:tc>
      </w:tr>
      <w:tr>
        <w:tc>
          <w:tcPr>
            <w:tcW w:w="2194" w:type="dxa"/>
          </w:tcPr>
          <w:p>
            <w:pPr>
              <w:pStyle w:val="0"/>
            </w:pPr>
            <w:r>
              <w:rPr>
                <w:sz w:val="20"/>
              </w:rPr>
              <w:t xml:space="preserve">Советский</w:t>
            </w:r>
          </w:p>
        </w:tc>
        <w:tc>
          <w:tcPr>
            <w:tcW w:w="1159" w:type="dxa"/>
          </w:tcPr>
          <w:p>
            <w:pPr>
              <w:pStyle w:val="0"/>
            </w:pPr>
            <w:r>
              <w:rPr>
                <w:sz w:val="20"/>
              </w:rPr>
              <w:t xml:space="preserve">171</w:t>
            </w:r>
          </w:p>
        </w:tc>
        <w:tc>
          <w:tcPr>
            <w:tcW w:w="784" w:type="dxa"/>
          </w:tcPr>
          <w:p>
            <w:pPr>
              <w:pStyle w:val="0"/>
            </w:pPr>
            <w:r>
              <w:rPr>
                <w:sz w:val="20"/>
              </w:rPr>
              <w:t xml:space="preserve">354,2</w:t>
            </w:r>
          </w:p>
        </w:tc>
        <w:tc>
          <w:tcPr>
            <w:tcW w:w="1159" w:type="dxa"/>
          </w:tcPr>
          <w:p>
            <w:pPr>
              <w:pStyle w:val="0"/>
            </w:pPr>
            <w:r>
              <w:rPr>
                <w:sz w:val="20"/>
              </w:rPr>
              <w:t xml:space="preserve">180</w:t>
            </w:r>
          </w:p>
        </w:tc>
        <w:tc>
          <w:tcPr>
            <w:tcW w:w="784" w:type="dxa"/>
          </w:tcPr>
          <w:p>
            <w:pPr>
              <w:pStyle w:val="0"/>
            </w:pPr>
            <w:r>
              <w:rPr>
                <w:sz w:val="20"/>
              </w:rPr>
              <w:t xml:space="preserve">372</w:t>
            </w:r>
          </w:p>
        </w:tc>
        <w:tc>
          <w:tcPr>
            <w:tcW w:w="1159" w:type="dxa"/>
          </w:tcPr>
          <w:p>
            <w:pPr>
              <w:pStyle w:val="0"/>
            </w:pPr>
            <w:r>
              <w:rPr>
                <w:sz w:val="20"/>
              </w:rPr>
              <w:t xml:space="preserve">164</w:t>
            </w:r>
          </w:p>
        </w:tc>
        <w:tc>
          <w:tcPr>
            <w:tcW w:w="784" w:type="dxa"/>
          </w:tcPr>
          <w:p>
            <w:pPr>
              <w:pStyle w:val="0"/>
            </w:pPr>
            <w:r>
              <w:rPr>
                <w:sz w:val="20"/>
              </w:rPr>
              <w:t xml:space="preserve">337,5</w:t>
            </w:r>
          </w:p>
        </w:tc>
        <w:tc>
          <w:tcPr>
            <w:tcW w:w="1159" w:type="dxa"/>
          </w:tcPr>
          <w:p>
            <w:pPr>
              <w:pStyle w:val="0"/>
            </w:pPr>
            <w:r>
              <w:rPr>
                <w:sz w:val="20"/>
              </w:rPr>
              <w:t xml:space="preserve">148</w:t>
            </w:r>
          </w:p>
        </w:tc>
        <w:tc>
          <w:tcPr>
            <w:tcW w:w="784" w:type="dxa"/>
          </w:tcPr>
          <w:p>
            <w:pPr>
              <w:pStyle w:val="0"/>
            </w:pPr>
            <w:r>
              <w:rPr>
                <w:sz w:val="20"/>
              </w:rPr>
              <w:t xml:space="preserve">303,7</w:t>
            </w:r>
          </w:p>
        </w:tc>
        <w:tc>
          <w:tcPr>
            <w:tcW w:w="1159" w:type="dxa"/>
          </w:tcPr>
          <w:p>
            <w:pPr>
              <w:pStyle w:val="0"/>
            </w:pPr>
            <w:r>
              <w:rPr>
                <w:sz w:val="20"/>
              </w:rPr>
              <w:t xml:space="preserve">148</w:t>
            </w:r>
          </w:p>
        </w:tc>
        <w:tc>
          <w:tcPr>
            <w:tcW w:w="784" w:type="dxa"/>
          </w:tcPr>
          <w:p>
            <w:pPr>
              <w:pStyle w:val="0"/>
            </w:pPr>
            <w:r>
              <w:rPr>
                <w:sz w:val="20"/>
              </w:rPr>
              <w:t xml:space="preserve">303,5</w:t>
            </w:r>
          </w:p>
        </w:tc>
        <w:tc>
          <w:tcPr>
            <w:tcW w:w="1159" w:type="dxa"/>
          </w:tcPr>
          <w:p>
            <w:pPr>
              <w:pStyle w:val="0"/>
            </w:pPr>
            <w:r>
              <w:rPr>
                <w:sz w:val="20"/>
              </w:rPr>
              <w:t xml:space="preserve">196</w:t>
            </w:r>
          </w:p>
        </w:tc>
        <w:tc>
          <w:tcPr>
            <w:tcW w:w="784" w:type="dxa"/>
          </w:tcPr>
          <w:p>
            <w:pPr>
              <w:pStyle w:val="0"/>
            </w:pPr>
            <w:r>
              <w:rPr>
                <w:sz w:val="20"/>
              </w:rPr>
              <w:t xml:space="preserve">405,7</w:t>
            </w:r>
          </w:p>
        </w:tc>
        <w:tc>
          <w:tcPr>
            <w:tcW w:w="1159" w:type="dxa"/>
          </w:tcPr>
          <w:p>
            <w:pPr>
              <w:pStyle w:val="0"/>
            </w:pPr>
            <w:r>
              <w:rPr>
                <w:sz w:val="20"/>
              </w:rPr>
              <w:t xml:space="preserve">230</w:t>
            </w:r>
          </w:p>
        </w:tc>
        <w:tc>
          <w:tcPr>
            <w:tcW w:w="784" w:type="dxa"/>
          </w:tcPr>
          <w:p>
            <w:pPr>
              <w:pStyle w:val="0"/>
            </w:pPr>
            <w:r>
              <w:rPr>
                <w:sz w:val="20"/>
              </w:rPr>
              <w:t xml:space="preserve">467,7</w:t>
            </w:r>
          </w:p>
        </w:tc>
        <w:tc>
          <w:tcPr>
            <w:tcW w:w="1159" w:type="dxa"/>
          </w:tcPr>
          <w:p>
            <w:pPr>
              <w:pStyle w:val="0"/>
            </w:pPr>
            <w:r>
              <w:rPr>
                <w:sz w:val="20"/>
              </w:rPr>
              <w:t xml:space="preserve">189</w:t>
            </w:r>
          </w:p>
        </w:tc>
        <w:tc>
          <w:tcPr>
            <w:tcW w:w="1247" w:type="dxa"/>
          </w:tcPr>
          <w:p>
            <w:pPr>
              <w:pStyle w:val="0"/>
            </w:pPr>
            <w:r>
              <w:rPr>
                <w:sz w:val="20"/>
              </w:rPr>
              <w:t xml:space="preserve">343,6</w:t>
            </w:r>
          </w:p>
        </w:tc>
        <w:tc>
          <w:tcPr>
            <w:tcW w:w="1247" w:type="dxa"/>
          </w:tcPr>
          <w:p>
            <w:pPr>
              <w:pStyle w:val="0"/>
            </w:pPr>
            <w:r>
              <w:rPr>
                <w:sz w:val="20"/>
              </w:rPr>
              <w:t xml:space="preserve">181</w:t>
            </w:r>
          </w:p>
        </w:tc>
        <w:tc>
          <w:tcPr>
            <w:tcW w:w="1247" w:type="dxa"/>
          </w:tcPr>
          <w:p>
            <w:pPr>
              <w:pStyle w:val="0"/>
            </w:pPr>
            <w:r>
              <w:rPr>
                <w:sz w:val="20"/>
              </w:rPr>
              <w:t xml:space="preserve">382,7</w:t>
            </w:r>
          </w:p>
        </w:tc>
        <w:tc>
          <w:tcPr>
            <w:tcW w:w="1247" w:type="dxa"/>
          </w:tcPr>
          <w:p>
            <w:pPr>
              <w:pStyle w:val="0"/>
            </w:pPr>
            <w:r>
              <w:rPr>
                <w:sz w:val="20"/>
              </w:rPr>
              <w:t xml:space="preserve">220</w:t>
            </w:r>
          </w:p>
        </w:tc>
        <w:tc>
          <w:tcPr>
            <w:tcW w:w="1247" w:type="dxa"/>
          </w:tcPr>
          <w:p>
            <w:pPr>
              <w:pStyle w:val="0"/>
            </w:pPr>
            <w:r>
              <w:rPr>
                <w:sz w:val="20"/>
              </w:rPr>
              <w:t xml:space="preserve">467,9</w:t>
            </w:r>
          </w:p>
        </w:tc>
      </w:tr>
      <w:tr>
        <w:tc>
          <w:tcPr>
            <w:tcW w:w="2194" w:type="dxa"/>
          </w:tcPr>
          <w:p>
            <w:pPr>
              <w:pStyle w:val="0"/>
            </w:pPr>
            <w:r>
              <w:rPr>
                <w:sz w:val="20"/>
              </w:rPr>
              <w:t xml:space="preserve">Сургутский</w:t>
            </w:r>
          </w:p>
        </w:tc>
        <w:tc>
          <w:tcPr>
            <w:tcW w:w="1159" w:type="dxa"/>
          </w:tcPr>
          <w:p>
            <w:pPr>
              <w:pStyle w:val="0"/>
            </w:pPr>
            <w:r>
              <w:rPr>
                <w:sz w:val="20"/>
              </w:rPr>
              <w:t xml:space="preserve">186</w:t>
            </w:r>
          </w:p>
        </w:tc>
        <w:tc>
          <w:tcPr>
            <w:tcW w:w="784" w:type="dxa"/>
          </w:tcPr>
          <w:p>
            <w:pPr>
              <w:pStyle w:val="0"/>
            </w:pPr>
            <w:r>
              <w:rPr>
                <w:sz w:val="20"/>
              </w:rPr>
              <w:t xml:space="preserve">154</w:t>
            </w:r>
          </w:p>
        </w:tc>
        <w:tc>
          <w:tcPr>
            <w:tcW w:w="1159" w:type="dxa"/>
          </w:tcPr>
          <w:p>
            <w:pPr>
              <w:pStyle w:val="0"/>
            </w:pPr>
            <w:r>
              <w:rPr>
                <w:sz w:val="20"/>
              </w:rPr>
              <w:t xml:space="preserve">206</w:t>
            </w:r>
          </w:p>
        </w:tc>
        <w:tc>
          <w:tcPr>
            <w:tcW w:w="784" w:type="dxa"/>
          </w:tcPr>
          <w:p>
            <w:pPr>
              <w:pStyle w:val="0"/>
            </w:pPr>
            <w:r>
              <w:rPr>
                <w:sz w:val="20"/>
              </w:rPr>
              <w:t xml:space="preserve">169,2</w:t>
            </w:r>
          </w:p>
        </w:tc>
        <w:tc>
          <w:tcPr>
            <w:tcW w:w="1159" w:type="dxa"/>
          </w:tcPr>
          <w:p>
            <w:pPr>
              <w:pStyle w:val="0"/>
            </w:pPr>
            <w:r>
              <w:rPr>
                <w:sz w:val="20"/>
              </w:rPr>
              <w:t xml:space="preserve">221</w:t>
            </w:r>
          </w:p>
        </w:tc>
        <w:tc>
          <w:tcPr>
            <w:tcW w:w="784" w:type="dxa"/>
          </w:tcPr>
          <w:p>
            <w:pPr>
              <w:pStyle w:val="0"/>
            </w:pPr>
            <w:r>
              <w:rPr>
                <w:sz w:val="20"/>
              </w:rPr>
              <w:t xml:space="preserve">180,6</w:t>
            </w:r>
          </w:p>
        </w:tc>
        <w:tc>
          <w:tcPr>
            <w:tcW w:w="1159" w:type="dxa"/>
          </w:tcPr>
          <w:p>
            <w:pPr>
              <w:pStyle w:val="0"/>
            </w:pPr>
            <w:r>
              <w:rPr>
                <w:sz w:val="20"/>
              </w:rPr>
              <w:t xml:space="preserve">210</w:t>
            </w:r>
          </w:p>
        </w:tc>
        <w:tc>
          <w:tcPr>
            <w:tcW w:w="784" w:type="dxa"/>
          </w:tcPr>
          <w:p>
            <w:pPr>
              <w:pStyle w:val="0"/>
            </w:pPr>
            <w:r>
              <w:rPr>
                <w:sz w:val="20"/>
              </w:rPr>
              <w:t xml:space="preserve">169,7</w:t>
            </w:r>
          </w:p>
        </w:tc>
        <w:tc>
          <w:tcPr>
            <w:tcW w:w="1159" w:type="dxa"/>
          </w:tcPr>
          <w:p>
            <w:pPr>
              <w:pStyle w:val="0"/>
            </w:pPr>
            <w:r>
              <w:rPr>
                <w:sz w:val="20"/>
              </w:rPr>
              <w:t xml:space="preserve">199</w:t>
            </w:r>
          </w:p>
        </w:tc>
        <w:tc>
          <w:tcPr>
            <w:tcW w:w="784" w:type="dxa"/>
          </w:tcPr>
          <w:p>
            <w:pPr>
              <w:pStyle w:val="0"/>
            </w:pPr>
            <w:r>
              <w:rPr>
                <w:sz w:val="20"/>
              </w:rPr>
              <w:t xml:space="preserve">162</w:t>
            </w:r>
          </w:p>
        </w:tc>
        <w:tc>
          <w:tcPr>
            <w:tcW w:w="1159" w:type="dxa"/>
          </w:tcPr>
          <w:p>
            <w:pPr>
              <w:pStyle w:val="0"/>
            </w:pPr>
            <w:r>
              <w:rPr>
                <w:sz w:val="20"/>
              </w:rPr>
              <w:t xml:space="preserve">208</w:t>
            </w:r>
          </w:p>
        </w:tc>
        <w:tc>
          <w:tcPr>
            <w:tcW w:w="784" w:type="dxa"/>
          </w:tcPr>
          <w:p>
            <w:pPr>
              <w:pStyle w:val="0"/>
            </w:pPr>
            <w:r>
              <w:rPr>
                <w:sz w:val="20"/>
              </w:rPr>
              <w:t xml:space="preserve">167,2</w:t>
            </w:r>
          </w:p>
        </w:tc>
        <w:tc>
          <w:tcPr>
            <w:tcW w:w="1159" w:type="dxa"/>
          </w:tcPr>
          <w:p>
            <w:pPr>
              <w:pStyle w:val="0"/>
            </w:pPr>
            <w:r>
              <w:rPr>
                <w:sz w:val="20"/>
              </w:rPr>
              <w:t xml:space="preserve">253</w:t>
            </w:r>
          </w:p>
        </w:tc>
        <w:tc>
          <w:tcPr>
            <w:tcW w:w="784" w:type="dxa"/>
          </w:tcPr>
          <w:p>
            <w:pPr>
              <w:pStyle w:val="0"/>
            </w:pPr>
            <w:r>
              <w:rPr>
                <w:sz w:val="20"/>
              </w:rPr>
              <w:t xml:space="preserve">205,3</w:t>
            </w:r>
          </w:p>
        </w:tc>
        <w:tc>
          <w:tcPr>
            <w:tcW w:w="1159" w:type="dxa"/>
          </w:tcPr>
          <w:p>
            <w:pPr>
              <w:pStyle w:val="0"/>
            </w:pPr>
            <w:r>
              <w:rPr>
                <w:sz w:val="20"/>
              </w:rPr>
              <w:t xml:space="preserve">203</w:t>
            </w:r>
          </w:p>
        </w:tc>
        <w:tc>
          <w:tcPr>
            <w:tcW w:w="1247" w:type="dxa"/>
          </w:tcPr>
          <w:p>
            <w:pPr>
              <w:pStyle w:val="0"/>
            </w:pPr>
            <w:r>
              <w:rPr>
                <w:sz w:val="20"/>
              </w:rPr>
              <w:t xml:space="preserve">150,1</w:t>
            </w:r>
          </w:p>
        </w:tc>
        <w:tc>
          <w:tcPr>
            <w:tcW w:w="1247" w:type="dxa"/>
          </w:tcPr>
          <w:p>
            <w:pPr>
              <w:pStyle w:val="0"/>
            </w:pPr>
            <w:r>
              <w:rPr>
                <w:sz w:val="20"/>
              </w:rPr>
              <w:t xml:space="preserve">258</w:t>
            </w:r>
          </w:p>
        </w:tc>
        <w:tc>
          <w:tcPr>
            <w:tcW w:w="1247" w:type="dxa"/>
          </w:tcPr>
          <w:p>
            <w:pPr>
              <w:pStyle w:val="0"/>
            </w:pPr>
            <w:r>
              <w:rPr>
                <w:sz w:val="20"/>
              </w:rPr>
              <w:t xml:space="preserve">205,8</w:t>
            </w:r>
          </w:p>
        </w:tc>
        <w:tc>
          <w:tcPr>
            <w:tcW w:w="1247" w:type="dxa"/>
          </w:tcPr>
          <w:p>
            <w:pPr>
              <w:pStyle w:val="0"/>
            </w:pPr>
            <w:r>
              <w:rPr>
                <w:sz w:val="20"/>
              </w:rPr>
              <w:t xml:space="preserve">302</w:t>
            </w:r>
          </w:p>
        </w:tc>
        <w:tc>
          <w:tcPr>
            <w:tcW w:w="1247" w:type="dxa"/>
          </w:tcPr>
          <w:p>
            <w:pPr>
              <w:pStyle w:val="0"/>
            </w:pPr>
            <w:r>
              <w:rPr>
                <w:sz w:val="20"/>
              </w:rPr>
              <w:t xml:space="preserve">238,8</w:t>
            </w:r>
          </w:p>
        </w:tc>
      </w:tr>
      <w:tr>
        <w:tc>
          <w:tcPr>
            <w:tcW w:w="2194" w:type="dxa"/>
          </w:tcPr>
          <w:p>
            <w:pPr>
              <w:pStyle w:val="0"/>
            </w:pPr>
            <w:r>
              <w:rPr>
                <w:sz w:val="20"/>
              </w:rPr>
              <w:t xml:space="preserve">Ханты-Мансийский</w:t>
            </w:r>
          </w:p>
        </w:tc>
        <w:tc>
          <w:tcPr>
            <w:tcW w:w="1159" w:type="dxa"/>
          </w:tcPr>
          <w:p>
            <w:pPr>
              <w:pStyle w:val="0"/>
            </w:pPr>
            <w:r>
              <w:rPr>
                <w:sz w:val="20"/>
              </w:rPr>
              <w:t xml:space="preserve">65</w:t>
            </w:r>
          </w:p>
        </w:tc>
        <w:tc>
          <w:tcPr>
            <w:tcW w:w="784" w:type="dxa"/>
          </w:tcPr>
          <w:p>
            <w:pPr>
              <w:pStyle w:val="0"/>
            </w:pPr>
            <w:r>
              <w:rPr>
                <w:sz w:val="20"/>
              </w:rPr>
              <w:t xml:space="preserve">323,8</w:t>
            </w:r>
          </w:p>
        </w:tc>
        <w:tc>
          <w:tcPr>
            <w:tcW w:w="1159" w:type="dxa"/>
          </w:tcPr>
          <w:p>
            <w:pPr>
              <w:pStyle w:val="0"/>
            </w:pPr>
            <w:r>
              <w:rPr>
                <w:sz w:val="20"/>
              </w:rPr>
              <w:t xml:space="preserve">42</w:t>
            </w:r>
          </w:p>
        </w:tc>
        <w:tc>
          <w:tcPr>
            <w:tcW w:w="784" w:type="dxa"/>
          </w:tcPr>
          <w:p>
            <w:pPr>
              <w:pStyle w:val="0"/>
            </w:pPr>
            <w:r>
              <w:rPr>
                <w:sz w:val="20"/>
              </w:rPr>
              <w:t xml:space="preserve">211</w:t>
            </w:r>
          </w:p>
        </w:tc>
        <w:tc>
          <w:tcPr>
            <w:tcW w:w="1159" w:type="dxa"/>
          </w:tcPr>
          <w:p>
            <w:pPr>
              <w:pStyle w:val="0"/>
            </w:pPr>
            <w:r>
              <w:rPr>
                <w:sz w:val="20"/>
              </w:rPr>
              <w:t xml:space="preserve">73</w:t>
            </w:r>
          </w:p>
        </w:tc>
        <w:tc>
          <w:tcPr>
            <w:tcW w:w="784" w:type="dxa"/>
          </w:tcPr>
          <w:p>
            <w:pPr>
              <w:pStyle w:val="0"/>
            </w:pPr>
            <w:r>
              <w:rPr>
                <w:sz w:val="20"/>
              </w:rPr>
              <w:t xml:space="preserve">371</w:t>
            </w:r>
          </w:p>
        </w:tc>
        <w:tc>
          <w:tcPr>
            <w:tcW w:w="1159" w:type="dxa"/>
          </w:tcPr>
          <w:p>
            <w:pPr>
              <w:pStyle w:val="0"/>
            </w:pPr>
            <w:r>
              <w:rPr>
                <w:sz w:val="20"/>
              </w:rPr>
              <w:t xml:space="preserve">66</w:t>
            </w:r>
          </w:p>
        </w:tc>
        <w:tc>
          <w:tcPr>
            <w:tcW w:w="784" w:type="dxa"/>
          </w:tcPr>
          <w:p>
            <w:pPr>
              <w:pStyle w:val="0"/>
            </w:pPr>
            <w:r>
              <w:rPr>
                <w:sz w:val="20"/>
              </w:rPr>
              <w:t xml:space="preserve">335,7</w:t>
            </w:r>
          </w:p>
        </w:tc>
        <w:tc>
          <w:tcPr>
            <w:tcW w:w="1159" w:type="dxa"/>
          </w:tcPr>
          <w:p>
            <w:pPr>
              <w:pStyle w:val="0"/>
            </w:pPr>
            <w:r>
              <w:rPr>
                <w:sz w:val="20"/>
              </w:rPr>
              <w:t xml:space="preserve">91</w:t>
            </w:r>
          </w:p>
        </w:tc>
        <w:tc>
          <w:tcPr>
            <w:tcW w:w="784" w:type="dxa"/>
          </w:tcPr>
          <w:p>
            <w:pPr>
              <w:pStyle w:val="0"/>
            </w:pPr>
            <w:r>
              <w:rPr>
                <w:sz w:val="20"/>
              </w:rPr>
              <w:t xml:space="preserve">461,5</w:t>
            </w:r>
          </w:p>
        </w:tc>
        <w:tc>
          <w:tcPr>
            <w:tcW w:w="1159" w:type="dxa"/>
          </w:tcPr>
          <w:p>
            <w:pPr>
              <w:pStyle w:val="0"/>
            </w:pPr>
            <w:r>
              <w:rPr>
                <w:sz w:val="20"/>
              </w:rPr>
              <w:t xml:space="preserve">52</w:t>
            </w:r>
          </w:p>
        </w:tc>
        <w:tc>
          <w:tcPr>
            <w:tcW w:w="784" w:type="dxa"/>
          </w:tcPr>
          <w:p>
            <w:pPr>
              <w:pStyle w:val="0"/>
            </w:pPr>
            <w:r>
              <w:rPr>
                <w:sz w:val="20"/>
              </w:rPr>
              <w:t xml:space="preserve">259,7</w:t>
            </w:r>
          </w:p>
        </w:tc>
        <w:tc>
          <w:tcPr>
            <w:tcW w:w="1159" w:type="dxa"/>
          </w:tcPr>
          <w:p>
            <w:pPr>
              <w:pStyle w:val="0"/>
            </w:pPr>
            <w:r>
              <w:rPr>
                <w:sz w:val="20"/>
              </w:rPr>
              <w:t xml:space="preserve">54</w:t>
            </w:r>
          </w:p>
        </w:tc>
        <w:tc>
          <w:tcPr>
            <w:tcW w:w="784" w:type="dxa"/>
          </w:tcPr>
          <w:p>
            <w:pPr>
              <w:pStyle w:val="0"/>
            </w:pPr>
            <w:r>
              <w:rPr>
                <w:sz w:val="20"/>
              </w:rPr>
              <w:t xml:space="preserve">319,6</w:t>
            </w:r>
          </w:p>
        </w:tc>
        <w:tc>
          <w:tcPr>
            <w:tcW w:w="1159" w:type="dxa"/>
          </w:tcPr>
          <w:p>
            <w:pPr>
              <w:pStyle w:val="0"/>
            </w:pPr>
            <w:r>
              <w:rPr>
                <w:sz w:val="20"/>
              </w:rPr>
              <w:t xml:space="preserve">31</w:t>
            </w:r>
          </w:p>
        </w:tc>
        <w:tc>
          <w:tcPr>
            <w:tcW w:w="1247" w:type="dxa"/>
          </w:tcPr>
          <w:p>
            <w:pPr>
              <w:pStyle w:val="0"/>
            </w:pPr>
            <w:r>
              <w:rPr>
                <w:sz w:val="20"/>
              </w:rPr>
              <w:t xml:space="preserve">171,6</w:t>
            </w:r>
          </w:p>
        </w:tc>
        <w:tc>
          <w:tcPr>
            <w:tcW w:w="1247" w:type="dxa"/>
          </w:tcPr>
          <w:p>
            <w:pPr>
              <w:pStyle w:val="0"/>
            </w:pPr>
            <w:r>
              <w:rPr>
                <w:sz w:val="20"/>
              </w:rPr>
              <w:t xml:space="preserve">57</w:t>
            </w:r>
          </w:p>
        </w:tc>
        <w:tc>
          <w:tcPr>
            <w:tcW w:w="1247" w:type="dxa"/>
          </w:tcPr>
          <w:p>
            <w:pPr>
              <w:pStyle w:val="0"/>
            </w:pPr>
            <w:r>
              <w:rPr>
                <w:sz w:val="20"/>
              </w:rPr>
              <w:t xml:space="preserve">289,2</w:t>
            </w:r>
          </w:p>
        </w:tc>
        <w:tc>
          <w:tcPr>
            <w:tcW w:w="1247" w:type="dxa"/>
          </w:tcPr>
          <w:p>
            <w:pPr>
              <w:pStyle w:val="0"/>
            </w:pPr>
            <w:r>
              <w:rPr>
                <w:sz w:val="20"/>
              </w:rPr>
              <w:t xml:space="preserve">48</w:t>
            </w:r>
          </w:p>
        </w:tc>
        <w:tc>
          <w:tcPr>
            <w:tcW w:w="1247" w:type="dxa"/>
          </w:tcPr>
          <w:p>
            <w:pPr>
              <w:pStyle w:val="0"/>
            </w:pPr>
            <w:r>
              <w:rPr>
                <w:sz w:val="20"/>
              </w:rPr>
              <w:t xml:space="preserve">246,9</w:t>
            </w:r>
          </w:p>
        </w:tc>
      </w:tr>
      <w:tr>
        <w:tc>
          <w:tcPr>
            <w:tcW w:w="2194" w:type="dxa"/>
          </w:tcPr>
          <w:p>
            <w:pPr>
              <w:pStyle w:val="0"/>
            </w:pPr>
            <w:r>
              <w:rPr>
                <w:sz w:val="20"/>
              </w:rPr>
              <w:t xml:space="preserve">регион</w:t>
            </w:r>
          </w:p>
        </w:tc>
        <w:tc>
          <w:tcPr>
            <w:tcW w:w="1159" w:type="dxa"/>
          </w:tcPr>
          <w:p>
            <w:pPr>
              <w:pStyle w:val="0"/>
            </w:pPr>
            <w:r>
              <w:rPr>
                <w:sz w:val="20"/>
              </w:rPr>
              <w:t xml:space="preserve">3825</w:t>
            </w:r>
          </w:p>
        </w:tc>
        <w:tc>
          <w:tcPr>
            <w:tcW w:w="784" w:type="dxa"/>
          </w:tcPr>
          <w:p>
            <w:pPr>
              <w:pStyle w:val="0"/>
            </w:pPr>
            <w:r>
              <w:rPr>
                <w:sz w:val="20"/>
              </w:rPr>
              <w:t xml:space="preserve">240,5</w:t>
            </w:r>
          </w:p>
        </w:tc>
        <w:tc>
          <w:tcPr>
            <w:tcW w:w="1159" w:type="dxa"/>
          </w:tcPr>
          <w:p>
            <w:pPr>
              <w:pStyle w:val="0"/>
            </w:pPr>
            <w:r>
              <w:rPr>
                <w:sz w:val="20"/>
              </w:rPr>
              <w:t xml:space="preserve">3825</w:t>
            </w:r>
          </w:p>
        </w:tc>
        <w:tc>
          <w:tcPr>
            <w:tcW w:w="784" w:type="dxa"/>
          </w:tcPr>
          <w:p>
            <w:pPr>
              <w:pStyle w:val="0"/>
            </w:pPr>
            <w:r>
              <w:rPr>
                <w:sz w:val="20"/>
              </w:rPr>
              <w:t xml:space="preserve">238,3</w:t>
            </w:r>
          </w:p>
        </w:tc>
        <w:tc>
          <w:tcPr>
            <w:tcW w:w="1159" w:type="dxa"/>
          </w:tcPr>
          <w:p>
            <w:pPr>
              <w:pStyle w:val="0"/>
            </w:pPr>
            <w:r>
              <w:rPr>
                <w:sz w:val="20"/>
              </w:rPr>
              <w:t xml:space="preserve">4330</w:t>
            </w:r>
          </w:p>
        </w:tc>
        <w:tc>
          <w:tcPr>
            <w:tcW w:w="784" w:type="dxa"/>
          </w:tcPr>
          <w:p>
            <w:pPr>
              <w:pStyle w:val="0"/>
            </w:pPr>
            <w:r>
              <w:rPr>
                <w:sz w:val="20"/>
              </w:rPr>
              <w:t xml:space="preserve">267,4</w:t>
            </w:r>
          </w:p>
        </w:tc>
        <w:tc>
          <w:tcPr>
            <w:tcW w:w="1159" w:type="dxa"/>
          </w:tcPr>
          <w:p>
            <w:pPr>
              <w:pStyle w:val="0"/>
            </w:pPr>
            <w:r>
              <w:rPr>
                <w:sz w:val="20"/>
              </w:rPr>
              <w:t xml:space="preserve">4416</w:t>
            </w:r>
          </w:p>
        </w:tc>
        <w:tc>
          <w:tcPr>
            <w:tcW w:w="784" w:type="dxa"/>
          </w:tcPr>
          <w:p>
            <w:pPr>
              <w:pStyle w:val="0"/>
            </w:pPr>
            <w:r>
              <w:rPr>
                <w:sz w:val="20"/>
              </w:rPr>
              <w:t xml:space="preserve">269,9</w:t>
            </w:r>
          </w:p>
        </w:tc>
        <w:tc>
          <w:tcPr>
            <w:tcW w:w="1159" w:type="dxa"/>
          </w:tcPr>
          <w:p>
            <w:pPr>
              <w:pStyle w:val="0"/>
            </w:pPr>
            <w:r>
              <w:rPr>
                <w:sz w:val="20"/>
              </w:rPr>
              <w:t xml:space="preserve">4463</w:t>
            </w:r>
          </w:p>
        </w:tc>
        <w:tc>
          <w:tcPr>
            <w:tcW w:w="784" w:type="dxa"/>
          </w:tcPr>
          <w:p>
            <w:pPr>
              <w:pStyle w:val="0"/>
            </w:pPr>
            <w:r>
              <w:rPr>
                <w:sz w:val="20"/>
              </w:rPr>
              <w:t xml:space="preserve">273,1</w:t>
            </w:r>
          </w:p>
        </w:tc>
        <w:tc>
          <w:tcPr>
            <w:tcW w:w="1159" w:type="dxa"/>
          </w:tcPr>
          <w:p>
            <w:pPr>
              <w:pStyle w:val="0"/>
            </w:pPr>
            <w:r>
              <w:rPr>
                <w:sz w:val="20"/>
              </w:rPr>
              <w:t xml:space="preserve">4663</w:t>
            </w:r>
          </w:p>
        </w:tc>
        <w:tc>
          <w:tcPr>
            <w:tcW w:w="784" w:type="dxa"/>
          </w:tcPr>
          <w:p>
            <w:pPr>
              <w:pStyle w:val="0"/>
            </w:pPr>
            <w:r>
              <w:rPr>
                <w:sz w:val="20"/>
              </w:rPr>
              <w:t xml:space="preserve">281</w:t>
            </w:r>
          </w:p>
        </w:tc>
        <w:tc>
          <w:tcPr>
            <w:tcW w:w="1159" w:type="dxa"/>
          </w:tcPr>
          <w:p>
            <w:pPr>
              <w:pStyle w:val="0"/>
            </w:pPr>
            <w:r>
              <w:rPr>
                <w:sz w:val="20"/>
              </w:rPr>
              <w:t xml:space="preserve">5012</w:t>
            </w:r>
          </w:p>
        </w:tc>
        <w:tc>
          <w:tcPr>
            <w:tcW w:w="784" w:type="dxa"/>
          </w:tcPr>
          <w:p>
            <w:pPr>
              <w:pStyle w:val="0"/>
            </w:pPr>
            <w:r>
              <w:rPr>
                <w:sz w:val="20"/>
              </w:rPr>
              <w:t xml:space="preserve">300,3</w:t>
            </w:r>
          </w:p>
        </w:tc>
        <w:tc>
          <w:tcPr>
            <w:tcW w:w="1159" w:type="dxa"/>
          </w:tcPr>
          <w:p>
            <w:pPr>
              <w:pStyle w:val="0"/>
            </w:pPr>
            <w:r>
              <w:rPr>
                <w:sz w:val="20"/>
              </w:rPr>
              <w:t xml:space="preserve">4015</w:t>
            </w:r>
          </w:p>
        </w:tc>
        <w:tc>
          <w:tcPr>
            <w:tcW w:w="1247" w:type="dxa"/>
          </w:tcPr>
          <w:p>
            <w:pPr>
              <w:pStyle w:val="0"/>
            </w:pPr>
            <w:r>
              <w:rPr>
                <w:sz w:val="20"/>
              </w:rPr>
              <w:t xml:space="preserve">238,8</w:t>
            </w:r>
          </w:p>
        </w:tc>
        <w:tc>
          <w:tcPr>
            <w:tcW w:w="1247" w:type="dxa"/>
          </w:tcPr>
          <w:p>
            <w:pPr>
              <w:pStyle w:val="0"/>
            </w:pPr>
            <w:r>
              <w:rPr>
                <w:sz w:val="20"/>
              </w:rPr>
              <w:t xml:space="preserve">4858</w:t>
            </w:r>
          </w:p>
        </w:tc>
        <w:tc>
          <w:tcPr>
            <w:tcW w:w="1247" w:type="dxa"/>
          </w:tcPr>
          <w:p>
            <w:pPr>
              <w:pStyle w:val="0"/>
            </w:pPr>
            <w:r>
              <w:rPr>
                <w:sz w:val="20"/>
              </w:rPr>
              <w:t xml:space="preserve">285,6</w:t>
            </w:r>
          </w:p>
        </w:tc>
        <w:tc>
          <w:tcPr>
            <w:tcW w:w="1247" w:type="dxa"/>
          </w:tcPr>
          <w:p>
            <w:pPr>
              <w:pStyle w:val="0"/>
            </w:pPr>
            <w:r>
              <w:rPr>
                <w:sz w:val="20"/>
              </w:rPr>
              <w:t xml:space="preserve">4929</w:t>
            </w:r>
          </w:p>
        </w:tc>
        <w:tc>
          <w:tcPr>
            <w:tcW w:w="1247" w:type="dxa"/>
          </w:tcPr>
          <w:p>
            <w:pPr>
              <w:pStyle w:val="0"/>
            </w:pPr>
            <w:r>
              <w:rPr>
                <w:sz w:val="20"/>
              </w:rPr>
              <w:t xml:space="preserve">289,7</w:t>
            </w:r>
          </w:p>
        </w:tc>
      </w:tr>
      <w:tr>
        <w:tc>
          <w:tcPr>
            <w:tcW w:w="2194" w:type="dxa"/>
          </w:tcPr>
          <w:p>
            <w:pPr>
              <w:pStyle w:val="0"/>
            </w:pPr>
            <w:r>
              <w:rPr>
                <w:sz w:val="20"/>
              </w:rPr>
              <w:t xml:space="preserve">Уральский федеральный округ</w:t>
            </w:r>
          </w:p>
        </w:tc>
        <w:tc>
          <w:tcPr>
            <w:tcW w:w="1159" w:type="dxa"/>
          </w:tcPr>
          <w:p>
            <w:pPr>
              <w:pStyle w:val="0"/>
            </w:pPr>
            <w:r>
              <w:rPr>
                <w:sz w:val="20"/>
              </w:rPr>
              <w:t xml:space="preserve">44764</w:t>
            </w:r>
          </w:p>
        </w:tc>
        <w:tc>
          <w:tcPr>
            <w:tcW w:w="784" w:type="dxa"/>
          </w:tcPr>
          <w:p>
            <w:pPr>
              <w:pStyle w:val="0"/>
            </w:pPr>
            <w:r>
              <w:rPr>
                <w:sz w:val="20"/>
              </w:rPr>
              <w:t xml:space="preserve">366,44</w:t>
            </w:r>
          </w:p>
        </w:tc>
        <w:tc>
          <w:tcPr>
            <w:tcW w:w="1159" w:type="dxa"/>
          </w:tcPr>
          <w:p>
            <w:pPr>
              <w:pStyle w:val="0"/>
            </w:pPr>
            <w:r>
              <w:rPr>
                <w:sz w:val="20"/>
              </w:rPr>
              <w:t xml:space="preserve">45918</w:t>
            </w:r>
          </w:p>
        </w:tc>
        <w:tc>
          <w:tcPr>
            <w:tcW w:w="784" w:type="dxa"/>
          </w:tcPr>
          <w:p>
            <w:pPr>
              <w:pStyle w:val="0"/>
            </w:pPr>
            <w:r>
              <w:rPr>
                <w:sz w:val="20"/>
              </w:rPr>
              <w:t xml:space="preserve">374,69</w:t>
            </w:r>
          </w:p>
        </w:tc>
        <w:tc>
          <w:tcPr>
            <w:tcW w:w="1159" w:type="dxa"/>
          </w:tcPr>
          <w:p>
            <w:pPr>
              <w:pStyle w:val="0"/>
            </w:pPr>
            <w:r>
              <w:rPr>
                <w:sz w:val="20"/>
              </w:rPr>
              <w:t xml:space="preserve">48254</w:t>
            </w:r>
          </w:p>
        </w:tc>
        <w:tc>
          <w:tcPr>
            <w:tcW w:w="784" w:type="dxa"/>
          </w:tcPr>
          <w:p>
            <w:pPr>
              <w:pStyle w:val="0"/>
            </w:pPr>
            <w:r>
              <w:rPr>
                <w:sz w:val="20"/>
              </w:rPr>
              <w:t xml:space="preserve">392,56</w:t>
            </w:r>
          </w:p>
        </w:tc>
        <w:tc>
          <w:tcPr>
            <w:tcW w:w="1159" w:type="dxa"/>
          </w:tcPr>
          <w:p>
            <w:pPr>
              <w:pStyle w:val="0"/>
            </w:pPr>
            <w:r>
              <w:rPr>
                <w:sz w:val="20"/>
              </w:rPr>
              <w:t xml:space="preserve">49020</w:t>
            </w:r>
          </w:p>
        </w:tc>
        <w:tc>
          <w:tcPr>
            <w:tcW w:w="784" w:type="dxa"/>
          </w:tcPr>
          <w:p>
            <w:pPr>
              <w:pStyle w:val="0"/>
            </w:pPr>
            <w:r>
              <w:rPr>
                <w:sz w:val="20"/>
              </w:rPr>
              <w:t xml:space="preserve">397,67</w:t>
            </w:r>
          </w:p>
        </w:tc>
        <w:tc>
          <w:tcPr>
            <w:tcW w:w="1159" w:type="dxa"/>
          </w:tcPr>
          <w:p>
            <w:pPr>
              <w:pStyle w:val="0"/>
            </w:pPr>
            <w:r>
              <w:rPr>
                <w:sz w:val="20"/>
              </w:rPr>
              <w:t xml:space="preserve">51226</w:t>
            </w:r>
          </w:p>
        </w:tc>
        <w:tc>
          <w:tcPr>
            <w:tcW w:w="784" w:type="dxa"/>
          </w:tcPr>
          <w:p>
            <w:pPr>
              <w:pStyle w:val="0"/>
            </w:pPr>
            <w:r>
              <w:rPr>
                <w:sz w:val="20"/>
              </w:rPr>
              <w:t xml:space="preserve">414,75</w:t>
            </w:r>
          </w:p>
        </w:tc>
        <w:tc>
          <w:tcPr>
            <w:tcW w:w="1159" w:type="dxa"/>
          </w:tcPr>
          <w:p>
            <w:pPr>
              <w:pStyle w:val="0"/>
            </w:pPr>
            <w:r>
              <w:rPr>
                <w:sz w:val="20"/>
              </w:rPr>
              <w:t xml:space="preserve">52123</w:t>
            </w:r>
          </w:p>
        </w:tc>
        <w:tc>
          <w:tcPr>
            <w:tcW w:w="784" w:type="dxa"/>
          </w:tcPr>
          <w:p>
            <w:pPr>
              <w:pStyle w:val="0"/>
            </w:pPr>
            <w:r>
              <w:rPr>
                <w:sz w:val="20"/>
              </w:rPr>
              <w:t xml:space="preserve">421,94</w:t>
            </w:r>
          </w:p>
        </w:tc>
        <w:tc>
          <w:tcPr>
            <w:tcW w:w="1159" w:type="dxa"/>
          </w:tcPr>
          <w:p>
            <w:pPr>
              <w:pStyle w:val="0"/>
            </w:pPr>
            <w:r>
              <w:rPr>
                <w:sz w:val="20"/>
              </w:rPr>
              <w:t xml:space="preserve">54385</w:t>
            </w:r>
          </w:p>
        </w:tc>
        <w:tc>
          <w:tcPr>
            <w:tcW w:w="784" w:type="dxa"/>
          </w:tcPr>
          <w:p>
            <w:pPr>
              <w:pStyle w:val="0"/>
            </w:pPr>
            <w:r>
              <w:rPr>
                <w:sz w:val="20"/>
              </w:rPr>
              <w:t xml:space="preserve">440,17</w:t>
            </w:r>
          </w:p>
        </w:tc>
        <w:tc>
          <w:tcPr>
            <w:tcW w:w="1159" w:type="dxa"/>
          </w:tcPr>
          <w:p>
            <w:pPr>
              <w:pStyle w:val="0"/>
            </w:pPr>
            <w:r>
              <w:rPr>
                <w:sz w:val="20"/>
              </w:rPr>
              <w:t xml:space="preserve">н/д</w:t>
            </w:r>
          </w:p>
        </w:tc>
        <w:tc>
          <w:tcPr>
            <w:tcW w:w="1247" w:type="dxa"/>
          </w:tcPr>
          <w:p>
            <w:pPr>
              <w:pStyle w:val="0"/>
            </w:pPr>
            <w:r>
              <w:rPr>
                <w:sz w:val="20"/>
              </w:rPr>
              <w:t xml:space="preserve">н/д</w:t>
            </w:r>
          </w:p>
        </w:tc>
        <w:tc>
          <w:tcPr>
            <w:tcW w:w="1247" w:type="dxa"/>
          </w:tcPr>
          <w:p>
            <w:pPr>
              <w:pStyle w:val="0"/>
            </w:pPr>
            <w:r>
              <w:rPr>
                <w:sz w:val="20"/>
              </w:rPr>
              <w:t xml:space="preserve">46312</w:t>
            </w:r>
          </w:p>
        </w:tc>
        <w:tc>
          <w:tcPr>
            <w:tcW w:w="1247" w:type="dxa"/>
          </w:tcPr>
          <w:p>
            <w:pPr>
              <w:pStyle w:val="0"/>
            </w:pPr>
            <w:r>
              <w:rPr>
                <w:sz w:val="20"/>
              </w:rPr>
              <w:t xml:space="preserve">374,8</w:t>
            </w:r>
          </w:p>
        </w:tc>
        <w:tc>
          <w:tcPr>
            <w:tcW w:w="1247" w:type="dxa"/>
          </w:tcPr>
          <w:p>
            <w:pPr>
              <w:pStyle w:val="0"/>
            </w:pPr>
            <w:r>
              <w:rPr>
                <w:sz w:val="20"/>
              </w:rPr>
              <w:t xml:space="preserve">н/д</w:t>
            </w:r>
          </w:p>
        </w:tc>
        <w:tc>
          <w:tcPr>
            <w:tcW w:w="1247" w:type="dxa"/>
          </w:tcPr>
          <w:p>
            <w:pPr>
              <w:pStyle w:val="0"/>
            </w:pPr>
            <w:r>
              <w:rPr>
                <w:sz w:val="20"/>
              </w:rPr>
              <w:t xml:space="preserve">н/д</w:t>
            </w:r>
          </w:p>
        </w:tc>
      </w:tr>
      <w:tr>
        <w:tc>
          <w:tcPr>
            <w:tcW w:w="2194" w:type="dxa"/>
          </w:tcPr>
          <w:p>
            <w:pPr>
              <w:pStyle w:val="0"/>
            </w:pPr>
            <w:r>
              <w:rPr>
                <w:sz w:val="20"/>
              </w:rPr>
              <w:t xml:space="preserve">Российская Федерация</w:t>
            </w:r>
          </w:p>
        </w:tc>
        <w:tc>
          <w:tcPr>
            <w:tcW w:w="1159" w:type="dxa"/>
          </w:tcPr>
          <w:p>
            <w:pPr>
              <w:pStyle w:val="0"/>
            </w:pPr>
            <w:r>
              <w:rPr>
                <w:sz w:val="20"/>
              </w:rPr>
              <w:t xml:space="preserve">535887</w:t>
            </w:r>
          </w:p>
        </w:tc>
        <w:tc>
          <w:tcPr>
            <w:tcW w:w="784" w:type="dxa"/>
          </w:tcPr>
          <w:p>
            <w:pPr>
              <w:pStyle w:val="0"/>
            </w:pPr>
            <w:r>
              <w:rPr>
                <w:sz w:val="20"/>
              </w:rPr>
              <w:t xml:space="preserve">373,4</w:t>
            </w:r>
          </w:p>
        </w:tc>
        <w:tc>
          <w:tcPr>
            <w:tcW w:w="1159" w:type="dxa"/>
          </w:tcPr>
          <w:p>
            <w:pPr>
              <w:pStyle w:val="0"/>
            </w:pPr>
            <w:r>
              <w:rPr>
                <w:sz w:val="20"/>
              </w:rPr>
              <w:t xml:space="preserve">566970</w:t>
            </w:r>
          </w:p>
        </w:tc>
        <w:tc>
          <w:tcPr>
            <w:tcW w:w="784" w:type="dxa"/>
          </w:tcPr>
          <w:p>
            <w:pPr>
              <w:pStyle w:val="0"/>
            </w:pPr>
            <w:r>
              <w:rPr>
                <w:sz w:val="20"/>
              </w:rPr>
              <w:t xml:space="preserve">388</w:t>
            </w:r>
          </w:p>
        </w:tc>
        <w:tc>
          <w:tcPr>
            <w:tcW w:w="1159" w:type="dxa"/>
          </w:tcPr>
          <w:p>
            <w:pPr>
              <w:pStyle w:val="0"/>
            </w:pPr>
            <w:r>
              <w:rPr>
                <w:sz w:val="20"/>
              </w:rPr>
              <w:t xml:space="preserve">589381</w:t>
            </w:r>
          </w:p>
        </w:tc>
        <w:tc>
          <w:tcPr>
            <w:tcW w:w="784" w:type="dxa"/>
          </w:tcPr>
          <w:p>
            <w:pPr>
              <w:pStyle w:val="0"/>
            </w:pPr>
            <w:r>
              <w:rPr>
                <w:sz w:val="20"/>
              </w:rPr>
              <w:t xml:space="preserve">402,57</w:t>
            </w:r>
          </w:p>
        </w:tc>
        <w:tc>
          <w:tcPr>
            <w:tcW w:w="1159" w:type="dxa"/>
          </w:tcPr>
          <w:p>
            <w:pPr>
              <w:pStyle w:val="0"/>
            </w:pPr>
            <w:r>
              <w:rPr>
                <w:sz w:val="20"/>
              </w:rPr>
              <w:t xml:space="preserve">599348</w:t>
            </w:r>
          </w:p>
        </w:tc>
        <w:tc>
          <w:tcPr>
            <w:tcW w:w="784" w:type="dxa"/>
          </w:tcPr>
          <w:p>
            <w:pPr>
              <w:pStyle w:val="0"/>
            </w:pPr>
            <w:r>
              <w:rPr>
                <w:sz w:val="20"/>
              </w:rPr>
              <w:t xml:space="preserve">408,62</w:t>
            </w:r>
          </w:p>
        </w:tc>
        <w:tc>
          <w:tcPr>
            <w:tcW w:w="1159" w:type="dxa"/>
          </w:tcPr>
          <w:p>
            <w:pPr>
              <w:pStyle w:val="0"/>
            </w:pPr>
            <w:r>
              <w:rPr>
                <w:sz w:val="20"/>
              </w:rPr>
              <w:t xml:space="preserve">617177</w:t>
            </w:r>
          </w:p>
        </w:tc>
        <w:tc>
          <w:tcPr>
            <w:tcW w:w="784" w:type="dxa"/>
          </w:tcPr>
          <w:p>
            <w:pPr>
              <w:pStyle w:val="0"/>
            </w:pPr>
            <w:r>
              <w:rPr>
                <w:sz w:val="20"/>
              </w:rPr>
              <w:t xml:space="preserve">420,3</w:t>
            </w:r>
          </w:p>
        </w:tc>
        <w:tc>
          <w:tcPr>
            <w:tcW w:w="1159" w:type="dxa"/>
          </w:tcPr>
          <w:p>
            <w:pPr>
              <w:pStyle w:val="0"/>
            </w:pPr>
            <w:r>
              <w:rPr>
                <w:sz w:val="20"/>
              </w:rPr>
              <w:t xml:space="preserve">624709</w:t>
            </w:r>
          </w:p>
        </w:tc>
        <w:tc>
          <w:tcPr>
            <w:tcW w:w="784" w:type="dxa"/>
          </w:tcPr>
          <w:p>
            <w:pPr>
              <w:pStyle w:val="0"/>
            </w:pPr>
            <w:r>
              <w:rPr>
                <w:sz w:val="20"/>
              </w:rPr>
              <w:t xml:space="preserve">425,46</w:t>
            </w:r>
          </w:p>
        </w:tc>
        <w:tc>
          <w:tcPr>
            <w:tcW w:w="1159" w:type="dxa"/>
          </w:tcPr>
          <w:p>
            <w:pPr>
              <w:pStyle w:val="0"/>
            </w:pPr>
            <w:r>
              <w:rPr>
                <w:sz w:val="20"/>
              </w:rPr>
              <w:t xml:space="preserve">640391</w:t>
            </w:r>
          </w:p>
        </w:tc>
        <w:tc>
          <w:tcPr>
            <w:tcW w:w="784" w:type="dxa"/>
          </w:tcPr>
          <w:p>
            <w:pPr>
              <w:pStyle w:val="0"/>
            </w:pPr>
            <w:r>
              <w:rPr>
                <w:sz w:val="20"/>
              </w:rPr>
              <w:t xml:space="preserve">436,34</w:t>
            </w:r>
          </w:p>
        </w:tc>
        <w:tc>
          <w:tcPr>
            <w:tcW w:w="1159" w:type="dxa"/>
          </w:tcPr>
          <w:p>
            <w:pPr>
              <w:pStyle w:val="0"/>
            </w:pPr>
            <w:r>
              <w:rPr>
                <w:sz w:val="20"/>
              </w:rPr>
              <w:t xml:space="preserve">556036</w:t>
            </w:r>
          </w:p>
        </w:tc>
        <w:tc>
          <w:tcPr>
            <w:tcW w:w="1247" w:type="dxa"/>
          </w:tcPr>
          <w:p>
            <w:pPr>
              <w:pStyle w:val="0"/>
            </w:pPr>
            <w:r>
              <w:rPr>
                <w:sz w:val="20"/>
              </w:rPr>
              <w:t xml:space="preserve">378,9</w:t>
            </w:r>
          </w:p>
        </w:tc>
        <w:tc>
          <w:tcPr>
            <w:tcW w:w="1247" w:type="dxa"/>
          </w:tcPr>
          <w:p>
            <w:pPr>
              <w:pStyle w:val="0"/>
            </w:pPr>
            <w:r>
              <w:rPr>
                <w:sz w:val="20"/>
              </w:rPr>
              <w:t xml:space="preserve">540304</w:t>
            </w:r>
          </w:p>
        </w:tc>
        <w:tc>
          <w:tcPr>
            <w:tcW w:w="1247" w:type="dxa"/>
          </w:tcPr>
          <w:p>
            <w:pPr>
              <w:pStyle w:val="0"/>
            </w:pPr>
            <w:r>
              <w:rPr>
                <w:sz w:val="20"/>
              </w:rPr>
              <w:t xml:space="preserve">370,4</w:t>
            </w:r>
          </w:p>
        </w:tc>
        <w:tc>
          <w:tcPr>
            <w:tcW w:w="1247" w:type="dxa"/>
          </w:tcPr>
          <w:p>
            <w:pPr>
              <w:pStyle w:val="0"/>
            </w:pPr>
            <w:r>
              <w:rPr>
                <w:sz w:val="20"/>
              </w:rPr>
              <w:t xml:space="preserve">н/д</w:t>
            </w:r>
          </w:p>
        </w:tc>
        <w:tc>
          <w:tcPr>
            <w:tcW w:w="1247" w:type="dxa"/>
          </w:tcPr>
          <w:p>
            <w:pPr>
              <w:pStyle w:val="0"/>
            </w:pPr>
            <w:r>
              <w:rPr>
                <w:sz w:val="20"/>
              </w:rPr>
              <w:t xml:space="preserve">н/д</w:t>
            </w:r>
          </w:p>
        </w:tc>
      </w:tr>
    </w:tbl>
    <w:p>
      <w:pPr>
        <w:pStyle w:val="0"/>
        <w:jc w:val="right"/>
      </w:pPr>
      <w:r>
        <w:rPr>
          <w:sz w:val="20"/>
        </w:rPr>
      </w:r>
    </w:p>
    <w:p>
      <w:pPr>
        <w:pStyle w:val="0"/>
        <w:jc w:val="right"/>
      </w:pPr>
      <w:r>
        <w:rPr>
          <w:sz w:val="20"/>
        </w:rPr>
        <w:t xml:space="preserve">Таблица 6</w:t>
      </w:r>
    </w:p>
    <w:p>
      <w:pPr>
        <w:pStyle w:val="0"/>
        <w:jc w:val="right"/>
      </w:pPr>
      <w:r>
        <w:rPr>
          <w:sz w:val="20"/>
        </w:rPr>
      </w:r>
    </w:p>
    <w:p>
      <w:pPr>
        <w:pStyle w:val="0"/>
        <w:jc w:val="center"/>
      </w:pPr>
      <w:r>
        <w:rPr>
          <w:sz w:val="20"/>
        </w:rPr>
        <w:t xml:space="preserve">Динамика заболеваемости ЗНО населения автономного округа</w:t>
      </w:r>
    </w:p>
    <w:p>
      <w:pPr>
        <w:pStyle w:val="0"/>
        <w:jc w:val="center"/>
      </w:pPr>
      <w:r>
        <w:rPr>
          <w:sz w:val="20"/>
        </w:rPr>
        <w:t xml:space="preserve">за период 2013 - 2022 годов (на 100 тыс. населения)</w:t>
      </w:r>
    </w:p>
    <w:p>
      <w:pPr>
        <w:pStyle w:val="0"/>
        <w:jc w:val="center"/>
      </w:pPr>
      <w:r>
        <w:rPr>
          <w:sz w:val="20"/>
        </w:rPr>
        <w:t xml:space="preserve">("грубый" / "стандартизованный" показатель)</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89"/>
        <w:gridCol w:w="850"/>
        <w:gridCol w:w="859"/>
        <w:gridCol w:w="1084"/>
        <w:gridCol w:w="859"/>
        <w:gridCol w:w="1084"/>
        <w:gridCol w:w="859"/>
        <w:gridCol w:w="1084"/>
        <w:gridCol w:w="859"/>
        <w:gridCol w:w="1084"/>
        <w:gridCol w:w="859"/>
        <w:gridCol w:w="1084"/>
        <w:gridCol w:w="859"/>
        <w:gridCol w:w="1084"/>
        <w:gridCol w:w="859"/>
        <w:gridCol w:w="1084"/>
        <w:gridCol w:w="859"/>
        <w:gridCol w:w="1084"/>
        <w:gridCol w:w="859"/>
        <w:gridCol w:w="1084"/>
        <w:gridCol w:w="859"/>
        <w:gridCol w:w="1084"/>
      </w:tblGrid>
      <w:tr>
        <w:tc>
          <w:tcPr>
            <w:tcW w:w="2089" w:type="dxa"/>
            <w:vMerge w:val="restart"/>
          </w:tcPr>
          <w:p>
            <w:pPr>
              <w:pStyle w:val="0"/>
              <w:jc w:val="center"/>
            </w:pPr>
            <w:r>
              <w:rPr>
                <w:sz w:val="20"/>
              </w:rPr>
              <w:t xml:space="preserve">Локализации злокачественных новообразований</w:t>
            </w:r>
          </w:p>
        </w:tc>
        <w:tc>
          <w:tcPr>
            <w:tcW w:w="850" w:type="dxa"/>
            <w:vMerge w:val="restart"/>
          </w:tcPr>
          <w:p>
            <w:pPr>
              <w:pStyle w:val="0"/>
              <w:jc w:val="center"/>
            </w:pPr>
            <w:r>
              <w:rPr>
                <w:sz w:val="20"/>
              </w:rPr>
              <w:t xml:space="preserve">Пол</w:t>
            </w:r>
          </w:p>
        </w:tc>
        <w:tc>
          <w:tcPr>
            <w:gridSpan w:val="20"/>
            <w:tcW w:w="19430" w:type="dxa"/>
          </w:tcPr>
          <w:p>
            <w:pPr>
              <w:pStyle w:val="0"/>
              <w:jc w:val="center"/>
            </w:pPr>
            <w:r>
              <w:rPr>
                <w:sz w:val="20"/>
              </w:rPr>
              <w:t xml:space="preserve">Показатель на 100 тыс. населения</w:t>
            </w:r>
          </w:p>
        </w:tc>
      </w:tr>
      <w:tr>
        <w:tc>
          <w:tcPr>
            <w:vMerge w:val="continue"/>
          </w:tcPr>
          <w:p/>
        </w:tc>
        <w:tc>
          <w:tcPr>
            <w:vMerge w:val="continue"/>
          </w:tcPr>
          <w:p/>
        </w:tc>
        <w:tc>
          <w:tcPr>
            <w:gridSpan w:val="2"/>
            <w:tcW w:w="1943" w:type="dxa"/>
          </w:tcPr>
          <w:p>
            <w:pPr>
              <w:pStyle w:val="0"/>
              <w:jc w:val="center"/>
            </w:pPr>
            <w:r>
              <w:rPr>
                <w:sz w:val="20"/>
              </w:rPr>
              <w:t xml:space="preserve">2013</w:t>
            </w:r>
          </w:p>
        </w:tc>
        <w:tc>
          <w:tcPr>
            <w:gridSpan w:val="2"/>
            <w:tcW w:w="1943" w:type="dxa"/>
          </w:tcPr>
          <w:p>
            <w:pPr>
              <w:pStyle w:val="0"/>
              <w:jc w:val="center"/>
            </w:pPr>
            <w:r>
              <w:rPr>
                <w:sz w:val="20"/>
              </w:rPr>
              <w:t xml:space="preserve">2014</w:t>
            </w:r>
          </w:p>
        </w:tc>
        <w:tc>
          <w:tcPr>
            <w:gridSpan w:val="2"/>
            <w:tcW w:w="1943" w:type="dxa"/>
          </w:tcPr>
          <w:p>
            <w:pPr>
              <w:pStyle w:val="0"/>
              <w:jc w:val="center"/>
            </w:pPr>
            <w:r>
              <w:rPr>
                <w:sz w:val="20"/>
              </w:rPr>
              <w:t xml:space="preserve">2015</w:t>
            </w:r>
          </w:p>
        </w:tc>
        <w:tc>
          <w:tcPr>
            <w:gridSpan w:val="2"/>
            <w:tcW w:w="1943" w:type="dxa"/>
          </w:tcPr>
          <w:p>
            <w:pPr>
              <w:pStyle w:val="0"/>
              <w:jc w:val="center"/>
            </w:pPr>
            <w:r>
              <w:rPr>
                <w:sz w:val="20"/>
              </w:rPr>
              <w:t xml:space="preserve">2016</w:t>
            </w:r>
          </w:p>
        </w:tc>
        <w:tc>
          <w:tcPr>
            <w:gridSpan w:val="2"/>
            <w:tcW w:w="1943" w:type="dxa"/>
          </w:tcPr>
          <w:p>
            <w:pPr>
              <w:pStyle w:val="0"/>
              <w:jc w:val="center"/>
            </w:pPr>
            <w:r>
              <w:rPr>
                <w:sz w:val="20"/>
              </w:rPr>
              <w:t xml:space="preserve">2017</w:t>
            </w:r>
          </w:p>
        </w:tc>
        <w:tc>
          <w:tcPr>
            <w:gridSpan w:val="2"/>
            <w:tcW w:w="1943" w:type="dxa"/>
          </w:tcPr>
          <w:p>
            <w:pPr>
              <w:pStyle w:val="0"/>
              <w:jc w:val="center"/>
            </w:pPr>
            <w:r>
              <w:rPr>
                <w:sz w:val="20"/>
              </w:rPr>
              <w:t xml:space="preserve">2018</w:t>
            </w:r>
          </w:p>
        </w:tc>
        <w:tc>
          <w:tcPr>
            <w:gridSpan w:val="2"/>
            <w:tcW w:w="1943" w:type="dxa"/>
          </w:tcPr>
          <w:p>
            <w:pPr>
              <w:pStyle w:val="0"/>
              <w:jc w:val="center"/>
            </w:pPr>
            <w:r>
              <w:rPr>
                <w:sz w:val="20"/>
              </w:rPr>
              <w:t xml:space="preserve">2019</w:t>
            </w:r>
          </w:p>
        </w:tc>
        <w:tc>
          <w:tcPr>
            <w:gridSpan w:val="2"/>
            <w:tcW w:w="1943" w:type="dxa"/>
          </w:tcPr>
          <w:p>
            <w:pPr>
              <w:pStyle w:val="0"/>
              <w:jc w:val="center"/>
            </w:pPr>
            <w:r>
              <w:rPr>
                <w:sz w:val="20"/>
              </w:rPr>
              <w:t xml:space="preserve">2020</w:t>
            </w:r>
          </w:p>
        </w:tc>
        <w:tc>
          <w:tcPr>
            <w:gridSpan w:val="2"/>
            <w:tcW w:w="1943" w:type="dxa"/>
          </w:tcPr>
          <w:p>
            <w:pPr>
              <w:pStyle w:val="0"/>
              <w:jc w:val="center"/>
            </w:pPr>
            <w:r>
              <w:rPr>
                <w:sz w:val="20"/>
              </w:rPr>
              <w:t xml:space="preserve">2021</w:t>
            </w:r>
          </w:p>
        </w:tc>
        <w:tc>
          <w:tcPr>
            <w:gridSpan w:val="2"/>
            <w:tcW w:w="1943" w:type="dxa"/>
          </w:tcPr>
          <w:p>
            <w:pPr>
              <w:pStyle w:val="0"/>
              <w:jc w:val="center"/>
            </w:pPr>
            <w:r>
              <w:rPr>
                <w:sz w:val="20"/>
              </w:rPr>
              <w:t xml:space="preserve">2022</w:t>
            </w:r>
          </w:p>
        </w:tc>
      </w:tr>
      <w:tr>
        <w:tc>
          <w:tcPr>
            <w:vMerge w:val="continue"/>
          </w:tcPr>
          <w:p/>
        </w:tc>
        <w:tc>
          <w:tcPr>
            <w:vMerge w:val="continue"/>
          </w:tcPr>
          <w:p/>
        </w:tc>
        <w:tc>
          <w:tcPr>
            <w:tcW w:w="859" w:type="dxa"/>
          </w:tcPr>
          <w:p>
            <w:pPr>
              <w:pStyle w:val="0"/>
              <w:jc w:val="center"/>
            </w:pPr>
            <w:r>
              <w:rPr>
                <w:sz w:val="20"/>
              </w:rPr>
              <w:t xml:space="preserve">грубый</w:t>
            </w:r>
          </w:p>
        </w:tc>
        <w:tc>
          <w:tcPr>
            <w:tcW w:w="1084" w:type="dxa"/>
          </w:tcPr>
          <w:p>
            <w:pPr>
              <w:pStyle w:val="0"/>
              <w:jc w:val="center"/>
            </w:pPr>
            <w:r>
              <w:rPr>
                <w:sz w:val="20"/>
              </w:rPr>
              <w:t xml:space="preserve">стандарт.</w:t>
            </w:r>
          </w:p>
        </w:tc>
        <w:tc>
          <w:tcPr>
            <w:tcW w:w="859" w:type="dxa"/>
          </w:tcPr>
          <w:p>
            <w:pPr>
              <w:pStyle w:val="0"/>
              <w:jc w:val="center"/>
            </w:pPr>
            <w:r>
              <w:rPr>
                <w:sz w:val="20"/>
              </w:rPr>
              <w:t xml:space="preserve">грубый</w:t>
            </w:r>
          </w:p>
        </w:tc>
        <w:tc>
          <w:tcPr>
            <w:tcW w:w="1084" w:type="dxa"/>
          </w:tcPr>
          <w:p>
            <w:pPr>
              <w:pStyle w:val="0"/>
              <w:jc w:val="center"/>
            </w:pPr>
            <w:r>
              <w:rPr>
                <w:sz w:val="20"/>
              </w:rPr>
              <w:t xml:space="preserve">стандарт.</w:t>
            </w:r>
          </w:p>
        </w:tc>
        <w:tc>
          <w:tcPr>
            <w:tcW w:w="859" w:type="dxa"/>
          </w:tcPr>
          <w:p>
            <w:pPr>
              <w:pStyle w:val="0"/>
              <w:jc w:val="center"/>
            </w:pPr>
            <w:r>
              <w:rPr>
                <w:sz w:val="20"/>
              </w:rPr>
              <w:t xml:space="preserve">грубый</w:t>
            </w:r>
          </w:p>
        </w:tc>
        <w:tc>
          <w:tcPr>
            <w:tcW w:w="1084" w:type="dxa"/>
          </w:tcPr>
          <w:p>
            <w:pPr>
              <w:pStyle w:val="0"/>
              <w:jc w:val="center"/>
            </w:pPr>
            <w:r>
              <w:rPr>
                <w:sz w:val="20"/>
              </w:rPr>
              <w:t xml:space="preserve">стандарт.</w:t>
            </w:r>
          </w:p>
        </w:tc>
        <w:tc>
          <w:tcPr>
            <w:tcW w:w="859" w:type="dxa"/>
          </w:tcPr>
          <w:p>
            <w:pPr>
              <w:pStyle w:val="0"/>
              <w:jc w:val="center"/>
            </w:pPr>
            <w:r>
              <w:rPr>
                <w:sz w:val="20"/>
              </w:rPr>
              <w:t xml:space="preserve">грубый</w:t>
            </w:r>
          </w:p>
        </w:tc>
        <w:tc>
          <w:tcPr>
            <w:tcW w:w="1084" w:type="dxa"/>
          </w:tcPr>
          <w:p>
            <w:pPr>
              <w:pStyle w:val="0"/>
              <w:jc w:val="center"/>
            </w:pPr>
            <w:r>
              <w:rPr>
                <w:sz w:val="20"/>
              </w:rPr>
              <w:t xml:space="preserve">стандарт.</w:t>
            </w:r>
          </w:p>
        </w:tc>
        <w:tc>
          <w:tcPr>
            <w:tcW w:w="859" w:type="dxa"/>
          </w:tcPr>
          <w:p>
            <w:pPr>
              <w:pStyle w:val="0"/>
              <w:jc w:val="center"/>
            </w:pPr>
            <w:r>
              <w:rPr>
                <w:sz w:val="20"/>
              </w:rPr>
              <w:t xml:space="preserve">грубый</w:t>
            </w:r>
          </w:p>
        </w:tc>
        <w:tc>
          <w:tcPr>
            <w:tcW w:w="1084" w:type="dxa"/>
          </w:tcPr>
          <w:p>
            <w:pPr>
              <w:pStyle w:val="0"/>
              <w:jc w:val="center"/>
            </w:pPr>
            <w:r>
              <w:rPr>
                <w:sz w:val="20"/>
              </w:rPr>
              <w:t xml:space="preserve">стандарт.</w:t>
            </w:r>
          </w:p>
        </w:tc>
        <w:tc>
          <w:tcPr>
            <w:tcW w:w="859" w:type="dxa"/>
          </w:tcPr>
          <w:p>
            <w:pPr>
              <w:pStyle w:val="0"/>
              <w:jc w:val="center"/>
            </w:pPr>
            <w:r>
              <w:rPr>
                <w:sz w:val="20"/>
              </w:rPr>
              <w:t xml:space="preserve">грубый</w:t>
            </w:r>
          </w:p>
        </w:tc>
        <w:tc>
          <w:tcPr>
            <w:tcW w:w="1084" w:type="dxa"/>
          </w:tcPr>
          <w:p>
            <w:pPr>
              <w:pStyle w:val="0"/>
              <w:jc w:val="center"/>
            </w:pPr>
            <w:r>
              <w:rPr>
                <w:sz w:val="20"/>
              </w:rPr>
              <w:t xml:space="preserve">стандарт.</w:t>
            </w:r>
          </w:p>
        </w:tc>
        <w:tc>
          <w:tcPr>
            <w:tcW w:w="859" w:type="dxa"/>
          </w:tcPr>
          <w:p>
            <w:pPr>
              <w:pStyle w:val="0"/>
              <w:jc w:val="center"/>
            </w:pPr>
            <w:r>
              <w:rPr>
                <w:sz w:val="20"/>
              </w:rPr>
              <w:t xml:space="preserve">грубый</w:t>
            </w:r>
          </w:p>
        </w:tc>
        <w:tc>
          <w:tcPr>
            <w:tcW w:w="1084" w:type="dxa"/>
          </w:tcPr>
          <w:p>
            <w:pPr>
              <w:pStyle w:val="0"/>
              <w:jc w:val="center"/>
            </w:pPr>
            <w:r>
              <w:rPr>
                <w:sz w:val="20"/>
              </w:rPr>
              <w:t xml:space="preserve">стандарт.</w:t>
            </w:r>
          </w:p>
        </w:tc>
        <w:tc>
          <w:tcPr>
            <w:tcW w:w="859" w:type="dxa"/>
          </w:tcPr>
          <w:p>
            <w:pPr>
              <w:pStyle w:val="0"/>
              <w:jc w:val="center"/>
            </w:pPr>
            <w:r>
              <w:rPr>
                <w:sz w:val="20"/>
              </w:rPr>
              <w:t xml:space="preserve">грубый</w:t>
            </w:r>
          </w:p>
        </w:tc>
        <w:tc>
          <w:tcPr>
            <w:tcW w:w="1084" w:type="dxa"/>
          </w:tcPr>
          <w:p>
            <w:pPr>
              <w:pStyle w:val="0"/>
              <w:jc w:val="center"/>
            </w:pPr>
            <w:r>
              <w:rPr>
                <w:sz w:val="20"/>
              </w:rPr>
              <w:t xml:space="preserve">стандарт.</w:t>
            </w:r>
          </w:p>
        </w:tc>
        <w:tc>
          <w:tcPr>
            <w:tcW w:w="859" w:type="dxa"/>
          </w:tcPr>
          <w:p>
            <w:pPr>
              <w:pStyle w:val="0"/>
              <w:jc w:val="center"/>
            </w:pPr>
            <w:r>
              <w:rPr>
                <w:sz w:val="20"/>
              </w:rPr>
              <w:t xml:space="preserve">грубый</w:t>
            </w:r>
          </w:p>
        </w:tc>
        <w:tc>
          <w:tcPr>
            <w:tcW w:w="1084" w:type="dxa"/>
          </w:tcPr>
          <w:p>
            <w:pPr>
              <w:pStyle w:val="0"/>
              <w:jc w:val="center"/>
            </w:pPr>
            <w:r>
              <w:rPr>
                <w:sz w:val="20"/>
              </w:rPr>
              <w:t xml:space="preserve">стандарт.</w:t>
            </w:r>
          </w:p>
        </w:tc>
        <w:tc>
          <w:tcPr>
            <w:tcW w:w="859" w:type="dxa"/>
          </w:tcPr>
          <w:p>
            <w:pPr>
              <w:pStyle w:val="0"/>
              <w:jc w:val="center"/>
            </w:pPr>
            <w:r>
              <w:rPr>
                <w:sz w:val="20"/>
              </w:rPr>
              <w:t xml:space="preserve">грубый</w:t>
            </w:r>
          </w:p>
        </w:tc>
        <w:tc>
          <w:tcPr>
            <w:tcW w:w="1084" w:type="dxa"/>
          </w:tcPr>
          <w:p>
            <w:pPr>
              <w:pStyle w:val="0"/>
              <w:jc w:val="center"/>
            </w:pPr>
            <w:r>
              <w:rPr>
                <w:sz w:val="20"/>
              </w:rPr>
              <w:t xml:space="preserve">стандарт.</w:t>
            </w:r>
          </w:p>
        </w:tc>
      </w:tr>
      <w:tr>
        <w:tc>
          <w:tcPr>
            <w:tcW w:w="2089" w:type="dxa"/>
            <w:vMerge w:val="restart"/>
          </w:tcPr>
          <w:p>
            <w:pPr>
              <w:pStyle w:val="0"/>
            </w:pPr>
            <w:r>
              <w:rPr>
                <w:sz w:val="20"/>
              </w:rPr>
              <w:t xml:space="preserve">Все злокачественные новообразования по округу</w:t>
            </w:r>
          </w:p>
        </w:tc>
        <w:tc>
          <w:tcPr>
            <w:tcW w:w="850" w:type="dxa"/>
          </w:tcPr>
          <w:p>
            <w:pPr>
              <w:pStyle w:val="0"/>
            </w:pPr>
            <w:r>
              <w:rPr>
                <w:sz w:val="20"/>
              </w:rPr>
              <w:t xml:space="preserve">Оба пола</w:t>
            </w:r>
          </w:p>
        </w:tc>
        <w:tc>
          <w:tcPr>
            <w:tcW w:w="859" w:type="dxa"/>
          </w:tcPr>
          <w:p>
            <w:pPr>
              <w:pStyle w:val="0"/>
            </w:pPr>
            <w:r>
              <w:rPr>
                <w:sz w:val="20"/>
              </w:rPr>
              <w:t xml:space="preserve">240,5</w:t>
            </w:r>
          </w:p>
        </w:tc>
        <w:tc>
          <w:tcPr>
            <w:tcW w:w="1084" w:type="dxa"/>
          </w:tcPr>
          <w:p>
            <w:pPr>
              <w:pStyle w:val="0"/>
            </w:pPr>
            <w:r>
              <w:rPr>
                <w:sz w:val="20"/>
              </w:rPr>
              <w:t xml:space="preserve">239,2</w:t>
            </w:r>
          </w:p>
        </w:tc>
        <w:tc>
          <w:tcPr>
            <w:tcW w:w="859" w:type="dxa"/>
          </w:tcPr>
          <w:p>
            <w:pPr>
              <w:pStyle w:val="0"/>
            </w:pPr>
            <w:r>
              <w:rPr>
                <w:sz w:val="20"/>
              </w:rPr>
              <w:t xml:space="preserve">238,3</w:t>
            </w:r>
          </w:p>
        </w:tc>
        <w:tc>
          <w:tcPr>
            <w:tcW w:w="1084" w:type="dxa"/>
          </w:tcPr>
          <w:p>
            <w:pPr>
              <w:pStyle w:val="0"/>
            </w:pPr>
            <w:r>
              <w:rPr>
                <w:sz w:val="20"/>
              </w:rPr>
              <w:t xml:space="preserve">226,9</w:t>
            </w:r>
          </w:p>
        </w:tc>
        <w:tc>
          <w:tcPr>
            <w:tcW w:w="859" w:type="dxa"/>
          </w:tcPr>
          <w:p>
            <w:pPr>
              <w:pStyle w:val="0"/>
            </w:pPr>
            <w:r>
              <w:rPr>
                <w:sz w:val="20"/>
              </w:rPr>
              <w:t xml:space="preserve">267,4</w:t>
            </w:r>
          </w:p>
        </w:tc>
        <w:tc>
          <w:tcPr>
            <w:tcW w:w="1084" w:type="dxa"/>
          </w:tcPr>
          <w:p>
            <w:pPr>
              <w:pStyle w:val="0"/>
            </w:pPr>
            <w:r>
              <w:rPr>
                <w:sz w:val="20"/>
              </w:rPr>
              <w:t xml:space="preserve">252,2</w:t>
            </w:r>
          </w:p>
        </w:tc>
        <w:tc>
          <w:tcPr>
            <w:tcW w:w="859" w:type="dxa"/>
          </w:tcPr>
          <w:p>
            <w:pPr>
              <w:pStyle w:val="0"/>
            </w:pPr>
            <w:r>
              <w:rPr>
                <w:sz w:val="20"/>
              </w:rPr>
              <w:t xml:space="preserve">272,7</w:t>
            </w:r>
          </w:p>
        </w:tc>
        <w:tc>
          <w:tcPr>
            <w:tcW w:w="1084" w:type="dxa"/>
          </w:tcPr>
          <w:p>
            <w:pPr>
              <w:pStyle w:val="0"/>
            </w:pPr>
            <w:r>
              <w:rPr>
                <w:sz w:val="20"/>
              </w:rPr>
              <w:t xml:space="preserve">242,9</w:t>
            </w:r>
          </w:p>
        </w:tc>
        <w:tc>
          <w:tcPr>
            <w:tcW w:w="859" w:type="dxa"/>
          </w:tcPr>
          <w:p>
            <w:pPr>
              <w:pStyle w:val="0"/>
            </w:pPr>
            <w:r>
              <w:rPr>
                <w:sz w:val="20"/>
              </w:rPr>
              <w:t xml:space="preserve">273,1</w:t>
            </w:r>
          </w:p>
        </w:tc>
        <w:tc>
          <w:tcPr>
            <w:tcW w:w="1084" w:type="dxa"/>
          </w:tcPr>
          <w:p>
            <w:pPr>
              <w:pStyle w:val="0"/>
            </w:pPr>
            <w:r>
              <w:rPr>
                <w:sz w:val="20"/>
              </w:rPr>
              <w:t xml:space="preserve">238,8</w:t>
            </w:r>
          </w:p>
        </w:tc>
        <w:tc>
          <w:tcPr>
            <w:tcW w:w="859" w:type="dxa"/>
          </w:tcPr>
          <w:p>
            <w:pPr>
              <w:pStyle w:val="0"/>
            </w:pPr>
            <w:r>
              <w:rPr>
                <w:sz w:val="20"/>
              </w:rPr>
              <w:t xml:space="preserve">279,4</w:t>
            </w:r>
          </w:p>
        </w:tc>
        <w:tc>
          <w:tcPr>
            <w:tcW w:w="1084" w:type="dxa"/>
          </w:tcPr>
          <w:p>
            <w:pPr>
              <w:pStyle w:val="0"/>
            </w:pPr>
            <w:r>
              <w:rPr>
                <w:sz w:val="20"/>
              </w:rPr>
              <w:t xml:space="preserve">235,4</w:t>
            </w:r>
          </w:p>
        </w:tc>
        <w:tc>
          <w:tcPr>
            <w:tcW w:w="859" w:type="dxa"/>
          </w:tcPr>
          <w:p>
            <w:pPr>
              <w:pStyle w:val="0"/>
            </w:pPr>
            <w:r>
              <w:rPr>
                <w:sz w:val="20"/>
              </w:rPr>
              <w:t xml:space="preserve">300,3</w:t>
            </w:r>
          </w:p>
        </w:tc>
        <w:tc>
          <w:tcPr>
            <w:tcW w:w="1084" w:type="dxa"/>
          </w:tcPr>
          <w:p>
            <w:pPr>
              <w:pStyle w:val="0"/>
            </w:pPr>
            <w:r>
              <w:rPr>
                <w:sz w:val="20"/>
              </w:rPr>
              <w:t xml:space="preserve">244,3</w:t>
            </w:r>
          </w:p>
        </w:tc>
        <w:tc>
          <w:tcPr>
            <w:tcW w:w="859" w:type="dxa"/>
          </w:tcPr>
          <w:p>
            <w:pPr>
              <w:pStyle w:val="0"/>
            </w:pPr>
            <w:r>
              <w:rPr>
                <w:sz w:val="20"/>
              </w:rPr>
              <w:t xml:space="preserve">238,8</w:t>
            </w:r>
          </w:p>
        </w:tc>
        <w:tc>
          <w:tcPr>
            <w:tcW w:w="1084" w:type="dxa"/>
          </w:tcPr>
          <w:p>
            <w:pPr>
              <w:pStyle w:val="0"/>
            </w:pPr>
            <w:r>
              <w:rPr>
                <w:sz w:val="20"/>
              </w:rPr>
              <w:t xml:space="preserve">237,1</w:t>
            </w:r>
          </w:p>
        </w:tc>
        <w:tc>
          <w:tcPr>
            <w:tcW w:w="859" w:type="dxa"/>
          </w:tcPr>
          <w:p>
            <w:pPr>
              <w:pStyle w:val="0"/>
            </w:pPr>
            <w:r>
              <w:rPr>
                <w:sz w:val="20"/>
              </w:rPr>
              <w:t xml:space="preserve">288,0</w:t>
            </w:r>
          </w:p>
        </w:tc>
        <w:tc>
          <w:tcPr>
            <w:tcW w:w="1084" w:type="dxa"/>
          </w:tcPr>
          <w:p>
            <w:pPr>
              <w:pStyle w:val="0"/>
            </w:pPr>
            <w:r>
              <w:rPr>
                <w:sz w:val="20"/>
              </w:rPr>
              <w:t xml:space="preserve">221,9</w:t>
            </w:r>
          </w:p>
        </w:tc>
        <w:tc>
          <w:tcPr>
            <w:tcW w:w="859" w:type="dxa"/>
          </w:tcPr>
          <w:p>
            <w:pPr>
              <w:pStyle w:val="0"/>
            </w:pPr>
            <w:r>
              <w:rPr>
                <w:sz w:val="20"/>
              </w:rPr>
              <w:t xml:space="preserve">290,2</w:t>
            </w:r>
          </w:p>
        </w:tc>
        <w:tc>
          <w:tcPr>
            <w:tcW w:w="1084" w:type="dxa"/>
          </w:tcPr>
          <w:p>
            <w:pPr>
              <w:pStyle w:val="0"/>
            </w:pPr>
            <w:r>
              <w:rPr>
                <w:sz w:val="20"/>
              </w:rPr>
              <w:t xml:space="preserve">223,5</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239,8</w:t>
            </w:r>
          </w:p>
        </w:tc>
        <w:tc>
          <w:tcPr>
            <w:tcW w:w="1084" w:type="dxa"/>
          </w:tcPr>
          <w:p>
            <w:pPr>
              <w:pStyle w:val="0"/>
            </w:pPr>
            <w:r>
              <w:rPr>
                <w:sz w:val="20"/>
              </w:rPr>
              <w:t xml:space="preserve">327,1</w:t>
            </w:r>
          </w:p>
        </w:tc>
        <w:tc>
          <w:tcPr>
            <w:tcW w:w="859" w:type="dxa"/>
          </w:tcPr>
          <w:p>
            <w:pPr>
              <w:pStyle w:val="0"/>
            </w:pPr>
            <w:r>
              <w:rPr>
                <w:sz w:val="20"/>
              </w:rPr>
              <w:t xml:space="preserve">228,2</w:t>
            </w:r>
          </w:p>
        </w:tc>
        <w:tc>
          <w:tcPr>
            <w:tcW w:w="1084" w:type="dxa"/>
          </w:tcPr>
          <w:p>
            <w:pPr>
              <w:pStyle w:val="0"/>
            </w:pPr>
            <w:r>
              <w:rPr>
                <w:sz w:val="20"/>
              </w:rPr>
              <w:t xml:space="preserve">311,0</w:t>
            </w:r>
          </w:p>
        </w:tc>
        <w:tc>
          <w:tcPr>
            <w:tcW w:w="859" w:type="dxa"/>
          </w:tcPr>
          <w:p>
            <w:pPr>
              <w:pStyle w:val="0"/>
            </w:pPr>
            <w:r>
              <w:rPr>
                <w:sz w:val="20"/>
              </w:rPr>
              <w:t xml:space="preserve">260,8</w:t>
            </w:r>
          </w:p>
        </w:tc>
        <w:tc>
          <w:tcPr>
            <w:tcW w:w="1084" w:type="dxa"/>
          </w:tcPr>
          <w:p>
            <w:pPr>
              <w:pStyle w:val="0"/>
            </w:pPr>
            <w:r>
              <w:rPr>
                <w:sz w:val="20"/>
              </w:rPr>
              <w:t xml:space="preserve">370,6</w:t>
            </w:r>
          </w:p>
        </w:tc>
        <w:tc>
          <w:tcPr>
            <w:tcW w:w="859" w:type="dxa"/>
          </w:tcPr>
          <w:p>
            <w:pPr>
              <w:pStyle w:val="0"/>
            </w:pPr>
            <w:r>
              <w:rPr>
                <w:sz w:val="20"/>
              </w:rPr>
              <w:t xml:space="preserve">268,1</w:t>
            </w:r>
          </w:p>
        </w:tc>
        <w:tc>
          <w:tcPr>
            <w:tcW w:w="1084" w:type="dxa"/>
          </w:tcPr>
          <w:p>
            <w:pPr>
              <w:pStyle w:val="0"/>
            </w:pPr>
            <w:r>
              <w:rPr>
                <w:sz w:val="20"/>
              </w:rPr>
              <w:t xml:space="preserve">412,7</w:t>
            </w:r>
          </w:p>
        </w:tc>
        <w:tc>
          <w:tcPr>
            <w:tcW w:w="859" w:type="dxa"/>
          </w:tcPr>
          <w:p>
            <w:pPr>
              <w:pStyle w:val="0"/>
            </w:pPr>
            <w:r>
              <w:rPr>
                <w:sz w:val="20"/>
              </w:rPr>
              <w:t xml:space="preserve">271,6</w:t>
            </w:r>
          </w:p>
        </w:tc>
        <w:tc>
          <w:tcPr>
            <w:tcW w:w="1084" w:type="dxa"/>
          </w:tcPr>
          <w:p>
            <w:pPr>
              <w:pStyle w:val="0"/>
            </w:pPr>
            <w:r>
              <w:rPr>
                <w:sz w:val="20"/>
              </w:rPr>
              <w:t xml:space="preserve">322,7</w:t>
            </w:r>
          </w:p>
        </w:tc>
        <w:tc>
          <w:tcPr>
            <w:tcW w:w="859" w:type="dxa"/>
          </w:tcPr>
          <w:p>
            <w:pPr>
              <w:pStyle w:val="0"/>
            </w:pPr>
            <w:r>
              <w:rPr>
                <w:sz w:val="20"/>
              </w:rPr>
              <w:t xml:space="preserve">274,9</w:t>
            </w:r>
          </w:p>
        </w:tc>
        <w:tc>
          <w:tcPr>
            <w:tcW w:w="1084" w:type="dxa"/>
          </w:tcPr>
          <w:p>
            <w:pPr>
              <w:pStyle w:val="0"/>
            </w:pPr>
            <w:r>
              <w:rPr>
                <w:sz w:val="20"/>
              </w:rPr>
              <w:t xml:space="preserve">334,3</w:t>
            </w:r>
          </w:p>
        </w:tc>
        <w:tc>
          <w:tcPr>
            <w:tcW w:w="859" w:type="dxa"/>
          </w:tcPr>
          <w:p>
            <w:pPr>
              <w:pStyle w:val="0"/>
            </w:pPr>
            <w:r>
              <w:rPr>
                <w:sz w:val="20"/>
              </w:rPr>
              <w:t xml:space="preserve">293,7</w:t>
            </w:r>
          </w:p>
        </w:tc>
        <w:tc>
          <w:tcPr>
            <w:tcW w:w="1084" w:type="dxa"/>
          </w:tcPr>
          <w:p>
            <w:pPr>
              <w:pStyle w:val="0"/>
            </w:pPr>
            <w:r>
              <w:rPr>
                <w:sz w:val="20"/>
              </w:rPr>
              <w:t xml:space="preserve">348,2</w:t>
            </w:r>
          </w:p>
        </w:tc>
        <w:tc>
          <w:tcPr>
            <w:tcW w:w="859" w:type="dxa"/>
          </w:tcPr>
          <w:p>
            <w:pPr>
              <w:pStyle w:val="0"/>
            </w:pPr>
            <w:r>
              <w:rPr>
                <w:sz w:val="20"/>
              </w:rPr>
              <w:t xml:space="preserve">237,3</w:t>
            </w:r>
          </w:p>
        </w:tc>
        <w:tc>
          <w:tcPr>
            <w:tcW w:w="1084" w:type="dxa"/>
          </w:tcPr>
          <w:p>
            <w:pPr>
              <w:pStyle w:val="0"/>
            </w:pPr>
            <w:r>
              <w:rPr>
                <w:sz w:val="20"/>
              </w:rPr>
              <w:t xml:space="preserve">303,3</w:t>
            </w:r>
          </w:p>
        </w:tc>
        <w:tc>
          <w:tcPr>
            <w:tcW w:w="859" w:type="dxa"/>
          </w:tcPr>
          <w:p>
            <w:pPr>
              <w:pStyle w:val="0"/>
            </w:pPr>
            <w:r>
              <w:rPr>
                <w:sz w:val="20"/>
              </w:rPr>
              <w:t xml:space="preserve">272,5</w:t>
            </w:r>
          </w:p>
        </w:tc>
        <w:tc>
          <w:tcPr>
            <w:tcW w:w="1084" w:type="dxa"/>
          </w:tcPr>
          <w:p>
            <w:pPr>
              <w:pStyle w:val="0"/>
            </w:pPr>
            <w:r>
              <w:rPr>
                <w:sz w:val="20"/>
              </w:rPr>
              <w:t xml:space="preserve">246,3</w:t>
            </w:r>
          </w:p>
        </w:tc>
        <w:tc>
          <w:tcPr>
            <w:tcW w:w="859" w:type="dxa"/>
          </w:tcPr>
          <w:p>
            <w:pPr>
              <w:pStyle w:val="0"/>
            </w:pPr>
            <w:r>
              <w:rPr>
                <w:sz w:val="20"/>
              </w:rPr>
              <w:t xml:space="preserve">270,0</w:t>
            </w:r>
          </w:p>
        </w:tc>
        <w:tc>
          <w:tcPr>
            <w:tcW w:w="1084" w:type="dxa"/>
          </w:tcPr>
          <w:p>
            <w:pPr>
              <w:pStyle w:val="0"/>
            </w:pPr>
            <w:r>
              <w:rPr>
                <w:sz w:val="20"/>
              </w:rPr>
              <w:t xml:space="preserve">258,8</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241,2</w:t>
            </w:r>
          </w:p>
        </w:tc>
        <w:tc>
          <w:tcPr>
            <w:tcW w:w="1084" w:type="dxa"/>
          </w:tcPr>
          <w:p>
            <w:pPr>
              <w:pStyle w:val="0"/>
            </w:pPr>
            <w:r>
              <w:rPr>
                <w:sz w:val="20"/>
              </w:rPr>
              <w:t xml:space="preserve">222,0</w:t>
            </w:r>
          </w:p>
        </w:tc>
        <w:tc>
          <w:tcPr>
            <w:tcW w:w="859" w:type="dxa"/>
          </w:tcPr>
          <w:p>
            <w:pPr>
              <w:pStyle w:val="0"/>
            </w:pPr>
            <w:r>
              <w:rPr>
                <w:sz w:val="20"/>
              </w:rPr>
              <w:t xml:space="preserve">247,8</w:t>
            </w:r>
          </w:p>
        </w:tc>
        <w:tc>
          <w:tcPr>
            <w:tcW w:w="1084" w:type="dxa"/>
          </w:tcPr>
          <w:p>
            <w:pPr>
              <w:pStyle w:val="0"/>
            </w:pPr>
            <w:r>
              <w:rPr>
                <w:sz w:val="20"/>
              </w:rPr>
              <w:t xml:space="preserve">226,4</w:t>
            </w:r>
          </w:p>
        </w:tc>
        <w:tc>
          <w:tcPr>
            <w:tcW w:w="859" w:type="dxa"/>
          </w:tcPr>
          <w:p>
            <w:pPr>
              <w:pStyle w:val="0"/>
            </w:pPr>
            <w:r>
              <w:rPr>
                <w:sz w:val="20"/>
              </w:rPr>
              <w:t xml:space="preserve">273,7</w:t>
            </w:r>
          </w:p>
        </w:tc>
        <w:tc>
          <w:tcPr>
            <w:tcW w:w="1084" w:type="dxa"/>
          </w:tcPr>
          <w:p>
            <w:pPr>
              <w:pStyle w:val="0"/>
            </w:pPr>
            <w:r>
              <w:rPr>
                <w:sz w:val="20"/>
              </w:rPr>
              <w:t xml:space="preserve">263,3</w:t>
            </w:r>
          </w:p>
        </w:tc>
        <w:tc>
          <w:tcPr>
            <w:tcW w:w="859" w:type="dxa"/>
          </w:tcPr>
          <w:p>
            <w:pPr>
              <w:pStyle w:val="0"/>
            </w:pPr>
            <w:r>
              <w:rPr>
                <w:sz w:val="20"/>
              </w:rPr>
              <w:t xml:space="preserve">277,1</w:t>
            </w:r>
          </w:p>
        </w:tc>
        <w:tc>
          <w:tcPr>
            <w:tcW w:w="1084" w:type="dxa"/>
          </w:tcPr>
          <w:p>
            <w:pPr>
              <w:pStyle w:val="0"/>
            </w:pPr>
            <w:r>
              <w:rPr>
                <w:sz w:val="20"/>
              </w:rPr>
              <w:t xml:space="preserve">283,1</w:t>
            </w:r>
          </w:p>
        </w:tc>
        <w:tc>
          <w:tcPr>
            <w:tcW w:w="859" w:type="dxa"/>
          </w:tcPr>
          <w:p>
            <w:pPr>
              <w:pStyle w:val="0"/>
            </w:pPr>
            <w:r>
              <w:rPr>
                <w:sz w:val="20"/>
              </w:rPr>
              <w:t xml:space="preserve">278,3</w:t>
            </w:r>
          </w:p>
        </w:tc>
        <w:tc>
          <w:tcPr>
            <w:tcW w:w="1084" w:type="dxa"/>
          </w:tcPr>
          <w:p>
            <w:pPr>
              <w:pStyle w:val="0"/>
            </w:pPr>
            <w:r>
              <w:rPr>
                <w:sz w:val="20"/>
              </w:rPr>
              <w:t xml:space="preserve">237,6</w:t>
            </w:r>
          </w:p>
        </w:tc>
        <w:tc>
          <w:tcPr>
            <w:tcW w:w="859" w:type="dxa"/>
          </w:tcPr>
          <w:p>
            <w:pPr>
              <w:pStyle w:val="0"/>
            </w:pPr>
            <w:r>
              <w:rPr>
                <w:sz w:val="20"/>
              </w:rPr>
              <w:t xml:space="preserve">286,8</w:t>
            </w:r>
          </w:p>
        </w:tc>
        <w:tc>
          <w:tcPr>
            <w:tcW w:w="1084" w:type="dxa"/>
          </w:tcPr>
          <w:p>
            <w:pPr>
              <w:pStyle w:val="0"/>
            </w:pPr>
            <w:r>
              <w:rPr>
                <w:sz w:val="20"/>
              </w:rPr>
              <w:t xml:space="preserve">249,8</w:t>
            </w:r>
          </w:p>
        </w:tc>
        <w:tc>
          <w:tcPr>
            <w:tcW w:w="859" w:type="dxa"/>
          </w:tcPr>
          <w:p>
            <w:pPr>
              <w:pStyle w:val="0"/>
            </w:pPr>
            <w:r>
              <w:rPr>
                <w:sz w:val="20"/>
              </w:rPr>
              <w:t xml:space="preserve">306,5</w:t>
            </w:r>
          </w:p>
        </w:tc>
        <w:tc>
          <w:tcPr>
            <w:tcW w:w="1084" w:type="dxa"/>
          </w:tcPr>
          <w:p>
            <w:pPr>
              <w:pStyle w:val="0"/>
            </w:pPr>
            <w:r>
              <w:rPr>
                <w:sz w:val="20"/>
              </w:rPr>
              <w:t xml:space="preserve">260,9</w:t>
            </w:r>
          </w:p>
        </w:tc>
        <w:tc>
          <w:tcPr>
            <w:tcW w:w="859" w:type="dxa"/>
          </w:tcPr>
          <w:p>
            <w:pPr>
              <w:pStyle w:val="0"/>
            </w:pPr>
            <w:r>
              <w:rPr>
                <w:sz w:val="20"/>
              </w:rPr>
              <w:t xml:space="preserve">242,1</w:t>
            </w:r>
          </w:p>
        </w:tc>
        <w:tc>
          <w:tcPr>
            <w:tcW w:w="1084" w:type="dxa"/>
          </w:tcPr>
          <w:p>
            <w:pPr>
              <w:pStyle w:val="0"/>
            </w:pPr>
            <w:r>
              <w:rPr>
                <w:sz w:val="20"/>
              </w:rPr>
              <w:t xml:space="preserve">211,0</w:t>
            </w:r>
          </w:p>
        </w:tc>
        <w:tc>
          <w:tcPr>
            <w:tcW w:w="859" w:type="dxa"/>
          </w:tcPr>
          <w:p>
            <w:pPr>
              <w:pStyle w:val="0"/>
            </w:pPr>
            <w:r>
              <w:rPr>
                <w:sz w:val="20"/>
              </w:rPr>
              <w:t xml:space="preserve">302,7</w:t>
            </w:r>
          </w:p>
        </w:tc>
        <w:tc>
          <w:tcPr>
            <w:tcW w:w="1084" w:type="dxa"/>
          </w:tcPr>
          <w:p>
            <w:pPr>
              <w:pStyle w:val="0"/>
            </w:pPr>
            <w:r>
              <w:rPr>
                <w:sz w:val="20"/>
              </w:rPr>
              <w:t xml:space="preserve">213,4</w:t>
            </w:r>
          </w:p>
        </w:tc>
        <w:tc>
          <w:tcPr>
            <w:tcW w:w="859" w:type="dxa"/>
          </w:tcPr>
          <w:p>
            <w:pPr>
              <w:pStyle w:val="0"/>
            </w:pPr>
            <w:r>
              <w:rPr>
                <w:sz w:val="20"/>
              </w:rPr>
              <w:t xml:space="preserve">311,5</w:t>
            </w:r>
          </w:p>
        </w:tc>
        <w:tc>
          <w:tcPr>
            <w:tcW w:w="1084" w:type="dxa"/>
          </w:tcPr>
          <w:p>
            <w:pPr>
              <w:pStyle w:val="0"/>
            </w:pPr>
            <w:r>
              <w:rPr>
                <w:sz w:val="20"/>
              </w:rPr>
              <w:t xml:space="preserve">207,7</w:t>
            </w:r>
          </w:p>
        </w:tc>
      </w:tr>
      <w:tr>
        <w:tc>
          <w:tcPr>
            <w:tcW w:w="2089" w:type="dxa"/>
            <w:vMerge w:val="restart"/>
          </w:tcPr>
          <w:p>
            <w:pPr>
              <w:pStyle w:val="0"/>
            </w:pPr>
            <w:r>
              <w:rPr>
                <w:sz w:val="20"/>
              </w:rPr>
              <w:t xml:space="preserve">в том числе губы (С00)</w:t>
            </w:r>
          </w:p>
        </w:tc>
        <w:tc>
          <w:tcPr>
            <w:tcW w:w="850" w:type="dxa"/>
          </w:tcPr>
          <w:p>
            <w:pPr>
              <w:pStyle w:val="0"/>
            </w:pPr>
            <w:r>
              <w:rPr>
                <w:sz w:val="20"/>
              </w:rPr>
              <w:t xml:space="preserve">оба пола</w:t>
            </w:r>
          </w:p>
        </w:tc>
        <w:tc>
          <w:tcPr>
            <w:tcW w:w="859" w:type="dxa"/>
          </w:tcPr>
          <w:p>
            <w:pPr>
              <w:pStyle w:val="0"/>
            </w:pPr>
            <w:r>
              <w:rPr>
                <w:sz w:val="20"/>
              </w:rPr>
              <w:t xml:space="preserve">0,5</w:t>
            </w:r>
          </w:p>
        </w:tc>
        <w:tc>
          <w:tcPr>
            <w:tcW w:w="1084" w:type="dxa"/>
          </w:tcPr>
          <w:p>
            <w:pPr>
              <w:pStyle w:val="0"/>
            </w:pPr>
            <w:r>
              <w:rPr>
                <w:sz w:val="20"/>
              </w:rPr>
              <w:t xml:space="preserve">0,5</w:t>
            </w:r>
          </w:p>
        </w:tc>
        <w:tc>
          <w:tcPr>
            <w:tcW w:w="859" w:type="dxa"/>
          </w:tcPr>
          <w:p>
            <w:pPr>
              <w:pStyle w:val="0"/>
            </w:pPr>
            <w:r>
              <w:rPr>
                <w:sz w:val="20"/>
              </w:rPr>
              <w:t xml:space="preserve">1,0</w:t>
            </w:r>
          </w:p>
        </w:tc>
        <w:tc>
          <w:tcPr>
            <w:tcW w:w="1084" w:type="dxa"/>
          </w:tcPr>
          <w:p>
            <w:pPr>
              <w:pStyle w:val="0"/>
            </w:pPr>
            <w:r>
              <w:rPr>
                <w:sz w:val="20"/>
              </w:rPr>
              <w:t xml:space="preserve">1,0</w:t>
            </w:r>
          </w:p>
        </w:tc>
        <w:tc>
          <w:tcPr>
            <w:tcW w:w="859" w:type="dxa"/>
          </w:tcPr>
          <w:p>
            <w:pPr>
              <w:pStyle w:val="0"/>
            </w:pPr>
            <w:r>
              <w:rPr>
                <w:sz w:val="20"/>
              </w:rPr>
              <w:t xml:space="preserve">1,1</w:t>
            </w:r>
          </w:p>
        </w:tc>
        <w:tc>
          <w:tcPr>
            <w:tcW w:w="1084" w:type="dxa"/>
          </w:tcPr>
          <w:p>
            <w:pPr>
              <w:pStyle w:val="0"/>
            </w:pPr>
            <w:r>
              <w:rPr>
                <w:sz w:val="20"/>
              </w:rPr>
              <w:t xml:space="preserve">1,2</w:t>
            </w:r>
          </w:p>
        </w:tc>
        <w:tc>
          <w:tcPr>
            <w:tcW w:w="859" w:type="dxa"/>
          </w:tcPr>
          <w:p>
            <w:pPr>
              <w:pStyle w:val="0"/>
            </w:pPr>
            <w:r>
              <w:rPr>
                <w:sz w:val="20"/>
              </w:rPr>
              <w:t xml:space="preserve">0,7</w:t>
            </w:r>
          </w:p>
        </w:tc>
        <w:tc>
          <w:tcPr>
            <w:tcW w:w="1084" w:type="dxa"/>
          </w:tcPr>
          <w:p>
            <w:pPr>
              <w:pStyle w:val="0"/>
            </w:pPr>
            <w:r>
              <w:rPr>
                <w:sz w:val="20"/>
              </w:rPr>
              <w:t xml:space="preserve">0,8</w:t>
            </w:r>
          </w:p>
        </w:tc>
        <w:tc>
          <w:tcPr>
            <w:tcW w:w="859" w:type="dxa"/>
          </w:tcPr>
          <w:p>
            <w:pPr>
              <w:pStyle w:val="0"/>
            </w:pPr>
            <w:r>
              <w:rPr>
                <w:sz w:val="20"/>
              </w:rPr>
              <w:t xml:space="preserve">0,9</w:t>
            </w:r>
          </w:p>
        </w:tc>
        <w:tc>
          <w:tcPr>
            <w:tcW w:w="1084" w:type="dxa"/>
          </w:tcPr>
          <w:p>
            <w:pPr>
              <w:pStyle w:val="0"/>
            </w:pPr>
            <w:r>
              <w:rPr>
                <w:sz w:val="20"/>
              </w:rPr>
              <w:t xml:space="preserve">0,9</w:t>
            </w:r>
          </w:p>
        </w:tc>
        <w:tc>
          <w:tcPr>
            <w:tcW w:w="859" w:type="dxa"/>
          </w:tcPr>
          <w:p>
            <w:pPr>
              <w:pStyle w:val="0"/>
            </w:pPr>
            <w:r>
              <w:rPr>
                <w:sz w:val="20"/>
              </w:rPr>
              <w:t xml:space="preserve">0,4</w:t>
            </w:r>
          </w:p>
        </w:tc>
        <w:tc>
          <w:tcPr>
            <w:tcW w:w="1084" w:type="dxa"/>
          </w:tcPr>
          <w:p>
            <w:pPr>
              <w:pStyle w:val="0"/>
            </w:pPr>
            <w:r>
              <w:rPr>
                <w:sz w:val="20"/>
              </w:rPr>
              <w:t xml:space="preserve">0,4</w:t>
            </w:r>
          </w:p>
        </w:tc>
        <w:tc>
          <w:tcPr>
            <w:tcW w:w="859" w:type="dxa"/>
          </w:tcPr>
          <w:p>
            <w:pPr>
              <w:pStyle w:val="0"/>
            </w:pPr>
            <w:r>
              <w:rPr>
                <w:sz w:val="20"/>
              </w:rPr>
              <w:t xml:space="preserve">0,8</w:t>
            </w:r>
          </w:p>
        </w:tc>
        <w:tc>
          <w:tcPr>
            <w:tcW w:w="1084" w:type="dxa"/>
          </w:tcPr>
          <w:p>
            <w:pPr>
              <w:pStyle w:val="0"/>
            </w:pPr>
            <w:r>
              <w:rPr>
                <w:sz w:val="20"/>
              </w:rPr>
              <w:t xml:space="preserve">0,5</w:t>
            </w:r>
          </w:p>
        </w:tc>
        <w:tc>
          <w:tcPr>
            <w:tcW w:w="859" w:type="dxa"/>
          </w:tcPr>
          <w:p>
            <w:pPr>
              <w:pStyle w:val="0"/>
            </w:pPr>
            <w:r>
              <w:rPr>
                <w:sz w:val="20"/>
              </w:rPr>
              <w:t xml:space="preserve">0,3</w:t>
            </w:r>
          </w:p>
        </w:tc>
        <w:tc>
          <w:tcPr>
            <w:tcW w:w="1084" w:type="dxa"/>
          </w:tcPr>
          <w:p>
            <w:pPr>
              <w:pStyle w:val="0"/>
            </w:pPr>
            <w:r>
              <w:rPr>
                <w:sz w:val="20"/>
              </w:rPr>
              <w:t xml:space="preserve">0,1</w:t>
            </w:r>
          </w:p>
        </w:tc>
        <w:tc>
          <w:tcPr>
            <w:tcW w:w="859" w:type="dxa"/>
          </w:tcPr>
          <w:p>
            <w:pPr>
              <w:pStyle w:val="0"/>
            </w:pPr>
            <w:r>
              <w:rPr>
                <w:sz w:val="20"/>
              </w:rPr>
              <w:t xml:space="preserve">0,7</w:t>
            </w:r>
          </w:p>
        </w:tc>
        <w:tc>
          <w:tcPr>
            <w:tcW w:w="1084" w:type="dxa"/>
          </w:tcPr>
          <w:p>
            <w:pPr>
              <w:pStyle w:val="0"/>
            </w:pPr>
            <w:r>
              <w:rPr>
                <w:sz w:val="20"/>
              </w:rPr>
              <w:t xml:space="preserve">0.6</w:t>
            </w:r>
          </w:p>
        </w:tc>
        <w:tc>
          <w:tcPr>
            <w:tcW w:w="859" w:type="dxa"/>
          </w:tcPr>
          <w:p>
            <w:pPr>
              <w:pStyle w:val="0"/>
            </w:pPr>
            <w:r>
              <w:rPr>
                <w:sz w:val="20"/>
              </w:rPr>
              <w:t xml:space="preserve">0,7</w:t>
            </w:r>
          </w:p>
        </w:tc>
        <w:tc>
          <w:tcPr>
            <w:tcW w:w="1084" w:type="dxa"/>
          </w:tcPr>
          <w:p>
            <w:pPr>
              <w:pStyle w:val="0"/>
            </w:pPr>
            <w:r>
              <w:rPr>
                <w:sz w:val="20"/>
              </w:rPr>
              <w:t xml:space="preserve">0,6</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1,0</w:t>
            </w:r>
          </w:p>
        </w:tc>
        <w:tc>
          <w:tcPr>
            <w:tcW w:w="1084" w:type="dxa"/>
          </w:tcPr>
          <w:p>
            <w:pPr>
              <w:pStyle w:val="0"/>
            </w:pPr>
            <w:r>
              <w:rPr>
                <w:sz w:val="20"/>
              </w:rPr>
              <w:t xml:space="preserve">2,1</w:t>
            </w:r>
          </w:p>
        </w:tc>
        <w:tc>
          <w:tcPr>
            <w:tcW w:w="859" w:type="dxa"/>
          </w:tcPr>
          <w:p>
            <w:pPr>
              <w:pStyle w:val="0"/>
            </w:pPr>
            <w:r>
              <w:rPr>
                <w:sz w:val="20"/>
              </w:rPr>
              <w:t xml:space="preserve">1,9</w:t>
            </w:r>
          </w:p>
        </w:tc>
        <w:tc>
          <w:tcPr>
            <w:tcW w:w="1084" w:type="dxa"/>
          </w:tcPr>
          <w:p>
            <w:pPr>
              <w:pStyle w:val="0"/>
            </w:pPr>
            <w:r>
              <w:rPr>
                <w:sz w:val="20"/>
              </w:rPr>
              <w:t xml:space="preserve">2,7</w:t>
            </w:r>
          </w:p>
        </w:tc>
        <w:tc>
          <w:tcPr>
            <w:tcW w:w="859" w:type="dxa"/>
          </w:tcPr>
          <w:p>
            <w:pPr>
              <w:pStyle w:val="0"/>
            </w:pPr>
            <w:r>
              <w:rPr>
                <w:sz w:val="20"/>
              </w:rPr>
              <w:t xml:space="preserve">1,8</w:t>
            </w:r>
          </w:p>
        </w:tc>
        <w:tc>
          <w:tcPr>
            <w:tcW w:w="1084" w:type="dxa"/>
          </w:tcPr>
          <w:p>
            <w:pPr>
              <w:pStyle w:val="0"/>
            </w:pPr>
            <w:r>
              <w:rPr>
                <w:sz w:val="20"/>
              </w:rPr>
              <w:t xml:space="preserve">2,4</w:t>
            </w:r>
          </w:p>
        </w:tc>
        <w:tc>
          <w:tcPr>
            <w:tcW w:w="859" w:type="dxa"/>
          </w:tcPr>
          <w:p>
            <w:pPr>
              <w:pStyle w:val="0"/>
            </w:pPr>
            <w:r>
              <w:rPr>
                <w:sz w:val="20"/>
              </w:rPr>
              <w:t xml:space="preserve">1,0</w:t>
            </w:r>
          </w:p>
        </w:tc>
        <w:tc>
          <w:tcPr>
            <w:tcW w:w="1084" w:type="dxa"/>
          </w:tcPr>
          <w:p>
            <w:pPr>
              <w:pStyle w:val="0"/>
            </w:pPr>
            <w:r>
              <w:rPr>
                <w:sz w:val="20"/>
              </w:rPr>
              <w:t xml:space="preserve">1,4</w:t>
            </w:r>
          </w:p>
        </w:tc>
        <w:tc>
          <w:tcPr>
            <w:tcW w:w="859" w:type="dxa"/>
          </w:tcPr>
          <w:p>
            <w:pPr>
              <w:pStyle w:val="0"/>
            </w:pPr>
            <w:r>
              <w:rPr>
                <w:sz w:val="20"/>
              </w:rPr>
              <w:t xml:space="preserve">1,5</w:t>
            </w:r>
          </w:p>
        </w:tc>
        <w:tc>
          <w:tcPr>
            <w:tcW w:w="1084" w:type="dxa"/>
          </w:tcPr>
          <w:p>
            <w:pPr>
              <w:pStyle w:val="0"/>
            </w:pPr>
            <w:r>
              <w:rPr>
                <w:sz w:val="20"/>
              </w:rPr>
              <w:t xml:space="preserve">1,8</w:t>
            </w:r>
          </w:p>
        </w:tc>
        <w:tc>
          <w:tcPr>
            <w:tcW w:w="859" w:type="dxa"/>
          </w:tcPr>
          <w:p>
            <w:pPr>
              <w:pStyle w:val="0"/>
            </w:pPr>
            <w:r>
              <w:rPr>
                <w:sz w:val="20"/>
              </w:rPr>
              <w:t xml:space="preserve">0,8</w:t>
            </w:r>
          </w:p>
        </w:tc>
        <w:tc>
          <w:tcPr>
            <w:tcW w:w="1084" w:type="dxa"/>
          </w:tcPr>
          <w:p>
            <w:pPr>
              <w:pStyle w:val="0"/>
            </w:pPr>
            <w:r>
              <w:rPr>
                <w:sz w:val="20"/>
              </w:rPr>
              <w:t xml:space="preserve">0,9</w:t>
            </w:r>
          </w:p>
        </w:tc>
        <w:tc>
          <w:tcPr>
            <w:tcW w:w="859" w:type="dxa"/>
          </w:tcPr>
          <w:p>
            <w:pPr>
              <w:pStyle w:val="0"/>
            </w:pPr>
            <w:r>
              <w:rPr>
                <w:sz w:val="20"/>
              </w:rPr>
              <w:t xml:space="preserve">1,0</w:t>
            </w:r>
          </w:p>
        </w:tc>
        <w:tc>
          <w:tcPr>
            <w:tcW w:w="1084" w:type="dxa"/>
          </w:tcPr>
          <w:p>
            <w:pPr>
              <w:pStyle w:val="0"/>
            </w:pPr>
            <w:r>
              <w:rPr>
                <w:sz w:val="20"/>
              </w:rPr>
              <w:t xml:space="preserve">0,6</w:t>
            </w:r>
          </w:p>
        </w:tc>
        <w:tc>
          <w:tcPr>
            <w:tcW w:w="859" w:type="dxa"/>
          </w:tcPr>
          <w:p>
            <w:pPr>
              <w:pStyle w:val="0"/>
            </w:pPr>
            <w:r>
              <w:rPr>
                <w:sz w:val="20"/>
              </w:rPr>
              <w:t xml:space="preserve">0,4</w:t>
            </w:r>
          </w:p>
        </w:tc>
        <w:tc>
          <w:tcPr>
            <w:tcW w:w="1084" w:type="dxa"/>
          </w:tcPr>
          <w:p>
            <w:pPr>
              <w:pStyle w:val="0"/>
            </w:pPr>
            <w:r>
              <w:rPr>
                <w:sz w:val="20"/>
              </w:rPr>
              <w:t xml:space="preserve">0,2</w:t>
            </w:r>
          </w:p>
        </w:tc>
        <w:tc>
          <w:tcPr>
            <w:tcW w:w="859" w:type="dxa"/>
          </w:tcPr>
          <w:p>
            <w:pPr>
              <w:pStyle w:val="0"/>
            </w:pPr>
            <w:r>
              <w:rPr>
                <w:sz w:val="20"/>
              </w:rPr>
              <w:t xml:space="preserve">1,0</w:t>
            </w:r>
          </w:p>
        </w:tc>
        <w:tc>
          <w:tcPr>
            <w:tcW w:w="1084" w:type="dxa"/>
          </w:tcPr>
          <w:p>
            <w:pPr>
              <w:pStyle w:val="0"/>
            </w:pPr>
            <w:r>
              <w:rPr>
                <w:sz w:val="20"/>
              </w:rPr>
              <w:t xml:space="preserve">1,0</w:t>
            </w:r>
          </w:p>
        </w:tc>
        <w:tc>
          <w:tcPr>
            <w:tcW w:w="859" w:type="dxa"/>
          </w:tcPr>
          <w:p>
            <w:pPr>
              <w:pStyle w:val="0"/>
            </w:pPr>
            <w:r>
              <w:rPr>
                <w:sz w:val="20"/>
              </w:rPr>
              <w:t xml:space="preserve">0,9</w:t>
            </w:r>
          </w:p>
        </w:tc>
        <w:tc>
          <w:tcPr>
            <w:tcW w:w="1084" w:type="dxa"/>
          </w:tcPr>
          <w:p>
            <w:pPr>
              <w:pStyle w:val="0"/>
            </w:pPr>
            <w:r>
              <w:rPr>
                <w:sz w:val="20"/>
              </w:rPr>
              <w:t xml:space="preserve">0,9</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0,4</w:t>
            </w:r>
          </w:p>
        </w:tc>
        <w:tc>
          <w:tcPr>
            <w:tcW w:w="1084" w:type="dxa"/>
          </w:tcPr>
          <w:p>
            <w:pPr>
              <w:pStyle w:val="0"/>
            </w:pPr>
            <w:r>
              <w:rPr>
                <w:sz w:val="20"/>
              </w:rPr>
              <w:t xml:space="preserve">0,4</w:t>
            </w:r>
          </w:p>
        </w:tc>
        <w:tc>
          <w:tcPr>
            <w:tcW w:w="859" w:type="dxa"/>
          </w:tcPr>
          <w:p>
            <w:pPr>
              <w:pStyle w:val="0"/>
            </w:pPr>
            <w:r>
              <w:rPr>
                <w:sz w:val="20"/>
              </w:rPr>
              <w:t xml:space="preserve">0,4</w:t>
            </w:r>
          </w:p>
        </w:tc>
        <w:tc>
          <w:tcPr>
            <w:tcW w:w="1084" w:type="dxa"/>
          </w:tcPr>
          <w:p>
            <w:pPr>
              <w:pStyle w:val="0"/>
            </w:pPr>
            <w:r>
              <w:rPr>
                <w:sz w:val="20"/>
              </w:rPr>
              <w:t xml:space="preserve">0,4</w:t>
            </w:r>
          </w:p>
        </w:tc>
        <w:tc>
          <w:tcPr>
            <w:tcW w:w="859" w:type="dxa"/>
          </w:tcPr>
          <w:p>
            <w:pPr>
              <w:pStyle w:val="0"/>
            </w:pPr>
            <w:r>
              <w:rPr>
                <w:sz w:val="20"/>
              </w:rPr>
              <w:t xml:space="preserve">0,4</w:t>
            </w:r>
          </w:p>
        </w:tc>
        <w:tc>
          <w:tcPr>
            <w:tcW w:w="1084" w:type="dxa"/>
          </w:tcPr>
          <w:p>
            <w:pPr>
              <w:pStyle w:val="0"/>
            </w:pPr>
            <w:r>
              <w:rPr>
                <w:sz w:val="20"/>
              </w:rPr>
              <w:t xml:space="preserve">0,3</w:t>
            </w:r>
          </w:p>
        </w:tc>
        <w:tc>
          <w:tcPr>
            <w:tcW w:w="859" w:type="dxa"/>
          </w:tcPr>
          <w:p>
            <w:pPr>
              <w:pStyle w:val="0"/>
            </w:pPr>
            <w:r>
              <w:rPr>
                <w:sz w:val="20"/>
              </w:rPr>
              <w:t xml:space="preserve">0,1</w:t>
            </w:r>
          </w:p>
        </w:tc>
        <w:tc>
          <w:tcPr>
            <w:tcW w:w="1084" w:type="dxa"/>
          </w:tcPr>
          <w:p>
            <w:pPr>
              <w:pStyle w:val="0"/>
            </w:pPr>
            <w:r>
              <w:rPr>
                <w:sz w:val="20"/>
              </w:rPr>
              <w:t xml:space="preserve">0,1</w:t>
            </w:r>
          </w:p>
        </w:tc>
        <w:tc>
          <w:tcPr>
            <w:tcW w:w="859" w:type="dxa"/>
          </w:tcPr>
          <w:p>
            <w:pPr>
              <w:pStyle w:val="0"/>
            </w:pPr>
            <w:r>
              <w:rPr>
                <w:sz w:val="20"/>
              </w:rPr>
              <w:t xml:space="preserve">0,6</w:t>
            </w:r>
          </w:p>
        </w:tc>
        <w:tc>
          <w:tcPr>
            <w:tcW w:w="1084" w:type="dxa"/>
          </w:tcPr>
          <w:p>
            <w:pPr>
              <w:pStyle w:val="0"/>
            </w:pPr>
            <w:r>
              <w:rPr>
                <w:sz w:val="20"/>
              </w:rPr>
              <w:t xml:space="preserve">0,4</w:t>
            </w:r>
          </w:p>
        </w:tc>
        <w:tc>
          <w:tcPr>
            <w:tcW w:w="859" w:type="dxa"/>
          </w:tcPr>
          <w:p>
            <w:pPr>
              <w:pStyle w:val="0"/>
            </w:pPr>
            <w:r>
              <w:rPr>
                <w:sz w:val="20"/>
              </w:rPr>
              <w:t xml:space="preserve">0,2</w:t>
            </w:r>
          </w:p>
        </w:tc>
        <w:tc>
          <w:tcPr>
            <w:tcW w:w="1084" w:type="dxa"/>
          </w:tcPr>
          <w:p>
            <w:pPr>
              <w:pStyle w:val="0"/>
            </w:pPr>
            <w:r>
              <w:rPr>
                <w:sz w:val="20"/>
              </w:rPr>
              <w:t xml:space="preserve">0,1</w:t>
            </w:r>
          </w:p>
        </w:tc>
        <w:tc>
          <w:tcPr>
            <w:tcW w:w="859" w:type="dxa"/>
          </w:tcPr>
          <w:p>
            <w:pPr>
              <w:pStyle w:val="0"/>
            </w:pPr>
            <w:r>
              <w:rPr>
                <w:sz w:val="20"/>
              </w:rPr>
              <w:t xml:space="preserve">0,5</w:t>
            </w:r>
          </w:p>
        </w:tc>
        <w:tc>
          <w:tcPr>
            <w:tcW w:w="1084" w:type="dxa"/>
          </w:tcPr>
          <w:p>
            <w:pPr>
              <w:pStyle w:val="0"/>
            </w:pPr>
            <w:r>
              <w:rPr>
                <w:sz w:val="20"/>
              </w:rPr>
              <w:t xml:space="preserve">0,3</w:t>
            </w:r>
          </w:p>
        </w:tc>
        <w:tc>
          <w:tcPr>
            <w:tcW w:w="859" w:type="dxa"/>
          </w:tcPr>
          <w:p>
            <w:pPr>
              <w:pStyle w:val="0"/>
            </w:pPr>
            <w:r>
              <w:rPr>
                <w:sz w:val="20"/>
              </w:rPr>
              <w:t xml:space="preserve">0,5</w:t>
            </w:r>
          </w:p>
        </w:tc>
        <w:tc>
          <w:tcPr>
            <w:tcW w:w="1084" w:type="dxa"/>
          </w:tcPr>
          <w:p>
            <w:pPr>
              <w:pStyle w:val="0"/>
            </w:pPr>
            <w:r>
              <w:rPr>
                <w:sz w:val="20"/>
              </w:rPr>
              <w:t xml:space="preserve">0,4</w:t>
            </w:r>
          </w:p>
        </w:tc>
      </w:tr>
      <w:tr>
        <w:tc>
          <w:tcPr>
            <w:tcW w:w="2089" w:type="dxa"/>
            <w:vMerge w:val="restart"/>
          </w:tcPr>
          <w:p>
            <w:pPr>
              <w:pStyle w:val="0"/>
            </w:pPr>
            <w:r>
              <w:rPr>
                <w:sz w:val="20"/>
              </w:rPr>
              <w:t xml:space="preserve">языка (С01, 02)</w:t>
            </w:r>
          </w:p>
        </w:tc>
        <w:tc>
          <w:tcPr>
            <w:tcW w:w="850" w:type="dxa"/>
          </w:tcPr>
          <w:p>
            <w:pPr>
              <w:pStyle w:val="0"/>
            </w:pPr>
            <w:r>
              <w:rPr>
                <w:sz w:val="20"/>
              </w:rPr>
              <w:t xml:space="preserve">оба пола</w:t>
            </w:r>
          </w:p>
        </w:tc>
        <w:tc>
          <w:tcPr>
            <w:tcW w:w="859" w:type="dxa"/>
          </w:tcPr>
          <w:p>
            <w:pPr>
              <w:pStyle w:val="0"/>
            </w:pPr>
            <w:r>
              <w:rPr>
                <w:sz w:val="20"/>
              </w:rPr>
              <w:t xml:space="preserve">1,4</w:t>
            </w:r>
          </w:p>
        </w:tc>
        <w:tc>
          <w:tcPr>
            <w:tcW w:w="1084" w:type="dxa"/>
          </w:tcPr>
          <w:p>
            <w:pPr>
              <w:pStyle w:val="0"/>
            </w:pPr>
            <w:r>
              <w:rPr>
                <w:sz w:val="20"/>
              </w:rPr>
              <w:t xml:space="preserve">1,3</w:t>
            </w:r>
          </w:p>
        </w:tc>
        <w:tc>
          <w:tcPr>
            <w:tcW w:w="859" w:type="dxa"/>
          </w:tcPr>
          <w:p>
            <w:pPr>
              <w:pStyle w:val="0"/>
            </w:pPr>
            <w:r>
              <w:rPr>
                <w:sz w:val="20"/>
              </w:rPr>
              <w:t xml:space="preserve">1,3</w:t>
            </w:r>
          </w:p>
        </w:tc>
        <w:tc>
          <w:tcPr>
            <w:tcW w:w="1084" w:type="dxa"/>
          </w:tcPr>
          <w:p>
            <w:pPr>
              <w:pStyle w:val="0"/>
            </w:pPr>
            <w:r>
              <w:rPr>
                <w:sz w:val="20"/>
              </w:rPr>
              <w:t xml:space="preserve">0,8</w:t>
            </w:r>
          </w:p>
        </w:tc>
        <w:tc>
          <w:tcPr>
            <w:tcW w:w="859" w:type="dxa"/>
          </w:tcPr>
          <w:p>
            <w:pPr>
              <w:pStyle w:val="0"/>
            </w:pPr>
            <w:r>
              <w:rPr>
                <w:sz w:val="20"/>
              </w:rPr>
              <w:t xml:space="preserve">1,1</w:t>
            </w:r>
          </w:p>
        </w:tc>
        <w:tc>
          <w:tcPr>
            <w:tcW w:w="1084" w:type="dxa"/>
          </w:tcPr>
          <w:p>
            <w:pPr>
              <w:pStyle w:val="0"/>
            </w:pPr>
            <w:r>
              <w:rPr>
                <w:sz w:val="20"/>
              </w:rPr>
              <w:t xml:space="preserve">0,8</w:t>
            </w:r>
          </w:p>
        </w:tc>
        <w:tc>
          <w:tcPr>
            <w:tcW w:w="859" w:type="dxa"/>
          </w:tcPr>
          <w:p>
            <w:pPr>
              <w:pStyle w:val="0"/>
            </w:pPr>
            <w:r>
              <w:rPr>
                <w:sz w:val="20"/>
              </w:rPr>
              <w:t xml:space="preserve">1,2</w:t>
            </w:r>
          </w:p>
        </w:tc>
        <w:tc>
          <w:tcPr>
            <w:tcW w:w="1084" w:type="dxa"/>
          </w:tcPr>
          <w:p>
            <w:pPr>
              <w:pStyle w:val="0"/>
            </w:pPr>
            <w:r>
              <w:rPr>
                <w:sz w:val="20"/>
              </w:rPr>
              <w:t xml:space="preserve">1,3</w:t>
            </w:r>
          </w:p>
        </w:tc>
        <w:tc>
          <w:tcPr>
            <w:tcW w:w="859" w:type="dxa"/>
          </w:tcPr>
          <w:p>
            <w:pPr>
              <w:pStyle w:val="0"/>
            </w:pPr>
            <w:r>
              <w:rPr>
                <w:sz w:val="20"/>
              </w:rPr>
              <w:t xml:space="preserve">1,9</w:t>
            </w:r>
          </w:p>
        </w:tc>
        <w:tc>
          <w:tcPr>
            <w:tcW w:w="1084" w:type="dxa"/>
          </w:tcPr>
          <w:p>
            <w:pPr>
              <w:pStyle w:val="0"/>
            </w:pPr>
            <w:r>
              <w:rPr>
                <w:sz w:val="20"/>
              </w:rPr>
              <w:t xml:space="preserve">2,0</w:t>
            </w:r>
          </w:p>
        </w:tc>
        <w:tc>
          <w:tcPr>
            <w:tcW w:w="859" w:type="dxa"/>
          </w:tcPr>
          <w:p>
            <w:pPr>
              <w:pStyle w:val="0"/>
            </w:pPr>
            <w:r>
              <w:rPr>
                <w:sz w:val="20"/>
              </w:rPr>
              <w:t xml:space="preserve">1,1</w:t>
            </w:r>
          </w:p>
        </w:tc>
        <w:tc>
          <w:tcPr>
            <w:tcW w:w="1084" w:type="dxa"/>
          </w:tcPr>
          <w:p>
            <w:pPr>
              <w:pStyle w:val="0"/>
            </w:pPr>
            <w:r>
              <w:rPr>
                <w:sz w:val="20"/>
              </w:rPr>
              <w:t xml:space="preserve">0,8</w:t>
            </w:r>
          </w:p>
        </w:tc>
        <w:tc>
          <w:tcPr>
            <w:tcW w:w="859" w:type="dxa"/>
          </w:tcPr>
          <w:p>
            <w:pPr>
              <w:pStyle w:val="0"/>
            </w:pPr>
            <w:r>
              <w:rPr>
                <w:sz w:val="20"/>
              </w:rPr>
              <w:t xml:space="preserve">1,3</w:t>
            </w:r>
          </w:p>
        </w:tc>
        <w:tc>
          <w:tcPr>
            <w:tcW w:w="1084" w:type="dxa"/>
          </w:tcPr>
          <w:p>
            <w:pPr>
              <w:pStyle w:val="0"/>
            </w:pPr>
            <w:r>
              <w:rPr>
                <w:sz w:val="20"/>
              </w:rPr>
              <w:t xml:space="preserve">1,1</w:t>
            </w:r>
          </w:p>
        </w:tc>
        <w:tc>
          <w:tcPr>
            <w:tcW w:w="859" w:type="dxa"/>
          </w:tcPr>
          <w:p>
            <w:pPr>
              <w:pStyle w:val="0"/>
            </w:pPr>
            <w:r>
              <w:rPr>
                <w:sz w:val="20"/>
              </w:rPr>
              <w:t xml:space="preserve">1,3</w:t>
            </w:r>
          </w:p>
        </w:tc>
        <w:tc>
          <w:tcPr>
            <w:tcW w:w="1084" w:type="dxa"/>
          </w:tcPr>
          <w:p>
            <w:pPr>
              <w:pStyle w:val="0"/>
            </w:pPr>
            <w:r>
              <w:rPr>
                <w:sz w:val="20"/>
              </w:rPr>
              <w:t xml:space="preserve">0,8</w:t>
            </w:r>
          </w:p>
        </w:tc>
        <w:tc>
          <w:tcPr>
            <w:tcW w:w="859" w:type="dxa"/>
          </w:tcPr>
          <w:p>
            <w:pPr>
              <w:pStyle w:val="0"/>
            </w:pPr>
            <w:r>
              <w:rPr>
                <w:sz w:val="20"/>
              </w:rPr>
              <w:t xml:space="preserve">1,7</w:t>
            </w:r>
          </w:p>
        </w:tc>
        <w:tc>
          <w:tcPr>
            <w:tcW w:w="1084" w:type="dxa"/>
          </w:tcPr>
          <w:p>
            <w:pPr>
              <w:pStyle w:val="0"/>
            </w:pPr>
            <w:r>
              <w:rPr>
                <w:sz w:val="20"/>
              </w:rPr>
              <w:t xml:space="preserve">1,3</w:t>
            </w:r>
          </w:p>
        </w:tc>
        <w:tc>
          <w:tcPr>
            <w:tcW w:w="859" w:type="dxa"/>
          </w:tcPr>
          <w:p>
            <w:pPr>
              <w:pStyle w:val="0"/>
            </w:pPr>
            <w:r>
              <w:rPr>
                <w:sz w:val="20"/>
              </w:rPr>
              <w:t xml:space="preserve">1,2</w:t>
            </w:r>
          </w:p>
        </w:tc>
        <w:tc>
          <w:tcPr>
            <w:tcW w:w="1084" w:type="dxa"/>
          </w:tcPr>
          <w:p>
            <w:pPr>
              <w:pStyle w:val="0"/>
            </w:pPr>
            <w:r>
              <w:rPr>
                <w:sz w:val="20"/>
              </w:rPr>
              <w:t xml:space="preserve">0,9</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2,1</w:t>
            </w:r>
          </w:p>
        </w:tc>
        <w:tc>
          <w:tcPr>
            <w:tcW w:w="1084" w:type="dxa"/>
          </w:tcPr>
          <w:p>
            <w:pPr>
              <w:pStyle w:val="0"/>
            </w:pPr>
            <w:r>
              <w:rPr>
                <w:sz w:val="20"/>
              </w:rPr>
              <w:t xml:space="preserve">2,4</w:t>
            </w:r>
          </w:p>
        </w:tc>
        <w:tc>
          <w:tcPr>
            <w:tcW w:w="859" w:type="dxa"/>
          </w:tcPr>
          <w:p>
            <w:pPr>
              <w:pStyle w:val="0"/>
            </w:pPr>
            <w:r>
              <w:rPr>
                <w:sz w:val="20"/>
              </w:rPr>
              <w:t xml:space="preserve">2,7</w:t>
            </w:r>
          </w:p>
        </w:tc>
        <w:tc>
          <w:tcPr>
            <w:tcW w:w="1084" w:type="dxa"/>
          </w:tcPr>
          <w:p>
            <w:pPr>
              <w:pStyle w:val="0"/>
            </w:pPr>
            <w:r>
              <w:rPr>
                <w:sz w:val="20"/>
              </w:rPr>
              <w:t xml:space="preserve">1,9</w:t>
            </w:r>
          </w:p>
        </w:tc>
        <w:tc>
          <w:tcPr>
            <w:tcW w:w="859" w:type="dxa"/>
          </w:tcPr>
          <w:p>
            <w:pPr>
              <w:pStyle w:val="0"/>
            </w:pPr>
            <w:r>
              <w:rPr>
                <w:sz w:val="20"/>
              </w:rPr>
              <w:t xml:space="preserve">1,3</w:t>
            </w:r>
          </w:p>
        </w:tc>
        <w:tc>
          <w:tcPr>
            <w:tcW w:w="1084" w:type="dxa"/>
          </w:tcPr>
          <w:p>
            <w:pPr>
              <w:pStyle w:val="0"/>
            </w:pPr>
            <w:r>
              <w:rPr>
                <w:sz w:val="20"/>
              </w:rPr>
              <w:t xml:space="preserve">0,8</w:t>
            </w:r>
          </w:p>
        </w:tc>
        <w:tc>
          <w:tcPr>
            <w:tcW w:w="859" w:type="dxa"/>
          </w:tcPr>
          <w:p>
            <w:pPr>
              <w:pStyle w:val="0"/>
            </w:pPr>
            <w:r>
              <w:rPr>
                <w:sz w:val="20"/>
              </w:rPr>
              <w:t xml:space="preserve">1,8</w:t>
            </w:r>
          </w:p>
        </w:tc>
        <w:tc>
          <w:tcPr>
            <w:tcW w:w="1084" w:type="dxa"/>
          </w:tcPr>
          <w:p>
            <w:pPr>
              <w:pStyle w:val="0"/>
            </w:pPr>
            <w:r>
              <w:rPr>
                <w:sz w:val="20"/>
              </w:rPr>
              <w:t xml:space="preserve">1,5</w:t>
            </w:r>
          </w:p>
        </w:tc>
        <w:tc>
          <w:tcPr>
            <w:tcW w:w="859" w:type="dxa"/>
          </w:tcPr>
          <w:p>
            <w:pPr>
              <w:pStyle w:val="0"/>
            </w:pPr>
            <w:r>
              <w:rPr>
                <w:sz w:val="20"/>
              </w:rPr>
              <w:t xml:space="preserve">3,0</w:t>
            </w:r>
          </w:p>
        </w:tc>
        <w:tc>
          <w:tcPr>
            <w:tcW w:w="1084" w:type="dxa"/>
          </w:tcPr>
          <w:p>
            <w:pPr>
              <w:pStyle w:val="0"/>
            </w:pPr>
            <w:r>
              <w:rPr>
                <w:sz w:val="20"/>
              </w:rPr>
              <w:t xml:space="preserve">3,3</w:t>
            </w:r>
          </w:p>
        </w:tc>
        <w:tc>
          <w:tcPr>
            <w:tcW w:w="859" w:type="dxa"/>
          </w:tcPr>
          <w:p>
            <w:pPr>
              <w:pStyle w:val="0"/>
            </w:pPr>
            <w:r>
              <w:rPr>
                <w:sz w:val="20"/>
              </w:rPr>
              <w:t xml:space="preserve">1,8</w:t>
            </w:r>
          </w:p>
        </w:tc>
        <w:tc>
          <w:tcPr>
            <w:tcW w:w="1084" w:type="dxa"/>
          </w:tcPr>
          <w:p>
            <w:pPr>
              <w:pStyle w:val="0"/>
            </w:pPr>
            <w:r>
              <w:rPr>
                <w:sz w:val="20"/>
              </w:rPr>
              <w:t xml:space="preserve">1,4</w:t>
            </w:r>
          </w:p>
        </w:tc>
        <w:tc>
          <w:tcPr>
            <w:tcW w:w="859" w:type="dxa"/>
          </w:tcPr>
          <w:p>
            <w:pPr>
              <w:pStyle w:val="0"/>
            </w:pPr>
            <w:r>
              <w:rPr>
                <w:sz w:val="20"/>
              </w:rPr>
              <w:t xml:space="preserve">1,9</w:t>
            </w:r>
          </w:p>
        </w:tc>
        <w:tc>
          <w:tcPr>
            <w:tcW w:w="1084" w:type="dxa"/>
          </w:tcPr>
          <w:p>
            <w:pPr>
              <w:pStyle w:val="0"/>
            </w:pPr>
            <w:r>
              <w:rPr>
                <w:sz w:val="20"/>
              </w:rPr>
              <w:t xml:space="preserve">1,6</w:t>
            </w:r>
          </w:p>
        </w:tc>
        <w:tc>
          <w:tcPr>
            <w:tcW w:w="859" w:type="dxa"/>
          </w:tcPr>
          <w:p>
            <w:pPr>
              <w:pStyle w:val="0"/>
            </w:pPr>
            <w:r>
              <w:rPr>
                <w:sz w:val="20"/>
              </w:rPr>
              <w:t xml:space="preserve">1,5</w:t>
            </w:r>
          </w:p>
        </w:tc>
        <w:tc>
          <w:tcPr>
            <w:tcW w:w="1084" w:type="dxa"/>
          </w:tcPr>
          <w:p>
            <w:pPr>
              <w:pStyle w:val="0"/>
            </w:pPr>
            <w:r>
              <w:rPr>
                <w:sz w:val="20"/>
              </w:rPr>
              <w:t xml:space="preserve">0,8</w:t>
            </w:r>
          </w:p>
        </w:tc>
        <w:tc>
          <w:tcPr>
            <w:tcW w:w="859" w:type="dxa"/>
          </w:tcPr>
          <w:p>
            <w:pPr>
              <w:pStyle w:val="0"/>
            </w:pPr>
            <w:r>
              <w:rPr>
                <w:sz w:val="20"/>
              </w:rPr>
              <w:t xml:space="preserve">2,3</w:t>
            </w:r>
          </w:p>
        </w:tc>
        <w:tc>
          <w:tcPr>
            <w:tcW w:w="1084" w:type="dxa"/>
          </w:tcPr>
          <w:p>
            <w:pPr>
              <w:pStyle w:val="0"/>
            </w:pPr>
            <w:r>
              <w:rPr>
                <w:sz w:val="20"/>
              </w:rPr>
              <w:t xml:space="preserve">2,1</w:t>
            </w:r>
          </w:p>
        </w:tc>
        <w:tc>
          <w:tcPr>
            <w:tcW w:w="859" w:type="dxa"/>
          </w:tcPr>
          <w:p>
            <w:pPr>
              <w:pStyle w:val="0"/>
            </w:pPr>
            <w:r>
              <w:rPr>
                <w:sz w:val="20"/>
              </w:rPr>
              <w:t xml:space="preserve">1,3</w:t>
            </w:r>
          </w:p>
        </w:tc>
        <w:tc>
          <w:tcPr>
            <w:tcW w:w="1084" w:type="dxa"/>
          </w:tcPr>
          <w:p>
            <w:pPr>
              <w:pStyle w:val="0"/>
            </w:pPr>
            <w:r>
              <w:rPr>
                <w:sz w:val="20"/>
              </w:rPr>
              <w:t xml:space="preserve">1,1</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0,7</w:t>
            </w:r>
          </w:p>
        </w:tc>
        <w:tc>
          <w:tcPr>
            <w:tcW w:w="1084" w:type="dxa"/>
          </w:tcPr>
          <w:p>
            <w:pPr>
              <w:pStyle w:val="0"/>
            </w:pPr>
            <w:r>
              <w:rPr>
                <w:sz w:val="20"/>
              </w:rPr>
              <w:t xml:space="preserve">0,5</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1,0</w:t>
            </w:r>
          </w:p>
        </w:tc>
        <w:tc>
          <w:tcPr>
            <w:tcW w:w="1084" w:type="dxa"/>
          </w:tcPr>
          <w:p>
            <w:pPr>
              <w:pStyle w:val="0"/>
            </w:pPr>
            <w:r>
              <w:rPr>
                <w:sz w:val="20"/>
              </w:rPr>
              <w:t xml:space="preserve">0,9</w:t>
            </w:r>
          </w:p>
        </w:tc>
        <w:tc>
          <w:tcPr>
            <w:tcW w:w="859" w:type="dxa"/>
          </w:tcPr>
          <w:p>
            <w:pPr>
              <w:pStyle w:val="0"/>
            </w:pPr>
            <w:r>
              <w:rPr>
                <w:sz w:val="20"/>
              </w:rPr>
              <w:t xml:space="preserve">0,6</w:t>
            </w:r>
          </w:p>
        </w:tc>
        <w:tc>
          <w:tcPr>
            <w:tcW w:w="1084" w:type="dxa"/>
          </w:tcPr>
          <w:p>
            <w:pPr>
              <w:pStyle w:val="0"/>
            </w:pPr>
            <w:r>
              <w:rPr>
                <w:sz w:val="20"/>
              </w:rPr>
              <w:t xml:space="preserve">0,7</w:t>
            </w:r>
          </w:p>
        </w:tc>
        <w:tc>
          <w:tcPr>
            <w:tcW w:w="859" w:type="dxa"/>
          </w:tcPr>
          <w:p>
            <w:pPr>
              <w:pStyle w:val="0"/>
            </w:pPr>
            <w:r>
              <w:rPr>
                <w:sz w:val="20"/>
              </w:rPr>
              <w:t xml:space="preserve">0,8</w:t>
            </w:r>
          </w:p>
        </w:tc>
        <w:tc>
          <w:tcPr>
            <w:tcW w:w="1084" w:type="dxa"/>
          </w:tcPr>
          <w:p>
            <w:pPr>
              <w:pStyle w:val="0"/>
            </w:pPr>
            <w:r>
              <w:rPr>
                <w:sz w:val="20"/>
              </w:rPr>
              <w:t xml:space="preserve">1,1</w:t>
            </w:r>
          </w:p>
        </w:tc>
        <w:tc>
          <w:tcPr>
            <w:tcW w:w="859" w:type="dxa"/>
          </w:tcPr>
          <w:p>
            <w:pPr>
              <w:pStyle w:val="0"/>
            </w:pPr>
            <w:r>
              <w:rPr>
                <w:sz w:val="20"/>
              </w:rPr>
              <w:t xml:space="preserve">0,5</w:t>
            </w:r>
          </w:p>
        </w:tc>
        <w:tc>
          <w:tcPr>
            <w:tcW w:w="1084" w:type="dxa"/>
          </w:tcPr>
          <w:p>
            <w:pPr>
              <w:pStyle w:val="0"/>
            </w:pPr>
            <w:r>
              <w:rPr>
                <w:sz w:val="20"/>
              </w:rPr>
              <w:t xml:space="preserve">0,3</w:t>
            </w:r>
          </w:p>
        </w:tc>
        <w:tc>
          <w:tcPr>
            <w:tcW w:w="859" w:type="dxa"/>
          </w:tcPr>
          <w:p>
            <w:pPr>
              <w:pStyle w:val="0"/>
            </w:pPr>
            <w:r>
              <w:rPr>
                <w:sz w:val="20"/>
              </w:rPr>
              <w:t xml:space="preserve">0,7</w:t>
            </w:r>
          </w:p>
        </w:tc>
        <w:tc>
          <w:tcPr>
            <w:tcW w:w="1084" w:type="dxa"/>
          </w:tcPr>
          <w:p>
            <w:pPr>
              <w:pStyle w:val="0"/>
            </w:pPr>
            <w:r>
              <w:rPr>
                <w:sz w:val="20"/>
              </w:rPr>
              <w:t xml:space="preserve">0,6</w:t>
            </w:r>
          </w:p>
        </w:tc>
        <w:tc>
          <w:tcPr>
            <w:tcW w:w="859" w:type="dxa"/>
          </w:tcPr>
          <w:p>
            <w:pPr>
              <w:pStyle w:val="0"/>
            </w:pPr>
            <w:r>
              <w:rPr>
                <w:sz w:val="20"/>
              </w:rPr>
              <w:t xml:space="preserve">1,0</w:t>
            </w:r>
          </w:p>
        </w:tc>
        <w:tc>
          <w:tcPr>
            <w:tcW w:w="1084" w:type="dxa"/>
          </w:tcPr>
          <w:p>
            <w:pPr>
              <w:pStyle w:val="0"/>
            </w:pPr>
            <w:r>
              <w:rPr>
                <w:sz w:val="20"/>
              </w:rPr>
              <w:t xml:space="preserve">0,8</w:t>
            </w:r>
          </w:p>
        </w:tc>
        <w:tc>
          <w:tcPr>
            <w:tcW w:w="859" w:type="dxa"/>
          </w:tcPr>
          <w:p>
            <w:pPr>
              <w:pStyle w:val="0"/>
            </w:pPr>
            <w:r>
              <w:rPr>
                <w:sz w:val="20"/>
              </w:rPr>
              <w:t xml:space="preserve">1,1</w:t>
            </w:r>
          </w:p>
        </w:tc>
        <w:tc>
          <w:tcPr>
            <w:tcW w:w="1084" w:type="dxa"/>
          </w:tcPr>
          <w:p>
            <w:pPr>
              <w:pStyle w:val="0"/>
            </w:pPr>
            <w:r>
              <w:rPr>
                <w:sz w:val="20"/>
              </w:rPr>
              <w:t xml:space="preserve">1,0</w:t>
            </w:r>
          </w:p>
        </w:tc>
        <w:tc>
          <w:tcPr>
            <w:tcW w:w="859" w:type="dxa"/>
          </w:tcPr>
          <w:p>
            <w:pPr>
              <w:pStyle w:val="0"/>
            </w:pPr>
            <w:r>
              <w:rPr>
                <w:sz w:val="20"/>
              </w:rPr>
              <w:t xml:space="preserve">1,1</w:t>
            </w:r>
          </w:p>
        </w:tc>
        <w:tc>
          <w:tcPr>
            <w:tcW w:w="1084" w:type="dxa"/>
          </w:tcPr>
          <w:p>
            <w:pPr>
              <w:pStyle w:val="0"/>
            </w:pPr>
            <w:r>
              <w:rPr>
                <w:sz w:val="20"/>
              </w:rPr>
              <w:t xml:space="preserve">0,8</w:t>
            </w:r>
          </w:p>
        </w:tc>
      </w:tr>
      <w:tr>
        <w:tc>
          <w:tcPr>
            <w:tcW w:w="2089" w:type="dxa"/>
            <w:vMerge w:val="restart"/>
          </w:tcPr>
          <w:p>
            <w:pPr>
              <w:pStyle w:val="0"/>
            </w:pPr>
            <w:r>
              <w:rPr>
                <w:sz w:val="20"/>
              </w:rPr>
              <w:t xml:space="preserve">больших слюнных желез (С07, 08)</w:t>
            </w:r>
          </w:p>
        </w:tc>
        <w:tc>
          <w:tcPr>
            <w:tcW w:w="850" w:type="dxa"/>
          </w:tcPr>
          <w:p>
            <w:pPr>
              <w:pStyle w:val="0"/>
            </w:pPr>
            <w:r>
              <w:rPr>
                <w:sz w:val="20"/>
              </w:rPr>
              <w:t xml:space="preserve">оба пола</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0,3</w:t>
            </w:r>
          </w:p>
        </w:tc>
        <w:tc>
          <w:tcPr>
            <w:tcW w:w="1084" w:type="dxa"/>
          </w:tcPr>
          <w:p>
            <w:pPr>
              <w:pStyle w:val="0"/>
            </w:pPr>
            <w:r>
              <w:rPr>
                <w:sz w:val="20"/>
              </w:rPr>
              <w:t xml:space="preserve">0,4</w:t>
            </w:r>
          </w:p>
        </w:tc>
        <w:tc>
          <w:tcPr>
            <w:tcW w:w="859" w:type="dxa"/>
          </w:tcPr>
          <w:p>
            <w:pPr>
              <w:pStyle w:val="0"/>
            </w:pPr>
            <w:r>
              <w:rPr>
                <w:sz w:val="20"/>
              </w:rPr>
              <w:t xml:space="preserve">0,5</w:t>
            </w:r>
          </w:p>
        </w:tc>
        <w:tc>
          <w:tcPr>
            <w:tcW w:w="1084" w:type="dxa"/>
          </w:tcPr>
          <w:p>
            <w:pPr>
              <w:pStyle w:val="0"/>
            </w:pPr>
            <w:r>
              <w:rPr>
                <w:sz w:val="20"/>
              </w:rPr>
              <w:t xml:space="preserve">0,3</w:t>
            </w:r>
          </w:p>
        </w:tc>
        <w:tc>
          <w:tcPr>
            <w:tcW w:w="859" w:type="dxa"/>
          </w:tcPr>
          <w:p>
            <w:pPr>
              <w:pStyle w:val="0"/>
            </w:pPr>
            <w:r>
              <w:rPr>
                <w:sz w:val="20"/>
              </w:rPr>
              <w:t xml:space="preserve">0,6</w:t>
            </w:r>
          </w:p>
        </w:tc>
        <w:tc>
          <w:tcPr>
            <w:tcW w:w="1084" w:type="dxa"/>
          </w:tcPr>
          <w:p>
            <w:pPr>
              <w:pStyle w:val="0"/>
            </w:pPr>
            <w:r>
              <w:rPr>
                <w:sz w:val="20"/>
              </w:rPr>
              <w:t xml:space="preserve">0,9</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0,4</w:t>
            </w:r>
          </w:p>
        </w:tc>
        <w:tc>
          <w:tcPr>
            <w:tcW w:w="1084" w:type="dxa"/>
          </w:tcPr>
          <w:p>
            <w:pPr>
              <w:pStyle w:val="0"/>
            </w:pPr>
            <w:r>
              <w:rPr>
                <w:sz w:val="20"/>
              </w:rPr>
              <w:t xml:space="preserve">0,3</w:t>
            </w:r>
          </w:p>
        </w:tc>
        <w:tc>
          <w:tcPr>
            <w:tcW w:w="859" w:type="dxa"/>
          </w:tcPr>
          <w:p>
            <w:pPr>
              <w:pStyle w:val="0"/>
            </w:pPr>
            <w:r>
              <w:rPr>
                <w:sz w:val="20"/>
              </w:rPr>
              <w:t xml:space="preserve">0,5</w:t>
            </w:r>
          </w:p>
        </w:tc>
        <w:tc>
          <w:tcPr>
            <w:tcW w:w="1084" w:type="dxa"/>
          </w:tcPr>
          <w:p>
            <w:pPr>
              <w:pStyle w:val="0"/>
            </w:pPr>
            <w:r>
              <w:rPr>
                <w:sz w:val="20"/>
              </w:rPr>
              <w:t xml:space="preserve">0,9</w:t>
            </w:r>
          </w:p>
        </w:tc>
        <w:tc>
          <w:tcPr>
            <w:tcW w:w="859" w:type="dxa"/>
          </w:tcPr>
          <w:p>
            <w:pPr>
              <w:pStyle w:val="0"/>
            </w:pPr>
            <w:r>
              <w:rPr>
                <w:sz w:val="20"/>
              </w:rPr>
              <w:t xml:space="preserve">0,8</w:t>
            </w:r>
          </w:p>
        </w:tc>
        <w:tc>
          <w:tcPr>
            <w:tcW w:w="1084" w:type="dxa"/>
          </w:tcPr>
          <w:p>
            <w:pPr>
              <w:pStyle w:val="0"/>
            </w:pPr>
            <w:r>
              <w:rPr>
                <w:sz w:val="20"/>
              </w:rPr>
              <w:t xml:space="preserve">0,7</w:t>
            </w:r>
          </w:p>
        </w:tc>
        <w:tc>
          <w:tcPr>
            <w:tcW w:w="859" w:type="dxa"/>
          </w:tcPr>
          <w:p>
            <w:pPr>
              <w:pStyle w:val="0"/>
            </w:pPr>
            <w:r>
              <w:rPr>
                <w:sz w:val="20"/>
              </w:rPr>
              <w:t xml:space="preserve">0,6</w:t>
            </w:r>
          </w:p>
        </w:tc>
        <w:tc>
          <w:tcPr>
            <w:tcW w:w="1084" w:type="dxa"/>
          </w:tcPr>
          <w:p>
            <w:pPr>
              <w:pStyle w:val="0"/>
            </w:pPr>
            <w:r>
              <w:rPr>
                <w:sz w:val="20"/>
              </w:rPr>
              <w:t xml:space="preserve">0,5</w:t>
            </w:r>
          </w:p>
        </w:tc>
        <w:tc>
          <w:tcPr>
            <w:tcW w:w="859" w:type="dxa"/>
          </w:tcPr>
          <w:p>
            <w:pPr>
              <w:pStyle w:val="0"/>
            </w:pPr>
            <w:r>
              <w:rPr>
                <w:sz w:val="20"/>
              </w:rPr>
              <w:t xml:space="preserve">0,4</w:t>
            </w:r>
          </w:p>
        </w:tc>
        <w:tc>
          <w:tcPr>
            <w:tcW w:w="1084" w:type="dxa"/>
          </w:tcPr>
          <w:p>
            <w:pPr>
              <w:pStyle w:val="0"/>
            </w:pPr>
            <w:r>
              <w:rPr>
                <w:sz w:val="20"/>
              </w:rPr>
              <w:t xml:space="preserve">0,3</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0,1</w:t>
            </w:r>
          </w:p>
        </w:tc>
        <w:tc>
          <w:tcPr>
            <w:tcW w:w="1084" w:type="dxa"/>
          </w:tcPr>
          <w:p>
            <w:pPr>
              <w:pStyle w:val="0"/>
            </w:pPr>
            <w:r>
              <w:rPr>
                <w:sz w:val="20"/>
              </w:rPr>
              <w:t xml:space="preserve">-</w:t>
            </w:r>
          </w:p>
        </w:tc>
        <w:tc>
          <w:tcPr>
            <w:tcW w:w="859" w:type="dxa"/>
          </w:tcPr>
          <w:p>
            <w:pPr>
              <w:pStyle w:val="0"/>
            </w:pPr>
            <w:r>
              <w:rPr>
                <w:sz w:val="20"/>
              </w:rPr>
              <w:t xml:space="preserve">0,3</w:t>
            </w:r>
          </w:p>
        </w:tc>
        <w:tc>
          <w:tcPr>
            <w:tcW w:w="1084" w:type="dxa"/>
          </w:tcPr>
          <w:p>
            <w:pPr>
              <w:pStyle w:val="0"/>
            </w:pPr>
            <w:r>
              <w:rPr>
                <w:sz w:val="20"/>
              </w:rPr>
              <w:t xml:space="preserve">0,2</w:t>
            </w:r>
          </w:p>
        </w:tc>
        <w:tc>
          <w:tcPr>
            <w:tcW w:w="859" w:type="dxa"/>
          </w:tcPr>
          <w:p>
            <w:pPr>
              <w:pStyle w:val="0"/>
            </w:pPr>
            <w:r>
              <w:rPr>
                <w:sz w:val="20"/>
              </w:rPr>
              <w:t xml:space="preserve">0,6</w:t>
            </w:r>
          </w:p>
        </w:tc>
        <w:tc>
          <w:tcPr>
            <w:tcW w:w="1084" w:type="dxa"/>
          </w:tcPr>
          <w:p>
            <w:pPr>
              <w:pStyle w:val="0"/>
            </w:pPr>
            <w:r>
              <w:rPr>
                <w:sz w:val="20"/>
              </w:rPr>
              <w:t xml:space="preserve">0,6</w:t>
            </w:r>
          </w:p>
        </w:tc>
        <w:tc>
          <w:tcPr>
            <w:tcW w:w="859" w:type="dxa"/>
          </w:tcPr>
          <w:p>
            <w:pPr>
              <w:pStyle w:val="0"/>
            </w:pPr>
            <w:r>
              <w:rPr>
                <w:sz w:val="20"/>
              </w:rPr>
              <w:t xml:space="preserve">0,6</w:t>
            </w:r>
          </w:p>
        </w:tc>
        <w:tc>
          <w:tcPr>
            <w:tcW w:w="1084" w:type="dxa"/>
          </w:tcPr>
          <w:p>
            <w:pPr>
              <w:pStyle w:val="0"/>
            </w:pPr>
            <w:r>
              <w:rPr>
                <w:sz w:val="20"/>
              </w:rPr>
              <w:t xml:space="preserve">0,8</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0,5</w:t>
            </w:r>
          </w:p>
        </w:tc>
        <w:tc>
          <w:tcPr>
            <w:tcW w:w="1084" w:type="dxa"/>
          </w:tcPr>
          <w:p>
            <w:pPr>
              <w:pStyle w:val="0"/>
            </w:pPr>
            <w:r>
              <w:rPr>
                <w:sz w:val="20"/>
              </w:rPr>
              <w:t xml:space="preserve">0,4</w:t>
            </w:r>
          </w:p>
        </w:tc>
        <w:tc>
          <w:tcPr>
            <w:tcW w:w="859" w:type="dxa"/>
          </w:tcPr>
          <w:p>
            <w:pPr>
              <w:pStyle w:val="0"/>
            </w:pPr>
            <w:r>
              <w:rPr>
                <w:sz w:val="20"/>
              </w:rPr>
              <w:t xml:space="preserve">0,5</w:t>
            </w:r>
          </w:p>
        </w:tc>
        <w:tc>
          <w:tcPr>
            <w:tcW w:w="1084" w:type="dxa"/>
          </w:tcPr>
          <w:p>
            <w:pPr>
              <w:pStyle w:val="0"/>
            </w:pPr>
            <w:r>
              <w:rPr>
                <w:sz w:val="20"/>
              </w:rPr>
              <w:t xml:space="preserve">3,1</w:t>
            </w:r>
          </w:p>
        </w:tc>
        <w:tc>
          <w:tcPr>
            <w:tcW w:w="859" w:type="dxa"/>
          </w:tcPr>
          <w:p>
            <w:pPr>
              <w:pStyle w:val="0"/>
            </w:pPr>
            <w:r>
              <w:rPr>
                <w:sz w:val="20"/>
              </w:rPr>
              <w:t xml:space="preserve">0,9</w:t>
            </w:r>
          </w:p>
        </w:tc>
        <w:tc>
          <w:tcPr>
            <w:tcW w:w="1084" w:type="dxa"/>
          </w:tcPr>
          <w:p>
            <w:pPr>
              <w:pStyle w:val="0"/>
            </w:pPr>
            <w:r>
              <w:rPr>
                <w:sz w:val="20"/>
              </w:rPr>
              <w:t xml:space="preserve">0,8</w:t>
            </w:r>
          </w:p>
        </w:tc>
        <w:tc>
          <w:tcPr>
            <w:tcW w:w="859" w:type="dxa"/>
          </w:tcPr>
          <w:p>
            <w:pPr>
              <w:pStyle w:val="0"/>
            </w:pPr>
            <w:r>
              <w:rPr>
                <w:sz w:val="20"/>
              </w:rPr>
              <w:t xml:space="preserve">0,8</w:t>
            </w:r>
          </w:p>
        </w:tc>
        <w:tc>
          <w:tcPr>
            <w:tcW w:w="1084" w:type="dxa"/>
          </w:tcPr>
          <w:p>
            <w:pPr>
              <w:pStyle w:val="0"/>
            </w:pPr>
            <w:r>
              <w:rPr>
                <w:sz w:val="20"/>
              </w:rPr>
              <w:t xml:space="preserve">0,6</w:t>
            </w:r>
          </w:p>
        </w:tc>
        <w:tc>
          <w:tcPr>
            <w:tcW w:w="859" w:type="dxa"/>
          </w:tcPr>
          <w:p>
            <w:pPr>
              <w:pStyle w:val="0"/>
            </w:pPr>
            <w:r>
              <w:rPr>
                <w:sz w:val="20"/>
              </w:rPr>
              <w:t xml:space="preserve">0,8</w:t>
            </w:r>
          </w:p>
        </w:tc>
        <w:tc>
          <w:tcPr>
            <w:tcW w:w="1084" w:type="dxa"/>
          </w:tcPr>
          <w:p>
            <w:pPr>
              <w:pStyle w:val="0"/>
            </w:pPr>
            <w:r>
              <w:rPr>
                <w:sz w:val="20"/>
              </w:rPr>
              <w:t xml:space="preserve">0,7</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0,2</w:t>
            </w:r>
          </w:p>
        </w:tc>
        <w:tc>
          <w:tcPr>
            <w:tcW w:w="1084" w:type="dxa"/>
          </w:tcPr>
          <w:p>
            <w:pPr>
              <w:pStyle w:val="0"/>
            </w:pPr>
            <w:r>
              <w:rPr>
                <w:sz w:val="20"/>
              </w:rPr>
              <w:t xml:space="preserve">0,4</w:t>
            </w:r>
          </w:p>
        </w:tc>
        <w:tc>
          <w:tcPr>
            <w:tcW w:w="859" w:type="dxa"/>
          </w:tcPr>
          <w:p>
            <w:pPr>
              <w:pStyle w:val="0"/>
            </w:pPr>
            <w:r>
              <w:rPr>
                <w:sz w:val="20"/>
              </w:rPr>
              <w:t xml:space="preserve">0,4</w:t>
            </w:r>
          </w:p>
        </w:tc>
        <w:tc>
          <w:tcPr>
            <w:tcW w:w="1084" w:type="dxa"/>
          </w:tcPr>
          <w:p>
            <w:pPr>
              <w:pStyle w:val="0"/>
            </w:pPr>
            <w:r>
              <w:rPr>
                <w:sz w:val="20"/>
              </w:rPr>
              <w:t xml:space="preserve">0,5</w:t>
            </w:r>
          </w:p>
        </w:tc>
        <w:tc>
          <w:tcPr>
            <w:tcW w:w="859" w:type="dxa"/>
          </w:tcPr>
          <w:p>
            <w:pPr>
              <w:pStyle w:val="0"/>
            </w:pPr>
            <w:r>
              <w:rPr>
                <w:sz w:val="20"/>
              </w:rPr>
              <w:t xml:space="preserve">0,4</w:t>
            </w:r>
          </w:p>
        </w:tc>
        <w:tc>
          <w:tcPr>
            <w:tcW w:w="1084" w:type="dxa"/>
          </w:tcPr>
          <w:p>
            <w:pPr>
              <w:pStyle w:val="0"/>
            </w:pPr>
            <w:r>
              <w:rPr>
                <w:sz w:val="20"/>
              </w:rPr>
              <w:t xml:space="preserve">0,3</w:t>
            </w:r>
          </w:p>
        </w:tc>
        <w:tc>
          <w:tcPr>
            <w:tcW w:w="859" w:type="dxa"/>
          </w:tcPr>
          <w:p>
            <w:pPr>
              <w:pStyle w:val="0"/>
            </w:pPr>
            <w:r>
              <w:rPr>
                <w:sz w:val="20"/>
              </w:rPr>
              <w:t xml:space="preserve">0,5</w:t>
            </w:r>
          </w:p>
        </w:tc>
        <w:tc>
          <w:tcPr>
            <w:tcW w:w="1084" w:type="dxa"/>
          </w:tcPr>
          <w:p>
            <w:pPr>
              <w:pStyle w:val="0"/>
            </w:pPr>
            <w:r>
              <w:rPr>
                <w:sz w:val="20"/>
              </w:rPr>
              <w:t xml:space="preserve">0,7</w:t>
            </w:r>
          </w:p>
        </w:tc>
        <w:tc>
          <w:tcPr>
            <w:tcW w:w="859" w:type="dxa"/>
          </w:tcPr>
          <w:p>
            <w:pPr>
              <w:pStyle w:val="0"/>
            </w:pPr>
            <w:r>
              <w:rPr>
                <w:sz w:val="20"/>
              </w:rPr>
              <w:t xml:space="preserve">0,5</w:t>
            </w:r>
          </w:p>
        </w:tc>
        <w:tc>
          <w:tcPr>
            <w:tcW w:w="1084" w:type="dxa"/>
          </w:tcPr>
          <w:p>
            <w:pPr>
              <w:pStyle w:val="0"/>
            </w:pPr>
            <w:r>
              <w:rPr>
                <w:sz w:val="20"/>
              </w:rPr>
              <w:t xml:space="preserve">0,4</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0,5</w:t>
            </w:r>
          </w:p>
        </w:tc>
        <w:tc>
          <w:tcPr>
            <w:tcW w:w="1084" w:type="dxa"/>
          </w:tcPr>
          <w:p>
            <w:pPr>
              <w:pStyle w:val="0"/>
            </w:pPr>
            <w:r>
              <w:rPr>
                <w:sz w:val="20"/>
              </w:rPr>
              <w:t xml:space="preserve">0,3</w:t>
            </w:r>
          </w:p>
        </w:tc>
        <w:tc>
          <w:tcPr>
            <w:tcW w:w="859" w:type="dxa"/>
          </w:tcPr>
          <w:p>
            <w:pPr>
              <w:pStyle w:val="0"/>
            </w:pPr>
            <w:r>
              <w:rPr>
                <w:sz w:val="20"/>
              </w:rPr>
              <w:t xml:space="preserve">0,7</w:t>
            </w:r>
          </w:p>
        </w:tc>
        <w:tc>
          <w:tcPr>
            <w:tcW w:w="1084" w:type="dxa"/>
          </w:tcPr>
          <w:p>
            <w:pPr>
              <w:pStyle w:val="0"/>
            </w:pPr>
            <w:r>
              <w:rPr>
                <w:sz w:val="20"/>
              </w:rPr>
              <w:t xml:space="preserve">0,7</w:t>
            </w:r>
          </w:p>
        </w:tc>
        <w:tc>
          <w:tcPr>
            <w:tcW w:w="859" w:type="dxa"/>
          </w:tcPr>
          <w:p>
            <w:pPr>
              <w:pStyle w:val="0"/>
            </w:pPr>
            <w:r>
              <w:rPr>
                <w:sz w:val="20"/>
              </w:rPr>
              <w:t xml:space="preserve">0,5</w:t>
            </w:r>
          </w:p>
        </w:tc>
        <w:tc>
          <w:tcPr>
            <w:tcW w:w="1084" w:type="dxa"/>
          </w:tcPr>
          <w:p>
            <w:pPr>
              <w:pStyle w:val="0"/>
            </w:pPr>
            <w:r>
              <w:rPr>
                <w:sz w:val="20"/>
              </w:rPr>
              <w:t xml:space="preserve">0,3</w:t>
            </w:r>
          </w:p>
        </w:tc>
        <w:tc>
          <w:tcPr>
            <w:tcW w:w="859" w:type="dxa"/>
          </w:tcPr>
          <w:p>
            <w:pPr>
              <w:pStyle w:val="0"/>
            </w:pPr>
            <w:r>
              <w:rPr>
                <w:sz w:val="20"/>
              </w:rPr>
              <w:t xml:space="preserve">0,0</w:t>
            </w:r>
          </w:p>
        </w:tc>
        <w:tc>
          <w:tcPr>
            <w:tcW w:w="1084" w:type="dxa"/>
          </w:tcPr>
          <w:p>
            <w:pPr>
              <w:pStyle w:val="0"/>
            </w:pPr>
            <w:r>
              <w:rPr>
                <w:sz w:val="20"/>
              </w:rPr>
              <w:t xml:space="preserve">0,0</w:t>
            </w:r>
          </w:p>
        </w:tc>
      </w:tr>
      <w:tr>
        <w:tc>
          <w:tcPr>
            <w:tcW w:w="2089" w:type="dxa"/>
            <w:vMerge w:val="restart"/>
          </w:tcPr>
          <w:p>
            <w:pPr>
              <w:pStyle w:val="0"/>
            </w:pPr>
            <w:r>
              <w:rPr>
                <w:sz w:val="20"/>
              </w:rPr>
              <w:t xml:space="preserve">других и неуточненных частей полости рта (С03 - 06, 09, 46,2)</w:t>
            </w:r>
          </w:p>
        </w:tc>
        <w:tc>
          <w:tcPr>
            <w:tcW w:w="850" w:type="dxa"/>
          </w:tcPr>
          <w:p>
            <w:pPr>
              <w:pStyle w:val="0"/>
            </w:pPr>
            <w:r>
              <w:rPr>
                <w:sz w:val="20"/>
              </w:rPr>
              <w:t xml:space="preserve">оба пола</w:t>
            </w:r>
          </w:p>
        </w:tc>
        <w:tc>
          <w:tcPr>
            <w:tcW w:w="859" w:type="dxa"/>
          </w:tcPr>
          <w:p>
            <w:pPr>
              <w:pStyle w:val="0"/>
            </w:pPr>
            <w:r>
              <w:rPr>
                <w:sz w:val="20"/>
              </w:rPr>
              <w:t xml:space="preserve">2,1</w:t>
            </w:r>
          </w:p>
        </w:tc>
        <w:tc>
          <w:tcPr>
            <w:tcW w:w="1084" w:type="dxa"/>
          </w:tcPr>
          <w:p>
            <w:pPr>
              <w:pStyle w:val="0"/>
            </w:pPr>
            <w:r>
              <w:rPr>
                <w:sz w:val="20"/>
              </w:rPr>
              <w:t xml:space="preserve">2,6</w:t>
            </w:r>
          </w:p>
        </w:tc>
        <w:tc>
          <w:tcPr>
            <w:tcW w:w="859" w:type="dxa"/>
          </w:tcPr>
          <w:p>
            <w:pPr>
              <w:pStyle w:val="0"/>
            </w:pPr>
            <w:r>
              <w:rPr>
                <w:sz w:val="20"/>
              </w:rPr>
              <w:t xml:space="preserve">2,3</w:t>
            </w:r>
          </w:p>
        </w:tc>
        <w:tc>
          <w:tcPr>
            <w:tcW w:w="1084" w:type="dxa"/>
          </w:tcPr>
          <w:p>
            <w:pPr>
              <w:pStyle w:val="0"/>
            </w:pPr>
            <w:r>
              <w:rPr>
                <w:sz w:val="20"/>
              </w:rPr>
              <w:t xml:space="preserve">2,0</w:t>
            </w:r>
          </w:p>
        </w:tc>
        <w:tc>
          <w:tcPr>
            <w:tcW w:w="859" w:type="dxa"/>
          </w:tcPr>
          <w:p>
            <w:pPr>
              <w:pStyle w:val="0"/>
            </w:pPr>
            <w:r>
              <w:rPr>
                <w:sz w:val="20"/>
              </w:rPr>
              <w:t xml:space="preserve">1,8</w:t>
            </w:r>
          </w:p>
        </w:tc>
        <w:tc>
          <w:tcPr>
            <w:tcW w:w="1084" w:type="dxa"/>
          </w:tcPr>
          <w:p>
            <w:pPr>
              <w:pStyle w:val="0"/>
            </w:pPr>
            <w:r>
              <w:rPr>
                <w:sz w:val="20"/>
              </w:rPr>
              <w:t xml:space="preserve">2,0</w:t>
            </w:r>
          </w:p>
        </w:tc>
        <w:tc>
          <w:tcPr>
            <w:tcW w:w="859" w:type="dxa"/>
          </w:tcPr>
          <w:p>
            <w:pPr>
              <w:pStyle w:val="0"/>
            </w:pPr>
            <w:r>
              <w:rPr>
                <w:sz w:val="20"/>
              </w:rPr>
              <w:t xml:space="preserve">1,7</w:t>
            </w:r>
          </w:p>
        </w:tc>
        <w:tc>
          <w:tcPr>
            <w:tcW w:w="1084" w:type="dxa"/>
          </w:tcPr>
          <w:p>
            <w:pPr>
              <w:pStyle w:val="0"/>
            </w:pPr>
            <w:r>
              <w:rPr>
                <w:sz w:val="20"/>
              </w:rPr>
              <w:t xml:space="preserve">2,5</w:t>
            </w:r>
          </w:p>
        </w:tc>
        <w:tc>
          <w:tcPr>
            <w:tcW w:w="859" w:type="dxa"/>
          </w:tcPr>
          <w:p>
            <w:pPr>
              <w:pStyle w:val="0"/>
            </w:pPr>
            <w:r>
              <w:rPr>
                <w:sz w:val="20"/>
              </w:rPr>
              <w:t xml:space="preserve">2,7</w:t>
            </w:r>
          </w:p>
        </w:tc>
        <w:tc>
          <w:tcPr>
            <w:tcW w:w="1084" w:type="dxa"/>
          </w:tcPr>
          <w:p>
            <w:pPr>
              <w:pStyle w:val="0"/>
            </w:pPr>
            <w:r>
              <w:rPr>
                <w:sz w:val="20"/>
              </w:rPr>
              <w:t xml:space="preserve">3,0</w:t>
            </w:r>
          </w:p>
        </w:tc>
        <w:tc>
          <w:tcPr>
            <w:tcW w:w="859" w:type="dxa"/>
          </w:tcPr>
          <w:p>
            <w:pPr>
              <w:pStyle w:val="0"/>
            </w:pPr>
            <w:r>
              <w:rPr>
                <w:sz w:val="20"/>
              </w:rPr>
              <w:t xml:space="preserve">1,6</w:t>
            </w:r>
          </w:p>
        </w:tc>
        <w:tc>
          <w:tcPr>
            <w:tcW w:w="1084" w:type="dxa"/>
          </w:tcPr>
          <w:p>
            <w:pPr>
              <w:pStyle w:val="0"/>
            </w:pPr>
            <w:r>
              <w:rPr>
                <w:sz w:val="20"/>
              </w:rPr>
              <w:t xml:space="preserve">1,4</w:t>
            </w:r>
          </w:p>
        </w:tc>
        <w:tc>
          <w:tcPr>
            <w:tcW w:w="859" w:type="dxa"/>
          </w:tcPr>
          <w:p>
            <w:pPr>
              <w:pStyle w:val="0"/>
            </w:pPr>
            <w:r>
              <w:rPr>
                <w:sz w:val="20"/>
              </w:rPr>
              <w:t xml:space="preserve">1,9</w:t>
            </w:r>
          </w:p>
        </w:tc>
        <w:tc>
          <w:tcPr>
            <w:tcW w:w="1084" w:type="dxa"/>
          </w:tcPr>
          <w:p>
            <w:pPr>
              <w:pStyle w:val="0"/>
            </w:pPr>
            <w:r>
              <w:rPr>
                <w:sz w:val="20"/>
              </w:rPr>
              <w:t xml:space="preserve">2,4</w:t>
            </w:r>
          </w:p>
        </w:tc>
        <w:tc>
          <w:tcPr>
            <w:tcW w:w="859" w:type="dxa"/>
          </w:tcPr>
          <w:p>
            <w:pPr>
              <w:pStyle w:val="0"/>
            </w:pPr>
            <w:r>
              <w:rPr>
                <w:sz w:val="20"/>
              </w:rPr>
              <w:t xml:space="preserve">2,8</w:t>
            </w:r>
          </w:p>
        </w:tc>
        <w:tc>
          <w:tcPr>
            <w:tcW w:w="1084" w:type="dxa"/>
          </w:tcPr>
          <w:p>
            <w:pPr>
              <w:pStyle w:val="0"/>
            </w:pPr>
            <w:r>
              <w:rPr>
                <w:sz w:val="20"/>
              </w:rPr>
              <w:t xml:space="preserve">1,7</w:t>
            </w:r>
          </w:p>
        </w:tc>
        <w:tc>
          <w:tcPr>
            <w:tcW w:w="859" w:type="dxa"/>
          </w:tcPr>
          <w:p>
            <w:pPr>
              <w:pStyle w:val="0"/>
            </w:pPr>
            <w:r>
              <w:rPr>
                <w:sz w:val="20"/>
              </w:rPr>
              <w:t xml:space="preserve">2,2</w:t>
            </w:r>
          </w:p>
        </w:tc>
        <w:tc>
          <w:tcPr>
            <w:tcW w:w="1084" w:type="dxa"/>
          </w:tcPr>
          <w:p>
            <w:pPr>
              <w:pStyle w:val="0"/>
            </w:pPr>
            <w:r>
              <w:rPr>
                <w:sz w:val="20"/>
              </w:rPr>
              <w:t xml:space="preserve">2,1</w:t>
            </w:r>
          </w:p>
        </w:tc>
        <w:tc>
          <w:tcPr>
            <w:tcW w:w="859" w:type="dxa"/>
          </w:tcPr>
          <w:p>
            <w:pPr>
              <w:pStyle w:val="0"/>
            </w:pPr>
            <w:r>
              <w:rPr>
                <w:sz w:val="20"/>
              </w:rPr>
              <w:t xml:space="preserve">2,6</w:t>
            </w:r>
          </w:p>
        </w:tc>
        <w:tc>
          <w:tcPr>
            <w:tcW w:w="1084" w:type="dxa"/>
          </w:tcPr>
          <w:p>
            <w:pPr>
              <w:pStyle w:val="0"/>
            </w:pPr>
            <w:r>
              <w:rPr>
                <w:sz w:val="20"/>
              </w:rPr>
              <w:t xml:space="preserve">1,8</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3,4</w:t>
            </w:r>
          </w:p>
        </w:tc>
        <w:tc>
          <w:tcPr>
            <w:tcW w:w="1084" w:type="dxa"/>
          </w:tcPr>
          <w:p>
            <w:pPr>
              <w:pStyle w:val="0"/>
            </w:pPr>
            <w:r>
              <w:rPr>
                <w:sz w:val="20"/>
              </w:rPr>
              <w:t xml:space="preserve">5,8</w:t>
            </w:r>
          </w:p>
        </w:tc>
        <w:tc>
          <w:tcPr>
            <w:tcW w:w="859" w:type="dxa"/>
          </w:tcPr>
          <w:p>
            <w:pPr>
              <w:pStyle w:val="0"/>
            </w:pPr>
            <w:r>
              <w:rPr>
                <w:sz w:val="20"/>
              </w:rPr>
              <w:t xml:space="preserve">3,2</w:t>
            </w:r>
          </w:p>
        </w:tc>
        <w:tc>
          <w:tcPr>
            <w:tcW w:w="1084" w:type="dxa"/>
          </w:tcPr>
          <w:p>
            <w:pPr>
              <w:pStyle w:val="0"/>
            </w:pPr>
            <w:r>
              <w:rPr>
                <w:sz w:val="20"/>
              </w:rPr>
              <w:t xml:space="preserve">2,4</w:t>
            </w:r>
          </w:p>
        </w:tc>
        <w:tc>
          <w:tcPr>
            <w:tcW w:w="859" w:type="dxa"/>
          </w:tcPr>
          <w:p>
            <w:pPr>
              <w:pStyle w:val="0"/>
            </w:pPr>
            <w:r>
              <w:rPr>
                <w:sz w:val="20"/>
              </w:rPr>
              <w:t xml:space="preserve">2,7</w:t>
            </w:r>
          </w:p>
        </w:tc>
        <w:tc>
          <w:tcPr>
            <w:tcW w:w="1084" w:type="dxa"/>
          </w:tcPr>
          <w:p>
            <w:pPr>
              <w:pStyle w:val="0"/>
            </w:pPr>
            <w:r>
              <w:rPr>
                <w:sz w:val="20"/>
              </w:rPr>
              <w:t xml:space="preserve">3,0</w:t>
            </w:r>
          </w:p>
        </w:tc>
        <w:tc>
          <w:tcPr>
            <w:tcW w:w="859" w:type="dxa"/>
          </w:tcPr>
          <w:p>
            <w:pPr>
              <w:pStyle w:val="0"/>
            </w:pPr>
            <w:r>
              <w:rPr>
                <w:sz w:val="20"/>
              </w:rPr>
              <w:t xml:space="preserve">2,0</w:t>
            </w:r>
          </w:p>
        </w:tc>
        <w:tc>
          <w:tcPr>
            <w:tcW w:w="1084" w:type="dxa"/>
          </w:tcPr>
          <w:p>
            <w:pPr>
              <w:pStyle w:val="0"/>
            </w:pPr>
            <w:r>
              <w:rPr>
                <w:sz w:val="20"/>
              </w:rPr>
              <w:t xml:space="preserve">4,3</w:t>
            </w:r>
          </w:p>
        </w:tc>
        <w:tc>
          <w:tcPr>
            <w:tcW w:w="859" w:type="dxa"/>
          </w:tcPr>
          <w:p>
            <w:pPr>
              <w:pStyle w:val="0"/>
            </w:pPr>
            <w:r>
              <w:rPr>
                <w:sz w:val="20"/>
              </w:rPr>
              <w:t xml:space="preserve">3,9</w:t>
            </w:r>
          </w:p>
        </w:tc>
        <w:tc>
          <w:tcPr>
            <w:tcW w:w="1084" w:type="dxa"/>
          </w:tcPr>
          <w:p>
            <w:pPr>
              <w:pStyle w:val="0"/>
            </w:pPr>
            <w:r>
              <w:rPr>
                <w:sz w:val="20"/>
              </w:rPr>
              <w:t xml:space="preserve">4,1</w:t>
            </w:r>
          </w:p>
        </w:tc>
        <w:tc>
          <w:tcPr>
            <w:tcW w:w="859" w:type="dxa"/>
          </w:tcPr>
          <w:p>
            <w:pPr>
              <w:pStyle w:val="0"/>
            </w:pPr>
            <w:r>
              <w:rPr>
                <w:sz w:val="20"/>
              </w:rPr>
              <w:t xml:space="preserve">2,4</w:t>
            </w:r>
          </w:p>
        </w:tc>
        <w:tc>
          <w:tcPr>
            <w:tcW w:w="1084" w:type="dxa"/>
          </w:tcPr>
          <w:p>
            <w:pPr>
              <w:pStyle w:val="0"/>
            </w:pPr>
            <w:r>
              <w:rPr>
                <w:sz w:val="20"/>
              </w:rPr>
              <w:t xml:space="preserve">2,2</w:t>
            </w:r>
          </w:p>
        </w:tc>
        <w:tc>
          <w:tcPr>
            <w:tcW w:w="859" w:type="dxa"/>
          </w:tcPr>
          <w:p>
            <w:pPr>
              <w:pStyle w:val="0"/>
            </w:pPr>
            <w:r>
              <w:rPr>
                <w:sz w:val="20"/>
              </w:rPr>
              <w:t xml:space="preserve">3,0</w:t>
            </w:r>
          </w:p>
        </w:tc>
        <w:tc>
          <w:tcPr>
            <w:tcW w:w="1084" w:type="dxa"/>
          </w:tcPr>
          <w:p>
            <w:pPr>
              <w:pStyle w:val="0"/>
            </w:pPr>
            <w:r>
              <w:rPr>
                <w:sz w:val="20"/>
              </w:rPr>
              <w:t xml:space="preserve">5,0</w:t>
            </w:r>
          </w:p>
        </w:tc>
        <w:tc>
          <w:tcPr>
            <w:tcW w:w="859" w:type="dxa"/>
          </w:tcPr>
          <w:p>
            <w:pPr>
              <w:pStyle w:val="0"/>
            </w:pPr>
            <w:r>
              <w:rPr>
                <w:sz w:val="20"/>
              </w:rPr>
              <w:t xml:space="preserve">3,6</w:t>
            </w:r>
          </w:p>
        </w:tc>
        <w:tc>
          <w:tcPr>
            <w:tcW w:w="1084" w:type="dxa"/>
          </w:tcPr>
          <w:p>
            <w:pPr>
              <w:pStyle w:val="0"/>
            </w:pPr>
            <w:r>
              <w:rPr>
                <w:sz w:val="20"/>
              </w:rPr>
              <w:t xml:space="preserve">2,8</w:t>
            </w:r>
          </w:p>
        </w:tc>
        <w:tc>
          <w:tcPr>
            <w:tcW w:w="859" w:type="dxa"/>
          </w:tcPr>
          <w:p>
            <w:pPr>
              <w:pStyle w:val="0"/>
            </w:pPr>
            <w:r>
              <w:rPr>
                <w:sz w:val="20"/>
              </w:rPr>
              <w:t xml:space="preserve">3,1</w:t>
            </w:r>
          </w:p>
        </w:tc>
        <w:tc>
          <w:tcPr>
            <w:tcW w:w="1084" w:type="dxa"/>
          </w:tcPr>
          <w:p>
            <w:pPr>
              <w:pStyle w:val="0"/>
            </w:pPr>
            <w:r>
              <w:rPr>
                <w:sz w:val="20"/>
              </w:rPr>
              <w:t xml:space="preserve">3,2</w:t>
            </w:r>
          </w:p>
        </w:tc>
        <w:tc>
          <w:tcPr>
            <w:tcW w:w="859" w:type="dxa"/>
          </w:tcPr>
          <w:p>
            <w:pPr>
              <w:pStyle w:val="0"/>
            </w:pPr>
            <w:r>
              <w:rPr>
                <w:sz w:val="20"/>
              </w:rPr>
              <w:t xml:space="preserve">3,7</w:t>
            </w:r>
          </w:p>
        </w:tc>
        <w:tc>
          <w:tcPr>
            <w:tcW w:w="1084" w:type="dxa"/>
          </w:tcPr>
          <w:p>
            <w:pPr>
              <w:pStyle w:val="0"/>
            </w:pPr>
            <w:r>
              <w:rPr>
                <w:sz w:val="20"/>
              </w:rPr>
              <w:t xml:space="preserve">2,85</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0,9</w:t>
            </w:r>
          </w:p>
        </w:tc>
        <w:tc>
          <w:tcPr>
            <w:tcW w:w="1084" w:type="dxa"/>
          </w:tcPr>
          <w:p>
            <w:pPr>
              <w:pStyle w:val="0"/>
            </w:pPr>
            <w:r>
              <w:rPr>
                <w:sz w:val="20"/>
              </w:rPr>
              <w:t xml:space="preserve">1,0</w:t>
            </w:r>
          </w:p>
        </w:tc>
        <w:tc>
          <w:tcPr>
            <w:tcW w:w="859" w:type="dxa"/>
          </w:tcPr>
          <w:p>
            <w:pPr>
              <w:pStyle w:val="0"/>
            </w:pPr>
            <w:r>
              <w:rPr>
                <w:sz w:val="20"/>
              </w:rPr>
              <w:t xml:space="preserve">1,5</w:t>
            </w:r>
          </w:p>
        </w:tc>
        <w:tc>
          <w:tcPr>
            <w:tcW w:w="1084" w:type="dxa"/>
          </w:tcPr>
          <w:p>
            <w:pPr>
              <w:pStyle w:val="0"/>
            </w:pPr>
            <w:r>
              <w:rPr>
                <w:sz w:val="20"/>
              </w:rPr>
              <w:t xml:space="preserve">1,6</w:t>
            </w:r>
          </w:p>
        </w:tc>
        <w:tc>
          <w:tcPr>
            <w:tcW w:w="859" w:type="dxa"/>
          </w:tcPr>
          <w:p>
            <w:pPr>
              <w:pStyle w:val="0"/>
            </w:pPr>
            <w:r>
              <w:rPr>
                <w:sz w:val="20"/>
              </w:rPr>
              <w:t xml:space="preserve">1,0</w:t>
            </w:r>
          </w:p>
        </w:tc>
        <w:tc>
          <w:tcPr>
            <w:tcW w:w="1084" w:type="dxa"/>
          </w:tcPr>
          <w:p>
            <w:pPr>
              <w:pStyle w:val="0"/>
            </w:pPr>
            <w:r>
              <w:rPr>
                <w:sz w:val="20"/>
              </w:rPr>
              <w:t xml:space="preserve">1,2</w:t>
            </w:r>
          </w:p>
        </w:tc>
        <w:tc>
          <w:tcPr>
            <w:tcW w:w="859" w:type="dxa"/>
          </w:tcPr>
          <w:p>
            <w:pPr>
              <w:pStyle w:val="0"/>
            </w:pPr>
            <w:r>
              <w:rPr>
                <w:sz w:val="20"/>
              </w:rPr>
              <w:t xml:space="preserve">1,5</w:t>
            </w:r>
          </w:p>
        </w:tc>
        <w:tc>
          <w:tcPr>
            <w:tcW w:w="1084" w:type="dxa"/>
          </w:tcPr>
          <w:p>
            <w:pPr>
              <w:pStyle w:val="0"/>
            </w:pPr>
            <w:r>
              <w:rPr>
                <w:sz w:val="20"/>
              </w:rPr>
              <w:t xml:space="preserve">0,7</w:t>
            </w:r>
          </w:p>
        </w:tc>
        <w:tc>
          <w:tcPr>
            <w:tcW w:w="859" w:type="dxa"/>
          </w:tcPr>
          <w:p>
            <w:pPr>
              <w:pStyle w:val="0"/>
            </w:pPr>
            <w:r>
              <w:rPr>
                <w:sz w:val="20"/>
              </w:rPr>
              <w:t xml:space="preserve">1,6</w:t>
            </w:r>
          </w:p>
        </w:tc>
        <w:tc>
          <w:tcPr>
            <w:tcW w:w="1084" w:type="dxa"/>
          </w:tcPr>
          <w:p>
            <w:pPr>
              <w:pStyle w:val="0"/>
            </w:pPr>
            <w:r>
              <w:rPr>
                <w:sz w:val="20"/>
              </w:rPr>
              <w:t xml:space="preserve">2,0</w:t>
            </w:r>
          </w:p>
        </w:tc>
        <w:tc>
          <w:tcPr>
            <w:tcW w:w="859" w:type="dxa"/>
          </w:tcPr>
          <w:p>
            <w:pPr>
              <w:pStyle w:val="0"/>
            </w:pPr>
            <w:r>
              <w:rPr>
                <w:sz w:val="20"/>
              </w:rPr>
              <w:t xml:space="preserve">0,8</w:t>
            </w:r>
          </w:p>
        </w:tc>
        <w:tc>
          <w:tcPr>
            <w:tcW w:w="1084" w:type="dxa"/>
          </w:tcPr>
          <w:p>
            <w:pPr>
              <w:pStyle w:val="0"/>
            </w:pPr>
            <w:r>
              <w:rPr>
                <w:sz w:val="20"/>
              </w:rPr>
              <w:t xml:space="preserve">0,8</w:t>
            </w:r>
          </w:p>
        </w:tc>
        <w:tc>
          <w:tcPr>
            <w:tcW w:w="859" w:type="dxa"/>
          </w:tcPr>
          <w:p>
            <w:pPr>
              <w:pStyle w:val="0"/>
            </w:pPr>
            <w:r>
              <w:rPr>
                <w:sz w:val="20"/>
              </w:rPr>
              <w:t xml:space="preserve">0,8</w:t>
            </w:r>
          </w:p>
        </w:tc>
        <w:tc>
          <w:tcPr>
            <w:tcW w:w="1084" w:type="dxa"/>
          </w:tcPr>
          <w:p>
            <w:pPr>
              <w:pStyle w:val="0"/>
            </w:pPr>
            <w:r>
              <w:rPr>
                <w:sz w:val="20"/>
              </w:rPr>
              <w:t xml:space="preserve">1,2</w:t>
            </w:r>
          </w:p>
        </w:tc>
        <w:tc>
          <w:tcPr>
            <w:tcW w:w="859" w:type="dxa"/>
          </w:tcPr>
          <w:p>
            <w:pPr>
              <w:pStyle w:val="0"/>
            </w:pPr>
            <w:r>
              <w:rPr>
                <w:sz w:val="20"/>
              </w:rPr>
              <w:t xml:space="preserve">2,1</w:t>
            </w:r>
          </w:p>
        </w:tc>
        <w:tc>
          <w:tcPr>
            <w:tcW w:w="1084" w:type="dxa"/>
          </w:tcPr>
          <w:p>
            <w:pPr>
              <w:pStyle w:val="0"/>
            </w:pPr>
            <w:r>
              <w:rPr>
                <w:sz w:val="20"/>
              </w:rPr>
              <w:t xml:space="preserve">0,8</w:t>
            </w:r>
          </w:p>
        </w:tc>
        <w:tc>
          <w:tcPr>
            <w:tcW w:w="859" w:type="dxa"/>
          </w:tcPr>
          <w:p>
            <w:pPr>
              <w:pStyle w:val="0"/>
            </w:pPr>
            <w:r>
              <w:rPr>
                <w:sz w:val="20"/>
              </w:rPr>
              <w:t xml:space="preserve">1,3</w:t>
            </w:r>
          </w:p>
        </w:tc>
        <w:tc>
          <w:tcPr>
            <w:tcW w:w="1084" w:type="dxa"/>
          </w:tcPr>
          <w:p>
            <w:pPr>
              <w:pStyle w:val="0"/>
            </w:pPr>
            <w:r>
              <w:rPr>
                <w:sz w:val="20"/>
              </w:rPr>
              <w:t xml:space="preserve">1,3</w:t>
            </w:r>
          </w:p>
        </w:tc>
        <w:tc>
          <w:tcPr>
            <w:tcW w:w="859" w:type="dxa"/>
          </w:tcPr>
          <w:p>
            <w:pPr>
              <w:pStyle w:val="0"/>
            </w:pPr>
            <w:r>
              <w:rPr>
                <w:sz w:val="20"/>
              </w:rPr>
              <w:t xml:space="preserve">1,4</w:t>
            </w:r>
          </w:p>
        </w:tc>
        <w:tc>
          <w:tcPr>
            <w:tcW w:w="1084" w:type="dxa"/>
          </w:tcPr>
          <w:p>
            <w:pPr>
              <w:pStyle w:val="0"/>
            </w:pPr>
            <w:r>
              <w:rPr>
                <w:sz w:val="20"/>
              </w:rPr>
              <w:t xml:space="preserve">0,9</w:t>
            </w:r>
          </w:p>
        </w:tc>
      </w:tr>
      <w:tr>
        <w:tc>
          <w:tcPr>
            <w:tcW w:w="2089" w:type="dxa"/>
            <w:vMerge w:val="restart"/>
          </w:tcPr>
          <w:p>
            <w:pPr>
              <w:pStyle w:val="0"/>
            </w:pPr>
            <w:r>
              <w:rPr>
                <w:sz w:val="20"/>
              </w:rPr>
              <w:t xml:space="preserve">ротоглотки (С10)</w:t>
            </w:r>
          </w:p>
        </w:tc>
        <w:tc>
          <w:tcPr>
            <w:tcW w:w="850" w:type="dxa"/>
          </w:tcPr>
          <w:p>
            <w:pPr>
              <w:pStyle w:val="0"/>
            </w:pPr>
            <w:r>
              <w:rPr>
                <w:sz w:val="20"/>
              </w:rPr>
              <w:t xml:space="preserve">оба пола</w:t>
            </w:r>
          </w:p>
        </w:tc>
        <w:tc>
          <w:tcPr>
            <w:tcW w:w="859" w:type="dxa"/>
          </w:tcPr>
          <w:p>
            <w:pPr>
              <w:pStyle w:val="0"/>
            </w:pPr>
            <w:r>
              <w:rPr>
                <w:sz w:val="20"/>
              </w:rPr>
              <w:t xml:space="preserve">0,4</w:t>
            </w:r>
          </w:p>
        </w:tc>
        <w:tc>
          <w:tcPr>
            <w:tcW w:w="1084" w:type="dxa"/>
          </w:tcPr>
          <w:p>
            <w:pPr>
              <w:pStyle w:val="0"/>
            </w:pPr>
            <w:r>
              <w:rPr>
                <w:sz w:val="20"/>
              </w:rPr>
              <w:t xml:space="preserve">0,3</w:t>
            </w:r>
          </w:p>
        </w:tc>
        <w:tc>
          <w:tcPr>
            <w:tcW w:w="859" w:type="dxa"/>
          </w:tcPr>
          <w:p>
            <w:pPr>
              <w:pStyle w:val="0"/>
            </w:pPr>
            <w:r>
              <w:rPr>
                <w:sz w:val="20"/>
              </w:rPr>
              <w:t xml:space="preserve">0,5</w:t>
            </w:r>
          </w:p>
        </w:tc>
        <w:tc>
          <w:tcPr>
            <w:tcW w:w="1084" w:type="dxa"/>
          </w:tcPr>
          <w:p>
            <w:pPr>
              <w:pStyle w:val="0"/>
            </w:pPr>
            <w:r>
              <w:rPr>
                <w:sz w:val="20"/>
              </w:rPr>
              <w:t xml:space="preserve">0,4</w:t>
            </w:r>
          </w:p>
        </w:tc>
        <w:tc>
          <w:tcPr>
            <w:tcW w:w="859" w:type="dxa"/>
          </w:tcPr>
          <w:p>
            <w:pPr>
              <w:pStyle w:val="0"/>
            </w:pPr>
            <w:r>
              <w:rPr>
                <w:sz w:val="20"/>
              </w:rPr>
              <w:t xml:space="preserve">0,3</w:t>
            </w:r>
          </w:p>
        </w:tc>
        <w:tc>
          <w:tcPr>
            <w:tcW w:w="1084" w:type="dxa"/>
          </w:tcPr>
          <w:p>
            <w:pPr>
              <w:pStyle w:val="0"/>
            </w:pPr>
            <w:r>
              <w:rPr>
                <w:sz w:val="20"/>
              </w:rPr>
              <w:t xml:space="preserve">0,4</w:t>
            </w:r>
          </w:p>
        </w:tc>
        <w:tc>
          <w:tcPr>
            <w:tcW w:w="859" w:type="dxa"/>
          </w:tcPr>
          <w:p>
            <w:pPr>
              <w:pStyle w:val="0"/>
            </w:pPr>
            <w:r>
              <w:rPr>
                <w:sz w:val="20"/>
              </w:rPr>
              <w:t xml:space="preserve">0,5</w:t>
            </w:r>
          </w:p>
        </w:tc>
        <w:tc>
          <w:tcPr>
            <w:tcW w:w="1084" w:type="dxa"/>
          </w:tcPr>
          <w:p>
            <w:pPr>
              <w:pStyle w:val="0"/>
            </w:pPr>
            <w:r>
              <w:rPr>
                <w:sz w:val="20"/>
              </w:rPr>
              <w:t xml:space="preserve">0,6</w:t>
            </w:r>
          </w:p>
        </w:tc>
        <w:tc>
          <w:tcPr>
            <w:tcW w:w="859" w:type="dxa"/>
          </w:tcPr>
          <w:p>
            <w:pPr>
              <w:pStyle w:val="0"/>
            </w:pPr>
            <w:r>
              <w:rPr>
                <w:sz w:val="20"/>
              </w:rPr>
              <w:t xml:space="preserve">0,6</w:t>
            </w:r>
          </w:p>
        </w:tc>
        <w:tc>
          <w:tcPr>
            <w:tcW w:w="1084" w:type="dxa"/>
          </w:tcPr>
          <w:p>
            <w:pPr>
              <w:pStyle w:val="0"/>
            </w:pPr>
            <w:r>
              <w:rPr>
                <w:sz w:val="20"/>
              </w:rPr>
              <w:t xml:space="preserve">0,8</w:t>
            </w:r>
          </w:p>
        </w:tc>
        <w:tc>
          <w:tcPr>
            <w:tcW w:w="859" w:type="dxa"/>
          </w:tcPr>
          <w:p>
            <w:pPr>
              <w:pStyle w:val="0"/>
            </w:pPr>
            <w:r>
              <w:rPr>
                <w:sz w:val="20"/>
              </w:rPr>
              <w:t xml:space="preserve">0,8</w:t>
            </w:r>
          </w:p>
        </w:tc>
        <w:tc>
          <w:tcPr>
            <w:tcW w:w="1084" w:type="dxa"/>
          </w:tcPr>
          <w:p>
            <w:pPr>
              <w:pStyle w:val="0"/>
            </w:pPr>
            <w:r>
              <w:rPr>
                <w:sz w:val="20"/>
              </w:rPr>
              <w:t xml:space="preserve">0,7</w:t>
            </w:r>
          </w:p>
        </w:tc>
        <w:tc>
          <w:tcPr>
            <w:tcW w:w="859" w:type="dxa"/>
          </w:tcPr>
          <w:p>
            <w:pPr>
              <w:pStyle w:val="0"/>
            </w:pPr>
            <w:r>
              <w:rPr>
                <w:sz w:val="20"/>
              </w:rPr>
              <w:t xml:space="preserve">1,0</w:t>
            </w:r>
          </w:p>
        </w:tc>
        <w:tc>
          <w:tcPr>
            <w:tcW w:w="1084" w:type="dxa"/>
          </w:tcPr>
          <w:p>
            <w:pPr>
              <w:pStyle w:val="0"/>
            </w:pPr>
            <w:r>
              <w:rPr>
                <w:sz w:val="20"/>
              </w:rPr>
              <w:t xml:space="preserve">0,8</w:t>
            </w:r>
          </w:p>
        </w:tc>
        <w:tc>
          <w:tcPr>
            <w:tcW w:w="859" w:type="dxa"/>
          </w:tcPr>
          <w:p>
            <w:pPr>
              <w:pStyle w:val="0"/>
            </w:pPr>
            <w:r>
              <w:rPr>
                <w:sz w:val="20"/>
              </w:rPr>
              <w:t xml:space="preserve">0,7</w:t>
            </w:r>
          </w:p>
        </w:tc>
        <w:tc>
          <w:tcPr>
            <w:tcW w:w="1084" w:type="dxa"/>
          </w:tcPr>
          <w:p>
            <w:pPr>
              <w:pStyle w:val="0"/>
            </w:pPr>
            <w:r>
              <w:rPr>
                <w:sz w:val="20"/>
              </w:rPr>
              <w:t xml:space="preserve">0,6</w:t>
            </w:r>
          </w:p>
        </w:tc>
        <w:tc>
          <w:tcPr>
            <w:tcW w:w="859" w:type="dxa"/>
          </w:tcPr>
          <w:p>
            <w:pPr>
              <w:pStyle w:val="0"/>
            </w:pPr>
            <w:r>
              <w:rPr>
                <w:sz w:val="20"/>
              </w:rPr>
              <w:t xml:space="preserve">0,7</w:t>
            </w:r>
          </w:p>
        </w:tc>
        <w:tc>
          <w:tcPr>
            <w:tcW w:w="1084" w:type="dxa"/>
          </w:tcPr>
          <w:p>
            <w:pPr>
              <w:pStyle w:val="0"/>
            </w:pPr>
            <w:r>
              <w:rPr>
                <w:sz w:val="20"/>
              </w:rPr>
              <w:t xml:space="preserve">0,5</w:t>
            </w:r>
          </w:p>
        </w:tc>
        <w:tc>
          <w:tcPr>
            <w:tcW w:w="859" w:type="dxa"/>
          </w:tcPr>
          <w:p>
            <w:pPr>
              <w:pStyle w:val="0"/>
            </w:pPr>
            <w:r>
              <w:rPr>
                <w:sz w:val="20"/>
              </w:rPr>
              <w:t xml:space="preserve">1,1</w:t>
            </w:r>
          </w:p>
        </w:tc>
        <w:tc>
          <w:tcPr>
            <w:tcW w:w="1084" w:type="dxa"/>
          </w:tcPr>
          <w:p>
            <w:pPr>
              <w:pStyle w:val="0"/>
            </w:pPr>
            <w:r>
              <w:rPr>
                <w:sz w:val="20"/>
              </w:rPr>
              <w:t xml:space="preserve">0,7</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0,7</w:t>
            </w:r>
          </w:p>
        </w:tc>
        <w:tc>
          <w:tcPr>
            <w:tcW w:w="1084" w:type="dxa"/>
          </w:tcPr>
          <w:p>
            <w:pPr>
              <w:pStyle w:val="0"/>
            </w:pPr>
            <w:r>
              <w:rPr>
                <w:sz w:val="20"/>
              </w:rPr>
              <w:t xml:space="preserve">0,4</w:t>
            </w:r>
          </w:p>
        </w:tc>
        <w:tc>
          <w:tcPr>
            <w:tcW w:w="859" w:type="dxa"/>
          </w:tcPr>
          <w:p>
            <w:pPr>
              <w:pStyle w:val="0"/>
            </w:pPr>
            <w:r>
              <w:rPr>
                <w:sz w:val="20"/>
              </w:rPr>
              <w:t xml:space="preserve">0,9</w:t>
            </w:r>
          </w:p>
        </w:tc>
        <w:tc>
          <w:tcPr>
            <w:tcW w:w="1084" w:type="dxa"/>
          </w:tcPr>
          <w:p>
            <w:pPr>
              <w:pStyle w:val="0"/>
            </w:pPr>
            <w:r>
              <w:rPr>
                <w:sz w:val="20"/>
              </w:rPr>
              <w:t xml:space="preserve">0,8</w:t>
            </w:r>
          </w:p>
        </w:tc>
        <w:tc>
          <w:tcPr>
            <w:tcW w:w="859" w:type="dxa"/>
          </w:tcPr>
          <w:p>
            <w:pPr>
              <w:pStyle w:val="0"/>
            </w:pPr>
            <w:r>
              <w:rPr>
                <w:sz w:val="20"/>
              </w:rPr>
              <w:t xml:space="preserve">0,5</w:t>
            </w:r>
          </w:p>
        </w:tc>
        <w:tc>
          <w:tcPr>
            <w:tcW w:w="1084" w:type="dxa"/>
          </w:tcPr>
          <w:p>
            <w:pPr>
              <w:pStyle w:val="0"/>
            </w:pPr>
            <w:r>
              <w:rPr>
                <w:sz w:val="20"/>
              </w:rPr>
              <w:t xml:space="preserve">0,9</w:t>
            </w:r>
          </w:p>
        </w:tc>
        <w:tc>
          <w:tcPr>
            <w:tcW w:w="859" w:type="dxa"/>
          </w:tcPr>
          <w:p>
            <w:pPr>
              <w:pStyle w:val="0"/>
            </w:pPr>
            <w:r>
              <w:rPr>
                <w:sz w:val="20"/>
              </w:rPr>
              <w:t xml:space="preserve">0,9</w:t>
            </w:r>
          </w:p>
        </w:tc>
        <w:tc>
          <w:tcPr>
            <w:tcW w:w="1084" w:type="dxa"/>
          </w:tcPr>
          <w:p>
            <w:pPr>
              <w:pStyle w:val="0"/>
            </w:pPr>
            <w:r>
              <w:rPr>
                <w:sz w:val="20"/>
              </w:rPr>
              <w:t xml:space="preserve">1,3</w:t>
            </w:r>
          </w:p>
        </w:tc>
        <w:tc>
          <w:tcPr>
            <w:tcW w:w="859" w:type="dxa"/>
          </w:tcPr>
          <w:p>
            <w:pPr>
              <w:pStyle w:val="0"/>
            </w:pPr>
            <w:r>
              <w:rPr>
                <w:sz w:val="20"/>
              </w:rPr>
              <w:t xml:space="preserve">1,1</w:t>
            </w:r>
          </w:p>
        </w:tc>
        <w:tc>
          <w:tcPr>
            <w:tcW w:w="1084" w:type="dxa"/>
          </w:tcPr>
          <w:p>
            <w:pPr>
              <w:pStyle w:val="0"/>
            </w:pPr>
            <w:r>
              <w:rPr>
                <w:sz w:val="20"/>
              </w:rPr>
              <w:t xml:space="preserve">1,8</w:t>
            </w:r>
          </w:p>
        </w:tc>
        <w:tc>
          <w:tcPr>
            <w:tcW w:w="859" w:type="dxa"/>
          </w:tcPr>
          <w:p>
            <w:pPr>
              <w:pStyle w:val="0"/>
            </w:pPr>
            <w:r>
              <w:rPr>
                <w:sz w:val="20"/>
              </w:rPr>
              <w:t xml:space="preserve">1,4</w:t>
            </w:r>
          </w:p>
        </w:tc>
        <w:tc>
          <w:tcPr>
            <w:tcW w:w="1084" w:type="dxa"/>
          </w:tcPr>
          <w:p>
            <w:pPr>
              <w:pStyle w:val="0"/>
            </w:pPr>
            <w:r>
              <w:rPr>
                <w:sz w:val="20"/>
              </w:rPr>
              <w:t xml:space="preserve">1,4</w:t>
            </w:r>
          </w:p>
        </w:tc>
        <w:tc>
          <w:tcPr>
            <w:tcW w:w="859" w:type="dxa"/>
          </w:tcPr>
          <w:p>
            <w:pPr>
              <w:pStyle w:val="0"/>
            </w:pPr>
            <w:r>
              <w:rPr>
                <w:sz w:val="20"/>
              </w:rPr>
              <w:t xml:space="preserve">1,9</w:t>
            </w:r>
          </w:p>
        </w:tc>
        <w:tc>
          <w:tcPr>
            <w:tcW w:w="1084" w:type="dxa"/>
          </w:tcPr>
          <w:p>
            <w:pPr>
              <w:pStyle w:val="0"/>
            </w:pPr>
            <w:r>
              <w:rPr>
                <w:sz w:val="20"/>
              </w:rPr>
              <w:t xml:space="preserve">1,5</w:t>
            </w:r>
          </w:p>
        </w:tc>
        <w:tc>
          <w:tcPr>
            <w:tcW w:w="859" w:type="dxa"/>
          </w:tcPr>
          <w:p>
            <w:pPr>
              <w:pStyle w:val="0"/>
            </w:pPr>
            <w:r>
              <w:rPr>
                <w:sz w:val="20"/>
              </w:rPr>
              <w:t xml:space="preserve">1,4</w:t>
            </w:r>
          </w:p>
        </w:tc>
        <w:tc>
          <w:tcPr>
            <w:tcW w:w="1084" w:type="dxa"/>
          </w:tcPr>
          <w:p>
            <w:pPr>
              <w:pStyle w:val="0"/>
            </w:pPr>
            <w:r>
              <w:rPr>
                <w:sz w:val="20"/>
              </w:rPr>
              <w:t xml:space="preserve">1,0</w:t>
            </w:r>
          </w:p>
        </w:tc>
        <w:tc>
          <w:tcPr>
            <w:tcW w:w="859" w:type="dxa"/>
          </w:tcPr>
          <w:p>
            <w:pPr>
              <w:pStyle w:val="0"/>
            </w:pPr>
            <w:r>
              <w:rPr>
                <w:sz w:val="20"/>
              </w:rPr>
              <w:t xml:space="preserve">1,2</w:t>
            </w:r>
          </w:p>
        </w:tc>
        <w:tc>
          <w:tcPr>
            <w:tcW w:w="1084" w:type="dxa"/>
          </w:tcPr>
          <w:p>
            <w:pPr>
              <w:pStyle w:val="0"/>
            </w:pPr>
            <w:r>
              <w:rPr>
                <w:sz w:val="20"/>
              </w:rPr>
              <w:t xml:space="preserve">0,8</w:t>
            </w:r>
          </w:p>
        </w:tc>
        <w:tc>
          <w:tcPr>
            <w:tcW w:w="859" w:type="dxa"/>
          </w:tcPr>
          <w:p>
            <w:pPr>
              <w:pStyle w:val="0"/>
            </w:pPr>
            <w:r>
              <w:rPr>
                <w:sz w:val="20"/>
              </w:rPr>
              <w:t xml:space="preserve">2,1</w:t>
            </w:r>
          </w:p>
        </w:tc>
        <w:tc>
          <w:tcPr>
            <w:tcW w:w="1084" w:type="dxa"/>
          </w:tcPr>
          <w:p>
            <w:pPr>
              <w:pStyle w:val="0"/>
            </w:pPr>
            <w:r>
              <w:rPr>
                <w:sz w:val="20"/>
              </w:rPr>
              <w:t xml:space="preserve">1,6</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0,1</w:t>
            </w:r>
          </w:p>
        </w:tc>
        <w:tc>
          <w:tcPr>
            <w:tcW w:w="1084" w:type="dxa"/>
          </w:tcPr>
          <w:p>
            <w:pPr>
              <w:pStyle w:val="0"/>
            </w:pPr>
            <w:r>
              <w:rPr>
                <w:sz w:val="20"/>
              </w:rPr>
              <w:t xml:space="preserve">0,1</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0,1</w:t>
            </w:r>
          </w:p>
        </w:tc>
        <w:tc>
          <w:tcPr>
            <w:tcW w:w="1084" w:type="dxa"/>
          </w:tcPr>
          <w:p>
            <w:pPr>
              <w:pStyle w:val="0"/>
            </w:pPr>
            <w:r>
              <w:rPr>
                <w:sz w:val="20"/>
              </w:rPr>
              <w:t xml:space="preserve">0,1</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0,1</w:t>
            </w:r>
          </w:p>
        </w:tc>
        <w:tc>
          <w:tcPr>
            <w:tcW w:w="1084" w:type="dxa"/>
          </w:tcPr>
          <w:p>
            <w:pPr>
              <w:pStyle w:val="0"/>
            </w:pPr>
            <w:r>
              <w:rPr>
                <w:sz w:val="20"/>
              </w:rPr>
              <w:t xml:space="preserve">0,3</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0,0</w:t>
            </w:r>
          </w:p>
        </w:tc>
        <w:tc>
          <w:tcPr>
            <w:tcW w:w="1084" w:type="dxa"/>
          </w:tcPr>
          <w:p>
            <w:pPr>
              <w:pStyle w:val="0"/>
            </w:pPr>
            <w:r>
              <w:rPr>
                <w:sz w:val="20"/>
              </w:rPr>
              <w:t xml:space="preserve">0,0</w:t>
            </w:r>
          </w:p>
        </w:tc>
      </w:tr>
      <w:tr>
        <w:tc>
          <w:tcPr>
            <w:tcW w:w="2089" w:type="dxa"/>
            <w:vMerge w:val="restart"/>
          </w:tcPr>
          <w:p>
            <w:pPr>
              <w:pStyle w:val="0"/>
            </w:pPr>
            <w:r>
              <w:rPr>
                <w:sz w:val="20"/>
              </w:rPr>
              <w:t xml:space="preserve">носоглотки (С11)</w:t>
            </w:r>
          </w:p>
        </w:tc>
        <w:tc>
          <w:tcPr>
            <w:tcW w:w="850" w:type="dxa"/>
          </w:tcPr>
          <w:p>
            <w:pPr>
              <w:pStyle w:val="0"/>
            </w:pPr>
            <w:r>
              <w:rPr>
                <w:sz w:val="20"/>
              </w:rPr>
              <w:t xml:space="preserve">оба пола</w:t>
            </w:r>
          </w:p>
        </w:tc>
        <w:tc>
          <w:tcPr>
            <w:tcW w:w="859" w:type="dxa"/>
          </w:tcPr>
          <w:p>
            <w:pPr>
              <w:pStyle w:val="0"/>
            </w:pPr>
            <w:r>
              <w:rPr>
                <w:sz w:val="20"/>
              </w:rPr>
              <w:t xml:space="preserve">0,5</w:t>
            </w:r>
          </w:p>
        </w:tc>
        <w:tc>
          <w:tcPr>
            <w:tcW w:w="1084" w:type="dxa"/>
          </w:tcPr>
          <w:p>
            <w:pPr>
              <w:pStyle w:val="0"/>
            </w:pPr>
            <w:r>
              <w:rPr>
                <w:sz w:val="20"/>
              </w:rPr>
              <w:t xml:space="preserve">0,6</w:t>
            </w:r>
          </w:p>
        </w:tc>
        <w:tc>
          <w:tcPr>
            <w:tcW w:w="859" w:type="dxa"/>
          </w:tcPr>
          <w:p>
            <w:pPr>
              <w:pStyle w:val="0"/>
            </w:pPr>
            <w:r>
              <w:rPr>
                <w:sz w:val="20"/>
              </w:rPr>
              <w:t xml:space="preserve">0,3</w:t>
            </w:r>
          </w:p>
        </w:tc>
        <w:tc>
          <w:tcPr>
            <w:tcW w:w="1084" w:type="dxa"/>
          </w:tcPr>
          <w:p>
            <w:pPr>
              <w:pStyle w:val="0"/>
            </w:pPr>
            <w:r>
              <w:rPr>
                <w:sz w:val="20"/>
              </w:rPr>
              <w:t xml:space="preserve">0,2</w:t>
            </w:r>
          </w:p>
        </w:tc>
        <w:tc>
          <w:tcPr>
            <w:tcW w:w="859" w:type="dxa"/>
          </w:tcPr>
          <w:p>
            <w:pPr>
              <w:pStyle w:val="0"/>
            </w:pPr>
            <w:r>
              <w:rPr>
                <w:sz w:val="20"/>
              </w:rPr>
              <w:t xml:space="preserve">0,6</w:t>
            </w:r>
          </w:p>
        </w:tc>
        <w:tc>
          <w:tcPr>
            <w:tcW w:w="1084" w:type="dxa"/>
          </w:tcPr>
          <w:p>
            <w:pPr>
              <w:pStyle w:val="0"/>
            </w:pPr>
            <w:r>
              <w:rPr>
                <w:sz w:val="20"/>
              </w:rPr>
              <w:t xml:space="preserve">0,4</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0,1</w:t>
            </w:r>
          </w:p>
        </w:tc>
        <w:tc>
          <w:tcPr>
            <w:tcW w:w="1084" w:type="dxa"/>
          </w:tcPr>
          <w:p>
            <w:pPr>
              <w:pStyle w:val="0"/>
            </w:pPr>
            <w:r>
              <w:rPr>
                <w:sz w:val="20"/>
              </w:rPr>
              <w:t xml:space="preserve">0,0</w:t>
            </w:r>
          </w:p>
        </w:tc>
        <w:tc>
          <w:tcPr>
            <w:tcW w:w="859" w:type="dxa"/>
          </w:tcPr>
          <w:p>
            <w:pPr>
              <w:pStyle w:val="0"/>
            </w:pPr>
            <w:r>
              <w:rPr>
                <w:sz w:val="20"/>
              </w:rPr>
              <w:t xml:space="preserve">0,6</w:t>
            </w:r>
          </w:p>
        </w:tc>
        <w:tc>
          <w:tcPr>
            <w:tcW w:w="1084" w:type="dxa"/>
          </w:tcPr>
          <w:p>
            <w:pPr>
              <w:pStyle w:val="0"/>
            </w:pPr>
            <w:r>
              <w:rPr>
                <w:sz w:val="20"/>
              </w:rPr>
              <w:t xml:space="preserve">0,1</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0,2</w:t>
            </w:r>
          </w:p>
        </w:tc>
        <w:tc>
          <w:tcPr>
            <w:tcW w:w="1084" w:type="dxa"/>
          </w:tcPr>
          <w:p>
            <w:pPr>
              <w:pStyle w:val="0"/>
            </w:pPr>
            <w:r>
              <w:rPr>
                <w:sz w:val="20"/>
              </w:rPr>
              <w:t xml:space="preserve">0,2</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0,8</w:t>
            </w:r>
          </w:p>
        </w:tc>
        <w:tc>
          <w:tcPr>
            <w:tcW w:w="1084" w:type="dxa"/>
          </w:tcPr>
          <w:p>
            <w:pPr>
              <w:pStyle w:val="0"/>
            </w:pPr>
            <w:r>
              <w:rPr>
                <w:sz w:val="20"/>
              </w:rPr>
              <w:t xml:space="preserve">1,2</w:t>
            </w:r>
          </w:p>
        </w:tc>
        <w:tc>
          <w:tcPr>
            <w:tcW w:w="859" w:type="dxa"/>
          </w:tcPr>
          <w:p>
            <w:pPr>
              <w:pStyle w:val="0"/>
            </w:pPr>
            <w:r>
              <w:rPr>
                <w:sz w:val="20"/>
              </w:rPr>
              <w:t xml:space="preserve">0,6</w:t>
            </w:r>
          </w:p>
        </w:tc>
        <w:tc>
          <w:tcPr>
            <w:tcW w:w="1084" w:type="dxa"/>
          </w:tcPr>
          <w:p>
            <w:pPr>
              <w:pStyle w:val="0"/>
            </w:pPr>
            <w:r>
              <w:rPr>
                <w:sz w:val="20"/>
              </w:rPr>
              <w:t xml:space="preserve">0,4</w:t>
            </w:r>
          </w:p>
        </w:tc>
        <w:tc>
          <w:tcPr>
            <w:tcW w:w="859" w:type="dxa"/>
          </w:tcPr>
          <w:p>
            <w:pPr>
              <w:pStyle w:val="0"/>
            </w:pPr>
            <w:r>
              <w:rPr>
                <w:sz w:val="20"/>
              </w:rPr>
              <w:t xml:space="preserve">0,8</w:t>
            </w:r>
          </w:p>
        </w:tc>
        <w:tc>
          <w:tcPr>
            <w:tcW w:w="1084" w:type="dxa"/>
          </w:tcPr>
          <w:p>
            <w:pPr>
              <w:pStyle w:val="0"/>
            </w:pPr>
            <w:r>
              <w:rPr>
                <w:sz w:val="20"/>
              </w:rPr>
              <w:t xml:space="preserve">0,4</w:t>
            </w:r>
          </w:p>
        </w:tc>
        <w:tc>
          <w:tcPr>
            <w:tcW w:w="859" w:type="dxa"/>
          </w:tcPr>
          <w:p>
            <w:pPr>
              <w:pStyle w:val="0"/>
            </w:pPr>
            <w:r>
              <w:rPr>
                <w:sz w:val="20"/>
              </w:rPr>
              <w:t xml:space="preserve">0,4</w:t>
            </w:r>
          </w:p>
        </w:tc>
        <w:tc>
          <w:tcPr>
            <w:tcW w:w="1084" w:type="dxa"/>
          </w:tcPr>
          <w:p>
            <w:pPr>
              <w:pStyle w:val="0"/>
            </w:pPr>
            <w:r>
              <w:rPr>
                <w:sz w:val="20"/>
              </w:rPr>
              <w:t xml:space="preserve">0,3</w:t>
            </w:r>
          </w:p>
        </w:tc>
        <w:tc>
          <w:tcPr>
            <w:tcW w:w="859" w:type="dxa"/>
          </w:tcPr>
          <w:p>
            <w:pPr>
              <w:pStyle w:val="0"/>
            </w:pPr>
            <w:r>
              <w:rPr>
                <w:sz w:val="20"/>
              </w:rPr>
              <w:t xml:space="preserve">0,4</w:t>
            </w:r>
          </w:p>
        </w:tc>
        <w:tc>
          <w:tcPr>
            <w:tcW w:w="1084" w:type="dxa"/>
          </w:tcPr>
          <w:p>
            <w:pPr>
              <w:pStyle w:val="0"/>
            </w:pPr>
            <w:r>
              <w:rPr>
                <w:sz w:val="20"/>
              </w:rPr>
              <w:t xml:space="preserve">0,3</w:t>
            </w:r>
          </w:p>
        </w:tc>
        <w:tc>
          <w:tcPr>
            <w:tcW w:w="859" w:type="dxa"/>
          </w:tcPr>
          <w:p>
            <w:pPr>
              <w:pStyle w:val="0"/>
            </w:pPr>
            <w:r>
              <w:rPr>
                <w:sz w:val="20"/>
              </w:rPr>
              <w:t xml:space="preserve">0,3</w:t>
            </w:r>
          </w:p>
        </w:tc>
        <w:tc>
          <w:tcPr>
            <w:tcW w:w="1084" w:type="dxa"/>
          </w:tcPr>
          <w:p>
            <w:pPr>
              <w:pStyle w:val="0"/>
            </w:pPr>
            <w:r>
              <w:rPr>
                <w:sz w:val="20"/>
              </w:rPr>
              <w:t xml:space="preserve">0,2</w:t>
            </w:r>
          </w:p>
        </w:tc>
        <w:tc>
          <w:tcPr>
            <w:tcW w:w="859" w:type="dxa"/>
          </w:tcPr>
          <w:p>
            <w:pPr>
              <w:pStyle w:val="0"/>
            </w:pPr>
            <w:r>
              <w:rPr>
                <w:sz w:val="20"/>
              </w:rPr>
              <w:t xml:space="preserve">0,1</w:t>
            </w:r>
          </w:p>
        </w:tc>
        <w:tc>
          <w:tcPr>
            <w:tcW w:w="1084" w:type="dxa"/>
          </w:tcPr>
          <w:p>
            <w:pPr>
              <w:pStyle w:val="0"/>
            </w:pPr>
            <w:r>
              <w:rPr>
                <w:sz w:val="20"/>
              </w:rPr>
              <w:t xml:space="preserve">0,1</w:t>
            </w:r>
          </w:p>
        </w:tc>
        <w:tc>
          <w:tcPr>
            <w:tcW w:w="859" w:type="dxa"/>
          </w:tcPr>
          <w:p>
            <w:pPr>
              <w:pStyle w:val="0"/>
            </w:pPr>
            <w:r>
              <w:rPr>
                <w:sz w:val="20"/>
              </w:rPr>
              <w:t xml:space="preserve">0,6</w:t>
            </w:r>
          </w:p>
        </w:tc>
        <w:tc>
          <w:tcPr>
            <w:tcW w:w="1084" w:type="dxa"/>
          </w:tcPr>
          <w:p>
            <w:pPr>
              <w:pStyle w:val="0"/>
            </w:pPr>
            <w:r>
              <w:rPr>
                <w:sz w:val="20"/>
              </w:rPr>
              <w:t xml:space="preserve">0,1</w:t>
            </w:r>
          </w:p>
        </w:tc>
        <w:tc>
          <w:tcPr>
            <w:tcW w:w="859" w:type="dxa"/>
          </w:tcPr>
          <w:p>
            <w:pPr>
              <w:pStyle w:val="0"/>
            </w:pPr>
            <w:r>
              <w:rPr>
                <w:sz w:val="20"/>
              </w:rPr>
              <w:t xml:space="preserve">0,2</w:t>
            </w:r>
          </w:p>
        </w:tc>
        <w:tc>
          <w:tcPr>
            <w:tcW w:w="1084" w:type="dxa"/>
          </w:tcPr>
          <w:p>
            <w:pPr>
              <w:pStyle w:val="0"/>
            </w:pPr>
            <w:r>
              <w:rPr>
                <w:sz w:val="20"/>
              </w:rPr>
              <w:t xml:space="preserve">0,3</w:t>
            </w:r>
          </w:p>
        </w:tc>
        <w:tc>
          <w:tcPr>
            <w:tcW w:w="859" w:type="dxa"/>
          </w:tcPr>
          <w:p>
            <w:pPr>
              <w:pStyle w:val="0"/>
            </w:pPr>
            <w:r>
              <w:rPr>
                <w:sz w:val="20"/>
              </w:rPr>
              <w:t xml:space="preserve">0,2</w:t>
            </w:r>
          </w:p>
        </w:tc>
        <w:tc>
          <w:tcPr>
            <w:tcW w:w="1084" w:type="dxa"/>
          </w:tcPr>
          <w:p>
            <w:pPr>
              <w:pStyle w:val="0"/>
            </w:pPr>
            <w:r>
              <w:rPr>
                <w:sz w:val="20"/>
              </w:rPr>
              <w:t xml:space="preserve">0,0</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0,5</w:t>
            </w:r>
          </w:p>
        </w:tc>
        <w:tc>
          <w:tcPr>
            <w:tcW w:w="1084" w:type="dxa"/>
          </w:tcPr>
          <w:p>
            <w:pPr>
              <w:pStyle w:val="0"/>
            </w:pPr>
            <w:r>
              <w:rPr>
                <w:sz w:val="20"/>
              </w:rPr>
              <w:t xml:space="preserve">0,4</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0,1</w:t>
            </w:r>
          </w:p>
        </w:tc>
        <w:tc>
          <w:tcPr>
            <w:tcW w:w="1084" w:type="dxa"/>
          </w:tcPr>
          <w:p>
            <w:pPr>
              <w:pStyle w:val="0"/>
            </w:pPr>
            <w:r>
              <w:rPr>
                <w:sz w:val="20"/>
              </w:rPr>
              <w:t xml:space="preserve">0,1</w:t>
            </w:r>
          </w:p>
        </w:tc>
        <w:tc>
          <w:tcPr>
            <w:tcW w:w="859" w:type="dxa"/>
          </w:tcPr>
          <w:p>
            <w:pPr>
              <w:pStyle w:val="0"/>
            </w:pPr>
            <w:r>
              <w:rPr>
                <w:sz w:val="20"/>
              </w:rPr>
              <w:t xml:space="preserve">0,0</w:t>
            </w:r>
          </w:p>
        </w:tc>
        <w:tc>
          <w:tcPr>
            <w:tcW w:w="1084" w:type="dxa"/>
          </w:tcPr>
          <w:p>
            <w:pPr>
              <w:pStyle w:val="0"/>
            </w:pPr>
            <w:r>
              <w:rPr>
                <w:sz w:val="20"/>
              </w:rPr>
              <w:t xml:space="preserve">0,0</w:t>
            </w:r>
          </w:p>
        </w:tc>
        <w:tc>
          <w:tcPr>
            <w:tcW w:w="859" w:type="dxa"/>
          </w:tcPr>
          <w:p>
            <w:pPr>
              <w:pStyle w:val="0"/>
            </w:pPr>
            <w:r>
              <w:rPr>
                <w:sz w:val="20"/>
              </w:rPr>
              <w:t xml:space="preserve">0,6</w:t>
            </w:r>
          </w:p>
        </w:tc>
        <w:tc>
          <w:tcPr>
            <w:tcW w:w="1084" w:type="dxa"/>
          </w:tcPr>
          <w:p>
            <w:pPr>
              <w:pStyle w:val="0"/>
            </w:pPr>
            <w:r>
              <w:rPr>
                <w:sz w:val="20"/>
              </w:rPr>
              <w:t xml:space="preserve">0,0</w:t>
            </w:r>
          </w:p>
        </w:tc>
        <w:tc>
          <w:tcPr>
            <w:tcW w:w="859" w:type="dxa"/>
          </w:tcPr>
          <w:p>
            <w:pPr>
              <w:pStyle w:val="0"/>
            </w:pPr>
            <w:r>
              <w:rPr>
                <w:sz w:val="20"/>
              </w:rPr>
              <w:t xml:space="preserve">0,1</w:t>
            </w:r>
          </w:p>
        </w:tc>
        <w:tc>
          <w:tcPr>
            <w:tcW w:w="1084" w:type="dxa"/>
          </w:tcPr>
          <w:p>
            <w:pPr>
              <w:pStyle w:val="0"/>
            </w:pPr>
            <w:r>
              <w:rPr>
                <w:sz w:val="20"/>
              </w:rPr>
              <w:t xml:space="preserve">0,0</w:t>
            </w:r>
          </w:p>
        </w:tc>
        <w:tc>
          <w:tcPr>
            <w:tcW w:w="859" w:type="dxa"/>
          </w:tcPr>
          <w:p>
            <w:pPr>
              <w:pStyle w:val="0"/>
            </w:pPr>
            <w:r>
              <w:rPr>
                <w:sz w:val="20"/>
              </w:rPr>
              <w:t xml:space="preserve">0,2</w:t>
            </w:r>
          </w:p>
        </w:tc>
        <w:tc>
          <w:tcPr>
            <w:tcW w:w="1084" w:type="dxa"/>
          </w:tcPr>
          <w:p>
            <w:pPr>
              <w:pStyle w:val="0"/>
            </w:pPr>
            <w:r>
              <w:rPr>
                <w:sz w:val="20"/>
              </w:rPr>
              <w:t xml:space="preserve">0,3</w:t>
            </w:r>
          </w:p>
        </w:tc>
      </w:tr>
      <w:tr>
        <w:tc>
          <w:tcPr>
            <w:tcW w:w="2089" w:type="dxa"/>
            <w:vMerge w:val="restart"/>
          </w:tcPr>
          <w:p>
            <w:pPr>
              <w:pStyle w:val="0"/>
            </w:pPr>
            <w:r>
              <w:rPr>
                <w:sz w:val="20"/>
              </w:rPr>
              <w:t xml:space="preserve">гортаноглотки (С12, 13)</w:t>
            </w:r>
          </w:p>
        </w:tc>
        <w:tc>
          <w:tcPr>
            <w:tcW w:w="850" w:type="dxa"/>
          </w:tcPr>
          <w:p>
            <w:pPr>
              <w:pStyle w:val="0"/>
            </w:pPr>
            <w:r>
              <w:rPr>
                <w:sz w:val="20"/>
              </w:rPr>
              <w:t xml:space="preserve">оба пола</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0,4</w:t>
            </w:r>
          </w:p>
        </w:tc>
        <w:tc>
          <w:tcPr>
            <w:tcW w:w="1084" w:type="dxa"/>
          </w:tcPr>
          <w:p>
            <w:pPr>
              <w:pStyle w:val="0"/>
            </w:pPr>
            <w:r>
              <w:rPr>
                <w:sz w:val="20"/>
              </w:rPr>
              <w:t xml:space="preserve">0,4</w:t>
            </w:r>
          </w:p>
        </w:tc>
        <w:tc>
          <w:tcPr>
            <w:tcW w:w="859" w:type="dxa"/>
          </w:tcPr>
          <w:p>
            <w:pPr>
              <w:pStyle w:val="0"/>
            </w:pPr>
            <w:r>
              <w:rPr>
                <w:sz w:val="20"/>
              </w:rPr>
              <w:t xml:space="preserve">0,3</w:t>
            </w:r>
          </w:p>
        </w:tc>
        <w:tc>
          <w:tcPr>
            <w:tcW w:w="1084" w:type="dxa"/>
          </w:tcPr>
          <w:p>
            <w:pPr>
              <w:pStyle w:val="0"/>
            </w:pPr>
            <w:r>
              <w:rPr>
                <w:sz w:val="20"/>
              </w:rPr>
              <w:t xml:space="preserve">0,3</w:t>
            </w:r>
          </w:p>
        </w:tc>
        <w:tc>
          <w:tcPr>
            <w:tcW w:w="859" w:type="dxa"/>
          </w:tcPr>
          <w:p>
            <w:pPr>
              <w:pStyle w:val="0"/>
            </w:pPr>
            <w:r>
              <w:rPr>
                <w:sz w:val="20"/>
              </w:rPr>
              <w:t xml:space="preserve">0,4</w:t>
            </w:r>
          </w:p>
        </w:tc>
        <w:tc>
          <w:tcPr>
            <w:tcW w:w="1084" w:type="dxa"/>
          </w:tcPr>
          <w:p>
            <w:pPr>
              <w:pStyle w:val="0"/>
            </w:pPr>
            <w:r>
              <w:rPr>
                <w:sz w:val="20"/>
              </w:rPr>
              <w:t xml:space="preserve">0,2</w:t>
            </w:r>
          </w:p>
        </w:tc>
        <w:tc>
          <w:tcPr>
            <w:tcW w:w="859" w:type="dxa"/>
          </w:tcPr>
          <w:p>
            <w:pPr>
              <w:pStyle w:val="0"/>
            </w:pPr>
            <w:r>
              <w:rPr>
                <w:sz w:val="20"/>
              </w:rPr>
              <w:t xml:space="preserve">0,7</w:t>
            </w:r>
          </w:p>
        </w:tc>
        <w:tc>
          <w:tcPr>
            <w:tcW w:w="1084" w:type="dxa"/>
          </w:tcPr>
          <w:p>
            <w:pPr>
              <w:pStyle w:val="0"/>
            </w:pPr>
            <w:r>
              <w:rPr>
                <w:sz w:val="20"/>
              </w:rPr>
              <w:t xml:space="preserve">0,1</w:t>
            </w:r>
          </w:p>
        </w:tc>
        <w:tc>
          <w:tcPr>
            <w:tcW w:w="859" w:type="dxa"/>
          </w:tcPr>
          <w:p>
            <w:pPr>
              <w:pStyle w:val="0"/>
            </w:pPr>
            <w:r>
              <w:rPr>
                <w:sz w:val="20"/>
              </w:rPr>
              <w:t xml:space="preserve">0,7</w:t>
            </w:r>
          </w:p>
        </w:tc>
        <w:tc>
          <w:tcPr>
            <w:tcW w:w="1084" w:type="dxa"/>
          </w:tcPr>
          <w:p>
            <w:pPr>
              <w:pStyle w:val="0"/>
            </w:pPr>
            <w:r>
              <w:rPr>
                <w:sz w:val="20"/>
              </w:rPr>
              <w:t xml:space="preserve">0,6</w:t>
            </w:r>
          </w:p>
        </w:tc>
        <w:tc>
          <w:tcPr>
            <w:tcW w:w="859" w:type="dxa"/>
          </w:tcPr>
          <w:p>
            <w:pPr>
              <w:pStyle w:val="0"/>
            </w:pPr>
            <w:r>
              <w:rPr>
                <w:sz w:val="20"/>
              </w:rPr>
              <w:t xml:space="preserve">0,7</w:t>
            </w:r>
          </w:p>
        </w:tc>
        <w:tc>
          <w:tcPr>
            <w:tcW w:w="1084" w:type="dxa"/>
          </w:tcPr>
          <w:p>
            <w:pPr>
              <w:pStyle w:val="0"/>
            </w:pPr>
            <w:r>
              <w:rPr>
                <w:sz w:val="20"/>
              </w:rPr>
              <w:t xml:space="preserve">0,5</w:t>
            </w:r>
          </w:p>
        </w:tc>
        <w:tc>
          <w:tcPr>
            <w:tcW w:w="859" w:type="dxa"/>
          </w:tcPr>
          <w:p>
            <w:pPr>
              <w:pStyle w:val="0"/>
            </w:pPr>
            <w:r>
              <w:rPr>
                <w:sz w:val="20"/>
              </w:rPr>
              <w:t xml:space="preserve">0,5</w:t>
            </w:r>
          </w:p>
        </w:tc>
        <w:tc>
          <w:tcPr>
            <w:tcW w:w="1084" w:type="dxa"/>
          </w:tcPr>
          <w:p>
            <w:pPr>
              <w:pStyle w:val="0"/>
            </w:pPr>
            <w:r>
              <w:rPr>
                <w:sz w:val="20"/>
              </w:rPr>
              <w:t xml:space="preserve">0,3</w:t>
            </w:r>
          </w:p>
        </w:tc>
        <w:tc>
          <w:tcPr>
            <w:tcW w:w="859" w:type="dxa"/>
          </w:tcPr>
          <w:p>
            <w:pPr>
              <w:pStyle w:val="0"/>
            </w:pPr>
            <w:r>
              <w:rPr>
                <w:sz w:val="20"/>
              </w:rPr>
              <w:t xml:space="preserve">0,5</w:t>
            </w:r>
          </w:p>
        </w:tc>
        <w:tc>
          <w:tcPr>
            <w:tcW w:w="1084" w:type="dxa"/>
          </w:tcPr>
          <w:p>
            <w:pPr>
              <w:pStyle w:val="0"/>
            </w:pPr>
            <w:r>
              <w:rPr>
                <w:sz w:val="20"/>
              </w:rPr>
              <w:t xml:space="preserve">0,4</w:t>
            </w:r>
          </w:p>
        </w:tc>
        <w:tc>
          <w:tcPr>
            <w:tcW w:w="859" w:type="dxa"/>
          </w:tcPr>
          <w:p>
            <w:pPr>
              <w:pStyle w:val="0"/>
            </w:pPr>
            <w:r>
              <w:rPr>
                <w:sz w:val="20"/>
              </w:rPr>
              <w:t xml:space="preserve">0,8</w:t>
            </w:r>
          </w:p>
        </w:tc>
        <w:tc>
          <w:tcPr>
            <w:tcW w:w="1084" w:type="dxa"/>
          </w:tcPr>
          <w:p>
            <w:pPr>
              <w:pStyle w:val="0"/>
            </w:pPr>
            <w:r>
              <w:rPr>
                <w:sz w:val="20"/>
              </w:rPr>
              <w:t xml:space="preserve">0,5</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0,4</w:t>
            </w:r>
          </w:p>
        </w:tc>
        <w:tc>
          <w:tcPr>
            <w:tcW w:w="1084" w:type="dxa"/>
          </w:tcPr>
          <w:p>
            <w:pPr>
              <w:pStyle w:val="0"/>
            </w:pPr>
            <w:r>
              <w:rPr>
                <w:sz w:val="20"/>
              </w:rPr>
              <w:t xml:space="preserve">0,4</w:t>
            </w:r>
          </w:p>
        </w:tc>
        <w:tc>
          <w:tcPr>
            <w:tcW w:w="859" w:type="dxa"/>
          </w:tcPr>
          <w:p>
            <w:pPr>
              <w:pStyle w:val="0"/>
            </w:pPr>
            <w:r>
              <w:rPr>
                <w:sz w:val="20"/>
              </w:rPr>
              <w:t xml:space="preserve">0,6</w:t>
            </w:r>
          </w:p>
        </w:tc>
        <w:tc>
          <w:tcPr>
            <w:tcW w:w="1084" w:type="dxa"/>
          </w:tcPr>
          <w:p>
            <w:pPr>
              <w:pStyle w:val="0"/>
            </w:pPr>
            <w:r>
              <w:rPr>
                <w:sz w:val="20"/>
              </w:rPr>
              <w:t xml:space="preserve">0,6</w:t>
            </w:r>
          </w:p>
        </w:tc>
        <w:tc>
          <w:tcPr>
            <w:tcW w:w="859" w:type="dxa"/>
          </w:tcPr>
          <w:p>
            <w:pPr>
              <w:pStyle w:val="0"/>
            </w:pPr>
            <w:r>
              <w:rPr>
                <w:sz w:val="20"/>
              </w:rPr>
              <w:t xml:space="preserve">0,5</w:t>
            </w:r>
          </w:p>
        </w:tc>
        <w:tc>
          <w:tcPr>
            <w:tcW w:w="1084" w:type="dxa"/>
          </w:tcPr>
          <w:p>
            <w:pPr>
              <w:pStyle w:val="0"/>
            </w:pPr>
            <w:r>
              <w:rPr>
                <w:sz w:val="20"/>
              </w:rPr>
              <w:t xml:space="preserve">0,8</w:t>
            </w:r>
          </w:p>
        </w:tc>
        <w:tc>
          <w:tcPr>
            <w:tcW w:w="859" w:type="dxa"/>
          </w:tcPr>
          <w:p>
            <w:pPr>
              <w:pStyle w:val="0"/>
            </w:pPr>
            <w:r>
              <w:rPr>
                <w:sz w:val="20"/>
              </w:rPr>
              <w:t xml:space="preserve">0,5</w:t>
            </w:r>
          </w:p>
        </w:tc>
        <w:tc>
          <w:tcPr>
            <w:tcW w:w="1084" w:type="dxa"/>
          </w:tcPr>
          <w:p>
            <w:pPr>
              <w:pStyle w:val="0"/>
            </w:pPr>
            <w:r>
              <w:rPr>
                <w:sz w:val="20"/>
              </w:rPr>
              <w:t xml:space="preserve">0,4</w:t>
            </w:r>
          </w:p>
        </w:tc>
        <w:tc>
          <w:tcPr>
            <w:tcW w:w="859" w:type="dxa"/>
          </w:tcPr>
          <w:p>
            <w:pPr>
              <w:pStyle w:val="0"/>
            </w:pPr>
            <w:r>
              <w:rPr>
                <w:sz w:val="20"/>
              </w:rPr>
              <w:t xml:space="preserve">0,3</w:t>
            </w:r>
          </w:p>
        </w:tc>
        <w:tc>
          <w:tcPr>
            <w:tcW w:w="1084" w:type="dxa"/>
          </w:tcPr>
          <w:p>
            <w:pPr>
              <w:pStyle w:val="0"/>
            </w:pPr>
            <w:r>
              <w:rPr>
                <w:sz w:val="20"/>
              </w:rPr>
              <w:t xml:space="preserve">0,2</w:t>
            </w:r>
          </w:p>
        </w:tc>
        <w:tc>
          <w:tcPr>
            <w:tcW w:w="859" w:type="dxa"/>
          </w:tcPr>
          <w:p>
            <w:pPr>
              <w:pStyle w:val="0"/>
            </w:pPr>
            <w:r>
              <w:rPr>
                <w:sz w:val="20"/>
              </w:rPr>
              <w:t xml:space="preserve">1,3</w:t>
            </w:r>
          </w:p>
        </w:tc>
        <w:tc>
          <w:tcPr>
            <w:tcW w:w="1084" w:type="dxa"/>
          </w:tcPr>
          <w:p>
            <w:pPr>
              <w:pStyle w:val="0"/>
            </w:pPr>
            <w:r>
              <w:rPr>
                <w:sz w:val="20"/>
              </w:rPr>
              <w:t xml:space="preserve">1,3</w:t>
            </w:r>
          </w:p>
        </w:tc>
        <w:tc>
          <w:tcPr>
            <w:tcW w:w="859" w:type="dxa"/>
          </w:tcPr>
          <w:p>
            <w:pPr>
              <w:pStyle w:val="0"/>
            </w:pPr>
            <w:r>
              <w:rPr>
                <w:sz w:val="20"/>
              </w:rPr>
              <w:t xml:space="preserve">1,4</w:t>
            </w:r>
          </w:p>
        </w:tc>
        <w:tc>
          <w:tcPr>
            <w:tcW w:w="1084" w:type="dxa"/>
          </w:tcPr>
          <w:p>
            <w:pPr>
              <w:pStyle w:val="0"/>
            </w:pPr>
            <w:r>
              <w:rPr>
                <w:sz w:val="20"/>
              </w:rPr>
              <w:t xml:space="preserve">1,1</w:t>
            </w:r>
          </w:p>
        </w:tc>
        <w:tc>
          <w:tcPr>
            <w:tcW w:w="859" w:type="dxa"/>
          </w:tcPr>
          <w:p>
            <w:pPr>
              <w:pStyle w:val="0"/>
            </w:pPr>
            <w:r>
              <w:rPr>
                <w:sz w:val="20"/>
              </w:rPr>
              <w:t xml:space="preserve">1,1</w:t>
            </w:r>
          </w:p>
        </w:tc>
        <w:tc>
          <w:tcPr>
            <w:tcW w:w="1084" w:type="dxa"/>
          </w:tcPr>
          <w:p>
            <w:pPr>
              <w:pStyle w:val="0"/>
            </w:pPr>
            <w:r>
              <w:rPr>
                <w:sz w:val="20"/>
              </w:rPr>
              <w:t xml:space="preserve">0,8</w:t>
            </w:r>
          </w:p>
        </w:tc>
        <w:tc>
          <w:tcPr>
            <w:tcW w:w="859" w:type="dxa"/>
          </w:tcPr>
          <w:p>
            <w:pPr>
              <w:pStyle w:val="0"/>
            </w:pPr>
            <w:r>
              <w:rPr>
                <w:sz w:val="20"/>
              </w:rPr>
              <w:t xml:space="preserve">0,8</w:t>
            </w:r>
          </w:p>
        </w:tc>
        <w:tc>
          <w:tcPr>
            <w:tcW w:w="1084" w:type="dxa"/>
          </w:tcPr>
          <w:p>
            <w:pPr>
              <w:pStyle w:val="0"/>
            </w:pPr>
            <w:r>
              <w:rPr>
                <w:sz w:val="20"/>
              </w:rPr>
              <w:t xml:space="preserve">0,9</w:t>
            </w:r>
          </w:p>
        </w:tc>
        <w:tc>
          <w:tcPr>
            <w:tcW w:w="859" w:type="dxa"/>
          </w:tcPr>
          <w:p>
            <w:pPr>
              <w:pStyle w:val="0"/>
            </w:pPr>
            <w:r>
              <w:rPr>
                <w:sz w:val="20"/>
              </w:rPr>
              <w:t xml:space="preserve">1,3</w:t>
            </w:r>
          </w:p>
        </w:tc>
        <w:tc>
          <w:tcPr>
            <w:tcW w:w="1084" w:type="dxa"/>
          </w:tcPr>
          <w:p>
            <w:pPr>
              <w:pStyle w:val="0"/>
            </w:pPr>
            <w:r>
              <w:rPr>
                <w:sz w:val="20"/>
              </w:rPr>
              <w:t xml:space="preserve">1,1</w:t>
            </w:r>
          </w:p>
        </w:tc>
      </w:tr>
      <w:tr>
        <w:tc>
          <w:tcPr>
            <w:vMerge w:val="continue"/>
          </w:tcPr>
          <w:p/>
        </w:tc>
        <w:tc>
          <w:tcPr>
            <w:tcW w:w="850" w:type="dxa"/>
          </w:tcPr>
          <w:p>
            <w:pPr>
              <w:pStyle w:val="0"/>
            </w:pPr>
            <w:r>
              <w:rPr>
                <w:sz w:val="20"/>
              </w:rPr>
              <w:t xml:space="preserve">Ж</w:t>
            </w:r>
          </w:p>
        </w:tc>
        <w:tc>
          <w:tcPr>
            <w:tcW w:w="859" w:type="dxa"/>
          </w:tcPr>
          <w:p>
            <w:pPr>
              <w:pStyle w:val="0"/>
            </w:pPr>
            <w:r>
              <w:rPr>
                <w:sz w:val="20"/>
              </w:rPr>
            </w:r>
          </w:p>
        </w:tc>
        <w:tc>
          <w:tcPr>
            <w:tcW w:w="1084" w:type="dxa"/>
          </w:tcPr>
          <w:p>
            <w:pPr>
              <w:pStyle w:val="0"/>
            </w:pPr>
            <w:r>
              <w:rPr>
                <w:sz w:val="20"/>
              </w:rPr>
              <w:t xml:space="preserve">-</w:t>
            </w:r>
          </w:p>
        </w:tc>
        <w:tc>
          <w:tcPr>
            <w:tcW w:w="859" w:type="dxa"/>
          </w:tcPr>
          <w:p>
            <w:pPr>
              <w:pStyle w:val="0"/>
            </w:pPr>
            <w:r>
              <w:rPr>
                <w:sz w:val="20"/>
              </w:rPr>
              <w:t xml:space="preserve">-</w:t>
            </w:r>
          </w:p>
        </w:tc>
        <w:tc>
          <w:tcPr>
            <w:tcW w:w="1084" w:type="dxa"/>
          </w:tcPr>
          <w:p>
            <w:pPr>
              <w:pStyle w:val="0"/>
            </w:pPr>
            <w:r>
              <w:rPr>
                <w:sz w:val="20"/>
              </w:rPr>
              <w:t xml:space="preserve">0,2</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0,2</w:t>
            </w:r>
          </w:p>
        </w:tc>
        <w:tc>
          <w:tcPr>
            <w:tcW w:w="1084" w:type="dxa"/>
          </w:tcPr>
          <w:p>
            <w:pPr>
              <w:pStyle w:val="0"/>
            </w:pPr>
            <w:r>
              <w:rPr>
                <w:sz w:val="20"/>
              </w:rPr>
              <w:t xml:space="preserve">-</w:t>
            </w:r>
          </w:p>
        </w:tc>
        <w:tc>
          <w:tcPr>
            <w:tcW w:w="859" w:type="dxa"/>
          </w:tcPr>
          <w:p>
            <w:pPr>
              <w:pStyle w:val="0"/>
            </w:pPr>
            <w:r>
              <w:rPr>
                <w:sz w:val="20"/>
              </w:rPr>
              <w:t xml:space="preserve">0,2</w:t>
            </w:r>
          </w:p>
        </w:tc>
        <w:tc>
          <w:tcPr>
            <w:tcW w:w="1084" w:type="dxa"/>
          </w:tcPr>
          <w:p>
            <w:pPr>
              <w:pStyle w:val="0"/>
            </w:pPr>
            <w:r>
              <w:rPr>
                <w:sz w:val="20"/>
              </w:rPr>
              <w:t xml:space="preserve">0,1</w:t>
            </w:r>
          </w:p>
        </w:tc>
        <w:tc>
          <w:tcPr>
            <w:tcW w:w="859" w:type="dxa"/>
          </w:tcPr>
          <w:p>
            <w:pPr>
              <w:pStyle w:val="0"/>
            </w:pPr>
            <w:r>
              <w:rPr>
                <w:sz w:val="20"/>
              </w:rPr>
              <w:t xml:space="preserve">0,1</w:t>
            </w:r>
          </w:p>
        </w:tc>
        <w:tc>
          <w:tcPr>
            <w:tcW w:w="1084" w:type="dxa"/>
          </w:tcPr>
          <w:p>
            <w:pPr>
              <w:pStyle w:val="0"/>
            </w:pPr>
            <w:r>
              <w:rPr>
                <w:sz w:val="20"/>
              </w:rPr>
              <w:t xml:space="preserve">0,1</w:t>
            </w:r>
          </w:p>
        </w:tc>
        <w:tc>
          <w:tcPr>
            <w:tcW w:w="859" w:type="dxa"/>
          </w:tcPr>
          <w:p>
            <w:pPr>
              <w:pStyle w:val="0"/>
            </w:pPr>
            <w:r>
              <w:rPr>
                <w:sz w:val="20"/>
              </w:rPr>
              <w:t xml:space="preserve">0,0</w:t>
            </w:r>
          </w:p>
        </w:tc>
        <w:tc>
          <w:tcPr>
            <w:tcW w:w="1084" w:type="dxa"/>
          </w:tcPr>
          <w:p>
            <w:pPr>
              <w:pStyle w:val="0"/>
            </w:pPr>
            <w:r>
              <w:rPr>
                <w:sz w:val="20"/>
              </w:rPr>
              <w:t xml:space="preserve">0,0</w:t>
            </w:r>
          </w:p>
        </w:tc>
        <w:tc>
          <w:tcPr>
            <w:tcW w:w="859" w:type="dxa"/>
          </w:tcPr>
          <w:p>
            <w:pPr>
              <w:pStyle w:val="0"/>
            </w:pPr>
            <w:r>
              <w:rPr>
                <w:sz w:val="20"/>
              </w:rPr>
              <w:t xml:space="preserve">0,0</w:t>
            </w:r>
          </w:p>
        </w:tc>
        <w:tc>
          <w:tcPr>
            <w:tcW w:w="1084" w:type="dxa"/>
          </w:tcPr>
          <w:p>
            <w:pPr>
              <w:pStyle w:val="0"/>
            </w:pPr>
            <w:r>
              <w:rPr>
                <w:sz w:val="20"/>
              </w:rPr>
              <w:t xml:space="preserve">0,0</w:t>
            </w:r>
          </w:p>
        </w:tc>
        <w:tc>
          <w:tcPr>
            <w:tcW w:w="859" w:type="dxa"/>
          </w:tcPr>
          <w:p>
            <w:pPr>
              <w:pStyle w:val="0"/>
            </w:pPr>
            <w:r>
              <w:rPr>
                <w:sz w:val="20"/>
              </w:rPr>
              <w:t xml:space="preserve">0,1</w:t>
            </w:r>
          </w:p>
        </w:tc>
        <w:tc>
          <w:tcPr>
            <w:tcW w:w="1084" w:type="dxa"/>
          </w:tcPr>
          <w:p>
            <w:pPr>
              <w:pStyle w:val="0"/>
            </w:pPr>
            <w:r>
              <w:rPr>
                <w:sz w:val="20"/>
              </w:rPr>
              <w:t xml:space="preserve">0,1</w:t>
            </w:r>
          </w:p>
        </w:tc>
        <w:tc>
          <w:tcPr>
            <w:tcW w:w="859" w:type="dxa"/>
          </w:tcPr>
          <w:p>
            <w:pPr>
              <w:pStyle w:val="0"/>
            </w:pPr>
            <w:r>
              <w:rPr>
                <w:sz w:val="20"/>
              </w:rPr>
              <w:t xml:space="preserve">0,2</w:t>
            </w:r>
          </w:p>
        </w:tc>
        <w:tc>
          <w:tcPr>
            <w:tcW w:w="1084" w:type="dxa"/>
          </w:tcPr>
          <w:p>
            <w:pPr>
              <w:pStyle w:val="0"/>
            </w:pPr>
            <w:r>
              <w:rPr>
                <w:sz w:val="20"/>
              </w:rPr>
              <w:t xml:space="preserve">0,13</w:t>
            </w:r>
          </w:p>
        </w:tc>
      </w:tr>
      <w:tr>
        <w:tc>
          <w:tcPr>
            <w:tcW w:w="2089" w:type="dxa"/>
            <w:vMerge w:val="restart"/>
          </w:tcPr>
          <w:p>
            <w:pPr>
              <w:pStyle w:val="0"/>
            </w:pPr>
            <w:r>
              <w:rPr>
                <w:sz w:val="20"/>
              </w:rPr>
              <w:t xml:space="preserve">пищевода (С(15)</w:t>
            </w:r>
          </w:p>
        </w:tc>
        <w:tc>
          <w:tcPr>
            <w:tcW w:w="850" w:type="dxa"/>
          </w:tcPr>
          <w:p>
            <w:pPr>
              <w:pStyle w:val="0"/>
            </w:pPr>
            <w:r>
              <w:rPr>
                <w:sz w:val="20"/>
              </w:rPr>
              <w:t xml:space="preserve">оба пола</w:t>
            </w:r>
          </w:p>
        </w:tc>
        <w:tc>
          <w:tcPr>
            <w:tcW w:w="859" w:type="dxa"/>
          </w:tcPr>
          <w:p>
            <w:pPr>
              <w:pStyle w:val="0"/>
            </w:pPr>
            <w:r>
              <w:rPr>
                <w:sz w:val="20"/>
              </w:rPr>
              <w:t xml:space="preserve">3,1</w:t>
            </w:r>
          </w:p>
        </w:tc>
        <w:tc>
          <w:tcPr>
            <w:tcW w:w="1084" w:type="dxa"/>
          </w:tcPr>
          <w:p>
            <w:pPr>
              <w:pStyle w:val="0"/>
            </w:pPr>
            <w:r>
              <w:rPr>
                <w:sz w:val="20"/>
              </w:rPr>
              <w:t xml:space="preserve">3,7</w:t>
            </w:r>
          </w:p>
        </w:tc>
        <w:tc>
          <w:tcPr>
            <w:tcW w:w="859" w:type="dxa"/>
          </w:tcPr>
          <w:p>
            <w:pPr>
              <w:pStyle w:val="0"/>
            </w:pPr>
            <w:r>
              <w:rPr>
                <w:sz w:val="20"/>
              </w:rPr>
              <w:t xml:space="preserve">3,3</w:t>
            </w:r>
          </w:p>
        </w:tc>
        <w:tc>
          <w:tcPr>
            <w:tcW w:w="1084" w:type="dxa"/>
          </w:tcPr>
          <w:p>
            <w:pPr>
              <w:pStyle w:val="0"/>
            </w:pPr>
            <w:r>
              <w:rPr>
                <w:sz w:val="20"/>
              </w:rPr>
              <w:t xml:space="preserve">3,9</w:t>
            </w:r>
          </w:p>
        </w:tc>
        <w:tc>
          <w:tcPr>
            <w:tcW w:w="859" w:type="dxa"/>
          </w:tcPr>
          <w:p>
            <w:pPr>
              <w:pStyle w:val="0"/>
            </w:pPr>
            <w:r>
              <w:rPr>
                <w:sz w:val="20"/>
              </w:rPr>
              <w:t xml:space="preserve">2,9</w:t>
            </w:r>
          </w:p>
        </w:tc>
        <w:tc>
          <w:tcPr>
            <w:tcW w:w="1084" w:type="dxa"/>
          </w:tcPr>
          <w:p>
            <w:pPr>
              <w:pStyle w:val="0"/>
            </w:pPr>
            <w:r>
              <w:rPr>
                <w:sz w:val="20"/>
              </w:rPr>
              <w:t xml:space="preserve">3,4</w:t>
            </w:r>
          </w:p>
        </w:tc>
        <w:tc>
          <w:tcPr>
            <w:tcW w:w="859" w:type="dxa"/>
          </w:tcPr>
          <w:p>
            <w:pPr>
              <w:pStyle w:val="0"/>
            </w:pPr>
            <w:r>
              <w:rPr>
                <w:sz w:val="20"/>
              </w:rPr>
              <w:t xml:space="preserve">3,8</w:t>
            </w:r>
          </w:p>
        </w:tc>
        <w:tc>
          <w:tcPr>
            <w:tcW w:w="1084" w:type="dxa"/>
          </w:tcPr>
          <w:p>
            <w:pPr>
              <w:pStyle w:val="0"/>
            </w:pPr>
            <w:r>
              <w:rPr>
                <w:sz w:val="20"/>
              </w:rPr>
              <w:t xml:space="preserve">3,8</w:t>
            </w:r>
          </w:p>
        </w:tc>
        <w:tc>
          <w:tcPr>
            <w:tcW w:w="859" w:type="dxa"/>
          </w:tcPr>
          <w:p>
            <w:pPr>
              <w:pStyle w:val="0"/>
            </w:pPr>
            <w:r>
              <w:rPr>
                <w:sz w:val="20"/>
              </w:rPr>
              <w:t xml:space="preserve">3,9</w:t>
            </w:r>
          </w:p>
        </w:tc>
        <w:tc>
          <w:tcPr>
            <w:tcW w:w="1084" w:type="dxa"/>
          </w:tcPr>
          <w:p>
            <w:pPr>
              <w:pStyle w:val="0"/>
            </w:pPr>
            <w:r>
              <w:rPr>
                <w:sz w:val="20"/>
              </w:rPr>
              <w:t xml:space="preserve">3,9</w:t>
            </w:r>
          </w:p>
        </w:tc>
        <w:tc>
          <w:tcPr>
            <w:tcW w:w="859" w:type="dxa"/>
          </w:tcPr>
          <w:p>
            <w:pPr>
              <w:pStyle w:val="0"/>
            </w:pPr>
            <w:r>
              <w:rPr>
                <w:sz w:val="20"/>
              </w:rPr>
              <w:t xml:space="preserve">3,4</w:t>
            </w:r>
          </w:p>
        </w:tc>
        <w:tc>
          <w:tcPr>
            <w:tcW w:w="1084" w:type="dxa"/>
          </w:tcPr>
          <w:p>
            <w:pPr>
              <w:pStyle w:val="0"/>
            </w:pPr>
            <w:r>
              <w:rPr>
                <w:sz w:val="20"/>
              </w:rPr>
              <w:t xml:space="preserve">3,4</w:t>
            </w:r>
          </w:p>
        </w:tc>
        <w:tc>
          <w:tcPr>
            <w:tcW w:w="859" w:type="dxa"/>
          </w:tcPr>
          <w:p>
            <w:pPr>
              <w:pStyle w:val="0"/>
            </w:pPr>
            <w:r>
              <w:rPr>
                <w:sz w:val="20"/>
              </w:rPr>
              <w:t xml:space="preserve">3,3</w:t>
            </w:r>
          </w:p>
        </w:tc>
        <w:tc>
          <w:tcPr>
            <w:tcW w:w="1084" w:type="dxa"/>
          </w:tcPr>
          <w:p>
            <w:pPr>
              <w:pStyle w:val="0"/>
            </w:pPr>
            <w:r>
              <w:rPr>
                <w:sz w:val="20"/>
              </w:rPr>
              <w:t xml:space="preserve">3,4</w:t>
            </w:r>
          </w:p>
        </w:tc>
        <w:tc>
          <w:tcPr>
            <w:tcW w:w="859" w:type="dxa"/>
          </w:tcPr>
          <w:p>
            <w:pPr>
              <w:pStyle w:val="0"/>
            </w:pPr>
            <w:r>
              <w:rPr>
                <w:sz w:val="20"/>
              </w:rPr>
              <w:t xml:space="preserve">4,3</w:t>
            </w:r>
          </w:p>
        </w:tc>
        <w:tc>
          <w:tcPr>
            <w:tcW w:w="1084" w:type="dxa"/>
          </w:tcPr>
          <w:p>
            <w:pPr>
              <w:pStyle w:val="0"/>
            </w:pPr>
            <w:r>
              <w:rPr>
                <w:sz w:val="20"/>
              </w:rPr>
              <w:t xml:space="preserve">5,2</w:t>
            </w:r>
          </w:p>
        </w:tc>
        <w:tc>
          <w:tcPr>
            <w:tcW w:w="859" w:type="dxa"/>
          </w:tcPr>
          <w:p>
            <w:pPr>
              <w:pStyle w:val="0"/>
            </w:pPr>
            <w:r>
              <w:rPr>
                <w:sz w:val="20"/>
              </w:rPr>
              <w:t xml:space="preserve">3,4</w:t>
            </w:r>
          </w:p>
        </w:tc>
        <w:tc>
          <w:tcPr>
            <w:tcW w:w="1084" w:type="dxa"/>
          </w:tcPr>
          <w:p>
            <w:pPr>
              <w:pStyle w:val="0"/>
            </w:pPr>
            <w:r>
              <w:rPr>
                <w:sz w:val="20"/>
              </w:rPr>
              <w:t xml:space="preserve">2,5</w:t>
            </w:r>
          </w:p>
        </w:tc>
        <w:tc>
          <w:tcPr>
            <w:tcW w:w="859" w:type="dxa"/>
          </w:tcPr>
          <w:p>
            <w:pPr>
              <w:pStyle w:val="0"/>
            </w:pPr>
            <w:r>
              <w:rPr>
                <w:sz w:val="20"/>
              </w:rPr>
              <w:t xml:space="preserve">3,6</w:t>
            </w:r>
          </w:p>
        </w:tc>
        <w:tc>
          <w:tcPr>
            <w:tcW w:w="1084" w:type="dxa"/>
          </w:tcPr>
          <w:p>
            <w:pPr>
              <w:pStyle w:val="0"/>
            </w:pPr>
            <w:r>
              <w:rPr>
                <w:sz w:val="20"/>
              </w:rPr>
              <w:t xml:space="preserve">2,6</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5,1</w:t>
            </w:r>
          </w:p>
        </w:tc>
        <w:tc>
          <w:tcPr>
            <w:tcW w:w="1084" w:type="dxa"/>
          </w:tcPr>
          <w:p>
            <w:pPr>
              <w:pStyle w:val="0"/>
            </w:pPr>
            <w:r>
              <w:rPr>
                <w:sz w:val="20"/>
              </w:rPr>
              <w:t xml:space="preserve">6,8</w:t>
            </w:r>
          </w:p>
        </w:tc>
        <w:tc>
          <w:tcPr>
            <w:tcW w:w="859" w:type="dxa"/>
          </w:tcPr>
          <w:p>
            <w:pPr>
              <w:pStyle w:val="0"/>
            </w:pPr>
            <w:r>
              <w:rPr>
                <w:sz w:val="20"/>
              </w:rPr>
              <w:t xml:space="preserve">5,3</w:t>
            </w:r>
          </w:p>
        </w:tc>
        <w:tc>
          <w:tcPr>
            <w:tcW w:w="1084" w:type="dxa"/>
          </w:tcPr>
          <w:p>
            <w:pPr>
              <w:pStyle w:val="0"/>
            </w:pPr>
            <w:r>
              <w:rPr>
                <w:sz w:val="20"/>
              </w:rPr>
              <w:t xml:space="preserve">8,1</w:t>
            </w:r>
          </w:p>
        </w:tc>
        <w:tc>
          <w:tcPr>
            <w:tcW w:w="859" w:type="dxa"/>
          </w:tcPr>
          <w:p>
            <w:pPr>
              <w:pStyle w:val="0"/>
            </w:pPr>
            <w:r>
              <w:rPr>
                <w:sz w:val="20"/>
              </w:rPr>
              <w:t xml:space="preserve">5,0</w:t>
            </w:r>
          </w:p>
        </w:tc>
        <w:tc>
          <w:tcPr>
            <w:tcW w:w="1084" w:type="dxa"/>
          </w:tcPr>
          <w:p>
            <w:pPr>
              <w:pStyle w:val="0"/>
            </w:pPr>
            <w:r>
              <w:rPr>
                <w:sz w:val="20"/>
              </w:rPr>
              <w:t xml:space="preserve">6,9</w:t>
            </w:r>
          </w:p>
        </w:tc>
        <w:tc>
          <w:tcPr>
            <w:tcW w:w="859" w:type="dxa"/>
          </w:tcPr>
          <w:p>
            <w:pPr>
              <w:pStyle w:val="0"/>
            </w:pPr>
            <w:r>
              <w:rPr>
                <w:sz w:val="20"/>
              </w:rPr>
              <w:t xml:space="preserve">6,3</w:t>
            </w:r>
          </w:p>
        </w:tc>
        <w:tc>
          <w:tcPr>
            <w:tcW w:w="1084" w:type="dxa"/>
          </w:tcPr>
          <w:p>
            <w:pPr>
              <w:pStyle w:val="0"/>
            </w:pPr>
            <w:r>
              <w:rPr>
                <w:sz w:val="20"/>
              </w:rPr>
              <w:t xml:space="preserve">7,5</w:t>
            </w:r>
          </w:p>
        </w:tc>
        <w:tc>
          <w:tcPr>
            <w:tcW w:w="859" w:type="dxa"/>
          </w:tcPr>
          <w:p>
            <w:pPr>
              <w:pStyle w:val="0"/>
            </w:pPr>
            <w:r>
              <w:rPr>
                <w:sz w:val="20"/>
              </w:rPr>
              <w:t xml:space="preserve">6,6</w:t>
            </w:r>
          </w:p>
        </w:tc>
        <w:tc>
          <w:tcPr>
            <w:tcW w:w="1084" w:type="dxa"/>
          </w:tcPr>
          <w:p>
            <w:pPr>
              <w:pStyle w:val="0"/>
            </w:pPr>
            <w:r>
              <w:rPr>
                <w:sz w:val="20"/>
              </w:rPr>
              <w:t xml:space="preserve">8,1</w:t>
            </w:r>
          </w:p>
        </w:tc>
        <w:tc>
          <w:tcPr>
            <w:tcW w:w="859" w:type="dxa"/>
          </w:tcPr>
          <w:p>
            <w:pPr>
              <w:pStyle w:val="0"/>
            </w:pPr>
            <w:r>
              <w:rPr>
                <w:sz w:val="20"/>
              </w:rPr>
              <w:t xml:space="preserve">5,8</w:t>
            </w:r>
          </w:p>
        </w:tc>
        <w:tc>
          <w:tcPr>
            <w:tcW w:w="1084" w:type="dxa"/>
          </w:tcPr>
          <w:p>
            <w:pPr>
              <w:pStyle w:val="0"/>
            </w:pPr>
            <w:r>
              <w:rPr>
                <w:sz w:val="20"/>
              </w:rPr>
              <w:t xml:space="preserve">6,1</w:t>
            </w:r>
          </w:p>
        </w:tc>
        <w:tc>
          <w:tcPr>
            <w:tcW w:w="859" w:type="dxa"/>
          </w:tcPr>
          <w:p>
            <w:pPr>
              <w:pStyle w:val="0"/>
            </w:pPr>
            <w:r>
              <w:rPr>
                <w:sz w:val="20"/>
              </w:rPr>
              <w:t xml:space="preserve">5,3</w:t>
            </w:r>
          </w:p>
        </w:tc>
        <w:tc>
          <w:tcPr>
            <w:tcW w:w="1084" w:type="dxa"/>
          </w:tcPr>
          <w:p>
            <w:pPr>
              <w:pStyle w:val="0"/>
            </w:pPr>
            <w:r>
              <w:rPr>
                <w:sz w:val="20"/>
              </w:rPr>
              <w:t xml:space="preserve">8,2</w:t>
            </w:r>
          </w:p>
        </w:tc>
        <w:tc>
          <w:tcPr>
            <w:tcW w:w="859" w:type="dxa"/>
          </w:tcPr>
          <w:p>
            <w:pPr>
              <w:pStyle w:val="0"/>
            </w:pPr>
            <w:r>
              <w:rPr>
                <w:sz w:val="20"/>
              </w:rPr>
              <w:t xml:space="preserve">6,9</w:t>
            </w:r>
          </w:p>
        </w:tc>
        <w:tc>
          <w:tcPr>
            <w:tcW w:w="1084" w:type="dxa"/>
          </w:tcPr>
          <w:p>
            <w:pPr>
              <w:pStyle w:val="0"/>
            </w:pPr>
            <w:r>
              <w:rPr>
                <w:sz w:val="20"/>
              </w:rPr>
              <w:t xml:space="preserve">9,1</w:t>
            </w:r>
          </w:p>
        </w:tc>
        <w:tc>
          <w:tcPr>
            <w:tcW w:w="859" w:type="dxa"/>
          </w:tcPr>
          <w:p>
            <w:pPr>
              <w:pStyle w:val="0"/>
            </w:pPr>
            <w:r>
              <w:rPr>
                <w:sz w:val="20"/>
              </w:rPr>
              <w:t xml:space="preserve">5,3</w:t>
            </w:r>
          </w:p>
        </w:tc>
        <w:tc>
          <w:tcPr>
            <w:tcW w:w="1084" w:type="dxa"/>
          </w:tcPr>
          <w:p>
            <w:pPr>
              <w:pStyle w:val="0"/>
            </w:pPr>
            <w:r>
              <w:rPr>
                <w:sz w:val="20"/>
              </w:rPr>
              <w:t xml:space="preserve">4,3</w:t>
            </w:r>
          </w:p>
        </w:tc>
        <w:tc>
          <w:tcPr>
            <w:tcW w:w="859" w:type="dxa"/>
          </w:tcPr>
          <w:p>
            <w:pPr>
              <w:pStyle w:val="0"/>
            </w:pPr>
            <w:r>
              <w:rPr>
                <w:sz w:val="20"/>
              </w:rPr>
              <w:t xml:space="preserve">6,1</w:t>
            </w:r>
          </w:p>
        </w:tc>
        <w:tc>
          <w:tcPr>
            <w:tcW w:w="1084" w:type="dxa"/>
          </w:tcPr>
          <w:p>
            <w:pPr>
              <w:pStyle w:val="0"/>
            </w:pPr>
            <w:r>
              <w:rPr>
                <w:sz w:val="20"/>
              </w:rPr>
              <w:t xml:space="preserve">5,4</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1,2</w:t>
            </w:r>
          </w:p>
        </w:tc>
        <w:tc>
          <w:tcPr>
            <w:tcW w:w="1084" w:type="dxa"/>
          </w:tcPr>
          <w:p>
            <w:pPr>
              <w:pStyle w:val="0"/>
            </w:pPr>
            <w:r>
              <w:rPr>
                <w:sz w:val="20"/>
              </w:rPr>
              <w:t xml:space="preserve">1,7</w:t>
            </w:r>
          </w:p>
        </w:tc>
        <w:tc>
          <w:tcPr>
            <w:tcW w:w="859" w:type="dxa"/>
          </w:tcPr>
          <w:p>
            <w:pPr>
              <w:pStyle w:val="0"/>
            </w:pPr>
            <w:r>
              <w:rPr>
                <w:sz w:val="20"/>
              </w:rPr>
              <w:t xml:space="preserve">1,4</w:t>
            </w:r>
          </w:p>
        </w:tc>
        <w:tc>
          <w:tcPr>
            <w:tcW w:w="1084" w:type="dxa"/>
          </w:tcPr>
          <w:p>
            <w:pPr>
              <w:pStyle w:val="0"/>
            </w:pPr>
            <w:r>
              <w:rPr>
                <w:sz w:val="20"/>
              </w:rPr>
              <w:t xml:space="preserve">1,3</w:t>
            </w:r>
          </w:p>
        </w:tc>
        <w:tc>
          <w:tcPr>
            <w:tcW w:w="859" w:type="dxa"/>
          </w:tcPr>
          <w:p>
            <w:pPr>
              <w:pStyle w:val="0"/>
            </w:pPr>
            <w:r>
              <w:rPr>
                <w:sz w:val="20"/>
              </w:rPr>
              <w:t xml:space="preserve">0,8</w:t>
            </w:r>
          </w:p>
        </w:tc>
        <w:tc>
          <w:tcPr>
            <w:tcW w:w="1084" w:type="dxa"/>
          </w:tcPr>
          <w:p>
            <w:pPr>
              <w:pStyle w:val="0"/>
            </w:pPr>
            <w:r>
              <w:rPr>
                <w:sz w:val="20"/>
              </w:rPr>
              <w:t xml:space="preserve">0,8</w:t>
            </w:r>
          </w:p>
        </w:tc>
        <w:tc>
          <w:tcPr>
            <w:tcW w:w="859" w:type="dxa"/>
          </w:tcPr>
          <w:p>
            <w:pPr>
              <w:pStyle w:val="0"/>
            </w:pPr>
            <w:r>
              <w:rPr>
                <w:sz w:val="20"/>
              </w:rPr>
              <w:t xml:space="preserve">1,3</w:t>
            </w:r>
          </w:p>
        </w:tc>
        <w:tc>
          <w:tcPr>
            <w:tcW w:w="1084" w:type="dxa"/>
          </w:tcPr>
          <w:p>
            <w:pPr>
              <w:pStyle w:val="0"/>
            </w:pPr>
            <w:r>
              <w:rPr>
                <w:sz w:val="20"/>
              </w:rPr>
              <w:t xml:space="preserve">1,2</w:t>
            </w:r>
          </w:p>
        </w:tc>
        <w:tc>
          <w:tcPr>
            <w:tcW w:w="859" w:type="dxa"/>
          </w:tcPr>
          <w:p>
            <w:pPr>
              <w:pStyle w:val="0"/>
            </w:pPr>
            <w:r>
              <w:rPr>
                <w:sz w:val="20"/>
              </w:rPr>
              <w:t xml:space="preserve">1,3</w:t>
            </w:r>
          </w:p>
        </w:tc>
        <w:tc>
          <w:tcPr>
            <w:tcW w:w="1084" w:type="dxa"/>
          </w:tcPr>
          <w:p>
            <w:pPr>
              <w:pStyle w:val="0"/>
            </w:pPr>
            <w:r>
              <w:rPr>
                <w:sz w:val="20"/>
              </w:rPr>
              <w:t xml:space="preserve">1,6</w:t>
            </w:r>
          </w:p>
        </w:tc>
        <w:tc>
          <w:tcPr>
            <w:tcW w:w="859" w:type="dxa"/>
          </w:tcPr>
          <w:p>
            <w:pPr>
              <w:pStyle w:val="0"/>
            </w:pPr>
            <w:r>
              <w:rPr>
                <w:sz w:val="20"/>
              </w:rPr>
              <w:t xml:space="preserve">1,2</w:t>
            </w:r>
          </w:p>
        </w:tc>
        <w:tc>
          <w:tcPr>
            <w:tcW w:w="1084" w:type="dxa"/>
          </w:tcPr>
          <w:p>
            <w:pPr>
              <w:pStyle w:val="0"/>
            </w:pPr>
            <w:r>
              <w:rPr>
                <w:sz w:val="20"/>
              </w:rPr>
              <w:t xml:space="preserve">1,6</w:t>
            </w:r>
          </w:p>
        </w:tc>
        <w:tc>
          <w:tcPr>
            <w:tcW w:w="859" w:type="dxa"/>
          </w:tcPr>
          <w:p>
            <w:pPr>
              <w:pStyle w:val="0"/>
            </w:pPr>
            <w:r>
              <w:rPr>
                <w:sz w:val="20"/>
              </w:rPr>
              <w:t xml:space="preserve">1,4</w:t>
            </w:r>
          </w:p>
        </w:tc>
        <w:tc>
          <w:tcPr>
            <w:tcW w:w="1084" w:type="dxa"/>
          </w:tcPr>
          <w:p>
            <w:pPr>
              <w:pStyle w:val="0"/>
            </w:pPr>
            <w:r>
              <w:rPr>
                <w:sz w:val="20"/>
              </w:rPr>
              <w:t xml:space="preserve">0,9</w:t>
            </w:r>
          </w:p>
        </w:tc>
        <w:tc>
          <w:tcPr>
            <w:tcW w:w="859" w:type="dxa"/>
          </w:tcPr>
          <w:p>
            <w:pPr>
              <w:pStyle w:val="0"/>
            </w:pPr>
            <w:r>
              <w:rPr>
                <w:sz w:val="20"/>
              </w:rPr>
              <w:t xml:space="preserve">1,9</w:t>
            </w:r>
          </w:p>
        </w:tc>
        <w:tc>
          <w:tcPr>
            <w:tcW w:w="1084" w:type="dxa"/>
          </w:tcPr>
          <w:p>
            <w:pPr>
              <w:pStyle w:val="0"/>
            </w:pPr>
            <w:r>
              <w:rPr>
                <w:sz w:val="20"/>
              </w:rPr>
              <w:t xml:space="preserve">3,1</w:t>
            </w:r>
          </w:p>
        </w:tc>
        <w:tc>
          <w:tcPr>
            <w:tcW w:w="859" w:type="dxa"/>
          </w:tcPr>
          <w:p>
            <w:pPr>
              <w:pStyle w:val="0"/>
            </w:pPr>
            <w:r>
              <w:rPr>
                <w:sz w:val="20"/>
              </w:rPr>
              <w:t xml:space="preserve">1,6</w:t>
            </w:r>
          </w:p>
        </w:tc>
        <w:tc>
          <w:tcPr>
            <w:tcW w:w="1084" w:type="dxa"/>
          </w:tcPr>
          <w:p>
            <w:pPr>
              <w:pStyle w:val="0"/>
            </w:pPr>
            <w:r>
              <w:rPr>
                <w:sz w:val="20"/>
              </w:rPr>
              <w:t xml:space="preserve">1,1</w:t>
            </w:r>
          </w:p>
        </w:tc>
        <w:tc>
          <w:tcPr>
            <w:tcW w:w="859" w:type="dxa"/>
          </w:tcPr>
          <w:p>
            <w:pPr>
              <w:pStyle w:val="0"/>
            </w:pPr>
            <w:r>
              <w:rPr>
                <w:sz w:val="20"/>
              </w:rPr>
              <w:t xml:space="preserve">1,0</w:t>
            </w:r>
          </w:p>
        </w:tc>
        <w:tc>
          <w:tcPr>
            <w:tcW w:w="1084" w:type="dxa"/>
          </w:tcPr>
          <w:p>
            <w:pPr>
              <w:pStyle w:val="0"/>
            </w:pPr>
            <w:r>
              <w:rPr>
                <w:sz w:val="20"/>
              </w:rPr>
              <w:t xml:space="preserve">0,6</w:t>
            </w:r>
          </w:p>
        </w:tc>
      </w:tr>
      <w:tr>
        <w:tc>
          <w:tcPr>
            <w:tcW w:w="2089" w:type="dxa"/>
            <w:vMerge w:val="restart"/>
          </w:tcPr>
          <w:p>
            <w:pPr>
              <w:pStyle w:val="0"/>
            </w:pPr>
            <w:r>
              <w:rPr>
                <w:sz w:val="20"/>
              </w:rPr>
              <w:t xml:space="preserve">желудка (С16)</w:t>
            </w:r>
          </w:p>
        </w:tc>
        <w:tc>
          <w:tcPr>
            <w:tcW w:w="850" w:type="dxa"/>
          </w:tcPr>
          <w:p>
            <w:pPr>
              <w:pStyle w:val="0"/>
            </w:pPr>
            <w:r>
              <w:rPr>
                <w:sz w:val="20"/>
              </w:rPr>
              <w:t xml:space="preserve">оба пола</w:t>
            </w:r>
          </w:p>
        </w:tc>
        <w:tc>
          <w:tcPr>
            <w:tcW w:w="859" w:type="dxa"/>
          </w:tcPr>
          <w:p>
            <w:pPr>
              <w:pStyle w:val="0"/>
            </w:pPr>
            <w:r>
              <w:rPr>
                <w:sz w:val="20"/>
              </w:rPr>
              <w:t xml:space="preserve">141,7</w:t>
            </w:r>
          </w:p>
        </w:tc>
        <w:tc>
          <w:tcPr>
            <w:tcW w:w="1084" w:type="dxa"/>
          </w:tcPr>
          <w:p>
            <w:pPr>
              <w:pStyle w:val="0"/>
            </w:pPr>
            <w:r>
              <w:rPr>
                <w:sz w:val="20"/>
              </w:rPr>
              <w:t xml:space="preserve">20,7</w:t>
            </w:r>
          </w:p>
        </w:tc>
        <w:tc>
          <w:tcPr>
            <w:tcW w:w="859" w:type="dxa"/>
          </w:tcPr>
          <w:p>
            <w:pPr>
              <w:pStyle w:val="0"/>
            </w:pPr>
            <w:r>
              <w:rPr>
                <w:sz w:val="20"/>
              </w:rPr>
              <w:t xml:space="preserve">12,8</w:t>
            </w:r>
          </w:p>
        </w:tc>
        <w:tc>
          <w:tcPr>
            <w:tcW w:w="1084" w:type="dxa"/>
          </w:tcPr>
          <w:p>
            <w:pPr>
              <w:pStyle w:val="0"/>
            </w:pPr>
            <w:r>
              <w:rPr>
                <w:sz w:val="20"/>
              </w:rPr>
              <w:t xml:space="preserve">14,9</w:t>
            </w:r>
          </w:p>
        </w:tc>
        <w:tc>
          <w:tcPr>
            <w:tcW w:w="859" w:type="dxa"/>
          </w:tcPr>
          <w:p>
            <w:pPr>
              <w:pStyle w:val="0"/>
            </w:pPr>
            <w:r>
              <w:rPr>
                <w:sz w:val="20"/>
              </w:rPr>
              <w:t xml:space="preserve">14,7</w:t>
            </w:r>
          </w:p>
        </w:tc>
        <w:tc>
          <w:tcPr>
            <w:tcW w:w="1084" w:type="dxa"/>
          </w:tcPr>
          <w:p>
            <w:pPr>
              <w:pStyle w:val="0"/>
            </w:pPr>
            <w:r>
              <w:rPr>
                <w:sz w:val="20"/>
              </w:rPr>
              <w:t xml:space="preserve">16,3</w:t>
            </w:r>
          </w:p>
        </w:tc>
        <w:tc>
          <w:tcPr>
            <w:tcW w:w="859" w:type="dxa"/>
          </w:tcPr>
          <w:p>
            <w:pPr>
              <w:pStyle w:val="0"/>
            </w:pPr>
            <w:r>
              <w:rPr>
                <w:sz w:val="20"/>
              </w:rPr>
              <w:t xml:space="preserve">17,4</w:t>
            </w:r>
          </w:p>
        </w:tc>
        <w:tc>
          <w:tcPr>
            <w:tcW w:w="1084" w:type="dxa"/>
          </w:tcPr>
          <w:p>
            <w:pPr>
              <w:pStyle w:val="0"/>
            </w:pPr>
            <w:r>
              <w:rPr>
                <w:sz w:val="20"/>
              </w:rPr>
              <w:t xml:space="preserve">21,7</w:t>
            </w:r>
          </w:p>
        </w:tc>
        <w:tc>
          <w:tcPr>
            <w:tcW w:w="859" w:type="dxa"/>
          </w:tcPr>
          <w:p>
            <w:pPr>
              <w:pStyle w:val="0"/>
            </w:pPr>
            <w:r>
              <w:rPr>
                <w:sz w:val="20"/>
              </w:rPr>
              <w:t xml:space="preserve">16,9</w:t>
            </w:r>
          </w:p>
        </w:tc>
        <w:tc>
          <w:tcPr>
            <w:tcW w:w="1084" w:type="dxa"/>
          </w:tcPr>
          <w:p>
            <w:pPr>
              <w:pStyle w:val="0"/>
            </w:pPr>
            <w:r>
              <w:rPr>
                <w:sz w:val="20"/>
              </w:rPr>
              <w:t xml:space="preserve">20,6</w:t>
            </w:r>
          </w:p>
        </w:tc>
        <w:tc>
          <w:tcPr>
            <w:tcW w:w="859" w:type="dxa"/>
          </w:tcPr>
          <w:p>
            <w:pPr>
              <w:pStyle w:val="0"/>
            </w:pPr>
            <w:r>
              <w:rPr>
                <w:sz w:val="20"/>
              </w:rPr>
              <w:t xml:space="preserve">16,4</w:t>
            </w:r>
          </w:p>
        </w:tc>
        <w:tc>
          <w:tcPr>
            <w:tcW w:w="1084" w:type="dxa"/>
          </w:tcPr>
          <w:p>
            <w:pPr>
              <w:pStyle w:val="0"/>
            </w:pPr>
            <w:r>
              <w:rPr>
                <w:sz w:val="20"/>
              </w:rPr>
              <w:t xml:space="preserve">17,1</w:t>
            </w:r>
          </w:p>
        </w:tc>
        <w:tc>
          <w:tcPr>
            <w:tcW w:w="859" w:type="dxa"/>
          </w:tcPr>
          <w:p>
            <w:pPr>
              <w:pStyle w:val="0"/>
            </w:pPr>
            <w:r>
              <w:rPr>
                <w:sz w:val="20"/>
              </w:rPr>
              <w:t xml:space="preserve">15,1</w:t>
            </w:r>
          </w:p>
        </w:tc>
        <w:tc>
          <w:tcPr>
            <w:tcW w:w="1084" w:type="dxa"/>
          </w:tcPr>
          <w:p>
            <w:pPr>
              <w:pStyle w:val="0"/>
            </w:pPr>
            <w:r>
              <w:rPr>
                <w:sz w:val="20"/>
              </w:rPr>
              <w:t xml:space="preserve">16,1</w:t>
            </w:r>
          </w:p>
        </w:tc>
        <w:tc>
          <w:tcPr>
            <w:tcW w:w="859" w:type="dxa"/>
          </w:tcPr>
          <w:p>
            <w:pPr>
              <w:pStyle w:val="0"/>
            </w:pPr>
            <w:r>
              <w:rPr>
                <w:sz w:val="20"/>
              </w:rPr>
              <w:t xml:space="preserve">17,3</w:t>
            </w:r>
          </w:p>
        </w:tc>
        <w:tc>
          <w:tcPr>
            <w:tcW w:w="1084" w:type="dxa"/>
          </w:tcPr>
          <w:p>
            <w:pPr>
              <w:pStyle w:val="0"/>
            </w:pPr>
            <w:r>
              <w:rPr>
                <w:sz w:val="20"/>
              </w:rPr>
              <w:t xml:space="preserve">16,5</w:t>
            </w:r>
          </w:p>
        </w:tc>
        <w:tc>
          <w:tcPr>
            <w:tcW w:w="859" w:type="dxa"/>
          </w:tcPr>
          <w:p>
            <w:pPr>
              <w:pStyle w:val="0"/>
            </w:pPr>
            <w:r>
              <w:rPr>
                <w:sz w:val="20"/>
              </w:rPr>
              <w:t xml:space="preserve">15,8</w:t>
            </w:r>
          </w:p>
        </w:tc>
        <w:tc>
          <w:tcPr>
            <w:tcW w:w="1084" w:type="dxa"/>
          </w:tcPr>
          <w:p>
            <w:pPr>
              <w:pStyle w:val="0"/>
            </w:pPr>
            <w:r>
              <w:rPr>
                <w:sz w:val="20"/>
              </w:rPr>
              <w:t xml:space="preserve">12,2</w:t>
            </w:r>
          </w:p>
        </w:tc>
        <w:tc>
          <w:tcPr>
            <w:tcW w:w="859" w:type="dxa"/>
          </w:tcPr>
          <w:p>
            <w:pPr>
              <w:pStyle w:val="0"/>
            </w:pPr>
            <w:r>
              <w:rPr>
                <w:sz w:val="20"/>
              </w:rPr>
              <w:t xml:space="preserve">13,8</w:t>
            </w:r>
          </w:p>
        </w:tc>
        <w:tc>
          <w:tcPr>
            <w:tcW w:w="1084" w:type="dxa"/>
          </w:tcPr>
          <w:p>
            <w:pPr>
              <w:pStyle w:val="0"/>
            </w:pPr>
            <w:r>
              <w:rPr>
                <w:sz w:val="20"/>
              </w:rPr>
              <w:t xml:space="preserve">10,6</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18,4</w:t>
            </w:r>
          </w:p>
        </w:tc>
        <w:tc>
          <w:tcPr>
            <w:tcW w:w="1084" w:type="dxa"/>
          </w:tcPr>
          <w:p>
            <w:pPr>
              <w:pStyle w:val="0"/>
            </w:pPr>
            <w:r>
              <w:rPr>
                <w:sz w:val="20"/>
              </w:rPr>
              <w:t xml:space="preserve">33,2</w:t>
            </w:r>
          </w:p>
        </w:tc>
        <w:tc>
          <w:tcPr>
            <w:tcW w:w="859" w:type="dxa"/>
          </w:tcPr>
          <w:p>
            <w:pPr>
              <w:pStyle w:val="0"/>
            </w:pPr>
            <w:r>
              <w:rPr>
                <w:sz w:val="20"/>
              </w:rPr>
              <w:t xml:space="preserve">17,4</w:t>
            </w:r>
          </w:p>
        </w:tc>
        <w:tc>
          <w:tcPr>
            <w:tcW w:w="1084" w:type="dxa"/>
          </w:tcPr>
          <w:p>
            <w:pPr>
              <w:pStyle w:val="0"/>
            </w:pPr>
            <w:r>
              <w:rPr>
                <w:sz w:val="20"/>
              </w:rPr>
              <w:t xml:space="preserve">25,5</w:t>
            </w:r>
          </w:p>
        </w:tc>
        <w:tc>
          <w:tcPr>
            <w:tcW w:w="859" w:type="dxa"/>
          </w:tcPr>
          <w:p>
            <w:pPr>
              <w:pStyle w:val="0"/>
            </w:pPr>
            <w:r>
              <w:rPr>
                <w:sz w:val="20"/>
              </w:rPr>
              <w:t xml:space="preserve">19,4</w:t>
            </w:r>
          </w:p>
        </w:tc>
        <w:tc>
          <w:tcPr>
            <w:tcW w:w="1084" w:type="dxa"/>
          </w:tcPr>
          <w:p>
            <w:pPr>
              <w:pStyle w:val="0"/>
            </w:pPr>
            <w:r>
              <w:rPr>
                <w:sz w:val="20"/>
              </w:rPr>
              <w:t xml:space="preserve">28,2</w:t>
            </w:r>
          </w:p>
        </w:tc>
        <w:tc>
          <w:tcPr>
            <w:tcW w:w="859" w:type="dxa"/>
          </w:tcPr>
          <w:p>
            <w:pPr>
              <w:pStyle w:val="0"/>
            </w:pPr>
            <w:r>
              <w:rPr>
                <w:sz w:val="20"/>
              </w:rPr>
              <w:t xml:space="preserve">21,3</w:t>
            </w:r>
          </w:p>
        </w:tc>
        <w:tc>
          <w:tcPr>
            <w:tcW w:w="1084" w:type="dxa"/>
          </w:tcPr>
          <w:p>
            <w:pPr>
              <w:pStyle w:val="0"/>
            </w:pPr>
            <w:r>
              <w:rPr>
                <w:sz w:val="20"/>
              </w:rPr>
              <w:t xml:space="preserve">29,7</w:t>
            </w:r>
          </w:p>
        </w:tc>
        <w:tc>
          <w:tcPr>
            <w:tcW w:w="859" w:type="dxa"/>
          </w:tcPr>
          <w:p>
            <w:pPr>
              <w:pStyle w:val="0"/>
            </w:pPr>
            <w:r>
              <w:rPr>
                <w:sz w:val="20"/>
              </w:rPr>
              <w:t xml:space="preserve">21,8</w:t>
            </w:r>
          </w:p>
        </w:tc>
        <w:tc>
          <w:tcPr>
            <w:tcW w:w="1084" w:type="dxa"/>
          </w:tcPr>
          <w:p>
            <w:pPr>
              <w:pStyle w:val="0"/>
            </w:pPr>
            <w:r>
              <w:rPr>
                <w:sz w:val="20"/>
              </w:rPr>
              <w:t xml:space="preserve">31,0</w:t>
            </w:r>
          </w:p>
        </w:tc>
        <w:tc>
          <w:tcPr>
            <w:tcW w:w="859" w:type="dxa"/>
          </w:tcPr>
          <w:p>
            <w:pPr>
              <w:pStyle w:val="0"/>
            </w:pPr>
            <w:r>
              <w:rPr>
                <w:sz w:val="20"/>
              </w:rPr>
              <w:t xml:space="preserve">21,2</w:t>
            </w:r>
          </w:p>
        </w:tc>
        <w:tc>
          <w:tcPr>
            <w:tcW w:w="1084" w:type="dxa"/>
          </w:tcPr>
          <w:p>
            <w:pPr>
              <w:pStyle w:val="0"/>
            </w:pPr>
            <w:r>
              <w:rPr>
                <w:sz w:val="20"/>
              </w:rPr>
              <w:t xml:space="preserve">22,1</w:t>
            </w:r>
          </w:p>
        </w:tc>
        <w:tc>
          <w:tcPr>
            <w:tcW w:w="859" w:type="dxa"/>
          </w:tcPr>
          <w:p>
            <w:pPr>
              <w:pStyle w:val="0"/>
            </w:pPr>
            <w:r>
              <w:rPr>
                <w:sz w:val="20"/>
              </w:rPr>
              <w:t xml:space="preserve">16,8</w:t>
            </w:r>
          </w:p>
        </w:tc>
        <w:tc>
          <w:tcPr>
            <w:tcW w:w="1084" w:type="dxa"/>
          </w:tcPr>
          <w:p>
            <w:pPr>
              <w:pStyle w:val="0"/>
            </w:pPr>
            <w:r>
              <w:rPr>
                <w:sz w:val="20"/>
              </w:rPr>
              <w:t xml:space="preserve">18,8</w:t>
            </w:r>
          </w:p>
        </w:tc>
        <w:tc>
          <w:tcPr>
            <w:tcW w:w="859" w:type="dxa"/>
          </w:tcPr>
          <w:p>
            <w:pPr>
              <w:pStyle w:val="0"/>
            </w:pPr>
            <w:r>
              <w:rPr>
                <w:sz w:val="20"/>
              </w:rPr>
              <w:t xml:space="preserve">20,9</w:t>
            </w:r>
          </w:p>
        </w:tc>
        <w:tc>
          <w:tcPr>
            <w:tcW w:w="1084" w:type="dxa"/>
          </w:tcPr>
          <w:p>
            <w:pPr>
              <w:pStyle w:val="0"/>
            </w:pPr>
            <w:r>
              <w:rPr>
                <w:sz w:val="20"/>
              </w:rPr>
              <w:t xml:space="preserve">27,3</w:t>
            </w:r>
          </w:p>
        </w:tc>
        <w:tc>
          <w:tcPr>
            <w:tcW w:w="859" w:type="dxa"/>
          </w:tcPr>
          <w:p>
            <w:pPr>
              <w:pStyle w:val="0"/>
            </w:pPr>
            <w:r>
              <w:rPr>
                <w:sz w:val="20"/>
              </w:rPr>
              <w:t xml:space="preserve">19,0</w:t>
            </w:r>
          </w:p>
        </w:tc>
        <w:tc>
          <w:tcPr>
            <w:tcW w:w="1084" w:type="dxa"/>
          </w:tcPr>
          <w:p>
            <w:pPr>
              <w:pStyle w:val="0"/>
            </w:pPr>
            <w:r>
              <w:rPr>
                <w:sz w:val="20"/>
              </w:rPr>
              <w:t xml:space="preserve">17,1</w:t>
            </w:r>
          </w:p>
        </w:tc>
        <w:tc>
          <w:tcPr>
            <w:tcW w:w="859" w:type="dxa"/>
          </w:tcPr>
          <w:p>
            <w:pPr>
              <w:pStyle w:val="0"/>
            </w:pPr>
            <w:r>
              <w:rPr>
                <w:sz w:val="20"/>
              </w:rPr>
              <w:t xml:space="preserve">17,0</w:t>
            </w:r>
          </w:p>
        </w:tc>
        <w:tc>
          <w:tcPr>
            <w:tcW w:w="1084" w:type="dxa"/>
          </w:tcPr>
          <w:p>
            <w:pPr>
              <w:pStyle w:val="0"/>
            </w:pPr>
            <w:r>
              <w:rPr>
                <w:sz w:val="20"/>
              </w:rPr>
              <w:t xml:space="preserve">16,8</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10,8</w:t>
            </w:r>
          </w:p>
        </w:tc>
        <w:tc>
          <w:tcPr>
            <w:tcW w:w="1084" w:type="dxa"/>
          </w:tcPr>
          <w:p>
            <w:pPr>
              <w:pStyle w:val="0"/>
            </w:pPr>
            <w:r>
              <w:rPr>
                <w:sz w:val="20"/>
              </w:rPr>
              <w:t xml:space="preserve">14,2</w:t>
            </w:r>
          </w:p>
        </w:tc>
        <w:tc>
          <w:tcPr>
            <w:tcW w:w="859" w:type="dxa"/>
          </w:tcPr>
          <w:p>
            <w:pPr>
              <w:pStyle w:val="0"/>
            </w:pPr>
            <w:r>
              <w:rPr>
                <w:sz w:val="20"/>
              </w:rPr>
              <w:t xml:space="preserve">8,4</w:t>
            </w:r>
          </w:p>
        </w:tc>
        <w:tc>
          <w:tcPr>
            <w:tcW w:w="1084" w:type="dxa"/>
          </w:tcPr>
          <w:p>
            <w:pPr>
              <w:pStyle w:val="0"/>
            </w:pPr>
            <w:r>
              <w:rPr>
                <w:sz w:val="20"/>
              </w:rPr>
              <w:t xml:space="preserve">9,3</w:t>
            </w:r>
          </w:p>
        </w:tc>
        <w:tc>
          <w:tcPr>
            <w:tcW w:w="859" w:type="dxa"/>
          </w:tcPr>
          <w:p>
            <w:pPr>
              <w:pStyle w:val="0"/>
            </w:pPr>
            <w:r>
              <w:rPr>
                <w:sz w:val="20"/>
              </w:rPr>
              <w:t xml:space="preserve">10,2</w:t>
            </w:r>
          </w:p>
        </w:tc>
        <w:tc>
          <w:tcPr>
            <w:tcW w:w="1084" w:type="dxa"/>
          </w:tcPr>
          <w:p>
            <w:pPr>
              <w:pStyle w:val="0"/>
            </w:pPr>
            <w:r>
              <w:rPr>
                <w:sz w:val="20"/>
              </w:rPr>
              <w:t xml:space="preserve">10,0</w:t>
            </w:r>
          </w:p>
        </w:tc>
        <w:tc>
          <w:tcPr>
            <w:tcW w:w="859" w:type="dxa"/>
          </w:tcPr>
          <w:p>
            <w:pPr>
              <w:pStyle w:val="0"/>
            </w:pPr>
            <w:r>
              <w:rPr>
                <w:sz w:val="20"/>
              </w:rPr>
              <w:t xml:space="preserve">13,5</w:t>
            </w:r>
          </w:p>
        </w:tc>
        <w:tc>
          <w:tcPr>
            <w:tcW w:w="1084" w:type="dxa"/>
          </w:tcPr>
          <w:p>
            <w:pPr>
              <w:pStyle w:val="0"/>
            </w:pPr>
            <w:r>
              <w:rPr>
                <w:sz w:val="20"/>
              </w:rPr>
              <w:t xml:space="preserve">15,7</w:t>
            </w:r>
          </w:p>
        </w:tc>
        <w:tc>
          <w:tcPr>
            <w:tcW w:w="859" w:type="dxa"/>
          </w:tcPr>
          <w:p>
            <w:pPr>
              <w:pStyle w:val="0"/>
            </w:pPr>
            <w:r>
              <w:rPr>
                <w:sz w:val="20"/>
              </w:rPr>
              <w:t xml:space="preserve">12,1</w:t>
            </w:r>
          </w:p>
        </w:tc>
        <w:tc>
          <w:tcPr>
            <w:tcW w:w="1084" w:type="dxa"/>
          </w:tcPr>
          <w:p>
            <w:pPr>
              <w:pStyle w:val="0"/>
            </w:pPr>
            <w:r>
              <w:rPr>
                <w:sz w:val="20"/>
              </w:rPr>
              <w:t xml:space="preserve">13,2</w:t>
            </w:r>
          </w:p>
        </w:tc>
        <w:tc>
          <w:tcPr>
            <w:tcW w:w="859" w:type="dxa"/>
          </w:tcPr>
          <w:p>
            <w:pPr>
              <w:pStyle w:val="0"/>
            </w:pPr>
            <w:r>
              <w:rPr>
                <w:sz w:val="20"/>
              </w:rPr>
              <w:t xml:space="preserve">11,8</w:t>
            </w:r>
          </w:p>
        </w:tc>
        <w:tc>
          <w:tcPr>
            <w:tcW w:w="1084" w:type="dxa"/>
          </w:tcPr>
          <w:p>
            <w:pPr>
              <w:pStyle w:val="0"/>
            </w:pPr>
            <w:r>
              <w:rPr>
                <w:sz w:val="20"/>
              </w:rPr>
              <w:t xml:space="preserve">12,7</w:t>
            </w:r>
          </w:p>
        </w:tc>
        <w:tc>
          <w:tcPr>
            <w:tcW w:w="859" w:type="dxa"/>
          </w:tcPr>
          <w:p>
            <w:pPr>
              <w:pStyle w:val="0"/>
            </w:pPr>
            <w:r>
              <w:rPr>
                <w:sz w:val="20"/>
              </w:rPr>
              <w:t xml:space="preserve">13,4</w:t>
            </w:r>
          </w:p>
        </w:tc>
        <w:tc>
          <w:tcPr>
            <w:tcW w:w="1084" w:type="dxa"/>
          </w:tcPr>
          <w:p>
            <w:pPr>
              <w:pStyle w:val="0"/>
            </w:pPr>
            <w:r>
              <w:rPr>
                <w:sz w:val="20"/>
              </w:rPr>
              <w:t xml:space="preserve">14,1</w:t>
            </w:r>
          </w:p>
        </w:tc>
        <w:tc>
          <w:tcPr>
            <w:tcW w:w="859" w:type="dxa"/>
          </w:tcPr>
          <w:p>
            <w:pPr>
              <w:pStyle w:val="0"/>
            </w:pPr>
            <w:r>
              <w:rPr>
                <w:sz w:val="20"/>
              </w:rPr>
              <w:t xml:space="preserve">13,8</w:t>
            </w:r>
          </w:p>
        </w:tc>
        <w:tc>
          <w:tcPr>
            <w:tcW w:w="1084" w:type="dxa"/>
          </w:tcPr>
          <w:p>
            <w:pPr>
              <w:pStyle w:val="0"/>
            </w:pPr>
            <w:r>
              <w:rPr>
                <w:sz w:val="20"/>
              </w:rPr>
              <w:t xml:space="preserve">11,8</w:t>
            </w:r>
          </w:p>
        </w:tc>
        <w:tc>
          <w:tcPr>
            <w:tcW w:w="859" w:type="dxa"/>
          </w:tcPr>
          <w:p>
            <w:pPr>
              <w:pStyle w:val="0"/>
            </w:pPr>
            <w:r>
              <w:rPr>
                <w:sz w:val="20"/>
              </w:rPr>
              <w:t xml:space="preserve">12,7</w:t>
            </w:r>
          </w:p>
        </w:tc>
        <w:tc>
          <w:tcPr>
            <w:tcW w:w="1084" w:type="dxa"/>
          </w:tcPr>
          <w:p>
            <w:pPr>
              <w:pStyle w:val="0"/>
            </w:pPr>
            <w:r>
              <w:rPr>
                <w:sz w:val="20"/>
              </w:rPr>
              <w:t xml:space="preserve">9,0</w:t>
            </w:r>
          </w:p>
        </w:tc>
        <w:tc>
          <w:tcPr>
            <w:tcW w:w="859" w:type="dxa"/>
          </w:tcPr>
          <w:p>
            <w:pPr>
              <w:pStyle w:val="0"/>
            </w:pPr>
            <w:r>
              <w:rPr>
                <w:sz w:val="20"/>
              </w:rPr>
              <w:t xml:space="preserve">10,5</w:t>
            </w:r>
          </w:p>
        </w:tc>
        <w:tc>
          <w:tcPr>
            <w:tcW w:w="1084" w:type="dxa"/>
          </w:tcPr>
          <w:p>
            <w:pPr>
              <w:pStyle w:val="0"/>
            </w:pPr>
            <w:r>
              <w:rPr>
                <w:sz w:val="20"/>
              </w:rPr>
              <w:t xml:space="preserve">6,7</w:t>
            </w:r>
          </w:p>
        </w:tc>
      </w:tr>
      <w:tr>
        <w:tc>
          <w:tcPr>
            <w:tcW w:w="2089" w:type="dxa"/>
            <w:vMerge w:val="restart"/>
          </w:tcPr>
          <w:p>
            <w:pPr>
              <w:pStyle w:val="0"/>
            </w:pPr>
            <w:r>
              <w:rPr>
                <w:sz w:val="20"/>
              </w:rPr>
              <w:t xml:space="preserve">тонкого кишечника (С17)</w:t>
            </w:r>
          </w:p>
        </w:tc>
        <w:tc>
          <w:tcPr>
            <w:tcW w:w="850" w:type="dxa"/>
          </w:tcPr>
          <w:p>
            <w:pPr>
              <w:pStyle w:val="0"/>
            </w:pPr>
            <w:r>
              <w:rPr>
                <w:sz w:val="20"/>
              </w:rPr>
              <w:t xml:space="preserve">оба пола</w:t>
            </w:r>
          </w:p>
        </w:tc>
        <w:tc>
          <w:tcPr>
            <w:tcW w:w="859" w:type="dxa"/>
          </w:tcPr>
          <w:p>
            <w:pPr>
              <w:pStyle w:val="0"/>
            </w:pPr>
            <w:r>
              <w:rPr>
                <w:sz w:val="20"/>
              </w:rPr>
              <w:t xml:space="preserve">0,8</w:t>
            </w:r>
          </w:p>
        </w:tc>
        <w:tc>
          <w:tcPr>
            <w:tcW w:w="1084" w:type="dxa"/>
          </w:tcPr>
          <w:p>
            <w:pPr>
              <w:pStyle w:val="0"/>
            </w:pPr>
            <w:r>
              <w:rPr>
                <w:sz w:val="20"/>
              </w:rPr>
              <w:t xml:space="preserve">1,6</w:t>
            </w:r>
          </w:p>
        </w:tc>
        <w:tc>
          <w:tcPr>
            <w:tcW w:w="859" w:type="dxa"/>
          </w:tcPr>
          <w:p>
            <w:pPr>
              <w:pStyle w:val="0"/>
            </w:pPr>
            <w:r>
              <w:rPr>
                <w:sz w:val="20"/>
              </w:rPr>
              <w:t xml:space="preserve">0,4</w:t>
            </w:r>
          </w:p>
        </w:tc>
        <w:tc>
          <w:tcPr>
            <w:tcW w:w="1084" w:type="dxa"/>
          </w:tcPr>
          <w:p>
            <w:pPr>
              <w:pStyle w:val="0"/>
            </w:pPr>
            <w:r>
              <w:rPr>
                <w:sz w:val="20"/>
              </w:rPr>
              <w:t xml:space="preserve">0,6</w:t>
            </w:r>
          </w:p>
        </w:tc>
        <w:tc>
          <w:tcPr>
            <w:tcW w:w="859" w:type="dxa"/>
          </w:tcPr>
          <w:p>
            <w:pPr>
              <w:pStyle w:val="0"/>
            </w:pPr>
            <w:r>
              <w:rPr>
                <w:sz w:val="20"/>
              </w:rPr>
              <w:t xml:space="preserve">0,6</w:t>
            </w:r>
          </w:p>
        </w:tc>
        <w:tc>
          <w:tcPr>
            <w:tcW w:w="1084" w:type="dxa"/>
          </w:tcPr>
          <w:p>
            <w:pPr>
              <w:pStyle w:val="0"/>
            </w:pPr>
            <w:r>
              <w:rPr>
                <w:sz w:val="20"/>
              </w:rPr>
              <w:t xml:space="preserve">0,6</w:t>
            </w:r>
          </w:p>
        </w:tc>
        <w:tc>
          <w:tcPr>
            <w:tcW w:w="859" w:type="dxa"/>
          </w:tcPr>
          <w:p>
            <w:pPr>
              <w:pStyle w:val="0"/>
            </w:pPr>
            <w:r>
              <w:rPr>
                <w:sz w:val="20"/>
              </w:rPr>
              <w:t xml:space="preserve">0,6</w:t>
            </w:r>
          </w:p>
        </w:tc>
        <w:tc>
          <w:tcPr>
            <w:tcW w:w="1084" w:type="dxa"/>
          </w:tcPr>
          <w:p>
            <w:pPr>
              <w:pStyle w:val="0"/>
            </w:pPr>
            <w:r>
              <w:rPr>
                <w:sz w:val="20"/>
              </w:rPr>
              <w:t xml:space="preserve">0,5</w:t>
            </w:r>
          </w:p>
        </w:tc>
        <w:tc>
          <w:tcPr>
            <w:tcW w:w="859" w:type="dxa"/>
          </w:tcPr>
          <w:p>
            <w:pPr>
              <w:pStyle w:val="0"/>
            </w:pPr>
            <w:r>
              <w:rPr>
                <w:sz w:val="20"/>
              </w:rPr>
              <w:t xml:space="preserve">0,4</w:t>
            </w:r>
          </w:p>
        </w:tc>
        <w:tc>
          <w:tcPr>
            <w:tcW w:w="1084" w:type="dxa"/>
          </w:tcPr>
          <w:p>
            <w:pPr>
              <w:pStyle w:val="0"/>
            </w:pPr>
            <w:r>
              <w:rPr>
                <w:sz w:val="20"/>
              </w:rPr>
              <w:t xml:space="preserve">0,4</w:t>
            </w:r>
          </w:p>
        </w:tc>
        <w:tc>
          <w:tcPr>
            <w:tcW w:w="859" w:type="dxa"/>
          </w:tcPr>
          <w:p>
            <w:pPr>
              <w:pStyle w:val="0"/>
            </w:pPr>
            <w:r>
              <w:rPr>
                <w:sz w:val="20"/>
              </w:rPr>
              <w:t xml:space="preserve">0,5</w:t>
            </w:r>
          </w:p>
        </w:tc>
        <w:tc>
          <w:tcPr>
            <w:tcW w:w="1084" w:type="dxa"/>
          </w:tcPr>
          <w:p>
            <w:pPr>
              <w:pStyle w:val="0"/>
            </w:pPr>
            <w:r>
              <w:rPr>
                <w:sz w:val="20"/>
              </w:rPr>
              <w:t xml:space="preserve">0,7</w:t>
            </w:r>
          </w:p>
        </w:tc>
        <w:tc>
          <w:tcPr>
            <w:tcW w:w="859" w:type="dxa"/>
          </w:tcPr>
          <w:p>
            <w:pPr>
              <w:pStyle w:val="0"/>
            </w:pPr>
            <w:r>
              <w:rPr>
                <w:sz w:val="20"/>
              </w:rPr>
              <w:t xml:space="preserve">1,1</w:t>
            </w:r>
          </w:p>
        </w:tc>
        <w:tc>
          <w:tcPr>
            <w:tcW w:w="1084" w:type="dxa"/>
          </w:tcPr>
          <w:p>
            <w:pPr>
              <w:pStyle w:val="0"/>
            </w:pPr>
            <w:r>
              <w:rPr>
                <w:sz w:val="20"/>
              </w:rPr>
              <w:t xml:space="preserve">0,9</w:t>
            </w:r>
          </w:p>
        </w:tc>
        <w:tc>
          <w:tcPr>
            <w:tcW w:w="859" w:type="dxa"/>
          </w:tcPr>
          <w:p>
            <w:pPr>
              <w:pStyle w:val="0"/>
            </w:pPr>
            <w:r>
              <w:rPr>
                <w:sz w:val="20"/>
              </w:rPr>
              <w:t xml:space="preserve">0,6</w:t>
            </w:r>
          </w:p>
        </w:tc>
        <w:tc>
          <w:tcPr>
            <w:tcW w:w="1084" w:type="dxa"/>
          </w:tcPr>
          <w:p>
            <w:pPr>
              <w:pStyle w:val="0"/>
            </w:pPr>
            <w:r>
              <w:rPr>
                <w:sz w:val="20"/>
              </w:rPr>
              <w:t xml:space="preserve">0,5</w:t>
            </w:r>
          </w:p>
        </w:tc>
        <w:tc>
          <w:tcPr>
            <w:tcW w:w="859" w:type="dxa"/>
          </w:tcPr>
          <w:p>
            <w:pPr>
              <w:pStyle w:val="0"/>
            </w:pPr>
            <w:r>
              <w:rPr>
                <w:sz w:val="20"/>
              </w:rPr>
              <w:t xml:space="preserve">1,1</w:t>
            </w:r>
          </w:p>
        </w:tc>
        <w:tc>
          <w:tcPr>
            <w:tcW w:w="1084" w:type="dxa"/>
          </w:tcPr>
          <w:p>
            <w:pPr>
              <w:pStyle w:val="0"/>
            </w:pPr>
            <w:r>
              <w:rPr>
                <w:sz w:val="20"/>
              </w:rPr>
              <w:t xml:space="preserve">1,0</w:t>
            </w:r>
          </w:p>
        </w:tc>
        <w:tc>
          <w:tcPr>
            <w:tcW w:w="859" w:type="dxa"/>
          </w:tcPr>
          <w:p>
            <w:pPr>
              <w:pStyle w:val="0"/>
            </w:pPr>
            <w:r>
              <w:rPr>
                <w:sz w:val="20"/>
              </w:rPr>
              <w:t xml:space="preserve">0,6</w:t>
            </w:r>
          </w:p>
        </w:tc>
        <w:tc>
          <w:tcPr>
            <w:tcW w:w="1084" w:type="dxa"/>
          </w:tcPr>
          <w:p>
            <w:pPr>
              <w:pStyle w:val="0"/>
            </w:pPr>
            <w:r>
              <w:rPr>
                <w:sz w:val="20"/>
              </w:rPr>
              <w:t xml:space="preserve">0,5</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0,3</w:t>
            </w:r>
          </w:p>
        </w:tc>
        <w:tc>
          <w:tcPr>
            <w:tcW w:w="1084" w:type="dxa"/>
          </w:tcPr>
          <w:p>
            <w:pPr>
              <w:pStyle w:val="0"/>
            </w:pPr>
            <w:r>
              <w:rPr>
                <w:sz w:val="20"/>
              </w:rPr>
              <w:t xml:space="preserve">1,7</w:t>
            </w:r>
          </w:p>
        </w:tc>
        <w:tc>
          <w:tcPr>
            <w:tcW w:w="859" w:type="dxa"/>
          </w:tcPr>
          <w:p>
            <w:pPr>
              <w:pStyle w:val="0"/>
            </w:pPr>
            <w:r>
              <w:rPr>
                <w:sz w:val="20"/>
              </w:rPr>
              <w:t xml:space="preserve">0,6</w:t>
            </w:r>
          </w:p>
        </w:tc>
        <w:tc>
          <w:tcPr>
            <w:tcW w:w="1084" w:type="dxa"/>
          </w:tcPr>
          <w:p>
            <w:pPr>
              <w:pStyle w:val="0"/>
            </w:pPr>
            <w:r>
              <w:rPr>
                <w:sz w:val="20"/>
              </w:rPr>
              <w:t xml:space="preserve">1,0</w:t>
            </w:r>
          </w:p>
        </w:tc>
        <w:tc>
          <w:tcPr>
            <w:tcW w:w="859" w:type="dxa"/>
          </w:tcPr>
          <w:p>
            <w:pPr>
              <w:pStyle w:val="0"/>
            </w:pPr>
            <w:r>
              <w:rPr>
                <w:sz w:val="20"/>
              </w:rPr>
              <w:t xml:space="preserve">0,6</w:t>
            </w:r>
          </w:p>
        </w:tc>
        <w:tc>
          <w:tcPr>
            <w:tcW w:w="1084" w:type="dxa"/>
          </w:tcPr>
          <w:p>
            <w:pPr>
              <w:pStyle w:val="0"/>
            </w:pPr>
            <w:r>
              <w:rPr>
                <w:sz w:val="20"/>
              </w:rPr>
              <w:t xml:space="preserve">0,9</w:t>
            </w:r>
          </w:p>
        </w:tc>
        <w:tc>
          <w:tcPr>
            <w:tcW w:w="859" w:type="dxa"/>
          </w:tcPr>
          <w:p>
            <w:pPr>
              <w:pStyle w:val="0"/>
            </w:pPr>
            <w:r>
              <w:rPr>
                <w:sz w:val="20"/>
              </w:rPr>
              <w:t xml:space="preserve">0,8</w:t>
            </w:r>
          </w:p>
        </w:tc>
        <w:tc>
          <w:tcPr>
            <w:tcW w:w="1084" w:type="dxa"/>
          </w:tcPr>
          <w:p>
            <w:pPr>
              <w:pStyle w:val="0"/>
            </w:pPr>
            <w:r>
              <w:rPr>
                <w:sz w:val="20"/>
              </w:rPr>
              <w:t xml:space="preserve">0,7</w:t>
            </w:r>
          </w:p>
        </w:tc>
        <w:tc>
          <w:tcPr>
            <w:tcW w:w="859" w:type="dxa"/>
          </w:tcPr>
          <w:p>
            <w:pPr>
              <w:pStyle w:val="0"/>
            </w:pPr>
            <w:r>
              <w:rPr>
                <w:sz w:val="20"/>
              </w:rPr>
              <w:t xml:space="preserve">0,6</w:t>
            </w:r>
          </w:p>
        </w:tc>
        <w:tc>
          <w:tcPr>
            <w:tcW w:w="1084" w:type="dxa"/>
          </w:tcPr>
          <w:p>
            <w:pPr>
              <w:pStyle w:val="0"/>
            </w:pPr>
            <w:r>
              <w:rPr>
                <w:sz w:val="20"/>
              </w:rPr>
              <w:t xml:space="preserve">0,6</w:t>
            </w:r>
          </w:p>
        </w:tc>
        <w:tc>
          <w:tcPr>
            <w:tcW w:w="859" w:type="dxa"/>
          </w:tcPr>
          <w:p>
            <w:pPr>
              <w:pStyle w:val="0"/>
            </w:pPr>
            <w:r>
              <w:rPr>
                <w:sz w:val="20"/>
              </w:rPr>
              <w:t xml:space="preserve">0,5</w:t>
            </w:r>
          </w:p>
        </w:tc>
        <w:tc>
          <w:tcPr>
            <w:tcW w:w="1084" w:type="dxa"/>
          </w:tcPr>
          <w:p>
            <w:pPr>
              <w:pStyle w:val="0"/>
            </w:pPr>
            <w:r>
              <w:rPr>
                <w:sz w:val="20"/>
              </w:rPr>
              <w:t xml:space="preserve">0,9</w:t>
            </w:r>
          </w:p>
        </w:tc>
        <w:tc>
          <w:tcPr>
            <w:tcW w:w="859" w:type="dxa"/>
          </w:tcPr>
          <w:p>
            <w:pPr>
              <w:pStyle w:val="0"/>
            </w:pPr>
            <w:r>
              <w:rPr>
                <w:sz w:val="20"/>
              </w:rPr>
              <w:t xml:space="preserve">0,9</w:t>
            </w:r>
          </w:p>
        </w:tc>
        <w:tc>
          <w:tcPr>
            <w:tcW w:w="1084" w:type="dxa"/>
          </w:tcPr>
          <w:p>
            <w:pPr>
              <w:pStyle w:val="0"/>
            </w:pPr>
            <w:r>
              <w:rPr>
                <w:sz w:val="20"/>
              </w:rPr>
              <w:t xml:space="preserve">0,9</w:t>
            </w:r>
          </w:p>
        </w:tc>
        <w:tc>
          <w:tcPr>
            <w:tcW w:w="859" w:type="dxa"/>
          </w:tcPr>
          <w:p>
            <w:pPr>
              <w:pStyle w:val="0"/>
            </w:pPr>
            <w:r>
              <w:rPr>
                <w:sz w:val="20"/>
              </w:rPr>
              <w:t xml:space="preserve">0,5</w:t>
            </w:r>
          </w:p>
        </w:tc>
        <w:tc>
          <w:tcPr>
            <w:tcW w:w="1084" w:type="dxa"/>
          </w:tcPr>
          <w:p>
            <w:pPr>
              <w:pStyle w:val="0"/>
            </w:pPr>
            <w:r>
              <w:rPr>
                <w:sz w:val="20"/>
              </w:rPr>
              <w:t xml:space="preserve">0,4</w:t>
            </w:r>
          </w:p>
        </w:tc>
        <w:tc>
          <w:tcPr>
            <w:tcW w:w="859" w:type="dxa"/>
          </w:tcPr>
          <w:p>
            <w:pPr>
              <w:pStyle w:val="0"/>
            </w:pPr>
            <w:r>
              <w:rPr>
                <w:sz w:val="20"/>
              </w:rPr>
              <w:t xml:space="preserve">1,0</w:t>
            </w:r>
          </w:p>
        </w:tc>
        <w:tc>
          <w:tcPr>
            <w:tcW w:w="1084" w:type="dxa"/>
          </w:tcPr>
          <w:p>
            <w:pPr>
              <w:pStyle w:val="0"/>
            </w:pPr>
            <w:r>
              <w:rPr>
                <w:sz w:val="20"/>
              </w:rPr>
              <w:t xml:space="preserve">1,0</w:t>
            </w:r>
          </w:p>
        </w:tc>
        <w:tc>
          <w:tcPr>
            <w:tcW w:w="859" w:type="dxa"/>
          </w:tcPr>
          <w:p>
            <w:pPr>
              <w:pStyle w:val="0"/>
            </w:pPr>
            <w:r>
              <w:rPr>
                <w:sz w:val="20"/>
              </w:rPr>
              <w:t xml:space="preserve">0,7</w:t>
            </w:r>
          </w:p>
        </w:tc>
        <w:tc>
          <w:tcPr>
            <w:tcW w:w="1084" w:type="dxa"/>
          </w:tcPr>
          <w:p>
            <w:pPr>
              <w:pStyle w:val="0"/>
            </w:pPr>
            <w:r>
              <w:rPr>
                <w:sz w:val="20"/>
              </w:rPr>
              <w:t xml:space="preserve">0,6</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1,2</w:t>
            </w:r>
          </w:p>
        </w:tc>
        <w:tc>
          <w:tcPr>
            <w:tcW w:w="1084" w:type="dxa"/>
          </w:tcPr>
          <w:p>
            <w:pPr>
              <w:pStyle w:val="0"/>
            </w:pPr>
            <w:r>
              <w:rPr>
                <w:sz w:val="20"/>
              </w:rPr>
              <w:t xml:space="preserve">1,6</w:t>
            </w:r>
          </w:p>
        </w:tc>
        <w:tc>
          <w:tcPr>
            <w:tcW w:w="859" w:type="dxa"/>
          </w:tcPr>
          <w:p>
            <w:pPr>
              <w:pStyle w:val="0"/>
            </w:pPr>
            <w:r>
              <w:rPr>
                <w:sz w:val="20"/>
              </w:rPr>
              <w:t xml:space="preserve">0,1</w:t>
            </w:r>
          </w:p>
        </w:tc>
        <w:tc>
          <w:tcPr>
            <w:tcW w:w="1084" w:type="dxa"/>
          </w:tcPr>
          <w:p>
            <w:pPr>
              <w:pStyle w:val="0"/>
            </w:pPr>
            <w:r>
              <w:rPr>
                <w:sz w:val="20"/>
              </w:rPr>
              <w:t xml:space="preserve">0,3</w:t>
            </w:r>
          </w:p>
        </w:tc>
        <w:tc>
          <w:tcPr>
            <w:tcW w:w="859" w:type="dxa"/>
          </w:tcPr>
          <w:p>
            <w:pPr>
              <w:pStyle w:val="0"/>
            </w:pPr>
            <w:r>
              <w:rPr>
                <w:sz w:val="20"/>
              </w:rPr>
              <w:t xml:space="preserve">0,5</w:t>
            </w:r>
          </w:p>
        </w:tc>
        <w:tc>
          <w:tcPr>
            <w:tcW w:w="1084" w:type="dxa"/>
          </w:tcPr>
          <w:p>
            <w:pPr>
              <w:pStyle w:val="0"/>
            </w:pPr>
            <w:r>
              <w:rPr>
                <w:sz w:val="20"/>
              </w:rPr>
              <w:t xml:space="preserve">0,4</w:t>
            </w:r>
          </w:p>
        </w:tc>
        <w:tc>
          <w:tcPr>
            <w:tcW w:w="859" w:type="dxa"/>
          </w:tcPr>
          <w:p>
            <w:pPr>
              <w:pStyle w:val="0"/>
            </w:pPr>
            <w:r>
              <w:rPr>
                <w:sz w:val="20"/>
              </w:rPr>
              <w:t xml:space="preserve">0,4</w:t>
            </w:r>
          </w:p>
        </w:tc>
        <w:tc>
          <w:tcPr>
            <w:tcW w:w="1084" w:type="dxa"/>
          </w:tcPr>
          <w:p>
            <w:pPr>
              <w:pStyle w:val="0"/>
            </w:pPr>
            <w:r>
              <w:rPr>
                <w:sz w:val="20"/>
              </w:rPr>
              <w:t xml:space="preserve">0,3</w:t>
            </w:r>
          </w:p>
        </w:tc>
        <w:tc>
          <w:tcPr>
            <w:tcW w:w="859" w:type="dxa"/>
          </w:tcPr>
          <w:p>
            <w:pPr>
              <w:pStyle w:val="0"/>
            </w:pPr>
            <w:r>
              <w:rPr>
                <w:sz w:val="20"/>
              </w:rPr>
              <w:t xml:space="preserve">0,2</w:t>
            </w:r>
          </w:p>
        </w:tc>
        <w:tc>
          <w:tcPr>
            <w:tcW w:w="1084" w:type="dxa"/>
          </w:tcPr>
          <w:p>
            <w:pPr>
              <w:pStyle w:val="0"/>
            </w:pPr>
            <w:r>
              <w:rPr>
                <w:sz w:val="20"/>
              </w:rPr>
              <w:t xml:space="preserve">0,3</w:t>
            </w:r>
          </w:p>
        </w:tc>
        <w:tc>
          <w:tcPr>
            <w:tcW w:w="859" w:type="dxa"/>
          </w:tcPr>
          <w:p>
            <w:pPr>
              <w:pStyle w:val="0"/>
            </w:pPr>
            <w:r>
              <w:rPr>
                <w:sz w:val="20"/>
              </w:rPr>
              <w:t xml:space="preserve">0,6</w:t>
            </w:r>
          </w:p>
        </w:tc>
        <w:tc>
          <w:tcPr>
            <w:tcW w:w="1084" w:type="dxa"/>
          </w:tcPr>
          <w:p>
            <w:pPr>
              <w:pStyle w:val="0"/>
            </w:pPr>
            <w:r>
              <w:rPr>
                <w:sz w:val="20"/>
              </w:rPr>
              <w:t xml:space="preserve">0,6</w:t>
            </w:r>
          </w:p>
        </w:tc>
        <w:tc>
          <w:tcPr>
            <w:tcW w:w="859" w:type="dxa"/>
          </w:tcPr>
          <w:p>
            <w:pPr>
              <w:pStyle w:val="0"/>
            </w:pPr>
            <w:r>
              <w:rPr>
                <w:sz w:val="20"/>
              </w:rPr>
              <w:t xml:space="preserve">1,4</w:t>
            </w:r>
          </w:p>
        </w:tc>
        <w:tc>
          <w:tcPr>
            <w:tcW w:w="1084" w:type="dxa"/>
          </w:tcPr>
          <w:p>
            <w:pPr>
              <w:pStyle w:val="0"/>
            </w:pPr>
            <w:r>
              <w:rPr>
                <w:sz w:val="20"/>
              </w:rPr>
              <w:t xml:space="preserve">0,3</w:t>
            </w:r>
          </w:p>
        </w:tc>
        <w:tc>
          <w:tcPr>
            <w:tcW w:w="859" w:type="dxa"/>
          </w:tcPr>
          <w:p>
            <w:pPr>
              <w:pStyle w:val="0"/>
            </w:pPr>
            <w:r>
              <w:rPr>
                <w:sz w:val="20"/>
              </w:rPr>
              <w:t xml:space="preserve">0,7</w:t>
            </w:r>
          </w:p>
        </w:tc>
        <w:tc>
          <w:tcPr>
            <w:tcW w:w="1084" w:type="dxa"/>
          </w:tcPr>
          <w:p>
            <w:pPr>
              <w:pStyle w:val="0"/>
            </w:pPr>
            <w:r>
              <w:rPr>
                <w:sz w:val="20"/>
              </w:rPr>
              <w:t xml:space="preserve">0,5</w:t>
            </w:r>
          </w:p>
        </w:tc>
        <w:tc>
          <w:tcPr>
            <w:tcW w:w="859" w:type="dxa"/>
          </w:tcPr>
          <w:p>
            <w:pPr>
              <w:pStyle w:val="0"/>
            </w:pPr>
            <w:r>
              <w:rPr>
                <w:sz w:val="20"/>
              </w:rPr>
              <w:t xml:space="preserve">1,1</w:t>
            </w:r>
          </w:p>
        </w:tc>
        <w:tc>
          <w:tcPr>
            <w:tcW w:w="1084" w:type="dxa"/>
          </w:tcPr>
          <w:p>
            <w:pPr>
              <w:pStyle w:val="0"/>
            </w:pPr>
            <w:r>
              <w:rPr>
                <w:sz w:val="20"/>
              </w:rPr>
              <w:t xml:space="preserve">0,8</w:t>
            </w:r>
          </w:p>
        </w:tc>
        <w:tc>
          <w:tcPr>
            <w:tcW w:w="859" w:type="dxa"/>
          </w:tcPr>
          <w:p>
            <w:pPr>
              <w:pStyle w:val="0"/>
            </w:pPr>
            <w:r>
              <w:rPr>
                <w:sz w:val="20"/>
              </w:rPr>
              <w:t xml:space="preserve">0,5</w:t>
            </w:r>
          </w:p>
        </w:tc>
        <w:tc>
          <w:tcPr>
            <w:tcW w:w="1084" w:type="dxa"/>
          </w:tcPr>
          <w:p>
            <w:pPr>
              <w:pStyle w:val="0"/>
            </w:pPr>
            <w:r>
              <w:rPr>
                <w:sz w:val="20"/>
              </w:rPr>
              <w:t xml:space="preserve">0,4</w:t>
            </w:r>
          </w:p>
        </w:tc>
      </w:tr>
      <w:tr>
        <w:tc>
          <w:tcPr>
            <w:tcW w:w="2089" w:type="dxa"/>
            <w:vMerge w:val="restart"/>
          </w:tcPr>
          <w:p>
            <w:pPr>
              <w:pStyle w:val="0"/>
            </w:pPr>
            <w:r>
              <w:rPr>
                <w:sz w:val="20"/>
              </w:rPr>
              <w:t xml:space="preserve">ободочной кишки (С18)</w:t>
            </w:r>
          </w:p>
        </w:tc>
        <w:tc>
          <w:tcPr>
            <w:tcW w:w="850" w:type="dxa"/>
          </w:tcPr>
          <w:p>
            <w:pPr>
              <w:pStyle w:val="0"/>
            </w:pPr>
            <w:r>
              <w:rPr>
                <w:sz w:val="20"/>
              </w:rPr>
              <w:t xml:space="preserve">оба пола</w:t>
            </w:r>
          </w:p>
        </w:tc>
        <w:tc>
          <w:tcPr>
            <w:tcW w:w="859" w:type="dxa"/>
          </w:tcPr>
          <w:p>
            <w:pPr>
              <w:pStyle w:val="0"/>
            </w:pPr>
            <w:r>
              <w:rPr>
                <w:sz w:val="20"/>
              </w:rPr>
              <w:t xml:space="preserve">16,0</w:t>
            </w:r>
          </w:p>
        </w:tc>
        <w:tc>
          <w:tcPr>
            <w:tcW w:w="1084" w:type="dxa"/>
          </w:tcPr>
          <w:p>
            <w:pPr>
              <w:pStyle w:val="0"/>
            </w:pPr>
            <w:r>
              <w:rPr>
                <w:sz w:val="20"/>
              </w:rPr>
              <w:t xml:space="preserve">21,2</w:t>
            </w:r>
          </w:p>
        </w:tc>
        <w:tc>
          <w:tcPr>
            <w:tcW w:w="859" w:type="dxa"/>
          </w:tcPr>
          <w:p>
            <w:pPr>
              <w:pStyle w:val="0"/>
            </w:pPr>
            <w:r>
              <w:rPr>
                <w:sz w:val="20"/>
              </w:rPr>
              <w:t xml:space="preserve">17,4</w:t>
            </w:r>
          </w:p>
        </w:tc>
        <w:tc>
          <w:tcPr>
            <w:tcW w:w="1084" w:type="dxa"/>
          </w:tcPr>
          <w:p>
            <w:pPr>
              <w:pStyle w:val="0"/>
            </w:pPr>
            <w:r>
              <w:rPr>
                <w:sz w:val="20"/>
              </w:rPr>
              <w:t xml:space="preserve">19,9</w:t>
            </w:r>
          </w:p>
        </w:tc>
        <w:tc>
          <w:tcPr>
            <w:tcW w:w="859" w:type="dxa"/>
          </w:tcPr>
          <w:p>
            <w:pPr>
              <w:pStyle w:val="0"/>
            </w:pPr>
            <w:r>
              <w:rPr>
                <w:sz w:val="20"/>
              </w:rPr>
              <w:t xml:space="preserve">17,0</w:t>
            </w:r>
          </w:p>
        </w:tc>
        <w:tc>
          <w:tcPr>
            <w:tcW w:w="1084" w:type="dxa"/>
          </w:tcPr>
          <w:p>
            <w:pPr>
              <w:pStyle w:val="0"/>
            </w:pPr>
            <w:r>
              <w:rPr>
                <w:sz w:val="20"/>
              </w:rPr>
              <w:t xml:space="preserve">19,2</w:t>
            </w:r>
          </w:p>
        </w:tc>
        <w:tc>
          <w:tcPr>
            <w:tcW w:w="859" w:type="dxa"/>
          </w:tcPr>
          <w:p>
            <w:pPr>
              <w:pStyle w:val="0"/>
            </w:pPr>
            <w:r>
              <w:rPr>
                <w:sz w:val="20"/>
              </w:rPr>
              <w:t xml:space="preserve">19,9</w:t>
            </w:r>
          </w:p>
        </w:tc>
        <w:tc>
          <w:tcPr>
            <w:tcW w:w="1084" w:type="dxa"/>
          </w:tcPr>
          <w:p>
            <w:pPr>
              <w:pStyle w:val="0"/>
            </w:pPr>
            <w:r>
              <w:rPr>
                <w:sz w:val="20"/>
              </w:rPr>
              <w:t xml:space="preserve">22,6</w:t>
            </w:r>
          </w:p>
        </w:tc>
        <w:tc>
          <w:tcPr>
            <w:tcW w:w="859" w:type="dxa"/>
          </w:tcPr>
          <w:p>
            <w:pPr>
              <w:pStyle w:val="0"/>
            </w:pPr>
            <w:r>
              <w:rPr>
                <w:sz w:val="20"/>
              </w:rPr>
              <w:t xml:space="preserve">22,4</w:t>
            </w:r>
          </w:p>
        </w:tc>
        <w:tc>
          <w:tcPr>
            <w:tcW w:w="1084" w:type="dxa"/>
          </w:tcPr>
          <w:p>
            <w:pPr>
              <w:pStyle w:val="0"/>
            </w:pPr>
            <w:r>
              <w:rPr>
                <w:sz w:val="20"/>
              </w:rPr>
              <w:t xml:space="preserve">28,7</w:t>
            </w:r>
          </w:p>
        </w:tc>
        <w:tc>
          <w:tcPr>
            <w:tcW w:w="859" w:type="dxa"/>
          </w:tcPr>
          <w:p>
            <w:pPr>
              <w:pStyle w:val="0"/>
            </w:pPr>
            <w:r>
              <w:rPr>
                <w:sz w:val="20"/>
              </w:rPr>
              <w:t xml:space="preserve">20,3</w:t>
            </w:r>
          </w:p>
        </w:tc>
        <w:tc>
          <w:tcPr>
            <w:tcW w:w="1084" w:type="dxa"/>
          </w:tcPr>
          <w:p>
            <w:pPr>
              <w:pStyle w:val="0"/>
            </w:pPr>
            <w:r>
              <w:rPr>
                <w:sz w:val="20"/>
              </w:rPr>
              <w:t xml:space="preserve">23,0</w:t>
            </w:r>
          </w:p>
        </w:tc>
        <w:tc>
          <w:tcPr>
            <w:tcW w:w="859" w:type="dxa"/>
          </w:tcPr>
          <w:p>
            <w:pPr>
              <w:pStyle w:val="0"/>
            </w:pPr>
            <w:r>
              <w:rPr>
                <w:sz w:val="20"/>
              </w:rPr>
              <w:t xml:space="preserve">21,4</w:t>
            </w:r>
          </w:p>
        </w:tc>
        <w:tc>
          <w:tcPr>
            <w:tcW w:w="1084" w:type="dxa"/>
          </w:tcPr>
          <w:p>
            <w:pPr>
              <w:pStyle w:val="0"/>
            </w:pPr>
            <w:r>
              <w:rPr>
                <w:sz w:val="20"/>
              </w:rPr>
              <w:t xml:space="preserve">22,1</w:t>
            </w:r>
          </w:p>
        </w:tc>
        <w:tc>
          <w:tcPr>
            <w:tcW w:w="859" w:type="dxa"/>
          </w:tcPr>
          <w:p>
            <w:pPr>
              <w:pStyle w:val="0"/>
            </w:pPr>
            <w:r>
              <w:rPr>
                <w:sz w:val="20"/>
              </w:rPr>
              <w:t xml:space="preserve">22,1</w:t>
            </w:r>
          </w:p>
        </w:tc>
        <w:tc>
          <w:tcPr>
            <w:tcW w:w="1084" w:type="dxa"/>
          </w:tcPr>
          <w:p>
            <w:pPr>
              <w:pStyle w:val="0"/>
            </w:pPr>
            <w:r>
              <w:rPr>
                <w:sz w:val="20"/>
              </w:rPr>
              <w:t xml:space="preserve">17,9</w:t>
            </w:r>
          </w:p>
        </w:tc>
        <w:tc>
          <w:tcPr>
            <w:tcW w:w="859" w:type="dxa"/>
          </w:tcPr>
          <w:p>
            <w:pPr>
              <w:pStyle w:val="0"/>
            </w:pPr>
            <w:r>
              <w:rPr>
                <w:sz w:val="20"/>
              </w:rPr>
              <w:t xml:space="preserve">20,9</w:t>
            </w:r>
          </w:p>
        </w:tc>
        <w:tc>
          <w:tcPr>
            <w:tcW w:w="1084" w:type="dxa"/>
          </w:tcPr>
          <w:p>
            <w:pPr>
              <w:pStyle w:val="0"/>
            </w:pPr>
            <w:r>
              <w:rPr>
                <w:sz w:val="20"/>
              </w:rPr>
              <w:t xml:space="preserve">15,8</w:t>
            </w:r>
          </w:p>
        </w:tc>
        <w:tc>
          <w:tcPr>
            <w:tcW w:w="859" w:type="dxa"/>
          </w:tcPr>
          <w:p>
            <w:pPr>
              <w:pStyle w:val="0"/>
            </w:pPr>
            <w:r>
              <w:rPr>
                <w:sz w:val="20"/>
              </w:rPr>
              <w:t xml:space="preserve">22,7</w:t>
            </w:r>
          </w:p>
        </w:tc>
        <w:tc>
          <w:tcPr>
            <w:tcW w:w="1084" w:type="dxa"/>
          </w:tcPr>
          <w:p>
            <w:pPr>
              <w:pStyle w:val="0"/>
            </w:pPr>
            <w:r>
              <w:rPr>
                <w:sz w:val="20"/>
              </w:rPr>
              <w:t xml:space="preserve">17,7</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15,0</w:t>
            </w:r>
          </w:p>
        </w:tc>
        <w:tc>
          <w:tcPr>
            <w:tcW w:w="1084" w:type="dxa"/>
          </w:tcPr>
          <w:p>
            <w:pPr>
              <w:pStyle w:val="0"/>
            </w:pPr>
            <w:r>
              <w:rPr>
                <w:sz w:val="20"/>
              </w:rPr>
              <w:t xml:space="preserve">31,2</w:t>
            </w:r>
          </w:p>
        </w:tc>
        <w:tc>
          <w:tcPr>
            <w:tcW w:w="859" w:type="dxa"/>
          </w:tcPr>
          <w:p>
            <w:pPr>
              <w:pStyle w:val="0"/>
            </w:pPr>
            <w:r>
              <w:rPr>
                <w:sz w:val="20"/>
              </w:rPr>
              <w:t xml:space="preserve">16,4</w:t>
            </w:r>
          </w:p>
        </w:tc>
        <w:tc>
          <w:tcPr>
            <w:tcW w:w="1084" w:type="dxa"/>
          </w:tcPr>
          <w:p>
            <w:pPr>
              <w:pStyle w:val="0"/>
            </w:pPr>
            <w:r>
              <w:rPr>
                <w:sz w:val="20"/>
              </w:rPr>
              <w:t xml:space="preserve">23,6</w:t>
            </w:r>
          </w:p>
        </w:tc>
        <w:tc>
          <w:tcPr>
            <w:tcW w:w="859" w:type="dxa"/>
          </w:tcPr>
          <w:p>
            <w:pPr>
              <w:pStyle w:val="0"/>
            </w:pPr>
            <w:r>
              <w:rPr>
                <w:sz w:val="20"/>
              </w:rPr>
              <w:t xml:space="preserve">16,5</w:t>
            </w:r>
          </w:p>
        </w:tc>
        <w:tc>
          <w:tcPr>
            <w:tcW w:w="1084" w:type="dxa"/>
          </w:tcPr>
          <w:p>
            <w:pPr>
              <w:pStyle w:val="0"/>
            </w:pPr>
            <w:r>
              <w:rPr>
                <w:sz w:val="20"/>
              </w:rPr>
              <w:t xml:space="preserve">21,0</w:t>
            </w:r>
          </w:p>
        </w:tc>
        <w:tc>
          <w:tcPr>
            <w:tcW w:w="859" w:type="dxa"/>
          </w:tcPr>
          <w:p>
            <w:pPr>
              <w:pStyle w:val="0"/>
            </w:pPr>
            <w:r>
              <w:rPr>
                <w:sz w:val="20"/>
              </w:rPr>
              <w:t xml:space="preserve">18,2</w:t>
            </w:r>
          </w:p>
        </w:tc>
        <w:tc>
          <w:tcPr>
            <w:tcW w:w="1084" w:type="dxa"/>
          </w:tcPr>
          <w:p>
            <w:pPr>
              <w:pStyle w:val="0"/>
            </w:pPr>
            <w:r>
              <w:rPr>
                <w:sz w:val="20"/>
              </w:rPr>
              <w:t xml:space="preserve">26,0</w:t>
            </w:r>
          </w:p>
        </w:tc>
        <w:tc>
          <w:tcPr>
            <w:tcW w:w="859" w:type="dxa"/>
          </w:tcPr>
          <w:p>
            <w:pPr>
              <w:pStyle w:val="0"/>
            </w:pPr>
            <w:r>
              <w:rPr>
                <w:sz w:val="20"/>
              </w:rPr>
              <w:t xml:space="preserve">21,8</w:t>
            </w:r>
          </w:p>
        </w:tc>
        <w:tc>
          <w:tcPr>
            <w:tcW w:w="1084" w:type="dxa"/>
          </w:tcPr>
          <w:p>
            <w:pPr>
              <w:pStyle w:val="0"/>
            </w:pPr>
            <w:r>
              <w:rPr>
                <w:sz w:val="20"/>
              </w:rPr>
              <w:t xml:space="preserve">34,9</w:t>
            </w:r>
          </w:p>
        </w:tc>
        <w:tc>
          <w:tcPr>
            <w:tcW w:w="859" w:type="dxa"/>
          </w:tcPr>
          <w:p>
            <w:pPr>
              <w:pStyle w:val="0"/>
            </w:pPr>
            <w:r>
              <w:rPr>
                <w:sz w:val="20"/>
              </w:rPr>
              <w:t xml:space="preserve">18,7</w:t>
            </w:r>
          </w:p>
        </w:tc>
        <w:tc>
          <w:tcPr>
            <w:tcW w:w="1084" w:type="dxa"/>
          </w:tcPr>
          <w:p>
            <w:pPr>
              <w:pStyle w:val="0"/>
            </w:pPr>
            <w:r>
              <w:rPr>
                <w:sz w:val="20"/>
              </w:rPr>
              <w:t xml:space="preserve">25,7</w:t>
            </w:r>
          </w:p>
        </w:tc>
        <w:tc>
          <w:tcPr>
            <w:tcW w:w="859" w:type="dxa"/>
          </w:tcPr>
          <w:p>
            <w:pPr>
              <w:pStyle w:val="0"/>
            </w:pPr>
            <w:r>
              <w:rPr>
                <w:sz w:val="20"/>
              </w:rPr>
              <w:t xml:space="preserve">21,3</w:t>
            </w:r>
          </w:p>
        </w:tc>
        <w:tc>
          <w:tcPr>
            <w:tcW w:w="1084" w:type="dxa"/>
          </w:tcPr>
          <w:p>
            <w:pPr>
              <w:pStyle w:val="0"/>
            </w:pPr>
            <w:r>
              <w:rPr>
                <w:sz w:val="20"/>
              </w:rPr>
              <w:t xml:space="preserve">24,3</w:t>
            </w:r>
          </w:p>
        </w:tc>
        <w:tc>
          <w:tcPr>
            <w:tcW w:w="859" w:type="dxa"/>
          </w:tcPr>
          <w:p>
            <w:pPr>
              <w:pStyle w:val="0"/>
            </w:pPr>
            <w:r>
              <w:rPr>
                <w:sz w:val="20"/>
              </w:rPr>
              <w:t xml:space="preserve">20,7</w:t>
            </w:r>
          </w:p>
        </w:tc>
        <w:tc>
          <w:tcPr>
            <w:tcW w:w="1084" w:type="dxa"/>
          </w:tcPr>
          <w:p>
            <w:pPr>
              <w:pStyle w:val="0"/>
            </w:pPr>
            <w:r>
              <w:rPr>
                <w:sz w:val="20"/>
              </w:rPr>
              <w:t xml:space="preserve">25,0</w:t>
            </w:r>
          </w:p>
        </w:tc>
        <w:tc>
          <w:tcPr>
            <w:tcW w:w="859" w:type="dxa"/>
          </w:tcPr>
          <w:p>
            <w:pPr>
              <w:pStyle w:val="0"/>
            </w:pPr>
            <w:r>
              <w:rPr>
                <w:sz w:val="20"/>
              </w:rPr>
              <w:t xml:space="preserve">19,6</w:t>
            </w:r>
          </w:p>
        </w:tc>
        <w:tc>
          <w:tcPr>
            <w:tcW w:w="1084" w:type="dxa"/>
          </w:tcPr>
          <w:p>
            <w:pPr>
              <w:pStyle w:val="0"/>
            </w:pPr>
            <w:r>
              <w:rPr>
                <w:sz w:val="20"/>
              </w:rPr>
              <w:t xml:space="preserve">17,5</w:t>
            </w:r>
          </w:p>
        </w:tc>
        <w:tc>
          <w:tcPr>
            <w:tcW w:w="859" w:type="dxa"/>
          </w:tcPr>
          <w:p>
            <w:pPr>
              <w:pStyle w:val="0"/>
            </w:pPr>
            <w:r>
              <w:rPr>
                <w:sz w:val="20"/>
              </w:rPr>
              <w:t xml:space="preserve">21,5</w:t>
            </w:r>
          </w:p>
        </w:tc>
        <w:tc>
          <w:tcPr>
            <w:tcW w:w="1084" w:type="dxa"/>
          </w:tcPr>
          <w:p>
            <w:pPr>
              <w:pStyle w:val="0"/>
            </w:pPr>
            <w:r>
              <w:rPr>
                <w:sz w:val="20"/>
              </w:rPr>
              <w:t xml:space="preserve">20,9</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16,7</w:t>
            </w:r>
          </w:p>
        </w:tc>
        <w:tc>
          <w:tcPr>
            <w:tcW w:w="1084" w:type="dxa"/>
          </w:tcPr>
          <w:p>
            <w:pPr>
              <w:pStyle w:val="0"/>
            </w:pPr>
            <w:r>
              <w:rPr>
                <w:sz w:val="20"/>
              </w:rPr>
              <w:t xml:space="preserve">17,4</w:t>
            </w:r>
          </w:p>
        </w:tc>
        <w:tc>
          <w:tcPr>
            <w:tcW w:w="859" w:type="dxa"/>
          </w:tcPr>
          <w:p>
            <w:pPr>
              <w:pStyle w:val="0"/>
            </w:pPr>
            <w:r>
              <w:rPr>
                <w:sz w:val="20"/>
              </w:rPr>
              <w:t xml:space="preserve">18,3</w:t>
            </w:r>
          </w:p>
        </w:tc>
        <w:tc>
          <w:tcPr>
            <w:tcW w:w="1084" w:type="dxa"/>
          </w:tcPr>
          <w:p>
            <w:pPr>
              <w:pStyle w:val="0"/>
            </w:pPr>
            <w:r>
              <w:rPr>
                <w:sz w:val="20"/>
              </w:rPr>
              <w:t xml:space="preserve">17,8</w:t>
            </w:r>
          </w:p>
        </w:tc>
        <w:tc>
          <w:tcPr>
            <w:tcW w:w="859" w:type="dxa"/>
          </w:tcPr>
          <w:p>
            <w:pPr>
              <w:pStyle w:val="0"/>
            </w:pPr>
            <w:r>
              <w:rPr>
                <w:sz w:val="20"/>
              </w:rPr>
              <w:t xml:space="preserve">17,5</w:t>
            </w:r>
          </w:p>
        </w:tc>
        <w:tc>
          <w:tcPr>
            <w:tcW w:w="1084" w:type="dxa"/>
          </w:tcPr>
          <w:p>
            <w:pPr>
              <w:pStyle w:val="0"/>
            </w:pPr>
            <w:r>
              <w:rPr>
                <w:sz w:val="20"/>
              </w:rPr>
              <w:t xml:space="preserve">18,3</w:t>
            </w:r>
          </w:p>
        </w:tc>
        <w:tc>
          <w:tcPr>
            <w:tcW w:w="859" w:type="dxa"/>
          </w:tcPr>
          <w:p>
            <w:pPr>
              <w:pStyle w:val="0"/>
            </w:pPr>
            <w:r>
              <w:rPr>
                <w:sz w:val="20"/>
              </w:rPr>
              <w:t xml:space="preserve">21,7</w:t>
            </w:r>
          </w:p>
        </w:tc>
        <w:tc>
          <w:tcPr>
            <w:tcW w:w="1084" w:type="dxa"/>
          </w:tcPr>
          <w:p>
            <w:pPr>
              <w:pStyle w:val="0"/>
            </w:pPr>
            <w:r>
              <w:rPr>
                <w:sz w:val="20"/>
              </w:rPr>
              <w:t xml:space="preserve">20,4</w:t>
            </w:r>
          </w:p>
        </w:tc>
        <w:tc>
          <w:tcPr>
            <w:tcW w:w="859" w:type="dxa"/>
          </w:tcPr>
          <w:p>
            <w:pPr>
              <w:pStyle w:val="0"/>
            </w:pPr>
            <w:r>
              <w:rPr>
                <w:sz w:val="20"/>
              </w:rPr>
              <w:t xml:space="preserve">22,9</w:t>
            </w:r>
          </w:p>
        </w:tc>
        <w:tc>
          <w:tcPr>
            <w:tcW w:w="1084" w:type="dxa"/>
          </w:tcPr>
          <w:p>
            <w:pPr>
              <w:pStyle w:val="0"/>
            </w:pPr>
            <w:r>
              <w:rPr>
                <w:sz w:val="20"/>
              </w:rPr>
              <w:t xml:space="preserve">25,7</w:t>
            </w:r>
          </w:p>
        </w:tc>
        <w:tc>
          <w:tcPr>
            <w:tcW w:w="859" w:type="dxa"/>
          </w:tcPr>
          <w:p>
            <w:pPr>
              <w:pStyle w:val="0"/>
            </w:pPr>
            <w:r>
              <w:rPr>
                <w:sz w:val="20"/>
              </w:rPr>
              <w:t xml:space="preserve">21,9</w:t>
            </w:r>
          </w:p>
        </w:tc>
        <w:tc>
          <w:tcPr>
            <w:tcW w:w="1084" w:type="dxa"/>
          </w:tcPr>
          <w:p>
            <w:pPr>
              <w:pStyle w:val="0"/>
            </w:pPr>
            <w:r>
              <w:rPr>
                <w:sz w:val="20"/>
              </w:rPr>
              <w:t xml:space="preserve">21,5</w:t>
            </w:r>
          </w:p>
        </w:tc>
        <w:tc>
          <w:tcPr>
            <w:tcW w:w="859" w:type="dxa"/>
          </w:tcPr>
          <w:p>
            <w:pPr>
              <w:pStyle w:val="0"/>
            </w:pPr>
            <w:r>
              <w:rPr>
                <w:sz w:val="20"/>
              </w:rPr>
              <w:t xml:space="preserve">21,5</w:t>
            </w:r>
          </w:p>
        </w:tc>
        <w:tc>
          <w:tcPr>
            <w:tcW w:w="1084" w:type="dxa"/>
          </w:tcPr>
          <w:p>
            <w:pPr>
              <w:pStyle w:val="0"/>
            </w:pPr>
            <w:r>
              <w:rPr>
                <w:sz w:val="20"/>
              </w:rPr>
              <w:t xml:space="preserve">20,4</w:t>
            </w:r>
          </w:p>
        </w:tc>
        <w:tc>
          <w:tcPr>
            <w:tcW w:w="859" w:type="dxa"/>
          </w:tcPr>
          <w:p>
            <w:pPr>
              <w:pStyle w:val="0"/>
            </w:pPr>
            <w:r>
              <w:rPr>
                <w:sz w:val="20"/>
              </w:rPr>
              <w:t xml:space="preserve">23,4</w:t>
            </w:r>
          </w:p>
        </w:tc>
        <w:tc>
          <w:tcPr>
            <w:tcW w:w="1084" w:type="dxa"/>
          </w:tcPr>
          <w:p>
            <w:pPr>
              <w:pStyle w:val="0"/>
            </w:pPr>
            <w:r>
              <w:rPr>
                <w:sz w:val="20"/>
              </w:rPr>
              <w:t xml:space="preserve">13,8</w:t>
            </w:r>
          </w:p>
        </w:tc>
        <w:tc>
          <w:tcPr>
            <w:tcW w:w="859" w:type="dxa"/>
          </w:tcPr>
          <w:p>
            <w:pPr>
              <w:pStyle w:val="0"/>
            </w:pPr>
            <w:r>
              <w:rPr>
                <w:sz w:val="20"/>
              </w:rPr>
              <w:t xml:space="preserve">22,1</w:t>
            </w:r>
          </w:p>
        </w:tc>
        <w:tc>
          <w:tcPr>
            <w:tcW w:w="1084" w:type="dxa"/>
          </w:tcPr>
          <w:p>
            <w:pPr>
              <w:pStyle w:val="0"/>
            </w:pPr>
            <w:r>
              <w:rPr>
                <w:sz w:val="20"/>
              </w:rPr>
              <w:t xml:space="preserve">14,8</w:t>
            </w:r>
          </w:p>
        </w:tc>
        <w:tc>
          <w:tcPr>
            <w:tcW w:w="859" w:type="dxa"/>
          </w:tcPr>
          <w:p>
            <w:pPr>
              <w:pStyle w:val="0"/>
            </w:pPr>
            <w:r>
              <w:rPr>
                <w:sz w:val="20"/>
              </w:rPr>
              <w:t xml:space="preserve">23,9</w:t>
            </w:r>
          </w:p>
        </w:tc>
        <w:tc>
          <w:tcPr>
            <w:tcW w:w="1084" w:type="dxa"/>
          </w:tcPr>
          <w:p>
            <w:pPr>
              <w:pStyle w:val="0"/>
            </w:pPr>
            <w:r>
              <w:rPr>
                <w:sz w:val="20"/>
              </w:rPr>
              <w:t xml:space="preserve">15,8</w:t>
            </w:r>
          </w:p>
        </w:tc>
      </w:tr>
      <w:tr>
        <w:tc>
          <w:tcPr>
            <w:tcW w:w="2089" w:type="dxa"/>
            <w:vMerge w:val="restart"/>
          </w:tcPr>
          <w:p>
            <w:pPr>
              <w:pStyle w:val="0"/>
            </w:pPr>
            <w:r>
              <w:rPr>
                <w:sz w:val="20"/>
              </w:rPr>
              <w:t xml:space="preserve">прямой кишки, ректосигмоидного соединения, ануса (С19 - 21)</w:t>
            </w:r>
          </w:p>
        </w:tc>
        <w:tc>
          <w:tcPr>
            <w:tcW w:w="850" w:type="dxa"/>
          </w:tcPr>
          <w:p>
            <w:pPr>
              <w:pStyle w:val="0"/>
            </w:pPr>
            <w:r>
              <w:rPr>
                <w:sz w:val="20"/>
              </w:rPr>
              <w:t xml:space="preserve">оба пола</w:t>
            </w:r>
          </w:p>
        </w:tc>
        <w:tc>
          <w:tcPr>
            <w:tcW w:w="859" w:type="dxa"/>
          </w:tcPr>
          <w:p>
            <w:pPr>
              <w:pStyle w:val="0"/>
            </w:pPr>
            <w:r>
              <w:rPr>
                <w:sz w:val="20"/>
              </w:rPr>
              <w:t xml:space="preserve">13,0</w:t>
            </w:r>
          </w:p>
        </w:tc>
        <w:tc>
          <w:tcPr>
            <w:tcW w:w="1084" w:type="dxa"/>
          </w:tcPr>
          <w:p>
            <w:pPr>
              <w:pStyle w:val="0"/>
            </w:pPr>
            <w:r>
              <w:rPr>
                <w:sz w:val="20"/>
              </w:rPr>
              <w:t xml:space="preserve">17,1</w:t>
            </w:r>
          </w:p>
        </w:tc>
        <w:tc>
          <w:tcPr>
            <w:tcW w:w="859" w:type="dxa"/>
          </w:tcPr>
          <w:p>
            <w:pPr>
              <w:pStyle w:val="0"/>
            </w:pPr>
            <w:r>
              <w:rPr>
                <w:sz w:val="20"/>
              </w:rPr>
              <w:t xml:space="preserve">13,7</w:t>
            </w:r>
          </w:p>
        </w:tc>
        <w:tc>
          <w:tcPr>
            <w:tcW w:w="1084" w:type="dxa"/>
          </w:tcPr>
          <w:p>
            <w:pPr>
              <w:pStyle w:val="0"/>
            </w:pPr>
            <w:r>
              <w:rPr>
                <w:sz w:val="20"/>
              </w:rPr>
              <w:t xml:space="preserve">14,5</w:t>
            </w:r>
          </w:p>
        </w:tc>
        <w:tc>
          <w:tcPr>
            <w:tcW w:w="859" w:type="dxa"/>
          </w:tcPr>
          <w:p>
            <w:pPr>
              <w:pStyle w:val="0"/>
            </w:pPr>
            <w:r>
              <w:rPr>
                <w:sz w:val="20"/>
              </w:rPr>
              <w:t xml:space="preserve">14,2</w:t>
            </w:r>
          </w:p>
        </w:tc>
        <w:tc>
          <w:tcPr>
            <w:tcW w:w="1084" w:type="dxa"/>
          </w:tcPr>
          <w:p>
            <w:pPr>
              <w:pStyle w:val="0"/>
            </w:pPr>
            <w:r>
              <w:rPr>
                <w:sz w:val="20"/>
              </w:rPr>
              <w:t xml:space="preserve">3,8</w:t>
            </w:r>
          </w:p>
        </w:tc>
        <w:tc>
          <w:tcPr>
            <w:tcW w:w="859" w:type="dxa"/>
          </w:tcPr>
          <w:p>
            <w:pPr>
              <w:pStyle w:val="0"/>
            </w:pPr>
            <w:r>
              <w:rPr>
                <w:sz w:val="20"/>
              </w:rPr>
              <w:t xml:space="preserve">16,7</w:t>
            </w:r>
          </w:p>
        </w:tc>
        <w:tc>
          <w:tcPr>
            <w:tcW w:w="1084" w:type="dxa"/>
          </w:tcPr>
          <w:p>
            <w:pPr>
              <w:pStyle w:val="0"/>
            </w:pPr>
            <w:r>
              <w:rPr>
                <w:sz w:val="20"/>
              </w:rPr>
              <w:t xml:space="preserve">19,9</w:t>
            </w:r>
          </w:p>
        </w:tc>
        <w:tc>
          <w:tcPr>
            <w:tcW w:w="859" w:type="dxa"/>
          </w:tcPr>
          <w:p>
            <w:pPr>
              <w:pStyle w:val="0"/>
            </w:pPr>
            <w:r>
              <w:rPr>
                <w:sz w:val="20"/>
              </w:rPr>
              <w:t xml:space="preserve">17,2</w:t>
            </w:r>
          </w:p>
        </w:tc>
        <w:tc>
          <w:tcPr>
            <w:tcW w:w="1084" w:type="dxa"/>
          </w:tcPr>
          <w:p>
            <w:pPr>
              <w:pStyle w:val="0"/>
            </w:pPr>
            <w:r>
              <w:rPr>
                <w:sz w:val="20"/>
              </w:rPr>
              <w:t xml:space="preserve">22,2</w:t>
            </w:r>
          </w:p>
        </w:tc>
        <w:tc>
          <w:tcPr>
            <w:tcW w:w="859" w:type="dxa"/>
          </w:tcPr>
          <w:p>
            <w:pPr>
              <w:pStyle w:val="0"/>
            </w:pPr>
            <w:r>
              <w:rPr>
                <w:sz w:val="20"/>
              </w:rPr>
              <w:t xml:space="preserve">16,0</w:t>
            </w:r>
          </w:p>
        </w:tc>
        <w:tc>
          <w:tcPr>
            <w:tcW w:w="1084" w:type="dxa"/>
          </w:tcPr>
          <w:p>
            <w:pPr>
              <w:pStyle w:val="0"/>
            </w:pPr>
            <w:r>
              <w:rPr>
                <w:sz w:val="20"/>
              </w:rPr>
              <w:t xml:space="preserve">16,8</w:t>
            </w:r>
          </w:p>
        </w:tc>
        <w:tc>
          <w:tcPr>
            <w:tcW w:w="859" w:type="dxa"/>
          </w:tcPr>
          <w:p>
            <w:pPr>
              <w:pStyle w:val="0"/>
            </w:pPr>
            <w:r>
              <w:rPr>
                <w:sz w:val="20"/>
              </w:rPr>
              <w:t xml:space="preserve">13,8</w:t>
            </w:r>
          </w:p>
        </w:tc>
        <w:tc>
          <w:tcPr>
            <w:tcW w:w="1084" w:type="dxa"/>
          </w:tcPr>
          <w:p>
            <w:pPr>
              <w:pStyle w:val="0"/>
            </w:pPr>
            <w:r>
              <w:rPr>
                <w:sz w:val="20"/>
              </w:rPr>
              <w:t xml:space="preserve">13,2</w:t>
            </w:r>
          </w:p>
        </w:tc>
        <w:tc>
          <w:tcPr>
            <w:tcW w:w="859" w:type="dxa"/>
          </w:tcPr>
          <w:p>
            <w:pPr>
              <w:pStyle w:val="0"/>
            </w:pPr>
            <w:r>
              <w:rPr>
                <w:sz w:val="20"/>
              </w:rPr>
              <w:t xml:space="preserve">14,4</w:t>
            </w:r>
          </w:p>
        </w:tc>
        <w:tc>
          <w:tcPr>
            <w:tcW w:w="1084" w:type="dxa"/>
          </w:tcPr>
          <w:p>
            <w:pPr>
              <w:pStyle w:val="0"/>
            </w:pPr>
            <w:r>
              <w:rPr>
                <w:sz w:val="20"/>
              </w:rPr>
              <w:t xml:space="preserve">10,8</w:t>
            </w:r>
          </w:p>
        </w:tc>
        <w:tc>
          <w:tcPr>
            <w:tcW w:w="859" w:type="dxa"/>
          </w:tcPr>
          <w:p>
            <w:pPr>
              <w:pStyle w:val="0"/>
            </w:pPr>
            <w:r>
              <w:rPr>
                <w:sz w:val="20"/>
              </w:rPr>
              <w:t xml:space="preserve">14,6</w:t>
            </w:r>
          </w:p>
        </w:tc>
        <w:tc>
          <w:tcPr>
            <w:tcW w:w="1084" w:type="dxa"/>
          </w:tcPr>
          <w:p>
            <w:pPr>
              <w:pStyle w:val="0"/>
            </w:pPr>
            <w:r>
              <w:rPr>
                <w:sz w:val="20"/>
              </w:rPr>
              <w:t xml:space="preserve">10,9</w:t>
            </w:r>
          </w:p>
        </w:tc>
        <w:tc>
          <w:tcPr>
            <w:tcW w:w="859" w:type="dxa"/>
          </w:tcPr>
          <w:p>
            <w:pPr>
              <w:pStyle w:val="0"/>
            </w:pPr>
            <w:r>
              <w:rPr>
                <w:sz w:val="20"/>
              </w:rPr>
              <w:t xml:space="preserve">16,2</w:t>
            </w:r>
          </w:p>
        </w:tc>
        <w:tc>
          <w:tcPr>
            <w:tcW w:w="1084" w:type="dxa"/>
          </w:tcPr>
          <w:p>
            <w:pPr>
              <w:pStyle w:val="0"/>
            </w:pPr>
            <w:r>
              <w:rPr>
                <w:sz w:val="20"/>
              </w:rPr>
              <w:t xml:space="preserve">12,0</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14,2</w:t>
            </w:r>
          </w:p>
        </w:tc>
        <w:tc>
          <w:tcPr>
            <w:tcW w:w="1084" w:type="dxa"/>
          </w:tcPr>
          <w:p>
            <w:pPr>
              <w:pStyle w:val="0"/>
            </w:pPr>
            <w:r>
              <w:rPr>
                <w:sz w:val="20"/>
              </w:rPr>
              <w:t xml:space="preserve">26,2</w:t>
            </w:r>
          </w:p>
        </w:tc>
        <w:tc>
          <w:tcPr>
            <w:tcW w:w="859" w:type="dxa"/>
          </w:tcPr>
          <w:p>
            <w:pPr>
              <w:pStyle w:val="0"/>
            </w:pPr>
            <w:r>
              <w:rPr>
                <w:sz w:val="20"/>
              </w:rPr>
              <w:t xml:space="preserve">15,7</w:t>
            </w:r>
          </w:p>
        </w:tc>
        <w:tc>
          <w:tcPr>
            <w:tcW w:w="1084" w:type="dxa"/>
          </w:tcPr>
          <w:p>
            <w:pPr>
              <w:pStyle w:val="0"/>
            </w:pPr>
            <w:r>
              <w:rPr>
                <w:sz w:val="20"/>
              </w:rPr>
              <w:t xml:space="preserve">20,1</w:t>
            </w:r>
          </w:p>
        </w:tc>
        <w:tc>
          <w:tcPr>
            <w:tcW w:w="859" w:type="dxa"/>
          </w:tcPr>
          <w:p>
            <w:pPr>
              <w:pStyle w:val="0"/>
            </w:pPr>
            <w:r>
              <w:rPr>
                <w:sz w:val="20"/>
              </w:rPr>
              <w:t xml:space="preserve">14,2</w:t>
            </w:r>
          </w:p>
        </w:tc>
        <w:tc>
          <w:tcPr>
            <w:tcW w:w="1084" w:type="dxa"/>
          </w:tcPr>
          <w:p>
            <w:pPr>
              <w:pStyle w:val="0"/>
            </w:pPr>
            <w:r>
              <w:rPr>
                <w:sz w:val="20"/>
              </w:rPr>
              <w:t xml:space="preserve">20,4</w:t>
            </w:r>
          </w:p>
        </w:tc>
        <w:tc>
          <w:tcPr>
            <w:tcW w:w="859" w:type="dxa"/>
          </w:tcPr>
          <w:p>
            <w:pPr>
              <w:pStyle w:val="0"/>
            </w:pPr>
            <w:r>
              <w:rPr>
                <w:sz w:val="20"/>
              </w:rPr>
              <w:t xml:space="preserve">17,9</w:t>
            </w:r>
          </w:p>
        </w:tc>
        <w:tc>
          <w:tcPr>
            <w:tcW w:w="1084" w:type="dxa"/>
          </w:tcPr>
          <w:p>
            <w:pPr>
              <w:pStyle w:val="0"/>
            </w:pPr>
            <w:r>
              <w:rPr>
                <w:sz w:val="20"/>
              </w:rPr>
              <w:t xml:space="preserve">22,8</w:t>
            </w:r>
          </w:p>
        </w:tc>
        <w:tc>
          <w:tcPr>
            <w:tcW w:w="859" w:type="dxa"/>
          </w:tcPr>
          <w:p>
            <w:pPr>
              <w:pStyle w:val="0"/>
            </w:pPr>
            <w:r>
              <w:rPr>
                <w:sz w:val="20"/>
              </w:rPr>
              <w:t xml:space="preserve">18,5</w:t>
            </w:r>
          </w:p>
        </w:tc>
        <w:tc>
          <w:tcPr>
            <w:tcW w:w="1084" w:type="dxa"/>
          </w:tcPr>
          <w:p>
            <w:pPr>
              <w:pStyle w:val="0"/>
            </w:pPr>
            <w:r>
              <w:rPr>
                <w:sz w:val="20"/>
              </w:rPr>
              <w:t xml:space="preserve">30,5</w:t>
            </w:r>
          </w:p>
        </w:tc>
        <w:tc>
          <w:tcPr>
            <w:tcW w:w="859" w:type="dxa"/>
          </w:tcPr>
          <w:p>
            <w:pPr>
              <w:pStyle w:val="0"/>
            </w:pPr>
            <w:r>
              <w:rPr>
                <w:sz w:val="20"/>
              </w:rPr>
              <w:t xml:space="preserve">18,7</w:t>
            </w:r>
          </w:p>
        </w:tc>
        <w:tc>
          <w:tcPr>
            <w:tcW w:w="1084" w:type="dxa"/>
          </w:tcPr>
          <w:p>
            <w:pPr>
              <w:pStyle w:val="0"/>
            </w:pPr>
            <w:r>
              <w:rPr>
                <w:sz w:val="20"/>
              </w:rPr>
              <w:t xml:space="preserve">25,9</w:t>
            </w:r>
          </w:p>
        </w:tc>
        <w:tc>
          <w:tcPr>
            <w:tcW w:w="859" w:type="dxa"/>
          </w:tcPr>
          <w:p>
            <w:pPr>
              <w:pStyle w:val="0"/>
            </w:pPr>
            <w:r>
              <w:rPr>
                <w:sz w:val="20"/>
              </w:rPr>
              <w:t xml:space="preserve">18,2</w:t>
            </w:r>
          </w:p>
        </w:tc>
        <w:tc>
          <w:tcPr>
            <w:tcW w:w="1084" w:type="dxa"/>
          </w:tcPr>
          <w:p>
            <w:pPr>
              <w:pStyle w:val="0"/>
            </w:pPr>
            <w:r>
              <w:rPr>
                <w:sz w:val="20"/>
              </w:rPr>
              <w:t xml:space="preserve">19,9</w:t>
            </w:r>
          </w:p>
        </w:tc>
        <w:tc>
          <w:tcPr>
            <w:tcW w:w="859" w:type="dxa"/>
          </w:tcPr>
          <w:p>
            <w:pPr>
              <w:pStyle w:val="0"/>
            </w:pPr>
            <w:r>
              <w:rPr>
                <w:sz w:val="20"/>
              </w:rPr>
              <w:t xml:space="preserve">17,2</w:t>
            </w:r>
          </w:p>
        </w:tc>
        <w:tc>
          <w:tcPr>
            <w:tcW w:w="1084" w:type="dxa"/>
          </w:tcPr>
          <w:p>
            <w:pPr>
              <w:pStyle w:val="0"/>
            </w:pPr>
            <w:r>
              <w:rPr>
                <w:sz w:val="20"/>
              </w:rPr>
              <w:t xml:space="preserve">16,8</w:t>
            </w:r>
          </w:p>
        </w:tc>
        <w:tc>
          <w:tcPr>
            <w:tcW w:w="859" w:type="dxa"/>
          </w:tcPr>
          <w:p>
            <w:pPr>
              <w:pStyle w:val="0"/>
            </w:pPr>
            <w:r>
              <w:rPr>
                <w:sz w:val="20"/>
              </w:rPr>
              <w:t xml:space="preserve">14,6</w:t>
            </w:r>
          </w:p>
        </w:tc>
        <w:tc>
          <w:tcPr>
            <w:tcW w:w="1084" w:type="dxa"/>
          </w:tcPr>
          <w:p>
            <w:pPr>
              <w:pStyle w:val="0"/>
            </w:pPr>
            <w:r>
              <w:rPr>
                <w:sz w:val="20"/>
              </w:rPr>
              <w:t xml:space="preserve">12,1</w:t>
            </w:r>
          </w:p>
        </w:tc>
        <w:tc>
          <w:tcPr>
            <w:tcW w:w="859" w:type="dxa"/>
          </w:tcPr>
          <w:p>
            <w:pPr>
              <w:pStyle w:val="0"/>
            </w:pPr>
            <w:r>
              <w:rPr>
                <w:sz w:val="20"/>
              </w:rPr>
              <w:t xml:space="preserve">19,1</w:t>
            </w:r>
          </w:p>
        </w:tc>
        <w:tc>
          <w:tcPr>
            <w:tcW w:w="1084" w:type="dxa"/>
          </w:tcPr>
          <w:p>
            <w:pPr>
              <w:pStyle w:val="0"/>
            </w:pPr>
            <w:r>
              <w:rPr>
                <w:sz w:val="20"/>
              </w:rPr>
              <w:t xml:space="preserve">16,6</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11,8</w:t>
            </w:r>
          </w:p>
        </w:tc>
        <w:tc>
          <w:tcPr>
            <w:tcW w:w="1084" w:type="dxa"/>
          </w:tcPr>
          <w:p>
            <w:pPr>
              <w:pStyle w:val="0"/>
            </w:pPr>
            <w:r>
              <w:rPr>
                <w:sz w:val="20"/>
              </w:rPr>
              <w:t xml:space="preserve">13,3</w:t>
            </w:r>
          </w:p>
        </w:tc>
        <w:tc>
          <w:tcPr>
            <w:tcW w:w="859" w:type="dxa"/>
          </w:tcPr>
          <w:p>
            <w:pPr>
              <w:pStyle w:val="0"/>
            </w:pPr>
            <w:r>
              <w:rPr>
                <w:sz w:val="20"/>
              </w:rPr>
              <w:t xml:space="preserve">11,8</w:t>
            </w:r>
          </w:p>
        </w:tc>
        <w:tc>
          <w:tcPr>
            <w:tcW w:w="1084" w:type="dxa"/>
          </w:tcPr>
          <w:p>
            <w:pPr>
              <w:pStyle w:val="0"/>
            </w:pPr>
            <w:r>
              <w:rPr>
                <w:sz w:val="20"/>
              </w:rPr>
              <w:t xml:space="preserve">11,0</w:t>
            </w:r>
          </w:p>
        </w:tc>
        <w:tc>
          <w:tcPr>
            <w:tcW w:w="859" w:type="dxa"/>
          </w:tcPr>
          <w:p>
            <w:pPr>
              <w:pStyle w:val="0"/>
            </w:pPr>
            <w:r>
              <w:rPr>
                <w:sz w:val="20"/>
              </w:rPr>
              <w:t xml:space="preserve">14,2</w:t>
            </w:r>
          </w:p>
        </w:tc>
        <w:tc>
          <w:tcPr>
            <w:tcW w:w="1084" w:type="dxa"/>
          </w:tcPr>
          <w:p>
            <w:pPr>
              <w:pStyle w:val="0"/>
            </w:pPr>
            <w:r>
              <w:rPr>
                <w:sz w:val="20"/>
              </w:rPr>
              <w:t xml:space="preserve">13,1</w:t>
            </w:r>
          </w:p>
        </w:tc>
        <w:tc>
          <w:tcPr>
            <w:tcW w:w="859" w:type="dxa"/>
          </w:tcPr>
          <w:p>
            <w:pPr>
              <w:pStyle w:val="0"/>
            </w:pPr>
            <w:r>
              <w:rPr>
                <w:sz w:val="20"/>
              </w:rPr>
              <w:t xml:space="preserve">15,6</w:t>
            </w:r>
          </w:p>
        </w:tc>
        <w:tc>
          <w:tcPr>
            <w:tcW w:w="1084" w:type="dxa"/>
          </w:tcPr>
          <w:p>
            <w:pPr>
              <w:pStyle w:val="0"/>
            </w:pPr>
            <w:r>
              <w:rPr>
                <w:sz w:val="20"/>
              </w:rPr>
              <w:t xml:space="preserve">17,4</w:t>
            </w:r>
          </w:p>
        </w:tc>
        <w:tc>
          <w:tcPr>
            <w:tcW w:w="859" w:type="dxa"/>
          </w:tcPr>
          <w:p>
            <w:pPr>
              <w:pStyle w:val="0"/>
            </w:pPr>
            <w:r>
              <w:rPr>
                <w:sz w:val="20"/>
              </w:rPr>
              <w:t xml:space="preserve">16,0</w:t>
            </w:r>
          </w:p>
        </w:tc>
        <w:tc>
          <w:tcPr>
            <w:tcW w:w="1084" w:type="dxa"/>
          </w:tcPr>
          <w:p>
            <w:pPr>
              <w:pStyle w:val="0"/>
            </w:pPr>
            <w:r>
              <w:rPr>
                <w:sz w:val="20"/>
              </w:rPr>
              <w:t xml:space="preserve">22,2</w:t>
            </w:r>
          </w:p>
        </w:tc>
        <w:tc>
          <w:tcPr>
            <w:tcW w:w="859" w:type="dxa"/>
          </w:tcPr>
          <w:p>
            <w:pPr>
              <w:pStyle w:val="0"/>
            </w:pPr>
            <w:r>
              <w:rPr>
                <w:sz w:val="20"/>
              </w:rPr>
              <w:t xml:space="preserve">13,4</w:t>
            </w:r>
          </w:p>
        </w:tc>
        <w:tc>
          <w:tcPr>
            <w:tcW w:w="1084" w:type="dxa"/>
          </w:tcPr>
          <w:p>
            <w:pPr>
              <w:pStyle w:val="0"/>
            </w:pPr>
            <w:r>
              <w:rPr>
                <w:sz w:val="20"/>
              </w:rPr>
              <w:t xml:space="preserve">12,0</w:t>
            </w:r>
          </w:p>
        </w:tc>
        <w:tc>
          <w:tcPr>
            <w:tcW w:w="859" w:type="dxa"/>
          </w:tcPr>
          <w:p>
            <w:pPr>
              <w:pStyle w:val="0"/>
            </w:pPr>
            <w:r>
              <w:rPr>
                <w:sz w:val="20"/>
              </w:rPr>
              <w:t xml:space="preserve">9,6</w:t>
            </w:r>
          </w:p>
        </w:tc>
        <w:tc>
          <w:tcPr>
            <w:tcW w:w="1084" w:type="dxa"/>
          </w:tcPr>
          <w:p>
            <w:pPr>
              <w:pStyle w:val="0"/>
            </w:pPr>
            <w:r>
              <w:rPr>
                <w:sz w:val="20"/>
              </w:rPr>
              <w:t xml:space="preserve">8,8</w:t>
            </w:r>
          </w:p>
        </w:tc>
        <w:tc>
          <w:tcPr>
            <w:tcW w:w="859" w:type="dxa"/>
          </w:tcPr>
          <w:p>
            <w:pPr>
              <w:pStyle w:val="0"/>
            </w:pPr>
            <w:r>
              <w:rPr>
                <w:sz w:val="20"/>
              </w:rPr>
              <w:t xml:space="preserve">11,8</w:t>
            </w:r>
          </w:p>
        </w:tc>
        <w:tc>
          <w:tcPr>
            <w:tcW w:w="1084" w:type="dxa"/>
          </w:tcPr>
          <w:p>
            <w:pPr>
              <w:pStyle w:val="0"/>
            </w:pPr>
            <w:r>
              <w:rPr>
                <w:sz w:val="20"/>
              </w:rPr>
              <w:t xml:space="preserve">7,8</w:t>
            </w:r>
          </w:p>
        </w:tc>
        <w:tc>
          <w:tcPr>
            <w:tcW w:w="859" w:type="dxa"/>
          </w:tcPr>
          <w:p>
            <w:pPr>
              <w:pStyle w:val="0"/>
            </w:pPr>
            <w:r>
              <w:rPr>
                <w:sz w:val="20"/>
              </w:rPr>
              <w:t xml:space="preserve">14,6</w:t>
            </w:r>
          </w:p>
        </w:tc>
        <w:tc>
          <w:tcPr>
            <w:tcW w:w="1084" w:type="dxa"/>
          </w:tcPr>
          <w:p>
            <w:pPr>
              <w:pStyle w:val="0"/>
            </w:pPr>
            <w:r>
              <w:rPr>
                <w:sz w:val="20"/>
              </w:rPr>
              <w:t xml:space="preserve">10,1</w:t>
            </w:r>
          </w:p>
        </w:tc>
        <w:tc>
          <w:tcPr>
            <w:tcW w:w="859" w:type="dxa"/>
          </w:tcPr>
          <w:p>
            <w:pPr>
              <w:pStyle w:val="0"/>
            </w:pPr>
            <w:r>
              <w:rPr>
                <w:sz w:val="20"/>
              </w:rPr>
              <w:t xml:space="preserve">13,2</w:t>
            </w:r>
          </w:p>
        </w:tc>
        <w:tc>
          <w:tcPr>
            <w:tcW w:w="1084" w:type="dxa"/>
          </w:tcPr>
          <w:p>
            <w:pPr>
              <w:pStyle w:val="0"/>
            </w:pPr>
            <w:r>
              <w:rPr>
                <w:sz w:val="20"/>
              </w:rPr>
              <w:t xml:space="preserve">8,5</w:t>
            </w:r>
          </w:p>
        </w:tc>
      </w:tr>
      <w:tr>
        <w:tc>
          <w:tcPr>
            <w:tcW w:w="2089" w:type="dxa"/>
            <w:vMerge w:val="restart"/>
          </w:tcPr>
          <w:p>
            <w:pPr>
              <w:pStyle w:val="0"/>
            </w:pPr>
            <w:r>
              <w:rPr>
                <w:sz w:val="20"/>
              </w:rPr>
              <w:t xml:space="preserve">печени и внутрипеченочных желчных протоков (С22)</w:t>
            </w:r>
          </w:p>
        </w:tc>
        <w:tc>
          <w:tcPr>
            <w:tcW w:w="850" w:type="dxa"/>
          </w:tcPr>
          <w:p>
            <w:pPr>
              <w:pStyle w:val="0"/>
            </w:pPr>
            <w:r>
              <w:rPr>
                <w:sz w:val="20"/>
              </w:rPr>
              <w:t xml:space="preserve">оба пола</w:t>
            </w:r>
          </w:p>
        </w:tc>
        <w:tc>
          <w:tcPr>
            <w:tcW w:w="859" w:type="dxa"/>
          </w:tcPr>
          <w:p>
            <w:pPr>
              <w:pStyle w:val="0"/>
            </w:pPr>
            <w:r>
              <w:rPr>
                <w:sz w:val="20"/>
              </w:rPr>
              <w:t xml:space="preserve">4,8</w:t>
            </w:r>
          </w:p>
        </w:tc>
        <w:tc>
          <w:tcPr>
            <w:tcW w:w="1084" w:type="dxa"/>
          </w:tcPr>
          <w:p>
            <w:pPr>
              <w:pStyle w:val="0"/>
            </w:pPr>
            <w:r>
              <w:rPr>
                <w:sz w:val="20"/>
              </w:rPr>
              <w:t xml:space="preserve">6,1</w:t>
            </w:r>
          </w:p>
        </w:tc>
        <w:tc>
          <w:tcPr>
            <w:tcW w:w="859" w:type="dxa"/>
          </w:tcPr>
          <w:p>
            <w:pPr>
              <w:pStyle w:val="0"/>
            </w:pPr>
            <w:r>
              <w:rPr>
                <w:sz w:val="20"/>
              </w:rPr>
              <w:t xml:space="preserve">5,1</w:t>
            </w:r>
          </w:p>
        </w:tc>
        <w:tc>
          <w:tcPr>
            <w:tcW w:w="1084" w:type="dxa"/>
          </w:tcPr>
          <w:p>
            <w:pPr>
              <w:pStyle w:val="0"/>
            </w:pPr>
            <w:r>
              <w:rPr>
                <w:sz w:val="20"/>
              </w:rPr>
              <w:t xml:space="preserve">6,3</w:t>
            </w:r>
          </w:p>
        </w:tc>
        <w:tc>
          <w:tcPr>
            <w:tcW w:w="859" w:type="dxa"/>
          </w:tcPr>
          <w:p>
            <w:pPr>
              <w:pStyle w:val="0"/>
            </w:pPr>
            <w:r>
              <w:rPr>
                <w:sz w:val="20"/>
              </w:rPr>
              <w:t xml:space="preserve">5,1</w:t>
            </w:r>
          </w:p>
        </w:tc>
        <w:tc>
          <w:tcPr>
            <w:tcW w:w="1084" w:type="dxa"/>
          </w:tcPr>
          <w:p>
            <w:pPr>
              <w:pStyle w:val="0"/>
            </w:pPr>
            <w:r>
              <w:rPr>
                <w:sz w:val="20"/>
              </w:rPr>
              <w:t xml:space="preserve">5,7</w:t>
            </w:r>
          </w:p>
        </w:tc>
        <w:tc>
          <w:tcPr>
            <w:tcW w:w="859" w:type="dxa"/>
          </w:tcPr>
          <w:p>
            <w:pPr>
              <w:pStyle w:val="0"/>
            </w:pPr>
            <w:r>
              <w:rPr>
                <w:sz w:val="20"/>
              </w:rPr>
              <w:t xml:space="preserve">6,5</w:t>
            </w:r>
          </w:p>
        </w:tc>
        <w:tc>
          <w:tcPr>
            <w:tcW w:w="1084" w:type="dxa"/>
          </w:tcPr>
          <w:p>
            <w:pPr>
              <w:pStyle w:val="0"/>
            </w:pPr>
            <w:r>
              <w:rPr>
                <w:sz w:val="20"/>
              </w:rPr>
              <w:t xml:space="preserve">7,5</w:t>
            </w:r>
          </w:p>
        </w:tc>
        <w:tc>
          <w:tcPr>
            <w:tcW w:w="859" w:type="dxa"/>
          </w:tcPr>
          <w:p>
            <w:pPr>
              <w:pStyle w:val="0"/>
            </w:pPr>
            <w:r>
              <w:rPr>
                <w:sz w:val="20"/>
              </w:rPr>
              <w:t xml:space="preserve">5,8</w:t>
            </w:r>
          </w:p>
        </w:tc>
        <w:tc>
          <w:tcPr>
            <w:tcW w:w="1084" w:type="dxa"/>
          </w:tcPr>
          <w:p>
            <w:pPr>
              <w:pStyle w:val="0"/>
            </w:pPr>
            <w:r>
              <w:rPr>
                <w:sz w:val="20"/>
              </w:rPr>
              <w:t xml:space="preserve">7,7</w:t>
            </w:r>
          </w:p>
        </w:tc>
        <w:tc>
          <w:tcPr>
            <w:tcW w:w="859" w:type="dxa"/>
          </w:tcPr>
          <w:p>
            <w:pPr>
              <w:pStyle w:val="0"/>
            </w:pPr>
            <w:r>
              <w:rPr>
                <w:sz w:val="20"/>
              </w:rPr>
              <w:t xml:space="preserve">6,2</w:t>
            </w:r>
          </w:p>
        </w:tc>
        <w:tc>
          <w:tcPr>
            <w:tcW w:w="1084" w:type="dxa"/>
          </w:tcPr>
          <w:p>
            <w:pPr>
              <w:pStyle w:val="0"/>
            </w:pPr>
            <w:r>
              <w:rPr>
                <w:sz w:val="20"/>
              </w:rPr>
              <w:t xml:space="preserve">6,2</w:t>
            </w:r>
          </w:p>
        </w:tc>
        <w:tc>
          <w:tcPr>
            <w:tcW w:w="859" w:type="dxa"/>
          </w:tcPr>
          <w:p>
            <w:pPr>
              <w:pStyle w:val="0"/>
            </w:pPr>
            <w:r>
              <w:rPr>
                <w:sz w:val="20"/>
              </w:rPr>
              <w:t xml:space="preserve">10,1</w:t>
            </w:r>
          </w:p>
        </w:tc>
        <w:tc>
          <w:tcPr>
            <w:tcW w:w="1084" w:type="dxa"/>
          </w:tcPr>
          <w:p>
            <w:pPr>
              <w:pStyle w:val="0"/>
            </w:pPr>
            <w:r>
              <w:rPr>
                <w:sz w:val="20"/>
              </w:rPr>
              <w:t xml:space="preserve">13,8</w:t>
            </w:r>
          </w:p>
        </w:tc>
        <w:tc>
          <w:tcPr>
            <w:tcW w:w="859" w:type="dxa"/>
          </w:tcPr>
          <w:p>
            <w:pPr>
              <w:pStyle w:val="0"/>
            </w:pPr>
            <w:r>
              <w:rPr>
                <w:sz w:val="20"/>
              </w:rPr>
              <w:t xml:space="preserve">7,9</w:t>
            </w:r>
          </w:p>
        </w:tc>
        <w:tc>
          <w:tcPr>
            <w:tcW w:w="1084" w:type="dxa"/>
          </w:tcPr>
          <w:p>
            <w:pPr>
              <w:pStyle w:val="0"/>
            </w:pPr>
            <w:r>
              <w:rPr>
                <w:sz w:val="20"/>
              </w:rPr>
              <w:t xml:space="preserve">5,9</w:t>
            </w:r>
          </w:p>
        </w:tc>
        <w:tc>
          <w:tcPr>
            <w:tcW w:w="859" w:type="dxa"/>
          </w:tcPr>
          <w:p>
            <w:pPr>
              <w:pStyle w:val="0"/>
            </w:pPr>
            <w:r>
              <w:rPr>
                <w:sz w:val="20"/>
              </w:rPr>
              <w:t xml:space="preserve">6,9</w:t>
            </w:r>
          </w:p>
        </w:tc>
        <w:tc>
          <w:tcPr>
            <w:tcW w:w="1084" w:type="dxa"/>
          </w:tcPr>
          <w:p>
            <w:pPr>
              <w:pStyle w:val="0"/>
            </w:pPr>
            <w:r>
              <w:rPr>
                <w:sz w:val="20"/>
              </w:rPr>
              <w:t xml:space="preserve">5,3</w:t>
            </w:r>
          </w:p>
        </w:tc>
        <w:tc>
          <w:tcPr>
            <w:tcW w:w="859" w:type="dxa"/>
          </w:tcPr>
          <w:p>
            <w:pPr>
              <w:pStyle w:val="0"/>
            </w:pPr>
            <w:r>
              <w:rPr>
                <w:sz w:val="20"/>
              </w:rPr>
              <w:t xml:space="preserve">6,5</w:t>
            </w:r>
          </w:p>
        </w:tc>
        <w:tc>
          <w:tcPr>
            <w:tcW w:w="1084" w:type="dxa"/>
          </w:tcPr>
          <w:p>
            <w:pPr>
              <w:pStyle w:val="0"/>
            </w:pPr>
            <w:r>
              <w:rPr>
                <w:sz w:val="20"/>
              </w:rPr>
              <w:t xml:space="preserve">4,7</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6,3</w:t>
            </w:r>
          </w:p>
        </w:tc>
        <w:tc>
          <w:tcPr>
            <w:tcW w:w="1084" w:type="dxa"/>
          </w:tcPr>
          <w:p>
            <w:pPr>
              <w:pStyle w:val="0"/>
            </w:pPr>
            <w:r>
              <w:rPr>
                <w:sz w:val="20"/>
              </w:rPr>
              <w:t xml:space="preserve">8,2</w:t>
            </w:r>
          </w:p>
        </w:tc>
        <w:tc>
          <w:tcPr>
            <w:tcW w:w="859" w:type="dxa"/>
          </w:tcPr>
          <w:p>
            <w:pPr>
              <w:pStyle w:val="0"/>
            </w:pPr>
            <w:r>
              <w:rPr>
                <w:sz w:val="20"/>
              </w:rPr>
              <w:t xml:space="preserve">6,1</w:t>
            </w:r>
          </w:p>
        </w:tc>
        <w:tc>
          <w:tcPr>
            <w:tcW w:w="1084" w:type="dxa"/>
          </w:tcPr>
          <w:p>
            <w:pPr>
              <w:pStyle w:val="0"/>
            </w:pPr>
            <w:r>
              <w:rPr>
                <w:sz w:val="20"/>
              </w:rPr>
              <w:t xml:space="preserve">11,0</w:t>
            </w:r>
          </w:p>
        </w:tc>
        <w:tc>
          <w:tcPr>
            <w:tcW w:w="859" w:type="dxa"/>
          </w:tcPr>
          <w:p>
            <w:pPr>
              <w:pStyle w:val="0"/>
            </w:pPr>
            <w:r>
              <w:rPr>
                <w:sz w:val="20"/>
              </w:rPr>
              <w:t xml:space="preserve">6,8</w:t>
            </w:r>
          </w:p>
        </w:tc>
        <w:tc>
          <w:tcPr>
            <w:tcW w:w="1084" w:type="dxa"/>
          </w:tcPr>
          <w:p>
            <w:pPr>
              <w:pStyle w:val="0"/>
            </w:pPr>
            <w:r>
              <w:rPr>
                <w:sz w:val="20"/>
              </w:rPr>
              <w:t xml:space="preserve">9,6</w:t>
            </w:r>
          </w:p>
        </w:tc>
        <w:tc>
          <w:tcPr>
            <w:tcW w:w="859" w:type="dxa"/>
          </w:tcPr>
          <w:p>
            <w:pPr>
              <w:pStyle w:val="0"/>
            </w:pPr>
            <w:r>
              <w:rPr>
                <w:sz w:val="20"/>
              </w:rPr>
              <w:t xml:space="preserve">8,8</w:t>
            </w:r>
          </w:p>
        </w:tc>
        <w:tc>
          <w:tcPr>
            <w:tcW w:w="1084" w:type="dxa"/>
          </w:tcPr>
          <w:p>
            <w:pPr>
              <w:pStyle w:val="0"/>
            </w:pPr>
            <w:r>
              <w:rPr>
                <w:sz w:val="20"/>
              </w:rPr>
              <w:t xml:space="preserve">12,3</w:t>
            </w:r>
          </w:p>
        </w:tc>
        <w:tc>
          <w:tcPr>
            <w:tcW w:w="859" w:type="dxa"/>
          </w:tcPr>
          <w:p>
            <w:pPr>
              <w:pStyle w:val="0"/>
            </w:pPr>
            <w:r>
              <w:rPr>
                <w:sz w:val="20"/>
              </w:rPr>
              <w:t xml:space="preserve">7,1</w:t>
            </w:r>
          </w:p>
        </w:tc>
        <w:tc>
          <w:tcPr>
            <w:tcW w:w="1084" w:type="dxa"/>
          </w:tcPr>
          <w:p>
            <w:pPr>
              <w:pStyle w:val="0"/>
            </w:pPr>
            <w:r>
              <w:rPr>
                <w:sz w:val="20"/>
              </w:rPr>
              <w:t xml:space="preserve">11,2</w:t>
            </w:r>
          </w:p>
        </w:tc>
        <w:tc>
          <w:tcPr>
            <w:tcW w:w="859" w:type="dxa"/>
          </w:tcPr>
          <w:p>
            <w:pPr>
              <w:pStyle w:val="0"/>
            </w:pPr>
            <w:r>
              <w:rPr>
                <w:sz w:val="20"/>
              </w:rPr>
              <w:t xml:space="preserve">8,4</w:t>
            </w:r>
          </w:p>
        </w:tc>
        <w:tc>
          <w:tcPr>
            <w:tcW w:w="1084" w:type="dxa"/>
          </w:tcPr>
          <w:p>
            <w:pPr>
              <w:pStyle w:val="0"/>
            </w:pPr>
            <w:r>
              <w:rPr>
                <w:sz w:val="20"/>
              </w:rPr>
              <w:t xml:space="preserve">9,3</w:t>
            </w:r>
          </w:p>
        </w:tc>
        <w:tc>
          <w:tcPr>
            <w:tcW w:w="859" w:type="dxa"/>
          </w:tcPr>
          <w:p>
            <w:pPr>
              <w:pStyle w:val="0"/>
            </w:pPr>
            <w:r>
              <w:rPr>
                <w:sz w:val="20"/>
              </w:rPr>
              <w:t xml:space="preserve">14,2</w:t>
            </w:r>
          </w:p>
        </w:tc>
        <w:tc>
          <w:tcPr>
            <w:tcW w:w="1084" w:type="dxa"/>
          </w:tcPr>
          <w:p>
            <w:pPr>
              <w:pStyle w:val="0"/>
            </w:pPr>
            <w:r>
              <w:rPr>
                <w:sz w:val="20"/>
              </w:rPr>
              <w:t xml:space="preserve">24,8</w:t>
            </w:r>
          </w:p>
        </w:tc>
        <w:tc>
          <w:tcPr>
            <w:tcW w:w="859" w:type="dxa"/>
          </w:tcPr>
          <w:p>
            <w:pPr>
              <w:pStyle w:val="0"/>
            </w:pPr>
            <w:r>
              <w:rPr>
                <w:sz w:val="20"/>
              </w:rPr>
              <w:t xml:space="preserve">9,8</w:t>
            </w:r>
          </w:p>
        </w:tc>
        <w:tc>
          <w:tcPr>
            <w:tcW w:w="1084" w:type="dxa"/>
          </w:tcPr>
          <w:p>
            <w:pPr>
              <w:pStyle w:val="0"/>
            </w:pPr>
            <w:r>
              <w:rPr>
                <w:sz w:val="20"/>
              </w:rPr>
              <w:t xml:space="preserve">6,6</w:t>
            </w:r>
          </w:p>
        </w:tc>
        <w:tc>
          <w:tcPr>
            <w:tcW w:w="859" w:type="dxa"/>
          </w:tcPr>
          <w:p>
            <w:pPr>
              <w:pStyle w:val="0"/>
            </w:pPr>
            <w:r>
              <w:rPr>
                <w:sz w:val="20"/>
              </w:rPr>
              <w:t xml:space="preserve">10,6</w:t>
            </w:r>
          </w:p>
        </w:tc>
        <w:tc>
          <w:tcPr>
            <w:tcW w:w="1084" w:type="dxa"/>
          </w:tcPr>
          <w:p>
            <w:pPr>
              <w:pStyle w:val="0"/>
            </w:pPr>
            <w:r>
              <w:rPr>
                <w:sz w:val="20"/>
              </w:rPr>
              <w:t xml:space="preserve">9,13</w:t>
            </w:r>
          </w:p>
        </w:tc>
        <w:tc>
          <w:tcPr>
            <w:tcW w:w="859" w:type="dxa"/>
          </w:tcPr>
          <w:p>
            <w:pPr>
              <w:pStyle w:val="0"/>
            </w:pPr>
            <w:r>
              <w:rPr>
                <w:sz w:val="20"/>
              </w:rPr>
              <w:t xml:space="preserve">8,5</w:t>
            </w:r>
          </w:p>
        </w:tc>
        <w:tc>
          <w:tcPr>
            <w:tcW w:w="1084" w:type="dxa"/>
          </w:tcPr>
          <w:p>
            <w:pPr>
              <w:pStyle w:val="0"/>
            </w:pPr>
            <w:r>
              <w:rPr>
                <w:sz w:val="20"/>
              </w:rPr>
              <w:t xml:space="preserve">7,3</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3,5</w:t>
            </w:r>
          </w:p>
        </w:tc>
        <w:tc>
          <w:tcPr>
            <w:tcW w:w="1084" w:type="dxa"/>
          </w:tcPr>
          <w:p>
            <w:pPr>
              <w:pStyle w:val="0"/>
            </w:pPr>
            <w:r>
              <w:rPr>
                <w:sz w:val="20"/>
              </w:rPr>
              <w:t xml:space="preserve">4,2</w:t>
            </w:r>
          </w:p>
        </w:tc>
        <w:tc>
          <w:tcPr>
            <w:tcW w:w="859" w:type="dxa"/>
          </w:tcPr>
          <w:p>
            <w:pPr>
              <w:pStyle w:val="0"/>
            </w:pPr>
            <w:r>
              <w:rPr>
                <w:sz w:val="20"/>
              </w:rPr>
              <w:t xml:space="preserve">4,2</w:t>
            </w:r>
          </w:p>
        </w:tc>
        <w:tc>
          <w:tcPr>
            <w:tcW w:w="1084" w:type="dxa"/>
          </w:tcPr>
          <w:p>
            <w:pPr>
              <w:pStyle w:val="0"/>
            </w:pPr>
            <w:r>
              <w:rPr>
                <w:sz w:val="20"/>
              </w:rPr>
              <w:t xml:space="preserve">4,4</w:t>
            </w:r>
          </w:p>
        </w:tc>
        <w:tc>
          <w:tcPr>
            <w:tcW w:w="859" w:type="dxa"/>
          </w:tcPr>
          <w:p>
            <w:pPr>
              <w:pStyle w:val="0"/>
            </w:pPr>
            <w:r>
              <w:rPr>
                <w:sz w:val="20"/>
              </w:rPr>
              <w:t xml:space="preserve">3,5</w:t>
            </w:r>
          </w:p>
        </w:tc>
        <w:tc>
          <w:tcPr>
            <w:tcW w:w="1084" w:type="dxa"/>
          </w:tcPr>
          <w:p>
            <w:pPr>
              <w:pStyle w:val="0"/>
            </w:pPr>
            <w:r>
              <w:rPr>
                <w:sz w:val="20"/>
              </w:rPr>
              <w:t xml:space="preserve">3,5</w:t>
            </w:r>
          </w:p>
        </w:tc>
        <w:tc>
          <w:tcPr>
            <w:tcW w:w="859" w:type="dxa"/>
          </w:tcPr>
          <w:p>
            <w:pPr>
              <w:pStyle w:val="0"/>
            </w:pPr>
            <w:r>
              <w:rPr>
                <w:sz w:val="20"/>
              </w:rPr>
              <w:t xml:space="preserve">4,2</w:t>
            </w:r>
          </w:p>
        </w:tc>
        <w:tc>
          <w:tcPr>
            <w:tcW w:w="1084" w:type="dxa"/>
          </w:tcPr>
          <w:p>
            <w:pPr>
              <w:pStyle w:val="0"/>
            </w:pPr>
            <w:r>
              <w:rPr>
                <w:sz w:val="20"/>
              </w:rPr>
              <w:t xml:space="preserve">4,2</w:t>
            </w:r>
          </w:p>
        </w:tc>
        <w:tc>
          <w:tcPr>
            <w:tcW w:w="859" w:type="dxa"/>
          </w:tcPr>
          <w:p>
            <w:pPr>
              <w:pStyle w:val="0"/>
            </w:pPr>
            <w:r>
              <w:rPr>
                <w:sz w:val="20"/>
              </w:rPr>
              <w:t xml:space="preserve">4,6</w:t>
            </w:r>
          </w:p>
        </w:tc>
        <w:tc>
          <w:tcPr>
            <w:tcW w:w="1084" w:type="dxa"/>
          </w:tcPr>
          <w:p>
            <w:pPr>
              <w:pStyle w:val="0"/>
            </w:pPr>
            <w:r>
              <w:rPr>
                <w:sz w:val="20"/>
              </w:rPr>
              <w:t xml:space="preserve">4,9</w:t>
            </w:r>
          </w:p>
        </w:tc>
        <w:tc>
          <w:tcPr>
            <w:tcW w:w="859" w:type="dxa"/>
          </w:tcPr>
          <w:p>
            <w:pPr>
              <w:pStyle w:val="0"/>
            </w:pPr>
            <w:r>
              <w:rPr>
                <w:sz w:val="20"/>
              </w:rPr>
              <w:t xml:space="preserve">4,0</w:t>
            </w:r>
          </w:p>
        </w:tc>
        <w:tc>
          <w:tcPr>
            <w:tcW w:w="1084" w:type="dxa"/>
          </w:tcPr>
          <w:p>
            <w:pPr>
              <w:pStyle w:val="0"/>
            </w:pPr>
            <w:r>
              <w:rPr>
                <w:sz w:val="20"/>
              </w:rPr>
              <w:t xml:space="preserve">4,1</w:t>
            </w:r>
          </w:p>
        </w:tc>
        <w:tc>
          <w:tcPr>
            <w:tcW w:w="859" w:type="dxa"/>
          </w:tcPr>
          <w:p>
            <w:pPr>
              <w:pStyle w:val="0"/>
            </w:pPr>
            <w:r>
              <w:rPr>
                <w:sz w:val="20"/>
              </w:rPr>
              <w:t xml:space="preserve">6,1</w:t>
            </w:r>
          </w:p>
        </w:tc>
        <w:tc>
          <w:tcPr>
            <w:tcW w:w="1084" w:type="dxa"/>
          </w:tcPr>
          <w:p>
            <w:pPr>
              <w:pStyle w:val="0"/>
            </w:pPr>
            <w:r>
              <w:rPr>
                <w:sz w:val="20"/>
              </w:rPr>
              <w:t xml:space="preserve">13,8</w:t>
            </w:r>
          </w:p>
        </w:tc>
        <w:tc>
          <w:tcPr>
            <w:tcW w:w="859" w:type="dxa"/>
          </w:tcPr>
          <w:p>
            <w:pPr>
              <w:pStyle w:val="0"/>
            </w:pPr>
            <w:r>
              <w:rPr>
                <w:sz w:val="20"/>
              </w:rPr>
              <w:t xml:space="preserve">6,2</w:t>
            </w:r>
          </w:p>
        </w:tc>
        <w:tc>
          <w:tcPr>
            <w:tcW w:w="1084" w:type="dxa"/>
          </w:tcPr>
          <w:p>
            <w:pPr>
              <w:pStyle w:val="0"/>
            </w:pPr>
            <w:r>
              <w:rPr>
                <w:sz w:val="20"/>
              </w:rPr>
              <w:t xml:space="preserve">5,0</w:t>
            </w:r>
          </w:p>
        </w:tc>
        <w:tc>
          <w:tcPr>
            <w:tcW w:w="859" w:type="dxa"/>
          </w:tcPr>
          <w:p>
            <w:pPr>
              <w:pStyle w:val="0"/>
            </w:pPr>
            <w:r>
              <w:rPr>
                <w:sz w:val="20"/>
              </w:rPr>
              <w:t xml:space="preserve">3,4</w:t>
            </w:r>
          </w:p>
        </w:tc>
        <w:tc>
          <w:tcPr>
            <w:tcW w:w="1084" w:type="dxa"/>
          </w:tcPr>
          <w:p>
            <w:pPr>
              <w:pStyle w:val="0"/>
            </w:pPr>
            <w:r>
              <w:rPr>
                <w:sz w:val="20"/>
              </w:rPr>
              <w:t xml:space="preserve">2,5</w:t>
            </w:r>
          </w:p>
        </w:tc>
        <w:tc>
          <w:tcPr>
            <w:tcW w:w="859" w:type="dxa"/>
          </w:tcPr>
          <w:p>
            <w:pPr>
              <w:pStyle w:val="0"/>
            </w:pPr>
            <w:r>
              <w:rPr>
                <w:sz w:val="20"/>
              </w:rPr>
              <w:t xml:space="preserve">4,3</w:t>
            </w:r>
          </w:p>
        </w:tc>
        <w:tc>
          <w:tcPr>
            <w:tcW w:w="1084" w:type="dxa"/>
          </w:tcPr>
          <w:p>
            <w:pPr>
              <w:pStyle w:val="0"/>
            </w:pPr>
            <w:r>
              <w:rPr>
                <w:sz w:val="20"/>
              </w:rPr>
              <w:t xml:space="preserve">2,7</w:t>
            </w:r>
          </w:p>
        </w:tc>
      </w:tr>
      <w:tr>
        <w:tc>
          <w:tcPr>
            <w:tcW w:w="2089" w:type="dxa"/>
            <w:vMerge w:val="restart"/>
          </w:tcPr>
          <w:p>
            <w:pPr>
              <w:pStyle w:val="0"/>
            </w:pPr>
            <w:r>
              <w:rPr>
                <w:sz w:val="20"/>
              </w:rPr>
              <w:t xml:space="preserve">желчного пузыря (С23, 24)</w:t>
            </w:r>
          </w:p>
        </w:tc>
        <w:tc>
          <w:tcPr>
            <w:tcW w:w="850" w:type="dxa"/>
          </w:tcPr>
          <w:p>
            <w:pPr>
              <w:pStyle w:val="0"/>
            </w:pPr>
            <w:r>
              <w:rPr>
                <w:sz w:val="20"/>
              </w:rPr>
              <w:t xml:space="preserve">оба пола</w:t>
            </w:r>
          </w:p>
        </w:tc>
        <w:tc>
          <w:tcPr>
            <w:tcW w:w="859" w:type="dxa"/>
          </w:tcPr>
          <w:p>
            <w:pPr>
              <w:pStyle w:val="0"/>
            </w:pPr>
            <w:r>
              <w:rPr>
                <w:sz w:val="20"/>
              </w:rPr>
              <w:t xml:space="preserve">2,0</w:t>
            </w:r>
          </w:p>
        </w:tc>
        <w:tc>
          <w:tcPr>
            <w:tcW w:w="1084" w:type="dxa"/>
          </w:tcPr>
          <w:p>
            <w:pPr>
              <w:pStyle w:val="0"/>
            </w:pPr>
            <w:r>
              <w:rPr>
                <w:sz w:val="20"/>
              </w:rPr>
              <w:t xml:space="preserve">2,7</w:t>
            </w:r>
          </w:p>
        </w:tc>
        <w:tc>
          <w:tcPr>
            <w:tcW w:w="859" w:type="dxa"/>
          </w:tcPr>
          <w:p>
            <w:pPr>
              <w:pStyle w:val="0"/>
            </w:pPr>
            <w:r>
              <w:rPr>
                <w:sz w:val="20"/>
              </w:rPr>
              <w:t xml:space="preserve">2,1</w:t>
            </w:r>
          </w:p>
        </w:tc>
        <w:tc>
          <w:tcPr>
            <w:tcW w:w="1084" w:type="dxa"/>
          </w:tcPr>
          <w:p>
            <w:pPr>
              <w:pStyle w:val="0"/>
            </w:pPr>
            <w:r>
              <w:rPr>
                <w:sz w:val="20"/>
              </w:rPr>
              <w:t xml:space="preserve">2,2</w:t>
            </w:r>
          </w:p>
        </w:tc>
        <w:tc>
          <w:tcPr>
            <w:tcW w:w="859" w:type="dxa"/>
          </w:tcPr>
          <w:p>
            <w:pPr>
              <w:pStyle w:val="0"/>
            </w:pPr>
            <w:r>
              <w:rPr>
                <w:sz w:val="20"/>
              </w:rPr>
              <w:t xml:space="preserve">2,1</w:t>
            </w:r>
          </w:p>
        </w:tc>
        <w:tc>
          <w:tcPr>
            <w:tcW w:w="1084" w:type="dxa"/>
          </w:tcPr>
          <w:p>
            <w:pPr>
              <w:pStyle w:val="0"/>
            </w:pPr>
            <w:r>
              <w:rPr>
                <w:sz w:val="20"/>
              </w:rPr>
              <w:t xml:space="preserve">3,3</w:t>
            </w:r>
          </w:p>
        </w:tc>
        <w:tc>
          <w:tcPr>
            <w:tcW w:w="859" w:type="dxa"/>
          </w:tcPr>
          <w:p>
            <w:pPr>
              <w:pStyle w:val="0"/>
            </w:pPr>
            <w:r>
              <w:rPr>
                <w:sz w:val="20"/>
              </w:rPr>
              <w:t xml:space="preserve">1,7</w:t>
            </w:r>
          </w:p>
        </w:tc>
        <w:tc>
          <w:tcPr>
            <w:tcW w:w="1084" w:type="dxa"/>
          </w:tcPr>
          <w:p>
            <w:pPr>
              <w:pStyle w:val="0"/>
            </w:pPr>
            <w:r>
              <w:rPr>
                <w:sz w:val="20"/>
              </w:rPr>
              <w:t xml:space="preserve">2,5</w:t>
            </w:r>
          </w:p>
        </w:tc>
        <w:tc>
          <w:tcPr>
            <w:tcW w:w="859" w:type="dxa"/>
          </w:tcPr>
          <w:p>
            <w:pPr>
              <w:pStyle w:val="0"/>
            </w:pPr>
            <w:r>
              <w:rPr>
                <w:sz w:val="20"/>
              </w:rPr>
              <w:t xml:space="preserve">2,2</w:t>
            </w:r>
          </w:p>
        </w:tc>
        <w:tc>
          <w:tcPr>
            <w:tcW w:w="1084" w:type="dxa"/>
          </w:tcPr>
          <w:p>
            <w:pPr>
              <w:pStyle w:val="0"/>
            </w:pPr>
            <w:r>
              <w:rPr>
                <w:sz w:val="20"/>
              </w:rPr>
              <w:t xml:space="preserve">3,2</w:t>
            </w:r>
          </w:p>
        </w:tc>
        <w:tc>
          <w:tcPr>
            <w:tcW w:w="859" w:type="dxa"/>
          </w:tcPr>
          <w:p>
            <w:pPr>
              <w:pStyle w:val="0"/>
            </w:pPr>
            <w:r>
              <w:rPr>
                <w:sz w:val="20"/>
              </w:rPr>
              <w:t xml:space="preserve">1,7</w:t>
            </w:r>
          </w:p>
        </w:tc>
        <w:tc>
          <w:tcPr>
            <w:tcW w:w="1084" w:type="dxa"/>
          </w:tcPr>
          <w:p>
            <w:pPr>
              <w:pStyle w:val="0"/>
            </w:pPr>
            <w:r>
              <w:rPr>
                <w:sz w:val="20"/>
              </w:rPr>
              <w:t xml:space="preserve">2,2</w:t>
            </w:r>
          </w:p>
        </w:tc>
        <w:tc>
          <w:tcPr>
            <w:tcW w:w="859" w:type="dxa"/>
          </w:tcPr>
          <w:p>
            <w:pPr>
              <w:pStyle w:val="0"/>
            </w:pPr>
            <w:r>
              <w:rPr>
                <w:sz w:val="20"/>
              </w:rPr>
              <w:t xml:space="preserve">1,7</w:t>
            </w:r>
          </w:p>
        </w:tc>
        <w:tc>
          <w:tcPr>
            <w:tcW w:w="1084" w:type="dxa"/>
          </w:tcPr>
          <w:p>
            <w:pPr>
              <w:pStyle w:val="0"/>
            </w:pPr>
            <w:r>
              <w:rPr>
                <w:sz w:val="20"/>
              </w:rPr>
              <w:t xml:space="preserve">1,3</w:t>
            </w:r>
          </w:p>
        </w:tc>
        <w:tc>
          <w:tcPr>
            <w:tcW w:w="859" w:type="dxa"/>
          </w:tcPr>
          <w:p>
            <w:pPr>
              <w:pStyle w:val="0"/>
            </w:pPr>
            <w:r>
              <w:rPr>
                <w:sz w:val="20"/>
              </w:rPr>
              <w:t xml:space="preserve">2,7</w:t>
            </w:r>
          </w:p>
        </w:tc>
        <w:tc>
          <w:tcPr>
            <w:tcW w:w="1084" w:type="dxa"/>
          </w:tcPr>
          <w:p>
            <w:pPr>
              <w:pStyle w:val="0"/>
            </w:pPr>
            <w:r>
              <w:rPr>
                <w:sz w:val="20"/>
              </w:rPr>
              <w:t xml:space="preserve">2,1</w:t>
            </w:r>
          </w:p>
        </w:tc>
        <w:tc>
          <w:tcPr>
            <w:tcW w:w="859" w:type="dxa"/>
          </w:tcPr>
          <w:p>
            <w:pPr>
              <w:pStyle w:val="0"/>
            </w:pPr>
            <w:r>
              <w:rPr>
                <w:sz w:val="20"/>
              </w:rPr>
              <w:t xml:space="preserve">1,6</w:t>
            </w:r>
          </w:p>
        </w:tc>
        <w:tc>
          <w:tcPr>
            <w:tcW w:w="1084" w:type="dxa"/>
          </w:tcPr>
          <w:p>
            <w:pPr>
              <w:pStyle w:val="0"/>
            </w:pPr>
            <w:r>
              <w:rPr>
                <w:sz w:val="20"/>
              </w:rPr>
              <w:t xml:space="preserve">1,4</w:t>
            </w:r>
          </w:p>
        </w:tc>
        <w:tc>
          <w:tcPr>
            <w:tcW w:w="859" w:type="dxa"/>
          </w:tcPr>
          <w:p>
            <w:pPr>
              <w:pStyle w:val="0"/>
            </w:pPr>
            <w:r>
              <w:rPr>
                <w:sz w:val="20"/>
              </w:rPr>
              <w:t xml:space="preserve">1,6</w:t>
            </w:r>
          </w:p>
        </w:tc>
        <w:tc>
          <w:tcPr>
            <w:tcW w:w="1084" w:type="dxa"/>
          </w:tcPr>
          <w:p>
            <w:pPr>
              <w:pStyle w:val="0"/>
            </w:pPr>
            <w:r>
              <w:rPr>
                <w:sz w:val="20"/>
              </w:rPr>
              <w:t xml:space="preserve">1,2</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1,7</w:t>
            </w:r>
          </w:p>
        </w:tc>
        <w:tc>
          <w:tcPr>
            <w:tcW w:w="1084" w:type="dxa"/>
          </w:tcPr>
          <w:p>
            <w:pPr>
              <w:pStyle w:val="0"/>
            </w:pPr>
            <w:r>
              <w:rPr>
                <w:sz w:val="20"/>
              </w:rPr>
              <w:t xml:space="preserve">6,7</w:t>
            </w:r>
          </w:p>
        </w:tc>
        <w:tc>
          <w:tcPr>
            <w:tcW w:w="859" w:type="dxa"/>
          </w:tcPr>
          <w:p>
            <w:pPr>
              <w:pStyle w:val="0"/>
            </w:pPr>
            <w:r>
              <w:rPr>
                <w:sz w:val="20"/>
              </w:rPr>
              <w:t xml:space="preserve">1,5</w:t>
            </w:r>
          </w:p>
        </w:tc>
        <w:tc>
          <w:tcPr>
            <w:tcW w:w="1084" w:type="dxa"/>
          </w:tcPr>
          <w:p>
            <w:pPr>
              <w:pStyle w:val="0"/>
            </w:pPr>
            <w:r>
              <w:rPr>
                <w:sz w:val="20"/>
              </w:rPr>
              <w:t xml:space="preserve">1,5</w:t>
            </w:r>
          </w:p>
        </w:tc>
        <w:tc>
          <w:tcPr>
            <w:tcW w:w="859" w:type="dxa"/>
          </w:tcPr>
          <w:p>
            <w:pPr>
              <w:pStyle w:val="0"/>
            </w:pPr>
            <w:r>
              <w:rPr>
                <w:sz w:val="20"/>
              </w:rPr>
              <w:t xml:space="preserve">1,9</w:t>
            </w:r>
          </w:p>
        </w:tc>
        <w:tc>
          <w:tcPr>
            <w:tcW w:w="1084" w:type="dxa"/>
          </w:tcPr>
          <w:p>
            <w:pPr>
              <w:pStyle w:val="0"/>
            </w:pPr>
            <w:r>
              <w:rPr>
                <w:sz w:val="20"/>
              </w:rPr>
              <w:t xml:space="preserve">2,9</w:t>
            </w:r>
          </w:p>
        </w:tc>
        <w:tc>
          <w:tcPr>
            <w:tcW w:w="859" w:type="dxa"/>
          </w:tcPr>
          <w:p>
            <w:pPr>
              <w:pStyle w:val="0"/>
            </w:pPr>
            <w:r>
              <w:rPr>
                <w:sz w:val="20"/>
              </w:rPr>
              <w:t xml:space="preserve">1,5</w:t>
            </w:r>
          </w:p>
        </w:tc>
        <w:tc>
          <w:tcPr>
            <w:tcW w:w="1084" w:type="dxa"/>
          </w:tcPr>
          <w:p>
            <w:pPr>
              <w:pStyle w:val="0"/>
            </w:pPr>
            <w:r>
              <w:rPr>
                <w:sz w:val="20"/>
              </w:rPr>
              <w:t xml:space="preserve">1,9</w:t>
            </w:r>
          </w:p>
        </w:tc>
        <w:tc>
          <w:tcPr>
            <w:tcW w:w="859" w:type="dxa"/>
          </w:tcPr>
          <w:p>
            <w:pPr>
              <w:pStyle w:val="0"/>
            </w:pPr>
            <w:r>
              <w:rPr>
                <w:sz w:val="20"/>
              </w:rPr>
              <w:t xml:space="preserve">1,9</w:t>
            </w:r>
          </w:p>
        </w:tc>
        <w:tc>
          <w:tcPr>
            <w:tcW w:w="1084" w:type="dxa"/>
          </w:tcPr>
          <w:p>
            <w:pPr>
              <w:pStyle w:val="0"/>
            </w:pPr>
            <w:r>
              <w:rPr>
                <w:sz w:val="20"/>
              </w:rPr>
              <w:t xml:space="preserve">3,7</w:t>
            </w:r>
          </w:p>
        </w:tc>
        <w:tc>
          <w:tcPr>
            <w:tcW w:w="859" w:type="dxa"/>
          </w:tcPr>
          <w:p>
            <w:pPr>
              <w:pStyle w:val="0"/>
            </w:pPr>
            <w:r>
              <w:rPr>
                <w:sz w:val="20"/>
              </w:rPr>
              <w:t xml:space="preserve">2,0</w:t>
            </w:r>
          </w:p>
        </w:tc>
        <w:tc>
          <w:tcPr>
            <w:tcW w:w="1084" w:type="dxa"/>
          </w:tcPr>
          <w:p>
            <w:pPr>
              <w:pStyle w:val="0"/>
            </w:pPr>
            <w:r>
              <w:rPr>
                <w:sz w:val="20"/>
              </w:rPr>
              <w:t xml:space="preserve">4,9</w:t>
            </w:r>
          </w:p>
        </w:tc>
        <w:tc>
          <w:tcPr>
            <w:tcW w:w="859" w:type="dxa"/>
          </w:tcPr>
          <w:p>
            <w:pPr>
              <w:pStyle w:val="0"/>
            </w:pPr>
            <w:r>
              <w:rPr>
                <w:sz w:val="20"/>
              </w:rPr>
              <w:t xml:space="preserve">1,6</w:t>
            </w:r>
          </w:p>
        </w:tc>
        <w:tc>
          <w:tcPr>
            <w:tcW w:w="1084" w:type="dxa"/>
          </w:tcPr>
          <w:p>
            <w:pPr>
              <w:pStyle w:val="0"/>
            </w:pPr>
            <w:r>
              <w:rPr>
                <w:sz w:val="20"/>
              </w:rPr>
              <w:t xml:space="preserve">1,6</w:t>
            </w:r>
          </w:p>
        </w:tc>
        <w:tc>
          <w:tcPr>
            <w:tcW w:w="859" w:type="dxa"/>
          </w:tcPr>
          <w:p>
            <w:pPr>
              <w:pStyle w:val="0"/>
            </w:pPr>
            <w:r>
              <w:rPr>
                <w:sz w:val="20"/>
              </w:rPr>
              <w:t xml:space="preserve">1,6</w:t>
            </w:r>
          </w:p>
        </w:tc>
        <w:tc>
          <w:tcPr>
            <w:tcW w:w="1084" w:type="dxa"/>
          </w:tcPr>
          <w:p>
            <w:pPr>
              <w:pStyle w:val="0"/>
            </w:pPr>
            <w:r>
              <w:rPr>
                <w:sz w:val="20"/>
              </w:rPr>
              <w:t xml:space="preserve">1,7</w:t>
            </w:r>
          </w:p>
        </w:tc>
        <w:tc>
          <w:tcPr>
            <w:tcW w:w="859" w:type="dxa"/>
          </w:tcPr>
          <w:p>
            <w:pPr>
              <w:pStyle w:val="0"/>
            </w:pPr>
            <w:r>
              <w:rPr>
                <w:sz w:val="20"/>
              </w:rPr>
              <w:t xml:space="preserve">1,9</w:t>
            </w:r>
          </w:p>
        </w:tc>
        <w:tc>
          <w:tcPr>
            <w:tcW w:w="1084" w:type="dxa"/>
          </w:tcPr>
          <w:p>
            <w:pPr>
              <w:pStyle w:val="0"/>
            </w:pPr>
            <w:r>
              <w:rPr>
                <w:sz w:val="20"/>
              </w:rPr>
              <w:t xml:space="preserve">1,7</w:t>
            </w:r>
          </w:p>
        </w:tc>
        <w:tc>
          <w:tcPr>
            <w:tcW w:w="859" w:type="dxa"/>
          </w:tcPr>
          <w:p>
            <w:pPr>
              <w:pStyle w:val="0"/>
            </w:pPr>
            <w:r>
              <w:rPr>
                <w:sz w:val="20"/>
              </w:rPr>
              <w:t xml:space="preserve">1,1</w:t>
            </w:r>
          </w:p>
        </w:tc>
        <w:tc>
          <w:tcPr>
            <w:tcW w:w="1084" w:type="dxa"/>
          </w:tcPr>
          <w:p>
            <w:pPr>
              <w:pStyle w:val="0"/>
            </w:pPr>
            <w:r>
              <w:rPr>
                <w:sz w:val="20"/>
              </w:rPr>
              <w:t xml:space="preserve">1,2</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2,1</w:t>
            </w:r>
          </w:p>
        </w:tc>
        <w:tc>
          <w:tcPr>
            <w:tcW w:w="1084" w:type="dxa"/>
          </w:tcPr>
          <w:p>
            <w:pPr>
              <w:pStyle w:val="0"/>
            </w:pPr>
            <w:r>
              <w:rPr>
                <w:sz w:val="20"/>
              </w:rPr>
              <w:t xml:space="preserve">2,0</w:t>
            </w:r>
          </w:p>
        </w:tc>
        <w:tc>
          <w:tcPr>
            <w:tcW w:w="859" w:type="dxa"/>
          </w:tcPr>
          <w:p>
            <w:pPr>
              <w:pStyle w:val="0"/>
            </w:pPr>
            <w:r>
              <w:rPr>
                <w:sz w:val="20"/>
              </w:rPr>
              <w:t xml:space="preserve">2,5</w:t>
            </w:r>
          </w:p>
        </w:tc>
        <w:tc>
          <w:tcPr>
            <w:tcW w:w="1084" w:type="dxa"/>
          </w:tcPr>
          <w:p>
            <w:pPr>
              <w:pStyle w:val="0"/>
            </w:pPr>
            <w:r>
              <w:rPr>
                <w:sz w:val="20"/>
              </w:rPr>
              <w:t xml:space="preserve">2,4</w:t>
            </w:r>
          </w:p>
        </w:tc>
        <w:tc>
          <w:tcPr>
            <w:tcW w:w="859" w:type="dxa"/>
          </w:tcPr>
          <w:p>
            <w:pPr>
              <w:pStyle w:val="0"/>
            </w:pPr>
            <w:r>
              <w:rPr>
                <w:sz w:val="20"/>
              </w:rPr>
              <w:t xml:space="preserve">2,3</w:t>
            </w:r>
          </w:p>
        </w:tc>
        <w:tc>
          <w:tcPr>
            <w:tcW w:w="1084" w:type="dxa"/>
          </w:tcPr>
          <w:p>
            <w:pPr>
              <w:pStyle w:val="0"/>
            </w:pPr>
            <w:r>
              <w:rPr>
                <w:sz w:val="20"/>
              </w:rPr>
              <w:t xml:space="preserve">3,2</w:t>
            </w:r>
          </w:p>
        </w:tc>
        <w:tc>
          <w:tcPr>
            <w:tcW w:w="859" w:type="dxa"/>
          </w:tcPr>
          <w:p>
            <w:pPr>
              <w:pStyle w:val="0"/>
            </w:pPr>
            <w:r>
              <w:rPr>
                <w:sz w:val="20"/>
              </w:rPr>
              <w:t xml:space="preserve">1,9</w:t>
            </w:r>
          </w:p>
        </w:tc>
        <w:tc>
          <w:tcPr>
            <w:tcW w:w="1084" w:type="dxa"/>
          </w:tcPr>
          <w:p>
            <w:pPr>
              <w:pStyle w:val="0"/>
            </w:pPr>
            <w:r>
              <w:rPr>
                <w:sz w:val="20"/>
              </w:rPr>
              <w:t xml:space="preserve">2,8</w:t>
            </w:r>
          </w:p>
        </w:tc>
        <w:tc>
          <w:tcPr>
            <w:tcW w:w="859" w:type="dxa"/>
          </w:tcPr>
          <w:p>
            <w:pPr>
              <w:pStyle w:val="0"/>
            </w:pPr>
            <w:r>
              <w:rPr>
                <w:sz w:val="20"/>
              </w:rPr>
              <w:t xml:space="preserve">2,5</w:t>
            </w:r>
          </w:p>
        </w:tc>
        <w:tc>
          <w:tcPr>
            <w:tcW w:w="1084" w:type="dxa"/>
          </w:tcPr>
          <w:p>
            <w:pPr>
              <w:pStyle w:val="0"/>
            </w:pPr>
            <w:r>
              <w:rPr>
                <w:sz w:val="20"/>
              </w:rPr>
              <w:t xml:space="preserve">2,8</w:t>
            </w:r>
          </w:p>
        </w:tc>
        <w:tc>
          <w:tcPr>
            <w:tcW w:w="859" w:type="dxa"/>
          </w:tcPr>
          <w:p>
            <w:pPr>
              <w:pStyle w:val="0"/>
            </w:pPr>
            <w:r>
              <w:rPr>
                <w:sz w:val="20"/>
              </w:rPr>
              <w:t xml:space="preserve">1,4</w:t>
            </w:r>
          </w:p>
        </w:tc>
        <w:tc>
          <w:tcPr>
            <w:tcW w:w="1084" w:type="dxa"/>
          </w:tcPr>
          <w:p>
            <w:pPr>
              <w:pStyle w:val="0"/>
            </w:pPr>
            <w:r>
              <w:rPr>
                <w:sz w:val="20"/>
              </w:rPr>
              <w:t xml:space="preserve">1,3</w:t>
            </w:r>
          </w:p>
        </w:tc>
        <w:tc>
          <w:tcPr>
            <w:tcW w:w="859" w:type="dxa"/>
          </w:tcPr>
          <w:p>
            <w:pPr>
              <w:pStyle w:val="0"/>
            </w:pPr>
            <w:r>
              <w:rPr>
                <w:sz w:val="20"/>
              </w:rPr>
              <w:t xml:space="preserve">1,8</w:t>
            </w:r>
          </w:p>
        </w:tc>
        <w:tc>
          <w:tcPr>
            <w:tcW w:w="1084" w:type="dxa"/>
          </w:tcPr>
          <w:p>
            <w:pPr>
              <w:pStyle w:val="0"/>
            </w:pPr>
            <w:r>
              <w:rPr>
                <w:sz w:val="20"/>
              </w:rPr>
              <w:t xml:space="preserve">1,2</w:t>
            </w:r>
          </w:p>
        </w:tc>
        <w:tc>
          <w:tcPr>
            <w:tcW w:w="859" w:type="dxa"/>
          </w:tcPr>
          <w:p>
            <w:pPr>
              <w:pStyle w:val="0"/>
            </w:pPr>
            <w:r>
              <w:rPr>
                <w:sz w:val="20"/>
              </w:rPr>
              <w:t xml:space="preserve">3,7</w:t>
            </w:r>
          </w:p>
        </w:tc>
        <w:tc>
          <w:tcPr>
            <w:tcW w:w="1084" w:type="dxa"/>
          </w:tcPr>
          <w:p>
            <w:pPr>
              <w:pStyle w:val="0"/>
            </w:pPr>
            <w:r>
              <w:rPr>
                <w:sz w:val="20"/>
              </w:rPr>
              <w:t xml:space="preserve">2,0</w:t>
            </w:r>
          </w:p>
        </w:tc>
        <w:tc>
          <w:tcPr>
            <w:tcW w:w="859" w:type="dxa"/>
          </w:tcPr>
          <w:p>
            <w:pPr>
              <w:pStyle w:val="0"/>
            </w:pPr>
            <w:r>
              <w:rPr>
                <w:sz w:val="20"/>
              </w:rPr>
              <w:t xml:space="preserve">1,3</w:t>
            </w:r>
          </w:p>
        </w:tc>
        <w:tc>
          <w:tcPr>
            <w:tcW w:w="1084" w:type="dxa"/>
          </w:tcPr>
          <w:p>
            <w:pPr>
              <w:pStyle w:val="0"/>
            </w:pPr>
            <w:r>
              <w:rPr>
                <w:sz w:val="20"/>
              </w:rPr>
              <w:t xml:space="preserve">1,1</w:t>
            </w:r>
          </w:p>
        </w:tc>
        <w:tc>
          <w:tcPr>
            <w:tcW w:w="859" w:type="dxa"/>
          </w:tcPr>
          <w:p>
            <w:pPr>
              <w:pStyle w:val="0"/>
            </w:pPr>
            <w:r>
              <w:rPr>
                <w:sz w:val="20"/>
              </w:rPr>
              <w:t xml:space="preserve">2,1</w:t>
            </w:r>
          </w:p>
        </w:tc>
        <w:tc>
          <w:tcPr>
            <w:tcW w:w="1084" w:type="dxa"/>
          </w:tcPr>
          <w:p>
            <w:pPr>
              <w:pStyle w:val="0"/>
            </w:pPr>
            <w:r>
              <w:rPr>
                <w:sz w:val="20"/>
              </w:rPr>
              <w:t xml:space="preserve">1,2</w:t>
            </w:r>
          </w:p>
        </w:tc>
      </w:tr>
      <w:tr>
        <w:tc>
          <w:tcPr>
            <w:tcW w:w="2089" w:type="dxa"/>
            <w:vMerge w:val="restart"/>
          </w:tcPr>
          <w:p>
            <w:pPr>
              <w:pStyle w:val="0"/>
            </w:pPr>
            <w:r>
              <w:rPr>
                <w:sz w:val="20"/>
              </w:rPr>
              <w:t xml:space="preserve">поджелудочной железы (С25)</w:t>
            </w:r>
          </w:p>
        </w:tc>
        <w:tc>
          <w:tcPr>
            <w:tcW w:w="850" w:type="dxa"/>
          </w:tcPr>
          <w:p>
            <w:pPr>
              <w:pStyle w:val="0"/>
            </w:pPr>
            <w:r>
              <w:rPr>
                <w:sz w:val="20"/>
              </w:rPr>
              <w:t xml:space="preserve">оба пола</w:t>
            </w:r>
          </w:p>
        </w:tc>
        <w:tc>
          <w:tcPr>
            <w:tcW w:w="859" w:type="dxa"/>
          </w:tcPr>
          <w:p>
            <w:pPr>
              <w:pStyle w:val="0"/>
            </w:pPr>
            <w:r>
              <w:rPr>
                <w:sz w:val="20"/>
              </w:rPr>
              <w:t xml:space="preserve">11,1</w:t>
            </w:r>
          </w:p>
        </w:tc>
        <w:tc>
          <w:tcPr>
            <w:tcW w:w="1084" w:type="dxa"/>
          </w:tcPr>
          <w:p>
            <w:pPr>
              <w:pStyle w:val="0"/>
            </w:pPr>
            <w:r>
              <w:rPr>
                <w:sz w:val="20"/>
              </w:rPr>
              <w:t xml:space="preserve">8,8</w:t>
            </w:r>
          </w:p>
        </w:tc>
        <w:tc>
          <w:tcPr>
            <w:tcW w:w="859" w:type="dxa"/>
          </w:tcPr>
          <w:p>
            <w:pPr>
              <w:pStyle w:val="0"/>
            </w:pPr>
            <w:r>
              <w:rPr>
                <w:sz w:val="20"/>
              </w:rPr>
              <w:t xml:space="preserve">6,2</w:t>
            </w:r>
          </w:p>
        </w:tc>
        <w:tc>
          <w:tcPr>
            <w:tcW w:w="1084" w:type="dxa"/>
          </w:tcPr>
          <w:p>
            <w:pPr>
              <w:pStyle w:val="0"/>
            </w:pPr>
            <w:r>
              <w:rPr>
                <w:sz w:val="20"/>
              </w:rPr>
              <w:t xml:space="preserve">6,8</w:t>
            </w:r>
          </w:p>
        </w:tc>
        <w:tc>
          <w:tcPr>
            <w:tcW w:w="859" w:type="dxa"/>
          </w:tcPr>
          <w:p>
            <w:pPr>
              <w:pStyle w:val="0"/>
            </w:pPr>
            <w:r>
              <w:rPr>
                <w:sz w:val="20"/>
              </w:rPr>
              <w:t xml:space="preserve">6,8</w:t>
            </w:r>
          </w:p>
        </w:tc>
        <w:tc>
          <w:tcPr>
            <w:tcW w:w="1084" w:type="dxa"/>
          </w:tcPr>
          <w:p>
            <w:pPr>
              <w:pStyle w:val="0"/>
            </w:pPr>
            <w:r>
              <w:rPr>
                <w:sz w:val="20"/>
              </w:rPr>
              <w:t xml:space="preserve">7,9</w:t>
            </w:r>
          </w:p>
        </w:tc>
        <w:tc>
          <w:tcPr>
            <w:tcW w:w="859" w:type="dxa"/>
          </w:tcPr>
          <w:p>
            <w:pPr>
              <w:pStyle w:val="0"/>
            </w:pPr>
            <w:r>
              <w:rPr>
                <w:sz w:val="20"/>
              </w:rPr>
              <w:t xml:space="preserve">8,0</w:t>
            </w:r>
          </w:p>
        </w:tc>
        <w:tc>
          <w:tcPr>
            <w:tcW w:w="1084" w:type="dxa"/>
          </w:tcPr>
          <w:p>
            <w:pPr>
              <w:pStyle w:val="0"/>
            </w:pPr>
            <w:r>
              <w:rPr>
                <w:sz w:val="20"/>
              </w:rPr>
              <w:t xml:space="preserve">9,7</w:t>
            </w:r>
          </w:p>
        </w:tc>
        <w:tc>
          <w:tcPr>
            <w:tcW w:w="859" w:type="dxa"/>
          </w:tcPr>
          <w:p>
            <w:pPr>
              <w:pStyle w:val="0"/>
            </w:pPr>
            <w:r>
              <w:rPr>
                <w:sz w:val="20"/>
              </w:rPr>
              <w:t xml:space="preserve">7,2</w:t>
            </w:r>
          </w:p>
        </w:tc>
        <w:tc>
          <w:tcPr>
            <w:tcW w:w="1084" w:type="dxa"/>
          </w:tcPr>
          <w:p>
            <w:pPr>
              <w:pStyle w:val="0"/>
            </w:pPr>
            <w:r>
              <w:rPr>
                <w:sz w:val="20"/>
              </w:rPr>
              <w:t xml:space="preserve">9,4</w:t>
            </w:r>
          </w:p>
        </w:tc>
        <w:tc>
          <w:tcPr>
            <w:tcW w:w="859" w:type="dxa"/>
          </w:tcPr>
          <w:p>
            <w:pPr>
              <w:pStyle w:val="0"/>
            </w:pPr>
            <w:r>
              <w:rPr>
                <w:sz w:val="20"/>
              </w:rPr>
              <w:t xml:space="preserve">6,3</w:t>
            </w:r>
          </w:p>
        </w:tc>
        <w:tc>
          <w:tcPr>
            <w:tcW w:w="1084" w:type="dxa"/>
          </w:tcPr>
          <w:p>
            <w:pPr>
              <w:pStyle w:val="0"/>
            </w:pPr>
            <w:r>
              <w:rPr>
                <w:sz w:val="20"/>
              </w:rPr>
              <w:t xml:space="preserve">5,4</w:t>
            </w:r>
          </w:p>
        </w:tc>
        <w:tc>
          <w:tcPr>
            <w:tcW w:w="859" w:type="dxa"/>
          </w:tcPr>
          <w:p>
            <w:pPr>
              <w:pStyle w:val="0"/>
            </w:pPr>
            <w:r>
              <w:rPr>
                <w:sz w:val="20"/>
              </w:rPr>
              <w:t xml:space="preserve">8,4</w:t>
            </w:r>
          </w:p>
        </w:tc>
        <w:tc>
          <w:tcPr>
            <w:tcW w:w="1084" w:type="dxa"/>
          </w:tcPr>
          <w:p>
            <w:pPr>
              <w:pStyle w:val="0"/>
            </w:pPr>
            <w:r>
              <w:rPr>
                <w:sz w:val="20"/>
              </w:rPr>
              <w:t xml:space="preserve">7,6</w:t>
            </w:r>
          </w:p>
        </w:tc>
        <w:tc>
          <w:tcPr>
            <w:tcW w:w="859" w:type="dxa"/>
          </w:tcPr>
          <w:p>
            <w:pPr>
              <w:pStyle w:val="0"/>
            </w:pPr>
            <w:r>
              <w:rPr>
                <w:sz w:val="20"/>
              </w:rPr>
              <w:t xml:space="preserve">7,1</w:t>
            </w:r>
          </w:p>
        </w:tc>
        <w:tc>
          <w:tcPr>
            <w:tcW w:w="1084" w:type="dxa"/>
          </w:tcPr>
          <w:p>
            <w:pPr>
              <w:pStyle w:val="0"/>
            </w:pPr>
            <w:r>
              <w:rPr>
                <w:sz w:val="20"/>
              </w:rPr>
              <w:t xml:space="preserve">6,6</w:t>
            </w:r>
          </w:p>
        </w:tc>
        <w:tc>
          <w:tcPr>
            <w:tcW w:w="859" w:type="dxa"/>
          </w:tcPr>
          <w:p>
            <w:pPr>
              <w:pStyle w:val="0"/>
            </w:pPr>
            <w:r>
              <w:rPr>
                <w:sz w:val="20"/>
              </w:rPr>
              <w:t xml:space="preserve">8,1</w:t>
            </w:r>
          </w:p>
        </w:tc>
        <w:tc>
          <w:tcPr>
            <w:tcW w:w="1084" w:type="dxa"/>
          </w:tcPr>
          <w:p>
            <w:pPr>
              <w:pStyle w:val="0"/>
            </w:pPr>
            <w:r>
              <w:rPr>
                <w:sz w:val="20"/>
              </w:rPr>
              <w:t xml:space="preserve">6,4</w:t>
            </w:r>
          </w:p>
        </w:tc>
        <w:tc>
          <w:tcPr>
            <w:tcW w:w="859" w:type="dxa"/>
          </w:tcPr>
          <w:p>
            <w:pPr>
              <w:pStyle w:val="0"/>
            </w:pPr>
            <w:r>
              <w:rPr>
                <w:sz w:val="20"/>
              </w:rPr>
              <w:t xml:space="preserve">7,2</w:t>
            </w:r>
          </w:p>
        </w:tc>
        <w:tc>
          <w:tcPr>
            <w:tcW w:w="1084" w:type="dxa"/>
          </w:tcPr>
          <w:p>
            <w:pPr>
              <w:pStyle w:val="0"/>
            </w:pPr>
            <w:r>
              <w:rPr>
                <w:sz w:val="20"/>
              </w:rPr>
              <w:t xml:space="preserve">5,4</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6,9</w:t>
            </w:r>
          </w:p>
        </w:tc>
        <w:tc>
          <w:tcPr>
            <w:tcW w:w="1084" w:type="dxa"/>
          </w:tcPr>
          <w:p>
            <w:pPr>
              <w:pStyle w:val="0"/>
            </w:pPr>
            <w:r>
              <w:rPr>
                <w:sz w:val="20"/>
              </w:rPr>
              <w:t xml:space="preserve">13,1</w:t>
            </w:r>
          </w:p>
        </w:tc>
        <w:tc>
          <w:tcPr>
            <w:tcW w:w="859" w:type="dxa"/>
          </w:tcPr>
          <w:p>
            <w:pPr>
              <w:pStyle w:val="0"/>
            </w:pPr>
            <w:r>
              <w:rPr>
                <w:sz w:val="20"/>
              </w:rPr>
              <w:t xml:space="preserve">7,5</w:t>
            </w:r>
          </w:p>
        </w:tc>
        <w:tc>
          <w:tcPr>
            <w:tcW w:w="1084" w:type="dxa"/>
          </w:tcPr>
          <w:p>
            <w:pPr>
              <w:pStyle w:val="0"/>
            </w:pPr>
            <w:r>
              <w:rPr>
                <w:sz w:val="20"/>
              </w:rPr>
              <w:t xml:space="preserve">10,0</w:t>
            </w:r>
          </w:p>
        </w:tc>
        <w:tc>
          <w:tcPr>
            <w:tcW w:w="859" w:type="dxa"/>
          </w:tcPr>
          <w:p>
            <w:pPr>
              <w:pStyle w:val="0"/>
            </w:pPr>
            <w:r>
              <w:rPr>
                <w:sz w:val="20"/>
              </w:rPr>
              <w:t xml:space="preserve">7,3</w:t>
            </w:r>
          </w:p>
        </w:tc>
        <w:tc>
          <w:tcPr>
            <w:tcW w:w="1084" w:type="dxa"/>
          </w:tcPr>
          <w:p>
            <w:pPr>
              <w:pStyle w:val="0"/>
            </w:pPr>
            <w:r>
              <w:rPr>
                <w:sz w:val="20"/>
              </w:rPr>
              <w:t xml:space="preserve">8,4</w:t>
            </w:r>
          </w:p>
        </w:tc>
        <w:tc>
          <w:tcPr>
            <w:tcW w:w="859" w:type="dxa"/>
          </w:tcPr>
          <w:p>
            <w:pPr>
              <w:pStyle w:val="0"/>
            </w:pPr>
            <w:r>
              <w:rPr>
                <w:sz w:val="20"/>
              </w:rPr>
              <w:t xml:space="preserve">9,1</w:t>
            </w:r>
          </w:p>
        </w:tc>
        <w:tc>
          <w:tcPr>
            <w:tcW w:w="1084" w:type="dxa"/>
          </w:tcPr>
          <w:p>
            <w:pPr>
              <w:pStyle w:val="0"/>
            </w:pPr>
            <w:r>
              <w:rPr>
                <w:sz w:val="20"/>
              </w:rPr>
              <w:t xml:space="preserve">11,1</w:t>
            </w:r>
          </w:p>
        </w:tc>
        <w:tc>
          <w:tcPr>
            <w:tcW w:w="859" w:type="dxa"/>
          </w:tcPr>
          <w:p>
            <w:pPr>
              <w:pStyle w:val="0"/>
            </w:pPr>
            <w:r>
              <w:rPr>
                <w:sz w:val="20"/>
              </w:rPr>
              <w:t xml:space="preserve">7,9</w:t>
            </w:r>
          </w:p>
        </w:tc>
        <w:tc>
          <w:tcPr>
            <w:tcW w:w="1084" w:type="dxa"/>
          </w:tcPr>
          <w:p>
            <w:pPr>
              <w:pStyle w:val="0"/>
            </w:pPr>
            <w:r>
              <w:rPr>
                <w:sz w:val="20"/>
              </w:rPr>
              <w:t xml:space="preserve">11,9</w:t>
            </w:r>
          </w:p>
        </w:tc>
        <w:tc>
          <w:tcPr>
            <w:tcW w:w="859" w:type="dxa"/>
          </w:tcPr>
          <w:p>
            <w:pPr>
              <w:pStyle w:val="0"/>
            </w:pPr>
            <w:r>
              <w:rPr>
                <w:sz w:val="20"/>
              </w:rPr>
              <w:t xml:space="preserve">7,4</w:t>
            </w:r>
          </w:p>
        </w:tc>
        <w:tc>
          <w:tcPr>
            <w:tcW w:w="1084" w:type="dxa"/>
          </w:tcPr>
          <w:p>
            <w:pPr>
              <w:pStyle w:val="0"/>
            </w:pPr>
            <w:r>
              <w:rPr>
                <w:sz w:val="20"/>
              </w:rPr>
              <w:t xml:space="preserve">6,9</w:t>
            </w:r>
          </w:p>
        </w:tc>
        <w:tc>
          <w:tcPr>
            <w:tcW w:w="859" w:type="dxa"/>
          </w:tcPr>
          <w:p>
            <w:pPr>
              <w:pStyle w:val="0"/>
            </w:pPr>
            <w:r>
              <w:rPr>
                <w:sz w:val="20"/>
              </w:rPr>
              <w:t xml:space="preserve">8,8</w:t>
            </w:r>
          </w:p>
        </w:tc>
        <w:tc>
          <w:tcPr>
            <w:tcW w:w="1084" w:type="dxa"/>
          </w:tcPr>
          <w:p>
            <w:pPr>
              <w:pStyle w:val="0"/>
            </w:pPr>
            <w:r>
              <w:rPr>
                <w:sz w:val="20"/>
              </w:rPr>
              <w:t xml:space="preserve">11,4</w:t>
            </w:r>
          </w:p>
        </w:tc>
        <w:tc>
          <w:tcPr>
            <w:tcW w:w="859" w:type="dxa"/>
          </w:tcPr>
          <w:p>
            <w:pPr>
              <w:pStyle w:val="0"/>
            </w:pPr>
            <w:r>
              <w:rPr>
                <w:sz w:val="20"/>
              </w:rPr>
              <w:t xml:space="preserve">8,2</w:t>
            </w:r>
          </w:p>
        </w:tc>
        <w:tc>
          <w:tcPr>
            <w:tcW w:w="1084" w:type="dxa"/>
          </w:tcPr>
          <w:p>
            <w:pPr>
              <w:pStyle w:val="0"/>
            </w:pPr>
            <w:r>
              <w:rPr>
                <w:sz w:val="20"/>
              </w:rPr>
              <w:t xml:space="preserve">6,7</w:t>
            </w:r>
          </w:p>
        </w:tc>
        <w:tc>
          <w:tcPr>
            <w:tcW w:w="859" w:type="dxa"/>
          </w:tcPr>
          <w:p>
            <w:pPr>
              <w:pStyle w:val="0"/>
            </w:pPr>
            <w:r>
              <w:rPr>
                <w:sz w:val="20"/>
              </w:rPr>
              <w:t xml:space="preserve">7,7</w:t>
            </w:r>
          </w:p>
        </w:tc>
        <w:tc>
          <w:tcPr>
            <w:tcW w:w="1084" w:type="dxa"/>
          </w:tcPr>
          <w:p>
            <w:pPr>
              <w:pStyle w:val="0"/>
            </w:pPr>
            <w:r>
              <w:rPr>
                <w:sz w:val="20"/>
              </w:rPr>
              <w:t xml:space="preserve">6,5</w:t>
            </w:r>
          </w:p>
        </w:tc>
        <w:tc>
          <w:tcPr>
            <w:tcW w:w="859" w:type="dxa"/>
          </w:tcPr>
          <w:p>
            <w:pPr>
              <w:pStyle w:val="0"/>
            </w:pPr>
            <w:r>
              <w:rPr>
                <w:sz w:val="20"/>
              </w:rPr>
              <w:t xml:space="preserve">7,6</w:t>
            </w:r>
          </w:p>
        </w:tc>
        <w:tc>
          <w:tcPr>
            <w:tcW w:w="1084" w:type="dxa"/>
          </w:tcPr>
          <w:p>
            <w:pPr>
              <w:pStyle w:val="0"/>
            </w:pPr>
            <w:r>
              <w:rPr>
                <w:sz w:val="20"/>
              </w:rPr>
              <w:t xml:space="preserve">6,7</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5,7</w:t>
            </w:r>
          </w:p>
        </w:tc>
        <w:tc>
          <w:tcPr>
            <w:tcW w:w="1084" w:type="dxa"/>
          </w:tcPr>
          <w:p>
            <w:pPr>
              <w:pStyle w:val="0"/>
            </w:pPr>
            <w:r>
              <w:rPr>
                <w:sz w:val="20"/>
              </w:rPr>
              <w:t xml:space="preserve">6,6</w:t>
            </w:r>
          </w:p>
        </w:tc>
        <w:tc>
          <w:tcPr>
            <w:tcW w:w="859" w:type="dxa"/>
          </w:tcPr>
          <w:p>
            <w:pPr>
              <w:pStyle w:val="0"/>
            </w:pPr>
            <w:r>
              <w:rPr>
                <w:sz w:val="20"/>
              </w:rPr>
              <w:t xml:space="preserve">5,0</w:t>
            </w:r>
          </w:p>
        </w:tc>
        <w:tc>
          <w:tcPr>
            <w:tcW w:w="1084" w:type="dxa"/>
          </w:tcPr>
          <w:p>
            <w:pPr>
              <w:pStyle w:val="0"/>
            </w:pPr>
            <w:r>
              <w:rPr>
                <w:sz w:val="20"/>
              </w:rPr>
              <w:t xml:space="preserve">5,4</w:t>
            </w:r>
          </w:p>
        </w:tc>
        <w:tc>
          <w:tcPr>
            <w:tcW w:w="859" w:type="dxa"/>
          </w:tcPr>
          <w:p>
            <w:pPr>
              <w:pStyle w:val="0"/>
            </w:pPr>
            <w:r>
              <w:rPr>
                <w:sz w:val="20"/>
              </w:rPr>
              <w:t xml:space="preserve">6,3</w:t>
            </w:r>
          </w:p>
        </w:tc>
        <w:tc>
          <w:tcPr>
            <w:tcW w:w="1084" w:type="dxa"/>
          </w:tcPr>
          <w:p>
            <w:pPr>
              <w:pStyle w:val="0"/>
            </w:pPr>
            <w:r>
              <w:rPr>
                <w:sz w:val="20"/>
              </w:rPr>
              <w:t xml:space="preserve">7,1</w:t>
            </w:r>
          </w:p>
        </w:tc>
        <w:tc>
          <w:tcPr>
            <w:tcW w:w="859" w:type="dxa"/>
          </w:tcPr>
          <w:p>
            <w:pPr>
              <w:pStyle w:val="0"/>
            </w:pPr>
            <w:r>
              <w:rPr>
                <w:sz w:val="20"/>
              </w:rPr>
              <w:t xml:space="preserve">6,9</w:t>
            </w:r>
          </w:p>
        </w:tc>
        <w:tc>
          <w:tcPr>
            <w:tcW w:w="1084" w:type="dxa"/>
          </w:tcPr>
          <w:p>
            <w:pPr>
              <w:pStyle w:val="0"/>
            </w:pPr>
            <w:r>
              <w:rPr>
                <w:sz w:val="20"/>
              </w:rPr>
              <w:t xml:space="preserve">8,1</w:t>
            </w:r>
          </w:p>
        </w:tc>
        <w:tc>
          <w:tcPr>
            <w:tcW w:w="859" w:type="dxa"/>
          </w:tcPr>
          <w:p>
            <w:pPr>
              <w:pStyle w:val="0"/>
            </w:pPr>
            <w:r>
              <w:rPr>
                <w:sz w:val="20"/>
              </w:rPr>
              <w:t xml:space="preserve">6,5</w:t>
            </w:r>
          </w:p>
        </w:tc>
        <w:tc>
          <w:tcPr>
            <w:tcW w:w="1084" w:type="dxa"/>
          </w:tcPr>
          <w:p>
            <w:pPr>
              <w:pStyle w:val="0"/>
            </w:pPr>
            <w:r>
              <w:rPr>
                <w:sz w:val="20"/>
              </w:rPr>
              <w:t xml:space="preserve">7,5</w:t>
            </w:r>
          </w:p>
        </w:tc>
        <w:tc>
          <w:tcPr>
            <w:tcW w:w="859" w:type="dxa"/>
          </w:tcPr>
          <w:p>
            <w:pPr>
              <w:pStyle w:val="0"/>
            </w:pPr>
            <w:r>
              <w:rPr>
                <w:sz w:val="20"/>
              </w:rPr>
              <w:t xml:space="preserve">5,2</w:t>
            </w:r>
          </w:p>
        </w:tc>
        <w:tc>
          <w:tcPr>
            <w:tcW w:w="1084" w:type="dxa"/>
          </w:tcPr>
          <w:p>
            <w:pPr>
              <w:pStyle w:val="0"/>
            </w:pPr>
            <w:r>
              <w:rPr>
                <w:sz w:val="20"/>
              </w:rPr>
              <w:t xml:space="preserve">4,2</w:t>
            </w:r>
          </w:p>
        </w:tc>
        <w:tc>
          <w:tcPr>
            <w:tcW w:w="859" w:type="dxa"/>
          </w:tcPr>
          <w:p>
            <w:pPr>
              <w:pStyle w:val="0"/>
            </w:pPr>
            <w:r>
              <w:rPr>
                <w:sz w:val="20"/>
              </w:rPr>
              <w:t xml:space="preserve">8,0</w:t>
            </w:r>
          </w:p>
        </w:tc>
        <w:tc>
          <w:tcPr>
            <w:tcW w:w="1084" w:type="dxa"/>
          </w:tcPr>
          <w:p>
            <w:pPr>
              <w:pStyle w:val="0"/>
            </w:pPr>
            <w:r>
              <w:rPr>
                <w:sz w:val="20"/>
              </w:rPr>
              <w:t xml:space="preserve">6,0</w:t>
            </w:r>
          </w:p>
        </w:tc>
        <w:tc>
          <w:tcPr>
            <w:tcW w:w="859" w:type="dxa"/>
          </w:tcPr>
          <w:p>
            <w:pPr>
              <w:pStyle w:val="0"/>
            </w:pPr>
            <w:r>
              <w:rPr>
                <w:sz w:val="20"/>
              </w:rPr>
              <w:t xml:space="preserve">6,2</w:t>
            </w:r>
          </w:p>
        </w:tc>
        <w:tc>
          <w:tcPr>
            <w:tcW w:w="1084" w:type="dxa"/>
          </w:tcPr>
          <w:p>
            <w:pPr>
              <w:pStyle w:val="0"/>
            </w:pPr>
            <w:r>
              <w:rPr>
                <w:sz w:val="20"/>
              </w:rPr>
              <w:t xml:space="preserve">5,7</w:t>
            </w:r>
          </w:p>
        </w:tc>
        <w:tc>
          <w:tcPr>
            <w:tcW w:w="859" w:type="dxa"/>
          </w:tcPr>
          <w:p>
            <w:pPr>
              <w:pStyle w:val="0"/>
            </w:pPr>
            <w:r>
              <w:rPr>
                <w:sz w:val="20"/>
              </w:rPr>
              <w:t xml:space="preserve">8,5</w:t>
            </w:r>
          </w:p>
        </w:tc>
        <w:tc>
          <w:tcPr>
            <w:tcW w:w="1084" w:type="dxa"/>
          </w:tcPr>
          <w:p>
            <w:pPr>
              <w:pStyle w:val="0"/>
            </w:pPr>
            <w:r>
              <w:rPr>
                <w:sz w:val="20"/>
              </w:rPr>
              <w:t xml:space="preserve">6,0</w:t>
            </w:r>
          </w:p>
        </w:tc>
        <w:tc>
          <w:tcPr>
            <w:tcW w:w="859" w:type="dxa"/>
          </w:tcPr>
          <w:p>
            <w:pPr>
              <w:pStyle w:val="0"/>
            </w:pPr>
            <w:r>
              <w:rPr>
                <w:sz w:val="20"/>
              </w:rPr>
              <w:t xml:space="preserve">6,9</w:t>
            </w:r>
          </w:p>
        </w:tc>
        <w:tc>
          <w:tcPr>
            <w:tcW w:w="1084" w:type="dxa"/>
          </w:tcPr>
          <w:p>
            <w:pPr>
              <w:pStyle w:val="0"/>
            </w:pPr>
            <w:r>
              <w:rPr>
                <w:sz w:val="20"/>
              </w:rPr>
              <w:t xml:space="preserve">4,3</w:t>
            </w:r>
          </w:p>
        </w:tc>
      </w:tr>
      <w:tr>
        <w:tc>
          <w:tcPr>
            <w:tcW w:w="2089" w:type="dxa"/>
            <w:vMerge w:val="restart"/>
          </w:tcPr>
          <w:p>
            <w:pPr>
              <w:pStyle w:val="0"/>
            </w:pPr>
            <w:r>
              <w:rPr>
                <w:sz w:val="20"/>
              </w:rPr>
              <w:t xml:space="preserve">полостей носа, среднего уха, придаточных пазух (С30, 31)</w:t>
            </w:r>
          </w:p>
        </w:tc>
        <w:tc>
          <w:tcPr>
            <w:tcW w:w="850" w:type="dxa"/>
          </w:tcPr>
          <w:p>
            <w:pPr>
              <w:pStyle w:val="0"/>
            </w:pPr>
            <w:r>
              <w:rPr>
                <w:sz w:val="20"/>
              </w:rPr>
              <w:t xml:space="preserve">оба пола</w:t>
            </w:r>
          </w:p>
        </w:tc>
        <w:tc>
          <w:tcPr>
            <w:tcW w:w="859" w:type="dxa"/>
          </w:tcPr>
          <w:p>
            <w:pPr>
              <w:pStyle w:val="0"/>
            </w:pPr>
            <w:r>
              <w:rPr>
                <w:sz w:val="20"/>
              </w:rPr>
              <w:t xml:space="preserve">0,3</w:t>
            </w:r>
          </w:p>
        </w:tc>
        <w:tc>
          <w:tcPr>
            <w:tcW w:w="1084" w:type="dxa"/>
          </w:tcPr>
          <w:p>
            <w:pPr>
              <w:pStyle w:val="0"/>
            </w:pPr>
            <w:r>
              <w:rPr>
                <w:sz w:val="20"/>
              </w:rPr>
              <w:t xml:space="preserve">0,4</w:t>
            </w:r>
          </w:p>
        </w:tc>
        <w:tc>
          <w:tcPr>
            <w:tcW w:w="859" w:type="dxa"/>
          </w:tcPr>
          <w:p>
            <w:pPr>
              <w:pStyle w:val="0"/>
            </w:pPr>
            <w:r>
              <w:rPr>
                <w:sz w:val="20"/>
              </w:rPr>
              <w:t xml:space="preserve">0,4</w:t>
            </w:r>
          </w:p>
        </w:tc>
        <w:tc>
          <w:tcPr>
            <w:tcW w:w="1084" w:type="dxa"/>
          </w:tcPr>
          <w:p>
            <w:pPr>
              <w:pStyle w:val="0"/>
            </w:pPr>
            <w:r>
              <w:rPr>
                <w:sz w:val="20"/>
              </w:rPr>
              <w:t xml:space="preserve">0,2</w:t>
            </w:r>
          </w:p>
        </w:tc>
        <w:tc>
          <w:tcPr>
            <w:tcW w:w="859" w:type="dxa"/>
          </w:tcPr>
          <w:p>
            <w:pPr>
              <w:pStyle w:val="0"/>
            </w:pPr>
            <w:r>
              <w:rPr>
                <w:sz w:val="20"/>
              </w:rPr>
              <w:t xml:space="preserve">0,3</w:t>
            </w:r>
          </w:p>
        </w:tc>
        <w:tc>
          <w:tcPr>
            <w:tcW w:w="1084" w:type="dxa"/>
          </w:tcPr>
          <w:p>
            <w:pPr>
              <w:pStyle w:val="0"/>
            </w:pPr>
            <w:r>
              <w:rPr>
                <w:sz w:val="20"/>
              </w:rPr>
              <w:t xml:space="preserve">0,4</w:t>
            </w:r>
          </w:p>
        </w:tc>
        <w:tc>
          <w:tcPr>
            <w:tcW w:w="859" w:type="dxa"/>
          </w:tcPr>
          <w:p>
            <w:pPr>
              <w:pStyle w:val="0"/>
            </w:pPr>
            <w:r>
              <w:rPr>
                <w:sz w:val="20"/>
              </w:rPr>
              <w:t xml:space="preserve">0,4</w:t>
            </w:r>
          </w:p>
        </w:tc>
        <w:tc>
          <w:tcPr>
            <w:tcW w:w="1084" w:type="dxa"/>
          </w:tcPr>
          <w:p>
            <w:pPr>
              <w:pStyle w:val="0"/>
            </w:pPr>
            <w:r>
              <w:rPr>
                <w:sz w:val="20"/>
              </w:rPr>
              <w:t xml:space="preserve">0,5</w:t>
            </w:r>
          </w:p>
        </w:tc>
        <w:tc>
          <w:tcPr>
            <w:tcW w:w="859" w:type="dxa"/>
          </w:tcPr>
          <w:p>
            <w:pPr>
              <w:pStyle w:val="0"/>
            </w:pPr>
            <w:r>
              <w:rPr>
                <w:sz w:val="20"/>
              </w:rPr>
              <w:t xml:space="preserve">0,4</w:t>
            </w:r>
          </w:p>
        </w:tc>
        <w:tc>
          <w:tcPr>
            <w:tcW w:w="1084" w:type="dxa"/>
          </w:tcPr>
          <w:p>
            <w:pPr>
              <w:pStyle w:val="0"/>
            </w:pPr>
            <w:r>
              <w:rPr>
                <w:sz w:val="20"/>
              </w:rPr>
              <w:t xml:space="preserve">0,4</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0,4</w:t>
            </w:r>
          </w:p>
        </w:tc>
        <w:tc>
          <w:tcPr>
            <w:tcW w:w="1084" w:type="dxa"/>
          </w:tcPr>
          <w:p>
            <w:pPr>
              <w:pStyle w:val="0"/>
            </w:pPr>
            <w:r>
              <w:rPr>
                <w:sz w:val="20"/>
              </w:rPr>
              <w:t xml:space="preserve">0,3</w:t>
            </w:r>
          </w:p>
        </w:tc>
        <w:tc>
          <w:tcPr>
            <w:tcW w:w="859" w:type="dxa"/>
          </w:tcPr>
          <w:p>
            <w:pPr>
              <w:pStyle w:val="0"/>
            </w:pPr>
            <w:r>
              <w:rPr>
                <w:sz w:val="20"/>
              </w:rPr>
              <w:t xml:space="preserve">0,5</w:t>
            </w:r>
          </w:p>
        </w:tc>
        <w:tc>
          <w:tcPr>
            <w:tcW w:w="1084" w:type="dxa"/>
          </w:tcPr>
          <w:p>
            <w:pPr>
              <w:pStyle w:val="0"/>
            </w:pPr>
            <w:r>
              <w:rPr>
                <w:sz w:val="20"/>
              </w:rPr>
              <w:t xml:space="preserve">1,2</w:t>
            </w:r>
          </w:p>
        </w:tc>
        <w:tc>
          <w:tcPr>
            <w:tcW w:w="859" w:type="dxa"/>
          </w:tcPr>
          <w:p>
            <w:pPr>
              <w:pStyle w:val="0"/>
            </w:pPr>
            <w:r>
              <w:rPr>
                <w:sz w:val="20"/>
              </w:rPr>
              <w:t xml:space="preserve">0,6</w:t>
            </w:r>
          </w:p>
        </w:tc>
        <w:tc>
          <w:tcPr>
            <w:tcW w:w="1084" w:type="dxa"/>
          </w:tcPr>
          <w:p>
            <w:pPr>
              <w:pStyle w:val="0"/>
            </w:pPr>
            <w:r>
              <w:rPr>
                <w:sz w:val="20"/>
              </w:rPr>
              <w:t xml:space="preserve">0,4</w:t>
            </w:r>
          </w:p>
        </w:tc>
        <w:tc>
          <w:tcPr>
            <w:tcW w:w="859" w:type="dxa"/>
          </w:tcPr>
          <w:p>
            <w:pPr>
              <w:pStyle w:val="0"/>
            </w:pPr>
            <w:r>
              <w:rPr>
                <w:sz w:val="20"/>
              </w:rPr>
              <w:t xml:space="preserve">0,4</w:t>
            </w:r>
          </w:p>
        </w:tc>
        <w:tc>
          <w:tcPr>
            <w:tcW w:w="1084" w:type="dxa"/>
          </w:tcPr>
          <w:p>
            <w:pPr>
              <w:pStyle w:val="0"/>
            </w:pPr>
            <w:r>
              <w:rPr>
                <w:sz w:val="20"/>
              </w:rPr>
              <w:t xml:space="preserve">0,3</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0,5</w:t>
            </w:r>
          </w:p>
        </w:tc>
        <w:tc>
          <w:tcPr>
            <w:tcW w:w="1084" w:type="dxa"/>
          </w:tcPr>
          <w:p>
            <w:pPr>
              <w:pStyle w:val="0"/>
            </w:pPr>
            <w:r>
              <w:rPr>
                <w:sz w:val="20"/>
              </w:rPr>
              <w:t xml:space="preserve">1,1</w:t>
            </w:r>
          </w:p>
        </w:tc>
        <w:tc>
          <w:tcPr>
            <w:tcW w:w="859" w:type="dxa"/>
          </w:tcPr>
          <w:p>
            <w:pPr>
              <w:pStyle w:val="0"/>
            </w:pPr>
            <w:r>
              <w:rPr>
                <w:sz w:val="20"/>
              </w:rPr>
              <w:t xml:space="preserve">0,5</w:t>
            </w:r>
          </w:p>
        </w:tc>
        <w:tc>
          <w:tcPr>
            <w:tcW w:w="1084" w:type="dxa"/>
          </w:tcPr>
          <w:p>
            <w:pPr>
              <w:pStyle w:val="0"/>
            </w:pPr>
            <w:r>
              <w:rPr>
                <w:sz w:val="20"/>
              </w:rPr>
              <w:t xml:space="preserve">0,2</w:t>
            </w:r>
          </w:p>
        </w:tc>
        <w:tc>
          <w:tcPr>
            <w:tcW w:w="859" w:type="dxa"/>
          </w:tcPr>
          <w:p>
            <w:pPr>
              <w:pStyle w:val="0"/>
            </w:pPr>
            <w:r>
              <w:rPr>
                <w:sz w:val="20"/>
              </w:rPr>
              <w:t xml:space="preserve">0,4</w:t>
            </w:r>
          </w:p>
        </w:tc>
        <w:tc>
          <w:tcPr>
            <w:tcW w:w="1084" w:type="dxa"/>
          </w:tcPr>
          <w:p>
            <w:pPr>
              <w:pStyle w:val="0"/>
            </w:pPr>
            <w:r>
              <w:rPr>
                <w:sz w:val="20"/>
              </w:rPr>
              <w:t xml:space="preserve">0,8</w:t>
            </w:r>
          </w:p>
        </w:tc>
        <w:tc>
          <w:tcPr>
            <w:tcW w:w="859" w:type="dxa"/>
          </w:tcPr>
          <w:p>
            <w:pPr>
              <w:pStyle w:val="0"/>
            </w:pPr>
            <w:r>
              <w:rPr>
                <w:sz w:val="20"/>
              </w:rPr>
              <w:t xml:space="preserve">0,6</w:t>
            </w:r>
          </w:p>
        </w:tc>
        <w:tc>
          <w:tcPr>
            <w:tcW w:w="1084" w:type="dxa"/>
          </w:tcPr>
          <w:p>
            <w:pPr>
              <w:pStyle w:val="0"/>
            </w:pPr>
            <w:r>
              <w:rPr>
                <w:sz w:val="20"/>
              </w:rPr>
              <w:t xml:space="preserve">0,6</w:t>
            </w:r>
          </w:p>
        </w:tc>
        <w:tc>
          <w:tcPr>
            <w:tcW w:w="859" w:type="dxa"/>
          </w:tcPr>
          <w:p>
            <w:pPr>
              <w:pStyle w:val="0"/>
            </w:pPr>
            <w:r>
              <w:rPr>
                <w:sz w:val="20"/>
              </w:rPr>
              <w:t xml:space="preserve">0,6</w:t>
            </w:r>
          </w:p>
        </w:tc>
        <w:tc>
          <w:tcPr>
            <w:tcW w:w="1084" w:type="dxa"/>
          </w:tcPr>
          <w:p>
            <w:pPr>
              <w:pStyle w:val="0"/>
            </w:pPr>
            <w:r>
              <w:rPr>
                <w:sz w:val="20"/>
              </w:rPr>
              <w:t xml:space="preserve">0,9</w:t>
            </w:r>
          </w:p>
        </w:tc>
        <w:tc>
          <w:tcPr>
            <w:tcW w:w="859" w:type="dxa"/>
          </w:tcPr>
          <w:p>
            <w:pPr>
              <w:pStyle w:val="0"/>
            </w:pPr>
            <w:r>
              <w:rPr>
                <w:sz w:val="20"/>
              </w:rPr>
              <w:t xml:space="preserve">0,3</w:t>
            </w:r>
          </w:p>
        </w:tc>
        <w:tc>
          <w:tcPr>
            <w:tcW w:w="1084" w:type="dxa"/>
          </w:tcPr>
          <w:p>
            <w:pPr>
              <w:pStyle w:val="0"/>
            </w:pPr>
            <w:r>
              <w:rPr>
                <w:sz w:val="20"/>
              </w:rPr>
              <w:t xml:space="preserve">0,3</w:t>
            </w:r>
          </w:p>
        </w:tc>
        <w:tc>
          <w:tcPr>
            <w:tcW w:w="859" w:type="dxa"/>
          </w:tcPr>
          <w:p>
            <w:pPr>
              <w:pStyle w:val="0"/>
            </w:pPr>
            <w:r>
              <w:rPr>
                <w:sz w:val="20"/>
              </w:rPr>
              <w:t xml:space="preserve">0,6</w:t>
            </w:r>
          </w:p>
        </w:tc>
        <w:tc>
          <w:tcPr>
            <w:tcW w:w="1084" w:type="dxa"/>
          </w:tcPr>
          <w:p>
            <w:pPr>
              <w:pStyle w:val="0"/>
            </w:pPr>
            <w:r>
              <w:rPr>
                <w:sz w:val="20"/>
              </w:rPr>
              <w:t xml:space="preserve">0,5</w:t>
            </w:r>
          </w:p>
        </w:tc>
        <w:tc>
          <w:tcPr>
            <w:tcW w:w="859" w:type="dxa"/>
          </w:tcPr>
          <w:p>
            <w:pPr>
              <w:pStyle w:val="0"/>
            </w:pPr>
            <w:r>
              <w:rPr>
                <w:sz w:val="20"/>
              </w:rPr>
              <w:t xml:space="preserve">0,9</w:t>
            </w:r>
          </w:p>
        </w:tc>
        <w:tc>
          <w:tcPr>
            <w:tcW w:w="1084" w:type="dxa"/>
          </w:tcPr>
          <w:p>
            <w:pPr>
              <w:pStyle w:val="0"/>
            </w:pPr>
            <w:r>
              <w:rPr>
                <w:sz w:val="20"/>
              </w:rPr>
              <w:t xml:space="preserve">1,0</w:t>
            </w:r>
          </w:p>
        </w:tc>
        <w:tc>
          <w:tcPr>
            <w:tcW w:w="859" w:type="dxa"/>
          </w:tcPr>
          <w:p>
            <w:pPr>
              <w:pStyle w:val="0"/>
            </w:pPr>
            <w:r>
              <w:rPr>
                <w:sz w:val="20"/>
              </w:rPr>
              <w:t xml:space="preserve">0,7</w:t>
            </w:r>
          </w:p>
        </w:tc>
        <w:tc>
          <w:tcPr>
            <w:tcW w:w="1084" w:type="dxa"/>
          </w:tcPr>
          <w:p>
            <w:pPr>
              <w:pStyle w:val="0"/>
            </w:pPr>
            <w:r>
              <w:rPr>
                <w:sz w:val="20"/>
              </w:rPr>
              <w:t xml:space="preserve">0,5</w:t>
            </w:r>
          </w:p>
        </w:tc>
        <w:tc>
          <w:tcPr>
            <w:tcW w:w="859" w:type="dxa"/>
          </w:tcPr>
          <w:p>
            <w:pPr>
              <w:pStyle w:val="0"/>
            </w:pPr>
            <w:r>
              <w:rPr>
                <w:sz w:val="20"/>
              </w:rPr>
              <w:t xml:space="preserve">0,6</w:t>
            </w:r>
          </w:p>
        </w:tc>
        <w:tc>
          <w:tcPr>
            <w:tcW w:w="1084" w:type="dxa"/>
          </w:tcPr>
          <w:p>
            <w:pPr>
              <w:pStyle w:val="0"/>
            </w:pPr>
            <w:r>
              <w:rPr>
                <w:sz w:val="20"/>
              </w:rPr>
              <w:t xml:space="preserve">0,4</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0,1</w:t>
            </w:r>
          </w:p>
        </w:tc>
        <w:tc>
          <w:tcPr>
            <w:tcW w:w="1084" w:type="dxa"/>
          </w:tcPr>
          <w:p>
            <w:pPr>
              <w:pStyle w:val="0"/>
            </w:pPr>
            <w:r>
              <w:rPr>
                <w:sz w:val="20"/>
              </w:rPr>
              <w:t xml:space="preserve">0,1</w:t>
            </w:r>
          </w:p>
        </w:tc>
        <w:tc>
          <w:tcPr>
            <w:tcW w:w="859" w:type="dxa"/>
          </w:tcPr>
          <w:p>
            <w:pPr>
              <w:pStyle w:val="0"/>
            </w:pPr>
            <w:r>
              <w:rPr>
                <w:sz w:val="20"/>
              </w:rPr>
              <w:t xml:space="preserve">0,2</w:t>
            </w:r>
          </w:p>
        </w:tc>
        <w:tc>
          <w:tcPr>
            <w:tcW w:w="1084" w:type="dxa"/>
          </w:tcPr>
          <w:p>
            <w:pPr>
              <w:pStyle w:val="0"/>
            </w:pPr>
            <w:r>
              <w:rPr>
                <w:sz w:val="20"/>
              </w:rPr>
              <w:t xml:space="preserve">0,1</w:t>
            </w:r>
          </w:p>
        </w:tc>
        <w:tc>
          <w:tcPr>
            <w:tcW w:w="859" w:type="dxa"/>
          </w:tcPr>
          <w:p>
            <w:pPr>
              <w:pStyle w:val="0"/>
            </w:pPr>
            <w:r>
              <w:rPr>
                <w:sz w:val="20"/>
              </w:rPr>
              <w:t xml:space="preserve">0,1</w:t>
            </w:r>
          </w:p>
        </w:tc>
        <w:tc>
          <w:tcPr>
            <w:tcW w:w="1084" w:type="dxa"/>
          </w:tcPr>
          <w:p>
            <w:pPr>
              <w:pStyle w:val="0"/>
            </w:pPr>
            <w:r>
              <w:rPr>
                <w:sz w:val="20"/>
              </w:rPr>
              <w:t xml:space="preserve">0,1</w:t>
            </w:r>
          </w:p>
        </w:tc>
        <w:tc>
          <w:tcPr>
            <w:tcW w:w="859" w:type="dxa"/>
          </w:tcPr>
          <w:p>
            <w:pPr>
              <w:pStyle w:val="0"/>
            </w:pPr>
            <w:r>
              <w:rPr>
                <w:sz w:val="20"/>
              </w:rPr>
              <w:t xml:space="preserve">0,1</w:t>
            </w:r>
          </w:p>
        </w:tc>
        <w:tc>
          <w:tcPr>
            <w:tcW w:w="1084" w:type="dxa"/>
          </w:tcPr>
          <w:p>
            <w:pPr>
              <w:pStyle w:val="0"/>
            </w:pPr>
            <w:r>
              <w:rPr>
                <w:sz w:val="20"/>
              </w:rPr>
              <w:t xml:space="preserve">0,2</w:t>
            </w:r>
          </w:p>
        </w:tc>
        <w:tc>
          <w:tcPr>
            <w:tcW w:w="859" w:type="dxa"/>
          </w:tcPr>
          <w:p>
            <w:pPr>
              <w:pStyle w:val="0"/>
            </w:pPr>
            <w:r>
              <w:rPr>
                <w:sz w:val="20"/>
              </w:rPr>
              <w:t xml:space="preserve">0,1</w:t>
            </w:r>
          </w:p>
        </w:tc>
        <w:tc>
          <w:tcPr>
            <w:tcW w:w="1084" w:type="dxa"/>
          </w:tcPr>
          <w:p>
            <w:pPr>
              <w:pStyle w:val="0"/>
            </w:pPr>
            <w:r>
              <w:rPr>
                <w:sz w:val="20"/>
              </w:rPr>
              <w:t xml:space="preserve">0,1</w:t>
            </w:r>
          </w:p>
        </w:tc>
        <w:tc>
          <w:tcPr>
            <w:tcW w:w="859" w:type="dxa"/>
          </w:tcPr>
          <w:p>
            <w:pPr>
              <w:pStyle w:val="0"/>
            </w:pPr>
            <w:r>
              <w:rPr>
                <w:sz w:val="20"/>
              </w:rPr>
              <w:t xml:space="preserve">0,2</w:t>
            </w:r>
          </w:p>
        </w:tc>
        <w:tc>
          <w:tcPr>
            <w:tcW w:w="1084" w:type="dxa"/>
          </w:tcPr>
          <w:p>
            <w:pPr>
              <w:pStyle w:val="0"/>
            </w:pPr>
            <w:r>
              <w:rPr>
                <w:sz w:val="20"/>
              </w:rPr>
              <w:t xml:space="preserve">0,1</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0,2</w:t>
            </w:r>
          </w:p>
        </w:tc>
        <w:tc>
          <w:tcPr>
            <w:tcW w:w="1084" w:type="dxa"/>
          </w:tcPr>
          <w:p>
            <w:pPr>
              <w:pStyle w:val="0"/>
            </w:pPr>
            <w:r>
              <w:rPr>
                <w:sz w:val="20"/>
              </w:rPr>
              <w:t xml:space="preserve">1,0</w:t>
            </w:r>
          </w:p>
        </w:tc>
        <w:tc>
          <w:tcPr>
            <w:tcW w:w="859" w:type="dxa"/>
          </w:tcPr>
          <w:p>
            <w:pPr>
              <w:pStyle w:val="0"/>
            </w:pPr>
            <w:r>
              <w:rPr>
                <w:sz w:val="20"/>
              </w:rPr>
              <w:t xml:space="preserve">0,5</w:t>
            </w:r>
          </w:p>
        </w:tc>
        <w:tc>
          <w:tcPr>
            <w:tcW w:w="1084" w:type="dxa"/>
          </w:tcPr>
          <w:p>
            <w:pPr>
              <w:pStyle w:val="0"/>
            </w:pPr>
            <w:r>
              <w:rPr>
                <w:sz w:val="20"/>
              </w:rPr>
              <w:t xml:space="preserve">0,3</w:t>
            </w:r>
          </w:p>
        </w:tc>
        <w:tc>
          <w:tcPr>
            <w:tcW w:w="859" w:type="dxa"/>
          </w:tcPr>
          <w:p>
            <w:pPr>
              <w:pStyle w:val="0"/>
            </w:pPr>
            <w:r>
              <w:rPr>
                <w:sz w:val="20"/>
              </w:rPr>
              <w:t xml:space="preserve">0,2</w:t>
            </w:r>
          </w:p>
        </w:tc>
        <w:tc>
          <w:tcPr>
            <w:tcW w:w="1084" w:type="dxa"/>
          </w:tcPr>
          <w:p>
            <w:pPr>
              <w:pStyle w:val="0"/>
            </w:pPr>
            <w:r>
              <w:rPr>
                <w:sz w:val="20"/>
              </w:rPr>
              <w:t xml:space="preserve">0,2</w:t>
            </w:r>
          </w:p>
        </w:tc>
      </w:tr>
      <w:tr>
        <w:tc>
          <w:tcPr>
            <w:tcW w:w="2089" w:type="dxa"/>
            <w:vMerge w:val="restart"/>
          </w:tcPr>
          <w:p>
            <w:pPr>
              <w:pStyle w:val="0"/>
            </w:pPr>
            <w:r>
              <w:rPr>
                <w:sz w:val="20"/>
              </w:rPr>
              <w:t xml:space="preserve">гортани (С32)</w:t>
            </w:r>
          </w:p>
        </w:tc>
        <w:tc>
          <w:tcPr>
            <w:tcW w:w="850" w:type="dxa"/>
          </w:tcPr>
          <w:p>
            <w:pPr>
              <w:pStyle w:val="0"/>
            </w:pPr>
            <w:r>
              <w:rPr>
                <w:sz w:val="20"/>
              </w:rPr>
              <w:t xml:space="preserve">оба пола</w:t>
            </w:r>
          </w:p>
        </w:tc>
        <w:tc>
          <w:tcPr>
            <w:tcW w:w="859" w:type="dxa"/>
          </w:tcPr>
          <w:p>
            <w:pPr>
              <w:pStyle w:val="0"/>
            </w:pPr>
            <w:r>
              <w:rPr>
                <w:sz w:val="20"/>
              </w:rPr>
              <w:t xml:space="preserve">3,2</w:t>
            </w:r>
          </w:p>
        </w:tc>
        <w:tc>
          <w:tcPr>
            <w:tcW w:w="1084" w:type="dxa"/>
          </w:tcPr>
          <w:p>
            <w:pPr>
              <w:pStyle w:val="0"/>
            </w:pPr>
            <w:r>
              <w:rPr>
                <w:sz w:val="20"/>
              </w:rPr>
              <w:t xml:space="preserve">3,8</w:t>
            </w:r>
          </w:p>
        </w:tc>
        <w:tc>
          <w:tcPr>
            <w:tcW w:w="859" w:type="dxa"/>
          </w:tcPr>
          <w:p>
            <w:pPr>
              <w:pStyle w:val="0"/>
            </w:pPr>
            <w:r>
              <w:rPr>
                <w:sz w:val="20"/>
              </w:rPr>
              <w:t xml:space="preserve">1,8</w:t>
            </w:r>
          </w:p>
        </w:tc>
        <w:tc>
          <w:tcPr>
            <w:tcW w:w="1084" w:type="dxa"/>
          </w:tcPr>
          <w:p>
            <w:pPr>
              <w:pStyle w:val="0"/>
            </w:pPr>
            <w:r>
              <w:rPr>
                <w:sz w:val="20"/>
              </w:rPr>
              <w:t xml:space="preserve">1,4</w:t>
            </w:r>
          </w:p>
        </w:tc>
        <w:tc>
          <w:tcPr>
            <w:tcW w:w="859" w:type="dxa"/>
          </w:tcPr>
          <w:p>
            <w:pPr>
              <w:pStyle w:val="0"/>
            </w:pPr>
            <w:r>
              <w:rPr>
                <w:sz w:val="20"/>
              </w:rPr>
              <w:t xml:space="preserve">3,4</w:t>
            </w:r>
          </w:p>
        </w:tc>
        <w:tc>
          <w:tcPr>
            <w:tcW w:w="1084" w:type="dxa"/>
          </w:tcPr>
          <w:p>
            <w:pPr>
              <w:pStyle w:val="0"/>
            </w:pPr>
            <w:r>
              <w:rPr>
                <w:sz w:val="20"/>
              </w:rPr>
              <w:t xml:space="preserve">3,8</w:t>
            </w:r>
          </w:p>
        </w:tc>
        <w:tc>
          <w:tcPr>
            <w:tcW w:w="859" w:type="dxa"/>
          </w:tcPr>
          <w:p>
            <w:pPr>
              <w:pStyle w:val="0"/>
            </w:pPr>
            <w:r>
              <w:rPr>
                <w:sz w:val="20"/>
              </w:rPr>
              <w:t xml:space="preserve">3,0</w:t>
            </w:r>
          </w:p>
        </w:tc>
        <w:tc>
          <w:tcPr>
            <w:tcW w:w="1084" w:type="dxa"/>
          </w:tcPr>
          <w:p>
            <w:pPr>
              <w:pStyle w:val="0"/>
            </w:pPr>
            <w:r>
              <w:rPr>
                <w:sz w:val="20"/>
              </w:rPr>
              <w:t xml:space="preserve">3,3</w:t>
            </w:r>
          </w:p>
        </w:tc>
        <w:tc>
          <w:tcPr>
            <w:tcW w:w="859" w:type="dxa"/>
          </w:tcPr>
          <w:p>
            <w:pPr>
              <w:pStyle w:val="0"/>
            </w:pPr>
            <w:r>
              <w:rPr>
                <w:sz w:val="20"/>
              </w:rPr>
              <w:t xml:space="preserve">2,7</w:t>
            </w:r>
          </w:p>
        </w:tc>
        <w:tc>
          <w:tcPr>
            <w:tcW w:w="1084" w:type="dxa"/>
          </w:tcPr>
          <w:p>
            <w:pPr>
              <w:pStyle w:val="0"/>
            </w:pPr>
            <w:r>
              <w:rPr>
                <w:sz w:val="20"/>
              </w:rPr>
              <w:t xml:space="preserve">2,4</w:t>
            </w:r>
          </w:p>
        </w:tc>
        <w:tc>
          <w:tcPr>
            <w:tcW w:w="859" w:type="dxa"/>
          </w:tcPr>
          <w:p>
            <w:pPr>
              <w:pStyle w:val="0"/>
            </w:pPr>
            <w:r>
              <w:rPr>
                <w:sz w:val="20"/>
              </w:rPr>
              <w:t xml:space="preserve">3,2</w:t>
            </w:r>
          </w:p>
        </w:tc>
        <w:tc>
          <w:tcPr>
            <w:tcW w:w="1084" w:type="dxa"/>
          </w:tcPr>
          <w:p>
            <w:pPr>
              <w:pStyle w:val="0"/>
            </w:pPr>
            <w:r>
              <w:rPr>
                <w:sz w:val="20"/>
              </w:rPr>
              <w:t xml:space="preserve">2,3</w:t>
            </w:r>
          </w:p>
        </w:tc>
        <w:tc>
          <w:tcPr>
            <w:tcW w:w="859" w:type="dxa"/>
          </w:tcPr>
          <w:p>
            <w:pPr>
              <w:pStyle w:val="0"/>
            </w:pPr>
            <w:r>
              <w:rPr>
                <w:sz w:val="20"/>
              </w:rPr>
              <w:t xml:space="preserve">3,7</w:t>
            </w:r>
          </w:p>
        </w:tc>
        <w:tc>
          <w:tcPr>
            <w:tcW w:w="1084" w:type="dxa"/>
          </w:tcPr>
          <w:p>
            <w:pPr>
              <w:pStyle w:val="0"/>
            </w:pPr>
            <w:r>
              <w:rPr>
                <w:sz w:val="20"/>
              </w:rPr>
              <w:t xml:space="preserve">2,9</w:t>
            </w:r>
          </w:p>
        </w:tc>
        <w:tc>
          <w:tcPr>
            <w:tcW w:w="859" w:type="dxa"/>
          </w:tcPr>
          <w:p>
            <w:pPr>
              <w:pStyle w:val="0"/>
            </w:pPr>
            <w:r>
              <w:rPr>
                <w:sz w:val="20"/>
              </w:rPr>
              <w:t xml:space="preserve">2,8</w:t>
            </w:r>
          </w:p>
        </w:tc>
        <w:tc>
          <w:tcPr>
            <w:tcW w:w="1084" w:type="dxa"/>
          </w:tcPr>
          <w:p>
            <w:pPr>
              <w:pStyle w:val="0"/>
            </w:pPr>
            <w:r>
              <w:rPr>
                <w:sz w:val="20"/>
              </w:rPr>
              <w:t xml:space="preserve">2,4</w:t>
            </w:r>
          </w:p>
        </w:tc>
        <w:tc>
          <w:tcPr>
            <w:tcW w:w="859" w:type="dxa"/>
          </w:tcPr>
          <w:p>
            <w:pPr>
              <w:pStyle w:val="0"/>
            </w:pPr>
            <w:r>
              <w:rPr>
                <w:sz w:val="20"/>
              </w:rPr>
              <w:t xml:space="preserve">2,9</w:t>
            </w:r>
          </w:p>
        </w:tc>
        <w:tc>
          <w:tcPr>
            <w:tcW w:w="1084" w:type="dxa"/>
          </w:tcPr>
          <w:p>
            <w:pPr>
              <w:pStyle w:val="0"/>
            </w:pPr>
            <w:r>
              <w:rPr>
                <w:sz w:val="20"/>
              </w:rPr>
              <w:t xml:space="preserve">2,2</w:t>
            </w:r>
          </w:p>
        </w:tc>
        <w:tc>
          <w:tcPr>
            <w:tcW w:w="859" w:type="dxa"/>
          </w:tcPr>
          <w:p>
            <w:pPr>
              <w:pStyle w:val="0"/>
            </w:pPr>
            <w:r>
              <w:rPr>
                <w:sz w:val="20"/>
              </w:rPr>
              <w:t xml:space="preserve">3,1</w:t>
            </w:r>
          </w:p>
        </w:tc>
        <w:tc>
          <w:tcPr>
            <w:tcW w:w="1084" w:type="dxa"/>
          </w:tcPr>
          <w:p>
            <w:pPr>
              <w:pStyle w:val="0"/>
            </w:pPr>
            <w:r>
              <w:rPr>
                <w:sz w:val="20"/>
              </w:rPr>
              <w:t xml:space="preserve">2,3</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6,1</w:t>
            </w:r>
          </w:p>
        </w:tc>
        <w:tc>
          <w:tcPr>
            <w:tcW w:w="1084" w:type="dxa"/>
          </w:tcPr>
          <w:p>
            <w:pPr>
              <w:pStyle w:val="0"/>
            </w:pPr>
            <w:r>
              <w:rPr>
                <w:sz w:val="20"/>
              </w:rPr>
              <w:t xml:space="preserve">9,0</w:t>
            </w:r>
          </w:p>
        </w:tc>
        <w:tc>
          <w:tcPr>
            <w:tcW w:w="859" w:type="dxa"/>
          </w:tcPr>
          <w:p>
            <w:pPr>
              <w:pStyle w:val="0"/>
            </w:pPr>
            <w:r>
              <w:rPr>
                <w:sz w:val="20"/>
              </w:rPr>
              <w:t xml:space="preserve">3,4</w:t>
            </w:r>
          </w:p>
        </w:tc>
        <w:tc>
          <w:tcPr>
            <w:tcW w:w="1084" w:type="dxa"/>
          </w:tcPr>
          <w:p>
            <w:pPr>
              <w:pStyle w:val="0"/>
            </w:pPr>
            <w:r>
              <w:rPr>
                <w:sz w:val="20"/>
              </w:rPr>
              <w:t xml:space="preserve">3,2</w:t>
            </w:r>
          </w:p>
        </w:tc>
        <w:tc>
          <w:tcPr>
            <w:tcW w:w="859" w:type="dxa"/>
          </w:tcPr>
          <w:p>
            <w:pPr>
              <w:pStyle w:val="0"/>
            </w:pPr>
            <w:r>
              <w:rPr>
                <w:sz w:val="20"/>
              </w:rPr>
              <w:t xml:space="preserve">6,6</w:t>
            </w:r>
          </w:p>
        </w:tc>
        <w:tc>
          <w:tcPr>
            <w:tcW w:w="1084" w:type="dxa"/>
          </w:tcPr>
          <w:p>
            <w:pPr>
              <w:pStyle w:val="0"/>
            </w:pPr>
            <w:r>
              <w:rPr>
                <w:sz w:val="20"/>
              </w:rPr>
              <w:t xml:space="preserve">8,9</w:t>
            </w:r>
          </w:p>
        </w:tc>
        <w:tc>
          <w:tcPr>
            <w:tcW w:w="859" w:type="dxa"/>
          </w:tcPr>
          <w:p>
            <w:pPr>
              <w:pStyle w:val="0"/>
            </w:pPr>
            <w:r>
              <w:rPr>
                <w:sz w:val="20"/>
              </w:rPr>
              <w:t xml:space="preserve">5,6</w:t>
            </w:r>
          </w:p>
        </w:tc>
        <w:tc>
          <w:tcPr>
            <w:tcW w:w="1084" w:type="dxa"/>
          </w:tcPr>
          <w:p>
            <w:pPr>
              <w:pStyle w:val="0"/>
            </w:pPr>
            <w:r>
              <w:rPr>
                <w:sz w:val="20"/>
              </w:rPr>
              <w:t xml:space="preserve">7,2</w:t>
            </w:r>
          </w:p>
        </w:tc>
        <w:tc>
          <w:tcPr>
            <w:tcW w:w="859" w:type="dxa"/>
          </w:tcPr>
          <w:p>
            <w:pPr>
              <w:pStyle w:val="0"/>
            </w:pPr>
            <w:r>
              <w:rPr>
                <w:sz w:val="20"/>
              </w:rPr>
              <w:t xml:space="preserve">5,3</w:t>
            </w:r>
          </w:p>
        </w:tc>
        <w:tc>
          <w:tcPr>
            <w:tcW w:w="1084" w:type="dxa"/>
          </w:tcPr>
          <w:p>
            <w:pPr>
              <w:pStyle w:val="0"/>
            </w:pPr>
            <w:r>
              <w:rPr>
                <w:sz w:val="20"/>
              </w:rPr>
              <w:t xml:space="preserve">5,3</w:t>
            </w:r>
          </w:p>
        </w:tc>
        <w:tc>
          <w:tcPr>
            <w:tcW w:w="859" w:type="dxa"/>
          </w:tcPr>
          <w:p>
            <w:pPr>
              <w:pStyle w:val="0"/>
            </w:pPr>
            <w:r>
              <w:rPr>
                <w:sz w:val="20"/>
              </w:rPr>
              <w:t xml:space="preserve">6,3</w:t>
            </w:r>
          </w:p>
        </w:tc>
        <w:tc>
          <w:tcPr>
            <w:tcW w:w="1084" w:type="dxa"/>
          </w:tcPr>
          <w:p>
            <w:pPr>
              <w:pStyle w:val="0"/>
            </w:pPr>
            <w:r>
              <w:rPr>
                <w:sz w:val="20"/>
              </w:rPr>
              <w:t xml:space="preserve">5,1</w:t>
            </w:r>
          </w:p>
        </w:tc>
        <w:tc>
          <w:tcPr>
            <w:tcW w:w="859" w:type="dxa"/>
          </w:tcPr>
          <w:p>
            <w:pPr>
              <w:pStyle w:val="0"/>
            </w:pPr>
            <w:r>
              <w:rPr>
                <w:sz w:val="20"/>
              </w:rPr>
              <w:t xml:space="preserve">7,2</w:t>
            </w:r>
          </w:p>
        </w:tc>
        <w:tc>
          <w:tcPr>
            <w:tcW w:w="1084" w:type="dxa"/>
          </w:tcPr>
          <w:p>
            <w:pPr>
              <w:pStyle w:val="0"/>
            </w:pPr>
            <w:r>
              <w:rPr>
                <w:sz w:val="20"/>
              </w:rPr>
              <w:t xml:space="preserve">6,6</w:t>
            </w:r>
          </w:p>
        </w:tc>
        <w:tc>
          <w:tcPr>
            <w:tcW w:w="859" w:type="dxa"/>
          </w:tcPr>
          <w:p>
            <w:pPr>
              <w:pStyle w:val="0"/>
            </w:pPr>
            <w:r>
              <w:rPr>
                <w:sz w:val="20"/>
              </w:rPr>
              <w:t xml:space="preserve">5,0</w:t>
            </w:r>
          </w:p>
        </w:tc>
        <w:tc>
          <w:tcPr>
            <w:tcW w:w="1084" w:type="dxa"/>
          </w:tcPr>
          <w:p>
            <w:pPr>
              <w:pStyle w:val="0"/>
            </w:pPr>
            <w:r>
              <w:rPr>
                <w:sz w:val="20"/>
              </w:rPr>
              <w:t xml:space="preserve">6,1</w:t>
            </w:r>
          </w:p>
        </w:tc>
        <w:tc>
          <w:tcPr>
            <w:tcW w:w="859" w:type="dxa"/>
          </w:tcPr>
          <w:p>
            <w:pPr>
              <w:pStyle w:val="0"/>
            </w:pPr>
            <w:r>
              <w:rPr>
                <w:sz w:val="20"/>
              </w:rPr>
              <w:t xml:space="preserve">5,4</w:t>
            </w:r>
          </w:p>
        </w:tc>
        <w:tc>
          <w:tcPr>
            <w:tcW w:w="1084" w:type="dxa"/>
          </w:tcPr>
          <w:p>
            <w:pPr>
              <w:pStyle w:val="0"/>
            </w:pPr>
            <w:r>
              <w:rPr>
                <w:sz w:val="20"/>
              </w:rPr>
              <w:t xml:space="preserve">4,6</w:t>
            </w:r>
          </w:p>
        </w:tc>
        <w:tc>
          <w:tcPr>
            <w:tcW w:w="859" w:type="dxa"/>
          </w:tcPr>
          <w:p>
            <w:pPr>
              <w:pStyle w:val="0"/>
            </w:pPr>
            <w:r>
              <w:rPr>
                <w:sz w:val="20"/>
              </w:rPr>
              <w:t xml:space="preserve">5,2</w:t>
            </w:r>
          </w:p>
        </w:tc>
        <w:tc>
          <w:tcPr>
            <w:tcW w:w="1084" w:type="dxa"/>
          </w:tcPr>
          <w:p>
            <w:pPr>
              <w:pStyle w:val="0"/>
            </w:pPr>
            <w:r>
              <w:rPr>
                <w:sz w:val="20"/>
              </w:rPr>
              <w:t xml:space="preserve">1,9</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0,5</w:t>
            </w:r>
          </w:p>
        </w:tc>
        <w:tc>
          <w:tcPr>
            <w:tcW w:w="1084" w:type="dxa"/>
          </w:tcPr>
          <w:p>
            <w:pPr>
              <w:pStyle w:val="0"/>
            </w:pPr>
            <w:r>
              <w:rPr>
                <w:sz w:val="20"/>
              </w:rPr>
              <w:t xml:space="preserve">0,5</w:t>
            </w:r>
          </w:p>
        </w:tc>
        <w:tc>
          <w:tcPr>
            <w:tcW w:w="859" w:type="dxa"/>
          </w:tcPr>
          <w:p>
            <w:pPr>
              <w:pStyle w:val="0"/>
            </w:pPr>
            <w:r>
              <w:rPr>
                <w:sz w:val="20"/>
              </w:rPr>
              <w:t xml:space="preserve">0,2</w:t>
            </w:r>
          </w:p>
        </w:tc>
        <w:tc>
          <w:tcPr>
            <w:tcW w:w="1084" w:type="dxa"/>
          </w:tcPr>
          <w:p>
            <w:pPr>
              <w:pStyle w:val="0"/>
            </w:pPr>
            <w:r>
              <w:rPr>
                <w:sz w:val="20"/>
              </w:rPr>
              <w:t xml:space="preserve">0,1</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0,6</w:t>
            </w:r>
          </w:p>
        </w:tc>
        <w:tc>
          <w:tcPr>
            <w:tcW w:w="1084" w:type="dxa"/>
          </w:tcPr>
          <w:p>
            <w:pPr>
              <w:pStyle w:val="0"/>
            </w:pPr>
            <w:r>
              <w:rPr>
                <w:sz w:val="20"/>
              </w:rPr>
              <w:t xml:space="preserve">0,5</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0,2</w:t>
            </w:r>
          </w:p>
        </w:tc>
        <w:tc>
          <w:tcPr>
            <w:tcW w:w="1084" w:type="dxa"/>
          </w:tcPr>
          <w:p>
            <w:pPr>
              <w:pStyle w:val="0"/>
            </w:pPr>
            <w:r>
              <w:rPr>
                <w:sz w:val="20"/>
              </w:rPr>
              <w:t xml:space="preserve">0,3</w:t>
            </w:r>
          </w:p>
        </w:tc>
        <w:tc>
          <w:tcPr>
            <w:tcW w:w="859" w:type="dxa"/>
          </w:tcPr>
          <w:p>
            <w:pPr>
              <w:pStyle w:val="0"/>
            </w:pPr>
            <w:r>
              <w:rPr>
                <w:sz w:val="20"/>
              </w:rPr>
              <w:t xml:space="preserve">0,4</w:t>
            </w:r>
          </w:p>
        </w:tc>
        <w:tc>
          <w:tcPr>
            <w:tcW w:w="1084" w:type="dxa"/>
          </w:tcPr>
          <w:p>
            <w:pPr>
              <w:pStyle w:val="0"/>
            </w:pPr>
            <w:r>
              <w:rPr>
                <w:sz w:val="20"/>
              </w:rPr>
              <w:t xml:space="preserve">0,3</w:t>
            </w:r>
          </w:p>
        </w:tc>
        <w:tc>
          <w:tcPr>
            <w:tcW w:w="859" w:type="dxa"/>
          </w:tcPr>
          <w:p>
            <w:pPr>
              <w:pStyle w:val="0"/>
            </w:pPr>
            <w:r>
              <w:rPr>
                <w:sz w:val="20"/>
              </w:rPr>
              <w:t xml:space="preserve">0,7</w:t>
            </w:r>
          </w:p>
        </w:tc>
        <w:tc>
          <w:tcPr>
            <w:tcW w:w="1084" w:type="dxa"/>
          </w:tcPr>
          <w:p>
            <w:pPr>
              <w:pStyle w:val="0"/>
            </w:pPr>
            <w:r>
              <w:rPr>
                <w:sz w:val="20"/>
              </w:rPr>
              <w:t xml:space="preserve">0,2</w:t>
            </w:r>
          </w:p>
        </w:tc>
        <w:tc>
          <w:tcPr>
            <w:tcW w:w="859" w:type="dxa"/>
          </w:tcPr>
          <w:p>
            <w:pPr>
              <w:pStyle w:val="0"/>
            </w:pPr>
            <w:r>
              <w:rPr>
                <w:sz w:val="20"/>
              </w:rPr>
              <w:t xml:space="preserve">0,6</w:t>
            </w:r>
          </w:p>
        </w:tc>
        <w:tc>
          <w:tcPr>
            <w:tcW w:w="1084" w:type="dxa"/>
          </w:tcPr>
          <w:p>
            <w:pPr>
              <w:pStyle w:val="0"/>
            </w:pPr>
            <w:r>
              <w:rPr>
                <w:sz w:val="20"/>
              </w:rPr>
              <w:t xml:space="preserve">0,4</w:t>
            </w:r>
          </w:p>
        </w:tc>
        <w:tc>
          <w:tcPr>
            <w:tcW w:w="859" w:type="dxa"/>
          </w:tcPr>
          <w:p>
            <w:pPr>
              <w:pStyle w:val="0"/>
            </w:pPr>
            <w:r>
              <w:rPr>
                <w:sz w:val="20"/>
              </w:rPr>
              <w:t xml:space="preserve">0,8</w:t>
            </w:r>
          </w:p>
        </w:tc>
        <w:tc>
          <w:tcPr>
            <w:tcW w:w="1084" w:type="dxa"/>
          </w:tcPr>
          <w:p>
            <w:pPr>
              <w:pStyle w:val="0"/>
            </w:pPr>
            <w:r>
              <w:rPr>
                <w:sz w:val="20"/>
              </w:rPr>
              <w:t xml:space="preserve">0,5</w:t>
            </w:r>
          </w:p>
        </w:tc>
      </w:tr>
      <w:tr>
        <w:tc>
          <w:tcPr>
            <w:tcW w:w="2089" w:type="dxa"/>
            <w:vMerge w:val="restart"/>
          </w:tcPr>
          <w:p>
            <w:pPr>
              <w:pStyle w:val="0"/>
            </w:pPr>
            <w:r>
              <w:rPr>
                <w:sz w:val="20"/>
              </w:rPr>
              <w:t xml:space="preserve">трахеи, бронхов, легкого (С33, 34)</w:t>
            </w:r>
          </w:p>
        </w:tc>
        <w:tc>
          <w:tcPr>
            <w:tcW w:w="850" w:type="dxa"/>
          </w:tcPr>
          <w:p>
            <w:pPr>
              <w:pStyle w:val="0"/>
            </w:pPr>
            <w:r>
              <w:rPr>
                <w:sz w:val="20"/>
              </w:rPr>
              <w:t xml:space="preserve">оба пола</w:t>
            </w:r>
          </w:p>
        </w:tc>
        <w:tc>
          <w:tcPr>
            <w:tcW w:w="859" w:type="dxa"/>
          </w:tcPr>
          <w:p>
            <w:pPr>
              <w:pStyle w:val="0"/>
            </w:pPr>
            <w:r>
              <w:rPr>
                <w:sz w:val="20"/>
              </w:rPr>
              <w:t xml:space="preserve">24,0</w:t>
            </w:r>
          </w:p>
        </w:tc>
        <w:tc>
          <w:tcPr>
            <w:tcW w:w="1084" w:type="dxa"/>
          </w:tcPr>
          <w:p>
            <w:pPr>
              <w:pStyle w:val="0"/>
            </w:pPr>
            <w:r>
              <w:rPr>
                <w:sz w:val="20"/>
              </w:rPr>
              <w:t xml:space="preserve">32,7</w:t>
            </w:r>
          </w:p>
        </w:tc>
        <w:tc>
          <w:tcPr>
            <w:tcW w:w="859" w:type="dxa"/>
          </w:tcPr>
          <w:p>
            <w:pPr>
              <w:pStyle w:val="0"/>
            </w:pPr>
            <w:r>
              <w:rPr>
                <w:sz w:val="20"/>
              </w:rPr>
              <w:t xml:space="preserve">27,7</w:t>
            </w:r>
          </w:p>
        </w:tc>
        <w:tc>
          <w:tcPr>
            <w:tcW w:w="1084" w:type="dxa"/>
          </w:tcPr>
          <w:p>
            <w:pPr>
              <w:pStyle w:val="0"/>
            </w:pPr>
            <w:r>
              <w:rPr>
                <w:sz w:val="20"/>
              </w:rPr>
              <w:t xml:space="preserve">30,4</w:t>
            </w:r>
          </w:p>
        </w:tc>
        <w:tc>
          <w:tcPr>
            <w:tcW w:w="859" w:type="dxa"/>
          </w:tcPr>
          <w:p>
            <w:pPr>
              <w:pStyle w:val="0"/>
            </w:pPr>
            <w:r>
              <w:rPr>
                <w:sz w:val="20"/>
              </w:rPr>
              <w:t xml:space="preserve">25,1</w:t>
            </w:r>
          </w:p>
        </w:tc>
        <w:tc>
          <w:tcPr>
            <w:tcW w:w="1084" w:type="dxa"/>
          </w:tcPr>
          <w:p>
            <w:pPr>
              <w:pStyle w:val="0"/>
            </w:pPr>
            <w:r>
              <w:rPr>
                <w:sz w:val="20"/>
              </w:rPr>
              <w:t xml:space="preserve">26,6</w:t>
            </w:r>
          </w:p>
        </w:tc>
        <w:tc>
          <w:tcPr>
            <w:tcW w:w="859" w:type="dxa"/>
          </w:tcPr>
          <w:p>
            <w:pPr>
              <w:pStyle w:val="0"/>
            </w:pPr>
            <w:r>
              <w:rPr>
                <w:sz w:val="20"/>
              </w:rPr>
              <w:t xml:space="preserve">32,7</w:t>
            </w:r>
          </w:p>
        </w:tc>
        <w:tc>
          <w:tcPr>
            <w:tcW w:w="1084" w:type="dxa"/>
          </w:tcPr>
          <w:p>
            <w:pPr>
              <w:pStyle w:val="0"/>
            </w:pPr>
            <w:r>
              <w:rPr>
                <w:sz w:val="20"/>
              </w:rPr>
              <w:t xml:space="preserve">38,1</w:t>
            </w:r>
          </w:p>
        </w:tc>
        <w:tc>
          <w:tcPr>
            <w:tcW w:w="859" w:type="dxa"/>
          </w:tcPr>
          <w:p>
            <w:pPr>
              <w:pStyle w:val="0"/>
            </w:pPr>
            <w:r>
              <w:rPr>
                <w:sz w:val="20"/>
              </w:rPr>
              <w:t xml:space="preserve">32,0</w:t>
            </w:r>
          </w:p>
        </w:tc>
        <w:tc>
          <w:tcPr>
            <w:tcW w:w="1084" w:type="dxa"/>
          </w:tcPr>
          <w:p>
            <w:pPr>
              <w:pStyle w:val="0"/>
            </w:pPr>
            <w:r>
              <w:rPr>
                <w:sz w:val="20"/>
              </w:rPr>
              <w:t xml:space="preserve">37,7</w:t>
            </w:r>
          </w:p>
        </w:tc>
        <w:tc>
          <w:tcPr>
            <w:tcW w:w="859" w:type="dxa"/>
          </w:tcPr>
          <w:p>
            <w:pPr>
              <w:pStyle w:val="0"/>
            </w:pPr>
            <w:r>
              <w:rPr>
                <w:sz w:val="20"/>
              </w:rPr>
              <w:t xml:space="preserve">29,8</w:t>
            </w:r>
          </w:p>
        </w:tc>
        <w:tc>
          <w:tcPr>
            <w:tcW w:w="1084" w:type="dxa"/>
          </w:tcPr>
          <w:p>
            <w:pPr>
              <w:pStyle w:val="0"/>
            </w:pPr>
            <w:r>
              <w:rPr>
                <w:sz w:val="20"/>
              </w:rPr>
              <w:t xml:space="preserve">27,7</w:t>
            </w:r>
          </w:p>
        </w:tc>
        <w:tc>
          <w:tcPr>
            <w:tcW w:w="859" w:type="dxa"/>
          </w:tcPr>
          <w:p>
            <w:pPr>
              <w:pStyle w:val="0"/>
            </w:pPr>
            <w:r>
              <w:rPr>
                <w:sz w:val="20"/>
              </w:rPr>
              <w:t xml:space="preserve">32,7</w:t>
            </w:r>
          </w:p>
        </w:tc>
        <w:tc>
          <w:tcPr>
            <w:tcW w:w="1084" w:type="dxa"/>
          </w:tcPr>
          <w:p>
            <w:pPr>
              <w:pStyle w:val="0"/>
            </w:pPr>
            <w:r>
              <w:rPr>
                <w:sz w:val="20"/>
              </w:rPr>
              <w:t xml:space="preserve">34,1</w:t>
            </w:r>
          </w:p>
        </w:tc>
        <w:tc>
          <w:tcPr>
            <w:tcW w:w="859" w:type="dxa"/>
          </w:tcPr>
          <w:p>
            <w:pPr>
              <w:pStyle w:val="0"/>
            </w:pPr>
            <w:r>
              <w:rPr>
                <w:sz w:val="20"/>
              </w:rPr>
              <w:t xml:space="preserve">33,4</w:t>
            </w:r>
          </w:p>
        </w:tc>
        <w:tc>
          <w:tcPr>
            <w:tcW w:w="1084" w:type="dxa"/>
          </w:tcPr>
          <w:p>
            <w:pPr>
              <w:pStyle w:val="0"/>
            </w:pPr>
            <w:r>
              <w:rPr>
                <w:sz w:val="20"/>
              </w:rPr>
              <w:t xml:space="preserve">27,5</w:t>
            </w:r>
          </w:p>
        </w:tc>
        <w:tc>
          <w:tcPr>
            <w:tcW w:w="859" w:type="dxa"/>
          </w:tcPr>
          <w:p>
            <w:pPr>
              <w:pStyle w:val="0"/>
            </w:pPr>
            <w:r>
              <w:rPr>
                <w:sz w:val="20"/>
              </w:rPr>
              <w:t xml:space="preserve">30,7</w:t>
            </w:r>
          </w:p>
        </w:tc>
        <w:tc>
          <w:tcPr>
            <w:tcW w:w="1084" w:type="dxa"/>
          </w:tcPr>
          <w:p>
            <w:pPr>
              <w:pStyle w:val="0"/>
            </w:pPr>
            <w:r>
              <w:rPr>
                <w:sz w:val="20"/>
              </w:rPr>
              <w:t xml:space="preserve">22,9</w:t>
            </w:r>
          </w:p>
        </w:tc>
        <w:tc>
          <w:tcPr>
            <w:tcW w:w="859" w:type="dxa"/>
          </w:tcPr>
          <w:p>
            <w:pPr>
              <w:pStyle w:val="0"/>
            </w:pPr>
            <w:r>
              <w:rPr>
                <w:sz w:val="20"/>
              </w:rPr>
              <w:t xml:space="preserve">28,2</w:t>
            </w:r>
          </w:p>
        </w:tc>
        <w:tc>
          <w:tcPr>
            <w:tcW w:w="1084" w:type="dxa"/>
          </w:tcPr>
          <w:p>
            <w:pPr>
              <w:pStyle w:val="0"/>
            </w:pPr>
            <w:r>
              <w:rPr>
                <w:sz w:val="20"/>
              </w:rPr>
              <w:t xml:space="preserve">21,3</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42,1</w:t>
            </w:r>
          </w:p>
        </w:tc>
        <w:tc>
          <w:tcPr>
            <w:tcW w:w="1084" w:type="dxa"/>
          </w:tcPr>
          <w:p>
            <w:pPr>
              <w:pStyle w:val="0"/>
            </w:pPr>
            <w:r>
              <w:rPr>
                <w:sz w:val="20"/>
              </w:rPr>
              <w:t xml:space="preserve">79,6</w:t>
            </w:r>
          </w:p>
        </w:tc>
        <w:tc>
          <w:tcPr>
            <w:tcW w:w="859" w:type="dxa"/>
          </w:tcPr>
          <w:p>
            <w:pPr>
              <w:pStyle w:val="0"/>
            </w:pPr>
            <w:r>
              <w:rPr>
                <w:sz w:val="20"/>
              </w:rPr>
              <w:t xml:space="preserve">47,5</w:t>
            </w:r>
          </w:p>
        </w:tc>
        <w:tc>
          <w:tcPr>
            <w:tcW w:w="1084" w:type="dxa"/>
          </w:tcPr>
          <w:p>
            <w:pPr>
              <w:pStyle w:val="0"/>
            </w:pPr>
            <w:r>
              <w:rPr>
                <w:sz w:val="20"/>
              </w:rPr>
              <w:t xml:space="preserve">64,2</w:t>
            </w:r>
          </w:p>
        </w:tc>
        <w:tc>
          <w:tcPr>
            <w:tcW w:w="859" w:type="dxa"/>
          </w:tcPr>
          <w:p>
            <w:pPr>
              <w:pStyle w:val="0"/>
            </w:pPr>
            <w:r>
              <w:rPr>
                <w:sz w:val="20"/>
              </w:rPr>
              <w:t xml:space="preserve">40,2</w:t>
            </w:r>
          </w:p>
        </w:tc>
        <w:tc>
          <w:tcPr>
            <w:tcW w:w="1084" w:type="dxa"/>
          </w:tcPr>
          <w:p>
            <w:pPr>
              <w:pStyle w:val="0"/>
            </w:pPr>
            <w:r>
              <w:rPr>
                <w:sz w:val="20"/>
              </w:rPr>
              <w:t xml:space="preserve">49,1</w:t>
            </w:r>
          </w:p>
        </w:tc>
        <w:tc>
          <w:tcPr>
            <w:tcW w:w="859" w:type="dxa"/>
          </w:tcPr>
          <w:p>
            <w:pPr>
              <w:pStyle w:val="0"/>
            </w:pPr>
            <w:r>
              <w:rPr>
                <w:sz w:val="20"/>
              </w:rPr>
              <w:t xml:space="preserve">55,3</w:t>
            </w:r>
          </w:p>
        </w:tc>
        <w:tc>
          <w:tcPr>
            <w:tcW w:w="1084" w:type="dxa"/>
          </w:tcPr>
          <w:p>
            <w:pPr>
              <w:pStyle w:val="0"/>
            </w:pPr>
            <w:r>
              <w:rPr>
                <w:sz w:val="20"/>
              </w:rPr>
              <w:t xml:space="preserve">81,9</w:t>
            </w:r>
          </w:p>
        </w:tc>
        <w:tc>
          <w:tcPr>
            <w:tcW w:w="859" w:type="dxa"/>
          </w:tcPr>
          <w:p>
            <w:pPr>
              <w:pStyle w:val="0"/>
            </w:pPr>
            <w:r>
              <w:rPr>
                <w:sz w:val="20"/>
              </w:rPr>
              <w:t xml:space="preserve">53,2</w:t>
            </w:r>
          </w:p>
        </w:tc>
        <w:tc>
          <w:tcPr>
            <w:tcW w:w="1084" w:type="dxa"/>
          </w:tcPr>
          <w:p>
            <w:pPr>
              <w:pStyle w:val="0"/>
            </w:pPr>
            <w:r>
              <w:rPr>
                <w:sz w:val="20"/>
              </w:rPr>
              <w:t xml:space="preserve">82,0</w:t>
            </w:r>
          </w:p>
        </w:tc>
        <w:tc>
          <w:tcPr>
            <w:tcW w:w="859" w:type="dxa"/>
          </w:tcPr>
          <w:p>
            <w:pPr>
              <w:pStyle w:val="0"/>
            </w:pPr>
            <w:r>
              <w:rPr>
                <w:sz w:val="20"/>
              </w:rPr>
              <w:t xml:space="preserve">49,0</w:t>
            </w:r>
          </w:p>
        </w:tc>
        <w:tc>
          <w:tcPr>
            <w:tcW w:w="1084" w:type="dxa"/>
          </w:tcPr>
          <w:p>
            <w:pPr>
              <w:pStyle w:val="0"/>
            </w:pPr>
            <w:r>
              <w:rPr>
                <w:sz w:val="20"/>
              </w:rPr>
              <w:t xml:space="preserve">53,2</w:t>
            </w:r>
          </w:p>
        </w:tc>
        <w:tc>
          <w:tcPr>
            <w:tcW w:w="859" w:type="dxa"/>
          </w:tcPr>
          <w:p>
            <w:pPr>
              <w:pStyle w:val="0"/>
            </w:pPr>
            <w:r>
              <w:rPr>
                <w:sz w:val="20"/>
              </w:rPr>
              <w:t xml:space="preserve">55,7</w:t>
            </w:r>
          </w:p>
        </w:tc>
        <w:tc>
          <w:tcPr>
            <w:tcW w:w="1084" w:type="dxa"/>
          </w:tcPr>
          <w:p>
            <w:pPr>
              <w:pStyle w:val="0"/>
            </w:pPr>
            <w:r>
              <w:rPr>
                <w:sz w:val="20"/>
              </w:rPr>
              <w:t xml:space="preserve">74,6</w:t>
            </w:r>
          </w:p>
        </w:tc>
        <w:tc>
          <w:tcPr>
            <w:tcW w:w="859" w:type="dxa"/>
          </w:tcPr>
          <w:p>
            <w:pPr>
              <w:pStyle w:val="0"/>
            </w:pPr>
            <w:r>
              <w:rPr>
                <w:sz w:val="20"/>
              </w:rPr>
              <w:t xml:space="preserve">57,2</w:t>
            </w:r>
          </w:p>
        </w:tc>
        <w:tc>
          <w:tcPr>
            <w:tcW w:w="1084" w:type="dxa"/>
          </w:tcPr>
          <w:p>
            <w:pPr>
              <w:pStyle w:val="0"/>
            </w:pPr>
            <w:r>
              <w:rPr>
                <w:sz w:val="20"/>
              </w:rPr>
              <w:t xml:space="preserve">53,4</w:t>
            </w:r>
          </w:p>
        </w:tc>
        <w:tc>
          <w:tcPr>
            <w:tcW w:w="859" w:type="dxa"/>
          </w:tcPr>
          <w:p>
            <w:pPr>
              <w:pStyle w:val="0"/>
            </w:pPr>
            <w:r>
              <w:rPr>
                <w:sz w:val="20"/>
              </w:rPr>
              <w:t xml:space="preserve">48,1</w:t>
            </w:r>
          </w:p>
        </w:tc>
        <w:tc>
          <w:tcPr>
            <w:tcW w:w="1084" w:type="dxa"/>
          </w:tcPr>
          <w:p>
            <w:pPr>
              <w:pStyle w:val="0"/>
            </w:pPr>
            <w:r>
              <w:rPr>
                <w:sz w:val="20"/>
              </w:rPr>
              <w:t xml:space="preserve">41,1</w:t>
            </w:r>
          </w:p>
        </w:tc>
        <w:tc>
          <w:tcPr>
            <w:tcW w:w="859" w:type="dxa"/>
          </w:tcPr>
          <w:p>
            <w:pPr>
              <w:pStyle w:val="0"/>
            </w:pPr>
            <w:r>
              <w:rPr>
                <w:sz w:val="20"/>
              </w:rPr>
              <w:t xml:space="preserve">42,8</w:t>
            </w:r>
          </w:p>
        </w:tc>
        <w:tc>
          <w:tcPr>
            <w:tcW w:w="1084" w:type="dxa"/>
          </w:tcPr>
          <w:p>
            <w:pPr>
              <w:pStyle w:val="0"/>
            </w:pPr>
            <w:r>
              <w:rPr>
                <w:sz w:val="20"/>
              </w:rPr>
              <w:t xml:space="preserve">39,7</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6,9</w:t>
            </w:r>
          </w:p>
        </w:tc>
        <w:tc>
          <w:tcPr>
            <w:tcW w:w="1084" w:type="dxa"/>
          </w:tcPr>
          <w:p>
            <w:pPr>
              <w:pStyle w:val="0"/>
            </w:pPr>
            <w:r>
              <w:rPr>
                <w:sz w:val="20"/>
              </w:rPr>
              <w:t xml:space="preserve">9,0</w:t>
            </w:r>
          </w:p>
        </w:tc>
        <w:tc>
          <w:tcPr>
            <w:tcW w:w="859" w:type="dxa"/>
          </w:tcPr>
          <w:p>
            <w:pPr>
              <w:pStyle w:val="0"/>
            </w:pPr>
            <w:r>
              <w:rPr>
                <w:sz w:val="20"/>
              </w:rPr>
              <w:t xml:space="preserve">8,7</w:t>
            </w:r>
          </w:p>
        </w:tc>
        <w:tc>
          <w:tcPr>
            <w:tcW w:w="1084" w:type="dxa"/>
          </w:tcPr>
          <w:p>
            <w:pPr>
              <w:pStyle w:val="0"/>
            </w:pPr>
            <w:r>
              <w:rPr>
                <w:sz w:val="20"/>
              </w:rPr>
              <w:t xml:space="preserve">7,9</w:t>
            </w:r>
          </w:p>
        </w:tc>
        <w:tc>
          <w:tcPr>
            <w:tcW w:w="859" w:type="dxa"/>
          </w:tcPr>
          <w:p>
            <w:pPr>
              <w:pStyle w:val="0"/>
            </w:pPr>
            <w:r>
              <w:rPr>
                <w:sz w:val="20"/>
              </w:rPr>
              <w:t xml:space="preserve">10,6</w:t>
            </w:r>
          </w:p>
        </w:tc>
        <w:tc>
          <w:tcPr>
            <w:tcW w:w="1084" w:type="dxa"/>
          </w:tcPr>
          <w:p>
            <w:pPr>
              <w:pStyle w:val="0"/>
            </w:pPr>
            <w:r>
              <w:rPr>
                <w:sz w:val="20"/>
              </w:rPr>
              <w:t xml:space="preserve">11,6</w:t>
            </w:r>
          </w:p>
        </w:tc>
        <w:tc>
          <w:tcPr>
            <w:tcW w:w="859" w:type="dxa"/>
          </w:tcPr>
          <w:p>
            <w:pPr>
              <w:pStyle w:val="0"/>
            </w:pPr>
            <w:r>
              <w:rPr>
                <w:sz w:val="20"/>
              </w:rPr>
              <w:t xml:space="preserve">11,0</w:t>
            </w:r>
          </w:p>
        </w:tc>
        <w:tc>
          <w:tcPr>
            <w:tcW w:w="1084" w:type="dxa"/>
          </w:tcPr>
          <w:p>
            <w:pPr>
              <w:pStyle w:val="0"/>
            </w:pPr>
            <w:r>
              <w:rPr>
                <w:sz w:val="20"/>
              </w:rPr>
              <w:t xml:space="preserve">12,0</w:t>
            </w:r>
          </w:p>
        </w:tc>
        <w:tc>
          <w:tcPr>
            <w:tcW w:w="859" w:type="dxa"/>
          </w:tcPr>
          <w:p>
            <w:pPr>
              <w:pStyle w:val="0"/>
            </w:pPr>
            <w:r>
              <w:rPr>
                <w:sz w:val="20"/>
              </w:rPr>
              <w:t xml:space="preserve">11,7</w:t>
            </w:r>
          </w:p>
        </w:tc>
        <w:tc>
          <w:tcPr>
            <w:tcW w:w="1084" w:type="dxa"/>
          </w:tcPr>
          <w:p>
            <w:pPr>
              <w:pStyle w:val="0"/>
            </w:pPr>
            <w:r>
              <w:rPr>
                <w:sz w:val="20"/>
              </w:rPr>
              <w:t xml:space="preserve">11,5</w:t>
            </w:r>
          </w:p>
        </w:tc>
        <w:tc>
          <w:tcPr>
            <w:tcW w:w="859" w:type="dxa"/>
          </w:tcPr>
          <w:p>
            <w:pPr>
              <w:pStyle w:val="0"/>
            </w:pPr>
            <w:r>
              <w:rPr>
                <w:sz w:val="20"/>
              </w:rPr>
              <w:t xml:space="preserve">11,7</w:t>
            </w:r>
          </w:p>
        </w:tc>
        <w:tc>
          <w:tcPr>
            <w:tcW w:w="1084" w:type="dxa"/>
          </w:tcPr>
          <w:p>
            <w:pPr>
              <w:pStyle w:val="0"/>
            </w:pPr>
            <w:r>
              <w:rPr>
                <w:sz w:val="20"/>
              </w:rPr>
              <w:t xml:space="preserve">10,9</w:t>
            </w:r>
          </w:p>
        </w:tc>
        <w:tc>
          <w:tcPr>
            <w:tcW w:w="859" w:type="dxa"/>
          </w:tcPr>
          <w:p>
            <w:pPr>
              <w:pStyle w:val="0"/>
            </w:pPr>
            <w:r>
              <w:rPr>
                <w:sz w:val="20"/>
              </w:rPr>
              <w:t xml:space="preserve">10,8</w:t>
            </w:r>
          </w:p>
        </w:tc>
        <w:tc>
          <w:tcPr>
            <w:tcW w:w="1084" w:type="dxa"/>
          </w:tcPr>
          <w:p>
            <w:pPr>
              <w:pStyle w:val="0"/>
            </w:pPr>
            <w:r>
              <w:rPr>
                <w:sz w:val="20"/>
              </w:rPr>
              <w:t xml:space="preserve">11,8</w:t>
            </w:r>
          </w:p>
        </w:tc>
        <w:tc>
          <w:tcPr>
            <w:tcW w:w="859" w:type="dxa"/>
          </w:tcPr>
          <w:p>
            <w:pPr>
              <w:pStyle w:val="0"/>
            </w:pPr>
            <w:r>
              <w:rPr>
                <w:sz w:val="20"/>
              </w:rPr>
              <w:t xml:space="preserve">11,0</w:t>
            </w:r>
          </w:p>
        </w:tc>
        <w:tc>
          <w:tcPr>
            <w:tcW w:w="1084" w:type="dxa"/>
          </w:tcPr>
          <w:p>
            <w:pPr>
              <w:pStyle w:val="0"/>
            </w:pPr>
            <w:r>
              <w:rPr>
                <w:sz w:val="20"/>
              </w:rPr>
              <w:t xml:space="preserve">13,2</w:t>
            </w:r>
          </w:p>
        </w:tc>
        <w:tc>
          <w:tcPr>
            <w:tcW w:w="859" w:type="dxa"/>
          </w:tcPr>
          <w:p>
            <w:pPr>
              <w:pStyle w:val="0"/>
            </w:pPr>
            <w:r>
              <w:rPr>
                <w:sz w:val="20"/>
              </w:rPr>
              <w:t xml:space="preserve">14,2</w:t>
            </w:r>
          </w:p>
        </w:tc>
        <w:tc>
          <w:tcPr>
            <w:tcW w:w="1084" w:type="dxa"/>
          </w:tcPr>
          <w:p>
            <w:pPr>
              <w:pStyle w:val="0"/>
            </w:pPr>
            <w:r>
              <w:rPr>
                <w:sz w:val="20"/>
              </w:rPr>
              <w:t xml:space="preserve">9,8</w:t>
            </w:r>
          </w:p>
        </w:tc>
        <w:tc>
          <w:tcPr>
            <w:tcW w:w="859" w:type="dxa"/>
          </w:tcPr>
          <w:p>
            <w:pPr>
              <w:pStyle w:val="0"/>
            </w:pPr>
            <w:r>
              <w:rPr>
                <w:sz w:val="20"/>
              </w:rPr>
              <w:t xml:space="preserve">12,7</w:t>
            </w:r>
          </w:p>
        </w:tc>
        <w:tc>
          <w:tcPr>
            <w:tcW w:w="1084" w:type="dxa"/>
          </w:tcPr>
          <w:p>
            <w:pPr>
              <w:pStyle w:val="0"/>
            </w:pPr>
            <w:r>
              <w:rPr>
                <w:sz w:val="20"/>
              </w:rPr>
              <w:t xml:space="preserve">8,5</w:t>
            </w:r>
          </w:p>
        </w:tc>
      </w:tr>
      <w:tr>
        <w:tc>
          <w:tcPr>
            <w:tcW w:w="2089" w:type="dxa"/>
            <w:vMerge w:val="restart"/>
          </w:tcPr>
          <w:p>
            <w:pPr>
              <w:pStyle w:val="0"/>
            </w:pPr>
            <w:r>
              <w:rPr>
                <w:sz w:val="20"/>
              </w:rPr>
              <w:t xml:space="preserve">костей и суставных хрящей (С40, 41)</w:t>
            </w:r>
          </w:p>
        </w:tc>
        <w:tc>
          <w:tcPr>
            <w:tcW w:w="850" w:type="dxa"/>
          </w:tcPr>
          <w:p>
            <w:pPr>
              <w:pStyle w:val="0"/>
            </w:pPr>
            <w:r>
              <w:rPr>
                <w:sz w:val="20"/>
              </w:rPr>
              <w:t xml:space="preserve">оба пола</w:t>
            </w:r>
          </w:p>
        </w:tc>
        <w:tc>
          <w:tcPr>
            <w:tcW w:w="859" w:type="dxa"/>
          </w:tcPr>
          <w:p>
            <w:pPr>
              <w:pStyle w:val="0"/>
            </w:pPr>
            <w:r>
              <w:rPr>
                <w:sz w:val="20"/>
              </w:rPr>
              <w:t xml:space="preserve">1,1</w:t>
            </w:r>
          </w:p>
        </w:tc>
        <w:tc>
          <w:tcPr>
            <w:tcW w:w="1084" w:type="dxa"/>
          </w:tcPr>
          <w:p>
            <w:pPr>
              <w:pStyle w:val="0"/>
            </w:pPr>
            <w:r>
              <w:rPr>
                <w:sz w:val="20"/>
              </w:rPr>
              <w:t xml:space="preserve">1,1</w:t>
            </w:r>
          </w:p>
        </w:tc>
        <w:tc>
          <w:tcPr>
            <w:tcW w:w="859" w:type="dxa"/>
          </w:tcPr>
          <w:p>
            <w:pPr>
              <w:pStyle w:val="0"/>
            </w:pPr>
            <w:r>
              <w:rPr>
                <w:sz w:val="20"/>
              </w:rPr>
              <w:t xml:space="preserve">0,8</w:t>
            </w:r>
          </w:p>
        </w:tc>
        <w:tc>
          <w:tcPr>
            <w:tcW w:w="1084" w:type="dxa"/>
          </w:tcPr>
          <w:p>
            <w:pPr>
              <w:pStyle w:val="0"/>
            </w:pPr>
            <w:r>
              <w:rPr>
                <w:sz w:val="20"/>
              </w:rPr>
              <w:t xml:space="preserve">0,5</w:t>
            </w:r>
          </w:p>
        </w:tc>
        <w:tc>
          <w:tcPr>
            <w:tcW w:w="859" w:type="dxa"/>
          </w:tcPr>
          <w:p>
            <w:pPr>
              <w:pStyle w:val="0"/>
            </w:pPr>
            <w:r>
              <w:rPr>
                <w:sz w:val="20"/>
              </w:rPr>
              <w:t xml:space="preserve">1,1</w:t>
            </w:r>
          </w:p>
        </w:tc>
        <w:tc>
          <w:tcPr>
            <w:tcW w:w="1084" w:type="dxa"/>
          </w:tcPr>
          <w:p>
            <w:pPr>
              <w:pStyle w:val="0"/>
            </w:pPr>
            <w:r>
              <w:rPr>
                <w:sz w:val="20"/>
              </w:rPr>
              <w:t xml:space="preserve">1,0</w:t>
            </w:r>
          </w:p>
        </w:tc>
        <w:tc>
          <w:tcPr>
            <w:tcW w:w="859" w:type="dxa"/>
          </w:tcPr>
          <w:p>
            <w:pPr>
              <w:pStyle w:val="0"/>
            </w:pPr>
            <w:r>
              <w:rPr>
                <w:sz w:val="20"/>
              </w:rPr>
              <w:t xml:space="preserve">0,6</w:t>
            </w:r>
          </w:p>
        </w:tc>
        <w:tc>
          <w:tcPr>
            <w:tcW w:w="1084" w:type="dxa"/>
          </w:tcPr>
          <w:p>
            <w:pPr>
              <w:pStyle w:val="0"/>
            </w:pPr>
            <w:r>
              <w:rPr>
                <w:sz w:val="20"/>
              </w:rPr>
              <w:t xml:space="preserve">0,8</w:t>
            </w:r>
          </w:p>
        </w:tc>
        <w:tc>
          <w:tcPr>
            <w:tcW w:w="859" w:type="dxa"/>
          </w:tcPr>
          <w:p>
            <w:pPr>
              <w:pStyle w:val="0"/>
            </w:pPr>
            <w:r>
              <w:rPr>
                <w:sz w:val="20"/>
              </w:rPr>
              <w:t xml:space="preserve">0,7</w:t>
            </w:r>
          </w:p>
        </w:tc>
        <w:tc>
          <w:tcPr>
            <w:tcW w:w="1084" w:type="dxa"/>
          </w:tcPr>
          <w:p>
            <w:pPr>
              <w:pStyle w:val="0"/>
            </w:pPr>
            <w:r>
              <w:rPr>
                <w:sz w:val="20"/>
              </w:rPr>
              <w:t xml:space="preserve">0,7</w:t>
            </w:r>
          </w:p>
        </w:tc>
        <w:tc>
          <w:tcPr>
            <w:tcW w:w="859" w:type="dxa"/>
          </w:tcPr>
          <w:p>
            <w:pPr>
              <w:pStyle w:val="0"/>
            </w:pPr>
            <w:r>
              <w:rPr>
                <w:sz w:val="20"/>
              </w:rPr>
              <w:t xml:space="preserve">1,1</w:t>
            </w:r>
          </w:p>
        </w:tc>
        <w:tc>
          <w:tcPr>
            <w:tcW w:w="1084" w:type="dxa"/>
          </w:tcPr>
          <w:p>
            <w:pPr>
              <w:pStyle w:val="0"/>
            </w:pPr>
            <w:r>
              <w:rPr>
                <w:sz w:val="20"/>
              </w:rPr>
              <w:t xml:space="preserve">1,0</w:t>
            </w:r>
          </w:p>
        </w:tc>
        <w:tc>
          <w:tcPr>
            <w:tcW w:w="859" w:type="dxa"/>
          </w:tcPr>
          <w:p>
            <w:pPr>
              <w:pStyle w:val="0"/>
            </w:pPr>
            <w:r>
              <w:rPr>
                <w:sz w:val="20"/>
              </w:rPr>
              <w:t xml:space="preserve">0,7</w:t>
            </w:r>
          </w:p>
        </w:tc>
        <w:tc>
          <w:tcPr>
            <w:tcW w:w="1084" w:type="dxa"/>
          </w:tcPr>
          <w:p>
            <w:pPr>
              <w:pStyle w:val="0"/>
            </w:pPr>
            <w:r>
              <w:rPr>
                <w:sz w:val="20"/>
              </w:rPr>
              <w:t xml:space="preserve">0,6</w:t>
            </w:r>
          </w:p>
        </w:tc>
        <w:tc>
          <w:tcPr>
            <w:tcW w:w="859" w:type="dxa"/>
          </w:tcPr>
          <w:p>
            <w:pPr>
              <w:pStyle w:val="0"/>
            </w:pPr>
            <w:r>
              <w:rPr>
                <w:sz w:val="20"/>
              </w:rPr>
              <w:t xml:space="preserve">1,0</w:t>
            </w:r>
          </w:p>
        </w:tc>
        <w:tc>
          <w:tcPr>
            <w:tcW w:w="1084" w:type="dxa"/>
          </w:tcPr>
          <w:p>
            <w:pPr>
              <w:pStyle w:val="0"/>
            </w:pPr>
            <w:r>
              <w:rPr>
                <w:sz w:val="20"/>
              </w:rPr>
              <w:t xml:space="preserve">0,6</w:t>
            </w:r>
          </w:p>
        </w:tc>
        <w:tc>
          <w:tcPr>
            <w:tcW w:w="859" w:type="dxa"/>
          </w:tcPr>
          <w:p>
            <w:pPr>
              <w:pStyle w:val="0"/>
            </w:pPr>
            <w:r>
              <w:rPr>
                <w:sz w:val="20"/>
              </w:rPr>
              <w:t xml:space="preserve">0,6</w:t>
            </w:r>
          </w:p>
        </w:tc>
        <w:tc>
          <w:tcPr>
            <w:tcW w:w="1084" w:type="dxa"/>
          </w:tcPr>
          <w:p>
            <w:pPr>
              <w:pStyle w:val="0"/>
            </w:pPr>
            <w:r>
              <w:rPr>
                <w:sz w:val="20"/>
              </w:rPr>
              <w:t xml:space="preserve">0,6</w:t>
            </w:r>
          </w:p>
        </w:tc>
        <w:tc>
          <w:tcPr>
            <w:tcW w:w="859" w:type="dxa"/>
          </w:tcPr>
          <w:p>
            <w:pPr>
              <w:pStyle w:val="0"/>
            </w:pPr>
            <w:r>
              <w:rPr>
                <w:sz w:val="20"/>
              </w:rPr>
              <w:t xml:space="preserve">1,1</w:t>
            </w:r>
          </w:p>
        </w:tc>
        <w:tc>
          <w:tcPr>
            <w:tcW w:w="1084" w:type="dxa"/>
          </w:tcPr>
          <w:p>
            <w:pPr>
              <w:pStyle w:val="0"/>
            </w:pPr>
            <w:r>
              <w:rPr>
                <w:sz w:val="20"/>
              </w:rPr>
              <w:t xml:space="preserve">1,0</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0,9</w:t>
            </w:r>
          </w:p>
        </w:tc>
        <w:tc>
          <w:tcPr>
            <w:tcW w:w="1084" w:type="dxa"/>
          </w:tcPr>
          <w:p>
            <w:pPr>
              <w:pStyle w:val="0"/>
            </w:pPr>
            <w:r>
              <w:rPr>
                <w:sz w:val="20"/>
              </w:rPr>
              <w:t xml:space="preserve">1,1</w:t>
            </w:r>
          </w:p>
        </w:tc>
        <w:tc>
          <w:tcPr>
            <w:tcW w:w="859" w:type="dxa"/>
          </w:tcPr>
          <w:p>
            <w:pPr>
              <w:pStyle w:val="0"/>
            </w:pPr>
            <w:r>
              <w:rPr>
                <w:sz w:val="20"/>
              </w:rPr>
              <w:t xml:space="preserve">1,0</w:t>
            </w:r>
          </w:p>
        </w:tc>
        <w:tc>
          <w:tcPr>
            <w:tcW w:w="1084" w:type="dxa"/>
          </w:tcPr>
          <w:p>
            <w:pPr>
              <w:pStyle w:val="0"/>
            </w:pPr>
            <w:r>
              <w:rPr>
                <w:sz w:val="20"/>
              </w:rPr>
              <w:t xml:space="preserve">0,9</w:t>
            </w:r>
          </w:p>
        </w:tc>
        <w:tc>
          <w:tcPr>
            <w:tcW w:w="859" w:type="dxa"/>
          </w:tcPr>
          <w:p>
            <w:pPr>
              <w:pStyle w:val="0"/>
            </w:pPr>
            <w:r>
              <w:rPr>
                <w:sz w:val="20"/>
              </w:rPr>
              <w:t xml:space="preserve">1,3</w:t>
            </w:r>
          </w:p>
        </w:tc>
        <w:tc>
          <w:tcPr>
            <w:tcW w:w="1084" w:type="dxa"/>
          </w:tcPr>
          <w:p>
            <w:pPr>
              <w:pStyle w:val="0"/>
            </w:pPr>
            <w:r>
              <w:rPr>
                <w:sz w:val="20"/>
              </w:rPr>
              <w:t xml:space="preserve">1,4</w:t>
            </w:r>
          </w:p>
        </w:tc>
        <w:tc>
          <w:tcPr>
            <w:tcW w:w="859" w:type="dxa"/>
          </w:tcPr>
          <w:p>
            <w:pPr>
              <w:pStyle w:val="0"/>
            </w:pPr>
            <w:r>
              <w:rPr>
                <w:sz w:val="20"/>
              </w:rPr>
              <w:t xml:space="preserve">0,4</w:t>
            </w:r>
          </w:p>
        </w:tc>
        <w:tc>
          <w:tcPr>
            <w:tcW w:w="1084" w:type="dxa"/>
          </w:tcPr>
          <w:p>
            <w:pPr>
              <w:pStyle w:val="0"/>
            </w:pPr>
            <w:r>
              <w:rPr>
                <w:sz w:val="20"/>
              </w:rPr>
              <w:t xml:space="preserve">0,8</w:t>
            </w:r>
          </w:p>
        </w:tc>
        <w:tc>
          <w:tcPr>
            <w:tcW w:w="859" w:type="dxa"/>
          </w:tcPr>
          <w:p>
            <w:pPr>
              <w:pStyle w:val="0"/>
            </w:pPr>
            <w:r>
              <w:rPr>
                <w:sz w:val="20"/>
              </w:rPr>
              <w:t xml:space="preserve">0,9</w:t>
            </w:r>
          </w:p>
        </w:tc>
        <w:tc>
          <w:tcPr>
            <w:tcW w:w="1084" w:type="dxa"/>
          </w:tcPr>
          <w:p>
            <w:pPr>
              <w:pStyle w:val="0"/>
            </w:pPr>
            <w:r>
              <w:rPr>
                <w:sz w:val="20"/>
              </w:rPr>
              <w:t xml:space="preserve">0,7</w:t>
            </w:r>
          </w:p>
        </w:tc>
        <w:tc>
          <w:tcPr>
            <w:tcW w:w="859" w:type="dxa"/>
          </w:tcPr>
          <w:p>
            <w:pPr>
              <w:pStyle w:val="0"/>
            </w:pPr>
            <w:r>
              <w:rPr>
                <w:sz w:val="20"/>
              </w:rPr>
              <w:t xml:space="preserve">1,5</w:t>
            </w:r>
          </w:p>
        </w:tc>
        <w:tc>
          <w:tcPr>
            <w:tcW w:w="1084" w:type="dxa"/>
          </w:tcPr>
          <w:p>
            <w:pPr>
              <w:pStyle w:val="0"/>
            </w:pPr>
            <w:r>
              <w:rPr>
                <w:sz w:val="20"/>
              </w:rPr>
              <w:t xml:space="preserve">1,2</w:t>
            </w:r>
          </w:p>
        </w:tc>
        <w:tc>
          <w:tcPr>
            <w:tcW w:w="859" w:type="dxa"/>
          </w:tcPr>
          <w:p>
            <w:pPr>
              <w:pStyle w:val="0"/>
            </w:pPr>
            <w:r>
              <w:rPr>
                <w:sz w:val="20"/>
              </w:rPr>
              <w:t xml:space="preserve">0,6</w:t>
            </w:r>
          </w:p>
        </w:tc>
        <w:tc>
          <w:tcPr>
            <w:tcW w:w="1084" w:type="dxa"/>
          </w:tcPr>
          <w:p>
            <w:pPr>
              <w:pStyle w:val="0"/>
            </w:pPr>
            <w:r>
              <w:rPr>
                <w:sz w:val="20"/>
              </w:rPr>
              <w:t xml:space="preserve">0,5</w:t>
            </w:r>
          </w:p>
        </w:tc>
        <w:tc>
          <w:tcPr>
            <w:tcW w:w="859" w:type="dxa"/>
          </w:tcPr>
          <w:p>
            <w:pPr>
              <w:pStyle w:val="0"/>
            </w:pPr>
            <w:r>
              <w:rPr>
                <w:sz w:val="20"/>
              </w:rPr>
              <w:t xml:space="preserve">1,4</w:t>
            </w:r>
          </w:p>
        </w:tc>
        <w:tc>
          <w:tcPr>
            <w:tcW w:w="1084" w:type="dxa"/>
          </w:tcPr>
          <w:p>
            <w:pPr>
              <w:pStyle w:val="0"/>
            </w:pPr>
            <w:r>
              <w:rPr>
                <w:sz w:val="20"/>
              </w:rPr>
              <w:t xml:space="preserve">1,1</w:t>
            </w:r>
          </w:p>
        </w:tc>
        <w:tc>
          <w:tcPr>
            <w:tcW w:w="859" w:type="dxa"/>
          </w:tcPr>
          <w:p>
            <w:pPr>
              <w:pStyle w:val="0"/>
            </w:pPr>
            <w:r>
              <w:rPr>
                <w:sz w:val="20"/>
              </w:rPr>
              <w:t xml:space="preserve">0,4</w:t>
            </w:r>
          </w:p>
        </w:tc>
        <w:tc>
          <w:tcPr>
            <w:tcW w:w="1084" w:type="dxa"/>
          </w:tcPr>
          <w:p>
            <w:pPr>
              <w:pStyle w:val="0"/>
            </w:pPr>
            <w:r>
              <w:rPr>
                <w:sz w:val="20"/>
              </w:rPr>
              <w:t xml:space="preserve">0,4</w:t>
            </w:r>
          </w:p>
        </w:tc>
        <w:tc>
          <w:tcPr>
            <w:tcW w:w="859" w:type="dxa"/>
          </w:tcPr>
          <w:p>
            <w:pPr>
              <w:pStyle w:val="0"/>
            </w:pPr>
            <w:r>
              <w:rPr>
                <w:sz w:val="20"/>
              </w:rPr>
              <w:t xml:space="preserve">0,6</w:t>
            </w:r>
          </w:p>
        </w:tc>
        <w:tc>
          <w:tcPr>
            <w:tcW w:w="1084" w:type="dxa"/>
          </w:tcPr>
          <w:p>
            <w:pPr>
              <w:pStyle w:val="0"/>
            </w:pPr>
            <w:r>
              <w:rPr>
                <w:sz w:val="20"/>
              </w:rPr>
              <w:t xml:space="preserve">0,4</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1,2</w:t>
            </w:r>
          </w:p>
        </w:tc>
        <w:tc>
          <w:tcPr>
            <w:tcW w:w="1084" w:type="dxa"/>
          </w:tcPr>
          <w:p>
            <w:pPr>
              <w:pStyle w:val="0"/>
            </w:pPr>
            <w:r>
              <w:rPr>
                <w:sz w:val="20"/>
              </w:rPr>
              <w:t xml:space="preserve">1,0</w:t>
            </w:r>
          </w:p>
        </w:tc>
        <w:tc>
          <w:tcPr>
            <w:tcW w:w="859" w:type="dxa"/>
          </w:tcPr>
          <w:p>
            <w:pPr>
              <w:pStyle w:val="0"/>
            </w:pPr>
            <w:r>
              <w:rPr>
                <w:sz w:val="20"/>
              </w:rPr>
              <w:t xml:space="preserve">0,6</w:t>
            </w:r>
          </w:p>
        </w:tc>
        <w:tc>
          <w:tcPr>
            <w:tcW w:w="1084" w:type="dxa"/>
          </w:tcPr>
          <w:p>
            <w:pPr>
              <w:pStyle w:val="0"/>
            </w:pPr>
            <w:r>
              <w:rPr>
                <w:sz w:val="20"/>
              </w:rPr>
              <w:t xml:space="preserve">0,1</w:t>
            </w:r>
          </w:p>
        </w:tc>
        <w:tc>
          <w:tcPr>
            <w:tcW w:w="859" w:type="dxa"/>
          </w:tcPr>
          <w:p>
            <w:pPr>
              <w:pStyle w:val="0"/>
            </w:pPr>
            <w:r>
              <w:rPr>
                <w:sz w:val="20"/>
              </w:rPr>
              <w:t xml:space="preserve">0,8</w:t>
            </w:r>
          </w:p>
        </w:tc>
        <w:tc>
          <w:tcPr>
            <w:tcW w:w="1084" w:type="dxa"/>
          </w:tcPr>
          <w:p>
            <w:pPr>
              <w:pStyle w:val="0"/>
            </w:pPr>
            <w:r>
              <w:rPr>
                <w:sz w:val="20"/>
              </w:rPr>
              <w:t xml:space="preserve">0,7</w:t>
            </w:r>
          </w:p>
        </w:tc>
        <w:tc>
          <w:tcPr>
            <w:tcW w:w="859" w:type="dxa"/>
          </w:tcPr>
          <w:p>
            <w:pPr>
              <w:pStyle w:val="0"/>
            </w:pPr>
            <w:r>
              <w:rPr>
                <w:sz w:val="20"/>
              </w:rPr>
              <w:t xml:space="preserve">0,8</w:t>
            </w:r>
          </w:p>
        </w:tc>
        <w:tc>
          <w:tcPr>
            <w:tcW w:w="1084" w:type="dxa"/>
          </w:tcPr>
          <w:p>
            <w:pPr>
              <w:pStyle w:val="0"/>
            </w:pPr>
            <w:r>
              <w:rPr>
                <w:sz w:val="20"/>
              </w:rPr>
              <w:t xml:space="preserve">0,8</w:t>
            </w:r>
          </w:p>
        </w:tc>
        <w:tc>
          <w:tcPr>
            <w:tcW w:w="859" w:type="dxa"/>
          </w:tcPr>
          <w:p>
            <w:pPr>
              <w:pStyle w:val="0"/>
            </w:pPr>
            <w:r>
              <w:rPr>
                <w:sz w:val="20"/>
              </w:rPr>
              <w:t xml:space="preserve">0,5</w:t>
            </w:r>
          </w:p>
        </w:tc>
        <w:tc>
          <w:tcPr>
            <w:tcW w:w="1084" w:type="dxa"/>
          </w:tcPr>
          <w:p>
            <w:pPr>
              <w:pStyle w:val="0"/>
            </w:pPr>
            <w:r>
              <w:rPr>
                <w:sz w:val="20"/>
              </w:rPr>
              <w:t xml:space="preserve">0,6</w:t>
            </w:r>
          </w:p>
        </w:tc>
        <w:tc>
          <w:tcPr>
            <w:tcW w:w="859" w:type="dxa"/>
          </w:tcPr>
          <w:p>
            <w:pPr>
              <w:pStyle w:val="0"/>
            </w:pPr>
            <w:r>
              <w:rPr>
                <w:sz w:val="20"/>
              </w:rPr>
              <w:t xml:space="preserve">0,7</w:t>
            </w:r>
          </w:p>
        </w:tc>
        <w:tc>
          <w:tcPr>
            <w:tcW w:w="1084" w:type="dxa"/>
          </w:tcPr>
          <w:p>
            <w:pPr>
              <w:pStyle w:val="0"/>
            </w:pPr>
            <w:r>
              <w:rPr>
                <w:sz w:val="20"/>
              </w:rPr>
              <w:t xml:space="preserve">0,8</w:t>
            </w:r>
          </w:p>
        </w:tc>
        <w:tc>
          <w:tcPr>
            <w:tcW w:w="859" w:type="dxa"/>
          </w:tcPr>
          <w:p>
            <w:pPr>
              <w:pStyle w:val="0"/>
            </w:pPr>
            <w:r>
              <w:rPr>
                <w:sz w:val="20"/>
              </w:rPr>
              <w:t xml:space="preserve">0,7</w:t>
            </w:r>
          </w:p>
        </w:tc>
        <w:tc>
          <w:tcPr>
            <w:tcW w:w="1084" w:type="dxa"/>
          </w:tcPr>
          <w:p>
            <w:pPr>
              <w:pStyle w:val="0"/>
            </w:pPr>
            <w:r>
              <w:rPr>
                <w:sz w:val="20"/>
              </w:rPr>
              <w:t xml:space="preserve">0,6</w:t>
            </w:r>
          </w:p>
        </w:tc>
        <w:tc>
          <w:tcPr>
            <w:tcW w:w="859" w:type="dxa"/>
          </w:tcPr>
          <w:p>
            <w:pPr>
              <w:pStyle w:val="0"/>
            </w:pPr>
            <w:r>
              <w:rPr>
                <w:sz w:val="20"/>
              </w:rPr>
              <w:t xml:space="preserve">0,6</w:t>
            </w:r>
          </w:p>
        </w:tc>
        <w:tc>
          <w:tcPr>
            <w:tcW w:w="1084" w:type="dxa"/>
          </w:tcPr>
          <w:p>
            <w:pPr>
              <w:pStyle w:val="0"/>
            </w:pPr>
            <w:r>
              <w:rPr>
                <w:sz w:val="20"/>
              </w:rPr>
              <w:t xml:space="preserve">0,1</w:t>
            </w:r>
          </w:p>
        </w:tc>
        <w:tc>
          <w:tcPr>
            <w:tcW w:w="859" w:type="dxa"/>
          </w:tcPr>
          <w:p>
            <w:pPr>
              <w:pStyle w:val="0"/>
            </w:pPr>
            <w:r>
              <w:rPr>
                <w:sz w:val="20"/>
              </w:rPr>
              <w:t xml:space="preserve">0,9</w:t>
            </w:r>
          </w:p>
        </w:tc>
        <w:tc>
          <w:tcPr>
            <w:tcW w:w="1084" w:type="dxa"/>
          </w:tcPr>
          <w:p>
            <w:pPr>
              <w:pStyle w:val="0"/>
            </w:pPr>
            <w:r>
              <w:rPr>
                <w:sz w:val="20"/>
              </w:rPr>
              <w:t xml:space="preserve">0,8</w:t>
            </w:r>
          </w:p>
        </w:tc>
        <w:tc>
          <w:tcPr>
            <w:tcW w:w="859" w:type="dxa"/>
          </w:tcPr>
          <w:p>
            <w:pPr>
              <w:pStyle w:val="0"/>
            </w:pPr>
            <w:r>
              <w:rPr>
                <w:sz w:val="20"/>
              </w:rPr>
              <w:t xml:space="preserve">1,6</w:t>
            </w:r>
          </w:p>
        </w:tc>
        <w:tc>
          <w:tcPr>
            <w:tcW w:w="1084" w:type="dxa"/>
          </w:tcPr>
          <w:p>
            <w:pPr>
              <w:pStyle w:val="0"/>
            </w:pPr>
            <w:r>
              <w:rPr>
                <w:sz w:val="20"/>
              </w:rPr>
              <w:t xml:space="preserve">1,6</w:t>
            </w:r>
          </w:p>
        </w:tc>
      </w:tr>
      <w:tr>
        <w:tc>
          <w:tcPr>
            <w:tcW w:w="2089" w:type="dxa"/>
            <w:vMerge w:val="restart"/>
          </w:tcPr>
          <w:p>
            <w:pPr>
              <w:pStyle w:val="0"/>
            </w:pPr>
            <w:r>
              <w:rPr>
                <w:sz w:val="20"/>
              </w:rPr>
              <w:t xml:space="preserve">меланома кожи (С43)</w:t>
            </w:r>
          </w:p>
        </w:tc>
        <w:tc>
          <w:tcPr>
            <w:tcW w:w="850" w:type="dxa"/>
          </w:tcPr>
          <w:p>
            <w:pPr>
              <w:pStyle w:val="0"/>
            </w:pPr>
            <w:r>
              <w:rPr>
                <w:sz w:val="20"/>
              </w:rPr>
              <w:t xml:space="preserve">оба пола</w:t>
            </w:r>
          </w:p>
        </w:tc>
        <w:tc>
          <w:tcPr>
            <w:tcW w:w="859" w:type="dxa"/>
          </w:tcPr>
          <w:p>
            <w:pPr>
              <w:pStyle w:val="0"/>
            </w:pPr>
            <w:r>
              <w:rPr>
                <w:sz w:val="20"/>
              </w:rPr>
              <w:t xml:space="preserve">4,1</w:t>
            </w:r>
          </w:p>
        </w:tc>
        <w:tc>
          <w:tcPr>
            <w:tcW w:w="1084" w:type="dxa"/>
          </w:tcPr>
          <w:p>
            <w:pPr>
              <w:pStyle w:val="0"/>
            </w:pPr>
            <w:r>
              <w:rPr>
                <w:sz w:val="20"/>
              </w:rPr>
              <w:t xml:space="preserve">4,8</w:t>
            </w:r>
          </w:p>
        </w:tc>
        <w:tc>
          <w:tcPr>
            <w:tcW w:w="859" w:type="dxa"/>
          </w:tcPr>
          <w:p>
            <w:pPr>
              <w:pStyle w:val="0"/>
            </w:pPr>
            <w:r>
              <w:rPr>
                <w:sz w:val="20"/>
              </w:rPr>
              <w:t xml:space="preserve">3,7</w:t>
            </w:r>
          </w:p>
        </w:tc>
        <w:tc>
          <w:tcPr>
            <w:tcW w:w="1084" w:type="dxa"/>
          </w:tcPr>
          <w:p>
            <w:pPr>
              <w:pStyle w:val="0"/>
            </w:pPr>
            <w:r>
              <w:rPr>
                <w:sz w:val="20"/>
              </w:rPr>
              <w:t xml:space="preserve">3,0</w:t>
            </w:r>
          </w:p>
        </w:tc>
        <w:tc>
          <w:tcPr>
            <w:tcW w:w="859" w:type="dxa"/>
          </w:tcPr>
          <w:p>
            <w:pPr>
              <w:pStyle w:val="0"/>
            </w:pPr>
            <w:r>
              <w:rPr>
                <w:sz w:val="20"/>
              </w:rPr>
              <w:t xml:space="preserve">3,5</w:t>
            </w:r>
          </w:p>
        </w:tc>
        <w:tc>
          <w:tcPr>
            <w:tcW w:w="1084" w:type="dxa"/>
          </w:tcPr>
          <w:p>
            <w:pPr>
              <w:pStyle w:val="0"/>
            </w:pPr>
            <w:r>
              <w:rPr>
                <w:sz w:val="20"/>
              </w:rPr>
              <w:t xml:space="preserve">3,4</w:t>
            </w:r>
          </w:p>
        </w:tc>
        <w:tc>
          <w:tcPr>
            <w:tcW w:w="859" w:type="dxa"/>
          </w:tcPr>
          <w:p>
            <w:pPr>
              <w:pStyle w:val="0"/>
            </w:pPr>
            <w:r>
              <w:rPr>
                <w:sz w:val="20"/>
              </w:rPr>
              <w:t xml:space="preserve">4,0</w:t>
            </w:r>
          </w:p>
        </w:tc>
        <w:tc>
          <w:tcPr>
            <w:tcW w:w="1084" w:type="dxa"/>
          </w:tcPr>
          <w:p>
            <w:pPr>
              <w:pStyle w:val="0"/>
            </w:pPr>
            <w:r>
              <w:rPr>
                <w:sz w:val="20"/>
              </w:rPr>
              <w:t xml:space="preserve">4,3</w:t>
            </w:r>
          </w:p>
        </w:tc>
        <w:tc>
          <w:tcPr>
            <w:tcW w:w="859" w:type="dxa"/>
          </w:tcPr>
          <w:p>
            <w:pPr>
              <w:pStyle w:val="0"/>
            </w:pPr>
            <w:r>
              <w:rPr>
                <w:sz w:val="20"/>
              </w:rPr>
              <w:t xml:space="preserve">3,1</w:t>
            </w:r>
          </w:p>
        </w:tc>
        <w:tc>
          <w:tcPr>
            <w:tcW w:w="1084" w:type="dxa"/>
          </w:tcPr>
          <w:p>
            <w:pPr>
              <w:pStyle w:val="0"/>
            </w:pPr>
            <w:r>
              <w:rPr>
                <w:sz w:val="20"/>
              </w:rPr>
              <w:t xml:space="preserve">2,9</w:t>
            </w:r>
          </w:p>
        </w:tc>
        <w:tc>
          <w:tcPr>
            <w:tcW w:w="859" w:type="dxa"/>
          </w:tcPr>
          <w:p>
            <w:pPr>
              <w:pStyle w:val="0"/>
            </w:pPr>
            <w:r>
              <w:rPr>
                <w:sz w:val="20"/>
              </w:rPr>
              <w:t xml:space="preserve">3,8</w:t>
            </w:r>
          </w:p>
        </w:tc>
        <w:tc>
          <w:tcPr>
            <w:tcW w:w="1084" w:type="dxa"/>
          </w:tcPr>
          <w:p>
            <w:pPr>
              <w:pStyle w:val="0"/>
            </w:pPr>
            <w:r>
              <w:rPr>
                <w:sz w:val="20"/>
              </w:rPr>
              <w:t xml:space="preserve">3,8</w:t>
            </w:r>
          </w:p>
        </w:tc>
        <w:tc>
          <w:tcPr>
            <w:tcW w:w="859" w:type="dxa"/>
          </w:tcPr>
          <w:p>
            <w:pPr>
              <w:pStyle w:val="0"/>
            </w:pPr>
            <w:r>
              <w:rPr>
                <w:sz w:val="20"/>
              </w:rPr>
              <w:t xml:space="preserve">3,2</w:t>
            </w:r>
          </w:p>
        </w:tc>
        <w:tc>
          <w:tcPr>
            <w:tcW w:w="1084" w:type="dxa"/>
          </w:tcPr>
          <w:p>
            <w:pPr>
              <w:pStyle w:val="0"/>
            </w:pPr>
            <w:r>
              <w:rPr>
                <w:sz w:val="20"/>
              </w:rPr>
              <w:t xml:space="preserve">3,6</w:t>
            </w:r>
          </w:p>
        </w:tc>
        <w:tc>
          <w:tcPr>
            <w:tcW w:w="859" w:type="dxa"/>
          </w:tcPr>
          <w:p>
            <w:pPr>
              <w:pStyle w:val="0"/>
            </w:pPr>
            <w:r>
              <w:rPr>
                <w:sz w:val="20"/>
              </w:rPr>
              <w:t xml:space="preserve">4,1</w:t>
            </w:r>
          </w:p>
        </w:tc>
        <w:tc>
          <w:tcPr>
            <w:tcW w:w="1084" w:type="dxa"/>
          </w:tcPr>
          <w:p>
            <w:pPr>
              <w:pStyle w:val="0"/>
            </w:pPr>
            <w:r>
              <w:rPr>
                <w:sz w:val="20"/>
              </w:rPr>
              <w:t xml:space="preserve">2,9</w:t>
            </w:r>
          </w:p>
        </w:tc>
        <w:tc>
          <w:tcPr>
            <w:tcW w:w="859" w:type="dxa"/>
          </w:tcPr>
          <w:p>
            <w:pPr>
              <w:pStyle w:val="0"/>
            </w:pPr>
            <w:r>
              <w:rPr>
                <w:sz w:val="20"/>
              </w:rPr>
              <w:t xml:space="preserve">3,1</w:t>
            </w:r>
          </w:p>
        </w:tc>
        <w:tc>
          <w:tcPr>
            <w:tcW w:w="1084" w:type="dxa"/>
          </w:tcPr>
          <w:p>
            <w:pPr>
              <w:pStyle w:val="0"/>
            </w:pPr>
            <w:r>
              <w:rPr>
                <w:sz w:val="20"/>
              </w:rPr>
              <w:t xml:space="preserve">2,2</w:t>
            </w:r>
          </w:p>
        </w:tc>
        <w:tc>
          <w:tcPr>
            <w:tcW w:w="859" w:type="dxa"/>
          </w:tcPr>
          <w:p>
            <w:pPr>
              <w:pStyle w:val="0"/>
            </w:pPr>
            <w:r>
              <w:rPr>
                <w:sz w:val="20"/>
              </w:rPr>
              <w:t xml:space="preserve">3,5</w:t>
            </w:r>
          </w:p>
        </w:tc>
        <w:tc>
          <w:tcPr>
            <w:tcW w:w="1084" w:type="dxa"/>
          </w:tcPr>
          <w:p>
            <w:pPr>
              <w:pStyle w:val="0"/>
            </w:pPr>
            <w:r>
              <w:rPr>
                <w:sz w:val="20"/>
              </w:rPr>
              <w:t xml:space="preserve">2,7</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3,8</w:t>
            </w:r>
          </w:p>
        </w:tc>
        <w:tc>
          <w:tcPr>
            <w:tcW w:w="1084" w:type="dxa"/>
          </w:tcPr>
          <w:p>
            <w:pPr>
              <w:pStyle w:val="0"/>
            </w:pPr>
            <w:r>
              <w:rPr>
                <w:sz w:val="20"/>
              </w:rPr>
              <w:t xml:space="preserve">5,3</w:t>
            </w:r>
          </w:p>
        </w:tc>
        <w:tc>
          <w:tcPr>
            <w:tcW w:w="859" w:type="dxa"/>
          </w:tcPr>
          <w:p>
            <w:pPr>
              <w:pStyle w:val="0"/>
            </w:pPr>
            <w:r>
              <w:rPr>
                <w:sz w:val="20"/>
              </w:rPr>
              <w:t xml:space="preserve">2,8</w:t>
            </w:r>
          </w:p>
        </w:tc>
        <w:tc>
          <w:tcPr>
            <w:tcW w:w="1084" w:type="dxa"/>
          </w:tcPr>
          <w:p>
            <w:pPr>
              <w:pStyle w:val="0"/>
            </w:pPr>
            <w:r>
              <w:rPr>
                <w:sz w:val="20"/>
              </w:rPr>
              <w:t xml:space="preserve">2,2</w:t>
            </w:r>
          </w:p>
        </w:tc>
        <w:tc>
          <w:tcPr>
            <w:tcW w:w="859" w:type="dxa"/>
          </w:tcPr>
          <w:p>
            <w:pPr>
              <w:pStyle w:val="0"/>
            </w:pPr>
            <w:r>
              <w:rPr>
                <w:sz w:val="20"/>
              </w:rPr>
              <w:t xml:space="preserve">2,0</w:t>
            </w:r>
          </w:p>
        </w:tc>
        <w:tc>
          <w:tcPr>
            <w:tcW w:w="1084" w:type="dxa"/>
          </w:tcPr>
          <w:p>
            <w:pPr>
              <w:pStyle w:val="0"/>
            </w:pPr>
            <w:r>
              <w:rPr>
                <w:sz w:val="20"/>
              </w:rPr>
              <w:t xml:space="preserve">2,4</w:t>
            </w:r>
          </w:p>
        </w:tc>
        <w:tc>
          <w:tcPr>
            <w:tcW w:w="859" w:type="dxa"/>
          </w:tcPr>
          <w:p>
            <w:pPr>
              <w:pStyle w:val="0"/>
            </w:pPr>
            <w:r>
              <w:rPr>
                <w:sz w:val="20"/>
              </w:rPr>
              <w:t xml:space="preserve">3,4</w:t>
            </w:r>
          </w:p>
        </w:tc>
        <w:tc>
          <w:tcPr>
            <w:tcW w:w="1084" w:type="dxa"/>
          </w:tcPr>
          <w:p>
            <w:pPr>
              <w:pStyle w:val="0"/>
            </w:pPr>
            <w:r>
              <w:rPr>
                <w:sz w:val="20"/>
              </w:rPr>
              <w:t xml:space="preserve">5,0</w:t>
            </w:r>
          </w:p>
        </w:tc>
        <w:tc>
          <w:tcPr>
            <w:tcW w:w="859" w:type="dxa"/>
          </w:tcPr>
          <w:p>
            <w:pPr>
              <w:pStyle w:val="0"/>
            </w:pPr>
            <w:r>
              <w:rPr>
                <w:sz w:val="20"/>
              </w:rPr>
              <w:t xml:space="preserve">2,5</w:t>
            </w:r>
          </w:p>
        </w:tc>
        <w:tc>
          <w:tcPr>
            <w:tcW w:w="1084" w:type="dxa"/>
          </w:tcPr>
          <w:p>
            <w:pPr>
              <w:pStyle w:val="0"/>
            </w:pPr>
            <w:r>
              <w:rPr>
                <w:sz w:val="20"/>
              </w:rPr>
              <w:t xml:space="preserve">2,9</w:t>
            </w:r>
          </w:p>
        </w:tc>
        <w:tc>
          <w:tcPr>
            <w:tcW w:w="859" w:type="dxa"/>
          </w:tcPr>
          <w:p>
            <w:pPr>
              <w:pStyle w:val="0"/>
            </w:pPr>
            <w:r>
              <w:rPr>
                <w:sz w:val="20"/>
              </w:rPr>
              <w:t xml:space="preserve">2,5</w:t>
            </w:r>
          </w:p>
        </w:tc>
        <w:tc>
          <w:tcPr>
            <w:tcW w:w="1084" w:type="dxa"/>
          </w:tcPr>
          <w:p>
            <w:pPr>
              <w:pStyle w:val="0"/>
            </w:pPr>
            <w:r>
              <w:rPr>
                <w:sz w:val="20"/>
              </w:rPr>
              <w:t xml:space="preserve">4,8</w:t>
            </w:r>
          </w:p>
        </w:tc>
        <w:tc>
          <w:tcPr>
            <w:tcW w:w="859" w:type="dxa"/>
          </w:tcPr>
          <w:p>
            <w:pPr>
              <w:pStyle w:val="0"/>
            </w:pPr>
            <w:r>
              <w:rPr>
                <w:sz w:val="20"/>
              </w:rPr>
              <w:t xml:space="preserve">3,0</w:t>
            </w:r>
          </w:p>
        </w:tc>
        <w:tc>
          <w:tcPr>
            <w:tcW w:w="1084" w:type="dxa"/>
          </w:tcPr>
          <w:p>
            <w:pPr>
              <w:pStyle w:val="0"/>
            </w:pPr>
            <w:r>
              <w:rPr>
                <w:sz w:val="20"/>
              </w:rPr>
              <w:t xml:space="preserve">2,6</w:t>
            </w:r>
          </w:p>
        </w:tc>
        <w:tc>
          <w:tcPr>
            <w:tcW w:w="859" w:type="dxa"/>
          </w:tcPr>
          <w:p>
            <w:pPr>
              <w:pStyle w:val="0"/>
            </w:pPr>
            <w:r>
              <w:rPr>
                <w:sz w:val="20"/>
              </w:rPr>
              <w:t xml:space="preserve">3,1</w:t>
            </w:r>
          </w:p>
        </w:tc>
        <w:tc>
          <w:tcPr>
            <w:tcW w:w="1084" w:type="dxa"/>
          </w:tcPr>
          <w:p>
            <w:pPr>
              <w:pStyle w:val="0"/>
            </w:pPr>
            <w:r>
              <w:rPr>
                <w:sz w:val="20"/>
              </w:rPr>
              <w:t xml:space="preserve">1,8</w:t>
            </w:r>
          </w:p>
        </w:tc>
        <w:tc>
          <w:tcPr>
            <w:tcW w:w="859" w:type="dxa"/>
          </w:tcPr>
          <w:p>
            <w:pPr>
              <w:pStyle w:val="0"/>
            </w:pPr>
            <w:r>
              <w:rPr>
                <w:sz w:val="20"/>
              </w:rPr>
              <w:t xml:space="preserve">2,4</w:t>
            </w:r>
          </w:p>
        </w:tc>
        <w:tc>
          <w:tcPr>
            <w:tcW w:w="1084" w:type="dxa"/>
          </w:tcPr>
          <w:p>
            <w:pPr>
              <w:pStyle w:val="0"/>
            </w:pPr>
            <w:r>
              <w:rPr>
                <w:sz w:val="20"/>
              </w:rPr>
              <w:t xml:space="preserve">2,0</w:t>
            </w:r>
          </w:p>
        </w:tc>
        <w:tc>
          <w:tcPr>
            <w:tcW w:w="859" w:type="dxa"/>
          </w:tcPr>
          <w:p>
            <w:pPr>
              <w:pStyle w:val="0"/>
            </w:pPr>
            <w:r>
              <w:rPr>
                <w:sz w:val="20"/>
              </w:rPr>
              <w:t xml:space="preserve">2,3</w:t>
            </w:r>
          </w:p>
        </w:tc>
        <w:tc>
          <w:tcPr>
            <w:tcW w:w="1084" w:type="dxa"/>
          </w:tcPr>
          <w:p>
            <w:pPr>
              <w:pStyle w:val="0"/>
            </w:pPr>
            <w:r>
              <w:rPr>
                <w:sz w:val="20"/>
              </w:rPr>
              <w:t xml:space="preserve">2,1</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4,3</w:t>
            </w:r>
          </w:p>
        </w:tc>
        <w:tc>
          <w:tcPr>
            <w:tcW w:w="1084" w:type="dxa"/>
          </w:tcPr>
          <w:p>
            <w:pPr>
              <w:pStyle w:val="0"/>
            </w:pPr>
            <w:r>
              <w:rPr>
                <w:sz w:val="20"/>
              </w:rPr>
              <w:t xml:space="preserve">4,6</w:t>
            </w:r>
          </w:p>
        </w:tc>
        <w:tc>
          <w:tcPr>
            <w:tcW w:w="859" w:type="dxa"/>
          </w:tcPr>
          <w:p>
            <w:pPr>
              <w:pStyle w:val="0"/>
            </w:pPr>
            <w:r>
              <w:rPr>
                <w:sz w:val="20"/>
              </w:rPr>
              <w:t xml:space="preserve">4,4</w:t>
            </w:r>
          </w:p>
        </w:tc>
        <w:tc>
          <w:tcPr>
            <w:tcW w:w="1084" w:type="dxa"/>
          </w:tcPr>
          <w:p>
            <w:pPr>
              <w:pStyle w:val="0"/>
            </w:pPr>
            <w:r>
              <w:rPr>
                <w:sz w:val="20"/>
              </w:rPr>
              <w:t xml:space="preserve">3,7</w:t>
            </w:r>
          </w:p>
        </w:tc>
        <w:tc>
          <w:tcPr>
            <w:tcW w:w="859" w:type="dxa"/>
          </w:tcPr>
          <w:p>
            <w:pPr>
              <w:pStyle w:val="0"/>
            </w:pPr>
            <w:r>
              <w:rPr>
                <w:sz w:val="20"/>
              </w:rPr>
              <w:t xml:space="preserve">4,9</w:t>
            </w:r>
          </w:p>
        </w:tc>
        <w:tc>
          <w:tcPr>
            <w:tcW w:w="1084" w:type="dxa"/>
          </w:tcPr>
          <w:p>
            <w:pPr>
              <w:pStyle w:val="0"/>
            </w:pPr>
            <w:r>
              <w:rPr>
                <w:sz w:val="20"/>
              </w:rPr>
              <w:t xml:space="preserve">4,3</w:t>
            </w:r>
          </w:p>
        </w:tc>
        <w:tc>
          <w:tcPr>
            <w:tcW w:w="859" w:type="dxa"/>
          </w:tcPr>
          <w:p>
            <w:pPr>
              <w:pStyle w:val="0"/>
            </w:pPr>
            <w:r>
              <w:rPr>
                <w:sz w:val="20"/>
              </w:rPr>
              <w:t xml:space="preserve">4,6</w:t>
            </w:r>
          </w:p>
        </w:tc>
        <w:tc>
          <w:tcPr>
            <w:tcW w:w="1084" w:type="dxa"/>
          </w:tcPr>
          <w:p>
            <w:pPr>
              <w:pStyle w:val="0"/>
            </w:pPr>
            <w:r>
              <w:rPr>
                <w:sz w:val="20"/>
              </w:rPr>
              <w:t xml:space="preserve">4,2</w:t>
            </w:r>
          </w:p>
        </w:tc>
        <w:tc>
          <w:tcPr>
            <w:tcW w:w="859" w:type="dxa"/>
          </w:tcPr>
          <w:p>
            <w:pPr>
              <w:pStyle w:val="0"/>
            </w:pPr>
            <w:r>
              <w:rPr>
                <w:sz w:val="20"/>
              </w:rPr>
              <w:t xml:space="preserve">3,6</w:t>
            </w:r>
          </w:p>
        </w:tc>
        <w:tc>
          <w:tcPr>
            <w:tcW w:w="1084" w:type="dxa"/>
          </w:tcPr>
          <w:p>
            <w:pPr>
              <w:pStyle w:val="0"/>
            </w:pPr>
            <w:r>
              <w:rPr>
                <w:sz w:val="20"/>
              </w:rPr>
              <w:t xml:space="preserve">3,0</w:t>
            </w:r>
          </w:p>
        </w:tc>
        <w:tc>
          <w:tcPr>
            <w:tcW w:w="859" w:type="dxa"/>
          </w:tcPr>
          <w:p>
            <w:pPr>
              <w:pStyle w:val="0"/>
            </w:pPr>
            <w:r>
              <w:rPr>
                <w:sz w:val="20"/>
              </w:rPr>
              <w:t xml:space="preserve">5,1</w:t>
            </w:r>
          </w:p>
        </w:tc>
        <w:tc>
          <w:tcPr>
            <w:tcW w:w="1084" w:type="dxa"/>
          </w:tcPr>
          <w:p>
            <w:pPr>
              <w:pStyle w:val="0"/>
            </w:pPr>
            <w:r>
              <w:rPr>
                <w:sz w:val="20"/>
              </w:rPr>
              <w:t xml:space="preserve">4,0</w:t>
            </w:r>
          </w:p>
        </w:tc>
        <w:tc>
          <w:tcPr>
            <w:tcW w:w="859" w:type="dxa"/>
          </w:tcPr>
          <w:p>
            <w:pPr>
              <w:pStyle w:val="0"/>
            </w:pPr>
            <w:r>
              <w:rPr>
                <w:sz w:val="20"/>
              </w:rPr>
              <w:t xml:space="preserve">3,4</w:t>
            </w:r>
          </w:p>
        </w:tc>
        <w:tc>
          <w:tcPr>
            <w:tcW w:w="1084" w:type="dxa"/>
          </w:tcPr>
          <w:p>
            <w:pPr>
              <w:pStyle w:val="0"/>
            </w:pPr>
            <w:r>
              <w:rPr>
                <w:sz w:val="20"/>
              </w:rPr>
              <w:t xml:space="preserve">4,0</w:t>
            </w:r>
          </w:p>
        </w:tc>
        <w:tc>
          <w:tcPr>
            <w:tcW w:w="859" w:type="dxa"/>
          </w:tcPr>
          <w:p>
            <w:pPr>
              <w:pStyle w:val="0"/>
            </w:pPr>
            <w:r>
              <w:rPr>
                <w:sz w:val="20"/>
              </w:rPr>
              <w:t xml:space="preserve">5,0</w:t>
            </w:r>
          </w:p>
        </w:tc>
        <w:tc>
          <w:tcPr>
            <w:tcW w:w="1084" w:type="dxa"/>
          </w:tcPr>
          <w:p>
            <w:pPr>
              <w:pStyle w:val="0"/>
            </w:pPr>
            <w:r>
              <w:rPr>
                <w:sz w:val="20"/>
              </w:rPr>
              <w:t xml:space="preserve">3,7</w:t>
            </w:r>
          </w:p>
        </w:tc>
        <w:tc>
          <w:tcPr>
            <w:tcW w:w="859" w:type="dxa"/>
          </w:tcPr>
          <w:p>
            <w:pPr>
              <w:pStyle w:val="0"/>
            </w:pPr>
            <w:r>
              <w:rPr>
                <w:sz w:val="20"/>
              </w:rPr>
              <w:t xml:space="preserve">3,7</w:t>
            </w:r>
          </w:p>
        </w:tc>
        <w:tc>
          <w:tcPr>
            <w:tcW w:w="1084" w:type="dxa"/>
          </w:tcPr>
          <w:p>
            <w:pPr>
              <w:pStyle w:val="0"/>
            </w:pPr>
            <w:r>
              <w:rPr>
                <w:sz w:val="20"/>
              </w:rPr>
              <w:t xml:space="preserve">2,5</w:t>
            </w:r>
          </w:p>
        </w:tc>
        <w:tc>
          <w:tcPr>
            <w:tcW w:w="859" w:type="dxa"/>
          </w:tcPr>
          <w:p>
            <w:pPr>
              <w:pStyle w:val="0"/>
            </w:pPr>
            <w:r>
              <w:rPr>
                <w:sz w:val="20"/>
              </w:rPr>
              <w:t xml:space="preserve">4,8</w:t>
            </w:r>
          </w:p>
        </w:tc>
        <w:tc>
          <w:tcPr>
            <w:tcW w:w="1084" w:type="dxa"/>
          </w:tcPr>
          <w:p>
            <w:pPr>
              <w:pStyle w:val="0"/>
            </w:pPr>
            <w:r>
              <w:rPr>
                <w:sz w:val="20"/>
              </w:rPr>
              <w:t xml:space="preserve">3,1</w:t>
            </w:r>
          </w:p>
        </w:tc>
      </w:tr>
      <w:tr>
        <w:tc>
          <w:tcPr>
            <w:tcW w:w="2089" w:type="dxa"/>
            <w:vMerge w:val="restart"/>
          </w:tcPr>
          <w:p>
            <w:pPr>
              <w:pStyle w:val="0"/>
            </w:pPr>
            <w:r>
              <w:rPr>
                <w:sz w:val="20"/>
              </w:rPr>
              <w:t xml:space="preserve">другие новообразования кожи (С44, 46)</w:t>
            </w:r>
          </w:p>
        </w:tc>
        <w:tc>
          <w:tcPr>
            <w:tcW w:w="850" w:type="dxa"/>
          </w:tcPr>
          <w:p>
            <w:pPr>
              <w:pStyle w:val="0"/>
            </w:pPr>
            <w:r>
              <w:rPr>
                <w:sz w:val="20"/>
              </w:rPr>
              <w:t xml:space="preserve">оба пола</w:t>
            </w:r>
          </w:p>
        </w:tc>
        <w:tc>
          <w:tcPr>
            <w:tcW w:w="859" w:type="dxa"/>
          </w:tcPr>
          <w:p>
            <w:pPr>
              <w:pStyle w:val="0"/>
            </w:pPr>
            <w:r>
              <w:rPr>
                <w:sz w:val="20"/>
              </w:rPr>
              <w:t xml:space="preserve">14,8</w:t>
            </w:r>
          </w:p>
        </w:tc>
        <w:tc>
          <w:tcPr>
            <w:tcW w:w="1084" w:type="dxa"/>
          </w:tcPr>
          <w:p>
            <w:pPr>
              <w:pStyle w:val="0"/>
            </w:pPr>
            <w:r>
              <w:rPr>
                <w:sz w:val="20"/>
              </w:rPr>
              <w:t xml:space="preserve">23,7</w:t>
            </w:r>
          </w:p>
        </w:tc>
        <w:tc>
          <w:tcPr>
            <w:tcW w:w="859" w:type="dxa"/>
          </w:tcPr>
          <w:p>
            <w:pPr>
              <w:pStyle w:val="0"/>
            </w:pPr>
            <w:r>
              <w:rPr>
                <w:sz w:val="20"/>
              </w:rPr>
              <w:t xml:space="preserve">15,7</w:t>
            </w:r>
          </w:p>
        </w:tc>
        <w:tc>
          <w:tcPr>
            <w:tcW w:w="1084" w:type="dxa"/>
          </w:tcPr>
          <w:p>
            <w:pPr>
              <w:pStyle w:val="0"/>
            </w:pPr>
            <w:r>
              <w:rPr>
                <w:sz w:val="20"/>
              </w:rPr>
              <w:t xml:space="preserve">18,7</w:t>
            </w:r>
          </w:p>
        </w:tc>
        <w:tc>
          <w:tcPr>
            <w:tcW w:w="859" w:type="dxa"/>
          </w:tcPr>
          <w:p>
            <w:pPr>
              <w:pStyle w:val="0"/>
            </w:pPr>
            <w:r>
              <w:rPr>
                <w:sz w:val="20"/>
              </w:rPr>
              <w:t xml:space="preserve">17,1</w:t>
            </w:r>
          </w:p>
        </w:tc>
        <w:tc>
          <w:tcPr>
            <w:tcW w:w="1084" w:type="dxa"/>
          </w:tcPr>
          <w:p>
            <w:pPr>
              <w:pStyle w:val="0"/>
            </w:pPr>
            <w:r>
              <w:rPr>
                <w:sz w:val="20"/>
              </w:rPr>
              <w:t xml:space="preserve">20,3</w:t>
            </w:r>
          </w:p>
        </w:tc>
        <w:tc>
          <w:tcPr>
            <w:tcW w:w="859" w:type="dxa"/>
          </w:tcPr>
          <w:p>
            <w:pPr>
              <w:pStyle w:val="0"/>
            </w:pPr>
            <w:r>
              <w:rPr>
                <w:sz w:val="20"/>
              </w:rPr>
              <w:t xml:space="preserve">19,9</w:t>
            </w:r>
          </w:p>
        </w:tc>
        <w:tc>
          <w:tcPr>
            <w:tcW w:w="1084" w:type="dxa"/>
          </w:tcPr>
          <w:p>
            <w:pPr>
              <w:pStyle w:val="0"/>
            </w:pPr>
            <w:r>
              <w:rPr>
                <w:sz w:val="20"/>
              </w:rPr>
              <w:t xml:space="preserve">25,4</w:t>
            </w:r>
          </w:p>
        </w:tc>
        <w:tc>
          <w:tcPr>
            <w:tcW w:w="859" w:type="dxa"/>
          </w:tcPr>
          <w:p>
            <w:pPr>
              <w:pStyle w:val="0"/>
            </w:pPr>
            <w:r>
              <w:rPr>
                <w:sz w:val="20"/>
              </w:rPr>
              <w:t xml:space="preserve">20,2</w:t>
            </w:r>
          </w:p>
        </w:tc>
        <w:tc>
          <w:tcPr>
            <w:tcW w:w="1084" w:type="dxa"/>
          </w:tcPr>
          <w:p>
            <w:pPr>
              <w:pStyle w:val="0"/>
            </w:pPr>
            <w:r>
              <w:rPr>
                <w:sz w:val="20"/>
              </w:rPr>
              <w:t xml:space="preserve">28,2</w:t>
            </w:r>
          </w:p>
        </w:tc>
        <w:tc>
          <w:tcPr>
            <w:tcW w:w="859" w:type="dxa"/>
          </w:tcPr>
          <w:p>
            <w:pPr>
              <w:pStyle w:val="0"/>
            </w:pPr>
            <w:r>
              <w:rPr>
                <w:sz w:val="20"/>
              </w:rPr>
              <w:t xml:space="preserve">21,9</w:t>
            </w:r>
          </w:p>
        </w:tc>
        <w:tc>
          <w:tcPr>
            <w:tcW w:w="1084" w:type="dxa"/>
          </w:tcPr>
          <w:p>
            <w:pPr>
              <w:pStyle w:val="0"/>
            </w:pPr>
            <w:r>
              <w:rPr>
                <w:sz w:val="20"/>
              </w:rPr>
              <w:t xml:space="preserve">27,2</w:t>
            </w:r>
          </w:p>
        </w:tc>
        <w:tc>
          <w:tcPr>
            <w:tcW w:w="859" w:type="dxa"/>
          </w:tcPr>
          <w:p>
            <w:pPr>
              <w:pStyle w:val="0"/>
            </w:pPr>
            <w:r>
              <w:rPr>
                <w:sz w:val="20"/>
              </w:rPr>
              <w:t xml:space="preserve">23,5</w:t>
            </w:r>
          </w:p>
        </w:tc>
        <w:tc>
          <w:tcPr>
            <w:tcW w:w="1084" w:type="dxa"/>
          </w:tcPr>
          <w:p>
            <w:pPr>
              <w:pStyle w:val="0"/>
            </w:pPr>
            <w:r>
              <w:rPr>
                <w:sz w:val="20"/>
              </w:rPr>
              <w:t xml:space="preserve">26,7</w:t>
            </w:r>
          </w:p>
        </w:tc>
        <w:tc>
          <w:tcPr>
            <w:tcW w:w="859" w:type="dxa"/>
          </w:tcPr>
          <w:p>
            <w:pPr>
              <w:pStyle w:val="0"/>
            </w:pPr>
            <w:r>
              <w:rPr>
                <w:sz w:val="20"/>
              </w:rPr>
              <w:t xml:space="preserve">26,4</w:t>
            </w:r>
          </w:p>
        </w:tc>
        <w:tc>
          <w:tcPr>
            <w:tcW w:w="1084" w:type="dxa"/>
          </w:tcPr>
          <w:p>
            <w:pPr>
              <w:pStyle w:val="0"/>
            </w:pPr>
            <w:r>
              <w:rPr>
                <w:sz w:val="20"/>
              </w:rPr>
              <w:t xml:space="preserve">21,5</w:t>
            </w:r>
          </w:p>
        </w:tc>
        <w:tc>
          <w:tcPr>
            <w:tcW w:w="859" w:type="dxa"/>
          </w:tcPr>
          <w:p>
            <w:pPr>
              <w:pStyle w:val="0"/>
            </w:pPr>
            <w:r>
              <w:rPr>
                <w:sz w:val="20"/>
              </w:rPr>
              <w:t xml:space="preserve">26,9</w:t>
            </w:r>
          </w:p>
        </w:tc>
        <w:tc>
          <w:tcPr>
            <w:tcW w:w="1084" w:type="dxa"/>
          </w:tcPr>
          <w:p>
            <w:pPr>
              <w:pStyle w:val="0"/>
            </w:pPr>
            <w:r>
              <w:rPr>
                <w:sz w:val="20"/>
              </w:rPr>
              <w:t xml:space="preserve">21,5</w:t>
            </w:r>
          </w:p>
        </w:tc>
        <w:tc>
          <w:tcPr>
            <w:tcW w:w="859" w:type="dxa"/>
          </w:tcPr>
          <w:p>
            <w:pPr>
              <w:pStyle w:val="0"/>
            </w:pPr>
            <w:r>
              <w:rPr>
                <w:sz w:val="20"/>
              </w:rPr>
              <w:t xml:space="preserve">29,3</w:t>
            </w:r>
          </w:p>
        </w:tc>
        <w:tc>
          <w:tcPr>
            <w:tcW w:w="1084" w:type="dxa"/>
          </w:tcPr>
          <w:p>
            <w:pPr>
              <w:pStyle w:val="0"/>
            </w:pPr>
            <w:r>
              <w:rPr>
                <w:sz w:val="20"/>
              </w:rPr>
              <w:t xml:space="preserve">24,1</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11,9</w:t>
            </w:r>
          </w:p>
        </w:tc>
        <w:tc>
          <w:tcPr>
            <w:tcW w:w="1084" w:type="dxa"/>
          </w:tcPr>
          <w:p>
            <w:pPr>
              <w:pStyle w:val="0"/>
            </w:pPr>
            <w:r>
              <w:rPr>
                <w:sz w:val="20"/>
              </w:rPr>
              <w:t xml:space="preserve">26,2</w:t>
            </w:r>
          </w:p>
        </w:tc>
        <w:tc>
          <w:tcPr>
            <w:tcW w:w="859" w:type="dxa"/>
          </w:tcPr>
          <w:p>
            <w:pPr>
              <w:pStyle w:val="0"/>
            </w:pPr>
            <w:r>
              <w:rPr>
                <w:sz w:val="20"/>
              </w:rPr>
              <w:t xml:space="preserve">13,0</w:t>
            </w:r>
          </w:p>
        </w:tc>
        <w:tc>
          <w:tcPr>
            <w:tcW w:w="1084" w:type="dxa"/>
          </w:tcPr>
          <w:p>
            <w:pPr>
              <w:pStyle w:val="0"/>
            </w:pPr>
            <w:r>
              <w:rPr>
                <w:sz w:val="20"/>
              </w:rPr>
              <w:t xml:space="preserve">20,1</w:t>
            </w:r>
          </w:p>
        </w:tc>
        <w:tc>
          <w:tcPr>
            <w:tcW w:w="859" w:type="dxa"/>
          </w:tcPr>
          <w:p>
            <w:pPr>
              <w:pStyle w:val="0"/>
            </w:pPr>
            <w:r>
              <w:rPr>
                <w:sz w:val="20"/>
              </w:rPr>
              <w:t xml:space="preserve">13,0</w:t>
            </w:r>
          </w:p>
        </w:tc>
        <w:tc>
          <w:tcPr>
            <w:tcW w:w="1084" w:type="dxa"/>
          </w:tcPr>
          <w:p>
            <w:pPr>
              <w:pStyle w:val="0"/>
            </w:pPr>
            <w:r>
              <w:rPr>
                <w:sz w:val="20"/>
              </w:rPr>
              <w:t xml:space="preserve">18,6</w:t>
            </w:r>
          </w:p>
        </w:tc>
        <w:tc>
          <w:tcPr>
            <w:tcW w:w="859" w:type="dxa"/>
          </w:tcPr>
          <w:p>
            <w:pPr>
              <w:pStyle w:val="0"/>
            </w:pPr>
            <w:r>
              <w:rPr>
                <w:sz w:val="20"/>
              </w:rPr>
              <w:t xml:space="preserve">15,4</w:t>
            </w:r>
          </w:p>
        </w:tc>
        <w:tc>
          <w:tcPr>
            <w:tcW w:w="1084" w:type="dxa"/>
          </w:tcPr>
          <w:p>
            <w:pPr>
              <w:pStyle w:val="0"/>
            </w:pPr>
            <w:r>
              <w:rPr>
                <w:sz w:val="20"/>
              </w:rPr>
              <w:t xml:space="preserve">30,5</w:t>
            </w:r>
          </w:p>
        </w:tc>
        <w:tc>
          <w:tcPr>
            <w:tcW w:w="859" w:type="dxa"/>
          </w:tcPr>
          <w:p>
            <w:pPr>
              <w:pStyle w:val="0"/>
            </w:pPr>
            <w:r>
              <w:rPr>
                <w:sz w:val="20"/>
              </w:rPr>
              <w:t xml:space="preserve">15,6</w:t>
            </w:r>
          </w:p>
        </w:tc>
        <w:tc>
          <w:tcPr>
            <w:tcW w:w="1084" w:type="dxa"/>
          </w:tcPr>
          <w:p>
            <w:pPr>
              <w:pStyle w:val="0"/>
            </w:pPr>
            <w:r>
              <w:rPr>
                <w:sz w:val="20"/>
              </w:rPr>
              <w:t xml:space="preserve">29,1</w:t>
            </w:r>
          </w:p>
        </w:tc>
        <w:tc>
          <w:tcPr>
            <w:tcW w:w="859" w:type="dxa"/>
          </w:tcPr>
          <w:p>
            <w:pPr>
              <w:pStyle w:val="0"/>
            </w:pPr>
            <w:r>
              <w:rPr>
                <w:sz w:val="20"/>
              </w:rPr>
              <w:t xml:space="preserve">18,3</w:t>
            </w:r>
          </w:p>
        </w:tc>
        <w:tc>
          <w:tcPr>
            <w:tcW w:w="1084" w:type="dxa"/>
          </w:tcPr>
          <w:p>
            <w:pPr>
              <w:pStyle w:val="0"/>
            </w:pPr>
            <w:r>
              <w:rPr>
                <w:sz w:val="20"/>
              </w:rPr>
              <w:t xml:space="preserve">27,5</w:t>
            </w:r>
          </w:p>
        </w:tc>
        <w:tc>
          <w:tcPr>
            <w:tcW w:w="859" w:type="dxa"/>
          </w:tcPr>
          <w:p>
            <w:pPr>
              <w:pStyle w:val="0"/>
            </w:pPr>
            <w:r>
              <w:rPr>
                <w:sz w:val="20"/>
              </w:rPr>
              <w:t xml:space="preserve">17,8</w:t>
            </w:r>
          </w:p>
        </w:tc>
        <w:tc>
          <w:tcPr>
            <w:tcW w:w="1084" w:type="dxa"/>
          </w:tcPr>
          <w:p>
            <w:pPr>
              <w:pStyle w:val="0"/>
            </w:pPr>
            <w:r>
              <w:rPr>
                <w:sz w:val="20"/>
              </w:rPr>
              <w:t xml:space="preserve">24,7</w:t>
            </w:r>
          </w:p>
        </w:tc>
        <w:tc>
          <w:tcPr>
            <w:tcW w:w="859" w:type="dxa"/>
          </w:tcPr>
          <w:p>
            <w:pPr>
              <w:pStyle w:val="0"/>
            </w:pPr>
            <w:r>
              <w:rPr>
                <w:sz w:val="20"/>
              </w:rPr>
              <w:t xml:space="preserve">20,2</w:t>
            </w:r>
          </w:p>
        </w:tc>
        <w:tc>
          <w:tcPr>
            <w:tcW w:w="1084" w:type="dxa"/>
          </w:tcPr>
          <w:p>
            <w:pPr>
              <w:pStyle w:val="0"/>
            </w:pPr>
            <w:r>
              <w:rPr>
                <w:sz w:val="20"/>
              </w:rPr>
              <w:t xml:space="preserve">24,6</w:t>
            </w:r>
          </w:p>
        </w:tc>
        <w:tc>
          <w:tcPr>
            <w:tcW w:w="859" w:type="dxa"/>
          </w:tcPr>
          <w:p>
            <w:pPr>
              <w:pStyle w:val="0"/>
            </w:pPr>
            <w:r>
              <w:rPr>
                <w:sz w:val="20"/>
              </w:rPr>
              <w:t xml:space="preserve">24,1</w:t>
            </w:r>
          </w:p>
        </w:tc>
        <w:tc>
          <w:tcPr>
            <w:tcW w:w="1084" w:type="dxa"/>
          </w:tcPr>
          <w:p>
            <w:pPr>
              <w:pStyle w:val="0"/>
            </w:pPr>
            <w:r>
              <w:rPr>
                <w:sz w:val="20"/>
              </w:rPr>
              <w:t xml:space="preserve">23,8</w:t>
            </w:r>
          </w:p>
        </w:tc>
        <w:tc>
          <w:tcPr>
            <w:tcW w:w="859" w:type="dxa"/>
          </w:tcPr>
          <w:p>
            <w:pPr>
              <w:pStyle w:val="0"/>
            </w:pPr>
            <w:r>
              <w:rPr>
                <w:sz w:val="20"/>
              </w:rPr>
              <w:t xml:space="preserve">22,0</w:t>
            </w:r>
          </w:p>
        </w:tc>
        <w:tc>
          <w:tcPr>
            <w:tcW w:w="1084" w:type="dxa"/>
          </w:tcPr>
          <w:p>
            <w:pPr>
              <w:pStyle w:val="0"/>
            </w:pPr>
            <w:r>
              <w:rPr>
                <w:sz w:val="20"/>
              </w:rPr>
              <w:t xml:space="preserve">23,1</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17,6</w:t>
            </w:r>
          </w:p>
        </w:tc>
        <w:tc>
          <w:tcPr>
            <w:tcW w:w="1084" w:type="dxa"/>
          </w:tcPr>
          <w:p>
            <w:pPr>
              <w:pStyle w:val="0"/>
            </w:pPr>
            <w:r>
              <w:rPr>
                <w:sz w:val="20"/>
              </w:rPr>
              <w:t xml:space="preserve">22,6</w:t>
            </w:r>
          </w:p>
        </w:tc>
        <w:tc>
          <w:tcPr>
            <w:tcW w:w="859" w:type="dxa"/>
          </w:tcPr>
          <w:p>
            <w:pPr>
              <w:pStyle w:val="0"/>
            </w:pPr>
            <w:r>
              <w:rPr>
                <w:sz w:val="20"/>
              </w:rPr>
              <w:t xml:space="preserve">18,2</w:t>
            </w:r>
          </w:p>
        </w:tc>
        <w:tc>
          <w:tcPr>
            <w:tcW w:w="1084" w:type="dxa"/>
          </w:tcPr>
          <w:p>
            <w:pPr>
              <w:pStyle w:val="0"/>
            </w:pPr>
            <w:r>
              <w:rPr>
                <w:sz w:val="20"/>
              </w:rPr>
              <w:t xml:space="preserve">18,6</w:t>
            </w:r>
          </w:p>
        </w:tc>
        <w:tc>
          <w:tcPr>
            <w:tcW w:w="859" w:type="dxa"/>
          </w:tcPr>
          <w:p>
            <w:pPr>
              <w:pStyle w:val="0"/>
            </w:pPr>
            <w:r>
              <w:rPr>
                <w:sz w:val="20"/>
              </w:rPr>
              <w:t xml:space="preserve">20,9</w:t>
            </w:r>
          </w:p>
        </w:tc>
        <w:tc>
          <w:tcPr>
            <w:tcW w:w="1084" w:type="dxa"/>
          </w:tcPr>
          <w:p>
            <w:pPr>
              <w:pStyle w:val="0"/>
            </w:pPr>
            <w:r>
              <w:rPr>
                <w:sz w:val="20"/>
              </w:rPr>
              <w:t xml:space="preserve">21,1</w:t>
            </w:r>
          </w:p>
        </w:tc>
        <w:tc>
          <w:tcPr>
            <w:tcW w:w="859" w:type="dxa"/>
          </w:tcPr>
          <w:p>
            <w:pPr>
              <w:pStyle w:val="0"/>
            </w:pPr>
            <w:r>
              <w:rPr>
                <w:sz w:val="20"/>
              </w:rPr>
              <w:t xml:space="preserve">24,2</w:t>
            </w:r>
          </w:p>
        </w:tc>
        <w:tc>
          <w:tcPr>
            <w:tcW w:w="1084" w:type="dxa"/>
          </w:tcPr>
          <w:p>
            <w:pPr>
              <w:pStyle w:val="0"/>
            </w:pPr>
            <w:r>
              <w:rPr>
                <w:sz w:val="20"/>
              </w:rPr>
              <w:t xml:space="preserve">25,9</w:t>
            </w:r>
          </w:p>
        </w:tc>
        <w:tc>
          <w:tcPr>
            <w:tcW w:w="859" w:type="dxa"/>
          </w:tcPr>
          <w:p>
            <w:pPr>
              <w:pStyle w:val="0"/>
            </w:pPr>
            <w:r>
              <w:rPr>
                <w:sz w:val="20"/>
              </w:rPr>
              <w:t xml:space="preserve">24,6</w:t>
            </w:r>
          </w:p>
        </w:tc>
        <w:tc>
          <w:tcPr>
            <w:tcW w:w="1084" w:type="dxa"/>
          </w:tcPr>
          <w:p>
            <w:pPr>
              <w:pStyle w:val="0"/>
            </w:pPr>
            <w:r>
              <w:rPr>
                <w:sz w:val="20"/>
              </w:rPr>
              <w:t xml:space="preserve">29,1</w:t>
            </w:r>
          </w:p>
        </w:tc>
        <w:tc>
          <w:tcPr>
            <w:tcW w:w="859" w:type="dxa"/>
          </w:tcPr>
          <w:p>
            <w:pPr>
              <w:pStyle w:val="0"/>
            </w:pPr>
            <w:r>
              <w:rPr>
                <w:sz w:val="20"/>
              </w:rPr>
              <w:t xml:space="preserve">25,3</w:t>
            </w:r>
          </w:p>
        </w:tc>
        <w:tc>
          <w:tcPr>
            <w:tcW w:w="1084" w:type="dxa"/>
          </w:tcPr>
          <w:p>
            <w:pPr>
              <w:pStyle w:val="0"/>
            </w:pPr>
            <w:r>
              <w:rPr>
                <w:sz w:val="20"/>
              </w:rPr>
              <w:t xml:space="preserve">27,2</w:t>
            </w:r>
          </w:p>
        </w:tc>
        <w:tc>
          <w:tcPr>
            <w:tcW w:w="859" w:type="dxa"/>
          </w:tcPr>
          <w:p>
            <w:pPr>
              <w:pStyle w:val="0"/>
            </w:pPr>
            <w:r>
              <w:rPr>
                <w:sz w:val="20"/>
              </w:rPr>
              <w:t xml:space="preserve">28,9</w:t>
            </w:r>
          </w:p>
        </w:tc>
        <w:tc>
          <w:tcPr>
            <w:tcW w:w="1084" w:type="dxa"/>
          </w:tcPr>
          <w:p>
            <w:pPr>
              <w:pStyle w:val="0"/>
            </w:pPr>
            <w:r>
              <w:rPr>
                <w:sz w:val="20"/>
              </w:rPr>
              <w:t xml:space="preserve">28,3</w:t>
            </w:r>
          </w:p>
        </w:tc>
        <w:tc>
          <w:tcPr>
            <w:tcW w:w="859" w:type="dxa"/>
          </w:tcPr>
          <w:p>
            <w:pPr>
              <w:pStyle w:val="0"/>
            </w:pPr>
            <w:r>
              <w:rPr>
                <w:sz w:val="20"/>
              </w:rPr>
              <w:t xml:space="preserve">32,3</w:t>
            </w:r>
          </w:p>
        </w:tc>
        <w:tc>
          <w:tcPr>
            <w:tcW w:w="1084" w:type="dxa"/>
          </w:tcPr>
          <w:p>
            <w:pPr>
              <w:pStyle w:val="0"/>
            </w:pPr>
            <w:r>
              <w:rPr>
                <w:sz w:val="20"/>
              </w:rPr>
              <w:t xml:space="preserve">20,8</w:t>
            </w:r>
          </w:p>
        </w:tc>
        <w:tc>
          <w:tcPr>
            <w:tcW w:w="859" w:type="dxa"/>
          </w:tcPr>
          <w:p>
            <w:pPr>
              <w:pStyle w:val="0"/>
            </w:pPr>
            <w:r>
              <w:rPr>
                <w:sz w:val="20"/>
              </w:rPr>
              <w:t xml:space="preserve">29,6</w:t>
            </w:r>
          </w:p>
        </w:tc>
        <w:tc>
          <w:tcPr>
            <w:tcW w:w="1084" w:type="dxa"/>
          </w:tcPr>
          <w:p>
            <w:pPr>
              <w:pStyle w:val="0"/>
            </w:pPr>
            <w:r>
              <w:rPr>
                <w:sz w:val="20"/>
              </w:rPr>
              <w:t xml:space="preserve">20,5</w:t>
            </w:r>
          </w:p>
        </w:tc>
        <w:tc>
          <w:tcPr>
            <w:tcW w:w="859" w:type="dxa"/>
          </w:tcPr>
          <w:p>
            <w:pPr>
              <w:pStyle w:val="0"/>
            </w:pPr>
            <w:r>
              <w:rPr>
                <w:sz w:val="20"/>
              </w:rPr>
              <w:t xml:space="preserve">36,9</w:t>
            </w:r>
          </w:p>
        </w:tc>
        <w:tc>
          <w:tcPr>
            <w:tcW w:w="1084" w:type="dxa"/>
          </w:tcPr>
          <w:p>
            <w:pPr>
              <w:pStyle w:val="0"/>
            </w:pPr>
            <w:r>
              <w:rPr>
                <w:sz w:val="20"/>
              </w:rPr>
              <w:t xml:space="preserve">24,8</w:t>
            </w:r>
          </w:p>
        </w:tc>
      </w:tr>
      <w:tr>
        <w:tc>
          <w:tcPr>
            <w:tcW w:w="2089" w:type="dxa"/>
            <w:vMerge w:val="restart"/>
          </w:tcPr>
          <w:p>
            <w:pPr>
              <w:pStyle w:val="0"/>
            </w:pPr>
            <w:r>
              <w:rPr>
                <w:sz w:val="20"/>
              </w:rPr>
              <w:t xml:space="preserve">мезотелиальной и др. мягких тканей (С46.1, 3, 7 - 9, 47, 49)</w:t>
            </w:r>
          </w:p>
        </w:tc>
        <w:tc>
          <w:tcPr>
            <w:tcW w:w="850" w:type="dxa"/>
          </w:tcPr>
          <w:p>
            <w:pPr>
              <w:pStyle w:val="0"/>
            </w:pPr>
            <w:r>
              <w:rPr>
                <w:sz w:val="20"/>
              </w:rPr>
              <w:t xml:space="preserve">оба пола</w:t>
            </w:r>
          </w:p>
        </w:tc>
        <w:tc>
          <w:tcPr>
            <w:tcW w:w="859" w:type="dxa"/>
          </w:tcPr>
          <w:p>
            <w:pPr>
              <w:pStyle w:val="0"/>
            </w:pPr>
            <w:r>
              <w:rPr>
                <w:sz w:val="20"/>
              </w:rPr>
              <w:t xml:space="preserve">1,2</w:t>
            </w:r>
          </w:p>
        </w:tc>
        <w:tc>
          <w:tcPr>
            <w:tcW w:w="1084" w:type="dxa"/>
          </w:tcPr>
          <w:p>
            <w:pPr>
              <w:pStyle w:val="0"/>
            </w:pPr>
            <w:r>
              <w:rPr>
                <w:sz w:val="20"/>
              </w:rPr>
              <w:t xml:space="preserve">1,1</w:t>
            </w:r>
          </w:p>
        </w:tc>
        <w:tc>
          <w:tcPr>
            <w:tcW w:w="859" w:type="dxa"/>
          </w:tcPr>
          <w:p>
            <w:pPr>
              <w:pStyle w:val="0"/>
            </w:pPr>
            <w:r>
              <w:rPr>
                <w:sz w:val="20"/>
              </w:rPr>
              <w:t xml:space="preserve">1,3</w:t>
            </w:r>
          </w:p>
        </w:tc>
        <w:tc>
          <w:tcPr>
            <w:tcW w:w="1084" w:type="dxa"/>
          </w:tcPr>
          <w:p>
            <w:pPr>
              <w:pStyle w:val="0"/>
            </w:pPr>
            <w:r>
              <w:rPr>
                <w:sz w:val="20"/>
              </w:rPr>
              <w:t xml:space="preserve">1,3</w:t>
            </w:r>
          </w:p>
        </w:tc>
        <w:tc>
          <w:tcPr>
            <w:tcW w:w="859" w:type="dxa"/>
          </w:tcPr>
          <w:p>
            <w:pPr>
              <w:pStyle w:val="0"/>
            </w:pPr>
            <w:r>
              <w:rPr>
                <w:sz w:val="20"/>
              </w:rPr>
              <w:t xml:space="preserve">1,7</w:t>
            </w:r>
          </w:p>
        </w:tc>
        <w:tc>
          <w:tcPr>
            <w:tcW w:w="1084" w:type="dxa"/>
          </w:tcPr>
          <w:p>
            <w:pPr>
              <w:pStyle w:val="0"/>
            </w:pPr>
            <w:r>
              <w:rPr>
                <w:sz w:val="20"/>
              </w:rPr>
              <w:t xml:space="preserve">1,6</w:t>
            </w:r>
          </w:p>
        </w:tc>
        <w:tc>
          <w:tcPr>
            <w:tcW w:w="859" w:type="dxa"/>
          </w:tcPr>
          <w:p>
            <w:pPr>
              <w:pStyle w:val="0"/>
            </w:pPr>
            <w:r>
              <w:rPr>
                <w:sz w:val="20"/>
              </w:rPr>
              <w:t xml:space="preserve">2,0</w:t>
            </w:r>
          </w:p>
        </w:tc>
        <w:tc>
          <w:tcPr>
            <w:tcW w:w="1084" w:type="dxa"/>
          </w:tcPr>
          <w:p>
            <w:pPr>
              <w:pStyle w:val="0"/>
            </w:pPr>
            <w:r>
              <w:rPr>
                <w:sz w:val="20"/>
              </w:rPr>
              <w:t xml:space="preserve">1,3</w:t>
            </w:r>
          </w:p>
        </w:tc>
        <w:tc>
          <w:tcPr>
            <w:tcW w:w="859" w:type="dxa"/>
          </w:tcPr>
          <w:p>
            <w:pPr>
              <w:pStyle w:val="0"/>
            </w:pPr>
            <w:r>
              <w:rPr>
                <w:sz w:val="20"/>
              </w:rPr>
              <w:t xml:space="preserve">0,9</w:t>
            </w:r>
          </w:p>
        </w:tc>
        <w:tc>
          <w:tcPr>
            <w:tcW w:w="1084" w:type="dxa"/>
          </w:tcPr>
          <w:p>
            <w:pPr>
              <w:pStyle w:val="0"/>
            </w:pPr>
            <w:r>
              <w:rPr>
                <w:sz w:val="20"/>
              </w:rPr>
              <w:t xml:space="preserve">0,9</w:t>
            </w:r>
          </w:p>
        </w:tc>
        <w:tc>
          <w:tcPr>
            <w:tcW w:w="859" w:type="dxa"/>
          </w:tcPr>
          <w:p>
            <w:pPr>
              <w:pStyle w:val="0"/>
            </w:pPr>
            <w:r>
              <w:rPr>
                <w:sz w:val="20"/>
              </w:rPr>
              <w:t xml:space="preserve">1,6</w:t>
            </w:r>
          </w:p>
        </w:tc>
        <w:tc>
          <w:tcPr>
            <w:tcW w:w="1084" w:type="dxa"/>
          </w:tcPr>
          <w:p>
            <w:pPr>
              <w:pStyle w:val="0"/>
            </w:pPr>
            <w:r>
              <w:rPr>
                <w:sz w:val="20"/>
              </w:rPr>
              <w:t xml:space="preserve">1,3</w:t>
            </w:r>
          </w:p>
        </w:tc>
        <w:tc>
          <w:tcPr>
            <w:tcW w:w="859" w:type="dxa"/>
          </w:tcPr>
          <w:p>
            <w:pPr>
              <w:pStyle w:val="0"/>
            </w:pPr>
            <w:r>
              <w:rPr>
                <w:sz w:val="20"/>
              </w:rPr>
              <w:t xml:space="preserve">1,4</w:t>
            </w:r>
          </w:p>
        </w:tc>
        <w:tc>
          <w:tcPr>
            <w:tcW w:w="1084" w:type="dxa"/>
          </w:tcPr>
          <w:p>
            <w:pPr>
              <w:pStyle w:val="0"/>
            </w:pPr>
            <w:r>
              <w:rPr>
                <w:sz w:val="20"/>
              </w:rPr>
              <w:t xml:space="preserve">1,1</w:t>
            </w:r>
          </w:p>
        </w:tc>
        <w:tc>
          <w:tcPr>
            <w:tcW w:w="859" w:type="dxa"/>
          </w:tcPr>
          <w:p>
            <w:pPr>
              <w:pStyle w:val="0"/>
            </w:pPr>
            <w:r>
              <w:rPr>
                <w:sz w:val="20"/>
              </w:rPr>
              <w:t xml:space="preserve">1,7</w:t>
            </w:r>
          </w:p>
        </w:tc>
        <w:tc>
          <w:tcPr>
            <w:tcW w:w="1084" w:type="dxa"/>
          </w:tcPr>
          <w:p>
            <w:pPr>
              <w:pStyle w:val="0"/>
            </w:pPr>
            <w:r>
              <w:rPr>
                <w:sz w:val="20"/>
              </w:rPr>
              <w:t xml:space="preserve">1,2</w:t>
            </w:r>
          </w:p>
        </w:tc>
        <w:tc>
          <w:tcPr>
            <w:tcW w:w="859" w:type="dxa"/>
          </w:tcPr>
          <w:p>
            <w:pPr>
              <w:pStyle w:val="0"/>
            </w:pPr>
            <w:r>
              <w:rPr>
                <w:sz w:val="20"/>
              </w:rPr>
              <w:t xml:space="preserve">2,0</w:t>
            </w:r>
          </w:p>
        </w:tc>
        <w:tc>
          <w:tcPr>
            <w:tcW w:w="1084" w:type="dxa"/>
          </w:tcPr>
          <w:p>
            <w:pPr>
              <w:pStyle w:val="0"/>
            </w:pPr>
            <w:r>
              <w:rPr>
                <w:sz w:val="20"/>
              </w:rPr>
              <w:t xml:space="preserve">2,4</w:t>
            </w:r>
          </w:p>
        </w:tc>
        <w:tc>
          <w:tcPr>
            <w:tcW w:w="859" w:type="dxa"/>
          </w:tcPr>
          <w:p>
            <w:pPr>
              <w:pStyle w:val="0"/>
            </w:pPr>
            <w:r>
              <w:rPr>
                <w:sz w:val="20"/>
              </w:rPr>
              <w:t xml:space="preserve">1,6</w:t>
            </w:r>
          </w:p>
        </w:tc>
        <w:tc>
          <w:tcPr>
            <w:tcW w:w="1084" w:type="dxa"/>
          </w:tcPr>
          <w:p>
            <w:pPr>
              <w:pStyle w:val="0"/>
            </w:pPr>
            <w:r>
              <w:rPr>
                <w:sz w:val="20"/>
              </w:rPr>
              <w:t xml:space="preserve">1,4</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1,3</w:t>
            </w:r>
          </w:p>
        </w:tc>
        <w:tc>
          <w:tcPr>
            <w:tcW w:w="1084" w:type="dxa"/>
          </w:tcPr>
          <w:p>
            <w:pPr>
              <w:pStyle w:val="0"/>
            </w:pPr>
            <w:r>
              <w:rPr>
                <w:sz w:val="20"/>
              </w:rPr>
              <w:t xml:space="preserve">0,3</w:t>
            </w:r>
          </w:p>
        </w:tc>
        <w:tc>
          <w:tcPr>
            <w:tcW w:w="859" w:type="dxa"/>
          </w:tcPr>
          <w:p>
            <w:pPr>
              <w:pStyle w:val="0"/>
            </w:pPr>
            <w:r>
              <w:rPr>
                <w:sz w:val="20"/>
              </w:rPr>
              <w:t xml:space="preserve">1,3</w:t>
            </w:r>
          </w:p>
        </w:tc>
        <w:tc>
          <w:tcPr>
            <w:tcW w:w="1084" w:type="dxa"/>
          </w:tcPr>
          <w:p>
            <w:pPr>
              <w:pStyle w:val="0"/>
            </w:pPr>
            <w:r>
              <w:rPr>
                <w:sz w:val="20"/>
              </w:rPr>
              <w:t xml:space="preserve">0,8</w:t>
            </w:r>
          </w:p>
        </w:tc>
        <w:tc>
          <w:tcPr>
            <w:tcW w:w="859" w:type="dxa"/>
          </w:tcPr>
          <w:p>
            <w:pPr>
              <w:pStyle w:val="0"/>
            </w:pPr>
            <w:r>
              <w:rPr>
                <w:sz w:val="20"/>
              </w:rPr>
              <w:t xml:space="preserve">1,5</w:t>
            </w:r>
          </w:p>
        </w:tc>
        <w:tc>
          <w:tcPr>
            <w:tcW w:w="1084" w:type="dxa"/>
          </w:tcPr>
          <w:p>
            <w:pPr>
              <w:pStyle w:val="0"/>
            </w:pPr>
            <w:r>
              <w:rPr>
                <w:sz w:val="20"/>
              </w:rPr>
              <w:t xml:space="preserve">1,3</w:t>
            </w:r>
          </w:p>
        </w:tc>
        <w:tc>
          <w:tcPr>
            <w:tcW w:w="859" w:type="dxa"/>
          </w:tcPr>
          <w:p>
            <w:pPr>
              <w:pStyle w:val="0"/>
            </w:pPr>
            <w:r>
              <w:rPr>
                <w:sz w:val="20"/>
              </w:rPr>
              <w:t xml:space="preserve">1,8</w:t>
            </w:r>
          </w:p>
        </w:tc>
        <w:tc>
          <w:tcPr>
            <w:tcW w:w="1084" w:type="dxa"/>
          </w:tcPr>
          <w:p>
            <w:pPr>
              <w:pStyle w:val="0"/>
            </w:pPr>
            <w:r>
              <w:rPr>
                <w:sz w:val="20"/>
              </w:rPr>
              <w:t xml:space="preserve">1,5</w:t>
            </w:r>
          </w:p>
        </w:tc>
        <w:tc>
          <w:tcPr>
            <w:tcW w:w="859" w:type="dxa"/>
          </w:tcPr>
          <w:p>
            <w:pPr>
              <w:pStyle w:val="0"/>
            </w:pPr>
            <w:r>
              <w:rPr>
                <w:sz w:val="20"/>
              </w:rPr>
              <w:t xml:space="preserve">0,4</w:t>
            </w:r>
          </w:p>
        </w:tc>
        <w:tc>
          <w:tcPr>
            <w:tcW w:w="1084" w:type="dxa"/>
          </w:tcPr>
          <w:p>
            <w:pPr>
              <w:pStyle w:val="0"/>
            </w:pPr>
            <w:r>
              <w:rPr>
                <w:sz w:val="20"/>
              </w:rPr>
              <w:t xml:space="preserve">0,5</w:t>
            </w:r>
          </w:p>
        </w:tc>
        <w:tc>
          <w:tcPr>
            <w:tcW w:w="859" w:type="dxa"/>
          </w:tcPr>
          <w:p>
            <w:pPr>
              <w:pStyle w:val="0"/>
            </w:pPr>
            <w:r>
              <w:rPr>
                <w:sz w:val="20"/>
              </w:rPr>
              <w:t xml:space="preserve">1,8</w:t>
            </w:r>
          </w:p>
        </w:tc>
        <w:tc>
          <w:tcPr>
            <w:tcW w:w="1084" w:type="dxa"/>
          </w:tcPr>
          <w:p>
            <w:pPr>
              <w:pStyle w:val="0"/>
            </w:pPr>
            <w:r>
              <w:rPr>
                <w:sz w:val="20"/>
              </w:rPr>
              <w:t xml:space="preserve">1,6</w:t>
            </w:r>
          </w:p>
        </w:tc>
        <w:tc>
          <w:tcPr>
            <w:tcW w:w="859" w:type="dxa"/>
          </w:tcPr>
          <w:p>
            <w:pPr>
              <w:pStyle w:val="0"/>
            </w:pPr>
            <w:r>
              <w:rPr>
                <w:sz w:val="20"/>
              </w:rPr>
              <w:t xml:space="preserve">1,4</w:t>
            </w:r>
          </w:p>
        </w:tc>
        <w:tc>
          <w:tcPr>
            <w:tcW w:w="1084" w:type="dxa"/>
          </w:tcPr>
          <w:p>
            <w:pPr>
              <w:pStyle w:val="0"/>
            </w:pPr>
            <w:r>
              <w:rPr>
                <w:sz w:val="20"/>
              </w:rPr>
              <w:t xml:space="preserve">1,1</w:t>
            </w:r>
          </w:p>
        </w:tc>
        <w:tc>
          <w:tcPr>
            <w:tcW w:w="859" w:type="dxa"/>
          </w:tcPr>
          <w:p>
            <w:pPr>
              <w:pStyle w:val="0"/>
            </w:pPr>
            <w:r>
              <w:rPr>
                <w:sz w:val="20"/>
              </w:rPr>
              <w:t xml:space="preserve">2,4</w:t>
            </w:r>
          </w:p>
        </w:tc>
        <w:tc>
          <w:tcPr>
            <w:tcW w:w="1084" w:type="dxa"/>
          </w:tcPr>
          <w:p>
            <w:pPr>
              <w:pStyle w:val="0"/>
            </w:pPr>
            <w:r>
              <w:rPr>
                <w:sz w:val="20"/>
              </w:rPr>
              <w:t xml:space="preserve">1,7</w:t>
            </w:r>
          </w:p>
        </w:tc>
        <w:tc>
          <w:tcPr>
            <w:tcW w:w="859" w:type="dxa"/>
          </w:tcPr>
          <w:p>
            <w:pPr>
              <w:pStyle w:val="0"/>
            </w:pPr>
            <w:r>
              <w:rPr>
                <w:sz w:val="20"/>
              </w:rPr>
              <w:t xml:space="preserve">2,2</w:t>
            </w:r>
          </w:p>
        </w:tc>
        <w:tc>
          <w:tcPr>
            <w:tcW w:w="1084" w:type="dxa"/>
          </w:tcPr>
          <w:p>
            <w:pPr>
              <w:pStyle w:val="0"/>
            </w:pPr>
            <w:r>
              <w:rPr>
                <w:sz w:val="20"/>
              </w:rPr>
              <w:t xml:space="preserve">2,7</w:t>
            </w:r>
          </w:p>
        </w:tc>
        <w:tc>
          <w:tcPr>
            <w:tcW w:w="859" w:type="dxa"/>
          </w:tcPr>
          <w:p>
            <w:pPr>
              <w:pStyle w:val="0"/>
            </w:pPr>
            <w:r>
              <w:rPr>
                <w:sz w:val="20"/>
              </w:rPr>
              <w:t xml:space="preserve">1,8</w:t>
            </w:r>
          </w:p>
        </w:tc>
        <w:tc>
          <w:tcPr>
            <w:tcW w:w="1084" w:type="dxa"/>
          </w:tcPr>
          <w:p>
            <w:pPr>
              <w:pStyle w:val="0"/>
            </w:pPr>
            <w:r>
              <w:rPr>
                <w:sz w:val="20"/>
              </w:rPr>
              <w:t xml:space="preserve">2,0</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1,1</w:t>
            </w:r>
          </w:p>
        </w:tc>
        <w:tc>
          <w:tcPr>
            <w:tcW w:w="1084" w:type="dxa"/>
          </w:tcPr>
          <w:p>
            <w:pPr>
              <w:pStyle w:val="0"/>
            </w:pPr>
            <w:r>
              <w:rPr>
                <w:sz w:val="20"/>
              </w:rPr>
              <w:t xml:space="preserve">1,2</w:t>
            </w:r>
          </w:p>
        </w:tc>
        <w:tc>
          <w:tcPr>
            <w:tcW w:w="859" w:type="dxa"/>
          </w:tcPr>
          <w:p>
            <w:pPr>
              <w:pStyle w:val="0"/>
            </w:pPr>
            <w:r>
              <w:rPr>
                <w:sz w:val="20"/>
              </w:rPr>
              <w:t xml:space="preserve">1,3</w:t>
            </w:r>
          </w:p>
        </w:tc>
        <w:tc>
          <w:tcPr>
            <w:tcW w:w="1084" w:type="dxa"/>
          </w:tcPr>
          <w:p>
            <w:pPr>
              <w:pStyle w:val="0"/>
            </w:pPr>
            <w:r>
              <w:rPr>
                <w:sz w:val="20"/>
              </w:rPr>
              <w:t xml:space="preserve">1,6</w:t>
            </w:r>
          </w:p>
        </w:tc>
        <w:tc>
          <w:tcPr>
            <w:tcW w:w="859" w:type="dxa"/>
          </w:tcPr>
          <w:p>
            <w:pPr>
              <w:pStyle w:val="0"/>
            </w:pPr>
            <w:r>
              <w:rPr>
                <w:sz w:val="20"/>
              </w:rPr>
              <w:t xml:space="preserve">1,8</w:t>
            </w:r>
          </w:p>
        </w:tc>
        <w:tc>
          <w:tcPr>
            <w:tcW w:w="1084" w:type="dxa"/>
          </w:tcPr>
          <w:p>
            <w:pPr>
              <w:pStyle w:val="0"/>
            </w:pPr>
            <w:r>
              <w:rPr>
                <w:sz w:val="20"/>
              </w:rPr>
              <w:t xml:space="preserve">1,8</w:t>
            </w:r>
          </w:p>
        </w:tc>
        <w:tc>
          <w:tcPr>
            <w:tcW w:w="859" w:type="dxa"/>
          </w:tcPr>
          <w:p>
            <w:pPr>
              <w:pStyle w:val="0"/>
            </w:pPr>
            <w:r>
              <w:rPr>
                <w:sz w:val="20"/>
              </w:rPr>
              <w:t xml:space="preserve">2,2</w:t>
            </w:r>
          </w:p>
        </w:tc>
        <w:tc>
          <w:tcPr>
            <w:tcW w:w="1084" w:type="dxa"/>
          </w:tcPr>
          <w:p>
            <w:pPr>
              <w:pStyle w:val="0"/>
            </w:pPr>
            <w:r>
              <w:rPr>
                <w:sz w:val="20"/>
              </w:rPr>
              <w:t xml:space="preserve">1,2</w:t>
            </w:r>
          </w:p>
        </w:tc>
        <w:tc>
          <w:tcPr>
            <w:tcW w:w="859" w:type="dxa"/>
          </w:tcPr>
          <w:p>
            <w:pPr>
              <w:pStyle w:val="0"/>
            </w:pPr>
            <w:r>
              <w:rPr>
                <w:sz w:val="20"/>
              </w:rPr>
              <w:t xml:space="preserve">1,5</w:t>
            </w:r>
          </w:p>
        </w:tc>
        <w:tc>
          <w:tcPr>
            <w:tcW w:w="1084" w:type="dxa"/>
          </w:tcPr>
          <w:p>
            <w:pPr>
              <w:pStyle w:val="0"/>
            </w:pPr>
            <w:r>
              <w:rPr>
                <w:sz w:val="20"/>
              </w:rPr>
              <w:t xml:space="preserve">1,2</w:t>
            </w:r>
          </w:p>
        </w:tc>
        <w:tc>
          <w:tcPr>
            <w:tcW w:w="859" w:type="dxa"/>
          </w:tcPr>
          <w:p>
            <w:pPr>
              <w:pStyle w:val="0"/>
            </w:pPr>
            <w:r>
              <w:rPr>
                <w:sz w:val="20"/>
              </w:rPr>
              <w:t xml:space="preserve">1,5</w:t>
            </w:r>
          </w:p>
        </w:tc>
        <w:tc>
          <w:tcPr>
            <w:tcW w:w="1084" w:type="dxa"/>
          </w:tcPr>
          <w:p>
            <w:pPr>
              <w:pStyle w:val="0"/>
            </w:pPr>
            <w:r>
              <w:rPr>
                <w:sz w:val="20"/>
              </w:rPr>
              <w:t xml:space="preserve">1,1</w:t>
            </w:r>
          </w:p>
        </w:tc>
        <w:tc>
          <w:tcPr>
            <w:tcW w:w="859" w:type="dxa"/>
          </w:tcPr>
          <w:p>
            <w:pPr>
              <w:pStyle w:val="0"/>
            </w:pPr>
            <w:r>
              <w:rPr>
                <w:sz w:val="20"/>
              </w:rPr>
              <w:t xml:space="preserve">1,5</w:t>
            </w:r>
          </w:p>
        </w:tc>
        <w:tc>
          <w:tcPr>
            <w:tcW w:w="1084" w:type="dxa"/>
          </w:tcPr>
          <w:p>
            <w:pPr>
              <w:pStyle w:val="0"/>
            </w:pPr>
            <w:r>
              <w:rPr>
                <w:sz w:val="20"/>
              </w:rPr>
              <w:t xml:space="preserve">1,1</w:t>
            </w:r>
          </w:p>
        </w:tc>
        <w:tc>
          <w:tcPr>
            <w:tcW w:w="859" w:type="dxa"/>
          </w:tcPr>
          <w:p>
            <w:pPr>
              <w:pStyle w:val="0"/>
            </w:pPr>
            <w:r>
              <w:rPr>
                <w:sz w:val="20"/>
              </w:rPr>
              <w:t xml:space="preserve">1,2</w:t>
            </w:r>
          </w:p>
        </w:tc>
        <w:tc>
          <w:tcPr>
            <w:tcW w:w="1084" w:type="dxa"/>
          </w:tcPr>
          <w:p>
            <w:pPr>
              <w:pStyle w:val="0"/>
            </w:pPr>
            <w:r>
              <w:rPr>
                <w:sz w:val="20"/>
              </w:rPr>
              <w:t xml:space="preserve">1,0</w:t>
            </w:r>
          </w:p>
        </w:tc>
        <w:tc>
          <w:tcPr>
            <w:tcW w:w="859" w:type="dxa"/>
          </w:tcPr>
          <w:p>
            <w:pPr>
              <w:pStyle w:val="0"/>
            </w:pPr>
            <w:r>
              <w:rPr>
                <w:sz w:val="20"/>
              </w:rPr>
              <w:t xml:space="preserve">1,8</w:t>
            </w:r>
          </w:p>
        </w:tc>
        <w:tc>
          <w:tcPr>
            <w:tcW w:w="1084" w:type="dxa"/>
          </w:tcPr>
          <w:p>
            <w:pPr>
              <w:pStyle w:val="0"/>
            </w:pPr>
            <w:r>
              <w:rPr>
                <w:sz w:val="20"/>
              </w:rPr>
              <w:t xml:space="preserve">1,9</w:t>
            </w:r>
          </w:p>
        </w:tc>
        <w:tc>
          <w:tcPr>
            <w:tcW w:w="859" w:type="dxa"/>
          </w:tcPr>
          <w:p>
            <w:pPr>
              <w:pStyle w:val="0"/>
            </w:pPr>
            <w:r>
              <w:rPr>
                <w:sz w:val="20"/>
              </w:rPr>
              <w:t xml:space="preserve">1,3</w:t>
            </w:r>
          </w:p>
        </w:tc>
        <w:tc>
          <w:tcPr>
            <w:tcW w:w="1084" w:type="dxa"/>
          </w:tcPr>
          <w:p>
            <w:pPr>
              <w:pStyle w:val="0"/>
            </w:pPr>
            <w:r>
              <w:rPr>
                <w:sz w:val="20"/>
              </w:rPr>
              <w:t xml:space="preserve">0,9</w:t>
            </w:r>
          </w:p>
        </w:tc>
      </w:tr>
      <w:tr>
        <w:tc>
          <w:tcPr>
            <w:tcW w:w="2089" w:type="dxa"/>
            <w:vMerge w:val="restart"/>
          </w:tcPr>
          <w:p>
            <w:pPr>
              <w:pStyle w:val="0"/>
            </w:pPr>
            <w:r>
              <w:rPr>
                <w:sz w:val="20"/>
              </w:rPr>
              <w:t xml:space="preserve">молочной железы (С50)</w:t>
            </w:r>
          </w:p>
        </w:tc>
        <w:tc>
          <w:tcPr>
            <w:tcW w:w="850" w:type="dxa"/>
          </w:tcPr>
          <w:p>
            <w:pPr>
              <w:pStyle w:val="0"/>
            </w:pPr>
            <w:r>
              <w:rPr>
                <w:sz w:val="20"/>
              </w:rPr>
              <w:t xml:space="preserve">оба пола</w:t>
            </w:r>
          </w:p>
        </w:tc>
        <w:tc>
          <w:tcPr>
            <w:tcW w:w="859" w:type="dxa"/>
          </w:tcPr>
          <w:p>
            <w:pPr>
              <w:pStyle w:val="0"/>
            </w:pPr>
            <w:r>
              <w:rPr>
                <w:sz w:val="20"/>
              </w:rPr>
              <w:t xml:space="preserve">32,0</w:t>
            </w:r>
          </w:p>
        </w:tc>
        <w:tc>
          <w:tcPr>
            <w:tcW w:w="1084" w:type="dxa"/>
          </w:tcPr>
          <w:p>
            <w:pPr>
              <w:pStyle w:val="0"/>
            </w:pPr>
            <w:r>
              <w:rPr>
                <w:sz w:val="20"/>
              </w:rPr>
              <w:t xml:space="preserve">34,3</w:t>
            </w:r>
          </w:p>
        </w:tc>
        <w:tc>
          <w:tcPr>
            <w:tcW w:w="859" w:type="dxa"/>
          </w:tcPr>
          <w:p>
            <w:pPr>
              <w:pStyle w:val="0"/>
            </w:pPr>
            <w:r>
              <w:rPr>
                <w:sz w:val="20"/>
              </w:rPr>
              <w:t xml:space="preserve">31,2</w:t>
            </w:r>
          </w:p>
        </w:tc>
        <w:tc>
          <w:tcPr>
            <w:tcW w:w="1084" w:type="dxa"/>
          </w:tcPr>
          <w:p>
            <w:pPr>
              <w:pStyle w:val="0"/>
            </w:pPr>
            <w:r>
              <w:rPr>
                <w:sz w:val="20"/>
              </w:rPr>
              <w:t xml:space="preserve">30,8</w:t>
            </w:r>
          </w:p>
        </w:tc>
        <w:tc>
          <w:tcPr>
            <w:tcW w:w="859" w:type="dxa"/>
          </w:tcPr>
          <w:p>
            <w:pPr>
              <w:pStyle w:val="0"/>
            </w:pPr>
            <w:r>
              <w:rPr>
                <w:sz w:val="20"/>
              </w:rPr>
              <w:t xml:space="preserve">33,6</w:t>
            </w:r>
          </w:p>
        </w:tc>
        <w:tc>
          <w:tcPr>
            <w:tcW w:w="1084" w:type="dxa"/>
          </w:tcPr>
          <w:p>
            <w:pPr>
              <w:pStyle w:val="0"/>
            </w:pPr>
            <w:r>
              <w:rPr>
                <w:sz w:val="20"/>
              </w:rPr>
              <w:t xml:space="preserve">30,4</w:t>
            </w:r>
          </w:p>
        </w:tc>
        <w:tc>
          <w:tcPr>
            <w:tcW w:w="859" w:type="dxa"/>
          </w:tcPr>
          <w:p>
            <w:pPr>
              <w:pStyle w:val="0"/>
            </w:pPr>
            <w:r>
              <w:rPr>
                <w:sz w:val="20"/>
              </w:rPr>
              <w:t xml:space="preserve">31,4</w:t>
            </w:r>
          </w:p>
        </w:tc>
        <w:tc>
          <w:tcPr>
            <w:tcW w:w="1084" w:type="dxa"/>
          </w:tcPr>
          <w:p>
            <w:pPr>
              <w:pStyle w:val="0"/>
            </w:pPr>
            <w:r>
              <w:rPr>
                <w:sz w:val="20"/>
              </w:rPr>
              <w:t xml:space="preserve">30,1</w:t>
            </w:r>
          </w:p>
        </w:tc>
        <w:tc>
          <w:tcPr>
            <w:tcW w:w="859" w:type="dxa"/>
          </w:tcPr>
          <w:p>
            <w:pPr>
              <w:pStyle w:val="0"/>
            </w:pPr>
            <w:r>
              <w:rPr>
                <w:sz w:val="20"/>
              </w:rPr>
              <w:t xml:space="preserve">34,1</w:t>
            </w:r>
          </w:p>
        </w:tc>
        <w:tc>
          <w:tcPr>
            <w:tcW w:w="1084" w:type="dxa"/>
          </w:tcPr>
          <w:p>
            <w:pPr>
              <w:pStyle w:val="0"/>
            </w:pPr>
            <w:r>
              <w:rPr>
                <w:sz w:val="20"/>
              </w:rPr>
              <w:t xml:space="preserve">36,0</w:t>
            </w:r>
          </w:p>
        </w:tc>
        <w:tc>
          <w:tcPr>
            <w:tcW w:w="859" w:type="dxa"/>
          </w:tcPr>
          <w:p>
            <w:pPr>
              <w:pStyle w:val="0"/>
            </w:pPr>
            <w:r>
              <w:rPr>
                <w:sz w:val="20"/>
              </w:rPr>
              <w:t xml:space="preserve">36,2</w:t>
            </w:r>
          </w:p>
        </w:tc>
        <w:tc>
          <w:tcPr>
            <w:tcW w:w="1084" w:type="dxa"/>
          </w:tcPr>
          <w:p>
            <w:pPr>
              <w:pStyle w:val="0"/>
            </w:pPr>
            <w:r>
              <w:rPr>
                <w:sz w:val="20"/>
              </w:rPr>
              <w:t xml:space="preserve">31,6</w:t>
            </w:r>
          </w:p>
        </w:tc>
        <w:tc>
          <w:tcPr>
            <w:tcW w:w="859" w:type="dxa"/>
          </w:tcPr>
          <w:p>
            <w:pPr>
              <w:pStyle w:val="0"/>
            </w:pPr>
            <w:r>
              <w:rPr>
                <w:sz w:val="20"/>
              </w:rPr>
              <w:t xml:space="preserve">38,6</w:t>
            </w:r>
          </w:p>
        </w:tc>
        <w:tc>
          <w:tcPr>
            <w:tcW w:w="1084" w:type="dxa"/>
          </w:tcPr>
          <w:p>
            <w:pPr>
              <w:pStyle w:val="0"/>
            </w:pPr>
            <w:r>
              <w:rPr>
                <w:sz w:val="20"/>
              </w:rPr>
              <w:t xml:space="preserve">33,3</w:t>
            </w:r>
          </w:p>
        </w:tc>
        <w:tc>
          <w:tcPr>
            <w:tcW w:w="859" w:type="dxa"/>
          </w:tcPr>
          <w:p>
            <w:pPr>
              <w:pStyle w:val="0"/>
            </w:pPr>
            <w:r>
              <w:rPr>
                <w:sz w:val="20"/>
              </w:rPr>
              <w:t xml:space="preserve">39,1</w:t>
            </w:r>
          </w:p>
        </w:tc>
        <w:tc>
          <w:tcPr>
            <w:tcW w:w="1084" w:type="dxa"/>
          </w:tcPr>
          <w:p>
            <w:pPr>
              <w:pStyle w:val="0"/>
            </w:pPr>
            <w:r>
              <w:rPr>
                <w:sz w:val="20"/>
              </w:rPr>
              <w:t xml:space="preserve">28,2</w:t>
            </w:r>
          </w:p>
        </w:tc>
        <w:tc>
          <w:tcPr>
            <w:tcW w:w="859" w:type="dxa"/>
          </w:tcPr>
          <w:p>
            <w:pPr>
              <w:pStyle w:val="0"/>
            </w:pPr>
            <w:r>
              <w:rPr>
                <w:sz w:val="20"/>
              </w:rPr>
              <w:t xml:space="preserve">36,7</w:t>
            </w:r>
          </w:p>
        </w:tc>
        <w:tc>
          <w:tcPr>
            <w:tcW w:w="1084" w:type="dxa"/>
          </w:tcPr>
          <w:p>
            <w:pPr>
              <w:pStyle w:val="0"/>
            </w:pPr>
            <w:r>
              <w:rPr>
                <w:sz w:val="20"/>
              </w:rPr>
              <w:t xml:space="preserve">27,5</w:t>
            </w:r>
          </w:p>
        </w:tc>
        <w:tc>
          <w:tcPr>
            <w:tcW w:w="859" w:type="dxa"/>
          </w:tcPr>
          <w:p>
            <w:pPr>
              <w:pStyle w:val="0"/>
            </w:pPr>
            <w:r>
              <w:rPr>
                <w:sz w:val="20"/>
              </w:rPr>
              <w:t xml:space="preserve">38,7</w:t>
            </w:r>
          </w:p>
        </w:tc>
        <w:tc>
          <w:tcPr>
            <w:tcW w:w="1084" w:type="dxa"/>
          </w:tcPr>
          <w:p>
            <w:pPr>
              <w:pStyle w:val="0"/>
            </w:pPr>
            <w:r>
              <w:rPr>
                <w:sz w:val="20"/>
              </w:rPr>
              <w:t xml:space="preserve">28,7</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0,5</w:t>
            </w:r>
          </w:p>
        </w:tc>
        <w:tc>
          <w:tcPr>
            <w:tcW w:w="1084" w:type="dxa"/>
          </w:tcPr>
          <w:p>
            <w:pPr>
              <w:pStyle w:val="0"/>
            </w:pPr>
            <w:r>
              <w:rPr>
                <w:sz w:val="20"/>
              </w:rPr>
              <w:t xml:space="preserve">0,7</w:t>
            </w:r>
          </w:p>
        </w:tc>
        <w:tc>
          <w:tcPr>
            <w:tcW w:w="859" w:type="dxa"/>
          </w:tcPr>
          <w:p>
            <w:pPr>
              <w:pStyle w:val="0"/>
            </w:pPr>
            <w:r>
              <w:rPr>
                <w:sz w:val="20"/>
              </w:rPr>
              <w:t xml:space="preserve">-</w:t>
            </w:r>
          </w:p>
        </w:tc>
        <w:tc>
          <w:tcPr>
            <w:tcW w:w="1084" w:type="dxa"/>
          </w:tcPr>
          <w:p>
            <w:pPr>
              <w:pStyle w:val="0"/>
            </w:pPr>
            <w:r>
              <w:rPr>
                <w:sz w:val="20"/>
              </w:rPr>
              <w:t xml:space="preserve">1,1</w:t>
            </w:r>
          </w:p>
        </w:tc>
        <w:tc>
          <w:tcPr>
            <w:tcW w:w="859" w:type="dxa"/>
          </w:tcPr>
          <w:p>
            <w:pPr>
              <w:pStyle w:val="0"/>
            </w:pPr>
            <w:r>
              <w:rPr>
                <w:sz w:val="20"/>
              </w:rPr>
              <w:t xml:space="preserve">0,1</w:t>
            </w:r>
          </w:p>
        </w:tc>
        <w:tc>
          <w:tcPr>
            <w:tcW w:w="1084" w:type="dxa"/>
          </w:tcPr>
          <w:p>
            <w:pPr>
              <w:pStyle w:val="0"/>
            </w:pPr>
            <w:r>
              <w:rPr>
                <w:sz w:val="20"/>
              </w:rPr>
              <w:t xml:space="preserve">0,3</w:t>
            </w:r>
          </w:p>
        </w:tc>
        <w:tc>
          <w:tcPr>
            <w:tcW w:w="859" w:type="dxa"/>
          </w:tcPr>
          <w:p>
            <w:pPr>
              <w:pStyle w:val="0"/>
            </w:pPr>
            <w:r>
              <w:rPr>
                <w:sz w:val="20"/>
              </w:rPr>
              <w:t xml:space="preserve">0,5</w:t>
            </w:r>
          </w:p>
        </w:tc>
        <w:tc>
          <w:tcPr>
            <w:tcW w:w="1084" w:type="dxa"/>
          </w:tcPr>
          <w:p>
            <w:pPr>
              <w:pStyle w:val="0"/>
            </w:pPr>
            <w:r>
              <w:rPr>
                <w:sz w:val="20"/>
              </w:rPr>
              <w:t xml:space="preserve">1,0</w:t>
            </w:r>
          </w:p>
        </w:tc>
        <w:tc>
          <w:tcPr>
            <w:tcW w:w="859" w:type="dxa"/>
          </w:tcPr>
          <w:p>
            <w:pPr>
              <w:pStyle w:val="0"/>
            </w:pPr>
            <w:r>
              <w:rPr>
                <w:sz w:val="20"/>
              </w:rPr>
              <w:t xml:space="preserve">0,3</w:t>
            </w:r>
          </w:p>
        </w:tc>
        <w:tc>
          <w:tcPr>
            <w:tcW w:w="1084" w:type="dxa"/>
          </w:tcPr>
          <w:p>
            <w:pPr>
              <w:pStyle w:val="0"/>
            </w:pPr>
            <w:r>
              <w:rPr>
                <w:sz w:val="20"/>
              </w:rPr>
              <w:t xml:space="preserve">0,2</w:t>
            </w:r>
          </w:p>
        </w:tc>
        <w:tc>
          <w:tcPr>
            <w:tcW w:w="859" w:type="dxa"/>
          </w:tcPr>
          <w:p>
            <w:pPr>
              <w:pStyle w:val="0"/>
            </w:pPr>
            <w:r>
              <w:rPr>
                <w:sz w:val="20"/>
              </w:rPr>
              <w:t xml:space="preserve">0,8</w:t>
            </w:r>
          </w:p>
        </w:tc>
        <w:tc>
          <w:tcPr>
            <w:tcW w:w="1084" w:type="dxa"/>
          </w:tcPr>
          <w:p>
            <w:pPr>
              <w:pStyle w:val="0"/>
            </w:pPr>
            <w:r>
              <w:rPr>
                <w:sz w:val="20"/>
              </w:rPr>
              <w:t xml:space="preserve">0,4</w:t>
            </w:r>
          </w:p>
        </w:tc>
        <w:tc>
          <w:tcPr>
            <w:tcW w:w="859" w:type="dxa"/>
          </w:tcPr>
          <w:p>
            <w:pPr>
              <w:pStyle w:val="0"/>
            </w:pPr>
            <w:r>
              <w:rPr>
                <w:sz w:val="20"/>
              </w:rPr>
              <w:t xml:space="preserve">0,6</w:t>
            </w:r>
          </w:p>
        </w:tc>
        <w:tc>
          <w:tcPr>
            <w:tcW w:w="1084" w:type="dxa"/>
          </w:tcPr>
          <w:p>
            <w:pPr>
              <w:pStyle w:val="0"/>
            </w:pPr>
            <w:r>
              <w:rPr>
                <w:sz w:val="20"/>
              </w:rPr>
              <w:t xml:space="preserve">0,5</w:t>
            </w:r>
          </w:p>
        </w:tc>
        <w:tc>
          <w:tcPr>
            <w:tcW w:w="859" w:type="dxa"/>
          </w:tcPr>
          <w:p>
            <w:pPr>
              <w:pStyle w:val="0"/>
            </w:pPr>
            <w:r>
              <w:rPr>
                <w:sz w:val="20"/>
              </w:rPr>
              <w:t xml:space="preserve">0,7</w:t>
            </w:r>
          </w:p>
        </w:tc>
        <w:tc>
          <w:tcPr>
            <w:tcW w:w="1084" w:type="dxa"/>
          </w:tcPr>
          <w:p>
            <w:pPr>
              <w:pStyle w:val="0"/>
            </w:pPr>
            <w:r>
              <w:rPr>
                <w:sz w:val="20"/>
              </w:rPr>
              <w:t xml:space="preserve">0,3</w:t>
            </w:r>
          </w:p>
        </w:tc>
        <w:tc>
          <w:tcPr>
            <w:tcW w:w="859" w:type="dxa"/>
          </w:tcPr>
          <w:p>
            <w:pPr>
              <w:pStyle w:val="0"/>
            </w:pPr>
            <w:r>
              <w:rPr>
                <w:sz w:val="20"/>
              </w:rPr>
              <w:t xml:space="preserve">0,8</w:t>
            </w:r>
          </w:p>
        </w:tc>
        <w:tc>
          <w:tcPr>
            <w:tcW w:w="1084" w:type="dxa"/>
          </w:tcPr>
          <w:p>
            <w:pPr>
              <w:pStyle w:val="0"/>
            </w:pPr>
            <w:r>
              <w:rPr>
                <w:sz w:val="20"/>
              </w:rPr>
              <w:t xml:space="preserve">0,8</w:t>
            </w:r>
          </w:p>
        </w:tc>
        <w:tc>
          <w:tcPr>
            <w:tcW w:w="859" w:type="dxa"/>
          </w:tcPr>
          <w:p>
            <w:pPr>
              <w:pStyle w:val="0"/>
            </w:pPr>
            <w:r>
              <w:rPr>
                <w:sz w:val="20"/>
              </w:rPr>
              <w:t xml:space="preserve">0,8</w:t>
            </w:r>
          </w:p>
        </w:tc>
        <w:tc>
          <w:tcPr>
            <w:tcW w:w="1084" w:type="dxa"/>
          </w:tcPr>
          <w:p>
            <w:pPr>
              <w:pStyle w:val="0"/>
            </w:pPr>
            <w:r>
              <w:rPr>
                <w:sz w:val="20"/>
              </w:rPr>
              <w:t xml:space="preserve">1,03</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61,8</w:t>
            </w:r>
          </w:p>
        </w:tc>
        <w:tc>
          <w:tcPr>
            <w:tcW w:w="1084" w:type="dxa"/>
          </w:tcPr>
          <w:p>
            <w:pPr>
              <w:pStyle w:val="0"/>
            </w:pPr>
            <w:r>
              <w:rPr>
                <w:sz w:val="20"/>
              </w:rPr>
              <w:t xml:space="preserve">56,3</w:t>
            </w:r>
          </w:p>
        </w:tc>
        <w:tc>
          <w:tcPr>
            <w:tcW w:w="859" w:type="dxa"/>
          </w:tcPr>
          <w:p>
            <w:pPr>
              <w:pStyle w:val="0"/>
            </w:pPr>
            <w:r>
              <w:rPr>
                <w:sz w:val="20"/>
              </w:rPr>
              <w:t xml:space="preserve">60,9</w:t>
            </w:r>
          </w:p>
        </w:tc>
        <w:tc>
          <w:tcPr>
            <w:tcW w:w="1084" w:type="dxa"/>
          </w:tcPr>
          <w:p>
            <w:pPr>
              <w:pStyle w:val="0"/>
            </w:pPr>
            <w:r>
              <w:rPr>
                <w:sz w:val="20"/>
              </w:rPr>
              <w:t xml:space="preserve">53,3</w:t>
            </w:r>
          </w:p>
        </w:tc>
        <w:tc>
          <w:tcPr>
            <w:tcW w:w="859" w:type="dxa"/>
          </w:tcPr>
          <w:p>
            <w:pPr>
              <w:pStyle w:val="0"/>
            </w:pPr>
            <w:r>
              <w:rPr>
                <w:sz w:val="20"/>
              </w:rPr>
              <w:t xml:space="preserve">65,6</w:t>
            </w:r>
          </w:p>
        </w:tc>
        <w:tc>
          <w:tcPr>
            <w:tcW w:w="1084" w:type="dxa"/>
          </w:tcPr>
          <w:p>
            <w:pPr>
              <w:pStyle w:val="0"/>
            </w:pPr>
            <w:r>
              <w:rPr>
                <w:sz w:val="20"/>
              </w:rPr>
              <w:t xml:space="preserve">53,7</w:t>
            </w:r>
          </w:p>
        </w:tc>
        <w:tc>
          <w:tcPr>
            <w:tcW w:w="859" w:type="dxa"/>
          </w:tcPr>
          <w:p>
            <w:pPr>
              <w:pStyle w:val="0"/>
            </w:pPr>
            <w:r>
              <w:rPr>
                <w:sz w:val="20"/>
              </w:rPr>
              <w:t xml:space="preserve">61,1</w:t>
            </w:r>
          </w:p>
        </w:tc>
        <w:tc>
          <w:tcPr>
            <w:tcW w:w="1084" w:type="dxa"/>
          </w:tcPr>
          <w:p>
            <w:pPr>
              <w:pStyle w:val="0"/>
            </w:pPr>
            <w:r>
              <w:rPr>
                <w:sz w:val="20"/>
              </w:rPr>
              <w:t xml:space="preserve">52,7</w:t>
            </w:r>
          </w:p>
        </w:tc>
        <w:tc>
          <w:tcPr>
            <w:tcW w:w="859" w:type="dxa"/>
          </w:tcPr>
          <w:p>
            <w:pPr>
              <w:pStyle w:val="0"/>
            </w:pPr>
            <w:r>
              <w:rPr>
                <w:sz w:val="20"/>
              </w:rPr>
              <w:t xml:space="preserve">66,5</w:t>
            </w:r>
          </w:p>
        </w:tc>
        <w:tc>
          <w:tcPr>
            <w:tcW w:w="1084" w:type="dxa"/>
          </w:tcPr>
          <w:p>
            <w:pPr>
              <w:pStyle w:val="0"/>
            </w:pPr>
            <w:r>
              <w:rPr>
                <w:sz w:val="20"/>
              </w:rPr>
              <w:t xml:space="preserve">63,5</w:t>
            </w:r>
          </w:p>
        </w:tc>
        <w:tc>
          <w:tcPr>
            <w:tcW w:w="859" w:type="dxa"/>
          </w:tcPr>
          <w:p>
            <w:pPr>
              <w:pStyle w:val="0"/>
            </w:pPr>
            <w:r>
              <w:rPr>
                <w:sz w:val="20"/>
              </w:rPr>
              <w:t xml:space="preserve">69,8</w:t>
            </w:r>
          </w:p>
        </w:tc>
        <w:tc>
          <w:tcPr>
            <w:tcW w:w="1084" w:type="dxa"/>
          </w:tcPr>
          <w:p>
            <w:pPr>
              <w:pStyle w:val="0"/>
            </w:pPr>
            <w:r>
              <w:rPr>
                <w:sz w:val="20"/>
              </w:rPr>
              <w:t xml:space="preserve">55,0</w:t>
            </w:r>
          </w:p>
        </w:tc>
        <w:tc>
          <w:tcPr>
            <w:tcW w:w="859" w:type="dxa"/>
          </w:tcPr>
          <w:p>
            <w:pPr>
              <w:pStyle w:val="0"/>
            </w:pPr>
            <w:r>
              <w:rPr>
                <w:sz w:val="20"/>
              </w:rPr>
              <w:t xml:space="preserve">74,7</w:t>
            </w:r>
          </w:p>
        </w:tc>
        <w:tc>
          <w:tcPr>
            <w:tcW w:w="1084" w:type="dxa"/>
          </w:tcPr>
          <w:p>
            <w:pPr>
              <w:pStyle w:val="0"/>
            </w:pPr>
            <w:r>
              <w:rPr>
                <w:sz w:val="20"/>
              </w:rPr>
              <w:t xml:space="preserve">58,2</w:t>
            </w:r>
          </w:p>
        </w:tc>
        <w:tc>
          <w:tcPr>
            <w:tcW w:w="859" w:type="dxa"/>
          </w:tcPr>
          <w:p>
            <w:pPr>
              <w:pStyle w:val="0"/>
            </w:pPr>
            <w:r>
              <w:rPr>
                <w:sz w:val="20"/>
              </w:rPr>
              <w:t xml:space="preserve">75,1</w:t>
            </w:r>
          </w:p>
        </w:tc>
        <w:tc>
          <w:tcPr>
            <w:tcW w:w="1084" w:type="dxa"/>
          </w:tcPr>
          <w:p>
            <w:pPr>
              <w:pStyle w:val="0"/>
            </w:pPr>
            <w:r>
              <w:rPr>
                <w:sz w:val="20"/>
              </w:rPr>
              <w:t xml:space="preserve">48,4</w:t>
            </w:r>
          </w:p>
        </w:tc>
        <w:tc>
          <w:tcPr>
            <w:tcW w:w="859" w:type="dxa"/>
          </w:tcPr>
          <w:p>
            <w:pPr>
              <w:pStyle w:val="0"/>
            </w:pPr>
            <w:r>
              <w:rPr>
                <w:sz w:val="20"/>
              </w:rPr>
              <w:t xml:space="preserve">70,7</w:t>
            </w:r>
          </w:p>
        </w:tc>
        <w:tc>
          <w:tcPr>
            <w:tcW w:w="1084" w:type="dxa"/>
          </w:tcPr>
          <w:p>
            <w:pPr>
              <w:pStyle w:val="0"/>
            </w:pPr>
            <w:r>
              <w:rPr>
                <w:sz w:val="20"/>
              </w:rPr>
              <w:t xml:space="preserve">49,4</w:t>
            </w:r>
          </w:p>
        </w:tc>
        <w:tc>
          <w:tcPr>
            <w:tcW w:w="859" w:type="dxa"/>
          </w:tcPr>
          <w:p>
            <w:pPr>
              <w:pStyle w:val="0"/>
            </w:pPr>
            <w:r>
              <w:rPr>
                <w:sz w:val="20"/>
              </w:rPr>
              <w:t xml:space="preserve">78,7</w:t>
            </w:r>
          </w:p>
        </w:tc>
        <w:tc>
          <w:tcPr>
            <w:tcW w:w="1084" w:type="dxa"/>
          </w:tcPr>
          <w:p>
            <w:pPr>
              <w:pStyle w:val="0"/>
            </w:pPr>
            <w:r>
              <w:rPr>
                <w:sz w:val="20"/>
              </w:rPr>
              <w:t xml:space="preserve">51,6</w:t>
            </w:r>
          </w:p>
        </w:tc>
      </w:tr>
      <w:tr>
        <w:tc>
          <w:tcPr>
            <w:tcW w:w="2089" w:type="dxa"/>
          </w:tcPr>
          <w:p>
            <w:pPr>
              <w:pStyle w:val="0"/>
            </w:pPr>
            <w:r>
              <w:rPr>
                <w:sz w:val="20"/>
              </w:rPr>
              <w:t xml:space="preserve">вульвы (С51)</w:t>
            </w:r>
          </w:p>
        </w:tc>
        <w:tc>
          <w:tcPr>
            <w:tcW w:w="850" w:type="dxa"/>
          </w:tcPr>
          <w:p>
            <w:pPr>
              <w:pStyle w:val="0"/>
            </w:pPr>
            <w:r>
              <w:rPr>
                <w:sz w:val="20"/>
              </w:rPr>
              <w:t xml:space="preserve">Ж</w:t>
            </w:r>
          </w:p>
        </w:tc>
        <w:tc>
          <w:tcPr>
            <w:tcW w:w="859" w:type="dxa"/>
          </w:tcPr>
          <w:p>
            <w:pPr>
              <w:pStyle w:val="0"/>
            </w:pPr>
            <w:r>
              <w:rPr>
                <w:sz w:val="20"/>
              </w:rPr>
              <w:t xml:space="preserve">2,2</w:t>
            </w:r>
          </w:p>
        </w:tc>
        <w:tc>
          <w:tcPr>
            <w:tcW w:w="1084" w:type="dxa"/>
          </w:tcPr>
          <w:p>
            <w:pPr>
              <w:pStyle w:val="0"/>
            </w:pPr>
            <w:r>
              <w:rPr>
                <w:sz w:val="20"/>
              </w:rPr>
              <w:t xml:space="preserve">2,3</w:t>
            </w:r>
          </w:p>
        </w:tc>
        <w:tc>
          <w:tcPr>
            <w:tcW w:w="859" w:type="dxa"/>
          </w:tcPr>
          <w:p>
            <w:pPr>
              <w:pStyle w:val="0"/>
            </w:pPr>
            <w:r>
              <w:rPr>
                <w:sz w:val="20"/>
              </w:rPr>
              <w:t xml:space="preserve">0,9</w:t>
            </w:r>
          </w:p>
        </w:tc>
        <w:tc>
          <w:tcPr>
            <w:tcW w:w="1084" w:type="dxa"/>
          </w:tcPr>
          <w:p>
            <w:pPr>
              <w:pStyle w:val="0"/>
            </w:pPr>
            <w:r>
              <w:rPr>
                <w:sz w:val="20"/>
              </w:rPr>
              <w:t xml:space="preserve">0,9</w:t>
            </w:r>
          </w:p>
        </w:tc>
        <w:tc>
          <w:tcPr>
            <w:tcW w:w="859" w:type="dxa"/>
          </w:tcPr>
          <w:p>
            <w:pPr>
              <w:pStyle w:val="0"/>
            </w:pPr>
            <w:r>
              <w:rPr>
                <w:sz w:val="20"/>
              </w:rPr>
              <w:t xml:space="preserve">1,0</w:t>
            </w:r>
          </w:p>
        </w:tc>
        <w:tc>
          <w:tcPr>
            <w:tcW w:w="1084" w:type="dxa"/>
          </w:tcPr>
          <w:p>
            <w:pPr>
              <w:pStyle w:val="0"/>
            </w:pPr>
            <w:r>
              <w:rPr>
                <w:sz w:val="20"/>
              </w:rPr>
              <w:t xml:space="preserve">1,6</w:t>
            </w:r>
          </w:p>
        </w:tc>
        <w:tc>
          <w:tcPr>
            <w:tcW w:w="859" w:type="dxa"/>
          </w:tcPr>
          <w:p>
            <w:pPr>
              <w:pStyle w:val="0"/>
            </w:pPr>
            <w:r>
              <w:rPr>
                <w:sz w:val="20"/>
              </w:rPr>
              <w:t xml:space="preserve">0,6</w:t>
            </w:r>
          </w:p>
        </w:tc>
        <w:tc>
          <w:tcPr>
            <w:tcW w:w="1084" w:type="dxa"/>
          </w:tcPr>
          <w:p>
            <w:pPr>
              <w:pStyle w:val="0"/>
            </w:pPr>
            <w:r>
              <w:rPr>
                <w:sz w:val="20"/>
              </w:rPr>
              <w:t xml:space="preserve">1,9</w:t>
            </w:r>
          </w:p>
        </w:tc>
        <w:tc>
          <w:tcPr>
            <w:tcW w:w="859" w:type="dxa"/>
          </w:tcPr>
          <w:p>
            <w:pPr>
              <w:pStyle w:val="0"/>
            </w:pPr>
            <w:r>
              <w:rPr>
                <w:sz w:val="20"/>
              </w:rPr>
              <w:t xml:space="preserve">0,8</w:t>
            </w:r>
          </w:p>
        </w:tc>
        <w:tc>
          <w:tcPr>
            <w:tcW w:w="1084" w:type="dxa"/>
          </w:tcPr>
          <w:p>
            <w:pPr>
              <w:pStyle w:val="0"/>
            </w:pPr>
            <w:r>
              <w:rPr>
                <w:sz w:val="20"/>
              </w:rPr>
              <w:t xml:space="preserve">1,7</w:t>
            </w:r>
          </w:p>
        </w:tc>
        <w:tc>
          <w:tcPr>
            <w:tcW w:w="859" w:type="dxa"/>
          </w:tcPr>
          <w:p>
            <w:pPr>
              <w:pStyle w:val="0"/>
            </w:pPr>
            <w:r>
              <w:rPr>
                <w:sz w:val="20"/>
              </w:rPr>
              <w:t xml:space="preserve">1,5</w:t>
            </w:r>
          </w:p>
        </w:tc>
        <w:tc>
          <w:tcPr>
            <w:tcW w:w="1084" w:type="dxa"/>
          </w:tcPr>
          <w:p>
            <w:pPr>
              <w:pStyle w:val="0"/>
            </w:pPr>
            <w:r>
              <w:rPr>
                <w:sz w:val="20"/>
              </w:rPr>
              <w:t xml:space="preserve">0,7</w:t>
            </w:r>
          </w:p>
        </w:tc>
        <w:tc>
          <w:tcPr>
            <w:tcW w:w="859" w:type="dxa"/>
          </w:tcPr>
          <w:p>
            <w:pPr>
              <w:pStyle w:val="0"/>
            </w:pPr>
            <w:r>
              <w:rPr>
                <w:sz w:val="20"/>
              </w:rPr>
              <w:t xml:space="preserve">1,6</w:t>
            </w:r>
          </w:p>
        </w:tc>
        <w:tc>
          <w:tcPr>
            <w:tcW w:w="1084" w:type="dxa"/>
          </w:tcPr>
          <w:p>
            <w:pPr>
              <w:pStyle w:val="0"/>
            </w:pPr>
            <w:r>
              <w:rPr>
                <w:sz w:val="20"/>
              </w:rPr>
              <w:t xml:space="preserve">2,1</w:t>
            </w:r>
          </w:p>
        </w:tc>
        <w:tc>
          <w:tcPr>
            <w:tcW w:w="859" w:type="dxa"/>
          </w:tcPr>
          <w:p>
            <w:pPr>
              <w:pStyle w:val="0"/>
            </w:pPr>
            <w:r>
              <w:rPr>
                <w:sz w:val="20"/>
              </w:rPr>
              <w:t xml:space="preserve">0,7</w:t>
            </w:r>
          </w:p>
        </w:tc>
        <w:tc>
          <w:tcPr>
            <w:tcW w:w="1084" w:type="dxa"/>
          </w:tcPr>
          <w:p>
            <w:pPr>
              <w:pStyle w:val="0"/>
            </w:pPr>
            <w:r>
              <w:rPr>
                <w:sz w:val="20"/>
              </w:rPr>
              <w:t xml:space="preserve">0,4</w:t>
            </w:r>
          </w:p>
        </w:tc>
        <w:tc>
          <w:tcPr>
            <w:tcW w:w="859" w:type="dxa"/>
          </w:tcPr>
          <w:p>
            <w:pPr>
              <w:pStyle w:val="0"/>
            </w:pPr>
            <w:r>
              <w:rPr>
                <w:sz w:val="20"/>
              </w:rPr>
              <w:t xml:space="preserve">1,0</w:t>
            </w:r>
          </w:p>
        </w:tc>
        <w:tc>
          <w:tcPr>
            <w:tcW w:w="1084" w:type="dxa"/>
          </w:tcPr>
          <w:p>
            <w:pPr>
              <w:pStyle w:val="0"/>
            </w:pPr>
            <w:r>
              <w:rPr>
                <w:sz w:val="20"/>
              </w:rPr>
              <w:t xml:space="preserve">0,5</w:t>
            </w:r>
          </w:p>
        </w:tc>
        <w:tc>
          <w:tcPr>
            <w:tcW w:w="859" w:type="dxa"/>
          </w:tcPr>
          <w:p>
            <w:pPr>
              <w:pStyle w:val="0"/>
            </w:pPr>
            <w:r>
              <w:rPr>
                <w:sz w:val="20"/>
              </w:rPr>
              <w:t xml:space="preserve">1,9</w:t>
            </w:r>
          </w:p>
        </w:tc>
        <w:tc>
          <w:tcPr>
            <w:tcW w:w="1084" w:type="dxa"/>
          </w:tcPr>
          <w:p>
            <w:pPr>
              <w:pStyle w:val="0"/>
            </w:pPr>
            <w:r>
              <w:rPr>
                <w:sz w:val="20"/>
              </w:rPr>
              <w:t xml:space="preserve">1,2</w:t>
            </w:r>
          </w:p>
        </w:tc>
      </w:tr>
      <w:tr>
        <w:tc>
          <w:tcPr>
            <w:tcW w:w="2089" w:type="dxa"/>
          </w:tcPr>
          <w:p>
            <w:pPr>
              <w:pStyle w:val="0"/>
            </w:pPr>
            <w:r>
              <w:rPr>
                <w:sz w:val="20"/>
              </w:rPr>
              <w:t xml:space="preserve">влагалища (С52)</w:t>
            </w:r>
          </w:p>
        </w:tc>
        <w:tc>
          <w:tcPr>
            <w:tcW w:w="850" w:type="dxa"/>
          </w:tcPr>
          <w:p>
            <w:pPr>
              <w:pStyle w:val="0"/>
            </w:pPr>
            <w:r>
              <w:rPr>
                <w:sz w:val="20"/>
              </w:rPr>
              <w:t xml:space="preserve">Ж</w:t>
            </w:r>
          </w:p>
        </w:tc>
        <w:tc>
          <w:tcPr>
            <w:tcW w:w="859" w:type="dxa"/>
          </w:tcPr>
          <w:p>
            <w:pPr>
              <w:pStyle w:val="0"/>
            </w:pPr>
            <w:r>
              <w:rPr>
                <w:sz w:val="20"/>
              </w:rPr>
              <w:t xml:space="preserve">-</w:t>
            </w:r>
          </w:p>
        </w:tc>
        <w:tc>
          <w:tcPr>
            <w:tcW w:w="1084" w:type="dxa"/>
          </w:tcPr>
          <w:p>
            <w:pPr>
              <w:pStyle w:val="0"/>
            </w:pPr>
            <w:r>
              <w:rPr>
                <w:sz w:val="20"/>
              </w:rPr>
              <w:t xml:space="preserve">0,1</w:t>
            </w:r>
          </w:p>
        </w:tc>
        <w:tc>
          <w:tcPr>
            <w:tcW w:w="859" w:type="dxa"/>
          </w:tcPr>
          <w:p>
            <w:pPr>
              <w:pStyle w:val="0"/>
            </w:pPr>
            <w:r>
              <w:rPr>
                <w:sz w:val="20"/>
              </w:rPr>
              <w:t xml:space="preserve">0,4</w:t>
            </w:r>
          </w:p>
        </w:tc>
        <w:tc>
          <w:tcPr>
            <w:tcW w:w="1084" w:type="dxa"/>
          </w:tcPr>
          <w:p>
            <w:pPr>
              <w:pStyle w:val="0"/>
            </w:pPr>
            <w:r>
              <w:rPr>
                <w:sz w:val="20"/>
              </w:rPr>
              <w:t xml:space="preserve">0,2</w:t>
            </w:r>
          </w:p>
        </w:tc>
        <w:tc>
          <w:tcPr>
            <w:tcW w:w="859" w:type="dxa"/>
          </w:tcPr>
          <w:p>
            <w:pPr>
              <w:pStyle w:val="0"/>
            </w:pPr>
            <w:r>
              <w:rPr>
                <w:sz w:val="20"/>
              </w:rPr>
              <w:t xml:space="preserve">0,1</w:t>
            </w:r>
          </w:p>
        </w:tc>
        <w:tc>
          <w:tcPr>
            <w:tcW w:w="1084" w:type="dxa"/>
          </w:tcPr>
          <w:p>
            <w:pPr>
              <w:pStyle w:val="0"/>
            </w:pPr>
            <w:r>
              <w:rPr>
                <w:sz w:val="20"/>
              </w:rPr>
              <w:t xml:space="preserve">0,1</w:t>
            </w:r>
          </w:p>
        </w:tc>
        <w:tc>
          <w:tcPr>
            <w:tcW w:w="859" w:type="dxa"/>
          </w:tcPr>
          <w:p>
            <w:pPr>
              <w:pStyle w:val="0"/>
            </w:pPr>
            <w:r>
              <w:rPr>
                <w:sz w:val="20"/>
              </w:rPr>
              <w:t xml:space="preserve">0,4</w:t>
            </w:r>
          </w:p>
        </w:tc>
        <w:tc>
          <w:tcPr>
            <w:tcW w:w="1084" w:type="dxa"/>
          </w:tcPr>
          <w:p>
            <w:pPr>
              <w:pStyle w:val="0"/>
            </w:pPr>
            <w:r>
              <w:rPr>
                <w:sz w:val="20"/>
              </w:rPr>
              <w:t xml:space="preserve">0,4</w:t>
            </w:r>
          </w:p>
        </w:tc>
        <w:tc>
          <w:tcPr>
            <w:tcW w:w="859" w:type="dxa"/>
          </w:tcPr>
          <w:p>
            <w:pPr>
              <w:pStyle w:val="0"/>
            </w:pPr>
            <w:r>
              <w:rPr>
                <w:sz w:val="20"/>
              </w:rPr>
              <w:t xml:space="preserve">0,4</w:t>
            </w:r>
          </w:p>
        </w:tc>
        <w:tc>
          <w:tcPr>
            <w:tcW w:w="1084" w:type="dxa"/>
          </w:tcPr>
          <w:p>
            <w:pPr>
              <w:pStyle w:val="0"/>
            </w:pPr>
            <w:r>
              <w:rPr>
                <w:sz w:val="20"/>
              </w:rPr>
              <w:t xml:space="preserve">0,2</w:t>
            </w:r>
          </w:p>
        </w:tc>
        <w:tc>
          <w:tcPr>
            <w:tcW w:w="859" w:type="dxa"/>
          </w:tcPr>
          <w:p>
            <w:pPr>
              <w:pStyle w:val="0"/>
            </w:pPr>
            <w:r>
              <w:rPr>
                <w:sz w:val="20"/>
              </w:rPr>
              <w:t xml:space="preserve">0,4</w:t>
            </w:r>
          </w:p>
        </w:tc>
        <w:tc>
          <w:tcPr>
            <w:tcW w:w="1084" w:type="dxa"/>
          </w:tcPr>
          <w:p>
            <w:pPr>
              <w:pStyle w:val="0"/>
            </w:pPr>
            <w:r>
              <w:rPr>
                <w:sz w:val="20"/>
              </w:rPr>
              <w:t xml:space="preserve">0,1</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0,2</w:t>
            </w:r>
          </w:p>
        </w:tc>
        <w:tc>
          <w:tcPr>
            <w:tcW w:w="1084" w:type="dxa"/>
          </w:tcPr>
          <w:p>
            <w:pPr>
              <w:pStyle w:val="0"/>
            </w:pPr>
            <w:r>
              <w:rPr>
                <w:sz w:val="20"/>
              </w:rPr>
              <w:t xml:space="preserve">0,2</w:t>
            </w:r>
          </w:p>
        </w:tc>
        <w:tc>
          <w:tcPr>
            <w:tcW w:w="859" w:type="dxa"/>
          </w:tcPr>
          <w:p>
            <w:pPr>
              <w:pStyle w:val="0"/>
            </w:pPr>
            <w:r>
              <w:rPr>
                <w:sz w:val="20"/>
              </w:rPr>
              <w:t xml:space="preserve">0,6</w:t>
            </w:r>
          </w:p>
        </w:tc>
        <w:tc>
          <w:tcPr>
            <w:tcW w:w="1084" w:type="dxa"/>
          </w:tcPr>
          <w:p>
            <w:pPr>
              <w:pStyle w:val="0"/>
            </w:pPr>
            <w:r>
              <w:rPr>
                <w:sz w:val="20"/>
              </w:rPr>
              <w:t xml:space="preserve">0,2</w:t>
            </w:r>
          </w:p>
        </w:tc>
        <w:tc>
          <w:tcPr>
            <w:tcW w:w="859" w:type="dxa"/>
          </w:tcPr>
          <w:p>
            <w:pPr>
              <w:pStyle w:val="0"/>
            </w:pPr>
            <w:r>
              <w:rPr>
                <w:sz w:val="20"/>
              </w:rPr>
              <w:t xml:space="preserve">0,2</w:t>
            </w:r>
          </w:p>
        </w:tc>
        <w:tc>
          <w:tcPr>
            <w:tcW w:w="1084" w:type="dxa"/>
          </w:tcPr>
          <w:p>
            <w:pPr>
              <w:pStyle w:val="0"/>
            </w:pPr>
            <w:r>
              <w:rPr>
                <w:sz w:val="20"/>
              </w:rPr>
              <w:t xml:space="preserve">0,2</w:t>
            </w:r>
          </w:p>
        </w:tc>
      </w:tr>
      <w:tr>
        <w:tc>
          <w:tcPr>
            <w:tcW w:w="2089" w:type="dxa"/>
          </w:tcPr>
          <w:p>
            <w:pPr>
              <w:pStyle w:val="0"/>
            </w:pPr>
            <w:r>
              <w:rPr>
                <w:sz w:val="20"/>
              </w:rPr>
              <w:t xml:space="preserve">шейки матки (С 53)</w:t>
            </w:r>
          </w:p>
        </w:tc>
        <w:tc>
          <w:tcPr>
            <w:tcW w:w="850" w:type="dxa"/>
          </w:tcPr>
          <w:p>
            <w:pPr>
              <w:pStyle w:val="0"/>
            </w:pPr>
            <w:r>
              <w:rPr>
                <w:sz w:val="20"/>
              </w:rPr>
              <w:t xml:space="preserve">Ж</w:t>
            </w:r>
          </w:p>
        </w:tc>
        <w:tc>
          <w:tcPr>
            <w:tcW w:w="859" w:type="dxa"/>
          </w:tcPr>
          <w:p>
            <w:pPr>
              <w:pStyle w:val="0"/>
            </w:pPr>
            <w:r>
              <w:rPr>
                <w:sz w:val="20"/>
              </w:rPr>
              <w:t xml:space="preserve">21,2</w:t>
            </w:r>
          </w:p>
        </w:tc>
        <w:tc>
          <w:tcPr>
            <w:tcW w:w="1084" w:type="dxa"/>
          </w:tcPr>
          <w:p>
            <w:pPr>
              <w:pStyle w:val="0"/>
            </w:pPr>
            <w:r>
              <w:rPr>
                <w:sz w:val="20"/>
              </w:rPr>
              <w:t xml:space="preserve">19,4</w:t>
            </w:r>
          </w:p>
        </w:tc>
        <w:tc>
          <w:tcPr>
            <w:tcW w:w="859" w:type="dxa"/>
          </w:tcPr>
          <w:p>
            <w:pPr>
              <w:pStyle w:val="0"/>
            </w:pPr>
            <w:r>
              <w:rPr>
                <w:sz w:val="20"/>
              </w:rPr>
              <w:t xml:space="preserve">15,3</w:t>
            </w:r>
          </w:p>
        </w:tc>
        <w:tc>
          <w:tcPr>
            <w:tcW w:w="1084" w:type="dxa"/>
          </w:tcPr>
          <w:p>
            <w:pPr>
              <w:pStyle w:val="0"/>
            </w:pPr>
            <w:r>
              <w:rPr>
                <w:sz w:val="20"/>
              </w:rPr>
              <w:t xml:space="preserve">12,0</w:t>
            </w:r>
          </w:p>
        </w:tc>
        <w:tc>
          <w:tcPr>
            <w:tcW w:w="859" w:type="dxa"/>
          </w:tcPr>
          <w:p>
            <w:pPr>
              <w:pStyle w:val="0"/>
            </w:pPr>
            <w:r>
              <w:rPr>
                <w:sz w:val="20"/>
              </w:rPr>
              <w:t xml:space="preserve">14,7</w:t>
            </w:r>
          </w:p>
        </w:tc>
        <w:tc>
          <w:tcPr>
            <w:tcW w:w="1084" w:type="dxa"/>
          </w:tcPr>
          <w:p>
            <w:pPr>
              <w:pStyle w:val="0"/>
            </w:pPr>
            <w:r>
              <w:rPr>
                <w:sz w:val="20"/>
              </w:rPr>
              <w:t xml:space="preserve">11,3</w:t>
            </w:r>
          </w:p>
        </w:tc>
        <w:tc>
          <w:tcPr>
            <w:tcW w:w="859" w:type="dxa"/>
          </w:tcPr>
          <w:p>
            <w:pPr>
              <w:pStyle w:val="0"/>
            </w:pPr>
            <w:r>
              <w:rPr>
                <w:sz w:val="20"/>
              </w:rPr>
              <w:t xml:space="preserve">21,8</w:t>
            </w:r>
          </w:p>
        </w:tc>
        <w:tc>
          <w:tcPr>
            <w:tcW w:w="1084" w:type="dxa"/>
          </w:tcPr>
          <w:p>
            <w:pPr>
              <w:pStyle w:val="0"/>
            </w:pPr>
            <w:r>
              <w:rPr>
                <w:sz w:val="20"/>
              </w:rPr>
              <w:t xml:space="preserve">17,5</w:t>
            </w:r>
          </w:p>
        </w:tc>
        <w:tc>
          <w:tcPr>
            <w:tcW w:w="859" w:type="dxa"/>
          </w:tcPr>
          <w:p>
            <w:pPr>
              <w:pStyle w:val="0"/>
            </w:pPr>
            <w:r>
              <w:rPr>
                <w:sz w:val="20"/>
              </w:rPr>
              <w:t xml:space="preserve">21,4</w:t>
            </w:r>
          </w:p>
        </w:tc>
        <w:tc>
          <w:tcPr>
            <w:tcW w:w="1084" w:type="dxa"/>
          </w:tcPr>
          <w:p>
            <w:pPr>
              <w:pStyle w:val="0"/>
            </w:pPr>
            <w:r>
              <w:rPr>
                <w:sz w:val="20"/>
              </w:rPr>
              <w:t xml:space="preserve">18,5</w:t>
            </w:r>
          </w:p>
        </w:tc>
        <w:tc>
          <w:tcPr>
            <w:tcW w:w="859" w:type="dxa"/>
          </w:tcPr>
          <w:p>
            <w:pPr>
              <w:pStyle w:val="0"/>
            </w:pPr>
            <w:r>
              <w:rPr>
                <w:sz w:val="20"/>
              </w:rPr>
              <w:t xml:space="preserve">20,3</w:t>
            </w:r>
          </w:p>
        </w:tc>
        <w:tc>
          <w:tcPr>
            <w:tcW w:w="1084" w:type="dxa"/>
          </w:tcPr>
          <w:p>
            <w:pPr>
              <w:pStyle w:val="0"/>
            </w:pPr>
            <w:r>
              <w:rPr>
                <w:sz w:val="20"/>
              </w:rPr>
              <w:t xml:space="preserve">1,1</w:t>
            </w:r>
          </w:p>
        </w:tc>
        <w:tc>
          <w:tcPr>
            <w:tcW w:w="859" w:type="dxa"/>
          </w:tcPr>
          <w:p>
            <w:pPr>
              <w:pStyle w:val="0"/>
            </w:pPr>
            <w:r>
              <w:rPr>
                <w:sz w:val="20"/>
              </w:rPr>
              <w:t xml:space="preserve">19,8</w:t>
            </w:r>
          </w:p>
        </w:tc>
        <w:tc>
          <w:tcPr>
            <w:tcW w:w="1084" w:type="dxa"/>
          </w:tcPr>
          <w:p>
            <w:pPr>
              <w:pStyle w:val="0"/>
            </w:pPr>
            <w:r>
              <w:rPr>
                <w:sz w:val="20"/>
              </w:rPr>
              <w:t xml:space="preserve">14,7</w:t>
            </w:r>
          </w:p>
        </w:tc>
        <w:tc>
          <w:tcPr>
            <w:tcW w:w="859" w:type="dxa"/>
          </w:tcPr>
          <w:p>
            <w:pPr>
              <w:pStyle w:val="0"/>
            </w:pPr>
            <w:r>
              <w:rPr>
                <w:sz w:val="20"/>
              </w:rPr>
              <w:t xml:space="preserve">19,4</w:t>
            </w:r>
          </w:p>
        </w:tc>
        <w:tc>
          <w:tcPr>
            <w:tcW w:w="1084" w:type="dxa"/>
          </w:tcPr>
          <w:p>
            <w:pPr>
              <w:pStyle w:val="0"/>
            </w:pPr>
            <w:r>
              <w:rPr>
                <w:sz w:val="20"/>
              </w:rPr>
              <w:t xml:space="preserve">12,2</w:t>
            </w:r>
          </w:p>
        </w:tc>
        <w:tc>
          <w:tcPr>
            <w:tcW w:w="859" w:type="dxa"/>
          </w:tcPr>
          <w:p>
            <w:pPr>
              <w:pStyle w:val="0"/>
            </w:pPr>
            <w:r>
              <w:rPr>
                <w:sz w:val="20"/>
              </w:rPr>
              <w:t xml:space="preserve">21,1</w:t>
            </w:r>
          </w:p>
        </w:tc>
        <w:tc>
          <w:tcPr>
            <w:tcW w:w="1084" w:type="dxa"/>
          </w:tcPr>
          <w:p>
            <w:pPr>
              <w:pStyle w:val="0"/>
            </w:pPr>
            <w:r>
              <w:rPr>
                <w:sz w:val="20"/>
              </w:rPr>
              <w:t xml:space="preserve">15,7</w:t>
            </w:r>
          </w:p>
        </w:tc>
        <w:tc>
          <w:tcPr>
            <w:tcW w:w="859" w:type="dxa"/>
          </w:tcPr>
          <w:p>
            <w:pPr>
              <w:pStyle w:val="0"/>
            </w:pPr>
            <w:r>
              <w:rPr>
                <w:sz w:val="20"/>
              </w:rPr>
              <w:t xml:space="preserve">14,8</w:t>
            </w:r>
          </w:p>
        </w:tc>
        <w:tc>
          <w:tcPr>
            <w:tcW w:w="1084" w:type="dxa"/>
          </w:tcPr>
          <w:p>
            <w:pPr>
              <w:pStyle w:val="0"/>
            </w:pPr>
            <w:r>
              <w:rPr>
                <w:sz w:val="20"/>
              </w:rPr>
              <w:t xml:space="preserve">9,5</w:t>
            </w:r>
          </w:p>
        </w:tc>
      </w:tr>
      <w:tr>
        <w:tc>
          <w:tcPr>
            <w:tcW w:w="2089" w:type="dxa"/>
          </w:tcPr>
          <w:p>
            <w:pPr>
              <w:pStyle w:val="0"/>
            </w:pPr>
            <w:r>
              <w:rPr>
                <w:sz w:val="20"/>
              </w:rPr>
              <w:t xml:space="preserve">тела матки (С54)</w:t>
            </w:r>
          </w:p>
        </w:tc>
        <w:tc>
          <w:tcPr>
            <w:tcW w:w="850" w:type="dxa"/>
          </w:tcPr>
          <w:p>
            <w:pPr>
              <w:pStyle w:val="0"/>
            </w:pPr>
            <w:r>
              <w:rPr>
                <w:sz w:val="20"/>
              </w:rPr>
              <w:t xml:space="preserve">Ж</w:t>
            </w:r>
          </w:p>
        </w:tc>
        <w:tc>
          <w:tcPr>
            <w:tcW w:w="859" w:type="dxa"/>
          </w:tcPr>
          <w:p>
            <w:pPr>
              <w:pStyle w:val="0"/>
            </w:pPr>
            <w:r>
              <w:rPr>
                <w:sz w:val="20"/>
              </w:rPr>
              <w:t xml:space="preserve">15,1</w:t>
            </w:r>
          </w:p>
        </w:tc>
        <w:tc>
          <w:tcPr>
            <w:tcW w:w="1084" w:type="dxa"/>
          </w:tcPr>
          <w:p>
            <w:pPr>
              <w:pStyle w:val="0"/>
            </w:pPr>
            <w:r>
              <w:rPr>
                <w:sz w:val="20"/>
              </w:rPr>
              <w:t xml:space="preserve">13,6</w:t>
            </w:r>
          </w:p>
        </w:tc>
        <w:tc>
          <w:tcPr>
            <w:tcW w:w="859" w:type="dxa"/>
          </w:tcPr>
          <w:p>
            <w:pPr>
              <w:pStyle w:val="0"/>
            </w:pPr>
            <w:r>
              <w:rPr>
                <w:sz w:val="20"/>
              </w:rPr>
              <w:t xml:space="preserve">19,0</w:t>
            </w:r>
          </w:p>
        </w:tc>
        <w:tc>
          <w:tcPr>
            <w:tcW w:w="1084" w:type="dxa"/>
          </w:tcPr>
          <w:p>
            <w:pPr>
              <w:pStyle w:val="0"/>
            </w:pPr>
            <w:r>
              <w:rPr>
                <w:sz w:val="20"/>
              </w:rPr>
              <w:t xml:space="preserve">16,8</w:t>
            </w:r>
          </w:p>
        </w:tc>
        <w:tc>
          <w:tcPr>
            <w:tcW w:w="859" w:type="dxa"/>
          </w:tcPr>
          <w:p>
            <w:pPr>
              <w:pStyle w:val="0"/>
            </w:pPr>
            <w:r>
              <w:rPr>
                <w:sz w:val="20"/>
              </w:rPr>
              <w:t xml:space="preserve">16,7</w:t>
            </w:r>
          </w:p>
        </w:tc>
        <w:tc>
          <w:tcPr>
            <w:tcW w:w="1084" w:type="dxa"/>
          </w:tcPr>
          <w:p>
            <w:pPr>
              <w:pStyle w:val="0"/>
            </w:pPr>
            <w:r>
              <w:rPr>
                <w:sz w:val="20"/>
              </w:rPr>
              <w:t xml:space="preserve">15,0</w:t>
            </w:r>
          </w:p>
        </w:tc>
        <w:tc>
          <w:tcPr>
            <w:tcW w:w="859" w:type="dxa"/>
          </w:tcPr>
          <w:p>
            <w:pPr>
              <w:pStyle w:val="0"/>
            </w:pPr>
            <w:r>
              <w:rPr>
                <w:sz w:val="20"/>
              </w:rPr>
              <w:t xml:space="preserve">8,9</w:t>
            </w:r>
          </w:p>
        </w:tc>
        <w:tc>
          <w:tcPr>
            <w:tcW w:w="1084" w:type="dxa"/>
          </w:tcPr>
          <w:p>
            <w:pPr>
              <w:pStyle w:val="0"/>
            </w:pPr>
            <w:r>
              <w:rPr>
                <w:sz w:val="20"/>
              </w:rPr>
              <w:t xml:space="preserve">16,6</w:t>
            </w:r>
          </w:p>
        </w:tc>
        <w:tc>
          <w:tcPr>
            <w:tcW w:w="859" w:type="dxa"/>
          </w:tcPr>
          <w:p>
            <w:pPr>
              <w:pStyle w:val="0"/>
            </w:pPr>
            <w:r>
              <w:rPr>
                <w:sz w:val="20"/>
              </w:rPr>
              <w:t xml:space="preserve">10,5</w:t>
            </w:r>
          </w:p>
        </w:tc>
        <w:tc>
          <w:tcPr>
            <w:tcW w:w="1084" w:type="dxa"/>
          </w:tcPr>
          <w:p>
            <w:pPr>
              <w:pStyle w:val="0"/>
            </w:pPr>
            <w:r>
              <w:rPr>
                <w:sz w:val="20"/>
              </w:rPr>
              <w:t xml:space="preserve">21,3</w:t>
            </w:r>
          </w:p>
        </w:tc>
        <w:tc>
          <w:tcPr>
            <w:tcW w:w="859" w:type="dxa"/>
          </w:tcPr>
          <w:p>
            <w:pPr>
              <w:pStyle w:val="0"/>
            </w:pPr>
            <w:r>
              <w:rPr>
                <w:sz w:val="20"/>
              </w:rPr>
              <w:t xml:space="preserve">21,2</w:t>
            </w:r>
          </w:p>
        </w:tc>
        <w:tc>
          <w:tcPr>
            <w:tcW w:w="1084" w:type="dxa"/>
          </w:tcPr>
          <w:p>
            <w:pPr>
              <w:pStyle w:val="0"/>
            </w:pPr>
            <w:r>
              <w:rPr>
                <w:sz w:val="20"/>
              </w:rPr>
              <w:t xml:space="preserve">9,9</w:t>
            </w:r>
          </w:p>
        </w:tc>
        <w:tc>
          <w:tcPr>
            <w:tcW w:w="859" w:type="dxa"/>
          </w:tcPr>
          <w:p>
            <w:pPr>
              <w:pStyle w:val="0"/>
            </w:pPr>
            <w:r>
              <w:rPr>
                <w:sz w:val="20"/>
              </w:rPr>
              <w:t xml:space="preserve">19,3</w:t>
            </w:r>
          </w:p>
        </w:tc>
        <w:tc>
          <w:tcPr>
            <w:tcW w:w="1084" w:type="dxa"/>
          </w:tcPr>
          <w:p>
            <w:pPr>
              <w:pStyle w:val="0"/>
            </w:pPr>
            <w:r>
              <w:rPr>
                <w:sz w:val="20"/>
              </w:rPr>
              <w:t xml:space="preserve">14,4</w:t>
            </w:r>
          </w:p>
        </w:tc>
        <w:tc>
          <w:tcPr>
            <w:tcW w:w="859" w:type="dxa"/>
          </w:tcPr>
          <w:p>
            <w:pPr>
              <w:pStyle w:val="0"/>
            </w:pPr>
            <w:r>
              <w:rPr>
                <w:sz w:val="20"/>
              </w:rPr>
              <w:t xml:space="preserve">12,3</w:t>
            </w:r>
          </w:p>
        </w:tc>
        <w:tc>
          <w:tcPr>
            <w:tcW w:w="1084" w:type="dxa"/>
          </w:tcPr>
          <w:p>
            <w:pPr>
              <w:pStyle w:val="0"/>
            </w:pPr>
            <w:r>
              <w:rPr>
                <w:sz w:val="20"/>
              </w:rPr>
              <w:t xml:space="preserve">14,2</w:t>
            </w:r>
          </w:p>
        </w:tc>
        <w:tc>
          <w:tcPr>
            <w:tcW w:w="859" w:type="dxa"/>
          </w:tcPr>
          <w:p>
            <w:pPr>
              <w:pStyle w:val="0"/>
            </w:pPr>
            <w:r>
              <w:rPr>
                <w:sz w:val="20"/>
              </w:rPr>
              <w:t xml:space="preserve">26,4</w:t>
            </w:r>
          </w:p>
        </w:tc>
        <w:tc>
          <w:tcPr>
            <w:tcW w:w="1084" w:type="dxa"/>
          </w:tcPr>
          <w:p>
            <w:pPr>
              <w:pStyle w:val="0"/>
            </w:pPr>
            <w:r>
              <w:rPr>
                <w:sz w:val="20"/>
              </w:rPr>
              <w:t xml:space="preserve">18,0</w:t>
            </w:r>
          </w:p>
        </w:tc>
        <w:tc>
          <w:tcPr>
            <w:tcW w:w="859" w:type="dxa"/>
          </w:tcPr>
          <w:p>
            <w:pPr>
              <w:pStyle w:val="0"/>
            </w:pPr>
            <w:r>
              <w:rPr>
                <w:sz w:val="20"/>
              </w:rPr>
              <w:t xml:space="preserve">25,0</w:t>
            </w:r>
          </w:p>
        </w:tc>
        <w:tc>
          <w:tcPr>
            <w:tcW w:w="1084" w:type="dxa"/>
          </w:tcPr>
          <w:p>
            <w:pPr>
              <w:pStyle w:val="0"/>
            </w:pPr>
            <w:r>
              <w:rPr>
                <w:sz w:val="20"/>
              </w:rPr>
              <w:t xml:space="preserve">16,0</w:t>
            </w:r>
          </w:p>
        </w:tc>
      </w:tr>
      <w:tr>
        <w:tc>
          <w:tcPr>
            <w:tcW w:w="2089" w:type="dxa"/>
          </w:tcPr>
          <w:p>
            <w:pPr>
              <w:pStyle w:val="0"/>
            </w:pPr>
            <w:r>
              <w:rPr>
                <w:sz w:val="20"/>
              </w:rPr>
              <w:t xml:space="preserve">яичника (С56)</w:t>
            </w:r>
          </w:p>
        </w:tc>
        <w:tc>
          <w:tcPr>
            <w:tcW w:w="850" w:type="dxa"/>
          </w:tcPr>
          <w:p>
            <w:pPr>
              <w:pStyle w:val="0"/>
            </w:pPr>
            <w:r>
              <w:rPr>
                <w:sz w:val="20"/>
              </w:rPr>
              <w:t xml:space="preserve">Ж</w:t>
            </w:r>
          </w:p>
        </w:tc>
        <w:tc>
          <w:tcPr>
            <w:tcW w:w="859" w:type="dxa"/>
          </w:tcPr>
          <w:p>
            <w:pPr>
              <w:pStyle w:val="0"/>
            </w:pPr>
            <w:r>
              <w:rPr>
                <w:sz w:val="20"/>
              </w:rPr>
              <w:t xml:space="preserve">11,3</w:t>
            </w:r>
          </w:p>
        </w:tc>
        <w:tc>
          <w:tcPr>
            <w:tcW w:w="1084" w:type="dxa"/>
          </w:tcPr>
          <w:p>
            <w:pPr>
              <w:pStyle w:val="0"/>
            </w:pPr>
            <w:r>
              <w:rPr>
                <w:sz w:val="20"/>
              </w:rPr>
              <w:t xml:space="preserve">10,3</w:t>
            </w:r>
          </w:p>
        </w:tc>
        <w:tc>
          <w:tcPr>
            <w:tcW w:w="859" w:type="dxa"/>
          </w:tcPr>
          <w:p>
            <w:pPr>
              <w:pStyle w:val="0"/>
            </w:pPr>
            <w:r>
              <w:rPr>
                <w:sz w:val="20"/>
              </w:rPr>
              <w:t xml:space="preserve">11,9</w:t>
            </w:r>
          </w:p>
        </w:tc>
        <w:tc>
          <w:tcPr>
            <w:tcW w:w="1084" w:type="dxa"/>
          </w:tcPr>
          <w:p>
            <w:pPr>
              <w:pStyle w:val="0"/>
            </w:pPr>
            <w:r>
              <w:rPr>
                <w:sz w:val="20"/>
              </w:rPr>
              <w:t xml:space="preserve">10,9</w:t>
            </w:r>
          </w:p>
        </w:tc>
        <w:tc>
          <w:tcPr>
            <w:tcW w:w="859" w:type="dxa"/>
          </w:tcPr>
          <w:p>
            <w:pPr>
              <w:pStyle w:val="0"/>
            </w:pPr>
            <w:r>
              <w:rPr>
                <w:sz w:val="20"/>
              </w:rPr>
              <w:t xml:space="preserve">11,6</w:t>
            </w:r>
          </w:p>
        </w:tc>
        <w:tc>
          <w:tcPr>
            <w:tcW w:w="1084" w:type="dxa"/>
          </w:tcPr>
          <w:p>
            <w:pPr>
              <w:pStyle w:val="0"/>
            </w:pPr>
            <w:r>
              <w:rPr>
                <w:sz w:val="20"/>
              </w:rPr>
              <w:t xml:space="preserve">9,7</w:t>
            </w:r>
          </w:p>
        </w:tc>
        <w:tc>
          <w:tcPr>
            <w:tcW w:w="859" w:type="dxa"/>
          </w:tcPr>
          <w:p>
            <w:pPr>
              <w:pStyle w:val="0"/>
            </w:pPr>
            <w:r>
              <w:rPr>
                <w:sz w:val="20"/>
              </w:rPr>
              <w:t xml:space="preserve">11,7</w:t>
            </w:r>
          </w:p>
        </w:tc>
        <w:tc>
          <w:tcPr>
            <w:tcW w:w="1084" w:type="dxa"/>
          </w:tcPr>
          <w:p>
            <w:pPr>
              <w:pStyle w:val="0"/>
            </w:pPr>
            <w:r>
              <w:rPr>
                <w:sz w:val="20"/>
              </w:rPr>
              <w:t xml:space="preserve">9,5</w:t>
            </w:r>
          </w:p>
        </w:tc>
        <w:tc>
          <w:tcPr>
            <w:tcW w:w="859" w:type="dxa"/>
          </w:tcPr>
          <w:p>
            <w:pPr>
              <w:pStyle w:val="0"/>
            </w:pPr>
            <w:r>
              <w:rPr>
                <w:sz w:val="20"/>
              </w:rPr>
              <w:t xml:space="preserve">10,7</w:t>
            </w:r>
          </w:p>
        </w:tc>
        <w:tc>
          <w:tcPr>
            <w:tcW w:w="1084" w:type="dxa"/>
          </w:tcPr>
          <w:p>
            <w:pPr>
              <w:pStyle w:val="0"/>
            </w:pPr>
            <w:r>
              <w:rPr>
                <w:sz w:val="20"/>
              </w:rPr>
              <w:t xml:space="preserve">9,7</w:t>
            </w:r>
          </w:p>
        </w:tc>
        <w:tc>
          <w:tcPr>
            <w:tcW w:w="859" w:type="dxa"/>
          </w:tcPr>
          <w:p>
            <w:pPr>
              <w:pStyle w:val="0"/>
            </w:pPr>
            <w:r>
              <w:rPr>
                <w:sz w:val="20"/>
              </w:rPr>
              <w:t xml:space="preserve">10,8</w:t>
            </w:r>
          </w:p>
        </w:tc>
        <w:tc>
          <w:tcPr>
            <w:tcW w:w="1084" w:type="dxa"/>
          </w:tcPr>
          <w:p>
            <w:pPr>
              <w:pStyle w:val="0"/>
            </w:pPr>
            <w:r>
              <w:rPr>
                <w:sz w:val="20"/>
              </w:rPr>
              <w:t xml:space="preserve">8,2</w:t>
            </w:r>
          </w:p>
        </w:tc>
        <w:tc>
          <w:tcPr>
            <w:tcW w:w="859" w:type="dxa"/>
          </w:tcPr>
          <w:p>
            <w:pPr>
              <w:pStyle w:val="0"/>
            </w:pPr>
            <w:r>
              <w:rPr>
                <w:sz w:val="20"/>
              </w:rPr>
              <w:t xml:space="preserve">14,3</w:t>
            </w:r>
          </w:p>
        </w:tc>
        <w:tc>
          <w:tcPr>
            <w:tcW w:w="1084" w:type="dxa"/>
          </w:tcPr>
          <w:p>
            <w:pPr>
              <w:pStyle w:val="0"/>
            </w:pPr>
            <w:r>
              <w:rPr>
                <w:sz w:val="20"/>
              </w:rPr>
              <w:t xml:space="preserve">11,7</w:t>
            </w:r>
          </w:p>
        </w:tc>
        <w:tc>
          <w:tcPr>
            <w:tcW w:w="859" w:type="dxa"/>
          </w:tcPr>
          <w:p>
            <w:pPr>
              <w:pStyle w:val="0"/>
            </w:pPr>
            <w:r>
              <w:rPr>
                <w:sz w:val="20"/>
              </w:rPr>
              <w:t xml:space="preserve">14,4</w:t>
            </w:r>
          </w:p>
        </w:tc>
        <w:tc>
          <w:tcPr>
            <w:tcW w:w="1084" w:type="dxa"/>
          </w:tcPr>
          <w:p>
            <w:pPr>
              <w:pStyle w:val="0"/>
            </w:pPr>
            <w:r>
              <w:rPr>
                <w:sz w:val="20"/>
              </w:rPr>
              <w:t xml:space="preserve">9,6</w:t>
            </w:r>
          </w:p>
        </w:tc>
        <w:tc>
          <w:tcPr>
            <w:tcW w:w="859" w:type="dxa"/>
          </w:tcPr>
          <w:p>
            <w:pPr>
              <w:pStyle w:val="0"/>
            </w:pPr>
            <w:r>
              <w:rPr>
                <w:sz w:val="20"/>
              </w:rPr>
              <w:t xml:space="preserve">13,6</w:t>
            </w:r>
          </w:p>
        </w:tc>
        <w:tc>
          <w:tcPr>
            <w:tcW w:w="1084" w:type="dxa"/>
          </w:tcPr>
          <w:p>
            <w:pPr>
              <w:pStyle w:val="0"/>
            </w:pPr>
            <w:r>
              <w:rPr>
                <w:sz w:val="20"/>
              </w:rPr>
              <w:t xml:space="preserve">9,9</w:t>
            </w:r>
          </w:p>
        </w:tc>
        <w:tc>
          <w:tcPr>
            <w:tcW w:w="859" w:type="dxa"/>
          </w:tcPr>
          <w:p>
            <w:pPr>
              <w:pStyle w:val="0"/>
            </w:pPr>
            <w:r>
              <w:rPr>
                <w:sz w:val="20"/>
              </w:rPr>
              <w:t xml:space="preserve">12,9</w:t>
            </w:r>
          </w:p>
        </w:tc>
        <w:tc>
          <w:tcPr>
            <w:tcW w:w="1084" w:type="dxa"/>
          </w:tcPr>
          <w:p>
            <w:pPr>
              <w:pStyle w:val="0"/>
            </w:pPr>
            <w:r>
              <w:rPr>
                <w:sz w:val="20"/>
              </w:rPr>
              <w:t xml:space="preserve">8,6</w:t>
            </w:r>
          </w:p>
        </w:tc>
      </w:tr>
      <w:tr>
        <w:tc>
          <w:tcPr>
            <w:tcW w:w="2089" w:type="dxa"/>
          </w:tcPr>
          <w:p>
            <w:pPr>
              <w:pStyle w:val="0"/>
            </w:pPr>
            <w:r>
              <w:rPr>
                <w:sz w:val="20"/>
              </w:rPr>
              <w:t xml:space="preserve">плаценты (С58)</w:t>
            </w:r>
          </w:p>
        </w:tc>
        <w:tc>
          <w:tcPr>
            <w:tcW w:w="850" w:type="dxa"/>
          </w:tcPr>
          <w:p>
            <w:pPr>
              <w:pStyle w:val="0"/>
            </w:pPr>
            <w:r>
              <w:rPr>
                <w:sz w:val="20"/>
              </w:rPr>
              <w:t xml:space="preserve">Ж</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0,1</w:t>
            </w:r>
          </w:p>
        </w:tc>
        <w:tc>
          <w:tcPr>
            <w:tcW w:w="1084" w:type="dxa"/>
          </w:tcPr>
          <w:p>
            <w:pPr>
              <w:pStyle w:val="0"/>
            </w:pPr>
            <w:r>
              <w:rPr>
                <w:sz w:val="20"/>
              </w:rPr>
              <w:t xml:space="preserve">0,2</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w:t>
            </w:r>
          </w:p>
        </w:tc>
        <w:tc>
          <w:tcPr>
            <w:tcW w:w="1084" w:type="dxa"/>
          </w:tcPr>
          <w:p>
            <w:pPr>
              <w:pStyle w:val="0"/>
            </w:pPr>
            <w:r>
              <w:rPr>
                <w:sz w:val="20"/>
              </w:rPr>
              <w:t xml:space="preserve">-</w:t>
            </w:r>
          </w:p>
        </w:tc>
        <w:tc>
          <w:tcPr>
            <w:tcW w:w="859" w:type="dxa"/>
          </w:tcPr>
          <w:p>
            <w:pPr>
              <w:pStyle w:val="0"/>
            </w:pPr>
            <w:r>
              <w:rPr>
                <w:sz w:val="20"/>
              </w:rPr>
              <w:t xml:space="preserve">-</w:t>
            </w:r>
          </w:p>
        </w:tc>
        <w:tc>
          <w:tcPr>
            <w:tcW w:w="1084" w:type="dxa"/>
          </w:tcPr>
          <w:p>
            <w:pPr>
              <w:pStyle w:val="0"/>
            </w:pPr>
            <w:r>
              <w:rPr>
                <w:sz w:val="20"/>
              </w:rPr>
              <w:t xml:space="preserve">0,2</w:t>
            </w:r>
          </w:p>
        </w:tc>
        <w:tc>
          <w:tcPr>
            <w:tcW w:w="859" w:type="dxa"/>
          </w:tcPr>
          <w:p>
            <w:pPr>
              <w:pStyle w:val="0"/>
            </w:pPr>
            <w:r>
              <w:rPr>
                <w:sz w:val="20"/>
              </w:rPr>
              <w:t xml:space="preserve">0,2</w:t>
            </w:r>
          </w:p>
        </w:tc>
        <w:tc>
          <w:tcPr>
            <w:tcW w:w="1084" w:type="dxa"/>
          </w:tcPr>
          <w:p>
            <w:pPr>
              <w:pStyle w:val="0"/>
            </w:pPr>
            <w:r>
              <w:rPr>
                <w:sz w:val="20"/>
              </w:rPr>
              <w:t xml:space="preserve">0,1</w:t>
            </w:r>
          </w:p>
        </w:tc>
        <w:tc>
          <w:tcPr>
            <w:tcW w:w="859" w:type="dxa"/>
          </w:tcPr>
          <w:p>
            <w:pPr>
              <w:pStyle w:val="0"/>
            </w:pPr>
            <w:r>
              <w:rPr>
                <w:sz w:val="20"/>
              </w:rPr>
              <w:t xml:space="preserve">0,0</w:t>
            </w:r>
          </w:p>
        </w:tc>
        <w:tc>
          <w:tcPr>
            <w:tcW w:w="1084" w:type="dxa"/>
          </w:tcPr>
          <w:p>
            <w:pPr>
              <w:pStyle w:val="0"/>
            </w:pPr>
            <w:r>
              <w:rPr>
                <w:sz w:val="20"/>
              </w:rPr>
              <w:t xml:space="preserve">0</w:t>
            </w:r>
          </w:p>
        </w:tc>
      </w:tr>
      <w:tr>
        <w:tc>
          <w:tcPr>
            <w:tcW w:w="2089" w:type="dxa"/>
          </w:tcPr>
          <w:p>
            <w:pPr>
              <w:pStyle w:val="0"/>
            </w:pPr>
            <w:r>
              <w:rPr>
                <w:sz w:val="20"/>
              </w:rPr>
              <w:t xml:space="preserve">полового члена (С60)</w:t>
            </w:r>
          </w:p>
        </w:tc>
        <w:tc>
          <w:tcPr>
            <w:tcW w:w="850" w:type="dxa"/>
          </w:tcPr>
          <w:p>
            <w:pPr>
              <w:pStyle w:val="0"/>
            </w:pPr>
            <w:r>
              <w:rPr>
                <w:sz w:val="20"/>
              </w:rPr>
              <w:t xml:space="preserve">М</w:t>
            </w:r>
          </w:p>
        </w:tc>
        <w:tc>
          <w:tcPr>
            <w:tcW w:w="859" w:type="dxa"/>
          </w:tcPr>
          <w:p>
            <w:pPr>
              <w:pStyle w:val="0"/>
            </w:pPr>
            <w:r>
              <w:rPr>
                <w:sz w:val="20"/>
              </w:rPr>
              <w:t xml:space="preserve">0,5</w:t>
            </w:r>
          </w:p>
        </w:tc>
        <w:tc>
          <w:tcPr>
            <w:tcW w:w="1084" w:type="dxa"/>
          </w:tcPr>
          <w:p>
            <w:pPr>
              <w:pStyle w:val="0"/>
            </w:pPr>
            <w:r>
              <w:rPr>
                <w:sz w:val="20"/>
              </w:rPr>
              <w:t xml:space="preserve">0,3</w:t>
            </w:r>
          </w:p>
        </w:tc>
        <w:tc>
          <w:tcPr>
            <w:tcW w:w="859" w:type="dxa"/>
          </w:tcPr>
          <w:p>
            <w:pPr>
              <w:pStyle w:val="0"/>
            </w:pPr>
            <w:r>
              <w:rPr>
                <w:sz w:val="20"/>
              </w:rPr>
              <w:t xml:space="preserve">0,1</w:t>
            </w:r>
          </w:p>
        </w:tc>
        <w:tc>
          <w:tcPr>
            <w:tcW w:w="1084" w:type="dxa"/>
          </w:tcPr>
          <w:p>
            <w:pPr>
              <w:pStyle w:val="0"/>
            </w:pPr>
            <w:r>
              <w:rPr>
                <w:sz w:val="20"/>
              </w:rPr>
              <w:t xml:space="preserve">-</w:t>
            </w:r>
          </w:p>
        </w:tc>
        <w:tc>
          <w:tcPr>
            <w:tcW w:w="859" w:type="dxa"/>
          </w:tcPr>
          <w:p>
            <w:pPr>
              <w:pStyle w:val="0"/>
            </w:pPr>
            <w:r>
              <w:rPr>
                <w:sz w:val="20"/>
              </w:rPr>
              <w:t xml:space="preserve">0,8</w:t>
            </w:r>
          </w:p>
        </w:tc>
        <w:tc>
          <w:tcPr>
            <w:tcW w:w="1084" w:type="dxa"/>
          </w:tcPr>
          <w:p>
            <w:pPr>
              <w:pStyle w:val="0"/>
            </w:pPr>
            <w:r>
              <w:rPr>
                <w:sz w:val="20"/>
              </w:rPr>
              <w:t xml:space="preserve">0,8</w:t>
            </w:r>
          </w:p>
        </w:tc>
        <w:tc>
          <w:tcPr>
            <w:tcW w:w="859" w:type="dxa"/>
          </w:tcPr>
          <w:p>
            <w:pPr>
              <w:pStyle w:val="0"/>
            </w:pPr>
            <w:r>
              <w:rPr>
                <w:sz w:val="20"/>
              </w:rPr>
              <w:t xml:space="preserve">0,3</w:t>
            </w:r>
          </w:p>
        </w:tc>
        <w:tc>
          <w:tcPr>
            <w:tcW w:w="1084" w:type="dxa"/>
          </w:tcPr>
          <w:p>
            <w:pPr>
              <w:pStyle w:val="0"/>
            </w:pPr>
            <w:r>
              <w:rPr>
                <w:sz w:val="20"/>
              </w:rPr>
              <w:t xml:space="preserve">0,6</w:t>
            </w:r>
          </w:p>
        </w:tc>
        <w:tc>
          <w:tcPr>
            <w:tcW w:w="859" w:type="dxa"/>
          </w:tcPr>
          <w:p>
            <w:pPr>
              <w:pStyle w:val="0"/>
            </w:pPr>
            <w:r>
              <w:rPr>
                <w:sz w:val="20"/>
              </w:rPr>
              <w:t xml:space="preserve">0,4</w:t>
            </w:r>
          </w:p>
        </w:tc>
        <w:tc>
          <w:tcPr>
            <w:tcW w:w="1084" w:type="dxa"/>
          </w:tcPr>
          <w:p>
            <w:pPr>
              <w:pStyle w:val="0"/>
            </w:pPr>
            <w:r>
              <w:rPr>
                <w:sz w:val="20"/>
              </w:rPr>
              <w:t xml:space="preserve">0,8</w:t>
            </w:r>
          </w:p>
        </w:tc>
        <w:tc>
          <w:tcPr>
            <w:tcW w:w="859" w:type="dxa"/>
          </w:tcPr>
          <w:p>
            <w:pPr>
              <w:pStyle w:val="0"/>
            </w:pPr>
            <w:r>
              <w:rPr>
                <w:sz w:val="20"/>
              </w:rPr>
              <w:t xml:space="preserve">0,8</w:t>
            </w:r>
          </w:p>
        </w:tc>
        <w:tc>
          <w:tcPr>
            <w:tcW w:w="1084" w:type="dxa"/>
          </w:tcPr>
          <w:p>
            <w:pPr>
              <w:pStyle w:val="0"/>
            </w:pPr>
            <w:r>
              <w:rPr>
                <w:sz w:val="20"/>
              </w:rPr>
              <w:t xml:space="preserve">0,7</w:t>
            </w:r>
          </w:p>
        </w:tc>
        <w:tc>
          <w:tcPr>
            <w:tcW w:w="859" w:type="dxa"/>
          </w:tcPr>
          <w:p>
            <w:pPr>
              <w:pStyle w:val="0"/>
            </w:pPr>
            <w:r>
              <w:rPr>
                <w:sz w:val="20"/>
              </w:rPr>
              <w:t xml:space="preserve">0,4</w:t>
            </w:r>
          </w:p>
        </w:tc>
        <w:tc>
          <w:tcPr>
            <w:tcW w:w="1084" w:type="dxa"/>
          </w:tcPr>
          <w:p>
            <w:pPr>
              <w:pStyle w:val="0"/>
            </w:pPr>
            <w:r>
              <w:rPr>
                <w:sz w:val="20"/>
              </w:rPr>
              <w:t xml:space="preserve">0,3</w:t>
            </w:r>
          </w:p>
        </w:tc>
        <w:tc>
          <w:tcPr>
            <w:tcW w:w="859" w:type="dxa"/>
          </w:tcPr>
          <w:p>
            <w:pPr>
              <w:pStyle w:val="0"/>
            </w:pPr>
            <w:r>
              <w:rPr>
                <w:sz w:val="20"/>
              </w:rPr>
              <w:t xml:space="preserve">0,4</w:t>
            </w:r>
          </w:p>
        </w:tc>
        <w:tc>
          <w:tcPr>
            <w:tcW w:w="1084" w:type="dxa"/>
          </w:tcPr>
          <w:p>
            <w:pPr>
              <w:pStyle w:val="0"/>
            </w:pPr>
            <w:r>
              <w:rPr>
                <w:sz w:val="20"/>
              </w:rPr>
              <w:t xml:space="preserve">0,9</w:t>
            </w:r>
          </w:p>
        </w:tc>
        <w:tc>
          <w:tcPr>
            <w:tcW w:w="859" w:type="dxa"/>
          </w:tcPr>
          <w:p>
            <w:pPr>
              <w:pStyle w:val="0"/>
            </w:pPr>
            <w:r>
              <w:rPr>
                <w:sz w:val="20"/>
              </w:rPr>
              <w:t xml:space="preserve">0,8</w:t>
            </w:r>
          </w:p>
        </w:tc>
        <w:tc>
          <w:tcPr>
            <w:tcW w:w="1084" w:type="dxa"/>
          </w:tcPr>
          <w:p>
            <w:pPr>
              <w:pStyle w:val="0"/>
            </w:pPr>
            <w:r>
              <w:rPr>
                <w:sz w:val="20"/>
              </w:rPr>
              <w:t xml:space="preserve">0,3</w:t>
            </w:r>
          </w:p>
        </w:tc>
        <w:tc>
          <w:tcPr>
            <w:tcW w:w="859" w:type="dxa"/>
          </w:tcPr>
          <w:p>
            <w:pPr>
              <w:pStyle w:val="0"/>
            </w:pPr>
            <w:r>
              <w:rPr>
                <w:sz w:val="20"/>
              </w:rPr>
              <w:t xml:space="preserve">0,6</w:t>
            </w:r>
          </w:p>
        </w:tc>
        <w:tc>
          <w:tcPr>
            <w:tcW w:w="1084" w:type="dxa"/>
          </w:tcPr>
          <w:p>
            <w:pPr>
              <w:pStyle w:val="0"/>
            </w:pPr>
            <w:r>
              <w:rPr>
                <w:sz w:val="20"/>
              </w:rPr>
              <w:t xml:space="preserve">0,5</w:t>
            </w:r>
          </w:p>
        </w:tc>
      </w:tr>
      <w:tr>
        <w:tc>
          <w:tcPr>
            <w:tcW w:w="2089" w:type="dxa"/>
          </w:tcPr>
          <w:p>
            <w:pPr>
              <w:pStyle w:val="0"/>
            </w:pPr>
            <w:r>
              <w:rPr>
                <w:sz w:val="20"/>
              </w:rPr>
              <w:t xml:space="preserve">предстательной железы (С61)</w:t>
            </w:r>
          </w:p>
        </w:tc>
        <w:tc>
          <w:tcPr>
            <w:tcW w:w="850" w:type="dxa"/>
          </w:tcPr>
          <w:p>
            <w:pPr>
              <w:pStyle w:val="0"/>
            </w:pPr>
            <w:r>
              <w:rPr>
                <w:sz w:val="20"/>
              </w:rPr>
              <w:t xml:space="preserve">М</w:t>
            </w:r>
          </w:p>
        </w:tc>
        <w:tc>
          <w:tcPr>
            <w:tcW w:w="859" w:type="dxa"/>
          </w:tcPr>
          <w:p>
            <w:pPr>
              <w:pStyle w:val="0"/>
            </w:pPr>
            <w:r>
              <w:rPr>
                <w:sz w:val="20"/>
              </w:rPr>
              <w:t xml:space="preserve">22,9</w:t>
            </w:r>
          </w:p>
        </w:tc>
        <w:tc>
          <w:tcPr>
            <w:tcW w:w="1084" w:type="dxa"/>
          </w:tcPr>
          <w:p>
            <w:pPr>
              <w:pStyle w:val="0"/>
            </w:pPr>
            <w:r>
              <w:rPr>
                <w:sz w:val="20"/>
              </w:rPr>
              <w:t xml:space="preserve">61,6</w:t>
            </w:r>
          </w:p>
        </w:tc>
        <w:tc>
          <w:tcPr>
            <w:tcW w:w="859" w:type="dxa"/>
          </w:tcPr>
          <w:p>
            <w:pPr>
              <w:pStyle w:val="0"/>
            </w:pPr>
            <w:r>
              <w:rPr>
                <w:sz w:val="20"/>
              </w:rPr>
              <w:t xml:space="preserve">28,7</w:t>
            </w:r>
          </w:p>
        </w:tc>
        <w:tc>
          <w:tcPr>
            <w:tcW w:w="1084" w:type="dxa"/>
          </w:tcPr>
          <w:p>
            <w:pPr>
              <w:pStyle w:val="0"/>
            </w:pPr>
            <w:r>
              <w:rPr>
                <w:sz w:val="20"/>
              </w:rPr>
              <w:t xml:space="preserve">53,7</w:t>
            </w:r>
          </w:p>
        </w:tc>
        <w:tc>
          <w:tcPr>
            <w:tcW w:w="859" w:type="dxa"/>
          </w:tcPr>
          <w:p>
            <w:pPr>
              <w:pStyle w:val="0"/>
            </w:pPr>
            <w:r>
              <w:rPr>
                <w:sz w:val="20"/>
              </w:rPr>
              <w:t xml:space="preserve">31,8</w:t>
            </w:r>
          </w:p>
        </w:tc>
        <w:tc>
          <w:tcPr>
            <w:tcW w:w="1084" w:type="dxa"/>
          </w:tcPr>
          <w:p>
            <w:pPr>
              <w:pStyle w:val="0"/>
            </w:pPr>
            <w:r>
              <w:rPr>
                <w:sz w:val="20"/>
              </w:rPr>
              <w:t xml:space="preserve">56,5</w:t>
            </w:r>
          </w:p>
        </w:tc>
        <w:tc>
          <w:tcPr>
            <w:tcW w:w="859" w:type="dxa"/>
          </w:tcPr>
          <w:p>
            <w:pPr>
              <w:pStyle w:val="0"/>
            </w:pPr>
            <w:r>
              <w:rPr>
                <w:sz w:val="20"/>
              </w:rPr>
              <w:t xml:space="preserve">31,2</w:t>
            </w:r>
          </w:p>
        </w:tc>
        <w:tc>
          <w:tcPr>
            <w:tcW w:w="1084" w:type="dxa"/>
          </w:tcPr>
          <w:p>
            <w:pPr>
              <w:pStyle w:val="0"/>
            </w:pPr>
            <w:r>
              <w:rPr>
                <w:sz w:val="20"/>
              </w:rPr>
              <w:t xml:space="preserve">52,4</w:t>
            </w:r>
          </w:p>
        </w:tc>
        <w:tc>
          <w:tcPr>
            <w:tcW w:w="859" w:type="dxa"/>
          </w:tcPr>
          <w:p>
            <w:pPr>
              <w:pStyle w:val="0"/>
            </w:pPr>
            <w:r>
              <w:rPr>
                <w:sz w:val="20"/>
              </w:rPr>
              <w:t xml:space="preserve">35,1</w:t>
            </w:r>
          </w:p>
        </w:tc>
        <w:tc>
          <w:tcPr>
            <w:tcW w:w="1084" w:type="dxa"/>
          </w:tcPr>
          <w:p>
            <w:pPr>
              <w:pStyle w:val="0"/>
            </w:pPr>
            <w:r>
              <w:rPr>
                <w:sz w:val="20"/>
              </w:rPr>
              <w:t xml:space="preserve">64,6</w:t>
            </w:r>
          </w:p>
        </w:tc>
        <w:tc>
          <w:tcPr>
            <w:tcW w:w="859" w:type="dxa"/>
          </w:tcPr>
          <w:p>
            <w:pPr>
              <w:pStyle w:val="0"/>
            </w:pPr>
            <w:r>
              <w:rPr>
                <w:sz w:val="20"/>
              </w:rPr>
              <w:t xml:space="preserve">38,6</w:t>
            </w:r>
          </w:p>
        </w:tc>
        <w:tc>
          <w:tcPr>
            <w:tcW w:w="1084" w:type="dxa"/>
          </w:tcPr>
          <w:p>
            <w:pPr>
              <w:pStyle w:val="0"/>
            </w:pPr>
            <w:r>
              <w:rPr>
                <w:sz w:val="20"/>
              </w:rPr>
              <w:t xml:space="preserve">59,3</w:t>
            </w:r>
          </w:p>
        </w:tc>
        <w:tc>
          <w:tcPr>
            <w:tcW w:w="859" w:type="dxa"/>
          </w:tcPr>
          <w:p>
            <w:pPr>
              <w:pStyle w:val="0"/>
            </w:pPr>
            <w:r>
              <w:rPr>
                <w:sz w:val="20"/>
              </w:rPr>
              <w:t xml:space="preserve">35,9</w:t>
            </w:r>
          </w:p>
        </w:tc>
        <w:tc>
          <w:tcPr>
            <w:tcW w:w="1084" w:type="dxa"/>
          </w:tcPr>
          <w:p>
            <w:pPr>
              <w:pStyle w:val="0"/>
            </w:pPr>
            <w:r>
              <w:rPr>
                <w:sz w:val="20"/>
              </w:rPr>
              <w:t xml:space="preserve">41,4</w:t>
            </w:r>
          </w:p>
        </w:tc>
        <w:tc>
          <w:tcPr>
            <w:tcW w:w="859" w:type="dxa"/>
          </w:tcPr>
          <w:p>
            <w:pPr>
              <w:pStyle w:val="0"/>
            </w:pPr>
            <w:r>
              <w:rPr>
                <w:sz w:val="20"/>
              </w:rPr>
              <w:t xml:space="preserve">44,6</w:t>
            </w:r>
          </w:p>
        </w:tc>
        <w:tc>
          <w:tcPr>
            <w:tcW w:w="1084" w:type="dxa"/>
          </w:tcPr>
          <w:p>
            <w:pPr>
              <w:pStyle w:val="0"/>
            </w:pPr>
            <w:r>
              <w:rPr>
                <w:sz w:val="20"/>
              </w:rPr>
              <w:t xml:space="preserve">47,7</w:t>
            </w:r>
          </w:p>
        </w:tc>
        <w:tc>
          <w:tcPr>
            <w:tcW w:w="859" w:type="dxa"/>
          </w:tcPr>
          <w:p>
            <w:pPr>
              <w:pStyle w:val="0"/>
            </w:pPr>
            <w:r>
              <w:rPr>
                <w:sz w:val="20"/>
              </w:rPr>
              <w:t xml:space="preserve">39,4</w:t>
            </w:r>
          </w:p>
        </w:tc>
        <w:tc>
          <w:tcPr>
            <w:tcW w:w="1084" w:type="dxa"/>
          </w:tcPr>
          <w:p>
            <w:pPr>
              <w:pStyle w:val="0"/>
            </w:pPr>
            <w:r>
              <w:rPr>
                <w:sz w:val="20"/>
              </w:rPr>
              <w:t xml:space="preserve">38,9</w:t>
            </w:r>
          </w:p>
        </w:tc>
        <w:tc>
          <w:tcPr>
            <w:tcW w:w="859" w:type="dxa"/>
          </w:tcPr>
          <w:p>
            <w:pPr>
              <w:pStyle w:val="0"/>
            </w:pPr>
            <w:r>
              <w:rPr>
                <w:sz w:val="20"/>
              </w:rPr>
              <w:t xml:space="preserve">49,7</w:t>
            </w:r>
          </w:p>
        </w:tc>
        <w:tc>
          <w:tcPr>
            <w:tcW w:w="1084" w:type="dxa"/>
          </w:tcPr>
          <w:p>
            <w:pPr>
              <w:pStyle w:val="0"/>
            </w:pPr>
            <w:r>
              <w:rPr>
                <w:sz w:val="20"/>
              </w:rPr>
              <w:t xml:space="preserve">52,0</w:t>
            </w:r>
          </w:p>
        </w:tc>
      </w:tr>
      <w:tr>
        <w:tc>
          <w:tcPr>
            <w:tcW w:w="2089" w:type="dxa"/>
          </w:tcPr>
          <w:p>
            <w:pPr>
              <w:pStyle w:val="0"/>
            </w:pPr>
            <w:r>
              <w:rPr>
                <w:sz w:val="20"/>
              </w:rPr>
              <w:t xml:space="preserve">яичка (С62)</w:t>
            </w:r>
          </w:p>
        </w:tc>
        <w:tc>
          <w:tcPr>
            <w:tcW w:w="850" w:type="dxa"/>
          </w:tcPr>
          <w:p>
            <w:pPr>
              <w:pStyle w:val="0"/>
            </w:pPr>
            <w:r>
              <w:rPr>
                <w:sz w:val="20"/>
              </w:rPr>
              <w:t xml:space="preserve">М</w:t>
            </w:r>
          </w:p>
        </w:tc>
        <w:tc>
          <w:tcPr>
            <w:tcW w:w="859" w:type="dxa"/>
          </w:tcPr>
          <w:p>
            <w:pPr>
              <w:pStyle w:val="0"/>
            </w:pPr>
            <w:r>
              <w:rPr>
                <w:sz w:val="20"/>
              </w:rPr>
              <w:t xml:space="preserve">2,4</w:t>
            </w:r>
          </w:p>
        </w:tc>
        <w:tc>
          <w:tcPr>
            <w:tcW w:w="1084" w:type="dxa"/>
          </w:tcPr>
          <w:p>
            <w:pPr>
              <w:pStyle w:val="0"/>
            </w:pPr>
            <w:r>
              <w:rPr>
                <w:sz w:val="20"/>
              </w:rPr>
              <w:t xml:space="preserve">1,9</w:t>
            </w:r>
          </w:p>
        </w:tc>
        <w:tc>
          <w:tcPr>
            <w:tcW w:w="859" w:type="dxa"/>
          </w:tcPr>
          <w:p>
            <w:pPr>
              <w:pStyle w:val="0"/>
            </w:pPr>
            <w:r>
              <w:rPr>
                <w:sz w:val="20"/>
              </w:rPr>
              <w:t xml:space="preserve">1,9</w:t>
            </w:r>
          </w:p>
        </w:tc>
        <w:tc>
          <w:tcPr>
            <w:tcW w:w="1084" w:type="dxa"/>
          </w:tcPr>
          <w:p>
            <w:pPr>
              <w:pStyle w:val="0"/>
            </w:pPr>
            <w:r>
              <w:rPr>
                <w:sz w:val="20"/>
              </w:rPr>
              <w:t xml:space="preserve">1,3</w:t>
            </w:r>
          </w:p>
        </w:tc>
        <w:tc>
          <w:tcPr>
            <w:tcW w:w="859" w:type="dxa"/>
          </w:tcPr>
          <w:p>
            <w:pPr>
              <w:pStyle w:val="0"/>
            </w:pPr>
            <w:r>
              <w:rPr>
                <w:sz w:val="20"/>
              </w:rPr>
              <w:t xml:space="preserve">1,8</w:t>
            </w:r>
          </w:p>
        </w:tc>
        <w:tc>
          <w:tcPr>
            <w:tcW w:w="1084" w:type="dxa"/>
          </w:tcPr>
          <w:p>
            <w:pPr>
              <w:pStyle w:val="0"/>
            </w:pPr>
            <w:r>
              <w:rPr>
                <w:sz w:val="20"/>
              </w:rPr>
              <w:t xml:space="preserve">1,4</w:t>
            </w:r>
          </w:p>
        </w:tc>
        <w:tc>
          <w:tcPr>
            <w:tcW w:w="859" w:type="dxa"/>
          </w:tcPr>
          <w:p>
            <w:pPr>
              <w:pStyle w:val="0"/>
            </w:pPr>
            <w:r>
              <w:rPr>
                <w:sz w:val="20"/>
              </w:rPr>
              <w:t xml:space="preserve">1,9</w:t>
            </w:r>
          </w:p>
        </w:tc>
        <w:tc>
          <w:tcPr>
            <w:tcW w:w="1084" w:type="dxa"/>
          </w:tcPr>
          <w:p>
            <w:pPr>
              <w:pStyle w:val="0"/>
            </w:pPr>
            <w:r>
              <w:rPr>
                <w:sz w:val="20"/>
              </w:rPr>
              <w:t xml:space="preserve">1,8</w:t>
            </w:r>
          </w:p>
        </w:tc>
        <w:tc>
          <w:tcPr>
            <w:tcW w:w="859" w:type="dxa"/>
          </w:tcPr>
          <w:p>
            <w:pPr>
              <w:pStyle w:val="0"/>
            </w:pPr>
            <w:r>
              <w:rPr>
                <w:sz w:val="20"/>
              </w:rPr>
              <w:t xml:space="preserve">2,5</w:t>
            </w:r>
          </w:p>
        </w:tc>
        <w:tc>
          <w:tcPr>
            <w:tcW w:w="1084" w:type="dxa"/>
          </w:tcPr>
          <w:p>
            <w:pPr>
              <w:pStyle w:val="0"/>
            </w:pPr>
            <w:r>
              <w:rPr>
                <w:sz w:val="20"/>
              </w:rPr>
              <w:t xml:space="preserve">2,5</w:t>
            </w:r>
          </w:p>
        </w:tc>
        <w:tc>
          <w:tcPr>
            <w:tcW w:w="859" w:type="dxa"/>
          </w:tcPr>
          <w:p>
            <w:pPr>
              <w:pStyle w:val="0"/>
            </w:pPr>
            <w:r>
              <w:rPr>
                <w:sz w:val="20"/>
              </w:rPr>
              <w:t xml:space="preserve">1,1</w:t>
            </w:r>
          </w:p>
        </w:tc>
        <w:tc>
          <w:tcPr>
            <w:tcW w:w="1084" w:type="dxa"/>
          </w:tcPr>
          <w:p>
            <w:pPr>
              <w:pStyle w:val="0"/>
            </w:pPr>
            <w:r>
              <w:rPr>
                <w:sz w:val="20"/>
              </w:rPr>
              <w:t xml:space="preserve">0,9</w:t>
            </w:r>
          </w:p>
        </w:tc>
        <w:tc>
          <w:tcPr>
            <w:tcW w:w="859" w:type="dxa"/>
          </w:tcPr>
          <w:p>
            <w:pPr>
              <w:pStyle w:val="0"/>
            </w:pPr>
            <w:r>
              <w:rPr>
                <w:sz w:val="20"/>
              </w:rPr>
              <w:t xml:space="preserve">1,2</w:t>
            </w:r>
          </w:p>
        </w:tc>
        <w:tc>
          <w:tcPr>
            <w:tcW w:w="1084" w:type="dxa"/>
          </w:tcPr>
          <w:p>
            <w:pPr>
              <w:pStyle w:val="0"/>
            </w:pPr>
            <w:r>
              <w:rPr>
                <w:sz w:val="20"/>
              </w:rPr>
              <w:t xml:space="preserve">0,9</w:t>
            </w:r>
          </w:p>
        </w:tc>
        <w:tc>
          <w:tcPr>
            <w:tcW w:w="859" w:type="dxa"/>
          </w:tcPr>
          <w:p>
            <w:pPr>
              <w:pStyle w:val="0"/>
            </w:pPr>
            <w:r>
              <w:rPr>
                <w:sz w:val="20"/>
              </w:rPr>
              <w:t xml:space="preserve">1,9</w:t>
            </w:r>
          </w:p>
        </w:tc>
        <w:tc>
          <w:tcPr>
            <w:tcW w:w="1084" w:type="dxa"/>
          </w:tcPr>
          <w:p>
            <w:pPr>
              <w:pStyle w:val="0"/>
            </w:pPr>
            <w:r>
              <w:rPr>
                <w:sz w:val="20"/>
              </w:rPr>
              <w:t xml:space="preserve">2,3</w:t>
            </w:r>
          </w:p>
        </w:tc>
        <w:tc>
          <w:tcPr>
            <w:tcW w:w="859" w:type="dxa"/>
          </w:tcPr>
          <w:p>
            <w:pPr>
              <w:pStyle w:val="0"/>
            </w:pPr>
            <w:r>
              <w:rPr>
                <w:sz w:val="20"/>
              </w:rPr>
              <w:t xml:space="preserve">1,9</w:t>
            </w:r>
          </w:p>
        </w:tc>
        <w:tc>
          <w:tcPr>
            <w:tcW w:w="1084" w:type="dxa"/>
          </w:tcPr>
          <w:p>
            <w:pPr>
              <w:pStyle w:val="0"/>
            </w:pPr>
            <w:r>
              <w:rPr>
                <w:sz w:val="20"/>
              </w:rPr>
              <w:t xml:space="preserve">1,7</w:t>
            </w:r>
          </w:p>
        </w:tc>
        <w:tc>
          <w:tcPr>
            <w:tcW w:w="859" w:type="dxa"/>
          </w:tcPr>
          <w:p>
            <w:pPr>
              <w:pStyle w:val="0"/>
            </w:pPr>
            <w:r>
              <w:rPr>
                <w:sz w:val="20"/>
              </w:rPr>
              <w:t xml:space="preserve">1,8</w:t>
            </w:r>
          </w:p>
        </w:tc>
        <w:tc>
          <w:tcPr>
            <w:tcW w:w="1084" w:type="dxa"/>
          </w:tcPr>
          <w:p>
            <w:pPr>
              <w:pStyle w:val="0"/>
            </w:pPr>
            <w:r>
              <w:rPr>
                <w:sz w:val="20"/>
              </w:rPr>
              <w:t xml:space="preserve">1,5</w:t>
            </w:r>
          </w:p>
        </w:tc>
      </w:tr>
      <w:tr>
        <w:tc>
          <w:tcPr>
            <w:tcW w:w="2089" w:type="dxa"/>
            <w:vMerge w:val="restart"/>
          </w:tcPr>
          <w:p>
            <w:pPr>
              <w:pStyle w:val="0"/>
            </w:pPr>
            <w:r>
              <w:rPr>
                <w:sz w:val="20"/>
              </w:rPr>
              <w:t xml:space="preserve">почки (С64)</w:t>
            </w:r>
          </w:p>
        </w:tc>
        <w:tc>
          <w:tcPr>
            <w:tcW w:w="850" w:type="dxa"/>
          </w:tcPr>
          <w:p>
            <w:pPr>
              <w:pStyle w:val="0"/>
            </w:pPr>
            <w:r>
              <w:rPr>
                <w:sz w:val="20"/>
              </w:rPr>
              <w:t xml:space="preserve">оба пола</w:t>
            </w:r>
          </w:p>
        </w:tc>
        <w:tc>
          <w:tcPr>
            <w:tcW w:w="859" w:type="dxa"/>
          </w:tcPr>
          <w:p>
            <w:pPr>
              <w:pStyle w:val="0"/>
            </w:pPr>
            <w:r>
              <w:rPr>
                <w:sz w:val="20"/>
              </w:rPr>
              <w:t xml:space="preserve">12,4</w:t>
            </w:r>
          </w:p>
        </w:tc>
        <w:tc>
          <w:tcPr>
            <w:tcW w:w="1084" w:type="dxa"/>
          </w:tcPr>
          <w:p>
            <w:pPr>
              <w:pStyle w:val="0"/>
            </w:pPr>
            <w:r>
              <w:rPr>
                <w:sz w:val="20"/>
              </w:rPr>
              <w:t xml:space="preserve">15,2</w:t>
            </w:r>
          </w:p>
        </w:tc>
        <w:tc>
          <w:tcPr>
            <w:tcW w:w="859" w:type="dxa"/>
          </w:tcPr>
          <w:p>
            <w:pPr>
              <w:pStyle w:val="0"/>
            </w:pPr>
            <w:r>
              <w:rPr>
                <w:sz w:val="20"/>
              </w:rPr>
              <w:t xml:space="preserve">13,1</w:t>
            </w:r>
          </w:p>
        </w:tc>
        <w:tc>
          <w:tcPr>
            <w:tcW w:w="1084" w:type="dxa"/>
          </w:tcPr>
          <w:p>
            <w:pPr>
              <w:pStyle w:val="0"/>
            </w:pPr>
            <w:r>
              <w:rPr>
                <w:sz w:val="20"/>
              </w:rPr>
              <w:t xml:space="preserve">13,0</w:t>
            </w:r>
          </w:p>
        </w:tc>
        <w:tc>
          <w:tcPr>
            <w:tcW w:w="859" w:type="dxa"/>
          </w:tcPr>
          <w:p>
            <w:pPr>
              <w:pStyle w:val="0"/>
            </w:pPr>
            <w:r>
              <w:rPr>
                <w:sz w:val="20"/>
              </w:rPr>
              <w:t xml:space="preserve">13,3</w:t>
            </w:r>
          </w:p>
        </w:tc>
        <w:tc>
          <w:tcPr>
            <w:tcW w:w="1084" w:type="dxa"/>
          </w:tcPr>
          <w:p>
            <w:pPr>
              <w:pStyle w:val="0"/>
            </w:pPr>
            <w:r>
              <w:rPr>
                <w:sz w:val="20"/>
              </w:rPr>
              <w:t xml:space="preserve">13,2</w:t>
            </w:r>
          </w:p>
        </w:tc>
        <w:tc>
          <w:tcPr>
            <w:tcW w:w="859" w:type="dxa"/>
          </w:tcPr>
          <w:p>
            <w:pPr>
              <w:pStyle w:val="0"/>
            </w:pPr>
            <w:r>
              <w:rPr>
                <w:sz w:val="20"/>
              </w:rPr>
              <w:t xml:space="preserve">12,4</w:t>
            </w:r>
          </w:p>
        </w:tc>
        <w:tc>
          <w:tcPr>
            <w:tcW w:w="1084" w:type="dxa"/>
          </w:tcPr>
          <w:p>
            <w:pPr>
              <w:pStyle w:val="0"/>
            </w:pPr>
            <w:r>
              <w:rPr>
                <w:sz w:val="20"/>
              </w:rPr>
              <w:t xml:space="preserve">13,3</w:t>
            </w:r>
          </w:p>
        </w:tc>
        <w:tc>
          <w:tcPr>
            <w:tcW w:w="859" w:type="dxa"/>
          </w:tcPr>
          <w:p>
            <w:pPr>
              <w:pStyle w:val="0"/>
            </w:pPr>
            <w:r>
              <w:rPr>
                <w:sz w:val="20"/>
              </w:rPr>
              <w:t xml:space="preserve">13,9</w:t>
            </w:r>
          </w:p>
        </w:tc>
        <w:tc>
          <w:tcPr>
            <w:tcW w:w="1084" w:type="dxa"/>
          </w:tcPr>
          <w:p>
            <w:pPr>
              <w:pStyle w:val="0"/>
            </w:pPr>
            <w:r>
              <w:rPr>
                <w:sz w:val="20"/>
              </w:rPr>
              <w:t xml:space="preserve">15,4</w:t>
            </w:r>
          </w:p>
        </w:tc>
        <w:tc>
          <w:tcPr>
            <w:tcW w:w="859" w:type="dxa"/>
          </w:tcPr>
          <w:p>
            <w:pPr>
              <w:pStyle w:val="0"/>
            </w:pPr>
            <w:r>
              <w:rPr>
                <w:sz w:val="20"/>
              </w:rPr>
              <w:t xml:space="preserve">19,2</w:t>
            </w:r>
          </w:p>
        </w:tc>
        <w:tc>
          <w:tcPr>
            <w:tcW w:w="1084" w:type="dxa"/>
          </w:tcPr>
          <w:p>
            <w:pPr>
              <w:pStyle w:val="0"/>
            </w:pPr>
            <w:r>
              <w:rPr>
                <w:sz w:val="20"/>
              </w:rPr>
              <w:t xml:space="preserve">15,8</w:t>
            </w:r>
          </w:p>
        </w:tc>
        <w:tc>
          <w:tcPr>
            <w:tcW w:w="859" w:type="dxa"/>
          </w:tcPr>
          <w:p>
            <w:pPr>
              <w:pStyle w:val="0"/>
            </w:pPr>
            <w:r>
              <w:rPr>
                <w:sz w:val="20"/>
              </w:rPr>
              <w:t xml:space="preserve">14,3</w:t>
            </w:r>
          </w:p>
        </w:tc>
        <w:tc>
          <w:tcPr>
            <w:tcW w:w="1084" w:type="dxa"/>
          </w:tcPr>
          <w:p>
            <w:pPr>
              <w:pStyle w:val="0"/>
            </w:pPr>
            <w:r>
              <w:rPr>
                <w:sz w:val="20"/>
              </w:rPr>
              <w:t xml:space="preserve">12,6</w:t>
            </w:r>
          </w:p>
        </w:tc>
        <w:tc>
          <w:tcPr>
            <w:tcW w:w="859" w:type="dxa"/>
          </w:tcPr>
          <w:p>
            <w:pPr>
              <w:pStyle w:val="0"/>
            </w:pPr>
            <w:r>
              <w:rPr>
                <w:sz w:val="20"/>
              </w:rPr>
              <w:t xml:space="preserve">14,3</w:t>
            </w:r>
          </w:p>
        </w:tc>
        <w:tc>
          <w:tcPr>
            <w:tcW w:w="1084" w:type="dxa"/>
          </w:tcPr>
          <w:p>
            <w:pPr>
              <w:pStyle w:val="0"/>
            </w:pPr>
            <w:r>
              <w:rPr>
                <w:sz w:val="20"/>
              </w:rPr>
              <w:t xml:space="preserve">13,5</w:t>
            </w:r>
          </w:p>
        </w:tc>
        <w:tc>
          <w:tcPr>
            <w:tcW w:w="859" w:type="dxa"/>
          </w:tcPr>
          <w:p>
            <w:pPr>
              <w:pStyle w:val="0"/>
            </w:pPr>
            <w:r>
              <w:rPr>
                <w:sz w:val="20"/>
              </w:rPr>
              <w:t xml:space="preserve">15,1</w:t>
            </w:r>
          </w:p>
        </w:tc>
        <w:tc>
          <w:tcPr>
            <w:tcW w:w="1084" w:type="dxa"/>
          </w:tcPr>
          <w:p>
            <w:pPr>
              <w:pStyle w:val="0"/>
            </w:pPr>
            <w:r>
              <w:rPr>
                <w:sz w:val="20"/>
              </w:rPr>
              <w:t xml:space="preserve">11,9</w:t>
            </w:r>
          </w:p>
        </w:tc>
        <w:tc>
          <w:tcPr>
            <w:tcW w:w="859" w:type="dxa"/>
          </w:tcPr>
          <w:p>
            <w:pPr>
              <w:pStyle w:val="0"/>
            </w:pPr>
            <w:r>
              <w:rPr>
                <w:sz w:val="20"/>
              </w:rPr>
              <w:t xml:space="preserve">14,8</w:t>
            </w:r>
          </w:p>
        </w:tc>
        <w:tc>
          <w:tcPr>
            <w:tcW w:w="1084" w:type="dxa"/>
          </w:tcPr>
          <w:p>
            <w:pPr>
              <w:pStyle w:val="0"/>
            </w:pPr>
            <w:r>
              <w:rPr>
                <w:sz w:val="20"/>
              </w:rPr>
              <w:t xml:space="preserve">11,6</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14,5</w:t>
            </w:r>
          </w:p>
        </w:tc>
        <w:tc>
          <w:tcPr>
            <w:tcW w:w="1084" w:type="dxa"/>
          </w:tcPr>
          <w:p>
            <w:pPr>
              <w:pStyle w:val="0"/>
            </w:pPr>
            <w:r>
              <w:rPr>
                <w:sz w:val="20"/>
              </w:rPr>
              <w:t xml:space="preserve">22,3</w:t>
            </w:r>
          </w:p>
        </w:tc>
        <w:tc>
          <w:tcPr>
            <w:tcW w:w="859" w:type="dxa"/>
          </w:tcPr>
          <w:p>
            <w:pPr>
              <w:pStyle w:val="0"/>
            </w:pPr>
            <w:r>
              <w:rPr>
                <w:sz w:val="20"/>
              </w:rPr>
              <w:t xml:space="preserve">17,4</w:t>
            </w:r>
          </w:p>
        </w:tc>
        <w:tc>
          <w:tcPr>
            <w:tcW w:w="1084" w:type="dxa"/>
          </w:tcPr>
          <w:p>
            <w:pPr>
              <w:pStyle w:val="0"/>
            </w:pPr>
            <w:r>
              <w:rPr>
                <w:sz w:val="20"/>
              </w:rPr>
              <w:t xml:space="preserve">19,0</w:t>
            </w:r>
          </w:p>
        </w:tc>
        <w:tc>
          <w:tcPr>
            <w:tcW w:w="859" w:type="dxa"/>
          </w:tcPr>
          <w:p>
            <w:pPr>
              <w:pStyle w:val="0"/>
            </w:pPr>
            <w:r>
              <w:rPr>
                <w:sz w:val="20"/>
              </w:rPr>
              <w:t xml:space="preserve">16,6</w:t>
            </w:r>
          </w:p>
        </w:tc>
        <w:tc>
          <w:tcPr>
            <w:tcW w:w="1084" w:type="dxa"/>
          </w:tcPr>
          <w:p>
            <w:pPr>
              <w:pStyle w:val="0"/>
            </w:pPr>
            <w:r>
              <w:rPr>
                <w:sz w:val="20"/>
              </w:rPr>
              <w:t xml:space="preserve">20,6</w:t>
            </w:r>
          </w:p>
        </w:tc>
        <w:tc>
          <w:tcPr>
            <w:tcW w:w="859" w:type="dxa"/>
          </w:tcPr>
          <w:p>
            <w:pPr>
              <w:pStyle w:val="0"/>
            </w:pPr>
            <w:r>
              <w:rPr>
                <w:sz w:val="20"/>
              </w:rPr>
              <w:t xml:space="preserve">13,9</w:t>
            </w:r>
          </w:p>
        </w:tc>
        <w:tc>
          <w:tcPr>
            <w:tcW w:w="1084" w:type="dxa"/>
          </w:tcPr>
          <w:p>
            <w:pPr>
              <w:pStyle w:val="0"/>
            </w:pPr>
            <w:r>
              <w:rPr>
                <w:sz w:val="20"/>
              </w:rPr>
              <w:t xml:space="preserve">14,9</w:t>
            </w:r>
          </w:p>
        </w:tc>
        <w:tc>
          <w:tcPr>
            <w:tcW w:w="859" w:type="dxa"/>
          </w:tcPr>
          <w:p>
            <w:pPr>
              <w:pStyle w:val="0"/>
            </w:pPr>
            <w:r>
              <w:rPr>
                <w:sz w:val="20"/>
              </w:rPr>
              <w:t xml:space="preserve">17,4</w:t>
            </w:r>
          </w:p>
        </w:tc>
        <w:tc>
          <w:tcPr>
            <w:tcW w:w="1084" w:type="dxa"/>
          </w:tcPr>
          <w:p>
            <w:pPr>
              <w:pStyle w:val="0"/>
            </w:pPr>
            <w:r>
              <w:rPr>
                <w:sz w:val="20"/>
              </w:rPr>
              <w:t xml:space="preserve">23,0</w:t>
            </w:r>
          </w:p>
        </w:tc>
        <w:tc>
          <w:tcPr>
            <w:tcW w:w="859" w:type="dxa"/>
          </w:tcPr>
          <w:p>
            <w:pPr>
              <w:pStyle w:val="0"/>
            </w:pPr>
            <w:r>
              <w:rPr>
                <w:sz w:val="20"/>
              </w:rPr>
              <w:t xml:space="preserve">22,2</w:t>
            </w:r>
          </w:p>
        </w:tc>
        <w:tc>
          <w:tcPr>
            <w:tcW w:w="1084" w:type="dxa"/>
          </w:tcPr>
          <w:p>
            <w:pPr>
              <w:pStyle w:val="0"/>
            </w:pPr>
            <w:r>
              <w:rPr>
                <w:sz w:val="20"/>
              </w:rPr>
              <w:t xml:space="preserve">18,9</w:t>
            </w:r>
          </w:p>
        </w:tc>
        <w:tc>
          <w:tcPr>
            <w:tcW w:w="859" w:type="dxa"/>
          </w:tcPr>
          <w:p>
            <w:pPr>
              <w:pStyle w:val="0"/>
            </w:pPr>
            <w:r>
              <w:rPr>
                <w:sz w:val="20"/>
              </w:rPr>
              <w:t xml:space="preserve">17,3</w:t>
            </w:r>
          </w:p>
        </w:tc>
        <w:tc>
          <w:tcPr>
            <w:tcW w:w="1084" w:type="dxa"/>
          </w:tcPr>
          <w:p>
            <w:pPr>
              <w:pStyle w:val="0"/>
            </w:pPr>
            <w:r>
              <w:rPr>
                <w:sz w:val="20"/>
              </w:rPr>
              <w:t xml:space="preserve">18,0</w:t>
            </w:r>
          </w:p>
        </w:tc>
        <w:tc>
          <w:tcPr>
            <w:tcW w:w="859" w:type="dxa"/>
          </w:tcPr>
          <w:p>
            <w:pPr>
              <w:pStyle w:val="0"/>
            </w:pPr>
            <w:r>
              <w:rPr>
                <w:sz w:val="20"/>
              </w:rPr>
              <w:t xml:space="preserve">17,3</w:t>
            </w:r>
          </w:p>
        </w:tc>
        <w:tc>
          <w:tcPr>
            <w:tcW w:w="1084" w:type="dxa"/>
          </w:tcPr>
          <w:p>
            <w:pPr>
              <w:pStyle w:val="0"/>
            </w:pPr>
            <w:r>
              <w:rPr>
                <w:sz w:val="20"/>
              </w:rPr>
              <w:t xml:space="preserve">22,1</w:t>
            </w:r>
          </w:p>
        </w:tc>
        <w:tc>
          <w:tcPr>
            <w:tcW w:w="859" w:type="dxa"/>
          </w:tcPr>
          <w:p>
            <w:pPr>
              <w:pStyle w:val="0"/>
            </w:pPr>
            <w:r>
              <w:rPr>
                <w:sz w:val="20"/>
              </w:rPr>
              <w:t xml:space="preserve">19,1</w:t>
            </w:r>
          </w:p>
        </w:tc>
        <w:tc>
          <w:tcPr>
            <w:tcW w:w="1084" w:type="dxa"/>
          </w:tcPr>
          <w:p>
            <w:pPr>
              <w:pStyle w:val="0"/>
            </w:pPr>
            <w:r>
              <w:rPr>
                <w:sz w:val="20"/>
              </w:rPr>
              <w:t xml:space="preserve">17,2</w:t>
            </w:r>
          </w:p>
        </w:tc>
        <w:tc>
          <w:tcPr>
            <w:tcW w:w="859" w:type="dxa"/>
          </w:tcPr>
          <w:p>
            <w:pPr>
              <w:pStyle w:val="0"/>
            </w:pPr>
            <w:r>
              <w:rPr>
                <w:sz w:val="20"/>
              </w:rPr>
              <w:t xml:space="preserve">15,7</w:t>
            </w:r>
          </w:p>
        </w:tc>
        <w:tc>
          <w:tcPr>
            <w:tcW w:w="1084" w:type="dxa"/>
          </w:tcPr>
          <w:p>
            <w:pPr>
              <w:pStyle w:val="0"/>
            </w:pPr>
            <w:r>
              <w:rPr>
                <w:sz w:val="20"/>
              </w:rPr>
              <w:t xml:space="preserve">14,4</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10,4</w:t>
            </w:r>
          </w:p>
        </w:tc>
        <w:tc>
          <w:tcPr>
            <w:tcW w:w="1084" w:type="dxa"/>
          </w:tcPr>
          <w:p>
            <w:pPr>
              <w:pStyle w:val="0"/>
            </w:pPr>
            <w:r>
              <w:rPr>
                <w:sz w:val="20"/>
              </w:rPr>
              <w:t xml:space="preserve">10,5</w:t>
            </w:r>
          </w:p>
        </w:tc>
        <w:tc>
          <w:tcPr>
            <w:tcW w:w="859" w:type="dxa"/>
          </w:tcPr>
          <w:p>
            <w:pPr>
              <w:pStyle w:val="0"/>
            </w:pPr>
            <w:r>
              <w:rPr>
                <w:sz w:val="20"/>
              </w:rPr>
              <w:t xml:space="preserve">9,1</w:t>
            </w:r>
          </w:p>
        </w:tc>
        <w:tc>
          <w:tcPr>
            <w:tcW w:w="1084" w:type="dxa"/>
          </w:tcPr>
          <w:p>
            <w:pPr>
              <w:pStyle w:val="0"/>
            </w:pPr>
            <w:r>
              <w:rPr>
                <w:sz w:val="20"/>
              </w:rPr>
              <w:t xml:space="preserve">8,7</w:t>
            </w:r>
          </w:p>
        </w:tc>
        <w:tc>
          <w:tcPr>
            <w:tcW w:w="859" w:type="dxa"/>
          </w:tcPr>
          <w:p>
            <w:pPr>
              <w:pStyle w:val="0"/>
            </w:pPr>
            <w:r>
              <w:rPr>
                <w:sz w:val="20"/>
              </w:rPr>
              <w:t xml:space="preserve">10,2</w:t>
            </w:r>
          </w:p>
        </w:tc>
        <w:tc>
          <w:tcPr>
            <w:tcW w:w="1084" w:type="dxa"/>
          </w:tcPr>
          <w:p>
            <w:pPr>
              <w:pStyle w:val="0"/>
            </w:pPr>
            <w:r>
              <w:rPr>
                <w:sz w:val="20"/>
              </w:rPr>
              <w:t xml:space="preserve">8,6</w:t>
            </w:r>
          </w:p>
        </w:tc>
        <w:tc>
          <w:tcPr>
            <w:tcW w:w="859" w:type="dxa"/>
          </w:tcPr>
          <w:p>
            <w:pPr>
              <w:pStyle w:val="0"/>
            </w:pPr>
            <w:r>
              <w:rPr>
                <w:sz w:val="20"/>
              </w:rPr>
              <w:t xml:space="preserve">10,9</w:t>
            </w:r>
          </w:p>
        </w:tc>
        <w:tc>
          <w:tcPr>
            <w:tcW w:w="1084" w:type="dxa"/>
          </w:tcPr>
          <w:p>
            <w:pPr>
              <w:pStyle w:val="0"/>
            </w:pPr>
            <w:r>
              <w:rPr>
                <w:sz w:val="20"/>
              </w:rPr>
              <w:t xml:space="preserve">11,6</w:t>
            </w:r>
          </w:p>
        </w:tc>
        <w:tc>
          <w:tcPr>
            <w:tcW w:w="859" w:type="dxa"/>
          </w:tcPr>
          <w:p>
            <w:pPr>
              <w:pStyle w:val="0"/>
            </w:pPr>
            <w:r>
              <w:rPr>
                <w:sz w:val="20"/>
              </w:rPr>
              <w:t xml:space="preserve">10,5</w:t>
            </w:r>
          </w:p>
        </w:tc>
        <w:tc>
          <w:tcPr>
            <w:tcW w:w="1084" w:type="dxa"/>
          </w:tcPr>
          <w:p>
            <w:pPr>
              <w:pStyle w:val="0"/>
            </w:pPr>
            <w:r>
              <w:rPr>
                <w:sz w:val="20"/>
              </w:rPr>
              <w:t xml:space="preserve">11,6</w:t>
            </w:r>
          </w:p>
        </w:tc>
        <w:tc>
          <w:tcPr>
            <w:tcW w:w="859" w:type="dxa"/>
          </w:tcPr>
          <w:p>
            <w:pPr>
              <w:pStyle w:val="0"/>
            </w:pPr>
            <w:r>
              <w:rPr>
                <w:sz w:val="20"/>
              </w:rPr>
              <w:t xml:space="preserve">16,4</w:t>
            </w:r>
          </w:p>
        </w:tc>
        <w:tc>
          <w:tcPr>
            <w:tcW w:w="1084" w:type="dxa"/>
          </w:tcPr>
          <w:p>
            <w:pPr>
              <w:pStyle w:val="0"/>
            </w:pPr>
            <w:r>
              <w:rPr>
                <w:sz w:val="20"/>
              </w:rPr>
              <w:t xml:space="preserve">12,8</w:t>
            </w:r>
          </w:p>
        </w:tc>
        <w:tc>
          <w:tcPr>
            <w:tcW w:w="859" w:type="dxa"/>
          </w:tcPr>
          <w:p>
            <w:pPr>
              <w:pStyle w:val="0"/>
            </w:pPr>
            <w:r>
              <w:rPr>
                <w:sz w:val="20"/>
              </w:rPr>
              <w:t xml:space="preserve">11,5</w:t>
            </w:r>
          </w:p>
        </w:tc>
        <w:tc>
          <w:tcPr>
            <w:tcW w:w="1084" w:type="dxa"/>
          </w:tcPr>
          <w:p>
            <w:pPr>
              <w:pStyle w:val="0"/>
            </w:pPr>
            <w:r>
              <w:rPr>
                <w:sz w:val="20"/>
              </w:rPr>
              <w:t xml:space="preserve">9,2</w:t>
            </w:r>
          </w:p>
        </w:tc>
        <w:tc>
          <w:tcPr>
            <w:tcW w:w="859" w:type="dxa"/>
          </w:tcPr>
          <w:p>
            <w:pPr>
              <w:pStyle w:val="0"/>
            </w:pPr>
            <w:r>
              <w:rPr>
                <w:sz w:val="20"/>
              </w:rPr>
              <w:t xml:space="preserve">11,5</w:t>
            </w:r>
          </w:p>
        </w:tc>
        <w:tc>
          <w:tcPr>
            <w:tcW w:w="1084" w:type="dxa"/>
          </w:tcPr>
          <w:p>
            <w:pPr>
              <w:pStyle w:val="0"/>
            </w:pPr>
            <w:r>
              <w:rPr>
                <w:sz w:val="20"/>
              </w:rPr>
              <w:t xml:space="preserve">9,1</w:t>
            </w:r>
          </w:p>
        </w:tc>
        <w:tc>
          <w:tcPr>
            <w:tcW w:w="859" w:type="dxa"/>
          </w:tcPr>
          <w:p>
            <w:pPr>
              <w:pStyle w:val="0"/>
            </w:pPr>
            <w:r>
              <w:rPr>
                <w:sz w:val="20"/>
              </w:rPr>
              <w:t xml:space="preserve">11,2</w:t>
            </w:r>
          </w:p>
        </w:tc>
        <w:tc>
          <w:tcPr>
            <w:tcW w:w="1084" w:type="dxa"/>
          </w:tcPr>
          <w:p>
            <w:pPr>
              <w:pStyle w:val="0"/>
            </w:pPr>
            <w:r>
              <w:rPr>
                <w:sz w:val="20"/>
              </w:rPr>
              <w:t xml:space="preserve">8,0</w:t>
            </w:r>
          </w:p>
        </w:tc>
        <w:tc>
          <w:tcPr>
            <w:tcW w:w="859" w:type="dxa"/>
          </w:tcPr>
          <w:p>
            <w:pPr>
              <w:pStyle w:val="0"/>
            </w:pPr>
            <w:r>
              <w:rPr>
                <w:sz w:val="20"/>
              </w:rPr>
              <w:t xml:space="preserve">13,8</w:t>
            </w:r>
          </w:p>
        </w:tc>
        <w:tc>
          <w:tcPr>
            <w:tcW w:w="1084" w:type="dxa"/>
          </w:tcPr>
          <w:p>
            <w:pPr>
              <w:pStyle w:val="0"/>
            </w:pPr>
            <w:r>
              <w:rPr>
                <w:sz w:val="20"/>
              </w:rPr>
              <w:t xml:space="preserve">9,3</w:t>
            </w:r>
          </w:p>
        </w:tc>
      </w:tr>
      <w:tr>
        <w:tc>
          <w:tcPr>
            <w:tcW w:w="2089" w:type="dxa"/>
            <w:vMerge w:val="restart"/>
          </w:tcPr>
          <w:p>
            <w:pPr>
              <w:pStyle w:val="0"/>
            </w:pPr>
            <w:r>
              <w:rPr>
                <w:sz w:val="20"/>
              </w:rPr>
              <w:t xml:space="preserve">мочевого пузыря (С67)</w:t>
            </w:r>
          </w:p>
        </w:tc>
        <w:tc>
          <w:tcPr>
            <w:tcW w:w="850" w:type="dxa"/>
          </w:tcPr>
          <w:p>
            <w:pPr>
              <w:pStyle w:val="0"/>
            </w:pPr>
            <w:r>
              <w:rPr>
                <w:sz w:val="20"/>
              </w:rPr>
              <w:t xml:space="preserve">оба пола</w:t>
            </w:r>
          </w:p>
        </w:tc>
        <w:tc>
          <w:tcPr>
            <w:tcW w:w="859" w:type="dxa"/>
          </w:tcPr>
          <w:p>
            <w:pPr>
              <w:pStyle w:val="0"/>
            </w:pPr>
            <w:r>
              <w:rPr>
                <w:sz w:val="20"/>
              </w:rPr>
              <w:t xml:space="preserve">6,0</w:t>
            </w:r>
          </w:p>
        </w:tc>
        <w:tc>
          <w:tcPr>
            <w:tcW w:w="1084" w:type="dxa"/>
          </w:tcPr>
          <w:p>
            <w:pPr>
              <w:pStyle w:val="0"/>
            </w:pPr>
            <w:r>
              <w:rPr>
                <w:sz w:val="20"/>
              </w:rPr>
              <w:t xml:space="preserve">7,5</w:t>
            </w:r>
          </w:p>
        </w:tc>
        <w:tc>
          <w:tcPr>
            <w:tcW w:w="859" w:type="dxa"/>
          </w:tcPr>
          <w:p>
            <w:pPr>
              <w:pStyle w:val="0"/>
            </w:pPr>
            <w:r>
              <w:rPr>
                <w:sz w:val="20"/>
              </w:rPr>
              <w:t xml:space="preserve">5,9</w:t>
            </w:r>
          </w:p>
        </w:tc>
        <w:tc>
          <w:tcPr>
            <w:tcW w:w="1084" w:type="dxa"/>
          </w:tcPr>
          <w:p>
            <w:pPr>
              <w:pStyle w:val="0"/>
            </w:pPr>
            <w:r>
              <w:rPr>
                <w:sz w:val="20"/>
              </w:rPr>
              <w:t xml:space="preserve">6,4</w:t>
            </w:r>
          </w:p>
        </w:tc>
        <w:tc>
          <w:tcPr>
            <w:tcW w:w="859" w:type="dxa"/>
          </w:tcPr>
          <w:p>
            <w:pPr>
              <w:pStyle w:val="0"/>
            </w:pPr>
            <w:r>
              <w:rPr>
                <w:sz w:val="20"/>
              </w:rPr>
              <w:t xml:space="preserve">5,0</w:t>
            </w:r>
          </w:p>
        </w:tc>
        <w:tc>
          <w:tcPr>
            <w:tcW w:w="1084" w:type="dxa"/>
          </w:tcPr>
          <w:p>
            <w:pPr>
              <w:pStyle w:val="0"/>
            </w:pPr>
            <w:r>
              <w:rPr>
                <w:sz w:val="20"/>
              </w:rPr>
              <w:t xml:space="preserve">5,0</w:t>
            </w:r>
          </w:p>
        </w:tc>
        <w:tc>
          <w:tcPr>
            <w:tcW w:w="859" w:type="dxa"/>
          </w:tcPr>
          <w:p>
            <w:pPr>
              <w:pStyle w:val="0"/>
            </w:pPr>
            <w:r>
              <w:rPr>
                <w:sz w:val="20"/>
              </w:rPr>
              <w:t xml:space="preserve">7,0</w:t>
            </w:r>
          </w:p>
        </w:tc>
        <w:tc>
          <w:tcPr>
            <w:tcW w:w="1084" w:type="dxa"/>
          </w:tcPr>
          <w:p>
            <w:pPr>
              <w:pStyle w:val="0"/>
            </w:pPr>
            <w:r>
              <w:rPr>
                <w:sz w:val="20"/>
              </w:rPr>
              <w:t xml:space="preserve">8,1</w:t>
            </w:r>
          </w:p>
        </w:tc>
        <w:tc>
          <w:tcPr>
            <w:tcW w:w="859" w:type="dxa"/>
          </w:tcPr>
          <w:p>
            <w:pPr>
              <w:pStyle w:val="0"/>
            </w:pPr>
            <w:r>
              <w:rPr>
                <w:sz w:val="20"/>
              </w:rPr>
              <w:t xml:space="preserve">6,2</w:t>
            </w:r>
          </w:p>
        </w:tc>
        <w:tc>
          <w:tcPr>
            <w:tcW w:w="1084" w:type="dxa"/>
          </w:tcPr>
          <w:p>
            <w:pPr>
              <w:pStyle w:val="0"/>
            </w:pPr>
            <w:r>
              <w:rPr>
                <w:sz w:val="20"/>
              </w:rPr>
              <w:t xml:space="preserve">8,5</w:t>
            </w:r>
          </w:p>
        </w:tc>
        <w:tc>
          <w:tcPr>
            <w:tcW w:w="859" w:type="dxa"/>
          </w:tcPr>
          <w:p>
            <w:pPr>
              <w:pStyle w:val="0"/>
            </w:pPr>
            <w:r>
              <w:rPr>
                <w:sz w:val="20"/>
              </w:rPr>
              <w:t xml:space="preserve">7,1</w:t>
            </w:r>
          </w:p>
        </w:tc>
        <w:tc>
          <w:tcPr>
            <w:tcW w:w="1084" w:type="dxa"/>
          </w:tcPr>
          <w:p>
            <w:pPr>
              <w:pStyle w:val="0"/>
            </w:pPr>
            <w:r>
              <w:rPr>
                <w:sz w:val="20"/>
              </w:rPr>
              <w:t xml:space="preserve">7,5</w:t>
            </w:r>
          </w:p>
        </w:tc>
        <w:tc>
          <w:tcPr>
            <w:tcW w:w="859" w:type="dxa"/>
          </w:tcPr>
          <w:p>
            <w:pPr>
              <w:pStyle w:val="0"/>
            </w:pPr>
            <w:r>
              <w:rPr>
                <w:sz w:val="20"/>
              </w:rPr>
              <w:t xml:space="preserve">6,7</w:t>
            </w:r>
          </w:p>
        </w:tc>
        <w:tc>
          <w:tcPr>
            <w:tcW w:w="1084" w:type="dxa"/>
          </w:tcPr>
          <w:p>
            <w:pPr>
              <w:pStyle w:val="0"/>
            </w:pPr>
            <w:r>
              <w:rPr>
                <w:sz w:val="20"/>
              </w:rPr>
              <w:t xml:space="preserve">7,1</w:t>
            </w:r>
          </w:p>
        </w:tc>
        <w:tc>
          <w:tcPr>
            <w:tcW w:w="859" w:type="dxa"/>
          </w:tcPr>
          <w:p>
            <w:pPr>
              <w:pStyle w:val="0"/>
            </w:pPr>
            <w:r>
              <w:rPr>
                <w:sz w:val="20"/>
              </w:rPr>
              <w:t xml:space="preserve">7,9</w:t>
            </w:r>
          </w:p>
        </w:tc>
        <w:tc>
          <w:tcPr>
            <w:tcW w:w="1084" w:type="dxa"/>
          </w:tcPr>
          <w:p>
            <w:pPr>
              <w:pStyle w:val="0"/>
            </w:pPr>
            <w:r>
              <w:rPr>
                <w:sz w:val="20"/>
              </w:rPr>
              <w:t xml:space="preserve">5,6</w:t>
            </w:r>
          </w:p>
        </w:tc>
        <w:tc>
          <w:tcPr>
            <w:tcW w:w="859" w:type="dxa"/>
          </w:tcPr>
          <w:p>
            <w:pPr>
              <w:pStyle w:val="0"/>
            </w:pPr>
            <w:r>
              <w:rPr>
                <w:sz w:val="20"/>
              </w:rPr>
              <w:t xml:space="preserve">6,0</w:t>
            </w:r>
          </w:p>
        </w:tc>
        <w:tc>
          <w:tcPr>
            <w:tcW w:w="1084" w:type="dxa"/>
          </w:tcPr>
          <w:p>
            <w:pPr>
              <w:pStyle w:val="0"/>
            </w:pPr>
            <w:r>
              <w:rPr>
                <w:sz w:val="20"/>
              </w:rPr>
              <w:t xml:space="preserve">5,0</w:t>
            </w:r>
          </w:p>
        </w:tc>
        <w:tc>
          <w:tcPr>
            <w:tcW w:w="859" w:type="dxa"/>
          </w:tcPr>
          <w:p>
            <w:pPr>
              <w:pStyle w:val="0"/>
            </w:pPr>
            <w:r>
              <w:rPr>
                <w:sz w:val="20"/>
              </w:rPr>
              <w:t xml:space="preserve">5,8</w:t>
            </w:r>
          </w:p>
        </w:tc>
        <w:tc>
          <w:tcPr>
            <w:tcW w:w="1084" w:type="dxa"/>
          </w:tcPr>
          <w:p>
            <w:pPr>
              <w:pStyle w:val="0"/>
            </w:pPr>
            <w:r>
              <w:rPr>
                <w:sz w:val="20"/>
              </w:rPr>
              <w:t xml:space="preserve">4,5</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9,7</w:t>
            </w:r>
          </w:p>
        </w:tc>
        <w:tc>
          <w:tcPr>
            <w:tcW w:w="1084" w:type="dxa"/>
          </w:tcPr>
          <w:p>
            <w:pPr>
              <w:pStyle w:val="0"/>
            </w:pPr>
            <w:r>
              <w:rPr>
                <w:sz w:val="20"/>
              </w:rPr>
              <w:t xml:space="preserve">17,3</w:t>
            </w:r>
          </w:p>
        </w:tc>
        <w:tc>
          <w:tcPr>
            <w:tcW w:w="859" w:type="dxa"/>
          </w:tcPr>
          <w:p>
            <w:pPr>
              <w:pStyle w:val="0"/>
            </w:pPr>
            <w:r>
              <w:rPr>
                <w:sz w:val="20"/>
              </w:rPr>
              <w:t xml:space="preserve">9,8</w:t>
            </w:r>
          </w:p>
        </w:tc>
        <w:tc>
          <w:tcPr>
            <w:tcW w:w="1084" w:type="dxa"/>
          </w:tcPr>
          <w:p>
            <w:pPr>
              <w:pStyle w:val="0"/>
            </w:pPr>
            <w:r>
              <w:rPr>
                <w:sz w:val="20"/>
              </w:rPr>
              <w:t xml:space="preserve">13,4</w:t>
            </w:r>
          </w:p>
        </w:tc>
        <w:tc>
          <w:tcPr>
            <w:tcW w:w="859" w:type="dxa"/>
          </w:tcPr>
          <w:p>
            <w:pPr>
              <w:pStyle w:val="0"/>
            </w:pPr>
            <w:r>
              <w:rPr>
                <w:sz w:val="20"/>
              </w:rPr>
              <w:t xml:space="preserve">8,8</w:t>
            </w:r>
          </w:p>
        </w:tc>
        <w:tc>
          <w:tcPr>
            <w:tcW w:w="1084" w:type="dxa"/>
          </w:tcPr>
          <w:p>
            <w:pPr>
              <w:pStyle w:val="0"/>
            </w:pPr>
            <w:r>
              <w:rPr>
                <w:sz w:val="20"/>
              </w:rPr>
              <w:t xml:space="preserve">10,3</w:t>
            </w:r>
          </w:p>
        </w:tc>
        <w:tc>
          <w:tcPr>
            <w:tcW w:w="859" w:type="dxa"/>
          </w:tcPr>
          <w:p>
            <w:pPr>
              <w:pStyle w:val="0"/>
            </w:pPr>
            <w:r>
              <w:rPr>
                <w:sz w:val="20"/>
              </w:rPr>
              <w:t xml:space="preserve">11,5</w:t>
            </w:r>
          </w:p>
        </w:tc>
        <w:tc>
          <w:tcPr>
            <w:tcW w:w="1084" w:type="dxa"/>
          </w:tcPr>
          <w:p>
            <w:pPr>
              <w:pStyle w:val="0"/>
            </w:pPr>
            <w:r>
              <w:rPr>
                <w:sz w:val="20"/>
              </w:rPr>
              <w:t xml:space="preserve">17,5</w:t>
            </w:r>
          </w:p>
        </w:tc>
        <w:tc>
          <w:tcPr>
            <w:tcW w:w="859" w:type="dxa"/>
          </w:tcPr>
          <w:p>
            <w:pPr>
              <w:pStyle w:val="0"/>
            </w:pPr>
            <w:r>
              <w:rPr>
                <w:sz w:val="20"/>
              </w:rPr>
              <w:t xml:space="preserve">10,2</w:t>
            </w:r>
          </w:p>
        </w:tc>
        <w:tc>
          <w:tcPr>
            <w:tcW w:w="1084" w:type="dxa"/>
          </w:tcPr>
          <w:p>
            <w:pPr>
              <w:pStyle w:val="0"/>
            </w:pPr>
            <w:r>
              <w:rPr>
                <w:sz w:val="20"/>
              </w:rPr>
              <w:t xml:space="preserve">22,8</w:t>
            </w:r>
          </w:p>
        </w:tc>
        <w:tc>
          <w:tcPr>
            <w:tcW w:w="859" w:type="dxa"/>
          </w:tcPr>
          <w:p>
            <w:pPr>
              <w:pStyle w:val="0"/>
            </w:pPr>
            <w:r>
              <w:rPr>
                <w:sz w:val="20"/>
              </w:rPr>
              <w:t xml:space="preserve">11,3</w:t>
            </w:r>
          </w:p>
        </w:tc>
        <w:tc>
          <w:tcPr>
            <w:tcW w:w="1084" w:type="dxa"/>
          </w:tcPr>
          <w:p>
            <w:pPr>
              <w:pStyle w:val="0"/>
            </w:pPr>
            <w:r>
              <w:rPr>
                <w:sz w:val="20"/>
              </w:rPr>
              <w:t xml:space="preserve">15,9</w:t>
            </w:r>
          </w:p>
        </w:tc>
        <w:tc>
          <w:tcPr>
            <w:tcW w:w="859" w:type="dxa"/>
          </w:tcPr>
          <w:p>
            <w:pPr>
              <w:pStyle w:val="0"/>
            </w:pPr>
            <w:r>
              <w:rPr>
                <w:sz w:val="20"/>
              </w:rPr>
              <w:t xml:space="preserve">11,9</w:t>
            </w:r>
          </w:p>
        </w:tc>
        <w:tc>
          <w:tcPr>
            <w:tcW w:w="1084" w:type="dxa"/>
          </w:tcPr>
          <w:p>
            <w:pPr>
              <w:pStyle w:val="0"/>
            </w:pPr>
            <w:r>
              <w:rPr>
                <w:sz w:val="20"/>
              </w:rPr>
              <w:t xml:space="preserve">16,1</w:t>
            </w:r>
          </w:p>
        </w:tc>
        <w:tc>
          <w:tcPr>
            <w:tcW w:w="859" w:type="dxa"/>
          </w:tcPr>
          <w:p>
            <w:pPr>
              <w:pStyle w:val="0"/>
            </w:pPr>
            <w:r>
              <w:rPr>
                <w:sz w:val="20"/>
              </w:rPr>
              <w:t xml:space="preserve">13,5</w:t>
            </w:r>
          </w:p>
        </w:tc>
        <w:tc>
          <w:tcPr>
            <w:tcW w:w="1084" w:type="dxa"/>
          </w:tcPr>
          <w:p>
            <w:pPr>
              <w:pStyle w:val="0"/>
            </w:pPr>
            <w:r>
              <w:rPr>
                <w:sz w:val="20"/>
              </w:rPr>
              <w:t xml:space="preserve">11,9</w:t>
            </w:r>
          </w:p>
        </w:tc>
        <w:tc>
          <w:tcPr>
            <w:tcW w:w="859" w:type="dxa"/>
          </w:tcPr>
          <w:p>
            <w:pPr>
              <w:pStyle w:val="0"/>
            </w:pPr>
            <w:r>
              <w:rPr>
                <w:sz w:val="20"/>
              </w:rPr>
              <w:t xml:space="preserve">10,3</w:t>
            </w:r>
          </w:p>
        </w:tc>
        <w:tc>
          <w:tcPr>
            <w:tcW w:w="1084" w:type="dxa"/>
          </w:tcPr>
          <w:p>
            <w:pPr>
              <w:pStyle w:val="0"/>
            </w:pPr>
            <w:r>
              <w:rPr>
                <w:sz w:val="20"/>
              </w:rPr>
              <w:t xml:space="preserve">9,6</w:t>
            </w:r>
          </w:p>
        </w:tc>
        <w:tc>
          <w:tcPr>
            <w:tcW w:w="859" w:type="dxa"/>
          </w:tcPr>
          <w:p>
            <w:pPr>
              <w:pStyle w:val="0"/>
            </w:pPr>
            <w:r>
              <w:rPr>
                <w:sz w:val="20"/>
              </w:rPr>
              <w:t xml:space="preserve">8,6</w:t>
            </w:r>
          </w:p>
        </w:tc>
        <w:tc>
          <w:tcPr>
            <w:tcW w:w="1084" w:type="dxa"/>
          </w:tcPr>
          <w:p>
            <w:pPr>
              <w:pStyle w:val="0"/>
            </w:pPr>
            <w:r>
              <w:rPr>
                <w:sz w:val="20"/>
              </w:rPr>
              <w:t xml:space="preserve">8,7</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2,4</w:t>
            </w:r>
          </w:p>
        </w:tc>
        <w:tc>
          <w:tcPr>
            <w:tcW w:w="1084" w:type="dxa"/>
          </w:tcPr>
          <w:p>
            <w:pPr>
              <w:pStyle w:val="0"/>
            </w:pPr>
            <w:r>
              <w:rPr>
                <w:sz w:val="20"/>
              </w:rPr>
              <w:t xml:space="preserve">2,3</w:t>
            </w:r>
          </w:p>
        </w:tc>
        <w:tc>
          <w:tcPr>
            <w:tcW w:w="859" w:type="dxa"/>
          </w:tcPr>
          <w:p>
            <w:pPr>
              <w:pStyle w:val="0"/>
            </w:pPr>
            <w:r>
              <w:rPr>
                <w:sz w:val="20"/>
              </w:rPr>
              <w:t xml:space="preserve">2,2</w:t>
            </w:r>
          </w:p>
        </w:tc>
        <w:tc>
          <w:tcPr>
            <w:tcW w:w="1084" w:type="dxa"/>
          </w:tcPr>
          <w:p>
            <w:pPr>
              <w:pStyle w:val="0"/>
            </w:pPr>
            <w:r>
              <w:rPr>
                <w:sz w:val="20"/>
              </w:rPr>
              <w:t xml:space="preserve">2,1</w:t>
            </w:r>
          </w:p>
        </w:tc>
        <w:tc>
          <w:tcPr>
            <w:tcW w:w="859" w:type="dxa"/>
          </w:tcPr>
          <w:p>
            <w:pPr>
              <w:pStyle w:val="0"/>
            </w:pPr>
            <w:r>
              <w:rPr>
                <w:sz w:val="20"/>
              </w:rPr>
              <w:t xml:space="preserve">1,3</w:t>
            </w:r>
          </w:p>
        </w:tc>
        <w:tc>
          <w:tcPr>
            <w:tcW w:w="1084" w:type="dxa"/>
          </w:tcPr>
          <w:p>
            <w:pPr>
              <w:pStyle w:val="0"/>
            </w:pPr>
            <w:r>
              <w:rPr>
                <w:sz w:val="20"/>
              </w:rPr>
              <w:t xml:space="preserve">1,2</w:t>
            </w:r>
          </w:p>
        </w:tc>
        <w:tc>
          <w:tcPr>
            <w:tcW w:w="859" w:type="dxa"/>
          </w:tcPr>
          <w:p>
            <w:pPr>
              <w:pStyle w:val="0"/>
            </w:pPr>
            <w:r>
              <w:rPr>
                <w:sz w:val="20"/>
              </w:rPr>
              <w:t xml:space="preserve">2,7</w:t>
            </w:r>
          </w:p>
        </w:tc>
        <w:tc>
          <w:tcPr>
            <w:tcW w:w="1084" w:type="dxa"/>
          </w:tcPr>
          <w:p>
            <w:pPr>
              <w:pStyle w:val="0"/>
            </w:pPr>
            <w:r>
              <w:rPr>
                <w:sz w:val="20"/>
              </w:rPr>
              <w:t xml:space="preserve">10,6</w:t>
            </w:r>
          </w:p>
        </w:tc>
        <w:tc>
          <w:tcPr>
            <w:tcW w:w="859" w:type="dxa"/>
          </w:tcPr>
          <w:p>
            <w:pPr>
              <w:pStyle w:val="0"/>
            </w:pPr>
            <w:r>
              <w:rPr>
                <w:sz w:val="20"/>
              </w:rPr>
              <w:t xml:space="preserve">2,3</w:t>
            </w:r>
          </w:p>
        </w:tc>
        <w:tc>
          <w:tcPr>
            <w:tcW w:w="1084" w:type="dxa"/>
          </w:tcPr>
          <w:p>
            <w:pPr>
              <w:pStyle w:val="0"/>
            </w:pPr>
            <w:r>
              <w:rPr>
                <w:sz w:val="20"/>
              </w:rPr>
              <w:t xml:space="preserve">2,6</w:t>
            </w:r>
          </w:p>
        </w:tc>
        <w:tc>
          <w:tcPr>
            <w:tcW w:w="859" w:type="dxa"/>
          </w:tcPr>
          <w:p>
            <w:pPr>
              <w:pStyle w:val="0"/>
            </w:pPr>
            <w:r>
              <w:rPr>
                <w:sz w:val="20"/>
              </w:rPr>
              <w:t xml:space="preserve">3,2</w:t>
            </w:r>
          </w:p>
        </w:tc>
        <w:tc>
          <w:tcPr>
            <w:tcW w:w="1084" w:type="dxa"/>
          </w:tcPr>
          <w:p>
            <w:pPr>
              <w:pStyle w:val="0"/>
            </w:pPr>
            <w:r>
              <w:rPr>
                <w:sz w:val="20"/>
              </w:rPr>
              <w:t xml:space="preserve">2,9</w:t>
            </w:r>
          </w:p>
        </w:tc>
        <w:tc>
          <w:tcPr>
            <w:tcW w:w="859" w:type="dxa"/>
          </w:tcPr>
          <w:p>
            <w:pPr>
              <w:pStyle w:val="0"/>
            </w:pPr>
            <w:r>
              <w:rPr>
                <w:sz w:val="20"/>
              </w:rPr>
              <w:t xml:space="preserve">1,8</w:t>
            </w:r>
          </w:p>
        </w:tc>
        <w:tc>
          <w:tcPr>
            <w:tcW w:w="1084" w:type="dxa"/>
          </w:tcPr>
          <w:p>
            <w:pPr>
              <w:pStyle w:val="0"/>
            </w:pPr>
            <w:r>
              <w:rPr>
                <w:sz w:val="20"/>
              </w:rPr>
              <w:t xml:space="preserve">1,9</w:t>
            </w:r>
          </w:p>
        </w:tc>
        <w:tc>
          <w:tcPr>
            <w:tcW w:w="859" w:type="dxa"/>
          </w:tcPr>
          <w:p>
            <w:pPr>
              <w:pStyle w:val="0"/>
            </w:pPr>
            <w:r>
              <w:rPr>
                <w:sz w:val="20"/>
              </w:rPr>
              <w:t xml:space="preserve">2,7</w:t>
            </w:r>
          </w:p>
        </w:tc>
        <w:tc>
          <w:tcPr>
            <w:tcW w:w="1084" w:type="dxa"/>
          </w:tcPr>
          <w:p>
            <w:pPr>
              <w:pStyle w:val="0"/>
            </w:pPr>
            <w:r>
              <w:rPr>
                <w:sz w:val="20"/>
              </w:rPr>
              <w:t xml:space="preserve">1,7</w:t>
            </w:r>
          </w:p>
        </w:tc>
        <w:tc>
          <w:tcPr>
            <w:tcW w:w="859" w:type="dxa"/>
          </w:tcPr>
          <w:p>
            <w:pPr>
              <w:pStyle w:val="0"/>
            </w:pPr>
            <w:r>
              <w:rPr>
                <w:sz w:val="20"/>
              </w:rPr>
              <w:t xml:space="preserve">1,9</w:t>
            </w:r>
          </w:p>
        </w:tc>
        <w:tc>
          <w:tcPr>
            <w:tcW w:w="1084" w:type="dxa"/>
          </w:tcPr>
          <w:p>
            <w:pPr>
              <w:pStyle w:val="0"/>
            </w:pPr>
            <w:r>
              <w:rPr>
                <w:sz w:val="20"/>
              </w:rPr>
              <w:t xml:space="preserve">1,2</w:t>
            </w:r>
          </w:p>
        </w:tc>
        <w:tc>
          <w:tcPr>
            <w:tcW w:w="859" w:type="dxa"/>
          </w:tcPr>
          <w:p>
            <w:pPr>
              <w:pStyle w:val="0"/>
            </w:pPr>
            <w:r>
              <w:rPr>
                <w:sz w:val="20"/>
              </w:rPr>
              <w:t xml:space="preserve">2,9</w:t>
            </w:r>
          </w:p>
        </w:tc>
        <w:tc>
          <w:tcPr>
            <w:tcW w:w="1084" w:type="dxa"/>
          </w:tcPr>
          <w:p>
            <w:pPr>
              <w:pStyle w:val="0"/>
            </w:pPr>
            <w:r>
              <w:rPr>
                <w:sz w:val="20"/>
              </w:rPr>
              <w:t xml:space="preserve">1,9</w:t>
            </w:r>
          </w:p>
        </w:tc>
      </w:tr>
      <w:tr>
        <w:tc>
          <w:tcPr>
            <w:tcW w:w="2089" w:type="dxa"/>
            <w:vMerge w:val="restart"/>
          </w:tcPr>
          <w:p>
            <w:pPr>
              <w:pStyle w:val="0"/>
            </w:pPr>
            <w:r>
              <w:rPr>
                <w:sz w:val="20"/>
              </w:rPr>
              <w:t xml:space="preserve">глаза и его придаточного аппарата (С69)</w:t>
            </w:r>
          </w:p>
        </w:tc>
        <w:tc>
          <w:tcPr>
            <w:tcW w:w="850" w:type="dxa"/>
          </w:tcPr>
          <w:p>
            <w:pPr>
              <w:pStyle w:val="0"/>
            </w:pPr>
            <w:r>
              <w:rPr>
                <w:sz w:val="20"/>
              </w:rPr>
              <w:t xml:space="preserve">оба пола</w:t>
            </w:r>
          </w:p>
        </w:tc>
        <w:tc>
          <w:tcPr>
            <w:tcW w:w="859" w:type="dxa"/>
          </w:tcPr>
          <w:p>
            <w:pPr>
              <w:pStyle w:val="0"/>
            </w:pPr>
            <w:r>
              <w:rPr>
                <w:sz w:val="20"/>
              </w:rPr>
              <w:t xml:space="preserve">0,4</w:t>
            </w:r>
          </w:p>
        </w:tc>
        <w:tc>
          <w:tcPr>
            <w:tcW w:w="1084" w:type="dxa"/>
          </w:tcPr>
          <w:p>
            <w:pPr>
              <w:pStyle w:val="0"/>
            </w:pPr>
            <w:r>
              <w:rPr>
                <w:sz w:val="20"/>
              </w:rPr>
              <w:t xml:space="preserve">0,7</w:t>
            </w:r>
          </w:p>
        </w:tc>
        <w:tc>
          <w:tcPr>
            <w:tcW w:w="859" w:type="dxa"/>
          </w:tcPr>
          <w:p>
            <w:pPr>
              <w:pStyle w:val="0"/>
            </w:pPr>
            <w:r>
              <w:rPr>
                <w:sz w:val="20"/>
              </w:rPr>
              <w:t xml:space="preserve">0,4</w:t>
            </w:r>
          </w:p>
        </w:tc>
        <w:tc>
          <w:tcPr>
            <w:tcW w:w="1084" w:type="dxa"/>
          </w:tcPr>
          <w:p>
            <w:pPr>
              <w:pStyle w:val="0"/>
            </w:pPr>
            <w:r>
              <w:rPr>
                <w:sz w:val="20"/>
              </w:rPr>
              <w:t xml:space="preserve">0,3</w:t>
            </w:r>
          </w:p>
        </w:tc>
        <w:tc>
          <w:tcPr>
            <w:tcW w:w="859" w:type="dxa"/>
          </w:tcPr>
          <w:p>
            <w:pPr>
              <w:pStyle w:val="0"/>
            </w:pPr>
            <w:r>
              <w:rPr>
                <w:sz w:val="20"/>
              </w:rPr>
              <w:t xml:space="preserve">0,2</w:t>
            </w:r>
          </w:p>
        </w:tc>
        <w:tc>
          <w:tcPr>
            <w:tcW w:w="1084" w:type="dxa"/>
          </w:tcPr>
          <w:p>
            <w:pPr>
              <w:pStyle w:val="0"/>
            </w:pPr>
            <w:r>
              <w:rPr>
                <w:sz w:val="20"/>
              </w:rPr>
              <w:t xml:space="preserve">0,5</w:t>
            </w:r>
          </w:p>
        </w:tc>
        <w:tc>
          <w:tcPr>
            <w:tcW w:w="859" w:type="dxa"/>
          </w:tcPr>
          <w:p>
            <w:pPr>
              <w:pStyle w:val="0"/>
            </w:pPr>
            <w:r>
              <w:rPr>
                <w:sz w:val="20"/>
              </w:rPr>
              <w:t xml:space="preserve">0,4</w:t>
            </w:r>
          </w:p>
        </w:tc>
        <w:tc>
          <w:tcPr>
            <w:tcW w:w="1084" w:type="dxa"/>
          </w:tcPr>
          <w:p>
            <w:pPr>
              <w:pStyle w:val="0"/>
            </w:pPr>
            <w:r>
              <w:rPr>
                <w:sz w:val="20"/>
              </w:rPr>
              <w:t xml:space="preserve">0,3</w:t>
            </w:r>
          </w:p>
        </w:tc>
        <w:tc>
          <w:tcPr>
            <w:tcW w:w="859" w:type="dxa"/>
          </w:tcPr>
          <w:p>
            <w:pPr>
              <w:pStyle w:val="0"/>
            </w:pPr>
            <w:r>
              <w:rPr>
                <w:sz w:val="20"/>
              </w:rPr>
              <w:t xml:space="preserve">0,3</w:t>
            </w:r>
          </w:p>
        </w:tc>
        <w:tc>
          <w:tcPr>
            <w:tcW w:w="1084" w:type="dxa"/>
          </w:tcPr>
          <w:p>
            <w:pPr>
              <w:pStyle w:val="0"/>
            </w:pPr>
            <w:r>
              <w:rPr>
                <w:sz w:val="20"/>
              </w:rPr>
              <w:t xml:space="preserve">0,5</w:t>
            </w:r>
          </w:p>
        </w:tc>
        <w:tc>
          <w:tcPr>
            <w:tcW w:w="859" w:type="dxa"/>
          </w:tcPr>
          <w:p>
            <w:pPr>
              <w:pStyle w:val="0"/>
            </w:pPr>
            <w:r>
              <w:rPr>
                <w:sz w:val="20"/>
              </w:rPr>
              <w:t xml:space="preserve">0,5</w:t>
            </w:r>
          </w:p>
        </w:tc>
        <w:tc>
          <w:tcPr>
            <w:tcW w:w="1084" w:type="dxa"/>
          </w:tcPr>
          <w:p>
            <w:pPr>
              <w:pStyle w:val="0"/>
            </w:pPr>
            <w:r>
              <w:rPr>
                <w:sz w:val="20"/>
              </w:rPr>
              <w:t xml:space="preserve">0,6</w:t>
            </w:r>
          </w:p>
        </w:tc>
        <w:tc>
          <w:tcPr>
            <w:tcW w:w="859" w:type="dxa"/>
          </w:tcPr>
          <w:p>
            <w:pPr>
              <w:pStyle w:val="0"/>
            </w:pPr>
            <w:r>
              <w:rPr>
                <w:sz w:val="20"/>
              </w:rPr>
              <w:t xml:space="preserve">0,8</w:t>
            </w:r>
          </w:p>
        </w:tc>
        <w:tc>
          <w:tcPr>
            <w:tcW w:w="1084" w:type="dxa"/>
          </w:tcPr>
          <w:p>
            <w:pPr>
              <w:pStyle w:val="0"/>
            </w:pPr>
            <w:r>
              <w:rPr>
                <w:sz w:val="20"/>
              </w:rPr>
              <w:t xml:space="preserve">1,3</w:t>
            </w:r>
          </w:p>
        </w:tc>
        <w:tc>
          <w:tcPr>
            <w:tcW w:w="859" w:type="dxa"/>
          </w:tcPr>
          <w:p>
            <w:pPr>
              <w:pStyle w:val="0"/>
            </w:pPr>
            <w:r>
              <w:rPr>
                <w:sz w:val="20"/>
              </w:rPr>
              <w:t xml:space="preserve">0,5</w:t>
            </w:r>
          </w:p>
        </w:tc>
        <w:tc>
          <w:tcPr>
            <w:tcW w:w="1084" w:type="dxa"/>
          </w:tcPr>
          <w:p>
            <w:pPr>
              <w:pStyle w:val="0"/>
            </w:pPr>
            <w:r>
              <w:rPr>
                <w:sz w:val="20"/>
              </w:rPr>
              <w:t xml:space="preserve">0,3</w:t>
            </w:r>
          </w:p>
        </w:tc>
        <w:tc>
          <w:tcPr>
            <w:tcW w:w="859" w:type="dxa"/>
          </w:tcPr>
          <w:p>
            <w:pPr>
              <w:pStyle w:val="0"/>
            </w:pPr>
            <w:r>
              <w:rPr>
                <w:sz w:val="20"/>
              </w:rPr>
              <w:t xml:space="preserve">0,5</w:t>
            </w:r>
          </w:p>
        </w:tc>
        <w:tc>
          <w:tcPr>
            <w:tcW w:w="1084" w:type="dxa"/>
          </w:tcPr>
          <w:p>
            <w:pPr>
              <w:pStyle w:val="0"/>
            </w:pPr>
            <w:r>
              <w:rPr>
                <w:sz w:val="20"/>
              </w:rPr>
              <w:t xml:space="preserve">0,4</w:t>
            </w:r>
          </w:p>
        </w:tc>
        <w:tc>
          <w:tcPr>
            <w:tcW w:w="859" w:type="dxa"/>
          </w:tcPr>
          <w:p>
            <w:pPr>
              <w:pStyle w:val="0"/>
            </w:pPr>
            <w:r>
              <w:rPr>
                <w:sz w:val="20"/>
              </w:rPr>
              <w:t xml:space="preserve">0,7</w:t>
            </w:r>
          </w:p>
        </w:tc>
        <w:tc>
          <w:tcPr>
            <w:tcW w:w="1084" w:type="dxa"/>
          </w:tcPr>
          <w:p>
            <w:pPr>
              <w:pStyle w:val="0"/>
            </w:pPr>
            <w:r>
              <w:rPr>
                <w:sz w:val="20"/>
              </w:rPr>
              <w:t xml:space="preserve">0,6</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0,3</w:t>
            </w:r>
          </w:p>
        </w:tc>
        <w:tc>
          <w:tcPr>
            <w:tcW w:w="1084" w:type="dxa"/>
          </w:tcPr>
          <w:p>
            <w:pPr>
              <w:pStyle w:val="0"/>
            </w:pPr>
            <w:r>
              <w:rPr>
                <w:sz w:val="20"/>
              </w:rPr>
              <w:t xml:space="preserve">0,4</w:t>
            </w:r>
          </w:p>
        </w:tc>
        <w:tc>
          <w:tcPr>
            <w:tcW w:w="859" w:type="dxa"/>
          </w:tcPr>
          <w:p>
            <w:pPr>
              <w:pStyle w:val="0"/>
            </w:pPr>
            <w:r>
              <w:rPr>
                <w:sz w:val="20"/>
              </w:rPr>
              <w:t xml:space="preserve">-</w:t>
            </w:r>
          </w:p>
        </w:tc>
        <w:tc>
          <w:tcPr>
            <w:tcW w:w="1084" w:type="dxa"/>
          </w:tcPr>
          <w:p>
            <w:pPr>
              <w:pStyle w:val="0"/>
            </w:pPr>
            <w:r>
              <w:rPr>
                <w:sz w:val="20"/>
              </w:rPr>
              <w:t xml:space="preserve">0,7</w:t>
            </w:r>
          </w:p>
        </w:tc>
        <w:tc>
          <w:tcPr>
            <w:tcW w:w="859" w:type="dxa"/>
          </w:tcPr>
          <w:p>
            <w:pPr>
              <w:pStyle w:val="0"/>
            </w:pPr>
            <w:r>
              <w:rPr>
                <w:sz w:val="20"/>
              </w:rPr>
              <w:t xml:space="preserve">0,3</w:t>
            </w:r>
          </w:p>
        </w:tc>
        <w:tc>
          <w:tcPr>
            <w:tcW w:w="1084" w:type="dxa"/>
          </w:tcPr>
          <w:p>
            <w:pPr>
              <w:pStyle w:val="0"/>
            </w:pPr>
            <w:r>
              <w:rPr>
                <w:sz w:val="20"/>
              </w:rPr>
              <w:t xml:space="preserve">1,0</w:t>
            </w:r>
          </w:p>
        </w:tc>
        <w:tc>
          <w:tcPr>
            <w:tcW w:w="859" w:type="dxa"/>
          </w:tcPr>
          <w:p>
            <w:pPr>
              <w:pStyle w:val="0"/>
            </w:pPr>
            <w:r>
              <w:rPr>
                <w:sz w:val="20"/>
              </w:rPr>
              <w:t xml:space="preserve">0,3</w:t>
            </w:r>
          </w:p>
        </w:tc>
        <w:tc>
          <w:tcPr>
            <w:tcW w:w="1084" w:type="dxa"/>
          </w:tcPr>
          <w:p>
            <w:pPr>
              <w:pStyle w:val="0"/>
            </w:pPr>
            <w:r>
              <w:rPr>
                <w:sz w:val="20"/>
              </w:rPr>
              <w:t xml:space="preserve">0,1</w:t>
            </w:r>
          </w:p>
        </w:tc>
        <w:tc>
          <w:tcPr>
            <w:tcW w:w="859" w:type="dxa"/>
          </w:tcPr>
          <w:p>
            <w:pPr>
              <w:pStyle w:val="0"/>
            </w:pPr>
            <w:r>
              <w:rPr>
                <w:sz w:val="20"/>
              </w:rPr>
              <w:t xml:space="preserve">0,3</w:t>
            </w:r>
          </w:p>
        </w:tc>
        <w:tc>
          <w:tcPr>
            <w:tcW w:w="1084" w:type="dxa"/>
          </w:tcPr>
          <w:p>
            <w:pPr>
              <w:pStyle w:val="0"/>
            </w:pPr>
            <w:r>
              <w:rPr>
                <w:sz w:val="20"/>
              </w:rPr>
              <w:t xml:space="preserve">0,5</w:t>
            </w:r>
          </w:p>
        </w:tc>
        <w:tc>
          <w:tcPr>
            <w:tcW w:w="859" w:type="dxa"/>
          </w:tcPr>
          <w:p>
            <w:pPr>
              <w:pStyle w:val="0"/>
            </w:pPr>
            <w:r>
              <w:rPr>
                <w:sz w:val="20"/>
              </w:rPr>
              <w:t xml:space="preserve">1,0</w:t>
            </w:r>
          </w:p>
        </w:tc>
        <w:tc>
          <w:tcPr>
            <w:tcW w:w="1084" w:type="dxa"/>
          </w:tcPr>
          <w:p>
            <w:pPr>
              <w:pStyle w:val="0"/>
            </w:pPr>
            <w:r>
              <w:rPr>
                <w:sz w:val="20"/>
              </w:rPr>
              <w:t xml:space="preserve">1,0</w:t>
            </w:r>
          </w:p>
        </w:tc>
        <w:tc>
          <w:tcPr>
            <w:tcW w:w="859" w:type="dxa"/>
          </w:tcPr>
          <w:p>
            <w:pPr>
              <w:pStyle w:val="0"/>
            </w:pPr>
            <w:r>
              <w:rPr>
                <w:sz w:val="20"/>
              </w:rPr>
              <w:t xml:space="preserve">0,7</w:t>
            </w:r>
          </w:p>
        </w:tc>
        <w:tc>
          <w:tcPr>
            <w:tcW w:w="1084" w:type="dxa"/>
          </w:tcPr>
          <w:p>
            <w:pPr>
              <w:pStyle w:val="0"/>
            </w:pPr>
            <w:r>
              <w:rPr>
                <w:sz w:val="20"/>
              </w:rPr>
              <w:t xml:space="preserve">0,8</w:t>
            </w:r>
          </w:p>
        </w:tc>
        <w:tc>
          <w:tcPr>
            <w:tcW w:w="859" w:type="dxa"/>
          </w:tcPr>
          <w:p>
            <w:pPr>
              <w:pStyle w:val="0"/>
            </w:pPr>
            <w:r>
              <w:rPr>
                <w:sz w:val="20"/>
              </w:rPr>
              <w:t xml:space="preserve">0,6</w:t>
            </w:r>
          </w:p>
        </w:tc>
        <w:tc>
          <w:tcPr>
            <w:tcW w:w="1084" w:type="dxa"/>
          </w:tcPr>
          <w:p>
            <w:pPr>
              <w:pStyle w:val="0"/>
            </w:pPr>
            <w:r>
              <w:rPr>
                <w:sz w:val="20"/>
              </w:rPr>
              <w:t xml:space="preserve">0,1</w:t>
            </w:r>
          </w:p>
        </w:tc>
        <w:tc>
          <w:tcPr>
            <w:tcW w:w="859" w:type="dxa"/>
          </w:tcPr>
          <w:p>
            <w:pPr>
              <w:pStyle w:val="0"/>
            </w:pPr>
            <w:r>
              <w:rPr>
                <w:sz w:val="20"/>
              </w:rPr>
              <w:t xml:space="preserve">0,4</w:t>
            </w:r>
          </w:p>
        </w:tc>
        <w:tc>
          <w:tcPr>
            <w:tcW w:w="1084" w:type="dxa"/>
          </w:tcPr>
          <w:p>
            <w:pPr>
              <w:pStyle w:val="0"/>
            </w:pPr>
            <w:r>
              <w:rPr>
                <w:sz w:val="20"/>
              </w:rPr>
              <w:t xml:space="preserve">0,3</w:t>
            </w:r>
          </w:p>
        </w:tc>
        <w:tc>
          <w:tcPr>
            <w:tcW w:w="859" w:type="dxa"/>
          </w:tcPr>
          <w:p>
            <w:pPr>
              <w:pStyle w:val="0"/>
            </w:pPr>
            <w:r>
              <w:rPr>
                <w:sz w:val="20"/>
              </w:rPr>
              <w:t xml:space="preserve">0,8</w:t>
            </w:r>
          </w:p>
        </w:tc>
        <w:tc>
          <w:tcPr>
            <w:tcW w:w="1084" w:type="dxa"/>
          </w:tcPr>
          <w:p>
            <w:pPr>
              <w:pStyle w:val="0"/>
            </w:pPr>
            <w:r>
              <w:rPr>
                <w:sz w:val="20"/>
              </w:rPr>
              <w:t xml:space="preserve">0,7</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0,5</w:t>
            </w:r>
          </w:p>
        </w:tc>
        <w:tc>
          <w:tcPr>
            <w:tcW w:w="1084" w:type="dxa"/>
          </w:tcPr>
          <w:p>
            <w:pPr>
              <w:pStyle w:val="0"/>
            </w:pPr>
            <w:r>
              <w:rPr>
                <w:sz w:val="20"/>
              </w:rPr>
              <w:t xml:space="preserve">0,8</w:t>
            </w:r>
          </w:p>
        </w:tc>
        <w:tc>
          <w:tcPr>
            <w:tcW w:w="859" w:type="dxa"/>
          </w:tcPr>
          <w:p>
            <w:pPr>
              <w:pStyle w:val="0"/>
            </w:pPr>
            <w:r>
              <w:rPr>
                <w:sz w:val="20"/>
              </w:rPr>
              <w:t xml:space="preserve">-</w:t>
            </w:r>
          </w:p>
        </w:tc>
        <w:tc>
          <w:tcPr>
            <w:tcW w:w="1084" w:type="dxa"/>
          </w:tcPr>
          <w:p>
            <w:pPr>
              <w:pStyle w:val="0"/>
            </w:pPr>
            <w:r>
              <w:rPr>
                <w:sz w:val="20"/>
              </w:rPr>
              <w:t xml:space="preserve">0,2</w:t>
            </w:r>
          </w:p>
        </w:tc>
        <w:tc>
          <w:tcPr>
            <w:tcW w:w="859" w:type="dxa"/>
          </w:tcPr>
          <w:p>
            <w:pPr>
              <w:pStyle w:val="0"/>
            </w:pPr>
            <w:r>
              <w:rPr>
                <w:sz w:val="20"/>
              </w:rPr>
              <w:t xml:space="preserve">0,1</w:t>
            </w:r>
          </w:p>
        </w:tc>
        <w:tc>
          <w:tcPr>
            <w:tcW w:w="1084" w:type="dxa"/>
          </w:tcPr>
          <w:p>
            <w:pPr>
              <w:pStyle w:val="0"/>
            </w:pPr>
            <w:r>
              <w:rPr>
                <w:sz w:val="20"/>
              </w:rPr>
              <w:t xml:space="preserve">0,1</w:t>
            </w:r>
          </w:p>
        </w:tc>
        <w:tc>
          <w:tcPr>
            <w:tcW w:w="859" w:type="dxa"/>
          </w:tcPr>
          <w:p>
            <w:pPr>
              <w:pStyle w:val="0"/>
            </w:pPr>
            <w:r>
              <w:rPr>
                <w:sz w:val="20"/>
              </w:rPr>
              <w:t xml:space="preserve">0,5</w:t>
            </w:r>
          </w:p>
        </w:tc>
        <w:tc>
          <w:tcPr>
            <w:tcW w:w="1084" w:type="dxa"/>
          </w:tcPr>
          <w:p>
            <w:pPr>
              <w:pStyle w:val="0"/>
            </w:pPr>
            <w:r>
              <w:rPr>
                <w:sz w:val="20"/>
              </w:rPr>
              <w:t xml:space="preserve">0,4</w:t>
            </w:r>
          </w:p>
        </w:tc>
        <w:tc>
          <w:tcPr>
            <w:tcW w:w="859" w:type="dxa"/>
          </w:tcPr>
          <w:p>
            <w:pPr>
              <w:pStyle w:val="0"/>
            </w:pPr>
            <w:r>
              <w:rPr>
                <w:sz w:val="20"/>
              </w:rPr>
              <w:t xml:space="preserve">0,4</w:t>
            </w:r>
          </w:p>
        </w:tc>
        <w:tc>
          <w:tcPr>
            <w:tcW w:w="1084" w:type="dxa"/>
          </w:tcPr>
          <w:p>
            <w:pPr>
              <w:pStyle w:val="0"/>
            </w:pPr>
            <w:r>
              <w:rPr>
                <w:sz w:val="20"/>
              </w:rPr>
              <w:t xml:space="preserve">0,4</w:t>
            </w:r>
          </w:p>
        </w:tc>
        <w:tc>
          <w:tcPr>
            <w:tcW w:w="859" w:type="dxa"/>
          </w:tcPr>
          <w:p>
            <w:pPr>
              <w:pStyle w:val="0"/>
            </w:pPr>
            <w:r>
              <w:rPr>
                <w:sz w:val="20"/>
              </w:rPr>
              <w:t xml:space="preserve">0,1</w:t>
            </w:r>
          </w:p>
        </w:tc>
        <w:tc>
          <w:tcPr>
            <w:tcW w:w="1084" w:type="dxa"/>
          </w:tcPr>
          <w:p>
            <w:pPr>
              <w:pStyle w:val="0"/>
            </w:pPr>
            <w:r>
              <w:rPr>
                <w:sz w:val="20"/>
              </w:rPr>
              <w:t xml:space="preserve">0,2</w:t>
            </w:r>
          </w:p>
        </w:tc>
        <w:tc>
          <w:tcPr>
            <w:tcW w:w="859" w:type="dxa"/>
          </w:tcPr>
          <w:p>
            <w:pPr>
              <w:pStyle w:val="0"/>
            </w:pPr>
            <w:r>
              <w:rPr>
                <w:sz w:val="20"/>
              </w:rPr>
              <w:t xml:space="preserve">0,9</w:t>
            </w:r>
          </w:p>
        </w:tc>
        <w:tc>
          <w:tcPr>
            <w:tcW w:w="1084" w:type="dxa"/>
          </w:tcPr>
          <w:p>
            <w:pPr>
              <w:pStyle w:val="0"/>
            </w:pPr>
            <w:r>
              <w:rPr>
                <w:sz w:val="20"/>
              </w:rPr>
              <w:t xml:space="preserve">1,3</w:t>
            </w:r>
          </w:p>
        </w:tc>
        <w:tc>
          <w:tcPr>
            <w:tcW w:w="859" w:type="dxa"/>
          </w:tcPr>
          <w:p>
            <w:pPr>
              <w:pStyle w:val="0"/>
            </w:pPr>
            <w:r>
              <w:rPr>
                <w:sz w:val="20"/>
              </w:rPr>
              <w:t xml:space="preserve">0,5</w:t>
            </w:r>
          </w:p>
        </w:tc>
        <w:tc>
          <w:tcPr>
            <w:tcW w:w="1084" w:type="dxa"/>
          </w:tcPr>
          <w:p>
            <w:pPr>
              <w:pStyle w:val="0"/>
            </w:pPr>
            <w:r>
              <w:rPr>
                <w:sz w:val="20"/>
              </w:rPr>
              <w:t xml:space="preserve">0,5</w:t>
            </w:r>
          </w:p>
        </w:tc>
        <w:tc>
          <w:tcPr>
            <w:tcW w:w="859" w:type="dxa"/>
          </w:tcPr>
          <w:p>
            <w:pPr>
              <w:pStyle w:val="0"/>
            </w:pPr>
            <w:r>
              <w:rPr>
                <w:sz w:val="20"/>
              </w:rPr>
              <w:t xml:space="preserve">0,7</w:t>
            </w:r>
          </w:p>
        </w:tc>
        <w:tc>
          <w:tcPr>
            <w:tcW w:w="1084" w:type="dxa"/>
          </w:tcPr>
          <w:p>
            <w:pPr>
              <w:pStyle w:val="0"/>
            </w:pPr>
            <w:r>
              <w:rPr>
                <w:sz w:val="20"/>
              </w:rPr>
              <w:t xml:space="preserve">0,4</w:t>
            </w:r>
          </w:p>
        </w:tc>
        <w:tc>
          <w:tcPr>
            <w:tcW w:w="859" w:type="dxa"/>
          </w:tcPr>
          <w:p>
            <w:pPr>
              <w:pStyle w:val="0"/>
            </w:pPr>
            <w:r>
              <w:rPr>
                <w:sz w:val="20"/>
              </w:rPr>
              <w:t xml:space="preserve">0,6</w:t>
            </w:r>
          </w:p>
        </w:tc>
        <w:tc>
          <w:tcPr>
            <w:tcW w:w="1084" w:type="dxa"/>
          </w:tcPr>
          <w:p>
            <w:pPr>
              <w:pStyle w:val="0"/>
            </w:pPr>
            <w:r>
              <w:rPr>
                <w:sz w:val="20"/>
              </w:rPr>
              <w:t xml:space="preserve">0,5</w:t>
            </w:r>
          </w:p>
        </w:tc>
      </w:tr>
      <w:tr>
        <w:tc>
          <w:tcPr>
            <w:tcW w:w="2089" w:type="dxa"/>
            <w:vMerge w:val="restart"/>
          </w:tcPr>
          <w:p>
            <w:pPr>
              <w:pStyle w:val="0"/>
            </w:pPr>
            <w:r>
              <w:rPr>
                <w:sz w:val="20"/>
              </w:rPr>
              <w:t xml:space="preserve">головного мозга, др. и неуточненных отделов нервной системы (С71, 72)</w:t>
            </w:r>
          </w:p>
        </w:tc>
        <w:tc>
          <w:tcPr>
            <w:tcW w:w="850" w:type="dxa"/>
          </w:tcPr>
          <w:p>
            <w:pPr>
              <w:pStyle w:val="0"/>
            </w:pPr>
            <w:r>
              <w:rPr>
                <w:sz w:val="20"/>
              </w:rPr>
              <w:t xml:space="preserve">оба пола</w:t>
            </w:r>
          </w:p>
        </w:tc>
        <w:tc>
          <w:tcPr>
            <w:tcW w:w="859" w:type="dxa"/>
          </w:tcPr>
          <w:p>
            <w:pPr>
              <w:pStyle w:val="0"/>
            </w:pPr>
            <w:r>
              <w:rPr>
                <w:sz w:val="20"/>
              </w:rPr>
              <w:t xml:space="preserve">3,1</w:t>
            </w:r>
          </w:p>
        </w:tc>
        <w:tc>
          <w:tcPr>
            <w:tcW w:w="1084" w:type="dxa"/>
          </w:tcPr>
          <w:p>
            <w:pPr>
              <w:pStyle w:val="0"/>
            </w:pPr>
            <w:r>
              <w:rPr>
                <w:sz w:val="20"/>
              </w:rPr>
              <w:t xml:space="preserve">3,3</w:t>
            </w:r>
          </w:p>
        </w:tc>
        <w:tc>
          <w:tcPr>
            <w:tcW w:w="859" w:type="dxa"/>
          </w:tcPr>
          <w:p>
            <w:pPr>
              <w:pStyle w:val="0"/>
            </w:pPr>
            <w:r>
              <w:rPr>
                <w:sz w:val="20"/>
              </w:rPr>
              <w:t xml:space="preserve">3,6</w:t>
            </w:r>
          </w:p>
        </w:tc>
        <w:tc>
          <w:tcPr>
            <w:tcW w:w="1084" w:type="dxa"/>
          </w:tcPr>
          <w:p>
            <w:pPr>
              <w:pStyle w:val="0"/>
            </w:pPr>
            <w:r>
              <w:rPr>
                <w:sz w:val="20"/>
              </w:rPr>
              <w:t xml:space="preserve">2,9</w:t>
            </w:r>
          </w:p>
        </w:tc>
        <w:tc>
          <w:tcPr>
            <w:tcW w:w="859" w:type="dxa"/>
          </w:tcPr>
          <w:p>
            <w:pPr>
              <w:pStyle w:val="0"/>
            </w:pPr>
            <w:r>
              <w:rPr>
                <w:sz w:val="20"/>
              </w:rPr>
              <w:t xml:space="preserve">3,1</w:t>
            </w:r>
          </w:p>
        </w:tc>
        <w:tc>
          <w:tcPr>
            <w:tcW w:w="1084" w:type="dxa"/>
          </w:tcPr>
          <w:p>
            <w:pPr>
              <w:pStyle w:val="0"/>
            </w:pPr>
            <w:r>
              <w:rPr>
                <w:sz w:val="20"/>
              </w:rPr>
              <w:t xml:space="preserve">3,1</w:t>
            </w:r>
          </w:p>
        </w:tc>
        <w:tc>
          <w:tcPr>
            <w:tcW w:w="859" w:type="dxa"/>
          </w:tcPr>
          <w:p>
            <w:pPr>
              <w:pStyle w:val="0"/>
            </w:pPr>
            <w:r>
              <w:rPr>
                <w:sz w:val="20"/>
              </w:rPr>
              <w:t xml:space="preserve">3,5</w:t>
            </w:r>
          </w:p>
        </w:tc>
        <w:tc>
          <w:tcPr>
            <w:tcW w:w="1084" w:type="dxa"/>
          </w:tcPr>
          <w:p>
            <w:pPr>
              <w:pStyle w:val="0"/>
            </w:pPr>
            <w:r>
              <w:rPr>
                <w:sz w:val="20"/>
              </w:rPr>
              <w:t xml:space="preserve">3,5</w:t>
            </w:r>
          </w:p>
        </w:tc>
        <w:tc>
          <w:tcPr>
            <w:tcW w:w="859" w:type="dxa"/>
          </w:tcPr>
          <w:p>
            <w:pPr>
              <w:pStyle w:val="0"/>
            </w:pPr>
            <w:r>
              <w:rPr>
                <w:sz w:val="20"/>
              </w:rPr>
              <w:t xml:space="preserve">3,8</w:t>
            </w:r>
          </w:p>
        </w:tc>
        <w:tc>
          <w:tcPr>
            <w:tcW w:w="1084" w:type="dxa"/>
          </w:tcPr>
          <w:p>
            <w:pPr>
              <w:pStyle w:val="0"/>
            </w:pPr>
            <w:r>
              <w:rPr>
                <w:sz w:val="20"/>
              </w:rPr>
              <w:t xml:space="preserve">4,3</w:t>
            </w:r>
          </w:p>
        </w:tc>
        <w:tc>
          <w:tcPr>
            <w:tcW w:w="859" w:type="dxa"/>
          </w:tcPr>
          <w:p>
            <w:pPr>
              <w:pStyle w:val="0"/>
            </w:pPr>
            <w:r>
              <w:rPr>
                <w:sz w:val="20"/>
              </w:rPr>
              <w:t xml:space="preserve">3,2</w:t>
            </w:r>
          </w:p>
        </w:tc>
        <w:tc>
          <w:tcPr>
            <w:tcW w:w="1084" w:type="dxa"/>
          </w:tcPr>
          <w:p>
            <w:pPr>
              <w:pStyle w:val="0"/>
            </w:pPr>
            <w:r>
              <w:rPr>
                <w:sz w:val="20"/>
              </w:rPr>
              <w:t xml:space="preserve">2,1</w:t>
            </w:r>
          </w:p>
        </w:tc>
        <w:tc>
          <w:tcPr>
            <w:tcW w:w="859" w:type="dxa"/>
          </w:tcPr>
          <w:p>
            <w:pPr>
              <w:pStyle w:val="0"/>
            </w:pPr>
            <w:r>
              <w:rPr>
                <w:sz w:val="20"/>
              </w:rPr>
              <w:t xml:space="preserve">3,9</w:t>
            </w:r>
          </w:p>
        </w:tc>
        <w:tc>
          <w:tcPr>
            <w:tcW w:w="1084" w:type="dxa"/>
          </w:tcPr>
          <w:p>
            <w:pPr>
              <w:pStyle w:val="0"/>
            </w:pPr>
            <w:r>
              <w:rPr>
                <w:sz w:val="20"/>
              </w:rPr>
              <w:t xml:space="preserve">4,0</w:t>
            </w:r>
          </w:p>
        </w:tc>
        <w:tc>
          <w:tcPr>
            <w:tcW w:w="859" w:type="dxa"/>
          </w:tcPr>
          <w:p>
            <w:pPr>
              <w:pStyle w:val="0"/>
            </w:pPr>
            <w:r>
              <w:rPr>
                <w:sz w:val="20"/>
              </w:rPr>
              <w:t xml:space="preserve">3,7</w:t>
            </w:r>
          </w:p>
        </w:tc>
        <w:tc>
          <w:tcPr>
            <w:tcW w:w="1084" w:type="dxa"/>
          </w:tcPr>
          <w:p>
            <w:pPr>
              <w:pStyle w:val="0"/>
            </w:pPr>
            <w:r>
              <w:rPr>
                <w:sz w:val="20"/>
              </w:rPr>
              <w:t xml:space="preserve">2,8</w:t>
            </w:r>
          </w:p>
        </w:tc>
        <w:tc>
          <w:tcPr>
            <w:tcW w:w="859" w:type="dxa"/>
          </w:tcPr>
          <w:p>
            <w:pPr>
              <w:pStyle w:val="0"/>
            </w:pPr>
            <w:r>
              <w:rPr>
                <w:sz w:val="20"/>
              </w:rPr>
              <w:t xml:space="preserve">4,1</w:t>
            </w:r>
          </w:p>
        </w:tc>
        <w:tc>
          <w:tcPr>
            <w:tcW w:w="1084" w:type="dxa"/>
          </w:tcPr>
          <w:p>
            <w:pPr>
              <w:pStyle w:val="0"/>
            </w:pPr>
            <w:r>
              <w:rPr>
                <w:sz w:val="20"/>
              </w:rPr>
              <w:t xml:space="preserve">3,3</w:t>
            </w:r>
          </w:p>
        </w:tc>
        <w:tc>
          <w:tcPr>
            <w:tcW w:w="859" w:type="dxa"/>
          </w:tcPr>
          <w:p>
            <w:pPr>
              <w:pStyle w:val="0"/>
            </w:pPr>
            <w:r>
              <w:rPr>
                <w:sz w:val="20"/>
              </w:rPr>
              <w:t xml:space="preserve">4,0</w:t>
            </w:r>
          </w:p>
        </w:tc>
        <w:tc>
          <w:tcPr>
            <w:tcW w:w="1084" w:type="dxa"/>
          </w:tcPr>
          <w:p>
            <w:pPr>
              <w:pStyle w:val="0"/>
            </w:pPr>
            <w:r>
              <w:rPr>
                <w:sz w:val="20"/>
              </w:rPr>
              <w:t xml:space="preserve">2,9</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3,3</w:t>
            </w:r>
          </w:p>
        </w:tc>
        <w:tc>
          <w:tcPr>
            <w:tcW w:w="1084" w:type="dxa"/>
          </w:tcPr>
          <w:p>
            <w:pPr>
              <w:pStyle w:val="0"/>
            </w:pPr>
            <w:r>
              <w:rPr>
                <w:sz w:val="20"/>
              </w:rPr>
              <w:t xml:space="preserve">3,9</w:t>
            </w:r>
          </w:p>
        </w:tc>
        <w:tc>
          <w:tcPr>
            <w:tcW w:w="859" w:type="dxa"/>
          </w:tcPr>
          <w:p>
            <w:pPr>
              <w:pStyle w:val="0"/>
            </w:pPr>
            <w:r>
              <w:rPr>
                <w:sz w:val="20"/>
              </w:rPr>
              <w:t xml:space="preserve">3,9</w:t>
            </w:r>
          </w:p>
        </w:tc>
        <w:tc>
          <w:tcPr>
            <w:tcW w:w="1084" w:type="dxa"/>
          </w:tcPr>
          <w:p>
            <w:pPr>
              <w:pStyle w:val="0"/>
            </w:pPr>
            <w:r>
              <w:rPr>
                <w:sz w:val="20"/>
              </w:rPr>
              <w:t xml:space="preserve">3,6</w:t>
            </w:r>
          </w:p>
        </w:tc>
        <w:tc>
          <w:tcPr>
            <w:tcW w:w="859" w:type="dxa"/>
          </w:tcPr>
          <w:p>
            <w:pPr>
              <w:pStyle w:val="0"/>
            </w:pPr>
            <w:r>
              <w:rPr>
                <w:sz w:val="20"/>
              </w:rPr>
              <w:t xml:space="preserve">3,3</w:t>
            </w:r>
          </w:p>
        </w:tc>
        <w:tc>
          <w:tcPr>
            <w:tcW w:w="1084" w:type="dxa"/>
          </w:tcPr>
          <w:p>
            <w:pPr>
              <w:pStyle w:val="0"/>
            </w:pPr>
            <w:r>
              <w:rPr>
                <w:sz w:val="20"/>
              </w:rPr>
              <w:t xml:space="preserve">3,6</w:t>
            </w:r>
          </w:p>
        </w:tc>
        <w:tc>
          <w:tcPr>
            <w:tcW w:w="859" w:type="dxa"/>
          </w:tcPr>
          <w:p>
            <w:pPr>
              <w:pStyle w:val="0"/>
            </w:pPr>
            <w:r>
              <w:rPr>
                <w:sz w:val="20"/>
              </w:rPr>
              <w:t xml:space="preserve">3,8</w:t>
            </w:r>
          </w:p>
        </w:tc>
        <w:tc>
          <w:tcPr>
            <w:tcW w:w="1084" w:type="dxa"/>
          </w:tcPr>
          <w:p>
            <w:pPr>
              <w:pStyle w:val="0"/>
            </w:pPr>
            <w:r>
              <w:rPr>
                <w:sz w:val="20"/>
              </w:rPr>
              <w:t xml:space="preserve">4,5</w:t>
            </w:r>
          </w:p>
        </w:tc>
        <w:tc>
          <w:tcPr>
            <w:tcW w:w="859" w:type="dxa"/>
          </w:tcPr>
          <w:p>
            <w:pPr>
              <w:pStyle w:val="0"/>
            </w:pPr>
            <w:r>
              <w:rPr>
                <w:sz w:val="20"/>
              </w:rPr>
              <w:t xml:space="preserve">3,4</w:t>
            </w:r>
          </w:p>
        </w:tc>
        <w:tc>
          <w:tcPr>
            <w:tcW w:w="1084" w:type="dxa"/>
          </w:tcPr>
          <w:p>
            <w:pPr>
              <w:pStyle w:val="0"/>
            </w:pPr>
            <w:r>
              <w:rPr>
                <w:sz w:val="20"/>
              </w:rPr>
              <w:t xml:space="preserve">3,8</w:t>
            </w:r>
          </w:p>
        </w:tc>
        <w:tc>
          <w:tcPr>
            <w:tcW w:w="859" w:type="dxa"/>
          </w:tcPr>
          <w:p>
            <w:pPr>
              <w:pStyle w:val="0"/>
            </w:pPr>
            <w:r>
              <w:rPr>
                <w:sz w:val="20"/>
              </w:rPr>
              <w:t xml:space="preserve">3,9</w:t>
            </w:r>
          </w:p>
        </w:tc>
        <w:tc>
          <w:tcPr>
            <w:tcW w:w="1084" w:type="dxa"/>
          </w:tcPr>
          <w:p>
            <w:pPr>
              <w:pStyle w:val="0"/>
            </w:pPr>
            <w:r>
              <w:rPr>
                <w:sz w:val="20"/>
              </w:rPr>
              <w:t xml:space="preserve">2,8</w:t>
            </w:r>
          </w:p>
        </w:tc>
        <w:tc>
          <w:tcPr>
            <w:tcW w:w="859" w:type="dxa"/>
          </w:tcPr>
          <w:p>
            <w:pPr>
              <w:pStyle w:val="0"/>
            </w:pPr>
            <w:r>
              <w:rPr>
                <w:sz w:val="20"/>
              </w:rPr>
              <w:t xml:space="preserve">4,1</w:t>
            </w:r>
          </w:p>
        </w:tc>
        <w:tc>
          <w:tcPr>
            <w:tcW w:w="1084" w:type="dxa"/>
          </w:tcPr>
          <w:p>
            <w:pPr>
              <w:pStyle w:val="0"/>
            </w:pPr>
            <w:r>
              <w:rPr>
                <w:sz w:val="20"/>
              </w:rPr>
              <w:t xml:space="preserve">3,8</w:t>
            </w:r>
          </w:p>
        </w:tc>
        <w:tc>
          <w:tcPr>
            <w:tcW w:w="859" w:type="dxa"/>
          </w:tcPr>
          <w:p>
            <w:pPr>
              <w:pStyle w:val="0"/>
            </w:pPr>
            <w:r>
              <w:rPr>
                <w:sz w:val="20"/>
              </w:rPr>
              <w:t xml:space="preserve">4,5</w:t>
            </w:r>
          </w:p>
        </w:tc>
        <w:tc>
          <w:tcPr>
            <w:tcW w:w="1084" w:type="dxa"/>
          </w:tcPr>
          <w:p>
            <w:pPr>
              <w:pStyle w:val="0"/>
            </w:pPr>
            <w:r>
              <w:rPr>
                <w:sz w:val="20"/>
              </w:rPr>
              <w:t xml:space="preserve">5,7</w:t>
            </w:r>
          </w:p>
        </w:tc>
        <w:tc>
          <w:tcPr>
            <w:tcW w:w="859" w:type="dxa"/>
          </w:tcPr>
          <w:p>
            <w:pPr>
              <w:pStyle w:val="0"/>
            </w:pPr>
            <w:r>
              <w:rPr>
                <w:sz w:val="20"/>
              </w:rPr>
              <w:t xml:space="preserve">4,1</w:t>
            </w:r>
          </w:p>
        </w:tc>
        <w:tc>
          <w:tcPr>
            <w:tcW w:w="1084" w:type="dxa"/>
          </w:tcPr>
          <w:p>
            <w:pPr>
              <w:pStyle w:val="0"/>
            </w:pPr>
            <w:r>
              <w:rPr>
                <w:sz w:val="20"/>
              </w:rPr>
              <w:t xml:space="preserve">3,5</w:t>
            </w:r>
          </w:p>
        </w:tc>
        <w:tc>
          <w:tcPr>
            <w:tcW w:w="859" w:type="dxa"/>
          </w:tcPr>
          <w:p>
            <w:pPr>
              <w:pStyle w:val="0"/>
            </w:pPr>
            <w:r>
              <w:rPr>
                <w:sz w:val="20"/>
              </w:rPr>
              <w:t xml:space="preserve">2,9</w:t>
            </w:r>
          </w:p>
        </w:tc>
        <w:tc>
          <w:tcPr>
            <w:tcW w:w="1084" w:type="dxa"/>
          </w:tcPr>
          <w:p>
            <w:pPr>
              <w:pStyle w:val="0"/>
            </w:pPr>
            <w:r>
              <w:rPr>
                <w:sz w:val="20"/>
              </w:rPr>
              <w:t xml:space="preserve">2,2</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3,0</w:t>
            </w:r>
          </w:p>
        </w:tc>
        <w:tc>
          <w:tcPr>
            <w:tcW w:w="1084" w:type="dxa"/>
          </w:tcPr>
          <w:p>
            <w:pPr>
              <w:pStyle w:val="0"/>
            </w:pPr>
            <w:r>
              <w:rPr>
                <w:sz w:val="20"/>
              </w:rPr>
              <w:t xml:space="preserve">2,9</w:t>
            </w:r>
          </w:p>
        </w:tc>
        <w:tc>
          <w:tcPr>
            <w:tcW w:w="859" w:type="dxa"/>
          </w:tcPr>
          <w:p>
            <w:pPr>
              <w:pStyle w:val="0"/>
            </w:pPr>
            <w:r>
              <w:rPr>
                <w:sz w:val="20"/>
              </w:rPr>
              <w:t xml:space="preserve">3,3</w:t>
            </w:r>
          </w:p>
        </w:tc>
        <w:tc>
          <w:tcPr>
            <w:tcW w:w="1084" w:type="dxa"/>
          </w:tcPr>
          <w:p>
            <w:pPr>
              <w:pStyle w:val="0"/>
            </w:pPr>
            <w:r>
              <w:rPr>
                <w:sz w:val="20"/>
              </w:rPr>
              <w:t xml:space="preserve">2,5</w:t>
            </w:r>
          </w:p>
        </w:tc>
        <w:tc>
          <w:tcPr>
            <w:tcW w:w="859" w:type="dxa"/>
          </w:tcPr>
          <w:p>
            <w:pPr>
              <w:pStyle w:val="0"/>
            </w:pPr>
            <w:r>
              <w:rPr>
                <w:sz w:val="20"/>
              </w:rPr>
              <w:t xml:space="preserve">2,8</w:t>
            </w:r>
          </w:p>
        </w:tc>
        <w:tc>
          <w:tcPr>
            <w:tcW w:w="1084" w:type="dxa"/>
          </w:tcPr>
          <w:p>
            <w:pPr>
              <w:pStyle w:val="0"/>
            </w:pPr>
            <w:r>
              <w:rPr>
                <w:sz w:val="20"/>
              </w:rPr>
              <w:t xml:space="preserve">2,6</w:t>
            </w:r>
          </w:p>
        </w:tc>
        <w:tc>
          <w:tcPr>
            <w:tcW w:w="859" w:type="dxa"/>
          </w:tcPr>
          <w:p>
            <w:pPr>
              <w:pStyle w:val="0"/>
            </w:pPr>
            <w:r>
              <w:rPr>
                <w:sz w:val="20"/>
              </w:rPr>
              <w:t xml:space="preserve">3,1</w:t>
            </w:r>
          </w:p>
        </w:tc>
        <w:tc>
          <w:tcPr>
            <w:tcW w:w="1084" w:type="dxa"/>
          </w:tcPr>
          <w:p>
            <w:pPr>
              <w:pStyle w:val="0"/>
            </w:pPr>
            <w:r>
              <w:rPr>
                <w:sz w:val="20"/>
              </w:rPr>
              <w:t xml:space="preserve">2,5</w:t>
            </w:r>
          </w:p>
        </w:tc>
        <w:tc>
          <w:tcPr>
            <w:tcW w:w="859" w:type="dxa"/>
          </w:tcPr>
          <w:p>
            <w:pPr>
              <w:pStyle w:val="0"/>
            </w:pPr>
            <w:r>
              <w:rPr>
                <w:sz w:val="20"/>
              </w:rPr>
              <w:t xml:space="preserve">4,2</w:t>
            </w:r>
          </w:p>
        </w:tc>
        <w:tc>
          <w:tcPr>
            <w:tcW w:w="1084" w:type="dxa"/>
          </w:tcPr>
          <w:p>
            <w:pPr>
              <w:pStyle w:val="0"/>
            </w:pPr>
            <w:r>
              <w:rPr>
                <w:sz w:val="20"/>
              </w:rPr>
              <w:t xml:space="preserve">4,8</w:t>
            </w:r>
          </w:p>
        </w:tc>
        <w:tc>
          <w:tcPr>
            <w:tcW w:w="859" w:type="dxa"/>
          </w:tcPr>
          <w:p>
            <w:pPr>
              <w:pStyle w:val="0"/>
            </w:pPr>
            <w:r>
              <w:rPr>
                <w:sz w:val="20"/>
              </w:rPr>
              <w:t xml:space="preserve">2,5</w:t>
            </w:r>
          </w:p>
        </w:tc>
        <w:tc>
          <w:tcPr>
            <w:tcW w:w="1084" w:type="dxa"/>
          </w:tcPr>
          <w:p>
            <w:pPr>
              <w:pStyle w:val="0"/>
            </w:pPr>
            <w:r>
              <w:rPr>
                <w:sz w:val="20"/>
              </w:rPr>
              <w:t xml:space="preserve">1,6</w:t>
            </w:r>
          </w:p>
        </w:tc>
        <w:tc>
          <w:tcPr>
            <w:tcW w:w="859" w:type="dxa"/>
          </w:tcPr>
          <w:p>
            <w:pPr>
              <w:pStyle w:val="0"/>
            </w:pPr>
            <w:r>
              <w:rPr>
                <w:sz w:val="20"/>
              </w:rPr>
              <w:t xml:space="preserve">3,8</w:t>
            </w:r>
          </w:p>
        </w:tc>
        <w:tc>
          <w:tcPr>
            <w:tcW w:w="1084" w:type="dxa"/>
          </w:tcPr>
          <w:p>
            <w:pPr>
              <w:pStyle w:val="0"/>
            </w:pPr>
            <w:r>
              <w:rPr>
                <w:sz w:val="20"/>
              </w:rPr>
              <w:t xml:space="preserve">3,6</w:t>
            </w:r>
          </w:p>
        </w:tc>
        <w:tc>
          <w:tcPr>
            <w:tcW w:w="859" w:type="dxa"/>
          </w:tcPr>
          <w:p>
            <w:pPr>
              <w:pStyle w:val="0"/>
            </w:pPr>
            <w:r>
              <w:rPr>
                <w:sz w:val="20"/>
              </w:rPr>
              <w:t xml:space="preserve">3,0</w:t>
            </w:r>
          </w:p>
        </w:tc>
        <w:tc>
          <w:tcPr>
            <w:tcW w:w="1084" w:type="dxa"/>
          </w:tcPr>
          <w:p>
            <w:pPr>
              <w:pStyle w:val="0"/>
            </w:pPr>
            <w:r>
              <w:rPr>
                <w:sz w:val="20"/>
              </w:rPr>
              <w:t xml:space="preserve">1,8</w:t>
            </w:r>
          </w:p>
        </w:tc>
        <w:tc>
          <w:tcPr>
            <w:tcW w:w="859" w:type="dxa"/>
          </w:tcPr>
          <w:p>
            <w:pPr>
              <w:pStyle w:val="0"/>
            </w:pPr>
            <w:r>
              <w:rPr>
                <w:sz w:val="20"/>
              </w:rPr>
              <w:t xml:space="preserve">4,0</w:t>
            </w:r>
          </w:p>
        </w:tc>
        <w:tc>
          <w:tcPr>
            <w:tcW w:w="1084" w:type="dxa"/>
          </w:tcPr>
          <w:p>
            <w:pPr>
              <w:pStyle w:val="0"/>
            </w:pPr>
            <w:r>
              <w:rPr>
                <w:sz w:val="20"/>
              </w:rPr>
              <w:t xml:space="preserve">3,2</w:t>
            </w:r>
          </w:p>
        </w:tc>
        <w:tc>
          <w:tcPr>
            <w:tcW w:w="859" w:type="dxa"/>
          </w:tcPr>
          <w:p>
            <w:pPr>
              <w:pStyle w:val="0"/>
            </w:pPr>
            <w:r>
              <w:rPr>
                <w:sz w:val="20"/>
              </w:rPr>
              <w:t xml:space="preserve">5,2</w:t>
            </w:r>
          </w:p>
        </w:tc>
        <w:tc>
          <w:tcPr>
            <w:tcW w:w="1084" w:type="dxa"/>
          </w:tcPr>
          <w:p>
            <w:pPr>
              <w:pStyle w:val="0"/>
            </w:pPr>
            <w:r>
              <w:rPr>
                <w:sz w:val="20"/>
              </w:rPr>
              <w:t xml:space="preserve">3,4</w:t>
            </w:r>
          </w:p>
        </w:tc>
      </w:tr>
      <w:tr>
        <w:tc>
          <w:tcPr>
            <w:tcW w:w="2089" w:type="dxa"/>
            <w:vMerge w:val="restart"/>
          </w:tcPr>
          <w:p>
            <w:pPr>
              <w:pStyle w:val="0"/>
            </w:pPr>
            <w:r>
              <w:rPr>
                <w:sz w:val="20"/>
              </w:rPr>
              <w:t xml:space="preserve">щитовидной железы (С73)</w:t>
            </w:r>
          </w:p>
        </w:tc>
        <w:tc>
          <w:tcPr>
            <w:tcW w:w="850" w:type="dxa"/>
          </w:tcPr>
          <w:p>
            <w:pPr>
              <w:pStyle w:val="0"/>
            </w:pPr>
            <w:r>
              <w:rPr>
                <w:sz w:val="20"/>
              </w:rPr>
              <w:t xml:space="preserve">оба пола</w:t>
            </w:r>
          </w:p>
        </w:tc>
        <w:tc>
          <w:tcPr>
            <w:tcW w:w="859" w:type="dxa"/>
          </w:tcPr>
          <w:p>
            <w:pPr>
              <w:pStyle w:val="0"/>
            </w:pPr>
            <w:r>
              <w:rPr>
                <w:sz w:val="20"/>
              </w:rPr>
              <w:t xml:space="preserve">4,4</w:t>
            </w:r>
          </w:p>
        </w:tc>
        <w:tc>
          <w:tcPr>
            <w:tcW w:w="1084" w:type="dxa"/>
          </w:tcPr>
          <w:p>
            <w:pPr>
              <w:pStyle w:val="0"/>
            </w:pPr>
            <w:r>
              <w:rPr>
                <w:sz w:val="20"/>
              </w:rPr>
              <w:t xml:space="preserve">3,5</w:t>
            </w:r>
          </w:p>
        </w:tc>
        <w:tc>
          <w:tcPr>
            <w:tcW w:w="859" w:type="dxa"/>
          </w:tcPr>
          <w:p>
            <w:pPr>
              <w:pStyle w:val="0"/>
            </w:pPr>
            <w:r>
              <w:rPr>
                <w:sz w:val="20"/>
              </w:rPr>
              <w:t xml:space="preserve">5,8</w:t>
            </w:r>
          </w:p>
        </w:tc>
        <w:tc>
          <w:tcPr>
            <w:tcW w:w="1084" w:type="dxa"/>
          </w:tcPr>
          <w:p>
            <w:pPr>
              <w:pStyle w:val="0"/>
            </w:pPr>
            <w:r>
              <w:rPr>
                <w:sz w:val="20"/>
              </w:rPr>
              <w:t xml:space="preserve">4,9</w:t>
            </w:r>
          </w:p>
        </w:tc>
        <w:tc>
          <w:tcPr>
            <w:tcW w:w="859" w:type="dxa"/>
          </w:tcPr>
          <w:p>
            <w:pPr>
              <w:pStyle w:val="0"/>
            </w:pPr>
            <w:r>
              <w:rPr>
                <w:sz w:val="20"/>
              </w:rPr>
              <w:t xml:space="preserve">5,6</w:t>
            </w:r>
          </w:p>
        </w:tc>
        <w:tc>
          <w:tcPr>
            <w:tcW w:w="1084" w:type="dxa"/>
          </w:tcPr>
          <w:p>
            <w:pPr>
              <w:pStyle w:val="0"/>
            </w:pPr>
            <w:r>
              <w:rPr>
                <w:sz w:val="20"/>
              </w:rPr>
              <w:t xml:space="preserve">4,8</w:t>
            </w:r>
          </w:p>
        </w:tc>
        <w:tc>
          <w:tcPr>
            <w:tcW w:w="859" w:type="dxa"/>
          </w:tcPr>
          <w:p>
            <w:pPr>
              <w:pStyle w:val="0"/>
            </w:pPr>
            <w:r>
              <w:rPr>
                <w:sz w:val="20"/>
              </w:rPr>
              <w:t xml:space="preserve">6,8</w:t>
            </w:r>
          </w:p>
        </w:tc>
        <w:tc>
          <w:tcPr>
            <w:tcW w:w="1084" w:type="dxa"/>
          </w:tcPr>
          <w:p>
            <w:pPr>
              <w:pStyle w:val="0"/>
            </w:pPr>
            <w:r>
              <w:rPr>
                <w:sz w:val="20"/>
              </w:rPr>
              <w:t xml:space="preserve">6,7</w:t>
            </w:r>
          </w:p>
        </w:tc>
        <w:tc>
          <w:tcPr>
            <w:tcW w:w="859" w:type="dxa"/>
          </w:tcPr>
          <w:p>
            <w:pPr>
              <w:pStyle w:val="0"/>
            </w:pPr>
            <w:r>
              <w:rPr>
                <w:sz w:val="20"/>
              </w:rPr>
              <w:t xml:space="preserve">6,0</w:t>
            </w:r>
          </w:p>
        </w:tc>
        <w:tc>
          <w:tcPr>
            <w:tcW w:w="1084" w:type="dxa"/>
          </w:tcPr>
          <w:p>
            <w:pPr>
              <w:pStyle w:val="0"/>
            </w:pPr>
            <w:r>
              <w:rPr>
                <w:sz w:val="20"/>
              </w:rPr>
              <w:t xml:space="preserve">5,7</w:t>
            </w:r>
          </w:p>
        </w:tc>
        <w:tc>
          <w:tcPr>
            <w:tcW w:w="859" w:type="dxa"/>
          </w:tcPr>
          <w:p>
            <w:pPr>
              <w:pStyle w:val="0"/>
            </w:pPr>
            <w:r>
              <w:rPr>
                <w:sz w:val="20"/>
              </w:rPr>
              <w:t xml:space="preserve">6,0</w:t>
            </w:r>
          </w:p>
        </w:tc>
        <w:tc>
          <w:tcPr>
            <w:tcW w:w="1084" w:type="dxa"/>
          </w:tcPr>
          <w:p>
            <w:pPr>
              <w:pStyle w:val="0"/>
            </w:pPr>
            <w:r>
              <w:rPr>
                <w:sz w:val="20"/>
              </w:rPr>
              <w:t xml:space="preserve">5,1</w:t>
            </w:r>
          </w:p>
        </w:tc>
        <w:tc>
          <w:tcPr>
            <w:tcW w:w="859" w:type="dxa"/>
          </w:tcPr>
          <w:p>
            <w:pPr>
              <w:pStyle w:val="0"/>
            </w:pPr>
            <w:r>
              <w:rPr>
                <w:sz w:val="20"/>
              </w:rPr>
              <w:t xml:space="preserve">7,2</w:t>
            </w:r>
          </w:p>
        </w:tc>
        <w:tc>
          <w:tcPr>
            <w:tcW w:w="1084" w:type="dxa"/>
          </w:tcPr>
          <w:p>
            <w:pPr>
              <w:pStyle w:val="0"/>
            </w:pPr>
            <w:r>
              <w:rPr>
                <w:sz w:val="20"/>
              </w:rPr>
              <w:t xml:space="preserve">5,8</w:t>
            </w:r>
          </w:p>
        </w:tc>
        <w:tc>
          <w:tcPr>
            <w:tcW w:w="859" w:type="dxa"/>
          </w:tcPr>
          <w:p>
            <w:pPr>
              <w:pStyle w:val="0"/>
            </w:pPr>
            <w:r>
              <w:rPr>
                <w:sz w:val="20"/>
              </w:rPr>
              <w:t xml:space="preserve">6,8</w:t>
            </w:r>
          </w:p>
        </w:tc>
        <w:tc>
          <w:tcPr>
            <w:tcW w:w="1084" w:type="dxa"/>
          </w:tcPr>
          <w:p>
            <w:pPr>
              <w:pStyle w:val="0"/>
            </w:pPr>
            <w:r>
              <w:rPr>
                <w:sz w:val="20"/>
              </w:rPr>
              <w:t xml:space="preserve">5,0</w:t>
            </w:r>
          </w:p>
        </w:tc>
        <w:tc>
          <w:tcPr>
            <w:tcW w:w="859" w:type="dxa"/>
          </w:tcPr>
          <w:p>
            <w:pPr>
              <w:pStyle w:val="0"/>
            </w:pPr>
            <w:r>
              <w:rPr>
                <w:sz w:val="20"/>
              </w:rPr>
              <w:t xml:space="preserve">7,1</w:t>
            </w:r>
          </w:p>
        </w:tc>
        <w:tc>
          <w:tcPr>
            <w:tcW w:w="1084" w:type="dxa"/>
          </w:tcPr>
          <w:p>
            <w:pPr>
              <w:pStyle w:val="0"/>
            </w:pPr>
            <w:r>
              <w:rPr>
                <w:sz w:val="20"/>
              </w:rPr>
              <w:t xml:space="preserve">5,3</w:t>
            </w:r>
          </w:p>
        </w:tc>
        <w:tc>
          <w:tcPr>
            <w:tcW w:w="859" w:type="dxa"/>
          </w:tcPr>
          <w:p>
            <w:pPr>
              <w:pStyle w:val="0"/>
            </w:pPr>
            <w:r>
              <w:rPr>
                <w:sz w:val="20"/>
              </w:rPr>
              <w:t xml:space="preserve">7,4</w:t>
            </w:r>
          </w:p>
        </w:tc>
        <w:tc>
          <w:tcPr>
            <w:tcW w:w="1084" w:type="dxa"/>
          </w:tcPr>
          <w:p>
            <w:pPr>
              <w:pStyle w:val="0"/>
            </w:pPr>
            <w:r>
              <w:rPr>
                <w:sz w:val="20"/>
              </w:rPr>
              <w:t xml:space="preserve">5,8</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1,4</w:t>
            </w:r>
          </w:p>
        </w:tc>
        <w:tc>
          <w:tcPr>
            <w:tcW w:w="1084" w:type="dxa"/>
          </w:tcPr>
          <w:p>
            <w:pPr>
              <w:pStyle w:val="0"/>
            </w:pPr>
            <w:r>
              <w:rPr>
                <w:sz w:val="20"/>
              </w:rPr>
              <w:t xml:space="preserve">1,3</w:t>
            </w:r>
          </w:p>
        </w:tc>
        <w:tc>
          <w:tcPr>
            <w:tcW w:w="859" w:type="dxa"/>
          </w:tcPr>
          <w:p>
            <w:pPr>
              <w:pStyle w:val="0"/>
            </w:pPr>
            <w:r>
              <w:rPr>
                <w:sz w:val="20"/>
              </w:rPr>
              <w:t xml:space="preserve">1,3</w:t>
            </w:r>
          </w:p>
        </w:tc>
        <w:tc>
          <w:tcPr>
            <w:tcW w:w="1084" w:type="dxa"/>
          </w:tcPr>
          <w:p>
            <w:pPr>
              <w:pStyle w:val="0"/>
            </w:pPr>
            <w:r>
              <w:rPr>
                <w:sz w:val="20"/>
              </w:rPr>
              <w:t xml:space="preserve">0,9</w:t>
            </w:r>
          </w:p>
        </w:tc>
        <w:tc>
          <w:tcPr>
            <w:tcW w:w="859" w:type="dxa"/>
          </w:tcPr>
          <w:p>
            <w:pPr>
              <w:pStyle w:val="0"/>
            </w:pPr>
            <w:r>
              <w:rPr>
                <w:sz w:val="20"/>
              </w:rPr>
              <w:t xml:space="preserve">2,3</w:t>
            </w:r>
          </w:p>
        </w:tc>
        <w:tc>
          <w:tcPr>
            <w:tcW w:w="1084" w:type="dxa"/>
          </w:tcPr>
          <w:p>
            <w:pPr>
              <w:pStyle w:val="0"/>
            </w:pPr>
            <w:r>
              <w:rPr>
                <w:sz w:val="20"/>
              </w:rPr>
              <w:t xml:space="preserve">3,1</w:t>
            </w:r>
          </w:p>
        </w:tc>
        <w:tc>
          <w:tcPr>
            <w:tcW w:w="859" w:type="dxa"/>
          </w:tcPr>
          <w:p>
            <w:pPr>
              <w:pStyle w:val="0"/>
            </w:pPr>
            <w:r>
              <w:rPr>
                <w:sz w:val="20"/>
              </w:rPr>
              <w:t xml:space="preserve">2,0</w:t>
            </w:r>
          </w:p>
        </w:tc>
        <w:tc>
          <w:tcPr>
            <w:tcW w:w="1084" w:type="dxa"/>
          </w:tcPr>
          <w:p>
            <w:pPr>
              <w:pStyle w:val="0"/>
            </w:pPr>
            <w:r>
              <w:rPr>
                <w:sz w:val="20"/>
              </w:rPr>
              <w:t xml:space="preserve">1,8</w:t>
            </w:r>
          </w:p>
        </w:tc>
        <w:tc>
          <w:tcPr>
            <w:tcW w:w="859" w:type="dxa"/>
          </w:tcPr>
          <w:p>
            <w:pPr>
              <w:pStyle w:val="0"/>
            </w:pPr>
            <w:r>
              <w:rPr>
                <w:sz w:val="20"/>
              </w:rPr>
              <w:t xml:space="preserve">2,5</w:t>
            </w:r>
          </w:p>
        </w:tc>
        <w:tc>
          <w:tcPr>
            <w:tcW w:w="1084" w:type="dxa"/>
          </w:tcPr>
          <w:p>
            <w:pPr>
              <w:pStyle w:val="0"/>
            </w:pPr>
            <w:r>
              <w:rPr>
                <w:sz w:val="20"/>
              </w:rPr>
              <w:t xml:space="preserve">2,4</w:t>
            </w:r>
          </w:p>
        </w:tc>
        <w:tc>
          <w:tcPr>
            <w:tcW w:w="859" w:type="dxa"/>
          </w:tcPr>
          <w:p>
            <w:pPr>
              <w:pStyle w:val="0"/>
            </w:pPr>
            <w:r>
              <w:rPr>
                <w:sz w:val="20"/>
              </w:rPr>
              <w:t xml:space="preserve">2,6</w:t>
            </w:r>
          </w:p>
        </w:tc>
        <w:tc>
          <w:tcPr>
            <w:tcW w:w="1084" w:type="dxa"/>
          </w:tcPr>
          <w:p>
            <w:pPr>
              <w:pStyle w:val="0"/>
            </w:pPr>
            <w:r>
              <w:rPr>
                <w:sz w:val="20"/>
              </w:rPr>
              <w:t xml:space="preserve">2,0</w:t>
            </w:r>
          </w:p>
        </w:tc>
        <w:tc>
          <w:tcPr>
            <w:tcW w:w="859" w:type="dxa"/>
          </w:tcPr>
          <w:p>
            <w:pPr>
              <w:pStyle w:val="0"/>
            </w:pPr>
            <w:r>
              <w:rPr>
                <w:sz w:val="20"/>
              </w:rPr>
              <w:t xml:space="preserve">3,3</w:t>
            </w:r>
          </w:p>
        </w:tc>
        <w:tc>
          <w:tcPr>
            <w:tcW w:w="1084" w:type="dxa"/>
          </w:tcPr>
          <w:p>
            <w:pPr>
              <w:pStyle w:val="0"/>
            </w:pPr>
            <w:r>
              <w:rPr>
                <w:sz w:val="20"/>
              </w:rPr>
              <w:t xml:space="preserve">3,1</w:t>
            </w:r>
          </w:p>
        </w:tc>
        <w:tc>
          <w:tcPr>
            <w:tcW w:w="859" w:type="dxa"/>
          </w:tcPr>
          <w:p>
            <w:pPr>
              <w:pStyle w:val="0"/>
            </w:pPr>
            <w:r>
              <w:rPr>
                <w:sz w:val="20"/>
              </w:rPr>
              <w:t xml:space="preserve">2,1</w:t>
            </w:r>
          </w:p>
        </w:tc>
        <w:tc>
          <w:tcPr>
            <w:tcW w:w="1084" w:type="dxa"/>
          </w:tcPr>
          <w:p>
            <w:pPr>
              <w:pStyle w:val="0"/>
            </w:pPr>
            <w:r>
              <w:rPr>
                <w:sz w:val="20"/>
              </w:rPr>
              <w:t xml:space="preserve">1,6</w:t>
            </w:r>
          </w:p>
        </w:tc>
        <w:tc>
          <w:tcPr>
            <w:tcW w:w="859" w:type="dxa"/>
          </w:tcPr>
          <w:p>
            <w:pPr>
              <w:pStyle w:val="0"/>
            </w:pPr>
            <w:r>
              <w:rPr>
                <w:sz w:val="20"/>
              </w:rPr>
              <w:t xml:space="preserve">2,1</w:t>
            </w:r>
          </w:p>
        </w:tc>
        <w:tc>
          <w:tcPr>
            <w:tcW w:w="1084" w:type="dxa"/>
          </w:tcPr>
          <w:p>
            <w:pPr>
              <w:pStyle w:val="0"/>
            </w:pPr>
            <w:r>
              <w:rPr>
                <w:sz w:val="20"/>
              </w:rPr>
              <w:t xml:space="preserve">1,7</w:t>
            </w:r>
          </w:p>
        </w:tc>
        <w:tc>
          <w:tcPr>
            <w:tcW w:w="859" w:type="dxa"/>
          </w:tcPr>
          <w:p>
            <w:pPr>
              <w:pStyle w:val="0"/>
            </w:pPr>
            <w:r>
              <w:rPr>
                <w:sz w:val="20"/>
              </w:rPr>
              <w:t xml:space="preserve">2,7</w:t>
            </w:r>
          </w:p>
        </w:tc>
        <w:tc>
          <w:tcPr>
            <w:tcW w:w="1084" w:type="dxa"/>
          </w:tcPr>
          <w:p>
            <w:pPr>
              <w:pStyle w:val="0"/>
            </w:pPr>
            <w:r>
              <w:rPr>
                <w:sz w:val="20"/>
              </w:rPr>
              <w:t xml:space="preserve">2,5</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7,2</w:t>
            </w:r>
          </w:p>
        </w:tc>
        <w:tc>
          <w:tcPr>
            <w:tcW w:w="1084" w:type="dxa"/>
          </w:tcPr>
          <w:p>
            <w:pPr>
              <w:pStyle w:val="0"/>
            </w:pPr>
            <w:r>
              <w:rPr>
                <w:sz w:val="20"/>
              </w:rPr>
              <w:t xml:space="preserve">5,1</w:t>
            </w:r>
          </w:p>
        </w:tc>
        <w:tc>
          <w:tcPr>
            <w:tcW w:w="859" w:type="dxa"/>
          </w:tcPr>
          <w:p>
            <w:pPr>
              <w:pStyle w:val="0"/>
            </w:pPr>
            <w:r>
              <w:rPr>
                <w:sz w:val="20"/>
              </w:rPr>
              <w:t xml:space="preserve">10,1</w:t>
            </w:r>
          </w:p>
        </w:tc>
        <w:tc>
          <w:tcPr>
            <w:tcW w:w="1084" w:type="dxa"/>
          </w:tcPr>
          <w:p>
            <w:pPr>
              <w:pStyle w:val="0"/>
            </w:pPr>
            <w:r>
              <w:rPr>
                <w:sz w:val="20"/>
              </w:rPr>
              <w:t xml:space="preserve">8,4</w:t>
            </w:r>
          </w:p>
        </w:tc>
        <w:tc>
          <w:tcPr>
            <w:tcW w:w="859" w:type="dxa"/>
          </w:tcPr>
          <w:p>
            <w:pPr>
              <w:pStyle w:val="0"/>
            </w:pPr>
            <w:r>
              <w:rPr>
                <w:sz w:val="20"/>
              </w:rPr>
              <w:t xml:space="preserve">8,6</w:t>
            </w:r>
          </w:p>
        </w:tc>
        <w:tc>
          <w:tcPr>
            <w:tcW w:w="1084" w:type="dxa"/>
          </w:tcPr>
          <w:p>
            <w:pPr>
              <w:pStyle w:val="0"/>
            </w:pPr>
            <w:r>
              <w:rPr>
                <w:sz w:val="20"/>
              </w:rPr>
              <w:t xml:space="preserve">6,5</w:t>
            </w:r>
          </w:p>
        </w:tc>
        <w:tc>
          <w:tcPr>
            <w:tcW w:w="859" w:type="dxa"/>
          </w:tcPr>
          <w:p>
            <w:pPr>
              <w:pStyle w:val="0"/>
            </w:pPr>
            <w:r>
              <w:rPr>
                <w:sz w:val="20"/>
              </w:rPr>
              <w:t xml:space="preserve">11,4</w:t>
            </w:r>
          </w:p>
        </w:tc>
        <w:tc>
          <w:tcPr>
            <w:tcW w:w="1084" w:type="dxa"/>
          </w:tcPr>
          <w:p>
            <w:pPr>
              <w:pStyle w:val="0"/>
            </w:pPr>
            <w:r>
              <w:rPr>
                <w:sz w:val="20"/>
              </w:rPr>
              <w:t xml:space="preserve">10,6</w:t>
            </w:r>
          </w:p>
        </w:tc>
        <w:tc>
          <w:tcPr>
            <w:tcW w:w="859" w:type="dxa"/>
          </w:tcPr>
          <w:p>
            <w:pPr>
              <w:pStyle w:val="0"/>
            </w:pPr>
            <w:r>
              <w:rPr>
                <w:sz w:val="20"/>
              </w:rPr>
              <w:t xml:space="preserve">9,3</w:t>
            </w:r>
          </w:p>
        </w:tc>
        <w:tc>
          <w:tcPr>
            <w:tcW w:w="1084" w:type="dxa"/>
          </w:tcPr>
          <w:p>
            <w:pPr>
              <w:pStyle w:val="0"/>
            </w:pPr>
            <w:r>
              <w:rPr>
                <w:sz w:val="20"/>
              </w:rPr>
              <w:t xml:space="preserve">8,4</w:t>
            </w:r>
          </w:p>
        </w:tc>
        <w:tc>
          <w:tcPr>
            <w:tcW w:w="859" w:type="dxa"/>
          </w:tcPr>
          <w:p>
            <w:pPr>
              <w:pStyle w:val="0"/>
            </w:pPr>
            <w:r>
              <w:rPr>
                <w:sz w:val="20"/>
              </w:rPr>
              <w:t xml:space="preserve">9,2</w:t>
            </w:r>
          </w:p>
        </w:tc>
        <w:tc>
          <w:tcPr>
            <w:tcW w:w="1084" w:type="dxa"/>
          </w:tcPr>
          <w:p>
            <w:pPr>
              <w:pStyle w:val="0"/>
            </w:pPr>
            <w:r>
              <w:rPr>
                <w:sz w:val="20"/>
              </w:rPr>
              <w:t xml:space="preserve">7,5</w:t>
            </w:r>
          </w:p>
        </w:tc>
        <w:tc>
          <w:tcPr>
            <w:tcW w:w="859" w:type="dxa"/>
          </w:tcPr>
          <w:p>
            <w:pPr>
              <w:pStyle w:val="0"/>
            </w:pPr>
            <w:r>
              <w:rPr>
                <w:sz w:val="20"/>
              </w:rPr>
              <w:t xml:space="preserve">10,8</w:t>
            </w:r>
          </w:p>
        </w:tc>
        <w:tc>
          <w:tcPr>
            <w:tcW w:w="1084" w:type="dxa"/>
          </w:tcPr>
          <w:p>
            <w:pPr>
              <w:pStyle w:val="0"/>
            </w:pPr>
            <w:r>
              <w:rPr>
                <w:sz w:val="20"/>
              </w:rPr>
              <w:t xml:space="preserve">8,2</w:t>
            </w:r>
          </w:p>
        </w:tc>
        <w:tc>
          <w:tcPr>
            <w:tcW w:w="859" w:type="dxa"/>
          </w:tcPr>
          <w:p>
            <w:pPr>
              <w:pStyle w:val="0"/>
            </w:pPr>
            <w:r>
              <w:rPr>
                <w:sz w:val="20"/>
              </w:rPr>
              <w:t xml:space="preserve">11,1</w:t>
            </w:r>
          </w:p>
        </w:tc>
        <w:tc>
          <w:tcPr>
            <w:tcW w:w="1084" w:type="dxa"/>
          </w:tcPr>
          <w:p>
            <w:pPr>
              <w:pStyle w:val="0"/>
            </w:pPr>
            <w:r>
              <w:rPr>
                <w:sz w:val="20"/>
              </w:rPr>
              <w:t xml:space="preserve">7,6</w:t>
            </w:r>
          </w:p>
        </w:tc>
        <w:tc>
          <w:tcPr>
            <w:tcW w:w="859" w:type="dxa"/>
          </w:tcPr>
          <w:p>
            <w:pPr>
              <w:pStyle w:val="0"/>
            </w:pPr>
            <w:r>
              <w:rPr>
                <w:sz w:val="20"/>
              </w:rPr>
              <w:t xml:space="preserve">11,8</w:t>
            </w:r>
          </w:p>
        </w:tc>
        <w:tc>
          <w:tcPr>
            <w:tcW w:w="1084" w:type="dxa"/>
          </w:tcPr>
          <w:p>
            <w:pPr>
              <w:pStyle w:val="0"/>
            </w:pPr>
            <w:r>
              <w:rPr>
                <w:sz w:val="20"/>
              </w:rPr>
              <w:t xml:space="preserve">8,6</w:t>
            </w:r>
          </w:p>
        </w:tc>
        <w:tc>
          <w:tcPr>
            <w:tcW w:w="859" w:type="dxa"/>
          </w:tcPr>
          <w:p>
            <w:pPr>
              <w:pStyle w:val="0"/>
            </w:pPr>
            <w:r>
              <w:rPr>
                <w:sz w:val="20"/>
              </w:rPr>
              <w:t xml:space="preserve">12,3</w:t>
            </w:r>
          </w:p>
        </w:tc>
        <w:tc>
          <w:tcPr>
            <w:tcW w:w="1084" w:type="dxa"/>
          </w:tcPr>
          <w:p>
            <w:pPr>
              <w:pStyle w:val="0"/>
            </w:pPr>
            <w:r>
              <w:rPr>
                <w:sz w:val="20"/>
              </w:rPr>
              <w:t xml:space="preserve">8,7</w:t>
            </w:r>
          </w:p>
        </w:tc>
      </w:tr>
      <w:tr>
        <w:tc>
          <w:tcPr>
            <w:tcW w:w="2089" w:type="dxa"/>
            <w:vMerge w:val="restart"/>
          </w:tcPr>
          <w:p>
            <w:pPr>
              <w:pStyle w:val="0"/>
            </w:pPr>
            <w:r>
              <w:rPr>
                <w:sz w:val="20"/>
              </w:rPr>
              <w:t xml:space="preserve">лимфатической и кроветворной ткани (С81 - С96)</w:t>
            </w:r>
          </w:p>
        </w:tc>
        <w:tc>
          <w:tcPr>
            <w:tcW w:w="850" w:type="dxa"/>
          </w:tcPr>
          <w:p>
            <w:pPr>
              <w:pStyle w:val="0"/>
            </w:pPr>
            <w:r>
              <w:rPr>
                <w:sz w:val="20"/>
              </w:rPr>
              <w:t xml:space="preserve">оба пола</w:t>
            </w:r>
          </w:p>
        </w:tc>
        <w:tc>
          <w:tcPr>
            <w:tcW w:w="859" w:type="dxa"/>
          </w:tcPr>
          <w:p>
            <w:pPr>
              <w:pStyle w:val="0"/>
            </w:pPr>
            <w:r>
              <w:rPr>
                <w:sz w:val="20"/>
              </w:rPr>
              <w:t xml:space="preserve">14,2</w:t>
            </w:r>
          </w:p>
        </w:tc>
        <w:tc>
          <w:tcPr>
            <w:tcW w:w="1084" w:type="dxa"/>
          </w:tcPr>
          <w:p>
            <w:pPr>
              <w:pStyle w:val="0"/>
            </w:pPr>
            <w:r>
              <w:rPr>
                <w:sz w:val="20"/>
              </w:rPr>
              <w:t xml:space="preserve">16,5</w:t>
            </w:r>
          </w:p>
        </w:tc>
        <w:tc>
          <w:tcPr>
            <w:tcW w:w="859" w:type="dxa"/>
          </w:tcPr>
          <w:p>
            <w:pPr>
              <w:pStyle w:val="0"/>
            </w:pPr>
            <w:r>
              <w:rPr>
                <w:sz w:val="20"/>
              </w:rPr>
              <w:t xml:space="preserve">16,0</w:t>
            </w:r>
          </w:p>
        </w:tc>
        <w:tc>
          <w:tcPr>
            <w:tcW w:w="1084" w:type="dxa"/>
          </w:tcPr>
          <w:p>
            <w:pPr>
              <w:pStyle w:val="0"/>
            </w:pPr>
            <w:r>
              <w:rPr>
                <w:sz w:val="20"/>
              </w:rPr>
              <w:t xml:space="preserve">17,8</w:t>
            </w:r>
          </w:p>
        </w:tc>
        <w:tc>
          <w:tcPr>
            <w:tcW w:w="859" w:type="dxa"/>
          </w:tcPr>
          <w:p>
            <w:pPr>
              <w:pStyle w:val="0"/>
            </w:pPr>
            <w:r>
              <w:rPr>
                <w:sz w:val="20"/>
              </w:rPr>
              <w:t xml:space="preserve">13,3</w:t>
            </w:r>
          </w:p>
        </w:tc>
        <w:tc>
          <w:tcPr>
            <w:tcW w:w="1084" w:type="dxa"/>
          </w:tcPr>
          <w:p>
            <w:pPr>
              <w:pStyle w:val="0"/>
            </w:pPr>
            <w:r>
              <w:rPr>
                <w:sz w:val="20"/>
              </w:rPr>
              <w:t xml:space="preserve">13,2</w:t>
            </w:r>
          </w:p>
        </w:tc>
        <w:tc>
          <w:tcPr>
            <w:tcW w:w="859" w:type="dxa"/>
          </w:tcPr>
          <w:p>
            <w:pPr>
              <w:pStyle w:val="0"/>
            </w:pPr>
            <w:r>
              <w:rPr>
                <w:sz w:val="20"/>
              </w:rPr>
              <w:t xml:space="preserve">14,5</w:t>
            </w:r>
          </w:p>
        </w:tc>
        <w:tc>
          <w:tcPr>
            <w:tcW w:w="1084" w:type="dxa"/>
          </w:tcPr>
          <w:p>
            <w:pPr>
              <w:pStyle w:val="0"/>
            </w:pPr>
            <w:r>
              <w:rPr>
                <w:sz w:val="20"/>
              </w:rPr>
              <w:t xml:space="preserve">14,7</w:t>
            </w:r>
          </w:p>
        </w:tc>
        <w:tc>
          <w:tcPr>
            <w:tcW w:w="859" w:type="dxa"/>
          </w:tcPr>
          <w:p>
            <w:pPr>
              <w:pStyle w:val="0"/>
            </w:pPr>
            <w:r>
              <w:rPr>
                <w:sz w:val="20"/>
              </w:rPr>
              <w:t xml:space="preserve">13,8</w:t>
            </w:r>
          </w:p>
        </w:tc>
        <w:tc>
          <w:tcPr>
            <w:tcW w:w="1084" w:type="dxa"/>
          </w:tcPr>
          <w:p>
            <w:pPr>
              <w:pStyle w:val="0"/>
            </w:pPr>
            <w:r>
              <w:rPr>
                <w:sz w:val="20"/>
              </w:rPr>
              <w:t xml:space="preserve">15,5</w:t>
            </w:r>
          </w:p>
        </w:tc>
        <w:tc>
          <w:tcPr>
            <w:tcW w:w="859" w:type="dxa"/>
          </w:tcPr>
          <w:p>
            <w:pPr>
              <w:pStyle w:val="0"/>
            </w:pPr>
            <w:r>
              <w:rPr>
                <w:sz w:val="20"/>
              </w:rPr>
              <w:t xml:space="preserve">13,1</w:t>
            </w:r>
          </w:p>
        </w:tc>
        <w:tc>
          <w:tcPr>
            <w:tcW w:w="1084" w:type="dxa"/>
          </w:tcPr>
          <w:p>
            <w:pPr>
              <w:pStyle w:val="0"/>
            </w:pPr>
            <w:r>
              <w:rPr>
                <w:sz w:val="20"/>
              </w:rPr>
              <w:t xml:space="preserve">5,6</w:t>
            </w:r>
          </w:p>
        </w:tc>
        <w:tc>
          <w:tcPr>
            <w:tcW w:w="859" w:type="dxa"/>
          </w:tcPr>
          <w:p>
            <w:pPr>
              <w:pStyle w:val="0"/>
            </w:pPr>
            <w:r>
              <w:rPr>
                <w:sz w:val="20"/>
              </w:rPr>
              <w:t xml:space="preserve">12,3</w:t>
            </w:r>
          </w:p>
        </w:tc>
        <w:tc>
          <w:tcPr>
            <w:tcW w:w="1084" w:type="dxa"/>
          </w:tcPr>
          <w:p>
            <w:pPr>
              <w:pStyle w:val="0"/>
            </w:pPr>
            <w:r>
              <w:rPr>
                <w:sz w:val="20"/>
              </w:rPr>
              <w:t xml:space="preserve">10,8</w:t>
            </w:r>
          </w:p>
        </w:tc>
        <w:tc>
          <w:tcPr>
            <w:tcW w:w="859" w:type="dxa"/>
          </w:tcPr>
          <w:p>
            <w:pPr>
              <w:pStyle w:val="0"/>
            </w:pPr>
            <w:r>
              <w:rPr>
                <w:sz w:val="20"/>
              </w:rPr>
              <w:t xml:space="preserve">16,2</w:t>
            </w:r>
          </w:p>
        </w:tc>
        <w:tc>
          <w:tcPr>
            <w:tcW w:w="1084" w:type="dxa"/>
          </w:tcPr>
          <w:p>
            <w:pPr>
              <w:pStyle w:val="0"/>
            </w:pPr>
            <w:r>
              <w:rPr>
                <w:sz w:val="20"/>
              </w:rPr>
              <w:t xml:space="preserve">10,5</w:t>
            </w:r>
          </w:p>
        </w:tc>
        <w:tc>
          <w:tcPr>
            <w:tcW w:w="859" w:type="dxa"/>
          </w:tcPr>
          <w:p>
            <w:pPr>
              <w:pStyle w:val="0"/>
            </w:pPr>
            <w:r>
              <w:rPr>
                <w:sz w:val="20"/>
              </w:rPr>
              <w:t xml:space="preserve">14,5</w:t>
            </w:r>
          </w:p>
        </w:tc>
        <w:tc>
          <w:tcPr>
            <w:tcW w:w="1084" w:type="dxa"/>
          </w:tcPr>
          <w:p>
            <w:pPr>
              <w:pStyle w:val="0"/>
            </w:pPr>
            <w:r>
              <w:rPr>
                <w:sz w:val="20"/>
              </w:rPr>
              <w:t xml:space="preserve">11,75</w:t>
            </w:r>
          </w:p>
        </w:tc>
        <w:tc>
          <w:tcPr>
            <w:tcW w:w="859" w:type="dxa"/>
          </w:tcPr>
          <w:p>
            <w:pPr>
              <w:pStyle w:val="0"/>
            </w:pPr>
            <w:r>
              <w:rPr>
                <w:sz w:val="20"/>
              </w:rPr>
              <w:t xml:space="preserve">14,2</w:t>
            </w:r>
          </w:p>
        </w:tc>
        <w:tc>
          <w:tcPr>
            <w:tcW w:w="1084" w:type="dxa"/>
          </w:tcPr>
          <w:p>
            <w:pPr>
              <w:pStyle w:val="0"/>
            </w:pPr>
            <w:r>
              <w:rPr>
                <w:sz w:val="20"/>
              </w:rPr>
              <w:t xml:space="preserve">н/д</w:t>
            </w:r>
          </w:p>
        </w:tc>
      </w:tr>
      <w:tr>
        <w:tc>
          <w:tcPr>
            <w:vMerge w:val="continue"/>
          </w:tcPr>
          <w:p/>
        </w:tc>
        <w:tc>
          <w:tcPr>
            <w:tcW w:w="850" w:type="dxa"/>
          </w:tcPr>
          <w:p>
            <w:pPr>
              <w:pStyle w:val="0"/>
            </w:pPr>
            <w:r>
              <w:rPr>
                <w:sz w:val="20"/>
              </w:rPr>
              <w:t xml:space="preserve">М</w:t>
            </w:r>
          </w:p>
        </w:tc>
        <w:tc>
          <w:tcPr>
            <w:tcW w:w="859" w:type="dxa"/>
          </w:tcPr>
          <w:p>
            <w:pPr>
              <w:pStyle w:val="0"/>
            </w:pPr>
            <w:r>
              <w:rPr>
                <w:sz w:val="20"/>
              </w:rPr>
              <w:t xml:space="preserve">15,7</w:t>
            </w:r>
          </w:p>
        </w:tc>
        <w:tc>
          <w:tcPr>
            <w:tcW w:w="1084" w:type="dxa"/>
          </w:tcPr>
          <w:p>
            <w:pPr>
              <w:pStyle w:val="0"/>
            </w:pPr>
            <w:r>
              <w:rPr>
                <w:sz w:val="20"/>
              </w:rPr>
              <w:t xml:space="preserve">22,2</w:t>
            </w:r>
          </w:p>
        </w:tc>
        <w:tc>
          <w:tcPr>
            <w:tcW w:w="859" w:type="dxa"/>
          </w:tcPr>
          <w:p>
            <w:pPr>
              <w:pStyle w:val="0"/>
            </w:pPr>
            <w:r>
              <w:rPr>
                <w:sz w:val="20"/>
              </w:rPr>
              <w:t xml:space="preserve">18,2</w:t>
            </w:r>
          </w:p>
        </w:tc>
        <w:tc>
          <w:tcPr>
            <w:tcW w:w="1084" w:type="dxa"/>
          </w:tcPr>
          <w:p>
            <w:pPr>
              <w:pStyle w:val="0"/>
            </w:pPr>
            <w:r>
              <w:rPr>
                <w:sz w:val="20"/>
              </w:rPr>
              <w:t xml:space="preserve">22,9</w:t>
            </w:r>
          </w:p>
        </w:tc>
        <w:tc>
          <w:tcPr>
            <w:tcW w:w="859" w:type="dxa"/>
          </w:tcPr>
          <w:p>
            <w:pPr>
              <w:pStyle w:val="0"/>
            </w:pPr>
            <w:r>
              <w:rPr>
                <w:sz w:val="20"/>
              </w:rPr>
              <w:t xml:space="preserve">13,7</w:t>
            </w:r>
          </w:p>
        </w:tc>
        <w:tc>
          <w:tcPr>
            <w:tcW w:w="1084" w:type="dxa"/>
          </w:tcPr>
          <w:p>
            <w:pPr>
              <w:pStyle w:val="0"/>
            </w:pPr>
            <w:r>
              <w:rPr>
                <w:sz w:val="20"/>
              </w:rPr>
              <w:t xml:space="preserve">15,0</w:t>
            </w:r>
          </w:p>
        </w:tc>
        <w:tc>
          <w:tcPr>
            <w:tcW w:w="859" w:type="dxa"/>
          </w:tcPr>
          <w:p>
            <w:pPr>
              <w:pStyle w:val="0"/>
            </w:pPr>
            <w:r>
              <w:rPr>
                <w:sz w:val="20"/>
              </w:rPr>
              <w:t xml:space="preserve">14,9</w:t>
            </w:r>
          </w:p>
        </w:tc>
        <w:tc>
          <w:tcPr>
            <w:tcW w:w="1084" w:type="dxa"/>
          </w:tcPr>
          <w:p>
            <w:pPr>
              <w:pStyle w:val="0"/>
            </w:pPr>
            <w:r>
              <w:rPr>
                <w:sz w:val="20"/>
              </w:rPr>
              <w:t xml:space="preserve">44,3</w:t>
            </w:r>
          </w:p>
        </w:tc>
        <w:tc>
          <w:tcPr>
            <w:tcW w:w="859" w:type="dxa"/>
          </w:tcPr>
          <w:p>
            <w:pPr>
              <w:pStyle w:val="0"/>
            </w:pPr>
            <w:r>
              <w:rPr>
                <w:sz w:val="20"/>
              </w:rPr>
              <w:t xml:space="preserve">14,9</w:t>
            </w:r>
          </w:p>
        </w:tc>
        <w:tc>
          <w:tcPr>
            <w:tcW w:w="1084" w:type="dxa"/>
          </w:tcPr>
          <w:p>
            <w:pPr>
              <w:pStyle w:val="0"/>
            </w:pPr>
            <w:r>
              <w:rPr>
                <w:sz w:val="20"/>
              </w:rPr>
              <w:t xml:space="preserve">19,3</w:t>
            </w:r>
          </w:p>
        </w:tc>
        <w:tc>
          <w:tcPr>
            <w:tcW w:w="859" w:type="dxa"/>
          </w:tcPr>
          <w:p>
            <w:pPr>
              <w:pStyle w:val="0"/>
            </w:pPr>
            <w:r>
              <w:rPr>
                <w:sz w:val="20"/>
              </w:rPr>
              <w:t xml:space="preserve">14,7</w:t>
            </w:r>
          </w:p>
        </w:tc>
        <w:tc>
          <w:tcPr>
            <w:tcW w:w="1084" w:type="dxa"/>
          </w:tcPr>
          <w:p>
            <w:pPr>
              <w:pStyle w:val="0"/>
            </w:pPr>
            <w:r>
              <w:rPr>
                <w:sz w:val="20"/>
              </w:rPr>
              <w:t xml:space="preserve">6,8</w:t>
            </w:r>
          </w:p>
        </w:tc>
        <w:tc>
          <w:tcPr>
            <w:tcW w:w="859" w:type="dxa"/>
          </w:tcPr>
          <w:p>
            <w:pPr>
              <w:pStyle w:val="0"/>
            </w:pPr>
            <w:r>
              <w:rPr>
                <w:sz w:val="20"/>
              </w:rPr>
              <w:t xml:space="preserve">12,1</w:t>
            </w:r>
          </w:p>
        </w:tc>
        <w:tc>
          <w:tcPr>
            <w:tcW w:w="1084" w:type="dxa"/>
          </w:tcPr>
          <w:p>
            <w:pPr>
              <w:pStyle w:val="0"/>
            </w:pPr>
            <w:r>
              <w:rPr>
                <w:sz w:val="20"/>
              </w:rPr>
              <w:t xml:space="preserve">11,5</w:t>
            </w:r>
          </w:p>
        </w:tc>
        <w:tc>
          <w:tcPr>
            <w:tcW w:w="859" w:type="dxa"/>
          </w:tcPr>
          <w:p>
            <w:pPr>
              <w:pStyle w:val="0"/>
            </w:pPr>
            <w:r>
              <w:rPr>
                <w:sz w:val="20"/>
              </w:rPr>
              <w:t xml:space="preserve">16,5</w:t>
            </w:r>
          </w:p>
        </w:tc>
        <w:tc>
          <w:tcPr>
            <w:tcW w:w="1084" w:type="dxa"/>
          </w:tcPr>
          <w:p>
            <w:pPr>
              <w:pStyle w:val="0"/>
            </w:pPr>
            <w:r>
              <w:rPr>
                <w:sz w:val="20"/>
              </w:rPr>
              <w:t xml:space="preserve">12,3</w:t>
            </w:r>
          </w:p>
        </w:tc>
        <w:tc>
          <w:tcPr>
            <w:tcW w:w="859" w:type="dxa"/>
          </w:tcPr>
          <w:p>
            <w:pPr>
              <w:pStyle w:val="0"/>
            </w:pPr>
            <w:r>
              <w:rPr>
                <w:sz w:val="20"/>
              </w:rPr>
              <w:t xml:space="preserve">16,3</w:t>
            </w:r>
          </w:p>
        </w:tc>
        <w:tc>
          <w:tcPr>
            <w:tcW w:w="1084" w:type="dxa"/>
          </w:tcPr>
          <w:p>
            <w:pPr>
              <w:pStyle w:val="0"/>
            </w:pPr>
            <w:r>
              <w:rPr>
                <w:sz w:val="20"/>
              </w:rPr>
              <w:t xml:space="preserve">14,48</w:t>
            </w:r>
          </w:p>
        </w:tc>
        <w:tc>
          <w:tcPr>
            <w:tcW w:w="859" w:type="dxa"/>
          </w:tcPr>
          <w:p>
            <w:pPr>
              <w:pStyle w:val="0"/>
            </w:pPr>
            <w:r>
              <w:rPr>
                <w:sz w:val="20"/>
              </w:rPr>
              <w:t xml:space="preserve">14,9</w:t>
            </w:r>
          </w:p>
        </w:tc>
        <w:tc>
          <w:tcPr>
            <w:tcW w:w="1084" w:type="dxa"/>
          </w:tcPr>
          <w:p>
            <w:pPr>
              <w:pStyle w:val="0"/>
            </w:pPr>
            <w:r>
              <w:rPr>
                <w:sz w:val="20"/>
              </w:rPr>
              <w:t xml:space="preserve">н/д</w:t>
            </w:r>
          </w:p>
        </w:tc>
      </w:tr>
      <w:tr>
        <w:tc>
          <w:tcPr>
            <w:vMerge w:val="continue"/>
          </w:tcPr>
          <w:p/>
        </w:tc>
        <w:tc>
          <w:tcPr>
            <w:tcW w:w="850" w:type="dxa"/>
          </w:tcPr>
          <w:p>
            <w:pPr>
              <w:pStyle w:val="0"/>
            </w:pPr>
            <w:r>
              <w:rPr>
                <w:sz w:val="20"/>
              </w:rPr>
              <w:t xml:space="preserve">Ж</w:t>
            </w:r>
          </w:p>
        </w:tc>
        <w:tc>
          <w:tcPr>
            <w:tcW w:w="859" w:type="dxa"/>
          </w:tcPr>
          <w:p>
            <w:pPr>
              <w:pStyle w:val="0"/>
            </w:pPr>
            <w:r>
              <w:rPr>
                <w:sz w:val="20"/>
              </w:rPr>
              <w:t xml:space="preserve">12,8</w:t>
            </w:r>
          </w:p>
        </w:tc>
        <w:tc>
          <w:tcPr>
            <w:tcW w:w="1084" w:type="dxa"/>
          </w:tcPr>
          <w:p>
            <w:pPr>
              <w:pStyle w:val="0"/>
            </w:pPr>
            <w:r>
              <w:rPr>
                <w:sz w:val="20"/>
              </w:rPr>
              <w:t xml:space="preserve">13,4</w:t>
            </w:r>
          </w:p>
        </w:tc>
        <w:tc>
          <w:tcPr>
            <w:tcW w:w="859" w:type="dxa"/>
          </w:tcPr>
          <w:p>
            <w:pPr>
              <w:pStyle w:val="0"/>
            </w:pPr>
            <w:r>
              <w:rPr>
                <w:sz w:val="20"/>
              </w:rPr>
              <w:t xml:space="preserve">14,0</w:t>
            </w:r>
          </w:p>
        </w:tc>
        <w:tc>
          <w:tcPr>
            <w:tcW w:w="1084" w:type="dxa"/>
          </w:tcPr>
          <w:p>
            <w:pPr>
              <w:pStyle w:val="0"/>
            </w:pPr>
            <w:r>
              <w:rPr>
                <w:sz w:val="20"/>
              </w:rPr>
              <w:t xml:space="preserve">13,9</w:t>
            </w:r>
          </w:p>
        </w:tc>
        <w:tc>
          <w:tcPr>
            <w:tcW w:w="859" w:type="dxa"/>
          </w:tcPr>
          <w:p>
            <w:pPr>
              <w:pStyle w:val="0"/>
            </w:pPr>
            <w:r>
              <w:rPr>
                <w:sz w:val="20"/>
              </w:rPr>
              <w:t xml:space="preserve">12,9</w:t>
            </w:r>
          </w:p>
        </w:tc>
        <w:tc>
          <w:tcPr>
            <w:tcW w:w="1084" w:type="dxa"/>
          </w:tcPr>
          <w:p>
            <w:pPr>
              <w:pStyle w:val="0"/>
            </w:pPr>
            <w:r>
              <w:rPr>
                <w:sz w:val="20"/>
              </w:rPr>
              <w:t xml:space="preserve">11,8</w:t>
            </w:r>
          </w:p>
        </w:tc>
        <w:tc>
          <w:tcPr>
            <w:tcW w:w="859" w:type="dxa"/>
          </w:tcPr>
          <w:p>
            <w:pPr>
              <w:pStyle w:val="0"/>
            </w:pPr>
            <w:r>
              <w:rPr>
                <w:sz w:val="20"/>
              </w:rPr>
              <w:t xml:space="preserve">14,2</w:t>
            </w:r>
          </w:p>
        </w:tc>
        <w:tc>
          <w:tcPr>
            <w:tcW w:w="1084" w:type="dxa"/>
          </w:tcPr>
          <w:p>
            <w:pPr>
              <w:pStyle w:val="0"/>
            </w:pPr>
            <w:r>
              <w:rPr>
                <w:sz w:val="20"/>
              </w:rPr>
              <w:t xml:space="preserve">13,3</w:t>
            </w:r>
          </w:p>
        </w:tc>
        <w:tc>
          <w:tcPr>
            <w:tcW w:w="859" w:type="dxa"/>
          </w:tcPr>
          <w:p>
            <w:pPr>
              <w:pStyle w:val="0"/>
            </w:pPr>
            <w:r>
              <w:rPr>
                <w:sz w:val="20"/>
              </w:rPr>
              <w:t xml:space="preserve">12,8</w:t>
            </w:r>
          </w:p>
        </w:tc>
        <w:tc>
          <w:tcPr>
            <w:tcW w:w="1084" w:type="dxa"/>
          </w:tcPr>
          <w:p>
            <w:pPr>
              <w:pStyle w:val="0"/>
            </w:pPr>
            <w:r>
              <w:rPr>
                <w:sz w:val="20"/>
              </w:rPr>
              <w:t xml:space="preserve">12,4</w:t>
            </w:r>
          </w:p>
        </w:tc>
        <w:tc>
          <w:tcPr>
            <w:tcW w:w="859" w:type="dxa"/>
          </w:tcPr>
          <w:p>
            <w:pPr>
              <w:pStyle w:val="0"/>
            </w:pPr>
            <w:r>
              <w:rPr>
                <w:sz w:val="20"/>
              </w:rPr>
              <w:t xml:space="preserve">11,5</w:t>
            </w:r>
          </w:p>
        </w:tc>
        <w:tc>
          <w:tcPr>
            <w:tcW w:w="1084" w:type="dxa"/>
          </w:tcPr>
          <w:p>
            <w:pPr>
              <w:pStyle w:val="0"/>
            </w:pPr>
            <w:r>
              <w:rPr>
                <w:sz w:val="20"/>
              </w:rPr>
              <w:t xml:space="preserve">4,6</w:t>
            </w:r>
          </w:p>
        </w:tc>
        <w:tc>
          <w:tcPr>
            <w:tcW w:w="859" w:type="dxa"/>
          </w:tcPr>
          <w:p>
            <w:pPr>
              <w:pStyle w:val="0"/>
            </w:pPr>
            <w:r>
              <w:rPr>
                <w:sz w:val="20"/>
              </w:rPr>
              <w:t xml:space="preserve">12,4</w:t>
            </w:r>
          </w:p>
        </w:tc>
        <w:tc>
          <w:tcPr>
            <w:tcW w:w="1084" w:type="dxa"/>
          </w:tcPr>
          <w:p>
            <w:pPr>
              <w:pStyle w:val="0"/>
            </w:pPr>
            <w:r>
              <w:rPr>
                <w:sz w:val="20"/>
              </w:rPr>
              <w:t xml:space="preserve">10,4</w:t>
            </w:r>
          </w:p>
        </w:tc>
        <w:tc>
          <w:tcPr>
            <w:tcW w:w="859" w:type="dxa"/>
          </w:tcPr>
          <w:p>
            <w:pPr>
              <w:pStyle w:val="0"/>
            </w:pPr>
            <w:r>
              <w:rPr>
                <w:sz w:val="20"/>
              </w:rPr>
              <w:t xml:space="preserve">16,0</w:t>
            </w:r>
          </w:p>
        </w:tc>
        <w:tc>
          <w:tcPr>
            <w:tcW w:w="1084" w:type="dxa"/>
          </w:tcPr>
          <w:p>
            <w:pPr>
              <w:pStyle w:val="0"/>
            </w:pPr>
            <w:r>
              <w:rPr>
                <w:sz w:val="20"/>
              </w:rPr>
              <w:t xml:space="preserve">8,7</w:t>
            </w:r>
          </w:p>
        </w:tc>
        <w:tc>
          <w:tcPr>
            <w:tcW w:w="859" w:type="dxa"/>
          </w:tcPr>
          <w:p>
            <w:pPr>
              <w:pStyle w:val="0"/>
            </w:pPr>
            <w:r>
              <w:rPr>
                <w:sz w:val="20"/>
              </w:rPr>
              <w:t xml:space="preserve">12,8</w:t>
            </w:r>
          </w:p>
        </w:tc>
        <w:tc>
          <w:tcPr>
            <w:tcW w:w="1084" w:type="dxa"/>
          </w:tcPr>
          <w:p>
            <w:pPr>
              <w:pStyle w:val="0"/>
            </w:pPr>
            <w:r>
              <w:rPr>
                <w:sz w:val="20"/>
              </w:rPr>
              <w:t xml:space="preserve">9,42</w:t>
            </w:r>
          </w:p>
        </w:tc>
        <w:tc>
          <w:tcPr>
            <w:tcW w:w="859" w:type="dxa"/>
          </w:tcPr>
          <w:p>
            <w:pPr>
              <w:pStyle w:val="0"/>
            </w:pPr>
            <w:r>
              <w:rPr>
                <w:sz w:val="20"/>
              </w:rPr>
              <w:t xml:space="preserve">13,4</w:t>
            </w:r>
          </w:p>
        </w:tc>
        <w:tc>
          <w:tcPr>
            <w:tcW w:w="1084" w:type="dxa"/>
          </w:tcPr>
          <w:p>
            <w:pPr>
              <w:pStyle w:val="0"/>
            </w:pPr>
            <w:r>
              <w:rPr>
                <w:sz w:val="20"/>
              </w:rPr>
              <w:t xml:space="preserve">н/д</w:t>
            </w:r>
          </w:p>
        </w:tc>
      </w:tr>
    </w:tbl>
    <w:p>
      <w:pPr>
        <w:pStyle w:val="0"/>
        <w:ind w:firstLine="540"/>
        <w:jc w:val="both"/>
      </w:pPr>
      <w:r>
        <w:rPr>
          <w:sz w:val="20"/>
        </w:rPr>
      </w:r>
    </w:p>
    <w:p>
      <w:pPr>
        <w:pStyle w:val="0"/>
        <w:jc w:val="right"/>
      </w:pPr>
      <w:r>
        <w:rPr>
          <w:sz w:val="20"/>
        </w:rPr>
        <w:t xml:space="preserve">Таблица 7</w:t>
      </w:r>
    </w:p>
    <w:p>
      <w:pPr>
        <w:pStyle w:val="0"/>
        <w:jc w:val="right"/>
      </w:pPr>
      <w:r>
        <w:rPr>
          <w:sz w:val="20"/>
        </w:rPr>
      </w:r>
    </w:p>
    <w:p>
      <w:pPr>
        <w:pStyle w:val="0"/>
        <w:jc w:val="center"/>
      </w:pPr>
      <w:r>
        <w:rPr>
          <w:sz w:val="20"/>
        </w:rPr>
        <w:t xml:space="preserve">Контингенты больных (распространенность) злокачественными</w:t>
      </w:r>
    </w:p>
    <w:p>
      <w:pPr>
        <w:pStyle w:val="0"/>
        <w:jc w:val="center"/>
      </w:pPr>
      <w:r>
        <w:rPr>
          <w:sz w:val="20"/>
        </w:rPr>
        <w:t xml:space="preserve">новообразованиями в разрезе локализаций (на 100 тыс.</w:t>
      </w:r>
    </w:p>
    <w:p>
      <w:pPr>
        <w:pStyle w:val="0"/>
        <w:jc w:val="center"/>
      </w:pPr>
      <w:r>
        <w:rPr>
          <w:sz w:val="20"/>
        </w:rPr>
        <w:t xml:space="preserve">населения)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531"/>
        <w:gridCol w:w="850"/>
        <w:gridCol w:w="850"/>
        <w:gridCol w:w="850"/>
        <w:gridCol w:w="850"/>
        <w:gridCol w:w="850"/>
        <w:gridCol w:w="850"/>
        <w:gridCol w:w="850"/>
        <w:gridCol w:w="850"/>
        <w:gridCol w:w="850"/>
        <w:gridCol w:w="850"/>
      </w:tblGrid>
      <w:tr>
        <w:tc>
          <w:tcPr>
            <w:tcW w:w="2098" w:type="dxa"/>
            <w:vMerge w:val="restart"/>
          </w:tcPr>
          <w:p>
            <w:pPr>
              <w:pStyle w:val="0"/>
              <w:jc w:val="center"/>
            </w:pPr>
            <w:r>
              <w:rPr>
                <w:sz w:val="20"/>
              </w:rPr>
              <w:t xml:space="preserve">Локализация</w:t>
            </w:r>
          </w:p>
        </w:tc>
        <w:tc>
          <w:tcPr>
            <w:tcW w:w="1531" w:type="dxa"/>
            <w:vMerge w:val="restart"/>
          </w:tcPr>
          <w:p>
            <w:pPr>
              <w:pStyle w:val="0"/>
              <w:jc w:val="center"/>
            </w:pPr>
            <w:r>
              <w:rPr>
                <w:sz w:val="20"/>
              </w:rPr>
              <w:t xml:space="preserve">Код МКБ-10</w:t>
            </w:r>
          </w:p>
        </w:tc>
        <w:tc>
          <w:tcPr>
            <w:gridSpan w:val="10"/>
            <w:tcW w:w="8500" w:type="dxa"/>
          </w:tcPr>
          <w:p>
            <w:pPr>
              <w:pStyle w:val="0"/>
              <w:jc w:val="center"/>
            </w:pPr>
            <w:r>
              <w:rPr>
                <w:sz w:val="20"/>
              </w:rPr>
              <w:t xml:space="preserve">Годы</w:t>
            </w:r>
          </w:p>
        </w:tc>
      </w:tr>
      <w:tr>
        <w:tc>
          <w:tcPr>
            <w:vMerge w:val="continue"/>
          </w:tcPr>
          <w:p/>
        </w:tc>
        <w:tc>
          <w:tcPr>
            <w:vMerge w:val="continue"/>
          </w:tcPr>
          <w:p/>
        </w:tc>
        <w:tc>
          <w:tcPr>
            <w:tcW w:w="850" w:type="dxa"/>
          </w:tcPr>
          <w:p>
            <w:pPr>
              <w:pStyle w:val="0"/>
              <w:jc w:val="center"/>
            </w:pPr>
            <w:r>
              <w:rPr>
                <w:sz w:val="20"/>
              </w:rPr>
              <w:t xml:space="preserve">2013</w:t>
            </w:r>
          </w:p>
        </w:tc>
        <w:tc>
          <w:tcPr>
            <w:tcW w:w="850" w:type="dxa"/>
          </w:tcPr>
          <w:p>
            <w:pPr>
              <w:pStyle w:val="0"/>
              <w:jc w:val="center"/>
            </w:pPr>
            <w:r>
              <w:rPr>
                <w:sz w:val="20"/>
              </w:rPr>
              <w:t xml:space="preserve">2014</w:t>
            </w:r>
          </w:p>
        </w:tc>
        <w:tc>
          <w:tcPr>
            <w:tcW w:w="850" w:type="dxa"/>
          </w:tcPr>
          <w:p>
            <w:pPr>
              <w:pStyle w:val="0"/>
              <w:jc w:val="center"/>
            </w:pPr>
            <w:r>
              <w:rPr>
                <w:sz w:val="20"/>
              </w:rPr>
              <w:t xml:space="preserve">2015</w:t>
            </w:r>
          </w:p>
        </w:tc>
        <w:tc>
          <w:tcPr>
            <w:tcW w:w="850" w:type="dxa"/>
          </w:tcPr>
          <w:p>
            <w:pPr>
              <w:pStyle w:val="0"/>
              <w:jc w:val="center"/>
            </w:pPr>
            <w:r>
              <w:rPr>
                <w:sz w:val="20"/>
              </w:rPr>
              <w:t xml:space="preserve">2016</w:t>
            </w:r>
          </w:p>
        </w:tc>
        <w:tc>
          <w:tcPr>
            <w:tcW w:w="850" w:type="dxa"/>
          </w:tcPr>
          <w:p>
            <w:pPr>
              <w:pStyle w:val="0"/>
              <w:jc w:val="center"/>
            </w:pPr>
            <w:r>
              <w:rPr>
                <w:sz w:val="20"/>
              </w:rPr>
              <w:t xml:space="preserve">2017</w:t>
            </w:r>
          </w:p>
        </w:tc>
        <w:tc>
          <w:tcPr>
            <w:tcW w:w="850" w:type="dxa"/>
          </w:tcPr>
          <w:p>
            <w:pPr>
              <w:pStyle w:val="0"/>
              <w:jc w:val="center"/>
            </w:pPr>
            <w:r>
              <w:rPr>
                <w:sz w:val="20"/>
              </w:rPr>
              <w:t xml:space="preserve">2018</w:t>
            </w:r>
          </w:p>
        </w:tc>
        <w:tc>
          <w:tcPr>
            <w:tcW w:w="850" w:type="dxa"/>
          </w:tcPr>
          <w:p>
            <w:pPr>
              <w:pStyle w:val="0"/>
              <w:jc w:val="center"/>
            </w:pPr>
            <w:r>
              <w:rPr>
                <w:sz w:val="20"/>
              </w:rPr>
              <w:t xml:space="preserve">2019</w:t>
            </w:r>
          </w:p>
        </w:tc>
        <w:tc>
          <w:tcPr>
            <w:tcW w:w="850" w:type="dxa"/>
          </w:tcPr>
          <w:p>
            <w:pPr>
              <w:pStyle w:val="0"/>
              <w:jc w:val="center"/>
            </w:pPr>
            <w:r>
              <w:rPr>
                <w:sz w:val="20"/>
              </w:rPr>
              <w:t xml:space="preserve">2020</w:t>
            </w:r>
          </w:p>
        </w:tc>
        <w:tc>
          <w:tcPr>
            <w:tcW w:w="850" w:type="dxa"/>
          </w:tcPr>
          <w:p>
            <w:pPr>
              <w:pStyle w:val="0"/>
              <w:jc w:val="center"/>
            </w:pPr>
            <w:r>
              <w:rPr>
                <w:sz w:val="20"/>
              </w:rPr>
              <w:t xml:space="preserve">2021</w:t>
            </w:r>
          </w:p>
        </w:tc>
        <w:tc>
          <w:tcPr>
            <w:tcW w:w="850" w:type="dxa"/>
          </w:tcPr>
          <w:p>
            <w:pPr>
              <w:pStyle w:val="0"/>
              <w:jc w:val="center"/>
            </w:pPr>
            <w:r>
              <w:rPr>
                <w:sz w:val="20"/>
              </w:rPr>
              <w:t xml:space="preserve">2022</w:t>
            </w:r>
          </w:p>
        </w:tc>
      </w:tr>
      <w:tr>
        <w:tc>
          <w:tcPr>
            <w:tcW w:w="2098" w:type="dxa"/>
          </w:tcPr>
          <w:p>
            <w:pPr>
              <w:pStyle w:val="0"/>
            </w:pPr>
            <w:r>
              <w:rPr>
                <w:sz w:val="20"/>
              </w:rPr>
              <w:t xml:space="preserve">Все злокачественные новообразования</w:t>
            </w:r>
          </w:p>
        </w:tc>
        <w:tc>
          <w:tcPr>
            <w:tcW w:w="1531" w:type="dxa"/>
          </w:tcPr>
          <w:p>
            <w:pPr>
              <w:pStyle w:val="0"/>
            </w:pPr>
            <w:r>
              <w:rPr>
                <w:sz w:val="20"/>
              </w:rPr>
              <w:t xml:space="preserve">С 00 - 96</w:t>
            </w:r>
          </w:p>
        </w:tc>
        <w:tc>
          <w:tcPr>
            <w:tcW w:w="850" w:type="dxa"/>
          </w:tcPr>
          <w:p>
            <w:pPr>
              <w:pStyle w:val="0"/>
            </w:pPr>
            <w:r>
              <w:rPr>
                <w:sz w:val="20"/>
              </w:rPr>
              <w:t xml:space="preserve">1369,6</w:t>
            </w:r>
          </w:p>
        </w:tc>
        <w:tc>
          <w:tcPr>
            <w:tcW w:w="850" w:type="dxa"/>
          </w:tcPr>
          <w:p>
            <w:pPr>
              <w:pStyle w:val="0"/>
            </w:pPr>
            <w:r>
              <w:rPr>
                <w:sz w:val="20"/>
              </w:rPr>
              <w:t xml:space="preserve">1441</w:t>
            </w:r>
          </w:p>
        </w:tc>
        <w:tc>
          <w:tcPr>
            <w:tcW w:w="850" w:type="dxa"/>
          </w:tcPr>
          <w:p>
            <w:pPr>
              <w:pStyle w:val="0"/>
            </w:pPr>
            <w:r>
              <w:rPr>
                <w:sz w:val="20"/>
              </w:rPr>
              <w:t xml:space="preserve">1528,1</w:t>
            </w:r>
          </w:p>
        </w:tc>
        <w:tc>
          <w:tcPr>
            <w:tcW w:w="850" w:type="dxa"/>
          </w:tcPr>
          <w:p>
            <w:pPr>
              <w:pStyle w:val="0"/>
            </w:pPr>
            <w:r>
              <w:rPr>
                <w:sz w:val="20"/>
              </w:rPr>
              <w:t xml:space="preserve">1590,7</w:t>
            </w:r>
          </w:p>
        </w:tc>
        <w:tc>
          <w:tcPr>
            <w:tcW w:w="850" w:type="dxa"/>
          </w:tcPr>
          <w:p>
            <w:pPr>
              <w:pStyle w:val="0"/>
            </w:pPr>
            <w:r>
              <w:rPr>
                <w:sz w:val="20"/>
              </w:rPr>
              <w:t xml:space="preserve">1659,3</w:t>
            </w:r>
          </w:p>
        </w:tc>
        <w:tc>
          <w:tcPr>
            <w:tcW w:w="850" w:type="dxa"/>
          </w:tcPr>
          <w:p>
            <w:pPr>
              <w:pStyle w:val="0"/>
            </w:pPr>
            <w:r>
              <w:rPr>
                <w:sz w:val="20"/>
              </w:rPr>
              <w:t xml:space="preserve">1741,6</w:t>
            </w:r>
          </w:p>
        </w:tc>
        <w:tc>
          <w:tcPr>
            <w:tcW w:w="850" w:type="dxa"/>
          </w:tcPr>
          <w:p>
            <w:pPr>
              <w:pStyle w:val="0"/>
            </w:pPr>
            <w:r>
              <w:rPr>
                <w:sz w:val="20"/>
              </w:rPr>
              <w:t xml:space="preserve">1880</w:t>
            </w:r>
          </w:p>
        </w:tc>
        <w:tc>
          <w:tcPr>
            <w:tcW w:w="850" w:type="dxa"/>
          </w:tcPr>
          <w:p>
            <w:pPr>
              <w:pStyle w:val="0"/>
            </w:pPr>
            <w:r>
              <w:rPr>
                <w:sz w:val="20"/>
              </w:rPr>
              <w:t xml:space="preserve">1941,9</w:t>
            </w:r>
          </w:p>
        </w:tc>
        <w:tc>
          <w:tcPr>
            <w:tcW w:w="850" w:type="dxa"/>
          </w:tcPr>
          <w:p>
            <w:pPr>
              <w:pStyle w:val="0"/>
            </w:pPr>
            <w:r>
              <w:rPr>
                <w:sz w:val="20"/>
              </w:rPr>
              <w:t xml:space="preserve">2279,3</w:t>
            </w:r>
          </w:p>
        </w:tc>
        <w:tc>
          <w:tcPr>
            <w:tcW w:w="850" w:type="dxa"/>
          </w:tcPr>
          <w:p>
            <w:pPr>
              <w:pStyle w:val="0"/>
            </w:pPr>
            <w:r>
              <w:rPr>
                <w:sz w:val="20"/>
              </w:rPr>
              <w:t xml:space="preserve">2244,3</w:t>
            </w:r>
          </w:p>
        </w:tc>
      </w:tr>
      <w:tr>
        <w:tc>
          <w:tcPr>
            <w:tcW w:w="2098" w:type="dxa"/>
          </w:tcPr>
          <w:p>
            <w:pPr>
              <w:pStyle w:val="0"/>
            </w:pPr>
            <w:r>
              <w:rPr>
                <w:sz w:val="20"/>
              </w:rPr>
              <w:t xml:space="preserve">Губа</w:t>
            </w:r>
          </w:p>
        </w:tc>
        <w:tc>
          <w:tcPr>
            <w:tcW w:w="1531" w:type="dxa"/>
          </w:tcPr>
          <w:p>
            <w:pPr>
              <w:pStyle w:val="0"/>
            </w:pPr>
            <w:r>
              <w:rPr>
                <w:sz w:val="20"/>
              </w:rPr>
              <w:t xml:space="preserve">С 00</w:t>
            </w:r>
          </w:p>
        </w:tc>
        <w:tc>
          <w:tcPr>
            <w:tcW w:w="850" w:type="dxa"/>
          </w:tcPr>
          <w:p>
            <w:pPr>
              <w:pStyle w:val="0"/>
            </w:pPr>
            <w:r>
              <w:rPr>
                <w:sz w:val="20"/>
              </w:rPr>
              <w:t xml:space="preserve">11,1</w:t>
            </w:r>
          </w:p>
        </w:tc>
        <w:tc>
          <w:tcPr>
            <w:tcW w:w="850" w:type="dxa"/>
          </w:tcPr>
          <w:p>
            <w:pPr>
              <w:pStyle w:val="0"/>
            </w:pPr>
            <w:r>
              <w:rPr>
                <w:sz w:val="20"/>
              </w:rPr>
              <w:t xml:space="preserve">11,3</w:t>
            </w:r>
          </w:p>
        </w:tc>
        <w:tc>
          <w:tcPr>
            <w:tcW w:w="850" w:type="dxa"/>
          </w:tcPr>
          <w:p>
            <w:pPr>
              <w:pStyle w:val="0"/>
            </w:pPr>
            <w:r>
              <w:rPr>
                <w:sz w:val="20"/>
              </w:rPr>
              <w:t xml:space="preserve">10,5</w:t>
            </w:r>
          </w:p>
        </w:tc>
        <w:tc>
          <w:tcPr>
            <w:tcW w:w="850" w:type="dxa"/>
          </w:tcPr>
          <w:p>
            <w:pPr>
              <w:pStyle w:val="0"/>
            </w:pPr>
            <w:r>
              <w:rPr>
                <w:sz w:val="20"/>
              </w:rPr>
              <w:t xml:space="preserve">10,9</w:t>
            </w:r>
          </w:p>
        </w:tc>
        <w:tc>
          <w:tcPr>
            <w:tcW w:w="850" w:type="dxa"/>
          </w:tcPr>
          <w:p>
            <w:pPr>
              <w:pStyle w:val="0"/>
            </w:pPr>
            <w:r>
              <w:rPr>
                <w:sz w:val="20"/>
              </w:rPr>
              <w:t xml:space="preserve">10</w:t>
            </w:r>
          </w:p>
        </w:tc>
        <w:tc>
          <w:tcPr>
            <w:tcW w:w="850" w:type="dxa"/>
          </w:tcPr>
          <w:p>
            <w:pPr>
              <w:pStyle w:val="0"/>
            </w:pPr>
            <w:r>
              <w:rPr>
                <w:sz w:val="20"/>
              </w:rPr>
              <w:t xml:space="preserve">9,1</w:t>
            </w:r>
          </w:p>
        </w:tc>
        <w:tc>
          <w:tcPr>
            <w:tcW w:w="850" w:type="dxa"/>
          </w:tcPr>
          <w:p>
            <w:pPr>
              <w:pStyle w:val="0"/>
            </w:pPr>
            <w:r>
              <w:rPr>
                <w:sz w:val="20"/>
              </w:rPr>
              <w:t xml:space="preserve">9,1</w:t>
            </w:r>
          </w:p>
        </w:tc>
        <w:tc>
          <w:tcPr>
            <w:tcW w:w="850" w:type="dxa"/>
          </w:tcPr>
          <w:p>
            <w:pPr>
              <w:pStyle w:val="0"/>
            </w:pPr>
            <w:r>
              <w:rPr>
                <w:sz w:val="20"/>
              </w:rPr>
              <w:t xml:space="preserve">8,8</w:t>
            </w:r>
          </w:p>
        </w:tc>
        <w:tc>
          <w:tcPr>
            <w:tcW w:w="850" w:type="dxa"/>
          </w:tcPr>
          <w:p>
            <w:pPr>
              <w:pStyle w:val="0"/>
            </w:pPr>
            <w:r>
              <w:rPr>
                <w:sz w:val="20"/>
              </w:rPr>
              <w:t xml:space="preserve">9,3</w:t>
            </w:r>
          </w:p>
        </w:tc>
        <w:tc>
          <w:tcPr>
            <w:tcW w:w="850" w:type="dxa"/>
          </w:tcPr>
          <w:p>
            <w:pPr>
              <w:pStyle w:val="0"/>
            </w:pPr>
            <w:r>
              <w:rPr>
                <w:sz w:val="20"/>
              </w:rPr>
              <w:t xml:space="preserve">8,6</w:t>
            </w:r>
          </w:p>
        </w:tc>
      </w:tr>
      <w:tr>
        <w:tc>
          <w:tcPr>
            <w:tcW w:w="2098" w:type="dxa"/>
          </w:tcPr>
          <w:p>
            <w:pPr>
              <w:pStyle w:val="0"/>
            </w:pPr>
            <w:r>
              <w:rPr>
                <w:sz w:val="20"/>
              </w:rPr>
              <w:t xml:space="preserve">Полость рта</w:t>
            </w:r>
          </w:p>
        </w:tc>
        <w:tc>
          <w:tcPr>
            <w:tcW w:w="1531" w:type="dxa"/>
          </w:tcPr>
          <w:p>
            <w:pPr>
              <w:pStyle w:val="0"/>
            </w:pPr>
            <w:r>
              <w:rPr>
                <w:sz w:val="20"/>
              </w:rPr>
              <w:t xml:space="preserve">С 01 - 09</w:t>
            </w:r>
          </w:p>
        </w:tc>
        <w:tc>
          <w:tcPr>
            <w:tcW w:w="850" w:type="dxa"/>
          </w:tcPr>
          <w:p>
            <w:pPr>
              <w:pStyle w:val="0"/>
            </w:pPr>
            <w:r>
              <w:rPr>
                <w:sz w:val="20"/>
              </w:rPr>
              <w:t xml:space="preserve">16,8</w:t>
            </w:r>
          </w:p>
        </w:tc>
        <w:tc>
          <w:tcPr>
            <w:tcW w:w="850" w:type="dxa"/>
          </w:tcPr>
          <w:p>
            <w:pPr>
              <w:pStyle w:val="0"/>
            </w:pPr>
            <w:r>
              <w:rPr>
                <w:sz w:val="20"/>
              </w:rPr>
              <w:t xml:space="preserve">16,4</w:t>
            </w:r>
          </w:p>
        </w:tc>
        <w:tc>
          <w:tcPr>
            <w:tcW w:w="850" w:type="dxa"/>
          </w:tcPr>
          <w:p>
            <w:pPr>
              <w:pStyle w:val="0"/>
            </w:pPr>
            <w:r>
              <w:rPr>
                <w:sz w:val="20"/>
              </w:rPr>
              <w:t xml:space="preserve">16,8</w:t>
            </w:r>
          </w:p>
        </w:tc>
        <w:tc>
          <w:tcPr>
            <w:tcW w:w="850" w:type="dxa"/>
          </w:tcPr>
          <w:p>
            <w:pPr>
              <w:pStyle w:val="0"/>
            </w:pPr>
            <w:r>
              <w:rPr>
                <w:sz w:val="20"/>
              </w:rPr>
              <w:t xml:space="preserve">17,9</w:t>
            </w:r>
          </w:p>
        </w:tc>
        <w:tc>
          <w:tcPr>
            <w:tcW w:w="850" w:type="dxa"/>
          </w:tcPr>
          <w:p>
            <w:pPr>
              <w:pStyle w:val="0"/>
            </w:pPr>
            <w:r>
              <w:rPr>
                <w:sz w:val="20"/>
              </w:rPr>
              <w:t xml:space="preserve">17</w:t>
            </w:r>
          </w:p>
        </w:tc>
        <w:tc>
          <w:tcPr>
            <w:tcW w:w="850" w:type="dxa"/>
          </w:tcPr>
          <w:p>
            <w:pPr>
              <w:pStyle w:val="0"/>
            </w:pPr>
            <w:r>
              <w:rPr>
                <w:sz w:val="20"/>
              </w:rPr>
              <w:t xml:space="preserve">17,7</w:t>
            </w:r>
          </w:p>
        </w:tc>
        <w:tc>
          <w:tcPr>
            <w:tcW w:w="850" w:type="dxa"/>
          </w:tcPr>
          <w:p>
            <w:pPr>
              <w:pStyle w:val="0"/>
            </w:pPr>
            <w:r>
              <w:rPr>
                <w:sz w:val="20"/>
              </w:rPr>
              <w:t xml:space="preserve">19,8</w:t>
            </w:r>
          </w:p>
        </w:tc>
        <w:tc>
          <w:tcPr>
            <w:tcW w:w="850" w:type="dxa"/>
          </w:tcPr>
          <w:p>
            <w:pPr>
              <w:pStyle w:val="0"/>
            </w:pPr>
            <w:r>
              <w:rPr>
                <w:sz w:val="20"/>
              </w:rPr>
              <w:t xml:space="preserve">21,2</w:t>
            </w:r>
          </w:p>
        </w:tc>
        <w:tc>
          <w:tcPr>
            <w:tcW w:w="850" w:type="dxa"/>
          </w:tcPr>
          <w:p>
            <w:pPr>
              <w:pStyle w:val="0"/>
            </w:pPr>
            <w:r>
              <w:rPr>
                <w:sz w:val="20"/>
              </w:rPr>
              <w:t xml:space="preserve">25,9</w:t>
            </w:r>
          </w:p>
        </w:tc>
        <w:tc>
          <w:tcPr>
            <w:tcW w:w="850" w:type="dxa"/>
          </w:tcPr>
          <w:p>
            <w:pPr>
              <w:pStyle w:val="0"/>
            </w:pPr>
            <w:r>
              <w:rPr>
                <w:sz w:val="20"/>
              </w:rPr>
              <w:t xml:space="preserve">24,4</w:t>
            </w:r>
          </w:p>
        </w:tc>
      </w:tr>
      <w:tr>
        <w:tc>
          <w:tcPr>
            <w:tcW w:w="2098" w:type="dxa"/>
          </w:tcPr>
          <w:p>
            <w:pPr>
              <w:pStyle w:val="0"/>
            </w:pPr>
            <w:r>
              <w:rPr>
                <w:sz w:val="20"/>
              </w:rPr>
              <w:t xml:space="preserve">Глотка</w:t>
            </w:r>
          </w:p>
        </w:tc>
        <w:tc>
          <w:tcPr>
            <w:tcW w:w="1531" w:type="dxa"/>
          </w:tcPr>
          <w:p>
            <w:pPr>
              <w:pStyle w:val="0"/>
            </w:pPr>
            <w:r>
              <w:rPr>
                <w:sz w:val="20"/>
              </w:rPr>
              <w:t xml:space="preserve">С 10 - 13</w:t>
            </w:r>
          </w:p>
        </w:tc>
        <w:tc>
          <w:tcPr>
            <w:tcW w:w="850" w:type="dxa"/>
          </w:tcPr>
          <w:p>
            <w:pPr>
              <w:pStyle w:val="0"/>
            </w:pPr>
            <w:r>
              <w:rPr>
                <w:sz w:val="20"/>
              </w:rPr>
            </w:r>
          </w:p>
        </w:tc>
        <w:tc>
          <w:tcPr>
            <w:tcW w:w="850" w:type="dxa"/>
          </w:tcPr>
          <w:p>
            <w:pPr>
              <w:pStyle w:val="0"/>
            </w:pPr>
            <w:r>
              <w:rPr>
                <w:sz w:val="20"/>
              </w:rPr>
              <w:t xml:space="preserve">3,8</w:t>
            </w:r>
          </w:p>
        </w:tc>
        <w:tc>
          <w:tcPr>
            <w:tcW w:w="850" w:type="dxa"/>
          </w:tcPr>
          <w:p>
            <w:pPr>
              <w:pStyle w:val="0"/>
            </w:pPr>
            <w:r>
              <w:rPr>
                <w:sz w:val="20"/>
              </w:rPr>
              <w:t xml:space="preserve">4,3</w:t>
            </w:r>
          </w:p>
        </w:tc>
        <w:tc>
          <w:tcPr>
            <w:tcW w:w="850" w:type="dxa"/>
          </w:tcPr>
          <w:p>
            <w:pPr>
              <w:pStyle w:val="0"/>
            </w:pPr>
            <w:r>
              <w:rPr>
                <w:sz w:val="20"/>
              </w:rPr>
              <w:t xml:space="preserve">4,7</w:t>
            </w:r>
          </w:p>
        </w:tc>
        <w:tc>
          <w:tcPr>
            <w:tcW w:w="850" w:type="dxa"/>
          </w:tcPr>
          <w:p>
            <w:pPr>
              <w:pStyle w:val="0"/>
            </w:pPr>
            <w:r>
              <w:rPr>
                <w:sz w:val="20"/>
              </w:rPr>
              <w:t xml:space="preserve">5,3</w:t>
            </w:r>
          </w:p>
        </w:tc>
        <w:tc>
          <w:tcPr>
            <w:tcW w:w="850" w:type="dxa"/>
          </w:tcPr>
          <w:p>
            <w:pPr>
              <w:pStyle w:val="0"/>
            </w:pPr>
            <w:r>
              <w:rPr>
                <w:sz w:val="20"/>
              </w:rPr>
              <w:t xml:space="preserve">5,6</w:t>
            </w:r>
          </w:p>
        </w:tc>
        <w:tc>
          <w:tcPr>
            <w:tcW w:w="850" w:type="dxa"/>
          </w:tcPr>
          <w:p>
            <w:pPr>
              <w:pStyle w:val="0"/>
            </w:pPr>
            <w:r>
              <w:rPr>
                <w:sz w:val="20"/>
              </w:rPr>
              <w:t xml:space="preserve">5,6</w:t>
            </w:r>
          </w:p>
        </w:tc>
        <w:tc>
          <w:tcPr>
            <w:tcW w:w="850" w:type="dxa"/>
          </w:tcPr>
          <w:p>
            <w:pPr>
              <w:pStyle w:val="0"/>
            </w:pPr>
            <w:r>
              <w:rPr>
                <w:sz w:val="20"/>
              </w:rPr>
              <w:t xml:space="preserve">5,9</w:t>
            </w:r>
          </w:p>
        </w:tc>
        <w:tc>
          <w:tcPr>
            <w:tcW w:w="850" w:type="dxa"/>
          </w:tcPr>
          <w:p>
            <w:pPr>
              <w:pStyle w:val="0"/>
            </w:pPr>
            <w:r>
              <w:rPr>
                <w:sz w:val="20"/>
              </w:rPr>
              <w:t xml:space="preserve">7,6</w:t>
            </w:r>
          </w:p>
        </w:tc>
        <w:tc>
          <w:tcPr>
            <w:tcW w:w="850" w:type="dxa"/>
          </w:tcPr>
          <w:p>
            <w:pPr>
              <w:pStyle w:val="0"/>
            </w:pPr>
            <w:r>
              <w:rPr>
                <w:sz w:val="20"/>
              </w:rPr>
              <w:t xml:space="preserve">7,7</w:t>
            </w:r>
          </w:p>
        </w:tc>
      </w:tr>
      <w:tr>
        <w:tc>
          <w:tcPr>
            <w:tcW w:w="2098" w:type="dxa"/>
          </w:tcPr>
          <w:p>
            <w:pPr>
              <w:pStyle w:val="0"/>
            </w:pPr>
            <w:r>
              <w:rPr>
                <w:sz w:val="20"/>
              </w:rPr>
              <w:t xml:space="preserve">Пищевод</w:t>
            </w:r>
          </w:p>
        </w:tc>
        <w:tc>
          <w:tcPr>
            <w:tcW w:w="1531" w:type="dxa"/>
          </w:tcPr>
          <w:p>
            <w:pPr>
              <w:pStyle w:val="0"/>
            </w:pPr>
            <w:r>
              <w:rPr>
                <w:sz w:val="20"/>
              </w:rPr>
              <w:t xml:space="preserve">С 15</w:t>
            </w:r>
          </w:p>
        </w:tc>
        <w:tc>
          <w:tcPr>
            <w:tcW w:w="850" w:type="dxa"/>
          </w:tcPr>
          <w:p>
            <w:pPr>
              <w:pStyle w:val="0"/>
            </w:pPr>
            <w:r>
              <w:rPr>
                <w:sz w:val="20"/>
              </w:rPr>
              <w:t xml:space="preserve">5,4</w:t>
            </w:r>
          </w:p>
        </w:tc>
        <w:tc>
          <w:tcPr>
            <w:tcW w:w="850" w:type="dxa"/>
          </w:tcPr>
          <w:p>
            <w:pPr>
              <w:pStyle w:val="0"/>
            </w:pPr>
            <w:r>
              <w:rPr>
                <w:sz w:val="20"/>
              </w:rPr>
              <w:t xml:space="preserve">5,6</w:t>
            </w:r>
          </w:p>
        </w:tc>
        <w:tc>
          <w:tcPr>
            <w:tcW w:w="850" w:type="dxa"/>
          </w:tcPr>
          <w:p>
            <w:pPr>
              <w:pStyle w:val="0"/>
            </w:pPr>
            <w:r>
              <w:rPr>
                <w:sz w:val="20"/>
              </w:rPr>
              <w:t xml:space="preserve">6,1</w:t>
            </w:r>
          </w:p>
        </w:tc>
        <w:tc>
          <w:tcPr>
            <w:tcW w:w="850" w:type="dxa"/>
          </w:tcPr>
          <w:p>
            <w:pPr>
              <w:pStyle w:val="0"/>
            </w:pPr>
            <w:r>
              <w:rPr>
                <w:sz w:val="20"/>
              </w:rPr>
              <w:t xml:space="preserve">5,7</w:t>
            </w:r>
          </w:p>
        </w:tc>
        <w:tc>
          <w:tcPr>
            <w:tcW w:w="850" w:type="dxa"/>
          </w:tcPr>
          <w:p>
            <w:pPr>
              <w:pStyle w:val="0"/>
            </w:pPr>
            <w:r>
              <w:rPr>
                <w:sz w:val="20"/>
              </w:rPr>
              <w:t xml:space="preserve">6</w:t>
            </w:r>
          </w:p>
        </w:tc>
        <w:tc>
          <w:tcPr>
            <w:tcW w:w="850" w:type="dxa"/>
          </w:tcPr>
          <w:p>
            <w:pPr>
              <w:pStyle w:val="0"/>
            </w:pPr>
            <w:r>
              <w:rPr>
                <w:sz w:val="20"/>
              </w:rPr>
              <w:t xml:space="preserve">6,4</w:t>
            </w:r>
          </w:p>
        </w:tc>
        <w:tc>
          <w:tcPr>
            <w:tcW w:w="850" w:type="dxa"/>
          </w:tcPr>
          <w:p>
            <w:pPr>
              <w:pStyle w:val="0"/>
            </w:pPr>
            <w:r>
              <w:rPr>
                <w:sz w:val="20"/>
              </w:rPr>
              <w:t xml:space="preserve">7,5</w:t>
            </w:r>
          </w:p>
        </w:tc>
        <w:tc>
          <w:tcPr>
            <w:tcW w:w="850" w:type="dxa"/>
          </w:tcPr>
          <w:p>
            <w:pPr>
              <w:pStyle w:val="0"/>
            </w:pPr>
            <w:r>
              <w:rPr>
                <w:sz w:val="20"/>
              </w:rPr>
              <w:t xml:space="preserve">7,1</w:t>
            </w:r>
          </w:p>
        </w:tc>
        <w:tc>
          <w:tcPr>
            <w:tcW w:w="850" w:type="dxa"/>
          </w:tcPr>
          <w:p>
            <w:pPr>
              <w:pStyle w:val="0"/>
            </w:pPr>
            <w:r>
              <w:rPr>
                <w:sz w:val="20"/>
              </w:rPr>
              <w:t xml:space="preserve">10,5</w:t>
            </w:r>
          </w:p>
        </w:tc>
        <w:tc>
          <w:tcPr>
            <w:tcW w:w="850" w:type="dxa"/>
          </w:tcPr>
          <w:p>
            <w:pPr>
              <w:pStyle w:val="0"/>
            </w:pPr>
            <w:r>
              <w:rPr>
                <w:sz w:val="20"/>
              </w:rPr>
              <w:t xml:space="preserve">11,0</w:t>
            </w:r>
          </w:p>
        </w:tc>
      </w:tr>
      <w:tr>
        <w:tc>
          <w:tcPr>
            <w:tcW w:w="2098" w:type="dxa"/>
          </w:tcPr>
          <w:p>
            <w:pPr>
              <w:pStyle w:val="0"/>
            </w:pPr>
            <w:r>
              <w:rPr>
                <w:sz w:val="20"/>
              </w:rPr>
              <w:t xml:space="preserve">Желудок</w:t>
            </w:r>
          </w:p>
        </w:tc>
        <w:tc>
          <w:tcPr>
            <w:tcW w:w="1531" w:type="dxa"/>
          </w:tcPr>
          <w:p>
            <w:pPr>
              <w:pStyle w:val="0"/>
            </w:pPr>
            <w:r>
              <w:rPr>
                <w:sz w:val="20"/>
              </w:rPr>
              <w:t xml:space="preserve">С 16</w:t>
            </w:r>
          </w:p>
        </w:tc>
        <w:tc>
          <w:tcPr>
            <w:tcW w:w="850" w:type="dxa"/>
          </w:tcPr>
          <w:p>
            <w:pPr>
              <w:pStyle w:val="0"/>
            </w:pPr>
            <w:r>
              <w:rPr>
                <w:sz w:val="20"/>
              </w:rPr>
              <w:t xml:space="preserve">49,1</w:t>
            </w:r>
          </w:p>
        </w:tc>
        <w:tc>
          <w:tcPr>
            <w:tcW w:w="850" w:type="dxa"/>
          </w:tcPr>
          <w:p>
            <w:pPr>
              <w:pStyle w:val="0"/>
            </w:pPr>
            <w:r>
              <w:rPr>
                <w:sz w:val="20"/>
              </w:rPr>
              <w:t xml:space="preserve">50,9</w:t>
            </w:r>
          </w:p>
        </w:tc>
        <w:tc>
          <w:tcPr>
            <w:tcW w:w="850" w:type="dxa"/>
          </w:tcPr>
          <w:p>
            <w:pPr>
              <w:pStyle w:val="0"/>
            </w:pPr>
            <w:r>
              <w:rPr>
                <w:sz w:val="20"/>
              </w:rPr>
              <w:t xml:space="preserve">54</w:t>
            </w:r>
          </w:p>
        </w:tc>
        <w:tc>
          <w:tcPr>
            <w:tcW w:w="850" w:type="dxa"/>
          </w:tcPr>
          <w:p>
            <w:pPr>
              <w:pStyle w:val="0"/>
            </w:pPr>
            <w:r>
              <w:rPr>
                <w:sz w:val="20"/>
              </w:rPr>
              <w:t xml:space="preserve">54,9</w:t>
            </w:r>
          </w:p>
        </w:tc>
        <w:tc>
          <w:tcPr>
            <w:tcW w:w="850" w:type="dxa"/>
          </w:tcPr>
          <w:p>
            <w:pPr>
              <w:pStyle w:val="0"/>
            </w:pPr>
            <w:r>
              <w:rPr>
                <w:sz w:val="20"/>
              </w:rPr>
              <w:t xml:space="preserve">56,6</w:t>
            </w:r>
          </w:p>
        </w:tc>
        <w:tc>
          <w:tcPr>
            <w:tcW w:w="850" w:type="dxa"/>
          </w:tcPr>
          <w:p>
            <w:pPr>
              <w:pStyle w:val="0"/>
            </w:pPr>
            <w:r>
              <w:rPr>
                <w:sz w:val="20"/>
              </w:rPr>
              <w:t xml:space="preserve">56,5</w:t>
            </w:r>
          </w:p>
        </w:tc>
        <w:tc>
          <w:tcPr>
            <w:tcW w:w="850" w:type="dxa"/>
          </w:tcPr>
          <w:p>
            <w:pPr>
              <w:pStyle w:val="0"/>
            </w:pPr>
            <w:r>
              <w:rPr>
                <w:sz w:val="20"/>
              </w:rPr>
              <w:t xml:space="preserve">61,5</w:t>
            </w:r>
          </w:p>
        </w:tc>
        <w:tc>
          <w:tcPr>
            <w:tcW w:w="850" w:type="dxa"/>
          </w:tcPr>
          <w:p>
            <w:pPr>
              <w:pStyle w:val="0"/>
            </w:pPr>
            <w:r>
              <w:rPr>
                <w:sz w:val="20"/>
              </w:rPr>
              <w:t xml:space="preserve">62,5</w:t>
            </w:r>
          </w:p>
        </w:tc>
        <w:tc>
          <w:tcPr>
            <w:tcW w:w="850" w:type="dxa"/>
          </w:tcPr>
          <w:p>
            <w:pPr>
              <w:pStyle w:val="0"/>
            </w:pPr>
            <w:r>
              <w:rPr>
                <w:sz w:val="20"/>
              </w:rPr>
              <w:t xml:space="preserve">80,9</w:t>
            </w:r>
          </w:p>
        </w:tc>
        <w:tc>
          <w:tcPr>
            <w:tcW w:w="850" w:type="dxa"/>
          </w:tcPr>
          <w:p>
            <w:pPr>
              <w:pStyle w:val="0"/>
            </w:pPr>
            <w:r>
              <w:rPr>
                <w:sz w:val="20"/>
              </w:rPr>
              <w:t xml:space="preserve">75,4</w:t>
            </w:r>
          </w:p>
        </w:tc>
      </w:tr>
      <w:tr>
        <w:tc>
          <w:tcPr>
            <w:tcW w:w="2098" w:type="dxa"/>
          </w:tcPr>
          <w:p>
            <w:pPr>
              <w:pStyle w:val="0"/>
            </w:pPr>
            <w:r>
              <w:rPr>
                <w:sz w:val="20"/>
              </w:rPr>
              <w:t xml:space="preserve">Ободочная кишка</w:t>
            </w:r>
          </w:p>
        </w:tc>
        <w:tc>
          <w:tcPr>
            <w:tcW w:w="1531" w:type="dxa"/>
          </w:tcPr>
          <w:p>
            <w:pPr>
              <w:pStyle w:val="0"/>
            </w:pPr>
            <w:r>
              <w:rPr>
                <w:sz w:val="20"/>
              </w:rPr>
              <w:t xml:space="preserve">С 18</w:t>
            </w:r>
          </w:p>
        </w:tc>
        <w:tc>
          <w:tcPr>
            <w:tcW w:w="850" w:type="dxa"/>
          </w:tcPr>
          <w:p>
            <w:pPr>
              <w:pStyle w:val="0"/>
            </w:pPr>
            <w:r>
              <w:rPr>
                <w:sz w:val="20"/>
              </w:rPr>
              <w:t xml:space="preserve">73,4</w:t>
            </w:r>
          </w:p>
        </w:tc>
        <w:tc>
          <w:tcPr>
            <w:tcW w:w="850" w:type="dxa"/>
          </w:tcPr>
          <w:p>
            <w:pPr>
              <w:pStyle w:val="0"/>
            </w:pPr>
            <w:r>
              <w:rPr>
                <w:sz w:val="20"/>
              </w:rPr>
              <w:t xml:space="preserve">79,7</w:t>
            </w:r>
          </w:p>
        </w:tc>
        <w:tc>
          <w:tcPr>
            <w:tcW w:w="850" w:type="dxa"/>
          </w:tcPr>
          <w:p>
            <w:pPr>
              <w:pStyle w:val="0"/>
            </w:pPr>
            <w:r>
              <w:rPr>
                <w:sz w:val="20"/>
              </w:rPr>
              <w:t xml:space="preserve">87,3</w:t>
            </w:r>
          </w:p>
        </w:tc>
        <w:tc>
          <w:tcPr>
            <w:tcW w:w="850" w:type="dxa"/>
          </w:tcPr>
          <w:p>
            <w:pPr>
              <w:pStyle w:val="0"/>
            </w:pPr>
            <w:r>
              <w:rPr>
                <w:sz w:val="20"/>
              </w:rPr>
              <w:t xml:space="preserve">97</w:t>
            </w:r>
          </w:p>
        </w:tc>
        <w:tc>
          <w:tcPr>
            <w:tcW w:w="850" w:type="dxa"/>
          </w:tcPr>
          <w:p>
            <w:pPr>
              <w:pStyle w:val="0"/>
            </w:pPr>
            <w:r>
              <w:rPr>
                <w:sz w:val="20"/>
              </w:rPr>
              <w:t xml:space="preserve">104,9</w:t>
            </w:r>
          </w:p>
        </w:tc>
        <w:tc>
          <w:tcPr>
            <w:tcW w:w="850" w:type="dxa"/>
          </w:tcPr>
          <w:p>
            <w:pPr>
              <w:pStyle w:val="0"/>
            </w:pPr>
            <w:r>
              <w:rPr>
                <w:sz w:val="20"/>
              </w:rPr>
              <w:t xml:space="preserve">113</w:t>
            </w:r>
          </w:p>
        </w:tc>
        <w:tc>
          <w:tcPr>
            <w:tcW w:w="850" w:type="dxa"/>
          </w:tcPr>
          <w:p>
            <w:pPr>
              <w:pStyle w:val="0"/>
            </w:pPr>
            <w:r>
              <w:rPr>
                <w:sz w:val="20"/>
              </w:rPr>
              <w:t xml:space="preserve">123,6</w:t>
            </w:r>
          </w:p>
        </w:tc>
        <w:tc>
          <w:tcPr>
            <w:tcW w:w="850" w:type="dxa"/>
          </w:tcPr>
          <w:p>
            <w:pPr>
              <w:pStyle w:val="0"/>
            </w:pPr>
            <w:r>
              <w:rPr>
                <w:sz w:val="20"/>
              </w:rPr>
              <w:t xml:space="preserve">129,5</w:t>
            </w:r>
          </w:p>
        </w:tc>
        <w:tc>
          <w:tcPr>
            <w:tcW w:w="850" w:type="dxa"/>
          </w:tcPr>
          <w:p>
            <w:pPr>
              <w:pStyle w:val="0"/>
            </w:pPr>
            <w:r>
              <w:rPr>
                <w:sz w:val="20"/>
              </w:rPr>
              <w:t xml:space="preserve">151,9</w:t>
            </w:r>
          </w:p>
        </w:tc>
        <w:tc>
          <w:tcPr>
            <w:tcW w:w="850" w:type="dxa"/>
          </w:tcPr>
          <w:p>
            <w:pPr>
              <w:pStyle w:val="0"/>
            </w:pPr>
            <w:r>
              <w:rPr>
                <w:sz w:val="20"/>
              </w:rPr>
              <w:t xml:space="preserve">151,3</w:t>
            </w:r>
          </w:p>
        </w:tc>
      </w:tr>
      <w:tr>
        <w:tc>
          <w:tcPr>
            <w:tcW w:w="2098" w:type="dxa"/>
          </w:tcPr>
          <w:p>
            <w:pPr>
              <w:pStyle w:val="0"/>
            </w:pPr>
            <w:r>
              <w:rPr>
                <w:sz w:val="20"/>
              </w:rPr>
              <w:t xml:space="preserve">Прямая кишка, ректосигмоидное соединение, анус</w:t>
            </w:r>
          </w:p>
        </w:tc>
        <w:tc>
          <w:tcPr>
            <w:tcW w:w="1531" w:type="dxa"/>
          </w:tcPr>
          <w:p>
            <w:pPr>
              <w:pStyle w:val="0"/>
            </w:pPr>
            <w:r>
              <w:rPr>
                <w:sz w:val="20"/>
              </w:rPr>
              <w:t xml:space="preserve">С 19 - 21</w:t>
            </w:r>
          </w:p>
        </w:tc>
        <w:tc>
          <w:tcPr>
            <w:tcW w:w="850" w:type="dxa"/>
          </w:tcPr>
          <w:p>
            <w:pPr>
              <w:pStyle w:val="0"/>
            </w:pPr>
            <w:r>
              <w:rPr>
                <w:sz w:val="20"/>
              </w:rPr>
              <w:t xml:space="preserve">65,9</w:t>
            </w:r>
          </w:p>
        </w:tc>
        <w:tc>
          <w:tcPr>
            <w:tcW w:w="850" w:type="dxa"/>
          </w:tcPr>
          <w:p>
            <w:pPr>
              <w:pStyle w:val="0"/>
            </w:pPr>
            <w:r>
              <w:rPr>
                <w:sz w:val="20"/>
              </w:rPr>
              <w:t xml:space="preserve">70,8</w:t>
            </w:r>
          </w:p>
        </w:tc>
        <w:tc>
          <w:tcPr>
            <w:tcW w:w="850" w:type="dxa"/>
          </w:tcPr>
          <w:p>
            <w:pPr>
              <w:pStyle w:val="0"/>
            </w:pPr>
            <w:r>
              <w:rPr>
                <w:sz w:val="20"/>
              </w:rPr>
              <w:t xml:space="preserve">77,7</w:t>
            </w:r>
          </w:p>
        </w:tc>
        <w:tc>
          <w:tcPr>
            <w:tcW w:w="850" w:type="dxa"/>
          </w:tcPr>
          <w:p>
            <w:pPr>
              <w:pStyle w:val="0"/>
            </w:pPr>
            <w:r>
              <w:rPr>
                <w:sz w:val="20"/>
              </w:rPr>
              <w:t xml:space="preserve">80,8</w:t>
            </w:r>
          </w:p>
        </w:tc>
        <w:tc>
          <w:tcPr>
            <w:tcW w:w="850" w:type="dxa"/>
          </w:tcPr>
          <w:p>
            <w:pPr>
              <w:pStyle w:val="0"/>
            </w:pPr>
            <w:r>
              <w:rPr>
                <w:sz w:val="20"/>
              </w:rPr>
              <w:t xml:space="preserve">85,6</w:t>
            </w:r>
          </w:p>
        </w:tc>
        <w:tc>
          <w:tcPr>
            <w:tcW w:w="850" w:type="dxa"/>
          </w:tcPr>
          <w:p>
            <w:pPr>
              <w:pStyle w:val="0"/>
            </w:pPr>
            <w:r>
              <w:rPr>
                <w:sz w:val="20"/>
              </w:rPr>
              <w:t xml:space="preserve">88,3</w:t>
            </w:r>
          </w:p>
        </w:tc>
        <w:tc>
          <w:tcPr>
            <w:tcW w:w="850" w:type="dxa"/>
          </w:tcPr>
          <w:p>
            <w:pPr>
              <w:pStyle w:val="0"/>
            </w:pPr>
            <w:r>
              <w:rPr>
                <w:sz w:val="20"/>
              </w:rPr>
              <w:t xml:space="preserve">93,6</w:t>
            </w:r>
          </w:p>
        </w:tc>
        <w:tc>
          <w:tcPr>
            <w:tcW w:w="850" w:type="dxa"/>
          </w:tcPr>
          <w:p>
            <w:pPr>
              <w:pStyle w:val="0"/>
            </w:pPr>
            <w:r>
              <w:rPr>
                <w:sz w:val="20"/>
              </w:rPr>
              <w:t xml:space="preserve">96,3</w:t>
            </w:r>
          </w:p>
        </w:tc>
        <w:tc>
          <w:tcPr>
            <w:tcW w:w="850" w:type="dxa"/>
          </w:tcPr>
          <w:p>
            <w:pPr>
              <w:pStyle w:val="0"/>
            </w:pPr>
            <w:r>
              <w:rPr>
                <w:sz w:val="20"/>
              </w:rPr>
              <w:t xml:space="preserve">113,0</w:t>
            </w:r>
          </w:p>
        </w:tc>
        <w:tc>
          <w:tcPr>
            <w:tcW w:w="850" w:type="dxa"/>
          </w:tcPr>
          <w:p>
            <w:pPr>
              <w:pStyle w:val="0"/>
            </w:pPr>
            <w:r>
              <w:rPr>
                <w:sz w:val="20"/>
              </w:rPr>
              <w:t xml:space="preserve">113,5</w:t>
            </w:r>
          </w:p>
        </w:tc>
      </w:tr>
      <w:tr>
        <w:tc>
          <w:tcPr>
            <w:tcW w:w="2098" w:type="dxa"/>
          </w:tcPr>
          <w:p>
            <w:pPr>
              <w:pStyle w:val="0"/>
            </w:pPr>
            <w:r>
              <w:rPr>
                <w:sz w:val="20"/>
              </w:rPr>
              <w:t xml:space="preserve">Печень и желчные протоки</w:t>
            </w:r>
          </w:p>
        </w:tc>
        <w:tc>
          <w:tcPr>
            <w:tcW w:w="1531" w:type="dxa"/>
          </w:tcPr>
          <w:p>
            <w:pPr>
              <w:pStyle w:val="0"/>
            </w:pPr>
            <w:r>
              <w:rPr>
                <w:sz w:val="20"/>
              </w:rPr>
              <w:t xml:space="preserve">С 22</w:t>
            </w:r>
          </w:p>
        </w:tc>
        <w:tc>
          <w:tcPr>
            <w:tcW w:w="850" w:type="dxa"/>
          </w:tcPr>
          <w:p>
            <w:pPr>
              <w:pStyle w:val="0"/>
            </w:pPr>
            <w:r>
              <w:rPr>
                <w:sz w:val="20"/>
              </w:rPr>
              <w:t xml:space="preserve">4,3</w:t>
            </w:r>
          </w:p>
        </w:tc>
        <w:tc>
          <w:tcPr>
            <w:tcW w:w="850" w:type="dxa"/>
          </w:tcPr>
          <w:p>
            <w:pPr>
              <w:pStyle w:val="0"/>
            </w:pPr>
            <w:r>
              <w:rPr>
                <w:sz w:val="20"/>
              </w:rPr>
              <w:t xml:space="preserve">4,2</w:t>
            </w:r>
          </w:p>
        </w:tc>
        <w:tc>
          <w:tcPr>
            <w:tcW w:w="850" w:type="dxa"/>
          </w:tcPr>
          <w:p>
            <w:pPr>
              <w:pStyle w:val="0"/>
            </w:pPr>
            <w:r>
              <w:rPr>
                <w:sz w:val="20"/>
              </w:rPr>
              <w:t xml:space="preserve">4,9</w:t>
            </w:r>
          </w:p>
        </w:tc>
        <w:tc>
          <w:tcPr>
            <w:tcW w:w="850" w:type="dxa"/>
          </w:tcPr>
          <w:p>
            <w:pPr>
              <w:pStyle w:val="0"/>
            </w:pPr>
            <w:r>
              <w:rPr>
                <w:sz w:val="20"/>
              </w:rPr>
              <w:t xml:space="preserve">4,6</w:t>
            </w:r>
          </w:p>
        </w:tc>
        <w:tc>
          <w:tcPr>
            <w:tcW w:w="850" w:type="dxa"/>
          </w:tcPr>
          <w:p>
            <w:pPr>
              <w:pStyle w:val="0"/>
            </w:pPr>
            <w:r>
              <w:rPr>
                <w:sz w:val="20"/>
              </w:rPr>
              <w:t xml:space="preserve">3,8</w:t>
            </w:r>
          </w:p>
        </w:tc>
        <w:tc>
          <w:tcPr>
            <w:tcW w:w="850" w:type="dxa"/>
          </w:tcPr>
          <w:p>
            <w:pPr>
              <w:pStyle w:val="0"/>
            </w:pPr>
            <w:r>
              <w:rPr>
                <w:sz w:val="20"/>
              </w:rPr>
              <w:t xml:space="preserve">4,8</w:t>
            </w:r>
          </w:p>
        </w:tc>
        <w:tc>
          <w:tcPr>
            <w:tcW w:w="850" w:type="dxa"/>
          </w:tcPr>
          <w:p>
            <w:pPr>
              <w:pStyle w:val="0"/>
            </w:pPr>
            <w:r>
              <w:rPr>
                <w:sz w:val="20"/>
              </w:rPr>
              <w:t xml:space="preserve">5,8</w:t>
            </w:r>
          </w:p>
        </w:tc>
        <w:tc>
          <w:tcPr>
            <w:tcW w:w="850" w:type="dxa"/>
          </w:tcPr>
          <w:p>
            <w:pPr>
              <w:pStyle w:val="0"/>
            </w:pPr>
            <w:r>
              <w:rPr>
                <w:sz w:val="20"/>
              </w:rPr>
              <w:t xml:space="preserve">6,8</w:t>
            </w:r>
          </w:p>
        </w:tc>
        <w:tc>
          <w:tcPr>
            <w:tcW w:w="850" w:type="dxa"/>
          </w:tcPr>
          <w:p>
            <w:pPr>
              <w:pStyle w:val="0"/>
            </w:pPr>
            <w:r>
              <w:rPr>
                <w:sz w:val="20"/>
              </w:rPr>
              <w:t xml:space="preserve">14,6</w:t>
            </w:r>
          </w:p>
        </w:tc>
        <w:tc>
          <w:tcPr>
            <w:tcW w:w="850" w:type="dxa"/>
          </w:tcPr>
          <w:p>
            <w:pPr>
              <w:pStyle w:val="0"/>
            </w:pPr>
            <w:r>
              <w:rPr>
                <w:sz w:val="20"/>
              </w:rPr>
              <w:t xml:space="preserve">12,8</w:t>
            </w:r>
          </w:p>
        </w:tc>
      </w:tr>
      <w:tr>
        <w:tc>
          <w:tcPr>
            <w:tcW w:w="2098" w:type="dxa"/>
          </w:tcPr>
          <w:p>
            <w:pPr>
              <w:pStyle w:val="0"/>
            </w:pPr>
            <w:r>
              <w:rPr>
                <w:sz w:val="20"/>
              </w:rPr>
              <w:t xml:space="preserve">Поджелудочная железа</w:t>
            </w:r>
          </w:p>
        </w:tc>
        <w:tc>
          <w:tcPr>
            <w:tcW w:w="1531" w:type="dxa"/>
          </w:tcPr>
          <w:p>
            <w:pPr>
              <w:pStyle w:val="0"/>
            </w:pPr>
            <w:r>
              <w:rPr>
                <w:sz w:val="20"/>
              </w:rPr>
              <w:t xml:space="preserve">С 25</w:t>
            </w:r>
          </w:p>
        </w:tc>
        <w:tc>
          <w:tcPr>
            <w:tcW w:w="850" w:type="dxa"/>
          </w:tcPr>
          <w:p>
            <w:pPr>
              <w:pStyle w:val="0"/>
            </w:pPr>
            <w:r>
              <w:rPr>
                <w:sz w:val="20"/>
              </w:rPr>
              <w:t xml:space="preserve">5,4</w:t>
            </w:r>
          </w:p>
        </w:tc>
        <w:tc>
          <w:tcPr>
            <w:tcW w:w="850" w:type="dxa"/>
          </w:tcPr>
          <w:p>
            <w:pPr>
              <w:pStyle w:val="0"/>
            </w:pPr>
            <w:r>
              <w:rPr>
                <w:sz w:val="20"/>
              </w:rPr>
              <w:t xml:space="preserve">5,7</w:t>
            </w:r>
          </w:p>
        </w:tc>
        <w:tc>
          <w:tcPr>
            <w:tcW w:w="850" w:type="dxa"/>
          </w:tcPr>
          <w:p>
            <w:pPr>
              <w:pStyle w:val="0"/>
            </w:pPr>
            <w:r>
              <w:rPr>
                <w:sz w:val="20"/>
              </w:rPr>
              <w:t xml:space="preserve">7,4</w:t>
            </w:r>
          </w:p>
        </w:tc>
        <w:tc>
          <w:tcPr>
            <w:tcW w:w="850" w:type="dxa"/>
          </w:tcPr>
          <w:p>
            <w:pPr>
              <w:pStyle w:val="0"/>
            </w:pPr>
            <w:r>
              <w:rPr>
                <w:sz w:val="20"/>
              </w:rPr>
              <w:t xml:space="preserve">8</w:t>
            </w:r>
          </w:p>
        </w:tc>
        <w:tc>
          <w:tcPr>
            <w:tcW w:w="850" w:type="dxa"/>
          </w:tcPr>
          <w:p>
            <w:pPr>
              <w:pStyle w:val="0"/>
            </w:pPr>
            <w:r>
              <w:rPr>
                <w:sz w:val="20"/>
              </w:rPr>
              <w:t xml:space="preserve">7,3</w:t>
            </w:r>
          </w:p>
        </w:tc>
        <w:tc>
          <w:tcPr>
            <w:tcW w:w="850" w:type="dxa"/>
          </w:tcPr>
          <w:p>
            <w:pPr>
              <w:pStyle w:val="0"/>
            </w:pPr>
            <w:r>
              <w:rPr>
                <w:sz w:val="20"/>
              </w:rPr>
              <w:t xml:space="preserve">8,8</w:t>
            </w:r>
          </w:p>
        </w:tc>
        <w:tc>
          <w:tcPr>
            <w:tcW w:w="850" w:type="dxa"/>
          </w:tcPr>
          <w:p>
            <w:pPr>
              <w:pStyle w:val="0"/>
            </w:pPr>
            <w:r>
              <w:rPr>
                <w:sz w:val="20"/>
              </w:rPr>
              <w:t xml:space="preserve">9,3</w:t>
            </w:r>
          </w:p>
        </w:tc>
        <w:tc>
          <w:tcPr>
            <w:tcW w:w="850" w:type="dxa"/>
          </w:tcPr>
          <w:p>
            <w:pPr>
              <w:pStyle w:val="0"/>
            </w:pPr>
            <w:r>
              <w:rPr>
                <w:sz w:val="20"/>
              </w:rPr>
              <w:t xml:space="preserve">9,2</w:t>
            </w:r>
          </w:p>
        </w:tc>
        <w:tc>
          <w:tcPr>
            <w:tcW w:w="850" w:type="dxa"/>
          </w:tcPr>
          <w:p>
            <w:pPr>
              <w:pStyle w:val="0"/>
            </w:pPr>
            <w:r>
              <w:rPr>
                <w:sz w:val="20"/>
              </w:rPr>
              <w:t xml:space="preserve">18,8</w:t>
            </w:r>
          </w:p>
        </w:tc>
        <w:tc>
          <w:tcPr>
            <w:tcW w:w="850" w:type="dxa"/>
          </w:tcPr>
          <w:p>
            <w:pPr>
              <w:pStyle w:val="0"/>
            </w:pPr>
            <w:r>
              <w:rPr>
                <w:sz w:val="20"/>
              </w:rPr>
              <w:t xml:space="preserve">17,0</w:t>
            </w:r>
          </w:p>
        </w:tc>
      </w:tr>
      <w:tr>
        <w:tc>
          <w:tcPr>
            <w:tcW w:w="2098" w:type="dxa"/>
          </w:tcPr>
          <w:p>
            <w:pPr>
              <w:pStyle w:val="0"/>
            </w:pPr>
            <w:r>
              <w:rPr>
                <w:sz w:val="20"/>
              </w:rPr>
              <w:t xml:space="preserve">Гортань</w:t>
            </w:r>
          </w:p>
        </w:tc>
        <w:tc>
          <w:tcPr>
            <w:tcW w:w="1531" w:type="dxa"/>
          </w:tcPr>
          <w:p>
            <w:pPr>
              <w:pStyle w:val="0"/>
            </w:pPr>
            <w:r>
              <w:rPr>
                <w:sz w:val="20"/>
              </w:rPr>
              <w:t xml:space="preserve">С 32</w:t>
            </w:r>
          </w:p>
        </w:tc>
        <w:tc>
          <w:tcPr>
            <w:tcW w:w="850" w:type="dxa"/>
          </w:tcPr>
          <w:p>
            <w:pPr>
              <w:pStyle w:val="0"/>
            </w:pPr>
            <w:r>
              <w:rPr>
                <w:sz w:val="20"/>
              </w:rPr>
              <w:t xml:space="preserve">17,2</w:t>
            </w:r>
          </w:p>
        </w:tc>
        <w:tc>
          <w:tcPr>
            <w:tcW w:w="850" w:type="dxa"/>
          </w:tcPr>
          <w:p>
            <w:pPr>
              <w:pStyle w:val="0"/>
            </w:pPr>
            <w:r>
              <w:rPr>
                <w:sz w:val="20"/>
              </w:rPr>
              <w:t xml:space="preserve">17,4</w:t>
            </w:r>
          </w:p>
        </w:tc>
        <w:tc>
          <w:tcPr>
            <w:tcW w:w="850" w:type="dxa"/>
          </w:tcPr>
          <w:p>
            <w:pPr>
              <w:pStyle w:val="0"/>
            </w:pPr>
            <w:r>
              <w:rPr>
                <w:sz w:val="20"/>
              </w:rPr>
              <w:t xml:space="preserve">18</w:t>
            </w:r>
          </w:p>
        </w:tc>
        <w:tc>
          <w:tcPr>
            <w:tcW w:w="850" w:type="dxa"/>
          </w:tcPr>
          <w:p>
            <w:pPr>
              <w:pStyle w:val="0"/>
            </w:pPr>
            <w:r>
              <w:rPr>
                <w:sz w:val="20"/>
              </w:rPr>
              <w:t xml:space="preserve">17,6</w:t>
            </w:r>
          </w:p>
        </w:tc>
        <w:tc>
          <w:tcPr>
            <w:tcW w:w="850" w:type="dxa"/>
          </w:tcPr>
          <w:p>
            <w:pPr>
              <w:pStyle w:val="0"/>
            </w:pPr>
            <w:r>
              <w:rPr>
                <w:sz w:val="20"/>
              </w:rPr>
              <w:t xml:space="preserve">18,7</w:t>
            </w:r>
          </w:p>
        </w:tc>
        <w:tc>
          <w:tcPr>
            <w:tcW w:w="850" w:type="dxa"/>
          </w:tcPr>
          <w:p>
            <w:pPr>
              <w:pStyle w:val="0"/>
            </w:pPr>
            <w:r>
              <w:rPr>
                <w:sz w:val="20"/>
              </w:rPr>
              <w:t xml:space="preserve">19,9</w:t>
            </w:r>
          </w:p>
        </w:tc>
        <w:tc>
          <w:tcPr>
            <w:tcW w:w="850" w:type="dxa"/>
          </w:tcPr>
          <w:p>
            <w:pPr>
              <w:pStyle w:val="0"/>
            </w:pPr>
            <w:r>
              <w:rPr>
                <w:sz w:val="20"/>
              </w:rPr>
              <w:t xml:space="preserve">19,7</w:t>
            </w:r>
          </w:p>
        </w:tc>
        <w:tc>
          <w:tcPr>
            <w:tcW w:w="850" w:type="dxa"/>
          </w:tcPr>
          <w:p>
            <w:pPr>
              <w:pStyle w:val="0"/>
            </w:pPr>
            <w:r>
              <w:rPr>
                <w:sz w:val="20"/>
              </w:rPr>
              <w:t xml:space="preserve">20,7</w:t>
            </w:r>
          </w:p>
        </w:tc>
        <w:tc>
          <w:tcPr>
            <w:tcW w:w="850" w:type="dxa"/>
          </w:tcPr>
          <w:p>
            <w:pPr>
              <w:pStyle w:val="0"/>
            </w:pPr>
            <w:r>
              <w:rPr>
                <w:sz w:val="20"/>
              </w:rPr>
              <w:t xml:space="preserve">24,0</w:t>
            </w:r>
          </w:p>
        </w:tc>
        <w:tc>
          <w:tcPr>
            <w:tcW w:w="850" w:type="dxa"/>
          </w:tcPr>
          <w:p>
            <w:pPr>
              <w:pStyle w:val="0"/>
            </w:pPr>
            <w:r>
              <w:rPr>
                <w:sz w:val="20"/>
              </w:rPr>
              <w:t xml:space="preserve">21,9</w:t>
            </w:r>
          </w:p>
        </w:tc>
      </w:tr>
      <w:tr>
        <w:tc>
          <w:tcPr>
            <w:tcW w:w="2098" w:type="dxa"/>
          </w:tcPr>
          <w:p>
            <w:pPr>
              <w:pStyle w:val="0"/>
            </w:pPr>
            <w:r>
              <w:rPr>
                <w:sz w:val="20"/>
              </w:rPr>
              <w:t xml:space="preserve">Трахея, бронхи, легкое</w:t>
            </w:r>
          </w:p>
        </w:tc>
        <w:tc>
          <w:tcPr>
            <w:tcW w:w="1531" w:type="dxa"/>
          </w:tcPr>
          <w:p>
            <w:pPr>
              <w:pStyle w:val="0"/>
            </w:pPr>
            <w:r>
              <w:rPr>
                <w:sz w:val="20"/>
              </w:rPr>
              <w:t xml:space="preserve">С 33 - 34</w:t>
            </w:r>
          </w:p>
        </w:tc>
        <w:tc>
          <w:tcPr>
            <w:tcW w:w="850" w:type="dxa"/>
          </w:tcPr>
          <w:p>
            <w:pPr>
              <w:pStyle w:val="0"/>
            </w:pPr>
            <w:r>
              <w:rPr>
                <w:sz w:val="20"/>
              </w:rPr>
              <w:t xml:space="preserve">64,8</w:t>
            </w:r>
          </w:p>
        </w:tc>
        <w:tc>
          <w:tcPr>
            <w:tcW w:w="850" w:type="dxa"/>
          </w:tcPr>
          <w:p>
            <w:pPr>
              <w:pStyle w:val="0"/>
            </w:pPr>
            <w:r>
              <w:rPr>
                <w:sz w:val="20"/>
              </w:rPr>
              <w:t xml:space="preserve">64,2</w:t>
            </w:r>
          </w:p>
        </w:tc>
        <w:tc>
          <w:tcPr>
            <w:tcW w:w="850" w:type="dxa"/>
          </w:tcPr>
          <w:p>
            <w:pPr>
              <w:pStyle w:val="0"/>
            </w:pPr>
            <w:r>
              <w:rPr>
                <w:sz w:val="20"/>
              </w:rPr>
              <w:t xml:space="preserve">70,9</w:t>
            </w:r>
          </w:p>
        </w:tc>
        <w:tc>
          <w:tcPr>
            <w:tcW w:w="850" w:type="dxa"/>
          </w:tcPr>
          <w:p>
            <w:pPr>
              <w:pStyle w:val="0"/>
            </w:pPr>
            <w:r>
              <w:rPr>
                <w:sz w:val="20"/>
              </w:rPr>
              <w:t xml:space="preserve">75,5</w:t>
            </w:r>
          </w:p>
        </w:tc>
        <w:tc>
          <w:tcPr>
            <w:tcW w:w="850" w:type="dxa"/>
          </w:tcPr>
          <w:p>
            <w:pPr>
              <w:pStyle w:val="0"/>
            </w:pPr>
            <w:r>
              <w:rPr>
                <w:sz w:val="20"/>
              </w:rPr>
              <w:t xml:space="preserve">78,6</w:t>
            </w:r>
          </w:p>
        </w:tc>
        <w:tc>
          <w:tcPr>
            <w:tcW w:w="850" w:type="dxa"/>
          </w:tcPr>
          <w:p>
            <w:pPr>
              <w:pStyle w:val="0"/>
            </w:pPr>
            <w:r>
              <w:rPr>
                <w:sz w:val="20"/>
              </w:rPr>
              <w:t xml:space="preserve">80,6</w:t>
            </w:r>
          </w:p>
        </w:tc>
        <w:tc>
          <w:tcPr>
            <w:tcW w:w="850" w:type="dxa"/>
          </w:tcPr>
          <w:p>
            <w:pPr>
              <w:pStyle w:val="0"/>
            </w:pPr>
            <w:r>
              <w:rPr>
                <w:sz w:val="20"/>
              </w:rPr>
              <w:t xml:space="preserve">91,5</w:t>
            </w:r>
          </w:p>
        </w:tc>
        <w:tc>
          <w:tcPr>
            <w:tcW w:w="850" w:type="dxa"/>
          </w:tcPr>
          <w:p>
            <w:pPr>
              <w:pStyle w:val="0"/>
            </w:pPr>
            <w:r>
              <w:rPr>
                <w:sz w:val="20"/>
              </w:rPr>
              <w:t xml:space="preserve">92,8</w:t>
            </w:r>
          </w:p>
        </w:tc>
        <w:tc>
          <w:tcPr>
            <w:tcW w:w="850" w:type="dxa"/>
          </w:tcPr>
          <w:p>
            <w:pPr>
              <w:pStyle w:val="0"/>
            </w:pPr>
            <w:r>
              <w:rPr>
                <w:sz w:val="20"/>
              </w:rPr>
              <w:t xml:space="preserve">125,4</w:t>
            </w:r>
          </w:p>
        </w:tc>
        <w:tc>
          <w:tcPr>
            <w:tcW w:w="850" w:type="dxa"/>
          </w:tcPr>
          <w:p>
            <w:pPr>
              <w:pStyle w:val="0"/>
            </w:pPr>
            <w:r>
              <w:rPr>
                <w:sz w:val="20"/>
              </w:rPr>
              <w:t xml:space="preserve">117,9</w:t>
            </w:r>
          </w:p>
        </w:tc>
      </w:tr>
      <w:tr>
        <w:tc>
          <w:tcPr>
            <w:tcW w:w="2098" w:type="dxa"/>
          </w:tcPr>
          <w:p>
            <w:pPr>
              <w:pStyle w:val="0"/>
            </w:pPr>
            <w:r>
              <w:rPr>
                <w:sz w:val="20"/>
              </w:rPr>
              <w:t xml:space="preserve">Кости и суставные хрящи</w:t>
            </w:r>
          </w:p>
        </w:tc>
        <w:tc>
          <w:tcPr>
            <w:tcW w:w="1531" w:type="dxa"/>
          </w:tcPr>
          <w:p>
            <w:pPr>
              <w:pStyle w:val="0"/>
            </w:pPr>
            <w:r>
              <w:rPr>
                <w:sz w:val="20"/>
              </w:rPr>
              <w:t xml:space="preserve">С40;41</w:t>
            </w:r>
          </w:p>
        </w:tc>
        <w:tc>
          <w:tcPr>
            <w:tcW w:w="850" w:type="dxa"/>
          </w:tcPr>
          <w:p>
            <w:pPr>
              <w:pStyle w:val="0"/>
            </w:pPr>
            <w:r>
              <w:rPr>
                <w:sz w:val="20"/>
              </w:rPr>
              <w:t xml:space="preserve">11,1</w:t>
            </w:r>
          </w:p>
        </w:tc>
        <w:tc>
          <w:tcPr>
            <w:tcW w:w="850" w:type="dxa"/>
          </w:tcPr>
          <w:p>
            <w:pPr>
              <w:pStyle w:val="0"/>
            </w:pPr>
            <w:r>
              <w:rPr>
                <w:sz w:val="20"/>
              </w:rPr>
              <w:t xml:space="preserve">11,5</w:t>
            </w:r>
          </w:p>
        </w:tc>
        <w:tc>
          <w:tcPr>
            <w:tcW w:w="850" w:type="dxa"/>
          </w:tcPr>
          <w:p>
            <w:pPr>
              <w:pStyle w:val="0"/>
            </w:pPr>
            <w:r>
              <w:rPr>
                <w:sz w:val="20"/>
              </w:rPr>
              <w:t xml:space="preserve">10,1</w:t>
            </w:r>
          </w:p>
        </w:tc>
        <w:tc>
          <w:tcPr>
            <w:tcW w:w="850" w:type="dxa"/>
          </w:tcPr>
          <w:p>
            <w:pPr>
              <w:pStyle w:val="0"/>
            </w:pPr>
            <w:r>
              <w:rPr>
                <w:sz w:val="20"/>
              </w:rPr>
              <w:t xml:space="preserve">9,2</w:t>
            </w:r>
          </w:p>
        </w:tc>
        <w:tc>
          <w:tcPr>
            <w:tcW w:w="850" w:type="dxa"/>
          </w:tcPr>
          <w:p>
            <w:pPr>
              <w:pStyle w:val="0"/>
            </w:pPr>
            <w:r>
              <w:rPr>
                <w:sz w:val="20"/>
              </w:rPr>
              <w:t xml:space="preserve">9</w:t>
            </w:r>
          </w:p>
        </w:tc>
        <w:tc>
          <w:tcPr>
            <w:tcW w:w="850" w:type="dxa"/>
          </w:tcPr>
          <w:p>
            <w:pPr>
              <w:pStyle w:val="0"/>
            </w:pPr>
            <w:r>
              <w:rPr>
                <w:sz w:val="20"/>
              </w:rPr>
              <w:t xml:space="preserve">8,7</w:t>
            </w:r>
          </w:p>
        </w:tc>
        <w:tc>
          <w:tcPr>
            <w:tcW w:w="850" w:type="dxa"/>
          </w:tcPr>
          <w:p>
            <w:pPr>
              <w:pStyle w:val="0"/>
            </w:pPr>
            <w:r>
              <w:rPr>
                <w:sz w:val="20"/>
              </w:rPr>
              <w:t xml:space="preserve">9,2</w:t>
            </w:r>
          </w:p>
        </w:tc>
        <w:tc>
          <w:tcPr>
            <w:tcW w:w="850" w:type="dxa"/>
          </w:tcPr>
          <w:p>
            <w:pPr>
              <w:pStyle w:val="0"/>
            </w:pPr>
            <w:r>
              <w:rPr>
                <w:sz w:val="20"/>
              </w:rPr>
              <w:t xml:space="preserve">9,1</w:t>
            </w:r>
          </w:p>
        </w:tc>
        <w:tc>
          <w:tcPr>
            <w:tcW w:w="850" w:type="dxa"/>
          </w:tcPr>
          <w:p>
            <w:pPr>
              <w:pStyle w:val="0"/>
            </w:pPr>
            <w:r>
              <w:rPr>
                <w:sz w:val="20"/>
              </w:rPr>
              <w:t xml:space="preserve">9,8</w:t>
            </w:r>
          </w:p>
        </w:tc>
        <w:tc>
          <w:tcPr>
            <w:tcW w:w="850" w:type="dxa"/>
          </w:tcPr>
          <w:p>
            <w:pPr>
              <w:pStyle w:val="0"/>
            </w:pPr>
            <w:r>
              <w:rPr>
                <w:sz w:val="20"/>
              </w:rPr>
              <w:t xml:space="preserve">9,8</w:t>
            </w:r>
          </w:p>
        </w:tc>
      </w:tr>
      <w:tr>
        <w:tc>
          <w:tcPr>
            <w:tcW w:w="2098" w:type="dxa"/>
          </w:tcPr>
          <w:p>
            <w:pPr>
              <w:pStyle w:val="0"/>
            </w:pPr>
            <w:r>
              <w:rPr>
                <w:sz w:val="20"/>
              </w:rPr>
              <w:t xml:space="preserve">Меланома кожи</w:t>
            </w:r>
          </w:p>
        </w:tc>
        <w:tc>
          <w:tcPr>
            <w:tcW w:w="1531" w:type="dxa"/>
          </w:tcPr>
          <w:p>
            <w:pPr>
              <w:pStyle w:val="0"/>
            </w:pPr>
            <w:r>
              <w:rPr>
                <w:sz w:val="20"/>
              </w:rPr>
              <w:t xml:space="preserve">С 43</w:t>
            </w:r>
          </w:p>
        </w:tc>
        <w:tc>
          <w:tcPr>
            <w:tcW w:w="850" w:type="dxa"/>
          </w:tcPr>
          <w:p>
            <w:pPr>
              <w:pStyle w:val="0"/>
            </w:pPr>
            <w:r>
              <w:rPr>
                <w:sz w:val="20"/>
              </w:rPr>
              <w:t xml:space="preserve">28,2</w:t>
            </w:r>
          </w:p>
        </w:tc>
        <w:tc>
          <w:tcPr>
            <w:tcW w:w="850" w:type="dxa"/>
          </w:tcPr>
          <w:p>
            <w:pPr>
              <w:pStyle w:val="0"/>
            </w:pPr>
            <w:r>
              <w:rPr>
                <w:sz w:val="20"/>
              </w:rPr>
              <w:t xml:space="preserve">29,5</w:t>
            </w:r>
          </w:p>
        </w:tc>
        <w:tc>
          <w:tcPr>
            <w:tcW w:w="850" w:type="dxa"/>
          </w:tcPr>
          <w:p>
            <w:pPr>
              <w:pStyle w:val="0"/>
            </w:pPr>
            <w:r>
              <w:rPr>
                <w:sz w:val="20"/>
              </w:rPr>
              <w:t xml:space="preserve">31,3</w:t>
            </w:r>
          </w:p>
        </w:tc>
        <w:tc>
          <w:tcPr>
            <w:tcW w:w="850" w:type="dxa"/>
          </w:tcPr>
          <w:p>
            <w:pPr>
              <w:pStyle w:val="0"/>
            </w:pPr>
            <w:r>
              <w:rPr>
                <w:sz w:val="20"/>
              </w:rPr>
              <w:t xml:space="preserve">32,1</w:t>
            </w:r>
          </w:p>
        </w:tc>
        <w:tc>
          <w:tcPr>
            <w:tcW w:w="850" w:type="dxa"/>
          </w:tcPr>
          <w:p>
            <w:pPr>
              <w:pStyle w:val="0"/>
            </w:pPr>
            <w:r>
              <w:rPr>
                <w:sz w:val="20"/>
              </w:rPr>
              <w:t xml:space="preserve">31,8</w:t>
            </w:r>
          </w:p>
        </w:tc>
        <w:tc>
          <w:tcPr>
            <w:tcW w:w="850" w:type="dxa"/>
          </w:tcPr>
          <w:p>
            <w:pPr>
              <w:pStyle w:val="0"/>
            </w:pPr>
            <w:r>
              <w:rPr>
                <w:sz w:val="20"/>
              </w:rPr>
              <w:t xml:space="preserve">32,5</w:t>
            </w:r>
          </w:p>
        </w:tc>
        <w:tc>
          <w:tcPr>
            <w:tcW w:w="850" w:type="dxa"/>
          </w:tcPr>
          <w:p>
            <w:pPr>
              <w:pStyle w:val="0"/>
            </w:pPr>
            <w:r>
              <w:rPr>
                <w:sz w:val="20"/>
              </w:rPr>
              <w:t xml:space="preserve">34,5</w:t>
            </w:r>
          </w:p>
        </w:tc>
        <w:tc>
          <w:tcPr>
            <w:tcW w:w="850" w:type="dxa"/>
          </w:tcPr>
          <w:p>
            <w:pPr>
              <w:pStyle w:val="0"/>
            </w:pPr>
            <w:r>
              <w:rPr>
                <w:sz w:val="20"/>
              </w:rPr>
              <w:t xml:space="preserve">36,2</w:t>
            </w:r>
          </w:p>
        </w:tc>
        <w:tc>
          <w:tcPr>
            <w:tcW w:w="850" w:type="dxa"/>
          </w:tcPr>
          <w:p>
            <w:pPr>
              <w:pStyle w:val="0"/>
            </w:pPr>
            <w:r>
              <w:rPr>
                <w:sz w:val="20"/>
              </w:rPr>
              <w:t xml:space="preserve">40,3</w:t>
            </w:r>
          </w:p>
        </w:tc>
        <w:tc>
          <w:tcPr>
            <w:tcW w:w="850" w:type="dxa"/>
          </w:tcPr>
          <w:p>
            <w:pPr>
              <w:pStyle w:val="0"/>
            </w:pPr>
            <w:r>
              <w:rPr>
                <w:sz w:val="20"/>
              </w:rPr>
              <w:t xml:space="preserve">40,3</w:t>
            </w:r>
          </w:p>
        </w:tc>
      </w:tr>
      <w:tr>
        <w:tc>
          <w:tcPr>
            <w:tcW w:w="2098" w:type="dxa"/>
          </w:tcPr>
          <w:p>
            <w:pPr>
              <w:pStyle w:val="0"/>
            </w:pPr>
            <w:r>
              <w:rPr>
                <w:sz w:val="20"/>
              </w:rPr>
              <w:t xml:space="preserve">Другие новообразования кожи</w:t>
            </w:r>
          </w:p>
        </w:tc>
        <w:tc>
          <w:tcPr>
            <w:tcW w:w="1531" w:type="dxa"/>
          </w:tcPr>
          <w:p>
            <w:pPr>
              <w:pStyle w:val="0"/>
            </w:pPr>
            <w:r>
              <w:rPr>
                <w:sz w:val="20"/>
              </w:rPr>
              <w:t xml:space="preserve">С 44</w:t>
            </w:r>
          </w:p>
        </w:tc>
        <w:tc>
          <w:tcPr>
            <w:tcW w:w="850" w:type="dxa"/>
          </w:tcPr>
          <w:p>
            <w:pPr>
              <w:pStyle w:val="0"/>
            </w:pPr>
            <w:r>
              <w:rPr>
                <w:sz w:val="20"/>
              </w:rPr>
              <w:t xml:space="preserve">112,4</w:t>
            </w:r>
          </w:p>
        </w:tc>
        <w:tc>
          <w:tcPr>
            <w:tcW w:w="850" w:type="dxa"/>
          </w:tcPr>
          <w:p>
            <w:pPr>
              <w:pStyle w:val="0"/>
            </w:pPr>
            <w:r>
              <w:rPr>
                <w:sz w:val="20"/>
              </w:rPr>
              <w:t xml:space="preserve">114,2</w:t>
            </w:r>
          </w:p>
        </w:tc>
        <w:tc>
          <w:tcPr>
            <w:tcW w:w="850" w:type="dxa"/>
          </w:tcPr>
          <w:p>
            <w:pPr>
              <w:pStyle w:val="0"/>
            </w:pPr>
            <w:r>
              <w:rPr>
                <w:sz w:val="20"/>
              </w:rPr>
              <w:t xml:space="preserve">112,9</w:t>
            </w:r>
          </w:p>
        </w:tc>
        <w:tc>
          <w:tcPr>
            <w:tcW w:w="850" w:type="dxa"/>
          </w:tcPr>
          <w:p>
            <w:pPr>
              <w:pStyle w:val="0"/>
            </w:pPr>
            <w:r>
              <w:rPr>
                <w:sz w:val="20"/>
              </w:rPr>
              <w:t xml:space="preserve">120,9</w:t>
            </w:r>
          </w:p>
        </w:tc>
        <w:tc>
          <w:tcPr>
            <w:tcW w:w="850" w:type="dxa"/>
          </w:tcPr>
          <w:p>
            <w:pPr>
              <w:pStyle w:val="0"/>
            </w:pPr>
            <w:r>
              <w:rPr>
                <w:sz w:val="20"/>
              </w:rPr>
              <w:t xml:space="preserve">125,4</w:t>
            </w:r>
          </w:p>
        </w:tc>
        <w:tc>
          <w:tcPr>
            <w:tcW w:w="850" w:type="dxa"/>
          </w:tcPr>
          <w:p>
            <w:pPr>
              <w:pStyle w:val="0"/>
            </w:pPr>
            <w:r>
              <w:rPr>
                <w:sz w:val="20"/>
              </w:rPr>
              <w:t xml:space="preserve">135,4</w:t>
            </w:r>
          </w:p>
        </w:tc>
        <w:tc>
          <w:tcPr>
            <w:tcW w:w="850" w:type="dxa"/>
          </w:tcPr>
          <w:p>
            <w:pPr>
              <w:pStyle w:val="0"/>
            </w:pPr>
            <w:r>
              <w:rPr>
                <w:sz w:val="20"/>
              </w:rPr>
              <w:t xml:space="preserve">147,9</w:t>
            </w:r>
          </w:p>
        </w:tc>
        <w:tc>
          <w:tcPr>
            <w:tcW w:w="850" w:type="dxa"/>
          </w:tcPr>
          <w:p>
            <w:pPr>
              <w:pStyle w:val="0"/>
            </w:pPr>
            <w:r>
              <w:rPr>
                <w:sz w:val="20"/>
              </w:rPr>
              <w:t xml:space="preserve">153</w:t>
            </w:r>
          </w:p>
        </w:tc>
        <w:tc>
          <w:tcPr>
            <w:tcW w:w="850" w:type="dxa"/>
          </w:tcPr>
          <w:p>
            <w:pPr>
              <w:pStyle w:val="0"/>
            </w:pPr>
            <w:r>
              <w:rPr>
                <w:sz w:val="20"/>
              </w:rPr>
              <w:t xml:space="preserve">178,3</w:t>
            </w:r>
          </w:p>
        </w:tc>
        <w:tc>
          <w:tcPr>
            <w:tcW w:w="850" w:type="dxa"/>
          </w:tcPr>
          <w:p>
            <w:pPr>
              <w:pStyle w:val="0"/>
            </w:pPr>
            <w:r>
              <w:rPr>
                <w:sz w:val="20"/>
              </w:rPr>
              <w:t xml:space="preserve">184,1</w:t>
            </w:r>
          </w:p>
        </w:tc>
      </w:tr>
      <w:tr>
        <w:tc>
          <w:tcPr>
            <w:tcW w:w="2098" w:type="dxa"/>
          </w:tcPr>
          <w:p>
            <w:pPr>
              <w:pStyle w:val="0"/>
            </w:pPr>
            <w:r>
              <w:rPr>
                <w:sz w:val="20"/>
              </w:rPr>
              <w:t xml:space="preserve">Соединительной и других мягких тканей</w:t>
            </w:r>
          </w:p>
        </w:tc>
        <w:tc>
          <w:tcPr>
            <w:tcW w:w="1531" w:type="dxa"/>
          </w:tcPr>
          <w:p>
            <w:pPr>
              <w:pStyle w:val="0"/>
            </w:pPr>
            <w:r>
              <w:rPr>
                <w:sz w:val="20"/>
              </w:rPr>
              <w:t xml:space="preserve">С47, С49</w:t>
            </w:r>
          </w:p>
        </w:tc>
        <w:tc>
          <w:tcPr>
            <w:tcW w:w="850" w:type="dxa"/>
          </w:tcPr>
          <w:p>
            <w:pPr>
              <w:pStyle w:val="0"/>
            </w:pPr>
            <w:r>
              <w:rPr>
                <w:sz w:val="20"/>
              </w:rPr>
              <w:t xml:space="preserve">9,3</w:t>
            </w:r>
          </w:p>
        </w:tc>
        <w:tc>
          <w:tcPr>
            <w:tcW w:w="850" w:type="dxa"/>
          </w:tcPr>
          <w:p>
            <w:pPr>
              <w:pStyle w:val="0"/>
            </w:pPr>
            <w:r>
              <w:rPr>
                <w:sz w:val="20"/>
              </w:rPr>
              <w:t xml:space="preserve">9,8</w:t>
            </w:r>
          </w:p>
        </w:tc>
        <w:tc>
          <w:tcPr>
            <w:tcW w:w="850" w:type="dxa"/>
          </w:tcPr>
          <w:p>
            <w:pPr>
              <w:pStyle w:val="0"/>
            </w:pPr>
            <w:r>
              <w:rPr>
                <w:sz w:val="20"/>
              </w:rPr>
              <w:t xml:space="preserve">13,2</w:t>
            </w:r>
          </w:p>
        </w:tc>
        <w:tc>
          <w:tcPr>
            <w:tcW w:w="850" w:type="dxa"/>
          </w:tcPr>
          <w:p>
            <w:pPr>
              <w:pStyle w:val="0"/>
            </w:pPr>
            <w:r>
              <w:rPr>
                <w:sz w:val="20"/>
              </w:rPr>
              <w:t xml:space="preserve">12</w:t>
            </w:r>
          </w:p>
        </w:tc>
        <w:tc>
          <w:tcPr>
            <w:tcW w:w="850" w:type="dxa"/>
          </w:tcPr>
          <w:p>
            <w:pPr>
              <w:pStyle w:val="0"/>
            </w:pPr>
            <w:r>
              <w:rPr>
                <w:sz w:val="20"/>
              </w:rPr>
              <w:t xml:space="preserve">13</w:t>
            </w:r>
          </w:p>
        </w:tc>
        <w:tc>
          <w:tcPr>
            <w:tcW w:w="850" w:type="dxa"/>
          </w:tcPr>
          <w:p>
            <w:pPr>
              <w:pStyle w:val="0"/>
            </w:pPr>
            <w:r>
              <w:rPr>
                <w:sz w:val="20"/>
              </w:rPr>
              <w:t xml:space="preserve">12,6</w:t>
            </w:r>
          </w:p>
        </w:tc>
        <w:tc>
          <w:tcPr>
            <w:tcW w:w="850" w:type="dxa"/>
          </w:tcPr>
          <w:p>
            <w:pPr>
              <w:pStyle w:val="0"/>
            </w:pPr>
            <w:r>
              <w:rPr>
                <w:sz w:val="20"/>
              </w:rPr>
              <w:t xml:space="preserve">12,2</w:t>
            </w:r>
          </w:p>
        </w:tc>
        <w:tc>
          <w:tcPr>
            <w:tcW w:w="850" w:type="dxa"/>
          </w:tcPr>
          <w:p>
            <w:pPr>
              <w:pStyle w:val="0"/>
            </w:pPr>
            <w:r>
              <w:rPr>
                <w:sz w:val="20"/>
              </w:rPr>
              <w:t xml:space="preserve">13,1</w:t>
            </w:r>
          </w:p>
        </w:tc>
        <w:tc>
          <w:tcPr>
            <w:tcW w:w="850" w:type="dxa"/>
          </w:tcPr>
          <w:p>
            <w:pPr>
              <w:pStyle w:val="0"/>
            </w:pPr>
            <w:r>
              <w:rPr>
                <w:sz w:val="20"/>
              </w:rPr>
              <w:t xml:space="preserve">16,1</w:t>
            </w:r>
          </w:p>
        </w:tc>
        <w:tc>
          <w:tcPr>
            <w:tcW w:w="850" w:type="dxa"/>
          </w:tcPr>
          <w:p>
            <w:pPr>
              <w:pStyle w:val="0"/>
            </w:pPr>
            <w:r>
              <w:rPr>
                <w:sz w:val="20"/>
              </w:rPr>
              <w:t xml:space="preserve">15,5</w:t>
            </w:r>
          </w:p>
        </w:tc>
      </w:tr>
      <w:tr>
        <w:tc>
          <w:tcPr>
            <w:tcW w:w="2098" w:type="dxa"/>
          </w:tcPr>
          <w:p>
            <w:pPr>
              <w:pStyle w:val="0"/>
            </w:pPr>
            <w:r>
              <w:rPr>
                <w:sz w:val="20"/>
              </w:rPr>
              <w:t xml:space="preserve">Молочная железа</w:t>
            </w:r>
          </w:p>
        </w:tc>
        <w:tc>
          <w:tcPr>
            <w:tcW w:w="1531" w:type="dxa"/>
          </w:tcPr>
          <w:p>
            <w:pPr>
              <w:pStyle w:val="0"/>
            </w:pPr>
            <w:r>
              <w:rPr>
                <w:sz w:val="20"/>
              </w:rPr>
              <w:t xml:space="preserve">С 50</w:t>
            </w:r>
          </w:p>
        </w:tc>
        <w:tc>
          <w:tcPr>
            <w:tcW w:w="850" w:type="dxa"/>
          </w:tcPr>
          <w:p>
            <w:pPr>
              <w:pStyle w:val="0"/>
            </w:pPr>
            <w:r>
              <w:rPr>
                <w:sz w:val="20"/>
              </w:rPr>
              <w:t xml:space="preserve">499</w:t>
            </w:r>
          </w:p>
        </w:tc>
        <w:tc>
          <w:tcPr>
            <w:tcW w:w="850" w:type="dxa"/>
          </w:tcPr>
          <w:p>
            <w:pPr>
              <w:pStyle w:val="0"/>
            </w:pPr>
            <w:r>
              <w:rPr>
                <w:sz w:val="20"/>
              </w:rPr>
              <w:t xml:space="preserve">526</w:t>
            </w:r>
          </w:p>
        </w:tc>
        <w:tc>
          <w:tcPr>
            <w:tcW w:w="850" w:type="dxa"/>
          </w:tcPr>
          <w:p>
            <w:pPr>
              <w:pStyle w:val="0"/>
            </w:pPr>
            <w:r>
              <w:rPr>
                <w:sz w:val="20"/>
              </w:rPr>
              <w:t xml:space="preserve">283,7</w:t>
            </w:r>
          </w:p>
        </w:tc>
        <w:tc>
          <w:tcPr>
            <w:tcW w:w="850" w:type="dxa"/>
          </w:tcPr>
          <w:p>
            <w:pPr>
              <w:pStyle w:val="0"/>
            </w:pPr>
            <w:r>
              <w:rPr>
                <w:sz w:val="20"/>
              </w:rPr>
              <w:t xml:space="preserve">295,3</w:t>
            </w:r>
          </w:p>
        </w:tc>
        <w:tc>
          <w:tcPr>
            <w:tcW w:w="850" w:type="dxa"/>
          </w:tcPr>
          <w:p>
            <w:pPr>
              <w:pStyle w:val="0"/>
            </w:pPr>
            <w:r>
              <w:rPr>
                <w:sz w:val="20"/>
              </w:rPr>
              <w:t xml:space="preserve">611,4</w:t>
            </w:r>
          </w:p>
        </w:tc>
        <w:tc>
          <w:tcPr>
            <w:tcW w:w="850" w:type="dxa"/>
          </w:tcPr>
          <w:p>
            <w:pPr>
              <w:pStyle w:val="0"/>
            </w:pPr>
            <w:r>
              <w:rPr>
                <w:sz w:val="20"/>
              </w:rPr>
              <w:t xml:space="preserve">650,2</w:t>
            </w:r>
          </w:p>
        </w:tc>
        <w:tc>
          <w:tcPr>
            <w:tcW w:w="850" w:type="dxa"/>
          </w:tcPr>
          <w:p>
            <w:pPr>
              <w:pStyle w:val="0"/>
            </w:pPr>
            <w:r>
              <w:rPr>
                <w:sz w:val="20"/>
              </w:rPr>
              <w:t xml:space="preserve">694,9</w:t>
            </w:r>
          </w:p>
        </w:tc>
        <w:tc>
          <w:tcPr>
            <w:tcW w:w="850" w:type="dxa"/>
          </w:tcPr>
          <w:p>
            <w:pPr>
              <w:pStyle w:val="0"/>
            </w:pPr>
            <w:r>
              <w:rPr>
                <w:sz w:val="20"/>
              </w:rPr>
              <w:t xml:space="preserve">373,9</w:t>
            </w:r>
          </w:p>
        </w:tc>
        <w:tc>
          <w:tcPr>
            <w:tcW w:w="850" w:type="dxa"/>
          </w:tcPr>
          <w:p>
            <w:pPr>
              <w:pStyle w:val="0"/>
            </w:pPr>
            <w:r>
              <w:rPr>
                <w:sz w:val="20"/>
              </w:rPr>
              <w:t xml:space="preserve">411,9</w:t>
            </w:r>
          </w:p>
        </w:tc>
        <w:tc>
          <w:tcPr>
            <w:tcW w:w="850" w:type="dxa"/>
          </w:tcPr>
          <w:p>
            <w:pPr>
              <w:pStyle w:val="0"/>
            </w:pPr>
            <w:r>
              <w:rPr>
                <w:sz w:val="20"/>
              </w:rPr>
              <w:t xml:space="preserve">413,1</w:t>
            </w:r>
          </w:p>
        </w:tc>
      </w:tr>
      <w:tr>
        <w:tc>
          <w:tcPr>
            <w:tcW w:w="2098" w:type="dxa"/>
          </w:tcPr>
          <w:p>
            <w:pPr>
              <w:pStyle w:val="0"/>
            </w:pPr>
            <w:r>
              <w:rPr>
                <w:sz w:val="20"/>
              </w:rPr>
              <w:t xml:space="preserve">Шейка матки</w:t>
            </w:r>
          </w:p>
        </w:tc>
        <w:tc>
          <w:tcPr>
            <w:tcW w:w="1531" w:type="dxa"/>
          </w:tcPr>
          <w:p>
            <w:pPr>
              <w:pStyle w:val="0"/>
            </w:pPr>
            <w:r>
              <w:rPr>
                <w:sz w:val="20"/>
              </w:rPr>
              <w:t xml:space="preserve">С 53</w:t>
            </w:r>
          </w:p>
        </w:tc>
        <w:tc>
          <w:tcPr>
            <w:tcW w:w="850" w:type="dxa"/>
          </w:tcPr>
          <w:p>
            <w:pPr>
              <w:pStyle w:val="0"/>
            </w:pPr>
            <w:r>
              <w:rPr>
                <w:sz w:val="20"/>
              </w:rPr>
              <w:t xml:space="preserve">212,1</w:t>
            </w:r>
          </w:p>
        </w:tc>
        <w:tc>
          <w:tcPr>
            <w:tcW w:w="850" w:type="dxa"/>
          </w:tcPr>
          <w:p>
            <w:pPr>
              <w:pStyle w:val="0"/>
            </w:pPr>
            <w:r>
              <w:rPr>
                <w:sz w:val="20"/>
              </w:rPr>
              <w:t xml:space="preserve">216</w:t>
            </w:r>
          </w:p>
        </w:tc>
        <w:tc>
          <w:tcPr>
            <w:tcW w:w="850" w:type="dxa"/>
          </w:tcPr>
          <w:p>
            <w:pPr>
              <w:pStyle w:val="0"/>
            </w:pPr>
            <w:r>
              <w:rPr>
                <w:sz w:val="20"/>
              </w:rPr>
              <w:t xml:space="preserve">116,9</w:t>
            </w:r>
          </w:p>
        </w:tc>
        <w:tc>
          <w:tcPr>
            <w:tcW w:w="850" w:type="dxa"/>
          </w:tcPr>
          <w:p>
            <w:pPr>
              <w:pStyle w:val="0"/>
            </w:pPr>
            <w:r>
              <w:rPr>
                <w:sz w:val="20"/>
              </w:rPr>
              <w:t xml:space="preserve">117,5</w:t>
            </w:r>
          </w:p>
        </w:tc>
        <w:tc>
          <w:tcPr>
            <w:tcW w:w="850" w:type="dxa"/>
          </w:tcPr>
          <w:p>
            <w:pPr>
              <w:pStyle w:val="0"/>
            </w:pPr>
            <w:r>
              <w:rPr>
                <w:sz w:val="20"/>
              </w:rPr>
              <w:t xml:space="preserve">234,2</w:t>
            </w:r>
          </w:p>
        </w:tc>
        <w:tc>
          <w:tcPr>
            <w:tcW w:w="850" w:type="dxa"/>
          </w:tcPr>
          <w:p>
            <w:pPr>
              <w:pStyle w:val="0"/>
            </w:pPr>
            <w:r>
              <w:rPr>
                <w:sz w:val="20"/>
              </w:rPr>
              <w:t xml:space="preserve">238,1</w:t>
            </w:r>
          </w:p>
        </w:tc>
        <w:tc>
          <w:tcPr>
            <w:tcW w:w="850" w:type="dxa"/>
          </w:tcPr>
          <w:p>
            <w:pPr>
              <w:pStyle w:val="0"/>
            </w:pPr>
            <w:r>
              <w:rPr>
                <w:sz w:val="20"/>
              </w:rPr>
              <w:t xml:space="preserve">248,3</w:t>
            </w:r>
          </w:p>
        </w:tc>
        <w:tc>
          <w:tcPr>
            <w:tcW w:w="850" w:type="dxa"/>
          </w:tcPr>
          <w:p>
            <w:pPr>
              <w:pStyle w:val="0"/>
            </w:pPr>
            <w:r>
              <w:rPr>
                <w:sz w:val="20"/>
              </w:rPr>
              <w:t xml:space="preserve">129,7</w:t>
            </w:r>
          </w:p>
        </w:tc>
        <w:tc>
          <w:tcPr>
            <w:tcW w:w="850" w:type="dxa"/>
          </w:tcPr>
          <w:p>
            <w:pPr>
              <w:pStyle w:val="0"/>
            </w:pPr>
            <w:r>
              <w:rPr>
                <w:sz w:val="20"/>
              </w:rPr>
              <w:t xml:space="preserve">147,2</w:t>
            </w:r>
          </w:p>
        </w:tc>
        <w:tc>
          <w:tcPr>
            <w:tcW w:w="850" w:type="dxa"/>
          </w:tcPr>
          <w:p>
            <w:pPr>
              <w:pStyle w:val="0"/>
            </w:pPr>
            <w:r>
              <w:rPr>
                <w:sz w:val="20"/>
              </w:rPr>
              <w:t xml:space="preserve">136,4</w:t>
            </w:r>
          </w:p>
        </w:tc>
      </w:tr>
      <w:tr>
        <w:tc>
          <w:tcPr>
            <w:tcW w:w="2098" w:type="dxa"/>
          </w:tcPr>
          <w:p>
            <w:pPr>
              <w:pStyle w:val="0"/>
            </w:pPr>
            <w:r>
              <w:rPr>
                <w:sz w:val="20"/>
              </w:rPr>
              <w:t xml:space="preserve">Тело матки</w:t>
            </w:r>
          </w:p>
        </w:tc>
        <w:tc>
          <w:tcPr>
            <w:tcW w:w="1531" w:type="dxa"/>
          </w:tcPr>
          <w:p>
            <w:pPr>
              <w:pStyle w:val="0"/>
            </w:pPr>
            <w:r>
              <w:rPr>
                <w:sz w:val="20"/>
              </w:rPr>
              <w:t xml:space="preserve">С 54</w:t>
            </w:r>
          </w:p>
        </w:tc>
        <w:tc>
          <w:tcPr>
            <w:tcW w:w="850" w:type="dxa"/>
          </w:tcPr>
          <w:p>
            <w:pPr>
              <w:pStyle w:val="0"/>
            </w:pPr>
            <w:r>
              <w:rPr>
                <w:sz w:val="20"/>
              </w:rPr>
              <w:t xml:space="preserve">147,5</w:t>
            </w:r>
          </w:p>
        </w:tc>
        <w:tc>
          <w:tcPr>
            <w:tcW w:w="850" w:type="dxa"/>
          </w:tcPr>
          <w:p>
            <w:pPr>
              <w:pStyle w:val="0"/>
            </w:pPr>
            <w:r>
              <w:rPr>
                <w:sz w:val="20"/>
              </w:rPr>
              <w:t xml:space="preserve">154,6</w:t>
            </w:r>
          </w:p>
        </w:tc>
        <w:tc>
          <w:tcPr>
            <w:tcW w:w="850" w:type="dxa"/>
          </w:tcPr>
          <w:p>
            <w:pPr>
              <w:pStyle w:val="0"/>
            </w:pPr>
            <w:r>
              <w:rPr>
                <w:sz w:val="20"/>
              </w:rPr>
              <w:t xml:space="preserve">84,2</w:t>
            </w:r>
          </w:p>
        </w:tc>
        <w:tc>
          <w:tcPr>
            <w:tcW w:w="850" w:type="dxa"/>
          </w:tcPr>
          <w:p>
            <w:pPr>
              <w:pStyle w:val="0"/>
            </w:pPr>
            <w:r>
              <w:rPr>
                <w:sz w:val="20"/>
              </w:rPr>
              <w:t xml:space="preserve">88,3</w:t>
            </w:r>
          </w:p>
        </w:tc>
        <w:tc>
          <w:tcPr>
            <w:tcW w:w="850" w:type="dxa"/>
          </w:tcPr>
          <w:p>
            <w:pPr>
              <w:pStyle w:val="0"/>
            </w:pPr>
            <w:r>
              <w:rPr>
                <w:sz w:val="20"/>
              </w:rPr>
              <w:t xml:space="preserve">181,4</w:t>
            </w:r>
          </w:p>
        </w:tc>
        <w:tc>
          <w:tcPr>
            <w:tcW w:w="850" w:type="dxa"/>
          </w:tcPr>
          <w:p>
            <w:pPr>
              <w:pStyle w:val="0"/>
            </w:pPr>
            <w:r>
              <w:rPr>
                <w:sz w:val="20"/>
              </w:rPr>
              <w:t xml:space="preserve">188</w:t>
            </w:r>
          </w:p>
        </w:tc>
        <w:tc>
          <w:tcPr>
            <w:tcW w:w="850" w:type="dxa"/>
          </w:tcPr>
          <w:p>
            <w:pPr>
              <w:pStyle w:val="0"/>
            </w:pPr>
            <w:r>
              <w:rPr>
                <w:sz w:val="20"/>
              </w:rPr>
              <w:t xml:space="preserve">203,7</w:t>
            </w:r>
          </w:p>
        </w:tc>
        <w:tc>
          <w:tcPr>
            <w:tcW w:w="850" w:type="dxa"/>
          </w:tcPr>
          <w:p>
            <w:pPr>
              <w:pStyle w:val="0"/>
            </w:pPr>
            <w:r>
              <w:rPr>
                <w:sz w:val="20"/>
              </w:rPr>
              <w:t xml:space="preserve">109,4</w:t>
            </w:r>
          </w:p>
        </w:tc>
        <w:tc>
          <w:tcPr>
            <w:tcW w:w="850" w:type="dxa"/>
          </w:tcPr>
          <w:p>
            <w:pPr>
              <w:pStyle w:val="0"/>
            </w:pPr>
            <w:r>
              <w:rPr>
                <w:sz w:val="20"/>
              </w:rPr>
              <w:t xml:space="preserve">124,0</w:t>
            </w:r>
          </w:p>
        </w:tc>
        <w:tc>
          <w:tcPr>
            <w:tcW w:w="850" w:type="dxa"/>
          </w:tcPr>
          <w:p>
            <w:pPr>
              <w:pStyle w:val="0"/>
            </w:pPr>
            <w:r>
              <w:rPr>
                <w:sz w:val="20"/>
              </w:rPr>
              <w:t xml:space="preserve">122,4</w:t>
            </w:r>
          </w:p>
        </w:tc>
      </w:tr>
      <w:tr>
        <w:tc>
          <w:tcPr>
            <w:tcW w:w="2098" w:type="dxa"/>
          </w:tcPr>
          <w:p>
            <w:pPr>
              <w:pStyle w:val="0"/>
            </w:pPr>
            <w:r>
              <w:rPr>
                <w:sz w:val="20"/>
              </w:rPr>
              <w:t xml:space="preserve">Яичники</w:t>
            </w:r>
          </w:p>
        </w:tc>
        <w:tc>
          <w:tcPr>
            <w:tcW w:w="1531" w:type="dxa"/>
          </w:tcPr>
          <w:p>
            <w:pPr>
              <w:pStyle w:val="0"/>
            </w:pPr>
            <w:r>
              <w:rPr>
                <w:sz w:val="20"/>
              </w:rPr>
              <w:t xml:space="preserve">С 56</w:t>
            </w:r>
          </w:p>
        </w:tc>
        <w:tc>
          <w:tcPr>
            <w:tcW w:w="850" w:type="dxa"/>
          </w:tcPr>
          <w:p>
            <w:pPr>
              <w:pStyle w:val="0"/>
            </w:pPr>
            <w:r>
              <w:rPr>
                <w:sz w:val="20"/>
              </w:rPr>
              <w:t xml:space="preserve">88,1</w:t>
            </w:r>
          </w:p>
        </w:tc>
        <w:tc>
          <w:tcPr>
            <w:tcW w:w="850" w:type="dxa"/>
          </w:tcPr>
          <w:p>
            <w:pPr>
              <w:pStyle w:val="0"/>
            </w:pPr>
            <w:r>
              <w:rPr>
                <w:sz w:val="20"/>
              </w:rPr>
              <w:t xml:space="preserve">91,2</w:t>
            </w:r>
          </w:p>
        </w:tc>
        <w:tc>
          <w:tcPr>
            <w:tcW w:w="850" w:type="dxa"/>
          </w:tcPr>
          <w:p>
            <w:pPr>
              <w:pStyle w:val="0"/>
            </w:pPr>
            <w:r>
              <w:rPr>
                <w:sz w:val="20"/>
              </w:rPr>
              <w:t xml:space="preserve">48,4</w:t>
            </w:r>
          </w:p>
        </w:tc>
        <w:tc>
          <w:tcPr>
            <w:tcW w:w="850" w:type="dxa"/>
          </w:tcPr>
          <w:p>
            <w:pPr>
              <w:pStyle w:val="0"/>
            </w:pPr>
            <w:r>
              <w:rPr>
                <w:sz w:val="20"/>
              </w:rPr>
              <w:t xml:space="preserve">47,8</w:t>
            </w:r>
          </w:p>
        </w:tc>
        <w:tc>
          <w:tcPr>
            <w:tcW w:w="850" w:type="dxa"/>
          </w:tcPr>
          <w:p>
            <w:pPr>
              <w:pStyle w:val="0"/>
            </w:pPr>
            <w:r>
              <w:rPr>
                <w:sz w:val="20"/>
              </w:rPr>
              <w:t xml:space="preserve">93,2</w:t>
            </w:r>
          </w:p>
        </w:tc>
        <w:tc>
          <w:tcPr>
            <w:tcW w:w="850" w:type="dxa"/>
          </w:tcPr>
          <w:p>
            <w:pPr>
              <w:pStyle w:val="0"/>
            </w:pPr>
            <w:r>
              <w:rPr>
                <w:sz w:val="20"/>
              </w:rPr>
              <w:t xml:space="preserve">99,5</w:t>
            </w:r>
          </w:p>
        </w:tc>
        <w:tc>
          <w:tcPr>
            <w:tcW w:w="850" w:type="dxa"/>
          </w:tcPr>
          <w:p>
            <w:pPr>
              <w:pStyle w:val="0"/>
            </w:pPr>
            <w:r>
              <w:rPr>
                <w:sz w:val="20"/>
              </w:rPr>
              <w:t xml:space="preserve">103,8</w:t>
            </w:r>
          </w:p>
        </w:tc>
        <w:tc>
          <w:tcPr>
            <w:tcW w:w="850" w:type="dxa"/>
          </w:tcPr>
          <w:p>
            <w:pPr>
              <w:pStyle w:val="0"/>
            </w:pPr>
            <w:r>
              <w:rPr>
                <w:sz w:val="20"/>
              </w:rPr>
              <w:t xml:space="preserve">54,4</w:t>
            </w:r>
          </w:p>
        </w:tc>
        <w:tc>
          <w:tcPr>
            <w:tcW w:w="850" w:type="dxa"/>
          </w:tcPr>
          <w:p>
            <w:pPr>
              <w:pStyle w:val="0"/>
            </w:pPr>
            <w:r>
              <w:rPr>
                <w:sz w:val="20"/>
              </w:rPr>
              <w:t xml:space="preserve">61,9</w:t>
            </w:r>
          </w:p>
        </w:tc>
        <w:tc>
          <w:tcPr>
            <w:tcW w:w="850" w:type="dxa"/>
          </w:tcPr>
          <w:p>
            <w:pPr>
              <w:pStyle w:val="0"/>
            </w:pPr>
            <w:r>
              <w:rPr>
                <w:sz w:val="20"/>
              </w:rPr>
              <w:t xml:space="preserve">60,2</w:t>
            </w:r>
          </w:p>
        </w:tc>
      </w:tr>
      <w:tr>
        <w:tc>
          <w:tcPr>
            <w:tcW w:w="2098" w:type="dxa"/>
          </w:tcPr>
          <w:p>
            <w:pPr>
              <w:pStyle w:val="0"/>
            </w:pPr>
            <w:r>
              <w:rPr>
                <w:sz w:val="20"/>
              </w:rPr>
              <w:t xml:space="preserve">Предстательная железа</w:t>
            </w:r>
          </w:p>
        </w:tc>
        <w:tc>
          <w:tcPr>
            <w:tcW w:w="1531" w:type="dxa"/>
          </w:tcPr>
          <w:p>
            <w:pPr>
              <w:pStyle w:val="0"/>
            </w:pPr>
            <w:r>
              <w:rPr>
                <w:sz w:val="20"/>
              </w:rPr>
              <w:t xml:space="preserve">С 61</w:t>
            </w:r>
          </w:p>
        </w:tc>
        <w:tc>
          <w:tcPr>
            <w:tcW w:w="850" w:type="dxa"/>
          </w:tcPr>
          <w:p>
            <w:pPr>
              <w:pStyle w:val="0"/>
            </w:pPr>
            <w:r>
              <w:rPr>
                <w:sz w:val="20"/>
              </w:rPr>
              <w:t xml:space="preserve">100,4</w:t>
            </w:r>
          </w:p>
        </w:tc>
        <w:tc>
          <w:tcPr>
            <w:tcW w:w="850" w:type="dxa"/>
          </w:tcPr>
          <w:p>
            <w:pPr>
              <w:pStyle w:val="0"/>
            </w:pPr>
            <w:r>
              <w:rPr>
                <w:sz w:val="20"/>
              </w:rPr>
              <w:t xml:space="preserve">116,5</w:t>
            </w:r>
          </w:p>
        </w:tc>
        <w:tc>
          <w:tcPr>
            <w:tcW w:w="850" w:type="dxa"/>
          </w:tcPr>
          <w:p>
            <w:pPr>
              <w:pStyle w:val="0"/>
            </w:pPr>
            <w:r>
              <w:rPr>
                <w:sz w:val="20"/>
              </w:rPr>
              <w:t xml:space="preserve">67,6</w:t>
            </w:r>
          </w:p>
        </w:tc>
        <w:tc>
          <w:tcPr>
            <w:tcW w:w="850" w:type="dxa"/>
          </w:tcPr>
          <w:p>
            <w:pPr>
              <w:pStyle w:val="0"/>
            </w:pPr>
            <w:r>
              <w:rPr>
                <w:sz w:val="20"/>
              </w:rPr>
              <w:t xml:space="preserve">74,8</w:t>
            </w:r>
          </w:p>
        </w:tc>
        <w:tc>
          <w:tcPr>
            <w:tcW w:w="850" w:type="dxa"/>
          </w:tcPr>
          <w:p>
            <w:pPr>
              <w:pStyle w:val="0"/>
            </w:pPr>
            <w:r>
              <w:rPr>
                <w:sz w:val="20"/>
              </w:rPr>
              <w:t xml:space="preserve">176,9</w:t>
            </w:r>
          </w:p>
        </w:tc>
        <w:tc>
          <w:tcPr>
            <w:tcW w:w="850" w:type="dxa"/>
          </w:tcPr>
          <w:p>
            <w:pPr>
              <w:pStyle w:val="0"/>
            </w:pPr>
            <w:r>
              <w:rPr>
                <w:sz w:val="20"/>
              </w:rPr>
              <w:t xml:space="preserve">195,6</w:t>
            </w:r>
          </w:p>
        </w:tc>
        <w:tc>
          <w:tcPr>
            <w:tcW w:w="850" w:type="dxa"/>
          </w:tcPr>
          <w:p>
            <w:pPr>
              <w:pStyle w:val="0"/>
            </w:pPr>
            <w:r>
              <w:rPr>
                <w:sz w:val="20"/>
              </w:rPr>
              <w:t xml:space="preserve">228,5</w:t>
            </w:r>
          </w:p>
        </w:tc>
        <w:tc>
          <w:tcPr>
            <w:tcW w:w="850" w:type="dxa"/>
          </w:tcPr>
          <w:p>
            <w:pPr>
              <w:pStyle w:val="0"/>
            </w:pPr>
            <w:r>
              <w:rPr>
                <w:sz w:val="20"/>
              </w:rPr>
              <w:t xml:space="preserve">118,6</w:t>
            </w:r>
          </w:p>
        </w:tc>
        <w:tc>
          <w:tcPr>
            <w:tcW w:w="850" w:type="dxa"/>
          </w:tcPr>
          <w:p>
            <w:pPr>
              <w:pStyle w:val="0"/>
            </w:pPr>
            <w:r>
              <w:rPr>
                <w:sz w:val="20"/>
              </w:rPr>
              <w:t xml:space="preserve">143,8</w:t>
            </w:r>
          </w:p>
        </w:tc>
        <w:tc>
          <w:tcPr>
            <w:tcW w:w="850" w:type="dxa"/>
          </w:tcPr>
          <w:p>
            <w:pPr>
              <w:pStyle w:val="0"/>
            </w:pPr>
            <w:r>
              <w:rPr>
                <w:sz w:val="20"/>
              </w:rPr>
              <w:t xml:space="preserve">154,9</w:t>
            </w:r>
          </w:p>
        </w:tc>
      </w:tr>
      <w:tr>
        <w:tc>
          <w:tcPr>
            <w:tcW w:w="2098" w:type="dxa"/>
          </w:tcPr>
          <w:p>
            <w:pPr>
              <w:pStyle w:val="0"/>
            </w:pPr>
            <w:r>
              <w:rPr>
                <w:sz w:val="20"/>
              </w:rPr>
              <w:t xml:space="preserve">Почка</w:t>
            </w:r>
          </w:p>
        </w:tc>
        <w:tc>
          <w:tcPr>
            <w:tcW w:w="1531" w:type="dxa"/>
          </w:tcPr>
          <w:p>
            <w:pPr>
              <w:pStyle w:val="0"/>
            </w:pPr>
            <w:r>
              <w:rPr>
                <w:sz w:val="20"/>
              </w:rPr>
              <w:t xml:space="preserve">С 64</w:t>
            </w:r>
          </w:p>
        </w:tc>
        <w:tc>
          <w:tcPr>
            <w:tcW w:w="850" w:type="dxa"/>
          </w:tcPr>
          <w:p>
            <w:pPr>
              <w:pStyle w:val="0"/>
            </w:pPr>
            <w:r>
              <w:rPr>
                <w:sz w:val="20"/>
              </w:rPr>
              <w:t xml:space="preserve">88,4</w:t>
            </w:r>
          </w:p>
        </w:tc>
        <w:tc>
          <w:tcPr>
            <w:tcW w:w="850" w:type="dxa"/>
          </w:tcPr>
          <w:p>
            <w:pPr>
              <w:pStyle w:val="0"/>
            </w:pPr>
            <w:r>
              <w:rPr>
                <w:sz w:val="20"/>
              </w:rPr>
              <w:t xml:space="preserve">93,7</w:t>
            </w:r>
          </w:p>
        </w:tc>
        <w:tc>
          <w:tcPr>
            <w:tcW w:w="850" w:type="dxa"/>
          </w:tcPr>
          <w:p>
            <w:pPr>
              <w:pStyle w:val="0"/>
            </w:pPr>
            <w:r>
              <w:rPr>
                <w:sz w:val="20"/>
              </w:rPr>
              <w:t xml:space="preserve">97,3</w:t>
            </w:r>
          </w:p>
        </w:tc>
        <w:tc>
          <w:tcPr>
            <w:tcW w:w="850" w:type="dxa"/>
          </w:tcPr>
          <w:p>
            <w:pPr>
              <w:pStyle w:val="0"/>
            </w:pPr>
            <w:r>
              <w:rPr>
                <w:sz w:val="20"/>
              </w:rPr>
              <w:t xml:space="preserve">104,1</w:t>
            </w:r>
          </w:p>
        </w:tc>
        <w:tc>
          <w:tcPr>
            <w:tcW w:w="850" w:type="dxa"/>
          </w:tcPr>
          <w:p>
            <w:pPr>
              <w:pStyle w:val="0"/>
            </w:pPr>
            <w:r>
              <w:rPr>
                <w:sz w:val="20"/>
              </w:rPr>
              <w:t xml:space="preserve">113,9</w:t>
            </w:r>
          </w:p>
        </w:tc>
        <w:tc>
          <w:tcPr>
            <w:tcW w:w="850" w:type="dxa"/>
          </w:tcPr>
          <w:p>
            <w:pPr>
              <w:pStyle w:val="0"/>
            </w:pPr>
            <w:r>
              <w:rPr>
                <w:sz w:val="20"/>
              </w:rPr>
              <w:t xml:space="preserve">117,6</w:t>
            </w:r>
          </w:p>
        </w:tc>
        <w:tc>
          <w:tcPr>
            <w:tcW w:w="850" w:type="dxa"/>
          </w:tcPr>
          <w:p>
            <w:pPr>
              <w:pStyle w:val="0"/>
            </w:pPr>
            <w:r>
              <w:rPr>
                <w:sz w:val="20"/>
              </w:rPr>
              <w:t xml:space="preserve">125</w:t>
            </w:r>
          </w:p>
        </w:tc>
        <w:tc>
          <w:tcPr>
            <w:tcW w:w="850" w:type="dxa"/>
          </w:tcPr>
          <w:p>
            <w:pPr>
              <w:pStyle w:val="0"/>
            </w:pPr>
            <w:r>
              <w:rPr>
                <w:sz w:val="20"/>
              </w:rPr>
              <w:t xml:space="preserve">130,2</w:t>
            </w:r>
          </w:p>
        </w:tc>
        <w:tc>
          <w:tcPr>
            <w:tcW w:w="850" w:type="dxa"/>
          </w:tcPr>
          <w:p>
            <w:pPr>
              <w:pStyle w:val="0"/>
            </w:pPr>
            <w:r>
              <w:rPr>
                <w:sz w:val="20"/>
              </w:rPr>
              <w:t xml:space="preserve">145,9</w:t>
            </w:r>
          </w:p>
        </w:tc>
        <w:tc>
          <w:tcPr>
            <w:tcW w:w="850" w:type="dxa"/>
          </w:tcPr>
          <w:p>
            <w:pPr>
              <w:pStyle w:val="0"/>
            </w:pPr>
            <w:r>
              <w:rPr>
                <w:sz w:val="20"/>
              </w:rPr>
              <w:t xml:space="preserve">143,9</w:t>
            </w:r>
          </w:p>
        </w:tc>
      </w:tr>
      <w:tr>
        <w:tc>
          <w:tcPr>
            <w:tcW w:w="2098" w:type="dxa"/>
          </w:tcPr>
          <w:p>
            <w:pPr>
              <w:pStyle w:val="0"/>
            </w:pPr>
            <w:r>
              <w:rPr>
                <w:sz w:val="20"/>
              </w:rPr>
              <w:t xml:space="preserve">Мочевой пузырь</w:t>
            </w:r>
          </w:p>
        </w:tc>
        <w:tc>
          <w:tcPr>
            <w:tcW w:w="1531" w:type="dxa"/>
          </w:tcPr>
          <w:p>
            <w:pPr>
              <w:pStyle w:val="0"/>
            </w:pPr>
            <w:r>
              <w:rPr>
                <w:sz w:val="20"/>
              </w:rPr>
              <w:t xml:space="preserve">С 67</w:t>
            </w:r>
          </w:p>
        </w:tc>
        <w:tc>
          <w:tcPr>
            <w:tcW w:w="850" w:type="dxa"/>
          </w:tcPr>
          <w:p>
            <w:pPr>
              <w:pStyle w:val="0"/>
            </w:pPr>
            <w:r>
              <w:rPr>
                <w:sz w:val="20"/>
              </w:rPr>
              <w:t xml:space="preserve">34,6</w:t>
            </w:r>
          </w:p>
        </w:tc>
        <w:tc>
          <w:tcPr>
            <w:tcW w:w="850" w:type="dxa"/>
          </w:tcPr>
          <w:p>
            <w:pPr>
              <w:pStyle w:val="0"/>
            </w:pPr>
            <w:r>
              <w:rPr>
                <w:sz w:val="20"/>
              </w:rPr>
              <w:t xml:space="preserve">35,5</w:t>
            </w:r>
          </w:p>
        </w:tc>
        <w:tc>
          <w:tcPr>
            <w:tcW w:w="850" w:type="dxa"/>
          </w:tcPr>
          <w:p>
            <w:pPr>
              <w:pStyle w:val="0"/>
            </w:pPr>
            <w:r>
              <w:rPr>
                <w:sz w:val="20"/>
              </w:rPr>
              <w:t xml:space="preserve">38,5</w:t>
            </w:r>
          </w:p>
        </w:tc>
        <w:tc>
          <w:tcPr>
            <w:tcW w:w="850" w:type="dxa"/>
          </w:tcPr>
          <w:p>
            <w:pPr>
              <w:pStyle w:val="0"/>
            </w:pPr>
            <w:r>
              <w:rPr>
                <w:sz w:val="20"/>
              </w:rPr>
              <w:t xml:space="preserve">40,6</w:t>
            </w:r>
          </w:p>
        </w:tc>
        <w:tc>
          <w:tcPr>
            <w:tcW w:w="850" w:type="dxa"/>
          </w:tcPr>
          <w:p>
            <w:pPr>
              <w:pStyle w:val="0"/>
            </w:pPr>
            <w:r>
              <w:rPr>
                <w:sz w:val="20"/>
              </w:rPr>
              <w:t xml:space="preserve">42,5</w:t>
            </w:r>
          </w:p>
        </w:tc>
        <w:tc>
          <w:tcPr>
            <w:tcW w:w="850" w:type="dxa"/>
          </w:tcPr>
          <w:p>
            <w:pPr>
              <w:pStyle w:val="0"/>
            </w:pPr>
            <w:r>
              <w:rPr>
                <w:sz w:val="20"/>
              </w:rPr>
              <w:t xml:space="preserve">44,5</w:t>
            </w:r>
          </w:p>
        </w:tc>
        <w:tc>
          <w:tcPr>
            <w:tcW w:w="850" w:type="dxa"/>
          </w:tcPr>
          <w:p>
            <w:pPr>
              <w:pStyle w:val="0"/>
            </w:pPr>
            <w:r>
              <w:rPr>
                <w:sz w:val="20"/>
              </w:rPr>
              <w:t xml:space="preserve">48,4</w:t>
            </w:r>
          </w:p>
        </w:tc>
        <w:tc>
          <w:tcPr>
            <w:tcW w:w="850" w:type="dxa"/>
          </w:tcPr>
          <w:p>
            <w:pPr>
              <w:pStyle w:val="0"/>
            </w:pPr>
            <w:r>
              <w:rPr>
                <w:sz w:val="20"/>
              </w:rPr>
              <w:t xml:space="preserve">49,6</w:t>
            </w:r>
          </w:p>
        </w:tc>
        <w:tc>
          <w:tcPr>
            <w:tcW w:w="850" w:type="dxa"/>
          </w:tcPr>
          <w:p>
            <w:pPr>
              <w:pStyle w:val="0"/>
            </w:pPr>
            <w:r>
              <w:rPr>
                <w:sz w:val="20"/>
              </w:rPr>
              <w:t xml:space="preserve">56,6</w:t>
            </w:r>
          </w:p>
        </w:tc>
        <w:tc>
          <w:tcPr>
            <w:tcW w:w="850" w:type="dxa"/>
          </w:tcPr>
          <w:p>
            <w:pPr>
              <w:pStyle w:val="0"/>
            </w:pPr>
            <w:r>
              <w:rPr>
                <w:sz w:val="20"/>
              </w:rPr>
              <w:t xml:space="preserve">54,7</w:t>
            </w:r>
          </w:p>
        </w:tc>
      </w:tr>
      <w:tr>
        <w:tc>
          <w:tcPr>
            <w:tcW w:w="2098" w:type="dxa"/>
          </w:tcPr>
          <w:p>
            <w:pPr>
              <w:pStyle w:val="0"/>
            </w:pPr>
            <w:r>
              <w:rPr>
                <w:sz w:val="20"/>
              </w:rPr>
              <w:t xml:space="preserve">Щитовидная железа</w:t>
            </w:r>
          </w:p>
        </w:tc>
        <w:tc>
          <w:tcPr>
            <w:tcW w:w="1531" w:type="dxa"/>
          </w:tcPr>
          <w:p>
            <w:pPr>
              <w:pStyle w:val="0"/>
            </w:pPr>
            <w:r>
              <w:rPr>
                <w:sz w:val="20"/>
              </w:rPr>
              <w:t xml:space="preserve">С 73</w:t>
            </w:r>
          </w:p>
        </w:tc>
        <w:tc>
          <w:tcPr>
            <w:tcW w:w="850" w:type="dxa"/>
          </w:tcPr>
          <w:p>
            <w:pPr>
              <w:pStyle w:val="0"/>
            </w:pPr>
            <w:r>
              <w:rPr>
                <w:sz w:val="20"/>
              </w:rPr>
              <w:t xml:space="preserve">85,8</w:t>
            </w:r>
          </w:p>
        </w:tc>
        <w:tc>
          <w:tcPr>
            <w:tcW w:w="850" w:type="dxa"/>
          </w:tcPr>
          <w:p>
            <w:pPr>
              <w:pStyle w:val="0"/>
            </w:pPr>
            <w:r>
              <w:rPr>
                <w:sz w:val="20"/>
              </w:rPr>
              <w:t xml:space="preserve">87,9</w:t>
            </w:r>
          </w:p>
        </w:tc>
        <w:tc>
          <w:tcPr>
            <w:tcW w:w="850" w:type="dxa"/>
          </w:tcPr>
          <w:p>
            <w:pPr>
              <w:pStyle w:val="0"/>
            </w:pPr>
            <w:r>
              <w:rPr>
                <w:sz w:val="20"/>
              </w:rPr>
              <w:t xml:space="preserve">91,5</w:t>
            </w:r>
          </w:p>
        </w:tc>
        <w:tc>
          <w:tcPr>
            <w:tcW w:w="850" w:type="dxa"/>
          </w:tcPr>
          <w:p>
            <w:pPr>
              <w:pStyle w:val="0"/>
            </w:pPr>
            <w:r>
              <w:rPr>
                <w:sz w:val="20"/>
              </w:rPr>
              <w:t xml:space="preserve">92,1</w:t>
            </w:r>
          </w:p>
        </w:tc>
        <w:tc>
          <w:tcPr>
            <w:tcW w:w="850" w:type="dxa"/>
          </w:tcPr>
          <w:p>
            <w:pPr>
              <w:pStyle w:val="0"/>
            </w:pPr>
            <w:r>
              <w:rPr>
                <w:sz w:val="20"/>
              </w:rPr>
              <w:t xml:space="preserve">94,5</w:t>
            </w:r>
          </w:p>
        </w:tc>
        <w:tc>
          <w:tcPr>
            <w:tcW w:w="850" w:type="dxa"/>
          </w:tcPr>
          <w:p>
            <w:pPr>
              <w:pStyle w:val="0"/>
            </w:pPr>
            <w:r>
              <w:rPr>
                <w:sz w:val="20"/>
              </w:rPr>
              <w:t xml:space="preserve">97,7</w:t>
            </w:r>
          </w:p>
        </w:tc>
        <w:tc>
          <w:tcPr>
            <w:tcW w:w="850" w:type="dxa"/>
          </w:tcPr>
          <w:p>
            <w:pPr>
              <w:pStyle w:val="0"/>
            </w:pPr>
            <w:r>
              <w:rPr>
                <w:sz w:val="20"/>
              </w:rPr>
              <w:t xml:space="preserve">102,3</w:t>
            </w:r>
          </w:p>
        </w:tc>
        <w:tc>
          <w:tcPr>
            <w:tcW w:w="850" w:type="dxa"/>
          </w:tcPr>
          <w:p>
            <w:pPr>
              <w:pStyle w:val="0"/>
            </w:pPr>
            <w:r>
              <w:rPr>
                <w:sz w:val="20"/>
              </w:rPr>
              <w:t xml:space="preserve">105,7</w:t>
            </w:r>
          </w:p>
        </w:tc>
        <w:tc>
          <w:tcPr>
            <w:tcW w:w="850" w:type="dxa"/>
          </w:tcPr>
          <w:p>
            <w:pPr>
              <w:pStyle w:val="0"/>
            </w:pPr>
            <w:r>
              <w:rPr>
                <w:sz w:val="20"/>
              </w:rPr>
              <w:t xml:space="preserve">115,4</w:t>
            </w:r>
          </w:p>
        </w:tc>
        <w:tc>
          <w:tcPr>
            <w:tcW w:w="850" w:type="dxa"/>
          </w:tcPr>
          <w:p>
            <w:pPr>
              <w:pStyle w:val="0"/>
            </w:pPr>
            <w:r>
              <w:rPr>
                <w:sz w:val="20"/>
              </w:rPr>
              <w:t xml:space="preserve">112,4</w:t>
            </w:r>
          </w:p>
        </w:tc>
      </w:tr>
      <w:tr>
        <w:tc>
          <w:tcPr>
            <w:tcW w:w="2098" w:type="dxa"/>
          </w:tcPr>
          <w:p>
            <w:pPr>
              <w:pStyle w:val="0"/>
            </w:pPr>
            <w:r>
              <w:rPr>
                <w:sz w:val="20"/>
              </w:rPr>
              <w:t xml:space="preserve">Злокачественная Лимфома</w:t>
            </w:r>
          </w:p>
        </w:tc>
        <w:tc>
          <w:tcPr>
            <w:tcW w:w="1531" w:type="dxa"/>
          </w:tcPr>
          <w:p>
            <w:pPr>
              <w:pStyle w:val="0"/>
            </w:pPr>
            <w:r>
              <w:rPr>
                <w:sz w:val="20"/>
              </w:rPr>
              <w:t xml:space="preserve">С 81 - 86; 88; 90; 96</w:t>
            </w:r>
          </w:p>
        </w:tc>
        <w:tc>
          <w:tcPr>
            <w:tcW w:w="850" w:type="dxa"/>
          </w:tcPr>
          <w:p>
            <w:pPr>
              <w:pStyle w:val="0"/>
            </w:pPr>
            <w:r>
              <w:rPr>
                <w:sz w:val="20"/>
              </w:rPr>
              <w:t xml:space="preserve">51</w:t>
            </w:r>
          </w:p>
        </w:tc>
        <w:tc>
          <w:tcPr>
            <w:tcW w:w="850" w:type="dxa"/>
          </w:tcPr>
          <w:p>
            <w:pPr>
              <w:pStyle w:val="0"/>
            </w:pPr>
            <w:r>
              <w:rPr>
                <w:sz w:val="20"/>
              </w:rPr>
              <w:t xml:space="preserve">54,4</w:t>
            </w:r>
          </w:p>
        </w:tc>
        <w:tc>
          <w:tcPr>
            <w:tcW w:w="850" w:type="dxa"/>
          </w:tcPr>
          <w:p>
            <w:pPr>
              <w:pStyle w:val="0"/>
            </w:pPr>
            <w:r>
              <w:rPr>
                <w:sz w:val="20"/>
              </w:rPr>
              <w:t xml:space="preserve">58,3</w:t>
            </w:r>
          </w:p>
        </w:tc>
        <w:tc>
          <w:tcPr>
            <w:tcW w:w="850" w:type="dxa"/>
          </w:tcPr>
          <w:p>
            <w:pPr>
              <w:pStyle w:val="0"/>
            </w:pPr>
            <w:r>
              <w:rPr>
                <w:sz w:val="20"/>
              </w:rPr>
              <w:t xml:space="preserve">61,4</w:t>
            </w:r>
          </w:p>
        </w:tc>
        <w:tc>
          <w:tcPr>
            <w:tcW w:w="850" w:type="dxa"/>
          </w:tcPr>
          <w:p>
            <w:pPr>
              <w:pStyle w:val="0"/>
            </w:pPr>
            <w:r>
              <w:rPr>
                <w:sz w:val="20"/>
              </w:rPr>
              <w:t xml:space="preserve">63,1</w:t>
            </w:r>
          </w:p>
        </w:tc>
        <w:tc>
          <w:tcPr>
            <w:tcW w:w="850" w:type="dxa"/>
          </w:tcPr>
          <w:p>
            <w:pPr>
              <w:pStyle w:val="0"/>
            </w:pPr>
            <w:r>
              <w:rPr>
                <w:sz w:val="20"/>
              </w:rPr>
              <w:t xml:space="preserve">63,1</w:t>
            </w:r>
          </w:p>
        </w:tc>
        <w:tc>
          <w:tcPr>
            <w:tcW w:w="850" w:type="dxa"/>
          </w:tcPr>
          <w:p>
            <w:pPr>
              <w:pStyle w:val="0"/>
            </w:pPr>
            <w:r>
              <w:rPr>
                <w:sz w:val="20"/>
              </w:rPr>
              <w:t xml:space="preserve">71,6</w:t>
            </w:r>
          </w:p>
        </w:tc>
        <w:tc>
          <w:tcPr>
            <w:tcW w:w="850" w:type="dxa"/>
          </w:tcPr>
          <w:p>
            <w:pPr>
              <w:pStyle w:val="0"/>
            </w:pPr>
            <w:r>
              <w:rPr>
                <w:sz w:val="20"/>
              </w:rPr>
              <w:t xml:space="preserve">72,8</w:t>
            </w:r>
          </w:p>
        </w:tc>
        <w:tc>
          <w:tcPr>
            <w:tcW w:w="850" w:type="dxa"/>
          </w:tcPr>
          <w:p>
            <w:pPr>
              <w:pStyle w:val="0"/>
            </w:pPr>
            <w:r>
              <w:rPr>
                <w:sz w:val="20"/>
              </w:rPr>
              <w:t xml:space="preserve">84,3</w:t>
            </w:r>
          </w:p>
        </w:tc>
        <w:tc>
          <w:tcPr>
            <w:tcW w:w="850" w:type="dxa"/>
          </w:tcPr>
          <w:p>
            <w:pPr>
              <w:pStyle w:val="0"/>
            </w:pPr>
            <w:r>
              <w:rPr>
                <w:sz w:val="20"/>
              </w:rPr>
              <w:t xml:space="preserve">83,2</w:t>
            </w:r>
          </w:p>
        </w:tc>
      </w:tr>
      <w:tr>
        <w:tc>
          <w:tcPr>
            <w:tcW w:w="2098" w:type="dxa"/>
          </w:tcPr>
          <w:p>
            <w:pPr>
              <w:pStyle w:val="0"/>
            </w:pPr>
            <w:r>
              <w:rPr>
                <w:sz w:val="20"/>
              </w:rPr>
              <w:t xml:space="preserve">Лейкозы</w:t>
            </w:r>
          </w:p>
        </w:tc>
        <w:tc>
          <w:tcPr>
            <w:tcW w:w="1531" w:type="dxa"/>
          </w:tcPr>
          <w:p>
            <w:pPr>
              <w:pStyle w:val="0"/>
            </w:pPr>
            <w:r>
              <w:rPr>
                <w:sz w:val="20"/>
              </w:rPr>
              <w:t xml:space="preserve">С 91 - С95</w:t>
            </w:r>
          </w:p>
        </w:tc>
        <w:tc>
          <w:tcPr>
            <w:tcW w:w="850" w:type="dxa"/>
          </w:tcPr>
          <w:p>
            <w:pPr>
              <w:pStyle w:val="0"/>
            </w:pPr>
            <w:r>
              <w:rPr>
                <w:sz w:val="20"/>
              </w:rPr>
              <w:t xml:space="preserve">35,4</w:t>
            </w:r>
          </w:p>
        </w:tc>
        <w:tc>
          <w:tcPr>
            <w:tcW w:w="850" w:type="dxa"/>
          </w:tcPr>
          <w:p>
            <w:pPr>
              <w:pStyle w:val="0"/>
            </w:pPr>
            <w:r>
              <w:rPr>
                <w:sz w:val="20"/>
              </w:rPr>
              <w:t xml:space="preserve">40</w:t>
            </w:r>
          </w:p>
        </w:tc>
        <w:tc>
          <w:tcPr>
            <w:tcW w:w="850" w:type="dxa"/>
          </w:tcPr>
          <w:p>
            <w:pPr>
              <w:pStyle w:val="0"/>
            </w:pPr>
            <w:r>
              <w:rPr>
                <w:sz w:val="20"/>
              </w:rPr>
              <w:t xml:space="preserve">41,9</w:t>
            </w:r>
          </w:p>
        </w:tc>
        <w:tc>
          <w:tcPr>
            <w:tcW w:w="850" w:type="dxa"/>
          </w:tcPr>
          <w:p>
            <w:pPr>
              <w:pStyle w:val="0"/>
            </w:pPr>
            <w:r>
              <w:rPr>
                <w:sz w:val="20"/>
              </w:rPr>
              <w:t xml:space="preserve">41,8</w:t>
            </w:r>
          </w:p>
        </w:tc>
        <w:tc>
          <w:tcPr>
            <w:tcW w:w="850" w:type="dxa"/>
          </w:tcPr>
          <w:p>
            <w:pPr>
              <w:pStyle w:val="0"/>
            </w:pPr>
            <w:r>
              <w:rPr>
                <w:sz w:val="20"/>
              </w:rPr>
              <w:t xml:space="preserve">43,4</w:t>
            </w:r>
          </w:p>
        </w:tc>
        <w:tc>
          <w:tcPr>
            <w:tcW w:w="850" w:type="dxa"/>
          </w:tcPr>
          <w:p>
            <w:pPr>
              <w:pStyle w:val="0"/>
            </w:pPr>
            <w:r>
              <w:rPr>
                <w:sz w:val="20"/>
              </w:rPr>
              <w:t xml:space="preserve">43,3</w:t>
            </w:r>
          </w:p>
        </w:tc>
        <w:tc>
          <w:tcPr>
            <w:tcW w:w="850" w:type="dxa"/>
          </w:tcPr>
          <w:p>
            <w:pPr>
              <w:pStyle w:val="0"/>
            </w:pPr>
            <w:r>
              <w:rPr>
                <w:sz w:val="20"/>
              </w:rPr>
              <w:t xml:space="preserve">46,1</w:t>
            </w:r>
          </w:p>
        </w:tc>
        <w:tc>
          <w:tcPr>
            <w:tcW w:w="850" w:type="dxa"/>
          </w:tcPr>
          <w:p>
            <w:pPr>
              <w:pStyle w:val="0"/>
            </w:pPr>
            <w:r>
              <w:rPr>
                <w:sz w:val="20"/>
              </w:rPr>
              <w:t xml:space="preserve">46,4</w:t>
            </w:r>
          </w:p>
        </w:tc>
        <w:tc>
          <w:tcPr>
            <w:tcW w:w="850" w:type="dxa"/>
          </w:tcPr>
          <w:p>
            <w:pPr>
              <w:pStyle w:val="0"/>
            </w:pPr>
            <w:r>
              <w:rPr>
                <w:sz w:val="20"/>
              </w:rPr>
              <w:t xml:space="preserve">56,7</w:t>
            </w:r>
          </w:p>
        </w:tc>
        <w:tc>
          <w:tcPr>
            <w:tcW w:w="850" w:type="dxa"/>
          </w:tcPr>
          <w:p>
            <w:pPr>
              <w:pStyle w:val="0"/>
            </w:pPr>
            <w:r>
              <w:rPr>
                <w:sz w:val="20"/>
              </w:rPr>
              <w:t xml:space="preserve">53,7</w:t>
            </w:r>
          </w:p>
        </w:tc>
      </w:tr>
    </w:tbl>
    <w:p>
      <w:pPr>
        <w:pStyle w:val="0"/>
        <w:ind w:firstLine="540"/>
        <w:jc w:val="both"/>
      </w:pPr>
      <w:r>
        <w:rPr>
          <w:sz w:val="20"/>
        </w:rPr>
      </w:r>
    </w:p>
    <w:p>
      <w:pPr>
        <w:pStyle w:val="0"/>
        <w:ind w:firstLine="540"/>
        <w:jc w:val="both"/>
      </w:pPr>
      <w:r>
        <w:rPr>
          <w:sz w:val="20"/>
        </w:rPr>
        <w:t xml:space="preserve">Контингент больных ЗНО в 2022 году </w:t>
      </w:r>
      <w:hyperlink w:history="0" w:anchor="P4868" w:tooltip="Контингенты больных (распространенность) злокачественными">
        <w:r>
          <w:rPr>
            <w:sz w:val="20"/>
            <w:color w:val="0000ff"/>
          </w:rPr>
          <w:t xml:space="preserve">(таблица 8)</w:t>
        </w:r>
      </w:hyperlink>
      <w:r>
        <w:rPr>
          <w:sz w:val="20"/>
        </w:rPr>
        <w:t xml:space="preserve"> составил 2244,3 на 100 тыс. населения (в 2013 году - 1369,6 на 100 тыс. населения, рост за 10 лет составил 63,8%). Показатель обусловлен как ростом заболеваемости и выявляемости, так и увеличением выживаемости онкологических больных.</w:t>
      </w:r>
    </w:p>
    <w:p>
      <w:pPr>
        <w:pStyle w:val="0"/>
        <w:spacing w:before="200" w:line-rule="auto"/>
        <w:ind w:firstLine="540"/>
        <w:jc w:val="both"/>
      </w:pPr>
      <w:r>
        <w:rPr>
          <w:sz w:val="20"/>
        </w:rPr>
        <w:t xml:space="preserve">Основной объем контингента больных формируется из пациентов со злокачественными новообразованиями молочной железы (18,4%), предстательной железы (6,9%), ободочной кишки (6,7%), почки (6,4%), шейки матки (6,1%), тела матки (5,5%), трахеи, бронхов, легкого (5,3%), прямой кишки (5,1%), щитовидной железы (5,0%), лимфатической и кроветворной ткани (3,7%) и желудка (3,4%). Больные с опухолями кожи без меланомы составляют 8,2%.</w:t>
      </w:r>
    </w:p>
    <w:p>
      <w:pPr>
        <w:pStyle w:val="0"/>
        <w:ind w:firstLine="540"/>
        <w:jc w:val="both"/>
      </w:pPr>
      <w:r>
        <w:rPr>
          <w:sz w:val="20"/>
        </w:rPr>
      </w:r>
    </w:p>
    <w:p>
      <w:pPr>
        <w:pStyle w:val="0"/>
        <w:jc w:val="right"/>
      </w:pPr>
      <w:r>
        <w:rPr>
          <w:sz w:val="20"/>
        </w:rPr>
        <w:t xml:space="preserve">Таблица 8</w:t>
      </w:r>
    </w:p>
    <w:p>
      <w:pPr>
        <w:pStyle w:val="0"/>
        <w:jc w:val="right"/>
      </w:pPr>
      <w:r>
        <w:rPr>
          <w:sz w:val="20"/>
        </w:rPr>
      </w:r>
    </w:p>
    <w:bookmarkStart w:id="4868" w:name="P4868"/>
    <w:bookmarkEnd w:id="4868"/>
    <w:p>
      <w:pPr>
        <w:pStyle w:val="0"/>
        <w:jc w:val="center"/>
      </w:pPr>
      <w:r>
        <w:rPr>
          <w:sz w:val="20"/>
        </w:rPr>
        <w:t xml:space="preserve">Контингенты больных (распространенность) злокачественными</w:t>
      </w:r>
    </w:p>
    <w:p>
      <w:pPr>
        <w:pStyle w:val="0"/>
        <w:jc w:val="center"/>
      </w:pPr>
      <w:r>
        <w:rPr>
          <w:sz w:val="20"/>
        </w:rPr>
        <w:t xml:space="preserve">новообразованиями в разрезе муниципальных образований (на</w:t>
      </w:r>
    </w:p>
    <w:p>
      <w:pPr>
        <w:pStyle w:val="0"/>
        <w:jc w:val="center"/>
      </w:pPr>
      <w:r>
        <w:rPr>
          <w:sz w:val="20"/>
        </w:rPr>
        <w:t xml:space="preserve">100 тыс. населения)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850"/>
        <w:gridCol w:w="850"/>
        <w:gridCol w:w="850"/>
        <w:gridCol w:w="850"/>
        <w:gridCol w:w="850"/>
        <w:gridCol w:w="850"/>
        <w:gridCol w:w="850"/>
        <w:gridCol w:w="850"/>
        <w:gridCol w:w="850"/>
        <w:gridCol w:w="850"/>
      </w:tblGrid>
      <w:tr>
        <w:tc>
          <w:tcPr>
            <w:tcW w:w="2381" w:type="dxa"/>
            <w:vMerge w:val="restart"/>
          </w:tcPr>
          <w:p>
            <w:pPr>
              <w:pStyle w:val="0"/>
              <w:jc w:val="center"/>
            </w:pPr>
            <w:r>
              <w:rPr>
                <w:sz w:val="20"/>
              </w:rPr>
              <w:t xml:space="preserve">Муниципальные образования - городские округа и муниципальные районы</w:t>
            </w:r>
          </w:p>
        </w:tc>
        <w:tc>
          <w:tcPr>
            <w:gridSpan w:val="10"/>
            <w:tcW w:w="8500" w:type="dxa"/>
          </w:tcPr>
          <w:p>
            <w:pPr>
              <w:pStyle w:val="0"/>
              <w:jc w:val="center"/>
            </w:pPr>
            <w:r>
              <w:rPr>
                <w:sz w:val="20"/>
              </w:rPr>
              <w:t xml:space="preserve">Зарегистрировано всего</w:t>
            </w:r>
          </w:p>
        </w:tc>
      </w:tr>
      <w:tr>
        <w:tc>
          <w:tcPr>
            <w:vMerge w:val="continue"/>
          </w:tcPr>
          <w:p/>
        </w:tc>
        <w:tc>
          <w:tcPr>
            <w:tcW w:w="850" w:type="dxa"/>
          </w:tcPr>
          <w:p>
            <w:pPr>
              <w:pStyle w:val="0"/>
              <w:jc w:val="center"/>
            </w:pPr>
            <w:r>
              <w:rPr>
                <w:sz w:val="20"/>
              </w:rPr>
              <w:t xml:space="preserve">2013</w:t>
            </w:r>
          </w:p>
        </w:tc>
        <w:tc>
          <w:tcPr>
            <w:tcW w:w="850" w:type="dxa"/>
          </w:tcPr>
          <w:p>
            <w:pPr>
              <w:pStyle w:val="0"/>
              <w:jc w:val="center"/>
            </w:pPr>
            <w:r>
              <w:rPr>
                <w:sz w:val="20"/>
              </w:rPr>
              <w:t xml:space="preserve">2014</w:t>
            </w:r>
          </w:p>
        </w:tc>
        <w:tc>
          <w:tcPr>
            <w:tcW w:w="850" w:type="dxa"/>
          </w:tcPr>
          <w:p>
            <w:pPr>
              <w:pStyle w:val="0"/>
              <w:jc w:val="center"/>
            </w:pPr>
            <w:r>
              <w:rPr>
                <w:sz w:val="20"/>
              </w:rPr>
              <w:t xml:space="preserve">2015</w:t>
            </w:r>
          </w:p>
        </w:tc>
        <w:tc>
          <w:tcPr>
            <w:tcW w:w="850" w:type="dxa"/>
          </w:tcPr>
          <w:p>
            <w:pPr>
              <w:pStyle w:val="0"/>
              <w:jc w:val="center"/>
            </w:pPr>
            <w:r>
              <w:rPr>
                <w:sz w:val="20"/>
              </w:rPr>
              <w:t xml:space="preserve">2016</w:t>
            </w:r>
          </w:p>
        </w:tc>
        <w:tc>
          <w:tcPr>
            <w:tcW w:w="850" w:type="dxa"/>
          </w:tcPr>
          <w:p>
            <w:pPr>
              <w:pStyle w:val="0"/>
              <w:jc w:val="center"/>
            </w:pPr>
            <w:r>
              <w:rPr>
                <w:sz w:val="20"/>
              </w:rPr>
              <w:t xml:space="preserve">2017</w:t>
            </w:r>
          </w:p>
        </w:tc>
        <w:tc>
          <w:tcPr>
            <w:tcW w:w="850" w:type="dxa"/>
          </w:tcPr>
          <w:p>
            <w:pPr>
              <w:pStyle w:val="0"/>
              <w:jc w:val="center"/>
            </w:pPr>
            <w:r>
              <w:rPr>
                <w:sz w:val="20"/>
              </w:rPr>
              <w:t xml:space="preserve">2018</w:t>
            </w:r>
          </w:p>
        </w:tc>
        <w:tc>
          <w:tcPr>
            <w:tcW w:w="850" w:type="dxa"/>
          </w:tcPr>
          <w:p>
            <w:pPr>
              <w:pStyle w:val="0"/>
              <w:jc w:val="center"/>
            </w:pPr>
            <w:r>
              <w:rPr>
                <w:sz w:val="20"/>
              </w:rPr>
              <w:t xml:space="preserve">2019</w:t>
            </w:r>
          </w:p>
        </w:tc>
        <w:tc>
          <w:tcPr>
            <w:tcW w:w="850" w:type="dxa"/>
          </w:tcPr>
          <w:p>
            <w:pPr>
              <w:pStyle w:val="0"/>
              <w:jc w:val="center"/>
            </w:pPr>
            <w:r>
              <w:rPr>
                <w:sz w:val="20"/>
              </w:rPr>
              <w:t xml:space="preserve">2020</w:t>
            </w:r>
          </w:p>
        </w:tc>
        <w:tc>
          <w:tcPr>
            <w:tcW w:w="850" w:type="dxa"/>
          </w:tcPr>
          <w:p>
            <w:pPr>
              <w:pStyle w:val="0"/>
              <w:jc w:val="center"/>
            </w:pPr>
            <w:r>
              <w:rPr>
                <w:sz w:val="20"/>
              </w:rPr>
              <w:t xml:space="preserve">2021</w:t>
            </w:r>
          </w:p>
        </w:tc>
        <w:tc>
          <w:tcPr>
            <w:tcW w:w="850" w:type="dxa"/>
          </w:tcPr>
          <w:p>
            <w:pPr>
              <w:pStyle w:val="0"/>
              <w:jc w:val="center"/>
            </w:pPr>
            <w:r>
              <w:rPr>
                <w:sz w:val="20"/>
              </w:rPr>
              <w:t xml:space="preserve">2022</w:t>
            </w:r>
          </w:p>
        </w:tc>
      </w:tr>
      <w:tr>
        <w:tc>
          <w:tcPr>
            <w:tcW w:w="2381" w:type="dxa"/>
          </w:tcPr>
          <w:p>
            <w:pPr>
              <w:pStyle w:val="0"/>
            </w:pPr>
            <w:r>
              <w:rPr>
                <w:sz w:val="20"/>
              </w:rPr>
              <w:t xml:space="preserve">Когалым</w:t>
            </w:r>
          </w:p>
        </w:tc>
        <w:tc>
          <w:tcPr>
            <w:tcW w:w="850" w:type="dxa"/>
          </w:tcPr>
          <w:p>
            <w:pPr>
              <w:pStyle w:val="0"/>
            </w:pPr>
            <w:r>
              <w:rPr>
                <w:sz w:val="20"/>
              </w:rPr>
              <w:t xml:space="preserve">1129,7</w:t>
            </w:r>
          </w:p>
        </w:tc>
        <w:tc>
          <w:tcPr>
            <w:tcW w:w="850" w:type="dxa"/>
          </w:tcPr>
          <w:p>
            <w:pPr>
              <w:pStyle w:val="0"/>
            </w:pPr>
            <w:r>
              <w:rPr>
                <w:sz w:val="20"/>
              </w:rPr>
              <w:t xml:space="preserve">1167,8</w:t>
            </w:r>
          </w:p>
        </w:tc>
        <w:tc>
          <w:tcPr>
            <w:tcW w:w="850" w:type="dxa"/>
          </w:tcPr>
          <w:p>
            <w:pPr>
              <w:pStyle w:val="0"/>
            </w:pPr>
            <w:r>
              <w:rPr>
                <w:sz w:val="20"/>
              </w:rPr>
              <w:t xml:space="preserve">1193,9</w:t>
            </w:r>
          </w:p>
        </w:tc>
        <w:tc>
          <w:tcPr>
            <w:tcW w:w="850" w:type="dxa"/>
          </w:tcPr>
          <w:p>
            <w:pPr>
              <w:pStyle w:val="0"/>
            </w:pPr>
            <w:r>
              <w:rPr>
                <w:sz w:val="20"/>
              </w:rPr>
              <w:t xml:space="preserve">1212,7</w:t>
            </w:r>
          </w:p>
        </w:tc>
        <w:tc>
          <w:tcPr>
            <w:tcW w:w="850" w:type="dxa"/>
          </w:tcPr>
          <w:p>
            <w:pPr>
              <w:pStyle w:val="0"/>
            </w:pPr>
            <w:r>
              <w:rPr>
                <w:sz w:val="20"/>
              </w:rPr>
              <w:t xml:space="preserve">1074,4</w:t>
            </w:r>
          </w:p>
        </w:tc>
        <w:tc>
          <w:tcPr>
            <w:tcW w:w="850" w:type="dxa"/>
          </w:tcPr>
          <w:p>
            <w:pPr>
              <w:pStyle w:val="0"/>
            </w:pPr>
            <w:r>
              <w:rPr>
                <w:sz w:val="20"/>
              </w:rPr>
              <w:t xml:space="preserve">1128,8</w:t>
            </w:r>
          </w:p>
        </w:tc>
        <w:tc>
          <w:tcPr>
            <w:tcW w:w="850" w:type="dxa"/>
          </w:tcPr>
          <w:p>
            <w:pPr>
              <w:pStyle w:val="0"/>
            </w:pPr>
            <w:r>
              <w:rPr>
                <w:sz w:val="20"/>
              </w:rPr>
              <w:t xml:space="preserve">1302,8</w:t>
            </w:r>
          </w:p>
        </w:tc>
        <w:tc>
          <w:tcPr>
            <w:tcW w:w="850" w:type="dxa"/>
          </w:tcPr>
          <w:p>
            <w:pPr>
              <w:pStyle w:val="0"/>
            </w:pPr>
            <w:r>
              <w:rPr>
                <w:sz w:val="20"/>
              </w:rPr>
              <w:t xml:space="preserve">1246,4</w:t>
            </w:r>
          </w:p>
        </w:tc>
        <w:tc>
          <w:tcPr>
            <w:tcW w:w="850" w:type="dxa"/>
          </w:tcPr>
          <w:p>
            <w:pPr>
              <w:pStyle w:val="0"/>
            </w:pPr>
            <w:r>
              <w:rPr>
                <w:sz w:val="20"/>
              </w:rPr>
              <w:t xml:space="preserve">1291,2</w:t>
            </w:r>
          </w:p>
        </w:tc>
        <w:tc>
          <w:tcPr>
            <w:tcW w:w="850" w:type="dxa"/>
          </w:tcPr>
          <w:p>
            <w:pPr>
              <w:pStyle w:val="0"/>
            </w:pPr>
            <w:r>
              <w:rPr>
                <w:sz w:val="20"/>
              </w:rPr>
              <w:t xml:space="preserve">1248,4</w:t>
            </w:r>
          </w:p>
        </w:tc>
      </w:tr>
      <w:tr>
        <w:tc>
          <w:tcPr>
            <w:tcW w:w="2381" w:type="dxa"/>
          </w:tcPr>
          <w:p>
            <w:pPr>
              <w:pStyle w:val="0"/>
            </w:pPr>
            <w:r>
              <w:rPr>
                <w:sz w:val="20"/>
              </w:rPr>
              <w:t xml:space="preserve">Лангепас</w:t>
            </w:r>
          </w:p>
        </w:tc>
        <w:tc>
          <w:tcPr>
            <w:tcW w:w="850" w:type="dxa"/>
          </w:tcPr>
          <w:p>
            <w:pPr>
              <w:pStyle w:val="0"/>
            </w:pPr>
            <w:r>
              <w:rPr>
                <w:sz w:val="20"/>
              </w:rPr>
              <w:t xml:space="preserve">1041,2</w:t>
            </w:r>
          </w:p>
        </w:tc>
        <w:tc>
          <w:tcPr>
            <w:tcW w:w="850" w:type="dxa"/>
          </w:tcPr>
          <w:p>
            <w:pPr>
              <w:pStyle w:val="0"/>
            </w:pPr>
            <w:r>
              <w:rPr>
                <w:sz w:val="20"/>
              </w:rPr>
              <w:t xml:space="preserve">1179,6</w:t>
            </w:r>
          </w:p>
        </w:tc>
        <w:tc>
          <w:tcPr>
            <w:tcW w:w="850" w:type="dxa"/>
          </w:tcPr>
          <w:p>
            <w:pPr>
              <w:pStyle w:val="0"/>
            </w:pPr>
            <w:r>
              <w:rPr>
                <w:sz w:val="20"/>
              </w:rPr>
              <w:t xml:space="preserve">1248,7</w:t>
            </w:r>
          </w:p>
        </w:tc>
        <w:tc>
          <w:tcPr>
            <w:tcW w:w="850" w:type="dxa"/>
          </w:tcPr>
          <w:p>
            <w:pPr>
              <w:pStyle w:val="0"/>
            </w:pPr>
            <w:r>
              <w:rPr>
                <w:sz w:val="20"/>
              </w:rPr>
              <w:t xml:space="preserve">1302,1</w:t>
            </w:r>
          </w:p>
        </w:tc>
        <w:tc>
          <w:tcPr>
            <w:tcW w:w="850" w:type="dxa"/>
          </w:tcPr>
          <w:p>
            <w:pPr>
              <w:pStyle w:val="0"/>
            </w:pPr>
            <w:r>
              <w:rPr>
                <w:sz w:val="20"/>
              </w:rPr>
              <w:t xml:space="preserve">1265,6</w:t>
            </w:r>
          </w:p>
        </w:tc>
        <w:tc>
          <w:tcPr>
            <w:tcW w:w="850" w:type="dxa"/>
          </w:tcPr>
          <w:p>
            <w:pPr>
              <w:pStyle w:val="0"/>
            </w:pPr>
            <w:r>
              <w:rPr>
                <w:sz w:val="20"/>
              </w:rPr>
              <w:t xml:space="preserve">1316,9</w:t>
            </w:r>
          </w:p>
        </w:tc>
        <w:tc>
          <w:tcPr>
            <w:tcW w:w="850" w:type="dxa"/>
          </w:tcPr>
          <w:p>
            <w:pPr>
              <w:pStyle w:val="0"/>
            </w:pPr>
            <w:r>
              <w:rPr>
                <w:sz w:val="20"/>
              </w:rPr>
              <w:t xml:space="preserve">1360,2</w:t>
            </w:r>
          </w:p>
        </w:tc>
        <w:tc>
          <w:tcPr>
            <w:tcW w:w="850" w:type="dxa"/>
          </w:tcPr>
          <w:p>
            <w:pPr>
              <w:pStyle w:val="0"/>
            </w:pPr>
            <w:r>
              <w:rPr>
                <w:sz w:val="20"/>
              </w:rPr>
              <w:t xml:space="preserve">1524,9</w:t>
            </w:r>
          </w:p>
        </w:tc>
        <w:tc>
          <w:tcPr>
            <w:tcW w:w="850" w:type="dxa"/>
          </w:tcPr>
          <w:p>
            <w:pPr>
              <w:pStyle w:val="0"/>
            </w:pPr>
            <w:r>
              <w:rPr>
                <w:sz w:val="20"/>
              </w:rPr>
              <w:t xml:space="preserve">1781,5</w:t>
            </w:r>
          </w:p>
        </w:tc>
        <w:tc>
          <w:tcPr>
            <w:tcW w:w="850" w:type="dxa"/>
          </w:tcPr>
          <w:p>
            <w:pPr>
              <w:pStyle w:val="0"/>
            </w:pPr>
            <w:r>
              <w:rPr>
                <w:sz w:val="20"/>
              </w:rPr>
              <w:t xml:space="preserve">1526,9</w:t>
            </w:r>
          </w:p>
        </w:tc>
      </w:tr>
      <w:tr>
        <w:tc>
          <w:tcPr>
            <w:tcW w:w="2381" w:type="dxa"/>
          </w:tcPr>
          <w:p>
            <w:pPr>
              <w:pStyle w:val="0"/>
            </w:pPr>
            <w:r>
              <w:rPr>
                <w:sz w:val="20"/>
              </w:rPr>
              <w:t xml:space="preserve">Мегион</w:t>
            </w:r>
          </w:p>
        </w:tc>
        <w:tc>
          <w:tcPr>
            <w:tcW w:w="850" w:type="dxa"/>
          </w:tcPr>
          <w:p>
            <w:pPr>
              <w:pStyle w:val="0"/>
            </w:pPr>
            <w:r>
              <w:rPr>
                <w:sz w:val="20"/>
              </w:rPr>
              <w:t xml:space="preserve">1587,7</w:t>
            </w:r>
          </w:p>
        </w:tc>
        <w:tc>
          <w:tcPr>
            <w:tcW w:w="850" w:type="dxa"/>
          </w:tcPr>
          <w:p>
            <w:pPr>
              <w:pStyle w:val="0"/>
            </w:pPr>
            <w:r>
              <w:rPr>
                <w:sz w:val="20"/>
              </w:rPr>
              <w:t xml:space="preserve">1583,8</w:t>
            </w:r>
          </w:p>
        </w:tc>
        <w:tc>
          <w:tcPr>
            <w:tcW w:w="850" w:type="dxa"/>
          </w:tcPr>
          <w:p>
            <w:pPr>
              <w:pStyle w:val="0"/>
            </w:pPr>
            <w:r>
              <w:rPr>
                <w:sz w:val="20"/>
              </w:rPr>
              <w:t xml:space="preserve">1677,4</w:t>
            </w:r>
          </w:p>
        </w:tc>
        <w:tc>
          <w:tcPr>
            <w:tcW w:w="850" w:type="dxa"/>
          </w:tcPr>
          <w:p>
            <w:pPr>
              <w:pStyle w:val="0"/>
            </w:pPr>
            <w:r>
              <w:rPr>
                <w:sz w:val="20"/>
              </w:rPr>
              <w:t xml:space="preserve">1911,3</w:t>
            </w:r>
          </w:p>
        </w:tc>
        <w:tc>
          <w:tcPr>
            <w:tcW w:w="850" w:type="dxa"/>
          </w:tcPr>
          <w:p>
            <w:pPr>
              <w:pStyle w:val="0"/>
            </w:pPr>
            <w:r>
              <w:rPr>
                <w:sz w:val="20"/>
              </w:rPr>
              <w:t xml:space="preserve">2048,6</w:t>
            </w:r>
          </w:p>
        </w:tc>
        <w:tc>
          <w:tcPr>
            <w:tcW w:w="850" w:type="dxa"/>
          </w:tcPr>
          <w:p>
            <w:pPr>
              <w:pStyle w:val="0"/>
            </w:pPr>
            <w:r>
              <w:rPr>
                <w:sz w:val="20"/>
              </w:rPr>
              <w:t xml:space="preserve">2303,7</w:t>
            </w:r>
          </w:p>
        </w:tc>
        <w:tc>
          <w:tcPr>
            <w:tcW w:w="850" w:type="dxa"/>
          </w:tcPr>
          <w:p>
            <w:pPr>
              <w:pStyle w:val="0"/>
            </w:pPr>
            <w:r>
              <w:rPr>
                <w:sz w:val="20"/>
              </w:rPr>
              <w:t xml:space="preserve">2259,5</w:t>
            </w:r>
          </w:p>
        </w:tc>
        <w:tc>
          <w:tcPr>
            <w:tcW w:w="850" w:type="dxa"/>
          </w:tcPr>
          <w:p>
            <w:pPr>
              <w:pStyle w:val="0"/>
            </w:pPr>
            <w:r>
              <w:rPr>
                <w:sz w:val="20"/>
              </w:rPr>
              <w:t xml:space="preserve">2432,9</w:t>
            </w:r>
          </w:p>
        </w:tc>
        <w:tc>
          <w:tcPr>
            <w:tcW w:w="850" w:type="dxa"/>
          </w:tcPr>
          <w:p>
            <w:pPr>
              <w:pStyle w:val="0"/>
            </w:pPr>
            <w:r>
              <w:rPr>
                <w:sz w:val="20"/>
              </w:rPr>
              <w:t xml:space="preserve">2623,1</w:t>
            </w:r>
          </w:p>
        </w:tc>
        <w:tc>
          <w:tcPr>
            <w:tcW w:w="850" w:type="dxa"/>
          </w:tcPr>
          <w:p>
            <w:pPr>
              <w:pStyle w:val="0"/>
            </w:pPr>
            <w:r>
              <w:rPr>
                <w:sz w:val="20"/>
              </w:rPr>
              <w:t xml:space="preserve">2434,9</w:t>
            </w:r>
          </w:p>
        </w:tc>
      </w:tr>
      <w:tr>
        <w:tc>
          <w:tcPr>
            <w:tcW w:w="2381" w:type="dxa"/>
          </w:tcPr>
          <w:p>
            <w:pPr>
              <w:pStyle w:val="0"/>
            </w:pPr>
            <w:r>
              <w:rPr>
                <w:sz w:val="20"/>
              </w:rPr>
              <w:t xml:space="preserve">Нефтеюганск</w:t>
            </w:r>
          </w:p>
        </w:tc>
        <w:tc>
          <w:tcPr>
            <w:tcW w:w="850" w:type="dxa"/>
          </w:tcPr>
          <w:p>
            <w:pPr>
              <w:pStyle w:val="0"/>
            </w:pPr>
            <w:r>
              <w:rPr>
                <w:sz w:val="20"/>
              </w:rPr>
              <w:t xml:space="preserve">1396</w:t>
            </w:r>
          </w:p>
        </w:tc>
        <w:tc>
          <w:tcPr>
            <w:tcW w:w="850" w:type="dxa"/>
          </w:tcPr>
          <w:p>
            <w:pPr>
              <w:pStyle w:val="0"/>
            </w:pPr>
            <w:r>
              <w:rPr>
                <w:sz w:val="20"/>
              </w:rPr>
              <w:t xml:space="preserve">1494,5</w:t>
            </w:r>
          </w:p>
        </w:tc>
        <w:tc>
          <w:tcPr>
            <w:tcW w:w="850" w:type="dxa"/>
          </w:tcPr>
          <w:p>
            <w:pPr>
              <w:pStyle w:val="0"/>
            </w:pPr>
            <w:r>
              <w:rPr>
                <w:sz w:val="20"/>
              </w:rPr>
              <w:t xml:space="preserve">1522,7</w:t>
            </w:r>
          </w:p>
        </w:tc>
        <w:tc>
          <w:tcPr>
            <w:tcW w:w="850" w:type="dxa"/>
          </w:tcPr>
          <w:p>
            <w:pPr>
              <w:pStyle w:val="0"/>
            </w:pPr>
            <w:r>
              <w:rPr>
                <w:sz w:val="20"/>
              </w:rPr>
              <w:t xml:space="preserve">1623,6</w:t>
            </w:r>
          </w:p>
        </w:tc>
        <w:tc>
          <w:tcPr>
            <w:tcW w:w="850" w:type="dxa"/>
          </w:tcPr>
          <w:p>
            <w:pPr>
              <w:pStyle w:val="0"/>
            </w:pPr>
            <w:r>
              <w:rPr>
                <w:sz w:val="20"/>
              </w:rPr>
              <w:t xml:space="preserve">1709,8</w:t>
            </w:r>
          </w:p>
        </w:tc>
        <w:tc>
          <w:tcPr>
            <w:tcW w:w="850" w:type="dxa"/>
          </w:tcPr>
          <w:p>
            <w:pPr>
              <w:pStyle w:val="0"/>
            </w:pPr>
            <w:r>
              <w:rPr>
                <w:sz w:val="20"/>
              </w:rPr>
              <w:t xml:space="preserve">1755</w:t>
            </w:r>
          </w:p>
        </w:tc>
        <w:tc>
          <w:tcPr>
            <w:tcW w:w="850" w:type="dxa"/>
          </w:tcPr>
          <w:p>
            <w:pPr>
              <w:pStyle w:val="0"/>
            </w:pPr>
            <w:r>
              <w:rPr>
                <w:sz w:val="20"/>
              </w:rPr>
              <w:t xml:space="preserve">1814</w:t>
            </w:r>
          </w:p>
        </w:tc>
        <w:tc>
          <w:tcPr>
            <w:tcW w:w="850" w:type="dxa"/>
          </w:tcPr>
          <w:p>
            <w:pPr>
              <w:pStyle w:val="0"/>
            </w:pPr>
            <w:r>
              <w:rPr>
                <w:sz w:val="20"/>
              </w:rPr>
              <w:t xml:space="preserve">1885,6</w:t>
            </w:r>
          </w:p>
        </w:tc>
        <w:tc>
          <w:tcPr>
            <w:tcW w:w="850" w:type="dxa"/>
          </w:tcPr>
          <w:p>
            <w:pPr>
              <w:pStyle w:val="0"/>
            </w:pPr>
            <w:r>
              <w:rPr>
                <w:sz w:val="20"/>
              </w:rPr>
              <w:t xml:space="preserve">1966,7</w:t>
            </w:r>
          </w:p>
        </w:tc>
        <w:tc>
          <w:tcPr>
            <w:tcW w:w="850" w:type="dxa"/>
          </w:tcPr>
          <w:p>
            <w:pPr>
              <w:pStyle w:val="0"/>
            </w:pPr>
            <w:r>
              <w:rPr>
                <w:sz w:val="20"/>
              </w:rPr>
              <w:t xml:space="preserve">1887,6</w:t>
            </w:r>
          </w:p>
        </w:tc>
      </w:tr>
      <w:tr>
        <w:tc>
          <w:tcPr>
            <w:tcW w:w="2381" w:type="dxa"/>
          </w:tcPr>
          <w:p>
            <w:pPr>
              <w:pStyle w:val="0"/>
            </w:pPr>
            <w:r>
              <w:rPr>
                <w:sz w:val="20"/>
              </w:rPr>
              <w:t xml:space="preserve">Нижневартовск</w:t>
            </w:r>
          </w:p>
        </w:tc>
        <w:tc>
          <w:tcPr>
            <w:tcW w:w="850" w:type="dxa"/>
          </w:tcPr>
          <w:p>
            <w:pPr>
              <w:pStyle w:val="0"/>
            </w:pPr>
            <w:r>
              <w:rPr>
                <w:sz w:val="20"/>
              </w:rPr>
              <w:t xml:space="preserve">1929,4</w:t>
            </w:r>
          </w:p>
        </w:tc>
        <w:tc>
          <w:tcPr>
            <w:tcW w:w="850" w:type="dxa"/>
          </w:tcPr>
          <w:p>
            <w:pPr>
              <w:pStyle w:val="0"/>
            </w:pPr>
            <w:r>
              <w:rPr>
                <w:sz w:val="20"/>
              </w:rPr>
              <w:t xml:space="preserve">1987,5</w:t>
            </w:r>
          </w:p>
        </w:tc>
        <w:tc>
          <w:tcPr>
            <w:tcW w:w="850" w:type="dxa"/>
          </w:tcPr>
          <w:p>
            <w:pPr>
              <w:pStyle w:val="0"/>
            </w:pPr>
            <w:r>
              <w:rPr>
                <w:sz w:val="20"/>
              </w:rPr>
              <w:t xml:space="preserve">2072,7</w:t>
            </w:r>
          </w:p>
        </w:tc>
        <w:tc>
          <w:tcPr>
            <w:tcW w:w="850" w:type="dxa"/>
          </w:tcPr>
          <w:p>
            <w:pPr>
              <w:pStyle w:val="0"/>
            </w:pPr>
            <w:r>
              <w:rPr>
                <w:sz w:val="20"/>
              </w:rPr>
              <w:t xml:space="preserve">2176,5</w:t>
            </w:r>
          </w:p>
        </w:tc>
        <w:tc>
          <w:tcPr>
            <w:tcW w:w="850" w:type="dxa"/>
          </w:tcPr>
          <w:p>
            <w:pPr>
              <w:pStyle w:val="0"/>
            </w:pPr>
            <w:r>
              <w:rPr>
                <w:sz w:val="20"/>
              </w:rPr>
              <w:t xml:space="preserve">2248,3</w:t>
            </w:r>
          </w:p>
        </w:tc>
        <w:tc>
          <w:tcPr>
            <w:tcW w:w="850" w:type="dxa"/>
          </w:tcPr>
          <w:p>
            <w:pPr>
              <w:pStyle w:val="0"/>
            </w:pPr>
            <w:r>
              <w:rPr>
                <w:sz w:val="20"/>
              </w:rPr>
              <w:t xml:space="preserve">2149,9</w:t>
            </w:r>
          </w:p>
        </w:tc>
        <w:tc>
          <w:tcPr>
            <w:tcW w:w="850" w:type="dxa"/>
          </w:tcPr>
          <w:p>
            <w:pPr>
              <w:pStyle w:val="0"/>
            </w:pPr>
            <w:r>
              <w:rPr>
                <w:sz w:val="20"/>
              </w:rPr>
              <w:t xml:space="preserve">2319,2</w:t>
            </w:r>
          </w:p>
        </w:tc>
        <w:tc>
          <w:tcPr>
            <w:tcW w:w="850" w:type="dxa"/>
          </w:tcPr>
          <w:p>
            <w:pPr>
              <w:pStyle w:val="0"/>
            </w:pPr>
            <w:r>
              <w:rPr>
                <w:sz w:val="20"/>
              </w:rPr>
              <w:t xml:space="preserve">2406,9</w:t>
            </w:r>
          </w:p>
        </w:tc>
        <w:tc>
          <w:tcPr>
            <w:tcW w:w="850" w:type="dxa"/>
          </w:tcPr>
          <w:p>
            <w:pPr>
              <w:pStyle w:val="0"/>
            </w:pPr>
            <w:r>
              <w:rPr>
                <w:sz w:val="20"/>
              </w:rPr>
              <w:t xml:space="preserve">2524,9</w:t>
            </w:r>
          </w:p>
        </w:tc>
        <w:tc>
          <w:tcPr>
            <w:tcW w:w="850" w:type="dxa"/>
          </w:tcPr>
          <w:p>
            <w:pPr>
              <w:pStyle w:val="0"/>
            </w:pPr>
            <w:r>
              <w:rPr>
                <w:sz w:val="20"/>
              </w:rPr>
              <w:t xml:space="preserve">2408,9</w:t>
            </w:r>
          </w:p>
        </w:tc>
      </w:tr>
      <w:tr>
        <w:tc>
          <w:tcPr>
            <w:tcW w:w="2381" w:type="dxa"/>
          </w:tcPr>
          <w:p>
            <w:pPr>
              <w:pStyle w:val="0"/>
            </w:pPr>
            <w:r>
              <w:rPr>
                <w:sz w:val="20"/>
              </w:rPr>
              <w:t xml:space="preserve">Нягань</w:t>
            </w:r>
          </w:p>
        </w:tc>
        <w:tc>
          <w:tcPr>
            <w:tcW w:w="850" w:type="dxa"/>
          </w:tcPr>
          <w:p>
            <w:pPr>
              <w:pStyle w:val="0"/>
            </w:pPr>
            <w:r>
              <w:rPr>
                <w:sz w:val="20"/>
              </w:rPr>
              <w:t xml:space="preserve">1898</w:t>
            </w:r>
          </w:p>
        </w:tc>
        <w:tc>
          <w:tcPr>
            <w:tcW w:w="850" w:type="dxa"/>
          </w:tcPr>
          <w:p>
            <w:pPr>
              <w:pStyle w:val="0"/>
            </w:pPr>
            <w:r>
              <w:rPr>
                <w:sz w:val="20"/>
              </w:rPr>
              <w:t xml:space="preserve">1958</w:t>
            </w:r>
          </w:p>
        </w:tc>
        <w:tc>
          <w:tcPr>
            <w:tcW w:w="850" w:type="dxa"/>
          </w:tcPr>
          <w:p>
            <w:pPr>
              <w:pStyle w:val="0"/>
            </w:pPr>
            <w:r>
              <w:rPr>
                <w:sz w:val="20"/>
              </w:rPr>
              <w:t xml:space="preserve">2110,1</w:t>
            </w:r>
          </w:p>
        </w:tc>
        <w:tc>
          <w:tcPr>
            <w:tcW w:w="850" w:type="dxa"/>
          </w:tcPr>
          <w:p>
            <w:pPr>
              <w:pStyle w:val="0"/>
            </w:pPr>
            <w:r>
              <w:rPr>
                <w:sz w:val="20"/>
              </w:rPr>
              <w:t xml:space="preserve">2277,8</w:t>
            </w:r>
          </w:p>
        </w:tc>
        <w:tc>
          <w:tcPr>
            <w:tcW w:w="850" w:type="dxa"/>
          </w:tcPr>
          <w:p>
            <w:pPr>
              <w:pStyle w:val="0"/>
            </w:pPr>
            <w:r>
              <w:rPr>
                <w:sz w:val="20"/>
              </w:rPr>
              <w:t xml:space="preserve">2391,4</w:t>
            </w:r>
          </w:p>
        </w:tc>
        <w:tc>
          <w:tcPr>
            <w:tcW w:w="850" w:type="dxa"/>
          </w:tcPr>
          <w:p>
            <w:pPr>
              <w:pStyle w:val="0"/>
            </w:pPr>
            <w:r>
              <w:rPr>
                <w:sz w:val="20"/>
              </w:rPr>
              <w:t xml:space="preserve">2531,4</w:t>
            </w:r>
          </w:p>
        </w:tc>
        <w:tc>
          <w:tcPr>
            <w:tcW w:w="850" w:type="dxa"/>
          </w:tcPr>
          <w:p>
            <w:pPr>
              <w:pStyle w:val="0"/>
            </w:pPr>
            <w:r>
              <w:rPr>
                <w:sz w:val="20"/>
              </w:rPr>
              <w:t xml:space="preserve">2441,8</w:t>
            </w:r>
          </w:p>
        </w:tc>
        <w:tc>
          <w:tcPr>
            <w:tcW w:w="850" w:type="dxa"/>
          </w:tcPr>
          <w:p>
            <w:pPr>
              <w:pStyle w:val="0"/>
            </w:pPr>
            <w:r>
              <w:rPr>
                <w:sz w:val="20"/>
              </w:rPr>
              <w:t xml:space="preserve">2726,4</w:t>
            </w:r>
          </w:p>
        </w:tc>
        <w:tc>
          <w:tcPr>
            <w:tcW w:w="850" w:type="dxa"/>
          </w:tcPr>
          <w:p>
            <w:pPr>
              <w:pStyle w:val="0"/>
            </w:pPr>
            <w:r>
              <w:rPr>
                <w:sz w:val="20"/>
              </w:rPr>
              <w:t xml:space="preserve">2672,8</w:t>
            </w:r>
          </w:p>
        </w:tc>
        <w:tc>
          <w:tcPr>
            <w:tcW w:w="850" w:type="dxa"/>
          </w:tcPr>
          <w:p>
            <w:pPr>
              <w:pStyle w:val="0"/>
            </w:pPr>
            <w:r>
              <w:rPr>
                <w:sz w:val="20"/>
              </w:rPr>
              <w:t xml:space="preserve">2728,4</w:t>
            </w:r>
          </w:p>
        </w:tc>
      </w:tr>
      <w:tr>
        <w:tc>
          <w:tcPr>
            <w:tcW w:w="2381" w:type="dxa"/>
          </w:tcPr>
          <w:p>
            <w:pPr>
              <w:pStyle w:val="0"/>
            </w:pPr>
            <w:r>
              <w:rPr>
                <w:sz w:val="20"/>
              </w:rPr>
              <w:t xml:space="preserve">Покачи</w:t>
            </w:r>
          </w:p>
        </w:tc>
        <w:tc>
          <w:tcPr>
            <w:tcW w:w="850" w:type="dxa"/>
          </w:tcPr>
          <w:p>
            <w:pPr>
              <w:pStyle w:val="0"/>
            </w:pPr>
            <w:r>
              <w:rPr>
                <w:sz w:val="20"/>
              </w:rPr>
              <w:t xml:space="preserve">1036,1</w:t>
            </w:r>
          </w:p>
        </w:tc>
        <w:tc>
          <w:tcPr>
            <w:tcW w:w="850" w:type="dxa"/>
          </w:tcPr>
          <w:p>
            <w:pPr>
              <w:pStyle w:val="0"/>
            </w:pPr>
            <w:r>
              <w:rPr>
                <w:sz w:val="20"/>
              </w:rPr>
              <w:t xml:space="preserve">1005,3</w:t>
            </w:r>
          </w:p>
        </w:tc>
        <w:tc>
          <w:tcPr>
            <w:tcW w:w="850" w:type="dxa"/>
          </w:tcPr>
          <w:p>
            <w:pPr>
              <w:pStyle w:val="0"/>
            </w:pPr>
            <w:r>
              <w:rPr>
                <w:sz w:val="20"/>
              </w:rPr>
              <w:t xml:space="preserve">1044,1</w:t>
            </w:r>
          </w:p>
        </w:tc>
        <w:tc>
          <w:tcPr>
            <w:tcW w:w="850" w:type="dxa"/>
          </w:tcPr>
          <w:p>
            <w:pPr>
              <w:pStyle w:val="0"/>
            </w:pPr>
            <w:r>
              <w:rPr>
                <w:sz w:val="20"/>
              </w:rPr>
              <w:t xml:space="preserve">1093,6</w:t>
            </w:r>
          </w:p>
        </w:tc>
        <w:tc>
          <w:tcPr>
            <w:tcW w:w="850" w:type="dxa"/>
          </w:tcPr>
          <w:p>
            <w:pPr>
              <w:pStyle w:val="0"/>
            </w:pPr>
            <w:r>
              <w:rPr>
                <w:sz w:val="20"/>
              </w:rPr>
              <w:t xml:space="preserve">1222,8</w:t>
            </w:r>
          </w:p>
        </w:tc>
        <w:tc>
          <w:tcPr>
            <w:tcW w:w="850" w:type="dxa"/>
          </w:tcPr>
          <w:p>
            <w:pPr>
              <w:pStyle w:val="0"/>
            </w:pPr>
            <w:r>
              <w:rPr>
                <w:sz w:val="20"/>
              </w:rPr>
              <w:t xml:space="preserve">1282,8</w:t>
            </w:r>
          </w:p>
        </w:tc>
        <w:tc>
          <w:tcPr>
            <w:tcW w:w="850" w:type="dxa"/>
          </w:tcPr>
          <w:p>
            <w:pPr>
              <w:pStyle w:val="0"/>
            </w:pPr>
            <w:r>
              <w:rPr>
                <w:sz w:val="20"/>
              </w:rPr>
              <w:t xml:space="preserve">1486,5</w:t>
            </w:r>
          </w:p>
        </w:tc>
        <w:tc>
          <w:tcPr>
            <w:tcW w:w="850" w:type="dxa"/>
          </w:tcPr>
          <w:p>
            <w:pPr>
              <w:pStyle w:val="0"/>
            </w:pPr>
            <w:r>
              <w:rPr>
                <w:sz w:val="20"/>
              </w:rPr>
              <w:t xml:space="preserve">1521,1</w:t>
            </w:r>
          </w:p>
        </w:tc>
        <w:tc>
          <w:tcPr>
            <w:tcW w:w="850" w:type="dxa"/>
          </w:tcPr>
          <w:p>
            <w:pPr>
              <w:pStyle w:val="0"/>
            </w:pPr>
            <w:r>
              <w:rPr>
                <w:sz w:val="20"/>
              </w:rPr>
              <w:t xml:space="preserve">1526,4</w:t>
            </w:r>
          </w:p>
        </w:tc>
        <w:tc>
          <w:tcPr>
            <w:tcW w:w="850" w:type="dxa"/>
          </w:tcPr>
          <w:p>
            <w:pPr>
              <w:pStyle w:val="0"/>
            </w:pPr>
            <w:r>
              <w:rPr>
                <w:sz w:val="20"/>
              </w:rPr>
              <w:t xml:space="preserve">1523,1</w:t>
            </w:r>
          </w:p>
        </w:tc>
      </w:tr>
      <w:tr>
        <w:tc>
          <w:tcPr>
            <w:tcW w:w="2381" w:type="dxa"/>
          </w:tcPr>
          <w:p>
            <w:pPr>
              <w:pStyle w:val="0"/>
            </w:pPr>
            <w:r>
              <w:rPr>
                <w:sz w:val="20"/>
              </w:rPr>
              <w:t xml:space="preserve">Пыть-Ях</w:t>
            </w:r>
          </w:p>
        </w:tc>
        <w:tc>
          <w:tcPr>
            <w:tcW w:w="850" w:type="dxa"/>
          </w:tcPr>
          <w:p>
            <w:pPr>
              <w:pStyle w:val="0"/>
            </w:pPr>
            <w:r>
              <w:rPr>
                <w:sz w:val="20"/>
              </w:rPr>
              <w:t xml:space="preserve">1315,4</w:t>
            </w:r>
          </w:p>
        </w:tc>
        <w:tc>
          <w:tcPr>
            <w:tcW w:w="850" w:type="dxa"/>
          </w:tcPr>
          <w:p>
            <w:pPr>
              <w:pStyle w:val="0"/>
            </w:pPr>
            <w:r>
              <w:rPr>
                <w:sz w:val="20"/>
              </w:rPr>
              <w:t xml:space="preserve">1452,5</w:t>
            </w:r>
          </w:p>
        </w:tc>
        <w:tc>
          <w:tcPr>
            <w:tcW w:w="850" w:type="dxa"/>
          </w:tcPr>
          <w:p>
            <w:pPr>
              <w:pStyle w:val="0"/>
            </w:pPr>
            <w:r>
              <w:rPr>
                <w:sz w:val="20"/>
              </w:rPr>
              <w:t xml:space="preserve">1504</w:t>
            </w:r>
          </w:p>
        </w:tc>
        <w:tc>
          <w:tcPr>
            <w:tcW w:w="850" w:type="dxa"/>
          </w:tcPr>
          <w:p>
            <w:pPr>
              <w:pStyle w:val="0"/>
            </w:pPr>
            <w:r>
              <w:rPr>
                <w:sz w:val="20"/>
              </w:rPr>
              <w:t xml:space="preserve">1665,7</w:t>
            </w:r>
          </w:p>
        </w:tc>
        <w:tc>
          <w:tcPr>
            <w:tcW w:w="850" w:type="dxa"/>
          </w:tcPr>
          <w:p>
            <w:pPr>
              <w:pStyle w:val="0"/>
            </w:pPr>
            <w:r>
              <w:rPr>
                <w:sz w:val="20"/>
              </w:rPr>
              <w:t xml:space="preserve">1840</w:t>
            </w:r>
          </w:p>
        </w:tc>
        <w:tc>
          <w:tcPr>
            <w:tcW w:w="850" w:type="dxa"/>
          </w:tcPr>
          <w:p>
            <w:pPr>
              <w:pStyle w:val="0"/>
            </w:pPr>
            <w:r>
              <w:rPr>
                <w:sz w:val="20"/>
              </w:rPr>
              <w:t xml:space="preserve">2106,7</w:t>
            </w:r>
          </w:p>
        </w:tc>
        <w:tc>
          <w:tcPr>
            <w:tcW w:w="850" w:type="dxa"/>
          </w:tcPr>
          <w:p>
            <w:pPr>
              <w:pStyle w:val="0"/>
            </w:pPr>
            <w:r>
              <w:rPr>
                <w:sz w:val="20"/>
              </w:rPr>
              <w:t xml:space="preserve">2146</w:t>
            </w:r>
          </w:p>
        </w:tc>
        <w:tc>
          <w:tcPr>
            <w:tcW w:w="850" w:type="dxa"/>
          </w:tcPr>
          <w:p>
            <w:pPr>
              <w:pStyle w:val="0"/>
            </w:pPr>
            <w:r>
              <w:rPr>
                <w:sz w:val="20"/>
              </w:rPr>
              <w:t xml:space="preserve">2387,2</w:t>
            </w:r>
          </w:p>
        </w:tc>
        <w:tc>
          <w:tcPr>
            <w:tcW w:w="850" w:type="dxa"/>
          </w:tcPr>
          <w:p>
            <w:pPr>
              <w:pStyle w:val="0"/>
            </w:pPr>
            <w:r>
              <w:rPr>
                <w:sz w:val="20"/>
              </w:rPr>
              <w:t xml:space="preserve">2489,7</w:t>
            </w:r>
          </w:p>
        </w:tc>
        <w:tc>
          <w:tcPr>
            <w:tcW w:w="850" w:type="dxa"/>
          </w:tcPr>
          <w:p>
            <w:pPr>
              <w:pStyle w:val="0"/>
            </w:pPr>
            <w:r>
              <w:rPr>
                <w:sz w:val="20"/>
              </w:rPr>
              <w:t xml:space="preserve">2389,2</w:t>
            </w:r>
          </w:p>
        </w:tc>
      </w:tr>
      <w:tr>
        <w:tc>
          <w:tcPr>
            <w:tcW w:w="2381" w:type="dxa"/>
          </w:tcPr>
          <w:p>
            <w:pPr>
              <w:pStyle w:val="0"/>
            </w:pPr>
            <w:r>
              <w:rPr>
                <w:sz w:val="20"/>
              </w:rPr>
              <w:t xml:space="preserve">Радужный</w:t>
            </w:r>
          </w:p>
        </w:tc>
        <w:tc>
          <w:tcPr>
            <w:tcW w:w="850" w:type="dxa"/>
          </w:tcPr>
          <w:p>
            <w:pPr>
              <w:pStyle w:val="0"/>
            </w:pPr>
            <w:r>
              <w:rPr>
                <w:sz w:val="20"/>
              </w:rPr>
              <w:t xml:space="preserve">1359,9</w:t>
            </w:r>
          </w:p>
        </w:tc>
        <w:tc>
          <w:tcPr>
            <w:tcW w:w="850" w:type="dxa"/>
          </w:tcPr>
          <w:p>
            <w:pPr>
              <w:pStyle w:val="0"/>
            </w:pPr>
            <w:r>
              <w:rPr>
                <w:sz w:val="20"/>
              </w:rPr>
              <w:t xml:space="preserve">1436,9</w:t>
            </w:r>
          </w:p>
        </w:tc>
        <w:tc>
          <w:tcPr>
            <w:tcW w:w="850" w:type="dxa"/>
          </w:tcPr>
          <w:p>
            <w:pPr>
              <w:pStyle w:val="0"/>
            </w:pPr>
            <w:r>
              <w:rPr>
                <w:sz w:val="20"/>
              </w:rPr>
              <w:t xml:space="preserve">1525,5</w:t>
            </w:r>
          </w:p>
        </w:tc>
        <w:tc>
          <w:tcPr>
            <w:tcW w:w="850" w:type="dxa"/>
          </w:tcPr>
          <w:p>
            <w:pPr>
              <w:pStyle w:val="0"/>
            </w:pPr>
            <w:r>
              <w:rPr>
                <w:sz w:val="20"/>
              </w:rPr>
              <w:t xml:space="preserve">1620,9</w:t>
            </w:r>
          </w:p>
        </w:tc>
        <w:tc>
          <w:tcPr>
            <w:tcW w:w="850" w:type="dxa"/>
          </w:tcPr>
          <w:p>
            <w:pPr>
              <w:pStyle w:val="0"/>
            </w:pPr>
            <w:r>
              <w:rPr>
                <w:sz w:val="20"/>
              </w:rPr>
              <w:t xml:space="preserve">1781,1</w:t>
            </w:r>
          </w:p>
        </w:tc>
        <w:tc>
          <w:tcPr>
            <w:tcW w:w="850" w:type="dxa"/>
          </w:tcPr>
          <w:p>
            <w:pPr>
              <w:pStyle w:val="0"/>
            </w:pPr>
            <w:r>
              <w:rPr>
                <w:sz w:val="20"/>
              </w:rPr>
              <w:t xml:space="preserve">1875,9</w:t>
            </w:r>
          </w:p>
        </w:tc>
        <w:tc>
          <w:tcPr>
            <w:tcW w:w="850" w:type="dxa"/>
          </w:tcPr>
          <w:p>
            <w:pPr>
              <w:pStyle w:val="0"/>
            </w:pPr>
            <w:r>
              <w:rPr>
                <w:sz w:val="20"/>
              </w:rPr>
              <w:t xml:space="preserve">2070,6</w:t>
            </w:r>
          </w:p>
        </w:tc>
        <w:tc>
          <w:tcPr>
            <w:tcW w:w="850" w:type="dxa"/>
          </w:tcPr>
          <w:p>
            <w:pPr>
              <w:pStyle w:val="0"/>
            </w:pPr>
            <w:r>
              <w:rPr>
                <w:sz w:val="20"/>
              </w:rPr>
              <w:t xml:space="preserve">2155</w:t>
            </w:r>
          </w:p>
        </w:tc>
        <w:tc>
          <w:tcPr>
            <w:tcW w:w="850" w:type="dxa"/>
          </w:tcPr>
          <w:p>
            <w:pPr>
              <w:pStyle w:val="0"/>
            </w:pPr>
            <w:r>
              <w:rPr>
                <w:sz w:val="20"/>
              </w:rPr>
              <w:t xml:space="preserve">2255,9</w:t>
            </w:r>
          </w:p>
        </w:tc>
        <w:tc>
          <w:tcPr>
            <w:tcW w:w="850" w:type="dxa"/>
          </w:tcPr>
          <w:p>
            <w:pPr>
              <w:pStyle w:val="0"/>
            </w:pPr>
            <w:r>
              <w:rPr>
                <w:sz w:val="20"/>
              </w:rPr>
              <w:t xml:space="preserve">2157</w:t>
            </w:r>
          </w:p>
        </w:tc>
      </w:tr>
      <w:tr>
        <w:tc>
          <w:tcPr>
            <w:tcW w:w="2381" w:type="dxa"/>
          </w:tcPr>
          <w:p>
            <w:pPr>
              <w:pStyle w:val="0"/>
            </w:pPr>
            <w:r>
              <w:rPr>
                <w:sz w:val="20"/>
              </w:rPr>
              <w:t xml:space="preserve">Сургут</w:t>
            </w:r>
          </w:p>
        </w:tc>
        <w:tc>
          <w:tcPr>
            <w:tcW w:w="850" w:type="dxa"/>
          </w:tcPr>
          <w:p>
            <w:pPr>
              <w:pStyle w:val="0"/>
            </w:pPr>
            <w:r>
              <w:rPr>
                <w:sz w:val="20"/>
              </w:rPr>
              <w:t xml:space="preserve">1306,8</w:t>
            </w:r>
          </w:p>
        </w:tc>
        <w:tc>
          <w:tcPr>
            <w:tcW w:w="850" w:type="dxa"/>
          </w:tcPr>
          <w:p>
            <w:pPr>
              <w:pStyle w:val="0"/>
            </w:pPr>
            <w:r>
              <w:rPr>
                <w:sz w:val="20"/>
              </w:rPr>
              <w:t xml:space="preserve">1374,3</w:t>
            </w:r>
          </w:p>
        </w:tc>
        <w:tc>
          <w:tcPr>
            <w:tcW w:w="850" w:type="dxa"/>
          </w:tcPr>
          <w:p>
            <w:pPr>
              <w:pStyle w:val="0"/>
            </w:pPr>
            <w:r>
              <w:rPr>
                <w:sz w:val="20"/>
              </w:rPr>
              <w:t xml:space="preserve">1467,2</w:t>
            </w:r>
          </w:p>
        </w:tc>
        <w:tc>
          <w:tcPr>
            <w:tcW w:w="850" w:type="dxa"/>
          </w:tcPr>
          <w:p>
            <w:pPr>
              <w:pStyle w:val="0"/>
            </w:pPr>
            <w:r>
              <w:rPr>
                <w:sz w:val="20"/>
              </w:rPr>
              <w:t xml:space="preserve">1544,7</w:t>
            </w:r>
          </w:p>
        </w:tc>
        <w:tc>
          <w:tcPr>
            <w:tcW w:w="850" w:type="dxa"/>
          </w:tcPr>
          <w:p>
            <w:pPr>
              <w:pStyle w:val="0"/>
            </w:pPr>
            <w:r>
              <w:rPr>
                <w:sz w:val="20"/>
              </w:rPr>
              <w:t xml:space="preserve">1607,4</w:t>
            </w:r>
          </w:p>
        </w:tc>
        <w:tc>
          <w:tcPr>
            <w:tcW w:w="850" w:type="dxa"/>
          </w:tcPr>
          <w:p>
            <w:pPr>
              <w:pStyle w:val="0"/>
            </w:pPr>
            <w:r>
              <w:rPr>
                <w:sz w:val="20"/>
              </w:rPr>
              <w:t xml:space="preserve">1728,6</w:t>
            </w:r>
          </w:p>
        </w:tc>
        <w:tc>
          <w:tcPr>
            <w:tcW w:w="850" w:type="dxa"/>
          </w:tcPr>
          <w:p>
            <w:pPr>
              <w:pStyle w:val="0"/>
            </w:pPr>
            <w:r>
              <w:rPr>
                <w:sz w:val="20"/>
              </w:rPr>
              <w:t xml:space="preserve">1960,5</w:t>
            </w:r>
          </w:p>
        </w:tc>
        <w:tc>
          <w:tcPr>
            <w:tcW w:w="850" w:type="dxa"/>
          </w:tcPr>
          <w:p>
            <w:pPr>
              <w:pStyle w:val="0"/>
            </w:pPr>
            <w:r>
              <w:rPr>
                <w:sz w:val="20"/>
              </w:rPr>
              <w:t xml:space="preserve">2115,7</w:t>
            </w:r>
          </w:p>
        </w:tc>
        <w:tc>
          <w:tcPr>
            <w:tcW w:w="850" w:type="dxa"/>
          </w:tcPr>
          <w:p>
            <w:pPr>
              <w:pStyle w:val="0"/>
            </w:pPr>
            <w:r>
              <w:rPr>
                <w:sz w:val="20"/>
              </w:rPr>
              <w:t xml:space="preserve">2373,0</w:t>
            </w:r>
          </w:p>
        </w:tc>
        <w:tc>
          <w:tcPr>
            <w:tcW w:w="850" w:type="dxa"/>
          </w:tcPr>
          <w:p>
            <w:pPr>
              <w:pStyle w:val="0"/>
            </w:pPr>
            <w:r>
              <w:rPr>
                <w:sz w:val="20"/>
              </w:rPr>
              <w:t xml:space="preserve">2117,7</w:t>
            </w:r>
          </w:p>
        </w:tc>
      </w:tr>
      <w:tr>
        <w:tc>
          <w:tcPr>
            <w:tcW w:w="2381" w:type="dxa"/>
          </w:tcPr>
          <w:p>
            <w:pPr>
              <w:pStyle w:val="0"/>
            </w:pPr>
            <w:r>
              <w:rPr>
                <w:sz w:val="20"/>
              </w:rPr>
              <w:t xml:space="preserve">Урай</w:t>
            </w:r>
          </w:p>
        </w:tc>
        <w:tc>
          <w:tcPr>
            <w:tcW w:w="850" w:type="dxa"/>
          </w:tcPr>
          <w:p>
            <w:pPr>
              <w:pStyle w:val="0"/>
            </w:pPr>
            <w:r>
              <w:rPr>
                <w:sz w:val="20"/>
              </w:rPr>
              <w:t xml:space="preserve">2003,2</w:t>
            </w:r>
          </w:p>
        </w:tc>
        <w:tc>
          <w:tcPr>
            <w:tcW w:w="850" w:type="dxa"/>
          </w:tcPr>
          <w:p>
            <w:pPr>
              <w:pStyle w:val="0"/>
            </w:pPr>
            <w:r>
              <w:rPr>
                <w:sz w:val="20"/>
              </w:rPr>
              <w:t xml:space="preserve">2228,9</w:t>
            </w:r>
          </w:p>
        </w:tc>
        <w:tc>
          <w:tcPr>
            <w:tcW w:w="850" w:type="dxa"/>
          </w:tcPr>
          <w:p>
            <w:pPr>
              <w:pStyle w:val="0"/>
            </w:pPr>
            <w:r>
              <w:rPr>
                <w:sz w:val="20"/>
              </w:rPr>
              <w:t xml:space="preserve">2486,5</w:t>
            </w:r>
          </w:p>
        </w:tc>
        <w:tc>
          <w:tcPr>
            <w:tcW w:w="850" w:type="dxa"/>
          </w:tcPr>
          <w:p>
            <w:pPr>
              <w:pStyle w:val="0"/>
            </w:pPr>
            <w:r>
              <w:rPr>
                <w:sz w:val="20"/>
              </w:rPr>
              <w:t xml:space="preserve">2329,2</w:t>
            </w:r>
          </w:p>
        </w:tc>
        <w:tc>
          <w:tcPr>
            <w:tcW w:w="850" w:type="dxa"/>
          </w:tcPr>
          <w:p>
            <w:pPr>
              <w:pStyle w:val="0"/>
            </w:pPr>
            <w:r>
              <w:rPr>
                <w:sz w:val="20"/>
              </w:rPr>
              <w:t xml:space="preserve">2335</w:t>
            </w:r>
          </w:p>
        </w:tc>
        <w:tc>
          <w:tcPr>
            <w:tcW w:w="850" w:type="dxa"/>
          </w:tcPr>
          <w:p>
            <w:pPr>
              <w:pStyle w:val="0"/>
            </w:pPr>
            <w:r>
              <w:rPr>
                <w:sz w:val="20"/>
              </w:rPr>
              <w:t xml:space="preserve">2617,3</w:t>
            </w:r>
          </w:p>
        </w:tc>
        <w:tc>
          <w:tcPr>
            <w:tcW w:w="850" w:type="dxa"/>
          </w:tcPr>
          <w:p>
            <w:pPr>
              <w:pStyle w:val="0"/>
            </w:pPr>
            <w:r>
              <w:rPr>
                <w:sz w:val="20"/>
              </w:rPr>
              <w:t xml:space="preserve">2644,3</w:t>
            </w:r>
          </w:p>
        </w:tc>
        <w:tc>
          <w:tcPr>
            <w:tcW w:w="850" w:type="dxa"/>
          </w:tcPr>
          <w:p>
            <w:pPr>
              <w:pStyle w:val="0"/>
            </w:pPr>
            <w:r>
              <w:rPr>
                <w:sz w:val="20"/>
              </w:rPr>
              <w:t xml:space="preserve">2706</w:t>
            </w:r>
          </w:p>
        </w:tc>
        <w:tc>
          <w:tcPr>
            <w:tcW w:w="850" w:type="dxa"/>
          </w:tcPr>
          <w:p>
            <w:pPr>
              <w:pStyle w:val="0"/>
            </w:pPr>
            <w:r>
              <w:rPr>
                <w:sz w:val="20"/>
              </w:rPr>
              <w:t xml:space="preserve">2768,9</w:t>
            </w:r>
          </w:p>
        </w:tc>
        <w:tc>
          <w:tcPr>
            <w:tcW w:w="850" w:type="dxa"/>
          </w:tcPr>
          <w:p>
            <w:pPr>
              <w:pStyle w:val="0"/>
            </w:pPr>
            <w:r>
              <w:rPr>
                <w:sz w:val="20"/>
              </w:rPr>
              <w:t xml:space="preserve">2708</w:t>
            </w:r>
          </w:p>
        </w:tc>
      </w:tr>
      <w:tr>
        <w:tc>
          <w:tcPr>
            <w:tcW w:w="2381" w:type="dxa"/>
          </w:tcPr>
          <w:p>
            <w:pPr>
              <w:pStyle w:val="0"/>
            </w:pPr>
            <w:r>
              <w:rPr>
                <w:sz w:val="20"/>
              </w:rPr>
              <w:t xml:space="preserve">Ханты-Мансийск</w:t>
            </w:r>
          </w:p>
        </w:tc>
        <w:tc>
          <w:tcPr>
            <w:tcW w:w="850" w:type="dxa"/>
          </w:tcPr>
          <w:p>
            <w:pPr>
              <w:pStyle w:val="0"/>
            </w:pPr>
            <w:r>
              <w:rPr>
                <w:sz w:val="20"/>
              </w:rPr>
              <w:t xml:space="preserve">1438,2</w:t>
            </w:r>
          </w:p>
        </w:tc>
        <w:tc>
          <w:tcPr>
            <w:tcW w:w="850" w:type="dxa"/>
          </w:tcPr>
          <w:p>
            <w:pPr>
              <w:pStyle w:val="0"/>
            </w:pPr>
            <w:r>
              <w:rPr>
                <w:sz w:val="20"/>
              </w:rPr>
              <w:t xml:space="preserve">1585,6</w:t>
            </w:r>
          </w:p>
        </w:tc>
        <w:tc>
          <w:tcPr>
            <w:tcW w:w="850" w:type="dxa"/>
          </w:tcPr>
          <w:p>
            <w:pPr>
              <w:pStyle w:val="0"/>
            </w:pPr>
            <w:r>
              <w:rPr>
                <w:sz w:val="20"/>
              </w:rPr>
              <w:t xml:space="preserve">1689,1</w:t>
            </w:r>
          </w:p>
        </w:tc>
        <w:tc>
          <w:tcPr>
            <w:tcW w:w="850" w:type="dxa"/>
          </w:tcPr>
          <w:p>
            <w:pPr>
              <w:pStyle w:val="0"/>
            </w:pPr>
            <w:r>
              <w:rPr>
                <w:sz w:val="20"/>
              </w:rPr>
              <w:t xml:space="preserve">1859,7</w:t>
            </w:r>
          </w:p>
        </w:tc>
        <w:tc>
          <w:tcPr>
            <w:tcW w:w="850" w:type="dxa"/>
          </w:tcPr>
          <w:p>
            <w:pPr>
              <w:pStyle w:val="0"/>
            </w:pPr>
            <w:r>
              <w:rPr>
                <w:sz w:val="20"/>
              </w:rPr>
              <w:t xml:space="preserve">2005,1</w:t>
            </w:r>
          </w:p>
        </w:tc>
        <w:tc>
          <w:tcPr>
            <w:tcW w:w="850" w:type="dxa"/>
          </w:tcPr>
          <w:p>
            <w:pPr>
              <w:pStyle w:val="0"/>
            </w:pPr>
            <w:r>
              <w:rPr>
                <w:sz w:val="20"/>
              </w:rPr>
              <w:t xml:space="preserve">2163</w:t>
            </w:r>
          </w:p>
        </w:tc>
        <w:tc>
          <w:tcPr>
            <w:tcW w:w="850" w:type="dxa"/>
          </w:tcPr>
          <w:p>
            <w:pPr>
              <w:pStyle w:val="0"/>
            </w:pPr>
            <w:r>
              <w:rPr>
                <w:sz w:val="20"/>
              </w:rPr>
              <w:t xml:space="preserve">2230,1</w:t>
            </w:r>
          </w:p>
        </w:tc>
        <w:tc>
          <w:tcPr>
            <w:tcW w:w="850" w:type="dxa"/>
          </w:tcPr>
          <w:p>
            <w:pPr>
              <w:pStyle w:val="0"/>
            </w:pPr>
            <w:r>
              <w:rPr>
                <w:sz w:val="20"/>
              </w:rPr>
              <w:t xml:space="preserve">2231,8</w:t>
            </w:r>
          </w:p>
        </w:tc>
        <w:tc>
          <w:tcPr>
            <w:tcW w:w="850" w:type="dxa"/>
          </w:tcPr>
          <w:p>
            <w:pPr>
              <w:pStyle w:val="0"/>
            </w:pPr>
            <w:r>
              <w:rPr>
                <w:sz w:val="20"/>
              </w:rPr>
              <w:t xml:space="preserve">2334,1</w:t>
            </w:r>
          </w:p>
        </w:tc>
        <w:tc>
          <w:tcPr>
            <w:tcW w:w="850" w:type="dxa"/>
          </w:tcPr>
          <w:p>
            <w:pPr>
              <w:pStyle w:val="0"/>
            </w:pPr>
            <w:r>
              <w:rPr>
                <w:sz w:val="20"/>
              </w:rPr>
              <w:t xml:space="preserve">2233,8</w:t>
            </w:r>
          </w:p>
        </w:tc>
      </w:tr>
      <w:tr>
        <w:tc>
          <w:tcPr>
            <w:tcW w:w="2381" w:type="dxa"/>
          </w:tcPr>
          <w:p>
            <w:pPr>
              <w:pStyle w:val="0"/>
            </w:pPr>
            <w:r>
              <w:rPr>
                <w:sz w:val="20"/>
              </w:rPr>
              <w:t xml:space="preserve">Югорск</w:t>
            </w:r>
          </w:p>
        </w:tc>
        <w:tc>
          <w:tcPr>
            <w:tcW w:w="850" w:type="dxa"/>
          </w:tcPr>
          <w:p>
            <w:pPr>
              <w:pStyle w:val="0"/>
            </w:pPr>
            <w:r>
              <w:rPr>
                <w:sz w:val="20"/>
              </w:rPr>
              <w:t xml:space="preserve">1785,5</w:t>
            </w:r>
          </w:p>
        </w:tc>
        <w:tc>
          <w:tcPr>
            <w:tcW w:w="850" w:type="dxa"/>
          </w:tcPr>
          <w:p>
            <w:pPr>
              <w:pStyle w:val="0"/>
            </w:pPr>
            <w:r>
              <w:rPr>
                <w:sz w:val="20"/>
              </w:rPr>
              <w:t xml:space="preserve">1909,5</w:t>
            </w:r>
          </w:p>
        </w:tc>
        <w:tc>
          <w:tcPr>
            <w:tcW w:w="850" w:type="dxa"/>
          </w:tcPr>
          <w:p>
            <w:pPr>
              <w:pStyle w:val="0"/>
            </w:pPr>
            <w:r>
              <w:rPr>
                <w:sz w:val="20"/>
              </w:rPr>
              <w:t xml:space="preserve">1976,5</w:t>
            </w:r>
          </w:p>
        </w:tc>
        <w:tc>
          <w:tcPr>
            <w:tcW w:w="850" w:type="dxa"/>
          </w:tcPr>
          <w:p>
            <w:pPr>
              <w:pStyle w:val="0"/>
            </w:pPr>
            <w:r>
              <w:rPr>
                <w:sz w:val="20"/>
              </w:rPr>
              <w:t xml:space="preserve">2112,2</w:t>
            </w:r>
          </w:p>
        </w:tc>
        <w:tc>
          <w:tcPr>
            <w:tcW w:w="850" w:type="dxa"/>
          </w:tcPr>
          <w:p>
            <w:pPr>
              <w:pStyle w:val="0"/>
            </w:pPr>
            <w:r>
              <w:rPr>
                <w:sz w:val="20"/>
              </w:rPr>
              <w:t xml:space="preserve">2222,6</w:t>
            </w:r>
          </w:p>
        </w:tc>
        <w:tc>
          <w:tcPr>
            <w:tcW w:w="850" w:type="dxa"/>
          </w:tcPr>
          <w:p>
            <w:pPr>
              <w:pStyle w:val="0"/>
            </w:pPr>
            <w:r>
              <w:rPr>
                <w:sz w:val="20"/>
              </w:rPr>
              <w:t xml:space="preserve">2496,3</w:t>
            </w:r>
          </w:p>
        </w:tc>
        <w:tc>
          <w:tcPr>
            <w:tcW w:w="850" w:type="dxa"/>
          </w:tcPr>
          <w:p>
            <w:pPr>
              <w:pStyle w:val="0"/>
            </w:pPr>
            <w:r>
              <w:rPr>
                <w:sz w:val="20"/>
              </w:rPr>
              <w:t xml:space="preserve">2680,8</w:t>
            </w:r>
          </w:p>
        </w:tc>
        <w:tc>
          <w:tcPr>
            <w:tcW w:w="850" w:type="dxa"/>
          </w:tcPr>
          <w:p>
            <w:pPr>
              <w:pStyle w:val="0"/>
            </w:pPr>
            <w:r>
              <w:rPr>
                <w:sz w:val="20"/>
              </w:rPr>
              <w:t xml:space="preserve">2627,1</w:t>
            </w:r>
          </w:p>
        </w:tc>
        <w:tc>
          <w:tcPr>
            <w:tcW w:w="850" w:type="dxa"/>
          </w:tcPr>
          <w:p>
            <w:pPr>
              <w:pStyle w:val="0"/>
            </w:pPr>
            <w:r>
              <w:rPr>
                <w:sz w:val="20"/>
              </w:rPr>
              <w:t xml:space="preserve">2707,0</w:t>
            </w:r>
          </w:p>
        </w:tc>
        <w:tc>
          <w:tcPr>
            <w:tcW w:w="850" w:type="dxa"/>
          </w:tcPr>
          <w:p>
            <w:pPr>
              <w:pStyle w:val="0"/>
            </w:pPr>
            <w:r>
              <w:rPr>
                <w:sz w:val="20"/>
              </w:rPr>
              <w:t xml:space="preserve">2629,1</w:t>
            </w:r>
          </w:p>
        </w:tc>
      </w:tr>
      <w:tr>
        <w:tc>
          <w:tcPr>
            <w:tcW w:w="2381" w:type="dxa"/>
          </w:tcPr>
          <w:p>
            <w:pPr>
              <w:pStyle w:val="0"/>
            </w:pPr>
            <w:r>
              <w:rPr>
                <w:sz w:val="20"/>
              </w:rPr>
              <w:t xml:space="preserve">Белоярский</w:t>
            </w:r>
          </w:p>
        </w:tc>
        <w:tc>
          <w:tcPr>
            <w:tcW w:w="850" w:type="dxa"/>
          </w:tcPr>
          <w:p>
            <w:pPr>
              <w:pStyle w:val="0"/>
            </w:pPr>
            <w:r>
              <w:rPr>
                <w:sz w:val="20"/>
              </w:rPr>
              <w:t xml:space="preserve">1554,9</w:t>
            </w:r>
          </w:p>
        </w:tc>
        <w:tc>
          <w:tcPr>
            <w:tcW w:w="850" w:type="dxa"/>
          </w:tcPr>
          <w:p>
            <w:pPr>
              <w:pStyle w:val="0"/>
            </w:pPr>
            <w:r>
              <w:rPr>
                <w:sz w:val="20"/>
              </w:rPr>
              <w:t xml:space="preserve">1657,8</w:t>
            </w:r>
          </w:p>
        </w:tc>
        <w:tc>
          <w:tcPr>
            <w:tcW w:w="850" w:type="dxa"/>
          </w:tcPr>
          <w:p>
            <w:pPr>
              <w:pStyle w:val="0"/>
            </w:pPr>
            <w:r>
              <w:rPr>
                <w:sz w:val="20"/>
              </w:rPr>
              <w:t xml:space="preserve">1874,7</w:t>
            </w:r>
          </w:p>
        </w:tc>
        <w:tc>
          <w:tcPr>
            <w:tcW w:w="850" w:type="dxa"/>
          </w:tcPr>
          <w:p>
            <w:pPr>
              <w:pStyle w:val="0"/>
            </w:pPr>
            <w:r>
              <w:rPr>
                <w:sz w:val="20"/>
              </w:rPr>
              <w:t xml:space="preserve">1832,4</w:t>
            </w:r>
          </w:p>
        </w:tc>
        <w:tc>
          <w:tcPr>
            <w:tcW w:w="850" w:type="dxa"/>
          </w:tcPr>
          <w:p>
            <w:pPr>
              <w:pStyle w:val="0"/>
            </w:pPr>
            <w:r>
              <w:rPr>
                <w:sz w:val="20"/>
              </w:rPr>
              <w:t xml:space="preserve">1877,9</w:t>
            </w:r>
          </w:p>
        </w:tc>
        <w:tc>
          <w:tcPr>
            <w:tcW w:w="850" w:type="dxa"/>
          </w:tcPr>
          <w:p>
            <w:pPr>
              <w:pStyle w:val="0"/>
            </w:pPr>
            <w:r>
              <w:rPr>
                <w:sz w:val="20"/>
              </w:rPr>
              <w:t xml:space="preserve">2113,2</w:t>
            </w:r>
          </w:p>
        </w:tc>
        <w:tc>
          <w:tcPr>
            <w:tcW w:w="850" w:type="dxa"/>
          </w:tcPr>
          <w:p>
            <w:pPr>
              <w:pStyle w:val="0"/>
            </w:pPr>
            <w:r>
              <w:rPr>
                <w:sz w:val="20"/>
              </w:rPr>
              <w:t xml:space="preserve">2317,3</w:t>
            </w:r>
          </w:p>
        </w:tc>
        <w:tc>
          <w:tcPr>
            <w:tcW w:w="850" w:type="dxa"/>
          </w:tcPr>
          <w:p>
            <w:pPr>
              <w:pStyle w:val="0"/>
            </w:pPr>
            <w:r>
              <w:rPr>
                <w:sz w:val="20"/>
              </w:rPr>
              <w:t xml:space="preserve">2401</w:t>
            </w:r>
          </w:p>
        </w:tc>
        <w:tc>
          <w:tcPr>
            <w:tcW w:w="850" w:type="dxa"/>
          </w:tcPr>
          <w:p>
            <w:pPr>
              <w:pStyle w:val="0"/>
            </w:pPr>
            <w:r>
              <w:rPr>
                <w:sz w:val="20"/>
              </w:rPr>
              <w:t xml:space="preserve">2472,6</w:t>
            </w:r>
          </w:p>
        </w:tc>
        <w:tc>
          <w:tcPr>
            <w:tcW w:w="850" w:type="dxa"/>
          </w:tcPr>
          <w:p>
            <w:pPr>
              <w:pStyle w:val="0"/>
            </w:pPr>
            <w:r>
              <w:rPr>
                <w:sz w:val="20"/>
              </w:rPr>
              <w:t xml:space="preserve">2403</w:t>
            </w:r>
          </w:p>
        </w:tc>
      </w:tr>
      <w:tr>
        <w:tc>
          <w:tcPr>
            <w:tcW w:w="2381" w:type="dxa"/>
          </w:tcPr>
          <w:p>
            <w:pPr>
              <w:pStyle w:val="0"/>
            </w:pPr>
            <w:r>
              <w:rPr>
                <w:sz w:val="20"/>
              </w:rPr>
              <w:t xml:space="preserve">Березовский</w:t>
            </w:r>
          </w:p>
        </w:tc>
        <w:tc>
          <w:tcPr>
            <w:tcW w:w="850" w:type="dxa"/>
          </w:tcPr>
          <w:p>
            <w:pPr>
              <w:pStyle w:val="0"/>
            </w:pPr>
            <w:r>
              <w:rPr>
                <w:sz w:val="20"/>
              </w:rPr>
              <w:t xml:space="preserve">1572</w:t>
            </w:r>
          </w:p>
        </w:tc>
        <w:tc>
          <w:tcPr>
            <w:tcW w:w="850" w:type="dxa"/>
          </w:tcPr>
          <w:p>
            <w:pPr>
              <w:pStyle w:val="0"/>
            </w:pPr>
            <w:r>
              <w:rPr>
                <w:sz w:val="20"/>
              </w:rPr>
              <w:t xml:space="preserve">1684,9</w:t>
            </w:r>
          </w:p>
        </w:tc>
        <w:tc>
          <w:tcPr>
            <w:tcW w:w="850" w:type="dxa"/>
          </w:tcPr>
          <w:p>
            <w:pPr>
              <w:pStyle w:val="0"/>
            </w:pPr>
            <w:r>
              <w:rPr>
                <w:sz w:val="20"/>
              </w:rPr>
              <w:t xml:space="preserve">1859,4</w:t>
            </w:r>
          </w:p>
        </w:tc>
        <w:tc>
          <w:tcPr>
            <w:tcW w:w="850" w:type="dxa"/>
          </w:tcPr>
          <w:p>
            <w:pPr>
              <w:pStyle w:val="0"/>
            </w:pPr>
            <w:r>
              <w:rPr>
                <w:sz w:val="20"/>
              </w:rPr>
              <w:t xml:space="preserve">1895,4</w:t>
            </w:r>
          </w:p>
        </w:tc>
        <w:tc>
          <w:tcPr>
            <w:tcW w:w="850" w:type="dxa"/>
          </w:tcPr>
          <w:p>
            <w:pPr>
              <w:pStyle w:val="0"/>
            </w:pPr>
            <w:r>
              <w:rPr>
                <w:sz w:val="20"/>
              </w:rPr>
              <w:t xml:space="preserve">2123,2</w:t>
            </w:r>
          </w:p>
        </w:tc>
        <w:tc>
          <w:tcPr>
            <w:tcW w:w="850" w:type="dxa"/>
          </w:tcPr>
          <w:p>
            <w:pPr>
              <w:pStyle w:val="0"/>
            </w:pPr>
            <w:r>
              <w:rPr>
                <w:sz w:val="20"/>
              </w:rPr>
              <w:t xml:space="preserve">2268,2</w:t>
            </w:r>
          </w:p>
        </w:tc>
        <w:tc>
          <w:tcPr>
            <w:tcW w:w="850" w:type="dxa"/>
          </w:tcPr>
          <w:p>
            <w:pPr>
              <w:pStyle w:val="0"/>
            </w:pPr>
            <w:r>
              <w:rPr>
                <w:sz w:val="20"/>
              </w:rPr>
              <w:t xml:space="preserve">2210,1</w:t>
            </w:r>
          </w:p>
        </w:tc>
        <w:tc>
          <w:tcPr>
            <w:tcW w:w="850" w:type="dxa"/>
          </w:tcPr>
          <w:p>
            <w:pPr>
              <w:pStyle w:val="0"/>
            </w:pPr>
            <w:r>
              <w:rPr>
                <w:sz w:val="20"/>
              </w:rPr>
              <w:t xml:space="preserve">2488,1</w:t>
            </w:r>
          </w:p>
        </w:tc>
        <w:tc>
          <w:tcPr>
            <w:tcW w:w="850" w:type="dxa"/>
          </w:tcPr>
          <w:p>
            <w:pPr>
              <w:pStyle w:val="0"/>
            </w:pPr>
            <w:r>
              <w:rPr>
                <w:sz w:val="20"/>
              </w:rPr>
              <w:t xml:space="preserve">2488,4</w:t>
            </w:r>
          </w:p>
        </w:tc>
        <w:tc>
          <w:tcPr>
            <w:tcW w:w="850" w:type="dxa"/>
          </w:tcPr>
          <w:p>
            <w:pPr>
              <w:pStyle w:val="0"/>
            </w:pPr>
            <w:r>
              <w:rPr>
                <w:sz w:val="20"/>
              </w:rPr>
              <w:t xml:space="preserve">2490,1</w:t>
            </w:r>
          </w:p>
        </w:tc>
      </w:tr>
      <w:tr>
        <w:tc>
          <w:tcPr>
            <w:tcW w:w="2381" w:type="dxa"/>
          </w:tcPr>
          <w:p>
            <w:pPr>
              <w:pStyle w:val="0"/>
            </w:pPr>
            <w:r>
              <w:rPr>
                <w:sz w:val="20"/>
              </w:rPr>
              <w:t xml:space="preserve">Кондинский</w:t>
            </w:r>
          </w:p>
        </w:tc>
        <w:tc>
          <w:tcPr>
            <w:tcW w:w="850" w:type="dxa"/>
          </w:tcPr>
          <w:p>
            <w:pPr>
              <w:pStyle w:val="0"/>
            </w:pPr>
            <w:r>
              <w:rPr>
                <w:sz w:val="20"/>
              </w:rPr>
              <w:t xml:space="preserve">1935</w:t>
            </w:r>
          </w:p>
        </w:tc>
        <w:tc>
          <w:tcPr>
            <w:tcW w:w="850" w:type="dxa"/>
          </w:tcPr>
          <w:p>
            <w:pPr>
              <w:pStyle w:val="0"/>
            </w:pPr>
            <w:r>
              <w:rPr>
                <w:sz w:val="20"/>
              </w:rPr>
              <w:t xml:space="preserve">1899,6</w:t>
            </w:r>
          </w:p>
        </w:tc>
        <w:tc>
          <w:tcPr>
            <w:tcW w:w="850" w:type="dxa"/>
          </w:tcPr>
          <w:p>
            <w:pPr>
              <w:pStyle w:val="0"/>
            </w:pPr>
            <w:r>
              <w:rPr>
                <w:sz w:val="20"/>
              </w:rPr>
              <w:t xml:space="preserve">1999,8</w:t>
            </w:r>
          </w:p>
        </w:tc>
        <w:tc>
          <w:tcPr>
            <w:tcW w:w="850" w:type="dxa"/>
          </w:tcPr>
          <w:p>
            <w:pPr>
              <w:pStyle w:val="0"/>
            </w:pPr>
            <w:r>
              <w:rPr>
                <w:sz w:val="20"/>
              </w:rPr>
              <w:t xml:space="preserve">2036,7</w:t>
            </w:r>
          </w:p>
        </w:tc>
        <w:tc>
          <w:tcPr>
            <w:tcW w:w="850" w:type="dxa"/>
          </w:tcPr>
          <w:p>
            <w:pPr>
              <w:pStyle w:val="0"/>
            </w:pPr>
            <w:r>
              <w:rPr>
                <w:sz w:val="20"/>
              </w:rPr>
              <w:t xml:space="preserve">2319,5</w:t>
            </w:r>
          </w:p>
        </w:tc>
        <w:tc>
          <w:tcPr>
            <w:tcW w:w="850" w:type="dxa"/>
          </w:tcPr>
          <w:p>
            <w:pPr>
              <w:pStyle w:val="0"/>
            </w:pPr>
            <w:r>
              <w:rPr>
                <w:sz w:val="20"/>
              </w:rPr>
              <w:t xml:space="preserve">2419</w:t>
            </w:r>
          </w:p>
        </w:tc>
        <w:tc>
          <w:tcPr>
            <w:tcW w:w="850" w:type="dxa"/>
          </w:tcPr>
          <w:p>
            <w:pPr>
              <w:pStyle w:val="0"/>
            </w:pPr>
            <w:r>
              <w:rPr>
                <w:sz w:val="20"/>
              </w:rPr>
              <w:t xml:space="preserve">2527,1</w:t>
            </w:r>
          </w:p>
        </w:tc>
        <w:tc>
          <w:tcPr>
            <w:tcW w:w="850" w:type="dxa"/>
          </w:tcPr>
          <w:p>
            <w:pPr>
              <w:pStyle w:val="0"/>
            </w:pPr>
            <w:r>
              <w:rPr>
                <w:sz w:val="20"/>
              </w:rPr>
              <w:t xml:space="preserve">2566,4</w:t>
            </w:r>
          </w:p>
        </w:tc>
        <w:tc>
          <w:tcPr>
            <w:tcW w:w="850" w:type="dxa"/>
          </w:tcPr>
          <w:p>
            <w:pPr>
              <w:pStyle w:val="0"/>
            </w:pPr>
            <w:r>
              <w:rPr>
                <w:sz w:val="20"/>
              </w:rPr>
              <w:t xml:space="preserve">2831,4</w:t>
            </w:r>
          </w:p>
        </w:tc>
        <w:tc>
          <w:tcPr>
            <w:tcW w:w="850" w:type="dxa"/>
          </w:tcPr>
          <w:p>
            <w:pPr>
              <w:pStyle w:val="0"/>
            </w:pPr>
            <w:r>
              <w:rPr>
                <w:sz w:val="20"/>
              </w:rPr>
              <w:t xml:space="preserve">2568,4</w:t>
            </w:r>
          </w:p>
        </w:tc>
      </w:tr>
      <w:tr>
        <w:tc>
          <w:tcPr>
            <w:tcW w:w="2381" w:type="dxa"/>
          </w:tcPr>
          <w:p>
            <w:pPr>
              <w:pStyle w:val="0"/>
            </w:pPr>
            <w:r>
              <w:rPr>
                <w:sz w:val="20"/>
              </w:rPr>
              <w:t xml:space="preserve">Нефтеюганский</w:t>
            </w:r>
          </w:p>
        </w:tc>
        <w:tc>
          <w:tcPr>
            <w:tcW w:w="850" w:type="dxa"/>
          </w:tcPr>
          <w:p>
            <w:pPr>
              <w:pStyle w:val="0"/>
            </w:pPr>
            <w:r>
              <w:rPr>
                <w:sz w:val="20"/>
              </w:rPr>
              <w:t xml:space="preserve">1132,9</w:t>
            </w:r>
          </w:p>
        </w:tc>
        <w:tc>
          <w:tcPr>
            <w:tcW w:w="850" w:type="dxa"/>
          </w:tcPr>
          <w:p>
            <w:pPr>
              <w:pStyle w:val="0"/>
            </w:pPr>
            <w:r>
              <w:rPr>
                <w:sz w:val="20"/>
              </w:rPr>
              <w:t xml:space="preserve">1177</w:t>
            </w:r>
          </w:p>
        </w:tc>
        <w:tc>
          <w:tcPr>
            <w:tcW w:w="850" w:type="dxa"/>
          </w:tcPr>
          <w:p>
            <w:pPr>
              <w:pStyle w:val="0"/>
            </w:pPr>
            <w:r>
              <w:rPr>
                <w:sz w:val="20"/>
              </w:rPr>
              <w:t xml:space="preserve">1232,7</w:t>
            </w:r>
          </w:p>
        </w:tc>
        <w:tc>
          <w:tcPr>
            <w:tcW w:w="850" w:type="dxa"/>
          </w:tcPr>
          <w:p>
            <w:pPr>
              <w:pStyle w:val="0"/>
            </w:pPr>
            <w:r>
              <w:rPr>
                <w:sz w:val="20"/>
              </w:rPr>
              <w:t xml:space="preserve">1285,3</w:t>
            </w:r>
          </w:p>
        </w:tc>
        <w:tc>
          <w:tcPr>
            <w:tcW w:w="850" w:type="dxa"/>
          </w:tcPr>
          <w:p>
            <w:pPr>
              <w:pStyle w:val="0"/>
            </w:pPr>
            <w:r>
              <w:rPr>
                <w:sz w:val="20"/>
              </w:rPr>
              <w:t xml:space="preserve">1376,2</w:t>
            </w:r>
          </w:p>
        </w:tc>
        <w:tc>
          <w:tcPr>
            <w:tcW w:w="850" w:type="dxa"/>
          </w:tcPr>
          <w:p>
            <w:pPr>
              <w:pStyle w:val="0"/>
            </w:pPr>
            <w:r>
              <w:rPr>
                <w:sz w:val="20"/>
              </w:rPr>
              <w:t xml:space="preserve">1441,9</w:t>
            </w:r>
          </w:p>
        </w:tc>
        <w:tc>
          <w:tcPr>
            <w:tcW w:w="850" w:type="dxa"/>
          </w:tcPr>
          <w:p>
            <w:pPr>
              <w:pStyle w:val="0"/>
            </w:pPr>
            <w:r>
              <w:rPr>
                <w:sz w:val="20"/>
              </w:rPr>
              <w:t xml:space="preserve">1554,1</w:t>
            </w:r>
          </w:p>
        </w:tc>
        <w:tc>
          <w:tcPr>
            <w:tcW w:w="850" w:type="dxa"/>
          </w:tcPr>
          <w:p>
            <w:pPr>
              <w:pStyle w:val="0"/>
            </w:pPr>
            <w:r>
              <w:rPr>
                <w:sz w:val="20"/>
              </w:rPr>
              <w:t xml:space="preserve">1394,3</w:t>
            </w:r>
          </w:p>
        </w:tc>
        <w:tc>
          <w:tcPr>
            <w:tcW w:w="850" w:type="dxa"/>
          </w:tcPr>
          <w:p>
            <w:pPr>
              <w:pStyle w:val="0"/>
            </w:pPr>
            <w:r>
              <w:rPr>
                <w:sz w:val="20"/>
              </w:rPr>
              <w:t xml:space="preserve">1435,8</w:t>
            </w:r>
          </w:p>
        </w:tc>
        <w:tc>
          <w:tcPr>
            <w:tcW w:w="850" w:type="dxa"/>
          </w:tcPr>
          <w:p>
            <w:pPr>
              <w:pStyle w:val="0"/>
            </w:pPr>
            <w:r>
              <w:rPr>
                <w:sz w:val="20"/>
              </w:rPr>
              <w:t xml:space="preserve">1396,3</w:t>
            </w:r>
          </w:p>
        </w:tc>
      </w:tr>
      <w:tr>
        <w:tc>
          <w:tcPr>
            <w:tcW w:w="2381" w:type="dxa"/>
          </w:tcPr>
          <w:p>
            <w:pPr>
              <w:pStyle w:val="0"/>
            </w:pPr>
            <w:r>
              <w:rPr>
                <w:sz w:val="20"/>
              </w:rPr>
              <w:t xml:space="preserve">Нижневартовский</w:t>
            </w:r>
          </w:p>
        </w:tc>
        <w:tc>
          <w:tcPr>
            <w:tcW w:w="850" w:type="dxa"/>
          </w:tcPr>
          <w:p>
            <w:pPr>
              <w:pStyle w:val="0"/>
            </w:pPr>
            <w:r>
              <w:rPr>
                <w:sz w:val="20"/>
              </w:rPr>
              <w:t xml:space="preserve">1454,3</w:t>
            </w:r>
          </w:p>
        </w:tc>
        <w:tc>
          <w:tcPr>
            <w:tcW w:w="850" w:type="dxa"/>
          </w:tcPr>
          <w:p>
            <w:pPr>
              <w:pStyle w:val="0"/>
            </w:pPr>
            <w:r>
              <w:rPr>
                <w:sz w:val="20"/>
              </w:rPr>
              <w:t xml:space="preserve">1638,9</w:t>
            </w:r>
          </w:p>
        </w:tc>
        <w:tc>
          <w:tcPr>
            <w:tcW w:w="850" w:type="dxa"/>
          </w:tcPr>
          <w:p>
            <w:pPr>
              <w:pStyle w:val="0"/>
            </w:pPr>
            <w:r>
              <w:rPr>
                <w:sz w:val="20"/>
              </w:rPr>
              <w:t xml:space="preserve">1728,6</w:t>
            </w:r>
          </w:p>
        </w:tc>
        <w:tc>
          <w:tcPr>
            <w:tcW w:w="850" w:type="dxa"/>
          </w:tcPr>
          <w:p>
            <w:pPr>
              <w:pStyle w:val="0"/>
            </w:pPr>
            <w:r>
              <w:rPr>
                <w:sz w:val="20"/>
              </w:rPr>
              <w:t xml:space="preserve">1767,1</w:t>
            </w:r>
          </w:p>
        </w:tc>
        <w:tc>
          <w:tcPr>
            <w:tcW w:w="850" w:type="dxa"/>
          </w:tcPr>
          <w:p>
            <w:pPr>
              <w:pStyle w:val="0"/>
            </w:pPr>
            <w:r>
              <w:rPr>
                <w:sz w:val="20"/>
              </w:rPr>
              <w:t xml:space="preserve">1861,1</w:t>
            </w:r>
          </w:p>
        </w:tc>
        <w:tc>
          <w:tcPr>
            <w:tcW w:w="850" w:type="dxa"/>
          </w:tcPr>
          <w:p>
            <w:pPr>
              <w:pStyle w:val="0"/>
            </w:pPr>
            <w:r>
              <w:rPr>
                <w:sz w:val="20"/>
              </w:rPr>
              <w:t xml:space="preserve">1835,8</w:t>
            </w:r>
          </w:p>
        </w:tc>
        <w:tc>
          <w:tcPr>
            <w:tcW w:w="850" w:type="dxa"/>
          </w:tcPr>
          <w:p>
            <w:pPr>
              <w:pStyle w:val="0"/>
            </w:pPr>
            <w:r>
              <w:rPr>
                <w:sz w:val="20"/>
              </w:rPr>
              <w:t xml:space="preserve">1605,1</w:t>
            </w:r>
          </w:p>
        </w:tc>
        <w:tc>
          <w:tcPr>
            <w:tcW w:w="850" w:type="dxa"/>
          </w:tcPr>
          <w:p>
            <w:pPr>
              <w:pStyle w:val="0"/>
            </w:pPr>
            <w:r>
              <w:rPr>
                <w:sz w:val="20"/>
              </w:rPr>
              <w:t xml:space="preserve">1761,4</w:t>
            </w:r>
          </w:p>
        </w:tc>
        <w:tc>
          <w:tcPr>
            <w:tcW w:w="850" w:type="dxa"/>
          </w:tcPr>
          <w:p>
            <w:pPr>
              <w:pStyle w:val="0"/>
            </w:pPr>
            <w:r>
              <w:rPr>
                <w:sz w:val="20"/>
              </w:rPr>
              <w:t xml:space="preserve">1726,0</w:t>
            </w:r>
          </w:p>
        </w:tc>
        <w:tc>
          <w:tcPr>
            <w:tcW w:w="850" w:type="dxa"/>
          </w:tcPr>
          <w:p>
            <w:pPr>
              <w:pStyle w:val="0"/>
            </w:pPr>
            <w:r>
              <w:rPr>
                <w:sz w:val="20"/>
              </w:rPr>
              <w:t xml:space="preserve">1763,4</w:t>
            </w:r>
          </w:p>
        </w:tc>
      </w:tr>
      <w:tr>
        <w:tc>
          <w:tcPr>
            <w:tcW w:w="2381" w:type="dxa"/>
          </w:tcPr>
          <w:p>
            <w:pPr>
              <w:pStyle w:val="0"/>
            </w:pPr>
            <w:r>
              <w:rPr>
                <w:sz w:val="20"/>
              </w:rPr>
              <w:t xml:space="preserve">Октябрьский</w:t>
            </w:r>
          </w:p>
        </w:tc>
        <w:tc>
          <w:tcPr>
            <w:tcW w:w="850" w:type="dxa"/>
          </w:tcPr>
          <w:p>
            <w:pPr>
              <w:pStyle w:val="0"/>
            </w:pPr>
            <w:r>
              <w:rPr>
                <w:sz w:val="20"/>
              </w:rPr>
              <w:t xml:space="preserve">1799,6</w:t>
            </w:r>
          </w:p>
        </w:tc>
        <w:tc>
          <w:tcPr>
            <w:tcW w:w="850" w:type="dxa"/>
          </w:tcPr>
          <w:p>
            <w:pPr>
              <w:pStyle w:val="0"/>
            </w:pPr>
            <w:r>
              <w:rPr>
                <w:sz w:val="20"/>
              </w:rPr>
              <w:t xml:space="preserve">1974,7</w:t>
            </w:r>
          </w:p>
        </w:tc>
        <w:tc>
          <w:tcPr>
            <w:tcW w:w="850" w:type="dxa"/>
          </w:tcPr>
          <w:p>
            <w:pPr>
              <w:pStyle w:val="0"/>
            </w:pPr>
            <w:r>
              <w:rPr>
                <w:sz w:val="20"/>
              </w:rPr>
              <w:t xml:space="preserve">2093,9</w:t>
            </w:r>
          </w:p>
        </w:tc>
        <w:tc>
          <w:tcPr>
            <w:tcW w:w="850" w:type="dxa"/>
          </w:tcPr>
          <w:p>
            <w:pPr>
              <w:pStyle w:val="0"/>
            </w:pPr>
            <w:r>
              <w:rPr>
                <w:sz w:val="20"/>
              </w:rPr>
              <w:t xml:space="preserve">2225,4</w:t>
            </w:r>
          </w:p>
        </w:tc>
        <w:tc>
          <w:tcPr>
            <w:tcW w:w="850" w:type="dxa"/>
          </w:tcPr>
          <w:p>
            <w:pPr>
              <w:pStyle w:val="0"/>
            </w:pPr>
            <w:r>
              <w:rPr>
                <w:sz w:val="20"/>
              </w:rPr>
              <w:t xml:space="preserve">2238</w:t>
            </w:r>
          </w:p>
        </w:tc>
        <w:tc>
          <w:tcPr>
            <w:tcW w:w="850" w:type="dxa"/>
          </w:tcPr>
          <w:p>
            <w:pPr>
              <w:pStyle w:val="0"/>
            </w:pPr>
            <w:r>
              <w:rPr>
                <w:sz w:val="20"/>
              </w:rPr>
              <w:t xml:space="preserve">2386</w:t>
            </w:r>
          </w:p>
        </w:tc>
        <w:tc>
          <w:tcPr>
            <w:tcW w:w="850" w:type="dxa"/>
          </w:tcPr>
          <w:p>
            <w:pPr>
              <w:pStyle w:val="0"/>
            </w:pPr>
            <w:r>
              <w:rPr>
                <w:sz w:val="20"/>
              </w:rPr>
              <w:t xml:space="preserve">2628,7</w:t>
            </w:r>
          </w:p>
        </w:tc>
        <w:tc>
          <w:tcPr>
            <w:tcW w:w="850" w:type="dxa"/>
          </w:tcPr>
          <w:p>
            <w:pPr>
              <w:pStyle w:val="0"/>
            </w:pPr>
            <w:r>
              <w:rPr>
                <w:sz w:val="20"/>
              </w:rPr>
              <w:t xml:space="preserve">2421,4</w:t>
            </w:r>
          </w:p>
        </w:tc>
        <w:tc>
          <w:tcPr>
            <w:tcW w:w="850" w:type="dxa"/>
          </w:tcPr>
          <w:p>
            <w:pPr>
              <w:pStyle w:val="0"/>
            </w:pPr>
            <w:r>
              <w:rPr>
                <w:sz w:val="20"/>
              </w:rPr>
              <w:t xml:space="preserve">2927,8</w:t>
            </w:r>
          </w:p>
        </w:tc>
        <w:tc>
          <w:tcPr>
            <w:tcW w:w="850" w:type="dxa"/>
          </w:tcPr>
          <w:p>
            <w:pPr>
              <w:pStyle w:val="0"/>
            </w:pPr>
            <w:r>
              <w:rPr>
                <w:sz w:val="20"/>
              </w:rPr>
              <w:t xml:space="preserve">2423,4</w:t>
            </w:r>
          </w:p>
        </w:tc>
      </w:tr>
      <w:tr>
        <w:tc>
          <w:tcPr>
            <w:tcW w:w="2381" w:type="dxa"/>
          </w:tcPr>
          <w:p>
            <w:pPr>
              <w:pStyle w:val="0"/>
            </w:pPr>
            <w:r>
              <w:rPr>
                <w:sz w:val="20"/>
              </w:rPr>
              <w:t xml:space="preserve">Советский</w:t>
            </w:r>
          </w:p>
        </w:tc>
        <w:tc>
          <w:tcPr>
            <w:tcW w:w="850" w:type="dxa"/>
          </w:tcPr>
          <w:p>
            <w:pPr>
              <w:pStyle w:val="0"/>
            </w:pPr>
            <w:r>
              <w:rPr>
                <w:sz w:val="20"/>
              </w:rPr>
              <w:t xml:space="preserve">2232,6</w:t>
            </w:r>
          </w:p>
        </w:tc>
        <w:tc>
          <w:tcPr>
            <w:tcW w:w="850" w:type="dxa"/>
          </w:tcPr>
          <w:p>
            <w:pPr>
              <w:pStyle w:val="0"/>
            </w:pPr>
            <w:r>
              <w:rPr>
                <w:sz w:val="20"/>
              </w:rPr>
              <w:t xml:space="preserve">2350,1</w:t>
            </w:r>
          </w:p>
        </w:tc>
        <w:tc>
          <w:tcPr>
            <w:tcW w:w="850" w:type="dxa"/>
          </w:tcPr>
          <w:p>
            <w:pPr>
              <w:pStyle w:val="0"/>
            </w:pPr>
            <w:r>
              <w:rPr>
                <w:sz w:val="20"/>
              </w:rPr>
              <w:t xml:space="preserve">2412,1</w:t>
            </w:r>
          </w:p>
        </w:tc>
        <w:tc>
          <w:tcPr>
            <w:tcW w:w="850" w:type="dxa"/>
          </w:tcPr>
          <w:p>
            <w:pPr>
              <w:pStyle w:val="0"/>
            </w:pPr>
            <w:r>
              <w:rPr>
                <w:sz w:val="20"/>
              </w:rPr>
              <w:t xml:space="preserve">2499,5</w:t>
            </w:r>
          </w:p>
        </w:tc>
        <w:tc>
          <w:tcPr>
            <w:tcW w:w="850" w:type="dxa"/>
          </w:tcPr>
          <w:p>
            <w:pPr>
              <w:pStyle w:val="0"/>
            </w:pPr>
            <w:r>
              <w:rPr>
                <w:sz w:val="20"/>
              </w:rPr>
              <w:t xml:space="preserve">2583,9</w:t>
            </w:r>
          </w:p>
        </w:tc>
        <w:tc>
          <w:tcPr>
            <w:tcW w:w="850" w:type="dxa"/>
          </w:tcPr>
          <w:p>
            <w:pPr>
              <w:pStyle w:val="0"/>
            </w:pPr>
            <w:r>
              <w:rPr>
                <w:sz w:val="20"/>
              </w:rPr>
              <w:t xml:space="preserve">2794,6</w:t>
            </w:r>
          </w:p>
        </w:tc>
        <w:tc>
          <w:tcPr>
            <w:tcW w:w="850" w:type="dxa"/>
          </w:tcPr>
          <w:p>
            <w:pPr>
              <w:pStyle w:val="0"/>
            </w:pPr>
            <w:r>
              <w:rPr>
                <w:sz w:val="20"/>
              </w:rPr>
              <w:t xml:space="preserve">2999,2</w:t>
            </w:r>
          </w:p>
        </w:tc>
        <w:tc>
          <w:tcPr>
            <w:tcW w:w="850" w:type="dxa"/>
          </w:tcPr>
          <w:p>
            <w:pPr>
              <w:pStyle w:val="0"/>
            </w:pPr>
            <w:r>
              <w:rPr>
                <w:sz w:val="20"/>
              </w:rPr>
              <w:t xml:space="preserve">3218,3</w:t>
            </w:r>
          </w:p>
        </w:tc>
        <w:tc>
          <w:tcPr>
            <w:tcW w:w="850" w:type="dxa"/>
          </w:tcPr>
          <w:p>
            <w:pPr>
              <w:pStyle w:val="0"/>
            </w:pPr>
            <w:r>
              <w:rPr>
                <w:sz w:val="20"/>
              </w:rPr>
              <w:t xml:space="preserve">3427,8</w:t>
            </w:r>
          </w:p>
        </w:tc>
        <w:tc>
          <w:tcPr>
            <w:tcW w:w="850" w:type="dxa"/>
          </w:tcPr>
          <w:p>
            <w:pPr>
              <w:pStyle w:val="0"/>
            </w:pPr>
            <w:r>
              <w:rPr>
                <w:sz w:val="20"/>
              </w:rPr>
              <w:t xml:space="preserve">3220,3</w:t>
            </w:r>
          </w:p>
        </w:tc>
      </w:tr>
      <w:tr>
        <w:tc>
          <w:tcPr>
            <w:tcW w:w="2381" w:type="dxa"/>
          </w:tcPr>
          <w:p>
            <w:pPr>
              <w:pStyle w:val="0"/>
            </w:pPr>
            <w:r>
              <w:rPr>
                <w:sz w:val="20"/>
              </w:rPr>
              <w:t xml:space="preserve">Сургутский</w:t>
            </w:r>
          </w:p>
        </w:tc>
        <w:tc>
          <w:tcPr>
            <w:tcW w:w="850" w:type="dxa"/>
          </w:tcPr>
          <w:p>
            <w:pPr>
              <w:pStyle w:val="0"/>
            </w:pPr>
            <w:r>
              <w:rPr>
                <w:sz w:val="20"/>
              </w:rPr>
              <w:t xml:space="preserve">887,31</w:t>
            </w:r>
          </w:p>
        </w:tc>
        <w:tc>
          <w:tcPr>
            <w:tcW w:w="850" w:type="dxa"/>
          </w:tcPr>
          <w:p>
            <w:pPr>
              <w:pStyle w:val="0"/>
            </w:pPr>
            <w:r>
              <w:rPr>
                <w:sz w:val="20"/>
              </w:rPr>
              <w:t xml:space="preserve">947,31</w:t>
            </w:r>
          </w:p>
        </w:tc>
        <w:tc>
          <w:tcPr>
            <w:tcW w:w="850" w:type="dxa"/>
          </w:tcPr>
          <w:p>
            <w:pPr>
              <w:pStyle w:val="0"/>
            </w:pPr>
            <w:r>
              <w:rPr>
                <w:sz w:val="20"/>
              </w:rPr>
              <w:t xml:space="preserve">992,6</w:t>
            </w:r>
          </w:p>
        </w:tc>
        <w:tc>
          <w:tcPr>
            <w:tcW w:w="850" w:type="dxa"/>
          </w:tcPr>
          <w:p>
            <w:pPr>
              <w:pStyle w:val="0"/>
            </w:pPr>
            <w:r>
              <w:rPr>
                <w:sz w:val="20"/>
              </w:rPr>
              <w:t xml:space="preserve">1032</w:t>
            </w:r>
          </w:p>
        </w:tc>
        <w:tc>
          <w:tcPr>
            <w:tcW w:w="850" w:type="dxa"/>
          </w:tcPr>
          <w:p>
            <w:pPr>
              <w:pStyle w:val="0"/>
            </w:pPr>
            <w:r>
              <w:rPr>
                <w:sz w:val="20"/>
              </w:rPr>
              <w:t xml:space="preserve">1098,1</w:t>
            </w:r>
          </w:p>
        </w:tc>
        <w:tc>
          <w:tcPr>
            <w:tcW w:w="850" w:type="dxa"/>
          </w:tcPr>
          <w:p>
            <w:pPr>
              <w:pStyle w:val="0"/>
            </w:pPr>
            <w:r>
              <w:rPr>
                <w:sz w:val="20"/>
              </w:rPr>
              <w:t xml:space="preserve">1181,7</w:t>
            </w:r>
          </w:p>
        </w:tc>
        <w:tc>
          <w:tcPr>
            <w:tcW w:w="850" w:type="dxa"/>
          </w:tcPr>
          <w:p>
            <w:pPr>
              <w:pStyle w:val="0"/>
            </w:pPr>
            <w:r>
              <w:rPr>
                <w:sz w:val="20"/>
              </w:rPr>
              <w:t xml:space="preserve">1363,7</w:t>
            </w:r>
          </w:p>
        </w:tc>
        <w:tc>
          <w:tcPr>
            <w:tcW w:w="850" w:type="dxa"/>
          </w:tcPr>
          <w:p>
            <w:pPr>
              <w:pStyle w:val="0"/>
            </w:pPr>
            <w:r>
              <w:rPr>
                <w:sz w:val="20"/>
              </w:rPr>
              <w:t xml:space="preserve">1421,7</w:t>
            </w:r>
          </w:p>
        </w:tc>
        <w:tc>
          <w:tcPr>
            <w:tcW w:w="850" w:type="dxa"/>
          </w:tcPr>
          <w:p>
            <w:pPr>
              <w:pStyle w:val="0"/>
            </w:pPr>
            <w:r>
              <w:rPr>
                <w:sz w:val="20"/>
              </w:rPr>
              <w:t xml:space="preserve">1572,5</w:t>
            </w:r>
          </w:p>
        </w:tc>
        <w:tc>
          <w:tcPr>
            <w:tcW w:w="850" w:type="dxa"/>
          </w:tcPr>
          <w:p>
            <w:pPr>
              <w:pStyle w:val="0"/>
            </w:pPr>
            <w:r>
              <w:rPr>
                <w:sz w:val="20"/>
              </w:rPr>
              <w:t xml:space="preserve">1423,7</w:t>
            </w:r>
          </w:p>
        </w:tc>
      </w:tr>
      <w:tr>
        <w:tc>
          <w:tcPr>
            <w:tcW w:w="2381" w:type="dxa"/>
          </w:tcPr>
          <w:p>
            <w:pPr>
              <w:pStyle w:val="0"/>
            </w:pPr>
            <w:r>
              <w:rPr>
                <w:sz w:val="20"/>
              </w:rPr>
              <w:t xml:space="preserve">Ханты-Мансийский</w:t>
            </w:r>
          </w:p>
        </w:tc>
        <w:tc>
          <w:tcPr>
            <w:tcW w:w="850" w:type="dxa"/>
          </w:tcPr>
          <w:p>
            <w:pPr>
              <w:pStyle w:val="0"/>
            </w:pPr>
            <w:r>
              <w:rPr>
                <w:sz w:val="20"/>
              </w:rPr>
              <w:t xml:space="preserve">1399,8</w:t>
            </w:r>
          </w:p>
        </w:tc>
        <w:tc>
          <w:tcPr>
            <w:tcW w:w="850" w:type="dxa"/>
          </w:tcPr>
          <w:p>
            <w:pPr>
              <w:pStyle w:val="0"/>
            </w:pPr>
            <w:r>
              <w:rPr>
                <w:sz w:val="20"/>
              </w:rPr>
              <w:t xml:space="preserve">1446,8</w:t>
            </w:r>
          </w:p>
        </w:tc>
        <w:tc>
          <w:tcPr>
            <w:tcW w:w="850" w:type="dxa"/>
          </w:tcPr>
          <w:p>
            <w:pPr>
              <w:pStyle w:val="0"/>
            </w:pPr>
            <w:r>
              <w:rPr>
                <w:sz w:val="20"/>
              </w:rPr>
              <w:t xml:space="preserve">1621,3</w:t>
            </w:r>
          </w:p>
        </w:tc>
        <w:tc>
          <w:tcPr>
            <w:tcW w:w="850" w:type="dxa"/>
          </w:tcPr>
          <w:p>
            <w:pPr>
              <w:pStyle w:val="0"/>
            </w:pPr>
            <w:r>
              <w:rPr>
                <w:sz w:val="20"/>
              </w:rPr>
              <w:t xml:space="preserve">1795,2</w:t>
            </w:r>
          </w:p>
        </w:tc>
        <w:tc>
          <w:tcPr>
            <w:tcW w:w="850" w:type="dxa"/>
          </w:tcPr>
          <w:p>
            <w:pPr>
              <w:pStyle w:val="0"/>
            </w:pPr>
            <w:r>
              <w:rPr>
                <w:sz w:val="20"/>
              </w:rPr>
              <w:t xml:space="preserve">2099,5</w:t>
            </w:r>
          </w:p>
        </w:tc>
        <w:tc>
          <w:tcPr>
            <w:tcW w:w="850" w:type="dxa"/>
          </w:tcPr>
          <w:p>
            <w:pPr>
              <w:pStyle w:val="0"/>
            </w:pPr>
            <w:r>
              <w:rPr>
                <w:sz w:val="20"/>
              </w:rPr>
              <w:t xml:space="preserve">2037,8</w:t>
            </w:r>
          </w:p>
        </w:tc>
        <w:tc>
          <w:tcPr>
            <w:tcW w:w="850" w:type="dxa"/>
          </w:tcPr>
          <w:p>
            <w:pPr>
              <w:pStyle w:val="0"/>
            </w:pPr>
            <w:r>
              <w:rPr>
                <w:sz w:val="20"/>
              </w:rPr>
              <w:t xml:space="preserve">2432,7</w:t>
            </w:r>
          </w:p>
        </w:tc>
        <w:tc>
          <w:tcPr>
            <w:tcW w:w="850" w:type="dxa"/>
          </w:tcPr>
          <w:p>
            <w:pPr>
              <w:pStyle w:val="0"/>
            </w:pPr>
            <w:r>
              <w:rPr>
                <w:sz w:val="20"/>
              </w:rPr>
              <w:t xml:space="preserve">2019,7</w:t>
            </w:r>
          </w:p>
        </w:tc>
        <w:tc>
          <w:tcPr>
            <w:tcW w:w="850" w:type="dxa"/>
          </w:tcPr>
          <w:p>
            <w:pPr>
              <w:pStyle w:val="0"/>
            </w:pPr>
            <w:r>
              <w:rPr>
                <w:sz w:val="20"/>
              </w:rPr>
              <w:t xml:space="preserve">2181,9</w:t>
            </w:r>
          </w:p>
        </w:tc>
        <w:tc>
          <w:tcPr>
            <w:tcW w:w="850" w:type="dxa"/>
          </w:tcPr>
          <w:p>
            <w:pPr>
              <w:pStyle w:val="0"/>
            </w:pPr>
            <w:r>
              <w:rPr>
                <w:sz w:val="20"/>
              </w:rPr>
              <w:t xml:space="preserve">2021,7</w:t>
            </w:r>
          </w:p>
        </w:tc>
      </w:tr>
      <w:tr>
        <w:tc>
          <w:tcPr>
            <w:tcW w:w="2381" w:type="dxa"/>
          </w:tcPr>
          <w:p>
            <w:pPr>
              <w:pStyle w:val="0"/>
            </w:pPr>
            <w:r>
              <w:rPr>
                <w:sz w:val="20"/>
              </w:rPr>
              <w:t xml:space="preserve">регион</w:t>
            </w:r>
          </w:p>
        </w:tc>
        <w:tc>
          <w:tcPr>
            <w:tcW w:w="850" w:type="dxa"/>
          </w:tcPr>
          <w:p>
            <w:pPr>
              <w:pStyle w:val="0"/>
            </w:pPr>
            <w:r>
              <w:rPr>
                <w:sz w:val="20"/>
              </w:rPr>
              <w:t xml:space="preserve">1369,6</w:t>
            </w:r>
          </w:p>
        </w:tc>
        <w:tc>
          <w:tcPr>
            <w:tcW w:w="850" w:type="dxa"/>
          </w:tcPr>
          <w:p>
            <w:pPr>
              <w:pStyle w:val="0"/>
            </w:pPr>
            <w:r>
              <w:rPr>
                <w:sz w:val="20"/>
              </w:rPr>
              <w:t xml:space="preserve">1441</w:t>
            </w:r>
          </w:p>
        </w:tc>
        <w:tc>
          <w:tcPr>
            <w:tcW w:w="850" w:type="dxa"/>
          </w:tcPr>
          <w:p>
            <w:pPr>
              <w:pStyle w:val="0"/>
            </w:pPr>
            <w:r>
              <w:rPr>
                <w:sz w:val="20"/>
              </w:rPr>
              <w:t xml:space="preserve">1528,1</w:t>
            </w:r>
          </w:p>
        </w:tc>
        <w:tc>
          <w:tcPr>
            <w:tcW w:w="850" w:type="dxa"/>
          </w:tcPr>
          <w:p>
            <w:pPr>
              <w:pStyle w:val="0"/>
            </w:pPr>
            <w:r>
              <w:rPr>
                <w:sz w:val="20"/>
              </w:rPr>
              <w:t xml:space="preserve">1590,7</w:t>
            </w:r>
          </w:p>
        </w:tc>
        <w:tc>
          <w:tcPr>
            <w:tcW w:w="850" w:type="dxa"/>
          </w:tcPr>
          <w:p>
            <w:pPr>
              <w:pStyle w:val="0"/>
            </w:pPr>
            <w:r>
              <w:rPr>
                <w:sz w:val="20"/>
              </w:rPr>
              <w:t xml:space="preserve">1659,3</w:t>
            </w:r>
          </w:p>
        </w:tc>
        <w:tc>
          <w:tcPr>
            <w:tcW w:w="850" w:type="dxa"/>
          </w:tcPr>
          <w:p>
            <w:pPr>
              <w:pStyle w:val="0"/>
            </w:pPr>
            <w:r>
              <w:rPr>
                <w:sz w:val="20"/>
              </w:rPr>
              <w:t xml:space="preserve">1741,6</w:t>
            </w:r>
          </w:p>
        </w:tc>
        <w:tc>
          <w:tcPr>
            <w:tcW w:w="850" w:type="dxa"/>
          </w:tcPr>
          <w:p>
            <w:pPr>
              <w:pStyle w:val="0"/>
            </w:pPr>
            <w:r>
              <w:rPr>
                <w:sz w:val="20"/>
              </w:rPr>
              <w:t xml:space="preserve">1880</w:t>
            </w:r>
          </w:p>
        </w:tc>
        <w:tc>
          <w:tcPr>
            <w:tcW w:w="850" w:type="dxa"/>
          </w:tcPr>
          <w:p>
            <w:pPr>
              <w:pStyle w:val="0"/>
            </w:pPr>
            <w:r>
              <w:rPr>
                <w:sz w:val="20"/>
              </w:rPr>
              <w:t xml:space="preserve">1941,9</w:t>
            </w:r>
          </w:p>
        </w:tc>
        <w:tc>
          <w:tcPr>
            <w:tcW w:w="850" w:type="dxa"/>
          </w:tcPr>
          <w:p>
            <w:pPr>
              <w:pStyle w:val="0"/>
            </w:pPr>
            <w:r>
              <w:rPr>
                <w:sz w:val="20"/>
              </w:rPr>
              <w:t xml:space="preserve">2271,1</w:t>
            </w:r>
          </w:p>
        </w:tc>
        <w:tc>
          <w:tcPr>
            <w:tcW w:w="850" w:type="dxa"/>
          </w:tcPr>
          <w:p>
            <w:pPr>
              <w:pStyle w:val="0"/>
            </w:pPr>
            <w:r>
              <w:rPr>
                <w:sz w:val="20"/>
              </w:rPr>
              <w:t xml:space="preserve">1943,9</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В 2022 году на диспансерном учете у врачей-онкологов состояли 35 012 пациентов.</w:t>
      </w:r>
    </w:p>
    <w:p>
      <w:pPr>
        <w:pStyle w:val="0"/>
        <w:spacing w:before="200" w:line-rule="auto"/>
        <w:ind w:firstLine="540"/>
        <w:jc w:val="both"/>
      </w:pPr>
      <w:r>
        <w:rPr>
          <w:sz w:val="20"/>
        </w:rPr>
        <w:t xml:space="preserve">Наибольшее количество состоящих на диспансерном учете составили пациенты с ЗНО:</w:t>
      </w:r>
    </w:p>
    <w:p>
      <w:pPr>
        <w:pStyle w:val="0"/>
        <w:spacing w:before="200" w:line-rule="auto"/>
        <w:ind w:firstLine="540"/>
        <w:jc w:val="both"/>
      </w:pPr>
      <w:r>
        <w:rPr>
          <w:sz w:val="20"/>
        </w:rPr>
        <w:t xml:space="preserve">молочной железы - 18,4%,</w:t>
      </w:r>
    </w:p>
    <w:p>
      <w:pPr>
        <w:pStyle w:val="0"/>
        <w:spacing w:before="200" w:line-rule="auto"/>
        <w:ind w:firstLine="540"/>
        <w:jc w:val="both"/>
      </w:pPr>
      <w:r>
        <w:rPr>
          <w:sz w:val="20"/>
        </w:rPr>
        <w:t xml:space="preserve">кожи - 8,2%,</w:t>
      </w:r>
    </w:p>
    <w:p>
      <w:pPr>
        <w:pStyle w:val="0"/>
        <w:spacing w:before="200" w:line-rule="auto"/>
        <w:ind w:firstLine="540"/>
        <w:jc w:val="both"/>
      </w:pPr>
      <w:r>
        <w:rPr>
          <w:sz w:val="20"/>
        </w:rPr>
        <w:t xml:space="preserve">предстательной железы - 6,9%,</w:t>
      </w:r>
    </w:p>
    <w:p>
      <w:pPr>
        <w:pStyle w:val="0"/>
        <w:spacing w:before="200" w:line-rule="auto"/>
        <w:ind w:firstLine="540"/>
        <w:jc w:val="both"/>
      </w:pPr>
      <w:r>
        <w:rPr>
          <w:sz w:val="20"/>
        </w:rPr>
        <w:t xml:space="preserve">ободочной кишки - 6,7%,</w:t>
      </w:r>
    </w:p>
    <w:p>
      <w:pPr>
        <w:pStyle w:val="0"/>
        <w:spacing w:before="200" w:line-rule="auto"/>
        <w:ind w:firstLine="540"/>
        <w:jc w:val="both"/>
      </w:pPr>
      <w:r>
        <w:rPr>
          <w:sz w:val="20"/>
        </w:rPr>
        <w:t xml:space="preserve">почки - 6,5%,</w:t>
      </w:r>
    </w:p>
    <w:p>
      <w:pPr>
        <w:pStyle w:val="0"/>
        <w:spacing w:before="200" w:line-rule="auto"/>
        <w:ind w:firstLine="540"/>
        <w:jc w:val="both"/>
      </w:pPr>
      <w:r>
        <w:rPr>
          <w:sz w:val="20"/>
        </w:rPr>
        <w:t xml:space="preserve">шейки матки - 6,1%,</w:t>
      </w:r>
    </w:p>
    <w:p>
      <w:pPr>
        <w:pStyle w:val="0"/>
        <w:spacing w:before="200" w:line-rule="auto"/>
        <w:ind w:firstLine="540"/>
        <w:jc w:val="both"/>
      </w:pPr>
      <w:r>
        <w:rPr>
          <w:sz w:val="20"/>
        </w:rPr>
        <w:t xml:space="preserve">тела матки - 5,5%.</w:t>
      </w:r>
    </w:p>
    <w:p>
      <w:pPr>
        <w:pStyle w:val="0"/>
        <w:spacing w:before="200" w:line-rule="auto"/>
        <w:ind w:firstLine="540"/>
        <w:jc w:val="both"/>
      </w:pPr>
      <w:r>
        <w:rPr>
          <w:sz w:val="20"/>
        </w:rPr>
        <w:t xml:space="preserve">трахеи, бронхов, легкого - 5,3%.</w:t>
      </w:r>
    </w:p>
    <w:p>
      <w:pPr>
        <w:pStyle w:val="0"/>
        <w:spacing w:before="200" w:line-rule="auto"/>
        <w:ind w:firstLine="540"/>
        <w:jc w:val="both"/>
      </w:pPr>
      <w:r>
        <w:rPr>
          <w:sz w:val="20"/>
        </w:rPr>
        <w:t xml:space="preserve">Превалирующее большинство пациентов - 92,5% от общей группы диспансерного наблюдения, состоящих на учете с ЗНО, являются городскими жителями, 7,5% пациентов проживают в сельской местности.</w:t>
      </w:r>
    </w:p>
    <w:p>
      <w:pPr>
        <w:pStyle w:val="0"/>
        <w:spacing w:before="200" w:line-rule="auto"/>
        <w:ind w:firstLine="540"/>
        <w:jc w:val="both"/>
      </w:pPr>
      <w:r>
        <w:rPr>
          <w:sz w:val="20"/>
        </w:rPr>
        <w:t xml:space="preserve">Распределение пациентов диспансерной группы наблюдения по муниципальным образованиям (далее - МО) представлено на </w:t>
      </w:r>
      <w:hyperlink w:history="0" w:anchor="P5153" w:tooltip="Распределение пациентов диспансерной группы наблюдения">
        <w:r>
          <w:rPr>
            <w:sz w:val="20"/>
            <w:color w:val="0000ff"/>
          </w:rPr>
          <w:t xml:space="preserve">рисунке 4</w:t>
        </w:r>
      </w:hyperlink>
      <w:r>
        <w:rPr>
          <w:sz w:val="20"/>
        </w:rPr>
        <w:t xml:space="preserve">: городские округа: Сургут - 24,4%, Нижневартовск - 18,6%, Нефтеюганск - 6,7%, Ханты-Мансийск - 6,3%, жители других городских округов автономного округа - 36,5%; муниципальные районы: Сургутский - 2,5% пациентов с ЗНО, Советский - 2,2%, Кондинский - 1,5%, Белоярский - 0,9%, Октябрьский - 0,8%, Ханты-Мансийский - 0,7%.</w:t>
      </w:r>
    </w:p>
    <w:p>
      <w:pPr>
        <w:pStyle w:val="0"/>
        <w:jc w:val="right"/>
      </w:pPr>
      <w:r>
        <w:rPr>
          <w:sz w:val="20"/>
        </w:rPr>
      </w:r>
    </w:p>
    <w:p>
      <w:pPr>
        <w:pStyle w:val="0"/>
        <w:jc w:val="right"/>
      </w:pPr>
      <w:r>
        <w:rPr>
          <w:sz w:val="20"/>
        </w:rPr>
        <w:t xml:space="preserve">Рисунок 4</w:t>
      </w:r>
    </w:p>
    <w:p>
      <w:pPr>
        <w:pStyle w:val="0"/>
        <w:jc w:val="right"/>
      </w:pPr>
      <w:r>
        <w:rPr>
          <w:sz w:val="20"/>
        </w:rPr>
      </w:r>
    </w:p>
    <w:bookmarkStart w:id="5153" w:name="P5153"/>
    <w:bookmarkEnd w:id="5153"/>
    <w:p>
      <w:pPr>
        <w:pStyle w:val="0"/>
        <w:jc w:val="center"/>
      </w:pPr>
      <w:r>
        <w:rPr>
          <w:sz w:val="20"/>
        </w:rPr>
        <w:t xml:space="preserve">Распределение пациентов диспансерной группы наблюдения</w:t>
      </w:r>
    </w:p>
    <w:p>
      <w:pPr>
        <w:pStyle w:val="0"/>
        <w:jc w:val="center"/>
      </w:pPr>
      <w:r>
        <w:rPr>
          <w:sz w:val="20"/>
        </w:rPr>
        <w:t xml:space="preserve">по муниципальным образованиям</w:t>
      </w:r>
    </w:p>
    <w:p>
      <w:pPr>
        <w:pStyle w:val="0"/>
        <w:jc w:val="center"/>
      </w:pPr>
      <w:r>
        <w:rPr>
          <w:sz w:val="20"/>
        </w:rPr>
      </w:r>
    </w:p>
    <w:p>
      <w:pPr>
        <w:pStyle w:val="0"/>
        <w:jc w:val="center"/>
      </w:pPr>
      <w:r>
        <w:rPr>
          <w:position w:val="-385"/>
        </w:rPr>
        <w:drawing>
          <wp:inline distT="0" distB="0" distL="0" distR="0">
            <wp:extent cx="6358890" cy="50247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6358890" cy="5024755"/>
                    </a:xfrm>
                    <a:prstGeom prst="rect">
                      <a:avLst/>
                    </a:prstGeom>
                    <a:noFill/>
                    <a:ln>
                      <a:noFill/>
                    </a:ln>
                  </pic:spPr>
                </pic:pic>
              </a:graphicData>
            </a:graphic>
          </wp:inline>
        </w:drawing>
      </w:r>
    </w:p>
    <w:p>
      <w:pPr>
        <w:pStyle w:val="0"/>
        <w:jc w:val="center"/>
      </w:pPr>
      <w:r>
        <w:rPr>
          <w:sz w:val="20"/>
        </w:rPr>
      </w:r>
    </w:p>
    <w:p>
      <w:pPr>
        <w:pStyle w:val="0"/>
        <w:jc w:val="right"/>
      </w:pPr>
      <w:r>
        <w:rPr>
          <w:sz w:val="20"/>
        </w:rPr>
        <w:t xml:space="preserve">Таблица 9</w:t>
      </w:r>
    </w:p>
    <w:p>
      <w:pPr>
        <w:pStyle w:val="0"/>
        <w:jc w:val="right"/>
      </w:pPr>
      <w:r>
        <w:rPr>
          <w:sz w:val="20"/>
        </w:rPr>
      </w:r>
    </w:p>
    <w:p>
      <w:pPr>
        <w:pStyle w:val="0"/>
        <w:jc w:val="center"/>
      </w:pPr>
      <w:r>
        <w:rPr>
          <w:sz w:val="20"/>
        </w:rPr>
        <w:t xml:space="preserve">Индекс накопления контингента больных со злокачественными</w:t>
      </w:r>
    </w:p>
    <w:p>
      <w:pPr>
        <w:pStyle w:val="0"/>
        <w:jc w:val="center"/>
      </w:pPr>
      <w:r>
        <w:rPr>
          <w:sz w:val="20"/>
        </w:rPr>
        <w:t xml:space="preserve">новообразованиями в разрезе нозологических групп</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1361"/>
        <w:gridCol w:w="737"/>
        <w:gridCol w:w="737"/>
        <w:gridCol w:w="737"/>
        <w:gridCol w:w="737"/>
        <w:gridCol w:w="737"/>
        <w:gridCol w:w="737"/>
        <w:gridCol w:w="737"/>
        <w:gridCol w:w="737"/>
        <w:gridCol w:w="737"/>
        <w:gridCol w:w="737"/>
      </w:tblGrid>
      <w:tr>
        <w:tc>
          <w:tcPr>
            <w:tcW w:w="2324" w:type="dxa"/>
            <w:vMerge w:val="restart"/>
          </w:tcPr>
          <w:p>
            <w:pPr>
              <w:pStyle w:val="0"/>
              <w:jc w:val="center"/>
            </w:pPr>
            <w:r>
              <w:rPr>
                <w:sz w:val="20"/>
              </w:rPr>
              <w:t xml:space="preserve">Локализация</w:t>
            </w:r>
          </w:p>
        </w:tc>
        <w:tc>
          <w:tcPr>
            <w:tcW w:w="1361" w:type="dxa"/>
            <w:vMerge w:val="restart"/>
          </w:tcPr>
          <w:p>
            <w:pPr>
              <w:pStyle w:val="0"/>
              <w:jc w:val="center"/>
            </w:pPr>
            <w:r>
              <w:rPr>
                <w:sz w:val="20"/>
              </w:rPr>
              <w:t xml:space="preserve">Код МКБ 10</w:t>
            </w:r>
          </w:p>
        </w:tc>
        <w:tc>
          <w:tcPr>
            <w:gridSpan w:val="10"/>
            <w:tcW w:w="7370" w:type="dxa"/>
          </w:tcPr>
          <w:p>
            <w:pPr>
              <w:pStyle w:val="0"/>
              <w:jc w:val="center"/>
            </w:pPr>
            <w:r>
              <w:rPr>
                <w:sz w:val="20"/>
              </w:rPr>
              <w:t xml:space="preserve">годы</w:t>
            </w:r>
          </w:p>
        </w:tc>
      </w:tr>
      <w:tr>
        <w:tc>
          <w:tcPr>
            <w:vMerge w:val="continue"/>
          </w:tcPr>
          <w:p/>
        </w:tc>
        <w:tc>
          <w:tcPr>
            <w:vMerge w:val="continue"/>
          </w:tcPr>
          <w:p/>
        </w:tc>
        <w:tc>
          <w:tcPr>
            <w:tcW w:w="737" w:type="dxa"/>
          </w:tcPr>
          <w:p>
            <w:pPr>
              <w:pStyle w:val="0"/>
              <w:jc w:val="center"/>
            </w:pPr>
            <w:r>
              <w:rPr>
                <w:sz w:val="20"/>
              </w:rPr>
              <w:t xml:space="preserve">2013</w:t>
            </w:r>
          </w:p>
        </w:tc>
        <w:tc>
          <w:tcPr>
            <w:tcW w:w="737" w:type="dxa"/>
          </w:tcPr>
          <w:p>
            <w:pPr>
              <w:pStyle w:val="0"/>
              <w:jc w:val="center"/>
            </w:pPr>
            <w:r>
              <w:rPr>
                <w:sz w:val="20"/>
              </w:rPr>
              <w:t xml:space="preserve">2014</w:t>
            </w:r>
          </w:p>
        </w:tc>
        <w:tc>
          <w:tcPr>
            <w:tcW w:w="737" w:type="dxa"/>
          </w:tcPr>
          <w:p>
            <w:pPr>
              <w:pStyle w:val="0"/>
              <w:jc w:val="center"/>
            </w:pPr>
            <w:r>
              <w:rPr>
                <w:sz w:val="20"/>
              </w:rPr>
              <w:t xml:space="preserve">2015</w:t>
            </w:r>
          </w:p>
        </w:tc>
        <w:tc>
          <w:tcPr>
            <w:tcW w:w="737" w:type="dxa"/>
          </w:tcPr>
          <w:p>
            <w:pPr>
              <w:pStyle w:val="0"/>
              <w:jc w:val="center"/>
            </w:pPr>
            <w:r>
              <w:rPr>
                <w:sz w:val="20"/>
              </w:rPr>
              <w:t xml:space="preserve">2016</w:t>
            </w:r>
          </w:p>
        </w:tc>
        <w:tc>
          <w:tcPr>
            <w:tcW w:w="737" w:type="dxa"/>
          </w:tcPr>
          <w:p>
            <w:pPr>
              <w:pStyle w:val="0"/>
              <w:jc w:val="center"/>
            </w:pPr>
            <w:r>
              <w:rPr>
                <w:sz w:val="20"/>
              </w:rPr>
              <w:t xml:space="preserve">2017</w:t>
            </w:r>
          </w:p>
        </w:tc>
        <w:tc>
          <w:tcPr>
            <w:tcW w:w="737" w:type="dxa"/>
          </w:tcPr>
          <w:p>
            <w:pPr>
              <w:pStyle w:val="0"/>
              <w:jc w:val="center"/>
            </w:pPr>
            <w:r>
              <w:rPr>
                <w:sz w:val="20"/>
              </w:rPr>
              <w:t xml:space="preserve">2018</w:t>
            </w:r>
          </w:p>
        </w:tc>
        <w:tc>
          <w:tcPr>
            <w:tcW w:w="737" w:type="dxa"/>
          </w:tcPr>
          <w:p>
            <w:pPr>
              <w:pStyle w:val="0"/>
              <w:jc w:val="center"/>
            </w:pPr>
            <w:r>
              <w:rPr>
                <w:sz w:val="20"/>
              </w:rPr>
              <w:t xml:space="preserve">2019</w:t>
            </w:r>
          </w:p>
        </w:tc>
        <w:tc>
          <w:tcPr>
            <w:tcW w:w="737" w:type="dxa"/>
          </w:tcPr>
          <w:p>
            <w:pPr>
              <w:pStyle w:val="0"/>
              <w:jc w:val="center"/>
            </w:pPr>
            <w:r>
              <w:rPr>
                <w:sz w:val="20"/>
              </w:rPr>
              <w:t xml:space="preserve">2020</w:t>
            </w:r>
          </w:p>
        </w:tc>
        <w:tc>
          <w:tcPr>
            <w:tcW w:w="737" w:type="dxa"/>
          </w:tcPr>
          <w:p>
            <w:pPr>
              <w:pStyle w:val="0"/>
              <w:jc w:val="center"/>
            </w:pPr>
            <w:r>
              <w:rPr>
                <w:sz w:val="20"/>
              </w:rPr>
              <w:t xml:space="preserve">2021</w:t>
            </w:r>
          </w:p>
        </w:tc>
        <w:tc>
          <w:tcPr>
            <w:tcW w:w="737" w:type="dxa"/>
          </w:tcPr>
          <w:p>
            <w:pPr>
              <w:pStyle w:val="0"/>
              <w:jc w:val="center"/>
            </w:pPr>
            <w:r>
              <w:rPr>
                <w:sz w:val="20"/>
              </w:rPr>
              <w:t xml:space="preserve">2022</w:t>
            </w:r>
          </w:p>
        </w:tc>
      </w:tr>
      <w:tr>
        <w:tc>
          <w:tcPr>
            <w:tcW w:w="2324" w:type="dxa"/>
          </w:tcPr>
          <w:p>
            <w:pPr>
              <w:pStyle w:val="0"/>
            </w:pPr>
            <w:r>
              <w:rPr>
                <w:sz w:val="20"/>
              </w:rPr>
              <w:t xml:space="preserve">Губа</w:t>
            </w:r>
          </w:p>
        </w:tc>
        <w:tc>
          <w:tcPr>
            <w:tcW w:w="1361" w:type="dxa"/>
          </w:tcPr>
          <w:p>
            <w:pPr>
              <w:pStyle w:val="0"/>
            </w:pPr>
            <w:r>
              <w:rPr>
                <w:sz w:val="20"/>
              </w:rPr>
              <w:t xml:space="preserve">С 00</w:t>
            </w:r>
          </w:p>
        </w:tc>
        <w:tc>
          <w:tcPr>
            <w:tcW w:w="737" w:type="dxa"/>
          </w:tcPr>
          <w:p>
            <w:pPr>
              <w:pStyle w:val="0"/>
            </w:pPr>
            <w:r>
              <w:rPr>
                <w:sz w:val="20"/>
              </w:rPr>
              <w:t xml:space="preserve">22,9</w:t>
            </w:r>
          </w:p>
        </w:tc>
        <w:tc>
          <w:tcPr>
            <w:tcW w:w="737" w:type="dxa"/>
          </w:tcPr>
          <w:p>
            <w:pPr>
              <w:pStyle w:val="0"/>
            </w:pPr>
            <w:r>
              <w:rPr>
                <w:sz w:val="20"/>
              </w:rPr>
              <w:t xml:space="preserve">13,7</w:t>
            </w:r>
          </w:p>
        </w:tc>
        <w:tc>
          <w:tcPr>
            <w:tcW w:w="737" w:type="dxa"/>
          </w:tcPr>
          <w:p>
            <w:pPr>
              <w:pStyle w:val="0"/>
            </w:pPr>
            <w:r>
              <w:rPr>
                <w:sz w:val="20"/>
              </w:rPr>
              <w:t xml:space="preserve">12,9</w:t>
            </w:r>
          </w:p>
        </w:tc>
        <w:tc>
          <w:tcPr>
            <w:tcW w:w="737" w:type="dxa"/>
          </w:tcPr>
          <w:p>
            <w:pPr>
              <w:pStyle w:val="0"/>
            </w:pPr>
            <w:r>
              <w:rPr>
                <w:sz w:val="20"/>
              </w:rPr>
              <w:t xml:space="preserve">17</w:t>
            </w:r>
          </w:p>
        </w:tc>
        <w:tc>
          <w:tcPr>
            <w:tcW w:w="737" w:type="dxa"/>
          </w:tcPr>
          <w:p>
            <w:pPr>
              <w:pStyle w:val="0"/>
            </w:pPr>
            <w:r>
              <w:rPr>
                <w:sz w:val="20"/>
              </w:rPr>
              <w:t xml:space="preserve">11,9</w:t>
            </w:r>
          </w:p>
        </w:tc>
        <w:tc>
          <w:tcPr>
            <w:tcW w:w="737" w:type="dxa"/>
          </w:tcPr>
          <w:p>
            <w:pPr>
              <w:pStyle w:val="0"/>
            </w:pPr>
            <w:r>
              <w:rPr>
                <w:sz w:val="20"/>
              </w:rPr>
              <w:t xml:space="preserve">27,5</w:t>
            </w:r>
          </w:p>
        </w:tc>
        <w:tc>
          <w:tcPr>
            <w:tcW w:w="737" w:type="dxa"/>
          </w:tcPr>
          <w:p>
            <w:pPr>
              <w:pStyle w:val="0"/>
            </w:pPr>
            <w:r>
              <w:rPr>
                <w:sz w:val="20"/>
              </w:rPr>
              <w:t xml:space="preserve">15,1</w:t>
            </w:r>
          </w:p>
        </w:tc>
        <w:tc>
          <w:tcPr>
            <w:tcW w:w="737" w:type="dxa"/>
          </w:tcPr>
          <w:p>
            <w:pPr>
              <w:pStyle w:val="0"/>
            </w:pPr>
            <w:r>
              <w:rPr>
                <w:sz w:val="20"/>
              </w:rPr>
              <w:t xml:space="preserve">30,4</w:t>
            </w:r>
          </w:p>
        </w:tc>
        <w:tc>
          <w:tcPr>
            <w:tcW w:w="737" w:type="dxa"/>
          </w:tcPr>
          <w:p>
            <w:pPr>
              <w:pStyle w:val="0"/>
            </w:pPr>
            <w:r>
              <w:rPr>
                <w:sz w:val="20"/>
              </w:rPr>
              <w:t xml:space="preserve">11,0</w:t>
            </w:r>
          </w:p>
        </w:tc>
        <w:tc>
          <w:tcPr>
            <w:tcW w:w="737" w:type="dxa"/>
          </w:tcPr>
          <w:p>
            <w:pPr>
              <w:pStyle w:val="0"/>
            </w:pPr>
            <w:r>
              <w:rPr>
                <w:sz w:val="20"/>
              </w:rPr>
              <w:t xml:space="preserve">11,3</w:t>
            </w:r>
          </w:p>
        </w:tc>
      </w:tr>
      <w:tr>
        <w:tc>
          <w:tcPr>
            <w:tcW w:w="2324" w:type="dxa"/>
          </w:tcPr>
          <w:p>
            <w:pPr>
              <w:pStyle w:val="0"/>
            </w:pPr>
            <w:r>
              <w:rPr>
                <w:sz w:val="20"/>
              </w:rPr>
              <w:t xml:space="preserve">Полость рта</w:t>
            </w:r>
          </w:p>
        </w:tc>
        <w:tc>
          <w:tcPr>
            <w:tcW w:w="1361" w:type="dxa"/>
          </w:tcPr>
          <w:p>
            <w:pPr>
              <w:pStyle w:val="0"/>
            </w:pPr>
            <w:r>
              <w:rPr>
                <w:sz w:val="20"/>
              </w:rPr>
              <w:t xml:space="preserve">С 01 - 09</w:t>
            </w:r>
          </w:p>
        </w:tc>
        <w:tc>
          <w:tcPr>
            <w:tcW w:w="737" w:type="dxa"/>
          </w:tcPr>
          <w:p>
            <w:pPr>
              <w:pStyle w:val="0"/>
            </w:pPr>
            <w:r>
              <w:rPr>
                <w:sz w:val="20"/>
              </w:rPr>
              <w:t xml:space="preserve">4</w:t>
            </w:r>
          </w:p>
        </w:tc>
        <w:tc>
          <w:tcPr>
            <w:tcW w:w="737" w:type="dxa"/>
          </w:tcPr>
          <w:p>
            <w:pPr>
              <w:pStyle w:val="0"/>
            </w:pPr>
            <w:r>
              <w:rPr>
                <w:sz w:val="20"/>
              </w:rPr>
              <w:t xml:space="preserve">3,4</w:t>
            </w:r>
          </w:p>
        </w:tc>
        <w:tc>
          <w:tcPr>
            <w:tcW w:w="737" w:type="dxa"/>
          </w:tcPr>
          <w:p>
            <w:pPr>
              <w:pStyle w:val="0"/>
            </w:pPr>
            <w:r>
              <w:rPr>
                <w:sz w:val="20"/>
              </w:rPr>
              <w:t xml:space="preserve">5</w:t>
            </w:r>
          </w:p>
        </w:tc>
        <w:tc>
          <w:tcPr>
            <w:tcW w:w="737" w:type="dxa"/>
          </w:tcPr>
          <w:p>
            <w:pPr>
              <w:pStyle w:val="0"/>
            </w:pPr>
            <w:r>
              <w:rPr>
                <w:sz w:val="20"/>
              </w:rPr>
              <w:t xml:space="preserve">5,3</w:t>
            </w:r>
          </w:p>
        </w:tc>
        <w:tc>
          <w:tcPr>
            <w:tcW w:w="737" w:type="dxa"/>
          </w:tcPr>
          <w:p>
            <w:pPr>
              <w:pStyle w:val="0"/>
            </w:pPr>
            <w:r>
              <w:rPr>
                <w:sz w:val="20"/>
              </w:rPr>
              <w:t xml:space="preserve">4</w:t>
            </w:r>
          </w:p>
        </w:tc>
        <w:tc>
          <w:tcPr>
            <w:tcW w:w="737" w:type="dxa"/>
          </w:tcPr>
          <w:p>
            <w:pPr>
              <w:pStyle w:val="0"/>
            </w:pPr>
            <w:r>
              <w:rPr>
                <w:sz w:val="20"/>
              </w:rPr>
              <w:t xml:space="preserve">6</w:t>
            </w:r>
          </w:p>
        </w:tc>
        <w:tc>
          <w:tcPr>
            <w:tcW w:w="737" w:type="dxa"/>
          </w:tcPr>
          <w:p>
            <w:pPr>
              <w:pStyle w:val="0"/>
            </w:pPr>
            <w:r>
              <w:rPr>
                <w:sz w:val="20"/>
              </w:rPr>
              <w:t xml:space="preserve">5</w:t>
            </w:r>
          </w:p>
        </w:tc>
        <w:tc>
          <w:tcPr>
            <w:tcW w:w="737" w:type="dxa"/>
          </w:tcPr>
          <w:p>
            <w:pPr>
              <w:pStyle w:val="0"/>
            </w:pPr>
            <w:r>
              <w:rPr>
                <w:sz w:val="20"/>
              </w:rPr>
              <w:t xml:space="preserve">4,2</w:t>
            </w:r>
          </w:p>
        </w:tc>
        <w:tc>
          <w:tcPr>
            <w:tcW w:w="737" w:type="dxa"/>
          </w:tcPr>
          <w:p>
            <w:pPr>
              <w:pStyle w:val="0"/>
            </w:pPr>
            <w:r>
              <w:rPr>
                <w:sz w:val="20"/>
              </w:rPr>
              <w:t xml:space="preserve">4,4</w:t>
            </w:r>
          </w:p>
        </w:tc>
        <w:tc>
          <w:tcPr>
            <w:tcW w:w="737" w:type="dxa"/>
          </w:tcPr>
          <w:p>
            <w:pPr>
              <w:pStyle w:val="0"/>
            </w:pPr>
            <w:r>
              <w:rPr>
                <w:sz w:val="20"/>
              </w:rPr>
              <w:t xml:space="preserve">5,2</w:t>
            </w:r>
          </w:p>
        </w:tc>
      </w:tr>
      <w:tr>
        <w:tc>
          <w:tcPr>
            <w:tcW w:w="2324" w:type="dxa"/>
          </w:tcPr>
          <w:p>
            <w:pPr>
              <w:pStyle w:val="0"/>
            </w:pPr>
            <w:r>
              <w:rPr>
                <w:sz w:val="20"/>
              </w:rPr>
              <w:t xml:space="preserve">Глотка</w:t>
            </w:r>
          </w:p>
        </w:tc>
        <w:tc>
          <w:tcPr>
            <w:tcW w:w="1361" w:type="dxa"/>
          </w:tcPr>
          <w:p>
            <w:pPr>
              <w:pStyle w:val="0"/>
            </w:pPr>
            <w:r>
              <w:rPr>
                <w:sz w:val="20"/>
              </w:rPr>
              <w:t xml:space="preserve">С 10 - 13</w:t>
            </w:r>
          </w:p>
        </w:tc>
        <w:tc>
          <w:tcPr>
            <w:tcW w:w="737" w:type="dxa"/>
          </w:tcPr>
          <w:p>
            <w:pPr>
              <w:pStyle w:val="0"/>
            </w:pPr>
            <w:r>
              <w:rPr>
                <w:sz w:val="20"/>
              </w:rPr>
              <w:t xml:space="preserve">3,2</w:t>
            </w:r>
          </w:p>
        </w:tc>
        <w:tc>
          <w:tcPr>
            <w:tcW w:w="737" w:type="dxa"/>
          </w:tcPr>
          <w:p>
            <w:pPr>
              <w:pStyle w:val="0"/>
            </w:pPr>
            <w:r>
              <w:rPr>
                <w:sz w:val="20"/>
              </w:rPr>
              <w:t xml:space="preserve">3,8</w:t>
            </w:r>
          </w:p>
        </w:tc>
        <w:tc>
          <w:tcPr>
            <w:tcW w:w="737" w:type="dxa"/>
          </w:tcPr>
          <w:p>
            <w:pPr>
              <w:pStyle w:val="0"/>
            </w:pPr>
            <w:r>
              <w:rPr>
                <w:sz w:val="20"/>
              </w:rPr>
              <w:t xml:space="preserve">4,4</w:t>
            </w:r>
          </w:p>
        </w:tc>
        <w:tc>
          <w:tcPr>
            <w:tcW w:w="737" w:type="dxa"/>
          </w:tcPr>
          <w:p>
            <w:pPr>
              <w:pStyle w:val="0"/>
            </w:pPr>
            <w:r>
              <w:rPr>
                <w:sz w:val="20"/>
              </w:rPr>
              <w:t xml:space="preserve">4,7</w:t>
            </w:r>
          </w:p>
        </w:tc>
        <w:tc>
          <w:tcPr>
            <w:tcW w:w="737" w:type="dxa"/>
          </w:tcPr>
          <w:p>
            <w:pPr>
              <w:pStyle w:val="0"/>
            </w:pPr>
            <w:r>
              <w:rPr>
                <w:sz w:val="20"/>
              </w:rPr>
              <w:t xml:space="preserve">3,1</w:t>
            </w:r>
          </w:p>
        </w:tc>
        <w:tc>
          <w:tcPr>
            <w:tcW w:w="737" w:type="dxa"/>
          </w:tcPr>
          <w:p>
            <w:pPr>
              <w:pStyle w:val="0"/>
            </w:pPr>
            <w:r>
              <w:rPr>
                <w:sz w:val="20"/>
              </w:rPr>
              <w:t xml:space="preserve">3,3</w:t>
            </w:r>
          </w:p>
        </w:tc>
        <w:tc>
          <w:tcPr>
            <w:tcW w:w="737" w:type="dxa"/>
          </w:tcPr>
          <w:p>
            <w:pPr>
              <w:pStyle w:val="0"/>
            </w:pPr>
            <w:r>
              <w:rPr>
                <w:sz w:val="20"/>
              </w:rPr>
              <w:t xml:space="preserve">3,3</w:t>
            </w:r>
          </w:p>
        </w:tc>
        <w:tc>
          <w:tcPr>
            <w:tcW w:w="737" w:type="dxa"/>
          </w:tcPr>
          <w:p>
            <w:pPr>
              <w:pStyle w:val="0"/>
            </w:pPr>
            <w:r>
              <w:rPr>
                <w:sz w:val="20"/>
              </w:rPr>
              <w:t xml:space="preserve">3,2</w:t>
            </w:r>
          </w:p>
        </w:tc>
        <w:tc>
          <w:tcPr>
            <w:tcW w:w="737" w:type="dxa"/>
          </w:tcPr>
          <w:p>
            <w:pPr>
              <w:pStyle w:val="0"/>
            </w:pPr>
            <w:r>
              <w:rPr>
                <w:sz w:val="20"/>
              </w:rPr>
              <w:t xml:space="preserve">3,9</w:t>
            </w:r>
          </w:p>
        </w:tc>
        <w:tc>
          <w:tcPr>
            <w:tcW w:w="737" w:type="dxa"/>
          </w:tcPr>
          <w:p>
            <w:pPr>
              <w:pStyle w:val="0"/>
            </w:pPr>
            <w:r>
              <w:rPr>
                <w:sz w:val="20"/>
              </w:rPr>
              <w:t xml:space="preserve">2,8</w:t>
            </w:r>
          </w:p>
        </w:tc>
      </w:tr>
      <w:tr>
        <w:tc>
          <w:tcPr>
            <w:tcW w:w="2324" w:type="dxa"/>
          </w:tcPr>
          <w:p>
            <w:pPr>
              <w:pStyle w:val="0"/>
            </w:pPr>
            <w:r>
              <w:rPr>
                <w:sz w:val="20"/>
              </w:rPr>
              <w:t xml:space="preserve">Пищевод</w:t>
            </w:r>
          </w:p>
        </w:tc>
        <w:tc>
          <w:tcPr>
            <w:tcW w:w="1361" w:type="dxa"/>
          </w:tcPr>
          <w:p>
            <w:pPr>
              <w:pStyle w:val="0"/>
            </w:pPr>
            <w:r>
              <w:rPr>
                <w:sz w:val="20"/>
              </w:rPr>
              <w:t xml:space="preserve">С 15</w:t>
            </w:r>
          </w:p>
        </w:tc>
        <w:tc>
          <w:tcPr>
            <w:tcW w:w="737" w:type="dxa"/>
          </w:tcPr>
          <w:p>
            <w:pPr>
              <w:pStyle w:val="0"/>
            </w:pPr>
            <w:r>
              <w:rPr>
                <w:sz w:val="20"/>
              </w:rPr>
              <w:t xml:space="preserve">1,8</w:t>
            </w:r>
          </w:p>
        </w:tc>
        <w:tc>
          <w:tcPr>
            <w:tcW w:w="737" w:type="dxa"/>
          </w:tcPr>
          <w:p>
            <w:pPr>
              <w:pStyle w:val="0"/>
            </w:pPr>
            <w:r>
              <w:rPr>
                <w:sz w:val="20"/>
              </w:rPr>
              <w:t xml:space="preserve">2</w:t>
            </w:r>
          </w:p>
        </w:tc>
        <w:tc>
          <w:tcPr>
            <w:tcW w:w="737" w:type="dxa"/>
          </w:tcPr>
          <w:p>
            <w:pPr>
              <w:pStyle w:val="0"/>
            </w:pPr>
            <w:r>
              <w:rPr>
                <w:sz w:val="20"/>
              </w:rPr>
              <w:t xml:space="preserve">2,2</w:t>
            </w:r>
          </w:p>
        </w:tc>
        <w:tc>
          <w:tcPr>
            <w:tcW w:w="737" w:type="dxa"/>
          </w:tcPr>
          <w:p>
            <w:pPr>
              <w:pStyle w:val="0"/>
            </w:pPr>
            <w:r>
              <w:rPr>
                <w:sz w:val="20"/>
              </w:rPr>
              <w:t xml:space="preserve">1,8</w:t>
            </w:r>
          </w:p>
        </w:tc>
        <w:tc>
          <w:tcPr>
            <w:tcW w:w="737" w:type="dxa"/>
          </w:tcPr>
          <w:p>
            <w:pPr>
              <w:pStyle w:val="0"/>
            </w:pPr>
            <w:r>
              <w:rPr>
                <w:sz w:val="20"/>
              </w:rPr>
              <w:t xml:space="preserve">1,7</w:t>
            </w:r>
          </w:p>
        </w:tc>
        <w:tc>
          <w:tcPr>
            <w:tcW w:w="737" w:type="dxa"/>
          </w:tcPr>
          <w:p>
            <w:pPr>
              <w:pStyle w:val="0"/>
            </w:pPr>
            <w:r>
              <w:rPr>
                <w:sz w:val="20"/>
              </w:rPr>
              <w:t xml:space="preserve">1,9</w:t>
            </w:r>
          </w:p>
        </w:tc>
        <w:tc>
          <w:tcPr>
            <w:tcW w:w="737" w:type="dxa"/>
          </w:tcPr>
          <w:p>
            <w:pPr>
              <w:pStyle w:val="0"/>
            </w:pPr>
            <w:r>
              <w:rPr>
                <w:sz w:val="20"/>
              </w:rPr>
              <w:t xml:space="preserve">2,2</w:t>
            </w:r>
          </w:p>
        </w:tc>
        <w:tc>
          <w:tcPr>
            <w:tcW w:w="737" w:type="dxa"/>
          </w:tcPr>
          <w:p>
            <w:pPr>
              <w:pStyle w:val="0"/>
            </w:pPr>
            <w:r>
              <w:rPr>
                <w:sz w:val="20"/>
              </w:rPr>
              <w:t xml:space="preserve">1,9</w:t>
            </w:r>
          </w:p>
        </w:tc>
        <w:tc>
          <w:tcPr>
            <w:tcW w:w="737" w:type="dxa"/>
          </w:tcPr>
          <w:p>
            <w:pPr>
              <w:pStyle w:val="0"/>
            </w:pPr>
            <w:r>
              <w:rPr>
                <w:sz w:val="20"/>
              </w:rPr>
              <w:t xml:space="preserve">2,1</w:t>
            </w:r>
          </w:p>
        </w:tc>
        <w:tc>
          <w:tcPr>
            <w:tcW w:w="737" w:type="dxa"/>
          </w:tcPr>
          <w:p>
            <w:pPr>
              <w:pStyle w:val="0"/>
            </w:pPr>
            <w:r>
              <w:rPr>
                <w:sz w:val="20"/>
              </w:rPr>
              <w:t xml:space="preserve">2,3</w:t>
            </w:r>
          </w:p>
        </w:tc>
      </w:tr>
      <w:tr>
        <w:tc>
          <w:tcPr>
            <w:tcW w:w="2324" w:type="dxa"/>
          </w:tcPr>
          <w:p>
            <w:pPr>
              <w:pStyle w:val="0"/>
            </w:pPr>
            <w:r>
              <w:rPr>
                <w:sz w:val="20"/>
              </w:rPr>
              <w:t xml:space="preserve">Желудок</w:t>
            </w:r>
          </w:p>
        </w:tc>
        <w:tc>
          <w:tcPr>
            <w:tcW w:w="1361" w:type="dxa"/>
          </w:tcPr>
          <w:p>
            <w:pPr>
              <w:pStyle w:val="0"/>
            </w:pPr>
            <w:r>
              <w:rPr>
                <w:sz w:val="20"/>
              </w:rPr>
              <w:t xml:space="preserve">С 16</w:t>
            </w:r>
          </w:p>
        </w:tc>
        <w:tc>
          <w:tcPr>
            <w:tcW w:w="737" w:type="dxa"/>
          </w:tcPr>
          <w:p>
            <w:pPr>
              <w:pStyle w:val="0"/>
            </w:pPr>
            <w:r>
              <w:rPr>
                <w:sz w:val="20"/>
              </w:rPr>
              <w:t xml:space="preserve">3,6</w:t>
            </w:r>
          </w:p>
        </w:tc>
        <w:tc>
          <w:tcPr>
            <w:tcW w:w="737" w:type="dxa"/>
          </w:tcPr>
          <w:p>
            <w:pPr>
              <w:pStyle w:val="0"/>
            </w:pPr>
            <w:r>
              <w:rPr>
                <w:sz w:val="20"/>
              </w:rPr>
              <w:t xml:space="preserve">4,2</w:t>
            </w:r>
          </w:p>
        </w:tc>
        <w:tc>
          <w:tcPr>
            <w:tcW w:w="737" w:type="dxa"/>
          </w:tcPr>
          <w:p>
            <w:pPr>
              <w:pStyle w:val="0"/>
            </w:pPr>
            <w:r>
              <w:rPr>
                <w:sz w:val="20"/>
              </w:rPr>
              <w:t xml:space="preserve">4</w:t>
            </w:r>
          </w:p>
        </w:tc>
        <w:tc>
          <w:tcPr>
            <w:tcW w:w="737" w:type="dxa"/>
          </w:tcPr>
          <w:p>
            <w:pPr>
              <w:pStyle w:val="0"/>
            </w:pPr>
            <w:r>
              <w:rPr>
                <w:sz w:val="20"/>
              </w:rPr>
              <w:t xml:space="preserve">3,3</w:t>
            </w:r>
          </w:p>
        </w:tc>
        <w:tc>
          <w:tcPr>
            <w:tcW w:w="737" w:type="dxa"/>
          </w:tcPr>
          <w:p>
            <w:pPr>
              <w:pStyle w:val="0"/>
            </w:pPr>
            <w:r>
              <w:rPr>
                <w:sz w:val="20"/>
              </w:rPr>
              <w:t xml:space="preserve">3,4</w:t>
            </w:r>
          </w:p>
        </w:tc>
        <w:tc>
          <w:tcPr>
            <w:tcW w:w="737" w:type="dxa"/>
          </w:tcPr>
          <w:p>
            <w:pPr>
              <w:pStyle w:val="0"/>
            </w:pPr>
            <w:r>
              <w:rPr>
                <w:sz w:val="20"/>
              </w:rPr>
              <w:t xml:space="preserve">3,6</w:t>
            </w:r>
          </w:p>
        </w:tc>
        <w:tc>
          <w:tcPr>
            <w:tcW w:w="737" w:type="dxa"/>
          </w:tcPr>
          <w:p>
            <w:pPr>
              <w:pStyle w:val="0"/>
            </w:pPr>
            <w:r>
              <w:rPr>
                <w:sz w:val="20"/>
              </w:rPr>
              <w:t xml:space="preserve">4,1</w:t>
            </w:r>
          </w:p>
        </w:tc>
        <w:tc>
          <w:tcPr>
            <w:tcW w:w="737" w:type="dxa"/>
          </w:tcPr>
          <w:p>
            <w:pPr>
              <w:pStyle w:val="0"/>
            </w:pPr>
            <w:r>
              <w:rPr>
                <w:sz w:val="20"/>
              </w:rPr>
              <w:t xml:space="preserve">3,8</w:t>
            </w:r>
          </w:p>
        </w:tc>
        <w:tc>
          <w:tcPr>
            <w:tcW w:w="737" w:type="dxa"/>
          </w:tcPr>
          <w:p>
            <w:pPr>
              <w:pStyle w:val="0"/>
            </w:pPr>
            <w:r>
              <w:rPr>
                <w:sz w:val="20"/>
              </w:rPr>
              <w:t xml:space="preserve">3,9</w:t>
            </w:r>
          </w:p>
        </w:tc>
        <w:tc>
          <w:tcPr>
            <w:tcW w:w="737" w:type="dxa"/>
          </w:tcPr>
          <w:p>
            <w:pPr>
              <w:pStyle w:val="0"/>
            </w:pPr>
            <w:r>
              <w:rPr>
                <w:sz w:val="20"/>
              </w:rPr>
              <w:t xml:space="preserve">4,6</w:t>
            </w:r>
          </w:p>
        </w:tc>
      </w:tr>
      <w:tr>
        <w:tc>
          <w:tcPr>
            <w:tcW w:w="2324" w:type="dxa"/>
          </w:tcPr>
          <w:p>
            <w:pPr>
              <w:pStyle w:val="0"/>
            </w:pPr>
            <w:r>
              <w:rPr>
                <w:sz w:val="20"/>
              </w:rPr>
              <w:t xml:space="preserve">Ободочная кишка</w:t>
            </w:r>
          </w:p>
        </w:tc>
        <w:tc>
          <w:tcPr>
            <w:tcW w:w="1361" w:type="dxa"/>
          </w:tcPr>
          <w:p>
            <w:pPr>
              <w:pStyle w:val="0"/>
            </w:pPr>
            <w:r>
              <w:rPr>
                <w:sz w:val="20"/>
              </w:rPr>
              <w:t xml:space="preserve">С 18</w:t>
            </w:r>
          </w:p>
        </w:tc>
        <w:tc>
          <w:tcPr>
            <w:tcW w:w="737" w:type="dxa"/>
          </w:tcPr>
          <w:p>
            <w:pPr>
              <w:pStyle w:val="0"/>
            </w:pPr>
            <w:r>
              <w:rPr>
                <w:sz w:val="20"/>
              </w:rPr>
              <w:t xml:space="preserve">4,5</w:t>
            </w:r>
          </w:p>
        </w:tc>
        <w:tc>
          <w:tcPr>
            <w:tcW w:w="737" w:type="dxa"/>
          </w:tcPr>
          <w:p>
            <w:pPr>
              <w:pStyle w:val="0"/>
            </w:pPr>
            <w:r>
              <w:rPr>
                <w:sz w:val="20"/>
              </w:rPr>
              <w:t xml:space="preserve">4,6</w:t>
            </w:r>
          </w:p>
        </w:tc>
        <w:tc>
          <w:tcPr>
            <w:tcW w:w="737" w:type="dxa"/>
          </w:tcPr>
          <w:p>
            <w:pPr>
              <w:pStyle w:val="0"/>
            </w:pPr>
            <w:r>
              <w:rPr>
                <w:sz w:val="20"/>
              </w:rPr>
              <w:t xml:space="preserve">5,2</w:t>
            </w:r>
          </w:p>
        </w:tc>
        <w:tc>
          <w:tcPr>
            <w:tcW w:w="737" w:type="dxa"/>
          </w:tcPr>
          <w:p>
            <w:pPr>
              <w:pStyle w:val="0"/>
            </w:pPr>
            <w:r>
              <w:rPr>
                <w:sz w:val="20"/>
              </w:rPr>
              <w:t xml:space="preserve">4,7</w:t>
            </w:r>
          </w:p>
        </w:tc>
        <w:tc>
          <w:tcPr>
            <w:tcW w:w="737" w:type="dxa"/>
          </w:tcPr>
          <w:p>
            <w:pPr>
              <w:pStyle w:val="0"/>
            </w:pPr>
            <w:r>
              <w:rPr>
                <w:sz w:val="20"/>
              </w:rPr>
              <w:t xml:space="preserve">4,7</w:t>
            </w:r>
          </w:p>
        </w:tc>
        <w:tc>
          <w:tcPr>
            <w:tcW w:w="737" w:type="dxa"/>
          </w:tcPr>
          <w:p>
            <w:pPr>
              <w:pStyle w:val="0"/>
            </w:pPr>
            <w:r>
              <w:rPr>
                <w:sz w:val="20"/>
              </w:rPr>
              <w:t xml:space="preserve">5,8</w:t>
            </w:r>
          </w:p>
        </w:tc>
        <w:tc>
          <w:tcPr>
            <w:tcW w:w="737" w:type="dxa"/>
          </w:tcPr>
          <w:p>
            <w:pPr>
              <w:pStyle w:val="0"/>
            </w:pPr>
            <w:r>
              <w:rPr>
                <w:sz w:val="20"/>
              </w:rPr>
              <w:t xml:space="preserve">5,8</w:t>
            </w:r>
          </w:p>
        </w:tc>
        <w:tc>
          <w:tcPr>
            <w:tcW w:w="737" w:type="dxa"/>
          </w:tcPr>
          <w:p>
            <w:pPr>
              <w:pStyle w:val="0"/>
            </w:pPr>
            <w:r>
              <w:rPr>
                <w:sz w:val="20"/>
              </w:rPr>
              <w:t xml:space="preserve">6,3</w:t>
            </w:r>
          </w:p>
        </w:tc>
        <w:tc>
          <w:tcPr>
            <w:tcW w:w="737" w:type="dxa"/>
          </w:tcPr>
          <w:p>
            <w:pPr>
              <w:pStyle w:val="0"/>
            </w:pPr>
            <w:r>
              <w:rPr>
                <w:sz w:val="20"/>
              </w:rPr>
              <w:t xml:space="preserve">6,1</w:t>
            </w:r>
          </w:p>
        </w:tc>
        <w:tc>
          <w:tcPr>
            <w:tcW w:w="737" w:type="dxa"/>
          </w:tcPr>
          <w:p>
            <w:pPr>
              <w:pStyle w:val="0"/>
            </w:pPr>
            <w:r>
              <w:rPr>
                <w:sz w:val="20"/>
              </w:rPr>
              <w:t xml:space="preserve">6,2</w:t>
            </w:r>
          </w:p>
        </w:tc>
      </w:tr>
      <w:tr>
        <w:tc>
          <w:tcPr>
            <w:tcW w:w="2324" w:type="dxa"/>
          </w:tcPr>
          <w:p>
            <w:pPr>
              <w:pStyle w:val="0"/>
            </w:pPr>
            <w:r>
              <w:rPr>
                <w:sz w:val="20"/>
              </w:rPr>
              <w:t xml:space="preserve">Прям. кишк. ректос. соед., анус</w:t>
            </w:r>
          </w:p>
        </w:tc>
        <w:tc>
          <w:tcPr>
            <w:tcW w:w="1361" w:type="dxa"/>
          </w:tcPr>
          <w:p>
            <w:pPr>
              <w:pStyle w:val="0"/>
            </w:pPr>
            <w:r>
              <w:rPr>
                <w:sz w:val="20"/>
              </w:rPr>
              <w:t xml:space="preserve">С 19 - 21</w:t>
            </w:r>
          </w:p>
        </w:tc>
        <w:tc>
          <w:tcPr>
            <w:tcW w:w="737" w:type="dxa"/>
          </w:tcPr>
          <w:p>
            <w:pPr>
              <w:pStyle w:val="0"/>
            </w:pPr>
            <w:r>
              <w:rPr>
                <w:sz w:val="20"/>
              </w:rPr>
              <w:t xml:space="preserve">5,1</w:t>
            </w:r>
          </w:p>
        </w:tc>
        <w:tc>
          <w:tcPr>
            <w:tcW w:w="737" w:type="dxa"/>
          </w:tcPr>
          <w:p>
            <w:pPr>
              <w:pStyle w:val="0"/>
            </w:pPr>
            <w:r>
              <w:rPr>
                <w:sz w:val="20"/>
              </w:rPr>
              <w:t xml:space="preserve">5,3</w:t>
            </w:r>
          </w:p>
        </w:tc>
        <w:tc>
          <w:tcPr>
            <w:tcW w:w="737" w:type="dxa"/>
          </w:tcPr>
          <w:p>
            <w:pPr>
              <w:pStyle w:val="0"/>
            </w:pPr>
            <w:r>
              <w:rPr>
                <w:sz w:val="20"/>
              </w:rPr>
              <w:t xml:space="preserve">5,5</w:t>
            </w:r>
          </w:p>
        </w:tc>
        <w:tc>
          <w:tcPr>
            <w:tcW w:w="737" w:type="dxa"/>
          </w:tcPr>
          <w:p>
            <w:pPr>
              <w:pStyle w:val="0"/>
            </w:pPr>
            <w:r>
              <w:rPr>
                <w:sz w:val="20"/>
              </w:rPr>
              <w:t xml:space="preserve">4,9</w:t>
            </w:r>
          </w:p>
        </w:tc>
        <w:tc>
          <w:tcPr>
            <w:tcW w:w="737" w:type="dxa"/>
          </w:tcPr>
          <w:p>
            <w:pPr>
              <w:pStyle w:val="0"/>
            </w:pPr>
            <w:r>
              <w:rPr>
                <w:sz w:val="20"/>
              </w:rPr>
              <w:t xml:space="preserve">5,1</w:t>
            </w:r>
          </w:p>
        </w:tc>
        <w:tc>
          <w:tcPr>
            <w:tcW w:w="737" w:type="dxa"/>
          </w:tcPr>
          <w:p>
            <w:pPr>
              <w:pStyle w:val="0"/>
            </w:pPr>
            <w:r>
              <w:rPr>
                <w:sz w:val="20"/>
              </w:rPr>
              <w:t xml:space="preserve">5,7</w:t>
            </w:r>
          </w:p>
        </w:tc>
        <w:tc>
          <w:tcPr>
            <w:tcW w:w="737" w:type="dxa"/>
          </w:tcPr>
          <w:p>
            <w:pPr>
              <w:pStyle w:val="0"/>
            </w:pPr>
            <w:r>
              <w:rPr>
                <w:sz w:val="20"/>
              </w:rPr>
              <w:t xml:space="preserve">6,9</w:t>
            </w:r>
          </w:p>
        </w:tc>
        <w:tc>
          <w:tcPr>
            <w:tcW w:w="737" w:type="dxa"/>
          </w:tcPr>
          <w:p>
            <w:pPr>
              <w:pStyle w:val="0"/>
            </w:pPr>
            <w:r>
              <w:rPr>
                <w:sz w:val="20"/>
              </w:rPr>
              <w:t xml:space="preserve">7,0</w:t>
            </w:r>
          </w:p>
        </w:tc>
        <w:tc>
          <w:tcPr>
            <w:tcW w:w="737" w:type="dxa"/>
          </w:tcPr>
          <w:p>
            <w:pPr>
              <w:pStyle w:val="0"/>
            </w:pPr>
            <w:r>
              <w:rPr>
                <w:sz w:val="20"/>
              </w:rPr>
              <w:t xml:space="preserve">6,6</w:t>
            </w:r>
          </w:p>
        </w:tc>
        <w:tc>
          <w:tcPr>
            <w:tcW w:w="737" w:type="dxa"/>
          </w:tcPr>
          <w:p>
            <w:pPr>
              <w:pStyle w:val="0"/>
            </w:pPr>
            <w:r>
              <w:rPr>
                <w:sz w:val="20"/>
              </w:rPr>
              <w:t xml:space="preserve">6,4</w:t>
            </w:r>
          </w:p>
        </w:tc>
      </w:tr>
      <w:tr>
        <w:tc>
          <w:tcPr>
            <w:tcW w:w="2324" w:type="dxa"/>
          </w:tcPr>
          <w:p>
            <w:pPr>
              <w:pStyle w:val="0"/>
            </w:pPr>
            <w:r>
              <w:rPr>
                <w:sz w:val="20"/>
              </w:rPr>
              <w:t xml:space="preserve">Печень и внутр. желч. пр.</w:t>
            </w:r>
          </w:p>
        </w:tc>
        <w:tc>
          <w:tcPr>
            <w:tcW w:w="1361" w:type="dxa"/>
          </w:tcPr>
          <w:p>
            <w:pPr>
              <w:pStyle w:val="0"/>
            </w:pPr>
            <w:r>
              <w:rPr>
                <w:sz w:val="20"/>
              </w:rPr>
              <w:t xml:space="preserve">С 22</w:t>
            </w:r>
          </w:p>
        </w:tc>
        <w:tc>
          <w:tcPr>
            <w:tcW w:w="737" w:type="dxa"/>
          </w:tcPr>
          <w:p>
            <w:pPr>
              <w:pStyle w:val="0"/>
            </w:pPr>
            <w:r>
              <w:rPr>
                <w:sz w:val="20"/>
              </w:rPr>
              <w:t xml:space="preserve">1</w:t>
            </w:r>
          </w:p>
        </w:tc>
        <w:tc>
          <w:tcPr>
            <w:tcW w:w="737" w:type="dxa"/>
          </w:tcPr>
          <w:p>
            <w:pPr>
              <w:pStyle w:val="0"/>
            </w:pPr>
            <w:r>
              <w:rPr>
                <w:sz w:val="20"/>
              </w:rPr>
              <w:t xml:space="preserve">1,2</w:t>
            </w:r>
          </w:p>
        </w:tc>
        <w:tc>
          <w:tcPr>
            <w:tcW w:w="737" w:type="dxa"/>
          </w:tcPr>
          <w:p>
            <w:pPr>
              <w:pStyle w:val="0"/>
            </w:pPr>
            <w:r>
              <w:rPr>
                <w:sz w:val="20"/>
              </w:rPr>
              <w:t xml:space="preserve">1,1</w:t>
            </w:r>
          </w:p>
        </w:tc>
        <w:tc>
          <w:tcPr>
            <w:tcW w:w="737" w:type="dxa"/>
          </w:tcPr>
          <w:p>
            <w:pPr>
              <w:pStyle w:val="0"/>
            </w:pPr>
            <w:r>
              <w:rPr>
                <w:sz w:val="20"/>
              </w:rPr>
              <w:t xml:space="preserve">1</w:t>
            </w:r>
          </w:p>
        </w:tc>
        <w:tc>
          <w:tcPr>
            <w:tcW w:w="737" w:type="dxa"/>
          </w:tcPr>
          <w:p>
            <w:pPr>
              <w:pStyle w:val="0"/>
            </w:pPr>
            <w:r>
              <w:rPr>
                <w:sz w:val="20"/>
              </w:rPr>
              <w:t xml:space="preserve">1</w:t>
            </w:r>
          </w:p>
        </w:tc>
        <w:tc>
          <w:tcPr>
            <w:tcW w:w="737" w:type="dxa"/>
          </w:tcPr>
          <w:p>
            <w:pPr>
              <w:pStyle w:val="0"/>
            </w:pPr>
            <w:r>
              <w:rPr>
                <w:sz w:val="20"/>
              </w:rPr>
              <w:t xml:space="preserve">0,7</w:t>
            </w:r>
          </w:p>
        </w:tc>
        <w:tc>
          <w:tcPr>
            <w:tcW w:w="737" w:type="dxa"/>
          </w:tcPr>
          <w:p>
            <w:pPr>
              <w:pStyle w:val="0"/>
            </w:pPr>
            <w:r>
              <w:rPr>
                <w:sz w:val="20"/>
              </w:rPr>
              <w:t xml:space="preserve">0,5</w:t>
            </w:r>
          </w:p>
        </w:tc>
        <w:tc>
          <w:tcPr>
            <w:tcW w:w="737" w:type="dxa"/>
          </w:tcPr>
          <w:p>
            <w:pPr>
              <w:pStyle w:val="0"/>
            </w:pPr>
            <w:r>
              <w:rPr>
                <w:sz w:val="20"/>
              </w:rPr>
              <w:t xml:space="preserve">0,8</w:t>
            </w:r>
          </w:p>
        </w:tc>
        <w:tc>
          <w:tcPr>
            <w:tcW w:w="737" w:type="dxa"/>
          </w:tcPr>
          <w:p>
            <w:pPr>
              <w:pStyle w:val="0"/>
            </w:pPr>
            <w:r>
              <w:rPr>
                <w:sz w:val="20"/>
              </w:rPr>
              <w:t xml:space="preserve">0,9</w:t>
            </w:r>
          </w:p>
        </w:tc>
        <w:tc>
          <w:tcPr>
            <w:tcW w:w="737" w:type="dxa"/>
          </w:tcPr>
          <w:p>
            <w:pPr>
              <w:pStyle w:val="0"/>
            </w:pPr>
            <w:r>
              <w:rPr>
                <w:sz w:val="20"/>
              </w:rPr>
              <w:t xml:space="preserve">1,1</w:t>
            </w:r>
          </w:p>
        </w:tc>
      </w:tr>
      <w:tr>
        <w:tc>
          <w:tcPr>
            <w:tcW w:w="2324" w:type="dxa"/>
          </w:tcPr>
          <w:p>
            <w:pPr>
              <w:pStyle w:val="0"/>
            </w:pPr>
            <w:r>
              <w:rPr>
                <w:sz w:val="20"/>
              </w:rPr>
              <w:t xml:space="preserve">Поджелудочная железа</w:t>
            </w:r>
          </w:p>
        </w:tc>
        <w:tc>
          <w:tcPr>
            <w:tcW w:w="1361" w:type="dxa"/>
          </w:tcPr>
          <w:p>
            <w:pPr>
              <w:pStyle w:val="0"/>
            </w:pPr>
            <w:r>
              <w:rPr>
                <w:sz w:val="20"/>
              </w:rPr>
              <w:t xml:space="preserve">С 25</w:t>
            </w:r>
          </w:p>
        </w:tc>
        <w:tc>
          <w:tcPr>
            <w:tcW w:w="737" w:type="dxa"/>
          </w:tcPr>
          <w:p>
            <w:pPr>
              <w:pStyle w:val="0"/>
            </w:pPr>
            <w:r>
              <w:rPr>
                <w:sz w:val="20"/>
              </w:rPr>
              <w:t xml:space="preserve">0</w:t>
            </w:r>
          </w:p>
        </w:tc>
        <w:tc>
          <w:tcPr>
            <w:tcW w:w="737" w:type="dxa"/>
          </w:tcPr>
          <w:p>
            <w:pPr>
              <w:pStyle w:val="0"/>
            </w:pPr>
            <w:r>
              <w:rPr>
                <w:sz w:val="20"/>
              </w:rPr>
              <w:t xml:space="preserve">1,1</w:t>
            </w:r>
          </w:p>
        </w:tc>
        <w:tc>
          <w:tcPr>
            <w:tcW w:w="737" w:type="dxa"/>
          </w:tcPr>
          <w:p>
            <w:pPr>
              <w:pStyle w:val="0"/>
            </w:pPr>
            <w:r>
              <w:rPr>
                <w:sz w:val="20"/>
              </w:rPr>
              <w:t xml:space="preserve">1</w:t>
            </w:r>
          </w:p>
        </w:tc>
        <w:tc>
          <w:tcPr>
            <w:tcW w:w="737" w:type="dxa"/>
          </w:tcPr>
          <w:p>
            <w:pPr>
              <w:pStyle w:val="0"/>
            </w:pPr>
            <w:r>
              <w:rPr>
                <w:sz w:val="20"/>
              </w:rPr>
              <w:t xml:space="preserve">1,1</w:t>
            </w:r>
          </w:p>
        </w:tc>
        <w:tc>
          <w:tcPr>
            <w:tcW w:w="737" w:type="dxa"/>
          </w:tcPr>
          <w:p>
            <w:pPr>
              <w:pStyle w:val="0"/>
            </w:pPr>
            <w:r>
              <w:rPr>
                <w:sz w:val="20"/>
              </w:rPr>
              <w:t xml:space="preserve">1,2</w:t>
            </w:r>
          </w:p>
        </w:tc>
        <w:tc>
          <w:tcPr>
            <w:tcW w:w="737" w:type="dxa"/>
          </w:tcPr>
          <w:p>
            <w:pPr>
              <w:pStyle w:val="0"/>
            </w:pPr>
            <w:r>
              <w:rPr>
                <w:sz w:val="20"/>
              </w:rPr>
              <w:t xml:space="preserve">1,2</w:t>
            </w:r>
          </w:p>
        </w:tc>
        <w:tc>
          <w:tcPr>
            <w:tcW w:w="737" w:type="dxa"/>
          </w:tcPr>
          <w:p>
            <w:pPr>
              <w:pStyle w:val="0"/>
            </w:pPr>
            <w:r>
              <w:rPr>
                <w:sz w:val="20"/>
              </w:rPr>
              <w:t xml:space="preserve">1,1</w:t>
            </w:r>
          </w:p>
        </w:tc>
        <w:tc>
          <w:tcPr>
            <w:tcW w:w="737" w:type="dxa"/>
          </w:tcPr>
          <w:p>
            <w:pPr>
              <w:pStyle w:val="0"/>
            </w:pPr>
            <w:r>
              <w:rPr>
                <w:sz w:val="20"/>
              </w:rPr>
              <w:t xml:space="preserve">1,4</w:t>
            </w:r>
          </w:p>
        </w:tc>
        <w:tc>
          <w:tcPr>
            <w:tcW w:w="737" w:type="dxa"/>
          </w:tcPr>
          <w:p>
            <w:pPr>
              <w:pStyle w:val="0"/>
            </w:pPr>
            <w:r>
              <w:rPr>
                <w:sz w:val="20"/>
              </w:rPr>
              <w:t xml:space="preserve">1,2</w:t>
            </w:r>
          </w:p>
        </w:tc>
        <w:tc>
          <w:tcPr>
            <w:tcW w:w="737" w:type="dxa"/>
          </w:tcPr>
          <w:p>
            <w:pPr>
              <w:pStyle w:val="0"/>
            </w:pPr>
            <w:r>
              <w:rPr>
                <w:sz w:val="20"/>
              </w:rPr>
              <w:t xml:space="preserve">1,3</w:t>
            </w:r>
          </w:p>
        </w:tc>
      </w:tr>
      <w:tr>
        <w:tc>
          <w:tcPr>
            <w:tcW w:w="2324" w:type="dxa"/>
          </w:tcPr>
          <w:p>
            <w:pPr>
              <w:pStyle w:val="0"/>
            </w:pPr>
            <w:r>
              <w:rPr>
                <w:sz w:val="20"/>
              </w:rPr>
              <w:t xml:space="preserve">Гортань</w:t>
            </w:r>
          </w:p>
        </w:tc>
        <w:tc>
          <w:tcPr>
            <w:tcW w:w="1361" w:type="dxa"/>
          </w:tcPr>
          <w:p>
            <w:pPr>
              <w:pStyle w:val="0"/>
            </w:pPr>
            <w:r>
              <w:rPr>
                <w:sz w:val="20"/>
              </w:rPr>
              <w:t xml:space="preserve">С 32</w:t>
            </w:r>
          </w:p>
        </w:tc>
        <w:tc>
          <w:tcPr>
            <w:tcW w:w="737" w:type="dxa"/>
          </w:tcPr>
          <w:p>
            <w:pPr>
              <w:pStyle w:val="0"/>
            </w:pPr>
            <w:r>
              <w:rPr>
                <w:sz w:val="20"/>
              </w:rPr>
              <w:t xml:space="preserve">5,6</w:t>
            </w:r>
          </w:p>
        </w:tc>
        <w:tc>
          <w:tcPr>
            <w:tcW w:w="737" w:type="dxa"/>
          </w:tcPr>
          <w:p>
            <w:pPr>
              <w:pStyle w:val="0"/>
            </w:pPr>
            <w:r>
              <w:rPr>
                <w:sz w:val="20"/>
              </w:rPr>
              <w:t xml:space="preserve">10,5</w:t>
            </w:r>
          </w:p>
        </w:tc>
        <w:tc>
          <w:tcPr>
            <w:tcW w:w="737" w:type="dxa"/>
          </w:tcPr>
          <w:p>
            <w:pPr>
              <w:pStyle w:val="0"/>
            </w:pPr>
            <w:r>
              <w:rPr>
                <w:sz w:val="20"/>
              </w:rPr>
              <w:t xml:space="preserve">6,1</w:t>
            </w:r>
          </w:p>
        </w:tc>
        <w:tc>
          <w:tcPr>
            <w:tcW w:w="737" w:type="dxa"/>
          </w:tcPr>
          <w:p>
            <w:pPr>
              <w:pStyle w:val="0"/>
            </w:pPr>
            <w:r>
              <w:rPr>
                <w:sz w:val="20"/>
              </w:rPr>
              <w:t xml:space="preserve">5,9</w:t>
            </w:r>
          </w:p>
        </w:tc>
        <w:tc>
          <w:tcPr>
            <w:tcW w:w="737" w:type="dxa"/>
          </w:tcPr>
          <w:p>
            <w:pPr>
              <w:pStyle w:val="0"/>
            </w:pPr>
            <w:r>
              <w:rPr>
                <w:sz w:val="20"/>
              </w:rPr>
              <w:t xml:space="preserve">7,6</w:t>
            </w:r>
          </w:p>
        </w:tc>
        <w:tc>
          <w:tcPr>
            <w:tcW w:w="737" w:type="dxa"/>
          </w:tcPr>
          <w:p>
            <w:pPr>
              <w:pStyle w:val="0"/>
            </w:pPr>
            <w:r>
              <w:rPr>
                <w:sz w:val="20"/>
              </w:rPr>
              <w:t xml:space="preserve">6,1</w:t>
            </w:r>
          </w:p>
        </w:tc>
        <w:tc>
          <w:tcPr>
            <w:tcW w:w="737" w:type="dxa"/>
          </w:tcPr>
          <w:p>
            <w:pPr>
              <w:pStyle w:val="0"/>
            </w:pPr>
            <w:r>
              <w:rPr>
                <w:sz w:val="20"/>
              </w:rPr>
              <w:t xml:space="preserve">6,1</w:t>
            </w:r>
          </w:p>
        </w:tc>
        <w:tc>
          <w:tcPr>
            <w:tcW w:w="737" w:type="dxa"/>
          </w:tcPr>
          <w:p>
            <w:pPr>
              <w:pStyle w:val="0"/>
            </w:pPr>
            <w:r>
              <w:rPr>
                <w:sz w:val="20"/>
              </w:rPr>
              <w:t xml:space="preserve">7,8</w:t>
            </w:r>
          </w:p>
        </w:tc>
        <w:tc>
          <w:tcPr>
            <w:tcW w:w="737" w:type="dxa"/>
          </w:tcPr>
          <w:p>
            <w:pPr>
              <w:pStyle w:val="0"/>
            </w:pPr>
            <w:r>
              <w:rPr>
                <w:sz w:val="20"/>
              </w:rPr>
              <w:t xml:space="preserve">6,4</w:t>
            </w:r>
          </w:p>
        </w:tc>
        <w:tc>
          <w:tcPr>
            <w:tcW w:w="737" w:type="dxa"/>
          </w:tcPr>
          <w:p>
            <w:pPr>
              <w:pStyle w:val="0"/>
            </w:pPr>
            <w:r>
              <w:rPr>
                <w:sz w:val="20"/>
              </w:rPr>
              <w:t xml:space="preserve">6,2</w:t>
            </w:r>
          </w:p>
        </w:tc>
      </w:tr>
      <w:tr>
        <w:tc>
          <w:tcPr>
            <w:tcW w:w="2324" w:type="dxa"/>
          </w:tcPr>
          <w:p>
            <w:pPr>
              <w:pStyle w:val="0"/>
            </w:pPr>
            <w:r>
              <w:rPr>
                <w:sz w:val="20"/>
              </w:rPr>
              <w:t xml:space="preserve">Трахея, бронхи, легкое</w:t>
            </w:r>
          </w:p>
        </w:tc>
        <w:tc>
          <w:tcPr>
            <w:tcW w:w="1361" w:type="dxa"/>
          </w:tcPr>
          <w:p>
            <w:pPr>
              <w:pStyle w:val="0"/>
            </w:pPr>
            <w:r>
              <w:rPr>
                <w:sz w:val="20"/>
              </w:rPr>
              <w:t xml:space="preserve">С 33, С 34</w:t>
            </w:r>
          </w:p>
        </w:tc>
        <w:tc>
          <w:tcPr>
            <w:tcW w:w="737" w:type="dxa"/>
          </w:tcPr>
          <w:p>
            <w:pPr>
              <w:pStyle w:val="0"/>
            </w:pPr>
            <w:r>
              <w:rPr>
                <w:sz w:val="20"/>
              </w:rPr>
              <w:t xml:space="preserve">2,9</w:t>
            </w:r>
          </w:p>
        </w:tc>
        <w:tc>
          <w:tcPr>
            <w:tcW w:w="737" w:type="dxa"/>
          </w:tcPr>
          <w:p>
            <w:pPr>
              <w:pStyle w:val="0"/>
            </w:pPr>
            <w:r>
              <w:rPr>
                <w:sz w:val="20"/>
              </w:rPr>
              <w:t xml:space="preserve">2,7</w:t>
            </w:r>
          </w:p>
        </w:tc>
        <w:tc>
          <w:tcPr>
            <w:tcW w:w="737" w:type="dxa"/>
          </w:tcPr>
          <w:p>
            <w:pPr>
              <w:pStyle w:val="0"/>
            </w:pPr>
            <w:r>
              <w:rPr>
                <w:sz w:val="20"/>
              </w:rPr>
              <w:t xml:space="preserve">3</w:t>
            </w:r>
          </w:p>
        </w:tc>
        <w:tc>
          <w:tcPr>
            <w:tcW w:w="737" w:type="dxa"/>
          </w:tcPr>
          <w:p>
            <w:pPr>
              <w:pStyle w:val="0"/>
            </w:pPr>
            <w:r>
              <w:rPr>
                <w:sz w:val="20"/>
              </w:rPr>
              <w:t xml:space="preserve">2,3</w:t>
            </w:r>
          </w:p>
        </w:tc>
        <w:tc>
          <w:tcPr>
            <w:tcW w:w="737" w:type="dxa"/>
          </w:tcPr>
          <w:p>
            <w:pPr>
              <w:pStyle w:val="0"/>
            </w:pPr>
            <w:r>
              <w:rPr>
                <w:sz w:val="20"/>
              </w:rPr>
              <w:t xml:space="preserve">2,5</w:t>
            </w:r>
          </w:p>
        </w:tc>
        <w:tc>
          <w:tcPr>
            <w:tcW w:w="737" w:type="dxa"/>
          </w:tcPr>
          <w:p>
            <w:pPr>
              <w:pStyle w:val="0"/>
            </w:pPr>
            <w:r>
              <w:rPr>
                <w:sz w:val="20"/>
              </w:rPr>
              <w:t xml:space="preserve">2,8</w:t>
            </w:r>
          </w:p>
        </w:tc>
        <w:tc>
          <w:tcPr>
            <w:tcW w:w="737" w:type="dxa"/>
          </w:tcPr>
          <w:p>
            <w:pPr>
              <w:pStyle w:val="0"/>
            </w:pPr>
            <w:r>
              <w:rPr>
                <w:sz w:val="20"/>
              </w:rPr>
              <w:t xml:space="preserve">2,7</w:t>
            </w:r>
          </w:p>
        </w:tc>
        <w:tc>
          <w:tcPr>
            <w:tcW w:w="737" w:type="dxa"/>
          </w:tcPr>
          <w:p>
            <w:pPr>
              <w:pStyle w:val="0"/>
            </w:pPr>
            <w:r>
              <w:rPr>
                <w:sz w:val="20"/>
              </w:rPr>
              <w:t xml:space="preserve">2,9</w:t>
            </w:r>
          </w:p>
        </w:tc>
        <w:tc>
          <w:tcPr>
            <w:tcW w:w="737" w:type="dxa"/>
          </w:tcPr>
          <w:p>
            <w:pPr>
              <w:pStyle w:val="0"/>
            </w:pPr>
            <w:r>
              <w:rPr>
                <w:sz w:val="20"/>
              </w:rPr>
              <w:t xml:space="preserve">2,9</w:t>
            </w:r>
          </w:p>
        </w:tc>
        <w:tc>
          <w:tcPr>
            <w:tcW w:w="737" w:type="dxa"/>
          </w:tcPr>
          <w:p>
            <w:pPr>
              <w:pStyle w:val="0"/>
            </w:pPr>
            <w:r>
              <w:rPr>
                <w:sz w:val="20"/>
              </w:rPr>
              <w:t xml:space="preserve">3,3</w:t>
            </w:r>
          </w:p>
        </w:tc>
      </w:tr>
      <w:tr>
        <w:tc>
          <w:tcPr>
            <w:tcW w:w="2324" w:type="dxa"/>
          </w:tcPr>
          <w:p>
            <w:pPr>
              <w:pStyle w:val="0"/>
            </w:pPr>
            <w:r>
              <w:rPr>
                <w:sz w:val="20"/>
              </w:rPr>
              <w:t xml:space="preserve">Кости и суставные хрящи</w:t>
            </w:r>
          </w:p>
        </w:tc>
        <w:tc>
          <w:tcPr>
            <w:tcW w:w="1361" w:type="dxa"/>
          </w:tcPr>
          <w:p>
            <w:pPr>
              <w:pStyle w:val="0"/>
            </w:pPr>
            <w:r>
              <w:rPr>
                <w:sz w:val="20"/>
              </w:rPr>
              <w:t xml:space="preserve">С40, С41</w:t>
            </w:r>
          </w:p>
        </w:tc>
        <w:tc>
          <w:tcPr>
            <w:tcW w:w="737" w:type="dxa"/>
          </w:tcPr>
          <w:p>
            <w:pPr>
              <w:pStyle w:val="0"/>
            </w:pPr>
            <w:r>
              <w:rPr>
                <w:sz w:val="20"/>
              </w:rPr>
              <w:t xml:space="preserve">11,1</w:t>
            </w:r>
          </w:p>
        </w:tc>
        <w:tc>
          <w:tcPr>
            <w:tcW w:w="737" w:type="dxa"/>
          </w:tcPr>
          <w:p>
            <w:pPr>
              <w:pStyle w:val="0"/>
            </w:pPr>
            <w:r>
              <w:rPr>
                <w:sz w:val="20"/>
              </w:rPr>
              <w:t xml:space="preserve">16,1</w:t>
            </w:r>
          </w:p>
        </w:tc>
        <w:tc>
          <w:tcPr>
            <w:tcW w:w="737" w:type="dxa"/>
          </w:tcPr>
          <w:p>
            <w:pPr>
              <w:pStyle w:val="0"/>
            </w:pPr>
            <w:r>
              <w:rPr>
                <w:sz w:val="20"/>
              </w:rPr>
              <w:t xml:space="preserve">11,5</w:t>
            </w:r>
          </w:p>
        </w:tc>
        <w:tc>
          <w:tcPr>
            <w:tcW w:w="737" w:type="dxa"/>
          </w:tcPr>
          <w:p>
            <w:pPr>
              <w:pStyle w:val="0"/>
            </w:pPr>
            <w:r>
              <w:rPr>
                <w:sz w:val="20"/>
              </w:rPr>
              <w:t xml:space="preserve">16,4</w:t>
            </w:r>
          </w:p>
        </w:tc>
        <w:tc>
          <w:tcPr>
            <w:tcW w:w="737" w:type="dxa"/>
          </w:tcPr>
          <w:p>
            <w:pPr>
              <w:pStyle w:val="0"/>
            </w:pPr>
            <w:r>
              <w:rPr>
                <w:sz w:val="20"/>
              </w:rPr>
              <w:t xml:space="preserve">15,1</w:t>
            </w:r>
          </w:p>
        </w:tc>
        <w:tc>
          <w:tcPr>
            <w:tcW w:w="737" w:type="dxa"/>
          </w:tcPr>
          <w:p>
            <w:pPr>
              <w:pStyle w:val="0"/>
            </w:pPr>
            <w:r>
              <w:rPr>
                <w:sz w:val="20"/>
              </w:rPr>
              <w:t xml:space="preserve">8,7</w:t>
            </w:r>
          </w:p>
        </w:tc>
        <w:tc>
          <w:tcPr>
            <w:tcW w:w="737" w:type="dxa"/>
          </w:tcPr>
          <w:p>
            <w:pPr>
              <w:pStyle w:val="0"/>
            </w:pPr>
            <w:r>
              <w:rPr>
                <w:sz w:val="20"/>
              </w:rPr>
              <w:t xml:space="preserve">13,2</w:t>
            </w:r>
          </w:p>
        </w:tc>
        <w:tc>
          <w:tcPr>
            <w:tcW w:w="737" w:type="dxa"/>
          </w:tcPr>
          <w:p>
            <w:pPr>
              <w:pStyle w:val="0"/>
            </w:pPr>
            <w:r>
              <w:rPr>
                <w:sz w:val="20"/>
              </w:rPr>
              <w:t xml:space="preserve">10,9</w:t>
            </w:r>
          </w:p>
        </w:tc>
        <w:tc>
          <w:tcPr>
            <w:tcW w:w="737" w:type="dxa"/>
          </w:tcPr>
          <w:p>
            <w:pPr>
              <w:pStyle w:val="0"/>
            </w:pPr>
            <w:r>
              <w:rPr>
                <w:sz w:val="20"/>
              </w:rPr>
              <w:t xml:space="preserve">12,9</w:t>
            </w:r>
          </w:p>
        </w:tc>
        <w:tc>
          <w:tcPr>
            <w:tcW w:w="737" w:type="dxa"/>
          </w:tcPr>
          <w:p>
            <w:pPr>
              <w:pStyle w:val="0"/>
            </w:pPr>
            <w:r>
              <w:rPr>
                <w:sz w:val="20"/>
              </w:rPr>
              <w:t xml:space="preserve">8,6</w:t>
            </w:r>
          </w:p>
        </w:tc>
      </w:tr>
      <w:tr>
        <w:tc>
          <w:tcPr>
            <w:tcW w:w="2324" w:type="dxa"/>
          </w:tcPr>
          <w:p>
            <w:pPr>
              <w:pStyle w:val="0"/>
            </w:pPr>
            <w:r>
              <w:rPr>
                <w:sz w:val="20"/>
              </w:rPr>
              <w:t xml:space="preserve">Меланома кожи</w:t>
            </w:r>
          </w:p>
        </w:tc>
        <w:tc>
          <w:tcPr>
            <w:tcW w:w="1361" w:type="dxa"/>
          </w:tcPr>
          <w:p>
            <w:pPr>
              <w:pStyle w:val="0"/>
            </w:pPr>
            <w:r>
              <w:rPr>
                <w:sz w:val="20"/>
              </w:rPr>
              <w:t xml:space="preserve">С 43</w:t>
            </w:r>
          </w:p>
        </w:tc>
        <w:tc>
          <w:tcPr>
            <w:tcW w:w="737" w:type="dxa"/>
          </w:tcPr>
          <w:p>
            <w:pPr>
              <w:pStyle w:val="0"/>
            </w:pPr>
            <w:r>
              <w:rPr>
                <w:sz w:val="20"/>
              </w:rPr>
              <w:t xml:space="preserve">7,3</w:t>
            </w:r>
          </w:p>
        </w:tc>
        <w:tc>
          <w:tcPr>
            <w:tcW w:w="737" w:type="dxa"/>
          </w:tcPr>
          <w:p>
            <w:pPr>
              <w:pStyle w:val="0"/>
            </w:pPr>
            <w:r>
              <w:rPr>
                <w:sz w:val="20"/>
              </w:rPr>
              <w:t xml:space="preserve">8,3</w:t>
            </w:r>
          </w:p>
        </w:tc>
        <w:tc>
          <w:tcPr>
            <w:tcW w:w="737" w:type="dxa"/>
          </w:tcPr>
          <w:p>
            <w:pPr>
              <w:pStyle w:val="0"/>
            </w:pPr>
            <w:r>
              <w:rPr>
                <w:sz w:val="20"/>
              </w:rPr>
              <w:t xml:space="preserve">8,8</w:t>
            </w:r>
          </w:p>
        </w:tc>
        <w:tc>
          <w:tcPr>
            <w:tcW w:w="737" w:type="dxa"/>
          </w:tcPr>
          <w:p>
            <w:pPr>
              <w:pStyle w:val="0"/>
            </w:pPr>
            <w:r>
              <w:rPr>
                <w:sz w:val="20"/>
              </w:rPr>
              <w:t xml:space="preserve">8,7</w:t>
            </w:r>
          </w:p>
        </w:tc>
        <w:tc>
          <w:tcPr>
            <w:tcW w:w="737" w:type="dxa"/>
          </w:tcPr>
          <w:p>
            <w:pPr>
              <w:pStyle w:val="0"/>
            </w:pPr>
            <w:r>
              <w:rPr>
                <w:sz w:val="20"/>
              </w:rPr>
              <w:t xml:space="preserve">10,5</w:t>
            </w:r>
          </w:p>
        </w:tc>
        <w:tc>
          <w:tcPr>
            <w:tcW w:w="737" w:type="dxa"/>
          </w:tcPr>
          <w:p>
            <w:pPr>
              <w:pStyle w:val="0"/>
            </w:pPr>
            <w:r>
              <w:rPr>
                <w:sz w:val="20"/>
              </w:rPr>
              <w:t xml:space="preserve">9,1</w:t>
            </w:r>
          </w:p>
        </w:tc>
        <w:tc>
          <w:tcPr>
            <w:tcW w:w="737" w:type="dxa"/>
          </w:tcPr>
          <w:p>
            <w:pPr>
              <w:pStyle w:val="0"/>
            </w:pPr>
            <w:r>
              <w:rPr>
                <w:sz w:val="20"/>
              </w:rPr>
              <w:t xml:space="preserve">11</w:t>
            </w:r>
          </w:p>
        </w:tc>
        <w:tc>
          <w:tcPr>
            <w:tcW w:w="737" w:type="dxa"/>
          </w:tcPr>
          <w:p>
            <w:pPr>
              <w:pStyle w:val="0"/>
            </w:pPr>
            <w:r>
              <w:rPr>
                <w:sz w:val="20"/>
              </w:rPr>
              <w:t xml:space="preserve">9,4</w:t>
            </w:r>
          </w:p>
        </w:tc>
        <w:tc>
          <w:tcPr>
            <w:tcW w:w="737" w:type="dxa"/>
          </w:tcPr>
          <w:p>
            <w:pPr>
              <w:pStyle w:val="0"/>
            </w:pPr>
            <w:r>
              <w:rPr>
                <w:sz w:val="20"/>
              </w:rPr>
              <w:t xml:space="preserve">11,8</w:t>
            </w:r>
          </w:p>
        </w:tc>
        <w:tc>
          <w:tcPr>
            <w:tcW w:w="737" w:type="dxa"/>
          </w:tcPr>
          <w:p>
            <w:pPr>
              <w:pStyle w:val="0"/>
            </w:pPr>
            <w:r>
              <w:rPr>
                <w:sz w:val="20"/>
              </w:rPr>
              <w:t xml:space="preserve">10,8</w:t>
            </w:r>
          </w:p>
        </w:tc>
      </w:tr>
      <w:tr>
        <w:tc>
          <w:tcPr>
            <w:tcW w:w="2324" w:type="dxa"/>
          </w:tcPr>
          <w:p>
            <w:pPr>
              <w:pStyle w:val="0"/>
            </w:pPr>
            <w:r>
              <w:rPr>
                <w:sz w:val="20"/>
              </w:rPr>
              <w:t xml:space="preserve">Другие новообразов. кожи</w:t>
            </w:r>
          </w:p>
        </w:tc>
        <w:tc>
          <w:tcPr>
            <w:tcW w:w="1361" w:type="dxa"/>
          </w:tcPr>
          <w:p>
            <w:pPr>
              <w:pStyle w:val="0"/>
            </w:pPr>
            <w:r>
              <w:rPr>
                <w:sz w:val="20"/>
              </w:rPr>
              <w:t xml:space="preserve">С 44</w:t>
            </w:r>
          </w:p>
        </w:tc>
        <w:tc>
          <w:tcPr>
            <w:tcW w:w="737" w:type="dxa"/>
          </w:tcPr>
          <w:p>
            <w:pPr>
              <w:pStyle w:val="0"/>
            </w:pPr>
            <w:r>
              <w:rPr>
                <w:sz w:val="20"/>
              </w:rPr>
              <w:t xml:space="preserve">7,8</w:t>
            </w:r>
          </w:p>
        </w:tc>
        <w:tc>
          <w:tcPr>
            <w:tcW w:w="737" w:type="dxa"/>
          </w:tcPr>
          <w:p>
            <w:pPr>
              <w:pStyle w:val="0"/>
            </w:pPr>
            <w:r>
              <w:rPr>
                <w:sz w:val="20"/>
              </w:rPr>
              <w:t xml:space="preserve">7,5</w:t>
            </w:r>
          </w:p>
        </w:tc>
        <w:tc>
          <w:tcPr>
            <w:tcW w:w="737" w:type="dxa"/>
          </w:tcPr>
          <w:p>
            <w:pPr>
              <w:pStyle w:val="0"/>
            </w:pPr>
            <w:r>
              <w:rPr>
                <w:sz w:val="20"/>
              </w:rPr>
              <w:t xml:space="preserve">7,1</w:t>
            </w:r>
          </w:p>
        </w:tc>
        <w:tc>
          <w:tcPr>
            <w:tcW w:w="737" w:type="dxa"/>
          </w:tcPr>
          <w:p>
            <w:pPr>
              <w:pStyle w:val="0"/>
            </w:pPr>
            <w:r>
              <w:rPr>
                <w:sz w:val="20"/>
              </w:rPr>
              <w:t xml:space="preserve">6,1</w:t>
            </w:r>
          </w:p>
        </w:tc>
        <w:tc>
          <w:tcPr>
            <w:tcW w:w="737" w:type="dxa"/>
          </w:tcPr>
          <w:p>
            <w:pPr>
              <w:pStyle w:val="0"/>
            </w:pPr>
            <w:r>
              <w:rPr>
                <w:sz w:val="20"/>
              </w:rPr>
              <w:t xml:space="preserve">6,5</w:t>
            </w:r>
          </w:p>
        </w:tc>
        <w:tc>
          <w:tcPr>
            <w:tcW w:w="737" w:type="dxa"/>
          </w:tcPr>
          <w:p>
            <w:pPr>
              <w:pStyle w:val="0"/>
            </w:pPr>
            <w:r>
              <w:rPr>
                <w:sz w:val="20"/>
              </w:rPr>
              <w:t xml:space="preserve">6,2</w:t>
            </w:r>
          </w:p>
        </w:tc>
        <w:tc>
          <w:tcPr>
            <w:tcW w:w="737" w:type="dxa"/>
          </w:tcPr>
          <w:p>
            <w:pPr>
              <w:pStyle w:val="0"/>
            </w:pPr>
            <w:r>
              <w:rPr>
                <w:sz w:val="20"/>
              </w:rPr>
              <w:t xml:space="preserve">6,5</w:t>
            </w:r>
          </w:p>
        </w:tc>
        <w:tc>
          <w:tcPr>
            <w:tcW w:w="737" w:type="dxa"/>
          </w:tcPr>
          <w:p>
            <w:pPr>
              <w:pStyle w:val="0"/>
            </w:pPr>
            <w:r>
              <w:rPr>
                <w:sz w:val="20"/>
              </w:rPr>
              <w:t xml:space="preserve">6,1</w:t>
            </w:r>
          </w:p>
        </w:tc>
        <w:tc>
          <w:tcPr>
            <w:tcW w:w="737" w:type="dxa"/>
          </w:tcPr>
          <w:p>
            <w:pPr>
              <w:pStyle w:val="0"/>
            </w:pPr>
            <w:r>
              <w:rPr>
                <w:sz w:val="20"/>
              </w:rPr>
              <w:t xml:space="preserve">5,8</w:t>
            </w:r>
          </w:p>
        </w:tc>
        <w:tc>
          <w:tcPr>
            <w:tcW w:w="737" w:type="dxa"/>
          </w:tcPr>
          <w:p>
            <w:pPr>
              <w:pStyle w:val="0"/>
            </w:pPr>
            <w:r>
              <w:rPr>
                <w:sz w:val="20"/>
              </w:rPr>
              <w:t xml:space="preserve">5,9</w:t>
            </w:r>
          </w:p>
        </w:tc>
      </w:tr>
      <w:tr>
        <w:tc>
          <w:tcPr>
            <w:tcW w:w="2324" w:type="dxa"/>
          </w:tcPr>
          <w:p>
            <w:pPr>
              <w:pStyle w:val="0"/>
            </w:pPr>
            <w:r>
              <w:rPr>
                <w:sz w:val="20"/>
              </w:rPr>
              <w:t xml:space="preserve">Соединит. и др. мягкие ткани</w:t>
            </w:r>
          </w:p>
        </w:tc>
        <w:tc>
          <w:tcPr>
            <w:tcW w:w="1361" w:type="dxa"/>
          </w:tcPr>
          <w:p>
            <w:pPr>
              <w:pStyle w:val="0"/>
            </w:pPr>
            <w:r>
              <w:rPr>
                <w:sz w:val="20"/>
              </w:rPr>
              <w:t xml:space="preserve">С 47, С 49</w:t>
            </w:r>
          </w:p>
        </w:tc>
        <w:tc>
          <w:tcPr>
            <w:tcW w:w="737" w:type="dxa"/>
          </w:tcPr>
          <w:p>
            <w:pPr>
              <w:pStyle w:val="0"/>
            </w:pPr>
            <w:r>
              <w:rPr>
                <w:sz w:val="20"/>
              </w:rPr>
              <w:t xml:space="preserve">7,4</w:t>
            </w:r>
          </w:p>
        </w:tc>
        <w:tc>
          <w:tcPr>
            <w:tcW w:w="737" w:type="dxa"/>
          </w:tcPr>
          <w:p>
            <w:pPr>
              <w:pStyle w:val="0"/>
            </w:pPr>
            <w:r>
              <w:rPr>
                <w:sz w:val="20"/>
              </w:rPr>
              <w:t xml:space="preserve">7,8</w:t>
            </w:r>
          </w:p>
        </w:tc>
        <w:tc>
          <w:tcPr>
            <w:tcW w:w="737" w:type="dxa"/>
          </w:tcPr>
          <w:p>
            <w:pPr>
              <w:pStyle w:val="0"/>
            </w:pPr>
            <w:r>
              <w:rPr>
                <w:sz w:val="20"/>
              </w:rPr>
              <w:t xml:space="preserve">6,9</w:t>
            </w:r>
          </w:p>
        </w:tc>
        <w:tc>
          <w:tcPr>
            <w:tcW w:w="737" w:type="dxa"/>
          </w:tcPr>
          <w:p>
            <w:pPr>
              <w:pStyle w:val="0"/>
            </w:pPr>
            <w:r>
              <w:rPr>
                <w:sz w:val="20"/>
              </w:rPr>
              <w:t xml:space="preserve">7,9</w:t>
            </w:r>
          </w:p>
        </w:tc>
        <w:tc>
          <w:tcPr>
            <w:tcW w:w="737" w:type="dxa"/>
          </w:tcPr>
          <w:p>
            <w:pPr>
              <w:pStyle w:val="0"/>
            </w:pPr>
            <w:r>
              <w:rPr>
                <w:sz w:val="20"/>
              </w:rPr>
              <w:t xml:space="preserve">13,1</w:t>
            </w:r>
          </w:p>
        </w:tc>
        <w:tc>
          <w:tcPr>
            <w:tcW w:w="737" w:type="dxa"/>
          </w:tcPr>
          <w:p>
            <w:pPr>
              <w:pStyle w:val="0"/>
            </w:pPr>
            <w:r>
              <w:rPr>
                <w:sz w:val="20"/>
              </w:rPr>
              <w:t xml:space="preserve">7,9</w:t>
            </w:r>
          </w:p>
        </w:tc>
        <w:tc>
          <w:tcPr>
            <w:tcW w:w="737" w:type="dxa"/>
          </w:tcPr>
          <w:p>
            <w:pPr>
              <w:pStyle w:val="0"/>
            </w:pPr>
            <w:r>
              <w:rPr>
                <w:sz w:val="20"/>
              </w:rPr>
              <w:t xml:space="preserve">9,5</w:t>
            </w:r>
          </w:p>
        </w:tc>
        <w:tc>
          <w:tcPr>
            <w:tcW w:w="737" w:type="dxa"/>
          </w:tcPr>
          <w:p>
            <w:pPr>
              <w:pStyle w:val="0"/>
            </w:pPr>
            <w:r>
              <w:rPr>
                <w:sz w:val="20"/>
              </w:rPr>
              <w:t xml:space="preserve">7,3</w:t>
            </w:r>
          </w:p>
        </w:tc>
        <w:tc>
          <w:tcPr>
            <w:tcW w:w="737" w:type="dxa"/>
          </w:tcPr>
          <w:p>
            <w:pPr>
              <w:pStyle w:val="0"/>
            </w:pPr>
            <w:r>
              <w:rPr>
                <w:sz w:val="20"/>
              </w:rPr>
              <w:t xml:space="preserve">6,8</w:t>
            </w:r>
          </w:p>
        </w:tc>
        <w:tc>
          <w:tcPr>
            <w:tcW w:w="737" w:type="dxa"/>
          </w:tcPr>
          <w:p>
            <w:pPr>
              <w:pStyle w:val="0"/>
            </w:pPr>
            <w:r>
              <w:rPr>
                <w:sz w:val="20"/>
              </w:rPr>
              <w:t xml:space="preserve">9,0</w:t>
            </w:r>
          </w:p>
        </w:tc>
      </w:tr>
      <w:tr>
        <w:tc>
          <w:tcPr>
            <w:tcW w:w="2324" w:type="dxa"/>
          </w:tcPr>
          <w:p>
            <w:pPr>
              <w:pStyle w:val="0"/>
            </w:pPr>
            <w:r>
              <w:rPr>
                <w:sz w:val="20"/>
              </w:rPr>
              <w:t xml:space="preserve">Молочная железа</w:t>
            </w:r>
          </w:p>
        </w:tc>
        <w:tc>
          <w:tcPr>
            <w:tcW w:w="1361" w:type="dxa"/>
          </w:tcPr>
          <w:p>
            <w:pPr>
              <w:pStyle w:val="0"/>
            </w:pPr>
            <w:r>
              <w:rPr>
                <w:sz w:val="20"/>
              </w:rPr>
              <w:t xml:space="preserve">С 50</w:t>
            </w:r>
          </w:p>
        </w:tc>
        <w:tc>
          <w:tcPr>
            <w:tcW w:w="737" w:type="dxa"/>
          </w:tcPr>
          <w:p>
            <w:pPr>
              <w:pStyle w:val="0"/>
            </w:pPr>
            <w:r>
              <w:rPr>
                <w:sz w:val="20"/>
              </w:rPr>
              <w:t xml:space="preserve">8</w:t>
            </w:r>
          </w:p>
        </w:tc>
        <w:tc>
          <w:tcPr>
            <w:tcW w:w="737" w:type="dxa"/>
          </w:tcPr>
          <w:p>
            <w:pPr>
              <w:pStyle w:val="0"/>
            </w:pPr>
            <w:r>
              <w:rPr>
                <w:sz w:val="20"/>
              </w:rPr>
              <w:t xml:space="preserve">8,5</w:t>
            </w:r>
          </w:p>
        </w:tc>
        <w:tc>
          <w:tcPr>
            <w:tcW w:w="737" w:type="dxa"/>
          </w:tcPr>
          <w:p>
            <w:pPr>
              <w:pStyle w:val="0"/>
            </w:pPr>
            <w:r>
              <w:rPr>
                <w:sz w:val="20"/>
              </w:rPr>
              <w:t xml:space="preserve">8,4</w:t>
            </w:r>
          </w:p>
        </w:tc>
        <w:tc>
          <w:tcPr>
            <w:tcW w:w="737" w:type="dxa"/>
          </w:tcPr>
          <w:p>
            <w:pPr>
              <w:pStyle w:val="0"/>
            </w:pPr>
            <w:r>
              <w:rPr>
                <w:sz w:val="20"/>
              </w:rPr>
              <w:t xml:space="preserve">9,4</w:t>
            </w:r>
          </w:p>
        </w:tc>
        <w:tc>
          <w:tcPr>
            <w:tcW w:w="737" w:type="dxa"/>
          </w:tcPr>
          <w:p>
            <w:pPr>
              <w:pStyle w:val="0"/>
            </w:pPr>
            <w:r>
              <w:rPr>
                <w:sz w:val="20"/>
              </w:rPr>
              <w:t xml:space="preserve">9,2</w:t>
            </w:r>
          </w:p>
        </w:tc>
        <w:tc>
          <w:tcPr>
            <w:tcW w:w="737" w:type="dxa"/>
          </w:tcPr>
          <w:p>
            <w:pPr>
              <w:pStyle w:val="0"/>
            </w:pPr>
            <w:r>
              <w:rPr>
                <w:sz w:val="20"/>
              </w:rPr>
              <w:t xml:space="preserve">9,2</w:t>
            </w:r>
          </w:p>
        </w:tc>
        <w:tc>
          <w:tcPr>
            <w:tcW w:w="737" w:type="dxa"/>
          </w:tcPr>
          <w:p>
            <w:pPr>
              <w:pStyle w:val="0"/>
            </w:pPr>
            <w:r>
              <w:rPr>
                <w:sz w:val="20"/>
              </w:rPr>
              <w:t xml:space="preserve">9,2</w:t>
            </w:r>
          </w:p>
        </w:tc>
        <w:tc>
          <w:tcPr>
            <w:tcW w:w="737" w:type="dxa"/>
          </w:tcPr>
          <w:p>
            <w:pPr>
              <w:pStyle w:val="0"/>
            </w:pPr>
            <w:r>
              <w:rPr>
                <w:sz w:val="20"/>
              </w:rPr>
              <w:t xml:space="preserve">9,7</w:t>
            </w:r>
          </w:p>
        </w:tc>
        <w:tc>
          <w:tcPr>
            <w:tcW w:w="737" w:type="dxa"/>
          </w:tcPr>
          <w:p>
            <w:pPr>
              <w:pStyle w:val="0"/>
            </w:pPr>
            <w:r>
              <w:rPr>
                <w:sz w:val="20"/>
              </w:rPr>
              <w:t xml:space="preserve">10,1</w:t>
            </w:r>
          </w:p>
        </w:tc>
        <w:tc>
          <w:tcPr>
            <w:tcW w:w="737" w:type="dxa"/>
          </w:tcPr>
          <w:p>
            <w:pPr>
              <w:pStyle w:val="0"/>
            </w:pPr>
            <w:r>
              <w:rPr>
                <w:sz w:val="20"/>
              </w:rPr>
              <w:t xml:space="preserve">10,2</w:t>
            </w:r>
          </w:p>
        </w:tc>
      </w:tr>
      <w:tr>
        <w:tc>
          <w:tcPr>
            <w:tcW w:w="2324" w:type="dxa"/>
          </w:tcPr>
          <w:p>
            <w:pPr>
              <w:pStyle w:val="0"/>
            </w:pPr>
            <w:r>
              <w:rPr>
                <w:sz w:val="20"/>
              </w:rPr>
              <w:t xml:space="preserve">Шейка матки</w:t>
            </w:r>
          </w:p>
        </w:tc>
        <w:tc>
          <w:tcPr>
            <w:tcW w:w="1361" w:type="dxa"/>
          </w:tcPr>
          <w:p>
            <w:pPr>
              <w:pStyle w:val="0"/>
            </w:pPr>
            <w:r>
              <w:rPr>
                <w:sz w:val="20"/>
              </w:rPr>
              <w:t xml:space="preserve">С 53</w:t>
            </w:r>
          </w:p>
        </w:tc>
        <w:tc>
          <w:tcPr>
            <w:tcW w:w="737" w:type="dxa"/>
          </w:tcPr>
          <w:p>
            <w:pPr>
              <w:pStyle w:val="0"/>
            </w:pPr>
            <w:r>
              <w:rPr>
                <w:sz w:val="20"/>
              </w:rPr>
              <w:t xml:space="preserve">10,1</w:t>
            </w:r>
          </w:p>
        </w:tc>
        <w:tc>
          <w:tcPr>
            <w:tcW w:w="737" w:type="dxa"/>
          </w:tcPr>
          <w:p>
            <w:pPr>
              <w:pStyle w:val="0"/>
            </w:pPr>
            <w:r>
              <w:rPr>
                <w:sz w:val="20"/>
              </w:rPr>
              <w:t xml:space="preserve">14</w:t>
            </w:r>
          </w:p>
        </w:tc>
        <w:tc>
          <w:tcPr>
            <w:tcW w:w="737" w:type="dxa"/>
          </w:tcPr>
          <w:p>
            <w:pPr>
              <w:pStyle w:val="0"/>
            </w:pPr>
            <w:r>
              <w:rPr>
                <w:sz w:val="20"/>
              </w:rPr>
              <w:t xml:space="preserve">16</w:t>
            </w:r>
          </w:p>
        </w:tc>
        <w:tc>
          <w:tcPr>
            <w:tcW w:w="737" w:type="dxa"/>
          </w:tcPr>
          <w:p>
            <w:pPr>
              <w:pStyle w:val="0"/>
            </w:pPr>
            <w:r>
              <w:rPr>
                <w:sz w:val="20"/>
              </w:rPr>
              <w:t xml:space="preserve">10,7</w:t>
            </w:r>
          </w:p>
        </w:tc>
        <w:tc>
          <w:tcPr>
            <w:tcW w:w="737" w:type="dxa"/>
          </w:tcPr>
          <w:p>
            <w:pPr>
              <w:pStyle w:val="0"/>
            </w:pPr>
            <w:r>
              <w:rPr>
                <w:sz w:val="20"/>
              </w:rPr>
              <w:t xml:space="preserve">11,2</w:t>
            </w:r>
          </w:p>
        </w:tc>
        <w:tc>
          <w:tcPr>
            <w:tcW w:w="737" w:type="dxa"/>
          </w:tcPr>
          <w:p>
            <w:pPr>
              <w:pStyle w:val="0"/>
            </w:pPr>
            <w:r>
              <w:rPr>
                <w:sz w:val="20"/>
              </w:rPr>
              <w:t xml:space="preserve">11,8</w:t>
            </w:r>
          </w:p>
        </w:tc>
        <w:tc>
          <w:tcPr>
            <w:tcW w:w="737" w:type="dxa"/>
          </w:tcPr>
          <w:p>
            <w:pPr>
              <w:pStyle w:val="0"/>
            </w:pPr>
            <w:r>
              <w:rPr>
                <w:sz w:val="20"/>
              </w:rPr>
              <w:t xml:space="preserve">12,5</w:t>
            </w:r>
          </w:p>
        </w:tc>
        <w:tc>
          <w:tcPr>
            <w:tcW w:w="737" w:type="dxa"/>
          </w:tcPr>
          <w:p>
            <w:pPr>
              <w:pStyle w:val="0"/>
            </w:pPr>
            <w:r>
              <w:rPr>
                <w:sz w:val="20"/>
              </w:rPr>
              <w:t xml:space="preserve">13,3</w:t>
            </w:r>
          </w:p>
        </w:tc>
        <w:tc>
          <w:tcPr>
            <w:tcW w:w="737" w:type="dxa"/>
          </w:tcPr>
          <w:p>
            <w:pPr>
              <w:pStyle w:val="0"/>
            </w:pPr>
            <w:r>
              <w:rPr>
                <w:sz w:val="20"/>
              </w:rPr>
              <w:t xml:space="preserve">11,9</w:t>
            </w:r>
          </w:p>
        </w:tc>
        <w:tc>
          <w:tcPr>
            <w:tcW w:w="737" w:type="dxa"/>
          </w:tcPr>
          <w:p>
            <w:pPr>
              <w:pStyle w:val="0"/>
            </w:pPr>
            <w:r>
              <w:rPr>
                <w:sz w:val="20"/>
              </w:rPr>
              <w:t xml:space="preserve">18,0</w:t>
            </w:r>
          </w:p>
        </w:tc>
      </w:tr>
      <w:tr>
        <w:tc>
          <w:tcPr>
            <w:tcW w:w="2324" w:type="dxa"/>
          </w:tcPr>
          <w:p>
            <w:pPr>
              <w:pStyle w:val="0"/>
            </w:pPr>
            <w:r>
              <w:rPr>
                <w:sz w:val="20"/>
              </w:rPr>
              <w:t xml:space="preserve">Тела матки</w:t>
            </w:r>
          </w:p>
        </w:tc>
        <w:tc>
          <w:tcPr>
            <w:tcW w:w="1361" w:type="dxa"/>
          </w:tcPr>
          <w:p>
            <w:pPr>
              <w:pStyle w:val="0"/>
            </w:pPr>
            <w:r>
              <w:rPr>
                <w:sz w:val="20"/>
              </w:rPr>
              <w:t xml:space="preserve">С 54</w:t>
            </w:r>
          </w:p>
        </w:tc>
        <w:tc>
          <w:tcPr>
            <w:tcW w:w="737" w:type="dxa"/>
          </w:tcPr>
          <w:p>
            <w:pPr>
              <w:pStyle w:val="0"/>
            </w:pPr>
            <w:r>
              <w:rPr>
                <w:sz w:val="20"/>
              </w:rPr>
              <w:t xml:space="preserve">9,2</w:t>
            </w:r>
          </w:p>
        </w:tc>
        <w:tc>
          <w:tcPr>
            <w:tcW w:w="737" w:type="dxa"/>
          </w:tcPr>
          <w:p>
            <w:pPr>
              <w:pStyle w:val="0"/>
            </w:pPr>
            <w:r>
              <w:rPr>
                <w:sz w:val="20"/>
              </w:rPr>
              <w:t xml:space="preserve">8,5</w:t>
            </w:r>
          </w:p>
        </w:tc>
        <w:tc>
          <w:tcPr>
            <w:tcW w:w="737" w:type="dxa"/>
          </w:tcPr>
          <w:p>
            <w:pPr>
              <w:pStyle w:val="0"/>
            </w:pPr>
            <w:r>
              <w:rPr>
                <w:sz w:val="20"/>
              </w:rPr>
              <w:t xml:space="preserve">10,2</w:t>
            </w:r>
          </w:p>
        </w:tc>
        <w:tc>
          <w:tcPr>
            <w:tcW w:w="737" w:type="dxa"/>
          </w:tcPr>
          <w:p>
            <w:pPr>
              <w:pStyle w:val="0"/>
            </w:pPr>
            <w:r>
              <w:rPr>
                <w:sz w:val="20"/>
              </w:rPr>
              <w:t xml:space="preserve">9,8</w:t>
            </w:r>
          </w:p>
        </w:tc>
        <w:tc>
          <w:tcPr>
            <w:tcW w:w="737" w:type="dxa"/>
          </w:tcPr>
          <w:p>
            <w:pPr>
              <w:pStyle w:val="0"/>
            </w:pPr>
            <w:r>
              <w:rPr>
                <w:sz w:val="20"/>
              </w:rPr>
              <w:t xml:space="preserve">9</w:t>
            </w:r>
          </w:p>
        </w:tc>
        <w:tc>
          <w:tcPr>
            <w:tcW w:w="737" w:type="dxa"/>
          </w:tcPr>
          <w:p>
            <w:pPr>
              <w:pStyle w:val="0"/>
            </w:pPr>
            <w:r>
              <w:rPr>
                <w:sz w:val="20"/>
              </w:rPr>
              <w:t xml:space="preserve">9</w:t>
            </w:r>
          </w:p>
        </w:tc>
        <w:tc>
          <w:tcPr>
            <w:tcW w:w="737" w:type="dxa"/>
          </w:tcPr>
          <w:p>
            <w:pPr>
              <w:pStyle w:val="0"/>
            </w:pPr>
            <w:r>
              <w:rPr>
                <w:sz w:val="20"/>
              </w:rPr>
              <w:t xml:space="preserve">10,2</w:t>
            </w:r>
          </w:p>
        </w:tc>
        <w:tc>
          <w:tcPr>
            <w:tcW w:w="737" w:type="dxa"/>
          </w:tcPr>
          <w:p>
            <w:pPr>
              <w:pStyle w:val="0"/>
            </w:pPr>
            <w:r>
              <w:rPr>
                <w:sz w:val="20"/>
              </w:rPr>
              <w:t xml:space="preserve">9,1</w:t>
            </w:r>
          </w:p>
        </w:tc>
        <w:tc>
          <w:tcPr>
            <w:tcW w:w="737" w:type="dxa"/>
          </w:tcPr>
          <w:p>
            <w:pPr>
              <w:pStyle w:val="0"/>
            </w:pPr>
            <w:r>
              <w:rPr>
                <w:sz w:val="20"/>
              </w:rPr>
              <w:t xml:space="preserve">8,1</w:t>
            </w:r>
          </w:p>
        </w:tc>
        <w:tc>
          <w:tcPr>
            <w:tcW w:w="737" w:type="dxa"/>
          </w:tcPr>
          <w:p>
            <w:pPr>
              <w:pStyle w:val="0"/>
            </w:pPr>
            <w:r>
              <w:rPr>
                <w:sz w:val="20"/>
              </w:rPr>
              <w:t xml:space="preserve">9,7</w:t>
            </w:r>
          </w:p>
        </w:tc>
      </w:tr>
      <w:tr>
        <w:tc>
          <w:tcPr>
            <w:tcW w:w="2324" w:type="dxa"/>
          </w:tcPr>
          <w:p>
            <w:pPr>
              <w:pStyle w:val="0"/>
            </w:pPr>
            <w:r>
              <w:rPr>
                <w:sz w:val="20"/>
              </w:rPr>
              <w:t xml:space="preserve">Яичники</w:t>
            </w:r>
          </w:p>
        </w:tc>
        <w:tc>
          <w:tcPr>
            <w:tcW w:w="1361" w:type="dxa"/>
          </w:tcPr>
          <w:p>
            <w:pPr>
              <w:pStyle w:val="0"/>
            </w:pPr>
            <w:r>
              <w:rPr>
                <w:sz w:val="20"/>
              </w:rPr>
              <w:t xml:space="preserve">С 56</w:t>
            </w:r>
          </w:p>
        </w:tc>
        <w:tc>
          <w:tcPr>
            <w:tcW w:w="737" w:type="dxa"/>
          </w:tcPr>
          <w:p>
            <w:pPr>
              <w:pStyle w:val="0"/>
            </w:pPr>
            <w:r>
              <w:rPr>
                <w:sz w:val="20"/>
              </w:rPr>
              <w:t xml:space="preserve">7,8</w:t>
            </w:r>
          </w:p>
        </w:tc>
        <w:tc>
          <w:tcPr>
            <w:tcW w:w="737" w:type="dxa"/>
          </w:tcPr>
          <w:p>
            <w:pPr>
              <w:pStyle w:val="0"/>
            </w:pPr>
            <w:r>
              <w:rPr>
                <w:sz w:val="20"/>
              </w:rPr>
              <w:t xml:space="preserve">7,8</w:t>
            </w:r>
          </w:p>
        </w:tc>
        <w:tc>
          <w:tcPr>
            <w:tcW w:w="737" w:type="dxa"/>
          </w:tcPr>
          <w:p>
            <w:pPr>
              <w:pStyle w:val="0"/>
            </w:pPr>
            <w:r>
              <w:rPr>
                <w:sz w:val="20"/>
              </w:rPr>
              <w:t xml:space="preserve">8,8</w:t>
            </w:r>
          </w:p>
        </w:tc>
        <w:tc>
          <w:tcPr>
            <w:tcW w:w="737" w:type="dxa"/>
          </w:tcPr>
          <w:p>
            <w:pPr>
              <w:pStyle w:val="0"/>
            </w:pPr>
            <w:r>
              <w:rPr>
                <w:sz w:val="20"/>
              </w:rPr>
              <w:t xml:space="preserve">8,6</w:t>
            </w:r>
          </w:p>
        </w:tc>
        <w:tc>
          <w:tcPr>
            <w:tcW w:w="737" w:type="dxa"/>
          </w:tcPr>
          <w:p>
            <w:pPr>
              <w:pStyle w:val="0"/>
            </w:pPr>
            <w:r>
              <w:rPr>
                <w:sz w:val="20"/>
              </w:rPr>
              <w:t xml:space="preserve">9,8</w:t>
            </w:r>
          </w:p>
        </w:tc>
        <w:tc>
          <w:tcPr>
            <w:tcW w:w="737" w:type="dxa"/>
          </w:tcPr>
          <w:p>
            <w:pPr>
              <w:pStyle w:val="0"/>
            </w:pPr>
            <w:r>
              <w:rPr>
                <w:sz w:val="20"/>
              </w:rPr>
              <w:t xml:space="preserve">9,3</w:t>
            </w:r>
          </w:p>
        </w:tc>
        <w:tc>
          <w:tcPr>
            <w:tcW w:w="737" w:type="dxa"/>
          </w:tcPr>
          <w:p>
            <w:pPr>
              <w:pStyle w:val="0"/>
            </w:pPr>
            <w:r>
              <w:rPr>
                <w:sz w:val="20"/>
              </w:rPr>
              <w:t xml:space="preserve">7,5</w:t>
            </w:r>
          </w:p>
        </w:tc>
        <w:tc>
          <w:tcPr>
            <w:tcW w:w="737" w:type="dxa"/>
          </w:tcPr>
          <w:p>
            <w:pPr>
              <w:pStyle w:val="0"/>
            </w:pPr>
            <w:r>
              <w:rPr>
                <w:sz w:val="20"/>
              </w:rPr>
              <w:t xml:space="preserve">8,4</w:t>
            </w:r>
          </w:p>
        </w:tc>
        <w:tc>
          <w:tcPr>
            <w:tcW w:w="737" w:type="dxa"/>
          </w:tcPr>
          <w:p>
            <w:pPr>
              <w:pStyle w:val="0"/>
            </w:pPr>
            <w:r>
              <w:rPr>
                <w:sz w:val="20"/>
              </w:rPr>
              <w:t xml:space="preserve">7,6</w:t>
            </w:r>
          </w:p>
        </w:tc>
        <w:tc>
          <w:tcPr>
            <w:tcW w:w="737" w:type="dxa"/>
          </w:tcPr>
          <w:p>
            <w:pPr>
              <w:pStyle w:val="0"/>
            </w:pPr>
            <w:r>
              <w:rPr>
                <w:sz w:val="20"/>
              </w:rPr>
              <w:t xml:space="preserve">9,0</w:t>
            </w:r>
          </w:p>
        </w:tc>
      </w:tr>
      <w:tr>
        <w:tc>
          <w:tcPr>
            <w:tcW w:w="2324" w:type="dxa"/>
          </w:tcPr>
          <w:p>
            <w:pPr>
              <w:pStyle w:val="0"/>
            </w:pPr>
            <w:r>
              <w:rPr>
                <w:sz w:val="20"/>
              </w:rPr>
              <w:t xml:space="preserve">Предстательная железа</w:t>
            </w:r>
          </w:p>
        </w:tc>
        <w:tc>
          <w:tcPr>
            <w:tcW w:w="1361" w:type="dxa"/>
          </w:tcPr>
          <w:p>
            <w:pPr>
              <w:pStyle w:val="0"/>
            </w:pPr>
            <w:r>
              <w:rPr>
                <w:sz w:val="20"/>
              </w:rPr>
              <w:t xml:space="preserve">С 61</w:t>
            </w:r>
          </w:p>
        </w:tc>
        <w:tc>
          <w:tcPr>
            <w:tcW w:w="737" w:type="dxa"/>
          </w:tcPr>
          <w:p>
            <w:pPr>
              <w:pStyle w:val="0"/>
            </w:pPr>
            <w:r>
              <w:rPr>
                <w:sz w:val="20"/>
              </w:rPr>
              <w:t xml:space="preserve">3,7</w:t>
            </w:r>
          </w:p>
        </w:tc>
        <w:tc>
          <w:tcPr>
            <w:tcW w:w="737" w:type="dxa"/>
          </w:tcPr>
          <w:p>
            <w:pPr>
              <w:pStyle w:val="0"/>
            </w:pPr>
            <w:r>
              <w:rPr>
                <w:sz w:val="20"/>
              </w:rPr>
              <w:t xml:space="preserve">3,6</w:t>
            </w:r>
          </w:p>
        </w:tc>
        <w:tc>
          <w:tcPr>
            <w:tcW w:w="737" w:type="dxa"/>
          </w:tcPr>
          <w:p>
            <w:pPr>
              <w:pStyle w:val="0"/>
            </w:pPr>
            <w:r>
              <w:rPr>
                <w:sz w:val="20"/>
              </w:rPr>
              <w:t xml:space="preserve">4</w:t>
            </w:r>
          </w:p>
        </w:tc>
        <w:tc>
          <w:tcPr>
            <w:tcW w:w="737" w:type="dxa"/>
          </w:tcPr>
          <w:p>
            <w:pPr>
              <w:pStyle w:val="0"/>
            </w:pPr>
            <w:r>
              <w:rPr>
                <w:sz w:val="20"/>
              </w:rPr>
              <w:t xml:space="preserve">4,7</w:t>
            </w:r>
          </w:p>
        </w:tc>
        <w:tc>
          <w:tcPr>
            <w:tcW w:w="737" w:type="dxa"/>
          </w:tcPr>
          <w:p>
            <w:pPr>
              <w:pStyle w:val="0"/>
            </w:pPr>
            <w:r>
              <w:rPr>
                <w:sz w:val="20"/>
              </w:rPr>
              <w:t xml:space="preserve">4,6</w:t>
            </w:r>
          </w:p>
        </w:tc>
        <w:tc>
          <w:tcPr>
            <w:tcW w:w="737" w:type="dxa"/>
          </w:tcPr>
          <w:p>
            <w:pPr>
              <w:pStyle w:val="0"/>
            </w:pPr>
            <w:r>
              <w:rPr>
                <w:sz w:val="20"/>
              </w:rPr>
              <w:t xml:space="preserve">4,8</w:t>
            </w:r>
          </w:p>
        </w:tc>
        <w:tc>
          <w:tcPr>
            <w:tcW w:w="737" w:type="dxa"/>
          </w:tcPr>
          <w:p>
            <w:pPr>
              <w:pStyle w:val="0"/>
            </w:pPr>
            <w:r>
              <w:rPr>
                <w:sz w:val="20"/>
              </w:rPr>
              <w:t xml:space="preserve">5,9</w:t>
            </w:r>
          </w:p>
        </w:tc>
        <w:tc>
          <w:tcPr>
            <w:tcW w:w="737" w:type="dxa"/>
          </w:tcPr>
          <w:p>
            <w:pPr>
              <w:pStyle w:val="0"/>
            </w:pPr>
            <w:r>
              <w:rPr>
                <w:sz w:val="20"/>
              </w:rPr>
              <w:t xml:space="preserve">5,5</w:t>
            </w:r>
          </w:p>
        </w:tc>
        <w:tc>
          <w:tcPr>
            <w:tcW w:w="737" w:type="dxa"/>
          </w:tcPr>
          <w:p>
            <w:pPr>
              <w:pStyle w:val="0"/>
            </w:pPr>
            <w:r>
              <w:rPr>
                <w:sz w:val="20"/>
              </w:rPr>
              <w:t xml:space="preserve">6,6</w:t>
            </w:r>
          </w:p>
        </w:tc>
        <w:tc>
          <w:tcPr>
            <w:tcW w:w="737" w:type="dxa"/>
          </w:tcPr>
          <w:p>
            <w:pPr>
              <w:pStyle w:val="0"/>
            </w:pPr>
            <w:r>
              <w:rPr>
                <w:sz w:val="20"/>
              </w:rPr>
              <w:t xml:space="preserve">5,7</w:t>
            </w:r>
          </w:p>
        </w:tc>
      </w:tr>
      <w:tr>
        <w:tc>
          <w:tcPr>
            <w:tcW w:w="2324" w:type="dxa"/>
          </w:tcPr>
          <w:p>
            <w:pPr>
              <w:pStyle w:val="0"/>
            </w:pPr>
            <w:r>
              <w:rPr>
                <w:sz w:val="20"/>
              </w:rPr>
              <w:t xml:space="preserve">Почка</w:t>
            </w:r>
          </w:p>
        </w:tc>
        <w:tc>
          <w:tcPr>
            <w:tcW w:w="1361" w:type="dxa"/>
          </w:tcPr>
          <w:p>
            <w:pPr>
              <w:pStyle w:val="0"/>
            </w:pPr>
            <w:r>
              <w:rPr>
                <w:sz w:val="20"/>
              </w:rPr>
              <w:t xml:space="preserve">С 64</w:t>
            </w:r>
          </w:p>
        </w:tc>
        <w:tc>
          <w:tcPr>
            <w:tcW w:w="737" w:type="dxa"/>
          </w:tcPr>
          <w:p>
            <w:pPr>
              <w:pStyle w:val="0"/>
            </w:pPr>
            <w:r>
              <w:rPr>
                <w:sz w:val="20"/>
              </w:rPr>
              <w:t xml:space="preserve">7,1</w:t>
            </w:r>
          </w:p>
        </w:tc>
        <w:tc>
          <w:tcPr>
            <w:tcW w:w="737" w:type="dxa"/>
          </w:tcPr>
          <w:p>
            <w:pPr>
              <w:pStyle w:val="0"/>
            </w:pPr>
            <w:r>
              <w:rPr>
                <w:sz w:val="20"/>
              </w:rPr>
              <w:t xml:space="preserve">7,1</w:t>
            </w:r>
          </w:p>
        </w:tc>
        <w:tc>
          <w:tcPr>
            <w:tcW w:w="737" w:type="dxa"/>
          </w:tcPr>
          <w:p>
            <w:pPr>
              <w:pStyle w:val="0"/>
            </w:pPr>
            <w:r>
              <w:rPr>
                <w:sz w:val="20"/>
              </w:rPr>
              <w:t xml:space="preserve">7,8</w:t>
            </w:r>
          </w:p>
        </w:tc>
        <w:tc>
          <w:tcPr>
            <w:tcW w:w="737" w:type="dxa"/>
          </w:tcPr>
          <w:p>
            <w:pPr>
              <w:pStyle w:val="0"/>
            </w:pPr>
            <w:r>
              <w:rPr>
                <w:sz w:val="20"/>
              </w:rPr>
              <w:t xml:space="preserve">8,4</w:t>
            </w:r>
          </w:p>
        </w:tc>
        <w:tc>
          <w:tcPr>
            <w:tcW w:w="737" w:type="dxa"/>
          </w:tcPr>
          <w:p>
            <w:pPr>
              <w:pStyle w:val="0"/>
            </w:pPr>
            <w:r>
              <w:rPr>
                <w:sz w:val="20"/>
              </w:rPr>
              <w:t xml:space="preserve">8</w:t>
            </w:r>
          </w:p>
        </w:tc>
        <w:tc>
          <w:tcPr>
            <w:tcW w:w="737" w:type="dxa"/>
          </w:tcPr>
          <w:p>
            <w:pPr>
              <w:pStyle w:val="0"/>
            </w:pPr>
            <w:r>
              <w:rPr>
                <w:sz w:val="20"/>
              </w:rPr>
              <w:t xml:space="preserve">6,4</w:t>
            </w:r>
          </w:p>
        </w:tc>
        <w:tc>
          <w:tcPr>
            <w:tcW w:w="737" w:type="dxa"/>
          </w:tcPr>
          <w:p>
            <w:pPr>
              <w:pStyle w:val="0"/>
            </w:pPr>
            <w:r>
              <w:rPr>
                <w:sz w:val="20"/>
              </w:rPr>
              <w:t xml:space="preserve">9,2</w:t>
            </w:r>
          </w:p>
        </w:tc>
        <w:tc>
          <w:tcPr>
            <w:tcW w:w="737" w:type="dxa"/>
          </w:tcPr>
          <w:p>
            <w:pPr>
              <w:pStyle w:val="0"/>
            </w:pPr>
            <w:r>
              <w:rPr>
                <w:sz w:val="20"/>
              </w:rPr>
              <w:t xml:space="preserve">9,3</w:t>
            </w:r>
          </w:p>
        </w:tc>
        <w:tc>
          <w:tcPr>
            <w:tcW w:w="737" w:type="dxa"/>
          </w:tcPr>
          <w:p>
            <w:pPr>
              <w:pStyle w:val="0"/>
            </w:pPr>
            <w:r>
              <w:rPr>
                <w:sz w:val="20"/>
              </w:rPr>
              <w:t xml:space="preserve">8,7</w:t>
            </w:r>
          </w:p>
        </w:tc>
        <w:tc>
          <w:tcPr>
            <w:tcW w:w="737" w:type="dxa"/>
          </w:tcPr>
          <w:p>
            <w:pPr>
              <w:pStyle w:val="0"/>
            </w:pPr>
            <w:r>
              <w:rPr>
                <w:sz w:val="20"/>
              </w:rPr>
              <w:t xml:space="preserve">9,3</w:t>
            </w:r>
          </w:p>
        </w:tc>
      </w:tr>
      <w:tr>
        <w:tc>
          <w:tcPr>
            <w:tcW w:w="2324" w:type="dxa"/>
          </w:tcPr>
          <w:p>
            <w:pPr>
              <w:pStyle w:val="0"/>
            </w:pPr>
            <w:r>
              <w:rPr>
                <w:sz w:val="20"/>
              </w:rPr>
              <w:t xml:space="preserve">Мочевой пузырь</w:t>
            </w:r>
          </w:p>
        </w:tc>
        <w:tc>
          <w:tcPr>
            <w:tcW w:w="1361" w:type="dxa"/>
          </w:tcPr>
          <w:p>
            <w:pPr>
              <w:pStyle w:val="0"/>
            </w:pPr>
            <w:r>
              <w:rPr>
                <w:sz w:val="20"/>
              </w:rPr>
              <w:t xml:space="preserve">С 67</w:t>
            </w:r>
          </w:p>
        </w:tc>
        <w:tc>
          <w:tcPr>
            <w:tcW w:w="737" w:type="dxa"/>
          </w:tcPr>
          <w:p>
            <w:pPr>
              <w:pStyle w:val="0"/>
            </w:pPr>
            <w:r>
              <w:rPr>
                <w:sz w:val="20"/>
              </w:rPr>
              <w:t xml:space="preserve">6</w:t>
            </w:r>
          </w:p>
        </w:tc>
        <w:tc>
          <w:tcPr>
            <w:tcW w:w="737" w:type="dxa"/>
          </w:tcPr>
          <w:p>
            <w:pPr>
              <w:pStyle w:val="0"/>
            </w:pPr>
            <w:r>
              <w:rPr>
                <w:sz w:val="20"/>
              </w:rPr>
              <w:t xml:space="preserve">6,3</w:t>
            </w:r>
          </w:p>
        </w:tc>
        <w:tc>
          <w:tcPr>
            <w:tcW w:w="737" w:type="dxa"/>
          </w:tcPr>
          <w:p>
            <w:pPr>
              <w:pStyle w:val="0"/>
            </w:pPr>
            <w:r>
              <w:rPr>
                <w:sz w:val="20"/>
              </w:rPr>
              <w:t xml:space="preserve">7,9</w:t>
            </w:r>
          </w:p>
        </w:tc>
        <w:tc>
          <w:tcPr>
            <w:tcW w:w="737" w:type="dxa"/>
          </w:tcPr>
          <w:p>
            <w:pPr>
              <w:pStyle w:val="0"/>
            </w:pPr>
            <w:r>
              <w:rPr>
                <w:sz w:val="20"/>
              </w:rPr>
              <w:t xml:space="preserve">5,8</w:t>
            </w:r>
          </w:p>
        </w:tc>
        <w:tc>
          <w:tcPr>
            <w:tcW w:w="737" w:type="dxa"/>
          </w:tcPr>
          <w:p>
            <w:pPr>
              <w:pStyle w:val="0"/>
            </w:pPr>
            <w:r>
              <w:rPr>
                <w:sz w:val="20"/>
              </w:rPr>
              <w:t xml:space="preserve">6,8</w:t>
            </w:r>
          </w:p>
        </w:tc>
        <w:tc>
          <w:tcPr>
            <w:tcW w:w="737" w:type="dxa"/>
          </w:tcPr>
          <w:p>
            <w:pPr>
              <w:pStyle w:val="0"/>
            </w:pPr>
            <w:r>
              <w:rPr>
                <w:sz w:val="20"/>
              </w:rPr>
              <w:t xml:space="preserve">6,2</w:t>
            </w:r>
          </w:p>
        </w:tc>
        <w:tc>
          <w:tcPr>
            <w:tcW w:w="737" w:type="dxa"/>
          </w:tcPr>
          <w:p>
            <w:pPr>
              <w:pStyle w:val="0"/>
            </w:pPr>
            <w:r>
              <w:rPr>
                <w:sz w:val="20"/>
              </w:rPr>
              <w:t xml:space="preserve">7,4</w:t>
            </w:r>
          </w:p>
        </w:tc>
        <w:tc>
          <w:tcPr>
            <w:tcW w:w="737" w:type="dxa"/>
          </w:tcPr>
          <w:p>
            <w:pPr>
              <w:pStyle w:val="0"/>
            </w:pPr>
            <w:r>
              <w:rPr>
                <w:sz w:val="20"/>
              </w:rPr>
              <w:t xml:space="preserve">7</w:t>
            </w:r>
          </w:p>
        </w:tc>
        <w:tc>
          <w:tcPr>
            <w:tcW w:w="737" w:type="dxa"/>
          </w:tcPr>
          <w:p>
            <w:pPr>
              <w:pStyle w:val="0"/>
            </w:pPr>
            <w:r>
              <w:rPr>
                <w:sz w:val="20"/>
              </w:rPr>
              <w:t xml:space="preserve">8,0</w:t>
            </w:r>
          </w:p>
        </w:tc>
        <w:tc>
          <w:tcPr>
            <w:tcW w:w="737" w:type="dxa"/>
          </w:tcPr>
          <w:p>
            <w:pPr>
              <w:pStyle w:val="0"/>
            </w:pPr>
            <w:r>
              <w:rPr>
                <w:sz w:val="20"/>
              </w:rPr>
              <w:t xml:space="preserve">8,9</w:t>
            </w:r>
          </w:p>
        </w:tc>
      </w:tr>
      <w:tr>
        <w:tc>
          <w:tcPr>
            <w:tcW w:w="2324" w:type="dxa"/>
          </w:tcPr>
          <w:p>
            <w:pPr>
              <w:pStyle w:val="0"/>
            </w:pPr>
            <w:r>
              <w:rPr>
                <w:sz w:val="20"/>
              </w:rPr>
              <w:t xml:space="preserve">Щитовидная железа</w:t>
            </w:r>
          </w:p>
        </w:tc>
        <w:tc>
          <w:tcPr>
            <w:tcW w:w="1361" w:type="dxa"/>
          </w:tcPr>
          <w:p>
            <w:pPr>
              <w:pStyle w:val="0"/>
            </w:pPr>
            <w:r>
              <w:rPr>
                <w:sz w:val="20"/>
              </w:rPr>
              <w:t xml:space="preserve">С 73</w:t>
            </w:r>
          </w:p>
        </w:tc>
        <w:tc>
          <w:tcPr>
            <w:tcW w:w="737" w:type="dxa"/>
          </w:tcPr>
          <w:p>
            <w:pPr>
              <w:pStyle w:val="0"/>
            </w:pPr>
            <w:r>
              <w:rPr>
                <w:sz w:val="20"/>
              </w:rPr>
              <w:t xml:space="preserve">22,9</w:t>
            </w:r>
          </w:p>
        </w:tc>
        <w:tc>
          <w:tcPr>
            <w:tcW w:w="737" w:type="dxa"/>
          </w:tcPr>
          <w:p>
            <w:pPr>
              <w:pStyle w:val="0"/>
            </w:pPr>
            <w:r>
              <w:rPr>
                <w:sz w:val="20"/>
              </w:rPr>
              <w:t xml:space="preserve">13,7</w:t>
            </w:r>
          </w:p>
        </w:tc>
        <w:tc>
          <w:tcPr>
            <w:tcW w:w="737" w:type="dxa"/>
          </w:tcPr>
          <w:p>
            <w:pPr>
              <w:pStyle w:val="0"/>
            </w:pPr>
            <w:r>
              <w:rPr>
                <w:sz w:val="20"/>
              </w:rPr>
              <w:t xml:space="preserve">12,9</w:t>
            </w:r>
          </w:p>
        </w:tc>
        <w:tc>
          <w:tcPr>
            <w:tcW w:w="737" w:type="dxa"/>
          </w:tcPr>
          <w:p>
            <w:pPr>
              <w:pStyle w:val="0"/>
            </w:pPr>
            <w:r>
              <w:rPr>
                <w:sz w:val="20"/>
              </w:rPr>
              <w:t xml:space="preserve">14,3</w:t>
            </w:r>
          </w:p>
        </w:tc>
        <w:tc>
          <w:tcPr>
            <w:tcW w:w="737" w:type="dxa"/>
          </w:tcPr>
          <w:p>
            <w:pPr>
              <w:pStyle w:val="0"/>
            </w:pPr>
            <w:r>
              <w:rPr>
                <w:sz w:val="20"/>
              </w:rPr>
              <w:t xml:space="preserve">16,6</w:t>
            </w:r>
          </w:p>
        </w:tc>
        <w:tc>
          <w:tcPr>
            <w:tcW w:w="737" w:type="dxa"/>
          </w:tcPr>
          <w:p>
            <w:pPr>
              <w:pStyle w:val="0"/>
            </w:pPr>
            <w:r>
              <w:rPr>
                <w:sz w:val="20"/>
              </w:rPr>
              <w:t xml:space="preserve">16,6</w:t>
            </w:r>
          </w:p>
        </w:tc>
        <w:tc>
          <w:tcPr>
            <w:tcW w:w="737" w:type="dxa"/>
          </w:tcPr>
          <w:p>
            <w:pPr>
              <w:pStyle w:val="0"/>
            </w:pPr>
            <w:r>
              <w:rPr>
                <w:sz w:val="20"/>
              </w:rPr>
              <w:t xml:space="preserve">14,4</w:t>
            </w:r>
          </w:p>
        </w:tc>
        <w:tc>
          <w:tcPr>
            <w:tcW w:w="737" w:type="dxa"/>
          </w:tcPr>
          <w:p>
            <w:pPr>
              <w:pStyle w:val="0"/>
            </w:pPr>
            <w:r>
              <w:rPr>
                <w:sz w:val="20"/>
              </w:rPr>
              <w:t xml:space="preserve">16</w:t>
            </w:r>
          </w:p>
        </w:tc>
        <w:tc>
          <w:tcPr>
            <w:tcW w:w="737" w:type="dxa"/>
          </w:tcPr>
          <w:p>
            <w:pPr>
              <w:pStyle w:val="0"/>
            </w:pPr>
            <w:r>
              <w:rPr>
                <w:sz w:val="20"/>
              </w:rPr>
              <w:t xml:space="preserve">14,7</w:t>
            </w:r>
          </w:p>
        </w:tc>
        <w:tc>
          <w:tcPr>
            <w:tcW w:w="737" w:type="dxa"/>
          </w:tcPr>
          <w:p>
            <w:pPr>
              <w:pStyle w:val="0"/>
            </w:pPr>
            <w:r>
              <w:rPr>
                <w:sz w:val="20"/>
              </w:rPr>
              <w:t xml:space="preserve">14,7</w:t>
            </w:r>
          </w:p>
        </w:tc>
      </w:tr>
      <w:tr>
        <w:tc>
          <w:tcPr>
            <w:tcW w:w="2324" w:type="dxa"/>
          </w:tcPr>
          <w:p>
            <w:pPr>
              <w:pStyle w:val="0"/>
            </w:pPr>
            <w:r>
              <w:rPr>
                <w:sz w:val="20"/>
              </w:rPr>
              <w:t xml:space="preserve">Злокачественная лимфома</w:t>
            </w:r>
          </w:p>
        </w:tc>
        <w:tc>
          <w:tcPr>
            <w:tcW w:w="1361" w:type="dxa"/>
          </w:tcPr>
          <w:p>
            <w:pPr>
              <w:pStyle w:val="0"/>
            </w:pPr>
            <w:r>
              <w:rPr>
                <w:sz w:val="20"/>
              </w:rPr>
              <w:t xml:space="preserve">С 81 - 86; С88; С90; С96</w:t>
            </w:r>
          </w:p>
        </w:tc>
        <w:tc>
          <w:tcPr>
            <w:tcW w:w="737" w:type="dxa"/>
          </w:tcPr>
          <w:p>
            <w:pPr>
              <w:pStyle w:val="0"/>
            </w:pPr>
            <w:r>
              <w:rPr>
                <w:sz w:val="20"/>
              </w:rPr>
              <w:t xml:space="preserve">7,5</w:t>
            </w:r>
          </w:p>
        </w:tc>
        <w:tc>
          <w:tcPr>
            <w:tcW w:w="737" w:type="dxa"/>
          </w:tcPr>
          <w:p>
            <w:pPr>
              <w:pStyle w:val="0"/>
            </w:pPr>
            <w:r>
              <w:rPr>
                <w:sz w:val="20"/>
              </w:rPr>
              <w:t xml:space="preserve">7,7</w:t>
            </w:r>
          </w:p>
        </w:tc>
        <w:tc>
          <w:tcPr>
            <w:tcW w:w="737" w:type="dxa"/>
          </w:tcPr>
          <w:p>
            <w:pPr>
              <w:pStyle w:val="0"/>
            </w:pPr>
            <w:r>
              <w:rPr>
                <w:sz w:val="20"/>
              </w:rPr>
              <w:t xml:space="preserve">7,6</w:t>
            </w:r>
          </w:p>
        </w:tc>
        <w:tc>
          <w:tcPr>
            <w:tcW w:w="737" w:type="dxa"/>
          </w:tcPr>
          <w:p>
            <w:pPr>
              <w:pStyle w:val="0"/>
            </w:pPr>
            <w:r>
              <w:rPr>
                <w:sz w:val="20"/>
              </w:rPr>
              <w:t xml:space="preserve">7,8</w:t>
            </w:r>
          </w:p>
        </w:tc>
        <w:tc>
          <w:tcPr>
            <w:tcW w:w="737" w:type="dxa"/>
          </w:tcPr>
          <w:p>
            <w:pPr>
              <w:pStyle w:val="0"/>
            </w:pPr>
            <w:r>
              <w:rPr>
                <w:sz w:val="20"/>
              </w:rPr>
              <w:t xml:space="preserve">7,7</w:t>
            </w:r>
          </w:p>
        </w:tc>
        <w:tc>
          <w:tcPr>
            <w:tcW w:w="737" w:type="dxa"/>
          </w:tcPr>
          <w:p>
            <w:pPr>
              <w:pStyle w:val="0"/>
            </w:pPr>
            <w:r>
              <w:rPr>
                <w:sz w:val="20"/>
              </w:rPr>
              <w:t xml:space="preserve">7,7</w:t>
            </w:r>
          </w:p>
        </w:tc>
        <w:tc>
          <w:tcPr>
            <w:tcW w:w="737" w:type="dxa"/>
          </w:tcPr>
          <w:p>
            <w:pPr>
              <w:pStyle w:val="0"/>
            </w:pPr>
            <w:r>
              <w:rPr>
                <w:sz w:val="20"/>
              </w:rPr>
              <w:t xml:space="preserve">9,5</w:t>
            </w:r>
          </w:p>
        </w:tc>
        <w:tc>
          <w:tcPr>
            <w:tcW w:w="737" w:type="dxa"/>
          </w:tcPr>
          <w:p>
            <w:pPr>
              <w:pStyle w:val="0"/>
            </w:pPr>
            <w:r>
              <w:rPr>
                <w:sz w:val="20"/>
              </w:rPr>
              <w:t xml:space="preserve">7,6</w:t>
            </w:r>
          </w:p>
        </w:tc>
        <w:tc>
          <w:tcPr>
            <w:tcW w:w="737" w:type="dxa"/>
          </w:tcPr>
          <w:p>
            <w:pPr>
              <w:pStyle w:val="0"/>
            </w:pPr>
            <w:r>
              <w:rPr>
                <w:sz w:val="20"/>
              </w:rPr>
              <w:t xml:space="preserve">8,7</w:t>
            </w:r>
          </w:p>
        </w:tc>
        <w:tc>
          <w:tcPr>
            <w:tcW w:w="737" w:type="dxa"/>
          </w:tcPr>
          <w:p>
            <w:pPr>
              <w:pStyle w:val="0"/>
            </w:pPr>
            <w:r>
              <w:rPr>
                <w:sz w:val="20"/>
              </w:rPr>
              <w:t xml:space="preserve">8,5</w:t>
            </w:r>
          </w:p>
        </w:tc>
      </w:tr>
      <w:tr>
        <w:tc>
          <w:tcPr>
            <w:tcW w:w="2324" w:type="dxa"/>
          </w:tcPr>
          <w:p>
            <w:pPr>
              <w:pStyle w:val="0"/>
            </w:pPr>
            <w:r>
              <w:rPr>
                <w:sz w:val="20"/>
              </w:rPr>
              <w:t xml:space="preserve">Лейкозы</w:t>
            </w:r>
          </w:p>
        </w:tc>
        <w:tc>
          <w:tcPr>
            <w:tcW w:w="1361" w:type="dxa"/>
          </w:tcPr>
          <w:p>
            <w:pPr>
              <w:pStyle w:val="0"/>
            </w:pPr>
            <w:r>
              <w:rPr>
                <w:sz w:val="20"/>
              </w:rPr>
              <w:t xml:space="preserve">С 91 - 95</w:t>
            </w:r>
          </w:p>
        </w:tc>
        <w:tc>
          <w:tcPr>
            <w:tcW w:w="737" w:type="dxa"/>
          </w:tcPr>
          <w:p>
            <w:pPr>
              <w:pStyle w:val="0"/>
            </w:pPr>
            <w:r>
              <w:rPr>
                <w:sz w:val="20"/>
              </w:rPr>
              <w:t xml:space="preserve">8,7</w:t>
            </w:r>
          </w:p>
        </w:tc>
        <w:tc>
          <w:tcPr>
            <w:tcW w:w="737" w:type="dxa"/>
          </w:tcPr>
          <w:p>
            <w:pPr>
              <w:pStyle w:val="0"/>
            </w:pPr>
            <w:r>
              <w:rPr>
                <w:sz w:val="20"/>
              </w:rPr>
              <w:t xml:space="preserve">7,6</w:t>
            </w:r>
          </w:p>
        </w:tc>
        <w:tc>
          <w:tcPr>
            <w:tcW w:w="737" w:type="dxa"/>
          </w:tcPr>
          <w:p>
            <w:pPr>
              <w:pStyle w:val="0"/>
            </w:pPr>
            <w:r>
              <w:rPr>
                <w:sz w:val="20"/>
              </w:rPr>
              <w:t xml:space="preserve">8,4</w:t>
            </w:r>
          </w:p>
        </w:tc>
        <w:tc>
          <w:tcPr>
            <w:tcW w:w="737" w:type="dxa"/>
          </w:tcPr>
          <w:p>
            <w:pPr>
              <w:pStyle w:val="0"/>
            </w:pPr>
            <w:r>
              <w:rPr>
                <w:sz w:val="20"/>
              </w:rPr>
              <w:t xml:space="preserve">8,1</w:t>
            </w:r>
          </w:p>
        </w:tc>
        <w:tc>
          <w:tcPr>
            <w:tcW w:w="737" w:type="dxa"/>
          </w:tcPr>
          <w:p>
            <w:pPr>
              <w:pStyle w:val="0"/>
            </w:pPr>
            <w:r>
              <w:rPr>
                <w:sz w:val="20"/>
              </w:rPr>
              <w:t xml:space="preserve">8,4</w:t>
            </w:r>
          </w:p>
        </w:tc>
        <w:tc>
          <w:tcPr>
            <w:tcW w:w="737" w:type="dxa"/>
          </w:tcPr>
          <w:p>
            <w:pPr>
              <w:pStyle w:val="0"/>
            </w:pPr>
            <w:r>
              <w:rPr>
                <w:sz w:val="20"/>
              </w:rPr>
              <w:t xml:space="preserve">8,7</w:t>
            </w:r>
          </w:p>
        </w:tc>
        <w:tc>
          <w:tcPr>
            <w:tcW w:w="737" w:type="dxa"/>
          </w:tcPr>
          <w:p>
            <w:pPr>
              <w:pStyle w:val="0"/>
            </w:pPr>
            <w:r>
              <w:rPr>
                <w:sz w:val="20"/>
              </w:rPr>
              <w:t xml:space="preserve">7,6</w:t>
            </w:r>
          </w:p>
        </w:tc>
        <w:tc>
          <w:tcPr>
            <w:tcW w:w="737" w:type="dxa"/>
          </w:tcPr>
          <w:p>
            <w:pPr>
              <w:pStyle w:val="0"/>
            </w:pPr>
            <w:r>
              <w:rPr>
                <w:sz w:val="20"/>
              </w:rPr>
              <w:t xml:space="preserve">8,4</w:t>
            </w:r>
          </w:p>
        </w:tc>
        <w:tc>
          <w:tcPr>
            <w:tcW w:w="737" w:type="dxa"/>
          </w:tcPr>
          <w:p>
            <w:pPr>
              <w:pStyle w:val="0"/>
            </w:pPr>
            <w:r>
              <w:rPr>
                <w:sz w:val="20"/>
              </w:rPr>
              <w:t xml:space="preserve">7,9</w:t>
            </w:r>
          </w:p>
        </w:tc>
        <w:tc>
          <w:tcPr>
            <w:tcW w:w="737" w:type="dxa"/>
          </w:tcPr>
          <w:p>
            <w:pPr>
              <w:pStyle w:val="0"/>
            </w:pPr>
            <w:r>
              <w:rPr>
                <w:sz w:val="20"/>
              </w:rPr>
              <w:t xml:space="preserve">10,0</w:t>
            </w:r>
          </w:p>
        </w:tc>
      </w:tr>
      <w:tr>
        <w:tc>
          <w:tcPr>
            <w:tcW w:w="2324" w:type="dxa"/>
          </w:tcPr>
          <w:p>
            <w:pPr>
              <w:pStyle w:val="0"/>
            </w:pPr>
            <w:r>
              <w:rPr>
                <w:sz w:val="20"/>
              </w:rPr>
              <w:t xml:space="preserve">Прочие</w:t>
            </w:r>
          </w:p>
        </w:tc>
        <w:tc>
          <w:tcPr>
            <w:tcW w:w="1361" w:type="dxa"/>
          </w:tcPr>
          <w:p>
            <w:pPr>
              <w:pStyle w:val="0"/>
            </w:pPr>
            <w:r>
              <w:rPr>
                <w:sz w:val="20"/>
              </w:rPr>
            </w:r>
          </w:p>
        </w:tc>
        <w:tc>
          <w:tcPr>
            <w:tcW w:w="737" w:type="dxa"/>
          </w:tcPr>
          <w:p>
            <w:pPr>
              <w:pStyle w:val="0"/>
            </w:pPr>
            <w:r>
              <w:rPr>
                <w:sz w:val="20"/>
              </w:rPr>
              <w:t xml:space="preserve">5,4</w:t>
            </w:r>
          </w:p>
        </w:tc>
        <w:tc>
          <w:tcPr>
            <w:tcW w:w="737" w:type="dxa"/>
          </w:tcPr>
          <w:p>
            <w:pPr>
              <w:pStyle w:val="0"/>
            </w:pPr>
            <w:r>
              <w:rPr>
                <w:sz w:val="20"/>
              </w:rPr>
              <w:t xml:space="preserve">5,9</w:t>
            </w:r>
          </w:p>
        </w:tc>
        <w:tc>
          <w:tcPr>
            <w:tcW w:w="737" w:type="dxa"/>
          </w:tcPr>
          <w:p>
            <w:pPr>
              <w:pStyle w:val="0"/>
            </w:pPr>
            <w:r>
              <w:rPr>
                <w:sz w:val="20"/>
              </w:rPr>
              <w:t xml:space="preserve">5,2</w:t>
            </w:r>
          </w:p>
        </w:tc>
        <w:tc>
          <w:tcPr>
            <w:tcW w:w="737" w:type="dxa"/>
          </w:tcPr>
          <w:p>
            <w:pPr>
              <w:pStyle w:val="0"/>
            </w:pPr>
            <w:r>
              <w:rPr>
                <w:sz w:val="20"/>
              </w:rPr>
              <w:t xml:space="preserve">6,1</w:t>
            </w:r>
          </w:p>
        </w:tc>
        <w:tc>
          <w:tcPr>
            <w:tcW w:w="737" w:type="dxa"/>
          </w:tcPr>
          <w:p>
            <w:pPr>
              <w:pStyle w:val="0"/>
            </w:pPr>
            <w:r>
              <w:rPr>
                <w:sz w:val="20"/>
              </w:rPr>
              <w:t xml:space="preserve">5,6</w:t>
            </w:r>
          </w:p>
        </w:tc>
        <w:tc>
          <w:tcPr>
            <w:tcW w:w="737" w:type="dxa"/>
          </w:tcPr>
          <w:p>
            <w:pPr>
              <w:pStyle w:val="0"/>
            </w:pPr>
            <w:r>
              <w:rPr>
                <w:sz w:val="20"/>
              </w:rPr>
              <w:t xml:space="preserve">5,4</w:t>
            </w:r>
          </w:p>
        </w:tc>
        <w:tc>
          <w:tcPr>
            <w:tcW w:w="737" w:type="dxa"/>
          </w:tcPr>
          <w:p>
            <w:pPr>
              <w:pStyle w:val="0"/>
            </w:pPr>
            <w:r>
              <w:rPr>
                <w:sz w:val="20"/>
              </w:rPr>
              <w:t xml:space="preserve">5,9</w:t>
            </w:r>
          </w:p>
        </w:tc>
        <w:tc>
          <w:tcPr>
            <w:tcW w:w="737" w:type="dxa"/>
          </w:tcPr>
          <w:p>
            <w:pPr>
              <w:pStyle w:val="0"/>
            </w:pPr>
            <w:r>
              <w:rPr>
                <w:sz w:val="20"/>
              </w:rPr>
              <w:t xml:space="preserve">5,2</w:t>
            </w:r>
          </w:p>
        </w:tc>
        <w:tc>
          <w:tcPr>
            <w:tcW w:w="737" w:type="dxa"/>
          </w:tcPr>
          <w:p>
            <w:pPr>
              <w:pStyle w:val="0"/>
            </w:pPr>
            <w:r>
              <w:rPr>
                <w:sz w:val="20"/>
              </w:rPr>
              <w:t xml:space="preserve">0</w:t>
            </w:r>
          </w:p>
        </w:tc>
        <w:tc>
          <w:tcPr>
            <w:tcW w:w="737" w:type="dxa"/>
          </w:tcPr>
          <w:p>
            <w:pPr>
              <w:pStyle w:val="0"/>
            </w:pPr>
            <w:r>
              <w:rPr>
                <w:sz w:val="20"/>
              </w:rPr>
              <w:t xml:space="preserve">0</w:t>
            </w:r>
          </w:p>
        </w:tc>
      </w:tr>
      <w:tr>
        <w:tc>
          <w:tcPr>
            <w:tcW w:w="2324" w:type="dxa"/>
          </w:tcPr>
          <w:p>
            <w:pPr>
              <w:pStyle w:val="0"/>
            </w:pPr>
            <w:r>
              <w:rPr>
                <w:sz w:val="20"/>
              </w:rPr>
              <w:t xml:space="preserve">Автономный округ</w:t>
            </w:r>
          </w:p>
        </w:tc>
        <w:tc>
          <w:tcPr>
            <w:tcW w:w="1361" w:type="dxa"/>
          </w:tcPr>
          <w:p>
            <w:pPr>
              <w:pStyle w:val="0"/>
            </w:pPr>
            <w:r>
              <w:rPr>
                <w:sz w:val="20"/>
              </w:rPr>
            </w:r>
          </w:p>
        </w:tc>
        <w:tc>
          <w:tcPr>
            <w:tcW w:w="737" w:type="dxa"/>
          </w:tcPr>
          <w:p>
            <w:pPr>
              <w:pStyle w:val="0"/>
            </w:pPr>
            <w:r>
              <w:rPr>
                <w:sz w:val="20"/>
              </w:rPr>
              <w:t xml:space="preserve">6</w:t>
            </w:r>
          </w:p>
        </w:tc>
        <w:tc>
          <w:tcPr>
            <w:tcW w:w="737" w:type="dxa"/>
          </w:tcPr>
          <w:p>
            <w:pPr>
              <w:pStyle w:val="0"/>
            </w:pPr>
            <w:r>
              <w:rPr>
                <w:sz w:val="20"/>
              </w:rPr>
              <w:t xml:space="preserve">6,2</w:t>
            </w:r>
          </w:p>
        </w:tc>
        <w:tc>
          <w:tcPr>
            <w:tcW w:w="737" w:type="dxa"/>
          </w:tcPr>
          <w:p>
            <w:pPr>
              <w:pStyle w:val="0"/>
            </w:pPr>
            <w:r>
              <w:rPr>
                <w:sz w:val="20"/>
              </w:rPr>
              <w:t xml:space="preserve">6,7</w:t>
            </w:r>
          </w:p>
        </w:tc>
        <w:tc>
          <w:tcPr>
            <w:tcW w:w="737" w:type="dxa"/>
          </w:tcPr>
          <w:p>
            <w:pPr>
              <w:pStyle w:val="0"/>
            </w:pPr>
            <w:r>
              <w:rPr>
                <w:sz w:val="20"/>
              </w:rPr>
              <w:t xml:space="preserve">6,1</w:t>
            </w:r>
          </w:p>
        </w:tc>
        <w:tc>
          <w:tcPr>
            <w:tcW w:w="737" w:type="dxa"/>
          </w:tcPr>
          <w:p>
            <w:pPr>
              <w:pStyle w:val="0"/>
            </w:pPr>
            <w:r>
              <w:rPr>
                <w:sz w:val="20"/>
              </w:rPr>
              <w:t xml:space="preserve">6,3</w:t>
            </w:r>
          </w:p>
        </w:tc>
        <w:tc>
          <w:tcPr>
            <w:tcW w:w="737" w:type="dxa"/>
          </w:tcPr>
          <w:p>
            <w:pPr>
              <w:pStyle w:val="0"/>
            </w:pPr>
            <w:r>
              <w:rPr>
                <w:sz w:val="20"/>
              </w:rPr>
              <w:t xml:space="preserve">6,4</w:t>
            </w:r>
          </w:p>
        </w:tc>
        <w:tc>
          <w:tcPr>
            <w:tcW w:w="737" w:type="dxa"/>
          </w:tcPr>
          <w:p>
            <w:pPr>
              <w:pStyle w:val="0"/>
            </w:pPr>
            <w:r>
              <w:rPr>
                <w:sz w:val="20"/>
              </w:rPr>
              <w:t xml:space="preserve">6,7</w:t>
            </w:r>
          </w:p>
        </w:tc>
        <w:tc>
          <w:tcPr>
            <w:tcW w:w="737" w:type="dxa"/>
          </w:tcPr>
          <w:p>
            <w:pPr>
              <w:pStyle w:val="0"/>
            </w:pPr>
            <w:r>
              <w:rPr>
                <w:sz w:val="20"/>
              </w:rPr>
              <w:t xml:space="preserve">8,8</w:t>
            </w:r>
          </w:p>
        </w:tc>
        <w:tc>
          <w:tcPr>
            <w:tcW w:w="737" w:type="dxa"/>
          </w:tcPr>
          <w:p>
            <w:pPr>
              <w:pStyle w:val="0"/>
            </w:pPr>
            <w:r>
              <w:rPr>
                <w:sz w:val="20"/>
              </w:rPr>
              <w:t xml:space="preserve">6,8</w:t>
            </w:r>
          </w:p>
        </w:tc>
        <w:tc>
          <w:tcPr>
            <w:tcW w:w="737" w:type="dxa"/>
          </w:tcPr>
          <w:p>
            <w:pPr>
              <w:pStyle w:val="0"/>
            </w:pPr>
            <w:r>
              <w:rPr>
                <w:sz w:val="20"/>
              </w:rPr>
              <w:t xml:space="preserve">7,2</w:t>
            </w:r>
          </w:p>
        </w:tc>
      </w:tr>
      <w:tr>
        <w:tc>
          <w:tcPr>
            <w:tcW w:w="2324" w:type="dxa"/>
          </w:tcPr>
          <w:p>
            <w:pPr>
              <w:pStyle w:val="0"/>
            </w:pPr>
            <w:r>
              <w:rPr>
                <w:sz w:val="20"/>
              </w:rPr>
              <w:t xml:space="preserve">Российская Федерация</w:t>
            </w:r>
          </w:p>
        </w:tc>
        <w:tc>
          <w:tcPr>
            <w:tcW w:w="1361" w:type="dxa"/>
          </w:tcPr>
          <w:p>
            <w:pPr>
              <w:pStyle w:val="0"/>
            </w:pPr>
            <w:r>
              <w:rPr>
                <w:sz w:val="20"/>
              </w:rPr>
            </w:r>
          </w:p>
        </w:tc>
        <w:tc>
          <w:tcPr>
            <w:tcW w:w="737" w:type="dxa"/>
          </w:tcPr>
          <w:p>
            <w:pPr>
              <w:pStyle w:val="0"/>
            </w:pPr>
            <w:r>
              <w:rPr>
                <w:sz w:val="20"/>
              </w:rPr>
              <w:t xml:space="preserve">6,4</w:t>
            </w:r>
          </w:p>
        </w:tc>
        <w:tc>
          <w:tcPr>
            <w:tcW w:w="737" w:type="dxa"/>
          </w:tcPr>
          <w:p>
            <w:pPr>
              <w:pStyle w:val="0"/>
            </w:pPr>
            <w:r>
              <w:rPr>
                <w:sz w:val="20"/>
              </w:rPr>
              <w:t xml:space="preserve">6,5</w:t>
            </w:r>
          </w:p>
        </w:tc>
        <w:tc>
          <w:tcPr>
            <w:tcW w:w="737" w:type="dxa"/>
          </w:tcPr>
          <w:p>
            <w:pPr>
              <w:pStyle w:val="0"/>
            </w:pPr>
            <w:r>
              <w:rPr>
                <w:sz w:val="20"/>
              </w:rPr>
              <w:t xml:space="preserve">6,5</w:t>
            </w:r>
          </w:p>
        </w:tc>
        <w:tc>
          <w:tcPr>
            <w:tcW w:w="737" w:type="dxa"/>
          </w:tcPr>
          <w:p>
            <w:pPr>
              <w:pStyle w:val="0"/>
            </w:pPr>
            <w:r>
              <w:rPr>
                <w:sz w:val="20"/>
              </w:rPr>
              <w:t xml:space="preserve">6,6</w:t>
            </w:r>
          </w:p>
        </w:tc>
        <w:tc>
          <w:tcPr>
            <w:tcW w:w="737" w:type="dxa"/>
          </w:tcPr>
          <w:p>
            <w:pPr>
              <w:pStyle w:val="0"/>
            </w:pPr>
            <w:r>
              <w:rPr>
                <w:sz w:val="20"/>
              </w:rPr>
              <w:t xml:space="preserve">6,7</w:t>
            </w:r>
          </w:p>
        </w:tc>
        <w:tc>
          <w:tcPr>
            <w:tcW w:w="737" w:type="dxa"/>
          </w:tcPr>
          <w:p>
            <w:pPr>
              <w:pStyle w:val="0"/>
            </w:pPr>
            <w:r>
              <w:rPr>
                <w:sz w:val="20"/>
              </w:rPr>
              <w:t xml:space="preserve">6,9</w:t>
            </w:r>
          </w:p>
        </w:tc>
        <w:tc>
          <w:tcPr>
            <w:tcW w:w="737" w:type="dxa"/>
          </w:tcPr>
          <w:p>
            <w:pPr>
              <w:pStyle w:val="0"/>
            </w:pPr>
            <w:r>
              <w:rPr>
                <w:sz w:val="20"/>
              </w:rPr>
              <w:t xml:space="preserve">7,1</w:t>
            </w:r>
          </w:p>
        </w:tc>
        <w:tc>
          <w:tcPr>
            <w:tcW w:w="737" w:type="dxa"/>
          </w:tcPr>
          <w:p>
            <w:pPr>
              <w:pStyle w:val="0"/>
            </w:pPr>
            <w:r>
              <w:rPr>
                <w:sz w:val="20"/>
              </w:rPr>
              <w:t xml:space="preserve">8,4</w:t>
            </w:r>
          </w:p>
        </w:tc>
        <w:tc>
          <w:tcPr>
            <w:tcW w:w="737" w:type="dxa"/>
          </w:tcPr>
          <w:p>
            <w:pPr>
              <w:pStyle w:val="0"/>
            </w:pPr>
            <w:r>
              <w:rPr>
                <w:sz w:val="20"/>
              </w:rPr>
              <w:t xml:space="preserve">8,0</w:t>
            </w:r>
          </w:p>
        </w:tc>
        <w:tc>
          <w:tcPr>
            <w:tcW w:w="737" w:type="dxa"/>
          </w:tcPr>
          <w:p>
            <w:pPr>
              <w:pStyle w:val="0"/>
            </w:pPr>
            <w:r>
              <w:rPr>
                <w:sz w:val="20"/>
              </w:rPr>
              <w:t xml:space="preserve">н/д</w:t>
            </w:r>
          </w:p>
        </w:tc>
      </w:tr>
    </w:tbl>
    <w:p>
      <w:pPr>
        <w:pStyle w:val="0"/>
        <w:ind w:firstLine="540"/>
        <w:jc w:val="both"/>
      </w:pPr>
      <w:r>
        <w:rPr>
          <w:sz w:val="20"/>
        </w:rPr>
      </w:r>
    </w:p>
    <w:p>
      <w:pPr>
        <w:pStyle w:val="0"/>
        <w:ind w:firstLine="540"/>
        <w:jc w:val="both"/>
      </w:pPr>
      <w:r>
        <w:rPr>
          <w:sz w:val="20"/>
        </w:rPr>
        <w:t xml:space="preserve">Высокий индекс накопления контингента отмечается при ЗНО губы, щитовидной железы, молочной железы, тела матки, шейки матки, меланомы кожи; низкий индекс накопления контингента - при ЗНО печени и внутрипеченочных желчных протоков, поджелудочной железы, пищевода.</w:t>
      </w:r>
    </w:p>
    <w:p>
      <w:pPr>
        <w:pStyle w:val="0"/>
        <w:spacing w:before="200" w:line-rule="auto"/>
        <w:ind w:firstLine="540"/>
        <w:jc w:val="both"/>
      </w:pPr>
      <w:r>
        <w:rPr>
          <w:sz w:val="20"/>
        </w:rPr>
        <w:t xml:space="preserve">Одним из основных показателей, определяющих прогноз онкологического заболевания, является степень распространенности опухолевого процесса на момент выявления.</w:t>
      </w:r>
    </w:p>
    <w:p>
      <w:pPr>
        <w:pStyle w:val="0"/>
        <w:spacing w:before="200" w:line-rule="auto"/>
        <w:ind w:firstLine="540"/>
        <w:jc w:val="both"/>
      </w:pPr>
      <w:r>
        <w:rPr>
          <w:sz w:val="20"/>
        </w:rPr>
        <w:t xml:space="preserve">Доля ЗНО, выявленных на ранних стадиях (I - II стадии), от числа всех случаев злокачественных новообразований, выявленных впервые, в 2022 году составила 60,9% (рост в сравнении с 2013 годом составил 8,7%).</w:t>
      </w:r>
    </w:p>
    <w:p>
      <w:pPr>
        <w:pStyle w:val="0"/>
        <w:spacing w:before="200" w:line-rule="auto"/>
        <w:ind w:firstLine="540"/>
        <w:jc w:val="both"/>
      </w:pPr>
      <w:r>
        <w:rPr>
          <w:sz w:val="20"/>
        </w:rPr>
        <w:t xml:space="preserve">Удельный вес больных со злокачественными новообразованиями, выявленных активно, от числа больных с установленным диагнозом злокачественного новообразования в 2022 году составил 30,3% (рост в сравнении с 2013 годом - 18,3%).</w:t>
      </w:r>
    </w:p>
    <w:p>
      <w:pPr>
        <w:pStyle w:val="0"/>
        <w:spacing w:before="200" w:line-rule="auto"/>
        <w:ind w:firstLine="540"/>
        <w:jc w:val="both"/>
      </w:pPr>
      <w:r>
        <w:rPr>
          <w:sz w:val="20"/>
        </w:rPr>
        <w:t xml:space="preserve">Удельный вес больных со злокачественными новообразованиями, выявленных на ранних стадиях (I - II стадии) активно, из числа больных с установленным диагнозом злокачественного новообразования составил 69,7% (на 35,0% выше показателя 2013 года). В Российской Федерации (далее также - РФ) данный показатель составлял в 2021 году - 77,8%.</w:t>
      </w:r>
    </w:p>
    <w:p>
      <w:pPr>
        <w:pStyle w:val="0"/>
        <w:spacing w:before="200" w:line-rule="auto"/>
        <w:ind w:firstLine="540"/>
        <w:jc w:val="both"/>
      </w:pPr>
      <w:r>
        <w:rPr>
          <w:sz w:val="20"/>
        </w:rPr>
        <w:t xml:space="preserve">Количество пациентов, состоящих на учете с раком in situ, ежегодно увеличивается, за 2022 год впервые было выявлено 164 случая рака in situ (в 2021 году - 100 случаев). По состоянию на 31 декабря 2022 года на диспансерном учете состояли 714 пациентов с раком in situ, из них наибольший удельный вес - пациенты с карциномой in situ следующих локализаций: шейки матки - 74,9%, других и неуточненных органов пищеварения - 8,8%, молочной железы - 7,3%.</w:t>
      </w:r>
    </w:p>
    <w:p>
      <w:pPr>
        <w:pStyle w:val="0"/>
        <w:ind w:firstLine="540"/>
        <w:jc w:val="both"/>
      </w:pPr>
      <w:r>
        <w:rPr>
          <w:sz w:val="20"/>
        </w:rPr>
      </w:r>
    </w:p>
    <w:p>
      <w:pPr>
        <w:pStyle w:val="0"/>
        <w:jc w:val="right"/>
      </w:pPr>
      <w:r>
        <w:rPr>
          <w:sz w:val="20"/>
        </w:rPr>
        <w:t xml:space="preserve">Таблица 10</w:t>
      </w:r>
    </w:p>
    <w:p>
      <w:pPr>
        <w:pStyle w:val="0"/>
        <w:jc w:val="right"/>
      </w:pPr>
      <w:r>
        <w:rPr>
          <w:sz w:val="20"/>
        </w:rPr>
      </w:r>
    </w:p>
    <w:p>
      <w:pPr>
        <w:pStyle w:val="0"/>
        <w:jc w:val="center"/>
      </w:pPr>
      <w:r>
        <w:rPr>
          <w:sz w:val="20"/>
        </w:rPr>
        <w:t xml:space="preserve">Характеристика контингентов больных злокачественными</w:t>
      </w:r>
    </w:p>
    <w:p>
      <w:pPr>
        <w:pStyle w:val="0"/>
        <w:jc w:val="center"/>
      </w:pPr>
      <w:r>
        <w:rPr>
          <w:sz w:val="20"/>
        </w:rPr>
        <w:t xml:space="preserve">новообразованиями, взятых на диспансерный учет</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4"/>
        <w:gridCol w:w="1729"/>
        <w:gridCol w:w="1417"/>
        <w:gridCol w:w="1247"/>
        <w:gridCol w:w="1531"/>
        <w:gridCol w:w="1757"/>
        <w:gridCol w:w="850"/>
        <w:gridCol w:w="1084"/>
        <w:gridCol w:w="694"/>
        <w:gridCol w:w="737"/>
        <w:gridCol w:w="694"/>
        <w:gridCol w:w="544"/>
        <w:gridCol w:w="1587"/>
        <w:gridCol w:w="680"/>
      </w:tblGrid>
      <w:tr>
        <w:tc>
          <w:tcPr>
            <w:tcW w:w="664" w:type="dxa"/>
            <w:vMerge w:val="restart"/>
          </w:tcPr>
          <w:p>
            <w:pPr>
              <w:pStyle w:val="0"/>
              <w:jc w:val="center"/>
            </w:pPr>
            <w:r>
              <w:rPr>
                <w:sz w:val="20"/>
              </w:rPr>
              <w:t xml:space="preserve">Годы</w:t>
            </w:r>
          </w:p>
        </w:tc>
        <w:tc>
          <w:tcPr>
            <w:tcW w:w="1729" w:type="dxa"/>
            <w:vMerge w:val="restart"/>
          </w:tcPr>
          <w:p>
            <w:pPr>
              <w:pStyle w:val="0"/>
              <w:jc w:val="center"/>
            </w:pPr>
            <w:r>
              <w:rPr>
                <w:sz w:val="20"/>
              </w:rPr>
              <w:t xml:space="preserve">Количество пациентов, взятых на учет с впервые в жизни установленным диагнозом, абс. число</w:t>
            </w:r>
          </w:p>
        </w:tc>
        <w:tc>
          <w:tcPr>
            <w:tcW w:w="1417" w:type="dxa"/>
            <w:vMerge w:val="restart"/>
          </w:tcPr>
          <w:p>
            <w:pPr>
              <w:pStyle w:val="0"/>
              <w:jc w:val="center"/>
            </w:pPr>
            <w:r>
              <w:rPr>
                <w:sz w:val="20"/>
              </w:rPr>
              <w:t xml:space="preserve">Из них выявлено при профилактических осмотрах, абс. число</w:t>
            </w:r>
          </w:p>
        </w:tc>
        <w:tc>
          <w:tcPr>
            <w:tcW w:w="1247" w:type="dxa"/>
            <w:vMerge w:val="restart"/>
          </w:tcPr>
          <w:p>
            <w:pPr>
              <w:pStyle w:val="0"/>
              <w:jc w:val="center"/>
            </w:pPr>
            <w:r>
              <w:rPr>
                <w:sz w:val="20"/>
              </w:rPr>
              <w:t xml:space="preserve">Доля злокачественных новообразований, выявленных активно, %</w:t>
            </w:r>
          </w:p>
        </w:tc>
        <w:tc>
          <w:tcPr>
            <w:tcW w:w="1531" w:type="dxa"/>
            <w:vMerge w:val="restart"/>
          </w:tcPr>
          <w:p>
            <w:pPr>
              <w:pStyle w:val="0"/>
              <w:jc w:val="center"/>
            </w:pPr>
            <w:r>
              <w:rPr>
                <w:sz w:val="20"/>
              </w:rPr>
              <w:t xml:space="preserve">Количество выявленных злокачественных новообразований (за исключением выявленных посмертно), абс. число</w:t>
            </w:r>
          </w:p>
        </w:tc>
        <w:tc>
          <w:tcPr>
            <w:gridSpan w:val="9"/>
            <w:tcW w:w="8627" w:type="dxa"/>
          </w:tcPr>
          <w:p>
            <w:pPr>
              <w:pStyle w:val="0"/>
              <w:jc w:val="center"/>
            </w:pPr>
            <w:r>
              <w:rPr>
                <w:sz w:val="20"/>
              </w:rPr>
              <w:t xml:space="preserve">Из выявленных злокачественных новообразований (без выявленных посмертно)</w:t>
            </w:r>
          </w:p>
        </w:tc>
      </w:tr>
      <w:tr>
        <w:tc>
          <w:tcPr>
            <w:vMerge w:val="continue"/>
          </w:tcPr>
          <w:p/>
        </w:tc>
        <w:tc>
          <w:tcPr>
            <w:vMerge w:val="continue"/>
          </w:tcPr>
          <w:p/>
        </w:tc>
        <w:tc>
          <w:tcPr>
            <w:vMerge w:val="continue"/>
          </w:tcPr>
          <w:p/>
        </w:tc>
        <w:tc>
          <w:tcPr>
            <w:vMerge w:val="continue"/>
          </w:tcPr>
          <w:p/>
        </w:tc>
        <w:tc>
          <w:tcPr>
            <w:vMerge w:val="continue"/>
          </w:tcPr>
          <w:p/>
        </w:tc>
        <w:tc>
          <w:tcPr>
            <w:tcW w:w="1757" w:type="dxa"/>
            <w:vMerge w:val="restart"/>
          </w:tcPr>
          <w:p>
            <w:pPr>
              <w:pStyle w:val="0"/>
              <w:jc w:val="center"/>
            </w:pPr>
            <w:r>
              <w:rPr>
                <w:sz w:val="20"/>
              </w:rPr>
              <w:t xml:space="preserve">Количество пациентов с морфологически-подтвержденным диагнозом, абс. число</w:t>
            </w:r>
          </w:p>
        </w:tc>
        <w:tc>
          <w:tcPr>
            <w:tcW w:w="850" w:type="dxa"/>
            <w:vMerge w:val="restart"/>
          </w:tcPr>
          <w:p>
            <w:pPr>
              <w:pStyle w:val="0"/>
              <w:jc w:val="center"/>
            </w:pPr>
            <w:r>
              <w:rPr>
                <w:sz w:val="20"/>
              </w:rPr>
              <w:t xml:space="preserve">%</w:t>
            </w:r>
          </w:p>
        </w:tc>
        <w:tc>
          <w:tcPr>
            <w:gridSpan w:val="5"/>
            <w:tcW w:w="3753" w:type="dxa"/>
          </w:tcPr>
          <w:p>
            <w:pPr>
              <w:pStyle w:val="0"/>
              <w:jc w:val="center"/>
            </w:pPr>
            <w:r>
              <w:rPr>
                <w:sz w:val="20"/>
              </w:rPr>
              <w:t xml:space="preserve">Пациенты с установленной стадией заболевания</w:t>
            </w:r>
          </w:p>
        </w:tc>
        <w:tc>
          <w:tcPr>
            <w:tcW w:w="1587" w:type="dxa"/>
            <w:vMerge w:val="restart"/>
          </w:tcPr>
          <w:p>
            <w:pPr>
              <w:pStyle w:val="0"/>
              <w:jc w:val="center"/>
            </w:pPr>
            <w:r>
              <w:rPr>
                <w:sz w:val="20"/>
              </w:rPr>
              <w:t xml:space="preserve">Количество пациентов с неустановленной стадией заболевания, абс. число</w:t>
            </w:r>
          </w:p>
        </w:tc>
        <w:tc>
          <w:tcPr>
            <w:tcW w:w="680" w:type="dxa"/>
            <w:vMerge w:val="restart"/>
          </w:tcPr>
          <w:p>
            <w:pPr>
              <w:pStyle w:val="0"/>
              <w:jc w:val="center"/>
            </w:pPr>
            <w:r>
              <w:rPr>
                <w:sz w:val="20"/>
              </w:rPr>
              <w:t xml:space="preserve">%</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084" w:type="dxa"/>
          </w:tcPr>
          <w:p>
            <w:pPr>
              <w:pStyle w:val="0"/>
              <w:jc w:val="center"/>
            </w:pPr>
            <w:r>
              <w:rPr>
                <w:sz w:val="20"/>
              </w:rPr>
              <w:t xml:space="preserve">I - II</w:t>
            </w:r>
          </w:p>
        </w:tc>
        <w:tc>
          <w:tcPr>
            <w:gridSpan w:val="2"/>
            <w:tcW w:w="1431" w:type="dxa"/>
          </w:tcPr>
          <w:p>
            <w:pPr>
              <w:pStyle w:val="0"/>
              <w:jc w:val="center"/>
            </w:pPr>
            <w:r>
              <w:rPr>
                <w:sz w:val="20"/>
              </w:rPr>
              <w:t xml:space="preserve">III</w:t>
            </w:r>
          </w:p>
        </w:tc>
        <w:tc>
          <w:tcPr>
            <w:gridSpan w:val="2"/>
            <w:tcW w:w="1238" w:type="dxa"/>
          </w:tcPr>
          <w:p>
            <w:pPr>
              <w:pStyle w:val="0"/>
              <w:jc w:val="center"/>
            </w:pPr>
            <w:r>
              <w:rPr>
                <w:sz w:val="20"/>
              </w:rPr>
              <w:t xml:space="preserve">IV</w:t>
            </w:r>
          </w:p>
        </w:tc>
        <w:tc>
          <w:tcPr>
            <w:vMerge w:val="continue"/>
          </w:tcPr>
          <w:p/>
        </w:tc>
        <w:tc>
          <w:tcPr>
            <w:vMerge w:val="continue"/>
          </w:tcP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084" w:type="dxa"/>
          </w:tcPr>
          <w:p>
            <w:pPr>
              <w:pStyle w:val="0"/>
              <w:jc w:val="center"/>
            </w:pPr>
            <w:r>
              <w:rPr>
                <w:sz w:val="20"/>
              </w:rPr>
              <w:t xml:space="preserve">абс. ч./%</w:t>
            </w:r>
          </w:p>
        </w:tc>
        <w:tc>
          <w:tcPr>
            <w:tcW w:w="694" w:type="dxa"/>
          </w:tcPr>
          <w:p>
            <w:pPr>
              <w:pStyle w:val="0"/>
              <w:jc w:val="center"/>
            </w:pPr>
            <w:r>
              <w:rPr>
                <w:sz w:val="20"/>
              </w:rPr>
              <w:t xml:space="preserve">абс. ч.</w:t>
            </w:r>
          </w:p>
        </w:tc>
        <w:tc>
          <w:tcPr>
            <w:tcW w:w="737" w:type="dxa"/>
          </w:tcPr>
          <w:p>
            <w:pPr>
              <w:pStyle w:val="0"/>
              <w:jc w:val="center"/>
            </w:pPr>
            <w:r>
              <w:rPr>
                <w:sz w:val="20"/>
              </w:rPr>
              <w:t xml:space="preserve">%</w:t>
            </w:r>
          </w:p>
        </w:tc>
        <w:tc>
          <w:tcPr>
            <w:tcW w:w="694" w:type="dxa"/>
          </w:tcPr>
          <w:p>
            <w:pPr>
              <w:pStyle w:val="0"/>
              <w:jc w:val="center"/>
            </w:pPr>
            <w:r>
              <w:rPr>
                <w:sz w:val="20"/>
              </w:rPr>
              <w:t xml:space="preserve">абс. ч.</w:t>
            </w:r>
          </w:p>
        </w:tc>
        <w:tc>
          <w:tcPr>
            <w:tcW w:w="544" w:type="dxa"/>
          </w:tcPr>
          <w:p>
            <w:pPr>
              <w:pStyle w:val="0"/>
              <w:jc w:val="center"/>
            </w:pPr>
            <w:r>
              <w:rPr>
                <w:sz w:val="20"/>
              </w:rPr>
              <w:t xml:space="preserve">%</w:t>
            </w:r>
          </w:p>
        </w:tc>
        <w:tc>
          <w:tcPr>
            <w:vMerge w:val="continue"/>
          </w:tcPr>
          <w:p/>
        </w:tc>
        <w:tc>
          <w:tcPr>
            <w:vMerge w:val="continue"/>
          </w:tcPr>
          <w:p/>
        </w:tc>
      </w:tr>
      <w:tr>
        <w:tc>
          <w:tcPr>
            <w:tcW w:w="664" w:type="dxa"/>
          </w:tcPr>
          <w:p>
            <w:pPr>
              <w:pStyle w:val="0"/>
            </w:pPr>
            <w:r>
              <w:rPr>
                <w:sz w:val="20"/>
              </w:rPr>
              <w:t xml:space="preserve">2013</w:t>
            </w:r>
          </w:p>
        </w:tc>
        <w:tc>
          <w:tcPr>
            <w:tcW w:w="1729" w:type="dxa"/>
          </w:tcPr>
          <w:p>
            <w:pPr>
              <w:pStyle w:val="0"/>
            </w:pPr>
            <w:r>
              <w:rPr>
                <w:sz w:val="20"/>
              </w:rPr>
              <w:t xml:space="preserve">3501</w:t>
            </w:r>
          </w:p>
        </w:tc>
        <w:tc>
          <w:tcPr>
            <w:tcW w:w="1417" w:type="dxa"/>
          </w:tcPr>
          <w:p>
            <w:pPr>
              <w:pStyle w:val="0"/>
            </w:pPr>
            <w:r>
              <w:rPr>
                <w:sz w:val="20"/>
              </w:rPr>
              <w:t xml:space="preserve">513</w:t>
            </w:r>
          </w:p>
        </w:tc>
        <w:tc>
          <w:tcPr>
            <w:tcW w:w="1247" w:type="dxa"/>
          </w:tcPr>
          <w:p>
            <w:pPr>
              <w:pStyle w:val="0"/>
            </w:pPr>
            <w:r>
              <w:rPr>
                <w:sz w:val="20"/>
              </w:rPr>
              <w:t xml:space="preserve">14,7</w:t>
            </w:r>
          </w:p>
        </w:tc>
        <w:tc>
          <w:tcPr>
            <w:tcW w:w="1531" w:type="dxa"/>
          </w:tcPr>
          <w:p>
            <w:pPr>
              <w:pStyle w:val="0"/>
            </w:pPr>
            <w:r>
              <w:rPr>
                <w:sz w:val="20"/>
              </w:rPr>
              <w:t xml:space="preserve">3644</w:t>
            </w:r>
          </w:p>
        </w:tc>
        <w:tc>
          <w:tcPr>
            <w:tcW w:w="1757" w:type="dxa"/>
          </w:tcPr>
          <w:p>
            <w:pPr>
              <w:pStyle w:val="0"/>
            </w:pPr>
            <w:r>
              <w:rPr>
                <w:sz w:val="20"/>
              </w:rPr>
              <w:t xml:space="preserve">3313</w:t>
            </w:r>
          </w:p>
        </w:tc>
        <w:tc>
          <w:tcPr>
            <w:tcW w:w="850" w:type="dxa"/>
          </w:tcPr>
          <w:p>
            <w:pPr>
              <w:pStyle w:val="0"/>
            </w:pPr>
            <w:r>
              <w:rPr>
                <w:sz w:val="20"/>
              </w:rPr>
              <w:t xml:space="preserve">90,9</w:t>
            </w:r>
          </w:p>
        </w:tc>
        <w:tc>
          <w:tcPr>
            <w:tcW w:w="1084" w:type="dxa"/>
          </w:tcPr>
          <w:p>
            <w:pPr>
              <w:pStyle w:val="0"/>
            </w:pPr>
            <w:r>
              <w:rPr>
                <w:sz w:val="20"/>
              </w:rPr>
              <w:t xml:space="preserve">1904/52,2</w:t>
            </w:r>
          </w:p>
        </w:tc>
        <w:tc>
          <w:tcPr>
            <w:tcW w:w="694" w:type="dxa"/>
          </w:tcPr>
          <w:p>
            <w:pPr>
              <w:pStyle w:val="0"/>
            </w:pPr>
            <w:r>
              <w:rPr>
                <w:sz w:val="20"/>
              </w:rPr>
              <w:t xml:space="preserve">639</w:t>
            </w:r>
          </w:p>
        </w:tc>
        <w:tc>
          <w:tcPr>
            <w:tcW w:w="737" w:type="dxa"/>
          </w:tcPr>
          <w:p>
            <w:pPr>
              <w:pStyle w:val="0"/>
            </w:pPr>
            <w:r>
              <w:rPr>
                <w:sz w:val="20"/>
              </w:rPr>
              <w:t xml:space="preserve">17,5</w:t>
            </w:r>
          </w:p>
        </w:tc>
        <w:tc>
          <w:tcPr>
            <w:tcW w:w="694" w:type="dxa"/>
          </w:tcPr>
          <w:p>
            <w:pPr>
              <w:pStyle w:val="0"/>
            </w:pPr>
            <w:r>
              <w:rPr>
                <w:sz w:val="20"/>
              </w:rPr>
              <w:t xml:space="preserve">780</w:t>
            </w:r>
          </w:p>
        </w:tc>
        <w:tc>
          <w:tcPr>
            <w:tcW w:w="544" w:type="dxa"/>
          </w:tcPr>
          <w:p>
            <w:pPr>
              <w:pStyle w:val="0"/>
            </w:pPr>
            <w:r>
              <w:rPr>
                <w:sz w:val="20"/>
              </w:rPr>
              <w:t xml:space="preserve">21,4</w:t>
            </w:r>
          </w:p>
        </w:tc>
        <w:tc>
          <w:tcPr>
            <w:tcW w:w="1587" w:type="dxa"/>
          </w:tcPr>
          <w:p>
            <w:pPr>
              <w:pStyle w:val="0"/>
            </w:pPr>
            <w:r>
              <w:rPr>
                <w:sz w:val="20"/>
              </w:rPr>
              <w:t xml:space="preserve">178</w:t>
            </w:r>
          </w:p>
        </w:tc>
        <w:tc>
          <w:tcPr>
            <w:tcW w:w="680" w:type="dxa"/>
          </w:tcPr>
          <w:p>
            <w:pPr>
              <w:pStyle w:val="0"/>
            </w:pPr>
            <w:r>
              <w:rPr>
                <w:sz w:val="20"/>
              </w:rPr>
              <w:t xml:space="preserve">4,9</w:t>
            </w:r>
          </w:p>
        </w:tc>
      </w:tr>
      <w:tr>
        <w:tc>
          <w:tcPr>
            <w:tcW w:w="664" w:type="dxa"/>
          </w:tcPr>
          <w:p>
            <w:pPr>
              <w:pStyle w:val="0"/>
            </w:pPr>
            <w:r>
              <w:rPr>
                <w:sz w:val="20"/>
              </w:rPr>
              <w:t xml:space="preserve">2014</w:t>
            </w:r>
          </w:p>
        </w:tc>
        <w:tc>
          <w:tcPr>
            <w:tcW w:w="1729" w:type="dxa"/>
          </w:tcPr>
          <w:p>
            <w:pPr>
              <w:pStyle w:val="0"/>
            </w:pPr>
            <w:r>
              <w:rPr>
                <w:sz w:val="20"/>
              </w:rPr>
              <w:t xml:space="preserve">3468</w:t>
            </w:r>
          </w:p>
        </w:tc>
        <w:tc>
          <w:tcPr>
            <w:tcW w:w="1417" w:type="dxa"/>
          </w:tcPr>
          <w:p>
            <w:pPr>
              <w:pStyle w:val="0"/>
            </w:pPr>
            <w:r>
              <w:rPr>
                <w:sz w:val="20"/>
              </w:rPr>
              <w:t xml:space="preserve">652</w:t>
            </w:r>
          </w:p>
        </w:tc>
        <w:tc>
          <w:tcPr>
            <w:tcW w:w="1247" w:type="dxa"/>
          </w:tcPr>
          <w:p>
            <w:pPr>
              <w:pStyle w:val="0"/>
            </w:pPr>
            <w:r>
              <w:rPr>
                <w:sz w:val="20"/>
              </w:rPr>
              <w:t xml:space="preserve">18,8</w:t>
            </w:r>
          </w:p>
        </w:tc>
        <w:tc>
          <w:tcPr>
            <w:tcW w:w="1531" w:type="dxa"/>
          </w:tcPr>
          <w:p>
            <w:pPr>
              <w:pStyle w:val="0"/>
            </w:pPr>
            <w:r>
              <w:rPr>
                <w:sz w:val="20"/>
              </w:rPr>
              <w:t xml:space="preserve">3640</w:t>
            </w:r>
          </w:p>
        </w:tc>
        <w:tc>
          <w:tcPr>
            <w:tcW w:w="1757" w:type="dxa"/>
          </w:tcPr>
          <w:p>
            <w:pPr>
              <w:pStyle w:val="0"/>
            </w:pPr>
            <w:r>
              <w:rPr>
                <w:sz w:val="20"/>
              </w:rPr>
              <w:t xml:space="preserve">3311</w:t>
            </w:r>
          </w:p>
        </w:tc>
        <w:tc>
          <w:tcPr>
            <w:tcW w:w="850" w:type="dxa"/>
          </w:tcPr>
          <w:p>
            <w:pPr>
              <w:pStyle w:val="0"/>
            </w:pPr>
            <w:r>
              <w:rPr>
                <w:sz w:val="20"/>
              </w:rPr>
              <w:t xml:space="preserve">91</w:t>
            </w:r>
          </w:p>
        </w:tc>
        <w:tc>
          <w:tcPr>
            <w:tcW w:w="1084" w:type="dxa"/>
          </w:tcPr>
          <w:p>
            <w:pPr>
              <w:pStyle w:val="0"/>
            </w:pPr>
            <w:r>
              <w:rPr>
                <w:sz w:val="20"/>
              </w:rPr>
              <w:t xml:space="preserve">1873/51,4</w:t>
            </w:r>
          </w:p>
        </w:tc>
        <w:tc>
          <w:tcPr>
            <w:tcW w:w="694" w:type="dxa"/>
          </w:tcPr>
          <w:p>
            <w:pPr>
              <w:pStyle w:val="0"/>
            </w:pPr>
            <w:r>
              <w:rPr>
                <w:sz w:val="20"/>
              </w:rPr>
              <w:t xml:space="preserve">659</w:t>
            </w:r>
          </w:p>
        </w:tc>
        <w:tc>
          <w:tcPr>
            <w:tcW w:w="737" w:type="dxa"/>
          </w:tcPr>
          <w:p>
            <w:pPr>
              <w:pStyle w:val="0"/>
            </w:pPr>
            <w:r>
              <w:rPr>
                <w:sz w:val="20"/>
              </w:rPr>
              <w:t xml:space="preserve">18,1</w:t>
            </w:r>
          </w:p>
        </w:tc>
        <w:tc>
          <w:tcPr>
            <w:tcW w:w="694" w:type="dxa"/>
          </w:tcPr>
          <w:p>
            <w:pPr>
              <w:pStyle w:val="0"/>
            </w:pPr>
            <w:r>
              <w:rPr>
                <w:sz w:val="20"/>
              </w:rPr>
              <w:t xml:space="preserve">808</w:t>
            </w:r>
          </w:p>
        </w:tc>
        <w:tc>
          <w:tcPr>
            <w:tcW w:w="544" w:type="dxa"/>
          </w:tcPr>
          <w:p>
            <w:pPr>
              <w:pStyle w:val="0"/>
            </w:pPr>
            <w:r>
              <w:rPr>
                <w:sz w:val="20"/>
              </w:rPr>
              <w:t xml:space="preserve">22,2</w:t>
            </w:r>
          </w:p>
        </w:tc>
        <w:tc>
          <w:tcPr>
            <w:tcW w:w="1587" w:type="dxa"/>
          </w:tcPr>
          <w:p>
            <w:pPr>
              <w:pStyle w:val="0"/>
            </w:pPr>
            <w:r>
              <w:rPr>
                <w:sz w:val="20"/>
              </w:rPr>
              <w:t xml:space="preserve">300</w:t>
            </w:r>
          </w:p>
        </w:tc>
        <w:tc>
          <w:tcPr>
            <w:tcW w:w="680" w:type="dxa"/>
          </w:tcPr>
          <w:p>
            <w:pPr>
              <w:pStyle w:val="0"/>
            </w:pPr>
            <w:r>
              <w:rPr>
                <w:sz w:val="20"/>
              </w:rPr>
              <w:t xml:space="preserve">8,2</w:t>
            </w:r>
          </w:p>
        </w:tc>
      </w:tr>
      <w:tr>
        <w:tc>
          <w:tcPr>
            <w:tcW w:w="664" w:type="dxa"/>
          </w:tcPr>
          <w:p>
            <w:pPr>
              <w:pStyle w:val="0"/>
            </w:pPr>
            <w:r>
              <w:rPr>
                <w:sz w:val="20"/>
              </w:rPr>
              <w:t xml:space="preserve">2015</w:t>
            </w:r>
          </w:p>
        </w:tc>
        <w:tc>
          <w:tcPr>
            <w:tcW w:w="1729" w:type="dxa"/>
          </w:tcPr>
          <w:p>
            <w:pPr>
              <w:pStyle w:val="0"/>
            </w:pPr>
            <w:r>
              <w:rPr>
                <w:sz w:val="20"/>
              </w:rPr>
              <w:t xml:space="preserve">4054</w:t>
            </w:r>
          </w:p>
        </w:tc>
        <w:tc>
          <w:tcPr>
            <w:tcW w:w="1417" w:type="dxa"/>
          </w:tcPr>
          <w:p>
            <w:pPr>
              <w:pStyle w:val="0"/>
            </w:pPr>
            <w:r>
              <w:rPr>
                <w:sz w:val="20"/>
              </w:rPr>
              <w:t xml:space="preserve">1142</w:t>
            </w:r>
          </w:p>
        </w:tc>
        <w:tc>
          <w:tcPr>
            <w:tcW w:w="1247" w:type="dxa"/>
          </w:tcPr>
          <w:p>
            <w:pPr>
              <w:pStyle w:val="0"/>
            </w:pPr>
            <w:r>
              <w:rPr>
                <w:sz w:val="20"/>
              </w:rPr>
              <w:t xml:space="preserve">28,2</w:t>
            </w:r>
          </w:p>
        </w:tc>
        <w:tc>
          <w:tcPr>
            <w:tcW w:w="1531" w:type="dxa"/>
          </w:tcPr>
          <w:p>
            <w:pPr>
              <w:pStyle w:val="0"/>
            </w:pPr>
            <w:r>
              <w:rPr>
                <w:sz w:val="20"/>
              </w:rPr>
              <w:t xml:space="preserve">4214</w:t>
            </w:r>
          </w:p>
        </w:tc>
        <w:tc>
          <w:tcPr>
            <w:tcW w:w="1757" w:type="dxa"/>
          </w:tcPr>
          <w:p>
            <w:pPr>
              <w:pStyle w:val="0"/>
            </w:pPr>
            <w:r>
              <w:rPr>
                <w:sz w:val="20"/>
              </w:rPr>
              <w:t xml:space="preserve">3893</w:t>
            </w:r>
          </w:p>
        </w:tc>
        <w:tc>
          <w:tcPr>
            <w:tcW w:w="850" w:type="dxa"/>
          </w:tcPr>
          <w:p>
            <w:pPr>
              <w:pStyle w:val="0"/>
            </w:pPr>
            <w:r>
              <w:rPr>
                <w:sz w:val="20"/>
              </w:rPr>
              <w:t xml:space="preserve">92,4</w:t>
            </w:r>
          </w:p>
        </w:tc>
        <w:tc>
          <w:tcPr>
            <w:tcW w:w="1084" w:type="dxa"/>
          </w:tcPr>
          <w:p>
            <w:pPr>
              <w:pStyle w:val="0"/>
            </w:pPr>
            <w:r>
              <w:rPr>
                <w:sz w:val="20"/>
              </w:rPr>
              <w:t xml:space="preserve">2250/53,4</w:t>
            </w:r>
          </w:p>
        </w:tc>
        <w:tc>
          <w:tcPr>
            <w:tcW w:w="694" w:type="dxa"/>
          </w:tcPr>
          <w:p>
            <w:pPr>
              <w:pStyle w:val="0"/>
            </w:pPr>
            <w:r>
              <w:rPr>
                <w:sz w:val="20"/>
              </w:rPr>
              <w:t xml:space="preserve">700</w:t>
            </w:r>
          </w:p>
        </w:tc>
        <w:tc>
          <w:tcPr>
            <w:tcW w:w="737" w:type="dxa"/>
          </w:tcPr>
          <w:p>
            <w:pPr>
              <w:pStyle w:val="0"/>
            </w:pPr>
            <w:r>
              <w:rPr>
                <w:sz w:val="20"/>
              </w:rPr>
              <w:t xml:space="preserve">17</w:t>
            </w:r>
          </w:p>
        </w:tc>
        <w:tc>
          <w:tcPr>
            <w:tcW w:w="694" w:type="dxa"/>
          </w:tcPr>
          <w:p>
            <w:pPr>
              <w:pStyle w:val="0"/>
            </w:pPr>
            <w:r>
              <w:rPr>
                <w:sz w:val="20"/>
              </w:rPr>
              <w:t xml:space="preserve">966</w:t>
            </w:r>
          </w:p>
        </w:tc>
        <w:tc>
          <w:tcPr>
            <w:tcW w:w="544" w:type="dxa"/>
          </w:tcPr>
          <w:p>
            <w:pPr>
              <w:pStyle w:val="0"/>
            </w:pPr>
            <w:r>
              <w:rPr>
                <w:sz w:val="20"/>
              </w:rPr>
              <w:t xml:space="preserve">23</w:t>
            </w:r>
          </w:p>
        </w:tc>
        <w:tc>
          <w:tcPr>
            <w:tcW w:w="1587" w:type="dxa"/>
          </w:tcPr>
          <w:p>
            <w:pPr>
              <w:pStyle w:val="0"/>
            </w:pPr>
            <w:r>
              <w:rPr>
                <w:sz w:val="20"/>
              </w:rPr>
              <w:t xml:space="preserve">298</w:t>
            </w:r>
          </w:p>
        </w:tc>
        <w:tc>
          <w:tcPr>
            <w:tcW w:w="680" w:type="dxa"/>
          </w:tcPr>
          <w:p>
            <w:pPr>
              <w:pStyle w:val="0"/>
            </w:pPr>
            <w:r>
              <w:rPr>
                <w:sz w:val="20"/>
              </w:rPr>
              <w:t xml:space="preserve">7,1</w:t>
            </w:r>
          </w:p>
        </w:tc>
      </w:tr>
      <w:tr>
        <w:tc>
          <w:tcPr>
            <w:tcW w:w="664" w:type="dxa"/>
          </w:tcPr>
          <w:p>
            <w:pPr>
              <w:pStyle w:val="0"/>
            </w:pPr>
            <w:r>
              <w:rPr>
                <w:sz w:val="20"/>
              </w:rPr>
              <w:t xml:space="preserve">2016</w:t>
            </w:r>
          </w:p>
        </w:tc>
        <w:tc>
          <w:tcPr>
            <w:tcW w:w="1729" w:type="dxa"/>
          </w:tcPr>
          <w:p>
            <w:pPr>
              <w:pStyle w:val="0"/>
            </w:pPr>
            <w:r>
              <w:rPr>
                <w:sz w:val="20"/>
              </w:rPr>
              <w:t xml:space="preserve">4157</w:t>
            </w:r>
          </w:p>
        </w:tc>
        <w:tc>
          <w:tcPr>
            <w:tcW w:w="1417" w:type="dxa"/>
          </w:tcPr>
          <w:p>
            <w:pPr>
              <w:pStyle w:val="0"/>
            </w:pPr>
            <w:r>
              <w:rPr>
                <w:sz w:val="20"/>
              </w:rPr>
              <w:t xml:space="preserve">1386</w:t>
            </w:r>
          </w:p>
        </w:tc>
        <w:tc>
          <w:tcPr>
            <w:tcW w:w="1247" w:type="dxa"/>
          </w:tcPr>
          <w:p>
            <w:pPr>
              <w:pStyle w:val="0"/>
            </w:pPr>
            <w:r>
              <w:rPr>
                <w:sz w:val="20"/>
              </w:rPr>
              <w:t xml:space="preserve">33,3</w:t>
            </w:r>
          </w:p>
        </w:tc>
        <w:tc>
          <w:tcPr>
            <w:tcW w:w="1531" w:type="dxa"/>
          </w:tcPr>
          <w:p>
            <w:pPr>
              <w:pStyle w:val="0"/>
            </w:pPr>
            <w:r>
              <w:rPr>
                <w:sz w:val="20"/>
              </w:rPr>
              <w:t xml:space="preserve">4345</w:t>
            </w:r>
          </w:p>
        </w:tc>
        <w:tc>
          <w:tcPr>
            <w:tcW w:w="1757" w:type="dxa"/>
          </w:tcPr>
          <w:p>
            <w:pPr>
              <w:pStyle w:val="0"/>
            </w:pPr>
            <w:r>
              <w:rPr>
                <w:sz w:val="20"/>
              </w:rPr>
              <w:t xml:space="preserve">4058</w:t>
            </w:r>
          </w:p>
        </w:tc>
        <w:tc>
          <w:tcPr>
            <w:tcW w:w="850" w:type="dxa"/>
          </w:tcPr>
          <w:p>
            <w:pPr>
              <w:pStyle w:val="0"/>
            </w:pPr>
            <w:r>
              <w:rPr>
                <w:sz w:val="20"/>
              </w:rPr>
              <w:t xml:space="preserve">93,4</w:t>
            </w:r>
          </w:p>
        </w:tc>
        <w:tc>
          <w:tcPr>
            <w:tcW w:w="1084" w:type="dxa"/>
          </w:tcPr>
          <w:p>
            <w:pPr>
              <w:pStyle w:val="0"/>
            </w:pPr>
            <w:r>
              <w:rPr>
                <w:sz w:val="20"/>
              </w:rPr>
              <w:t xml:space="preserve">2352/54,2</w:t>
            </w:r>
          </w:p>
        </w:tc>
        <w:tc>
          <w:tcPr>
            <w:tcW w:w="694" w:type="dxa"/>
          </w:tcPr>
          <w:p>
            <w:pPr>
              <w:pStyle w:val="0"/>
            </w:pPr>
            <w:r>
              <w:rPr>
                <w:sz w:val="20"/>
              </w:rPr>
              <w:t xml:space="preserve">744</w:t>
            </w:r>
          </w:p>
        </w:tc>
        <w:tc>
          <w:tcPr>
            <w:tcW w:w="737" w:type="dxa"/>
          </w:tcPr>
          <w:p>
            <w:pPr>
              <w:pStyle w:val="0"/>
            </w:pPr>
            <w:r>
              <w:rPr>
                <w:sz w:val="20"/>
              </w:rPr>
              <w:t xml:space="preserve">17,1</w:t>
            </w:r>
          </w:p>
        </w:tc>
        <w:tc>
          <w:tcPr>
            <w:tcW w:w="694" w:type="dxa"/>
          </w:tcPr>
          <w:p>
            <w:pPr>
              <w:pStyle w:val="0"/>
            </w:pPr>
            <w:r>
              <w:rPr>
                <w:sz w:val="20"/>
              </w:rPr>
              <w:t xml:space="preserve">996</w:t>
            </w:r>
          </w:p>
        </w:tc>
        <w:tc>
          <w:tcPr>
            <w:tcW w:w="544" w:type="dxa"/>
          </w:tcPr>
          <w:p>
            <w:pPr>
              <w:pStyle w:val="0"/>
            </w:pPr>
            <w:r>
              <w:rPr>
                <w:sz w:val="20"/>
              </w:rPr>
              <w:t xml:space="preserve">22,9</w:t>
            </w:r>
          </w:p>
        </w:tc>
        <w:tc>
          <w:tcPr>
            <w:tcW w:w="1587" w:type="dxa"/>
          </w:tcPr>
          <w:p>
            <w:pPr>
              <w:pStyle w:val="0"/>
            </w:pPr>
            <w:r>
              <w:rPr>
                <w:sz w:val="20"/>
              </w:rPr>
              <w:t xml:space="preserve">253</w:t>
            </w:r>
          </w:p>
        </w:tc>
        <w:tc>
          <w:tcPr>
            <w:tcW w:w="680" w:type="dxa"/>
          </w:tcPr>
          <w:p>
            <w:pPr>
              <w:pStyle w:val="0"/>
            </w:pPr>
            <w:r>
              <w:rPr>
                <w:sz w:val="20"/>
              </w:rPr>
              <w:t xml:space="preserve">5,8</w:t>
            </w:r>
          </w:p>
        </w:tc>
      </w:tr>
      <w:tr>
        <w:tc>
          <w:tcPr>
            <w:tcW w:w="664" w:type="dxa"/>
          </w:tcPr>
          <w:p>
            <w:pPr>
              <w:pStyle w:val="0"/>
            </w:pPr>
            <w:r>
              <w:rPr>
                <w:sz w:val="20"/>
              </w:rPr>
              <w:t xml:space="preserve">2017</w:t>
            </w:r>
          </w:p>
        </w:tc>
        <w:tc>
          <w:tcPr>
            <w:tcW w:w="1729" w:type="dxa"/>
          </w:tcPr>
          <w:p>
            <w:pPr>
              <w:pStyle w:val="0"/>
            </w:pPr>
            <w:r>
              <w:rPr>
                <w:sz w:val="20"/>
              </w:rPr>
              <w:t xml:space="preserve">4243</w:t>
            </w:r>
          </w:p>
        </w:tc>
        <w:tc>
          <w:tcPr>
            <w:tcW w:w="1417" w:type="dxa"/>
          </w:tcPr>
          <w:p>
            <w:pPr>
              <w:pStyle w:val="0"/>
            </w:pPr>
            <w:r>
              <w:rPr>
                <w:sz w:val="20"/>
              </w:rPr>
              <w:t xml:space="preserve">1491</w:t>
            </w:r>
          </w:p>
        </w:tc>
        <w:tc>
          <w:tcPr>
            <w:tcW w:w="1247" w:type="dxa"/>
          </w:tcPr>
          <w:p>
            <w:pPr>
              <w:pStyle w:val="0"/>
            </w:pPr>
            <w:r>
              <w:rPr>
                <w:sz w:val="20"/>
              </w:rPr>
              <w:t xml:space="preserve">35,1</w:t>
            </w:r>
          </w:p>
        </w:tc>
        <w:tc>
          <w:tcPr>
            <w:tcW w:w="1531" w:type="dxa"/>
          </w:tcPr>
          <w:p>
            <w:pPr>
              <w:pStyle w:val="0"/>
            </w:pPr>
            <w:r>
              <w:rPr>
                <w:sz w:val="20"/>
              </w:rPr>
              <w:t xml:space="preserve">4463</w:t>
            </w:r>
          </w:p>
        </w:tc>
        <w:tc>
          <w:tcPr>
            <w:tcW w:w="1757" w:type="dxa"/>
          </w:tcPr>
          <w:p>
            <w:pPr>
              <w:pStyle w:val="0"/>
            </w:pPr>
            <w:r>
              <w:rPr>
                <w:sz w:val="20"/>
              </w:rPr>
              <w:t xml:space="preserve">4171</w:t>
            </w:r>
          </w:p>
        </w:tc>
        <w:tc>
          <w:tcPr>
            <w:tcW w:w="850" w:type="dxa"/>
          </w:tcPr>
          <w:p>
            <w:pPr>
              <w:pStyle w:val="0"/>
            </w:pPr>
            <w:r>
              <w:rPr>
                <w:sz w:val="20"/>
              </w:rPr>
              <w:t xml:space="preserve">93,5</w:t>
            </w:r>
          </w:p>
        </w:tc>
        <w:tc>
          <w:tcPr>
            <w:tcW w:w="1084" w:type="dxa"/>
          </w:tcPr>
          <w:p>
            <w:pPr>
              <w:pStyle w:val="0"/>
            </w:pPr>
            <w:r>
              <w:rPr>
                <w:sz w:val="20"/>
              </w:rPr>
              <w:t xml:space="preserve">2452/55,6</w:t>
            </w:r>
          </w:p>
        </w:tc>
        <w:tc>
          <w:tcPr>
            <w:tcW w:w="694" w:type="dxa"/>
          </w:tcPr>
          <w:p>
            <w:pPr>
              <w:pStyle w:val="0"/>
            </w:pPr>
            <w:r>
              <w:rPr>
                <w:sz w:val="20"/>
              </w:rPr>
              <w:t xml:space="preserve">760</w:t>
            </w:r>
          </w:p>
        </w:tc>
        <w:tc>
          <w:tcPr>
            <w:tcW w:w="737" w:type="dxa"/>
          </w:tcPr>
          <w:p>
            <w:pPr>
              <w:pStyle w:val="0"/>
            </w:pPr>
            <w:r>
              <w:rPr>
                <w:sz w:val="20"/>
              </w:rPr>
              <w:t xml:space="preserve">17</w:t>
            </w:r>
          </w:p>
        </w:tc>
        <w:tc>
          <w:tcPr>
            <w:tcW w:w="694" w:type="dxa"/>
          </w:tcPr>
          <w:p>
            <w:pPr>
              <w:pStyle w:val="0"/>
            </w:pPr>
            <w:r>
              <w:rPr>
                <w:sz w:val="20"/>
              </w:rPr>
              <w:t xml:space="preserve">1003</w:t>
            </w:r>
          </w:p>
        </w:tc>
        <w:tc>
          <w:tcPr>
            <w:tcW w:w="544" w:type="dxa"/>
          </w:tcPr>
          <w:p>
            <w:pPr>
              <w:pStyle w:val="0"/>
            </w:pPr>
            <w:r>
              <w:rPr>
                <w:sz w:val="20"/>
              </w:rPr>
              <w:t xml:space="preserve">22,5</w:t>
            </w:r>
          </w:p>
        </w:tc>
        <w:tc>
          <w:tcPr>
            <w:tcW w:w="1587" w:type="dxa"/>
          </w:tcPr>
          <w:p>
            <w:pPr>
              <w:pStyle w:val="0"/>
            </w:pPr>
            <w:r>
              <w:rPr>
                <w:sz w:val="20"/>
              </w:rPr>
              <w:t xml:space="preserve">219</w:t>
            </w:r>
          </w:p>
        </w:tc>
        <w:tc>
          <w:tcPr>
            <w:tcW w:w="680" w:type="dxa"/>
          </w:tcPr>
          <w:p>
            <w:pPr>
              <w:pStyle w:val="0"/>
            </w:pPr>
            <w:r>
              <w:rPr>
                <w:sz w:val="20"/>
              </w:rPr>
              <w:t xml:space="preserve">4,9</w:t>
            </w:r>
          </w:p>
        </w:tc>
      </w:tr>
      <w:tr>
        <w:tc>
          <w:tcPr>
            <w:tcW w:w="664" w:type="dxa"/>
          </w:tcPr>
          <w:p>
            <w:pPr>
              <w:pStyle w:val="0"/>
            </w:pPr>
            <w:r>
              <w:rPr>
                <w:sz w:val="20"/>
              </w:rPr>
              <w:t xml:space="preserve">2018</w:t>
            </w:r>
          </w:p>
        </w:tc>
        <w:tc>
          <w:tcPr>
            <w:tcW w:w="1729" w:type="dxa"/>
          </w:tcPr>
          <w:p>
            <w:pPr>
              <w:pStyle w:val="0"/>
            </w:pPr>
            <w:r>
              <w:rPr>
                <w:sz w:val="20"/>
              </w:rPr>
              <w:t xml:space="preserve">4307</w:t>
            </w:r>
          </w:p>
        </w:tc>
        <w:tc>
          <w:tcPr>
            <w:tcW w:w="1417" w:type="dxa"/>
          </w:tcPr>
          <w:p>
            <w:pPr>
              <w:pStyle w:val="0"/>
            </w:pPr>
            <w:r>
              <w:rPr>
                <w:sz w:val="20"/>
              </w:rPr>
              <w:t xml:space="preserve">1362</w:t>
            </w:r>
          </w:p>
        </w:tc>
        <w:tc>
          <w:tcPr>
            <w:tcW w:w="1247" w:type="dxa"/>
          </w:tcPr>
          <w:p>
            <w:pPr>
              <w:pStyle w:val="0"/>
            </w:pPr>
            <w:r>
              <w:rPr>
                <w:sz w:val="20"/>
              </w:rPr>
              <w:t xml:space="preserve">31,6</w:t>
            </w:r>
          </w:p>
        </w:tc>
        <w:tc>
          <w:tcPr>
            <w:tcW w:w="1531" w:type="dxa"/>
          </w:tcPr>
          <w:p>
            <w:pPr>
              <w:pStyle w:val="0"/>
            </w:pPr>
            <w:r>
              <w:rPr>
                <w:sz w:val="20"/>
              </w:rPr>
              <w:t xml:space="preserve">4613</w:t>
            </w:r>
          </w:p>
        </w:tc>
        <w:tc>
          <w:tcPr>
            <w:tcW w:w="1757" w:type="dxa"/>
          </w:tcPr>
          <w:p>
            <w:pPr>
              <w:pStyle w:val="0"/>
            </w:pPr>
            <w:r>
              <w:rPr>
                <w:sz w:val="20"/>
              </w:rPr>
              <w:t xml:space="preserve">4312</w:t>
            </w:r>
          </w:p>
        </w:tc>
        <w:tc>
          <w:tcPr>
            <w:tcW w:w="850" w:type="dxa"/>
          </w:tcPr>
          <w:p>
            <w:pPr>
              <w:pStyle w:val="0"/>
            </w:pPr>
            <w:r>
              <w:rPr>
                <w:sz w:val="20"/>
              </w:rPr>
              <w:t xml:space="preserve">93,5</w:t>
            </w:r>
          </w:p>
        </w:tc>
        <w:tc>
          <w:tcPr>
            <w:tcW w:w="1084" w:type="dxa"/>
          </w:tcPr>
          <w:p>
            <w:pPr>
              <w:pStyle w:val="0"/>
            </w:pPr>
            <w:r>
              <w:rPr>
                <w:sz w:val="20"/>
              </w:rPr>
              <w:t xml:space="preserve">2587/56,1</w:t>
            </w:r>
          </w:p>
        </w:tc>
        <w:tc>
          <w:tcPr>
            <w:tcW w:w="694" w:type="dxa"/>
          </w:tcPr>
          <w:p>
            <w:pPr>
              <w:pStyle w:val="0"/>
            </w:pPr>
            <w:r>
              <w:rPr>
                <w:sz w:val="20"/>
              </w:rPr>
              <w:t xml:space="preserve">690</w:t>
            </w:r>
          </w:p>
        </w:tc>
        <w:tc>
          <w:tcPr>
            <w:tcW w:w="737" w:type="dxa"/>
          </w:tcPr>
          <w:p>
            <w:pPr>
              <w:pStyle w:val="0"/>
            </w:pPr>
            <w:r>
              <w:rPr>
                <w:sz w:val="20"/>
              </w:rPr>
              <w:t xml:space="preserve">15</w:t>
            </w:r>
          </w:p>
        </w:tc>
        <w:tc>
          <w:tcPr>
            <w:tcW w:w="694" w:type="dxa"/>
          </w:tcPr>
          <w:p>
            <w:pPr>
              <w:pStyle w:val="0"/>
            </w:pPr>
            <w:r>
              <w:rPr>
                <w:sz w:val="20"/>
              </w:rPr>
              <w:t xml:space="preserve">1130</w:t>
            </w:r>
          </w:p>
        </w:tc>
        <w:tc>
          <w:tcPr>
            <w:tcW w:w="544" w:type="dxa"/>
          </w:tcPr>
          <w:p>
            <w:pPr>
              <w:pStyle w:val="0"/>
            </w:pPr>
            <w:r>
              <w:rPr>
                <w:sz w:val="20"/>
              </w:rPr>
              <w:t xml:space="preserve">24,5</w:t>
            </w:r>
          </w:p>
        </w:tc>
        <w:tc>
          <w:tcPr>
            <w:tcW w:w="1587" w:type="dxa"/>
          </w:tcPr>
          <w:p>
            <w:pPr>
              <w:pStyle w:val="0"/>
            </w:pPr>
            <w:r>
              <w:rPr>
                <w:sz w:val="20"/>
              </w:rPr>
              <w:t xml:space="preserve">206</w:t>
            </w:r>
          </w:p>
        </w:tc>
        <w:tc>
          <w:tcPr>
            <w:tcW w:w="680" w:type="dxa"/>
          </w:tcPr>
          <w:p>
            <w:pPr>
              <w:pStyle w:val="0"/>
            </w:pPr>
            <w:r>
              <w:rPr>
                <w:sz w:val="20"/>
              </w:rPr>
              <w:t xml:space="preserve">4,5</w:t>
            </w:r>
          </w:p>
        </w:tc>
      </w:tr>
      <w:tr>
        <w:tc>
          <w:tcPr>
            <w:tcW w:w="664" w:type="dxa"/>
          </w:tcPr>
          <w:p>
            <w:pPr>
              <w:pStyle w:val="0"/>
            </w:pPr>
            <w:r>
              <w:rPr>
                <w:sz w:val="20"/>
              </w:rPr>
              <w:t xml:space="preserve">2019</w:t>
            </w:r>
          </w:p>
        </w:tc>
        <w:tc>
          <w:tcPr>
            <w:tcW w:w="1729" w:type="dxa"/>
          </w:tcPr>
          <w:p>
            <w:pPr>
              <w:pStyle w:val="0"/>
            </w:pPr>
            <w:r>
              <w:rPr>
                <w:sz w:val="20"/>
              </w:rPr>
              <w:t xml:space="preserve">4637</w:t>
            </w:r>
          </w:p>
        </w:tc>
        <w:tc>
          <w:tcPr>
            <w:tcW w:w="1417" w:type="dxa"/>
          </w:tcPr>
          <w:p>
            <w:pPr>
              <w:pStyle w:val="0"/>
            </w:pPr>
            <w:r>
              <w:rPr>
                <w:sz w:val="20"/>
              </w:rPr>
              <w:t xml:space="preserve">1788</w:t>
            </w:r>
          </w:p>
        </w:tc>
        <w:tc>
          <w:tcPr>
            <w:tcW w:w="1247" w:type="dxa"/>
          </w:tcPr>
          <w:p>
            <w:pPr>
              <w:pStyle w:val="0"/>
            </w:pPr>
            <w:r>
              <w:rPr>
                <w:sz w:val="20"/>
              </w:rPr>
              <w:t xml:space="preserve">38,6</w:t>
            </w:r>
          </w:p>
        </w:tc>
        <w:tc>
          <w:tcPr>
            <w:tcW w:w="1531" w:type="dxa"/>
          </w:tcPr>
          <w:p>
            <w:pPr>
              <w:pStyle w:val="0"/>
            </w:pPr>
            <w:r>
              <w:rPr>
                <w:sz w:val="20"/>
              </w:rPr>
              <w:t xml:space="preserve">4945</w:t>
            </w:r>
          </w:p>
        </w:tc>
        <w:tc>
          <w:tcPr>
            <w:tcW w:w="1757" w:type="dxa"/>
          </w:tcPr>
          <w:p>
            <w:pPr>
              <w:pStyle w:val="0"/>
            </w:pPr>
            <w:r>
              <w:rPr>
                <w:sz w:val="20"/>
              </w:rPr>
              <w:t xml:space="preserve">4698</w:t>
            </w:r>
          </w:p>
        </w:tc>
        <w:tc>
          <w:tcPr>
            <w:tcW w:w="850" w:type="dxa"/>
          </w:tcPr>
          <w:p>
            <w:pPr>
              <w:pStyle w:val="0"/>
            </w:pPr>
            <w:r>
              <w:rPr>
                <w:sz w:val="20"/>
              </w:rPr>
              <w:t xml:space="preserve">95</w:t>
            </w:r>
          </w:p>
        </w:tc>
        <w:tc>
          <w:tcPr>
            <w:tcW w:w="1084" w:type="dxa"/>
          </w:tcPr>
          <w:p>
            <w:pPr>
              <w:pStyle w:val="0"/>
            </w:pPr>
            <w:r>
              <w:rPr>
                <w:sz w:val="20"/>
              </w:rPr>
              <w:t xml:space="preserve">2799/56,6</w:t>
            </w:r>
          </w:p>
        </w:tc>
        <w:tc>
          <w:tcPr>
            <w:tcW w:w="694" w:type="dxa"/>
          </w:tcPr>
          <w:p>
            <w:pPr>
              <w:pStyle w:val="0"/>
            </w:pPr>
            <w:r>
              <w:rPr>
                <w:sz w:val="20"/>
              </w:rPr>
              <w:t xml:space="preserve">921</w:t>
            </w:r>
          </w:p>
        </w:tc>
        <w:tc>
          <w:tcPr>
            <w:tcW w:w="737" w:type="dxa"/>
          </w:tcPr>
          <w:p>
            <w:pPr>
              <w:pStyle w:val="0"/>
            </w:pPr>
            <w:r>
              <w:rPr>
                <w:sz w:val="20"/>
              </w:rPr>
              <w:t xml:space="preserve">18,6</w:t>
            </w:r>
          </w:p>
        </w:tc>
        <w:tc>
          <w:tcPr>
            <w:tcW w:w="694" w:type="dxa"/>
          </w:tcPr>
          <w:p>
            <w:pPr>
              <w:pStyle w:val="0"/>
            </w:pPr>
            <w:r>
              <w:rPr>
                <w:sz w:val="20"/>
              </w:rPr>
              <w:t xml:space="preserve">1019</w:t>
            </w:r>
          </w:p>
        </w:tc>
        <w:tc>
          <w:tcPr>
            <w:tcW w:w="544" w:type="dxa"/>
          </w:tcPr>
          <w:p>
            <w:pPr>
              <w:pStyle w:val="0"/>
            </w:pPr>
            <w:r>
              <w:rPr>
                <w:sz w:val="20"/>
              </w:rPr>
              <w:t xml:space="preserve">20,6</w:t>
            </w:r>
          </w:p>
        </w:tc>
        <w:tc>
          <w:tcPr>
            <w:tcW w:w="1587" w:type="dxa"/>
          </w:tcPr>
          <w:p>
            <w:pPr>
              <w:pStyle w:val="0"/>
            </w:pPr>
            <w:r>
              <w:rPr>
                <w:sz w:val="20"/>
              </w:rPr>
              <w:t xml:space="preserve">206</w:t>
            </w:r>
          </w:p>
        </w:tc>
        <w:tc>
          <w:tcPr>
            <w:tcW w:w="680" w:type="dxa"/>
          </w:tcPr>
          <w:p>
            <w:pPr>
              <w:pStyle w:val="0"/>
            </w:pPr>
            <w:r>
              <w:rPr>
                <w:sz w:val="20"/>
              </w:rPr>
              <w:t xml:space="preserve">4,2</w:t>
            </w:r>
          </w:p>
        </w:tc>
      </w:tr>
      <w:tr>
        <w:tc>
          <w:tcPr>
            <w:tcW w:w="664" w:type="dxa"/>
          </w:tcPr>
          <w:p>
            <w:pPr>
              <w:pStyle w:val="0"/>
            </w:pPr>
            <w:r>
              <w:rPr>
                <w:sz w:val="20"/>
              </w:rPr>
              <w:t xml:space="preserve">2020</w:t>
            </w:r>
          </w:p>
        </w:tc>
        <w:tc>
          <w:tcPr>
            <w:tcW w:w="1729" w:type="dxa"/>
          </w:tcPr>
          <w:p>
            <w:pPr>
              <w:pStyle w:val="0"/>
            </w:pPr>
            <w:r>
              <w:rPr>
                <w:sz w:val="20"/>
              </w:rPr>
              <w:t xml:space="preserve">3683</w:t>
            </w:r>
          </w:p>
        </w:tc>
        <w:tc>
          <w:tcPr>
            <w:tcW w:w="1417" w:type="dxa"/>
          </w:tcPr>
          <w:p>
            <w:pPr>
              <w:pStyle w:val="0"/>
            </w:pPr>
            <w:r>
              <w:rPr>
                <w:sz w:val="20"/>
              </w:rPr>
              <w:t xml:space="preserve">1136</w:t>
            </w:r>
          </w:p>
        </w:tc>
        <w:tc>
          <w:tcPr>
            <w:tcW w:w="1247" w:type="dxa"/>
          </w:tcPr>
          <w:p>
            <w:pPr>
              <w:pStyle w:val="0"/>
            </w:pPr>
            <w:r>
              <w:rPr>
                <w:sz w:val="20"/>
              </w:rPr>
              <w:t xml:space="preserve">30,8</w:t>
            </w:r>
          </w:p>
        </w:tc>
        <w:tc>
          <w:tcPr>
            <w:tcW w:w="1531" w:type="dxa"/>
          </w:tcPr>
          <w:p>
            <w:pPr>
              <w:pStyle w:val="0"/>
            </w:pPr>
            <w:r>
              <w:rPr>
                <w:sz w:val="20"/>
              </w:rPr>
              <w:t xml:space="preserve">3957</w:t>
            </w:r>
          </w:p>
        </w:tc>
        <w:tc>
          <w:tcPr>
            <w:tcW w:w="1757" w:type="dxa"/>
          </w:tcPr>
          <w:p>
            <w:pPr>
              <w:pStyle w:val="0"/>
            </w:pPr>
            <w:r>
              <w:rPr>
                <w:sz w:val="20"/>
              </w:rPr>
              <w:t xml:space="preserve">3784</w:t>
            </w:r>
          </w:p>
        </w:tc>
        <w:tc>
          <w:tcPr>
            <w:tcW w:w="850" w:type="dxa"/>
          </w:tcPr>
          <w:p>
            <w:pPr>
              <w:pStyle w:val="0"/>
            </w:pPr>
            <w:r>
              <w:rPr>
                <w:sz w:val="20"/>
              </w:rPr>
              <w:t xml:space="preserve">95,6</w:t>
            </w:r>
          </w:p>
        </w:tc>
        <w:tc>
          <w:tcPr>
            <w:tcW w:w="1084" w:type="dxa"/>
          </w:tcPr>
          <w:p>
            <w:pPr>
              <w:pStyle w:val="0"/>
            </w:pPr>
            <w:r>
              <w:rPr>
                <w:sz w:val="20"/>
              </w:rPr>
              <w:t xml:space="preserve">2362/59,7</w:t>
            </w:r>
          </w:p>
        </w:tc>
        <w:tc>
          <w:tcPr>
            <w:tcW w:w="694" w:type="dxa"/>
          </w:tcPr>
          <w:p>
            <w:pPr>
              <w:pStyle w:val="0"/>
            </w:pPr>
            <w:r>
              <w:rPr>
                <w:sz w:val="20"/>
              </w:rPr>
              <w:t xml:space="preserve">598</w:t>
            </w:r>
          </w:p>
        </w:tc>
        <w:tc>
          <w:tcPr>
            <w:tcW w:w="737" w:type="dxa"/>
          </w:tcPr>
          <w:p>
            <w:pPr>
              <w:pStyle w:val="0"/>
            </w:pPr>
            <w:r>
              <w:rPr>
                <w:sz w:val="20"/>
              </w:rPr>
              <w:t xml:space="preserve">15,1</w:t>
            </w:r>
          </w:p>
        </w:tc>
        <w:tc>
          <w:tcPr>
            <w:tcW w:w="694" w:type="dxa"/>
          </w:tcPr>
          <w:p>
            <w:pPr>
              <w:pStyle w:val="0"/>
            </w:pPr>
            <w:r>
              <w:rPr>
                <w:sz w:val="20"/>
              </w:rPr>
              <w:t xml:space="preserve">833</w:t>
            </w:r>
          </w:p>
        </w:tc>
        <w:tc>
          <w:tcPr>
            <w:tcW w:w="544" w:type="dxa"/>
          </w:tcPr>
          <w:p>
            <w:pPr>
              <w:pStyle w:val="0"/>
            </w:pPr>
            <w:r>
              <w:rPr>
                <w:sz w:val="20"/>
              </w:rPr>
              <w:t xml:space="preserve">21,1</w:t>
            </w:r>
          </w:p>
        </w:tc>
        <w:tc>
          <w:tcPr>
            <w:tcW w:w="1587" w:type="dxa"/>
          </w:tcPr>
          <w:p>
            <w:pPr>
              <w:pStyle w:val="0"/>
            </w:pPr>
            <w:r>
              <w:rPr>
                <w:sz w:val="20"/>
              </w:rPr>
              <w:t xml:space="preserve">164</w:t>
            </w:r>
          </w:p>
        </w:tc>
        <w:tc>
          <w:tcPr>
            <w:tcW w:w="680" w:type="dxa"/>
          </w:tcPr>
          <w:p>
            <w:pPr>
              <w:pStyle w:val="0"/>
            </w:pPr>
            <w:r>
              <w:rPr>
                <w:sz w:val="20"/>
              </w:rPr>
              <w:t xml:space="preserve">4,1</w:t>
            </w:r>
          </w:p>
        </w:tc>
      </w:tr>
      <w:tr>
        <w:tc>
          <w:tcPr>
            <w:tcW w:w="664" w:type="dxa"/>
          </w:tcPr>
          <w:p>
            <w:pPr>
              <w:pStyle w:val="0"/>
            </w:pPr>
            <w:r>
              <w:rPr>
                <w:sz w:val="20"/>
              </w:rPr>
              <w:t xml:space="preserve">2021</w:t>
            </w:r>
          </w:p>
        </w:tc>
        <w:tc>
          <w:tcPr>
            <w:tcW w:w="1729" w:type="dxa"/>
          </w:tcPr>
          <w:p>
            <w:pPr>
              <w:pStyle w:val="0"/>
            </w:pPr>
            <w:r>
              <w:rPr>
                <w:sz w:val="20"/>
              </w:rPr>
              <w:t xml:space="preserve">4426</w:t>
            </w:r>
          </w:p>
        </w:tc>
        <w:tc>
          <w:tcPr>
            <w:tcW w:w="1417" w:type="dxa"/>
          </w:tcPr>
          <w:p>
            <w:pPr>
              <w:pStyle w:val="0"/>
            </w:pPr>
            <w:r>
              <w:rPr>
                <w:sz w:val="20"/>
              </w:rPr>
              <w:t xml:space="preserve">1295</w:t>
            </w:r>
          </w:p>
        </w:tc>
        <w:tc>
          <w:tcPr>
            <w:tcW w:w="1247" w:type="dxa"/>
          </w:tcPr>
          <w:p>
            <w:pPr>
              <w:pStyle w:val="0"/>
            </w:pPr>
            <w:r>
              <w:rPr>
                <w:sz w:val="20"/>
              </w:rPr>
              <w:t xml:space="preserve">29,3</w:t>
            </w:r>
          </w:p>
        </w:tc>
        <w:tc>
          <w:tcPr>
            <w:tcW w:w="1531" w:type="dxa"/>
          </w:tcPr>
          <w:p>
            <w:pPr>
              <w:pStyle w:val="0"/>
            </w:pPr>
            <w:r>
              <w:rPr>
                <w:sz w:val="20"/>
              </w:rPr>
              <w:t xml:space="preserve">4830</w:t>
            </w:r>
          </w:p>
        </w:tc>
        <w:tc>
          <w:tcPr>
            <w:tcW w:w="1757" w:type="dxa"/>
          </w:tcPr>
          <w:p>
            <w:pPr>
              <w:pStyle w:val="0"/>
            </w:pPr>
            <w:r>
              <w:rPr>
                <w:sz w:val="20"/>
              </w:rPr>
              <w:t xml:space="preserve">4573</w:t>
            </w:r>
          </w:p>
        </w:tc>
        <w:tc>
          <w:tcPr>
            <w:tcW w:w="850" w:type="dxa"/>
          </w:tcPr>
          <w:p>
            <w:pPr>
              <w:pStyle w:val="0"/>
            </w:pPr>
            <w:r>
              <w:rPr>
                <w:sz w:val="20"/>
              </w:rPr>
              <w:t xml:space="preserve">94,7</w:t>
            </w:r>
          </w:p>
        </w:tc>
        <w:tc>
          <w:tcPr>
            <w:tcW w:w="1084" w:type="dxa"/>
          </w:tcPr>
          <w:p>
            <w:pPr>
              <w:pStyle w:val="0"/>
            </w:pPr>
            <w:r>
              <w:rPr>
                <w:sz w:val="20"/>
              </w:rPr>
              <w:t xml:space="preserve">2894/59,9</w:t>
            </w:r>
          </w:p>
        </w:tc>
        <w:tc>
          <w:tcPr>
            <w:tcW w:w="694" w:type="dxa"/>
          </w:tcPr>
          <w:p>
            <w:pPr>
              <w:pStyle w:val="0"/>
            </w:pPr>
            <w:r>
              <w:rPr>
                <w:sz w:val="20"/>
              </w:rPr>
              <w:t xml:space="preserve">695</w:t>
            </w:r>
          </w:p>
        </w:tc>
        <w:tc>
          <w:tcPr>
            <w:tcW w:w="737" w:type="dxa"/>
          </w:tcPr>
          <w:p>
            <w:pPr>
              <w:pStyle w:val="0"/>
            </w:pPr>
            <w:r>
              <w:rPr>
                <w:sz w:val="20"/>
              </w:rPr>
              <w:t xml:space="preserve">14,4</w:t>
            </w:r>
          </w:p>
        </w:tc>
        <w:tc>
          <w:tcPr>
            <w:tcW w:w="694" w:type="dxa"/>
          </w:tcPr>
          <w:p>
            <w:pPr>
              <w:pStyle w:val="0"/>
            </w:pPr>
            <w:r>
              <w:rPr>
                <w:sz w:val="20"/>
              </w:rPr>
              <w:t xml:space="preserve">996</w:t>
            </w:r>
          </w:p>
        </w:tc>
        <w:tc>
          <w:tcPr>
            <w:tcW w:w="544" w:type="dxa"/>
          </w:tcPr>
          <w:p>
            <w:pPr>
              <w:pStyle w:val="0"/>
            </w:pPr>
            <w:r>
              <w:rPr>
                <w:sz w:val="20"/>
              </w:rPr>
              <w:t xml:space="preserve">20,6</w:t>
            </w:r>
          </w:p>
        </w:tc>
        <w:tc>
          <w:tcPr>
            <w:tcW w:w="1587" w:type="dxa"/>
          </w:tcPr>
          <w:p>
            <w:pPr>
              <w:pStyle w:val="0"/>
            </w:pPr>
            <w:r>
              <w:rPr>
                <w:sz w:val="20"/>
              </w:rPr>
              <w:t xml:space="preserve">176</w:t>
            </w:r>
          </w:p>
        </w:tc>
        <w:tc>
          <w:tcPr>
            <w:tcW w:w="680" w:type="dxa"/>
          </w:tcPr>
          <w:p>
            <w:pPr>
              <w:pStyle w:val="0"/>
            </w:pPr>
            <w:r>
              <w:rPr>
                <w:sz w:val="20"/>
              </w:rPr>
              <w:t xml:space="preserve">3,6</w:t>
            </w:r>
          </w:p>
        </w:tc>
      </w:tr>
      <w:tr>
        <w:tc>
          <w:tcPr>
            <w:tcW w:w="664" w:type="dxa"/>
          </w:tcPr>
          <w:p>
            <w:pPr>
              <w:pStyle w:val="0"/>
            </w:pPr>
            <w:r>
              <w:rPr>
                <w:sz w:val="20"/>
              </w:rPr>
              <w:t xml:space="preserve">2022</w:t>
            </w:r>
          </w:p>
        </w:tc>
        <w:tc>
          <w:tcPr>
            <w:tcW w:w="1729" w:type="dxa"/>
          </w:tcPr>
          <w:p>
            <w:pPr>
              <w:pStyle w:val="0"/>
            </w:pPr>
            <w:r>
              <w:rPr>
                <w:sz w:val="20"/>
              </w:rPr>
              <w:t xml:space="preserve">4485</w:t>
            </w:r>
          </w:p>
        </w:tc>
        <w:tc>
          <w:tcPr>
            <w:tcW w:w="1417" w:type="dxa"/>
          </w:tcPr>
          <w:p>
            <w:pPr>
              <w:pStyle w:val="0"/>
            </w:pPr>
            <w:r>
              <w:rPr>
                <w:sz w:val="20"/>
              </w:rPr>
              <w:t xml:space="preserve">1474</w:t>
            </w:r>
          </w:p>
        </w:tc>
        <w:tc>
          <w:tcPr>
            <w:tcW w:w="1247" w:type="dxa"/>
          </w:tcPr>
          <w:p>
            <w:pPr>
              <w:pStyle w:val="0"/>
            </w:pPr>
            <w:r>
              <w:rPr>
                <w:sz w:val="20"/>
              </w:rPr>
              <w:t xml:space="preserve">32,9</w:t>
            </w:r>
          </w:p>
        </w:tc>
        <w:tc>
          <w:tcPr>
            <w:tcW w:w="1531" w:type="dxa"/>
          </w:tcPr>
          <w:p>
            <w:pPr>
              <w:pStyle w:val="0"/>
            </w:pPr>
            <w:r>
              <w:rPr>
                <w:sz w:val="20"/>
              </w:rPr>
              <w:t xml:space="preserve">4878</w:t>
            </w:r>
          </w:p>
        </w:tc>
        <w:tc>
          <w:tcPr>
            <w:tcW w:w="1757" w:type="dxa"/>
          </w:tcPr>
          <w:p>
            <w:pPr>
              <w:pStyle w:val="0"/>
            </w:pPr>
            <w:r>
              <w:rPr>
                <w:sz w:val="20"/>
              </w:rPr>
              <w:t xml:space="preserve">4672</w:t>
            </w:r>
          </w:p>
        </w:tc>
        <w:tc>
          <w:tcPr>
            <w:tcW w:w="850" w:type="dxa"/>
          </w:tcPr>
          <w:p>
            <w:pPr>
              <w:pStyle w:val="0"/>
            </w:pPr>
            <w:r>
              <w:rPr>
                <w:sz w:val="20"/>
              </w:rPr>
              <w:t xml:space="preserve">95,8</w:t>
            </w:r>
          </w:p>
        </w:tc>
        <w:tc>
          <w:tcPr>
            <w:tcW w:w="1084" w:type="dxa"/>
          </w:tcPr>
          <w:p>
            <w:pPr>
              <w:pStyle w:val="0"/>
            </w:pPr>
            <w:r>
              <w:rPr>
                <w:sz w:val="20"/>
              </w:rPr>
              <w:t xml:space="preserve">2967/60,8</w:t>
            </w:r>
          </w:p>
        </w:tc>
        <w:tc>
          <w:tcPr>
            <w:tcW w:w="694" w:type="dxa"/>
          </w:tcPr>
          <w:p>
            <w:pPr>
              <w:pStyle w:val="0"/>
            </w:pPr>
            <w:r>
              <w:rPr>
                <w:sz w:val="20"/>
              </w:rPr>
              <w:t xml:space="preserve">709</w:t>
            </w:r>
          </w:p>
        </w:tc>
        <w:tc>
          <w:tcPr>
            <w:tcW w:w="737" w:type="dxa"/>
          </w:tcPr>
          <w:p>
            <w:pPr>
              <w:pStyle w:val="0"/>
            </w:pPr>
            <w:r>
              <w:rPr>
                <w:sz w:val="20"/>
              </w:rPr>
              <w:t xml:space="preserve">14,5</w:t>
            </w:r>
          </w:p>
        </w:tc>
        <w:tc>
          <w:tcPr>
            <w:tcW w:w="694" w:type="dxa"/>
          </w:tcPr>
          <w:p>
            <w:pPr>
              <w:pStyle w:val="0"/>
            </w:pPr>
            <w:r>
              <w:rPr>
                <w:sz w:val="20"/>
              </w:rPr>
              <w:t xml:space="preserve">1020</w:t>
            </w:r>
          </w:p>
        </w:tc>
        <w:tc>
          <w:tcPr>
            <w:tcW w:w="544" w:type="dxa"/>
          </w:tcPr>
          <w:p>
            <w:pPr>
              <w:pStyle w:val="0"/>
            </w:pPr>
            <w:r>
              <w:rPr>
                <w:sz w:val="20"/>
              </w:rPr>
              <w:t xml:space="preserve">20,9</w:t>
            </w:r>
          </w:p>
        </w:tc>
        <w:tc>
          <w:tcPr>
            <w:tcW w:w="1587" w:type="dxa"/>
          </w:tcPr>
          <w:p>
            <w:pPr>
              <w:pStyle w:val="0"/>
            </w:pPr>
            <w:r>
              <w:rPr>
                <w:sz w:val="20"/>
              </w:rPr>
              <w:t xml:space="preserve">114</w:t>
            </w:r>
          </w:p>
        </w:tc>
        <w:tc>
          <w:tcPr>
            <w:tcW w:w="680" w:type="dxa"/>
          </w:tcPr>
          <w:p>
            <w:pPr>
              <w:pStyle w:val="0"/>
            </w:pPr>
            <w:r>
              <w:rPr>
                <w:sz w:val="20"/>
              </w:rPr>
              <w:t xml:space="preserve">2,3</w:t>
            </w:r>
          </w:p>
        </w:tc>
      </w:tr>
    </w:tbl>
    <w:p>
      <w:pPr>
        <w:pStyle w:val="0"/>
        <w:jc w:val="right"/>
      </w:pPr>
      <w:r>
        <w:rPr>
          <w:sz w:val="20"/>
        </w:rPr>
      </w:r>
    </w:p>
    <w:p>
      <w:pPr>
        <w:pStyle w:val="0"/>
        <w:jc w:val="right"/>
      </w:pPr>
      <w:r>
        <w:rPr>
          <w:sz w:val="20"/>
        </w:rPr>
        <w:t xml:space="preserve">Таблица 11</w:t>
      </w:r>
    </w:p>
    <w:p>
      <w:pPr>
        <w:pStyle w:val="0"/>
        <w:jc w:val="right"/>
      </w:pPr>
      <w:r>
        <w:rPr>
          <w:sz w:val="20"/>
        </w:rPr>
      </w:r>
    </w:p>
    <w:p>
      <w:pPr>
        <w:pStyle w:val="0"/>
        <w:jc w:val="center"/>
      </w:pPr>
      <w:r>
        <w:rPr>
          <w:sz w:val="20"/>
        </w:rPr>
        <w:t xml:space="preserve">Число пациентов, состоящих на учете с диагнозами D00 - D09</w:t>
      </w:r>
    </w:p>
    <w:p>
      <w:pPr>
        <w:pStyle w:val="0"/>
        <w:jc w:val="center"/>
      </w:pPr>
      <w:r>
        <w:rPr>
          <w:sz w:val="20"/>
        </w:rPr>
        <w:t xml:space="preserve">по состоянию на 31 декабря 2022 года (абс.)</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1024"/>
        <w:gridCol w:w="680"/>
        <w:gridCol w:w="680"/>
        <w:gridCol w:w="680"/>
        <w:gridCol w:w="680"/>
        <w:gridCol w:w="680"/>
        <w:gridCol w:w="680"/>
        <w:gridCol w:w="680"/>
        <w:gridCol w:w="680"/>
        <w:gridCol w:w="680"/>
        <w:gridCol w:w="680"/>
      </w:tblGrid>
      <w:tr>
        <w:tc>
          <w:tcPr>
            <w:tcW w:w="2665" w:type="dxa"/>
          </w:tcPr>
          <w:p>
            <w:pPr>
              <w:pStyle w:val="0"/>
            </w:pPr>
            <w:r>
              <w:rPr>
                <w:sz w:val="20"/>
              </w:rPr>
            </w:r>
          </w:p>
        </w:tc>
        <w:tc>
          <w:tcPr>
            <w:tcW w:w="1024" w:type="dxa"/>
          </w:tcPr>
          <w:p>
            <w:pPr>
              <w:pStyle w:val="0"/>
            </w:pPr>
            <w:r>
              <w:rPr>
                <w:sz w:val="20"/>
              </w:rPr>
              <w:t xml:space="preserve">Код МКБ-10</w:t>
            </w:r>
          </w:p>
        </w:tc>
        <w:tc>
          <w:tcPr>
            <w:tcW w:w="680" w:type="dxa"/>
          </w:tcPr>
          <w:p>
            <w:pPr>
              <w:pStyle w:val="0"/>
            </w:pPr>
            <w:r>
              <w:rPr>
                <w:sz w:val="20"/>
              </w:rPr>
              <w:t xml:space="preserve">2013</w:t>
            </w:r>
          </w:p>
        </w:tc>
        <w:tc>
          <w:tcPr>
            <w:tcW w:w="680" w:type="dxa"/>
          </w:tcPr>
          <w:p>
            <w:pPr>
              <w:pStyle w:val="0"/>
            </w:pPr>
            <w:r>
              <w:rPr>
                <w:sz w:val="20"/>
              </w:rPr>
              <w:t xml:space="preserve">2014</w:t>
            </w:r>
          </w:p>
        </w:tc>
        <w:tc>
          <w:tcPr>
            <w:tcW w:w="680" w:type="dxa"/>
          </w:tcPr>
          <w:p>
            <w:pPr>
              <w:pStyle w:val="0"/>
            </w:pPr>
            <w:r>
              <w:rPr>
                <w:sz w:val="20"/>
              </w:rPr>
              <w:t xml:space="preserve">2015</w:t>
            </w:r>
          </w:p>
        </w:tc>
        <w:tc>
          <w:tcPr>
            <w:tcW w:w="680" w:type="dxa"/>
          </w:tcPr>
          <w:p>
            <w:pPr>
              <w:pStyle w:val="0"/>
            </w:pPr>
            <w:r>
              <w:rPr>
                <w:sz w:val="20"/>
              </w:rPr>
              <w:t xml:space="preserve">2016</w:t>
            </w:r>
          </w:p>
        </w:tc>
        <w:tc>
          <w:tcPr>
            <w:tcW w:w="680" w:type="dxa"/>
          </w:tcPr>
          <w:p>
            <w:pPr>
              <w:pStyle w:val="0"/>
            </w:pPr>
            <w:r>
              <w:rPr>
                <w:sz w:val="20"/>
              </w:rPr>
              <w:t xml:space="preserve">2017</w:t>
            </w:r>
          </w:p>
        </w:tc>
        <w:tc>
          <w:tcPr>
            <w:tcW w:w="680" w:type="dxa"/>
          </w:tcPr>
          <w:p>
            <w:pPr>
              <w:pStyle w:val="0"/>
            </w:pPr>
            <w:r>
              <w:rPr>
                <w:sz w:val="20"/>
              </w:rPr>
              <w:t xml:space="preserve">2018</w:t>
            </w:r>
          </w:p>
        </w:tc>
        <w:tc>
          <w:tcPr>
            <w:tcW w:w="680" w:type="dxa"/>
          </w:tcPr>
          <w:p>
            <w:pPr>
              <w:pStyle w:val="0"/>
            </w:pPr>
            <w:r>
              <w:rPr>
                <w:sz w:val="20"/>
              </w:rPr>
              <w:t xml:space="preserve">2019</w:t>
            </w:r>
          </w:p>
        </w:tc>
        <w:tc>
          <w:tcPr>
            <w:tcW w:w="680" w:type="dxa"/>
          </w:tcPr>
          <w:p>
            <w:pPr>
              <w:pStyle w:val="0"/>
            </w:pPr>
            <w:r>
              <w:rPr>
                <w:sz w:val="20"/>
              </w:rPr>
              <w:t xml:space="preserve">2020</w:t>
            </w:r>
          </w:p>
        </w:tc>
        <w:tc>
          <w:tcPr>
            <w:tcW w:w="680" w:type="dxa"/>
          </w:tcPr>
          <w:p>
            <w:pPr>
              <w:pStyle w:val="0"/>
            </w:pPr>
            <w:r>
              <w:rPr>
                <w:sz w:val="20"/>
              </w:rPr>
              <w:t xml:space="preserve">2021</w:t>
            </w:r>
          </w:p>
        </w:tc>
        <w:tc>
          <w:tcPr>
            <w:tcW w:w="680" w:type="dxa"/>
          </w:tcPr>
          <w:p>
            <w:pPr>
              <w:pStyle w:val="0"/>
            </w:pPr>
            <w:r>
              <w:rPr>
                <w:sz w:val="20"/>
              </w:rPr>
              <w:t xml:space="preserve">2022</w:t>
            </w:r>
          </w:p>
        </w:tc>
      </w:tr>
      <w:tr>
        <w:tc>
          <w:tcPr>
            <w:tcW w:w="2665" w:type="dxa"/>
          </w:tcPr>
          <w:p>
            <w:pPr>
              <w:pStyle w:val="0"/>
            </w:pPr>
            <w:r>
              <w:rPr>
                <w:sz w:val="20"/>
              </w:rPr>
              <w:t xml:space="preserve">Карцинома in situ полости рта, пищевода и желудка</w:t>
            </w:r>
          </w:p>
        </w:tc>
        <w:tc>
          <w:tcPr>
            <w:tcW w:w="1024" w:type="dxa"/>
          </w:tcPr>
          <w:p>
            <w:pPr>
              <w:pStyle w:val="0"/>
            </w:pPr>
            <w:r>
              <w:rPr>
                <w:sz w:val="20"/>
              </w:rPr>
              <w:t xml:space="preserve">D00</w:t>
            </w:r>
          </w:p>
        </w:tc>
        <w:tc>
          <w:tcPr>
            <w:tcW w:w="680" w:type="dxa"/>
          </w:tcPr>
          <w:p>
            <w:pPr>
              <w:pStyle w:val="0"/>
            </w:pPr>
            <w:r>
              <w:rPr>
                <w:sz w:val="20"/>
              </w:rPr>
              <w:t xml:space="preserve">4</w:t>
            </w:r>
          </w:p>
        </w:tc>
        <w:tc>
          <w:tcPr>
            <w:tcW w:w="680" w:type="dxa"/>
          </w:tcPr>
          <w:p>
            <w:pPr>
              <w:pStyle w:val="0"/>
            </w:pPr>
            <w:r>
              <w:rPr>
                <w:sz w:val="20"/>
              </w:rPr>
              <w:t xml:space="preserve">6</w:t>
            </w:r>
          </w:p>
        </w:tc>
        <w:tc>
          <w:tcPr>
            <w:tcW w:w="680" w:type="dxa"/>
          </w:tcPr>
          <w:p>
            <w:pPr>
              <w:pStyle w:val="0"/>
            </w:pPr>
            <w:r>
              <w:rPr>
                <w:sz w:val="20"/>
              </w:rPr>
              <w:t xml:space="preserve">7</w:t>
            </w:r>
          </w:p>
        </w:tc>
        <w:tc>
          <w:tcPr>
            <w:tcW w:w="680" w:type="dxa"/>
          </w:tcPr>
          <w:p>
            <w:pPr>
              <w:pStyle w:val="0"/>
            </w:pPr>
            <w:r>
              <w:rPr>
                <w:sz w:val="20"/>
              </w:rPr>
              <w:t xml:space="preserve">8</w:t>
            </w:r>
          </w:p>
        </w:tc>
        <w:tc>
          <w:tcPr>
            <w:tcW w:w="680" w:type="dxa"/>
          </w:tcPr>
          <w:p>
            <w:pPr>
              <w:pStyle w:val="0"/>
            </w:pPr>
            <w:r>
              <w:rPr>
                <w:sz w:val="20"/>
              </w:rPr>
              <w:t xml:space="preserve">8</w:t>
            </w:r>
          </w:p>
        </w:tc>
        <w:tc>
          <w:tcPr>
            <w:tcW w:w="680" w:type="dxa"/>
          </w:tcPr>
          <w:p>
            <w:pPr>
              <w:pStyle w:val="0"/>
            </w:pPr>
            <w:r>
              <w:rPr>
                <w:sz w:val="20"/>
              </w:rPr>
              <w:t xml:space="preserve">8</w:t>
            </w:r>
          </w:p>
        </w:tc>
        <w:tc>
          <w:tcPr>
            <w:tcW w:w="680" w:type="dxa"/>
          </w:tcPr>
          <w:p>
            <w:pPr>
              <w:pStyle w:val="0"/>
            </w:pPr>
            <w:r>
              <w:rPr>
                <w:sz w:val="20"/>
              </w:rPr>
              <w:t xml:space="preserve">9</w:t>
            </w:r>
          </w:p>
        </w:tc>
        <w:tc>
          <w:tcPr>
            <w:tcW w:w="680" w:type="dxa"/>
          </w:tcPr>
          <w:p>
            <w:pPr>
              <w:pStyle w:val="0"/>
            </w:pPr>
            <w:r>
              <w:rPr>
                <w:sz w:val="20"/>
              </w:rPr>
              <w:t xml:space="preserve">10</w:t>
            </w:r>
          </w:p>
        </w:tc>
        <w:tc>
          <w:tcPr>
            <w:tcW w:w="680" w:type="dxa"/>
          </w:tcPr>
          <w:p>
            <w:pPr>
              <w:pStyle w:val="0"/>
            </w:pPr>
            <w:r>
              <w:rPr>
                <w:sz w:val="20"/>
              </w:rPr>
              <w:t xml:space="preserve">5</w:t>
            </w:r>
          </w:p>
        </w:tc>
        <w:tc>
          <w:tcPr>
            <w:tcW w:w="680" w:type="dxa"/>
          </w:tcPr>
          <w:p>
            <w:pPr>
              <w:pStyle w:val="0"/>
            </w:pPr>
            <w:r>
              <w:rPr>
                <w:sz w:val="20"/>
              </w:rPr>
              <w:t xml:space="preserve">6</w:t>
            </w:r>
          </w:p>
        </w:tc>
      </w:tr>
      <w:tr>
        <w:tc>
          <w:tcPr>
            <w:tcW w:w="2665" w:type="dxa"/>
          </w:tcPr>
          <w:p>
            <w:pPr>
              <w:pStyle w:val="0"/>
            </w:pPr>
            <w:r>
              <w:rPr>
                <w:sz w:val="20"/>
              </w:rPr>
              <w:t xml:space="preserve">Карцинома in situ других и неуточненных органов пищеварения</w:t>
            </w:r>
          </w:p>
        </w:tc>
        <w:tc>
          <w:tcPr>
            <w:tcW w:w="1024" w:type="dxa"/>
          </w:tcPr>
          <w:p>
            <w:pPr>
              <w:pStyle w:val="0"/>
            </w:pPr>
            <w:r>
              <w:rPr>
                <w:sz w:val="20"/>
              </w:rPr>
              <w:t xml:space="preserve">D01</w:t>
            </w:r>
          </w:p>
        </w:tc>
        <w:tc>
          <w:tcPr>
            <w:tcW w:w="680" w:type="dxa"/>
          </w:tcPr>
          <w:p>
            <w:pPr>
              <w:pStyle w:val="0"/>
            </w:pPr>
            <w:r>
              <w:rPr>
                <w:sz w:val="20"/>
              </w:rPr>
              <w:t xml:space="preserve">8</w:t>
            </w:r>
          </w:p>
        </w:tc>
        <w:tc>
          <w:tcPr>
            <w:tcW w:w="680" w:type="dxa"/>
          </w:tcPr>
          <w:p>
            <w:pPr>
              <w:pStyle w:val="0"/>
            </w:pPr>
            <w:r>
              <w:rPr>
                <w:sz w:val="20"/>
              </w:rPr>
              <w:t xml:space="preserve">11</w:t>
            </w:r>
          </w:p>
        </w:tc>
        <w:tc>
          <w:tcPr>
            <w:tcW w:w="680" w:type="dxa"/>
          </w:tcPr>
          <w:p>
            <w:pPr>
              <w:pStyle w:val="0"/>
            </w:pPr>
            <w:r>
              <w:rPr>
                <w:sz w:val="20"/>
              </w:rPr>
              <w:t xml:space="preserve">19</w:t>
            </w:r>
          </w:p>
        </w:tc>
        <w:tc>
          <w:tcPr>
            <w:tcW w:w="680" w:type="dxa"/>
          </w:tcPr>
          <w:p>
            <w:pPr>
              <w:pStyle w:val="0"/>
            </w:pPr>
            <w:r>
              <w:rPr>
                <w:sz w:val="20"/>
              </w:rPr>
              <w:t xml:space="preserve">21</w:t>
            </w:r>
          </w:p>
        </w:tc>
        <w:tc>
          <w:tcPr>
            <w:tcW w:w="680" w:type="dxa"/>
          </w:tcPr>
          <w:p>
            <w:pPr>
              <w:pStyle w:val="0"/>
            </w:pPr>
            <w:r>
              <w:rPr>
                <w:sz w:val="20"/>
              </w:rPr>
              <w:t xml:space="preserve">21</w:t>
            </w:r>
          </w:p>
        </w:tc>
        <w:tc>
          <w:tcPr>
            <w:tcW w:w="680" w:type="dxa"/>
          </w:tcPr>
          <w:p>
            <w:pPr>
              <w:pStyle w:val="0"/>
            </w:pPr>
            <w:r>
              <w:rPr>
                <w:sz w:val="20"/>
              </w:rPr>
              <w:t xml:space="preserve">23</w:t>
            </w:r>
          </w:p>
        </w:tc>
        <w:tc>
          <w:tcPr>
            <w:tcW w:w="680" w:type="dxa"/>
          </w:tcPr>
          <w:p>
            <w:pPr>
              <w:pStyle w:val="0"/>
            </w:pPr>
            <w:r>
              <w:rPr>
                <w:sz w:val="20"/>
              </w:rPr>
              <w:t xml:space="preserve">25</w:t>
            </w:r>
          </w:p>
        </w:tc>
        <w:tc>
          <w:tcPr>
            <w:tcW w:w="680" w:type="dxa"/>
          </w:tcPr>
          <w:p>
            <w:pPr>
              <w:pStyle w:val="0"/>
            </w:pPr>
            <w:r>
              <w:rPr>
                <w:sz w:val="20"/>
              </w:rPr>
              <w:t xml:space="preserve">27</w:t>
            </w:r>
          </w:p>
        </w:tc>
        <w:tc>
          <w:tcPr>
            <w:tcW w:w="680" w:type="dxa"/>
          </w:tcPr>
          <w:p>
            <w:pPr>
              <w:pStyle w:val="0"/>
            </w:pPr>
            <w:r>
              <w:rPr>
                <w:sz w:val="20"/>
              </w:rPr>
              <w:t xml:space="preserve">39</w:t>
            </w:r>
          </w:p>
        </w:tc>
        <w:tc>
          <w:tcPr>
            <w:tcW w:w="680" w:type="dxa"/>
          </w:tcPr>
          <w:p>
            <w:pPr>
              <w:pStyle w:val="0"/>
            </w:pPr>
            <w:r>
              <w:rPr>
                <w:sz w:val="20"/>
              </w:rPr>
              <w:t xml:space="preserve">63</w:t>
            </w:r>
          </w:p>
        </w:tc>
      </w:tr>
      <w:tr>
        <w:tc>
          <w:tcPr>
            <w:tcW w:w="2665" w:type="dxa"/>
          </w:tcPr>
          <w:p>
            <w:pPr>
              <w:pStyle w:val="0"/>
            </w:pPr>
            <w:r>
              <w:rPr>
                <w:sz w:val="20"/>
              </w:rPr>
              <w:t xml:space="preserve">Карцинома in situ среднего уха и органов дыхания</w:t>
            </w:r>
          </w:p>
        </w:tc>
        <w:tc>
          <w:tcPr>
            <w:tcW w:w="1024" w:type="dxa"/>
          </w:tcPr>
          <w:p>
            <w:pPr>
              <w:pStyle w:val="0"/>
            </w:pPr>
            <w:r>
              <w:rPr>
                <w:sz w:val="20"/>
              </w:rPr>
              <w:t xml:space="preserve">D02</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r>
      <w:tr>
        <w:tc>
          <w:tcPr>
            <w:tcW w:w="2665" w:type="dxa"/>
          </w:tcPr>
          <w:p>
            <w:pPr>
              <w:pStyle w:val="0"/>
            </w:pPr>
            <w:r>
              <w:rPr>
                <w:sz w:val="20"/>
              </w:rPr>
              <w:t xml:space="preserve">Меланома in situ</w:t>
            </w:r>
          </w:p>
        </w:tc>
        <w:tc>
          <w:tcPr>
            <w:tcW w:w="1024" w:type="dxa"/>
          </w:tcPr>
          <w:p>
            <w:pPr>
              <w:pStyle w:val="0"/>
            </w:pPr>
            <w:r>
              <w:rPr>
                <w:sz w:val="20"/>
              </w:rPr>
              <w:t xml:space="preserve">D03</w:t>
            </w:r>
          </w:p>
        </w:tc>
        <w:tc>
          <w:tcPr>
            <w:tcW w:w="680" w:type="dxa"/>
          </w:tcPr>
          <w:p>
            <w:pPr>
              <w:pStyle w:val="0"/>
            </w:pPr>
            <w:r>
              <w:rPr>
                <w:sz w:val="20"/>
              </w:rPr>
              <w:t xml:space="preserve">4</w:t>
            </w:r>
          </w:p>
        </w:tc>
        <w:tc>
          <w:tcPr>
            <w:tcW w:w="680" w:type="dxa"/>
          </w:tcPr>
          <w:p>
            <w:pPr>
              <w:pStyle w:val="0"/>
            </w:pPr>
            <w:r>
              <w:rPr>
                <w:sz w:val="20"/>
              </w:rPr>
              <w:t xml:space="preserve">5</w:t>
            </w:r>
          </w:p>
        </w:tc>
        <w:tc>
          <w:tcPr>
            <w:tcW w:w="680" w:type="dxa"/>
          </w:tcPr>
          <w:p>
            <w:pPr>
              <w:pStyle w:val="0"/>
            </w:pPr>
            <w:r>
              <w:rPr>
                <w:sz w:val="20"/>
              </w:rPr>
              <w:t xml:space="preserve">6</w:t>
            </w:r>
          </w:p>
        </w:tc>
        <w:tc>
          <w:tcPr>
            <w:tcW w:w="680" w:type="dxa"/>
          </w:tcPr>
          <w:p>
            <w:pPr>
              <w:pStyle w:val="0"/>
            </w:pPr>
            <w:r>
              <w:rPr>
                <w:sz w:val="20"/>
              </w:rPr>
              <w:t xml:space="preserve">6</w:t>
            </w:r>
          </w:p>
        </w:tc>
        <w:tc>
          <w:tcPr>
            <w:tcW w:w="680" w:type="dxa"/>
          </w:tcPr>
          <w:p>
            <w:pPr>
              <w:pStyle w:val="0"/>
            </w:pPr>
            <w:r>
              <w:rPr>
                <w:sz w:val="20"/>
              </w:rPr>
              <w:t xml:space="preserve">6</w:t>
            </w:r>
          </w:p>
        </w:tc>
        <w:tc>
          <w:tcPr>
            <w:tcW w:w="680" w:type="dxa"/>
          </w:tcPr>
          <w:p>
            <w:pPr>
              <w:pStyle w:val="0"/>
            </w:pPr>
            <w:r>
              <w:rPr>
                <w:sz w:val="20"/>
              </w:rPr>
              <w:t xml:space="preserve">6</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5</w:t>
            </w:r>
          </w:p>
        </w:tc>
        <w:tc>
          <w:tcPr>
            <w:tcW w:w="680" w:type="dxa"/>
          </w:tcPr>
          <w:p>
            <w:pPr>
              <w:pStyle w:val="0"/>
            </w:pPr>
            <w:r>
              <w:rPr>
                <w:sz w:val="20"/>
              </w:rPr>
              <w:t xml:space="preserve">9</w:t>
            </w:r>
          </w:p>
        </w:tc>
      </w:tr>
      <w:tr>
        <w:tc>
          <w:tcPr>
            <w:tcW w:w="2665" w:type="dxa"/>
          </w:tcPr>
          <w:p>
            <w:pPr>
              <w:pStyle w:val="0"/>
            </w:pPr>
            <w:r>
              <w:rPr>
                <w:sz w:val="20"/>
              </w:rPr>
              <w:t xml:space="preserve">Карцинома in situ кожи</w:t>
            </w:r>
          </w:p>
        </w:tc>
        <w:tc>
          <w:tcPr>
            <w:tcW w:w="1024" w:type="dxa"/>
          </w:tcPr>
          <w:p>
            <w:pPr>
              <w:pStyle w:val="0"/>
            </w:pPr>
            <w:r>
              <w:rPr>
                <w:sz w:val="20"/>
              </w:rPr>
              <w:t xml:space="preserve">D04</w:t>
            </w:r>
          </w:p>
        </w:tc>
        <w:tc>
          <w:tcPr>
            <w:tcW w:w="680" w:type="dxa"/>
          </w:tcPr>
          <w:p>
            <w:pPr>
              <w:pStyle w:val="0"/>
            </w:pPr>
            <w:r>
              <w:rPr>
                <w:sz w:val="20"/>
              </w:rPr>
              <w:t xml:space="preserve">1</w:t>
            </w:r>
          </w:p>
        </w:tc>
        <w:tc>
          <w:tcPr>
            <w:tcW w:w="680" w:type="dxa"/>
          </w:tcPr>
          <w:p>
            <w:pPr>
              <w:pStyle w:val="0"/>
            </w:pPr>
            <w:r>
              <w:rPr>
                <w:sz w:val="20"/>
              </w:rPr>
              <w:t xml:space="preserve">2</w:t>
            </w:r>
          </w:p>
        </w:tc>
        <w:tc>
          <w:tcPr>
            <w:tcW w:w="680" w:type="dxa"/>
          </w:tcPr>
          <w:p>
            <w:pPr>
              <w:pStyle w:val="0"/>
            </w:pPr>
            <w:r>
              <w:rPr>
                <w:sz w:val="20"/>
              </w:rPr>
              <w:t xml:space="preserve">3</w:t>
            </w:r>
          </w:p>
        </w:tc>
        <w:tc>
          <w:tcPr>
            <w:tcW w:w="680" w:type="dxa"/>
          </w:tcPr>
          <w:p>
            <w:pPr>
              <w:pStyle w:val="0"/>
            </w:pPr>
            <w:r>
              <w:rPr>
                <w:sz w:val="20"/>
              </w:rPr>
              <w:t xml:space="preserve">3</w:t>
            </w:r>
          </w:p>
        </w:tc>
        <w:tc>
          <w:tcPr>
            <w:tcW w:w="680" w:type="dxa"/>
          </w:tcPr>
          <w:p>
            <w:pPr>
              <w:pStyle w:val="0"/>
            </w:pPr>
            <w:r>
              <w:rPr>
                <w:sz w:val="20"/>
              </w:rPr>
              <w:t xml:space="preserve">4</w:t>
            </w:r>
          </w:p>
        </w:tc>
        <w:tc>
          <w:tcPr>
            <w:tcW w:w="680" w:type="dxa"/>
          </w:tcPr>
          <w:p>
            <w:pPr>
              <w:pStyle w:val="0"/>
            </w:pPr>
            <w:r>
              <w:rPr>
                <w:sz w:val="20"/>
              </w:rPr>
              <w:t xml:space="preserve">4</w:t>
            </w:r>
          </w:p>
        </w:tc>
        <w:tc>
          <w:tcPr>
            <w:tcW w:w="680" w:type="dxa"/>
          </w:tcPr>
          <w:p>
            <w:pPr>
              <w:pStyle w:val="0"/>
            </w:pPr>
            <w:r>
              <w:rPr>
                <w:sz w:val="20"/>
              </w:rPr>
              <w:t xml:space="preserve">5</w:t>
            </w:r>
          </w:p>
        </w:tc>
        <w:tc>
          <w:tcPr>
            <w:tcW w:w="680" w:type="dxa"/>
          </w:tcPr>
          <w:p>
            <w:pPr>
              <w:pStyle w:val="0"/>
            </w:pPr>
            <w:r>
              <w:rPr>
                <w:sz w:val="20"/>
              </w:rPr>
              <w:t xml:space="preserve">5</w:t>
            </w:r>
          </w:p>
        </w:tc>
        <w:tc>
          <w:tcPr>
            <w:tcW w:w="680" w:type="dxa"/>
          </w:tcPr>
          <w:p>
            <w:pPr>
              <w:pStyle w:val="0"/>
            </w:pPr>
            <w:r>
              <w:rPr>
                <w:sz w:val="20"/>
              </w:rPr>
              <w:t xml:space="preserve">4</w:t>
            </w:r>
          </w:p>
        </w:tc>
        <w:tc>
          <w:tcPr>
            <w:tcW w:w="680" w:type="dxa"/>
          </w:tcPr>
          <w:p>
            <w:pPr>
              <w:pStyle w:val="0"/>
            </w:pPr>
            <w:r>
              <w:rPr>
                <w:sz w:val="20"/>
              </w:rPr>
              <w:t xml:space="preserve">8</w:t>
            </w:r>
          </w:p>
        </w:tc>
      </w:tr>
      <w:tr>
        <w:tc>
          <w:tcPr>
            <w:tcW w:w="2665" w:type="dxa"/>
          </w:tcPr>
          <w:p>
            <w:pPr>
              <w:pStyle w:val="0"/>
            </w:pPr>
            <w:r>
              <w:rPr>
                <w:sz w:val="20"/>
              </w:rPr>
              <w:t xml:space="preserve">Карцинома in situ молочной железы</w:t>
            </w:r>
          </w:p>
        </w:tc>
        <w:tc>
          <w:tcPr>
            <w:tcW w:w="1024" w:type="dxa"/>
          </w:tcPr>
          <w:p>
            <w:pPr>
              <w:pStyle w:val="0"/>
            </w:pPr>
            <w:r>
              <w:rPr>
                <w:sz w:val="20"/>
              </w:rPr>
              <w:t xml:space="preserve">D05</w:t>
            </w:r>
          </w:p>
        </w:tc>
        <w:tc>
          <w:tcPr>
            <w:tcW w:w="680" w:type="dxa"/>
          </w:tcPr>
          <w:p>
            <w:pPr>
              <w:pStyle w:val="0"/>
            </w:pPr>
            <w:r>
              <w:rPr>
                <w:sz w:val="20"/>
              </w:rPr>
              <w:t xml:space="preserve">20</w:t>
            </w:r>
          </w:p>
        </w:tc>
        <w:tc>
          <w:tcPr>
            <w:tcW w:w="680" w:type="dxa"/>
          </w:tcPr>
          <w:p>
            <w:pPr>
              <w:pStyle w:val="0"/>
            </w:pPr>
            <w:r>
              <w:rPr>
                <w:sz w:val="20"/>
              </w:rPr>
              <w:t xml:space="preserve">25</w:t>
            </w:r>
          </w:p>
        </w:tc>
        <w:tc>
          <w:tcPr>
            <w:tcW w:w="680" w:type="dxa"/>
          </w:tcPr>
          <w:p>
            <w:pPr>
              <w:pStyle w:val="0"/>
            </w:pPr>
            <w:r>
              <w:rPr>
                <w:sz w:val="20"/>
              </w:rPr>
              <w:t xml:space="preserve">32</w:t>
            </w:r>
          </w:p>
        </w:tc>
        <w:tc>
          <w:tcPr>
            <w:tcW w:w="680" w:type="dxa"/>
          </w:tcPr>
          <w:p>
            <w:pPr>
              <w:pStyle w:val="0"/>
            </w:pPr>
            <w:r>
              <w:rPr>
                <w:sz w:val="20"/>
              </w:rPr>
              <w:t xml:space="preserve">34</w:t>
            </w:r>
          </w:p>
        </w:tc>
        <w:tc>
          <w:tcPr>
            <w:tcW w:w="680" w:type="dxa"/>
          </w:tcPr>
          <w:p>
            <w:pPr>
              <w:pStyle w:val="0"/>
            </w:pPr>
            <w:r>
              <w:rPr>
                <w:sz w:val="20"/>
              </w:rPr>
              <w:t xml:space="preserve">37</w:t>
            </w:r>
          </w:p>
        </w:tc>
        <w:tc>
          <w:tcPr>
            <w:tcW w:w="680" w:type="dxa"/>
          </w:tcPr>
          <w:p>
            <w:pPr>
              <w:pStyle w:val="0"/>
            </w:pPr>
            <w:r>
              <w:rPr>
                <w:sz w:val="20"/>
              </w:rPr>
              <w:t xml:space="preserve">40</w:t>
            </w:r>
          </w:p>
        </w:tc>
        <w:tc>
          <w:tcPr>
            <w:tcW w:w="680" w:type="dxa"/>
          </w:tcPr>
          <w:p>
            <w:pPr>
              <w:pStyle w:val="0"/>
            </w:pPr>
            <w:r>
              <w:rPr>
                <w:sz w:val="20"/>
              </w:rPr>
              <w:t xml:space="preserve">44</w:t>
            </w:r>
          </w:p>
        </w:tc>
        <w:tc>
          <w:tcPr>
            <w:tcW w:w="680" w:type="dxa"/>
          </w:tcPr>
          <w:p>
            <w:pPr>
              <w:pStyle w:val="0"/>
            </w:pPr>
            <w:r>
              <w:rPr>
                <w:sz w:val="20"/>
              </w:rPr>
              <w:t xml:space="preserve">45</w:t>
            </w:r>
          </w:p>
        </w:tc>
        <w:tc>
          <w:tcPr>
            <w:tcW w:w="680" w:type="dxa"/>
          </w:tcPr>
          <w:p>
            <w:pPr>
              <w:pStyle w:val="0"/>
            </w:pPr>
            <w:r>
              <w:rPr>
                <w:sz w:val="20"/>
              </w:rPr>
              <w:t xml:space="preserve">36</w:t>
            </w:r>
          </w:p>
        </w:tc>
        <w:tc>
          <w:tcPr>
            <w:tcW w:w="680" w:type="dxa"/>
          </w:tcPr>
          <w:p>
            <w:pPr>
              <w:pStyle w:val="0"/>
            </w:pPr>
            <w:r>
              <w:rPr>
                <w:sz w:val="20"/>
              </w:rPr>
              <w:t xml:space="preserve">52</w:t>
            </w:r>
          </w:p>
        </w:tc>
      </w:tr>
      <w:tr>
        <w:tc>
          <w:tcPr>
            <w:tcW w:w="2665" w:type="dxa"/>
          </w:tcPr>
          <w:p>
            <w:pPr>
              <w:pStyle w:val="0"/>
            </w:pPr>
            <w:r>
              <w:rPr>
                <w:sz w:val="20"/>
              </w:rPr>
              <w:t xml:space="preserve">Карцинома in situ шейки матки</w:t>
            </w:r>
          </w:p>
        </w:tc>
        <w:tc>
          <w:tcPr>
            <w:tcW w:w="1024" w:type="dxa"/>
          </w:tcPr>
          <w:p>
            <w:pPr>
              <w:pStyle w:val="0"/>
            </w:pPr>
            <w:r>
              <w:rPr>
                <w:sz w:val="20"/>
              </w:rPr>
              <w:t xml:space="preserve">D06</w:t>
            </w:r>
          </w:p>
        </w:tc>
        <w:tc>
          <w:tcPr>
            <w:tcW w:w="680" w:type="dxa"/>
          </w:tcPr>
          <w:p>
            <w:pPr>
              <w:pStyle w:val="0"/>
            </w:pPr>
            <w:r>
              <w:rPr>
                <w:sz w:val="20"/>
              </w:rPr>
              <w:t xml:space="preserve">118</w:t>
            </w:r>
          </w:p>
        </w:tc>
        <w:tc>
          <w:tcPr>
            <w:tcW w:w="680" w:type="dxa"/>
          </w:tcPr>
          <w:p>
            <w:pPr>
              <w:pStyle w:val="0"/>
            </w:pPr>
            <w:r>
              <w:rPr>
                <w:sz w:val="20"/>
              </w:rPr>
              <w:t xml:space="preserve">145</w:t>
            </w:r>
          </w:p>
        </w:tc>
        <w:tc>
          <w:tcPr>
            <w:tcW w:w="680" w:type="dxa"/>
          </w:tcPr>
          <w:p>
            <w:pPr>
              <w:pStyle w:val="0"/>
            </w:pPr>
            <w:r>
              <w:rPr>
                <w:sz w:val="20"/>
              </w:rPr>
              <w:t xml:space="preserve">197</w:t>
            </w:r>
          </w:p>
        </w:tc>
        <w:tc>
          <w:tcPr>
            <w:tcW w:w="680" w:type="dxa"/>
          </w:tcPr>
          <w:p>
            <w:pPr>
              <w:pStyle w:val="0"/>
            </w:pPr>
            <w:r>
              <w:rPr>
                <w:sz w:val="20"/>
              </w:rPr>
              <w:t xml:space="preserve">215</w:t>
            </w:r>
          </w:p>
        </w:tc>
        <w:tc>
          <w:tcPr>
            <w:tcW w:w="680" w:type="dxa"/>
          </w:tcPr>
          <w:p>
            <w:pPr>
              <w:pStyle w:val="0"/>
            </w:pPr>
            <w:r>
              <w:rPr>
                <w:sz w:val="20"/>
              </w:rPr>
              <w:t xml:space="preserve">221</w:t>
            </w:r>
          </w:p>
        </w:tc>
        <w:tc>
          <w:tcPr>
            <w:tcW w:w="680" w:type="dxa"/>
          </w:tcPr>
          <w:p>
            <w:pPr>
              <w:pStyle w:val="0"/>
            </w:pPr>
            <w:r>
              <w:rPr>
                <w:sz w:val="20"/>
              </w:rPr>
              <w:t xml:space="preserve">238</w:t>
            </w:r>
          </w:p>
        </w:tc>
        <w:tc>
          <w:tcPr>
            <w:tcW w:w="680" w:type="dxa"/>
          </w:tcPr>
          <w:p>
            <w:pPr>
              <w:pStyle w:val="0"/>
            </w:pPr>
            <w:r>
              <w:rPr>
                <w:sz w:val="20"/>
              </w:rPr>
              <w:t xml:space="preserve">270</w:t>
            </w:r>
          </w:p>
        </w:tc>
        <w:tc>
          <w:tcPr>
            <w:tcW w:w="680" w:type="dxa"/>
          </w:tcPr>
          <w:p>
            <w:pPr>
              <w:pStyle w:val="0"/>
            </w:pPr>
            <w:r>
              <w:rPr>
                <w:sz w:val="20"/>
              </w:rPr>
              <w:t xml:space="preserve">304</w:t>
            </w:r>
          </w:p>
        </w:tc>
        <w:tc>
          <w:tcPr>
            <w:tcW w:w="680" w:type="dxa"/>
          </w:tcPr>
          <w:p>
            <w:pPr>
              <w:pStyle w:val="0"/>
            </w:pPr>
            <w:r>
              <w:rPr>
                <w:sz w:val="20"/>
              </w:rPr>
              <w:t xml:space="preserve">351</w:t>
            </w:r>
          </w:p>
        </w:tc>
        <w:tc>
          <w:tcPr>
            <w:tcW w:w="680" w:type="dxa"/>
          </w:tcPr>
          <w:p>
            <w:pPr>
              <w:pStyle w:val="0"/>
            </w:pPr>
            <w:r>
              <w:rPr>
                <w:sz w:val="20"/>
              </w:rPr>
              <w:t xml:space="preserve">535</w:t>
            </w:r>
          </w:p>
        </w:tc>
      </w:tr>
      <w:tr>
        <w:tc>
          <w:tcPr>
            <w:tcW w:w="2665" w:type="dxa"/>
          </w:tcPr>
          <w:p>
            <w:pPr>
              <w:pStyle w:val="0"/>
            </w:pPr>
            <w:r>
              <w:rPr>
                <w:sz w:val="20"/>
              </w:rPr>
              <w:t xml:space="preserve">Карцинома in situ других и неуточненных половых органов</w:t>
            </w:r>
          </w:p>
        </w:tc>
        <w:tc>
          <w:tcPr>
            <w:tcW w:w="1024" w:type="dxa"/>
          </w:tcPr>
          <w:p>
            <w:pPr>
              <w:pStyle w:val="0"/>
            </w:pPr>
            <w:r>
              <w:rPr>
                <w:sz w:val="20"/>
              </w:rPr>
              <w:t xml:space="preserve">D07</w:t>
            </w:r>
          </w:p>
        </w:tc>
        <w:tc>
          <w:tcPr>
            <w:tcW w:w="680" w:type="dxa"/>
          </w:tcPr>
          <w:p>
            <w:pPr>
              <w:pStyle w:val="0"/>
            </w:pPr>
            <w:r>
              <w:rPr>
                <w:sz w:val="20"/>
              </w:rPr>
              <w:t xml:space="preserve">5</w:t>
            </w:r>
          </w:p>
        </w:tc>
        <w:tc>
          <w:tcPr>
            <w:tcW w:w="680" w:type="dxa"/>
          </w:tcPr>
          <w:p>
            <w:pPr>
              <w:pStyle w:val="0"/>
            </w:pPr>
            <w:r>
              <w:rPr>
                <w:sz w:val="20"/>
              </w:rPr>
              <w:t xml:space="preserve">7</w:t>
            </w:r>
          </w:p>
        </w:tc>
        <w:tc>
          <w:tcPr>
            <w:tcW w:w="680" w:type="dxa"/>
          </w:tcPr>
          <w:p>
            <w:pPr>
              <w:pStyle w:val="0"/>
            </w:pPr>
            <w:r>
              <w:rPr>
                <w:sz w:val="20"/>
              </w:rPr>
              <w:t xml:space="preserve">8</w:t>
            </w:r>
          </w:p>
        </w:tc>
        <w:tc>
          <w:tcPr>
            <w:tcW w:w="680" w:type="dxa"/>
          </w:tcPr>
          <w:p>
            <w:pPr>
              <w:pStyle w:val="0"/>
            </w:pPr>
            <w:r>
              <w:rPr>
                <w:sz w:val="20"/>
              </w:rPr>
              <w:t xml:space="preserve">9</w:t>
            </w:r>
          </w:p>
        </w:tc>
        <w:tc>
          <w:tcPr>
            <w:tcW w:w="680" w:type="dxa"/>
          </w:tcPr>
          <w:p>
            <w:pPr>
              <w:pStyle w:val="0"/>
            </w:pPr>
            <w:r>
              <w:rPr>
                <w:sz w:val="20"/>
              </w:rPr>
              <w:t xml:space="preserve">9</w:t>
            </w:r>
          </w:p>
        </w:tc>
        <w:tc>
          <w:tcPr>
            <w:tcW w:w="680" w:type="dxa"/>
          </w:tcPr>
          <w:p>
            <w:pPr>
              <w:pStyle w:val="0"/>
            </w:pPr>
            <w:r>
              <w:rPr>
                <w:sz w:val="20"/>
              </w:rPr>
              <w:t xml:space="preserve">9</w:t>
            </w:r>
          </w:p>
        </w:tc>
        <w:tc>
          <w:tcPr>
            <w:tcW w:w="680" w:type="dxa"/>
          </w:tcPr>
          <w:p>
            <w:pPr>
              <w:pStyle w:val="0"/>
            </w:pPr>
            <w:r>
              <w:rPr>
                <w:sz w:val="20"/>
              </w:rPr>
              <w:t xml:space="preserve">12</w:t>
            </w:r>
          </w:p>
        </w:tc>
        <w:tc>
          <w:tcPr>
            <w:tcW w:w="680" w:type="dxa"/>
          </w:tcPr>
          <w:p>
            <w:pPr>
              <w:pStyle w:val="0"/>
            </w:pPr>
            <w:r>
              <w:rPr>
                <w:sz w:val="20"/>
              </w:rPr>
              <w:t xml:space="preserve">15</w:t>
            </w:r>
          </w:p>
        </w:tc>
        <w:tc>
          <w:tcPr>
            <w:tcW w:w="680" w:type="dxa"/>
          </w:tcPr>
          <w:p>
            <w:pPr>
              <w:pStyle w:val="0"/>
            </w:pPr>
            <w:r>
              <w:rPr>
                <w:sz w:val="20"/>
              </w:rPr>
              <w:t xml:space="preserve">19</w:t>
            </w:r>
          </w:p>
        </w:tc>
        <w:tc>
          <w:tcPr>
            <w:tcW w:w="680" w:type="dxa"/>
          </w:tcPr>
          <w:p>
            <w:pPr>
              <w:pStyle w:val="0"/>
            </w:pPr>
            <w:r>
              <w:rPr>
                <w:sz w:val="20"/>
              </w:rPr>
              <w:t xml:space="preserve">31</w:t>
            </w:r>
          </w:p>
        </w:tc>
      </w:tr>
      <w:tr>
        <w:tc>
          <w:tcPr>
            <w:tcW w:w="2665" w:type="dxa"/>
          </w:tcPr>
          <w:p>
            <w:pPr>
              <w:pStyle w:val="0"/>
            </w:pPr>
            <w:r>
              <w:rPr>
                <w:sz w:val="20"/>
              </w:rPr>
              <w:t xml:space="preserve">Карцинома in situ других и неуточненных локализаций</w:t>
            </w:r>
          </w:p>
        </w:tc>
        <w:tc>
          <w:tcPr>
            <w:tcW w:w="1024" w:type="dxa"/>
          </w:tcPr>
          <w:p>
            <w:pPr>
              <w:pStyle w:val="0"/>
            </w:pPr>
            <w:r>
              <w:rPr>
                <w:sz w:val="20"/>
              </w:rPr>
              <w:t xml:space="preserve">D09</w:t>
            </w:r>
          </w:p>
        </w:tc>
        <w:tc>
          <w:tcPr>
            <w:tcW w:w="680" w:type="dxa"/>
          </w:tcPr>
          <w:p>
            <w:pPr>
              <w:pStyle w:val="0"/>
            </w:pPr>
            <w:r>
              <w:rPr>
                <w:sz w:val="20"/>
              </w:rPr>
              <w:t xml:space="preserve">3</w:t>
            </w:r>
          </w:p>
        </w:tc>
        <w:tc>
          <w:tcPr>
            <w:tcW w:w="680" w:type="dxa"/>
          </w:tcPr>
          <w:p>
            <w:pPr>
              <w:pStyle w:val="0"/>
            </w:pPr>
            <w:r>
              <w:rPr>
                <w:sz w:val="20"/>
              </w:rPr>
              <w:t xml:space="preserve">3</w:t>
            </w:r>
          </w:p>
        </w:tc>
        <w:tc>
          <w:tcPr>
            <w:tcW w:w="680" w:type="dxa"/>
          </w:tcPr>
          <w:p>
            <w:pPr>
              <w:pStyle w:val="0"/>
            </w:pPr>
            <w:r>
              <w:rPr>
                <w:sz w:val="20"/>
              </w:rPr>
              <w:t xml:space="preserve">3</w:t>
            </w:r>
          </w:p>
        </w:tc>
        <w:tc>
          <w:tcPr>
            <w:tcW w:w="680" w:type="dxa"/>
          </w:tcPr>
          <w:p>
            <w:pPr>
              <w:pStyle w:val="0"/>
            </w:pPr>
            <w:r>
              <w:rPr>
                <w:sz w:val="20"/>
              </w:rPr>
              <w:t xml:space="preserve">3</w:t>
            </w:r>
          </w:p>
        </w:tc>
        <w:tc>
          <w:tcPr>
            <w:tcW w:w="680" w:type="dxa"/>
          </w:tcPr>
          <w:p>
            <w:pPr>
              <w:pStyle w:val="0"/>
            </w:pPr>
            <w:r>
              <w:rPr>
                <w:sz w:val="20"/>
              </w:rPr>
              <w:t xml:space="preserve">3</w:t>
            </w:r>
          </w:p>
        </w:tc>
        <w:tc>
          <w:tcPr>
            <w:tcW w:w="680" w:type="dxa"/>
          </w:tcPr>
          <w:p>
            <w:pPr>
              <w:pStyle w:val="0"/>
            </w:pPr>
            <w:r>
              <w:rPr>
                <w:sz w:val="20"/>
              </w:rPr>
              <w:t xml:space="preserve">3</w:t>
            </w:r>
          </w:p>
        </w:tc>
        <w:tc>
          <w:tcPr>
            <w:tcW w:w="680" w:type="dxa"/>
          </w:tcPr>
          <w:p>
            <w:pPr>
              <w:pStyle w:val="0"/>
            </w:pPr>
            <w:r>
              <w:rPr>
                <w:sz w:val="20"/>
              </w:rPr>
              <w:t xml:space="preserve">3</w:t>
            </w:r>
          </w:p>
        </w:tc>
        <w:tc>
          <w:tcPr>
            <w:tcW w:w="680" w:type="dxa"/>
          </w:tcPr>
          <w:p>
            <w:pPr>
              <w:pStyle w:val="0"/>
            </w:pPr>
            <w:r>
              <w:rPr>
                <w:sz w:val="20"/>
              </w:rPr>
              <w:t xml:space="preserve">3</w:t>
            </w:r>
          </w:p>
        </w:tc>
        <w:tc>
          <w:tcPr>
            <w:tcW w:w="680" w:type="dxa"/>
          </w:tcPr>
          <w:p>
            <w:pPr>
              <w:pStyle w:val="0"/>
            </w:pPr>
            <w:r>
              <w:rPr>
                <w:sz w:val="20"/>
              </w:rPr>
              <w:t xml:space="preserve">6</w:t>
            </w:r>
          </w:p>
        </w:tc>
        <w:tc>
          <w:tcPr>
            <w:tcW w:w="680" w:type="dxa"/>
          </w:tcPr>
          <w:p>
            <w:pPr>
              <w:pStyle w:val="0"/>
            </w:pPr>
            <w:r>
              <w:rPr>
                <w:sz w:val="20"/>
              </w:rPr>
              <w:t xml:space="preserve">10</w:t>
            </w:r>
          </w:p>
        </w:tc>
      </w:tr>
      <w:tr>
        <w:tc>
          <w:tcPr>
            <w:tcW w:w="2665" w:type="dxa"/>
          </w:tcPr>
          <w:p>
            <w:pPr>
              <w:pStyle w:val="0"/>
            </w:pPr>
            <w:r>
              <w:rPr>
                <w:sz w:val="20"/>
              </w:rPr>
              <w:t xml:space="preserve">Всего</w:t>
            </w:r>
          </w:p>
        </w:tc>
        <w:tc>
          <w:tcPr>
            <w:tcW w:w="1024" w:type="dxa"/>
          </w:tcPr>
          <w:p>
            <w:pPr>
              <w:pStyle w:val="0"/>
            </w:pPr>
            <w:r>
              <w:rPr>
                <w:sz w:val="20"/>
              </w:rPr>
              <w:t xml:space="preserve">D00 - D09</w:t>
            </w:r>
          </w:p>
        </w:tc>
        <w:tc>
          <w:tcPr>
            <w:tcW w:w="680" w:type="dxa"/>
          </w:tcPr>
          <w:p>
            <w:pPr>
              <w:pStyle w:val="0"/>
            </w:pPr>
            <w:r>
              <w:rPr>
                <w:sz w:val="20"/>
              </w:rPr>
              <w:t xml:space="preserve">163</w:t>
            </w:r>
          </w:p>
        </w:tc>
        <w:tc>
          <w:tcPr>
            <w:tcW w:w="680" w:type="dxa"/>
          </w:tcPr>
          <w:p>
            <w:pPr>
              <w:pStyle w:val="0"/>
            </w:pPr>
            <w:r>
              <w:rPr>
                <w:sz w:val="20"/>
              </w:rPr>
              <w:t xml:space="preserve">204</w:t>
            </w:r>
          </w:p>
        </w:tc>
        <w:tc>
          <w:tcPr>
            <w:tcW w:w="680" w:type="dxa"/>
          </w:tcPr>
          <w:p>
            <w:pPr>
              <w:pStyle w:val="0"/>
            </w:pPr>
            <w:r>
              <w:rPr>
                <w:sz w:val="20"/>
              </w:rPr>
              <w:t xml:space="preserve">275</w:t>
            </w:r>
          </w:p>
        </w:tc>
        <w:tc>
          <w:tcPr>
            <w:tcW w:w="680" w:type="dxa"/>
          </w:tcPr>
          <w:p>
            <w:pPr>
              <w:pStyle w:val="0"/>
            </w:pPr>
            <w:r>
              <w:rPr>
                <w:sz w:val="20"/>
              </w:rPr>
              <w:t xml:space="preserve">299</w:t>
            </w:r>
          </w:p>
        </w:tc>
        <w:tc>
          <w:tcPr>
            <w:tcW w:w="680" w:type="dxa"/>
          </w:tcPr>
          <w:p>
            <w:pPr>
              <w:pStyle w:val="0"/>
            </w:pPr>
            <w:r>
              <w:rPr>
                <w:sz w:val="20"/>
              </w:rPr>
              <w:t xml:space="preserve">309</w:t>
            </w:r>
          </w:p>
        </w:tc>
        <w:tc>
          <w:tcPr>
            <w:tcW w:w="680" w:type="dxa"/>
          </w:tcPr>
          <w:p>
            <w:pPr>
              <w:pStyle w:val="0"/>
            </w:pPr>
            <w:r>
              <w:rPr>
                <w:sz w:val="20"/>
              </w:rPr>
              <w:t xml:space="preserve">331</w:t>
            </w:r>
          </w:p>
        </w:tc>
        <w:tc>
          <w:tcPr>
            <w:tcW w:w="680" w:type="dxa"/>
          </w:tcPr>
          <w:p>
            <w:pPr>
              <w:pStyle w:val="0"/>
            </w:pPr>
            <w:r>
              <w:rPr>
                <w:sz w:val="20"/>
              </w:rPr>
              <w:t xml:space="preserve">374</w:t>
            </w:r>
          </w:p>
        </w:tc>
        <w:tc>
          <w:tcPr>
            <w:tcW w:w="680" w:type="dxa"/>
          </w:tcPr>
          <w:p>
            <w:pPr>
              <w:pStyle w:val="0"/>
            </w:pPr>
            <w:r>
              <w:rPr>
                <w:sz w:val="20"/>
              </w:rPr>
              <w:t xml:space="preserve">416</w:t>
            </w:r>
          </w:p>
        </w:tc>
        <w:tc>
          <w:tcPr>
            <w:tcW w:w="680" w:type="dxa"/>
          </w:tcPr>
          <w:p>
            <w:pPr>
              <w:pStyle w:val="0"/>
            </w:pPr>
            <w:r>
              <w:rPr>
                <w:sz w:val="20"/>
              </w:rPr>
              <w:t xml:space="preserve">465</w:t>
            </w:r>
          </w:p>
        </w:tc>
        <w:tc>
          <w:tcPr>
            <w:tcW w:w="680" w:type="dxa"/>
          </w:tcPr>
          <w:p>
            <w:pPr>
              <w:pStyle w:val="0"/>
            </w:pPr>
            <w:r>
              <w:rPr>
                <w:sz w:val="20"/>
              </w:rPr>
              <w:t xml:space="preserve">714</w:t>
            </w:r>
          </w:p>
        </w:tc>
      </w:tr>
    </w:tbl>
    <w:p>
      <w:pPr>
        <w:pStyle w:val="0"/>
        <w:jc w:val="right"/>
      </w:pPr>
      <w:r>
        <w:rPr>
          <w:sz w:val="20"/>
        </w:rPr>
      </w:r>
    </w:p>
    <w:p>
      <w:pPr>
        <w:pStyle w:val="0"/>
        <w:jc w:val="right"/>
      </w:pPr>
      <w:r>
        <w:rPr>
          <w:sz w:val="20"/>
        </w:rPr>
        <w:t xml:space="preserve">Таблица 12</w:t>
      </w:r>
    </w:p>
    <w:p>
      <w:pPr>
        <w:pStyle w:val="0"/>
        <w:jc w:val="right"/>
      </w:pPr>
      <w:r>
        <w:rPr>
          <w:sz w:val="20"/>
        </w:rPr>
      </w:r>
    </w:p>
    <w:p>
      <w:pPr>
        <w:pStyle w:val="0"/>
        <w:jc w:val="center"/>
      </w:pPr>
      <w:r>
        <w:rPr>
          <w:sz w:val="20"/>
        </w:rPr>
        <w:t xml:space="preserve">Удельный вес злокачественных новообразований, выявленных</w:t>
      </w:r>
    </w:p>
    <w:p>
      <w:pPr>
        <w:pStyle w:val="0"/>
        <w:jc w:val="center"/>
      </w:pPr>
      <w:r>
        <w:rPr>
          <w:sz w:val="20"/>
        </w:rPr>
        <w:t xml:space="preserve">в I - II стадии, из числа впервые выявленных злокачественных</w:t>
      </w:r>
    </w:p>
    <w:p>
      <w:pPr>
        <w:pStyle w:val="0"/>
        <w:jc w:val="center"/>
      </w:pPr>
      <w:r>
        <w:rPr>
          <w:sz w:val="20"/>
        </w:rPr>
        <w:t xml:space="preserve">новообразований, %</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60"/>
        <w:gridCol w:w="1481"/>
        <w:gridCol w:w="717"/>
        <w:gridCol w:w="850"/>
        <w:gridCol w:w="851"/>
        <w:gridCol w:w="708"/>
        <w:gridCol w:w="709"/>
        <w:gridCol w:w="709"/>
        <w:gridCol w:w="709"/>
        <w:gridCol w:w="708"/>
        <w:gridCol w:w="709"/>
        <w:gridCol w:w="709"/>
        <w:gridCol w:w="1247"/>
      </w:tblGrid>
      <w:tr>
        <w:tc>
          <w:tcPr>
            <w:tcW w:w="3360" w:type="dxa"/>
            <w:vMerge w:val="restart"/>
          </w:tcPr>
          <w:p>
            <w:pPr>
              <w:pStyle w:val="0"/>
              <w:jc w:val="center"/>
            </w:pPr>
            <w:r>
              <w:rPr>
                <w:sz w:val="20"/>
              </w:rPr>
              <w:t xml:space="preserve">Локализация</w:t>
            </w:r>
          </w:p>
        </w:tc>
        <w:tc>
          <w:tcPr>
            <w:tcW w:w="1481" w:type="dxa"/>
            <w:vMerge w:val="restart"/>
          </w:tcPr>
          <w:p>
            <w:pPr>
              <w:pStyle w:val="0"/>
              <w:jc w:val="center"/>
            </w:pPr>
            <w:r>
              <w:rPr>
                <w:sz w:val="20"/>
              </w:rPr>
              <w:t xml:space="preserve">Код МКБ 10</w:t>
            </w:r>
          </w:p>
        </w:tc>
        <w:tc>
          <w:tcPr>
            <w:gridSpan w:val="10"/>
            <w:tcW w:w="7379" w:type="dxa"/>
          </w:tcPr>
          <w:p>
            <w:pPr>
              <w:pStyle w:val="0"/>
              <w:jc w:val="center"/>
            </w:pPr>
            <w:r>
              <w:rPr>
                <w:sz w:val="20"/>
              </w:rPr>
              <w:t xml:space="preserve">Годы</w:t>
            </w:r>
          </w:p>
        </w:tc>
        <w:tc>
          <w:tcPr>
            <w:tcW w:w="1247" w:type="dxa"/>
          </w:tcPr>
          <w:p>
            <w:pPr>
              <w:pStyle w:val="0"/>
              <w:jc w:val="center"/>
            </w:pPr>
            <w:r>
              <w:rPr>
                <w:sz w:val="20"/>
              </w:rPr>
              <w:t xml:space="preserve">РФ</w:t>
            </w:r>
          </w:p>
        </w:tc>
      </w:tr>
      <w:tr>
        <w:tc>
          <w:tcPr>
            <w:vMerge w:val="continue"/>
          </w:tcPr>
          <w:p/>
        </w:tc>
        <w:tc>
          <w:tcPr>
            <w:vMerge w:val="continue"/>
          </w:tcPr>
          <w:p/>
        </w:tc>
        <w:tc>
          <w:tcPr>
            <w:tcW w:w="717" w:type="dxa"/>
          </w:tcPr>
          <w:p>
            <w:pPr>
              <w:pStyle w:val="0"/>
              <w:jc w:val="center"/>
            </w:pPr>
            <w:r>
              <w:rPr>
                <w:sz w:val="20"/>
              </w:rPr>
              <w:t xml:space="preserve">2013</w:t>
            </w:r>
          </w:p>
        </w:tc>
        <w:tc>
          <w:tcPr>
            <w:tcW w:w="850" w:type="dxa"/>
          </w:tcPr>
          <w:p>
            <w:pPr>
              <w:pStyle w:val="0"/>
              <w:jc w:val="center"/>
            </w:pPr>
            <w:r>
              <w:rPr>
                <w:sz w:val="20"/>
              </w:rPr>
              <w:t xml:space="preserve">2014</w:t>
            </w:r>
          </w:p>
        </w:tc>
        <w:tc>
          <w:tcPr>
            <w:tcW w:w="851" w:type="dxa"/>
          </w:tcPr>
          <w:p>
            <w:pPr>
              <w:pStyle w:val="0"/>
              <w:jc w:val="center"/>
            </w:pPr>
            <w:r>
              <w:rPr>
                <w:sz w:val="20"/>
              </w:rPr>
              <w:t xml:space="preserve">2015</w:t>
            </w:r>
          </w:p>
        </w:tc>
        <w:tc>
          <w:tcPr>
            <w:tcW w:w="708" w:type="dxa"/>
          </w:tcPr>
          <w:p>
            <w:pPr>
              <w:pStyle w:val="0"/>
              <w:jc w:val="center"/>
            </w:pPr>
            <w:r>
              <w:rPr>
                <w:sz w:val="20"/>
              </w:rPr>
              <w:t xml:space="preserve">2016</w:t>
            </w:r>
          </w:p>
        </w:tc>
        <w:tc>
          <w:tcPr>
            <w:tcW w:w="709" w:type="dxa"/>
          </w:tcPr>
          <w:p>
            <w:pPr>
              <w:pStyle w:val="0"/>
              <w:jc w:val="center"/>
            </w:pPr>
            <w:r>
              <w:rPr>
                <w:sz w:val="20"/>
              </w:rPr>
              <w:t xml:space="preserve">2017</w:t>
            </w:r>
          </w:p>
        </w:tc>
        <w:tc>
          <w:tcPr>
            <w:tcW w:w="709" w:type="dxa"/>
          </w:tcPr>
          <w:p>
            <w:pPr>
              <w:pStyle w:val="0"/>
              <w:jc w:val="center"/>
            </w:pPr>
            <w:r>
              <w:rPr>
                <w:sz w:val="20"/>
              </w:rPr>
              <w:t xml:space="preserve">2018</w:t>
            </w:r>
          </w:p>
        </w:tc>
        <w:tc>
          <w:tcPr>
            <w:tcW w:w="709" w:type="dxa"/>
          </w:tcPr>
          <w:p>
            <w:pPr>
              <w:pStyle w:val="0"/>
              <w:jc w:val="center"/>
            </w:pPr>
            <w:r>
              <w:rPr>
                <w:sz w:val="20"/>
              </w:rPr>
              <w:t xml:space="preserve">2019</w:t>
            </w:r>
          </w:p>
        </w:tc>
        <w:tc>
          <w:tcPr>
            <w:tcW w:w="708" w:type="dxa"/>
          </w:tcPr>
          <w:p>
            <w:pPr>
              <w:pStyle w:val="0"/>
              <w:jc w:val="center"/>
            </w:pPr>
            <w:r>
              <w:rPr>
                <w:sz w:val="20"/>
              </w:rPr>
              <w:t xml:space="preserve">2020</w:t>
            </w:r>
          </w:p>
        </w:tc>
        <w:tc>
          <w:tcPr>
            <w:tcW w:w="709" w:type="dxa"/>
          </w:tcPr>
          <w:p>
            <w:pPr>
              <w:pStyle w:val="0"/>
              <w:jc w:val="center"/>
            </w:pPr>
            <w:r>
              <w:rPr>
                <w:sz w:val="20"/>
              </w:rPr>
              <w:t xml:space="preserve">2021</w:t>
            </w:r>
          </w:p>
        </w:tc>
        <w:tc>
          <w:tcPr>
            <w:tcW w:w="709" w:type="dxa"/>
          </w:tcPr>
          <w:p>
            <w:pPr>
              <w:pStyle w:val="0"/>
              <w:jc w:val="center"/>
            </w:pPr>
            <w:r>
              <w:rPr>
                <w:sz w:val="20"/>
              </w:rPr>
              <w:t xml:space="preserve">2022</w:t>
            </w:r>
          </w:p>
        </w:tc>
        <w:tc>
          <w:tcPr>
            <w:tcW w:w="1247" w:type="dxa"/>
          </w:tcPr>
          <w:p>
            <w:pPr>
              <w:pStyle w:val="0"/>
              <w:jc w:val="center"/>
            </w:pPr>
            <w:r>
              <w:rPr>
                <w:sz w:val="20"/>
              </w:rPr>
              <w:t xml:space="preserve">2021</w:t>
            </w:r>
          </w:p>
        </w:tc>
      </w:tr>
      <w:tr>
        <w:tc>
          <w:tcPr>
            <w:tcW w:w="3360" w:type="dxa"/>
          </w:tcPr>
          <w:p>
            <w:pPr>
              <w:pStyle w:val="0"/>
            </w:pPr>
            <w:r>
              <w:rPr>
                <w:sz w:val="20"/>
              </w:rPr>
              <w:t xml:space="preserve">Все злокачественные новообразования</w:t>
            </w:r>
          </w:p>
        </w:tc>
        <w:tc>
          <w:tcPr>
            <w:tcW w:w="1481" w:type="dxa"/>
          </w:tcPr>
          <w:p>
            <w:pPr>
              <w:pStyle w:val="0"/>
              <w:jc w:val="center"/>
            </w:pPr>
            <w:r>
              <w:rPr>
                <w:sz w:val="20"/>
              </w:rPr>
              <w:t xml:space="preserve">С 00 - 96</w:t>
            </w:r>
          </w:p>
        </w:tc>
        <w:tc>
          <w:tcPr>
            <w:tcW w:w="717" w:type="dxa"/>
          </w:tcPr>
          <w:p>
            <w:pPr>
              <w:pStyle w:val="0"/>
              <w:jc w:val="center"/>
            </w:pPr>
            <w:r>
              <w:rPr>
                <w:sz w:val="20"/>
              </w:rPr>
              <w:t xml:space="preserve">52,2</w:t>
            </w:r>
          </w:p>
        </w:tc>
        <w:tc>
          <w:tcPr>
            <w:tcW w:w="850" w:type="dxa"/>
          </w:tcPr>
          <w:p>
            <w:pPr>
              <w:pStyle w:val="0"/>
              <w:jc w:val="center"/>
            </w:pPr>
            <w:r>
              <w:rPr>
                <w:sz w:val="20"/>
              </w:rPr>
              <w:t xml:space="preserve">51,4</w:t>
            </w:r>
          </w:p>
        </w:tc>
        <w:tc>
          <w:tcPr>
            <w:tcW w:w="851" w:type="dxa"/>
          </w:tcPr>
          <w:p>
            <w:pPr>
              <w:pStyle w:val="0"/>
              <w:jc w:val="center"/>
            </w:pPr>
            <w:r>
              <w:rPr>
                <w:sz w:val="20"/>
              </w:rPr>
              <w:t xml:space="preserve">53,4</w:t>
            </w:r>
          </w:p>
        </w:tc>
        <w:tc>
          <w:tcPr>
            <w:tcW w:w="708" w:type="dxa"/>
          </w:tcPr>
          <w:p>
            <w:pPr>
              <w:pStyle w:val="0"/>
              <w:jc w:val="center"/>
            </w:pPr>
            <w:r>
              <w:rPr>
                <w:sz w:val="20"/>
              </w:rPr>
              <w:t xml:space="preserve">54,2</w:t>
            </w:r>
          </w:p>
        </w:tc>
        <w:tc>
          <w:tcPr>
            <w:tcW w:w="709" w:type="dxa"/>
          </w:tcPr>
          <w:p>
            <w:pPr>
              <w:pStyle w:val="0"/>
              <w:jc w:val="center"/>
            </w:pPr>
            <w:r>
              <w:rPr>
                <w:sz w:val="20"/>
              </w:rPr>
              <w:t xml:space="preserve">55,6</w:t>
            </w:r>
          </w:p>
        </w:tc>
        <w:tc>
          <w:tcPr>
            <w:tcW w:w="709" w:type="dxa"/>
          </w:tcPr>
          <w:p>
            <w:pPr>
              <w:pStyle w:val="0"/>
              <w:jc w:val="center"/>
            </w:pPr>
            <w:r>
              <w:rPr>
                <w:sz w:val="20"/>
              </w:rPr>
              <w:t xml:space="preserve">56,1</w:t>
            </w:r>
          </w:p>
        </w:tc>
        <w:tc>
          <w:tcPr>
            <w:tcW w:w="709" w:type="dxa"/>
          </w:tcPr>
          <w:p>
            <w:pPr>
              <w:pStyle w:val="0"/>
              <w:jc w:val="center"/>
            </w:pPr>
            <w:r>
              <w:rPr>
                <w:sz w:val="20"/>
              </w:rPr>
              <w:t xml:space="preserve">56,6</w:t>
            </w:r>
          </w:p>
        </w:tc>
        <w:tc>
          <w:tcPr>
            <w:tcW w:w="708" w:type="dxa"/>
          </w:tcPr>
          <w:p>
            <w:pPr>
              <w:pStyle w:val="0"/>
              <w:jc w:val="center"/>
            </w:pPr>
            <w:r>
              <w:rPr>
                <w:sz w:val="20"/>
              </w:rPr>
              <w:t xml:space="preserve">59,6</w:t>
            </w:r>
          </w:p>
        </w:tc>
        <w:tc>
          <w:tcPr>
            <w:tcW w:w="709" w:type="dxa"/>
          </w:tcPr>
          <w:p>
            <w:pPr>
              <w:pStyle w:val="0"/>
              <w:jc w:val="center"/>
            </w:pPr>
            <w:r>
              <w:rPr>
                <w:sz w:val="20"/>
              </w:rPr>
              <w:t xml:space="preserve">59,9</w:t>
            </w:r>
          </w:p>
        </w:tc>
        <w:tc>
          <w:tcPr>
            <w:tcW w:w="709" w:type="dxa"/>
          </w:tcPr>
          <w:p>
            <w:pPr>
              <w:pStyle w:val="0"/>
              <w:jc w:val="center"/>
            </w:pPr>
            <w:r>
              <w:rPr>
                <w:sz w:val="20"/>
              </w:rPr>
              <w:t xml:space="preserve">60,8</w:t>
            </w:r>
          </w:p>
        </w:tc>
        <w:tc>
          <w:tcPr>
            <w:tcW w:w="1247" w:type="dxa"/>
          </w:tcPr>
          <w:p>
            <w:pPr>
              <w:pStyle w:val="0"/>
              <w:jc w:val="center"/>
            </w:pPr>
            <w:r>
              <w:rPr>
                <w:sz w:val="20"/>
              </w:rPr>
              <w:t xml:space="preserve">57,9</w:t>
            </w:r>
          </w:p>
        </w:tc>
      </w:tr>
      <w:tr>
        <w:tc>
          <w:tcPr>
            <w:tcW w:w="3360" w:type="dxa"/>
          </w:tcPr>
          <w:p>
            <w:pPr>
              <w:pStyle w:val="0"/>
            </w:pPr>
            <w:r>
              <w:rPr>
                <w:sz w:val="20"/>
              </w:rPr>
              <w:t xml:space="preserve">Губа</w:t>
            </w:r>
          </w:p>
        </w:tc>
        <w:tc>
          <w:tcPr>
            <w:tcW w:w="1481" w:type="dxa"/>
          </w:tcPr>
          <w:p>
            <w:pPr>
              <w:pStyle w:val="0"/>
              <w:jc w:val="center"/>
            </w:pPr>
            <w:r>
              <w:rPr>
                <w:sz w:val="20"/>
              </w:rPr>
              <w:t xml:space="preserve">С 00</w:t>
            </w:r>
          </w:p>
        </w:tc>
        <w:tc>
          <w:tcPr>
            <w:tcW w:w="717" w:type="dxa"/>
          </w:tcPr>
          <w:p>
            <w:pPr>
              <w:pStyle w:val="0"/>
              <w:jc w:val="center"/>
            </w:pPr>
            <w:r>
              <w:rPr>
                <w:sz w:val="20"/>
              </w:rPr>
              <w:t xml:space="preserve">78,5</w:t>
            </w:r>
          </w:p>
        </w:tc>
        <w:tc>
          <w:tcPr>
            <w:tcW w:w="850" w:type="dxa"/>
          </w:tcPr>
          <w:p>
            <w:pPr>
              <w:pStyle w:val="0"/>
              <w:jc w:val="center"/>
            </w:pPr>
            <w:r>
              <w:rPr>
                <w:sz w:val="20"/>
              </w:rPr>
              <w:t xml:space="preserve">73,3</w:t>
            </w:r>
          </w:p>
        </w:tc>
        <w:tc>
          <w:tcPr>
            <w:tcW w:w="851" w:type="dxa"/>
          </w:tcPr>
          <w:p>
            <w:pPr>
              <w:pStyle w:val="0"/>
              <w:jc w:val="center"/>
            </w:pPr>
            <w:r>
              <w:rPr>
                <w:sz w:val="20"/>
              </w:rPr>
              <w:t xml:space="preserve">81,8</w:t>
            </w:r>
          </w:p>
        </w:tc>
        <w:tc>
          <w:tcPr>
            <w:tcW w:w="708" w:type="dxa"/>
          </w:tcPr>
          <w:p>
            <w:pPr>
              <w:pStyle w:val="0"/>
              <w:jc w:val="center"/>
            </w:pPr>
            <w:r>
              <w:rPr>
                <w:sz w:val="20"/>
              </w:rPr>
              <w:t xml:space="preserve">73,3</w:t>
            </w:r>
          </w:p>
        </w:tc>
        <w:tc>
          <w:tcPr>
            <w:tcW w:w="709" w:type="dxa"/>
          </w:tcPr>
          <w:p>
            <w:pPr>
              <w:pStyle w:val="0"/>
              <w:jc w:val="center"/>
            </w:pPr>
            <w:r>
              <w:rPr>
                <w:sz w:val="20"/>
              </w:rPr>
              <w:t xml:space="preserve">85,7</w:t>
            </w:r>
          </w:p>
        </w:tc>
        <w:tc>
          <w:tcPr>
            <w:tcW w:w="709" w:type="dxa"/>
          </w:tcPr>
          <w:p>
            <w:pPr>
              <w:pStyle w:val="0"/>
              <w:jc w:val="center"/>
            </w:pPr>
            <w:r>
              <w:rPr>
                <w:sz w:val="20"/>
              </w:rPr>
              <w:t xml:space="preserve">71,6</w:t>
            </w:r>
          </w:p>
        </w:tc>
        <w:tc>
          <w:tcPr>
            <w:tcW w:w="709" w:type="dxa"/>
          </w:tcPr>
          <w:p>
            <w:pPr>
              <w:pStyle w:val="0"/>
              <w:jc w:val="center"/>
            </w:pPr>
            <w:r>
              <w:rPr>
                <w:sz w:val="20"/>
              </w:rPr>
              <w:t xml:space="preserve">80</w:t>
            </w:r>
          </w:p>
        </w:tc>
        <w:tc>
          <w:tcPr>
            <w:tcW w:w="708" w:type="dxa"/>
          </w:tcPr>
          <w:p>
            <w:pPr>
              <w:pStyle w:val="0"/>
              <w:jc w:val="center"/>
            </w:pPr>
            <w:r>
              <w:rPr>
                <w:sz w:val="20"/>
              </w:rPr>
              <w:t xml:space="preserve">100</w:t>
            </w:r>
          </w:p>
        </w:tc>
        <w:tc>
          <w:tcPr>
            <w:tcW w:w="709" w:type="dxa"/>
          </w:tcPr>
          <w:p>
            <w:pPr>
              <w:pStyle w:val="0"/>
              <w:jc w:val="center"/>
            </w:pPr>
            <w:r>
              <w:rPr>
                <w:sz w:val="20"/>
              </w:rPr>
              <w:t xml:space="preserve">100,0</w:t>
            </w:r>
          </w:p>
        </w:tc>
        <w:tc>
          <w:tcPr>
            <w:tcW w:w="709" w:type="dxa"/>
          </w:tcPr>
          <w:p>
            <w:pPr>
              <w:pStyle w:val="0"/>
              <w:jc w:val="center"/>
            </w:pPr>
            <w:r>
              <w:rPr>
                <w:sz w:val="20"/>
              </w:rPr>
              <w:t xml:space="preserve">75,0</w:t>
            </w:r>
          </w:p>
        </w:tc>
        <w:tc>
          <w:tcPr>
            <w:tcW w:w="1247" w:type="dxa"/>
          </w:tcPr>
          <w:p>
            <w:pPr>
              <w:pStyle w:val="0"/>
              <w:jc w:val="center"/>
            </w:pPr>
            <w:r>
              <w:rPr>
                <w:sz w:val="20"/>
              </w:rPr>
              <w:t xml:space="preserve">83,5</w:t>
            </w:r>
          </w:p>
        </w:tc>
      </w:tr>
      <w:tr>
        <w:tc>
          <w:tcPr>
            <w:tcW w:w="3360" w:type="dxa"/>
          </w:tcPr>
          <w:p>
            <w:pPr>
              <w:pStyle w:val="0"/>
            </w:pPr>
            <w:r>
              <w:rPr>
                <w:sz w:val="20"/>
              </w:rPr>
              <w:t xml:space="preserve">Полость рта</w:t>
            </w:r>
          </w:p>
        </w:tc>
        <w:tc>
          <w:tcPr>
            <w:tcW w:w="1481" w:type="dxa"/>
          </w:tcPr>
          <w:p>
            <w:pPr>
              <w:pStyle w:val="0"/>
              <w:jc w:val="center"/>
            </w:pPr>
            <w:r>
              <w:rPr>
                <w:sz w:val="20"/>
              </w:rPr>
              <w:t xml:space="preserve">С 01 - С09</w:t>
            </w:r>
          </w:p>
        </w:tc>
        <w:tc>
          <w:tcPr>
            <w:tcW w:w="717" w:type="dxa"/>
          </w:tcPr>
          <w:p>
            <w:pPr>
              <w:pStyle w:val="0"/>
              <w:jc w:val="center"/>
            </w:pPr>
            <w:r>
              <w:rPr>
                <w:sz w:val="20"/>
              </w:rPr>
              <w:t xml:space="preserve">37,4</w:t>
            </w:r>
          </w:p>
        </w:tc>
        <w:tc>
          <w:tcPr>
            <w:tcW w:w="850" w:type="dxa"/>
          </w:tcPr>
          <w:p>
            <w:pPr>
              <w:pStyle w:val="0"/>
              <w:jc w:val="center"/>
            </w:pPr>
            <w:r>
              <w:rPr>
                <w:sz w:val="20"/>
              </w:rPr>
              <w:t xml:space="preserve">37,1</w:t>
            </w:r>
          </w:p>
        </w:tc>
        <w:tc>
          <w:tcPr>
            <w:tcW w:w="851" w:type="dxa"/>
          </w:tcPr>
          <w:p>
            <w:pPr>
              <w:pStyle w:val="0"/>
              <w:jc w:val="center"/>
            </w:pPr>
            <w:r>
              <w:rPr>
                <w:sz w:val="20"/>
              </w:rPr>
              <w:t xml:space="preserve">37,1</w:t>
            </w:r>
          </w:p>
        </w:tc>
        <w:tc>
          <w:tcPr>
            <w:tcW w:w="708" w:type="dxa"/>
          </w:tcPr>
          <w:p>
            <w:pPr>
              <w:pStyle w:val="0"/>
              <w:jc w:val="center"/>
            </w:pPr>
            <w:r>
              <w:rPr>
                <w:sz w:val="20"/>
              </w:rPr>
              <w:t xml:space="preserve">46,9</w:t>
            </w:r>
          </w:p>
        </w:tc>
        <w:tc>
          <w:tcPr>
            <w:tcW w:w="709" w:type="dxa"/>
          </w:tcPr>
          <w:p>
            <w:pPr>
              <w:pStyle w:val="0"/>
              <w:jc w:val="center"/>
            </w:pPr>
            <w:r>
              <w:rPr>
                <w:sz w:val="20"/>
              </w:rPr>
              <w:t xml:space="preserve">40</w:t>
            </w:r>
          </w:p>
        </w:tc>
        <w:tc>
          <w:tcPr>
            <w:tcW w:w="709" w:type="dxa"/>
          </w:tcPr>
          <w:p>
            <w:pPr>
              <w:pStyle w:val="0"/>
              <w:jc w:val="center"/>
            </w:pPr>
            <w:r>
              <w:rPr>
                <w:sz w:val="20"/>
              </w:rPr>
              <w:t xml:space="preserve">33,4</w:t>
            </w:r>
          </w:p>
        </w:tc>
        <w:tc>
          <w:tcPr>
            <w:tcW w:w="709" w:type="dxa"/>
          </w:tcPr>
          <w:p>
            <w:pPr>
              <w:pStyle w:val="0"/>
              <w:jc w:val="center"/>
            </w:pPr>
            <w:r>
              <w:rPr>
                <w:sz w:val="20"/>
              </w:rPr>
              <w:t xml:space="preserve">33,8</w:t>
            </w:r>
          </w:p>
        </w:tc>
        <w:tc>
          <w:tcPr>
            <w:tcW w:w="708" w:type="dxa"/>
          </w:tcPr>
          <w:p>
            <w:pPr>
              <w:pStyle w:val="0"/>
              <w:jc w:val="center"/>
            </w:pPr>
            <w:r>
              <w:rPr>
                <w:sz w:val="20"/>
              </w:rPr>
              <w:t xml:space="preserve">48,5</w:t>
            </w:r>
          </w:p>
        </w:tc>
        <w:tc>
          <w:tcPr>
            <w:tcW w:w="709" w:type="dxa"/>
          </w:tcPr>
          <w:p>
            <w:pPr>
              <w:pStyle w:val="0"/>
              <w:jc w:val="center"/>
            </w:pPr>
            <w:r>
              <w:rPr>
                <w:sz w:val="20"/>
              </w:rPr>
              <w:t xml:space="preserve">50,6</w:t>
            </w:r>
          </w:p>
        </w:tc>
        <w:tc>
          <w:tcPr>
            <w:tcW w:w="709" w:type="dxa"/>
          </w:tcPr>
          <w:p>
            <w:pPr>
              <w:pStyle w:val="0"/>
              <w:jc w:val="center"/>
            </w:pPr>
            <w:r>
              <w:rPr>
                <w:sz w:val="20"/>
              </w:rPr>
              <w:t xml:space="preserve">36,6</w:t>
            </w:r>
          </w:p>
        </w:tc>
        <w:tc>
          <w:tcPr>
            <w:tcW w:w="1247" w:type="dxa"/>
          </w:tcPr>
          <w:p>
            <w:pPr>
              <w:pStyle w:val="0"/>
              <w:jc w:val="center"/>
            </w:pPr>
            <w:r>
              <w:rPr>
                <w:sz w:val="20"/>
              </w:rPr>
              <w:t xml:space="preserve">34,7</w:t>
            </w:r>
          </w:p>
        </w:tc>
      </w:tr>
      <w:tr>
        <w:tc>
          <w:tcPr>
            <w:tcW w:w="3360" w:type="dxa"/>
          </w:tcPr>
          <w:p>
            <w:pPr>
              <w:pStyle w:val="0"/>
            </w:pPr>
            <w:r>
              <w:rPr>
                <w:sz w:val="20"/>
              </w:rPr>
              <w:t xml:space="preserve">Глотка</w:t>
            </w:r>
          </w:p>
        </w:tc>
        <w:tc>
          <w:tcPr>
            <w:tcW w:w="1481" w:type="dxa"/>
          </w:tcPr>
          <w:p>
            <w:pPr>
              <w:pStyle w:val="0"/>
              <w:jc w:val="center"/>
            </w:pPr>
            <w:r>
              <w:rPr>
                <w:sz w:val="20"/>
              </w:rPr>
              <w:t xml:space="preserve">С 10 - С13</w:t>
            </w:r>
          </w:p>
        </w:tc>
        <w:tc>
          <w:tcPr>
            <w:tcW w:w="717" w:type="dxa"/>
          </w:tcPr>
          <w:p>
            <w:pPr>
              <w:pStyle w:val="0"/>
              <w:jc w:val="center"/>
            </w:pPr>
            <w:r>
              <w:rPr>
                <w:sz w:val="20"/>
              </w:rPr>
              <w:t xml:space="preserve">25,9</w:t>
            </w:r>
          </w:p>
        </w:tc>
        <w:tc>
          <w:tcPr>
            <w:tcW w:w="850" w:type="dxa"/>
          </w:tcPr>
          <w:p>
            <w:pPr>
              <w:pStyle w:val="0"/>
              <w:jc w:val="center"/>
            </w:pPr>
            <w:r>
              <w:rPr>
                <w:sz w:val="20"/>
              </w:rPr>
              <w:t xml:space="preserve">28,4</w:t>
            </w:r>
          </w:p>
        </w:tc>
        <w:tc>
          <w:tcPr>
            <w:tcW w:w="851" w:type="dxa"/>
          </w:tcPr>
          <w:p>
            <w:pPr>
              <w:pStyle w:val="0"/>
              <w:jc w:val="center"/>
            </w:pPr>
            <w:r>
              <w:rPr>
                <w:sz w:val="20"/>
              </w:rPr>
              <w:t xml:space="preserve">30,6</w:t>
            </w:r>
          </w:p>
        </w:tc>
        <w:tc>
          <w:tcPr>
            <w:tcW w:w="708" w:type="dxa"/>
          </w:tcPr>
          <w:p>
            <w:pPr>
              <w:pStyle w:val="0"/>
              <w:jc w:val="center"/>
            </w:pPr>
            <w:r>
              <w:rPr>
                <w:sz w:val="20"/>
              </w:rPr>
              <w:t xml:space="preserve">34,6</w:t>
            </w:r>
          </w:p>
        </w:tc>
        <w:tc>
          <w:tcPr>
            <w:tcW w:w="709" w:type="dxa"/>
          </w:tcPr>
          <w:p>
            <w:pPr>
              <w:pStyle w:val="0"/>
              <w:jc w:val="center"/>
            </w:pPr>
            <w:r>
              <w:rPr>
                <w:sz w:val="20"/>
              </w:rPr>
              <w:t xml:space="preserve">22,2</w:t>
            </w:r>
          </w:p>
        </w:tc>
        <w:tc>
          <w:tcPr>
            <w:tcW w:w="709" w:type="dxa"/>
          </w:tcPr>
          <w:p>
            <w:pPr>
              <w:pStyle w:val="0"/>
              <w:jc w:val="center"/>
            </w:pPr>
            <w:r>
              <w:rPr>
                <w:sz w:val="20"/>
              </w:rPr>
              <w:t xml:space="preserve">20,7</w:t>
            </w:r>
          </w:p>
        </w:tc>
        <w:tc>
          <w:tcPr>
            <w:tcW w:w="709" w:type="dxa"/>
          </w:tcPr>
          <w:p>
            <w:pPr>
              <w:pStyle w:val="0"/>
              <w:jc w:val="center"/>
            </w:pPr>
            <w:r>
              <w:rPr>
                <w:sz w:val="20"/>
              </w:rPr>
              <w:t xml:space="preserve">12,9</w:t>
            </w:r>
          </w:p>
        </w:tc>
        <w:tc>
          <w:tcPr>
            <w:tcW w:w="708" w:type="dxa"/>
          </w:tcPr>
          <w:p>
            <w:pPr>
              <w:pStyle w:val="0"/>
              <w:jc w:val="center"/>
            </w:pPr>
            <w:r>
              <w:rPr>
                <w:sz w:val="20"/>
              </w:rPr>
              <w:t xml:space="preserve">38,1</w:t>
            </w:r>
          </w:p>
        </w:tc>
        <w:tc>
          <w:tcPr>
            <w:tcW w:w="709" w:type="dxa"/>
          </w:tcPr>
          <w:p>
            <w:pPr>
              <w:pStyle w:val="0"/>
              <w:jc w:val="center"/>
            </w:pPr>
            <w:r>
              <w:rPr>
                <w:sz w:val="20"/>
              </w:rPr>
              <w:t xml:space="preserve">21,7</w:t>
            </w:r>
          </w:p>
        </w:tc>
        <w:tc>
          <w:tcPr>
            <w:tcW w:w="709" w:type="dxa"/>
          </w:tcPr>
          <w:p>
            <w:pPr>
              <w:pStyle w:val="0"/>
              <w:jc w:val="center"/>
            </w:pPr>
            <w:r>
              <w:rPr>
                <w:sz w:val="20"/>
              </w:rPr>
              <w:t xml:space="preserve">31,4</w:t>
            </w:r>
          </w:p>
        </w:tc>
        <w:tc>
          <w:tcPr>
            <w:tcW w:w="1247" w:type="dxa"/>
          </w:tcPr>
          <w:p>
            <w:pPr>
              <w:pStyle w:val="0"/>
              <w:jc w:val="center"/>
            </w:pPr>
            <w:r>
              <w:rPr>
                <w:sz w:val="20"/>
              </w:rPr>
              <w:t xml:space="preserve">16,6</w:t>
            </w:r>
          </w:p>
        </w:tc>
      </w:tr>
      <w:tr>
        <w:tc>
          <w:tcPr>
            <w:tcW w:w="3360" w:type="dxa"/>
          </w:tcPr>
          <w:p>
            <w:pPr>
              <w:pStyle w:val="0"/>
            </w:pPr>
            <w:r>
              <w:rPr>
                <w:sz w:val="20"/>
              </w:rPr>
              <w:t xml:space="preserve">Пищевод</w:t>
            </w:r>
          </w:p>
        </w:tc>
        <w:tc>
          <w:tcPr>
            <w:tcW w:w="1481" w:type="dxa"/>
          </w:tcPr>
          <w:p>
            <w:pPr>
              <w:pStyle w:val="0"/>
              <w:jc w:val="center"/>
            </w:pPr>
            <w:r>
              <w:rPr>
                <w:sz w:val="20"/>
              </w:rPr>
              <w:t xml:space="preserve">С 15</w:t>
            </w:r>
          </w:p>
        </w:tc>
        <w:tc>
          <w:tcPr>
            <w:tcW w:w="717" w:type="dxa"/>
          </w:tcPr>
          <w:p>
            <w:pPr>
              <w:pStyle w:val="0"/>
              <w:jc w:val="center"/>
            </w:pPr>
            <w:r>
              <w:rPr>
                <w:sz w:val="20"/>
              </w:rPr>
              <w:t xml:space="preserve">33,3</w:t>
            </w:r>
          </w:p>
        </w:tc>
        <w:tc>
          <w:tcPr>
            <w:tcW w:w="850" w:type="dxa"/>
          </w:tcPr>
          <w:p>
            <w:pPr>
              <w:pStyle w:val="0"/>
              <w:jc w:val="center"/>
            </w:pPr>
            <w:r>
              <w:rPr>
                <w:sz w:val="20"/>
              </w:rPr>
              <w:t xml:space="preserve">19,5</w:t>
            </w:r>
          </w:p>
        </w:tc>
        <w:tc>
          <w:tcPr>
            <w:tcW w:w="851" w:type="dxa"/>
          </w:tcPr>
          <w:p>
            <w:pPr>
              <w:pStyle w:val="0"/>
              <w:jc w:val="center"/>
            </w:pPr>
            <w:r>
              <w:rPr>
                <w:sz w:val="20"/>
              </w:rPr>
              <w:t xml:space="preserve">31,5</w:t>
            </w:r>
          </w:p>
        </w:tc>
        <w:tc>
          <w:tcPr>
            <w:tcW w:w="708" w:type="dxa"/>
          </w:tcPr>
          <w:p>
            <w:pPr>
              <w:pStyle w:val="0"/>
              <w:jc w:val="center"/>
            </w:pPr>
            <w:r>
              <w:rPr>
                <w:sz w:val="20"/>
              </w:rPr>
              <w:t xml:space="preserve">32,8</w:t>
            </w:r>
          </w:p>
        </w:tc>
        <w:tc>
          <w:tcPr>
            <w:tcW w:w="709" w:type="dxa"/>
          </w:tcPr>
          <w:p>
            <w:pPr>
              <w:pStyle w:val="0"/>
              <w:jc w:val="center"/>
            </w:pPr>
            <w:r>
              <w:rPr>
                <w:sz w:val="20"/>
              </w:rPr>
              <w:t xml:space="preserve">29,1</w:t>
            </w:r>
          </w:p>
        </w:tc>
        <w:tc>
          <w:tcPr>
            <w:tcW w:w="709" w:type="dxa"/>
          </w:tcPr>
          <w:p>
            <w:pPr>
              <w:pStyle w:val="0"/>
              <w:jc w:val="center"/>
            </w:pPr>
            <w:r>
              <w:rPr>
                <w:sz w:val="20"/>
              </w:rPr>
              <w:t xml:space="preserve">42,6</w:t>
            </w:r>
          </w:p>
        </w:tc>
        <w:tc>
          <w:tcPr>
            <w:tcW w:w="709" w:type="dxa"/>
          </w:tcPr>
          <w:p>
            <w:pPr>
              <w:pStyle w:val="0"/>
              <w:jc w:val="center"/>
            </w:pPr>
            <w:r>
              <w:rPr>
                <w:sz w:val="20"/>
              </w:rPr>
              <w:t xml:space="preserve">32,9</w:t>
            </w:r>
          </w:p>
        </w:tc>
        <w:tc>
          <w:tcPr>
            <w:tcW w:w="708" w:type="dxa"/>
          </w:tcPr>
          <w:p>
            <w:pPr>
              <w:pStyle w:val="0"/>
              <w:jc w:val="center"/>
            </w:pPr>
            <w:r>
              <w:rPr>
                <w:sz w:val="20"/>
              </w:rPr>
              <w:t xml:space="preserve">50,8</w:t>
            </w:r>
          </w:p>
        </w:tc>
        <w:tc>
          <w:tcPr>
            <w:tcW w:w="709" w:type="dxa"/>
          </w:tcPr>
          <w:p>
            <w:pPr>
              <w:pStyle w:val="0"/>
              <w:jc w:val="center"/>
            </w:pPr>
            <w:r>
              <w:rPr>
                <w:sz w:val="20"/>
              </w:rPr>
              <w:t xml:space="preserve">50,0</w:t>
            </w:r>
          </w:p>
        </w:tc>
        <w:tc>
          <w:tcPr>
            <w:tcW w:w="709" w:type="dxa"/>
          </w:tcPr>
          <w:p>
            <w:pPr>
              <w:pStyle w:val="0"/>
              <w:jc w:val="center"/>
            </w:pPr>
            <w:r>
              <w:rPr>
                <w:sz w:val="20"/>
              </w:rPr>
              <w:t xml:space="preserve">33,9</w:t>
            </w:r>
          </w:p>
        </w:tc>
        <w:tc>
          <w:tcPr>
            <w:tcW w:w="1247" w:type="dxa"/>
          </w:tcPr>
          <w:p>
            <w:pPr>
              <w:pStyle w:val="0"/>
              <w:jc w:val="center"/>
            </w:pPr>
            <w:r>
              <w:rPr>
                <w:sz w:val="20"/>
              </w:rPr>
              <w:t xml:space="preserve">37,1</w:t>
            </w:r>
          </w:p>
        </w:tc>
      </w:tr>
      <w:tr>
        <w:tc>
          <w:tcPr>
            <w:tcW w:w="3360" w:type="dxa"/>
          </w:tcPr>
          <w:p>
            <w:pPr>
              <w:pStyle w:val="0"/>
            </w:pPr>
            <w:r>
              <w:rPr>
                <w:sz w:val="20"/>
              </w:rPr>
              <w:t xml:space="preserve">Желудок</w:t>
            </w:r>
          </w:p>
        </w:tc>
        <w:tc>
          <w:tcPr>
            <w:tcW w:w="1481" w:type="dxa"/>
          </w:tcPr>
          <w:p>
            <w:pPr>
              <w:pStyle w:val="0"/>
              <w:jc w:val="center"/>
            </w:pPr>
            <w:r>
              <w:rPr>
                <w:sz w:val="20"/>
              </w:rPr>
              <w:t xml:space="preserve">С 16</w:t>
            </w:r>
          </w:p>
        </w:tc>
        <w:tc>
          <w:tcPr>
            <w:tcW w:w="717" w:type="dxa"/>
          </w:tcPr>
          <w:p>
            <w:pPr>
              <w:pStyle w:val="0"/>
              <w:jc w:val="center"/>
            </w:pPr>
            <w:r>
              <w:rPr>
                <w:sz w:val="20"/>
              </w:rPr>
              <w:t xml:space="preserve">37,8</w:t>
            </w:r>
          </w:p>
        </w:tc>
        <w:tc>
          <w:tcPr>
            <w:tcW w:w="850" w:type="dxa"/>
          </w:tcPr>
          <w:p>
            <w:pPr>
              <w:pStyle w:val="0"/>
              <w:jc w:val="center"/>
            </w:pPr>
            <w:r>
              <w:rPr>
                <w:sz w:val="20"/>
              </w:rPr>
              <w:t xml:space="preserve">27,2</w:t>
            </w:r>
          </w:p>
        </w:tc>
        <w:tc>
          <w:tcPr>
            <w:tcW w:w="851" w:type="dxa"/>
          </w:tcPr>
          <w:p>
            <w:pPr>
              <w:pStyle w:val="0"/>
              <w:jc w:val="center"/>
            </w:pPr>
            <w:r>
              <w:rPr>
                <w:sz w:val="20"/>
              </w:rPr>
              <w:t xml:space="preserve">32,4</w:t>
            </w:r>
          </w:p>
        </w:tc>
        <w:tc>
          <w:tcPr>
            <w:tcW w:w="708" w:type="dxa"/>
          </w:tcPr>
          <w:p>
            <w:pPr>
              <w:pStyle w:val="0"/>
              <w:jc w:val="center"/>
            </w:pPr>
            <w:r>
              <w:rPr>
                <w:sz w:val="20"/>
              </w:rPr>
              <w:t xml:space="preserve">32,3</w:t>
            </w:r>
          </w:p>
        </w:tc>
        <w:tc>
          <w:tcPr>
            <w:tcW w:w="709" w:type="dxa"/>
          </w:tcPr>
          <w:p>
            <w:pPr>
              <w:pStyle w:val="0"/>
              <w:jc w:val="center"/>
            </w:pPr>
            <w:r>
              <w:rPr>
                <w:sz w:val="20"/>
              </w:rPr>
              <w:t xml:space="preserve">34,8</w:t>
            </w:r>
          </w:p>
        </w:tc>
        <w:tc>
          <w:tcPr>
            <w:tcW w:w="709" w:type="dxa"/>
          </w:tcPr>
          <w:p>
            <w:pPr>
              <w:pStyle w:val="0"/>
              <w:jc w:val="center"/>
            </w:pPr>
            <w:r>
              <w:rPr>
                <w:sz w:val="20"/>
              </w:rPr>
              <w:t xml:space="preserve">35,8</w:t>
            </w:r>
          </w:p>
        </w:tc>
        <w:tc>
          <w:tcPr>
            <w:tcW w:w="709" w:type="dxa"/>
          </w:tcPr>
          <w:p>
            <w:pPr>
              <w:pStyle w:val="0"/>
              <w:jc w:val="center"/>
            </w:pPr>
            <w:r>
              <w:rPr>
                <w:sz w:val="20"/>
              </w:rPr>
              <w:t xml:space="preserve">42,5</w:t>
            </w:r>
          </w:p>
        </w:tc>
        <w:tc>
          <w:tcPr>
            <w:tcW w:w="708" w:type="dxa"/>
          </w:tcPr>
          <w:p>
            <w:pPr>
              <w:pStyle w:val="0"/>
              <w:jc w:val="center"/>
            </w:pPr>
            <w:r>
              <w:rPr>
                <w:sz w:val="20"/>
              </w:rPr>
              <w:t xml:space="preserve">43,2</w:t>
            </w:r>
          </w:p>
        </w:tc>
        <w:tc>
          <w:tcPr>
            <w:tcW w:w="709" w:type="dxa"/>
          </w:tcPr>
          <w:p>
            <w:pPr>
              <w:pStyle w:val="0"/>
              <w:jc w:val="center"/>
            </w:pPr>
            <w:r>
              <w:rPr>
                <w:sz w:val="20"/>
              </w:rPr>
              <w:t xml:space="preserve">43,8</w:t>
            </w:r>
          </w:p>
        </w:tc>
        <w:tc>
          <w:tcPr>
            <w:tcW w:w="709" w:type="dxa"/>
          </w:tcPr>
          <w:p>
            <w:pPr>
              <w:pStyle w:val="0"/>
              <w:jc w:val="center"/>
            </w:pPr>
            <w:r>
              <w:rPr>
                <w:sz w:val="20"/>
              </w:rPr>
              <w:t xml:space="preserve">44,2</w:t>
            </w:r>
          </w:p>
        </w:tc>
        <w:tc>
          <w:tcPr>
            <w:tcW w:w="1247" w:type="dxa"/>
          </w:tcPr>
          <w:p>
            <w:pPr>
              <w:pStyle w:val="0"/>
              <w:jc w:val="center"/>
            </w:pPr>
            <w:r>
              <w:rPr>
                <w:sz w:val="20"/>
              </w:rPr>
              <w:t xml:space="preserve">38,2</w:t>
            </w:r>
          </w:p>
        </w:tc>
      </w:tr>
      <w:tr>
        <w:tc>
          <w:tcPr>
            <w:tcW w:w="3360" w:type="dxa"/>
          </w:tcPr>
          <w:p>
            <w:pPr>
              <w:pStyle w:val="0"/>
            </w:pPr>
            <w:r>
              <w:rPr>
                <w:sz w:val="20"/>
              </w:rPr>
              <w:t xml:space="preserve">Ободочная кишка</w:t>
            </w:r>
          </w:p>
        </w:tc>
        <w:tc>
          <w:tcPr>
            <w:tcW w:w="1481" w:type="dxa"/>
          </w:tcPr>
          <w:p>
            <w:pPr>
              <w:pStyle w:val="0"/>
              <w:jc w:val="center"/>
            </w:pPr>
            <w:r>
              <w:rPr>
                <w:sz w:val="20"/>
              </w:rPr>
              <w:t xml:space="preserve">С 18</w:t>
            </w:r>
          </w:p>
        </w:tc>
        <w:tc>
          <w:tcPr>
            <w:tcW w:w="717" w:type="dxa"/>
          </w:tcPr>
          <w:p>
            <w:pPr>
              <w:pStyle w:val="0"/>
              <w:jc w:val="center"/>
            </w:pPr>
            <w:r>
              <w:rPr>
                <w:sz w:val="20"/>
              </w:rPr>
              <w:t xml:space="preserve">35</w:t>
            </w:r>
          </w:p>
        </w:tc>
        <w:tc>
          <w:tcPr>
            <w:tcW w:w="850" w:type="dxa"/>
          </w:tcPr>
          <w:p>
            <w:pPr>
              <w:pStyle w:val="0"/>
              <w:jc w:val="center"/>
            </w:pPr>
            <w:r>
              <w:rPr>
                <w:sz w:val="20"/>
              </w:rPr>
              <w:t xml:space="preserve">50,7</w:t>
            </w:r>
          </w:p>
        </w:tc>
        <w:tc>
          <w:tcPr>
            <w:tcW w:w="851" w:type="dxa"/>
          </w:tcPr>
          <w:p>
            <w:pPr>
              <w:pStyle w:val="0"/>
              <w:jc w:val="center"/>
            </w:pPr>
            <w:r>
              <w:rPr>
                <w:sz w:val="20"/>
              </w:rPr>
              <w:t xml:space="preserve">52,1</w:t>
            </w:r>
          </w:p>
        </w:tc>
        <w:tc>
          <w:tcPr>
            <w:tcW w:w="708" w:type="dxa"/>
          </w:tcPr>
          <w:p>
            <w:pPr>
              <w:pStyle w:val="0"/>
              <w:jc w:val="center"/>
            </w:pPr>
            <w:r>
              <w:rPr>
                <w:sz w:val="20"/>
              </w:rPr>
              <w:t xml:space="preserve">55,4</w:t>
            </w:r>
          </w:p>
        </w:tc>
        <w:tc>
          <w:tcPr>
            <w:tcW w:w="709" w:type="dxa"/>
          </w:tcPr>
          <w:p>
            <w:pPr>
              <w:pStyle w:val="0"/>
              <w:jc w:val="center"/>
            </w:pPr>
            <w:r>
              <w:rPr>
                <w:sz w:val="20"/>
              </w:rPr>
              <w:t xml:space="preserve">48,5</w:t>
            </w:r>
          </w:p>
        </w:tc>
        <w:tc>
          <w:tcPr>
            <w:tcW w:w="709" w:type="dxa"/>
          </w:tcPr>
          <w:p>
            <w:pPr>
              <w:pStyle w:val="0"/>
              <w:jc w:val="center"/>
            </w:pPr>
            <w:r>
              <w:rPr>
                <w:sz w:val="20"/>
              </w:rPr>
              <w:t xml:space="preserve">58,5</w:t>
            </w:r>
          </w:p>
        </w:tc>
        <w:tc>
          <w:tcPr>
            <w:tcW w:w="709" w:type="dxa"/>
          </w:tcPr>
          <w:p>
            <w:pPr>
              <w:pStyle w:val="0"/>
              <w:jc w:val="center"/>
            </w:pPr>
            <w:r>
              <w:rPr>
                <w:sz w:val="20"/>
              </w:rPr>
              <w:t xml:space="preserve">51,5</w:t>
            </w:r>
          </w:p>
        </w:tc>
        <w:tc>
          <w:tcPr>
            <w:tcW w:w="708" w:type="dxa"/>
          </w:tcPr>
          <w:p>
            <w:pPr>
              <w:pStyle w:val="0"/>
              <w:jc w:val="center"/>
            </w:pPr>
            <w:r>
              <w:rPr>
                <w:sz w:val="20"/>
              </w:rPr>
              <w:t xml:space="preserve">54,5</w:t>
            </w:r>
          </w:p>
        </w:tc>
        <w:tc>
          <w:tcPr>
            <w:tcW w:w="709" w:type="dxa"/>
          </w:tcPr>
          <w:p>
            <w:pPr>
              <w:pStyle w:val="0"/>
              <w:jc w:val="center"/>
            </w:pPr>
            <w:r>
              <w:rPr>
                <w:sz w:val="20"/>
              </w:rPr>
              <w:t xml:space="preserve">50,1</w:t>
            </w:r>
          </w:p>
        </w:tc>
        <w:tc>
          <w:tcPr>
            <w:tcW w:w="709" w:type="dxa"/>
          </w:tcPr>
          <w:p>
            <w:pPr>
              <w:pStyle w:val="0"/>
              <w:jc w:val="center"/>
            </w:pPr>
            <w:r>
              <w:rPr>
                <w:sz w:val="20"/>
              </w:rPr>
              <w:t xml:space="preserve">51,0</w:t>
            </w:r>
          </w:p>
        </w:tc>
        <w:tc>
          <w:tcPr>
            <w:tcW w:w="1247" w:type="dxa"/>
          </w:tcPr>
          <w:p>
            <w:pPr>
              <w:pStyle w:val="0"/>
              <w:jc w:val="center"/>
            </w:pPr>
            <w:r>
              <w:rPr>
                <w:sz w:val="20"/>
              </w:rPr>
              <w:t xml:space="preserve">50,4</w:t>
            </w:r>
          </w:p>
        </w:tc>
      </w:tr>
      <w:tr>
        <w:tc>
          <w:tcPr>
            <w:tcW w:w="3360" w:type="dxa"/>
          </w:tcPr>
          <w:p>
            <w:pPr>
              <w:pStyle w:val="0"/>
            </w:pPr>
            <w:r>
              <w:rPr>
                <w:sz w:val="20"/>
              </w:rPr>
              <w:t xml:space="preserve">Прямая кишка, ректосигмоидное соединение, анус</w:t>
            </w:r>
          </w:p>
        </w:tc>
        <w:tc>
          <w:tcPr>
            <w:tcW w:w="1481" w:type="dxa"/>
          </w:tcPr>
          <w:p>
            <w:pPr>
              <w:pStyle w:val="0"/>
              <w:jc w:val="center"/>
            </w:pPr>
            <w:r>
              <w:rPr>
                <w:sz w:val="20"/>
              </w:rPr>
              <w:t xml:space="preserve">С 19 - С21</w:t>
            </w:r>
          </w:p>
        </w:tc>
        <w:tc>
          <w:tcPr>
            <w:tcW w:w="717" w:type="dxa"/>
          </w:tcPr>
          <w:p>
            <w:pPr>
              <w:pStyle w:val="0"/>
              <w:jc w:val="center"/>
            </w:pPr>
            <w:r>
              <w:rPr>
                <w:sz w:val="20"/>
              </w:rPr>
              <w:t xml:space="preserve">45,8</w:t>
            </w:r>
          </w:p>
        </w:tc>
        <w:tc>
          <w:tcPr>
            <w:tcW w:w="850" w:type="dxa"/>
          </w:tcPr>
          <w:p>
            <w:pPr>
              <w:pStyle w:val="0"/>
              <w:jc w:val="center"/>
            </w:pPr>
            <w:r>
              <w:rPr>
                <w:sz w:val="20"/>
              </w:rPr>
              <w:t xml:space="preserve">52,8</w:t>
            </w:r>
          </w:p>
        </w:tc>
        <w:tc>
          <w:tcPr>
            <w:tcW w:w="851" w:type="dxa"/>
          </w:tcPr>
          <w:p>
            <w:pPr>
              <w:pStyle w:val="0"/>
              <w:jc w:val="center"/>
            </w:pPr>
            <w:r>
              <w:rPr>
                <w:sz w:val="20"/>
              </w:rPr>
              <w:t xml:space="preserve">53,4</w:t>
            </w:r>
          </w:p>
        </w:tc>
        <w:tc>
          <w:tcPr>
            <w:tcW w:w="708" w:type="dxa"/>
          </w:tcPr>
          <w:p>
            <w:pPr>
              <w:pStyle w:val="0"/>
              <w:jc w:val="center"/>
            </w:pPr>
            <w:r>
              <w:rPr>
                <w:sz w:val="20"/>
              </w:rPr>
              <w:t xml:space="preserve">46,9</w:t>
            </w:r>
          </w:p>
        </w:tc>
        <w:tc>
          <w:tcPr>
            <w:tcW w:w="709" w:type="dxa"/>
          </w:tcPr>
          <w:p>
            <w:pPr>
              <w:pStyle w:val="0"/>
              <w:jc w:val="center"/>
            </w:pPr>
            <w:r>
              <w:rPr>
                <w:sz w:val="20"/>
              </w:rPr>
              <w:t xml:space="preserve">46,3</w:t>
            </w:r>
          </w:p>
        </w:tc>
        <w:tc>
          <w:tcPr>
            <w:tcW w:w="709" w:type="dxa"/>
          </w:tcPr>
          <w:p>
            <w:pPr>
              <w:pStyle w:val="0"/>
              <w:jc w:val="center"/>
            </w:pPr>
            <w:r>
              <w:rPr>
                <w:sz w:val="20"/>
              </w:rPr>
              <w:t xml:space="preserve">48,5</w:t>
            </w:r>
          </w:p>
        </w:tc>
        <w:tc>
          <w:tcPr>
            <w:tcW w:w="709" w:type="dxa"/>
          </w:tcPr>
          <w:p>
            <w:pPr>
              <w:pStyle w:val="0"/>
              <w:jc w:val="center"/>
            </w:pPr>
            <w:r>
              <w:rPr>
                <w:sz w:val="20"/>
              </w:rPr>
              <w:t xml:space="preserve">43,8</w:t>
            </w:r>
          </w:p>
        </w:tc>
        <w:tc>
          <w:tcPr>
            <w:tcW w:w="708" w:type="dxa"/>
          </w:tcPr>
          <w:p>
            <w:pPr>
              <w:pStyle w:val="0"/>
              <w:jc w:val="center"/>
            </w:pPr>
            <w:r>
              <w:rPr>
                <w:sz w:val="20"/>
              </w:rPr>
              <w:t xml:space="preserve">50,3</w:t>
            </w:r>
          </w:p>
        </w:tc>
        <w:tc>
          <w:tcPr>
            <w:tcW w:w="709" w:type="dxa"/>
          </w:tcPr>
          <w:p>
            <w:pPr>
              <w:pStyle w:val="0"/>
              <w:jc w:val="center"/>
            </w:pPr>
            <w:r>
              <w:rPr>
                <w:sz w:val="20"/>
              </w:rPr>
              <w:t xml:space="preserve">48,0</w:t>
            </w:r>
          </w:p>
        </w:tc>
        <w:tc>
          <w:tcPr>
            <w:tcW w:w="709" w:type="dxa"/>
          </w:tcPr>
          <w:p>
            <w:pPr>
              <w:pStyle w:val="0"/>
              <w:jc w:val="center"/>
            </w:pPr>
            <w:r>
              <w:rPr>
                <w:sz w:val="20"/>
              </w:rPr>
              <w:t xml:space="preserve">44,2</w:t>
            </w:r>
          </w:p>
        </w:tc>
        <w:tc>
          <w:tcPr>
            <w:tcW w:w="1247" w:type="dxa"/>
          </w:tcPr>
          <w:p>
            <w:pPr>
              <w:pStyle w:val="0"/>
              <w:jc w:val="center"/>
            </w:pPr>
            <w:r>
              <w:rPr>
                <w:sz w:val="20"/>
              </w:rPr>
              <w:t xml:space="preserve">49,5</w:t>
            </w:r>
          </w:p>
        </w:tc>
      </w:tr>
      <w:tr>
        <w:tc>
          <w:tcPr>
            <w:tcW w:w="3360" w:type="dxa"/>
          </w:tcPr>
          <w:p>
            <w:pPr>
              <w:pStyle w:val="0"/>
            </w:pPr>
            <w:r>
              <w:rPr>
                <w:sz w:val="20"/>
              </w:rPr>
              <w:t xml:space="preserve">Печень и внутрипеченочные желчные протоки</w:t>
            </w:r>
          </w:p>
        </w:tc>
        <w:tc>
          <w:tcPr>
            <w:tcW w:w="1481" w:type="dxa"/>
          </w:tcPr>
          <w:p>
            <w:pPr>
              <w:pStyle w:val="0"/>
              <w:jc w:val="center"/>
            </w:pPr>
            <w:r>
              <w:rPr>
                <w:sz w:val="20"/>
              </w:rPr>
              <w:t xml:space="preserve">С 22</w:t>
            </w:r>
          </w:p>
        </w:tc>
        <w:tc>
          <w:tcPr>
            <w:tcW w:w="717" w:type="dxa"/>
          </w:tcPr>
          <w:p>
            <w:pPr>
              <w:pStyle w:val="0"/>
              <w:jc w:val="center"/>
            </w:pPr>
            <w:r>
              <w:rPr>
                <w:sz w:val="20"/>
              </w:rPr>
              <w:t xml:space="preserve">4,8</w:t>
            </w:r>
          </w:p>
        </w:tc>
        <w:tc>
          <w:tcPr>
            <w:tcW w:w="850" w:type="dxa"/>
          </w:tcPr>
          <w:p>
            <w:pPr>
              <w:pStyle w:val="0"/>
              <w:jc w:val="center"/>
            </w:pPr>
            <w:r>
              <w:rPr>
                <w:sz w:val="20"/>
              </w:rPr>
              <w:t xml:space="preserve">9,7</w:t>
            </w:r>
          </w:p>
        </w:tc>
        <w:tc>
          <w:tcPr>
            <w:tcW w:w="851" w:type="dxa"/>
          </w:tcPr>
          <w:p>
            <w:pPr>
              <w:pStyle w:val="0"/>
              <w:jc w:val="center"/>
            </w:pPr>
            <w:r>
              <w:rPr>
                <w:sz w:val="20"/>
              </w:rPr>
              <w:t xml:space="preserve">8</w:t>
            </w:r>
          </w:p>
        </w:tc>
        <w:tc>
          <w:tcPr>
            <w:tcW w:w="708" w:type="dxa"/>
          </w:tcPr>
          <w:p>
            <w:pPr>
              <w:pStyle w:val="0"/>
              <w:jc w:val="center"/>
            </w:pPr>
            <w:r>
              <w:rPr>
                <w:sz w:val="20"/>
              </w:rPr>
              <w:t xml:space="preserve">15</w:t>
            </w:r>
          </w:p>
        </w:tc>
        <w:tc>
          <w:tcPr>
            <w:tcW w:w="709" w:type="dxa"/>
          </w:tcPr>
          <w:p>
            <w:pPr>
              <w:pStyle w:val="0"/>
              <w:jc w:val="center"/>
            </w:pPr>
            <w:r>
              <w:rPr>
                <w:sz w:val="20"/>
              </w:rPr>
              <w:t xml:space="preserve">6,3</w:t>
            </w:r>
          </w:p>
        </w:tc>
        <w:tc>
          <w:tcPr>
            <w:tcW w:w="709" w:type="dxa"/>
          </w:tcPr>
          <w:p>
            <w:pPr>
              <w:pStyle w:val="0"/>
              <w:jc w:val="center"/>
            </w:pPr>
            <w:r>
              <w:rPr>
                <w:sz w:val="20"/>
              </w:rPr>
              <w:t xml:space="preserve">7,6</w:t>
            </w:r>
          </w:p>
        </w:tc>
        <w:tc>
          <w:tcPr>
            <w:tcW w:w="709" w:type="dxa"/>
          </w:tcPr>
          <w:p>
            <w:pPr>
              <w:pStyle w:val="0"/>
              <w:jc w:val="center"/>
            </w:pPr>
            <w:r>
              <w:rPr>
                <w:sz w:val="20"/>
              </w:rPr>
              <w:t xml:space="preserve">13,9</w:t>
            </w:r>
          </w:p>
        </w:tc>
        <w:tc>
          <w:tcPr>
            <w:tcW w:w="708" w:type="dxa"/>
          </w:tcPr>
          <w:p>
            <w:pPr>
              <w:pStyle w:val="0"/>
              <w:jc w:val="center"/>
            </w:pPr>
            <w:r>
              <w:rPr>
                <w:sz w:val="20"/>
              </w:rPr>
              <w:t xml:space="preserve">16</w:t>
            </w:r>
          </w:p>
        </w:tc>
        <w:tc>
          <w:tcPr>
            <w:tcW w:w="709" w:type="dxa"/>
          </w:tcPr>
          <w:p>
            <w:pPr>
              <w:pStyle w:val="0"/>
              <w:jc w:val="center"/>
            </w:pPr>
            <w:r>
              <w:rPr>
                <w:sz w:val="20"/>
              </w:rPr>
              <w:t xml:space="preserve">16,2</w:t>
            </w:r>
          </w:p>
        </w:tc>
        <w:tc>
          <w:tcPr>
            <w:tcW w:w="709" w:type="dxa"/>
          </w:tcPr>
          <w:p>
            <w:pPr>
              <w:pStyle w:val="0"/>
              <w:jc w:val="center"/>
            </w:pPr>
            <w:r>
              <w:rPr>
                <w:sz w:val="20"/>
              </w:rPr>
              <w:t xml:space="preserve">13,9</w:t>
            </w:r>
          </w:p>
        </w:tc>
        <w:tc>
          <w:tcPr>
            <w:tcW w:w="1247" w:type="dxa"/>
          </w:tcPr>
          <w:p>
            <w:pPr>
              <w:pStyle w:val="0"/>
              <w:jc w:val="center"/>
            </w:pPr>
            <w:r>
              <w:rPr>
                <w:sz w:val="20"/>
              </w:rPr>
              <w:t xml:space="preserve">16,6</w:t>
            </w:r>
          </w:p>
        </w:tc>
      </w:tr>
      <w:tr>
        <w:tc>
          <w:tcPr>
            <w:tcW w:w="3360" w:type="dxa"/>
          </w:tcPr>
          <w:p>
            <w:pPr>
              <w:pStyle w:val="0"/>
            </w:pPr>
            <w:r>
              <w:rPr>
                <w:sz w:val="20"/>
              </w:rPr>
              <w:t xml:space="preserve">Поджелудочная железа</w:t>
            </w:r>
          </w:p>
        </w:tc>
        <w:tc>
          <w:tcPr>
            <w:tcW w:w="1481" w:type="dxa"/>
          </w:tcPr>
          <w:p>
            <w:pPr>
              <w:pStyle w:val="0"/>
              <w:jc w:val="center"/>
            </w:pPr>
            <w:r>
              <w:rPr>
                <w:sz w:val="20"/>
              </w:rPr>
              <w:t xml:space="preserve">С 25</w:t>
            </w:r>
          </w:p>
        </w:tc>
        <w:tc>
          <w:tcPr>
            <w:tcW w:w="717" w:type="dxa"/>
          </w:tcPr>
          <w:p>
            <w:pPr>
              <w:pStyle w:val="0"/>
              <w:jc w:val="center"/>
            </w:pPr>
            <w:r>
              <w:rPr>
                <w:sz w:val="20"/>
              </w:rPr>
              <w:t xml:space="preserve">11,4</w:t>
            </w:r>
          </w:p>
        </w:tc>
        <w:tc>
          <w:tcPr>
            <w:tcW w:w="850" w:type="dxa"/>
          </w:tcPr>
          <w:p>
            <w:pPr>
              <w:pStyle w:val="0"/>
              <w:jc w:val="center"/>
            </w:pPr>
            <w:r>
              <w:rPr>
                <w:sz w:val="20"/>
              </w:rPr>
              <w:t xml:space="preserve">11,6</w:t>
            </w:r>
          </w:p>
        </w:tc>
        <w:tc>
          <w:tcPr>
            <w:tcW w:w="851" w:type="dxa"/>
          </w:tcPr>
          <w:p>
            <w:pPr>
              <w:pStyle w:val="0"/>
              <w:jc w:val="center"/>
            </w:pPr>
            <w:r>
              <w:rPr>
                <w:sz w:val="20"/>
              </w:rPr>
              <w:t xml:space="preserve">17,1</w:t>
            </w:r>
          </w:p>
        </w:tc>
        <w:tc>
          <w:tcPr>
            <w:tcW w:w="708" w:type="dxa"/>
          </w:tcPr>
          <w:p>
            <w:pPr>
              <w:pStyle w:val="0"/>
              <w:jc w:val="center"/>
            </w:pPr>
            <w:r>
              <w:rPr>
                <w:sz w:val="20"/>
              </w:rPr>
              <w:t xml:space="preserve">14,3</w:t>
            </w:r>
          </w:p>
        </w:tc>
        <w:tc>
          <w:tcPr>
            <w:tcW w:w="709" w:type="dxa"/>
          </w:tcPr>
          <w:p>
            <w:pPr>
              <w:pStyle w:val="0"/>
              <w:jc w:val="center"/>
            </w:pPr>
            <w:r>
              <w:rPr>
                <w:sz w:val="20"/>
              </w:rPr>
              <w:t xml:space="preserve">19</w:t>
            </w:r>
          </w:p>
        </w:tc>
        <w:tc>
          <w:tcPr>
            <w:tcW w:w="709" w:type="dxa"/>
          </w:tcPr>
          <w:p>
            <w:pPr>
              <w:pStyle w:val="0"/>
              <w:jc w:val="center"/>
            </w:pPr>
            <w:r>
              <w:rPr>
                <w:sz w:val="20"/>
              </w:rPr>
              <w:t xml:space="preserve">16,1</w:t>
            </w:r>
          </w:p>
        </w:tc>
        <w:tc>
          <w:tcPr>
            <w:tcW w:w="709" w:type="dxa"/>
          </w:tcPr>
          <w:p>
            <w:pPr>
              <w:pStyle w:val="0"/>
              <w:jc w:val="center"/>
            </w:pPr>
            <w:r>
              <w:rPr>
                <w:sz w:val="20"/>
              </w:rPr>
              <w:t xml:space="preserve">17,4</w:t>
            </w:r>
          </w:p>
        </w:tc>
        <w:tc>
          <w:tcPr>
            <w:tcW w:w="708" w:type="dxa"/>
          </w:tcPr>
          <w:p>
            <w:pPr>
              <w:pStyle w:val="0"/>
              <w:jc w:val="center"/>
            </w:pPr>
            <w:r>
              <w:rPr>
                <w:sz w:val="20"/>
              </w:rPr>
              <w:t xml:space="preserve">24,7</w:t>
            </w:r>
          </w:p>
        </w:tc>
        <w:tc>
          <w:tcPr>
            <w:tcW w:w="709" w:type="dxa"/>
          </w:tcPr>
          <w:p>
            <w:pPr>
              <w:pStyle w:val="0"/>
              <w:jc w:val="center"/>
            </w:pPr>
            <w:r>
              <w:rPr>
                <w:sz w:val="20"/>
              </w:rPr>
              <w:t xml:space="preserve">18,8</w:t>
            </w:r>
          </w:p>
        </w:tc>
        <w:tc>
          <w:tcPr>
            <w:tcW w:w="709" w:type="dxa"/>
          </w:tcPr>
          <w:p>
            <w:pPr>
              <w:pStyle w:val="0"/>
              <w:jc w:val="center"/>
            </w:pPr>
            <w:r>
              <w:rPr>
                <w:sz w:val="20"/>
              </w:rPr>
              <w:t xml:space="preserve">17,9</w:t>
            </w:r>
          </w:p>
        </w:tc>
        <w:tc>
          <w:tcPr>
            <w:tcW w:w="1247" w:type="dxa"/>
          </w:tcPr>
          <w:p>
            <w:pPr>
              <w:pStyle w:val="0"/>
              <w:jc w:val="center"/>
            </w:pPr>
            <w:r>
              <w:rPr>
                <w:sz w:val="20"/>
              </w:rPr>
              <w:t xml:space="preserve">23,2</w:t>
            </w:r>
          </w:p>
        </w:tc>
      </w:tr>
      <w:tr>
        <w:tc>
          <w:tcPr>
            <w:tcW w:w="3360" w:type="dxa"/>
          </w:tcPr>
          <w:p>
            <w:pPr>
              <w:pStyle w:val="0"/>
            </w:pPr>
            <w:r>
              <w:rPr>
                <w:sz w:val="20"/>
              </w:rPr>
              <w:t xml:space="preserve">Гортань</w:t>
            </w:r>
          </w:p>
        </w:tc>
        <w:tc>
          <w:tcPr>
            <w:tcW w:w="1481" w:type="dxa"/>
          </w:tcPr>
          <w:p>
            <w:pPr>
              <w:pStyle w:val="0"/>
              <w:jc w:val="center"/>
            </w:pPr>
            <w:r>
              <w:rPr>
                <w:sz w:val="20"/>
              </w:rPr>
              <w:t xml:space="preserve">С 32</w:t>
            </w:r>
          </w:p>
        </w:tc>
        <w:tc>
          <w:tcPr>
            <w:tcW w:w="717" w:type="dxa"/>
          </w:tcPr>
          <w:p>
            <w:pPr>
              <w:pStyle w:val="0"/>
              <w:jc w:val="center"/>
            </w:pPr>
            <w:r>
              <w:rPr>
                <w:sz w:val="20"/>
              </w:rPr>
              <w:t xml:space="preserve">50</w:t>
            </w:r>
          </w:p>
        </w:tc>
        <w:tc>
          <w:tcPr>
            <w:tcW w:w="850" w:type="dxa"/>
          </w:tcPr>
          <w:p>
            <w:pPr>
              <w:pStyle w:val="0"/>
              <w:jc w:val="center"/>
            </w:pPr>
            <w:r>
              <w:rPr>
                <w:sz w:val="20"/>
              </w:rPr>
              <w:t xml:space="preserve">36,7</w:t>
            </w:r>
          </w:p>
        </w:tc>
        <w:tc>
          <w:tcPr>
            <w:tcW w:w="851" w:type="dxa"/>
          </w:tcPr>
          <w:p>
            <w:pPr>
              <w:pStyle w:val="0"/>
              <w:jc w:val="center"/>
            </w:pPr>
            <w:r>
              <w:rPr>
                <w:sz w:val="20"/>
              </w:rPr>
              <w:t xml:space="preserve">46,9</w:t>
            </w:r>
          </w:p>
        </w:tc>
        <w:tc>
          <w:tcPr>
            <w:tcW w:w="708" w:type="dxa"/>
          </w:tcPr>
          <w:p>
            <w:pPr>
              <w:pStyle w:val="0"/>
              <w:jc w:val="center"/>
            </w:pPr>
            <w:r>
              <w:rPr>
                <w:sz w:val="20"/>
              </w:rPr>
              <w:t xml:space="preserve">40,9</w:t>
            </w:r>
          </w:p>
        </w:tc>
        <w:tc>
          <w:tcPr>
            <w:tcW w:w="709" w:type="dxa"/>
          </w:tcPr>
          <w:p>
            <w:pPr>
              <w:pStyle w:val="0"/>
              <w:jc w:val="center"/>
            </w:pPr>
            <w:r>
              <w:rPr>
                <w:sz w:val="20"/>
              </w:rPr>
              <w:t xml:space="preserve">51,9</w:t>
            </w:r>
          </w:p>
        </w:tc>
        <w:tc>
          <w:tcPr>
            <w:tcW w:w="709" w:type="dxa"/>
          </w:tcPr>
          <w:p>
            <w:pPr>
              <w:pStyle w:val="0"/>
              <w:jc w:val="center"/>
            </w:pPr>
            <w:r>
              <w:rPr>
                <w:sz w:val="20"/>
              </w:rPr>
              <w:t xml:space="preserve">50</w:t>
            </w:r>
          </w:p>
        </w:tc>
        <w:tc>
          <w:tcPr>
            <w:tcW w:w="709" w:type="dxa"/>
          </w:tcPr>
          <w:p>
            <w:pPr>
              <w:pStyle w:val="0"/>
              <w:jc w:val="center"/>
            </w:pPr>
            <w:r>
              <w:rPr>
                <w:sz w:val="20"/>
              </w:rPr>
              <w:t xml:space="preserve">42,2</w:t>
            </w:r>
          </w:p>
        </w:tc>
        <w:tc>
          <w:tcPr>
            <w:tcW w:w="708" w:type="dxa"/>
          </w:tcPr>
          <w:p>
            <w:pPr>
              <w:pStyle w:val="0"/>
              <w:jc w:val="center"/>
            </w:pPr>
            <w:r>
              <w:rPr>
                <w:sz w:val="20"/>
              </w:rPr>
              <w:t xml:space="preserve">44,7</w:t>
            </w:r>
          </w:p>
        </w:tc>
        <w:tc>
          <w:tcPr>
            <w:tcW w:w="709" w:type="dxa"/>
          </w:tcPr>
          <w:p>
            <w:pPr>
              <w:pStyle w:val="0"/>
              <w:jc w:val="center"/>
            </w:pPr>
            <w:r>
              <w:rPr>
                <w:sz w:val="20"/>
              </w:rPr>
              <w:t xml:space="preserve">46,0</w:t>
            </w:r>
          </w:p>
        </w:tc>
        <w:tc>
          <w:tcPr>
            <w:tcW w:w="709" w:type="dxa"/>
          </w:tcPr>
          <w:p>
            <w:pPr>
              <w:pStyle w:val="0"/>
              <w:jc w:val="center"/>
            </w:pPr>
            <w:r>
              <w:rPr>
                <w:sz w:val="20"/>
              </w:rPr>
              <w:t xml:space="preserve">46,2</w:t>
            </w:r>
          </w:p>
        </w:tc>
        <w:tc>
          <w:tcPr>
            <w:tcW w:w="1247" w:type="dxa"/>
          </w:tcPr>
          <w:p>
            <w:pPr>
              <w:pStyle w:val="0"/>
              <w:jc w:val="center"/>
            </w:pPr>
            <w:r>
              <w:rPr>
                <w:sz w:val="20"/>
              </w:rPr>
              <w:t xml:space="preserve">41,6</w:t>
            </w:r>
          </w:p>
        </w:tc>
      </w:tr>
      <w:tr>
        <w:tc>
          <w:tcPr>
            <w:tcW w:w="3360" w:type="dxa"/>
          </w:tcPr>
          <w:p>
            <w:pPr>
              <w:pStyle w:val="0"/>
            </w:pPr>
            <w:r>
              <w:rPr>
                <w:sz w:val="20"/>
              </w:rPr>
              <w:t xml:space="preserve">Трахея, бронхи, легкое</w:t>
            </w:r>
          </w:p>
        </w:tc>
        <w:tc>
          <w:tcPr>
            <w:tcW w:w="1481" w:type="dxa"/>
          </w:tcPr>
          <w:p>
            <w:pPr>
              <w:pStyle w:val="0"/>
              <w:jc w:val="center"/>
            </w:pPr>
            <w:r>
              <w:rPr>
                <w:sz w:val="20"/>
              </w:rPr>
              <w:t xml:space="preserve">С 33, С34</w:t>
            </w:r>
          </w:p>
        </w:tc>
        <w:tc>
          <w:tcPr>
            <w:tcW w:w="717" w:type="dxa"/>
          </w:tcPr>
          <w:p>
            <w:pPr>
              <w:pStyle w:val="0"/>
              <w:jc w:val="center"/>
            </w:pPr>
            <w:r>
              <w:rPr>
                <w:sz w:val="20"/>
              </w:rPr>
              <w:t xml:space="preserve">32,1</w:t>
            </w:r>
          </w:p>
        </w:tc>
        <w:tc>
          <w:tcPr>
            <w:tcW w:w="850" w:type="dxa"/>
          </w:tcPr>
          <w:p>
            <w:pPr>
              <w:pStyle w:val="0"/>
              <w:jc w:val="center"/>
            </w:pPr>
            <w:r>
              <w:rPr>
                <w:sz w:val="20"/>
              </w:rPr>
              <w:t xml:space="preserve">29,1</w:t>
            </w:r>
          </w:p>
        </w:tc>
        <w:tc>
          <w:tcPr>
            <w:tcW w:w="851" w:type="dxa"/>
          </w:tcPr>
          <w:p>
            <w:pPr>
              <w:pStyle w:val="0"/>
              <w:jc w:val="center"/>
            </w:pPr>
            <w:r>
              <w:rPr>
                <w:sz w:val="20"/>
              </w:rPr>
              <w:t xml:space="preserve">30,7</w:t>
            </w:r>
          </w:p>
        </w:tc>
        <w:tc>
          <w:tcPr>
            <w:tcW w:w="708" w:type="dxa"/>
          </w:tcPr>
          <w:p>
            <w:pPr>
              <w:pStyle w:val="0"/>
              <w:jc w:val="center"/>
            </w:pPr>
            <w:r>
              <w:rPr>
                <w:sz w:val="20"/>
              </w:rPr>
              <w:t xml:space="preserve">26</w:t>
            </w:r>
          </w:p>
        </w:tc>
        <w:tc>
          <w:tcPr>
            <w:tcW w:w="709" w:type="dxa"/>
          </w:tcPr>
          <w:p>
            <w:pPr>
              <w:pStyle w:val="0"/>
              <w:jc w:val="center"/>
            </w:pPr>
            <w:r>
              <w:rPr>
                <w:sz w:val="20"/>
              </w:rPr>
              <w:t xml:space="preserve">32</w:t>
            </w:r>
          </w:p>
        </w:tc>
        <w:tc>
          <w:tcPr>
            <w:tcW w:w="709" w:type="dxa"/>
          </w:tcPr>
          <w:p>
            <w:pPr>
              <w:pStyle w:val="0"/>
              <w:jc w:val="center"/>
            </w:pPr>
            <w:r>
              <w:rPr>
                <w:sz w:val="20"/>
              </w:rPr>
              <w:t xml:space="preserve">28,4</w:t>
            </w:r>
          </w:p>
        </w:tc>
        <w:tc>
          <w:tcPr>
            <w:tcW w:w="709" w:type="dxa"/>
          </w:tcPr>
          <w:p>
            <w:pPr>
              <w:pStyle w:val="0"/>
              <w:jc w:val="center"/>
            </w:pPr>
            <w:r>
              <w:rPr>
                <w:sz w:val="20"/>
              </w:rPr>
              <w:t xml:space="preserve">30</w:t>
            </w:r>
          </w:p>
        </w:tc>
        <w:tc>
          <w:tcPr>
            <w:tcW w:w="708" w:type="dxa"/>
          </w:tcPr>
          <w:p>
            <w:pPr>
              <w:pStyle w:val="0"/>
              <w:jc w:val="center"/>
            </w:pPr>
            <w:r>
              <w:rPr>
                <w:sz w:val="20"/>
              </w:rPr>
              <w:t xml:space="preserve">30,4</w:t>
            </w:r>
          </w:p>
        </w:tc>
        <w:tc>
          <w:tcPr>
            <w:tcW w:w="709" w:type="dxa"/>
          </w:tcPr>
          <w:p>
            <w:pPr>
              <w:pStyle w:val="0"/>
              <w:jc w:val="center"/>
            </w:pPr>
            <w:r>
              <w:rPr>
                <w:sz w:val="20"/>
              </w:rPr>
              <w:t xml:space="preserve">38,1</w:t>
            </w:r>
          </w:p>
        </w:tc>
        <w:tc>
          <w:tcPr>
            <w:tcW w:w="709" w:type="dxa"/>
          </w:tcPr>
          <w:p>
            <w:pPr>
              <w:pStyle w:val="0"/>
              <w:jc w:val="center"/>
            </w:pPr>
            <w:r>
              <w:rPr>
                <w:sz w:val="20"/>
              </w:rPr>
              <w:t xml:space="preserve">35,9</w:t>
            </w:r>
          </w:p>
        </w:tc>
        <w:tc>
          <w:tcPr>
            <w:tcW w:w="1247" w:type="dxa"/>
          </w:tcPr>
          <w:p>
            <w:pPr>
              <w:pStyle w:val="0"/>
              <w:jc w:val="center"/>
            </w:pPr>
            <w:r>
              <w:rPr>
                <w:sz w:val="20"/>
              </w:rPr>
              <w:t xml:space="preserve">29,6</w:t>
            </w:r>
          </w:p>
        </w:tc>
      </w:tr>
      <w:tr>
        <w:tc>
          <w:tcPr>
            <w:tcW w:w="3360" w:type="dxa"/>
          </w:tcPr>
          <w:p>
            <w:pPr>
              <w:pStyle w:val="0"/>
            </w:pPr>
            <w:r>
              <w:rPr>
                <w:sz w:val="20"/>
              </w:rPr>
              <w:t xml:space="preserve">Кости и суставные хрящи</w:t>
            </w:r>
          </w:p>
        </w:tc>
        <w:tc>
          <w:tcPr>
            <w:tcW w:w="1481" w:type="dxa"/>
          </w:tcPr>
          <w:p>
            <w:pPr>
              <w:pStyle w:val="0"/>
              <w:jc w:val="center"/>
            </w:pPr>
            <w:r>
              <w:rPr>
                <w:sz w:val="20"/>
              </w:rPr>
              <w:t xml:space="preserve">С40; С41</w:t>
            </w:r>
          </w:p>
        </w:tc>
        <w:tc>
          <w:tcPr>
            <w:tcW w:w="717" w:type="dxa"/>
          </w:tcPr>
          <w:p>
            <w:pPr>
              <w:pStyle w:val="0"/>
              <w:jc w:val="center"/>
            </w:pPr>
            <w:r>
              <w:rPr>
                <w:sz w:val="20"/>
              </w:rPr>
              <w:t xml:space="preserve">66,6</w:t>
            </w:r>
          </w:p>
        </w:tc>
        <w:tc>
          <w:tcPr>
            <w:tcW w:w="850" w:type="dxa"/>
          </w:tcPr>
          <w:p>
            <w:pPr>
              <w:pStyle w:val="0"/>
              <w:jc w:val="center"/>
            </w:pPr>
            <w:r>
              <w:rPr>
                <w:sz w:val="20"/>
              </w:rPr>
              <w:t xml:space="preserve">47,1</w:t>
            </w:r>
          </w:p>
        </w:tc>
        <w:tc>
          <w:tcPr>
            <w:tcW w:w="851" w:type="dxa"/>
          </w:tcPr>
          <w:p>
            <w:pPr>
              <w:pStyle w:val="0"/>
              <w:jc w:val="center"/>
            </w:pPr>
            <w:r>
              <w:rPr>
                <w:sz w:val="20"/>
              </w:rPr>
              <w:t xml:space="preserve">80</w:t>
            </w:r>
          </w:p>
        </w:tc>
        <w:tc>
          <w:tcPr>
            <w:tcW w:w="708" w:type="dxa"/>
          </w:tcPr>
          <w:p>
            <w:pPr>
              <w:pStyle w:val="0"/>
              <w:jc w:val="center"/>
            </w:pPr>
            <w:r>
              <w:rPr>
                <w:sz w:val="20"/>
              </w:rPr>
              <w:t xml:space="preserve">30</w:t>
            </w:r>
          </w:p>
        </w:tc>
        <w:tc>
          <w:tcPr>
            <w:tcW w:w="709" w:type="dxa"/>
          </w:tcPr>
          <w:p>
            <w:pPr>
              <w:pStyle w:val="0"/>
              <w:jc w:val="center"/>
            </w:pPr>
            <w:r>
              <w:rPr>
                <w:sz w:val="20"/>
              </w:rPr>
              <w:t xml:space="preserve">27,8</w:t>
            </w:r>
          </w:p>
        </w:tc>
        <w:tc>
          <w:tcPr>
            <w:tcW w:w="709" w:type="dxa"/>
          </w:tcPr>
          <w:p>
            <w:pPr>
              <w:pStyle w:val="0"/>
              <w:jc w:val="center"/>
            </w:pPr>
            <w:r>
              <w:rPr>
                <w:sz w:val="20"/>
              </w:rPr>
              <w:t xml:space="preserve">45,5</w:t>
            </w:r>
          </w:p>
        </w:tc>
        <w:tc>
          <w:tcPr>
            <w:tcW w:w="709" w:type="dxa"/>
          </w:tcPr>
          <w:p>
            <w:pPr>
              <w:pStyle w:val="0"/>
              <w:jc w:val="center"/>
            </w:pPr>
            <w:r>
              <w:rPr>
                <w:sz w:val="20"/>
              </w:rPr>
              <w:t xml:space="preserve">56,3</w:t>
            </w:r>
          </w:p>
        </w:tc>
        <w:tc>
          <w:tcPr>
            <w:tcW w:w="708" w:type="dxa"/>
          </w:tcPr>
          <w:p>
            <w:pPr>
              <w:pStyle w:val="0"/>
              <w:jc w:val="center"/>
            </w:pPr>
            <w:r>
              <w:rPr>
                <w:sz w:val="20"/>
              </w:rPr>
              <w:t xml:space="preserve">80</w:t>
            </w:r>
          </w:p>
        </w:tc>
        <w:tc>
          <w:tcPr>
            <w:tcW w:w="709" w:type="dxa"/>
          </w:tcPr>
          <w:p>
            <w:pPr>
              <w:pStyle w:val="0"/>
              <w:jc w:val="center"/>
            </w:pPr>
            <w:r>
              <w:rPr>
                <w:sz w:val="20"/>
              </w:rPr>
              <w:t xml:space="preserve">72,7</w:t>
            </w:r>
          </w:p>
        </w:tc>
        <w:tc>
          <w:tcPr>
            <w:tcW w:w="709" w:type="dxa"/>
          </w:tcPr>
          <w:p>
            <w:pPr>
              <w:pStyle w:val="0"/>
              <w:jc w:val="center"/>
            </w:pPr>
            <w:r>
              <w:rPr>
                <w:sz w:val="20"/>
              </w:rPr>
              <w:t xml:space="preserve">72,2</w:t>
            </w:r>
          </w:p>
        </w:tc>
        <w:tc>
          <w:tcPr>
            <w:tcW w:w="1247" w:type="dxa"/>
          </w:tcPr>
          <w:p>
            <w:pPr>
              <w:pStyle w:val="0"/>
              <w:jc w:val="center"/>
            </w:pPr>
            <w:r>
              <w:rPr>
                <w:sz w:val="20"/>
              </w:rPr>
              <w:t xml:space="preserve">57,8</w:t>
            </w:r>
          </w:p>
        </w:tc>
      </w:tr>
      <w:tr>
        <w:tc>
          <w:tcPr>
            <w:tcW w:w="3360" w:type="dxa"/>
          </w:tcPr>
          <w:p>
            <w:pPr>
              <w:pStyle w:val="0"/>
            </w:pPr>
            <w:r>
              <w:rPr>
                <w:sz w:val="20"/>
              </w:rPr>
              <w:t xml:space="preserve">Меланома кожи</w:t>
            </w:r>
          </w:p>
        </w:tc>
        <w:tc>
          <w:tcPr>
            <w:tcW w:w="1481" w:type="dxa"/>
          </w:tcPr>
          <w:p>
            <w:pPr>
              <w:pStyle w:val="0"/>
              <w:jc w:val="center"/>
            </w:pPr>
            <w:r>
              <w:rPr>
                <w:sz w:val="20"/>
              </w:rPr>
              <w:t xml:space="preserve">С 43</w:t>
            </w:r>
          </w:p>
        </w:tc>
        <w:tc>
          <w:tcPr>
            <w:tcW w:w="717" w:type="dxa"/>
          </w:tcPr>
          <w:p>
            <w:pPr>
              <w:pStyle w:val="0"/>
              <w:jc w:val="center"/>
            </w:pPr>
            <w:r>
              <w:rPr>
                <w:sz w:val="20"/>
              </w:rPr>
              <w:t xml:space="preserve">75,4</w:t>
            </w:r>
          </w:p>
        </w:tc>
        <w:tc>
          <w:tcPr>
            <w:tcW w:w="850" w:type="dxa"/>
          </w:tcPr>
          <w:p>
            <w:pPr>
              <w:pStyle w:val="0"/>
              <w:jc w:val="center"/>
            </w:pPr>
            <w:r>
              <w:rPr>
                <w:sz w:val="20"/>
              </w:rPr>
              <w:t xml:space="preserve">75,9</w:t>
            </w:r>
          </w:p>
        </w:tc>
        <w:tc>
          <w:tcPr>
            <w:tcW w:w="851" w:type="dxa"/>
          </w:tcPr>
          <w:p>
            <w:pPr>
              <w:pStyle w:val="0"/>
              <w:jc w:val="center"/>
            </w:pPr>
            <w:r>
              <w:rPr>
                <w:sz w:val="20"/>
              </w:rPr>
              <w:t xml:space="preserve">70,8</w:t>
            </w:r>
          </w:p>
        </w:tc>
        <w:tc>
          <w:tcPr>
            <w:tcW w:w="708" w:type="dxa"/>
          </w:tcPr>
          <w:p>
            <w:pPr>
              <w:pStyle w:val="0"/>
              <w:jc w:val="center"/>
            </w:pPr>
            <w:r>
              <w:rPr>
                <w:sz w:val="20"/>
              </w:rPr>
              <w:t xml:space="preserve">70</w:t>
            </w:r>
          </w:p>
        </w:tc>
        <w:tc>
          <w:tcPr>
            <w:tcW w:w="709" w:type="dxa"/>
          </w:tcPr>
          <w:p>
            <w:pPr>
              <w:pStyle w:val="0"/>
              <w:jc w:val="center"/>
            </w:pPr>
            <w:r>
              <w:rPr>
                <w:sz w:val="20"/>
              </w:rPr>
              <w:t xml:space="preserve">69,9</w:t>
            </w:r>
          </w:p>
        </w:tc>
        <w:tc>
          <w:tcPr>
            <w:tcW w:w="709" w:type="dxa"/>
          </w:tcPr>
          <w:p>
            <w:pPr>
              <w:pStyle w:val="0"/>
              <w:jc w:val="center"/>
            </w:pPr>
            <w:r>
              <w:rPr>
                <w:sz w:val="20"/>
              </w:rPr>
              <w:t xml:space="preserve">75,4</w:t>
            </w:r>
          </w:p>
        </w:tc>
        <w:tc>
          <w:tcPr>
            <w:tcW w:w="709" w:type="dxa"/>
          </w:tcPr>
          <w:p>
            <w:pPr>
              <w:pStyle w:val="0"/>
              <w:jc w:val="center"/>
            </w:pPr>
            <w:r>
              <w:rPr>
                <w:sz w:val="20"/>
              </w:rPr>
              <w:t xml:space="preserve">83,9</w:t>
            </w:r>
          </w:p>
        </w:tc>
        <w:tc>
          <w:tcPr>
            <w:tcW w:w="708" w:type="dxa"/>
          </w:tcPr>
          <w:p>
            <w:pPr>
              <w:pStyle w:val="0"/>
              <w:jc w:val="center"/>
            </w:pPr>
            <w:r>
              <w:rPr>
                <w:sz w:val="20"/>
              </w:rPr>
              <w:t xml:space="preserve">70,7</w:t>
            </w:r>
          </w:p>
        </w:tc>
        <w:tc>
          <w:tcPr>
            <w:tcW w:w="709" w:type="dxa"/>
          </w:tcPr>
          <w:p>
            <w:pPr>
              <w:pStyle w:val="0"/>
              <w:jc w:val="center"/>
            </w:pPr>
            <w:r>
              <w:rPr>
                <w:sz w:val="20"/>
              </w:rPr>
              <w:t xml:space="preserve">82,7</w:t>
            </w:r>
          </w:p>
        </w:tc>
        <w:tc>
          <w:tcPr>
            <w:tcW w:w="709" w:type="dxa"/>
          </w:tcPr>
          <w:p>
            <w:pPr>
              <w:pStyle w:val="0"/>
              <w:jc w:val="center"/>
            </w:pPr>
            <w:r>
              <w:rPr>
                <w:sz w:val="20"/>
              </w:rPr>
              <w:t xml:space="preserve">85,0</w:t>
            </w:r>
          </w:p>
        </w:tc>
        <w:tc>
          <w:tcPr>
            <w:tcW w:w="1247" w:type="dxa"/>
          </w:tcPr>
          <w:p>
            <w:pPr>
              <w:pStyle w:val="0"/>
              <w:jc w:val="center"/>
            </w:pPr>
            <w:r>
              <w:rPr>
                <w:sz w:val="20"/>
              </w:rPr>
              <w:t xml:space="preserve">79,5</w:t>
            </w:r>
          </w:p>
        </w:tc>
      </w:tr>
      <w:tr>
        <w:tc>
          <w:tcPr>
            <w:tcW w:w="3360" w:type="dxa"/>
          </w:tcPr>
          <w:p>
            <w:pPr>
              <w:pStyle w:val="0"/>
            </w:pPr>
            <w:r>
              <w:rPr>
                <w:sz w:val="20"/>
              </w:rPr>
              <w:t xml:space="preserve">Другие новообразования кожи</w:t>
            </w:r>
          </w:p>
        </w:tc>
        <w:tc>
          <w:tcPr>
            <w:tcW w:w="1481" w:type="dxa"/>
          </w:tcPr>
          <w:p>
            <w:pPr>
              <w:pStyle w:val="0"/>
              <w:jc w:val="center"/>
            </w:pPr>
            <w:r>
              <w:rPr>
                <w:sz w:val="20"/>
              </w:rPr>
              <w:t xml:space="preserve">С 44</w:t>
            </w:r>
          </w:p>
        </w:tc>
        <w:tc>
          <w:tcPr>
            <w:tcW w:w="717" w:type="dxa"/>
          </w:tcPr>
          <w:p>
            <w:pPr>
              <w:pStyle w:val="0"/>
              <w:jc w:val="center"/>
            </w:pPr>
            <w:r>
              <w:rPr>
                <w:sz w:val="20"/>
              </w:rPr>
              <w:t xml:space="preserve">96,4</w:t>
            </w:r>
          </w:p>
        </w:tc>
        <w:tc>
          <w:tcPr>
            <w:tcW w:w="850" w:type="dxa"/>
          </w:tcPr>
          <w:p>
            <w:pPr>
              <w:pStyle w:val="0"/>
              <w:jc w:val="center"/>
            </w:pPr>
            <w:r>
              <w:rPr>
                <w:sz w:val="20"/>
              </w:rPr>
              <w:t xml:space="preserve">97,8</w:t>
            </w:r>
          </w:p>
        </w:tc>
        <w:tc>
          <w:tcPr>
            <w:tcW w:w="851" w:type="dxa"/>
          </w:tcPr>
          <w:p>
            <w:pPr>
              <w:pStyle w:val="0"/>
              <w:jc w:val="center"/>
            </w:pPr>
            <w:r>
              <w:rPr>
                <w:sz w:val="20"/>
              </w:rPr>
              <w:t xml:space="preserve">99,1</w:t>
            </w:r>
          </w:p>
        </w:tc>
        <w:tc>
          <w:tcPr>
            <w:tcW w:w="708" w:type="dxa"/>
          </w:tcPr>
          <w:p>
            <w:pPr>
              <w:pStyle w:val="0"/>
              <w:jc w:val="center"/>
            </w:pPr>
            <w:r>
              <w:rPr>
                <w:sz w:val="20"/>
              </w:rPr>
              <w:t xml:space="preserve">95,7</w:t>
            </w:r>
          </w:p>
        </w:tc>
        <w:tc>
          <w:tcPr>
            <w:tcW w:w="709" w:type="dxa"/>
          </w:tcPr>
          <w:p>
            <w:pPr>
              <w:pStyle w:val="0"/>
              <w:jc w:val="center"/>
            </w:pPr>
            <w:r>
              <w:rPr>
                <w:sz w:val="20"/>
              </w:rPr>
              <w:t xml:space="preserve">98,4</w:t>
            </w:r>
          </w:p>
        </w:tc>
        <w:tc>
          <w:tcPr>
            <w:tcW w:w="709" w:type="dxa"/>
          </w:tcPr>
          <w:p>
            <w:pPr>
              <w:pStyle w:val="0"/>
              <w:jc w:val="center"/>
            </w:pPr>
            <w:r>
              <w:rPr>
                <w:sz w:val="20"/>
              </w:rPr>
              <w:t xml:space="preserve">98,2</w:t>
            </w:r>
          </w:p>
        </w:tc>
        <w:tc>
          <w:tcPr>
            <w:tcW w:w="709" w:type="dxa"/>
          </w:tcPr>
          <w:p>
            <w:pPr>
              <w:pStyle w:val="0"/>
              <w:jc w:val="center"/>
            </w:pPr>
            <w:r>
              <w:rPr>
                <w:sz w:val="20"/>
              </w:rPr>
              <w:t xml:space="preserve">98,4</w:t>
            </w:r>
          </w:p>
        </w:tc>
        <w:tc>
          <w:tcPr>
            <w:tcW w:w="708" w:type="dxa"/>
          </w:tcPr>
          <w:p>
            <w:pPr>
              <w:pStyle w:val="0"/>
              <w:jc w:val="center"/>
            </w:pPr>
            <w:r>
              <w:rPr>
                <w:sz w:val="20"/>
              </w:rPr>
              <w:t xml:space="preserve">96,4</w:t>
            </w:r>
          </w:p>
        </w:tc>
        <w:tc>
          <w:tcPr>
            <w:tcW w:w="709" w:type="dxa"/>
          </w:tcPr>
          <w:p>
            <w:pPr>
              <w:pStyle w:val="0"/>
              <w:jc w:val="center"/>
            </w:pPr>
            <w:r>
              <w:rPr>
                <w:sz w:val="20"/>
              </w:rPr>
              <w:t xml:space="preserve">97,4</w:t>
            </w:r>
          </w:p>
        </w:tc>
        <w:tc>
          <w:tcPr>
            <w:tcW w:w="709" w:type="dxa"/>
          </w:tcPr>
          <w:p>
            <w:pPr>
              <w:pStyle w:val="0"/>
              <w:jc w:val="center"/>
            </w:pPr>
            <w:r>
              <w:rPr>
                <w:sz w:val="20"/>
              </w:rPr>
              <w:t xml:space="preserve">97,2</w:t>
            </w:r>
          </w:p>
        </w:tc>
        <w:tc>
          <w:tcPr>
            <w:tcW w:w="1247" w:type="dxa"/>
          </w:tcPr>
          <w:p>
            <w:pPr>
              <w:pStyle w:val="0"/>
              <w:jc w:val="center"/>
            </w:pPr>
            <w:r>
              <w:rPr>
                <w:sz w:val="20"/>
              </w:rPr>
              <w:t xml:space="preserve">96,9</w:t>
            </w:r>
          </w:p>
        </w:tc>
      </w:tr>
      <w:tr>
        <w:tc>
          <w:tcPr>
            <w:tcW w:w="3360" w:type="dxa"/>
          </w:tcPr>
          <w:p>
            <w:pPr>
              <w:pStyle w:val="0"/>
            </w:pPr>
            <w:r>
              <w:rPr>
                <w:sz w:val="20"/>
              </w:rPr>
              <w:t xml:space="preserve">Соединительной и других мягких тканей</w:t>
            </w:r>
          </w:p>
        </w:tc>
        <w:tc>
          <w:tcPr>
            <w:tcW w:w="1481" w:type="dxa"/>
          </w:tcPr>
          <w:p>
            <w:pPr>
              <w:pStyle w:val="0"/>
              <w:jc w:val="center"/>
            </w:pPr>
            <w:r>
              <w:rPr>
                <w:sz w:val="20"/>
              </w:rPr>
              <w:t xml:space="preserve">С47, С49</w:t>
            </w:r>
          </w:p>
        </w:tc>
        <w:tc>
          <w:tcPr>
            <w:tcW w:w="717" w:type="dxa"/>
          </w:tcPr>
          <w:p>
            <w:pPr>
              <w:pStyle w:val="0"/>
              <w:jc w:val="center"/>
            </w:pPr>
            <w:r>
              <w:rPr>
                <w:sz w:val="20"/>
              </w:rPr>
              <w:t xml:space="preserve">68,4</w:t>
            </w:r>
          </w:p>
        </w:tc>
        <w:tc>
          <w:tcPr>
            <w:tcW w:w="850" w:type="dxa"/>
          </w:tcPr>
          <w:p>
            <w:pPr>
              <w:pStyle w:val="0"/>
              <w:jc w:val="center"/>
            </w:pPr>
            <w:r>
              <w:rPr>
                <w:sz w:val="20"/>
              </w:rPr>
              <w:t xml:space="preserve">56,5</w:t>
            </w:r>
          </w:p>
        </w:tc>
        <w:tc>
          <w:tcPr>
            <w:tcW w:w="851" w:type="dxa"/>
          </w:tcPr>
          <w:p>
            <w:pPr>
              <w:pStyle w:val="0"/>
              <w:jc w:val="center"/>
            </w:pPr>
            <w:r>
              <w:rPr>
                <w:sz w:val="20"/>
              </w:rPr>
              <w:t xml:space="preserve">59,2</w:t>
            </w:r>
          </w:p>
        </w:tc>
        <w:tc>
          <w:tcPr>
            <w:tcW w:w="708" w:type="dxa"/>
          </w:tcPr>
          <w:p>
            <w:pPr>
              <w:pStyle w:val="0"/>
              <w:jc w:val="center"/>
            </w:pPr>
            <w:r>
              <w:rPr>
                <w:sz w:val="20"/>
              </w:rPr>
              <w:t xml:space="preserve">53,3</w:t>
            </w:r>
          </w:p>
        </w:tc>
        <w:tc>
          <w:tcPr>
            <w:tcW w:w="709" w:type="dxa"/>
          </w:tcPr>
          <w:p>
            <w:pPr>
              <w:pStyle w:val="0"/>
              <w:jc w:val="center"/>
            </w:pPr>
            <w:r>
              <w:rPr>
                <w:sz w:val="20"/>
              </w:rPr>
              <w:t xml:space="preserve">55,5</w:t>
            </w:r>
          </w:p>
        </w:tc>
        <w:tc>
          <w:tcPr>
            <w:tcW w:w="709" w:type="dxa"/>
          </w:tcPr>
          <w:p>
            <w:pPr>
              <w:pStyle w:val="0"/>
              <w:jc w:val="center"/>
            </w:pPr>
            <w:r>
              <w:rPr>
                <w:sz w:val="20"/>
              </w:rPr>
              <w:t xml:space="preserve">41,7</w:t>
            </w:r>
          </w:p>
        </w:tc>
        <w:tc>
          <w:tcPr>
            <w:tcW w:w="709" w:type="dxa"/>
          </w:tcPr>
          <w:p>
            <w:pPr>
              <w:pStyle w:val="0"/>
              <w:jc w:val="center"/>
            </w:pPr>
            <w:r>
              <w:rPr>
                <w:sz w:val="20"/>
              </w:rPr>
              <w:t xml:space="preserve">41,3</w:t>
            </w:r>
          </w:p>
        </w:tc>
        <w:tc>
          <w:tcPr>
            <w:tcW w:w="708" w:type="dxa"/>
          </w:tcPr>
          <w:p>
            <w:pPr>
              <w:pStyle w:val="0"/>
              <w:jc w:val="center"/>
            </w:pPr>
            <w:r>
              <w:rPr>
                <w:sz w:val="20"/>
              </w:rPr>
              <w:t xml:space="preserve">63,6</w:t>
            </w:r>
          </w:p>
        </w:tc>
        <w:tc>
          <w:tcPr>
            <w:tcW w:w="709" w:type="dxa"/>
          </w:tcPr>
          <w:p>
            <w:pPr>
              <w:pStyle w:val="0"/>
              <w:jc w:val="center"/>
            </w:pPr>
            <w:r>
              <w:rPr>
                <w:sz w:val="20"/>
              </w:rPr>
              <w:t xml:space="preserve">55,9</w:t>
            </w:r>
          </w:p>
        </w:tc>
        <w:tc>
          <w:tcPr>
            <w:tcW w:w="709" w:type="dxa"/>
          </w:tcPr>
          <w:p>
            <w:pPr>
              <w:pStyle w:val="0"/>
              <w:jc w:val="center"/>
            </w:pPr>
            <w:r>
              <w:rPr>
                <w:sz w:val="20"/>
              </w:rPr>
              <w:t xml:space="preserve">59,3</w:t>
            </w:r>
          </w:p>
        </w:tc>
        <w:tc>
          <w:tcPr>
            <w:tcW w:w="1247" w:type="dxa"/>
          </w:tcPr>
          <w:p>
            <w:pPr>
              <w:pStyle w:val="0"/>
              <w:jc w:val="center"/>
            </w:pPr>
            <w:r>
              <w:rPr>
                <w:sz w:val="20"/>
              </w:rPr>
              <w:t xml:space="preserve">58,7</w:t>
            </w:r>
          </w:p>
        </w:tc>
      </w:tr>
      <w:tr>
        <w:tc>
          <w:tcPr>
            <w:tcW w:w="3360" w:type="dxa"/>
          </w:tcPr>
          <w:p>
            <w:pPr>
              <w:pStyle w:val="0"/>
            </w:pPr>
            <w:r>
              <w:rPr>
                <w:sz w:val="20"/>
              </w:rPr>
              <w:t xml:space="preserve">Молочная железа</w:t>
            </w:r>
          </w:p>
        </w:tc>
        <w:tc>
          <w:tcPr>
            <w:tcW w:w="1481" w:type="dxa"/>
          </w:tcPr>
          <w:p>
            <w:pPr>
              <w:pStyle w:val="0"/>
              <w:jc w:val="center"/>
            </w:pPr>
            <w:r>
              <w:rPr>
                <w:sz w:val="20"/>
              </w:rPr>
              <w:t xml:space="preserve">С 50</w:t>
            </w:r>
          </w:p>
        </w:tc>
        <w:tc>
          <w:tcPr>
            <w:tcW w:w="717" w:type="dxa"/>
          </w:tcPr>
          <w:p>
            <w:pPr>
              <w:pStyle w:val="0"/>
              <w:jc w:val="center"/>
            </w:pPr>
            <w:r>
              <w:rPr>
                <w:sz w:val="20"/>
              </w:rPr>
              <w:t xml:space="preserve">72,2</w:t>
            </w:r>
          </w:p>
        </w:tc>
        <w:tc>
          <w:tcPr>
            <w:tcW w:w="850" w:type="dxa"/>
          </w:tcPr>
          <w:p>
            <w:pPr>
              <w:pStyle w:val="0"/>
              <w:jc w:val="center"/>
            </w:pPr>
            <w:r>
              <w:rPr>
                <w:sz w:val="20"/>
              </w:rPr>
              <w:t xml:space="preserve">69,3</w:t>
            </w:r>
          </w:p>
        </w:tc>
        <w:tc>
          <w:tcPr>
            <w:tcW w:w="851" w:type="dxa"/>
          </w:tcPr>
          <w:p>
            <w:pPr>
              <w:pStyle w:val="0"/>
              <w:jc w:val="center"/>
            </w:pPr>
            <w:r>
              <w:rPr>
                <w:sz w:val="20"/>
              </w:rPr>
              <w:t xml:space="preserve">70,5</w:t>
            </w:r>
          </w:p>
        </w:tc>
        <w:tc>
          <w:tcPr>
            <w:tcW w:w="708" w:type="dxa"/>
          </w:tcPr>
          <w:p>
            <w:pPr>
              <w:pStyle w:val="0"/>
              <w:jc w:val="center"/>
            </w:pPr>
            <w:r>
              <w:rPr>
                <w:sz w:val="20"/>
              </w:rPr>
              <w:t xml:space="preserve">74,2</w:t>
            </w:r>
          </w:p>
        </w:tc>
        <w:tc>
          <w:tcPr>
            <w:tcW w:w="709" w:type="dxa"/>
          </w:tcPr>
          <w:p>
            <w:pPr>
              <w:pStyle w:val="0"/>
              <w:jc w:val="center"/>
            </w:pPr>
            <w:r>
              <w:rPr>
                <w:sz w:val="20"/>
              </w:rPr>
              <w:t xml:space="preserve">73,8</w:t>
            </w:r>
          </w:p>
        </w:tc>
        <w:tc>
          <w:tcPr>
            <w:tcW w:w="709" w:type="dxa"/>
          </w:tcPr>
          <w:p>
            <w:pPr>
              <w:pStyle w:val="0"/>
              <w:jc w:val="center"/>
            </w:pPr>
            <w:r>
              <w:rPr>
                <w:sz w:val="20"/>
              </w:rPr>
              <w:t xml:space="preserve">76,9</w:t>
            </w:r>
          </w:p>
        </w:tc>
        <w:tc>
          <w:tcPr>
            <w:tcW w:w="709" w:type="dxa"/>
          </w:tcPr>
          <w:p>
            <w:pPr>
              <w:pStyle w:val="0"/>
              <w:jc w:val="center"/>
            </w:pPr>
            <w:r>
              <w:rPr>
                <w:sz w:val="20"/>
              </w:rPr>
              <w:t xml:space="preserve">75,1</w:t>
            </w:r>
          </w:p>
        </w:tc>
        <w:tc>
          <w:tcPr>
            <w:tcW w:w="708" w:type="dxa"/>
          </w:tcPr>
          <w:p>
            <w:pPr>
              <w:pStyle w:val="0"/>
              <w:jc w:val="center"/>
            </w:pPr>
            <w:r>
              <w:rPr>
                <w:sz w:val="20"/>
              </w:rPr>
              <w:t xml:space="preserve">77,4</w:t>
            </w:r>
          </w:p>
        </w:tc>
        <w:tc>
          <w:tcPr>
            <w:tcW w:w="709" w:type="dxa"/>
          </w:tcPr>
          <w:p>
            <w:pPr>
              <w:pStyle w:val="0"/>
              <w:jc w:val="center"/>
            </w:pPr>
            <w:r>
              <w:rPr>
                <w:sz w:val="20"/>
              </w:rPr>
              <w:t xml:space="preserve">81,3</w:t>
            </w:r>
          </w:p>
        </w:tc>
        <w:tc>
          <w:tcPr>
            <w:tcW w:w="709" w:type="dxa"/>
          </w:tcPr>
          <w:p>
            <w:pPr>
              <w:pStyle w:val="0"/>
              <w:jc w:val="center"/>
            </w:pPr>
            <w:r>
              <w:rPr>
                <w:sz w:val="20"/>
              </w:rPr>
              <w:t xml:space="preserve">82,8</w:t>
            </w:r>
          </w:p>
        </w:tc>
        <w:tc>
          <w:tcPr>
            <w:tcW w:w="1247" w:type="dxa"/>
          </w:tcPr>
          <w:p>
            <w:pPr>
              <w:pStyle w:val="0"/>
              <w:jc w:val="center"/>
            </w:pPr>
            <w:r>
              <w:rPr>
                <w:sz w:val="20"/>
              </w:rPr>
              <w:t xml:space="preserve">72,5</w:t>
            </w:r>
          </w:p>
        </w:tc>
      </w:tr>
      <w:tr>
        <w:tc>
          <w:tcPr>
            <w:tcW w:w="3360" w:type="dxa"/>
          </w:tcPr>
          <w:p>
            <w:pPr>
              <w:pStyle w:val="0"/>
            </w:pPr>
            <w:r>
              <w:rPr>
                <w:sz w:val="20"/>
              </w:rPr>
              <w:t xml:space="preserve">Шейка матки</w:t>
            </w:r>
          </w:p>
        </w:tc>
        <w:tc>
          <w:tcPr>
            <w:tcW w:w="1481" w:type="dxa"/>
          </w:tcPr>
          <w:p>
            <w:pPr>
              <w:pStyle w:val="0"/>
              <w:jc w:val="center"/>
            </w:pPr>
            <w:r>
              <w:rPr>
                <w:sz w:val="20"/>
              </w:rPr>
              <w:t xml:space="preserve">С 53</w:t>
            </w:r>
          </w:p>
        </w:tc>
        <w:tc>
          <w:tcPr>
            <w:tcW w:w="717" w:type="dxa"/>
          </w:tcPr>
          <w:p>
            <w:pPr>
              <w:pStyle w:val="0"/>
              <w:jc w:val="center"/>
            </w:pPr>
            <w:r>
              <w:rPr>
                <w:sz w:val="20"/>
              </w:rPr>
              <w:t xml:space="preserve">65,1</w:t>
            </w:r>
          </w:p>
        </w:tc>
        <w:tc>
          <w:tcPr>
            <w:tcW w:w="850" w:type="dxa"/>
          </w:tcPr>
          <w:p>
            <w:pPr>
              <w:pStyle w:val="0"/>
              <w:jc w:val="center"/>
            </w:pPr>
            <w:r>
              <w:rPr>
                <w:sz w:val="20"/>
              </w:rPr>
              <w:t xml:space="preserve">65,2</w:t>
            </w:r>
          </w:p>
        </w:tc>
        <w:tc>
          <w:tcPr>
            <w:tcW w:w="851" w:type="dxa"/>
          </w:tcPr>
          <w:p>
            <w:pPr>
              <w:pStyle w:val="0"/>
              <w:jc w:val="center"/>
            </w:pPr>
            <w:r>
              <w:rPr>
                <w:sz w:val="20"/>
              </w:rPr>
              <w:t xml:space="preserve">70,2</w:t>
            </w:r>
          </w:p>
        </w:tc>
        <w:tc>
          <w:tcPr>
            <w:tcW w:w="708" w:type="dxa"/>
          </w:tcPr>
          <w:p>
            <w:pPr>
              <w:pStyle w:val="0"/>
              <w:jc w:val="center"/>
            </w:pPr>
            <w:r>
              <w:rPr>
                <w:sz w:val="20"/>
              </w:rPr>
              <w:t xml:space="preserve">74,3</w:t>
            </w:r>
          </w:p>
        </w:tc>
        <w:tc>
          <w:tcPr>
            <w:tcW w:w="709" w:type="dxa"/>
          </w:tcPr>
          <w:p>
            <w:pPr>
              <w:pStyle w:val="0"/>
              <w:jc w:val="center"/>
            </w:pPr>
            <w:r>
              <w:rPr>
                <w:sz w:val="20"/>
              </w:rPr>
              <w:t xml:space="preserve">72,8</w:t>
            </w:r>
          </w:p>
        </w:tc>
        <w:tc>
          <w:tcPr>
            <w:tcW w:w="709" w:type="dxa"/>
          </w:tcPr>
          <w:p>
            <w:pPr>
              <w:pStyle w:val="0"/>
              <w:jc w:val="center"/>
            </w:pPr>
            <w:r>
              <w:rPr>
                <w:sz w:val="20"/>
              </w:rPr>
              <w:t xml:space="preserve">73,5</w:t>
            </w:r>
          </w:p>
        </w:tc>
        <w:tc>
          <w:tcPr>
            <w:tcW w:w="709" w:type="dxa"/>
          </w:tcPr>
          <w:p>
            <w:pPr>
              <w:pStyle w:val="0"/>
              <w:jc w:val="center"/>
            </w:pPr>
            <w:r>
              <w:rPr>
                <w:sz w:val="20"/>
              </w:rPr>
              <w:t xml:space="preserve">75,8</w:t>
            </w:r>
          </w:p>
        </w:tc>
        <w:tc>
          <w:tcPr>
            <w:tcW w:w="708" w:type="dxa"/>
          </w:tcPr>
          <w:p>
            <w:pPr>
              <w:pStyle w:val="0"/>
              <w:jc w:val="center"/>
            </w:pPr>
            <w:r>
              <w:rPr>
                <w:sz w:val="20"/>
              </w:rPr>
              <w:t xml:space="preserve">75</w:t>
            </w:r>
          </w:p>
        </w:tc>
        <w:tc>
          <w:tcPr>
            <w:tcW w:w="709" w:type="dxa"/>
          </w:tcPr>
          <w:p>
            <w:pPr>
              <w:pStyle w:val="0"/>
              <w:jc w:val="center"/>
            </w:pPr>
            <w:r>
              <w:rPr>
                <w:sz w:val="20"/>
              </w:rPr>
              <w:t xml:space="preserve">69,6</w:t>
            </w:r>
          </w:p>
        </w:tc>
        <w:tc>
          <w:tcPr>
            <w:tcW w:w="709" w:type="dxa"/>
          </w:tcPr>
          <w:p>
            <w:pPr>
              <w:pStyle w:val="0"/>
              <w:jc w:val="center"/>
            </w:pPr>
            <w:r>
              <w:rPr>
                <w:sz w:val="20"/>
              </w:rPr>
              <w:t xml:space="preserve">73,0</w:t>
            </w:r>
          </w:p>
        </w:tc>
        <w:tc>
          <w:tcPr>
            <w:tcW w:w="1247" w:type="dxa"/>
          </w:tcPr>
          <w:p>
            <w:pPr>
              <w:pStyle w:val="0"/>
              <w:jc w:val="center"/>
            </w:pPr>
            <w:r>
              <w:rPr>
                <w:sz w:val="20"/>
              </w:rPr>
              <w:t xml:space="preserve">64,7</w:t>
            </w:r>
          </w:p>
        </w:tc>
      </w:tr>
      <w:tr>
        <w:tc>
          <w:tcPr>
            <w:tcW w:w="3360" w:type="dxa"/>
          </w:tcPr>
          <w:p>
            <w:pPr>
              <w:pStyle w:val="0"/>
            </w:pPr>
            <w:r>
              <w:rPr>
                <w:sz w:val="20"/>
              </w:rPr>
              <w:t xml:space="preserve">Тела матки</w:t>
            </w:r>
          </w:p>
        </w:tc>
        <w:tc>
          <w:tcPr>
            <w:tcW w:w="1481" w:type="dxa"/>
          </w:tcPr>
          <w:p>
            <w:pPr>
              <w:pStyle w:val="0"/>
              <w:jc w:val="center"/>
            </w:pPr>
            <w:r>
              <w:rPr>
                <w:sz w:val="20"/>
              </w:rPr>
              <w:t xml:space="preserve">С 54</w:t>
            </w:r>
          </w:p>
        </w:tc>
        <w:tc>
          <w:tcPr>
            <w:tcW w:w="717" w:type="dxa"/>
          </w:tcPr>
          <w:p>
            <w:pPr>
              <w:pStyle w:val="0"/>
              <w:jc w:val="center"/>
            </w:pPr>
            <w:r>
              <w:rPr>
                <w:sz w:val="20"/>
              </w:rPr>
              <w:t xml:space="preserve">84,5</w:t>
            </w:r>
          </w:p>
        </w:tc>
        <w:tc>
          <w:tcPr>
            <w:tcW w:w="850" w:type="dxa"/>
          </w:tcPr>
          <w:p>
            <w:pPr>
              <w:pStyle w:val="0"/>
              <w:jc w:val="center"/>
            </w:pPr>
            <w:r>
              <w:rPr>
                <w:sz w:val="20"/>
              </w:rPr>
              <w:t xml:space="preserve">80,3</w:t>
            </w:r>
          </w:p>
        </w:tc>
        <w:tc>
          <w:tcPr>
            <w:tcW w:w="851" w:type="dxa"/>
          </w:tcPr>
          <w:p>
            <w:pPr>
              <w:pStyle w:val="0"/>
              <w:jc w:val="center"/>
            </w:pPr>
            <w:r>
              <w:rPr>
                <w:sz w:val="20"/>
              </w:rPr>
              <w:t xml:space="preserve">80,6</w:t>
            </w:r>
          </w:p>
        </w:tc>
        <w:tc>
          <w:tcPr>
            <w:tcW w:w="708" w:type="dxa"/>
          </w:tcPr>
          <w:p>
            <w:pPr>
              <w:pStyle w:val="0"/>
              <w:jc w:val="center"/>
            </w:pPr>
            <w:r>
              <w:rPr>
                <w:sz w:val="20"/>
              </w:rPr>
              <w:t xml:space="preserve">81</w:t>
            </w:r>
          </w:p>
        </w:tc>
        <w:tc>
          <w:tcPr>
            <w:tcW w:w="709" w:type="dxa"/>
          </w:tcPr>
          <w:p>
            <w:pPr>
              <w:pStyle w:val="0"/>
              <w:jc w:val="center"/>
            </w:pPr>
            <w:r>
              <w:rPr>
                <w:sz w:val="20"/>
              </w:rPr>
              <w:t xml:space="preserve">82,6</w:t>
            </w:r>
          </w:p>
        </w:tc>
        <w:tc>
          <w:tcPr>
            <w:tcW w:w="709" w:type="dxa"/>
          </w:tcPr>
          <w:p>
            <w:pPr>
              <w:pStyle w:val="0"/>
              <w:jc w:val="center"/>
            </w:pPr>
            <w:r>
              <w:rPr>
                <w:sz w:val="20"/>
              </w:rPr>
              <w:t xml:space="preserve">82,1</w:t>
            </w:r>
          </w:p>
        </w:tc>
        <w:tc>
          <w:tcPr>
            <w:tcW w:w="709" w:type="dxa"/>
          </w:tcPr>
          <w:p>
            <w:pPr>
              <w:pStyle w:val="0"/>
              <w:jc w:val="center"/>
            </w:pPr>
            <w:r>
              <w:rPr>
                <w:sz w:val="20"/>
              </w:rPr>
              <w:t xml:space="preserve">80,9</w:t>
            </w:r>
          </w:p>
        </w:tc>
        <w:tc>
          <w:tcPr>
            <w:tcW w:w="708" w:type="dxa"/>
          </w:tcPr>
          <w:p>
            <w:pPr>
              <w:pStyle w:val="0"/>
              <w:jc w:val="center"/>
            </w:pPr>
            <w:r>
              <w:rPr>
                <w:sz w:val="20"/>
              </w:rPr>
              <w:t xml:space="preserve">85,6</w:t>
            </w:r>
          </w:p>
        </w:tc>
        <w:tc>
          <w:tcPr>
            <w:tcW w:w="709" w:type="dxa"/>
          </w:tcPr>
          <w:p>
            <w:pPr>
              <w:pStyle w:val="0"/>
              <w:jc w:val="center"/>
            </w:pPr>
            <w:r>
              <w:rPr>
                <w:sz w:val="20"/>
              </w:rPr>
              <w:t xml:space="preserve">83,5</w:t>
            </w:r>
          </w:p>
        </w:tc>
        <w:tc>
          <w:tcPr>
            <w:tcW w:w="709" w:type="dxa"/>
          </w:tcPr>
          <w:p>
            <w:pPr>
              <w:pStyle w:val="0"/>
              <w:jc w:val="center"/>
            </w:pPr>
            <w:r>
              <w:rPr>
                <w:sz w:val="20"/>
              </w:rPr>
              <w:t xml:space="preserve">85,7</w:t>
            </w:r>
          </w:p>
        </w:tc>
        <w:tc>
          <w:tcPr>
            <w:tcW w:w="1247" w:type="dxa"/>
          </w:tcPr>
          <w:p>
            <w:pPr>
              <w:pStyle w:val="0"/>
              <w:jc w:val="center"/>
            </w:pPr>
            <w:r>
              <w:rPr>
                <w:sz w:val="20"/>
              </w:rPr>
              <w:t xml:space="preserve">84,4</w:t>
            </w:r>
          </w:p>
        </w:tc>
      </w:tr>
      <w:tr>
        <w:tc>
          <w:tcPr>
            <w:tcW w:w="3360" w:type="dxa"/>
          </w:tcPr>
          <w:p>
            <w:pPr>
              <w:pStyle w:val="0"/>
            </w:pPr>
            <w:r>
              <w:rPr>
                <w:sz w:val="20"/>
              </w:rPr>
              <w:t xml:space="preserve">Яичники</w:t>
            </w:r>
          </w:p>
        </w:tc>
        <w:tc>
          <w:tcPr>
            <w:tcW w:w="1481" w:type="dxa"/>
          </w:tcPr>
          <w:p>
            <w:pPr>
              <w:pStyle w:val="0"/>
              <w:jc w:val="center"/>
            </w:pPr>
            <w:r>
              <w:rPr>
                <w:sz w:val="20"/>
              </w:rPr>
              <w:t xml:space="preserve">С 56</w:t>
            </w:r>
          </w:p>
        </w:tc>
        <w:tc>
          <w:tcPr>
            <w:tcW w:w="717" w:type="dxa"/>
          </w:tcPr>
          <w:p>
            <w:pPr>
              <w:pStyle w:val="0"/>
              <w:jc w:val="center"/>
            </w:pPr>
            <w:r>
              <w:rPr>
                <w:sz w:val="20"/>
              </w:rPr>
              <w:t xml:space="preserve">28,6</w:t>
            </w:r>
          </w:p>
        </w:tc>
        <w:tc>
          <w:tcPr>
            <w:tcW w:w="850" w:type="dxa"/>
          </w:tcPr>
          <w:p>
            <w:pPr>
              <w:pStyle w:val="0"/>
              <w:jc w:val="center"/>
            </w:pPr>
            <w:r>
              <w:rPr>
                <w:sz w:val="20"/>
              </w:rPr>
              <w:t xml:space="preserve">34,1</w:t>
            </w:r>
          </w:p>
        </w:tc>
        <w:tc>
          <w:tcPr>
            <w:tcW w:w="851" w:type="dxa"/>
          </w:tcPr>
          <w:p>
            <w:pPr>
              <w:pStyle w:val="0"/>
              <w:jc w:val="center"/>
            </w:pPr>
            <w:r>
              <w:rPr>
                <w:sz w:val="20"/>
              </w:rPr>
              <w:t xml:space="preserve">34,8</w:t>
            </w:r>
          </w:p>
        </w:tc>
        <w:tc>
          <w:tcPr>
            <w:tcW w:w="708" w:type="dxa"/>
          </w:tcPr>
          <w:p>
            <w:pPr>
              <w:pStyle w:val="0"/>
              <w:jc w:val="center"/>
            </w:pPr>
            <w:r>
              <w:rPr>
                <w:sz w:val="20"/>
              </w:rPr>
              <w:t xml:space="preserve">36,1</w:t>
            </w:r>
          </w:p>
        </w:tc>
        <w:tc>
          <w:tcPr>
            <w:tcW w:w="709" w:type="dxa"/>
          </w:tcPr>
          <w:p>
            <w:pPr>
              <w:pStyle w:val="0"/>
              <w:jc w:val="center"/>
            </w:pPr>
            <w:r>
              <w:rPr>
                <w:sz w:val="20"/>
              </w:rPr>
              <w:t xml:space="preserve">38,5</w:t>
            </w:r>
          </w:p>
        </w:tc>
        <w:tc>
          <w:tcPr>
            <w:tcW w:w="709" w:type="dxa"/>
          </w:tcPr>
          <w:p>
            <w:pPr>
              <w:pStyle w:val="0"/>
              <w:jc w:val="center"/>
            </w:pPr>
            <w:r>
              <w:rPr>
                <w:sz w:val="20"/>
              </w:rPr>
              <w:t xml:space="preserve">40,1</w:t>
            </w:r>
          </w:p>
        </w:tc>
        <w:tc>
          <w:tcPr>
            <w:tcW w:w="709" w:type="dxa"/>
          </w:tcPr>
          <w:p>
            <w:pPr>
              <w:pStyle w:val="0"/>
              <w:jc w:val="center"/>
            </w:pPr>
            <w:r>
              <w:rPr>
                <w:sz w:val="20"/>
              </w:rPr>
              <w:t xml:space="preserve">37,1</w:t>
            </w:r>
          </w:p>
        </w:tc>
        <w:tc>
          <w:tcPr>
            <w:tcW w:w="708" w:type="dxa"/>
          </w:tcPr>
          <w:p>
            <w:pPr>
              <w:pStyle w:val="0"/>
              <w:jc w:val="center"/>
            </w:pPr>
            <w:r>
              <w:rPr>
                <w:sz w:val="20"/>
              </w:rPr>
              <w:t xml:space="preserve">53,1</w:t>
            </w:r>
          </w:p>
        </w:tc>
        <w:tc>
          <w:tcPr>
            <w:tcW w:w="709" w:type="dxa"/>
          </w:tcPr>
          <w:p>
            <w:pPr>
              <w:pStyle w:val="0"/>
              <w:jc w:val="center"/>
            </w:pPr>
            <w:r>
              <w:rPr>
                <w:sz w:val="20"/>
              </w:rPr>
              <w:t xml:space="preserve">58,8</w:t>
            </w:r>
          </w:p>
        </w:tc>
        <w:tc>
          <w:tcPr>
            <w:tcW w:w="709" w:type="dxa"/>
          </w:tcPr>
          <w:p>
            <w:pPr>
              <w:pStyle w:val="0"/>
              <w:jc w:val="center"/>
            </w:pPr>
            <w:r>
              <w:rPr>
                <w:sz w:val="20"/>
              </w:rPr>
              <w:t xml:space="preserve">41,9</w:t>
            </w:r>
          </w:p>
        </w:tc>
        <w:tc>
          <w:tcPr>
            <w:tcW w:w="1247" w:type="dxa"/>
          </w:tcPr>
          <w:p>
            <w:pPr>
              <w:pStyle w:val="0"/>
              <w:jc w:val="center"/>
            </w:pPr>
            <w:r>
              <w:rPr>
                <w:sz w:val="20"/>
              </w:rPr>
              <w:t xml:space="preserve">42,4</w:t>
            </w:r>
          </w:p>
        </w:tc>
      </w:tr>
      <w:tr>
        <w:tc>
          <w:tcPr>
            <w:tcW w:w="3360" w:type="dxa"/>
          </w:tcPr>
          <w:p>
            <w:pPr>
              <w:pStyle w:val="0"/>
            </w:pPr>
            <w:r>
              <w:rPr>
                <w:sz w:val="20"/>
              </w:rPr>
              <w:t xml:space="preserve">Предстательная железа</w:t>
            </w:r>
          </w:p>
        </w:tc>
        <w:tc>
          <w:tcPr>
            <w:tcW w:w="1481" w:type="dxa"/>
          </w:tcPr>
          <w:p>
            <w:pPr>
              <w:pStyle w:val="0"/>
              <w:jc w:val="center"/>
            </w:pPr>
            <w:r>
              <w:rPr>
                <w:sz w:val="20"/>
              </w:rPr>
              <w:t xml:space="preserve">С 61</w:t>
            </w:r>
          </w:p>
        </w:tc>
        <w:tc>
          <w:tcPr>
            <w:tcW w:w="717" w:type="dxa"/>
          </w:tcPr>
          <w:p>
            <w:pPr>
              <w:pStyle w:val="0"/>
              <w:jc w:val="center"/>
            </w:pPr>
            <w:r>
              <w:rPr>
                <w:sz w:val="20"/>
              </w:rPr>
              <w:t xml:space="preserve">57,3</w:t>
            </w:r>
          </w:p>
        </w:tc>
        <w:tc>
          <w:tcPr>
            <w:tcW w:w="850" w:type="dxa"/>
          </w:tcPr>
          <w:p>
            <w:pPr>
              <w:pStyle w:val="0"/>
              <w:jc w:val="center"/>
            </w:pPr>
            <w:r>
              <w:rPr>
                <w:sz w:val="20"/>
              </w:rPr>
              <w:t xml:space="preserve">59,1</w:t>
            </w:r>
          </w:p>
        </w:tc>
        <w:tc>
          <w:tcPr>
            <w:tcW w:w="851" w:type="dxa"/>
          </w:tcPr>
          <w:p>
            <w:pPr>
              <w:pStyle w:val="0"/>
              <w:jc w:val="center"/>
            </w:pPr>
            <w:r>
              <w:rPr>
                <w:sz w:val="20"/>
              </w:rPr>
              <w:t xml:space="preserve">63,4</w:t>
            </w:r>
          </w:p>
        </w:tc>
        <w:tc>
          <w:tcPr>
            <w:tcW w:w="708" w:type="dxa"/>
          </w:tcPr>
          <w:p>
            <w:pPr>
              <w:pStyle w:val="0"/>
              <w:jc w:val="center"/>
            </w:pPr>
            <w:r>
              <w:rPr>
                <w:sz w:val="20"/>
              </w:rPr>
              <w:t xml:space="preserve">70,1</w:t>
            </w:r>
          </w:p>
        </w:tc>
        <w:tc>
          <w:tcPr>
            <w:tcW w:w="709" w:type="dxa"/>
          </w:tcPr>
          <w:p>
            <w:pPr>
              <w:pStyle w:val="0"/>
              <w:jc w:val="center"/>
            </w:pPr>
            <w:r>
              <w:rPr>
                <w:sz w:val="20"/>
              </w:rPr>
              <w:t xml:space="preserve">68</w:t>
            </w:r>
          </w:p>
        </w:tc>
        <w:tc>
          <w:tcPr>
            <w:tcW w:w="709" w:type="dxa"/>
          </w:tcPr>
          <w:p>
            <w:pPr>
              <w:pStyle w:val="0"/>
              <w:jc w:val="center"/>
            </w:pPr>
            <w:r>
              <w:rPr>
                <w:sz w:val="20"/>
              </w:rPr>
              <w:t xml:space="preserve">67,5</w:t>
            </w:r>
          </w:p>
        </w:tc>
        <w:tc>
          <w:tcPr>
            <w:tcW w:w="709" w:type="dxa"/>
          </w:tcPr>
          <w:p>
            <w:pPr>
              <w:pStyle w:val="0"/>
              <w:jc w:val="center"/>
            </w:pPr>
            <w:r>
              <w:rPr>
                <w:sz w:val="20"/>
              </w:rPr>
              <w:t xml:space="preserve">65</w:t>
            </w:r>
          </w:p>
        </w:tc>
        <w:tc>
          <w:tcPr>
            <w:tcW w:w="708" w:type="dxa"/>
          </w:tcPr>
          <w:p>
            <w:pPr>
              <w:pStyle w:val="0"/>
              <w:jc w:val="center"/>
            </w:pPr>
            <w:r>
              <w:rPr>
                <w:sz w:val="20"/>
              </w:rPr>
              <w:t xml:space="preserve">77,6</w:t>
            </w:r>
          </w:p>
        </w:tc>
        <w:tc>
          <w:tcPr>
            <w:tcW w:w="709" w:type="dxa"/>
          </w:tcPr>
          <w:p>
            <w:pPr>
              <w:pStyle w:val="0"/>
              <w:jc w:val="center"/>
            </w:pPr>
            <w:r>
              <w:rPr>
                <w:sz w:val="20"/>
              </w:rPr>
              <w:t xml:space="preserve">70,2</w:t>
            </w:r>
          </w:p>
        </w:tc>
        <w:tc>
          <w:tcPr>
            <w:tcW w:w="709" w:type="dxa"/>
          </w:tcPr>
          <w:p>
            <w:pPr>
              <w:pStyle w:val="0"/>
              <w:jc w:val="center"/>
            </w:pPr>
            <w:r>
              <w:rPr>
                <w:sz w:val="20"/>
              </w:rPr>
              <w:t xml:space="preserve">74,6</w:t>
            </w:r>
          </w:p>
        </w:tc>
        <w:tc>
          <w:tcPr>
            <w:tcW w:w="1247" w:type="dxa"/>
          </w:tcPr>
          <w:p>
            <w:pPr>
              <w:pStyle w:val="0"/>
              <w:jc w:val="center"/>
            </w:pPr>
            <w:r>
              <w:rPr>
                <w:sz w:val="20"/>
              </w:rPr>
              <w:t xml:space="preserve">60,7</w:t>
            </w:r>
          </w:p>
        </w:tc>
      </w:tr>
      <w:tr>
        <w:tc>
          <w:tcPr>
            <w:tcW w:w="3360" w:type="dxa"/>
          </w:tcPr>
          <w:p>
            <w:pPr>
              <w:pStyle w:val="0"/>
            </w:pPr>
            <w:r>
              <w:rPr>
                <w:sz w:val="20"/>
              </w:rPr>
              <w:t xml:space="preserve">Почка</w:t>
            </w:r>
          </w:p>
        </w:tc>
        <w:tc>
          <w:tcPr>
            <w:tcW w:w="1481" w:type="dxa"/>
          </w:tcPr>
          <w:p>
            <w:pPr>
              <w:pStyle w:val="0"/>
              <w:jc w:val="center"/>
            </w:pPr>
            <w:r>
              <w:rPr>
                <w:sz w:val="20"/>
              </w:rPr>
              <w:t xml:space="preserve">С 64</w:t>
            </w:r>
          </w:p>
        </w:tc>
        <w:tc>
          <w:tcPr>
            <w:tcW w:w="717" w:type="dxa"/>
          </w:tcPr>
          <w:p>
            <w:pPr>
              <w:pStyle w:val="0"/>
              <w:jc w:val="center"/>
            </w:pPr>
            <w:r>
              <w:rPr>
                <w:sz w:val="20"/>
              </w:rPr>
              <w:t xml:space="preserve">58,9</w:t>
            </w:r>
          </w:p>
        </w:tc>
        <w:tc>
          <w:tcPr>
            <w:tcW w:w="850" w:type="dxa"/>
          </w:tcPr>
          <w:p>
            <w:pPr>
              <w:pStyle w:val="0"/>
              <w:jc w:val="center"/>
            </w:pPr>
            <w:r>
              <w:rPr>
                <w:sz w:val="20"/>
              </w:rPr>
              <w:t xml:space="preserve">60,1</w:t>
            </w:r>
          </w:p>
        </w:tc>
        <w:tc>
          <w:tcPr>
            <w:tcW w:w="851" w:type="dxa"/>
          </w:tcPr>
          <w:p>
            <w:pPr>
              <w:pStyle w:val="0"/>
              <w:jc w:val="center"/>
            </w:pPr>
            <w:r>
              <w:rPr>
                <w:sz w:val="20"/>
              </w:rPr>
              <w:t xml:space="preserve">63,1</w:t>
            </w:r>
          </w:p>
        </w:tc>
        <w:tc>
          <w:tcPr>
            <w:tcW w:w="708" w:type="dxa"/>
          </w:tcPr>
          <w:p>
            <w:pPr>
              <w:pStyle w:val="0"/>
              <w:jc w:val="center"/>
            </w:pPr>
            <w:r>
              <w:rPr>
                <w:sz w:val="20"/>
              </w:rPr>
              <w:t xml:space="preserve">73,5</w:t>
            </w:r>
          </w:p>
        </w:tc>
        <w:tc>
          <w:tcPr>
            <w:tcW w:w="709" w:type="dxa"/>
          </w:tcPr>
          <w:p>
            <w:pPr>
              <w:pStyle w:val="0"/>
              <w:jc w:val="center"/>
            </w:pPr>
            <w:r>
              <w:rPr>
                <w:sz w:val="20"/>
              </w:rPr>
              <w:t xml:space="preserve">72,6</w:t>
            </w:r>
          </w:p>
        </w:tc>
        <w:tc>
          <w:tcPr>
            <w:tcW w:w="709" w:type="dxa"/>
          </w:tcPr>
          <w:p>
            <w:pPr>
              <w:pStyle w:val="0"/>
              <w:jc w:val="center"/>
            </w:pPr>
            <w:r>
              <w:rPr>
                <w:sz w:val="20"/>
              </w:rPr>
              <w:t xml:space="preserve">68,7</w:t>
            </w:r>
          </w:p>
        </w:tc>
        <w:tc>
          <w:tcPr>
            <w:tcW w:w="709" w:type="dxa"/>
          </w:tcPr>
          <w:p>
            <w:pPr>
              <w:pStyle w:val="0"/>
              <w:jc w:val="center"/>
            </w:pPr>
            <w:r>
              <w:rPr>
                <w:sz w:val="20"/>
              </w:rPr>
              <w:t xml:space="preserve">75,2</w:t>
            </w:r>
          </w:p>
        </w:tc>
        <w:tc>
          <w:tcPr>
            <w:tcW w:w="708" w:type="dxa"/>
          </w:tcPr>
          <w:p>
            <w:pPr>
              <w:pStyle w:val="0"/>
              <w:jc w:val="center"/>
            </w:pPr>
            <w:r>
              <w:rPr>
                <w:sz w:val="20"/>
              </w:rPr>
              <w:t xml:space="preserve">71,1</w:t>
            </w:r>
          </w:p>
        </w:tc>
        <w:tc>
          <w:tcPr>
            <w:tcW w:w="709" w:type="dxa"/>
          </w:tcPr>
          <w:p>
            <w:pPr>
              <w:pStyle w:val="0"/>
              <w:jc w:val="center"/>
            </w:pPr>
            <w:r>
              <w:rPr>
                <w:sz w:val="20"/>
              </w:rPr>
              <w:t xml:space="preserve">71,6</w:t>
            </w:r>
          </w:p>
        </w:tc>
        <w:tc>
          <w:tcPr>
            <w:tcW w:w="709" w:type="dxa"/>
          </w:tcPr>
          <w:p>
            <w:pPr>
              <w:pStyle w:val="0"/>
              <w:jc w:val="center"/>
            </w:pPr>
            <w:r>
              <w:rPr>
                <w:sz w:val="20"/>
              </w:rPr>
              <w:t xml:space="preserve">72,4</w:t>
            </w:r>
          </w:p>
        </w:tc>
        <w:tc>
          <w:tcPr>
            <w:tcW w:w="1247" w:type="dxa"/>
          </w:tcPr>
          <w:p>
            <w:pPr>
              <w:pStyle w:val="0"/>
              <w:jc w:val="center"/>
            </w:pPr>
            <w:r>
              <w:rPr>
                <w:sz w:val="20"/>
              </w:rPr>
              <w:t xml:space="preserve">65,2</w:t>
            </w:r>
          </w:p>
        </w:tc>
      </w:tr>
      <w:tr>
        <w:tc>
          <w:tcPr>
            <w:tcW w:w="3360" w:type="dxa"/>
          </w:tcPr>
          <w:p>
            <w:pPr>
              <w:pStyle w:val="0"/>
            </w:pPr>
            <w:r>
              <w:rPr>
                <w:sz w:val="20"/>
              </w:rPr>
              <w:t xml:space="preserve">Мочевой пузырь</w:t>
            </w:r>
          </w:p>
        </w:tc>
        <w:tc>
          <w:tcPr>
            <w:tcW w:w="1481" w:type="dxa"/>
          </w:tcPr>
          <w:p>
            <w:pPr>
              <w:pStyle w:val="0"/>
              <w:jc w:val="center"/>
            </w:pPr>
            <w:r>
              <w:rPr>
                <w:sz w:val="20"/>
              </w:rPr>
              <w:t xml:space="preserve">С 67</w:t>
            </w:r>
          </w:p>
        </w:tc>
        <w:tc>
          <w:tcPr>
            <w:tcW w:w="717" w:type="dxa"/>
          </w:tcPr>
          <w:p>
            <w:pPr>
              <w:pStyle w:val="0"/>
              <w:jc w:val="center"/>
            </w:pPr>
            <w:r>
              <w:rPr>
                <w:sz w:val="20"/>
              </w:rPr>
              <w:t xml:space="preserve">69,2</w:t>
            </w:r>
          </w:p>
        </w:tc>
        <w:tc>
          <w:tcPr>
            <w:tcW w:w="850" w:type="dxa"/>
          </w:tcPr>
          <w:p>
            <w:pPr>
              <w:pStyle w:val="0"/>
              <w:jc w:val="center"/>
            </w:pPr>
            <w:r>
              <w:rPr>
                <w:sz w:val="20"/>
              </w:rPr>
              <w:t xml:space="preserve">66,6</w:t>
            </w:r>
          </w:p>
        </w:tc>
        <w:tc>
          <w:tcPr>
            <w:tcW w:w="851" w:type="dxa"/>
          </w:tcPr>
          <w:p>
            <w:pPr>
              <w:pStyle w:val="0"/>
              <w:jc w:val="center"/>
            </w:pPr>
            <w:r>
              <w:rPr>
                <w:sz w:val="20"/>
              </w:rPr>
              <w:t xml:space="preserve">69,9</w:t>
            </w:r>
          </w:p>
        </w:tc>
        <w:tc>
          <w:tcPr>
            <w:tcW w:w="708" w:type="dxa"/>
          </w:tcPr>
          <w:p>
            <w:pPr>
              <w:pStyle w:val="0"/>
              <w:jc w:val="center"/>
            </w:pPr>
            <w:r>
              <w:rPr>
                <w:sz w:val="20"/>
              </w:rPr>
              <w:t xml:space="preserve">63,6</w:t>
            </w:r>
          </w:p>
        </w:tc>
        <w:tc>
          <w:tcPr>
            <w:tcW w:w="709" w:type="dxa"/>
          </w:tcPr>
          <w:p>
            <w:pPr>
              <w:pStyle w:val="0"/>
              <w:jc w:val="center"/>
            </w:pPr>
            <w:r>
              <w:rPr>
                <w:sz w:val="20"/>
              </w:rPr>
              <w:t xml:space="preserve">69</w:t>
            </w:r>
          </w:p>
        </w:tc>
        <w:tc>
          <w:tcPr>
            <w:tcW w:w="709" w:type="dxa"/>
          </w:tcPr>
          <w:p>
            <w:pPr>
              <w:pStyle w:val="0"/>
              <w:jc w:val="center"/>
            </w:pPr>
            <w:r>
              <w:rPr>
                <w:sz w:val="20"/>
              </w:rPr>
              <w:t xml:space="preserve">77,1</w:t>
            </w:r>
          </w:p>
        </w:tc>
        <w:tc>
          <w:tcPr>
            <w:tcW w:w="709" w:type="dxa"/>
          </w:tcPr>
          <w:p>
            <w:pPr>
              <w:pStyle w:val="0"/>
              <w:jc w:val="center"/>
            </w:pPr>
            <w:r>
              <w:rPr>
                <w:sz w:val="20"/>
              </w:rPr>
              <w:t xml:space="preserve">83,1</w:t>
            </w:r>
          </w:p>
        </w:tc>
        <w:tc>
          <w:tcPr>
            <w:tcW w:w="708" w:type="dxa"/>
          </w:tcPr>
          <w:p>
            <w:pPr>
              <w:pStyle w:val="0"/>
              <w:jc w:val="center"/>
            </w:pPr>
            <w:r>
              <w:rPr>
                <w:sz w:val="20"/>
              </w:rPr>
              <w:t xml:space="preserve">80</w:t>
            </w:r>
          </w:p>
        </w:tc>
        <w:tc>
          <w:tcPr>
            <w:tcW w:w="709" w:type="dxa"/>
          </w:tcPr>
          <w:p>
            <w:pPr>
              <w:pStyle w:val="0"/>
              <w:jc w:val="center"/>
            </w:pPr>
            <w:r>
              <w:rPr>
                <w:sz w:val="20"/>
              </w:rPr>
              <w:t xml:space="preserve">80,4</w:t>
            </w:r>
          </w:p>
        </w:tc>
        <w:tc>
          <w:tcPr>
            <w:tcW w:w="709" w:type="dxa"/>
          </w:tcPr>
          <w:p>
            <w:pPr>
              <w:pStyle w:val="0"/>
              <w:jc w:val="center"/>
            </w:pPr>
            <w:r>
              <w:rPr>
                <w:sz w:val="20"/>
              </w:rPr>
              <w:t xml:space="preserve">79,6</w:t>
            </w:r>
          </w:p>
        </w:tc>
        <w:tc>
          <w:tcPr>
            <w:tcW w:w="1247" w:type="dxa"/>
          </w:tcPr>
          <w:p>
            <w:pPr>
              <w:pStyle w:val="0"/>
              <w:jc w:val="center"/>
            </w:pPr>
            <w:r>
              <w:rPr>
                <w:sz w:val="20"/>
              </w:rPr>
              <w:t xml:space="preserve">78,5</w:t>
            </w:r>
          </w:p>
        </w:tc>
      </w:tr>
      <w:tr>
        <w:tc>
          <w:tcPr>
            <w:tcW w:w="3360" w:type="dxa"/>
          </w:tcPr>
          <w:p>
            <w:pPr>
              <w:pStyle w:val="0"/>
            </w:pPr>
            <w:r>
              <w:rPr>
                <w:sz w:val="20"/>
              </w:rPr>
              <w:t xml:space="preserve">Щитовидная железа</w:t>
            </w:r>
          </w:p>
        </w:tc>
        <w:tc>
          <w:tcPr>
            <w:tcW w:w="1481" w:type="dxa"/>
          </w:tcPr>
          <w:p>
            <w:pPr>
              <w:pStyle w:val="0"/>
              <w:jc w:val="center"/>
            </w:pPr>
            <w:r>
              <w:rPr>
                <w:sz w:val="20"/>
              </w:rPr>
              <w:t xml:space="preserve">С 73</w:t>
            </w:r>
          </w:p>
        </w:tc>
        <w:tc>
          <w:tcPr>
            <w:tcW w:w="717" w:type="dxa"/>
          </w:tcPr>
          <w:p>
            <w:pPr>
              <w:pStyle w:val="0"/>
              <w:jc w:val="center"/>
            </w:pPr>
            <w:r>
              <w:rPr>
                <w:sz w:val="20"/>
              </w:rPr>
              <w:t xml:space="preserve">73,2</w:t>
            </w:r>
          </w:p>
        </w:tc>
        <w:tc>
          <w:tcPr>
            <w:tcW w:w="850" w:type="dxa"/>
          </w:tcPr>
          <w:p>
            <w:pPr>
              <w:pStyle w:val="0"/>
              <w:jc w:val="center"/>
            </w:pPr>
            <w:r>
              <w:rPr>
                <w:sz w:val="20"/>
              </w:rPr>
              <w:t xml:space="preserve">75,3</w:t>
            </w:r>
          </w:p>
        </w:tc>
        <w:tc>
          <w:tcPr>
            <w:tcW w:w="851" w:type="dxa"/>
          </w:tcPr>
          <w:p>
            <w:pPr>
              <w:pStyle w:val="0"/>
              <w:jc w:val="center"/>
            </w:pPr>
            <w:r>
              <w:rPr>
                <w:sz w:val="20"/>
              </w:rPr>
              <w:t xml:space="preserve">83,5</w:t>
            </w:r>
          </w:p>
        </w:tc>
        <w:tc>
          <w:tcPr>
            <w:tcW w:w="708" w:type="dxa"/>
          </w:tcPr>
          <w:p>
            <w:pPr>
              <w:pStyle w:val="0"/>
              <w:jc w:val="center"/>
            </w:pPr>
            <w:r>
              <w:rPr>
                <w:sz w:val="20"/>
              </w:rPr>
              <w:t xml:space="preserve">72,6</w:t>
            </w:r>
          </w:p>
        </w:tc>
        <w:tc>
          <w:tcPr>
            <w:tcW w:w="709" w:type="dxa"/>
          </w:tcPr>
          <w:p>
            <w:pPr>
              <w:pStyle w:val="0"/>
              <w:jc w:val="center"/>
            </w:pPr>
            <w:r>
              <w:rPr>
                <w:sz w:val="20"/>
              </w:rPr>
              <w:t xml:space="preserve">76,5</w:t>
            </w:r>
          </w:p>
        </w:tc>
        <w:tc>
          <w:tcPr>
            <w:tcW w:w="709" w:type="dxa"/>
          </w:tcPr>
          <w:p>
            <w:pPr>
              <w:pStyle w:val="0"/>
              <w:jc w:val="center"/>
            </w:pPr>
            <w:r>
              <w:rPr>
                <w:sz w:val="20"/>
              </w:rPr>
              <w:t xml:space="preserve">78,2</w:t>
            </w:r>
          </w:p>
        </w:tc>
        <w:tc>
          <w:tcPr>
            <w:tcW w:w="709" w:type="dxa"/>
          </w:tcPr>
          <w:p>
            <w:pPr>
              <w:pStyle w:val="0"/>
              <w:jc w:val="center"/>
            </w:pPr>
            <w:r>
              <w:rPr>
                <w:sz w:val="20"/>
              </w:rPr>
              <w:t xml:space="preserve">90,3</w:t>
            </w:r>
          </w:p>
        </w:tc>
        <w:tc>
          <w:tcPr>
            <w:tcW w:w="708" w:type="dxa"/>
          </w:tcPr>
          <w:p>
            <w:pPr>
              <w:pStyle w:val="0"/>
              <w:jc w:val="center"/>
            </w:pPr>
            <w:r>
              <w:rPr>
                <w:sz w:val="20"/>
              </w:rPr>
              <w:t xml:space="preserve">87</w:t>
            </w:r>
          </w:p>
        </w:tc>
        <w:tc>
          <w:tcPr>
            <w:tcW w:w="709" w:type="dxa"/>
          </w:tcPr>
          <w:p>
            <w:pPr>
              <w:pStyle w:val="0"/>
              <w:jc w:val="center"/>
            </w:pPr>
            <w:r>
              <w:rPr>
                <w:sz w:val="20"/>
              </w:rPr>
              <w:t xml:space="preserve">95,8</w:t>
            </w:r>
          </w:p>
        </w:tc>
        <w:tc>
          <w:tcPr>
            <w:tcW w:w="709" w:type="dxa"/>
          </w:tcPr>
          <w:p>
            <w:pPr>
              <w:pStyle w:val="0"/>
              <w:jc w:val="center"/>
            </w:pPr>
            <w:r>
              <w:rPr>
                <w:sz w:val="20"/>
              </w:rPr>
              <w:t xml:space="preserve">92,9</w:t>
            </w:r>
          </w:p>
        </w:tc>
        <w:tc>
          <w:tcPr>
            <w:tcW w:w="1247" w:type="dxa"/>
          </w:tcPr>
          <w:p>
            <w:pPr>
              <w:pStyle w:val="0"/>
              <w:jc w:val="center"/>
            </w:pPr>
            <w:r>
              <w:rPr>
                <w:sz w:val="20"/>
              </w:rPr>
              <w:t xml:space="preserve">н/д</w:t>
            </w:r>
          </w:p>
        </w:tc>
      </w:tr>
      <w:tr>
        <w:tc>
          <w:tcPr>
            <w:tcW w:w="3360" w:type="dxa"/>
          </w:tcPr>
          <w:p>
            <w:pPr>
              <w:pStyle w:val="0"/>
            </w:pPr>
            <w:r>
              <w:rPr>
                <w:sz w:val="20"/>
              </w:rPr>
              <w:t xml:space="preserve">Злокачественные лимфомы</w:t>
            </w:r>
          </w:p>
        </w:tc>
        <w:tc>
          <w:tcPr>
            <w:tcW w:w="1481" w:type="dxa"/>
          </w:tcPr>
          <w:p>
            <w:pPr>
              <w:pStyle w:val="0"/>
              <w:jc w:val="center"/>
            </w:pPr>
            <w:r>
              <w:rPr>
                <w:sz w:val="20"/>
              </w:rPr>
              <w:t xml:space="preserve">(С 81 - 86, 88, 90, 96)</w:t>
            </w:r>
          </w:p>
        </w:tc>
        <w:tc>
          <w:tcPr>
            <w:tcW w:w="717" w:type="dxa"/>
          </w:tcPr>
          <w:p>
            <w:pPr>
              <w:pStyle w:val="0"/>
              <w:jc w:val="center"/>
            </w:pPr>
            <w:r>
              <w:rPr>
                <w:sz w:val="20"/>
              </w:rPr>
              <w:t xml:space="preserve">32,6</w:t>
            </w:r>
          </w:p>
        </w:tc>
        <w:tc>
          <w:tcPr>
            <w:tcW w:w="850" w:type="dxa"/>
          </w:tcPr>
          <w:p>
            <w:pPr>
              <w:pStyle w:val="0"/>
              <w:jc w:val="center"/>
            </w:pPr>
            <w:r>
              <w:rPr>
                <w:sz w:val="20"/>
              </w:rPr>
              <w:t xml:space="preserve">27,2</w:t>
            </w:r>
          </w:p>
        </w:tc>
        <w:tc>
          <w:tcPr>
            <w:tcW w:w="851" w:type="dxa"/>
          </w:tcPr>
          <w:p>
            <w:pPr>
              <w:pStyle w:val="0"/>
              <w:jc w:val="center"/>
            </w:pPr>
            <w:r>
              <w:rPr>
                <w:sz w:val="20"/>
              </w:rPr>
              <w:t xml:space="preserve">35,4</w:t>
            </w:r>
          </w:p>
        </w:tc>
        <w:tc>
          <w:tcPr>
            <w:tcW w:w="708" w:type="dxa"/>
          </w:tcPr>
          <w:p>
            <w:pPr>
              <w:pStyle w:val="0"/>
              <w:jc w:val="center"/>
            </w:pPr>
            <w:r>
              <w:rPr>
                <w:sz w:val="20"/>
              </w:rPr>
              <w:t xml:space="preserve">42,1</w:t>
            </w:r>
          </w:p>
        </w:tc>
        <w:tc>
          <w:tcPr>
            <w:tcW w:w="709" w:type="dxa"/>
          </w:tcPr>
          <w:p>
            <w:pPr>
              <w:pStyle w:val="0"/>
              <w:jc w:val="center"/>
            </w:pPr>
            <w:r>
              <w:rPr>
                <w:sz w:val="20"/>
              </w:rPr>
              <w:t xml:space="preserve">30,1</w:t>
            </w:r>
          </w:p>
        </w:tc>
        <w:tc>
          <w:tcPr>
            <w:tcW w:w="709" w:type="dxa"/>
          </w:tcPr>
          <w:p>
            <w:pPr>
              <w:pStyle w:val="0"/>
              <w:jc w:val="center"/>
            </w:pPr>
            <w:r>
              <w:rPr>
                <w:sz w:val="20"/>
              </w:rPr>
              <w:t xml:space="preserve">33,9</w:t>
            </w:r>
          </w:p>
        </w:tc>
        <w:tc>
          <w:tcPr>
            <w:tcW w:w="709" w:type="dxa"/>
          </w:tcPr>
          <w:p>
            <w:pPr>
              <w:pStyle w:val="0"/>
              <w:jc w:val="center"/>
            </w:pPr>
            <w:r>
              <w:rPr>
                <w:sz w:val="20"/>
              </w:rPr>
              <w:t xml:space="preserve">38,7</w:t>
            </w:r>
          </w:p>
        </w:tc>
        <w:tc>
          <w:tcPr>
            <w:tcW w:w="708" w:type="dxa"/>
          </w:tcPr>
          <w:p>
            <w:pPr>
              <w:pStyle w:val="0"/>
              <w:jc w:val="center"/>
            </w:pPr>
            <w:r>
              <w:rPr>
                <w:sz w:val="20"/>
              </w:rPr>
              <w:t xml:space="preserve">36,1</w:t>
            </w:r>
          </w:p>
        </w:tc>
        <w:tc>
          <w:tcPr>
            <w:tcW w:w="709" w:type="dxa"/>
          </w:tcPr>
          <w:p>
            <w:pPr>
              <w:pStyle w:val="0"/>
              <w:jc w:val="center"/>
            </w:pPr>
            <w:r>
              <w:rPr>
                <w:sz w:val="20"/>
              </w:rPr>
              <w:t xml:space="preserve">22,7</w:t>
            </w:r>
          </w:p>
        </w:tc>
        <w:tc>
          <w:tcPr>
            <w:tcW w:w="709" w:type="dxa"/>
          </w:tcPr>
          <w:p>
            <w:pPr>
              <w:pStyle w:val="0"/>
              <w:jc w:val="center"/>
            </w:pPr>
            <w:r>
              <w:rPr>
                <w:sz w:val="20"/>
              </w:rPr>
              <w:t xml:space="preserve">39,9</w:t>
            </w:r>
          </w:p>
        </w:tc>
        <w:tc>
          <w:tcPr>
            <w:tcW w:w="1247" w:type="dxa"/>
          </w:tcPr>
          <w:p>
            <w:pPr>
              <w:pStyle w:val="0"/>
              <w:jc w:val="center"/>
            </w:pPr>
            <w:r>
              <w:rPr>
                <w:sz w:val="20"/>
              </w:rPr>
              <w:t xml:space="preserve">н/д</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jc w:val="right"/>
      </w:pPr>
      <w:r>
        <w:rPr>
          <w:sz w:val="20"/>
        </w:rPr>
        <w:t xml:space="preserve">Таблица 13</w:t>
      </w:r>
    </w:p>
    <w:p>
      <w:pPr>
        <w:pStyle w:val="0"/>
        <w:jc w:val="right"/>
      </w:pPr>
      <w:r>
        <w:rPr>
          <w:sz w:val="20"/>
        </w:rPr>
      </w:r>
    </w:p>
    <w:p>
      <w:pPr>
        <w:pStyle w:val="0"/>
        <w:jc w:val="center"/>
      </w:pPr>
      <w:r>
        <w:rPr>
          <w:sz w:val="20"/>
        </w:rPr>
        <w:t xml:space="preserve">Доля злокачественных новообразований, выявленных на I и II</w:t>
      </w:r>
    </w:p>
    <w:p>
      <w:pPr>
        <w:pStyle w:val="0"/>
        <w:jc w:val="center"/>
      </w:pPr>
      <w:r>
        <w:rPr>
          <w:sz w:val="20"/>
        </w:rPr>
        <w:t xml:space="preserve">стадии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51"/>
        <w:gridCol w:w="821"/>
        <w:gridCol w:w="712"/>
        <w:gridCol w:w="704"/>
        <w:gridCol w:w="703"/>
        <w:gridCol w:w="839"/>
        <w:gridCol w:w="704"/>
        <w:gridCol w:w="838"/>
        <w:gridCol w:w="737"/>
        <w:gridCol w:w="680"/>
        <w:gridCol w:w="694"/>
      </w:tblGrid>
      <w:tr>
        <w:tc>
          <w:tcPr>
            <w:tcW w:w="1551" w:type="dxa"/>
          </w:tcPr>
          <w:p>
            <w:pPr>
              <w:pStyle w:val="0"/>
              <w:jc w:val="center"/>
            </w:pPr>
            <w:r>
              <w:rPr>
                <w:sz w:val="20"/>
              </w:rPr>
            </w:r>
          </w:p>
        </w:tc>
        <w:tc>
          <w:tcPr>
            <w:tcW w:w="821" w:type="dxa"/>
          </w:tcPr>
          <w:p>
            <w:pPr>
              <w:pStyle w:val="0"/>
              <w:jc w:val="center"/>
            </w:pPr>
            <w:r>
              <w:rPr>
                <w:sz w:val="20"/>
              </w:rPr>
              <w:t xml:space="preserve">2013</w:t>
            </w:r>
          </w:p>
        </w:tc>
        <w:tc>
          <w:tcPr>
            <w:tcW w:w="712" w:type="dxa"/>
          </w:tcPr>
          <w:p>
            <w:pPr>
              <w:pStyle w:val="0"/>
              <w:jc w:val="center"/>
            </w:pPr>
            <w:r>
              <w:rPr>
                <w:sz w:val="20"/>
              </w:rPr>
              <w:t xml:space="preserve">2014</w:t>
            </w:r>
          </w:p>
        </w:tc>
        <w:tc>
          <w:tcPr>
            <w:tcW w:w="704" w:type="dxa"/>
          </w:tcPr>
          <w:p>
            <w:pPr>
              <w:pStyle w:val="0"/>
              <w:jc w:val="center"/>
            </w:pPr>
            <w:r>
              <w:rPr>
                <w:sz w:val="20"/>
              </w:rPr>
              <w:t xml:space="preserve">2015</w:t>
            </w:r>
          </w:p>
        </w:tc>
        <w:tc>
          <w:tcPr>
            <w:tcW w:w="703" w:type="dxa"/>
          </w:tcPr>
          <w:p>
            <w:pPr>
              <w:pStyle w:val="0"/>
              <w:jc w:val="center"/>
            </w:pPr>
            <w:r>
              <w:rPr>
                <w:sz w:val="20"/>
              </w:rPr>
              <w:t xml:space="preserve">2016</w:t>
            </w:r>
          </w:p>
        </w:tc>
        <w:tc>
          <w:tcPr>
            <w:tcW w:w="839" w:type="dxa"/>
          </w:tcPr>
          <w:p>
            <w:pPr>
              <w:pStyle w:val="0"/>
              <w:jc w:val="center"/>
            </w:pPr>
            <w:r>
              <w:rPr>
                <w:sz w:val="20"/>
              </w:rPr>
              <w:t xml:space="preserve">2017</w:t>
            </w:r>
          </w:p>
        </w:tc>
        <w:tc>
          <w:tcPr>
            <w:tcW w:w="704" w:type="dxa"/>
          </w:tcPr>
          <w:p>
            <w:pPr>
              <w:pStyle w:val="0"/>
              <w:jc w:val="center"/>
            </w:pPr>
            <w:r>
              <w:rPr>
                <w:sz w:val="20"/>
              </w:rPr>
              <w:t xml:space="preserve">2018</w:t>
            </w:r>
          </w:p>
        </w:tc>
        <w:tc>
          <w:tcPr>
            <w:tcW w:w="838" w:type="dxa"/>
          </w:tcPr>
          <w:p>
            <w:pPr>
              <w:pStyle w:val="0"/>
              <w:jc w:val="center"/>
            </w:pPr>
            <w:r>
              <w:rPr>
                <w:sz w:val="20"/>
              </w:rPr>
              <w:t xml:space="preserve">2019</w:t>
            </w:r>
          </w:p>
        </w:tc>
        <w:tc>
          <w:tcPr>
            <w:tcW w:w="737" w:type="dxa"/>
          </w:tcPr>
          <w:p>
            <w:pPr>
              <w:pStyle w:val="0"/>
              <w:jc w:val="center"/>
            </w:pPr>
            <w:r>
              <w:rPr>
                <w:sz w:val="20"/>
              </w:rPr>
              <w:t xml:space="preserve">2020</w:t>
            </w:r>
          </w:p>
        </w:tc>
        <w:tc>
          <w:tcPr>
            <w:tcW w:w="680" w:type="dxa"/>
            <w:vAlign w:val="center"/>
          </w:tcPr>
          <w:p>
            <w:pPr>
              <w:pStyle w:val="0"/>
              <w:jc w:val="center"/>
            </w:pPr>
            <w:r>
              <w:rPr>
                <w:sz w:val="20"/>
              </w:rPr>
              <w:t xml:space="preserve">2021</w:t>
            </w:r>
          </w:p>
        </w:tc>
        <w:tc>
          <w:tcPr>
            <w:tcW w:w="694" w:type="dxa"/>
            <w:vAlign w:val="center"/>
          </w:tcPr>
          <w:p>
            <w:pPr>
              <w:pStyle w:val="0"/>
              <w:jc w:val="center"/>
            </w:pPr>
            <w:r>
              <w:rPr>
                <w:sz w:val="20"/>
              </w:rPr>
              <w:t xml:space="preserve">2022</w:t>
            </w:r>
          </w:p>
        </w:tc>
      </w:tr>
      <w:tr>
        <w:tc>
          <w:tcPr>
            <w:tcW w:w="1551" w:type="dxa"/>
          </w:tcPr>
          <w:p>
            <w:pPr>
              <w:pStyle w:val="0"/>
              <w:jc w:val="center"/>
            </w:pPr>
            <w:r>
              <w:rPr>
                <w:sz w:val="20"/>
              </w:rPr>
              <w:t xml:space="preserve">Доля ЗНО, выявленных на I - II стадии</w:t>
            </w:r>
          </w:p>
        </w:tc>
        <w:tc>
          <w:tcPr>
            <w:tcW w:w="821" w:type="dxa"/>
          </w:tcPr>
          <w:p>
            <w:pPr>
              <w:pStyle w:val="0"/>
              <w:jc w:val="center"/>
            </w:pPr>
            <w:r>
              <w:rPr>
                <w:sz w:val="20"/>
              </w:rPr>
              <w:t xml:space="preserve">52,2</w:t>
            </w:r>
          </w:p>
        </w:tc>
        <w:tc>
          <w:tcPr>
            <w:tcW w:w="712" w:type="dxa"/>
          </w:tcPr>
          <w:p>
            <w:pPr>
              <w:pStyle w:val="0"/>
              <w:jc w:val="center"/>
            </w:pPr>
            <w:r>
              <w:rPr>
                <w:sz w:val="20"/>
              </w:rPr>
              <w:t xml:space="preserve">51,4</w:t>
            </w:r>
          </w:p>
        </w:tc>
        <w:tc>
          <w:tcPr>
            <w:tcW w:w="704" w:type="dxa"/>
          </w:tcPr>
          <w:p>
            <w:pPr>
              <w:pStyle w:val="0"/>
              <w:jc w:val="center"/>
            </w:pPr>
            <w:r>
              <w:rPr>
                <w:sz w:val="20"/>
              </w:rPr>
              <w:t xml:space="preserve">53,4</w:t>
            </w:r>
          </w:p>
        </w:tc>
        <w:tc>
          <w:tcPr>
            <w:tcW w:w="703" w:type="dxa"/>
          </w:tcPr>
          <w:p>
            <w:pPr>
              <w:pStyle w:val="0"/>
              <w:jc w:val="center"/>
            </w:pPr>
            <w:r>
              <w:rPr>
                <w:sz w:val="20"/>
              </w:rPr>
              <w:t xml:space="preserve">54,2</w:t>
            </w:r>
          </w:p>
        </w:tc>
        <w:tc>
          <w:tcPr>
            <w:tcW w:w="839" w:type="dxa"/>
          </w:tcPr>
          <w:p>
            <w:pPr>
              <w:pStyle w:val="0"/>
              <w:jc w:val="center"/>
            </w:pPr>
            <w:r>
              <w:rPr>
                <w:sz w:val="20"/>
              </w:rPr>
              <w:t xml:space="preserve">55,6</w:t>
            </w:r>
          </w:p>
        </w:tc>
        <w:tc>
          <w:tcPr>
            <w:tcW w:w="704" w:type="dxa"/>
          </w:tcPr>
          <w:p>
            <w:pPr>
              <w:pStyle w:val="0"/>
              <w:jc w:val="center"/>
            </w:pPr>
            <w:r>
              <w:rPr>
                <w:sz w:val="20"/>
              </w:rPr>
              <w:t xml:space="preserve">56,1</w:t>
            </w:r>
          </w:p>
        </w:tc>
        <w:tc>
          <w:tcPr>
            <w:tcW w:w="838" w:type="dxa"/>
          </w:tcPr>
          <w:p>
            <w:pPr>
              <w:pStyle w:val="0"/>
              <w:jc w:val="center"/>
            </w:pPr>
            <w:r>
              <w:rPr>
                <w:sz w:val="20"/>
              </w:rPr>
              <w:t xml:space="preserve">56,6</w:t>
            </w:r>
          </w:p>
        </w:tc>
        <w:tc>
          <w:tcPr>
            <w:tcW w:w="737" w:type="dxa"/>
          </w:tcPr>
          <w:p>
            <w:pPr>
              <w:pStyle w:val="0"/>
              <w:jc w:val="center"/>
            </w:pPr>
            <w:r>
              <w:rPr>
                <w:sz w:val="20"/>
              </w:rPr>
              <w:t xml:space="preserve">59,6</w:t>
            </w:r>
          </w:p>
        </w:tc>
        <w:tc>
          <w:tcPr>
            <w:tcW w:w="680" w:type="dxa"/>
          </w:tcPr>
          <w:p>
            <w:pPr>
              <w:pStyle w:val="0"/>
              <w:jc w:val="center"/>
            </w:pPr>
            <w:r>
              <w:rPr>
                <w:sz w:val="20"/>
              </w:rPr>
              <w:t xml:space="preserve">59,6</w:t>
            </w:r>
          </w:p>
        </w:tc>
        <w:tc>
          <w:tcPr>
            <w:tcW w:w="694" w:type="dxa"/>
          </w:tcPr>
          <w:p>
            <w:pPr>
              <w:pStyle w:val="0"/>
              <w:jc w:val="center"/>
            </w:pPr>
            <w:r>
              <w:rPr>
                <w:sz w:val="20"/>
              </w:rPr>
              <w:t xml:space="preserve">60,9</w:t>
            </w:r>
          </w:p>
        </w:tc>
      </w:tr>
      <w:tr>
        <w:tc>
          <w:tcPr>
            <w:tcW w:w="1551" w:type="dxa"/>
          </w:tcPr>
          <w:p>
            <w:pPr>
              <w:pStyle w:val="0"/>
              <w:jc w:val="center"/>
            </w:pPr>
            <w:r>
              <w:rPr>
                <w:sz w:val="20"/>
              </w:rPr>
              <w:t xml:space="preserve">Доля ЗНО, кроме рака кожи (С44), выявленных на I - II стадии</w:t>
            </w:r>
          </w:p>
        </w:tc>
        <w:tc>
          <w:tcPr>
            <w:tcW w:w="821" w:type="dxa"/>
          </w:tcPr>
          <w:p>
            <w:pPr>
              <w:pStyle w:val="0"/>
              <w:jc w:val="center"/>
            </w:pPr>
            <w:r>
              <w:rPr>
                <w:sz w:val="20"/>
              </w:rPr>
              <w:t xml:space="preserve">48,9</w:t>
            </w:r>
          </w:p>
        </w:tc>
        <w:tc>
          <w:tcPr>
            <w:tcW w:w="712" w:type="dxa"/>
          </w:tcPr>
          <w:p>
            <w:pPr>
              <w:pStyle w:val="0"/>
              <w:jc w:val="center"/>
            </w:pPr>
            <w:r>
              <w:rPr>
                <w:sz w:val="20"/>
              </w:rPr>
              <w:t xml:space="preserve">47,7</w:t>
            </w:r>
          </w:p>
        </w:tc>
        <w:tc>
          <w:tcPr>
            <w:tcW w:w="704" w:type="dxa"/>
          </w:tcPr>
          <w:p>
            <w:pPr>
              <w:pStyle w:val="0"/>
              <w:jc w:val="center"/>
            </w:pPr>
            <w:r>
              <w:rPr>
                <w:sz w:val="20"/>
              </w:rPr>
              <w:t xml:space="preserve">49,6</w:t>
            </w:r>
          </w:p>
        </w:tc>
        <w:tc>
          <w:tcPr>
            <w:tcW w:w="703" w:type="dxa"/>
          </w:tcPr>
          <w:p>
            <w:pPr>
              <w:pStyle w:val="0"/>
              <w:jc w:val="center"/>
            </w:pPr>
            <w:r>
              <w:rPr>
                <w:sz w:val="20"/>
              </w:rPr>
              <w:t xml:space="preserve">43,2</w:t>
            </w:r>
          </w:p>
        </w:tc>
        <w:tc>
          <w:tcPr>
            <w:tcW w:w="839" w:type="dxa"/>
          </w:tcPr>
          <w:p>
            <w:pPr>
              <w:pStyle w:val="0"/>
              <w:jc w:val="center"/>
            </w:pPr>
            <w:r>
              <w:rPr>
                <w:sz w:val="20"/>
              </w:rPr>
              <w:t xml:space="preserve">51,8</w:t>
            </w:r>
          </w:p>
        </w:tc>
        <w:tc>
          <w:tcPr>
            <w:tcW w:w="704" w:type="dxa"/>
          </w:tcPr>
          <w:p>
            <w:pPr>
              <w:pStyle w:val="0"/>
              <w:jc w:val="center"/>
            </w:pPr>
            <w:r>
              <w:rPr>
                <w:sz w:val="20"/>
              </w:rPr>
              <w:t xml:space="preserve">52,2</w:t>
            </w:r>
          </w:p>
        </w:tc>
        <w:tc>
          <w:tcPr>
            <w:tcW w:w="838" w:type="dxa"/>
          </w:tcPr>
          <w:p>
            <w:pPr>
              <w:pStyle w:val="0"/>
              <w:jc w:val="center"/>
            </w:pPr>
            <w:r>
              <w:rPr>
                <w:sz w:val="20"/>
              </w:rPr>
              <w:t xml:space="preserve">52,5</w:t>
            </w:r>
          </w:p>
        </w:tc>
        <w:tc>
          <w:tcPr>
            <w:tcW w:w="737" w:type="dxa"/>
          </w:tcPr>
          <w:p>
            <w:pPr>
              <w:pStyle w:val="0"/>
              <w:jc w:val="center"/>
            </w:pPr>
            <w:r>
              <w:rPr>
                <w:sz w:val="20"/>
              </w:rPr>
              <w:t xml:space="preserve">56,6</w:t>
            </w:r>
          </w:p>
        </w:tc>
        <w:tc>
          <w:tcPr>
            <w:tcW w:w="680" w:type="dxa"/>
          </w:tcPr>
          <w:p>
            <w:pPr>
              <w:pStyle w:val="0"/>
              <w:jc w:val="center"/>
            </w:pPr>
            <w:r>
              <w:rPr>
                <w:sz w:val="20"/>
              </w:rPr>
              <w:t xml:space="preserve">55,3</w:t>
            </w:r>
          </w:p>
        </w:tc>
        <w:tc>
          <w:tcPr>
            <w:tcW w:w="694" w:type="dxa"/>
          </w:tcPr>
          <w:p>
            <w:pPr>
              <w:pStyle w:val="0"/>
              <w:jc w:val="center"/>
            </w:pPr>
            <w:r>
              <w:rPr>
                <w:sz w:val="20"/>
              </w:rPr>
              <w:t xml:space="preserve">56,4</w:t>
            </w:r>
          </w:p>
        </w:tc>
      </w:tr>
    </w:tbl>
    <w:p>
      <w:pPr>
        <w:pStyle w:val="0"/>
        <w:ind w:firstLine="540"/>
        <w:jc w:val="both"/>
      </w:pPr>
      <w:r>
        <w:rPr>
          <w:sz w:val="20"/>
        </w:rPr>
      </w:r>
    </w:p>
    <w:p>
      <w:pPr>
        <w:pStyle w:val="0"/>
        <w:ind w:firstLine="540"/>
        <w:jc w:val="both"/>
      </w:pPr>
      <w:r>
        <w:rPr>
          <w:sz w:val="20"/>
        </w:rPr>
        <w:t xml:space="preserve">За период с 2013 по 2022 год </w:t>
      </w:r>
      <w:hyperlink w:history="0" w:anchor="P6213" w:tooltip="Удельный вес больных, состоящих на учете 5 лет и более,">
        <w:r>
          <w:rPr>
            <w:sz w:val="20"/>
            <w:color w:val="0000ff"/>
          </w:rPr>
          <w:t xml:space="preserve">(таблица 14)</w:t>
        </w:r>
      </w:hyperlink>
      <w:r>
        <w:rPr>
          <w:sz w:val="20"/>
        </w:rPr>
        <w:t xml:space="preserve"> отмечается тенденция к росту показателя доли выявленных ЗНО всех локализаций на I и II стадии: в 2022 году составил 60,9%, что на 16,6% больше в сравнении с 2013 годом (52,2%).</w:t>
      </w:r>
    </w:p>
    <w:p>
      <w:pPr>
        <w:pStyle w:val="0"/>
        <w:jc w:val="right"/>
      </w:pPr>
      <w:r>
        <w:rPr>
          <w:sz w:val="20"/>
        </w:rPr>
      </w:r>
    </w:p>
    <w:p>
      <w:pPr>
        <w:pStyle w:val="0"/>
        <w:jc w:val="right"/>
      </w:pPr>
      <w:r>
        <w:rPr>
          <w:sz w:val="20"/>
        </w:rPr>
        <w:t xml:space="preserve">Таблица 14</w:t>
      </w:r>
    </w:p>
    <w:p>
      <w:pPr>
        <w:pStyle w:val="0"/>
        <w:jc w:val="right"/>
      </w:pPr>
      <w:r>
        <w:rPr>
          <w:sz w:val="20"/>
        </w:rPr>
      </w:r>
    </w:p>
    <w:bookmarkStart w:id="6213" w:name="P6213"/>
    <w:bookmarkEnd w:id="6213"/>
    <w:p>
      <w:pPr>
        <w:pStyle w:val="0"/>
        <w:jc w:val="center"/>
      </w:pPr>
      <w:r>
        <w:rPr>
          <w:sz w:val="20"/>
        </w:rPr>
        <w:t xml:space="preserve">Удельный вес больных, состоящих на учете 5 лет и более,</w:t>
      </w:r>
    </w:p>
    <w:p>
      <w:pPr>
        <w:pStyle w:val="0"/>
        <w:jc w:val="center"/>
      </w:pPr>
      <w:r>
        <w:rPr>
          <w:sz w:val="20"/>
        </w:rPr>
        <w:t xml:space="preserve">от всех состоящих на конец года по данной локализации</w:t>
      </w:r>
    </w:p>
    <w:p>
      <w:pPr>
        <w:pStyle w:val="0"/>
        <w:jc w:val="center"/>
      </w:pPr>
      <w:r>
        <w:rPr>
          <w:sz w:val="20"/>
        </w:rPr>
        <w:t xml:space="preserve">в 2013 - 2022 годах в целом по автономному округу</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89"/>
        <w:gridCol w:w="1669"/>
        <w:gridCol w:w="604"/>
        <w:gridCol w:w="604"/>
        <w:gridCol w:w="604"/>
        <w:gridCol w:w="604"/>
        <w:gridCol w:w="604"/>
        <w:gridCol w:w="604"/>
        <w:gridCol w:w="604"/>
        <w:gridCol w:w="604"/>
        <w:gridCol w:w="604"/>
        <w:gridCol w:w="604"/>
        <w:gridCol w:w="604"/>
      </w:tblGrid>
      <w:tr>
        <w:tc>
          <w:tcPr>
            <w:tcW w:w="2089" w:type="dxa"/>
            <w:vMerge w:val="restart"/>
          </w:tcPr>
          <w:p>
            <w:pPr>
              <w:pStyle w:val="0"/>
              <w:jc w:val="center"/>
            </w:pPr>
            <w:r>
              <w:rPr>
                <w:sz w:val="20"/>
              </w:rPr>
              <w:t xml:space="preserve">Локализация</w:t>
            </w:r>
          </w:p>
        </w:tc>
        <w:tc>
          <w:tcPr>
            <w:tcW w:w="1669" w:type="dxa"/>
            <w:vMerge w:val="restart"/>
          </w:tcPr>
          <w:p>
            <w:pPr>
              <w:pStyle w:val="0"/>
              <w:jc w:val="center"/>
            </w:pPr>
            <w:r>
              <w:rPr>
                <w:sz w:val="20"/>
              </w:rPr>
              <w:t xml:space="preserve">Код МКБ 10</w:t>
            </w:r>
          </w:p>
        </w:tc>
        <w:tc>
          <w:tcPr>
            <w:gridSpan w:val="10"/>
            <w:tcW w:w="6040" w:type="dxa"/>
          </w:tcPr>
          <w:p>
            <w:pPr>
              <w:pStyle w:val="0"/>
              <w:jc w:val="center"/>
            </w:pPr>
            <w:r>
              <w:rPr>
                <w:sz w:val="20"/>
              </w:rPr>
              <w:t xml:space="preserve">Годы</w:t>
            </w:r>
          </w:p>
        </w:tc>
        <w:tc>
          <w:tcPr>
            <w:tcW w:w="604" w:type="dxa"/>
          </w:tcPr>
          <w:p>
            <w:pPr>
              <w:pStyle w:val="0"/>
              <w:jc w:val="center"/>
            </w:pPr>
            <w:r>
              <w:rPr>
                <w:sz w:val="20"/>
              </w:rPr>
              <w:t xml:space="preserve">РФ</w:t>
            </w:r>
          </w:p>
        </w:tc>
      </w:tr>
      <w:tr>
        <w:tc>
          <w:tcPr>
            <w:vMerge w:val="continue"/>
          </w:tcPr>
          <w:p/>
        </w:tc>
        <w:tc>
          <w:tcPr>
            <w:vMerge w:val="continue"/>
          </w:tcPr>
          <w:p/>
        </w:tc>
        <w:tc>
          <w:tcPr>
            <w:tcW w:w="604" w:type="dxa"/>
          </w:tcPr>
          <w:p>
            <w:pPr>
              <w:pStyle w:val="0"/>
              <w:jc w:val="center"/>
            </w:pPr>
            <w:r>
              <w:rPr>
                <w:sz w:val="20"/>
              </w:rPr>
              <w:t xml:space="preserve">2013</w:t>
            </w:r>
          </w:p>
        </w:tc>
        <w:tc>
          <w:tcPr>
            <w:tcW w:w="604" w:type="dxa"/>
          </w:tcPr>
          <w:p>
            <w:pPr>
              <w:pStyle w:val="0"/>
              <w:jc w:val="center"/>
            </w:pPr>
            <w:r>
              <w:rPr>
                <w:sz w:val="20"/>
              </w:rPr>
              <w:t xml:space="preserve">2014</w:t>
            </w:r>
          </w:p>
        </w:tc>
        <w:tc>
          <w:tcPr>
            <w:tcW w:w="604" w:type="dxa"/>
          </w:tcPr>
          <w:p>
            <w:pPr>
              <w:pStyle w:val="0"/>
              <w:jc w:val="center"/>
            </w:pPr>
            <w:r>
              <w:rPr>
                <w:sz w:val="20"/>
              </w:rPr>
              <w:t xml:space="preserve">2015</w:t>
            </w:r>
          </w:p>
        </w:tc>
        <w:tc>
          <w:tcPr>
            <w:tcW w:w="604" w:type="dxa"/>
          </w:tcPr>
          <w:p>
            <w:pPr>
              <w:pStyle w:val="0"/>
              <w:jc w:val="center"/>
            </w:pPr>
            <w:r>
              <w:rPr>
                <w:sz w:val="20"/>
              </w:rPr>
              <w:t xml:space="preserve">2016</w:t>
            </w:r>
          </w:p>
        </w:tc>
        <w:tc>
          <w:tcPr>
            <w:tcW w:w="604" w:type="dxa"/>
          </w:tcPr>
          <w:p>
            <w:pPr>
              <w:pStyle w:val="0"/>
              <w:jc w:val="center"/>
            </w:pPr>
            <w:r>
              <w:rPr>
                <w:sz w:val="20"/>
              </w:rPr>
              <w:t xml:space="preserve">2017</w:t>
            </w:r>
          </w:p>
        </w:tc>
        <w:tc>
          <w:tcPr>
            <w:tcW w:w="604" w:type="dxa"/>
          </w:tcPr>
          <w:p>
            <w:pPr>
              <w:pStyle w:val="0"/>
              <w:jc w:val="center"/>
            </w:pPr>
            <w:r>
              <w:rPr>
                <w:sz w:val="20"/>
              </w:rPr>
              <w:t xml:space="preserve">2018</w:t>
            </w:r>
          </w:p>
        </w:tc>
        <w:tc>
          <w:tcPr>
            <w:tcW w:w="604" w:type="dxa"/>
          </w:tcPr>
          <w:p>
            <w:pPr>
              <w:pStyle w:val="0"/>
              <w:jc w:val="center"/>
            </w:pPr>
            <w:r>
              <w:rPr>
                <w:sz w:val="20"/>
              </w:rPr>
              <w:t xml:space="preserve">2019</w:t>
            </w:r>
          </w:p>
        </w:tc>
        <w:tc>
          <w:tcPr>
            <w:tcW w:w="604" w:type="dxa"/>
          </w:tcPr>
          <w:p>
            <w:pPr>
              <w:pStyle w:val="0"/>
              <w:jc w:val="center"/>
            </w:pPr>
            <w:r>
              <w:rPr>
                <w:sz w:val="20"/>
              </w:rPr>
              <w:t xml:space="preserve">2020</w:t>
            </w:r>
          </w:p>
        </w:tc>
        <w:tc>
          <w:tcPr>
            <w:tcW w:w="604" w:type="dxa"/>
          </w:tcPr>
          <w:p>
            <w:pPr>
              <w:pStyle w:val="0"/>
              <w:jc w:val="center"/>
            </w:pPr>
            <w:r>
              <w:rPr>
                <w:sz w:val="20"/>
              </w:rPr>
              <w:t xml:space="preserve">2021</w:t>
            </w:r>
          </w:p>
        </w:tc>
        <w:tc>
          <w:tcPr>
            <w:tcW w:w="604" w:type="dxa"/>
          </w:tcPr>
          <w:p>
            <w:pPr>
              <w:pStyle w:val="0"/>
              <w:jc w:val="center"/>
            </w:pPr>
            <w:r>
              <w:rPr>
                <w:sz w:val="20"/>
              </w:rPr>
              <w:t xml:space="preserve">2022</w:t>
            </w:r>
          </w:p>
        </w:tc>
        <w:tc>
          <w:tcPr>
            <w:tcW w:w="604" w:type="dxa"/>
          </w:tcPr>
          <w:p>
            <w:pPr>
              <w:pStyle w:val="0"/>
              <w:jc w:val="center"/>
            </w:pPr>
            <w:r>
              <w:rPr>
                <w:sz w:val="20"/>
              </w:rPr>
              <w:t xml:space="preserve">2021</w:t>
            </w:r>
          </w:p>
        </w:tc>
      </w:tr>
      <w:tr>
        <w:tc>
          <w:tcPr>
            <w:tcW w:w="2089" w:type="dxa"/>
          </w:tcPr>
          <w:p>
            <w:pPr>
              <w:pStyle w:val="0"/>
            </w:pPr>
            <w:r>
              <w:rPr>
                <w:sz w:val="20"/>
              </w:rPr>
              <w:t xml:space="preserve">Все злокачественные ново образования</w:t>
            </w:r>
          </w:p>
        </w:tc>
        <w:tc>
          <w:tcPr>
            <w:tcW w:w="1669" w:type="dxa"/>
          </w:tcPr>
          <w:p>
            <w:pPr>
              <w:pStyle w:val="0"/>
            </w:pPr>
            <w:r>
              <w:rPr>
                <w:sz w:val="20"/>
              </w:rPr>
              <w:t xml:space="preserve">С 00 - 96</w:t>
            </w:r>
          </w:p>
        </w:tc>
        <w:tc>
          <w:tcPr>
            <w:tcW w:w="604" w:type="dxa"/>
          </w:tcPr>
          <w:p>
            <w:pPr>
              <w:pStyle w:val="0"/>
            </w:pPr>
            <w:r>
              <w:rPr>
                <w:sz w:val="20"/>
              </w:rPr>
              <w:t xml:space="preserve">47,3</w:t>
            </w:r>
          </w:p>
        </w:tc>
        <w:tc>
          <w:tcPr>
            <w:tcW w:w="604" w:type="dxa"/>
          </w:tcPr>
          <w:p>
            <w:pPr>
              <w:pStyle w:val="0"/>
            </w:pPr>
            <w:r>
              <w:rPr>
                <w:sz w:val="20"/>
              </w:rPr>
              <w:t xml:space="preserve">49,1</w:t>
            </w:r>
          </w:p>
        </w:tc>
        <w:tc>
          <w:tcPr>
            <w:tcW w:w="604" w:type="dxa"/>
          </w:tcPr>
          <w:p>
            <w:pPr>
              <w:pStyle w:val="0"/>
            </w:pPr>
            <w:r>
              <w:rPr>
                <w:sz w:val="20"/>
              </w:rPr>
              <w:t xml:space="preserve">50,7</w:t>
            </w:r>
          </w:p>
        </w:tc>
        <w:tc>
          <w:tcPr>
            <w:tcW w:w="604" w:type="dxa"/>
          </w:tcPr>
          <w:p>
            <w:pPr>
              <w:pStyle w:val="0"/>
            </w:pPr>
            <w:r>
              <w:rPr>
                <w:sz w:val="20"/>
              </w:rPr>
              <w:t xml:space="preserve">51,5</w:t>
            </w:r>
          </w:p>
        </w:tc>
        <w:tc>
          <w:tcPr>
            <w:tcW w:w="604" w:type="dxa"/>
          </w:tcPr>
          <w:p>
            <w:pPr>
              <w:pStyle w:val="0"/>
            </w:pPr>
            <w:r>
              <w:rPr>
                <w:sz w:val="20"/>
              </w:rPr>
              <w:t xml:space="preserve">52</w:t>
            </w:r>
          </w:p>
        </w:tc>
        <w:tc>
          <w:tcPr>
            <w:tcW w:w="604" w:type="dxa"/>
          </w:tcPr>
          <w:p>
            <w:pPr>
              <w:pStyle w:val="0"/>
            </w:pPr>
            <w:r>
              <w:rPr>
                <w:sz w:val="20"/>
              </w:rPr>
              <w:t xml:space="preserve">53,1</w:t>
            </w:r>
          </w:p>
        </w:tc>
        <w:tc>
          <w:tcPr>
            <w:tcW w:w="604" w:type="dxa"/>
          </w:tcPr>
          <w:p>
            <w:pPr>
              <w:pStyle w:val="0"/>
            </w:pPr>
            <w:r>
              <w:rPr>
                <w:sz w:val="20"/>
              </w:rPr>
              <w:t xml:space="preserve">52,8</w:t>
            </w:r>
          </w:p>
        </w:tc>
        <w:tc>
          <w:tcPr>
            <w:tcW w:w="604" w:type="dxa"/>
          </w:tcPr>
          <w:p>
            <w:pPr>
              <w:pStyle w:val="0"/>
            </w:pPr>
            <w:r>
              <w:rPr>
                <w:sz w:val="20"/>
              </w:rPr>
              <w:t xml:space="preserve">55,7</w:t>
            </w:r>
          </w:p>
        </w:tc>
        <w:tc>
          <w:tcPr>
            <w:tcW w:w="604" w:type="dxa"/>
          </w:tcPr>
          <w:p>
            <w:pPr>
              <w:pStyle w:val="0"/>
            </w:pPr>
            <w:r>
              <w:rPr>
                <w:sz w:val="20"/>
              </w:rPr>
              <w:t xml:space="preserve">54,6</w:t>
            </w:r>
          </w:p>
        </w:tc>
        <w:tc>
          <w:tcPr>
            <w:tcW w:w="604" w:type="dxa"/>
          </w:tcPr>
          <w:p>
            <w:pPr>
              <w:pStyle w:val="0"/>
            </w:pPr>
            <w:r>
              <w:rPr>
                <w:sz w:val="20"/>
              </w:rPr>
              <w:t xml:space="preserve">55,7</w:t>
            </w:r>
          </w:p>
        </w:tc>
        <w:tc>
          <w:tcPr>
            <w:tcW w:w="604" w:type="dxa"/>
          </w:tcPr>
          <w:p>
            <w:pPr>
              <w:pStyle w:val="0"/>
            </w:pPr>
            <w:r>
              <w:rPr>
                <w:sz w:val="20"/>
              </w:rPr>
              <w:t xml:space="preserve">67,5</w:t>
            </w:r>
          </w:p>
        </w:tc>
      </w:tr>
      <w:tr>
        <w:tc>
          <w:tcPr>
            <w:tcW w:w="2089" w:type="dxa"/>
          </w:tcPr>
          <w:p>
            <w:pPr>
              <w:pStyle w:val="0"/>
            </w:pPr>
            <w:r>
              <w:rPr>
                <w:sz w:val="20"/>
              </w:rPr>
              <w:t xml:space="preserve">Губа</w:t>
            </w:r>
          </w:p>
        </w:tc>
        <w:tc>
          <w:tcPr>
            <w:tcW w:w="1669" w:type="dxa"/>
          </w:tcPr>
          <w:p>
            <w:pPr>
              <w:pStyle w:val="0"/>
            </w:pPr>
            <w:r>
              <w:rPr>
                <w:sz w:val="20"/>
              </w:rPr>
              <w:t xml:space="preserve">С 00</w:t>
            </w:r>
          </w:p>
        </w:tc>
        <w:tc>
          <w:tcPr>
            <w:tcW w:w="604" w:type="dxa"/>
          </w:tcPr>
          <w:p>
            <w:pPr>
              <w:pStyle w:val="0"/>
            </w:pPr>
            <w:r>
              <w:rPr>
                <w:sz w:val="20"/>
              </w:rPr>
              <w:t xml:space="preserve">70,2</w:t>
            </w:r>
          </w:p>
        </w:tc>
        <w:tc>
          <w:tcPr>
            <w:tcW w:w="604" w:type="dxa"/>
          </w:tcPr>
          <w:p>
            <w:pPr>
              <w:pStyle w:val="0"/>
            </w:pPr>
            <w:r>
              <w:rPr>
                <w:sz w:val="20"/>
              </w:rPr>
              <w:t xml:space="preserve">68,5</w:t>
            </w:r>
          </w:p>
        </w:tc>
        <w:tc>
          <w:tcPr>
            <w:tcW w:w="604" w:type="dxa"/>
          </w:tcPr>
          <w:p>
            <w:pPr>
              <w:pStyle w:val="0"/>
            </w:pPr>
            <w:r>
              <w:rPr>
                <w:sz w:val="20"/>
              </w:rPr>
              <w:t xml:space="preserve">68,8</w:t>
            </w:r>
          </w:p>
        </w:tc>
        <w:tc>
          <w:tcPr>
            <w:tcW w:w="604" w:type="dxa"/>
          </w:tcPr>
          <w:p>
            <w:pPr>
              <w:pStyle w:val="0"/>
            </w:pPr>
            <w:r>
              <w:rPr>
                <w:sz w:val="20"/>
              </w:rPr>
              <w:t xml:space="preserve">70,8</w:t>
            </w:r>
          </w:p>
        </w:tc>
        <w:tc>
          <w:tcPr>
            <w:tcW w:w="604" w:type="dxa"/>
          </w:tcPr>
          <w:p>
            <w:pPr>
              <w:pStyle w:val="0"/>
            </w:pPr>
            <w:r>
              <w:rPr>
                <w:sz w:val="20"/>
              </w:rPr>
              <w:t xml:space="preserve">71,5</w:t>
            </w:r>
          </w:p>
        </w:tc>
        <w:tc>
          <w:tcPr>
            <w:tcW w:w="604" w:type="dxa"/>
          </w:tcPr>
          <w:p>
            <w:pPr>
              <w:pStyle w:val="0"/>
            </w:pPr>
            <w:r>
              <w:rPr>
                <w:sz w:val="20"/>
              </w:rPr>
              <w:t xml:space="preserve">71,5</w:t>
            </w:r>
          </w:p>
        </w:tc>
        <w:tc>
          <w:tcPr>
            <w:tcW w:w="604" w:type="dxa"/>
          </w:tcPr>
          <w:p>
            <w:pPr>
              <w:pStyle w:val="0"/>
            </w:pPr>
            <w:r>
              <w:rPr>
                <w:sz w:val="20"/>
              </w:rPr>
              <w:t xml:space="preserve">74,3</w:t>
            </w:r>
          </w:p>
        </w:tc>
        <w:tc>
          <w:tcPr>
            <w:tcW w:w="604" w:type="dxa"/>
          </w:tcPr>
          <w:p>
            <w:pPr>
              <w:pStyle w:val="0"/>
            </w:pPr>
            <w:r>
              <w:rPr>
                <w:sz w:val="20"/>
              </w:rPr>
              <w:t xml:space="preserve">79,7</w:t>
            </w:r>
          </w:p>
        </w:tc>
        <w:tc>
          <w:tcPr>
            <w:tcW w:w="604" w:type="dxa"/>
          </w:tcPr>
          <w:p>
            <w:pPr>
              <w:pStyle w:val="0"/>
            </w:pPr>
            <w:r>
              <w:rPr>
                <w:sz w:val="20"/>
              </w:rPr>
              <w:t xml:space="preserve">78,8</w:t>
            </w:r>
          </w:p>
        </w:tc>
        <w:tc>
          <w:tcPr>
            <w:tcW w:w="604" w:type="dxa"/>
          </w:tcPr>
          <w:p>
            <w:pPr>
              <w:pStyle w:val="0"/>
            </w:pPr>
            <w:r>
              <w:rPr>
                <w:sz w:val="20"/>
              </w:rPr>
              <w:t xml:space="preserve">74,1</w:t>
            </w:r>
          </w:p>
        </w:tc>
        <w:tc>
          <w:tcPr>
            <w:tcW w:w="604" w:type="dxa"/>
          </w:tcPr>
          <w:p>
            <w:pPr>
              <w:pStyle w:val="0"/>
            </w:pPr>
            <w:r>
              <w:rPr>
                <w:sz w:val="20"/>
              </w:rPr>
              <w:t xml:space="preserve">51,8</w:t>
            </w:r>
          </w:p>
        </w:tc>
      </w:tr>
      <w:tr>
        <w:tc>
          <w:tcPr>
            <w:tcW w:w="2089" w:type="dxa"/>
          </w:tcPr>
          <w:p>
            <w:pPr>
              <w:pStyle w:val="0"/>
            </w:pPr>
            <w:r>
              <w:rPr>
                <w:sz w:val="20"/>
              </w:rPr>
              <w:t xml:space="preserve">Полость рта</w:t>
            </w:r>
          </w:p>
        </w:tc>
        <w:tc>
          <w:tcPr>
            <w:tcW w:w="1669" w:type="dxa"/>
          </w:tcPr>
          <w:p>
            <w:pPr>
              <w:pStyle w:val="0"/>
            </w:pPr>
            <w:r>
              <w:rPr>
                <w:sz w:val="20"/>
              </w:rPr>
              <w:t xml:space="preserve">С 01 - С09</w:t>
            </w:r>
          </w:p>
        </w:tc>
        <w:tc>
          <w:tcPr>
            <w:tcW w:w="604" w:type="dxa"/>
          </w:tcPr>
          <w:p>
            <w:pPr>
              <w:pStyle w:val="0"/>
            </w:pPr>
            <w:r>
              <w:rPr>
                <w:sz w:val="20"/>
              </w:rPr>
              <w:t xml:space="preserve">42,4</w:t>
            </w:r>
          </w:p>
        </w:tc>
        <w:tc>
          <w:tcPr>
            <w:tcW w:w="604" w:type="dxa"/>
          </w:tcPr>
          <w:p>
            <w:pPr>
              <w:pStyle w:val="0"/>
            </w:pPr>
            <w:r>
              <w:rPr>
                <w:sz w:val="20"/>
              </w:rPr>
              <w:t xml:space="preserve">42,2</w:t>
            </w:r>
          </w:p>
        </w:tc>
        <w:tc>
          <w:tcPr>
            <w:tcW w:w="604" w:type="dxa"/>
          </w:tcPr>
          <w:p>
            <w:pPr>
              <w:pStyle w:val="0"/>
            </w:pPr>
            <w:r>
              <w:rPr>
                <w:sz w:val="20"/>
              </w:rPr>
              <w:t xml:space="preserve">48,2</w:t>
            </w:r>
          </w:p>
        </w:tc>
        <w:tc>
          <w:tcPr>
            <w:tcW w:w="604" w:type="dxa"/>
          </w:tcPr>
          <w:p>
            <w:pPr>
              <w:pStyle w:val="0"/>
            </w:pPr>
            <w:r>
              <w:rPr>
                <w:sz w:val="20"/>
              </w:rPr>
              <w:t xml:space="preserve">47,8</w:t>
            </w:r>
          </w:p>
        </w:tc>
        <w:tc>
          <w:tcPr>
            <w:tcW w:w="604" w:type="dxa"/>
          </w:tcPr>
          <w:p>
            <w:pPr>
              <w:pStyle w:val="0"/>
            </w:pPr>
            <w:r>
              <w:rPr>
                <w:sz w:val="20"/>
              </w:rPr>
              <w:t xml:space="preserve">49,1</w:t>
            </w:r>
          </w:p>
        </w:tc>
        <w:tc>
          <w:tcPr>
            <w:tcW w:w="604" w:type="dxa"/>
          </w:tcPr>
          <w:p>
            <w:pPr>
              <w:pStyle w:val="0"/>
            </w:pPr>
            <w:r>
              <w:rPr>
                <w:sz w:val="20"/>
              </w:rPr>
              <w:t xml:space="preserve">53,9</w:t>
            </w:r>
          </w:p>
        </w:tc>
        <w:tc>
          <w:tcPr>
            <w:tcW w:w="604" w:type="dxa"/>
          </w:tcPr>
          <w:p>
            <w:pPr>
              <w:pStyle w:val="0"/>
            </w:pPr>
            <w:r>
              <w:rPr>
                <w:sz w:val="20"/>
              </w:rPr>
              <w:t xml:space="preserve">49,8</w:t>
            </w:r>
          </w:p>
        </w:tc>
        <w:tc>
          <w:tcPr>
            <w:tcW w:w="604" w:type="dxa"/>
          </w:tcPr>
          <w:p>
            <w:pPr>
              <w:pStyle w:val="0"/>
            </w:pPr>
            <w:r>
              <w:rPr>
                <w:sz w:val="20"/>
              </w:rPr>
              <w:t xml:space="preserve">50,6</w:t>
            </w:r>
          </w:p>
        </w:tc>
        <w:tc>
          <w:tcPr>
            <w:tcW w:w="604" w:type="dxa"/>
          </w:tcPr>
          <w:p>
            <w:pPr>
              <w:pStyle w:val="0"/>
            </w:pPr>
            <w:r>
              <w:rPr>
                <w:sz w:val="20"/>
              </w:rPr>
              <w:t xml:space="preserve">48,2</w:t>
            </w:r>
          </w:p>
        </w:tc>
        <w:tc>
          <w:tcPr>
            <w:tcW w:w="604" w:type="dxa"/>
          </w:tcPr>
          <w:p>
            <w:pPr>
              <w:pStyle w:val="0"/>
            </w:pPr>
            <w:r>
              <w:rPr>
                <w:sz w:val="20"/>
              </w:rPr>
              <w:t xml:space="preserve">44,5</w:t>
            </w:r>
          </w:p>
        </w:tc>
        <w:tc>
          <w:tcPr>
            <w:tcW w:w="604" w:type="dxa"/>
            <w:vMerge w:val="restart"/>
          </w:tcPr>
          <w:p>
            <w:pPr>
              <w:pStyle w:val="0"/>
            </w:pPr>
            <w:r>
              <w:rPr>
                <w:sz w:val="20"/>
              </w:rPr>
              <w:t xml:space="preserve">56,5</w:t>
            </w:r>
          </w:p>
        </w:tc>
      </w:tr>
      <w:tr>
        <w:tc>
          <w:tcPr>
            <w:tcW w:w="2089" w:type="dxa"/>
          </w:tcPr>
          <w:p>
            <w:pPr>
              <w:pStyle w:val="0"/>
            </w:pPr>
            <w:r>
              <w:rPr>
                <w:sz w:val="20"/>
              </w:rPr>
              <w:t xml:space="preserve">Глотка</w:t>
            </w:r>
          </w:p>
        </w:tc>
        <w:tc>
          <w:tcPr>
            <w:tcW w:w="1669" w:type="dxa"/>
          </w:tcPr>
          <w:p>
            <w:pPr>
              <w:pStyle w:val="0"/>
            </w:pPr>
            <w:r>
              <w:rPr>
                <w:sz w:val="20"/>
              </w:rPr>
              <w:t xml:space="preserve">С 10 - С13</w:t>
            </w:r>
          </w:p>
        </w:tc>
        <w:tc>
          <w:tcPr>
            <w:tcW w:w="604" w:type="dxa"/>
          </w:tcPr>
          <w:p>
            <w:pPr>
              <w:pStyle w:val="0"/>
            </w:pPr>
            <w:r>
              <w:rPr>
                <w:sz w:val="20"/>
              </w:rPr>
              <w:t xml:space="preserve">-</w:t>
            </w:r>
          </w:p>
        </w:tc>
        <w:tc>
          <w:tcPr>
            <w:tcW w:w="604" w:type="dxa"/>
          </w:tcPr>
          <w:p>
            <w:pPr>
              <w:pStyle w:val="0"/>
            </w:pPr>
            <w:r>
              <w:rPr>
                <w:sz w:val="20"/>
              </w:rPr>
              <w:t xml:space="preserve">39,3</w:t>
            </w:r>
          </w:p>
        </w:tc>
        <w:tc>
          <w:tcPr>
            <w:tcW w:w="604" w:type="dxa"/>
          </w:tcPr>
          <w:p>
            <w:pPr>
              <w:pStyle w:val="0"/>
            </w:pPr>
            <w:r>
              <w:rPr>
                <w:sz w:val="20"/>
              </w:rPr>
              <w:t xml:space="preserve">37,1</w:t>
            </w:r>
          </w:p>
        </w:tc>
        <w:tc>
          <w:tcPr>
            <w:tcW w:w="604" w:type="dxa"/>
          </w:tcPr>
          <w:p>
            <w:pPr>
              <w:pStyle w:val="0"/>
            </w:pPr>
            <w:r>
              <w:rPr>
                <w:sz w:val="20"/>
              </w:rPr>
              <w:t xml:space="preserve">35,1</w:t>
            </w:r>
          </w:p>
        </w:tc>
        <w:tc>
          <w:tcPr>
            <w:tcW w:w="604" w:type="dxa"/>
          </w:tcPr>
          <w:p>
            <w:pPr>
              <w:pStyle w:val="0"/>
            </w:pPr>
            <w:r>
              <w:rPr>
                <w:sz w:val="20"/>
              </w:rPr>
              <w:t xml:space="preserve">36,8</w:t>
            </w:r>
          </w:p>
        </w:tc>
        <w:tc>
          <w:tcPr>
            <w:tcW w:w="604" w:type="dxa"/>
          </w:tcPr>
          <w:p>
            <w:pPr>
              <w:pStyle w:val="0"/>
            </w:pPr>
            <w:r>
              <w:rPr>
                <w:sz w:val="20"/>
              </w:rPr>
              <w:t xml:space="preserve">53,1</w:t>
            </w:r>
          </w:p>
        </w:tc>
        <w:tc>
          <w:tcPr>
            <w:tcW w:w="604" w:type="dxa"/>
          </w:tcPr>
          <w:p>
            <w:pPr>
              <w:pStyle w:val="0"/>
            </w:pPr>
            <w:r>
              <w:rPr>
                <w:sz w:val="20"/>
              </w:rPr>
              <w:t xml:space="preserve">52,8</w:t>
            </w:r>
          </w:p>
        </w:tc>
        <w:tc>
          <w:tcPr>
            <w:tcW w:w="604" w:type="dxa"/>
          </w:tcPr>
          <w:p>
            <w:pPr>
              <w:pStyle w:val="0"/>
            </w:pPr>
            <w:r>
              <w:rPr>
                <w:sz w:val="20"/>
              </w:rPr>
              <w:t xml:space="preserve">41,4</w:t>
            </w:r>
          </w:p>
        </w:tc>
        <w:tc>
          <w:tcPr>
            <w:tcW w:w="604" w:type="dxa"/>
          </w:tcPr>
          <w:p>
            <w:pPr>
              <w:pStyle w:val="0"/>
            </w:pPr>
            <w:r>
              <w:rPr>
                <w:sz w:val="20"/>
              </w:rPr>
              <w:t xml:space="preserve">45,6</w:t>
            </w:r>
          </w:p>
        </w:tc>
        <w:tc>
          <w:tcPr>
            <w:tcW w:w="604" w:type="dxa"/>
          </w:tcPr>
          <w:p>
            <w:pPr>
              <w:pStyle w:val="0"/>
            </w:pPr>
            <w:r>
              <w:rPr>
                <w:sz w:val="20"/>
              </w:rPr>
              <w:t xml:space="preserve">43,9</w:t>
            </w:r>
          </w:p>
        </w:tc>
        <w:tc>
          <w:tcPr>
            <w:vMerge w:val="continue"/>
          </w:tcPr>
          <w:p/>
        </w:tc>
      </w:tr>
      <w:tr>
        <w:tc>
          <w:tcPr>
            <w:tcW w:w="2089" w:type="dxa"/>
          </w:tcPr>
          <w:p>
            <w:pPr>
              <w:pStyle w:val="0"/>
            </w:pPr>
            <w:r>
              <w:rPr>
                <w:sz w:val="20"/>
              </w:rPr>
              <w:t xml:space="preserve">Пищевод</w:t>
            </w:r>
          </w:p>
        </w:tc>
        <w:tc>
          <w:tcPr>
            <w:tcW w:w="1669" w:type="dxa"/>
          </w:tcPr>
          <w:p>
            <w:pPr>
              <w:pStyle w:val="0"/>
            </w:pPr>
            <w:r>
              <w:rPr>
                <w:sz w:val="20"/>
              </w:rPr>
              <w:t xml:space="preserve">С 15</w:t>
            </w:r>
          </w:p>
        </w:tc>
        <w:tc>
          <w:tcPr>
            <w:tcW w:w="604" w:type="dxa"/>
          </w:tcPr>
          <w:p>
            <w:pPr>
              <w:pStyle w:val="0"/>
            </w:pPr>
            <w:r>
              <w:rPr>
                <w:sz w:val="20"/>
              </w:rPr>
              <w:t xml:space="preserve">32,5</w:t>
            </w:r>
          </w:p>
        </w:tc>
        <w:tc>
          <w:tcPr>
            <w:tcW w:w="604" w:type="dxa"/>
          </w:tcPr>
          <w:p>
            <w:pPr>
              <w:pStyle w:val="0"/>
            </w:pPr>
            <w:r>
              <w:rPr>
                <w:sz w:val="20"/>
              </w:rPr>
              <w:t xml:space="preserve">33,3</w:t>
            </w:r>
          </w:p>
        </w:tc>
        <w:tc>
          <w:tcPr>
            <w:tcW w:w="604" w:type="dxa"/>
          </w:tcPr>
          <w:p>
            <w:pPr>
              <w:pStyle w:val="0"/>
            </w:pPr>
            <w:r>
              <w:rPr>
                <w:sz w:val="20"/>
              </w:rPr>
              <w:t xml:space="preserve">27,6</w:t>
            </w:r>
          </w:p>
        </w:tc>
        <w:tc>
          <w:tcPr>
            <w:tcW w:w="604" w:type="dxa"/>
          </w:tcPr>
          <w:p>
            <w:pPr>
              <w:pStyle w:val="0"/>
            </w:pPr>
            <w:r>
              <w:rPr>
                <w:sz w:val="20"/>
              </w:rPr>
              <w:t xml:space="preserve">32,3</w:t>
            </w:r>
          </w:p>
        </w:tc>
        <w:tc>
          <w:tcPr>
            <w:tcW w:w="604" w:type="dxa"/>
          </w:tcPr>
          <w:p>
            <w:pPr>
              <w:pStyle w:val="0"/>
            </w:pPr>
            <w:r>
              <w:rPr>
                <w:sz w:val="20"/>
              </w:rPr>
              <w:t xml:space="preserve">34,3</w:t>
            </w:r>
          </w:p>
        </w:tc>
        <w:tc>
          <w:tcPr>
            <w:tcW w:w="604" w:type="dxa"/>
          </w:tcPr>
          <w:p>
            <w:pPr>
              <w:pStyle w:val="0"/>
            </w:pPr>
            <w:r>
              <w:rPr>
                <w:sz w:val="20"/>
              </w:rPr>
              <w:t xml:space="preserve">34</w:t>
            </w:r>
          </w:p>
        </w:tc>
        <w:tc>
          <w:tcPr>
            <w:tcW w:w="604" w:type="dxa"/>
          </w:tcPr>
          <w:p>
            <w:pPr>
              <w:pStyle w:val="0"/>
            </w:pPr>
            <w:r>
              <w:rPr>
                <w:sz w:val="20"/>
              </w:rPr>
              <w:t xml:space="preserve">29,4</w:t>
            </w:r>
          </w:p>
        </w:tc>
        <w:tc>
          <w:tcPr>
            <w:tcW w:w="604" w:type="dxa"/>
          </w:tcPr>
          <w:p>
            <w:pPr>
              <w:pStyle w:val="0"/>
            </w:pPr>
            <w:r>
              <w:rPr>
                <w:sz w:val="20"/>
              </w:rPr>
              <w:t xml:space="preserve">30,3</w:t>
            </w:r>
          </w:p>
        </w:tc>
        <w:tc>
          <w:tcPr>
            <w:tcW w:w="604" w:type="dxa"/>
          </w:tcPr>
          <w:p>
            <w:pPr>
              <w:pStyle w:val="0"/>
            </w:pPr>
            <w:r>
              <w:rPr>
                <w:sz w:val="20"/>
              </w:rPr>
              <w:t xml:space="preserve">30,3</w:t>
            </w:r>
          </w:p>
        </w:tc>
        <w:tc>
          <w:tcPr>
            <w:tcW w:w="604" w:type="dxa"/>
          </w:tcPr>
          <w:p>
            <w:pPr>
              <w:pStyle w:val="0"/>
            </w:pPr>
            <w:r>
              <w:rPr>
                <w:sz w:val="20"/>
              </w:rPr>
              <w:t xml:space="preserve">30,6</w:t>
            </w:r>
          </w:p>
        </w:tc>
        <w:tc>
          <w:tcPr>
            <w:tcW w:w="604" w:type="dxa"/>
          </w:tcPr>
          <w:p>
            <w:pPr>
              <w:pStyle w:val="0"/>
            </w:pPr>
            <w:r>
              <w:rPr>
                <w:sz w:val="20"/>
              </w:rPr>
              <w:t xml:space="preserve">39,5</w:t>
            </w:r>
          </w:p>
        </w:tc>
      </w:tr>
      <w:tr>
        <w:tc>
          <w:tcPr>
            <w:tcW w:w="2089" w:type="dxa"/>
          </w:tcPr>
          <w:p>
            <w:pPr>
              <w:pStyle w:val="0"/>
            </w:pPr>
            <w:r>
              <w:rPr>
                <w:sz w:val="20"/>
              </w:rPr>
              <w:t xml:space="preserve">Желудок</w:t>
            </w:r>
          </w:p>
        </w:tc>
        <w:tc>
          <w:tcPr>
            <w:tcW w:w="1669" w:type="dxa"/>
          </w:tcPr>
          <w:p>
            <w:pPr>
              <w:pStyle w:val="0"/>
            </w:pPr>
            <w:r>
              <w:rPr>
                <w:sz w:val="20"/>
              </w:rPr>
              <w:t xml:space="preserve">С 16</w:t>
            </w:r>
          </w:p>
        </w:tc>
        <w:tc>
          <w:tcPr>
            <w:tcW w:w="604" w:type="dxa"/>
          </w:tcPr>
          <w:p>
            <w:pPr>
              <w:pStyle w:val="0"/>
            </w:pPr>
            <w:r>
              <w:rPr>
                <w:sz w:val="20"/>
              </w:rPr>
              <w:t xml:space="preserve">42,5</w:t>
            </w:r>
          </w:p>
        </w:tc>
        <w:tc>
          <w:tcPr>
            <w:tcW w:w="604" w:type="dxa"/>
          </w:tcPr>
          <w:p>
            <w:pPr>
              <w:pStyle w:val="0"/>
            </w:pPr>
            <w:r>
              <w:rPr>
                <w:sz w:val="20"/>
              </w:rPr>
              <w:t xml:space="preserve">48,5</w:t>
            </w:r>
          </w:p>
        </w:tc>
        <w:tc>
          <w:tcPr>
            <w:tcW w:w="604" w:type="dxa"/>
          </w:tcPr>
          <w:p>
            <w:pPr>
              <w:pStyle w:val="0"/>
            </w:pPr>
            <w:r>
              <w:rPr>
                <w:sz w:val="20"/>
              </w:rPr>
              <w:t xml:space="preserve">47,5</w:t>
            </w:r>
          </w:p>
        </w:tc>
        <w:tc>
          <w:tcPr>
            <w:tcW w:w="604" w:type="dxa"/>
          </w:tcPr>
          <w:p>
            <w:pPr>
              <w:pStyle w:val="0"/>
            </w:pPr>
            <w:r>
              <w:rPr>
                <w:sz w:val="20"/>
              </w:rPr>
              <w:t xml:space="preserve">48,1</w:t>
            </w:r>
          </w:p>
        </w:tc>
        <w:tc>
          <w:tcPr>
            <w:tcW w:w="604" w:type="dxa"/>
          </w:tcPr>
          <w:p>
            <w:pPr>
              <w:pStyle w:val="0"/>
            </w:pPr>
            <w:r>
              <w:rPr>
                <w:sz w:val="20"/>
              </w:rPr>
              <w:t xml:space="preserve">50,3</w:t>
            </w:r>
          </w:p>
        </w:tc>
        <w:tc>
          <w:tcPr>
            <w:tcW w:w="604" w:type="dxa"/>
          </w:tcPr>
          <w:p>
            <w:pPr>
              <w:pStyle w:val="0"/>
            </w:pPr>
            <w:r>
              <w:rPr>
                <w:sz w:val="20"/>
              </w:rPr>
              <w:t xml:space="preserve">50,1</w:t>
            </w:r>
          </w:p>
        </w:tc>
        <w:tc>
          <w:tcPr>
            <w:tcW w:w="604" w:type="dxa"/>
          </w:tcPr>
          <w:p>
            <w:pPr>
              <w:pStyle w:val="0"/>
            </w:pPr>
            <w:r>
              <w:rPr>
                <w:sz w:val="20"/>
              </w:rPr>
              <w:t xml:space="preserve">49,3</w:t>
            </w:r>
          </w:p>
        </w:tc>
        <w:tc>
          <w:tcPr>
            <w:tcW w:w="604" w:type="dxa"/>
          </w:tcPr>
          <w:p>
            <w:pPr>
              <w:pStyle w:val="0"/>
            </w:pPr>
            <w:r>
              <w:rPr>
                <w:sz w:val="20"/>
              </w:rPr>
              <w:t xml:space="preserve">52</w:t>
            </w:r>
          </w:p>
        </w:tc>
        <w:tc>
          <w:tcPr>
            <w:tcW w:w="604" w:type="dxa"/>
          </w:tcPr>
          <w:p>
            <w:pPr>
              <w:pStyle w:val="0"/>
            </w:pPr>
            <w:r>
              <w:rPr>
                <w:sz w:val="20"/>
              </w:rPr>
              <w:t xml:space="preserve">50,1</w:t>
            </w:r>
          </w:p>
        </w:tc>
        <w:tc>
          <w:tcPr>
            <w:tcW w:w="604" w:type="dxa"/>
          </w:tcPr>
          <w:p>
            <w:pPr>
              <w:pStyle w:val="0"/>
            </w:pPr>
            <w:r>
              <w:rPr>
                <w:sz w:val="20"/>
              </w:rPr>
              <w:t xml:space="preserve">52,5</w:t>
            </w:r>
          </w:p>
        </w:tc>
        <w:tc>
          <w:tcPr>
            <w:tcW w:w="604" w:type="dxa"/>
          </w:tcPr>
          <w:p>
            <w:pPr>
              <w:pStyle w:val="0"/>
            </w:pPr>
            <w:r>
              <w:rPr>
                <w:sz w:val="20"/>
              </w:rPr>
              <w:t xml:space="preserve">55,9</w:t>
            </w:r>
          </w:p>
        </w:tc>
      </w:tr>
      <w:tr>
        <w:tc>
          <w:tcPr>
            <w:tcW w:w="2089" w:type="dxa"/>
          </w:tcPr>
          <w:p>
            <w:pPr>
              <w:pStyle w:val="0"/>
            </w:pPr>
            <w:r>
              <w:rPr>
                <w:sz w:val="20"/>
              </w:rPr>
              <w:t xml:space="preserve">Ободочная кишка</w:t>
            </w:r>
          </w:p>
        </w:tc>
        <w:tc>
          <w:tcPr>
            <w:tcW w:w="1669" w:type="dxa"/>
          </w:tcPr>
          <w:p>
            <w:pPr>
              <w:pStyle w:val="0"/>
            </w:pPr>
            <w:r>
              <w:rPr>
                <w:sz w:val="20"/>
              </w:rPr>
              <w:t xml:space="preserve">С 18</w:t>
            </w:r>
          </w:p>
        </w:tc>
        <w:tc>
          <w:tcPr>
            <w:tcW w:w="604" w:type="dxa"/>
          </w:tcPr>
          <w:p>
            <w:pPr>
              <w:pStyle w:val="0"/>
            </w:pPr>
            <w:r>
              <w:rPr>
                <w:sz w:val="20"/>
              </w:rPr>
              <w:t xml:space="preserve">38,8</w:t>
            </w:r>
          </w:p>
        </w:tc>
        <w:tc>
          <w:tcPr>
            <w:tcW w:w="604" w:type="dxa"/>
          </w:tcPr>
          <w:p>
            <w:pPr>
              <w:pStyle w:val="0"/>
            </w:pPr>
            <w:r>
              <w:rPr>
                <w:sz w:val="20"/>
              </w:rPr>
              <w:t xml:space="preserve">43</w:t>
            </w:r>
          </w:p>
        </w:tc>
        <w:tc>
          <w:tcPr>
            <w:tcW w:w="604" w:type="dxa"/>
          </w:tcPr>
          <w:p>
            <w:pPr>
              <w:pStyle w:val="0"/>
            </w:pPr>
            <w:r>
              <w:rPr>
                <w:sz w:val="20"/>
              </w:rPr>
              <w:t xml:space="preserve">41,9</w:t>
            </w:r>
          </w:p>
        </w:tc>
        <w:tc>
          <w:tcPr>
            <w:tcW w:w="604" w:type="dxa"/>
          </w:tcPr>
          <w:p>
            <w:pPr>
              <w:pStyle w:val="0"/>
            </w:pPr>
            <w:r>
              <w:rPr>
                <w:sz w:val="20"/>
              </w:rPr>
              <w:t xml:space="preserve">42,3</w:t>
            </w:r>
          </w:p>
        </w:tc>
        <w:tc>
          <w:tcPr>
            <w:tcW w:w="604" w:type="dxa"/>
          </w:tcPr>
          <w:p>
            <w:pPr>
              <w:pStyle w:val="0"/>
            </w:pPr>
            <w:r>
              <w:rPr>
                <w:sz w:val="20"/>
              </w:rPr>
              <w:t xml:space="preserve">43,9</w:t>
            </w:r>
          </w:p>
        </w:tc>
        <w:tc>
          <w:tcPr>
            <w:tcW w:w="604" w:type="dxa"/>
          </w:tcPr>
          <w:p>
            <w:pPr>
              <w:pStyle w:val="0"/>
            </w:pPr>
            <w:r>
              <w:rPr>
                <w:sz w:val="20"/>
              </w:rPr>
              <w:t xml:space="preserve">45,8</w:t>
            </w:r>
          </w:p>
        </w:tc>
        <w:tc>
          <w:tcPr>
            <w:tcW w:w="604" w:type="dxa"/>
          </w:tcPr>
          <w:p>
            <w:pPr>
              <w:pStyle w:val="0"/>
            </w:pPr>
            <w:r>
              <w:rPr>
                <w:sz w:val="20"/>
              </w:rPr>
              <w:t xml:space="preserve">45,8</w:t>
            </w:r>
          </w:p>
        </w:tc>
        <w:tc>
          <w:tcPr>
            <w:tcW w:w="604" w:type="dxa"/>
          </w:tcPr>
          <w:p>
            <w:pPr>
              <w:pStyle w:val="0"/>
            </w:pPr>
            <w:r>
              <w:rPr>
                <w:sz w:val="20"/>
              </w:rPr>
              <w:t xml:space="preserve">49,9</w:t>
            </w:r>
          </w:p>
        </w:tc>
        <w:tc>
          <w:tcPr>
            <w:tcW w:w="604" w:type="dxa"/>
          </w:tcPr>
          <w:p>
            <w:pPr>
              <w:pStyle w:val="0"/>
            </w:pPr>
            <w:r>
              <w:rPr>
                <w:sz w:val="20"/>
              </w:rPr>
              <w:t xml:space="preserve">51,0</w:t>
            </w:r>
          </w:p>
        </w:tc>
        <w:tc>
          <w:tcPr>
            <w:tcW w:w="604" w:type="dxa"/>
          </w:tcPr>
          <w:p>
            <w:pPr>
              <w:pStyle w:val="0"/>
            </w:pPr>
            <w:r>
              <w:rPr>
                <w:sz w:val="20"/>
              </w:rPr>
              <w:t xml:space="preserve">51,9</w:t>
            </w:r>
          </w:p>
        </w:tc>
        <w:tc>
          <w:tcPr>
            <w:tcW w:w="604" w:type="dxa"/>
          </w:tcPr>
          <w:p>
            <w:pPr>
              <w:pStyle w:val="0"/>
            </w:pPr>
            <w:r>
              <w:rPr>
                <w:sz w:val="20"/>
              </w:rPr>
              <w:t xml:space="preserve">64,0</w:t>
            </w:r>
          </w:p>
        </w:tc>
      </w:tr>
      <w:tr>
        <w:tc>
          <w:tcPr>
            <w:tcW w:w="2089" w:type="dxa"/>
          </w:tcPr>
          <w:p>
            <w:pPr>
              <w:pStyle w:val="0"/>
            </w:pPr>
            <w:r>
              <w:rPr>
                <w:sz w:val="20"/>
              </w:rPr>
              <w:t xml:space="preserve">Прямая кишка, ректосигмоидное соединение, анус</w:t>
            </w:r>
          </w:p>
        </w:tc>
        <w:tc>
          <w:tcPr>
            <w:tcW w:w="1669" w:type="dxa"/>
          </w:tcPr>
          <w:p>
            <w:pPr>
              <w:pStyle w:val="0"/>
            </w:pPr>
            <w:r>
              <w:rPr>
                <w:sz w:val="20"/>
              </w:rPr>
              <w:t xml:space="preserve">С 19 - С21</w:t>
            </w:r>
          </w:p>
        </w:tc>
        <w:tc>
          <w:tcPr>
            <w:tcW w:w="604" w:type="dxa"/>
          </w:tcPr>
          <w:p>
            <w:pPr>
              <w:pStyle w:val="0"/>
            </w:pPr>
            <w:r>
              <w:rPr>
                <w:sz w:val="20"/>
              </w:rPr>
              <w:t xml:space="preserve">38,3</w:t>
            </w:r>
          </w:p>
        </w:tc>
        <w:tc>
          <w:tcPr>
            <w:tcW w:w="604" w:type="dxa"/>
          </w:tcPr>
          <w:p>
            <w:pPr>
              <w:pStyle w:val="0"/>
            </w:pPr>
            <w:r>
              <w:rPr>
                <w:sz w:val="20"/>
              </w:rPr>
              <w:t xml:space="preserve">39,2</w:t>
            </w:r>
          </w:p>
        </w:tc>
        <w:tc>
          <w:tcPr>
            <w:tcW w:w="604" w:type="dxa"/>
          </w:tcPr>
          <w:p>
            <w:pPr>
              <w:pStyle w:val="0"/>
            </w:pPr>
            <w:r>
              <w:rPr>
                <w:sz w:val="20"/>
              </w:rPr>
              <w:t xml:space="preserve">40,5</w:t>
            </w:r>
          </w:p>
        </w:tc>
        <w:tc>
          <w:tcPr>
            <w:tcW w:w="604" w:type="dxa"/>
          </w:tcPr>
          <w:p>
            <w:pPr>
              <w:pStyle w:val="0"/>
            </w:pPr>
            <w:r>
              <w:rPr>
                <w:sz w:val="20"/>
              </w:rPr>
              <w:t xml:space="preserve">41,9</w:t>
            </w:r>
          </w:p>
        </w:tc>
        <w:tc>
          <w:tcPr>
            <w:tcW w:w="604" w:type="dxa"/>
          </w:tcPr>
          <w:p>
            <w:pPr>
              <w:pStyle w:val="0"/>
            </w:pPr>
            <w:r>
              <w:rPr>
                <w:sz w:val="20"/>
              </w:rPr>
              <w:t xml:space="preserve">44,9</w:t>
            </w:r>
          </w:p>
        </w:tc>
        <w:tc>
          <w:tcPr>
            <w:tcW w:w="604" w:type="dxa"/>
          </w:tcPr>
          <w:p>
            <w:pPr>
              <w:pStyle w:val="0"/>
            </w:pPr>
            <w:r>
              <w:rPr>
                <w:sz w:val="20"/>
              </w:rPr>
              <w:t xml:space="preserve">45,5</w:t>
            </w:r>
          </w:p>
        </w:tc>
        <w:tc>
          <w:tcPr>
            <w:tcW w:w="604" w:type="dxa"/>
          </w:tcPr>
          <w:p>
            <w:pPr>
              <w:pStyle w:val="0"/>
            </w:pPr>
            <w:r>
              <w:rPr>
                <w:sz w:val="20"/>
              </w:rPr>
              <w:t xml:space="preserve">46,4</w:t>
            </w:r>
          </w:p>
        </w:tc>
        <w:tc>
          <w:tcPr>
            <w:tcW w:w="604" w:type="dxa"/>
          </w:tcPr>
          <w:p>
            <w:pPr>
              <w:pStyle w:val="0"/>
            </w:pPr>
            <w:r>
              <w:rPr>
                <w:sz w:val="20"/>
              </w:rPr>
              <w:t xml:space="preserve">51,9</w:t>
            </w:r>
          </w:p>
        </w:tc>
        <w:tc>
          <w:tcPr>
            <w:tcW w:w="604" w:type="dxa"/>
          </w:tcPr>
          <w:p>
            <w:pPr>
              <w:pStyle w:val="0"/>
            </w:pPr>
            <w:r>
              <w:rPr>
                <w:sz w:val="20"/>
              </w:rPr>
              <w:t xml:space="preserve">52,1</w:t>
            </w:r>
          </w:p>
        </w:tc>
        <w:tc>
          <w:tcPr>
            <w:tcW w:w="604" w:type="dxa"/>
          </w:tcPr>
          <w:p>
            <w:pPr>
              <w:pStyle w:val="0"/>
            </w:pPr>
            <w:r>
              <w:rPr>
                <w:sz w:val="20"/>
              </w:rPr>
              <w:t xml:space="preserve">53,1</w:t>
            </w:r>
          </w:p>
        </w:tc>
        <w:tc>
          <w:tcPr>
            <w:tcW w:w="604" w:type="dxa"/>
          </w:tcPr>
          <w:p>
            <w:pPr>
              <w:pStyle w:val="0"/>
            </w:pPr>
            <w:r>
              <w:rPr>
                <w:sz w:val="20"/>
              </w:rPr>
              <w:t xml:space="preserve">62,1</w:t>
            </w:r>
          </w:p>
        </w:tc>
      </w:tr>
      <w:tr>
        <w:tc>
          <w:tcPr>
            <w:tcW w:w="2089" w:type="dxa"/>
          </w:tcPr>
          <w:p>
            <w:pPr>
              <w:pStyle w:val="0"/>
            </w:pPr>
            <w:r>
              <w:rPr>
                <w:sz w:val="20"/>
              </w:rPr>
              <w:t xml:space="preserve">Печень и внутрипеченочные желчные протоки</w:t>
            </w:r>
          </w:p>
        </w:tc>
        <w:tc>
          <w:tcPr>
            <w:tcW w:w="1669" w:type="dxa"/>
          </w:tcPr>
          <w:p>
            <w:pPr>
              <w:pStyle w:val="0"/>
            </w:pPr>
            <w:r>
              <w:rPr>
                <w:sz w:val="20"/>
              </w:rPr>
              <w:t xml:space="preserve">С 22</w:t>
            </w:r>
          </w:p>
        </w:tc>
        <w:tc>
          <w:tcPr>
            <w:tcW w:w="604" w:type="dxa"/>
          </w:tcPr>
          <w:p>
            <w:pPr>
              <w:pStyle w:val="0"/>
            </w:pPr>
            <w:r>
              <w:rPr>
                <w:sz w:val="20"/>
              </w:rPr>
              <w:t xml:space="preserve">25</w:t>
            </w:r>
          </w:p>
        </w:tc>
        <w:tc>
          <w:tcPr>
            <w:tcW w:w="604" w:type="dxa"/>
          </w:tcPr>
          <w:p>
            <w:pPr>
              <w:pStyle w:val="0"/>
            </w:pPr>
            <w:r>
              <w:rPr>
                <w:sz w:val="20"/>
              </w:rPr>
              <w:t xml:space="preserve">29,8</w:t>
            </w:r>
          </w:p>
        </w:tc>
        <w:tc>
          <w:tcPr>
            <w:tcW w:w="604" w:type="dxa"/>
          </w:tcPr>
          <w:p>
            <w:pPr>
              <w:pStyle w:val="0"/>
            </w:pPr>
            <w:r>
              <w:rPr>
                <w:sz w:val="20"/>
              </w:rPr>
              <w:t xml:space="preserve">21,3</w:t>
            </w:r>
          </w:p>
        </w:tc>
        <w:tc>
          <w:tcPr>
            <w:tcW w:w="604" w:type="dxa"/>
          </w:tcPr>
          <w:p>
            <w:pPr>
              <w:pStyle w:val="0"/>
            </w:pPr>
            <w:r>
              <w:rPr>
                <w:sz w:val="20"/>
              </w:rPr>
              <w:t xml:space="preserve">32,9</w:t>
            </w:r>
          </w:p>
        </w:tc>
        <w:tc>
          <w:tcPr>
            <w:tcW w:w="604" w:type="dxa"/>
          </w:tcPr>
          <w:p>
            <w:pPr>
              <w:pStyle w:val="0"/>
            </w:pPr>
            <w:r>
              <w:rPr>
                <w:sz w:val="20"/>
              </w:rPr>
              <w:t xml:space="preserve">22,6</w:t>
            </w:r>
          </w:p>
        </w:tc>
        <w:tc>
          <w:tcPr>
            <w:tcW w:w="604" w:type="dxa"/>
          </w:tcPr>
          <w:p>
            <w:pPr>
              <w:pStyle w:val="0"/>
            </w:pPr>
            <w:r>
              <w:rPr>
                <w:sz w:val="20"/>
              </w:rPr>
              <w:t xml:space="preserve">17,5</w:t>
            </w:r>
          </w:p>
        </w:tc>
        <w:tc>
          <w:tcPr>
            <w:tcW w:w="604" w:type="dxa"/>
          </w:tcPr>
          <w:p>
            <w:pPr>
              <w:pStyle w:val="0"/>
            </w:pPr>
            <w:r>
              <w:rPr>
                <w:sz w:val="20"/>
              </w:rPr>
              <w:t xml:space="preserve">19,8</w:t>
            </w:r>
          </w:p>
        </w:tc>
        <w:tc>
          <w:tcPr>
            <w:tcW w:w="604" w:type="dxa"/>
          </w:tcPr>
          <w:p>
            <w:pPr>
              <w:pStyle w:val="0"/>
            </w:pPr>
            <w:r>
              <w:rPr>
                <w:sz w:val="20"/>
              </w:rPr>
              <w:t xml:space="preserve">22,6</w:t>
            </w:r>
          </w:p>
        </w:tc>
        <w:tc>
          <w:tcPr>
            <w:tcW w:w="604" w:type="dxa"/>
          </w:tcPr>
          <w:p>
            <w:pPr>
              <w:pStyle w:val="0"/>
            </w:pPr>
            <w:r>
              <w:rPr>
                <w:sz w:val="20"/>
              </w:rPr>
              <w:t xml:space="preserve">21,4</w:t>
            </w:r>
          </w:p>
        </w:tc>
        <w:tc>
          <w:tcPr>
            <w:tcW w:w="604" w:type="dxa"/>
          </w:tcPr>
          <w:p>
            <w:pPr>
              <w:pStyle w:val="0"/>
            </w:pPr>
            <w:r>
              <w:rPr>
                <w:sz w:val="20"/>
              </w:rPr>
              <w:t xml:space="preserve">20,4</w:t>
            </w:r>
          </w:p>
        </w:tc>
        <w:tc>
          <w:tcPr>
            <w:tcW w:w="604" w:type="dxa"/>
          </w:tcPr>
          <w:p>
            <w:pPr>
              <w:pStyle w:val="0"/>
            </w:pPr>
            <w:r>
              <w:rPr>
                <w:sz w:val="20"/>
              </w:rPr>
              <w:t xml:space="preserve">н/д</w:t>
            </w:r>
          </w:p>
        </w:tc>
      </w:tr>
      <w:tr>
        <w:tc>
          <w:tcPr>
            <w:tcW w:w="2089" w:type="dxa"/>
          </w:tcPr>
          <w:p>
            <w:pPr>
              <w:pStyle w:val="0"/>
            </w:pPr>
            <w:r>
              <w:rPr>
                <w:sz w:val="20"/>
              </w:rPr>
              <w:t xml:space="preserve">Поджелудочная железа</w:t>
            </w:r>
          </w:p>
        </w:tc>
        <w:tc>
          <w:tcPr>
            <w:tcW w:w="1669" w:type="dxa"/>
          </w:tcPr>
          <w:p>
            <w:pPr>
              <w:pStyle w:val="0"/>
            </w:pPr>
            <w:r>
              <w:rPr>
                <w:sz w:val="20"/>
              </w:rPr>
              <w:t xml:space="preserve">С 25</w:t>
            </w:r>
          </w:p>
        </w:tc>
        <w:tc>
          <w:tcPr>
            <w:tcW w:w="604" w:type="dxa"/>
          </w:tcPr>
          <w:p>
            <w:pPr>
              <w:pStyle w:val="0"/>
            </w:pPr>
            <w:r>
              <w:rPr>
                <w:sz w:val="20"/>
              </w:rPr>
              <w:t xml:space="preserve">20,7</w:t>
            </w:r>
          </w:p>
        </w:tc>
        <w:tc>
          <w:tcPr>
            <w:tcW w:w="604" w:type="dxa"/>
          </w:tcPr>
          <w:p>
            <w:pPr>
              <w:pStyle w:val="0"/>
            </w:pPr>
            <w:r>
              <w:rPr>
                <w:sz w:val="20"/>
              </w:rPr>
              <w:t xml:space="preserve">23,1</w:t>
            </w:r>
          </w:p>
        </w:tc>
        <w:tc>
          <w:tcPr>
            <w:tcW w:w="604" w:type="dxa"/>
          </w:tcPr>
          <w:p>
            <w:pPr>
              <w:pStyle w:val="0"/>
            </w:pPr>
            <w:r>
              <w:rPr>
                <w:sz w:val="20"/>
              </w:rPr>
              <w:t xml:space="preserve">21</w:t>
            </w:r>
          </w:p>
        </w:tc>
        <w:tc>
          <w:tcPr>
            <w:tcW w:w="604" w:type="dxa"/>
          </w:tcPr>
          <w:p>
            <w:pPr>
              <w:pStyle w:val="0"/>
            </w:pPr>
            <w:r>
              <w:rPr>
                <w:sz w:val="20"/>
              </w:rPr>
              <w:t xml:space="preserve">26,7</w:t>
            </w:r>
          </w:p>
        </w:tc>
        <w:tc>
          <w:tcPr>
            <w:tcW w:w="604" w:type="dxa"/>
          </w:tcPr>
          <w:p>
            <w:pPr>
              <w:pStyle w:val="0"/>
            </w:pPr>
            <w:r>
              <w:rPr>
                <w:sz w:val="20"/>
              </w:rPr>
              <w:t xml:space="preserve">27,3</w:t>
            </w:r>
          </w:p>
        </w:tc>
        <w:tc>
          <w:tcPr>
            <w:tcW w:w="604" w:type="dxa"/>
          </w:tcPr>
          <w:p>
            <w:pPr>
              <w:pStyle w:val="0"/>
            </w:pPr>
            <w:r>
              <w:rPr>
                <w:sz w:val="20"/>
              </w:rPr>
              <w:t xml:space="preserve">26</w:t>
            </w:r>
          </w:p>
        </w:tc>
        <w:tc>
          <w:tcPr>
            <w:tcW w:w="604" w:type="dxa"/>
          </w:tcPr>
          <w:p>
            <w:pPr>
              <w:pStyle w:val="0"/>
            </w:pPr>
            <w:r>
              <w:rPr>
                <w:sz w:val="20"/>
              </w:rPr>
              <w:t xml:space="preserve">27,7</w:t>
            </w:r>
          </w:p>
        </w:tc>
        <w:tc>
          <w:tcPr>
            <w:tcW w:w="604" w:type="dxa"/>
          </w:tcPr>
          <w:p>
            <w:pPr>
              <w:pStyle w:val="0"/>
            </w:pPr>
            <w:r>
              <w:rPr>
                <w:sz w:val="20"/>
              </w:rPr>
              <w:t xml:space="preserve">31</w:t>
            </w:r>
          </w:p>
        </w:tc>
        <w:tc>
          <w:tcPr>
            <w:tcW w:w="604" w:type="dxa"/>
          </w:tcPr>
          <w:p>
            <w:pPr>
              <w:pStyle w:val="0"/>
            </w:pPr>
            <w:r>
              <w:rPr>
                <w:sz w:val="20"/>
              </w:rPr>
              <w:t xml:space="preserve">26,8</w:t>
            </w:r>
          </w:p>
        </w:tc>
        <w:tc>
          <w:tcPr>
            <w:tcW w:w="604" w:type="dxa"/>
          </w:tcPr>
          <w:p>
            <w:pPr>
              <w:pStyle w:val="0"/>
            </w:pPr>
            <w:r>
              <w:rPr>
                <w:sz w:val="20"/>
              </w:rPr>
              <w:t xml:space="preserve">29,9</w:t>
            </w:r>
          </w:p>
        </w:tc>
        <w:tc>
          <w:tcPr>
            <w:tcW w:w="604" w:type="dxa"/>
          </w:tcPr>
          <w:p>
            <w:pPr>
              <w:pStyle w:val="0"/>
            </w:pPr>
            <w:r>
              <w:rPr>
                <w:sz w:val="20"/>
              </w:rPr>
              <w:t xml:space="preserve">н/д</w:t>
            </w:r>
          </w:p>
        </w:tc>
      </w:tr>
      <w:tr>
        <w:tc>
          <w:tcPr>
            <w:tcW w:w="2089" w:type="dxa"/>
          </w:tcPr>
          <w:p>
            <w:pPr>
              <w:pStyle w:val="0"/>
            </w:pPr>
            <w:r>
              <w:rPr>
                <w:sz w:val="20"/>
              </w:rPr>
              <w:t xml:space="preserve">Гортань</w:t>
            </w:r>
          </w:p>
        </w:tc>
        <w:tc>
          <w:tcPr>
            <w:tcW w:w="1669" w:type="dxa"/>
          </w:tcPr>
          <w:p>
            <w:pPr>
              <w:pStyle w:val="0"/>
            </w:pPr>
            <w:r>
              <w:rPr>
                <w:sz w:val="20"/>
              </w:rPr>
              <w:t xml:space="preserve">С 32</w:t>
            </w:r>
          </w:p>
        </w:tc>
        <w:tc>
          <w:tcPr>
            <w:tcW w:w="604" w:type="dxa"/>
          </w:tcPr>
          <w:p>
            <w:pPr>
              <w:pStyle w:val="0"/>
            </w:pPr>
            <w:r>
              <w:rPr>
                <w:sz w:val="20"/>
              </w:rPr>
              <w:t xml:space="preserve">45,6</w:t>
            </w:r>
          </w:p>
        </w:tc>
        <w:tc>
          <w:tcPr>
            <w:tcW w:w="604" w:type="dxa"/>
          </w:tcPr>
          <w:p>
            <w:pPr>
              <w:pStyle w:val="0"/>
            </w:pPr>
            <w:r>
              <w:rPr>
                <w:sz w:val="20"/>
              </w:rPr>
              <w:t xml:space="preserve">48,6</w:t>
            </w:r>
          </w:p>
        </w:tc>
        <w:tc>
          <w:tcPr>
            <w:tcW w:w="604" w:type="dxa"/>
          </w:tcPr>
          <w:p>
            <w:pPr>
              <w:pStyle w:val="0"/>
            </w:pPr>
            <w:r>
              <w:rPr>
                <w:sz w:val="20"/>
              </w:rPr>
              <w:t xml:space="preserve">49,8</w:t>
            </w:r>
          </w:p>
        </w:tc>
        <w:tc>
          <w:tcPr>
            <w:tcW w:w="604" w:type="dxa"/>
          </w:tcPr>
          <w:p>
            <w:pPr>
              <w:pStyle w:val="0"/>
            </w:pPr>
            <w:r>
              <w:rPr>
                <w:sz w:val="20"/>
              </w:rPr>
              <w:t xml:space="preserve">52,4</w:t>
            </w:r>
          </w:p>
        </w:tc>
        <w:tc>
          <w:tcPr>
            <w:tcW w:w="604" w:type="dxa"/>
          </w:tcPr>
          <w:p>
            <w:pPr>
              <w:pStyle w:val="0"/>
            </w:pPr>
            <w:r>
              <w:rPr>
                <w:sz w:val="20"/>
              </w:rPr>
              <w:t xml:space="preserve">55,3</w:t>
            </w:r>
          </w:p>
        </w:tc>
        <w:tc>
          <w:tcPr>
            <w:tcW w:w="604" w:type="dxa"/>
          </w:tcPr>
          <w:p>
            <w:pPr>
              <w:pStyle w:val="0"/>
            </w:pPr>
            <w:r>
              <w:rPr>
                <w:sz w:val="20"/>
              </w:rPr>
              <w:t xml:space="preserve">51,2</w:t>
            </w:r>
          </w:p>
        </w:tc>
        <w:tc>
          <w:tcPr>
            <w:tcW w:w="604" w:type="dxa"/>
          </w:tcPr>
          <w:p>
            <w:pPr>
              <w:pStyle w:val="0"/>
            </w:pPr>
            <w:r>
              <w:rPr>
                <w:sz w:val="20"/>
              </w:rPr>
              <w:t xml:space="preserve">54,4</w:t>
            </w:r>
          </w:p>
        </w:tc>
        <w:tc>
          <w:tcPr>
            <w:tcW w:w="604" w:type="dxa"/>
          </w:tcPr>
          <w:p>
            <w:pPr>
              <w:pStyle w:val="0"/>
            </w:pPr>
            <w:r>
              <w:rPr>
                <w:sz w:val="20"/>
              </w:rPr>
              <w:t xml:space="preserve">58</w:t>
            </w:r>
          </w:p>
        </w:tc>
        <w:tc>
          <w:tcPr>
            <w:tcW w:w="604" w:type="dxa"/>
          </w:tcPr>
          <w:p>
            <w:pPr>
              <w:pStyle w:val="0"/>
            </w:pPr>
            <w:r>
              <w:rPr>
                <w:sz w:val="20"/>
              </w:rPr>
              <w:t xml:space="preserve">56,1</w:t>
            </w:r>
          </w:p>
        </w:tc>
        <w:tc>
          <w:tcPr>
            <w:tcW w:w="604" w:type="dxa"/>
          </w:tcPr>
          <w:p>
            <w:pPr>
              <w:pStyle w:val="0"/>
            </w:pPr>
            <w:r>
              <w:rPr>
                <w:sz w:val="20"/>
              </w:rPr>
              <w:t xml:space="preserve">58,0</w:t>
            </w:r>
          </w:p>
        </w:tc>
        <w:tc>
          <w:tcPr>
            <w:tcW w:w="604" w:type="dxa"/>
          </w:tcPr>
          <w:p>
            <w:pPr>
              <w:pStyle w:val="0"/>
            </w:pPr>
            <w:r>
              <w:rPr>
                <w:sz w:val="20"/>
              </w:rPr>
              <w:t xml:space="preserve">55,9</w:t>
            </w:r>
          </w:p>
        </w:tc>
      </w:tr>
      <w:tr>
        <w:tc>
          <w:tcPr>
            <w:tcW w:w="2089" w:type="dxa"/>
          </w:tcPr>
          <w:p>
            <w:pPr>
              <w:pStyle w:val="0"/>
            </w:pPr>
            <w:r>
              <w:rPr>
                <w:sz w:val="20"/>
              </w:rPr>
              <w:t xml:space="preserve">Трахея, бронхи, легкое</w:t>
            </w:r>
          </w:p>
        </w:tc>
        <w:tc>
          <w:tcPr>
            <w:tcW w:w="1669" w:type="dxa"/>
          </w:tcPr>
          <w:p>
            <w:pPr>
              <w:pStyle w:val="0"/>
            </w:pPr>
            <w:r>
              <w:rPr>
                <w:sz w:val="20"/>
              </w:rPr>
              <w:t xml:space="preserve">С 33, С34</w:t>
            </w:r>
          </w:p>
        </w:tc>
        <w:tc>
          <w:tcPr>
            <w:tcW w:w="604" w:type="dxa"/>
          </w:tcPr>
          <w:p>
            <w:pPr>
              <w:pStyle w:val="0"/>
            </w:pPr>
            <w:r>
              <w:rPr>
                <w:sz w:val="20"/>
              </w:rPr>
              <w:t xml:space="preserve">36,1</w:t>
            </w:r>
          </w:p>
        </w:tc>
        <w:tc>
          <w:tcPr>
            <w:tcW w:w="604" w:type="dxa"/>
          </w:tcPr>
          <w:p>
            <w:pPr>
              <w:pStyle w:val="0"/>
            </w:pPr>
            <w:r>
              <w:rPr>
                <w:sz w:val="20"/>
              </w:rPr>
              <w:t xml:space="preserve">41,4</w:t>
            </w:r>
          </w:p>
        </w:tc>
        <w:tc>
          <w:tcPr>
            <w:tcW w:w="604" w:type="dxa"/>
          </w:tcPr>
          <w:p>
            <w:pPr>
              <w:pStyle w:val="0"/>
            </w:pPr>
            <w:r>
              <w:rPr>
                <w:sz w:val="20"/>
              </w:rPr>
              <w:t xml:space="preserve">40</w:t>
            </w:r>
          </w:p>
        </w:tc>
        <w:tc>
          <w:tcPr>
            <w:tcW w:w="604" w:type="dxa"/>
          </w:tcPr>
          <w:p>
            <w:pPr>
              <w:pStyle w:val="0"/>
            </w:pPr>
            <w:r>
              <w:rPr>
                <w:sz w:val="20"/>
              </w:rPr>
              <w:t xml:space="preserve">39,4</w:t>
            </w:r>
          </w:p>
        </w:tc>
        <w:tc>
          <w:tcPr>
            <w:tcW w:w="604" w:type="dxa"/>
          </w:tcPr>
          <w:p>
            <w:pPr>
              <w:pStyle w:val="0"/>
            </w:pPr>
            <w:r>
              <w:rPr>
                <w:sz w:val="20"/>
              </w:rPr>
              <w:t xml:space="preserve">39,4</w:t>
            </w:r>
          </w:p>
        </w:tc>
        <w:tc>
          <w:tcPr>
            <w:tcW w:w="604" w:type="dxa"/>
          </w:tcPr>
          <w:p>
            <w:pPr>
              <w:pStyle w:val="0"/>
            </w:pPr>
            <w:r>
              <w:rPr>
                <w:sz w:val="20"/>
              </w:rPr>
              <w:t xml:space="preserve">39,2</w:t>
            </w:r>
          </w:p>
        </w:tc>
        <w:tc>
          <w:tcPr>
            <w:tcW w:w="604" w:type="dxa"/>
          </w:tcPr>
          <w:p>
            <w:pPr>
              <w:pStyle w:val="0"/>
            </w:pPr>
            <w:r>
              <w:rPr>
                <w:sz w:val="20"/>
              </w:rPr>
              <w:t xml:space="preserve">36,5</w:t>
            </w:r>
          </w:p>
        </w:tc>
        <w:tc>
          <w:tcPr>
            <w:tcW w:w="604" w:type="dxa"/>
          </w:tcPr>
          <w:p>
            <w:pPr>
              <w:pStyle w:val="0"/>
            </w:pPr>
            <w:r>
              <w:rPr>
                <w:sz w:val="20"/>
              </w:rPr>
              <w:t xml:space="preserve">43,2</w:t>
            </w:r>
          </w:p>
        </w:tc>
        <w:tc>
          <w:tcPr>
            <w:tcW w:w="604" w:type="dxa"/>
          </w:tcPr>
          <w:p>
            <w:pPr>
              <w:pStyle w:val="0"/>
            </w:pPr>
            <w:r>
              <w:rPr>
                <w:sz w:val="20"/>
              </w:rPr>
              <w:t xml:space="preserve">42,1</w:t>
            </w:r>
          </w:p>
        </w:tc>
        <w:tc>
          <w:tcPr>
            <w:tcW w:w="604" w:type="dxa"/>
          </w:tcPr>
          <w:p>
            <w:pPr>
              <w:pStyle w:val="0"/>
            </w:pPr>
            <w:r>
              <w:rPr>
                <w:sz w:val="20"/>
              </w:rPr>
              <w:t xml:space="preserve">42,7</w:t>
            </w:r>
          </w:p>
        </w:tc>
        <w:tc>
          <w:tcPr>
            <w:tcW w:w="604" w:type="dxa"/>
          </w:tcPr>
          <w:p>
            <w:pPr>
              <w:pStyle w:val="0"/>
            </w:pPr>
            <w:r>
              <w:rPr>
                <w:sz w:val="20"/>
              </w:rPr>
              <w:t xml:space="preserve">45,5</w:t>
            </w:r>
          </w:p>
        </w:tc>
      </w:tr>
      <w:tr>
        <w:tc>
          <w:tcPr>
            <w:tcW w:w="2089" w:type="dxa"/>
          </w:tcPr>
          <w:p>
            <w:pPr>
              <w:pStyle w:val="0"/>
            </w:pPr>
            <w:r>
              <w:rPr>
                <w:sz w:val="20"/>
              </w:rPr>
              <w:t xml:space="preserve">Кости и суставные хрящи</w:t>
            </w:r>
          </w:p>
        </w:tc>
        <w:tc>
          <w:tcPr>
            <w:tcW w:w="1669" w:type="dxa"/>
          </w:tcPr>
          <w:p>
            <w:pPr>
              <w:pStyle w:val="0"/>
            </w:pPr>
            <w:r>
              <w:rPr>
                <w:sz w:val="20"/>
              </w:rPr>
              <w:t xml:space="preserve">С40; С41</w:t>
            </w:r>
          </w:p>
        </w:tc>
        <w:tc>
          <w:tcPr>
            <w:tcW w:w="604" w:type="dxa"/>
          </w:tcPr>
          <w:p>
            <w:pPr>
              <w:pStyle w:val="0"/>
            </w:pPr>
            <w:r>
              <w:rPr>
                <w:sz w:val="20"/>
              </w:rPr>
              <w:t xml:space="preserve">76,8</w:t>
            </w:r>
          </w:p>
        </w:tc>
        <w:tc>
          <w:tcPr>
            <w:tcW w:w="604" w:type="dxa"/>
          </w:tcPr>
          <w:p>
            <w:pPr>
              <w:pStyle w:val="0"/>
            </w:pPr>
            <w:r>
              <w:rPr>
                <w:sz w:val="20"/>
              </w:rPr>
              <w:t xml:space="preserve">70,6</w:t>
            </w:r>
          </w:p>
        </w:tc>
        <w:tc>
          <w:tcPr>
            <w:tcW w:w="604" w:type="dxa"/>
          </w:tcPr>
          <w:p>
            <w:pPr>
              <w:pStyle w:val="0"/>
            </w:pPr>
            <w:r>
              <w:rPr>
                <w:sz w:val="20"/>
              </w:rPr>
              <w:t xml:space="preserve">70,7</w:t>
            </w:r>
          </w:p>
        </w:tc>
        <w:tc>
          <w:tcPr>
            <w:tcW w:w="604" w:type="dxa"/>
          </w:tcPr>
          <w:p>
            <w:pPr>
              <w:pStyle w:val="0"/>
            </w:pPr>
            <w:r>
              <w:rPr>
                <w:sz w:val="20"/>
              </w:rPr>
              <w:t xml:space="preserve">73,5</w:t>
            </w:r>
          </w:p>
        </w:tc>
        <w:tc>
          <w:tcPr>
            <w:tcW w:w="604" w:type="dxa"/>
          </w:tcPr>
          <w:p>
            <w:pPr>
              <w:pStyle w:val="0"/>
            </w:pPr>
            <w:r>
              <w:rPr>
                <w:sz w:val="20"/>
              </w:rPr>
              <w:t xml:space="preserve">73,6</w:t>
            </w:r>
          </w:p>
        </w:tc>
        <w:tc>
          <w:tcPr>
            <w:tcW w:w="604" w:type="dxa"/>
          </w:tcPr>
          <w:p>
            <w:pPr>
              <w:pStyle w:val="0"/>
            </w:pPr>
            <w:r>
              <w:rPr>
                <w:sz w:val="20"/>
              </w:rPr>
              <w:t xml:space="preserve">73,6</w:t>
            </w:r>
          </w:p>
        </w:tc>
        <w:tc>
          <w:tcPr>
            <w:tcW w:w="604" w:type="dxa"/>
          </w:tcPr>
          <w:p>
            <w:pPr>
              <w:pStyle w:val="0"/>
            </w:pPr>
            <w:r>
              <w:rPr>
                <w:sz w:val="20"/>
              </w:rPr>
              <w:t xml:space="preserve">77,8</w:t>
            </w:r>
          </w:p>
        </w:tc>
        <w:tc>
          <w:tcPr>
            <w:tcW w:w="604" w:type="dxa"/>
          </w:tcPr>
          <w:p>
            <w:pPr>
              <w:pStyle w:val="0"/>
            </w:pPr>
            <w:r>
              <w:rPr>
                <w:sz w:val="20"/>
              </w:rPr>
              <w:t xml:space="preserve">77,7</w:t>
            </w:r>
          </w:p>
        </w:tc>
        <w:tc>
          <w:tcPr>
            <w:tcW w:w="604" w:type="dxa"/>
          </w:tcPr>
          <w:p>
            <w:pPr>
              <w:pStyle w:val="0"/>
            </w:pPr>
            <w:r>
              <w:rPr>
                <w:sz w:val="20"/>
              </w:rPr>
              <w:t xml:space="preserve">74,6</w:t>
            </w:r>
          </w:p>
        </w:tc>
        <w:tc>
          <w:tcPr>
            <w:tcW w:w="604" w:type="dxa"/>
          </w:tcPr>
          <w:p>
            <w:pPr>
              <w:pStyle w:val="0"/>
            </w:pPr>
            <w:r>
              <w:rPr>
                <w:sz w:val="20"/>
              </w:rPr>
              <w:t xml:space="preserve">70,3</w:t>
            </w:r>
          </w:p>
        </w:tc>
        <w:tc>
          <w:tcPr>
            <w:tcW w:w="604" w:type="dxa"/>
          </w:tcPr>
          <w:p>
            <w:pPr>
              <w:pStyle w:val="0"/>
            </w:pPr>
            <w:r>
              <w:rPr>
                <w:sz w:val="20"/>
              </w:rPr>
              <w:t xml:space="preserve">69,4</w:t>
            </w:r>
          </w:p>
        </w:tc>
      </w:tr>
      <w:tr>
        <w:tc>
          <w:tcPr>
            <w:tcW w:w="2089" w:type="dxa"/>
          </w:tcPr>
          <w:p>
            <w:pPr>
              <w:pStyle w:val="0"/>
            </w:pPr>
            <w:r>
              <w:rPr>
                <w:sz w:val="20"/>
              </w:rPr>
              <w:t xml:space="preserve">Меланома кожи</w:t>
            </w:r>
          </w:p>
        </w:tc>
        <w:tc>
          <w:tcPr>
            <w:tcW w:w="1669" w:type="dxa"/>
          </w:tcPr>
          <w:p>
            <w:pPr>
              <w:pStyle w:val="0"/>
            </w:pPr>
            <w:r>
              <w:rPr>
                <w:sz w:val="20"/>
              </w:rPr>
              <w:t xml:space="preserve">С 43</w:t>
            </w:r>
          </w:p>
        </w:tc>
        <w:tc>
          <w:tcPr>
            <w:tcW w:w="604" w:type="dxa"/>
          </w:tcPr>
          <w:p>
            <w:pPr>
              <w:pStyle w:val="0"/>
            </w:pPr>
            <w:r>
              <w:rPr>
                <w:sz w:val="20"/>
              </w:rPr>
              <w:t xml:space="preserve">51,1</w:t>
            </w:r>
          </w:p>
        </w:tc>
        <w:tc>
          <w:tcPr>
            <w:tcW w:w="604" w:type="dxa"/>
          </w:tcPr>
          <w:p>
            <w:pPr>
              <w:pStyle w:val="0"/>
            </w:pPr>
            <w:r>
              <w:rPr>
                <w:sz w:val="20"/>
              </w:rPr>
              <w:t xml:space="preserve">51,7</w:t>
            </w:r>
          </w:p>
        </w:tc>
        <w:tc>
          <w:tcPr>
            <w:tcW w:w="604" w:type="dxa"/>
          </w:tcPr>
          <w:p>
            <w:pPr>
              <w:pStyle w:val="0"/>
            </w:pPr>
            <w:r>
              <w:rPr>
                <w:sz w:val="20"/>
              </w:rPr>
              <w:t xml:space="preserve">54,5</w:t>
            </w:r>
          </w:p>
        </w:tc>
        <w:tc>
          <w:tcPr>
            <w:tcW w:w="604" w:type="dxa"/>
          </w:tcPr>
          <w:p>
            <w:pPr>
              <w:pStyle w:val="0"/>
            </w:pPr>
            <w:r>
              <w:rPr>
                <w:sz w:val="20"/>
              </w:rPr>
              <w:t xml:space="preserve">56,5</w:t>
            </w:r>
          </w:p>
        </w:tc>
        <w:tc>
          <w:tcPr>
            <w:tcW w:w="604" w:type="dxa"/>
          </w:tcPr>
          <w:p>
            <w:pPr>
              <w:pStyle w:val="0"/>
            </w:pPr>
            <w:r>
              <w:rPr>
                <w:sz w:val="20"/>
              </w:rPr>
              <w:t xml:space="preserve">56,4</w:t>
            </w:r>
          </w:p>
        </w:tc>
        <w:tc>
          <w:tcPr>
            <w:tcW w:w="604" w:type="dxa"/>
          </w:tcPr>
          <w:p>
            <w:pPr>
              <w:pStyle w:val="0"/>
            </w:pPr>
            <w:r>
              <w:rPr>
                <w:sz w:val="20"/>
              </w:rPr>
              <w:t xml:space="preserve">59,9</w:t>
            </w:r>
          </w:p>
        </w:tc>
        <w:tc>
          <w:tcPr>
            <w:tcW w:w="604" w:type="dxa"/>
          </w:tcPr>
          <w:p>
            <w:pPr>
              <w:pStyle w:val="0"/>
            </w:pPr>
            <w:r>
              <w:rPr>
                <w:sz w:val="20"/>
              </w:rPr>
              <w:t xml:space="preserve">59,9</w:t>
            </w:r>
          </w:p>
        </w:tc>
        <w:tc>
          <w:tcPr>
            <w:tcW w:w="604" w:type="dxa"/>
          </w:tcPr>
          <w:p>
            <w:pPr>
              <w:pStyle w:val="0"/>
            </w:pPr>
            <w:r>
              <w:rPr>
                <w:sz w:val="20"/>
              </w:rPr>
              <w:t xml:space="preserve">61,4</w:t>
            </w:r>
          </w:p>
        </w:tc>
        <w:tc>
          <w:tcPr>
            <w:tcW w:w="604" w:type="dxa"/>
          </w:tcPr>
          <w:p>
            <w:pPr>
              <w:pStyle w:val="0"/>
            </w:pPr>
            <w:r>
              <w:rPr>
                <w:sz w:val="20"/>
              </w:rPr>
              <w:t xml:space="preserve">61,0</w:t>
            </w:r>
          </w:p>
        </w:tc>
        <w:tc>
          <w:tcPr>
            <w:tcW w:w="604" w:type="dxa"/>
          </w:tcPr>
          <w:p>
            <w:pPr>
              <w:pStyle w:val="0"/>
            </w:pPr>
            <w:r>
              <w:rPr>
                <w:sz w:val="20"/>
              </w:rPr>
              <w:t xml:space="preserve">62,5</w:t>
            </w:r>
          </w:p>
        </w:tc>
        <w:tc>
          <w:tcPr>
            <w:tcW w:w="604" w:type="dxa"/>
          </w:tcPr>
          <w:p>
            <w:pPr>
              <w:pStyle w:val="0"/>
            </w:pPr>
            <w:r>
              <w:rPr>
                <w:sz w:val="20"/>
              </w:rPr>
              <w:t xml:space="preserve">72,6</w:t>
            </w:r>
          </w:p>
        </w:tc>
      </w:tr>
      <w:tr>
        <w:tc>
          <w:tcPr>
            <w:tcW w:w="2089" w:type="dxa"/>
          </w:tcPr>
          <w:p>
            <w:pPr>
              <w:pStyle w:val="0"/>
            </w:pPr>
            <w:r>
              <w:rPr>
                <w:sz w:val="20"/>
              </w:rPr>
              <w:t xml:space="preserve">Другие новообразования кожи</w:t>
            </w:r>
          </w:p>
        </w:tc>
        <w:tc>
          <w:tcPr>
            <w:tcW w:w="1669" w:type="dxa"/>
          </w:tcPr>
          <w:p>
            <w:pPr>
              <w:pStyle w:val="0"/>
            </w:pPr>
            <w:r>
              <w:rPr>
                <w:sz w:val="20"/>
              </w:rPr>
              <w:t xml:space="preserve">С 44</w:t>
            </w:r>
          </w:p>
        </w:tc>
        <w:tc>
          <w:tcPr>
            <w:tcW w:w="604" w:type="dxa"/>
          </w:tcPr>
          <w:p>
            <w:pPr>
              <w:pStyle w:val="0"/>
            </w:pPr>
            <w:r>
              <w:rPr>
                <w:sz w:val="20"/>
              </w:rPr>
              <w:t xml:space="preserve">41</w:t>
            </w:r>
          </w:p>
        </w:tc>
        <w:tc>
          <w:tcPr>
            <w:tcW w:w="604" w:type="dxa"/>
          </w:tcPr>
          <w:p>
            <w:pPr>
              <w:pStyle w:val="0"/>
            </w:pPr>
            <w:r>
              <w:rPr>
                <w:sz w:val="20"/>
              </w:rPr>
              <w:t xml:space="preserve">41,1</w:t>
            </w:r>
          </w:p>
        </w:tc>
        <w:tc>
          <w:tcPr>
            <w:tcW w:w="604" w:type="dxa"/>
          </w:tcPr>
          <w:p>
            <w:pPr>
              <w:pStyle w:val="0"/>
            </w:pPr>
            <w:r>
              <w:rPr>
                <w:sz w:val="20"/>
              </w:rPr>
              <w:t xml:space="preserve">37,9</w:t>
            </w:r>
          </w:p>
        </w:tc>
        <w:tc>
          <w:tcPr>
            <w:tcW w:w="604" w:type="dxa"/>
          </w:tcPr>
          <w:p>
            <w:pPr>
              <w:pStyle w:val="0"/>
            </w:pPr>
            <w:r>
              <w:rPr>
                <w:sz w:val="20"/>
              </w:rPr>
              <w:t xml:space="preserve">36,3</w:t>
            </w:r>
          </w:p>
        </w:tc>
        <w:tc>
          <w:tcPr>
            <w:tcW w:w="604" w:type="dxa"/>
          </w:tcPr>
          <w:p>
            <w:pPr>
              <w:pStyle w:val="0"/>
            </w:pPr>
            <w:r>
              <w:rPr>
                <w:sz w:val="20"/>
              </w:rPr>
              <w:t xml:space="preserve">34,9</w:t>
            </w:r>
          </w:p>
        </w:tc>
        <w:tc>
          <w:tcPr>
            <w:tcW w:w="604" w:type="dxa"/>
          </w:tcPr>
          <w:p>
            <w:pPr>
              <w:pStyle w:val="0"/>
            </w:pPr>
            <w:r>
              <w:rPr>
                <w:sz w:val="20"/>
              </w:rPr>
              <w:t xml:space="preserve">34,6</w:t>
            </w:r>
          </w:p>
        </w:tc>
        <w:tc>
          <w:tcPr>
            <w:tcW w:w="604" w:type="dxa"/>
          </w:tcPr>
          <w:p>
            <w:pPr>
              <w:pStyle w:val="0"/>
            </w:pPr>
            <w:r>
              <w:rPr>
                <w:sz w:val="20"/>
              </w:rPr>
              <w:t xml:space="preserve">34</w:t>
            </w:r>
          </w:p>
        </w:tc>
        <w:tc>
          <w:tcPr>
            <w:tcW w:w="604" w:type="dxa"/>
          </w:tcPr>
          <w:p>
            <w:pPr>
              <w:pStyle w:val="0"/>
            </w:pPr>
            <w:r>
              <w:rPr>
                <w:sz w:val="20"/>
              </w:rPr>
              <w:t xml:space="preserve">37,6</w:t>
            </w:r>
          </w:p>
        </w:tc>
        <w:tc>
          <w:tcPr>
            <w:tcW w:w="604" w:type="dxa"/>
          </w:tcPr>
          <w:p>
            <w:pPr>
              <w:pStyle w:val="0"/>
            </w:pPr>
            <w:r>
              <w:rPr>
                <w:sz w:val="20"/>
              </w:rPr>
              <w:t xml:space="preserve">35,7</w:t>
            </w:r>
          </w:p>
        </w:tc>
        <w:tc>
          <w:tcPr>
            <w:tcW w:w="604" w:type="dxa"/>
          </w:tcPr>
          <w:p>
            <w:pPr>
              <w:pStyle w:val="0"/>
            </w:pPr>
            <w:r>
              <w:rPr>
                <w:sz w:val="20"/>
              </w:rPr>
              <w:t xml:space="preserve">37,6</w:t>
            </w:r>
          </w:p>
        </w:tc>
        <w:tc>
          <w:tcPr>
            <w:tcW w:w="604" w:type="dxa"/>
          </w:tcPr>
          <w:p>
            <w:pPr>
              <w:pStyle w:val="0"/>
            </w:pPr>
            <w:r>
              <w:rPr>
                <w:sz w:val="20"/>
              </w:rPr>
              <w:t xml:space="preserve">н/д</w:t>
            </w:r>
          </w:p>
        </w:tc>
      </w:tr>
      <w:tr>
        <w:tc>
          <w:tcPr>
            <w:tcW w:w="2089" w:type="dxa"/>
          </w:tcPr>
          <w:p>
            <w:pPr>
              <w:pStyle w:val="0"/>
            </w:pPr>
            <w:r>
              <w:rPr>
                <w:sz w:val="20"/>
              </w:rPr>
              <w:t xml:space="preserve">Соединительной и других мягких тканей</w:t>
            </w:r>
          </w:p>
        </w:tc>
        <w:tc>
          <w:tcPr>
            <w:tcW w:w="1669" w:type="dxa"/>
          </w:tcPr>
          <w:p>
            <w:pPr>
              <w:pStyle w:val="0"/>
            </w:pPr>
            <w:r>
              <w:rPr>
                <w:sz w:val="20"/>
              </w:rPr>
              <w:t xml:space="preserve">С47, С49</w:t>
            </w:r>
          </w:p>
        </w:tc>
        <w:tc>
          <w:tcPr>
            <w:tcW w:w="604" w:type="dxa"/>
          </w:tcPr>
          <w:p>
            <w:pPr>
              <w:pStyle w:val="0"/>
            </w:pPr>
            <w:r>
              <w:rPr>
                <w:sz w:val="20"/>
              </w:rPr>
              <w:t xml:space="preserve">53</w:t>
            </w:r>
          </w:p>
        </w:tc>
        <w:tc>
          <w:tcPr>
            <w:tcW w:w="604" w:type="dxa"/>
          </w:tcPr>
          <w:p>
            <w:pPr>
              <w:pStyle w:val="0"/>
            </w:pPr>
            <w:r>
              <w:rPr>
                <w:sz w:val="20"/>
              </w:rPr>
              <w:t xml:space="preserve">55,1</w:t>
            </w:r>
          </w:p>
        </w:tc>
        <w:tc>
          <w:tcPr>
            <w:tcW w:w="604" w:type="dxa"/>
          </w:tcPr>
          <w:p>
            <w:pPr>
              <w:pStyle w:val="0"/>
            </w:pPr>
            <w:r>
              <w:rPr>
                <w:sz w:val="20"/>
              </w:rPr>
              <w:t xml:space="preserve">53,5</w:t>
            </w:r>
          </w:p>
        </w:tc>
        <w:tc>
          <w:tcPr>
            <w:tcW w:w="604" w:type="dxa"/>
          </w:tcPr>
          <w:p>
            <w:pPr>
              <w:pStyle w:val="0"/>
            </w:pPr>
            <w:r>
              <w:rPr>
                <w:sz w:val="20"/>
              </w:rPr>
              <w:t xml:space="preserve">58,9</w:t>
            </w:r>
          </w:p>
        </w:tc>
        <w:tc>
          <w:tcPr>
            <w:tcW w:w="604" w:type="dxa"/>
          </w:tcPr>
          <w:p>
            <w:pPr>
              <w:pStyle w:val="0"/>
            </w:pPr>
            <w:r>
              <w:rPr>
                <w:sz w:val="20"/>
              </w:rPr>
              <w:t xml:space="preserve">59,8</w:t>
            </w:r>
          </w:p>
        </w:tc>
        <w:tc>
          <w:tcPr>
            <w:tcW w:w="604" w:type="dxa"/>
          </w:tcPr>
          <w:p>
            <w:pPr>
              <w:pStyle w:val="0"/>
            </w:pPr>
            <w:r>
              <w:rPr>
                <w:sz w:val="20"/>
              </w:rPr>
              <w:t xml:space="preserve">59,8</w:t>
            </w:r>
          </w:p>
        </w:tc>
        <w:tc>
          <w:tcPr>
            <w:tcW w:w="604" w:type="dxa"/>
          </w:tcPr>
          <w:p>
            <w:pPr>
              <w:pStyle w:val="0"/>
            </w:pPr>
            <w:r>
              <w:rPr>
                <w:sz w:val="20"/>
              </w:rPr>
              <w:t xml:space="preserve">62,3</w:t>
            </w:r>
          </w:p>
        </w:tc>
        <w:tc>
          <w:tcPr>
            <w:tcW w:w="604" w:type="dxa"/>
          </w:tcPr>
          <w:p>
            <w:pPr>
              <w:pStyle w:val="0"/>
            </w:pPr>
            <w:r>
              <w:rPr>
                <w:sz w:val="20"/>
              </w:rPr>
              <w:t xml:space="preserve">63,6</w:t>
            </w:r>
          </w:p>
        </w:tc>
        <w:tc>
          <w:tcPr>
            <w:tcW w:w="604" w:type="dxa"/>
          </w:tcPr>
          <w:p>
            <w:pPr>
              <w:pStyle w:val="0"/>
            </w:pPr>
            <w:r>
              <w:rPr>
                <w:sz w:val="20"/>
              </w:rPr>
              <w:t xml:space="preserve">63,0</w:t>
            </w:r>
          </w:p>
        </w:tc>
        <w:tc>
          <w:tcPr>
            <w:tcW w:w="604" w:type="dxa"/>
          </w:tcPr>
          <w:p>
            <w:pPr>
              <w:pStyle w:val="0"/>
            </w:pPr>
            <w:r>
              <w:rPr>
                <w:sz w:val="20"/>
              </w:rPr>
              <w:t xml:space="preserve">64,6</w:t>
            </w:r>
          </w:p>
        </w:tc>
        <w:tc>
          <w:tcPr>
            <w:tcW w:w="604" w:type="dxa"/>
          </w:tcPr>
          <w:p>
            <w:pPr>
              <w:pStyle w:val="0"/>
            </w:pPr>
            <w:r>
              <w:rPr>
                <w:sz w:val="20"/>
              </w:rPr>
              <w:t xml:space="preserve">н/д</w:t>
            </w:r>
          </w:p>
        </w:tc>
      </w:tr>
      <w:tr>
        <w:tc>
          <w:tcPr>
            <w:tcW w:w="2089" w:type="dxa"/>
          </w:tcPr>
          <w:p>
            <w:pPr>
              <w:pStyle w:val="0"/>
            </w:pPr>
            <w:r>
              <w:rPr>
                <w:sz w:val="20"/>
              </w:rPr>
              <w:t xml:space="preserve">Молочная железа</w:t>
            </w:r>
          </w:p>
        </w:tc>
        <w:tc>
          <w:tcPr>
            <w:tcW w:w="1669" w:type="dxa"/>
          </w:tcPr>
          <w:p>
            <w:pPr>
              <w:pStyle w:val="0"/>
            </w:pPr>
            <w:r>
              <w:rPr>
                <w:sz w:val="20"/>
              </w:rPr>
              <w:t xml:space="preserve">С 50</w:t>
            </w:r>
          </w:p>
        </w:tc>
        <w:tc>
          <w:tcPr>
            <w:tcW w:w="604" w:type="dxa"/>
          </w:tcPr>
          <w:p>
            <w:pPr>
              <w:pStyle w:val="0"/>
            </w:pPr>
            <w:r>
              <w:rPr>
                <w:sz w:val="20"/>
              </w:rPr>
              <w:t xml:space="preserve">51</w:t>
            </w:r>
          </w:p>
        </w:tc>
        <w:tc>
          <w:tcPr>
            <w:tcW w:w="604" w:type="dxa"/>
          </w:tcPr>
          <w:p>
            <w:pPr>
              <w:pStyle w:val="0"/>
            </w:pPr>
            <w:r>
              <w:rPr>
                <w:sz w:val="20"/>
              </w:rPr>
              <w:t xml:space="preserve">51</w:t>
            </w:r>
          </w:p>
        </w:tc>
        <w:tc>
          <w:tcPr>
            <w:tcW w:w="604" w:type="dxa"/>
          </w:tcPr>
          <w:p>
            <w:pPr>
              <w:pStyle w:val="0"/>
            </w:pPr>
            <w:r>
              <w:rPr>
                <w:sz w:val="20"/>
              </w:rPr>
              <w:t xml:space="preserve">56,4</w:t>
            </w:r>
          </w:p>
        </w:tc>
        <w:tc>
          <w:tcPr>
            <w:tcW w:w="604" w:type="dxa"/>
          </w:tcPr>
          <w:p>
            <w:pPr>
              <w:pStyle w:val="0"/>
            </w:pPr>
            <w:r>
              <w:rPr>
                <w:sz w:val="20"/>
              </w:rPr>
              <w:t xml:space="preserve">56,3</w:t>
            </w:r>
          </w:p>
        </w:tc>
        <w:tc>
          <w:tcPr>
            <w:tcW w:w="604" w:type="dxa"/>
          </w:tcPr>
          <w:p>
            <w:pPr>
              <w:pStyle w:val="0"/>
            </w:pPr>
            <w:r>
              <w:rPr>
                <w:sz w:val="20"/>
              </w:rPr>
              <w:t xml:space="preserve">56,7</w:t>
            </w:r>
          </w:p>
        </w:tc>
        <w:tc>
          <w:tcPr>
            <w:tcW w:w="604" w:type="dxa"/>
          </w:tcPr>
          <w:p>
            <w:pPr>
              <w:pStyle w:val="0"/>
            </w:pPr>
            <w:r>
              <w:rPr>
                <w:sz w:val="20"/>
              </w:rPr>
              <w:t xml:space="preserve">56,9</w:t>
            </w:r>
          </w:p>
        </w:tc>
        <w:tc>
          <w:tcPr>
            <w:tcW w:w="604" w:type="dxa"/>
          </w:tcPr>
          <w:p>
            <w:pPr>
              <w:pStyle w:val="0"/>
            </w:pPr>
            <w:r>
              <w:rPr>
                <w:sz w:val="20"/>
              </w:rPr>
              <w:t xml:space="preserve">58,2</w:t>
            </w:r>
          </w:p>
        </w:tc>
        <w:tc>
          <w:tcPr>
            <w:tcW w:w="604" w:type="dxa"/>
          </w:tcPr>
          <w:p>
            <w:pPr>
              <w:pStyle w:val="0"/>
            </w:pPr>
            <w:r>
              <w:rPr>
                <w:sz w:val="20"/>
              </w:rPr>
              <w:t xml:space="preserve">59,3</w:t>
            </w:r>
          </w:p>
        </w:tc>
        <w:tc>
          <w:tcPr>
            <w:tcW w:w="604" w:type="dxa"/>
          </w:tcPr>
          <w:p>
            <w:pPr>
              <w:pStyle w:val="0"/>
            </w:pPr>
            <w:r>
              <w:rPr>
                <w:sz w:val="20"/>
              </w:rPr>
              <w:t xml:space="preserve">59,0</w:t>
            </w:r>
          </w:p>
        </w:tc>
        <w:tc>
          <w:tcPr>
            <w:tcW w:w="604" w:type="dxa"/>
          </w:tcPr>
          <w:p>
            <w:pPr>
              <w:pStyle w:val="0"/>
            </w:pPr>
            <w:r>
              <w:rPr>
                <w:sz w:val="20"/>
              </w:rPr>
              <w:t xml:space="preserve">60,6</w:t>
            </w:r>
          </w:p>
        </w:tc>
        <w:tc>
          <w:tcPr>
            <w:tcW w:w="604" w:type="dxa"/>
          </w:tcPr>
          <w:p>
            <w:pPr>
              <w:pStyle w:val="0"/>
            </w:pPr>
            <w:r>
              <w:rPr>
                <w:sz w:val="20"/>
              </w:rPr>
              <w:t xml:space="preserve">74,1</w:t>
            </w:r>
          </w:p>
        </w:tc>
      </w:tr>
      <w:tr>
        <w:tc>
          <w:tcPr>
            <w:tcW w:w="2089" w:type="dxa"/>
          </w:tcPr>
          <w:p>
            <w:pPr>
              <w:pStyle w:val="0"/>
            </w:pPr>
            <w:r>
              <w:rPr>
                <w:sz w:val="20"/>
              </w:rPr>
              <w:t xml:space="preserve">Шейка матки</w:t>
            </w:r>
          </w:p>
        </w:tc>
        <w:tc>
          <w:tcPr>
            <w:tcW w:w="1669" w:type="dxa"/>
          </w:tcPr>
          <w:p>
            <w:pPr>
              <w:pStyle w:val="0"/>
            </w:pPr>
            <w:r>
              <w:rPr>
                <w:sz w:val="20"/>
              </w:rPr>
              <w:t xml:space="preserve">С 53</w:t>
            </w:r>
          </w:p>
        </w:tc>
        <w:tc>
          <w:tcPr>
            <w:tcW w:w="604" w:type="dxa"/>
          </w:tcPr>
          <w:p>
            <w:pPr>
              <w:pStyle w:val="0"/>
            </w:pPr>
            <w:r>
              <w:rPr>
                <w:sz w:val="20"/>
              </w:rPr>
              <w:t xml:space="preserve">60,4</w:t>
            </w:r>
          </w:p>
        </w:tc>
        <w:tc>
          <w:tcPr>
            <w:tcW w:w="604" w:type="dxa"/>
          </w:tcPr>
          <w:p>
            <w:pPr>
              <w:pStyle w:val="0"/>
            </w:pPr>
            <w:r>
              <w:rPr>
                <w:sz w:val="20"/>
              </w:rPr>
              <w:t xml:space="preserve">64,9</w:t>
            </w:r>
          </w:p>
        </w:tc>
        <w:tc>
          <w:tcPr>
            <w:tcW w:w="604" w:type="dxa"/>
          </w:tcPr>
          <w:p>
            <w:pPr>
              <w:pStyle w:val="0"/>
            </w:pPr>
            <w:r>
              <w:rPr>
                <w:sz w:val="20"/>
              </w:rPr>
              <w:t xml:space="preserve">66,7</w:t>
            </w:r>
          </w:p>
        </w:tc>
        <w:tc>
          <w:tcPr>
            <w:tcW w:w="604" w:type="dxa"/>
          </w:tcPr>
          <w:p>
            <w:pPr>
              <w:pStyle w:val="0"/>
            </w:pPr>
            <w:r>
              <w:rPr>
                <w:sz w:val="20"/>
              </w:rPr>
              <w:t xml:space="preserve">66,6</w:t>
            </w:r>
          </w:p>
        </w:tc>
        <w:tc>
          <w:tcPr>
            <w:tcW w:w="604" w:type="dxa"/>
          </w:tcPr>
          <w:p>
            <w:pPr>
              <w:pStyle w:val="0"/>
            </w:pPr>
            <w:r>
              <w:rPr>
                <w:sz w:val="20"/>
              </w:rPr>
              <w:t xml:space="preserve">68,6</w:t>
            </w:r>
          </w:p>
        </w:tc>
        <w:tc>
          <w:tcPr>
            <w:tcW w:w="604" w:type="dxa"/>
          </w:tcPr>
          <w:p>
            <w:pPr>
              <w:pStyle w:val="0"/>
            </w:pPr>
            <w:r>
              <w:rPr>
                <w:sz w:val="20"/>
              </w:rPr>
              <w:t xml:space="preserve">67,7</w:t>
            </w:r>
          </w:p>
        </w:tc>
        <w:tc>
          <w:tcPr>
            <w:tcW w:w="604" w:type="dxa"/>
          </w:tcPr>
          <w:p>
            <w:pPr>
              <w:pStyle w:val="0"/>
            </w:pPr>
            <w:r>
              <w:rPr>
                <w:sz w:val="20"/>
              </w:rPr>
              <w:t xml:space="preserve">67,6</w:t>
            </w:r>
          </w:p>
        </w:tc>
        <w:tc>
          <w:tcPr>
            <w:tcW w:w="604" w:type="dxa"/>
          </w:tcPr>
          <w:p>
            <w:pPr>
              <w:pStyle w:val="0"/>
            </w:pPr>
            <w:r>
              <w:rPr>
                <w:sz w:val="20"/>
              </w:rPr>
              <w:t xml:space="preserve">69,6</w:t>
            </w:r>
          </w:p>
        </w:tc>
        <w:tc>
          <w:tcPr>
            <w:tcW w:w="604" w:type="dxa"/>
          </w:tcPr>
          <w:p>
            <w:pPr>
              <w:pStyle w:val="0"/>
            </w:pPr>
            <w:r>
              <w:rPr>
                <w:sz w:val="20"/>
              </w:rPr>
              <w:t xml:space="preserve">67,1</w:t>
            </w:r>
          </w:p>
        </w:tc>
        <w:tc>
          <w:tcPr>
            <w:tcW w:w="604" w:type="dxa"/>
          </w:tcPr>
          <w:p>
            <w:pPr>
              <w:pStyle w:val="0"/>
            </w:pPr>
            <w:r>
              <w:rPr>
                <w:sz w:val="20"/>
              </w:rPr>
              <w:t xml:space="preserve">69,3</w:t>
            </w:r>
          </w:p>
        </w:tc>
        <w:tc>
          <w:tcPr>
            <w:tcW w:w="604" w:type="dxa"/>
          </w:tcPr>
          <w:p>
            <w:pPr>
              <w:pStyle w:val="0"/>
            </w:pPr>
            <w:r>
              <w:rPr>
                <w:sz w:val="20"/>
              </w:rPr>
              <w:t xml:space="preserve">69,6</w:t>
            </w:r>
          </w:p>
        </w:tc>
      </w:tr>
      <w:tr>
        <w:tc>
          <w:tcPr>
            <w:tcW w:w="2089" w:type="dxa"/>
          </w:tcPr>
          <w:p>
            <w:pPr>
              <w:pStyle w:val="0"/>
            </w:pPr>
            <w:r>
              <w:rPr>
                <w:sz w:val="20"/>
              </w:rPr>
              <w:t xml:space="preserve">Тела матки</w:t>
            </w:r>
          </w:p>
        </w:tc>
        <w:tc>
          <w:tcPr>
            <w:tcW w:w="1669" w:type="dxa"/>
          </w:tcPr>
          <w:p>
            <w:pPr>
              <w:pStyle w:val="0"/>
            </w:pPr>
            <w:r>
              <w:rPr>
                <w:sz w:val="20"/>
              </w:rPr>
              <w:t xml:space="preserve">С 54</w:t>
            </w:r>
          </w:p>
        </w:tc>
        <w:tc>
          <w:tcPr>
            <w:tcW w:w="604" w:type="dxa"/>
          </w:tcPr>
          <w:p>
            <w:pPr>
              <w:pStyle w:val="0"/>
            </w:pPr>
            <w:r>
              <w:rPr>
                <w:sz w:val="20"/>
              </w:rPr>
              <w:t xml:space="preserve">51,8</w:t>
            </w:r>
          </w:p>
        </w:tc>
        <w:tc>
          <w:tcPr>
            <w:tcW w:w="604" w:type="dxa"/>
          </w:tcPr>
          <w:p>
            <w:pPr>
              <w:pStyle w:val="0"/>
            </w:pPr>
            <w:r>
              <w:rPr>
                <w:sz w:val="20"/>
              </w:rPr>
              <w:t xml:space="preserve">54</w:t>
            </w:r>
          </w:p>
        </w:tc>
        <w:tc>
          <w:tcPr>
            <w:tcW w:w="604" w:type="dxa"/>
          </w:tcPr>
          <w:p>
            <w:pPr>
              <w:pStyle w:val="0"/>
            </w:pPr>
            <w:r>
              <w:rPr>
                <w:sz w:val="20"/>
              </w:rPr>
              <w:t xml:space="preserve">55,8</w:t>
            </w:r>
          </w:p>
        </w:tc>
        <w:tc>
          <w:tcPr>
            <w:tcW w:w="604" w:type="dxa"/>
          </w:tcPr>
          <w:p>
            <w:pPr>
              <w:pStyle w:val="0"/>
            </w:pPr>
            <w:r>
              <w:rPr>
                <w:sz w:val="20"/>
              </w:rPr>
              <w:t xml:space="preserve">57,3</w:t>
            </w:r>
          </w:p>
        </w:tc>
        <w:tc>
          <w:tcPr>
            <w:tcW w:w="604" w:type="dxa"/>
          </w:tcPr>
          <w:p>
            <w:pPr>
              <w:pStyle w:val="0"/>
            </w:pPr>
            <w:r>
              <w:rPr>
                <w:sz w:val="20"/>
              </w:rPr>
              <w:t xml:space="preserve">58</w:t>
            </w:r>
          </w:p>
        </w:tc>
        <w:tc>
          <w:tcPr>
            <w:tcW w:w="604" w:type="dxa"/>
          </w:tcPr>
          <w:p>
            <w:pPr>
              <w:pStyle w:val="0"/>
            </w:pPr>
            <w:r>
              <w:rPr>
                <w:sz w:val="20"/>
              </w:rPr>
              <w:t xml:space="preserve">59,9</w:t>
            </w:r>
          </w:p>
        </w:tc>
        <w:tc>
          <w:tcPr>
            <w:tcW w:w="604" w:type="dxa"/>
          </w:tcPr>
          <w:p>
            <w:pPr>
              <w:pStyle w:val="0"/>
            </w:pPr>
            <w:r>
              <w:rPr>
                <w:sz w:val="20"/>
              </w:rPr>
              <w:t xml:space="preserve">59,8</w:t>
            </w:r>
          </w:p>
        </w:tc>
        <w:tc>
          <w:tcPr>
            <w:tcW w:w="604" w:type="dxa"/>
          </w:tcPr>
          <w:p>
            <w:pPr>
              <w:pStyle w:val="0"/>
            </w:pPr>
            <w:r>
              <w:rPr>
                <w:sz w:val="20"/>
              </w:rPr>
              <w:t xml:space="preserve">60,7</w:t>
            </w:r>
          </w:p>
        </w:tc>
        <w:tc>
          <w:tcPr>
            <w:tcW w:w="604" w:type="dxa"/>
          </w:tcPr>
          <w:p>
            <w:pPr>
              <w:pStyle w:val="0"/>
            </w:pPr>
            <w:r>
              <w:rPr>
                <w:sz w:val="20"/>
              </w:rPr>
              <w:t xml:space="preserve">58,8</w:t>
            </w:r>
          </w:p>
        </w:tc>
        <w:tc>
          <w:tcPr>
            <w:tcW w:w="604" w:type="dxa"/>
          </w:tcPr>
          <w:p>
            <w:pPr>
              <w:pStyle w:val="0"/>
            </w:pPr>
            <w:r>
              <w:rPr>
                <w:sz w:val="20"/>
              </w:rPr>
              <w:t xml:space="preserve">59,9</w:t>
            </w:r>
          </w:p>
        </w:tc>
        <w:tc>
          <w:tcPr>
            <w:tcW w:w="604" w:type="dxa"/>
          </w:tcPr>
          <w:p>
            <w:pPr>
              <w:pStyle w:val="0"/>
            </w:pPr>
            <w:r>
              <w:rPr>
                <w:sz w:val="20"/>
              </w:rPr>
              <w:t xml:space="preserve">73,5</w:t>
            </w:r>
          </w:p>
        </w:tc>
      </w:tr>
      <w:tr>
        <w:tc>
          <w:tcPr>
            <w:tcW w:w="2089" w:type="dxa"/>
          </w:tcPr>
          <w:p>
            <w:pPr>
              <w:pStyle w:val="0"/>
            </w:pPr>
            <w:r>
              <w:rPr>
                <w:sz w:val="20"/>
              </w:rPr>
              <w:t xml:space="preserve">Яичники</w:t>
            </w:r>
          </w:p>
        </w:tc>
        <w:tc>
          <w:tcPr>
            <w:tcW w:w="1669" w:type="dxa"/>
          </w:tcPr>
          <w:p>
            <w:pPr>
              <w:pStyle w:val="0"/>
            </w:pPr>
            <w:r>
              <w:rPr>
                <w:sz w:val="20"/>
              </w:rPr>
              <w:t xml:space="preserve">С 56</w:t>
            </w:r>
          </w:p>
        </w:tc>
        <w:tc>
          <w:tcPr>
            <w:tcW w:w="604" w:type="dxa"/>
          </w:tcPr>
          <w:p>
            <w:pPr>
              <w:pStyle w:val="0"/>
            </w:pPr>
            <w:r>
              <w:rPr>
                <w:sz w:val="20"/>
              </w:rPr>
              <w:t xml:space="preserve">52</w:t>
            </w:r>
          </w:p>
        </w:tc>
        <w:tc>
          <w:tcPr>
            <w:tcW w:w="604" w:type="dxa"/>
          </w:tcPr>
          <w:p>
            <w:pPr>
              <w:pStyle w:val="0"/>
            </w:pPr>
            <w:r>
              <w:rPr>
                <w:sz w:val="20"/>
              </w:rPr>
              <w:t xml:space="preserve">55,2</w:t>
            </w:r>
          </w:p>
        </w:tc>
        <w:tc>
          <w:tcPr>
            <w:tcW w:w="604" w:type="dxa"/>
          </w:tcPr>
          <w:p>
            <w:pPr>
              <w:pStyle w:val="0"/>
            </w:pPr>
            <w:r>
              <w:rPr>
                <w:sz w:val="20"/>
              </w:rPr>
              <w:t xml:space="preserve">57,9</w:t>
            </w:r>
          </w:p>
        </w:tc>
        <w:tc>
          <w:tcPr>
            <w:tcW w:w="604" w:type="dxa"/>
          </w:tcPr>
          <w:p>
            <w:pPr>
              <w:pStyle w:val="0"/>
            </w:pPr>
            <w:r>
              <w:rPr>
                <w:sz w:val="20"/>
              </w:rPr>
              <w:t xml:space="preserve">62,8</w:t>
            </w:r>
          </w:p>
        </w:tc>
        <w:tc>
          <w:tcPr>
            <w:tcW w:w="604" w:type="dxa"/>
          </w:tcPr>
          <w:p>
            <w:pPr>
              <w:pStyle w:val="0"/>
            </w:pPr>
            <w:r>
              <w:rPr>
                <w:sz w:val="20"/>
              </w:rPr>
              <w:t xml:space="preserve">60,9</w:t>
            </w:r>
          </w:p>
        </w:tc>
        <w:tc>
          <w:tcPr>
            <w:tcW w:w="604" w:type="dxa"/>
          </w:tcPr>
          <w:p>
            <w:pPr>
              <w:pStyle w:val="0"/>
            </w:pPr>
            <w:r>
              <w:rPr>
                <w:sz w:val="20"/>
              </w:rPr>
              <w:t xml:space="preserve">63,3</w:t>
            </w:r>
          </w:p>
        </w:tc>
        <w:tc>
          <w:tcPr>
            <w:tcW w:w="604" w:type="dxa"/>
          </w:tcPr>
          <w:p>
            <w:pPr>
              <w:pStyle w:val="0"/>
            </w:pPr>
            <w:r>
              <w:rPr>
                <w:sz w:val="20"/>
              </w:rPr>
              <w:t xml:space="preserve">63,4</w:t>
            </w:r>
          </w:p>
        </w:tc>
        <w:tc>
          <w:tcPr>
            <w:tcW w:w="604" w:type="dxa"/>
          </w:tcPr>
          <w:p>
            <w:pPr>
              <w:pStyle w:val="0"/>
            </w:pPr>
            <w:r>
              <w:rPr>
                <w:sz w:val="20"/>
              </w:rPr>
              <w:t xml:space="preserve">64,6</w:t>
            </w:r>
          </w:p>
        </w:tc>
        <w:tc>
          <w:tcPr>
            <w:tcW w:w="604" w:type="dxa"/>
          </w:tcPr>
          <w:p>
            <w:pPr>
              <w:pStyle w:val="0"/>
            </w:pPr>
            <w:r>
              <w:rPr>
                <w:sz w:val="20"/>
              </w:rPr>
              <w:t xml:space="preserve">60,0</w:t>
            </w:r>
          </w:p>
        </w:tc>
        <w:tc>
          <w:tcPr>
            <w:tcW w:w="604" w:type="dxa"/>
          </w:tcPr>
          <w:p>
            <w:pPr>
              <w:pStyle w:val="0"/>
            </w:pPr>
            <w:r>
              <w:rPr>
                <w:sz w:val="20"/>
              </w:rPr>
              <w:t xml:space="preserve">60,7</w:t>
            </w:r>
          </w:p>
        </w:tc>
        <w:tc>
          <w:tcPr>
            <w:tcW w:w="604" w:type="dxa"/>
          </w:tcPr>
          <w:p>
            <w:pPr>
              <w:pStyle w:val="0"/>
            </w:pPr>
            <w:r>
              <w:rPr>
                <w:sz w:val="20"/>
              </w:rPr>
              <w:t xml:space="preserve">67,8</w:t>
            </w:r>
          </w:p>
        </w:tc>
      </w:tr>
      <w:tr>
        <w:tc>
          <w:tcPr>
            <w:tcW w:w="2089" w:type="dxa"/>
          </w:tcPr>
          <w:p>
            <w:pPr>
              <w:pStyle w:val="0"/>
            </w:pPr>
            <w:r>
              <w:rPr>
                <w:sz w:val="20"/>
              </w:rPr>
              <w:t xml:space="preserve">Предстательная железа</w:t>
            </w:r>
          </w:p>
        </w:tc>
        <w:tc>
          <w:tcPr>
            <w:tcW w:w="1669" w:type="dxa"/>
          </w:tcPr>
          <w:p>
            <w:pPr>
              <w:pStyle w:val="0"/>
            </w:pPr>
            <w:r>
              <w:rPr>
                <w:sz w:val="20"/>
              </w:rPr>
              <w:t xml:space="preserve">С 61</w:t>
            </w:r>
          </w:p>
        </w:tc>
        <w:tc>
          <w:tcPr>
            <w:tcW w:w="604" w:type="dxa"/>
          </w:tcPr>
          <w:p>
            <w:pPr>
              <w:pStyle w:val="0"/>
            </w:pPr>
            <w:r>
              <w:rPr>
                <w:sz w:val="20"/>
              </w:rPr>
              <w:t xml:space="preserve">19</w:t>
            </w:r>
          </w:p>
        </w:tc>
        <w:tc>
          <w:tcPr>
            <w:tcW w:w="604" w:type="dxa"/>
          </w:tcPr>
          <w:p>
            <w:pPr>
              <w:pStyle w:val="0"/>
            </w:pPr>
            <w:r>
              <w:rPr>
                <w:sz w:val="20"/>
              </w:rPr>
              <w:t xml:space="preserve">19,1</w:t>
            </w:r>
          </w:p>
        </w:tc>
        <w:tc>
          <w:tcPr>
            <w:tcW w:w="604" w:type="dxa"/>
          </w:tcPr>
          <w:p>
            <w:pPr>
              <w:pStyle w:val="0"/>
            </w:pPr>
            <w:r>
              <w:rPr>
                <w:sz w:val="20"/>
              </w:rPr>
              <w:t xml:space="preserve">23,9</w:t>
            </w:r>
          </w:p>
        </w:tc>
        <w:tc>
          <w:tcPr>
            <w:tcW w:w="604" w:type="dxa"/>
          </w:tcPr>
          <w:p>
            <w:pPr>
              <w:pStyle w:val="0"/>
            </w:pPr>
            <w:r>
              <w:rPr>
                <w:sz w:val="20"/>
              </w:rPr>
              <w:t xml:space="preserve">25,6</w:t>
            </w:r>
          </w:p>
        </w:tc>
        <w:tc>
          <w:tcPr>
            <w:tcW w:w="604" w:type="dxa"/>
          </w:tcPr>
          <w:p>
            <w:pPr>
              <w:pStyle w:val="0"/>
            </w:pPr>
            <w:r>
              <w:rPr>
                <w:sz w:val="20"/>
              </w:rPr>
              <w:t xml:space="preserve">28</w:t>
            </w:r>
          </w:p>
        </w:tc>
        <w:tc>
          <w:tcPr>
            <w:tcW w:w="604" w:type="dxa"/>
          </w:tcPr>
          <w:p>
            <w:pPr>
              <w:pStyle w:val="0"/>
            </w:pPr>
            <w:r>
              <w:rPr>
                <w:sz w:val="20"/>
              </w:rPr>
              <w:t xml:space="preserve">32,2</w:t>
            </w:r>
          </w:p>
        </w:tc>
        <w:tc>
          <w:tcPr>
            <w:tcW w:w="604" w:type="dxa"/>
          </w:tcPr>
          <w:p>
            <w:pPr>
              <w:pStyle w:val="0"/>
            </w:pPr>
            <w:r>
              <w:rPr>
                <w:sz w:val="20"/>
              </w:rPr>
              <w:t xml:space="preserve">32,5</w:t>
            </w:r>
          </w:p>
        </w:tc>
        <w:tc>
          <w:tcPr>
            <w:tcW w:w="604" w:type="dxa"/>
          </w:tcPr>
          <w:p>
            <w:pPr>
              <w:pStyle w:val="0"/>
            </w:pPr>
            <w:r>
              <w:rPr>
                <w:sz w:val="20"/>
              </w:rPr>
              <w:t xml:space="preserve">38,4</w:t>
            </w:r>
          </w:p>
        </w:tc>
        <w:tc>
          <w:tcPr>
            <w:tcW w:w="604" w:type="dxa"/>
          </w:tcPr>
          <w:p>
            <w:pPr>
              <w:pStyle w:val="0"/>
            </w:pPr>
            <w:r>
              <w:rPr>
                <w:sz w:val="20"/>
              </w:rPr>
              <w:t xml:space="preserve">40,2</w:t>
            </w:r>
          </w:p>
        </w:tc>
        <w:tc>
          <w:tcPr>
            <w:tcW w:w="604" w:type="dxa"/>
          </w:tcPr>
          <w:p>
            <w:pPr>
              <w:pStyle w:val="0"/>
            </w:pPr>
            <w:r>
              <w:rPr>
                <w:sz w:val="20"/>
              </w:rPr>
              <w:t xml:space="preserve">41,9</w:t>
            </w:r>
          </w:p>
        </w:tc>
        <w:tc>
          <w:tcPr>
            <w:tcW w:w="604" w:type="dxa"/>
          </w:tcPr>
          <w:p>
            <w:pPr>
              <w:pStyle w:val="0"/>
            </w:pPr>
            <w:r>
              <w:rPr>
                <w:sz w:val="20"/>
              </w:rPr>
              <w:t xml:space="preserve">55,4</w:t>
            </w:r>
          </w:p>
        </w:tc>
      </w:tr>
      <w:tr>
        <w:tc>
          <w:tcPr>
            <w:tcW w:w="2089" w:type="dxa"/>
          </w:tcPr>
          <w:p>
            <w:pPr>
              <w:pStyle w:val="0"/>
            </w:pPr>
            <w:r>
              <w:rPr>
                <w:sz w:val="20"/>
              </w:rPr>
              <w:t xml:space="preserve">Почка</w:t>
            </w:r>
          </w:p>
        </w:tc>
        <w:tc>
          <w:tcPr>
            <w:tcW w:w="1669" w:type="dxa"/>
          </w:tcPr>
          <w:p>
            <w:pPr>
              <w:pStyle w:val="0"/>
            </w:pPr>
            <w:r>
              <w:rPr>
                <w:sz w:val="20"/>
              </w:rPr>
              <w:t xml:space="preserve">С 64</w:t>
            </w:r>
          </w:p>
        </w:tc>
        <w:tc>
          <w:tcPr>
            <w:tcW w:w="604" w:type="dxa"/>
          </w:tcPr>
          <w:p>
            <w:pPr>
              <w:pStyle w:val="0"/>
            </w:pPr>
            <w:r>
              <w:rPr>
                <w:sz w:val="20"/>
              </w:rPr>
              <w:t xml:space="preserve">46,2</w:t>
            </w:r>
          </w:p>
        </w:tc>
        <w:tc>
          <w:tcPr>
            <w:tcW w:w="604" w:type="dxa"/>
          </w:tcPr>
          <w:p>
            <w:pPr>
              <w:pStyle w:val="0"/>
            </w:pPr>
            <w:r>
              <w:rPr>
                <w:sz w:val="20"/>
              </w:rPr>
              <w:t xml:space="preserve">48,9</w:t>
            </w:r>
          </w:p>
        </w:tc>
        <w:tc>
          <w:tcPr>
            <w:tcW w:w="604" w:type="dxa"/>
          </w:tcPr>
          <w:p>
            <w:pPr>
              <w:pStyle w:val="0"/>
            </w:pPr>
            <w:r>
              <w:rPr>
                <w:sz w:val="20"/>
              </w:rPr>
              <w:t xml:space="preserve">52,1</w:t>
            </w:r>
          </w:p>
        </w:tc>
        <w:tc>
          <w:tcPr>
            <w:tcW w:w="604" w:type="dxa"/>
          </w:tcPr>
          <w:p>
            <w:pPr>
              <w:pStyle w:val="0"/>
            </w:pPr>
            <w:r>
              <w:rPr>
                <w:sz w:val="20"/>
              </w:rPr>
              <w:t xml:space="preserve">53,5</w:t>
            </w:r>
          </w:p>
        </w:tc>
        <w:tc>
          <w:tcPr>
            <w:tcW w:w="604" w:type="dxa"/>
          </w:tcPr>
          <w:p>
            <w:pPr>
              <w:pStyle w:val="0"/>
            </w:pPr>
            <w:r>
              <w:rPr>
                <w:sz w:val="20"/>
              </w:rPr>
              <w:t xml:space="preserve">52,2</w:t>
            </w:r>
          </w:p>
        </w:tc>
        <w:tc>
          <w:tcPr>
            <w:tcW w:w="604" w:type="dxa"/>
          </w:tcPr>
          <w:p>
            <w:pPr>
              <w:pStyle w:val="0"/>
            </w:pPr>
            <w:r>
              <w:rPr>
                <w:sz w:val="20"/>
              </w:rPr>
              <w:t xml:space="preserve">54,9</w:t>
            </w:r>
          </w:p>
        </w:tc>
        <w:tc>
          <w:tcPr>
            <w:tcW w:w="604" w:type="dxa"/>
          </w:tcPr>
          <w:p>
            <w:pPr>
              <w:pStyle w:val="0"/>
            </w:pPr>
            <w:r>
              <w:rPr>
                <w:sz w:val="20"/>
              </w:rPr>
              <w:t xml:space="preserve">56,5</w:t>
            </w:r>
          </w:p>
        </w:tc>
        <w:tc>
          <w:tcPr>
            <w:tcW w:w="604" w:type="dxa"/>
          </w:tcPr>
          <w:p>
            <w:pPr>
              <w:pStyle w:val="0"/>
            </w:pPr>
            <w:r>
              <w:rPr>
                <w:sz w:val="20"/>
              </w:rPr>
              <w:t xml:space="preserve">58,4</w:t>
            </w:r>
          </w:p>
        </w:tc>
        <w:tc>
          <w:tcPr>
            <w:tcW w:w="604" w:type="dxa"/>
          </w:tcPr>
          <w:p>
            <w:pPr>
              <w:pStyle w:val="0"/>
            </w:pPr>
            <w:r>
              <w:rPr>
                <w:sz w:val="20"/>
              </w:rPr>
              <w:t xml:space="preserve">57,1</w:t>
            </w:r>
          </w:p>
        </w:tc>
        <w:tc>
          <w:tcPr>
            <w:tcW w:w="604" w:type="dxa"/>
          </w:tcPr>
          <w:p>
            <w:pPr>
              <w:pStyle w:val="0"/>
            </w:pPr>
            <w:r>
              <w:rPr>
                <w:sz w:val="20"/>
              </w:rPr>
              <w:t xml:space="preserve">60,6</w:t>
            </w:r>
          </w:p>
        </w:tc>
        <w:tc>
          <w:tcPr>
            <w:tcW w:w="604" w:type="dxa"/>
          </w:tcPr>
          <w:p>
            <w:pPr>
              <w:pStyle w:val="0"/>
            </w:pPr>
            <w:r>
              <w:rPr>
                <w:sz w:val="20"/>
              </w:rPr>
              <w:t xml:space="preserve">н/д</w:t>
            </w:r>
          </w:p>
        </w:tc>
      </w:tr>
      <w:tr>
        <w:tc>
          <w:tcPr>
            <w:tcW w:w="2089" w:type="dxa"/>
          </w:tcPr>
          <w:p>
            <w:pPr>
              <w:pStyle w:val="0"/>
            </w:pPr>
            <w:r>
              <w:rPr>
                <w:sz w:val="20"/>
              </w:rPr>
              <w:t xml:space="preserve">Мочевой пузырь</w:t>
            </w:r>
          </w:p>
        </w:tc>
        <w:tc>
          <w:tcPr>
            <w:tcW w:w="1669" w:type="dxa"/>
          </w:tcPr>
          <w:p>
            <w:pPr>
              <w:pStyle w:val="0"/>
            </w:pPr>
            <w:r>
              <w:rPr>
                <w:sz w:val="20"/>
              </w:rPr>
              <w:t xml:space="preserve">С 67</w:t>
            </w:r>
          </w:p>
        </w:tc>
        <w:tc>
          <w:tcPr>
            <w:tcW w:w="604" w:type="dxa"/>
          </w:tcPr>
          <w:p>
            <w:pPr>
              <w:pStyle w:val="0"/>
            </w:pPr>
            <w:r>
              <w:rPr>
                <w:sz w:val="20"/>
              </w:rPr>
              <w:t xml:space="preserve">46,7</w:t>
            </w:r>
          </w:p>
        </w:tc>
        <w:tc>
          <w:tcPr>
            <w:tcW w:w="604" w:type="dxa"/>
          </w:tcPr>
          <w:p>
            <w:pPr>
              <w:pStyle w:val="0"/>
            </w:pPr>
            <w:r>
              <w:rPr>
                <w:sz w:val="20"/>
              </w:rPr>
              <w:t xml:space="preserve">46,5</w:t>
            </w:r>
          </w:p>
        </w:tc>
        <w:tc>
          <w:tcPr>
            <w:tcW w:w="604" w:type="dxa"/>
          </w:tcPr>
          <w:p>
            <w:pPr>
              <w:pStyle w:val="0"/>
            </w:pPr>
            <w:r>
              <w:rPr>
                <w:sz w:val="20"/>
              </w:rPr>
              <w:t xml:space="preserve">47,4</w:t>
            </w:r>
          </w:p>
        </w:tc>
        <w:tc>
          <w:tcPr>
            <w:tcW w:w="604" w:type="dxa"/>
          </w:tcPr>
          <w:p>
            <w:pPr>
              <w:pStyle w:val="0"/>
            </w:pPr>
            <w:r>
              <w:rPr>
                <w:sz w:val="20"/>
              </w:rPr>
              <w:t xml:space="preserve">49,4</w:t>
            </w:r>
          </w:p>
        </w:tc>
        <w:tc>
          <w:tcPr>
            <w:tcW w:w="604" w:type="dxa"/>
          </w:tcPr>
          <w:p>
            <w:pPr>
              <w:pStyle w:val="0"/>
            </w:pPr>
            <w:r>
              <w:rPr>
                <w:sz w:val="20"/>
              </w:rPr>
              <w:t xml:space="preserve">49,7</w:t>
            </w:r>
          </w:p>
        </w:tc>
        <w:tc>
          <w:tcPr>
            <w:tcW w:w="604" w:type="dxa"/>
          </w:tcPr>
          <w:p>
            <w:pPr>
              <w:pStyle w:val="0"/>
            </w:pPr>
            <w:r>
              <w:rPr>
                <w:sz w:val="20"/>
              </w:rPr>
              <w:t xml:space="preserve">51,4</w:t>
            </w:r>
          </w:p>
        </w:tc>
        <w:tc>
          <w:tcPr>
            <w:tcW w:w="604" w:type="dxa"/>
          </w:tcPr>
          <w:p>
            <w:pPr>
              <w:pStyle w:val="0"/>
            </w:pPr>
            <w:r>
              <w:rPr>
                <w:sz w:val="20"/>
              </w:rPr>
              <w:t xml:space="preserve">51,9</w:t>
            </w:r>
          </w:p>
        </w:tc>
        <w:tc>
          <w:tcPr>
            <w:tcW w:w="604" w:type="dxa"/>
          </w:tcPr>
          <w:p>
            <w:pPr>
              <w:pStyle w:val="0"/>
            </w:pPr>
            <w:r>
              <w:rPr>
                <w:sz w:val="20"/>
              </w:rPr>
              <w:t xml:space="preserve">55</w:t>
            </w:r>
          </w:p>
        </w:tc>
        <w:tc>
          <w:tcPr>
            <w:tcW w:w="604" w:type="dxa"/>
          </w:tcPr>
          <w:p>
            <w:pPr>
              <w:pStyle w:val="0"/>
            </w:pPr>
            <w:r>
              <w:rPr>
                <w:sz w:val="20"/>
              </w:rPr>
              <w:t xml:space="preserve">54,0</w:t>
            </w:r>
          </w:p>
        </w:tc>
        <w:tc>
          <w:tcPr>
            <w:tcW w:w="604" w:type="dxa"/>
          </w:tcPr>
          <w:p>
            <w:pPr>
              <w:pStyle w:val="0"/>
            </w:pPr>
            <w:r>
              <w:rPr>
                <w:sz w:val="20"/>
              </w:rPr>
              <w:t xml:space="preserve">55,6</w:t>
            </w:r>
          </w:p>
        </w:tc>
        <w:tc>
          <w:tcPr>
            <w:tcW w:w="604" w:type="dxa"/>
          </w:tcPr>
          <w:p>
            <w:pPr>
              <w:pStyle w:val="0"/>
            </w:pPr>
            <w:r>
              <w:rPr>
                <w:sz w:val="20"/>
              </w:rPr>
              <w:t xml:space="preserve">59,9</w:t>
            </w:r>
          </w:p>
        </w:tc>
      </w:tr>
      <w:tr>
        <w:tc>
          <w:tcPr>
            <w:tcW w:w="2089" w:type="dxa"/>
          </w:tcPr>
          <w:p>
            <w:pPr>
              <w:pStyle w:val="0"/>
            </w:pPr>
            <w:r>
              <w:rPr>
                <w:sz w:val="20"/>
              </w:rPr>
              <w:t xml:space="preserve">Щитовидная железа</w:t>
            </w:r>
          </w:p>
        </w:tc>
        <w:tc>
          <w:tcPr>
            <w:tcW w:w="1669" w:type="dxa"/>
          </w:tcPr>
          <w:p>
            <w:pPr>
              <w:pStyle w:val="0"/>
            </w:pPr>
            <w:r>
              <w:rPr>
                <w:sz w:val="20"/>
              </w:rPr>
              <w:t xml:space="preserve">С 73</w:t>
            </w:r>
          </w:p>
        </w:tc>
        <w:tc>
          <w:tcPr>
            <w:tcW w:w="604" w:type="dxa"/>
          </w:tcPr>
          <w:p>
            <w:pPr>
              <w:pStyle w:val="0"/>
            </w:pPr>
            <w:r>
              <w:rPr>
                <w:sz w:val="20"/>
              </w:rPr>
              <w:t xml:space="preserve">67,4</w:t>
            </w:r>
          </w:p>
        </w:tc>
        <w:tc>
          <w:tcPr>
            <w:tcW w:w="604" w:type="dxa"/>
          </w:tcPr>
          <w:p>
            <w:pPr>
              <w:pStyle w:val="0"/>
            </w:pPr>
            <w:r>
              <w:rPr>
                <w:sz w:val="20"/>
              </w:rPr>
              <w:t xml:space="preserve">69,6</w:t>
            </w:r>
          </w:p>
        </w:tc>
        <w:tc>
          <w:tcPr>
            <w:tcW w:w="604" w:type="dxa"/>
          </w:tcPr>
          <w:p>
            <w:pPr>
              <w:pStyle w:val="0"/>
            </w:pPr>
            <w:r>
              <w:rPr>
                <w:sz w:val="20"/>
              </w:rPr>
              <w:t xml:space="preserve">70,2</w:t>
            </w:r>
          </w:p>
        </w:tc>
        <w:tc>
          <w:tcPr>
            <w:tcW w:w="604" w:type="dxa"/>
          </w:tcPr>
          <w:p>
            <w:pPr>
              <w:pStyle w:val="0"/>
            </w:pPr>
            <w:r>
              <w:rPr>
                <w:sz w:val="20"/>
              </w:rPr>
              <w:t xml:space="preserve">71,9</w:t>
            </w:r>
          </w:p>
        </w:tc>
        <w:tc>
          <w:tcPr>
            <w:tcW w:w="604" w:type="dxa"/>
          </w:tcPr>
          <w:p>
            <w:pPr>
              <w:pStyle w:val="0"/>
            </w:pPr>
            <w:r>
              <w:rPr>
                <w:sz w:val="20"/>
              </w:rPr>
              <w:t xml:space="preserve">70,9</w:t>
            </w:r>
          </w:p>
        </w:tc>
        <w:tc>
          <w:tcPr>
            <w:tcW w:w="604" w:type="dxa"/>
          </w:tcPr>
          <w:p>
            <w:pPr>
              <w:pStyle w:val="0"/>
            </w:pPr>
            <w:r>
              <w:rPr>
                <w:sz w:val="20"/>
              </w:rPr>
              <w:t xml:space="preserve">70,2</w:t>
            </w:r>
          </w:p>
        </w:tc>
        <w:tc>
          <w:tcPr>
            <w:tcW w:w="604" w:type="dxa"/>
          </w:tcPr>
          <w:p>
            <w:pPr>
              <w:pStyle w:val="0"/>
            </w:pPr>
            <w:r>
              <w:rPr>
                <w:sz w:val="20"/>
              </w:rPr>
              <w:t xml:space="preserve">69,7</w:t>
            </w:r>
          </w:p>
        </w:tc>
        <w:tc>
          <w:tcPr>
            <w:tcW w:w="604" w:type="dxa"/>
          </w:tcPr>
          <w:p>
            <w:pPr>
              <w:pStyle w:val="0"/>
            </w:pPr>
            <w:r>
              <w:rPr>
                <w:sz w:val="20"/>
              </w:rPr>
              <w:t xml:space="preserve">71,1</w:t>
            </w:r>
          </w:p>
        </w:tc>
        <w:tc>
          <w:tcPr>
            <w:tcW w:w="604" w:type="dxa"/>
          </w:tcPr>
          <w:p>
            <w:pPr>
              <w:pStyle w:val="0"/>
            </w:pPr>
            <w:r>
              <w:rPr>
                <w:sz w:val="20"/>
              </w:rPr>
              <w:t xml:space="preserve">69,8</w:t>
            </w:r>
          </w:p>
        </w:tc>
        <w:tc>
          <w:tcPr>
            <w:tcW w:w="604" w:type="dxa"/>
          </w:tcPr>
          <w:p>
            <w:pPr>
              <w:pStyle w:val="0"/>
            </w:pPr>
            <w:r>
              <w:rPr>
                <w:sz w:val="20"/>
              </w:rPr>
              <w:t xml:space="preserve">69,8</w:t>
            </w:r>
          </w:p>
        </w:tc>
        <w:tc>
          <w:tcPr>
            <w:tcW w:w="604" w:type="dxa"/>
          </w:tcPr>
          <w:p>
            <w:pPr>
              <w:pStyle w:val="0"/>
            </w:pPr>
            <w:r>
              <w:rPr>
                <w:sz w:val="20"/>
              </w:rPr>
              <w:t xml:space="preserve">84,6</w:t>
            </w:r>
          </w:p>
        </w:tc>
      </w:tr>
      <w:tr>
        <w:tc>
          <w:tcPr>
            <w:tcW w:w="2089" w:type="dxa"/>
          </w:tcPr>
          <w:p>
            <w:pPr>
              <w:pStyle w:val="0"/>
            </w:pPr>
            <w:r>
              <w:rPr>
                <w:sz w:val="20"/>
              </w:rPr>
              <w:t xml:space="preserve">Злокач. лимфома</w:t>
            </w:r>
          </w:p>
        </w:tc>
        <w:tc>
          <w:tcPr>
            <w:tcW w:w="1669" w:type="dxa"/>
          </w:tcPr>
          <w:p>
            <w:pPr>
              <w:pStyle w:val="0"/>
            </w:pPr>
            <w:r>
              <w:rPr>
                <w:sz w:val="20"/>
              </w:rPr>
              <w:t xml:space="preserve">(С 81 - 86, 88, 90, 96)</w:t>
            </w:r>
          </w:p>
        </w:tc>
        <w:tc>
          <w:tcPr>
            <w:tcW w:w="604" w:type="dxa"/>
          </w:tcPr>
          <w:p>
            <w:pPr>
              <w:pStyle w:val="0"/>
            </w:pPr>
            <w:r>
              <w:rPr>
                <w:sz w:val="20"/>
              </w:rPr>
              <w:t xml:space="preserve">49,2</w:t>
            </w:r>
          </w:p>
        </w:tc>
        <w:tc>
          <w:tcPr>
            <w:tcW w:w="604" w:type="dxa"/>
          </w:tcPr>
          <w:p>
            <w:pPr>
              <w:pStyle w:val="0"/>
            </w:pPr>
            <w:r>
              <w:rPr>
                <w:sz w:val="20"/>
              </w:rPr>
              <w:t xml:space="preserve">51,5</w:t>
            </w:r>
          </w:p>
        </w:tc>
        <w:tc>
          <w:tcPr>
            <w:tcW w:w="604" w:type="dxa"/>
          </w:tcPr>
          <w:p>
            <w:pPr>
              <w:pStyle w:val="0"/>
            </w:pPr>
            <w:r>
              <w:rPr>
                <w:sz w:val="20"/>
              </w:rPr>
              <w:t xml:space="preserve">52,7</w:t>
            </w:r>
          </w:p>
        </w:tc>
        <w:tc>
          <w:tcPr>
            <w:tcW w:w="604" w:type="dxa"/>
          </w:tcPr>
          <w:p>
            <w:pPr>
              <w:pStyle w:val="0"/>
            </w:pPr>
            <w:r>
              <w:rPr>
                <w:sz w:val="20"/>
              </w:rPr>
              <w:t xml:space="preserve">54,3</w:t>
            </w:r>
          </w:p>
        </w:tc>
        <w:tc>
          <w:tcPr>
            <w:tcW w:w="604" w:type="dxa"/>
          </w:tcPr>
          <w:p>
            <w:pPr>
              <w:pStyle w:val="0"/>
            </w:pPr>
            <w:r>
              <w:rPr>
                <w:sz w:val="20"/>
              </w:rPr>
              <w:t xml:space="preserve">57,1</w:t>
            </w:r>
          </w:p>
        </w:tc>
        <w:tc>
          <w:tcPr>
            <w:tcW w:w="604" w:type="dxa"/>
          </w:tcPr>
          <w:p>
            <w:pPr>
              <w:pStyle w:val="0"/>
            </w:pPr>
            <w:r>
              <w:rPr>
                <w:sz w:val="20"/>
              </w:rPr>
              <w:t xml:space="preserve">57,1</w:t>
            </w:r>
          </w:p>
        </w:tc>
        <w:tc>
          <w:tcPr>
            <w:tcW w:w="604" w:type="dxa"/>
          </w:tcPr>
          <w:p>
            <w:pPr>
              <w:pStyle w:val="0"/>
            </w:pPr>
            <w:r>
              <w:rPr>
                <w:sz w:val="20"/>
              </w:rPr>
              <w:t xml:space="preserve">59,5</w:t>
            </w:r>
          </w:p>
        </w:tc>
        <w:tc>
          <w:tcPr>
            <w:tcW w:w="604" w:type="dxa"/>
          </w:tcPr>
          <w:p>
            <w:pPr>
              <w:pStyle w:val="0"/>
            </w:pPr>
            <w:r>
              <w:rPr>
                <w:sz w:val="20"/>
              </w:rPr>
              <w:t xml:space="preserve">61,7</w:t>
            </w:r>
          </w:p>
        </w:tc>
        <w:tc>
          <w:tcPr>
            <w:tcW w:w="604" w:type="dxa"/>
          </w:tcPr>
          <w:p>
            <w:pPr>
              <w:pStyle w:val="0"/>
            </w:pPr>
            <w:r>
              <w:rPr>
                <w:sz w:val="20"/>
              </w:rPr>
              <w:t xml:space="preserve">61,1</w:t>
            </w:r>
          </w:p>
        </w:tc>
        <w:tc>
          <w:tcPr>
            <w:tcW w:w="604" w:type="dxa"/>
          </w:tcPr>
          <w:p>
            <w:pPr>
              <w:pStyle w:val="0"/>
            </w:pPr>
            <w:r>
              <w:rPr>
                <w:sz w:val="20"/>
              </w:rPr>
              <w:t xml:space="preserve">61,8</w:t>
            </w:r>
          </w:p>
        </w:tc>
        <w:tc>
          <w:tcPr>
            <w:tcW w:w="604" w:type="dxa"/>
            <w:vMerge w:val="restart"/>
          </w:tcPr>
          <w:p>
            <w:pPr>
              <w:pStyle w:val="0"/>
            </w:pPr>
            <w:r>
              <w:rPr>
                <w:sz w:val="20"/>
              </w:rPr>
              <w:t xml:space="preserve">70,5</w:t>
            </w:r>
          </w:p>
        </w:tc>
      </w:tr>
      <w:tr>
        <w:tc>
          <w:tcPr>
            <w:tcW w:w="2089" w:type="dxa"/>
          </w:tcPr>
          <w:p>
            <w:pPr>
              <w:pStyle w:val="0"/>
            </w:pPr>
            <w:r>
              <w:rPr>
                <w:sz w:val="20"/>
              </w:rPr>
              <w:t xml:space="preserve">Лейкозы</w:t>
            </w:r>
          </w:p>
        </w:tc>
        <w:tc>
          <w:tcPr>
            <w:tcW w:w="1669" w:type="dxa"/>
          </w:tcPr>
          <w:p>
            <w:pPr>
              <w:pStyle w:val="0"/>
            </w:pPr>
            <w:r>
              <w:rPr>
                <w:sz w:val="20"/>
              </w:rPr>
              <w:t xml:space="preserve">(С 81 - 86, 88, 90, 96)</w:t>
            </w:r>
          </w:p>
        </w:tc>
        <w:tc>
          <w:tcPr>
            <w:tcW w:w="604" w:type="dxa"/>
          </w:tcPr>
          <w:p>
            <w:pPr>
              <w:pStyle w:val="0"/>
            </w:pPr>
            <w:r>
              <w:rPr>
                <w:sz w:val="20"/>
              </w:rPr>
              <w:t xml:space="preserve">35,9</w:t>
            </w:r>
          </w:p>
        </w:tc>
        <w:tc>
          <w:tcPr>
            <w:tcW w:w="604" w:type="dxa"/>
          </w:tcPr>
          <w:p>
            <w:pPr>
              <w:pStyle w:val="0"/>
            </w:pPr>
            <w:r>
              <w:rPr>
                <w:sz w:val="20"/>
              </w:rPr>
              <w:t xml:space="preserve">40,6</w:t>
            </w:r>
          </w:p>
        </w:tc>
        <w:tc>
          <w:tcPr>
            <w:tcW w:w="604" w:type="dxa"/>
          </w:tcPr>
          <w:p>
            <w:pPr>
              <w:pStyle w:val="0"/>
            </w:pPr>
            <w:r>
              <w:rPr>
                <w:sz w:val="20"/>
              </w:rPr>
              <w:t xml:space="preserve">44,7</w:t>
            </w:r>
          </w:p>
        </w:tc>
        <w:tc>
          <w:tcPr>
            <w:tcW w:w="604" w:type="dxa"/>
          </w:tcPr>
          <w:p>
            <w:pPr>
              <w:pStyle w:val="0"/>
            </w:pPr>
            <w:r>
              <w:rPr>
                <w:sz w:val="20"/>
              </w:rPr>
              <w:t xml:space="preserve">46,1</w:t>
            </w:r>
          </w:p>
        </w:tc>
        <w:tc>
          <w:tcPr>
            <w:tcW w:w="604" w:type="dxa"/>
          </w:tcPr>
          <w:p>
            <w:pPr>
              <w:pStyle w:val="0"/>
            </w:pPr>
            <w:r>
              <w:rPr>
                <w:sz w:val="20"/>
              </w:rPr>
              <w:t xml:space="preserve">49,5</w:t>
            </w:r>
          </w:p>
        </w:tc>
        <w:tc>
          <w:tcPr>
            <w:tcW w:w="604" w:type="dxa"/>
          </w:tcPr>
          <w:p>
            <w:pPr>
              <w:pStyle w:val="0"/>
            </w:pPr>
            <w:r>
              <w:rPr>
                <w:sz w:val="20"/>
              </w:rPr>
              <w:t xml:space="preserve">49,5</w:t>
            </w:r>
          </w:p>
        </w:tc>
        <w:tc>
          <w:tcPr>
            <w:tcW w:w="604" w:type="dxa"/>
          </w:tcPr>
          <w:p>
            <w:pPr>
              <w:pStyle w:val="0"/>
            </w:pPr>
            <w:r>
              <w:rPr>
                <w:sz w:val="20"/>
              </w:rPr>
              <w:t xml:space="preserve">61,6</w:t>
            </w:r>
          </w:p>
        </w:tc>
        <w:tc>
          <w:tcPr>
            <w:tcW w:w="604" w:type="dxa"/>
          </w:tcPr>
          <w:p>
            <w:pPr>
              <w:pStyle w:val="0"/>
            </w:pPr>
            <w:r>
              <w:rPr>
                <w:sz w:val="20"/>
              </w:rPr>
              <w:t xml:space="preserve">64,7</w:t>
            </w:r>
          </w:p>
        </w:tc>
        <w:tc>
          <w:tcPr>
            <w:tcW w:w="604" w:type="dxa"/>
          </w:tcPr>
          <w:p>
            <w:pPr>
              <w:pStyle w:val="0"/>
            </w:pPr>
            <w:r>
              <w:rPr>
                <w:sz w:val="20"/>
              </w:rPr>
              <w:t xml:space="preserve">63,2</w:t>
            </w:r>
          </w:p>
        </w:tc>
        <w:tc>
          <w:tcPr>
            <w:tcW w:w="604" w:type="dxa"/>
          </w:tcPr>
          <w:p>
            <w:pPr>
              <w:pStyle w:val="0"/>
            </w:pPr>
            <w:r>
              <w:rPr>
                <w:sz w:val="20"/>
              </w:rPr>
              <w:t xml:space="preserve">64,6</w:t>
            </w:r>
          </w:p>
        </w:tc>
        <w:tc>
          <w:tcPr>
            <w:vMerge w:val="continue"/>
          </w:tcPr>
          <w:p/>
        </w:tc>
      </w:tr>
    </w:tbl>
    <w:p>
      <w:pPr>
        <w:pStyle w:val="0"/>
        <w:ind w:firstLine="540"/>
        <w:jc w:val="both"/>
      </w:pPr>
      <w:r>
        <w:rPr>
          <w:sz w:val="20"/>
        </w:rPr>
      </w:r>
    </w:p>
    <w:p>
      <w:pPr>
        <w:pStyle w:val="0"/>
        <w:ind w:firstLine="540"/>
        <w:jc w:val="both"/>
      </w:pPr>
      <w:r>
        <w:rPr>
          <w:sz w:val="20"/>
        </w:rPr>
        <w:t xml:space="preserve">В 2022 году в автономном округе 19 506 пациентов (55,7% всех больных с ЗНО, находившихся под наблюдением) состояли на учете 5 лет и более.</w:t>
      </w:r>
    </w:p>
    <w:p>
      <w:pPr>
        <w:pStyle w:val="0"/>
        <w:spacing w:before="200" w:line-rule="auto"/>
        <w:ind w:firstLine="540"/>
        <w:jc w:val="both"/>
      </w:pPr>
      <w:r>
        <w:rPr>
          <w:sz w:val="20"/>
        </w:rPr>
        <w:t xml:space="preserve">Среди них больший удельный вес составляют пациенты с ЗНО следующих локализаций: молочной железы (20,8%), шейки матки (7,8%), почек (7,2%), щитовидной железы (6,7%), ободочной кишки (6,3%).</w:t>
      </w:r>
    </w:p>
    <w:p>
      <w:pPr>
        <w:pStyle w:val="0"/>
        <w:jc w:val="right"/>
      </w:pPr>
      <w:r>
        <w:rPr>
          <w:sz w:val="20"/>
        </w:rPr>
      </w:r>
    </w:p>
    <w:p>
      <w:pPr>
        <w:pStyle w:val="0"/>
        <w:jc w:val="right"/>
      </w:pPr>
      <w:r>
        <w:rPr>
          <w:sz w:val="20"/>
        </w:rPr>
        <w:t xml:space="preserve">Таблица 15</w:t>
      </w:r>
    </w:p>
    <w:p>
      <w:pPr>
        <w:pStyle w:val="0"/>
        <w:jc w:val="right"/>
      </w:pPr>
      <w:r>
        <w:rPr>
          <w:sz w:val="20"/>
        </w:rPr>
      </w:r>
    </w:p>
    <w:p>
      <w:pPr>
        <w:pStyle w:val="0"/>
        <w:jc w:val="center"/>
      </w:pPr>
      <w:r>
        <w:rPr>
          <w:sz w:val="20"/>
        </w:rPr>
        <w:t xml:space="preserve">Удельный вес больных, состоящих на учете 5 и более лет,</w:t>
      </w:r>
    </w:p>
    <w:p>
      <w:pPr>
        <w:pStyle w:val="0"/>
        <w:jc w:val="center"/>
      </w:pPr>
      <w:r>
        <w:rPr>
          <w:sz w:val="20"/>
        </w:rPr>
        <w:t xml:space="preserve">индекс накопления и летальность контингентов в разрезе</w:t>
      </w:r>
    </w:p>
    <w:p>
      <w:pPr>
        <w:pStyle w:val="0"/>
        <w:jc w:val="center"/>
      </w:pPr>
      <w:r>
        <w:rPr>
          <w:sz w:val="20"/>
        </w:rPr>
        <w:t xml:space="preserve">муниципальных образований автономного округа</w:t>
      </w:r>
    </w:p>
    <w:p>
      <w:pPr>
        <w:pStyle w:val="0"/>
        <w:jc w:val="center"/>
      </w:pPr>
      <w:r>
        <w:rPr>
          <w:sz w:val="20"/>
        </w:rPr>
        <w:t xml:space="preserve">в 2013 - 2017 годах, %</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604"/>
        <w:gridCol w:w="604"/>
        <w:gridCol w:w="604"/>
        <w:gridCol w:w="604"/>
        <w:gridCol w:w="604"/>
        <w:gridCol w:w="604"/>
        <w:gridCol w:w="604"/>
        <w:gridCol w:w="604"/>
        <w:gridCol w:w="604"/>
        <w:gridCol w:w="604"/>
        <w:gridCol w:w="604"/>
        <w:gridCol w:w="604"/>
        <w:gridCol w:w="604"/>
        <w:gridCol w:w="604"/>
        <w:gridCol w:w="604"/>
      </w:tblGrid>
      <w:tr>
        <w:tc>
          <w:tcPr>
            <w:tcW w:w="2211" w:type="dxa"/>
            <w:vMerge w:val="restart"/>
          </w:tcPr>
          <w:p>
            <w:pPr>
              <w:pStyle w:val="0"/>
              <w:jc w:val="center"/>
            </w:pPr>
            <w:r>
              <w:rPr>
                <w:sz w:val="20"/>
              </w:rPr>
              <w:t xml:space="preserve">Муниципальные районы и городские округа</w:t>
            </w:r>
          </w:p>
        </w:tc>
        <w:tc>
          <w:tcPr>
            <w:gridSpan w:val="5"/>
            <w:tcW w:w="3020" w:type="dxa"/>
          </w:tcPr>
          <w:p>
            <w:pPr>
              <w:pStyle w:val="0"/>
              <w:jc w:val="center"/>
            </w:pPr>
            <w:r>
              <w:rPr>
                <w:sz w:val="20"/>
              </w:rPr>
              <w:t xml:space="preserve">Удельный вес больных,</w:t>
            </w:r>
          </w:p>
        </w:tc>
        <w:tc>
          <w:tcPr>
            <w:gridSpan w:val="5"/>
            <w:tcW w:w="3020" w:type="dxa"/>
          </w:tcPr>
          <w:p>
            <w:pPr>
              <w:pStyle w:val="0"/>
              <w:jc w:val="center"/>
            </w:pPr>
            <w:r>
              <w:rPr>
                <w:sz w:val="20"/>
              </w:rPr>
              <w:t xml:space="preserve">Индекс накопления</w:t>
            </w:r>
          </w:p>
        </w:tc>
        <w:tc>
          <w:tcPr>
            <w:gridSpan w:val="5"/>
            <w:tcW w:w="3020" w:type="dxa"/>
          </w:tcPr>
          <w:p>
            <w:pPr>
              <w:pStyle w:val="0"/>
              <w:jc w:val="center"/>
            </w:pPr>
            <w:r>
              <w:rPr>
                <w:sz w:val="20"/>
              </w:rPr>
              <w:t xml:space="preserve">Летальность контингентов (%)</w:t>
            </w:r>
          </w:p>
        </w:tc>
      </w:tr>
      <w:tr>
        <w:tc>
          <w:tcPr>
            <w:vMerge w:val="continue"/>
          </w:tcPr>
          <w:p/>
        </w:tc>
        <w:tc>
          <w:tcPr>
            <w:tcW w:w="604" w:type="dxa"/>
          </w:tcPr>
          <w:p>
            <w:pPr>
              <w:pStyle w:val="0"/>
              <w:jc w:val="center"/>
            </w:pPr>
            <w:r>
              <w:rPr>
                <w:sz w:val="20"/>
              </w:rPr>
              <w:t xml:space="preserve">2013</w:t>
            </w:r>
          </w:p>
        </w:tc>
        <w:tc>
          <w:tcPr>
            <w:tcW w:w="604" w:type="dxa"/>
          </w:tcPr>
          <w:p>
            <w:pPr>
              <w:pStyle w:val="0"/>
              <w:jc w:val="center"/>
            </w:pPr>
            <w:r>
              <w:rPr>
                <w:sz w:val="20"/>
              </w:rPr>
              <w:t xml:space="preserve">2014</w:t>
            </w:r>
          </w:p>
        </w:tc>
        <w:tc>
          <w:tcPr>
            <w:tcW w:w="604" w:type="dxa"/>
          </w:tcPr>
          <w:p>
            <w:pPr>
              <w:pStyle w:val="0"/>
              <w:jc w:val="center"/>
            </w:pPr>
            <w:r>
              <w:rPr>
                <w:sz w:val="20"/>
              </w:rPr>
              <w:t xml:space="preserve">2015</w:t>
            </w:r>
          </w:p>
        </w:tc>
        <w:tc>
          <w:tcPr>
            <w:tcW w:w="604" w:type="dxa"/>
          </w:tcPr>
          <w:p>
            <w:pPr>
              <w:pStyle w:val="0"/>
              <w:jc w:val="center"/>
            </w:pPr>
            <w:r>
              <w:rPr>
                <w:sz w:val="20"/>
              </w:rPr>
              <w:t xml:space="preserve">2016</w:t>
            </w:r>
          </w:p>
        </w:tc>
        <w:tc>
          <w:tcPr>
            <w:tcW w:w="604" w:type="dxa"/>
          </w:tcPr>
          <w:p>
            <w:pPr>
              <w:pStyle w:val="0"/>
              <w:jc w:val="center"/>
            </w:pPr>
            <w:r>
              <w:rPr>
                <w:sz w:val="20"/>
              </w:rPr>
              <w:t xml:space="preserve">2017</w:t>
            </w:r>
          </w:p>
        </w:tc>
        <w:tc>
          <w:tcPr>
            <w:tcW w:w="604" w:type="dxa"/>
          </w:tcPr>
          <w:p>
            <w:pPr>
              <w:pStyle w:val="0"/>
              <w:jc w:val="center"/>
            </w:pPr>
            <w:r>
              <w:rPr>
                <w:sz w:val="20"/>
              </w:rPr>
              <w:t xml:space="preserve">2013</w:t>
            </w:r>
          </w:p>
        </w:tc>
        <w:tc>
          <w:tcPr>
            <w:tcW w:w="604" w:type="dxa"/>
          </w:tcPr>
          <w:p>
            <w:pPr>
              <w:pStyle w:val="0"/>
              <w:jc w:val="center"/>
            </w:pPr>
            <w:r>
              <w:rPr>
                <w:sz w:val="20"/>
              </w:rPr>
              <w:t xml:space="preserve">2014</w:t>
            </w:r>
          </w:p>
        </w:tc>
        <w:tc>
          <w:tcPr>
            <w:tcW w:w="604" w:type="dxa"/>
          </w:tcPr>
          <w:p>
            <w:pPr>
              <w:pStyle w:val="0"/>
              <w:jc w:val="center"/>
            </w:pPr>
            <w:r>
              <w:rPr>
                <w:sz w:val="20"/>
              </w:rPr>
              <w:t xml:space="preserve">2015</w:t>
            </w:r>
          </w:p>
        </w:tc>
        <w:tc>
          <w:tcPr>
            <w:tcW w:w="604" w:type="dxa"/>
          </w:tcPr>
          <w:p>
            <w:pPr>
              <w:pStyle w:val="0"/>
              <w:jc w:val="center"/>
            </w:pPr>
            <w:r>
              <w:rPr>
                <w:sz w:val="20"/>
              </w:rPr>
              <w:t xml:space="preserve">2016</w:t>
            </w:r>
          </w:p>
        </w:tc>
        <w:tc>
          <w:tcPr>
            <w:tcW w:w="604" w:type="dxa"/>
          </w:tcPr>
          <w:p>
            <w:pPr>
              <w:pStyle w:val="0"/>
              <w:jc w:val="center"/>
            </w:pPr>
            <w:r>
              <w:rPr>
                <w:sz w:val="20"/>
              </w:rPr>
              <w:t xml:space="preserve">2017</w:t>
            </w:r>
          </w:p>
        </w:tc>
        <w:tc>
          <w:tcPr>
            <w:tcW w:w="604" w:type="dxa"/>
          </w:tcPr>
          <w:p>
            <w:pPr>
              <w:pStyle w:val="0"/>
              <w:jc w:val="center"/>
            </w:pPr>
            <w:r>
              <w:rPr>
                <w:sz w:val="20"/>
              </w:rPr>
              <w:t xml:space="preserve">2013</w:t>
            </w:r>
          </w:p>
        </w:tc>
        <w:tc>
          <w:tcPr>
            <w:tcW w:w="604" w:type="dxa"/>
          </w:tcPr>
          <w:p>
            <w:pPr>
              <w:pStyle w:val="0"/>
              <w:jc w:val="center"/>
            </w:pPr>
            <w:r>
              <w:rPr>
                <w:sz w:val="20"/>
              </w:rPr>
              <w:t xml:space="preserve">2014</w:t>
            </w:r>
          </w:p>
        </w:tc>
        <w:tc>
          <w:tcPr>
            <w:tcW w:w="604" w:type="dxa"/>
          </w:tcPr>
          <w:p>
            <w:pPr>
              <w:pStyle w:val="0"/>
              <w:jc w:val="center"/>
            </w:pPr>
            <w:r>
              <w:rPr>
                <w:sz w:val="20"/>
              </w:rPr>
              <w:t xml:space="preserve">2015</w:t>
            </w:r>
          </w:p>
        </w:tc>
        <w:tc>
          <w:tcPr>
            <w:tcW w:w="604" w:type="dxa"/>
          </w:tcPr>
          <w:p>
            <w:pPr>
              <w:pStyle w:val="0"/>
              <w:jc w:val="center"/>
            </w:pPr>
            <w:r>
              <w:rPr>
                <w:sz w:val="20"/>
              </w:rPr>
              <w:t xml:space="preserve">2016</w:t>
            </w:r>
          </w:p>
        </w:tc>
        <w:tc>
          <w:tcPr>
            <w:tcW w:w="604" w:type="dxa"/>
          </w:tcPr>
          <w:p>
            <w:pPr>
              <w:pStyle w:val="0"/>
              <w:jc w:val="center"/>
            </w:pPr>
            <w:r>
              <w:rPr>
                <w:sz w:val="20"/>
              </w:rPr>
              <w:t xml:space="preserve">2017</w:t>
            </w:r>
          </w:p>
        </w:tc>
      </w:tr>
      <w:tr>
        <w:tc>
          <w:tcPr>
            <w:gridSpan w:val="16"/>
            <w:tcW w:w="11271" w:type="dxa"/>
          </w:tcPr>
          <w:p>
            <w:pPr>
              <w:pStyle w:val="0"/>
            </w:pPr>
            <w:r>
              <w:rPr>
                <w:sz w:val="20"/>
              </w:rPr>
              <w:t xml:space="preserve">Онкологический центр (г. Ханты-Мансийск)</w:t>
            </w:r>
          </w:p>
        </w:tc>
      </w:tr>
      <w:tr>
        <w:tc>
          <w:tcPr>
            <w:tcW w:w="2211" w:type="dxa"/>
          </w:tcPr>
          <w:p>
            <w:pPr>
              <w:pStyle w:val="0"/>
            </w:pPr>
            <w:r>
              <w:rPr>
                <w:sz w:val="20"/>
              </w:rPr>
              <w:t xml:space="preserve">Ханты-Мансийск</w:t>
            </w:r>
          </w:p>
        </w:tc>
        <w:tc>
          <w:tcPr>
            <w:tcW w:w="604" w:type="dxa"/>
          </w:tcPr>
          <w:p>
            <w:pPr>
              <w:pStyle w:val="0"/>
            </w:pPr>
            <w:r>
              <w:rPr>
                <w:sz w:val="20"/>
              </w:rPr>
              <w:t xml:space="preserve">51,8</w:t>
            </w:r>
          </w:p>
        </w:tc>
        <w:tc>
          <w:tcPr>
            <w:tcW w:w="604" w:type="dxa"/>
          </w:tcPr>
          <w:p>
            <w:pPr>
              <w:pStyle w:val="0"/>
            </w:pPr>
            <w:r>
              <w:rPr>
                <w:sz w:val="20"/>
              </w:rPr>
              <w:t xml:space="preserve">50,9</w:t>
            </w:r>
          </w:p>
        </w:tc>
        <w:tc>
          <w:tcPr>
            <w:tcW w:w="604" w:type="dxa"/>
          </w:tcPr>
          <w:p>
            <w:pPr>
              <w:pStyle w:val="0"/>
            </w:pPr>
            <w:r>
              <w:rPr>
                <w:sz w:val="20"/>
              </w:rPr>
              <w:t xml:space="preserve">51,7</w:t>
            </w:r>
          </w:p>
        </w:tc>
        <w:tc>
          <w:tcPr>
            <w:tcW w:w="604" w:type="dxa"/>
          </w:tcPr>
          <w:p>
            <w:pPr>
              <w:pStyle w:val="0"/>
            </w:pPr>
            <w:r>
              <w:rPr>
                <w:sz w:val="20"/>
              </w:rPr>
              <w:t xml:space="preserve">53,5</w:t>
            </w:r>
          </w:p>
        </w:tc>
        <w:tc>
          <w:tcPr>
            <w:tcW w:w="604" w:type="dxa"/>
          </w:tcPr>
          <w:p>
            <w:pPr>
              <w:pStyle w:val="0"/>
            </w:pPr>
            <w:r>
              <w:rPr>
                <w:sz w:val="20"/>
              </w:rPr>
              <w:t xml:space="preserve">52,6</w:t>
            </w:r>
          </w:p>
        </w:tc>
        <w:tc>
          <w:tcPr>
            <w:tcW w:w="604" w:type="dxa"/>
          </w:tcPr>
          <w:p>
            <w:pPr>
              <w:pStyle w:val="0"/>
            </w:pPr>
            <w:r>
              <w:rPr>
                <w:sz w:val="20"/>
              </w:rPr>
              <w:t xml:space="preserve">7,2</w:t>
            </w:r>
          </w:p>
        </w:tc>
        <w:tc>
          <w:tcPr>
            <w:tcW w:w="604" w:type="dxa"/>
          </w:tcPr>
          <w:p>
            <w:pPr>
              <w:pStyle w:val="0"/>
            </w:pPr>
            <w:r>
              <w:rPr>
                <w:sz w:val="20"/>
              </w:rPr>
              <w:t xml:space="preserve">6,5</w:t>
            </w:r>
          </w:p>
        </w:tc>
        <w:tc>
          <w:tcPr>
            <w:tcW w:w="604" w:type="dxa"/>
          </w:tcPr>
          <w:p>
            <w:pPr>
              <w:pStyle w:val="0"/>
            </w:pPr>
            <w:r>
              <w:rPr>
                <w:sz w:val="20"/>
              </w:rPr>
              <w:t xml:space="preserve">5,9</w:t>
            </w:r>
          </w:p>
        </w:tc>
        <w:tc>
          <w:tcPr>
            <w:tcW w:w="604" w:type="dxa"/>
          </w:tcPr>
          <w:p>
            <w:pPr>
              <w:pStyle w:val="0"/>
            </w:pPr>
            <w:r>
              <w:rPr>
                <w:sz w:val="20"/>
              </w:rPr>
              <w:t xml:space="preserve">7,2</w:t>
            </w:r>
          </w:p>
        </w:tc>
        <w:tc>
          <w:tcPr>
            <w:tcW w:w="604" w:type="dxa"/>
          </w:tcPr>
          <w:p>
            <w:pPr>
              <w:pStyle w:val="0"/>
            </w:pPr>
            <w:r>
              <w:rPr>
                <w:sz w:val="20"/>
              </w:rPr>
              <w:t xml:space="preserve">6,4</w:t>
            </w:r>
          </w:p>
        </w:tc>
        <w:tc>
          <w:tcPr>
            <w:tcW w:w="604" w:type="dxa"/>
          </w:tcPr>
          <w:p>
            <w:pPr>
              <w:pStyle w:val="0"/>
            </w:pPr>
            <w:r>
              <w:rPr>
                <w:sz w:val="20"/>
              </w:rPr>
              <w:t xml:space="preserve">7,1</w:t>
            </w:r>
          </w:p>
        </w:tc>
        <w:tc>
          <w:tcPr>
            <w:tcW w:w="604" w:type="dxa"/>
          </w:tcPr>
          <w:p>
            <w:pPr>
              <w:pStyle w:val="0"/>
            </w:pPr>
            <w:r>
              <w:rPr>
                <w:sz w:val="20"/>
              </w:rPr>
              <w:t xml:space="preserve">6,6</w:t>
            </w:r>
          </w:p>
        </w:tc>
        <w:tc>
          <w:tcPr>
            <w:tcW w:w="604" w:type="dxa"/>
          </w:tcPr>
          <w:p>
            <w:pPr>
              <w:pStyle w:val="0"/>
            </w:pPr>
            <w:r>
              <w:rPr>
                <w:sz w:val="20"/>
              </w:rPr>
              <w:t xml:space="preserve">7,3</w:t>
            </w:r>
          </w:p>
        </w:tc>
        <w:tc>
          <w:tcPr>
            <w:tcW w:w="604" w:type="dxa"/>
          </w:tcPr>
          <w:p>
            <w:pPr>
              <w:pStyle w:val="0"/>
            </w:pPr>
            <w:r>
              <w:rPr>
                <w:sz w:val="20"/>
              </w:rPr>
              <w:t xml:space="preserve">4,8</w:t>
            </w:r>
          </w:p>
        </w:tc>
        <w:tc>
          <w:tcPr>
            <w:tcW w:w="604" w:type="dxa"/>
          </w:tcPr>
          <w:p>
            <w:pPr>
              <w:pStyle w:val="0"/>
            </w:pPr>
            <w:r>
              <w:rPr>
                <w:sz w:val="20"/>
              </w:rPr>
              <w:t xml:space="preserve">6,7</w:t>
            </w:r>
          </w:p>
        </w:tc>
      </w:tr>
      <w:tr>
        <w:tc>
          <w:tcPr>
            <w:tcW w:w="2211" w:type="dxa"/>
          </w:tcPr>
          <w:p>
            <w:pPr>
              <w:pStyle w:val="0"/>
            </w:pPr>
            <w:r>
              <w:rPr>
                <w:sz w:val="20"/>
              </w:rPr>
              <w:t xml:space="preserve">Нягань</w:t>
            </w:r>
          </w:p>
        </w:tc>
        <w:tc>
          <w:tcPr>
            <w:tcW w:w="604" w:type="dxa"/>
          </w:tcPr>
          <w:p>
            <w:pPr>
              <w:pStyle w:val="0"/>
            </w:pPr>
            <w:r>
              <w:rPr>
                <w:sz w:val="20"/>
              </w:rPr>
              <w:t xml:space="preserve">43,4</w:t>
            </w:r>
          </w:p>
        </w:tc>
        <w:tc>
          <w:tcPr>
            <w:tcW w:w="604" w:type="dxa"/>
          </w:tcPr>
          <w:p>
            <w:pPr>
              <w:pStyle w:val="0"/>
            </w:pPr>
            <w:r>
              <w:rPr>
                <w:sz w:val="20"/>
              </w:rPr>
              <w:t xml:space="preserve">44,2</w:t>
            </w:r>
          </w:p>
        </w:tc>
        <w:tc>
          <w:tcPr>
            <w:tcW w:w="604" w:type="dxa"/>
          </w:tcPr>
          <w:p>
            <w:pPr>
              <w:pStyle w:val="0"/>
            </w:pPr>
            <w:r>
              <w:rPr>
                <w:sz w:val="20"/>
              </w:rPr>
              <w:t xml:space="preserve">45</w:t>
            </w:r>
          </w:p>
        </w:tc>
        <w:tc>
          <w:tcPr>
            <w:tcW w:w="604" w:type="dxa"/>
          </w:tcPr>
          <w:p>
            <w:pPr>
              <w:pStyle w:val="0"/>
            </w:pPr>
            <w:r>
              <w:rPr>
                <w:sz w:val="20"/>
              </w:rPr>
              <w:t xml:space="preserve">54,4</w:t>
            </w:r>
          </w:p>
        </w:tc>
        <w:tc>
          <w:tcPr>
            <w:tcW w:w="604" w:type="dxa"/>
          </w:tcPr>
          <w:p>
            <w:pPr>
              <w:pStyle w:val="0"/>
            </w:pPr>
            <w:r>
              <w:rPr>
                <w:sz w:val="20"/>
              </w:rPr>
              <w:t xml:space="preserve">48,1</w:t>
            </w:r>
          </w:p>
        </w:tc>
        <w:tc>
          <w:tcPr>
            <w:tcW w:w="604" w:type="dxa"/>
          </w:tcPr>
          <w:p>
            <w:pPr>
              <w:pStyle w:val="0"/>
            </w:pPr>
            <w:r>
              <w:rPr>
                <w:sz w:val="20"/>
              </w:rPr>
              <w:t xml:space="preserve">5,6</w:t>
            </w:r>
          </w:p>
        </w:tc>
        <w:tc>
          <w:tcPr>
            <w:tcW w:w="604" w:type="dxa"/>
          </w:tcPr>
          <w:p>
            <w:pPr>
              <w:pStyle w:val="0"/>
            </w:pPr>
            <w:r>
              <w:rPr>
                <w:sz w:val="20"/>
              </w:rPr>
              <w:t xml:space="preserve">5,3</w:t>
            </w:r>
          </w:p>
        </w:tc>
        <w:tc>
          <w:tcPr>
            <w:tcW w:w="604" w:type="dxa"/>
          </w:tcPr>
          <w:p>
            <w:pPr>
              <w:pStyle w:val="0"/>
            </w:pPr>
            <w:r>
              <w:rPr>
                <w:sz w:val="20"/>
              </w:rPr>
              <w:t xml:space="preserve">5,8</w:t>
            </w:r>
          </w:p>
        </w:tc>
        <w:tc>
          <w:tcPr>
            <w:tcW w:w="604" w:type="dxa"/>
          </w:tcPr>
          <w:p>
            <w:pPr>
              <w:pStyle w:val="0"/>
            </w:pPr>
            <w:r>
              <w:rPr>
                <w:sz w:val="20"/>
              </w:rPr>
              <w:t xml:space="preserve">6,1</w:t>
            </w:r>
          </w:p>
        </w:tc>
        <w:tc>
          <w:tcPr>
            <w:tcW w:w="604" w:type="dxa"/>
          </w:tcPr>
          <w:p>
            <w:pPr>
              <w:pStyle w:val="0"/>
            </w:pPr>
            <w:r>
              <w:rPr>
                <w:sz w:val="20"/>
              </w:rPr>
              <w:t xml:space="preserve">6,4</w:t>
            </w:r>
          </w:p>
        </w:tc>
        <w:tc>
          <w:tcPr>
            <w:tcW w:w="604" w:type="dxa"/>
          </w:tcPr>
          <w:p>
            <w:pPr>
              <w:pStyle w:val="0"/>
            </w:pPr>
            <w:r>
              <w:rPr>
                <w:sz w:val="20"/>
              </w:rPr>
              <w:t xml:space="preserve">7,6</w:t>
            </w:r>
          </w:p>
        </w:tc>
        <w:tc>
          <w:tcPr>
            <w:tcW w:w="604" w:type="dxa"/>
          </w:tcPr>
          <w:p>
            <w:pPr>
              <w:pStyle w:val="0"/>
            </w:pPr>
            <w:r>
              <w:rPr>
                <w:sz w:val="20"/>
              </w:rPr>
              <w:t xml:space="preserve">7,3</w:t>
            </w:r>
          </w:p>
        </w:tc>
        <w:tc>
          <w:tcPr>
            <w:tcW w:w="604" w:type="dxa"/>
          </w:tcPr>
          <w:p>
            <w:pPr>
              <w:pStyle w:val="0"/>
            </w:pPr>
            <w:r>
              <w:rPr>
                <w:sz w:val="20"/>
              </w:rPr>
              <w:t xml:space="preserve">6,6</w:t>
            </w:r>
          </w:p>
        </w:tc>
        <w:tc>
          <w:tcPr>
            <w:tcW w:w="604" w:type="dxa"/>
          </w:tcPr>
          <w:p>
            <w:pPr>
              <w:pStyle w:val="0"/>
            </w:pPr>
            <w:r>
              <w:rPr>
                <w:sz w:val="20"/>
              </w:rPr>
              <w:t xml:space="preserve">7</w:t>
            </w:r>
          </w:p>
        </w:tc>
        <w:tc>
          <w:tcPr>
            <w:tcW w:w="604" w:type="dxa"/>
          </w:tcPr>
          <w:p>
            <w:pPr>
              <w:pStyle w:val="0"/>
            </w:pPr>
            <w:r>
              <w:rPr>
                <w:sz w:val="20"/>
              </w:rPr>
              <w:t xml:space="preserve">7,7</w:t>
            </w:r>
          </w:p>
        </w:tc>
      </w:tr>
      <w:tr>
        <w:tc>
          <w:tcPr>
            <w:tcW w:w="2211" w:type="dxa"/>
          </w:tcPr>
          <w:p>
            <w:pPr>
              <w:pStyle w:val="0"/>
            </w:pPr>
            <w:r>
              <w:rPr>
                <w:sz w:val="20"/>
              </w:rPr>
              <w:t xml:space="preserve">Урай</w:t>
            </w:r>
          </w:p>
        </w:tc>
        <w:tc>
          <w:tcPr>
            <w:tcW w:w="604" w:type="dxa"/>
          </w:tcPr>
          <w:p>
            <w:pPr>
              <w:pStyle w:val="0"/>
            </w:pPr>
            <w:r>
              <w:rPr>
                <w:sz w:val="20"/>
              </w:rPr>
              <w:t xml:space="preserve">50,2</w:t>
            </w:r>
          </w:p>
        </w:tc>
        <w:tc>
          <w:tcPr>
            <w:tcW w:w="604" w:type="dxa"/>
          </w:tcPr>
          <w:p>
            <w:pPr>
              <w:pStyle w:val="0"/>
            </w:pPr>
            <w:r>
              <w:rPr>
                <w:sz w:val="20"/>
              </w:rPr>
              <w:t xml:space="preserve">50,1</w:t>
            </w:r>
          </w:p>
        </w:tc>
        <w:tc>
          <w:tcPr>
            <w:tcW w:w="604" w:type="dxa"/>
          </w:tcPr>
          <w:p>
            <w:pPr>
              <w:pStyle w:val="0"/>
            </w:pPr>
            <w:r>
              <w:rPr>
                <w:sz w:val="20"/>
              </w:rPr>
              <w:t xml:space="preserve">47</w:t>
            </w:r>
          </w:p>
        </w:tc>
        <w:tc>
          <w:tcPr>
            <w:tcW w:w="604" w:type="dxa"/>
          </w:tcPr>
          <w:p>
            <w:pPr>
              <w:pStyle w:val="0"/>
            </w:pPr>
            <w:r>
              <w:rPr>
                <w:sz w:val="20"/>
              </w:rPr>
              <w:t xml:space="preserve">47</w:t>
            </w:r>
          </w:p>
        </w:tc>
        <w:tc>
          <w:tcPr>
            <w:tcW w:w="604" w:type="dxa"/>
          </w:tcPr>
          <w:p>
            <w:pPr>
              <w:pStyle w:val="0"/>
            </w:pPr>
            <w:r>
              <w:rPr>
                <w:sz w:val="20"/>
              </w:rPr>
              <w:t xml:space="preserve">44,9</w:t>
            </w:r>
          </w:p>
        </w:tc>
        <w:tc>
          <w:tcPr>
            <w:tcW w:w="604" w:type="dxa"/>
          </w:tcPr>
          <w:p>
            <w:pPr>
              <w:pStyle w:val="0"/>
            </w:pPr>
            <w:r>
              <w:rPr>
                <w:sz w:val="20"/>
              </w:rPr>
              <w:t xml:space="preserve">6,4</w:t>
            </w:r>
          </w:p>
        </w:tc>
        <w:tc>
          <w:tcPr>
            <w:tcW w:w="604" w:type="dxa"/>
          </w:tcPr>
          <w:p>
            <w:pPr>
              <w:pStyle w:val="0"/>
            </w:pPr>
            <w:r>
              <w:rPr>
                <w:sz w:val="20"/>
              </w:rPr>
              <w:t xml:space="preserve">5,1</w:t>
            </w:r>
          </w:p>
        </w:tc>
        <w:tc>
          <w:tcPr>
            <w:tcW w:w="604" w:type="dxa"/>
          </w:tcPr>
          <w:p>
            <w:pPr>
              <w:pStyle w:val="0"/>
            </w:pPr>
            <w:r>
              <w:rPr>
                <w:sz w:val="20"/>
              </w:rPr>
              <w:t xml:space="preserve">6,7</w:t>
            </w:r>
          </w:p>
        </w:tc>
        <w:tc>
          <w:tcPr>
            <w:tcW w:w="604" w:type="dxa"/>
          </w:tcPr>
          <w:p>
            <w:pPr>
              <w:pStyle w:val="0"/>
            </w:pPr>
            <w:r>
              <w:rPr>
                <w:sz w:val="20"/>
              </w:rPr>
              <w:t xml:space="preserve">5,3</w:t>
            </w:r>
          </w:p>
        </w:tc>
        <w:tc>
          <w:tcPr>
            <w:tcW w:w="604" w:type="dxa"/>
          </w:tcPr>
          <w:p>
            <w:pPr>
              <w:pStyle w:val="0"/>
            </w:pPr>
            <w:r>
              <w:rPr>
                <w:sz w:val="20"/>
              </w:rPr>
              <w:t xml:space="preserve">4,4</w:t>
            </w:r>
          </w:p>
        </w:tc>
        <w:tc>
          <w:tcPr>
            <w:tcW w:w="604" w:type="dxa"/>
          </w:tcPr>
          <w:p>
            <w:pPr>
              <w:pStyle w:val="0"/>
            </w:pPr>
            <w:r>
              <w:rPr>
                <w:sz w:val="20"/>
              </w:rPr>
              <w:t xml:space="preserve">10</w:t>
            </w:r>
          </w:p>
        </w:tc>
        <w:tc>
          <w:tcPr>
            <w:tcW w:w="604" w:type="dxa"/>
          </w:tcPr>
          <w:p>
            <w:pPr>
              <w:pStyle w:val="0"/>
            </w:pPr>
            <w:r>
              <w:rPr>
                <w:sz w:val="20"/>
              </w:rPr>
              <w:t xml:space="preserve">7,8</w:t>
            </w:r>
          </w:p>
        </w:tc>
        <w:tc>
          <w:tcPr>
            <w:tcW w:w="604" w:type="dxa"/>
          </w:tcPr>
          <w:p>
            <w:pPr>
              <w:pStyle w:val="0"/>
            </w:pPr>
            <w:r>
              <w:rPr>
                <w:sz w:val="20"/>
              </w:rPr>
              <w:t xml:space="preserve">8,4</w:t>
            </w:r>
          </w:p>
        </w:tc>
        <w:tc>
          <w:tcPr>
            <w:tcW w:w="604" w:type="dxa"/>
          </w:tcPr>
          <w:p>
            <w:pPr>
              <w:pStyle w:val="0"/>
            </w:pPr>
            <w:r>
              <w:rPr>
                <w:sz w:val="20"/>
              </w:rPr>
              <w:t xml:space="preserve">7,8</w:t>
            </w:r>
          </w:p>
        </w:tc>
        <w:tc>
          <w:tcPr>
            <w:tcW w:w="604" w:type="dxa"/>
          </w:tcPr>
          <w:p>
            <w:pPr>
              <w:pStyle w:val="0"/>
            </w:pPr>
            <w:r>
              <w:rPr>
                <w:sz w:val="20"/>
              </w:rPr>
              <w:t xml:space="preserve">7,9</w:t>
            </w:r>
          </w:p>
        </w:tc>
      </w:tr>
      <w:tr>
        <w:tc>
          <w:tcPr>
            <w:tcW w:w="2211" w:type="dxa"/>
          </w:tcPr>
          <w:p>
            <w:pPr>
              <w:pStyle w:val="0"/>
            </w:pPr>
            <w:r>
              <w:rPr>
                <w:sz w:val="20"/>
              </w:rPr>
              <w:t xml:space="preserve">Югорск</w:t>
            </w:r>
          </w:p>
        </w:tc>
        <w:tc>
          <w:tcPr>
            <w:tcW w:w="604" w:type="dxa"/>
          </w:tcPr>
          <w:p>
            <w:pPr>
              <w:pStyle w:val="0"/>
            </w:pPr>
            <w:r>
              <w:rPr>
                <w:sz w:val="20"/>
              </w:rPr>
              <w:t xml:space="preserve">51,8</w:t>
            </w:r>
          </w:p>
        </w:tc>
        <w:tc>
          <w:tcPr>
            <w:tcW w:w="604" w:type="dxa"/>
          </w:tcPr>
          <w:p>
            <w:pPr>
              <w:pStyle w:val="0"/>
            </w:pPr>
            <w:r>
              <w:rPr>
                <w:sz w:val="20"/>
              </w:rPr>
              <w:t xml:space="preserve">53,1</w:t>
            </w:r>
          </w:p>
        </w:tc>
        <w:tc>
          <w:tcPr>
            <w:tcW w:w="604" w:type="dxa"/>
          </w:tcPr>
          <w:p>
            <w:pPr>
              <w:pStyle w:val="0"/>
            </w:pPr>
            <w:r>
              <w:rPr>
                <w:sz w:val="20"/>
              </w:rPr>
              <w:t xml:space="preserve">50,2</w:t>
            </w:r>
          </w:p>
        </w:tc>
        <w:tc>
          <w:tcPr>
            <w:tcW w:w="604" w:type="dxa"/>
          </w:tcPr>
          <w:p>
            <w:pPr>
              <w:pStyle w:val="0"/>
            </w:pPr>
            <w:r>
              <w:rPr>
                <w:sz w:val="20"/>
              </w:rPr>
              <w:t xml:space="preserve">53,9</w:t>
            </w:r>
          </w:p>
        </w:tc>
        <w:tc>
          <w:tcPr>
            <w:tcW w:w="604" w:type="dxa"/>
          </w:tcPr>
          <w:p>
            <w:pPr>
              <w:pStyle w:val="0"/>
            </w:pPr>
            <w:r>
              <w:rPr>
                <w:sz w:val="20"/>
              </w:rPr>
              <w:t xml:space="preserve">51,6</w:t>
            </w:r>
          </w:p>
        </w:tc>
        <w:tc>
          <w:tcPr>
            <w:tcW w:w="604" w:type="dxa"/>
          </w:tcPr>
          <w:p>
            <w:pPr>
              <w:pStyle w:val="0"/>
            </w:pPr>
            <w:r>
              <w:rPr>
                <w:sz w:val="20"/>
              </w:rPr>
              <w:t xml:space="preserve">6,7</w:t>
            </w:r>
          </w:p>
        </w:tc>
        <w:tc>
          <w:tcPr>
            <w:tcW w:w="604" w:type="dxa"/>
          </w:tcPr>
          <w:p>
            <w:pPr>
              <w:pStyle w:val="0"/>
            </w:pPr>
            <w:r>
              <w:rPr>
                <w:sz w:val="20"/>
              </w:rPr>
              <w:t xml:space="preserve">6,5</w:t>
            </w:r>
          </w:p>
        </w:tc>
        <w:tc>
          <w:tcPr>
            <w:tcW w:w="604" w:type="dxa"/>
          </w:tcPr>
          <w:p>
            <w:pPr>
              <w:pStyle w:val="0"/>
            </w:pPr>
            <w:r>
              <w:rPr>
                <w:sz w:val="20"/>
              </w:rPr>
              <w:t xml:space="preserve">6,7</w:t>
            </w:r>
          </w:p>
        </w:tc>
        <w:tc>
          <w:tcPr>
            <w:tcW w:w="604" w:type="dxa"/>
          </w:tcPr>
          <w:p>
            <w:pPr>
              <w:pStyle w:val="0"/>
            </w:pPr>
            <w:r>
              <w:rPr>
                <w:sz w:val="20"/>
              </w:rPr>
              <w:t xml:space="preserve">6,2</w:t>
            </w:r>
          </w:p>
        </w:tc>
        <w:tc>
          <w:tcPr>
            <w:tcW w:w="604" w:type="dxa"/>
          </w:tcPr>
          <w:p>
            <w:pPr>
              <w:pStyle w:val="0"/>
            </w:pPr>
            <w:r>
              <w:rPr>
                <w:sz w:val="20"/>
              </w:rPr>
              <w:t xml:space="preserve">5,1</w:t>
            </w:r>
          </w:p>
        </w:tc>
        <w:tc>
          <w:tcPr>
            <w:tcW w:w="604" w:type="dxa"/>
          </w:tcPr>
          <w:p>
            <w:pPr>
              <w:pStyle w:val="0"/>
            </w:pPr>
            <w:r>
              <w:rPr>
                <w:sz w:val="20"/>
              </w:rPr>
              <w:t xml:space="preserve">9</w:t>
            </w:r>
          </w:p>
        </w:tc>
        <w:tc>
          <w:tcPr>
            <w:tcW w:w="604" w:type="dxa"/>
          </w:tcPr>
          <w:p>
            <w:pPr>
              <w:pStyle w:val="0"/>
            </w:pPr>
            <w:r>
              <w:rPr>
                <w:sz w:val="20"/>
              </w:rPr>
              <w:t xml:space="preserve">5,8</w:t>
            </w:r>
          </w:p>
        </w:tc>
        <w:tc>
          <w:tcPr>
            <w:tcW w:w="604" w:type="dxa"/>
          </w:tcPr>
          <w:p>
            <w:pPr>
              <w:pStyle w:val="0"/>
            </w:pPr>
            <w:r>
              <w:rPr>
                <w:sz w:val="20"/>
              </w:rPr>
              <w:t xml:space="preserve">7,3</w:t>
            </w:r>
          </w:p>
        </w:tc>
        <w:tc>
          <w:tcPr>
            <w:tcW w:w="604" w:type="dxa"/>
          </w:tcPr>
          <w:p>
            <w:pPr>
              <w:pStyle w:val="0"/>
            </w:pPr>
            <w:r>
              <w:rPr>
                <w:sz w:val="20"/>
              </w:rPr>
              <w:t xml:space="preserve">7,5</w:t>
            </w:r>
          </w:p>
        </w:tc>
        <w:tc>
          <w:tcPr>
            <w:tcW w:w="604" w:type="dxa"/>
          </w:tcPr>
          <w:p>
            <w:pPr>
              <w:pStyle w:val="0"/>
            </w:pPr>
            <w:r>
              <w:rPr>
                <w:sz w:val="20"/>
              </w:rPr>
              <w:t xml:space="preserve">6,5</w:t>
            </w:r>
          </w:p>
        </w:tc>
      </w:tr>
      <w:tr>
        <w:tc>
          <w:tcPr>
            <w:tcW w:w="2211" w:type="dxa"/>
          </w:tcPr>
          <w:p>
            <w:pPr>
              <w:pStyle w:val="0"/>
            </w:pPr>
            <w:r>
              <w:rPr>
                <w:sz w:val="20"/>
              </w:rPr>
              <w:t xml:space="preserve">Белоярский</w:t>
            </w:r>
          </w:p>
        </w:tc>
        <w:tc>
          <w:tcPr>
            <w:tcW w:w="604" w:type="dxa"/>
          </w:tcPr>
          <w:p>
            <w:pPr>
              <w:pStyle w:val="0"/>
            </w:pPr>
            <w:r>
              <w:rPr>
                <w:sz w:val="20"/>
              </w:rPr>
              <w:t xml:space="preserve">45,1</w:t>
            </w:r>
          </w:p>
        </w:tc>
        <w:tc>
          <w:tcPr>
            <w:tcW w:w="604" w:type="dxa"/>
          </w:tcPr>
          <w:p>
            <w:pPr>
              <w:pStyle w:val="0"/>
            </w:pPr>
            <w:r>
              <w:rPr>
                <w:sz w:val="20"/>
              </w:rPr>
              <w:t xml:space="preserve">47,8</w:t>
            </w:r>
          </w:p>
        </w:tc>
        <w:tc>
          <w:tcPr>
            <w:tcW w:w="604" w:type="dxa"/>
          </w:tcPr>
          <w:p>
            <w:pPr>
              <w:pStyle w:val="0"/>
            </w:pPr>
            <w:r>
              <w:rPr>
                <w:sz w:val="20"/>
              </w:rPr>
              <w:t xml:space="preserve">46,7</w:t>
            </w:r>
          </w:p>
        </w:tc>
        <w:tc>
          <w:tcPr>
            <w:tcW w:w="604" w:type="dxa"/>
          </w:tcPr>
          <w:p>
            <w:pPr>
              <w:pStyle w:val="0"/>
            </w:pPr>
            <w:r>
              <w:rPr>
                <w:sz w:val="20"/>
              </w:rPr>
              <w:t xml:space="preserve">47,6</w:t>
            </w:r>
          </w:p>
        </w:tc>
        <w:tc>
          <w:tcPr>
            <w:tcW w:w="604" w:type="dxa"/>
          </w:tcPr>
          <w:p>
            <w:pPr>
              <w:pStyle w:val="0"/>
            </w:pPr>
            <w:r>
              <w:rPr>
                <w:sz w:val="20"/>
              </w:rPr>
              <w:t xml:space="preserve">50,3</w:t>
            </w:r>
          </w:p>
        </w:tc>
        <w:tc>
          <w:tcPr>
            <w:tcW w:w="604" w:type="dxa"/>
          </w:tcPr>
          <w:p>
            <w:pPr>
              <w:pStyle w:val="0"/>
            </w:pPr>
            <w:r>
              <w:rPr>
                <w:sz w:val="20"/>
              </w:rPr>
              <w:t xml:space="preserve">4,8</w:t>
            </w:r>
          </w:p>
        </w:tc>
        <w:tc>
          <w:tcPr>
            <w:tcW w:w="604" w:type="dxa"/>
          </w:tcPr>
          <w:p>
            <w:pPr>
              <w:pStyle w:val="0"/>
            </w:pPr>
            <w:r>
              <w:rPr>
                <w:sz w:val="20"/>
              </w:rPr>
              <w:t xml:space="preserve">7</w:t>
            </w:r>
          </w:p>
        </w:tc>
        <w:tc>
          <w:tcPr>
            <w:tcW w:w="604" w:type="dxa"/>
          </w:tcPr>
          <w:p>
            <w:pPr>
              <w:pStyle w:val="0"/>
            </w:pPr>
            <w:r>
              <w:rPr>
                <w:sz w:val="20"/>
              </w:rPr>
              <w:t xml:space="preserve">6,2</w:t>
            </w:r>
          </w:p>
        </w:tc>
        <w:tc>
          <w:tcPr>
            <w:tcW w:w="604" w:type="dxa"/>
          </w:tcPr>
          <w:p>
            <w:pPr>
              <w:pStyle w:val="0"/>
            </w:pPr>
            <w:r>
              <w:rPr>
                <w:sz w:val="20"/>
              </w:rPr>
              <w:t xml:space="preserve">5,6</w:t>
            </w:r>
          </w:p>
        </w:tc>
        <w:tc>
          <w:tcPr>
            <w:tcW w:w="604" w:type="dxa"/>
          </w:tcPr>
          <w:p>
            <w:pPr>
              <w:pStyle w:val="0"/>
            </w:pPr>
            <w:r>
              <w:rPr>
                <w:sz w:val="20"/>
              </w:rPr>
              <w:t xml:space="preserve">8,6</w:t>
            </w:r>
          </w:p>
        </w:tc>
        <w:tc>
          <w:tcPr>
            <w:tcW w:w="604" w:type="dxa"/>
          </w:tcPr>
          <w:p>
            <w:pPr>
              <w:pStyle w:val="0"/>
            </w:pPr>
            <w:r>
              <w:rPr>
                <w:sz w:val="20"/>
              </w:rPr>
              <w:t xml:space="preserve">5</w:t>
            </w:r>
          </w:p>
        </w:tc>
        <w:tc>
          <w:tcPr>
            <w:tcW w:w="604" w:type="dxa"/>
          </w:tcPr>
          <w:p>
            <w:pPr>
              <w:pStyle w:val="0"/>
            </w:pPr>
            <w:r>
              <w:rPr>
                <w:sz w:val="20"/>
              </w:rPr>
              <w:t xml:space="preserve">6,7</w:t>
            </w:r>
          </w:p>
        </w:tc>
        <w:tc>
          <w:tcPr>
            <w:tcW w:w="604" w:type="dxa"/>
          </w:tcPr>
          <w:p>
            <w:pPr>
              <w:pStyle w:val="0"/>
            </w:pPr>
            <w:r>
              <w:rPr>
                <w:sz w:val="20"/>
              </w:rPr>
              <w:t xml:space="preserve">5</w:t>
            </w:r>
          </w:p>
        </w:tc>
        <w:tc>
          <w:tcPr>
            <w:tcW w:w="604" w:type="dxa"/>
          </w:tcPr>
          <w:p>
            <w:pPr>
              <w:pStyle w:val="0"/>
            </w:pPr>
            <w:r>
              <w:rPr>
                <w:sz w:val="20"/>
              </w:rPr>
              <w:t xml:space="preserve">6,2</w:t>
            </w:r>
          </w:p>
        </w:tc>
        <w:tc>
          <w:tcPr>
            <w:tcW w:w="604" w:type="dxa"/>
          </w:tcPr>
          <w:p>
            <w:pPr>
              <w:pStyle w:val="0"/>
            </w:pPr>
            <w:r>
              <w:rPr>
                <w:sz w:val="20"/>
              </w:rPr>
              <w:t xml:space="preserve">5</w:t>
            </w:r>
          </w:p>
        </w:tc>
      </w:tr>
      <w:tr>
        <w:tc>
          <w:tcPr>
            <w:tcW w:w="2211" w:type="dxa"/>
          </w:tcPr>
          <w:p>
            <w:pPr>
              <w:pStyle w:val="0"/>
            </w:pPr>
            <w:r>
              <w:rPr>
                <w:sz w:val="20"/>
              </w:rPr>
              <w:t xml:space="preserve">Березовский</w:t>
            </w:r>
          </w:p>
        </w:tc>
        <w:tc>
          <w:tcPr>
            <w:tcW w:w="604" w:type="dxa"/>
          </w:tcPr>
          <w:p>
            <w:pPr>
              <w:pStyle w:val="0"/>
            </w:pPr>
            <w:r>
              <w:rPr>
                <w:sz w:val="20"/>
              </w:rPr>
              <w:t xml:space="preserve">43,5</w:t>
            </w:r>
          </w:p>
        </w:tc>
        <w:tc>
          <w:tcPr>
            <w:tcW w:w="604" w:type="dxa"/>
          </w:tcPr>
          <w:p>
            <w:pPr>
              <w:pStyle w:val="0"/>
            </w:pPr>
            <w:r>
              <w:rPr>
                <w:sz w:val="20"/>
              </w:rPr>
              <w:t xml:space="preserve">41,8</w:t>
            </w:r>
          </w:p>
        </w:tc>
        <w:tc>
          <w:tcPr>
            <w:tcW w:w="604" w:type="dxa"/>
          </w:tcPr>
          <w:p>
            <w:pPr>
              <w:pStyle w:val="0"/>
            </w:pPr>
            <w:r>
              <w:rPr>
                <w:sz w:val="20"/>
              </w:rPr>
              <w:t xml:space="preserve">54,2</w:t>
            </w:r>
          </w:p>
        </w:tc>
        <w:tc>
          <w:tcPr>
            <w:tcW w:w="604" w:type="dxa"/>
          </w:tcPr>
          <w:p>
            <w:pPr>
              <w:pStyle w:val="0"/>
            </w:pPr>
            <w:r>
              <w:rPr>
                <w:sz w:val="20"/>
              </w:rPr>
              <w:t xml:space="preserve">44,1</w:t>
            </w:r>
          </w:p>
        </w:tc>
        <w:tc>
          <w:tcPr>
            <w:tcW w:w="604" w:type="dxa"/>
          </w:tcPr>
          <w:p>
            <w:pPr>
              <w:pStyle w:val="0"/>
            </w:pPr>
            <w:r>
              <w:rPr>
                <w:sz w:val="20"/>
              </w:rPr>
              <w:t xml:space="preserve">52,6</w:t>
            </w:r>
          </w:p>
        </w:tc>
        <w:tc>
          <w:tcPr>
            <w:tcW w:w="604" w:type="dxa"/>
          </w:tcPr>
          <w:p>
            <w:pPr>
              <w:pStyle w:val="0"/>
            </w:pPr>
            <w:r>
              <w:rPr>
                <w:sz w:val="20"/>
              </w:rPr>
              <w:t xml:space="preserve">5,1</w:t>
            </w:r>
          </w:p>
        </w:tc>
        <w:tc>
          <w:tcPr>
            <w:tcW w:w="604" w:type="dxa"/>
          </w:tcPr>
          <w:p>
            <w:pPr>
              <w:pStyle w:val="0"/>
            </w:pPr>
            <w:r>
              <w:rPr>
                <w:sz w:val="20"/>
              </w:rPr>
              <w:t xml:space="preserve">7,1</w:t>
            </w:r>
          </w:p>
        </w:tc>
        <w:tc>
          <w:tcPr>
            <w:tcW w:w="604" w:type="dxa"/>
          </w:tcPr>
          <w:p>
            <w:pPr>
              <w:pStyle w:val="0"/>
            </w:pPr>
            <w:r>
              <w:rPr>
                <w:sz w:val="20"/>
              </w:rPr>
              <w:t xml:space="preserve">15,6</w:t>
            </w:r>
          </w:p>
        </w:tc>
        <w:tc>
          <w:tcPr>
            <w:tcW w:w="604" w:type="dxa"/>
          </w:tcPr>
          <w:p>
            <w:pPr>
              <w:pStyle w:val="0"/>
            </w:pPr>
            <w:r>
              <w:rPr>
                <w:sz w:val="20"/>
              </w:rPr>
              <w:t xml:space="preserve">4,9</w:t>
            </w:r>
          </w:p>
        </w:tc>
        <w:tc>
          <w:tcPr>
            <w:tcW w:w="604" w:type="dxa"/>
          </w:tcPr>
          <w:p>
            <w:pPr>
              <w:pStyle w:val="0"/>
            </w:pPr>
            <w:r>
              <w:rPr>
                <w:sz w:val="20"/>
              </w:rPr>
              <w:t xml:space="preserve">5,4</w:t>
            </w:r>
          </w:p>
        </w:tc>
        <w:tc>
          <w:tcPr>
            <w:tcW w:w="604" w:type="dxa"/>
          </w:tcPr>
          <w:p>
            <w:pPr>
              <w:pStyle w:val="0"/>
            </w:pPr>
            <w:r>
              <w:rPr>
                <w:sz w:val="20"/>
              </w:rPr>
              <w:t xml:space="preserve">11,4</w:t>
            </w:r>
          </w:p>
        </w:tc>
        <w:tc>
          <w:tcPr>
            <w:tcW w:w="604" w:type="dxa"/>
          </w:tcPr>
          <w:p>
            <w:pPr>
              <w:pStyle w:val="0"/>
            </w:pPr>
            <w:r>
              <w:rPr>
                <w:sz w:val="20"/>
              </w:rPr>
              <w:t xml:space="preserve">9,5</w:t>
            </w:r>
          </w:p>
        </w:tc>
        <w:tc>
          <w:tcPr>
            <w:tcW w:w="604" w:type="dxa"/>
          </w:tcPr>
          <w:p>
            <w:pPr>
              <w:pStyle w:val="0"/>
            </w:pPr>
            <w:r>
              <w:rPr>
                <w:sz w:val="20"/>
              </w:rPr>
              <w:t xml:space="preserve">8,9</w:t>
            </w:r>
          </w:p>
        </w:tc>
        <w:tc>
          <w:tcPr>
            <w:tcW w:w="604" w:type="dxa"/>
          </w:tcPr>
          <w:p>
            <w:pPr>
              <w:pStyle w:val="0"/>
            </w:pPr>
            <w:r>
              <w:rPr>
                <w:sz w:val="20"/>
              </w:rPr>
              <w:t xml:space="preserve">13,4</w:t>
            </w:r>
          </w:p>
        </w:tc>
        <w:tc>
          <w:tcPr>
            <w:tcW w:w="604" w:type="dxa"/>
          </w:tcPr>
          <w:p>
            <w:pPr>
              <w:pStyle w:val="0"/>
            </w:pPr>
            <w:r>
              <w:rPr>
                <w:sz w:val="20"/>
              </w:rPr>
              <w:t xml:space="preserve">11,7</w:t>
            </w:r>
          </w:p>
        </w:tc>
      </w:tr>
      <w:tr>
        <w:tc>
          <w:tcPr>
            <w:tcW w:w="2211" w:type="dxa"/>
          </w:tcPr>
          <w:p>
            <w:pPr>
              <w:pStyle w:val="0"/>
            </w:pPr>
            <w:r>
              <w:rPr>
                <w:sz w:val="20"/>
              </w:rPr>
              <w:t xml:space="preserve">Кондинский</w:t>
            </w:r>
          </w:p>
        </w:tc>
        <w:tc>
          <w:tcPr>
            <w:tcW w:w="604" w:type="dxa"/>
          </w:tcPr>
          <w:p>
            <w:pPr>
              <w:pStyle w:val="0"/>
            </w:pPr>
            <w:r>
              <w:rPr>
                <w:sz w:val="20"/>
              </w:rPr>
              <w:t xml:space="preserve">55,7</w:t>
            </w:r>
          </w:p>
        </w:tc>
        <w:tc>
          <w:tcPr>
            <w:tcW w:w="604" w:type="dxa"/>
          </w:tcPr>
          <w:p>
            <w:pPr>
              <w:pStyle w:val="0"/>
            </w:pPr>
            <w:r>
              <w:rPr>
                <w:sz w:val="20"/>
              </w:rPr>
              <w:t xml:space="preserve">54,3</w:t>
            </w:r>
          </w:p>
        </w:tc>
        <w:tc>
          <w:tcPr>
            <w:tcW w:w="604" w:type="dxa"/>
          </w:tcPr>
          <w:p>
            <w:pPr>
              <w:pStyle w:val="0"/>
            </w:pPr>
            <w:r>
              <w:rPr>
                <w:sz w:val="20"/>
              </w:rPr>
              <w:t xml:space="preserve">58,7</w:t>
            </w:r>
          </w:p>
        </w:tc>
        <w:tc>
          <w:tcPr>
            <w:tcW w:w="604" w:type="dxa"/>
          </w:tcPr>
          <w:p>
            <w:pPr>
              <w:pStyle w:val="0"/>
            </w:pPr>
            <w:r>
              <w:rPr>
                <w:sz w:val="20"/>
              </w:rPr>
              <w:t xml:space="preserve">58,6</w:t>
            </w:r>
          </w:p>
        </w:tc>
        <w:tc>
          <w:tcPr>
            <w:tcW w:w="604" w:type="dxa"/>
          </w:tcPr>
          <w:p>
            <w:pPr>
              <w:pStyle w:val="0"/>
            </w:pPr>
            <w:r>
              <w:rPr>
                <w:sz w:val="20"/>
              </w:rPr>
              <w:t xml:space="preserve">58,7</w:t>
            </w:r>
          </w:p>
        </w:tc>
        <w:tc>
          <w:tcPr>
            <w:tcW w:w="604" w:type="dxa"/>
          </w:tcPr>
          <w:p>
            <w:pPr>
              <w:pStyle w:val="0"/>
            </w:pPr>
            <w:r>
              <w:rPr>
                <w:sz w:val="20"/>
              </w:rPr>
              <w:t xml:space="preserve">7,3</w:t>
            </w:r>
          </w:p>
        </w:tc>
        <w:tc>
          <w:tcPr>
            <w:tcW w:w="604" w:type="dxa"/>
          </w:tcPr>
          <w:p>
            <w:pPr>
              <w:pStyle w:val="0"/>
            </w:pPr>
            <w:r>
              <w:rPr>
                <w:sz w:val="20"/>
              </w:rPr>
              <w:t xml:space="preserve">4,6</w:t>
            </w:r>
          </w:p>
        </w:tc>
        <w:tc>
          <w:tcPr>
            <w:tcW w:w="604" w:type="dxa"/>
          </w:tcPr>
          <w:p>
            <w:pPr>
              <w:pStyle w:val="0"/>
            </w:pPr>
            <w:r>
              <w:rPr>
                <w:sz w:val="20"/>
              </w:rPr>
              <w:t xml:space="preserve">6,9</w:t>
            </w:r>
          </w:p>
        </w:tc>
        <w:tc>
          <w:tcPr>
            <w:tcW w:w="604" w:type="dxa"/>
          </w:tcPr>
          <w:p>
            <w:pPr>
              <w:pStyle w:val="0"/>
            </w:pPr>
            <w:r>
              <w:rPr>
                <w:sz w:val="20"/>
              </w:rPr>
              <w:t xml:space="preserve">4,4</w:t>
            </w:r>
          </w:p>
        </w:tc>
        <w:tc>
          <w:tcPr>
            <w:tcW w:w="604" w:type="dxa"/>
          </w:tcPr>
          <w:p>
            <w:pPr>
              <w:pStyle w:val="0"/>
            </w:pPr>
            <w:r>
              <w:rPr>
                <w:sz w:val="20"/>
              </w:rPr>
              <w:t xml:space="preserve">4,8</w:t>
            </w:r>
          </w:p>
        </w:tc>
        <w:tc>
          <w:tcPr>
            <w:tcW w:w="604" w:type="dxa"/>
          </w:tcPr>
          <w:p>
            <w:pPr>
              <w:pStyle w:val="0"/>
            </w:pPr>
            <w:r>
              <w:rPr>
                <w:sz w:val="20"/>
              </w:rPr>
              <w:t xml:space="preserve">8,4</w:t>
            </w:r>
          </w:p>
        </w:tc>
        <w:tc>
          <w:tcPr>
            <w:tcW w:w="604" w:type="dxa"/>
          </w:tcPr>
          <w:p>
            <w:pPr>
              <w:pStyle w:val="0"/>
            </w:pPr>
            <w:r>
              <w:rPr>
                <w:sz w:val="20"/>
              </w:rPr>
              <w:t xml:space="preserve">10,8</w:t>
            </w:r>
          </w:p>
        </w:tc>
        <w:tc>
          <w:tcPr>
            <w:tcW w:w="604" w:type="dxa"/>
          </w:tcPr>
          <w:p>
            <w:pPr>
              <w:pStyle w:val="0"/>
            </w:pPr>
            <w:r>
              <w:rPr>
                <w:sz w:val="20"/>
              </w:rPr>
              <w:t xml:space="preserve">10,2</w:t>
            </w:r>
          </w:p>
        </w:tc>
        <w:tc>
          <w:tcPr>
            <w:tcW w:w="604" w:type="dxa"/>
          </w:tcPr>
          <w:p>
            <w:pPr>
              <w:pStyle w:val="0"/>
            </w:pPr>
            <w:r>
              <w:rPr>
                <w:sz w:val="20"/>
              </w:rPr>
              <w:t xml:space="preserve">15,2</w:t>
            </w:r>
          </w:p>
        </w:tc>
        <w:tc>
          <w:tcPr>
            <w:tcW w:w="604" w:type="dxa"/>
          </w:tcPr>
          <w:p>
            <w:pPr>
              <w:pStyle w:val="0"/>
            </w:pPr>
            <w:r>
              <w:rPr>
                <w:sz w:val="20"/>
              </w:rPr>
              <w:t xml:space="preserve">11,8</w:t>
            </w:r>
          </w:p>
        </w:tc>
      </w:tr>
      <w:tr>
        <w:tc>
          <w:tcPr>
            <w:tcW w:w="2211" w:type="dxa"/>
          </w:tcPr>
          <w:p>
            <w:pPr>
              <w:pStyle w:val="0"/>
            </w:pPr>
            <w:r>
              <w:rPr>
                <w:sz w:val="20"/>
              </w:rPr>
              <w:t xml:space="preserve">Октябрьский</w:t>
            </w:r>
          </w:p>
        </w:tc>
        <w:tc>
          <w:tcPr>
            <w:tcW w:w="604" w:type="dxa"/>
          </w:tcPr>
          <w:p>
            <w:pPr>
              <w:pStyle w:val="0"/>
            </w:pPr>
            <w:r>
              <w:rPr>
                <w:sz w:val="20"/>
              </w:rPr>
              <w:t xml:space="preserve">43,6</w:t>
            </w:r>
          </w:p>
        </w:tc>
        <w:tc>
          <w:tcPr>
            <w:tcW w:w="604" w:type="dxa"/>
          </w:tcPr>
          <w:p>
            <w:pPr>
              <w:pStyle w:val="0"/>
            </w:pPr>
            <w:r>
              <w:rPr>
                <w:sz w:val="20"/>
              </w:rPr>
              <w:t xml:space="preserve">41,3</w:t>
            </w:r>
          </w:p>
        </w:tc>
        <w:tc>
          <w:tcPr>
            <w:tcW w:w="604" w:type="dxa"/>
          </w:tcPr>
          <w:p>
            <w:pPr>
              <w:pStyle w:val="0"/>
            </w:pPr>
            <w:r>
              <w:rPr>
                <w:sz w:val="20"/>
              </w:rPr>
              <w:t xml:space="preserve">43,7</w:t>
            </w:r>
          </w:p>
        </w:tc>
        <w:tc>
          <w:tcPr>
            <w:tcW w:w="604" w:type="dxa"/>
          </w:tcPr>
          <w:p>
            <w:pPr>
              <w:pStyle w:val="0"/>
            </w:pPr>
            <w:r>
              <w:rPr>
                <w:sz w:val="20"/>
              </w:rPr>
              <w:t xml:space="preserve">35,8</w:t>
            </w:r>
          </w:p>
        </w:tc>
        <w:tc>
          <w:tcPr>
            <w:tcW w:w="604" w:type="dxa"/>
          </w:tcPr>
          <w:p>
            <w:pPr>
              <w:pStyle w:val="0"/>
            </w:pPr>
            <w:r>
              <w:rPr>
                <w:sz w:val="20"/>
              </w:rPr>
              <w:t xml:space="preserve">49,1</w:t>
            </w:r>
          </w:p>
        </w:tc>
        <w:tc>
          <w:tcPr>
            <w:tcW w:w="604" w:type="dxa"/>
          </w:tcPr>
          <w:p>
            <w:pPr>
              <w:pStyle w:val="0"/>
            </w:pPr>
            <w:r>
              <w:rPr>
                <w:sz w:val="20"/>
              </w:rPr>
              <w:t xml:space="preserve">4,4</w:t>
            </w:r>
          </w:p>
        </w:tc>
        <w:tc>
          <w:tcPr>
            <w:tcW w:w="604" w:type="dxa"/>
          </w:tcPr>
          <w:p>
            <w:pPr>
              <w:pStyle w:val="0"/>
            </w:pPr>
            <w:r>
              <w:rPr>
                <w:sz w:val="20"/>
              </w:rPr>
              <w:t xml:space="preserve">4,6</w:t>
            </w:r>
          </w:p>
        </w:tc>
        <w:tc>
          <w:tcPr>
            <w:tcW w:w="604" w:type="dxa"/>
          </w:tcPr>
          <w:p>
            <w:pPr>
              <w:pStyle w:val="0"/>
            </w:pPr>
            <w:r>
              <w:rPr>
                <w:sz w:val="20"/>
              </w:rPr>
              <w:t xml:space="preserve">5</w:t>
            </w:r>
          </w:p>
        </w:tc>
        <w:tc>
          <w:tcPr>
            <w:tcW w:w="604" w:type="dxa"/>
          </w:tcPr>
          <w:p>
            <w:pPr>
              <w:pStyle w:val="0"/>
            </w:pPr>
            <w:r>
              <w:rPr>
                <w:sz w:val="20"/>
              </w:rPr>
              <w:t xml:space="preserve">5,6</w:t>
            </w:r>
          </w:p>
        </w:tc>
        <w:tc>
          <w:tcPr>
            <w:tcW w:w="604" w:type="dxa"/>
          </w:tcPr>
          <w:p>
            <w:pPr>
              <w:pStyle w:val="0"/>
            </w:pPr>
            <w:r>
              <w:rPr>
                <w:sz w:val="20"/>
              </w:rPr>
              <w:t xml:space="preserve">5,1</w:t>
            </w:r>
          </w:p>
        </w:tc>
        <w:tc>
          <w:tcPr>
            <w:tcW w:w="604" w:type="dxa"/>
          </w:tcPr>
          <w:p>
            <w:pPr>
              <w:pStyle w:val="0"/>
            </w:pPr>
            <w:r>
              <w:rPr>
                <w:sz w:val="20"/>
              </w:rPr>
              <w:t xml:space="preserve">12,2</w:t>
            </w:r>
          </w:p>
        </w:tc>
        <w:tc>
          <w:tcPr>
            <w:tcW w:w="604" w:type="dxa"/>
          </w:tcPr>
          <w:p>
            <w:pPr>
              <w:pStyle w:val="0"/>
            </w:pPr>
            <w:r>
              <w:rPr>
                <w:sz w:val="20"/>
              </w:rPr>
              <w:t xml:space="preserve">10,3</w:t>
            </w:r>
          </w:p>
        </w:tc>
        <w:tc>
          <w:tcPr>
            <w:tcW w:w="604" w:type="dxa"/>
          </w:tcPr>
          <w:p>
            <w:pPr>
              <w:pStyle w:val="0"/>
            </w:pPr>
            <w:r>
              <w:rPr>
                <w:sz w:val="20"/>
              </w:rPr>
              <w:t xml:space="preserve">9,7</w:t>
            </w:r>
          </w:p>
        </w:tc>
        <w:tc>
          <w:tcPr>
            <w:tcW w:w="604" w:type="dxa"/>
          </w:tcPr>
          <w:p>
            <w:pPr>
              <w:pStyle w:val="0"/>
            </w:pPr>
            <w:r>
              <w:rPr>
                <w:sz w:val="20"/>
              </w:rPr>
              <w:t xml:space="preserve">8,6</w:t>
            </w:r>
          </w:p>
        </w:tc>
        <w:tc>
          <w:tcPr>
            <w:tcW w:w="604" w:type="dxa"/>
          </w:tcPr>
          <w:p>
            <w:pPr>
              <w:pStyle w:val="0"/>
            </w:pPr>
            <w:r>
              <w:rPr>
                <w:sz w:val="20"/>
              </w:rPr>
              <w:t xml:space="preserve">9,4</w:t>
            </w:r>
          </w:p>
        </w:tc>
      </w:tr>
      <w:tr>
        <w:tc>
          <w:tcPr>
            <w:tcW w:w="2211" w:type="dxa"/>
          </w:tcPr>
          <w:p>
            <w:pPr>
              <w:pStyle w:val="0"/>
            </w:pPr>
            <w:r>
              <w:rPr>
                <w:sz w:val="20"/>
              </w:rPr>
              <w:t xml:space="preserve">Советский</w:t>
            </w:r>
          </w:p>
        </w:tc>
        <w:tc>
          <w:tcPr>
            <w:tcW w:w="604" w:type="dxa"/>
          </w:tcPr>
          <w:p>
            <w:pPr>
              <w:pStyle w:val="0"/>
            </w:pPr>
            <w:r>
              <w:rPr>
                <w:sz w:val="20"/>
              </w:rPr>
              <w:t xml:space="preserve">58,8</w:t>
            </w:r>
          </w:p>
        </w:tc>
        <w:tc>
          <w:tcPr>
            <w:tcW w:w="604" w:type="dxa"/>
          </w:tcPr>
          <w:p>
            <w:pPr>
              <w:pStyle w:val="0"/>
            </w:pPr>
            <w:r>
              <w:rPr>
                <w:sz w:val="20"/>
              </w:rPr>
              <w:t xml:space="preserve">54,3</w:t>
            </w:r>
          </w:p>
        </w:tc>
        <w:tc>
          <w:tcPr>
            <w:tcW w:w="604" w:type="dxa"/>
          </w:tcPr>
          <w:p>
            <w:pPr>
              <w:pStyle w:val="0"/>
            </w:pPr>
            <w:r>
              <w:rPr>
                <w:sz w:val="20"/>
              </w:rPr>
              <w:t xml:space="preserve">58,4</w:t>
            </w:r>
          </w:p>
        </w:tc>
        <w:tc>
          <w:tcPr>
            <w:tcW w:w="604" w:type="dxa"/>
          </w:tcPr>
          <w:p>
            <w:pPr>
              <w:pStyle w:val="0"/>
            </w:pPr>
            <w:r>
              <w:rPr>
                <w:sz w:val="20"/>
              </w:rPr>
              <w:t xml:space="preserve">58</w:t>
            </w:r>
          </w:p>
        </w:tc>
        <w:tc>
          <w:tcPr>
            <w:tcW w:w="604" w:type="dxa"/>
          </w:tcPr>
          <w:p>
            <w:pPr>
              <w:pStyle w:val="0"/>
            </w:pPr>
            <w:r>
              <w:rPr>
                <w:sz w:val="20"/>
              </w:rPr>
              <w:t xml:space="preserve">59,5</w:t>
            </w:r>
          </w:p>
        </w:tc>
        <w:tc>
          <w:tcPr>
            <w:tcW w:w="604" w:type="dxa"/>
          </w:tcPr>
          <w:p>
            <w:pPr>
              <w:pStyle w:val="0"/>
            </w:pPr>
            <w:r>
              <w:rPr>
                <w:sz w:val="20"/>
              </w:rPr>
              <w:t xml:space="preserve">6,6</w:t>
            </w:r>
          </w:p>
        </w:tc>
        <w:tc>
          <w:tcPr>
            <w:tcW w:w="604" w:type="dxa"/>
          </w:tcPr>
          <w:p>
            <w:pPr>
              <w:pStyle w:val="0"/>
            </w:pPr>
            <w:r>
              <w:rPr>
                <w:sz w:val="20"/>
              </w:rPr>
              <w:t xml:space="preserve">7,1</w:t>
            </w:r>
          </w:p>
        </w:tc>
        <w:tc>
          <w:tcPr>
            <w:tcW w:w="604" w:type="dxa"/>
          </w:tcPr>
          <w:p>
            <w:pPr>
              <w:pStyle w:val="0"/>
            </w:pPr>
            <w:r>
              <w:rPr>
                <w:sz w:val="20"/>
              </w:rPr>
              <w:t xml:space="preserve">8,3</w:t>
            </w:r>
          </w:p>
        </w:tc>
        <w:tc>
          <w:tcPr>
            <w:tcW w:w="604" w:type="dxa"/>
          </w:tcPr>
          <w:p>
            <w:pPr>
              <w:pStyle w:val="0"/>
            </w:pPr>
            <w:r>
              <w:rPr>
                <w:sz w:val="20"/>
              </w:rPr>
              <w:t xml:space="preserve">7,9</w:t>
            </w:r>
          </w:p>
        </w:tc>
        <w:tc>
          <w:tcPr>
            <w:tcW w:w="604" w:type="dxa"/>
          </w:tcPr>
          <w:p>
            <w:pPr>
              <w:pStyle w:val="0"/>
            </w:pPr>
            <w:r>
              <w:rPr>
                <w:sz w:val="20"/>
              </w:rPr>
              <w:t xml:space="preserve">8,5</w:t>
            </w:r>
          </w:p>
        </w:tc>
        <w:tc>
          <w:tcPr>
            <w:tcW w:w="604" w:type="dxa"/>
          </w:tcPr>
          <w:p>
            <w:pPr>
              <w:pStyle w:val="0"/>
            </w:pPr>
            <w:r>
              <w:rPr>
                <w:sz w:val="20"/>
              </w:rPr>
              <w:t xml:space="preserve">8,1</w:t>
            </w:r>
          </w:p>
        </w:tc>
        <w:tc>
          <w:tcPr>
            <w:tcW w:w="604" w:type="dxa"/>
          </w:tcPr>
          <w:p>
            <w:pPr>
              <w:pStyle w:val="0"/>
            </w:pPr>
            <w:r>
              <w:rPr>
                <w:sz w:val="20"/>
              </w:rPr>
              <w:t xml:space="preserve">5,7</w:t>
            </w:r>
          </w:p>
        </w:tc>
        <w:tc>
          <w:tcPr>
            <w:tcW w:w="604" w:type="dxa"/>
          </w:tcPr>
          <w:p>
            <w:pPr>
              <w:pStyle w:val="0"/>
            </w:pPr>
            <w:r>
              <w:rPr>
                <w:sz w:val="20"/>
              </w:rPr>
              <w:t xml:space="preserve">6,3</w:t>
            </w:r>
          </w:p>
        </w:tc>
        <w:tc>
          <w:tcPr>
            <w:tcW w:w="604" w:type="dxa"/>
          </w:tcPr>
          <w:p>
            <w:pPr>
              <w:pStyle w:val="0"/>
            </w:pPr>
            <w:r>
              <w:rPr>
                <w:sz w:val="20"/>
              </w:rPr>
              <w:t xml:space="preserve">5,9</w:t>
            </w:r>
          </w:p>
        </w:tc>
        <w:tc>
          <w:tcPr>
            <w:tcW w:w="604" w:type="dxa"/>
          </w:tcPr>
          <w:p>
            <w:pPr>
              <w:pStyle w:val="0"/>
            </w:pPr>
            <w:r>
              <w:rPr>
                <w:sz w:val="20"/>
              </w:rPr>
              <w:t xml:space="preserve">6,1</w:t>
            </w:r>
          </w:p>
        </w:tc>
      </w:tr>
      <w:tr>
        <w:tc>
          <w:tcPr>
            <w:tcW w:w="2211" w:type="dxa"/>
          </w:tcPr>
          <w:p>
            <w:pPr>
              <w:pStyle w:val="0"/>
            </w:pPr>
            <w:r>
              <w:rPr>
                <w:sz w:val="20"/>
              </w:rPr>
              <w:t xml:space="preserve">Ханты-Мансийск</w:t>
            </w:r>
          </w:p>
        </w:tc>
        <w:tc>
          <w:tcPr>
            <w:tcW w:w="604" w:type="dxa"/>
          </w:tcPr>
          <w:p>
            <w:pPr>
              <w:pStyle w:val="0"/>
            </w:pPr>
            <w:r>
              <w:rPr>
                <w:sz w:val="20"/>
              </w:rPr>
              <w:t xml:space="preserve">54,3</w:t>
            </w:r>
          </w:p>
        </w:tc>
        <w:tc>
          <w:tcPr>
            <w:tcW w:w="604" w:type="dxa"/>
          </w:tcPr>
          <w:p>
            <w:pPr>
              <w:pStyle w:val="0"/>
            </w:pPr>
            <w:r>
              <w:rPr>
                <w:sz w:val="20"/>
              </w:rPr>
              <w:t xml:space="preserve">53,6</w:t>
            </w:r>
          </w:p>
        </w:tc>
        <w:tc>
          <w:tcPr>
            <w:tcW w:w="604" w:type="dxa"/>
          </w:tcPr>
          <w:p>
            <w:pPr>
              <w:pStyle w:val="0"/>
            </w:pPr>
            <w:r>
              <w:rPr>
                <w:sz w:val="20"/>
              </w:rPr>
              <w:t xml:space="preserve">55,2</w:t>
            </w:r>
          </w:p>
        </w:tc>
        <w:tc>
          <w:tcPr>
            <w:tcW w:w="604" w:type="dxa"/>
          </w:tcPr>
          <w:p>
            <w:pPr>
              <w:pStyle w:val="0"/>
            </w:pPr>
            <w:r>
              <w:rPr>
                <w:sz w:val="20"/>
              </w:rPr>
              <w:t xml:space="preserve">56,7</w:t>
            </w:r>
          </w:p>
        </w:tc>
        <w:tc>
          <w:tcPr>
            <w:tcW w:w="604" w:type="dxa"/>
          </w:tcPr>
          <w:p>
            <w:pPr>
              <w:pStyle w:val="0"/>
            </w:pPr>
            <w:r>
              <w:rPr>
                <w:sz w:val="20"/>
              </w:rPr>
              <w:t xml:space="preserve">51,7</w:t>
            </w:r>
          </w:p>
        </w:tc>
        <w:tc>
          <w:tcPr>
            <w:tcW w:w="604" w:type="dxa"/>
          </w:tcPr>
          <w:p>
            <w:pPr>
              <w:pStyle w:val="0"/>
            </w:pPr>
            <w:r>
              <w:rPr>
                <w:sz w:val="20"/>
              </w:rPr>
              <w:t xml:space="preserve">5,2</w:t>
            </w:r>
          </w:p>
        </w:tc>
        <w:tc>
          <w:tcPr>
            <w:tcW w:w="604" w:type="dxa"/>
          </w:tcPr>
          <w:p>
            <w:pPr>
              <w:pStyle w:val="0"/>
            </w:pPr>
            <w:r>
              <w:rPr>
                <w:sz w:val="20"/>
              </w:rPr>
              <w:t xml:space="preserve">4,5</w:t>
            </w:r>
          </w:p>
        </w:tc>
        <w:tc>
          <w:tcPr>
            <w:tcW w:w="604" w:type="dxa"/>
          </w:tcPr>
          <w:p>
            <w:pPr>
              <w:pStyle w:val="0"/>
            </w:pPr>
            <w:r>
              <w:rPr>
                <w:sz w:val="20"/>
              </w:rPr>
              <w:t xml:space="preserve">6,9</w:t>
            </w:r>
          </w:p>
        </w:tc>
        <w:tc>
          <w:tcPr>
            <w:tcW w:w="604" w:type="dxa"/>
          </w:tcPr>
          <w:p>
            <w:pPr>
              <w:pStyle w:val="0"/>
            </w:pPr>
            <w:r>
              <w:rPr>
                <w:sz w:val="20"/>
              </w:rPr>
              <w:t xml:space="preserve">4,6</w:t>
            </w:r>
          </w:p>
        </w:tc>
        <w:tc>
          <w:tcPr>
            <w:tcW w:w="604" w:type="dxa"/>
          </w:tcPr>
          <w:p>
            <w:pPr>
              <w:pStyle w:val="0"/>
            </w:pPr>
            <w:r>
              <w:rPr>
                <w:sz w:val="20"/>
              </w:rPr>
              <w:t xml:space="preserve">5,1</w:t>
            </w:r>
          </w:p>
        </w:tc>
        <w:tc>
          <w:tcPr>
            <w:tcW w:w="604" w:type="dxa"/>
          </w:tcPr>
          <w:p>
            <w:pPr>
              <w:pStyle w:val="0"/>
            </w:pPr>
            <w:r>
              <w:rPr>
                <w:sz w:val="20"/>
              </w:rPr>
              <w:t xml:space="preserve">19,8</w:t>
            </w:r>
          </w:p>
        </w:tc>
        <w:tc>
          <w:tcPr>
            <w:tcW w:w="604" w:type="dxa"/>
          </w:tcPr>
          <w:p>
            <w:pPr>
              <w:pStyle w:val="0"/>
            </w:pPr>
            <w:r>
              <w:rPr>
                <w:sz w:val="20"/>
              </w:rPr>
              <w:t xml:space="preserve">9,1</w:t>
            </w:r>
          </w:p>
        </w:tc>
        <w:tc>
          <w:tcPr>
            <w:tcW w:w="604" w:type="dxa"/>
          </w:tcPr>
          <w:p>
            <w:pPr>
              <w:pStyle w:val="0"/>
            </w:pPr>
            <w:r>
              <w:rPr>
                <w:sz w:val="20"/>
              </w:rPr>
              <w:t xml:space="preserve">9,4</w:t>
            </w:r>
          </w:p>
        </w:tc>
        <w:tc>
          <w:tcPr>
            <w:tcW w:w="604" w:type="dxa"/>
          </w:tcPr>
          <w:p>
            <w:pPr>
              <w:pStyle w:val="0"/>
            </w:pPr>
            <w:r>
              <w:rPr>
                <w:sz w:val="20"/>
              </w:rPr>
              <w:t xml:space="preserve">5,8</w:t>
            </w:r>
          </w:p>
        </w:tc>
        <w:tc>
          <w:tcPr>
            <w:tcW w:w="604" w:type="dxa"/>
          </w:tcPr>
          <w:p>
            <w:pPr>
              <w:pStyle w:val="0"/>
            </w:pPr>
            <w:r>
              <w:rPr>
                <w:sz w:val="20"/>
              </w:rPr>
              <w:t xml:space="preserve">9,8</w:t>
            </w:r>
          </w:p>
        </w:tc>
      </w:tr>
      <w:tr>
        <w:tc>
          <w:tcPr>
            <w:tcW w:w="2211" w:type="dxa"/>
          </w:tcPr>
          <w:p>
            <w:pPr>
              <w:pStyle w:val="0"/>
            </w:pPr>
            <w:r>
              <w:rPr>
                <w:sz w:val="20"/>
              </w:rPr>
              <w:t xml:space="preserve">Всего по центру</w:t>
            </w:r>
          </w:p>
        </w:tc>
        <w:tc>
          <w:tcPr>
            <w:tcW w:w="604" w:type="dxa"/>
          </w:tcPr>
          <w:p>
            <w:pPr>
              <w:pStyle w:val="0"/>
            </w:pPr>
            <w:r>
              <w:rPr>
                <w:sz w:val="20"/>
              </w:rPr>
              <w:t xml:space="preserve">50,4</w:t>
            </w:r>
          </w:p>
        </w:tc>
        <w:tc>
          <w:tcPr>
            <w:tcW w:w="604" w:type="dxa"/>
          </w:tcPr>
          <w:p>
            <w:pPr>
              <w:pStyle w:val="0"/>
            </w:pPr>
            <w:r>
              <w:rPr>
                <w:sz w:val="20"/>
              </w:rPr>
              <w:t xml:space="preserve">49,1</w:t>
            </w:r>
          </w:p>
        </w:tc>
        <w:tc>
          <w:tcPr>
            <w:tcW w:w="604" w:type="dxa"/>
          </w:tcPr>
          <w:p>
            <w:pPr>
              <w:pStyle w:val="0"/>
            </w:pPr>
            <w:r>
              <w:rPr>
                <w:sz w:val="20"/>
              </w:rPr>
              <w:t xml:space="preserve">51</w:t>
            </w:r>
          </w:p>
        </w:tc>
        <w:tc>
          <w:tcPr>
            <w:tcW w:w="604" w:type="dxa"/>
          </w:tcPr>
          <w:p>
            <w:pPr>
              <w:pStyle w:val="0"/>
            </w:pPr>
            <w:r>
              <w:rPr>
                <w:sz w:val="20"/>
              </w:rPr>
              <w:t xml:space="preserve">52</w:t>
            </w:r>
          </w:p>
        </w:tc>
        <w:tc>
          <w:tcPr>
            <w:tcW w:w="604" w:type="dxa"/>
          </w:tcPr>
          <w:p>
            <w:pPr>
              <w:pStyle w:val="0"/>
            </w:pPr>
            <w:r>
              <w:rPr>
                <w:sz w:val="20"/>
              </w:rPr>
              <w:t xml:space="preserve">52,1</w:t>
            </w:r>
          </w:p>
        </w:tc>
        <w:tc>
          <w:tcPr>
            <w:tcW w:w="604" w:type="dxa"/>
          </w:tcPr>
          <w:p>
            <w:pPr>
              <w:pStyle w:val="0"/>
            </w:pPr>
            <w:r>
              <w:rPr>
                <w:sz w:val="20"/>
              </w:rPr>
              <w:t xml:space="preserve">5,9</w:t>
            </w:r>
          </w:p>
        </w:tc>
        <w:tc>
          <w:tcPr>
            <w:tcW w:w="604" w:type="dxa"/>
          </w:tcPr>
          <w:p>
            <w:pPr>
              <w:pStyle w:val="0"/>
            </w:pPr>
            <w:r>
              <w:rPr>
                <w:sz w:val="20"/>
              </w:rPr>
              <w:t xml:space="preserve">5,2</w:t>
            </w:r>
          </w:p>
        </w:tc>
        <w:tc>
          <w:tcPr>
            <w:tcW w:w="604" w:type="dxa"/>
          </w:tcPr>
          <w:p>
            <w:pPr>
              <w:pStyle w:val="0"/>
            </w:pPr>
            <w:r>
              <w:rPr>
                <w:sz w:val="20"/>
              </w:rPr>
              <w:t xml:space="preserve">6,6</w:t>
            </w:r>
          </w:p>
        </w:tc>
        <w:tc>
          <w:tcPr>
            <w:tcW w:w="604" w:type="dxa"/>
          </w:tcPr>
          <w:p>
            <w:pPr>
              <w:pStyle w:val="0"/>
            </w:pPr>
            <w:r>
              <w:rPr>
                <w:sz w:val="20"/>
              </w:rPr>
              <w:t xml:space="preserve">6</w:t>
            </w:r>
          </w:p>
        </w:tc>
        <w:tc>
          <w:tcPr>
            <w:tcW w:w="604" w:type="dxa"/>
          </w:tcPr>
          <w:p>
            <w:pPr>
              <w:pStyle w:val="0"/>
            </w:pPr>
            <w:r>
              <w:rPr>
                <w:sz w:val="20"/>
              </w:rPr>
              <w:t xml:space="preserve">5,9</w:t>
            </w:r>
          </w:p>
        </w:tc>
        <w:tc>
          <w:tcPr>
            <w:tcW w:w="604" w:type="dxa"/>
          </w:tcPr>
          <w:p>
            <w:pPr>
              <w:pStyle w:val="0"/>
            </w:pPr>
            <w:r>
              <w:rPr>
                <w:sz w:val="20"/>
              </w:rPr>
              <w:t xml:space="preserve">9,9</w:t>
            </w:r>
          </w:p>
        </w:tc>
        <w:tc>
          <w:tcPr>
            <w:tcW w:w="604" w:type="dxa"/>
          </w:tcPr>
          <w:p>
            <w:pPr>
              <w:pStyle w:val="0"/>
            </w:pPr>
            <w:r>
              <w:rPr>
                <w:sz w:val="20"/>
              </w:rPr>
              <w:t xml:space="preserve">8</w:t>
            </w:r>
          </w:p>
        </w:tc>
        <w:tc>
          <w:tcPr>
            <w:tcW w:w="604" w:type="dxa"/>
          </w:tcPr>
          <w:p>
            <w:pPr>
              <w:pStyle w:val="0"/>
            </w:pPr>
            <w:r>
              <w:rPr>
                <w:sz w:val="20"/>
              </w:rPr>
              <w:t xml:space="preserve">7,6</w:t>
            </w:r>
          </w:p>
        </w:tc>
        <w:tc>
          <w:tcPr>
            <w:tcW w:w="604" w:type="dxa"/>
          </w:tcPr>
          <w:p>
            <w:pPr>
              <w:pStyle w:val="0"/>
            </w:pPr>
            <w:r>
              <w:rPr>
                <w:sz w:val="20"/>
              </w:rPr>
              <w:t xml:space="preserve">7,4</w:t>
            </w:r>
          </w:p>
        </w:tc>
        <w:tc>
          <w:tcPr>
            <w:tcW w:w="604" w:type="dxa"/>
          </w:tcPr>
          <w:p>
            <w:pPr>
              <w:pStyle w:val="0"/>
            </w:pPr>
            <w:r>
              <w:rPr>
                <w:sz w:val="20"/>
              </w:rPr>
              <w:t xml:space="preserve">7,7</w:t>
            </w:r>
          </w:p>
        </w:tc>
      </w:tr>
      <w:tr>
        <w:tc>
          <w:tcPr>
            <w:gridSpan w:val="16"/>
            <w:tcW w:w="11271" w:type="dxa"/>
          </w:tcPr>
          <w:p>
            <w:pPr>
              <w:pStyle w:val="0"/>
            </w:pPr>
            <w:r>
              <w:rPr>
                <w:sz w:val="20"/>
              </w:rPr>
              <w:t xml:space="preserve">Онкологический центр (г. Сургут)</w:t>
            </w:r>
          </w:p>
        </w:tc>
      </w:tr>
      <w:tr>
        <w:tc>
          <w:tcPr>
            <w:tcW w:w="2211" w:type="dxa"/>
          </w:tcPr>
          <w:p>
            <w:pPr>
              <w:pStyle w:val="0"/>
            </w:pPr>
            <w:r>
              <w:rPr>
                <w:sz w:val="20"/>
              </w:rPr>
              <w:t xml:space="preserve">Сургут</w:t>
            </w:r>
          </w:p>
        </w:tc>
        <w:tc>
          <w:tcPr>
            <w:tcW w:w="604" w:type="dxa"/>
          </w:tcPr>
          <w:p>
            <w:pPr>
              <w:pStyle w:val="0"/>
            </w:pPr>
            <w:r>
              <w:rPr>
                <w:sz w:val="20"/>
              </w:rPr>
              <w:t xml:space="preserve">42,1</w:t>
            </w:r>
          </w:p>
        </w:tc>
        <w:tc>
          <w:tcPr>
            <w:tcW w:w="604" w:type="dxa"/>
          </w:tcPr>
          <w:p>
            <w:pPr>
              <w:pStyle w:val="0"/>
            </w:pPr>
            <w:r>
              <w:rPr>
                <w:sz w:val="20"/>
              </w:rPr>
              <w:t xml:space="preserve">42,7</w:t>
            </w:r>
          </w:p>
        </w:tc>
        <w:tc>
          <w:tcPr>
            <w:tcW w:w="604" w:type="dxa"/>
          </w:tcPr>
          <w:p>
            <w:pPr>
              <w:pStyle w:val="0"/>
            </w:pPr>
            <w:r>
              <w:rPr>
                <w:sz w:val="20"/>
              </w:rPr>
              <w:t xml:space="preserve">43,8</w:t>
            </w:r>
          </w:p>
        </w:tc>
        <w:tc>
          <w:tcPr>
            <w:tcW w:w="604" w:type="dxa"/>
          </w:tcPr>
          <w:p>
            <w:pPr>
              <w:pStyle w:val="0"/>
            </w:pPr>
            <w:r>
              <w:rPr>
                <w:sz w:val="20"/>
              </w:rPr>
              <w:t xml:space="preserve">44,3</w:t>
            </w:r>
          </w:p>
        </w:tc>
        <w:tc>
          <w:tcPr>
            <w:tcW w:w="604" w:type="dxa"/>
          </w:tcPr>
          <w:p>
            <w:pPr>
              <w:pStyle w:val="0"/>
            </w:pPr>
            <w:r>
              <w:rPr>
                <w:sz w:val="20"/>
              </w:rPr>
              <w:t xml:space="preserve">45,9</w:t>
            </w:r>
          </w:p>
        </w:tc>
        <w:tc>
          <w:tcPr>
            <w:tcW w:w="604" w:type="dxa"/>
          </w:tcPr>
          <w:p>
            <w:pPr>
              <w:pStyle w:val="0"/>
            </w:pPr>
            <w:r>
              <w:rPr>
                <w:sz w:val="20"/>
              </w:rPr>
              <w:t xml:space="preserve">5,7</w:t>
            </w:r>
          </w:p>
        </w:tc>
        <w:tc>
          <w:tcPr>
            <w:tcW w:w="604" w:type="dxa"/>
          </w:tcPr>
          <w:p>
            <w:pPr>
              <w:pStyle w:val="0"/>
            </w:pPr>
            <w:r>
              <w:rPr>
                <w:sz w:val="20"/>
              </w:rPr>
              <w:t xml:space="preserve">5,7</w:t>
            </w:r>
          </w:p>
        </w:tc>
        <w:tc>
          <w:tcPr>
            <w:tcW w:w="604" w:type="dxa"/>
          </w:tcPr>
          <w:p>
            <w:pPr>
              <w:pStyle w:val="0"/>
            </w:pPr>
            <w:r>
              <w:rPr>
                <w:sz w:val="20"/>
              </w:rPr>
              <w:t xml:space="preserve">5,9</w:t>
            </w:r>
          </w:p>
        </w:tc>
        <w:tc>
          <w:tcPr>
            <w:tcW w:w="604" w:type="dxa"/>
          </w:tcPr>
          <w:p>
            <w:pPr>
              <w:pStyle w:val="0"/>
            </w:pPr>
            <w:r>
              <w:rPr>
                <w:sz w:val="20"/>
              </w:rPr>
              <w:t xml:space="preserve">5,2</w:t>
            </w:r>
          </w:p>
        </w:tc>
        <w:tc>
          <w:tcPr>
            <w:tcW w:w="604" w:type="dxa"/>
          </w:tcPr>
          <w:p>
            <w:pPr>
              <w:pStyle w:val="0"/>
            </w:pPr>
            <w:r>
              <w:rPr>
                <w:sz w:val="20"/>
              </w:rPr>
              <w:t xml:space="preserve">6,4</w:t>
            </w:r>
          </w:p>
        </w:tc>
        <w:tc>
          <w:tcPr>
            <w:tcW w:w="604" w:type="dxa"/>
          </w:tcPr>
          <w:p>
            <w:pPr>
              <w:pStyle w:val="0"/>
            </w:pPr>
            <w:r>
              <w:rPr>
                <w:sz w:val="20"/>
              </w:rPr>
              <w:t xml:space="preserve">7,3</w:t>
            </w:r>
          </w:p>
        </w:tc>
        <w:tc>
          <w:tcPr>
            <w:tcW w:w="604" w:type="dxa"/>
          </w:tcPr>
          <w:p>
            <w:pPr>
              <w:pStyle w:val="0"/>
            </w:pPr>
            <w:r>
              <w:rPr>
                <w:sz w:val="20"/>
              </w:rPr>
              <w:t xml:space="preserve">6,8</w:t>
            </w:r>
          </w:p>
        </w:tc>
        <w:tc>
          <w:tcPr>
            <w:tcW w:w="604" w:type="dxa"/>
          </w:tcPr>
          <w:p>
            <w:pPr>
              <w:pStyle w:val="0"/>
            </w:pPr>
            <w:r>
              <w:rPr>
                <w:sz w:val="20"/>
              </w:rPr>
              <w:t xml:space="preserve">6,8</w:t>
            </w:r>
          </w:p>
        </w:tc>
        <w:tc>
          <w:tcPr>
            <w:tcW w:w="604" w:type="dxa"/>
          </w:tcPr>
          <w:p>
            <w:pPr>
              <w:pStyle w:val="0"/>
            </w:pPr>
            <w:r>
              <w:rPr>
                <w:sz w:val="20"/>
              </w:rPr>
              <w:t xml:space="preserve">7,1</w:t>
            </w:r>
          </w:p>
        </w:tc>
        <w:tc>
          <w:tcPr>
            <w:tcW w:w="604" w:type="dxa"/>
          </w:tcPr>
          <w:p>
            <w:pPr>
              <w:pStyle w:val="0"/>
            </w:pPr>
            <w:r>
              <w:rPr>
                <w:sz w:val="20"/>
              </w:rPr>
              <w:t xml:space="preserve">5,1</w:t>
            </w:r>
          </w:p>
        </w:tc>
      </w:tr>
      <w:tr>
        <w:tc>
          <w:tcPr>
            <w:tcW w:w="2211" w:type="dxa"/>
          </w:tcPr>
          <w:p>
            <w:pPr>
              <w:pStyle w:val="0"/>
            </w:pPr>
            <w:r>
              <w:rPr>
                <w:sz w:val="20"/>
              </w:rPr>
              <w:t xml:space="preserve">Сургутский</w:t>
            </w:r>
          </w:p>
        </w:tc>
        <w:tc>
          <w:tcPr>
            <w:tcW w:w="604" w:type="dxa"/>
          </w:tcPr>
          <w:p>
            <w:pPr>
              <w:pStyle w:val="0"/>
            </w:pPr>
            <w:r>
              <w:rPr>
                <w:sz w:val="20"/>
              </w:rPr>
              <w:t xml:space="preserve">41</w:t>
            </w:r>
          </w:p>
        </w:tc>
        <w:tc>
          <w:tcPr>
            <w:tcW w:w="604" w:type="dxa"/>
          </w:tcPr>
          <w:p>
            <w:pPr>
              <w:pStyle w:val="0"/>
            </w:pPr>
            <w:r>
              <w:rPr>
                <w:sz w:val="20"/>
              </w:rPr>
              <w:t xml:space="preserve">42,9</w:t>
            </w:r>
          </w:p>
        </w:tc>
        <w:tc>
          <w:tcPr>
            <w:tcW w:w="604" w:type="dxa"/>
          </w:tcPr>
          <w:p>
            <w:pPr>
              <w:pStyle w:val="0"/>
            </w:pPr>
            <w:r>
              <w:rPr>
                <w:sz w:val="20"/>
              </w:rPr>
              <w:t xml:space="preserve">42,9</w:t>
            </w:r>
          </w:p>
        </w:tc>
        <w:tc>
          <w:tcPr>
            <w:tcW w:w="604" w:type="dxa"/>
          </w:tcPr>
          <w:p>
            <w:pPr>
              <w:pStyle w:val="0"/>
            </w:pPr>
            <w:r>
              <w:rPr>
                <w:sz w:val="20"/>
              </w:rPr>
              <w:t xml:space="preserve">44,5</w:t>
            </w:r>
          </w:p>
        </w:tc>
        <w:tc>
          <w:tcPr>
            <w:tcW w:w="604" w:type="dxa"/>
          </w:tcPr>
          <w:p>
            <w:pPr>
              <w:pStyle w:val="0"/>
            </w:pPr>
            <w:r>
              <w:rPr>
                <w:sz w:val="20"/>
              </w:rPr>
              <w:t xml:space="preserve">45</w:t>
            </w:r>
          </w:p>
        </w:tc>
        <w:tc>
          <w:tcPr>
            <w:tcW w:w="604" w:type="dxa"/>
          </w:tcPr>
          <w:p>
            <w:pPr>
              <w:pStyle w:val="0"/>
            </w:pPr>
            <w:r>
              <w:rPr>
                <w:sz w:val="20"/>
              </w:rPr>
              <w:t xml:space="preserve">5,2</w:t>
            </w:r>
          </w:p>
        </w:tc>
        <w:tc>
          <w:tcPr>
            <w:tcW w:w="604" w:type="dxa"/>
          </w:tcPr>
          <w:p>
            <w:pPr>
              <w:pStyle w:val="0"/>
            </w:pPr>
            <w:r>
              <w:rPr>
                <w:sz w:val="20"/>
              </w:rPr>
              <w:t xml:space="preserve">5,7</w:t>
            </w:r>
          </w:p>
        </w:tc>
        <w:tc>
          <w:tcPr>
            <w:tcW w:w="604" w:type="dxa"/>
          </w:tcPr>
          <w:p>
            <w:pPr>
              <w:pStyle w:val="0"/>
            </w:pPr>
            <w:r>
              <w:rPr>
                <w:sz w:val="20"/>
              </w:rPr>
              <w:t xml:space="preserve">5,6</w:t>
            </w:r>
          </w:p>
        </w:tc>
        <w:tc>
          <w:tcPr>
            <w:tcW w:w="604" w:type="dxa"/>
          </w:tcPr>
          <w:p>
            <w:pPr>
              <w:pStyle w:val="0"/>
            </w:pPr>
            <w:r>
              <w:rPr>
                <w:sz w:val="20"/>
              </w:rPr>
              <w:t xml:space="preserve">5,3</w:t>
            </w:r>
          </w:p>
        </w:tc>
        <w:tc>
          <w:tcPr>
            <w:tcW w:w="604" w:type="dxa"/>
          </w:tcPr>
          <w:p>
            <w:pPr>
              <w:pStyle w:val="0"/>
            </w:pPr>
            <w:r>
              <w:rPr>
                <w:sz w:val="20"/>
              </w:rPr>
              <w:t xml:space="preserve">5,6</w:t>
            </w:r>
          </w:p>
        </w:tc>
        <w:tc>
          <w:tcPr>
            <w:tcW w:w="604" w:type="dxa"/>
          </w:tcPr>
          <w:p>
            <w:pPr>
              <w:pStyle w:val="0"/>
            </w:pPr>
            <w:r>
              <w:rPr>
                <w:sz w:val="20"/>
              </w:rPr>
              <w:t xml:space="preserve">10</w:t>
            </w:r>
          </w:p>
        </w:tc>
        <w:tc>
          <w:tcPr>
            <w:tcW w:w="604" w:type="dxa"/>
          </w:tcPr>
          <w:p>
            <w:pPr>
              <w:pStyle w:val="0"/>
            </w:pPr>
            <w:r>
              <w:rPr>
                <w:sz w:val="20"/>
              </w:rPr>
              <w:t xml:space="preserve">6,9</w:t>
            </w:r>
          </w:p>
        </w:tc>
        <w:tc>
          <w:tcPr>
            <w:tcW w:w="604" w:type="dxa"/>
          </w:tcPr>
          <w:p>
            <w:pPr>
              <w:pStyle w:val="0"/>
            </w:pPr>
            <w:r>
              <w:rPr>
                <w:sz w:val="20"/>
              </w:rPr>
              <w:t xml:space="preserve">8,5</w:t>
            </w:r>
          </w:p>
        </w:tc>
        <w:tc>
          <w:tcPr>
            <w:tcW w:w="604" w:type="dxa"/>
          </w:tcPr>
          <w:p>
            <w:pPr>
              <w:pStyle w:val="0"/>
            </w:pPr>
            <w:r>
              <w:rPr>
                <w:sz w:val="20"/>
              </w:rPr>
              <w:t xml:space="preserve">8,5</w:t>
            </w:r>
          </w:p>
        </w:tc>
        <w:tc>
          <w:tcPr>
            <w:tcW w:w="604" w:type="dxa"/>
          </w:tcPr>
          <w:p>
            <w:pPr>
              <w:pStyle w:val="0"/>
            </w:pPr>
            <w:r>
              <w:rPr>
                <w:sz w:val="20"/>
              </w:rPr>
              <w:t xml:space="preserve">5,3</w:t>
            </w:r>
          </w:p>
        </w:tc>
      </w:tr>
      <w:tr>
        <w:tc>
          <w:tcPr>
            <w:tcW w:w="2211" w:type="dxa"/>
          </w:tcPr>
          <w:p>
            <w:pPr>
              <w:pStyle w:val="0"/>
            </w:pPr>
            <w:r>
              <w:rPr>
                <w:sz w:val="20"/>
              </w:rPr>
              <w:t xml:space="preserve">Нефтеюганск</w:t>
            </w:r>
          </w:p>
        </w:tc>
        <w:tc>
          <w:tcPr>
            <w:tcW w:w="604" w:type="dxa"/>
          </w:tcPr>
          <w:p>
            <w:pPr>
              <w:pStyle w:val="0"/>
            </w:pPr>
            <w:r>
              <w:rPr>
                <w:sz w:val="20"/>
              </w:rPr>
              <w:t xml:space="preserve">48,1</w:t>
            </w:r>
          </w:p>
        </w:tc>
        <w:tc>
          <w:tcPr>
            <w:tcW w:w="604" w:type="dxa"/>
          </w:tcPr>
          <w:p>
            <w:pPr>
              <w:pStyle w:val="0"/>
            </w:pPr>
            <w:r>
              <w:rPr>
                <w:sz w:val="20"/>
              </w:rPr>
              <w:t xml:space="preserve">44,7</w:t>
            </w:r>
          </w:p>
        </w:tc>
        <w:tc>
          <w:tcPr>
            <w:tcW w:w="604" w:type="dxa"/>
          </w:tcPr>
          <w:p>
            <w:pPr>
              <w:pStyle w:val="0"/>
            </w:pPr>
            <w:r>
              <w:rPr>
                <w:sz w:val="20"/>
              </w:rPr>
              <w:t xml:space="preserve">40,8</w:t>
            </w:r>
          </w:p>
        </w:tc>
        <w:tc>
          <w:tcPr>
            <w:tcW w:w="604" w:type="dxa"/>
          </w:tcPr>
          <w:p>
            <w:pPr>
              <w:pStyle w:val="0"/>
            </w:pPr>
            <w:r>
              <w:rPr>
                <w:sz w:val="20"/>
              </w:rPr>
              <w:t xml:space="preserve">50,1</w:t>
            </w:r>
          </w:p>
        </w:tc>
        <w:tc>
          <w:tcPr>
            <w:tcW w:w="604" w:type="dxa"/>
          </w:tcPr>
          <w:p>
            <w:pPr>
              <w:pStyle w:val="0"/>
            </w:pPr>
            <w:r>
              <w:rPr>
                <w:sz w:val="20"/>
              </w:rPr>
              <w:t xml:space="preserve">50,1</w:t>
            </w:r>
          </w:p>
        </w:tc>
        <w:tc>
          <w:tcPr>
            <w:tcW w:w="604" w:type="dxa"/>
          </w:tcPr>
          <w:p>
            <w:pPr>
              <w:pStyle w:val="0"/>
            </w:pPr>
            <w:r>
              <w:rPr>
                <w:sz w:val="20"/>
              </w:rPr>
              <w:t xml:space="preserve">6,1</w:t>
            </w:r>
          </w:p>
        </w:tc>
        <w:tc>
          <w:tcPr>
            <w:tcW w:w="604" w:type="dxa"/>
          </w:tcPr>
          <w:p>
            <w:pPr>
              <w:pStyle w:val="0"/>
            </w:pPr>
            <w:r>
              <w:rPr>
                <w:sz w:val="20"/>
              </w:rPr>
              <w:t xml:space="preserve">6,1</w:t>
            </w:r>
          </w:p>
        </w:tc>
        <w:tc>
          <w:tcPr>
            <w:tcW w:w="604" w:type="dxa"/>
          </w:tcPr>
          <w:p>
            <w:pPr>
              <w:pStyle w:val="0"/>
            </w:pPr>
            <w:r>
              <w:rPr>
                <w:sz w:val="20"/>
              </w:rPr>
              <w:t xml:space="preserve">7,1</w:t>
            </w:r>
          </w:p>
        </w:tc>
        <w:tc>
          <w:tcPr>
            <w:tcW w:w="604" w:type="dxa"/>
          </w:tcPr>
          <w:p>
            <w:pPr>
              <w:pStyle w:val="0"/>
            </w:pPr>
            <w:r>
              <w:rPr>
                <w:sz w:val="20"/>
              </w:rPr>
              <w:t xml:space="preserve">6,6</w:t>
            </w:r>
          </w:p>
        </w:tc>
        <w:tc>
          <w:tcPr>
            <w:tcW w:w="604" w:type="dxa"/>
          </w:tcPr>
          <w:p>
            <w:pPr>
              <w:pStyle w:val="0"/>
            </w:pPr>
            <w:r>
              <w:rPr>
                <w:sz w:val="20"/>
              </w:rPr>
              <w:t xml:space="preserve">5,9</w:t>
            </w:r>
          </w:p>
        </w:tc>
        <w:tc>
          <w:tcPr>
            <w:tcW w:w="604" w:type="dxa"/>
          </w:tcPr>
          <w:p>
            <w:pPr>
              <w:pStyle w:val="0"/>
            </w:pPr>
            <w:r>
              <w:rPr>
                <w:sz w:val="20"/>
              </w:rPr>
              <w:t xml:space="preserve">9,2</w:t>
            </w:r>
          </w:p>
        </w:tc>
        <w:tc>
          <w:tcPr>
            <w:tcW w:w="604" w:type="dxa"/>
          </w:tcPr>
          <w:p>
            <w:pPr>
              <w:pStyle w:val="0"/>
            </w:pPr>
            <w:r>
              <w:rPr>
                <w:sz w:val="20"/>
              </w:rPr>
              <w:t xml:space="preserve">8,1</w:t>
            </w:r>
          </w:p>
        </w:tc>
        <w:tc>
          <w:tcPr>
            <w:tcW w:w="604" w:type="dxa"/>
          </w:tcPr>
          <w:p>
            <w:pPr>
              <w:pStyle w:val="0"/>
            </w:pPr>
            <w:r>
              <w:rPr>
                <w:sz w:val="20"/>
              </w:rPr>
              <w:t xml:space="preserve">6,5</w:t>
            </w:r>
          </w:p>
        </w:tc>
        <w:tc>
          <w:tcPr>
            <w:tcW w:w="604" w:type="dxa"/>
          </w:tcPr>
          <w:p>
            <w:pPr>
              <w:pStyle w:val="0"/>
            </w:pPr>
            <w:r>
              <w:rPr>
                <w:sz w:val="20"/>
              </w:rPr>
              <w:t xml:space="preserve">7,9</w:t>
            </w:r>
          </w:p>
        </w:tc>
        <w:tc>
          <w:tcPr>
            <w:tcW w:w="604" w:type="dxa"/>
          </w:tcPr>
          <w:p>
            <w:pPr>
              <w:pStyle w:val="0"/>
            </w:pPr>
            <w:r>
              <w:rPr>
                <w:sz w:val="20"/>
              </w:rPr>
              <w:t xml:space="preserve">7,5</w:t>
            </w:r>
          </w:p>
        </w:tc>
      </w:tr>
      <w:tr>
        <w:tc>
          <w:tcPr>
            <w:tcW w:w="2211" w:type="dxa"/>
          </w:tcPr>
          <w:p>
            <w:pPr>
              <w:pStyle w:val="0"/>
            </w:pPr>
            <w:r>
              <w:rPr>
                <w:sz w:val="20"/>
              </w:rPr>
              <w:t xml:space="preserve">Нефтеюганский</w:t>
            </w:r>
          </w:p>
        </w:tc>
        <w:tc>
          <w:tcPr>
            <w:tcW w:w="604" w:type="dxa"/>
          </w:tcPr>
          <w:p>
            <w:pPr>
              <w:pStyle w:val="0"/>
            </w:pPr>
            <w:r>
              <w:rPr>
                <w:sz w:val="20"/>
              </w:rPr>
              <w:t xml:space="preserve">20,7</w:t>
            </w:r>
          </w:p>
        </w:tc>
        <w:tc>
          <w:tcPr>
            <w:tcW w:w="604" w:type="dxa"/>
          </w:tcPr>
          <w:p>
            <w:pPr>
              <w:pStyle w:val="0"/>
            </w:pPr>
            <w:r>
              <w:rPr>
                <w:sz w:val="20"/>
              </w:rPr>
              <w:t xml:space="preserve">18,8</w:t>
            </w:r>
          </w:p>
        </w:tc>
        <w:tc>
          <w:tcPr>
            <w:tcW w:w="604" w:type="dxa"/>
          </w:tcPr>
          <w:p>
            <w:pPr>
              <w:pStyle w:val="0"/>
            </w:pPr>
            <w:r>
              <w:rPr>
                <w:sz w:val="20"/>
              </w:rPr>
              <w:t xml:space="preserve">57,7</w:t>
            </w:r>
          </w:p>
        </w:tc>
        <w:tc>
          <w:tcPr>
            <w:tcW w:w="604" w:type="dxa"/>
          </w:tcPr>
          <w:p>
            <w:pPr>
              <w:pStyle w:val="0"/>
            </w:pPr>
            <w:r>
              <w:rPr>
                <w:sz w:val="20"/>
              </w:rPr>
              <w:t xml:space="preserve">53,6</w:t>
            </w:r>
          </w:p>
        </w:tc>
        <w:tc>
          <w:tcPr>
            <w:tcW w:w="604" w:type="dxa"/>
          </w:tcPr>
          <w:p>
            <w:pPr>
              <w:pStyle w:val="0"/>
            </w:pPr>
            <w:r>
              <w:rPr>
                <w:sz w:val="20"/>
              </w:rPr>
              <w:t xml:space="preserve">48,2</w:t>
            </w:r>
          </w:p>
        </w:tc>
        <w:tc>
          <w:tcPr>
            <w:tcW w:w="604" w:type="dxa"/>
          </w:tcPr>
          <w:p>
            <w:pPr>
              <w:pStyle w:val="0"/>
            </w:pPr>
            <w:r>
              <w:rPr>
                <w:sz w:val="20"/>
              </w:rPr>
              <w:t xml:space="preserve">6,5</w:t>
            </w:r>
          </w:p>
        </w:tc>
        <w:tc>
          <w:tcPr>
            <w:tcW w:w="604" w:type="dxa"/>
          </w:tcPr>
          <w:p>
            <w:pPr>
              <w:pStyle w:val="0"/>
            </w:pPr>
            <w:r>
              <w:rPr>
                <w:sz w:val="20"/>
              </w:rPr>
              <w:t xml:space="preserve">6,7</w:t>
            </w:r>
          </w:p>
        </w:tc>
        <w:tc>
          <w:tcPr>
            <w:tcW w:w="604" w:type="dxa"/>
          </w:tcPr>
          <w:p>
            <w:pPr>
              <w:pStyle w:val="0"/>
            </w:pPr>
            <w:r>
              <w:rPr>
                <w:sz w:val="20"/>
              </w:rPr>
              <w:t xml:space="preserve">8,7</w:t>
            </w:r>
          </w:p>
        </w:tc>
        <w:tc>
          <w:tcPr>
            <w:tcW w:w="604" w:type="dxa"/>
          </w:tcPr>
          <w:p>
            <w:pPr>
              <w:pStyle w:val="0"/>
            </w:pPr>
            <w:r>
              <w:rPr>
                <w:sz w:val="20"/>
              </w:rPr>
              <w:t xml:space="preserve">6</w:t>
            </w:r>
          </w:p>
        </w:tc>
        <w:tc>
          <w:tcPr>
            <w:tcW w:w="604" w:type="dxa"/>
          </w:tcPr>
          <w:p>
            <w:pPr>
              <w:pStyle w:val="0"/>
            </w:pPr>
            <w:r>
              <w:rPr>
                <w:sz w:val="20"/>
              </w:rPr>
              <w:t xml:space="preserve">5,5</w:t>
            </w:r>
          </w:p>
        </w:tc>
        <w:tc>
          <w:tcPr>
            <w:tcW w:w="604" w:type="dxa"/>
          </w:tcPr>
          <w:p>
            <w:pPr>
              <w:pStyle w:val="0"/>
            </w:pPr>
            <w:r>
              <w:rPr>
                <w:sz w:val="20"/>
              </w:rPr>
              <w:t xml:space="preserve">5,1</w:t>
            </w:r>
          </w:p>
        </w:tc>
        <w:tc>
          <w:tcPr>
            <w:tcW w:w="604" w:type="dxa"/>
          </w:tcPr>
          <w:p>
            <w:pPr>
              <w:pStyle w:val="0"/>
            </w:pPr>
            <w:r>
              <w:rPr>
                <w:sz w:val="20"/>
              </w:rPr>
              <w:t xml:space="preserve">6,8</w:t>
            </w:r>
          </w:p>
        </w:tc>
        <w:tc>
          <w:tcPr>
            <w:tcW w:w="604" w:type="dxa"/>
          </w:tcPr>
          <w:p>
            <w:pPr>
              <w:pStyle w:val="0"/>
            </w:pPr>
            <w:r>
              <w:rPr>
                <w:sz w:val="20"/>
              </w:rPr>
              <w:t xml:space="preserve">6,7</w:t>
            </w:r>
          </w:p>
        </w:tc>
        <w:tc>
          <w:tcPr>
            <w:tcW w:w="604" w:type="dxa"/>
          </w:tcPr>
          <w:p>
            <w:pPr>
              <w:pStyle w:val="0"/>
            </w:pPr>
            <w:r>
              <w:rPr>
                <w:sz w:val="20"/>
              </w:rPr>
              <w:t xml:space="preserve">7,6</w:t>
            </w:r>
          </w:p>
        </w:tc>
        <w:tc>
          <w:tcPr>
            <w:tcW w:w="604" w:type="dxa"/>
          </w:tcPr>
          <w:p>
            <w:pPr>
              <w:pStyle w:val="0"/>
            </w:pPr>
            <w:r>
              <w:rPr>
                <w:sz w:val="20"/>
              </w:rPr>
              <w:t xml:space="preserve">6,3</w:t>
            </w:r>
          </w:p>
        </w:tc>
      </w:tr>
      <w:tr>
        <w:tc>
          <w:tcPr>
            <w:tcW w:w="2211" w:type="dxa"/>
          </w:tcPr>
          <w:p>
            <w:pPr>
              <w:pStyle w:val="0"/>
            </w:pPr>
            <w:r>
              <w:rPr>
                <w:sz w:val="20"/>
              </w:rPr>
              <w:t xml:space="preserve">Пыть-Ях</w:t>
            </w:r>
          </w:p>
        </w:tc>
        <w:tc>
          <w:tcPr>
            <w:tcW w:w="604" w:type="dxa"/>
          </w:tcPr>
          <w:p>
            <w:pPr>
              <w:pStyle w:val="0"/>
            </w:pPr>
            <w:r>
              <w:rPr>
                <w:sz w:val="20"/>
              </w:rPr>
              <w:t xml:space="preserve">41,8</w:t>
            </w:r>
          </w:p>
        </w:tc>
        <w:tc>
          <w:tcPr>
            <w:tcW w:w="604" w:type="dxa"/>
          </w:tcPr>
          <w:p>
            <w:pPr>
              <w:pStyle w:val="0"/>
            </w:pPr>
            <w:r>
              <w:rPr>
                <w:sz w:val="20"/>
              </w:rPr>
              <w:t xml:space="preserve">43,5</w:t>
            </w:r>
          </w:p>
        </w:tc>
        <w:tc>
          <w:tcPr>
            <w:tcW w:w="604" w:type="dxa"/>
          </w:tcPr>
          <w:p>
            <w:pPr>
              <w:pStyle w:val="0"/>
            </w:pPr>
            <w:r>
              <w:rPr>
                <w:sz w:val="20"/>
              </w:rPr>
              <w:t xml:space="preserve">50,4</w:t>
            </w:r>
          </w:p>
        </w:tc>
        <w:tc>
          <w:tcPr>
            <w:tcW w:w="604" w:type="dxa"/>
          </w:tcPr>
          <w:p>
            <w:pPr>
              <w:pStyle w:val="0"/>
            </w:pPr>
            <w:r>
              <w:rPr>
                <w:sz w:val="20"/>
              </w:rPr>
              <w:t xml:space="preserve">48,6</w:t>
            </w:r>
          </w:p>
        </w:tc>
        <w:tc>
          <w:tcPr>
            <w:tcW w:w="604" w:type="dxa"/>
          </w:tcPr>
          <w:p>
            <w:pPr>
              <w:pStyle w:val="0"/>
            </w:pPr>
            <w:r>
              <w:rPr>
                <w:sz w:val="20"/>
              </w:rPr>
              <w:t xml:space="preserve">51,1</w:t>
            </w:r>
          </w:p>
        </w:tc>
        <w:tc>
          <w:tcPr>
            <w:tcW w:w="604" w:type="dxa"/>
          </w:tcPr>
          <w:p>
            <w:pPr>
              <w:pStyle w:val="0"/>
            </w:pPr>
            <w:r>
              <w:rPr>
                <w:sz w:val="20"/>
              </w:rPr>
              <w:t xml:space="preserve">4,4</w:t>
            </w:r>
          </w:p>
        </w:tc>
        <w:tc>
          <w:tcPr>
            <w:tcW w:w="604" w:type="dxa"/>
          </w:tcPr>
          <w:p>
            <w:pPr>
              <w:pStyle w:val="0"/>
            </w:pPr>
            <w:r>
              <w:rPr>
                <w:sz w:val="20"/>
              </w:rPr>
              <w:t xml:space="preserve">6,9</w:t>
            </w:r>
          </w:p>
        </w:tc>
        <w:tc>
          <w:tcPr>
            <w:tcW w:w="604" w:type="dxa"/>
          </w:tcPr>
          <w:p>
            <w:pPr>
              <w:pStyle w:val="0"/>
            </w:pPr>
            <w:r>
              <w:rPr>
                <w:sz w:val="20"/>
              </w:rPr>
              <w:t xml:space="preserve">6,5</w:t>
            </w:r>
          </w:p>
        </w:tc>
        <w:tc>
          <w:tcPr>
            <w:tcW w:w="604" w:type="dxa"/>
          </w:tcPr>
          <w:p>
            <w:pPr>
              <w:pStyle w:val="0"/>
            </w:pPr>
            <w:r>
              <w:rPr>
                <w:sz w:val="20"/>
              </w:rPr>
              <w:t xml:space="preserve">7,1</w:t>
            </w:r>
          </w:p>
        </w:tc>
        <w:tc>
          <w:tcPr>
            <w:tcW w:w="604" w:type="dxa"/>
          </w:tcPr>
          <w:p>
            <w:pPr>
              <w:pStyle w:val="0"/>
            </w:pPr>
            <w:r>
              <w:rPr>
                <w:sz w:val="20"/>
              </w:rPr>
              <w:t xml:space="preserve">6,1</w:t>
            </w:r>
          </w:p>
        </w:tc>
        <w:tc>
          <w:tcPr>
            <w:tcW w:w="604" w:type="dxa"/>
          </w:tcPr>
          <w:p>
            <w:pPr>
              <w:pStyle w:val="0"/>
            </w:pPr>
            <w:r>
              <w:rPr>
                <w:sz w:val="20"/>
              </w:rPr>
              <w:t xml:space="preserve">5,2</w:t>
            </w:r>
          </w:p>
        </w:tc>
        <w:tc>
          <w:tcPr>
            <w:tcW w:w="604" w:type="dxa"/>
          </w:tcPr>
          <w:p>
            <w:pPr>
              <w:pStyle w:val="0"/>
            </w:pPr>
            <w:r>
              <w:rPr>
                <w:sz w:val="20"/>
              </w:rPr>
              <w:t xml:space="preserve">6,2</w:t>
            </w:r>
          </w:p>
        </w:tc>
        <w:tc>
          <w:tcPr>
            <w:tcW w:w="604" w:type="dxa"/>
          </w:tcPr>
          <w:p>
            <w:pPr>
              <w:pStyle w:val="0"/>
            </w:pPr>
            <w:r>
              <w:rPr>
                <w:sz w:val="20"/>
              </w:rPr>
              <w:t xml:space="preserve">7,2</w:t>
            </w:r>
          </w:p>
        </w:tc>
        <w:tc>
          <w:tcPr>
            <w:tcW w:w="604" w:type="dxa"/>
          </w:tcPr>
          <w:p>
            <w:pPr>
              <w:pStyle w:val="0"/>
            </w:pPr>
            <w:r>
              <w:rPr>
                <w:sz w:val="20"/>
              </w:rPr>
              <w:t xml:space="preserve">5,9</w:t>
            </w:r>
          </w:p>
        </w:tc>
        <w:tc>
          <w:tcPr>
            <w:tcW w:w="604" w:type="dxa"/>
          </w:tcPr>
          <w:p>
            <w:pPr>
              <w:pStyle w:val="0"/>
            </w:pPr>
            <w:r>
              <w:rPr>
                <w:sz w:val="20"/>
              </w:rPr>
              <w:t xml:space="preserve">5,4</w:t>
            </w:r>
          </w:p>
        </w:tc>
      </w:tr>
      <w:tr>
        <w:tc>
          <w:tcPr>
            <w:tcW w:w="2211" w:type="dxa"/>
          </w:tcPr>
          <w:p>
            <w:pPr>
              <w:pStyle w:val="0"/>
            </w:pPr>
            <w:r>
              <w:rPr>
                <w:sz w:val="20"/>
              </w:rPr>
              <w:t xml:space="preserve">Когалым</w:t>
            </w:r>
          </w:p>
        </w:tc>
        <w:tc>
          <w:tcPr>
            <w:tcW w:w="604" w:type="dxa"/>
          </w:tcPr>
          <w:p>
            <w:pPr>
              <w:pStyle w:val="0"/>
            </w:pPr>
            <w:r>
              <w:rPr>
                <w:sz w:val="20"/>
              </w:rPr>
              <w:t xml:space="preserve">37,3</w:t>
            </w:r>
          </w:p>
        </w:tc>
        <w:tc>
          <w:tcPr>
            <w:tcW w:w="604" w:type="dxa"/>
          </w:tcPr>
          <w:p>
            <w:pPr>
              <w:pStyle w:val="0"/>
            </w:pPr>
            <w:r>
              <w:rPr>
                <w:sz w:val="20"/>
              </w:rPr>
              <w:t xml:space="preserve">32,3</w:t>
            </w:r>
          </w:p>
        </w:tc>
        <w:tc>
          <w:tcPr>
            <w:tcW w:w="604" w:type="dxa"/>
          </w:tcPr>
          <w:p>
            <w:pPr>
              <w:pStyle w:val="0"/>
            </w:pPr>
            <w:r>
              <w:rPr>
                <w:sz w:val="20"/>
              </w:rPr>
              <w:t xml:space="preserve">31</w:t>
            </w:r>
          </w:p>
        </w:tc>
        <w:tc>
          <w:tcPr>
            <w:tcW w:w="604" w:type="dxa"/>
          </w:tcPr>
          <w:p>
            <w:pPr>
              <w:pStyle w:val="0"/>
            </w:pPr>
            <w:r>
              <w:rPr>
                <w:sz w:val="20"/>
              </w:rPr>
              <w:t xml:space="preserve">28,5</w:t>
            </w:r>
          </w:p>
        </w:tc>
        <w:tc>
          <w:tcPr>
            <w:tcW w:w="604" w:type="dxa"/>
          </w:tcPr>
          <w:p>
            <w:pPr>
              <w:pStyle w:val="0"/>
            </w:pPr>
            <w:r>
              <w:rPr>
                <w:sz w:val="20"/>
              </w:rPr>
              <w:t xml:space="preserve">59,1</w:t>
            </w:r>
          </w:p>
        </w:tc>
        <w:tc>
          <w:tcPr>
            <w:tcW w:w="604" w:type="dxa"/>
          </w:tcPr>
          <w:p>
            <w:pPr>
              <w:pStyle w:val="0"/>
            </w:pPr>
            <w:r>
              <w:rPr>
                <w:sz w:val="20"/>
              </w:rPr>
              <w:t xml:space="preserve">6,9</w:t>
            </w:r>
          </w:p>
        </w:tc>
        <w:tc>
          <w:tcPr>
            <w:tcW w:w="604" w:type="dxa"/>
          </w:tcPr>
          <w:p>
            <w:pPr>
              <w:pStyle w:val="0"/>
            </w:pPr>
            <w:r>
              <w:rPr>
                <w:sz w:val="20"/>
              </w:rPr>
              <w:t xml:space="preserve">8,2</w:t>
            </w:r>
          </w:p>
        </w:tc>
        <w:tc>
          <w:tcPr>
            <w:tcW w:w="604" w:type="dxa"/>
          </w:tcPr>
          <w:p>
            <w:pPr>
              <w:pStyle w:val="0"/>
            </w:pPr>
            <w:r>
              <w:rPr>
                <w:sz w:val="20"/>
              </w:rPr>
              <w:t xml:space="preserve">8,4</w:t>
            </w:r>
          </w:p>
        </w:tc>
        <w:tc>
          <w:tcPr>
            <w:tcW w:w="604" w:type="dxa"/>
          </w:tcPr>
          <w:p>
            <w:pPr>
              <w:pStyle w:val="0"/>
            </w:pPr>
            <w:r>
              <w:rPr>
                <w:sz w:val="20"/>
              </w:rPr>
              <w:t xml:space="preserve">7,8</w:t>
            </w:r>
          </w:p>
        </w:tc>
        <w:tc>
          <w:tcPr>
            <w:tcW w:w="604" w:type="dxa"/>
          </w:tcPr>
          <w:p>
            <w:pPr>
              <w:pStyle w:val="0"/>
            </w:pPr>
            <w:r>
              <w:rPr>
                <w:sz w:val="20"/>
              </w:rPr>
              <w:t xml:space="preserve">8,5</w:t>
            </w:r>
          </w:p>
        </w:tc>
        <w:tc>
          <w:tcPr>
            <w:tcW w:w="604" w:type="dxa"/>
          </w:tcPr>
          <w:p>
            <w:pPr>
              <w:pStyle w:val="0"/>
            </w:pPr>
            <w:r>
              <w:rPr>
                <w:sz w:val="20"/>
              </w:rPr>
              <w:t xml:space="preserve">5,4</w:t>
            </w:r>
          </w:p>
        </w:tc>
        <w:tc>
          <w:tcPr>
            <w:tcW w:w="604" w:type="dxa"/>
          </w:tcPr>
          <w:p>
            <w:pPr>
              <w:pStyle w:val="0"/>
            </w:pPr>
            <w:r>
              <w:rPr>
                <w:sz w:val="20"/>
              </w:rPr>
              <w:t xml:space="preserve">6,8</w:t>
            </w:r>
          </w:p>
        </w:tc>
        <w:tc>
          <w:tcPr>
            <w:tcW w:w="604" w:type="dxa"/>
          </w:tcPr>
          <w:p>
            <w:pPr>
              <w:pStyle w:val="0"/>
            </w:pPr>
            <w:r>
              <w:rPr>
                <w:sz w:val="20"/>
              </w:rPr>
              <w:t xml:space="preserve">4,4</w:t>
            </w:r>
          </w:p>
        </w:tc>
        <w:tc>
          <w:tcPr>
            <w:tcW w:w="604" w:type="dxa"/>
          </w:tcPr>
          <w:p>
            <w:pPr>
              <w:pStyle w:val="0"/>
            </w:pPr>
            <w:r>
              <w:rPr>
                <w:sz w:val="20"/>
              </w:rPr>
              <w:t xml:space="preserve">3,8</w:t>
            </w:r>
          </w:p>
        </w:tc>
        <w:tc>
          <w:tcPr>
            <w:tcW w:w="604" w:type="dxa"/>
          </w:tcPr>
          <w:p>
            <w:pPr>
              <w:pStyle w:val="0"/>
            </w:pPr>
            <w:r>
              <w:rPr>
                <w:sz w:val="20"/>
              </w:rPr>
              <w:t xml:space="preserve">4,5</w:t>
            </w:r>
          </w:p>
        </w:tc>
      </w:tr>
      <w:tr>
        <w:tc>
          <w:tcPr>
            <w:tcW w:w="2211" w:type="dxa"/>
          </w:tcPr>
          <w:p>
            <w:pPr>
              <w:pStyle w:val="0"/>
            </w:pPr>
            <w:r>
              <w:rPr>
                <w:sz w:val="20"/>
              </w:rPr>
              <w:t xml:space="preserve">Всего по центру</w:t>
            </w:r>
          </w:p>
        </w:tc>
        <w:tc>
          <w:tcPr>
            <w:tcW w:w="604" w:type="dxa"/>
          </w:tcPr>
          <w:p>
            <w:pPr>
              <w:pStyle w:val="0"/>
            </w:pPr>
            <w:r>
              <w:rPr>
                <w:sz w:val="20"/>
              </w:rPr>
              <w:t xml:space="preserve">41,4</w:t>
            </w:r>
          </w:p>
        </w:tc>
        <w:tc>
          <w:tcPr>
            <w:tcW w:w="604" w:type="dxa"/>
          </w:tcPr>
          <w:p>
            <w:pPr>
              <w:pStyle w:val="0"/>
            </w:pPr>
            <w:r>
              <w:rPr>
                <w:sz w:val="20"/>
              </w:rPr>
              <w:t xml:space="preserve">37,5</w:t>
            </w:r>
          </w:p>
        </w:tc>
        <w:tc>
          <w:tcPr>
            <w:tcW w:w="604" w:type="dxa"/>
          </w:tcPr>
          <w:p>
            <w:pPr>
              <w:pStyle w:val="0"/>
            </w:pPr>
            <w:r>
              <w:rPr>
                <w:sz w:val="20"/>
              </w:rPr>
              <w:t xml:space="preserve">43,4</w:t>
            </w:r>
          </w:p>
        </w:tc>
        <w:tc>
          <w:tcPr>
            <w:tcW w:w="604" w:type="dxa"/>
          </w:tcPr>
          <w:p>
            <w:pPr>
              <w:pStyle w:val="0"/>
            </w:pPr>
            <w:r>
              <w:rPr>
                <w:sz w:val="20"/>
              </w:rPr>
              <w:t xml:space="preserve">45</w:t>
            </w:r>
          </w:p>
        </w:tc>
        <w:tc>
          <w:tcPr>
            <w:tcW w:w="604" w:type="dxa"/>
          </w:tcPr>
          <w:p>
            <w:pPr>
              <w:pStyle w:val="0"/>
            </w:pPr>
            <w:r>
              <w:rPr>
                <w:sz w:val="20"/>
              </w:rPr>
              <w:t xml:space="preserve">47,8</w:t>
            </w:r>
          </w:p>
        </w:tc>
        <w:tc>
          <w:tcPr>
            <w:tcW w:w="604" w:type="dxa"/>
          </w:tcPr>
          <w:p>
            <w:pPr>
              <w:pStyle w:val="0"/>
            </w:pPr>
            <w:r>
              <w:rPr>
                <w:sz w:val="20"/>
              </w:rPr>
              <w:t xml:space="preserve">5,8</w:t>
            </w:r>
          </w:p>
        </w:tc>
        <w:tc>
          <w:tcPr>
            <w:tcW w:w="604" w:type="dxa"/>
          </w:tcPr>
          <w:p>
            <w:pPr>
              <w:pStyle w:val="0"/>
            </w:pPr>
            <w:r>
              <w:rPr>
                <w:sz w:val="20"/>
              </w:rPr>
              <w:t xml:space="preserve">3,9</w:t>
            </w:r>
          </w:p>
        </w:tc>
        <w:tc>
          <w:tcPr>
            <w:tcW w:w="604" w:type="dxa"/>
          </w:tcPr>
          <w:p>
            <w:pPr>
              <w:pStyle w:val="0"/>
            </w:pPr>
            <w:r>
              <w:rPr>
                <w:sz w:val="20"/>
              </w:rPr>
              <w:t xml:space="preserve">6,4</w:t>
            </w:r>
          </w:p>
        </w:tc>
        <w:tc>
          <w:tcPr>
            <w:tcW w:w="604" w:type="dxa"/>
          </w:tcPr>
          <w:p>
            <w:pPr>
              <w:pStyle w:val="0"/>
            </w:pPr>
            <w:r>
              <w:rPr>
                <w:sz w:val="20"/>
              </w:rPr>
              <w:t xml:space="preserve">5,7</w:t>
            </w:r>
          </w:p>
        </w:tc>
        <w:tc>
          <w:tcPr>
            <w:tcW w:w="604" w:type="dxa"/>
          </w:tcPr>
          <w:p>
            <w:pPr>
              <w:pStyle w:val="0"/>
            </w:pPr>
            <w:r>
              <w:rPr>
                <w:sz w:val="20"/>
              </w:rPr>
              <w:t xml:space="preserve">6,2</w:t>
            </w:r>
          </w:p>
        </w:tc>
        <w:tc>
          <w:tcPr>
            <w:tcW w:w="604" w:type="dxa"/>
          </w:tcPr>
          <w:p>
            <w:pPr>
              <w:pStyle w:val="0"/>
            </w:pPr>
            <w:r>
              <w:rPr>
                <w:sz w:val="20"/>
              </w:rPr>
              <w:t xml:space="preserve">7</w:t>
            </w:r>
          </w:p>
        </w:tc>
        <w:tc>
          <w:tcPr>
            <w:tcW w:w="604" w:type="dxa"/>
          </w:tcPr>
          <w:p>
            <w:pPr>
              <w:pStyle w:val="0"/>
            </w:pPr>
            <w:r>
              <w:rPr>
                <w:sz w:val="20"/>
              </w:rPr>
              <w:t xml:space="preserve">6,9</w:t>
            </w:r>
          </w:p>
        </w:tc>
        <w:tc>
          <w:tcPr>
            <w:tcW w:w="604" w:type="dxa"/>
          </w:tcPr>
          <w:p>
            <w:pPr>
              <w:pStyle w:val="0"/>
            </w:pPr>
            <w:r>
              <w:rPr>
                <w:sz w:val="20"/>
              </w:rPr>
              <w:t xml:space="preserve">6,8</w:t>
            </w:r>
          </w:p>
        </w:tc>
        <w:tc>
          <w:tcPr>
            <w:tcW w:w="604" w:type="dxa"/>
          </w:tcPr>
          <w:p>
            <w:pPr>
              <w:pStyle w:val="0"/>
            </w:pPr>
            <w:r>
              <w:rPr>
                <w:sz w:val="20"/>
              </w:rPr>
              <w:t xml:space="preserve">7,1</w:t>
            </w:r>
          </w:p>
        </w:tc>
        <w:tc>
          <w:tcPr>
            <w:tcW w:w="604" w:type="dxa"/>
          </w:tcPr>
          <w:p>
            <w:pPr>
              <w:pStyle w:val="0"/>
            </w:pPr>
            <w:r>
              <w:rPr>
                <w:sz w:val="20"/>
              </w:rPr>
              <w:t xml:space="preserve">5,6</w:t>
            </w:r>
          </w:p>
        </w:tc>
      </w:tr>
      <w:tr>
        <w:tc>
          <w:tcPr>
            <w:gridSpan w:val="16"/>
            <w:tcW w:w="11271" w:type="dxa"/>
          </w:tcPr>
          <w:p>
            <w:pPr>
              <w:pStyle w:val="0"/>
            </w:pPr>
            <w:r>
              <w:rPr>
                <w:sz w:val="20"/>
              </w:rPr>
              <w:t xml:space="preserve">Нижневартовский онкологический диспансер</w:t>
            </w:r>
          </w:p>
        </w:tc>
      </w:tr>
      <w:tr>
        <w:tc>
          <w:tcPr>
            <w:tcW w:w="2211" w:type="dxa"/>
          </w:tcPr>
          <w:p>
            <w:pPr>
              <w:pStyle w:val="0"/>
            </w:pPr>
            <w:r>
              <w:rPr>
                <w:sz w:val="20"/>
              </w:rPr>
              <w:t xml:space="preserve">Нижневартовск</w:t>
            </w:r>
          </w:p>
        </w:tc>
        <w:tc>
          <w:tcPr>
            <w:tcW w:w="604" w:type="dxa"/>
          </w:tcPr>
          <w:p>
            <w:pPr>
              <w:pStyle w:val="0"/>
            </w:pPr>
            <w:r>
              <w:rPr>
                <w:sz w:val="20"/>
              </w:rPr>
              <w:t xml:space="preserve">56</w:t>
            </w:r>
          </w:p>
        </w:tc>
        <w:tc>
          <w:tcPr>
            <w:tcW w:w="604" w:type="dxa"/>
          </w:tcPr>
          <w:p>
            <w:pPr>
              <w:pStyle w:val="0"/>
            </w:pPr>
            <w:r>
              <w:rPr>
                <w:sz w:val="20"/>
              </w:rPr>
              <w:t xml:space="preserve">55,3</w:t>
            </w:r>
          </w:p>
        </w:tc>
        <w:tc>
          <w:tcPr>
            <w:tcW w:w="604" w:type="dxa"/>
          </w:tcPr>
          <w:p>
            <w:pPr>
              <w:pStyle w:val="0"/>
            </w:pPr>
            <w:r>
              <w:rPr>
                <w:sz w:val="20"/>
              </w:rPr>
              <w:t xml:space="preserve">55,9</w:t>
            </w:r>
          </w:p>
        </w:tc>
        <w:tc>
          <w:tcPr>
            <w:tcW w:w="604" w:type="dxa"/>
          </w:tcPr>
          <w:p>
            <w:pPr>
              <w:pStyle w:val="0"/>
            </w:pPr>
            <w:r>
              <w:rPr>
                <w:sz w:val="20"/>
              </w:rPr>
              <w:t xml:space="preserve">56,4</w:t>
            </w:r>
          </w:p>
        </w:tc>
        <w:tc>
          <w:tcPr>
            <w:tcW w:w="604" w:type="dxa"/>
          </w:tcPr>
          <w:p>
            <w:pPr>
              <w:pStyle w:val="0"/>
            </w:pPr>
            <w:r>
              <w:rPr>
                <w:sz w:val="20"/>
              </w:rPr>
              <w:t xml:space="preserve">56,1</w:t>
            </w:r>
          </w:p>
        </w:tc>
        <w:tc>
          <w:tcPr>
            <w:tcW w:w="604" w:type="dxa"/>
          </w:tcPr>
          <w:p>
            <w:pPr>
              <w:pStyle w:val="0"/>
            </w:pPr>
            <w:r>
              <w:rPr>
                <w:sz w:val="20"/>
              </w:rPr>
              <w:t xml:space="preserve">6,5</w:t>
            </w:r>
          </w:p>
        </w:tc>
        <w:tc>
          <w:tcPr>
            <w:tcW w:w="604" w:type="dxa"/>
          </w:tcPr>
          <w:p>
            <w:pPr>
              <w:pStyle w:val="0"/>
            </w:pPr>
            <w:r>
              <w:rPr>
                <w:sz w:val="20"/>
              </w:rPr>
              <w:t xml:space="preserve">6,7</w:t>
            </w:r>
          </w:p>
        </w:tc>
        <w:tc>
          <w:tcPr>
            <w:tcW w:w="604" w:type="dxa"/>
          </w:tcPr>
          <w:p>
            <w:pPr>
              <w:pStyle w:val="0"/>
            </w:pPr>
            <w:r>
              <w:rPr>
                <w:sz w:val="20"/>
              </w:rPr>
              <w:t xml:space="preserve">7</w:t>
            </w:r>
          </w:p>
        </w:tc>
        <w:tc>
          <w:tcPr>
            <w:tcW w:w="604" w:type="dxa"/>
          </w:tcPr>
          <w:p>
            <w:pPr>
              <w:pStyle w:val="0"/>
            </w:pPr>
            <w:r>
              <w:rPr>
                <w:sz w:val="20"/>
              </w:rPr>
              <w:t xml:space="preserve">7</w:t>
            </w:r>
          </w:p>
        </w:tc>
        <w:tc>
          <w:tcPr>
            <w:tcW w:w="604" w:type="dxa"/>
          </w:tcPr>
          <w:p>
            <w:pPr>
              <w:pStyle w:val="0"/>
            </w:pPr>
            <w:r>
              <w:rPr>
                <w:sz w:val="20"/>
              </w:rPr>
              <w:t xml:space="preserve">6,8</w:t>
            </w:r>
          </w:p>
        </w:tc>
        <w:tc>
          <w:tcPr>
            <w:tcW w:w="604" w:type="dxa"/>
          </w:tcPr>
          <w:p>
            <w:pPr>
              <w:pStyle w:val="0"/>
            </w:pPr>
            <w:r>
              <w:rPr>
                <w:sz w:val="20"/>
              </w:rPr>
              <w:t xml:space="preserve">7,3</w:t>
            </w:r>
          </w:p>
        </w:tc>
        <w:tc>
          <w:tcPr>
            <w:tcW w:w="604" w:type="dxa"/>
          </w:tcPr>
          <w:p>
            <w:pPr>
              <w:pStyle w:val="0"/>
            </w:pPr>
            <w:r>
              <w:rPr>
                <w:sz w:val="20"/>
              </w:rPr>
              <w:t xml:space="preserve">7,8</w:t>
            </w:r>
          </w:p>
        </w:tc>
        <w:tc>
          <w:tcPr>
            <w:tcW w:w="604" w:type="dxa"/>
          </w:tcPr>
          <w:p>
            <w:pPr>
              <w:pStyle w:val="0"/>
            </w:pPr>
            <w:r>
              <w:rPr>
                <w:sz w:val="20"/>
              </w:rPr>
              <w:t xml:space="preserve">6,5</w:t>
            </w:r>
          </w:p>
        </w:tc>
        <w:tc>
          <w:tcPr>
            <w:tcW w:w="604" w:type="dxa"/>
          </w:tcPr>
          <w:p>
            <w:pPr>
              <w:pStyle w:val="0"/>
            </w:pPr>
            <w:r>
              <w:rPr>
                <w:sz w:val="20"/>
              </w:rPr>
              <w:t xml:space="preserve">5,8</w:t>
            </w:r>
          </w:p>
        </w:tc>
        <w:tc>
          <w:tcPr>
            <w:tcW w:w="604" w:type="dxa"/>
          </w:tcPr>
          <w:p>
            <w:pPr>
              <w:pStyle w:val="0"/>
            </w:pPr>
            <w:r>
              <w:rPr>
                <w:sz w:val="20"/>
              </w:rPr>
              <w:t xml:space="preserve">6,3</w:t>
            </w:r>
          </w:p>
        </w:tc>
      </w:tr>
      <w:tr>
        <w:tc>
          <w:tcPr>
            <w:tcW w:w="2211" w:type="dxa"/>
          </w:tcPr>
          <w:p>
            <w:pPr>
              <w:pStyle w:val="0"/>
            </w:pPr>
            <w:r>
              <w:rPr>
                <w:sz w:val="20"/>
              </w:rPr>
              <w:t xml:space="preserve">Нижневартовский</w:t>
            </w:r>
          </w:p>
        </w:tc>
        <w:tc>
          <w:tcPr>
            <w:tcW w:w="604" w:type="dxa"/>
          </w:tcPr>
          <w:p>
            <w:pPr>
              <w:pStyle w:val="0"/>
            </w:pPr>
            <w:r>
              <w:rPr>
                <w:sz w:val="20"/>
              </w:rPr>
              <w:t xml:space="preserve">33,3</w:t>
            </w:r>
          </w:p>
        </w:tc>
        <w:tc>
          <w:tcPr>
            <w:tcW w:w="604" w:type="dxa"/>
          </w:tcPr>
          <w:p>
            <w:pPr>
              <w:pStyle w:val="0"/>
            </w:pPr>
            <w:r>
              <w:rPr>
                <w:sz w:val="20"/>
              </w:rPr>
              <w:t xml:space="preserve">35,9</w:t>
            </w:r>
          </w:p>
        </w:tc>
        <w:tc>
          <w:tcPr>
            <w:tcW w:w="604" w:type="dxa"/>
          </w:tcPr>
          <w:p>
            <w:pPr>
              <w:pStyle w:val="0"/>
            </w:pPr>
            <w:r>
              <w:rPr>
                <w:sz w:val="20"/>
              </w:rPr>
              <w:t xml:space="preserve">32,9</w:t>
            </w:r>
          </w:p>
        </w:tc>
        <w:tc>
          <w:tcPr>
            <w:tcW w:w="604" w:type="dxa"/>
          </w:tcPr>
          <w:p>
            <w:pPr>
              <w:pStyle w:val="0"/>
            </w:pPr>
            <w:r>
              <w:rPr>
                <w:sz w:val="20"/>
              </w:rPr>
              <w:t xml:space="preserve">38,4</w:t>
            </w:r>
          </w:p>
        </w:tc>
        <w:tc>
          <w:tcPr>
            <w:tcW w:w="604" w:type="dxa"/>
          </w:tcPr>
          <w:p>
            <w:pPr>
              <w:pStyle w:val="0"/>
            </w:pPr>
            <w:r>
              <w:rPr>
                <w:sz w:val="20"/>
              </w:rPr>
              <w:t xml:space="preserve">35,8</w:t>
            </w:r>
          </w:p>
        </w:tc>
        <w:tc>
          <w:tcPr>
            <w:tcW w:w="604" w:type="dxa"/>
          </w:tcPr>
          <w:p>
            <w:pPr>
              <w:pStyle w:val="0"/>
            </w:pPr>
            <w:r>
              <w:rPr>
                <w:sz w:val="20"/>
              </w:rPr>
              <w:t xml:space="preserve">5</w:t>
            </w:r>
          </w:p>
        </w:tc>
        <w:tc>
          <w:tcPr>
            <w:tcW w:w="604" w:type="dxa"/>
          </w:tcPr>
          <w:p>
            <w:pPr>
              <w:pStyle w:val="0"/>
            </w:pPr>
            <w:r>
              <w:rPr>
                <w:sz w:val="20"/>
              </w:rPr>
              <w:t xml:space="preserve">0,6</w:t>
            </w:r>
          </w:p>
        </w:tc>
        <w:tc>
          <w:tcPr>
            <w:tcW w:w="604" w:type="dxa"/>
          </w:tcPr>
          <w:p>
            <w:pPr>
              <w:pStyle w:val="0"/>
            </w:pPr>
            <w:r>
              <w:rPr>
                <w:sz w:val="20"/>
              </w:rPr>
              <w:t xml:space="preserve">5,4</w:t>
            </w:r>
          </w:p>
        </w:tc>
        <w:tc>
          <w:tcPr>
            <w:tcW w:w="604" w:type="dxa"/>
          </w:tcPr>
          <w:p>
            <w:pPr>
              <w:pStyle w:val="0"/>
            </w:pPr>
            <w:r>
              <w:rPr>
                <w:sz w:val="20"/>
              </w:rPr>
              <w:t xml:space="preserve">6,6</w:t>
            </w:r>
          </w:p>
        </w:tc>
        <w:tc>
          <w:tcPr>
            <w:tcW w:w="604" w:type="dxa"/>
          </w:tcPr>
          <w:p>
            <w:pPr>
              <w:pStyle w:val="0"/>
            </w:pPr>
            <w:r>
              <w:rPr>
                <w:sz w:val="20"/>
              </w:rPr>
              <w:t xml:space="preserve">7,8</w:t>
            </w:r>
          </w:p>
        </w:tc>
        <w:tc>
          <w:tcPr>
            <w:tcW w:w="604" w:type="dxa"/>
          </w:tcPr>
          <w:p>
            <w:pPr>
              <w:pStyle w:val="0"/>
            </w:pPr>
            <w:r>
              <w:rPr>
                <w:sz w:val="20"/>
              </w:rPr>
              <w:t xml:space="preserve">8,1</w:t>
            </w:r>
          </w:p>
        </w:tc>
        <w:tc>
          <w:tcPr>
            <w:tcW w:w="604" w:type="dxa"/>
          </w:tcPr>
          <w:p>
            <w:pPr>
              <w:pStyle w:val="0"/>
            </w:pPr>
            <w:r>
              <w:rPr>
                <w:sz w:val="20"/>
              </w:rPr>
              <w:t xml:space="preserve">5,5</w:t>
            </w:r>
          </w:p>
        </w:tc>
        <w:tc>
          <w:tcPr>
            <w:tcW w:w="604" w:type="dxa"/>
          </w:tcPr>
          <w:p>
            <w:pPr>
              <w:pStyle w:val="0"/>
            </w:pPr>
            <w:r>
              <w:rPr>
                <w:sz w:val="20"/>
              </w:rPr>
              <w:t xml:space="preserve">7,9</w:t>
            </w:r>
          </w:p>
        </w:tc>
        <w:tc>
          <w:tcPr>
            <w:tcW w:w="604" w:type="dxa"/>
          </w:tcPr>
          <w:p>
            <w:pPr>
              <w:pStyle w:val="0"/>
            </w:pPr>
            <w:r>
              <w:rPr>
                <w:sz w:val="20"/>
              </w:rPr>
              <w:t xml:space="preserve">3,6</w:t>
            </w:r>
          </w:p>
        </w:tc>
        <w:tc>
          <w:tcPr>
            <w:tcW w:w="604" w:type="dxa"/>
          </w:tcPr>
          <w:p>
            <w:pPr>
              <w:pStyle w:val="0"/>
            </w:pPr>
            <w:r>
              <w:rPr>
                <w:sz w:val="20"/>
              </w:rPr>
              <w:t xml:space="preserve">5,1</w:t>
            </w:r>
          </w:p>
        </w:tc>
      </w:tr>
      <w:tr>
        <w:tc>
          <w:tcPr>
            <w:tcW w:w="2211" w:type="dxa"/>
          </w:tcPr>
          <w:p>
            <w:pPr>
              <w:pStyle w:val="0"/>
            </w:pPr>
            <w:r>
              <w:rPr>
                <w:sz w:val="20"/>
              </w:rPr>
              <w:t xml:space="preserve">Мегион</w:t>
            </w:r>
          </w:p>
        </w:tc>
        <w:tc>
          <w:tcPr>
            <w:tcW w:w="604" w:type="dxa"/>
          </w:tcPr>
          <w:p>
            <w:pPr>
              <w:pStyle w:val="0"/>
            </w:pPr>
            <w:r>
              <w:rPr>
                <w:sz w:val="20"/>
              </w:rPr>
              <w:t xml:space="preserve">56,9</w:t>
            </w:r>
          </w:p>
        </w:tc>
        <w:tc>
          <w:tcPr>
            <w:tcW w:w="604" w:type="dxa"/>
          </w:tcPr>
          <w:p>
            <w:pPr>
              <w:pStyle w:val="0"/>
            </w:pPr>
            <w:r>
              <w:rPr>
                <w:sz w:val="20"/>
              </w:rPr>
              <w:t xml:space="preserve">65,1</w:t>
            </w:r>
          </w:p>
        </w:tc>
        <w:tc>
          <w:tcPr>
            <w:tcW w:w="604" w:type="dxa"/>
          </w:tcPr>
          <w:p>
            <w:pPr>
              <w:pStyle w:val="0"/>
            </w:pPr>
            <w:r>
              <w:rPr>
                <w:sz w:val="20"/>
              </w:rPr>
              <w:t xml:space="preserve">65,7</w:t>
            </w:r>
          </w:p>
        </w:tc>
        <w:tc>
          <w:tcPr>
            <w:tcW w:w="604" w:type="dxa"/>
          </w:tcPr>
          <w:p>
            <w:pPr>
              <w:pStyle w:val="0"/>
            </w:pPr>
            <w:r>
              <w:rPr>
                <w:sz w:val="20"/>
              </w:rPr>
              <w:t xml:space="preserve">66,1</w:t>
            </w:r>
          </w:p>
        </w:tc>
        <w:tc>
          <w:tcPr>
            <w:tcW w:w="604" w:type="dxa"/>
          </w:tcPr>
          <w:p>
            <w:pPr>
              <w:pStyle w:val="0"/>
            </w:pPr>
            <w:r>
              <w:rPr>
                <w:sz w:val="20"/>
              </w:rPr>
              <w:t xml:space="preserve">63,5</w:t>
            </w:r>
          </w:p>
        </w:tc>
        <w:tc>
          <w:tcPr>
            <w:tcW w:w="604" w:type="dxa"/>
          </w:tcPr>
          <w:p>
            <w:pPr>
              <w:pStyle w:val="0"/>
            </w:pPr>
            <w:r>
              <w:rPr>
                <w:sz w:val="20"/>
              </w:rPr>
              <w:t xml:space="preserve">11,1</w:t>
            </w:r>
          </w:p>
        </w:tc>
        <w:tc>
          <w:tcPr>
            <w:tcW w:w="604" w:type="dxa"/>
          </w:tcPr>
          <w:p>
            <w:pPr>
              <w:pStyle w:val="0"/>
            </w:pPr>
            <w:r>
              <w:rPr>
                <w:sz w:val="20"/>
              </w:rPr>
              <w:t xml:space="preserve">11,2</w:t>
            </w:r>
          </w:p>
        </w:tc>
        <w:tc>
          <w:tcPr>
            <w:tcW w:w="604" w:type="dxa"/>
          </w:tcPr>
          <w:p>
            <w:pPr>
              <w:pStyle w:val="0"/>
            </w:pPr>
            <w:r>
              <w:rPr>
                <w:sz w:val="20"/>
              </w:rPr>
              <w:t xml:space="preserve">14,5</w:t>
            </w:r>
          </w:p>
        </w:tc>
        <w:tc>
          <w:tcPr>
            <w:tcW w:w="604" w:type="dxa"/>
          </w:tcPr>
          <w:p>
            <w:pPr>
              <w:pStyle w:val="0"/>
            </w:pPr>
            <w:r>
              <w:rPr>
                <w:sz w:val="20"/>
              </w:rPr>
              <w:t xml:space="preserve">6,7</w:t>
            </w:r>
          </w:p>
        </w:tc>
        <w:tc>
          <w:tcPr>
            <w:tcW w:w="604" w:type="dxa"/>
          </w:tcPr>
          <w:p>
            <w:pPr>
              <w:pStyle w:val="0"/>
            </w:pPr>
            <w:r>
              <w:rPr>
                <w:sz w:val="20"/>
              </w:rPr>
              <w:t xml:space="preserve">4,7</w:t>
            </w:r>
          </w:p>
        </w:tc>
        <w:tc>
          <w:tcPr>
            <w:tcW w:w="604" w:type="dxa"/>
          </w:tcPr>
          <w:p>
            <w:pPr>
              <w:pStyle w:val="0"/>
            </w:pPr>
            <w:r>
              <w:rPr>
                <w:sz w:val="20"/>
              </w:rPr>
              <w:t xml:space="preserve">5,1</w:t>
            </w:r>
          </w:p>
        </w:tc>
        <w:tc>
          <w:tcPr>
            <w:tcW w:w="604" w:type="dxa"/>
          </w:tcPr>
          <w:p>
            <w:pPr>
              <w:pStyle w:val="0"/>
            </w:pPr>
            <w:r>
              <w:rPr>
                <w:sz w:val="20"/>
              </w:rPr>
              <w:t xml:space="preserve">8,8</w:t>
            </w:r>
          </w:p>
        </w:tc>
        <w:tc>
          <w:tcPr>
            <w:tcW w:w="604" w:type="dxa"/>
          </w:tcPr>
          <w:p>
            <w:pPr>
              <w:pStyle w:val="0"/>
            </w:pPr>
            <w:r>
              <w:rPr>
                <w:sz w:val="20"/>
              </w:rPr>
              <w:t xml:space="preserve">3,6</w:t>
            </w:r>
          </w:p>
        </w:tc>
        <w:tc>
          <w:tcPr>
            <w:tcW w:w="604" w:type="dxa"/>
          </w:tcPr>
          <w:p>
            <w:pPr>
              <w:pStyle w:val="0"/>
            </w:pPr>
            <w:r>
              <w:rPr>
                <w:sz w:val="20"/>
              </w:rPr>
              <w:t xml:space="preserve">9,3</w:t>
            </w:r>
          </w:p>
        </w:tc>
        <w:tc>
          <w:tcPr>
            <w:tcW w:w="604" w:type="dxa"/>
          </w:tcPr>
          <w:p>
            <w:pPr>
              <w:pStyle w:val="0"/>
            </w:pPr>
            <w:r>
              <w:rPr>
                <w:sz w:val="20"/>
              </w:rPr>
              <w:t xml:space="preserve">6,4</w:t>
            </w:r>
          </w:p>
        </w:tc>
      </w:tr>
      <w:tr>
        <w:tc>
          <w:tcPr>
            <w:tcW w:w="2211" w:type="dxa"/>
          </w:tcPr>
          <w:p>
            <w:pPr>
              <w:pStyle w:val="0"/>
            </w:pPr>
            <w:r>
              <w:rPr>
                <w:sz w:val="20"/>
              </w:rPr>
              <w:t xml:space="preserve">Радужный</w:t>
            </w:r>
          </w:p>
        </w:tc>
        <w:tc>
          <w:tcPr>
            <w:tcW w:w="604" w:type="dxa"/>
          </w:tcPr>
          <w:p>
            <w:pPr>
              <w:pStyle w:val="0"/>
            </w:pPr>
            <w:r>
              <w:rPr>
                <w:sz w:val="20"/>
              </w:rPr>
              <w:t xml:space="preserve">45,4</w:t>
            </w:r>
          </w:p>
        </w:tc>
        <w:tc>
          <w:tcPr>
            <w:tcW w:w="604" w:type="dxa"/>
          </w:tcPr>
          <w:p>
            <w:pPr>
              <w:pStyle w:val="0"/>
            </w:pPr>
            <w:r>
              <w:rPr>
                <w:sz w:val="20"/>
              </w:rPr>
              <w:t xml:space="preserve">39,9</w:t>
            </w:r>
          </w:p>
        </w:tc>
        <w:tc>
          <w:tcPr>
            <w:tcW w:w="604" w:type="dxa"/>
          </w:tcPr>
          <w:p>
            <w:pPr>
              <w:pStyle w:val="0"/>
            </w:pPr>
            <w:r>
              <w:rPr>
                <w:sz w:val="20"/>
              </w:rPr>
              <w:t xml:space="preserve">53,6</w:t>
            </w:r>
          </w:p>
        </w:tc>
        <w:tc>
          <w:tcPr>
            <w:tcW w:w="604" w:type="dxa"/>
          </w:tcPr>
          <w:p>
            <w:pPr>
              <w:pStyle w:val="0"/>
            </w:pPr>
            <w:r>
              <w:rPr>
                <w:sz w:val="20"/>
              </w:rPr>
              <w:t xml:space="preserve">65</w:t>
            </w:r>
          </w:p>
        </w:tc>
        <w:tc>
          <w:tcPr>
            <w:tcW w:w="604" w:type="dxa"/>
          </w:tcPr>
          <w:p>
            <w:pPr>
              <w:pStyle w:val="0"/>
            </w:pPr>
            <w:r>
              <w:rPr>
                <w:sz w:val="20"/>
              </w:rPr>
              <w:t xml:space="preserve">60,2</w:t>
            </w:r>
          </w:p>
        </w:tc>
        <w:tc>
          <w:tcPr>
            <w:tcW w:w="604" w:type="dxa"/>
          </w:tcPr>
          <w:p>
            <w:pPr>
              <w:pStyle w:val="0"/>
            </w:pPr>
            <w:r>
              <w:rPr>
                <w:sz w:val="20"/>
              </w:rPr>
              <w:t xml:space="preserve">4,9</w:t>
            </w:r>
          </w:p>
        </w:tc>
        <w:tc>
          <w:tcPr>
            <w:tcW w:w="604" w:type="dxa"/>
          </w:tcPr>
          <w:p>
            <w:pPr>
              <w:pStyle w:val="0"/>
            </w:pPr>
            <w:r>
              <w:rPr>
                <w:sz w:val="20"/>
              </w:rPr>
              <w:t xml:space="preserve">7,3</w:t>
            </w:r>
          </w:p>
        </w:tc>
        <w:tc>
          <w:tcPr>
            <w:tcW w:w="604" w:type="dxa"/>
          </w:tcPr>
          <w:p>
            <w:pPr>
              <w:pStyle w:val="0"/>
            </w:pPr>
            <w:r>
              <w:rPr>
                <w:sz w:val="20"/>
              </w:rPr>
              <w:t xml:space="preserve">8,4</w:t>
            </w:r>
          </w:p>
        </w:tc>
        <w:tc>
          <w:tcPr>
            <w:tcW w:w="604" w:type="dxa"/>
          </w:tcPr>
          <w:p>
            <w:pPr>
              <w:pStyle w:val="0"/>
            </w:pPr>
            <w:r>
              <w:rPr>
                <w:sz w:val="20"/>
              </w:rPr>
              <w:t xml:space="preserve">6,4</w:t>
            </w:r>
          </w:p>
        </w:tc>
        <w:tc>
          <w:tcPr>
            <w:tcW w:w="604" w:type="dxa"/>
          </w:tcPr>
          <w:p>
            <w:pPr>
              <w:pStyle w:val="0"/>
            </w:pPr>
            <w:r>
              <w:rPr>
                <w:sz w:val="20"/>
              </w:rPr>
              <w:t xml:space="preserve">9,4</w:t>
            </w:r>
          </w:p>
        </w:tc>
        <w:tc>
          <w:tcPr>
            <w:tcW w:w="604" w:type="dxa"/>
          </w:tcPr>
          <w:p>
            <w:pPr>
              <w:pStyle w:val="0"/>
            </w:pPr>
            <w:r>
              <w:rPr>
                <w:sz w:val="20"/>
              </w:rPr>
              <w:t xml:space="preserve">6,9</w:t>
            </w:r>
          </w:p>
        </w:tc>
        <w:tc>
          <w:tcPr>
            <w:tcW w:w="604" w:type="dxa"/>
          </w:tcPr>
          <w:p>
            <w:pPr>
              <w:pStyle w:val="0"/>
            </w:pPr>
            <w:r>
              <w:rPr>
                <w:sz w:val="20"/>
              </w:rPr>
              <w:t xml:space="preserve">5,9</w:t>
            </w:r>
          </w:p>
        </w:tc>
        <w:tc>
          <w:tcPr>
            <w:tcW w:w="604" w:type="dxa"/>
          </w:tcPr>
          <w:p>
            <w:pPr>
              <w:pStyle w:val="0"/>
            </w:pPr>
            <w:r>
              <w:rPr>
                <w:sz w:val="20"/>
              </w:rPr>
              <w:t xml:space="preserve">5,3</w:t>
            </w:r>
          </w:p>
        </w:tc>
        <w:tc>
          <w:tcPr>
            <w:tcW w:w="604" w:type="dxa"/>
          </w:tcPr>
          <w:p>
            <w:pPr>
              <w:pStyle w:val="0"/>
            </w:pPr>
            <w:r>
              <w:rPr>
                <w:sz w:val="20"/>
              </w:rPr>
              <w:t xml:space="preserve">5,8</w:t>
            </w:r>
          </w:p>
        </w:tc>
        <w:tc>
          <w:tcPr>
            <w:tcW w:w="604" w:type="dxa"/>
          </w:tcPr>
          <w:p>
            <w:pPr>
              <w:pStyle w:val="0"/>
            </w:pPr>
            <w:r>
              <w:rPr>
                <w:sz w:val="20"/>
              </w:rPr>
              <w:t xml:space="preserve">5,3</w:t>
            </w:r>
          </w:p>
        </w:tc>
      </w:tr>
      <w:tr>
        <w:tc>
          <w:tcPr>
            <w:tcW w:w="2211" w:type="dxa"/>
          </w:tcPr>
          <w:p>
            <w:pPr>
              <w:pStyle w:val="0"/>
            </w:pPr>
            <w:r>
              <w:rPr>
                <w:sz w:val="20"/>
              </w:rPr>
              <w:t xml:space="preserve">Лангепас</w:t>
            </w:r>
          </w:p>
        </w:tc>
        <w:tc>
          <w:tcPr>
            <w:tcW w:w="604" w:type="dxa"/>
          </w:tcPr>
          <w:p>
            <w:pPr>
              <w:pStyle w:val="0"/>
            </w:pPr>
            <w:r>
              <w:rPr>
                <w:sz w:val="20"/>
              </w:rPr>
              <w:t xml:space="preserve">44,5</w:t>
            </w:r>
          </w:p>
        </w:tc>
        <w:tc>
          <w:tcPr>
            <w:tcW w:w="604" w:type="dxa"/>
          </w:tcPr>
          <w:p>
            <w:pPr>
              <w:pStyle w:val="0"/>
            </w:pPr>
            <w:r>
              <w:rPr>
                <w:sz w:val="20"/>
              </w:rPr>
              <w:t xml:space="preserve">42,1</w:t>
            </w:r>
          </w:p>
        </w:tc>
        <w:tc>
          <w:tcPr>
            <w:tcW w:w="604" w:type="dxa"/>
          </w:tcPr>
          <w:p>
            <w:pPr>
              <w:pStyle w:val="0"/>
            </w:pPr>
            <w:r>
              <w:rPr>
                <w:sz w:val="20"/>
              </w:rPr>
              <w:t xml:space="preserve">44,5</w:t>
            </w:r>
          </w:p>
        </w:tc>
        <w:tc>
          <w:tcPr>
            <w:tcW w:w="604" w:type="dxa"/>
          </w:tcPr>
          <w:p>
            <w:pPr>
              <w:pStyle w:val="0"/>
            </w:pPr>
            <w:r>
              <w:rPr>
                <w:sz w:val="20"/>
              </w:rPr>
              <w:t xml:space="preserve">51,2</w:t>
            </w:r>
          </w:p>
        </w:tc>
        <w:tc>
          <w:tcPr>
            <w:tcW w:w="604" w:type="dxa"/>
          </w:tcPr>
          <w:p>
            <w:pPr>
              <w:pStyle w:val="0"/>
            </w:pPr>
            <w:r>
              <w:rPr>
                <w:sz w:val="20"/>
              </w:rPr>
              <w:t xml:space="preserve">49,5</w:t>
            </w:r>
          </w:p>
        </w:tc>
        <w:tc>
          <w:tcPr>
            <w:tcW w:w="604" w:type="dxa"/>
          </w:tcPr>
          <w:p>
            <w:pPr>
              <w:pStyle w:val="0"/>
            </w:pPr>
            <w:r>
              <w:rPr>
                <w:sz w:val="20"/>
              </w:rPr>
              <w:t xml:space="preserve">5,9</w:t>
            </w:r>
          </w:p>
        </w:tc>
        <w:tc>
          <w:tcPr>
            <w:tcW w:w="604" w:type="dxa"/>
          </w:tcPr>
          <w:p>
            <w:pPr>
              <w:pStyle w:val="0"/>
            </w:pPr>
            <w:r>
              <w:rPr>
                <w:sz w:val="20"/>
              </w:rPr>
              <w:t xml:space="preserve">6,7</w:t>
            </w:r>
          </w:p>
        </w:tc>
        <w:tc>
          <w:tcPr>
            <w:tcW w:w="604" w:type="dxa"/>
          </w:tcPr>
          <w:p>
            <w:pPr>
              <w:pStyle w:val="0"/>
            </w:pPr>
            <w:r>
              <w:rPr>
                <w:sz w:val="20"/>
              </w:rPr>
              <w:t xml:space="preserve">5,2</w:t>
            </w:r>
          </w:p>
        </w:tc>
        <w:tc>
          <w:tcPr>
            <w:tcW w:w="604" w:type="dxa"/>
          </w:tcPr>
          <w:p>
            <w:pPr>
              <w:pStyle w:val="0"/>
            </w:pPr>
            <w:r>
              <w:rPr>
                <w:sz w:val="20"/>
              </w:rPr>
              <w:t xml:space="preserve">5,6</w:t>
            </w:r>
          </w:p>
        </w:tc>
        <w:tc>
          <w:tcPr>
            <w:tcW w:w="604" w:type="dxa"/>
          </w:tcPr>
          <w:p>
            <w:pPr>
              <w:pStyle w:val="0"/>
            </w:pPr>
            <w:r>
              <w:rPr>
                <w:sz w:val="20"/>
              </w:rPr>
              <w:t xml:space="preserve">6,8</w:t>
            </w:r>
          </w:p>
        </w:tc>
        <w:tc>
          <w:tcPr>
            <w:tcW w:w="604" w:type="dxa"/>
          </w:tcPr>
          <w:p>
            <w:pPr>
              <w:pStyle w:val="0"/>
            </w:pPr>
            <w:r>
              <w:rPr>
                <w:sz w:val="20"/>
              </w:rPr>
              <w:t xml:space="preserve">8</w:t>
            </w:r>
          </w:p>
        </w:tc>
        <w:tc>
          <w:tcPr>
            <w:tcW w:w="604" w:type="dxa"/>
          </w:tcPr>
          <w:p>
            <w:pPr>
              <w:pStyle w:val="0"/>
            </w:pPr>
            <w:r>
              <w:rPr>
                <w:sz w:val="20"/>
              </w:rPr>
              <w:t xml:space="preserve">5,2</w:t>
            </w:r>
          </w:p>
        </w:tc>
        <w:tc>
          <w:tcPr>
            <w:tcW w:w="604" w:type="dxa"/>
          </w:tcPr>
          <w:p>
            <w:pPr>
              <w:pStyle w:val="0"/>
            </w:pPr>
            <w:r>
              <w:rPr>
                <w:sz w:val="20"/>
              </w:rPr>
              <w:t xml:space="preserve">6,4</w:t>
            </w:r>
          </w:p>
        </w:tc>
        <w:tc>
          <w:tcPr>
            <w:tcW w:w="604" w:type="dxa"/>
          </w:tcPr>
          <w:p>
            <w:pPr>
              <w:pStyle w:val="0"/>
            </w:pPr>
            <w:r>
              <w:rPr>
                <w:sz w:val="20"/>
              </w:rPr>
              <w:t xml:space="preserve">6,2</w:t>
            </w:r>
          </w:p>
        </w:tc>
        <w:tc>
          <w:tcPr>
            <w:tcW w:w="604" w:type="dxa"/>
          </w:tcPr>
          <w:p>
            <w:pPr>
              <w:pStyle w:val="0"/>
            </w:pPr>
            <w:r>
              <w:rPr>
                <w:sz w:val="20"/>
              </w:rPr>
              <w:t xml:space="preserve">7,9</w:t>
            </w:r>
          </w:p>
        </w:tc>
      </w:tr>
      <w:tr>
        <w:tc>
          <w:tcPr>
            <w:tcW w:w="2211" w:type="dxa"/>
          </w:tcPr>
          <w:p>
            <w:pPr>
              <w:pStyle w:val="0"/>
            </w:pPr>
            <w:r>
              <w:rPr>
                <w:sz w:val="20"/>
              </w:rPr>
              <w:t xml:space="preserve">Покачи</w:t>
            </w:r>
          </w:p>
        </w:tc>
        <w:tc>
          <w:tcPr>
            <w:tcW w:w="604" w:type="dxa"/>
          </w:tcPr>
          <w:p>
            <w:pPr>
              <w:pStyle w:val="0"/>
            </w:pPr>
            <w:r>
              <w:rPr>
                <w:sz w:val="20"/>
              </w:rPr>
              <w:t xml:space="preserve">43,4</w:t>
            </w:r>
          </w:p>
        </w:tc>
        <w:tc>
          <w:tcPr>
            <w:tcW w:w="604" w:type="dxa"/>
          </w:tcPr>
          <w:p>
            <w:pPr>
              <w:pStyle w:val="0"/>
            </w:pPr>
            <w:r>
              <w:rPr>
                <w:sz w:val="20"/>
              </w:rPr>
              <w:t xml:space="preserve">50,3</w:t>
            </w:r>
          </w:p>
        </w:tc>
        <w:tc>
          <w:tcPr>
            <w:tcW w:w="604" w:type="dxa"/>
          </w:tcPr>
          <w:p>
            <w:pPr>
              <w:pStyle w:val="0"/>
            </w:pPr>
            <w:r>
              <w:rPr>
                <w:sz w:val="20"/>
              </w:rPr>
              <w:t xml:space="preserve">47,7</w:t>
            </w:r>
          </w:p>
        </w:tc>
        <w:tc>
          <w:tcPr>
            <w:tcW w:w="604" w:type="dxa"/>
          </w:tcPr>
          <w:p>
            <w:pPr>
              <w:pStyle w:val="0"/>
            </w:pPr>
            <w:r>
              <w:rPr>
                <w:sz w:val="20"/>
              </w:rPr>
              <w:t xml:space="preserve">50,1</w:t>
            </w:r>
          </w:p>
        </w:tc>
        <w:tc>
          <w:tcPr>
            <w:tcW w:w="604" w:type="dxa"/>
          </w:tcPr>
          <w:p>
            <w:pPr>
              <w:pStyle w:val="0"/>
            </w:pPr>
            <w:r>
              <w:rPr>
                <w:sz w:val="20"/>
              </w:rPr>
              <w:t xml:space="preserve">45,8</w:t>
            </w:r>
          </w:p>
        </w:tc>
        <w:tc>
          <w:tcPr>
            <w:tcW w:w="604" w:type="dxa"/>
          </w:tcPr>
          <w:p>
            <w:pPr>
              <w:pStyle w:val="0"/>
            </w:pPr>
            <w:r>
              <w:rPr>
                <w:sz w:val="20"/>
              </w:rPr>
              <w:t xml:space="preserve">6</w:t>
            </w:r>
          </w:p>
        </w:tc>
        <w:tc>
          <w:tcPr>
            <w:tcW w:w="604" w:type="dxa"/>
          </w:tcPr>
          <w:p>
            <w:pPr>
              <w:pStyle w:val="0"/>
            </w:pPr>
            <w:r>
              <w:rPr>
                <w:sz w:val="20"/>
              </w:rPr>
              <w:t xml:space="preserve">5,1</w:t>
            </w:r>
          </w:p>
        </w:tc>
        <w:tc>
          <w:tcPr>
            <w:tcW w:w="604" w:type="dxa"/>
          </w:tcPr>
          <w:p>
            <w:pPr>
              <w:pStyle w:val="0"/>
            </w:pPr>
            <w:r>
              <w:rPr>
                <w:sz w:val="20"/>
              </w:rPr>
              <w:t xml:space="preserve">5,7</w:t>
            </w:r>
          </w:p>
        </w:tc>
        <w:tc>
          <w:tcPr>
            <w:tcW w:w="604" w:type="dxa"/>
          </w:tcPr>
          <w:p>
            <w:pPr>
              <w:pStyle w:val="0"/>
            </w:pPr>
            <w:r>
              <w:rPr>
                <w:sz w:val="20"/>
              </w:rPr>
              <w:t xml:space="preserve">5,4</w:t>
            </w:r>
          </w:p>
        </w:tc>
        <w:tc>
          <w:tcPr>
            <w:tcW w:w="604" w:type="dxa"/>
          </w:tcPr>
          <w:p>
            <w:pPr>
              <w:pStyle w:val="0"/>
            </w:pPr>
            <w:r>
              <w:rPr>
                <w:sz w:val="20"/>
              </w:rPr>
              <w:t xml:space="preserve">6,4</w:t>
            </w:r>
          </w:p>
        </w:tc>
        <w:tc>
          <w:tcPr>
            <w:tcW w:w="604" w:type="dxa"/>
          </w:tcPr>
          <w:p>
            <w:pPr>
              <w:pStyle w:val="0"/>
            </w:pPr>
            <w:r>
              <w:rPr>
                <w:sz w:val="20"/>
              </w:rPr>
              <w:t xml:space="preserve">4</w:t>
            </w:r>
          </w:p>
        </w:tc>
        <w:tc>
          <w:tcPr>
            <w:tcW w:w="604" w:type="dxa"/>
          </w:tcPr>
          <w:p>
            <w:pPr>
              <w:pStyle w:val="0"/>
            </w:pPr>
            <w:r>
              <w:rPr>
                <w:sz w:val="20"/>
              </w:rPr>
              <w:t xml:space="preserve">9,5</w:t>
            </w:r>
          </w:p>
        </w:tc>
        <w:tc>
          <w:tcPr>
            <w:tcW w:w="604" w:type="dxa"/>
          </w:tcPr>
          <w:p>
            <w:pPr>
              <w:pStyle w:val="0"/>
            </w:pPr>
            <w:r>
              <w:rPr>
                <w:sz w:val="20"/>
              </w:rPr>
              <w:t xml:space="preserve">6,5</w:t>
            </w:r>
          </w:p>
        </w:tc>
        <w:tc>
          <w:tcPr>
            <w:tcW w:w="604" w:type="dxa"/>
          </w:tcPr>
          <w:p>
            <w:pPr>
              <w:pStyle w:val="0"/>
            </w:pPr>
            <w:r>
              <w:rPr>
                <w:sz w:val="20"/>
              </w:rPr>
              <w:t xml:space="preserve">6</w:t>
            </w:r>
          </w:p>
        </w:tc>
        <w:tc>
          <w:tcPr>
            <w:tcW w:w="604" w:type="dxa"/>
          </w:tcPr>
          <w:p>
            <w:pPr>
              <w:pStyle w:val="0"/>
            </w:pPr>
            <w:r>
              <w:rPr>
                <w:sz w:val="20"/>
              </w:rPr>
              <w:t xml:space="preserve">5,5</w:t>
            </w:r>
          </w:p>
        </w:tc>
      </w:tr>
      <w:tr>
        <w:tc>
          <w:tcPr>
            <w:tcW w:w="2211" w:type="dxa"/>
          </w:tcPr>
          <w:p>
            <w:pPr>
              <w:pStyle w:val="0"/>
            </w:pPr>
            <w:r>
              <w:rPr>
                <w:sz w:val="20"/>
              </w:rPr>
              <w:t xml:space="preserve">Всего по центру</w:t>
            </w:r>
          </w:p>
        </w:tc>
        <w:tc>
          <w:tcPr>
            <w:tcW w:w="604" w:type="dxa"/>
          </w:tcPr>
          <w:p>
            <w:pPr>
              <w:pStyle w:val="0"/>
            </w:pPr>
            <w:r>
              <w:rPr>
                <w:sz w:val="20"/>
              </w:rPr>
              <w:t xml:space="preserve">52,9</w:t>
            </w:r>
          </w:p>
        </w:tc>
        <w:tc>
          <w:tcPr>
            <w:tcW w:w="604" w:type="dxa"/>
          </w:tcPr>
          <w:p>
            <w:pPr>
              <w:pStyle w:val="0"/>
            </w:pPr>
            <w:r>
              <w:rPr>
                <w:sz w:val="20"/>
              </w:rPr>
              <w:t xml:space="preserve">48,1</w:t>
            </w:r>
          </w:p>
        </w:tc>
        <w:tc>
          <w:tcPr>
            <w:tcW w:w="604" w:type="dxa"/>
          </w:tcPr>
          <w:p>
            <w:pPr>
              <w:pStyle w:val="0"/>
            </w:pPr>
            <w:r>
              <w:rPr>
                <w:sz w:val="20"/>
              </w:rPr>
              <w:t xml:space="preserve">54,3</w:t>
            </w:r>
          </w:p>
        </w:tc>
        <w:tc>
          <w:tcPr>
            <w:tcW w:w="604" w:type="dxa"/>
          </w:tcPr>
          <w:p>
            <w:pPr>
              <w:pStyle w:val="0"/>
            </w:pPr>
            <w:r>
              <w:rPr>
                <w:sz w:val="20"/>
              </w:rPr>
              <w:t xml:space="preserve">56,4</w:t>
            </w:r>
          </w:p>
        </w:tc>
        <w:tc>
          <w:tcPr>
            <w:tcW w:w="604" w:type="dxa"/>
          </w:tcPr>
          <w:p>
            <w:pPr>
              <w:pStyle w:val="0"/>
            </w:pPr>
            <w:r>
              <w:rPr>
                <w:sz w:val="20"/>
              </w:rPr>
              <w:t xml:space="preserve">55,2</w:t>
            </w:r>
          </w:p>
        </w:tc>
        <w:tc>
          <w:tcPr>
            <w:tcW w:w="604" w:type="dxa"/>
          </w:tcPr>
          <w:p>
            <w:pPr>
              <w:pStyle w:val="0"/>
            </w:pPr>
            <w:r>
              <w:rPr>
                <w:sz w:val="20"/>
              </w:rPr>
              <w:t xml:space="preserve">6,6</w:t>
            </w:r>
          </w:p>
        </w:tc>
        <w:tc>
          <w:tcPr>
            <w:tcW w:w="604" w:type="dxa"/>
          </w:tcPr>
          <w:p>
            <w:pPr>
              <w:pStyle w:val="0"/>
            </w:pPr>
            <w:r>
              <w:rPr>
                <w:sz w:val="20"/>
              </w:rPr>
              <w:t xml:space="preserve">6,3</w:t>
            </w:r>
          </w:p>
        </w:tc>
        <w:tc>
          <w:tcPr>
            <w:tcW w:w="604" w:type="dxa"/>
          </w:tcPr>
          <w:p>
            <w:pPr>
              <w:pStyle w:val="0"/>
            </w:pPr>
            <w:r>
              <w:rPr>
                <w:sz w:val="20"/>
              </w:rPr>
              <w:t xml:space="preserve">7,1</w:t>
            </w:r>
          </w:p>
        </w:tc>
        <w:tc>
          <w:tcPr>
            <w:tcW w:w="604" w:type="dxa"/>
          </w:tcPr>
          <w:p>
            <w:pPr>
              <w:pStyle w:val="0"/>
            </w:pPr>
            <w:r>
              <w:rPr>
                <w:sz w:val="20"/>
              </w:rPr>
              <w:t xml:space="preserve">6,7</w:t>
            </w:r>
          </w:p>
        </w:tc>
        <w:tc>
          <w:tcPr>
            <w:tcW w:w="604" w:type="dxa"/>
          </w:tcPr>
          <w:p>
            <w:pPr>
              <w:pStyle w:val="0"/>
            </w:pPr>
            <w:r>
              <w:rPr>
                <w:sz w:val="20"/>
              </w:rPr>
              <w:t xml:space="preserve">6,7</w:t>
            </w:r>
          </w:p>
        </w:tc>
        <w:tc>
          <w:tcPr>
            <w:tcW w:w="604" w:type="dxa"/>
          </w:tcPr>
          <w:p>
            <w:pPr>
              <w:pStyle w:val="0"/>
            </w:pPr>
            <w:r>
              <w:rPr>
                <w:sz w:val="20"/>
              </w:rPr>
              <w:t xml:space="preserve">6,6</w:t>
            </w:r>
          </w:p>
        </w:tc>
        <w:tc>
          <w:tcPr>
            <w:tcW w:w="604" w:type="dxa"/>
          </w:tcPr>
          <w:p>
            <w:pPr>
              <w:pStyle w:val="0"/>
            </w:pPr>
            <w:r>
              <w:rPr>
                <w:sz w:val="20"/>
              </w:rPr>
              <w:t xml:space="preserve">7,2</w:t>
            </w:r>
          </w:p>
        </w:tc>
        <w:tc>
          <w:tcPr>
            <w:tcW w:w="604" w:type="dxa"/>
          </w:tcPr>
          <w:p>
            <w:pPr>
              <w:pStyle w:val="0"/>
            </w:pPr>
            <w:r>
              <w:rPr>
                <w:sz w:val="20"/>
              </w:rPr>
              <w:t xml:space="preserve">6,2</w:t>
            </w:r>
          </w:p>
        </w:tc>
        <w:tc>
          <w:tcPr>
            <w:tcW w:w="604" w:type="dxa"/>
          </w:tcPr>
          <w:p>
            <w:pPr>
              <w:pStyle w:val="0"/>
            </w:pPr>
            <w:r>
              <w:rPr>
                <w:sz w:val="20"/>
              </w:rPr>
              <w:t xml:space="preserve">6</w:t>
            </w:r>
          </w:p>
        </w:tc>
        <w:tc>
          <w:tcPr>
            <w:tcW w:w="604" w:type="dxa"/>
          </w:tcPr>
          <w:p>
            <w:pPr>
              <w:pStyle w:val="0"/>
            </w:pPr>
            <w:r>
              <w:rPr>
                <w:sz w:val="20"/>
              </w:rPr>
              <w:t xml:space="preserve">6,2</w:t>
            </w:r>
          </w:p>
        </w:tc>
      </w:tr>
      <w:tr>
        <w:tc>
          <w:tcPr>
            <w:tcW w:w="2211" w:type="dxa"/>
          </w:tcPr>
          <w:p>
            <w:pPr>
              <w:pStyle w:val="0"/>
            </w:pPr>
            <w:r>
              <w:rPr>
                <w:sz w:val="20"/>
              </w:rPr>
              <w:t xml:space="preserve">Всего регион</w:t>
            </w:r>
          </w:p>
        </w:tc>
        <w:tc>
          <w:tcPr>
            <w:tcW w:w="604" w:type="dxa"/>
          </w:tcPr>
          <w:p>
            <w:pPr>
              <w:pStyle w:val="0"/>
            </w:pPr>
            <w:r>
              <w:rPr>
                <w:sz w:val="20"/>
              </w:rPr>
              <w:t xml:space="preserve">47,9</w:t>
            </w:r>
          </w:p>
        </w:tc>
        <w:tc>
          <w:tcPr>
            <w:tcW w:w="604" w:type="dxa"/>
          </w:tcPr>
          <w:p>
            <w:pPr>
              <w:pStyle w:val="0"/>
            </w:pPr>
            <w:r>
              <w:rPr>
                <w:sz w:val="20"/>
              </w:rPr>
              <w:t xml:space="preserve">47,3</w:t>
            </w:r>
          </w:p>
        </w:tc>
        <w:tc>
          <w:tcPr>
            <w:tcW w:w="604" w:type="dxa"/>
          </w:tcPr>
          <w:p>
            <w:pPr>
              <w:pStyle w:val="0"/>
            </w:pPr>
            <w:r>
              <w:rPr>
                <w:sz w:val="20"/>
              </w:rPr>
              <w:t xml:space="preserve">49,2</w:t>
            </w:r>
          </w:p>
        </w:tc>
        <w:tc>
          <w:tcPr>
            <w:tcW w:w="604" w:type="dxa"/>
          </w:tcPr>
          <w:p>
            <w:pPr>
              <w:pStyle w:val="0"/>
            </w:pPr>
            <w:r>
              <w:rPr>
                <w:sz w:val="20"/>
              </w:rPr>
              <w:t xml:space="preserve">51,5</w:t>
            </w:r>
          </w:p>
        </w:tc>
        <w:tc>
          <w:tcPr>
            <w:tcW w:w="604" w:type="dxa"/>
          </w:tcPr>
          <w:p>
            <w:pPr>
              <w:pStyle w:val="0"/>
            </w:pPr>
            <w:r>
              <w:rPr>
                <w:sz w:val="20"/>
              </w:rPr>
              <w:t xml:space="preserve">52</w:t>
            </w:r>
          </w:p>
        </w:tc>
        <w:tc>
          <w:tcPr>
            <w:tcW w:w="604" w:type="dxa"/>
          </w:tcPr>
          <w:p>
            <w:pPr>
              <w:pStyle w:val="0"/>
            </w:pPr>
            <w:r>
              <w:rPr>
                <w:sz w:val="20"/>
              </w:rPr>
              <w:t xml:space="preserve">6</w:t>
            </w:r>
          </w:p>
        </w:tc>
        <w:tc>
          <w:tcPr>
            <w:tcW w:w="604" w:type="dxa"/>
          </w:tcPr>
          <w:p>
            <w:pPr>
              <w:pStyle w:val="0"/>
            </w:pPr>
            <w:r>
              <w:rPr>
                <w:sz w:val="20"/>
              </w:rPr>
              <w:t xml:space="preserve">6,2</w:t>
            </w:r>
          </w:p>
        </w:tc>
        <w:tc>
          <w:tcPr>
            <w:tcW w:w="604" w:type="dxa"/>
          </w:tcPr>
          <w:p>
            <w:pPr>
              <w:pStyle w:val="0"/>
            </w:pPr>
            <w:r>
              <w:rPr>
                <w:sz w:val="20"/>
              </w:rPr>
              <w:t xml:space="preserve">6,7</w:t>
            </w:r>
          </w:p>
        </w:tc>
        <w:tc>
          <w:tcPr>
            <w:tcW w:w="604" w:type="dxa"/>
          </w:tcPr>
          <w:p>
            <w:pPr>
              <w:pStyle w:val="0"/>
            </w:pPr>
            <w:r>
              <w:rPr>
                <w:sz w:val="20"/>
              </w:rPr>
              <w:t xml:space="preserve">6,1</w:t>
            </w:r>
          </w:p>
        </w:tc>
        <w:tc>
          <w:tcPr>
            <w:tcW w:w="604" w:type="dxa"/>
          </w:tcPr>
          <w:p>
            <w:pPr>
              <w:pStyle w:val="0"/>
            </w:pPr>
            <w:r>
              <w:rPr>
                <w:sz w:val="20"/>
              </w:rPr>
              <w:t xml:space="preserve">6,3</w:t>
            </w:r>
          </w:p>
        </w:tc>
        <w:tc>
          <w:tcPr>
            <w:tcW w:w="604" w:type="dxa"/>
          </w:tcPr>
          <w:p>
            <w:pPr>
              <w:pStyle w:val="0"/>
            </w:pPr>
            <w:r>
              <w:rPr>
                <w:sz w:val="20"/>
              </w:rPr>
              <w:t xml:space="preserve">7,8</w:t>
            </w:r>
          </w:p>
        </w:tc>
        <w:tc>
          <w:tcPr>
            <w:tcW w:w="604" w:type="dxa"/>
          </w:tcPr>
          <w:p>
            <w:pPr>
              <w:pStyle w:val="0"/>
            </w:pPr>
            <w:r>
              <w:rPr>
                <w:sz w:val="20"/>
              </w:rPr>
              <w:t xml:space="preserve">7,3</w:t>
            </w:r>
          </w:p>
        </w:tc>
        <w:tc>
          <w:tcPr>
            <w:tcW w:w="604" w:type="dxa"/>
          </w:tcPr>
          <w:p>
            <w:pPr>
              <w:pStyle w:val="0"/>
            </w:pPr>
            <w:r>
              <w:rPr>
                <w:sz w:val="20"/>
              </w:rPr>
              <w:t xml:space="preserve">6,8</w:t>
            </w:r>
          </w:p>
        </w:tc>
        <w:tc>
          <w:tcPr>
            <w:tcW w:w="604" w:type="dxa"/>
          </w:tcPr>
          <w:p>
            <w:pPr>
              <w:pStyle w:val="0"/>
            </w:pPr>
            <w:r>
              <w:rPr>
                <w:sz w:val="20"/>
              </w:rPr>
              <w:t xml:space="preserve">6,8</w:t>
            </w:r>
          </w:p>
        </w:tc>
        <w:tc>
          <w:tcPr>
            <w:tcW w:w="604" w:type="dxa"/>
          </w:tcPr>
          <w:p>
            <w:pPr>
              <w:pStyle w:val="0"/>
            </w:pPr>
            <w:r>
              <w:rPr>
                <w:sz w:val="20"/>
              </w:rPr>
              <w:t xml:space="preserve">6,4</w:t>
            </w:r>
          </w:p>
        </w:tc>
      </w:tr>
    </w:tbl>
    <w:p>
      <w:pPr>
        <w:pStyle w:val="0"/>
        <w:jc w:val="center"/>
      </w:pPr>
      <w:r>
        <w:rPr>
          <w:sz w:val="20"/>
        </w:rPr>
      </w:r>
    </w:p>
    <w:p>
      <w:pPr>
        <w:pStyle w:val="0"/>
        <w:jc w:val="right"/>
      </w:pPr>
      <w:r>
        <w:rPr>
          <w:sz w:val="20"/>
        </w:rPr>
        <w:t xml:space="preserve">Таблица 16</w:t>
      </w:r>
    </w:p>
    <w:p>
      <w:pPr>
        <w:pStyle w:val="0"/>
        <w:jc w:val="right"/>
      </w:pPr>
      <w:r>
        <w:rPr>
          <w:sz w:val="20"/>
        </w:rPr>
      </w:r>
    </w:p>
    <w:p>
      <w:pPr>
        <w:pStyle w:val="0"/>
        <w:jc w:val="center"/>
      </w:pPr>
      <w:r>
        <w:rPr>
          <w:sz w:val="20"/>
        </w:rPr>
        <w:t xml:space="preserve">Удельный вес больных, состоящих на учете 5 и более лет,</w:t>
      </w:r>
    </w:p>
    <w:p>
      <w:pPr>
        <w:pStyle w:val="0"/>
        <w:jc w:val="center"/>
      </w:pPr>
      <w:r>
        <w:rPr>
          <w:sz w:val="20"/>
        </w:rPr>
        <w:t xml:space="preserve">индекс накопления и летальность контингентов в разрезе</w:t>
      </w:r>
    </w:p>
    <w:p>
      <w:pPr>
        <w:pStyle w:val="0"/>
        <w:jc w:val="center"/>
      </w:pPr>
      <w:r>
        <w:rPr>
          <w:sz w:val="20"/>
        </w:rPr>
        <w:t xml:space="preserve">муниципальных образований автономного округа</w:t>
      </w:r>
    </w:p>
    <w:p>
      <w:pPr>
        <w:pStyle w:val="0"/>
        <w:jc w:val="center"/>
      </w:pPr>
      <w:r>
        <w:rPr>
          <w:sz w:val="20"/>
        </w:rPr>
        <w:t xml:space="preserve">в 2018 - 2022 годах, %</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604"/>
        <w:gridCol w:w="604"/>
        <w:gridCol w:w="604"/>
        <w:gridCol w:w="604"/>
        <w:gridCol w:w="604"/>
        <w:gridCol w:w="604"/>
        <w:gridCol w:w="604"/>
        <w:gridCol w:w="604"/>
        <w:gridCol w:w="604"/>
        <w:gridCol w:w="604"/>
        <w:gridCol w:w="604"/>
        <w:gridCol w:w="604"/>
        <w:gridCol w:w="604"/>
        <w:gridCol w:w="604"/>
        <w:gridCol w:w="604"/>
      </w:tblGrid>
      <w:tr>
        <w:tc>
          <w:tcPr>
            <w:tcW w:w="2324" w:type="dxa"/>
            <w:vMerge w:val="restart"/>
          </w:tcPr>
          <w:p>
            <w:pPr>
              <w:pStyle w:val="0"/>
              <w:jc w:val="center"/>
            </w:pPr>
            <w:r>
              <w:rPr>
                <w:sz w:val="20"/>
              </w:rPr>
              <w:t xml:space="preserve">Муниципальные районы и городские округа</w:t>
            </w:r>
          </w:p>
        </w:tc>
        <w:tc>
          <w:tcPr>
            <w:gridSpan w:val="5"/>
            <w:tcW w:w="3020" w:type="dxa"/>
          </w:tcPr>
          <w:p>
            <w:pPr>
              <w:pStyle w:val="0"/>
              <w:jc w:val="center"/>
            </w:pPr>
            <w:r>
              <w:rPr>
                <w:sz w:val="20"/>
              </w:rPr>
              <w:t xml:space="preserve">Удельный вес больных,</w:t>
            </w:r>
          </w:p>
        </w:tc>
        <w:tc>
          <w:tcPr>
            <w:gridSpan w:val="5"/>
            <w:tcW w:w="3020" w:type="dxa"/>
          </w:tcPr>
          <w:p>
            <w:pPr>
              <w:pStyle w:val="0"/>
              <w:jc w:val="center"/>
            </w:pPr>
            <w:r>
              <w:rPr>
                <w:sz w:val="20"/>
              </w:rPr>
              <w:t xml:space="preserve">Индекс накопления</w:t>
            </w:r>
          </w:p>
        </w:tc>
        <w:tc>
          <w:tcPr>
            <w:gridSpan w:val="5"/>
            <w:tcW w:w="3020" w:type="dxa"/>
          </w:tcPr>
          <w:p>
            <w:pPr>
              <w:pStyle w:val="0"/>
              <w:jc w:val="center"/>
            </w:pPr>
            <w:r>
              <w:rPr>
                <w:sz w:val="20"/>
              </w:rPr>
              <w:t xml:space="preserve">Летальность контингентов (%)</w:t>
            </w:r>
          </w:p>
        </w:tc>
      </w:tr>
      <w:tr>
        <w:tc>
          <w:tcPr>
            <w:vMerge w:val="continue"/>
          </w:tcPr>
          <w:p/>
        </w:tc>
        <w:tc>
          <w:tcPr>
            <w:tcW w:w="604" w:type="dxa"/>
          </w:tcPr>
          <w:p>
            <w:pPr>
              <w:pStyle w:val="0"/>
              <w:jc w:val="center"/>
            </w:pPr>
            <w:r>
              <w:rPr>
                <w:sz w:val="20"/>
              </w:rPr>
              <w:t xml:space="preserve">2018</w:t>
            </w:r>
          </w:p>
        </w:tc>
        <w:tc>
          <w:tcPr>
            <w:tcW w:w="604" w:type="dxa"/>
          </w:tcPr>
          <w:p>
            <w:pPr>
              <w:pStyle w:val="0"/>
              <w:jc w:val="center"/>
            </w:pPr>
            <w:r>
              <w:rPr>
                <w:sz w:val="20"/>
              </w:rPr>
              <w:t xml:space="preserve">2019</w:t>
            </w:r>
          </w:p>
        </w:tc>
        <w:tc>
          <w:tcPr>
            <w:tcW w:w="604" w:type="dxa"/>
          </w:tcPr>
          <w:p>
            <w:pPr>
              <w:pStyle w:val="0"/>
              <w:jc w:val="center"/>
            </w:pPr>
            <w:r>
              <w:rPr>
                <w:sz w:val="20"/>
              </w:rPr>
              <w:t xml:space="preserve">2020</w:t>
            </w:r>
          </w:p>
        </w:tc>
        <w:tc>
          <w:tcPr>
            <w:tcW w:w="604" w:type="dxa"/>
          </w:tcPr>
          <w:p>
            <w:pPr>
              <w:pStyle w:val="0"/>
              <w:jc w:val="center"/>
            </w:pPr>
            <w:r>
              <w:rPr>
                <w:sz w:val="20"/>
              </w:rPr>
              <w:t xml:space="preserve">2021</w:t>
            </w:r>
          </w:p>
        </w:tc>
        <w:tc>
          <w:tcPr>
            <w:tcW w:w="604" w:type="dxa"/>
          </w:tcPr>
          <w:p>
            <w:pPr>
              <w:pStyle w:val="0"/>
              <w:jc w:val="center"/>
            </w:pPr>
            <w:r>
              <w:rPr>
                <w:sz w:val="20"/>
              </w:rPr>
              <w:t xml:space="preserve">2022</w:t>
            </w:r>
          </w:p>
        </w:tc>
        <w:tc>
          <w:tcPr>
            <w:tcW w:w="604" w:type="dxa"/>
          </w:tcPr>
          <w:p>
            <w:pPr>
              <w:pStyle w:val="0"/>
              <w:jc w:val="center"/>
            </w:pPr>
            <w:r>
              <w:rPr>
                <w:sz w:val="20"/>
              </w:rPr>
              <w:t xml:space="preserve">2018</w:t>
            </w:r>
          </w:p>
        </w:tc>
        <w:tc>
          <w:tcPr>
            <w:tcW w:w="604" w:type="dxa"/>
          </w:tcPr>
          <w:p>
            <w:pPr>
              <w:pStyle w:val="0"/>
              <w:jc w:val="center"/>
            </w:pPr>
            <w:r>
              <w:rPr>
                <w:sz w:val="20"/>
              </w:rPr>
              <w:t xml:space="preserve">2019</w:t>
            </w:r>
          </w:p>
        </w:tc>
        <w:tc>
          <w:tcPr>
            <w:tcW w:w="604" w:type="dxa"/>
          </w:tcPr>
          <w:p>
            <w:pPr>
              <w:pStyle w:val="0"/>
              <w:jc w:val="center"/>
            </w:pPr>
            <w:r>
              <w:rPr>
                <w:sz w:val="20"/>
              </w:rPr>
              <w:t xml:space="preserve">2020</w:t>
            </w:r>
          </w:p>
        </w:tc>
        <w:tc>
          <w:tcPr>
            <w:tcW w:w="604" w:type="dxa"/>
          </w:tcPr>
          <w:p>
            <w:pPr>
              <w:pStyle w:val="0"/>
              <w:jc w:val="center"/>
            </w:pPr>
            <w:r>
              <w:rPr>
                <w:sz w:val="20"/>
              </w:rPr>
              <w:t xml:space="preserve">2021</w:t>
            </w:r>
          </w:p>
        </w:tc>
        <w:tc>
          <w:tcPr>
            <w:tcW w:w="604" w:type="dxa"/>
          </w:tcPr>
          <w:p>
            <w:pPr>
              <w:pStyle w:val="0"/>
              <w:jc w:val="center"/>
            </w:pPr>
            <w:r>
              <w:rPr>
                <w:sz w:val="20"/>
              </w:rPr>
              <w:t xml:space="preserve">2022</w:t>
            </w:r>
          </w:p>
        </w:tc>
        <w:tc>
          <w:tcPr>
            <w:tcW w:w="604" w:type="dxa"/>
          </w:tcPr>
          <w:p>
            <w:pPr>
              <w:pStyle w:val="0"/>
              <w:jc w:val="center"/>
            </w:pPr>
            <w:r>
              <w:rPr>
                <w:sz w:val="20"/>
              </w:rPr>
              <w:t xml:space="preserve">2018</w:t>
            </w:r>
          </w:p>
        </w:tc>
        <w:tc>
          <w:tcPr>
            <w:tcW w:w="604" w:type="dxa"/>
          </w:tcPr>
          <w:p>
            <w:pPr>
              <w:pStyle w:val="0"/>
              <w:jc w:val="center"/>
            </w:pPr>
            <w:r>
              <w:rPr>
                <w:sz w:val="20"/>
              </w:rPr>
              <w:t xml:space="preserve">2019</w:t>
            </w:r>
          </w:p>
        </w:tc>
        <w:tc>
          <w:tcPr>
            <w:tcW w:w="604" w:type="dxa"/>
          </w:tcPr>
          <w:p>
            <w:pPr>
              <w:pStyle w:val="0"/>
              <w:jc w:val="center"/>
            </w:pPr>
            <w:r>
              <w:rPr>
                <w:sz w:val="20"/>
              </w:rPr>
              <w:t xml:space="preserve">2020</w:t>
            </w:r>
          </w:p>
        </w:tc>
        <w:tc>
          <w:tcPr>
            <w:tcW w:w="604" w:type="dxa"/>
          </w:tcPr>
          <w:p>
            <w:pPr>
              <w:pStyle w:val="0"/>
              <w:jc w:val="center"/>
            </w:pPr>
            <w:r>
              <w:rPr>
                <w:sz w:val="20"/>
              </w:rPr>
              <w:t xml:space="preserve">2021</w:t>
            </w:r>
          </w:p>
        </w:tc>
        <w:tc>
          <w:tcPr>
            <w:tcW w:w="604" w:type="dxa"/>
          </w:tcPr>
          <w:p>
            <w:pPr>
              <w:pStyle w:val="0"/>
              <w:jc w:val="center"/>
            </w:pPr>
            <w:r>
              <w:rPr>
                <w:sz w:val="20"/>
              </w:rPr>
              <w:t xml:space="preserve">2022</w:t>
            </w:r>
          </w:p>
        </w:tc>
      </w:tr>
      <w:tr>
        <w:tc>
          <w:tcPr>
            <w:gridSpan w:val="16"/>
            <w:tcW w:w="11384" w:type="dxa"/>
          </w:tcPr>
          <w:p>
            <w:pPr>
              <w:pStyle w:val="0"/>
            </w:pPr>
            <w:r>
              <w:rPr>
                <w:sz w:val="20"/>
              </w:rPr>
              <w:t xml:space="preserve">Онкологический центр (г. Ханты-Мансийск)</w:t>
            </w:r>
          </w:p>
        </w:tc>
      </w:tr>
      <w:tr>
        <w:tc>
          <w:tcPr>
            <w:tcW w:w="2324" w:type="dxa"/>
          </w:tcPr>
          <w:p>
            <w:pPr>
              <w:pStyle w:val="0"/>
            </w:pPr>
            <w:r>
              <w:rPr>
                <w:sz w:val="20"/>
              </w:rPr>
              <w:t xml:space="preserve">Ханты-Мансийск</w:t>
            </w:r>
          </w:p>
        </w:tc>
        <w:tc>
          <w:tcPr>
            <w:tcW w:w="604" w:type="dxa"/>
          </w:tcPr>
          <w:p>
            <w:pPr>
              <w:pStyle w:val="0"/>
            </w:pPr>
            <w:r>
              <w:rPr>
                <w:sz w:val="20"/>
              </w:rPr>
              <w:t xml:space="preserve">51,8</w:t>
            </w:r>
          </w:p>
        </w:tc>
        <w:tc>
          <w:tcPr>
            <w:tcW w:w="604" w:type="dxa"/>
          </w:tcPr>
          <w:p>
            <w:pPr>
              <w:pStyle w:val="0"/>
            </w:pPr>
            <w:r>
              <w:rPr>
                <w:sz w:val="20"/>
              </w:rPr>
              <w:t xml:space="preserve">53,6</w:t>
            </w:r>
          </w:p>
        </w:tc>
        <w:tc>
          <w:tcPr>
            <w:tcW w:w="604" w:type="dxa"/>
          </w:tcPr>
          <w:p>
            <w:pPr>
              <w:pStyle w:val="0"/>
            </w:pPr>
            <w:r>
              <w:rPr>
                <w:sz w:val="20"/>
              </w:rPr>
              <w:t xml:space="preserve">54,9</w:t>
            </w:r>
          </w:p>
        </w:tc>
        <w:tc>
          <w:tcPr>
            <w:tcW w:w="604" w:type="dxa"/>
          </w:tcPr>
          <w:p>
            <w:pPr>
              <w:pStyle w:val="0"/>
            </w:pPr>
            <w:r>
              <w:rPr>
                <w:sz w:val="20"/>
              </w:rPr>
              <w:t xml:space="preserve">54,7</w:t>
            </w:r>
          </w:p>
        </w:tc>
        <w:tc>
          <w:tcPr>
            <w:tcW w:w="604" w:type="dxa"/>
          </w:tcPr>
          <w:p>
            <w:pPr>
              <w:pStyle w:val="0"/>
            </w:pPr>
            <w:r>
              <w:rPr>
                <w:sz w:val="20"/>
              </w:rPr>
              <w:t xml:space="preserve">58,1</w:t>
            </w:r>
          </w:p>
        </w:tc>
        <w:tc>
          <w:tcPr>
            <w:tcW w:w="604" w:type="dxa"/>
          </w:tcPr>
          <w:p>
            <w:pPr>
              <w:pStyle w:val="0"/>
            </w:pPr>
            <w:r>
              <w:rPr>
                <w:sz w:val="20"/>
              </w:rPr>
              <w:t xml:space="preserve">6</w:t>
            </w:r>
          </w:p>
        </w:tc>
        <w:tc>
          <w:tcPr>
            <w:tcW w:w="604" w:type="dxa"/>
          </w:tcPr>
          <w:p>
            <w:pPr>
              <w:pStyle w:val="0"/>
            </w:pPr>
            <w:r>
              <w:rPr>
                <w:sz w:val="20"/>
              </w:rPr>
              <w:t xml:space="preserve">7,4</w:t>
            </w:r>
          </w:p>
        </w:tc>
        <w:tc>
          <w:tcPr>
            <w:tcW w:w="604" w:type="dxa"/>
          </w:tcPr>
          <w:p>
            <w:pPr>
              <w:pStyle w:val="0"/>
            </w:pPr>
            <w:r>
              <w:rPr>
                <w:sz w:val="20"/>
              </w:rPr>
              <w:t xml:space="preserve">8,9</w:t>
            </w:r>
          </w:p>
        </w:tc>
        <w:tc>
          <w:tcPr>
            <w:tcW w:w="604" w:type="dxa"/>
          </w:tcPr>
          <w:p>
            <w:pPr>
              <w:pStyle w:val="0"/>
            </w:pPr>
            <w:r>
              <w:rPr>
                <w:sz w:val="20"/>
              </w:rPr>
              <w:t xml:space="preserve">8,2</w:t>
            </w:r>
          </w:p>
        </w:tc>
        <w:tc>
          <w:tcPr>
            <w:tcW w:w="604" w:type="dxa"/>
          </w:tcPr>
          <w:p>
            <w:pPr>
              <w:pStyle w:val="0"/>
            </w:pPr>
            <w:r>
              <w:rPr>
                <w:sz w:val="20"/>
              </w:rPr>
              <w:t xml:space="preserve">9</w:t>
            </w:r>
          </w:p>
        </w:tc>
        <w:tc>
          <w:tcPr>
            <w:tcW w:w="604" w:type="dxa"/>
          </w:tcPr>
          <w:p>
            <w:pPr>
              <w:pStyle w:val="0"/>
            </w:pPr>
            <w:r>
              <w:rPr>
                <w:sz w:val="20"/>
              </w:rPr>
              <w:t xml:space="preserve">6,4</w:t>
            </w:r>
          </w:p>
        </w:tc>
        <w:tc>
          <w:tcPr>
            <w:tcW w:w="604" w:type="dxa"/>
          </w:tcPr>
          <w:p>
            <w:pPr>
              <w:pStyle w:val="0"/>
            </w:pPr>
            <w:r>
              <w:rPr>
                <w:sz w:val="20"/>
              </w:rPr>
              <w:t xml:space="preserve">4,5</w:t>
            </w:r>
          </w:p>
        </w:tc>
        <w:tc>
          <w:tcPr>
            <w:tcW w:w="604" w:type="dxa"/>
          </w:tcPr>
          <w:p>
            <w:pPr>
              <w:pStyle w:val="0"/>
            </w:pPr>
            <w:r>
              <w:rPr>
                <w:sz w:val="20"/>
              </w:rPr>
              <w:t xml:space="preserve">4,5</w:t>
            </w:r>
          </w:p>
        </w:tc>
        <w:tc>
          <w:tcPr>
            <w:tcW w:w="604" w:type="dxa"/>
          </w:tcPr>
          <w:p>
            <w:pPr>
              <w:pStyle w:val="0"/>
            </w:pPr>
            <w:r>
              <w:rPr>
                <w:sz w:val="20"/>
              </w:rPr>
              <w:t xml:space="preserve">5,2</w:t>
            </w:r>
          </w:p>
        </w:tc>
        <w:tc>
          <w:tcPr>
            <w:tcW w:w="604" w:type="dxa"/>
          </w:tcPr>
          <w:p>
            <w:pPr>
              <w:pStyle w:val="0"/>
            </w:pPr>
            <w:r>
              <w:rPr>
                <w:sz w:val="20"/>
              </w:rPr>
              <w:t xml:space="preserve">5,4</w:t>
            </w:r>
          </w:p>
        </w:tc>
      </w:tr>
      <w:tr>
        <w:tc>
          <w:tcPr>
            <w:tcW w:w="2324" w:type="dxa"/>
          </w:tcPr>
          <w:p>
            <w:pPr>
              <w:pStyle w:val="0"/>
            </w:pPr>
            <w:r>
              <w:rPr>
                <w:sz w:val="20"/>
              </w:rPr>
              <w:t xml:space="preserve">Нягань</w:t>
            </w:r>
          </w:p>
        </w:tc>
        <w:tc>
          <w:tcPr>
            <w:tcW w:w="604" w:type="dxa"/>
          </w:tcPr>
          <w:p>
            <w:pPr>
              <w:pStyle w:val="0"/>
            </w:pPr>
            <w:r>
              <w:rPr>
                <w:sz w:val="20"/>
              </w:rPr>
              <w:t xml:space="preserve">50,2</w:t>
            </w:r>
          </w:p>
        </w:tc>
        <w:tc>
          <w:tcPr>
            <w:tcW w:w="604" w:type="dxa"/>
          </w:tcPr>
          <w:p>
            <w:pPr>
              <w:pStyle w:val="0"/>
            </w:pPr>
            <w:r>
              <w:rPr>
                <w:sz w:val="20"/>
              </w:rPr>
              <w:t xml:space="preserve">51,7</w:t>
            </w:r>
          </w:p>
        </w:tc>
        <w:tc>
          <w:tcPr>
            <w:tcW w:w="604" w:type="dxa"/>
          </w:tcPr>
          <w:p>
            <w:pPr>
              <w:pStyle w:val="0"/>
            </w:pPr>
            <w:r>
              <w:rPr>
                <w:sz w:val="20"/>
              </w:rPr>
              <w:t xml:space="preserve">50,3</w:t>
            </w:r>
          </w:p>
        </w:tc>
        <w:tc>
          <w:tcPr>
            <w:tcW w:w="604" w:type="dxa"/>
          </w:tcPr>
          <w:p>
            <w:pPr>
              <w:pStyle w:val="0"/>
            </w:pPr>
            <w:r>
              <w:rPr>
                <w:sz w:val="20"/>
              </w:rPr>
              <w:t xml:space="preserve">52,9</w:t>
            </w:r>
          </w:p>
        </w:tc>
        <w:tc>
          <w:tcPr>
            <w:tcW w:w="604" w:type="dxa"/>
          </w:tcPr>
          <w:p>
            <w:pPr>
              <w:pStyle w:val="0"/>
            </w:pPr>
            <w:r>
              <w:rPr>
                <w:sz w:val="20"/>
              </w:rPr>
              <w:t xml:space="preserve">55,2</w:t>
            </w:r>
          </w:p>
        </w:tc>
        <w:tc>
          <w:tcPr>
            <w:tcW w:w="604" w:type="dxa"/>
          </w:tcPr>
          <w:p>
            <w:pPr>
              <w:pStyle w:val="0"/>
            </w:pPr>
            <w:r>
              <w:rPr>
                <w:sz w:val="20"/>
              </w:rPr>
              <w:t xml:space="preserve">6,1</w:t>
            </w:r>
          </w:p>
        </w:tc>
        <w:tc>
          <w:tcPr>
            <w:tcW w:w="604" w:type="dxa"/>
          </w:tcPr>
          <w:p>
            <w:pPr>
              <w:pStyle w:val="0"/>
            </w:pPr>
            <w:r>
              <w:rPr>
                <w:sz w:val="20"/>
              </w:rPr>
              <w:t xml:space="preserve">5,6</w:t>
            </w:r>
          </w:p>
        </w:tc>
        <w:tc>
          <w:tcPr>
            <w:tcW w:w="604" w:type="dxa"/>
          </w:tcPr>
          <w:p>
            <w:pPr>
              <w:pStyle w:val="0"/>
            </w:pPr>
            <w:r>
              <w:rPr>
                <w:sz w:val="20"/>
              </w:rPr>
              <w:t xml:space="preserve">6,2</w:t>
            </w:r>
          </w:p>
        </w:tc>
        <w:tc>
          <w:tcPr>
            <w:tcW w:w="604" w:type="dxa"/>
          </w:tcPr>
          <w:p>
            <w:pPr>
              <w:pStyle w:val="0"/>
            </w:pPr>
            <w:r>
              <w:rPr>
                <w:sz w:val="20"/>
              </w:rPr>
              <w:t xml:space="preserve">7,9</w:t>
            </w:r>
          </w:p>
        </w:tc>
        <w:tc>
          <w:tcPr>
            <w:tcW w:w="604" w:type="dxa"/>
          </w:tcPr>
          <w:p>
            <w:pPr>
              <w:pStyle w:val="0"/>
            </w:pPr>
            <w:r>
              <w:rPr>
                <w:sz w:val="20"/>
              </w:rPr>
              <w:t xml:space="preserve">8</w:t>
            </w:r>
          </w:p>
        </w:tc>
        <w:tc>
          <w:tcPr>
            <w:tcW w:w="604" w:type="dxa"/>
          </w:tcPr>
          <w:p>
            <w:pPr>
              <w:pStyle w:val="0"/>
            </w:pPr>
            <w:r>
              <w:rPr>
                <w:sz w:val="20"/>
              </w:rPr>
              <w:t xml:space="preserve">9</w:t>
            </w:r>
          </w:p>
        </w:tc>
        <w:tc>
          <w:tcPr>
            <w:tcW w:w="604" w:type="dxa"/>
          </w:tcPr>
          <w:p>
            <w:pPr>
              <w:pStyle w:val="0"/>
            </w:pPr>
            <w:r>
              <w:rPr>
                <w:sz w:val="20"/>
              </w:rPr>
              <w:t xml:space="preserve">7,8</w:t>
            </w:r>
          </w:p>
        </w:tc>
        <w:tc>
          <w:tcPr>
            <w:tcW w:w="604" w:type="dxa"/>
          </w:tcPr>
          <w:p>
            <w:pPr>
              <w:pStyle w:val="0"/>
            </w:pPr>
            <w:r>
              <w:rPr>
                <w:sz w:val="20"/>
              </w:rPr>
              <w:t xml:space="preserve">7,8</w:t>
            </w:r>
          </w:p>
        </w:tc>
        <w:tc>
          <w:tcPr>
            <w:tcW w:w="604" w:type="dxa"/>
          </w:tcPr>
          <w:p>
            <w:pPr>
              <w:pStyle w:val="0"/>
            </w:pPr>
            <w:r>
              <w:rPr>
                <w:sz w:val="20"/>
              </w:rPr>
              <w:t xml:space="preserve">7,9</w:t>
            </w:r>
          </w:p>
        </w:tc>
        <w:tc>
          <w:tcPr>
            <w:tcW w:w="604" w:type="dxa"/>
          </w:tcPr>
          <w:p>
            <w:pPr>
              <w:pStyle w:val="0"/>
            </w:pPr>
            <w:r>
              <w:rPr>
                <w:sz w:val="20"/>
              </w:rPr>
              <w:t xml:space="preserve">6,6</w:t>
            </w:r>
          </w:p>
        </w:tc>
      </w:tr>
      <w:tr>
        <w:tc>
          <w:tcPr>
            <w:tcW w:w="2324" w:type="dxa"/>
          </w:tcPr>
          <w:p>
            <w:pPr>
              <w:pStyle w:val="0"/>
            </w:pPr>
            <w:r>
              <w:rPr>
                <w:sz w:val="20"/>
              </w:rPr>
              <w:t xml:space="preserve">Урай</w:t>
            </w:r>
          </w:p>
        </w:tc>
        <w:tc>
          <w:tcPr>
            <w:tcW w:w="604" w:type="dxa"/>
          </w:tcPr>
          <w:p>
            <w:pPr>
              <w:pStyle w:val="0"/>
            </w:pPr>
            <w:r>
              <w:rPr>
                <w:sz w:val="20"/>
              </w:rPr>
              <w:t xml:space="preserve">43,8</w:t>
            </w:r>
          </w:p>
        </w:tc>
        <w:tc>
          <w:tcPr>
            <w:tcW w:w="604" w:type="dxa"/>
          </w:tcPr>
          <w:p>
            <w:pPr>
              <w:pStyle w:val="0"/>
            </w:pPr>
            <w:r>
              <w:rPr>
                <w:sz w:val="20"/>
              </w:rPr>
              <w:t xml:space="preserve">44,5</w:t>
            </w:r>
          </w:p>
        </w:tc>
        <w:tc>
          <w:tcPr>
            <w:tcW w:w="604" w:type="dxa"/>
          </w:tcPr>
          <w:p>
            <w:pPr>
              <w:pStyle w:val="0"/>
            </w:pPr>
            <w:r>
              <w:rPr>
                <w:sz w:val="20"/>
              </w:rPr>
              <w:t xml:space="preserve">44,9</w:t>
            </w:r>
          </w:p>
        </w:tc>
        <w:tc>
          <w:tcPr>
            <w:tcW w:w="604" w:type="dxa"/>
          </w:tcPr>
          <w:p>
            <w:pPr>
              <w:pStyle w:val="0"/>
            </w:pPr>
            <w:r>
              <w:rPr>
                <w:sz w:val="20"/>
              </w:rPr>
              <w:t xml:space="preserve">50,1</w:t>
            </w:r>
          </w:p>
        </w:tc>
        <w:tc>
          <w:tcPr>
            <w:tcW w:w="604" w:type="dxa"/>
          </w:tcPr>
          <w:p>
            <w:pPr>
              <w:pStyle w:val="0"/>
            </w:pPr>
            <w:r>
              <w:rPr>
                <w:sz w:val="20"/>
              </w:rPr>
              <w:t xml:space="preserve">54,7</w:t>
            </w:r>
          </w:p>
        </w:tc>
        <w:tc>
          <w:tcPr>
            <w:tcW w:w="604" w:type="dxa"/>
          </w:tcPr>
          <w:p>
            <w:pPr>
              <w:pStyle w:val="0"/>
            </w:pPr>
            <w:r>
              <w:rPr>
                <w:sz w:val="20"/>
              </w:rPr>
              <w:t xml:space="preserve">5,3</w:t>
            </w:r>
          </w:p>
        </w:tc>
        <w:tc>
          <w:tcPr>
            <w:tcW w:w="604" w:type="dxa"/>
          </w:tcPr>
          <w:p>
            <w:pPr>
              <w:pStyle w:val="0"/>
            </w:pPr>
            <w:r>
              <w:rPr>
                <w:sz w:val="20"/>
              </w:rPr>
              <w:t xml:space="preserve">4,5</w:t>
            </w:r>
          </w:p>
        </w:tc>
        <w:tc>
          <w:tcPr>
            <w:tcW w:w="604" w:type="dxa"/>
          </w:tcPr>
          <w:p>
            <w:pPr>
              <w:pStyle w:val="0"/>
            </w:pPr>
            <w:r>
              <w:rPr>
                <w:sz w:val="20"/>
              </w:rPr>
              <w:t xml:space="preserve">6,5</w:t>
            </w:r>
          </w:p>
        </w:tc>
        <w:tc>
          <w:tcPr>
            <w:tcW w:w="604" w:type="dxa"/>
          </w:tcPr>
          <w:p>
            <w:pPr>
              <w:pStyle w:val="0"/>
            </w:pPr>
            <w:r>
              <w:rPr>
                <w:sz w:val="20"/>
              </w:rPr>
              <w:t xml:space="preserve">8,6</w:t>
            </w:r>
          </w:p>
        </w:tc>
        <w:tc>
          <w:tcPr>
            <w:tcW w:w="604" w:type="dxa"/>
          </w:tcPr>
          <w:p>
            <w:pPr>
              <w:pStyle w:val="0"/>
            </w:pPr>
            <w:r>
              <w:rPr>
                <w:sz w:val="20"/>
              </w:rPr>
              <w:t xml:space="preserve">9,8</w:t>
            </w:r>
          </w:p>
        </w:tc>
        <w:tc>
          <w:tcPr>
            <w:tcW w:w="604" w:type="dxa"/>
          </w:tcPr>
          <w:p>
            <w:pPr>
              <w:pStyle w:val="0"/>
            </w:pPr>
            <w:r>
              <w:rPr>
                <w:sz w:val="20"/>
              </w:rPr>
              <w:t xml:space="preserve">8,9</w:t>
            </w:r>
          </w:p>
        </w:tc>
        <w:tc>
          <w:tcPr>
            <w:tcW w:w="604" w:type="dxa"/>
          </w:tcPr>
          <w:p>
            <w:pPr>
              <w:pStyle w:val="0"/>
            </w:pPr>
            <w:r>
              <w:rPr>
                <w:sz w:val="20"/>
              </w:rPr>
              <w:t xml:space="preserve">5,9</w:t>
            </w:r>
          </w:p>
        </w:tc>
        <w:tc>
          <w:tcPr>
            <w:tcW w:w="604" w:type="dxa"/>
          </w:tcPr>
          <w:p>
            <w:pPr>
              <w:pStyle w:val="0"/>
            </w:pPr>
            <w:r>
              <w:rPr>
                <w:sz w:val="20"/>
              </w:rPr>
              <w:t xml:space="preserve">5,9</w:t>
            </w:r>
          </w:p>
        </w:tc>
        <w:tc>
          <w:tcPr>
            <w:tcW w:w="604" w:type="dxa"/>
          </w:tcPr>
          <w:p>
            <w:pPr>
              <w:pStyle w:val="0"/>
            </w:pPr>
            <w:r>
              <w:rPr>
                <w:sz w:val="20"/>
              </w:rPr>
              <w:t xml:space="preserve">5,5</w:t>
            </w:r>
          </w:p>
        </w:tc>
        <w:tc>
          <w:tcPr>
            <w:tcW w:w="604" w:type="dxa"/>
          </w:tcPr>
          <w:p>
            <w:pPr>
              <w:pStyle w:val="0"/>
            </w:pPr>
            <w:r>
              <w:rPr>
                <w:sz w:val="20"/>
              </w:rPr>
              <w:t xml:space="preserve">6,9</w:t>
            </w:r>
          </w:p>
        </w:tc>
      </w:tr>
      <w:tr>
        <w:tc>
          <w:tcPr>
            <w:tcW w:w="2324" w:type="dxa"/>
          </w:tcPr>
          <w:p>
            <w:pPr>
              <w:pStyle w:val="0"/>
            </w:pPr>
            <w:r>
              <w:rPr>
                <w:sz w:val="20"/>
              </w:rPr>
              <w:t xml:space="preserve">Югорск</w:t>
            </w:r>
          </w:p>
        </w:tc>
        <w:tc>
          <w:tcPr>
            <w:tcW w:w="604" w:type="dxa"/>
          </w:tcPr>
          <w:p>
            <w:pPr>
              <w:pStyle w:val="0"/>
            </w:pPr>
            <w:r>
              <w:rPr>
                <w:sz w:val="20"/>
              </w:rPr>
              <w:t xml:space="preserve">53,1</w:t>
            </w:r>
          </w:p>
        </w:tc>
        <w:tc>
          <w:tcPr>
            <w:tcW w:w="604" w:type="dxa"/>
          </w:tcPr>
          <w:p>
            <w:pPr>
              <w:pStyle w:val="0"/>
            </w:pPr>
            <w:r>
              <w:rPr>
                <w:sz w:val="20"/>
              </w:rPr>
              <w:t xml:space="preserve">52,7</w:t>
            </w:r>
          </w:p>
        </w:tc>
        <w:tc>
          <w:tcPr>
            <w:tcW w:w="604" w:type="dxa"/>
          </w:tcPr>
          <w:p>
            <w:pPr>
              <w:pStyle w:val="0"/>
            </w:pPr>
            <w:r>
              <w:rPr>
                <w:sz w:val="20"/>
              </w:rPr>
              <w:t xml:space="preserve">53,2</w:t>
            </w:r>
          </w:p>
        </w:tc>
        <w:tc>
          <w:tcPr>
            <w:tcW w:w="604" w:type="dxa"/>
          </w:tcPr>
          <w:p>
            <w:pPr>
              <w:pStyle w:val="0"/>
            </w:pPr>
            <w:r>
              <w:rPr>
                <w:sz w:val="20"/>
              </w:rPr>
              <w:t xml:space="preserve">55,4</w:t>
            </w:r>
          </w:p>
        </w:tc>
        <w:tc>
          <w:tcPr>
            <w:tcW w:w="604" w:type="dxa"/>
          </w:tcPr>
          <w:p>
            <w:pPr>
              <w:pStyle w:val="0"/>
            </w:pPr>
            <w:r>
              <w:rPr>
                <w:sz w:val="20"/>
              </w:rPr>
              <w:t xml:space="preserve">53,8</w:t>
            </w:r>
          </w:p>
        </w:tc>
        <w:tc>
          <w:tcPr>
            <w:tcW w:w="604" w:type="dxa"/>
          </w:tcPr>
          <w:p>
            <w:pPr>
              <w:pStyle w:val="0"/>
            </w:pPr>
            <w:r>
              <w:rPr>
                <w:sz w:val="20"/>
              </w:rPr>
              <w:t xml:space="preserve">6,9</w:t>
            </w:r>
          </w:p>
        </w:tc>
        <w:tc>
          <w:tcPr>
            <w:tcW w:w="604" w:type="dxa"/>
          </w:tcPr>
          <w:p>
            <w:pPr>
              <w:pStyle w:val="0"/>
            </w:pPr>
            <w:r>
              <w:rPr>
                <w:sz w:val="20"/>
              </w:rPr>
              <w:t xml:space="preserve">5,7</w:t>
            </w:r>
          </w:p>
        </w:tc>
        <w:tc>
          <w:tcPr>
            <w:tcW w:w="604" w:type="dxa"/>
          </w:tcPr>
          <w:p>
            <w:pPr>
              <w:pStyle w:val="0"/>
            </w:pPr>
            <w:r>
              <w:rPr>
                <w:sz w:val="20"/>
              </w:rPr>
              <w:t xml:space="preserve">6,6</w:t>
            </w:r>
          </w:p>
        </w:tc>
        <w:tc>
          <w:tcPr>
            <w:tcW w:w="604" w:type="dxa"/>
          </w:tcPr>
          <w:p>
            <w:pPr>
              <w:pStyle w:val="0"/>
            </w:pPr>
            <w:r>
              <w:rPr>
                <w:sz w:val="20"/>
              </w:rPr>
              <w:t xml:space="preserve">7,9</w:t>
            </w:r>
          </w:p>
        </w:tc>
        <w:tc>
          <w:tcPr>
            <w:tcW w:w="604" w:type="dxa"/>
          </w:tcPr>
          <w:p>
            <w:pPr>
              <w:pStyle w:val="0"/>
            </w:pPr>
            <w:r>
              <w:rPr>
                <w:sz w:val="20"/>
              </w:rPr>
              <w:t xml:space="preserve">6,6</w:t>
            </w:r>
          </w:p>
        </w:tc>
        <w:tc>
          <w:tcPr>
            <w:tcW w:w="604" w:type="dxa"/>
          </w:tcPr>
          <w:p>
            <w:pPr>
              <w:pStyle w:val="0"/>
            </w:pPr>
            <w:r>
              <w:rPr>
                <w:sz w:val="20"/>
              </w:rPr>
              <w:t xml:space="preserve">5,8</w:t>
            </w:r>
          </w:p>
        </w:tc>
        <w:tc>
          <w:tcPr>
            <w:tcW w:w="604" w:type="dxa"/>
          </w:tcPr>
          <w:p>
            <w:pPr>
              <w:pStyle w:val="0"/>
            </w:pPr>
            <w:r>
              <w:rPr>
                <w:sz w:val="20"/>
              </w:rPr>
              <w:t xml:space="preserve">5,1</w:t>
            </w:r>
          </w:p>
        </w:tc>
        <w:tc>
          <w:tcPr>
            <w:tcW w:w="604" w:type="dxa"/>
          </w:tcPr>
          <w:p>
            <w:pPr>
              <w:pStyle w:val="0"/>
            </w:pPr>
            <w:r>
              <w:rPr>
                <w:sz w:val="20"/>
              </w:rPr>
              <w:t xml:space="preserve">5,1</w:t>
            </w:r>
          </w:p>
        </w:tc>
        <w:tc>
          <w:tcPr>
            <w:tcW w:w="604" w:type="dxa"/>
          </w:tcPr>
          <w:p>
            <w:pPr>
              <w:pStyle w:val="0"/>
            </w:pPr>
            <w:r>
              <w:rPr>
                <w:sz w:val="20"/>
              </w:rPr>
              <w:t xml:space="preserve">5,1</w:t>
            </w:r>
          </w:p>
        </w:tc>
        <w:tc>
          <w:tcPr>
            <w:tcW w:w="604" w:type="dxa"/>
          </w:tcPr>
          <w:p>
            <w:pPr>
              <w:pStyle w:val="0"/>
            </w:pPr>
            <w:r>
              <w:rPr>
                <w:sz w:val="20"/>
              </w:rPr>
              <w:t xml:space="preserve">5,3</w:t>
            </w:r>
          </w:p>
        </w:tc>
      </w:tr>
      <w:tr>
        <w:tc>
          <w:tcPr>
            <w:tcW w:w="2324" w:type="dxa"/>
          </w:tcPr>
          <w:p>
            <w:pPr>
              <w:pStyle w:val="0"/>
            </w:pPr>
            <w:r>
              <w:rPr>
                <w:sz w:val="20"/>
              </w:rPr>
              <w:t xml:space="preserve">Белоярский</w:t>
            </w:r>
          </w:p>
        </w:tc>
        <w:tc>
          <w:tcPr>
            <w:tcW w:w="604" w:type="dxa"/>
          </w:tcPr>
          <w:p>
            <w:pPr>
              <w:pStyle w:val="0"/>
            </w:pPr>
            <w:r>
              <w:rPr>
                <w:sz w:val="20"/>
              </w:rPr>
              <w:t xml:space="preserve">55,6</w:t>
            </w:r>
          </w:p>
        </w:tc>
        <w:tc>
          <w:tcPr>
            <w:tcW w:w="604" w:type="dxa"/>
          </w:tcPr>
          <w:p>
            <w:pPr>
              <w:pStyle w:val="0"/>
            </w:pPr>
            <w:r>
              <w:rPr>
                <w:sz w:val="20"/>
              </w:rPr>
              <w:t xml:space="preserve">56,4</w:t>
            </w:r>
          </w:p>
        </w:tc>
        <w:tc>
          <w:tcPr>
            <w:tcW w:w="604" w:type="dxa"/>
          </w:tcPr>
          <w:p>
            <w:pPr>
              <w:pStyle w:val="0"/>
            </w:pPr>
            <w:r>
              <w:rPr>
                <w:sz w:val="20"/>
              </w:rPr>
              <w:t xml:space="preserve">58,5</w:t>
            </w:r>
          </w:p>
        </w:tc>
        <w:tc>
          <w:tcPr>
            <w:tcW w:w="604" w:type="dxa"/>
          </w:tcPr>
          <w:p>
            <w:pPr>
              <w:pStyle w:val="0"/>
            </w:pPr>
            <w:r>
              <w:rPr>
                <w:sz w:val="20"/>
              </w:rPr>
              <w:t xml:space="preserve">59,1</w:t>
            </w:r>
          </w:p>
        </w:tc>
        <w:tc>
          <w:tcPr>
            <w:tcW w:w="604" w:type="dxa"/>
          </w:tcPr>
          <w:p>
            <w:pPr>
              <w:pStyle w:val="0"/>
            </w:pPr>
            <w:r>
              <w:rPr>
                <w:sz w:val="20"/>
              </w:rPr>
              <w:t xml:space="preserve">61,7</w:t>
            </w:r>
          </w:p>
        </w:tc>
        <w:tc>
          <w:tcPr>
            <w:tcW w:w="604" w:type="dxa"/>
          </w:tcPr>
          <w:p>
            <w:pPr>
              <w:pStyle w:val="0"/>
            </w:pPr>
            <w:r>
              <w:rPr>
                <w:sz w:val="20"/>
              </w:rPr>
              <w:t xml:space="preserve">8,3</w:t>
            </w:r>
          </w:p>
        </w:tc>
        <w:tc>
          <w:tcPr>
            <w:tcW w:w="604" w:type="dxa"/>
          </w:tcPr>
          <w:p>
            <w:pPr>
              <w:pStyle w:val="0"/>
            </w:pPr>
            <w:r>
              <w:rPr>
                <w:sz w:val="20"/>
              </w:rPr>
              <w:t xml:space="preserve">7,2</w:t>
            </w:r>
          </w:p>
        </w:tc>
        <w:tc>
          <w:tcPr>
            <w:tcW w:w="604" w:type="dxa"/>
          </w:tcPr>
          <w:p>
            <w:pPr>
              <w:pStyle w:val="0"/>
            </w:pPr>
            <w:r>
              <w:rPr>
                <w:sz w:val="20"/>
              </w:rPr>
              <w:t xml:space="preserve">7,9</w:t>
            </w:r>
          </w:p>
        </w:tc>
        <w:tc>
          <w:tcPr>
            <w:tcW w:w="604" w:type="dxa"/>
          </w:tcPr>
          <w:p>
            <w:pPr>
              <w:pStyle w:val="0"/>
            </w:pPr>
            <w:r>
              <w:rPr>
                <w:sz w:val="20"/>
              </w:rPr>
              <w:t xml:space="preserve">9,1</w:t>
            </w:r>
          </w:p>
        </w:tc>
        <w:tc>
          <w:tcPr>
            <w:tcW w:w="604" w:type="dxa"/>
          </w:tcPr>
          <w:p>
            <w:pPr>
              <w:pStyle w:val="0"/>
            </w:pPr>
            <w:r>
              <w:rPr>
                <w:sz w:val="20"/>
              </w:rPr>
              <w:t xml:space="preserve">8,3</w:t>
            </w:r>
          </w:p>
        </w:tc>
        <w:tc>
          <w:tcPr>
            <w:tcW w:w="604" w:type="dxa"/>
          </w:tcPr>
          <w:p>
            <w:pPr>
              <w:pStyle w:val="0"/>
            </w:pPr>
            <w:r>
              <w:rPr>
                <w:sz w:val="20"/>
              </w:rPr>
              <w:t xml:space="preserve">4,8</w:t>
            </w:r>
          </w:p>
        </w:tc>
        <w:tc>
          <w:tcPr>
            <w:tcW w:w="604" w:type="dxa"/>
          </w:tcPr>
          <w:p>
            <w:pPr>
              <w:pStyle w:val="0"/>
            </w:pPr>
            <w:r>
              <w:rPr>
                <w:sz w:val="20"/>
              </w:rPr>
              <w:t xml:space="preserve">4,2</w:t>
            </w:r>
          </w:p>
        </w:tc>
        <w:tc>
          <w:tcPr>
            <w:tcW w:w="604" w:type="dxa"/>
          </w:tcPr>
          <w:p>
            <w:pPr>
              <w:pStyle w:val="0"/>
            </w:pPr>
            <w:r>
              <w:rPr>
                <w:sz w:val="20"/>
              </w:rPr>
              <w:t xml:space="preserve">4,2</w:t>
            </w:r>
          </w:p>
        </w:tc>
        <w:tc>
          <w:tcPr>
            <w:tcW w:w="604" w:type="dxa"/>
          </w:tcPr>
          <w:p>
            <w:pPr>
              <w:pStyle w:val="0"/>
            </w:pPr>
            <w:r>
              <w:rPr>
                <w:sz w:val="20"/>
              </w:rPr>
              <w:t xml:space="preserve">4,2</w:t>
            </w:r>
          </w:p>
        </w:tc>
        <w:tc>
          <w:tcPr>
            <w:tcW w:w="604" w:type="dxa"/>
          </w:tcPr>
          <w:p>
            <w:pPr>
              <w:pStyle w:val="0"/>
            </w:pPr>
            <w:r>
              <w:rPr>
                <w:sz w:val="20"/>
              </w:rPr>
              <w:t xml:space="preserve">4,6</w:t>
            </w:r>
          </w:p>
        </w:tc>
      </w:tr>
      <w:tr>
        <w:tc>
          <w:tcPr>
            <w:tcW w:w="2324" w:type="dxa"/>
          </w:tcPr>
          <w:p>
            <w:pPr>
              <w:pStyle w:val="0"/>
            </w:pPr>
            <w:r>
              <w:rPr>
                <w:sz w:val="20"/>
              </w:rPr>
              <w:t xml:space="preserve">Березовский</w:t>
            </w:r>
          </w:p>
        </w:tc>
        <w:tc>
          <w:tcPr>
            <w:tcW w:w="604" w:type="dxa"/>
          </w:tcPr>
          <w:p>
            <w:pPr>
              <w:pStyle w:val="0"/>
            </w:pPr>
            <w:r>
              <w:rPr>
                <w:sz w:val="20"/>
              </w:rPr>
              <w:t xml:space="preserve">46,9</w:t>
            </w:r>
          </w:p>
        </w:tc>
        <w:tc>
          <w:tcPr>
            <w:tcW w:w="604" w:type="dxa"/>
          </w:tcPr>
          <w:p>
            <w:pPr>
              <w:pStyle w:val="0"/>
            </w:pPr>
            <w:r>
              <w:rPr>
                <w:sz w:val="20"/>
              </w:rPr>
              <w:t xml:space="preserve">46,4</w:t>
            </w:r>
          </w:p>
        </w:tc>
        <w:tc>
          <w:tcPr>
            <w:tcW w:w="604" w:type="dxa"/>
          </w:tcPr>
          <w:p>
            <w:pPr>
              <w:pStyle w:val="0"/>
            </w:pPr>
            <w:r>
              <w:rPr>
                <w:sz w:val="20"/>
              </w:rPr>
              <w:t xml:space="preserve">46,4</w:t>
            </w:r>
          </w:p>
        </w:tc>
        <w:tc>
          <w:tcPr>
            <w:tcW w:w="604" w:type="dxa"/>
          </w:tcPr>
          <w:p>
            <w:pPr>
              <w:pStyle w:val="0"/>
            </w:pPr>
            <w:r>
              <w:rPr>
                <w:sz w:val="20"/>
              </w:rPr>
              <w:t xml:space="preserve">51,7</w:t>
            </w:r>
          </w:p>
        </w:tc>
        <w:tc>
          <w:tcPr>
            <w:tcW w:w="604" w:type="dxa"/>
          </w:tcPr>
          <w:p>
            <w:pPr>
              <w:pStyle w:val="0"/>
            </w:pPr>
            <w:r>
              <w:rPr>
                <w:sz w:val="20"/>
              </w:rPr>
              <w:t xml:space="preserve">53,4</w:t>
            </w:r>
          </w:p>
        </w:tc>
        <w:tc>
          <w:tcPr>
            <w:tcW w:w="604" w:type="dxa"/>
          </w:tcPr>
          <w:p>
            <w:pPr>
              <w:pStyle w:val="0"/>
            </w:pPr>
            <w:r>
              <w:rPr>
                <w:sz w:val="20"/>
              </w:rPr>
              <w:t xml:space="preserve">4,3</w:t>
            </w:r>
          </w:p>
        </w:tc>
        <w:tc>
          <w:tcPr>
            <w:tcW w:w="604" w:type="dxa"/>
          </w:tcPr>
          <w:p>
            <w:pPr>
              <w:pStyle w:val="0"/>
            </w:pPr>
            <w:r>
              <w:rPr>
                <w:sz w:val="20"/>
              </w:rPr>
              <w:t xml:space="preserve">4,4</w:t>
            </w:r>
          </w:p>
        </w:tc>
        <w:tc>
          <w:tcPr>
            <w:tcW w:w="604" w:type="dxa"/>
          </w:tcPr>
          <w:p>
            <w:pPr>
              <w:pStyle w:val="0"/>
            </w:pPr>
            <w:r>
              <w:rPr>
                <w:sz w:val="20"/>
              </w:rPr>
              <w:t xml:space="preserve">5,8</w:t>
            </w:r>
          </w:p>
        </w:tc>
        <w:tc>
          <w:tcPr>
            <w:tcW w:w="604" w:type="dxa"/>
          </w:tcPr>
          <w:p>
            <w:pPr>
              <w:pStyle w:val="0"/>
            </w:pPr>
            <w:r>
              <w:rPr>
                <w:sz w:val="20"/>
              </w:rPr>
              <w:t xml:space="preserve">6,7</w:t>
            </w:r>
          </w:p>
        </w:tc>
        <w:tc>
          <w:tcPr>
            <w:tcW w:w="604" w:type="dxa"/>
          </w:tcPr>
          <w:p>
            <w:pPr>
              <w:pStyle w:val="0"/>
            </w:pPr>
            <w:r>
              <w:rPr>
                <w:sz w:val="20"/>
              </w:rPr>
              <w:t xml:space="preserve">6,4</w:t>
            </w:r>
          </w:p>
        </w:tc>
        <w:tc>
          <w:tcPr>
            <w:tcW w:w="604" w:type="dxa"/>
          </w:tcPr>
          <w:p>
            <w:pPr>
              <w:pStyle w:val="0"/>
            </w:pPr>
            <w:r>
              <w:rPr>
                <w:sz w:val="20"/>
              </w:rPr>
              <w:t xml:space="preserve">11,5</w:t>
            </w:r>
          </w:p>
        </w:tc>
        <w:tc>
          <w:tcPr>
            <w:tcW w:w="604" w:type="dxa"/>
          </w:tcPr>
          <w:p>
            <w:pPr>
              <w:pStyle w:val="0"/>
            </w:pPr>
            <w:r>
              <w:rPr>
                <w:sz w:val="20"/>
              </w:rPr>
              <w:t xml:space="preserve">7,7</w:t>
            </w:r>
          </w:p>
        </w:tc>
        <w:tc>
          <w:tcPr>
            <w:tcW w:w="604" w:type="dxa"/>
          </w:tcPr>
          <w:p>
            <w:pPr>
              <w:pStyle w:val="0"/>
            </w:pPr>
            <w:r>
              <w:rPr>
                <w:sz w:val="20"/>
              </w:rPr>
              <w:t xml:space="preserve">7,7</w:t>
            </w:r>
          </w:p>
        </w:tc>
        <w:tc>
          <w:tcPr>
            <w:tcW w:w="604" w:type="dxa"/>
          </w:tcPr>
          <w:p>
            <w:pPr>
              <w:pStyle w:val="0"/>
            </w:pPr>
            <w:r>
              <w:rPr>
                <w:sz w:val="20"/>
              </w:rPr>
              <w:t xml:space="preserve">7,7</w:t>
            </w:r>
          </w:p>
        </w:tc>
        <w:tc>
          <w:tcPr>
            <w:tcW w:w="604" w:type="dxa"/>
          </w:tcPr>
          <w:p>
            <w:pPr>
              <w:pStyle w:val="0"/>
            </w:pPr>
            <w:r>
              <w:rPr>
                <w:sz w:val="20"/>
              </w:rPr>
              <w:t xml:space="preserve">6,5</w:t>
            </w:r>
          </w:p>
        </w:tc>
      </w:tr>
      <w:tr>
        <w:tc>
          <w:tcPr>
            <w:tcW w:w="2324" w:type="dxa"/>
          </w:tcPr>
          <w:p>
            <w:pPr>
              <w:pStyle w:val="0"/>
            </w:pPr>
            <w:r>
              <w:rPr>
                <w:sz w:val="20"/>
              </w:rPr>
              <w:t xml:space="preserve">Кондинский</w:t>
            </w:r>
          </w:p>
        </w:tc>
        <w:tc>
          <w:tcPr>
            <w:tcW w:w="604" w:type="dxa"/>
          </w:tcPr>
          <w:p>
            <w:pPr>
              <w:pStyle w:val="0"/>
            </w:pPr>
            <w:r>
              <w:rPr>
                <w:sz w:val="20"/>
              </w:rPr>
              <w:t xml:space="preserve">56,3</w:t>
            </w:r>
          </w:p>
        </w:tc>
        <w:tc>
          <w:tcPr>
            <w:tcW w:w="604" w:type="dxa"/>
          </w:tcPr>
          <w:p>
            <w:pPr>
              <w:pStyle w:val="0"/>
            </w:pPr>
            <w:r>
              <w:rPr>
                <w:sz w:val="20"/>
              </w:rPr>
              <w:t xml:space="preserve">55,8</w:t>
            </w:r>
          </w:p>
        </w:tc>
        <w:tc>
          <w:tcPr>
            <w:tcW w:w="604" w:type="dxa"/>
          </w:tcPr>
          <w:p>
            <w:pPr>
              <w:pStyle w:val="0"/>
            </w:pPr>
            <w:r>
              <w:rPr>
                <w:sz w:val="20"/>
              </w:rPr>
              <w:t xml:space="preserve">55,4</w:t>
            </w:r>
          </w:p>
        </w:tc>
        <w:tc>
          <w:tcPr>
            <w:tcW w:w="604" w:type="dxa"/>
          </w:tcPr>
          <w:p>
            <w:pPr>
              <w:pStyle w:val="0"/>
            </w:pPr>
            <w:r>
              <w:rPr>
                <w:sz w:val="20"/>
              </w:rPr>
              <w:t xml:space="preserve">55,4</w:t>
            </w:r>
          </w:p>
        </w:tc>
        <w:tc>
          <w:tcPr>
            <w:tcW w:w="604" w:type="dxa"/>
          </w:tcPr>
          <w:p>
            <w:pPr>
              <w:pStyle w:val="0"/>
            </w:pPr>
            <w:r>
              <w:rPr>
                <w:sz w:val="20"/>
              </w:rPr>
              <w:t xml:space="preserve">57,8</w:t>
            </w:r>
          </w:p>
        </w:tc>
        <w:tc>
          <w:tcPr>
            <w:tcW w:w="604" w:type="dxa"/>
          </w:tcPr>
          <w:p>
            <w:pPr>
              <w:pStyle w:val="0"/>
            </w:pPr>
            <w:r>
              <w:rPr>
                <w:sz w:val="20"/>
              </w:rPr>
              <w:t xml:space="preserve">4,6</w:t>
            </w:r>
          </w:p>
        </w:tc>
        <w:tc>
          <w:tcPr>
            <w:tcW w:w="604" w:type="dxa"/>
          </w:tcPr>
          <w:p>
            <w:pPr>
              <w:pStyle w:val="0"/>
            </w:pPr>
            <w:r>
              <w:rPr>
                <w:sz w:val="20"/>
              </w:rPr>
              <w:t xml:space="preserve">5,7</w:t>
            </w:r>
          </w:p>
        </w:tc>
        <w:tc>
          <w:tcPr>
            <w:tcW w:w="604" w:type="dxa"/>
          </w:tcPr>
          <w:p>
            <w:pPr>
              <w:pStyle w:val="0"/>
            </w:pPr>
            <w:r>
              <w:rPr>
                <w:sz w:val="20"/>
              </w:rPr>
              <w:t xml:space="preserve">6,1</w:t>
            </w:r>
          </w:p>
        </w:tc>
        <w:tc>
          <w:tcPr>
            <w:tcW w:w="604" w:type="dxa"/>
          </w:tcPr>
          <w:p>
            <w:pPr>
              <w:pStyle w:val="0"/>
            </w:pPr>
            <w:r>
              <w:rPr>
                <w:sz w:val="20"/>
              </w:rPr>
              <w:t xml:space="preserve">7,5</w:t>
            </w:r>
          </w:p>
        </w:tc>
        <w:tc>
          <w:tcPr>
            <w:tcW w:w="604" w:type="dxa"/>
          </w:tcPr>
          <w:p>
            <w:pPr>
              <w:pStyle w:val="0"/>
            </w:pPr>
            <w:r>
              <w:rPr>
                <w:sz w:val="20"/>
              </w:rPr>
              <w:t xml:space="preserve">7,4</w:t>
            </w:r>
          </w:p>
        </w:tc>
        <w:tc>
          <w:tcPr>
            <w:tcW w:w="604" w:type="dxa"/>
          </w:tcPr>
          <w:p>
            <w:pPr>
              <w:pStyle w:val="0"/>
            </w:pPr>
            <w:r>
              <w:rPr>
                <w:sz w:val="20"/>
              </w:rPr>
              <w:t xml:space="preserve">12,3</w:t>
            </w:r>
          </w:p>
        </w:tc>
        <w:tc>
          <w:tcPr>
            <w:tcW w:w="604" w:type="dxa"/>
          </w:tcPr>
          <w:p>
            <w:pPr>
              <w:pStyle w:val="0"/>
            </w:pPr>
            <w:r>
              <w:rPr>
                <w:sz w:val="20"/>
              </w:rPr>
              <w:t xml:space="preserve">10,6</w:t>
            </w:r>
          </w:p>
        </w:tc>
        <w:tc>
          <w:tcPr>
            <w:tcW w:w="604" w:type="dxa"/>
          </w:tcPr>
          <w:p>
            <w:pPr>
              <w:pStyle w:val="0"/>
            </w:pPr>
            <w:r>
              <w:rPr>
                <w:sz w:val="20"/>
              </w:rPr>
              <w:t xml:space="preserve">10,6</w:t>
            </w:r>
          </w:p>
        </w:tc>
        <w:tc>
          <w:tcPr>
            <w:tcW w:w="604" w:type="dxa"/>
          </w:tcPr>
          <w:p>
            <w:pPr>
              <w:pStyle w:val="0"/>
            </w:pPr>
            <w:r>
              <w:rPr>
                <w:sz w:val="20"/>
              </w:rPr>
              <w:t xml:space="preserve">10,6</w:t>
            </w:r>
          </w:p>
        </w:tc>
        <w:tc>
          <w:tcPr>
            <w:tcW w:w="604" w:type="dxa"/>
          </w:tcPr>
          <w:p>
            <w:pPr>
              <w:pStyle w:val="0"/>
            </w:pPr>
            <w:r>
              <w:rPr>
                <w:sz w:val="20"/>
              </w:rPr>
              <w:t xml:space="preserve">10</w:t>
            </w:r>
          </w:p>
        </w:tc>
      </w:tr>
      <w:tr>
        <w:tc>
          <w:tcPr>
            <w:tcW w:w="2324" w:type="dxa"/>
          </w:tcPr>
          <w:p>
            <w:pPr>
              <w:pStyle w:val="0"/>
            </w:pPr>
            <w:r>
              <w:rPr>
                <w:sz w:val="20"/>
              </w:rPr>
              <w:t xml:space="preserve">Октябрьский</w:t>
            </w:r>
          </w:p>
        </w:tc>
        <w:tc>
          <w:tcPr>
            <w:tcW w:w="604" w:type="dxa"/>
          </w:tcPr>
          <w:p>
            <w:pPr>
              <w:pStyle w:val="0"/>
            </w:pPr>
            <w:r>
              <w:rPr>
                <w:sz w:val="20"/>
              </w:rPr>
              <w:t xml:space="preserve">45,8</w:t>
            </w:r>
          </w:p>
        </w:tc>
        <w:tc>
          <w:tcPr>
            <w:tcW w:w="604" w:type="dxa"/>
          </w:tcPr>
          <w:p>
            <w:pPr>
              <w:pStyle w:val="0"/>
            </w:pPr>
            <w:r>
              <w:rPr>
                <w:sz w:val="20"/>
              </w:rPr>
              <w:t xml:space="preserve">49,7</w:t>
            </w:r>
          </w:p>
        </w:tc>
        <w:tc>
          <w:tcPr>
            <w:tcW w:w="604" w:type="dxa"/>
          </w:tcPr>
          <w:p>
            <w:pPr>
              <w:pStyle w:val="0"/>
            </w:pPr>
            <w:r>
              <w:rPr>
                <w:sz w:val="20"/>
              </w:rPr>
              <w:t xml:space="preserve">54,2</w:t>
            </w:r>
          </w:p>
        </w:tc>
        <w:tc>
          <w:tcPr>
            <w:tcW w:w="604" w:type="dxa"/>
          </w:tcPr>
          <w:p>
            <w:pPr>
              <w:pStyle w:val="0"/>
            </w:pPr>
            <w:r>
              <w:rPr>
                <w:sz w:val="20"/>
              </w:rPr>
              <w:t xml:space="preserve">60,2</w:t>
            </w:r>
          </w:p>
        </w:tc>
        <w:tc>
          <w:tcPr>
            <w:tcW w:w="604" w:type="dxa"/>
          </w:tcPr>
          <w:p>
            <w:pPr>
              <w:pStyle w:val="0"/>
            </w:pPr>
            <w:r>
              <w:rPr>
                <w:sz w:val="20"/>
              </w:rPr>
              <w:t xml:space="preserve">64,3</w:t>
            </w:r>
          </w:p>
        </w:tc>
        <w:tc>
          <w:tcPr>
            <w:tcW w:w="604" w:type="dxa"/>
          </w:tcPr>
          <w:p>
            <w:pPr>
              <w:pStyle w:val="0"/>
            </w:pPr>
            <w:r>
              <w:rPr>
                <w:sz w:val="20"/>
              </w:rPr>
              <w:t xml:space="preserve">6,1</w:t>
            </w:r>
          </w:p>
        </w:tc>
        <w:tc>
          <w:tcPr>
            <w:tcW w:w="604" w:type="dxa"/>
          </w:tcPr>
          <w:p>
            <w:pPr>
              <w:pStyle w:val="0"/>
            </w:pPr>
            <w:r>
              <w:rPr>
                <w:sz w:val="20"/>
              </w:rPr>
              <w:t xml:space="preserve">5,7</w:t>
            </w:r>
          </w:p>
        </w:tc>
        <w:tc>
          <w:tcPr>
            <w:tcW w:w="604" w:type="dxa"/>
          </w:tcPr>
          <w:p>
            <w:pPr>
              <w:pStyle w:val="0"/>
            </w:pPr>
            <w:r>
              <w:rPr>
                <w:sz w:val="20"/>
              </w:rPr>
              <w:t xml:space="preserve">6,4</w:t>
            </w:r>
          </w:p>
        </w:tc>
        <w:tc>
          <w:tcPr>
            <w:tcW w:w="604" w:type="dxa"/>
          </w:tcPr>
          <w:p>
            <w:pPr>
              <w:pStyle w:val="0"/>
            </w:pPr>
            <w:r>
              <w:rPr>
                <w:sz w:val="20"/>
              </w:rPr>
              <w:t xml:space="preserve">8,5</w:t>
            </w:r>
          </w:p>
        </w:tc>
        <w:tc>
          <w:tcPr>
            <w:tcW w:w="604" w:type="dxa"/>
          </w:tcPr>
          <w:p>
            <w:pPr>
              <w:pStyle w:val="0"/>
            </w:pPr>
            <w:r>
              <w:rPr>
                <w:sz w:val="20"/>
              </w:rPr>
              <w:t xml:space="preserve">8,9</w:t>
            </w:r>
          </w:p>
        </w:tc>
        <w:tc>
          <w:tcPr>
            <w:tcW w:w="604" w:type="dxa"/>
          </w:tcPr>
          <w:p>
            <w:pPr>
              <w:pStyle w:val="0"/>
            </w:pPr>
            <w:r>
              <w:rPr>
                <w:sz w:val="20"/>
              </w:rPr>
              <w:t xml:space="preserve">12</w:t>
            </w:r>
          </w:p>
        </w:tc>
        <w:tc>
          <w:tcPr>
            <w:tcW w:w="604" w:type="dxa"/>
          </w:tcPr>
          <w:p>
            <w:pPr>
              <w:pStyle w:val="0"/>
            </w:pPr>
            <w:r>
              <w:rPr>
                <w:sz w:val="20"/>
              </w:rPr>
              <w:t xml:space="preserve">9,7</w:t>
            </w:r>
          </w:p>
        </w:tc>
        <w:tc>
          <w:tcPr>
            <w:tcW w:w="604" w:type="dxa"/>
          </w:tcPr>
          <w:p>
            <w:pPr>
              <w:pStyle w:val="0"/>
            </w:pPr>
            <w:r>
              <w:rPr>
                <w:sz w:val="20"/>
              </w:rPr>
              <w:t xml:space="preserve">9,7</w:t>
            </w:r>
          </w:p>
        </w:tc>
        <w:tc>
          <w:tcPr>
            <w:tcW w:w="604" w:type="dxa"/>
          </w:tcPr>
          <w:p>
            <w:pPr>
              <w:pStyle w:val="0"/>
            </w:pPr>
            <w:r>
              <w:rPr>
                <w:sz w:val="20"/>
              </w:rPr>
              <w:t xml:space="preserve">9,7</w:t>
            </w:r>
          </w:p>
        </w:tc>
        <w:tc>
          <w:tcPr>
            <w:tcW w:w="604" w:type="dxa"/>
          </w:tcPr>
          <w:p>
            <w:pPr>
              <w:pStyle w:val="0"/>
            </w:pPr>
            <w:r>
              <w:rPr>
                <w:sz w:val="20"/>
              </w:rPr>
              <w:t xml:space="preserve">8,7</w:t>
            </w:r>
          </w:p>
        </w:tc>
      </w:tr>
      <w:tr>
        <w:tc>
          <w:tcPr>
            <w:tcW w:w="2324" w:type="dxa"/>
          </w:tcPr>
          <w:p>
            <w:pPr>
              <w:pStyle w:val="0"/>
            </w:pPr>
            <w:r>
              <w:rPr>
                <w:sz w:val="20"/>
              </w:rPr>
              <w:t xml:space="preserve">Советский</w:t>
            </w:r>
          </w:p>
        </w:tc>
        <w:tc>
          <w:tcPr>
            <w:tcW w:w="604" w:type="dxa"/>
          </w:tcPr>
          <w:p>
            <w:pPr>
              <w:pStyle w:val="0"/>
            </w:pPr>
            <w:r>
              <w:rPr>
                <w:sz w:val="20"/>
              </w:rPr>
              <w:t xml:space="preserve">61,6</w:t>
            </w:r>
          </w:p>
        </w:tc>
        <w:tc>
          <w:tcPr>
            <w:tcW w:w="604" w:type="dxa"/>
          </w:tcPr>
          <w:p>
            <w:pPr>
              <w:pStyle w:val="0"/>
            </w:pPr>
            <w:r>
              <w:rPr>
                <w:sz w:val="20"/>
              </w:rPr>
              <w:t xml:space="preserve">58,7</w:t>
            </w:r>
          </w:p>
        </w:tc>
        <w:tc>
          <w:tcPr>
            <w:tcW w:w="604" w:type="dxa"/>
          </w:tcPr>
          <w:p>
            <w:pPr>
              <w:pStyle w:val="0"/>
            </w:pPr>
            <w:r>
              <w:rPr>
                <w:sz w:val="20"/>
              </w:rPr>
              <w:t xml:space="preserve">58,5</w:t>
            </w:r>
          </w:p>
        </w:tc>
        <w:tc>
          <w:tcPr>
            <w:tcW w:w="604" w:type="dxa"/>
          </w:tcPr>
          <w:p>
            <w:pPr>
              <w:pStyle w:val="0"/>
            </w:pPr>
            <w:r>
              <w:rPr>
                <w:sz w:val="20"/>
              </w:rPr>
              <w:t xml:space="preserve">56,7</w:t>
            </w:r>
          </w:p>
        </w:tc>
        <w:tc>
          <w:tcPr>
            <w:tcW w:w="604" w:type="dxa"/>
          </w:tcPr>
          <w:p>
            <w:pPr>
              <w:pStyle w:val="0"/>
            </w:pPr>
            <w:r>
              <w:rPr>
                <w:sz w:val="20"/>
              </w:rPr>
              <w:t xml:space="preserve">57,3</w:t>
            </w:r>
          </w:p>
        </w:tc>
        <w:tc>
          <w:tcPr>
            <w:tcW w:w="604" w:type="dxa"/>
          </w:tcPr>
          <w:p>
            <w:pPr>
              <w:pStyle w:val="0"/>
            </w:pPr>
            <w:r>
              <w:rPr>
                <w:sz w:val="20"/>
              </w:rPr>
              <w:t xml:space="preserve">8,1</w:t>
            </w:r>
          </w:p>
        </w:tc>
        <w:tc>
          <w:tcPr>
            <w:tcW w:w="604" w:type="dxa"/>
          </w:tcPr>
          <w:p>
            <w:pPr>
              <w:pStyle w:val="0"/>
            </w:pPr>
            <w:r>
              <w:rPr>
                <w:sz w:val="20"/>
              </w:rPr>
              <w:t xml:space="preserve">7</w:t>
            </w:r>
          </w:p>
        </w:tc>
        <w:tc>
          <w:tcPr>
            <w:tcW w:w="604" w:type="dxa"/>
          </w:tcPr>
          <w:p>
            <w:pPr>
              <w:pStyle w:val="0"/>
            </w:pPr>
            <w:r>
              <w:rPr>
                <w:sz w:val="20"/>
              </w:rPr>
              <w:t xml:space="preserve">6,6</w:t>
            </w:r>
          </w:p>
        </w:tc>
        <w:tc>
          <w:tcPr>
            <w:tcW w:w="604" w:type="dxa"/>
          </w:tcPr>
          <w:p>
            <w:pPr>
              <w:pStyle w:val="0"/>
            </w:pPr>
            <w:r>
              <w:rPr>
                <w:sz w:val="20"/>
              </w:rPr>
              <w:t xml:space="preserve">8,4</w:t>
            </w:r>
          </w:p>
        </w:tc>
        <w:tc>
          <w:tcPr>
            <w:tcW w:w="604" w:type="dxa"/>
          </w:tcPr>
          <w:p>
            <w:pPr>
              <w:pStyle w:val="0"/>
            </w:pPr>
            <w:r>
              <w:rPr>
                <w:sz w:val="20"/>
              </w:rPr>
              <w:t xml:space="preserve">6,6</w:t>
            </w:r>
          </w:p>
        </w:tc>
        <w:tc>
          <w:tcPr>
            <w:tcW w:w="604" w:type="dxa"/>
          </w:tcPr>
          <w:p>
            <w:pPr>
              <w:pStyle w:val="0"/>
            </w:pPr>
            <w:r>
              <w:rPr>
                <w:sz w:val="20"/>
              </w:rPr>
              <w:t xml:space="preserve">6,2</w:t>
            </w:r>
          </w:p>
        </w:tc>
        <w:tc>
          <w:tcPr>
            <w:tcW w:w="604" w:type="dxa"/>
          </w:tcPr>
          <w:p>
            <w:pPr>
              <w:pStyle w:val="0"/>
            </w:pPr>
            <w:r>
              <w:rPr>
                <w:sz w:val="20"/>
              </w:rPr>
              <w:t xml:space="preserve">5,6</w:t>
            </w:r>
          </w:p>
        </w:tc>
        <w:tc>
          <w:tcPr>
            <w:tcW w:w="604" w:type="dxa"/>
          </w:tcPr>
          <w:p>
            <w:pPr>
              <w:pStyle w:val="0"/>
            </w:pPr>
            <w:r>
              <w:rPr>
                <w:sz w:val="20"/>
              </w:rPr>
              <w:t xml:space="preserve">5,6</w:t>
            </w:r>
          </w:p>
        </w:tc>
        <w:tc>
          <w:tcPr>
            <w:tcW w:w="604" w:type="dxa"/>
          </w:tcPr>
          <w:p>
            <w:pPr>
              <w:pStyle w:val="0"/>
            </w:pPr>
            <w:r>
              <w:rPr>
                <w:sz w:val="20"/>
              </w:rPr>
              <w:t xml:space="preserve">5,6</w:t>
            </w:r>
          </w:p>
        </w:tc>
        <w:tc>
          <w:tcPr>
            <w:tcW w:w="604" w:type="dxa"/>
          </w:tcPr>
          <w:p>
            <w:pPr>
              <w:pStyle w:val="0"/>
            </w:pPr>
            <w:r>
              <w:rPr>
                <w:sz w:val="20"/>
              </w:rPr>
              <w:t xml:space="preserve">6,4</w:t>
            </w:r>
          </w:p>
        </w:tc>
      </w:tr>
      <w:tr>
        <w:tc>
          <w:tcPr>
            <w:tcW w:w="2324" w:type="dxa"/>
          </w:tcPr>
          <w:p>
            <w:pPr>
              <w:pStyle w:val="0"/>
            </w:pPr>
            <w:r>
              <w:rPr>
                <w:sz w:val="20"/>
              </w:rPr>
              <w:t xml:space="preserve">Ханты-Мансийский</w:t>
            </w:r>
          </w:p>
        </w:tc>
        <w:tc>
          <w:tcPr>
            <w:tcW w:w="604" w:type="dxa"/>
          </w:tcPr>
          <w:p>
            <w:pPr>
              <w:pStyle w:val="0"/>
            </w:pPr>
            <w:r>
              <w:rPr>
                <w:sz w:val="20"/>
              </w:rPr>
              <w:t xml:space="preserve">46,6</w:t>
            </w:r>
          </w:p>
        </w:tc>
        <w:tc>
          <w:tcPr>
            <w:tcW w:w="604" w:type="dxa"/>
          </w:tcPr>
          <w:p>
            <w:pPr>
              <w:pStyle w:val="0"/>
            </w:pPr>
            <w:r>
              <w:rPr>
                <w:sz w:val="20"/>
              </w:rPr>
              <w:t xml:space="preserve">51,7</w:t>
            </w:r>
          </w:p>
        </w:tc>
        <w:tc>
          <w:tcPr>
            <w:tcW w:w="604" w:type="dxa"/>
          </w:tcPr>
          <w:p>
            <w:pPr>
              <w:pStyle w:val="0"/>
            </w:pPr>
            <w:r>
              <w:rPr>
                <w:sz w:val="20"/>
              </w:rPr>
              <w:t xml:space="preserve">52,9</w:t>
            </w:r>
          </w:p>
        </w:tc>
        <w:tc>
          <w:tcPr>
            <w:tcW w:w="604" w:type="dxa"/>
          </w:tcPr>
          <w:p>
            <w:pPr>
              <w:pStyle w:val="0"/>
            </w:pPr>
            <w:r>
              <w:rPr>
                <w:sz w:val="20"/>
              </w:rPr>
              <w:t xml:space="preserve">56,9</w:t>
            </w:r>
          </w:p>
        </w:tc>
        <w:tc>
          <w:tcPr>
            <w:tcW w:w="604" w:type="dxa"/>
          </w:tcPr>
          <w:p>
            <w:pPr>
              <w:pStyle w:val="0"/>
            </w:pPr>
            <w:r>
              <w:rPr>
                <w:sz w:val="20"/>
              </w:rPr>
              <w:t xml:space="preserve">58,6</w:t>
            </w:r>
          </w:p>
        </w:tc>
        <w:tc>
          <w:tcPr>
            <w:tcW w:w="604" w:type="dxa"/>
          </w:tcPr>
          <w:p>
            <w:pPr>
              <w:pStyle w:val="0"/>
            </w:pPr>
            <w:r>
              <w:rPr>
                <w:sz w:val="20"/>
              </w:rPr>
              <w:t xml:space="preserve">4,3</w:t>
            </w:r>
          </w:p>
        </w:tc>
        <w:tc>
          <w:tcPr>
            <w:tcW w:w="604" w:type="dxa"/>
          </w:tcPr>
          <w:p>
            <w:pPr>
              <w:pStyle w:val="0"/>
            </w:pPr>
            <w:r>
              <w:rPr>
                <w:sz w:val="20"/>
              </w:rPr>
              <w:t xml:space="preserve">7,7</w:t>
            </w:r>
          </w:p>
        </w:tc>
        <w:tc>
          <w:tcPr>
            <w:tcW w:w="604" w:type="dxa"/>
          </w:tcPr>
          <w:p>
            <w:pPr>
              <w:pStyle w:val="0"/>
            </w:pPr>
            <w:r>
              <w:rPr>
                <w:sz w:val="20"/>
              </w:rPr>
              <w:t xml:space="preserve">7,6</w:t>
            </w:r>
          </w:p>
        </w:tc>
        <w:tc>
          <w:tcPr>
            <w:tcW w:w="604" w:type="dxa"/>
          </w:tcPr>
          <w:p>
            <w:pPr>
              <w:pStyle w:val="0"/>
            </w:pPr>
            <w:r>
              <w:rPr>
                <w:sz w:val="20"/>
              </w:rPr>
              <w:t xml:space="preserve">7,2</w:t>
            </w:r>
          </w:p>
        </w:tc>
        <w:tc>
          <w:tcPr>
            <w:tcW w:w="604" w:type="dxa"/>
          </w:tcPr>
          <w:p>
            <w:pPr>
              <w:pStyle w:val="0"/>
            </w:pPr>
            <w:r>
              <w:rPr>
                <w:sz w:val="20"/>
              </w:rPr>
              <w:t xml:space="preserve">7,7</w:t>
            </w:r>
          </w:p>
        </w:tc>
        <w:tc>
          <w:tcPr>
            <w:tcW w:w="604" w:type="dxa"/>
          </w:tcPr>
          <w:p>
            <w:pPr>
              <w:pStyle w:val="0"/>
            </w:pPr>
            <w:r>
              <w:rPr>
                <w:sz w:val="20"/>
              </w:rPr>
              <w:t xml:space="preserve">13,1</w:t>
            </w:r>
          </w:p>
        </w:tc>
        <w:tc>
          <w:tcPr>
            <w:tcW w:w="604" w:type="dxa"/>
          </w:tcPr>
          <w:p>
            <w:pPr>
              <w:pStyle w:val="0"/>
            </w:pPr>
            <w:r>
              <w:rPr>
                <w:sz w:val="20"/>
              </w:rPr>
              <w:t xml:space="preserve">8,8</w:t>
            </w:r>
          </w:p>
        </w:tc>
        <w:tc>
          <w:tcPr>
            <w:tcW w:w="604" w:type="dxa"/>
          </w:tcPr>
          <w:p>
            <w:pPr>
              <w:pStyle w:val="0"/>
            </w:pPr>
            <w:r>
              <w:rPr>
                <w:sz w:val="20"/>
              </w:rPr>
              <w:t xml:space="preserve">8,8</w:t>
            </w:r>
          </w:p>
        </w:tc>
        <w:tc>
          <w:tcPr>
            <w:tcW w:w="604" w:type="dxa"/>
          </w:tcPr>
          <w:p>
            <w:pPr>
              <w:pStyle w:val="0"/>
            </w:pPr>
            <w:r>
              <w:rPr>
                <w:sz w:val="20"/>
              </w:rPr>
              <w:t xml:space="preserve">10,6</w:t>
            </w:r>
          </w:p>
        </w:tc>
        <w:tc>
          <w:tcPr>
            <w:tcW w:w="604" w:type="dxa"/>
          </w:tcPr>
          <w:p>
            <w:pPr>
              <w:pStyle w:val="0"/>
            </w:pPr>
            <w:r>
              <w:rPr>
                <w:sz w:val="20"/>
              </w:rPr>
              <w:t xml:space="preserve">7,2</w:t>
            </w:r>
          </w:p>
        </w:tc>
      </w:tr>
      <w:tr>
        <w:tc>
          <w:tcPr>
            <w:tcW w:w="2324" w:type="dxa"/>
          </w:tcPr>
          <w:p>
            <w:pPr>
              <w:pStyle w:val="0"/>
            </w:pPr>
            <w:r>
              <w:rPr>
                <w:sz w:val="20"/>
              </w:rPr>
              <w:t xml:space="preserve">Всего по центру</w:t>
            </w:r>
          </w:p>
        </w:tc>
        <w:tc>
          <w:tcPr>
            <w:tcW w:w="604" w:type="dxa"/>
          </w:tcPr>
          <w:p>
            <w:pPr>
              <w:pStyle w:val="0"/>
            </w:pPr>
            <w:r>
              <w:rPr>
                <w:sz w:val="20"/>
              </w:rPr>
              <w:t xml:space="preserve">51,9</w:t>
            </w:r>
          </w:p>
        </w:tc>
        <w:tc>
          <w:tcPr>
            <w:tcW w:w="604" w:type="dxa"/>
          </w:tcPr>
          <w:p>
            <w:pPr>
              <w:pStyle w:val="0"/>
            </w:pPr>
            <w:r>
              <w:rPr>
                <w:sz w:val="20"/>
              </w:rPr>
              <w:t xml:space="preserve">52,6</w:t>
            </w:r>
          </w:p>
        </w:tc>
        <w:tc>
          <w:tcPr>
            <w:tcW w:w="604" w:type="dxa"/>
          </w:tcPr>
          <w:p>
            <w:pPr>
              <w:pStyle w:val="0"/>
            </w:pPr>
            <w:r>
              <w:rPr>
                <w:sz w:val="20"/>
              </w:rPr>
              <w:t xml:space="preserve">53,3</w:t>
            </w:r>
          </w:p>
        </w:tc>
        <w:tc>
          <w:tcPr>
            <w:tcW w:w="604" w:type="dxa"/>
          </w:tcPr>
          <w:p>
            <w:pPr>
              <w:pStyle w:val="0"/>
            </w:pPr>
            <w:r>
              <w:rPr>
                <w:sz w:val="20"/>
              </w:rPr>
              <w:t xml:space="preserve">53,6</w:t>
            </w:r>
          </w:p>
        </w:tc>
        <w:tc>
          <w:tcPr>
            <w:tcW w:w="604" w:type="dxa"/>
          </w:tcPr>
          <w:p>
            <w:pPr>
              <w:pStyle w:val="0"/>
            </w:pPr>
            <w:r>
              <w:rPr>
                <w:sz w:val="20"/>
              </w:rPr>
              <w:t xml:space="preserve">53,8</w:t>
            </w:r>
          </w:p>
        </w:tc>
        <w:tc>
          <w:tcPr>
            <w:tcW w:w="604" w:type="dxa"/>
          </w:tcPr>
          <w:p>
            <w:pPr>
              <w:pStyle w:val="0"/>
            </w:pPr>
            <w:r>
              <w:rPr>
                <w:sz w:val="20"/>
              </w:rPr>
              <w:t xml:space="preserve">5,9</w:t>
            </w:r>
          </w:p>
        </w:tc>
        <w:tc>
          <w:tcPr>
            <w:tcW w:w="604" w:type="dxa"/>
          </w:tcPr>
          <w:p>
            <w:pPr>
              <w:pStyle w:val="0"/>
            </w:pPr>
            <w:r>
              <w:rPr>
                <w:sz w:val="20"/>
              </w:rPr>
              <w:t xml:space="preserve">6</w:t>
            </w:r>
          </w:p>
        </w:tc>
        <w:tc>
          <w:tcPr>
            <w:tcW w:w="604" w:type="dxa"/>
          </w:tcPr>
          <w:p>
            <w:pPr>
              <w:pStyle w:val="0"/>
            </w:pPr>
            <w:r>
              <w:rPr>
                <w:sz w:val="20"/>
              </w:rPr>
              <w:t xml:space="preserve">6,9</w:t>
            </w:r>
          </w:p>
        </w:tc>
        <w:tc>
          <w:tcPr>
            <w:tcW w:w="604" w:type="dxa"/>
          </w:tcPr>
          <w:p>
            <w:pPr>
              <w:pStyle w:val="0"/>
            </w:pPr>
            <w:r>
              <w:rPr>
                <w:sz w:val="20"/>
              </w:rPr>
              <w:t xml:space="preserve">8,3</w:t>
            </w:r>
          </w:p>
        </w:tc>
        <w:tc>
          <w:tcPr>
            <w:tcW w:w="604" w:type="dxa"/>
          </w:tcPr>
          <w:p>
            <w:pPr>
              <w:pStyle w:val="0"/>
            </w:pPr>
            <w:r>
              <w:rPr>
                <w:sz w:val="20"/>
              </w:rPr>
              <w:t xml:space="preserve">9,3</w:t>
            </w:r>
          </w:p>
        </w:tc>
        <w:tc>
          <w:tcPr>
            <w:tcW w:w="604" w:type="dxa"/>
          </w:tcPr>
          <w:p>
            <w:pPr>
              <w:pStyle w:val="0"/>
            </w:pPr>
            <w:r>
              <w:rPr>
                <w:sz w:val="20"/>
              </w:rPr>
              <w:t xml:space="preserve">8,2</w:t>
            </w:r>
          </w:p>
        </w:tc>
        <w:tc>
          <w:tcPr>
            <w:tcW w:w="604" w:type="dxa"/>
          </w:tcPr>
          <w:p>
            <w:pPr>
              <w:pStyle w:val="0"/>
            </w:pPr>
            <w:r>
              <w:rPr>
                <w:sz w:val="20"/>
              </w:rPr>
              <w:t xml:space="preserve">6,4</w:t>
            </w:r>
          </w:p>
        </w:tc>
        <w:tc>
          <w:tcPr>
            <w:tcW w:w="604" w:type="dxa"/>
          </w:tcPr>
          <w:p>
            <w:pPr>
              <w:pStyle w:val="0"/>
            </w:pPr>
            <w:r>
              <w:rPr>
                <w:sz w:val="20"/>
              </w:rPr>
              <w:t xml:space="preserve">6,3</w:t>
            </w:r>
          </w:p>
        </w:tc>
        <w:tc>
          <w:tcPr>
            <w:tcW w:w="604" w:type="dxa"/>
          </w:tcPr>
          <w:p>
            <w:pPr>
              <w:pStyle w:val="0"/>
            </w:pPr>
            <w:r>
              <w:rPr>
                <w:sz w:val="20"/>
              </w:rPr>
              <w:t xml:space="preserve">6,5</w:t>
            </w:r>
          </w:p>
        </w:tc>
        <w:tc>
          <w:tcPr>
            <w:tcW w:w="604" w:type="dxa"/>
          </w:tcPr>
          <w:p>
            <w:pPr>
              <w:pStyle w:val="0"/>
            </w:pPr>
            <w:r>
              <w:rPr>
                <w:sz w:val="20"/>
              </w:rPr>
              <w:t xml:space="preserve">6,7</w:t>
            </w:r>
          </w:p>
        </w:tc>
      </w:tr>
      <w:tr>
        <w:tc>
          <w:tcPr>
            <w:gridSpan w:val="16"/>
            <w:tcW w:w="11384" w:type="dxa"/>
          </w:tcPr>
          <w:p>
            <w:pPr>
              <w:pStyle w:val="0"/>
            </w:pPr>
            <w:r>
              <w:rPr>
                <w:sz w:val="20"/>
              </w:rPr>
              <w:t xml:space="preserve">Онкологический центр (г. Сургут)</w:t>
            </w:r>
          </w:p>
        </w:tc>
      </w:tr>
      <w:tr>
        <w:tc>
          <w:tcPr>
            <w:tcW w:w="2324" w:type="dxa"/>
          </w:tcPr>
          <w:p>
            <w:pPr>
              <w:pStyle w:val="0"/>
            </w:pPr>
            <w:r>
              <w:rPr>
                <w:sz w:val="20"/>
              </w:rPr>
              <w:t xml:space="preserve">Сургут</w:t>
            </w:r>
          </w:p>
        </w:tc>
        <w:tc>
          <w:tcPr>
            <w:tcW w:w="604" w:type="dxa"/>
          </w:tcPr>
          <w:p>
            <w:pPr>
              <w:pStyle w:val="0"/>
            </w:pPr>
            <w:r>
              <w:rPr>
                <w:sz w:val="20"/>
              </w:rPr>
              <w:t xml:space="preserve">47,9</w:t>
            </w:r>
          </w:p>
        </w:tc>
        <w:tc>
          <w:tcPr>
            <w:tcW w:w="604" w:type="dxa"/>
          </w:tcPr>
          <w:p>
            <w:pPr>
              <w:pStyle w:val="0"/>
            </w:pPr>
            <w:r>
              <w:rPr>
                <w:sz w:val="20"/>
              </w:rPr>
              <w:t xml:space="preserve">51,1</w:t>
            </w:r>
          </w:p>
        </w:tc>
        <w:tc>
          <w:tcPr>
            <w:tcW w:w="604" w:type="dxa"/>
          </w:tcPr>
          <w:p>
            <w:pPr>
              <w:pStyle w:val="0"/>
            </w:pPr>
            <w:r>
              <w:rPr>
                <w:sz w:val="20"/>
              </w:rPr>
              <w:t xml:space="preserve">51,9</w:t>
            </w:r>
          </w:p>
        </w:tc>
        <w:tc>
          <w:tcPr>
            <w:tcW w:w="604" w:type="dxa"/>
          </w:tcPr>
          <w:p>
            <w:pPr>
              <w:pStyle w:val="0"/>
            </w:pPr>
            <w:r>
              <w:rPr>
                <w:sz w:val="20"/>
              </w:rPr>
              <w:t xml:space="preserve">54,6</w:t>
            </w:r>
          </w:p>
        </w:tc>
        <w:tc>
          <w:tcPr>
            <w:tcW w:w="604" w:type="dxa"/>
          </w:tcPr>
          <w:p>
            <w:pPr>
              <w:pStyle w:val="0"/>
            </w:pPr>
            <w:r>
              <w:rPr>
                <w:sz w:val="20"/>
              </w:rPr>
              <w:t xml:space="preserve">55,3</w:t>
            </w:r>
          </w:p>
        </w:tc>
        <w:tc>
          <w:tcPr>
            <w:tcW w:w="604" w:type="dxa"/>
          </w:tcPr>
          <w:p>
            <w:pPr>
              <w:pStyle w:val="0"/>
            </w:pPr>
            <w:r>
              <w:rPr>
                <w:sz w:val="20"/>
              </w:rPr>
              <w:t xml:space="preserve">7,7</w:t>
            </w:r>
          </w:p>
        </w:tc>
        <w:tc>
          <w:tcPr>
            <w:tcW w:w="604" w:type="dxa"/>
          </w:tcPr>
          <w:p>
            <w:pPr>
              <w:pStyle w:val="0"/>
            </w:pPr>
            <w:r>
              <w:rPr>
                <w:sz w:val="20"/>
              </w:rPr>
              <w:t xml:space="preserve">7,3</w:t>
            </w:r>
          </w:p>
        </w:tc>
        <w:tc>
          <w:tcPr>
            <w:tcW w:w="604" w:type="dxa"/>
          </w:tcPr>
          <w:p>
            <w:pPr>
              <w:pStyle w:val="0"/>
            </w:pPr>
            <w:r>
              <w:rPr>
                <w:sz w:val="20"/>
              </w:rPr>
              <w:t xml:space="preserve">6,7</w:t>
            </w:r>
          </w:p>
        </w:tc>
        <w:tc>
          <w:tcPr>
            <w:tcW w:w="604" w:type="dxa"/>
          </w:tcPr>
          <w:p>
            <w:pPr>
              <w:pStyle w:val="0"/>
            </w:pPr>
            <w:r>
              <w:rPr>
                <w:sz w:val="20"/>
              </w:rPr>
              <w:t xml:space="preserve">7,7</w:t>
            </w:r>
          </w:p>
        </w:tc>
        <w:tc>
          <w:tcPr>
            <w:tcW w:w="604" w:type="dxa"/>
          </w:tcPr>
          <w:p>
            <w:pPr>
              <w:pStyle w:val="0"/>
            </w:pPr>
            <w:r>
              <w:rPr>
                <w:sz w:val="20"/>
              </w:rPr>
              <w:t xml:space="preserve">7,5</w:t>
            </w:r>
          </w:p>
        </w:tc>
        <w:tc>
          <w:tcPr>
            <w:tcW w:w="604" w:type="dxa"/>
          </w:tcPr>
          <w:p>
            <w:pPr>
              <w:pStyle w:val="0"/>
            </w:pPr>
            <w:r>
              <w:rPr>
                <w:sz w:val="20"/>
              </w:rPr>
              <w:t xml:space="preserve">5,5</w:t>
            </w:r>
          </w:p>
        </w:tc>
        <w:tc>
          <w:tcPr>
            <w:tcW w:w="604" w:type="dxa"/>
          </w:tcPr>
          <w:p>
            <w:pPr>
              <w:pStyle w:val="0"/>
            </w:pPr>
            <w:r>
              <w:rPr>
                <w:sz w:val="20"/>
              </w:rPr>
              <w:t xml:space="preserve">5,4</w:t>
            </w:r>
          </w:p>
        </w:tc>
        <w:tc>
          <w:tcPr>
            <w:tcW w:w="604" w:type="dxa"/>
          </w:tcPr>
          <w:p>
            <w:pPr>
              <w:pStyle w:val="0"/>
            </w:pPr>
            <w:r>
              <w:rPr>
                <w:sz w:val="20"/>
              </w:rPr>
              <w:t xml:space="preserve">5,4</w:t>
            </w:r>
          </w:p>
        </w:tc>
        <w:tc>
          <w:tcPr>
            <w:tcW w:w="604" w:type="dxa"/>
          </w:tcPr>
          <w:p>
            <w:pPr>
              <w:pStyle w:val="0"/>
            </w:pPr>
            <w:r>
              <w:rPr>
                <w:sz w:val="20"/>
              </w:rPr>
              <w:t xml:space="preserve">5,5</w:t>
            </w:r>
          </w:p>
        </w:tc>
        <w:tc>
          <w:tcPr>
            <w:tcW w:w="604" w:type="dxa"/>
          </w:tcPr>
          <w:p>
            <w:pPr>
              <w:pStyle w:val="0"/>
            </w:pPr>
            <w:r>
              <w:rPr>
                <w:sz w:val="20"/>
              </w:rPr>
              <w:t xml:space="preserve">5,4</w:t>
            </w:r>
          </w:p>
        </w:tc>
      </w:tr>
      <w:tr>
        <w:tc>
          <w:tcPr>
            <w:tcW w:w="2324" w:type="dxa"/>
          </w:tcPr>
          <w:p>
            <w:pPr>
              <w:pStyle w:val="0"/>
            </w:pPr>
            <w:r>
              <w:rPr>
                <w:sz w:val="20"/>
              </w:rPr>
              <w:t xml:space="preserve">Сургутский</w:t>
            </w:r>
          </w:p>
        </w:tc>
        <w:tc>
          <w:tcPr>
            <w:tcW w:w="604" w:type="dxa"/>
          </w:tcPr>
          <w:p>
            <w:pPr>
              <w:pStyle w:val="0"/>
            </w:pPr>
            <w:r>
              <w:rPr>
                <w:sz w:val="20"/>
              </w:rPr>
              <w:t xml:space="preserve">47</w:t>
            </w:r>
          </w:p>
        </w:tc>
        <w:tc>
          <w:tcPr>
            <w:tcW w:w="604" w:type="dxa"/>
          </w:tcPr>
          <w:p>
            <w:pPr>
              <w:pStyle w:val="0"/>
            </w:pPr>
            <w:r>
              <w:rPr>
                <w:sz w:val="20"/>
              </w:rPr>
              <w:t xml:space="preserve">49,5</w:t>
            </w:r>
          </w:p>
        </w:tc>
        <w:tc>
          <w:tcPr>
            <w:tcW w:w="604" w:type="dxa"/>
          </w:tcPr>
          <w:p>
            <w:pPr>
              <w:pStyle w:val="0"/>
            </w:pPr>
            <w:r>
              <w:rPr>
                <w:sz w:val="20"/>
              </w:rPr>
              <w:t xml:space="preserve">49,8</w:t>
            </w:r>
          </w:p>
        </w:tc>
        <w:tc>
          <w:tcPr>
            <w:tcW w:w="604" w:type="dxa"/>
          </w:tcPr>
          <w:p>
            <w:pPr>
              <w:pStyle w:val="0"/>
            </w:pPr>
            <w:r>
              <w:rPr>
                <w:sz w:val="20"/>
              </w:rPr>
              <w:t xml:space="preserve">54,5</w:t>
            </w:r>
          </w:p>
        </w:tc>
        <w:tc>
          <w:tcPr>
            <w:tcW w:w="604" w:type="dxa"/>
          </w:tcPr>
          <w:p>
            <w:pPr>
              <w:pStyle w:val="0"/>
            </w:pPr>
            <w:r>
              <w:rPr>
                <w:sz w:val="20"/>
              </w:rPr>
              <w:t xml:space="preserve">54,4</w:t>
            </w:r>
          </w:p>
        </w:tc>
        <w:tc>
          <w:tcPr>
            <w:tcW w:w="604" w:type="dxa"/>
          </w:tcPr>
          <w:p>
            <w:pPr>
              <w:pStyle w:val="0"/>
            </w:pPr>
            <w:r>
              <w:rPr>
                <w:sz w:val="20"/>
              </w:rPr>
              <w:t xml:space="preserve">6,5</w:t>
            </w:r>
          </w:p>
        </w:tc>
        <w:tc>
          <w:tcPr>
            <w:tcW w:w="604" w:type="dxa"/>
          </w:tcPr>
          <w:p>
            <w:pPr>
              <w:pStyle w:val="0"/>
            </w:pPr>
            <w:r>
              <w:rPr>
                <w:sz w:val="20"/>
              </w:rPr>
              <w:t xml:space="preserve">6,8</w:t>
            </w:r>
          </w:p>
        </w:tc>
        <w:tc>
          <w:tcPr>
            <w:tcW w:w="604" w:type="dxa"/>
          </w:tcPr>
          <w:p>
            <w:pPr>
              <w:pStyle w:val="0"/>
            </w:pPr>
            <w:r>
              <w:rPr>
                <w:sz w:val="20"/>
              </w:rPr>
              <w:t xml:space="preserve">6,6</w:t>
            </w:r>
          </w:p>
        </w:tc>
        <w:tc>
          <w:tcPr>
            <w:tcW w:w="604" w:type="dxa"/>
          </w:tcPr>
          <w:p>
            <w:pPr>
              <w:pStyle w:val="0"/>
            </w:pPr>
            <w:r>
              <w:rPr>
                <w:sz w:val="20"/>
              </w:rPr>
              <w:t xml:space="preserve">7,4</w:t>
            </w:r>
          </w:p>
        </w:tc>
        <w:tc>
          <w:tcPr>
            <w:tcW w:w="604" w:type="dxa"/>
          </w:tcPr>
          <w:p>
            <w:pPr>
              <w:pStyle w:val="0"/>
            </w:pPr>
            <w:r>
              <w:rPr>
                <w:sz w:val="20"/>
              </w:rPr>
              <w:t xml:space="preserve">7,2</w:t>
            </w:r>
          </w:p>
        </w:tc>
        <w:tc>
          <w:tcPr>
            <w:tcW w:w="604" w:type="dxa"/>
          </w:tcPr>
          <w:p>
            <w:pPr>
              <w:pStyle w:val="0"/>
            </w:pPr>
            <w:r>
              <w:rPr>
                <w:sz w:val="20"/>
              </w:rPr>
              <w:t xml:space="preserve">4,8</w:t>
            </w:r>
          </w:p>
        </w:tc>
        <w:tc>
          <w:tcPr>
            <w:tcW w:w="604" w:type="dxa"/>
          </w:tcPr>
          <w:p>
            <w:pPr>
              <w:pStyle w:val="0"/>
            </w:pPr>
            <w:r>
              <w:rPr>
                <w:sz w:val="20"/>
              </w:rPr>
              <w:t xml:space="preserve">5,8</w:t>
            </w:r>
          </w:p>
        </w:tc>
        <w:tc>
          <w:tcPr>
            <w:tcW w:w="604" w:type="dxa"/>
          </w:tcPr>
          <w:p>
            <w:pPr>
              <w:pStyle w:val="0"/>
            </w:pPr>
            <w:r>
              <w:rPr>
                <w:sz w:val="20"/>
              </w:rPr>
              <w:t xml:space="preserve">5,8</w:t>
            </w:r>
          </w:p>
        </w:tc>
        <w:tc>
          <w:tcPr>
            <w:tcW w:w="604" w:type="dxa"/>
          </w:tcPr>
          <w:p>
            <w:pPr>
              <w:pStyle w:val="0"/>
            </w:pPr>
            <w:r>
              <w:rPr>
                <w:sz w:val="20"/>
              </w:rPr>
              <w:t xml:space="preserve">5,6</w:t>
            </w:r>
          </w:p>
        </w:tc>
        <w:tc>
          <w:tcPr>
            <w:tcW w:w="604" w:type="dxa"/>
          </w:tcPr>
          <w:p>
            <w:pPr>
              <w:pStyle w:val="0"/>
            </w:pPr>
            <w:r>
              <w:rPr>
                <w:sz w:val="20"/>
              </w:rPr>
              <w:t xml:space="preserve">5,4</w:t>
            </w:r>
          </w:p>
        </w:tc>
      </w:tr>
      <w:tr>
        <w:tc>
          <w:tcPr>
            <w:tcW w:w="2324" w:type="dxa"/>
          </w:tcPr>
          <w:p>
            <w:pPr>
              <w:pStyle w:val="0"/>
            </w:pPr>
            <w:r>
              <w:rPr>
                <w:sz w:val="20"/>
              </w:rPr>
              <w:t xml:space="preserve">Нефтеюганск</w:t>
            </w:r>
          </w:p>
        </w:tc>
        <w:tc>
          <w:tcPr>
            <w:tcW w:w="604" w:type="dxa"/>
          </w:tcPr>
          <w:p>
            <w:pPr>
              <w:pStyle w:val="0"/>
            </w:pPr>
            <w:r>
              <w:rPr>
                <w:sz w:val="20"/>
              </w:rPr>
              <w:t xml:space="preserve">51,3</w:t>
            </w:r>
          </w:p>
        </w:tc>
        <w:tc>
          <w:tcPr>
            <w:tcW w:w="604" w:type="dxa"/>
          </w:tcPr>
          <w:p>
            <w:pPr>
              <w:pStyle w:val="0"/>
            </w:pPr>
            <w:r>
              <w:rPr>
                <w:sz w:val="20"/>
              </w:rPr>
              <w:t xml:space="preserve">53,9</w:t>
            </w:r>
          </w:p>
        </w:tc>
        <w:tc>
          <w:tcPr>
            <w:tcW w:w="604" w:type="dxa"/>
          </w:tcPr>
          <w:p>
            <w:pPr>
              <w:pStyle w:val="0"/>
            </w:pPr>
            <w:r>
              <w:rPr>
                <w:sz w:val="20"/>
              </w:rPr>
              <w:t xml:space="preserve">54</w:t>
            </w:r>
          </w:p>
        </w:tc>
        <w:tc>
          <w:tcPr>
            <w:tcW w:w="604" w:type="dxa"/>
          </w:tcPr>
          <w:p>
            <w:pPr>
              <w:pStyle w:val="0"/>
            </w:pPr>
            <w:r>
              <w:rPr>
                <w:sz w:val="20"/>
              </w:rPr>
              <w:t xml:space="preserve">57,6</w:t>
            </w:r>
          </w:p>
        </w:tc>
        <w:tc>
          <w:tcPr>
            <w:tcW w:w="604" w:type="dxa"/>
          </w:tcPr>
          <w:p>
            <w:pPr>
              <w:pStyle w:val="0"/>
            </w:pPr>
            <w:r>
              <w:rPr>
                <w:sz w:val="20"/>
              </w:rPr>
              <w:t xml:space="preserve">58,6</w:t>
            </w:r>
          </w:p>
        </w:tc>
        <w:tc>
          <w:tcPr>
            <w:tcW w:w="604" w:type="dxa"/>
          </w:tcPr>
          <w:p>
            <w:pPr>
              <w:pStyle w:val="0"/>
            </w:pPr>
            <w:r>
              <w:rPr>
                <w:sz w:val="20"/>
              </w:rPr>
              <w:t xml:space="preserve">6,5</w:t>
            </w:r>
          </w:p>
        </w:tc>
        <w:tc>
          <w:tcPr>
            <w:tcW w:w="604" w:type="dxa"/>
          </w:tcPr>
          <w:p>
            <w:pPr>
              <w:pStyle w:val="0"/>
            </w:pPr>
            <w:r>
              <w:rPr>
                <w:sz w:val="20"/>
              </w:rPr>
              <w:t xml:space="preserve">7,2</w:t>
            </w:r>
          </w:p>
        </w:tc>
        <w:tc>
          <w:tcPr>
            <w:tcW w:w="604" w:type="dxa"/>
          </w:tcPr>
          <w:p>
            <w:pPr>
              <w:pStyle w:val="0"/>
            </w:pPr>
            <w:r>
              <w:rPr>
                <w:sz w:val="20"/>
              </w:rPr>
              <w:t xml:space="preserve">7,9</w:t>
            </w:r>
          </w:p>
        </w:tc>
        <w:tc>
          <w:tcPr>
            <w:tcW w:w="604" w:type="dxa"/>
          </w:tcPr>
          <w:p>
            <w:pPr>
              <w:pStyle w:val="0"/>
            </w:pPr>
            <w:r>
              <w:rPr>
                <w:sz w:val="20"/>
              </w:rPr>
              <w:t xml:space="preserve">8,1</w:t>
            </w:r>
          </w:p>
        </w:tc>
        <w:tc>
          <w:tcPr>
            <w:tcW w:w="604" w:type="dxa"/>
          </w:tcPr>
          <w:p>
            <w:pPr>
              <w:pStyle w:val="0"/>
            </w:pPr>
            <w:r>
              <w:rPr>
                <w:sz w:val="20"/>
              </w:rPr>
              <w:t xml:space="preserve">8,4</w:t>
            </w:r>
          </w:p>
        </w:tc>
        <w:tc>
          <w:tcPr>
            <w:tcW w:w="604" w:type="dxa"/>
          </w:tcPr>
          <w:p>
            <w:pPr>
              <w:pStyle w:val="0"/>
            </w:pPr>
            <w:r>
              <w:rPr>
                <w:sz w:val="20"/>
              </w:rPr>
              <w:t xml:space="preserve">7,9</w:t>
            </w:r>
          </w:p>
        </w:tc>
        <w:tc>
          <w:tcPr>
            <w:tcW w:w="604" w:type="dxa"/>
          </w:tcPr>
          <w:p>
            <w:pPr>
              <w:pStyle w:val="0"/>
            </w:pPr>
            <w:r>
              <w:rPr>
                <w:sz w:val="20"/>
              </w:rPr>
              <w:t xml:space="preserve">5,7</w:t>
            </w:r>
          </w:p>
        </w:tc>
        <w:tc>
          <w:tcPr>
            <w:tcW w:w="604" w:type="dxa"/>
          </w:tcPr>
          <w:p>
            <w:pPr>
              <w:pStyle w:val="0"/>
            </w:pPr>
            <w:r>
              <w:rPr>
                <w:sz w:val="20"/>
              </w:rPr>
              <w:t xml:space="preserve">5,7</w:t>
            </w:r>
          </w:p>
        </w:tc>
        <w:tc>
          <w:tcPr>
            <w:tcW w:w="604" w:type="dxa"/>
          </w:tcPr>
          <w:p>
            <w:pPr>
              <w:pStyle w:val="0"/>
            </w:pPr>
            <w:r>
              <w:rPr>
                <w:sz w:val="20"/>
              </w:rPr>
              <w:t xml:space="preserve">5,4</w:t>
            </w:r>
          </w:p>
        </w:tc>
        <w:tc>
          <w:tcPr>
            <w:tcW w:w="604" w:type="dxa"/>
          </w:tcPr>
          <w:p>
            <w:pPr>
              <w:pStyle w:val="0"/>
            </w:pPr>
            <w:r>
              <w:rPr>
                <w:sz w:val="20"/>
              </w:rPr>
              <w:t xml:space="preserve">5,3</w:t>
            </w:r>
          </w:p>
        </w:tc>
      </w:tr>
      <w:tr>
        <w:tc>
          <w:tcPr>
            <w:tcW w:w="2324" w:type="dxa"/>
          </w:tcPr>
          <w:p>
            <w:pPr>
              <w:pStyle w:val="0"/>
            </w:pPr>
            <w:r>
              <w:rPr>
                <w:sz w:val="20"/>
              </w:rPr>
              <w:t xml:space="preserve">Нефтеюганский</w:t>
            </w:r>
          </w:p>
        </w:tc>
        <w:tc>
          <w:tcPr>
            <w:tcW w:w="604" w:type="dxa"/>
          </w:tcPr>
          <w:p>
            <w:pPr>
              <w:pStyle w:val="0"/>
            </w:pPr>
            <w:r>
              <w:rPr>
                <w:sz w:val="20"/>
              </w:rPr>
              <w:t xml:space="preserve">54,3</w:t>
            </w:r>
          </w:p>
        </w:tc>
        <w:tc>
          <w:tcPr>
            <w:tcW w:w="604" w:type="dxa"/>
          </w:tcPr>
          <w:p>
            <w:pPr>
              <w:pStyle w:val="0"/>
            </w:pPr>
            <w:r>
              <w:rPr>
                <w:sz w:val="20"/>
              </w:rPr>
              <w:t xml:space="preserve">55,1</w:t>
            </w:r>
          </w:p>
        </w:tc>
        <w:tc>
          <w:tcPr>
            <w:tcW w:w="604" w:type="dxa"/>
          </w:tcPr>
          <w:p>
            <w:pPr>
              <w:pStyle w:val="0"/>
            </w:pPr>
            <w:r>
              <w:rPr>
                <w:sz w:val="20"/>
              </w:rPr>
              <w:t xml:space="preserve">53,1</w:t>
            </w:r>
          </w:p>
        </w:tc>
        <w:tc>
          <w:tcPr>
            <w:tcW w:w="604" w:type="dxa"/>
          </w:tcPr>
          <w:p>
            <w:pPr>
              <w:pStyle w:val="0"/>
            </w:pPr>
            <w:r>
              <w:rPr>
                <w:sz w:val="20"/>
              </w:rPr>
              <w:t xml:space="preserve">54</w:t>
            </w:r>
          </w:p>
        </w:tc>
        <w:tc>
          <w:tcPr>
            <w:tcW w:w="604" w:type="dxa"/>
          </w:tcPr>
          <w:p>
            <w:pPr>
              <w:pStyle w:val="0"/>
            </w:pPr>
            <w:r>
              <w:rPr>
                <w:sz w:val="20"/>
              </w:rPr>
              <w:t xml:space="preserve">54,2</w:t>
            </w:r>
          </w:p>
        </w:tc>
        <w:tc>
          <w:tcPr>
            <w:tcW w:w="604" w:type="dxa"/>
          </w:tcPr>
          <w:p>
            <w:pPr>
              <w:pStyle w:val="0"/>
            </w:pPr>
            <w:r>
              <w:rPr>
                <w:sz w:val="20"/>
              </w:rPr>
              <w:t xml:space="preserve">6,5</w:t>
            </w:r>
          </w:p>
        </w:tc>
        <w:tc>
          <w:tcPr>
            <w:tcW w:w="604" w:type="dxa"/>
          </w:tcPr>
          <w:p>
            <w:pPr>
              <w:pStyle w:val="0"/>
            </w:pPr>
            <w:r>
              <w:rPr>
                <w:sz w:val="20"/>
              </w:rPr>
              <w:t xml:space="preserve">6,6</w:t>
            </w:r>
          </w:p>
        </w:tc>
        <w:tc>
          <w:tcPr>
            <w:tcW w:w="604" w:type="dxa"/>
          </w:tcPr>
          <w:p>
            <w:pPr>
              <w:pStyle w:val="0"/>
            </w:pPr>
            <w:r>
              <w:rPr>
                <w:sz w:val="20"/>
              </w:rPr>
              <w:t xml:space="preserve">5,7</w:t>
            </w:r>
          </w:p>
        </w:tc>
        <w:tc>
          <w:tcPr>
            <w:tcW w:w="604" w:type="dxa"/>
          </w:tcPr>
          <w:p>
            <w:pPr>
              <w:pStyle w:val="0"/>
            </w:pPr>
            <w:r>
              <w:rPr>
                <w:sz w:val="20"/>
              </w:rPr>
              <w:t xml:space="preserve">6,8</w:t>
            </w:r>
          </w:p>
        </w:tc>
        <w:tc>
          <w:tcPr>
            <w:tcW w:w="604" w:type="dxa"/>
          </w:tcPr>
          <w:p>
            <w:pPr>
              <w:pStyle w:val="0"/>
            </w:pPr>
            <w:r>
              <w:rPr>
                <w:sz w:val="20"/>
              </w:rPr>
              <w:t xml:space="preserve">5,5</w:t>
            </w:r>
          </w:p>
        </w:tc>
        <w:tc>
          <w:tcPr>
            <w:tcW w:w="604" w:type="dxa"/>
          </w:tcPr>
          <w:p>
            <w:pPr>
              <w:pStyle w:val="0"/>
            </w:pPr>
            <w:r>
              <w:rPr>
                <w:sz w:val="20"/>
              </w:rPr>
              <w:t xml:space="preserve">4,4</w:t>
            </w:r>
          </w:p>
        </w:tc>
        <w:tc>
          <w:tcPr>
            <w:tcW w:w="604" w:type="dxa"/>
          </w:tcPr>
          <w:p>
            <w:pPr>
              <w:pStyle w:val="0"/>
            </w:pPr>
            <w:r>
              <w:rPr>
                <w:sz w:val="20"/>
              </w:rPr>
              <w:t xml:space="preserve">7,7</w:t>
            </w:r>
          </w:p>
        </w:tc>
        <w:tc>
          <w:tcPr>
            <w:tcW w:w="604" w:type="dxa"/>
          </w:tcPr>
          <w:p>
            <w:pPr>
              <w:pStyle w:val="0"/>
            </w:pPr>
            <w:r>
              <w:rPr>
                <w:sz w:val="20"/>
              </w:rPr>
              <w:t xml:space="preserve">7,7</w:t>
            </w:r>
          </w:p>
        </w:tc>
        <w:tc>
          <w:tcPr>
            <w:tcW w:w="604" w:type="dxa"/>
          </w:tcPr>
          <w:p>
            <w:pPr>
              <w:pStyle w:val="0"/>
            </w:pPr>
            <w:r>
              <w:rPr>
                <w:sz w:val="20"/>
              </w:rPr>
              <w:t xml:space="preserve">8</w:t>
            </w:r>
          </w:p>
        </w:tc>
        <w:tc>
          <w:tcPr>
            <w:tcW w:w="604" w:type="dxa"/>
          </w:tcPr>
          <w:p>
            <w:pPr>
              <w:pStyle w:val="0"/>
            </w:pPr>
            <w:r>
              <w:rPr>
                <w:sz w:val="20"/>
              </w:rPr>
              <w:t xml:space="preserve">7,3</w:t>
            </w:r>
          </w:p>
        </w:tc>
      </w:tr>
      <w:tr>
        <w:tc>
          <w:tcPr>
            <w:tcW w:w="2324" w:type="dxa"/>
          </w:tcPr>
          <w:p>
            <w:pPr>
              <w:pStyle w:val="0"/>
            </w:pPr>
            <w:r>
              <w:rPr>
                <w:sz w:val="20"/>
              </w:rPr>
              <w:t xml:space="preserve">Пыть-Ях</w:t>
            </w:r>
          </w:p>
        </w:tc>
        <w:tc>
          <w:tcPr>
            <w:tcW w:w="604" w:type="dxa"/>
          </w:tcPr>
          <w:p>
            <w:pPr>
              <w:pStyle w:val="0"/>
            </w:pPr>
            <w:r>
              <w:rPr>
                <w:sz w:val="20"/>
              </w:rPr>
              <w:t xml:space="preserve">53,2</w:t>
            </w:r>
          </w:p>
        </w:tc>
        <w:tc>
          <w:tcPr>
            <w:tcW w:w="604" w:type="dxa"/>
          </w:tcPr>
          <w:p>
            <w:pPr>
              <w:pStyle w:val="0"/>
            </w:pPr>
            <w:r>
              <w:rPr>
                <w:sz w:val="20"/>
              </w:rPr>
              <w:t xml:space="preserve">50,8</w:t>
            </w:r>
          </w:p>
        </w:tc>
        <w:tc>
          <w:tcPr>
            <w:tcW w:w="604" w:type="dxa"/>
          </w:tcPr>
          <w:p>
            <w:pPr>
              <w:pStyle w:val="0"/>
            </w:pPr>
            <w:r>
              <w:rPr>
                <w:sz w:val="20"/>
              </w:rPr>
              <w:t xml:space="preserve">47,5</w:t>
            </w:r>
          </w:p>
        </w:tc>
        <w:tc>
          <w:tcPr>
            <w:tcW w:w="604" w:type="dxa"/>
          </w:tcPr>
          <w:p>
            <w:pPr>
              <w:pStyle w:val="0"/>
            </w:pPr>
            <w:r>
              <w:rPr>
                <w:sz w:val="20"/>
              </w:rPr>
              <w:t xml:space="preserve">51,6</w:t>
            </w:r>
          </w:p>
        </w:tc>
        <w:tc>
          <w:tcPr>
            <w:tcW w:w="604" w:type="dxa"/>
          </w:tcPr>
          <w:p>
            <w:pPr>
              <w:pStyle w:val="0"/>
            </w:pPr>
            <w:r>
              <w:rPr>
                <w:sz w:val="20"/>
              </w:rPr>
              <w:t xml:space="preserve">52,1</w:t>
            </w:r>
          </w:p>
        </w:tc>
        <w:tc>
          <w:tcPr>
            <w:tcW w:w="604" w:type="dxa"/>
          </w:tcPr>
          <w:p>
            <w:pPr>
              <w:pStyle w:val="0"/>
            </w:pPr>
            <w:r>
              <w:rPr>
                <w:sz w:val="20"/>
              </w:rPr>
              <w:t xml:space="preserve">6,2</w:t>
            </w:r>
          </w:p>
        </w:tc>
        <w:tc>
          <w:tcPr>
            <w:tcW w:w="604" w:type="dxa"/>
          </w:tcPr>
          <w:p>
            <w:pPr>
              <w:pStyle w:val="0"/>
            </w:pPr>
            <w:r>
              <w:rPr>
                <w:sz w:val="20"/>
              </w:rPr>
              <w:t xml:space="preserve">5,5</w:t>
            </w:r>
          </w:p>
        </w:tc>
        <w:tc>
          <w:tcPr>
            <w:tcW w:w="604" w:type="dxa"/>
          </w:tcPr>
          <w:p>
            <w:pPr>
              <w:pStyle w:val="0"/>
            </w:pPr>
            <w:r>
              <w:rPr>
                <w:sz w:val="20"/>
              </w:rPr>
              <w:t xml:space="preserve">6,2</w:t>
            </w:r>
          </w:p>
        </w:tc>
        <w:tc>
          <w:tcPr>
            <w:tcW w:w="604" w:type="dxa"/>
          </w:tcPr>
          <w:p>
            <w:pPr>
              <w:pStyle w:val="0"/>
            </w:pPr>
            <w:r>
              <w:rPr>
                <w:sz w:val="20"/>
              </w:rPr>
              <w:t xml:space="preserve">7,7</w:t>
            </w:r>
          </w:p>
        </w:tc>
        <w:tc>
          <w:tcPr>
            <w:tcW w:w="604" w:type="dxa"/>
          </w:tcPr>
          <w:p>
            <w:pPr>
              <w:pStyle w:val="0"/>
            </w:pPr>
            <w:r>
              <w:rPr>
                <w:sz w:val="20"/>
              </w:rPr>
              <w:t xml:space="preserve">9,8</w:t>
            </w:r>
          </w:p>
        </w:tc>
        <w:tc>
          <w:tcPr>
            <w:tcW w:w="604" w:type="dxa"/>
          </w:tcPr>
          <w:p>
            <w:pPr>
              <w:pStyle w:val="0"/>
            </w:pPr>
            <w:r>
              <w:rPr>
                <w:sz w:val="20"/>
              </w:rPr>
              <w:t xml:space="preserve">7,4</w:t>
            </w:r>
          </w:p>
        </w:tc>
        <w:tc>
          <w:tcPr>
            <w:tcW w:w="604" w:type="dxa"/>
          </w:tcPr>
          <w:p>
            <w:pPr>
              <w:pStyle w:val="0"/>
            </w:pPr>
            <w:r>
              <w:rPr>
                <w:sz w:val="20"/>
              </w:rPr>
              <w:t xml:space="preserve">5,3</w:t>
            </w:r>
          </w:p>
        </w:tc>
        <w:tc>
          <w:tcPr>
            <w:tcW w:w="604" w:type="dxa"/>
          </w:tcPr>
          <w:p>
            <w:pPr>
              <w:pStyle w:val="0"/>
            </w:pPr>
            <w:r>
              <w:rPr>
                <w:sz w:val="20"/>
              </w:rPr>
              <w:t xml:space="preserve">5,3</w:t>
            </w:r>
          </w:p>
        </w:tc>
        <w:tc>
          <w:tcPr>
            <w:tcW w:w="604" w:type="dxa"/>
          </w:tcPr>
          <w:p>
            <w:pPr>
              <w:pStyle w:val="0"/>
            </w:pPr>
            <w:r>
              <w:rPr>
                <w:sz w:val="20"/>
              </w:rPr>
              <w:t xml:space="preserve">4,5</w:t>
            </w:r>
          </w:p>
        </w:tc>
        <w:tc>
          <w:tcPr>
            <w:tcW w:w="604" w:type="dxa"/>
          </w:tcPr>
          <w:p>
            <w:pPr>
              <w:pStyle w:val="0"/>
            </w:pPr>
            <w:r>
              <w:rPr>
                <w:sz w:val="20"/>
              </w:rPr>
              <w:t xml:space="preserve">5,3</w:t>
            </w:r>
          </w:p>
        </w:tc>
      </w:tr>
      <w:tr>
        <w:tc>
          <w:tcPr>
            <w:tcW w:w="2324" w:type="dxa"/>
          </w:tcPr>
          <w:p>
            <w:pPr>
              <w:pStyle w:val="0"/>
            </w:pPr>
            <w:r>
              <w:rPr>
                <w:sz w:val="20"/>
              </w:rPr>
              <w:t xml:space="preserve">Когалым</w:t>
            </w:r>
          </w:p>
        </w:tc>
        <w:tc>
          <w:tcPr>
            <w:tcW w:w="604" w:type="dxa"/>
          </w:tcPr>
          <w:p>
            <w:pPr>
              <w:pStyle w:val="0"/>
            </w:pPr>
            <w:r>
              <w:rPr>
                <w:sz w:val="20"/>
              </w:rPr>
              <w:t xml:space="preserve">58</w:t>
            </w:r>
          </w:p>
        </w:tc>
        <w:tc>
          <w:tcPr>
            <w:tcW w:w="604" w:type="dxa"/>
          </w:tcPr>
          <w:p>
            <w:pPr>
              <w:pStyle w:val="0"/>
            </w:pPr>
            <w:r>
              <w:rPr>
                <w:sz w:val="20"/>
              </w:rPr>
              <w:t xml:space="preserve">58,3</w:t>
            </w:r>
          </w:p>
        </w:tc>
        <w:tc>
          <w:tcPr>
            <w:tcW w:w="604" w:type="dxa"/>
          </w:tcPr>
          <w:p>
            <w:pPr>
              <w:pStyle w:val="0"/>
            </w:pPr>
            <w:r>
              <w:rPr>
                <w:sz w:val="20"/>
              </w:rPr>
              <w:t xml:space="preserve">52,2</w:t>
            </w:r>
          </w:p>
        </w:tc>
        <w:tc>
          <w:tcPr>
            <w:tcW w:w="604" w:type="dxa"/>
          </w:tcPr>
          <w:p>
            <w:pPr>
              <w:pStyle w:val="0"/>
            </w:pPr>
            <w:r>
              <w:rPr>
                <w:sz w:val="20"/>
              </w:rPr>
              <w:t xml:space="preserve">46,1</w:t>
            </w:r>
          </w:p>
        </w:tc>
        <w:tc>
          <w:tcPr>
            <w:tcW w:w="604" w:type="dxa"/>
          </w:tcPr>
          <w:p>
            <w:pPr>
              <w:pStyle w:val="0"/>
            </w:pPr>
            <w:r>
              <w:rPr>
                <w:sz w:val="20"/>
              </w:rPr>
              <w:t xml:space="preserve">46,7</w:t>
            </w:r>
          </w:p>
        </w:tc>
        <w:tc>
          <w:tcPr>
            <w:tcW w:w="604" w:type="dxa"/>
          </w:tcPr>
          <w:p>
            <w:pPr>
              <w:pStyle w:val="0"/>
            </w:pPr>
            <w:r>
              <w:rPr>
                <w:sz w:val="20"/>
              </w:rPr>
              <w:t xml:space="preserve">6,9</w:t>
            </w:r>
          </w:p>
        </w:tc>
        <w:tc>
          <w:tcPr>
            <w:tcW w:w="604" w:type="dxa"/>
          </w:tcPr>
          <w:p>
            <w:pPr>
              <w:pStyle w:val="0"/>
            </w:pPr>
            <w:r>
              <w:rPr>
                <w:sz w:val="20"/>
              </w:rPr>
              <w:t xml:space="preserve">7,4</w:t>
            </w:r>
          </w:p>
        </w:tc>
        <w:tc>
          <w:tcPr>
            <w:tcW w:w="604" w:type="dxa"/>
          </w:tcPr>
          <w:p>
            <w:pPr>
              <w:pStyle w:val="0"/>
            </w:pPr>
            <w:r>
              <w:rPr>
                <w:sz w:val="20"/>
              </w:rPr>
              <w:t xml:space="preserve">7,1</w:t>
            </w:r>
          </w:p>
        </w:tc>
        <w:tc>
          <w:tcPr>
            <w:tcW w:w="604" w:type="dxa"/>
          </w:tcPr>
          <w:p>
            <w:pPr>
              <w:pStyle w:val="0"/>
            </w:pPr>
            <w:r>
              <w:rPr>
                <w:sz w:val="20"/>
              </w:rPr>
              <w:t xml:space="preserve">5,4</w:t>
            </w:r>
          </w:p>
        </w:tc>
        <w:tc>
          <w:tcPr>
            <w:tcW w:w="604" w:type="dxa"/>
          </w:tcPr>
          <w:p>
            <w:pPr>
              <w:pStyle w:val="0"/>
            </w:pPr>
            <w:r>
              <w:rPr>
                <w:sz w:val="20"/>
              </w:rPr>
              <w:t xml:space="preserve">6,6</w:t>
            </w:r>
          </w:p>
        </w:tc>
        <w:tc>
          <w:tcPr>
            <w:tcW w:w="604" w:type="dxa"/>
          </w:tcPr>
          <w:p>
            <w:pPr>
              <w:pStyle w:val="0"/>
            </w:pPr>
            <w:r>
              <w:rPr>
                <w:sz w:val="20"/>
              </w:rPr>
              <w:t xml:space="preserve">3,5</w:t>
            </w:r>
          </w:p>
        </w:tc>
        <w:tc>
          <w:tcPr>
            <w:tcW w:w="604" w:type="dxa"/>
          </w:tcPr>
          <w:p>
            <w:pPr>
              <w:pStyle w:val="0"/>
            </w:pPr>
            <w:r>
              <w:rPr>
                <w:sz w:val="20"/>
              </w:rPr>
              <w:t xml:space="preserve">3</w:t>
            </w:r>
          </w:p>
        </w:tc>
        <w:tc>
          <w:tcPr>
            <w:tcW w:w="604" w:type="dxa"/>
          </w:tcPr>
          <w:p>
            <w:pPr>
              <w:pStyle w:val="0"/>
            </w:pPr>
            <w:r>
              <w:rPr>
                <w:sz w:val="20"/>
              </w:rPr>
              <w:t xml:space="preserve">3</w:t>
            </w:r>
          </w:p>
        </w:tc>
        <w:tc>
          <w:tcPr>
            <w:tcW w:w="604" w:type="dxa"/>
          </w:tcPr>
          <w:p>
            <w:pPr>
              <w:pStyle w:val="0"/>
            </w:pPr>
            <w:r>
              <w:rPr>
                <w:sz w:val="20"/>
              </w:rPr>
              <w:t xml:space="preserve">2,9</w:t>
            </w:r>
          </w:p>
        </w:tc>
        <w:tc>
          <w:tcPr>
            <w:tcW w:w="604" w:type="dxa"/>
          </w:tcPr>
          <w:p>
            <w:pPr>
              <w:pStyle w:val="0"/>
            </w:pPr>
            <w:r>
              <w:rPr>
                <w:sz w:val="20"/>
              </w:rPr>
              <w:t xml:space="preserve">2,8</w:t>
            </w:r>
          </w:p>
        </w:tc>
      </w:tr>
      <w:tr>
        <w:tc>
          <w:tcPr>
            <w:tcW w:w="2324" w:type="dxa"/>
          </w:tcPr>
          <w:p>
            <w:pPr>
              <w:pStyle w:val="0"/>
            </w:pPr>
            <w:r>
              <w:rPr>
                <w:sz w:val="20"/>
              </w:rPr>
              <w:t xml:space="preserve">Всего по центру</w:t>
            </w:r>
          </w:p>
        </w:tc>
        <w:tc>
          <w:tcPr>
            <w:tcW w:w="604" w:type="dxa"/>
          </w:tcPr>
          <w:p>
            <w:pPr>
              <w:pStyle w:val="0"/>
            </w:pPr>
            <w:r>
              <w:rPr>
                <w:sz w:val="20"/>
              </w:rPr>
              <w:t xml:space="preserve">49,7</w:t>
            </w:r>
          </w:p>
        </w:tc>
        <w:tc>
          <w:tcPr>
            <w:tcW w:w="604" w:type="dxa"/>
          </w:tcPr>
          <w:p>
            <w:pPr>
              <w:pStyle w:val="0"/>
            </w:pPr>
            <w:r>
              <w:rPr>
                <w:sz w:val="20"/>
              </w:rPr>
              <w:t xml:space="preserve">52</w:t>
            </w:r>
          </w:p>
        </w:tc>
        <w:tc>
          <w:tcPr>
            <w:tcW w:w="604" w:type="dxa"/>
          </w:tcPr>
          <w:p>
            <w:pPr>
              <w:pStyle w:val="0"/>
            </w:pPr>
            <w:r>
              <w:rPr>
                <w:sz w:val="20"/>
              </w:rPr>
              <w:t xml:space="preserve">51,8</w:t>
            </w:r>
          </w:p>
        </w:tc>
        <w:tc>
          <w:tcPr>
            <w:tcW w:w="604" w:type="dxa"/>
          </w:tcPr>
          <w:p>
            <w:pPr>
              <w:pStyle w:val="0"/>
            </w:pPr>
            <w:r>
              <w:rPr>
                <w:sz w:val="20"/>
              </w:rPr>
              <w:t xml:space="preserve">57,7</w:t>
            </w:r>
          </w:p>
        </w:tc>
        <w:tc>
          <w:tcPr>
            <w:tcW w:w="604" w:type="dxa"/>
          </w:tcPr>
          <w:p>
            <w:pPr>
              <w:pStyle w:val="0"/>
            </w:pPr>
            <w:r>
              <w:rPr>
                <w:sz w:val="20"/>
              </w:rPr>
              <w:t xml:space="preserve">56,7</w:t>
            </w:r>
          </w:p>
        </w:tc>
        <w:tc>
          <w:tcPr>
            <w:tcW w:w="604" w:type="dxa"/>
          </w:tcPr>
          <w:p>
            <w:pPr>
              <w:pStyle w:val="0"/>
            </w:pPr>
            <w:r>
              <w:rPr>
                <w:sz w:val="20"/>
              </w:rPr>
              <w:t xml:space="preserve">7,1</w:t>
            </w:r>
          </w:p>
        </w:tc>
        <w:tc>
          <w:tcPr>
            <w:tcW w:w="604" w:type="dxa"/>
          </w:tcPr>
          <w:p>
            <w:pPr>
              <w:pStyle w:val="0"/>
            </w:pPr>
            <w:r>
              <w:rPr>
                <w:sz w:val="20"/>
              </w:rPr>
              <w:t xml:space="preserve">7</w:t>
            </w:r>
          </w:p>
        </w:tc>
        <w:tc>
          <w:tcPr>
            <w:tcW w:w="604" w:type="dxa"/>
          </w:tcPr>
          <w:p>
            <w:pPr>
              <w:pStyle w:val="0"/>
            </w:pPr>
            <w:r>
              <w:rPr>
                <w:sz w:val="20"/>
              </w:rPr>
              <w:t xml:space="preserve">6,8</w:t>
            </w:r>
          </w:p>
        </w:tc>
        <w:tc>
          <w:tcPr>
            <w:tcW w:w="604" w:type="dxa"/>
          </w:tcPr>
          <w:p>
            <w:pPr>
              <w:pStyle w:val="0"/>
            </w:pPr>
            <w:r>
              <w:rPr>
                <w:sz w:val="20"/>
              </w:rPr>
              <w:t xml:space="preserve">7,1</w:t>
            </w:r>
          </w:p>
        </w:tc>
        <w:tc>
          <w:tcPr>
            <w:tcW w:w="604" w:type="dxa"/>
          </w:tcPr>
          <w:p>
            <w:pPr>
              <w:pStyle w:val="0"/>
            </w:pPr>
            <w:r>
              <w:rPr>
                <w:sz w:val="20"/>
              </w:rPr>
              <w:t xml:space="preserve">7</w:t>
            </w:r>
          </w:p>
        </w:tc>
        <w:tc>
          <w:tcPr>
            <w:tcW w:w="604" w:type="dxa"/>
          </w:tcPr>
          <w:p>
            <w:pPr>
              <w:pStyle w:val="0"/>
            </w:pPr>
            <w:r>
              <w:rPr>
                <w:sz w:val="20"/>
              </w:rPr>
              <w:t xml:space="preserve">5,8</w:t>
            </w:r>
          </w:p>
        </w:tc>
        <w:tc>
          <w:tcPr>
            <w:tcW w:w="604" w:type="dxa"/>
          </w:tcPr>
          <w:p>
            <w:pPr>
              <w:pStyle w:val="0"/>
            </w:pPr>
            <w:r>
              <w:rPr>
                <w:sz w:val="20"/>
              </w:rPr>
              <w:t xml:space="preserve">5,5</w:t>
            </w:r>
          </w:p>
        </w:tc>
        <w:tc>
          <w:tcPr>
            <w:tcW w:w="604" w:type="dxa"/>
          </w:tcPr>
          <w:p>
            <w:pPr>
              <w:pStyle w:val="0"/>
            </w:pPr>
            <w:r>
              <w:rPr>
                <w:sz w:val="20"/>
              </w:rPr>
              <w:t xml:space="preserve">5,2</w:t>
            </w:r>
          </w:p>
        </w:tc>
        <w:tc>
          <w:tcPr>
            <w:tcW w:w="604" w:type="dxa"/>
          </w:tcPr>
          <w:p>
            <w:pPr>
              <w:pStyle w:val="0"/>
            </w:pPr>
            <w:r>
              <w:rPr>
                <w:sz w:val="20"/>
              </w:rPr>
              <w:t xml:space="preserve">5,7</w:t>
            </w:r>
          </w:p>
        </w:tc>
        <w:tc>
          <w:tcPr>
            <w:tcW w:w="604" w:type="dxa"/>
          </w:tcPr>
          <w:p>
            <w:pPr>
              <w:pStyle w:val="0"/>
            </w:pPr>
            <w:r>
              <w:rPr>
                <w:sz w:val="20"/>
              </w:rPr>
              <w:t xml:space="preserve">5,6</w:t>
            </w:r>
          </w:p>
        </w:tc>
      </w:tr>
      <w:tr>
        <w:tc>
          <w:tcPr>
            <w:gridSpan w:val="16"/>
            <w:tcW w:w="11384" w:type="dxa"/>
          </w:tcPr>
          <w:p>
            <w:pPr>
              <w:pStyle w:val="0"/>
            </w:pPr>
            <w:r>
              <w:rPr>
                <w:sz w:val="20"/>
              </w:rPr>
              <w:t xml:space="preserve">Нижневартовский онкологический диспансер</w:t>
            </w:r>
          </w:p>
        </w:tc>
      </w:tr>
      <w:tr>
        <w:tc>
          <w:tcPr>
            <w:tcW w:w="2324" w:type="dxa"/>
          </w:tcPr>
          <w:p>
            <w:pPr>
              <w:pStyle w:val="0"/>
            </w:pPr>
            <w:r>
              <w:rPr>
                <w:sz w:val="20"/>
              </w:rPr>
              <w:t xml:space="preserve">Нижневартовск</w:t>
            </w:r>
          </w:p>
        </w:tc>
        <w:tc>
          <w:tcPr>
            <w:tcW w:w="604" w:type="dxa"/>
          </w:tcPr>
          <w:p>
            <w:pPr>
              <w:pStyle w:val="0"/>
            </w:pPr>
            <w:r>
              <w:rPr>
                <w:sz w:val="20"/>
              </w:rPr>
              <w:t xml:space="preserve">52,6</w:t>
            </w:r>
          </w:p>
        </w:tc>
        <w:tc>
          <w:tcPr>
            <w:tcW w:w="604" w:type="dxa"/>
          </w:tcPr>
          <w:p>
            <w:pPr>
              <w:pStyle w:val="0"/>
            </w:pPr>
            <w:r>
              <w:rPr>
                <w:sz w:val="20"/>
              </w:rPr>
              <w:t xml:space="preserve">53,3</w:t>
            </w:r>
          </w:p>
        </w:tc>
        <w:tc>
          <w:tcPr>
            <w:tcW w:w="604" w:type="dxa"/>
          </w:tcPr>
          <w:p>
            <w:pPr>
              <w:pStyle w:val="0"/>
            </w:pPr>
            <w:r>
              <w:rPr>
                <w:sz w:val="20"/>
              </w:rPr>
              <w:t xml:space="preserve">52,9</w:t>
            </w:r>
          </w:p>
        </w:tc>
        <w:tc>
          <w:tcPr>
            <w:tcW w:w="604" w:type="dxa"/>
          </w:tcPr>
          <w:p>
            <w:pPr>
              <w:pStyle w:val="0"/>
            </w:pPr>
            <w:r>
              <w:rPr>
                <w:sz w:val="20"/>
              </w:rPr>
              <w:t xml:space="preserve">55,7</w:t>
            </w:r>
          </w:p>
        </w:tc>
        <w:tc>
          <w:tcPr>
            <w:tcW w:w="604" w:type="dxa"/>
          </w:tcPr>
          <w:p>
            <w:pPr>
              <w:pStyle w:val="0"/>
            </w:pPr>
            <w:r>
              <w:rPr>
                <w:sz w:val="20"/>
              </w:rPr>
              <w:t xml:space="preserve">53,1</w:t>
            </w:r>
          </w:p>
        </w:tc>
        <w:tc>
          <w:tcPr>
            <w:tcW w:w="604" w:type="dxa"/>
          </w:tcPr>
          <w:p>
            <w:pPr>
              <w:pStyle w:val="0"/>
            </w:pPr>
            <w:r>
              <w:rPr>
                <w:sz w:val="20"/>
              </w:rPr>
              <w:t xml:space="preserve">5,8</w:t>
            </w:r>
          </w:p>
        </w:tc>
        <w:tc>
          <w:tcPr>
            <w:tcW w:w="604" w:type="dxa"/>
          </w:tcPr>
          <w:p>
            <w:pPr>
              <w:pStyle w:val="0"/>
            </w:pPr>
            <w:r>
              <w:rPr>
                <w:sz w:val="20"/>
              </w:rPr>
              <w:t xml:space="preserve">7</w:t>
            </w:r>
          </w:p>
        </w:tc>
        <w:tc>
          <w:tcPr>
            <w:tcW w:w="604" w:type="dxa"/>
          </w:tcPr>
          <w:p>
            <w:pPr>
              <w:pStyle w:val="0"/>
            </w:pPr>
            <w:r>
              <w:rPr>
                <w:sz w:val="20"/>
              </w:rPr>
              <w:t xml:space="preserve">6,3</w:t>
            </w:r>
          </w:p>
        </w:tc>
        <w:tc>
          <w:tcPr>
            <w:tcW w:w="604" w:type="dxa"/>
          </w:tcPr>
          <w:p>
            <w:pPr>
              <w:pStyle w:val="0"/>
            </w:pPr>
            <w:r>
              <w:rPr>
                <w:sz w:val="20"/>
              </w:rPr>
              <w:t xml:space="preserve">6,9</w:t>
            </w:r>
          </w:p>
        </w:tc>
        <w:tc>
          <w:tcPr>
            <w:tcW w:w="604" w:type="dxa"/>
          </w:tcPr>
          <w:p>
            <w:pPr>
              <w:pStyle w:val="0"/>
            </w:pPr>
            <w:r>
              <w:rPr>
                <w:sz w:val="20"/>
              </w:rPr>
              <w:t xml:space="preserve">7</w:t>
            </w:r>
          </w:p>
        </w:tc>
        <w:tc>
          <w:tcPr>
            <w:tcW w:w="604" w:type="dxa"/>
          </w:tcPr>
          <w:p>
            <w:pPr>
              <w:pStyle w:val="0"/>
            </w:pPr>
            <w:r>
              <w:rPr>
                <w:sz w:val="20"/>
              </w:rPr>
              <w:t xml:space="preserve">6,2</w:t>
            </w:r>
          </w:p>
        </w:tc>
        <w:tc>
          <w:tcPr>
            <w:tcW w:w="604" w:type="dxa"/>
          </w:tcPr>
          <w:p>
            <w:pPr>
              <w:pStyle w:val="0"/>
            </w:pPr>
            <w:r>
              <w:rPr>
                <w:sz w:val="20"/>
              </w:rPr>
              <w:t xml:space="preserve">5,7</w:t>
            </w:r>
          </w:p>
        </w:tc>
        <w:tc>
          <w:tcPr>
            <w:tcW w:w="604" w:type="dxa"/>
          </w:tcPr>
          <w:p>
            <w:pPr>
              <w:pStyle w:val="0"/>
            </w:pPr>
            <w:r>
              <w:rPr>
                <w:sz w:val="20"/>
              </w:rPr>
              <w:t xml:space="preserve">5,7</w:t>
            </w:r>
          </w:p>
        </w:tc>
        <w:tc>
          <w:tcPr>
            <w:tcW w:w="604" w:type="dxa"/>
          </w:tcPr>
          <w:p>
            <w:pPr>
              <w:pStyle w:val="0"/>
            </w:pPr>
            <w:r>
              <w:rPr>
                <w:sz w:val="20"/>
              </w:rPr>
              <w:t xml:space="preserve">5,2</w:t>
            </w:r>
          </w:p>
        </w:tc>
        <w:tc>
          <w:tcPr>
            <w:tcW w:w="604" w:type="dxa"/>
          </w:tcPr>
          <w:p>
            <w:pPr>
              <w:pStyle w:val="0"/>
            </w:pPr>
            <w:r>
              <w:rPr>
                <w:sz w:val="20"/>
              </w:rPr>
              <w:t xml:space="preserve">5,3</w:t>
            </w:r>
          </w:p>
        </w:tc>
      </w:tr>
      <w:tr>
        <w:tc>
          <w:tcPr>
            <w:tcW w:w="2324" w:type="dxa"/>
          </w:tcPr>
          <w:p>
            <w:pPr>
              <w:pStyle w:val="0"/>
            </w:pPr>
            <w:r>
              <w:rPr>
                <w:sz w:val="20"/>
              </w:rPr>
              <w:t xml:space="preserve">Нижневартовский</w:t>
            </w:r>
          </w:p>
        </w:tc>
        <w:tc>
          <w:tcPr>
            <w:tcW w:w="604" w:type="dxa"/>
          </w:tcPr>
          <w:p>
            <w:pPr>
              <w:pStyle w:val="0"/>
            </w:pPr>
            <w:r>
              <w:rPr>
                <w:sz w:val="20"/>
              </w:rPr>
              <w:t xml:space="preserve">60,6</w:t>
            </w:r>
          </w:p>
        </w:tc>
        <w:tc>
          <w:tcPr>
            <w:tcW w:w="604" w:type="dxa"/>
          </w:tcPr>
          <w:p>
            <w:pPr>
              <w:pStyle w:val="0"/>
            </w:pPr>
            <w:r>
              <w:rPr>
                <w:sz w:val="20"/>
              </w:rPr>
              <w:t xml:space="preserve">58,2</w:t>
            </w:r>
          </w:p>
        </w:tc>
        <w:tc>
          <w:tcPr>
            <w:tcW w:w="604" w:type="dxa"/>
          </w:tcPr>
          <w:p>
            <w:pPr>
              <w:pStyle w:val="0"/>
            </w:pPr>
            <w:r>
              <w:rPr>
                <w:sz w:val="20"/>
              </w:rPr>
              <w:t xml:space="preserve">59,9</w:t>
            </w:r>
          </w:p>
        </w:tc>
        <w:tc>
          <w:tcPr>
            <w:tcW w:w="604" w:type="dxa"/>
          </w:tcPr>
          <w:p>
            <w:pPr>
              <w:pStyle w:val="0"/>
            </w:pPr>
            <w:r>
              <w:rPr>
                <w:sz w:val="20"/>
              </w:rPr>
              <w:t xml:space="preserve">53,6</w:t>
            </w:r>
          </w:p>
        </w:tc>
        <w:tc>
          <w:tcPr>
            <w:tcW w:w="604" w:type="dxa"/>
          </w:tcPr>
          <w:p>
            <w:pPr>
              <w:pStyle w:val="0"/>
            </w:pPr>
            <w:r>
              <w:rPr>
                <w:sz w:val="20"/>
              </w:rPr>
              <w:t xml:space="preserve">53,7</w:t>
            </w:r>
          </w:p>
        </w:tc>
        <w:tc>
          <w:tcPr>
            <w:tcW w:w="604" w:type="dxa"/>
          </w:tcPr>
          <w:p>
            <w:pPr>
              <w:pStyle w:val="0"/>
            </w:pPr>
            <w:r>
              <w:rPr>
                <w:sz w:val="20"/>
              </w:rPr>
              <w:t xml:space="preserve">8,4</w:t>
            </w:r>
          </w:p>
        </w:tc>
        <w:tc>
          <w:tcPr>
            <w:tcW w:w="604" w:type="dxa"/>
          </w:tcPr>
          <w:p>
            <w:pPr>
              <w:pStyle w:val="0"/>
            </w:pPr>
            <w:r>
              <w:rPr>
                <w:sz w:val="20"/>
              </w:rPr>
              <w:t xml:space="preserve">9,3</w:t>
            </w:r>
          </w:p>
        </w:tc>
        <w:tc>
          <w:tcPr>
            <w:tcW w:w="604" w:type="dxa"/>
          </w:tcPr>
          <w:p>
            <w:pPr>
              <w:pStyle w:val="0"/>
            </w:pPr>
            <w:r>
              <w:rPr>
                <w:sz w:val="20"/>
              </w:rPr>
              <w:t xml:space="preserve">8</w:t>
            </w:r>
          </w:p>
        </w:tc>
        <w:tc>
          <w:tcPr>
            <w:tcW w:w="604" w:type="dxa"/>
          </w:tcPr>
          <w:p>
            <w:pPr>
              <w:pStyle w:val="0"/>
            </w:pPr>
            <w:r>
              <w:rPr>
                <w:sz w:val="20"/>
              </w:rPr>
              <w:t xml:space="preserve">5,5</w:t>
            </w:r>
          </w:p>
        </w:tc>
        <w:tc>
          <w:tcPr>
            <w:tcW w:w="604" w:type="dxa"/>
          </w:tcPr>
          <w:p>
            <w:pPr>
              <w:pStyle w:val="0"/>
            </w:pPr>
            <w:r>
              <w:rPr>
                <w:sz w:val="20"/>
              </w:rPr>
              <w:t xml:space="preserve">6,1</w:t>
            </w:r>
          </w:p>
        </w:tc>
        <w:tc>
          <w:tcPr>
            <w:tcW w:w="604" w:type="dxa"/>
          </w:tcPr>
          <w:p>
            <w:pPr>
              <w:pStyle w:val="0"/>
            </w:pPr>
            <w:r>
              <w:rPr>
                <w:sz w:val="20"/>
              </w:rPr>
              <w:t xml:space="preserve">6,4</w:t>
            </w:r>
          </w:p>
        </w:tc>
        <w:tc>
          <w:tcPr>
            <w:tcW w:w="604" w:type="dxa"/>
          </w:tcPr>
          <w:p>
            <w:pPr>
              <w:pStyle w:val="0"/>
            </w:pPr>
            <w:r>
              <w:rPr>
                <w:sz w:val="20"/>
              </w:rPr>
              <w:t xml:space="preserve">4,4</w:t>
            </w:r>
          </w:p>
        </w:tc>
        <w:tc>
          <w:tcPr>
            <w:tcW w:w="604" w:type="dxa"/>
          </w:tcPr>
          <w:p>
            <w:pPr>
              <w:pStyle w:val="0"/>
            </w:pPr>
            <w:r>
              <w:rPr>
                <w:sz w:val="20"/>
              </w:rPr>
              <w:t xml:space="preserve">4,4</w:t>
            </w:r>
          </w:p>
        </w:tc>
        <w:tc>
          <w:tcPr>
            <w:tcW w:w="604" w:type="dxa"/>
          </w:tcPr>
          <w:p>
            <w:pPr>
              <w:pStyle w:val="0"/>
            </w:pPr>
            <w:r>
              <w:rPr>
                <w:sz w:val="20"/>
              </w:rPr>
              <w:t xml:space="preserve">9,9</w:t>
            </w:r>
          </w:p>
        </w:tc>
        <w:tc>
          <w:tcPr>
            <w:tcW w:w="604" w:type="dxa"/>
          </w:tcPr>
          <w:p>
            <w:pPr>
              <w:pStyle w:val="0"/>
            </w:pPr>
            <w:r>
              <w:rPr>
                <w:sz w:val="20"/>
              </w:rPr>
              <w:t xml:space="preserve">4,2</w:t>
            </w:r>
          </w:p>
        </w:tc>
      </w:tr>
      <w:tr>
        <w:tc>
          <w:tcPr>
            <w:tcW w:w="2324" w:type="dxa"/>
          </w:tcPr>
          <w:p>
            <w:pPr>
              <w:pStyle w:val="0"/>
            </w:pPr>
            <w:r>
              <w:rPr>
                <w:sz w:val="20"/>
              </w:rPr>
              <w:t xml:space="preserve">Мегион</w:t>
            </w:r>
          </w:p>
        </w:tc>
        <w:tc>
          <w:tcPr>
            <w:tcW w:w="604" w:type="dxa"/>
          </w:tcPr>
          <w:p>
            <w:pPr>
              <w:pStyle w:val="0"/>
            </w:pPr>
            <w:r>
              <w:rPr>
                <w:sz w:val="20"/>
              </w:rPr>
              <w:t xml:space="preserve">63,7</w:t>
            </w:r>
          </w:p>
        </w:tc>
        <w:tc>
          <w:tcPr>
            <w:tcW w:w="604" w:type="dxa"/>
          </w:tcPr>
          <w:p>
            <w:pPr>
              <w:pStyle w:val="0"/>
            </w:pPr>
            <w:r>
              <w:rPr>
                <w:sz w:val="20"/>
              </w:rPr>
              <w:t xml:space="preserve">61,3</w:t>
            </w:r>
          </w:p>
        </w:tc>
        <w:tc>
          <w:tcPr>
            <w:tcW w:w="604" w:type="dxa"/>
          </w:tcPr>
          <w:p>
            <w:pPr>
              <w:pStyle w:val="0"/>
            </w:pPr>
            <w:r>
              <w:rPr>
                <w:sz w:val="20"/>
              </w:rPr>
              <w:t xml:space="preserve">56,9</w:t>
            </w:r>
          </w:p>
        </w:tc>
        <w:tc>
          <w:tcPr>
            <w:tcW w:w="604" w:type="dxa"/>
          </w:tcPr>
          <w:p>
            <w:pPr>
              <w:pStyle w:val="0"/>
            </w:pPr>
            <w:r>
              <w:rPr>
                <w:sz w:val="20"/>
              </w:rPr>
              <w:t xml:space="preserve">55,1</w:t>
            </w:r>
          </w:p>
        </w:tc>
        <w:tc>
          <w:tcPr>
            <w:tcW w:w="604" w:type="dxa"/>
          </w:tcPr>
          <w:p>
            <w:pPr>
              <w:pStyle w:val="0"/>
            </w:pPr>
            <w:r>
              <w:rPr>
                <w:sz w:val="20"/>
              </w:rPr>
              <w:t xml:space="preserve">54,7</w:t>
            </w:r>
          </w:p>
        </w:tc>
        <w:tc>
          <w:tcPr>
            <w:tcW w:w="604" w:type="dxa"/>
          </w:tcPr>
          <w:p>
            <w:pPr>
              <w:pStyle w:val="0"/>
            </w:pPr>
            <w:r>
              <w:rPr>
                <w:sz w:val="20"/>
              </w:rPr>
              <w:t xml:space="preserve">7,5</w:t>
            </w:r>
          </w:p>
        </w:tc>
        <w:tc>
          <w:tcPr>
            <w:tcW w:w="604" w:type="dxa"/>
          </w:tcPr>
          <w:p>
            <w:pPr>
              <w:pStyle w:val="0"/>
            </w:pPr>
            <w:r>
              <w:rPr>
                <w:sz w:val="20"/>
              </w:rPr>
              <w:t xml:space="preserve">6,5</w:t>
            </w:r>
          </w:p>
        </w:tc>
        <w:tc>
          <w:tcPr>
            <w:tcW w:w="604" w:type="dxa"/>
          </w:tcPr>
          <w:p>
            <w:pPr>
              <w:pStyle w:val="0"/>
            </w:pPr>
            <w:r>
              <w:rPr>
                <w:sz w:val="20"/>
              </w:rPr>
              <w:t xml:space="preserve">8,6</w:t>
            </w:r>
          </w:p>
        </w:tc>
        <w:tc>
          <w:tcPr>
            <w:tcW w:w="604" w:type="dxa"/>
          </w:tcPr>
          <w:p>
            <w:pPr>
              <w:pStyle w:val="0"/>
            </w:pPr>
            <w:r>
              <w:rPr>
                <w:sz w:val="20"/>
              </w:rPr>
              <w:t xml:space="preserve">6,5</w:t>
            </w:r>
          </w:p>
        </w:tc>
        <w:tc>
          <w:tcPr>
            <w:tcW w:w="604" w:type="dxa"/>
          </w:tcPr>
          <w:p>
            <w:pPr>
              <w:pStyle w:val="0"/>
            </w:pPr>
            <w:r>
              <w:rPr>
                <w:sz w:val="20"/>
              </w:rPr>
              <w:t xml:space="preserve">6,3</w:t>
            </w:r>
          </w:p>
        </w:tc>
        <w:tc>
          <w:tcPr>
            <w:tcW w:w="604" w:type="dxa"/>
          </w:tcPr>
          <w:p>
            <w:pPr>
              <w:pStyle w:val="0"/>
            </w:pPr>
            <w:r>
              <w:rPr>
                <w:sz w:val="20"/>
              </w:rPr>
              <w:t xml:space="preserve">5,9</w:t>
            </w:r>
          </w:p>
        </w:tc>
        <w:tc>
          <w:tcPr>
            <w:tcW w:w="604" w:type="dxa"/>
          </w:tcPr>
          <w:p>
            <w:pPr>
              <w:pStyle w:val="0"/>
            </w:pPr>
            <w:r>
              <w:rPr>
                <w:sz w:val="20"/>
              </w:rPr>
              <w:t xml:space="preserve">5,7</w:t>
            </w:r>
          </w:p>
        </w:tc>
        <w:tc>
          <w:tcPr>
            <w:tcW w:w="604" w:type="dxa"/>
          </w:tcPr>
          <w:p>
            <w:pPr>
              <w:pStyle w:val="0"/>
            </w:pPr>
            <w:r>
              <w:rPr>
                <w:sz w:val="20"/>
              </w:rPr>
              <w:t xml:space="preserve">5,7</w:t>
            </w:r>
          </w:p>
        </w:tc>
        <w:tc>
          <w:tcPr>
            <w:tcW w:w="604" w:type="dxa"/>
          </w:tcPr>
          <w:p>
            <w:pPr>
              <w:pStyle w:val="0"/>
            </w:pPr>
            <w:r>
              <w:rPr>
                <w:sz w:val="20"/>
              </w:rPr>
              <w:t xml:space="preserve">5,3</w:t>
            </w:r>
          </w:p>
        </w:tc>
        <w:tc>
          <w:tcPr>
            <w:tcW w:w="604" w:type="dxa"/>
          </w:tcPr>
          <w:p>
            <w:pPr>
              <w:pStyle w:val="0"/>
            </w:pPr>
            <w:r>
              <w:rPr>
                <w:sz w:val="20"/>
              </w:rPr>
              <w:t xml:space="preserve">6</w:t>
            </w:r>
          </w:p>
        </w:tc>
      </w:tr>
      <w:tr>
        <w:tc>
          <w:tcPr>
            <w:tcW w:w="2324" w:type="dxa"/>
          </w:tcPr>
          <w:p>
            <w:pPr>
              <w:pStyle w:val="0"/>
            </w:pPr>
            <w:r>
              <w:rPr>
                <w:sz w:val="20"/>
              </w:rPr>
              <w:t xml:space="preserve">Радужный</w:t>
            </w:r>
          </w:p>
        </w:tc>
        <w:tc>
          <w:tcPr>
            <w:tcW w:w="604" w:type="dxa"/>
          </w:tcPr>
          <w:p>
            <w:pPr>
              <w:pStyle w:val="0"/>
            </w:pPr>
            <w:r>
              <w:rPr>
                <w:sz w:val="20"/>
              </w:rPr>
              <w:t xml:space="preserve">61,6</w:t>
            </w:r>
          </w:p>
        </w:tc>
        <w:tc>
          <w:tcPr>
            <w:tcW w:w="604" w:type="dxa"/>
          </w:tcPr>
          <w:p>
            <w:pPr>
              <w:pStyle w:val="0"/>
            </w:pPr>
            <w:r>
              <w:rPr>
                <w:sz w:val="20"/>
              </w:rPr>
              <w:t xml:space="preserve">62,7</w:t>
            </w:r>
          </w:p>
        </w:tc>
        <w:tc>
          <w:tcPr>
            <w:tcW w:w="604" w:type="dxa"/>
          </w:tcPr>
          <w:p>
            <w:pPr>
              <w:pStyle w:val="0"/>
            </w:pPr>
            <w:r>
              <w:rPr>
                <w:sz w:val="20"/>
              </w:rPr>
              <w:t xml:space="preserve">52,8</w:t>
            </w:r>
          </w:p>
        </w:tc>
        <w:tc>
          <w:tcPr>
            <w:tcW w:w="604" w:type="dxa"/>
          </w:tcPr>
          <w:p>
            <w:pPr>
              <w:pStyle w:val="0"/>
            </w:pPr>
            <w:r>
              <w:rPr>
                <w:sz w:val="20"/>
              </w:rPr>
              <w:t xml:space="preserve">53,9</w:t>
            </w:r>
          </w:p>
        </w:tc>
        <w:tc>
          <w:tcPr>
            <w:tcW w:w="604" w:type="dxa"/>
          </w:tcPr>
          <w:p>
            <w:pPr>
              <w:pStyle w:val="0"/>
            </w:pPr>
            <w:r>
              <w:rPr>
                <w:sz w:val="20"/>
              </w:rPr>
              <w:t xml:space="preserve">54,7</w:t>
            </w:r>
          </w:p>
        </w:tc>
        <w:tc>
          <w:tcPr>
            <w:tcW w:w="604" w:type="dxa"/>
          </w:tcPr>
          <w:p>
            <w:pPr>
              <w:pStyle w:val="0"/>
            </w:pPr>
            <w:r>
              <w:rPr>
                <w:sz w:val="20"/>
              </w:rPr>
              <w:t xml:space="preserve">6,1</w:t>
            </w:r>
          </w:p>
        </w:tc>
        <w:tc>
          <w:tcPr>
            <w:tcW w:w="604" w:type="dxa"/>
          </w:tcPr>
          <w:p>
            <w:pPr>
              <w:pStyle w:val="0"/>
            </w:pPr>
            <w:r>
              <w:rPr>
                <w:sz w:val="20"/>
              </w:rPr>
              <w:t xml:space="preserve">8,5</w:t>
            </w:r>
          </w:p>
        </w:tc>
        <w:tc>
          <w:tcPr>
            <w:tcW w:w="604" w:type="dxa"/>
          </w:tcPr>
          <w:p>
            <w:pPr>
              <w:pStyle w:val="0"/>
            </w:pPr>
            <w:r>
              <w:rPr>
                <w:sz w:val="20"/>
              </w:rPr>
              <w:t xml:space="preserve">6,5</w:t>
            </w:r>
          </w:p>
        </w:tc>
        <w:tc>
          <w:tcPr>
            <w:tcW w:w="604" w:type="dxa"/>
          </w:tcPr>
          <w:p>
            <w:pPr>
              <w:pStyle w:val="0"/>
            </w:pPr>
            <w:r>
              <w:rPr>
                <w:sz w:val="20"/>
              </w:rPr>
              <w:t xml:space="preserve">6,6</w:t>
            </w:r>
          </w:p>
        </w:tc>
        <w:tc>
          <w:tcPr>
            <w:tcW w:w="604" w:type="dxa"/>
          </w:tcPr>
          <w:p>
            <w:pPr>
              <w:pStyle w:val="0"/>
            </w:pPr>
            <w:r>
              <w:rPr>
                <w:sz w:val="20"/>
              </w:rPr>
              <w:t xml:space="preserve">6,8</w:t>
            </w:r>
          </w:p>
        </w:tc>
        <w:tc>
          <w:tcPr>
            <w:tcW w:w="604" w:type="dxa"/>
          </w:tcPr>
          <w:p>
            <w:pPr>
              <w:pStyle w:val="0"/>
            </w:pPr>
            <w:r>
              <w:rPr>
                <w:sz w:val="20"/>
              </w:rPr>
              <w:t xml:space="preserve">5</w:t>
            </w:r>
          </w:p>
        </w:tc>
        <w:tc>
          <w:tcPr>
            <w:tcW w:w="604" w:type="dxa"/>
          </w:tcPr>
          <w:p>
            <w:pPr>
              <w:pStyle w:val="0"/>
            </w:pPr>
            <w:r>
              <w:rPr>
                <w:sz w:val="20"/>
              </w:rPr>
              <w:t xml:space="preserve">4,8</w:t>
            </w:r>
          </w:p>
        </w:tc>
        <w:tc>
          <w:tcPr>
            <w:tcW w:w="604" w:type="dxa"/>
          </w:tcPr>
          <w:p>
            <w:pPr>
              <w:pStyle w:val="0"/>
            </w:pPr>
            <w:r>
              <w:rPr>
                <w:sz w:val="20"/>
              </w:rPr>
              <w:t xml:space="preserve">4,8</w:t>
            </w:r>
          </w:p>
        </w:tc>
        <w:tc>
          <w:tcPr>
            <w:tcW w:w="604" w:type="dxa"/>
          </w:tcPr>
          <w:p>
            <w:pPr>
              <w:pStyle w:val="0"/>
            </w:pPr>
            <w:r>
              <w:rPr>
                <w:sz w:val="20"/>
              </w:rPr>
              <w:t xml:space="preserve">5,3</w:t>
            </w:r>
          </w:p>
        </w:tc>
        <w:tc>
          <w:tcPr>
            <w:tcW w:w="604" w:type="dxa"/>
          </w:tcPr>
          <w:p>
            <w:pPr>
              <w:pStyle w:val="0"/>
            </w:pPr>
            <w:r>
              <w:rPr>
                <w:sz w:val="20"/>
              </w:rPr>
              <w:t xml:space="preserve">4,8</w:t>
            </w:r>
          </w:p>
        </w:tc>
      </w:tr>
      <w:tr>
        <w:tc>
          <w:tcPr>
            <w:tcW w:w="2324" w:type="dxa"/>
          </w:tcPr>
          <w:p>
            <w:pPr>
              <w:pStyle w:val="0"/>
            </w:pPr>
            <w:r>
              <w:rPr>
                <w:sz w:val="20"/>
              </w:rPr>
              <w:t xml:space="preserve">Лангепас</w:t>
            </w:r>
          </w:p>
        </w:tc>
        <w:tc>
          <w:tcPr>
            <w:tcW w:w="604" w:type="dxa"/>
          </w:tcPr>
          <w:p>
            <w:pPr>
              <w:pStyle w:val="0"/>
            </w:pPr>
            <w:r>
              <w:rPr>
                <w:sz w:val="20"/>
              </w:rPr>
              <w:t xml:space="preserve">48,7</w:t>
            </w:r>
          </w:p>
        </w:tc>
        <w:tc>
          <w:tcPr>
            <w:tcW w:w="604" w:type="dxa"/>
          </w:tcPr>
          <w:p>
            <w:pPr>
              <w:pStyle w:val="0"/>
            </w:pPr>
            <w:r>
              <w:rPr>
                <w:sz w:val="20"/>
              </w:rPr>
              <w:t xml:space="preserve">44,2</w:t>
            </w:r>
          </w:p>
        </w:tc>
        <w:tc>
          <w:tcPr>
            <w:tcW w:w="604" w:type="dxa"/>
          </w:tcPr>
          <w:p>
            <w:pPr>
              <w:pStyle w:val="0"/>
            </w:pPr>
            <w:r>
              <w:rPr>
                <w:sz w:val="20"/>
              </w:rPr>
              <w:t xml:space="preserve">52</w:t>
            </w:r>
          </w:p>
        </w:tc>
        <w:tc>
          <w:tcPr>
            <w:tcW w:w="604" w:type="dxa"/>
          </w:tcPr>
          <w:p>
            <w:pPr>
              <w:pStyle w:val="0"/>
            </w:pPr>
            <w:r>
              <w:rPr>
                <w:sz w:val="20"/>
              </w:rPr>
              <w:t xml:space="preserve">49,2</w:t>
            </w:r>
          </w:p>
        </w:tc>
        <w:tc>
          <w:tcPr>
            <w:tcW w:w="604" w:type="dxa"/>
          </w:tcPr>
          <w:p>
            <w:pPr>
              <w:pStyle w:val="0"/>
            </w:pPr>
            <w:r>
              <w:rPr>
                <w:sz w:val="20"/>
              </w:rPr>
              <w:t xml:space="preserve">51,8</w:t>
            </w:r>
          </w:p>
        </w:tc>
        <w:tc>
          <w:tcPr>
            <w:tcW w:w="604" w:type="dxa"/>
          </w:tcPr>
          <w:p>
            <w:pPr>
              <w:pStyle w:val="0"/>
            </w:pPr>
            <w:r>
              <w:rPr>
                <w:sz w:val="20"/>
              </w:rPr>
              <w:t xml:space="preserve">7,4</w:t>
            </w:r>
          </w:p>
        </w:tc>
        <w:tc>
          <w:tcPr>
            <w:tcW w:w="604" w:type="dxa"/>
          </w:tcPr>
          <w:p>
            <w:pPr>
              <w:pStyle w:val="0"/>
            </w:pPr>
            <w:r>
              <w:rPr>
                <w:sz w:val="20"/>
              </w:rPr>
              <w:t xml:space="preserve">6,3</w:t>
            </w:r>
          </w:p>
        </w:tc>
        <w:tc>
          <w:tcPr>
            <w:tcW w:w="604" w:type="dxa"/>
          </w:tcPr>
          <w:p>
            <w:pPr>
              <w:pStyle w:val="0"/>
            </w:pPr>
            <w:r>
              <w:rPr>
                <w:sz w:val="20"/>
              </w:rPr>
              <w:t xml:space="preserve">5,7</w:t>
            </w:r>
          </w:p>
        </w:tc>
        <w:tc>
          <w:tcPr>
            <w:tcW w:w="604" w:type="dxa"/>
          </w:tcPr>
          <w:p>
            <w:pPr>
              <w:pStyle w:val="0"/>
            </w:pPr>
            <w:r>
              <w:rPr>
                <w:sz w:val="20"/>
              </w:rPr>
              <w:t xml:space="preserve">6,8</w:t>
            </w:r>
          </w:p>
        </w:tc>
        <w:tc>
          <w:tcPr>
            <w:tcW w:w="604" w:type="dxa"/>
          </w:tcPr>
          <w:p>
            <w:pPr>
              <w:pStyle w:val="0"/>
            </w:pPr>
            <w:r>
              <w:rPr>
                <w:sz w:val="20"/>
              </w:rPr>
              <w:t xml:space="preserve">9,4</w:t>
            </w:r>
          </w:p>
        </w:tc>
        <w:tc>
          <w:tcPr>
            <w:tcW w:w="604" w:type="dxa"/>
          </w:tcPr>
          <w:p>
            <w:pPr>
              <w:pStyle w:val="0"/>
            </w:pPr>
            <w:r>
              <w:rPr>
                <w:sz w:val="20"/>
              </w:rPr>
              <w:t xml:space="preserve">9,6</w:t>
            </w:r>
          </w:p>
        </w:tc>
        <w:tc>
          <w:tcPr>
            <w:tcW w:w="604" w:type="dxa"/>
          </w:tcPr>
          <w:p>
            <w:pPr>
              <w:pStyle w:val="0"/>
            </w:pPr>
            <w:r>
              <w:rPr>
                <w:sz w:val="20"/>
              </w:rPr>
              <w:t xml:space="preserve">6,2</w:t>
            </w:r>
          </w:p>
        </w:tc>
        <w:tc>
          <w:tcPr>
            <w:tcW w:w="604" w:type="dxa"/>
          </w:tcPr>
          <w:p>
            <w:pPr>
              <w:pStyle w:val="0"/>
            </w:pPr>
            <w:r>
              <w:rPr>
                <w:sz w:val="20"/>
              </w:rPr>
              <w:t xml:space="preserve">6,2</w:t>
            </w:r>
          </w:p>
        </w:tc>
        <w:tc>
          <w:tcPr>
            <w:tcW w:w="604" w:type="dxa"/>
          </w:tcPr>
          <w:p>
            <w:pPr>
              <w:pStyle w:val="0"/>
            </w:pPr>
            <w:r>
              <w:rPr>
                <w:sz w:val="20"/>
              </w:rPr>
              <w:t xml:space="preserve">2</w:t>
            </w:r>
          </w:p>
        </w:tc>
        <w:tc>
          <w:tcPr>
            <w:tcW w:w="604" w:type="dxa"/>
          </w:tcPr>
          <w:p>
            <w:pPr>
              <w:pStyle w:val="0"/>
            </w:pPr>
            <w:r>
              <w:rPr>
                <w:sz w:val="20"/>
              </w:rPr>
              <w:t xml:space="preserve">4,7</w:t>
            </w:r>
          </w:p>
        </w:tc>
      </w:tr>
      <w:tr>
        <w:tc>
          <w:tcPr>
            <w:tcW w:w="2324" w:type="dxa"/>
          </w:tcPr>
          <w:p>
            <w:pPr>
              <w:pStyle w:val="0"/>
            </w:pPr>
            <w:r>
              <w:rPr>
                <w:sz w:val="20"/>
              </w:rPr>
              <w:t xml:space="preserve">Покачи</w:t>
            </w:r>
          </w:p>
        </w:tc>
        <w:tc>
          <w:tcPr>
            <w:tcW w:w="604" w:type="dxa"/>
          </w:tcPr>
          <w:p>
            <w:pPr>
              <w:pStyle w:val="0"/>
            </w:pPr>
            <w:r>
              <w:rPr>
                <w:sz w:val="20"/>
              </w:rPr>
              <w:t xml:space="preserve">50</w:t>
            </w:r>
          </w:p>
        </w:tc>
        <w:tc>
          <w:tcPr>
            <w:tcW w:w="604" w:type="dxa"/>
          </w:tcPr>
          <w:p>
            <w:pPr>
              <w:pStyle w:val="0"/>
            </w:pPr>
            <w:r>
              <w:rPr>
                <w:sz w:val="20"/>
              </w:rPr>
              <w:t xml:space="preserve">53,2</w:t>
            </w:r>
          </w:p>
        </w:tc>
        <w:tc>
          <w:tcPr>
            <w:tcW w:w="604" w:type="dxa"/>
          </w:tcPr>
          <w:p>
            <w:pPr>
              <w:pStyle w:val="0"/>
            </w:pPr>
            <w:r>
              <w:rPr>
                <w:sz w:val="20"/>
              </w:rPr>
              <w:t xml:space="preserve">50,8</w:t>
            </w:r>
          </w:p>
        </w:tc>
        <w:tc>
          <w:tcPr>
            <w:tcW w:w="604" w:type="dxa"/>
          </w:tcPr>
          <w:p>
            <w:pPr>
              <w:pStyle w:val="0"/>
            </w:pPr>
            <w:r>
              <w:rPr>
                <w:sz w:val="20"/>
              </w:rPr>
              <w:t xml:space="preserve">51,7</w:t>
            </w:r>
          </w:p>
        </w:tc>
        <w:tc>
          <w:tcPr>
            <w:tcW w:w="604" w:type="dxa"/>
          </w:tcPr>
          <w:p>
            <w:pPr>
              <w:pStyle w:val="0"/>
            </w:pPr>
            <w:r>
              <w:rPr>
                <w:sz w:val="20"/>
              </w:rPr>
              <w:t xml:space="preserve">57,2</w:t>
            </w:r>
          </w:p>
        </w:tc>
        <w:tc>
          <w:tcPr>
            <w:tcW w:w="604" w:type="dxa"/>
          </w:tcPr>
          <w:p>
            <w:pPr>
              <w:pStyle w:val="0"/>
            </w:pPr>
            <w:r>
              <w:rPr>
                <w:sz w:val="20"/>
              </w:rPr>
              <w:t xml:space="preserve">5,7</w:t>
            </w:r>
          </w:p>
        </w:tc>
        <w:tc>
          <w:tcPr>
            <w:tcW w:w="604" w:type="dxa"/>
          </w:tcPr>
          <w:p>
            <w:pPr>
              <w:pStyle w:val="0"/>
            </w:pPr>
            <w:r>
              <w:rPr>
                <w:sz w:val="20"/>
              </w:rPr>
              <w:t xml:space="preserve">7,7</w:t>
            </w:r>
          </w:p>
        </w:tc>
        <w:tc>
          <w:tcPr>
            <w:tcW w:w="604" w:type="dxa"/>
          </w:tcPr>
          <w:p>
            <w:pPr>
              <w:pStyle w:val="0"/>
            </w:pPr>
            <w:r>
              <w:rPr>
                <w:sz w:val="20"/>
              </w:rPr>
              <w:t xml:space="preserve">5,3</w:t>
            </w:r>
          </w:p>
        </w:tc>
        <w:tc>
          <w:tcPr>
            <w:tcW w:w="604" w:type="dxa"/>
          </w:tcPr>
          <w:p>
            <w:pPr>
              <w:pStyle w:val="0"/>
            </w:pPr>
            <w:r>
              <w:rPr>
                <w:sz w:val="20"/>
              </w:rPr>
              <w:t xml:space="preserve">8,5</w:t>
            </w:r>
          </w:p>
        </w:tc>
        <w:tc>
          <w:tcPr>
            <w:tcW w:w="604" w:type="dxa"/>
          </w:tcPr>
          <w:p>
            <w:pPr>
              <w:pStyle w:val="0"/>
            </w:pPr>
            <w:r>
              <w:rPr>
                <w:sz w:val="20"/>
              </w:rPr>
              <w:t xml:space="preserve">8,7</w:t>
            </w:r>
          </w:p>
        </w:tc>
        <w:tc>
          <w:tcPr>
            <w:tcW w:w="604" w:type="dxa"/>
          </w:tcPr>
          <w:p>
            <w:pPr>
              <w:pStyle w:val="0"/>
            </w:pPr>
            <w:r>
              <w:rPr>
                <w:sz w:val="20"/>
              </w:rPr>
              <w:t xml:space="preserve">4,2</w:t>
            </w:r>
          </w:p>
        </w:tc>
        <w:tc>
          <w:tcPr>
            <w:tcW w:w="604" w:type="dxa"/>
          </w:tcPr>
          <w:p>
            <w:pPr>
              <w:pStyle w:val="0"/>
            </w:pPr>
            <w:r>
              <w:rPr>
                <w:sz w:val="20"/>
              </w:rPr>
              <w:t xml:space="preserve">5,3</w:t>
            </w:r>
          </w:p>
        </w:tc>
        <w:tc>
          <w:tcPr>
            <w:tcW w:w="604" w:type="dxa"/>
          </w:tcPr>
          <w:p>
            <w:pPr>
              <w:pStyle w:val="0"/>
            </w:pPr>
            <w:r>
              <w:rPr>
                <w:sz w:val="20"/>
              </w:rPr>
              <w:t xml:space="preserve">5,3</w:t>
            </w:r>
          </w:p>
        </w:tc>
        <w:tc>
          <w:tcPr>
            <w:tcW w:w="604" w:type="dxa"/>
          </w:tcPr>
          <w:p>
            <w:pPr>
              <w:pStyle w:val="0"/>
            </w:pPr>
            <w:r>
              <w:rPr>
                <w:sz w:val="20"/>
              </w:rPr>
              <w:t xml:space="preserve">15,2</w:t>
            </w:r>
          </w:p>
        </w:tc>
        <w:tc>
          <w:tcPr>
            <w:tcW w:w="604" w:type="dxa"/>
          </w:tcPr>
          <w:p>
            <w:pPr>
              <w:pStyle w:val="0"/>
            </w:pPr>
            <w:r>
              <w:rPr>
                <w:sz w:val="20"/>
              </w:rPr>
              <w:t xml:space="preserve">4,9</w:t>
            </w:r>
          </w:p>
        </w:tc>
      </w:tr>
      <w:tr>
        <w:tc>
          <w:tcPr>
            <w:tcW w:w="2324" w:type="dxa"/>
          </w:tcPr>
          <w:p>
            <w:pPr>
              <w:pStyle w:val="0"/>
            </w:pPr>
            <w:r>
              <w:rPr>
                <w:sz w:val="20"/>
              </w:rPr>
              <w:t xml:space="preserve">Всего по центру</w:t>
            </w:r>
          </w:p>
        </w:tc>
        <w:tc>
          <w:tcPr>
            <w:tcW w:w="604" w:type="dxa"/>
          </w:tcPr>
          <w:p>
            <w:pPr>
              <w:pStyle w:val="0"/>
            </w:pPr>
            <w:r>
              <w:rPr>
                <w:sz w:val="20"/>
              </w:rPr>
              <w:t xml:space="preserve">55,1</w:t>
            </w:r>
          </w:p>
        </w:tc>
        <w:tc>
          <w:tcPr>
            <w:tcW w:w="604" w:type="dxa"/>
          </w:tcPr>
          <w:p>
            <w:pPr>
              <w:pStyle w:val="0"/>
            </w:pPr>
            <w:r>
              <w:rPr>
                <w:sz w:val="20"/>
              </w:rPr>
              <w:t xml:space="preserve">54,9</w:t>
            </w:r>
          </w:p>
        </w:tc>
        <w:tc>
          <w:tcPr>
            <w:tcW w:w="604" w:type="dxa"/>
          </w:tcPr>
          <w:p>
            <w:pPr>
              <w:pStyle w:val="0"/>
            </w:pPr>
            <w:r>
              <w:rPr>
                <w:sz w:val="20"/>
              </w:rPr>
              <w:t xml:space="preserve">53,7</w:t>
            </w:r>
          </w:p>
        </w:tc>
        <w:tc>
          <w:tcPr>
            <w:tcW w:w="604" w:type="dxa"/>
          </w:tcPr>
          <w:p>
            <w:pPr>
              <w:pStyle w:val="0"/>
            </w:pPr>
            <w:r>
              <w:rPr>
                <w:sz w:val="20"/>
              </w:rPr>
              <w:t xml:space="preserve">54,8</w:t>
            </w:r>
          </w:p>
        </w:tc>
        <w:tc>
          <w:tcPr>
            <w:tcW w:w="604" w:type="dxa"/>
          </w:tcPr>
          <w:p>
            <w:pPr>
              <w:pStyle w:val="0"/>
            </w:pPr>
            <w:r>
              <w:rPr>
                <w:sz w:val="20"/>
              </w:rPr>
              <w:t xml:space="preserve">56,9</w:t>
            </w:r>
          </w:p>
        </w:tc>
        <w:tc>
          <w:tcPr>
            <w:tcW w:w="604" w:type="dxa"/>
          </w:tcPr>
          <w:p>
            <w:pPr>
              <w:pStyle w:val="0"/>
            </w:pPr>
            <w:r>
              <w:rPr>
                <w:sz w:val="20"/>
              </w:rPr>
              <w:t xml:space="preserve">6,2</w:t>
            </w:r>
          </w:p>
        </w:tc>
        <w:tc>
          <w:tcPr>
            <w:tcW w:w="604" w:type="dxa"/>
          </w:tcPr>
          <w:p>
            <w:pPr>
              <w:pStyle w:val="0"/>
            </w:pPr>
            <w:r>
              <w:rPr>
                <w:sz w:val="20"/>
              </w:rPr>
              <w:t xml:space="preserve">7,1</w:t>
            </w:r>
          </w:p>
        </w:tc>
        <w:tc>
          <w:tcPr>
            <w:tcW w:w="604" w:type="dxa"/>
          </w:tcPr>
          <w:p>
            <w:pPr>
              <w:pStyle w:val="0"/>
            </w:pPr>
            <w:r>
              <w:rPr>
                <w:sz w:val="20"/>
              </w:rPr>
              <w:t xml:space="preserve">6,5</w:t>
            </w:r>
          </w:p>
        </w:tc>
        <w:tc>
          <w:tcPr>
            <w:tcW w:w="604" w:type="dxa"/>
          </w:tcPr>
          <w:p>
            <w:pPr>
              <w:pStyle w:val="0"/>
            </w:pPr>
            <w:r>
              <w:rPr>
                <w:sz w:val="20"/>
              </w:rPr>
              <w:t xml:space="preserve">6,8</w:t>
            </w:r>
          </w:p>
        </w:tc>
        <w:tc>
          <w:tcPr>
            <w:tcW w:w="604" w:type="dxa"/>
          </w:tcPr>
          <w:p>
            <w:pPr>
              <w:pStyle w:val="0"/>
            </w:pPr>
            <w:r>
              <w:rPr>
                <w:sz w:val="20"/>
              </w:rPr>
              <w:t xml:space="preserve">6,7</w:t>
            </w:r>
          </w:p>
        </w:tc>
        <w:tc>
          <w:tcPr>
            <w:tcW w:w="604" w:type="dxa"/>
          </w:tcPr>
          <w:p>
            <w:pPr>
              <w:pStyle w:val="0"/>
            </w:pPr>
            <w:r>
              <w:rPr>
                <w:sz w:val="20"/>
              </w:rPr>
              <w:t xml:space="preserve">6,2</w:t>
            </w:r>
          </w:p>
        </w:tc>
        <w:tc>
          <w:tcPr>
            <w:tcW w:w="604" w:type="dxa"/>
          </w:tcPr>
          <w:p>
            <w:pPr>
              <w:pStyle w:val="0"/>
            </w:pPr>
            <w:r>
              <w:rPr>
                <w:sz w:val="20"/>
              </w:rPr>
              <w:t xml:space="preserve">5,5</w:t>
            </w:r>
          </w:p>
        </w:tc>
        <w:tc>
          <w:tcPr>
            <w:tcW w:w="604" w:type="dxa"/>
          </w:tcPr>
          <w:p>
            <w:pPr>
              <w:pStyle w:val="0"/>
            </w:pPr>
            <w:r>
              <w:rPr>
                <w:sz w:val="20"/>
              </w:rPr>
              <w:t xml:space="preserve">5,5</w:t>
            </w:r>
          </w:p>
        </w:tc>
        <w:tc>
          <w:tcPr>
            <w:tcW w:w="604" w:type="dxa"/>
          </w:tcPr>
          <w:p>
            <w:pPr>
              <w:pStyle w:val="0"/>
            </w:pPr>
            <w:r>
              <w:rPr>
                <w:sz w:val="20"/>
              </w:rPr>
              <w:t xml:space="preserve">5,5</w:t>
            </w:r>
          </w:p>
        </w:tc>
        <w:tc>
          <w:tcPr>
            <w:tcW w:w="604" w:type="dxa"/>
          </w:tcPr>
          <w:p>
            <w:pPr>
              <w:pStyle w:val="0"/>
            </w:pPr>
            <w:r>
              <w:rPr>
                <w:sz w:val="20"/>
              </w:rPr>
              <w:t xml:space="preserve">5,3</w:t>
            </w:r>
          </w:p>
        </w:tc>
      </w:tr>
      <w:tr>
        <w:tc>
          <w:tcPr>
            <w:tcW w:w="2324" w:type="dxa"/>
          </w:tcPr>
          <w:p>
            <w:pPr>
              <w:pStyle w:val="0"/>
            </w:pPr>
            <w:r>
              <w:rPr>
                <w:sz w:val="20"/>
              </w:rPr>
              <w:t xml:space="preserve">Всего по автономному округу</w:t>
            </w:r>
          </w:p>
        </w:tc>
        <w:tc>
          <w:tcPr>
            <w:tcW w:w="604" w:type="dxa"/>
          </w:tcPr>
          <w:p>
            <w:pPr>
              <w:pStyle w:val="0"/>
            </w:pPr>
            <w:r>
              <w:rPr>
                <w:sz w:val="20"/>
              </w:rPr>
              <w:t xml:space="preserve">53,1</w:t>
            </w:r>
          </w:p>
        </w:tc>
        <w:tc>
          <w:tcPr>
            <w:tcW w:w="604" w:type="dxa"/>
          </w:tcPr>
          <w:p>
            <w:pPr>
              <w:pStyle w:val="0"/>
            </w:pPr>
            <w:r>
              <w:rPr>
                <w:sz w:val="20"/>
              </w:rPr>
              <w:t xml:space="preserve">52,8</w:t>
            </w:r>
          </w:p>
        </w:tc>
        <w:tc>
          <w:tcPr>
            <w:tcW w:w="604" w:type="dxa"/>
          </w:tcPr>
          <w:p>
            <w:pPr>
              <w:pStyle w:val="0"/>
            </w:pPr>
            <w:r>
              <w:rPr>
                <w:sz w:val="20"/>
              </w:rPr>
              <w:t xml:space="preserve">53,7</w:t>
            </w:r>
          </w:p>
        </w:tc>
        <w:tc>
          <w:tcPr>
            <w:tcW w:w="604" w:type="dxa"/>
          </w:tcPr>
          <w:p>
            <w:pPr>
              <w:pStyle w:val="0"/>
            </w:pPr>
            <w:r>
              <w:rPr>
                <w:sz w:val="20"/>
              </w:rPr>
              <w:t xml:space="preserve">55,1</w:t>
            </w:r>
          </w:p>
        </w:tc>
        <w:tc>
          <w:tcPr>
            <w:tcW w:w="604" w:type="dxa"/>
          </w:tcPr>
          <w:p>
            <w:pPr>
              <w:pStyle w:val="0"/>
            </w:pPr>
            <w:r>
              <w:rPr>
                <w:sz w:val="20"/>
              </w:rPr>
              <w:t xml:space="preserve">55,7</w:t>
            </w:r>
          </w:p>
        </w:tc>
        <w:tc>
          <w:tcPr>
            <w:tcW w:w="604" w:type="dxa"/>
          </w:tcPr>
          <w:p>
            <w:pPr>
              <w:pStyle w:val="0"/>
            </w:pPr>
            <w:r>
              <w:rPr>
                <w:sz w:val="20"/>
              </w:rPr>
              <w:t xml:space="preserve">6,4</w:t>
            </w:r>
          </w:p>
        </w:tc>
        <w:tc>
          <w:tcPr>
            <w:tcW w:w="604" w:type="dxa"/>
          </w:tcPr>
          <w:p>
            <w:pPr>
              <w:pStyle w:val="0"/>
            </w:pPr>
            <w:r>
              <w:rPr>
                <w:sz w:val="20"/>
              </w:rPr>
              <w:t xml:space="preserve">6,7</w:t>
            </w:r>
          </w:p>
        </w:tc>
        <w:tc>
          <w:tcPr>
            <w:tcW w:w="604" w:type="dxa"/>
          </w:tcPr>
          <w:p>
            <w:pPr>
              <w:pStyle w:val="0"/>
            </w:pPr>
            <w:r>
              <w:rPr>
                <w:sz w:val="20"/>
              </w:rPr>
              <w:t xml:space="preserve">8,8</w:t>
            </w:r>
          </w:p>
        </w:tc>
        <w:tc>
          <w:tcPr>
            <w:tcW w:w="604" w:type="dxa"/>
          </w:tcPr>
          <w:p>
            <w:pPr>
              <w:pStyle w:val="0"/>
            </w:pPr>
            <w:r>
              <w:rPr>
                <w:sz w:val="20"/>
              </w:rPr>
              <w:t xml:space="preserve">7,1</w:t>
            </w:r>
          </w:p>
        </w:tc>
        <w:tc>
          <w:tcPr>
            <w:tcW w:w="604" w:type="dxa"/>
          </w:tcPr>
          <w:p>
            <w:pPr>
              <w:pStyle w:val="0"/>
            </w:pPr>
            <w:r>
              <w:rPr>
                <w:sz w:val="20"/>
              </w:rPr>
              <w:t xml:space="preserve">7,2</w:t>
            </w:r>
          </w:p>
        </w:tc>
        <w:tc>
          <w:tcPr>
            <w:tcW w:w="604" w:type="dxa"/>
          </w:tcPr>
          <w:p>
            <w:pPr>
              <w:pStyle w:val="0"/>
            </w:pPr>
            <w:r>
              <w:rPr>
                <w:sz w:val="20"/>
              </w:rPr>
              <w:t xml:space="preserve">6,6</w:t>
            </w:r>
          </w:p>
        </w:tc>
        <w:tc>
          <w:tcPr>
            <w:tcW w:w="604" w:type="dxa"/>
          </w:tcPr>
          <w:p>
            <w:pPr>
              <w:pStyle w:val="0"/>
            </w:pPr>
            <w:r>
              <w:rPr>
                <w:sz w:val="20"/>
              </w:rPr>
              <w:t xml:space="preserve">5,8</w:t>
            </w:r>
          </w:p>
        </w:tc>
        <w:tc>
          <w:tcPr>
            <w:tcW w:w="604" w:type="dxa"/>
          </w:tcPr>
          <w:p>
            <w:pPr>
              <w:pStyle w:val="0"/>
            </w:pPr>
            <w:r>
              <w:rPr>
                <w:sz w:val="20"/>
              </w:rPr>
              <w:t xml:space="preserve">5,5</w:t>
            </w:r>
          </w:p>
        </w:tc>
        <w:tc>
          <w:tcPr>
            <w:tcW w:w="604" w:type="dxa"/>
          </w:tcPr>
          <w:p>
            <w:pPr>
              <w:pStyle w:val="0"/>
            </w:pPr>
            <w:r>
              <w:rPr>
                <w:sz w:val="20"/>
              </w:rPr>
              <w:t xml:space="preserve">5,8</w:t>
            </w:r>
          </w:p>
        </w:tc>
        <w:tc>
          <w:tcPr>
            <w:tcW w:w="604" w:type="dxa"/>
          </w:tcPr>
          <w:p>
            <w:pPr>
              <w:pStyle w:val="0"/>
            </w:pPr>
            <w:r>
              <w:rPr>
                <w:sz w:val="20"/>
              </w:rPr>
              <w:t xml:space="preserve">5,4</w:t>
            </w:r>
          </w:p>
        </w:tc>
      </w:tr>
    </w:tbl>
    <w:p>
      <w:pPr>
        <w:pStyle w:val="0"/>
        <w:ind w:firstLine="540"/>
        <w:jc w:val="both"/>
      </w:pPr>
      <w:r>
        <w:rPr>
          <w:sz w:val="20"/>
        </w:rPr>
      </w:r>
    </w:p>
    <w:p>
      <w:pPr>
        <w:pStyle w:val="0"/>
        <w:ind w:firstLine="540"/>
        <w:jc w:val="both"/>
      </w:pPr>
      <w:r>
        <w:rPr>
          <w:sz w:val="20"/>
        </w:rPr>
        <w:t xml:space="preserve">В 2022 году в автономном округе число лиц с впервые выявленными злокачественными новообразованиями составило 4485 (в 2021 году - 4430), рост составил на 1,2%, индекс накопления контингента составил 7,2.</w:t>
      </w:r>
    </w:p>
    <w:p>
      <w:pPr>
        <w:pStyle w:val="0"/>
        <w:spacing w:before="200" w:line-rule="auto"/>
        <w:ind w:firstLine="540"/>
        <w:jc w:val="both"/>
      </w:pPr>
      <w:r>
        <w:rPr>
          <w:sz w:val="20"/>
        </w:rPr>
        <w:t xml:space="preserve">Удельный вес больных с морфологически подтвержденным диагнозом злокачественного новообразования составил в 2022 году 98,5% (в 2013 году - 90,9%, рост составил 8,3%); показатель остается выше среднероссийского значения (значение показателя по РФ в 2021 году составило 95,8%).</w:t>
      </w:r>
    </w:p>
    <w:p>
      <w:pPr>
        <w:pStyle w:val="0"/>
        <w:spacing w:before="200" w:line-rule="auto"/>
        <w:ind w:firstLine="540"/>
        <w:jc w:val="both"/>
      </w:pPr>
      <w:r>
        <w:rPr>
          <w:sz w:val="20"/>
        </w:rPr>
        <w:t xml:space="preserve">Показатель запущенности новообразований визуальных локализаций, диагностированных на III стадии, в 2022 году составил 12,7%, что выше значения показателя 2013 года на 17,9%.</w:t>
      </w:r>
    </w:p>
    <w:p>
      <w:pPr>
        <w:pStyle w:val="0"/>
        <w:spacing w:before="200" w:line-rule="auto"/>
        <w:ind w:firstLine="540"/>
        <w:jc w:val="both"/>
      </w:pPr>
      <w:r>
        <w:rPr>
          <w:sz w:val="20"/>
        </w:rPr>
        <w:t xml:space="preserve">Доля случаев злокачественных новообразований визуальных локализаций в 2022 году, диагностированных на III стадии:</w:t>
      </w:r>
    </w:p>
    <w:p>
      <w:pPr>
        <w:pStyle w:val="0"/>
        <w:spacing w:before="200" w:line-rule="auto"/>
        <w:ind w:firstLine="540"/>
        <w:jc w:val="both"/>
      </w:pPr>
      <w:r>
        <w:rPr>
          <w:sz w:val="20"/>
        </w:rPr>
        <w:t xml:space="preserve">прямая кишка - 36,6% (2013 год - 19,6%);</w:t>
      </w:r>
    </w:p>
    <w:p>
      <w:pPr>
        <w:pStyle w:val="0"/>
        <w:spacing w:before="200" w:line-rule="auto"/>
        <w:ind w:firstLine="540"/>
        <w:jc w:val="both"/>
      </w:pPr>
      <w:r>
        <w:rPr>
          <w:sz w:val="20"/>
        </w:rPr>
        <w:t xml:space="preserve">шейка матки - 18,9% (2013 год - 24,6%);</w:t>
      </w:r>
    </w:p>
    <w:p>
      <w:pPr>
        <w:pStyle w:val="0"/>
        <w:spacing w:before="200" w:line-rule="auto"/>
        <w:ind w:firstLine="540"/>
        <w:jc w:val="both"/>
      </w:pPr>
      <w:r>
        <w:rPr>
          <w:sz w:val="20"/>
        </w:rPr>
        <w:t xml:space="preserve">молочная железа - 14,1% (2013 год - 20,3%);</w:t>
      </w:r>
    </w:p>
    <w:p>
      <w:pPr>
        <w:pStyle w:val="0"/>
        <w:spacing w:before="200" w:line-rule="auto"/>
        <w:ind w:firstLine="540"/>
        <w:jc w:val="both"/>
      </w:pPr>
      <w:r>
        <w:rPr>
          <w:sz w:val="20"/>
        </w:rPr>
        <w:t xml:space="preserve">полость рта - 11,4% (2013 год - 27,5%);</w:t>
      </w:r>
    </w:p>
    <w:p>
      <w:pPr>
        <w:pStyle w:val="0"/>
        <w:spacing w:before="200" w:line-rule="auto"/>
        <w:ind w:firstLine="540"/>
        <w:jc w:val="both"/>
      </w:pPr>
      <w:r>
        <w:rPr>
          <w:sz w:val="20"/>
        </w:rPr>
        <w:t xml:space="preserve">глотка - 11,4% (2013 год - 21,4%);</w:t>
      </w:r>
    </w:p>
    <w:p>
      <w:pPr>
        <w:pStyle w:val="0"/>
        <w:spacing w:before="200" w:line-rule="auto"/>
        <w:ind w:firstLine="540"/>
        <w:jc w:val="both"/>
      </w:pPr>
      <w:r>
        <w:rPr>
          <w:sz w:val="20"/>
        </w:rPr>
        <w:t xml:space="preserve">меланома кожи - 3,3% (2013 год - 14,8%);</w:t>
      </w:r>
    </w:p>
    <w:p>
      <w:pPr>
        <w:pStyle w:val="0"/>
        <w:spacing w:before="200" w:line-rule="auto"/>
        <w:ind w:firstLine="540"/>
        <w:jc w:val="both"/>
      </w:pPr>
      <w:r>
        <w:rPr>
          <w:sz w:val="20"/>
        </w:rPr>
        <w:t xml:space="preserve">щитовидная железа - 3,2% (2013 год - 12,0%);</w:t>
      </w:r>
    </w:p>
    <w:p>
      <w:pPr>
        <w:pStyle w:val="0"/>
        <w:spacing w:before="200" w:line-rule="auto"/>
        <w:ind w:firstLine="540"/>
        <w:jc w:val="both"/>
      </w:pPr>
      <w:r>
        <w:rPr>
          <w:sz w:val="20"/>
        </w:rPr>
        <w:t xml:space="preserve">новообразования кожи - 2,6% (2013 год - 2,8%).</w:t>
      </w:r>
    </w:p>
    <w:p>
      <w:pPr>
        <w:pStyle w:val="0"/>
        <w:spacing w:before="200" w:line-rule="auto"/>
        <w:ind w:firstLine="540"/>
        <w:jc w:val="both"/>
      </w:pPr>
      <w:r>
        <w:rPr>
          <w:sz w:val="20"/>
        </w:rPr>
        <w:t xml:space="preserve">В 2022 году показатель запущенности (IV стадия и III стадия визуальных локализаций) у пациентов с впервые в жизни установленным диагнозом злокачественного новообразования по автономному округу составил 33,4%.</w:t>
      </w:r>
    </w:p>
    <w:p>
      <w:pPr>
        <w:pStyle w:val="0"/>
        <w:spacing w:before="200" w:line-rule="auto"/>
        <w:ind w:firstLine="540"/>
        <w:jc w:val="both"/>
      </w:pPr>
      <w:r>
        <w:rPr>
          <w:sz w:val="20"/>
        </w:rPr>
        <w:t xml:space="preserve">Удельный вес больных, выявленных с опухолевым процессом в IV стадии, в целом по автономному округу с 2013 года по 2022 год снизился на 0,7% и составил 21,4%.</w:t>
      </w:r>
    </w:p>
    <w:p>
      <w:pPr>
        <w:pStyle w:val="0"/>
        <w:ind w:firstLine="540"/>
        <w:jc w:val="both"/>
      </w:pPr>
      <w:r>
        <w:rPr>
          <w:sz w:val="20"/>
        </w:rPr>
      </w:r>
    </w:p>
    <w:p>
      <w:pPr>
        <w:pStyle w:val="0"/>
        <w:jc w:val="right"/>
      </w:pPr>
      <w:r>
        <w:rPr>
          <w:sz w:val="20"/>
        </w:rPr>
        <w:t xml:space="preserve">Таблица 17</w:t>
      </w:r>
    </w:p>
    <w:p>
      <w:pPr>
        <w:pStyle w:val="0"/>
        <w:jc w:val="right"/>
      </w:pPr>
      <w:r>
        <w:rPr>
          <w:sz w:val="20"/>
        </w:rPr>
      </w:r>
    </w:p>
    <w:p>
      <w:pPr>
        <w:pStyle w:val="0"/>
        <w:jc w:val="center"/>
      </w:pPr>
      <w:r>
        <w:rPr>
          <w:sz w:val="20"/>
        </w:rPr>
        <w:t xml:space="preserve">Удельный вес запущенных случаев (IV стадия), %</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1587"/>
        <w:gridCol w:w="859"/>
        <w:gridCol w:w="859"/>
        <w:gridCol w:w="859"/>
        <w:gridCol w:w="859"/>
        <w:gridCol w:w="604"/>
        <w:gridCol w:w="604"/>
        <w:gridCol w:w="604"/>
        <w:gridCol w:w="604"/>
        <w:gridCol w:w="604"/>
        <w:gridCol w:w="604"/>
        <w:gridCol w:w="604"/>
      </w:tblGrid>
      <w:tr>
        <w:tc>
          <w:tcPr>
            <w:tcW w:w="2324" w:type="dxa"/>
            <w:vMerge w:val="restart"/>
          </w:tcPr>
          <w:p>
            <w:pPr>
              <w:pStyle w:val="0"/>
              <w:jc w:val="center"/>
            </w:pPr>
            <w:r>
              <w:rPr>
                <w:sz w:val="20"/>
              </w:rPr>
              <w:t xml:space="preserve">Локализация</w:t>
            </w:r>
          </w:p>
        </w:tc>
        <w:tc>
          <w:tcPr>
            <w:tcW w:w="1587" w:type="dxa"/>
            <w:vMerge w:val="restart"/>
          </w:tcPr>
          <w:p>
            <w:pPr>
              <w:pStyle w:val="0"/>
              <w:jc w:val="center"/>
            </w:pPr>
            <w:r>
              <w:rPr>
                <w:sz w:val="20"/>
              </w:rPr>
              <w:t xml:space="preserve">Код МКБ-10</w:t>
            </w:r>
          </w:p>
        </w:tc>
        <w:tc>
          <w:tcPr>
            <w:gridSpan w:val="10"/>
            <w:tcW w:w="7060" w:type="dxa"/>
          </w:tcPr>
          <w:p>
            <w:pPr>
              <w:pStyle w:val="0"/>
              <w:jc w:val="center"/>
            </w:pPr>
            <w:r>
              <w:rPr>
                <w:sz w:val="20"/>
              </w:rPr>
              <w:t xml:space="preserve">Годы</w:t>
            </w:r>
          </w:p>
        </w:tc>
        <w:tc>
          <w:tcPr>
            <w:tcW w:w="604" w:type="dxa"/>
          </w:tcPr>
          <w:p>
            <w:pPr>
              <w:pStyle w:val="0"/>
              <w:jc w:val="center"/>
            </w:pPr>
            <w:r>
              <w:rPr>
                <w:sz w:val="20"/>
              </w:rPr>
              <w:t xml:space="preserve">РФ</w:t>
            </w:r>
          </w:p>
        </w:tc>
      </w:tr>
      <w:tr>
        <w:tc>
          <w:tcPr>
            <w:vMerge w:val="continue"/>
          </w:tcPr>
          <w:p/>
        </w:tc>
        <w:tc>
          <w:tcPr>
            <w:vMerge w:val="continue"/>
          </w:tcPr>
          <w:p/>
        </w:tc>
        <w:tc>
          <w:tcPr>
            <w:tcW w:w="859" w:type="dxa"/>
          </w:tcPr>
          <w:p>
            <w:pPr>
              <w:pStyle w:val="0"/>
              <w:jc w:val="center"/>
            </w:pPr>
            <w:r>
              <w:rPr>
                <w:sz w:val="20"/>
              </w:rPr>
              <w:t xml:space="preserve">2013</w:t>
            </w:r>
          </w:p>
        </w:tc>
        <w:tc>
          <w:tcPr>
            <w:tcW w:w="859" w:type="dxa"/>
          </w:tcPr>
          <w:p>
            <w:pPr>
              <w:pStyle w:val="0"/>
              <w:jc w:val="center"/>
            </w:pPr>
            <w:r>
              <w:rPr>
                <w:sz w:val="20"/>
              </w:rPr>
              <w:t xml:space="preserve">2014</w:t>
            </w:r>
          </w:p>
        </w:tc>
        <w:tc>
          <w:tcPr>
            <w:tcW w:w="859" w:type="dxa"/>
          </w:tcPr>
          <w:p>
            <w:pPr>
              <w:pStyle w:val="0"/>
              <w:jc w:val="center"/>
            </w:pPr>
            <w:r>
              <w:rPr>
                <w:sz w:val="20"/>
              </w:rPr>
              <w:t xml:space="preserve">2015</w:t>
            </w:r>
          </w:p>
        </w:tc>
        <w:tc>
          <w:tcPr>
            <w:tcW w:w="859" w:type="dxa"/>
          </w:tcPr>
          <w:p>
            <w:pPr>
              <w:pStyle w:val="0"/>
              <w:jc w:val="center"/>
            </w:pPr>
            <w:r>
              <w:rPr>
                <w:sz w:val="20"/>
              </w:rPr>
              <w:t xml:space="preserve">2016</w:t>
            </w:r>
          </w:p>
        </w:tc>
        <w:tc>
          <w:tcPr>
            <w:tcW w:w="604" w:type="dxa"/>
          </w:tcPr>
          <w:p>
            <w:pPr>
              <w:pStyle w:val="0"/>
              <w:jc w:val="center"/>
            </w:pPr>
            <w:r>
              <w:rPr>
                <w:sz w:val="20"/>
              </w:rPr>
              <w:t xml:space="preserve">2017</w:t>
            </w:r>
          </w:p>
        </w:tc>
        <w:tc>
          <w:tcPr>
            <w:tcW w:w="604" w:type="dxa"/>
          </w:tcPr>
          <w:p>
            <w:pPr>
              <w:pStyle w:val="0"/>
              <w:jc w:val="center"/>
            </w:pPr>
            <w:r>
              <w:rPr>
                <w:sz w:val="20"/>
              </w:rPr>
              <w:t xml:space="preserve">2018</w:t>
            </w:r>
          </w:p>
        </w:tc>
        <w:tc>
          <w:tcPr>
            <w:tcW w:w="604" w:type="dxa"/>
          </w:tcPr>
          <w:p>
            <w:pPr>
              <w:pStyle w:val="0"/>
              <w:jc w:val="center"/>
            </w:pPr>
            <w:r>
              <w:rPr>
                <w:sz w:val="20"/>
              </w:rPr>
              <w:t xml:space="preserve">2019</w:t>
            </w:r>
          </w:p>
        </w:tc>
        <w:tc>
          <w:tcPr>
            <w:tcW w:w="604" w:type="dxa"/>
          </w:tcPr>
          <w:p>
            <w:pPr>
              <w:pStyle w:val="0"/>
              <w:jc w:val="center"/>
            </w:pPr>
            <w:r>
              <w:rPr>
                <w:sz w:val="20"/>
              </w:rPr>
              <w:t xml:space="preserve">2020</w:t>
            </w:r>
          </w:p>
        </w:tc>
        <w:tc>
          <w:tcPr>
            <w:tcW w:w="604" w:type="dxa"/>
          </w:tcPr>
          <w:p>
            <w:pPr>
              <w:pStyle w:val="0"/>
              <w:jc w:val="center"/>
            </w:pPr>
            <w:r>
              <w:rPr>
                <w:sz w:val="20"/>
              </w:rPr>
              <w:t xml:space="preserve">2021</w:t>
            </w:r>
          </w:p>
        </w:tc>
        <w:tc>
          <w:tcPr>
            <w:tcW w:w="604" w:type="dxa"/>
          </w:tcPr>
          <w:p>
            <w:pPr>
              <w:pStyle w:val="0"/>
              <w:jc w:val="center"/>
            </w:pPr>
            <w:r>
              <w:rPr>
                <w:sz w:val="20"/>
              </w:rPr>
              <w:t xml:space="preserve">2022</w:t>
            </w:r>
          </w:p>
        </w:tc>
        <w:tc>
          <w:tcPr>
            <w:tcW w:w="604" w:type="dxa"/>
          </w:tcPr>
          <w:p>
            <w:pPr>
              <w:pStyle w:val="0"/>
              <w:jc w:val="center"/>
            </w:pPr>
            <w:r>
              <w:rPr>
                <w:sz w:val="20"/>
              </w:rPr>
              <w:t xml:space="preserve">2021</w:t>
            </w:r>
          </w:p>
        </w:tc>
      </w:tr>
      <w:tr>
        <w:tc>
          <w:tcPr>
            <w:tcW w:w="2324" w:type="dxa"/>
          </w:tcPr>
          <w:p>
            <w:pPr>
              <w:pStyle w:val="0"/>
            </w:pPr>
            <w:r>
              <w:rPr>
                <w:sz w:val="20"/>
              </w:rPr>
              <w:t xml:space="preserve">Все злокачественные новообразования</w:t>
            </w:r>
          </w:p>
        </w:tc>
        <w:tc>
          <w:tcPr>
            <w:tcW w:w="1587" w:type="dxa"/>
          </w:tcPr>
          <w:p>
            <w:pPr>
              <w:pStyle w:val="0"/>
            </w:pPr>
            <w:r>
              <w:rPr>
                <w:sz w:val="20"/>
              </w:rPr>
              <w:t xml:space="preserve">С 00 - 96</w:t>
            </w:r>
          </w:p>
        </w:tc>
        <w:tc>
          <w:tcPr>
            <w:tcW w:w="859" w:type="dxa"/>
          </w:tcPr>
          <w:p>
            <w:pPr>
              <w:pStyle w:val="0"/>
            </w:pPr>
            <w:r>
              <w:rPr>
                <w:sz w:val="20"/>
              </w:rPr>
              <w:t xml:space="preserve">21,4</w:t>
            </w:r>
          </w:p>
        </w:tc>
        <w:tc>
          <w:tcPr>
            <w:tcW w:w="859" w:type="dxa"/>
          </w:tcPr>
          <w:p>
            <w:pPr>
              <w:pStyle w:val="0"/>
            </w:pPr>
            <w:r>
              <w:rPr>
                <w:sz w:val="20"/>
              </w:rPr>
              <w:t xml:space="preserve">22,2</w:t>
            </w:r>
          </w:p>
        </w:tc>
        <w:tc>
          <w:tcPr>
            <w:tcW w:w="859" w:type="dxa"/>
          </w:tcPr>
          <w:p>
            <w:pPr>
              <w:pStyle w:val="0"/>
            </w:pPr>
            <w:r>
              <w:rPr>
                <w:sz w:val="20"/>
              </w:rPr>
              <w:t xml:space="preserve">22,9</w:t>
            </w:r>
          </w:p>
        </w:tc>
        <w:tc>
          <w:tcPr>
            <w:tcW w:w="859" w:type="dxa"/>
          </w:tcPr>
          <w:p>
            <w:pPr>
              <w:pStyle w:val="0"/>
            </w:pPr>
            <w:r>
              <w:rPr>
                <w:sz w:val="20"/>
              </w:rPr>
              <w:t xml:space="preserve">22,9</w:t>
            </w:r>
          </w:p>
        </w:tc>
        <w:tc>
          <w:tcPr>
            <w:tcW w:w="604" w:type="dxa"/>
          </w:tcPr>
          <w:p>
            <w:pPr>
              <w:pStyle w:val="0"/>
            </w:pPr>
            <w:r>
              <w:rPr>
                <w:sz w:val="20"/>
              </w:rPr>
              <w:t xml:space="preserve">22,5</w:t>
            </w:r>
          </w:p>
        </w:tc>
        <w:tc>
          <w:tcPr>
            <w:tcW w:w="604" w:type="dxa"/>
          </w:tcPr>
          <w:p>
            <w:pPr>
              <w:pStyle w:val="0"/>
            </w:pPr>
            <w:r>
              <w:rPr>
                <w:sz w:val="20"/>
              </w:rPr>
              <w:t xml:space="preserve">24,5</w:t>
            </w:r>
          </w:p>
        </w:tc>
        <w:tc>
          <w:tcPr>
            <w:tcW w:w="604" w:type="dxa"/>
          </w:tcPr>
          <w:p>
            <w:pPr>
              <w:pStyle w:val="0"/>
            </w:pPr>
            <w:r>
              <w:rPr>
                <w:sz w:val="20"/>
              </w:rPr>
              <w:t xml:space="preserve">20,6</w:t>
            </w:r>
          </w:p>
        </w:tc>
        <w:tc>
          <w:tcPr>
            <w:tcW w:w="604" w:type="dxa"/>
          </w:tcPr>
          <w:p>
            <w:pPr>
              <w:pStyle w:val="0"/>
            </w:pPr>
            <w:r>
              <w:rPr>
                <w:sz w:val="20"/>
              </w:rPr>
              <w:t xml:space="preserve">21,1</w:t>
            </w:r>
          </w:p>
        </w:tc>
        <w:tc>
          <w:tcPr>
            <w:tcW w:w="604" w:type="dxa"/>
          </w:tcPr>
          <w:p>
            <w:pPr>
              <w:pStyle w:val="0"/>
            </w:pPr>
            <w:r>
              <w:rPr>
                <w:sz w:val="20"/>
              </w:rPr>
              <w:t xml:space="preserve">20,6</w:t>
            </w:r>
          </w:p>
        </w:tc>
        <w:tc>
          <w:tcPr>
            <w:tcW w:w="604" w:type="dxa"/>
          </w:tcPr>
          <w:p>
            <w:pPr>
              <w:pStyle w:val="0"/>
            </w:pPr>
            <w:r>
              <w:rPr>
                <w:sz w:val="20"/>
              </w:rPr>
              <w:t xml:space="preserve">20,7</w:t>
            </w:r>
          </w:p>
        </w:tc>
        <w:tc>
          <w:tcPr>
            <w:tcW w:w="604" w:type="dxa"/>
          </w:tcPr>
          <w:p>
            <w:pPr>
              <w:pStyle w:val="0"/>
            </w:pPr>
            <w:r>
              <w:rPr>
                <w:sz w:val="20"/>
              </w:rPr>
              <w:t xml:space="preserve">20,5</w:t>
            </w:r>
          </w:p>
        </w:tc>
      </w:tr>
      <w:tr>
        <w:tc>
          <w:tcPr>
            <w:tcW w:w="2324" w:type="dxa"/>
          </w:tcPr>
          <w:p>
            <w:pPr>
              <w:pStyle w:val="0"/>
            </w:pPr>
            <w:r>
              <w:rPr>
                <w:sz w:val="20"/>
              </w:rPr>
              <w:t xml:space="preserve">Губа</w:t>
            </w:r>
          </w:p>
        </w:tc>
        <w:tc>
          <w:tcPr>
            <w:tcW w:w="1587" w:type="dxa"/>
          </w:tcPr>
          <w:p>
            <w:pPr>
              <w:pStyle w:val="0"/>
            </w:pPr>
            <w:r>
              <w:rPr>
                <w:sz w:val="20"/>
              </w:rPr>
              <w:t xml:space="preserve">С 00</w:t>
            </w:r>
          </w:p>
        </w:tc>
        <w:tc>
          <w:tcPr>
            <w:tcW w:w="859" w:type="dxa"/>
          </w:tcPr>
          <w:p>
            <w:pPr>
              <w:pStyle w:val="0"/>
            </w:pPr>
            <w:r>
              <w:rPr>
                <w:sz w:val="20"/>
              </w:rPr>
              <w:t xml:space="preserve">-</w:t>
            </w:r>
          </w:p>
        </w:tc>
        <w:tc>
          <w:tcPr>
            <w:tcW w:w="859" w:type="dxa"/>
          </w:tcPr>
          <w:p>
            <w:pPr>
              <w:pStyle w:val="0"/>
            </w:pPr>
            <w:r>
              <w:rPr>
                <w:sz w:val="20"/>
              </w:rPr>
              <w:t xml:space="preserve">6,7</w:t>
            </w:r>
          </w:p>
        </w:tc>
        <w:tc>
          <w:tcPr>
            <w:tcW w:w="859" w:type="dxa"/>
          </w:tcPr>
          <w:p>
            <w:pPr>
              <w:pStyle w:val="0"/>
            </w:pPr>
            <w:r>
              <w:rPr>
                <w:sz w:val="20"/>
              </w:rPr>
              <w:t xml:space="preserve">-</w:t>
            </w:r>
          </w:p>
        </w:tc>
        <w:tc>
          <w:tcPr>
            <w:tcW w:w="859" w:type="dxa"/>
          </w:tcPr>
          <w:p>
            <w:pPr>
              <w:pStyle w:val="0"/>
            </w:pPr>
            <w:r>
              <w:rPr>
                <w:sz w:val="20"/>
              </w:rPr>
              <w:t xml:space="preserve">-</w:t>
            </w:r>
          </w:p>
        </w:tc>
        <w:tc>
          <w:tcPr>
            <w:tcW w:w="604" w:type="dxa"/>
          </w:tcPr>
          <w:p>
            <w:pPr>
              <w:pStyle w:val="0"/>
            </w:pPr>
            <w:r>
              <w:rPr>
                <w:sz w:val="20"/>
              </w:rPr>
              <w:t xml:space="preserve">-</w:t>
            </w:r>
          </w:p>
        </w:tc>
        <w:tc>
          <w:tcPr>
            <w:tcW w:w="604" w:type="dxa"/>
          </w:tcPr>
          <w:p>
            <w:pPr>
              <w:pStyle w:val="0"/>
            </w:pPr>
            <w:r>
              <w:rPr>
                <w:sz w:val="20"/>
              </w:rPr>
              <w:t xml:space="preserve">-</w:t>
            </w:r>
          </w:p>
        </w:tc>
        <w:tc>
          <w:tcPr>
            <w:tcW w:w="604" w:type="dxa"/>
          </w:tcPr>
          <w:p>
            <w:pPr>
              <w:pStyle w:val="0"/>
            </w:pPr>
            <w:r>
              <w:rPr>
                <w:sz w:val="20"/>
              </w:rPr>
              <w:t xml:space="preserve">-</w:t>
            </w:r>
          </w:p>
        </w:tc>
        <w:tc>
          <w:tcPr>
            <w:tcW w:w="604" w:type="dxa"/>
          </w:tcPr>
          <w:p>
            <w:pPr>
              <w:pStyle w:val="0"/>
            </w:pPr>
            <w:r>
              <w:rPr>
                <w:sz w:val="20"/>
              </w:rPr>
              <w:t xml:space="preserve">-</w:t>
            </w:r>
          </w:p>
        </w:tc>
        <w:tc>
          <w:tcPr>
            <w:tcW w:w="604" w:type="dxa"/>
          </w:tcPr>
          <w:p>
            <w:pPr>
              <w:pStyle w:val="0"/>
            </w:pPr>
            <w:r>
              <w:rPr>
                <w:sz w:val="20"/>
              </w:rPr>
              <w:t xml:space="preserve">0,0</w:t>
            </w:r>
          </w:p>
        </w:tc>
        <w:tc>
          <w:tcPr>
            <w:tcW w:w="604" w:type="dxa"/>
          </w:tcPr>
          <w:p>
            <w:pPr>
              <w:pStyle w:val="0"/>
            </w:pPr>
            <w:r>
              <w:rPr>
                <w:sz w:val="20"/>
              </w:rPr>
              <w:t xml:space="preserve">16,7</w:t>
            </w:r>
          </w:p>
        </w:tc>
        <w:tc>
          <w:tcPr>
            <w:tcW w:w="604" w:type="dxa"/>
          </w:tcPr>
          <w:p>
            <w:pPr>
              <w:pStyle w:val="0"/>
            </w:pPr>
            <w:r>
              <w:rPr>
                <w:sz w:val="20"/>
              </w:rPr>
              <w:t xml:space="preserve">5,5</w:t>
            </w:r>
          </w:p>
        </w:tc>
      </w:tr>
      <w:tr>
        <w:tc>
          <w:tcPr>
            <w:tcW w:w="2324" w:type="dxa"/>
          </w:tcPr>
          <w:p>
            <w:pPr>
              <w:pStyle w:val="0"/>
            </w:pPr>
            <w:r>
              <w:rPr>
                <w:sz w:val="20"/>
              </w:rPr>
              <w:t xml:space="preserve">Полость рта</w:t>
            </w:r>
          </w:p>
        </w:tc>
        <w:tc>
          <w:tcPr>
            <w:tcW w:w="1587" w:type="dxa"/>
          </w:tcPr>
          <w:p>
            <w:pPr>
              <w:pStyle w:val="0"/>
            </w:pPr>
            <w:r>
              <w:rPr>
                <w:sz w:val="20"/>
              </w:rPr>
              <w:t xml:space="preserve">С 01 - 09</w:t>
            </w:r>
          </w:p>
        </w:tc>
        <w:tc>
          <w:tcPr>
            <w:tcW w:w="859" w:type="dxa"/>
          </w:tcPr>
          <w:p>
            <w:pPr>
              <w:pStyle w:val="0"/>
            </w:pPr>
            <w:r>
              <w:rPr>
                <w:sz w:val="20"/>
              </w:rPr>
              <w:t xml:space="preserve">27,5</w:t>
            </w:r>
          </w:p>
        </w:tc>
        <w:tc>
          <w:tcPr>
            <w:tcW w:w="859" w:type="dxa"/>
          </w:tcPr>
          <w:p>
            <w:pPr>
              <w:pStyle w:val="0"/>
            </w:pPr>
            <w:r>
              <w:rPr>
                <w:sz w:val="20"/>
              </w:rPr>
              <w:t xml:space="preserve">28,3</w:t>
            </w:r>
          </w:p>
        </w:tc>
        <w:tc>
          <w:tcPr>
            <w:tcW w:w="859" w:type="dxa"/>
          </w:tcPr>
          <w:p>
            <w:pPr>
              <w:pStyle w:val="0"/>
            </w:pPr>
            <w:r>
              <w:rPr>
                <w:sz w:val="20"/>
              </w:rPr>
              <w:t xml:space="preserve">37,1</w:t>
            </w:r>
          </w:p>
        </w:tc>
        <w:tc>
          <w:tcPr>
            <w:tcW w:w="859" w:type="dxa"/>
          </w:tcPr>
          <w:p>
            <w:pPr>
              <w:pStyle w:val="0"/>
            </w:pPr>
            <w:r>
              <w:rPr>
                <w:sz w:val="20"/>
              </w:rPr>
              <w:t xml:space="preserve">25,3</w:t>
            </w:r>
          </w:p>
        </w:tc>
        <w:tc>
          <w:tcPr>
            <w:tcW w:w="604" w:type="dxa"/>
          </w:tcPr>
          <w:p>
            <w:pPr>
              <w:pStyle w:val="0"/>
            </w:pPr>
            <w:r>
              <w:rPr>
                <w:sz w:val="20"/>
              </w:rPr>
              <w:t xml:space="preserve">34</w:t>
            </w:r>
          </w:p>
        </w:tc>
        <w:tc>
          <w:tcPr>
            <w:tcW w:w="604" w:type="dxa"/>
          </w:tcPr>
          <w:p>
            <w:pPr>
              <w:pStyle w:val="0"/>
            </w:pPr>
            <w:r>
              <w:rPr>
                <w:sz w:val="20"/>
              </w:rPr>
              <w:t xml:space="preserve">40</w:t>
            </w:r>
          </w:p>
        </w:tc>
        <w:tc>
          <w:tcPr>
            <w:tcW w:w="604" w:type="dxa"/>
          </w:tcPr>
          <w:p>
            <w:pPr>
              <w:pStyle w:val="0"/>
            </w:pPr>
            <w:r>
              <w:rPr>
                <w:sz w:val="20"/>
              </w:rPr>
              <w:t xml:space="preserve">41,3</w:t>
            </w:r>
          </w:p>
        </w:tc>
        <w:tc>
          <w:tcPr>
            <w:tcW w:w="604" w:type="dxa"/>
          </w:tcPr>
          <w:p>
            <w:pPr>
              <w:pStyle w:val="0"/>
            </w:pPr>
            <w:r>
              <w:rPr>
                <w:sz w:val="20"/>
              </w:rPr>
              <w:t xml:space="preserve">29,4</w:t>
            </w:r>
          </w:p>
        </w:tc>
        <w:tc>
          <w:tcPr>
            <w:tcW w:w="604" w:type="dxa"/>
          </w:tcPr>
          <w:p>
            <w:pPr>
              <w:pStyle w:val="0"/>
            </w:pPr>
            <w:r>
              <w:rPr>
                <w:sz w:val="20"/>
              </w:rPr>
              <w:t xml:space="preserve">31,2</w:t>
            </w:r>
          </w:p>
        </w:tc>
        <w:tc>
          <w:tcPr>
            <w:tcW w:w="604" w:type="dxa"/>
          </w:tcPr>
          <w:p>
            <w:pPr>
              <w:pStyle w:val="0"/>
            </w:pPr>
            <w:r>
              <w:rPr>
                <w:sz w:val="20"/>
              </w:rPr>
              <w:t xml:space="preserve">51,4</w:t>
            </w:r>
          </w:p>
        </w:tc>
        <w:tc>
          <w:tcPr>
            <w:tcW w:w="604" w:type="dxa"/>
          </w:tcPr>
          <w:p>
            <w:pPr>
              <w:pStyle w:val="0"/>
            </w:pPr>
            <w:r>
              <w:rPr>
                <w:sz w:val="20"/>
              </w:rPr>
              <w:t xml:space="preserve">37,6</w:t>
            </w:r>
          </w:p>
        </w:tc>
      </w:tr>
      <w:tr>
        <w:tc>
          <w:tcPr>
            <w:tcW w:w="2324" w:type="dxa"/>
          </w:tcPr>
          <w:p>
            <w:pPr>
              <w:pStyle w:val="0"/>
            </w:pPr>
            <w:r>
              <w:rPr>
                <w:sz w:val="20"/>
              </w:rPr>
              <w:t xml:space="preserve">Глотка</w:t>
            </w:r>
          </w:p>
        </w:tc>
        <w:tc>
          <w:tcPr>
            <w:tcW w:w="1587" w:type="dxa"/>
          </w:tcPr>
          <w:p>
            <w:pPr>
              <w:pStyle w:val="0"/>
            </w:pPr>
            <w:r>
              <w:rPr>
                <w:sz w:val="20"/>
              </w:rPr>
              <w:t xml:space="preserve">С 10 - 13</w:t>
            </w:r>
          </w:p>
        </w:tc>
        <w:tc>
          <w:tcPr>
            <w:tcW w:w="859" w:type="dxa"/>
          </w:tcPr>
          <w:p>
            <w:pPr>
              <w:pStyle w:val="0"/>
            </w:pPr>
            <w:r>
              <w:rPr>
                <w:sz w:val="20"/>
              </w:rPr>
            </w:r>
          </w:p>
        </w:tc>
        <w:tc>
          <w:tcPr>
            <w:tcW w:w="859" w:type="dxa"/>
          </w:tcPr>
          <w:p>
            <w:pPr>
              <w:pStyle w:val="0"/>
            </w:pPr>
            <w:r>
              <w:rPr>
                <w:sz w:val="20"/>
              </w:rPr>
              <w:t xml:space="preserve">41,2</w:t>
            </w:r>
          </w:p>
        </w:tc>
        <w:tc>
          <w:tcPr>
            <w:tcW w:w="859" w:type="dxa"/>
          </w:tcPr>
          <w:p>
            <w:pPr>
              <w:pStyle w:val="0"/>
            </w:pPr>
            <w:r>
              <w:rPr>
                <w:sz w:val="20"/>
              </w:rPr>
              <w:t xml:space="preserve">25</w:t>
            </w:r>
          </w:p>
        </w:tc>
        <w:tc>
          <w:tcPr>
            <w:tcW w:w="859" w:type="dxa"/>
          </w:tcPr>
          <w:p>
            <w:pPr>
              <w:pStyle w:val="0"/>
            </w:pPr>
            <w:r>
              <w:rPr>
                <w:sz w:val="20"/>
              </w:rPr>
              <w:t xml:space="preserve">34,6</w:t>
            </w:r>
          </w:p>
        </w:tc>
        <w:tc>
          <w:tcPr>
            <w:tcW w:w="604" w:type="dxa"/>
          </w:tcPr>
          <w:p>
            <w:pPr>
              <w:pStyle w:val="0"/>
            </w:pPr>
            <w:r>
              <w:rPr>
                <w:sz w:val="20"/>
              </w:rPr>
              <w:t xml:space="preserve">33,3</w:t>
            </w:r>
          </w:p>
        </w:tc>
        <w:tc>
          <w:tcPr>
            <w:tcW w:w="604" w:type="dxa"/>
          </w:tcPr>
          <w:p>
            <w:pPr>
              <w:pStyle w:val="0"/>
            </w:pPr>
            <w:r>
              <w:rPr>
                <w:sz w:val="20"/>
              </w:rPr>
              <w:t xml:space="preserve">58,6</w:t>
            </w:r>
          </w:p>
        </w:tc>
        <w:tc>
          <w:tcPr>
            <w:tcW w:w="604" w:type="dxa"/>
          </w:tcPr>
          <w:p>
            <w:pPr>
              <w:pStyle w:val="0"/>
            </w:pPr>
            <w:r>
              <w:rPr>
                <w:sz w:val="20"/>
              </w:rPr>
              <w:t xml:space="preserve">45,2</w:t>
            </w:r>
          </w:p>
        </w:tc>
        <w:tc>
          <w:tcPr>
            <w:tcW w:w="604" w:type="dxa"/>
          </w:tcPr>
          <w:p>
            <w:pPr>
              <w:pStyle w:val="0"/>
            </w:pPr>
            <w:r>
              <w:rPr>
                <w:sz w:val="20"/>
              </w:rPr>
              <w:t xml:space="preserve">47,6</w:t>
            </w:r>
          </w:p>
        </w:tc>
        <w:tc>
          <w:tcPr>
            <w:tcW w:w="604" w:type="dxa"/>
          </w:tcPr>
          <w:p>
            <w:pPr>
              <w:pStyle w:val="0"/>
            </w:pPr>
            <w:r>
              <w:rPr>
                <w:sz w:val="20"/>
              </w:rPr>
              <w:t xml:space="preserve">56,5</w:t>
            </w:r>
          </w:p>
        </w:tc>
        <w:tc>
          <w:tcPr>
            <w:tcW w:w="604" w:type="dxa"/>
          </w:tcPr>
          <w:p>
            <w:pPr>
              <w:pStyle w:val="0"/>
            </w:pPr>
            <w:r>
              <w:rPr>
                <w:sz w:val="20"/>
              </w:rPr>
              <w:t xml:space="preserve">57,1</w:t>
            </w:r>
          </w:p>
        </w:tc>
        <w:tc>
          <w:tcPr>
            <w:tcW w:w="604" w:type="dxa"/>
          </w:tcPr>
          <w:p>
            <w:pPr>
              <w:pStyle w:val="0"/>
            </w:pPr>
            <w:r>
              <w:rPr>
                <w:sz w:val="20"/>
              </w:rPr>
              <w:t xml:space="preserve">52,4</w:t>
            </w:r>
          </w:p>
        </w:tc>
      </w:tr>
      <w:tr>
        <w:tc>
          <w:tcPr>
            <w:tcW w:w="2324" w:type="dxa"/>
          </w:tcPr>
          <w:p>
            <w:pPr>
              <w:pStyle w:val="0"/>
            </w:pPr>
            <w:r>
              <w:rPr>
                <w:sz w:val="20"/>
              </w:rPr>
              <w:t xml:space="preserve">Пищевод</w:t>
            </w:r>
          </w:p>
        </w:tc>
        <w:tc>
          <w:tcPr>
            <w:tcW w:w="1587" w:type="dxa"/>
          </w:tcPr>
          <w:p>
            <w:pPr>
              <w:pStyle w:val="0"/>
            </w:pPr>
            <w:r>
              <w:rPr>
                <w:sz w:val="20"/>
              </w:rPr>
              <w:t xml:space="preserve">С 15</w:t>
            </w:r>
          </w:p>
        </w:tc>
        <w:tc>
          <w:tcPr>
            <w:tcW w:w="859" w:type="dxa"/>
          </w:tcPr>
          <w:p>
            <w:pPr>
              <w:pStyle w:val="0"/>
            </w:pPr>
            <w:r>
              <w:rPr>
                <w:sz w:val="20"/>
              </w:rPr>
              <w:t xml:space="preserve">31,1</w:t>
            </w:r>
          </w:p>
        </w:tc>
        <w:tc>
          <w:tcPr>
            <w:tcW w:w="859" w:type="dxa"/>
          </w:tcPr>
          <w:p>
            <w:pPr>
              <w:pStyle w:val="0"/>
            </w:pPr>
            <w:r>
              <w:rPr>
                <w:sz w:val="20"/>
              </w:rPr>
              <w:t xml:space="preserve">39</w:t>
            </w:r>
          </w:p>
        </w:tc>
        <w:tc>
          <w:tcPr>
            <w:tcW w:w="859" w:type="dxa"/>
          </w:tcPr>
          <w:p>
            <w:pPr>
              <w:pStyle w:val="0"/>
            </w:pPr>
            <w:r>
              <w:rPr>
                <w:sz w:val="20"/>
              </w:rPr>
              <w:t xml:space="preserve">28,1</w:t>
            </w:r>
          </w:p>
        </w:tc>
        <w:tc>
          <w:tcPr>
            <w:tcW w:w="859" w:type="dxa"/>
          </w:tcPr>
          <w:p>
            <w:pPr>
              <w:pStyle w:val="0"/>
            </w:pPr>
            <w:r>
              <w:rPr>
                <w:sz w:val="20"/>
              </w:rPr>
              <w:t xml:space="preserve">36,2</w:t>
            </w:r>
          </w:p>
        </w:tc>
        <w:tc>
          <w:tcPr>
            <w:tcW w:w="604" w:type="dxa"/>
          </w:tcPr>
          <w:p>
            <w:pPr>
              <w:pStyle w:val="0"/>
            </w:pPr>
            <w:r>
              <w:rPr>
                <w:sz w:val="20"/>
              </w:rPr>
              <w:t xml:space="preserve">29,1</w:t>
            </w:r>
          </w:p>
        </w:tc>
        <w:tc>
          <w:tcPr>
            <w:tcW w:w="604" w:type="dxa"/>
          </w:tcPr>
          <w:p>
            <w:pPr>
              <w:pStyle w:val="0"/>
            </w:pPr>
            <w:r>
              <w:rPr>
                <w:sz w:val="20"/>
              </w:rPr>
              <w:t xml:space="preserve">33,3</w:t>
            </w:r>
          </w:p>
        </w:tc>
        <w:tc>
          <w:tcPr>
            <w:tcW w:w="604" w:type="dxa"/>
          </w:tcPr>
          <w:p>
            <w:pPr>
              <w:pStyle w:val="0"/>
            </w:pPr>
            <w:r>
              <w:rPr>
                <w:sz w:val="20"/>
              </w:rPr>
              <w:t xml:space="preserve">38,6</w:t>
            </w:r>
          </w:p>
        </w:tc>
        <w:tc>
          <w:tcPr>
            <w:tcW w:w="604" w:type="dxa"/>
          </w:tcPr>
          <w:p>
            <w:pPr>
              <w:pStyle w:val="0"/>
            </w:pPr>
            <w:r>
              <w:rPr>
                <w:sz w:val="20"/>
              </w:rPr>
              <w:t xml:space="preserve">27,1</w:t>
            </w:r>
          </w:p>
        </w:tc>
        <w:tc>
          <w:tcPr>
            <w:tcW w:w="604" w:type="dxa"/>
          </w:tcPr>
          <w:p>
            <w:pPr>
              <w:pStyle w:val="0"/>
            </w:pPr>
            <w:r>
              <w:rPr>
                <w:sz w:val="20"/>
              </w:rPr>
              <w:t xml:space="preserve">29,3</w:t>
            </w:r>
          </w:p>
        </w:tc>
        <w:tc>
          <w:tcPr>
            <w:tcW w:w="604" w:type="dxa"/>
          </w:tcPr>
          <w:p>
            <w:pPr>
              <w:pStyle w:val="0"/>
            </w:pPr>
            <w:r>
              <w:rPr>
                <w:sz w:val="20"/>
              </w:rPr>
              <w:t xml:space="preserve">37,3</w:t>
            </w:r>
          </w:p>
        </w:tc>
        <w:tc>
          <w:tcPr>
            <w:tcW w:w="604" w:type="dxa"/>
          </w:tcPr>
          <w:p>
            <w:pPr>
              <w:pStyle w:val="0"/>
            </w:pPr>
            <w:r>
              <w:rPr>
                <w:sz w:val="20"/>
              </w:rPr>
              <w:t xml:space="preserve">31,9</w:t>
            </w:r>
          </w:p>
        </w:tc>
      </w:tr>
      <w:tr>
        <w:tc>
          <w:tcPr>
            <w:tcW w:w="2324" w:type="dxa"/>
          </w:tcPr>
          <w:p>
            <w:pPr>
              <w:pStyle w:val="0"/>
            </w:pPr>
            <w:r>
              <w:rPr>
                <w:sz w:val="20"/>
              </w:rPr>
              <w:t xml:space="preserve">Желудок</w:t>
            </w:r>
          </w:p>
        </w:tc>
        <w:tc>
          <w:tcPr>
            <w:tcW w:w="1587" w:type="dxa"/>
          </w:tcPr>
          <w:p>
            <w:pPr>
              <w:pStyle w:val="0"/>
            </w:pPr>
            <w:r>
              <w:rPr>
                <w:sz w:val="20"/>
              </w:rPr>
              <w:t xml:space="preserve">С 16</w:t>
            </w:r>
          </w:p>
        </w:tc>
        <w:tc>
          <w:tcPr>
            <w:tcW w:w="859" w:type="dxa"/>
          </w:tcPr>
          <w:p>
            <w:pPr>
              <w:pStyle w:val="0"/>
            </w:pPr>
            <w:r>
              <w:rPr>
                <w:sz w:val="20"/>
              </w:rPr>
              <w:t xml:space="preserve">44,3</w:t>
            </w:r>
          </w:p>
        </w:tc>
        <w:tc>
          <w:tcPr>
            <w:tcW w:w="859" w:type="dxa"/>
          </w:tcPr>
          <w:p>
            <w:pPr>
              <w:pStyle w:val="0"/>
            </w:pPr>
            <w:r>
              <w:rPr>
                <w:sz w:val="20"/>
              </w:rPr>
              <w:t xml:space="preserve">50,5</w:t>
            </w:r>
          </w:p>
        </w:tc>
        <w:tc>
          <w:tcPr>
            <w:tcW w:w="859" w:type="dxa"/>
          </w:tcPr>
          <w:p>
            <w:pPr>
              <w:pStyle w:val="0"/>
            </w:pPr>
            <w:r>
              <w:rPr>
                <w:sz w:val="20"/>
              </w:rPr>
              <w:t xml:space="preserve">50,4</w:t>
            </w:r>
          </w:p>
        </w:tc>
        <w:tc>
          <w:tcPr>
            <w:tcW w:w="859" w:type="dxa"/>
          </w:tcPr>
          <w:p>
            <w:pPr>
              <w:pStyle w:val="0"/>
            </w:pPr>
            <w:r>
              <w:rPr>
                <w:sz w:val="20"/>
              </w:rPr>
              <w:t xml:space="preserve">44,6</w:t>
            </w:r>
          </w:p>
        </w:tc>
        <w:tc>
          <w:tcPr>
            <w:tcW w:w="604" w:type="dxa"/>
          </w:tcPr>
          <w:p>
            <w:pPr>
              <w:pStyle w:val="0"/>
            </w:pPr>
            <w:r>
              <w:rPr>
                <w:sz w:val="20"/>
              </w:rPr>
              <w:t xml:space="preserve">47,6</w:t>
            </w:r>
          </w:p>
        </w:tc>
        <w:tc>
          <w:tcPr>
            <w:tcW w:w="604" w:type="dxa"/>
          </w:tcPr>
          <w:p>
            <w:pPr>
              <w:pStyle w:val="0"/>
            </w:pPr>
            <w:r>
              <w:rPr>
                <w:sz w:val="20"/>
              </w:rPr>
              <w:t xml:space="preserve">47,6</w:t>
            </w:r>
          </w:p>
        </w:tc>
        <w:tc>
          <w:tcPr>
            <w:tcW w:w="604" w:type="dxa"/>
          </w:tcPr>
          <w:p>
            <w:pPr>
              <w:pStyle w:val="0"/>
            </w:pPr>
            <w:r>
              <w:rPr>
                <w:sz w:val="20"/>
              </w:rPr>
              <w:t xml:space="preserve">41,4</w:t>
            </w:r>
          </w:p>
        </w:tc>
        <w:tc>
          <w:tcPr>
            <w:tcW w:w="604" w:type="dxa"/>
          </w:tcPr>
          <w:p>
            <w:pPr>
              <w:pStyle w:val="0"/>
            </w:pPr>
            <w:r>
              <w:rPr>
                <w:sz w:val="20"/>
              </w:rPr>
              <w:t xml:space="preserve">43,2</w:t>
            </w:r>
          </w:p>
        </w:tc>
        <w:tc>
          <w:tcPr>
            <w:tcW w:w="604" w:type="dxa"/>
          </w:tcPr>
          <w:p>
            <w:pPr>
              <w:pStyle w:val="0"/>
            </w:pPr>
            <w:r>
              <w:rPr>
                <w:sz w:val="20"/>
              </w:rPr>
              <w:t xml:space="preserve">37,7</w:t>
            </w:r>
          </w:p>
        </w:tc>
        <w:tc>
          <w:tcPr>
            <w:tcW w:w="604" w:type="dxa"/>
          </w:tcPr>
          <w:p>
            <w:pPr>
              <w:pStyle w:val="0"/>
            </w:pPr>
            <w:r>
              <w:rPr>
                <w:sz w:val="20"/>
              </w:rPr>
              <w:t xml:space="preserve">39,8</w:t>
            </w:r>
          </w:p>
        </w:tc>
        <w:tc>
          <w:tcPr>
            <w:tcW w:w="604" w:type="dxa"/>
          </w:tcPr>
          <w:p>
            <w:pPr>
              <w:pStyle w:val="0"/>
            </w:pPr>
            <w:r>
              <w:rPr>
                <w:sz w:val="20"/>
              </w:rPr>
              <w:t xml:space="preserve">40</w:t>
            </w:r>
          </w:p>
        </w:tc>
      </w:tr>
      <w:tr>
        <w:tc>
          <w:tcPr>
            <w:tcW w:w="2324" w:type="dxa"/>
          </w:tcPr>
          <w:p>
            <w:pPr>
              <w:pStyle w:val="0"/>
            </w:pPr>
            <w:r>
              <w:rPr>
                <w:sz w:val="20"/>
              </w:rPr>
              <w:t xml:space="preserve">Ободочная кишка</w:t>
            </w:r>
          </w:p>
        </w:tc>
        <w:tc>
          <w:tcPr>
            <w:tcW w:w="1587" w:type="dxa"/>
          </w:tcPr>
          <w:p>
            <w:pPr>
              <w:pStyle w:val="0"/>
            </w:pPr>
            <w:r>
              <w:rPr>
                <w:sz w:val="20"/>
              </w:rPr>
              <w:t xml:space="preserve">С 18</w:t>
            </w:r>
          </w:p>
        </w:tc>
        <w:tc>
          <w:tcPr>
            <w:tcW w:w="859" w:type="dxa"/>
          </w:tcPr>
          <w:p>
            <w:pPr>
              <w:pStyle w:val="0"/>
            </w:pPr>
            <w:r>
              <w:rPr>
                <w:sz w:val="20"/>
              </w:rPr>
              <w:t xml:space="preserve">24,9</w:t>
            </w:r>
          </w:p>
        </w:tc>
        <w:tc>
          <w:tcPr>
            <w:tcW w:w="859" w:type="dxa"/>
          </w:tcPr>
          <w:p>
            <w:pPr>
              <w:pStyle w:val="0"/>
            </w:pPr>
            <w:r>
              <w:rPr>
                <w:sz w:val="20"/>
              </w:rPr>
              <w:t xml:space="preserve">25,6</w:t>
            </w:r>
          </w:p>
        </w:tc>
        <w:tc>
          <w:tcPr>
            <w:tcW w:w="859" w:type="dxa"/>
          </w:tcPr>
          <w:p>
            <w:pPr>
              <w:pStyle w:val="0"/>
            </w:pPr>
            <w:r>
              <w:rPr>
                <w:sz w:val="20"/>
              </w:rPr>
              <w:t xml:space="preserve">29,3</w:t>
            </w:r>
          </w:p>
        </w:tc>
        <w:tc>
          <w:tcPr>
            <w:tcW w:w="859" w:type="dxa"/>
          </w:tcPr>
          <w:p>
            <w:pPr>
              <w:pStyle w:val="0"/>
            </w:pPr>
            <w:r>
              <w:rPr>
                <w:sz w:val="20"/>
              </w:rPr>
              <w:t xml:space="preserve">23,5</w:t>
            </w:r>
          </w:p>
        </w:tc>
        <w:tc>
          <w:tcPr>
            <w:tcW w:w="604" w:type="dxa"/>
          </w:tcPr>
          <w:p>
            <w:pPr>
              <w:pStyle w:val="0"/>
            </w:pPr>
            <w:r>
              <w:rPr>
                <w:sz w:val="20"/>
              </w:rPr>
              <w:t xml:space="preserve">26,2</w:t>
            </w:r>
          </w:p>
        </w:tc>
        <w:tc>
          <w:tcPr>
            <w:tcW w:w="604" w:type="dxa"/>
          </w:tcPr>
          <w:p>
            <w:pPr>
              <w:pStyle w:val="0"/>
            </w:pPr>
            <w:r>
              <w:rPr>
                <w:sz w:val="20"/>
              </w:rPr>
              <w:t xml:space="preserve">24,3</w:t>
            </w:r>
          </w:p>
        </w:tc>
        <w:tc>
          <w:tcPr>
            <w:tcW w:w="604" w:type="dxa"/>
          </w:tcPr>
          <w:p>
            <w:pPr>
              <w:pStyle w:val="0"/>
            </w:pPr>
            <w:r>
              <w:rPr>
                <w:sz w:val="20"/>
              </w:rPr>
              <w:t xml:space="preserve">22,2</w:t>
            </w:r>
          </w:p>
        </w:tc>
        <w:tc>
          <w:tcPr>
            <w:tcW w:w="604" w:type="dxa"/>
          </w:tcPr>
          <w:p>
            <w:pPr>
              <w:pStyle w:val="0"/>
            </w:pPr>
            <w:r>
              <w:rPr>
                <w:sz w:val="20"/>
              </w:rPr>
              <w:t xml:space="preserve">26,9</w:t>
            </w:r>
          </w:p>
        </w:tc>
        <w:tc>
          <w:tcPr>
            <w:tcW w:w="604" w:type="dxa"/>
          </w:tcPr>
          <w:p>
            <w:pPr>
              <w:pStyle w:val="0"/>
            </w:pPr>
            <w:r>
              <w:rPr>
                <w:sz w:val="20"/>
              </w:rPr>
              <w:t xml:space="preserve">27,5</w:t>
            </w:r>
          </w:p>
        </w:tc>
        <w:tc>
          <w:tcPr>
            <w:tcW w:w="604" w:type="dxa"/>
          </w:tcPr>
          <w:p>
            <w:pPr>
              <w:pStyle w:val="0"/>
            </w:pPr>
            <w:r>
              <w:rPr>
                <w:sz w:val="20"/>
              </w:rPr>
              <w:t xml:space="preserve">27,2</w:t>
            </w:r>
          </w:p>
        </w:tc>
        <w:tc>
          <w:tcPr>
            <w:tcW w:w="604" w:type="dxa"/>
          </w:tcPr>
          <w:p>
            <w:pPr>
              <w:pStyle w:val="0"/>
            </w:pPr>
            <w:r>
              <w:rPr>
                <w:sz w:val="20"/>
              </w:rPr>
              <w:t xml:space="preserve">26,8</w:t>
            </w:r>
          </w:p>
        </w:tc>
      </w:tr>
      <w:tr>
        <w:tc>
          <w:tcPr>
            <w:tcW w:w="2324" w:type="dxa"/>
          </w:tcPr>
          <w:p>
            <w:pPr>
              <w:pStyle w:val="0"/>
            </w:pPr>
            <w:r>
              <w:rPr>
                <w:sz w:val="20"/>
              </w:rPr>
              <w:t xml:space="preserve">Прямая кишка, ректосигмоидное соединение, анус</w:t>
            </w:r>
          </w:p>
        </w:tc>
        <w:tc>
          <w:tcPr>
            <w:tcW w:w="1587" w:type="dxa"/>
          </w:tcPr>
          <w:p>
            <w:pPr>
              <w:pStyle w:val="0"/>
            </w:pPr>
            <w:r>
              <w:rPr>
                <w:sz w:val="20"/>
              </w:rPr>
              <w:t xml:space="preserve">С 19 - 21</w:t>
            </w:r>
          </w:p>
        </w:tc>
        <w:tc>
          <w:tcPr>
            <w:tcW w:w="859" w:type="dxa"/>
          </w:tcPr>
          <w:p>
            <w:pPr>
              <w:pStyle w:val="0"/>
            </w:pPr>
            <w:r>
              <w:rPr>
                <w:sz w:val="20"/>
              </w:rPr>
              <w:t xml:space="preserve">31,8</w:t>
            </w:r>
          </w:p>
        </w:tc>
        <w:tc>
          <w:tcPr>
            <w:tcW w:w="859" w:type="dxa"/>
          </w:tcPr>
          <w:p>
            <w:pPr>
              <w:pStyle w:val="0"/>
            </w:pPr>
            <w:r>
              <w:rPr>
                <w:sz w:val="20"/>
              </w:rPr>
              <w:t xml:space="preserve">21,1</w:t>
            </w:r>
          </w:p>
        </w:tc>
        <w:tc>
          <w:tcPr>
            <w:tcW w:w="859" w:type="dxa"/>
          </w:tcPr>
          <w:p>
            <w:pPr>
              <w:pStyle w:val="0"/>
            </w:pPr>
            <w:r>
              <w:rPr>
                <w:sz w:val="20"/>
              </w:rPr>
              <w:t xml:space="preserve">21,6</w:t>
            </w:r>
          </w:p>
        </w:tc>
        <w:tc>
          <w:tcPr>
            <w:tcW w:w="859" w:type="dxa"/>
          </w:tcPr>
          <w:p>
            <w:pPr>
              <w:pStyle w:val="0"/>
            </w:pPr>
            <w:r>
              <w:rPr>
                <w:sz w:val="20"/>
              </w:rPr>
              <w:t xml:space="preserve">25,3</w:t>
            </w:r>
          </w:p>
        </w:tc>
        <w:tc>
          <w:tcPr>
            <w:tcW w:w="604" w:type="dxa"/>
          </w:tcPr>
          <w:p>
            <w:pPr>
              <w:pStyle w:val="0"/>
            </w:pPr>
            <w:r>
              <w:rPr>
                <w:sz w:val="20"/>
              </w:rPr>
              <w:t xml:space="preserve">20,3</w:t>
            </w:r>
          </w:p>
        </w:tc>
        <w:tc>
          <w:tcPr>
            <w:tcW w:w="604" w:type="dxa"/>
          </w:tcPr>
          <w:p>
            <w:pPr>
              <w:pStyle w:val="0"/>
            </w:pPr>
            <w:r>
              <w:rPr>
                <w:sz w:val="20"/>
              </w:rPr>
              <w:t xml:space="preserve">23,6</w:t>
            </w:r>
          </w:p>
        </w:tc>
        <w:tc>
          <w:tcPr>
            <w:tcW w:w="604" w:type="dxa"/>
          </w:tcPr>
          <w:p>
            <w:pPr>
              <w:pStyle w:val="0"/>
            </w:pPr>
            <w:r>
              <w:rPr>
                <w:sz w:val="20"/>
              </w:rPr>
              <w:t xml:space="preserve">21,7</w:t>
            </w:r>
          </w:p>
        </w:tc>
        <w:tc>
          <w:tcPr>
            <w:tcW w:w="604" w:type="dxa"/>
          </w:tcPr>
          <w:p>
            <w:pPr>
              <w:pStyle w:val="0"/>
            </w:pPr>
            <w:r>
              <w:rPr>
                <w:sz w:val="20"/>
              </w:rPr>
              <w:t xml:space="preserve">23,8</w:t>
            </w:r>
          </w:p>
        </w:tc>
        <w:tc>
          <w:tcPr>
            <w:tcW w:w="604" w:type="dxa"/>
          </w:tcPr>
          <w:p>
            <w:pPr>
              <w:pStyle w:val="0"/>
            </w:pPr>
            <w:r>
              <w:rPr>
                <w:sz w:val="20"/>
              </w:rPr>
              <w:t xml:space="preserve">22,8</w:t>
            </w:r>
          </w:p>
        </w:tc>
        <w:tc>
          <w:tcPr>
            <w:tcW w:w="604" w:type="dxa"/>
          </w:tcPr>
          <w:p>
            <w:pPr>
              <w:pStyle w:val="0"/>
            </w:pPr>
            <w:r>
              <w:rPr>
                <w:sz w:val="20"/>
              </w:rPr>
              <w:t xml:space="preserve">19,2</w:t>
            </w:r>
          </w:p>
        </w:tc>
        <w:tc>
          <w:tcPr>
            <w:tcW w:w="604" w:type="dxa"/>
          </w:tcPr>
          <w:p>
            <w:pPr>
              <w:pStyle w:val="0"/>
            </w:pPr>
            <w:r>
              <w:rPr>
                <w:sz w:val="20"/>
              </w:rPr>
              <w:t xml:space="preserve">22,2</w:t>
            </w:r>
          </w:p>
        </w:tc>
      </w:tr>
      <w:tr>
        <w:tc>
          <w:tcPr>
            <w:tcW w:w="2324" w:type="dxa"/>
          </w:tcPr>
          <w:p>
            <w:pPr>
              <w:pStyle w:val="0"/>
            </w:pPr>
            <w:r>
              <w:rPr>
                <w:sz w:val="20"/>
              </w:rPr>
              <w:t xml:space="preserve">Печень и внутрипеченочные желчные протоки</w:t>
            </w:r>
          </w:p>
        </w:tc>
        <w:tc>
          <w:tcPr>
            <w:tcW w:w="1587" w:type="dxa"/>
          </w:tcPr>
          <w:p>
            <w:pPr>
              <w:pStyle w:val="0"/>
            </w:pPr>
            <w:r>
              <w:rPr>
                <w:sz w:val="20"/>
              </w:rPr>
              <w:t xml:space="preserve">С 22</w:t>
            </w:r>
          </w:p>
        </w:tc>
        <w:tc>
          <w:tcPr>
            <w:tcW w:w="859" w:type="dxa"/>
          </w:tcPr>
          <w:p>
            <w:pPr>
              <w:pStyle w:val="0"/>
            </w:pPr>
            <w:r>
              <w:rPr>
                <w:sz w:val="20"/>
              </w:rPr>
              <w:t xml:space="preserve">64,5</w:t>
            </w:r>
          </w:p>
        </w:tc>
        <w:tc>
          <w:tcPr>
            <w:tcW w:w="859" w:type="dxa"/>
          </w:tcPr>
          <w:p>
            <w:pPr>
              <w:pStyle w:val="0"/>
            </w:pPr>
            <w:r>
              <w:rPr>
                <w:sz w:val="20"/>
              </w:rPr>
              <w:t xml:space="preserve">69,3</w:t>
            </w:r>
          </w:p>
        </w:tc>
        <w:tc>
          <w:tcPr>
            <w:tcW w:w="859" w:type="dxa"/>
          </w:tcPr>
          <w:p>
            <w:pPr>
              <w:pStyle w:val="0"/>
            </w:pPr>
            <w:r>
              <w:rPr>
                <w:sz w:val="20"/>
              </w:rPr>
              <w:t xml:space="preserve">73,9</w:t>
            </w:r>
          </w:p>
        </w:tc>
        <w:tc>
          <w:tcPr>
            <w:tcW w:w="859" w:type="dxa"/>
          </w:tcPr>
          <w:p>
            <w:pPr>
              <w:pStyle w:val="0"/>
            </w:pPr>
            <w:r>
              <w:rPr>
                <w:sz w:val="20"/>
              </w:rPr>
              <w:t xml:space="preserve">70</w:t>
            </w:r>
          </w:p>
        </w:tc>
        <w:tc>
          <w:tcPr>
            <w:tcW w:w="604" w:type="dxa"/>
          </w:tcPr>
          <w:p>
            <w:pPr>
              <w:pStyle w:val="0"/>
            </w:pPr>
            <w:r>
              <w:rPr>
                <w:sz w:val="20"/>
              </w:rPr>
              <w:t xml:space="preserve">77,1</w:t>
            </w:r>
          </w:p>
        </w:tc>
        <w:tc>
          <w:tcPr>
            <w:tcW w:w="604" w:type="dxa"/>
          </w:tcPr>
          <w:p>
            <w:pPr>
              <w:pStyle w:val="0"/>
            </w:pPr>
            <w:r>
              <w:rPr>
                <w:sz w:val="20"/>
              </w:rPr>
              <w:t xml:space="preserve">70,9</w:t>
            </w:r>
          </w:p>
        </w:tc>
        <w:tc>
          <w:tcPr>
            <w:tcW w:w="604" w:type="dxa"/>
          </w:tcPr>
          <w:p>
            <w:pPr>
              <w:pStyle w:val="0"/>
            </w:pPr>
            <w:r>
              <w:rPr>
                <w:sz w:val="20"/>
              </w:rPr>
              <w:t xml:space="preserve">61,5</w:t>
            </w:r>
          </w:p>
        </w:tc>
        <w:tc>
          <w:tcPr>
            <w:tcW w:w="604" w:type="dxa"/>
          </w:tcPr>
          <w:p>
            <w:pPr>
              <w:pStyle w:val="0"/>
            </w:pPr>
            <w:r>
              <w:rPr>
                <w:sz w:val="20"/>
              </w:rPr>
              <w:t xml:space="preserve">58,5</w:t>
            </w:r>
          </w:p>
        </w:tc>
        <w:tc>
          <w:tcPr>
            <w:tcW w:w="604" w:type="dxa"/>
          </w:tcPr>
          <w:p>
            <w:pPr>
              <w:pStyle w:val="0"/>
            </w:pPr>
            <w:r>
              <w:rPr>
                <w:sz w:val="20"/>
              </w:rPr>
              <w:t xml:space="preserve">66,7</w:t>
            </w:r>
          </w:p>
        </w:tc>
        <w:tc>
          <w:tcPr>
            <w:tcW w:w="604" w:type="dxa"/>
          </w:tcPr>
          <w:p>
            <w:pPr>
              <w:pStyle w:val="0"/>
            </w:pPr>
            <w:r>
              <w:rPr>
                <w:sz w:val="20"/>
              </w:rPr>
              <w:t xml:space="preserve">69,3</w:t>
            </w:r>
          </w:p>
        </w:tc>
        <w:tc>
          <w:tcPr>
            <w:tcW w:w="604" w:type="dxa"/>
          </w:tcPr>
          <w:p>
            <w:pPr>
              <w:pStyle w:val="0"/>
            </w:pPr>
            <w:r>
              <w:rPr>
                <w:sz w:val="20"/>
              </w:rPr>
              <w:t xml:space="preserve">56,9</w:t>
            </w:r>
          </w:p>
        </w:tc>
      </w:tr>
      <w:tr>
        <w:tc>
          <w:tcPr>
            <w:tcW w:w="2324" w:type="dxa"/>
          </w:tcPr>
          <w:p>
            <w:pPr>
              <w:pStyle w:val="0"/>
            </w:pPr>
            <w:r>
              <w:rPr>
                <w:sz w:val="20"/>
              </w:rPr>
              <w:t xml:space="preserve">Поджелудочная железа</w:t>
            </w:r>
          </w:p>
        </w:tc>
        <w:tc>
          <w:tcPr>
            <w:tcW w:w="1587" w:type="dxa"/>
          </w:tcPr>
          <w:p>
            <w:pPr>
              <w:pStyle w:val="0"/>
            </w:pPr>
            <w:r>
              <w:rPr>
                <w:sz w:val="20"/>
              </w:rPr>
              <w:t xml:space="preserve">С 25</w:t>
            </w:r>
          </w:p>
        </w:tc>
        <w:tc>
          <w:tcPr>
            <w:tcW w:w="859" w:type="dxa"/>
          </w:tcPr>
          <w:p>
            <w:pPr>
              <w:pStyle w:val="0"/>
            </w:pPr>
            <w:r>
              <w:rPr>
                <w:sz w:val="20"/>
              </w:rPr>
              <w:t xml:space="preserve">69</w:t>
            </w:r>
          </w:p>
        </w:tc>
        <w:tc>
          <w:tcPr>
            <w:tcW w:w="859" w:type="dxa"/>
          </w:tcPr>
          <w:p>
            <w:pPr>
              <w:pStyle w:val="0"/>
            </w:pPr>
            <w:r>
              <w:rPr>
                <w:sz w:val="20"/>
              </w:rPr>
              <w:t xml:space="preserve">71,6</w:t>
            </w:r>
          </w:p>
        </w:tc>
        <w:tc>
          <w:tcPr>
            <w:tcW w:w="859" w:type="dxa"/>
          </w:tcPr>
          <w:p>
            <w:pPr>
              <w:pStyle w:val="0"/>
            </w:pPr>
            <w:r>
              <w:rPr>
                <w:sz w:val="20"/>
              </w:rPr>
              <w:t xml:space="preserve">59,8</w:t>
            </w:r>
          </w:p>
        </w:tc>
        <w:tc>
          <w:tcPr>
            <w:tcW w:w="859" w:type="dxa"/>
          </w:tcPr>
          <w:p>
            <w:pPr>
              <w:pStyle w:val="0"/>
            </w:pPr>
            <w:r>
              <w:rPr>
                <w:sz w:val="20"/>
              </w:rPr>
              <w:t xml:space="preserve">69,6</w:t>
            </w:r>
          </w:p>
        </w:tc>
        <w:tc>
          <w:tcPr>
            <w:tcW w:w="604" w:type="dxa"/>
          </w:tcPr>
          <w:p>
            <w:pPr>
              <w:pStyle w:val="0"/>
            </w:pPr>
            <w:r>
              <w:rPr>
                <w:sz w:val="20"/>
              </w:rPr>
              <w:t xml:space="preserve">67</w:t>
            </w:r>
          </w:p>
        </w:tc>
        <w:tc>
          <w:tcPr>
            <w:tcW w:w="604" w:type="dxa"/>
          </w:tcPr>
          <w:p>
            <w:pPr>
              <w:pStyle w:val="0"/>
            </w:pPr>
            <w:r>
              <w:rPr>
                <w:sz w:val="20"/>
              </w:rPr>
              <w:t xml:space="preserve">66,4</w:t>
            </w:r>
          </w:p>
        </w:tc>
        <w:tc>
          <w:tcPr>
            <w:tcW w:w="604" w:type="dxa"/>
          </w:tcPr>
          <w:p>
            <w:pPr>
              <w:pStyle w:val="0"/>
            </w:pPr>
            <w:r>
              <w:rPr>
                <w:sz w:val="20"/>
              </w:rPr>
              <w:t xml:space="preserve">66,1</w:t>
            </w:r>
          </w:p>
        </w:tc>
        <w:tc>
          <w:tcPr>
            <w:tcW w:w="604" w:type="dxa"/>
          </w:tcPr>
          <w:p>
            <w:pPr>
              <w:pStyle w:val="0"/>
            </w:pPr>
            <w:r>
              <w:rPr>
                <w:sz w:val="20"/>
              </w:rPr>
              <w:t xml:space="preserve">61,3</w:t>
            </w:r>
          </w:p>
        </w:tc>
        <w:tc>
          <w:tcPr>
            <w:tcW w:w="604" w:type="dxa"/>
          </w:tcPr>
          <w:p>
            <w:pPr>
              <w:pStyle w:val="0"/>
            </w:pPr>
            <w:r>
              <w:rPr>
                <w:sz w:val="20"/>
              </w:rPr>
              <w:t xml:space="preserve">62,4</w:t>
            </w:r>
          </w:p>
        </w:tc>
        <w:tc>
          <w:tcPr>
            <w:tcW w:w="604" w:type="dxa"/>
          </w:tcPr>
          <w:p>
            <w:pPr>
              <w:pStyle w:val="0"/>
            </w:pPr>
            <w:r>
              <w:rPr>
                <w:sz w:val="20"/>
              </w:rPr>
              <w:t xml:space="preserve">70,1</w:t>
            </w:r>
          </w:p>
        </w:tc>
        <w:tc>
          <w:tcPr>
            <w:tcW w:w="604" w:type="dxa"/>
          </w:tcPr>
          <w:p>
            <w:pPr>
              <w:pStyle w:val="0"/>
            </w:pPr>
            <w:r>
              <w:rPr>
                <w:sz w:val="20"/>
              </w:rPr>
              <w:t xml:space="preserve">58,2</w:t>
            </w:r>
          </w:p>
        </w:tc>
      </w:tr>
      <w:tr>
        <w:tc>
          <w:tcPr>
            <w:tcW w:w="2324" w:type="dxa"/>
          </w:tcPr>
          <w:p>
            <w:pPr>
              <w:pStyle w:val="0"/>
            </w:pPr>
            <w:r>
              <w:rPr>
                <w:sz w:val="20"/>
              </w:rPr>
              <w:t xml:space="preserve">Гортань</w:t>
            </w:r>
          </w:p>
        </w:tc>
        <w:tc>
          <w:tcPr>
            <w:tcW w:w="1587" w:type="dxa"/>
          </w:tcPr>
          <w:p>
            <w:pPr>
              <w:pStyle w:val="0"/>
            </w:pPr>
            <w:r>
              <w:rPr>
                <w:sz w:val="20"/>
              </w:rPr>
              <w:t xml:space="preserve">С 32</w:t>
            </w:r>
          </w:p>
        </w:tc>
        <w:tc>
          <w:tcPr>
            <w:tcW w:w="859" w:type="dxa"/>
          </w:tcPr>
          <w:p>
            <w:pPr>
              <w:pStyle w:val="0"/>
            </w:pPr>
            <w:r>
              <w:rPr>
                <w:sz w:val="20"/>
              </w:rPr>
              <w:t xml:space="preserve">38,5</w:t>
            </w:r>
          </w:p>
        </w:tc>
        <w:tc>
          <w:tcPr>
            <w:tcW w:w="859" w:type="dxa"/>
          </w:tcPr>
          <w:p>
            <w:pPr>
              <w:pStyle w:val="0"/>
            </w:pPr>
            <w:r>
              <w:rPr>
                <w:sz w:val="20"/>
              </w:rPr>
              <w:t xml:space="preserve">26,5</w:t>
            </w:r>
          </w:p>
        </w:tc>
        <w:tc>
          <w:tcPr>
            <w:tcW w:w="859" w:type="dxa"/>
          </w:tcPr>
          <w:p>
            <w:pPr>
              <w:pStyle w:val="0"/>
            </w:pPr>
            <w:r>
              <w:rPr>
                <w:sz w:val="20"/>
              </w:rPr>
              <w:t xml:space="preserve">24,5</w:t>
            </w:r>
          </w:p>
        </w:tc>
        <w:tc>
          <w:tcPr>
            <w:tcW w:w="859" w:type="dxa"/>
          </w:tcPr>
          <w:p>
            <w:pPr>
              <w:pStyle w:val="0"/>
            </w:pPr>
            <w:r>
              <w:rPr>
                <w:sz w:val="20"/>
              </w:rPr>
              <w:t xml:space="preserve">31,8</w:t>
            </w:r>
          </w:p>
        </w:tc>
        <w:tc>
          <w:tcPr>
            <w:tcW w:w="604" w:type="dxa"/>
          </w:tcPr>
          <w:p>
            <w:pPr>
              <w:pStyle w:val="0"/>
            </w:pPr>
            <w:r>
              <w:rPr>
                <w:sz w:val="20"/>
              </w:rPr>
              <w:t xml:space="preserve">28,8</w:t>
            </w:r>
          </w:p>
        </w:tc>
        <w:tc>
          <w:tcPr>
            <w:tcW w:w="604" w:type="dxa"/>
          </w:tcPr>
          <w:p>
            <w:pPr>
              <w:pStyle w:val="0"/>
            </w:pPr>
            <w:r>
              <w:rPr>
                <w:sz w:val="20"/>
              </w:rPr>
              <w:t xml:space="preserve">26,7</w:t>
            </w:r>
          </w:p>
        </w:tc>
        <w:tc>
          <w:tcPr>
            <w:tcW w:w="604" w:type="dxa"/>
          </w:tcPr>
          <w:p>
            <w:pPr>
              <w:pStyle w:val="0"/>
            </w:pPr>
            <w:r>
              <w:rPr>
                <w:sz w:val="20"/>
              </w:rPr>
              <w:t xml:space="preserve">20</w:t>
            </w:r>
          </w:p>
        </w:tc>
        <w:tc>
          <w:tcPr>
            <w:tcW w:w="604" w:type="dxa"/>
          </w:tcPr>
          <w:p>
            <w:pPr>
              <w:pStyle w:val="0"/>
            </w:pPr>
            <w:r>
              <w:rPr>
                <w:sz w:val="20"/>
              </w:rPr>
              <w:t xml:space="preserve">25,5</w:t>
            </w:r>
          </w:p>
        </w:tc>
        <w:tc>
          <w:tcPr>
            <w:tcW w:w="604" w:type="dxa"/>
          </w:tcPr>
          <w:p>
            <w:pPr>
              <w:pStyle w:val="0"/>
            </w:pPr>
            <w:r>
              <w:rPr>
                <w:sz w:val="20"/>
              </w:rPr>
              <w:t xml:space="preserve">38,0</w:t>
            </w:r>
          </w:p>
        </w:tc>
        <w:tc>
          <w:tcPr>
            <w:tcW w:w="604" w:type="dxa"/>
          </w:tcPr>
          <w:p>
            <w:pPr>
              <w:pStyle w:val="0"/>
            </w:pPr>
            <w:r>
              <w:rPr>
                <w:sz w:val="20"/>
              </w:rPr>
              <w:t xml:space="preserve">36,5</w:t>
            </w:r>
          </w:p>
        </w:tc>
        <w:tc>
          <w:tcPr>
            <w:tcW w:w="604" w:type="dxa"/>
          </w:tcPr>
          <w:p>
            <w:pPr>
              <w:pStyle w:val="0"/>
            </w:pPr>
            <w:r>
              <w:rPr>
                <w:sz w:val="20"/>
              </w:rPr>
              <w:t xml:space="preserve">25,1</w:t>
            </w:r>
          </w:p>
        </w:tc>
      </w:tr>
      <w:tr>
        <w:tc>
          <w:tcPr>
            <w:tcW w:w="2324" w:type="dxa"/>
          </w:tcPr>
          <w:p>
            <w:pPr>
              <w:pStyle w:val="0"/>
            </w:pPr>
            <w:r>
              <w:rPr>
                <w:sz w:val="20"/>
              </w:rPr>
              <w:t xml:space="preserve">Трахея, бронхи, легкое</w:t>
            </w:r>
          </w:p>
        </w:tc>
        <w:tc>
          <w:tcPr>
            <w:tcW w:w="1587" w:type="dxa"/>
          </w:tcPr>
          <w:p>
            <w:pPr>
              <w:pStyle w:val="0"/>
            </w:pPr>
            <w:r>
              <w:rPr>
                <w:sz w:val="20"/>
              </w:rPr>
              <w:t xml:space="preserve">С 33 - 34</w:t>
            </w:r>
          </w:p>
        </w:tc>
        <w:tc>
          <w:tcPr>
            <w:tcW w:w="859" w:type="dxa"/>
          </w:tcPr>
          <w:p>
            <w:pPr>
              <w:pStyle w:val="0"/>
            </w:pPr>
            <w:r>
              <w:rPr>
                <w:sz w:val="20"/>
              </w:rPr>
              <w:t xml:space="preserve">34,1</w:t>
            </w:r>
          </w:p>
        </w:tc>
        <w:tc>
          <w:tcPr>
            <w:tcW w:w="859" w:type="dxa"/>
          </w:tcPr>
          <w:p>
            <w:pPr>
              <w:pStyle w:val="0"/>
            </w:pPr>
            <w:r>
              <w:rPr>
                <w:sz w:val="20"/>
              </w:rPr>
              <w:t xml:space="preserve">38,1</w:t>
            </w:r>
          </w:p>
        </w:tc>
        <w:tc>
          <w:tcPr>
            <w:tcW w:w="859" w:type="dxa"/>
          </w:tcPr>
          <w:p>
            <w:pPr>
              <w:pStyle w:val="0"/>
            </w:pPr>
            <w:r>
              <w:rPr>
                <w:sz w:val="20"/>
              </w:rPr>
              <w:t xml:space="preserve">34,6</w:t>
            </w:r>
          </w:p>
        </w:tc>
        <w:tc>
          <w:tcPr>
            <w:tcW w:w="859" w:type="dxa"/>
          </w:tcPr>
          <w:p>
            <w:pPr>
              <w:pStyle w:val="0"/>
            </w:pPr>
            <w:r>
              <w:rPr>
                <w:sz w:val="20"/>
              </w:rPr>
              <w:t xml:space="preserve">42,3</w:t>
            </w:r>
          </w:p>
        </w:tc>
        <w:tc>
          <w:tcPr>
            <w:tcW w:w="604" w:type="dxa"/>
          </w:tcPr>
          <w:p>
            <w:pPr>
              <w:pStyle w:val="0"/>
            </w:pPr>
            <w:r>
              <w:rPr>
                <w:sz w:val="20"/>
              </w:rPr>
              <w:t xml:space="preserve">40,2</w:t>
            </w:r>
          </w:p>
        </w:tc>
        <w:tc>
          <w:tcPr>
            <w:tcW w:w="604" w:type="dxa"/>
          </w:tcPr>
          <w:p>
            <w:pPr>
              <w:pStyle w:val="0"/>
            </w:pPr>
            <w:r>
              <w:rPr>
                <w:sz w:val="20"/>
              </w:rPr>
              <w:t xml:space="preserve">44</w:t>
            </w:r>
          </w:p>
        </w:tc>
        <w:tc>
          <w:tcPr>
            <w:tcW w:w="604" w:type="dxa"/>
          </w:tcPr>
          <w:p>
            <w:pPr>
              <w:pStyle w:val="0"/>
            </w:pPr>
            <w:r>
              <w:rPr>
                <w:sz w:val="20"/>
              </w:rPr>
              <w:t xml:space="preserve">38,6</w:t>
            </w:r>
          </w:p>
        </w:tc>
        <w:tc>
          <w:tcPr>
            <w:tcW w:w="604" w:type="dxa"/>
          </w:tcPr>
          <w:p>
            <w:pPr>
              <w:pStyle w:val="0"/>
            </w:pPr>
            <w:r>
              <w:rPr>
                <w:sz w:val="20"/>
              </w:rPr>
              <w:t xml:space="preserve">39,2</w:t>
            </w:r>
          </w:p>
        </w:tc>
        <w:tc>
          <w:tcPr>
            <w:tcW w:w="604" w:type="dxa"/>
          </w:tcPr>
          <w:p>
            <w:pPr>
              <w:pStyle w:val="0"/>
            </w:pPr>
            <w:r>
              <w:rPr>
                <w:sz w:val="20"/>
              </w:rPr>
              <w:t xml:space="preserve">37,2</w:t>
            </w:r>
          </w:p>
        </w:tc>
        <w:tc>
          <w:tcPr>
            <w:tcW w:w="604" w:type="dxa"/>
          </w:tcPr>
          <w:p>
            <w:pPr>
              <w:pStyle w:val="0"/>
            </w:pPr>
            <w:r>
              <w:rPr>
                <w:sz w:val="20"/>
              </w:rPr>
              <w:t xml:space="preserve">40,2</w:t>
            </w:r>
          </w:p>
        </w:tc>
        <w:tc>
          <w:tcPr>
            <w:tcW w:w="604" w:type="dxa"/>
          </w:tcPr>
          <w:p>
            <w:pPr>
              <w:pStyle w:val="0"/>
            </w:pPr>
            <w:r>
              <w:rPr>
                <w:sz w:val="20"/>
              </w:rPr>
              <w:t xml:space="preserve">42,3</w:t>
            </w:r>
          </w:p>
        </w:tc>
      </w:tr>
      <w:tr>
        <w:tc>
          <w:tcPr>
            <w:tcW w:w="2324" w:type="dxa"/>
          </w:tcPr>
          <w:p>
            <w:pPr>
              <w:pStyle w:val="0"/>
            </w:pPr>
            <w:r>
              <w:rPr>
                <w:sz w:val="20"/>
              </w:rPr>
              <w:t xml:space="preserve">Кости и суставные хрящи</w:t>
            </w:r>
          </w:p>
        </w:tc>
        <w:tc>
          <w:tcPr>
            <w:tcW w:w="1587" w:type="dxa"/>
          </w:tcPr>
          <w:p>
            <w:pPr>
              <w:pStyle w:val="0"/>
            </w:pPr>
            <w:r>
              <w:rPr>
                <w:sz w:val="20"/>
              </w:rPr>
              <w:t xml:space="preserve">С40, 41</w:t>
            </w:r>
          </w:p>
        </w:tc>
        <w:tc>
          <w:tcPr>
            <w:tcW w:w="859" w:type="dxa"/>
          </w:tcPr>
          <w:p>
            <w:pPr>
              <w:pStyle w:val="0"/>
            </w:pPr>
            <w:r>
              <w:rPr>
                <w:sz w:val="20"/>
              </w:rPr>
              <w:t xml:space="preserve">8,3</w:t>
            </w:r>
          </w:p>
        </w:tc>
        <w:tc>
          <w:tcPr>
            <w:tcW w:w="859" w:type="dxa"/>
          </w:tcPr>
          <w:p>
            <w:pPr>
              <w:pStyle w:val="0"/>
            </w:pPr>
            <w:r>
              <w:rPr>
                <w:sz w:val="20"/>
              </w:rPr>
              <w:t xml:space="preserve">29,4</w:t>
            </w:r>
          </w:p>
        </w:tc>
        <w:tc>
          <w:tcPr>
            <w:tcW w:w="859" w:type="dxa"/>
          </w:tcPr>
          <w:p>
            <w:pPr>
              <w:pStyle w:val="0"/>
            </w:pPr>
            <w:r>
              <w:rPr>
                <w:sz w:val="20"/>
              </w:rPr>
              <w:t xml:space="preserve">20</w:t>
            </w:r>
          </w:p>
        </w:tc>
        <w:tc>
          <w:tcPr>
            <w:tcW w:w="859" w:type="dxa"/>
          </w:tcPr>
          <w:p>
            <w:pPr>
              <w:pStyle w:val="0"/>
            </w:pPr>
            <w:r>
              <w:rPr>
                <w:sz w:val="20"/>
              </w:rPr>
              <w:t xml:space="preserve">10</w:t>
            </w:r>
          </w:p>
        </w:tc>
        <w:tc>
          <w:tcPr>
            <w:tcW w:w="604" w:type="dxa"/>
          </w:tcPr>
          <w:p>
            <w:pPr>
              <w:pStyle w:val="0"/>
            </w:pPr>
            <w:r>
              <w:rPr>
                <w:sz w:val="20"/>
              </w:rPr>
              <w:t xml:space="preserve">33,3</w:t>
            </w:r>
          </w:p>
        </w:tc>
        <w:tc>
          <w:tcPr>
            <w:tcW w:w="604" w:type="dxa"/>
          </w:tcPr>
          <w:p>
            <w:pPr>
              <w:pStyle w:val="0"/>
            </w:pPr>
            <w:r>
              <w:rPr>
                <w:sz w:val="20"/>
              </w:rPr>
              <w:t xml:space="preserve">27,3</w:t>
            </w:r>
          </w:p>
        </w:tc>
        <w:tc>
          <w:tcPr>
            <w:tcW w:w="604" w:type="dxa"/>
          </w:tcPr>
          <w:p>
            <w:pPr>
              <w:pStyle w:val="0"/>
            </w:pPr>
            <w:r>
              <w:rPr>
                <w:sz w:val="20"/>
              </w:rPr>
              <w:t xml:space="preserve">37,5</w:t>
            </w:r>
          </w:p>
        </w:tc>
        <w:tc>
          <w:tcPr>
            <w:tcW w:w="604" w:type="dxa"/>
          </w:tcPr>
          <w:p>
            <w:pPr>
              <w:pStyle w:val="0"/>
            </w:pPr>
            <w:r>
              <w:rPr>
                <w:sz w:val="20"/>
              </w:rPr>
              <w:t xml:space="preserve">10</w:t>
            </w:r>
          </w:p>
        </w:tc>
        <w:tc>
          <w:tcPr>
            <w:tcW w:w="604" w:type="dxa"/>
          </w:tcPr>
          <w:p>
            <w:pPr>
              <w:pStyle w:val="0"/>
            </w:pPr>
            <w:r>
              <w:rPr>
                <w:sz w:val="20"/>
              </w:rPr>
              <w:t xml:space="preserve">27,3</w:t>
            </w:r>
          </w:p>
        </w:tc>
        <w:tc>
          <w:tcPr>
            <w:tcW w:w="604" w:type="dxa"/>
          </w:tcPr>
          <w:p>
            <w:pPr>
              <w:pStyle w:val="0"/>
            </w:pPr>
            <w:r>
              <w:rPr>
                <w:sz w:val="20"/>
              </w:rPr>
              <w:t xml:space="preserve">16,7</w:t>
            </w:r>
          </w:p>
        </w:tc>
        <w:tc>
          <w:tcPr>
            <w:tcW w:w="604" w:type="dxa"/>
          </w:tcPr>
          <w:p>
            <w:pPr>
              <w:pStyle w:val="0"/>
            </w:pPr>
            <w:r>
              <w:rPr>
                <w:sz w:val="20"/>
              </w:rPr>
              <w:t xml:space="preserve">24,4</w:t>
            </w:r>
          </w:p>
        </w:tc>
      </w:tr>
      <w:tr>
        <w:tc>
          <w:tcPr>
            <w:tcW w:w="2324" w:type="dxa"/>
          </w:tcPr>
          <w:p>
            <w:pPr>
              <w:pStyle w:val="0"/>
            </w:pPr>
            <w:r>
              <w:rPr>
                <w:sz w:val="20"/>
              </w:rPr>
              <w:t xml:space="preserve">Меланома кожи</w:t>
            </w:r>
          </w:p>
        </w:tc>
        <w:tc>
          <w:tcPr>
            <w:tcW w:w="1587" w:type="dxa"/>
          </w:tcPr>
          <w:p>
            <w:pPr>
              <w:pStyle w:val="0"/>
            </w:pPr>
            <w:r>
              <w:rPr>
                <w:sz w:val="20"/>
              </w:rPr>
              <w:t xml:space="preserve">С 43</w:t>
            </w:r>
          </w:p>
        </w:tc>
        <w:tc>
          <w:tcPr>
            <w:tcW w:w="859" w:type="dxa"/>
          </w:tcPr>
          <w:p>
            <w:pPr>
              <w:pStyle w:val="0"/>
            </w:pPr>
            <w:r>
              <w:rPr>
                <w:sz w:val="20"/>
              </w:rPr>
              <w:t xml:space="preserve">8,8</w:t>
            </w:r>
          </w:p>
        </w:tc>
        <w:tc>
          <w:tcPr>
            <w:tcW w:w="859" w:type="dxa"/>
          </w:tcPr>
          <w:p>
            <w:pPr>
              <w:pStyle w:val="0"/>
            </w:pPr>
            <w:r>
              <w:rPr>
                <w:sz w:val="20"/>
              </w:rPr>
              <w:t xml:space="preserve">9,3</w:t>
            </w:r>
          </w:p>
        </w:tc>
        <w:tc>
          <w:tcPr>
            <w:tcW w:w="859" w:type="dxa"/>
          </w:tcPr>
          <w:p>
            <w:pPr>
              <w:pStyle w:val="0"/>
            </w:pPr>
            <w:r>
              <w:rPr>
                <w:sz w:val="20"/>
              </w:rPr>
              <w:t xml:space="preserve">16,9</w:t>
            </w:r>
          </w:p>
        </w:tc>
        <w:tc>
          <w:tcPr>
            <w:tcW w:w="859" w:type="dxa"/>
          </w:tcPr>
          <w:p>
            <w:pPr>
              <w:pStyle w:val="0"/>
            </w:pPr>
            <w:r>
              <w:rPr>
                <w:sz w:val="20"/>
              </w:rPr>
              <w:t xml:space="preserve">4</w:t>
            </w:r>
          </w:p>
        </w:tc>
        <w:tc>
          <w:tcPr>
            <w:tcW w:w="604" w:type="dxa"/>
          </w:tcPr>
          <w:p>
            <w:pPr>
              <w:pStyle w:val="0"/>
            </w:pPr>
            <w:r>
              <w:rPr>
                <w:sz w:val="20"/>
              </w:rPr>
              <w:t xml:space="preserve">17,5</w:t>
            </w:r>
          </w:p>
        </w:tc>
        <w:tc>
          <w:tcPr>
            <w:tcW w:w="604" w:type="dxa"/>
          </w:tcPr>
          <w:p>
            <w:pPr>
              <w:pStyle w:val="0"/>
            </w:pPr>
            <w:r>
              <w:rPr>
                <w:sz w:val="20"/>
              </w:rPr>
              <w:t xml:space="preserve">17</w:t>
            </w:r>
          </w:p>
        </w:tc>
        <w:tc>
          <w:tcPr>
            <w:tcW w:w="604" w:type="dxa"/>
          </w:tcPr>
          <w:p>
            <w:pPr>
              <w:pStyle w:val="0"/>
            </w:pPr>
            <w:r>
              <w:rPr>
                <w:sz w:val="20"/>
              </w:rPr>
              <w:t xml:space="preserve">8,8</w:t>
            </w:r>
          </w:p>
        </w:tc>
        <w:tc>
          <w:tcPr>
            <w:tcW w:w="604" w:type="dxa"/>
          </w:tcPr>
          <w:p>
            <w:pPr>
              <w:pStyle w:val="0"/>
            </w:pPr>
            <w:r>
              <w:rPr>
                <w:sz w:val="20"/>
              </w:rPr>
              <w:t xml:space="preserve">18</w:t>
            </w:r>
          </w:p>
        </w:tc>
        <w:tc>
          <w:tcPr>
            <w:tcW w:w="604" w:type="dxa"/>
          </w:tcPr>
          <w:p>
            <w:pPr>
              <w:pStyle w:val="0"/>
            </w:pPr>
            <w:r>
              <w:rPr>
                <w:sz w:val="20"/>
              </w:rPr>
              <w:t xml:space="preserve">7,7</w:t>
            </w:r>
          </w:p>
        </w:tc>
        <w:tc>
          <w:tcPr>
            <w:tcW w:w="604" w:type="dxa"/>
          </w:tcPr>
          <w:p>
            <w:pPr>
              <w:pStyle w:val="0"/>
            </w:pPr>
            <w:r>
              <w:rPr>
                <w:sz w:val="20"/>
              </w:rPr>
              <w:t xml:space="preserve">11,7</w:t>
            </w:r>
          </w:p>
        </w:tc>
        <w:tc>
          <w:tcPr>
            <w:tcW w:w="604" w:type="dxa"/>
          </w:tcPr>
          <w:p>
            <w:pPr>
              <w:pStyle w:val="0"/>
            </w:pPr>
            <w:r>
              <w:rPr>
                <w:sz w:val="20"/>
              </w:rPr>
              <w:t xml:space="preserve">19,6</w:t>
            </w:r>
          </w:p>
        </w:tc>
      </w:tr>
      <w:tr>
        <w:tc>
          <w:tcPr>
            <w:tcW w:w="2324" w:type="dxa"/>
          </w:tcPr>
          <w:p>
            <w:pPr>
              <w:pStyle w:val="0"/>
            </w:pPr>
            <w:r>
              <w:rPr>
                <w:sz w:val="20"/>
              </w:rPr>
              <w:t xml:space="preserve">Другие новообразования кожи</w:t>
            </w:r>
          </w:p>
        </w:tc>
        <w:tc>
          <w:tcPr>
            <w:tcW w:w="1587" w:type="dxa"/>
          </w:tcPr>
          <w:p>
            <w:pPr>
              <w:pStyle w:val="0"/>
            </w:pPr>
            <w:r>
              <w:rPr>
                <w:sz w:val="20"/>
              </w:rPr>
              <w:t xml:space="preserve">С 44</w:t>
            </w:r>
          </w:p>
        </w:tc>
        <w:tc>
          <w:tcPr>
            <w:tcW w:w="859" w:type="dxa"/>
          </w:tcPr>
          <w:p>
            <w:pPr>
              <w:pStyle w:val="0"/>
            </w:pPr>
            <w:r>
              <w:rPr>
                <w:sz w:val="20"/>
              </w:rPr>
              <w:t xml:space="preserve">1сл-0,4</w:t>
            </w:r>
          </w:p>
        </w:tc>
        <w:tc>
          <w:tcPr>
            <w:tcW w:w="859" w:type="dxa"/>
          </w:tcPr>
          <w:p>
            <w:pPr>
              <w:pStyle w:val="0"/>
            </w:pPr>
            <w:r>
              <w:rPr>
                <w:sz w:val="20"/>
              </w:rPr>
              <w:t xml:space="preserve">1сл-0,4</w:t>
            </w:r>
          </w:p>
        </w:tc>
        <w:tc>
          <w:tcPr>
            <w:tcW w:w="859" w:type="dxa"/>
          </w:tcPr>
          <w:p>
            <w:pPr>
              <w:pStyle w:val="0"/>
            </w:pPr>
            <w:r>
              <w:rPr>
                <w:sz w:val="20"/>
              </w:rPr>
              <w:t xml:space="preserve">1сл-0,3</w:t>
            </w:r>
          </w:p>
        </w:tc>
        <w:tc>
          <w:tcPr>
            <w:tcW w:w="859" w:type="dxa"/>
          </w:tcPr>
          <w:p>
            <w:pPr>
              <w:pStyle w:val="0"/>
            </w:pPr>
            <w:r>
              <w:rPr>
                <w:sz w:val="20"/>
              </w:rPr>
              <w:t xml:space="preserve">1сл-1,2</w:t>
            </w:r>
          </w:p>
        </w:tc>
        <w:tc>
          <w:tcPr>
            <w:tcW w:w="604" w:type="dxa"/>
          </w:tcPr>
          <w:p>
            <w:pPr>
              <w:pStyle w:val="0"/>
            </w:pPr>
            <w:r>
              <w:rPr>
                <w:sz w:val="20"/>
              </w:rPr>
              <w:t xml:space="preserve">0,6</w:t>
            </w:r>
          </w:p>
        </w:tc>
        <w:tc>
          <w:tcPr>
            <w:tcW w:w="604" w:type="dxa"/>
          </w:tcPr>
          <w:p>
            <w:pPr>
              <w:pStyle w:val="0"/>
            </w:pPr>
            <w:r>
              <w:rPr>
                <w:sz w:val="20"/>
              </w:rPr>
              <w:t xml:space="preserve">0,8</w:t>
            </w:r>
          </w:p>
        </w:tc>
        <w:tc>
          <w:tcPr>
            <w:tcW w:w="604" w:type="dxa"/>
          </w:tcPr>
          <w:p>
            <w:pPr>
              <w:pStyle w:val="0"/>
            </w:pPr>
            <w:r>
              <w:rPr>
                <w:sz w:val="20"/>
              </w:rPr>
              <w:t xml:space="preserve">0</w:t>
            </w:r>
          </w:p>
        </w:tc>
        <w:tc>
          <w:tcPr>
            <w:tcW w:w="604" w:type="dxa"/>
          </w:tcPr>
          <w:p>
            <w:pPr>
              <w:pStyle w:val="0"/>
            </w:pPr>
            <w:r>
              <w:rPr>
                <w:sz w:val="20"/>
              </w:rPr>
              <w:t xml:space="preserve">0,9</w:t>
            </w:r>
          </w:p>
        </w:tc>
        <w:tc>
          <w:tcPr>
            <w:tcW w:w="604" w:type="dxa"/>
          </w:tcPr>
          <w:p>
            <w:pPr>
              <w:pStyle w:val="0"/>
            </w:pPr>
            <w:r>
              <w:rPr>
                <w:sz w:val="20"/>
              </w:rPr>
              <w:t xml:space="preserve">0,2</w:t>
            </w:r>
          </w:p>
        </w:tc>
        <w:tc>
          <w:tcPr>
            <w:tcW w:w="604" w:type="dxa"/>
          </w:tcPr>
          <w:p>
            <w:pPr>
              <w:pStyle w:val="0"/>
            </w:pPr>
            <w:r>
              <w:rPr>
                <w:sz w:val="20"/>
              </w:rPr>
              <w:t xml:space="preserve">0,2</w:t>
            </w:r>
          </w:p>
        </w:tc>
        <w:tc>
          <w:tcPr>
            <w:tcW w:w="604" w:type="dxa"/>
          </w:tcPr>
          <w:p>
            <w:pPr>
              <w:pStyle w:val="0"/>
            </w:pPr>
            <w:r>
              <w:rPr>
                <w:sz w:val="20"/>
              </w:rPr>
              <w:t xml:space="preserve">0,6</w:t>
            </w:r>
          </w:p>
        </w:tc>
      </w:tr>
      <w:tr>
        <w:tc>
          <w:tcPr>
            <w:tcW w:w="2324" w:type="dxa"/>
          </w:tcPr>
          <w:p>
            <w:pPr>
              <w:pStyle w:val="0"/>
            </w:pPr>
            <w:r>
              <w:rPr>
                <w:sz w:val="20"/>
              </w:rPr>
              <w:t xml:space="preserve">Соединительной и других мягких тканей</w:t>
            </w:r>
          </w:p>
        </w:tc>
        <w:tc>
          <w:tcPr>
            <w:tcW w:w="1587" w:type="dxa"/>
          </w:tcPr>
          <w:p>
            <w:pPr>
              <w:pStyle w:val="0"/>
            </w:pPr>
            <w:r>
              <w:rPr>
                <w:sz w:val="20"/>
              </w:rPr>
              <w:t xml:space="preserve">С47, С49</w:t>
            </w:r>
          </w:p>
        </w:tc>
        <w:tc>
          <w:tcPr>
            <w:tcW w:w="859" w:type="dxa"/>
          </w:tcPr>
          <w:p>
            <w:pPr>
              <w:pStyle w:val="0"/>
            </w:pPr>
            <w:r>
              <w:rPr>
                <w:sz w:val="20"/>
              </w:rPr>
            </w:r>
          </w:p>
        </w:tc>
        <w:tc>
          <w:tcPr>
            <w:tcW w:w="859" w:type="dxa"/>
          </w:tcPr>
          <w:p>
            <w:pPr>
              <w:pStyle w:val="0"/>
            </w:pPr>
            <w:r>
              <w:rPr>
                <w:sz w:val="20"/>
              </w:rPr>
              <w:t xml:space="preserve">8,7</w:t>
            </w:r>
          </w:p>
        </w:tc>
        <w:tc>
          <w:tcPr>
            <w:tcW w:w="859" w:type="dxa"/>
          </w:tcPr>
          <w:p>
            <w:pPr>
              <w:pStyle w:val="0"/>
            </w:pPr>
            <w:r>
              <w:rPr>
                <w:sz w:val="20"/>
              </w:rPr>
              <w:t xml:space="preserve">18,5</w:t>
            </w:r>
          </w:p>
        </w:tc>
        <w:tc>
          <w:tcPr>
            <w:tcW w:w="859" w:type="dxa"/>
          </w:tcPr>
          <w:p>
            <w:pPr>
              <w:pStyle w:val="0"/>
            </w:pPr>
            <w:r>
              <w:rPr>
                <w:sz w:val="20"/>
              </w:rPr>
              <w:t xml:space="preserve">13,3</w:t>
            </w:r>
          </w:p>
        </w:tc>
        <w:tc>
          <w:tcPr>
            <w:tcW w:w="604" w:type="dxa"/>
          </w:tcPr>
          <w:p>
            <w:pPr>
              <w:pStyle w:val="0"/>
            </w:pPr>
            <w:r>
              <w:rPr>
                <w:sz w:val="20"/>
              </w:rPr>
              <w:t xml:space="preserve">18,5</w:t>
            </w:r>
          </w:p>
        </w:tc>
        <w:tc>
          <w:tcPr>
            <w:tcW w:w="604" w:type="dxa"/>
          </w:tcPr>
          <w:p>
            <w:pPr>
              <w:pStyle w:val="0"/>
            </w:pPr>
            <w:r>
              <w:rPr>
                <w:sz w:val="20"/>
              </w:rPr>
              <w:t xml:space="preserve">29,2</w:t>
            </w:r>
          </w:p>
        </w:tc>
        <w:tc>
          <w:tcPr>
            <w:tcW w:w="604" w:type="dxa"/>
          </w:tcPr>
          <w:p>
            <w:pPr>
              <w:pStyle w:val="0"/>
            </w:pPr>
            <w:r>
              <w:rPr>
                <w:sz w:val="20"/>
              </w:rPr>
              <w:t xml:space="preserve">17,2</w:t>
            </w:r>
          </w:p>
        </w:tc>
        <w:tc>
          <w:tcPr>
            <w:tcW w:w="604" w:type="dxa"/>
          </w:tcPr>
          <w:p>
            <w:pPr>
              <w:pStyle w:val="0"/>
            </w:pPr>
            <w:r>
              <w:rPr>
                <w:sz w:val="20"/>
              </w:rPr>
              <w:t xml:space="preserve">18,2</w:t>
            </w:r>
          </w:p>
        </w:tc>
        <w:tc>
          <w:tcPr>
            <w:tcW w:w="604" w:type="dxa"/>
          </w:tcPr>
          <w:p>
            <w:pPr>
              <w:pStyle w:val="0"/>
            </w:pPr>
            <w:r>
              <w:rPr>
                <w:sz w:val="20"/>
              </w:rPr>
              <w:t xml:space="preserve">29,4</w:t>
            </w:r>
          </w:p>
        </w:tc>
        <w:tc>
          <w:tcPr>
            <w:tcW w:w="604" w:type="dxa"/>
          </w:tcPr>
          <w:p>
            <w:pPr>
              <w:pStyle w:val="0"/>
            </w:pPr>
            <w:r>
              <w:rPr>
                <w:sz w:val="20"/>
              </w:rPr>
              <w:t xml:space="preserve">22,2</w:t>
            </w:r>
          </w:p>
        </w:tc>
        <w:tc>
          <w:tcPr>
            <w:tcW w:w="604" w:type="dxa"/>
          </w:tcPr>
          <w:p>
            <w:pPr>
              <w:pStyle w:val="0"/>
            </w:pPr>
            <w:r>
              <w:rPr>
                <w:sz w:val="20"/>
              </w:rPr>
              <w:t xml:space="preserve">15,9</w:t>
            </w:r>
          </w:p>
        </w:tc>
      </w:tr>
      <w:tr>
        <w:tc>
          <w:tcPr>
            <w:tcW w:w="2324" w:type="dxa"/>
          </w:tcPr>
          <w:p>
            <w:pPr>
              <w:pStyle w:val="0"/>
            </w:pPr>
            <w:r>
              <w:rPr>
                <w:sz w:val="20"/>
              </w:rPr>
              <w:t xml:space="preserve">Молочная железа</w:t>
            </w:r>
          </w:p>
        </w:tc>
        <w:tc>
          <w:tcPr>
            <w:tcW w:w="1587" w:type="dxa"/>
          </w:tcPr>
          <w:p>
            <w:pPr>
              <w:pStyle w:val="0"/>
            </w:pPr>
            <w:r>
              <w:rPr>
                <w:sz w:val="20"/>
              </w:rPr>
              <w:t xml:space="preserve">С 50</w:t>
            </w:r>
          </w:p>
        </w:tc>
        <w:tc>
          <w:tcPr>
            <w:tcW w:w="859" w:type="dxa"/>
          </w:tcPr>
          <w:p>
            <w:pPr>
              <w:pStyle w:val="0"/>
            </w:pPr>
            <w:r>
              <w:rPr>
                <w:sz w:val="20"/>
              </w:rPr>
              <w:t xml:space="preserve">6,9</w:t>
            </w:r>
          </w:p>
        </w:tc>
        <w:tc>
          <w:tcPr>
            <w:tcW w:w="859" w:type="dxa"/>
          </w:tcPr>
          <w:p>
            <w:pPr>
              <w:pStyle w:val="0"/>
            </w:pPr>
            <w:r>
              <w:rPr>
                <w:sz w:val="20"/>
              </w:rPr>
              <w:t xml:space="preserve">7,2</w:t>
            </w:r>
          </w:p>
        </w:tc>
        <w:tc>
          <w:tcPr>
            <w:tcW w:w="859" w:type="dxa"/>
          </w:tcPr>
          <w:p>
            <w:pPr>
              <w:pStyle w:val="0"/>
            </w:pPr>
            <w:r>
              <w:rPr>
                <w:sz w:val="20"/>
              </w:rPr>
              <w:t xml:space="preserve">6,1</w:t>
            </w:r>
          </w:p>
        </w:tc>
        <w:tc>
          <w:tcPr>
            <w:tcW w:w="859" w:type="dxa"/>
          </w:tcPr>
          <w:p>
            <w:pPr>
              <w:pStyle w:val="0"/>
            </w:pPr>
            <w:r>
              <w:rPr>
                <w:sz w:val="20"/>
              </w:rPr>
              <w:t xml:space="preserve">6,2</w:t>
            </w:r>
          </w:p>
        </w:tc>
        <w:tc>
          <w:tcPr>
            <w:tcW w:w="604" w:type="dxa"/>
          </w:tcPr>
          <w:p>
            <w:pPr>
              <w:pStyle w:val="0"/>
            </w:pPr>
            <w:r>
              <w:rPr>
                <w:sz w:val="20"/>
              </w:rPr>
              <w:t xml:space="preserve">5,6</w:t>
            </w:r>
          </w:p>
        </w:tc>
        <w:tc>
          <w:tcPr>
            <w:tcW w:w="604" w:type="dxa"/>
          </w:tcPr>
          <w:p>
            <w:pPr>
              <w:pStyle w:val="0"/>
            </w:pPr>
            <w:r>
              <w:rPr>
                <w:sz w:val="20"/>
              </w:rPr>
              <w:t xml:space="preserve">8,6</w:t>
            </w:r>
          </w:p>
        </w:tc>
        <w:tc>
          <w:tcPr>
            <w:tcW w:w="604" w:type="dxa"/>
          </w:tcPr>
          <w:p>
            <w:pPr>
              <w:pStyle w:val="0"/>
            </w:pPr>
            <w:r>
              <w:rPr>
                <w:sz w:val="20"/>
              </w:rPr>
              <w:t xml:space="preserve">5,7</w:t>
            </w:r>
          </w:p>
        </w:tc>
        <w:tc>
          <w:tcPr>
            <w:tcW w:w="604" w:type="dxa"/>
          </w:tcPr>
          <w:p>
            <w:pPr>
              <w:pStyle w:val="0"/>
            </w:pPr>
            <w:r>
              <w:rPr>
                <w:sz w:val="20"/>
              </w:rPr>
              <w:t xml:space="preserve">6,9</w:t>
            </w:r>
          </w:p>
        </w:tc>
        <w:tc>
          <w:tcPr>
            <w:tcW w:w="604" w:type="dxa"/>
          </w:tcPr>
          <w:p>
            <w:pPr>
              <w:pStyle w:val="0"/>
            </w:pPr>
            <w:r>
              <w:rPr>
                <w:sz w:val="20"/>
              </w:rPr>
              <w:t xml:space="preserve">7,5</w:t>
            </w:r>
          </w:p>
        </w:tc>
        <w:tc>
          <w:tcPr>
            <w:tcW w:w="604" w:type="dxa"/>
          </w:tcPr>
          <w:p>
            <w:pPr>
              <w:pStyle w:val="0"/>
            </w:pPr>
            <w:r>
              <w:rPr>
                <w:sz w:val="20"/>
              </w:rPr>
              <w:t xml:space="preserve">2,9</w:t>
            </w:r>
          </w:p>
        </w:tc>
        <w:tc>
          <w:tcPr>
            <w:tcW w:w="604" w:type="dxa"/>
          </w:tcPr>
          <w:p>
            <w:pPr>
              <w:pStyle w:val="0"/>
            </w:pPr>
            <w:r>
              <w:rPr>
                <w:sz w:val="20"/>
              </w:rPr>
              <w:t xml:space="preserve">27,1</w:t>
            </w:r>
          </w:p>
        </w:tc>
      </w:tr>
      <w:tr>
        <w:tc>
          <w:tcPr>
            <w:tcW w:w="2324" w:type="dxa"/>
          </w:tcPr>
          <w:p>
            <w:pPr>
              <w:pStyle w:val="0"/>
            </w:pPr>
            <w:r>
              <w:rPr>
                <w:sz w:val="20"/>
              </w:rPr>
              <w:t xml:space="preserve">Шейка матки</w:t>
            </w:r>
          </w:p>
        </w:tc>
        <w:tc>
          <w:tcPr>
            <w:tcW w:w="1587" w:type="dxa"/>
          </w:tcPr>
          <w:p>
            <w:pPr>
              <w:pStyle w:val="0"/>
            </w:pPr>
            <w:r>
              <w:rPr>
                <w:sz w:val="20"/>
              </w:rPr>
              <w:t xml:space="preserve">С 53</w:t>
            </w:r>
          </w:p>
        </w:tc>
        <w:tc>
          <w:tcPr>
            <w:tcW w:w="859" w:type="dxa"/>
          </w:tcPr>
          <w:p>
            <w:pPr>
              <w:pStyle w:val="0"/>
            </w:pPr>
            <w:r>
              <w:rPr>
                <w:sz w:val="20"/>
              </w:rPr>
              <w:t xml:space="preserve">9,5</w:t>
            </w:r>
          </w:p>
        </w:tc>
        <w:tc>
          <w:tcPr>
            <w:tcW w:w="859" w:type="dxa"/>
          </w:tcPr>
          <w:p>
            <w:pPr>
              <w:pStyle w:val="0"/>
            </w:pPr>
            <w:r>
              <w:rPr>
                <w:sz w:val="20"/>
              </w:rPr>
              <w:t xml:space="preserve">8,7</w:t>
            </w:r>
          </w:p>
        </w:tc>
        <w:tc>
          <w:tcPr>
            <w:tcW w:w="859" w:type="dxa"/>
          </w:tcPr>
          <w:p>
            <w:pPr>
              <w:pStyle w:val="0"/>
            </w:pPr>
            <w:r>
              <w:rPr>
                <w:sz w:val="20"/>
              </w:rPr>
              <w:t xml:space="preserve">10,1</w:t>
            </w:r>
          </w:p>
        </w:tc>
        <w:tc>
          <w:tcPr>
            <w:tcW w:w="859" w:type="dxa"/>
          </w:tcPr>
          <w:p>
            <w:pPr>
              <w:pStyle w:val="0"/>
            </w:pPr>
            <w:r>
              <w:rPr>
                <w:sz w:val="20"/>
              </w:rPr>
              <w:t xml:space="preserve">13,1</w:t>
            </w:r>
          </w:p>
        </w:tc>
        <w:tc>
          <w:tcPr>
            <w:tcW w:w="604" w:type="dxa"/>
          </w:tcPr>
          <w:p>
            <w:pPr>
              <w:pStyle w:val="0"/>
            </w:pPr>
            <w:r>
              <w:rPr>
                <w:sz w:val="20"/>
              </w:rPr>
              <w:t xml:space="preserve">12,4</w:t>
            </w:r>
          </w:p>
        </w:tc>
        <w:tc>
          <w:tcPr>
            <w:tcW w:w="604" w:type="dxa"/>
          </w:tcPr>
          <w:p>
            <w:pPr>
              <w:pStyle w:val="0"/>
            </w:pPr>
            <w:r>
              <w:rPr>
                <w:sz w:val="20"/>
              </w:rPr>
              <w:t xml:space="preserve">10,8</w:t>
            </w:r>
          </w:p>
        </w:tc>
        <w:tc>
          <w:tcPr>
            <w:tcW w:w="604" w:type="dxa"/>
          </w:tcPr>
          <w:p>
            <w:pPr>
              <w:pStyle w:val="0"/>
            </w:pPr>
            <w:r>
              <w:rPr>
                <w:sz w:val="20"/>
              </w:rPr>
              <w:t xml:space="preserve">7,9</w:t>
            </w:r>
          </w:p>
        </w:tc>
        <w:tc>
          <w:tcPr>
            <w:tcW w:w="604" w:type="dxa"/>
          </w:tcPr>
          <w:p>
            <w:pPr>
              <w:pStyle w:val="0"/>
            </w:pPr>
            <w:r>
              <w:rPr>
                <w:sz w:val="20"/>
              </w:rPr>
              <w:t xml:space="preserve">10,4</w:t>
            </w:r>
          </w:p>
        </w:tc>
        <w:tc>
          <w:tcPr>
            <w:tcW w:w="604" w:type="dxa"/>
          </w:tcPr>
          <w:p>
            <w:pPr>
              <w:pStyle w:val="0"/>
            </w:pPr>
            <w:r>
              <w:rPr>
                <w:sz w:val="20"/>
              </w:rPr>
              <w:t xml:space="preserve">11,6</w:t>
            </w:r>
          </w:p>
        </w:tc>
        <w:tc>
          <w:tcPr>
            <w:tcW w:w="604" w:type="dxa"/>
          </w:tcPr>
          <w:p>
            <w:pPr>
              <w:pStyle w:val="0"/>
            </w:pPr>
            <w:r>
              <w:rPr>
                <w:sz w:val="20"/>
              </w:rPr>
              <w:t xml:space="preserve">5,7</w:t>
            </w:r>
          </w:p>
        </w:tc>
        <w:tc>
          <w:tcPr>
            <w:tcW w:w="604" w:type="dxa"/>
          </w:tcPr>
          <w:p>
            <w:pPr>
              <w:pStyle w:val="0"/>
            </w:pPr>
            <w:r>
              <w:rPr>
                <w:sz w:val="20"/>
              </w:rPr>
              <w:t xml:space="preserve">9,9</w:t>
            </w:r>
          </w:p>
        </w:tc>
      </w:tr>
      <w:tr>
        <w:tc>
          <w:tcPr>
            <w:tcW w:w="2324" w:type="dxa"/>
          </w:tcPr>
          <w:p>
            <w:pPr>
              <w:pStyle w:val="0"/>
            </w:pPr>
            <w:r>
              <w:rPr>
                <w:sz w:val="20"/>
              </w:rPr>
              <w:t xml:space="preserve">Тело матки</w:t>
            </w:r>
          </w:p>
        </w:tc>
        <w:tc>
          <w:tcPr>
            <w:tcW w:w="1587" w:type="dxa"/>
          </w:tcPr>
          <w:p>
            <w:pPr>
              <w:pStyle w:val="0"/>
            </w:pPr>
            <w:r>
              <w:rPr>
                <w:sz w:val="20"/>
              </w:rPr>
              <w:t xml:space="preserve">С 54</w:t>
            </w:r>
          </w:p>
        </w:tc>
        <w:tc>
          <w:tcPr>
            <w:tcW w:w="859" w:type="dxa"/>
          </w:tcPr>
          <w:p>
            <w:pPr>
              <w:pStyle w:val="0"/>
            </w:pPr>
            <w:r>
              <w:rPr>
                <w:sz w:val="20"/>
              </w:rPr>
              <w:t xml:space="preserve">4</w:t>
            </w:r>
          </w:p>
        </w:tc>
        <w:tc>
          <w:tcPr>
            <w:tcW w:w="859" w:type="dxa"/>
          </w:tcPr>
          <w:p>
            <w:pPr>
              <w:pStyle w:val="0"/>
            </w:pPr>
            <w:r>
              <w:rPr>
                <w:sz w:val="20"/>
              </w:rPr>
              <w:t xml:space="preserve">6,8</w:t>
            </w:r>
          </w:p>
        </w:tc>
        <w:tc>
          <w:tcPr>
            <w:tcW w:w="859" w:type="dxa"/>
          </w:tcPr>
          <w:p>
            <w:pPr>
              <w:pStyle w:val="0"/>
            </w:pPr>
            <w:r>
              <w:rPr>
                <w:sz w:val="20"/>
              </w:rPr>
              <w:t xml:space="preserve">8,3</w:t>
            </w:r>
          </w:p>
        </w:tc>
        <w:tc>
          <w:tcPr>
            <w:tcW w:w="859" w:type="dxa"/>
          </w:tcPr>
          <w:p>
            <w:pPr>
              <w:pStyle w:val="0"/>
            </w:pPr>
            <w:r>
              <w:rPr>
                <w:sz w:val="20"/>
              </w:rPr>
              <w:t xml:space="preserve">9,5</w:t>
            </w:r>
          </w:p>
        </w:tc>
        <w:tc>
          <w:tcPr>
            <w:tcW w:w="604" w:type="dxa"/>
          </w:tcPr>
          <w:p>
            <w:pPr>
              <w:pStyle w:val="0"/>
            </w:pPr>
            <w:r>
              <w:rPr>
                <w:sz w:val="20"/>
              </w:rPr>
              <w:t xml:space="preserve">6,7</w:t>
            </w:r>
          </w:p>
        </w:tc>
        <w:tc>
          <w:tcPr>
            <w:tcW w:w="604" w:type="dxa"/>
          </w:tcPr>
          <w:p>
            <w:pPr>
              <w:pStyle w:val="0"/>
            </w:pPr>
            <w:r>
              <w:rPr>
                <w:sz w:val="20"/>
              </w:rPr>
              <w:t xml:space="preserve">10,5</w:t>
            </w:r>
          </w:p>
        </w:tc>
        <w:tc>
          <w:tcPr>
            <w:tcW w:w="604" w:type="dxa"/>
          </w:tcPr>
          <w:p>
            <w:pPr>
              <w:pStyle w:val="0"/>
            </w:pPr>
            <w:r>
              <w:rPr>
                <w:sz w:val="20"/>
              </w:rPr>
              <w:t xml:space="preserve">7,4</w:t>
            </w:r>
          </w:p>
        </w:tc>
        <w:tc>
          <w:tcPr>
            <w:tcW w:w="604" w:type="dxa"/>
          </w:tcPr>
          <w:p>
            <w:pPr>
              <w:pStyle w:val="0"/>
            </w:pPr>
            <w:r>
              <w:rPr>
                <w:sz w:val="20"/>
              </w:rPr>
              <w:t xml:space="preserve">6,9</w:t>
            </w:r>
          </w:p>
        </w:tc>
        <w:tc>
          <w:tcPr>
            <w:tcW w:w="604" w:type="dxa"/>
          </w:tcPr>
          <w:p>
            <w:pPr>
              <w:pStyle w:val="0"/>
            </w:pPr>
            <w:r>
              <w:rPr>
                <w:sz w:val="20"/>
              </w:rPr>
              <w:t xml:space="preserve">7,4</w:t>
            </w:r>
          </w:p>
        </w:tc>
        <w:tc>
          <w:tcPr>
            <w:tcW w:w="604" w:type="dxa"/>
          </w:tcPr>
          <w:p>
            <w:pPr>
              <w:pStyle w:val="0"/>
            </w:pPr>
            <w:r>
              <w:rPr>
                <w:sz w:val="20"/>
              </w:rPr>
              <w:t xml:space="preserve">6,4</w:t>
            </w:r>
          </w:p>
        </w:tc>
        <w:tc>
          <w:tcPr>
            <w:tcW w:w="604" w:type="dxa"/>
          </w:tcPr>
          <w:p>
            <w:pPr>
              <w:pStyle w:val="0"/>
            </w:pPr>
            <w:r>
              <w:rPr>
                <w:sz w:val="20"/>
              </w:rPr>
              <w:t xml:space="preserve">5,9</w:t>
            </w:r>
          </w:p>
        </w:tc>
      </w:tr>
      <w:tr>
        <w:tc>
          <w:tcPr>
            <w:tcW w:w="2324" w:type="dxa"/>
          </w:tcPr>
          <w:p>
            <w:pPr>
              <w:pStyle w:val="0"/>
            </w:pPr>
            <w:r>
              <w:rPr>
                <w:sz w:val="20"/>
              </w:rPr>
              <w:t xml:space="preserve">Яичники</w:t>
            </w:r>
          </w:p>
        </w:tc>
        <w:tc>
          <w:tcPr>
            <w:tcW w:w="1587" w:type="dxa"/>
          </w:tcPr>
          <w:p>
            <w:pPr>
              <w:pStyle w:val="0"/>
            </w:pPr>
            <w:r>
              <w:rPr>
                <w:sz w:val="20"/>
              </w:rPr>
              <w:t xml:space="preserve">С 56</w:t>
            </w:r>
          </w:p>
        </w:tc>
        <w:tc>
          <w:tcPr>
            <w:tcW w:w="859" w:type="dxa"/>
          </w:tcPr>
          <w:p>
            <w:pPr>
              <w:pStyle w:val="0"/>
            </w:pPr>
            <w:r>
              <w:rPr>
                <w:sz w:val="20"/>
              </w:rPr>
              <w:t xml:space="preserve">22</w:t>
            </w:r>
          </w:p>
        </w:tc>
        <w:tc>
          <w:tcPr>
            <w:tcW w:w="859" w:type="dxa"/>
          </w:tcPr>
          <w:p>
            <w:pPr>
              <w:pStyle w:val="0"/>
            </w:pPr>
            <w:r>
              <w:rPr>
                <w:sz w:val="20"/>
              </w:rPr>
              <w:t xml:space="preserve">22</w:t>
            </w:r>
          </w:p>
        </w:tc>
        <w:tc>
          <w:tcPr>
            <w:tcW w:w="859" w:type="dxa"/>
          </w:tcPr>
          <w:p>
            <w:pPr>
              <w:pStyle w:val="0"/>
            </w:pPr>
            <w:r>
              <w:rPr>
                <w:sz w:val="20"/>
              </w:rPr>
              <w:t xml:space="preserve">31,5</w:t>
            </w:r>
          </w:p>
        </w:tc>
        <w:tc>
          <w:tcPr>
            <w:tcW w:w="859" w:type="dxa"/>
          </w:tcPr>
          <w:p>
            <w:pPr>
              <w:pStyle w:val="0"/>
            </w:pPr>
            <w:r>
              <w:rPr>
                <w:sz w:val="20"/>
              </w:rPr>
              <w:t xml:space="preserve">22,9</w:t>
            </w:r>
          </w:p>
        </w:tc>
        <w:tc>
          <w:tcPr>
            <w:tcW w:w="604" w:type="dxa"/>
          </w:tcPr>
          <w:p>
            <w:pPr>
              <w:pStyle w:val="0"/>
            </w:pPr>
            <w:r>
              <w:rPr>
                <w:sz w:val="20"/>
              </w:rPr>
              <w:t xml:space="preserve">26,4</w:t>
            </w:r>
          </w:p>
        </w:tc>
        <w:tc>
          <w:tcPr>
            <w:tcW w:w="604" w:type="dxa"/>
          </w:tcPr>
          <w:p>
            <w:pPr>
              <w:pStyle w:val="0"/>
            </w:pPr>
            <w:r>
              <w:rPr>
                <w:sz w:val="20"/>
              </w:rPr>
              <w:t xml:space="preserve">18,9</w:t>
            </w:r>
          </w:p>
        </w:tc>
        <w:tc>
          <w:tcPr>
            <w:tcW w:w="604" w:type="dxa"/>
          </w:tcPr>
          <w:p>
            <w:pPr>
              <w:pStyle w:val="0"/>
            </w:pPr>
            <w:r>
              <w:rPr>
                <w:sz w:val="20"/>
              </w:rPr>
              <w:t xml:space="preserve">26,7</w:t>
            </w:r>
          </w:p>
        </w:tc>
        <w:tc>
          <w:tcPr>
            <w:tcW w:w="604" w:type="dxa"/>
          </w:tcPr>
          <w:p>
            <w:pPr>
              <w:pStyle w:val="0"/>
            </w:pPr>
            <w:r>
              <w:rPr>
                <w:sz w:val="20"/>
              </w:rPr>
              <w:t xml:space="preserve">15,3</w:t>
            </w:r>
          </w:p>
        </w:tc>
        <w:tc>
          <w:tcPr>
            <w:tcW w:w="604" w:type="dxa"/>
          </w:tcPr>
          <w:p>
            <w:pPr>
              <w:pStyle w:val="0"/>
            </w:pPr>
            <w:r>
              <w:rPr>
                <w:sz w:val="20"/>
              </w:rPr>
              <w:t xml:space="preserve">12,6</w:t>
            </w:r>
          </w:p>
        </w:tc>
        <w:tc>
          <w:tcPr>
            <w:tcW w:w="604" w:type="dxa"/>
          </w:tcPr>
          <w:p>
            <w:pPr>
              <w:pStyle w:val="0"/>
            </w:pPr>
            <w:r>
              <w:rPr>
                <w:sz w:val="20"/>
              </w:rPr>
              <w:t xml:space="preserve">27,6</w:t>
            </w:r>
          </w:p>
        </w:tc>
        <w:tc>
          <w:tcPr>
            <w:tcW w:w="604" w:type="dxa"/>
          </w:tcPr>
          <w:p>
            <w:pPr>
              <w:pStyle w:val="0"/>
            </w:pPr>
            <w:r>
              <w:rPr>
                <w:sz w:val="20"/>
              </w:rPr>
              <w:t xml:space="preserve">19,9</w:t>
            </w:r>
          </w:p>
        </w:tc>
      </w:tr>
      <w:tr>
        <w:tc>
          <w:tcPr>
            <w:tcW w:w="2324" w:type="dxa"/>
          </w:tcPr>
          <w:p>
            <w:pPr>
              <w:pStyle w:val="0"/>
            </w:pPr>
            <w:r>
              <w:rPr>
                <w:sz w:val="20"/>
              </w:rPr>
              <w:t xml:space="preserve">Предстательная железа</w:t>
            </w:r>
          </w:p>
        </w:tc>
        <w:tc>
          <w:tcPr>
            <w:tcW w:w="1587" w:type="dxa"/>
          </w:tcPr>
          <w:p>
            <w:pPr>
              <w:pStyle w:val="0"/>
            </w:pPr>
            <w:r>
              <w:rPr>
                <w:sz w:val="20"/>
              </w:rPr>
              <w:t xml:space="preserve">С 61</w:t>
            </w:r>
          </w:p>
        </w:tc>
        <w:tc>
          <w:tcPr>
            <w:tcW w:w="859" w:type="dxa"/>
          </w:tcPr>
          <w:p>
            <w:pPr>
              <w:pStyle w:val="0"/>
            </w:pPr>
            <w:r>
              <w:rPr>
                <w:sz w:val="20"/>
              </w:rPr>
              <w:t xml:space="preserve">17,3</w:t>
            </w:r>
          </w:p>
        </w:tc>
        <w:tc>
          <w:tcPr>
            <w:tcW w:w="859" w:type="dxa"/>
          </w:tcPr>
          <w:p>
            <w:pPr>
              <w:pStyle w:val="0"/>
            </w:pPr>
            <w:r>
              <w:rPr>
                <w:sz w:val="20"/>
              </w:rPr>
              <w:t xml:space="preserve">20,9</w:t>
            </w:r>
          </w:p>
        </w:tc>
        <w:tc>
          <w:tcPr>
            <w:tcW w:w="859" w:type="dxa"/>
          </w:tcPr>
          <w:p>
            <w:pPr>
              <w:pStyle w:val="0"/>
            </w:pPr>
            <w:r>
              <w:rPr>
                <w:sz w:val="20"/>
              </w:rPr>
              <w:t xml:space="preserve">23,6</w:t>
            </w:r>
          </w:p>
        </w:tc>
        <w:tc>
          <w:tcPr>
            <w:tcW w:w="859" w:type="dxa"/>
          </w:tcPr>
          <w:p>
            <w:pPr>
              <w:pStyle w:val="0"/>
            </w:pPr>
            <w:r>
              <w:rPr>
                <w:sz w:val="20"/>
              </w:rPr>
              <w:t xml:space="preserve">18,4</w:t>
            </w:r>
          </w:p>
        </w:tc>
        <w:tc>
          <w:tcPr>
            <w:tcW w:w="604" w:type="dxa"/>
          </w:tcPr>
          <w:p>
            <w:pPr>
              <w:pStyle w:val="0"/>
            </w:pPr>
            <w:r>
              <w:rPr>
                <w:sz w:val="20"/>
              </w:rPr>
              <w:t xml:space="preserve">17,3</w:t>
            </w:r>
          </w:p>
        </w:tc>
        <w:tc>
          <w:tcPr>
            <w:tcW w:w="604" w:type="dxa"/>
          </w:tcPr>
          <w:p>
            <w:pPr>
              <w:pStyle w:val="0"/>
            </w:pPr>
            <w:r>
              <w:rPr>
                <w:sz w:val="20"/>
              </w:rPr>
              <w:t xml:space="preserve">22,1</w:t>
            </w:r>
          </w:p>
        </w:tc>
        <w:tc>
          <w:tcPr>
            <w:tcW w:w="604" w:type="dxa"/>
          </w:tcPr>
          <w:p>
            <w:pPr>
              <w:pStyle w:val="0"/>
            </w:pPr>
            <w:r>
              <w:rPr>
                <w:sz w:val="20"/>
              </w:rPr>
              <w:t xml:space="preserve">15,6</w:t>
            </w:r>
          </w:p>
        </w:tc>
        <w:tc>
          <w:tcPr>
            <w:tcW w:w="604" w:type="dxa"/>
          </w:tcPr>
          <w:p>
            <w:pPr>
              <w:pStyle w:val="0"/>
            </w:pPr>
            <w:r>
              <w:rPr>
                <w:sz w:val="20"/>
              </w:rPr>
              <w:t xml:space="preserve">15,9</w:t>
            </w:r>
          </w:p>
        </w:tc>
        <w:tc>
          <w:tcPr>
            <w:tcW w:w="604" w:type="dxa"/>
          </w:tcPr>
          <w:p>
            <w:pPr>
              <w:pStyle w:val="0"/>
            </w:pPr>
            <w:r>
              <w:rPr>
                <w:sz w:val="20"/>
              </w:rPr>
              <w:t xml:space="preserve">23,1</w:t>
            </w:r>
          </w:p>
        </w:tc>
        <w:tc>
          <w:tcPr>
            <w:tcW w:w="604" w:type="dxa"/>
          </w:tcPr>
          <w:p>
            <w:pPr>
              <w:pStyle w:val="0"/>
            </w:pPr>
            <w:r>
              <w:rPr>
                <w:sz w:val="20"/>
              </w:rPr>
              <w:t xml:space="preserve">18,0</w:t>
            </w:r>
          </w:p>
        </w:tc>
        <w:tc>
          <w:tcPr>
            <w:tcW w:w="604" w:type="dxa"/>
          </w:tcPr>
          <w:p>
            <w:pPr>
              <w:pStyle w:val="0"/>
            </w:pPr>
            <w:r>
              <w:rPr>
                <w:sz w:val="20"/>
              </w:rPr>
              <w:t xml:space="preserve">22,2</w:t>
            </w:r>
          </w:p>
        </w:tc>
      </w:tr>
      <w:tr>
        <w:tc>
          <w:tcPr>
            <w:tcW w:w="2324" w:type="dxa"/>
          </w:tcPr>
          <w:p>
            <w:pPr>
              <w:pStyle w:val="0"/>
            </w:pPr>
            <w:r>
              <w:rPr>
                <w:sz w:val="20"/>
              </w:rPr>
              <w:t xml:space="preserve">Почки</w:t>
            </w:r>
          </w:p>
        </w:tc>
        <w:tc>
          <w:tcPr>
            <w:tcW w:w="1587" w:type="dxa"/>
          </w:tcPr>
          <w:p>
            <w:pPr>
              <w:pStyle w:val="0"/>
            </w:pPr>
            <w:r>
              <w:rPr>
                <w:sz w:val="20"/>
              </w:rPr>
              <w:t xml:space="preserve">С 64</w:t>
            </w:r>
          </w:p>
        </w:tc>
        <w:tc>
          <w:tcPr>
            <w:tcW w:w="859" w:type="dxa"/>
          </w:tcPr>
          <w:p>
            <w:pPr>
              <w:pStyle w:val="0"/>
            </w:pPr>
            <w:r>
              <w:rPr>
                <w:sz w:val="20"/>
              </w:rPr>
              <w:t xml:space="preserve">21</w:t>
            </w:r>
          </w:p>
        </w:tc>
        <w:tc>
          <w:tcPr>
            <w:tcW w:w="859" w:type="dxa"/>
          </w:tcPr>
          <w:p>
            <w:pPr>
              <w:pStyle w:val="0"/>
            </w:pPr>
            <w:r>
              <w:rPr>
                <w:sz w:val="20"/>
              </w:rPr>
              <w:t xml:space="preserve">19,2</w:t>
            </w:r>
          </w:p>
        </w:tc>
        <w:tc>
          <w:tcPr>
            <w:tcW w:w="859" w:type="dxa"/>
          </w:tcPr>
          <w:p>
            <w:pPr>
              <w:pStyle w:val="0"/>
            </w:pPr>
            <w:r>
              <w:rPr>
                <w:sz w:val="20"/>
              </w:rPr>
              <w:t xml:space="preserve">22,6</w:t>
            </w:r>
          </w:p>
        </w:tc>
        <w:tc>
          <w:tcPr>
            <w:tcW w:w="859" w:type="dxa"/>
          </w:tcPr>
          <w:p>
            <w:pPr>
              <w:pStyle w:val="0"/>
            </w:pPr>
            <w:r>
              <w:rPr>
                <w:sz w:val="20"/>
              </w:rPr>
              <w:t xml:space="preserve">15,8</w:t>
            </w:r>
          </w:p>
        </w:tc>
        <w:tc>
          <w:tcPr>
            <w:tcW w:w="604" w:type="dxa"/>
          </w:tcPr>
          <w:p>
            <w:pPr>
              <w:pStyle w:val="0"/>
            </w:pPr>
            <w:r>
              <w:rPr>
                <w:sz w:val="20"/>
              </w:rPr>
              <w:t xml:space="preserve">19,1</w:t>
            </w:r>
          </w:p>
        </w:tc>
        <w:tc>
          <w:tcPr>
            <w:tcW w:w="604" w:type="dxa"/>
          </w:tcPr>
          <w:p>
            <w:pPr>
              <w:pStyle w:val="0"/>
            </w:pPr>
            <w:r>
              <w:rPr>
                <w:sz w:val="20"/>
              </w:rPr>
              <w:t xml:space="preserve">20,3</w:t>
            </w:r>
          </w:p>
        </w:tc>
        <w:tc>
          <w:tcPr>
            <w:tcW w:w="604" w:type="dxa"/>
          </w:tcPr>
          <w:p>
            <w:pPr>
              <w:pStyle w:val="0"/>
            </w:pPr>
            <w:r>
              <w:rPr>
                <w:sz w:val="20"/>
              </w:rPr>
              <w:t xml:space="preserve">19,3</w:t>
            </w:r>
          </w:p>
        </w:tc>
        <w:tc>
          <w:tcPr>
            <w:tcW w:w="604" w:type="dxa"/>
          </w:tcPr>
          <w:p>
            <w:pPr>
              <w:pStyle w:val="0"/>
            </w:pPr>
            <w:r>
              <w:rPr>
                <w:sz w:val="20"/>
              </w:rPr>
              <w:t xml:space="preserve">20</w:t>
            </w:r>
          </w:p>
        </w:tc>
        <w:tc>
          <w:tcPr>
            <w:tcW w:w="604" w:type="dxa"/>
          </w:tcPr>
          <w:p>
            <w:pPr>
              <w:pStyle w:val="0"/>
            </w:pPr>
            <w:r>
              <w:rPr>
                <w:sz w:val="20"/>
              </w:rPr>
              <w:t xml:space="preserve">16,4</w:t>
            </w:r>
          </w:p>
        </w:tc>
        <w:tc>
          <w:tcPr>
            <w:tcW w:w="604" w:type="dxa"/>
          </w:tcPr>
          <w:p>
            <w:pPr>
              <w:pStyle w:val="0"/>
            </w:pPr>
            <w:r>
              <w:rPr>
                <w:sz w:val="20"/>
              </w:rPr>
              <w:t xml:space="preserve">17,2</w:t>
            </w:r>
          </w:p>
        </w:tc>
        <w:tc>
          <w:tcPr>
            <w:tcW w:w="604" w:type="dxa"/>
          </w:tcPr>
          <w:p>
            <w:pPr>
              <w:pStyle w:val="0"/>
            </w:pPr>
            <w:r>
              <w:rPr>
                <w:sz w:val="20"/>
              </w:rPr>
              <w:t xml:space="preserve">19,6</w:t>
            </w:r>
          </w:p>
        </w:tc>
      </w:tr>
      <w:tr>
        <w:tc>
          <w:tcPr>
            <w:tcW w:w="2324" w:type="dxa"/>
          </w:tcPr>
          <w:p>
            <w:pPr>
              <w:pStyle w:val="0"/>
            </w:pPr>
            <w:r>
              <w:rPr>
                <w:sz w:val="20"/>
              </w:rPr>
              <w:t xml:space="preserve">Мочевой пузырь</w:t>
            </w:r>
          </w:p>
        </w:tc>
        <w:tc>
          <w:tcPr>
            <w:tcW w:w="1587" w:type="dxa"/>
          </w:tcPr>
          <w:p>
            <w:pPr>
              <w:pStyle w:val="0"/>
            </w:pPr>
            <w:r>
              <w:rPr>
                <w:sz w:val="20"/>
              </w:rPr>
              <w:t xml:space="preserve">С 67</w:t>
            </w:r>
          </w:p>
        </w:tc>
        <w:tc>
          <w:tcPr>
            <w:tcW w:w="859" w:type="dxa"/>
          </w:tcPr>
          <w:p>
            <w:pPr>
              <w:pStyle w:val="0"/>
            </w:pPr>
            <w:r>
              <w:rPr>
                <w:sz w:val="20"/>
              </w:rPr>
              <w:t xml:space="preserve">15,4</w:t>
            </w:r>
          </w:p>
        </w:tc>
        <w:tc>
          <w:tcPr>
            <w:tcW w:w="859" w:type="dxa"/>
          </w:tcPr>
          <w:p>
            <w:pPr>
              <w:pStyle w:val="0"/>
            </w:pPr>
            <w:r>
              <w:rPr>
                <w:sz w:val="20"/>
              </w:rPr>
              <w:t xml:space="preserve">17,3</w:t>
            </w:r>
          </w:p>
        </w:tc>
        <w:tc>
          <w:tcPr>
            <w:tcW w:w="859" w:type="dxa"/>
          </w:tcPr>
          <w:p>
            <w:pPr>
              <w:pStyle w:val="0"/>
            </w:pPr>
            <w:r>
              <w:rPr>
                <w:sz w:val="20"/>
              </w:rPr>
              <w:t xml:space="preserve">11,5</w:t>
            </w:r>
          </w:p>
        </w:tc>
        <w:tc>
          <w:tcPr>
            <w:tcW w:w="859" w:type="dxa"/>
          </w:tcPr>
          <w:p>
            <w:pPr>
              <w:pStyle w:val="0"/>
            </w:pPr>
            <w:r>
              <w:rPr>
                <w:sz w:val="20"/>
              </w:rPr>
              <w:t xml:space="preserve">19,2</w:t>
            </w:r>
          </w:p>
        </w:tc>
        <w:tc>
          <w:tcPr>
            <w:tcW w:w="604" w:type="dxa"/>
          </w:tcPr>
          <w:p>
            <w:pPr>
              <w:pStyle w:val="0"/>
            </w:pPr>
            <w:r>
              <w:rPr>
                <w:sz w:val="20"/>
              </w:rPr>
              <w:t xml:space="preserve">19</w:t>
            </w:r>
          </w:p>
        </w:tc>
        <w:tc>
          <w:tcPr>
            <w:tcW w:w="604" w:type="dxa"/>
          </w:tcPr>
          <w:p>
            <w:pPr>
              <w:pStyle w:val="0"/>
            </w:pPr>
            <w:r>
              <w:rPr>
                <w:sz w:val="20"/>
              </w:rPr>
              <w:t xml:space="preserve">9,2</w:t>
            </w:r>
          </w:p>
        </w:tc>
        <w:tc>
          <w:tcPr>
            <w:tcW w:w="604" w:type="dxa"/>
          </w:tcPr>
          <w:p>
            <w:pPr>
              <w:pStyle w:val="0"/>
            </w:pPr>
            <w:r>
              <w:rPr>
                <w:sz w:val="20"/>
              </w:rPr>
              <w:t xml:space="preserve">7,7</w:t>
            </w:r>
          </w:p>
        </w:tc>
        <w:tc>
          <w:tcPr>
            <w:tcW w:w="604" w:type="dxa"/>
          </w:tcPr>
          <w:p>
            <w:pPr>
              <w:pStyle w:val="0"/>
            </w:pPr>
            <w:r>
              <w:rPr>
                <w:sz w:val="20"/>
              </w:rPr>
              <w:t xml:space="preserve">9,1</w:t>
            </w:r>
          </w:p>
        </w:tc>
        <w:tc>
          <w:tcPr>
            <w:tcW w:w="604" w:type="dxa"/>
          </w:tcPr>
          <w:p>
            <w:pPr>
              <w:pStyle w:val="0"/>
            </w:pPr>
            <w:r>
              <w:rPr>
                <w:sz w:val="20"/>
              </w:rPr>
              <w:t xml:space="preserve">8,8</w:t>
            </w:r>
          </w:p>
        </w:tc>
        <w:tc>
          <w:tcPr>
            <w:tcW w:w="604" w:type="dxa"/>
          </w:tcPr>
          <w:p>
            <w:pPr>
              <w:pStyle w:val="0"/>
            </w:pPr>
            <w:r>
              <w:rPr>
                <w:sz w:val="20"/>
              </w:rPr>
              <w:t xml:space="preserve">8,2</w:t>
            </w:r>
          </w:p>
        </w:tc>
        <w:tc>
          <w:tcPr>
            <w:tcW w:w="604" w:type="dxa"/>
          </w:tcPr>
          <w:p>
            <w:pPr>
              <w:pStyle w:val="0"/>
            </w:pPr>
            <w:r>
              <w:rPr>
                <w:sz w:val="20"/>
              </w:rPr>
              <w:t xml:space="preserve">8,7</w:t>
            </w:r>
          </w:p>
        </w:tc>
      </w:tr>
      <w:tr>
        <w:tc>
          <w:tcPr>
            <w:tcW w:w="2324" w:type="dxa"/>
          </w:tcPr>
          <w:p>
            <w:pPr>
              <w:pStyle w:val="0"/>
            </w:pPr>
            <w:r>
              <w:rPr>
                <w:sz w:val="20"/>
              </w:rPr>
              <w:t xml:space="preserve">Щитовидная железа</w:t>
            </w:r>
          </w:p>
        </w:tc>
        <w:tc>
          <w:tcPr>
            <w:tcW w:w="1587" w:type="dxa"/>
          </w:tcPr>
          <w:p>
            <w:pPr>
              <w:pStyle w:val="0"/>
            </w:pPr>
            <w:r>
              <w:rPr>
                <w:sz w:val="20"/>
              </w:rPr>
              <w:t xml:space="preserve">С 73</w:t>
            </w:r>
          </w:p>
        </w:tc>
        <w:tc>
          <w:tcPr>
            <w:tcW w:w="859" w:type="dxa"/>
          </w:tcPr>
          <w:p>
            <w:pPr>
              <w:pStyle w:val="0"/>
            </w:pPr>
            <w:r>
              <w:rPr>
                <w:sz w:val="20"/>
              </w:rPr>
              <w:t xml:space="preserve">7,6</w:t>
            </w:r>
          </w:p>
        </w:tc>
        <w:tc>
          <w:tcPr>
            <w:tcW w:w="859" w:type="dxa"/>
          </w:tcPr>
          <w:p>
            <w:pPr>
              <w:pStyle w:val="0"/>
            </w:pPr>
            <w:r>
              <w:rPr>
                <w:sz w:val="20"/>
              </w:rPr>
              <w:t xml:space="preserve">5,6</w:t>
            </w:r>
          </w:p>
        </w:tc>
        <w:tc>
          <w:tcPr>
            <w:tcW w:w="859" w:type="dxa"/>
          </w:tcPr>
          <w:p>
            <w:pPr>
              <w:pStyle w:val="0"/>
            </w:pPr>
            <w:r>
              <w:rPr>
                <w:sz w:val="20"/>
              </w:rPr>
              <w:t xml:space="preserve">5,5</w:t>
            </w:r>
          </w:p>
        </w:tc>
        <w:tc>
          <w:tcPr>
            <w:tcW w:w="859" w:type="dxa"/>
          </w:tcPr>
          <w:p>
            <w:pPr>
              <w:pStyle w:val="0"/>
            </w:pPr>
            <w:r>
              <w:rPr>
                <w:sz w:val="20"/>
              </w:rPr>
              <w:t xml:space="preserve">9,5</w:t>
            </w:r>
          </w:p>
        </w:tc>
        <w:tc>
          <w:tcPr>
            <w:tcW w:w="604" w:type="dxa"/>
          </w:tcPr>
          <w:p>
            <w:pPr>
              <w:pStyle w:val="0"/>
            </w:pPr>
            <w:r>
              <w:rPr>
                <w:sz w:val="20"/>
              </w:rPr>
              <w:t xml:space="preserve">6,1</w:t>
            </w:r>
          </w:p>
        </w:tc>
        <w:tc>
          <w:tcPr>
            <w:tcW w:w="604" w:type="dxa"/>
          </w:tcPr>
          <w:p>
            <w:pPr>
              <w:pStyle w:val="0"/>
            </w:pPr>
            <w:r>
              <w:rPr>
                <w:sz w:val="20"/>
              </w:rPr>
              <w:t xml:space="preserve">9,2</w:t>
            </w:r>
          </w:p>
        </w:tc>
        <w:tc>
          <w:tcPr>
            <w:tcW w:w="604" w:type="dxa"/>
          </w:tcPr>
          <w:p>
            <w:pPr>
              <w:pStyle w:val="0"/>
            </w:pPr>
            <w:r>
              <w:rPr>
                <w:sz w:val="20"/>
              </w:rPr>
              <w:t xml:space="preserve">4,4</w:t>
            </w:r>
          </w:p>
        </w:tc>
        <w:tc>
          <w:tcPr>
            <w:tcW w:w="604" w:type="dxa"/>
          </w:tcPr>
          <w:p>
            <w:pPr>
              <w:pStyle w:val="0"/>
            </w:pPr>
            <w:r>
              <w:rPr>
                <w:sz w:val="20"/>
              </w:rPr>
              <w:t xml:space="preserve">5,4</w:t>
            </w:r>
          </w:p>
        </w:tc>
        <w:tc>
          <w:tcPr>
            <w:tcW w:w="604" w:type="dxa"/>
          </w:tcPr>
          <w:p>
            <w:pPr>
              <w:pStyle w:val="0"/>
            </w:pPr>
            <w:r>
              <w:rPr>
                <w:sz w:val="20"/>
              </w:rPr>
              <w:t xml:space="preserve">0,8</w:t>
            </w:r>
          </w:p>
        </w:tc>
        <w:tc>
          <w:tcPr>
            <w:tcW w:w="604" w:type="dxa"/>
          </w:tcPr>
          <w:p>
            <w:pPr>
              <w:pStyle w:val="0"/>
            </w:pPr>
            <w:r>
              <w:rPr>
                <w:sz w:val="20"/>
              </w:rPr>
              <w:t xml:space="preserve">3,2</w:t>
            </w:r>
          </w:p>
        </w:tc>
        <w:tc>
          <w:tcPr>
            <w:tcW w:w="604" w:type="dxa"/>
          </w:tcPr>
          <w:p>
            <w:pPr>
              <w:pStyle w:val="0"/>
            </w:pPr>
            <w:r>
              <w:rPr>
                <w:sz w:val="20"/>
              </w:rPr>
              <w:t xml:space="preserve">4,6</w:t>
            </w:r>
          </w:p>
        </w:tc>
      </w:tr>
      <w:tr>
        <w:tc>
          <w:tcPr>
            <w:tcW w:w="2324" w:type="dxa"/>
          </w:tcPr>
          <w:p>
            <w:pPr>
              <w:pStyle w:val="0"/>
            </w:pPr>
            <w:r>
              <w:rPr>
                <w:sz w:val="20"/>
              </w:rPr>
              <w:t xml:space="preserve">Злокачественные лимфомы</w:t>
            </w:r>
          </w:p>
        </w:tc>
        <w:tc>
          <w:tcPr>
            <w:tcW w:w="1587" w:type="dxa"/>
          </w:tcPr>
          <w:p>
            <w:pPr>
              <w:pStyle w:val="0"/>
            </w:pPr>
            <w:r>
              <w:rPr>
                <w:sz w:val="20"/>
              </w:rPr>
              <w:t xml:space="preserve">С81 - 86; С88; С90; С96</w:t>
            </w:r>
          </w:p>
        </w:tc>
        <w:tc>
          <w:tcPr>
            <w:tcW w:w="859" w:type="dxa"/>
          </w:tcPr>
          <w:p>
            <w:pPr>
              <w:pStyle w:val="0"/>
            </w:pPr>
            <w:r>
              <w:rPr>
                <w:sz w:val="20"/>
              </w:rPr>
              <w:t xml:space="preserve">-</w:t>
            </w:r>
          </w:p>
        </w:tc>
        <w:tc>
          <w:tcPr>
            <w:tcW w:w="859" w:type="dxa"/>
          </w:tcPr>
          <w:p>
            <w:pPr>
              <w:pStyle w:val="0"/>
            </w:pPr>
            <w:r>
              <w:rPr>
                <w:sz w:val="20"/>
              </w:rPr>
              <w:t xml:space="preserve">18,2</w:t>
            </w:r>
          </w:p>
        </w:tc>
        <w:tc>
          <w:tcPr>
            <w:tcW w:w="859" w:type="dxa"/>
          </w:tcPr>
          <w:p>
            <w:pPr>
              <w:pStyle w:val="0"/>
            </w:pPr>
            <w:r>
              <w:rPr>
                <w:sz w:val="20"/>
              </w:rPr>
              <w:t xml:space="preserve">17,3</w:t>
            </w:r>
          </w:p>
        </w:tc>
        <w:tc>
          <w:tcPr>
            <w:tcW w:w="859" w:type="dxa"/>
          </w:tcPr>
          <w:p>
            <w:pPr>
              <w:pStyle w:val="0"/>
            </w:pPr>
            <w:r>
              <w:rPr>
                <w:sz w:val="20"/>
              </w:rPr>
              <w:t xml:space="preserve">14,3</w:t>
            </w:r>
          </w:p>
        </w:tc>
        <w:tc>
          <w:tcPr>
            <w:tcW w:w="604" w:type="dxa"/>
          </w:tcPr>
          <w:p>
            <w:pPr>
              <w:pStyle w:val="0"/>
            </w:pPr>
            <w:r>
              <w:rPr>
                <w:sz w:val="20"/>
              </w:rPr>
              <w:t xml:space="preserve">23,9</w:t>
            </w:r>
          </w:p>
        </w:tc>
        <w:tc>
          <w:tcPr>
            <w:tcW w:w="604" w:type="dxa"/>
          </w:tcPr>
          <w:p>
            <w:pPr>
              <w:pStyle w:val="0"/>
            </w:pPr>
            <w:r>
              <w:rPr>
                <w:sz w:val="20"/>
              </w:rPr>
              <w:t xml:space="preserve">23,8</w:t>
            </w:r>
          </w:p>
        </w:tc>
        <w:tc>
          <w:tcPr>
            <w:tcW w:w="604" w:type="dxa"/>
          </w:tcPr>
          <w:p>
            <w:pPr>
              <w:pStyle w:val="0"/>
            </w:pPr>
            <w:r>
              <w:rPr>
                <w:sz w:val="20"/>
              </w:rPr>
              <w:t xml:space="preserve">13,7</w:t>
            </w:r>
          </w:p>
        </w:tc>
        <w:tc>
          <w:tcPr>
            <w:tcW w:w="604" w:type="dxa"/>
          </w:tcPr>
          <w:p>
            <w:pPr>
              <w:pStyle w:val="0"/>
            </w:pPr>
            <w:r>
              <w:rPr>
                <w:sz w:val="20"/>
              </w:rPr>
              <w:t xml:space="preserve">9,8</w:t>
            </w:r>
          </w:p>
        </w:tc>
        <w:tc>
          <w:tcPr>
            <w:tcW w:w="604" w:type="dxa"/>
          </w:tcPr>
          <w:p>
            <w:pPr>
              <w:pStyle w:val="0"/>
            </w:pPr>
            <w:r>
              <w:rPr>
                <w:sz w:val="20"/>
              </w:rPr>
              <w:t xml:space="preserve">16,3</w:t>
            </w:r>
          </w:p>
        </w:tc>
        <w:tc>
          <w:tcPr>
            <w:tcW w:w="604" w:type="dxa"/>
          </w:tcPr>
          <w:p>
            <w:pPr>
              <w:pStyle w:val="0"/>
            </w:pPr>
            <w:r>
              <w:rPr>
                <w:sz w:val="20"/>
              </w:rPr>
              <w:t xml:space="preserve">26,8</w:t>
            </w:r>
          </w:p>
        </w:tc>
        <w:tc>
          <w:tcPr>
            <w:tcW w:w="604" w:type="dxa"/>
          </w:tcPr>
          <w:p>
            <w:pPr>
              <w:pStyle w:val="0"/>
            </w:pPr>
            <w:r>
              <w:rPr>
                <w:sz w:val="20"/>
              </w:rPr>
              <w:t xml:space="preserve">н/д</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В 2022 году показатели запущенности при диагностике новообразований визуальных локализаций, поздних стадиях (III - IV стадия) выявлены в 62,8% опухолей полости рта (2021 год - 49,4%, РФ в 2021 году - 64,6%); 55,8% - прямой кишки (2021 год - 52,4%, РФ в 2021 году - 49,6%); 24,6% - шейки матки (2021 год - 27,9%, РФ в 2021 году - 34,1%); 16,9% - молочной железы (2021 год - 18%, РФ в 2021 году - 27,1%); 6,4% - щитовидной железы (2021 год - 3,3%, РФ в 2021 году - 4,6%).</w:t>
      </w:r>
    </w:p>
    <w:p>
      <w:pPr>
        <w:pStyle w:val="0"/>
        <w:spacing w:before="200" w:line-rule="auto"/>
        <w:ind w:firstLine="540"/>
        <w:jc w:val="both"/>
      </w:pPr>
      <w:r>
        <w:rPr>
          <w:sz w:val="20"/>
        </w:rPr>
        <w:t xml:space="preserve">Специфические особенности эпидемиологических показателей онкологической службы автономного округа.</w:t>
      </w:r>
    </w:p>
    <w:p>
      <w:pPr>
        <w:pStyle w:val="0"/>
        <w:spacing w:before="200" w:line-rule="auto"/>
        <w:ind w:firstLine="540"/>
        <w:jc w:val="both"/>
      </w:pPr>
      <w:r>
        <w:rPr>
          <w:sz w:val="20"/>
        </w:rPr>
        <w:t xml:space="preserve">Эндемичность территории автономного округа по распространению описторхоза. Благодаря проводимым профилактическим мероприятия среди населения удалось снизить заболеваемость описторхозом в автономном округе почти более чем в 2,5 раза (с 635,8 на 100 тыс. населения в 2012 году до 221,9 на 100 тыс. населения в 2022 году). Несмотря на это, рак печени и внутрипеченочных желчных протоков остается достаточно распространенной патологией населения автономного округа. Так, в 2022 году заболеваемость раком печени среди населения составила 5,9 на 100 тыс. населения, при этом у мужчин данный показатель выше, чем у женщин (9,0 на 100 тыс. населения против 4,2 на 100 тыс. населения).</w:t>
      </w:r>
    </w:p>
    <w:p>
      <w:pPr>
        <w:pStyle w:val="0"/>
        <w:spacing w:before="200" w:line-rule="auto"/>
        <w:ind w:firstLine="540"/>
        <w:jc w:val="both"/>
      </w:pPr>
      <w:r>
        <w:rPr>
          <w:sz w:val="20"/>
        </w:rPr>
        <w:t xml:space="preserve">Заболеваемость раком щитовидной железы населения автономного округа (по причине эндемичности территории по дефициту йода) в 2022 году составила 7,4 на 100 тыс. населения, при этом в женской популяции показатель заболеваемости составил 11,8 на 100 тыс. населения, что выше уровня заболеваемости в мужской популяции более чем в 5 раз - 2,9 случая на 100 тыс. мужского населения.</w:t>
      </w:r>
    </w:p>
    <w:p>
      <w:pPr>
        <w:pStyle w:val="0"/>
        <w:ind w:firstLine="540"/>
        <w:jc w:val="both"/>
      </w:pPr>
      <w:r>
        <w:rPr>
          <w:sz w:val="20"/>
        </w:rPr>
      </w:r>
    </w:p>
    <w:p>
      <w:pPr>
        <w:pStyle w:val="2"/>
        <w:outlineLvl w:val="2"/>
        <w:jc w:val="center"/>
      </w:pPr>
      <w:r>
        <w:rPr>
          <w:sz w:val="20"/>
        </w:rPr>
        <w:t xml:space="preserve">1.3. Анализ динамики показателей смертности</w:t>
      </w:r>
    </w:p>
    <w:p>
      <w:pPr>
        <w:pStyle w:val="2"/>
        <w:jc w:val="center"/>
      </w:pPr>
      <w:r>
        <w:rPr>
          <w:sz w:val="20"/>
        </w:rPr>
        <w:t xml:space="preserve">от злокачественных новообразований</w:t>
      </w:r>
    </w:p>
    <w:p>
      <w:pPr>
        <w:pStyle w:val="0"/>
        <w:ind w:firstLine="540"/>
        <w:jc w:val="both"/>
      </w:pPr>
      <w:r>
        <w:rPr>
          <w:sz w:val="20"/>
        </w:rPr>
      </w:r>
    </w:p>
    <w:p>
      <w:pPr>
        <w:pStyle w:val="0"/>
        <w:ind w:firstLine="540"/>
        <w:jc w:val="both"/>
      </w:pPr>
      <w:r>
        <w:rPr>
          <w:sz w:val="20"/>
        </w:rPr>
        <w:t xml:space="preserve">Коэффициент смертности от всех причин в Ханты-Мансийском автономном округе - Югре в 2022 году составил 6,5 на 1 тыс. населения, за аналогичный период 2021 года - 8,5 (по РФ - 13,1).</w:t>
      </w:r>
    </w:p>
    <w:p>
      <w:pPr>
        <w:pStyle w:val="0"/>
        <w:spacing w:before="200" w:line-rule="auto"/>
        <w:ind w:firstLine="540"/>
        <w:jc w:val="both"/>
      </w:pPr>
      <w:r>
        <w:rPr>
          <w:sz w:val="20"/>
        </w:rPr>
        <w:t xml:space="preserve">На показатель смертности влияет рост численности граждан пожилого возраста. За период с 2013 года численность постоянного населения Ханты-Мансийского автономного округа - Югры увеличилась на 7,5%. Наибольший прирост составила возрастная группа старше трудоспособного возраста, доля лиц старше трудоспособного возраста выросла на 10,0%, в то время как доля лиц трудоспособного возраста снизилась на 9,0%.</w:t>
      </w:r>
    </w:p>
    <w:p>
      <w:pPr>
        <w:pStyle w:val="0"/>
        <w:spacing w:before="200" w:line-rule="auto"/>
        <w:ind w:firstLine="540"/>
        <w:jc w:val="both"/>
      </w:pPr>
      <w:r>
        <w:rPr>
          <w:sz w:val="20"/>
        </w:rPr>
        <w:t xml:space="preserve">На показатели смертности влияет тот факт, что жители автономного округа, проживающие в других субъектах Российской Федерации, но зарегистрированные в автономном округе (пенсионеры сохраняют возможность получать социальные гарантии и выплаты за счет средств бюджета автономного округа), в случае смерти проходят по месту регистрации в соответствии с Федеральным </w:t>
      </w:r>
      <w:hyperlink w:history="0" r:id="rId104" w:tooltip="Федеральный закон от 15.11.1997 N 143-ФЗ (ред. от 24.07.2023) &quot;Об актах гражданского состояния&quot; (с изм. и доп., вступ. в силу с 04.08.2023) {КонсультантПлюс}">
        <w:r>
          <w:rPr>
            <w:sz w:val="20"/>
            <w:color w:val="0000ff"/>
          </w:rPr>
          <w:t xml:space="preserve">законом</w:t>
        </w:r>
      </w:hyperlink>
      <w:r>
        <w:rPr>
          <w:sz w:val="20"/>
        </w:rPr>
        <w:t xml:space="preserve"> от 15 ноября 1997 года N 143-ФЗ "Об актах гражданского состояния". По данным ЗАГС, доля граждан, зарегистрированных в Ханты-Мансийском автономном округе - Югре, но умерших в других субъектах Российской Федерации, за январь - декабрь 2022 года составила 2,2% (48 человек). Доля жителей других субъектов Российской Федерации, умерших в регионе, составила 2,5% (54 человека). Таким образом, 4,7% умерших от общего количества смертей не наблюдались в медицинских организациях автономного округа и, соответственно, здравоохранение региона не могло повлиять на исход их болезней.</w:t>
      </w:r>
    </w:p>
    <w:p>
      <w:pPr>
        <w:pStyle w:val="0"/>
        <w:ind w:firstLine="540"/>
        <w:jc w:val="both"/>
      </w:pPr>
      <w:r>
        <w:rPr>
          <w:sz w:val="20"/>
        </w:rPr>
      </w:r>
    </w:p>
    <w:p>
      <w:pPr>
        <w:pStyle w:val="0"/>
        <w:jc w:val="right"/>
      </w:pPr>
      <w:r>
        <w:rPr>
          <w:sz w:val="20"/>
        </w:rPr>
        <w:t xml:space="preserve">Таблица 18</w:t>
      </w:r>
    </w:p>
    <w:p>
      <w:pPr>
        <w:pStyle w:val="0"/>
        <w:jc w:val="right"/>
      </w:pPr>
      <w:r>
        <w:rPr>
          <w:sz w:val="20"/>
        </w:rPr>
      </w:r>
    </w:p>
    <w:p>
      <w:pPr>
        <w:pStyle w:val="0"/>
        <w:jc w:val="center"/>
      </w:pPr>
      <w:r>
        <w:rPr>
          <w:sz w:val="20"/>
        </w:rPr>
        <w:t xml:space="preserve">Динамика смертности в автономном округе за период с 2013</w:t>
      </w:r>
    </w:p>
    <w:p>
      <w:pPr>
        <w:pStyle w:val="0"/>
        <w:jc w:val="center"/>
      </w:pPr>
      <w:r>
        <w:rPr>
          <w:sz w:val="20"/>
        </w:rPr>
        <w:t xml:space="preserve">по 2022 год (на 100 тыс. населения) (грубый показатель)</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17"/>
        <w:gridCol w:w="694"/>
        <w:gridCol w:w="754"/>
        <w:gridCol w:w="694"/>
        <w:gridCol w:w="814"/>
        <w:gridCol w:w="694"/>
        <w:gridCol w:w="814"/>
        <w:gridCol w:w="694"/>
        <w:gridCol w:w="814"/>
        <w:gridCol w:w="694"/>
        <w:gridCol w:w="814"/>
        <w:gridCol w:w="694"/>
        <w:gridCol w:w="814"/>
        <w:gridCol w:w="694"/>
        <w:gridCol w:w="814"/>
        <w:gridCol w:w="694"/>
        <w:gridCol w:w="814"/>
        <w:gridCol w:w="694"/>
        <w:gridCol w:w="814"/>
        <w:gridCol w:w="694"/>
        <w:gridCol w:w="814"/>
      </w:tblGrid>
      <w:tr>
        <w:tc>
          <w:tcPr>
            <w:tcW w:w="1417" w:type="dxa"/>
            <w:vMerge w:val="restart"/>
          </w:tcPr>
          <w:p>
            <w:pPr>
              <w:pStyle w:val="0"/>
              <w:jc w:val="center"/>
            </w:pPr>
            <w:r>
              <w:rPr>
                <w:sz w:val="20"/>
              </w:rPr>
              <w:t xml:space="preserve">Пол</w:t>
            </w:r>
          </w:p>
        </w:tc>
        <w:tc>
          <w:tcPr>
            <w:gridSpan w:val="2"/>
            <w:tcW w:w="1448" w:type="dxa"/>
          </w:tcPr>
          <w:p>
            <w:pPr>
              <w:pStyle w:val="0"/>
              <w:jc w:val="center"/>
            </w:pPr>
            <w:r>
              <w:rPr>
                <w:sz w:val="20"/>
              </w:rPr>
              <w:t xml:space="preserve">2013</w:t>
            </w:r>
          </w:p>
        </w:tc>
        <w:tc>
          <w:tcPr>
            <w:gridSpan w:val="2"/>
            <w:tcW w:w="1508" w:type="dxa"/>
          </w:tcPr>
          <w:p>
            <w:pPr>
              <w:pStyle w:val="0"/>
              <w:jc w:val="center"/>
            </w:pPr>
            <w:r>
              <w:rPr>
                <w:sz w:val="20"/>
              </w:rPr>
              <w:t xml:space="preserve">2014</w:t>
            </w:r>
          </w:p>
        </w:tc>
        <w:tc>
          <w:tcPr>
            <w:gridSpan w:val="2"/>
            <w:tcW w:w="1508" w:type="dxa"/>
          </w:tcPr>
          <w:p>
            <w:pPr>
              <w:pStyle w:val="0"/>
              <w:jc w:val="center"/>
            </w:pPr>
            <w:r>
              <w:rPr>
                <w:sz w:val="20"/>
              </w:rPr>
              <w:t xml:space="preserve">2015</w:t>
            </w:r>
          </w:p>
        </w:tc>
        <w:tc>
          <w:tcPr>
            <w:gridSpan w:val="2"/>
            <w:tcW w:w="1508" w:type="dxa"/>
          </w:tcPr>
          <w:p>
            <w:pPr>
              <w:pStyle w:val="0"/>
              <w:jc w:val="center"/>
            </w:pPr>
            <w:r>
              <w:rPr>
                <w:sz w:val="20"/>
              </w:rPr>
              <w:t xml:space="preserve">2016</w:t>
            </w:r>
          </w:p>
        </w:tc>
        <w:tc>
          <w:tcPr>
            <w:gridSpan w:val="2"/>
            <w:tcW w:w="1508" w:type="dxa"/>
          </w:tcPr>
          <w:p>
            <w:pPr>
              <w:pStyle w:val="0"/>
              <w:jc w:val="center"/>
            </w:pPr>
            <w:r>
              <w:rPr>
                <w:sz w:val="20"/>
              </w:rPr>
              <w:t xml:space="preserve">2017</w:t>
            </w:r>
          </w:p>
        </w:tc>
        <w:tc>
          <w:tcPr>
            <w:gridSpan w:val="2"/>
            <w:tcW w:w="1508" w:type="dxa"/>
          </w:tcPr>
          <w:p>
            <w:pPr>
              <w:pStyle w:val="0"/>
              <w:jc w:val="center"/>
            </w:pPr>
            <w:r>
              <w:rPr>
                <w:sz w:val="20"/>
              </w:rPr>
              <w:t xml:space="preserve">2018</w:t>
            </w:r>
          </w:p>
        </w:tc>
        <w:tc>
          <w:tcPr>
            <w:gridSpan w:val="2"/>
            <w:tcW w:w="1508" w:type="dxa"/>
          </w:tcPr>
          <w:p>
            <w:pPr>
              <w:pStyle w:val="0"/>
              <w:jc w:val="center"/>
            </w:pPr>
            <w:r>
              <w:rPr>
                <w:sz w:val="20"/>
              </w:rPr>
              <w:t xml:space="preserve">2019</w:t>
            </w:r>
          </w:p>
        </w:tc>
        <w:tc>
          <w:tcPr>
            <w:gridSpan w:val="2"/>
            <w:tcW w:w="1508" w:type="dxa"/>
          </w:tcPr>
          <w:p>
            <w:pPr>
              <w:pStyle w:val="0"/>
              <w:jc w:val="center"/>
            </w:pPr>
            <w:r>
              <w:rPr>
                <w:sz w:val="20"/>
              </w:rPr>
              <w:t xml:space="preserve">2020</w:t>
            </w:r>
          </w:p>
        </w:tc>
        <w:tc>
          <w:tcPr>
            <w:gridSpan w:val="2"/>
            <w:tcW w:w="1508" w:type="dxa"/>
          </w:tcPr>
          <w:p>
            <w:pPr>
              <w:pStyle w:val="0"/>
              <w:jc w:val="center"/>
            </w:pPr>
            <w:r>
              <w:rPr>
                <w:sz w:val="20"/>
              </w:rPr>
              <w:t xml:space="preserve">2021</w:t>
            </w:r>
          </w:p>
        </w:tc>
        <w:tc>
          <w:tcPr>
            <w:gridSpan w:val="2"/>
            <w:tcW w:w="1508" w:type="dxa"/>
          </w:tcPr>
          <w:p>
            <w:pPr>
              <w:pStyle w:val="0"/>
              <w:jc w:val="center"/>
            </w:pPr>
            <w:r>
              <w:rPr>
                <w:sz w:val="20"/>
              </w:rPr>
              <w:t xml:space="preserve">2022</w:t>
            </w:r>
          </w:p>
        </w:tc>
      </w:tr>
      <w:tr>
        <w:tc>
          <w:tcPr>
            <w:vMerge w:val="continue"/>
          </w:tcPr>
          <w:p/>
        </w:tc>
        <w:tc>
          <w:tcPr>
            <w:tcW w:w="694" w:type="dxa"/>
          </w:tcPr>
          <w:p>
            <w:pPr>
              <w:pStyle w:val="0"/>
              <w:jc w:val="center"/>
            </w:pPr>
            <w:r>
              <w:rPr>
                <w:sz w:val="20"/>
              </w:rPr>
              <w:t xml:space="preserve">абс. ч.</w:t>
            </w:r>
          </w:p>
        </w:tc>
        <w:tc>
          <w:tcPr>
            <w:tcW w:w="754" w:type="dxa"/>
          </w:tcPr>
          <w:p>
            <w:pPr>
              <w:pStyle w:val="0"/>
              <w:jc w:val="center"/>
            </w:pPr>
            <w:r>
              <w:rPr>
                <w:sz w:val="20"/>
              </w:rPr>
              <w:t xml:space="preserve">гр. пок.</w:t>
            </w:r>
          </w:p>
        </w:tc>
        <w:tc>
          <w:tcPr>
            <w:tcW w:w="694" w:type="dxa"/>
          </w:tcPr>
          <w:p>
            <w:pPr>
              <w:pStyle w:val="0"/>
              <w:jc w:val="center"/>
            </w:pPr>
            <w:r>
              <w:rPr>
                <w:sz w:val="20"/>
              </w:rPr>
              <w:t xml:space="preserve">абс. ч.</w:t>
            </w:r>
          </w:p>
        </w:tc>
        <w:tc>
          <w:tcPr>
            <w:tcW w:w="814" w:type="dxa"/>
          </w:tcPr>
          <w:p>
            <w:pPr>
              <w:pStyle w:val="0"/>
              <w:jc w:val="center"/>
            </w:pPr>
            <w:r>
              <w:rPr>
                <w:sz w:val="20"/>
              </w:rPr>
              <w:t xml:space="preserve">гр. пок.</w:t>
            </w:r>
          </w:p>
        </w:tc>
        <w:tc>
          <w:tcPr>
            <w:tcW w:w="694" w:type="dxa"/>
          </w:tcPr>
          <w:p>
            <w:pPr>
              <w:pStyle w:val="0"/>
              <w:jc w:val="center"/>
            </w:pPr>
            <w:r>
              <w:rPr>
                <w:sz w:val="20"/>
              </w:rPr>
              <w:t xml:space="preserve">абс. ч.</w:t>
            </w:r>
          </w:p>
        </w:tc>
        <w:tc>
          <w:tcPr>
            <w:tcW w:w="814" w:type="dxa"/>
          </w:tcPr>
          <w:p>
            <w:pPr>
              <w:pStyle w:val="0"/>
              <w:jc w:val="center"/>
            </w:pPr>
            <w:r>
              <w:rPr>
                <w:sz w:val="20"/>
              </w:rPr>
              <w:t xml:space="preserve">гр. пок.</w:t>
            </w:r>
          </w:p>
        </w:tc>
        <w:tc>
          <w:tcPr>
            <w:tcW w:w="694" w:type="dxa"/>
          </w:tcPr>
          <w:p>
            <w:pPr>
              <w:pStyle w:val="0"/>
              <w:jc w:val="center"/>
            </w:pPr>
            <w:r>
              <w:rPr>
                <w:sz w:val="20"/>
              </w:rPr>
              <w:t xml:space="preserve">абс. ч.</w:t>
            </w:r>
          </w:p>
        </w:tc>
        <w:tc>
          <w:tcPr>
            <w:tcW w:w="814" w:type="dxa"/>
          </w:tcPr>
          <w:p>
            <w:pPr>
              <w:pStyle w:val="0"/>
              <w:jc w:val="center"/>
            </w:pPr>
            <w:r>
              <w:rPr>
                <w:sz w:val="20"/>
              </w:rPr>
              <w:t xml:space="preserve">гр. пок.</w:t>
            </w:r>
          </w:p>
        </w:tc>
        <w:tc>
          <w:tcPr>
            <w:tcW w:w="694" w:type="dxa"/>
          </w:tcPr>
          <w:p>
            <w:pPr>
              <w:pStyle w:val="0"/>
              <w:jc w:val="center"/>
            </w:pPr>
            <w:r>
              <w:rPr>
                <w:sz w:val="20"/>
              </w:rPr>
              <w:t xml:space="preserve">абс. ч.</w:t>
            </w:r>
          </w:p>
        </w:tc>
        <w:tc>
          <w:tcPr>
            <w:tcW w:w="814" w:type="dxa"/>
          </w:tcPr>
          <w:p>
            <w:pPr>
              <w:pStyle w:val="0"/>
              <w:jc w:val="center"/>
            </w:pPr>
            <w:r>
              <w:rPr>
                <w:sz w:val="20"/>
              </w:rPr>
              <w:t xml:space="preserve">гр. пок.</w:t>
            </w:r>
          </w:p>
        </w:tc>
        <w:tc>
          <w:tcPr>
            <w:tcW w:w="694" w:type="dxa"/>
          </w:tcPr>
          <w:p>
            <w:pPr>
              <w:pStyle w:val="0"/>
              <w:jc w:val="center"/>
            </w:pPr>
            <w:r>
              <w:rPr>
                <w:sz w:val="20"/>
              </w:rPr>
              <w:t xml:space="preserve">абс. ч.</w:t>
            </w:r>
          </w:p>
        </w:tc>
        <w:tc>
          <w:tcPr>
            <w:tcW w:w="814" w:type="dxa"/>
          </w:tcPr>
          <w:p>
            <w:pPr>
              <w:pStyle w:val="0"/>
              <w:jc w:val="center"/>
            </w:pPr>
            <w:r>
              <w:rPr>
                <w:sz w:val="20"/>
              </w:rPr>
              <w:t xml:space="preserve">гр. пок.</w:t>
            </w:r>
          </w:p>
        </w:tc>
        <w:tc>
          <w:tcPr>
            <w:tcW w:w="694" w:type="dxa"/>
          </w:tcPr>
          <w:p>
            <w:pPr>
              <w:pStyle w:val="0"/>
              <w:jc w:val="center"/>
            </w:pPr>
            <w:r>
              <w:rPr>
                <w:sz w:val="20"/>
              </w:rPr>
              <w:t xml:space="preserve">абс. ч.</w:t>
            </w:r>
          </w:p>
        </w:tc>
        <w:tc>
          <w:tcPr>
            <w:tcW w:w="814" w:type="dxa"/>
          </w:tcPr>
          <w:p>
            <w:pPr>
              <w:pStyle w:val="0"/>
              <w:jc w:val="center"/>
            </w:pPr>
            <w:r>
              <w:rPr>
                <w:sz w:val="20"/>
              </w:rPr>
              <w:t xml:space="preserve">гр. пок.</w:t>
            </w:r>
          </w:p>
        </w:tc>
        <w:tc>
          <w:tcPr>
            <w:tcW w:w="694" w:type="dxa"/>
          </w:tcPr>
          <w:p>
            <w:pPr>
              <w:pStyle w:val="0"/>
              <w:jc w:val="center"/>
            </w:pPr>
            <w:r>
              <w:rPr>
                <w:sz w:val="20"/>
              </w:rPr>
              <w:t xml:space="preserve">абс. ч.</w:t>
            </w:r>
          </w:p>
        </w:tc>
        <w:tc>
          <w:tcPr>
            <w:tcW w:w="814" w:type="dxa"/>
          </w:tcPr>
          <w:p>
            <w:pPr>
              <w:pStyle w:val="0"/>
              <w:jc w:val="center"/>
            </w:pPr>
            <w:r>
              <w:rPr>
                <w:sz w:val="20"/>
              </w:rPr>
              <w:t xml:space="preserve">гр. пок.</w:t>
            </w:r>
          </w:p>
        </w:tc>
        <w:tc>
          <w:tcPr>
            <w:tcW w:w="694" w:type="dxa"/>
          </w:tcPr>
          <w:p>
            <w:pPr>
              <w:pStyle w:val="0"/>
              <w:jc w:val="center"/>
            </w:pPr>
            <w:r>
              <w:rPr>
                <w:sz w:val="20"/>
              </w:rPr>
              <w:t xml:space="preserve">абс. ч.</w:t>
            </w:r>
          </w:p>
        </w:tc>
        <w:tc>
          <w:tcPr>
            <w:tcW w:w="814" w:type="dxa"/>
          </w:tcPr>
          <w:p>
            <w:pPr>
              <w:pStyle w:val="0"/>
              <w:jc w:val="center"/>
            </w:pPr>
            <w:r>
              <w:rPr>
                <w:sz w:val="20"/>
              </w:rPr>
              <w:t xml:space="preserve">гр. пок.</w:t>
            </w:r>
          </w:p>
        </w:tc>
        <w:tc>
          <w:tcPr>
            <w:tcW w:w="694" w:type="dxa"/>
          </w:tcPr>
          <w:p>
            <w:pPr>
              <w:pStyle w:val="0"/>
              <w:jc w:val="center"/>
            </w:pPr>
            <w:r>
              <w:rPr>
                <w:sz w:val="20"/>
              </w:rPr>
              <w:t xml:space="preserve">абс. ч.</w:t>
            </w:r>
          </w:p>
        </w:tc>
        <w:tc>
          <w:tcPr>
            <w:tcW w:w="814" w:type="dxa"/>
          </w:tcPr>
          <w:p>
            <w:pPr>
              <w:pStyle w:val="0"/>
              <w:jc w:val="center"/>
            </w:pPr>
            <w:r>
              <w:rPr>
                <w:sz w:val="20"/>
              </w:rPr>
              <w:t xml:space="preserve">гр. пок.</w:t>
            </w:r>
          </w:p>
        </w:tc>
      </w:tr>
      <w:tr>
        <w:tc>
          <w:tcPr>
            <w:tcW w:w="1417" w:type="dxa"/>
          </w:tcPr>
          <w:p>
            <w:pPr>
              <w:pStyle w:val="0"/>
            </w:pPr>
            <w:r>
              <w:rPr>
                <w:sz w:val="20"/>
              </w:rPr>
              <w:t xml:space="preserve">Мужчины</w:t>
            </w:r>
          </w:p>
        </w:tc>
        <w:tc>
          <w:tcPr>
            <w:tcW w:w="694" w:type="dxa"/>
          </w:tcPr>
          <w:p>
            <w:pPr>
              <w:pStyle w:val="0"/>
            </w:pPr>
            <w:r>
              <w:rPr>
                <w:sz w:val="20"/>
              </w:rPr>
              <w:t xml:space="preserve">995</w:t>
            </w:r>
          </w:p>
        </w:tc>
        <w:tc>
          <w:tcPr>
            <w:tcW w:w="754" w:type="dxa"/>
          </w:tcPr>
          <w:p>
            <w:pPr>
              <w:pStyle w:val="0"/>
            </w:pPr>
            <w:r>
              <w:rPr>
                <w:sz w:val="20"/>
              </w:rPr>
              <w:t xml:space="preserve">128,2</w:t>
            </w:r>
          </w:p>
        </w:tc>
        <w:tc>
          <w:tcPr>
            <w:tcW w:w="694" w:type="dxa"/>
          </w:tcPr>
          <w:p>
            <w:pPr>
              <w:pStyle w:val="0"/>
            </w:pPr>
            <w:r>
              <w:rPr>
                <w:sz w:val="20"/>
              </w:rPr>
              <w:t xml:space="preserve">995</w:t>
            </w:r>
          </w:p>
        </w:tc>
        <w:tc>
          <w:tcPr>
            <w:tcW w:w="814" w:type="dxa"/>
          </w:tcPr>
          <w:p>
            <w:pPr>
              <w:pStyle w:val="0"/>
            </w:pPr>
            <w:r>
              <w:rPr>
                <w:sz w:val="20"/>
              </w:rPr>
              <w:t xml:space="preserve">127,2</w:t>
            </w:r>
          </w:p>
        </w:tc>
        <w:tc>
          <w:tcPr>
            <w:tcW w:w="694" w:type="dxa"/>
          </w:tcPr>
          <w:p>
            <w:pPr>
              <w:pStyle w:val="0"/>
            </w:pPr>
            <w:r>
              <w:rPr>
                <w:sz w:val="20"/>
              </w:rPr>
              <w:t xml:space="preserve">990</w:t>
            </w:r>
          </w:p>
        </w:tc>
        <w:tc>
          <w:tcPr>
            <w:tcW w:w="814" w:type="dxa"/>
          </w:tcPr>
          <w:p>
            <w:pPr>
              <w:pStyle w:val="0"/>
            </w:pPr>
            <w:r>
              <w:rPr>
                <w:sz w:val="20"/>
              </w:rPr>
              <w:t xml:space="preserve">125,5</w:t>
            </w:r>
          </w:p>
        </w:tc>
        <w:tc>
          <w:tcPr>
            <w:tcW w:w="694" w:type="dxa"/>
          </w:tcPr>
          <w:p>
            <w:pPr>
              <w:pStyle w:val="0"/>
            </w:pPr>
            <w:r>
              <w:rPr>
                <w:sz w:val="20"/>
              </w:rPr>
              <w:t xml:space="preserve">982</w:t>
            </w:r>
          </w:p>
        </w:tc>
        <w:tc>
          <w:tcPr>
            <w:tcW w:w="814" w:type="dxa"/>
          </w:tcPr>
          <w:p>
            <w:pPr>
              <w:pStyle w:val="0"/>
            </w:pPr>
            <w:r>
              <w:rPr>
                <w:sz w:val="20"/>
              </w:rPr>
              <w:t xml:space="preserve">123,2</w:t>
            </w:r>
          </w:p>
        </w:tc>
        <w:tc>
          <w:tcPr>
            <w:tcW w:w="694" w:type="dxa"/>
          </w:tcPr>
          <w:p>
            <w:pPr>
              <w:pStyle w:val="0"/>
            </w:pPr>
            <w:r>
              <w:rPr>
                <w:sz w:val="20"/>
              </w:rPr>
              <w:t xml:space="preserve">1057</w:t>
            </w:r>
          </w:p>
        </w:tc>
        <w:tc>
          <w:tcPr>
            <w:tcW w:w="814" w:type="dxa"/>
          </w:tcPr>
          <w:p>
            <w:pPr>
              <w:pStyle w:val="0"/>
            </w:pPr>
            <w:r>
              <w:rPr>
                <w:sz w:val="20"/>
              </w:rPr>
              <w:t xml:space="preserve">131,5</w:t>
            </w:r>
          </w:p>
        </w:tc>
        <w:tc>
          <w:tcPr>
            <w:tcW w:w="694" w:type="dxa"/>
          </w:tcPr>
          <w:p>
            <w:pPr>
              <w:pStyle w:val="0"/>
            </w:pPr>
            <w:r>
              <w:rPr>
                <w:sz w:val="20"/>
              </w:rPr>
              <w:t xml:space="preserve">1193</w:t>
            </w:r>
          </w:p>
        </w:tc>
        <w:tc>
          <w:tcPr>
            <w:tcW w:w="814" w:type="dxa"/>
          </w:tcPr>
          <w:p>
            <w:pPr>
              <w:pStyle w:val="0"/>
            </w:pPr>
            <w:r>
              <w:rPr>
                <w:sz w:val="20"/>
              </w:rPr>
              <w:t xml:space="preserve">147,7</w:t>
            </w:r>
          </w:p>
        </w:tc>
        <w:tc>
          <w:tcPr>
            <w:tcW w:w="694" w:type="dxa"/>
          </w:tcPr>
          <w:p>
            <w:pPr>
              <w:pStyle w:val="0"/>
            </w:pPr>
            <w:r>
              <w:rPr>
                <w:sz w:val="20"/>
              </w:rPr>
              <w:t xml:space="preserve">1075</w:t>
            </w:r>
          </w:p>
        </w:tc>
        <w:tc>
          <w:tcPr>
            <w:tcW w:w="814" w:type="dxa"/>
          </w:tcPr>
          <w:p>
            <w:pPr>
              <w:pStyle w:val="0"/>
            </w:pPr>
            <w:r>
              <w:rPr>
                <w:sz w:val="20"/>
              </w:rPr>
              <w:t xml:space="preserve">132,6</w:t>
            </w:r>
          </w:p>
        </w:tc>
        <w:tc>
          <w:tcPr>
            <w:tcW w:w="694" w:type="dxa"/>
          </w:tcPr>
          <w:p>
            <w:pPr>
              <w:pStyle w:val="0"/>
            </w:pPr>
            <w:r>
              <w:rPr>
                <w:sz w:val="20"/>
              </w:rPr>
              <w:t xml:space="preserve">1145</w:t>
            </w:r>
          </w:p>
        </w:tc>
        <w:tc>
          <w:tcPr>
            <w:tcW w:w="814" w:type="dxa"/>
          </w:tcPr>
          <w:p>
            <w:pPr>
              <w:pStyle w:val="0"/>
            </w:pPr>
            <w:r>
              <w:rPr>
                <w:sz w:val="20"/>
              </w:rPr>
              <w:t xml:space="preserve">144,3</w:t>
            </w:r>
          </w:p>
        </w:tc>
        <w:tc>
          <w:tcPr>
            <w:tcW w:w="694" w:type="dxa"/>
          </w:tcPr>
          <w:p>
            <w:pPr>
              <w:pStyle w:val="0"/>
            </w:pPr>
            <w:r>
              <w:rPr>
                <w:sz w:val="20"/>
              </w:rPr>
              <w:t xml:space="preserve">1296</w:t>
            </w:r>
          </w:p>
        </w:tc>
        <w:tc>
          <w:tcPr>
            <w:tcW w:w="814" w:type="dxa"/>
          </w:tcPr>
          <w:p>
            <w:pPr>
              <w:pStyle w:val="0"/>
            </w:pPr>
            <w:r>
              <w:rPr>
                <w:sz w:val="20"/>
              </w:rPr>
              <w:t xml:space="preserve">156,5</w:t>
            </w:r>
          </w:p>
        </w:tc>
        <w:tc>
          <w:tcPr>
            <w:tcW w:w="694" w:type="dxa"/>
          </w:tcPr>
          <w:p>
            <w:pPr>
              <w:pStyle w:val="0"/>
            </w:pPr>
            <w:r>
              <w:rPr>
                <w:sz w:val="20"/>
              </w:rPr>
              <w:t xml:space="preserve">1193</w:t>
            </w:r>
          </w:p>
        </w:tc>
        <w:tc>
          <w:tcPr>
            <w:tcW w:w="814" w:type="dxa"/>
          </w:tcPr>
          <w:p>
            <w:pPr>
              <w:pStyle w:val="0"/>
            </w:pPr>
            <w:r>
              <w:rPr>
                <w:sz w:val="20"/>
              </w:rPr>
              <w:t xml:space="preserve">144,0</w:t>
            </w:r>
          </w:p>
        </w:tc>
      </w:tr>
      <w:tr>
        <w:tc>
          <w:tcPr>
            <w:tcW w:w="1417" w:type="dxa"/>
          </w:tcPr>
          <w:p>
            <w:pPr>
              <w:pStyle w:val="0"/>
            </w:pPr>
            <w:r>
              <w:rPr>
                <w:sz w:val="20"/>
              </w:rPr>
              <w:t xml:space="preserve">Женщины</w:t>
            </w:r>
          </w:p>
        </w:tc>
        <w:tc>
          <w:tcPr>
            <w:tcW w:w="694" w:type="dxa"/>
          </w:tcPr>
          <w:p>
            <w:pPr>
              <w:pStyle w:val="0"/>
            </w:pPr>
            <w:r>
              <w:rPr>
                <w:sz w:val="20"/>
              </w:rPr>
              <w:t xml:space="preserve">774</w:t>
            </w:r>
          </w:p>
        </w:tc>
        <w:tc>
          <w:tcPr>
            <w:tcW w:w="754" w:type="dxa"/>
          </w:tcPr>
          <w:p>
            <w:pPr>
              <w:pStyle w:val="0"/>
            </w:pPr>
            <w:r>
              <w:rPr>
                <w:sz w:val="20"/>
              </w:rPr>
              <w:t xml:space="preserve">96</w:t>
            </w:r>
          </w:p>
        </w:tc>
        <w:tc>
          <w:tcPr>
            <w:tcW w:w="694" w:type="dxa"/>
          </w:tcPr>
          <w:p>
            <w:pPr>
              <w:pStyle w:val="0"/>
            </w:pPr>
            <w:r>
              <w:rPr>
                <w:sz w:val="20"/>
              </w:rPr>
              <w:t xml:space="preserve">773</w:t>
            </w:r>
          </w:p>
        </w:tc>
        <w:tc>
          <w:tcPr>
            <w:tcW w:w="814" w:type="dxa"/>
          </w:tcPr>
          <w:p>
            <w:pPr>
              <w:pStyle w:val="0"/>
            </w:pPr>
            <w:r>
              <w:rPr>
                <w:sz w:val="20"/>
              </w:rPr>
              <w:t xml:space="preserve">94</w:t>
            </w:r>
          </w:p>
        </w:tc>
        <w:tc>
          <w:tcPr>
            <w:tcW w:w="694" w:type="dxa"/>
          </w:tcPr>
          <w:p>
            <w:pPr>
              <w:pStyle w:val="0"/>
            </w:pPr>
            <w:r>
              <w:rPr>
                <w:sz w:val="20"/>
              </w:rPr>
              <w:t xml:space="preserve">761</w:t>
            </w:r>
          </w:p>
        </w:tc>
        <w:tc>
          <w:tcPr>
            <w:tcW w:w="814" w:type="dxa"/>
          </w:tcPr>
          <w:p>
            <w:pPr>
              <w:pStyle w:val="0"/>
            </w:pPr>
            <w:r>
              <w:rPr>
                <w:sz w:val="20"/>
              </w:rPr>
              <w:t xml:space="preserve">91,7</w:t>
            </w:r>
          </w:p>
        </w:tc>
        <w:tc>
          <w:tcPr>
            <w:tcW w:w="694" w:type="dxa"/>
          </w:tcPr>
          <w:p>
            <w:pPr>
              <w:pStyle w:val="0"/>
            </w:pPr>
            <w:r>
              <w:rPr>
                <w:sz w:val="20"/>
              </w:rPr>
              <w:t xml:space="preserve">790</w:t>
            </w:r>
          </w:p>
        </w:tc>
        <w:tc>
          <w:tcPr>
            <w:tcW w:w="814" w:type="dxa"/>
          </w:tcPr>
          <w:p>
            <w:pPr>
              <w:pStyle w:val="0"/>
            </w:pPr>
            <w:r>
              <w:rPr>
                <w:sz w:val="20"/>
              </w:rPr>
              <w:t xml:space="preserve">94,1</w:t>
            </w:r>
          </w:p>
        </w:tc>
        <w:tc>
          <w:tcPr>
            <w:tcW w:w="694" w:type="dxa"/>
          </w:tcPr>
          <w:p>
            <w:pPr>
              <w:pStyle w:val="0"/>
            </w:pPr>
            <w:r>
              <w:rPr>
                <w:sz w:val="20"/>
              </w:rPr>
              <w:t xml:space="preserve">735</w:t>
            </w:r>
          </w:p>
        </w:tc>
        <w:tc>
          <w:tcPr>
            <w:tcW w:w="814" w:type="dxa"/>
          </w:tcPr>
          <w:p>
            <w:pPr>
              <w:pStyle w:val="0"/>
            </w:pPr>
            <w:r>
              <w:rPr>
                <w:sz w:val="20"/>
              </w:rPr>
              <w:t xml:space="preserve">86,8</w:t>
            </w:r>
          </w:p>
        </w:tc>
        <w:tc>
          <w:tcPr>
            <w:tcW w:w="694" w:type="dxa"/>
          </w:tcPr>
          <w:p>
            <w:pPr>
              <w:pStyle w:val="0"/>
            </w:pPr>
            <w:r>
              <w:rPr>
                <w:sz w:val="20"/>
              </w:rPr>
              <w:t xml:space="preserve">806</w:t>
            </w:r>
          </w:p>
        </w:tc>
        <w:tc>
          <w:tcPr>
            <w:tcW w:w="814" w:type="dxa"/>
          </w:tcPr>
          <w:p>
            <w:pPr>
              <w:pStyle w:val="0"/>
            </w:pPr>
            <w:r>
              <w:rPr>
                <w:sz w:val="20"/>
              </w:rPr>
              <w:t xml:space="preserve">94,7</w:t>
            </w:r>
          </w:p>
        </w:tc>
        <w:tc>
          <w:tcPr>
            <w:tcW w:w="694" w:type="dxa"/>
          </w:tcPr>
          <w:p>
            <w:pPr>
              <w:pStyle w:val="0"/>
            </w:pPr>
            <w:r>
              <w:rPr>
                <w:sz w:val="20"/>
              </w:rPr>
              <w:t xml:space="preserve">717</w:t>
            </w:r>
          </w:p>
        </w:tc>
        <w:tc>
          <w:tcPr>
            <w:tcW w:w="814" w:type="dxa"/>
          </w:tcPr>
          <w:p>
            <w:pPr>
              <w:pStyle w:val="0"/>
            </w:pPr>
            <w:r>
              <w:rPr>
                <w:sz w:val="20"/>
              </w:rPr>
              <w:t xml:space="preserve">83,7</w:t>
            </w:r>
          </w:p>
        </w:tc>
        <w:tc>
          <w:tcPr>
            <w:tcW w:w="694" w:type="dxa"/>
          </w:tcPr>
          <w:p>
            <w:pPr>
              <w:pStyle w:val="0"/>
            </w:pPr>
            <w:r>
              <w:rPr>
                <w:sz w:val="20"/>
              </w:rPr>
              <w:t xml:space="preserve">877</w:t>
            </w:r>
          </w:p>
        </w:tc>
        <w:tc>
          <w:tcPr>
            <w:tcW w:w="814" w:type="dxa"/>
          </w:tcPr>
          <w:p>
            <w:pPr>
              <w:pStyle w:val="0"/>
            </w:pPr>
            <w:r>
              <w:rPr>
                <w:sz w:val="20"/>
              </w:rPr>
              <w:t xml:space="preserve">102,7</w:t>
            </w:r>
          </w:p>
        </w:tc>
        <w:tc>
          <w:tcPr>
            <w:tcW w:w="694" w:type="dxa"/>
          </w:tcPr>
          <w:p>
            <w:pPr>
              <w:pStyle w:val="0"/>
            </w:pPr>
            <w:r>
              <w:rPr>
                <w:sz w:val="20"/>
              </w:rPr>
              <w:t xml:space="preserve">907</w:t>
            </w:r>
          </w:p>
        </w:tc>
        <w:tc>
          <w:tcPr>
            <w:tcW w:w="814" w:type="dxa"/>
          </w:tcPr>
          <w:p>
            <w:pPr>
              <w:pStyle w:val="0"/>
            </w:pPr>
            <w:r>
              <w:rPr>
                <w:sz w:val="20"/>
              </w:rPr>
              <w:t xml:space="preserve">104,0</w:t>
            </w:r>
          </w:p>
        </w:tc>
        <w:tc>
          <w:tcPr>
            <w:tcW w:w="694" w:type="dxa"/>
          </w:tcPr>
          <w:p>
            <w:pPr>
              <w:pStyle w:val="0"/>
            </w:pPr>
            <w:r>
              <w:rPr>
                <w:sz w:val="20"/>
              </w:rPr>
              <w:t xml:space="preserve">941</w:t>
            </w:r>
          </w:p>
        </w:tc>
        <w:tc>
          <w:tcPr>
            <w:tcW w:w="814" w:type="dxa"/>
          </w:tcPr>
          <w:p>
            <w:pPr>
              <w:pStyle w:val="0"/>
            </w:pPr>
            <w:r>
              <w:rPr>
                <w:sz w:val="20"/>
              </w:rPr>
              <w:t xml:space="preserve">107,8</w:t>
            </w:r>
          </w:p>
        </w:tc>
      </w:tr>
      <w:tr>
        <w:tc>
          <w:tcPr>
            <w:tcW w:w="1417" w:type="dxa"/>
          </w:tcPr>
          <w:p>
            <w:pPr>
              <w:pStyle w:val="0"/>
            </w:pPr>
            <w:r>
              <w:rPr>
                <w:sz w:val="20"/>
              </w:rPr>
              <w:t xml:space="preserve">Оба пола</w:t>
            </w:r>
          </w:p>
        </w:tc>
        <w:tc>
          <w:tcPr>
            <w:tcW w:w="694" w:type="dxa"/>
          </w:tcPr>
          <w:p>
            <w:pPr>
              <w:pStyle w:val="0"/>
            </w:pPr>
            <w:r>
              <w:rPr>
                <w:sz w:val="20"/>
              </w:rPr>
              <w:t xml:space="preserve">1769</w:t>
            </w:r>
          </w:p>
        </w:tc>
        <w:tc>
          <w:tcPr>
            <w:tcW w:w="754" w:type="dxa"/>
          </w:tcPr>
          <w:p>
            <w:pPr>
              <w:pStyle w:val="0"/>
            </w:pPr>
            <w:r>
              <w:rPr>
                <w:sz w:val="20"/>
              </w:rPr>
              <w:t xml:space="preserve">111,2</w:t>
            </w:r>
          </w:p>
        </w:tc>
        <w:tc>
          <w:tcPr>
            <w:tcW w:w="694" w:type="dxa"/>
          </w:tcPr>
          <w:p>
            <w:pPr>
              <w:pStyle w:val="0"/>
            </w:pPr>
            <w:r>
              <w:rPr>
                <w:sz w:val="20"/>
              </w:rPr>
              <w:t xml:space="preserve">1768</w:t>
            </w:r>
          </w:p>
        </w:tc>
        <w:tc>
          <w:tcPr>
            <w:tcW w:w="814" w:type="dxa"/>
          </w:tcPr>
          <w:p>
            <w:pPr>
              <w:pStyle w:val="0"/>
            </w:pPr>
            <w:r>
              <w:rPr>
                <w:sz w:val="20"/>
              </w:rPr>
              <w:t xml:space="preserve">110,2</w:t>
            </w:r>
          </w:p>
        </w:tc>
        <w:tc>
          <w:tcPr>
            <w:tcW w:w="694" w:type="dxa"/>
          </w:tcPr>
          <w:p>
            <w:pPr>
              <w:pStyle w:val="0"/>
            </w:pPr>
            <w:r>
              <w:rPr>
                <w:sz w:val="20"/>
              </w:rPr>
              <w:t xml:space="preserve">1751</w:t>
            </w:r>
          </w:p>
        </w:tc>
        <w:tc>
          <w:tcPr>
            <w:tcW w:w="814" w:type="dxa"/>
          </w:tcPr>
          <w:p>
            <w:pPr>
              <w:pStyle w:val="0"/>
            </w:pPr>
            <w:r>
              <w:rPr>
                <w:sz w:val="20"/>
              </w:rPr>
              <w:t xml:space="preserve">108,1</w:t>
            </w:r>
          </w:p>
        </w:tc>
        <w:tc>
          <w:tcPr>
            <w:tcW w:w="694" w:type="dxa"/>
          </w:tcPr>
          <w:p>
            <w:pPr>
              <w:pStyle w:val="0"/>
            </w:pPr>
            <w:r>
              <w:rPr>
                <w:sz w:val="20"/>
              </w:rPr>
              <w:t xml:space="preserve">1772</w:t>
            </w:r>
          </w:p>
        </w:tc>
        <w:tc>
          <w:tcPr>
            <w:tcW w:w="814" w:type="dxa"/>
          </w:tcPr>
          <w:p>
            <w:pPr>
              <w:pStyle w:val="0"/>
            </w:pPr>
            <w:r>
              <w:rPr>
                <w:sz w:val="20"/>
              </w:rPr>
              <w:t xml:space="preserve">108,3</w:t>
            </w:r>
          </w:p>
        </w:tc>
        <w:tc>
          <w:tcPr>
            <w:tcW w:w="694" w:type="dxa"/>
          </w:tcPr>
          <w:p>
            <w:pPr>
              <w:pStyle w:val="0"/>
            </w:pPr>
            <w:r>
              <w:rPr>
                <w:sz w:val="20"/>
              </w:rPr>
              <w:t xml:space="preserve">1792</w:t>
            </w:r>
          </w:p>
        </w:tc>
        <w:tc>
          <w:tcPr>
            <w:tcW w:w="814" w:type="dxa"/>
          </w:tcPr>
          <w:p>
            <w:pPr>
              <w:pStyle w:val="0"/>
            </w:pPr>
            <w:r>
              <w:rPr>
                <w:sz w:val="20"/>
              </w:rPr>
              <w:t xml:space="preserve">108,6</w:t>
            </w:r>
          </w:p>
        </w:tc>
        <w:tc>
          <w:tcPr>
            <w:tcW w:w="694" w:type="dxa"/>
          </w:tcPr>
          <w:p>
            <w:pPr>
              <w:pStyle w:val="0"/>
            </w:pPr>
            <w:r>
              <w:rPr>
                <w:sz w:val="20"/>
              </w:rPr>
              <w:t xml:space="preserve">1999</w:t>
            </w:r>
          </w:p>
        </w:tc>
        <w:tc>
          <w:tcPr>
            <w:tcW w:w="814" w:type="dxa"/>
          </w:tcPr>
          <w:p>
            <w:pPr>
              <w:pStyle w:val="0"/>
            </w:pPr>
            <w:r>
              <w:rPr>
                <w:sz w:val="20"/>
              </w:rPr>
              <w:t xml:space="preserve">120,5</w:t>
            </w:r>
          </w:p>
        </w:tc>
        <w:tc>
          <w:tcPr>
            <w:tcW w:w="694" w:type="dxa"/>
          </w:tcPr>
          <w:p>
            <w:pPr>
              <w:pStyle w:val="0"/>
            </w:pPr>
            <w:r>
              <w:rPr>
                <w:sz w:val="20"/>
              </w:rPr>
              <w:t xml:space="preserve">1792</w:t>
            </w:r>
          </w:p>
        </w:tc>
        <w:tc>
          <w:tcPr>
            <w:tcW w:w="814" w:type="dxa"/>
          </w:tcPr>
          <w:p>
            <w:pPr>
              <w:pStyle w:val="0"/>
            </w:pPr>
            <w:r>
              <w:rPr>
                <w:sz w:val="20"/>
              </w:rPr>
              <w:t xml:space="preserve">107,4</w:t>
            </w:r>
          </w:p>
        </w:tc>
        <w:tc>
          <w:tcPr>
            <w:tcW w:w="694" w:type="dxa"/>
          </w:tcPr>
          <w:p>
            <w:pPr>
              <w:pStyle w:val="0"/>
            </w:pPr>
            <w:r>
              <w:rPr>
                <w:sz w:val="20"/>
              </w:rPr>
              <w:t xml:space="preserve">2022</w:t>
            </w:r>
          </w:p>
        </w:tc>
        <w:tc>
          <w:tcPr>
            <w:tcW w:w="814" w:type="dxa"/>
          </w:tcPr>
          <w:p>
            <w:pPr>
              <w:pStyle w:val="0"/>
            </w:pPr>
            <w:r>
              <w:rPr>
                <w:sz w:val="20"/>
              </w:rPr>
              <w:t xml:space="preserve">120,3</w:t>
            </w:r>
          </w:p>
        </w:tc>
        <w:tc>
          <w:tcPr>
            <w:tcW w:w="694" w:type="dxa"/>
          </w:tcPr>
          <w:p>
            <w:pPr>
              <w:pStyle w:val="0"/>
            </w:pPr>
            <w:r>
              <w:rPr>
                <w:sz w:val="20"/>
              </w:rPr>
              <w:t xml:space="preserve">2203</w:t>
            </w:r>
          </w:p>
        </w:tc>
        <w:tc>
          <w:tcPr>
            <w:tcW w:w="814" w:type="dxa"/>
          </w:tcPr>
          <w:p>
            <w:pPr>
              <w:pStyle w:val="0"/>
            </w:pPr>
            <w:r>
              <w:rPr>
                <w:sz w:val="20"/>
              </w:rPr>
              <w:t xml:space="preserve">129,5</w:t>
            </w:r>
          </w:p>
        </w:tc>
        <w:tc>
          <w:tcPr>
            <w:tcW w:w="694" w:type="dxa"/>
          </w:tcPr>
          <w:p>
            <w:pPr>
              <w:pStyle w:val="0"/>
            </w:pPr>
            <w:r>
              <w:rPr>
                <w:sz w:val="20"/>
              </w:rPr>
              <w:t xml:space="preserve">2134</w:t>
            </w:r>
          </w:p>
        </w:tc>
        <w:tc>
          <w:tcPr>
            <w:tcW w:w="814" w:type="dxa"/>
          </w:tcPr>
          <w:p>
            <w:pPr>
              <w:pStyle w:val="0"/>
            </w:pPr>
            <w:r>
              <w:rPr>
                <w:sz w:val="20"/>
              </w:rPr>
              <w:t xml:space="preserve">125,4</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Смертность от злокачественных новообразований за 2022 год составила 125,1 на 100 тыс. населения, что на 13,9% выше, чем в 2013 году, - 111,2 на 100 тыс. населения.</w:t>
      </w:r>
    </w:p>
    <w:p>
      <w:pPr>
        <w:pStyle w:val="0"/>
        <w:spacing w:before="200" w:line-rule="auto"/>
        <w:ind w:firstLine="540"/>
        <w:jc w:val="both"/>
      </w:pPr>
      <w:r>
        <w:rPr>
          <w:sz w:val="20"/>
        </w:rPr>
        <w:t xml:space="preserve">По данным федерального ракового регистра "Канцер-регистр 6FB" (далее - Канцер-регистр, федеральная форма статистического наблюдения N 7 в соответствии с </w:t>
      </w:r>
      <w:hyperlink w:history="0" r:id="rId105" w:tooltip="Приказ Росстата от 27.12.2022 N 985 (ред. от 27.10.2023) &quot;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quot; {КонсультантПлюс}">
        <w:r>
          <w:rPr>
            <w:sz w:val="20"/>
            <w:color w:val="0000ff"/>
          </w:rPr>
          <w:t xml:space="preserve">приказом</w:t>
        </w:r>
      </w:hyperlink>
      <w:r>
        <w:rPr>
          <w:sz w:val="20"/>
        </w:rPr>
        <w:t xml:space="preserve"> Росстата от 27 декабря 2022 года N 985 "Об утверждении форм федерального статистического наблюдения с указаниями по их заполнению для организации Министерством здравоохранения Российской Федерации федерального статистического наблюдения в сфере охраны здоровья"), за 2022 год от злокачественных новообразований в автономном округе умерли 2182 человека, за аналогичный период 2021 года 2231 человек (данные Росстата), снижение показателя - 49 случаев. Смертность от всех новообразований, включая злокачественные, составила 126,7 на 100 тыс. населения. Смертность от злокачественных новообразований на 100 тыс. населения за 2022 год составила 125,1 на 100 тыс. населения, что на 3,3% ниже, чем в 2021 году - 129,4 на 100 тыс. населения. На фоне снижения смертности от злокачественных новообразований наблюдается также и снижение показателя одногодичной летальности до 17,5% (темп снижения показателя в сравнении с 2021 годом составил 12,9% в сравнении с 2013 годом - 16,2%). Данный факт свидетельствует о снижении смертности за счет пациентов, выявленных, пролеченных в предыдущие годы и умерших в результате прогрессирования заболевания либо имеющих противопоказания к проведению специального лечения.</w:t>
      </w:r>
    </w:p>
    <w:p>
      <w:pPr>
        <w:pStyle w:val="0"/>
        <w:jc w:val="right"/>
      </w:pPr>
      <w:r>
        <w:rPr>
          <w:sz w:val="20"/>
        </w:rPr>
      </w:r>
    </w:p>
    <w:p>
      <w:pPr>
        <w:pStyle w:val="0"/>
        <w:jc w:val="right"/>
      </w:pPr>
      <w:r>
        <w:rPr>
          <w:sz w:val="20"/>
        </w:rPr>
        <w:t xml:space="preserve">Таблица 19</w:t>
      </w:r>
    </w:p>
    <w:p>
      <w:pPr>
        <w:pStyle w:val="0"/>
        <w:jc w:val="right"/>
      </w:pPr>
      <w:r>
        <w:rPr>
          <w:sz w:val="20"/>
        </w:rPr>
      </w:r>
    </w:p>
    <w:bookmarkStart w:id="7941" w:name="P7941"/>
    <w:bookmarkEnd w:id="7941"/>
    <w:p>
      <w:pPr>
        <w:pStyle w:val="0"/>
        <w:jc w:val="center"/>
      </w:pPr>
      <w:r>
        <w:rPr>
          <w:sz w:val="20"/>
        </w:rPr>
        <w:t xml:space="preserve">Динамика смертности от злокачественных новообразований</w:t>
      </w:r>
    </w:p>
    <w:p>
      <w:pPr>
        <w:pStyle w:val="0"/>
        <w:jc w:val="center"/>
      </w:pPr>
      <w:r>
        <w:rPr>
          <w:sz w:val="20"/>
        </w:rPr>
        <w:t xml:space="preserve">в автономном округе с 2013 по 2022 год (на 100 тысяч</w:t>
      </w:r>
    </w:p>
    <w:p>
      <w:pPr>
        <w:pStyle w:val="0"/>
        <w:jc w:val="center"/>
      </w:pPr>
      <w:r>
        <w:rPr>
          <w:sz w:val="20"/>
        </w:rPr>
        <w:t xml:space="preserve">населения) (стандартизованный)</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04"/>
        <w:gridCol w:w="784"/>
        <w:gridCol w:w="784"/>
        <w:gridCol w:w="784"/>
        <w:gridCol w:w="784"/>
        <w:gridCol w:w="784"/>
        <w:gridCol w:w="784"/>
        <w:gridCol w:w="784"/>
        <w:gridCol w:w="664"/>
        <w:gridCol w:w="664"/>
        <w:gridCol w:w="604"/>
      </w:tblGrid>
      <w:tr>
        <w:tc>
          <w:tcPr>
            <w:tcW w:w="1304" w:type="dxa"/>
          </w:tcPr>
          <w:p>
            <w:pPr>
              <w:pStyle w:val="0"/>
            </w:pPr>
            <w:r>
              <w:rPr>
                <w:sz w:val="20"/>
              </w:rPr>
            </w:r>
          </w:p>
        </w:tc>
        <w:tc>
          <w:tcPr>
            <w:tcW w:w="784" w:type="dxa"/>
          </w:tcPr>
          <w:p>
            <w:pPr>
              <w:pStyle w:val="0"/>
            </w:pPr>
            <w:r>
              <w:rPr>
                <w:sz w:val="20"/>
              </w:rPr>
              <w:t xml:space="preserve">2013</w:t>
            </w:r>
          </w:p>
        </w:tc>
        <w:tc>
          <w:tcPr>
            <w:tcW w:w="784" w:type="dxa"/>
          </w:tcPr>
          <w:p>
            <w:pPr>
              <w:pStyle w:val="0"/>
            </w:pPr>
            <w:r>
              <w:rPr>
                <w:sz w:val="20"/>
              </w:rPr>
              <w:t xml:space="preserve">2014</w:t>
            </w:r>
          </w:p>
        </w:tc>
        <w:tc>
          <w:tcPr>
            <w:tcW w:w="784" w:type="dxa"/>
          </w:tcPr>
          <w:p>
            <w:pPr>
              <w:pStyle w:val="0"/>
            </w:pPr>
            <w:r>
              <w:rPr>
                <w:sz w:val="20"/>
              </w:rPr>
              <w:t xml:space="preserve">2015</w:t>
            </w:r>
          </w:p>
        </w:tc>
        <w:tc>
          <w:tcPr>
            <w:tcW w:w="784" w:type="dxa"/>
          </w:tcPr>
          <w:p>
            <w:pPr>
              <w:pStyle w:val="0"/>
            </w:pPr>
            <w:r>
              <w:rPr>
                <w:sz w:val="20"/>
              </w:rPr>
              <w:t xml:space="preserve">2016</w:t>
            </w:r>
          </w:p>
        </w:tc>
        <w:tc>
          <w:tcPr>
            <w:tcW w:w="784" w:type="dxa"/>
          </w:tcPr>
          <w:p>
            <w:pPr>
              <w:pStyle w:val="0"/>
            </w:pPr>
            <w:r>
              <w:rPr>
                <w:sz w:val="20"/>
              </w:rPr>
              <w:t xml:space="preserve">2017</w:t>
            </w:r>
          </w:p>
        </w:tc>
        <w:tc>
          <w:tcPr>
            <w:tcW w:w="784" w:type="dxa"/>
          </w:tcPr>
          <w:p>
            <w:pPr>
              <w:pStyle w:val="0"/>
            </w:pPr>
            <w:r>
              <w:rPr>
                <w:sz w:val="20"/>
              </w:rPr>
              <w:t xml:space="preserve">2018</w:t>
            </w:r>
          </w:p>
        </w:tc>
        <w:tc>
          <w:tcPr>
            <w:tcW w:w="784" w:type="dxa"/>
          </w:tcPr>
          <w:p>
            <w:pPr>
              <w:pStyle w:val="0"/>
            </w:pPr>
            <w:r>
              <w:rPr>
                <w:sz w:val="20"/>
              </w:rPr>
              <w:t xml:space="preserve">2019</w:t>
            </w:r>
          </w:p>
        </w:tc>
        <w:tc>
          <w:tcPr>
            <w:tcW w:w="664" w:type="dxa"/>
          </w:tcPr>
          <w:p>
            <w:pPr>
              <w:pStyle w:val="0"/>
            </w:pPr>
            <w:r>
              <w:rPr>
                <w:sz w:val="20"/>
              </w:rPr>
              <w:t xml:space="preserve">2020</w:t>
            </w:r>
          </w:p>
        </w:tc>
        <w:tc>
          <w:tcPr>
            <w:tcW w:w="664" w:type="dxa"/>
          </w:tcPr>
          <w:p>
            <w:pPr>
              <w:pStyle w:val="0"/>
            </w:pPr>
            <w:r>
              <w:rPr>
                <w:sz w:val="20"/>
              </w:rPr>
              <w:t xml:space="preserve">2021</w:t>
            </w:r>
          </w:p>
        </w:tc>
        <w:tc>
          <w:tcPr>
            <w:tcW w:w="604" w:type="dxa"/>
          </w:tcPr>
          <w:p>
            <w:pPr>
              <w:pStyle w:val="0"/>
            </w:pPr>
            <w:r>
              <w:rPr>
                <w:sz w:val="20"/>
              </w:rPr>
              <w:t xml:space="preserve">2022</w:t>
            </w:r>
          </w:p>
        </w:tc>
      </w:tr>
      <w:tr>
        <w:tc>
          <w:tcPr>
            <w:tcW w:w="1304" w:type="dxa"/>
          </w:tcPr>
          <w:p>
            <w:pPr>
              <w:pStyle w:val="0"/>
            </w:pPr>
            <w:r>
              <w:rPr>
                <w:sz w:val="20"/>
              </w:rPr>
              <w:t xml:space="preserve">Мужчины</w:t>
            </w:r>
          </w:p>
        </w:tc>
        <w:tc>
          <w:tcPr>
            <w:tcW w:w="784" w:type="dxa"/>
          </w:tcPr>
          <w:p>
            <w:pPr>
              <w:pStyle w:val="0"/>
            </w:pPr>
            <w:r>
              <w:rPr>
                <w:sz w:val="20"/>
              </w:rPr>
              <w:t xml:space="preserve">170,71</w:t>
            </w:r>
          </w:p>
        </w:tc>
        <w:tc>
          <w:tcPr>
            <w:tcW w:w="784" w:type="dxa"/>
          </w:tcPr>
          <w:p>
            <w:pPr>
              <w:pStyle w:val="0"/>
            </w:pPr>
            <w:r>
              <w:rPr>
                <w:sz w:val="20"/>
              </w:rPr>
              <w:t xml:space="preserve">160,58</w:t>
            </w:r>
          </w:p>
        </w:tc>
        <w:tc>
          <w:tcPr>
            <w:tcW w:w="784" w:type="dxa"/>
          </w:tcPr>
          <w:p>
            <w:pPr>
              <w:pStyle w:val="0"/>
            </w:pPr>
            <w:r>
              <w:rPr>
                <w:sz w:val="20"/>
              </w:rPr>
              <w:t xml:space="preserve">151,35</w:t>
            </w:r>
          </w:p>
        </w:tc>
        <w:tc>
          <w:tcPr>
            <w:tcW w:w="784" w:type="dxa"/>
          </w:tcPr>
          <w:p>
            <w:pPr>
              <w:pStyle w:val="0"/>
            </w:pPr>
            <w:r>
              <w:rPr>
                <w:sz w:val="20"/>
              </w:rPr>
              <w:t xml:space="preserve">143,07</w:t>
            </w:r>
          </w:p>
        </w:tc>
        <w:tc>
          <w:tcPr>
            <w:tcW w:w="784" w:type="dxa"/>
          </w:tcPr>
          <w:p>
            <w:pPr>
              <w:pStyle w:val="0"/>
            </w:pPr>
            <w:r>
              <w:rPr>
                <w:sz w:val="20"/>
              </w:rPr>
              <w:t xml:space="preserve">146,62</w:t>
            </w:r>
          </w:p>
        </w:tc>
        <w:tc>
          <w:tcPr>
            <w:tcW w:w="784" w:type="dxa"/>
          </w:tcPr>
          <w:p>
            <w:pPr>
              <w:pStyle w:val="0"/>
            </w:pPr>
            <w:r>
              <w:rPr>
                <w:sz w:val="20"/>
              </w:rPr>
              <w:t xml:space="preserve">156,63</w:t>
            </w:r>
          </w:p>
        </w:tc>
        <w:tc>
          <w:tcPr>
            <w:tcW w:w="784" w:type="dxa"/>
          </w:tcPr>
          <w:p>
            <w:pPr>
              <w:pStyle w:val="0"/>
            </w:pPr>
            <w:r>
              <w:rPr>
                <w:sz w:val="20"/>
              </w:rPr>
              <w:t xml:space="preserve">131,26</w:t>
            </w:r>
          </w:p>
        </w:tc>
        <w:tc>
          <w:tcPr>
            <w:tcW w:w="664" w:type="dxa"/>
          </w:tcPr>
          <w:p>
            <w:pPr>
              <w:pStyle w:val="0"/>
            </w:pPr>
            <w:r>
              <w:rPr>
                <w:sz w:val="20"/>
              </w:rPr>
              <w:t xml:space="preserve">134,5</w:t>
            </w:r>
          </w:p>
        </w:tc>
        <w:tc>
          <w:tcPr>
            <w:tcW w:w="664" w:type="dxa"/>
          </w:tcPr>
          <w:p>
            <w:pPr>
              <w:pStyle w:val="0"/>
            </w:pPr>
            <w:r>
              <w:rPr>
                <w:sz w:val="20"/>
              </w:rPr>
              <w:t xml:space="preserve">153,4</w:t>
            </w:r>
          </w:p>
        </w:tc>
        <w:tc>
          <w:tcPr>
            <w:tcW w:w="604" w:type="dxa"/>
          </w:tcPr>
          <w:p>
            <w:pPr>
              <w:pStyle w:val="0"/>
            </w:pPr>
            <w:r>
              <w:rPr>
                <w:sz w:val="20"/>
              </w:rPr>
              <w:t xml:space="preserve">н/д</w:t>
            </w:r>
          </w:p>
        </w:tc>
      </w:tr>
      <w:tr>
        <w:tc>
          <w:tcPr>
            <w:tcW w:w="1304" w:type="dxa"/>
          </w:tcPr>
          <w:p>
            <w:pPr>
              <w:pStyle w:val="0"/>
            </w:pPr>
            <w:r>
              <w:rPr>
                <w:sz w:val="20"/>
              </w:rPr>
              <w:t xml:space="preserve">Женщины</w:t>
            </w:r>
          </w:p>
        </w:tc>
        <w:tc>
          <w:tcPr>
            <w:tcW w:w="784" w:type="dxa"/>
          </w:tcPr>
          <w:p>
            <w:pPr>
              <w:pStyle w:val="0"/>
            </w:pPr>
            <w:r>
              <w:rPr>
                <w:sz w:val="20"/>
              </w:rPr>
              <w:t xml:space="preserve">88,31</w:t>
            </w:r>
          </w:p>
        </w:tc>
        <w:tc>
          <w:tcPr>
            <w:tcW w:w="784" w:type="dxa"/>
          </w:tcPr>
          <w:p>
            <w:pPr>
              <w:pStyle w:val="0"/>
            </w:pPr>
            <w:r>
              <w:rPr>
                <w:sz w:val="20"/>
              </w:rPr>
              <w:t xml:space="preserve">85,22</w:t>
            </w:r>
          </w:p>
        </w:tc>
        <w:tc>
          <w:tcPr>
            <w:tcW w:w="784" w:type="dxa"/>
          </w:tcPr>
          <w:p>
            <w:pPr>
              <w:pStyle w:val="0"/>
            </w:pPr>
            <w:r>
              <w:rPr>
                <w:sz w:val="20"/>
              </w:rPr>
              <w:t xml:space="preserve">80,91</w:t>
            </w:r>
          </w:p>
        </w:tc>
        <w:tc>
          <w:tcPr>
            <w:tcW w:w="784" w:type="dxa"/>
          </w:tcPr>
          <w:p>
            <w:pPr>
              <w:pStyle w:val="0"/>
            </w:pPr>
            <w:r>
              <w:rPr>
                <w:sz w:val="20"/>
              </w:rPr>
              <w:t xml:space="preserve">77,85</w:t>
            </w:r>
          </w:p>
        </w:tc>
        <w:tc>
          <w:tcPr>
            <w:tcW w:w="784" w:type="dxa"/>
          </w:tcPr>
          <w:p>
            <w:pPr>
              <w:pStyle w:val="0"/>
            </w:pPr>
            <w:r>
              <w:rPr>
                <w:sz w:val="20"/>
              </w:rPr>
              <w:t xml:space="preserve">68,99</w:t>
            </w:r>
          </w:p>
        </w:tc>
        <w:tc>
          <w:tcPr>
            <w:tcW w:w="784" w:type="dxa"/>
          </w:tcPr>
          <w:p>
            <w:pPr>
              <w:pStyle w:val="0"/>
            </w:pPr>
            <w:r>
              <w:rPr>
                <w:sz w:val="20"/>
              </w:rPr>
              <w:t xml:space="preserve">74,28</w:t>
            </w:r>
          </w:p>
        </w:tc>
        <w:tc>
          <w:tcPr>
            <w:tcW w:w="784" w:type="dxa"/>
          </w:tcPr>
          <w:p>
            <w:pPr>
              <w:pStyle w:val="0"/>
            </w:pPr>
            <w:r>
              <w:rPr>
                <w:sz w:val="20"/>
              </w:rPr>
              <w:t xml:space="preserve">63,02</w:t>
            </w:r>
          </w:p>
        </w:tc>
        <w:tc>
          <w:tcPr>
            <w:tcW w:w="664" w:type="dxa"/>
          </w:tcPr>
          <w:p>
            <w:pPr>
              <w:pStyle w:val="0"/>
            </w:pPr>
            <w:r>
              <w:rPr>
                <w:sz w:val="20"/>
              </w:rPr>
              <w:t xml:space="preserve">72,0</w:t>
            </w:r>
          </w:p>
        </w:tc>
        <w:tc>
          <w:tcPr>
            <w:tcW w:w="664" w:type="dxa"/>
          </w:tcPr>
          <w:p>
            <w:pPr>
              <w:pStyle w:val="0"/>
            </w:pPr>
            <w:r>
              <w:rPr>
                <w:sz w:val="20"/>
              </w:rPr>
              <w:t xml:space="preserve">72,8</w:t>
            </w:r>
          </w:p>
        </w:tc>
        <w:tc>
          <w:tcPr>
            <w:tcW w:w="604" w:type="dxa"/>
          </w:tcPr>
          <w:p>
            <w:pPr>
              <w:pStyle w:val="0"/>
            </w:pPr>
            <w:r>
              <w:rPr>
                <w:sz w:val="20"/>
              </w:rPr>
              <w:t xml:space="preserve">н/д</w:t>
            </w:r>
          </w:p>
        </w:tc>
      </w:tr>
      <w:tr>
        <w:tc>
          <w:tcPr>
            <w:tcW w:w="1304" w:type="dxa"/>
          </w:tcPr>
          <w:p>
            <w:pPr>
              <w:pStyle w:val="0"/>
            </w:pPr>
            <w:r>
              <w:rPr>
                <w:sz w:val="20"/>
              </w:rPr>
              <w:t xml:space="preserve">Оба пола</w:t>
            </w:r>
          </w:p>
        </w:tc>
        <w:tc>
          <w:tcPr>
            <w:tcW w:w="784" w:type="dxa"/>
          </w:tcPr>
          <w:p>
            <w:pPr>
              <w:pStyle w:val="0"/>
            </w:pPr>
            <w:r>
              <w:rPr>
                <w:sz w:val="20"/>
              </w:rPr>
              <w:t xml:space="preserve">116,9</w:t>
            </w:r>
          </w:p>
        </w:tc>
        <w:tc>
          <w:tcPr>
            <w:tcW w:w="784" w:type="dxa"/>
          </w:tcPr>
          <w:p>
            <w:pPr>
              <w:pStyle w:val="0"/>
            </w:pPr>
            <w:r>
              <w:rPr>
                <w:sz w:val="20"/>
              </w:rPr>
              <w:t xml:space="preserve">119,2</w:t>
            </w:r>
          </w:p>
        </w:tc>
        <w:tc>
          <w:tcPr>
            <w:tcW w:w="784" w:type="dxa"/>
          </w:tcPr>
          <w:p>
            <w:pPr>
              <w:pStyle w:val="0"/>
            </w:pPr>
            <w:r>
              <w:rPr>
                <w:sz w:val="20"/>
              </w:rPr>
              <w:t xml:space="preserve">107,7</w:t>
            </w:r>
          </w:p>
        </w:tc>
        <w:tc>
          <w:tcPr>
            <w:tcW w:w="784" w:type="dxa"/>
          </w:tcPr>
          <w:p>
            <w:pPr>
              <w:pStyle w:val="0"/>
            </w:pPr>
            <w:r>
              <w:rPr>
                <w:sz w:val="20"/>
              </w:rPr>
              <w:t xml:space="preserve">102,1</w:t>
            </w:r>
          </w:p>
        </w:tc>
        <w:tc>
          <w:tcPr>
            <w:tcW w:w="784" w:type="dxa"/>
          </w:tcPr>
          <w:p>
            <w:pPr>
              <w:pStyle w:val="0"/>
            </w:pPr>
            <w:r>
              <w:rPr>
                <w:sz w:val="20"/>
              </w:rPr>
              <w:t xml:space="preserve">98,15</w:t>
            </w:r>
          </w:p>
        </w:tc>
        <w:tc>
          <w:tcPr>
            <w:tcW w:w="784" w:type="dxa"/>
          </w:tcPr>
          <w:p>
            <w:pPr>
              <w:pStyle w:val="0"/>
            </w:pPr>
            <w:r>
              <w:rPr>
                <w:sz w:val="20"/>
              </w:rPr>
              <w:t xml:space="preserve">105,79</w:t>
            </w:r>
          </w:p>
        </w:tc>
        <w:tc>
          <w:tcPr>
            <w:tcW w:w="784" w:type="dxa"/>
          </w:tcPr>
          <w:p>
            <w:pPr>
              <w:pStyle w:val="0"/>
            </w:pPr>
            <w:r>
              <w:rPr>
                <w:sz w:val="20"/>
              </w:rPr>
              <w:t xml:space="preserve">90,45</w:t>
            </w:r>
          </w:p>
        </w:tc>
        <w:tc>
          <w:tcPr>
            <w:tcW w:w="664" w:type="dxa"/>
          </w:tcPr>
          <w:p>
            <w:pPr>
              <w:pStyle w:val="0"/>
            </w:pPr>
            <w:r>
              <w:rPr>
                <w:sz w:val="20"/>
              </w:rPr>
              <w:t xml:space="preserve">96,4</w:t>
            </w:r>
          </w:p>
        </w:tc>
        <w:tc>
          <w:tcPr>
            <w:tcW w:w="664" w:type="dxa"/>
          </w:tcPr>
          <w:p>
            <w:pPr>
              <w:pStyle w:val="0"/>
            </w:pPr>
            <w:r>
              <w:rPr>
                <w:sz w:val="20"/>
              </w:rPr>
              <w:t xml:space="preserve">103,3</w:t>
            </w:r>
          </w:p>
        </w:tc>
        <w:tc>
          <w:tcPr>
            <w:tcW w:w="604" w:type="dxa"/>
          </w:tcPr>
          <w:p>
            <w:pPr>
              <w:pStyle w:val="0"/>
            </w:pPr>
            <w:r>
              <w:rPr>
                <w:sz w:val="20"/>
              </w:rPr>
              <w:t xml:space="preserve">н/д</w:t>
            </w:r>
          </w:p>
        </w:tc>
      </w:tr>
    </w:tbl>
    <w:p>
      <w:pPr>
        <w:pStyle w:val="0"/>
        <w:ind w:firstLine="540"/>
        <w:jc w:val="both"/>
      </w:pPr>
      <w:r>
        <w:rPr>
          <w:sz w:val="20"/>
        </w:rPr>
      </w:r>
    </w:p>
    <w:p>
      <w:pPr>
        <w:pStyle w:val="0"/>
        <w:ind w:firstLine="540"/>
        <w:jc w:val="both"/>
      </w:pPr>
      <w:r>
        <w:rPr>
          <w:sz w:val="20"/>
        </w:rPr>
        <w:t xml:space="preserve">Примечание к </w:t>
      </w:r>
      <w:hyperlink w:history="0" w:anchor="P7941" w:tooltip="Динамика смертности от злокачественных новообразований">
        <w:r>
          <w:rPr>
            <w:sz w:val="20"/>
            <w:color w:val="0000ff"/>
          </w:rPr>
          <w:t xml:space="preserve">таблице 19</w:t>
        </w:r>
      </w:hyperlink>
      <w:r>
        <w:rPr>
          <w:sz w:val="20"/>
        </w:rPr>
        <w:t xml:space="preserve">: по данным Московского научно-исследовательского онкологического института имени П.А. Герцена</w:t>
      </w:r>
    </w:p>
    <w:p>
      <w:pPr>
        <w:pStyle w:val="0"/>
        <w:ind w:firstLine="540"/>
        <w:jc w:val="both"/>
      </w:pPr>
      <w:r>
        <w:rPr>
          <w:sz w:val="20"/>
        </w:rPr>
      </w:r>
    </w:p>
    <w:p>
      <w:pPr>
        <w:pStyle w:val="0"/>
        <w:ind w:firstLine="540"/>
        <w:jc w:val="both"/>
      </w:pPr>
      <w:r>
        <w:rPr>
          <w:sz w:val="20"/>
        </w:rPr>
        <w:t xml:space="preserve">Стандартизованный показатель смертности в автономном округе в 2013 году составлял 116,9 на 100 тысяч населения. С 2013 по 2021 год показатель снизился на 11,6% и составил 103,3 на 100 тысяч населения.</w:t>
      </w:r>
    </w:p>
    <w:p>
      <w:pPr>
        <w:pStyle w:val="0"/>
        <w:spacing w:before="200" w:line-rule="auto"/>
        <w:ind w:firstLine="540"/>
        <w:jc w:val="both"/>
      </w:pPr>
      <w:r>
        <w:rPr>
          <w:sz w:val="20"/>
        </w:rPr>
        <w:t xml:space="preserve">В структуре смертности от злокачественных новообразований в 2022 году наибольший удельный вес составляют опухоли локализаций:</w:t>
      </w:r>
    </w:p>
    <w:p>
      <w:pPr>
        <w:pStyle w:val="0"/>
        <w:spacing w:before="200" w:line-rule="auto"/>
        <w:ind w:firstLine="540"/>
        <w:jc w:val="both"/>
      </w:pPr>
      <w:r>
        <w:rPr>
          <w:sz w:val="20"/>
        </w:rPr>
        <w:t xml:space="preserve">1 место - трахеи, бронхов, легкого - 19%;</w:t>
      </w:r>
    </w:p>
    <w:p>
      <w:pPr>
        <w:pStyle w:val="0"/>
        <w:spacing w:before="200" w:line-rule="auto"/>
        <w:ind w:firstLine="540"/>
        <w:jc w:val="both"/>
      </w:pPr>
      <w:r>
        <w:rPr>
          <w:sz w:val="20"/>
        </w:rPr>
        <w:t xml:space="preserve">2 место - желудка - 8,9%;</w:t>
      </w:r>
    </w:p>
    <w:p>
      <w:pPr>
        <w:pStyle w:val="0"/>
        <w:spacing w:before="200" w:line-rule="auto"/>
        <w:ind w:firstLine="540"/>
        <w:jc w:val="both"/>
      </w:pPr>
      <w:r>
        <w:rPr>
          <w:sz w:val="20"/>
        </w:rPr>
        <w:t xml:space="preserve">3 место - молочной железы - 8,4%;</w:t>
      </w:r>
    </w:p>
    <w:p>
      <w:pPr>
        <w:pStyle w:val="0"/>
        <w:spacing w:before="200" w:line-rule="auto"/>
        <w:ind w:firstLine="540"/>
        <w:jc w:val="both"/>
      </w:pPr>
      <w:r>
        <w:rPr>
          <w:sz w:val="20"/>
        </w:rPr>
        <w:t xml:space="preserve">4 место - ободочной кишки - 7,5%;</w:t>
      </w:r>
    </w:p>
    <w:p>
      <w:pPr>
        <w:pStyle w:val="0"/>
        <w:spacing w:before="200" w:line-rule="auto"/>
        <w:ind w:firstLine="540"/>
        <w:jc w:val="both"/>
      </w:pPr>
      <w:r>
        <w:rPr>
          <w:sz w:val="20"/>
        </w:rPr>
        <w:t xml:space="preserve">5 место - поджелудочной железы - 7%;</w:t>
      </w:r>
    </w:p>
    <w:p>
      <w:pPr>
        <w:pStyle w:val="0"/>
        <w:spacing w:before="200" w:line-rule="auto"/>
        <w:ind w:firstLine="540"/>
        <w:jc w:val="both"/>
      </w:pPr>
      <w:r>
        <w:rPr>
          <w:sz w:val="20"/>
        </w:rPr>
        <w:t xml:space="preserve">6 место - прямая кишка, ректосигмоидное соединение - 5,6%;</w:t>
      </w:r>
    </w:p>
    <w:p>
      <w:pPr>
        <w:pStyle w:val="0"/>
        <w:spacing w:before="200" w:line-rule="auto"/>
        <w:ind w:firstLine="540"/>
        <w:jc w:val="both"/>
      </w:pPr>
      <w:r>
        <w:rPr>
          <w:sz w:val="20"/>
        </w:rPr>
        <w:t xml:space="preserve">7 место - печени и внутрипеченочных желчных протоков - 5,1%;</w:t>
      </w:r>
    </w:p>
    <w:p>
      <w:pPr>
        <w:pStyle w:val="0"/>
        <w:spacing w:before="200" w:line-rule="auto"/>
        <w:ind w:firstLine="540"/>
        <w:jc w:val="both"/>
      </w:pPr>
      <w:r>
        <w:rPr>
          <w:sz w:val="20"/>
        </w:rPr>
        <w:t xml:space="preserve">8 место - предстательной железы - 3,9%;</w:t>
      </w:r>
    </w:p>
    <w:p>
      <w:pPr>
        <w:pStyle w:val="0"/>
        <w:spacing w:before="200" w:line-rule="auto"/>
        <w:ind w:firstLine="540"/>
        <w:jc w:val="both"/>
      </w:pPr>
      <w:r>
        <w:rPr>
          <w:sz w:val="20"/>
        </w:rPr>
        <w:t xml:space="preserve">9 место - почки - 3,7%;</w:t>
      </w:r>
    </w:p>
    <w:p>
      <w:pPr>
        <w:pStyle w:val="0"/>
        <w:spacing w:before="200" w:line-rule="auto"/>
        <w:ind w:firstLine="540"/>
        <w:jc w:val="both"/>
      </w:pPr>
      <w:r>
        <w:rPr>
          <w:sz w:val="20"/>
        </w:rPr>
        <w:t xml:space="preserve">10 место - злокачественные лимфомы - 3,2%.</w:t>
      </w:r>
    </w:p>
    <w:p>
      <w:pPr>
        <w:pStyle w:val="0"/>
        <w:ind w:firstLine="540"/>
        <w:jc w:val="both"/>
      </w:pPr>
      <w:r>
        <w:rPr>
          <w:sz w:val="20"/>
        </w:rPr>
      </w:r>
    </w:p>
    <w:p>
      <w:pPr>
        <w:pStyle w:val="0"/>
        <w:jc w:val="right"/>
      </w:pPr>
      <w:r>
        <w:rPr>
          <w:sz w:val="20"/>
        </w:rPr>
        <w:t xml:space="preserve">Таблица 20</w:t>
      </w:r>
    </w:p>
    <w:p>
      <w:pPr>
        <w:pStyle w:val="0"/>
        <w:jc w:val="right"/>
      </w:pPr>
      <w:r>
        <w:rPr>
          <w:sz w:val="20"/>
        </w:rPr>
      </w:r>
    </w:p>
    <w:p>
      <w:pPr>
        <w:pStyle w:val="0"/>
        <w:jc w:val="center"/>
      </w:pPr>
      <w:r>
        <w:rPr>
          <w:sz w:val="20"/>
        </w:rPr>
        <w:t xml:space="preserve">Динамика показателя смертности от ЗНО основных локализаций</w:t>
      </w:r>
    </w:p>
    <w:p>
      <w:pPr>
        <w:pStyle w:val="0"/>
        <w:jc w:val="center"/>
      </w:pPr>
      <w:r>
        <w:rPr>
          <w:sz w:val="20"/>
        </w:rPr>
        <w:t xml:space="preserve">(на 100 тыс. населения)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604"/>
        <w:gridCol w:w="604"/>
        <w:gridCol w:w="604"/>
        <w:gridCol w:w="604"/>
        <w:gridCol w:w="604"/>
        <w:gridCol w:w="604"/>
        <w:gridCol w:w="604"/>
        <w:gridCol w:w="604"/>
        <w:gridCol w:w="604"/>
        <w:gridCol w:w="604"/>
      </w:tblGrid>
      <w:tr>
        <w:tc>
          <w:tcPr>
            <w:tcW w:w="2948" w:type="dxa"/>
          </w:tcPr>
          <w:p>
            <w:pPr>
              <w:pStyle w:val="0"/>
              <w:jc w:val="center"/>
            </w:pPr>
            <w:r>
              <w:rPr>
                <w:sz w:val="20"/>
              </w:rPr>
              <w:t xml:space="preserve">Год</w:t>
            </w:r>
          </w:p>
        </w:tc>
        <w:tc>
          <w:tcPr>
            <w:tcW w:w="604" w:type="dxa"/>
          </w:tcPr>
          <w:p>
            <w:pPr>
              <w:pStyle w:val="0"/>
              <w:jc w:val="center"/>
            </w:pPr>
            <w:r>
              <w:rPr>
                <w:sz w:val="20"/>
              </w:rPr>
              <w:t xml:space="preserve">2013</w:t>
            </w:r>
          </w:p>
        </w:tc>
        <w:tc>
          <w:tcPr>
            <w:tcW w:w="604" w:type="dxa"/>
          </w:tcPr>
          <w:p>
            <w:pPr>
              <w:pStyle w:val="0"/>
              <w:jc w:val="center"/>
            </w:pPr>
            <w:r>
              <w:rPr>
                <w:sz w:val="20"/>
              </w:rPr>
              <w:t xml:space="preserve">2014</w:t>
            </w:r>
          </w:p>
        </w:tc>
        <w:tc>
          <w:tcPr>
            <w:tcW w:w="604" w:type="dxa"/>
          </w:tcPr>
          <w:p>
            <w:pPr>
              <w:pStyle w:val="0"/>
              <w:jc w:val="center"/>
            </w:pPr>
            <w:r>
              <w:rPr>
                <w:sz w:val="20"/>
              </w:rPr>
              <w:t xml:space="preserve">2015</w:t>
            </w:r>
          </w:p>
        </w:tc>
        <w:tc>
          <w:tcPr>
            <w:tcW w:w="604" w:type="dxa"/>
          </w:tcPr>
          <w:p>
            <w:pPr>
              <w:pStyle w:val="0"/>
              <w:jc w:val="center"/>
            </w:pPr>
            <w:r>
              <w:rPr>
                <w:sz w:val="20"/>
              </w:rPr>
              <w:t xml:space="preserve">2016</w:t>
            </w:r>
          </w:p>
        </w:tc>
        <w:tc>
          <w:tcPr>
            <w:tcW w:w="604" w:type="dxa"/>
          </w:tcPr>
          <w:p>
            <w:pPr>
              <w:pStyle w:val="0"/>
              <w:jc w:val="center"/>
            </w:pPr>
            <w:r>
              <w:rPr>
                <w:sz w:val="20"/>
              </w:rPr>
              <w:t xml:space="preserve">2017</w:t>
            </w:r>
          </w:p>
        </w:tc>
        <w:tc>
          <w:tcPr>
            <w:tcW w:w="604" w:type="dxa"/>
          </w:tcPr>
          <w:p>
            <w:pPr>
              <w:pStyle w:val="0"/>
              <w:jc w:val="center"/>
            </w:pPr>
            <w:r>
              <w:rPr>
                <w:sz w:val="20"/>
              </w:rPr>
              <w:t xml:space="preserve">2018</w:t>
            </w:r>
          </w:p>
        </w:tc>
        <w:tc>
          <w:tcPr>
            <w:tcW w:w="604" w:type="dxa"/>
          </w:tcPr>
          <w:p>
            <w:pPr>
              <w:pStyle w:val="0"/>
              <w:jc w:val="center"/>
            </w:pPr>
            <w:r>
              <w:rPr>
                <w:sz w:val="20"/>
              </w:rPr>
              <w:t xml:space="preserve">2019</w:t>
            </w:r>
          </w:p>
        </w:tc>
        <w:tc>
          <w:tcPr>
            <w:tcW w:w="604" w:type="dxa"/>
          </w:tcPr>
          <w:p>
            <w:pPr>
              <w:pStyle w:val="0"/>
              <w:jc w:val="center"/>
            </w:pPr>
            <w:r>
              <w:rPr>
                <w:sz w:val="20"/>
              </w:rPr>
              <w:t xml:space="preserve">2020</w:t>
            </w:r>
          </w:p>
        </w:tc>
        <w:tc>
          <w:tcPr>
            <w:tcW w:w="604" w:type="dxa"/>
          </w:tcPr>
          <w:p>
            <w:pPr>
              <w:pStyle w:val="0"/>
              <w:jc w:val="center"/>
            </w:pPr>
            <w:r>
              <w:rPr>
                <w:sz w:val="20"/>
              </w:rPr>
              <w:t xml:space="preserve">2021</w:t>
            </w:r>
          </w:p>
        </w:tc>
        <w:tc>
          <w:tcPr>
            <w:tcW w:w="604" w:type="dxa"/>
          </w:tcPr>
          <w:p>
            <w:pPr>
              <w:pStyle w:val="0"/>
              <w:jc w:val="center"/>
            </w:pPr>
            <w:r>
              <w:rPr>
                <w:sz w:val="20"/>
              </w:rPr>
              <w:t xml:space="preserve">2022</w:t>
            </w:r>
          </w:p>
        </w:tc>
      </w:tr>
      <w:tr>
        <w:tc>
          <w:tcPr>
            <w:tcW w:w="2948" w:type="dxa"/>
          </w:tcPr>
          <w:p>
            <w:pPr>
              <w:pStyle w:val="0"/>
            </w:pPr>
            <w:r>
              <w:rPr>
                <w:sz w:val="20"/>
              </w:rPr>
              <w:t xml:space="preserve">трахеи, бронхов, легкого</w:t>
            </w:r>
          </w:p>
        </w:tc>
        <w:tc>
          <w:tcPr>
            <w:tcW w:w="604" w:type="dxa"/>
          </w:tcPr>
          <w:p>
            <w:pPr>
              <w:pStyle w:val="0"/>
            </w:pPr>
            <w:r>
              <w:rPr>
                <w:sz w:val="20"/>
              </w:rPr>
              <w:t xml:space="preserve">17,9</w:t>
            </w:r>
          </w:p>
        </w:tc>
        <w:tc>
          <w:tcPr>
            <w:tcW w:w="604" w:type="dxa"/>
          </w:tcPr>
          <w:p>
            <w:pPr>
              <w:pStyle w:val="0"/>
            </w:pPr>
            <w:r>
              <w:rPr>
                <w:sz w:val="20"/>
              </w:rPr>
              <w:t xml:space="preserve">18,4</w:t>
            </w:r>
          </w:p>
        </w:tc>
        <w:tc>
          <w:tcPr>
            <w:tcW w:w="604" w:type="dxa"/>
          </w:tcPr>
          <w:p>
            <w:pPr>
              <w:pStyle w:val="0"/>
            </w:pPr>
            <w:r>
              <w:rPr>
                <w:sz w:val="20"/>
              </w:rPr>
              <w:t xml:space="preserve">19,9</w:t>
            </w:r>
          </w:p>
        </w:tc>
        <w:tc>
          <w:tcPr>
            <w:tcW w:w="604" w:type="dxa"/>
          </w:tcPr>
          <w:p>
            <w:pPr>
              <w:pStyle w:val="0"/>
            </w:pPr>
            <w:r>
              <w:rPr>
                <w:sz w:val="20"/>
              </w:rPr>
              <w:t xml:space="preserve">20,2</w:t>
            </w:r>
          </w:p>
        </w:tc>
        <w:tc>
          <w:tcPr>
            <w:tcW w:w="604" w:type="dxa"/>
          </w:tcPr>
          <w:p>
            <w:pPr>
              <w:pStyle w:val="0"/>
            </w:pPr>
            <w:r>
              <w:rPr>
                <w:sz w:val="20"/>
              </w:rPr>
              <w:t xml:space="preserve">21,0</w:t>
            </w:r>
          </w:p>
        </w:tc>
        <w:tc>
          <w:tcPr>
            <w:tcW w:w="604" w:type="dxa"/>
          </w:tcPr>
          <w:p>
            <w:pPr>
              <w:pStyle w:val="0"/>
            </w:pPr>
            <w:r>
              <w:rPr>
                <w:sz w:val="20"/>
              </w:rPr>
              <w:t xml:space="preserve">23,7</w:t>
            </w:r>
          </w:p>
        </w:tc>
        <w:tc>
          <w:tcPr>
            <w:tcW w:w="604" w:type="dxa"/>
          </w:tcPr>
          <w:p>
            <w:pPr>
              <w:pStyle w:val="0"/>
            </w:pPr>
            <w:r>
              <w:rPr>
                <w:sz w:val="20"/>
              </w:rPr>
              <w:t xml:space="preserve">20,3</w:t>
            </w:r>
          </w:p>
        </w:tc>
        <w:tc>
          <w:tcPr>
            <w:tcW w:w="604" w:type="dxa"/>
          </w:tcPr>
          <w:p>
            <w:pPr>
              <w:pStyle w:val="0"/>
            </w:pPr>
            <w:r>
              <w:rPr>
                <w:sz w:val="20"/>
              </w:rPr>
              <w:t xml:space="preserve">20,4</w:t>
            </w:r>
          </w:p>
        </w:tc>
        <w:tc>
          <w:tcPr>
            <w:tcW w:w="604" w:type="dxa"/>
          </w:tcPr>
          <w:p>
            <w:pPr>
              <w:pStyle w:val="0"/>
            </w:pPr>
            <w:r>
              <w:rPr>
                <w:sz w:val="20"/>
              </w:rPr>
              <w:t xml:space="preserve">20,6</w:t>
            </w:r>
          </w:p>
        </w:tc>
        <w:tc>
          <w:tcPr>
            <w:tcW w:w="604" w:type="dxa"/>
          </w:tcPr>
          <w:p>
            <w:pPr>
              <w:pStyle w:val="0"/>
            </w:pPr>
            <w:r>
              <w:rPr>
                <w:sz w:val="20"/>
              </w:rPr>
              <w:t xml:space="preserve">18,7</w:t>
            </w:r>
          </w:p>
        </w:tc>
      </w:tr>
      <w:tr>
        <w:tc>
          <w:tcPr>
            <w:tcW w:w="2948" w:type="dxa"/>
          </w:tcPr>
          <w:p>
            <w:pPr>
              <w:pStyle w:val="0"/>
            </w:pPr>
            <w:r>
              <w:rPr>
                <w:sz w:val="20"/>
              </w:rPr>
              <w:t xml:space="preserve">желудка</w:t>
            </w:r>
          </w:p>
        </w:tc>
        <w:tc>
          <w:tcPr>
            <w:tcW w:w="604" w:type="dxa"/>
          </w:tcPr>
          <w:p>
            <w:pPr>
              <w:pStyle w:val="0"/>
            </w:pPr>
            <w:r>
              <w:rPr>
                <w:sz w:val="20"/>
              </w:rPr>
              <w:t xml:space="preserve">9,6</w:t>
            </w:r>
          </w:p>
        </w:tc>
        <w:tc>
          <w:tcPr>
            <w:tcW w:w="604" w:type="dxa"/>
          </w:tcPr>
          <w:p>
            <w:pPr>
              <w:pStyle w:val="0"/>
            </w:pPr>
            <w:r>
              <w:rPr>
                <w:sz w:val="20"/>
              </w:rPr>
              <w:t xml:space="preserve">8,1</w:t>
            </w:r>
          </w:p>
        </w:tc>
        <w:tc>
          <w:tcPr>
            <w:tcW w:w="604" w:type="dxa"/>
          </w:tcPr>
          <w:p>
            <w:pPr>
              <w:pStyle w:val="0"/>
            </w:pPr>
            <w:r>
              <w:rPr>
                <w:sz w:val="20"/>
              </w:rPr>
              <w:t xml:space="preserve">11,1</w:t>
            </w:r>
          </w:p>
        </w:tc>
        <w:tc>
          <w:tcPr>
            <w:tcW w:w="604" w:type="dxa"/>
          </w:tcPr>
          <w:p>
            <w:pPr>
              <w:pStyle w:val="0"/>
            </w:pPr>
            <w:r>
              <w:rPr>
                <w:sz w:val="20"/>
              </w:rPr>
              <w:t xml:space="preserve">9,9</w:t>
            </w:r>
          </w:p>
        </w:tc>
        <w:tc>
          <w:tcPr>
            <w:tcW w:w="604" w:type="dxa"/>
          </w:tcPr>
          <w:p>
            <w:pPr>
              <w:pStyle w:val="0"/>
            </w:pPr>
            <w:r>
              <w:rPr>
                <w:sz w:val="20"/>
              </w:rPr>
              <w:t xml:space="preserve">10,4</w:t>
            </w:r>
          </w:p>
        </w:tc>
        <w:tc>
          <w:tcPr>
            <w:tcW w:w="604" w:type="dxa"/>
          </w:tcPr>
          <w:p>
            <w:pPr>
              <w:pStyle w:val="0"/>
            </w:pPr>
            <w:r>
              <w:rPr>
                <w:sz w:val="20"/>
              </w:rPr>
              <w:t xml:space="preserve">10,4</w:t>
            </w:r>
          </w:p>
        </w:tc>
        <w:tc>
          <w:tcPr>
            <w:tcW w:w="604" w:type="dxa"/>
          </w:tcPr>
          <w:p>
            <w:pPr>
              <w:pStyle w:val="0"/>
            </w:pPr>
            <w:r>
              <w:rPr>
                <w:sz w:val="20"/>
              </w:rPr>
              <w:t xml:space="preserve">10,0</w:t>
            </w:r>
          </w:p>
        </w:tc>
        <w:tc>
          <w:tcPr>
            <w:tcW w:w="604" w:type="dxa"/>
          </w:tcPr>
          <w:p>
            <w:pPr>
              <w:pStyle w:val="0"/>
            </w:pPr>
            <w:r>
              <w:rPr>
                <w:sz w:val="20"/>
              </w:rPr>
              <w:t xml:space="preserve">8,8</w:t>
            </w:r>
          </w:p>
        </w:tc>
        <w:tc>
          <w:tcPr>
            <w:tcW w:w="604" w:type="dxa"/>
          </w:tcPr>
          <w:p>
            <w:pPr>
              <w:pStyle w:val="0"/>
            </w:pPr>
            <w:r>
              <w:rPr>
                <w:sz w:val="20"/>
              </w:rPr>
              <w:t xml:space="preserve">9,6</w:t>
            </w:r>
          </w:p>
        </w:tc>
        <w:tc>
          <w:tcPr>
            <w:tcW w:w="604" w:type="dxa"/>
          </w:tcPr>
          <w:p>
            <w:pPr>
              <w:pStyle w:val="0"/>
            </w:pPr>
            <w:r>
              <w:rPr>
                <w:sz w:val="20"/>
              </w:rPr>
              <w:t xml:space="preserve">8,7</w:t>
            </w:r>
          </w:p>
        </w:tc>
      </w:tr>
      <w:tr>
        <w:tc>
          <w:tcPr>
            <w:tcW w:w="2948" w:type="dxa"/>
          </w:tcPr>
          <w:p>
            <w:pPr>
              <w:pStyle w:val="0"/>
            </w:pPr>
            <w:r>
              <w:rPr>
                <w:sz w:val="20"/>
              </w:rPr>
              <w:t xml:space="preserve">молочной железы</w:t>
            </w:r>
          </w:p>
        </w:tc>
        <w:tc>
          <w:tcPr>
            <w:tcW w:w="604" w:type="dxa"/>
          </w:tcPr>
          <w:p>
            <w:pPr>
              <w:pStyle w:val="0"/>
            </w:pPr>
            <w:r>
              <w:rPr>
                <w:sz w:val="20"/>
              </w:rPr>
              <w:t xml:space="preserve">10,5</w:t>
            </w:r>
          </w:p>
        </w:tc>
        <w:tc>
          <w:tcPr>
            <w:tcW w:w="604" w:type="dxa"/>
          </w:tcPr>
          <w:p>
            <w:pPr>
              <w:pStyle w:val="0"/>
            </w:pPr>
            <w:r>
              <w:rPr>
                <w:sz w:val="20"/>
              </w:rPr>
              <w:t xml:space="preserve">10,2</w:t>
            </w:r>
          </w:p>
        </w:tc>
        <w:tc>
          <w:tcPr>
            <w:tcW w:w="604" w:type="dxa"/>
          </w:tcPr>
          <w:p>
            <w:pPr>
              <w:pStyle w:val="0"/>
            </w:pPr>
            <w:r>
              <w:rPr>
                <w:sz w:val="20"/>
              </w:rPr>
              <w:t xml:space="preserve">8,1</w:t>
            </w:r>
          </w:p>
        </w:tc>
        <w:tc>
          <w:tcPr>
            <w:tcW w:w="604" w:type="dxa"/>
          </w:tcPr>
          <w:p>
            <w:pPr>
              <w:pStyle w:val="0"/>
            </w:pPr>
            <w:r>
              <w:rPr>
                <w:sz w:val="20"/>
              </w:rPr>
              <w:t xml:space="preserve">8,6</w:t>
            </w:r>
          </w:p>
        </w:tc>
        <w:tc>
          <w:tcPr>
            <w:tcW w:w="604" w:type="dxa"/>
          </w:tcPr>
          <w:p>
            <w:pPr>
              <w:pStyle w:val="0"/>
            </w:pPr>
            <w:r>
              <w:rPr>
                <w:sz w:val="20"/>
              </w:rPr>
              <w:t xml:space="preserve">7,8</w:t>
            </w:r>
          </w:p>
        </w:tc>
        <w:tc>
          <w:tcPr>
            <w:tcW w:w="604" w:type="dxa"/>
          </w:tcPr>
          <w:p>
            <w:pPr>
              <w:pStyle w:val="0"/>
            </w:pPr>
            <w:r>
              <w:rPr>
                <w:sz w:val="20"/>
              </w:rPr>
              <w:t xml:space="preserve">7,7</w:t>
            </w:r>
          </w:p>
        </w:tc>
        <w:tc>
          <w:tcPr>
            <w:tcW w:w="604" w:type="dxa"/>
          </w:tcPr>
          <w:p>
            <w:pPr>
              <w:pStyle w:val="0"/>
            </w:pPr>
            <w:r>
              <w:rPr>
                <w:sz w:val="20"/>
              </w:rPr>
              <w:t xml:space="preserve">8,1</w:t>
            </w:r>
          </w:p>
        </w:tc>
        <w:tc>
          <w:tcPr>
            <w:tcW w:w="604" w:type="dxa"/>
          </w:tcPr>
          <w:p>
            <w:pPr>
              <w:pStyle w:val="0"/>
            </w:pPr>
            <w:r>
              <w:rPr>
                <w:sz w:val="20"/>
              </w:rPr>
              <w:t xml:space="preserve">8,0</w:t>
            </w:r>
          </w:p>
        </w:tc>
        <w:tc>
          <w:tcPr>
            <w:tcW w:w="604" w:type="dxa"/>
          </w:tcPr>
          <w:p>
            <w:pPr>
              <w:pStyle w:val="0"/>
            </w:pPr>
            <w:r>
              <w:rPr>
                <w:sz w:val="20"/>
              </w:rPr>
              <w:t xml:space="preserve">8,7</w:t>
            </w:r>
          </w:p>
        </w:tc>
        <w:tc>
          <w:tcPr>
            <w:tcW w:w="604" w:type="dxa"/>
          </w:tcPr>
          <w:p>
            <w:pPr>
              <w:pStyle w:val="0"/>
            </w:pPr>
            <w:r>
              <w:rPr>
                <w:sz w:val="20"/>
              </w:rPr>
              <w:t xml:space="preserve">8,3</w:t>
            </w:r>
          </w:p>
        </w:tc>
      </w:tr>
      <w:tr>
        <w:tc>
          <w:tcPr>
            <w:tcW w:w="2948" w:type="dxa"/>
          </w:tcPr>
          <w:p>
            <w:pPr>
              <w:pStyle w:val="0"/>
            </w:pPr>
            <w:r>
              <w:rPr>
                <w:sz w:val="20"/>
              </w:rPr>
              <w:t xml:space="preserve">ободочной кишки</w:t>
            </w:r>
          </w:p>
        </w:tc>
        <w:tc>
          <w:tcPr>
            <w:tcW w:w="604" w:type="dxa"/>
          </w:tcPr>
          <w:p>
            <w:pPr>
              <w:pStyle w:val="0"/>
            </w:pPr>
            <w:r>
              <w:rPr>
                <w:sz w:val="20"/>
              </w:rPr>
              <w:t xml:space="preserve">7,4</w:t>
            </w:r>
          </w:p>
        </w:tc>
        <w:tc>
          <w:tcPr>
            <w:tcW w:w="604" w:type="dxa"/>
          </w:tcPr>
          <w:p>
            <w:pPr>
              <w:pStyle w:val="0"/>
            </w:pPr>
            <w:r>
              <w:rPr>
                <w:sz w:val="20"/>
              </w:rPr>
              <w:t xml:space="preserve">6,7</w:t>
            </w:r>
          </w:p>
        </w:tc>
        <w:tc>
          <w:tcPr>
            <w:tcW w:w="604" w:type="dxa"/>
          </w:tcPr>
          <w:p>
            <w:pPr>
              <w:pStyle w:val="0"/>
            </w:pPr>
            <w:r>
              <w:rPr>
                <w:sz w:val="20"/>
              </w:rPr>
              <w:t xml:space="preserve">7,9</w:t>
            </w:r>
          </w:p>
        </w:tc>
        <w:tc>
          <w:tcPr>
            <w:tcW w:w="604" w:type="dxa"/>
          </w:tcPr>
          <w:p>
            <w:pPr>
              <w:pStyle w:val="0"/>
            </w:pPr>
            <w:r>
              <w:rPr>
                <w:sz w:val="20"/>
              </w:rPr>
              <w:t xml:space="preserve">7,1</w:t>
            </w:r>
          </w:p>
        </w:tc>
        <w:tc>
          <w:tcPr>
            <w:tcW w:w="604" w:type="dxa"/>
          </w:tcPr>
          <w:p>
            <w:pPr>
              <w:pStyle w:val="0"/>
            </w:pPr>
            <w:r>
              <w:rPr>
                <w:sz w:val="20"/>
              </w:rPr>
              <w:t xml:space="preserve">6,5</w:t>
            </w:r>
          </w:p>
        </w:tc>
        <w:tc>
          <w:tcPr>
            <w:tcW w:w="604" w:type="dxa"/>
          </w:tcPr>
          <w:p>
            <w:pPr>
              <w:pStyle w:val="0"/>
            </w:pPr>
            <w:r>
              <w:rPr>
                <w:sz w:val="20"/>
              </w:rPr>
              <w:t xml:space="preserve">8,1</w:t>
            </w:r>
          </w:p>
        </w:tc>
        <w:tc>
          <w:tcPr>
            <w:tcW w:w="604" w:type="dxa"/>
          </w:tcPr>
          <w:p>
            <w:pPr>
              <w:pStyle w:val="0"/>
            </w:pPr>
            <w:r>
              <w:rPr>
                <w:sz w:val="20"/>
              </w:rPr>
              <w:t xml:space="preserve">7,3</w:t>
            </w:r>
          </w:p>
        </w:tc>
        <w:tc>
          <w:tcPr>
            <w:tcW w:w="604" w:type="dxa"/>
          </w:tcPr>
          <w:p>
            <w:pPr>
              <w:pStyle w:val="0"/>
            </w:pPr>
            <w:r>
              <w:rPr>
                <w:sz w:val="20"/>
              </w:rPr>
              <w:t xml:space="preserve">6,9</w:t>
            </w:r>
          </w:p>
        </w:tc>
        <w:tc>
          <w:tcPr>
            <w:tcW w:w="604" w:type="dxa"/>
          </w:tcPr>
          <w:p>
            <w:pPr>
              <w:pStyle w:val="0"/>
            </w:pPr>
            <w:r>
              <w:rPr>
                <w:sz w:val="20"/>
              </w:rPr>
              <w:t xml:space="preserve">9,3</w:t>
            </w:r>
          </w:p>
        </w:tc>
        <w:tc>
          <w:tcPr>
            <w:tcW w:w="604" w:type="dxa"/>
          </w:tcPr>
          <w:p>
            <w:pPr>
              <w:pStyle w:val="0"/>
            </w:pPr>
            <w:r>
              <w:rPr>
                <w:sz w:val="20"/>
              </w:rPr>
              <w:t xml:space="preserve">7,3</w:t>
            </w:r>
          </w:p>
        </w:tc>
      </w:tr>
      <w:tr>
        <w:tc>
          <w:tcPr>
            <w:tcW w:w="2948" w:type="dxa"/>
          </w:tcPr>
          <w:p>
            <w:pPr>
              <w:pStyle w:val="0"/>
            </w:pPr>
            <w:r>
              <w:rPr>
                <w:sz w:val="20"/>
              </w:rPr>
              <w:t xml:space="preserve">поджелудочной железы</w:t>
            </w:r>
          </w:p>
        </w:tc>
        <w:tc>
          <w:tcPr>
            <w:tcW w:w="604" w:type="dxa"/>
          </w:tcPr>
          <w:p>
            <w:pPr>
              <w:pStyle w:val="0"/>
            </w:pPr>
            <w:r>
              <w:rPr>
                <w:sz w:val="20"/>
              </w:rPr>
              <w:t xml:space="preserve">4,8</w:t>
            </w:r>
          </w:p>
        </w:tc>
        <w:tc>
          <w:tcPr>
            <w:tcW w:w="604" w:type="dxa"/>
          </w:tcPr>
          <w:p>
            <w:pPr>
              <w:pStyle w:val="0"/>
            </w:pPr>
            <w:r>
              <w:rPr>
                <w:sz w:val="20"/>
              </w:rPr>
              <w:t xml:space="preserve">4,9</w:t>
            </w:r>
          </w:p>
        </w:tc>
        <w:tc>
          <w:tcPr>
            <w:tcW w:w="604" w:type="dxa"/>
          </w:tcPr>
          <w:p>
            <w:pPr>
              <w:pStyle w:val="0"/>
            </w:pPr>
            <w:r>
              <w:rPr>
                <w:sz w:val="20"/>
              </w:rPr>
              <w:t xml:space="preserve">5,1</w:t>
            </w:r>
          </w:p>
        </w:tc>
        <w:tc>
          <w:tcPr>
            <w:tcW w:w="604" w:type="dxa"/>
          </w:tcPr>
          <w:p>
            <w:pPr>
              <w:pStyle w:val="0"/>
            </w:pPr>
            <w:r>
              <w:rPr>
                <w:sz w:val="20"/>
              </w:rPr>
              <w:t xml:space="preserve">5,8</w:t>
            </w:r>
          </w:p>
        </w:tc>
        <w:tc>
          <w:tcPr>
            <w:tcW w:w="604" w:type="dxa"/>
          </w:tcPr>
          <w:p>
            <w:pPr>
              <w:pStyle w:val="0"/>
            </w:pPr>
            <w:r>
              <w:rPr>
                <w:sz w:val="20"/>
              </w:rPr>
              <w:t xml:space="preserve">4,8</w:t>
            </w:r>
          </w:p>
        </w:tc>
        <w:tc>
          <w:tcPr>
            <w:tcW w:w="604" w:type="dxa"/>
          </w:tcPr>
          <w:p>
            <w:pPr>
              <w:pStyle w:val="0"/>
            </w:pPr>
            <w:r>
              <w:rPr>
                <w:sz w:val="20"/>
              </w:rPr>
              <w:t xml:space="preserve">5,9</w:t>
            </w:r>
          </w:p>
        </w:tc>
        <w:tc>
          <w:tcPr>
            <w:tcW w:w="604" w:type="dxa"/>
          </w:tcPr>
          <w:p>
            <w:pPr>
              <w:pStyle w:val="0"/>
            </w:pPr>
            <w:r>
              <w:rPr>
                <w:sz w:val="20"/>
              </w:rPr>
              <w:t xml:space="preserve">6,0</w:t>
            </w:r>
          </w:p>
        </w:tc>
        <w:tc>
          <w:tcPr>
            <w:tcW w:w="604" w:type="dxa"/>
          </w:tcPr>
          <w:p>
            <w:pPr>
              <w:pStyle w:val="0"/>
            </w:pPr>
            <w:r>
              <w:rPr>
                <w:sz w:val="20"/>
              </w:rPr>
              <w:t xml:space="preserve">5,7</w:t>
            </w:r>
          </w:p>
        </w:tc>
        <w:tc>
          <w:tcPr>
            <w:tcW w:w="604" w:type="dxa"/>
          </w:tcPr>
          <w:p>
            <w:pPr>
              <w:pStyle w:val="0"/>
            </w:pPr>
            <w:r>
              <w:rPr>
                <w:sz w:val="20"/>
              </w:rPr>
              <w:t xml:space="preserve">7,0</w:t>
            </w:r>
          </w:p>
        </w:tc>
        <w:tc>
          <w:tcPr>
            <w:tcW w:w="604" w:type="dxa"/>
          </w:tcPr>
          <w:p>
            <w:pPr>
              <w:pStyle w:val="0"/>
            </w:pPr>
            <w:r>
              <w:rPr>
                <w:sz w:val="20"/>
              </w:rPr>
              <w:t xml:space="preserve">6,9</w:t>
            </w:r>
          </w:p>
        </w:tc>
      </w:tr>
      <w:tr>
        <w:tc>
          <w:tcPr>
            <w:tcW w:w="2948" w:type="dxa"/>
          </w:tcPr>
          <w:p>
            <w:pPr>
              <w:pStyle w:val="0"/>
            </w:pPr>
            <w:r>
              <w:rPr>
                <w:sz w:val="20"/>
              </w:rPr>
              <w:t xml:space="preserve">печени и внутрипеченочных желчных протоков</w:t>
            </w:r>
          </w:p>
        </w:tc>
        <w:tc>
          <w:tcPr>
            <w:tcW w:w="604" w:type="dxa"/>
          </w:tcPr>
          <w:p>
            <w:pPr>
              <w:pStyle w:val="0"/>
            </w:pPr>
            <w:r>
              <w:rPr>
                <w:sz w:val="20"/>
              </w:rPr>
              <w:t xml:space="preserve">2,9</w:t>
            </w:r>
          </w:p>
        </w:tc>
        <w:tc>
          <w:tcPr>
            <w:tcW w:w="604" w:type="dxa"/>
          </w:tcPr>
          <w:p>
            <w:pPr>
              <w:pStyle w:val="0"/>
            </w:pPr>
            <w:r>
              <w:rPr>
                <w:sz w:val="20"/>
              </w:rPr>
              <w:t xml:space="preserve">3,9</w:t>
            </w:r>
          </w:p>
        </w:tc>
        <w:tc>
          <w:tcPr>
            <w:tcW w:w="604" w:type="dxa"/>
          </w:tcPr>
          <w:p>
            <w:pPr>
              <w:pStyle w:val="0"/>
            </w:pPr>
            <w:r>
              <w:rPr>
                <w:sz w:val="20"/>
              </w:rPr>
              <w:t xml:space="preserve">4,1</w:t>
            </w:r>
          </w:p>
        </w:tc>
        <w:tc>
          <w:tcPr>
            <w:tcW w:w="604" w:type="dxa"/>
          </w:tcPr>
          <w:p>
            <w:pPr>
              <w:pStyle w:val="0"/>
            </w:pPr>
            <w:r>
              <w:rPr>
                <w:sz w:val="20"/>
              </w:rPr>
              <w:t xml:space="preserve">4,5</w:t>
            </w:r>
          </w:p>
        </w:tc>
        <w:tc>
          <w:tcPr>
            <w:tcW w:w="604" w:type="dxa"/>
          </w:tcPr>
          <w:p>
            <w:pPr>
              <w:pStyle w:val="0"/>
            </w:pPr>
            <w:r>
              <w:rPr>
                <w:sz w:val="20"/>
              </w:rPr>
              <w:t xml:space="preserve">5,1</w:t>
            </w:r>
          </w:p>
        </w:tc>
        <w:tc>
          <w:tcPr>
            <w:tcW w:w="604" w:type="dxa"/>
          </w:tcPr>
          <w:p>
            <w:pPr>
              <w:pStyle w:val="0"/>
            </w:pPr>
            <w:r>
              <w:rPr>
                <w:sz w:val="20"/>
              </w:rPr>
              <w:t xml:space="preserve">8,1</w:t>
            </w:r>
          </w:p>
        </w:tc>
        <w:tc>
          <w:tcPr>
            <w:tcW w:w="604" w:type="dxa"/>
          </w:tcPr>
          <w:p>
            <w:pPr>
              <w:pStyle w:val="0"/>
            </w:pPr>
            <w:r>
              <w:rPr>
                <w:sz w:val="20"/>
              </w:rPr>
              <w:t xml:space="preserve">6,5</w:t>
            </w:r>
          </w:p>
        </w:tc>
        <w:tc>
          <w:tcPr>
            <w:tcW w:w="604" w:type="dxa"/>
          </w:tcPr>
          <w:p>
            <w:pPr>
              <w:pStyle w:val="0"/>
            </w:pPr>
            <w:r>
              <w:rPr>
                <w:sz w:val="20"/>
              </w:rPr>
              <w:t xml:space="preserve">5,4</w:t>
            </w:r>
          </w:p>
        </w:tc>
        <w:tc>
          <w:tcPr>
            <w:tcW w:w="604" w:type="dxa"/>
          </w:tcPr>
          <w:p>
            <w:pPr>
              <w:pStyle w:val="0"/>
            </w:pPr>
            <w:r>
              <w:rPr>
                <w:sz w:val="20"/>
              </w:rPr>
              <w:t xml:space="preserve">6,3</w:t>
            </w:r>
          </w:p>
        </w:tc>
        <w:tc>
          <w:tcPr>
            <w:tcW w:w="604" w:type="dxa"/>
          </w:tcPr>
          <w:p>
            <w:pPr>
              <w:pStyle w:val="0"/>
            </w:pPr>
            <w:r>
              <w:rPr>
                <w:sz w:val="20"/>
              </w:rPr>
              <w:t xml:space="preserve">5,1</w:t>
            </w:r>
          </w:p>
        </w:tc>
      </w:tr>
      <w:tr>
        <w:tc>
          <w:tcPr>
            <w:tcW w:w="2948" w:type="dxa"/>
          </w:tcPr>
          <w:p>
            <w:pPr>
              <w:pStyle w:val="0"/>
            </w:pPr>
            <w:r>
              <w:rPr>
                <w:sz w:val="20"/>
              </w:rPr>
              <w:t xml:space="preserve">прямой кишки</w:t>
            </w:r>
          </w:p>
        </w:tc>
        <w:tc>
          <w:tcPr>
            <w:tcW w:w="604" w:type="dxa"/>
          </w:tcPr>
          <w:p>
            <w:pPr>
              <w:pStyle w:val="0"/>
            </w:pPr>
            <w:r>
              <w:rPr>
                <w:sz w:val="20"/>
              </w:rPr>
              <w:t xml:space="preserve">6,2</w:t>
            </w:r>
          </w:p>
        </w:tc>
        <w:tc>
          <w:tcPr>
            <w:tcW w:w="604" w:type="dxa"/>
          </w:tcPr>
          <w:p>
            <w:pPr>
              <w:pStyle w:val="0"/>
            </w:pPr>
            <w:r>
              <w:rPr>
                <w:sz w:val="20"/>
              </w:rPr>
              <w:t xml:space="preserve">6,1</w:t>
            </w:r>
          </w:p>
        </w:tc>
        <w:tc>
          <w:tcPr>
            <w:tcW w:w="604" w:type="dxa"/>
          </w:tcPr>
          <w:p>
            <w:pPr>
              <w:pStyle w:val="0"/>
            </w:pPr>
            <w:r>
              <w:rPr>
                <w:sz w:val="20"/>
              </w:rPr>
              <w:t xml:space="preserve">7,0</w:t>
            </w:r>
          </w:p>
        </w:tc>
        <w:tc>
          <w:tcPr>
            <w:tcW w:w="604" w:type="dxa"/>
          </w:tcPr>
          <w:p>
            <w:pPr>
              <w:pStyle w:val="0"/>
            </w:pPr>
            <w:r>
              <w:rPr>
                <w:sz w:val="20"/>
              </w:rPr>
              <w:t xml:space="preserve">7,6</w:t>
            </w:r>
          </w:p>
        </w:tc>
        <w:tc>
          <w:tcPr>
            <w:tcW w:w="604" w:type="dxa"/>
          </w:tcPr>
          <w:p>
            <w:pPr>
              <w:pStyle w:val="0"/>
            </w:pPr>
            <w:r>
              <w:rPr>
                <w:sz w:val="20"/>
              </w:rPr>
              <w:t xml:space="preserve">6,2</w:t>
            </w:r>
          </w:p>
        </w:tc>
        <w:tc>
          <w:tcPr>
            <w:tcW w:w="604" w:type="dxa"/>
          </w:tcPr>
          <w:p>
            <w:pPr>
              <w:pStyle w:val="0"/>
            </w:pPr>
            <w:r>
              <w:rPr>
                <w:sz w:val="20"/>
              </w:rPr>
              <w:t xml:space="preserve">6,1</w:t>
            </w:r>
          </w:p>
        </w:tc>
        <w:tc>
          <w:tcPr>
            <w:tcW w:w="604" w:type="dxa"/>
          </w:tcPr>
          <w:p>
            <w:pPr>
              <w:pStyle w:val="0"/>
            </w:pPr>
            <w:r>
              <w:rPr>
                <w:sz w:val="20"/>
              </w:rPr>
              <w:t xml:space="preserve">6,3</w:t>
            </w:r>
          </w:p>
        </w:tc>
        <w:tc>
          <w:tcPr>
            <w:tcW w:w="604" w:type="dxa"/>
          </w:tcPr>
          <w:p>
            <w:pPr>
              <w:pStyle w:val="0"/>
            </w:pPr>
            <w:r>
              <w:rPr>
                <w:sz w:val="20"/>
              </w:rPr>
              <w:t xml:space="preserve">5,0</w:t>
            </w:r>
          </w:p>
        </w:tc>
        <w:tc>
          <w:tcPr>
            <w:tcW w:w="604" w:type="dxa"/>
          </w:tcPr>
          <w:p>
            <w:pPr>
              <w:pStyle w:val="0"/>
            </w:pPr>
            <w:r>
              <w:rPr>
                <w:sz w:val="20"/>
              </w:rPr>
              <w:t xml:space="preserve">6,7</w:t>
            </w:r>
          </w:p>
        </w:tc>
        <w:tc>
          <w:tcPr>
            <w:tcW w:w="604" w:type="dxa"/>
          </w:tcPr>
          <w:p>
            <w:pPr>
              <w:pStyle w:val="0"/>
            </w:pPr>
            <w:r>
              <w:rPr>
                <w:sz w:val="20"/>
              </w:rPr>
              <w:t xml:space="preserve">5,5</w:t>
            </w:r>
          </w:p>
        </w:tc>
      </w:tr>
      <w:tr>
        <w:tc>
          <w:tcPr>
            <w:tcW w:w="2948" w:type="dxa"/>
          </w:tcPr>
          <w:p>
            <w:pPr>
              <w:pStyle w:val="0"/>
            </w:pPr>
            <w:r>
              <w:rPr>
                <w:sz w:val="20"/>
              </w:rPr>
              <w:t xml:space="preserve">предстательной железы</w:t>
            </w:r>
          </w:p>
        </w:tc>
        <w:tc>
          <w:tcPr>
            <w:tcW w:w="604" w:type="dxa"/>
          </w:tcPr>
          <w:p>
            <w:pPr>
              <w:pStyle w:val="0"/>
            </w:pPr>
            <w:r>
              <w:rPr>
                <w:sz w:val="20"/>
              </w:rPr>
              <w:t xml:space="preserve">2,7</w:t>
            </w:r>
          </w:p>
        </w:tc>
        <w:tc>
          <w:tcPr>
            <w:tcW w:w="604" w:type="dxa"/>
          </w:tcPr>
          <w:p>
            <w:pPr>
              <w:pStyle w:val="0"/>
            </w:pPr>
            <w:r>
              <w:rPr>
                <w:sz w:val="20"/>
              </w:rPr>
              <w:t xml:space="preserve">3,7</w:t>
            </w:r>
          </w:p>
        </w:tc>
        <w:tc>
          <w:tcPr>
            <w:tcW w:w="604" w:type="dxa"/>
          </w:tcPr>
          <w:p>
            <w:pPr>
              <w:pStyle w:val="0"/>
            </w:pPr>
            <w:r>
              <w:rPr>
                <w:sz w:val="20"/>
              </w:rPr>
              <w:t xml:space="preserve">3,4</w:t>
            </w:r>
          </w:p>
        </w:tc>
        <w:tc>
          <w:tcPr>
            <w:tcW w:w="604" w:type="dxa"/>
          </w:tcPr>
          <w:p>
            <w:pPr>
              <w:pStyle w:val="0"/>
            </w:pPr>
            <w:r>
              <w:rPr>
                <w:sz w:val="20"/>
              </w:rPr>
              <w:t xml:space="preserve">4,0</w:t>
            </w:r>
          </w:p>
        </w:tc>
        <w:tc>
          <w:tcPr>
            <w:tcW w:w="604" w:type="dxa"/>
          </w:tcPr>
          <w:p>
            <w:pPr>
              <w:pStyle w:val="0"/>
            </w:pPr>
            <w:r>
              <w:rPr>
                <w:sz w:val="20"/>
              </w:rPr>
              <w:t xml:space="preserve">3,6</w:t>
            </w:r>
          </w:p>
        </w:tc>
        <w:tc>
          <w:tcPr>
            <w:tcW w:w="604" w:type="dxa"/>
          </w:tcPr>
          <w:p>
            <w:pPr>
              <w:pStyle w:val="0"/>
            </w:pPr>
            <w:r>
              <w:rPr>
                <w:sz w:val="20"/>
              </w:rPr>
              <w:t xml:space="preserve">4,8</w:t>
            </w:r>
          </w:p>
        </w:tc>
        <w:tc>
          <w:tcPr>
            <w:tcW w:w="604" w:type="dxa"/>
          </w:tcPr>
          <w:p>
            <w:pPr>
              <w:pStyle w:val="0"/>
            </w:pPr>
            <w:r>
              <w:rPr>
                <w:sz w:val="20"/>
              </w:rPr>
              <w:t xml:space="preserve">4,6</w:t>
            </w:r>
          </w:p>
        </w:tc>
        <w:tc>
          <w:tcPr>
            <w:tcW w:w="604" w:type="dxa"/>
          </w:tcPr>
          <w:p>
            <w:pPr>
              <w:pStyle w:val="0"/>
            </w:pPr>
            <w:r>
              <w:rPr>
                <w:sz w:val="20"/>
              </w:rPr>
              <w:t xml:space="preserve">3,8</w:t>
            </w:r>
          </w:p>
        </w:tc>
        <w:tc>
          <w:tcPr>
            <w:tcW w:w="604" w:type="dxa"/>
          </w:tcPr>
          <w:p>
            <w:pPr>
              <w:pStyle w:val="0"/>
            </w:pPr>
            <w:r>
              <w:rPr>
                <w:sz w:val="20"/>
              </w:rPr>
              <w:t xml:space="preserve">3,5</w:t>
            </w:r>
          </w:p>
        </w:tc>
        <w:tc>
          <w:tcPr>
            <w:tcW w:w="604" w:type="dxa"/>
          </w:tcPr>
          <w:p>
            <w:pPr>
              <w:pStyle w:val="0"/>
            </w:pPr>
            <w:r>
              <w:rPr>
                <w:sz w:val="20"/>
              </w:rPr>
              <w:t xml:space="preserve">4,0</w:t>
            </w:r>
          </w:p>
        </w:tc>
      </w:tr>
      <w:tr>
        <w:tc>
          <w:tcPr>
            <w:tcW w:w="2948" w:type="dxa"/>
          </w:tcPr>
          <w:p>
            <w:pPr>
              <w:pStyle w:val="0"/>
            </w:pPr>
            <w:r>
              <w:rPr>
                <w:sz w:val="20"/>
              </w:rPr>
              <w:t xml:space="preserve">лимфомы</w:t>
            </w:r>
          </w:p>
        </w:tc>
        <w:tc>
          <w:tcPr>
            <w:tcW w:w="604" w:type="dxa"/>
          </w:tcPr>
          <w:p>
            <w:pPr>
              <w:pStyle w:val="0"/>
            </w:pPr>
            <w:r>
              <w:rPr>
                <w:sz w:val="20"/>
              </w:rPr>
              <w:t xml:space="preserve">2,5</w:t>
            </w:r>
          </w:p>
        </w:tc>
        <w:tc>
          <w:tcPr>
            <w:tcW w:w="604" w:type="dxa"/>
          </w:tcPr>
          <w:p>
            <w:pPr>
              <w:pStyle w:val="0"/>
            </w:pPr>
            <w:r>
              <w:rPr>
                <w:sz w:val="20"/>
              </w:rPr>
              <w:t xml:space="preserve">1,7</w:t>
            </w:r>
          </w:p>
        </w:tc>
        <w:tc>
          <w:tcPr>
            <w:tcW w:w="604" w:type="dxa"/>
          </w:tcPr>
          <w:p>
            <w:pPr>
              <w:pStyle w:val="0"/>
            </w:pPr>
            <w:r>
              <w:rPr>
                <w:sz w:val="20"/>
              </w:rPr>
              <w:t xml:space="preserve">2,8</w:t>
            </w:r>
          </w:p>
        </w:tc>
        <w:tc>
          <w:tcPr>
            <w:tcW w:w="604" w:type="dxa"/>
          </w:tcPr>
          <w:p>
            <w:pPr>
              <w:pStyle w:val="0"/>
            </w:pPr>
            <w:r>
              <w:rPr>
                <w:sz w:val="20"/>
              </w:rPr>
              <w:t xml:space="preserve">2,7</w:t>
            </w:r>
          </w:p>
        </w:tc>
        <w:tc>
          <w:tcPr>
            <w:tcW w:w="604" w:type="dxa"/>
          </w:tcPr>
          <w:p>
            <w:pPr>
              <w:pStyle w:val="0"/>
            </w:pPr>
            <w:r>
              <w:rPr>
                <w:sz w:val="20"/>
              </w:rPr>
              <w:t xml:space="preserve">3,1</w:t>
            </w:r>
          </w:p>
        </w:tc>
        <w:tc>
          <w:tcPr>
            <w:tcW w:w="604" w:type="dxa"/>
          </w:tcPr>
          <w:p>
            <w:pPr>
              <w:pStyle w:val="0"/>
            </w:pPr>
            <w:r>
              <w:rPr>
                <w:sz w:val="20"/>
              </w:rPr>
              <w:t xml:space="preserve">2,9</w:t>
            </w:r>
          </w:p>
        </w:tc>
        <w:tc>
          <w:tcPr>
            <w:tcW w:w="604" w:type="dxa"/>
          </w:tcPr>
          <w:p>
            <w:pPr>
              <w:pStyle w:val="0"/>
            </w:pPr>
            <w:r>
              <w:rPr>
                <w:sz w:val="20"/>
              </w:rPr>
              <w:t xml:space="preserve">3,4</w:t>
            </w:r>
          </w:p>
        </w:tc>
        <w:tc>
          <w:tcPr>
            <w:tcW w:w="604" w:type="dxa"/>
          </w:tcPr>
          <w:p>
            <w:pPr>
              <w:pStyle w:val="0"/>
            </w:pPr>
            <w:r>
              <w:rPr>
                <w:sz w:val="20"/>
              </w:rPr>
              <w:t xml:space="preserve">3,4</w:t>
            </w:r>
          </w:p>
        </w:tc>
        <w:tc>
          <w:tcPr>
            <w:tcW w:w="604" w:type="dxa"/>
          </w:tcPr>
          <w:p>
            <w:pPr>
              <w:pStyle w:val="0"/>
            </w:pPr>
            <w:r>
              <w:rPr>
                <w:sz w:val="20"/>
              </w:rPr>
              <w:t xml:space="preserve">3,0</w:t>
            </w:r>
          </w:p>
        </w:tc>
        <w:tc>
          <w:tcPr>
            <w:tcW w:w="604" w:type="dxa"/>
          </w:tcPr>
          <w:p>
            <w:pPr>
              <w:pStyle w:val="0"/>
            </w:pPr>
            <w:r>
              <w:rPr>
                <w:sz w:val="20"/>
              </w:rPr>
              <w:t xml:space="preserve">3,1</w:t>
            </w:r>
          </w:p>
        </w:tc>
      </w:tr>
    </w:tbl>
    <w:p>
      <w:pPr>
        <w:pStyle w:val="0"/>
        <w:ind w:firstLine="540"/>
        <w:jc w:val="both"/>
      </w:pPr>
      <w:r>
        <w:rPr>
          <w:sz w:val="20"/>
        </w:rPr>
      </w:r>
    </w:p>
    <w:p>
      <w:pPr>
        <w:pStyle w:val="0"/>
        <w:ind w:firstLine="540"/>
        <w:jc w:val="both"/>
      </w:pPr>
      <w:r>
        <w:rPr>
          <w:sz w:val="20"/>
        </w:rPr>
        <w:t xml:space="preserve">В структуре смертности от злокачественных новообразований у лиц трудоспособного возраста в 2022 году можно выделить основные локализации:</w:t>
      </w:r>
    </w:p>
    <w:p>
      <w:pPr>
        <w:pStyle w:val="0"/>
        <w:spacing w:before="200" w:line-rule="auto"/>
        <w:ind w:firstLine="540"/>
        <w:jc w:val="both"/>
      </w:pPr>
      <w:r>
        <w:rPr>
          <w:sz w:val="20"/>
        </w:rPr>
        <w:t xml:space="preserve">трахея, бронхи и легкие - 18,8% (в 2013 году - 18,9%),</w:t>
      </w:r>
    </w:p>
    <w:p>
      <w:pPr>
        <w:pStyle w:val="0"/>
        <w:spacing w:before="200" w:line-rule="auto"/>
        <w:ind w:firstLine="540"/>
        <w:jc w:val="both"/>
      </w:pPr>
      <w:r>
        <w:rPr>
          <w:sz w:val="20"/>
        </w:rPr>
        <w:t xml:space="preserve">желудок - 8,9% (в 2013 году - 14,5%),</w:t>
      </w:r>
    </w:p>
    <w:p>
      <w:pPr>
        <w:pStyle w:val="0"/>
        <w:spacing w:before="200" w:line-rule="auto"/>
        <w:ind w:firstLine="540"/>
        <w:jc w:val="both"/>
      </w:pPr>
      <w:r>
        <w:rPr>
          <w:sz w:val="20"/>
        </w:rPr>
        <w:t xml:space="preserve">молочная железа - 8,2% (в 2013 году - 10,4%),</w:t>
      </w:r>
    </w:p>
    <w:p>
      <w:pPr>
        <w:pStyle w:val="0"/>
        <w:spacing w:before="200" w:line-rule="auto"/>
        <w:ind w:firstLine="540"/>
        <w:jc w:val="both"/>
      </w:pPr>
      <w:r>
        <w:rPr>
          <w:sz w:val="20"/>
        </w:rPr>
        <w:t xml:space="preserve">ободочная кишка - 7,5% (в 2013 году - 7,3%),</w:t>
      </w:r>
    </w:p>
    <w:p>
      <w:pPr>
        <w:pStyle w:val="0"/>
        <w:spacing w:before="200" w:line-rule="auto"/>
        <w:ind w:firstLine="540"/>
        <w:jc w:val="both"/>
      </w:pPr>
      <w:r>
        <w:rPr>
          <w:sz w:val="20"/>
        </w:rPr>
        <w:t xml:space="preserve">поджелудочная железа - 7,0% (в 2013 году - 4,8%),</w:t>
      </w:r>
    </w:p>
    <w:p>
      <w:pPr>
        <w:pStyle w:val="0"/>
        <w:spacing w:before="200" w:line-rule="auto"/>
        <w:ind w:firstLine="540"/>
        <w:jc w:val="both"/>
      </w:pPr>
      <w:r>
        <w:rPr>
          <w:sz w:val="20"/>
        </w:rPr>
        <w:t xml:space="preserve">прямая кишка - 5,6% (в 2013 году - 6,1%),</w:t>
      </w:r>
    </w:p>
    <w:p>
      <w:pPr>
        <w:pStyle w:val="0"/>
        <w:spacing w:before="200" w:line-rule="auto"/>
        <w:ind w:firstLine="540"/>
        <w:jc w:val="both"/>
      </w:pPr>
      <w:r>
        <w:rPr>
          <w:sz w:val="20"/>
        </w:rPr>
        <w:t xml:space="preserve">лимфатическая и кроветворная ткань - 5,2% (в 2013 году - 2,5%),</w:t>
      </w:r>
    </w:p>
    <w:p>
      <w:pPr>
        <w:pStyle w:val="0"/>
        <w:spacing w:before="200" w:line-rule="auto"/>
        <w:ind w:firstLine="540"/>
        <w:jc w:val="both"/>
      </w:pPr>
      <w:r>
        <w:rPr>
          <w:sz w:val="20"/>
        </w:rPr>
        <w:t xml:space="preserve">печень и внутрипеченочные желчные протоки - 5,2% (в 2013 году - 2,9%),</w:t>
      </w:r>
    </w:p>
    <w:p>
      <w:pPr>
        <w:pStyle w:val="0"/>
        <w:spacing w:before="200" w:line-rule="auto"/>
        <w:ind w:firstLine="540"/>
        <w:jc w:val="both"/>
      </w:pPr>
      <w:r>
        <w:rPr>
          <w:sz w:val="20"/>
        </w:rPr>
        <w:t xml:space="preserve">пищевод - 2,4% (в 2013 году - 2,2%),</w:t>
      </w:r>
    </w:p>
    <w:p>
      <w:pPr>
        <w:pStyle w:val="0"/>
        <w:spacing w:before="200" w:line-rule="auto"/>
        <w:ind w:firstLine="540"/>
        <w:jc w:val="both"/>
      </w:pPr>
      <w:r>
        <w:rPr>
          <w:sz w:val="20"/>
        </w:rPr>
        <w:t xml:space="preserve">головной мозг и другие отделы ЦНС - 2,1% (в 2013 году - 3,8%).</w:t>
      </w:r>
    </w:p>
    <w:p>
      <w:pPr>
        <w:pStyle w:val="0"/>
        <w:jc w:val="right"/>
      </w:pPr>
      <w:r>
        <w:rPr>
          <w:sz w:val="20"/>
        </w:rPr>
      </w:r>
    </w:p>
    <w:p>
      <w:pPr>
        <w:pStyle w:val="0"/>
        <w:jc w:val="right"/>
      </w:pPr>
      <w:r>
        <w:rPr>
          <w:sz w:val="20"/>
        </w:rPr>
        <w:t xml:space="preserve">Таблица 21</w:t>
      </w:r>
    </w:p>
    <w:p>
      <w:pPr>
        <w:pStyle w:val="0"/>
        <w:jc w:val="center"/>
      </w:pPr>
      <w:r>
        <w:rPr>
          <w:sz w:val="20"/>
        </w:rPr>
      </w:r>
    </w:p>
    <w:p>
      <w:pPr>
        <w:pStyle w:val="0"/>
        <w:jc w:val="center"/>
      </w:pPr>
      <w:r>
        <w:rPr>
          <w:sz w:val="20"/>
        </w:rPr>
        <w:t xml:space="preserve">Динамика смертности от злокачественных новообразований лиц</w:t>
      </w:r>
    </w:p>
    <w:p>
      <w:pPr>
        <w:pStyle w:val="0"/>
        <w:jc w:val="center"/>
      </w:pPr>
      <w:r>
        <w:rPr>
          <w:sz w:val="20"/>
        </w:rPr>
        <w:t xml:space="preserve">трудоспособного населения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57"/>
        <w:gridCol w:w="907"/>
        <w:gridCol w:w="907"/>
        <w:gridCol w:w="1037"/>
        <w:gridCol w:w="1038"/>
        <w:gridCol w:w="918"/>
        <w:gridCol w:w="918"/>
        <w:gridCol w:w="767"/>
        <w:gridCol w:w="767"/>
      </w:tblGrid>
      <w:tr>
        <w:tc>
          <w:tcPr>
            <w:tcW w:w="1757" w:type="dxa"/>
          </w:tcPr>
          <w:p>
            <w:pPr>
              <w:pStyle w:val="0"/>
              <w:jc w:val="center"/>
            </w:pPr>
            <w:r>
              <w:rPr>
                <w:sz w:val="20"/>
              </w:rPr>
              <w:t xml:space="preserve">Показатель</w:t>
            </w:r>
          </w:p>
        </w:tc>
        <w:tc>
          <w:tcPr>
            <w:tcW w:w="907" w:type="dxa"/>
          </w:tcPr>
          <w:p>
            <w:pPr>
              <w:pStyle w:val="0"/>
              <w:jc w:val="center"/>
            </w:pPr>
            <w:r>
              <w:rPr>
                <w:sz w:val="20"/>
              </w:rPr>
              <w:t xml:space="preserve">2015</w:t>
            </w:r>
          </w:p>
        </w:tc>
        <w:tc>
          <w:tcPr>
            <w:tcW w:w="907" w:type="dxa"/>
          </w:tcPr>
          <w:p>
            <w:pPr>
              <w:pStyle w:val="0"/>
              <w:jc w:val="center"/>
            </w:pPr>
            <w:r>
              <w:rPr>
                <w:sz w:val="20"/>
              </w:rPr>
              <w:t xml:space="preserve">2016</w:t>
            </w:r>
          </w:p>
        </w:tc>
        <w:tc>
          <w:tcPr>
            <w:tcW w:w="1037" w:type="dxa"/>
          </w:tcPr>
          <w:p>
            <w:pPr>
              <w:pStyle w:val="0"/>
              <w:jc w:val="center"/>
            </w:pPr>
            <w:r>
              <w:rPr>
                <w:sz w:val="20"/>
              </w:rPr>
              <w:t xml:space="preserve">2017</w:t>
            </w:r>
          </w:p>
        </w:tc>
        <w:tc>
          <w:tcPr>
            <w:tcW w:w="1038" w:type="dxa"/>
          </w:tcPr>
          <w:p>
            <w:pPr>
              <w:pStyle w:val="0"/>
              <w:jc w:val="center"/>
            </w:pPr>
            <w:r>
              <w:rPr>
                <w:sz w:val="20"/>
              </w:rPr>
              <w:t xml:space="preserve">2018</w:t>
            </w:r>
          </w:p>
        </w:tc>
        <w:tc>
          <w:tcPr>
            <w:tcW w:w="918" w:type="dxa"/>
          </w:tcPr>
          <w:p>
            <w:pPr>
              <w:pStyle w:val="0"/>
              <w:jc w:val="center"/>
            </w:pPr>
            <w:r>
              <w:rPr>
                <w:sz w:val="20"/>
              </w:rPr>
              <w:t xml:space="preserve">2019</w:t>
            </w:r>
          </w:p>
        </w:tc>
        <w:tc>
          <w:tcPr>
            <w:tcW w:w="918" w:type="dxa"/>
          </w:tcPr>
          <w:p>
            <w:pPr>
              <w:pStyle w:val="0"/>
              <w:jc w:val="center"/>
            </w:pPr>
            <w:r>
              <w:rPr>
                <w:sz w:val="20"/>
              </w:rPr>
              <w:t xml:space="preserve">2020</w:t>
            </w:r>
          </w:p>
        </w:tc>
        <w:tc>
          <w:tcPr>
            <w:tcW w:w="767" w:type="dxa"/>
          </w:tcPr>
          <w:p>
            <w:pPr>
              <w:pStyle w:val="0"/>
              <w:jc w:val="center"/>
            </w:pPr>
            <w:r>
              <w:rPr>
                <w:sz w:val="20"/>
              </w:rPr>
              <w:t xml:space="preserve">2021</w:t>
            </w:r>
          </w:p>
        </w:tc>
        <w:tc>
          <w:tcPr>
            <w:tcW w:w="767" w:type="dxa"/>
          </w:tcPr>
          <w:p>
            <w:pPr>
              <w:pStyle w:val="0"/>
              <w:jc w:val="center"/>
            </w:pPr>
            <w:r>
              <w:rPr>
                <w:sz w:val="20"/>
              </w:rPr>
              <w:t xml:space="preserve">2022</w:t>
            </w:r>
          </w:p>
        </w:tc>
      </w:tr>
      <w:tr>
        <w:tc>
          <w:tcPr>
            <w:tcW w:w="1757" w:type="dxa"/>
          </w:tcPr>
          <w:p>
            <w:pPr>
              <w:pStyle w:val="0"/>
              <w:jc w:val="center"/>
            </w:pPr>
            <w:r>
              <w:rPr>
                <w:sz w:val="20"/>
              </w:rPr>
              <w:t xml:space="preserve">Смертность на 100 тыс. населения (мужчины и женщины)</w:t>
            </w:r>
          </w:p>
        </w:tc>
        <w:tc>
          <w:tcPr>
            <w:tcW w:w="907" w:type="dxa"/>
          </w:tcPr>
          <w:p>
            <w:pPr>
              <w:pStyle w:val="0"/>
              <w:jc w:val="center"/>
            </w:pPr>
            <w:r>
              <w:rPr>
                <w:sz w:val="20"/>
              </w:rPr>
              <w:t xml:space="preserve">58,3</w:t>
            </w:r>
          </w:p>
        </w:tc>
        <w:tc>
          <w:tcPr>
            <w:tcW w:w="907" w:type="dxa"/>
          </w:tcPr>
          <w:p>
            <w:pPr>
              <w:pStyle w:val="0"/>
              <w:jc w:val="center"/>
            </w:pPr>
            <w:r>
              <w:rPr>
                <w:sz w:val="20"/>
              </w:rPr>
              <w:t xml:space="preserve">56,6</w:t>
            </w:r>
          </w:p>
        </w:tc>
        <w:tc>
          <w:tcPr>
            <w:tcW w:w="1037" w:type="dxa"/>
          </w:tcPr>
          <w:p>
            <w:pPr>
              <w:pStyle w:val="0"/>
              <w:jc w:val="center"/>
            </w:pPr>
            <w:r>
              <w:rPr>
                <w:sz w:val="20"/>
              </w:rPr>
              <w:t xml:space="preserve">56,4</w:t>
            </w:r>
          </w:p>
        </w:tc>
        <w:tc>
          <w:tcPr>
            <w:tcW w:w="1038" w:type="dxa"/>
          </w:tcPr>
          <w:p>
            <w:pPr>
              <w:pStyle w:val="0"/>
              <w:jc w:val="center"/>
            </w:pPr>
            <w:r>
              <w:rPr>
                <w:sz w:val="20"/>
              </w:rPr>
              <w:t xml:space="preserve">47,8</w:t>
            </w:r>
          </w:p>
        </w:tc>
        <w:tc>
          <w:tcPr>
            <w:tcW w:w="918" w:type="dxa"/>
          </w:tcPr>
          <w:p>
            <w:pPr>
              <w:pStyle w:val="0"/>
              <w:jc w:val="center"/>
            </w:pPr>
            <w:r>
              <w:rPr>
                <w:sz w:val="20"/>
              </w:rPr>
              <w:t xml:space="preserve">31,8</w:t>
            </w:r>
          </w:p>
        </w:tc>
        <w:tc>
          <w:tcPr>
            <w:tcW w:w="918" w:type="dxa"/>
          </w:tcPr>
          <w:p>
            <w:pPr>
              <w:pStyle w:val="0"/>
              <w:jc w:val="center"/>
            </w:pPr>
            <w:r>
              <w:rPr>
                <w:sz w:val="20"/>
              </w:rPr>
              <w:t xml:space="preserve">34,3</w:t>
            </w:r>
          </w:p>
        </w:tc>
        <w:tc>
          <w:tcPr>
            <w:tcW w:w="767" w:type="dxa"/>
          </w:tcPr>
          <w:p>
            <w:pPr>
              <w:pStyle w:val="0"/>
              <w:jc w:val="center"/>
            </w:pPr>
            <w:r>
              <w:rPr>
                <w:sz w:val="20"/>
              </w:rPr>
              <w:t xml:space="preserve">59,6</w:t>
            </w:r>
          </w:p>
        </w:tc>
        <w:tc>
          <w:tcPr>
            <w:tcW w:w="767" w:type="dxa"/>
          </w:tcPr>
          <w:p>
            <w:pPr>
              <w:pStyle w:val="0"/>
              <w:jc w:val="center"/>
            </w:pPr>
            <w:r>
              <w:rPr>
                <w:sz w:val="20"/>
              </w:rPr>
              <w:t xml:space="preserve">65,3</w:t>
            </w:r>
          </w:p>
        </w:tc>
      </w:tr>
    </w:tbl>
    <w:p>
      <w:pPr>
        <w:pStyle w:val="0"/>
        <w:ind w:firstLine="540"/>
        <w:jc w:val="both"/>
      </w:pPr>
      <w:r>
        <w:rPr>
          <w:sz w:val="20"/>
        </w:rPr>
      </w:r>
    </w:p>
    <w:p>
      <w:pPr>
        <w:pStyle w:val="0"/>
        <w:ind w:firstLine="540"/>
        <w:jc w:val="both"/>
      </w:pPr>
      <w:r>
        <w:rPr>
          <w:sz w:val="20"/>
        </w:rPr>
        <w:t xml:space="preserve">В структуре смертности от ЗНО в трудоспособном возрасте у мужчин (2022 год):</w:t>
      </w:r>
    </w:p>
    <w:p>
      <w:pPr>
        <w:pStyle w:val="0"/>
        <w:spacing w:before="200" w:line-rule="auto"/>
        <w:ind w:firstLine="540"/>
        <w:jc w:val="both"/>
      </w:pPr>
      <w:r>
        <w:rPr>
          <w:sz w:val="20"/>
        </w:rPr>
        <w:t xml:space="preserve">трахея, бронхи и легкие - 28,5% (в 2013 году - 25,1%);</w:t>
      </w:r>
    </w:p>
    <w:p>
      <w:pPr>
        <w:pStyle w:val="0"/>
        <w:spacing w:before="200" w:line-rule="auto"/>
        <w:ind w:firstLine="540"/>
        <w:jc w:val="both"/>
      </w:pPr>
      <w:r>
        <w:rPr>
          <w:sz w:val="20"/>
        </w:rPr>
        <w:t xml:space="preserve">желудок - 9,2% (в 2013 году - 9,4%),</w:t>
      </w:r>
    </w:p>
    <w:p>
      <w:pPr>
        <w:pStyle w:val="0"/>
        <w:spacing w:before="200" w:line-rule="auto"/>
        <w:ind w:firstLine="540"/>
        <w:jc w:val="both"/>
      </w:pPr>
      <w:r>
        <w:rPr>
          <w:sz w:val="20"/>
        </w:rPr>
        <w:t xml:space="preserve">ободочная кишка - 7,0% (в 2013 году - 6,2%),</w:t>
      </w:r>
    </w:p>
    <w:p>
      <w:pPr>
        <w:pStyle w:val="0"/>
        <w:spacing w:before="200" w:line-rule="auto"/>
        <w:ind w:firstLine="540"/>
        <w:jc w:val="both"/>
      </w:pPr>
      <w:r>
        <w:rPr>
          <w:sz w:val="20"/>
        </w:rPr>
        <w:t xml:space="preserve">прямая кишка - 6,4% (в 2013 году - 4,6%).</w:t>
      </w:r>
    </w:p>
    <w:p>
      <w:pPr>
        <w:pStyle w:val="0"/>
        <w:spacing w:before="200" w:line-rule="auto"/>
        <w:ind w:firstLine="540"/>
        <w:jc w:val="both"/>
      </w:pPr>
      <w:r>
        <w:rPr>
          <w:sz w:val="20"/>
        </w:rPr>
        <w:t xml:space="preserve">поджелудочная железа - 6,3% (в 2013 году - 2,3%),</w:t>
      </w:r>
    </w:p>
    <w:p>
      <w:pPr>
        <w:pStyle w:val="0"/>
        <w:spacing w:before="200" w:line-rule="auto"/>
        <w:ind w:firstLine="540"/>
        <w:jc w:val="both"/>
      </w:pPr>
      <w:r>
        <w:rPr>
          <w:sz w:val="20"/>
        </w:rPr>
        <w:t xml:space="preserve">печень и внутрипеченочные желчные протоки - 6,0% (в 2013 году - 7,7%),</w:t>
      </w:r>
    </w:p>
    <w:p>
      <w:pPr>
        <w:pStyle w:val="0"/>
        <w:spacing w:before="200" w:line-rule="auto"/>
        <w:ind w:firstLine="540"/>
        <w:jc w:val="both"/>
      </w:pPr>
      <w:r>
        <w:rPr>
          <w:sz w:val="20"/>
        </w:rPr>
        <w:t xml:space="preserve">лимфатическая и кроветворная ткань - 5,5% (в 2013 году - 7,4%),</w:t>
      </w:r>
    </w:p>
    <w:p>
      <w:pPr>
        <w:pStyle w:val="0"/>
        <w:spacing w:before="200" w:line-rule="auto"/>
        <w:ind w:firstLine="540"/>
        <w:jc w:val="both"/>
      </w:pPr>
      <w:r>
        <w:rPr>
          <w:sz w:val="20"/>
        </w:rPr>
        <w:t xml:space="preserve">почки - 4,1% (в 2013 году - 3,9%),</w:t>
      </w:r>
    </w:p>
    <w:p>
      <w:pPr>
        <w:pStyle w:val="0"/>
        <w:spacing w:before="200" w:line-rule="auto"/>
        <w:ind w:firstLine="540"/>
        <w:jc w:val="both"/>
      </w:pPr>
      <w:r>
        <w:rPr>
          <w:sz w:val="20"/>
        </w:rPr>
        <w:t xml:space="preserve">пищевода - 3,2% (в 2013 году - 4,4%),</w:t>
      </w:r>
    </w:p>
    <w:p>
      <w:pPr>
        <w:pStyle w:val="0"/>
        <w:spacing w:before="200" w:line-rule="auto"/>
        <w:ind w:firstLine="540"/>
        <w:jc w:val="both"/>
      </w:pPr>
      <w:r>
        <w:rPr>
          <w:sz w:val="20"/>
        </w:rPr>
        <w:t xml:space="preserve">головной мозг и другие отделы ЦНС - 1,8% (в 2013 году - 4,4%).</w:t>
      </w:r>
    </w:p>
    <w:p>
      <w:pPr>
        <w:pStyle w:val="0"/>
        <w:spacing w:before="200" w:line-rule="auto"/>
        <w:ind w:firstLine="540"/>
        <w:jc w:val="both"/>
      </w:pPr>
      <w:r>
        <w:rPr>
          <w:sz w:val="20"/>
        </w:rPr>
        <w:t xml:space="preserve">В структуре смертности от ЗНО в трудоспособном возрасте у женщин (2022 год):</w:t>
      </w:r>
    </w:p>
    <w:p>
      <w:pPr>
        <w:pStyle w:val="0"/>
        <w:spacing w:before="200" w:line-rule="auto"/>
        <w:ind w:firstLine="540"/>
        <w:jc w:val="both"/>
      </w:pPr>
      <w:r>
        <w:rPr>
          <w:sz w:val="20"/>
        </w:rPr>
        <w:t xml:space="preserve">молочная железа - 18,3% (в 2013 году - 20,1%),</w:t>
      </w:r>
    </w:p>
    <w:p>
      <w:pPr>
        <w:pStyle w:val="0"/>
        <w:spacing w:before="200" w:line-rule="auto"/>
        <w:ind w:firstLine="540"/>
        <w:jc w:val="both"/>
      </w:pPr>
      <w:r>
        <w:rPr>
          <w:sz w:val="20"/>
        </w:rPr>
        <w:t xml:space="preserve">желудок - 8,4% (в 2013 году - 7,4%),</w:t>
      </w:r>
    </w:p>
    <w:p>
      <w:pPr>
        <w:pStyle w:val="0"/>
        <w:spacing w:before="200" w:line-rule="auto"/>
        <w:ind w:firstLine="540"/>
        <w:jc w:val="both"/>
      </w:pPr>
      <w:r>
        <w:rPr>
          <w:sz w:val="20"/>
        </w:rPr>
        <w:t xml:space="preserve">ободочная кишка - 8,0% (в 2013 году - 5,8%),</w:t>
      </w:r>
    </w:p>
    <w:p>
      <w:pPr>
        <w:pStyle w:val="0"/>
        <w:spacing w:before="200" w:line-rule="auto"/>
        <w:ind w:firstLine="540"/>
        <w:jc w:val="both"/>
      </w:pPr>
      <w:r>
        <w:rPr>
          <w:sz w:val="20"/>
        </w:rPr>
        <w:t xml:space="preserve">поджелудочная железа - 7,9% (в 2013 году - 4,7%),</w:t>
      </w:r>
    </w:p>
    <w:p>
      <w:pPr>
        <w:pStyle w:val="0"/>
        <w:spacing w:before="200" w:line-rule="auto"/>
        <w:ind w:firstLine="540"/>
        <w:jc w:val="both"/>
      </w:pPr>
      <w:r>
        <w:rPr>
          <w:sz w:val="20"/>
        </w:rPr>
        <w:t xml:space="preserve">трахея, бронхи и легкие - 6,8% (в 2013 году - 7,4%),</w:t>
      </w:r>
    </w:p>
    <w:p>
      <w:pPr>
        <w:pStyle w:val="0"/>
        <w:spacing w:before="200" w:line-rule="auto"/>
        <w:ind w:firstLine="540"/>
        <w:jc w:val="both"/>
      </w:pPr>
      <w:r>
        <w:rPr>
          <w:sz w:val="20"/>
        </w:rPr>
        <w:t xml:space="preserve">яичники - 6,0% (в 2013 году - 8,9%),</w:t>
      </w:r>
    </w:p>
    <w:p>
      <w:pPr>
        <w:pStyle w:val="0"/>
        <w:spacing w:before="200" w:line-rule="auto"/>
        <w:ind w:firstLine="540"/>
        <w:jc w:val="both"/>
      </w:pPr>
      <w:r>
        <w:rPr>
          <w:sz w:val="20"/>
        </w:rPr>
        <w:t xml:space="preserve">шейка матки - 5,7% (в 2013 году - 11,6%),</w:t>
      </w:r>
    </w:p>
    <w:p>
      <w:pPr>
        <w:pStyle w:val="0"/>
        <w:spacing w:before="200" w:line-rule="auto"/>
        <w:ind w:firstLine="540"/>
        <w:jc w:val="both"/>
      </w:pPr>
      <w:r>
        <w:rPr>
          <w:sz w:val="20"/>
        </w:rPr>
        <w:t xml:space="preserve">лимфатическая и кроветворная ткань - 4,8% (в 2013 году - 7,4%),</w:t>
      </w:r>
    </w:p>
    <w:p>
      <w:pPr>
        <w:pStyle w:val="0"/>
        <w:spacing w:before="200" w:line-rule="auto"/>
        <w:ind w:firstLine="540"/>
        <w:jc w:val="both"/>
      </w:pPr>
      <w:r>
        <w:rPr>
          <w:sz w:val="20"/>
        </w:rPr>
        <w:t xml:space="preserve">печень и внутрипеченочные желчные протоки - 4,7% (в 2013 году - 2,6%),</w:t>
      </w:r>
    </w:p>
    <w:p>
      <w:pPr>
        <w:pStyle w:val="0"/>
        <w:spacing w:before="200" w:line-rule="auto"/>
        <w:ind w:firstLine="540"/>
        <w:jc w:val="both"/>
      </w:pPr>
      <w:r>
        <w:rPr>
          <w:sz w:val="20"/>
        </w:rPr>
        <w:t xml:space="preserve">головной мозг и другие отделы ЦНС - 2,5% (в 2013 году - 2,6%).</w:t>
      </w:r>
    </w:p>
    <w:p>
      <w:pPr>
        <w:pStyle w:val="0"/>
        <w:spacing w:before="200" w:line-rule="auto"/>
        <w:ind w:firstLine="540"/>
        <w:jc w:val="both"/>
      </w:pPr>
      <w:r>
        <w:rPr>
          <w:sz w:val="20"/>
        </w:rPr>
        <w:t xml:space="preserve">В разрезе муниципальных образований лидирующее место (выше уровня Уральского федерального округа - 188,7 на 100 тыс. населения и Российской Федерации - 191,3 на 100 тыс. населения) занимают:</w:t>
      </w:r>
    </w:p>
    <w:p>
      <w:pPr>
        <w:pStyle w:val="0"/>
        <w:spacing w:before="200" w:line-rule="auto"/>
        <w:ind w:firstLine="540"/>
        <w:jc w:val="both"/>
      </w:pPr>
      <w:r>
        <w:rPr>
          <w:sz w:val="20"/>
        </w:rPr>
        <w:t xml:space="preserve">Кондинский муниципальный район - 301,4 на 100 тыс. населения,</w:t>
      </w:r>
    </w:p>
    <w:p>
      <w:pPr>
        <w:pStyle w:val="0"/>
        <w:spacing w:before="200" w:line-rule="auto"/>
        <w:ind w:firstLine="540"/>
        <w:jc w:val="both"/>
      </w:pPr>
      <w:r>
        <w:rPr>
          <w:sz w:val="20"/>
        </w:rPr>
        <w:t xml:space="preserve">городской округ Лангепас - 252,6 на 100 тыс. населения,</w:t>
      </w:r>
    </w:p>
    <w:p>
      <w:pPr>
        <w:pStyle w:val="0"/>
        <w:spacing w:before="200" w:line-rule="auto"/>
        <w:ind w:firstLine="540"/>
        <w:jc w:val="both"/>
      </w:pPr>
      <w:r>
        <w:rPr>
          <w:sz w:val="20"/>
        </w:rPr>
        <w:t xml:space="preserve">Березовский муниципальный район - 208,0 на 100 тыс. населения (</w:t>
      </w:r>
      <w:hyperlink w:history="0" w:anchor="P8504" w:tooltip="Смертность населения автономного округа от злокачественных">
        <w:r>
          <w:rPr>
            <w:sz w:val="20"/>
            <w:color w:val="0000ff"/>
          </w:rPr>
          <w:t xml:space="preserve">таблицы 23</w:t>
        </w:r>
      </w:hyperlink>
      <w:r>
        <w:rPr>
          <w:sz w:val="20"/>
        </w:rPr>
        <w:t xml:space="preserve">, </w:t>
      </w:r>
      <w:hyperlink w:history="0" w:anchor="P8822" w:tooltip="Соотношение численности пациентов, умерших">
        <w:r>
          <w:rPr>
            <w:sz w:val="20"/>
            <w:color w:val="0000ff"/>
          </w:rPr>
          <w:t xml:space="preserve">24</w:t>
        </w:r>
      </w:hyperlink>
      <w:r>
        <w:rPr>
          <w:sz w:val="20"/>
        </w:rPr>
        <w:t xml:space="preserve">).</w:t>
      </w:r>
    </w:p>
    <w:p>
      <w:pPr>
        <w:pStyle w:val="0"/>
        <w:ind w:firstLine="540"/>
        <w:jc w:val="both"/>
      </w:pPr>
      <w:r>
        <w:rPr>
          <w:sz w:val="20"/>
        </w:rPr>
      </w:r>
    </w:p>
    <w:p>
      <w:pPr>
        <w:pStyle w:val="0"/>
        <w:jc w:val="right"/>
      </w:pPr>
      <w:r>
        <w:rPr>
          <w:sz w:val="20"/>
        </w:rPr>
        <w:t xml:space="preserve">Таблица 22</w:t>
      </w:r>
    </w:p>
    <w:p>
      <w:pPr>
        <w:pStyle w:val="0"/>
        <w:jc w:val="right"/>
      </w:pPr>
      <w:r>
        <w:rPr>
          <w:sz w:val="20"/>
        </w:rPr>
      </w:r>
    </w:p>
    <w:p>
      <w:pPr>
        <w:pStyle w:val="0"/>
        <w:jc w:val="center"/>
      </w:pPr>
      <w:r>
        <w:rPr>
          <w:sz w:val="20"/>
        </w:rPr>
        <w:t xml:space="preserve">Смертность населения автономного округа от злокачественных</w:t>
      </w:r>
    </w:p>
    <w:p>
      <w:pPr>
        <w:pStyle w:val="0"/>
        <w:jc w:val="center"/>
      </w:pPr>
      <w:r>
        <w:rPr>
          <w:sz w:val="20"/>
        </w:rPr>
        <w:t xml:space="preserve">новообразований в разрезе муниципальных образований</w:t>
      </w:r>
    </w:p>
    <w:p>
      <w:pPr>
        <w:pStyle w:val="0"/>
        <w:jc w:val="center"/>
      </w:pPr>
      <w:r>
        <w:rPr>
          <w:sz w:val="20"/>
        </w:rPr>
        <w:t xml:space="preserve">за период 2013 - 2017 годов</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1114"/>
        <w:gridCol w:w="979"/>
        <w:gridCol w:w="1114"/>
        <w:gridCol w:w="979"/>
        <w:gridCol w:w="1114"/>
        <w:gridCol w:w="979"/>
        <w:gridCol w:w="1114"/>
        <w:gridCol w:w="979"/>
        <w:gridCol w:w="1114"/>
        <w:gridCol w:w="979"/>
      </w:tblGrid>
      <w:tr>
        <w:tc>
          <w:tcPr>
            <w:tcW w:w="2194" w:type="dxa"/>
            <w:vMerge w:val="restart"/>
          </w:tcPr>
          <w:p>
            <w:pPr>
              <w:pStyle w:val="0"/>
              <w:jc w:val="center"/>
            </w:pPr>
            <w:r>
              <w:rPr>
                <w:sz w:val="20"/>
              </w:rPr>
              <w:t xml:space="preserve">Муниципальные районы и городские округа</w:t>
            </w:r>
          </w:p>
        </w:tc>
        <w:tc>
          <w:tcPr>
            <w:gridSpan w:val="2"/>
            <w:tcW w:w="2093" w:type="dxa"/>
          </w:tcPr>
          <w:p>
            <w:pPr>
              <w:pStyle w:val="0"/>
              <w:jc w:val="center"/>
            </w:pPr>
            <w:r>
              <w:rPr>
                <w:sz w:val="20"/>
              </w:rPr>
              <w:t xml:space="preserve">2013 год</w:t>
            </w:r>
          </w:p>
        </w:tc>
        <w:tc>
          <w:tcPr>
            <w:gridSpan w:val="2"/>
            <w:tcW w:w="2093" w:type="dxa"/>
          </w:tcPr>
          <w:p>
            <w:pPr>
              <w:pStyle w:val="0"/>
              <w:jc w:val="center"/>
            </w:pPr>
            <w:r>
              <w:rPr>
                <w:sz w:val="20"/>
              </w:rPr>
              <w:t xml:space="preserve">2014 год</w:t>
            </w:r>
          </w:p>
        </w:tc>
        <w:tc>
          <w:tcPr>
            <w:gridSpan w:val="2"/>
            <w:tcW w:w="2093" w:type="dxa"/>
          </w:tcPr>
          <w:p>
            <w:pPr>
              <w:pStyle w:val="0"/>
              <w:jc w:val="center"/>
            </w:pPr>
            <w:r>
              <w:rPr>
                <w:sz w:val="20"/>
              </w:rPr>
              <w:t xml:space="preserve">2015 год</w:t>
            </w:r>
          </w:p>
        </w:tc>
        <w:tc>
          <w:tcPr>
            <w:gridSpan w:val="2"/>
            <w:tcW w:w="2093" w:type="dxa"/>
          </w:tcPr>
          <w:p>
            <w:pPr>
              <w:pStyle w:val="0"/>
              <w:jc w:val="center"/>
            </w:pPr>
            <w:r>
              <w:rPr>
                <w:sz w:val="20"/>
              </w:rPr>
              <w:t xml:space="preserve">2016 год</w:t>
            </w:r>
          </w:p>
        </w:tc>
        <w:tc>
          <w:tcPr>
            <w:gridSpan w:val="2"/>
            <w:tcW w:w="2093" w:type="dxa"/>
          </w:tcPr>
          <w:p>
            <w:pPr>
              <w:pStyle w:val="0"/>
              <w:jc w:val="center"/>
            </w:pPr>
            <w:r>
              <w:rPr>
                <w:sz w:val="20"/>
              </w:rPr>
              <w:t xml:space="preserve">2017 год</w:t>
            </w:r>
          </w:p>
        </w:tc>
      </w:tr>
      <w:tr>
        <w:tc>
          <w:tcPr>
            <w:vMerge w:val="continue"/>
          </w:tcPr>
          <w:p/>
        </w:tc>
        <w:tc>
          <w:tcPr>
            <w:tcW w:w="1114" w:type="dxa"/>
          </w:tcPr>
          <w:p>
            <w:pPr>
              <w:pStyle w:val="0"/>
              <w:jc w:val="center"/>
            </w:pPr>
            <w:r>
              <w:rPr>
                <w:sz w:val="20"/>
              </w:rPr>
              <w:t xml:space="preserve">абс. число умерших от ЗНО</w:t>
            </w:r>
          </w:p>
        </w:tc>
        <w:tc>
          <w:tcPr>
            <w:tcW w:w="979" w:type="dxa"/>
          </w:tcPr>
          <w:p>
            <w:pPr>
              <w:pStyle w:val="0"/>
              <w:jc w:val="center"/>
            </w:pPr>
            <w:r>
              <w:rPr>
                <w:sz w:val="20"/>
              </w:rPr>
              <w:t xml:space="preserve">грубый показ. на 100 тыс.</w:t>
            </w:r>
          </w:p>
        </w:tc>
        <w:tc>
          <w:tcPr>
            <w:tcW w:w="1114" w:type="dxa"/>
          </w:tcPr>
          <w:p>
            <w:pPr>
              <w:pStyle w:val="0"/>
              <w:jc w:val="center"/>
            </w:pPr>
            <w:r>
              <w:rPr>
                <w:sz w:val="20"/>
              </w:rPr>
              <w:t xml:space="preserve">абс. число умерших от ЗНО</w:t>
            </w:r>
          </w:p>
        </w:tc>
        <w:tc>
          <w:tcPr>
            <w:tcW w:w="979" w:type="dxa"/>
          </w:tcPr>
          <w:p>
            <w:pPr>
              <w:pStyle w:val="0"/>
              <w:jc w:val="center"/>
            </w:pPr>
            <w:r>
              <w:rPr>
                <w:sz w:val="20"/>
              </w:rPr>
              <w:t xml:space="preserve">грубый показ. на 100 тыс.</w:t>
            </w:r>
          </w:p>
        </w:tc>
        <w:tc>
          <w:tcPr>
            <w:tcW w:w="1114" w:type="dxa"/>
          </w:tcPr>
          <w:p>
            <w:pPr>
              <w:pStyle w:val="0"/>
              <w:jc w:val="center"/>
            </w:pPr>
            <w:r>
              <w:rPr>
                <w:sz w:val="20"/>
              </w:rPr>
              <w:t xml:space="preserve">абс. число умерших от ЗНО</w:t>
            </w:r>
          </w:p>
        </w:tc>
        <w:tc>
          <w:tcPr>
            <w:tcW w:w="979" w:type="dxa"/>
          </w:tcPr>
          <w:p>
            <w:pPr>
              <w:pStyle w:val="0"/>
              <w:jc w:val="center"/>
            </w:pPr>
            <w:r>
              <w:rPr>
                <w:sz w:val="20"/>
              </w:rPr>
              <w:t xml:space="preserve">грубый показ. на 100 тыс.</w:t>
            </w:r>
          </w:p>
        </w:tc>
        <w:tc>
          <w:tcPr>
            <w:tcW w:w="1114" w:type="dxa"/>
          </w:tcPr>
          <w:p>
            <w:pPr>
              <w:pStyle w:val="0"/>
              <w:jc w:val="center"/>
            </w:pPr>
            <w:r>
              <w:rPr>
                <w:sz w:val="20"/>
              </w:rPr>
              <w:t xml:space="preserve">абс. число умерших от ЗНО</w:t>
            </w:r>
          </w:p>
        </w:tc>
        <w:tc>
          <w:tcPr>
            <w:tcW w:w="979" w:type="dxa"/>
          </w:tcPr>
          <w:p>
            <w:pPr>
              <w:pStyle w:val="0"/>
              <w:jc w:val="center"/>
            </w:pPr>
            <w:r>
              <w:rPr>
                <w:sz w:val="20"/>
              </w:rPr>
              <w:t xml:space="preserve">грубый показ. на 100 тыс.</w:t>
            </w:r>
          </w:p>
        </w:tc>
        <w:tc>
          <w:tcPr>
            <w:tcW w:w="1114" w:type="dxa"/>
          </w:tcPr>
          <w:p>
            <w:pPr>
              <w:pStyle w:val="0"/>
              <w:jc w:val="center"/>
            </w:pPr>
            <w:r>
              <w:rPr>
                <w:sz w:val="20"/>
              </w:rPr>
              <w:t xml:space="preserve">абс. число умерших от ЗНО</w:t>
            </w:r>
          </w:p>
        </w:tc>
        <w:tc>
          <w:tcPr>
            <w:tcW w:w="979" w:type="dxa"/>
          </w:tcPr>
          <w:p>
            <w:pPr>
              <w:pStyle w:val="0"/>
              <w:jc w:val="center"/>
            </w:pPr>
            <w:r>
              <w:rPr>
                <w:sz w:val="20"/>
              </w:rPr>
              <w:t xml:space="preserve">грубый показ. на 100 тыс.</w:t>
            </w:r>
          </w:p>
        </w:tc>
      </w:tr>
      <w:tr>
        <w:tc>
          <w:tcPr>
            <w:gridSpan w:val="11"/>
            <w:tcW w:w="12659" w:type="dxa"/>
          </w:tcPr>
          <w:p>
            <w:pPr>
              <w:pStyle w:val="0"/>
            </w:pPr>
            <w:r>
              <w:rPr>
                <w:sz w:val="20"/>
              </w:rPr>
              <w:t xml:space="preserve">Онкологический центр (г. Ханты-Мансийск)</w:t>
            </w:r>
          </w:p>
        </w:tc>
      </w:tr>
      <w:tr>
        <w:tc>
          <w:tcPr>
            <w:tcW w:w="2194" w:type="dxa"/>
          </w:tcPr>
          <w:p>
            <w:pPr>
              <w:pStyle w:val="0"/>
            </w:pPr>
            <w:r>
              <w:rPr>
                <w:sz w:val="20"/>
              </w:rPr>
              <w:t xml:space="preserve">Ханты-Мансийск</w:t>
            </w:r>
          </w:p>
        </w:tc>
        <w:tc>
          <w:tcPr>
            <w:tcW w:w="1114" w:type="dxa"/>
          </w:tcPr>
          <w:p>
            <w:pPr>
              <w:pStyle w:val="0"/>
            </w:pPr>
            <w:r>
              <w:rPr>
                <w:sz w:val="20"/>
              </w:rPr>
              <w:t xml:space="preserve">85</w:t>
            </w:r>
          </w:p>
        </w:tc>
        <w:tc>
          <w:tcPr>
            <w:tcW w:w="979" w:type="dxa"/>
          </w:tcPr>
          <w:p>
            <w:pPr>
              <w:pStyle w:val="0"/>
            </w:pPr>
            <w:r>
              <w:rPr>
                <w:sz w:val="20"/>
              </w:rPr>
              <w:t xml:space="preserve">92,2</w:t>
            </w:r>
          </w:p>
        </w:tc>
        <w:tc>
          <w:tcPr>
            <w:tcW w:w="1114" w:type="dxa"/>
          </w:tcPr>
          <w:p>
            <w:pPr>
              <w:pStyle w:val="0"/>
            </w:pPr>
            <w:r>
              <w:rPr>
                <w:sz w:val="20"/>
              </w:rPr>
              <w:t xml:space="preserve">104</w:t>
            </w:r>
          </w:p>
        </w:tc>
        <w:tc>
          <w:tcPr>
            <w:tcW w:w="979" w:type="dxa"/>
          </w:tcPr>
          <w:p>
            <w:pPr>
              <w:pStyle w:val="0"/>
            </w:pPr>
            <w:r>
              <w:rPr>
                <w:sz w:val="20"/>
              </w:rPr>
              <w:t xml:space="preserve">110,2</w:t>
            </w:r>
          </w:p>
        </w:tc>
        <w:tc>
          <w:tcPr>
            <w:tcW w:w="1114" w:type="dxa"/>
          </w:tcPr>
          <w:p>
            <w:pPr>
              <w:pStyle w:val="0"/>
            </w:pPr>
            <w:r>
              <w:rPr>
                <w:sz w:val="20"/>
              </w:rPr>
              <w:t xml:space="preserve">75</w:t>
            </w:r>
          </w:p>
        </w:tc>
        <w:tc>
          <w:tcPr>
            <w:tcW w:w="979" w:type="dxa"/>
          </w:tcPr>
          <w:p>
            <w:pPr>
              <w:pStyle w:val="0"/>
            </w:pPr>
            <w:r>
              <w:rPr>
                <w:sz w:val="20"/>
              </w:rPr>
              <w:t xml:space="preserve">78</w:t>
            </w:r>
          </w:p>
        </w:tc>
        <w:tc>
          <w:tcPr>
            <w:tcW w:w="1114" w:type="dxa"/>
          </w:tcPr>
          <w:p>
            <w:pPr>
              <w:pStyle w:val="0"/>
            </w:pPr>
            <w:r>
              <w:rPr>
                <w:sz w:val="20"/>
              </w:rPr>
              <w:t xml:space="preserve">75</w:t>
            </w:r>
          </w:p>
        </w:tc>
        <w:tc>
          <w:tcPr>
            <w:tcW w:w="979" w:type="dxa"/>
          </w:tcPr>
          <w:p>
            <w:pPr>
              <w:pStyle w:val="0"/>
            </w:pPr>
            <w:r>
              <w:rPr>
                <w:sz w:val="20"/>
              </w:rPr>
              <w:t xml:space="preserve">78</w:t>
            </w:r>
          </w:p>
        </w:tc>
        <w:tc>
          <w:tcPr>
            <w:tcW w:w="1114" w:type="dxa"/>
          </w:tcPr>
          <w:p>
            <w:pPr>
              <w:pStyle w:val="0"/>
            </w:pPr>
            <w:r>
              <w:rPr>
                <w:sz w:val="20"/>
              </w:rPr>
              <w:t xml:space="preserve">106</w:t>
            </w:r>
          </w:p>
        </w:tc>
        <w:tc>
          <w:tcPr>
            <w:tcW w:w="979" w:type="dxa"/>
          </w:tcPr>
          <w:p>
            <w:pPr>
              <w:pStyle w:val="0"/>
            </w:pPr>
            <w:r>
              <w:rPr>
                <w:sz w:val="20"/>
              </w:rPr>
              <w:t xml:space="preserve">108,7</w:t>
            </w:r>
          </w:p>
        </w:tc>
      </w:tr>
      <w:tr>
        <w:tc>
          <w:tcPr>
            <w:tcW w:w="2194" w:type="dxa"/>
          </w:tcPr>
          <w:p>
            <w:pPr>
              <w:pStyle w:val="0"/>
            </w:pPr>
            <w:r>
              <w:rPr>
                <w:sz w:val="20"/>
              </w:rPr>
              <w:t xml:space="preserve">Нягань</w:t>
            </w:r>
          </w:p>
        </w:tc>
        <w:tc>
          <w:tcPr>
            <w:tcW w:w="1114" w:type="dxa"/>
          </w:tcPr>
          <w:p>
            <w:pPr>
              <w:pStyle w:val="0"/>
            </w:pPr>
            <w:r>
              <w:rPr>
                <w:sz w:val="20"/>
              </w:rPr>
              <w:t xml:space="preserve">83</w:t>
            </w:r>
          </w:p>
        </w:tc>
        <w:tc>
          <w:tcPr>
            <w:tcW w:w="979" w:type="dxa"/>
          </w:tcPr>
          <w:p>
            <w:pPr>
              <w:pStyle w:val="0"/>
            </w:pPr>
            <w:r>
              <w:rPr>
                <w:sz w:val="20"/>
              </w:rPr>
              <w:t xml:space="preserve">148,8</w:t>
            </w:r>
          </w:p>
        </w:tc>
        <w:tc>
          <w:tcPr>
            <w:tcW w:w="1114" w:type="dxa"/>
          </w:tcPr>
          <w:p>
            <w:pPr>
              <w:pStyle w:val="0"/>
            </w:pPr>
            <w:r>
              <w:rPr>
                <w:sz w:val="20"/>
              </w:rPr>
              <w:t xml:space="preserve">74</w:t>
            </w:r>
          </w:p>
        </w:tc>
        <w:tc>
          <w:tcPr>
            <w:tcW w:w="979" w:type="dxa"/>
          </w:tcPr>
          <w:p>
            <w:pPr>
              <w:pStyle w:val="0"/>
            </w:pPr>
            <w:r>
              <w:rPr>
                <w:sz w:val="20"/>
              </w:rPr>
              <w:t xml:space="preserve">131,5</w:t>
            </w:r>
          </w:p>
        </w:tc>
        <w:tc>
          <w:tcPr>
            <w:tcW w:w="1114" w:type="dxa"/>
          </w:tcPr>
          <w:p>
            <w:pPr>
              <w:pStyle w:val="0"/>
            </w:pPr>
            <w:r>
              <w:rPr>
                <w:sz w:val="20"/>
              </w:rPr>
              <w:t xml:space="preserve">82</w:t>
            </w:r>
          </w:p>
        </w:tc>
        <w:tc>
          <w:tcPr>
            <w:tcW w:w="979" w:type="dxa"/>
          </w:tcPr>
          <w:p>
            <w:pPr>
              <w:pStyle w:val="0"/>
            </w:pPr>
            <w:r>
              <w:rPr>
                <w:sz w:val="20"/>
              </w:rPr>
              <w:t xml:space="preserve">144,2</w:t>
            </w:r>
          </w:p>
        </w:tc>
        <w:tc>
          <w:tcPr>
            <w:tcW w:w="1114" w:type="dxa"/>
          </w:tcPr>
          <w:p>
            <w:pPr>
              <w:pStyle w:val="0"/>
            </w:pPr>
            <w:r>
              <w:rPr>
                <w:sz w:val="20"/>
              </w:rPr>
              <w:t xml:space="preserve">80</w:t>
            </w:r>
          </w:p>
        </w:tc>
        <w:tc>
          <w:tcPr>
            <w:tcW w:w="979" w:type="dxa"/>
          </w:tcPr>
          <w:p>
            <w:pPr>
              <w:pStyle w:val="0"/>
            </w:pPr>
            <w:r>
              <w:rPr>
                <w:sz w:val="20"/>
              </w:rPr>
              <w:t xml:space="preserve">144,2</w:t>
            </w:r>
          </w:p>
        </w:tc>
        <w:tc>
          <w:tcPr>
            <w:tcW w:w="1114" w:type="dxa"/>
          </w:tcPr>
          <w:p>
            <w:pPr>
              <w:pStyle w:val="0"/>
            </w:pPr>
            <w:r>
              <w:rPr>
                <w:sz w:val="20"/>
              </w:rPr>
              <w:t xml:space="preserve">92</w:t>
            </w:r>
          </w:p>
        </w:tc>
        <w:tc>
          <w:tcPr>
            <w:tcW w:w="979" w:type="dxa"/>
          </w:tcPr>
          <w:p>
            <w:pPr>
              <w:pStyle w:val="0"/>
            </w:pPr>
            <w:r>
              <w:rPr>
                <w:sz w:val="20"/>
              </w:rPr>
              <w:t xml:space="preserve">160,3</w:t>
            </w:r>
          </w:p>
        </w:tc>
      </w:tr>
      <w:tr>
        <w:tc>
          <w:tcPr>
            <w:tcW w:w="2194" w:type="dxa"/>
          </w:tcPr>
          <w:p>
            <w:pPr>
              <w:pStyle w:val="0"/>
            </w:pPr>
            <w:r>
              <w:rPr>
                <w:sz w:val="20"/>
              </w:rPr>
              <w:t xml:space="preserve">Урай</w:t>
            </w:r>
          </w:p>
        </w:tc>
        <w:tc>
          <w:tcPr>
            <w:tcW w:w="1114" w:type="dxa"/>
          </w:tcPr>
          <w:p>
            <w:pPr>
              <w:pStyle w:val="0"/>
            </w:pPr>
            <w:r>
              <w:rPr>
                <w:sz w:val="20"/>
              </w:rPr>
              <w:t xml:space="preserve">56</w:t>
            </w:r>
          </w:p>
        </w:tc>
        <w:tc>
          <w:tcPr>
            <w:tcW w:w="979" w:type="dxa"/>
          </w:tcPr>
          <w:p>
            <w:pPr>
              <w:pStyle w:val="0"/>
            </w:pPr>
            <w:r>
              <w:rPr>
                <w:sz w:val="20"/>
              </w:rPr>
              <w:t xml:space="preserve">140,9</w:t>
            </w:r>
          </w:p>
        </w:tc>
        <w:tc>
          <w:tcPr>
            <w:tcW w:w="1114" w:type="dxa"/>
          </w:tcPr>
          <w:p>
            <w:pPr>
              <w:pStyle w:val="0"/>
            </w:pPr>
            <w:r>
              <w:rPr>
                <w:sz w:val="20"/>
              </w:rPr>
              <w:t xml:space="preserve">65</w:t>
            </w:r>
          </w:p>
        </w:tc>
        <w:tc>
          <w:tcPr>
            <w:tcW w:w="979" w:type="dxa"/>
          </w:tcPr>
          <w:p>
            <w:pPr>
              <w:pStyle w:val="0"/>
            </w:pPr>
            <w:r>
              <w:rPr>
                <w:sz w:val="20"/>
              </w:rPr>
              <w:t xml:space="preserve">162,1</w:t>
            </w:r>
          </w:p>
        </w:tc>
        <w:tc>
          <w:tcPr>
            <w:tcW w:w="1114" w:type="dxa"/>
          </w:tcPr>
          <w:p>
            <w:pPr>
              <w:pStyle w:val="0"/>
            </w:pPr>
            <w:r>
              <w:rPr>
                <w:sz w:val="20"/>
              </w:rPr>
              <w:t xml:space="preserve">64</w:t>
            </w:r>
          </w:p>
        </w:tc>
        <w:tc>
          <w:tcPr>
            <w:tcW w:w="979" w:type="dxa"/>
          </w:tcPr>
          <w:p>
            <w:pPr>
              <w:pStyle w:val="0"/>
            </w:pPr>
            <w:r>
              <w:rPr>
                <w:sz w:val="20"/>
              </w:rPr>
              <w:t xml:space="preserve">158,3</w:t>
            </w:r>
          </w:p>
        </w:tc>
        <w:tc>
          <w:tcPr>
            <w:tcW w:w="1114" w:type="dxa"/>
          </w:tcPr>
          <w:p>
            <w:pPr>
              <w:pStyle w:val="0"/>
            </w:pPr>
            <w:r>
              <w:rPr>
                <w:sz w:val="20"/>
              </w:rPr>
              <w:t xml:space="preserve">64</w:t>
            </w:r>
          </w:p>
        </w:tc>
        <w:tc>
          <w:tcPr>
            <w:tcW w:w="979" w:type="dxa"/>
          </w:tcPr>
          <w:p>
            <w:pPr>
              <w:pStyle w:val="0"/>
            </w:pPr>
            <w:r>
              <w:rPr>
                <w:sz w:val="20"/>
              </w:rPr>
              <w:t xml:space="preserve">158,3</w:t>
            </w:r>
          </w:p>
        </w:tc>
        <w:tc>
          <w:tcPr>
            <w:tcW w:w="1114" w:type="dxa"/>
          </w:tcPr>
          <w:p>
            <w:pPr>
              <w:pStyle w:val="0"/>
            </w:pPr>
            <w:r>
              <w:rPr>
                <w:sz w:val="20"/>
              </w:rPr>
              <w:t xml:space="preserve">76</w:t>
            </w:r>
          </w:p>
        </w:tc>
        <w:tc>
          <w:tcPr>
            <w:tcW w:w="979" w:type="dxa"/>
          </w:tcPr>
          <w:p>
            <w:pPr>
              <w:pStyle w:val="0"/>
            </w:pPr>
            <w:r>
              <w:rPr>
                <w:sz w:val="20"/>
              </w:rPr>
              <w:t xml:space="preserve">187,3</w:t>
            </w:r>
          </w:p>
        </w:tc>
      </w:tr>
      <w:tr>
        <w:tc>
          <w:tcPr>
            <w:tcW w:w="2194" w:type="dxa"/>
          </w:tcPr>
          <w:p>
            <w:pPr>
              <w:pStyle w:val="0"/>
            </w:pPr>
            <w:r>
              <w:rPr>
                <w:sz w:val="20"/>
              </w:rPr>
              <w:t xml:space="preserve">Югорск</w:t>
            </w:r>
          </w:p>
        </w:tc>
        <w:tc>
          <w:tcPr>
            <w:tcW w:w="1114" w:type="dxa"/>
          </w:tcPr>
          <w:p>
            <w:pPr>
              <w:pStyle w:val="0"/>
            </w:pPr>
            <w:r>
              <w:rPr>
                <w:sz w:val="20"/>
              </w:rPr>
              <w:t xml:space="preserve">36</w:t>
            </w:r>
          </w:p>
        </w:tc>
        <w:tc>
          <w:tcPr>
            <w:tcW w:w="979" w:type="dxa"/>
          </w:tcPr>
          <w:p>
            <w:pPr>
              <w:pStyle w:val="0"/>
            </w:pPr>
            <w:r>
              <w:rPr>
                <w:sz w:val="20"/>
              </w:rPr>
              <w:t xml:space="preserve">101,2</w:t>
            </w:r>
          </w:p>
        </w:tc>
        <w:tc>
          <w:tcPr>
            <w:tcW w:w="1114" w:type="dxa"/>
          </w:tcPr>
          <w:p>
            <w:pPr>
              <w:pStyle w:val="0"/>
            </w:pPr>
            <w:r>
              <w:rPr>
                <w:sz w:val="20"/>
              </w:rPr>
              <w:t xml:space="preserve">57</w:t>
            </w:r>
          </w:p>
        </w:tc>
        <w:tc>
          <w:tcPr>
            <w:tcW w:w="979" w:type="dxa"/>
          </w:tcPr>
          <w:p>
            <w:pPr>
              <w:pStyle w:val="0"/>
            </w:pPr>
            <w:r>
              <w:rPr>
                <w:sz w:val="20"/>
              </w:rPr>
              <w:t xml:space="preserve">158</w:t>
            </w:r>
          </w:p>
        </w:tc>
        <w:tc>
          <w:tcPr>
            <w:tcW w:w="1114" w:type="dxa"/>
          </w:tcPr>
          <w:p>
            <w:pPr>
              <w:pStyle w:val="0"/>
            </w:pPr>
            <w:r>
              <w:rPr>
                <w:sz w:val="20"/>
              </w:rPr>
              <w:t xml:space="preserve">53</w:t>
            </w:r>
          </w:p>
        </w:tc>
        <w:tc>
          <w:tcPr>
            <w:tcW w:w="979" w:type="dxa"/>
          </w:tcPr>
          <w:p>
            <w:pPr>
              <w:pStyle w:val="0"/>
            </w:pPr>
            <w:r>
              <w:rPr>
                <w:sz w:val="20"/>
              </w:rPr>
              <w:t xml:space="preserve">145,1</w:t>
            </w:r>
          </w:p>
        </w:tc>
        <w:tc>
          <w:tcPr>
            <w:tcW w:w="1114" w:type="dxa"/>
          </w:tcPr>
          <w:p>
            <w:pPr>
              <w:pStyle w:val="0"/>
            </w:pPr>
            <w:r>
              <w:rPr>
                <w:sz w:val="20"/>
              </w:rPr>
              <w:t xml:space="preserve">53</w:t>
            </w:r>
          </w:p>
        </w:tc>
        <w:tc>
          <w:tcPr>
            <w:tcW w:w="979" w:type="dxa"/>
          </w:tcPr>
          <w:p>
            <w:pPr>
              <w:pStyle w:val="0"/>
            </w:pPr>
            <w:r>
              <w:rPr>
                <w:sz w:val="20"/>
              </w:rPr>
              <w:t xml:space="preserve">145,1</w:t>
            </w:r>
          </w:p>
        </w:tc>
        <w:tc>
          <w:tcPr>
            <w:tcW w:w="1114" w:type="dxa"/>
          </w:tcPr>
          <w:p>
            <w:pPr>
              <w:pStyle w:val="0"/>
            </w:pPr>
            <w:r>
              <w:rPr>
                <w:sz w:val="20"/>
              </w:rPr>
              <w:t xml:space="preserve">48</w:t>
            </w:r>
          </w:p>
        </w:tc>
        <w:tc>
          <w:tcPr>
            <w:tcW w:w="979" w:type="dxa"/>
          </w:tcPr>
          <w:p>
            <w:pPr>
              <w:pStyle w:val="0"/>
            </w:pPr>
            <w:r>
              <w:rPr>
                <w:sz w:val="20"/>
              </w:rPr>
              <w:t xml:space="preserve">130,1</w:t>
            </w:r>
          </w:p>
        </w:tc>
      </w:tr>
      <w:tr>
        <w:tc>
          <w:tcPr>
            <w:tcW w:w="2194" w:type="dxa"/>
          </w:tcPr>
          <w:p>
            <w:pPr>
              <w:pStyle w:val="0"/>
            </w:pPr>
            <w:r>
              <w:rPr>
                <w:sz w:val="20"/>
              </w:rPr>
              <w:t xml:space="preserve">Белоярский</w:t>
            </w:r>
          </w:p>
        </w:tc>
        <w:tc>
          <w:tcPr>
            <w:tcW w:w="1114" w:type="dxa"/>
          </w:tcPr>
          <w:p>
            <w:pPr>
              <w:pStyle w:val="0"/>
            </w:pPr>
            <w:r>
              <w:rPr>
                <w:sz w:val="20"/>
              </w:rPr>
              <w:t xml:space="preserve">34</w:t>
            </w:r>
          </w:p>
        </w:tc>
        <w:tc>
          <w:tcPr>
            <w:tcW w:w="979" w:type="dxa"/>
          </w:tcPr>
          <w:p>
            <w:pPr>
              <w:pStyle w:val="0"/>
            </w:pPr>
            <w:r>
              <w:rPr>
                <w:sz w:val="20"/>
              </w:rPr>
              <w:t xml:space="preserve">113,7</w:t>
            </w:r>
          </w:p>
        </w:tc>
        <w:tc>
          <w:tcPr>
            <w:tcW w:w="1114" w:type="dxa"/>
          </w:tcPr>
          <w:p>
            <w:pPr>
              <w:pStyle w:val="0"/>
            </w:pPr>
            <w:r>
              <w:rPr>
                <w:sz w:val="20"/>
              </w:rPr>
              <w:t xml:space="preserve">26</w:t>
            </w:r>
          </w:p>
        </w:tc>
        <w:tc>
          <w:tcPr>
            <w:tcW w:w="979" w:type="dxa"/>
          </w:tcPr>
          <w:p>
            <w:pPr>
              <w:pStyle w:val="0"/>
            </w:pPr>
            <w:r>
              <w:rPr>
                <w:sz w:val="20"/>
              </w:rPr>
              <w:t xml:space="preserve">87,3</w:t>
            </w:r>
          </w:p>
        </w:tc>
        <w:tc>
          <w:tcPr>
            <w:tcW w:w="1114" w:type="dxa"/>
          </w:tcPr>
          <w:p>
            <w:pPr>
              <w:pStyle w:val="0"/>
            </w:pPr>
            <w:r>
              <w:rPr>
                <w:sz w:val="20"/>
              </w:rPr>
              <w:t xml:space="preserve">40</w:t>
            </w:r>
          </w:p>
        </w:tc>
        <w:tc>
          <w:tcPr>
            <w:tcW w:w="979" w:type="dxa"/>
          </w:tcPr>
          <w:p>
            <w:pPr>
              <w:pStyle w:val="0"/>
            </w:pPr>
            <w:r>
              <w:rPr>
                <w:sz w:val="20"/>
              </w:rPr>
              <w:t xml:space="preserve">134,9</w:t>
            </w:r>
          </w:p>
        </w:tc>
        <w:tc>
          <w:tcPr>
            <w:tcW w:w="1114" w:type="dxa"/>
          </w:tcPr>
          <w:p>
            <w:pPr>
              <w:pStyle w:val="0"/>
            </w:pPr>
            <w:r>
              <w:rPr>
                <w:sz w:val="20"/>
              </w:rPr>
              <w:t xml:space="preserve">40</w:t>
            </w:r>
          </w:p>
        </w:tc>
        <w:tc>
          <w:tcPr>
            <w:tcW w:w="979" w:type="dxa"/>
          </w:tcPr>
          <w:p>
            <w:pPr>
              <w:pStyle w:val="0"/>
            </w:pPr>
            <w:r>
              <w:rPr>
                <w:sz w:val="20"/>
              </w:rPr>
              <w:t xml:space="preserve">134,9</w:t>
            </w:r>
          </w:p>
        </w:tc>
        <w:tc>
          <w:tcPr>
            <w:tcW w:w="1114" w:type="dxa"/>
          </w:tcPr>
          <w:p>
            <w:pPr>
              <w:pStyle w:val="0"/>
            </w:pPr>
            <w:r>
              <w:rPr>
                <w:sz w:val="20"/>
              </w:rPr>
              <w:t xml:space="preserve">30</w:t>
            </w:r>
          </w:p>
        </w:tc>
        <w:tc>
          <w:tcPr>
            <w:tcW w:w="979" w:type="dxa"/>
          </w:tcPr>
          <w:p>
            <w:pPr>
              <w:pStyle w:val="0"/>
            </w:pPr>
            <w:r>
              <w:rPr>
                <w:sz w:val="20"/>
              </w:rPr>
              <w:t xml:space="preserve">100,9</w:t>
            </w:r>
          </w:p>
        </w:tc>
      </w:tr>
      <w:tr>
        <w:tc>
          <w:tcPr>
            <w:tcW w:w="2194" w:type="dxa"/>
          </w:tcPr>
          <w:p>
            <w:pPr>
              <w:pStyle w:val="0"/>
            </w:pPr>
            <w:r>
              <w:rPr>
                <w:sz w:val="20"/>
              </w:rPr>
              <w:t xml:space="preserve">Березовский</w:t>
            </w:r>
          </w:p>
        </w:tc>
        <w:tc>
          <w:tcPr>
            <w:tcW w:w="1114" w:type="dxa"/>
          </w:tcPr>
          <w:p>
            <w:pPr>
              <w:pStyle w:val="0"/>
            </w:pPr>
            <w:r>
              <w:rPr>
                <w:sz w:val="20"/>
              </w:rPr>
              <w:t xml:space="preserve">33</w:t>
            </w:r>
          </w:p>
        </w:tc>
        <w:tc>
          <w:tcPr>
            <w:tcW w:w="979" w:type="dxa"/>
          </w:tcPr>
          <w:p>
            <w:pPr>
              <w:pStyle w:val="0"/>
            </w:pPr>
            <w:r>
              <w:rPr>
                <w:sz w:val="20"/>
              </w:rPr>
              <w:t xml:space="preserve">134,7</w:t>
            </w:r>
          </w:p>
        </w:tc>
        <w:tc>
          <w:tcPr>
            <w:tcW w:w="1114" w:type="dxa"/>
          </w:tcPr>
          <w:p>
            <w:pPr>
              <w:pStyle w:val="0"/>
            </w:pPr>
            <w:r>
              <w:rPr>
                <w:sz w:val="20"/>
              </w:rPr>
              <w:t xml:space="preserve">33</w:t>
            </w:r>
          </w:p>
        </w:tc>
        <w:tc>
          <w:tcPr>
            <w:tcW w:w="979" w:type="dxa"/>
          </w:tcPr>
          <w:p>
            <w:pPr>
              <w:pStyle w:val="0"/>
            </w:pPr>
            <w:r>
              <w:rPr>
                <w:sz w:val="20"/>
              </w:rPr>
              <w:t xml:space="preserve">137</w:t>
            </w:r>
          </w:p>
        </w:tc>
        <w:tc>
          <w:tcPr>
            <w:tcW w:w="1114" w:type="dxa"/>
          </w:tcPr>
          <w:p>
            <w:pPr>
              <w:pStyle w:val="0"/>
            </w:pPr>
            <w:r>
              <w:rPr>
                <w:sz w:val="20"/>
              </w:rPr>
              <w:t xml:space="preserve">49</w:t>
            </w:r>
          </w:p>
        </w:tc>
        <w:tc>
          <w:tcPr>
            <w:tcW w:w="979" w:type="dxa"/>
          </w:tcPr>
          <w:p>
            <w:pPr>
              <w:pStyle w:val="0"/>
            </w:pPr>
            <w:r>
              <w:rPr>
                <w:sz w:val="20"/>
              </w:rPr>
              <w:t xml:space="preserve">208</w:t>
            </w:r>
          </w:p>
        </w:tc>
        <w:tc>
          <w:tcPr>
            <w:tcW w:w="1114" w:type="dxa"/>
          </w:tcPr>
          <w:p>
            <w:pPr>
              <w:pStyle w:val="0"/>
            </w:pPr>
            <w:r>
              <w:rPr>
                <w:sz w:val="20"/>
              </w:rPr>
              <w:t xml:space="preserve">49</w:t>
            </w:r>
          </w:p>
        </w:tc>
        <w:tc>
          <w:tcPr>
            <w:tcW w:w="979" w:type="dxa"/>
          </w:tcPr>
          <w:p>
            <w:pPr>
              <w:pStyle w:val="0"/>
            </w:pPr>
            <w:r>
              <w:rPr>
                <w:sz w:val="20"/>
              </w:rPr>
              <w:t xml:space="preserve">208</w:t>
            </w:r>
          </w:p>
        </w:tc>
        <w:tc>
          <w:tcPr>
            <w:tcW w:w="1114" w:type="dxa"/>
          </w:tcPr>
          <w:p>
            <w:pPr>
              <w:pStyle w:val="0"/>
            </w:pPr>
            <w:r>
              <w:rPr>
                <w:sz w:val="20"/>
              </w:rPr>
              <w:t xml:space="preserve">38</w:t>
            </w:r>
          </w:p>
        </w:tc>
        <w:tc>
          <w:tcPr>
            <w:tcW w:w="979" w:type="dxa"/>
          </w:tcPr>
          <w:p>
            <w:pPr>
              <w:pStyle w:val="0"/>
            </w:pPr>
            <w:r>
              <w:rPr>
                <w:sz w:val="20"/>
              </w:rPr>
              <w:t xml:space="preserve">163</w:t>
            </w:r>
          </w:p>
        </w:tc>
      </w:tr>
      <w:tr>
        <w:tc>
          <w:tcPr>
            <w:tcW w:w="2194" w:type="dxa"/>
          </w:tcPr>
          <w:p>
            <w:pPr>
              <w:pStyle w:val="0"/>
            </w:pPr>
            <w:r>
              <w:rPr>
                <w:sz w:val="20"/>
              </w:rPr>
              <w:t xml:space="preserve">Кондинский</w:t>
            </w:r>
          </w:p>
        </w:tc>
        <w:tc>
          <w:tcPr>
            <w:tcW w:w="1114" w:type="dxa"/>
          </w:tcPr>
          <w:p>
            <w:pPr>
              <w:pStyle w:val="0"/>
            </w:pPr>
            <w:r>
              <w:rPr>
                <w:sz w:val="20"/>
              </w:rPr>
              <w:t xml:space="preserve">74</w:t>
            </w:r>
          </w:p>
        </w:tc>
        <w:tc>
          <w:tcPr>
            <w:tcW w:w="979" w:type="dxa"/>
          </w:tcPr>
          <w:p>
            <w:pPr>
              <w:pStyle w:val="0"/>
            </w:pPr>
            <w:r>
              <w:rPr>
                <w:sz w:val="20"/>
              </w:rPr>
              <w:t xml:space="preserve">225,1</w:t>
            </w:r>
          </w:p>
        </w:tc>
        <w:tc>
          <w:tcPr>
            <w:tcW w:w="1114" w:type="dxa"/>
          </w:tcPr>
          <w:p>
            <w:pPr>
              <w:pStyle w:val="0"/>
            </w:pPr>
            <w:r>
              <w:rPr>
                <w:sz w:val="20"/>
              </w:rPr>
              <w:t xml:space="preserve">69</w:t>
            </w:r>
          </w:p>
        </w:tc>
        <w:tc>
          <w:tcPr>
            <w:tcW w:w="979" w:type="dxa"/>
          </w:tcPr>
          <w:p>
            <w:pPr>
              <w:pStyle w:val="0"/>
            </w:pPr>
            <w:r>
              <w:rPr>
                <w:sz w:val="20"/>
              </w:rPr>
              <w:t xml:space="preserve">213,1</w:t>
            </w:r>
          </w:p>
        </w:tc>
        <w:tc>
          <w:tcPr>
            <w:tcW w:w="1114" w:type="dxa"/>
          </w:tcPr>
          <w:p>
            <w:pPr>
              <w:pStyle w:val="0"/>
            </w:pPr>
            <w:r>
              <w:rPr>
                <w:sz w:val="20"/>
              </w:rPr>
              <w:t xml:space="preserve">96</w:t>
            </w:r>
          </w:p>
        </w:tc>
        <w:tc>
          <w:tcPr>
            <w:tcW w:w="979" w:type="dxa"/>
          </w:tcPr>
          <w:p>
            <w:pPr>
              <w:pStyle w:val="0"/>
            </w:pPr>
            <w:r>
              <w:rPr>
                <w:sz w:val="20"/>
              </w:rPr>
              <w:t xml:space="preserve">301,4</w:t>
            </w:r>
          </w:p>
        </w:tc>
        <w:tc>
          <w:tcPr>
            <w:tcW w:w="1114" w:type="dxa"/>
          </w:tcPr>
          <w:p>
            <w:pPr>
              <w:pStyle w:val="0"/>
            </w:pPr>
            <w:r>
              <w:rPr>
                <w:sz w:val="20"/>
              </w:rPr>
              <w:t xml:space="preserve">96</w:t>
            </w:r>
          </w:p>
        </w:tc>
        <w:tc>
          <w:tcPr>
            <w:tcW w:w="979" w:type="dxa"/>
          </w:tcPr>
          <w:p>
            <w:pPr>
              <w:pStyle w:val="0"/>
            </w:pPr>
            <w:r>
              <w:rPr>
                <w:sz w:val="20"/>
              </w:rPr>
              <w:t xml:space="preserve">301,4</w:t>
            </w:r>
          </w:p>
        </w:tc>
        <w:tc>
          <w:tcPr>
            <w:tcW w:w="1114" w:type="dxa"/>
          </w:tcPr>
          <w:p>
            <w:pPr>
              <w:pStyle w:val="0"/>
            </w:pPr>
            <w:r>
              <w:rPr>
                <w:sz w:val="20"/>
              </w:rPr>
              <w:t xml:space="preserve">61</w:t>
            </w:r>
          </w:p>
        </w:tc>
        <w:tc>
          <w:tcPr>
            <w:tcW w:w="979" w:type="dxa"/>
          </w:tcPr>
          <w:p>
            <w:pPr>
              <w:pStyle w:val="0"/>
            </w:pPr>
            <w:r>
              <w:rPr>
                <w:sz w:val="20"/>
              </w:rPr>
              <w:t xml:space="preserve">192,6</w:t>
            </w:r>
          </w:p>
        </w:tc>
      </w:tr>
      <w:tr>
        <w:tc>
          <w:tcPr>
            <w:tcW w:w="2194" w:type="dxa"/>
          </w:tcPr>
          <w:p>
            <w:pPr>
              <w:pStyle w:val="0"/>
            </w:pPr>
            <w:r>
              <w:rPr>
                <w:sz w:val="20"/>
              </w:rPr>
              <w:t xml:space="preserve">Октябрьский</w:t>
            </w:r>
          </w:p>
        </w:tc>
        <w:tc>
          <w:tcPr>
            <w:tcW w:w="1114" w:type="dxa"/>
          </w:tcPr>
          <w:p>
            <w:pPr>
              <w:pStyle w:val="0"/>
            </w:pPr>
            <w:r>
              <w:rPr>
                <w:sz w:val="20"/>
              </w:rPr>
              <w:t xml:space="preserve">50</w:t>
            </w:r>
          </w:p>
        </w:tc>
        <w:tc>
          <w:tcPr>
            <w:tcW w:w="979" w:type="dxa"/>
          </w:tcPr>
          <w:p>
            <w:pPr>
              <w:pStyle w:val="0"/>
            </w:pPr>
            <w:r>
              <w:rPr>
                <w:sz w:val="20"/>
              </w:rPr>
              <w:t xml:space="preserve">164,5</w:t>
            </w:r>
          </w:p>
        </w:tc>
        <w:tc>
          <w:tcPr>
            <w:tcW w:w="1114" w:type="dxa"/>
          </w:tcPr>
          <w:p>
            <w:pPr>
              <w:pStyle w:val="0"/>
            </w:pPr>
            <w:r>
              <w:rPr>
                <w:sz w:val="20"/>
              </w:rPr>
              <w:t xml:space="preserve">51</w:t>
            </w:r>
          </w:p>
        </w:tc>
        <w:tc>
          <w:tcPr>
            <w:tcW w:w="979" w:type="dxa"/>
          </w:tcPr>
          <w:p>
            <w:pPr>
              <w:pStyle w:val="0"/>
            </w:pPr>
            <w:r>
              <w:rPr>
                <w:sz w:val="20"/>
              </w:rPr>
              <w:t xml:space="preserve">171</w:t>
            </w:r>
          </w:p>
        </w:tc>
        <w:tc>
          <w:tcPr>
            <w:tcW w:w="1114" w:type="dxa"/>
          </w:tcPr>
          <w:p>
            <w:pPr>
              <w:pStyle w:val="0"/>
            </w:pPr>
            <w:r>
              <w:rPr>
                <w:sz w:val="20"/>
              </w:rPr>
              <w:t xml:space="preserve">50</w:t>
            </w:r>
          </w:p>
        </w:tc>
        <w:tc>
          <w:tcPr>
            <w:tcW w:w="979" w:type="dxa"/>
          </w:tcPr>
          <w:p>
            <w:pPr>
              <w:pStyle w:val="0"/>
            </w:pPr>
            <w:r>
              <w:rPr>
                <w:sz w:val="20"/>
              </w:rPr>
              <w:t xml:space="preserve">170</w:t>
            </w:r>
          </w:p>
        </w:tc>
        <w:tc>
          <w:tcPr>
            <w:tcW w:w="1114" w:type="dxa"/>
          </w:tcPr>
          <w:p>
            <w:pPr>
              <w:pStyle w:val="0"/>
            </w:pPr>
            <w:r>
              <w:rPr>
                <w:sz w:val="20"/>
              </w:rPr>
              <w:t xml:space="preserve">50</w:t>
            </w:r>
          </w:p>
        </w:tc>
        <w:tc>
          <w:tcPr>
            <w:tcW w:w="979" w:type="dxa"/>
          </w:tcPr>
          <w:p>
            <w:pPr>
              <w:pStyle w:val="0"/>
            </w:pPr>
            <w:r>
              <w:rPr>
                <w:sz w:val="20"/>
              </w:rPr>
              <w:t xml:space="preserve">170</w:t>
            </w:r>
          </w:p>
        </w:tc>
        <w:tc>
          <w:tcPr>
            <w:tcW w:w="1114" w:type="dxa"/>
          </w:tcPr>
          <w:p>
            <w:pPr>
              <w:pStyle w:val="0"/>
            </w:pPr>
            <w:r>
              <w:rPr>
                <w:sz w:val="20"/>
              </w:rPr>
              <w:t xml:space="preserve">48</w:t>
            </w:r>
          </w:p>
        </w:tc>
        <w:tc>
          <w:tcPr>
            <w:tcW w:w="979" w:type="dxa"/>
          </w:tcPr>
          <w:p>
            <w:pPr>
              <w:pStyle w:val="0"/>
            </w:pPr>
            <w:r>
              <w:rPr>
                <w:sz w:val="20"/>
              </w:rPr>
              <w:t xml:space="preserve">163,6</w:t>
            </w:r>
          </w:p>
        </w:tc>
      </w:tr>
      <w:tr>
        <w:tc>
          <w:tcPr>
            <w:tcW w:w="2194" w:type="dxa"/>
          </w:tcPr>
          <w:p>
            <w:pPr>
              <w:pStyle w:val="0"/>
            </w:pPr>
            <w:r>
              <w:rPr>
                <w:sz w:val="20"/>
              </w:rPr>
              <w:t xml:space="preserve">Советский</w:t>
            </w:r>
          </w:p>
        </w:tc>
        <w:tc>
          <w:tcPr>
            <w:tcW w:w="1114" w:type="dxa"/>
          </w:tcPr>
          <w:p>
            <w:pPr>
              <w:pStyle w:val="0"/>
            </w:pPr>
            <w:r>
              <w:rPr>
                <w:sz w:val="20"/>
              </w:rPr>
              <w:t xml:space="preserve">83</w:t>
            </w:r>
          </w:p>
        </w:tc>
        <w:tc>
          <w:tcPr>
            <w:tcW w:w="979" w:type="dxa"/>
          </w:tcPr>
          <w:p>
            <w:pPr>
              <w:pStyle w:val="0"/>
            </w:pPr>
            <w:r>
              <w:rPr>
                <w:sz w:val="20"/>
              </w:rPr>
              <w:t xml:space="preserve">171,9</w:t>
            </w:r>
          </w:p>
        </w:tc>
        <w:tc>
          <w:tcPr>
            <w:tcW w:w="1114" w:type="dxa"/>
          </w:tcPr>
          <w:p>
            <w:pPr>
              <w:pStyle w:val="0"/>
            </w:pPr>
            <w:r>
              <w:rPr>
                <w:sz w:val="20"/>
              </w:rPr>
              <w:t xml:space="preserve">105</w:t>
            </w:r>
          </w:p>
        </w:tc>
        <w:tc>
          <w:tcPr>
            <w:tcW w:w="979" w:type="dxa"/>
          </w:tcPr>
          <w:p>
            <w:pPr>
              <w:pStyle w:val="0"/>
            </w:pPr>
            <w:r>
              <w:rPr>
                <w:sz w:val="20"/>
              </w:rPr>
              <w:t xml:space="preserve">217</w:t>
            </w:r>
          </w:p>
        </w:tc>
        <w:tc>
          <w:tcPr>
            <w:tcW w:w="1114" w:type="dxa"/>
          </w:tcPr>
          <w:p>
            <w:pPr>
              <w:pStyle w:val="0"/>
            </w:pPr>
            <w:r>
              <w:rPr>
                <w:sz w:val="20"/>
              </w:rPr>
              <w:t xml:space="preserve">81</w:t>
            </w:r>
          </w:p>
        </w:tc>
        <w:tc>
          <w:tcPr>
            <w:tcW w:w="979" w:type="dxa"/>
          </w:tcPr>
          <w:p>
            <w:pPr>
              <w:pStyle w:val="0"/>
            </w:pPr>
            <w:r>
              <w:rPr>
                <w:sz w:val="20"/>
              </w:rPr>
              <w:t xml:space="preserve">166,7</w:t>
            </w:r>
          </w:p>
        </w:tc>
        <w:tc>
          <w:tcPr>
            <w:tcW w:w="1114" w:type="dxa"/>
          </w:tcPr>
          <w:p>
            <w:pPr>
              <w:pStyle w:val="0"/>
            </w:pPr>
            <w:r>
              <w:rPr>
                <w:sz w:val="20"/>
              </w:rPr>
              <w:t xml:space="preserve">81</w:t>
            </w:r>
          </w:p>
        </w:tc>
        <w:tc>
          <w:tcPr>
            <w:tcW w:w="979" w:type="dxa"/>
          </w:tcPr>
          <w:p>
            <w:pPr>
              <w:pStyle w:val="0"/>
            </w:pPr>
            <w:r>
              <w:rPr>
                <w:sz w:val="20"/>
              </w:rPr>
              <w:t xml:space="preserve">166,7</w:t>
            </w:r>
          </w:p>
        </w:tc>
        <w:tc>
          <w:tcPr>
            <w:tcW w:w="1114" w:type="dxa"/>
          </w:tcPr>
          <w:p>
            <w:pPr>
              <w:pStyle w:val="0"/>
            </w:pPr>
            <w:r>
              <w:rPr>
                <w:sz w:val="20"/>
              </w:rPr>
              <w:t xml:space="preserve">94</w:t>
            </w:r>
          </w:p>
        </w:tc>
        <w:tc>
          <w:tcPr>
            <w:tcW w:w="979" w:type="dxa"/>
          </w:tcPr>
          <w:p>
            <w:pPr>
              <w:pStyle w:val="0"/>
            </w:pPr>
            <w:r>
              <w:rPr>
                <w:sz w:val="20"/>
              </w:rPr>
              <w:t xml:space="preserve">192,9</w:t>
            </w:r>
          </w:p>
        </w:tc>
      </w:tr>
      <w:tr>
        <w:tc>
          <w:tcPr>
            <w:tcW w:w="2194" w:type="dxa"/>
          </w:tcPr>
          <w:p>
            <w:pPr>
              <w:pStyle w:val="0"/>
            </w:pPr>
            <w:r>
              <w:rPr>
                <w:sz w:val="20"/>
              </w:rPr>
              <w:t xml:space="preserve">Ханты-Мансийский</w:t>
            </w:r>
          </w:p>
        </w:tc>
        <w:tc>
          <w:tcPr>
            <w:tcW w:w="1114" w:type="dxa"/>
          </w:tcPr>
          <w:p>
            <w:pPr>
              <w:pStyle w:val="0"/>
            </w:pPr>
            <w:r>
              <w:rPr>
                <w:sz w:val="20"/>
              </w:rPr>
              <w:t xml:space="preserve">24</w:t>
            </w:r>
          </w:p>
        </w:tc>
        <w:tc>
          <w:tcPr>
            <w:tcW w:w="979" w:type="dxa"/>
          </w:tcPr>
          <w:p>
            <w:pPr>
              <w:pStyle w:val="0"/>
            </w:pPr>
            <w:r>
              <w:rPr>
                <w:sz w:val="20"/>
              </w:rPr>
              <w:t xml:space="preserve">119,6</w:t>
            </w:r>
          </w:p>
        </w:tc>
        <w:tc>
          <w:tcPr>
            <w:tcW w:w="1114" w:type="dxa"/>
          </w:tcPr>
          <w:p>
            <w:pPr>
              <w:pStyle w:val="0"/>
            </w:pPr>
            <w:r>
              <w:rPr>
                <w:sz w:val="20"/>
              </w:rPr>
              <w:t xml:space="preserve">26</w:t>
            </w:r>
          </w:p>
        </w:tc>
        <w:tc>
          <w:tcPr>
            <w:tcW w:w="979" w:type="dxa"/>
          </w:tcPr>
          <w:p>
            <w:pPr>
              <w:pStyle w:val="0"/>
            </w:pPr>
            <w:r>
              <w:rPr>
                <w:sz w:val="20"/>
              </w:rPr>
              <w:t xml:space="preserve">130,6</w:t>
            </w:r>
          </w:p>
        </w:tc>
        <w:tc>
          <w:tcPr>
            <w:tcW w:w="1114" w:type="dxa"/>
          </w:tcPr>
          <w:p>
            <w:pPr>
              <w:pStyle w:val="0"/>
            </w:pPr>
            <w:r>
              <w:rPr>
                <w:sz w:val="20"/>
              </w:rPr>
              <w:t xml:space="preserve">19</w:t>
            </w:r>
          </w:p>
        </w:tc>
        <w:tc>
          <w:tcPr>
            <w:tcW w:w="979" w:type="dxa"/>
          </w:tcPr>
          <w:p>
            <w:pPr>
              <w:pStyle w:val="0"/>
            </w:pPr>
            <w:r>
              <w:rPr>
                <w:sz w:val="20"/>
              </w:rPr>
              <w:t xml:space="preserve">96,6</w:t>
            </w:r>
          </w:p>
        </w:tc>
        <w:tc>
          <w:tcPr>
            <w:tcW w:w="1114" w:type="dxa"/>
          </w:tcPr>
          <w:p>
            <w:pPr>
              <w:pStyle w:val="0"/>
            </w:pPr>
            <w:r>
              <w:rPr>
                <w:sz w:val="20"/>
              </w:rPr>
              <w:t xml:space="preserve">19</w:t>
            </w:r>
          </w:p>
        </w:tc>
        <w:tc>
          <w:tcPr>
            <w:tcW w:w="979" w:type="dxa"/>
          </w:tcPr>
          <w:p>
            <w:pPr>
              <w:pStyle w:val="0"/>
            </w:pPr>
            <w:r>
              <w:rPr>
                <w:sz w:val="20"/>
              </w:rPr>
              <w:t xml:space="preserve">96,6</w:t>
            </w:r>
          </w:p>
        </w:tc>
        <w:tc>
          <w:tcPr>
            <w:tcW w:w="1114" w:type="dxa"/>
          </w:tcPr>
          <w:p>
            <w:pPr>
              <w:pStyle w:val="0"/>
            </w:pPr>
            <w:r>
              <w:rPr>
                <w:sz w:val="20"/>
              </w:rPr>
              <w:t xml:space="preserve">32</w:t>
            </w:r>
          </w:p>
        </w:tc>
        <w:tc>
          <w:tcPr>
            <w:tcW w:w="979" w:type="dxa"/>
          </w:tcPr>
          <w:p>
            <w:pPr>
              <w:pStyle w:val="0"/>
            </w:pPr>
            <w:r>
              <w:rPr>
                <w:sz w:val="20"/>
              </w:rPr>
              <w:t xml:space="preserve">162,7</w:t>
            </w:r>
          </w:p>
        </w:tc>
      </w:tr>
      <w:tr>
        <w:tc>
          <w:tcPr>
            <w:tcW w:w="2194" w:type="dxa"/>
          </w:tcPr>
          <w:p>
            <w:pPr>
              <w:pStyle w:val="0"/>
            </w:pPr>
            <w:r>
              <w:rPr>
                <w:sz w:val="20"/>
              </w:rPr>
              <w:t xml:space="preserve">Всего по центру</w:t>
            </w:r>
          </w:p>
        </w:tc>
        <w:tc>
          <w:tcPr>
            <w:tcW w:w="1114" w:type="dxa"/>
          </w:tcPr>
          <w:p>
            <w:pPr>
              <w:pStyle w:val="0"/>
            </w:pPr>
            <w:r>
              <w:rPr>
                <w:sz w:val="20"/>
              </w:rPr>
              <w:t xml:space="preserve">558</w:t>
            </w:r>
          </w:p>
        </w:tc>
        <w:tc>
          <w:tcPr>
            <w:tcW w:w="979" w:type="dxa"/>
          </w:tcPr>
          <w:p>
            <w:pPr>
              <w:pStyle w:val="0"/>
            </w:pPr>
            <w:r>
              <w:rPr>
                <w:sz w:val="20"/>
              </w:rPr>
              <w:t xml:space="preserve">136,3</w:t>
            </w:r>
          </w:p>
        </w:tc>
        <w:tc>
          <w:tcPr>
            <w:tcW w:w="1114" w:type="dxa"/>
          </w:tcPr>
          <w:p>
            <w:pPr>
              <w:pStyle w:val="0"/>
            </w:pPr>
            <w:r>
              <w:rPr>
                <w:sz w:val="20"/>
              </w:rPr>
              <w:t xml:space="preserve">610</w:t>
            </w:r>
          </w:p>
        </w:tc>
        <w:tc>
          <w:tcPr>
            <w:tcW w:w="979" w:type="dxa"/>
          </w:tcPr>
          <w:p>
            <w:pPr>
              <w:pStyle w:val="0"/>
            </w:pPr>
            <w:r>
              <w:rPr>
                <w:sz w:val="20"/>
              </w:rPr>
              <w:t xml:space="preserve">148,3</w:t>
            </w:r>
          </w:p>
        </w:tc>
        <w:tc>
          <w:tcPr>
            <w:tcW w:w="1114" w:type="dxa"/>
          </w:tcPr>
          <w:p>
            <w:pPr>
              <w:pStyle w:val="0"/>
            </w:pPr>
            <w:r>
              <w:rPr>
                <w:sz w:val="20"/>
              </w:rPr>
              <w:t xml:space="preserve">609</w:t>
            </w:r>
          </w:p>
        </w:tc>
        <w:tc>
          <w:tcPr>
            <w:tcW w:w="979" w:type="dxa"/>
          </w:tcPr>
          <w:p>
            <w:pPr>
              <w:pStyle w:val="0"/>
            </w:pPr>
            <w:r>
              <w:rPr>
                <w:sz w:val="20"/>
              </w:rPr>
              <w:t xml:space="preserve">147,6</w:t>
            </w:r>
          </w:p>
        </w:tc>
        <w:tc>
          <w:tcPr>
            <w:tcW w:w="1114" w:type="dxa"/>
          </w:tcPr>
          <w:p>
            <w:pPr>
              <w:pStyle w:val="0"/>
            </w:pPr>
            <w:r>
              <w:rPr>
                <w:sz w:val="20"/>
              </w:rPr>
              <w:t xml:space="preserve">607</w:t>
            </w:r>
          </w:p>
        </w:tc>
        <w:tc>
          <w:tcPr>
            <w:tcW w:w="979" w:type="dxa"/>
          </w:tcPr>
          <w:p>
            <w:pPr>
              <w:pStyle w:val="0"/>
            </w:pPr>
            <w:r>
              <w:rPr>
                <w:sz w:val="20"/>
              </w:rPr>
              <w:t xml:space="preserve">147,6</w:t>
            </w:r>
          </w:p>
        </w:tc>
        <w:tc>
          <w:tcPr>
            <w:tcW w:w="1114" w:type="dxa"/>
          </w:tcPr>
          <w:p>
            <w:pPr>
              <w:pStyle w:val="0"/>
            </w:pPr>
            <w:r>
              <w:rPr>
                <w:sz w:val="20"/>
              </w:rPr>
              <w:t xml:space="preserve">625</w:t>
            </w:r>
          </w:p>
        </w:tc>
        <w:tc>
          <w:tcPr>
            <w:tcW w:w="979" w:type="dxa"/>
          </w:tcPr>
          <w:p>
            <w:pPr>
              <w:pStyle w:val="0"/>
            </w:pPr>
            <w:r>
              <w:rPr>
                <w:sz w:val="20"/>
              </w:rPr>
              <w:t xml:space="preserve">150,7</w:t>
            </w:r>
          </w:p>
        </w:tc>
      </w:tr>
      <w:tr>
        <w:tc>
          <w:tcPr>
            <w:gridSpan w:val="11"/>
            <w:tcW w:w="12659" w:type="dxa"/>
          </w:tcPr>
          <w:p>
            <w:pPr>
              <w:pStyle w:val="0"/>
            </w:pPr>
            <w:r>
              <w:rPr>
                <w:sz w:val="20"/>
              </w:rPr>
              <w:t xml:space="preserve">Онкологический центр (г. Сургут)</w:t>
            </w:r>
          </w:p>
        </w:tc>
      </w:tr>
      <w:tr>
        <w:tc>
          <w:tcPr>
            <w:tcW w:w="2194" w:type="dxa"/>
          </w:tcPr>
          <w:p>
            <w:pPr>
              <w:pStyle w:val="0"/>
            </w:pPr>
            <w:r>
              <w:rPr>
                <w:sz w:val="20"/>
              </w:rPr>
              <w:t xml:space="preserve">Сургут</w:t>
            </w:r>
          </w:p>
        </w:tc>
        <w:tc>
          <w:tcPr>
            <w:tcW w:w="1114" w:type="dxa"/>
          </w:tcPr>
          <w:p>
            <w:pPr>
              <w:pStyle w:val="0"/>
            </w:pPr>
            <w:r>
              <w:rPr>
                <w:sz w:val="20"/>
              </w:rPr>
              <w:t xml:space="preserve">313</w:t>
            </w:r>
          </w:p>
        </w:tc>
        <w:tc>
          <w:tcPr>
            <w:tcW w:w="979" w:type="dxa"/>
          </w:tcPr>
          <w:p>
            <w:pPr>
              <w:pStyle w:val="0"/>
            </w:pPr>
            <w:r>
              <w:rPr>
                <w:sz w:val="20"/>
              </w:rPr>
              <w:t xml:space="preserve">97,9</w:t>
            </w:r>
          </w:p>
        </w:tc>
        <w:tc>
          <w:tcPr>
            <w:tcW w:w="1114" w:type="dxa"/>
          </w:tcPr>
          <w:p>
            <w:pPr>
              <w:pStyle w:val="0"/>
            </w:pPr>
            <w:r>
              <w:rPr>
                <w:sz w:val="20"/>
              </w:rPr>
              <w:t xml:space="preserve">314</w:t>
            </w:r>
          </w:p>
        </w:tc>
        <w:tc>
          <w:tcPr>
            <w:tcW w:w="979" w:type="dxa"/>
          </w:tcPr>
          <w:p>
            <w:pPr>
              <w:pStyle w:val="0"/>
            </w:pPr>
            <w:r>
              <w:rPr>
                <w:sz w:val="20"/>
              </w:rPr>
              <w:t xml:space="preserve">93,3</w:t>
            </w:r>
          </w:p>
        </w:tc>
        <w:tc>
          <w:tcPr>
            <w:tcW w:w="1114" w:type="dxa"/>
          </w:tcPr>
          <w:p>
            <w:pPr>
              <w:pStyle w:val="0"/>
            </w:pPr>
            <w:r>
              <w:rPr>
                <w:sz w:val="20"/>
              </w:rPr>
              <w:t xml:space="preserve">342</w:t>
            </w:r>
          </w:p>
        </w:tc>
        <w:tc>
          <w:tcPr>
            <w:tcW w:w="979" w:type="dxa"/>
          </w:tcPr>
          <w:p>
            <w:pPr>
              <w:pStyle w:val="0"/>
            </w:pPr>
            <w:r>
              <w:rPr>
                <w:sz w:val="20"/>
              </w:rPr>
              <w:t xml:space="preserve">99,2</w:t>
            </w:r>
          </w:p>
        </w:tc>
        <w:tc>
          <w:tcPr>
            <w:tcW w:w="1114" w:type="dxa"/>
          </w:tcPr>
          <w:p>
            <w:pPr>
              <w:pStyle w:val="0"/>
            </w:pPr>
            <w:r>
              <w:rPr>
                <w:sz w:val="20"/>
              </w:rPr>
              <w:t xml:space="preserve">302</w:t>
            </w:r>
          </w:p>
        </w:tc>
        <w:tc>
          <w:tcPr>
            <w:tcW w:w="979" w:type="dxa"/>
          </w:tcPr>
          <w:p>
            <w:pPr>
              <w:pStyle w:val="0"/>
            </w:pPr>
            <w:r>
              <w:rPr>
                <w:sz w:val="20"/>
              </w:rPr>
              <w:t xml:space="preserve">99,2</w:t>
            </w:r>
          </w:p>
        </w:tc>
        <w:tc>
          <w:tcPr>
            <w:tcW w:w="1114" w:type="dxa"/>
          </w:tcPr>
          <w:p>
            <w:pPr>
              <w:pStyle w:val="0"/>
            </w:pPr>
            <w:r>
              <w:rPr>
                <w:sz w:val="20"/>
              </w:rPr>
              <w:t xml:space="preserve">339</w:t>
            </w:r>
          </w:p>
        </w:tc>
        <w:tc>
          <w:tcPr>
            <w:tcW w:w="979" w:type="dxa"/>
          </w:tcPr>
          <w:p>
            <w:pPr>
              <w:pStyle w:val="0"/>
            </w:pPr>
            <w:r>
              <w:rPr>
                <w:sz w:val="20"/>
              </w:rPr>
              <w:t xml:space="preserve">80,1</w:t>
            </w:r>
          </w:p>
        </w:tc>
      </w:tr>
      <w:tr>
        <w:tc>
          <w:tcPr>
            <w:tcW w:w="2194" w:type="dxa"/>
          </w:tcPr>
          <w:p>
            <w:pPr>
              <w:pStyle w:val="0"/>
            </w:pPr>
            <w:r>
              <w:rPr>
                <w:sz w:val="20"/>
              </w:rPr>
              <w:t xml:space="preserve">Сургутский</w:t>
            </w:r>
          </w:p>
        </w:tc>
        <w:tc>
          <w:tcPr>
            <w:tcW w:w="1114" w:type="dxa"/>
          </w:tcPr>
          <w:p>
            <w:pPr>
              <w:pStyle w:val="0"/>
            </w:pPr>
            <w:r>
              <w:rPr>
                <w:sz w:val="20"/>
              </w:rPr>
              <w:t xml:space="preserve">77</w:t>
            </w:r>
          </w:p>
        </w:tc>
        <w:tc>
          <w:tcPr>
            <w:tcW w:w="979" w:type="dxa"/>
          </w:tcPr>
          <w:p>
            <w:pPr>
              <w:pStyle w:val="0"/>
            </w:pPr>
            <w:r>
              <w:rPr>
                <w:sz w:val="20"/>
              </w:rPr>
              <w:t xml:space="preserve">63,7</w:t>
            </w:r>
          </w:p>
        </w:tc>
        <w:tc>
          <w:tcPr>
            <w:tcW w:w="1114" w:type="dxa"/>
          </w:tcPr>
          <w:p>
            <w:pPr>
              <w:pStyle w:val="0"/>
            </w:pPr>
            <w:r>
              <w:rPr>
                <w:sz w:val="20"/>
              </w:rPr>
              <w:t xml:space="preserve">99</w:t>
            </w:r>
          </w:p>
        </w:tc>
        <w:tc>
          <w:tcPr>
            <w:tcW w:w="979" w:type="dxa"/>
          </w:tcPr>
          <w:p>
            <w:pPr>
              <w:pStyle w:val="0"/>
            </w:pPr>
            <w:r>
              <w:rPr>
                <w:sz w:val="20"/>
              </w:rPr>
              <w:t xml:space="preserve">81,3</w:t>
            </w:r>
          </w:p>
        </w:tc>
        <w:tc>
          <w:tcPr>
            <w:tcW w:w="1114" w:type="dxa"/>
          </w:tcPr>
          <w:p>
            <w:pPr>
              <w:pStyle w:val="0"/>
            </w:pPr>
            <w:r>
              <w:rPr>
                <w:sz w:val="20"/>
              </w:rPr>
              <w:t xml:space="preserve">101</w:t>
            </w:r>
          </w:p>
        </w:tc>
        <w:tc>
          <w:tcPr>
            <w:tcW w:w="979" w:type="dxa"/>
          </w:tcPr>
          <w:p>
            <w:pPr>
              <w:pStyle w:val="0"/>
            </w:pPr>
            <w:r>
              <w:rPr>
                <w:sz w:val="20"/>
              </w:rPr>
              <w:t xml:space="preserve">82,5</w:t>
            </w:r>
          </w:p>
        </w:tc>
        <w:tc>
          <w:tcPr>
            <w:tcW w:w="1114" w:type="dxa"/>
          </w:tcPr>
          <w:p>
            <w:pPr>
              <w:pStyle w:val="0"/>
            </w:pPr>
            <w:r>
              <w:rPr>
                <w:sz w:val="20"/>
              </w:rPr>
              <w:t xml:space="preserve">101</w:t>
            </w:r>
          </w:p>
        </w:tc>
        <w:tc>
          <w:tcPr>
            <w:tcW w:w="979" w:type="dxa"/>
          </w:tcPr>
          <w:p>
            <w:pPr>
              <w:pStyle w:val="0"/>
            </w:pPr>
            <w:r>
              <w:rPr>
                <w:sz w:val="20"/>
              </w:rPr>
              <w:t xml:space="preserve">82,5</w:t>
            </w:r>
          </w:p>
        </w:tc>
        <w:tc>
          <w:tcPr>
            <w:tcW w:w="1114" w:type="dxa"/>
          </w:tcPr>
          <w:p>
            <w:pPr>
              <w:pStyle w:val="0"/>
            </w:pPr>
            <w:r>
              <w:rPr>
                <w:sz w:val="20"/>
              </w:rPr>
              <w:t xml:space="preserve">91</w:t>
            </w:r>
          </w:p>
        </w:tc>
        <w:tc>
          <w:tcPr>
            <w:tcW w:w="979" w:type="dxa"/>
          </w:tcPr>
          <w:p>
            <w:pPr>
              <w:pStyle w:val="0"/>
            </w:pPr>
            <w:r>
              <w:rPr>
                <w:sz w:val="20"/>
              </w:rPr>
              <w:t xml:space="preserve">73,5</w:t>
            </w:r>
          </w:p>
        </w:tc>
      </w:tr>
      <w:tr>
        <w:tc>
          <w:tcPr>
            <w:tcW w:w="2194" w:type="dxa"/>
          </w:tcPr>
          <w:p>
            <w:pPr>
              <w:pStyle w:val="0"/>
            </w:pPr>
            <w:r>
              <w:rPr>
                <w:sz w:val="20"/>
              </w:rPr>
              <w:t xml:space="preserve">Нефтеюганск</w:t>
            </w:r>
          </w:p>
        </w:tc>
        <w:tc>
          <w:tcPr>
            <w:tcW w:w="1114" w:type="dxa"/>
          </w:tcPr>
          <w:p>
            <w:pPr>
              <w:pStyle w:val="0"/>
            </w:pPr>
            <w:r>
              <w:rPr>
                <w:sz w:val="20"/>
              </w:rPr>
              <w:t xml:space="preserve">136</w:t>
            </w:r>
          </w:p>
        </w:tc>
        <w:tc>
          <w:tcPr>
            <w:tcW w:w="979" w:type="dxa"/>
          </w:tcPr>
          <w:p>
            <w:pPr>
              <w:pStyle w:val="0"/>
            </w:pPr>
            <w:r>
              <w:rPr>
                <w:sz w:val="20"/>
              </w:rPr>
              <w:t xml:space="preserve">108</w:t>
            </w:r>
          </w:p>
        </w:tc>
        <w:tc>
          <w:tcPr>
            <w:tcW w:w="1114" w:type="dxa"/>
          </w:tcPr>
          <w:p>
            <w:pPr>
              <w:pStyle w:val="0"/>
            </w:pPr>
            <w:r>
              <w:rPr>
                <w:sz w:val="20"/>
              </w:rPr>
              <w:t xml:space="preserve">116</w:t>
            </w:r>
          </w:p>
        </w:tc>
        <w:tc>
          <w:tcPr>
            <w:tcW w:w="979" w:type="dxa"/>
          </w:tcPr>
          <w:p>
            <w:pPr>
              <w:pStyle w:val="0"/>
            </w:pPr>
            <w:r>
              <w:rPr>
                <w:sz w:val="20"/>
              </w:rPr>
              <w:t xml:space="preserve">92,2</w:t>
            </w:r>
          </w:p>
        </w:tc>
        <w:tc>
          <w:tcPr>
            <w:tcW w:w="1114" w:type="dxa"/>
          </w:tcPr>
          <w:p>
            <w:pPr>
              <w:pStyle w:val="0"/>
            </w:pPr>
            <w:r>
              <w:rPr>
                <w:sz w:val="20"/>
              </w:rPr>
              <w:t xml:space="preserve">109</w:t>
            </w:r>
          </w:p>
        </w:tc>
        <w:tc>
          <w:tcPr>
            <w:tcW w:w="979" w:type="dxa"/>
          </w:tcPr>
          <w:p>
            <w:pPr>
              <w:pStyle w:val="0"/>
            </w:pPr>
            <w:r>
              <w:rPr>
                <w:sz w:val="20"/>
              </w:rPr>
              <w:t xml:space="preserve">110,9</w:t>
            </w:r>
          </w:p>
        </w:tc>
        <w:tc>
          <w:tcPr>
            <w:tcW w:w="1114" w:type="dxa"/>
          </w:tcPr>
          <w:p>
            <w:pPr>
              <w:pStyle w:val="0"/>
            </w:pPr>
            <w:r>
              <w:rPr>
                <w:sz w:val="20"/>
              </w:rPr>
              <w:t xml:space="preserve">139</w:t>
            </w:r>
          </w:p>
        </w:tc>
        <w:tc>
          <w:tcPr>
            <w:tcW w:w="979" w:type="dxa"/>
          </w:tcPr>
          <w:p>
            <w:pPr>
              <w:pStyle w:val="0"/>
            </w:pPr>
            <w:r>
              <w:rPr>
                <w:sz w:val="20"/>
              </w:rPr>
              <w:t xml:space="preserve">110,9</w:t>
            </w:r>
          </w:p>
        </w:tc>
        <w:tc>
          <w:tcPr>
            <w:tcW w:w="1114" w:type="dxa"/>
          </w:tcPr>
          <w:p>
            <w:pPr>
              <w:pStyle w:val="0"/>
            </w:pPr>
            <w:r>
              <w:rPr>
                <w:sz w:val="20"/>
              </w:rPr>
              <w:t xml:space="preserve">100</w:t>
            </w:r>
          </w:p>
        </w:tc>
        <w:tc>
          <w:tcPr>
            <w:tcW w:w="979" w:type="dxa"/>
          </w:tcPr>
          <w:p>
            <w:pPr>
              <w:pStyle w:val="0"/>
            </w:pPr>
            <w:r>
              <w:rPr>
                <w:sz w:val="20"/>
              </w:rPr>
              <w:t xml:space="preserve">79,3</w:t>
            </w:r>
          </w:p>
        </w:tc>
      </w:tr>
      <w:tr>
        <w:tc>
          <w:tcPr>
            <w:tcW w:w="2194" w:type="dxa"/>
          </w:tcPr>
          <w:p>
            <w:pPr>
              <w:pStyle w:val="0"/>
            </w:pPr>
            <w:r>
              <w:rPr>
                <w:sz w:val="20"/>
              </w:rPr>
              <w:t xml:space="preserve">Нефтеюганский</w:t>
            </w:r>
          </w:p>
        </w:tc>
        <w:tc>
          <w:tcPr>
            <w:tcW w:w="1114" w:type="dxa"/>
          </w:tcPr>
          <w:p>
            <w:pPr>
              <w:pStyle w:val="0"/>
            </w:pPr>
            <w:r>
              <w:rPr>
                <w:sz w:val="20"/>
              </w:rPr>
              <w:t xml:space="preserve">37</w:t>
            </w:r>
          </w:p>
        </w:tc>
        <w:tc>
          <w:tcPr>
            <w:tcW w:w="979" w:type="dxa"/>
          </w:tcPr>
          <w:p>
            <w:pPr>
              <w:pStyle w:val="0"/>
            </w:pPr>
            <w:r>
              <w:rPr>
                <w:sz w:val="20"/>
              </w:rPr>
              <w:t xml:space="preserve">83,7</w:t>
            </w:r>
          </w:p>
        </w:tc>
        <w:tc>
          <w:tcPr>
            <w:tcW w:w="1114" w:type="dxa"/>
          </w:tcPr>
          <w:p>
            <w:pPr>
              <w:pStyle w:val="0"/>
            </w:pPr>
            <w:r>
              <w:rPr>
                <w:sz w:val="20"/>
              </w:rPr>
              <w:t xml:space="preserve">38</w:t>
            </w:r>
          </w:p>
        </w:tc>
        <w:tc>
          <w:tcPr>
            <w:tcW w:w="979" w:type="dxa"/>
          </w:tcPr>
          <w:p>
            <w:pPr>
              <w:pStyle w:val="0"/>
            </w:pPr>
            <w:r>
              <w:rPr>
                <w:sz w:val="20"/>
              </w:rPr>
              <w:t xml:space="preserve">85,7</w:t>
            </w:r>
          </w:p>
        </w:tc>
        <w:tc>
          <w:tcPr>
            <w:tcW w:w="1114" w:type="dxa"/>
          </w:tcPr>
          <w:p>
            <w:pPr>
              <w:pStyle w:val="0"/>
            </w:pPr>
            <w:r>
              <w:rPr>
                <w:sz w:val="20"/>
              </w:rPr>
              <w:t xml:space="preserve">42</w:t>
            </w:r>
          </w:p>
        </w:tc>
        <w:tc>
          <w:tcPr>
            <w:tcW w:w="979" w:type="dxa"/>
          </w:tcPr>
          <w:p>
            <w:pPr>
              <w:pStyle w:val="0"/>
            </w:pPr>
            <w:r>
              <w:rPr>
                <w:sz w:val="20"/>
              </w:rPr>
              <w:t xml:space="preserve">93,6</w:t>
            </w:r>
          </w:p>
        </w:tc>
        <w:tc>
          <w:tcPr>
            <w:tcW w:w="1114" w:type="dxa"/>
          </w:tcPr>
          <w:p>
            <w:pPr>
              <w:pStyle w:val="0"/>
            </w:pPr>
            <w:r>
              <w:rPr>
                <w:sz w:val="20"/>
              </w:rPr>
              <w:t xml:space="preserve">42</w:t>
            </w:r>
          </w:p>
        </w:tc>
        <w:tc>
          <w:tcPr>
            <w:tcW w:w="979" w:type="dxa"/>
          </w:tcPr>
          <w:p>
            <w:pPr>
              <w:pStyle w:val="0"/>
            </w:pPr>
            <w:r>
              <w:rPr>
                <w:sz w:val="20"/>
              </w:rPr>
              <w:t xml:space="preserve">93,6</w:t>
            </w:r>
          </w:p>
        </w:tc>
        <w:tc>
          <w:tcPr>
            <w:tcW w:w="1114" w:type="dxa"/>
          </w:tcPr>
          <w:p>
            <w:pPr>
              <w:pStyle w:val="0"/>
            </w:pPr>
            <w:r>
              <w:rPr>
                <w:sz w:val="20"/>
              </w:rPr>
              <w:t xml:space="preserve">41</w:t>
            </w:r>
          </w:p>
        </w:tc>
        <w:tc>
          <w:tcPr>
            <w:tcW w:w="979" w:type="dxa"/>
          </w:tcPr>
          <w:p>
            <w:pPr>
              <w:pStyle w:val="0"/>
            </w:pPr>
            <w:r>
              <w:rPr>
                <w:sz w:val="20"/>
              </w:rPr>
              <w:t xml:space="preserve">90,9</w:t>
            </w:r>
          </w:p>
        </w:tc>
      </w:tr>
      <w:tr>
        <w:tc>
          <w:tcPr>
            <w:tcW w:w="2194" w:type="dxa"/>
          </w:tcPr>
          <w:p>
            <w:pPr>
              <w:pStyle w:val="0"/>
            </w:pPr>
            <w:r>
              <w:rPr>
                <w:sz w:val="20"/>
              </w:rPr>
              <w:t xml:space="preserve">Пыть-Ях</w:t>
            </w:r>
          </w:p>
        </w:tc>
        <w:tc>
          <w:tcPr>
            <w:tcW w:w="1114" w:type="dxa"/>
          </w:tcPr>
          <w:p>
            <w:pPr>
              <w:pStyle w:val="0"/>
            </w:pPr>
            <w:r>
              <w:rPr>
                <w:sz w:val="20"/>
              </w:rPr>
              <w:t xml:space="preserve">33</w:t>
            </w:r>
          </w:p>
        </w:tc>
        <w:tc>
          <w:tcPr>
            <w:tcW w:w="979" w:type="dxa"/>
          </w:tcPr>
          <w:p>
            <w:pPr>
              <w:pStyle w:val="0"/>
            </w:pPr>
            <w:r>
              <w:rPr>
                <w:sz w:val="20"/>
              </w:rPr>
              <w:t xml:space="preserve">80,7</w:t>
            </w:r>
          </w:p>
        </w:tc>
        <w:tc>
          <w:tcPr>
            <w:tcW w:w="1114" w:type="dxa"/>
          </w:tcPr>
          <w:p>
            <w:pPr>
              <w:pStyle w:val="0"/>
            </w:pPr>
            <w:r>
              <w:rPr>
                <w:sz w:val="20"/>
              </w:rPr>
              <w:t xml:space="preserve">48</w:t>
            </w:r>
          </w:p>
        </w:tc>
        <w:tc>
          <w:tcPr>
            <w:tcW w:w="979" w:type="dxa"/>
          </w:tcPr>
          <w:p>
            <w:pPr>
              <w:pStyle w:val="0"/>
            </w:pPr>
            <w:r>
              <w:rPr>
                <w:sz w:val="20"/>
              </w:rPr>
              <w:t xml:space="preserve">117</w:t>
            </w:r>
          </w:p>
        </w:tc>
        <w:tc>
          <w:tcPr>
            <w:tcW w:w="1114" w:type="dxa"/>
          </w:tcPr>
          <w:p>
            <w:pPr>
              <w:pStyle w:val="0"/>
            </w:pPr>
            <w:r>
              <w:rPr>
                <w:sz w:val="20"/>
              </w:rPr>
              <w:t xml:space="preserve">41</w:t>
            </w:r>
          </w:p>
        </w:tc>
        <w:tc>
          <w:tcPr>
            <w:tcW w:w="979" w:type="dxa"/>
          </w:tcPr>
          <w:p>
            <w:pPr>
              <w:pStyle w:val="0"/>
            </w:pPr>
            <w:r>
              <w:rPr>
                <w:sz w:val="20"/>
              </w:rPr>
              <w:t xml:space="preserve">100,1</w:t>
            </w:r>
          </w:p>
        </w:tc>
        <w:tc>
          <w:tcPr>
            <w:tcW w:w="1114" w:type="dxa"/>
          </w:tcPr>
          <w:p>
            <w:pPr>
              <w:pStyle w:val="0"/>
            </w:pPr>
            <w:r>
              <w:rPr>
                <w:sz w:val="20"/>
              </w:rPr>
              <w:t xml:space="preserve">41</w:t>
            </w:r>
          </w:p>
        </w:tc>
        <w:tc>
          <w:tcPr>
            <w:tcW w:w="979" w:type="dxa"/>
          </w:tcPr>
          <w:p>
            <w:pPr>
              <w:pStyle w:val="0"/>
            </w:pPr>
            <w:r>
              <w:rPr>
                <w:sz w:val="20"/>
              </w:rPr>
              <w:t xml:space="preserve">100,1</w:t>
            </w:r>
          </w:p>
        </w:tc>
        <w:tc>
          <w:tcPr>
            <w:tcW w:w="1114" w:type="dxa"/>
          </w:tcPr>
          <w:p>
            <w:pPr>
              <w:pStyle w:val="0"/>
            </w:pPr>
            <w:r>
              <w:rPr>
                <w:sz w:val="20"/>
              </w:rPr>
              <w:t xml:space="preserve">39</w:t>
            </w:r>
          </w:p>
        </w:tc>
        <w:tc>
          <w:tcPr>
            <w:tcW w:w="979" w:type="dxa"/>
          </w:tcPr>
          <w:p>
            <w:pPr>
              <w:pStyle w:val="0"/>
            </w:pPr>
            <w:r>
              <w:rPr>
                <w:sz w:val="20"/>
              </w:rPr>
              <w:t xml:space="preserve">94,8</w:t>
            </w:r>
          </w:p>
        </w:tc>
      </w:tr>
      <w:tr>
        <w:tc>
          <w:tcPr>
            <w:tcW w:w="2194" w:type="dxa"/>
          </w:tcPr>
          <w:p>
            <w:pPr>
              <w:pStyle w:val="0"/>
            </w:pPr>
            <w:r>
              <w:rPr>
                <w:sz w:val="20"/>
              </w:rPr>
              <w:t xml:space="preserve">Когалым</w:t>
            </w:r>
          </w:p>
        </w:tc>
        <w:tc>
          <w:tcPr>
            <w:tcW w:w="1114" w:type="dxa"/>
          </w:tcPr>
          <w:p>
            <w:pPr>
              <w:pStyle w:val="0"/>
            </w:pPr>
            <w:r>
              <w:rPr>
                <w:sz w:val="20"/>
              </w:rPr>
              <w:t xml:space="preserve">44</w:t>
            </w:r>
          </w:p>
        </w:tc>
        <w:tc>
          <w:tcPr>
            <w:tcW w:w="979" w:type="dxa"/>
          </w:tcPr>
          <w:p>
            <w:pPr>
              <w:pStyle w:val="0"/>
            </w:pPr>
            <w:r>
              <w:rPr>
                <w:sz w:val="20"/>
              </w:rPr>
              <w:t xml:space="preserve">72,6</w:t>
            </w:r>
          </w:p>
        </w:tc>
        <w:tc>
          <w:tcPr>
            <w:tcW w:w="1114" w:type="dxa"/>
          </w:tcPr>
          <w:p>
            <w:pPr>
              <w:pStyle w:val="0"/>
            </w:pPr>
            <w:r>
              <w:rPr>
                <w:sz w:val="20"/>
              </w:rPr>
              <w:t xml:space="preserve">30</w:t>
            </w:r>
          </w:p>
        </w:tc>
        <w:tc>
          <w:tcPr>
            <w:tcW w:w="979" w:type="dxa"/>
          </w:tcPr>
          <w:p>
            <w:pPr>
              <w:pStyle w:val="0"/>
            </w:pPr>
            <w:r>
              <w:rPr>
                <w:sz w:val="20"/>
              </w:rPr>
              <w:t xml:space="preserve">48,6</w:t>
            </w:r>
          </w:p>
        </w:tc>
        <w:tc>
          <w:tcPr>
            <w:tcW w:w="1114" w:type="dxa"/>
          </w:tcPr>
          <w:p>
            <w:pPr>
              <w:pStyle w:val="0"/>
            </w:pPr>
            <w:r>
              <w:rPr>
                <w:sz w:val="20"/>
              </w:rPr>
              <w:t xml:space="preserve">28</w:t>
            </w:r>
          </w:p>
        </w:tc>
        <w:tc>
          <w:tcPr>
            <w:tcW w:w="979" w:type="dxa"/>
          </w:tcPr>
          <w:p>
            <w:pPr>
              <w:pStyle w:val="0"/>
            </w:pPr>
            <w:r>
              <w:rPr>
                <w:sz w:val="20"/>
              </w:rPr>
              <w:t xml:space="preserve">44,5</w:t>
            </w:r>
          </w:p>
        </w:tc>
        <w:tc>
          <w:tcPr>
            <w:tcW w:w="1114" w:type="dxa"/>
          </w:tcPr>
          <w:p>
            <w:pPr>
              <w:pStyle w:val="0"/>
            </w:pPr>
            <w:r>
              <w:rPr>
                <w:sz w:val="20"/>
              </w:rPr>
              <w:t xml:space="preserve">28</w:t>
            </w:r>
          </w:p>
        </w:tc>
        <w:tc>
          <w:tcPr>
            <w:tcW w:w="979" w:type="dxa"/>
          </w:tcPr>
          <w:p>
            <w:pPr>
              <w:pStyle w:val="0"/>
            </w:pPr>
            <w:r>
              <w:rPr>
                <w:sz w:val="20"/>
              </w:rPr>
              <w:t xml:space="preserve">44,5</w:t>
            </w:r>
          </w:p>
        </w:tc>
        <w:tc>
          <w:tcPr>
            <w:tcW w:w="1114" w:type="dxa"/>
          </w:tcPr>
          <w:p>
            <w:pPr>
              <w:pStyle w:val="0"/>
            </w:pPr>
            <w:r>
              <w:rPr>
                <w:sz w:val="20"/>
              </w:rPr>
              <w:t xml:space="preserve">31</w:t>
            </w:r>
          </w:p>
        </w:tc>
        <w:tc>
          <w:tcPr>
            <w:tcW w:w="979" w:type="dxa"/>
          </w:tcPr>
          <w:p>
            <w:pPr>
              <w:pStyle w:val="0"/>
            </w:pPr>
            <w:r>
              <w:rPr>
                <w:sz w:val="20"/>
              </w:rPr>
              <w:t xml:space="preserve">48,6</w:t>
            </w:r>
          </w:p>
        </w:tc>
      </w:tr>
      <w:tr>
        <w:tc>
          <w:tcPr>
            <w:tcW w:w="2194" w:type="dxa"/>
          </w:tcPr>
          <w:p>
            <w:pPr>
              <w:pStyle w:val="0"/>
            </w:pPr>
            <w:r>
              <w:rPr>
                <w:sz w:val="20"/>
              </w:rPr>
              <w:t xml:space="preserve">Всего по центру</w:t>
            </w:r>
          </w:p>
        </w:tc>
        <w:tc>
          <w:tcPr>
            <w:tcW w:w="1114" w:type="dxa"/>
          </w:tcPr>
          <w:p>
            <w:pPr>
              <w:pStyle w:val="0"/>
            </w:pPr>
            <w:r>
              <w:rPr>
                <w:sz w:val="20"/>
              </w:rPr>
              <w:t xml:space="preserve">640</w:t>
            </w:r>
          </w:p>
        </w:tc>
        <w:tc>
          <w:tcPr>
            <w:tcW w:w="979" w:type="dxa"/>
          </w:tcPr>
          <w:p>
            <w:pPr>
              <w:pStyle w:val="0"/>
            </w:pPr>
            <w:r>
              <w:rPr>
                <w:sz w:val="20"/>
              </w:rPr>
              <w:t xml:space="preserve">90</w:t>
            </w:r>
          </w:p>
        </w:tc>
        <w:tc>
          <w:tcPr>
            <w:tcW w:w="1114" w:type="dxa"/>
          </w:tcPr>
          <w:p>
            <w:pPr>
              <w:pStyle w:val="0"/>
            </w:pPr>
            <w:r>
              <w:rPr>
                <w:sz w:val="20"/>
              </w:rPr>
              <w:t xml:space="preserve">645</w:t>
            </w:r>
          </w:p>
        </w:tc>
        <w:tc>
          <w:tcPr>
            <w:tcW w:w="979" w:type="dxa"/>
          </w:tcPr>
          <w:p>
            <w:pPr>
              <w:pStyle w:val="0"/>
            </w:pPr>
            <w:r>
              <w:rPr>
                <w:sz w:val="20"/>
              </w:rPr>
              <w:t xml:space="preserve">88,2</w:t>
            </w:r>
          </w:p>
        </w:tc>
        <w:tc>
          <w:tcPr>
            <w:tcW w:w="1114" w:type="dxa"/>
          </w:tcPr>
          <w:p>
            <w:pPr>
              <w:pStyle w:val="0"/>
            </w:pPr>
            <w:r>
              <w:rPr>
                <w:sz w:val="20"/>
              </w:rPr>
              <w:t xml:space="preserve">630</w:t>
            </w:r>
          </w:p>
        </w:tc>
        <w:tc>
          <w:tcPr>
            <w:tcW w:w="979" w:type="dxa"/>
          </w:tcPr>
          <w:p>
            <w:pPr>
              <w:pStyle w:val="0"/>
            </w:pPr>
            <w:r>
              <w:rPr>
                <w:sz w:val="20"/>
              </w:rPr>
              <w:t xml:space="preserve">93,5</w:t>
            </w:r>
          </w:p>
        </w:tc>
        <w:tc>
          <w:tcPr>
            <w:tcW w:w="1114" w:type="dxa"/>
          </w:tcPr>
          <w:p>
            <w:pPr>
              <w:pStyle w:val="0"/>
            </w:pPr>
            <w:r>
              <w:rPr>
                <w:sz w:val="20"/>
              </w:rPr>
              <w:t xml:space="preserve">693</w:t>
            </w:r>
          </w:p>
        </w:tc>
        <w:tc>
          <w:tcPr>
            <w:tcW w:w="979" w:type="dxa"/>
          </w:tcPr>
          <w:p>
            <w:pPr>
              <w:pStyle w:val="0"/>
            </w:pPr>
            <w:r>
              <w:rPr>
                <w:sz w:val="20"/>
              </w:rPr>
              <w:t xml:space="preserve">93,5</w:t>
            </w:r>
          </w:p>
        </w:tc>
        <w:tc>
          <w:tcPr>
            <w:tcW w:w="1114" w:type="dxa"/>
          </w:tcPr>
          <w:p>
            <w:pPr>
              <w:pStyle w:val="0"/>
            </w:pPr>
            <w:r>
              <w:rPr>
                <w:sz w:val="20"/>
              </w:rPr>
              <w:t xml:space="preserve">641</w:t>
            </w:r>
          </w:p>
        </w:tc>
        <w:tc>
          <w:tcPr>
            <w:tcW w:w="979" w:type="dxa"/>
          </w:tcPr>
          <w:p>
            <w:pPr>
              <w:pStyle w:val="0"/>
            </w:pPr>
            <w:r>
              <w:rPr>
                <w:sz w:val="20"/>
              </w:rPr>
              <w:t xml:space="preserve">77,7</w:t>
            </w:r>
          </w:p>
        </w:tc>
      </w:tr>
      <w:tr>
        <w:tc>
          <w:tcPr>
            <w:gridSpan w:val="11"/>
            <w:tcW w:w="12659" w:type="dxa"/>
          </w:tcPr>
          <w:p>
            <w:pPr>
              <w:pStyle w:val="0"/>
            </w:pPr>
            <w:r>
              <w:rPr>
                <w:sz w:val="20"/>
              </w:rPr>
              <w:t xml:space="preserve">Нижневартовский онкологический диспансер</w:t>
            </w:r>
          </w:p>
        </w:tc>
      </w:tr>
      <w:tr>
        <w:tc>
          <w:tcPr>
            <w:tcW w:w="2194" w:type="dxa"/>
          </w:tcPr>
          <w:p>
            <w:pPr>
              <w:pStyle w:val="0"/>
            </w:pPr>
            <w:r>
              <w:rPr>
                <w:sz w:val="20"/>
              </w:rPr>
              <w:t xml:space="preserve">Нижневартовск</w:t>
            </w:r>
          </w:p>
        </w:tc>
        <w:tc>
          <w:tcPr>
            <w:tcW w:w="1114" w:type="dxa"/>
          </w:tcPr>
          <w:p>
            <w:pPr>
              <w:pStyle w:val="0"/>
            </w:pPr>
            <w:r>
              <w:rPr>
                <w:sz w:val="20"/>
              </w:rPr>
              <w:t xml:space="preserve">368</w:t>
            </w:r>
          </w:p>
        </w:tc>
        <w:tc>
          <w:tcPr>
            <w:tcW w:w="979" w:type="dxa"/>
          </w:tcPr>
          <w:p>
            <w:pPr>
              <w:pStyle w:val="0"/>
            </w:pPr>
            <w:r>
              <w:rPr>
                <w:sz w:val="20"/>
              </w:rPr>
              <w:t xml:space="preserve">139,1</w:t>
            </w:r>
          </w:p>
        </w:tc>
        <w:tc>
          <w:tcPr>
            <w:tcW w:w="1114" w:type="dxa"/>
          </w:tcPr>
          <w:p>
            <w:pPr>
              <w:pStyle w:val="0"/>
            </w:pPr>
            <w:r>
              <w:rPr>
                <w:sz w:val="20"/>
              </w:rPr>
              <w:t xml:space="preserve">319</w:t>
            </w:r>
          </w:p>
        </w:tc>
        <w:tc>
          <w:tcPr>
            <w:tcW w:w="979" w:type="dxa"/>
          </w:tcPr>
          <w:p>
            <w:pPr>
              <w:pStyle w:val="0"/>
            </w:pPr>
            <w:r>
              <w:rPr>
                <w:sz w:val="20"/>
              </w:rPr>
              <w:t xml:space="preserve">119,3</w:t>
            </w:r>
          </w:p>
        </w:tc>
        <w:tc>
          <w:tcPr>
            <w:tcW w:w="1114" w:type="dxa"/>
          </w:tcPr>
          <w:p>
            <w:pPr>
              <w:pStyle w:val="0"/>
            </w:pPr>
            <w:r>
              <w:rPr>
                <w:sz w:val="20"/>
              </w:rPr>
              <w:t xml:space="preserve">306</w:t>
            </w:r>
          </w:p>
        </w:tc>
        <w:tc>
          <w:tcPr>
            <w:tcW w:w="979" w:type="dxa"/>
          </w:tcPr>
          <w:p>
            <w:pPr>
              <w:pStyle w:val="0"/>
            </w:pPr>
            <w:r>
              <w:rPr>
                <w:sz w:val="20"/>
              </w:rPr>
              <w:t xml:space="preserve">113,5</w:t>
            </w:r>
          </w:p>
        </w:tc>
        <w:tc>
          <w:tcPr>
            <w:tcW w:w="1114" w:type="dxa"/>
          </w:tcPr>
          <w:p>
            <w:pPr>
              <w:pStyle w:val="0"/>
            </w:pPr>
            <w:r>
              <w:rPr>
                <w:sz w:val="20"/>
              </w:rPr>
              <w:t xml:space="preserve">306</w:t>
            </w:r>
          </w:p>
        </w:tc>
        <w:tc>
          <w:tcPr>
            <w:tcW w:w="979" w:type="dxa"/>
          </w:tcPr>
          <w:p>
            <w:pPr>
              <w:pStyle w:val="0"/>
            </w:pPr>
            <w:r>
              <w:rPr>
                <w:sz w:val="20"/>
              </w:rPr>
              <w:t xml:space="preserve">113,5</w:t>
            </w:r>
          </w:p>
        </w:tc>
        <w:tc>
          <w:tcPr>
            <w:tcW w:w="1114" w:type="dxa"/>
          </w:tcPr>
          <w:p>
            <w:pPr>
              <w:pStyle w:val="0"/>
            </w:pPr>
            <w:r>
              <w:rPr>
                <w:sz w:val="20"/>
              </w:rPr>
              <w:t xml:space="preserve">327</w:t>
            </w:r>
          </w:p>
        </w:tc>
        <w:tc>
          <w:tcPr>
            <w:tcW w:w="979" w:type="dxa"/>
          </w:tcPr>
          <w:p>
            <w:pPr>
              <w:pStyle w:val="0"/>
            </w:pPr>
            <w:r>
              <w:rPr>
                <w:sz w:val="20"/>
              </w:rPr>
              <w:t xml:space="preserve">119,9</w:t>
            </w:r>
          </w:p>
        </w:tc>
      </w:tr>
      <w:tr>
        <w:tc>
          <w:tcPr>
            <w:tcW w:w="2194" w:type="dxa"/>
          </w:tcPr>
          <w:p>
            <w:pPr>
              <w:pStyle w:val="0"/>
            </w:pPr>
            <w:r>
              <w:rPr>
                <w:sz w:val="20"/>
              </w:rPr>
              <w:t xml:space="preserve">Нижневартовский</w:t>
            </w:r>
          </w:p>
        </w:tc>
        <w:tc>
          <w:tcPr>
            <w:tcW w:w="1114" w:type="dxa"/>
          </w:tcPr>
          <w:p>
            <w:pPr>
              <w:pStyle w:val="0"/>
            </w:pPr>
            <w:r>
              <w:rPr>
                <w:sz w:val="20"/>
              </w:rPr>
              <w:t xml:space="preserve">27</w:t>
            </w:r>
          </w:p>
        </w:tc>
        <w:tc>
          <w:tcPr>
            <w:tcW w:w="979" w:type="dxa"/>
          </w:tcPr>
          <w:p>
            <w:pPr>
              <w:pStyle w:val="0"/>
            </w:pPr>
            <w:r>
              <w:rPr>
                <w:sz w:val="20"/>
              </w:rPr>
              <w:t xml:space="preserve">74,8</w:t>
            </w:r>
          </w:p>
        </w:tc>
        <w:tc>
          <w:tcPr>
            <w:tcW w:w="1114" w:type="dxa"/>
          </w:tcPr>
          <w:p>
            <w:pPr>
              <w:pStyle w:val="0"/>
            </w:pPr>
            <w:r>
              <w:rPr>
                <w:sz w:val="20"/>
              </w:rPr>
              <w:t xml:space="preserve">43</w:t>
            </w:r>
          </w:p>
        </w:tc>
        <w:tc>
          <w:tcPr>
            <w:tcW w:w="979" w:type="dxa"/>
          </w:tcPr>
          <w:p>
            <w:pPr>
              <w:pStyle w:val="0"/>
            </w:pPr>
            <w:r>
              <w:rPr>
                <w:sz w:val="20"/>
              </w:rPr>
              <w:t xml:space="preserve">120,3</w:t>
            </w:r>
          </w:p>
        </w:tc>
        <w:tc>
          <w:tcPr>
            <w:tcW w:w="1114" w:type="dxa"/>
          </w:tcPr>
          <w:p>
            <w:pPr>
              <w:pStyle w:val="0"/>
            </w:pPr>
            <w:r>
              <w:rPr>
                <w:sz w:val="20"/>
              </w:rPr>
              <w:t xml:space="preserve">21</w:t>
            </w:r>
          </w:p>
        </w:tc>
        <w:tc>
          <w:tcPr>
            <w:tcW w:w="979" w:type="dxa"/>
          </w:tcPr>
          <w:p>
            <w:pPr>
              <w:pStyle w:val="0"/>
            </w:pPr>
            <w:r>
              <w:rPr>
                <w:sz w:val="20"/>
              </w:rPr>
              <w:t xml:space="preserve">58,5</w:t>
            </w:r>
          </w:p>
        </w:tc>
        <w:tc>
          <w:tcPr>
            <w:tcW w:w="1114" w:type="dxa"/>
          </w:tcPr>
          <w:p>
            <w:pPr>
              <w:pStyle w:val="0"/>
            </w:pPr>
            <w:r>
              <w:rPr>
                <w:sz w:val="20"/>
              </w:rPr>
              <w:t xml:space="preserve">21</w:t>
            </w:r>
          </w:p>
        </w:tc>
        <w:tc>
          <w:tcPr>
            <w:tcW w:w="979" w:type="dxa"/>
          </w:tcPr>
          <w:p>
            <w:pPr>
              <w:pStyle w:val="0"/>
            </w:pPr>
            <w:r>
              <w:rPr>
                <w:sz w:val="20"/>
              </w:rPr>
              <w:t xml:space="preserve">58,5</w:t>
            </w:r>
          </w:p>
        </w:tc>
        <w:tc>
          <w:tcPr>
            <w:tcW w:w="1114" w:type="dxa"/>
          </w:tcPr>
          <w:p>
            <w:pPr>
              <w:pStyle w:val="0"/>
            </w:pPr>
            <w:r>
              <w:rPr>
                <w:sz w:val="20"/>
              </w:rPr>
              <w:t xml:space="preserve">27</w:t>
            </w:r>
          </w:p>
        </w:tc>
        <w:tc>
          <w:tcPr>
            <w:tcW w:w="979" w:type="dxa"/>
          </w:tcPr>
          <w:p>
            <w:pPr>
              <w:pStyle w:val="0"/>
            </w:pPr>
            <w:r>
              <w:rPr>
                <w:sz w:val="20"/>
              </w:rPr>
              <w:t xml:space="preserve">74,7</w:t>
            </w:r>
          </w:p>
        </w:tc>
      </w:tr>
      <w:tr>
        <w:tc>
          <w:tcPr>
            <w:tcW w:w="2194" w:type="dxa"/>
          </w:tcPr>
          <w:p>
            <w:pPr>
              <w:pStyle w:val="0"/>
            </w:pPr>
            <w:r>
              <w:rPr>
                <w:sz w:val="20"/>
              </w:rPr>
              <w:t xml:space="preserve">Мегион</w:t>
            </w:r>
          </w:p>
        </w:tc>
        <w:tc>
          <w:tcPr>
            <w:tcW w:w="1114" w:type="dxa"/>
          </w:tcPr>
          <w:p>
            <w:pPr>
              <w:pStyle w:val="0"/>
            </w:pPr>
            <w:r>
              <w:rPr>
                <w:sz w:val="20"/>
              </w:rPr>
              <w:t xml:space="preserve">103</w:t>
            </w:r>
          </w:p>
        </w:tc>
        <w:tc>
          <w:tcPr>
            <w:tcW w:w="979" w:type="dxa"/>
          </w:tcPr>
          <w:p>
            <w:pPr>
              <w:pStyle w:val="0"/>
            </w:pPr>
            <w:r>
              <w:rPr>
                <w:sz w:val="20"/>
              </w:rPr>
              <w:t xml:space="preserve">184,8</w:t>
            </w:r>
          </w:p>
        </w:tc>
        <w:tc>
          <w:tcPr>
            <w:tcW w:w="1114" w:type="dxa"/>
          </w:tcPr>
          <w:p>
            <w:pPr>
              <w:pStyle w:val="0"/>
            </w:pPr>
            <w:r>
              <w:rPr>
                <w:sz w:val="20"/>
              </w:rPr>
              <w:t xml:space="preserve">60</w:t>
            </w:r>
          </w:p>
        </w:tc>
        <w:tc>
          <w:tcPr>
            <w:tcW w:w="979" w:type="dxa"/>
          </w:tcPr>
          <w:p>
            <w:pPr>
              <w:pStyle w:val="0"/>
            </w:pPr>
            <w:r>
              <w:rPr>
                <w:sz w:val="20"/>
              </w:rPr>
              <w:t xml:space="preserve">107</w:t>
            </w:r>
          </w:p>
        </w:tc>
        <w:tc>
          <w:tcPr>
            <w:tcW w:w="1114" w:type="dxa"/>
          </w:tcPr>
          <w:p>
            <w:pPr>
              <w:pStyle w:val="0"/>
            </w:pPr>
            <w:r>
              <w:rPr>
                <w:sz w:val="20"/>
              </w:rPr>
              <w:t xml:space="preserve">81</w:t>
            </w:r>
          </w:p>
        </w:tc>
        <w:tc>
          <w:tcPr>
            <w:tcW w:w="979" w:type="dxa"/>
          </w:tcPr>
          <w:p>
            <w:pPr>
              <w:pStyle w:val="0"/>
            </w:pPr>
            <w:r>
              <w:rPr>
                <w:sz w:val="20"/>
              </w:rPr>
              <w:t xml:space="preserve">144,7</w:t>
            </w:r>
          </w:p>
        </w:tc>
        <w:tc>
          <w:tcPr>
            <w:tcW w:w="1114" w:type="dxa"/>
          </w:tcPr>
          <w:p>
            <w:pPr>
              <w:pStyle w:val="0"/>
            </w:pPr>
            <w:r>
              <w:rPr>
                <w:sz w:val="20"/>
              </w:rPr>
              <w:t xml:space="preserve">81</w:t>
            </w:r>
          </w:p>
        </w:tc>
        <w:tc>
          <w:tcPr>
            <w:tcW w:w="979" w:type="dxa"/>
          </w:tcPr>
          <w:p>
            <w:pPr>
              <w:pStyle w:val="0"/>
            </w:pPr>
            <w:r>
              <w:rPr>
                <w:sz w:val="20"/>
              </w:rPr>
              <w:t xml:space="preserve">144,7</w:t>
            </w:r>
          </w:p>
        </w:tc>
        <w:tc>
          <w:tcPr>
            <w:tcW w:w="1114" w:type="dxa"/>
          </w:tcPr>
          <w:p>
            <w:pPr>
              <w:pStyle w:val="0"/>
            </w:pPr>
            <w:r>
              <w:rPr>
                <w:sz w:val="20"/>
              </w:rPr>
              <w:t xml:space="preserve">85</w:t>
            </w:r>
          </w:p>
        </w:tc>
        <w:tc>
          <w:tcPr>
            <w:tcW w:w="979" w:type="dxa"/>
          </w:tcPr>
          <w:p>
            <w:pPr>
              <w:pStyle w:val="0"/>
            </w:pPr>
            <w:r>
              <w:rPr>
                <w:sz w:val="20"/>
              </w:rPr>
              <w:t xml:space="preserve">151,6</w:t>
            </w:r>
          </w:p>
        </w:tc>
      </w:tr>
      <w:tr>
        <w:tc>
          <w:tcPr>
            <w:tcW w:w="2194" w:type="dxa"/>
          </w:tcPr>
          <w:p>
            <w:pPr>
              <w:pStyle w:val="0"/>
            </w:pPr>
            <w:r>
              <w:rPr>
                <w:sz w:val="20"/>
              </w:rPr>
              <w:t xml:space="preserve">Радужный</w:t>
            </w:r>
          </w:p>
        </w:tc>
        <w:tc>
          <w:tcPr>
            <w:tcW w:w="1114" w:type="dxa"/>
          </w:tcPr>
          <w:p>
            <w:pPr>
              <w:pStyle w:val="0"/>
            </w:pPr>
            <w:r>
              <w:rPr>
                <w:sz w:val="20"/>
              </w:rPr>
              <w:t xml:space="preserve">36</w:t>
            </w:r>
          </w:p>
        </w:tc>
        <w:tc>
          <w:tcPr>
            <w:tcW w:w="979" w:type="dxa"/>
          </w:tcPr>
          <w:p>
            <w:pPr>
              <w:pStyle w:val="0"/>
            </w:pPr>
            <w:r>
              <w:rPr>
                <w:sz w:val="20"/>
              </w:rPr>
              <w:t xml:space="preserve">83</w:t>
            </w:r>
          </w:p>
        </w:tc>
        <w:tc>
          <w:tcPr>
            <w:tcW w:w="1114" w:type="dxa"/>
          </w:tcPr>
          <w:p>
            <w:pPr>
              <w:pStyle w:val="0"/>
            </w:pPr>
            <w:r>
              <w:rPr>
                <w:sz w:val="20"/>
              </w:rPr>
              <w:t xml:space="preserve">40</w:t>
            </w:r>
          </w:p>
        </w:tc>
        <w:tc>
          <w:tcPr>
            <w:tcW w:w="979" w:type="dxa"/>
          </w:tcPr>
          <w:p>
            <w:pPr>
              <w:pStyle w:val="0"/>
            </w:pPr>
            <w:r>
              <w:rPr>
                <w:sz w:val="20"/>
              </w:rPr>
              <w:t xml:space="preserve">92,9</w:t>
            </w:r>
          </w:p>
        </w:tc>
        <w:tc>
          <w:tcPr>
            <w:tcW w:w="1114" w:type="dxa"/>
          </w:tcPr>
          <w:p>
            <w:pPr>
              <w:pStyle w:val="0"/>
            </w:pPr>
            <w:r>
              <w:rPr>
                <w:sz w:val="20"/>
              </w:rPr>
              <w:t xml:space="preserve">47</w:t>
            </w:r>
          </w:p>
        </w:tc>
        <w:tc>
          <w:tcPr>
            <w:tcW w:w="979" w:type="dxa"/>
          </w:tcPr>
          <w:p>
            <w:pPr>
              <w:pStyle w:val="0"/>
            </w:pPr>
            <w:r>
              <w:rPr>
                <w:sz w:val="20"/>
              </w:rPr>
              <w:t xml:space="preserve">109,5</w:t>
            </w:r>
          </w:p>
        </w:tc>
        <w:tc>
          <w:tcPr>
            <w:tcW w:w="1114" w:type="dxa"/>
          </w:tcPr>
          <w:p>
            <w:pPr>
              <w:pStyle w:val="0"/>
            </w:pPr>
            <w:r>
              <w:rPr>
                <w:sz w:val="20"/>
              </w:rPr>
              <w:t xml:space="preserve">47</w:t>
            </w:r>
          </w:p>
        </w:tc>
        <w:tc>
          <w:tcPr>
            <w:tcW w:w="979" w:type="dxa"/>
          </w:tcPr>
          <w:p>
            <w:pPr>
              <w:pStyle w:val="0"/>
            </w:pPr>
            <w:r>
              <w:rPr>
                <w:sz w:val="20"/>
              </w:rPr>
              <w:t xml:space="preserve">109,5</w:t>
            </w:r>
          </w:p>
        </w:tc>
        <w:tc>
          <w:tcPr>
            <w:tcW w:w="1114" w:type="dxa"/>
          </w:tcPr>
          <w:p>
            <w:pPr>
              <w:pStyle w:val="0"/>
            </w:pPr>
            <w:r>
              <w:rPr>
                <w:sz w:val="20"/>
              </w:rPr>
              <w:t xml:space="preserve">43</w:t>
            </w:r>
          </w:p>
        </w:tc>
        <w:tc>
          <w:tcPr>
            <w:tcW w:w="979" w:type="dxa"/>
          </w:tcPr>
          <w:p>
            <w:pPr>
              <w:pStyle w:val="0"/>
            </w:pPr>
            <w:r>
              <w:rPr>
                <w:sz w:val="20"/>
              </w:rPr>
              <w:t xml:space="preserve">99,6</w:t>
            </w:r>
          </w:p>
        </w:tc>
      </w:tr>
      <w:tr>
        <w:tc>
          <w:tcPr>
            <w:tcW w:w="2194" w:type="dxa"/>
          </w:tcPr>
          <w:p>
            <w:pPr>
              <w:pStyle w:val="0"/>
            </w:pPr>
            <w:r>
              <w:rPr>
                <w:sz w:val="20"/>
              </w:rPr>
              <w:t xml:space="preserve">Покачи</w:t>
            </w:r>
          </w:p>
        </w:tc>
        <w:tc>
          <w:tcPr>
            <w:tcW w:w="1114" w:type="dxa"/>
          </w:tcPr>
          <w:p>
            <w:pPr>
              <w:pStyle w:val="0"/>
            </w:pPr>
            <w:r>
              <w:rPr>
                <w:sz w:val="20"/>
              </w:rPr>
              <w:t xml:space="preserve">14</w:t>
            </w:r>
          </w:p>
        </w:tc>
        <w:tc>
          <w:tcPr>
            <w:tcW w:w="979" w:type="dxa"/>
          </w:tcPr>
          <w:p>
            <w:pPr>
              <w:pStyle w:val="0"/>
            </w:pPr>
            <w:r>
              <w:rPr>
                <w:sz w:val="20"/>
              </w:rPr>
              <w:t xml:space="preserve">80,6</w:t>
            </w:r>
          </w:p>
        </w:tc>
        <w:tc>
          <w:tcPr>
            <w:tcW w:w="1114" w:type="dxa"/>
          </w:tcPr>
          <w:p>
            <w:pPr>
              <w:pStyle w:val="0"/>
            </w:pPr>
            <w:r>
              <w:rPr>
                <w:sz w:val="20"/>
              </w:rPr>
              <w:t xml:space="preserve">14</w:t>
            </w:r>
          </w:p>
        </w:tc>
        <w:tc>
          <w:tcPr>
            <w:tcW w:w="979" w:type="dxa"/>
          </w:tcPr>
          <w:p>
            <w:pPr>
              <w:pStyle w:val="0"/>
            </w:pPr>
            <w:r>
              <w:rPr>
                <w:sz w:val="20"/>
              </w:rPr>
              <w:t xml:space="preserve">56,8</w:t>
            </w:r>
          </w:p>
        </w:tc>
        <w:tc>
          <w:tcPr>
            <w:tcW w:w="1114" w:type="dxa"/>
          </w:tcPr>
          <w:p>
            <w:pPr>
              <w:pStyle w:val="0"/>
            </w:pPr>
            <w:r>
              <w:rPr>
                <w:sz w:val="20"/>
              </w:rPr>
              <w:t xml:space="preserve">12</w:t>
            </w:r>
          </w:p>
        </w:tc>
        <w:tc>
          <w:tcPr>
            <w:tcW w:w="979" w:type="dxa"/>
          </w:tcPr>
          <w:p>
            <w:pPr>
              <w:pStyle w:val="0"/>
            </w:pPr>
            <w:r>
              <w:rPr>
                <w:sz w:val="20"/>
              </w:rPr>
              <w:t xml:space="preserve">27,8</w:t>
            </w:r>
          </w:p>
        </w:tc>
        <w:tc>
          <w:tcPr>
            <w:tcW w:w="1114" w:type="dxa"/>
          </w:tcPr>
          <w:p>
            <w:pPr>
              <w:pStyle w:val="0"/>
            </w:pPr>
            <w:r>
              <w:rPr>
                <w:sz w:val="20"/>
              </w:rPr>
              <w:t xml:space="preserve">12</w:t>
            </w:r>
          </w:p>
        </w:tc>
        <w:tc>
          <w:tcPr>
            <w:tcW w:w="979" w:type="dxa"/>
          </w:tcPr>
          <w:p>
            <w:pPr>
              <w:pStyle w:val="0"/>
            </w:pPr>
            <w:r>
              <w:rPr>
                <w:sz w:val="20"/>
              </w:rPr>
              <w:t xml:space="preserve">27,8</w:t>
            </w:r>
          </w:p>
        </w:tc>
        <w:tc>
          <w:tcPr>
            <w:tcW w:w="1114" w:type="dxa"/>
          </w:tcPr>
          <w:p>
            <w:pPr>
              <w:pStyle w:val="0"/>
            </w:pPr>
            <w:r>
              <w:rPr>
                <w:sz w:val="20"/>
              </w:rPr>
              <w:t xml:space="preserve">10</w:t>
            </w:r>
          </w:p>
        </w:tc>
        <w:tc>
          <w:tcPr>
            <w:tcW w:w="979" w:type="dxa"/>
          </w:tcPr>
          <w:p>
            <w:pPr>
              <w:pStyle w:val="0"/>
            </w:pPr>
            <w:r>
              <w:rPr>
                <w:sz w:val="20"/>
              </w:rPr>
              <w:t xml:space="preserve">55,5</w:t>
            </w:r>
          </w:p>
        </w:tc>
      </w:tr>
      <w:tr>
        <w:tc>
          <w:tcPr>
            <w:tcW w:w="2194" w:type="dxa"/>
          </w:tcPr>
          <w:p>
            <w:pPr>
              <w:pStyle w:val="0"/>
            </w:pPr>
            <w:r>
              <w:rPr>
                <w:sz w:val="20"/>
              </w:rPr>
              <w:t xml:space="preserve">Лангепас</w:t>
            </w:r>
          </w:p>
        </w:tc>
        <w:tc>
          <w:tcPr>
            <w:tcW w:w="1114" w:type="dxa"/>
          </w:tcPr>
          <w:p>
            <w:pPr>
              <w:pStyle w:val="0"/>
            </w:pPr>
            <w:r>
              <w:rPr>
                <w:sz w:val="20"/>
              </w:rPr>
              <w:t xml:space="preserve">23</w:t>
            </w:r>
          </w:p>
        </w:tc>
        <w:tc>
          <w:tcPr>
            <w:tcW w:w="979" w:type="dxa"/>
          </w:tcPr>
          <w:p>
            <w:pPr>
              <w:pStyle w:val="0"/>
            </w:pPr>
            <w:r>
              <w:rPr>
                <w:sz w:val="20"/>
              </w:rPr>
              <w:t xml:space="preserve">53,8</w:t>
            </w:r>
          </w:p>
        </w:tc>
        <w:tc>
          <w:tcPr>
            <w:tcW w:w="1114" w:type="dxa"/>
          </w:tcPr>
          <w:p>
            <w:pPr>
              <w:pStyle w:val="0"/>
            </w:pPr>
            <w:r>
              <w:rPr>
                <w:sz w:val="20"/>
              </w:rPr>
              <w:t xml:space="preserve">37</w:t>
            </w:r>
          </w:p>
        </w:tc>
        <w:tc>
          <w:tcPr>
            <w:tcW w:w="979" w:type="dxa"/>
          </w:tcPr>
          <w:p>
            <w:pPr>
              <w:pStyle w:val="0"/>
            </w:pPr>
            <w:r>
              <w:rPr>
                <w:sz w:val="20"/>
              </w:rPr>
              <w:t xml:space="preserve">86,3</w:t>
            </w:r>
          </w:p>
        </w:tc>
        <w:tc>
          <w:tcPr>
            <w:tcW w:w="1114" w:type="dxa"/>
          </w:tcPr>
          <w:p>
            <w:pPr>
              <w:pStyle w:val="0"/>
            </w:pPr>
            <w:r>
              <w:rPr>
                <w:sz w:val="20"/>
              </w:rPr>
              <w:t xml:space="preserve">45</w:t>
            </w:r>
          </w:p>
        </w:tc>
        <w:tc>
          <w:tcPr>
            <w:tcW w:w="979" w:type="dxa"/>
          </w:tcPr>
          <w:p>
            <w:pPr>
              <w:pStyle w:val="0"/>
            </w:pPr>
            <w:r>
              <w:rPr>
                <w:sz w:val="20"/>
              </w:rPr>
              <w:t xml:space="preserve">252,6</w:t>
            </w:r>
          </w:p>
        </w:tc>
        <w:tc>
          <w:tcPr>
            <w:tcW w:w="1114" w:type="dxa"/>
          </w:tcPr>
          <w:p>
            <w:pPr>
              <w:pStyle w:val="0"/>
            </w:pPr>
            <w:r>
              <w:rPr>
                <w:sz w:val="20"/>
              </w:rPr>
              <w:t xml:space="preserve">45</w:t>
            </w:r>
          </w:p>
        </w:tc>
        <w:tc>
          <w:tcPr>
            <w:tcW w:w="979" w:type="dxa"/>
          </w:tcPr>
          <w:p>
            <w:pPr>
              <w:pStyle w:val="0"/>
            </w:pPr>
            <w:r>
              <w:rPr>
                <w:sz w:val="20"/>
              </w:rPr>
              <w:t xml:space="preserve">252,6</w:t>
            </w:r>
          </w:p>
        </w:tc>
        <w:tc>
          <w:tcPr>
            <w:tcW w:w="1114" w:type="dxa"/>
          </w:tcPr>
          <w:p>
            <w:pPr>
              <w:pStyle w:val="0"/>
            </w:pPr>
            <w:r>
              <w:rPr>
                <w:sz w:val="20"/>
              </w:rPr>
              <w:t xml:space="preserve">34</w:t>
            </w:r>
          </w:p>
        </w:tc>
        <w:tc>
          <w:tcPr>
            <w:tcW w:w="979" w:type="dxa"/>
          </w:tcPr>
          <w:p>
            <w:pPr>
              <w:pStyle w:val="0"/>
            </w:pPr>
            <w:r>
              <w:rPr>
                <w:sz w:val="20"/>
              </w:rPr>
              <w:t xml:space="preserve">78,1</w:t>
            </w:r>
          </w:p>
        </w:tc>
      </w:tr>
      <w:tr>
        <w:tc>
          <w:tcPr>
            <w:tcW w:w="2194" w:type="dxa"/>
          </w:tcPr>
          <w:p>
            <w:pPr>
              <w:pStyle w:val="0"/>
            </w:pPr>
            <w:r>
              <w:rPr>
                <w:sz w:val="20"/>
              </w:rPr>
              <w:t xml:space="preserve">Всего по центру</w:t>
            </w:r>
          </w:p>
        </w:tc>
        <w:tc>
          <w:tcPr>
            <w:tcW w:w="1114" w:type="dxa"/>
          </w:tcPr>
          <w:p>
            <w:pPr>
              <w:pStyle w:val="0"/>
            </w:pPr>
            <w:r>
              <w:rPr>
                <w:sz w:val="20"/>
              </w:rPr>
              <w:t xml:space="preserve">571</w:t>
            </w:r>
          </w:p>
        </w:tc>
        <w:tc>
          <w:tcPr>
            <w:tcW w:w="979" w:type="dxa"/>
          </w:tcPr>
          <w:p>
            <w:pPr>
              <w:pStyle w:val="0"/>
            </w:pPr>
            <w:r>
              <w:rPr>
                <w:sz w:val="20"/>
              </w:rPr>
              <w:t xml:space="preserve">124,2</w:t>
            </w:r>
          </w:p>
        </w:tc>
        <w:tc>
          <w:tcPr>
            <w:tcW w:w="1114" w:type="dxa"/>
          </w:tcPr>
          <w:p>
            <w:pPr>
              <w:pStyle w:val="0"/>
            </w:pPr>
            <w:r>
              <w:rPr>
                <w:sz w:val="20"/>
              </w:rPr>
              <w:t xml:space="preserve">513</w:t>
            </w:r>
          </w:p>
        </w:tc>
        <w:tc>
          <w:tcPr>
            <w:tcW w:w="979" w:type="dxa"/>
          </w:tcPr>
          <w:p>
            <w:pPr>
              <w:pStyle w:val="0"/>
            </w:pPr>
            <w:r>
              <w:rPr>
                <w:sz w:val="20"/>
              </w:rPr>
              <w:t xml:space="preserve">110</w:t>
            </w:r>
          </w:p>
        </w:tc>
        <w:tc>
          <w:tcPr>
            <w:tcW w:w="1114" w:type="dxa"/>
          </w:tcPr>
          <w:p>
            <w:pPr>
              <w:pStyle w:val="0"/>
            </w:pPr>
            <w:r>
              <w:rPr>
                <w:sz w:val="20"/>
              </w:rPr>
              <w:t xml:space="preserve">512</w:t>
            </w:r>
          </w:p>
        </w:tc>
        <w:tc>
          <w:tcPr>
            <w:tcW w:w="979" w:type="dxa"/>
          </w:tcPr>
          <w:p>
            <w:pPr>
              <w:pStyle w:val="0"/>
            </w:pPr>
            <w:r>
              <w:rPr>
                <w:sz w:val="20"/>
              </w:rPr>
              <w:t xml:space="preserve">110</w:t>
            </w:r>
          </w:p>
        </w:tc>
        <w:tc>
          <w:tcPr>
            <w:tcW w:w="1114" w:type="dxa"/>
          </w:tcPr>
          <w:p>
            <w:pPr>
              <w:pStyle w:val="0"/>
            </w:pPr>
            <w:r>
              <w:rPr>
                <w:sz w:val="20"/>
              </w:rPr>
              <w:t xml:space="preserve">512</w:t>
            </w:r>
          </w:p>
        </w:tc>
        <w:tc>
          <w:tcPr>
            <w:tcW w:w="979" w:type="dxa"/>
          </w:tcPr>
          <w:p>
            <w:pPr>
              <w:pStyle w:val="0"/>
            </w:pPr>
            <w:r>
              <w:rPr>
                <w:sz w:val="20"/>
              </w:rPr>
              <w:t xml:space="preserve">110</w:t>
            </w:r>
          </w:p>
        </w:tc>
        <w:tc>
          <w:tcPr>
            <w:tcW w:w="1114" w:type="dxa"/>
          </w:tcPr>
          <w:p>
            <w:pPr>
              <w:pStyle w:val="0"/>
            </w:pPr>
            <w:r>
              <w:rPr>
                <w:sz w:val="20"/>
              </w:rPr>
              <w:t xml:space="preserve">526</w:t>
            </w:r>
          </w:p>
        </w:tc>
        <w:tc>
          <w:tcPr>
            <w:tcW w:w="979" w:type="dxa"/>
          </w:tcPr>
          <w:p>
            <w:pPr>
              <w:pStyle w:val="0"/>
            </w:pPr>
            <w:r>
              <w:rPr>
                <w:sz w:val="20"/>
              </w:rPr>
              <w:t xml:space="preserve">112</w:t>
            </w:r>
          </w:p>
        </w:tc>
      </w:tr>
      <w:tr>
        <w:tc>
          <w:tcPr>
            <w:tcW w:w="2194" w:type="dxa"/>
          </w:tcPr>
          <w:p>
            <w:pPr>
              <w:pStyle w:val="0"/>
            </w:pPr>
            <w:r>
              <w:rPr>
                <w:sz w:val="20"/>
              </w:rPr>
              <w:t xml:space="preserve">регион</w:t>
            </w:r>
          </w:p>
        </w:tc>
        <w:tc>
          <w:tcPr>
            <w:tcW w:w="1114" w:type="dxa"/>
          </w:tcPr>
          <w:p>
            <w:pPr>
              <w:pStyle w:val="0"/>
            </w:pPr>
            <w:r>
              <w:rPr>
                <w:sz w:val="20"/>
              </w:rPr>
              <w:t xml:space="preserve">1769</w:t>
            </w:r>
          </w:p>
        </w:tc>
        <w:tc>
          <w:tcPr>
            <w:tcW w:w="979" w:type="dxa"/>
          </w:tcPr>
          <w:p>
            <w:pPr>
              <w:pStyle w:val="0"/>
            </w:pPr>
            <w:r>
              <w:rPr>
                <w:sz w:val="20"/>
              </w:rPr>
              <w:t xml:space="preserve">111,8</w:t>
            </w:r>
          </w:p>
        </w:tc>
        <w:tc>
          <w:tcPr>
            <w:tcW w:w="1114" w:type="dxa"/>
          </w:tcPr>
          <w:p>
            <w:pPr>
              <w:pStyle w:val="0"/>
            </w:pPr>
            <w:r>
              <w:rPr>
                <w:sz w:val="20"/>
              </w:rPr>
              <w:t xml:space="preserve">1768</w:t>
            </w:r>
          </w:p>
        </w:tc>
        <w:tc>
          <w:tcPr>
            <w:tcW w:w="979" w:type="dxa"/>
          </w:tcPr>
          <w:p>
            <w:pPr>
              <w:pStyle w:val="0"/>
            </w:pPr>
            <w:r>
              <w:rPr>
                <w:sz w:val="20"/>
              </w:rPr>
              <w:t xml:space="preserve">110,2</w:t>
            </w:r>
          </w:p>
        </w:tc>
        <w:tc>
          <w:tcPr>
            <w:tcW w:w="1114" w:type="dxa"/>
          </w:tcPr>
          <w:p>
            <w:pPr>
              <w:pStyle w:val="0"/>
            </w:pPr>
            <w:r>
              <w:rPr>
                <w:sz w:val="20"/>
              </w:rPr>
              <w:t xml:space="preserve">1751</w:t>
            </w:r>
          </w:p>
        </w:tc>
        <w:tc>
          <w:tcPr>
            <w:tcW w:w="979" w:type="dxa"/>
          </w:tcPr>
          <w:p>
            <w:pPr>
              <w:pStyle w:val="0"/>
            </w:pPr>
            <w:r>
              <w:rPr>
                <w:sz w:val="20"/>
              </w:rPr>
              <w:t xml:space="preserve">108,1</w:t>
            </w:r>
          </w:p>
        </w:tc>
        <w:tc>
          <w:tcPr>
            <w:tcW w:w="1114" w:type="dxa"/>
          </w:tcPr>
          <w:p>
            <w:pPr>
              <w:pStyle w:val="0"/>
            </w:pPr>
            <w:r>
              <w:rPr>
                <w:sz w:val="20"/>
              </w:rPr>
              <w:t xml:space="preserve">1772</w:t>
            </w:r>
          </w:p>
        </w:tc>
        <w:tc>
          <w:tcPr>
            <w:tcW w:w="979" w:type="dxa"/>
          </w:tcPr>
          <w:p>
            <w:pPr>
              <w:pStyle w:val="0"/>
            </w:pPr>
            <w:r>
              <w:rPr>
                <w:sz w:val="20"/>
              </w:rPr>
              <w:t xml:space="preserve">108,3</w:t>
            </w:r>
          </w:p>
        </w:tc>
        <w:tc>
          <w:tcPr>
            <w:tcW w:w="1114" w:type="dxa"/>
          </w:tcPr>
          <w:p>
            <w:pPr>
              <w:pStyle w:val="0"/>
            </w:pPr>
            <w:r>
              <w:rPr>
                <w:sz w:val="20"/>
              </w:rPr>
              <w:t xml:space="preserve">1792</w:t>
            </w:r>
          </w:p>
        </w:tc>
        <w:tc>
          <w:tcPr>
            <w:tcW w:w="979" w:type="dxa"/>
          </w:tcPr>
          <w:p>
            <w:pPr>
              <w:pStyle w:val="0"/>
            </w:pPr>
            <w:r>
              <w:rPr>
                <w:sz w:val="20"/>
              </w:rPr>
              <w:t xml:space="preserve">108,3</w:t>
            </w:r>
          </w:p>
        </w:tc>
      </w:tr>
      <w:tr>
        <w:tc>
          <w:tcPr>
            <w:tcW w:w="2194" w:type="dxa"/>
          </w:tcPr>
          <w:p>
            <w:pPr>
              <w:pStyle w:val="0"/>
            </w:pPr>
            <w:r>
              <w:rPr>
                <w:sz w:val="20"/>
              </w:rPr>
              <w:t xml:space="preserve">Российская Федерация</w:t>
            </w:r>
          </w:p>
        </w:tc>
        <w:tc>
          <w:tcPr>
            <w:gridSpan w:val="2"/>
            <w:tcW w:w="2093" w:type="dxa"/>
          </w:tcPr>
          <w:p>
            <w:pPr>
              <w:pStyle w:val="0"/>
            </w:pPr>
            <w:r>
              <w:rPr>
                <w:sz w:val="20"/>
              </w:rPr>
              <w:t xml:space="preserve">201,1</w:t>
            </w:r>
          </w:p>
        </w:tc>
        <w:tc>
          <w:tcPr>
            <w:gridSpan w:val="2"/>
            <w:tcW w:w="2093" w:type="dxa"/>
          </w:tcPr>
          <w:p>
            <w:pPr>
              <w:pStyle w:val="0"/>
            </w:pPr>
            <w:r>
              <w:rPr>
                <w:sz w:val="20"/>
              </w:rPr>
              <w:t xml:space="preserve">199,5</w:t>
            </w:r>
          </w:p>
        </w:tc>
        <w:tc>
          <w:tcPr>
            <w:gridSpan w:val="2"/>
            <w:tcW w:w="2093" w:type="dxa"/>
          </w:tcPr>
          <w:p>
            <w:pPr>
              <w:pStyle w:val="0"/>
            </w:pPr>
            <w:r>
              <w:rPr>
                <w:sz w:val="20"/>
              </w:rPr>
              <w:t xml:space="preserve">202,5</w:t>
            </w:r>
          </w:p>
        </w:tc>
        <w:tc>
          <w:tcPr>
            <w:gridSpan w:val="2"/>
            <w:tcW w:w="2093" w:type="dxa"/>
          </w:tcPr>
          <w:p>
            <w:pPr>
              <w:pStyle w:val="0"/>
            </w:pPr>
            <w:r>
              <w:rPr>
                <w:sz w:val="20"/>
              </w:rPr>
              <w:t xml:space="preserve">201,6</w:t>
            </w:r>
          </w:p>
        </w:tc>
        <w:tc>
          <w:tcPr>
            <w:gridSpan w:val="2"/>
            <w:tcW w:w="2093" w:type="dxa"/>
          </w:tcPr>
          <w:p>
            <w:pPr>
              <w:pStyle w:val="0"/>
            </w:pPr>
            <w:r>
              <w:rPr>
                <w:sz w:val="20"/>
              </w:rPr>
              <w:t xml:space="preserve">197,9</w:t>
            </w:r>
          </w:p>
        </w:tc>
      </w:tr>
    </w:tbl>
    <w:p>
      <w:pPr>
        <w:pStyle w:val="0"/>
        <w:jc w:val="right"/>
      </w:pPr>
      <w:r>
        <w:rPr>
          <w:sz w:val="20"/>
        </w:rPr>
      </w:r>
    </w:p>
    <w:p>
      <w:pPr>
        <w:pStyle w:val="0"/>
        <w:jc w:val="right"/>
      </w:pPr>
      <w:r>
        <w:rPr>
          <w:sz w:val="20"/>
        </w:rPr>
        <w:t xml:space="preserve">Таблица 23</w:t>
      </w:r>
    </w:p>
    <w:p>
      <w:pPr>
        <w:pStyle w:val="0"/>
        <w:jc w:val="right"/>
      </w:pPr>
      <w:r>
        <w:rPr>
          <w:sz w:val="20"/>
        </w:rPr>
      </w:r>
    </w:p>
    <w:bookmarkStart w:id="8504" w:name="P8504"/>
    <w:bookmarkEnd w:id="8504"/>
    <w:p>
      <w:pPr>
        <w:pStyle w:val="0"/>
        <w:jc w:val="center"/>
      </w:pPr>
      <w:r>
        <w:rPr>
          <w:sz w:val="20"/>
        </w:rPr>
        <w:t xml:space="preserve">Смертность населения автономного округа от злокачественных</w:t>
      </w:r>
    </w:p>
    <w:p>
      <w:pPr>
        <w:pStyle w:val="0"/>
        <w:jc w:val="center"/>
      </w:pPr>
      <w:r>
        <w:rPr>
          <w:sz w:val="20"/>
        </w:rPr>
        <w:t xml:space="preserve">новообразований в разрезе муниципальных образований</w:t>
      </w:r>
    </w:p>
    <w:p>
      <w:pPr>
        <w:pStyle w:val="0"/>
        <w:jc w:val="center"/>
      </w:pPr>
      <w:r>
        <w:rPr>
          <w:sz w:val="20"/>
        </w:rPr>
        <w:t xml:space="preserve">за период 2018 - 2022 годов</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1009"/>
        <w:gridCol w:w="859"/>
        <w:gridCol w:w="1009"/>
        <w:gridCol w:w="859"/>
        <w:gridCol w:w="1009"/>
        <w:gridCol w:w="859"/>
        <w:gridCol w:w="1009"/>
        <w:gridCol w:w="859"/>
        <w:gridCol w:w="1009"/>
        <w:gridCol w:w="859"/>
      </w:tblGrid>
      <w:tr>
        <w:tc>
          <w:tcPr>
            <w:tcW w:w="2608" w:type="dxa"/>
            <w:vMerge w:val="restart"/>
          </w:tcPr>
          <w:p>
            <w:pPr>
              <w:pStyle w:val="0"/>
              <w:jc w:val="center"/>
            </w:pPr>
            <w:r>
              <w:rPr>
                <w:sz w:val="20"/>
              </w:rPr>
              <w:t xml:space="preserve">Муниципальные районы и городские округа</w:t>
            </w:r>
          </w:p>
        </w:tc>
        <w:tc>
          <w:tcPr>
            <w:gridSpan w:val="2"/>
            <w:tcW w:w="1868" w:type="dxa"/>
          </w:tcPr>
          <w:p>
            <w:pPr>
              <w:pStyle w:val="0"/>
              <w:jc w:val="center"/>
            </w:pPr>
            <w:r>
              <w:rPr>
                <w:sz w:val="20"/>
              </w:rPr>
              <w:t xml:space="preserve">2018 год</w:t>
            </w:r>
          </w:p>
        </w:tc>
        <w:tc>
          <w:tcPr>
            <w:gridSpan w:val="2"/>
            <w:tcW w:w="1868" w:type="dxa"/>
          </w:tcPr>
          <w:p>
            <w:pPr>
              <w:pStyle w:val="0"/>
              <w:jc w:val="center"/>
            </w:pPr>
            <w:r>
              <w:rPr>
                <w:sz w:val="20"/>
              </w:rPr>
              <w:t xml:space="preserve">2019 год</w:t>
            </w:r>
          </w:p>
        </w:tc>
        <w:tc>
          <w:tcPr>
            <w:gridSpan w:val="2"/>
            <w:tcW w:w="1868" w:type="dxa"/>
          </w:tcPr>
          <w:p>
            <w:pPr>
              <w:pStyle w:val="0"/>
              <w:jc w:val="center"/>
            </w:pPr>
            <w:r>
              <w:rPr>
                <w:sz w:val="20"/>
              </w:rPr>
              <w:t xml:space="preserve">2020 год</w:t>
            </w:r>
          </w:p>
        </w:tc>
        <w:tc>
          <w:tcPr>
            <w:gridSpan w:val="2"/>
            <w:tcW w:w="1868" w:type="dxa"/>
          </w:tcPr>
          <w:p>
            <w:pPr>
              <w:pStyle w:val="0"/>
              <w:jc w:val="center"/>
            </w:pPr>
            <w:r>
              <w:rPr>
                <w:sz w:val="20"/>
              </w:rPr>
              <w:t xml:space="preserve">2021 год</w:t>
            </w:r>
          </w:p>
        </w:tc>
        <w:tc>
          <w:tcPr>
            <w:gridSpan w:val="2"/>
            <w:tcW w:w="1868" w:type="dxa"/>
          </w:tcPr>
          <w:p>
            <w:pPr>
              <w:pStyle w:val="0"/>
              <w:jc w:val="center"/>
            </w:pPr>
            <w:r>
              <w:rPr>
                <w:sz w:val="20"/>
              </w:rPr>
              <w:t xml:space="preserve">2022 год</w:t>
            </w:r>
          </w:p>
        </w:tc>
      </w:tr>
      <w:tr>
        <w:tc>
          <w:tcPr>
            <w:vMerge w:val="continue"/>
          </w:tcPr>
          <w:p/>
        </w:tc>
        <w:tc>
          <w:tcPr>
            <w:tcW w:w="1009" w:type="dxa"/>
          </w:tcPr>
          <w:p>
            <w:pPr>
              <w:pStyle w:val="0"/>
              <w:jc w:val="center"/>
            </w:pPr>
            <w:r>
              <w:rPr>
                <w:sz w:val="20"/>
              </w:rPr>
              <w:t xml:space="preserve">абс. число умерших от ЗНО</w:t>
            </w:r>
          </w:p>
        </w:tc>
        <w:tc>
          <w:tcPr>
            <w:tcW w:w="859" w:type="dxa"/>
          </w:tcPr>
          <w:p>
            <w:pPr>
              <w:pStyle w:val="0"/>
              <w:jc w:val="center"/>
            </w:pPr>
            <w:r>
              <w:rPr>
                <w:sz w:val="20"/>
              </w:rPr>
              <w:t xml:space="preserve">грубый показ. на 100 тыс.</w:t>
            </w:r>
          </w:p>
        </w:tc>
        <w:tc>
          <w:tcPr>
            <w:tcW w:w="1009" w:type="dxa"/>
          </w:tcPr>
          <w:p>
            <w:pPr>
              <w:pStyle w:val="0"/>
              <w:jc w:val="center"/>
            </w:pPr>
            <w:r>
              <w:rPr>
                <w:sz w:val="20"/>
              </w:rPr>
              <w:t xml:space="preserve">абс. число умерших от ЗНО</w:t>
            </w:r>
          </w:p>
        </w:tc>
        <w:tc>
          <w:tcPr>
            <w:tcW w:w="859" w:type="dxa"/>
          </w:tcPr>
          <w:p>
            <w:pPr>
              <w:pStyle w:val="0"/>
              <w:jc w:val="center"/>
            </w:pPr>
            <w:r>
              <w:rPr>
                <w:sz w:val="20"/>
              </w:rPr>
              <w:t xml:space="preserve">грубый показ. на 100 тыс.</w:t>
            </w:r>
          </w:p>
        </w:tc>
        <w:tc>
          <w:tcPr>
            <w:tcW w:w="1009" w:type="dxa"/>
          </w:tcPr>
          <w:p>
            <w:pPr>
              <w:pStyle w:val="0"/>
              <w:jc w:val="center"/>
            </w:pPr>
            <w:r>
              <w:rPr>
                <w:sz w:val="20"/>
              </w:rPr>
              <w:t xml:space="preserve">абс. число умерших от ЗНО</w:t>
            </w:r>
          </w:p>
        </w:tc>
        <w:tc>
          <w:tcPr>
            <w:tcW w:w="859" w:type="dxa"/>
          </w:tcPr>
          <w:p>
            <w:pPr>
              <w:pStyle w:val="0"/>
              <w:jc w:val="center"/>
            </w:pPr>
            <w:r>
              <w:rPr>
                <w:sz w:val="20"/>
              </w:rPr>
              <w:t xml:space="preserve">грубый показ. на 100 тыс.</w:t>
            </w:r>
          </w:p>
        </w:tc>
        <w:tc>
          <w:tcPr>
            <w:tcW w:w="1009" w:type="dxa"/>
          </w:tcPr>
          <w:p>
            <w:pPr>
              <w:pStyle w:val="0"/>
              <w:jc w:val="center"/>
            </w:pPr>
            <w:r>
              <w:rPr>
                <w:sz w:val="20"/>
              </w:rPr>
              <w:t xml:space="preserve">абс. число умерших от ЗНО</w:t>
            </w:r>
          </w:p>
        </w:tc>
        <w:tc>
          <w:tcPr>
            <w:tcW w:w="859" w:type="dxa"/>
          </w:tcPr>
          <w:p>
            <w:pPr>
              <w:pStyle w:val="0"/>
              <w:jc w:val="center"/>
            </w:pPr>
            <w:r>
              <w:rPr>
                <w:sz w:val="20"/>
              </w:rPr>
              <w:t xml:space="preserve">грубый показ. на 100 тыс.</w:t>
            </w:r>
          </w:p>
        </w:tc>
        <w:tc>
          <w:tcPr>
            <w:tcW w:w="1009" w:type="dxa"/>
          </w:tcPr>
          <w:p>
            <w:pPr>
              <w:pStyle w:val="0"/>
              <w:jc w:val="center"/>
            </w:pPr>
            <w:r>
              <w:rPr>
                <w:sz w:val="20"/>
              </w:rPr>
              <w:t xml:space="preserve">абс. число умерших от ЗНО</w:t>
            </w:r>
          </w:p>
        </w:tc>
        <w:tc>
          <w:tcPr>
            <w:tcW w:w="859" w:type="dxa"/>
          </w:tcPr>
          <w:p>
            <w:pPr>
              <w:pStyle w:val="0"/>
              <w:jc w:val="center"/>
            </w:pPr>
            <w:r>
              <w:rPr>
                <w:sz w:val="20"/>
              </w:rPr>
              <w:t xml:space="preserve">грубый показ. на 100 тыс.</w:t>
            </w:r>
          </w:p>
        </w:tc>
      </w:tr>
      <w:tr>
        <w:tc>
          <w:tcPr>
            <w:gridSpan w:val="11"/>
            <w:tcW w:w="11948" w:type="dxa"/>
          </w:tcPr>
          <w:p>
            <w:pPr>
              <w:pStyle w:val="0"/>
            </w:pPr>
            <w:r>
              <w:rPr>
                <w:sz w:val="20"/>
              </w:rPr>
              <w:t xml:space="preserve">Онкологический центр (г. Ханты-Мансийск)</w:t>
            </w:r>
          </w:p>
        </w:tc>
      </w:tr>
      <w:tr>
        <w:tc>
          <w:tcPr>
            <w:tcW w:w="2608" w:type="dxa"/>
          </w:tcPr>
          <w:p>
            <w:pPr>
              <w:pStyle w:val="0"/>
            </w:pPr>
            <w:r>
              <w:rPr>
                <w:sz w:val="20"/>
              </w:rPr>
              <w:t xml:space="preserve">Ханты-Мансийск</w:t>
            </w:r>
          </w:p>
        </w:tc>
        <w:tc>
          <w:tcPr>
            <w:tcW w:w="1009" w:type="dxa"/>
          </w:tcPr>
          <w:p>
            <w:pPr>
              <w:pStyle w:val="0"/>
            </w:pPr>
            <w:r>
              <w:rPr>
                <w:sz w:val="20"/>
              </w:rPr>
              <w:t xml:space="preserve">76</w:t>
            </w:r>
          </w:p>
        </w:tc>
        <w:tc>
          <w:tcPr>
            <w:tcW w:w="859" w:type="dxa"/>
          </w:tcPr>
          <w:p>
            <w:pPr>
              <w:pStyle w:val="0"/>
            </w:pPr>
            <w:r>
              <w:rPr>
                <w:sz w:val="20"/>
              </w:rPr>
              <w:t xml:space="preserve">91,8</w:t>
            </w:r>
          </w:p>
        </w:tc>
        <w:tc>
          <w:tcPr>
            <w:tcW w:w="1009" w:type="dxa"/>
          </w:tcPr>
          <w:p>
            <w:pPr>
              <w:pStyle w:val="0"/>
            </w:pPr>
            <w:r>
              <w:rPr>
                <w:sz w:val="20"/>
              </w:rPr>
              <w:t xml:space="preserve">80</w:t>
            </w:r>
          </w:p>
        </w:tc>
        <w:tc>
          <w:tcPr>
            <w:tcW w:w="859" w:type="dxa"/>
          </w:tcPr>
          <w:p>
            <w:pPr>
              <w:pStyle w:val="0"/>
            </w:pPr>
            <w:r>
              <w:rPr>
                <w:sz w:val="20"/>
              </w:rPr>
              <w:t xml:space="preserve">90,9</w:t>
            </w:r>
          </w:p>
        </w:tc>
        <w:tc>
          <w:tcPr>
            <w:tcW w:w="1009" w:type="dxa"/>
          </w:tcPr>
          <w:p>
            <w:pPr>
              <w:pStyle w:val="0"/>
            </w:pPr>
            <w:r>
              <w:rPr>
                <w:sz w:val="20"/>
              </w:rPr>
              <w:t xml:space="preserve">85</w:t>
            </w:r>
          </w:p>
        </w:tc>
        <w:tc>
          <w:tcPr>
            <w:tcW w:w="859" w:type="dxa"/>
          </w:tcPr>
          <w:p>
            <w:pPr>
              <w:pStyle w:val="0"/>
            </w:pPr>
            <w:r>
              <w:rPr>
                <w:sz w:val="20"/>
              </w:rPr>
              <w:t xml:space="preserve">92,2</w:t>
            </w:r>
          </w:p>
        </w:tc>
        <w:tc>
          <w:tcPr>
            <w:tcW w:w="1009" w:type="dxa"/>
          </w:tcPr>
          <w:p>
            <w:pPr>
              <w:pStyle w:val="0"/>
            </w:pPr>
            <w:r>
              <w:rPr>
                <w:sz w:val="20"/>
              </w:rPr>
              <w:t xml:space="preserve">104</w:t>
            </w:r>
          </w:p>
        </w:tc>
        <w:tc>
          <w:tcPr>
            <w:tcW w:w="859" w:type="dxa"/>
          </w:tcPr>
          <w:p>
            <w:pPr>
              <w:pStyle w:val="0"/>
            </w:pPr>
            <w:r>
              <w:rPr>
                <w:sz w:val="20"/>
              </w:rPr>
              <w:t xml:space="preserve">110,2</w:t>
            </w:r>
          </w:p>
        </w:tc>
        <w:tc>
          <w:tcPr>
            <w:tcW w:w="1009" w:type="dxa"/>
          </w:tcPr>
          <w:p>
            <w:pPr>
              <w:pStyle w:val="0"/>
            </w:pPr>
            <w:r>
              <w:rPr>
                <w:sz w:val="20"/>
              </w:rPr>
              <w:t xml:space="preserve">75</w:t>
            </w:r>
          </w:p>
        </w:tc>
        <w:tc>
          <w:tcPr>
            <w:tcW w:w="859" w:type="dxa"/>
          </w:tcPr>
          <w:p>
            <w:pPr>
              <w:pStyle w:val="0"/>
            </w:pPr>
            <w:r>
              <w:rPr>
                <w:sz w:val="20"/>
              </w:rPr>
              <w:t xml:space="preserve">78</w:t>
            </w:r>
          </w:p>
        </w:tc>
      </w:tr>
      <w:tr>
        <w:tc>
          <w:tcPr>
            <w:tcW w:w="2608" w:type="dxa"/>
          </w:tcPr>
          <w:p>
            <w:pPr>
              <w:pStyle w:val="0"/>
            </w:pPr>
            <w:r>
              <w:rPr>
                <w:sz w:val="20"/>
              </w:rPr>
              <w:t xml:space="preserve">Нягань</w:t>
            </w:r>
          </w:p>
        </w:tc>
        <w:tc>
          <w:tcPr>
            <w:tcW w:w="1009" w:type="dxa"/>
          </w:tcPr>
          <w:p>
            <w:pPr>
              <w:pStyle w:val="0"/>
            </w:pPr>
            <w:r>
              <w:rPr>
                <w:sz w:val="20"/>
              </w:rPr>
              <w:t xml:space="preserve">65</w:t>
            </w:r>
          </w:p>
        </w:tc>
        <w:tc>
          <w:tcPr>
            <w:tcW w:w="859" w:type="dxa"/>
          </w:tcPr>
          <w:p>
            <w:pPr>
              <w:pStyle w:val="0"/>
            </w:pPr>
            <w:r>
              <w:rPr>
                <w:sz w:val="20"/>
              </w:rPr>
              <w:t xml:space="preserve">117,5</w:t>
            </w:r>
          </w:p>
        </w:tc>
        <w:tc>
          <w:tcPr>
            <w:tcW w:w="1009" w:type="dxa"/>
          </w:tcPr>
          <w:p>
            <w:pPr>
              <w:pStyle w:val="0"/>
            </w:pPr>
            <w:r>
              <w:rPr>
                <w:sz w:val="20"/>
              </w:rPr>
              <w:t xml:space="preserve">70</w:t>
            </w:r>
          </w:p>
        </w:tc>
        <w:tc>
          <w:tcPr>
            <w:tcW w:w="859" w:type="dxa"/>
          </w:tcPr>
          <w:p>
            <w:pPr>
              <w:pStyle w:val="0"/>
            </w:pPr>
            <w:r>
              <w:rPr>
                <w:sz w:val="20"/>
              </w:rPr>
              <w:t xml:space="preserve">125,9</w:t>
            </w:r>
          </w:p>
        </w:tc>
        <w:tc>
          <w:tcPr>
            <w:tcW w:w="1009" w:type="dxa"/>
          </w:tcPr>
          <w:p>
            <w:pPr>
              <w:pStyle w:val="0"/>
            </w:pPr>
            <w:r>
              <w:rPr>
                <w:sz w:val="20"/>
              </w:rPr>
              <w:t xml:space="preserve">83</w:t>
            </w:r>
          </w:p>
        </w:tc>
        <w:tc>
          <w:tcPr>
            <w:tcW w:w="859" w:type="dxa"/>
          </w:tcPr>
          <w:p>
            <w:pPr>
              <w:pStyle w:val="0"/>
            </w:pPr>
            <w:r>
              <w:rPr>
                <w:sz w:val="20"/>
              </w:rPr>
              <w:t xml:space="preserve">148,8</w:t>
            </w:r>
          </w:p>
        </w:tc>
        <w:tc>
          <w:tcPr>
            <w:tcW w:w="1009" w:type="dxa"/>
          </w:tcPr>
          <w:p>
            <w:pPr>
              <w:pStyle w:val="0"/>
            </w:pPr>
            <w:r>
              <w:rPr>
                <w:sz w:val="20"/>
              </w:rPr>
              <w:t xml:space="preserve">74</w:t>
            </w:r>
          </w:p>
        </w:tc>
        <w:tc>
          <w:tcPr>
            <w:tcW w:w="859" w:type="dxa"/>
          </w:tcPr>
          <w:p>
            <w:pPr>
              <w:pStyle w:val="0"/>
            </w:pPr>
            <w:r>
              <w:rPr>
                <w:sz w:val="20"/>
              </w:rPr>
              <w:t xml:space="preserve">131,5</w:t>
            </w:r>
          </w:p>
        </w:tc>
        <w:tc>
          <w:tcPr>
            <w:tcW w:w="1009" w:type="dxa"/>
          </w:tcPr>
          <w:p>
            <w:pPr>
              <w:pStyle w:val="0"/>
            </w:pPr>
            <w:r>
              <w:rPr>
                <w:sz w:val="20"/>
              </w:rPr>
              <w:t xml:space="preserve">82</w:t>
            </w:r>
          </w:p>
        </w:tc>
        <w:tc>
          <w:tcPr>
            <w:tcW w:w="859" w:type="dxa"/>
          </w:tcPr>
          <w:p>
            <w:pPr>
              <w:pStyle w:val="0"/>
            </w:pPr>
            <w:r>
              <w:rPr>
                <w:sz w:val="20"/>
              </w:rPr>
              <w:t xml:space="preserve">144,2</w:t>
            </w:r>
          </w:p>
        </w:tc>
      </w:tr>
      <w:tr>
        <w:tc>
          <w:tcPr>
            <w:tcW w:w="2608" w:type="dxa"/>
          </w:tcPr>
          <w:p>
            <w:pPr>
              <w:pStyle w:val="0"/>
            </w:pPr>
            <w:r>
              <w:rPr>
                <w:sz w:val="20"/>
              </w:rPr>
              <w:t xml:space="preserve">Урай</w:t>
            </w:r>
          </w:p>
        </w:tc>
        <w:tc>
          <w:tcPr>
            <w:tcW w:w="1009" w:type="dxa"/>
          </w:tcPr>
          <w:p>
            <w:pPr>
              <w:pStyle w:val="0"/>
            </w:pPr>
            <w:r>
              <w:rPr>
                <w:sz w:val="20"/>
              </w:rPr>
              <w:t xml:space="preserve">68</w:t>
            </w:r>
          </w:p>
        </w:tc>
        <w:tc>
          <w:tcPr>
            <w:tcW w:w="859" w:type="dxa"/>
          </w:tcPr>
          <w:p>
            <w:pPr>
              <w:pStyle w:val="0"/>
            </w:pPr>
            <w:r>
              <w:rPr>
                <w:sz w:val="20"/>
              </w:rPr>
              <w:t xml:space="preserve">172,2</w:t>
            </w:r>
          </w:p>
        </w:tc>
        <w:tc>
          <w:tcPr>
            <w:tcW w:w="1009" w:type="dxa"/>
          </w:tcPr>
          <w:p>
            <w:pPr>
              <w:pStyle w:val="0"/>
            </w:pPr>
            <w:r>
              <w:rPr>
                <w:sz w:val="20"/>
              </w:rPr>
              <w:t xml:space="preserve">64</w:t>
            </w:r>
          </w:p>
        </w:tc>
        <w:tc>
          <w:tcPr>
            <w:tcW w:w="859" w:type="dxa"/>
          </w:tcPr>
          <w:p>
            <w:pPr>
              <w:pStyle w:val="0"/>
            </w:pPr>
            <w:r>
              <w:rPr>
                <w:sz w:val="20"/>
              </w:rPr>
              <w:t xml:space="preserve">161,9</w:t>
            </w:r>
          </w:p>
        </w:tc>
        <w:tc>
          <w:tcPr>
            <w:tcW w:w="1009" w:type="dxa"/>
          </w:tcPr>
          <w:p>
            <w:pPr>
              <w:pStyle w:val="0"/>
            </w:pPr>
            <w:r>
              <w:rPr>
                <w:sz w:val="20"/>
              </w:rPr>
              <w:t xml:space="preserve">56</w:t>
            </w:r>
          </w:p>
        </w:tc>
        <w:tc>
          <w:tcPr>
            <w:tcW w:w="859" w:type="dxa"/>
          </w:tcPr>
          <w:p>
            <w:pPr>
              <w:pStyle w:val="0"/>
            </w:pPr>
            <w:r>
              <w:rPr>
                <w:sz w:val="20"/>
              </w:rPr>
              <w:t xml:space="preserve">140,9</w:t>
            </w:r>
          </w:p>
        </w:tc>
        <w:tc>
          <w:tcPr>
            <w:tcW w:w="1009" w:type="dxa"/>
          </w:tcPr>
          <w:p>
            <w:pPr>
              <w:pStyle w:val="0"/>
            </w:pPr>
            <w:r>
              <w:rPr>
                <w:sz w:val="20"/>
              </w:rPr>
              <w:t xml:space="preserve">65</w:t>
            </w:r>
          </w:p>
        </w:tc>
        <w:tc>
          <w:tcPr>
            <w:tcW w:w="859" w:type="dxa"/>
          </w:tcPr>
          <w:p>
            <w:pPr>
              <w:pStyle w:val="0"/>
            </w:pPr>
            <w:r>
              <w:rPr>
                <w:sz w:val="20"/>
              </w:rPr>
              <w:t xml:space="preserve">162,1</w:t>
            </w:r>
          </w:p>
        </w:tc>
        <w:tc>
          <w:tcPr>
            <w:tcW w:w="1009" w:type="dxa"/>
          </w:tcPr>
          <w:p>
            <w:pPr>
              <w:pStyle w:val="0"/>
            </w:pPr>
            <w:r>
              <w:rPr>
                <w:sz w:val="20"/>
              </w:rPr>
              <w:t xml:space="preserve">64</w:t>
            </w:r>
          </w:p>
        </w:tc>
        <w:tc>
          <w:tcPr>
            <w:tcW w:w="859" w:type="dxa"/>
          </w:tcPr>
          <w:p>
            <w:pPr>
              <w:pStyle w:val="0"/>
            </w:pPr>
            <w:r>
              <w:rPr>
                <w:sz w:val="20"/>
              </w:rPr>
              <w:t xml:space="preserve">158,3</w:t>
            </w:r>
          </w:p>
        </w:tc>
      </w:tr>
      <w:tr>
        <w:tc>
          <w:tcPr>
            <w:tcW w:w="2608" w:type="dxa"/>
          </w:tcPr>
          <w:p>
            <w:pPr>
              <w:pStyle w:val="0"/>
            </w:pPr>
            <w:r>
              <w:rPr>
                <w:sz w:val="20"/>
              </w:rPr>
              <w:t xml:space="preserve">Югорск</w:t>
            </w:r>
          </w:p>
        </w:tc>
        <w:tc>
          <w:tcPr>
            <w:tcW w:w="1009" w:type="dxa"/>
          </w:tcPr>
          <w:p>
            <w:pPr>
              <w:pStyle w:val="0"/>
            </w:pPr>
            <w:r>
              <w:rPr>
                <w:sz w:val="20"/>
              </w:rPr>
              <w:t xml:space="preserve">52</w:t>
            </w:r>
          </w:p>
        </w:tc>
        <w:tc>
          <w:tcPr>
            <w:tcW w:w="859" w:type="dxa"/>
          </w:tcPr>
          <w:p>
            <w:pPr>
              <w:pStyle w:val="0"/>
            </w:pPr>
            <w:r>
              <w:rPr>
                <w:sz w:val="20"/>
              </w:rPr>
              <w:t xml:space="preserve">150,4</w:t>
            </w:r>
          </w:p>
        </w:tc>
        <w:tc>
          <w:tcPr>
            <w:tcW w:w="1009" w:type="dxa"/>
          </w:tcPr>
          <w:p>
            <w:pPr>
              <w:pStyle w:val="0"/>
            </w:pPr>
            <w:r>
              <w:rPr>
                <w:sz w:val="20"/>
              </w:rPr>
              <w:t xml:space="preserve">59</w:t>
            </w:r>
          </w:p>
        </w:tc>
        <w:tc>
          <w:tcPr>
            <w:tcW w:w="859" w:type="dxa"/>
          </w:tcPr>
          <w:p>
            <w:pPr>
              <w:pStyle w:val="0"/>
            </w:pPr>
            <w:r>
              <w:rPr>
                <w:sz w:val="20"/>
              </w:rPr>
              <w:t xml:space="preserve">167,9</w:t>
            </w:r>
          </w:p>
        </w:tc>
        <w:tc>
          <w:tcPr>
            <w:tcW w:w="1009" w:type="dxa"/>
          </w:tcPr>
          <w:p>
            <w:pPr>
              <w:pStyle w:val="0"/>
            </w:pPr>
            <w:r>
              <w:rPr>
                <w:sz w:val="20"/>
              </w:rPr>
              <w:t xml:space="preserve">36</w:t>
            </w:r>
          </w:p>
        </w:tc>
        <w:tc>
          <w:tcPr>
            <w:tcW w:w="859" w:type="dxa"/>
          </w:tcPr>
          <w:p>
            <w:pPr>
              <w:pStyle w:val="0"/>
            </w:pPr>
            <w:r>
              <w:rPr>
                <w:sz w:val="20"/>
              </w:rPr>
              <w:t xml:space="preserve">101,2</w:t>
            </w:r>
          </w:p>
        </w:tc>
        <w:tc>
          <w:tcPr>
            <w:tcW w:w="1009" w:type="dxa"/>
          </w:tcPr>
          <w:p>
            <w:pPr>
              <w:pStyle w:val="0"/>
            </w:pPr>
            <w:r>
              <w:rPr>
                <w:sz w:val="20"/>
              </w:rPr>
              <w:t xml:space="preserve">57</w:t>
            </w:r>
          </w:p>
        </w:tc>
        <w:tc>
          <w:tcPr>
            <w:tcW w:w="859" w:type="dxa"/>
          </w:tcPr>
          <w:p>
            <w:pPr>
              <w:pStyle w:val="0"/>
            </w:pPr>
            <w:r>
              <w:rPr>
                <w:sz w:val="20"/>
              </w:rPr>
              <w:t xml:space="preserve">158</w:t>
            </w:r>
          </w:p>
        </w:tc>
        <w:tc>
          <w:tcPr>
            <w:tcW w:w="1009" w:type="dxa"/>
          </w:tcPr>
          <w:p>
            <w:pPr>
              <w:pStyle w:val="0"/>
            </w:pPr>
            <w:r>
              <w:rPr>
                <w:sz w:val="20"/>
              </w:rPr>
              <w:t xml:space="preserve">53</w:t>
            </w:r>
          </w:p>
        </w:tc>
        <w:tc>
          <w:tcPr>
            <w:tcW w:w="859" w:type="dxa"/>
          </w:tcPr>
          <w:p>
            <w:pPr>
              <w:pStyle w:val="0"/>
            </w:pPr>
            <w:r>
              <w:rPr>
                <w:sz w:val="20"/>
              </w:rPr>
              <w:t xml:space="preserve">145,1</w:t>
            </w:r>
          </w:p>
        </w:tc>
      </w:tr>
      <w:tr>
        <w:tc>
          <w:tcPr>
            <w:tcW w:w="2608" w:type="dxa"/>
          </w:tcPr>
          <w:p>
            <w:pPr>
              <w:pStyle w:val="0"/>
            </w:pPr>
            <w:r>
              <w:rPr>
                <w:sz w:val="20"/>
              </w:rPr>
              <w:t xml:space="preserve">Белоярский</w:t>
            </w:r>
          </w:p>
        </w:tc>
        <w:tc>
          <w:tcPr>
            <w:tcW w:w="1009" w:type="dxa"/>
          </w:tcPr>
          <w:p>
            <w:pPr>
              <w:pStyle w:val="0"/>
            </w:pPr>
            <w:r>
              <w:rPr>
                <w:sz w:val="20"/>
              </w:rPr>
              <w:t xml:space="preserve">26</w:t>
            </w:r>
          </w:p>
        </w:tc>
        <w:tc>
          <w:tcPr>
            <w:tcW w:w="859" w:type="dxa"/>
          </w:tcPr>
          <w:p>
            <w:pPr>
              <w:pStyle w:val="0"/>
            </w:pPr>
            <w:r>
              <w:rPr>
                <w:sz w:val="20"/>
              </w:rPr>
              <w:t xml:space="preserve">86,4</w:t>
            </w:r>
          </w:p>
        </w:tc>
        <w:tc>
          <w:tcPr>
            <w:tcW w:w="1009" w:type="dxa"/>
          </w:tcPr>
          <w:p>
            <w:pPr>
              <w:pStyle w:val="0"/>
            </w:pPr>
            <w:r>
              <w:rPr>
                <w:sz w:val="20"/>
              </w:rPr>
              <w:t xml:space="preserve">26</w:t>
            </w:r>
          </w:p>
        </w:tc>
        <w:tc>
          <w:tcPr>
            <w:tcW w:w="859" w:type="dxa"/>
          </w:tcPr>
          <w:p>
            <w:pPr>
              <w:pStyle w:val="0"/>
            </w:pPr>
            <w:r>
              <w:rPr>
                <w:sz w:val="20"/>
              </w:rPr>
              <w:t xml:space="preserve">86,7</w:t>
            </w:r>
          </w:p>
        </w:tc>
        <w:tc>
          <w:tcPr>
            <w:tcW w:w="1009" w:type="dxa"/>
          </w:tcPr>
          <w:p>
            <w:pPr>
              <w:pStyle w:val="0"/>
            </w:pPr>
            <w:r>
              <w:rPr>
                <w:sz w:val="20"/>
              </w:rPr>
              <w:t xml:space="preserve">34</w:t>
            </w:r>
          </w:p>
        </w:tc>
        <w:tc>
          <w:tcPr>
            <w:tcW w:w="859" w:type="dxa"/>
          </w:tcPr>
          <w:p>
            <w:pPr>
              <w:pStyle w:val="0"/>
            </w:pPr>
            <w:r>
              <w:rPr>
                <w:sz w:val="20"/>
              </w:rPr>
              <w:t xml:space="preserve">113,7</w:t>
            </w:r>
          </w:p>
        </w:tc>
        <w:tc>
          <w:tcPr>
            <w:tcW w:w="1009" w:type="dxa"/>
          </w:tcPr>
          <w:p>
            <w:pPr>
              <w:pStyle w:val="0"/>
            </w:pPr>
            <w:r>
              <w:rPr>
                <w:sz w:val="20"/>
              </w:rPr>
              <w:t xml:space="preserve">26</w:t>
            </w:r>
          </w:p>
        </w:tc>
        <w:tc>
          <w:tcPr>
            <w:tcW w:w="859" w:type="dxa"/>
          </w:tcPr>
          <w:p>
            <w:pPr>
              <w:pStyle w:val="0"/>
            </w:pPr>
            <w:r>
              <w:rPr>
                <w:sz w:val="20"/>
              </w:rPr>
              <w:t xml:space="preserve">87,3</w:t>
            </w:r>
          </w:p>
        </w:tc>
        <w:tc>
          <w:tcPr>
            <w:tcW w:w="1009" w:type="dxa"/>
          </w:tcPr>
          <w:p>
            <w:pPr>
              <w:pStyle w:val="0"/>
            </w:pPr>
            <w:r>
              <w:rPr>
                <w:sz w:val="20"/>
              </w:rPr>
              <w:t xml:space="preserve">40</w:t>
            </w:r>
          </w:p>
        </w:tc>
        <w:tc>
          <w:tcPr>
            <w:tcW w:w="859" w:type="dxa"/>
          </w:tcPr>
          <w:p>
            <w:pPr>
              <w:pStyle w:val="0"/>
            </w:pPr>
            <w:r>
              <w:rPr>
                <w:sz w:val="20"/>
              </w:rPr>
              <w:t xml:space="preserve">134,9</w:t>
            </w:r>
          </w:p>
        </w:tc>
      </w:tr>
      <w:tr>
        <w:tc>
          <w:tcPr>
            <w:tcW w:w="2608" w:type="dxa"/>
          </w:tcPr>
          <w:p>
            <w:pPr>
              <w:pStyle w:val="0"/>
            </w:pPr>
            <w:r>
              <w:rPr>
                <w:sz w:val="20"/>
              </w:rPr>
              <w:t xml:space="preserve">Березовский</w:t>
            </w:r>
          </w:p>
        </w:tc>
        <w:tc>
          <w:tcPr>
            <w:tcW w:w="1009" w:type="dxa"/>
          </w:tcPr>
          <w:p>
            <w:pPr>
              <w:pStyle w:val="0"/>
            </w:pPr>
            <w:r>
              <w:rPr>
                <w:sz w:val="20"/>
              </w:rPr>
              <w:t xml:space="preserve">54</w:t>
            </w:r>
          </w:p>
        </w:tc>
        <w:tc>
          <w:tcPr>
            <w:tcW w:w="859" w:type="dxa"/>
          </w:tcPr>
          <w:p>
            <w:pPr>
              <w:pStyle w:val="0"/>
            </w:pPr>
            <w:r>
              <w:rPr>
                <w:sz w:val="20"/>
              </w:rPr>
              <w:t xml:space="preserve">212,4</w:t>
            </w:r>
          </w:p>
        </w:tc>
        <w:tc>
          <w:tcPr>
            <w:tcW w:w="1009" w:type="dxa"/>
          </w:tcPr>
          <w:p>
            <w:pPr>
              <w:pStyle w:val="0"/>
            </w:pPr>
            <w:r>
              <w:rPr>
                <w:sz w:val="20"/>
              </w:rPr>
              <w:t xml:space="preserve">38</w:t>
            </w:r>
          </w:p>
        </w:tc>
        <w:tc>
          <w:tcPr>
            <w:tcW w:w="859" w:type="dxa"/>
          </w:tcPr>
          <w:p>
            <w:pPr>
              <w:pStyle w:val="0"/>
            </w:pPr>
            <w:r>
              <w:rPr>
                <w:sz w:val="20"/>
              </w:rPr>
              <w:t xml:space="preserve">152,6</w:t>
            </w:r>
          </w:p>
        </w:tc>
        <w:tc>
          <w:tcPr>
            <w:tcW w:w="1009" w:type="dxa"/>
          </w:tcPr>
          <w:p>
            <w:pPr>
              <w:pStyle w:val="0"/>
            </w:pPr>
            <w:r>
              <w:rPr>
                <w:sz w:val="20"/>
              </w:rPr>
              <w:t xml:space="preserve">33</w:t>
            </w:r>
          </w:p>
        </w:tc>
        <w:tc>
          <w:tcPr>
            <w:tcW w:w="859" w:type="dxa"/>
          </w:tcPr>
          <w:p>
            <w:pPr>
              <w:pStyle w:val="0"/>
            </w:pPr>
            <w:r>
              <w:rPr>
                <w:sz w:val="20"/>
              </w:rPr>
              <w:t xml:space="preserve">134,7</w:t>
            </w:r>
          </w:p>
        </w:tc>
        <w:tc>
          <w:tcPr>
            <w:tcW w:w="1009" w:type="dxa"/>
          </w:tcPr>
          <w:p>
            <w:pPr>
              <w:pStyle w:val="0"/>
            </w:pPr>
            <w:r>
              <w:rPr>
                <w:sz w:val="20"/>
              </w:rPr>
              <w:t xml:space="preserve">33</w:t>
            </w:r>
          </w:p>
        </w:tc>
        <w:tc>
          <w:tcPr>
            <w:tcW w:w="859" w:type="dxa"/>
          </w:tcPr>
          <w:p>
            <w:pPr>
              <w:pStyle w:val="0"/>
            </w:pPr>
            <w:r>
              <w:rPr>
                <w:sz w:val="20"/>
              </w:rPr>
              <w:t xml:space="preserve">137</w:t>
            </w:r>
          </w:p>
        </w:tc>
        <w:tc>
          <w:tcPr>
            <w:tcW w:w="1009" w:type="dxa"/>
          </w:tcPr>
          <w:p>
            <w:pPr>
              <w:pStyle w:val="0"/>
            </w:pPr>
            <w:r>
              <w:rPr>
                <w:sz w:val="20"/>
              </w:rPr>
              <w:t xml:space="preserve">49</w:t>
            </w:r>
          </w:p>
        </w:tc>
        <w:tc>
          <w:tcPr>
            <w:tcW w:w="859" w:type="dxa"/>
          </w:tcPr>
          <w:p>
            <w:pPr>
              <w:pStyle w:val="0"/>
            </w:pPr>
            <w:r>
              <w:rPr>
                <w:sz w:val="20"/>
              </w:rPr>
              <w:t xml:space="preserve">208</w:t>
            </w:r>
          </w:p>
        </w:tc>
      </w:tr>
      <w:tr>
        <w:tc>
          <w:tcPr>
            <w:tcW w:w="2608" w:type="dxa"/>
          </w:tcPr>
          <w:p>
            <w:pPr>
              <w:pStyle w:val="0"/>
            </w:pPr>
            <w:r>
              <w:rPr>
                <w:sz w:val="20"/>
              </w:rPr>
              <w:t xml:space="preserve">Кондинский</w:t>
            </w:r>
          </w:p>
        </w:tc>
        <w:tc>
          <w:tcPr>
            <w:tcW w:w="1009" w:type="dxa"/>
          </w:tcPr>
          <w:p>
            <w:pPr>
              <w:pStyle w:val="0"/>
            </w:pPr>
            <w:r>
              <w:rPr>
                <w:sz w:val="20"/>
              </w:rPr>
              <w:t xml:space="preserve">75</w:t>
            </w:r>
          </w:p>
        </w:tc>
        <w:tc>
          <w:tcPr>
            <w:tcW w:w="859" w:type="dxa"/>
          </w:tcPr>
          <w:p>
            <w:pPr>
              <w:pStyle w:val="0"/>
            </w:pPr>
            <w:r>
              <w:rPr>
                <w:sz w:val="20"/>
              </w:rPr>
              <w:t xml:space="preserve">220,2</w:t>
            </w:r>
          </w:p>
        </w:tc>
        <w:tc>
          <w:tcPr>
            <w:tcW w:w="1009" w:type="dxa"/>
          </w:tcPr>
          <w:p>
            <w:pPr>
              <w:pStyle w:val="0"/>
            </w:pPr>
            <w:r>
              <w:rPr>
                <w:sz w:val="20"/>
              </w:rPr>
              <w:t xml:space="preserve">58</w:t>
            </w:r>
          </w:p>
        </w:tc>
        <w:tc>
          <w:tcPr>
            <w:tcW w:w="859" w:type="dxa"/>
          </w:tcPr>
          <w:p>
            <w:pPr>
              <w:pStyle w:val="0"/>
            </w:pPr>
            <w:r>
              <w:rPr>
                <w:sz w:val="20"/>
              </w:rPr>
              <w:t xml:space="preserve">173,6</w:t>
            </w:r>
          </w:p>
        </w:tc>
        <w:tc>
          <w:tcPr>
            <w:tcW w:w="1009" w:type="dxa"/>
          </w:tcPr>
          <w:p>
            <w:pPr>
              <w:pStyle w:val="0"/>
            </w:pPr>
            <w:r>
              <w:rPr>
                <w:sz w:val="20"/>
              </w:rPr>
              <w:t xml:space="preserve">74</w:t>
            </w:r>
          </w:p>
        </w:tc>
        <w:tc>
          <w:tcPr>
            <w:tcW w:w="859" w:type="dxa"/>
          </w:tcPr>
          <w:p>
            <w:pPr>
              <w:pStyle w:val="0"/>
            </w:pPr>
            <w:r>
              <w:rPr>
                <w:sz w:val="20"/>
              </w:rPr>
              <w:t xml:space="preserve">225,1</w:t>
            </w:r>
          </w:p>
        </w:tc>
        <w:tc>
          <w:tcPr>
            <w:tcW w:w="1009" w:type="dxa"/>
          </w:tcPr>
          <w:p>
            <w:pPr>
              <w:pStyle w:val="0"/>
            </w:pPr>
            <w:r>
              <w:rPr>
                <w:sz w:val="20"/>
              </w:rPr>
              <w:t xml:space="preserve">69</w:t>
            </w:r>
          </w:p>
        </w:tc>
        <w:tc>
          <w:tcPr>
            <w:tcW w:w="859" w:type="dxa"/>
          </w:tcPr>
          <w:p>
            <w:pPr>
              <w:pStyle w:val="0"/>
            </w:pPr>
            <w:r>
              <w:rPr>
                <w:sz w:val="20"/>
              </w:rPr>
              <w:t xml:space="preserve">213,1</w:t>
            </w:r>
          </w:p>
        </w:tc>
        <w:tc>
          <w:tcPr>
            <w:tcW w:w="1009" w:type="dxa"/>
          </w:tcPr>
          <w:p>
            <w:pPr>
              <w:pStyle w:val="0"/>
            </w:pPr>
            <w:r>
              <w:rPr>
                <w:sz w:val="20"/>
              </w:rPr>
              <w:t xml:space="preserve">96</w:t>
            </w:r>
          </w:p>
        </w:tc>
        <w:tc>
          <w:tcPr>
            <w:tcW w:w="859" w:type="dxa"/>
          </w:tcPr>
          <w:p>
            <w:pPr>
              <w:pStyle w:val="0"/>
            </w:pPr>
            <w:r>
              <w:rPr>
                <w:sz w:val="20"/>
              </w:rPr>
              <w:t xml:space="preserve">301,4</w:t>
            </w:r>
          </w:p>
        </w:tc>
      </w:tr>
      <w:tr>
        <w:tc>
          <w:tcPr>
            <w:tcW w:w="2608" w:type="dxa"/>
          </w:tcPr>
          <w:p>
            <w:pPr>
              <w:pStyle w:val="0"/>
            </w:pPr>
            <w:r>
              <w:rPr>
                <w:sz w:val="20"/>
              </w:rPr>
              <w:t xml:space="preserve">Октябрьский</w:t>
            </w:r>
          </w:p>
        </w:tc>
        <w:tc>
          <w:tcPr>
            <w:tcW w:w="1009" w:type="dxa"/>
          </w:tcPr>
          <w:p>
            <w:pPr>
              <w:pStyle w:val="0"/>
            </w:pPr>
            <w:r>
              <w:rPr>
                <w:sz w:val="20"/>
              </w:rPr>
              <w:t xml:space="preserve">43</w:t>
            </w:r>
          </w:p>
        </w:tc>
        <w:tc>
          <w:tcPr>
            <w:tcW w:w="859" w:type="dxa"/>
          </w:tcPr>
          <w:p>
            <w:pPr>
              <w:pStyle w:val="0"/>
            </w:pPr>
            <w:r>
              <w:rPr>
                <w:sz w:val="20"/>
              </w:rPr>
              <w:t xml:space="preserve">134,9</w:t>
            </w:r>
          </w:p>
        </w:tc>
        <w:tc>
          <w:tcPr>
            <w:tcW w:w="1009" w:type="dxa"/>
          </w:tcPr>
          <w:p>
            <w:pPr>
              <w:pStyle w:val="0"/>
            </w:pPr>
            <w:r>
              <w:rPr>
                <w:sz w:val="20"/>
              </w:rPr>
              <w:t xml:space="preserve">53</w:t>
            </w:r>
          </w:p>
        </w:tc>
        <w:tc>
          <w:tcPr>
            <w:tcW w:w="859" w:type="dxa"/>
          </w:tcPr>
          <w:p>
            <w:pPr>
              <w:pStyle w:val="0"/>
            </w:pPr>
            <w:r>
              <w:rPr>
                <w:sz w:val="20"/>
              </w:rPr>
              <w:t xml:space="preserve">170</w:t>
            </w:r>
          </w:p>
        </w:tc>
        <w:tc>
          <w:tcPr>
            <w:tcW w:w="1009" w:type="dxa"/>
          </w:tcPr>
          <w:p>
            <w:pPr>
              <w:pStyle w:val="0"/>
            </w:pPr>
            <w:r>
              <w:rPr>
                <w:sz w:val="20"/>
              </w:rPr>
              <w:t xml:space="preserve">50</w:t>
            </w:r>
          </w:p>
        </w:tc>
        <w:tc>
          <w:tcPr>
            <w:tcW w:w="859" w:type="dxa"/>
          </w:tcPr>
          <w:p>
            <w:pPr>
              <w:pStyle w:val="0"/>
            </w:pPr>
            <w:r>
              <w:rPr>
                <w:sz w:val="20"/>
              </w:rPr>
              <w:t xml:space="preserve">164,5</w:t>
            </w:r>
          </w:p>
        </w:tc>
        <w:tc>
          <w:tcPr>
            <w:tcW w:w="1009" w:type="dxa"/>
          </w:tcPr>
          <w:p>
            <w:pPr>
              <w:pStyle w:val="0"/>
            </w:pPr>
            <w:r>
              <w:rPr>
                <w:sz w:val="20"/>
              </w:rPr>
              <w:t xml:space="preserve">51</w:t>
            </w:r>
          </w:p>
        </w:tc>
        <w:tc>
          <w:tcPr>
            <w:tcW w:w="859" w:type="dxa"/>
          </w:tcPr>
          <w:p>
            <w:pPr>
              <w:pStyle w:val="0"/>
            </w:pPr>
            <w:r>
              <w:rPr>
                <w:sz w:val="20"/>
              </w:rPr>
              <w:t xml:space="preserve">171</w:t>
            </w:r>
          </w:p>
        </w:tc>
        <w:tc>
          <w:tcPr>
            <w:tcW w:w="1009" w:type="dxa"/>
          </w:tcPr>
          <w:p>
            <w:pPr>
              <w:pStyle w:val="0"/>
            </w:pPr>
            <w:r>
              <w:rPr>
                <w:sz w:val="20"/>
              </w:rPr>
              <w:t xml:space="preserve">50</w:t>
            </w:r>
          </w:p>
        </w:tc>
        <w:tc>
          <w:tcPr>
            <w:tcW w:w="859" w:type="dxa"/>
          </w:tcPr>
          <w:p>
            <w:pPr>
              <w:pStyle w:val="0"/>
            </w:pPr>
            <w:r>
              <w:rPr>
                <w:sz w:val="20"/>
              </w:rPr>
              <w:t xml:space="preserve">170</w:t>
            </w:r>
          </w:p>
        </w:tc>
      </w:tr>
      <w:tr>
        <w:tc>
          <w:tcPr>
            <w:tcW w:w="2608" w:type="dxa"/>
          </w:tcPr>
          <w:p>
            <w:pPr>
              <w:pStyle w:val="0"/>
            </w:pPr>
            <w:r>
              <w:rPr>
                <w:sz w:val="20"/>
              </w:rPr>
              <w:t xml:space="preserve">Советский</w:t>
            </w:r>
          </w:p>
        </w:tc>
        <w:tc>
          <w:tcPr>
            <w:tcW w:w="1009" w:type="dxa"/>
          </w:tcPr>
          <w:p>
            <w:pPr>
              <w:pStyle w:val="0"/>
            </w:pPr>
            <w:r>
              <w:rPr>
                <w:sz w:val="20"/>
              </w:rPr>
              <w:t xml:space="preserve">80</w:t>
            </w:r>
          </w:p>
        </w:tc>
        <w:tc>
          <w:tcPr>
            <w:tcW w:w="859" w:type="dxa"/>
          </w:tcPr>
          <w:p>
            <w:pPr>
              <w:pStyle w:val="0"/>
            </w:pPr>
            <w:r>
              <w:rPr>
                <w:sz w:val="20"/>
              </w:rPr>
              <w:t xml:space="preserve">166,4</w:t>
            </w:r>
          </w:p>
        </w:tc>
        <w:tc>
          <w:tcPr>
            <w:tcW w:w="1009" w:type="dxa"/>
          </w:tcPr>
          <w:p>
            <w:pPr>
              <w:pStyle w:val="0"/>
            </w:pPr>
            <w:r>
              <w:rPr>
                <w:sz w:val="20"/>
              </w:rPr>
              <w:t xml:space="preserve">95</w:t>
            </w:r>
          </w:p>
        </w:tc>
        <w:tc>
          <w:tcPr>
            <w:tcW w:w="859" w:type="dxa"/>
          </w:tcPr>
          <w:p>
            <w:pPr>
              <w:pStyle w:val="0"/>
            </w:pPr>
            <w:r>
              <w:rPr>
                <w:sz w:val="20"/>
              </w:rPr>
              <w:t xml:space="preserve">197,2</w:t>
            </w:r>
          </w:p>
        </w:tc>
        <w:tc>
          <w:tcPr>
            <w:tcW w:w="1009" w:type="dxa"/>
          </w:tcPr>
          <w:p>
            <w:pPr>
              <w:pStyle w:val="0"/>
            </w:pPr>
            <w:r>
              <w:rPr>
                <w:sz w:val="20"/>
              </w:rPr>
              <w:t xml:space="preserve">83</w:t>
            </w:r>
          </w:p>
        </w:tc>
        <w:tc>
          <w:tcPr>
            <w:tcW w:w="859" w:type="dxa"/>
          </w:tcPr>
          <w:p>
            <w:pPr>
              <w:pStyle w:val="0"/>
            </w:pPr>
            <w:r>
              <w:rPr>
                <w:sz w:val="20"/>
              </w:rPr>
              <w:t xml:space="preserve">171,9</w:t>
            </w:r>
          </w:p>
        </w:tc>
        <w:tc>
          <w:tcPr>
            <w:tcW w:w="1009" w:type="dxa"/>
          </w:tcPr>
          <w:p>
            <w:pPr>
              <w:pStyle w:val="0"/>
            </w:pPr>
            <w:r>
              <w:rPr>
                <w:sz w:val="20"/>
              </w:rPr>
              <w:t xml:space="preserve">105</w:t>
            </w:r>
          </w:p>
        </w:tc>
        <w:tc>
          <w:tcPr>
            <w:tcW w:w="859" w:type="dxa"/>
          </w:tcPr>
          <w:p>
            <w:pPr>
              <w:pStyle w:val="0"/>
            </w:pPr>
            <w:r>
              <w:rPr>
                <w:sz w:val="20"/>
              </w:rPr>
              <w:t xml:space="preserve">217</w:t>
            </w:r>
          </w:p>
        </w:tc>
        <w:tc>
          <w:tcPr>
            <w:tcW w:w="1009" w:type="dxa"/>
          </w:tcPr>
          <w:p>
            <w:pPr>
              <w:pStyle w:val="0"/>
            </w:pPr>
            <w:r>
              <w:rPr>
                <w:sz w:val="20"/>
              </w:rPr>
              <w:t xml:space="preserve">81</w:t>
            </w:r>
          </w:p>
        </w:tc>
        <w:tc>
          <w:tcPr>
            <w:tcW w:w="859" w:type="dxa"/>
          </w:tcPr>
          <w:p>
            <w:pPr>
              <w:pStyle w:val="0"/>
            </w:pPr>
            <w:r>
              <w:rPr>
                <w:sz w:val="20"/>
              </w:rPr>
              <w:t xml:space="preserve">166,7</w:t>
            </w:r>
          </w:p>
        </w:tc>
      </w:tr>
      <w:tr>
        <w:tc>
          <w:tcPr>
            <w:tcW w:w="2608" w:type="dxa"/>
          </w:tcPr>
          <w:p>
            <w:pPr>
              <w:pStyle w:val="0"/>
            </w:pPr>
            <w:r>
              <w:rPr>
                <w:sz w:val="20"/>
              </w:rPr>
              <w:t xml:space="preserve">Х-Мансийский</w:t>
            </w:r>
          </w:p>
        </w:tc>
        <w:tc>
          <w:tcPr>
            <w:tcW w:w="1009" w:type="dxa"/>
          </w:tcPr>
          <w:p>
            <w:pPr>
              <w:pStyle w:val="0"/>
            </w:pPr>
            <w:r>
              <w:rPr>
                <w:sz w:val="20"/>
              </w:rPr>
              <w:t xml:space="preserve">51</w:t>
            </w:r>
          </w:p>
        </w:tc>
        <w:tc>
          <w:tcPr>
            <w:tcW w:w="859" w:type="dxa"/>
          </w:tcPr>
          <w:p>
            <w:pPr>
              <w:pStyle w:val="0"/>
            </w:pPr>
            <w:r>
              <w:rPr>
                <w:sz w:val="20"/>
              </w:rPr>
              <w:t xml:space="preserve">257,8</w:t>
            </w:r>
          </w:p>
        </w:tc>
        <w:tc>
          <w:tcPr>
            <w:tcW w:w="1009" w:type="dxa"/>
          </w:tcPr>
          <w:p>
            <w:pPr>
              <w:pStyle w:val="0"/>
            </w:pPr>
            <w:r>
              <w:rPr>
                <w:sz w:val="20"/>
              </w:rPr>
              <w:t xml:space="preserve">46</w:t>
            </w:r>
          </w:p>
        </w:tc>
        <w:tc>
          <w:tcPr>
            <w:tcW w:w="859" w:type="dxa"/>
          </w:tcPr>
          <w:p>
            <w:pPr>
              <w:pStyle w:val="0"/>
            </w:pPr>
            <w:r>
              <w:rPr>
                <w:sz w:val="20"/>
              </w:rPr>
              <w:t xml:space="preserve">228,7</w:t>
            </w:r>
          </w:p>
        </w:tc>
        <w:tc>
          <w:tcPr>
            <w:tcW w:w="1009" w:type="dxa"/>
          </w:tcPr>
          <w:p>
            <w:pPr>
              <w:pStyle w:val="0"/>
            </w:pPr>
            <w:r>
              <w:rPr>
                <w:sz w:val="20"/>
              </w:rPr>
              <w:t xml:space="preserve">24</w:t>
            </w:r>
          </w:p>
        </w:tc>
        <w:tc>
          <w:tcPr>
            <w:tcW w:w="859" w:type="dxa"/>
          </w:tcPr>
          <w:p>
            <w:pPr>
              <w:pStyle w:val="0"/>
            </w:pPr>
            <w:r>
              <w:rPr>
                <w:sz w:val="20"/>
              </w:rPr>
              <w:t xml:space="preserve">119,6</w:t>
            </w:r>
          </w:p>
        </w:tc>
        <w:tc>
          <w:tcPr>
            <w:tcW w:w="1009" w:type="dxa"/>
          </w:tcPr>
          <w:p>
            <w:pPr>
              <w:pStyle w:val="0"/>
            </w:pPr>
            <w:r>
              <w:rPr>
                <w:sz w:val="20"/>
              </w:rPr>
              <w:t xml:space="preserve">26</w:t>
            </w:r>
          </w:p>
        </w:tc>
        <w:tc>
          <w:tcPr>
            <w:tcW w:w="859" w:type="dxa"/>
          </w:tcPr>
          <w:p>
            <w:pPr>
              <w:pStyle w:val="0"/>
            </w:pPr>
            <w:r>
              <w:rPr>
                <w:sz w:val="20"/>
              </w:rPr>
              <w:t xml:space="preserve">130,6</w:t>
            </w:r>
          </w:p>
        </w:tc>
        <w:tc>
          <w:tcPr>
            <w:tcW w:w="1009" w:type="dxa"/>
          </w:tcPr>
          <w:p>
            <w:pPr>
              <w:pStyle w:val="0"/>
            </w:pPr>
            <w:r>
              <w:rPr>
                <w:sz w:val="20"/>
              </w:rPr>
              <w:t xml:space="preserve">19</w:t>
            </w:r>
          </w:p>
        </w:tc>
        <w:tc>
          <w:tcPr>
            <w:tcW w:w="859" w:type="dxa"/>
          </w:tcPr>
          <w:p>
            <w:pPr>
              <w:pStyle w:val="0"/>
            </w:pPr>
            <w:r>
              <w:rPr>
                <w:sz w:val="20"/>
              </w:rPr>
              <w:t xml:space="preserve">96,6</w:t>
            </w:r>
          </w:p>
        </w:tc>
      </w:tr>
      <w:tr>
        <w:tc>
          <w:tcPr>
            <w:tcW w:w="2608" w:type="dxa"/>
          </w:tcPr>
          <w:p>
            <w:pPr>
              <w:pStyle w:val="0"/>
            </w:pPr>
            <w:r>
              <w:rPr>
                <w:sz w:val="20"/>
              </w:rPr>
              <w:t xml:space="preserve">Всего по центру</w:t>
            </w:r>
          </w:p>
        </w:tc>
        <w:tc>
          <w:tcPr>
            <w:tcW w:w="1009" w:type="dxa"/>
          </w:tcPr>
          <w:p>
            <w:pPr>
              <w:pStyle w:val="0"/>
            </w:pPr>
            <w:r>
              <w:rPr>
                <w:sz w:val="20"/>
              </w:rPr>
              <w:t xml:space="preserve">590</w:t>
            </w:r>
          </w:p>
        </w:tc>
        <w:tc>
          <w:tcPr>
            <w:tcW w:w="859" w:type="dxa"/>
          </w:tcPr>
          <w:p>
            <w:pPr>
              <w:pStyle w:val="0"/>
            </w:pPr>
            <w:r>
              <w:rPr>
                <w:sz w:val="20"/>
              </w:rPr>
              <w:t xml:space="preserve">147</w:t>
            </w:r>
          </w:p>
        </w:tc>
        <w:tc>
          <w:tcPr>
            <w:tcW w:w="1009" w:type="dxa"/>
          </w:tcPr>
          <w:p>
            <w:pPr>
              <w:pStyle w:val="0"/>
            </w:pPr>
            <w:r>
              <w:rPr>
                <w:sz w:val="20"/>
              </w:rPr>
              <w:t xml:space="preserve">589</w:t>
            </w:r>
          </w:p>
        </w:tc>
        <w:tc>
          <w:tcPr>
            <w:tcW w:w="859" w:type="dxa"/>
          </w:tcPr>
          <w:p>
            <w:pPr>
              <w:pStyle w:val="0"/>
            </w:pPr>
            <w:r>
              <w:rPr>
                <w:sz w:val="20"/>
              </w:rPr>
              <w:t xml:space="preserve">145,1</w:t>
            </w:r>
          </w:p>
        </w:tc>
        <w:tc>
          <w:tcPr>
            <w:tcW w:w="1009" w:type="dxa"/>
          </w:tcPr>
          <w:p>
            <w:pPr>
              <w:pStyle w:val="0"/>
            </w:pPr>
            <w:r>
              <w:rPr>
                <w:sz w:val="20"/>
              </w:rPr>
              <w:t xml:space="preserve">558</w:t>
            </w:r>
          </w:p>
        </w:tc>
        <w:tc>
          <w:tcPr>
            <w:tcW w:w="859" w:type="dxa"/>
          </w:tcPr>
          <w:p>
            <w:pPr>
              <w:pStyle w:val="0"/>
            </w:pPr>
            <w:r>
              <w:rPr>
                <w:sz w:val="20"/>
              </w:rPr>
              <w:t xml:space="preserve">136,3</w:t>
            </w:r>
          </w:p>
        </w:tc>
        <w:tc>
          <w:tcPr>
            <w:tcW w:w="1009" w:type="dxa"/>
          </w:tcPr>
          <w:p>
            <w:pPr>
              <w:pStyle w:val="0"/>
            </w:pPr>
            <w:r>
              <w:rPr>
                <w:sz w:val="20"/>
              </w:rPr>
              <w:t xml:space="preserve">610</w:t>
            </w:r>
          </w:p>
        </w:tc>
        <w:tc>
          <w:tcPr>
            <w:tcW w:w="859" w:type="dxa"/>
          </w:tcPr>
          <w:p>
            <w:pPr>
              <w:pStyle w:val="0"/>
            </w:pPr>
            <w:r>
              <w:rPr>
                <w:sz w:val="20"/>
              </w:rPr>
              <w:t xml:space="preserve">148,3</w:t>
            </w:r>
          </w:p>
        </w:tc>
        <w:tc>
          <w:tcPr>
            <w:tcW w:w="1009" w:type="dxa"/>
          </w:tcPr>
          <w:p>
            <w:pPr>
              <w:pStyle w:val="0"/>
            </w:pPr>
            <w:r>
              <w:rPr>
                <w:sz w:val="20"/>
              </w:rPr>
              <w:t xml:space="preserve">609</w:t>
            </w:r>
          </w:p>
        </w:tc>
        <w:tc>
          <w:tcPr>
            <w:tcW w:w="859" w:type="dxa"/>
          </w:tcPr>
          <w:p>
            <w:pPr>
              <w:pStyle w:val="0"/>
            </w:pPr>
            <w:r>
              <w:rPr>
                <w:sz w:val="20"/>
              </w:rPr>
              <w:t xml:space="preserve">147,6</w:t>
            </w:r>
          </w:p>
        </w:tc>
      </w:tr>
      <w:tr>
        <w:tc>
          <w:tcPr>
            <w:gridSpan w:val="11"/>
            <w:tcW w:w="11948" w:type="dxa"/>
          </w:tcPr>
          <w:p>
            <w:pPr>
              <w:pStyle w:val="0"/>
            </w:pPr>
            <w:r>
              <w:rPr>
                <w:sz w:val="20"/>
              </w:rPr>
              <w:t xml:space="preserve">Онкологический центр (г. Сургут)</w:t>
            </w:r>
          </w:p>
        </w:tc>
      </w:tr>
      <w:tr>
        <w:tc>
          <w:tcPr>
            <w:tcW w:w="2608" w:type="dxa"/>
          </w:tcPr>
          <w:p>
            <w:pPr>
              <w:pStyle w:val="0"/>
            </w:pPr>
            <w:r>
              <w:rPr>
                <w:sz w:val="20"/>
              </w:rPr>
              <w:t xml:space="preserve">Сургут</w:t>
            </w:r>
          </w:p>
        </w:tc>
        <w:tc>
          <w:tcPr>
            <w:tcW w:w="1009" w:type="dxa"/>
          </w:tcPr>
          <w:p>
            <w:pPr>
              <w:pStyle w:val="0"/>
            </w:pPr>
            <w:r>
              <w:rPr>
                <w:sz w:val="20"/>
              </w:rPr>
              <w:t xml:space="preserve">268</w:t>
            </w:r>
          </w:p>
        </w:tc>
        <w:tc>
          <w:tcPr>
            <w:tcW w:w="859" w:type="dxa"/>
          </w:tcPr>
          <w:p>
            <w:pPr>
              <w:pStyle w:val="0"/>
            </w:pPr>
            <w:r>
              <w:rPr>
                <w:sz w:val="20"/>
              </w:rPr>
              <w:t xml:space="preserve">85,7</w:t>
            </w:r>
          </w:p>
        </w:tc>
        <w:tc>
          <w:tcPr>
            <w:tcW w:w="1009" w:type="dxa"/>
          </w:tcPr>
          <w:p>
            <w:pPr>
              <w:pStyle w:val="0"/>
            </w:pPr>
            <w:r>
              <w:rPr>
                <w:sz w:val="20"/>
              </w:rPr>
              <w:t xml:space="preserve">299</w:t>
            </w:r>
          </w:p>
        </w:tc>
        <w:tc>
          <w:tcPr>
            <w:tcW w:w="859" w:type="dxa"/>
          </w:tcPr>
          <w:p>
            <w:pPr>
              <w:pStyle w:val="0"/>
            </w:pPr>
            <w:r>
              <w:rPr>
                <w:sz w:val="20"/>
              </w:rPr>
              <w:t xml:space="preserve">93,1</w:t>
            </w:r>
          </w:p>
        </w:tc>
        <w:tc>
          <w:tcPr>
            <w:tcW w:w="1009" w:type="dxa"/>
          </w:tcPr>
          <w:p>
            <w:pPr>
              <w:pStyle w:val="0"/>
            </w:pPr>
            <w:r>
              <w:rPr>
                <w:sz w:val="20"/>
              </w:rPr>
              <w:t xml:space="preserve">313</w:t>
            </w:r>
          </w:p>
        </w:tc>
        <w:tc>
          <w:tcPr>
            <w:tcW w:w="859" w:type="dxa"/>
          </w:tcPr>
          <w:p>
            <w:pPr>
              <w:pStyle w:val="0"/>
            </w:pPr>
            <w:r>
              <w:rPr>
                <w:sz w:val="20"/>
              </w:rPr>
              <w:t xml:space="preserve">97,9</w:t>
            </w:r>
          </w:p>
        </w:tc>
        <w:tc>
          <w:tcPr>
            <w:tcW w:w="1009" w:type="dxa"/>
          </w:tcPr>
          <w:p>
            <w:pPr>
              <w:pStyle w:val="0"/>
            </w:pPr>
            <w:r>
              <w:rPr>
                <w:sz w:val="20"/>
              </w:rPr>
              <w:t xml:space="preserve">314</w:t>
            </w:r>
          </w:p>
        </w:tc>
        <w:tc>
          <w:tcPr>
            <w:tcW w:w="859" w:type="dxa"/>
          </w:tcPr>
          <w:p>
            <w:pPr>
              <w:pStyle w:val="0"/>
            </w:pPr>
            <w:r>
              <w:rPr>
                <w:sz w:val="20"/>
              </w:rPr>
              <w:t xml:space="preserve">93,3</w:t>
            </w:r>
          </w:p>
        </w:tc>
        <w:tc>
          <w:tcPr>
            <w:tcW w:w="1009" w:type="dxa"/>
          </w:tcPr>
          <w:p>
            <w:pPr>
              <w:pStyle w:val="0"/>
            </w:pPr>
            <w:r>
              <w:rPr>
                <w:sz w:val="20"/>
              </w:rPr>
              <w:t xml:space="preserve">342</w:t>
            </w:r>
          </w:p>
        </w:tc>
        <w:tc>
          <w:tcPr>
            <w:tcW w:w="859" w:type="dxa"/>
          </w:tcPr>
          <w:p>
            <w:pPr>
              <w:pStyle w:val="0"/>
            </w:pPr>
            <w:r>
              <w:rPr>
                <w:sz w:val="20"/>
              </w:rPr>
              <w:t xml:space="preserve">99,2</w:t>
            </w:r>
          </w:p>
        </w:tc>
      </w:tr>
      <w:tr>
        <w:tc>
          <w:tcPr>
            <w:tcW w:w="2608" w:type="dxa"/>
          </w:tcPr>
          <w:p>
            <w:pPr>
              <w:pStyle w:val="0"/>
            </w:pPr>
            <w:r>
              <w:rPr>
                <w:sz w:val="20"/>
              </w:rPr>
              <w:t xml:space="preserve">Сургутский</w:t>
            </w:r>
          </w:p>
        </w:tc>
        <w:tc>
          <w:tcPr>
            <w:tcW w:w="1009" w:type="dxa"/>
          </w:tcPr>
          <w:p>
            <w:pPr>
              <w:pStyle w:val="0"/>
            </w:pPr>
            <w:r>
              <w:rPr>
                <w:sz w:val="20"/>
              </w:rPr>
              <w:t xml:space="preserve">66</w:t>
            </w:r>
          </w:p>
        </w:tc>
        <w:tc>
          <w:tcPr>
            <w:tcW w:w="859" w:type="dxa"/>
          </w:tcPr>
          <w:p>
            <w:pPr>
              <w:pStyle w:val="0"/>
            </w:pPr>
            <w:r>
              <w:rPr>
                <w:sz w:val="20"/>
              </w:rPr>
              <w:t xml:space="preserve">57,1</w:t>
            </w:r>
          </w:p>
        </w:tc>
        <w:tc>
          <w:tcPr>
            <w:tcW w:w="1009" w:type="dxa"/>
          </w:tcPr>
          <w:p>
            <w:pPr>
              <w:pStyle w:val="0"/>
            </w:pPr>
            <w:r>
              <w:rPr>
                <w:sz w:val="20"/>
              </w:rPr>
              <w:t xml:space="preserve">96</w:t>
            </w:r>
          </w:p>
        </w:tc>
        <w:tc>
          <w:tcPr>
            <w:tcW w:w="859" w:type="dxa"/>
          </w:tcPr>
          <w:p>
            <w:pPr>
              <w:pStyle w:val="0"/>
            </w:pPr>
            <w:r>
              <w:rPr>
                <w:sz w:val="20"/>
              </w:rPr>
              <w:t xml:space="preserve">80,8</w:t>
            </w:r>
          </w:p>
        </w:tc>
        <w:tc>
          <w:tcPr>
            <w:tcW w:w="1009" w:type="dxa"/>
          </w:tcPr>
          <w:p>
            <w:pPr>
              <w:pStyle w:val="0"/>
            </w:pPr>
            <w:r>
              <w:rPr>
                <w:sz w:val="20"/>
              </w:rPr>
              <w:t xml:space="preserve">77</w:t>
            </w:r>
          </w:p>
        </w:tc>
        <w:tc>
          <w:tcPr>
            <w:tcW w:w="859" w:type="dxa"/>
          </w:tcPr>
          <w:p>
            <w:pPr>
              <w:pStyle w:val="0"/>
            </w:pPr>
            <w:r>
              <w:rPr>
                <w:sz w:val="20"/>
              </w:rPr>
              <w:t xml:space="preserve">63,7</w:t>
            </w:r>
          </w:p>
        </w:tc>
        <w:tc>
          <w:tcPr>
            <w:tcW w:w="1009" w:type="dxa"/>
          </w:tcPr>
          <w:p>
            <w:pPr>
              <w:pStyle w:val="0"/>
            </w:pPr>
            <w:r>
              <w:rPr>
                <w:sz w:val="20"/>
              </w:rPr>
              <w:t xml:space="preserve">99</w:t>
            </w:r>
          </w:p>
        </w:tc>
        <w:tc>
          <w:tcPr>
            <w:tcW w:w="859" w:type="dxa"/>
          </w:tcPr>
          <w:p>
            <w:pPr>
              <w:pStyle w:val="0"/>
            </w:pPr>
            <w:r>
              <w:rPr>
                <w:sz w:val="20"/>
              </w:rPr>
              <w:t xml:space="preserve">81,3</w:t>
            </w:r>
          </w:p>
        </w:tc>
        <w:tc>
          <w:tcPr>
            <w:tcW w:w="1009" w:type="dxa"/>
          </w:tcPr>
          <w:p>
            <w:pPr>
              <w:pStyle w:val="0"/>
            </w:pPr>
            <w:r>
              <w:rPr>
                <w:sz w:val="20"/>
              </w:rPr>
              <w:t xml:space="preserve">101</w:t>
            </w:r>
          </w:p>
        </w:tc>
        <w:tc>
          <w:tcPr>
            <w:tcW w:w="859" w:type="dxa"/>
          </w:tcPr>
          <w:p>
            <w:pPr>
              <w:pStyle w:val="0"/>
            </w:pPr>
            <w:r>
              <w:rPr>
                <w:sz w:val="20"/>
              </w:rPr>
              <w:t xml:space="preserve">82,5</w:t>
            </w:r>
          </w:p>
        </w:tc>
      </w:tr>
      <w:tr>
        <w:tc>
          <w:tcPr>
            <w:tcW w:w="2608" w:type="dxa"/>
          </w:tcPr>
          <w:p>
            <w:pPr>
              <w:pStyle w:val="0"/>
            </w:pPr>
            <w:r>
              <w:rPr>
                <w:sz w:val="20"/>
              </w:rPr>
              <w:t xml:space="preserve">Нефтеюганск</w:t>
            </w:r>
          </w:p>
        </w:tc>
        <w:tc>
          <w:tcPr>
            <w:tcW w:w="1009" w:type="dxa"/>
          </w:tcPr>
          <w:p>
            <w:pPr>
              <w:pStyle w:val="0"/>
            </w:pPr>
            <w:r>
              <w:rPr>
                <w:sz w:val="20"/>
              </w:rPr>
              <w:t xml:space="preserve">111</w:t>
            </w:r>
          </w:p>
        </w:tc>
        <w:tc>
          <w:tcPr>
            <w:tcW w:w="859" w:type="dxa"/>
          </w:tcPr>
          <w:p>
            <w:pPr>
              <w:pStyle w:val="0"/>
            </w:pPr>
            <w:r>
              <w:rPr>
                <w:sz w:val="20"/>
              </w:rPr>
              <w:t xml:space="preserve">89,3</w:t>
            </w:r>
          </w:p>
        </w:tc>
        <w:tc>
          <w:tcPr>
            <w:tcW w:w="1009" w:type="dxa"/>
          </w:tcPr>
          <w:p>
            <w:pPr>
              <w:pStyle w:val="0"/>
            </w:pPr>
            <w:r>
              <w:rPr>
                <w:sz w:val="20"/>
              </w:rPr>
              <w:t xml:space="preserve">144</w:t>
            </w:r>
          </w:p>
        </w:tc>
        <w:tc>
          <w:tcPr>
            <w:tcW w:w="859" w:type="dxa"/>
          </w:tcPr>
          <w:p>
            <w:pPr>
              <w:pStyle w:val="0"/>
            </w:pPr>
            <w:r>
              <w:rPr>
                <w:sz w:val="20"/>
              </w:rPr>
              <w:t xml:space="preserve">114,7</w:t>
            </w:r>
          </w:p>
        </w:tc>
        <w:tc>
          <w:tcPr>
            <w:tcW w:w="1009" w:type="dxa"/>
          </w:tcPr>
          <w:p>
            <w:pPr>
              <w:pStyle w:val="0"/>
            </w:pPr>
            <w:r>
              <w:rPr>
                <w:sz w:val="20"/>
              </w:rPr>
              <w:t xml:space="preserve">136</w:t>
            </w:r>
          </w:p>
        </w:tc>
        <w:tc>
          <w:tcPr>
            <w:tcW w:w="859" w:type="dxa"/>
          </w:tcPr>
          <w:p>
            <w:pPr>
              <w:pStyle w:val="0"/>
            </w:pPr>
            <w:r>
              <w:rPr>
                <w:sz w:val="20"/>
              </w:rPr>
              <w:t xml:space="preserve">108</w:t>
            </w:r>
          </w:p>
        </w:tc>
        <w:tc>
          <w:tcPr>
            <w:tcW w:w="1009" w:type="dxa"/>
          </w:tcPr>
          <w:p>
            <w:pPr>
              <w:pStyle w:val="0"/>
            </w:pPr>
            <w:r>
              <w:rPr>
                <w:sz w:val="20"/>
              </w:rPr>
              <w:t xml:space="preserve">116</w:t>
            </w:r>
          </w:p>
        </w:tc>
        <w:tc>
          <w:tcPr>
            <w:tcW w:w="859" w:type="dxa"/>
          </w:tcPr>
          <w:p>
            <w:pPr>
              <w:pStyle w:val="0"/>
            </w:pPr>
            <w:r>
              <w:rPr>
                <w:sz w:val="20"/>
              </w:rPr>
              <w:t xml:space="preserve">92,2</w:t>
            </w:r>
          </w:p>
        </w:tc>
        <w:tc>
          <w:tcPr>
            <w:tcW w:w="1009" w:type="dxa"/>
          </w:tcPr>
          <w:p>
            <w:pPr>
              <w:pStyle w:val="0"/>
            </w:pPr>
            <w:r>
              <w:rPr>
                <w:sz w:val="20"/>
              </w:rPr>
              <w:t xml:space="preserve">109</w:t>
            </w:r>
          </w:p>
        </w:tc>
        <w:tc>
          <w:tcPr>
            <w:tcW w:w="859" w:type="dxa"/>
          </w:tcPr>
          <w:p>
            <w:pPr>
              <w:pStyle w:val="0"/>
            </w:pPr>
            <w:r>
              <w:rPr>
                <w:sz w:val="20"/>
              </w:rPr>
              <w:t xml:space="preserve">110,9</w:t>
            </w:r>
          </w:p>
        </w:tc>
      </w:tr>
      <w:tr>
        <w:tc>
          <w:tcPr>
            <w:tcW w:w="2608" w:type="dxa"/>
          </w:tcPr>
          <w:p>
            <w:pPr>
              <w:pStyle w:val="0"/>
            </w:pPr>
            <w:r>
              <w:rPr>
                <w:sz w:val="20"/>
              </w:rPr>
              <w:t xml:space="preserve">Н-Юганский</w:t>
            </w:r>
          </w:p>
        </w:tc>
        <w:tc>
          <w:tcPr>
            <w:tcW w:w="1009" w:type="dxa"/>
          </w:tcPr>
          <w:p>
            <w:pPr>
              <w:pStyle w:val="0"/>
            </w:pPr>
            <w:r>
              <w:rPr>
                <w:sz w:val="20"/>
              </w:rPr>
              <w:t xml:space="preserve">39</w:t>
            </w:r>
          </w:p>
        </w:tc>
        <w:tc>
          <w:tcPr>
            <w:tcW w:w="859" w:type="dxa"/>
          </w:tcPr>
          <w:p>
            <w:pPr>
              <w:pStyle w:val="0"/>
            </w:pPr>
            <w:r>
              <w:rPr>
                <w:sz w:val="20"/>
              </w:rPr>
              <w:t xml:space="preserve">87,5</w:t>
            </w:r>
          </w:p>
        </w:tc>
        <w:tc>
          <w:tcPr>
            <w:tcW w:w="1009" w:type="dxa"/>
          </w:tcPr>
          <w:p>
            <w:pPr>
              <w:pStyle w:val="0"/>
            </w:pPr>
            <w:r>
              <w:rPr>
                <w:sz w:val="20"/>
              </w:rPr>
              <w:t xml:space="preserve">26</w:t>
            </w:r>
          </w:p>
        </w:tc>
        <w:tc>
          <w:tcPr>
            <w:tcW w:w="859" w:type="dxa"/>
          </w:tcPr>
          <w:p>
            <w:pPr>
              <w:pStyle w:val="0"/>
            </w:pPr>
            <w:r>
              <w:rPr>
                <w:sz w:val="20"/>
              </w:rPr>
              <w:t xml:space="preserve">58,6</w:t>
            </w:r>
          </w:p>
        </w:tc>
        <w:tc>
          <w:tcPr>
            <w:tcW w:w="1009" w:type="dxa"/>
          </w:tcPr>
          <w:p>
            <w:pPr>
              <w:pStyle w:val="0"/>
            </w:pPr>
            <w:r>
              <w:rPr>
                <w:sz w:val="20"/>
              </w:rPr>
              <w:t xml:space="preserve">37</w:t>
            </w:r>
          </w:p>
        </w:tc>
        <w:tc>
          <w:tcPr>
            <w:tcW w:w="859" w:type="dxa"/>
          </w:tcPr>
          <w:p>
            <w:pPr>
              <w:pStyle w:val="0"/>
            </w:pPr>
            <w:r>
              <w:rPr>
                <w:sz w:val="20"/>
              </w:rPr>
              <w:t xml:space="preserve">83,7</w:t>
            </w:r>
          </w:p>
        </w:tc>
        <w:tc>
          <w:tcPr>
            <w:tcW w:w="1009" w:type="dxa"/>
          </w:tcPr>
          <w:p>
            <w:pPr>
              <w:pStyle w:val="0"/>
            </w:pPr>
            <w:r>
              <w:rPr>
                <w:sz w:val="20"/>
              </w:rPr>
              <w:t xml:space="preserve">38</w:t>
            </w:r>
          </w:p>
        </w:tc>
        <w:tc>
          <w:tcPr>
            <w:tcW w:w="859" w:type="dxa"/>
          </w:tcPr>
          <w:p>
            <w:pPr>
              <w:pStyle w:val="0"/>
            </w:pPr>
            <w:r>
              <w:rPr>
                <w:sz w:val="20"/>
              </w:rPr>
              <w:t xml:space="preserve">85,7</w:t>
            </w:r>
          </w:p>
        </w:tc>
        <w:tc>
          <w:tcPr>
            <w:tcW w:w="1009" w:type="dxa"/>
          </w:tcPr>
          <w:p>
            <w:pPr>
              <w:pStyle w:val="0"/>
            </w:pPr>
            <w:r>
              <w:rPr>
                <w:sz w:val="20"/>
              </w:rPr>
              <w:t xml:space="preserve">42</w:t>
            </w:r>
          </w:p>
        </w:tc>
        <w:tc>
          <w:tcPr>
            <w:tcW w:w="859" w:type="dxa"/>
          </w:tcPr>
          <w:p>
            <w:pPr>
              <w:pStyle w:val="0"/>
            </w:pPr>
            <w:r>
              <w:rPr>
                <w:sz w:val="20"/>
              </w:rPr>
              <w:t xml:space="preserve">93,6</w:t>
            </w:r>
          </w:p>
        </w:tc>
      </w:tr>
      <w:tr>
        <w:tc>
          <w:tcPr>
            <w:tcW w:w="2608" w:type="dxa"/>
          </w:tcPr>
          <w:p>
            <w:pPr>
              <w:pStyle w:val="0"/>
            </w:pPr>
            <w:r>
              <w:rPr>
                <w:sz w:val="20"/>
              </w:rPr>
              <w:t xml:space="preserve">Пыть-Ях</w:t>
            </w:r>
          </w:p>
        </w:tc>
        <w:tc>
          <w:tcPr>
            <w:tcW w:w="1009" w:type="dxa"/>
          </w:tcPr>
          <w:p>
            <w:pPr>
              <w:pStyle w:val="0"/>
            </w:pPr>
            <w:r>
              <w:rPr>
                <w:sz w:val="20"/>
              </w:rPr>
              <w:t xml:space="preserve">27</w:t>
            </w:r>
          </w:p>
        </w:tc>
        <w:tc>
          <w:tcPr>
            <w:tcW w:w="859" w:type="dxa"/>
          </w:tcPr>
          <w:p>
            <w:pPr>
              <w:pStyle w:val="0"/>
            </w:pPr>
            <w:r>
              <w:rPr>
                <w:sz w:val="20"/>
              </w:rPr>
              <w:t xml:space="preserve">65,3</w:t>
            </w:r>
          </w:p>
        </w:tc>
        <w:tc>
          <w:tcPr>
            <w:tcW w:w="1009" w:type="dxa"/>
          </w:tcPr>
          <w:p>
            <w:pPr>
              <w:pStyle w:val="0"/>
            </w:pPr>
            <w:r>
              <w:rPr>
                <w:sz w:val="20"/>
              </w:rPr>
              <w:t xml:space="preserve">27</w:t>
            </w:r>
          </w:p>
        </w:tc>
        <w:tc>
          <w:tcPr>
            <w:tcW w:w="859" w:type="dxa"/>
          </w:tcPr>
          <w:p>
            <w:pPr>
              <w:pStyle w:val="0"/>
            </w:pPr>
            <w:r>
              <w:rPr>
                <w:sz w:val="20"/>
              </w:rPr>
              <w:t xml:space="preserve">65,9</w:t>
            </w:r>
          </w:p>
        </w:tc>
        <w:tc>
          <w:tcPr>
            <w:tcW w:w="1009" w:type="dxa"/>
          </w:tcPr>
          <w:p>
            <w:pPr>
              <w:pStyle w:val="0"/>
            </w:pPr>
            <w:r>
              <w:rPr>
                <w:sz w:val="20"/>
              </w:rPr>
              <w:t xml:space="preserve">33</w:t>
            </w:r>
          </w:p>
        </w:tc>
        <w:tc>
          <w:tcPr>
            <w:tcW w:w="859" w:type="dxa"/>
          </w:tcPr>
          <w:p>
            <w:pPr>
              <w:pStyle w:val="0"/>
            </w:pPr>
            <w:r>
              <w:rPr>
                <w:sz w:val="20"/>
              </w:rPr>
              <w:t xml:space="preserve">80,7</w:t>
            </w:r>
          </w:p>
        </w:tc>
        <w:tc>
          <w:tcPr>
            <w:tcW w:w="1009" w:type="dxa"/>
          </w:tcPr>
          <w:p>
            <w:pPr>
              <w:pStyle w:val="0"/>
            </w:pPr>
            <w:r>
              <w:rPr>
                <w:sz w:val="20"/>
              </w:rPr>
              <w:t xml:space="preserve">48</w:t>
            </w:r>
          </w:p>
        </w:tc>
        <w:tc>
          <w:tcPr>
            <w:tcW w:w="859" w:type="dxa"/>
          </w:tcPr>
          <w:p>
            <w:pPr>
              <w:pStyle w:val="0"/>
            </w:pPr>
            <w:r>
              <w:rPr>
                <w:sz w:val="20"/>
              </w:rPr>
              <w:t xml:space="preserve">117</w:t>
            </w:r>
          </w:p>
        </w:tc>
        <w:tc>
          <w:tcPr>
            <w:tcW w:w="1009" w:type="dxa"/>
          </w:tcPr>
          <w:p>
            <w:pPr>
              <w:pStyle w:val="0"/>
            </w:pPr>
            <w:r>
              <w:rPr>
                <w:sz w:val="20"/>
              </w:rPr>
              <w:t xml:space="preserve">41</w:t>
            </w:r>
          </w:p>
        </w:tc>
        <w:tc>
          <w:tcPr>
            <w:tcW w:w="859" w:type="dxa"/>
          </w:tcPr>
          <w:p>
            <w:pPr>
              <w:pStyle w:val="0"/>
            </w:pPr>
            <w:r>
              <w:rPr>
                <w:sz w:val="20"/>
              </w:rPr>
              <w:t xml:space="preserve">100,1</w:t>
            </w:r>
          </w:p>
        </w:tc>
      </w:tr>
      <w:tr>
        <w:tc>
          <w:tcPr>
            <w:tcW w:w="2608" w:type="dxa"/>
          </w:tcPr>
          <w:p>
            <w:pPr>
              <w:pStyle w:val="0"/>
            </w:pPr>
            <w:r>
              <w:rPr>
                <w:sz w:val="20"/>
              </w:rPr>
              <w:t xml:space="preserve">Когалым</w:t>
            </w:r>
          </w:p>
        </w:tc>
        <w:tc>
          <w:tcPr>
            <w:tcW w:w="1009" w:type="dxa"/>
          </w:tcPr>
          <w:p>
            <w:pPr>
              <w:pStyle w:val="0"/>
            </w:pPr>
            <w:r>
              <w:rPr>
                <w:sz w:val="20"/>
              </w:rPr>
              <w:t xml:space="preserve">26</w:t>
            </w:r>
          </w:p>
        </w:tc>
        <w:tc>
          <w:tcPr>
            <w:tcW w:w="859" w:type="dxa"/>
          </w:tcPr>
          <w:p>
            <w:pPr>
              <w:pStyle w:val="0"/>
            </w:pPr>
            <w:r>
              <w:rPr>
                <w:sz w:val="20"/>
              </w:rPr>
              <w:t xml:space="preserve">44,2</w:t>
            </w:r>
          </w:p>
        </w:tc>
        <w:tc>
          <w:tcPr>
            <w:tcW w:w="1009" w:type="dxa"/>
          </w:tcPr>
          <w:p>
            <w:pPr>
              <w:pStyle w:val="0"/>
            </w:pPr>
            <w:r>
              <w:rPr>
                <w:sz w:val="20"/>
              </w:rPr>
              <w:t xml:space="preserve">34</w:t>
            </w:r>
          </w:p>
        </w:tc>
        <w:tc>
          <w:tcPr>
            <w:tcW w:w="859" w:type="dxa"/>
          </w:tcPr>
          <w:p>
            <w:pPr>
              <w:pStyle w:val="0"/>
            </w:pPr>
            <w:r>
              <w:rPr>
                <w:sz w:val="20"/>
              </w:rPr>
              <w:t xml:space="preserve">57,1</w:t>
            </w:r>
          </w:p>
        </w:tc>
        <w:tc>
          <w:tcPr>
            <w:tcW w:w="1009" w:type="dxa"/>
          </w:tcPr>
          <w:p>
            <w:pPr>
              <w:pStyle w:val="0"/>
            </w:pPr>
            <w:r>
              <w:rPr>
                <w:sz w:val="20"/>
              </w:rPr>
              <w:t xml:space="preserve">44</w:t>
            </w:r>
          </w:p>
        </w:tc>
        <w:tc>
          <w:tcPr>
            <w:tcW w:w="859" w:type="dxa"/>
          </w:tcPr>
          <w:p>
            <w:pPr>
              <w:pStyle w:val="0"/>
            </w:pPr>
            <w:r>
              <w:rPr>
                <w:sz w:val="20"/>
              </w:rPr>
              <w:t xml:space="preserve">72,6</w:t>
            </w:r>
          </w:p>
        </w:tc>
        <w:tc>
          <w:tcPr>
            <w:tcW w:w="1009" w:type="dxa"/>
          </w:tcPr>
          <w:p>
            <w:pPr>
              <w:pStyle w:val="0"/>
            </w:pPr>
            <w:r>
              <w:rPr>
                <w:sz w:val="20"/>
              </w:rPr>
              <w:t xml:space="preserve">30</w:t>
            </w:r>
          </w:p>
        </w:tc>
        <w:tc>
          <w:tcPr>
            <w:tcW w:w="859" w:type="dxa"/>
          </w:tcPr>
          <w:p>
            <w:pPr>
              <w:pStyle w:val="0"/>
            </w:pPr>
            <w:r>
              <w:rPr>
                <w:sz w:val="20"/>
              </w:rPr>
              <w:t xml:space="preserve">48,6</w:t>
            </w:r>
          </w:p>
        </w:tc>
        <w:tc>
          <w:tcPr>
            <w:tcW w:w="1009" w:type="dxa"/>
          </w:tcPr>
          <w:p>
            <w:pPr>
              <w:pStyle w:val="0"/>
            </w:pPr>
            <w:r>
              <w:rPr>
                <w:sz w:val="20"/>
              </w:rPr>
              <w:t xml:space="preserve">28</w:t>
            </w:r>
          </w:p>
        </w:tc>
        <w:tc>
          <w:tcPr>
            <w:tcW w:w="859" w:type="dxa"/>
          </w:tcPr>
          <w:p>
            <w:pPr>
              <w:pStyle w:val="0"/>
            </w:pPr>
            <w:r>
              <w:rPr>
                <w:sz w:val="20"/>
              </w:rPr>
              <w:t xml:space="preserve">44,5</w:t>
            </w:r>
          </w:p>
        </w:tc>
      </w:tr>
      <w:tr>
        <w:tc>
          <w:tcPr>
            <w:tcW w:w="2608" w:type="dxa"/>
          </w:tcPr>
          <w:p>
            <w:pPr>
              <w:pStyle w:val="0"/>
            </w:pPr>
            <w:r>
              <w:rPr>
                <w:sz w:val="20"/>
              </w:rPr>
              <w:t xml:space="preserve">Всего по центру</w:t>
            </w:r>
          </w:p>
        </w:tc>
        <w:tc>
          <w:tcPr>
            <w:tcW w:w="1009" w:type="dxa"/>
          </w:tcPr>
          <w:p>
            <w:pPr>
              <w:pStyle w:val="0"/>
            </w:pPr>
            <w:r>
              <w:rPr>
                <w:sz w:val="20"/>
              </w:rPr>
              <w:t xml:space="preserve">537</w:t>
            </w:r>
          </w:p>
        </w:tc>
        <w:tc>
          <w:tcPr>
            <w:tcW w:w="859" w:type="dxa"/>
          </w:tcPr>
          <w:p>
            <w:pPr>
              <w:pStyle w:val="0"/>
            </w:pPr>
            <w:r>
              <w:rPr>
                <w:sz w:val="20"/>
              </w:rPr>
              <w:t xml:space="preserve">77</w:t>
            </w:r>
          </w:p>
        </w:tc>
        <w:tc>
          <w:tcPr>
            <w:tcW w:w="1009" w:type="dxa"/>
          </w:tcPr>
          <w:p>
            <w:pPr>
              <w:pStyle w:val="0"/>
            </w:pPr>
            <w:r>
              <w:rPr>
                <w:sz w:val="20"/>
              </w:rPr>
              <w:t xml:space="preserve">626</w:t>
            </w:r>
          </w:p>
        </w:tc>
        <w:tc>
          <w:tcPr>
            <w:tcW w:w="859" w:type="dxa"/>
          </w:tcPr>
          <w:p>
            <w:pPr>
              <w:pStyle w:val="0"/>
            </w:pPr>
            <w:r>
              <w:rPr>
                <w:sz w:val="20"/>
              </w:rPr>
              <w:t xml:space="preserve">88,1</w:t>
            </w:r>
          </w:p>
        </w:tc>
        <w:tc>
          <w:tcPr>
            <w:tcW w:w="1009" w:type="dxa"/>
          </w:tcPr>
          <w:p>
            <w:pPr>
              <w:pStyle w:val="0"/>
            </w:pPr>
            <w:r>
              <w:rPr>
                <w:sz w:val="20"/>
              </w:rPr>
              <w:t xml:space="preserve">640</w:t>
            </w:r>
          </w:p>
        </w:tc>
        <w:tc>
          <w:tcPr>
            <w:tcW w:w="859" w:type="dxa"/>
          </w:tcPr>
          <w:p>
            <w:pPr>
              <w:pStyle w:val="0"/>
            </w:pPr>
            <w:r>
              <w:rPr>
                <w:sz w:val="20"/>
              </w:rPr>
              <w:t xml:space="preserve">90</w:t>
            </w:r>
          </w:p>
        </w:tc>
        <w:tc>
          <w:tcPr>
            <w:tcW w:w="1009" w:type="dxa"/>
          </w:tcPr>
          <w:p>
            <w:pPr>
              <w:pStyle w:val="0"/>
            </w:pPr>
            <w:r>
              <w:rPr>
                <w:sz w:val="20"/>
              </w:rPr>
              <w:t xml:space="preserve">645</w:t>
            </w:r>
          </w:p>
        </w:tc>
        <w:tc>
          <w:tcPr>
            <w:tcW w:w="859" w:type="dxa"/>
          </w:tcPr>
          <w:p>
            <w:pPr>
              <w:pStyle w:val="0"/>
            </w:pPr>
            <w:r>
              <w:rPr>
                <w:sz w:val="20"/>
              </w:rPr>
              <w:t xml:space="preserve">88,2</w:t>
            </w:r>
          </w:p>
        </w:tc>
        <w:tc>
          <w:tcPr>
            <w:tcW w:w="1009" w:type="dxa"/>
          </w:tcPr>
          <w:p>
            <w:pPr>
              <w:pStyle w:val="0"/>
            </w:pPr>
            <w:r>
              <w:rPr>
                <w:sz w:val="20"/>
              </w:rPr>
              <w:t xml:space="preserve">630</w:t>
            </w:r>
          </w:p>
        </w:tc>
        <w:tc>
          <w:tcPr>
            <w:tcW w:w="859" w:type="dxa"/>
          </w:tcPr>
          <w:p>
            <w:pPr>
              <w:pStyle w:val="0"/>
            </w:pPr>
            <w:r>
              <w:rPr>
                <w:sz w:val="20"/>
              </w:rPr>
              <w:t xml:space="preserve">93,5</w:t>
            </w:r>
          </w:p>
        </w:tc>
      </w:tr>
      <w:tr>
        <w:tc>
          <w:tcPr>
            <w:gridSpan w:val="11"/>
            <w:tcW w:w="11948" w:type="dxa"/>
          </w:tcPr>
          <w:p>
            <w:pPr>
              <w:pStyle w:val="0"/>
            </w:pPr>
            <w:r>
              <w:rPr>
                <w:sz w:val="20"/>
              </w:rPr>
              <w:t xml:space="preserve">Нижневартовский онкологический диспансер</w:t>
            </w:r>
          </w:p>
        </w:tc>
      </w:tr>
      <w:tr>
        <w:tc>
          <w:tcPr>
            <w:tcW w:w="2608" w:type="dxa"/>
          </w:tcPr>
          <w:p>
            <w:pPr>
              <w:pStyle w:val="0"/>
            </w:pPr>
            <w:r>
              <w:rPr>
                <w:sz w:val="20"/>
              </w:rPr>
              <w:t xml:space="preserve">Нижневартовск</w:t>
            </w:r>
          </w:p>
        </w:tc>
        <w:tc>
          <w:tcPr>
            <w:tcW w:w="1009" w:type="dxa"/>
          </w:tcPr>
          <w:p>
            <w:pPr>
              <w:pStyle w:val="0"/>
            </w:pPr>
            <w:r>
              <w:rPr>
                <w:sz w:val="20"/>
              </w:rPr>
              <w:t xml:space="preserve">288</w:t>
            </w:r>
          </w:p>
        </w:tc>
        <w:tc>
          <w:tcPr>
            <w:tcW w:w="859" w:type="dxa"/>
          </w:tcPr>
          <w:p>
            <w:pPr>
              <w:pStyle w:val="0"/>
            </w:pPr>
            <w:r>
              <w:rPr>
                <w:sz w:val="20"/>
              </w:rPr>
              <w:t xml:space="preserve">112,7</w:t>
            </w:r>
          </w:p>
        </w:tc>
        <w:tc>
          <w:tcPr>
            <w:tcW w:w="1009" w:type="dxa"/>
          </w:tcPr>
          <w:p>
            <w:pPr>
              <w:pStyle w:val="0"/>
            </w:pPr>
            <w:r>
              <w:rPr>
                <w:sz w:val="20"/>
              </w:rPr>
              <w:t xml:space="preserve">331</w:t>
            </w:r>
          </w:p>
        </w:tc>
        <w:tc>
          <w:tcPr>
            <w:tcW w:w="859" w:type="dxa"/>
          </w:tcPr>
          <w:p>
            <w:pPr>
              <w:pStyle w:val="0"/>
            </w:pPr>
            <w:r>
              <w:rPr>
                <w:sz w:val="20"/>
              </w:rPr>
              <w:t xml:space="preserve">126,8</w:t>
            </w:r>
          </w:p>
        </w:tc>
        <w:tc>
          <w:tcPr>
            <w:tcW w:w="1009" w:type="dxa"/>
          </w:tcPr>
          <w:p>
            <w:pPr>
              <w:pStyle w:val="0"/>
            </w:pPr>
            <w:r>
              <w:rPr>
                <w:sz w:val="20"/>
              </w:rPr>
              <w:t xml:space="preserve">368</w:t>
            </w:r>
          </w:p>
        </w:tc>
        <w:tc>
          <w:tcPr>
            <w:tcW w:w="859" w:type="dxa"/>
          </w:tcPr>
          <w:p>
            <w:pPr>
              <w:pStyle w:val="0"/>
            </w:pPr>
            <w:r>
              <w:rPr>
                <w:sz w:val="20"/>
              </w:rPr>
              <w:t xml:space="preserve">139,1</w:t>
            </w:r>
          </w:p>
        </w:tc>
        <w:tc>
          <w:tcPr>
            <w:tcW w:w="1009" w:type="dxa"/>
          </w:tcPr>
          <w:p>
            <w:pPr>
              <w:pStyle w:val="0"/>
            </w:pPr>
            <w:r>
              <w:rPr>
                <w:sz w:val="20"/>
              </w:rPr>
              <w:t xml:space="preserve">319</w:t>
            </w:r>
          </w:p>
        </w:tc>
        <w:tc>
          <w:tcPr>
            <w:tcW w:w="859" w:type="dxa"/>
          </w:tcPr>
          <w:p>
            <w:pPr>
              <w:pStyle w:val="0"/>
            </w:pPr>
            <w:r>
              <w:rPr>
                <w:sz w:val="20"/>
              </w:rPr>
              <w:t xml:space="preserve">119,3</w:t>
            </w:r>
          </w:p>
        </w:tc>
        <w:tc>
          <w:tcPr>
            <w:tcW w:w="1009" w:type="dxa"/>
          </w:tcPr>
          <w:p>
            <w:pPr>
              <w:pStyle w:val="0"/>
            </w:pPr>
            <w:r>
              <w:rPr>
                <w:sz w:val="20"/>
              </w:rPr>
              <w:t xml:space="preserve">306</w:t>
            </w:r>
          </w:p>
        </w:tc>
        <w:tc>
          <w:tcPr>
            <w:tcW w:w="859" w:type="dxa"/>
          </w:tcPr>
          <w:p>
            <w:pPr>
              <w:pStyle w:val="0"/>
            </w:pPr>
            <w:r>
              <w:rPr>
                <w:sz w:val="20"/>
              </w:rPr>
              <w:t xml:space="preserve">113,5</w:t>
            </w:r>
          </w:p>
        </w:tc>
      </w:tr>
      <w:tr>
        <w:tc>
          <w:tcPr>
            <w:tcW w:w="2608" w:type="dxa"/>
          </w:tcPr>
          <w:p>
            <w:pPr>
              <w:pStyle w:val="0"/>
            </w:pPr>
            <w:r>
              <w:rPr>
                <w:sz w:val="20"/>
              </w:rPr>
              <w:t xml:space="preserve">Нижневартовский</w:t>
            </w:r>
          </w:p>
        </w:tc>
        <w:tc>
          <w:tcPr>
            <w:tcW w:w="1009" w:type="dxa"/>
          </w:tcPr>
          <w:p>
            <w:pPr>
              <w:pStyle w:val="0"/>
            </w:pPr>
            <w:r>
              <w:rPr>
                <w:sz w:val="20"/>
              </w:rPr>
              <w:t xml:space="preserve">16</w:t>
            </w:r>
          </w:p>
        </w:tc>
        <w:tc>
          <w:tcPr>
            <w:tcW w:w="859" w:type="dxa"/>
          </w:tcPr>
          <w:p>
            <w:pPr>
              <w:pStyle w:val="0"/>
            </w:pPr>
            <w:r>
              <w:rPr>
                <w:sz w:val="20"/>
              </w:rPr>
              <w:t xml:space="preserve">44,4</w:t>
            </w:r>
          </w:p>
        </w:tc>
        <w:tc>
          <w:tcPr>
            <w:tcW w:w="1009" w:type="dxa"/>
          </w:tcPr>
          <w:p>
            <w:pPr>
              <w:pStyle w:val="0"/>
            </w:pPr>
            <w:r>
              <w:rPr>
                <w:sz w:val="20"/>
              </w:rPr>
              <w:t xml:space="preserve">36</w:t>
            </w:r>
          </w:p>
        </w:tc>
        <w:tc>
          <w:tcPr>
            <w:tcW w:w="859" w:type="dxa"/>
          </w:tcPr>
          <w:p>
            <w:pPr>
              <w:pStyle w:val="0"/>
            </w:pPr>
            <w:r>
              <w:rPr>
                <w:sz w:val="20"/>
              </w:rPr>
              <w:t xml:space="preserve">98,9</w:t>
            </w:r>
          </w:p>
        </w:tc>
        <w:tc>
          <w:tcPr>
            <w:tcW w:w="1009" w:type="dxa"/>
          </w:tcPr>
          <w:p>
            <w:pPr>
              <w:pStyle w:val="0"/>
            </w:pPr>
            <w:r>
              <w:rPr>
                <w:sz w:val="20"/>
              </w:rPr>
              <w:t xml:space="preserve">27</w:t>
            </w:r>
          </w:p>
        </w:tc>
        <w:tc>
          <w:tcPr>
            <w:tcW w:w="859" w:type="dxa"/>
          </w:tcPr>
          <w:p>
            <w:pPr>
              <w:pStyle w:val="0"/>
            </w:pPr>
            <w:r>
              <w:rPr>
                <w:sz w:val="20"/>
              </w:rPr>
              <w:t xml:space="preserve">74,8</w:t>
            </w:r>
          </w:p>
        </w:tc>
        <w:tc>
          <w:tcPr>
            <w:tcW w:w="1009" w:type="dxa"/>
          </w:tcPr>
          <w:p>
            <w:pPr>
              <w:pStyle w:val="0"/>
            </w:pPr>
            <w:r>
              <w:rPr>
                <w:sz w:val="20"/>
              </w:rPr>
              <w:t xml:space="preserve">43</w:t>
            </w:r>
          </w:p>
        </w:tc>
        <w:tc>
          <w:tcPr>
            <w:tcW w:w="859" w:type="dxa"/>
          </w:tcPr>
          <w:p>
            <w:pPr>
              <w:pStyle w:val="0"/>
            </w:pPr>
            <w:r>
              <w:rPr>
                <w:sz w:val="20"/>
              </w:rPr>
              <w:t xml:space="preserve">120,3</w:t>
            </w:r>
          </w:p>
        </w:tc>
        <w:tc>
          <w:tcPr>
            <w:tcW w:w="1009" w:type="dxa"/>
          </w:tcPr>
          <w:p>
            <w:pPr>
              <w:pStyle w:val="0"/>
            </w:pPr>
            <w:r>
              <w:rPr>
                <w:sz w:val="20"/>
              </w:rPr>
              <w:t xml:space="preserve">21</w:t>
            </w:r>
          </w:p>
        </w:tc>
        <w:tc>
          <w:tcPr>
            <w:tcW w:w="859" w:type="dxa"/>
          </w:tcPr>
          <w:p>
            <w:pPr>
              <w:pStyle w:val="0"/>
            </w:pPr>
            <w:r>
              <w:rPr>
                <w:sz w:val="20"/>
              </w:rPr>
              <w:t xml:space="preserve">58,5</w:t>
            </w:r>
          </w:p>
        </w:tc>
      </w:tr>
      <w:tr>
        <w:tc>
          <w:tcPr>
            <w:tcW w:w="2608" w:type="dxa"/>
          </w:tcPr>
          <w:p>
            <w:pPr>
              <w:pStyle w:val="0"/>
            </w:pPr>
            <w:r>
              <w:rPr>
                <w:sz w:val="20"/>
              </w:rPr>
              <w:t xml:space="preserve">Мегион</w:t>
            </w:r>
          </w:p>
        </w:tc>
        <w:tc>
          <w:tcPr>
            <w:tcW w:w="1009" w:type="dxa"/>
          </w:tcPr>
          <w:p>
            <w:pPr>
              <w:pStyle w:val="0"/>
            </w:pPr>
            <w:r>
              <w:rPr>
                <w:sz w:val="20"/>
              </w:rPr>
              <w:t xml:space="preserve">75</w:t>
            </w:r>
          </w:p>
        </w:tc>
        <w:tc>
          <w:tcPr>
            <w:tcW w:w="859" w:type="dxa"/>
          </w:tcPr>
          <w:p>
            <w:pPr>
              <w:pStyle w:val="0"/>
            </w:pPr>
            <w:r>
              <w:rPr>
                <w:sz w:val="20"/>
              </w:rPr>
              <w:t xml:space="preserve">133,8</w:t>
            </w:r>
          </w:p>
        </w:tc>
        <w:tc>
          <w:tcPr>
            <w:tcW w:w="1009" w:type="dxa"/>
          </w:tcPr>
          <w:p>
            <w:pPr>
              <w:pStyle w:val="0"/>
            </w:pPr>
            <w:r>
              <w:rPr>
                <w:sz w:val="20"/>
              </w:rPr>
              <w:t xml:space="preserve">55</w:t>
            </w:r>
          </w:p>
        </w:tc>
        <w:tc>
          <w:tcPr>
            <w:tcW w:w="859" w:type="dxa"/>
          </w:tcPr>
          <w:p>
            <w:pPr>
              <w:pStyle w:val="0"/>
            </w:pPr>
            <w:r>
              <w:rPr>
                <w:sz w:val="20"/>
              </w:rPr>
              <w:t xml:space="preserve">98,9</w:t>
            </w:r>
          </w:p>
        </w:tc>
        <w:tc>
          <w:tcPr>
            <w:tcW w:w="1009" w:type="dxa"/>
          </w:tcPr>
          <w:p>
            <w:pPr>
              <w:pStyle w:val="0"/>
            </w:pPr>
            <w:r>
              <w:rPr>
                <w:sz w:val="20"/>
              </w:rPr>
              <w:t xml:space="preserve">103</w:t>
            </w:r>
          </w:p>
        </w:tc>
        <w:tc>
          <w:tcPr>
            <w:tcW w:w="859" w:type="dxa"/>
          </w:tcPr>
          <w:p>
            <w:pPr>
              <w:pStyle w:val="0"/>
            </w:pPr>
            <w:r>
              <w:rPr>
                <w:sz w:val="20"/>
              </w:rPr>
              <w:t xml:space="preserve">184,8</w:t>
            </w:r>
          </w:p>
        </w:tc>
        <w:tc>
          <w:tcPr>
            <w:tcW w:w="1009" w:type="dxa"/>
          </w:tcPr>
          <w:p>
            <w:pPr>
              <w:pStyle w:val="0"/>
            </w:pPr>
            <w:r>
              <w:rPr>
                <w:sz w:val="20"/>
              </w:rPr>
              <w:t xml:space="preserve">60</w:t>
            </w:r>
          </w:p>
        </w:tc>
        <w:tc>
          <w:tcPr>
            <w:tcW w:w="859" w:type="dxa"/>
          </w:tcPr>
          <w:p>
            <w:pPr>
              <w:pStyle w:val="0"/>
            </w:pPr>
            <w:r>
              <w:rPr>
                <w:sz w:val="20"/>
              </w:rPr>
              <w:t xml:space="preserve">107</w:t>
            </w:r>
          </w:p>
        </w:tc>
        <w:tc>
          <w:tcPr>
            <w:tcW w:w="1009" w:type="dxa"/>
          </w:tcPr>
          <w:p>
            <w:pPr>
              <w:pStyle w:val="0"/>
            </w:pPr>
            <w:r>
              <w:rPr>
                <w:sz w:val="20"/>
              </w:rPr>
              <w:t xml:space="preserve">81</w:t>
            </w:r>
          </w:p>
        </w:tc>
        <w:tc>
          <w:tcPr>
            <w:tcW w:w="859" w:type="dxa"/>
          </w:tcPr>
          <w:p>
            <w:pPr>
              <w:pStyle w:val="0"/>
            </w:pPr>
            <w:r>
              <w:rPr>
                <w:sz w:val="20"/>
              </w:rPr>
              <w:t xml:space="preserve">144,7</w:t>
            </w:r>
          </w:p>
        </w:tc>
      </w:tr>
      <w:tr>
        <w:tc>
          <w:tcPr>
            <w:tcW w:w="2608" w:type="dxa"/>
          </w:tcPr>
          <w:p>
            <w:pPr>
              <w:pStyle w:val="0"/>
            </w:pPr>
            <w:r>
              <w:rPr>
                <w:sz w:val="20"/>
              </w:rPr>
              <w:t xml:space="preserve">Радужный</w:t>
            </w:r>
          </w:p>
        </w:tc>
        <w:tc>
          <w:tcPr>
            <w:tcW w:w="1009" w:type="dxa"/>
          </w:tcPr>
          <w:p>
            <w:pPr>
              <w:pStyle w:val="0"/>
            </w:pPr>
            <w:r>
              <w:rPr>
                <w:sz w:val="20"/>
              </w:rPr>
              <w:t xml:space="preserve">40</w:t>
            </w:r>
          </w:p>
        </w:tc>
        <w:tc>
          <w:tcPr>
            <w:tcW w:w="859" w:type="dxa"/>
          </w:tcPr>
          <w:p>
            <w:pPr>
              <w:pStyle w:val="0"/>
            </w:pPr>
            <w:r>
              <w:rPr>
                <w:sz w:val="20"/>
              </w:rPr>
              <w:t xml:space="preserve">91,7</w:t>
            </w:r>
          </w:p>
        </w:tc>
        <w:tc>
          <w:tcPr>
            <w:tcW w:w="1009" w:type="dxa"/>
          </w:tcPr>
          <w:p>
            <w:pPr>
              <w:pStyle w:val="0"/>
            </w:pPr>
            <w:r>
              <w:rPr>
                <w:sz w:val="20"/>
              </w:rPr>
              <w:t xml:space="preserve">45</w:t>
            </w:r>
          </w:p>
        </w:tc>
        <w:tc>
          <w:tcPr>
            <w:tcW w:w="859" w:type="dxa"/>
          </w:tcPr>
          <w:p>
            <w:pPr>
              <w:pStyle w:val="0"/>
            </w:pPr>
            <w:r>
              <w:rPr>
                <w:sz w:val="20"/>
              </w:rPr>
              <w:t xml:space="preserve">103,3</w:t>
            </w:r>
          </w:p>
        </w:tc>
        <w:tc>
          <w:tcPr>
            <w:tcW w:w="1009" w:type="dxa"/>
          </w:tcPr>
          <w:p>
            <w:pPr>
              <w:pStyle w:val="0"/>
            </w:pPr>
            <w:r>
              <w:rPr>
                <w:sz w:val="20"/>
              </w:rPr>
              <w:t xml:space="preserve">36</w:t>
            </w:r>
          </w:p>
        </w:tc>
        <w:tc>
          <w:tcPr>
            <w:tcW w:w="859" w:type="dxa"/>
          </w:tcPr>
          <w:p>
            <w:pPr>
              <w:pStyle w:val="0"/>
            </w:pPr>
            <w:r>
              <w:rPr>
                <w:sz w:val="20"/>
              </w:rPr>
              <w:t xml:space="preserve">83</w:t>
            </w:r>
          </w:p>
        </w:tc>
        <w:tc>
          <w:tcPr>
            <w:tcW w:w="1009" w:type="dxa"/>
          </w:tcPr>
          <w:p>
            <w:pPr>
              <w:pStyle w:val="0"/>
            </w:pPr>
            <w:r>
              <w:rPr>
                <w:sz w:val="20"/>
              </w:rPr>
              <w:t xml:space="preserve">40</w:t>
            </w:r>
          </w:p>
        </w:tc>
        <w:tc>
          <w:tcPr>
            <w:tcW w:w="859" w:type="dxa"/>
          </w:tcPr>
          <w:p>
            <w:pPr>
              <w:pStyle w:val="0"/>
            </w:pPr>
            <w:r>
              <w:rPr>
                <w:sz w:val="20"/>
              </w:rPr>
              <w:t xml:space="preserve">92,9</w:t>
            </w:r>
          </w:p>
        </w:tc>
        <w:tc>
          <w:tcPr>
            <w:tcW w:w="1009" w:type="dxa"/>
          </w:tcPr>
          <w:p>
            <w:pPr>
              <w:pStyle w:val="0"/>
            </w:pPr>
            <w:r>
              <w:rPr>
                <w:sz w:val="20"/>
              </w:rPr>
              <w:t xml:space="preserve">47</w:t>
            </w:r>
          </w:p>
        </w:tc>
        <w:tc>
          <w:tcPr>
            <w:tcW w:w="859" w:type="dxa"/>
          </w:tcPr>
          <w:p>
            <w:pPr>
              <w:pStyle w:val="0"/>
            </w:pPr>
            <w:r>
              <w:rPr>
                <w:sz w:val="20"/>
              </w:rPr>
              <w:t xml:space="preserve">109,5</w:t>
            </w:r>
          </w:p>
        </w:tc>
      </w:tr>
      <w:tr>
        <w:tc>
          <w:tcPr>
            <w:tcW w:w="2608" w:type="dxa"/>
          </w:tcPr>
          <w:p>
            <w:pPr>
              <w:pStyle w:val="0"/>
            </w:pPr>
            <w:r>
              <w:rPr>
                <w:sz w:val="20"/>
              </w:rPr>
              <w:t xml:space="preserve">Покачи</w:t>
            </w:r>
          </w:p>
        </w:tc>
        <w:tc>
          <w:tcPr>
            <w:tcW w:w="1009" w:type="dxa"/>
          </w:tcPr>
          <w:p>
            <w:pPr>
              <w:pStyle w:val="0"/>
            </w:pPr>
            <w:r>
              <w:rPr>
                <w:sz w:val="20"/>
              </w:rPr>
              <w:t xml:space="preserve">10</w:t>
            </w:r>
          </w:p>
        </w:tc>
        <w:tc>
          <w:tcPr>
            <w:tcW w:w="859" w:type="dxa"/>
          </w:tcPr>
          <w:p>
            <w:pPr>
              <w:pStyle w:val="0"/>
            </w:pPr>
            <w:r>
              <w:rPr>
                <w:sz w:val="20"/>
              </w:rPr>
              <w:t xml:space="preserve">58,2</w:t>
            </w:r>
          </w:p>
        </w:tc>
        <w:tc>
          <w:tcPr>
            <w:tcW w:w="1009" w:type="dxa"/>
          </w:tcPr>
          <w:p>
            <w:pPr>
              <w:pStyle w:val="0"/>
            </w:pPr>
            <w:r>
              <w:rPr>
                <w:sz w:val="20"/>
              </w:rPr>
              <w:t xml:space="preserve">6</w:t>
            </w:r>
          </w:p>
        </w:tc>
        <w:tc>
          <w:tcPr>
            <w:tcW w:w="859" w:type="dxa"/>
          </w:tcPr>
          <w:p>
            <w:pPr>
              <w:pStyle w:val="0"/>
            </w:pPr>
            <w:r>
              <w:rPr>
                <w:sz w:val="20"/>
              </w:rPr>
              <w:t xml:space="preserve">34,8</w:t>
            </w:r>
          </w:p>
        </w:tc>
        <w:tc>
          <w:tcPr>
            <w:tcW w:w="1009" w:type="dxa"/>
          </w:tcPr>
          <w:p>
            <w:pPr>
              <w:pStyle w:val="0"/>
            </w:pPr>
            <w:r>
              <w:rPr>
                <w:sz w:val="20"/>
              </w:rPr>
              <w:t xml:space="preserve">14</w:t>
            </w:r>
          </w:p>
        </w:tc>
        <w:tc>
          <w:tcPr>
            <w:tcW w:w="859" w:type="dxa"/>
          </w:tcPr>
          <w:p>
            <w:pPr>
              <w:pStyle w:val="0"/>
            </w:pPr>
            <w:r>
              <w:rPr>
                <w:sz w:val="20"/>
              </w:rPr>
              <w:t xml:space="preserve">80,6</w:t>
            </w:r>
          </w:p>
        </w:tc>
        <w:tc>
          <w:tcPr>
            <w:tcW w:w="1009" w:type="dxa"/>
          </w:tcPr>
          <w:p>
            <w:pPr>
              <w:pStyle w:val="0"/>
            </w:pPr>
            <w:r>
              <w:rPr>
                <w:sz w:val="20"/>
              </w:rPr>
              <w:t xml:space="preserve">14</w:t>
            </w:r>
          </w:p>
        </w:tc>
        <w:tc>
          <w:tcPr>
            <w:tcW w:w="859" w:type="dxa"/>
          </w:tcPr>
          <w:p>
            <w:pPr>
              <w:pStyle w:val="0"/>
            </w:pPr>
            <w:r>
              <w:rPr>
                <w:sz w:val="20"/>
              </w:rPr>
              <w:t xml:space="preserve">56,8</w:t>
            </w:r>
          </w:p>
        </w:tc>
        <w:tc>
          <w:tcPr>
            <w:tcW w:w="1009" w:type="dxa"/>
          </w:tcPr>
          <w:p>
            <w:pPr>
              <w:pStyle w:val="0"/>
            </w:pPr>
            <w:r>
              <w:rPr>
                <w:sz w:val="20"/>
              </w:rPr>
              <w:t xml:space="preserve">12</w:t>
            </w:r>
          </w:p>
        </w:tc>
        <w:tc>
          <w:tcPr>
            <w:tcW w:w="859" w:type="dxa"/>
          </w:tcPr>
          <w:p>
            <w:pPr>
              <w:pStyle w:val="0"/>
            </w:pPr>
            <w:r>
              <w:rPr>
                <w:sz w:val="20"/>
              </w:rPr>
              <w:t xml:space="preserve">27,8</w:t>
            </w:r>
          </w:p>
        </w:tc>
      </w:tr>
      <w:tr>
        <w:tc>
          <w:tcPr>
            <w:tcW w:w="2608" w:type="dxa"/>
          </w:tcPr>
          <w:p>
            <w:pPr>
              <w:pStyle w:val="0"/>
            </w:pPr>
            <w:r>
              <w:rPr>
                <w:sz w:val="20"/>
              </w:rPr>
              <w:t xml:space="preserve">Лангепас</w:t>
            </w:r>
          </w:p>
        </w:tc>
        <w:tc>
          <w:tcPr>
            <w:tcW w:w="1009" w:type="dxa"/>
          </w:tcPr>
          <w:p>
            <w:pPr>
              <w:pStyle w:val="0"/>
            </w:pPr>
            <w:r>
              <w:rPr>
                <w:sz w:val="20"/>
              </w:rPr>
              <w:t xml:space="preserve">43</w:t>
            </w:r>
          </w:p>
        </w:tc>
        <w:tc>
          <w:tcPr>
            <w:tcW w:w="859" w:type="dxa"/>
          </w:tcPr>
          <w:p>
            <w:pPr>
              <w:pStyle w:val="0"/>
            </w:pPr>
            <w:r>
              <w:rPr>
                <w:sz w:val="20"/>
              </w:rPr>
              <w:t xml:space="preserve">102,1</w:t>
            </w:r>
          </w:p>
        </w:tc>
        <w:tc>
          <w:tcPr>
            <w:tcW w:w="1009" w:type="dxa"/>
          </w:tcPr>
          <w:p>
            <w:pPr>
              <w:pStyle w:val="0"/>
            </w:pPr>
            <w:r>
              <w:rPr>
                <w:sz w:val="20"/>
              </w:rPr>
              <w:t xml:space="preserve">41</w:t>
            </w:r>
          </w:p>
        </w:tc>
        <w:tc>
          <w:tcPr>
            <w:tcW w:w="859" w:type="dxa"/>
          </w:tcPr>
          <w:p>
            <w:pPr>
              <w:pStyle w:val="0"/>
            </w:pPr>
            <w:r>
              <w:rPr>
                <w:sz w:val="20"/>
              </w:rPr>
              <w:t xml:space="preserve">96,3</w:t>
            </w:r>
          </w:p>
        </w:tc>
        <w:tc>
          <w:tcPr>
            <w:tcW w:w="1009" w:type="dxa"/>
          </w:tcPr>
          <w:p>
            <w:pPr>
              <w:pStyle w:val="0"/>
            </w:pPr>
            <w:r>
              <w:rPr>
                <w:sz w:val="20"/>
              </w:rPr>
              <w:t xml:space="preserve">23</w:t>
            </w:r>
          </w:p>
        </w:tc>
        <w:tc>
          <w:tcPr>
            <w:tcW w:w="859" w:type="dxa"/>
          </w:tcPr>
          <w:p>
            <w:pPr>
              <w:pStyle w:val="0"/>
            </w:pPr>
            <w:r>
              <w:rPr>
                <w:sz w:val="20"/>
              </w:rPr>
              <w:t xml:space="preserve">53,8</w:t>
            </w:r>
          </w:p>
        </w:tc>
        <w:tc>
          <w:tcPr>
            <w:tcW w:w="1009" w:type="dxa"/>
          </w:tcPr>
          <w:p>
            <w:pPr>
              <w:pStyle w:val="0"/>
            </w:pPr>
            <w:r>
              <w:rPr>
                <w:sz w:val="20"/>
              </w:rPr>
              <w:t xml:space="preserve">37</w:t>
            </w:r>
          </w:p>
        </w:tc>
        <w:tc>
          <w:tcPr>
            <w:tcW w:w="859" w:type="dxa"/>
          </w:tcPr>
          <w:p>
            <w:pPr>
              <w:pStyle w:val="0"/>
            </w:pPr>
            <w:r>
              <w:rPr>
                <w:sz w:val="20"/>
              </w:rPr>
              <w:t xml:space="preserve">86,3</w:t>
            </w:r>
          </w:p>
        </w:tc>
        <w:tc>
          <w:tcPr>
            <w:tcW w:w="1009" w:type="dxa"/>
          </w:tcPr>
          <w:p>
            <w:pPr>
              <w:pStyle w:val="0"/>
            </w:pPr>
            <w:r>
              <w:rPr>
                <w:sz w:val="20"/>
              </w:rPr>
              <w:t xml:space="preserve">45</w:t>
            </w:r>
          </w:p>
        </w:tc>
        <w:tc>
          <w:tcPr>
            <w:tcW w:w="859" w:type="dxa"/>
          </w:tcPr>
          <w:p>
            <w:pPr>
              <w:pStyle w:val="0"/>
            </w:pPr>
            <w:r>
              <w:rPr>
                <w:sz w:val="20"/>
              </w:rPr>
              <w:t xml:space="preserve">252,6</w:t>
            </w:r>
          </w:p>
        </w:tc>
      </w:tr>
      <w:tr>
        <w:tc>
          <w:tcPr>
            <w:tcW w:w="2608" w:type="dxa"/>
          </w:tcPr>
          <w:p>
            <w:pPr>
              <w:pStyle w:val="0"/>
            </w:pPr>
            <w:r>
              <w:rPr>
                <w:sz w:val="20"/>
              </w:rPr>
              <w:t xml:space="preserve">Всего по центру</w:t>
            </w:r>
          </w:p>
        </w:tc>
        <w:tc>
          <w:tcPr>
            <w:tcW w:w="1009" w:type="dxa"/>
          </w:tcPr>
          <w:p>
            <w:pPr>
              <w:pStyle w:val="0"/>
            </w:pPr>
            <w:r>
              <w:rPr>
                <w:sz w:val="20"/>
              </w:rPr>
              <w:t xml:space="preserve">472</w:t>
            </w:r>
          </w:p>
        </w:tc>
        <w:tc>
          <w:tcPr>
            <w:tcW w:w="859" w:type="dxa"/>
          </w:tcPr>
          <w:p>
            <w:pPr>
              <w:pStyle w:val="0"/>
            </w:pPr>
            <w:r>
              <w:rPr>
                <w:sz w:val="20"/>
              </w:rPr>
              <w:t xml:space="preserve">104,7</w:t>
            </w:r>
          </w:p>
        </w:tc>
        <w:tc>
          <w:tcPr>
            <w:tcW w:w="1009" w:type="dxa"/>
          </w:tcPr>
          <w:p>
            <w:pPr>
              <w:pStyle w:val="0"/>
            </w:pPr>
            <w:r>
              <w:rPr>
                <w:sz w:val="20"/>
              </w:rPr>
              <w:t xml:space="preserve">514</w:t>
            </w:r>
          </w:p>
        </w:tc>
        <w:tc>
          <w:tcPr>
            <w:tcW w:w="859" w:type="dxa"/>
          </w:tcPr>
          <w:p>
            <w:pPr>
              <w:pStyle w:val="0"/>
            </w:pPr>
            <w:r>
              <w:rPr>
                <w:sz w:val="20"/>
              </w:rPr>
              <w:t xml:space="preserve">112,6</w:t>
            </w:r>
          </w:p>
        </w:tc>
        <w:tc>
          <w:tcPr>
            <w:tcW w:w="1009" w:type="dxa"/>
          </w:tcPr>
          <w:p>
            <w:pPr>
              <w:pStyle w:val="0"/>
            </w:pPr>
            <w:r>
              <w:rPr>
                <w:sz w:val="20"/>
              </w:rPr>
              <w:t xml:space="preserve">571</w:t>
            </w:r>
          </w:p>
        </w:tc>
        <w:tc>
          <w:tcPr>
            <w:tcW w:w="859" w:type="dxa"/>
          </w:tcPr>
          <w:p>
            <w:pPr>
              <w:pStyle w:val="0"/>
            </w:pPr>
            <w:r>
              <w:rPr>
                <w:sz w:val="20"/>
              </w:rPr>
              <w:t xml:space="preserve">124,2</w:t>
            </w:r>
          </w:p>
        </w:tc>
        <w:tc>
          <w:tcPr>
            <w:tcW w:w="1009" w:type="dxa"/>
          </w:tcPr>
          <w:p>
            <w:pPr>
              <w:pStyle w:val="0"/>
            </w:pPr>
            <w:r>
              <w:rPr>
                <w:sz w:val="20"/>
              </w:rPr>
              <w:t xml:space="preserve">513</w:t>
            </w:r>
          </w:p>
        </w:tc>
        <w:tc>
          <w:tcPr>
            <w:tcW w:w="859" w:type="dxa"/>
          </w:tcPr>
          <w:p>
            <w:pPr>
              <w:pStyle w:val="0"/>
            </w:pPr>
            <w:r>
              <w:rPr>
                <w:sz w:val="20"/>
              </w:rPr>
              <w:t xml:space="preserve">110</w:t>
            </w:r>
          </w:p>
        </w:tc>
        <w:tc>
          <w:tcPr>
            <w:tcW w:w="1009" w:type="dxa"/>
          </w:tcPr>
          <w:p>
            <w:pPr>
              <w:pStyle w:val="0"/>
            </w:pPr>
            <w:r>
              <w:rPr>
                <w:sz w:val="20"/>
              </w:rPr>
              <w:t xml:space="preserve">512</w:t>
            </w:r>
          </w:p>
        </w:tc>
        <w:tc>
          <w:tcPr>
            <w:tcW w:w="859" w:type="dxa"/>
          </w:tcPr>
          <w:p>
            <w:pPr>
              <w:pStyle w:val="0"/>
            </w:pPr>
            <w:r>
              <w:rPr>
                <w:sz w:val="20"/>
              </w:rPr>
              <w:t xml:space="preserve">110</w:t>
            </w:r>
          </w:p>
        </w:tc>
      </w:tr>
      <w:tr>
        <w:tc>
          <w:tcPr>
            <w:tcW w:w="2608" w:type="dxa"/>
          </w:tcPr>
          <w:p>
            <w:pPr>
              <w:pStyle w:val="0"/>
            </w:pPr>
            <w:r>
              <w:rPr>
                <w:sz w:val="20"/>
              </w:rPr>
              <w:t xml:space="preserve">Автономный округ</w:t>
            </w:r>
          </w:p>
        </w:tc>
        <w:tc>
          <w:tcPr>
            <w:tcW w:w="1009" w:type="dxa"/>
          </w:tcPr>
          <w:p>
            <w:pPr>
              <w:pStyle w:val="0"/>
            </w:pPr>
            <w:r>
              <w:rPr>
                <w:sz w:val="20"/>
              </w:rPr>
              <w:t xml:space="preserve">1681</w:t>
            </w:r>
          </w:p>
        </w:tc>
        <w:tc>
          <w:tcPr>
            <w:tcW w:w="859" w:type="dxa"/>
          </w:tcPr>
          <w:p>
            <w:pPr>
              <w:pStyle w:val="0"/>
            </w:pPr>
            <w:r>
              <w:rPr>
                <w:sz w:val="20"/>
              </w:rPr>
              <w:t xml:space="preserve">108,5</w:t>
            </w:r>
          </w:p>
        </w:tc>
        <w:tc>
          <w:tcPr>
            <w:tcW w:w="1009" w:type="dxa"/>
          </w:tcPr>
          <w:p>
            <w:pPr>
              <w:pStyle w:val="0"/>
            </w:pPr>
            <w:r>
              <w:rPr>
                <w:sz w:val="20"/>
              </w:rPr>
              <w:t xml:space="preserve">1748</w:t>
            </w:r>
          </w:p>
        </w:tc>
        <w:tc>
          <w:tcPr>
            <w:tcW w:w="859" w:type="dxa"/>
          </w:tcPr>
          <w:p>
            <w:pPr>
              <w:pStyle w:val="0"/>
            </w:pPr>
            <w:r>
              <w:rPr>
                <w:sz w:val="20"/>
              </w:rPr>
              <w:t xml:space="preserve">111,2</w:t>
            </w:r>
          </w:p>
        </w:tc>
        <w:tc>
          <w:tcPr>
            <w:tcW w:w="1009" w:type="dxa"/>
          </w:tcPr>
          <w:p>
            <w:pPr>
              <w:pStyle w:val="0"/>
            </w:pPr>
            <w:r>
              <w:rPr>
                <w:sz w:val="20"/>
              </w:rPr>
              <w:t xml:space="preserve">1769</w:t>
            </w:r>
          </w:p>
        </w:tc>
        <w:tc>
          <w:tcPr>
            <w:tcW w:w="859" w:type="dxa"/>
          </w:tcPr>
          <w:p>
            <w:pPr>
              <w:pStyle w:val="0"/>
            </w:pPr>
            <w:r>
              <w:rPr>
                <w:sz w:val="20"/>
              </w:rPr>
              <w:t xml:space="preserve">111,8</w:t>
            </w:r>
          </w:p>
        </w:tc>
        <w:tc>
          <w:tcPr>
            <w:tcW w:w="1009" w:type="dxa"/>
          </w:tcPr>
          <w:p>
            <w:pPr>
              <w:pStyle w:val="0"/>
            </w:pPr>
            <w:r>
              <w:rPr>
                <w:sz w:val="20"/>
              </w:rPr>
              <w:t xml:space="preserve">1768</w:t>
            </w:r>
          </w:p>
        </w:tc>
        <w:tc>
          <w:tcPr>
            <w:tcW w:w="859" w:type="dxa"/>
          </w:tcPr>
          <w:p>
            <w:pPr>
              <w:pStyle w:val="0"/>
            </w:pPr>
            <w:r>
              <w:rPr>
                <w:sz w:val="20"/>
              </w:rPr>
              <w:t xml:space="preserve">110,2</w:t>
            </w:r>
          </w:p>
        </w:tc>
        <w:tc>
          <w:tcPr>
            <w:tcW w:w="1009" w:type="dxa"/>
          </w:tcPr>
          <w:p>
            <w:pPr>
              <w:pStyle w:val="0"/>
            </w:pPr>
            <w:r>
              <w:rPr>
                <w:sz w:val="20"/>
              </w:rPr>
              <w:t xml:space="preserve">1751</w:t>
            </w:r>
          </w:p>
        </w:tc>
        <w:tc>
          <w:tcPr>
            <w:tcW w:w="859" w:type="dxa"/>
          </w:tcPr>
          <w:p>
            <w:pPr>
              <w:pStyle w:val="0"/>
            </w:pPr>
            <w:r>
              <w:rPr>
                <w:sz w:val="20"/>
              </w:rPr>
              <w:t xml:space="preserve">108,1</w:t>
            </w:r>
          </w:p>
        </w:tc>
      </w:tr>
      <w:tr>
        <w:tc>
          <w:tcPr>
            <w:tcW w:w="2608" w:type="dxa"/>
          </w:tcPr>
          <w:p>
            <w:pPr>
              <w:pStyle w:val="0"/>
            </w:pPr>
            <w:r>
              <w:rPr>
                <w:sz w:val="20"/>
              </w:rPr>
              <w:t xml:space="preserve">Россия</w:t>
            </w:r>
          </w:p>
        </w:tc>
        <w:tc>
          <w:tcPr>
            <w:gridSpan w:val="2"/>
            <w:tcW w:w="1868" w:type="dxa"/>
          </w:tcPr>
          <w:p>
            <w:pPr>
              <w:pStyle w:val="0"/>
            </w:pPr>
            <w:r>
              <w:rPr>
                <w:sz w:val="20"/>
              </w:rPr>
              <w:t xml:space="preserve">202,5</w:t>
            </w:r>
          </w:p>
        </w:tc>
        <w:tc>
          <w:tcPr>
            <w:gridSpan w:val="2"/>
            <w:tcW w:w="1868" w:type="dxa"/>
          </w:tcPr>
          <w:p>
            <w:pPr>
              <w:pStyle w:val="0"/>
            </w:pPr>
            <w:r>
              <w:rPr>
                <w:sz w:val="20"/>
              </w:rPr>
              <w:t xml:space="preserve">200,9</w:t>
            </w:r>
          </w:p>
        </w:tc>
        <w:tc>
          <w:tcPr>
            <w:gridSpan w:val="2"/>
            <w:tcW w:w="1868" w:type="dxa"/>
          </w:tcPr>
          <w:p>
            <w:pPr>
              <w:pStyle w:val="0"/>
            </w:pPr>
            <w:r>
              <w:rPr>
                <w:sz w:val="20"/>
              </w:rPr>
              <w:t xml:space="preserve">201,1</w:t>
            </w:r>
          </w:p>
        </w:tc>
        <w:tc>
          <w:tcPr>
            <w:gridSpan w:val="2"/>
            <w:tcW w:w="1868" w:type="dxa"/>
          </w:tcPr>
          <w:p>
            <w:pPr>
              <w:pStyle w:val="0"/>
            </w:pPr>
            <w:r>
              <w:rPr>
                <w:sz w:val="20"/>
              </w:rPr>
              <w:t xml:space="preserve">199,5</w:t>
            </w:r>
          </w:p>
        </w:tc>
        <w:tc>
          <w:tcPr>
            <w:gridSpan w:val="2"/>
            <w:tcW w:w="1868" w:type="dxa"/>
          </w:tcPr>
          <w:p>
            <w:pPr>
              <w:pStyle w:val="0"/>
            </w:pPr>
            <w:r>
              <w:rPr>
                <w:sz w:val="20"/>
              </w:rPr>
              <w:t xml:space="preserve">202,5</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jc w:val="right"/>
      </w:pPr>
      <w:r>
        <w:rPr>
          <w:sz w:val="20"/>
        </w:rPr>
        <w:t xml:space="preserve">Таблица 24</w:t>
      </w:r>
    </w:p>
    <w:p>
      <w:pPr>
        <w:pStyle w:val="0"/>
        <w:jc w:val="right"/>
      </w:pPr>
      <w:r>
        <w:rPr>
          <w:sz w:val="20"/>
        </w:rPr>
      </w:r>
    </w:p>
    <w:bookmarkStart w:id="8822" w:name="P8822"/>
    <w:bookmarkEnd w:id="8822"/>
    <w:p>
      <w:pPr>
        <w:pStyle w:val="0"/>
        <w:jc w:val="center"/>
      </w:pPr>
      <w:r>
        <w:rPr>
          <w:sz w:val="20"/>
        </w:rPr>
        <w:t xml:space="preserve">Соотношение численности пациентов, умерших</w:t>
      </w:r>
    </w:p>
    <w:p>
      <w:pPr>
        <w:pStyle w:val="0"/>
        <w:jc w:val="center"/>
      </w:pPr>
      <w:r>
        <w:rPr>
          <w:sz w:val="20"/>
        </w:rPr>
        <w:t xml:space="preserve">от злокачественных новообразований и не состоявших на учете</w:t>
      </w:r>
    </w:p>
    <w:p>
      <w:pPr>
        <w:pStyle w:val="0"/>
        <w:jc w:val="center"/>
      </w:pPr>
      <w:r>
        <w:rPr>
          <w:sz w:val="20"/>
        </w:rPr>
        <w:t xml:space="preserve">в онкологических учреждениях, на 100 умерших</w:t>
      </w:r>
    </w:p>
    <w:p>
      <w:pPr>
        <w:pStyle w:val="0"/>
        <w:jc w:val="center"/>
      </w:pPr>
      <w:r>
        <w:rPr>
          <w:sz w:val="20"/>
        </w:rPr>
        <w:t xml:space="preserve">от злокачественных новообразований в автономном округе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731"/>
        <w:gridCol w:w="731"/>
        <w:gridCol w:w="731"/>
        <w:gridCol w:w="731"/>
        <w:gridCol w:w="731"/>
        <w:gridCol w:w="731"/>
        <w:gridCol w:w="731"/>
        <w:gridCol w:w="731"/>
        <w:gridCol w:w="731"/>
        <w:gridCol w:w="794"/>
      </w:tblGrid>
      <w:tr>
        <w:tc>
          <w:tcPr>
            <w:tcW w:w="1644" w:type="dxa"/>
          </w:tcPr>
          <w:p>
            <w:pPr>
              <w:pStyle w:val="0"/>
              <w:jc w:val="right"/>
            </w:pPr>
            <w:r>
              <w:rPr>
                <w:sz w:val="20"/>
              </w:rPr>
            </w:r>
          </w:p>
        </w:tc>
        <w:tc>
          <w:tcPr>
            <w:tcW w:w="731" w:type="dxa"/>
          </w:tcPr>
          <w:p>
            <w:pPr>
              <w:pStyle w:val="0"/>
              <w:jc w:val="center"/>
            </w:pPr>
            <w:r>
              <w:rPr>
                <w:sz w:val="20"/>
              </w:rPr>
              <w:t xml:space="preserve">2013</w:t>
            </w:r>
          </w:p>
        </w:tc>
        <w:tc>
          <w:tcPr>
            <w:tcW w:w="731" w:type="dxa"/>
          </w:tcPr>
          <w:p>
            <w:pPr>
              <w:pStyle w:val="0"/>
              <w:jc w:val="center"/>
            </w:pPr>
            <w:r>
              <w:rPr>
                <w:sz w:val="20"/>
              </w:rPr>
              <w:t xml:space="preserve">2014</w:t>
            </w:r>
          </w:p>
        </w:tc>
        <w:tc>
          <w:tcPr>
            <w:tcW w:w="731" w:type="dxa"/>
          </w:tcPr>
          <w:p>
            <w:pPr>
              <w:pStyle w:val="0"/>
              <w:jc w:val="center"/>
            </w:pPr>
            <w:r>
              <w:rPr>
                <w:sz w:val="20"/>
              </w:rPr>
              <w:t xml:space="preserve">2015</w:t>
            </w:r>
          </w:p>
        </w:tc>
        <w:tc>
          <w:tcPr>
            <w:tcW w:w="731" w:type="dxa"/>
          </w:tcPr>
          <w:p>
            <w:pPr>
              <w:pStyle w:val="0"/>
              <w:jc w:val="center"/>
            </w:pPr>
            <w:r>
              <w:rPr>
                <w:sz w:val="20"/>
              </w:rPr>
              <w:t xml:space="preserve">2016</w:t>
            </w:r>
          </w:p>
        </w:tc>
        <w:tc>
          <w:tcPr>
            <w:tcW w:w="731" w:type="dxa"/>
          </w:tcPr>
          <w:p>
            <w:pPr>
              <w:pStyle w:val="0"/>
              <w:jc w:val="center"/>
            </w:pPr>
            <w:r>
              <w:rPr>
                <w:sz w:val="20"/>
              </w:rPr>
              <w:t xml:space="preserve">2017</w:t>
            </w:r>
          </w:p>
        </w:tc>
        <w:tc>
          <w:tcPr>
            <w:tcW w:w="731" w:type="dxa"/>
          </w:tcPr>
          <w:p>
            <w:pPr>
              <w:pStyle w:val="0"/>
              <w:jc w:val="center"/>
            </w:pPr>
            <w:r>
              <w:rPr>
                <w:sz w:val="20"/>
              </w:rPr>
              <w:t xml:space="preserve">2018</w:t>
            </w:r>
          </w:p>
        </w:tc>
        <w:tc>
          <w:tcPr>
            <w:tcW w:w="731" w:type="dxa"/>
          </w:tcPr>
          <w:p>
            <w:pPr>
              <w:pStyle w:val="0"/>
              <w:jc w:val="center"/>
            </w:pPr>
            <w:r>
              <w:rPr>
                <w:sz w:val="20"/>
              </w:rPr>
              <w:t xml:space="preserve">2019</w:t>
            </w:r>
          </w:p>
        </w:tc>
        <w:tc>
          <w:tcPr>
            <w:tcW w:w="731" w:type="dxa"/>
          </w:tcPr>
          <w:p>
            <w:pPr>
              <w:pStyle w:val="0"/>
              <w:jc w:val="center"/>
            </w:pPr>
            <w:r>
              <w:rPr>
                <w:sz w:val="20"/>
              </w:rPr>
              <w:t xml:space="preserve">2020</w:t>
            </w:r>
          </w:p>
        </w:tc>
        <w:tc>
          <w:tcPr>
            <w:tcW w:w="731" w:type="dxa"/>
          </w:tcPr>
          <w:p>
            <w:pPr>
              <w:pStyle w:val="0"/>
              <w:jc w:val="center"/>
            </w:pPr>
            <w:r>
              <w:rPr>
                <w:sz w:val="20"/>
              </w:rPr>
              <w:t xml:space="preserve">2021</w:t>
            </w:r>
          </w:p>
        </w:tc>
        <w:tc>
          <w:tcPr>
            <w:tcW w:w="794" w:type="dxa"/>
          </w:tcPr>
          <w:p>
            <w:pPr>
              <w:pStyle w:val="0"/>
              <w:jc w:val="center"/>
            </w:pPr>
            <w:r>
              <w:rPr>
                <w:sz w:val="20"/>
              </w:rPr>
              <w:t xml:space="preserve">2022</w:t>
            </w:r>
          </w:p>
        </w:tc>
      </w:tr>
      <w:tr>
        <w:tc>
          <w:tcPr>
            <w:tcW w:w="1644" w:type="dxa"/>
          </w:tcPr>
          <w:p>
            <w:pPr>
              <w:pStyle w:val="0"/>
            </w:pPr>
            <w:r>
              <w:rPr>
                <w:sz w:val="20"/>
              </w:rPr>
              <w:t xml:space="preserve">абсолютное число</w:t>
            </w:r>
          </w:p>
        </w:tc>
        <w:tc>
          <w:tcPr>
            <w:tcW w:w="731" w:type="dxa"/>
          </w:tcPr>
          <w:p>
            <w:pPr>
              <w:pStyle w:val="0"/>
              <w:jc w:val="center"/>
            </w:pPr>
            <w:r>
              <w:rPr>
                <w:sz w:val="20"/>
              </w:rPr>
              <w:t xml:space="preserve">123</w:t>
            </w:r>
          </w:p>
        </w:tc>
        <w:tc>
          <w:tcPr>
            <w:tcW w:w="731" w:type="dxa"/>
          </w:tcPr>
          <w:p>
            <w:pPr>
              <w:pStyle w:val="0"/>
              <w:jc w:val="center"/>
            </w:pPr>
            <w:r>
              <w:rPr>
                <w:sz w:val="20"/>
              </w:rPr>
              <w:t xml:space="preserve">182</w:t>
            </w:r>
          </w:p>
        </w:tc>
        <w:tc>
          <w:tcPr>
            <w:tcW w:w="731" w:type="dxa"/>
          </w:tcPr>
          <w:p>
            <w:pPr>
              <w:pStyle w:val="0"/>
              <w:jc w:val="center"/>
            </w:pPr>
            <w:r>
              <w:rPr>
                <w:sz w:val="20"/>
              </w:rPr>
              <w:t xml:space="preserve">67</w:t>
            </w:r>
          </w:p>
        </w:tc>
        <w:tc>
          <w:tcPr>
            <w:tcW w:w="731" w:type="dxa"/>
          </w:tcPr>
          <w:p>
            <w:pPr>
              <w:pStyle w:val="0"/>
              <w:jc w:val="center"/>
            </w:pPr>
            <w:r>
              <w:rPr>
                <w:sz w:val="20"/>
              </w:rPr>
              <w:t xml:space="preserve">71</w:t>
            </w:r>
          </w:p>
        </w:tc>
        <w:tc>
          <w:tcPr>
            <w:tcW w:w="731" w:type="dxa"/>
          </w:tcPr>
          <w:p>
            <w:pPr>
              <w:pStyle w:val="0"/>
              <w:jc w:val="center"/>
            </w:pPr>
            <w:r>
              <w:rPr>
                <w:sz w:val="20"/>
              </w:rPr>
              <w:t xml:space="preserve">45</w:t>
            </w:r>
          </w:p>
        </w:tc>
        <w:tc>
          <w:tcPr>
            <w:tcW w:w="731" w:type="dxa"/>
          </w:tcPr>
          <w:p>
            <w:pPr>
              <w:pStyle w:val="0"/>
              <w:jc w:val="center"/>
            </w:pPr>
            <w:r>
              <w:rPr>
                <w:sz w:val="20"/>
              </w:rPr>
              <w:t xml:space="preserve">50</w:t>
            </w:r>
          </w:p>
        </w:tc>
        <w:tc>
          <w:tcPr>
            <w:tcW w:w="731" w:type="dxa"/>
          </w:tcPr>
          <w:p>
            <w:pPr>
              <w:pStyle w:val="0"/>
              <w:jc w:val="center"/>
            </w:pPr>
            <w:r>
              <w:rPr>
                <w:sz w:val="20"/>
              </w:rPr>
              <w:t xml:space="preserve">58</w:t>
            </w:r>
          </w:p>
        </w:tc>
        <w:tc>
          <w:tcPr>
            <w:tcW w:w="731" w:type="dxa"/>
          </w:tcPr>
          <w:p>
            <w:pPr>
              <w:pStyle w:val="0"/>
              <w:jc w:val="center"/>
            </w:pPr>
            <w:r>
              <w:rPr>
                <w:sz w:val="20"/>
              </w:rPr>
              <w:t xml:space="preserve">58</w:t>
            </w:r>
          </w:p>
        </w:tc>
        <w:tc>
          <w:tcPr>
            <w:tcW w:w="731" w:type="dxa"/>
          </w:tcPr>
          <w:p>
            <w:pPr>
              <w:pStyle w:val="0"/>
              <w:jc w:val="center"/>
            </w:pPr>
            <w:r>
              <w:rPr>
                <w:sz w:val="20"/>
              </w:rPr>
              <w:t xml:space="preserve">66</w:t>
            </w:r>
          </w:p>
        </w:tc>
        <w:tc>
          <w:tcPr>
            <w:tcW w:w="794" w:type="dxa"/>
          </w:tcPr>
          <w:p>
            <w:pPr>
              <w:pStyle w:val="0"/>
              <w:jc w:val="center"/>
            </w:pPr>
            <w:r>
              <w:rPr>
                <w:sz w:val="20"/>
              </w:rPr>
              <w:t xml:space="preserve">57</w:t>
            </w:r>
          </w:p>
        </w:tc>
      </w:tr>
      <w:tr>
        <w:tc>
          <w:tcPr>
            <w:tcW w:w="1644" w:type="dxa"/>
          </w:tcPr>
          <w:p>
            <w:pPr>
              <w:pStyle w:val="0"/>
            </w:pPr>
            <w:r>
              <w:rPr>
                <w:sz w:val="20"/>
              </w:rPr>
              <w:t xml:space="preserve">на 100 умерших от ЗНО</w:t>
            </w:r>
          </w:p>
        </w:tc>
        <w:tc>
          <w:tcPr>
            <w:tcW w:w="731" w:type="dxa"/>
          </w:tcPr>
          <w:p>
            <w:pPr>
              <w:pStyle w:val="0"/>
              <w:jc w:val="center"/>
            </w:pPr>
            <w:r>
              <w:rPr>
                <w:sz w:val="20"/>
              </w:rPr>
              <w:t xml:space="preserve">6,9</w:t>
            </w:r>
          </w:p>
        </w:tc>
        <w:tc>
          <w:tcPr>
            <w:tcW w:w="731" w:type="dxa"/>
          </w:tcPr>
          <w:p>
            <w:pPr>
              <w:pStyle w:val="0"/>
              <w:jc w:val="center"/>
            </w:pPr>
            <w:r>
              <w:rPr>
                <w:sz w:val="20"/>
              </w:rPr>
              <w:t xml:space="preserve">10,3</w:t>
            </w:r>
          </w:p>
        </w:tc>
        <w:tc>
          <w:tcPr>
            <w:tcW w:w="731" w:type="dxa"/>
          </w:tcPr>
          <w:p>
            <w:pPr>
              <w:pStyle w:val="0"/>
              <w:jc w:val="center"/>
            </w:pPr>
            <w:r>
              <w:rPr>
                <w:sz w:val="20"/>
              </w:rPr>
              <w:t xml:space="preserve">3,8</w:t>
            </w:r>
          </w:p>
        </w:tc>
        <w:tc>
          <w:tcPr>
            <w:tcW w:w="731" w:type="dxa"/>
          </w:tcPr>
          <w:p>
            <w:pPr>
              <w:pStyle w:val="0"/>
              <w:jc w:val="center"/>
            </w:pPr>
            <w:r>
              <w:rPr>
                <w:sz w:val="20"/>
              </w:rPr>
              <w:t xml:space="preserve">4,0</w:t>
            </w:r>
          </w:p>
        </w:tc>
        <w:tc>
          <w:tcPr>
            <w:tcW w:w="731" w:type="dxa"/>
          </w:tcPr>
          <w:p>
            <w:pPr>
              <w:pStyle w:val="0"/>
              <w:jc w:val="center"/>
            </w:pPr>
            <w:r>
              <w:rPr>
                <w:sz w:val="20"/>
              </w:rPr>
              <w:t xml:space="preserve">2,5</w:t>
            </w:r>
          </w:p>
        </w:tc>
        <w:tc>
          <w:tcPr>
            <w:tcW w:w="731" w:type="dxa"/>
          </w:tcPr>
          <w:p>
            <w:pPr>
              <w:pStyle w:val="0"/>
              <w:jc w:val="center"/>
            </w:pPr>
            <w:r>
              <w:rPr>
                <w:sz w:val="20"/>
              </w:rPr>
              <w:t xml:space="preserve">2,5</w:t>
            </w:r>
          </w:p>
        </w:tc>
        <w:tc>
          <w:tcPr>
            <w:tcW w:w="731" w:type="dxa"/>
          </w:tcPr>
          <w:p>
            <w:pPr>
              <w:pStyle w:val="0"/>
              <w:jc w:val="center"/>
            </w:pPr>
            <w:r>
              <w:rPr>
                <w:sz w:val="20"/>
              </w:rPr>
              <w:t xml:space="preserve">3,2</w:t>
            </w:r>
          </w:p>
        </w:tc>
        <w:tc>
          <w:tcPr>
            <w:tcW w:w="731" w:type="dxa"/>
          </w:tcPr>
          <w:p>
            <w:pPr>
              <w:pStyle w:val="0"/>
            </w:pPr>
            <w:r>
              <w:rPr>
                <w:sz w:val="20"/>
              </w:rPr>
              <w:t xml:space="preserve">2,8</w:t>
            </w:r>
          </w:p>
        </w:tc>
        <w:tc>
          <w:tcPr>
            <w:tcW w:w="731" w:type="dxa"/>
          </w:tcPr>
          <w:p>
            <w:pPr>
              <w:pStyle w:val="0"/>
              <w:jc w:val="center"/>
            </w:pPr>
            <w:r>
              <w:rPr>
                <w:sz w:val="20"/>
              </w:rPr>
              <w:t xml:space="preserve">3,5</w:t>
            </w:r>
          </w:p>
        </w:tc>
        <w:tc>
          <w:tcPr>
            <w:tcW w:w="794" w:type="dxa"/>
          </w:tcPr>
          <w:p>
            <w:pPr>
              <w:pStyle w:val="0"/>
              <w:jc w:val="center"/>
            </w:pPr>
            <w:r>
              <w:rPr>
                <w:sz w:val="20"/>
              </w:rPr>
              <w:t xml:space="preserve">3,4</w:t>
            </w:r>
          </w:p>
        </w:tc>
      </w:tr>
    </w:tbl>
    <w:p>
      <w:pPr>
        <w:pStyle w:val="0"/>
        <w:jc w:val="center"/>
      </w:pPr>
      <w:r>
        <w:rPr>
          <w:sz w:val="20"/>
        </w:rPr>
      </w:r>
    </w:p>
    <w:p>
      <w:pPr>
        <w:pStyle w:val="0"/>
        <w:jc w:val="right"/>
      </w:pPr>
      <w:r>
        <w:rPr>
          <w:sz w:val="20"/>
        </w:rPr>
        <w:t xml:space="preserve">Таблица 25</w:t>
      </w:r>
    </w:p>
    <w:p>
      <w:pPr>
        <w:pStyle w:val="0"/>
        <w:jc w:val="right"/>
      </w:pPr>
      <w:r>
        <w:rPr>
          <w:sz w:val="20"/>
        </w:rPr>
      </w:r>
    </w:p>
    <w:p>
      <w:pPr>
        <w:pStyle w:val="0"/>
        <w:jc w:val="center"/>
      </w:pPr>
      <w:r>
        <w:rPr>
          <w:sz w:val="20"/>
        </w:rPr>
        <w:t xml:space="preserve">Летальность больных в течение первого года с момента</w:t>
      </w:r>
    </w:p>
    <w:p>
      <w:pPr>
        <w:pStyle w:val="0"/>
        <w:jc w:val="center"/>
      </w:pPr>
      <w:r>
        <w:rPr>
          <w:sz w:val="20"/>
        </w:rPr>
        <w:t xml:space="preserve">установления диагноза злокачественного новообразования</w:t>
      </w:r>
    </w:p>
    <w:p>
      <w:pPr>
        <w:pStyle w:val="0"/>
        <w:jc w:val="center"/>
      </w:pPr>
      <w:r>
        <w:rPr>
          <w:sz w:val="20"/>
        </w:rPr>
        <w:t xml:space="preserve">за период с 2013 по 2017 год (%)</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191"/>
        <w:gridCol w:w="680"/>
        <w:gridCol w:w="680"/>
        <w:gridCol w:w="680"/>
        <w:gridCol w:w="680"/>
        <w:gridCol w:w="680"/>
        <w:gridCol w:w="680"/>
        <w:gridCol w:w="680"/>
        <w:gridCol w:w="680"/>
        <w:gridCol w:w="680"/>
        <w:gridCol w:w="680"/>
      </w:tblGrid>
      <w:tr>
        <w:tc>
          <w:tcPr>
            <w:tcW w:w="2211" w:type="dxa"/>
            <w:vMerge w:val="restart"/>
          </w:tcPr>
          <w:p>
            <w:pPr>
              <w:pStyle w:val="0"/>
              <w:jc w:val="center"/>
            </w:pPr>
            <w:r>
              <w:rPr>
                <w:sz w:val="20"/>
              </w:rPr>
              <w:t xml:space="preserve">Локализация</w:t>
            </w:r>
          </w:p>
        </w:tc>
        <w:tc>
          <w:tcPr>
            <w:tcW w:w="1191" w:type="dxa"/>
            <w:vMerge w:val="restart"/>
          </w:tcPr>
          <w:p>
            <w:pPr>
              <w:pStyle w:val="0"/>
              <w:jc w:val="center"/>
            </w:pPr>
            <w:r>
              <w:rPr>
                <w:sz w:val="20"/>
              </w:rPr>
              <w:t xml:space="preserve">Код МКБ-10</w:t>
            </w:r>
          </w:p>
        </w:tc>
        <w:tc>
          <w:tcPr>
            <w:gridSpan w:val="2"/>
            <w:tcW w:w="1360" w:type="dxa"/>
          </w:tcPr>
          <w:p>
            <w:pPr>
              <w:pStyle w:val="0"/>
              <w:jc w:val="center"/>
            </w:pPr>
            <w:r>
              <w:rPr>
                <w:sz w:val="20"/>
              </w:rPr>
              <w:t xml:space="preserve">2013</w:t>
            </w:r>
          </w:p>
        </w:tc>
        <w:tc>
          <w:tcPr>
            <w:gridSpan w:val="2"/>
            <w:tcW w:w="1360" w:type="dxa"/>
          </w:tcPr>
          <w:p>
            <w:pPr>
              <w:pStyle w:val="0"/>
              <w:jc w:val="center"/>
            </w:pPr>
            <w:r>
              <w:rPr>
                <w:sz w:val="20"/>
              </w:rPr>
              <w:t xml:space="preserve">2014</w:t>
            </w:r>
          </w:p>
        </w:tc>
        <w:tc>
          <w:tcPr>
            <w:gridSpan w:val="2"/>
            <w:tcW w:w="1360" w:type="dxa"/>
          </w:tcPr>
          <w:p>
            <w:pPr>
              <w:pStyle w:val="0"/>
              <w:jc w:val="center"/>
            </w:pPr>
            <w:r>
              <w:rPr>
                <w:sz w:val="20"/>
              </w:rPr>
              <w:t xml:space="preserve">2015</w:t>
            </w:r>
          </w:p>
        </w:tc>
        <w:tc>
          <w:tcPr>
            <w:gridSpan w:val="2"/>
            <w:tcW w:w="1360" w:type="dxa"/>
          </w:tcPr>
          <w:p>
            <w:pPr>
              <w:pStyle w:val="0"/>
              <w:jc w:val="center"/>
            </w:pPr>
            <w:r>
              <w:rPr>
                <w:sz w:val="20"/>
              </w:rPr>
              <w:t xml:space="preserve">2016</w:t>
            </w:r>
          </w:p>
        </w:tc>
        <w:tc>
          <w:tcPr>
            <w:gridSpan w:val="2"/>
            <w:tcW w:w="1360" w:type="dxa"/>
          </w:tcPr>
          <w:p>
            <w:pPr>
              <w:pStyle w:val="0"/>
              <w:jc w:val="center"/>
            </w:pPr>
            <w:r>
              <w:rPr>
                <w:sz w:val="20"/>
              </w:rPr>
              <w:t xml:space="preserve">2017</w:t>
            </w:r>
          </w:p>
        </w:tc>
      </w:tr>
      <w:tr>
        <w:tc>
          <w:tcPr>
            <w:vMerge w:val="continue"/>
          </w:tcPr>
          <w:p/>
        </w:tc>
        <w:tc>
          <w:tcPr>
            <w:vMerge w:val="continue"/>
          </w:tcPr>
          <w:p/>
        </w:tc>
        <w:tc>
          <w:tcPr>
            <w:tcW w:w="680" w:type="dxa"/>
          </w:tcPr>
          <w:p>
            <w:pPr>
              <w:pStyle w:val="0"/>
              <w:jc w:val="center"/>
            </w:pPr>
            <w:r>
              <w:rPr>
                <w:sz w:val="20"/>
              </w:rPr>
              <w:t xml:space="preserve">абс.</w:t>
            </w:r>
          </w:p>
        </w:tc>
        <w:tc>
          <w:tcPr>
            <w:tcW w:w="680" w:type="dxa"/>
          </w:tcPr>
          <w:p>
            <w:pPr>
              <w:pStyle w:val="0"/>
              <w:jc w:val="center"/>
            </w:pPr>
            <w:r>
              <w:rPr>
                <w:sz w:val="20"/>
              </w:rPr>
              <w:t xml:space="preserve">%</w:t>
            </w:r>
          </w:p>
        </w:tc>
        <w:tc>
          <w:tcPr>
            <w:tcW w:w="680" w:type="dxa"/>
          </w:tcPr>
          <w:p>
            <w:pPr>
              <w:pStyle w:val="0"/>
              <w:jc w:val="center"/>
            </w:pPr>
            <w:r>
              <w:rPr>
                <w:sz w:val="20"/>
              </w:rPr>
              <w:t xml:space="preserve">абс.</w:t>
            </w:r>
          </w:p>
        </w:tc>
        <w:tc>
          <w:tcPr>
            <w:tcW w:w="680" w:type="dxa"/>
          </w:tcPr>
          <w:p>
            <w:pPr>
              <w:pStyle w:val="0"/>
              <w:jc w:val="center"/>
            </w:pPr>
            <w:r>
              <w:rPr>
                <w:sz w:val="20"/>
              </w:rPr>
              <w:t xml:space="preserve">%</w:t>
            </w:r>
          </w:p>
        </w:tc>
        <w:tc>
          <w:tcPr>
            <w:tcW w:w="680" w:type="dxa"/>
          </w:tcPr>
          <w:p>
            <w:pPr>
              <w:pStyle w:val="0"/>
              <w:jc w:val="center"/>
            </w:pPr>
            <w:r>
              <w:rPr>
                <w:sz w:val="20"/>
              </w:rPr>
              <w:t xml:space="preserve">абс.</w:t>
            </w:r>
          </w:p>
        </w:tc>
        <w:tc>
          <w:tcPr>
            <w:tcW w:w="680" w:type="dxa"/>
          </w:tcPr>
          <w:p>
            <w:pPr>
              <w:pStyle w:val="0"/>
              <w:jc w:val="center"/>
            </w:pPr>
            <w:r>
              <w:rPr>
                <w:sz w:val="20"/>
              </w:rPr>
              <w:t xml:space="preserve">%</w:t>
            </w:r>
          </w:p>
        </w:tc>
        <w:tc>
          <w:tcPr>
            <w:tcW w:w="680" w:type="dxa"/>
          </w:tcPr>
          <w:p>
            <w:pPr>
              <w:pStyle w:val="0"/>
              <w:jc w:val="center"/>
            </w:pPr>
            <w:r>
              <w:rPr>
                <w:sz w:val="20"/>
              </w:rPr>
              <w:t xml:space="preserve">абс.</w:t>
            </w:r>
          </w:p>
        </w:tc>
        <w:tc>
          <w:tcPr>
            <w:tcW w:w="680" w:type="dxa"/>
          </w:tcPr>
          <w:p>
            <w:pPr>
              <w:pStyle w:val="0"/>
              <w:jc w:val="center"/>
            </w:pPr>
            <w:r>
              <w:rPr>
                <w:sz w:val="20"/>
              </w:rPr>
              <w:t xml:space="preserve">%</w:t>
            </w:r>
          </w:p>
        </w:tc>
        <w:tc>
          <w:tcPr>
            <w:tcW w:w="680" w:type="dxa"/>
          </w:tcPr>
          <w:p>
            <w:pPr>
              <w:pStyle w:val="0"/>
              <w:jc w:val="center"/>
            </w:pPr>
            <w:r>
              <w:rPr>
                <w:sz w:val="20"/>
              </w:rPr>
              <w:t xml:space="preserve">абс.</w:t>
            </w:r>
          </w:p>
        </w:tc>
        <w:tc>
          <w:tcPr>
            <w:tcW w:w="680" w:type="dxa"/>
          </w:tcPr>
          <w:p>
            <w:pPr>
              <w:pStyle w:val="0"/>
              <w:jc w:val="center"/>
            </w:pPr>
            <w:r>
              <w:rPr>
                <w:sz w:val="20"/>
              </w:rPr>
              <w:t xml:space="preserve">%</w:t>
            </w:r>
          </w:p>
        </w:tc>
      </w:tr>
      <w:tr>
        <w:tc>
          <w:tcPr>
            <w:tcW w:w="2211" w:type="dxa"/>
          </w:tcPr>
          <w:p>
            <w:pPr>
              <w:pStyle w:val="0"/>
            </w:pPr>
            <w:r>
              <w:rPr>
                <w:sz w:val="20"/>
              </w:rPr>
              <w:t xml:space="preserve">Все злокачеств. новообразов.</w:t>
            </w:r>
          </w:p>
        </w:tc>
        <w:tc>
          <w:tcPr>
            <w:tcW w:w="1191" w:type="dxa"/>
          </w:tcPr>
          <w:p>
            <w:pPr>
              <w:pStyle w:val="0"/>
            </w:pPr>
            <w:r>
              <w:rPr>
                <w:sz w:val="20"/>
              </w:rPr>
              <w:t xml:space="preserve">С 00 - 96</w:t>
            </w:r>
          </w:p>
        </w:tc>
        <w:tc>
          <w:tcPr>
            <w:tcW w:w="680" w:type="dxa"/>
          </w:tcPr>
          <w:p>
            <w:pPr>
              <w:pStyle w:val="0"/>
            </w:pPr>
            <w:r>
              <w:rPr>
                <w:sz w:val="20"/>
              </w:rPr>
              <w:t xml:space="preserve">709</w:t>
            </w:r>
          </w:p>
        </w:tc>
        <w:tc>
          <w:tcPr>
            <w:tcW w:w="680" w:type="dxa"/>
          </w:tcPr>
          <w:p>
            <w:pPr>
              <w:pStyle w:val="0"/>
            </w:pPr>
            <w:r>
              <w:rPr>
                <w:sz w:val="20"/>
              </w:rPr>
              <w:t xml:space="preserve">20,9</w:t>
            </w:r>
          </w:p>
        </w:tc>
        <w:tc>
          <w:tcPr>
            <w:tcW w:w="680" w:type="dxa"/>
          </w:tcPr>
          <w:p>
            <w:pPr>
              <w:pStyle w:val="0"/>
            </w:pPr>
            <w:r>
              <w:rPr>
                <w:sz w:val="20"/>
              </w:rPr>
              <w:t xml:space="preserve">752</w:t>
            </w:r>
          </w:p>
        </w:tc>
        <w:tc>
          <w:tcPr>
            <w:tcW w:w="680" w:type="dxa"/>
          </w:tcPr>
          <w:p>
            <w:pPr>
              <w:pStyle w:val="0"/>
            </w:pPr>
            <w:r>
              <w:rPr>
                <w:sz w:val="20"/>
              </w:rPr>
              <w:t xml:space="preserve">21,5</w:t>
            </w:r>
          </w:p>
        </w:tc>
        <w:tc>
          <w:tcPr>
            <w:tcW w:w="680" w:type="dxa"/>
          </w:tcPr>
          <w:p>
            <w:pPr>
              <w:pStyle w:val="0"/>
            </w:pPr>
            <w:r>
              <w:rPr>
                <w:sz w:val="20"/>
              </w:rPr>
              <w:t xml:space="preserve">732</w:t>
            </w:r>
          </w:p>
        </w:tc>
        <w:tc>
          <w:tcPr>
            <w:tcW w:w="680" w:type="dxa"/>
          </w:tcPr>
          <w:p>
            <w:pPr>
              <w:pStyle w:val="0"/>
            </w:pPr>
            <w:r>
              <w:rPr>
                <w:sz w:val="20"/>
              </w:rPr>
              <w:t xml:space="preserve">21,1</w:t>
            </w:r>
          </w:p>
        </w:tc>
        <w:tc>
          <w:tcPr>
            <w:tcW w:w="680" w:type="dxa"/>
          </w:tcPr>
          <w:p>
            <w:pPr>
              <w:pStyle w:val="0"/>
            </w:pPr>
            <w:r>
              <w:rPr>
                <w:sz w:val="20"/>
              </w:rPr>
              <w:t xml:space="preserve">953</w:t>
            </w:r>
          </w:p>
        </w:tc>
        <w:tc>
          <w:tcPr>
            <w:tcW w:w="680" w:type="dxa"/>
          </w:tcPr>
          <w:p>
            <w:pPr>
              <w:pStyle w:val="0"/>
            </w:pPr>
            <w:r>
              <w:rPr>
                <w:sz w:val="20"/>
              </w:rPr>
              <w:t xml:space="preserve">23,5</w:t>
            </w:r>
          </w:p>
        </w:tc>
        <w:tc>
          <w:tcPr>
            <w:tcW w:w="680" w:type="dxa"/>
          </w:tcPr>
          <w:p>
            <w:pPr>
              <w:pStyle w:val="0"/>
            </w:pPr>
            <w:r>
              <w:rPr>
                <w:sz w:val="20"/>
              </w:rPr>
              <w:t xml:space="preserve">944</w:t>
            </w:r>
          </w:p>
        </w:tc>
        <w:tc>
          <w:tcPr>
            <w:tcW w:w="680" w:type="dxa"/>
          </w:tcPr>
          <w:p>
            <w:pPr>
              <w:pStyle w:val="0"/>
            </w:pPr>
            <w:r>
              <w:rPr>
                <w:sz w:val="20"/>
              </w:rPr>
              <w:t xml:space="preserve">22,7</w:t>
            </w:r>
          </w:p>
        </w:tc>
      </w:tr>
      <w:tr>
        <w:tc>
          <w:tcPr>
            <w:tcW w:w="2211" w:type="dxa"/>
          </w:tcPr>
          <w:p>
            <w:pPr>
              <w:pStyle w:val="0"/>
            </w:pPr>
            <w:r>
              <w:rPr>
                <w:sz w:val="20"/>
              </w:rPr>
              <w:t xml:space="preserve">Губа</w:t>
            </w:r>
          </w:p>
        </w:tc>
        <w:tc>
          <w:tcPr>
            <w:tcW w:w="1191" w:type="dxa"/>
          </w:tcPr>
          <w:p>
            <w:pPr>
              <w:pStyle w:val="0"/>
            </w:pPr>
            <w:r>
              <w:rPr>
                <w:sz w:val="20"/>
              </w:rPr>
              <w:t xml:space="preserve">С 00</w:t>
            </w:r>
          </w:p>
        </w:tc>
        <w:tc>
          <w:tcPr>
            <w:tcW w:w="680" w:type="dxa"/>
          </w:tcPr>
          <w:p>
            <w:pPr>
              <w:pStyle w:val="0"/>
            </w:pPr>
            <w:r>
              <w:rPr>
                <w:sz w:val="20"/>
              </w:rPr>
              <w:t xml:space="preserve">-</w:t>
            </w:r>
          </w:p>
        </w:tc>
        <w:tc>
          <w:tcPr>
            <w:tcW w:w="680" w:type="dxa"/>
          </w:tcPr>
          <w:p>
            <w:pPr>
              <w:pStyle w:val="0"/>
            </w:pPr>
            <w:r>
              <w:rPr>
                <w:sz w:val="20"/>
              </w:rPr>
              <w:t xml:space="preserve">-</w:t>
            </w:r>
          </w:p>
        </w:tc>
        <w:tc>
          <w:tcPr>
            <w:tcW w:w="680" w:type="dxa"/>
          </w:tcPr>
          <w:p>
            <w:pPr>
              <w:pStyle w:val="0"/>
            </w:pPr>
            <w:r>
              <w:rPr>
                <w:sz w:val="20"/>
              </w:rPr>
              <w:t xml:space="preserve">-</w:t>
            </w:r>
          </w:p>
        </w:tc>
        <w:tc>
          <w:tcPr>
            <w:tcW w:w="680" w:type="dxa"/>
          </w:tcPr>
          <w:p>
            <w:pPr>
              <w:pStyle w:val="0"/>
            </w:pPr>
            <w:r>
              <w:rPr>
                <w:sz w:val="20"/>
              </w:rPr>
              <w:t xml:space="preserve">-</w:t>
            </w:r>
          </w:p>
        </w:tc>
        <w:tc>
          <w:tcPr>
            <w:tcW w:w="680" w:type="dxa"/>
          </w:tcPr>
          <w:p>
            <w:pPr>
              <w:pStyle w:val="0"/>
            </w:pPr>
            <w:r>
              <w:rPr>
                <w:sz w:val="20"/>
              </w:rPr>
              <w:t xml:space="preserve">3</w:t>
            </w:r>
          </w:p>
        </w:tc>
        <w:tc>
          <w:tcPr>
            <w:tcW w:w="680" w:type="dxa"/>
          </w:tcPr>
          <w:p>
            <w:pPr>
              <w:pStyle w:val="0"/>
            </w:pPr>
            <w:r>
              <w:rPr>
                <w:sz w:val="20"/>
              </w:rPr>
              <w:t xml:space="preserve">21,4</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r>
      <w:tr>
        <w:tc>
          <w:tcPr>
            <w:tcW w:w="2211" w:type="dxa"/>
          </w:tcPr>
          <w:p>
            <w:pPr>
              <w:pStyle w:val="0"/>
            </w:pPr>
            <w:r>
              <w:rPr>
                <w:sz w:val="20"/>
              </w:rPr>
              <w:t xml:space="preserve">Полость рта</w:t>
            </w:r>
          </w:p>
        </w:tc>
        <w:tc>
          <w:tcPr>
            <w:tcW w:w="1191" w:type="dxa"/>
          </w:tcPr>
          <w:p>
            <w:pPr>
              <w:pStyle w:val="0"/>
            </w:pPr>
            <w:r>
              <w:rPr>
                <w:sz w:val="20"/>
              </w:rPr>
              <w:t xml:space="preserve">С 01 - 09</w:t>
            </w:r>
          </w:p>
        </w:tc>
        <w:tc>
          <w:tcPr>
            <w:tcW w:w="680" w:type="dxa"/>
          </w:tcPr>
          <w:p>
            <w:pPr>
              <w:pStyle w:val="0"/>
            </w:pPr>
            <w:r>
              <w:rPr>
                <w:sz w:val="20"/>
              </w:rPr>
              <w:t xml:space="preserve">22</w:t>
            </w:r>
          </w:p>
        </w:tc>
        <w:tc>
          <w:tcPr>
            <w:tcW w:w="680" w:type="dxa"/>
          </w:tcPr>
          <w:p>
            <w:pPr>
              <w:pStyle w:val="0"/>
            </w:pPr>
            <w:r>
              <w:rPr>
                <w:sz w:val="20"/>
              </w:rPr>
              <w:t xml:space="preserve">30,1</w:t>
            </w:r>
          </w:p>
        </w:tc>
        <w:tc>
          <w:tcPr>
            <w:tcW w:w="680" w:type="dxa"/>
          </w:tcPr>
          <w:p>
            <w:pPr>
              <w:pStyle w:val="0"/>
            </w:pPr>
            <w:r>
              <w:rPr>
                <w:sz w:val="20"/>
              </w:rPr>
              <w:t xml:space="preserve">24</w:t>
            </w:r>
          </w:p>
        </w:tc>
        <w:tc>
          <w:tcPr>
            <w:tcW w:w="680" w:type="dxa"/>
          </w:tcPr>
          <w:p>
            <w:pPr>
              <w:pStyle w:val="0"/>
            </w:pPr>
            <w:r>
              <w:rPr>
                <w:sz w:val="20"/>
              </w:rPr>
              <w:t xml:space="preserve">39,3</w:t>
            </w:r>
          </w:p>
        </w:tc>
        <w:tc>
          <w:tcPr>
            <w:tcW w:w="680" w:type="dxa"/>
          </w:tcPr>
          <w:p>
            <w:pPr>
              <w:pStyle w:val="0"/>
            </w:pPr>
            <w:r>
              <w:rPr>
                <w:sz w:val="20"/>
              </w:rPr>
              <w:t xml:space="preserve">17</w:t>
            </w:r>
          </w:p>
        </w:tc>
        <w:tc>
          <w:tcPr>
            <w:tcW w:w="680" w:type="dxa"/>
          </w:tcPr>
          <w:p>
            <w:pPr>
              <w:pStyle w:val="0"/>
            </w:pPr>
            <w:r>
              <w:rPr>
                <w:sz w:val="20"/>
              </w:rPr>
              <w:t xml:space="preserve">32,1</w:t>
            </w:r>
          </w:p>
        </w:tc>
        <w:tc>
          <w:tcPr>
            <w:tcW w:w="680" w:type="dxa"/>
          </w:tcPr>
          <w:p>
            <w:pPr>
              <w:pStyle w:val="0"/>
            </w:pPr>
            <w:r>
              <w:rPr>
                <w:sz w:val="20"/>
              </w:rPr>
              <w:t xml:space="preserve">20</w:t>
            </w:r>
          </w:p>
        </w:tc>
        <w:tc>
          <w:tcPr>
            <w:tcW w:w="680" w:type="dxa"/>
          </w:tcPr>
          <w:p>
            <w:pPr>
              <w:pStyle w:val="0"/>
            </w:pPr>
            <w:r>
              <w:rPr>
                <w:sz w:val="20"/>
              </w:rPr>
              <w:t xml:space="preserve">39,2</w:t>
            </w:r>
          </w:p>
        </w:tc>
        <w:tc>
          <w:tcPr>
            <w:tcW w:w="680" w:type="dxa"/>
          </w:tcPr>
          <w:p>
            <w:pPr>
              <w:pStyle w:val="0"/>
            </w:pPr>
            <w:r>
              <w:rPr>
                <w:sz w:val="20"/>
              </w:rPr>
              <w:t xml:space="preserve">17</w:t>
            </w:r>
          </w:p>
        </w:tc>
        <w:tc>
          <w:tcPr>
            <w:tcW w:w="680" w:type="dxa"/>
          </w:tcPr>
          <w:p>
            <w:pPr>
              <w:pStyle w:val="0"/>
            </w:pPr>
            <w:r>
              <w:rPr>
                <w:sz w:val="20"/>
              </w:rPr>
              <w:t xml:space="preserve">23,3</w:t>
            </w:r>
          </w:p>
        </w:tc>
      </w:tr>
      <w:tr>
        <w:tc>
          <w:tcPr>
            <w:tcW w:w="2211" w:type="dxa"/>
          </w:tcPr>
          <w:p>
            <w:pPr>
              <w:pStyle w:val="0"/>
            </w:pPr>
            <w:r>
              <w:rPr>
                <w:sz w:val="20"/>
              </w:rPr>
              <w:t xml:space="preserve">Глотка</w:t>
            </w:r>
          </w:p>
        </w:tc>
        <w:tc>
          <w:tcPr>
            <w:tcW w:w="1191" w:type="dxa"/>
          </w:tcPr>
          <w:p>
            <w:pPr>
              <w:pStyle w:val="0"/>
            </w:pPr>
            <w:r>
              <w:rPr>
                <w:sz w:val="20"/>
              </w:rPr>
              <w:t xml:space="preserve">С 10 - 13</w:t>
            </w:r>
          </w:p>
        </w:tc>
        <w:tc>
          <w:tcPr>
            <w:tcW w:w="680" w:type="dxa"/>
          </w:tcPr>
          <w:p>
            <w:pPr>
              <w:pStyle w:val="0"/>
            </w:pPr>
            <w:r>
              <w:rPr>
                <w:sz w:val="20"/>
              </w:rPr>
              <w:t xml:space="preserve">-</w:t>
            </w:r>
          </w:p>
        </w:tc>
        <w:tc>
          <w:tcPr>
            <w:tcW w:w="680" w:type="dxa"/>
          </w:tcPr>
          <w:p>
            <w:pPr>
              <w:pStyle w:val="0"/>
            </w:pPr>
            <w:r>
              <w:rPr>
                <w:sz w:val="20"/>
              </w:rPr>
              <w:t xml:space="preserve">-</w:t>
            </w:r>
          </w:p>
        </w:tc>
        <w:tc>
          <w:tcPr>
            <w:tcW w:w="680" w:type="dxa"/>
          </w:tcPr>
          <w:p>
            <w:pPr>
              <w:pStyle w:val="0"/>
            </w:pPr>
            <w:r>
              <w:rPr>
                <w:sz w:val="20"/>
              </w:rPr>
              <w:t xml:space="preserve">8</w:t>
            </w:r>
          </w:p>
        </w:tc>
        <w:tc>
          <w:tcPr>
            <w:tcW w:w="680" w:type="dxa"/>
          </w:tcPr>
          <w:p>
            <w:pPr>
              <w:pStyle w:val="0"/>
            </w:pPr>
            <w:r>
              <w:rPr>
                <w:sz w:val="20"/>
              </w:rPr>
              <w:t xml:space="preserve">44,4</w:t>
            </w:r>
          </w:p>
        </w:tc>
        <w:tc>
          <w:tcPr>
            <w:tcW w:w="680" w:type="dxa"/>
          </w:tcPr>
          <w:p>
            <w:pPr>
              <w:pStyle w:val="0"/>
            </w:pPr>
            <w:r>
              <w:rPr>
                <w:sz w:val="20"/>
              </w:rPr>
              <w:t xml:space="preserve">1</w:t>
            </w:r>
          </w:p>
        </w:tc>
        <w:tc>
          <w:tcPr>
            <w:tcW w:w="680" w:type="dxa"/>
          </w:tcPr>
          <w:p>
            <w:pPr>
              <w:pStyle w:val="0"/>
            </w:pPr>
            <w:r>
              <w:rPr>
                <w:sz w:val="20"/>
              </w:rPr>
              <w:t xml:space="preserve">7,1</w:t>
            </w:r>
          </w:p>
        </w:tc>
        <w:tc>
          <w:tcPr>
            <w:tcW w:w="680" w:type="dxa"/>
          </w:tcPr>
          <w:p>
            <w:pPr>
              <w:pStyle w:val="0"/>
            </w:pPr>
            <w:r>
              <w:rPr>
                <w:sz w:val="20"/>
              </w:rPr>
              <w:t xml:space="preserve">5</w:t>
            </w:r>
          </w:p>
        </w:tc>
        <w:tc>
          <w:tcPr>
            <w:tcW w:w="680" w:type="dxa"/>
          </w:tcPr>
          <w:p>
            <w:pPr>
              <w:pStyle w:val="0"/>
            </w:pPr>
            <w:r>
              <w:rPr>
                <w:sz w:val="20"/>
              </w:rPr>
              <w:t xml:space="preserve">33,3</w:t>
            </w:r>
          </w:p>
        </w:tc>
        <w:tc>
          <w:tcPr>
            <w:tcW w:w="680" w:type="dxa"/>
          </w:tcPr>
          <w:p>
            <w:pPr>
              <w:pStyle w:val="0"/>
            </w:pPr>
            <w:r>
              <w:rPr>
                <w:sz w:val="20"/>
              </w:rPr>
              <w:t xml:space="preserve">12</w:t>
            </w:r>
          </w:p>
        </w:tc>
        <w:tc>
          <w:tcPr>
            <w:tcW w:w="680" w:type="dxa"/>
          </w:tcPr>
          <w:p>
            <w:pPr>
              <w:pStyle w:val="0"/>
            </w:pPr>
            <w:r>
              <w:rPr>
                <w:sz w:val="20"/>
              </w:rPr>
              <w:t xml:space="preserve">48</w:t>
            </w:r>
          </w:p>
        </w:tc>
      </w:tr>
      <w:tr>
        <w:tc>
          <w:tcPr>
            <w:tcW w:w="2211" w:type="dxa"/>
          </w:tcPr>
          <w:p>
            <w:pPr>
              <w:pStyle w:val="0"/>
            </w:pPr>
            <w:r>
              <w:rPr>
                <w:sz w:val="20"/>
              </w:rPr>
              <w:t xml:space="preserve">Пищевод</w:t>
            </w:r>
          </w:p>
        </w:tc>
        <w:tc>
          <w:tcPr>
            <w:tcW w:w="1191" w:type="dxa"/>
          </w:tcPr>
          <w:p>
            <w:pPr>
              <w:pStyle w:val="0"/>
            </w:pPr>
            <w:r>
              <w:rPr>
                <w:sz w:val="20"/>
              </w:rPr>
              <w:t xml:space="preserve">С 15</w:t>
            </w:r>
          </w:p>
        </w:tc>
        <w:tc>
          <w:tcPr>
            <w:tcW w:w="680" w:type="dxa"/>
          </w:tcPr>
          <w:p>
            <w:pPr>
              <w:pStyle w:val="0"/>
            </w:pPr>
            <w:r>
              <w:rPr>
                <w:sz w:val="20"/>
              </w:rPr>
              <w:t xml:space="preserve">22</w:t>
            </w:r>
          </w:p>
        </w:tc>
        <w:tc>
          <w:tcPr>
            <w:tcW w:w="680" w:type="dxa"/>
          </w:tcPr>
          <w:p>
            <w:pPr>
              <w:pStyle w:val="0"/>
            </w:pPr>
            <w:r>
              <w:rPr>
                <w:sz w:val="20"/>
              </w:rPr>
              <w:t xml:space="preserve">50</w:t>
            </w:r>
          </w:p>
        </w:tc>
        <w:tc>
          <w:tcPr>
            <w:tcW w:w="680" w:type="dxa"/>
          </w:tcPr>
          <w:p>
            <w:pPr>
              <w:pStyle w:val="0"/>
            </w:pPr>
            <w:r>
              <w:rPr>
                <w:sz w:val="20"/>
              </w:rPr>
              <w:t xml:space="preserve">26</w:t>
            </w:r>
          </w:p>
        </w:tc>
        <w:tc>
          <w:tcPr>
            <w:tcW w:w="680" w:type="dxa"/>
          </w:tcPr>
          <w:p>
            <w:pPr>
              <w:pStyle w:val="0"/>
            </w:pPr>
            <w:r>
              <w:rPr>
                <w:sz w:val="20"/>
              </w:rPr>
              <w:t xml:space="preserve">60,5</w:t>
            </w:r>
          </w:p>
        </w:tc>
        <w:tc>
          <w:tcPr>
            <w:tcW w:w="680" w:type="dxa"/>
          </w:tcPr>
          <w:p>
            <w:pPr>
              <w:pStyle w:val="0"/>
            </w:pPr>
            <w:r>
              <w:rPr>
                <w:sz w:val="20"/>
              </w:rPr>
              <w:t xml:space="preserve">15</w:t>
            </w:r>
          </w:p>
        </w:tc>
        <w:tc>
          <w:tcPr>
            <w:tcW w:w="680" w:type="dxa"/>
          </w:tcPr>
          <w:p>
            <w:pPr>
              <w:pStyle w:val="0"/>
            </w:pPr>
            <w:r>
              <w:rPr>
                <w:sz w:val="20"/>
              </w:rPr>
              <w:t xml:space="preserve">37,5</w:t>
            </w:r>
          </w:p>
        </w:tc>
        <w:tc>
          <w:tcPr>
            <w:tcW w:w="680" w:type="dxa"/>
          </w:tcPr>
          <w:p>
            <w:pPr>
              <w:pStyle w:val="0"/>
            </w:pPr>
            <w:r>
              <w:rPr>
                <w:sz w:val="20"/>
              </w:rPr>
              <w:t xml:space="preserve">35</w:t>
            </w:r>
          </w:p>
        </w:tc>
        <w:tc>
          <w:tcPr>
            <w:tcW w:w="680" w:type="dxa"/>
          </w:tcPr>
          <w:p>
            <w:pPr>
              <w:pStyle w:val="0"/>
            </w:pPr>
            <w:r>
              <w:rPr>
                <w:sz w:val="20"/>
              </w:rPr>
              <w:t xml:space="preserve">62,5</w:t>
            </w:r>
          </w:p>
        </w:tc>
        <w:tc>
          <w:tcPr>
            <w:tcW w:w="680" w:type="dxa"/>
          </w:tcPr>
          <w:p>
            <w:pPr>
              <w:pStyle w:val="0"/>
            </w:pPr>
            <w:r>
              <w:rPr>
                <w:sz w:val="20"/>
              </w:rPr>
              <w:t xml:space="preserve">34</w:t>
            </w:r>
          </w:p>
        </w:tc>
        <w:tc>
          <w:tcPr>
            <w:tcW w:w="680" w:type="dxa"/>
          </w:tcPr>
          <w:p>
            <w:pPr>
              <w:pStyle w:val="0"/>
            </w:pPr>
            <w:r>
              <w:rPr>
                <w:sz w:val="20"/>
              </w:rPr>
              <w:t xml:space="preserve">61,8</w:t>
            </w:r>
          </w:p>
        </w:tc>
      </w:tr>
      <w:tr>
        <w:tc>
          <w:tcPr>
            <w:tcW w:w="2211" w:type="dxa"/>
          </w:tcPr>
          <w:p>
            <w:pPr>
              <w:pStyle w:val="0"/>
            </w:pPr>
            <w:r>
              <w:rPr>
                <w:sz w:val="20"/>
              </w:rPr>
              <w:t xml:space="preserve">Желудок</w:t>
            </w:r>
          </w:p>
        </w:tc>
        <w:tc>
          <w:tcPr>
            <w:tcW w:w="1191" w:type="dxa"/>
          </w:tcPr>
          <w:p>
            <w:pPr>
              <w:pStyle w:val="0"/>
            </w:pPr>
            <w:r>
              <w:rPr>
                <w:sz w:val="20"/>
              </w:rPr>
              <w:t xml:space="preserve">С 16</w:t>
            </w:r>
          </w:p>
        </w:tc>
        <w:tc>
          <w:tcPr>
            <w:tcW w:w="680" w:type="dxa"/>
          </w:tcPr>
          <w:p>
            <w:pPr>
              <w:pStyle w:val="0"/>
            </w:pPr>
            <w:r>
              <w:rPr>
                <w:sz w:val="20"/>
              </w:rPr>
              <w:t xml:space="preserve">78</w:t>
            </w:r>
          </w:p>
        </w:tc>
        <w:tc>
          <w:tcPr>
            <w:tcW w:w="680" w:type="dxa"/>
          </w:tcPr>
          <w:p>
            <w:pPr>
              <w:pStyle w:val="0"/>
            </w:pPr>
            <w:r>
              <w:rPr>
                <w:sz w:val="20"/>
              </w:rPr>
              <w:t xml:space="preserve">36,3</w:t>
            </w:r>
          </w:p>
        </w:tc>
        <w:tc>
          <w:tcPr>
            <w:tcW w:w="680" w:type="dxa"/>
          </w:tcPr>
          <w:p>
            <w:pPr>
              <w:pStyle w:val="0"/>
            </w:pPr>
            <w:r>
              <w:rPr>
                <w:sz w:val="20"/>
              </w:rPr>
              <w:t xml:space="preserve">84</w:t>
            </w:r>
          </w:p>
        </w:tc>
        <w:tc>
          <w:tcPr>
            <w:tcW w:w="680" w:type="dxa"/>
          </w:tcPr>
          <w:p>
            <w:pPr>
              <w:pStyle w:val="0"/>
            </w:pPr>
            <w:r>
              <w:rPr>
                <w:sz w:val="20"/>
              </w:rPr>
              <w:t xml:space="preserve">45,2</w:t>
            </w:r>
          </w:p>
        </w:tc>
        <w:tc>
          <w:tcPr>
            <w:tcW w:w="680" w:type="dxa"/>
          </w:tcPr>
          <w:p>
            <w:pPr>
              <w:pStyle w:val="0"/>
            </w:pPr>
            <w:r>
              <w:rPr>
                <w:sz w:val="20"/>
              </w:rPr>
              <w:t xml:space="preserve">97</w:t>
            </w:r>
          </w:p>
        </w:tc>
        <w:tc>
          <w:tcPr>
            <w:tcW w:w="680" w:type="dxa"/>
          </w:tcPr>
          <w:p>
            <w:pPr>
              <w:pStyle w:val="0"/>
            </w:pPr>
            <w:r>
              <w:rPr>
                <w:sz w:val="20"/>
              </w:rPr>
              <w:t xml:space="preserve">47,8</w:t>
            </w:r>
          </w:p>
        </w:tc>
        <w:tc>
          <w:tcPr>
            <w:tcW w:w="680" w:type="dxa"/>
          </w:tcPr>
          <w:p>
            <w:pPr>
              <w:pStyle w:val="0"/>
            </w:pPr>
            <w:r>
              <w:rPr>
                <w:sz w:val="20"/>
              </w:rPr>
              <w:t xml:space="preserve">122</w:t>
            </w:r>
          </w:p>
        </w:tc>
        <w:tc>
          <w:tcPr>
            <w:tcW w:w="680" w:type="dxa"/>
          </w:tcPr>
          <w:p>
            <w:pPr>
              <w:pStyle w:val="0"/>
            </w:pPr>
            <w:r>
              <w:rPr>
                <w:sz w:val="20"/>
              </w:rPr>
              <w:t xml:space="preserve">45,5</w:t>
            </w:r>
          </w:p>
        </w:tc>
        <w:tc>
          <w:tcPr>
            <w:tcW w:w="680" w:type="dxa"/>
          </w:tcPr>
          <w:p>
            <w:pPr>
              <w:pStyle w:val="0"/>
            </w:pPr>
            <w:r>
              <w:rPr>
                <w:sz w:val="20"/>
              </w:rPr>
              <w:t xml:space="preserve">121</w:t>
            </w:r>
          </w:p>
        </w:tc>
        <w:tc>
          <w:tcPr>
            <w:tcW w:w="680" w:type="dxa"/>
          </w:tcPr>
          <w:p>
            <w:pPr>
              <w:pStyle w:val="0"/>
            </w:pPr>
            <w:r>
              <w:rPr>
                <w:sz w:val="20"/>
              </w:rPr>
              <w:t xml:space="preserve">46,4</w:t>
            </w:r>
          </w:p>
        </w:tc>
      </w:tr>
      <w:tr>
        <w:tc>
          <w:tcPr>
            <w:tcW w:w="2211" w:type="dxa"/>
          </w:tcPr>
          <w:p>
            <w:pPr>
              <w:pStyle w:val="0"/>
            </w:pPr>
            <w:r>
              <w:rPr>
                <w:sz w:val="20"/>
              </w:rPr>
              <w:t xml:space="preserve">Ободочная кишка</w:t>
            </w:r>
          </w:p>
        </w:tc>
        <w:tc>
          <w:tcPr>
            <w:tcW w:w="1191" w:type="dxa"/>
          </w:tcPr>
          <w:p>
            <w:pPr>
              <w:pStyle w:val="0"/>
            </w:pPr>
            <w:r>
              <w:rPr>
                <w:sz w:val="20"/>
              </w:rPr>
              <w:t xml:space="preserve">С 18</w:t>
            </w:r>
          </w:p>
        </w:tc>
        <w:tc>
          <w:tcPr>
            <w:tcW w:w="680" w:type="dxa"/>
          </w:tcPr>
          <w:p>
            <w:pPr>
              <w:pStyle w:val="0"/>
            </w:pPr>
            <w:r>
              <w:rPr>
                <w:sz w:val="20"/>
              </w:rPr>
              <w:t xml:space="preserve">55</w:t>
            </w:r>
          </w:p>
        </w:tc>
        <w:tc>
          <w:tcPr>
            <w:tcW w:w="680" w:type="dxa"/>
          </w:tcPr>
          <w:p>
            <w:pPr>
              <w:pStyle w:val="0"/>
            </w:pPr>
            <w:r>
              <w:rPr>
                <w:sz w:val="20"/>
              </w:rPr>
              <w:t xml:space="preserve">23,3</w:t>
            </w:r>
          </w:p>
        </w:tc>
        <w:tc>
          <w:tcPr>
            <w:tcW w:w="680" w:type="dxa"/>
          </w:tcPr>
          <w:p>
            <w:pPr>
              <w:pStyle w:val="0"/>
            </w:pPr>
            <w:r>
              <w:rPr>
                <w:sz w:val="20"/>
              </w:rPr>
              <w:t xml:space="preserve">48</w:t>
            </w:r>
          </w:p>
        </w:tc>
        <w:tc>
          <w:tcPr>
            <w:tcW w:w="680" w:type="dxa"/>
          </w:tcPr>
          <w:p>
            <w:pPr>
              <w:pStyle w:val="0"/>
            </w:pPr>
            <w:r>
              <w:rPr>
                <w:sz w:val="20"/>
              </w:rPr>
              <w:t xml:space="preserve">19</w:t>
            </w:r>
          </w:p>
        </w:tc>
        <w:tc>
          <w:tcPr>
            <w:tcW w:w="680" w:type="dxa"/>
          </w:tcPr>
          <w:p>
            <w:pPr>
              <w:pStyle w:val="0"/>
            </w:pPr>
            <w:r>
              <w:rPr>
                <w:sz w:val="20"/>
              </w:rPr>
              <w:t xml:space="preserve">56</w:t>
            </w:r>
          </w:p>
        </w:tc>
        <w:tc>
          <w:tcPr>
            <w:tcW w:w="680" w:type="dxa"/>
          </w:tcPr>
          <w:p>
            <w:pPr>
              <w:pStyle w:val="0"/>
            </w:pPr>
            <w:r>
              <w:rPr>
                <w:sz w:val="20"/>
              </w:rPr>
              <w:t xml:space="preserve">22,8</w:t>
            </w:r>
          </w:p>
        </w:tc>
        <w:tc>
          <w:tcPr>
            <w:tcW w:w="680" w:type="dxa"/>
          </w:tcPr>
          <w:p>
            <w:pPr>
              <w:pStyle w:val="0"/>
            </w:pPr>
            <w:r>
              <w:rPr>
                <w:sz w:val="20"/>
              </w:rPr>
              <w:t xml:space="preserve">64</w:t>
            </w:r>
          </w:p>
        </w:tc>
        <w:tc>
          <w:tcPr>
            <w:tcW w:w="680" w:type="dxa"/>
          </w:tcPr>
          <w:p>
            <w:pPr>
              <w:pStyle w:val="0"/>
            </w:pPr>
            <w:r>
              <w:rPr>
                <w:sz w:val="20"/>
              </w:rPr>
              <w:t xml:space="preserve">21,1</w:t>
            </w:r>
          </w:p>
        </w:tc>
        <w:tc>
          <w:tcPr>
            <w:tcW w:w="680" w:type="dxa"/>
          </w:tcPr>
          <w:p>
            <w:pPr>
              <w:pStyle w:val="0"/>
            </w:pPr>
            <w:r>
              <w:rPr>
                <w:sz w:val="20"/>
              </w:rPr>
              <w:t xml:space="preserve">60</w:t>
            </w:r>
          </w:p>
        </w:tc>
        <w:tc>
          <w:tcPr>
            <w:tcW w:w="680" w:type="dxa"/>
          </w:tcPr>
          <w:p>
            <w:pPr>
              <w:pStyle w:val="0"/>
            </w:pPr>
            <w:r>
              <w:rPr>
                <w:sz w:val="20"/>
              </w:rPr>
              <w:t xml:space="preserve">17,7</w:t>
            </w:r>
          </w:p>
        </w:tc>
      </w:tr>
      <w:tr>
        <w:tc>
          <w:tcPr>
            <w:tcW w:w="2211" w:type="dxa"/>
          </w:tcPr>
          <w:p>
            <w:pPr>
              <w:pStyle w:val="0"/>
            </w:pPr>
            <w:r>
              <w:rPr>
                <w:sz w:val="20"/>
              </w:rPr>
              <w:t xml:space="preserve">Прямая кишка, ректосигмоидн. соединение, анус</w:t>
            </w:r>
          </w:p>
        </w:tc>
        <w:tc>
          <w:tcPr>
            <w:tcW w:w="1191" w:type="dxa"/>
          </w:tcPr>
          <w:p>
            <w:pPr>
              <w:pStyle w:val="0"/>
            </w:pPr>
            <w:r>
              <w:rPr>
                <w:sz w:val="20"/>
              </w:rPr>
              <w:t xml:space="preserve">С 19, С21</w:t>
            </w:r>
          </w:p>
        </w:tc>
        <w:tc>
          <w:tcPr>
            <w:tcW w:w="680" w:type="dxa"/>
          </w:tcPr>
          <w:p>
            <w:pPr>
              <w:pStyle w:val="0"/>
            </w:pPr>
            <w:r>
              <w:rPr>
                <w:sz w:val="20"/>
              </w:rPr>
              <w:t xml:space="preserve">28</w:t>
            </w:r>
          </w:p>
        </w:tc>
        <w:tc>
          <w:tcPr>
            <w:tcW w:w="680" w:type="dxa"/>
          </w:tcPr>
          <w:p>
            <w:pPr>
              <w:pStyle w:val="0"/>
            </w:pPr>
            <w:r>
              <w:rPr>
                <w:sz w:val="20"/>
              </w:rPr>
              <w:t xml:space="preserve">14,6</w:t>
            </w:r>
          </w:p>
        </w:tc>
        <w:tc>
          <w:tcPr>
            <w:tcW w:w="680" w:type="dxa"/>
          </w:tcPr>
          <w:p>
            <w:pPr>
              <w:pStyle w:val="0"/>
            </w:pPr>
            <w:r>
              <w:rPr>
                <w:sz w:val="20"/>
              </w:rPr>
              <w:t xml:space="preserve">46</w:t>
            </w:r>
          </w:p>
        </w:tc>
        <w:tc>
          <w:tcPr>
            <w:tcW w:w="680" w:type="dxa"/>
          </w:tcPr>
          <w:p>
            <w:pPr>
              <w:pStyle w:val="0"/>
            </w:pPr>
            <w:r>
              <w:rPr>
                <w:sz w:val="20"/>
              </w:rPr>
              <w:t xml:space="preserve">23</w:t>
            </w:r>
          </w:p>
        </w:tc>
        <w:tc>
          <w:tcPr>
            <w:tcW w:w="680" w:type="dxa"/>
          </w:tcPr>
          <w:p>
            <w:pPr>
              <w:pStyle w:val="0"/>
            </w:pPr>
            <w:r>
              <w:rPr>
                <w:sz w:val="20"/>
              </w:rPr>
              <w:t xml:space="preserve">32</w:t>
            </w:r>
          </w:p>
        </w:tc>
        <w:tc>
          <w:tcPr>
            <w:tcW w:w="680" w:type="dxa"/>
          </w:tcPr>
          <w:p>
            <w:pPr>
              <w:pStyle w:val="0"/>
            </w:pPr>
            <w:r>
              <w:rPr>
                <w:sz w:val="20"/>
              </w:rPr>
              <w:t xml:space="preserve">15,4</w:t>
            </w:r>
          </w:p>
        </w:tc>
        <w:tc>
          <w:tcPr>
            <w:tcW w:w="680" w:type="dxa"/>
          </w:tcPr>
          <w:p>
            <w:pPr>
              <w:pStyle w:val="0"/>
            </w:pPr>
            <w:r>
              <w:rPr>
                <w:sz w:val="20"/>
              </w:rPr>
              <w:t xml:space="preserve">63</w:t>
            </w:r>
          </w:p>
        </w:tc>
        <w:tc>
          <w:tcPr>
            <w:tcW w:w="680" w:type="dxa"/>
          </w:tcPr>
          <w:p>
            <w:pPr>
              <w:pStyle w:val="0"/>
            </w:pPr>
            <w:r>
              <w:rPr>
                <w:sz w:val="20"/>
              </w:rPr>
              <w:t xml:space="preserve">24,5</w:t>
            </w:r>
          </w:p>
        </w:tc>
        <w:tc>
          <w:tcPr>
            <w:tcW w:w="680" w:type="dxa"/>
          </w:tcPr>
          <w:p>
            <w:pPr>
              <w:pStyle w:val="0"/>
            </w:pPr>
            <w:r>
              <w:rPr>
                <w:sz w:val="20"/>
              </w:rPr>
              <w:t xml:space="preserve">53</w:t>
            </w:r>
          </w:p>
        </w:tc>
        <w:tc>
          <w:tcPr>
            <w:tcW w:w="680" w:type="dxa"/>
          </w:tcPr>
          <w:p>
            <w:pPr>
              <w:pStyle w:val="0"/>
            </w:pPr>
            <w:r>
              <w:rPr>
                <w:sz w:val="20"/>
              </w:rPr>
              <w:t xml:space="preserve">20,4</w:t>
            </w:r>
          </w:p>
        </w:tc>
      </w:tr>
      <w:tr>
        <w:tc>
          <w:tcPr>
            <w:tcW w:w="2211" w:type="dxa"/>
          </w:tcPr>
          <w:p>
            <w:pPr>
              <w:pStyle w:val="0"/>
            </w:pPr>
            <w:r>
              <w:rPr>
                <w:sz w:val="20"/>
              </w:rPr>
              <w:t xml:space="preserve">Печень и внутрипеч. желчн. протоки</w:t>
            </w:r>
          </w:p>
        </w:tc>
        <w:tc>
          <w:tcPr>
            <w:tcW w:w="1191" w:type="dxa"/>
          </w:tcPr>
          <w:p>
            <w:pPr>
              <w:pStyle w:val="0"/>
            </w:pPr>
            <w:r>
              <w:rPr>
                <w:sz w:val="20"/>
              </w:rPr>
              <w:t xml:space="preserve">С 22</w:t>
            </w:r>
          </w:p>
        </w:tc>
        <w:tc>
          <w:tcPr>
            <w:tcW w:w="680" w:type="dxa"/>
          </w:tcPr>
          <w:p>
            <w:pPr>
              <w:pStyle w:val="0"/>
            </w:pPr>
            <w:r>
              <w:rPr>
                <w:sz w:val="20"/>
              </w:rPr>
              <w:t xml:space="preserve">36</w:t>
            </w:r>
          </w:p>
        </w:tc>
        <w:tc>
          <w:tcPr>
            <w:tcW w:w="680" w:type="dxa"/>
          </w:tcPr>
          <w:p>
            <w:pPr>
              <w:pStyle w:val="0"/>
            </w:pPr>
            <w:r>
              <w:rPr>
                <w:sz w:val="20"/>
              </w:rPr>
              <w:t xml:space="preserve">62,1</w:t>
            </w:r>
          </w:p>
        </w:tc>
        <w:tc>
          <w:tcPr>
            <w:tcW w:w="680" w:type="dxa"/>
          </w:tcPr>
          <w:p>
            <w:pPr>
              <w:pStyle w:val="0"/>
            </w:pPr>
            <w:r>
              <w:rPr>
                <w:sz w:val="20"/>
              </w:rPr>
              <w:t xml:space="preserve">48</w:t>
            </w:r>
          </w:p>
        </w:tc>
        <w:tc>
          <w:tcPr>
            <w:tcW w:w="680" w:type="dxa"/>
          </w:tcPr>
          <w:p>
            <w:pPr>
              <w:pStyle w:val="0"/>
            </w:pPr>
            <w:r>
              <w:rPr>
                <w:sz w:val="20"/>
              </w:rPr>
              <w:t xml:space="preserve">81,4</w:t>
            </w:r>
          </w:p>
        </w:tc>
        <w:tc>
          <w:tcPr>
            <w:tcW w:w="680" w:type="dxa"/>
          </w:tcPr>
          <w:p>
            <w:pPr>
              <w:pStyle w:val="0"/>
            </w:pPr>
            <w:r>
              <w:rPr>
                <w:sz w:val="20"/>
              </w:rPr>
              <w:t xml:space="preserve">52</w:t>
            </w:r>
          </w:p>
        </w:tc>
        <w:tc>
          <w:tcPr>
            <w:tcW w:w="680" w:type="dxa"/>
          </w:tcPr>
          <w:p>
            <w:pPr>
              <w:pStyle w:val="0"/>
            </w:pPr>
            <w:r>
              <w:rPr>
                <w:sz w:val="20"/>
              </w:rPr>
              <w:t xml:space="preserve">85,2</w:t>
            </w:r>
          </w:p>
        </w:tc>
        <w:tc>
          <w:tcPr>
            <w:tcW w:w="680" w:type="dxa"/>
          </w:tcPr>
          <w:p>
            <w:pPr>
              <w:pStyle w:val="0"/>
            </w:pPr>
            <w:r>
              <w:rPr>
                <w:sz w:val="20"/>
              </w:rPr>
              <w:t xml:space="preserve">49</w:t>
            </w:r>
          </w:p>
        </w:tc>
        <w:tc>
          <w:tcPr>
            <w:tcW w:w="680" w:type="dxa"/>
          </w:tcPr>
          <w:p>
            <w:pPr>
              <w:pStyle w:val="0"/>
            </w:pPr>
            <w:r>
              <w:rPr>
                <w:sz w:val="20"/>
              </w:rPr>
              <w:t xml:space="preserve">57,6</w:t>
            </w:r>
          </w:p>
        </w:tc>
        <w:tc>
          <w:tcPr>
            <w:tcW w:w="680" w:type="dxa"/>
          </w:tcPr>
          <w:p>
            <w:pPr>
              <w:pStyle w:val="0"/>
            </w:pPr>
            <w:r>
              <w:rPr>
                <w:sz w:val="20"/>
              </w:rPr>
              <w:t xml:space="preserve">65</w:t>
            </w:r>
          </w:p>
        </w:tc>
        <w:tc>
          <w:tcPr>
            <w:tcW w:w="680" w:type="dxa"/>
          </w:tcPr>
          <w:p>
            <w:pPr>
              <w:pStyle w:val="0"/>
            </w:pPr>
            <w:r>
              <w:rPr>
                <w:sz w:val="20"/>
              </w:rPr>
              <w:t xml:space="preserve">84,4</w:t>
            </w:r>
          </w:p>
        </w:tc>
      </w:tr>
      <w:tr>
        <w:tc>
          <w:tcPr>
            <w:tcW w:w="2211" w:type="dxa"/>
          </w:tcPr>
          <w:p>
            <w:pPr>
              <w:pStyle w:val="0"/>
            </w:pPr>
            <w:r>
              <w:rPr>
                <w:sz w:val="20"/>
              </w:rPr>
              <w:t xml:space="preserve">Поджелудочная железа</w:t>
            </w:r>
          </w:p>
        </w:tc>
        <w:tc>
          <w:tcPr>
            <w:tcW w:w="1191" w:type="dxa"/>
          </w:tcPr>
          <w:p>
            <w:pPr>
              <w:pStyle w:val="0"/>
            </w:pPr>
            <w:r>
              <w:rPr>
                <w:sz w:val="20"/>
              </w:rPr>
              <w:t xml:space="preserve">С 25</w:t>
            </w:r>
          </w:p>
        </w:tc>
        <w:tc>
          <w:tcPr>
            <w:tcW w:w="680" w:type="dxa"/>
          </w:tcPr>
          <w:p>
            <w:pPr>
              <w:pStyle w:val="0"/>
            </w:pPr>
            <w:r>
              <w:rPr>
                <w:sz w:val="20"/>
              </w:rPr>
              <w:t xml:space="preserve">43</w:t>
            </w:r>
          </w:p>
        </w:tc>
        <w:tc>
          <w:tcPr>
            <w:tcW w:w="680" w:type="dxa"/>
          </w:tcPr>
          <w:p>
            <w:pPr>
              <w:pStyle w:val="0"/>
            </w:pPr>
            <w:r>
              <w:rPr>
                <w:sz w:val="20"/>
              </w:rPr>
              <w:t xml:space="preserve">54,4</w:t>
            </w:r>
          </w:p>
        </w:tc>
        <w:tc>
          <w:tcPr>
            <w:tcW w:w="680" w:type="dxa"/>
          </w:tcPr>
          <w:p>
            <w:pPr>
              <w:pStyle w:val="0"/>
            </w:pPr>
            <w:r>
              <w:rPr>
                <w:sz w:val="20"/>
              </w:rPr>
              <w:t xml:space="preserve">51</w:t>
            </w:r>
          </w:p>
        </w:tc>
        <w:tc>
          <w:tcPr>
            <w:tcW w:w="680" w:type="dxa"/>
          </w:tcPr>
          <w:p>
            <w:pPr>
              <w:pStyle w:val="0"/>
            </w:pPr>
            <w:r>
              <w:rPr>
                <w:sz w:val="20"/>
              </w:rPr>
              <w:t xml:space="preserve">62,2</w:t>
            </w:r>
          </w:p>
        </w:tc>
        <w:tc>
          <w:tcPr>
            <w:tcW w:w="680" w:type="dxa"/>
          </w:tcPr>
          <w:p>
            <w:pPr>
              <w:pStyle w:val="0"/>
            </w:pPr>
            <w:r>
              <w:rPr>
                <w:sz w:val="20"/>
              </w:rPr>
              <w:t xml:space="preserve">62</w:t>
            </w:r>
          </w:p>
        </w:tc>
        <w:tc>
          <w:tcPr>
            <w:tcW w:w="680" w:type="dxa"/>
          </w:tcPr>
          <w:p>
            <w:pPr>
              <w:pStyle w:val="0"/>
            </w:pPr>
            <w:r>
              <w:rPr>
                <w:sz w:val="20"/>
              </w:rPr>
              <w:t xml:space="preserve">68,1</w:t>
            </w:r>
          </w:p>
        </w:tc>
        <w:tc>
          <w:tcPr>
            <w:tcW w:w="680" w:type="dxa"/>
          </w:tcPr>
          <w:p>
            <w:pPr>
              <w:pStyle w:val="0"/>
            </w:pPr>
            <w:r>
              <w:rPr>
                <w:sz w:val="20"/>
              </w:rPr>
              <w:t xml:space="preserve">85</w:t>
            </w:r>
          </w:p>
        </w:tc>
        <w:tc>
          <w:tcPr>
            <w:tcW w:w="680" w:type="dxa"/>
          </w:tcPr>
          <w:p>
            <w:pPr>
              <w:pStyle w:val="0"/>
            </w:pPr>
            <w:r>
              <w:rPr>
                <w:sz w:val="20"/>
              </w:rPr>
              <w:t xml:space="preserve">76,6</w:t>
            </w:r>
          </w:p>
        </w:tc>
        <w:tc>
          <w:tcPr>
            <w:tcW w:w="680" w:type="dxa"/>
          </w:tcPr>
          <w:p>
            <w:pPr>
              <w:pStyle w:val="0"/>
            </w:pPr>
            <w:r>
              <w:rPr>
                <w:sz w:val="20"/>
              </w:rPr>
              <w:t xml:space="preserve">71</w:t>
            </w:r>
          </w:p>
        </w:tc>
        <w:tc>
          <w:tcPr>
            <w:tcW w:w="680" w:type="dxa"/>
          </w:tcPr>
          <w:p>
            <w:pPr>
              <w:pStyle w:val="0"/>
            </w:pPr>
            <w:r>
              <w:rPr>
                <w:sz w:val="20"/>
              </w:rPr>
              <w:t xml:space="preserve">65,1</w:t>
            </w:r>
          </w:p>
        </w:tc>
      </w:tr>
      <w:tr>
        <w:tc>
          <w:tcPr>
            <w:tcW w:w="2211" w:type="dxa"/>
          </w:tcPr>
          <w:p>
            <w:pPr>
              <w:pStyle w:val="0"/>
            </w:pPr>
            <w:r>
              <w:rPr>
                <w:sz w:val="20"/>
              </w:rPr>
              <w:t xml:space="preserve">Гортань</w:t>
            </w:r>
          </w:p>
        </w:tc>
        <w:tc>
          <w:tcPr>
            <w:tcW w:w="1191" w:type="dxa"/>
          </w:tcPr>
          <w:p>
            <w:pPr>
              <w:pStyle w:val="0"/>
            </w:pPr>
            <w:r>
              <w:rPr>
                <w:sz w:val="20"/>
              </w:rPr>
              <w:t xml:space="preserve">С 32</w:t>
            </w:r>
          </w:p>
        </w:tc>
        <w:tc>
          <w:tcPr>
            <w:tcW w:w="680" w:type="dxa"/>
          </w:tcPr>
          <w:p>
            <w:pPr>
              <w:pStyle w:val="0"/>
            </w:pPr>
            <w:r>
              <w:rPr>
                <w:sz w:val="20"/>
              </w:rPr>
              <w:t xml:space="preserve">10</w:t>
            </w:r>
          </w:p>
        </w:tc>
        <w:tc>
          <w:tcPr>
            <w:tcW w:w="680" w:type="dxa"/>
          </w:tcPr>
          <w:p>
            <w:pPr>
              <w:pStyle w:val="0"/>
            </w:pPr>
            <w:r>
              <w:rPr>
                <w:sz w:val="20"/>
              </w:rPr>
              <w:t xml:space="preserve">20</w:t>
            </w:r>
          </w:p>
        </w:tc>
        <w:tc>
          <w:tcPr>
            <w:tcW w:w="680" w:type="dxa"/>
          </w:tcPr>
          <w:p>
            <w:pPr>
              <w:pStyle w:val="0"/>
            </w:pPr>
            <w:r>
              <w:rPr>
                <w:sz w:val="20"/>
              </w:rPr>
              <w:t xml:space="preserve">6</w:t>
            </w:r>
          </w:p>
        </w:tc>
        <w:tc>
          <w:tcPr>
            <w:tcW w:w="680" w:type="dxa"/>
          </w:tcPr>
          <w:p>
            <w:pPr>
              <w:pStyle w:val="0"/>
            </w:pPr>
            <w:r>
              <w:rPr>
                <w:sz w:val="20"/>
              </w:rPr>
              <w:t xml:space="preserve">23,1</w:t>
            </w:r>
          </w:p>
        </w:tc>
        <w:tc>
          <w:tcPr>
            <w:tcW w:w="680" w:type="dxa"/>
          </w:tcPr>
          <w:p>
            <w:pPr>
              <w:pStyle w:val="0"/>
            </w:pPr>
            <w:r>
              <w:rPr>
                <w:sz w:val="20"/>
              </w:rPr>
              <w:t xml:space="preserve">6</w:t>
            </w:r>
          </w:p>
        </w:tc>
        <w:tc>
          <w:tcPr>
            <w:tcW w:w="680" w:type="dxa"/>
          </w:tcPr>
          <w:p>
            <w:pPr>
              <w:pStyle w:val="0"/>
            </w:pPr>
            <w:r>
              <w:rPr>
                <w:sz w:val="20"/>
              </w:rPr>
              <w:t xml:space="preserve">13</w:t>
            </w:r>
          </w:p>
        </w:tc>
        <w:tc>
          <w:tcPr>
            <w:tcW w:w="680" w:type="dxa"/>
          </w:tcPr>
          <w:p>
            <w:pPr>
              <w:pStyle w:val="0"/>
            </w:pPr>
            <w:r>
              <w:rPr>
                <w:sz w:val="20"/>
              </w:rPr>
              <w:t xml:space="preserve">4</w:t>
            </w:r>
          </w:p>
        </w:tc>
        <w:tc>
          <w:tcPr>
            <w:tcW w:w="680" w:type="dxa"/>
          </w:tcPr>
          <w:p>
            <w:pPr>
              <w:pStyle w:val="0"/>
            </w:pPr>
            <w:r>
              <w:rPr>
                <w:sz w:val="20"/>
              </w:rPr>
              <w:t xml:space="preserve">8,2</w:t>
            </w:r>
          </w:p>
        </w:tc>
        <w:tc>
          <w:tcPr>
            <w:tcW w:w="680" w:type="dxa"/>
          </w:tcPr>
          <w:p>
            <w:pPr>
              <w:pStyle w:val="0"/>
            </w:pPr>
            <w:r>
              <w:rPr>
                <w:sz w:val="20"/>
              </w:rPr>
              <w:t xml:space="preserve">9</w:t>
            </w:r>
          </w:p>
        </w:tc>
        <w:tc>
          <w:tcPr>
            <w:tcW w:w="680" w:type="dxa"/>
          </w:tcPr>
          <w:p>
            <w:pPr>
              <w:pStyle w:val="0"/>
            </w:pPr>
            <w:r>
              <w:rPr>
                <w:sz w:val="20"/>
              </w:rPr>
              <w:t xml:space="preserve">23,7</w:t>
            </w:r>
          </w:p>
        </w:tc>
      </w:tr>
      <w:tr>
        <w:tc>
          <w:tcPr>
            <w:tcW w:w="2211" w:type="dxa"/>
          </w:tcPr>
          <w:p>
            <w:pPr>
              <w:pStyle w:val="0"/>
            </w:pPr>
            <w:r>
              <w:rPr>
                <w:sz w:val="20"/>
              </w:rPr>
              <w:t xml:space="preserve">Трахея, бронхи, легкое</w:t>
            </w:r>
          </w:p>
        </w:tc>
        <w:tc>
          <w:tcPr>
            <w:tcW w:w="1191" w:type="dxa"/>
          </w:tcPr>
          <w:p>
            <w:pPr>
              <w:pStyle w:val="0"/>
            </w:pPr>
            <w:r>
              <w:rPr>
                <w:sz w:val="20"/>
              </w:rPr>
              <w:t xml:space="preserve">С 33, С 34</w:t>
            </w:r>
          </w:p>
        </w:tc>
        <w:tc>
          <w:tcPr>
            <w:tcW w:w="680" w:type="dxa"/>
          </w:tcPr>
          <w:p>
            <w:pPr>
              <w:pStyle w:val="0"/>
            </w:pPr>
            <w:r>
              <w:rPr>
                <w:sz w:val="20"/>
              </w:rPr>
              <w:t xml:space="preserve">172</w:t>
            </w:r>
          </w:p>
        </w:tc>
        <w:tc>
          <w:tcPr>
            <w:tcW w:w="680" w:type="dxa"/>
          </w:tcPr>
          <w:p>
            <w:pPr>
              <w:pStyle w:val="0"/>
            </w:pPr>
            <w:r>
              <w:rPr>
                <w:sz w:val="20"/>
              </w:rPr>
              <w:t xml:space="preserve">50</w:t>
            </w:r>
          </w:p>
        </w:tc>
        <w:tc>
          <w:tcPr>
            <w:tcW w:w="680" w:type="dxa"/>
          </w:tcPr>
          <w:p>
            <w:pPr>
              <w:pStyle w:val="0"/>
            </w:pPr>
            <w:r>
              <w:rPr>
                <w:sz w:val="20"/>
              </w:rPr>
              <w:t xml:space="preserve">185</w:t>
            </w:r>
          </w:p>
        </w:tc>
        <w:tc>
          <w:tcPr>
            <w:tcW w:w="680" w:type="dxa"/>
          </w:tcPr>
          <w:p>
            <w:pPr>
              <w:pStyle w:val="0"/>
            </w:pPr>
            <w:r>
              <w:rPr>
                <w:sz w:val="20"/>
              </w:rPr>
              <w:t xml:space="preserve">48,8</w:t>
            </w:r>
          </w:p>
        </w:tc>
        <w:tc>
          <w:tcPr>
            <w:tcW w:w="680" w:type="dxa"/>
          </w:tcPr>
          <w:p>
            <w:pPr>
              <w:pStyle w:val="0"/>
            </w:pPr>
            <w:r>
              <w:rPr>
                <w:sz w:val="20"/>
              </w:rPr>
              <w:t xml:space="preserve">168</w:t>
            </w:r>
          </w:p>
        </w:tc>
        <w:tc>
          <w:tcPr>
            <w:tcW w:w="680" w:type="dxa"/>
          </w:tcPr>
          <w:p>
            <w:pPr>
              <w:pStyle w:val="0"/>
            </w:pPr>
            <w:r>
              <w:rPr>
                <w:sz w:val="20"/>
              </w:rPr>
              <w:t xml:space="preserve">48,1</w:t>
            </w:r>
          </w:p>
        </w:tc>
        <w:tc>
          <w:tcPr>
            <w:tcW w:w="680" w:type="dxa"/>
          </w:tcPr>
          <w:p>
            <w:pPr>
              <w:pStyle w:val="0"/>
            </w:pPr>
            <w:r>
              <w:rPr>
                <w:sz w:val="20"/>
              </w:rPr>
              <w:t xml:space="preserve">237</w:t>
            </w:r>
          </w:p>
        </w:tc>
        <w:tc>
          <w:tcPr>
            <w:tcW w:w="680" w:type="dxa"/>
          </w:tcPr>
          <w:p>
            <w:pPr>
              <w:pStyle w:val="0"/>
            </w:pPr>
            <w:r>
              <w:rPr>
                <w:sz w:val="20"/>
              </w:rPr>
              <w:t xml:space="preserve">48</w:t>
            </w:r>
          </w:p>
        </w:tc>
        <w:tc>
          <w:tcPr>
            <w:tcW w:w="680" w:type="dxa"/>
          </w:tcPr>
          <w:p>
            <w:pPr>
              <w:pStyle w:val="0"/>
            </w:pPr>
            <w:r>
              <w:rPr>
                <w:sz w:val="20"/>
              </w:rPr>
              <w:t xml:space="preserve">239</w:t>
            </w:r>
          </w:p>
        </w:tc>
        <w:tc>
          <w:tcPr>
            <w:tcW w:w="680" w:type="dxa"/>
          </w:tcPr>
          <w:p>
            <w:pPr>
              <w:pStyle w:val="0"/>
            </w:pPr>
            <w:r>
              <w:rPr>
                <w:sz w:val="20"/>
              </w:rPr>
              <w:t xml:space="preserve">48,9</w:t>
            </w:r>
          </w:p>
        </w:tc>
      </w:tr>
      <w:tr>
        <w:tc>
          <w:tcPr>
            <w:tcW w:w="2211" w:type="dxa"/>
          </w:tcPr>
          <w:p>
            <w:pPr>
              <w:pStyle w:val="0"/>
            </w:pPr>
            <w:r>
              <w:rPr>
                <w:sz w:val="20"/>
              </w:rPr>
              <w:t xml:space="preserve">Кости и суставные хрящи</w:t>
            </w:r>
          </w:p>
        </w:tc>
        <w:tc>
          <w:tcPr>
            <w:tcW w:w="1191" w:type="dxa"/>
          </w:tcPr>
          <w:p>
            <w:pPr>
              <w:pStyle w:val="0"/>
            </w:pPr>
            <w:r>
              <w:rPr>
                <w:sz w:val="20"/>
              </w:rPr>
              <w:t xml:space="preserve">С 40, С41</w:t>
            </w:r>
          </w:p>
        </w:tc>
        <w:tc>
          <w:tcPr>
            <w:tcW w:w="680" w:type="dxa"/>
          </w:tcPr>
          <w:p>
            <w:pPr>
              <w:pStyle w:val="0"/>
            </w:pPr>
            <w:r>
              <w:rPr>
                <w:sz w:val="20"/>
              </w:rPr>
              <w:t xml:space="preserve">-</w:t>
            </w:r>
          </w:p>
        </w:tc>
        <w:tc>
          <w:tcPr>
            <w:tcW w:w="680" w:type="dxa"/>
          </w:tcPr>
          <w:p>
            <w:pPr>
              <w:pStyle w:val="0"/>
            </w:pPr>
            <w:r>
              <w:rPr>
                <w:sz w:val="20"/>
              </w:rPr>
              <w:t xml:space="preserve">-</w:t>
            </w:r>
          </w:p>
        </w:tc>
        <w:tc>
          <w:tcPr>
            <w:tcW w:w="680" w:type="dxa"/>
          </w:tcPr>
          <w:p>
            <w:pPr>
              <w:pStyle w:val="0"/>
            </w:pPr>
            <w:r>
              <w:rPr>
                <w:sz w:val="20"/>
              </w:rPr>
              <w:t xml:space="preserve">4</w:t>
            </w:r>
          </w:p>
        </w:tc>
        <w:tc>
          <w:tcPr>
            <w:tcW w:w="680" w:type="dxa"/>
          </w:tcPr>
          <w:p>
            <w:pPr>
              <w:pStyle w:val="0"/>
            </w:pPr>
            <w:r>
              <w:rPr>
                <w:sz w:val="20"/>
              </w:rPr>
              <w:t xml:space="preserve">36,4</w:t>
            </w:r>
          </w:p>
        </w:tc>
        <w:tc>
          <w:tcPr>
            <w:tcW w:w="680" w:type="dxa"/>
          </w:tcPr>
          <w:p>
            <w:pPr>
              <w:pStyle w:val="0"/>
            </w:pPr>
            <w:r>
              <w:rPr>
                <w:sz w:val="20"/>
              </w:rPr>
              <w:t xml:space="preserve">1</w:t>
            </w:r>
          </w:p>
        </w:tc>
        <w:tc>
          <w:tcPr>
            <w:tcW w:w="680" w:type="dxa"/>
          </w:tcPr>
          <w:p>
            <w:pPr>
              <w:pStyle w:val="0"/>
            </w:pPr>
            <w:r>
              <w:rPr>
                <w:sz w:val="20"/>
              </w:rPr>
              <w:t xml:space="preserve">6,3</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2</w:t>
            </w:r>
          </w:p>
        </w:tc>
        <w:tc>
          <w:tcPr>
            <w:tcW w:w="680" w:type="dxa"/>
          </w:tcPr>
          <w:p>
            <w:pPr>
              <w:pStyle w:val="0"/>
            </w:pPr>
            <w:r>
              <w:rPr>
                <w:sz w:val="20"/>
              </w:rPr>
              <w:t xml:space="preserve">20</w:t>
            </w:r>
          </w:p>
        </w:tc>
      </w:tr>
      <w:tr>
        <w:tc>
          <w:tcPr>
            <w:tcW w:w="2211" w:type="dxa"/>
          </w:tcPr>
          <w:p>
            <w:pPr>
              <w:pStyle w:val="0"/>
            </w:pPr>
            <w:r>
              <w:rPr>
                <w:sz w:val="20"/>
              </w:rPr>
              <w:t xml:space="preserve">Меланома кожи</w:t>
            </w:r>
          </w:p>
        </w:tc>
        <w:tc>
          <w:tcPr>
            <w:tcW w:w="1191" w:type="dxa"/>
          </w:tcPr>
          <w:p>
            <w:pPr>
              <w:pStyle w:val="0"/>
            </w:pPr>
            <w:r>
              <w:rPr>
                <w:sz w:val="20"/>
              </w:rPr>
              <w:t xml:space="preserve">С 43</w:t>
            </w:r>
          </w:p>
        </w:tc>
        <w:tc>
          <w:tcPr>
            <w:tcW w:w="680" w:type="dxa"/>
          </w:tcPr>
          <w:p>
            <w:pPr>
              <w:pStyle w:val="0"/>
            </w:pPr>
            <w:r>
              <w:rPr>
                <w:sz w:val="20"/>
              </w:rPr>
              <w:t xml:space="preserve">4</w:t>
            </w:r>
          </w:p>
        </w:tc>
        <w:tc>
          <w:tcPr>
            <w:tcW w:w="680" w:type="dxa"/>
          </w:tcPr>
          <w:p>
            <w:pPr>
              <w:pStyle w:val="0"/>
            </w:pPr>
            <w:r>
              <w:rPr>
                <w:sz w:val="20"/>
              </w:rPr>
              <w:t xml:space="preserve">6,6</w:t>
            </w:r>
          </w:p>
        </w:tc>
        <w:tc>
          <w:tcPr>
            <w:tcW w:w="680" w:type="dxa"/>
          </w:tcPr>
          <w:p>
            <w:pPr>
              <w:pStyle w:val="0"/>
            </w:pPr>
            <w:r>
              <w:rPr>
                <w:sz w:val="20"/>
              </w:rPr>
              <w:t xml:space="preserve">1</w:t>
            </w:r>
          </w:p>
        </w:tc>
        <w:tc>
          <w:tcPr>
            <w:tcW w:w="680" w:type="dxa"/>
          </w:tcPr>
          <w:p>
            <w:pPr>
              <w:pStyle w:val="0"/>
            </w:pPr>
            <w:r>
              <w:rPr>
                <w:sz w:val="20"/>
              </w:rPr>
              <w:t xml:space="preserve">1,8</w:t>
            </w:r>
          </w:p>
        </w:tc>
        <w:tc>
          <w:tcPr>
            <w:tcW w:w="680" w:type="dxa"/>
          </w:tcPr>
          <w:p>
            <w:pPr>
              <w:pStyle w:val="0"/>
            </w:pPr>
            <w:r>
              <w:rPr>
                <w:sz w:val="20"/>
              </w:rPr>
              <w:t xml:space="preserve">6</w:t>
            </w:r>
          </w:p>
        </w:tc>
        <w:tc>
          <w:tcPr>
            <w:tcW w:w="680" w:type="dxa"/>
          </w:tcPr>
          <w:p>
            <w:pPr>
              <w:pStyle w:val="0"/>
            </w:pPr>
            <w:r>
              <w:rPr>
                <w:sz w:val="20"/>
              </w:rPr>
              <w:t xml:space="preserve">11,1</w:t>
            </w:r>
          </w:p>
        </w:tc>
        <w:tc>
          <w:tcPr>
            <w:tcW w:w="680" w:type="dxa"/>
          </w:tcPr>
          <w:p>
            <w:pPr>
              <w:pStyle w:val="0"/>
            </w:pPr>
            <w:r>
              <w:rPr>
                <w:sz w:val="20"/>
              </w:rPr>
              <w:t xml:space="preserve">5</w:t>
            </w:r>
          </w:p>
        </w:tc>
        <w:tc>
          <w:tcPr>
            <w:tcW w:w="680" w:type="dxa"/>
          </w:tcPr>
          <w:p>
            <w:pPr>
              <w:pStyle w:val="0"/>
            </w:pPr>
            <w:r>
              <w:rPr>
                <w:sz w:val="20"/>
              </w:rPr>
              <w:t xml:space="preserve">8,6</w:t>
            </w:r>
          </w:p>
        </w:tc>
        <w:tc>
          <w:tcPr>
            <w:tcW w:w="680" w:type="dxa"/>
          </w:tcPr>
          <w:p>
            <w:pPr>
              <w:pStyle w:val="0"/>
            </w:pPr>
            <w:r>
              <w:rPr>
                <w:sz w:val="20"/>
              </w:rPr>
              <w:t xml:space="preserve">4</w:t>
            </w:r>
          </w:p>
        </w:tc>
        <w:tc>
          <w:tcPr>
            <w:tcW w:w="680" w:type="dxa"/>
          </w:tcPr>
          <w:p>
            <w:pPr>
              <w:pStyle w:val="0"/>
            </w:pPr>
            <w:r>
              <w:rPr>
                <w:sz w:val="20"/>
              </w:rPr>
              <w:t xml:space="preserve">8</w:t>
            </w:r>
          </w:p>
        </w:tc>
      </w:tr>
      <w:tr>
        <w:tc>
          <w:tcPr>
            <w:tcW w:w="2211" w:type="dxa"/>
          </w:tcPr>
          <w:p>
            <w:pPr>
              <w:pStyle w:val="0"/>
            </w:pPr>
            <w:r>
              <w:rPr>
                <w:sz w:val="20"/>
              </w:rPr>
              <w:t xml:space="preserve">других новообразований кожи</w:t>
            </w:r>
          </w:p>
        </w:tc>
        <w:tc>
          <w:tcPr>
            <w:tcW w:w="1191" w:type="dxa"/>
          </w:tcPr>
          <w:p>
            <w:pPr>
              <w:pStyle w:val="0"/>
            </w:pPr>
            <w:r>
              <w:rPr>
                <w:sz w:val="20"/>
              </w:rPr>
              <w:t xml:space="preserve">С 44</w:t>
            </w:r>
          </w:p>
        </w:tc>
        <w:tc>
          <w:tcPr>
            <w:tcW w:w="680" w:type="dxa"/>
          </w:tcPr>
          <w:p>
            <w:pPr>
              <w:pStyle w:val="0"/>
            </w:pPr>
            <w:r>
              <w:rPr>
                <w:sz w:val="20"/>
              </w:rPr>
              <w:t xml:space="preserve">2</w:t>
            </w:r>
          </w:p>
        </w:tc>
        <w:tc>
          <w:tcPr>
            <w:tcW w:w="680" w:type="dxa"/>
          </w:tcPr>
          <w:p>
            <w:pPr>
              <w:pStyle w:val="0"/>
            </w:pPr>
            <w:r>
              <w:rPr>
                <w:sz w:val="20"/>
              </w:rPr>
              <w:t xml:space="preserve">0,9</w:t>
            </w:r>
          </w:p>
        </w:tc>
        <w:tc>
          <w:tcPr>
            <w:tcW w:w="680" w:type="dxa"/>
          </w:tcPr>
          <w:p>
            <w:pPr>
              <w:pStyle w:val="0"/>
            </w:pPr>
            <w:r>
              <w:rPr>
                <w:sz w:val="20"/>
              </w:rPr>
              <w:t xml:space="preserve">1</w:t>
            </w:r>
          </w:p>
        </w:tc>
        <w:tc>
          <w:tcPr>
            <w:tcW w:w="680" w:type="dxa"/>
          </w:tcPr>
          <w:p>
            <w:pPr>
              <w:pStyle w:val="0"/>
            </w:pPr>
            <w:r>
              <w:rPr>
                <w:sz w:val="20"/>
              </w:rPr>
              <w:t xml:space="preserve">0,4</w:t>
            </w:r>
          </w:p>
        </w:tc>
        <w:tc>
          <w:tcPr>
            <w:tcW w:w="680" w:type="dxa"/>
          </w:tcPr>
          <w:p>
            <w:pPr>
              <w:pStyle w:val="0"/>
            </w:pPr>
            <w:r>
              <w:rPr>
                <w:sz w:val="20"/>
              </w:rPr>
              <w:t xml:space="preserve">1</w:t>
            </w:r>
          </w:p>
        </w:tc>
        <w:tc>
          <w:tcPr>
            <w:tcW w:w="680" w:type="dxa"/>
          </w:tcPr>
          <w:p>
            <w:pPr>
              <w:pStyle w:val="0"/>
            </w:pPr>
            <w:r>
              <w:rPr>
                <w:sz w:val="20"/>
              </w:rPr>
              <w:t xml:space="preserve">0,4</w:t>
            </w:r>
          </w:p>
        </w:tc>
        <w:tc>
          <w:tcPr>
            <w:tcW w:w="680" w:type="dxa"/>
          </w:tcPr>
          <w:p>
            <w:pPr>
              <w:pStyle w:val="0"/>
            </w:pPr>
            <w:r>
              <w:rPr>
                <w:sz w:val="20"/>
              </w:rPr>
              <w:t xml:space="preserve">2</w:t>
            </w:r>
          </w:p>
        </w:tc>
        <w:tc>
          <w:tcPr>
            <w:tcW w:w="680" w:type="dxa"/>
          </w:tcPr>
          <w:p>
            <w:pPr>
              <w:pStyle w:val="0"/>
            </w:pPr>
            <w:r>
              <w:rPr>
                <w:sz w:val="20"/>
              </w:rPr>
              <w:t xml:space="preserve">0,7</w:t>
            </w:r>
          </w:p>
        </w:tc>
        <w:tc>
          <w:tcPr>
            <w:tcW w:w="680" w:type="dxa"/>
          </w:tcPr>
          <w:p>
            <w:pPr>
              <w:pStyle w:val="0"/>
            </w:pPr>
            <w:r>
              <w:rPr>
                <w:sz w:val="20"/>
              </w:rPr>
              <w:t xml:space="preserve">4</w:t>
            </w:r>
          </w:p>
        </w:tc>
        <w:tc>
          <w:tcPr>
            <w:tcW w:w="680" w:type="dxa"/>
          </w:tcPr>
          <w:p>
            <w:pPr>
              <w:pStyle w:val="0"/>
            </w:pPr>
            <w:r>
              <w:rPr>
                <w:sz w:val="20"/>
              </w:rPr>
              <w:t xml:space="preserve">1,3</w:t>
            </w:r>
          </w:p>
        </w:tc>
      </w:tr>
      <w:tr>
        <w:tc>
          <w:tcPr>
            <w:tcW w:w="2211" w:type="dxa"/>
          </w:tcPr>
          <w:p>
            <w:pPr>
              <w:pStyle w:val="0"/>
            </w:pPr>
            <w:r>
              <w:rPr>
                <w:sz w:val="20"/>
              </w:rPr>
              <w:t xml:space="preserve">Соединит. и др. мягкие ткани</w:t>
            </w:r>
          </w:p>
        </w:tc>
        <w:tc>
          <w:tcPr>
            <w:tcW w:w="1191" w:type="dxa"/>
          </w:tcPr>
          <w:p>
            <w:pPr>
              <w:pStyle w:val="0"/>
            </w:pPr>
            <w:r>
              <w:rPr>
                <w:sz w:val="20"/>
              </w:rPr>
              <w:t xml:space="preserve">С47, С49</w:t>
            </w:r>
          </w:p>
        </w:tc>
        <w:tc>
          <w:tcPr>
            <w:tcW w:w="680" w:type="dxa"/>
          </w:tcPr>
          <w:p>
            <w:pPr>
              <w:pStyle w:val="0"/>
            </w:pPr>
            <w:r>
              <w:rPr>
                <w:sz w:val="20"/>
              </w:rPr>
              <w:t xml:space="preserve">-</w:t>
            </w:r>
          </w:p>
        </w:tc>
        <w:tc>
          <w:tcPr>
            <w:tcW w:w="680" w:type="dxa"/>
          </w:tcPr>
          <w:p>
            <w:pPr>
              <w:pStyle w:val="0"/>
            </w:pPr>
            <w:r>
              <w:rPr>
                <w:sz w:val="20"/>
              </w:rPr>
              <w:t xml:space="preserve">-</w:t>
            </w:r>
          </w:p>
        </w:tc>
        <w:tc>
          <w:tcPr>
            <w:tcW w:w="680" w:type="dxa"/>
          </w:tcPr>
          <w:p>
            <w:pPr>
              <w:pStyle w:val="0"/>
            </w:pPr>
            <w:r>
              <w:rPr>
                <w:sz w:val="20"/>
              </w:rPr>
              <w:t xml:space="preserve">2</w:t>
            </w:r>
          </w:p>
        </w:tc>
        <w:tc>
          <w:tcPr>
            <w:tcW w:w="680" w:type="dxa"/>
          </w:tcPr>
          <w:p>
            <w:pPr>
              <w:pStyle w:val="0"/>
            </w:pPr>
            <w:r>
              <w:rPr>
                <w:sz w:val="20"/>
              </w:rPr>
              <w:t xml:space="preserve">10,5</w:t>
            </w:r>
          </w:p>
        </w:tc>
        <w:tc>
          <w:tcPr>
            <w:tcW w:w="680" w:type="dxa"/>
          </w:tcPr>
          <w:p>
            <w:pPr>
              <w:pStyle w:val="0"/>
            </w:pPr>
            <w:r>
              <w:rPr>
                <w:sz w:val="20"/>
              </w:rPr>
              <w:t xml:space="preserve">5</w:t>
            </w:r>
          </w:p>
        </w:tc>
        <w:tc>
          <w:tcPr>
            <w:tcW w:w="680" w:type="dxa"/>
          </w:tcPr>
          <w:p>
            <w:pPr>
              <w:pStyle w:val="0"/>
            </w:pPr>
            <w:r>
              <w:rPr>
                <w:sz w:val="20"/>
              </w:rPr>
              <w:t xml:space="preserve">21,7</w:t>
            </w:r>
          </w:p>
        </w:tc>
        <w:tc>
          <w:tcPr>
            <w:tcW w:w="680" w:type="dxa"/>
          </w:tcPr>
          <w:p>
            <w:pPr>
              <w:pStyle w:val="0"/>
            </w:pPr>
            <w:r>
              <w:rPr>
                <w:sz w:val="20"/>
              </w:rPr>
              <w:t xml:space="preserve">5</w:t>
            </w:r>
          </w:p>
        </w:tc>
        <w:tc>
          <w:tcPr>
            <w:tcW w:w="680" w:type="dxa"/>
          </w:tcPr>
          <w:p>
            <w:pPr>
              <w:pStyle w:val="0"/>
            </w:pPr>
            <w:r>
              <w:rPr>
                <w:sz w:val="20"/>
              </w:rPr>
              <w:t xml:space="preserve">18,5</w:t>
            </w:r>
          </w:p>
        </w:tc>
        <w:tc>
          <w:tcPr>
            <w:tcW w:w="680" w:type="dxa"/>
          </w:tcPr>
          <w:p>
            <w:pPr>
              <w:pStyle w:val="0"/>
            </w:pPr>
            <w:r>
              <w:rPr>
                <w:sz w:val="20"/>
              </w:rPr>
              <w:t xml:space="preserve">3</w:t>
            </w:r>
          </w:p>
        </w:tc>
        <w:tc>
          <w:tcPr>
            <w:tcW w:w="680" w:type="dxa"/>
          </w:tcPr>
          <w:p>
            <w:pPr>
              <w:pStyle w:val="0"/>
            </w:pPr>
            <w:r>
              <w:rPr>
                <w:sz w:val="20"/>
              </w:rPr>
              <w:t xml:space="preserve">20</w:t>
            </w:r>
          </w:p>
        </w:tc>
      </w:tr>
      <w:tr>
        <w:tc>
          <w:tcPr>
            <w:tcW w:w="2211" w:type="dxa"/>
          </w:tcPr>
          <w:p>
            <w:pPr>
              <w:pStyle w:val="0"/>
            </w:pPr>
            <w:r>
              <w:rPr>
                <w:sz w:val="20"/>
              </w:rPr>
              <w:t xml:space="preserve">Молочная железа</w:t>
            </w:r>
          </w:p>
        </w:tc>
        <w:tc>
          <w:tcPr>
            <w:tcW w:w="1191" w:type="dxa"/>
          </w:tcPr>
          <w:p>
            <w:pPr>
              <w:pStyle w:val="0"/>
            </w:pPr>
            <w:r>
              <w:rPr>
                <w:sz w:val="20"/>
              </w:rPr>
              <w:t xml:space="preserve">С 50</w:t>
            </w:r>
          </w:p>
        </w:tc>
        <w:tc>
          <w:tcPr>
            <w:tcW w:w="680" w:type="dxa"/>
          </w:tcPr>
          <w:p>
            <w:pPr>
              <w:pStyle w:val="0"/>
            </w:pPr>
            <w:r>
              <w:rPr>
                <w:sz w:val="20"/>
              </w:rPr>
              <w:t xml:space="preserve">23</w:t>
            </w:r>
          </w:p>
        </w:tc>
        <w:tc>
          <w:tcPr>
            <w:tcW w:w="680" w:type="dxa"/>
          </w:tcPr>
          <w:p>
            <w:pPr>
              <w:pStyle w:val="0"/>
            </w:pPr>
            <w:r>
              <w:rPr>
                <w:sz w:val="20"/>
              </w:rPr>
              <w:t xml:space="preserve">4,8</w:t>
            </w:r>
          </w:p>
        </w:tc>
        <w:tc>
          <w:tcPr>
            <w:tcW w:w="680" w:type="dxa"/>
          </w:tcPr>
          <w:p>
            <w:pPr>
              <w:pStyle w:val="0"/>
            </w:pPr>
            <w:r>
              <w:rPr>
                <w:sz w:val="20"/>
              </w:rPr>
              <w:t xml:space="preserve">28</w:t>
            </w:r>
          </w:p>
        </w:tc>
        <w:tc>
          <w:tcPr>
            <w:tcW w:w="680" w:type="dxa"/>
          </w:tcPr>
          <w:p>
            <w:pPr>
              <w:pStyle w:val="0"/>
            </w:pPr>
            <w:r>
              <w:rPr>
                <w:sz w:val="20"/>
              </w:rPr>
              <w:t xml:space="preserve">6</w:t>
            </w:r>
          </w:p>
        </w:tc>
        <w:tc>
          <w:tcPr>
            <w:tcW w:w="680" w:type="dxa"/>
          </w:tcPr>
          <w:p>
            <w:pPr>
              <w:pStyle w:val="0"/>
            </w:pPr>
            <w:r>
              <w:rPr>
                <w:sz w:val="20"/>
              </w:rPr>
              <w:t xml:space="preserve">23</w:t>
            </w:r>
          </w:p>
        </w:tc>
        <w:tc>
          <w:tcPr>
            <w:tcW w:w="680" w:type="dxa"/>
          </w:tcPr>
          <w:p>
            <w:pPr>
              <w:pStyle w:val="0"/>
            </w:pPr>
            <w:r>
              <w:rPr>
                <w:sz w:val="20"/>
              </w:rPr>
              <w:t xml:space="preserve">4,5</w:t>
            </w:r>
          </w:p>
        </w:tc>
        <w:tc>
          <w:tcPr>
            <w:tcW w:w="680" w:type="dxa"/>
          </w:tcPr>
          <w:p>
            <w:pPr>
              <w:pStyle w:val="0"/>
            </w:pPr>
            <w:r>
              <w:rPr>
                <w:sz w:val="20"/>
              </w:rPr>
              <w:t xml:space="preserve">22</w:t>
            </w:r>
          </w:p>
        </w:tc>
        <w:tc>
          <w:tcPr>
            <w:tcW w:w="680" w:type="dxa"/>
          </w:tcPr>
          <w:p>
            <w:pPr>
              <w:pStyle w:val="0"/>
            </w:pPr>
            <w:r>
              <w:rPr>
                <w:sz w:val="20"/>
              </w:rPr>
              <w:t xml:space="preserve">4,5</w:t>
            </w:r>
          </w:p>
        </w:tc>
        <w:tc>
          <w:tcPr>
            <w:tcW w:w="680" w:type="dxa"/>
          </w:tcPr>
          <w:p>
            <w:pPr>
              <w:pStyle w:val="0"/>
            </w:pPr>
            <w:r>
              <w:rPr>
                <w:sz w:val="20"/>
              </w:rPr>
              <w:t xml:space="preserve">21</w:t>
            </w:r>
          </w:p>
        </w:tc>
        <w:tc>
          <w:tcPr>
            <w:tcW w:w="680" w:type="dxa"/>
          </w:tcPr>
          <w:p>
            <w:pPr>
              <w:pStyle w:val="0"/>
            </w:pPr>
            <w:r>
              <w:rPr>
                <w:sz w:val="20"/>
              </w:rPr>
              <w:t xml:space="preserve">4</w:t>
            </w:r>
          </w:p>
        </w:tc>
      </w:tr>
      <w:tr>
        <w:tc>
          <w:tcPr>
            <w:tcW w:w="2211" w:type="dxa"/>
          </w:tcPr>
          <w:p>
            <w:pPr>
              <w:pStyle w:val="0"/>
            </w:pPr>
            <w:r>
              <w:rPr>
                <w:sz w:val="20"/>
              </w:rPr>
              <w:t xml:space="preserve">Шейка матки</w:t>
            </w:r>
          </w:p>
        </w:tc>
        <w:tc>
          <w:tcPr>
            <w:tcW w:w="1191" w:type="dxa"/>
          </w:tcPr>
          <w:p>
            <w:pPr>
              <w:pStyle w:val="0"/>
            </w:pPr>
            <w:r>
              <w:rPr>
                <w:sz w:val="20"/>
              </w:rPr>
              <w:t xml:space="preserve">С 53</w:t>
            </w:r>
          </w:p>
        </w:tc>
        <w:tc>
          <w:tcPr>
            <w:tcW w:w="680" w:type="dxa"/>
          </w:tcPr>
          <w:p>
            <w:pPr>
              <w:pStyle w:val="0"/>
            </w:pPr>
            <w:r>
              <w:rPr>
                <w:sz w:val="20"/>
              </w:rPr>
              <w:t xml:space="preserve">15</w:t>
            </w:r>
          </w:p>
        </w:tc>
        <w:tc>
          <w:tcPr>
            <w:tcW w:w="680" w:type="dxa"/>
          </w:tcPr>
          <w:p>
            <w:pPr>
              <w:pStyle w:val="0"/>
            </w:pPr>
            <w:r>
              <w:rPr>
                <w:sz w:val="20"/>
              </w:rPr>
              <w:t xml:space="preserve">9,1</w:t>
            </w:r>
          </w:p>
        </w:tc>
        <w:tc>
          <w:tcPr>
            <w:tcW w:w="680" w:type="dxa"/>
          </w:tcPr>
          <w:p>
            <w:pPr>
              <w:pStyle w:val="0"/>
            </w:pPr>
            <w:r>
              <w:rPr>
                <w:sz w:val="20"/>
              </w:rPr>
              <w:t xml:space="preserve">19</w:t>
            </w:r>
          </w:p>
        </w:tc>
        <w:tc>
          <w:tcPr>
            <w:tcW w:w="680" w:type="dxa"/>
          </w:tcPr>
          <w:p>
            <w:pPr>
              <w:pStyle w:val="0"/>
            </w:pPr>
            <w:r>
              <w:rPr>
                <w:sz w:val="20"/>
              </w:rPr>
              <w:t xml:space="preserve">15,4</w:t>
            </w:r>
          </w:p>
        </w:tc>
        <w:tc>
          <w:tcPr>
            <w:tcW w:w="680" w:type="dxa"/>
          </w:tcPr>
          <w:p>
            <w:pPr>
              <w:pStyle w:val="0"/>
            </w:pPr>
            <w:r>
              <w:rPr>
                <w:sz w:val="20"/>
              </w:rPr>
              <w:t xml:space="preserve">11</w:t>
            </w:r>
          </w:p>
        </w:tc>
        <w:tc>
          <w:tcPr>
            <w:tcW w:w="680" w:type="dxa"/>
          </w:tcPr>
          <w:p>
            <w:pPr>
              <w:pStyle w:val="0"/>
            </w:pPr>
            <w:r>
              <w:rPr>
                <w:sz w:val="20"/>
              </w:rPr>
              <w:t xml:space="preserve">9,9</w:t>
            </w:r>
          </w:p>
        </w:tc>
        <w:tc>
          <w:tcPr>
            <w:tcW w:w="680" w:type="dxa"/>
          </w:tcPr>
          <w:p>
            <w:pPr>
              <w:pStyle w:val="0"/>
            </w:pPr>
            <w:r>
              <w:rPr>
                <w:sz w:val="20"/>
              </w:rPr>
              <w:t xml:space="preserve">23</w:t>
            </w:r>
          </w:p>
        </w:tc>
        <w:tc>
          <w:tcPr>
            <w:tcW w:w="680" w:type="dxa"/>
          </w:tcPr>
          <w:p>
            <w:pPr>
              <w:pStyle w:val="0"/>
            </w:pPr>
            <w:r>
              <w:rPr>
                <w:sz w:val="20"/>
              </w:rPr>
              <w:t xml:space="preserve">13</w:t>
            </w:r>
          </w:p>
        </w:tc>
        <w:tc>
          <w:tcPr>
            <w:tcW w:w="680" w:type="dxa"/>
          </w:tcPr>
          <w:p>
            <w:pPr>
              <w:pStyle w:val="0"/>
            </w:pPr>
            <w:r>
              <w:rPr>
                <w:sz w:val="20"/>
              </w:rPr>
              <w:t xml:space="preserve">21</w:t>
            </w:r>
          </w:p>
        </w:tc>
        <w:tc>
          <w:tcPr>
            <w:tcW w:w="680" w:type="dxa"/>
          </w:tcPr>
          <w:p>
            <w:pPr>
              <w:pStyle w:val="0"/>
            </w:pPr>
            <w:r>
              <w:rPr>
                <w:sz w:val="20"/>
              </w:rPr>
              <w:t xml:space="preserve">12,3</w:t>
            </w:r>
          </w:p>
        </w:tc>
      </w:tr>
      <w:tr>
        <w:tc>
          <w:tcPr>
            <w:tcW w:w="2211" w:type="dxa"/>
          </w:tcPr>
          <w:p>
            <w:pPr>
              <w:pStyle w:val="0"/>
            </w:pPr>
            <w:r>
              <w:rPr>
                <w:sz w:val="20"/>
              </w:rPr>
              <w:t xml:space="preserve">Тело матки</w:t>
            </w:r>
          </w:p>
        </w:tc>
        <w:tc>
          <w:tcPr>
            <w:tcW w:w="1191" w:type="dxa"/>
          </w:tcPr>
          <w:p>
            <w:pPr>
              <w:pStyle w:val="0"/>
            </w:pPr>
            <w:r>
              <w:rPr>
                <w:sz w:val="20"/>
              </w:rPr>
              <w:t xml:space="preserve">С 54</w:t>
            </w:r>
          </w:p>
        </w:tc>
        <w:tc>
          <w:tcPr>
            <w:tcW w:w="680" w:type="dxa"/>
          </w:tcPr>
          <w:p>
            <w:pPr>
              <w:pStyle w:val="0"/>
            </w:pPr>
            <w:r>
              <w:rPr>
                <w:sz w:val="20"/>
              </w:rPr>
              <w:t xml:space="preserve">8</w:t>
            </w:r>
          </w:p>
        </w:tc>
        <w:tc>
          <w:tcPr>
            <w:tcW w:w="680" w:type="dxa"/>
          </w:tcPr>
          <w:p>
            <w:pPr>
              <w:pStyle w:val="0"/>
            </w:pPr>
            <w:r>
              <w:rPr>
                <w:sz w:val="20"/>
              </w:rPr>
              <w:t xml:space="preserve">6,7</w:t>
            </w:r>
          </w:p>
        </w:tc>
        <w:tc>
          <w:tcPr>
            <w:tcW w:w="680" w:type="dxa"/>
          </w:tcPr>
          <w:p>
            <w:pPr>
              <w:pStyle w:val="0"/>
            </w:pPr>
            <w:r>
              <w:rPr>
                <w:sz w:val="20"/>
              </w:rPr>
              <w:t xml:space="preserve">9</w:t>
            </w:r>
          </w:p>
        </w:tc>
        <w:tc>
          <w:tcPr>
            <w:tcW w:w="680" w:type="dxa"/>
          </w:tcPr>
          <w:p>
            <w:pPr>
              <w:pStyle w:val="0"/>
            </w:pPr>
            <w:r>
              <w:rPr>
                <w:sz w:val="20"/>
              </w:rPr>
              <w:t xml:space="preserve">6,4</w:t>
            </w:r>
          </w:p>
        </w:tc>
        <w:tc>
          <w:tcPr>
            <w:tcW w:w="680" w:type="dxa"/>
          </w:tcPr>
          <w:p>
            <w:pPr>
              <w:pStyle w:val="0"/>
            </w:pPr>
            <w:r>
              <w:rPr>
                <w:sz w:val="20"/>
              </w:rPr>
              <w:t xml:space="preserve">11</w:t>
            </w:r>
          </w:p>
        </w:tc>
        <w:tc>
          <w:tcPr>
            <w:tcW w:w="680" w:type="dxa"/>
          </w:tcPr>
          <w:p>
            <w:pPr>
              <w:pStyle w:val="0"/>
            </w:pPr>
            <w:r>
              <w:rPr>
                <w:sz w:val="20"/>
              </w:rPr>
              <w:t xml:space="preserve">8,9</w:t>
            </w:r>
          </w:p>
        </w:tc>
        <w:tc>
          <w:tcPr>
            <w:tcW w:w="680" w:type="dxa"/>
          </w:tcPr>
          <w:p>
            <w:pPr>
              <w:pStyle w:val="0"/>
            </w:pPr>
            <w:r>
              <w:rPr>
                <w:sz w:val="20"/>
              </w:rPr>
              <w:t xml:space="preserve">15</w:t>
            </w:r>
          </w:p>
        </w:tc>
        <w:tc>
          <w:tcPr>
            <w:tcW w:w="680" w:type="dxa"/>
          </w:tcPr>
          <w:p>
            <w:pPr>
              <w:pStyle w:val="0"/>
            </w:pPr>
            <w:r>
              <w:rPr>
                <w:sz w:val="20"/>
              </w:rPr>
              <w:t xml:space="preserve">10,8</w:t>
            </w:r>
          </w:p>
        </w:tc>
        <w:tc>
          <w:tcPr>
            <w:tcW w:w="680" w:type="dxa"/>
          </w:tcPr>
          <w:p>
            <w:pPr>
              <w:pStyle w:val="0"/>
            </w:pPr>
            <w:r>
              <w:rPr>
                <w:sz w:val="20"/>
              </w:rPr>
              <w:t xml:space="preserve">15</w:t>
            </w:r>
          </w:p>
        </w:tc>
        <w:tc>
          <w:tcPr>
            <w:tcW w:w="680" w:type="dxa"/>
          </w:tcPr>
          <w:p>
            <w:pPr>
              <w:pStyle w:val="0"/>
            </w:pPr>
            <w:r>
              <w:rPr>
                <w:sz w:val="20"/>
              </w:rPr>
              <w:t xml:space="preserve">9,3</w:t>
            </w:r>
          </w:p>
        </w:tc>
      </w:tr>
      <w:tr>
        <w:tc>
          <w:tcPr>
            <w:tcW w:w="2211" w:type="dxa"/>
          </w:tcPr>
          <w:p>
            <w:pPr>
              <w:pStyle w:val="0"/>
            </w:pPr>
            <w:r>
              <w:rPr>
                <w:sz w:val="20"/>
              </w:rPr>
              <w:t xml:space="preserve">Яичники</w:t>
            </w:r>
          </w:p>
        </w:tc>
        <w:tc>
          <w:tcPr>
            <w:tcW w:w="1191" w:type="dxa"/>
          </w:tcPr>
          <w:p>
            <w:pPr>
              <w:pStyle w:val="0"/>
            </w:pPr>
            <w:r>
              <w:rPr>
                <w:sz w:val="20"/>
              </w:rPr>
              <w:t xml:space="preserve">С 56</w:t>
            </w:r>
          </w:p>
        </w:tc>
        <w:tc>
          <w:tcPr>
            <w:tcW w:w="680" w:type="dxa"/>
          </w:tcPr>
          <w:p>
            <w:pPr>
              <w:pStyle w:val="0"/>
            </w:pPr>
            <w:r>
              <w:rPr>
                <w:sz w:val="20"/>
              </w:rPr>
              <w:t xml:space="preserve">17</w:t>
            </w:r>
          </w:p>
        </w:tc>
        <w:tc>
          <w:tcPr>
            <w:tcW w:w="680" w:type="dxa"/>
          </w:tcPr>
          <w:p>
            <w:pPr>
              <w:pStyle w:val="0"/>
            </w:pPr>
            <w:r>
              <w:rPr>
                <w:sz w:val="20"/>
              </w:rPr>
              <w:t xml:space="preserve">19,3</w:t>
            </w:r>
          </w:p>
        </w:tc>
        <w:tc>
          <w:tcPr>
            <w:tcW w:w="680" w:type="dxa"/>
          </w:tcPr>
          <w:p>
            <w:pPr>
              <w:pStyle w:val="0"/>
            </w:pPr>
            <w:r>
              <w:rPr>
                <w:sz w:val="20"/>
              </w:rPr>
              <w:t xml:space="preserve">19</w:t>
            </w:r>
          </w:p>
        </w:tc>
        <w:tc>
          <w:tcPr>
            <w:tcW w:w="680" w:type="dxa"/>
          </w:tcPr>
          <w:p>
            <w:pPr>
              <w:pStyle w:val="0"/>
            </w:pPr>
            <w:r>
              <w:rPr>
                <w:sz w:val="20"/>
              </w:rPr>
              <w:t xml:space="preserve">20,9</w:t>
            </w:r>
          </w:p>
        </w:tc>
        <w:tc>
          <w:tcPr>
            <w:tcW w:w="680" w:type="dxa"/>
          </w:tcPr>
          <w:p>
            <w:pPr>
              <w:pStyle w:val="0"/>
            </w:pPr>
            <w:r>
              <w:rPr>
                <w:sz w:val="20"/>
              </w:rPr>
              <w:t xml:space="preserve">16</w:t>
            </w:r>
          </w:p>
        </w:tc>
        <w:tc>
          <w:tcPr>
            <w:tcW w:w="680" w:type="dxa"/>
          </w:tcPr>
          <w:p>
            <w:pPr>
              <w:pStyle w:val="0"/>
            </w:pPr>
            <w:r>
              <w:rPr>
                <w:sz w:val="20"/>
              </w:rPr>
              <w:t xml:space="preserve">18,8</w:t>
            </w:r>
          </w:p>
        </w:tc>
        <w:tc>
          <w:tcPr>
            <w:tcW w:w="680" w:type="dxa"/>
          </w:tcPr>
          <w:p>
            <w:pPr>
              <w:pStyle w:val="0"/>
            </w:pPr>
            <w:r>
              <w:rPr>
                <w:sz w:val="20"/>
              </w:rPr>
              <w:t xml:space="preserve">16</w:t>
            </w:r>
          </w:p>
        </w:tc>
        <w:tc>
          <w:tcPr>
            <w:tcW w:w="680" w:type="dxa"/>
          </w:tcPr>
          <w:p>
            <w:pPr>
              <w:pStyle w:val="0"/>
            </w:pPr>
            <w:r>
              <w:rPr>
                <w:sz w:val="20"/>
              </w:rPr>
              <w:t xml:space="preserve">17,6</w:t>
            </w:r>
          </w:p>
        </w:tc>
        <w:tc>
          <w:tcPr>
            <w:tcW w:w="680" w:type="dxa"/>
          </w:tcPr>
          <w:p>
            <w:pPr>
              <w:pStyle w:val="0"/>
            </w:pPr>
            <w:r>
              <w:rPr>
                <w:sz w:val="20"/>
              </w:rPr>
              <w:t xml:space="preserve">21</w:t>
            </w:r>
          </w:p>
        </w:tc>
        <w:tc>
          <w:tcPr>
            <w:tcW w:w="680" w:type="dxa"/>
          </w:tcPr>
          <w:p>
            <w:pPr>
              <w:pStyle w:val="0"/>
            </w:pPr>
            <w:r>
              <w:rPr>
                <w:sz w:val="20"/>
              </w:rPr>
              <w:t xml:space="preserve">26,3</w:t>
            </w:r>
          </w:p>
        </w:tc>
      </w:tr>
      <w:tr>
        <w:tc>
          <w:tcPr>
            <w:tcW w:w="2211" w:type="dxa"/>
          </w:tcPr>
          <w:p>
            <w:pPr>
              <w:pStyle w:val="0"/>
            </w:pPr>
            <w:r>
              <w:rPr>
                <w:sz w:val="20"/>
              </w:rPr>
              <w:t xml:space="preserve">Предстательная железа</w:t>
            </w:r>
          </w:p>
        </w:tc>
        <w:tc>
          <w:tcPr>
            <w:tcW w:w="1191" w:type="dxa"/>
          </w:tcPr>
          <w:p>
            <w:pPr>
              <w:pStyle w:val="0"/>
            </w:pPr>
            <w:r>
              <w:rPr>
                <w:sz w:val="20"/>
              </w:rPr>
              <w:t xml:space="preserve">С 61</w:t>
            </w:r>
          </w:p>
        </w:tc>
        <w:tc>
          <w:tcPr>
            <w:tcW w:w="680" w:type="dxa"/>
          </w:tcPr>
          <w:p>
            <w:pPr>
              <w:pStyle w:val="0"/>
            </w:pPr>
            <w:r>
              <w:rPr>
                <w:sz w:val="20"/>
              </w:rPr>
              <w:t xml:space="preserve">13</w:t>
            </w:r>
          </w:p>
        </w:tc>
        <w:tc>
          <w:tcPr>
            <w:tcW w:w="680" w:type="dxa"/>
          </w:tcPr>
          <w:p>
            <w:pPr>
              <w:pStyle w:val="0"/>
            </w:pPr>
            <w:r>
              <w:rPr>
                <w:sz w:val="20"/>
              </w:rPr>
              <w:t xml:space="preserve">7,9</w:t>
            </w:r>
          </w:p>
        </w:tc>
        <w:tc>
          <w:tcPr>
            <w:tcW w:w="680" w:type="dxa"/>
          </w:tcPr>
          <w:p>
            <w:pPr>
              <w:pStyle w:val="0"/>
            </w:pPr>
            <w:r>
              <w:rPr>
                <w:sz w:val="20"/>
              </w:rPr>
              <w:t xml:space="preserve">13</w:t>
            </w:r>
          </w:p>
        </w:tc>
        <w:tc>
          <w:tcPr>
            <w:tcW w:w="680" w:type="dxa"/>
          </w:tcPr>
          <w:p>
            <w:pPr>
              <w:pStyle w:val="0"/>
            </w:pPr>
            <w:r>
              <w:rPr>
                <w:sz w:val="20"/>
              </w:rPr>
              <w:t xml:space="preserve">6,1</w:t>
            </w:r>
          </w:p>
        </w:tc>
        <w:tc>
          <w:tcPr>
            <w:tcW w:w="680" w:type="dxa"/>
          </w:tcPr>
          <w:p>
            <w:pPr>
              <w:pStyle w:val="0"/>
            </w:pPr>
            <w:r>
              <w:rPr>
                <w:sz w:val="20"/>
              </w:rPr>
              <w:t xml:space="preserve">16</w:t>
            </w:r>
          </w:p>
        </w:tc>
        <w:tc>
          <w:tcPr>
            <w:tcW w:w="680" w:type="dxa"/>
          </w:tcPr>
          <w:p>
            <w:pPr>
              <w:pStyle w:val="0"/>
            </w:pPr>
            <w:r>
              <w:rPr>
                <w:sz w:val="20"/>
              </w:rPr>
              <w:t xml:space="preserve">7</w:t>
            </w:r>
          </w:p>
        </w:tc>
        <w:tc>
          <w:tcPr>
            <w:tcW w:w="680" w:type="dxa"/>
          </w:tcPr>
          <w:p>
            <w:pPr>
              <w:pStyle w:val="0"/>
            </w:pPr>
            <w:r>
              <w:rPr>
                <w:sz w:val="20"/>
              </w:rPr>
              <w:t xml:space="preserve">19</w:t>
            </w:r>
          </w:p>
        </w:tc>
        <w:tc>
          <w:tcPr>
            <w:tcW w:w="680" w:type="dxa"/>
          </w:tcPr>
          <w:p>
            <w:pPr>
              <w:pStyle w:val="0"/>
            </w:pPr>
            <w:r>
              <w:rPr>
                <w:sz w:val="20"/>
              </w:rPr>
              <w:t xml:space="preserve">8,2</w:t>
            </w:r>
          </w:p>
        </w:tc>
        <w:tc>
          <w:tcPr>
            <w:tcW w:w="680" w:type="dxa"/>
          </w:tcPr>
          <w:p>
            <w:pPr>
              <w:pStyle w:val="0"/>
            </w:pPr>
            <w:r>
              <w:rPr>
                <w:sz w:val="20"/>
              </w:rPr>
              <w:t xml:space="preserve">21</w:t>
            </w:r>
          </w:p>
        </w:tc>
        <w:tc>
          <w:tcPr>
            <w:tcW w:w="680" w:type="dxa"/>
          </w:tcPr>
          <w:p>
            <w:pPr>
              <w:pStyle w:val="0"/>
            </w:pPr>
            <w:r>
              <w:rPr>
                <w:sz w:val="20"/>
              </w:rPr>
              <w:t xml:space="preserve">7,9</w:t>
            </w:r>
          </w:p>
        </w:tc>
      </w:tr>
      <w:tr>
        <w:tc>
          <w:tcPr>
            <w:tcW w:w="2211" w:type="dxa"/>
          </w:tcPr>
          <w:p>
            <w:pPr>
              <w:pStyle w:val="0"/>
            </w:pPr>
            <w:r>
              <w:rPr>
                <w:sz w:val="20"/>
              </w:rPr>
              <w:t xml:space="preserve">Почка</w:t>
            </w:r>
          </w:p>
        </w:tc>
        <w:tc>
          <w:tcPr>
            <w:tcW w:w="1191" w:type="dxa"/>
          </w:tcPr>
          <w:p>
            <w:pPr>
              <w:pStyle w:val="0"/>
            </w:pPr>
            <w:r>
              <w:rPr>
                <w:sz w:val="20"/>
              </w:rPr>
              <w:t xml:space="preserve">С 64</w:t>
            </w:r>
          </w:p>
        </w:tc>
        <w:tc>
          <w:tcPr>
            <w:tcW w:w="680" w:type="dxa"/>
          </w:tcPr>
          <w:p>
            <w:pPr>
              <w:pStyle w:val="0"/>
            </w:pPr>
            <w:r>
              <w:rPr>
                <w:sz w:val="20"/>
              </w:rPr>
              <w:t xml:space="preserve">22</w:t>
            </w:r>
          </w:p>
        </w:tc>
        <w:tc>
          <w:tcPr>
            <w:tcW w:w="680" w:type="dxa"/>
          </w:tcPr>
          <w:p>
            <w:pPr>
              <w:pStyle w:val="0"/>
            </w:pPr>
            <w:r>
              <w:rPr>
                <w:sz w:val="20"/>
              </w:rPr>
              <w:t xml:space="preserve">11,9</w:t>
            </w:r>
          </w:p>
        </w:tc>
        <w:tc>
          <w:tcPr>
            <w:tcW w:w="680" w:type="dxa"/>
          </w:tcPr>
          <w:p>
            <w:pPr>
              <w:pStyle w:val="0"/>
            </w:pPr>
            <w:r>
              <w:rPr>
                <w:sz w:val="20"/>
              </w:rPr>
              <w:t xml:space="preserve">23</w:t>
            </w:r>
          </w:p>
        </w:tc>
        <w:tc>
          <w:tcPr>
            <w:tcW w:w="680" w:type="dxa"/>
          </w:tcPr>
          <w:p>
            <w:pPr>
              <w:pStyle w:val="0"/>
            </w:pPr>
            <w:r>
              <w:rPr>
                <w:sz w:val="20"/>
              </w:rPr>
              <w:t xml:space="preserve">11,6</w:t>
            </w:r>
          </w:p>
        </w:tc>
        <w:tc>
          <w:tcPr>
            <w:tcW w:w="680" w:type="dxa"/>
          </w:tcPr>
          <w:p>
            <w:pPr>
              <w:pStyle w:val="0"/>
            </w:pPr>
            <w:r>
              <w:rPr>
                <w:sz w:val="20"/>
              </w:rPr>
              <w:t xml:space="preserve">23</w:t>
            </w:r>
          </w:p>
        </w:tc>
        <w:tc>
          <w:tcPr>
            <w:tcW w:w="680" w:type="dxa"/>
          </w:tcPr>
          <w:p>
            <w:pPr>
              <w:pStyle w:val="0"/>
            </w:pPr>
            <w:r>
              <w:rPr>
                <w:sz w:val="20"/>
              </w:rPr>
              <w:t xml:space="preserve">11,9</w:t>
            </w:r>
          </w:p>
        </w:tc>
        <w:tc>
          <w:tcPr>
            <w:tcW w:w="680" w:type="dxa"/>
          </w:tcPr>
          <w:p>
            <w:pPr>
              <w:pStyle w:val="0"/>
            </w:pPr>
            <w:r>
              <w:rPr>
                <w:sz w:val="20"/>
              </w:rPr>
              <w:t xml:space="preserve">23</w:t>
            </w:r>
          </w:p>
        </w:tc>
        <w:tc>
          <w:tcPr>
            <w:tcW w:w="680" w:type="dxa"/>
          </w:tcPr>
          <w:p>
            <w:pPr>
              <w:pStyle w:val="0"/>
            </w:pPr>
            <w:r>
              <w:rPr>
                <w:sz w:val="20"/>
              </w:rPr>
              <w:t xml:space="preserve">12,3</w:t>
            </w:r>
          </w:p>
        </w:tc>
        <w:tc>
          <w:tcPr>
            <w:tcW w:w="680" w:type="dxa"/>
          </w:tcPr>
          <w:p>
            <w:pPr>
              <w:pStyle w:val="0"/>
            </w:pPr>
            <w:r>
              <w:rPr>
                <w:sz w:val="20"/>
              </w:rPr>
              <w:t xml:space="preserve">18</w:t>
            </w:r>
          </w:p>
        </w:tc>
        <w:tc>
          <w:tcPr>
            <w:tcW w:w="680" w:type="dxa"/>
          </w:tcPr>
          <w:p>
            <w:pPr>
              <w:pStyle w:val="0"/>
            </w:pPr>
            <w:r>
              <w:rPr>
                <w:sz w:val="20"/>
              </w:rPr>
              <w:t xml:space="preserve">8,5</w:t>
            </w:r>
          </w:p>
        </w:tc>
      </w:tr>
      <w:tr>
        <w:tc>
          <w:tcPr>
            <w:tcW w:w="2211" w:type="dxa"/>
          </w:tcPr>
          <w:p>
            <w:pPr>
              <w:pStyle w:val="0"/>
            </w:pPr>
            <w:r>
              <w:rPr>
                <w:sz w:val="20"/>
              </w:rPr>
              <w:t xml:space="preserve">Мочевой пузырь</w:t>
            </w:r>
          </w:p>
        </w:tc>
        <w:tc>
          <w:tcPr>
            <w:tcW w:w="1191" w:type="dxa"/>
          </w:tcPr>
          <w:p>
            <w:pPr>
              <w:pStyle w:val="0"/>
            </w:pPr>
            <w:r>
              <w:rPr>
                <w:sz w:val="20"/>
              </w:rPr>
              <w:t xml:space="preserve">С 67</w:t>
            </w:r>
          </w:p>
        </w:tc>
        <w:tc>
          <w:tcPr>
            <w:tcW w:w="680" w:type="dxa"/>
          </w:tcPr>
          <w:p>
            <w:pPr>
              <w:pStyle w:val="0"/>
            </w:pPr>
            <w:r>
              <w:rPr>
                <w:sz w:val="20"/>
              </w:rPr>
              <w:t xml:space="preserve">10</w:t>
            </w:r>
          </w:p>
        </w:tc>
        <w:tc>
          <w:tcPr>
            <w:tcW w:w="680" w:type="dxa"/>
          </w:tcPr>
          <w:p>
            <w:pPr>
              <w:pStyle w:val="0"/>
            </w:pPr>
            <w:r>
              <w:rPr>
                <w:sz w:val="20"/>
              </w:rPr>
              <w:t xml:space="preserve">11,7</w:t>
            </w:r>
          </w:p>
        </w:tc>
        <w:tc>
          <w:tcPr>
            <w:tcW w:w="680" w:type="dxa"/>
          </w:tcPr>
          <w:p>
            <w:pPr>
              <w:pStyle w:val="0"/>
            </w:pPr>
            <w:r>
              <w:rPr>
                <w:sz w:val="20"/>
              </w:rPr>
              <w:t xml:space="preserve">11</w:t>
            </w:r>
          </w:p>
        </w:tc>
        <w:tc>
          <w:tcPr>
            <w:tcW w:w="680" w:type="dxa"/>
          </w:tcPr>
          <w:p>
            <w:pPr>
              <w:pStyle w:val="0"/>
            </w:pPr>
            <w:r>
              <w:rPr>
                <w:sz w:val="20"/>
              </w:rPr>
              <w:t xml:space="preserve">12,6</w:t>
            </w:r>
          </w:p>
        </w:tc>
        <w:tc>
          <w:tcPr>
            <w:tcW w:w="680" w:type="dxa"/>
          </w:tcPr>
          <w:p>
            <w:pPr>
              <w:pStyle w:val="0"/>
            </w:pPr>
            <w:r>
              <w:rPr>
                <w:sz w:val="20"/>
              </w:rPr>
              <w:t xml:space="preserve">6</w:t>
            </w:r>
          </w:p>
        </w:tc>
        <w:tc>
          <w:tcPr>
            <w:tcW w:w="680" w:type="dxa"/>
          </w:tcPr>
          <w:p>
            <w:pPr>
              <w:pStyle w:val="0"/>
            </w:pPr>
            <w:r>
              <w:rPr>
                <w:sz w:val="20"/>
              </w:rPr>
              <w:t xml:space="preserve">8,3</w:t>
            </w:r>
          </w:p>
        </w:tc>
        <w:tc>
          <w:tcPr>
            <w:tcW w:w="680" w:type="dxa"/>
          </w:tcPr>
          <w:p>
            <w:pPr>
              <w:pStyle w:val="0"/>
            </w:pPr>
            <w:r>
              <w:rPr>
                <w:sz w:val="20"/>
              </w:rPr>
              <w:t xml:space="preserve">18</w:t>
            </w:r>
          </w:p>
        </w:tc>
        <w:tc>
          <w:tcPr>
            <w:tcW w:w="680" w:type="dxa"/>
          </w:tcPr>
          <w:p>
            <w:pPr>
              <w:pStyle w:val="0"/>
            </w:pPr>
            <w:r>
              <w:rPr>
                <w:sz w:val="20"/>
              </w:rPr>
              <w:t xml:space="preserve">16,7</w:t>
            </w:r>
          </w:p>
        </w:tc>
        <w:tc>
          <w:tcPr>
            <w:tcW w:w="680" w:type="dxa"/>
          </w:tcPr>
          <w:p>
            <w:pPr>
              <w:pStyle w:val="0"/>
            </w:pPr>
            <w:r>
              <w:rPr>
                <w:sz w:val="20"/>
              </w:rPr>
              <w:t xml:space="preserve">19</w:t>
            </w:r>
          </w:p>
        </w:tc>
        <w:tc>
          <w:tcPr>
            <w:tcW w:w="680" w:type="dxa"/>
          </w:tcPr>
          <w:p>
            <w:pPr>
              <w:pStyle w:val="0"/>
            </w:pPr>
            <w:r>
              <w:rPr>
                <w:sz w:val="20"/>
              </w:rPr>
              <w:t xml:space="preserve">19,6</w:t>
            </w:r>
          </w:p>
        </w:tc>
      </w:tr>
      <w:tr>
        <w:tc>
          <w:tcPr>
            <w:tcW w:w="2211" w:type="dxa"/>
          </w:tcPr>
          <w:p>
            <w:pPr>
              <w:pStyle w:val="0"/>
            </w:pPr>
            <w:r>
              <w:rPr>
                <w:sz w:val="20"/>
              </w:rPr>
              <w:t xml:space="preserve">Щитовидная железа</w:t>
            </w:r>
          </w:p>
        </w:tc>
        <w:tc>
          <w:tcPr>
            <w:tcW w:w="1191" w:type="dxa"/>
          </w:tcPr>
          <w:p>
            <w:pPr>
              <w:pStyle w:val="0"/>
            </w:pPr>
            <w:r>
              <w:rPr>
                <w:sz w:val="20"/>
              </w:rPr>
              <w:t xml:space="preserve">С 73</w:t>
            </w:r>
          </w:p>
        </w:tc>
        <w:tc>
          <w:tcPr>
            <w:tcW w:w="680" w:type="dxa"/>
          </w:tcPr>
          <w:p>
            <w:pPr>
              <w:pStyle w:val="0"/>
            </w:pPr>
            <w:r>
              <w:rPr>
                <w:sz w:val="20"/>
              </w:rPr>
              <w:t xml:space="preserve">-</w:t>
            </w:r>
          </w:p>
        </w:tc>
        <w:tc>
          <w:tcPr>
            <w:tcW w:w="680" w:type="dxa"/>
          </w:tcPr>
          <w:p>
            <w:pPr>
              <w:pStyle w:val="0"/>
            </w:pPr>
            <w:r>
              <w:rPr>
                <w:sz w:val="20"/>
              </w:rPr>
              <w:t xml:space="preserve">-</w:t>
            </w:r>
          </w:p>
        </w:tc>
        <w:tc>
          <w:tcPr>
            <w:tcW w:w="680" w:type="dxa"/>
          </w:tcPr>
          <w:p>
            <w:pPr>
              <w:pStyle w:val="0"/>
            </w:pPr>
            <w:r>
              <w:rPr>
                <w:sz w:val="20"/>
              </w:rPr>
              <w:t xml:space="preserve">3</w:t>
            </w:r>
          </w:p>
        </w:tc>
        <w:tc>
          <w:tcPr>
            <w:tcW w:w="680" w:type="dxa"/>
          </w:tcPr>
          <w:p>
            <w:pPr>
              <w:pStyle w:val="0"/>
            </w:pPr>
            <w:r>
              <w:rPr>
                <w:sz w:val="20"/>
              </w:rPr>
              <w:t xml:space="preserve">3,3</w:t>
            </w:r>
          </w:p>
        </w:tc>
        <w:tc>
          <w:tcPr>
            <w:tcW w:w="680" w:type="dxa"/>
          </w:tcPr>
          <w:p>
            <w:pPr>
              <w:pStyle w:val="0"/>
            </w:pPr>
            <w:r>
              <w:rPr>
                <w:sz w:val="20"/>
              </w:rPr>
              <w:t xml:space="preserve">1</w:t>
            </w:r>
          </w:p>
        </w:tc>
        <w:tc>
          <w:tcPr>
            <w:tcW w:w="680" w:type="dxa"/>
          </w:tcPr>
          <w:p>
            <w:pPr>
              <w:pStyle w:val="0"/>
            </w:pPr>
            <w:r>
              <w:rPr>
                <w:sz w:val="20"/>
              </w:rPr>
              <w:t xml:space="preserve">1,2</w:t>
            </w:r>
          </w:p>
        </w:tc>
        <w:tc>
          <w:tcPr>
            <w:tcW w:w="680" w:type="dxa"/>
          </w:tcPr>
          <w:p>
            <w:pPr>
              <w:pStyle w:val="0"/>
            </w:pPr>
            <w:r>
              <w:rPr>
                <w:sz w:val="20"/>
              </w:rPr>
              <w:t xml:space="preserve">2</w:t>
            </w:r>
          </w:p>
        </w:tc>
        <w:tc>
          <w:tcPr>
            <w:tcW w:w="680" w:type="dxa"/>
          </w:tcPr>
          <w:p>
            <w:pPr>
              <w:pStyle w:val="0"/>
            </w:pPr>
            <w:r>
              <w:rPr>
                <w:sz w:val="20"/>
              </w:rPr>
              <w:t xml:space="preserve">1,9</w:t>
            </w:r>
          </w:p>
        </w:tc>
        <w:tc>
          <w:tcPr>
            <w:tcW w:w="680" w:type="dxa"/>
          </w:tcPr>
          <w:p>
            <w:pPr>
              <w:pStyle w:val="0"/>
            </w:pPr>
            <w:r>
              <w:rPr>
                <w:sz w:val="20"/>
              </w:rPr>
              <w:t xml:space="preserve">4</w:t>
            </w:r>
          </w:p>
        </w:tc>
        <w:tc>
          <w:tcPr>
            <w:tcW w:w="680" w:type="dxa"/>
          </w:tcPr>
          <w:p>
            <w:pPr>
              <w:pStyle w:val="0"/>
            </w:pPr>
            <w:r>
              <w:rPr>
                <w:sz w:val="20"/>
              </w:rPr>
              <w:t xml:space="preserve">4,4</w:t>
            </w:r>
          </w:p>
        </w:tc>
      </w:tr>
      <w:tr>
        <w:tc>
          <w:tcPr>
            <w:tcW w:w="2211" w:type="dxa"/>
          </w:tcPr>
          <w:p>
            <w:pPr>
              <w:pStyle w:val="0"/>
            </w:pPr>
            <w:r>
              <w:rPr>
                <w:sz w:val="20"/>
              </w:rPr>
              <w:t xml:space="preserve">Злокачественные лимфомы</w:t>
            </w:r>
          </w:p>
        </w:tc>
        <w:tc>
          <w:tcPr>
            <w:tcW w:w="1191" w:type="dxa"/>
          </w:tcPr>
          <w:p>
            <w:pPr>
              <w:pStyle w:val="0"/>
            </w:pPr>
            <w:r>
              <w:rPr>
                <w:sz w:val="20"/>
              </w:rPr>
              <w:t xml:space="preserve">С81 - 86; С88; С90; С96</w:t>
            </w:r>
          </w:p>
        </w:tc>
        <w:tc>
          <w:tcPr>
            <w:tcW w:w="680" w:type="dxa"/>
          </w:tcPr>
          <w:p>
            <w:pPr>
              <w:pStyle w:val="0"/>
            </w:pPr>
            <w:r>
              <w:rPr>
                <w:sz w:val="20"/>
              </w:rPr>
              <w:t xml:space="preserve">24</w:t>
            </w:r>
          </w:p>
        </w:tc>
        <w:tc>
          <w:tcPr>
            <w:tcW w:w="680" w:type="dxa"/>
          </w:tcPr>
          <w:p>
            <w:pPr>
              <w:pStyle w:val="0"/>
            </w:pPr>
            <w:r>
              <w:rPr>
                <w:sz w:val="20"/>
              </w:rPr>
              <w:t xml:space="preserve">20,3</w:t>
            </w:r>
          </w:p>
        </w:tc>
        <w:tc>
          <w:tcPr>
            <w:tcW w:w="680" w:type="dxa"/>
          </w:tcPr>
          <w:p>
            <w:pPr>
              <w:pStyle w:val="0"/>
            </w:pPr>
            <w:r>
              <w:rPr>
                <w:sz w:val="20"/>
              </w:rPr>
              <w:t xml:space="preserve">33</w:t>
            </w:r>
          </w:p>
        </w:tc>
        <w:tc>
          <w:tcPr>
            <w:tcW w:w="680" w:type="dxa"/>
          </w:tcPr>
          <w:p>
            <w:pPr>
              <w:pStyle w:val="0"/>
            </w:pPr>
            <w:r>
              <w:rPr>
                <w:sz w:val="20"/>
              </w:rPr>
              <w:t xml:space="preserve">13,5</w:t>
            </w:r>
          </w:p>
        </w:tc>
        <w:tc>
          <w:tcPr>
            <w:tcW w:w="680" w:type="dxa"/>
          </w:tcPr>
          <w:p>
            <w:pPr>
              <w:pStyle w:val="0"/>
            </w:pPr>
            <w:r>
              <w:rPr>
                <w:sz w:val="20"/>
              </w:rPr>
              <w:t xml:space="preserve">13</w:t>
            </w:r>
          </w:p>
        </w:tc>
        <w:tc>
          <w:tcPr>
            <w:tcW w:w="680" w:type="dxa"/>
          </w:tcPr>
          <w:p>
            <w:pPr>
              <w:pStyle w:val="0"/>
            </w:pPr>
            <w:r>
              <w:rPr>
                <w:sz w:val="20"/>
              </w:rPr>
              <w:t xml:space="preserve">5,5</w:t>
            </w:r>
          </w:p>
        </w:tc>
        <w:tc>
          <w:tcPr>
            <w:tcW w:w="680" w:type="dxa"/>
          </w:tcPr>
          <w:p>
            <w:pPr>
              <w:pStyle w:val="0"/>
            </w:pPr>
            <w:r>
              <w:rPr>
                <w:sz w:val="20"/>
              </w:rPr>
              <w:t xml:space="preserve">48</w:t>
            </w:r>
          </w:p>
        </w:tc>
        <w:tc>
          <w:tcPr>
            <w:tcW w:w="680" w:type="dxa"/>
          </w:tcPr>
          <w:p>
            <w:pPr>
              <w:pStyle w:val="0"/>
            </w:pPr>
            <w:r>
              <w:rPr>
                <w:sz w:val="20"/>
              </w:rPr>
              <w:t xml:space="preserve">21,4</w:t>
            </w:r>
          </w:p>
        </w:tc>
        <w:tc>
          <w:tcPr>
            <w:tcW w:w="680" w:type="dxa"/>
          </w:tcPr>
          <w:p>
            <w:pPr>
              <w:pStyle w:val="0"/>
            </w:pPr>
            <w:r>
              <w:rPr>
                <w:sz w:val="20"/>
              </w:rPr>
              <w:t xml:space="preserve">40</w:t>
            </w:r>
          </w:p>
        </w:tc>
        <w:tc>
          <w:tcPr>
            <w:tcW w:w="680" w:type="dxa"/>
          </w:tcPr>
          <w:p>
            <w:pPr>
              <w:pStyle w:val="0"/>
            </w:pPr>
            <w:r>
              <w:rPr>
                <w:sz w:val="20"/>
              </w:rPr>
              <w:t xml:space="preserve">40,8</w:t>
            </w:r>
          </w:p>
        </w:tc>
      </w:tr>
    </w:tbl>
    <w:p>
      <w:pPr>
        <w:pStyle w:val="0"/>
        <w:ind w:firstLine="540"/>
        <w:jc w:val="both"/>
      </w:pPr>
      <w:r>
        <w:rPr>
          <w:sz w:val="20"/>
        </w:rPr>
      </w:r>
    </w:p>
    <w:p>
      <w:pPr>
        <w:pStyle w:val="0"/>
        <w:jc w:val="right"/>
      </w:pPr>
      <w:r>
        <w:rPr>
          <w:sz w:val="20"/>
        </w:rPr>
        <w:t xml:space="preserve">Таблица 26</w:t>
      </w:r>
    </w:p>
    <w:p>
      <w:pPr>
        <w:pStyle w:val="0"/>
        <w:jc w:val="right"/>
      </w:pPr>
      <w:r>
        <w:rPr>
          <w:sz w:val="20"/>
        </w:rPr>
      </w:r>
    </w:p>
    <w:p>
      <w:pPr>
        <w:pStyle w:val="0"/>
        <w:jc w:val="center"/>
      </w:pPr>
      <w:r>
        <w:rPr>
          <w:sz w:val="20"/>
        </w:rPr>
        <w:t xml:space="preserve">Летальность больных в течение первого года с момента</w:t>
      </w:r>
    </w:p>
    <w:p>
      <w:pPr>
        <w:pStyle w:val="0"/>
        <w:jc w:val="center"/>
      </w:pPr>
      <w:r>
        <w:rPr>
          <w:sz w:val="20"/>
        </w:rPr>
        <w:t xml:space="preserve">установления диагноза злокачественного новообразования</w:t>
      </w:r>
    </w:p>
    <w:p>
      <w:pPr>
        <w:pStyle w:val="0"/>
        <w:jc w:val="center"/>
      </w:pPr>
      <w:r>
        <w:rPr>
          <w:sz w:val="20"/>
        </w:rPr>
        <w:t xml:space="preserve">за период с 2018 по 2022 год (%)</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174"/>
        <w:gridCol w:w="680"/>
        <w:gridCol w:w="680"/>
        <w:gridCol w:w="680"/>
        <w:gridCol w:w="680"/>
        <w:gridCol w:w="680"/>
        <w:gridCol w:w="680"/>
        <w:gridCol w:w="680"/>
        <w:gridCol w:w="680"/>
        <w:gridCol w:w="680"/>
        <w:gridCol w:w="680"/>
      </w:tblGrid>
      <w:tr>
        <w:tc>
          <w:tcPr>
            <w:tcW w:w="2211" w:type="dxa"/>
            <w:vMerge w:val="restart"/>
          </w:tcPr>
          <w:p>
            <w:pPr>
              <w:pStyle w:val="0"/>
              <w:jc w:val="center"/>
            </w:pPr>
            <w:r>
              <w:rPr>
                <w:sz w:val="20"/>
              </w:rPr>
              <w:t xml:space="preserve">Локализация</w:t>
            </w:r>
          </w:p>
        </w:tc>
        <w:tc>
          <w:tcPr>
            <w:tcW w:w="1174" w:type="dxa"/>
            <w:vMerge w:val="restart"/>
          </w:tcPr>
          <w:p>
            <w:pPr>
              <w:pStyle w:val="0"/>
              <w:jc w:val="center"/>
            </w:pPr>
            <w:r>
              <w:rPr>
                <w:sz w:val="20"/>
              </w:rPr>
              <w:t xml:space="preserve">Код МКБ 10</w:t>
            </w:r>
          </w:p>
        </w:tc>
        <w:tc>
          <w:tcPr>
            <w:gridSpan w:val="10"/>
            <w:tcW w:w="6800" w:type="dxa"/>
          </w:tcPr>
          <w:p>
            <w:pPr>
              <w:pStyle w:val="0"/>
              <w:jc w:val="center"/>
            </w:pPr>
            <w:r>
              <w:rPr>
                <w:sz w:val="20"/>
              </w:rPr>
              <w:t xml:space="preserve">Год</w:t>
            </w:r>
          </w:p>
        </w:tc>
      </w:tr>
      <w:tr>
        <w:tc>
          <w:tcPr>
            <w:vMerge w:val="continue"/>
          </w:tcPr>
          <w:p/>
        </w:tc>
        <w:tc>
          <w:tcPr>
            <w:vMerge w:val="continue"/>
          </w:tcPr>
          <w:p/>
        </w:tc>
        <w:tc>
          <w:tcPr>
            <w:gridSpan w:val="2"/>
            <w:tcW w:w="1360" w:type="dxa"/>
          </w:tcPr>
          <w:p>
            <w:pPr>
              <w:pStyle w:val="0"/>
              <w:jc w:val="center"/>
            </w:pPr>
            <w:r>
              <w:rPr>
                <w:sz w:val="20"/>
              </w:rPr>
              <w:t xml:space="preserve">2018</w:t>
            </w:r>
          </w:p>
        </w:tc>
        <w:tc>
          <w:tcPr>
            <w:gridSpan w:val="2"/>
            <w:tcW w:w="1360" w:type="dxa"/>
          </w:tcPr>
          <w:p>
            <w:pPr>
              <w:pStyle w:val="0"/>
              <w:jc w:val="center"/>
            </w:pPr>
            <w:r>
              <w:rPr>
                <w:sz w:val="20"/>
              </w:rPr>
              <w:t xml:space="preserve">2019</w:t>
            </w:r>
          </w:p>
        </w:tc>
        <w:tc>
          <w:tcPr>
            <w:gridSpan w:val="2"/>
            <w:tcW w:w="1360" w:type="dxa"/>
          </w:tcPr>
          <w:p>
            <w:pPr>
              <w:pStyle w:val="0"/>
              <w:jc w:val="center"/>
            </w:pPr>
            <w:r>
              <w:rPr>
                <w:sz w:val="20"/>
              </w:rPr>
              <w:t xml:space="preserve">2020</w:t>
            </w:r>
          </w:p>
        </w:tc>
        <w:tc>
          <w:tcPr>
            <w:gridSpan w:val="2"/>
            <w:tcW w:w="1360" w:type="dxa"/>
          </w:tcPr>
          <w:p>
            <w:pPr>
              <w:pStyle w:val="0"/>
              <w:jc w:val="center"/>
            </w:pPr>
            <w:r>
              <w:rPr>
                <w:sz w:val="20"/>
              </w:rPr>
              <w:t xml:space="preserve">2021</w:t>
            </w:r>
          </w:p>
        </w:tc>
        <w:tc>
          <w:tcPr>
            <w:gridSpan w:val="2"/>
            <w:tcW w:w="1360" w:type="dxa"/>
          </w:tcPr>
          <w:p>
            <w:pPr>
              <w:pStyle w:val="0"/>
              <w:jc w:val="center"/>
            </w:pPr>
            <w:r>
              <w:rPr>
                <w:sz w:val="20"/>
              </w:rPr>
              <w:t xml:space="preserve">2022</w:t>
            </w:r>
          </w:p>
        </w:tc>
      </w:tr>
      <w:tr>
        <w:tc>
          <w:tcPr>
            <w:vMerge w:val="continue"/>
          </w:tcPr>
          <w:p/>
        </w:tc>
        <w:tc>
          <w:tcPr>
            <w:vMerge w:val="continue"/>
          </w:tcPr>
          <w:p/>
        </w:tc>
        <w:tc>
          <w:tcPr>
            <w:tcW w:w="680" w:type="dxa"/>
          </w:tcPr>
          <w:p>
            <w:pPr>
              <w:pStyle w:val="0"/>
              <w:jc w:val="center"/>
            </w:pPr>
            <w:r>
              <w:rPr>
                <w:sz w:val="20"/>
              </w:rPr>
              <w:t xml:space="preserve">абс.</w:t>
            </w:r>
          </w:p>
        </w:tc>
        <w:tc>
          <w:tcPr>
            <w:tcW w:w="680" w:type="dxa"/>
          </w:tcPr>
          <w:p>
            <w:pPr>
              <w:pStyle w:val="0"/>
              <w:jc w:val="center"/>
            </w:pPr>
            <w:r>
              <w:rPr>
                <w:sz w:val="20"/>
              </w:rPr>
              <w:t xml:space="preserve">%</w:t>
            </w:r>
          </w:p>
        </w:tc>
        <w:tc>
          <w:tcPr>
            <w:tcW w:w="680" w:type="dxa"/>
          </w:tcPr>
          <w:p>
            <w:pPr>
              <w:pStyle w:val="0"/>
              <w:jc w:val="center"/>
            </w:pPr>
            <w:r>
              <w:rPr>
                <w:sz w:val="20"/>
              </w:rPr>
              <w:t xml:space="preserve">абс.</w:t>
            </w:r>
          </w:p>
        </w:tc>
        <w:tc>
          <w:tcPr>
            <w:tcW w:w="680" w:type="dxa"/>
          </w:tcPr>
          <w:p>
            <w:pPr>
              <w:pStyle w:val="0"/>
              <w:jc w:val="center"/>
            </w:pPr>
            <w:r>
              <w:rPr>
                <w:sz w:val="20"/>
              </w:rPr>
              <w:t xml:space="preserve">%</w:t>
            </w:r>
          </w:p>
        </w:tc>
        <w:tc>
          <w:tcPr>
            <w:tcW w:w="680" w:type="dxa"/>
          </w:tcPr>
          <w:p>
            <w:pPr>
              <w:pStyle w:val="0"/>
              <w:jc w:val="center"/>
            </w:pPr>
            <w:r>
              <w:rPr>
                <w:sz w:val="20"/>
              </w:rPr>
              <w:t xml:space="preserve">абс.</w:t>
            </w:r>
          </w:p>
        </w:tc>
        <w:tc>
          <w:tcPr>
            <w:tcW w:w="680" w:type="dxa"/>
          </w:tcPr>
          <w:p>
            <w:pPr>
              <w:pStyle w:val="0"/>
              <w:jc w:val="center"/>
            </w:pPr>
            <w:r>
              <w:rPr>
                <w:sz w:val="20"/>
              </w:rPr>
              <w:t xml:space="preserve">%</w:t>
            </w:r>
          </w:p>
        </w:tc>
        <w:tc>
          <w:tcPr>
            <w:tcW w:w="680" w:type="dxa"/>
          </w:tcPr>
          <w:p>
            <w:pPr>
              <w:pStyle w:val="0"/>
              <w:jc w:val="center"/>
            </w:pPr>
            <w:r>
              <w:rPr>
                <w:sz w:val="20"/>
              </w:rPr>
              <w:t xml:space="preserve">абс.</w:t>
            </w:r>
          </w:p>
        </w:tc>
        <w:tc>
          <w:tcPr>
            <w:tcW w:w="680" w:type="dxa"/>
          </w:tcPr>
          <w:p>
            <w:pPr>
              <w:pStyle w:val="0"/>
              <w:jc w:val="center"/>
            </w:pPr>
            <w:r>
              <w:rPr>
                <w:sz w:val="20"/>
              </w:rPr>
              <w:t xml:space="preserve">%</w:t>
            </w:r>
          </w:p>
        </w:tc>
        <w:tc>
          <w:tcPr>
            <w:tcW w:w="680" w:type="dxa"/>
          </w:tcPr>
          <w:p>
            <w:pPr>
              <w:pStyle w:val="0"/>
              <w:jc w:val="center"/>
            </w:pPr>
            <w:r>
              <w:rPr>
                <w:sz w:val="20"/>
              </w:rPr>
              <w:t xml:space="preserve">абс.</w:t>
            </w:r>
          </w:p>
        </w:tc>
        <w:tc>
          <w:tcPr>
            <w:tcW w:w="680" w:type="dxa"/>
          </w:tcPr>
          <w:p>
            <w:pPr>
              <w:pStyle w:val="0"/>
              <w:jc w:val="center"/>
            </w:pPr>
            <w:r>
              <w:rPr>
                <w:sz w:val="20"/>
              </w:rPr>
              <w:t xml:space="preserve">%</w:t>
            </w:r>
          </w:p>
        </w:tc>
      </w:tr>
      <w:tr>
        <w:tc>
          <w:tcPr>
            <w:tcW w:w="2211" w:type="dxa"/>
          </w:tcPr>
          <w:p>
            <w:pPr>
              <w:pStyle w:val="0"/>
            </w:pPr>
            <w:r>
              <w:rPr>
                <w:sz w:val="20"/>
              </w:rPr>
              <w:t xml:space="preserve">Все злокачественные новообразования</w:t>
            </w:r>
          </w:p>
        </w:tc>
        <w:tc>
          <w:tcPr>
            <w:tcW w:w="1174" w:type="dxa"/>
          </w:tcPr>
          <w:p>
            <w:pPr>
              <w:pStyle w:val="0"/>
            </w:pPr>
            <w:r>
              <w:rPr>
                <w:sz w:val="20"/>
              </w:rPr>
              <w:t xml:space="preserve">С 00 - 96</w:t>
            </w:r>
          </w:p>
        </w:tc>
        <w:tc>
          <w:tcPr>
            <w:tcW w:w="680" w:type="dxa"/>
          </w:tcPr>
          <w:p>
            <w:pPr>
              <w:pStyle w:val="0"/>
            </w:pPr>
            <w:r>
              <w:rPr>
                <w:sz w:val="20"/>
              </w:rPr>
              <w:t xml:space="preserve">948</w:t>
            </w:r>
          </w:p>
        </w:tc>
        <w:tc>
          <w:tcPr>
            <w:tcW w:w="680" w:type="dxa"/>
          </w:tcPr>
          <w:p>
            <w:pPr>
              <w:pStyle w:val="0"/>
            </w:pPr>
            <w:r>
              <w:rPr>
                <w:sz w:val="20"/>
              </w:rPr>
              <w:t xml:space="preserve">22,3</w:t>
            </w:r>
          </w:p>
        </w:tc>
        <w:tc>
          <w:tcPr>
            <w:tcW w:w="680" w:type="dxa"/>
          </w:tcPr>
          <w:p>
            <w:pPr>
              <w:pStyle w:val="0"/>
            </w:pPr>
            <w:r>
              <w:rPr>
                <w:sz w:val="20"/>
              </w:rPr>
              <w:t xml:space="preserve">977</w:t>
            </w:r>
          </w:p>
        </w:tc>
        <w:tc>
          <w:tcPr>
            <w:tcW w:w="680" w:type="dxa"/>
          </w:tcPr>
          <w:p>
            <w:pPr>
              <w:pStyle w:val="0"/>
            </w:pPr>
            <w:r>
              <w:rPr>
                <w:sz w:val="20"/>
              </w:rPr>
              <w:t xml:space="preserve">22,7</w:t>
            </w:r>
          </w:p>
        </w:tc>
        <w:tc>
          <w:tcPr>
            <w:tcW w:w="680" w:type="dxa"/>
          </w:tcPr>
          <w:p>
            <w:pPr>
              <w:pStyle w:val="0"/>
            </w:pPr>
            <w:r>
              <w:rPr>
                <w:sz w:val="20"/>
              </w:rPr>
              <w:t xml:space="preserve">975</w:t>
            </w:r>
          </w:p>
        </w:tc>
        <w:tc>
          <w:tcPr>
            <w:tcW w:w="680" w:type="dxa"/>
          </w:tcPr>
          <w:p>
            <w:pPr>
              <w:pStyle w:val="0"/>
            </w:pPr>
            <w:r>
              <w:rPr>
                <w:sz w:val="20"/>
              </w:rPr>
              <w:t xml:space="preserve">21</w:t>
            </w:r>
          </w:p>
        </w:tc>
        <w:tc>
          <w:tcPr>
            <w:tcW w:w="680" w:type="dxa"/>
          </w:tcPr>
          <w:p>
            <w:pPr>
              <w:pStyle w:val="0"/>
            </w:pPr>
            <w:r>
              <w:rPr>
                <w:sz w:val="20"/>
              </w:rPr>
              <w:t xml:space="preserve">741</w:t>
            </w:r>
          </w:p>
        </w:tc>
        <w:tc>
          <w:tcPr>
            <w:tcW w:w="680" w:type="dxa"/>
          </w:tcPr>
          <w:p>
            <w:pPr>
              <w:pStyle w:val="0"/>
            </w:pPr>
            <w:r>
              <w:rPr>
                <w:sz w:val="20"/>
              </w:rPr>
              <w:t xml:space="preserve">20,1</w:t>
            </w:r>
          </w:p>
        </w:tc>
        <w:tc>
          <w:tcPr>
            <w:tcW w:w="680" w:type="dxa"/>
          </w:tcPr>
          <w:p>
            <w:pPr>
              <w:pStyle w:val="0"/>
            </w:pPr>
            <w:r>
              <w:rPr>
                <w:sz w:val="20"/>
              </w:rPr>
              <w:t xml:space="preserve">764</w:t>
            </w:r>
          </w:p>
        </w:tc>
        <w:tc>
          <w:tcPr>
            <w:tcW w:w="680" w:type="dxa"/>
          </w:tcPr>
          <w:p>
            <w:pPr>
              <w:pStyle w:val="0"/>
            </w:pPr>
            <w:r>
              <w:rPr>
                <w:sz w:val="20"/>
              </w:rPr>
              <w:t xml:space="preserve">17,5</w:t>
            </w:r>
          </w:p>
        </w:tc>
      </w:tr>
      <w:tr>
        <w:tc>
          <w:tcPr>
            <w:tcW w:w="2211" w:type="dxa"/>
          </w:tcPr>
          <w:p>
            <w:pPr>
              <w:pStyle w:val="0"/>
            </w:pPr>
            <w:r>
              <w:rPr>
                <w:sz w:val="20"/>
              </w:rPr>
              <w:t xml:space="preserve">Губа</w:t>
            </w:r>
          </w:p>
        </w:tc>
        <w:tc>
          <w:tcPr>
            <w:tcW w:w="1174" w:type="dxa"/>
          </w:tcPr>
          <w:p>
            <w:pPr>
              <w:pStyle w:val="0"/>
            </w:pPr>
            <w:r>
              <w:rPr>
                <w:sz w:val="20"/>
              </w:rPr>
              <w:t xml:space="preserve">С 00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w:t>
            </w:r>
          </w:p>
        </w:tc>
        <w:tc>
          <w:tcPr>
            <w:tcW w:w="680" w:type="dxa"/>
          </w:tcPr>
          <w:p>
            <w:pPr>
              <w:pStyle w:val="0"/>
            </w:pPr>
            <w:r>
              <w:rPr>
                <w:sz w:val="20"/>
              </w:rPr>
              <w:t xml:space="preserve">0,0</w:t>
            </w:r>
          </w:p>
        </w:tc>
      </w:tr>
      <w:tr>
        <w:tc>
          <w:tcPr>
            <w:tcW w:w="2211" w:type="dxa"/>
          </w:tcPr>
          <w:p>
            <w:pPr>
              <w:pStyle w:val="0"/>
            </w:pPr>
            <w:r>
              <w:rPr>
                <w:sz w:val="20"/>
              </w:rPr>
              <w:t xml:space="preserve">Полость рта</w:t>
            </w:r>
          </w:p>
        </w:tc>
        <w:tc>
          <w:tcPr>
            <w:tcW w:w="1174" w:type="dxa"/>
          </w:tcPr>
          <w:p>
            <w:pPr>
              <w:pStyle w:val="0"/>
            </w:pPr>
            <w:r>
              <w:rPr>
                <w:sz w:val="20"/>
              </w:rPr>
              <w:t xml:space="preserve">С 01 - 09; 46,2</w:t>
            </w:r>
          </w:p>
        </w:tc>
        <w:tc>
          <w:tcPr>
            <w:tcW w:w="680" w:type="dxa"/>
          </w:tcPr>
          <w:p>
            <w:pPr>
              <w:pStyle w:val="0"/>
            </w:pPr>
            <w:r>
              <w:rPr>
                <w:sz w:val="20"/>
              </w:rPr>
              <w:t xml:space="preserve">16</w:t>
            </w:r>
          </w:p>
        </w:tc>
        <w:tc>
          <w:tcPr>
            <w:tcW w:w="680" w:type="dxa"/>
          </w:tcPr>
          <w:p>
            <w:pPr>
              <w:pStyle w:val="0"/>
            </w:pPr>
            <w:r>
              <w:rPr>
                <w:sz w:val="20"/>
              </w:rPr>
              <w:t xml:space="preserve">34</w:t>
            </w:r>
          </w:p>
        </w:tc>
        <w:tc>
          <w:tcPr>
            <w:tcW w:w="680" w:type="dxa"/>
          </w:tcPr>
          <w:p>
            <w:pPr>
              <w:pStyle w:val="0"/>
            </w:pPr>
            <w:r>
              <w:rPr>
                <w:sz w:val="20"/>
              </w:rPr>
              <w:t xml:space="preserve">20</w:t>
            </w:r>
          </w:p>
        </w:tc>
        <w:tc>
          <w:tcPr>
            <w:tcW w:w="680" w:type="dxa"/>
          </w:tcPr>
          <w:p>
            <w:pPr>
              <w:pStyle w:val="0"/>
            </w:pPr>
            <w:r>
              <w:rPr>
                <w:sz w:val="20"/>
              </w:rPr>
              <w:t xml:space="preserve">33,9</w:t>
            </w:r>
          </w:p>
        </w:tc>
        <w:tc>
          <w:tcPr>
            <w:tcW w:w="680" w:type="dxa"/>
          </w:tcPr>
          <w:p>
            <w:pPr>
              <w:pStyle w:val="0"/>
            </w:pPr>
            <w:r>
              <w:rPr>
                <w:sz w:val="20"/>
              </w:rPr>
              <w:t xml:space="preserve">22</w:t>
            </w:r>
          </w:p>
        </w:tc>
        <w:tc>
          <w:tcPr>
            <w:tcW w:w="680" w:type="dxa"/>
          </w:tcPr>
          <w:p>
            <w:pPr>
              <w:pStyle w:val="0"/>
            </w:pPr>
            <w:r>
              <w:rPr>
                <w:sz w:val="20"/>
              </w:rPr>
              <w:t xml:space="preserve">28,2</w:t>
            </w:r>
          </w:p>
        </w:tc>
        <w:tc>
          <w:tcPr>
            <w:tcW w:w="680" w:type="dxa"/>
          </w:tcPr>
          <w:p>
            <w:pPr>
              <w:pStyle w:val="0"/>
            </w:pPr>
            <w:r>
              <w:rPr>
                <w:sz w:val="20"/>
              </w:rPr>
              <w:t xml:space="preserve">12</w:t>
            </w:r>
          </w:p>
        </w:tc>
        <w:tc>
          <w:tcPr>
            <w:tcW w:w="680" w:type="dxa"/>
          </w:tcPr>
          <w:p>
            <w:pPr>
              <w:pStyle w:val="0"/>
            </w:pPr>
            <w:r>
              <w:rPr>
                <w:sz w:val="20"/>
              </w:rPr>
              <w:t xml:space="preserve">18,5</w:t>
            </w:r>
          </w:p>
        </w:tc>
        <w:tc>
          <w:tcPr>
            <w:tcW w:w="680" w:type="dxa"/>
          </w:tcPr>
          <w:p>
            <w:pPr>
              <w:pStyle w:val="0"/>
            </w:pPr>
            <w:r>
              <w:rPr>
                <w:sz w:val="20"/>
              </w:rPr>
              <w:t xml:space="preserve">16</w:t>
            </w:r>
          </w:p>
        </w:tc>
        <w:tc>
          <w:tcPr>
            <w:tcW w:w="680" w:type="dxa"/>
          </w:tcPr>
          <w:p>
            <w:pPr>
              <w:pStyle w:val="0"/>
            </w:pPr>
            <w:r>
              <w:rPr>
                <w:sz w:val="20"/>
              </w:rPr>
              <w:t xml:space="preserve">17,2</w:t>
            </w:r>
          </w:p>
        </w:tc>
      </w:tr>
      <w:tr>
        <w:tc>
          <w:tcPr>
            <w:tcW w:w="2211" w:type="dxa"/>
          </w:tcPr>
          <w:p>
            <w:pPr>
              <w:pStyle w:val="0"/>
            </w:pPr>
            <w:r>
              <w:rPr>
                <w:sz w:val="20"/>
              </w:rPr>
              <w:t xml:space="preserve">Глотка</w:t>
            </w:r>
          </w:p>
        </w:tc>
        <w:tc>
          <w:tcPr>
            <w:tcW w:w="1174" w:type="dxa"/>
          </w:tcPr>
          <w:p>
            <w:pPr>
              <w:pStyle w:val="0"/>
            </w:pPr>
            <w:r>
              <w:rPr>
                <w:sz w:val="20"/>
              </w:rPr>
              <w:t xml:space="preserve">С 10 - 13</w:t>
            </w:r>
          </w:p>
        </w:tc>
        <w:tc>
          <w:tcPr>
            <w:tcW w:w="680" w:type="dxa"/>
          </w:tcPr>
          <w:p>
            <w:pPr>
              <w:pStyle w:val="0"/>
            </w:pPr>
            <w:r>
              <w:rPr>
                <w:sz w:val="20"/>
              </w:rPr>
              <w:t xml:space="preserve">8</w:t>
            </w:r>
          </w:p>
        </w:tc>
        <w:tc>
          <w:tcPr>
            <w:tcW w:w="680" w:type="dxa"/>
          </w:tcPr>
          <w:p>
            <w:pPr>
              <w:pStyle w:val="0"/>
            </w:pPr>
            <w:r>
              <w:rPr>
                <w:sz w:val="20"/>
              </w:rPr>
              <w:t xml:space="preserve">30,8</w:t>
            </w:r>
          </w:p>
        </w:tc>
        <w:tc>
          <w:tcPr>
            <w:tcW w:w="680" w:type="dxa"/>
          </w:tcPr>
          <w:p>
            <w:pPr>
              <w:pStyle w:val="0"/>
            </w:pPr>
            <w:r>
              <w:rPr>
                <w:sz w:val="20"/>
              </w:rPr>
              <w:t xml:space="preserve">11</w:t>
            </w:r>
          </w:p>
        </w:tc>
        <w:tc>
          <w:tcPr>
            <w:tcW w:w="680" w:type="dxa"/>
          </w:tcPr>
          <w:p>
            <w:pPr>
              <w:pStyle w:val="0"/>
            </w:pPr>
            <w:r>
              <w:rPr>
                <w:sz w:val="20"/>
              </w:rPr>
              <w:t xml:space="preserve">39,3</w:t>
            </w:r>
          </w:p>
        </w:tc>
        <w:tc>
          <w:tcPr>
            <w:tcW w:w="680" w:type="dxa"/>
          </w:tcPr>
          <w:p>
            <w:pPr>
              <w:pStyle w:val="0"/>
            </w:pPr>
            <w:r>
              <w:rPr>
                <w:sz w:val="20"/>
              </w:rPr>
              <w:t xml:space="preserve">12</w:t>
            </w:r>
          </w:p>
        </w:tc>
        <w:tc>
          <w:tcPr>
            <w:tcW w:w="680" w:type="dxa"/>
          </w:tcPr>
          <w:p>
            <w:pPr>
              <w:pStyle w:val="0"/>
            </w:pPr>
            <w:r>
              <w:rPr>
                <w:sz w:val="20"/>
              </w:rPr>
              <w:t xml:space="preserve">41,4</w:t>
            </w:r>
          </w:p>
        </w:tc>
        <w:tc>
          <w:tcPr>
            <w:tcW w:w="680" w:type="dxa"/>
          </w:tcPr>
          <w:p>
            <w:pPr>
              <w:pStyle w:val="0"/>
            </w:pPr>
            <w:r>
              <w:rPr>
                <w:sz w:val="20"/>
              </w:rPr>
              <w:t xml:space="preserve">7</w:t>
            </w:r>
          </w:p>
        </w:tc>
        <w:tc>
          <w:tcPr>
            <w:tcW w:w="680" w:type="dxa"/>
          </w:tcPr>
          <w:p>
            <w:pPr>
              <w:pStyle w:val="0"/>
            </w:pPr>
            <w:r>
              <w:rPr>
                <w:sz w:val="20"/>
              </w:rPr>
              <w:t xml:space="preserve">33,3</w:t>
            </w:r>
          </w:p>
        </w:tc>
        <w:tc>
          <w:tcPr>
            <w:tcW w:w="680" w:type="dxa"/>
          </w:tcPr>
          <w:p>
            <w:pPr>
              <w:pStyle w:val="0"/>
            </w:pPr>
            <w:r>
              <w:rPr>
                <w:sz w:val="20"/>
              </w:rPr>
              <w:t xml:space="preserve">5</w:t>
            </w:r>
          </w:p>
        </w:tc>
        <w:tc>
          <w:tcPr>
            <w:tcW w:w="680" w:type="dxa"/>
          </w:tcPr>
          <w:p>
            <w:pPr>
              <w:pStyle w:val="0"/>
            </w:pPr>
            <w:r>
              <w:rPr>
                <w:sz w:val="20"/>
              </w:rPr>
              <w:t xml:space="preserve">38,5</w:t>
            </w:r>
          </w:p>
        </w:tc>
      </w:tr>
      <w:tr>
        <w:tc>
          <w:tcPr>
            <w:tcW w:w="2211" w:type="dxa"/>
          </w:tcPr>
          <w:p>
            <w:pPr>
              <w:pStyle w:val="0"/>
            </w:pPr>
            <w:r>
              <w:rPr>
                <w:sz w:val="20"/>
              </w:rPr>
              <w:t xml:space="preserve">Пищевод</w:t>
            </w:r>
          </w:p>
        </w:tc>
        <w:tc>
          <w:tcPr>
            <w:tcW w:w="1174" w:type="dxa"/>
          </w:tcPr>
          <w:p>
            <w:pPr>
              <w:pStyle w:val="0"/>
            </w:pPr>
            <w:r>
              <w:rPr>
                <w:sz w:val="20"/>
              </w:rPr>
              <w:t xml:space="preserve">С 15</w:t>
            </w:r>
          </w:p>
        </w:tc>
        <w:tc>
          <w:tcPr>
            <w:tcW w:w="680" w:type="dxa"/>
          </w:tcPr>
          <w:p>
            <w:pPr>
              <w:pStyle w:val="0"/>
            </w:pPr>
            <w:r>
              <w:rPr>
                <w:sz w:val="20"/>
              </w:rPr>
              <w:t xml:space="preserve">23</w:t>
            </w:r>
          </w:p>
        </w:tc>
        <w:tc>
          <w:tcPr>
            <w:tcW w:w="680" w:type="dxa"/>
          </w:tcPr>
          <w:p>
            <w:pPr>
              <w:pStyle w:val="0"/>
            </w:pPr>
            <w:r>
              <w:rPr>
                <w:sz w:val="20"/>
              </w:rPr>
              <w:t xml:space="preserve">44,2</w:t>
            </w:r>
          </w:p>
        </w:tc>
        <w:tc>
          <w:tcPr>
            <w:tcW w:w="680" w:type="dxa"/>
          </w:tcPr>
          <w:p>
            <w:pPr>
              <w:pStyle w:val="0"/>
            </w:pPr>
            <w:r>
              <w:rPr>
                <w:sz w:val="20"/>
              </w:rPr>
              <w:t xml:space="preserve">26</w:t>
            </w:r>
          </w:p>
        </w:tc>
        <w:tc>
          <w:tcPr>
            <w:tcW w:w="680" w:type="dxa"/>
          </w:tcPr>
          <w:p>
            <w:pPr>
              <w:pStyle w:val="0"/>
            </w:pPr>
            <w:r>
              <w:rPr>
                <w:sz w:val="20"/>
              </w:rPr>
              <w:t xml:space="preserve">53,1</w:t>
            </w:r>
          </w:p>
        </w:tc>
        <w:tc>
          <w:tcPr>
            <w:tcW w:w="680" w:type="dxa"/>
          </w:tcPr>
          <w:p>
            <w:pPr>
              <w:pStyle w:val="0"/>
            </w:pPr>
            <w:r>
              <w:rPr>
                <w:sz w:val="20"/>
              </w:rPr>
              <w:t xml:space="preserve">33</w:t>
            </w:r>
          </w:p>
        </w:tc>
        <w:tc>
          <w:tcPr>
            <w:tcW w:w="680" w:type="dxa"/>
          </w:tcPr>
          <w:p>
            <w:pPr>
              <w:pStyle w:val="0"/>
            </w:pPr>
            <w:r>
              <w:rPr>
                <w:sz w:val="20"/>
              </w:rPr>
              <w:t xml:space="preserve">50,8</w:t>
            </w:r>
          </w:p>
        </w:tc>
        <w:tc>
          <w:tcPr>
            <w:tcW w:w="680" w:type="dxa"/>
          </w:tcPr>
          <w:p>
            <w:pPr>
              <w:pStyle w:val="0"/>
            </w:pPr>
            <w:r>
              <w:rPr>
                <w:sz w:val="20"/>
              </w:rPr>
              <w:t xml:space="preserve">26</w:t>
            </w:r>
          </w:p>
        </w:tc>
        <w:tc>
          <w:tcPr>
            <w:tcW w:w="680" w:type="dxa"/>
          </w:tcPr>
          <w:p>
            <w:pPr>
              <w:pStyle w:val="0"/>
            </w:pPr>
            <w:r>
              <w:rPr>
                <w:sz w:val="20"/>
              </w:rPr>
              <w:t xml:space="preserve">48,1</w:t>
            </w:r>
          </w:p>
        </w:tc>
        <w:tc>
          <w:tcPr>
            <w:tcW w:w="680" w:type="dxa"/>
          </w:tcPr>
          <w:p>
            <w:pPr>
              <w:pStyle w:val="0"/>
            </w:pPr>
            <w:r>
              <w:rPr>
                <w:sz w:val="20"/>
              </w:rPr>
              <w:t xml:space="preserve">19</w:t>
            </w:r>
          </w:p>
        </w:tc>
        <w:tc>
          <w:tcPr>
            <w:tcW w:w="680" w:type="dxa"/>
          </w:tcPr>
          <w:p>
            <w:pPr>
              <w:pStyle w:val="0"/>
            </w:pPr>
            <w:r>
              <w:rPr>
                <w:sz w:val="20"/>
              </w:rPr>
              <w:t xml:space="preserve">31,1</w:t>
            </w:r>
          </w:p>
        </w:tc>
      </w:tr>
      <w:tr>
        <w:tc>
          <w:tcPr>
            <w:tcW w:w="2211" w:type="dxa"/>
          </w:tcPr>
          <w:p>
            <w:pPr>
              <w:pStyle w:val="0"/>
            </w:pPr>
            <w:r>
              <w:rPr>
                <w:sz w:val="20"/>
              </w:rPr>
              <w:t xml:space="preserve">Желудок</w:t>
            </w:r>
          </w:p>
        </w:tc>
        <w:tc>
          <w:tcPr>
            <w:tcW w:w="1174" w:type="dxa"/>
          </w:tcPr>
          <w:p>
            <w:pPr>
              <w:pStyle w:val="0"/>
            </w:pPr>
            <w:r>
              <w:rPr>
                <w:sz w:val="20"/>
              </w:rPr>
              <w:t xml:space="preserve">С 16</w:t>
            </w:r>
          </w:p>
        </w:tc>
        <w:tc>
          <w:tcPr>
            <w:tcW w:w="680" w:type="dxa"/>
          </w:tcPr>
          <w:p>
            <w:pPr>
              <w:pStyle w:val="0"/>
            </w:pPr>
            <w:r>
              <w:rPr>
                <w:sz w:val="20"/>
              </w:rPr>
              <w:t xml:space="preserve">116</w:t>
            </w:r>
          </w:p>
        </w:tc>
        <w:tc>
          <w:tcPr>
            <w:tcW w:w="680" w:type="dxa"/>
          </w:tcPr>
          <w:p>
            <w:pPr>
              <w:pStyle w:val="0"/>
            </w:pPr>
            <w:r>
              <w:rPr>
                <w:sz w:val="20"/>
              </w:rPr>
              <w:t xml:space="preserve">45</w:t>
            </w:r>
          </w:p>
        </w:tc>
        <w:tc>
          <w:tcPr>
            <w:tcW w:w="680" w:type="dxa"/>
          </w:tcPr>
          <w:p>
            <w:pPr>
              <w:pStyle w:val="0"/>
            </w:pPr>
            <w:r>
              <w:rPr>
                <w:sz w:val="20"/>
              </w:rPr>
              <w:t xml:space="preserve">105</w:t>
            </w:r>
          </w:p>
        </w:tc>
        <w:tc>
          <w:tcPr>
            <w:tcW w:w="680" w:type="dxa"/>
          </w:tcPr>
          <w:p>
            <w:pPr>
              <w:pStyle w:val="0"/>
            </w:pPr>
            <w:r>
              <w:rPr>
                <w:sz w:val="20"/>
              </w:rPr>
              <w:t xml:space="preserve">45,5</w:t>
            </w:r>
          </w:p>
        </w:tc>
        <w:tc>
          <w:tcPr>
            <w:tcW w:w="680" w:type="dxa"/>
          </w:tcPr>
          <w:p>
            <w:pPr>
              <w:pStyle w:val="0"/>
            </w:pPr>
            <w:r>
              <w:rPr>
                <w:sz w:val="20"/>
              </w:rPr>
              <w:t xml:space="preserve">113</w:t>
            </w:r>
          </w:p>
        </w:tc>
        <w:tc>
          <w:tcPr>
            <w:tcW w:w="680" w:type="dxa"/>
          </w:tcPr>
          <w:p>
            <w:pPr>
              <w:pStyle w:val="0"/>
            </w:pPr>
            <w:r>
              <w:rPr>
                <w:sz w:val="20"/>
              </w:rPr>
              <w:t xml:space="preserve">42,3</w:t>
            </w:r>
          </w:p>
        </w:tc>
        <w:tc>
          <w:tcPr>
            <w:tcW w:w="680" w:type="dxa"/>
          </w:tcPr>
          <w:p>
            <w:pPr>
              <w:pStyle w:val="0"/>
            </w:pPr>
            <w:r>
              <w:rPr>
                <w:sz w:val="20"/>
              </w:rPr>
              <w:t xml:space="preserve">73</w:t>
            </w:r>
          </w:p>
        </w:tc>
        <w:tc>
          <w:tcPr>
            <w:tcW w:w="680" w:type="dxa"/>
          </w:tcPr>
          <w:p>
            <w:pPr>
              <w:pStyle w:val="0"/>
            </w:pPr>
            <w:r>
              <w:rPr>
                <w:sz w:val="20"/>
              </w:rPr>
              <w:t xml:space="preserve">37,4</w:t>
            </w:r>
          </w:p>
        </w:tc>
        <w:tc>
          <w:tcPr>
            <w:tcW w:w="680" w:type="dxa"/>
          </w:tcPr>
          <w:p>
            <w:pPr>
              <w:pStyle w:val="0"/>
            </w:pPr>
            <w:r>
              <w:rPr>
                <w:sz w:val="20"/>
              </w:rPr>
              <w:t xml:space="preserve">80</w:t>
            </w:r>
          </w:p>
        </w:tc>
        <w:tc>
          <w:tcPr>
            <w:tcW w:w="680" w:type="dxa"/>
          </w:tcPr>
          <w:p>
            <w:pPr>
              <w:pStyle w:val="0"/>
            </w:pPr>
            <w:r>
              <w:rPr>
                <w:sz w:val="20"/>
              </w:rPr>
              <w:t xml:space="preserve">34,0</w:t>
            </w:r>
          </w:p>
        </w:tc>
      </w:tr>
      <w:tr>
        <w:tc>
          <w:tcPr>
            <w:tcW w:w="2211" w:type="dxa"/>
          </w:tcPr>
          <w:p>
            <w:pPr>
              <w:pStyle w:val="0"/>
            </w:pPr>
            <w:r>
              <w:rPr>
                <w:sz w:val="20"/>
              </w:rPr>
              <w:t xml:space="preserve">Ободочная кишка</w:t>
            </w:r>
          </w:p>
        </w:tc>
        <w:tc>
          <w:tcPr>
            <w:tcW w:w="1174" w:type="dxa"/>
          </w:tcPr>
          <w:p>
            <w:pPr>
              <w:pStyle w:val="0"/>
            </w:pPr>
            <w:r>
              <w:rPr>
                <w:sz w:val="20"/>
              </w:rPr>
              <w:t xml:space="preserve">С 18</w:t>
            </w:r>
          </w:p>
        </w:tc>
        <w:tc>
          <w:tcPr>
            <w:tcW w:w="680" w:type="dxa"/>
          </w:tcPr>
          <w:p>
            <w:pPr>
              <w:pStyle w:val="0"/>
            </w:pPr>
            <w:r>
              <w:rPr>
                <w:sz w:val="20"/>
              </w:rPr>
              <w:t xml:space="preserve">58</w:t>
            </w:r>
          </w:p>
        </w:tc>
        <w:tc>
          <w:tcPr>
            <w:tcW w:w="680" w:type="dxa"/>
          </w:tcPr>
          <w:p>
            <w:pPr>
              <w:pStyle w:val="0"/>
            </w:pPr>
            <w:r>
              <w:rPr>
                <w:sz w:val="20"/>
              </w:rPr>
              <w:t xml:space="preserve">19,5</w:t>
            </w:r>
          </w:p>
        </w:tc>
        <w:tc>
          <w:tcPr>
            <w:tcW w:w="680" w:type="dxa"/>
          </w:tcPr>
          <w:p>
            <w:pPr>
              <w:pStyle w:val="0"/>
            </w:pPr>
            <w:r>
              <w:rPr>
                <w:sz w:val="20"/>
              </w:rPr>
              <w:t xml:space="preserve">61</w:t>
            </w:r>
          </w:p>
        </w:tc>
        <w:tc>
          <w:tcPr>
            <w:tcW w:w="680" w:type="dxa"/>
          </w:tcPr>
          <w:p>
            <w:pPr>
              <w:pStyle w:val="0"/>
            </w:pPr>
            <w:r>
              <w:rPr>
                <w:sz w:val="20"/>
              </w:rPr>
              <w:t xml:space="preserve">18,8</w:t>
            </w:r>
          </w:p>
        </w:tc>
        <w:tc>
          <w:tcPr>
            <w:tcW w:w="680" w:type="dxa"/>
          </w:tcPr>
          <w:p>
            <w:pPr>
              <w:pStyle w:val="0"/>
            </w:pPr>
            <w:r>
              <w:rPr>
                <w:sz w:val="20"/>
              </w:rPr>
              <w:t xml:space="preserve">53</w:t>
            </w:r>
          </w:p>
        </w:tc>
        <w:tc>
          <w:tcPr>
            <w:tcW w:w="680" w:type="dxa"/>
          </w:tcPr>
          <w:p>
            <w:pPr>
              <w:pStyle w:val="0"/>
            </w:pPr>
            <w:r>
              <w:rPr>
                <w:sz w:val="20"/>
              </w:rPr>
              <w:t xml:space="preserve">16,2</w:t>
            </w:r>
          </w:p>
        </w:tc>
        <w:tc>
          <w:tcPr>
            <w:tcW w:w="680" w:type="dxa"/>
          </w:tcPr>
          <w:p>
            <w:pPr>
              <w:pStyle w:val="0"/>
            </w:pPr>
            <w:r>
              <w:rPr>
                <w:sz w:val="20"/>
              </w:rPr>
              <w:t xml:space="preserve">69</w:t>
            </w:r>
          </w:p>
        </w:tc>
        <w:tc>
          <w:tcPr>
            <w:tcW w:w="680" w:type="dxa"/>
          </w:tcPr>
          <w:p>
            <w:pPr>
              <w:pStyle w:val="0"/>
            </w:pPr>
            <w:r>
              <w:rPr>
                <w:sz w:val="20"/>
              </w:rPr>
              <w:t xml:space="preserve">25,1</w:t>
            </w:r>
          </w:p>
        </w:tc>
        <w:tc>
          <w:tcPr>
            <w:tcW w:w="680" w:type="dxa"/>
          </w:tcPr>
          <w:p>
            <w:pPr>
              <w:pStyle w:val="0"/>
            </w:pPr>
            <w:r>
              <w:rPr>
                <w:sz w:val="20"/>
              </w:rPr>
              <w:t xml:space="preserve">55</w:t>
            </w:r>
          </w:p>
        </w:tc>
        <w:tc>
          <w:tcPr>
            <w:tcW w:w="680" w:type="dxa"/>
          </w:tcPr>
          <w:p>
            <w:pPr>
              <w:pStyle w:val="0"/>
            </w:pPr>
            <w:r>
              <w:rPr>
                <w:sz w:val="20"/>
              </w:rPr>
              <w:t xml:space="preserve">14,2</w:t>
            </w:r>
          </w:p>
        </w:tc>
      </w:tr>
      <w:tr>
        <w:tc>
          <w:tcPr>
            <w:tcW w:w="2211" w:type="dxa"/>
          </w:tcPr>
          <w:p>
            <w:pPr>
              <w:pStyle w:val="0"/>
            </w:pPr>
            <w:r>
              <w:rPr>
                <w:sz w:val="20"/>
              </w:rPr>
              <w:t xml:space="preserve">Прямая кишка, ректосигмоидн. соединение, анус</w:t>
            </w:r>
          </w:p>
        </w:tc>
        <w:tc>
          <w:tcPr>
            <w:tcW w:w="1174" w:type="dxa"/>
          </w:tcPr>
          <w:p>
            <w:pPr>
              <w:pStyle w:val="0"/>
            </w:pPr>
            <w:r>
              <w:rPr>
                <w:sz w:val="20"/>
              </w:rPr>
              <w:t xml:space="preserve">С 19 - 21</w:t>
            </w:r>
          </w:p>
        </w:tc>
        <w:tc>
          <w:tcPr>
            <w:tcW w:w="680" w:type="dxa"/>
          </w:tcPr>
          <w:p>
            <w:pPr>
              <w:pStyle w:val="0"/>
            </w:pPr>
            <w:r>
              <w:rPr>
                <w:sz w:val="20"/>
              </w:rPr>
              <w:t xml:space="preserve">41</w:t>
            </w:r>
          </w:p>
        </w:tc>
        <w:tc>
          <w:tcPr>
            <w:tcW w:w="680" w:type="dxa"/>
          </w:tcPr>
          <w:p>
            <w:pPr>
              <w:pStyle w:val="0"/>
            </w:pPr>
            <w:r>
              <w:rPr>
                <w:sz w:val="20"/>
              </w:rPr>
              <w:t xml:space="preserve">16,4</w:t>
            </w:r>
          </w:p>
        </w:tc>
        <w:tc>
          <w:tcPr>
            <w:tcW w:w="680" w:type="dxa"/>
          </w:tcPr>
          <w:p>
            <w:pPr>
              <w:pStyle w:val="0"/>
            </w:pPr>
            <w:r>
              <w:rPr>
                <w:sz w:val="20"/>
              </w:rPr>
              <w:t xml:space="preserve">41</w:t>
            </w:r>
          </w:p>
        </w:tc>
        <w:tc>
          <w:tcPr>
            <w:tcW w:w="680" w:type="dxa"/>
          </w:tcPr>
          <w:p>
            <w:pPr>
              <w:pStyle w:val="0"/>
            </w:pPr>
            <w:r>
              <w:rPr>
                <w:sz w:val="20"/>
              </w:rPr>
              <w:t xml:space="preserve">19,2</w:t>
            </w:r>
          </w:p>
        </w:tc>
        <w:tc>
          <w:tcPr>
            <w:tcW w:w="680" w:type="dxa"/>
          </w:tcPr>
          <w:p>
            <w:pPr>
              <w:pStyle w:val="0"/>
            </w:pPr>
            <w:r>
              <w:rPr>
                <w:sz w:val="20"/>
              </w:rPr>
              <w:t xml:space="preserve">33</w:t>
            </w:r>
          </w:p>
        </w:tc>
        <w:tc>
          <w:tcPr>
            <w:tcW w:w="680" w:type="dxa"/>
          </w:tcPr>
          <w:p>
            <w:pPr>
              <w:pStyle w:val="0"/>
            </w:pPr>
            <w:r>
              <w:rPr>
                <w:sz w:val="20"/>
              </w:rPr>
              <w:t xml:space="preserve">14,7</w:t>
            </w:r>
          </w:p>
        </w:tc>
        <w:tc>
          <w:tcPr>
            <w:tcW w:w="680" w:type="dxa"/>
          </w:tcPr>
          <w:p>
            <w:pPr>
              <w:pStyle w:val="0"/>
            </w:pPr>
            <w:r>
              <w:rPr>
                <w:sz w:val="20"/>
              </w:rPr>
              <w:t xml:space="preserve">24</w:t>
            </w:r>
          </w:p>
        </w:tc>
        <w:tc>
          <w:tcPr>
            <w:tcW w:w="680" w:type="dxa"/>
          </w:tcPr>
          <w:p>
            <w:pPr>
              <w:pStyle w:val="0"/>
            </w:pPr>
            <w:r>
              <w:rPr>
                <w:sz w:val="20"/>
              </w:rPr>
              <w:t xml:space="preserve">13,9</w:t>
            </w:r>
          </w:p>
        </w:tc>
        <w:tc>
          <w:tcPr>
            <w:tcW w:w="680" w:type="dxa"/>
          </w:tcPr>
          <w:p>
            <w:pPr>
              <w:pStyle w:val="0"/>
            </w:pPr>
            <w:r>
              <w:rPr>
                <w:sz w:val="20"/>
              </w:rPr>
              <w:t xml:space="preserve">30</w:t>
            </w:r>
          </w:p>
        </w:tc>
        <w:tc>
          <w:tcPr>
            <w:tcW w:w="680" w:type="dxa"/>
          </w:tcPr>
          <w:p>
            <w:pPr>
              <w:pStyle w:val="0"/>
            </w:pPr>
            <w:r>
              <w:rPr>
                <w:sz w:val="20"/>
              </w:rPr>
              <w:t xml:space="preserve">10,9</w:t>
            </w:r>
          </w:p>
        </w:tc>
      </w:tr>
      <w:tr>
        <w:tc>
          <w:tcPr>
            <w:tcW w:w="2211" w:type="dxa"/>
          </w:tcPr>
          <w:p>
            <w:pPr>
              <w:pStyle w:val="0"/>
            </w:pPr>
            <w:r>
              <w:rPr>
                <w:sz w:val="20"/>
              </w:rPr>
              <w:t xml:space="preserve">Печень и внутрипеч. желчн. прот.</w:t>
            </w:r>
          </w:p>
        </w:tc>
        <w:tc>
          <w:tcPr>
            <w:tcW w:w="1174" w:type="dxa"/>
          </w:tcPr>
          <w:p>
            <w:pPr>
              <w:pStyle w:val="0"/>
            </w:pPr>
            <w:r>
              <w:rPr>
                <w:sz w:val="20"/>
              </w:rPr>
              <w:t xml:space="preserve">С 22</w:t>
            </w:r>
          </w:p>
        </w:tc>
        <w:tc>
          <w:tcPr>
            <w:tcW w:w="680" w:type="dxa"/>
          </w:tcPr>
          <w:p>
            <w:pPr>
              <w:pStyle w:val="0"/>
            </w:pPr>
            <w:r>
              <w:rPr>
                <w:sz w:val="20"/>
              </w:rPr>
              <w:t xml:space="preserve">77</w:t>
            </w:r>
          </w:p>
        </w:tc>
        <w:tc>
          <w:tcPr>
            <w:tcW w:w="680" w:type="dxa"/>
          </w:tcPr>
          <w:p>
            <w:pPr>
              <w:pStyle w:val="0"/>
            </w:pPr>
            <w:r>
              <w:rPr>
                <w:sz w:val="20"/>
              </w:rPr>
              <w:t xml:space="preserve">82,8</w:t>
            </w:r>
          </w:p>
        </w:tc>
        <w:tc>
          <w:tcPr>
            <w:tcW w:w="680" w:type="dxa"/>
          </w:tcPr>
          <w:p>
            <w:pPr>
              <w:pStyle w:val="0"/>
            </w:pPr>
            <w:r>
              <w:rPr>
                <w:sz w:val="20"/>
              </w:rPr>
              <w:t xml:space="preserve">109</w:t>
            </w:r>
          </w:p>
        </w:tc>
        <w:tc>
          <w:tcPr>
            <w:tcW w:w="680" w:type="dxa"/>
          </w:tcPr>
          <w:p>
            <w:pPr>
              <w:pStyle w:val="0"/>
            </w:pPr>
            <w:r>
              <w:rPr>
                <w:sz w:val="20"/>
              </w:rPr>
              <w:t xml:space="preserve">72,2</w:t>
            </w:r>
          </w:p>
        </w:tc>
        <w:tc>
          <w:tcPr>
            <w:tcW w:w="680" w:type="dxa"/>
          </w:tcPr>
          <w:p>
            <w:pPr>
              <w:pStyle w:val="0"/>
            </w:pPr>
            <w:r>
              <w:rPr>
                <w:sz w:val="20"/>
              </w:rPr>
              <w:t xml:space="preserve">85</w:t>
            </w:r>
          </w:p>
        </w:tc>
        <w:tc>
          <w:tcPr>
            <w:tcW w:w="680" w:type="dxa"/>
          </w:tcPr>
          <w:p>
            <w:pPr>
              <w:pStyle w:val="0"/>
            </w:pPr>
            <w:r>
              <w:rPr>
                <w:sz w:val="20"/>
              </w:rPr>
              <w:t xml:space="preserve">73,3</w:t>
            </w:r>
          </w:p>
        </w:tc>
        <w:tc>
          <w:tcPr>
            <w:tcW w:w="680" w:type="dxa"/>
          </w:tcPr>
          <w:p>
            <w:pPr>
              <w:pStyle w:val="0"/>
            </w:pPr>
            <w:r>
              <w:rPr>
                <w:sz w:val="20"/>
              </w:rPr>
              <w:t xml:space="preserve">61</w:t>
            </w:r>
          </w:p>
        </w:tc>
        <w:tc>
          <w:tcPr>
            <w:tcW w:w="680" w:type="dxa"/>
          </w:tcPr>
          <w:p>
            <w:pPr>
              <w:pStyle w:val="0"/>
            </w:pPr>
            <w:r>
              <w:rPr>
                <w:sz w:val="20"/>
              </w:rPr>
              <w:t xml:space="preserve">70,9</w:t>
            </w:r>
          </w:p>
        </w:tc>
        <w:tc>
          <w:tcPr>
            <w:tcW w:w="680" w:type="dxa"/>
          </w:tcPr>
          <w:p>
            <w:pPr>
              <w:pStyle w:val="0"/>
            </w:pPr>
            <w:r>
              <w:rPr>
                <w:sz w:val="20"/>
              </w:rPr>
              <w:t xml:space="preserve">73</w:t>
            </w:r>
          </w:p>
        </w:tc>
        <w:tc>
          <w:tcPr>
            <w:tcW w:w="680" w:type="dxa"/>
          </w:tcPr>
          <w:p>
            <w:pPr>
              <w:pStyle w:val="0"/>
            </w:pPr>
            <w:r>
              <w:rPr>
                <w:sz w:val="20"/>
              </w:rPr>
              <w:t xml:space="preserve">66,4</w:t>
            </w:r>
          </w:p>
        </w:tc>
      </w:tr>
      <w:tr>
        <w:tc>
          <w:tcPr>
            <w:tcW w:w="2211" w:type="dxa"/>
          </w:tcPr>
          <w:p>
            <w:pPr>
              <w:pStyle w:val="0"/>
            </w:pPr>
            <w:r>
              <w:rPr>
                <w:sz w:val="20"/>
              </w:rPr>
              <w:t xml:space="preserve">Поджелудочная железа</w:t>
            </w:r>
          </w:p>
        </w:tc>
        <w:tc>
          <w:tcPr>
            <w:tcW w:w="1174" w:type="dxa"/>
          </w:tcPr>
          <w:p>
            <w:pPr>
              <w:pStyle w:val="0"/>
            </w:pPr>
            <w:r>
              <w:rPr>
                <w:sz w:val="20"/>
              </w:rPr>
              <w:t xml:space="preserve">С 25</w:t>
            </w:r>
          </w:p>
        </w:tc>
        <w:tc>
          <w:tcPr>
            <w:tcW w:w="680" w:type="dxa"/>
          </w:tcPr>
          <w:p>
            <w:pPr>
              <w:pStyle w:val="0"/>
            </w:pPr>
            <w:r>
              <w:rPr>
                <w:sz w:val="20"/>
              </w:rPr>
              <w:t xml:space="preserve">67</w:t>
            </w:r>
          </w:p>
        </w:tc>
        <w:tc>
          <w:tcPr>
            <w:tcW w:w="680" w:type="dxa"/>
          </w:tcPr>
          <w:p>
            <w:pPr>
              <w:pStyle w:val="0"/>
            </w:pPr>
            <w:r>
              <w:rPr>
                <w:sz w:val="20"/>
              </w:rPr>
              <w:t xml:space="preserve">68,4</w:t>
            </w:r>
          </w:p>
        </w:tc>
        <w:tc>
          <w:tcPr>
            <w:tcW w:w="680" w:type="dxa"/>
          </w:tcPr>
          <w:p>
            <w:pPr>
              <w:pStyle w:val="0"/>
            </w:pPr>
            <w:r>
              <w:rPr>
                <w:sz w:val="20"/>
              </w:rPr>
              <w:t xml:space="preserve">81</w:t>
            </w:r>
          </w:p>
        </w:tc>
        <w:tc>
          <w:tcPr>
            <w:tcW w:w="680" w:type="dxa"/>
          </w:tcPr>
          <w:p>
            <w:pPr>
              <w:pStyle w:val="0"/>
            </w:pPr>
            <w:r>
              <w:rPr>
                <w:sz w:val="20"/>
              </w:rPr>
              <w:t xml:space="preserve">61,4</w:t>
            </w:r>
          </w:p>
        </w:tc>
        <w:tc>
          <w:tcPr>
            <w:tcW w:w="680" w:type="dxa"/>
          </w:tcPr>
          <w:p>
            <w:pPr>
              <w:pStyle w:val="0"/>
            </w:pPr>
            <w:r>
              <w:rPr>
                <w:sz w:val="20"/>
              </w:rPr>
              <w:t xml:space="preserve">78</w:t>
            </w:r>
          </w:p>
        </w:tc>
        <w:tc>
          <w:tcPr>
            <w:tcW w:w="680" w:type="dxa"/>
          </w:tcPr>
          <w:p>
            <w:pPr>
              <w:pStyle w:val="0"/>
            </w:pPr>
            <w:r>
              <w:rPr>
                <w:sz w:val="20"/>
              </w:rPr>
              <w:t xml:space="preserve">70,9</w:t>
            </w:r>
          </w:p>
        </w:tc>
        <w:tc>
          <w:tcPr>
            <w:tcW w:w="680" w:type="dxa"/>
          </w:tcPr>
          <w:p>
            <w:pPr>
              <w:pStyle w:val="0"/>
            </w:pPr>
            <w:r>
              <w:rPr>
                <w:sz w:val="20"/>
              </w:rPr>
              <w:t xml:space="preserve">58</w:t>
            </w:r>
          </w:p>
        </w:tc>
        <w:tc>
          <w:tcPr>
            <w:tcW w:w="680" w:type="dxa"/>
          </w:tcPr>
          <w:p>
            <w:pPr>
              <w:pStyle w:val="0"/>
            </w:pPr>
            <w:r>
              <w:rPr>
                <w:sz w:val="20"/>
              </w:rPr>
              <w:t xml:space="preserve">65,9</w:t>
            </w:r>
          </w:p>
        </w:tc>
        <w:tc>
          <w:tcPr>
            <w:tcW w:w="680" w:type="dxa"/>
          </w:tcPr>
          <w:p>
            <w:pPr>
              <w:pStyle w:val="0"/>
            </w:pPr>
            <w:r>
              <w:rPr>
                <w:sz w:val="20"/>
              </w:rPr>
              <w:t xml:space="preserve">80</w:t>
            </w:r>
          </w:p>
        </w:tc>
        <w:tc>
          <w:tcPr>
            <w:tcW w:w="680" w:type="dxa"/>
          </w:tcPr>
          <w:p>
            <w:pPr>
              <w:pStyle w:val="0"/>
            </w:pPr>
            <w:r>
              <w:rPr>
                <w:sz w:val="20"/>
              </w:rPr>
              <w:t xml:space="preserve">65,0</w:t>
            </w:r>
          </w:p>
        </w:tc>
      </w:tr>
      <w:tr>
        <w:tc>
          <w:tcPr>
            <w:tcW w:w="2211" w:type="dxa"/>
          </w:tcPr>
          <w:p>
            <w:pPr>
              <w:pStyle w:val="0"/>
            </w:pPr>
            <w:r>
              <w:rPr>
                <w:sz w:val="20"/>
              </w:rPr>
              <w:t xml:space="preserve">Гортань</w:t>
            </w:r>
          </w:p>
        </w:tc>
        <w:tc>
          <w:tcPr>
            <w:tcW w:w="1174" w:type="dxa"/>
          </w:tcPr>
          <w:p>
            <w:pPr>
              <w:pStyle w:val="0"/>
            </w:pPr>
            <w:r>
              <w:rPr>
                <w:sz w:val="20"/>
              </w:rPr>
              <w:t xml:space="preserve">С 32</w:t>
            </w:r>
          </w:p>
        </w:tc>
        <w:tc>
          <w:tcPr>
            <w:tcW w:w="680" w:type="dxa"/>
          </w:tcPr>
          <w:p>
            <w:pPr>
              <w:pStyle w:val="0"/>
            </w:pPr>
            <w:r>
              <w:rPr>
                <w:sz w:val="20"/>
              </w:rPr>
              <w:t xml:space="preserve">11</w:t>
            </w:r>
          </w:p>
        </w:tc>
        <w:tc>
          <w:tcPr>
            <w:tcW w:w="680" w:type="dxa"/>
          </w:tcPr>
          <w:p>
            <w:pPr>
              <w:pStyle w:val="0"/>
            </w:pPr>
            <w:r>
              <w:rPr>
                <w:sz w:val="20"/>
              </w:rPr>
              <w:t xml:space="preserve">21,6</w:t>
            </w:r>
          </w:p>
        </w:tc>
        <w:tc>
          <w:tcPr>
            <w:tcW w:w="680" w:type="dxa"/>
          </w:tcPr>
          <w:p>
            <w:pPr>
              <w:pStyle w:val="0"/>
            </w:pPr>
            <w:r>
              <w:rPr>
                <w:sz w:val="20"/>
              </w:rPr>
              <w:t xml:space="preserve">13</w:t>
            </w:r>
          </w:p>
        </w:tc>
        <w:tc>
          <w:tcPr>
            <w:tcW w:w="680" w:type="dxa"/>
          </w:tcPr>
          <w:p>
            <w:pPr>
              <w:pStyle w:val="0"/>
            </w:pPr>
            <w:r>
              <w:rPr>
                <w:sz w:val="20"/>
              </w:rPr>
              <w:t xml:space="preserve">24,1</w:t>
            </w:r>
          </w:p>
        </w:tc>
        <w:tc>
          <w:tcPr>
            <w:tcW w:w="680" w:type="dxa"/>
          </w:tcPr>
          <w:p>
            <w:pPr>
              <w:pStyle w:val="0"/>
            </w:pPr>
            <w:r>
              <w:rPr>
                <w:sz w:val="20"/>
              </w:rPr>
              <w:t xml:space="preserve">14</w:t>
            </w:r>
          </w:p>
        </w:tc>
        <w:tc>
          <w:tcPr>
            <w:tcW w:w="680" w:type="dxa"/>
          </w:tcPr>
          <w:p>
            <w:pPr>
              <w:pStyle w:val="0"/>
            </w:pPr>
            <w:r>
              <w:rPr>
                <w:sz w:val="20"/>
              </w:rPr>
              <w:t xml:space="preserve">33,3</w:t>
            </w:r>
          </w:p>
        </w:tc>
        <w:tc>
          <w:tcPr>
            <w:tcW w:w="680" w:type="dxa"/>
          </w:tcPr>
          <w:p>
            <w:pPr>
              <w:pStyle w:val="0"/>
            </w:pPr>
            <w:r>
              <w:rPr>
                <w:sz w:val="20"/>
              </w:rPr>
              <w:t xml:space="preserve">12</w:t>
            </w:r>
          </w:p>
        </w:tc>
        <w:tc>
          <w:tcPr>
            <w:tcW w:w="680" w:type="dxa"/>
          </w:tcPr>
          <w:p>
            <w:pPr>
              <w:pStyle w:val="0"/>
            </w:pPr>
            <w:r>
              <w:rPr>
                <w:sz w:val="20"/>
              </w:rPr>
              <w:t xml:space="preserve">26,7</w:t>
            </w:r>
          </w:p>
        </w:tc>
        <w:tc>
          <w:tcPr>
            <w:tcW w:w="680" w:type="dxa"/>
          </w:tcPr>
          <w:p>
            <w:pPr>
              <w:pStyle w:val="0"/>
            </w:pPr>
            <w:r>
              <w:rPr>
                <w:sz w:val="20"/>
              </w:rPr>
              <w:t xml:space="preserve">9</w:t>
            </w:r>
          </w:p>
        </w:tc>
        <w:tc>
          <w:tcPr>
            <w:tcW w:w="680" w:type="dxa"/>
          </w:tcPr>
          <w:p>
            <w:pPr>
              <w:pStyle w:val="0"/>
            </w:pPr>
            <w:r>
              <w:rPr>
                <w:sz w:val="20"/>
              </w:rPr>
              <w:t xml:space="preserve">17,3</w:t>
            </w:r>
          </w:p>
        </w:tc>
      </w:tr>
      <w:tr>
        <w:tc>
          <w:tcPr>
            <w:tcW w:w="2211" w:type="dxa"/>
          </w:tcPr>
          <w:p>
            <w:pPr>
              <w:pStyle w:val="0"/>
            </w:pPr>
            <w:r>
              <w:rPr>
                <w:sz w:val="20"/>
              </w:rPr>
              <w:t xml:space="preserve">Трахея, бронхи, легкое</w:t>
            </w:r>
          </w:p>
        </w:tc>
        <w:tc>
          <w:tcPr>
            <w:tcW w:w="1174" w:type="dxa"/>
          </w:tcPr>
          <w:p>
            <w:pPr>
              <w:pStyle w:val="0"/>
            </w:pPr>
            <w:r>
              <w:rPr>
                <w:sz w:val="20"/>
              </w:rPr>
              <w:t xml:space="preserve">С 33 - 34</w:t>
            </w:r>
          </w:p>
        </w:tc>
        <w:tc>
          <w:tcPr>
            <w:tcW w:w="680" w:type="dxa"/>
          </w:tcPr>
          <w:p>
            <w:pPr>
              <w:pStyle w:val="0"/>
            </w:pPr>
            <w:r>
              <w:rPr>
                <w:sz w:val="20"/>
              </w:rPr>
              <w:t xml:space="preserve">215</w:t>
            </w:r>
          </w:p>
        </w:tc>
        <w:tc>
          <w:tcPr>
            <w:tcW w:w="680" w:type="dxa"/>
          </w:tcPr>
          <w:p>
            <w:pPr>
              <w:pStyle w:val="0"/>
            </w:pPr>
            <w:r>
              <w:rPr>
                <w:sz w:val="20"/>
              </w:rPr>
              <w:t xml:space="preserve">46,7</w:t>
            </w:r>
          </w:p>
        </w:tc>
        <w:tc>
          <w:tcPr>
            <w:tcW w:w="680" w:type="dxa"/>
          </w:tcPr>
          <w:p>
            <w:pPr>
              <w:pStyle w:val="0"/>
            </w:pPr>
            <w:r>
              <w:rPr>
                <w:sz w:val="20"/>
              </w:rPr>
              <w:t xml:space="preserve">230</w:t>
            </w:r>
          </w:p>
        </w:tc>
        <w:tc>
          <w:tcPr>
            <w:tcW w:w="680" w:type="dxa"/>
          </w:tcPr>
          <w:p>
            <w:pPr>
              <w:pStyle w:val="0"/>
            </w:pPr>
            <w:r>
              <w:rPr>
                <w:sz w:val="20"/>
              </w:rPr>
              <w:t xml:space="preserve">46,1</w:t>
            </w:r>
          </w:p>
        </w:tc>
        <w:tc>
          <w:tcPr>
            <w:tcW w:w="680" w:type="dxa"/>
          </w:tcPr>
          <w:p>
            <w:pPr>
              <w:pStyle w:val="0"/>
            </w:pPr>
            <w:r>
              <w:rPr>
                <w:sz w:val="20"/>
              </w:rPr>
              <w:t xml:space="preserve">232</w:t>
            </w:r>
          </w:p>
        </w:tc>
        <w:tc>
          <w:tcPr>
            <w:tcW w:w="680" w:type="dxa"/>
          </w:tcPr>
          <w:p>
            <w:pPr>
              <w:pStyle w:val="0"/>
            </w:pPr>
            <w:r>
              <w:rPr>
                <w:sz w:val="20"/>
              </w:rPr>
              <w:t xml:space="preserve">44,6</w:t>
            </w:r>
          </w:p>
        </w:tc>
        <w:tc>
          <w:tcPr>
            <w:tcW w:w="680" w:type="dxa"/>
          </w:tcPr>
          <w:p>
            <w:pPr>
              <w:pStyle w:val="0"/>
            </w:pPr>
            <w:r>
              <w:rPr>
                <w:sz w:val="20"/>
              </w:rPr>
              <w:t xml:space="preserve">175</w:t>
            </w:r>
          </w:p>
        </w:tc>
        <w:tc>
          <w:tcPr>
            <w:tcW w:w="680" w:type="dxa"/>
          </w:tcPr>
          <w:p>
            <w:pPr>
              <w:pStyle w:val="0"/>
            </w:pPr>
            <w:r>
              <w:rPr>
                <w:sz w:val="20"/>
              </w:rPr>
              <w:t xml:space="preserve">44</w:t>
            </w:r>
          </w:p>
        </w:tc>
        <w:tc>
          <w:tcPr>
            <w:tcW w:w="680" w:type="dxa"/>
          </w:tcPr>
          <w:p>
            <w:pPr>
              <w:pStyle w:val="0"/>
            </w:pPr>
            <w:r>
              <w:rPr>
                <w:sz w:val="20"/>
              </w:rPr>
              <w:t xml:space="preserve">175</w:t>
            </w:r>
          </w:p>
        </w:tc>
        <w:tc>
          <w:tcPr>
            <w:tcW w:w="680" w:type="dxa"/>
          </w:tcPr>
          <w:p>
            <w:pPr>
              <w:pStyle w:val="0"/>
            </w:pPr>
            <w:r>
              <w:rPr>
                <w:sz w:val="20"/>
              </w:rPr>
              <w:t xml:space="preserve">36,5</w:t>
            </w:r>
          </w:p>
        </w:tc>
      </w:tr>
      <w:tr>
        <w:tc>
          <w:tcPr>
            <w:tcW w:w="2211" w:type="dxa"/>
          </w:tcPr>
          <w:p>
            <w:pPr>
              <w:pStyle w:val="0"/>
            </w:pPr>
            <w:r>
              <w:rPr>
                <w:sz w:val="20"/>
              </w:rPr>
              <w:t xml:space="preserve">Кости и суставные хрящи</w:t>
            </w:r>
          </w:p>
        </w:tc>
        <w:tc>
          <w:tcPr>
            <w:tcW w:w="1174" w:type="dxa"/>
          </w:tcPr>
          <w:p>
            <w:pPr>
              <w:pStyle w:val="0"/>
            </w:pPr>
            <w:r>
              <w:rPr>
                <w:sz w:val="20"/>
              </w:rPr>
              <w:t xml:space="preserve">С 40, С41</w:t>
            </w:r>
          </w:p>
        </w:tc>
        <w:tc>
          <w:tcPr>
            <w:tcW w:w="680" w:type="dxa"/>
          </w:tcPr>
          <w:p>
            <w:pPr>
              <w:pStyle w:val="0"/>
            </w:pPr>
            <w:r>
              <w:rPr>
                <w:sz w:val="20"/>
              </w:rPr>
              <w:t xml:space="preserve">10</w:t>
            </w:r>
          </w:p>
        </w:tc>
        <w:tc>
          <w:tcPr>
            <w:tcW w:w="680" w:type="dxa"/>
          </w:tcPr>
          <w:p>
            <w:pPr>
              <w:pStyle w:val="0"/>
            </w:pPr>
            <w:r>
              <w:rPr>
                <w:sz w:val="20"/>
              </w:rPr>
              <w:t xml:space="preserve">58,8</w:t>
            </w:r>
          </w:p>
        </w:tc>
        <w:tc>
          <w:tcPr>
            <w:tcW w:w="680" w:type="dxa"/>
          </w:tcPr>
          <w:p>
            <w:pPr>
              <w:pStyle w:val="0"/>
            </w:pPr>
            <w:r>
              <w:rPr>
                <w:sz w:val="20"/>
              </w:rPr>
              <w:t xml:space="preserve">2</w:t>
            </w:r>
          </w:p>
        </w:tc>
        <w:tc>
          <w:tcPr>
            <w:tcW w:w="680" w:type="dxa"/>
          </w:tcPr>
          <w:p>
            <w:pPr>
              <w:pStyle w:val="0"/>
            </w:pPr>
            <w:r>
              <w:rPr>
                <w:sz w:val="20"/>
              </w:rPr>
              <w:t xml:space="preserve">18,2</w:t>
            </w:r>
          </w:p>
        </w:tc>
        <w:tc>
          <w:tcPr>
            <w:tcW w:w="680" w:type="dxa"/>
          </w:tcPr>
          <w:p>
            <w:pPr>
              <w:pStyle w:val="0"/>
            </w:pPr>
            <w:r>
              <w:rPr>
                <w:sz w:val="20"/>
              </w:rPr>
              <w:t xml:space="preserve">3</w:t>
            </w:r>
          </w:p>
        </w:tc>
        <w:tc>
          <w:tcPr>
            <w:tcW w:w="680" w:type="dxa"/>
          </w:tcPr>
          <w:p>
            <w:pPr>
              <w:pStyle w:val="0"/>
            </w:pPr>
            <w:r>
              <w:rPr>
                <w:sz w:val="20"/>
              </w:rPr>
              <w:t xml:space="preserve">21,4</w:t>
            </w:r>
          </w:p>
        </w:tc>
        <w:tc>
          <w:tcPr>
            <w:tcW w:w="680" w:type="dxa"/>
          </w:tcPr>
          <w:p>
            <w:pPr>
              <w:pStyle w:val="0"/>
            </w:pPr>
            <w:r>
              <w:rPr>
                <w:sz w:val="20"/>
              </w:rPr>
              <w:t xml:space="preserve">1</w:t>
            </w:r>
          </w:p>
        </w:tc>
        <w:tc>
          <w:tcPr>
            <w:tcW w:w="680" w:type="dxa"/>
          </w:tcPr>
          <w:p>
            <w:pPr>
              <w:pStyle w:val="0"/>
            </w:pPr>
            <w:r>
              <w:rPr>
                <w:sz w:val="20"/>
              </w:rPr>
              <w:t xml:space="preserve">10</w:t>
            </w:r>
          </w:p>
        </w:tc>
        <w:tc>
          <w:tcPr>
            <w:tcW w:w="680" w:type="dxa"/>
          </w:tcPr>
          <w:p>
            <w:pPr>
              <w:pStyle w:val="0"/>
            </w:pPr>
            <w:r>
              <w:rPr>
                <w:sz w:val="20"/>
              </w:rPr>
              <w:t xml:space="preserve">3</w:t>
            </w:r>
          </w:p>
        </w:tc>
        <w:tc>
          <w:tcPr>
            <w:tcW w:w="680" w:type="dxa"/>
          </w:tcPr>
          <w:p>
            <w:pPr>
              <w:pStyle w:val="0"/>
            </w:pPr>
            <w:r>
              <w:rPr>
                <w:sz w:val="20"/>
              </w:rPr>
              <w:t xml:space="preserve">16,7</w:t>
            </w:r>
          </w:p>
        </w:tc>
      </w:tr>
      <w:tr>
        <w:tc>
          <w:tcPr>
            <w:tcW w:w="2211" w:type="dxa"/>
          </w:tcPr>
          <w:p>
            <w:pPr>
              <w:pStyle w:val="0"/>
            </w:pPr>
            <w:r>
              <w:rPr>
                <w:sz w:val="20"/>
              </w:rPr>
              <w:t xml:space="preserve">Меланома кожи</w:t>
            </w:r>
          </w:p>
        </w:tc>
        <w:tc>
          <w:tcPr>
            <w:tcW w:w="1174" w:type="dxa"/>
          </w:tcPr>
          <w:p>
            <w:pPr>
              <w:pStyle w:val="0"/>
            </w:pPr>
            <w:r>
              <w:rPr>
                <w:sz w:val="20"/>
              </w:rPr>
              <w:t xml:space="preserve">С 43</w:t>
            </w:r>
          </w:p>
        </w:tc>
        <w:tc>
          <w:tcPr>
            <w:tcW w:w="680" w:type="dxa"/>
          </w:tcPr>
          <w:p>
            <w:pPr>
              <w:pStyle w:val="0"/>
            </w:pPr>
            <w:r>
              <w:rPr>
                <w:sz w:val="20"/>
              </w:rPr>
              <w:t xml:space="preserve">12</w:t>
            </w:r>
          </w:p>
        </w:tc>
        <w:tc>
          <w:tcPr>
            <w:tcW w:w="680" w:type="dxa"/>
          </w:tcPr>
          <w:p>
            <w:pPr>
              <w:pStyle w:val="0"/>
            </w:pPr>
            <w:r>
              <w:rPr>
                <w:sz w:val="20"/>
              </w:rPr>
              <w:t xml:space="preserve">20,7</w:t>
            </w:r>
          </w:p>
        </w:tc>
        <w:tc>
          <w:tcPr>
            <w:tcW w:w="680" w:type="dxa"/>
          </w:tcPr>
          <w:p>
            <w:pPr>
              <w:pStyle w:val="0"/>
            </w:pPr>
            <w:r>
              <w:rPr>
                <w:sz w:val="20"/>
              </w:rPr>
              <w:t xml:space="preserve">7</w:t>
            </w:r>
          </w:p>
        </w:tc>
        <w:tc>
          <w:tcPr>
            <w:tcW w:w="680" w:type="dxa"/>
          </w:tcPr>
          <w:p>
            <w:pPr>
              <w:pStyle w:val="0"/>
            </w:pPr>
            <w:r>
              <w:rPr>
                <w:sz w:val="20"/>
              </w:rPr>
              <w:t xml:space="preserve">14,3</w:t>
            </w:r>
          </w:p>
        </w:tc>
        <w:tc>
          <w:tcPr>
            <w:tcW w:w="680" w:type="dxa"/>
          </w:tcPr>
          <w:p>
            <w:pPr>
              <w:pStyle w:val="0"/>
            </w:pPr>
            <w:r>
              <w:rPr>
                <w:sz w:val="20"/>
              </w:rPr>
              <w:t xml:space="preserve">4</w:t>
            </w:r>
          </w:p>
        </w:tc>
        <w:tc>
          <w:tcPr>
            <w:tcW w:w="680" w:type="dxa"/>
          </w:tcPr>
          <w:p>
            <w:pPr>
              <w:pStyle w:val="0"/>
            </w:pPr>
            <w:r>
              <w:rPr>
                <w:sz w:val="20"/>
              </w:rPr>
              <w:t xml:space="preserve">6,6</w:t>
            </w:r>
          </w:p>
        </w:tc>
        <w:tc>
          <w:tcPr>
            <w:tcW w:w="680" w:type="dxa"/>
          </w:tcPr>
          <w:p>
            <w:pPr>
              <w:pStyle w:val="0"/>
            </w:pPr>
            <w:r>
              <w:rPr>
                <w:sz w:val="20"/>
              </w:rPr>
              <w:t xml:space="preserve">5</w:t>
            </w:r>
          </w:p>
        </w:tc>
        <w:tc>
          <w:tcPr>
            <w:tcW w:w="680" w:type="dxa"/>
          </w:tcPr>
          <w:p>
            <w:pPr>
              <w:pStyle w:val="0"/>
            </w:pPr>
            <w:r>
              <w:rPr>
                <w:sz w:val="20"/>
              </w:rPr>
              <w:t xml:space="preserve">9,3</w:t>
            </w:r>
          </w:p>
        </w:tc>
        <w:tc>
          <w:tcPr>
            <w:tcW w:w="680" w:type="dxa"/>
          </w:tcPr>
          <w:p>
            <w:pPr>
              <w:pStyle w:val="0"/>
            </w:pPr>
            <w:r>
              <w:rPr>
                <w:sz w:val="20"/>
              </w:rPr>
              <w:t xml:space="preserve">2</w:t>
            </w:r>
          </w:p>
        </w:tc>
        <w:tc>
          <w:tcPr>
            <w:tcW w:w="680" w:type="dxa"/>
          </w:tcPr>
          <w:p>
            <w:pPr>
              <w:pStyle w:val="0"/>
            </w:pPr>
            <w:r>
              <w:rPr>
                <w:sz w:val="20"/>
              </w:rPr>
              <w:t xml:space="preserve">3,3</w:t>
            </w:r>
          </w:p>
        </w:tc>
      </w:tr>
      <w:tr>
        <w:tc>
          <w:tcPr>
            <w:tcW w:w="2211" w:type="dxa"/>
          </w:tcPr>
          <w:p>
            <w:pPr>
              <w:pStyle w:val="0"/>
            </w:pPr>
            <w:r>
              <w:rPr>
                <w:sz w:val="20"/>
              </w:rPr>
              <w:t xml:space="preserve">кожа (кроме меланомы)</w:t>
            </w:r>
          </w:p>
        </w:tc>
        <w:tc>
          <w:tcPr>
            <w:tcW w:w="1174" w:type="dxa"/>
          </w:tcPr>
          <w:p>
            <w:pPr>
              <w:pStyle w:val="0"/>
            </w:pPr>
            <w:r>
              <w:rPr>
                <w:sz w:val="20"/>
              </w:rPr>
              <w:t xml:space="preserve">С 44,46,0</w:t>
            </w:r>
          </w:p>
        </w:tc>
        <w:tc>
          <w:tcPr>
            <w:tcW w:w="680" w:type="dxa"/>
          </w:tcPr>
          <w:p>
            <w:pPr>
              <w:pStyle w:val="0"/>
            </w:pPr>
            <w:r>
              <w:rPr>
                <w:sz w:val="20"/>
              </w:rPr>
              <w:t xml:space="preserve">3</w:t>
            </w:r>
          </w:p>
        </w:tc>
        <w:tc>
          <w:tcPr>
            <w:tcW w:w="680" w:type="dxa"/>
          </w:tcPr>
          <w:p>
            <w:pPr>
              <w:pStyle w:val="0"/>
            </w:pPr>
            <w:r>
              <w:rPr>
                <w:sz w:val="20"/>
              </w:rPr>
              <w:t xml:space="preserve">0,9</w:t>
            </w:r>
          </w:p>
        </w:tc>
        <w:tc>
          <w:tcPr>
            <w:tcW w:w="680" w:type="dxa"/>
          </w:tcPr>
          <w:p>
            <w:pPr>
              <w:pStyle w:val="0"/>
            </w:pPr>
            <w:r>
              <w:rPr>
                <w:sz w:val="20"/>
              </w:rPr>
              <w:t xml:space="preserve">2</w:t>
            </w:r>
          </w:p>
        </w:tc>
        <w:tc>
          <w:tcPr>
            <w:tcW w:w="680" w:type="dxa"/>
          </w:tcPr>
          <w:p>
            <w:pPr>
              <w:pStyle w:val="0"/>
            </w:pPr>
            <w:r>
              <w:rPr>
                <w:sz w:val="20"/>
              </w:rPr>
              <w:t xml:space="preserve">0,6</w:t>
            </w:r>
          </w:p>
        </w:tc>
        <w:tc>
          <w:tcPr>
            <w:tcW w:w="680" w:type="dxa"/>
          </w:tcPr>
          <w:p>
            <w:pPr>
              <w:pStyle w:val="0"/>
            </w:pPr>
            <w:r>
              <w:rPr>
                <w:sz w:val="20"/>
              </w:rPr>
              <w:t xml:space="preserve">1</w:t>
            </w:r>
          </w:p>
        </w:tc>
        <w:tc>
          <w:tcPr>
            <w:tcW w:w="680" w:type="dxa"/>
          </w:tcPr>
          <w:p>
            <w:pPr>
              <w:pStyle w:val="0"/>
            </w:pPr>
            <w:r>
              <w:rPr>
                <w:sz w:val="20"/>
              </w:rPr>
              <w:t xml:space="preserve">0,2</w:t>
            </w:r>
          </w:p>
        </w:tc>
        <w:tc>
          <w:tcPr>
            <w:tcW w:w="680" w:type="dxa"/>
          </w:tcPr>
          <w:p>
            <w:pPr>
              <w:pStyle w:val="0"/>
            </w:pPr>
            <w:r>
              <w:rPr>
                <w:sz w:val="20"/>
              </w:rPr>
              <w:t xml:space="preserve">2</w:t>
            </w:r>
          </w:p>
        </w:tc>
        <w:tc>
          <w:tcPr>
            <w:tcW w:w="680" w:type="dxa"/>
          </w:tcPr>
          <w:p>
            <w:pPr>
              <w:pStyle w:val="0"/>
            </w:pPr>
            <w:r>
              <w:rPr>
                <w:sz w:val="20"/>
              </w:rPr>
              <w:t xml:space="preserve">0,7</w:t>
            </w:r>
          </w:p>
        </w:tc>
        <w:tc>
          <w:tcPr>
            <w:tcW w:w="680" w:type="dxa"/>
          </w:tcPr>
          <w:p>
            <w:pPr>
              <w:pStyle w:val="0"/>
            </w:pPr>
            <w:r>
              <w:rPr>
                <w:sz w:val="20"/>
              </w:rPr>
              <w:t xml:space="preserve">0</w:t>
            </w:r>
          </w:p>
        </w:tc>
        <w:tc>
          <w:tcPr>
            <w:tcW w:w="680" w:type="dxa"/>
          </w:tcPr>
          <w:p>
            <w:pPr>
              <w:pStyle w:val="0"/>
            </w:pPr>
            <w:r>
              <w:rPr>
                <w:sz w:val="20"/>
              </w:rPr>
              <w:t xml:space="preserve">0,0</w:t>
            </w:r>
          </w:p>
        </w:tc>
      </w:tr>
      <w:tr>
        <w:tc>
          <w:tcPr>
            <w:tcW w:w="2211" w:type="dxa"/>
          </w:tcPr>
          <w:p>
            <w:pPr>
              <w:pStyle w:val="0"/>
            </w:pPr>
            <w:r>
              <w:rPr>
                <w:sz w:val="20"/>
              </w:rPr>
              <w:t xml:space="preserve">Соединит. и др. мягкие ткани</w:t>
            </w:r>
          </w:p>
        </w:tc>
        <w:tc>
          <w:tcPr>
            <w:tcW w:w="1174" w:type="dxa"/>
          </w:tcPr>
          <w:p>
            <w:pPr>
              <w:pStyle w:val="0"/>
            </w:pPr>
            <w:r>
              <w:rPr>
                <w:sz w:val="20"/>
              </w:rPr>
              <w:t xml:space="preserve">С 46,1,3,7 - 9; 47,49.</w:t>
            </w:r>
          </w:p>
        </w:tc>
        <w:tc>
          <w:tcPr>
            <w:tcW w:w="680" w:type="dxa"/>
          </w:tcPr>
          <w:p>
            <w:pPr>
              <w:pStyle w:val="0"/>
            </w:pPr>
            <w:r>
              <w:rPr>
                <w:sz w:val="20"/>
              </w:rPr>
              <w:t xml:space="preserve">6</w:t>
            </w:r>
          </w:p>
        </w:tc>
        <w:tc>
          <w:tcPr>
            <w:tcW w:w="680" w:type="dxa"/>
          </w:tcPr>
          <w:p>
            <w:pPr>
              <w:pStyle w:val="0"/>
            </w:pPr>
            <w:r>
              <w:rPr>
                <w:sz w:val="20"/>
              </w:rPr>
              <w:t xml:space="preserve">22,2</w:t>
            </w:r>
          </w:p>
        </w:tc>
        <w:tc>
          <w:tcPr>
            <w:tcW w:w="680" w:type="dxa"/>
          </w:tcPr>
          <w:p>
            <w:pPr>
              <w:pStyle w:val="0"/>
            </w:pPr>
            <w:r>
              <w:rPr>
                <w:sz w:val="20"/>
              </w:rPr>
              <w:t xml:space="preserve">5</w:t>
            </w:r>
          </w:p>
        </w:tc>
        <w:tc>
          <w:tcPr>
            <w:tcW w:w="680" w:type="dxa"/>
          </w:tcPr>
          <w:p>
            <w:pPr>
              <w:pStyle w:val="0"/>
            </w:pPr>
            <w:r>
              <w:rPr>
                <w:sz w:val="20"/>
              </w:rPr>
              <w:t xml:space="preserve">22,7</w:t>
            </w:r>
          </w:p>
        </w:tc>
        <w:tc>
          <w:tcPr>
            <w:tcW w:w="680" w:type="dxa"/>
          </w:tcPr>
          <w:p>
            <w:pPr>
              <w:pStyle w:val="0"/>
            </w:pPr>
            <w:r>
              <w:rPr>
                <w:sz w:val="20"/>
              </w:rPr>
              <w:t xml:space="preserve">9</w:t>
            </w:r>
          </w:p>
        </w:tc>
        <w:tc>
          <w:tcPr>
            <w:tcW w:w="680" w:type="dxa"/>
          </w:tcPr>
          <w:p>
            <w:pPr>
              <w:pStyle w:val="0"/>
            </w:pPr>
            <w:r>
              <w:rPr>
                <w:sz w:val="20"/>
              </w:rPr>
              <w:t xml:space="preserve">32,1</w:t>
            </w:r>
          </w:p>
        </w:tc>
        <w:tc>
          <w:tcPr>
            <w:tcW w:w="680" w:type="dxa"/>
          </w:tcPr>
          <w:p>
            <w:pPr>
              <w:pStyle w:val="0"/>
            </w:pPr>
            <w:r>
              <w:rPr>
                <w:sz w:val="20"/>
              </w:rPr>
              <w:t xml:space="preserve">3</w:t>
            </w:r>
          </w:p>
        </w:tc>
        <w:tc>
          <w:tcPr>
            <w:tcW w:w="680" w:type="dxa"/>
          </w:tcPr>
          <w:p>
            <w:pPr>
              <w:pStyle w:val="0"/>
            </w:pPr>
            <w:r>
              <w:rPr>
                <w:sz w:val="20"/>
              </w:rPr>
              <w:t xml:space="preserve">15</w:t>
            </w:r>
          </w:p>
        </w:tc>
        <w:tc>
          <w:tcPr>
            <w:tcW w:w="680" w:type="dxa"/>
          </w:tcPr>
          <w:p>
            <w:pPr>
              <w:pStyle w:val="0"/>
            </w:pPr>
            <w:r>
              <w:rPr>
                <w:sz w:val="20"/>
              </w:rPr>
              <w:t xml:space="preserve">8</w:t>
            </w:r>
          </w:p>
        </w:tc>
        <w:tc>
          <w:tcPr>
            <w:tcW w:w="680" w:type="dxa"/>
          </w:tcPr>
          <w:p>
            <w:pPr>
              <w:pStyle w:val="0"/>
            </w:pPr>
            <w:r>
              <w:rPr>
                <w:sz w:val="20"/>
              </w:rPr>
              <w:t xml:space="preserve">29,6</w:t>
            </w:r>
          </w:p>
        </w:tc>
      </w:tr>
      <w:tr>
        <w:tc>
          <w:tcPr>
            <w:tcW w:w="2211" w:type="dxa"/>
          </w:tcPr>
          <w:p>
            <w:pPr>
              <w:pStyle w:val="0"/>
            </w:pPr>
            <w:r>
              <w:rPr>
                <w:sz w:val="20"/>
              </w:rPr>
              <w:t xml:space="preserve">Молочная железа</w:t>
            </w:r>
          </w:p>
        </w:tc>
        <w:tc>
          <w:tcPr>
            <w:tcW w:w="1174" w:type="dxa"/>
          </w:tcPr>
          <w:p>
            <w:pPr>
              <w:pStyle w:val="0"/>
            </w:pPr>
            <w:r>
              <w:rPr>
                <w:sz w:val="20"/>
              </w:rPr>
              <w:t xml:space="preserve">С 50</w:t>
            </w:r>
          </w:p>
        </w:tc>
        <w:tc>
          <w:tcPr>
            <w:tcW w:w="680" w:type="dxa"/>
          </w:tcPr>
          <w:p>
            <w:pPr>
              <w:pStyle w:val="0"/>
            </w:pPr>
            <w:r>
              <w:rPr>
                <w:sz w:val="20"/>
              </w:rPr>
              <w:t xml:space="preserve">15</w:t>
            </w:r>
          </w:p>
        </w:tc>
        <w:tc>
          <w:tcPr>
            <w:tcW w:w="680" w:type="dxa"/>
          </w:tcPr>
          <w:p>
            <w:pPr>
              <w:pStyle w:val="0"/>
            </w:pPr>
            <w:r>
              <w:rPr>
                <w:sz w:val="20"/>
              </w:rPr>
              <w:t xml:space="preserve">2,7</w:t>
            </w:r>
          </w:p>
        </w:tc>
        <w:tc>
          <w:tcPr>
            <w:tcW w:w="680" w:type="dxa"/>
          </w:tcPr>
          <w:p>
            <w:pPr>
              <w:pStyle w:val="0"/>
            </w:pPr>
            <w:r>
              <w:rPr>
                <w:sz w:val="20"/>
              </w:rPr>
              <w:t xml:space="preserve">24</w:t>
            </w:r>
          </w:p>
        </w:tc>
        <w:tc>
          <w:tcPr>
            <w:tcW w:w="680" w:type="dxa"/>
          </w:tcPr>
          <w:p>
            <w:pPr>
              <w:pStyle w:val="0"/>
            </w:pPr>
            <w:r>
              <w:rPr>
                <w:sz w:val="20"/>
              </w:rPr>
              <w:t xml:space="preserve">4</w:t>
            </w:r>
          </w:p>
        </w:tc>
        <w:tc>
          <w:tcPr>
            <w:tcW w:w="680" w:type="dxa"/>
          </w:tcPr>
          <w:p>
            <w:pPr>
              <w:pStyle w:val="0"/>
            </w:pPr>
            <w:r>
              <w:rPr>
                <w:sz w:val="20"/>
              </w:rPr>
              <w:t xml:space="preserve">30</w:t>
            </w:r>
          </w:p>
        </w:tc>
        <w:tc>
          <w:tcPr>
            <w:tcW w:w="680" w:type="dxa"/>
          </w:tcPr>
          <w:p>
            <w:pPr>
              <w:pStyle w:val="0"/>
            </w:pPr>
            <w:r>
              <w:rPr>
                <w:sz w:val="20"/>
              </w:rPr>
              <w:t xml:space="preserve">4,9</w:t>
            </w:r>
          </w:p>
        </w:tc>
        <w:tc>
          <w:tcPr>
            <w:tcW w:w="680" w:type="dxa"/>
          </w:tcPr>
          <w:p>
            <w:pPr>
              <w:pStyle w:val="0"/>
            </w:pPr>
            <w:r>
              <w:rPr>
                <w:sz w:val="20"/>
              </w:rPr>
              <w:t xml:space="preserve">21</w:t>
            </w:r>
          </w:p>
        </w:tc>
        <w:tc>
          <w:tcPr>
            <w:tcW w:w="680" w:type="dxa"/>
          </w:tcPr>
          <w:p>
            <w:pPr>
              <w:pStyle w:val="0"/>
            </w:pPr>
            <w:r>
              <w:rPr>
                <w:sz w:val="20"/>
              </w:rPr>
              <w:t xml:space="preserve">4,1</w:t>
            </w:r>
          </w:p>
        </w:tc>
        <w:tc>
          <w:tcPr>
            <w:tcW w:w="680" w:type="dxa"/>
          </w:tcPr>
          <w:p>
            <w:pPr>
              <w:pStyle w:val="0"/>
            </w:pPr>
            <w:r>
              <w:rPr>
                <w:sz w:val="20"/>
              </w:rPr>
              <w:t xml:space="preserve">18</w:t>
            </w:r>
          </w:p>
        </w:tc>
        <w:tc>
          <w:tcPr>
            <w:tcW w:w="680" w:type="dxa"/>
          </w:tcPr>
          <w:p>
            <w:pPr>
              <w:pStyle w:val="0"/>
            </w:pPr>
            <w:r>
              <w:rPr>
                <w:sz w:val="20"/>
              </w:rPr>
              <w:t xml:space="preserve">2,7</w:t>
            </w:r>
          </w:p>
        </w:tc>
      </w:tr>
      <w:tr>
        <w:tc>
          <w:tcPr>
            <w:tcW w:w="2211" w:type="dxa"/>
          </w:tcPr>
          <w:p>
            <w:pPr>
              <w:pStyle w:val="0"/>
            </w:pPr>
            <w:r>
              <w:rPr>
                <w:sz w:val="20"/>
              </w:rPr>
              <w:t xml:space="preserve">Шейка матки</w:t>
            </w:r>
          </w:p>
        </w:tc>
        <w:tc>
          <w:tcPr>
            <w:tcW w:w="1174" w:type="dxa"/>
          </w:tcPr>
          <w:p>
            <w:pPr>
              <w:pStyle w:val="0"/>
            </w:pPr>
            <w:r>
              <w:rPr>
                <w:sz w:val="20"/>
              </w:rPr>
              <w:t xml:space="preserve">С 53</w:t>
            </w:r>
          </w:p>
        </w:tc>
        <w:tc>
          <w:tcPr>
            <w:tcW w:w="680" w:type="dxa"/>
          </w:tcPr>
          <w:p>
            <w:pPr>
              <w:pStyle w:val="0"/>
            </w:pPr>
            <w:r>
              <w:rPr>
                <w:sz w:val="20"/>
              </w:rPr>
              <w:t xml:space="preserve">19</w:t>
            </w:r>
          </w:p>
        </w:tc>
        <w:tc>
          <w:tcPr>
            <w:tcW w:w="680" w:type="dxa"/>
          </w:tcPr>
          <w:p>
            <w:pPr>
              <w:pStyle w:val="0"/>
            </w:pPr>
            <w:r>
              <w:rPr>
                <w:sz w:val="20"/>
              </w:rPr>
              <w:t xml:space="preserve">11,4</w:t>
            </w:r>
          </w:p>
        </w:tc>
        <w:tc>
          <w:tcPr>
            <w:tcW w:w="680" w:type="dxa"/>
          </w:tcPr>
          <w:p>
            <w:pPr>
              <w:pStyle w:val="0"/>
            </w:pPr>
            <w:r>
              <w:rPr>
                <w:sz w:val="20"/>
              </w:rPr>
              <w:t xml:space="preserve">17</w:t>
            </w:r>
          </w:p>
        </w:tc>
        <w:tc>
          <w:tcPr>
            <w:tcW w:w="680" w:type="dxa"/>
          </w:tcPr>
          <w:p>
            <w:pPr>
              <w:pStyle w:val="0"/>
            </w:pPr>
            <w:r>
              <w:rPr>
                <w:sz w:val="20"/>
              </w:rPr>
              <w:t xml:space="preserve">10,5</w:t>
            </w:r>
          </w:p>
        </w:tc>
        <w:tc>
          <w:tcPr>
            <w:tcW w:w="680" w:type="dxa"/>
          </w:tcPr>
          <w:p>
            <w:pPr>
              <w:pStyle w:val="0"/>
            </w:pPr>
            <w:r>
              <w:rPr>
                <w:sz w:val="20"/>
              </w:rPr>
              <w:t xml:space="preserve">17</w:t>
            </w:r>
          </w:p>
        </w:tc>
        <w:tc>
          <w:tcPr>
            <w:tcW w:w="680" w:type="dxa"/>
          </w:tcPr>
          <w:p>
            <w:pPr>
              <w:pStyle w:val="0"/>
            </w:pPr>
            <w:r>
              <w:rPr>
                <w:sz w:val="20"/>
              </w:rPr>
              <w:t xml:space="preserve">10,6</w:t>
            </w:r>
          </w:p>
        </w:tc>
        <w:tc>
          <w:tcPr>
            <w:tcW w:w="680" w:type="dxa"/>
          </w:tcPr>
          <w:p>
            <w:pPr>
              <w:pStyle w:val="0"/>
            </w:pPr>
            <w:r>
              <w:rPr>
                <w:sz w:val="20"/>
              </w:rPr>
              <w:t xml:space="preserve">12</w:t>
            </w:r>
          </w:p>
        </w:tc>
        <w:tc>
          <w:tcPr>
            <w:tcW w:w="680" w:type="dxa"/>
          </w:tcPr>
          <w:p>
            <w:pPr>
              <w:pStyle w:val="0"/>
            </w:pPr>
            <w:r>
              <w:rPr>
                <w:sz w:val="20"/>
              </w:rPr>
              <w:t xml:space="preserve">8,4</w:t>
            </w:r>
          </w:p>
        </w:tc>
        <w:tc>
          <w:tcPr>
            <w:tcW w:w="680" w:type="dxa"/>
          </w:tcPr>
          <w:p>
            <w:pPr>
              <w:pStyle w:val="0"/>
            </w:pPr>
            <w:r>
              <w:rPr>
                <w:sz w:val="20"/>
              </w:rPr>
              <w:t xml:space="preserve">14</w:t>
            </w:r>
          </w:p>
        </w:tc>
        <w:tc>
          <w:tcPr>
            <w:tcW w:w="680" w:type="dxa"/>
          </w:tcPr>
          <w:p>
            <w:pPr>
              <w:pStyle w:val="0"/>
            </w:pPr>
            <w:r>
              <w:rPr>
                <w:sz w:val="20"/>
              </w:rPr>
              <w:t xml:space="preserve">11,4</w:t>
            </w:r>
          </w:p>
        </w:tc>
      </w:tr>
      <w:tr>
        <w:tc>
          <w:tcPr>
            <w:tcW w:w="2211" w:type="dxa"/>
          </w:tcPr>
          <w:p>
            <w:pPr>
              <w:pStyle w:val="0"/>
            </w:pPr>
            <w:r>
              <w:rPr>
                <w:sz w:val="20"/>
              </w:rPr>
              <w:t xml:space="preserve">Тело матки</w:t>
            </w:r>
          </w:p>
        </w:tc>
        <w:tc>
          <w:tcPr>
            <w:tcW w:w="1174" w:type="dxa"/>
          </w:tcPr>
          <w:p>
            <w:pPr>
              <w:pStyle w:val="0"/>
            </w:pPr>
            <w:r>
              <w:rPr>
                <w:sz w:val="20"/>
              </w:rPr>
              <w:t xml:space="preserve">С 54</w:t>
            </w:r>
          </w:p>
        </w:tc>
        <w:tc>
          <w:tcPr>
            <w:tcW w:w="680" w:type="dxa"/>
          </w:tcPr>
          <w:p>
            <w:pPr>
              <w:pStyle w:val="0"/>
            </w:pPr>
            <w:r>
              <w:rPr>
                <w:sz w:val="20"/>
              </w:rPr>
              <w:t xml:space="preserve">16</w:t>
            </w:r>
          </w:p>
        </w:tc>
        <w:tc>
          <w:tcPr>
            <w:tcW w:w="680" w:type="dxa"/>
          </w:tcPr>
          <w:p>
            <w:pPr>
              <w:pStyle w:val="0"/>
            </w:pPr>
            <w:r>
              <w:rPr>
                <w:sz w:val="20"/>
              </w:rPr>
              <w:t xml:space="preserve">9,4</w:t>
            </w:r>
          </w:p>
        </w:tc>
        <w:tc>
          <w:tcPr>
            <w:tcW w:w="680" w:type="dxa"/>
          </w:tcPr>
          <w:p>
            <w:pPr>
              <w:pStyle w:val="0"/>
            </w:pPr>
            <w:r>
              <w:rPr>
                <w:sz w:val="20"/>
              </w:rPr>
              <w:t xml:space="preserve">15</w:t>
            </w:r>
          </w:p>
        </w:tc>
        <w:tc>
          <w:tcPr>
            <w:tcW w:w="680" w:type="dxa"/>
          </w:tcPr>
          <w:p>
            <w:pPr>
              <w:pStyle w:val="0"/>
            </w:pPr>
            <w:r>
              <w:rPr>
                <w:sz w:val="20"/>
              </w:rPr>
              <w:t xml:space="preserve">9,6</w:t>
            </w:r>
          </w:p>
        </w:tc>
        <w:tc>
          <w:tcPr>
            <w:tcW w:w="680" w:type="dxa"/>
          </w:tcPr>
          <w:p>
            <w:pPr>
              <w:pStyle w:val="0"/>
            </w:pPr>
            <w:r>
              <w:rPr>
                <w:sz w:val="20"/>
              </w:rPr>
              <w:t xml:space="preserve">8</w:t>
            </w:r>
          </w:p>
        </w:tc>
        <w:tc>
          <w:tcPr>
            <w:tcW w:w="680" w:type="dxa"/>
          </w:tcPr>
          <w:p>
            <w:pPr>
              <w:pStyle w:val="0"/>
            </w:pPr>
            <w:r>
              <w:rPr>
                <w:sz w:val="20"/>
              </w:rPr>
              <w:t xml:space="preserve">4,1</w:t>
            </w:r>
          </w:p>
        </w:tc>
        <w:tc>
          <w:tcPr>
            <w:tcW w:w="680" w:type="dxa"/>
          </w:tcPr>
          <w:p>
            <w:pPr>
              <w:pStyle w:val="0"/>
            </w:pPr>
            <w:r>
              <w:rPr>
                <w:sz w:val="20"/>
              </w:rPr>
              <w:t xml:space="preserve">12</w:t>
            </w:r>
          </w:p>
        </w:tc>
        <w:tc>
          <w:tcPr>
            <w:tcW w:w="680" w:type="dxa"/>
          </w:tcPr>
          <w:p>
            <w:pPr>
              <w:pStyle w:val="0"/>
            </w:pPr>
            <w:r>
              <w:rPr>
                <w:sz w:val="20"/>
              </w:rPr>
              <w:t xml:space="preserve">7,6</w:t>
            </w:r>
          </w:p>
        </w:tc>
        <w:tc>
          <w:tcPr>
            <w:tcW w:w="680" w:type="dxa"/>
          </w:tcPr>
          <w:p>
            <w:pPr>
              <w:pStyle w:val="0"/>
            </w:pPr>
            <w:r>
              <w:rPr>
                <w:sz w:val="20"/>
              </w:rPr>
              <w:t xml:space="preserve">17</w:t>
            </w:r>
          </w:p>
        </w:tc>
        <w:tc>
          <w:tcPr>
            <w:tcW w:w="680" w:type="dxa"/>
          </w:tcPr>
          <w:p>
            <w:pPr>
              <w:pStyle w:val="0"/>
            </w:pPr>
            <w:r>
              <w:rPr>
                <w:sz w:val="20"/>
              </w:rPr>
              <w:t xml:space="preserve">8,2</w:t>
            </w:r>
          </w:p>
        </w:tc>
      </w:tr>
      <w:tr>
        <w:tc>
          <w:tcPr>
            <w:tcW w:w="2211" w:type="dxa"/>
          </w:tcPr>
          <w:p>
            <w:pPr>
              <w:pStyle w:val="0"/>
            </w:pPr>
            <w:r>
              <w:rPr>
                <w:sz w:val="20"/>
              </w:rPr>
              <w:t xml:space="preserve">Яичники</w:t>
            </w:r>
          </w:p>
        </w:tc>
        <w:tc>
          <w:tcPr>
            <w:tcW w:w="1174" w:type="dxa"/>
          </w:tcPr>
          <w:p>
            <w:pPr>
              <w:pStyle w:val="0"/>
            </w:pPr>
            <w:r>
              <w:rPr>
                <w:sz w:val="20"/>
              </w:rPr>
              <w:t xml:space="preserve">С 56</w:t>
            </w:r>
          </w:p>
        </w:tc>
        <w:tc>
          <w:tcPr>
            <w:tcW w:w="680" w:type="dxa"/>
          </w:tcPr>
          <w:p>
            <w:pPr>
              <w:pStyle w:val="0"/>
            </w:pPr>
            <w:r>
              <w:rPr>
                <w:sz w:val="20"/>
              </w:rPr>
              <w:t xml:space="preserve">22</w:t>
            </w:r>
          </w:p>
        </w:tc>
        <w:tc>
          <w:tcPr>
            <w:tcW w:w="680" w:type="dxa"/>
          </w:tcPr>
          <w:p>
            <w:pPr>
              <w:pStyle w:val="0"/>
            </w:pPr>
            <w:r>
              <w:rPr>
                <w:sz w:val="20"/>
              </w:rPr>
              <w:t xml:space="preserve">26,2</w:t>
            </w:r>
          </w:p>
        </w:tc>
        <w:tc>
          <w:tcPr>
            <w:tcW w:w="680" w:type="dxa"/>
          </w:tcPr>
          <w:p>
            <w:pPr>
              <w:pStyle w:val="0"/>
            </w:pPr>
            <w:r>
              <w:rPr>
                <w:sz w:val="20"/>
              </w:rPr>
              <w:t xml:space="preserve">20</w:t>
            </w:r>
          </w:p>
        </w:tc>
        <w:tc>
          <w:tcPr>
            <w:tcW w:w="680" w:type="dxa"/>
          </w:tcPr>
          <w:p>
            <w:pPr>
              <w:pStyle w:val="0"/>
            </w:pPr>
            <w:r>
              <w:rPr>
                <w:sz w:val="20"/>
              </w:rPr>
              <w:t xml:space="preserve">17,7</w:t>
            </w:r>
          </w:p>
        </w:tc>
        <w:tc>
          <w:tcPr>
            <w:tcW w:w="680" w:type="dxa"/>
          </w:tcPr>
          <w:p>
            <w:pPr>
              <w:pStyle w:val="0"/>
            </w:pPr>
            <w:r>
              <w:rPr>
                <w:sz w:val="20"/>
              </w:rPr>
              <w:t xml:space="preserve">28</w:t>
            </w:r>
          </w:p>
        </w:tc>
        <w:tc>
          <w:tcPr>
            <w:tcW w:w="680" w:type="dxa"/>
          </w:tcPr>
          <w:p>
            <w:pPr>
              <w:pStyle w:val="0"/>
            </w:pPr>
            <w:r>
              <w:rPr>
                <w:sz w:val="20"/>
              </w:rPr>
              <w:t xml:space="preserve">26,4</w:t>
            </w:r>
          </w:p>
        </w:tc>
        <w:tc>
          <w:tcPr>
            <w:tcW w:w="680" w:type="dxa"/>
          </w:tcPr>
          <w:p>
            <w:pPr>
              <w:pStyle w:val="0"/>
            </w:pPr>
            <w:r>
              <w:rPr>
                <w:sz w:val="20"/>
              </w:rPr>
              <w:t xml:space="preserve">13</w:t>
            </w:r>
          </w:p>
        </w:tc>
        <w:tc>
          <w:tcPr>
            <w:tcW w:w="680" w:type="dxa"/>
          </w:tcPr>
          <w:p>
            <w:pPr>
              <w:pStyle w:val="0"/>
            </w:pPr>
            <w:r>
              <w:rPr>
                <w:sz w:val="20"/>
              </w:rPr>
              <w:t xml:space="preserve">14,4</w:t>
            </w:r>
          </w:p>
        </w:tc>
        <w:tc>
          <w:tcPr>
            <w:tcW w:w="680" w:type="dxa"/>
          </w:tcPr>
          <w:p>
            <w:pPr>
              <w:pStyle w:val="0"/>
            </w:pPr>
            <w:r>
              <w:rPr>
                <w:sz w:val="20"/>
              </w:rPr>
              <w:t xml:space="preserve">14</w:t>
            </w:r>
          </w:p>
        </w:tc>
        <w:tc>
          <w:tcPr>
            <w:tcW w:w="680" w:type="dxa"/>
          </w:tcPr>
          <w:p>
            <w:pPr>
              <w:pStyle w:val="0"/>
            </w:pPr>
            <w:r>
              <w:rPr>
                <w:sz w:val="20"/>
              </w:rPr>
              <w:t xml:space="preserve">13,1</w:t>
            </w:r>
          </w:p>
        </w:tc>
      </w:tr>
      <w:tr>
        <w:tc>
          <w:tcPr>
            <w:tcW w:w="2211" w:type="dxa"/>
          </w:tcPr>
          <w:p>
            <w:pPr>
              <w:pStyle w:val="0"/>
            </w:pPr>
            <w:r>
              <w:rPr>
                <w:sz w:val="20"/>
              </w:rPr>
              <w:t xml:space="preserve">Предстательная железа</w:t>
            </w:r>
          </w:p>
        </w:tc>
        <w:tc>
          <w:tcPr>
            <w:tcW w:w="1174" w:type="dxa"/>
          </w:tcPr>
          <w:p>
            <w:pPr>
              <w:pStyle w:val="0"/>
            </w:pPr>
            <w:r>
              <w:rPr>
                <w:sz w:val="20"/>
              </w:rPr>
              <w:t xml:space="preserve">С 61</w:t>
            </w:r>
          </w:p>
        </w:tc>
        <w:tc>
          <w:tcPr>
            <w:tcW w:w="680" w:type="dxa"/>
          </w:tcPr>
          <w:p>
            <w:pPr>
              <w:pStyle w:val="0"/>
            </w:pPr>
            <w:r>
              <w:rPr>
                <w:sz w:val="20"/>
              </w:rPr>
              <w:t xml:space="preserve">21</w:t>
            </w:r>
          </w:p>
        </w:tc>
        <w:tc>
          <w:tcPr>
            <w:tcW w:w="680" w:type="dxa"/>
          </w:tcPr>
          <w:p>
            <w:pPr>
              <w:pStyle w:val="0"/>
            </w:pPr>
            <w:r>
              <w:rPr>
                <w:sz w:val="20"/>
              </w:rPr>
              <w:t xml:space="preserve">7,2</w:t>
            </w:r>
          </w:p>
        </w:tc>
        <w:tc>
          <w:tcPr>
            <w:tcW w:w="680" w:type="dxa"/>
          </w:tcPr>
          <w:p>
            <w:pPr>
              <w:pStyle w:val="0"/>
            </w:pPr>
            <w:r>
              <w:rPr>
                <w:sz w:val="20"/>
              </w:rPr>
              <w:t xml:space="preserve">21</w:t>
            </w:r>
          </w:p>
        </w:tc>
        <w:tc>
          <w:tcPr>
            <w:tcW w:w="680" w:type="dxa"/>
          </w:tcPr>
          <w:p>
            <w:pPr>
              <w:pStyle w:val="0"/>
            </w:pPr>
            <w:r>
              <w:rPr>
                <w:sz w:val="20"/>
              </w:rPr>
              <w:t xml:space="preserve">7,9</w:t>
            </w:r>
          </w:p>
        </w:tc>
        <w:tc>
          <w:tcPr>
            <w:tcW w:w="680" w:type="dxa"/>
          </w:tcPr>
          <w:p>
            <w:pPr>
              <w:pStyle w:val="0"/>
            </w:pPr>
            <w:r>
              <w:rPr>
                <w:sz w:val="20"/>
              </w:rPr>
              <w:t xml:space="preserve">19</w:t>
            </w:r>
          </w:p>
        </w:tc>
        <w:tc>
          <w:tcPr>
            <w:tcW w:w="680" w:type="dxa"/>
          </w:tcPr>
          <w:p>
            <w:pPr>
              <w:pStyle w:val="0"/>
            </w:pPr>
            <w:r>
              <w:rPr>
                <w:sz w:val="20"/>
              </w:rPr>
              <w:t xml:space="preserve">5,7</w:t>
            </w:r>
          </w:p>
        </w:tc>
        <w:tc>
          <w:tcPr>
            <w:tcW w:w="680" w:type="dxa"/>
          </w:tcPr>
          <w:p>
            <w:pPr>
              <w:pStyle w:val="0"/>
            </w:pPr>
            <w:r>
              <w:rPr>
                <w:sz w:val="20"/>
              </w:rPr>
              <w:t xml:space="preserve">12</w:t>
            </w:r>
          </w:p>
        </w:tc>
        <w:tc>
          <w:tcPr>
            <w:tcW w:w="680" w:type="dxa"/>
          </w:tcPr>
          <w:p>
            <w:pPr>
              <w:pStyle w:val="0"/>
            </w:pPr>
            <w:r>
              <w:rPr>
                <w:sz w:val="20"/>
              </w:rPr>
              <w:t xml:space="preserve">4,4</w:t>
            </w:r>
          </w:p>
        </w:tc>
        <w:tc>
          <w:tcPr>
            <w:tcW w:w="680" w:type="dxa"/>
          </w:tcPr>
          <w:p>
            <w:pPr>
              <w:pStyle w:val="0"/>
            </w:pPr>
            <w:r>
              <w:rPr>
                <w:sz w:val="20"/>
              </w:rPr>
              <w:t xml:space="preserve">14</w:t>
            </w:r>
          </w:p>
        </w:tc>
        <w:tc>
          <w:tcPr>
            <w:tcW w:w="680" w:type="dxa"/>
          </w:tcPr>
          <w:p>
            <w:pPr>
              <w:pStyle w:val="0"/>
            </w:pPr>
            <w:r>
              <w:rPr>
                <w:sz w:val="20"/>
              </w:rPr>
              <w:t xml:space="preserve">3,2</w:t>
            </w:r>
          </w:p>
        </w:tc>
      </w:tr>
      <w:tr>
        <w:tc>
          <w:tcPr>
            <w:tcW w:w="2211" w:type="dxa"/>
          </w:tcPr>
          <w:p>
            <w:pPr>
              <w:pStyle w:val="0"/>
            </w:pPr>
            <w:r>
              <w:rPr>
                <w:sz w:val="20"/>
              </w:rPr>
              <w:t xml:space="preserve">Почка</w:t>
            </w:r>
          </w:p>
        </w:tc>
        <w:tc>
          <w:tcPr>
            <w:tcW w:w="1174" w:type="dxa"/>
          </w:tcPr>
          <w:p>
            <w:pPr>
              <w:pStyle w:val="0"/>
            </w:pPr>
            <w:r>
              <w:rPr>
                <w:sz w:val="20"/>
              </w:rPr>
              <w:t xml:space="preserve">С 64</w:t>
            </w:r>
          </w:p>
        </w:tc>
        <w:tc>
          <w:tcPr>
            <w:tcW w:w="680" w:type="dxa"/>
          </w:tcPr>
          <w:p>
            <w:pPr>
              <w:pStyle w:val="0"/>
            </w:pPr>
            <w:r>
              <w:rPr>
                <w:sz w:val="20"/>
              </w:rPr>
              <w:t xml:space="preserve">38</w:t>
            </w:r>
          </w:p>
        </w:tc>
        <w:tc>
          <w:tcPr>
            <w:tcW w:w="680" w:type="dxa"/>
          </w:tcPr>
          <w:p>
            <w:pPr>
              <w:pStyle w:val="0"/>
            </w:pPr>
            <w:r>
              <w:rPr>
                <w:sz w:val="20"/>
              </w:rPr>
              <w:t xml:space="preserve">12,8</w:t>
            </w:r>
          </w:p>
        </w:tc>
        <w:tc>
          <w:tcPr>
            <w:tcW w:w="680" w:type="dxa"/>
          </w:tcPr>
          <w:p>
            <w:pPr>
              <w:pStyle w:val="0"/>
            </w:pPr>
            <w:r>
              <w:rPr>
                <w:sz w:val="20"/>
              </w:rPr>
              <w:t xml:space="preserve">33</w:t>
            </w:r>
          </w:p>
        </w:tc>
        <w:tc>
          <w:tcPr>
            <w:tcW w:w="680" w:type="dxa"/>
          </w:tcPr>
          <w:p>
            <w:pPr>
              <w:pStyle w:val="0"/>
            </w:pPr>
            <w:r>
              <w:rPr>
                <w:sz w:val="20"/>
              </w:rPr>
              <w:t xml:space="preserve">15,6</w:t>
            </w:r>
          </w:p>
        </w:tc>
        <w:tc>
          <w:tcPr>
            <w:tcW w:w="680" w:type="dxa"/>
          </w:tcPr>
          <w:p>
            <w:pPr>
              <w:pStyle w:val="0"/>
            </w:pPr>
            <w:r>
              <w:rPr>
                <w:sz w:val="20"/>
              </w:rPr>
              <w:t xml:space="preserve">28</w:t>
            </w:r>
          </w:p>
        </w:tc>
        <w:tc>
          <w:tcPr>
            <w:tcW w:w="680" w:type="dxa"/>
          </w:tcPr>
          <w:p>
            <w:pPr>
              <w:pStyle w:val="0"/>
            </w:pPr>
            <w:r>
              <w:rPr>
                <w:sz w:val="20"/>
              </w:rPr>
              <w:t xml:space="preserve">12,4</w:t>
            </w:r>
          </w:p>
        </w:tc>
        <w:tc>
          <w:tcPr>
            <w:tcW w:w="680" w:type="dxa"/>
          </w:tcPr>
          <w:p>
            <w:pPr>
              <w:pStyle w:val="0"/>
            </w:pPr>
            <w:r>
              <w:rPr>
                <w:sz w:val="20"/>
              </w:rPr>
              <w:t xml:space="preserve">23</w:t>
            </w:r>
          </w:p>
        </w:tc>
        <w:tc>
          <w:tcPr>
            <w:tcW w:w="680" w:type="dxa"/>
          </w:tcPr>
          <w:p>
            <w:pPr>
              <w:pStyle w:val="0"/>
            </w:pPr>
            <w:r>
              <w:rPr>
                <w:sz w:val="20"/>
              </w:rPr>
              <w:t xml:space="preserve">11,4</w:t>
            </w:r>
          </w:p>
        </w:tc>
        <w:tc>
          <w:tcPr>
            <w:tcW w:w="680" w:type="dxa"/>
          </w:tcPr>
          <w:p>
            <w:pPr>
              <w:pStyle w:val="0"/>
            </w:pPr>
            <w:r>
              <w:rPr>
                <w:sz w:val="20"/>
              </w:rPr>
              <w:t xml:space="preserve">23</w:t>
            </w:r>
          </w:p>
        </w:tc>
        <w:tc>
          <w:tcPr>
            <w:tcW w:w="680" w:type="dxa"/>
          </w:tcPr>
          <w:p>
            <w:pPr>
              <w:pStyle w:val="0"/>
            </w:pPr>
            <w:r>
              <w:rPr>
                <w:sz w:val="20"/>
              </w:rPr>
              <w:t xml:space="preserve">9,2</w:t>
            </w:r>
          </w:p>
        </w:tc>
      </w:tr>
      <w:tr>
        <w:tc>
          <w:tcPr>
            <w:tcW w:w="2211" w:type="dxa"/>
          </w:tcPr>
          <w:p>
            <w:pPr>
              <w:pStyle w:val="0"/>
            </w:pPr>
            <w:r>
              <w:rPr>
                <w:sz w:val="20"/>
              </w:rPr>
              <w:t xml:space="preserve">Мочевой пузырь</w:t>
            </w:r>
          </w:p>
        </w:tc>
        <w:tc>
          <w:tcPr>
            <w:tcW w:w="1174" w:type="dxa"/>
          </w:tcPr>
          <w:p>
            <w:pPr>
              <w:pStyle w:val="0"/>
            </w:pPr>
            <w:r>
              <w:rPr>
                <w:sz w:val="20"/>
              </w:rPr>
              <w:t xml:space="preserve">С 67</w:t>
            </w:r>
          </w:p>
        </w:tc>
        <w:tc>
          <w:tcPr>
            <w:tcW w:w="680" w:type="dxa"/>
          </w:tcPr>
          <w:p>
            <w:pPr>
              <w:pStyle w:val="0"/>
            </w:pPr>
            <w:r>
              <w:rPr>
                <w:sz w:val="20"/>
              </w:rPr>
              <w:t xml:space="preserve">22</w:t>
            </w:r>
          </w:p>
        </w:tc>
        <w:tc>
          <w:tcPr>
            <w:tcW w:w="680" w:type="dxa"/>
          </w:tcPr>
          <w:p>
            <w:pPr>
              <w:pStyle w:val="0"/>
            </w:pPr>
            <w:r>
              <w:rPr>
                <w:sz w:val="20"/>
              </w:rPr>
              <w:t xml:space="preserve">19,5</w:t>
            </w:r>
          </w:p>
        </w:tc>
        <w:tc>
          <w:tcPr>
            <w:tcW w:w="680" w:type="dxa"/>
          </w:tcPr>
          <w:p>
            <w:pPr>
              <w:pStyle w:val="0"/>
            </w:pPr>
            <w:r>
              <w:rPr>
                <w:sz w:val="20"/>
              </w:rPr>
              <w:t xml:space="preserve">11</w:t>
            </w:r>
          </w:p>
        </w:tc>
        <w:tc>
          <w:tcPr>
            <w:tcW w:w="680" w:type="dxa"/>
          </w:tcPr>
          <w:p>
            <w:pPr>
              <w:pStyle w:val="0"/>
            </w:pPr>
            <w:r>
              <w:rPr>
                <w:sz w:val="20"/>
              </w:rPr>
              <w:t xml:space="preserve">11</w:t>
            </w:r>
          </w:p>
        </w:tc>
        <w:tc>
          <w:tcPr>
            <w:tcW w:w="680" w:type="dxa"/>
          </w:tcPr>
          <w:p>
            <w:pPr>
              <w:pStyle w:val="0"/>
            </w:pPr>
            <w:r>
              <w:rPr>
                <w:sz w:val="20"/>
              </w:rPr>
              <w:t xml:space="preserve">11</w:t>
            </w:r>
          </w:p>
        </w:tc>
        <w:tc>
          <w:tcPr>
            <w:tcW w:w="680" w:type="dxa"/>
          </w:tcPr>
          <w:p>
            <w:pPr>
              <w:pStyle w:val="0"/>
            </w:pPr>
            <w:r>
              <w:rPr>
                <w:sz w:val="20"/>
              </w:rPr>
              <w:t xml:space="preserve">9,6</w:t>
            </w:r>
          </w:p>
        </w:tc>
        <w:tc>
          <w:tcPr>
            <w:tcW w:w="680" w:type="dxa"/>
          </w:tcPr>
          <w:p>
            <w:pPr>
              <w:pStyle w:val="0"/>
            </w:pPr>
            <w:r>
              <w:rPr>
                <w:sz w:val="20"/>
              </w:rPr>
              <w:t xml:space="preserve">13</w:t>
            </w:r>
          </w:p>
        </w:tc>
        <w:tc>
          <w:tcPr>
            <w:tcW w:w="680" w:type="dxa"/>
          </w:tcPr>
          <w:p>
            <w:pPr>
              <w:pStyle w:val="0"/>
            </w:pPr>
            <w:r>
              <w:rPr>
                <w:sz w:val="20"/>
              </w:rPr>
              <w:t xml:space="preserve">13</w:t>
            </w:r>
          </w:p>
        </w:tc>
        <w:tc>
          <w:tcPr>
            <w:tcW w:w="680" w:type="dxa"/>
          </w:tcPr>
          <w:p>
            <w:pPr>
              <w:pStyle w:val="0"/>
            </w:pPr>
            <w:r>
              <w:rPr>
                <w:sz w:val="20"/>
              </w:rPr>
              <w:t xml:space="preserve">10</w:t>
            </w:r>
          </w:p>
        </w:tc>
        <w:tc>
          <w:tcPr>
            <w:tcW w:w="680" w:type="dxa"/>
          </w:tcPr>
          <w:p>
            <w:pPr>
              <w:pStyle w:val="0"/>
            </w:pPr>
            <w:r>
              <w:rPr>
                <w:sz w:val="20"/>
              </w:rPr>
              <w:t xml:space="preserve">10,1</w:t>
            </w:r>
          </w:p>
        </w:tc>
      </w:tr>
      <w:tr>
        <w:tc>
          <w:tcPr>
            <w:tcW w:w="2211" w:type="dxa"/>
          </w:tcPr>
          <w:p>
            <w:pPr>
              <w:pStyle w:val="0"/>
            </w:pPr>
            <w:r>
              <w:rPr>
                <w:sz w:val="20"/>
              </w:rPr>
              <w:t xml:space="preserve">Щитовидная железа</w:t>
            </w:r>
          </w:p>
        </w:tc>
        <w:tc>
          <w:tcPr>
            <w:tcW w:w="1174" w:type="dxa"/>
          </w:tcPr>
          <w:p>
            <w:pPr>
              <w:pStyle w:val="0"/>
            </w:pPr>
            <w:r>
              <w:rPr>
                <w:sz w:val="20"/>
              </w:rPr>
              <w:t xml:space="preserve">С 73</w:t>
            </w:r>
          </w:p>
        </w:tc>
        <w:tc>
          <w:tcPr>
            <w:tcW w:w="680" w:type="dxa"/>
          </w:tcPr>
          <w:p>
            <w:pPr>
              <w:pStyle w:val="0"/>
            </w:pPr>
            <w:r>
              <w:rPr>
                <w:sz w:val="20"/>
              </w:rPr>
              <w:t xml:space="preserve">-</w:t>
            </w:r>
          </w:p>
        </w:tc>
        <w:tc>
          <w:tcPr>
            <w:tcW w:w="680" w:type="dxa"/>
          </w:tcPr>
          <w:p>
            <w:pPr>
              <w:pStyle w:val="0"/>
            </w:pPr>
            <w:r>
              <w:rPr>
                <w:sz w:val="20"/>
              </w:rPr>
              <w:t xml:space="preserve">-</w:t>
            </w:r>
          </w:p>
        </w:tc>
        <w:tc>
          <w:tcPr>
            <w:tcW w:w="680" w:type="dxa"/>
          </w:tcPr>
          <w:p>
            <w:pPr>
              <w:pStyle w:val="0"/>
            </w:pPr>
            <w:r>
              <w:rPr>
                <w:sz w:val="20"/>
              </w:rPr>
              <w:t xml:space="preserve">3</w:t>
            </w:r>
          </w:p>
        </w:tc>
        <w:tc>
          <w:tcPr>
            <w:tcW w:w="680" w:type="dxa"/>
          </w:tcPr>
          <w:p>
            <w:pPr>
              <w:pStyle w:val="0"/>
            </w:pPr>
            <w:r>
              <w:rPr>
                <w:sz w:val="20"/>
              </w:rPr>
              <w:t xml:space="preserve">2,7</w:t>
            </w:r>
          </w:p>
        </w:tc>
        <w:tc>
          <w:tcPr>
            <w:tcW w:w="680" w:type="dxa"/>
          </w:tcPr>
          <w:p>
            <w:pPr>
              <w:pStyle w:val="0"/>
            </w:pPr>
            <w:r>
              <w:rPr>
                <w:sz w:val="20"/>
              </w:rPr>
              <w:t xml:space="preserve">2</w:t>
            </w:r>
          </w:p>
        </w:tc>
        <w:tc>
          <w:tcPr>
            <w:tcW w:w="680" w:type="dxa"/>
          </w:tcPr>
          <w:p>
            <w:pPr>
              <w:pStyle w:val="0"/>
            </w:pPr>
            <w:r>
              <w:rPr>
                <w:sz w:val="20"/>
              </w:rPr>
              <w:t xml:space="preserve">0</w:t>
            </w:r>
          </w:p>
        </w:tc>
        <w:tc>
          <w:tcPr>
            <w:tcW w:w="680" w:type="dxa"/>
          </w:tcPr>
          <w:p>
            <w:pPr>
              <w:pStyle w:val="0"/>
            </w:pPr>
            <w:r>
              <w:rPr>
                <w:sz w:val="20"/>
              </w:rPr>
              <w:t xml:space="preserve">2</w:t>
            </w:r>
          </w:p>
        </w:tc>
        <w:tc>
          <w:tcPr>
            <w:tcW w:w="680" w:type="dxa"/>
          </w:tcPr>
          <w:p>
            <w:pPr>
              <w:pStyle w:val="0"/>
            </w:pPr>
            <w:r>
              <w:rPr>
                <w:sz w:val="20"/>
              </w:rPr>
              <w:t xml:space="preserve">2,3</w:t>
            </w:r>
          </w:p>
        </w:tc>
        <w:tc>
          <w:tcPr>
            <w:tcW w:w="680" w:type="dxa"/>
          </w:tcPr>
          <w:p>
            <w:pPr>
              <w:pStyle w:val="0"/>
            </w:pPr>
            <w:r>
              <w:rPr>
                <w:sz w:val="20"/>
              </w:rPr>
              <w:t xml:space="preserve">0</w:t>
            </w:r>
          </w:p>
        </w:tc>
        <w:tc>
          <w:tcPr>
            <w:tcW w:w="680" w:type="dxa"/>
          </w:tcPr>
          <w:p>
            <w:pPr>
              <w:pStyle w:val="0"/>
            </w:pPr>
            <w:r>
              <w:rPr>
                <w:sz w:val="20"/>
              </w:rPr>
              <w:t xml:space="preserve">0,0</w:t>
            </w:r>
          </w:p>
        </w:tc>
      </w:tr>
      <w:tr>
        <w:tc>
          <w:tcPr>
            <w:tcW w:w="2211" w:type="dxa"/>
          </w:tcPr>
          <w:p>
            <w:pPr>
              <w:pStyle w:val="0"/>
            </w:pPr>
            <w:r>
              <w:rPr>
                <w:sz w:val="20"/>
              </w:rPr>
              <w:t xml:space="preserve">Лимфатическая и кроветв. ткань</w:t>
            </w:r>
          </w:p>
        </w:tc>
        <w:tc>
          <w:tcPr>
            <w:tcW w:w="1174" w:type="dxa"/>
          </w:tcPr>
          <w:p>
            <w:pPr>
              <w:pStyle w:val="0"/>
            </w:pPr>
            <w:r>
              <w:rPr>
                <w:sz w:val="20"/>
              </w:rPr>
              <w:t xml:space="preserve">С 81 - 96</w:t>
            </w:r>
          </w:p>
        </w:tc>
        <w:tc>
          <w:tcPr>
            <w:tcW w:w="680" w:type="dxa"/>
          </w:tcPr>
          <w:p>
            <w:pPr>
              <w:pStyle w:val="0"/>
            </w:pPr>
            <w:r>
              <w:rPr>
                <w:sz w:val="20"/>
              </w:rPr>
              <w:t xml:space="preserve">50</w:t>
            </w:r>
          </w:p>
        </w:tc>
        <w:tc>
          <w:tcPr>
            <w:tcW w:w="680" w:type="dxa"/>
          </w:tcPr>
          <w:p>
            <w:pPr>
              <w:pStyle w:val="0"/>
            </w:pPr>
            <w:r>
              <w:rPr>
                <w:sz w:val="20"/>
              </w:rPr>
              <w:t xml:space="preserve">49,6</w:t>
            </w:r>
          </w:p>
        </w:tc>
        <w:tc>
          <w:tcPr>
            <w:tcW w:w="680" w:type="dxa"/>
          </w:tcPr>
          <w:p>
            <w:pPr>
              <w:pStyle w:val="0"/>
            </w:pPr>
            <w:r>
              <w:rPr>
                <w:sz w:val="20"/>
              </w:rPr>
              <w:t xml:space="preserve">41</w:t>
            </w:r>
          </w:p>
        </w:tc>
        <w:tc>
          <w:tcPr>
            <w:tcW w:w="680" w:type="dxa"/>
          </w:tcPr>
          <w:p>
            <w:pPr>
              <w:pStyle w:val="0"/>
            </w:pPr>
            <w:r>
              <w:rPr>
                <w:sz w:val="20"/>
              </w:rPr>
              <w:t xml:space="preserve">44,2</w:t>
            </w:r>
          </w:p>
        </w:tc>
        <w:tc>
          <w:tcPr>
            <w:tcW w:w="680" w:type="dxa"/>
          </w:tcPr>
          <w:p>
            <w:pPr>
              <w:pStyle w:val="0"/>
            </w:pPr>
            <w:r>
              <w:rPr>
                <w:sz w:val="20"/>
              </w:rPr>
              <w:t xml:space="preserve">58</w:t>
            </w:r>
          </w:p>
        </w:tc>
        <w:tc>
          <w:tcPr>
            <w:tcW w:w="680" w:type="dxa"/>
          </w:tcPr>
          <w:p>
            <w:pPr>
              <w:pStyle w:val="0"/>
            </w:pPr>
            <w:r>
              <w:rPr>
                <w:sz w:val="20"/>
              </w:rPr>
              <w:t xml:space="preserve">19,7</w:t>
            </w:r>
          </w:p>
        </w:tc>
        <w:tc>
          <w:tcPr>
            <w:tcW w:w="680" w:type="dxa"/>
          </w:tcPr>
          <w:p>
            <w:pPr>
              <w:pStyle w:val="0"/>
            </w:pPr>
            <w:r>
              <w:rPr>
                <w:sz w:val="20"/>
              </w:rPr>
              <w:t xml:space="preserve">39</w:t>
            </w:r>
          </w:p>
        </w:tc>
        <w:tc>
          <w:tcPr>
            <w:tcW w:w="680" w:type="dxa"/>
          </w:tcPr>
          <w:p>
            <w:pPr>
              <w:pStyle w:val="0"/>
            </w:pPr>
            <w:r>
              <w:rPr>
                <w:sz w:val="20"/>
              </w:rPr>
              <w:t xml:space="preserve">15,8</w:t>
            </w:r>
          </w:p>
        </w:tc>
        <w:tc>
          <w:tcPr>
            <w:tcW w:w="680" w:type="dxa"/>
          </w:tcPr>
          <w:p>
            <w:pPr>
              <w:pStyle w:val="0"/>
            </w:pPr>
            <w:r>
              <w:rPr>
                <w:sz w:val="20"/>
              </w:rPr>
              <w:t xml:space="preserve">38</w:t>
            </w:r>
          </w:p>
        </w:tc>
        <w:tc>
          <w:tcPr>
            <w:tcW w:w="680" w:type="dxa"/>
          </w:tcPr>
          <w:p>
            <w:pPr>
              <w:pStyle w:val="0"/>
            </w:pPr>
            <w:r>
              <w:rPr>
                <w:sz w:val="20"/>
              </w:rPr>
              <w:t xml:space="preserve">15,8</w:t>
            </w:r>
          </w:p>
        </w:tc>
      </w:tr>
    </w:tbl>
    <w:p>
      <w:pPr>
        <w:pStyle w:val="0"/>
        <w:jc w:val="right"/>
      </w:pPr>
      <w:r>
        <w:rPr>
          <w:sz w:val="20"/>
        </w:rPr>
      </w:r>
    </w:p>
    <w:p>
      <w:pPr>
        <w:pStyle w:val="0"/>
        <w:jc w:val="right"/>
      </w:pPr>
      <w:r>
        <w:rPr>
          <w:sz w:val="20"/>
        </w:rPr>
        <w:t xml:space="preserve">Таблица 27</w:t>
      </w:r>
    </w:p>
    <w:p>
      <w:pPr>
        <w:pStyle w:val="0"/>
        <w:jc w:val="right"/>
      </w:pPr>
      <w:r>
        <w:rPr>
          <w:sz w:val="20"/>
        </w:rPr>
      </w:r>
    </w:p>
    <w:p>
      <w:pPr>
        <w:pStyle w:val="0"/>
        <w:jc w:val="center"/>
      </w:pPr>
      <w:r>
        <w:rPr>
          <w:sz w:val="20"/>
        </w:rPr>
        <w:t xml:space="preserve">Летальность больных в течение года с момента установления</w:t>
      </w:r>
    </w:p>
    <w:p>
      <w:pPr>
        <w:pStyle w:val="0"/>
        <w:jc w:val="center"/>
      </w:pPr>
      <w:r>
        <w:rPr>
          <w:sz w:val="20"/>
        </w:rPr>
        <w:t xml:space="preserve">диагноза злокачественного новообразования (из числа больных,</w:t>
      </w:r>
    </w:p>
    <w:p>
      <w:pPr>
        <w:pStyle w:val="0"/>
        <w:jc w:val="center"/>
      </w:pPr>
      <w:r>
        <w:rPr>
          <w:sz w:val="20"/>
        </w:rPr>
        <w:t xml:space="preserve">впервые взятых на учет в предыдущем году) в соотношении</w:t>
      </w:r>
    </w:p>
    <w:p>
      <w:pPr>
        <w:pStyle w:val="0"/>
        <w:jc w:val="center"/>
      </w:pPr>
      <w:r>
        <w:rPr>
          <w:sz w:val="20"/>
        </w:rPr>
        <w:t xml:space="preserve">к запущенности IV стадии по муниципальным образованиям</w:t>
      </w:r>
    </w:p>
    <w:p>
      <w:pPr>
        <w:pStyle w:val="0"/>
        <w:jc w:val="center"/>
      </w:pPr>
      <w:r>
        <w:rPr>
          <w:sz w:val="20"/>
        </w:rPr>
        <w:t xml:space="preserve">автономного округа в 2013 - 2017 годах</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847"/>
        <w:gridCol w:w="948"/>
        <w:gridCol w:w="949"/>
        <w:gridCol w:w="765"/>
        <w:gridCol w:w="843"/>
        <w:gridCol w:w="656"/>
        <w:gridCol w:w="807"/>
        <w:gridCol w:w="850"/>
        <w:gridCol w:w="709"/>
        <w:gridCol w:w="709"/>
      </w:tblGrid>
      <w:tr>
        <w:tc>
          <w:tcPr>
            <w:tcW w:w="2381" w:type="dxa"/>
            <w:vAlign w:val="center"/>
            <w:vMerge w:val="restart"/>
          </w:tcPr>
          <w:p>
            <w:pPr>
              <w:pStyle w:val="0"/>
              <w:jc w:val="center"/>
            </w:pPr>
            <w:r>
              <w:rPr>
                <w:sz w:val="20"/>
              </w:rPr>
              <w:t xml:space="preserve">Муниципальные районы и городские округа</w:t>
            </w:r>
          </w:p>
        </w:tc>
        <w:tc>
          <w:tcPr>
            <w:gridSpan w:val="5"/>
            <w:tcW w:w="4352" w:type="dxa"/>
            <w:vAlign w:val="center"/>
          </w:tcPr>
          <w:p>
            <w:pPr>
              <w:pStyle w:val="0"/>
              <w:jc w:val="center"/>
            </w:pPr>
            <w:r>
              <w:rPr>
                <w:sz w:val="20"/>
              </w:rPr>
              <w:t xml:space="preserve">Летальность на 1 году от установления диагноза</w:t>
            </w:r>
          </w:p>
        </w:tc>
        <w:tc>
          <w:tcPr>
            <w:gridSpan w:val="5"/>
            <w:tcW w:w="3731" w:type="dxa"/>
            <w:vAlign w:val="center"/>
          </w:tcPr>
          <w:p>
            <w:pPr>
              <w:pStyle w:val="0"/>
              <w:jc w:val="center"/>
            </w:pPr>
            <w:r>
              <w:rPr>
                <w:sz w:val="20"/>
              </w:rPr>
              <w:t xml:space="preserve">Соотношение одногодичной летальности и запущенности</w:t>
            </w:r>
          </w:p>
        </w:tc>
      </w:tr>
      <w:tr>
        <w:tc>
          <w:tcPr>
            <w:vMerge w:val="continue"/>
          </w:tcPr>
          <w:p/>
        </w:tc>
        <w:tc>
          <w:tcPr>
            <w:tcW w:w="847" w:type="dxa"/>
            <w:vAlign w:val="center"/>
          </w:tcPr>
          <w:p>
            <w:pPr>
              <w:pStyle w:val="0"/>
              <w:jc w:val="center"/>
            </w:pPr>
            <w:r>
              <w:rPr>
                <w:sz w:val="20"/>
              </w:rPr>
              <w:t xml:space="preserve">2013</w:t>
            </w:r>
          </w:p>
        </w:tc>
        <w:tc>
          <w:tcPr>
            <w:tcW w:w="948" w:type="dxa"/>
            <w:vAlign w:val="center"/>
          </w:tcPr>
          <w:p>
            <w:pPr>
              <w:pStyle w:val="0"/>
              <w:jc w:val="center"/>
            </w:pPr>
            <w:r>
              <w:rPr>
                <w:sz w:val="20"/>
              </w:rPr>
              <w:t xml:space="preserve">2014</w:t>
            </w:r>
          </w:p>
        </w:tc>
        <w:tc>
          <w:tcPr>
            <w:tcW w:w="949" w:type="dxa"/>
            <w:vAlign w:val="center"/>
          </w:tcPr>
          <w:p>
            <w:pPr>
              <w:pStyle w:val="0"/>
              <w:jc w:val="center"/>
            </w:pPr>
            <w:r>
              <w:rPr>
                <w:sz w:val="20"/>
              </w:rPr>
              <w:t xml:space="preserve">2015</w:t>
            </w:r>
          </w:p>
        </w:tc>
        <w:tc>
          <w:tcPr>
            <w:tcW w:w="765" w:type="dxa"/>
            <w:vAlign w:val="center"/>
          </w:tcPr>
          <w:p>
            <w:pPr>
              <w:pStyle w:val="0"/>
              <w:jc w:val="center"/>
            </w:pPr>
            <w:r>
              <w:rPr>
                <w:sz w:val="20"/>
              </w:rPr>
              <w:t xml:space="preserve">2016</w:t>
            </w:r>
          </w:p>
        </w:tc>
        <w:tc>
          <w:tcPr>
            <w:tcW w:w="843" w:type="dxa"/>
            <w:vAlign w:val="center"/>
          </w:tcPr>
          <w:p>
            <w:pPr>
              <w:pStyle w:val="0"/>
              <w:jc w:val="center"/>
            </w:pPr>
            <w:r>
              <w:rPr>
                <w:sz w:val="20"/>
              </w:rPr>
              <w:t xml:space="preserve">2017</w:t>
            </w:r>
          </w:p>
        </w:tc>
        <w:tc>
          <w:tcPr>
            <w:tcW w:w="656" w:type="dxa"/>
            <w:vAlign w:val="center"/>
          </w:tcPr>
          <w:p>
            <w:pPr>
              <w:pStyle w:val="0"/>
              <w:jc w:val="center"/>
            </w:pPr>
            <w:r>
              <w:rPr>
                <w:sz w:val="20"/>
              </w:rPr>
              <w:t xml:space="preserve">2013</w:t>
            </w:r>
          </w:p>
        </w:tc>
        <w:tc>
          <w:tcPr>
            <w:tcW w:w="807" w:type="dxa"/>
            <w:vAlign w:val="center"/>
          </w:tcPr>
          <w:p>
            <w:pPr>
              <w:pStyle w:val="0"/>
              <w:jc w:val="center"/>
            </w:pPr>
            <w:r>
              <w:rPr>
                <w:sz w:val="20"/>
              </w:rPr>
              <w:t xml:space="preserve">2014</w:t>
            </w:r>
          </w:p>
        </w:tc>
        <w:tc>
          <w:tcPr>
            <w:tcW w:w="850" w:type="dxa"/>
            <w:vAlign w:val="center"/>
          </w:tcPr>
          <w:p>
            <w:pPr>
              <w:pStyle w:val="0"/>
              <w:jc w:val="center"/>
            </w:pPr>
            <w:r>
              <w:rPr>
                <w:sz w:val="20"/>
              </w:rPr>
              <w:t xml:space="preserve">2015</w:t>
            </w:r>
          </w:p>
        </w:tc>
        <w:tc>
          <w:tcPr>
            <w:tcW w:w="709" w:type="dxa"/>
            <w:vAlign w:val="center"/>
          </w:tcPr>
          <w:p>
            <w:pPr>
              <w:pStyle w:val="0"/>
              <w:jc w:val="center"/>
            </w:pPr>
            <w:r>
              <w:rPr>
                <w:sz w:val="20"/>
              </w:rPr>
              <w:t xml:space="preserve">2016</w:t>
            </w:r>
          </w:p>
        </w:tc>
        <w:tc>
          <w:tcPr>
            <w:tcW w:w="709" w:type="dxa"/>
            <w:vAlign w:val="center"/>
          </w:tcPr>
          <w:p>
            <w:pPr>
              <w:pStyle w:val="0"/>
              <w:jc w:val="center"/>
            </w:pPr>
            <w:r>
              <w:rPr>
                <w:sz w:val="20"/>
              </w:rPr>
              <w:t xml:space="preserve">2017</w:t>
            </w:r>
          </w:p>
        </w:tc>
      </w:tr>
      <w:tr>
        <w:tc>
          <w:tcPr>
            <w:tcW w:w="2381" w:type="dxa"/>
            <w:vAlign w:val="center"/>
          </w:tcPr>
          <w:p>
            <w:pPr>
              <w:pStyle w:val="0"/>
            </w:pPr>
            <w:r>
              <w:rPr>
                <w:sz w:val="20"/>
              </w:rPr>
              <w:t xml:space="preserve">Ханты-Мансийск</w:t>
            </w:r>
          </w:p>
        </w:tc>
        <w:tc>
          <w:tcPr>
            <w:tcW w:w="847" w:type="dxa"/>
            <w:vAlign w:val="center"/>
          </w:tcPr>
          <w:p>
            <w:pPr>
              <w:pStyle w:val="0"/>
              <w:jc w:val="center"/>
            </w:pPr>
            <w:r>
              <w:rPr>
                <w:sz w:val="20"/>
              </w:rPr>
              <w:t xml:space="preserve">24,4</w:t>
            </w:r>
          </w:p>
        </w:tc>
        <w:tc>
          <w:tcPr>
            <w:tcW w:w="948" w:type="dxa"/>
            <w:vAlign w:val="center"/>
          </w:tcPr>
          <w:p>
            <w:pPr>
              <w:pStyle w:val="0"/>
              <w:jc w:val="center"/>
            </w:pPr>
            <w:r>
              <w:rPr>
                <w:sz w:val="20"/>
              </w:rPr>
              <w:t xml:space="preserve">23,8</w:t>
            </w:r>
          </w:p>
        </w:tc>
        <w:tc>
          <w:tcPr>
            <w:tcW w:w="949" w:type="dxa"/>
            <w:vAlign w:val="center"/>
          </w:tcPr>
          <w:p>
            <w:pPr>
              <w:pStyle w:val="0"/>
              <w:jc w:val="center"/>
            </w:pPr>
            <w:r>
              <w:rPr>
                <w:sz w:val="20"/>
              </w:rPr>
              <w:t xml:space="preserve">23,8</w:t>
            </w:r>
          </w:p>
        </w:tc>
        <w:tc>
          <w:tcPr>
            <w:tcW w:w="765" w:type="dxa"/>
            <w:vAlign w:val="center"/>
          </w:tcPr>
          <w:p>
            <w:pPr>
              <w:pStyle w:val="0"/>
              <w:jc w:val="center"/>
            </w:pPr>
            <w:r>
              <w:rPr>
                <w:sz w:val="20"/>
              </w:rPr>
              <w:t xml:space="preserve">23,8</w:t>
            </w:r>
          </w:p>
        </w:tc>
        <w:tc>
          <w:tcPr>
            <w:tcW w:w="843" w:type="dxa"/>
            <w:vAlign w:val="center"/>
          </w:tcPr>
          <w:p>
            <w:pPr>
              <w:pStyle w:val="0"/>
              <w:jc w:val="center"/>
            </w:pPr>
            <w:r>
              <w:rPr>
                <w:sz w:val="20"/>
              </w:rPr>
              <w:t xml:space="preserve">17,1</w:t>
            </w:r>
          </w:p>
        </w:tc>
        <w:tc>
          <w:tcPr>
            <w:tcW w:w="656" w:type="dxa"/>
            <w:vAlign w:val="center"/>
          </w:tcPr>
          <w:p>
            <w:pPr>
              <w:pStyle w:val="0"/>
              <w:jc w:val="center"/>
            </w:pPr>
            <w:r>
              <w:rPr>
                <w:sz w:val="20"/>
              </w:rPr>
              <w:t xml:space="preserve">1,1</w:t>
            </w:r>
          </w:p>
        </w:tc>
        <w:tc>
          <w:tcPr>
            <w:tcW w:w="807" w:type="dxa"/>
            <w:vAlign w:val="center"/>
          </w:tcPr>
          <w:p>
            <w:pPr>
              <w:pStyle w:val="0"/>
              <w:jc w:val="center"/>
            </w:pPr>
            <w:r>
              <w:rPr>
                <w:sz w:val="20"/>
              </w:rPr>
              <w:t xml:space="preserve">1,1</w:t>
            </w:r>
          </w:p>
        </w:tc>
        <w:tc>
          <w:tcPr>
            <w:tcW w:w="850" w:type="dxa"/>
            <w:vAlign w:val="center"/>
          </w:tcPr>
          <w:p>
            <w:pPr>
              <w:pStyle w:val="0"/>
              <w:jc w:val="center"/>
            </w:pPr>
            <w:r>
              <w:rPr>
                <w:sz w:val="20"/>
              </w:rPr>
              <w:t xml:space="preserve">1,3</w:t>
            </w:r>
          </w:p>
        </w:tc>
        <w:tc>
          <w:tcPr>
            <w:tcW w:w="709" w:type="dxa"/>
            <w:vAlign w:val="center"/>
          </w:tcPr>
          <w:p>
            <w:pPr>
              <w:pStyle w:val="0"/>
              <w:jc w:val="center"/>
            </w:pPr>
            <w:r>
              <w:rPr>
                <w:sz w:val="20"/>
              </w:rPr>
              <w:t xml:space="preserve">1,3</w:t>
            </w:r>
          </w:p>
        </w:tc>
        <w:tc>
          <w:tcPr>
            <w:tcW w:w="709" w:type="dxa"/>
            <w:vAlign w:val="center"/>
          </w:tcPr>
          <w:p>
            <w:pPr>
              <w:pStyle w:val="0"/>
              <w:jc w:val="center"/>
            </w:pPr>
            <w:r>
              <w:rPr>
                <w:sz w:val="20"/>
              </w:rPr>
              <w:t xml:space="preserve">0,8</w:t>
            </w:r>
          </w:p>
        </w:tc>
      </w:tr>
      <w:tr>
        <w:tc>
          <w:tcPr>
            <w:tcW w:w="2381" w:type="dxa"/>
            <w:vAlign w:val="center"/>
          </w:tcPr>
          <w:p>
            <w:pPr>
              <w:pStyle w:val="0"/>
            </w:pPr>
            <w:r>
              <w:rPr>
                <w:sz w:val="20"/>
              </w:rPr>
              <w:t xml:space="preserve">Нягань</w:t>
            </w:r>
          </w:p>
        </w:tc>
        <w:tc>
          <w:tcPr>
            <w:tcW w:w="847" w:type="dxa"/>
            <w:vAlign w:val="center"/>
          </w:tcPr>
          <w:p>
            <w:pPr>
              <w:pStyle w:val="0"/>
              <w:jc w:val="center"/>
            </w:pPr>
            <w:r>
              <w:rPr>
                <w:sz w:val="20"/>
              </w:rPr>
              <w:t xml:space="preserve">26,1</w:t>
            </w:r>
          </w:p>
        </w:tc>
        <w:tc>
          <w:tcPr>
            <w:tcW w:w="948" w:type="dxa"/>
            <w:vAlign w:val="center"/>
          </w:tcPr>
          <w:p>
            <w:pPr>
              <w:pStyle w:val="0"/>
              <w:jc w:val="center"/>
            </w:pPr>
            <w:r>
              <w:rPr>
                <w:sz w:val="20"/>
              </w:rPr>
              <w:t xml:space="preserve">16,7</w:t>
            </w:r>
          </w:p>
        </w:tc>
        <w:tc>
          <w:tcPr>
            <w:tcW w:w="949" w:type="dxa"/>
            <w:vAlign w:val="center"/>
          </w:tcPr>
          <w:p>
            <w:pPr>
              <w:pStyle w:val="0"/>
              <w:jc w:val="center"/>
            </w:pPr>
            <w:r>
              <w:rPr>
                <w:sz w:val="20"/>
              </w:rPr>
              <w:t xml:space="preserve">21</w:t>
            </w:r>
          </w:p>
        </w:tc>
        <w:tc>
          <w:tcPr>
            <w:tcW w:w="765" w:type="dxa"/>
            <w:vAlign w:val="center"/>
          </w:tcPr>
          <w:p>
            <w:pPr>
              <w:pStyle w:val="0"/>
              <w:jc w:val="center"/>
            </w:pPr>
            <w:r>
              <w:rPr>
                <w:sz w:val="20"/>
              </w:rPr>
              <w:t xml:space="preserve">21</w:t>
            </w:r>
          </w:p>
        </w:tc>
        <w:tc>
          <w:tcPr>
            <w:tcW w:w="843" w:type="dxa"/>
            <w:vAlign w:val="center"/>
          </w:tcPr>
          <w:p>
            <w:pPr>
              <w:pStyle w:val="0"/>
              <w:jc w:val="center"/>
            </w:pPr>
            <w:r>
              <w:rPr>
                <w:sz w:val="20"/>
              </w:rPr>
              <w:t xml:space="preserve">25,6</w:t>
            </w:r>
          </w:p>
        </w:tc>
        <w:tc>
          <w:tcPr>
            <w:tcW w:w="656" w:type="dxa"/>
            <w:vAlign w:val="center"/>
          </w:tcPr>
          <w:p>
            <w:pPr>
              <w:pStyle w:val="0"/>
              <w:jc w:val="center"/>
            </w:pPr>
            <w:r>
              <w:rPr>
                <w:sz w:val="20"/>
              </w:rPr>
              <w:t xml:space="preserve">1,5</w:t>
            </w:r>
          </w:p>
        </w:tc>
        <w:tc>
          <w:tcPr>
            <w:tcW w:w="807" w:type="dxa"/>
            <w:vAlign w:val="center"/>
          </w:tcPr>
          <w:p>
            <w:pPr>
              <w:pStyle w:val="0"/>
              <w:jc w:val="center"/>
            </w:pPr>
            <w:r>
              <w:rPr>
                <w:sz w:val="20"/>
              </w:rPr>
              <w:t xml:space="preserve">1,2</w:t>
            </w:r>
          </w:p>
        </w:tc>
        <w:tc>
          <w:tcPr>
            <w:tcW w:w="850" w:type="dxa"/>
            <w:vAlign w:val="center"/>
          </w:tcPr>
          <w:p>
            <w:pPr>
              <w:pStyle w:val="0"/>
              <w:jc w:val="center"/>
            </w:pPr>
            <w:r>
              <w:rPr>
                <w:sz w:val="20"/>
              </w:rPr>
              <w:t xml:space="preserve">1,2</w:t>
            </w:r>
          </w:p>
        </w:tc>
        <w:tc>
          <w:tcPr>
            <w:tcW w:w="709" w:type="dxa"/>
            <w:vAlign w:val="center"/>
          </w:tcPr>
          <w:p>
            <w:pPr>
              <w:pStyle w:val="0"/>
              <w:jc w:val="center"/>
            </w:pPr>
            <w:r>
              <w:rPr>
                <w:sz w:val="20"/>
              </w:rPr>
              <w:t xml:space="preserve">1,2</w:t>
            </w:r>
          </w:p>
        </w:tc>
        <w:tc>
          <w:tcPr>
            <w:tcW w:w="709" w:type="dxa"/>
            <w:vAlign w:val="center"/>
          </w:tcPr>
          <w:p>
            <w:pPr>
              <w:pStyle w:val="0"/>
              <w:jc w:val="center"/>
            </w:pPr>
            <w:r>
              <w:rPr>
                <w:sz w:val="20"/>
              </w:rPr>
              <w:t xml:space="preserve">1,3</w:t>
            </w:r>
          </w:p>
        </w:tc>
      </w:tr>
      <w:tr>
        <w:tc>
          <w:tcPr>
            <w:tcW w:w="2381" w:type="dxa"/>
            <w:vAlign w:val="center"/>
          </w:tcPr>
          <w:p>
            <w:pPr>
              <w:pStyle w:val="0"/>
            </w:pPr>
            <w:r>
              <w:rPr>
                <w:sz w:val="20"/>
              </w:rPr>
              <w:t xml:space="preserve">Урай</w:t>
            </w:r>
          </w:p>
        </w:tc>
        <w:tc>
          <w:tcPr>
            <w:tcW w:w="847" w:type="dxa"/>
            <w:vAlign w:val="center"/>
          </w:tcPr>
          <w:p>
            <w:pPr>
              <w:pStyle w:val="0"/>
              <w:jc w:val="center"/>
            </w:pPr>
            <w:r>
              <w:rPr>
                <w:sz w:val="20"/>
              </w:rPr>
              <w:t xml:space="preserve">22</w:t>
            </w:r>
          </w:p>
        </w:tc>
        <w:tc>
          <w:tcPr>
            <w:tcW w:w="948" w:type="dxa"/>
            <w:vAlign w:val="center"/>
          </w:tcPr>
          <w:p>
            <w:pPr>
              <w:pStyle w:val="0"/>
              <w:jc w:val="center"/>
            </w:pPr>
            <w:r>
              <w:rPr>
                <w:sz w:val="20"/>
              </w:rPr>
              <w:t xml:space="preserve">18,3</w:t>
            </w:r>
          </w:p>
        </w:tc>
        <w:tc>
          <w:tcPr>
            <w:tcW w:w="949" w:type="dxa"/>
            <w:vAlign w:val="center"/>
          </w:tcPr>
          <w:p>
            <w:pPr>
              <w:pStyle w:val="0"/>
              <w:jc w:val="center"/>
            </w:pPr>
            <w:r>
              <w:rPr>
                <w:sz w:val="20"/>
              </w:rPr>
              <w:t xml:space="preserve">28,7</w:t>
            </w:r>
          </w:p>
        </w:tc>
        <w:tc>
          <w:tcPr>
            <w:tcW w:w="765" w:type="dxa"/>
            <w:vAlign w:val="center"/>
          </w:tcPr>
          <w:p>
            <w:pPr>
              <w:pStyle w:val="0"/>
              <w:jc w:val="center"/>
            </w:pPr>
            <w:r>
              <w:rPr>
                <w:sz w:val="20"/>
              </w:rPr>
              <w:t xml:space="preserve">28,7</w:t>
            </w:r>
          </w:p>
        </w:tc>
        <w:tc>
          <w:tcPr>
            <w:tcW w:w="843" w:type="dxa"/>
            <w:vAlign w:val="center"/>
          </w:tcPr>
          <w:p>
            <w:pPr>
              <w:pStyle w:val="0"/>
              <w:jc w:val="center"/>
            </w:pPr>
            <w:r>
              <w:rPr>
                <w:sz w:val="20"/>
              </w:rPr>
              <w:t xml:space="preserve">30,1</w:t>
            </w:r>
          </w:p>
        </w:tc>
        <w:tc>
          <w:tcPr>
            <w:tcW w:w="656" w:type="dxa"/>
            <w:vAlign w:val="center"/>
          </w:tcPr>
          <w:p>
            <w:pPr>
              <w:pStyle w:val="0"/>
              <w:jc w:val="center"/>
            </w:pPr>
            <w:r>
              <w:rPr>
                <w:sz w:val="20"/>
              </w:rPr>
              <w:t xml:space="preserve">0,8</w:t>
            </w:r>
          </w:p>
        </w:tc>
        <w:tc>
          <w:tcPr>
            <w:tcW w:w="807" w:type="dxa"/>
            <w:vAlign w:val="center"/>
          </w:tcPr>
          <w:p>
            <w:pPr>
              <w:pStyle w:val="0"/>
              <w:jc w:val="center"/>
            </w:pPr>
            <w:r>
              <w:rPr>
                <w:sz w:val="20"/>
              </w:rPr>
              <w:t xml:space="preserve">0,8</w:t>
            </w:r>
          </w:p>
        </w:tc>
        <w:tc>
          <w:tcPr>
            <w:tcW w:w="850" w:type="dxa"/>
            <w:vAlign w:val="center"/>
          </w:tcPr>
          <w:p>
            <w:pPr>
              <w:pStyle w:val="0"/>
              <w:jc w:val="center"/>
            </w:pPr>
            <w:r>
              <w:rPr>
                <w:sz w:val="20"/>
              </w:rPr>
              <w:t xml:space="preserve">1,2</w:t>
            </w:r>
          </w:p>
        </w:tc>
        <w:tc>
          <w:tcPr>
            <w:tcW w:w="709" w:type="dxa"/>
            <w:vAlign w:val="center"/>
          </w:tcPr>
          <w:p>
            <w:pPr>
              <w:pStyle w:val="0"/>
              <w:jc w:val="center"/>
            </w:pPr>
            <w:r>
              <w:rPr>
                <w:sz w:val="20"/>
              </w:rPr>
              <w:t xml:space="preserve">1,2</w:t>
            </w:r>
          </w:p>
        </w:tc>
        <w:tc>
          <w:tcPr>
            <w:tcW w:w="709" w:type="dxa"/>
            <w:vAlign w:val="center"/>
          </w:tcPr>
          <w:p>
            <w:pPr>
              <w:pStyle w:val="0"/>
              <w:jc w:val="center"/>
            </w:pPr>
            <w:r>
              <w:rPr>
                <w:sz w:val="20"/>
              </w:rPr>
              <w:t xml:space="preserve">1</w:t>
            </w:r>
          </w:p>
        </w:tc>
      </w:tr>
      <w:tr>
        <w:tc>
          <w:tcPr>
            <w:tcW w:w="2381" w:type="dxa"/>
            <w:vAlign w:val="center"/>
          </w:tcPr>
          <w:p>
            <w:pPr>
              <w:pStyle w:val="0"/>
            </w:pPr>
            <w:r>
              <w:rPr>
                <w:sz w:val="20"/>
              </w:rPr>
              <w:t xml:space="preserve">Югорск</w:t>
            </w:r>
          </w:p>
        </w:tc>
        <w:tc>
          <w:tcPr>
            <w:tcW w:w="847" w:type="dxa"/>
            <w:vAlign w:val="center"/>
          </w:tcPr>
          <w:p>
            <w:pPr>
              <w:pStyle w:val="0"/>
              <w:jc w:val="center"/>
            </w:pPr>
            <w:r>
              <w:rPr>
                <w:sz w:val="20"/>
              </w:rPr>
              <w:t xml:space="preserve">13,6</w:t>
            </w:r>
          </w:p>
        </w:tc>
        <w:tc>
          <w:tcPr>
            <w:tcW w:w="948" w:type="dxa"/>
            <w:vAlign w:val="center"/>
          </w:tcPr>
          <w:p>
            <w:pPr>
              <w:pStyle w:val="0"/>
              <w:jc w:val="center"/>
            </w:pPr>
            <w:r>
              <w:rPr>
                <w:sz w:val="20"/>
              </w:rPr>
              <w:t xml:space="preserve">16,7</w:t>
            </w:r>
          </w:p>
        </w:tc>
        <w:tc>
          <w:tcPr>
            <w:tcW w:w="949" w:type="dxa"/>
            <w:vAlign w:val="center"/>
          </w:tcPr>
          <w:p>
            <w:pPr>
              <w:pStyle w:val="0"/>
              <w:jc w:val="center"/>
            </w:pPr>
            <w:r>
              <w:rPr>
                <w:sz w:val="20"/>
              </w:rPr>
              <w:t xml:space="preserve">7,1</w:t>
            </w:r>
          </w:p>
        </w:tc>
        <w:tc>
          <w:tcPr>
            <w:tcW w:w="765" w:type="dxa"/>
            <w:vAlign w:val="center"/>
          </w:tcPr>
          <w:p>
            <w:pPr>
              <w:pStyle w:val="0"/>
              <w:jc w:val="center"/>
            </w:pPr>
            <w:r>
              <w:rPr>
                <w:sz w:val="20"/>
              </w:rPr>
              <w:t xml:space="preserve">7,1</w:t>
            </w:r>
          </w:p>
        </w:tc>
        <w:tc>
          <w:tcPr>
            <w:tcW w:w="843" w:type="dxa"/>
            <w:vAlign w:val="center"/>
          </w:tcPr>
          <w:p>
            <w:pPr>
              <w:pStyle w:val="0"/>
              <w:jc w:val="center"/>
            </w:pPr>
            <w:r>
              <w:rPr>
                <w:sz w:val="20"/>
              </w:rPr>
              <w:t xml:space="preserve">26,4</w:t>
            </w:r>
          </w:p>
        </w:tc>
        <w:tc>
          <w:tcPr>
            <w:tcW w:w="656" w:type="dxa"/>
            <w:vAlign w:val="center"/>
          </w:tcPr>
          <w:p>
            <w:pPr>
              <w:pStyle w:val="0"/>
              <w:jc w:val="center"/>
            </w:pPr>
            <w:r>
              <w:rPr>
                <w:sz w:val="20"/>
              </w:rPr>
              <w:t xml:space="preserve">0,6</w:t>
            </w:r>
          </w:p>
        </w:tc>
        <w:tc>
          <w:tcPr>
            <w:tcW w:w="807" w:type="dxa"/>
            <w:vAlign w:val="center"/>
          </w:tcPr>
          <w:p>
            <w:pPr>
              <w:pStyle w:val="0"/>
              <w:jc w:val="center"/>
            </w:pPr>
            <w:r>
              <w:rPr>
                <w:sz w:val="20"/>
              </w:rPr>
              <w:t xml:space="preserve">0,8</w:t>
            </w:r>
          </w:p>
        </w:tc>
        <w:tc>
          <w:tcPr>
            <w:tcW w:w="850" w:type="dxa"/>
            <w:vAlign w:val="center"/>
          </w:tcPr>
          <w:p>
            <w:pPr>
              <w:pStyle w:val="0"/>
              <w:jc w:val="center"/>
            </w:pPr>
            <w:r>
              <w:rPr>
                <w:sz w:val="20"/>
              </w:rPr>
              <w:t xml:space="preserve">0,2</w:t>
            </w:r>
          </w:p>
        </w:tc>
        <w:tc>
          <w:tcPr>
            <w:tcW w:w="709" w:type="dxa"/>
            <w:vAlign w:val="center"/>
          </w:tcPr>
          <w:p>
            <w:pPr>
              <w:pStyle w:val="0"/>
              <w:jc w:val="center"/>
            </w:pPr>
            <w:r>
              <w:rPr>
                <w:sz w:val="20"/>
              </w:rPr>
              <w:t xml:space="preserve">0,2</w:t>
            </w:r>
          </w:p>
        </w:tc>
        <w:tc>
          <w:tcPr>
            <w:tcW w:w="709" w:type="dxa"/>
            <w:vAlign w:val="center"/>
          </w:tcPr>
          <w:p>
            <w:pPr>
              <w:pStyle w:val="0"/>
              <w:jc w:val="center"/>
            </w:pPr>
            <w:r>
              <w:rPr>
                <w:sz w:val="20"/>
              </w:rPr>
              <w:t xml:space="preserve">0,9</w:t>
            </w:r>
          </w:p>
        </w:tc>
      </w:tr>
      <w:tr>
        <w:tc>
          <w:tcPr>
            <w:tcW w:w="2381" w:type="dxa"/>
            <w:vAlign w:val="center"/>
          </w:tcPr>
          <w:p>
            <w:pPr>
              <w:pStyle w:val="0"/>
            </w:pPr>
            <w:r>
              <w:rPr>
                <w:sz w:val="20"/>
              </w:rPr>
              <w:t xml:space="preserve">Белоярский</w:t>
            </w:r>
          </w:p>
        </w:tc>
        <w:tc>
          <w:tcPr>
            <w:tcW w:w="847" w:type="dxa"/>
            <w:vAlign w:val="center"/>
          </w:tcPr>
          <w:p>
            <w:pPr>
              <w:pStyle w:val="0"/>
              <w:jc w:val="center"/>
            </w:pPr>
            <w:r>
              <w:rPr>
                <w:sz w:val="20"/>
              </w:rPr>
              <w:t xml:space="preserve">21,4</w:t>
            </w:r>
          </w:p>
        </w:tc>
        <w:tc>
          <w:tcPr>
            <w:tcW w:w="948" w:type="dxa"/>
            <w:vAlign w:val="center"/>
          </w:tcPr>
          <w:p>
            <w:pPr>
              <w:pStyle w:val="0"/>
              <w:jc w:val="center"/>
            </w:pPr>
            <w:r>
              <w:rPr>
                <w:sz w:val="20"/>
              </w:rPr>
              <w:t xml:space="preserve">18,6</w:t>
            </w:r>
          </w:p>
        </w:tc>
        <w:tc>
          <w:tcPr>
            <w:tcW w:w="949" w:type="dxa"/>
            <w:vAlign w:val="center"/>
          </w:tcPr>
          <w:p>
            <w:pPr>
              <w:pStyle w:val="0"/>
              <w:jc w:val="center"/>
            </w:pPr>
            <w:r>
              <w:rPr>
                <w:sz w:val="20"/>
              </w:rPr>
              <w:t xml:space="preserve">17,6</w:t>
            </w:r>
          </w:p>
        </w:tc>
        <w:tc>
          <w:tcPr>
            <w:tcW w:w="765" w:type="dxa"/>
            <w:vAlign w:val="center"/>
          </w:tcPr>
          <w:p>
            <w:pPr>
              <w:pStyle w:val="0"/>
              <w:jc w:val="center"/>
            </w:pPr>
            <w:r>
              <w:rPr>
                <w:sz w:val="20"/>
              </w:rPr>
              <w:t xml:space="preserve">17,6</w:t>
            </w:r>
          </w:p>
        </w:tc>
        <w:tc>
          <w:tcPr>
            <w:tcW w:w="843" w:type="dxa"/>
            <w:vAlign w:val="center"/>
          </w:tcPr>
          <w:p>
            <w:pPr>
              <w:pStyle w:val="0"/>
              <w:jc w:val="center"/>
            </w:pPr>
            <w:r>
              <w:rPr>
                <w:sz w:val="20"/>
              </w:rPr>
              <w:t xml:space="preserve">17,4</w:t>
            </w:r>
          </w:p>
        </w:tc>
        <w:tc>
          <w:tcPr>
            <w:tcW w:w="656" w:type="dxa"/>
            <w:vAlign w:val="center"/>
          </w:tcPr>
          <w:p>
            <w:pPr>
              <w:pStyle w:val="0"/>
              <w:jc w:val="center"/>
            </w:pPr>
            <w:r>
              <w:rPr>
                <w:sz w:val="20"/>
              </w:rPr>
              <w:t xml:space="preserve">1,1</w:t>
            </w:r>
          </w:p>
        </w:tc>
        <w:tc>
          <w:tcPr>
            <w:tcW w:w="807" w:type="dxa"/>
            <w:vAlign w:val="center"/>
          </w:tcPr>
          <w:p>
            <w:pPr>
              <w:pStyle w:val="0"/>
              <w:jc w:val="center"/>
            </w:pPr>
            <w:r>
              <w:rPr>
                <w:sz w:val="20"/>
              </w:rPr>
              <w:t xml:space="preserve">0,9</w:t>
            </w:r>
          </w:p>
        </w:tc>
        <w:tc>
          <w:tcPr>
            <w:tcW w:w="850" w:type="dxa"/>
            <w:vAlign w:val="center"/>
          </w:tcPr>
          <w:p>
            <w:pPr>
              <w:pStyle w:val="0"/>
              <w:jc w:val="center"/>
            </w:pPr>
            <w:r>
              <w:rPr>
                <w:sz w:val="20"/>
              </w:rPr>
              <w:t xml:space="preserve">1</w:t>
            </w:r>
          </w:p>
        </w:tc>
        <w:tc>
          <w:tcPr>
            <w:tcW w:w="709" w:type="dxa"/>
            <w:vAlign w:val="center"/>
          </w:tcPr>
          <w:p>
            <w:pPr>
              <w:pStyle w:val="0"/>
              <w:jc w:val="center"/>
            </w:pPr>
            <w:r>
              <w:rPr>
                <w:sz w:val="20"/>
              </w:rPr>
              <w:t xml:space="preserve">1</w:t>
            </w:r>
          </w:p>
        </w:tc>
        <w:tc>
          <w:tcPr>
            <w:tcW w:w="709" w:type="dxa"/>
            <w:vAlign w:val="center"/>
          </w:tcPr>
          <w:p>
            <w:pPr>
              <w:pStyle w:val="0"/>
              <w:jc w:val="center"/>
            </w:pPr>
            <w:r>
              <w:rPr>
                <w:sz w:val="20"/>
              </w:rPr>
              <w:t xml:space="preserve">1</w:t>
            </w:r>
          </w:p>
        </w:tc>
      </w:tr>
      <w:tr>
        <w:tc>
          <w:tcPr>
            <w:tcW w:w="2381" w:type="dxa"/>
            <w:vAlign w:val="center"/>
          </w:tcPr>
          <w:p>
            <w:pPr>
              <w:pStyle w:val="0"/>
            </w:pPr>
            <w:r>
              <w:rPr>
                <w:sz w:val="20"/>
              </w:rPr>
              <w:t xml:space="preserve">Березовский</w:t>
            </w:r>
          </w:p>
        </w:tc>
        <w:tc>
          <w:tcPr>
            <w:tcW w:w="847" w:type="dxa"/>
            <w:vAlign w:val="center"/>
          </w:tcPr>
          <w:p>
            <w:pPr>
              <w:pStyle w:val="0"/>
              <w:jc w:val="center"/>
            </w:pPr>
            <w:r>
              <w:rPr>
                <w:sz w:val="20"/>
              </w:rPr>
              <w:t xml:space="preserve">6,2</w:t>
            </w:r>
          </w:p>
        </w:tc>
        <w:tc>
          <w:tcPr>
            <w:tcW w:w="948" w:type="dxa"/>
            <w:vAlign w:val="center"/>
          </w:tcPr>
          <w:p>
            <w:pPr>
              <w:pStyle w:val="0"/>
              <w:jc w:val="center"/>
            </w:pPr>
            <w:r>
              <w:rPr>
                <w:sz w:val="20"/>
              </w:rPr>
              <w:t xml:space="preserve">32,7</w:t>
            </w:r>
          </w:p>
        </w:tc>
        <w:tc>
          <w:tcPr>
            <w:tcW w:w="949" w:type="dxa"/>
            <w:vAlign w:val="center"/>
          </w:tcPr>
          <w:p>
            <w:pPr>
              <w:pStyle w:val="0"/>
              <w:jc w:val="center"/>
            </w:pPr>
            <w:r>
              <w:rPr>
                <w:sz w:val="20"/>
              </w:rPr>
              <w:t xml:space="preserve">52,2</w:t>
            </w:r>
          </w:p>
        </w:tc>
        <w:tc>
          <w:tcPr>
            <w:tcW w:w="765" w:type="dxa"/>
            <w:vAlign w:val="center"/>
          </w:tcPr>
          <w:p>
            <w:pPr>
              <w:pStyle w:val="0"/>
              <w:jc w:val="center"/>
            </w:pPr>
            <w:r>
              <w:rPr>
                <w:sz w:val="20"/>
              </w:rPr>
              <w:t xml:space="preserve">52,2</w:t>
            </w:r>
          </w:p>
        </w:tc>
        <w:tc>
          <w:tcPr>
            <w:tcW w:w="843" w:type="dxa"/>
            <w:vAlign w:val="center"/>
          </w:tcPr>
          <w:p>
            <w:pPr>
              <w:pStyle w:val="0"/>
              <w:jc w:val="center"/>
            </w:pPr>
            <w:r>
              <w:rPr>
                <w:sz w:val="20"/>
              </w:rPr>
              <w:t xml:space="preserve">21,3</w:t>
            </w:r>
          </w:p>
        </w:tc>
        <w:tc>
          <w:tcPr>
            <w:tcW w:w="656" w:type="dxa"/>
            <w:vAlign w:val="center"/>
          </w:tcPr>
          <w:p>
            <w:pPr>
              <w:pStyle w:val="0"/>
              <w:jc w:val="center"/>
            </w:pPr>
            <w:r>
              <w:rPr>
                <w:sz w:val="20"/>
              </w:rPr>
              <w:t xml:space="preserve">0,3</w:t>
            </w:r>
          </w:p>
        </w:tc>
        <w:tc>
          <w:tcPr>
            <w:tcW w:w="807" w:type="dxa"/>
            <w:vAlign w:val="center"/>
          </w:tcPr>
          <w:p>
            <w:pPr>
              <w:pStyle w:val="0"/>
              <w:jc w:val="center"/>
            </w:pPr>
            <w:r>
              <w:rPr>
                <w:sz w:val="20"/>
              </w:rPr>
              <w:t xml:space="preserve">1</w:t>
            </w:r>
          </w:p>
        </w:tc>
        <w:tc>
          <w:tcPr>
            <w:tcW w:w="850" w:type="dxa"/>
            <w:vAlign w:val="center"/>
          </w:tcPr>
          <w:p>
            <w:pPr>
              <w:pStyle w:val="0"/>
              <w:jc w:val="center"/>
            </w:pPr>
            <w:r>
              <w:rPr>
                <w:sz w:val="20"/>
              </w:rPr>
              <w:t xml:space="preserve">1,7</w:t>
            </w:r>
          </w:p>
        </w:tc>
        <w:tc>
          <w:tcPr>
            <w:tcW w:w="709" w:type="dxa"/>
            <w:vAlign w:val="center"/>
          </w:tcPr>
          <w:p>
            <w:pPr>
              <w:pStyle w:val="0"/>
              <w:jc w:val="center"/>
            </w:pPr>
            <w:r>
              <w:rPr>
                <w:sz w:val="20"/>
              </w:rPr>
              <w:t xml:space="preserve">1,7</w:t>
            </w:r>
          </w:p>
        </w:tc>
        <w:tc>
          <w:tcPr>
            <w:tcW w:w="709" w:type="dxa"/>
            <w:vAlign w:val="center"/>
          </w:tcPr>
          <w:p>
            <w:pPr>
              <w:pStyle w:val="0"/>
              <w:jc w:val="center"/>
            </w:pPr>
            <w:r>
              <w:rPr>
                <w:sz w:val="20"/>
              </w:rPr>
              <w:t xml:space="preserve">1,1</w:t>
            </w:r>
          </w:p>
        </w:tc>
      </w:tr>
      <w:tr>
        <w:tc>
          <w:tcPr>
            <w:tcW w:w="2381" w:type="dxa"/>
            <w:vAlign w:val="center"/>
          </w:tcPr>
          <w:p>
            <w:pPr>
              <w:pStyle w:val="0"/>
            </w:pPr>
            <w:r>
              <w:rPr>
                <w:sz w:val="20"/>
              </w:rPr>
              <w:t xml:space="preserve">Кондинский</w:t>
            </w:r>
          </w:p>
        </w:tc>
        <w:tc>
          <w:tcPr>
            <w:tcW w:w="847" w:type="dxa"/>
            <w:vAlign w:val="center"/>
          </w:tcPr>
          <w:p>
            <w:pPr>
              <w:pStyle w:val="0"/>
              <w:jc w:val="center"/>
            </w:pPr>
            <w:r>
              <w:rPr>
                <w:sz w:val="20"/>
              </w:rPr>
              <w:t xml:space="preserve">22,2</w:t>
            </w:r>
          </w:p>
        </w:tc>
        <w:tc>
          <w:tcPr>
            <w:tcW w:w="948" w:type="dxa"/>
            <w:vAlign w:val="center"/>
          </w:tcPr>
          <w:p>
            <w:pPr>
              <w:pStyle w:val="0"/>
              <w:jc w:val="center"/>
            </w:pPr>
            <w:r>
              <w:rPr>
                <w:sz w:val="20"/>
              </w:rPr>
              <w:t xml:space="preserve">24,4</w:t>
            </w:r>
          </w:p>
        </w:tc>
        <w:tc>
          <w:tcPr>
            <w:tcW w:w="949" w:type="dxa"/>
            <w:vAlign w:val="center"/>
          </w:tcPr>
          <w:p>
            <w:pPr>
              <w:pStyle w:val="0"/>
              <w:jc w:val="center"/>
            </w:pPr>
            <w:r>
              <w:rPr>
                <w:sz w:val="20"/>
              </w:rPr>
              <w:t xml:space="preserve">27,3</w:t>
            </w:r>
          </w:p>
        </w:tc>
        <w:tc>
          <w:tcPr>
            <w:tcW w:w="765" w:type="dxa"/>
            <w:vAlign w:val="center"/>
          </w:tcPr>
          <w:p>
            <w:pPr>
              <w:pStyle w:val="0"/>
              <w:jc w:val="center"/>
            </w:pPr>
            <w:r>
              <w:rPr>
                <w:sz w:val="20"/>
              </w:rPr>
              <w:t xml:space="preserve">27,3</w:t>
            </w:r>
          </w:p>
        </w:tc>
        <w:tc>
          <w:tcPr>
            <w:tcW w:w="843" w:type="dxa"/>
            <w:vAlign w:val="center"/>
          </w:tcPr>
          <w:p>
            <w:pPr>
              <w:pStyle w:val="0"/>
              <w:jc w:val="center"/>
            </w:pPr>
            <w:r>
              <w:rPr>
                <w:sz w:val="20"/>
              </w:rPr>
              <w:t xml:space="preserve">41</w:t>
            </w:r>
          </w:p>
        </w:tc>
        <w:tc>
          <w:tcPr>
            <w:tcW w:w="656" w:type="dxa"/>
            <w:vAlign w:val="center"/>
          </w:tcPr>
          <w:p>
            <w:pPr>
              <w:pStyle w:val="0"/>
              <w:jc w:val="center"/>
            </w:pPr>
            <w:r>
              <w:rPr>
                <w:sz w:val="20"/>
              </w:rPr>
              <w:t xml:space="preserve">1,3</w:t>
            </w:r>
          </w:p>
        </w:tc>
        <w:tc>
          <w:tcPr>
            <w:tcW w:w="807" w:type="dxa"/>
            <w:vAlign w:val="center"/>
          </w:tcPr>
          <w:p>
            <w:pPr>
              <w:pStyle w:val="0"/>
              <w:jc w:val="center"/>
            </w:pPr>
            <w:r>
              <w:rPr>
                <w:sz w:val="20"/>
              </w:rPr>
              <w:t xml:space="preserve">0,8</w:t>
            </w:r>
          </w:p>
        </w:tc>
        <w:tc>
          <w:tcPr>
            <w:tcW w:w="850" w:type="dxa"/>
            <w:vAlign w:val="center"/>
          </w:tcPr>
          <w:p>
            <w:pPr>
              <w:pStyle w:val="0"/>
              <w:jc w:val="center"/>
            </w:pPr>
            <w:r>
              <w:rPr>
                <w:sz w:val="20"/>
              </w:rPr>
              <w:t xml:space="preserve">0,6</w:t>
            </w:r>
          </w:p>
        </w:tc>
        <w:tc>
          <w:tcPr>
            <w:tcW w:w="709" w:type="dxa"/>
            <w:vAlign w:val="center"/>
          </w:tcPr>
          <w:p>
            <w:pPr>
              <w:pStyle w:val="0"/>
              <w:jc w:val="center"/>
            </w:pPr>
            <w:r>
              <w:rPr>
                <w:sz w:val="20"/>
              </w:rPr>
              <w:t xml:space="preserve">0,6</w:t>
            </w:r>
          </w:p>
        </w:tc>
        <w:tc>
          <w:tcPr>
            <w:tcW w:w="709" w:type="dxa"/>
            <w:vAlign w:val="center"/>
          </w:tcPr>
          <w:p>
            <w:pPr>
              <w:pStyle w:val="0"/>
              <w:jc w:val="center"/>
            </w:pPr>
            <w:r>
              <w:rPr>
                <w:sz w:val="20"/>
              </w:rPr>
              <w:t xml:space="preserve">1,5</w:t>
            </w:r>
          </w:p>
        </w:tc>
      </w:tr>
      <w:tr>
        <w:tc>
          <w:tcPr>
            <w:tcW w:w="2381" w:type="dxa"/>
            <w:vAlign w:val="center"/>
          </w:tcPr>
          <w:p>
            <w:pPr>
              <w:pStyle w:val="0"/>
            </w:pPr>
            <w:r>
              <w:rPr>
                <w:sz w:val="20"/>
              </w:rPr>
              <w:t xml:space="preserve">Октябрьский</w:t>
            </w:r>
          </w:p>
        </w:tc>
        <w:tc>
          <w:tcPr>
            <w:tcW w:w="847" w:type="dxa"/>
            <w:vAlign w:val="center"/>
          </w:tcPr>
          <w:p>
            <w:pPr>
              <w:pStyle w:val="0"/>
              <w:jc w:val="center"/>
            </w:pPr>
            <w:r>
              <w:rPr>
                <w:sz w:val="20"/>
              </w:rPr>
              <w:t xml:space="preserve">21,2</w:t>
            </w:r>
          </w:p>
        </w:tc>
        <w:tc>
          <w:tcPr>
            <w:tcW w:w="948" w:type="dxa"/>
            <w:vAlign w:val="center"/>
          </w:tcPr>
          <w:p>
            <w:pPr>
              <w:pStyle w:val="0"/>
              <w:jc w:val="center"/>
            </w:pPr>
            <w:r>
              <w:rPr>
                <w:sz w:val="20"/>
              </w:rPr>
              <w:t xml:space="preserve">26,2</w:t>
            </w:r>
          </w:p>
        </w:tc>
        <w:tc>
          <w:tcPr>
            <w:tcW w:w="949" w:type="dxa"/>
            <w:vAlign w:val="center"/>
          </w:tcPr>
          <w:p>
            <w:pPr>
              <w:pStyle w:val="0"/>
              <w:jc w:val="center"/>
            </w:pPr>
            <w:r>
              <w:rPr>
                <w:sz w:val="20"/>
              </w:rPr>
              <w:t xml:space="preserve">8,8</w:t>
            </w:r>
          </w:p>
        </w:tc>
        <w:tc>
          <w:tcPr>
            <w:tcW w:w="765" w:type="dxa"/>
            <w:vAlign w:val="center"/>
          </w:tcPr>
          <w:p>
            <w:pPr>
              <w:pStyle w:val="0"/>
              <w:jc w:val="center"/>
            </w:pPr>
            <w:r>
              <w:rPr>
                <w:sz w:val="20"/>
              </w:rPr>
              <w:t xml:space="preserve">8,8</w:t>
            </w:r>
          </w:p>
        </w:tc>
        <w:tc>
          <w:tcPr>
            <w:tcW w:w="843" w:type="dxa"/>
            <w:vAlign w:val="center"/>
          </w:tcPr>
          <w:p>
            <w:pPr>
              <w:pStyle w:val="0"/>
              <w:jc w:val="center"/>
            </w:pPr>
            <w:r>
              <w:rPr>
                <w:sz w:val="20"/>
              </w:rPr>
              <w:t xml:space="preserve">35,6</w:t>
            </w:r>
          </w:p>
        </w:tc>
        <w:tc>
          <w:tcPr>
            <w:tcW w:w="656" w:type="dxa"/>
            <w:vAlign w:val="center"/>
          </w:tcPr>
          <w:p>
            <w:pPr>
              <w:pStyle w:val="0"/>
              <w:jc w:val="center"/>
            </w:pPr>
            <w:r>
              <w:rPr>
                <w:sz w:val="20"/>
              </w:rPr>
              <w:t xml:space="preserve">0,9</w:t>
            </w:r>
          </w:p>
        </w:tc>
        <w:tc>
          <w:tcPr>
            <w:tcW w:w="807" w:type="dxa"/>
            <w:vAlign w:val="center"/>
          </w:tcPr>
          <w:p>
            <w:pPr>
              <w:pStyle w:val="0"/>
              <w:jc w:val="center"/>
            </w:pPr>
            <w:r>
              <w:rPr>
                <w:sz w:val="20"/>
              </w:rPr>
              <w:t xml:space="preserve">1,2</w:t>
            </w:r>
          </w:p>
        </w:tc>
        <w:tc>
          <w:tcPr>
            <w:tcW w:w="850" w:type="dxa"/>
            <w:vAlign w:val="center"/>
          </w:tcPr>
          <w:p>
            <w:pPr>
              <w:pStyle w:val="0"/>
              <w:jc w:val="center"/>
            </w:pPr>
            <w:r>
              <w:rPr>
                <w:sz w:val="20"/>
              </w:rPr>
              <w:t xml:space="preserve">0,3</w:t>
            </w:r>
          </w:p>
        </w:tc>
        <w:tc>
          <w:tcPr>
            <w:tcW w:w="709" w:type="dxa"/>
            <w:vAlign w:val="center"/>
          </w:tcPr>
          <w:p>
            <w:pPr>
              <w:pStyle w:val="0"/>
              <w:jc w:val="center"/>
            </w:pPr>
            <w:r>
              <w:rPr>
                <w:sz w:val="20"/>
              </w:rPr>
              <w:t xml:space="preserve">0,3</w:t>
            </w:r>
          </w:p>
        </w:tc>
        <w:tc>
          <w:tcPr>
            <w:tcW w:w="709" w:type="dxa"/>
            <w:vAlign w:val="center"/>
          </w:tcPr>
          <w:p>
            <w:pPr>
              <w:pStyle w:val="0"/>
              <w:jc w:val="center"/>
            </w:pPr>
            <w:r>
              <w:rPr>
                <w:sz w:val="20"/>
              </w:rPr>
              <w:t xml:space="preserve">1,4</w:t>
            </w:r>
          </w:p>
        </w:tc>
      </w:tr>
      <w:tr>
        <w:tc>
          <w:tcPr>
            <w:tcW w:w="2381" w:type="dxa"/>
            <w:vAlign w:val="center"/>
          </w:tcPr>
          <w:p>
            <w:pPr>
              <w:pStyle w:val="0"/>
            </w:pPr>
            <w:r>
              <w:rPr>
                <w:sz w:val="20"/>
              </w:rPr>
              <w:t xml:space="preserve">Советский</w:t>
            </w:r>
          </w:p>
        </w:tc>
        <w:tc>
          <w:tcPr>
            <w:tcW w:w="847" w:type="dxa"/>
            <w:vAlign w:val="center"/>
          </w:tcPr>
          <w:p>
            <w:pPr>
              <w:pStyle w:val="0"/>
              <w:jc w:val="center"/>
            </w:pPr>
            <w:r>
              <w:rPr>
                <w:sz w:val="20"/>
              </w:rPr>
              <w:t xml:space="preserve">24,3</w:t>
            </w:r>
          </w:p>
        </w:tc>
        <w:tc>
          <w:tcPr>
            <w:tcW w:w="948" w:type="dxa"/>
            <w:vAlign w:val="center"/>
          </w:tcPr>
          <w:p>
            <w:pPr>
              <w:pStyle w:val="0"/>
              <w:jc w:val="center"/>
            </w:pPr>
            <w:r>
              <w:rPr>
                <w:sz w:val="20"/>
              </w:rPr>
              <w:t xml:space="preserve">29</w:t>
            </w:r>
          </w:p>
        </w:tc>
        <w:tc>
          <w:tcPr>
            <w:tcW w:w="949" w:type="dxa"/>
            <w:vAlign w:val="center"/>
          </w:tcPr>
          <w:p>
            <w:pPr>
              <w:pStyle w:val="0"/>
              <w:jc w:val="center"/>
            </w:pPr>
            <w:r>
              <w:rPr>
                <w:sz w:val="20"/>
              </w:rPr>
              <w:t xml:space="preserve">19,2</w:t>
            </w:r>
          </w:p>
        </w:tc>
        <w:tc>
          <w:tcPr>
            <w:tcW w:w="765" w:type="dxa"/>
            <w:vAlign w:val="center"/>
          </w:tcPr>
          <w:p>
            <w:pPr>
              <w:pStyle w:val="0"/>
              <w:jc w:val="center"/>
            </w:pPr>
            <w:r>
              <w:rPr>
                <w:sz w:val="20"/>
              </w:rPr>
              <w:t xml:space="preserve">19,2</w:t>
            </w:r>
          </w:p>
        </w:tc>
        <w:tc>
          <w:tcPr>
            <w:tcW w:w="843" w:type="dxa"/>
            <w:vAlign w:val="center"/>
          </w:tcPr>
          <w:p>
            <w:pPr>
              <w:pStyle w:val="0"/>
              <w:jc w:val="center"/>
            </w:pPr>
            <w:r>
              <w:rPr>
                <w:sz w:val="20"/>
              </w:rPr>
              <w:t xml:space="preserve">33,6</w:t>
            </w:r>
          </w:p>
        </w:tc>
        <w:tc>
          <w:tcPr>
            <w:tcW w:w="656" w:type="dxa"/>
            <w:vAlign w:val="center"/>
          </w:tcPr>
          <w:p>
            <w:pPr>
              <w:pStyle w:val="0"/>
              <w:jc w:val="center"/>
            </w:pPr>
            <w:r>
              <w:rPr>
                <w:sz w:val="20"/>
              </w:rPr>
              <w:t xml:space="preserve">1,1</w:t>
            </w:r>
          </w:p>
        </w:tc>
        <w:tc>
          <w:tcPr>
            <w:tcW w:w="807" w:type="dxa"/>
            <w:vAlign w:val="center"/>
          </w:tcPr>
          <w:p>
            <w:pPr>
              <w:pStyle w:val="0"/>
              <w:jc w:val="center"/>
            </w:pPr>
            <w:r>
              <w:rPr>
                <w:sz w:val="20"/>
              </w:rPr>
              <w:t xml:space="preserve">1,5</w:t>
            </w:r>
          </w:p>
        </w:tc>
        <w:tc>
          <w:tcPr>
            <w:tcW w:w="850" w:type="dxa"/>
            <w:vAlign w:val="center"/>
          </w:tcPr>
          <w:p>
            <w:pPr>
              <w:pStyle w:val="0"/>
              <w:jc w:val="center"/>
            </w:pPr>
            <w:r>
              <w:rPr>
                <w:sz w:val="20"/>
              </w:rPr>
              <w:t xml:space="preserve">0,6</w:t>
            </w:r>
          </w:p>
        </w:tc>
        <w:tc>
          <w:tcPr>
            <w:tcW w:w="709" w:type="dxa"/>
            <w:vAlign w:val="center"/>
          </w:tcPr>
          <w:p>
            <w:pPr>
              <w:pStyle w:val="0"/>
              <w:jc w:val="center"/>
            </w:pPr>
            <w:r>
              <w:rPr>
                <w:sz w:val="20"/>
              </w:rPr>
              <w:t xml:space="preserve">0,6</w:t>
            </w:r>
          </w:p>
        </w:tc>
        <w:tc>
          <w:tcPr>
            <w:tcW w:w="709" w:type="dxa"/>
            <w:vAlign w:val="center"/>
          </w:tcPr>
          <w:p>
            <w:pPr>
              <w:pStyle w:val="0"/>
              <w:jc w:val="center"/>
            </w:pPr>
            <w:r>
              <w:rPr>
                <w:sz w:val="20"/>
              </w:rPr>
              <w:t xml:space="preserve">1,4</w:t>
            </w:r>
          </w:p>
        </w:tc>
      </w:tr>
      <w:tr>
        <w:tc>
          <w:tcPr>
            <w:tcW w:w="2381" w:type="dxa"/>
            <w:vAlign w:val="center"/>
          </w:tcPr>
          <w:p>
            <w:pPr>
              <w:pStyle w:val="0"/>
            </w:pPr>
            <w:r>
              <w:rPr>
                <w:sz w:val="20"/>
              </w:rPr>
              <w:t xml:space="preserve">Ханты-Мансийский</w:t>
            </w:r>
          </w:p>
        </w:tc>
        <w:tc>
          <w:tcPr>
            <w:tcW w:w="847" w:type="dxa"/>
            <w:vAlign w:val="center"/>
          </w:tcPr>
          <w:p>
            <w:pPr>
              <w:pStyle w:val="0"/>
              <w:jc w:val="center"/>
            </w:pPr>
            <w:r>
              <w:rPr>
                <w:sz w:val="20"/>
              </w:rPr>
              <w:t xml:space="preserve">27,3</w:t>
            </w:r>
          </w:p>
        </w:tc>
        <w:tc>
          <w:tcPr>
            <w:tcW w:w="948" w:type="dxa"/>
            <w:vAlign w:val="center"/>
          </w:tcPr>
          <w:p>
            <w:pPr>
              <w:pStyle w:val="0"/>
              <w:jc w:val="center"/>
            </w:pPr>
            <w:r>
              <w:rPr>
                <w:sz w:val="20"/>
              </w:rPr>
              <w:t xml:space="preserve">34,5</w:t>
            </w:r>
          </w:p>
        </w:tc>
        <w:tc>
          <w:tcPr>
            <w:tcW w:w="949" w:type="dxa"/>
            <w:vAlign w:val="center"/>
          </w:tcPr>
          <w:p>
            <w:pPr>
              <w:pStyle w:val="0"/>
              <w:jc w:val="center"/>
            </w:pPr>
            <w:r>
              <w:rPr>
                <w:sz w:val="20"/>
              </w:rPr>
              <w:t xml:space="preserve">35</w:t>
            </w:r>
          </w:p>
        </w:tc>
        <w:tc>
          <w:tcPr>
            <w:tcW w:w="765" w:type="dxa"/>
            <w:vAlign w:val="center"/>
          </w:tcPr>
          <w:p>
            <w:pPr>
              <w:pStyle w:val="0"/>
              <w:jc w:val="center"/>
            </w:pPr>
            <w:r>
              <w:rPr>
                <w:sz w:val="20"/>
              </w:rPr>
              <w:t xml:space="preserve">35</w:t>
            </w:r>
          </w:p>
        </w:tc>
        <w:tc>
          <w:tcPr>
            <w:tcW w:w="843" w:type="dxa"/>
            <w:vAlign w:val="center"/>
          </w:tcPr>
          <w:p>
            <w:pPr>
              <w:pStyle w:val="0"/>
              <w:jc w:val="center"/>
            </w:pPr>
            <w:r>
              <w:rPr>
                <w:sz w:val="20"/>
              </w:rPr>
              <w:t xml:space="preserve">25,7</w:t>
            </w:r>
          </w:p>
        </w:tc>
        <w:tc>
          <w:tcPr>
            <w:tcW w:w="656" w:type="dxa"/>
            <w:vAlign w:val="center"/>
          </w:tcPr>
          <w:p>
            <w:pPr>
              <w:pStyle w:val="0"/>
              <w:jc w:val="center"/>
            </w:pPr>
            <w:r>
              <w:rPr>
                <w:sz w:val="20"/>
              </w:rPr>
              <w:t xml:space="preserve">1,4</w:t>
            </w:r>
          </w:p>
        </w:tc>
        <w:tc>
          <w:tcPr>
            <w:tcW w:w="807" w:type="dxa"/>
            <w:vAlign w:val="center"/>
          </w:tcPr>
          <w:p>
            <w:pPr>
              <w:pStyle w:val="0"/>
              <w:jc w:val="center"/>
            </w:pPr>
            <w:r>
              <w:rPr>
                <w:sz w:val="20"/>
              </w:rPr>
              <w:t xml:space="preserve">1,8</w:t>
            </w:r>
          </w:p>
        </w:tc>
        <w:tc>
          <w:tcPr>
            <w:tcW w:w="850" w:type="dxa"/>
            <w:vAlign w:val="center"/>
          </w:tcPr>
          <w:p>
            <w:pPr>
              <w:pStyle w:val="0"/>
              <w:jc w:val="center"/>
            </w:pPr>
            <w:r>
              <w:rPr>
                <w:sz w:val="20"/>
              </w:rPr>
              <w:t xml:space="preserve">1,4</w:t>
            </w:r>
          </w:p>
        </w:tc>
        <w:tc>
          <w:tcPr>
            <w:tcW w:w="709" w:type="dxa"/>
            <w:vAlign w:val="center"/>
          </w:tcPr>
          <w:p>
            <w:pPr>
              <w:pStyle w:val="0"/>
              <w:jc w:val="center"/>
            </w:pPr>
            <w:r>
              <w:rPr>
                <w:sz w:val="20"/>
              </w:rPr>
              <w:t xml:space="preserve">1,4</w:t>
            </w:r>
          </w:p>
        </w:tc>
        <w:tc>
          <w:tcPr>
            <w:tcW w:w="709" w:type="dxa"/>
            <w:vAlign w:val="center"/>
          </w:tcPr>
          <w:p>
            <w:pPr>
              <w:pStyle w:val="0"/>
              <w:jc w:val="center"/>
            </w:pPr>
            <w:r>
              <w:rPr>
                <w:sz w:val="20"/>
              </w:rPr>
              <w:t xml:space="preserve">1</w:t>
            </w:r>
          </w:p>
        </w:tc>
      </w:tr>
      <w:tr>
        <w:tc>
          <w:tcPr>
            <w:tcW w:w="2381" w:type="dxa"/>
            <w:vAlign w:val="center"/>
          </w:tcPr>
          <w:p>
            <w:pPr>
              <w:pStyle w:val="0"/>
            </w:pPr>
            <w:r>
              <w:rPr>
                <w:sz w:val="20"/>
              </w:rPr>
              <w:t xml:space="preserve">Сургут</w:t>
            </w:r>
          </w:p>
        </w:tc>
        <w:tc>
          <w:tcPr>
            <w:tcW w:w="847" w:type="dxa"/>
            <w:vAlign w:val="center"/>
          </w:tcPr>
          <w:p>
            <w:pPr>
              <w:pStyle w:val="0"/>
              <w:jc w:val="center"/>
            </w:pPr>
            <w:r>
              <w:rPr>
                <w:sz w:val="20"/>
              </w:rPr>
              <w:t xml:space="preserve">20</w:t>
            </w:r>
          </w:p>
        </w:tc>
        <w:tc>
          <w:tcPr>
            <w:tcW w:w="948" w:type="dxa"/>
            <w:vAlign w:val="center"/>
          </w:tcPr>
          <w:p>
            <w:pPr>
              <w:pStyle w:val="0"/>
              <w:jc w:val="center"/>
            </w:pPr>
            <w:r>
              <w:rPr>
                <w:sz w:val="20"/>
              </w:rPr>
              <w:t xml:space="preserve">17,7</w:t>
            </w:r>
          </w:p>
        </w:tc>
        <w:tc>
          <w:tcPr>
            <w:tcW w:w="949" w:type="dxa"/>
            <w:vAlign w:val="center"/>
          </w:tcPr>
          <w:p>
            <w:pPr>
              <w:pStyle w:val="0"/>
              <w:jc w:val="center"/>
            </w:pPr>
            <w:r>
              <w:rPr>
                <w:sz w:val="20"/>
              </w:rPr>
              <w:t xml:space="preserve">20,8</w:t>
            </w:r>
          </w:p>
        </w:tc>
        <w:tc>
          <w:tcPr>
            <w:tcW w:w="765" w:type="dxa"/>
            <w:vAlign w:val="center"/>
          </w:tcPr>
          <w:p>
            <w:pPr>
              <w:pStyle w:val="0"/>
              <w:jc w:val="center"/>
            </w:pPr>
            <w:r>
              <w:rPr>
                <w:sz w:val="20"/>
              </w:rPr>
              <w:t xml:space="preserve">20,8</w:t>
            </w:r>
          </w:p>
        </w:tc>
        <w:tc>
          <w:tcPr>
            <w:tcW w:w="843" w:type="dxa"/>
            <w:vAlign w:val="center"/>
          </w:tcPr>
          <w:p>
            <w:pPr>
              <w:pStyle w:val="0"/>
              <w:jc w:val="center"/>
            </w:pPr>
            <w:r>
              <w:rPr>
                <w:sz w:val="20"/>
              </w:rPr>
              <w:t xml:space="preserve">18,9</w:t>
            </w:r>
          </w:p>
        </w:tc>
        <w:tc>
          <w:tcPr>
            <w:tcW w:w="656" w:type="dxa"/>
            <w:vAlign w:val="center"/>
          </w:tcPr>
          <w:p>
            <w:pPr>
              <w:pStyle w:val="0"/>
              <w:jc w:val="center"/>
            </w:pPr>
            <w:r>
              <w:rPr>
                <w:sz w:val="20"/>
              </w:rPr>
              <w:t xml:space="preserve">1</w:t>
            </w:r>
          </w:p>
        </w:tc>
        <w:tc>
          <w:tcPr>
            <w:tcW w:w="807" w:type="dxa"/>
            <w:vAlign w:val="center"/>
          </w:tcPr>
          <w:p>
            <w:pPr>
              <w:pStyle w:val="0"/>
              <w:jc w:val="center"/>
            </w:pPr>
            <w:r>
              <w:rPr>
                <w:sz w:val="20"/>
              </w:rPr>
              <w:t xml:space="preserve">0,7</w:t>
            </w:r>
          </w:p>
        </w:tc>
        <w:tc>
          <w:tcPr>
            <w:tcW w:w="850" w:type="dxa"/>
            <w:vAlign w:val="center"/>
          </w:tcPr>
          <w:p>
            <w:pPr>
              <w:pStyle w:val="0"/>
              <w:jc w:val="center"/>
            </w:pPr>
            <w:r>
              <w:rPr>
                <w:sz w:val="20"/>
              </w:rPr>
              <w:t xml:space="preserve">0,8</w:t>
            </w:r>
          </w:p>
        </w:tc>
        <w:tc>
          <w:tcPr>
            <w:tcW w:w="709" w:type="dxa"/>
            <w:vAlign w:val="center"/>
          </w:tcPr>
          <w:p>
            <w:pPr>
              <w:pStyle w:val="0"/>
              <w:jc w:val="center"/>
            </w:pPr>
            <w:r>
              <w:rPr>
                <w:sz w:val="20"/>
              </w:rPr>
              <w:t xml:space="preserve">0,8</w:t>
            </w:r>
          </w:p>
        </w:tc>
        <w:tc>
          <w:tcPr>
            <w:tcW w:w="709" w:type="dxa"/>
            <w:vAlign w:val="center"/>
          </w:tcPr>
          <w:p>
            <w:pPr>
              <w:pStyle w:val="0"/>
              <w:jc w:val="center"/>
            </w:pPr>
            <w:r>
              <w:rPr>
                <w:sz w:val="20"/>
              </w:rPr>
              <w:t xml:space="preserve">0,9</w:t>
            </w:r>
          </w:p>
        </w:tc>
      </w:tr>
      <w:tr>
        <w:tc>
          <w:tcPr>
            <w:tcW w:w="2381" w:type="dxa"/>
            <w:vAlign w:val="center"/>
          </w:tcPr>
          <w:p>
            <w:pPr>
              <w:pStyle w:val="0"/>
            </w:pPr>
            <w:r>
              <w:rPr>
                <w:sz w:val="20"/>
              </w:rPr>
              <w:t xml:space="preserve">Сургутский</w:t>
            </w:r>
          </w:p>
        </w:tc>
        <w:tc>
          <w:tcPr>
            <w:tcW w:w="847" w:type="dxa"/>
            <w:vAlign w:val="center"/>
          </w:tcPr>
          <w:p>
            <w:pPr>
              <w:pStyle w:val="0"/>
              <w:jc w:val="center"/>
            </w:pPr>
            <w:r>
              <w:rPr>
                <w:sz w:val="20"/>
              </w:rPr>
              <w:t xml:space="preserve">17,4</w:t>
            </w:r>
          </w:p>
        </w:tc>
        <w:tc>
          <w:tcPr>
            <w:tcW w:w="948" w:type="dxa"/>
            <w:vAlign w:val="center"/>
          </w:tcPr>
          <w:p>
            <w:pPr>
              <w:pStyle w:val="0"/>
              <w:jc w:val="center"/>
            </w:pPr>
            <w:r>
              <w:rPr>
                <w:sz w:val="20"/>
              </w:rPr>
              <w:t xml:space="preserve">15,9</w:t>
            </w:r>
          </w:p>
        </w:tc>
        <w:tc>
          <w:tcPr>
            <w:tcW w:w="949" w:type="dxa"/>
            <w:vAlign w:val="center"/>
          </w:tcPr>
          <w:p>
            <w:pPr>
              <w:pStyle w:val="0"/>
              <w:jc w:val="center"/>
            </w:pPr>
            <w:r>
              <w:rPr>
                <w:sz w:val="20"/>
              </w:rPr>
              <w:t xml:space="preserve">17,9</w:t>
            </w:r>
          </w:p>
        </w:tc>
        <w:tc>
          <w:tcPr>
            <w:tcW w:w="765" w:type="dxa"/>
            <w:vAlign w:val="center"/>
          </w:tcPr>
          <w:p>
            <w:pPr>
              <w:pStyle w:val="0"/>
              <w:jc w:val="center"/>
            </w:pPr>
            <w:r>
              <w:rPr>
                <w:sz w:val="20"/>
              </w:rPr>
              <w:t xml:space="preserve">17,9</w:t>
            </w:r>
          </w:p>
        </w:tc>
        <w:tc>
          <w:tcPr>
            <w:tcW w:w="843" w:type="dxa"/>
            <w:vAlign w:val="center"/>
          </w:tcPr>
          <w:p>
            <w:pPr>
              <w:pStyle w:val="0"/>
              <w:jc w:val="center"/>
            </w:pPr>
            <w:r>
              <w:rPr>
                <w:sz w:val="20"/>
              </w:rPr>
              <w:t xml:space="preserve">25,1</w:t>
            </w:r>
          </w:p>
        </w:tc>
        <w:tc>
          <w:tcPr>
            <w:tcW w:w="656" w:type="dxa"/>
            <w:vAlign w:val="center"/>
          </w:tcPr>
          <w:p>
            <w:pPr>
              <w:pStyle w:val="0"/>
              <w:jc w:val="center"/>
            </w:pPr>
            <w:r>
              <w:rPr>
                <w:sz w:val="20"/>
              </w:rPr>
              <w:t xml:space="preserve">0,8</w:t>
            </w:r>
          </w:p>
        </w:tc>
        <w:tc>
          <w:tcPr>
            <w:tcW w:w="807" w:type="dxa"/>
            <w:vAlign w:val="center"/>
          </w:tcPr>
          <w:p>
            <w:pPr>
              <w:pStyle w:val="0"/>
              <w:jc w:val="center"/>
            </w:pPr>
            <w:r>
              <w:rPr>
                <w:sz w:val="20"/>
              </w:rPr>
              <w:t xml:space="preserve">0,9</w:t>
            </w:r>
          </w:p>
        </w:tc>
        <w:tc>
          <w:tcPr>
            <w:tcW w:w="850" w:type="dxa"/>
            <w:vAlign w:val="center"/>
          </w:tcPr>
          <w:p>
            <w:pPr>
              <w:pStyle w:val="0"/>
              <w:jc w:val="center"/>
            </w:pPr>
            <w:r>
              <w:rPr>
                <w:sz w:val="20"/>
              </w:rPr>
              <w:t xml:space="preserve">0,7</w:t>
            </w:r>
          </w:p>
        </w:tc>
        <w:tc>
          <w:tcPr>
            <w:tcW w:w="709" w:type="dxa"/>
            <w:vAlign w:val="center"/>
          </w:tcPr>
          <w:p>
            <w:pPr>
              <w:pStyle w:val="0"/>
              <w:jc w:val="center"/>
            </w:pPr>
            <w:r>
              <w:rPr>
                <w:sz w:val="20"/>
              </w:rPr>
              <w:t xml:space="preserve">0,7</w:t>
            </w:r>
          </w:p>
        </w:tc>
        <w:tc>
          <w:tcPr>
            <w:tcW w:w="709" w:type="dxa"/>
            <w:vAlign w:val="center"/>
          </w:tcPr>
          <w:p>
            <w:pPr>
              <w:pStyle w:val="0"/>
              <w:jc w:val="center"/>
            </w:pPr>
            <w:r>
              <w:rPr>
                <w:sz w:val="20"/>
              </w:rPr>
              <w:t xml:space="preserve">0,9</w:t>
            </w:r>
          </w:p>
        </w:tc>
      </w:tr>
      <w:tr>
        <w:tc>
          <w:tcPr>
            <w:tcW w:w="2381" w:type="dxa"/>
            <w:vAlign w:val="center"/>
          </w:tcPr>
          <w:p>
            <w:pPr>
              <w:pStyle w:val="0"/>
            </w:pPr>
            <w:r>
              <w:rPr>
                <w:sz w:val="20"/>
              </w:rPr>
              <w:t xml:space="preserve">Нефтеюганск</w:t>
            </w:r>
          </w:p>
        </w:tc>
        <w:tc>
          <w:tcPr>
            <w:tcW w:w="847" w:type="dxa"/>
            <w:vAlign w:val="center"/>
          </w:tcPr>
          <w:p>
            <w:pPr>
              <w:pStyle w:val="0"/>
              <w:jc w:val="center"/>
            </w:pPr>
            <w:r>
              <w:rPr>
                <w:sz w:val="20"/>
              </w:rPr>
              <w:t xml:space="preserve">26,3</w:t>
            </w:r>
          </w:p>
        </w:tc>
        <w:tc>
          <w:tcPr>
            <w:tcW w:w="948" w:type="dxa"/>
            <w:vAlign w:val="center"/>
          </w:tcPr>
          <w:p>
            <w:pPr>
              <w:pStyle w:val="0"/>
              <w:jc w:val="center"/>
            </w:pPr>
            <w:r>
              <w:rPr>
                <w:sz w:val="20"/>
              </w:rPr>
              <w:t xml:space="preserve">23,1</w:t>
            </w:r>
          </w:p>
        </w:tc>
        <w:tc>
          <w:tcPr>
            <w:tcW w:w="949" w:type="dxa"/>
            <w:vAlign w:val="center"/>
          </w:tcPr>
          <w:p>
            <w:pPr>
              <w:pStyle w:val="0"/>
              <w:jc w:val="center"/>
            </w:pPr>
            <w:r>
              <w:rPr>
                <w:sz w:val="20"/>
              </w:rPr>
              <w:t xml:space="preserve">21,4</w:t>
            </w:r>
          </w:p>
        </w:tc>
        <w:tc>
          <w:tcPr>
            <w:tcW w:w="765" w:type="dxa"/>
            <w:vAlign w:val="center"/>
          </w:tcPr>
          <w:p>
            <w:pPr>
              <w:pStyle w:val="0"/>
              <w:jc w:val="center"/>
            </w:pPr>
            <w:r>
              <w:rPr>
                <w:sz w:val="20"/>
              </w:rPr>
              <w:t xml:space="preserve">21,4</w:t>
            </w:r>
          </w:p>
        </w:tc>
        <w:tc>
          <w:tcPr>
            <w:tcW w:w="843" w:type="dxa"/>
            <w:vAlign w:val="center"/>
          </w:tcPr>
          <w:p>
            <w:pPr>
              <w:pStyle w:val="0"/>
              <w:jc w:val="center"/>
            </w:pPr>
            <w:r>
              <w:rPr>
                <w:sz w:val="20"/>
              </w:rPr>
              <w:t xml:space="preserve">18,2</w:t>
            </w:r>
          </w:p>
        </w:tc>
        <w:tc>
          <w:tcPr>
            <w:tcW w:w="656" w:type="dxa"/>
            <w:vAlign w:val="center"/>
          </w:tcPr>
          <w:p>
            <w:pPr>
              <w:pStyle w:val="0"/>
              <w:jc w:val="center"/>
            </w:pPr>
            <w:r>
              <w:rPr>
                <w:sz w:val="20"/>
              </w:rPr>
              <w:t xml:space="preserve">1,4</w:t>
            </w:r>
          </w:p>
        </w:tc>
        <w:tc>
          <w:tcPr>
            <w:tcW w:w="807" w:type="dxa"/>
            <w:vAlign w:val="center"/>
          </w:tcPr>
          <w:p>
            <w:pPr>
              <w:pStyle w:val="0"/>
              <w:jc w:val="center"/>
            </w:pPr>
            <w:r>
              <w:rPr>
                <w:sz w:val="20"/>
              </w:rPr>
              <w:t xml:space="preserve">1,3</w:t>
            </w:r>
          </w:p>
        </w:tc>
        <w:tc>
          <w:tcPr>
            <w:tcW w:w="850" w:type="dxa"/>
            <w:vAlign w:val="center"/>
          </w:tcPr>
          <w:p>
            <w:pPr>
              <w:pStyle w:val="0"/>
              <w:jc w:val="center"/>
            </w:pPr>
            <w:r>
              <w:rPr>
                <w:sz w:val="20"/>
              </w:rPr>
              <w:t xml:space="preserve">1</w:t>
            </w:r>
          </w:p>
        </w:tc>
        <w:tc>
          <w:tcPr>
            <w:tcW w:w="709" w:type="dxa"/>
            <w:vAlign w:val="center"/>
          </w:tcPr>
          <w:p>
            <w:pPr>
              <w:pStyle w:val="0"/>
              <w:jc w:val="center"/>
            </w:pPr>
            <w:r>
              <w:rPr>
                <w:sz w:val="20"/>
              </w:rPr>
              <w:t xml:space="preserve">1</w:t>
            </w:r>
          </w:p>
        </w:tc>
        <w:tc>
          <w:tcPr>
            <w:tcW w:w="709" w:type="dxa"/>
            <w:vAlign w:val="center"/>
          </w:tcPr>
          <w:p>
            <w:pPr>
              <w:pStyle w:val="0"/>
              <w:jc w:val="center"/>
            </w:pPr>
            <w:r>
              <w:rPr>
                <w:sz w:val="20"/>
              </w:rPr>
              <w:t xml:space="preserve">1,1</w:t>
            </w:r>
          </w:p>
        </w:tc>
      </w:tr>
      <w:tr>
        <w:tc>
          <w:tcPr>
            <w:tcW w:w="2381" w:type="dxa"/>
            <w:vAlign w:val="center"/>
          </w:tcPr>
          <w:p>
            <w:pPr>
              <w:pStyle w:val="0"/>
            </w:pPr>
            <w:r>
              <w:rPr>
                <w:sz w:val="20"/>
              </w:rPr>
              <w:t xml:space="preserve">Нефтеюганский</w:t>
            </w:r>
          </w:p>
        </w:tc>
        <w:tc>
          <w:tcPr>
            <w:tcW w:w="847" w:type="dxa"/>
            <w:vAlign w:val="center"/>
          </w:tcPr>
          <w:p>
            <w:pPr>
              <w:pStyle w:val="0"/>
              <w:jc w:val="center"/>
            </w:pPr>
            <w:r>
              <w:rPr>
                <w:sz w:val="20"/>
              </w:rPr>
              <w:t xml:space="preserve">15,2</w:t>
            </w:r>
          </w:p>
        </w:tc>
        <w:tc>
          <w:tcPr>
            <w:tcW w:w="948" w:type="dxa"/>
            <w:vAlign w:val="center"/>
          </w:tcPr>
          <w:p>
            <w:pPr>
              <w:pStyle w:val="0"/>
              <w:jc w:val="center"/>
            </w:pPr>
            <w:r>
              <w:rPr>
                <w:sz w:val="20"/>
              </w:rPr>
              <w:t xml:space="preserve">18,5</w:t>
            </w:r>
          </w:p>
        </w:tc>
        <w:tc>
          <w:tcPr>
            <w:tcW w:w="949" w:type="dxa"/>
            <w:vAlign w:val="center"/>
          </w:tcPr>
          <w:p>
            <w:pPr>
              <w:pStyle w:val="0"/>
              <w:jc w:val="center"/>
            </w:pPr>
            <w:r>
              <w:rPr>
                <w:sz w:val="20"/>
              </w:rPr>
              <w:t xml:space="preserve">18,5</w:t>
            </w:r>
          </w:p>
        </w:tc>
        <w:tc>
          <w:tcPr>
            <w:tcW w:w="765" w:type="dxa"/>
            <w:vAlign w:val="center"/>
          </w:tcPr>
          <w:p>
            <w:pPr>
              <w:pStyle w:val="0"/>
              <w:jc w:val="center"/>
            </w:pPr>
            <w:r>
              <w:rPr>
                <w:sz w:val="20"/>
              </w:rPr>
              <w:t xml:space="preserve">18,5</w:t>
            </w:r>
          </w:p>
        </w:tc>
        <w:tc>
          <w:tcPr>
            <w:tcW w:w="843" w:type="dxa"/>
            <w:vAlign w:val="center"/>
          </w:tcPr>
          <w:p>
            <w:pPr>
              <w:pStyle w:val="0"/>
              <w:jc w:val="center"/>
            </w:pPr>
            <w:r>
              <w:rPr>
                <w:sz w:val="20"/>
              </w:rPr>
              <w:t xml:space="preserve">25,6</w:t>
            </w:r>
          </w:p>
        </w:tc>
        <w:tc>
          <w:tcPr>
            <w:tcW w:w="656" w:type="dxa"/>
            <w:vAlign w:val="center"/>
          </w:tcPr>
          <w:p>
            <w:pPr>
              <w:pStyle w:val="0"/>
              <w:jc w:val="center"/>
            </w:pPr>
            <w:r>
              <w:rPr>
                <w:sz w:val="20"/>
              </w:rPr>
              <w:t xml:space="preserve">0,6</w:t>
            </w:r>
          </w:p>
        </w:tc>
        <w:tc>
          <w:tcPr>
            <w:tcW w:w="807" w:type="dxa"/>
            <w:vAlign w:val="center"/>
          </w:tcPr>
          <w:p>
            <w:pPr>
              <w:pStyle w:val="0"/>
              <w:jc w:val="center"/>
            </w:pPr>
            <w:r>
              <w:rPr>
                <w:sz w:val="20"/>
              </w:rPr>
              <w:t xml:space="preserve">0,9</w:t>
            </w:r>
          </w:p>
        </w:tc>
        <w:tc>
          <w:tcPr>
            <w:tcW w:w="850" w:type="dxa"/>
            <w:vAlign w:val="center"/>
          </w:tcPr>
          <w:p>
            <w:pPr>
              <w:pStyle w:val="0"/>
              <w:jc w:val="center"/>
            </w:pPr>
            <w:r>
              <w:rPr>
                <w:sz w:val="20"/>
              </w:rPr>
              <w:t xml:space="preserve">0,8</w:t>
            </w:r>
          </w:p>
        </w:tc>
        <w:tc>
          <w:tcPr>
            <w:tcW w:w="709" w:type="dxa"/>
            <w:vAlign w:val="center"/>
          </w:tcPr>
          <w:p>
            <w:pPr>
              <w:pStyle w:val="0"/>
              <w:jc w:val="center"/>
            </w:pPr>
            <w:r>
              <w:rPr>
                <w:sz w:val="20"/>
              </w:rPr>
              <w:t xml:space="preserve">0,8</w:t>
            </w:r>
          </w:p>
        </w:tc>
        <w:tc>
          <w:tcPr>
            <w:tcW w:w="709" w:type="dxa"/>
            <w:vAlign w:val="center"/>
          </w:tcPr>
          <w:p>
            <w:pPr>
              <w:pStyle w:val="0"/>
              <w:jc w:val="center"/>
            </w:pPr>
            <w:r>
              <w:rPr>
                <w:sz w:val="20"/>
              </w:rPr>
              <w:t xml:space="preserve">0,9</w:t>
            </w:r>
          </w:p>
        </w:tc>
      </w:tr>
      <w:tr>
        <w:tc>
          <w:tcPr>
            <w:tcW w:w="2381" w:type="dxa"/>
            <w:vAlign w:val="center"/>
          </w:tcPr>
          <w:p>
            <w:pPr>
              <w:pStyle w:val="0"/>
            </w:pPr>
            <w:r>
              <w:rPr>
                <w:sz w:val="20"/>
              </w:rPr>
              <w:t xml:space="preserve">Пыть-Ях</w:t>
            </w:r>
          </w:p>
        </w:tc>
        <w:tc>
          <w:tcPr>
            <w:tcW w:w="847" w:type="dxa"/>
            <w:vAlign w:val="center"/>
          </w:tcPr>
          <w:p>
            <w:pPr>
              <w:pStyle w:val="0"/>
              <w:jc w:val="center"/>
            </w:pPr>
            <w:r>
              <w:rPr>
                <w:sz w:val="20"/>
              </w:rPr>
              <w:t xml:space="preserve">15,8</w:t>
            </w:r>
          </w:p>
        </w:tc>
        <w:tc>
          <w:tcPr>
            <w:tcW w:w="948" w:type="dxa"/>
            <w:vAlign w:val="center"/>
          </w:tcPr>
          <w:p>
            <w:pPr>
              <w:pStyle w:val="0"/>
              <w:jc w:val="center"/>
            </w:pPr>
            <w:r>
              <w:rPr>
                <w:sz w:val="20"/>
              </w:rPr>
              <w:t xml:space="preserve">28,6</w:t>
            </w:r>
          </w:p>
        </w:tc>
        <w:tc>
          <w:tcPr>
            <w:tcW w:w="949" w:type="dxa"/>
            <w:vAlign w:val="center"/>
          </w:tcPr>
          <w:p>
            <w:pPr>
              <w:pStyle w:val="0"/>
              <w:jc w:val="center"/>
            </w:pPr>
            <w:r>
              <w:rPr>
                <w:sz w:val="20"/>
              </w:rPr>
              <w:t xml:space="preserve">18,1</w:t>
            </w:r>
          </w:p>
        </w:tc>
        <w:tc>
          <w:tcPr>
            <w:tcW w:w="765" w:type="dxa"/>
            <w:vAlign w:val="center"/>
          </w:tcPr>
          <w:p>
            <w:pPr>
              <w:pStyle w:val="0"/>
              <w:jc w:val="center"/>
            </w:pPr>
            <w:r>
              <w:rPr>
                <w:sz w:val="20"/>
              </w:rPr>
              <w:t xml:space="preserve">18,1</w:t>
            </w:r>
          </w:p>
        </w:tc>
        <w:tc>
          <w:tcPr>
            <w:tcW w:w="843" w:type="dxa"/>
            <w:vAlign w:val="center"/>
          </w:tcPr>
          <w:p>
            <w:pPr>
              <w:pStyle w:val="0"/>
              <w:jc w:val="center"/>
            </w:pPr>
            <w:r>
              <w:rPr>
                <w:sz w:val="20"/>
              </w:rPr>
              <w:t xml:space="preserve">16</w:t>
            </w:r>
          </w:p>
        </w:tc>
        <w:tc>
          <w:tcPr>
            <w:tcW w:w="656" w:type="dxa"/>
            <w:vAlign w:val="center"/>
          </w:tcPr>
          <w:p>
            <w:pPr>
              <w:pStyle w:val="0"/>
              <w:jc w:val="center"/>
            </w:pPr>
            <w:r>
              <w:rPr>
                <w:sz w:val="20"/>
              </w:rPr>
              <w:t xml:space="preserve">0,6</w:t>
            </w:r>
          </w:p>
        </w:tc>
        <w:tc>
          <w:tcPr>
            <w:tcW w:w="807" w:type="dxa"/>
            <w:vAlign w:val="center"/>
          </w:tcPr>
          <w:p>
            <w:pPr>
              <w:pStyle w:val="0"/>
              <w:jc w:val="center"/>
            </w:pPr>
            <w:r>
              <w:rPr>
                <w:sz w:val="20"/>
              </w:rPr>
              <w:t xml:space="preserve">1,1</w:t>
            </w:r>
          </w:p>
        </w:tc>
        <w:tc>
          <w:tcPr>
            <w:tcW w:w="850" w:type="dxa"/>
            <w:vAlign w:val="center"/>
          </w:tcPr>
          <w:p>
            <w:pPr>
              <w:pStyle w:val="0"/>
              <w:jc w:val="center"/>
            </w:pPr>
            <w:r>
              <w:rPr>
                <w:sz w:val="20"/>
              </w:rPr>
              <w:t xml:space="preserve">1</w:t>
            </w:r>
          </w:p>
        </w:tc>
        <w:tc>
          <w:tcPr>
            <w:tcW w:w="709" w:type="dxa"/>
            <w:vAlign w:val="center"/>
          </w:tcPr>
          <w:p>
            <w:pPr>
              <w:pStyle w:val="0"/>
              <w:jc w:val="center"/>
            </w:pPr>
            <w:r>
              <w:rPr>
                <w:sz w:val="20"/>
              </w:rPr>
              <w:t xml:space="preserve">1</w:t>
            </w:r>
          </w:p>
        </w:tc>
        <w:tc>
          <w:tcPr>
            <w:tcW w:w="709" w:type="dxa"/>
            <w:vAlign w:val="center"/>
          </w:tcPr>
          <w:p>
            <w:pPr>
              <w:pStyle w:val="0"/>
              <w:jc w:val="center"/>
            </w:pPr>
            <w:r>
              <w:rPr>
                <w:sz w:val="20"/>
              </w:rPr>
              <w:t xml:space="preserve">1,1</w:t>
            </w:r>
          </w:p>
        </w:tc>
      </w:tr>
      <w:tr>
        <w:tc>
          <w:tcPr>
            <w:tcW w:w="2381" w:type="dxa"/>
            <w:vAlign w:val="center"/>
          </w:tcPr>
          <w:p>
            <w:pPr>
              <w:pStyle w:val="0"/>
            </w:pPr>
            <w:r>
              <w:rPr>
                <w:sz w:val="20"/>
              </w:rPr>
              <w:t xml:space="preserve">Когалым</w:t>
            </w:r>
          </w:p>
        </w:tc>
        <w:tc>
          <w:tcPr>
            <w:tcW w:w="847" w:type="dxa"/>
            <w:vAlign w:val="center"/>
          </w:tcPr>
          <w:p>
            <w:pPr>
              <w:pStyle w:val="0"/>
              <w:jc w:val="center"/>
            </w:pPr>
            <w:r>
              <w:rPr>
                <w:sz w:val="20"/>
              </w:rPr>
              <w:t xml:space="preserve">15,2</w:t>
            </w:r>
          </w:p>
        </w:tc>
        <w:tc>
          <w:tcPr>
            <w:tcW w:w="948" w:type="dxa"/>
            <w:vAlign w:val="center"/>
          </w:tcPr>
          <w:p>
            <w:pPr>
              <w:pStyle w:val="0"/>
              <w:jc w:val="center"/>
            </w:pPr>
            <w:r>
              <w:rPr>
                <w:sz w:val="20"/>
              </w:rPr>
              <w:t xml:space="preserve">22,8</w:t>
            </w:r>
          </w:p>
        </w:tc>
        <w:tc>
          <w:tcPr>
            <w:tcW w:w="949" w:type="dxa"/>
            <w:vAlign w:val="center"/>
          </w:tcPr>
          <w:p>
            <w:pPr>
              <w:pStyle w:val="0"/>
              <w:jc w:val="center"/>
            </w:pPr>
            <w:r>
              <w:rPr>
                <w:sz w:val="20"/>
              </w:rPr>
              <w:t xml:space="preserve">24,7</w:t>
            </w:r>
          </w:p>
        </w:tc>
        <w:tc>
          <w:tcPr>
            <w:tcW w:w="765" w:type="dxa"/>
            <w:vAlign w:val="center"/>
          </w:tcPr>
          <w:p>
            <w:pPr>
              <w:pStyle w:val="0"/>
              <w:jc w:val="center"/>
            </w:pPr>
            <w:r>
              <w:rPr>
                <w:sz w:val="20"/>
              </w:rPr>
              <w:t xml:space="preserve">24,7</w:t>
            </w:r>
          </w:p>
        </w:tc>
        <w:tc>
          <w:tcPr>
            <w:tcW w:w="843" w:type="dxa"/>
            <w:vAlign w:val="center"/>
          </w:tcPr>
          <w:p>
            <w:pPr>
              <w:pStyle w:val="0"/>
              <w:jc w:val="center"/>
            </w:pPr>
            <w:r>
              <w:rPr>
                <w:sz w:val="20"/>
              </w:rPr>
              <w:t xml:space="preserve">15,1</w:t>
            </w:r>
          </w:p>
        </w:tc>
        <w:tc>
          <w:tcPr>
            <w:tcW w:w="656" w:type="dxa"/>
            <w:vAlign w:val="center"/>
          </w:tcPr>
          <w:p>
            <w:pPr>
              <w:pStyle w:val="0"/>
              <w:jc w:val="center"/>
            </w:pPr>
            <w:r>
              <w:rPr>
                <w:sz w:val="20"/>
              </w:rPr>
              <w:t xml:space="preserve">0,7</w:t>
            </w:r>
          </w:p>
        </w:tc>
        <w:tc>
          <w:tcPr>
            <w:tcW w:w="807" w:type="dxa"/>
            <w:vAlign w:val="center"/>
          </w:tcPr>
          <w:p>
            <w:pPr>
              <w:pStyle w:val="0"/>
              <w:jc w:val="center"/>
            </w:pPr>
            <w:r>
              <w:rPr>
                <w:sz w:val="20"/>
              </w:rPr>
              <w:t xml:space="preserve">1</w:t>
            </w:r>
          </w:p>
        </w:tc>
        <w:tc>
          <w:tcPr>
            <w:tcW w:w="850" w:type="dxa"/>
            <w:vAlign w:val="center"/>
          </w:tcPr>
          <w:p>
            <w:pPr>
              <w:pStyle w:val="0"/>
              <w:jc w:val="center"/>
            </w:pPr>
            <w:r>
              <w:rPr>
                <w:sz w:val="20"/>
              </w:rPr>
              <w:t xml:space="preserve">1,4</w:t>
            </w:r>
          </w:p>
        </w:tc>
        <w:tc>
          <w:tcPr>
            <w:tcW w:w="709" w:type="dxa"/>
            <w:vAlign w:val="center"/>
          </w:tcPr>
          <w:p>
            <w:pPr>
              <w:pStyle w:val="0"/>
              <w:jc w:val="center"/>
            </w:pPr>
            <w:r>
              <w:rPr>
                <w:sz w:val="20"/>
              </w:rPr>
              <w:t xml:space="preserve">1,4</w:t>
            </w:r>
          </w:p>
        </w:tc>
        <w:tc>
          <w:tcPr>
            <w:tcW w:w="709" w:type="dxa"/>
            <w:vAlign w:val="center"/>
          </w:tcPr>
          <w:p>
            <w:pPr>
              <w:pStyle w:val="0"/>
              <w:jc w:val="center"/>
            </w:pPr>
            <w:r>
              <w:rPr>
                <w:sz w:val="20"/>
              </w:rPr>
              <w:t xml:space="preserve">0,9</w:t>
            </w:r>
          </w:p>
        </w:tc>
      </w:tr>
      <w:tr>
        <w:tc>
          <w:tcPr>
            <w:tcW w:w="2381" w:type="dxa"/>
            <w:vAlign w:val="center"/>
          </w:tcPr>
          <w:p>
            <w:pPr>
              <w:pStyle w:val="0"/>
            </w:pPr>
            <w:r>
              <w:rPr>
                <w:sz w:val="20"/>
              </w:rPr>
              <w:t xml:space="preserve">Нижневартовский</w:t>
            </w:r>
          </w:p>
        </w:tc>
        <w:tc>
          <w:tcPr>
            <w:tcW w:w="847" w:type="dxa"/>
            <w:vAlign w:val="center"/>
          </w:tcPr>
          <w:p>
            <w:pPr>
              <w:pStyle w:val="0"/>
              <w:jc w:val="center"/>
            </w:pPr>
            <w:r>
              <w:rPr>
                <w:sz w:val="20"/>
              </w:rPr>
              <w:t xml:space="preserve">24,4</w:t>
            </w:r>
          </w:p>
        </w:tc>
        <w:tc>
          <w:tcPr>
            <w:tcW w:w="948" w:type="dxa"/>
            <w:vAlign w:val="center"/>
          </w:tcPr>
          <w:p>
            <w:pPr>
              <w:pStyle w:val="0"/>
              <w:jc w:val="center"/>
            </w:pPr>
            <w:r>
              <w:rPr>
                <w:sz w:val="20"/>
              </w:rPr>
              <w:t xml:space="preserve">24,3</w:t>
            </w:r>
          </w:p>
        </w:tc>
        <w:tc>
          <w:tcPr>
            <w:tcW w:w="949" w:type="dxa"/>
            <w:vAlign w:val="center"/>
          </w:tcPr>
          <w:p>
            <w:pPr>
              <w:pStyle w:val="0"/>
              <w:jc w:val="center"/>
            </w:pPr>
            <w:r>
              <w:rPr>
                <w:sz w:val="20"/>
              </w:rPr>
              <w:t xml:space="preserve">24,4</w:t>
            </w:r>
          </w:p>
        </w:tc>
        <w:tc>
          <w:tcPr>
            <w:tcW w:w="765" w:type="dxa"/>
            <w:vAlign w:val="center"/>
          </w:tcPr>
          <w:p>
            <w:pPr>
              <w:pStyle w:val="0"/>
              <w:jc w:val="center"/>
            </w:pPr>
            <w:r>
              <w:rPr>
                <w:sz w:val="20"/>
              </w:rPr>
              <w:t xml:space="preserve">25,1</w:t>
            </w:r>
          </w:p>
        </w:tc>
        <w:tc>
          <w:tcPr>
            <w:tcW w:w="843" w:type="dxa"/>
            <w:vAlign w:val="center"/>
          </w:tcPr>
          <w:p>
            <w:pPr>
              <w:pStyle w:val="0"/>
              <w:jc w:val="center"/>
            </w:pPr>
            <w:r>
              <w:rPr>
                <w:sz w:val="20"/>
              </w:rPr>
              <w:t xml:space="preserve">27,7</w:t>
            </w:r>
          </w:p>
        </w:tc>
        <w:tc>
          <w:tcPr>
            <w:tcW w:w="656" w:type="dxa"/>
            <w:vAlign w:val="center"/>
          </w:tcPr>
          <w:p>
            <w:pPr>
              <w:pStyle w:val="0"/>
              <w:jc w:val="center"/>
            </w:pPr>
            <w:r>
              <w:rPr>
                <w:sz w:val="20"/>
              </w:rPr>
              <w:t xml:space="preserve">1</w:t>
            </w:r>
          </w:p>
        </w:tc>
        <w:tc>
          <w:tcPr>
            <w:tcW w:w="807" w:type="dxa"/>
            <w:vAlign w:val="center"/>
          </w:tcPr>
          <w:p>
            <w:pPr>
              <w:pStyle w:val="0"/>
              <w:jc w:val="center"/>
            </w:pPr>
            <w:r>
              <w:rPr>
                <w:sz w:val="20"/>
              </w:rPr>
              <w:t xml:space="preserve">1,1</w:t>
            </w:r>
          </w:p>
        </w:tc>
        <w:tc>
          <w:tcPr>
            <w:tcW w:w="850" w:type="dxa"/>
            <w:vAlign w:val="center"/>
          </w:tcPr>
          <w:p>
            <w:pPr>
              <w:pStyle w:val="0"/>
              <w:jc w:val="center"/>
            </w:pPr>
            <w:r>
              <w:rPr>
                <w:sz w:val="20"/>
              </w:rPr>
              <w:t xml:space="preserve">1,2</w:t>
            </w:r>
          </w:p>
        </w:tc>
        <w:tc>
          <w:tcPr>
            <w:tcW w:w="709" w:type="dxa"/>
            <w:vAlign w:val="center"/>
          </w:tcPr>
          <w:p>
            <w:pPr>
              <w:pStyle w:val="0"/>
              <w:jc w:val="center"/>
            </w:pPr>
            <w:r>
              <w:rPr>
                <w:sz w:val="20"/>
              </w:rPr>
              <w:t xml:space="preserve">1,2</w:t>
            </w:r>
          </w:p>
        </w:tc>
        <w:tc>
          <w:tcPr>
            <w:tcW w:w="709" w:type="dxa"/>
            <w:vAlign w:val="center"/>
          </w:tcPr>
          <w:p>
            <w:pPr>
              <w:pStyle w:val="0"/>
              <w:jc w:val="center"/>
            </w:pPr>
            <w:r>
              <w:rPr>
                <w:sz w:val="20"/>
              </w:rPr>
              <w:t xml:space="preserve">1,2</w:t>
            </w:r>
          </w:p>
        </w:tc>
      </w:tr>
      <w:tr>
        <w:tc>
          <w:tcPr>
            <w:tcW w:w="2381" w:type="dxa"/>
            <w:vAlign w:val="center"/>
          </w:tcPr>
          <w:p>
            <w:pPr>
              <w:pStyle w:val="0"/>
            </w:pPr>
            <w:r>
              <w:rPr>
                <w:sz w:val="20"/>
              </w:rPr>
              <w:t xml:space="preserve">Нижневартовск</w:t>
            </w:r>
          </w:p>
        </w:tc>
        <w:tc>
          <w:tcPr>
            <w:tcW w:w="847" w:type="dxa"/>
            <w:vAlign w:val="center"/>
          </w:tcPr>
          <w:p>
            <w:pPr>
              <w:pStyle w:val="0"/>
              <w:jc w:val="center"/>
            </w:pPr>
            <w:r>
              <w:rPr>
                <w:sz w:val="20"/>
              </w:rPr>
              <w:t xml:space="preserve">13,5</w:t>
            </w:r>
          </w:p>
        </w:tc>
        <w:tc>
          <w:tcPr>
            <w:tcW w:w="948" w:type="dxa"/>
            <w:vAlign w:val="center"/>
          </w:tcPr>
          <w:p>
            <w:pPr>
              <w:pStyle w:val="0"/>
              <w:jc w:val="center"/>
            </w:pPr>
            <w:r>
              <w:rPr>
                <w:sz w:val="20"/>
              </w:rPr>
              <w:t xml:space="preserve">44,3</w:t>
            </w:r>
          </w:p>
        </w:tc>
        <w:tc>
          <w:tcPr>
            <w:tcW w:w="949" w:type="dxa"/>
            <w:vAlign w:val="center"/>
          </w:tcPr>
          <w:p>
            <w:pPr>
              <w:pStyle w:val="0"/>
              <w:jc w:val="center"/>
            </w:pPr>
            <w:r>
              <w:rPr>
                <w:sz w:val="20"/>
              </w:rPr>
              <w:t xml:space="preserve">8</w:t>
            </w:r>
          </w:p>
        </w:tc>
        <w:tc>
          <w:tcPr>
            <w:tcW w:w="765" w:type="dxa"/>
            <w:vAlign w:val="center"/>
          </w:tcPr>
          <w:p>
            <w:pPr>
              <w:pStyle w:val="0"/>
              <w:jc w:val="center"/>
            </w:pPr>
            <w:r>
              <w:rPr>
                <w:sz w:val="20"/>
              </w:rPr>
              <w:t xml:space="preserve">8</w:t>
            </w:r>
          </w:p>
        </w:tc>
        <w:tc>
          <w:tcPr>
            <w:tcW w:w="843" w:type="dxa"/>
            <w:vAlign w:val="center"/>
          </w:tcPr>
          <w:p>
            <w:pPr>
              <w:pStyle w:val="0"/>
              <w:jc w:val="center"/>
            </w:pPr>
            <w:r>
              <w:rPr>
                <w:sz w:val="20"/>
              </w:rPr>
              <w:t xml:space="preserve">16,1</w:t>
            </w:r>
          </w:p>
        </w:tc>
        <w:tc>
          <w:tcPr>
            <w:tcW w:w="656" w:type="dxa"/>
            <w:vAlign w:val="center"/>
          </w:tcPr>
          <w:p>
            <w:pPr>
              <w:pStyle w:val="0"/>
              <w:jc w:val="center"/>
            </w:pPr>
            <w:r>
              <w:rPr>
                <w:sz w:val="20"/>
              </w:rPr>
              <w:t xml:space="preserve">0,6</w:t>
            </w:r>
          </w:p>
        </w:tc>
        <w:tc>
          <w:tcPr>
            <w:tcW w:w="807" w:type="dxa"/>
            <w:vAlign w:val="center"/>
          </w:tcPr>
          <w:p>
            <w:pPr>
              <w:pStyle w:val="0"/>
              <w:jc w:val="center"/>
            </w:pPr>
            <w:r>
              <w:rPr>
                <w:sz w:val="20"/>
              </w:rPr>
              <w:t xml:space="preserve">1,4</w:t>
            </w:r>
          </w:p>
        </w:tc>
        <w:tc>
          <w:tcPr>
            <w:tcW w:w="850" w:type="dxa"/>
            <w:vAlign w:val="center"/>
          </w:tcPr>
          <w:p>
            <w:pPr>
              <w:pStyle w:val="0"/>
              <w:jc w:val="center"/>
            </w:pPr>
            <w:r>
              <w:rPr>
                <w:sz w:val="20"/>
              </w:rPr>
              <w:t xml:space="preserve">0,3</w:t>
            </w:r>
          </w:p>
        </w:tc>
        <w:tc>
          <w:tcPr>
            <w:tcW w:w="709" w:type="dxa"/>
            <w:vAlign w:val="center"/>
          </w:tcPr>
          <w:p>
            <w:pPr>
              <w:pStyle w:val="0"/>
              <w:jc w:val="center"/>
            </w:pPr>
            <w:r>
              <w:rPr>
                <w:sz w:val="20"/>
              </w:rPr>
              <w:t xml:space="preserve">0,3</w:t>
            </w:r>
          </w:p>
        </w:tc>
        <w:tc>
          <w:tcPr>
            <w:tcW w:w="709" w:type="dxa"/>
            <w:vAlign w:val="center"/>
          </w:tcPr>
          <w:p>
            <w:pPr>
              <w:pStyle w:val="0"/>
              <w:jc w:val="center"/>
            </w:pPr>
            <w:r>
              <w:rPr>
                <w:sz w:val="20"/>
              </w:rPr>
              <w:t xml:space="preserve">0,6</w:t>
            </w:r>
          </w:p>
        </w:tc>
      </w:tr>
      <w:tr>
        <w:tc>
          <w:tcPr>
            <w:tcW w:w="2381" w:type="dxa"/>
            <w:vAlign w:val="center"/>
          </w:tcPr>
          <w:p>
            <w:pPr>
              <w:pStyle w:val="0"/>
            </w:pPr>
            <w:r>
              <w:rPr>
                <w:sz w:val="20"/>
              </w:rPr>
              <w:t xml:space="preserve">Мегион</w:t>
            </w:r>
          </w:p>
        </w:tc>
        <w:tc>
          <w:tcPr>
            <w:tcW w:w="847" w:type="dxa"/>
            <w:vAlign w:val="center"/>
          </w:tcPr>
          <w:p>
            <w:pPr>
              <w:pStyle w:val="0"/>
              <w:jc w:val="center"/>
            </w:pPr>
            <w:r>
              <w:rPr>
                <w:sz w:val="20"/>
              </w:rPr>
              <w:t xml:space="preserve">32,8</w:t>
            </w:r>
          </w:p>
        </w:tc>
        <w:tc>
          <w:tcPr>
            <w:tcW w:w="948" w:type="dxa"/>
            <w:vAlign w:val="center"/>
          </w:tcPr>
          <w:p>
            <w:pPr>
              <w:pStyle w:val="0"/>
              <w:jc w:val="center"/>
            </w:pPr>
            <w:r>
              <w:rPr>
                <w:sz w:val="20"/>
              </w:rPr>
              <w:t xml:space="preserve">16,4</w:t>
            </w:r>
          </w:p>
        </w:tc>
        <w:tc>
          <w:tcPr>
            <w:tcW w:w="949" w:type="dxa"/>
            <w:vAlign w:val="center"/>
          </w:tcPr>
          <w:p>
            <w:pPr>
              <w:pStyle w:val="0"/>
              <w:jc w:val="center"/>
            </w:pPr>
            <w:r>
              <w:rPr>
                <w:sz w:val="20"/>
              </w:rPr>
              <w:t xml:space="preserve">14,5</w:t>
            </w:r>
          </w:p>
        </w:tc>
        <w:tc>
          <w:tcPr>
            <w:tcW w:w="765" w:type="dxa"/>
            <w:vAlign w:val="center"/>
          </w:tcPr>
          <w:p>
            <w:pPr>
              <w:pStyle w:val="0"/>
              <w:jc w:val="center"/>
            </w:pPr>
            <w:r>
              <w:rPr>
                <w:sz w:val="20"/>
              </w:rPr>
              <w:t xml:space="preserve">14,5</w:t>
            </w:r>
          </w:p>
        </w:tc>
        <w:tc>
          <w:tcPr>
            <w:tcW w:w="843" w:type="dxa"/>
            <w:vAlign w:val="center"/>
          </w:tcPr>
          <w:p>
            <w:pPr>
              <w:pStyle w:val="0"/>
              <w:jc w:val="center"/>
            </w:pPr>
            <w:r>
              <w:rPr>
                <w:sz w:val="20"/>
              </w:rPr>
              <w:t xml:space="preserve">40,3</w:t>
            </w:r>
          </w:p>
        </w:tc>
        <w:tc>
          <w:tcPr>
            <w:tcW w:w="656" w:type="dxa"/>
            <w:vAlign w:val="center"/>
          </w:tcPr>
          <w:p>
            <w:pPr>
              <w:pStyle w:val="0"/>
              <w:jc w:val="center"/>
            </w:pPr>
            <w:r>
              <w:rPr>
                <w:sz w:val="20"/>
              </w:rPr>
              <w:t xml:space="preserve">2,5</w:t>
            </w:r>
          </w:p>
        </w:tc>
        <w:tc>
          <w:tcPr>
            <w:tcW w:w="807" w:type="dxa"/>
            <w:vAlign w:val="center"/>
          </w:tcPr>
          <w:p>
            <w:pPr>
              <w:pStyle w:val="0"/>
              <w:jc w:val="center"/>
            </w:pPr>
            <w:r>
              <w:rPr>
                <w:sz w:val="20"/>
              </w:rPr>
              <w:t xml:space="preserve">1,5</w:t>
            </w:r>
          </w:p>
        </w:tc>
        <w:tc>
          <w:tcPr>
            <w:tcW w:w="850" w:type="dxa"/>
            <w:vAlign w:val="center"/>
          </w:tcPr>
          <w:p>
            <w:pPr>
              <w:pStyle w:val="0"/>
              <w:jc w:val="center"/>
            </w:pPr>
            <w:r>
              <w:rPr>
                <w:sz w:val="20"/>
              </w:rPr>
              <w:t xml:space="preserve">1,2</w:t>
            </w:r>
          </w:p>
        </w:tc>
        <w:tc>
          <w:tcPr>
            <w:tcW w:w="709" w:type="dxa"/>
            <w:vAlign w:val="center"/>
          </w:tcPr>
          <w:p>
            <w:pPr>
              <w:pStyle w:val="0"/>
              <w:jc w:val="center"/>
            </w:pPr>
            <w:r>
              <w:rPr>
                <w:sz w:val="20"/>
              </w:rPr>
              <w:t xml:space="preserve">1,2</w:t>
            </w:r>
          </w:p>
        </w:tc>
        <w:tc>
          <w:tcPr>
            <w:tcW w:w="709" w:type="dxa"/>
            <w:vAlign w:val="center"/>
          </w:tcPr>
          <w:p>
            <w:pPr>
              <w:pStyle w:val="0"/>
              <w:jc w:val="center"/>
            </w:pPr>
            <w:r>
              <w:rPr>
                <w:sz w:val="20"/>
              </w:rPr>
              <w:t xml:space="preserve">1,4</w:t>
            </w:r>
          </w:p>
        </w:tc>
      </w:tr>
      <w:tr>
        <w:tc>
          <w:tcPr>
            <w:tcW w:w="2381" w:type="dxa"/>
            <w:vAlign w:val="center"/>
          </w:tcPr>
          <w:p>
            <w:pPr>
              <w:pStyle w:val="0"/>
            </w:pPr>
            <w:r>
              <w:rPr>
                <w:sz w:val="20"/>
              </w:rPr>
              <w:t xml:space="preserve">Радужный</w:t>
            </w:r>
          </w:p>
        </w:tc>
        <w:tc>
          <w:tcPr>
            <w:tcW w:w="847" w:type="dxa"/>
            <w:vAlign w:val="center"/>
          </w:tcPr>
          <w:p>
            <w:pPr>
              <w:pStyle w:val="0"/>
              <w:jc w:val="center"/>
            </w:pPr>
            <w:r>
              <w:rPr>
                <w:sz w:val="20"/>
              </w:rPr>
              <w:t xml:space="preserve">10,7</w:t>
            </w:r>
          </w:p>
        </w:tc>
        <w:tc>
          <w:tcPr>
            <w:tcW w:w="948" w:type="dxa"/>
            <w:vAlign w:val="center"/>
          </w:tcPr>
          <w:p>
            <w:pPr>
              <w:pStyle w:val="0"/>
              <w:jc w:val="center"/>
            </w:pPr>
            <w:r>
              <w:rPr>
                <w:sz w:val="20"/>
              </w:rPr>
              <w:t xml:space="preserve">5,4</w:t>
            </w:r>
          </w:p>
        </w:tc>
        <w:tc>
          <w:tcPr>
            <w:tcW w:w="949" w:type="dxa"/>
            <w:vAlign w:val="center"/>
          </w:tcPr>
          <w:p>
            <w:pPr>
              <w:pStyle w:val="0"/>
              <w:jc w:val="center"/>
            </w:pPr>
            <w:r>
              <w:rPr>
                <w:sz w:val="20"/>
              </w:rPr>
              <w:t xml:space="preserve">22,4</w:t>
            </w:r>
          </w:p>
        </w:tc>
        <w:tc>
          <w:tcPr>
            <w:tcW w:w="765" w:type="dxa"/>
            <w:vAlign w:val="center"/>
          </w:tcPr>
          <w:p>
            <w:pPr>
              <w:pStyle w:val="0"/>
              <w:jc w:val="center"/>
            </w:pPr>
            <w:r>
              <w:rPr>
                <w:sz w:val="20"/>
              </w:rPr>
              <w:t xml:space="preserve">22,4</w:t>
            </w:r>
          </w:p>
        </w:tc>
        <w:tc>
          <w:tcPr>
            <w:tcW w:w="843" w:type="dxa"/>
            <w:vAlign w:val="center"/>
          </w:tcPr>
          <w:p>
            <w:pPr>
              <w:pStyle w:val="0"/>
              <w:jc w:val="center"/>
            </w:pPr>
            <w:r>
              <w:rPr>
                <w:sz w:val="20"/>
              </w:rPr>
              <w:t xml:space="preserve">13,4</w:t>
            </w:r>
          </w:p>
        </w:tc>
        <w:tc>
          <w:tcPr>
            <w:tcW w:w="656" w:type="dxa"/>
            <w:vAlign w:val="center"/>
          </w:tcPr>
          <w:p>
            <w:pPr>
              <w:pStyle w:val="0"/>
              <w:jc w:val="center"/>
            </w:pPr>
            <w:r>
              <w:rPr>
                <w:sz w:val="20"/>
              </w:rPr>
              <w:t xml:space="preserve">0,4</w:t>
            </w:r>
          </w:p>
        </w:tc>
        <w:tc>
          <w:tcPr>
            <w:tcW w:w="807" w:type="dxa"/>
            <w:vAlign w:val="center"/>
          </w:tcPr>
          <w:p>
            <w:pPr>
              <w:pStyle w:val="0"/>
              <w:jc w:val="center"/>
            </w:pPr>
            <w:r>
              <w:rPr>
                <w:sz w:val="20"/>
              </w:rPr>
              <w:t xml:space="preserve">0,25</w:t>
            </w:r>
          </w:p>
        </w:tc>
        <w:tc>
          <w:tcPr>
            <w:tcW w:w="850" w:type="dxa"/>
            <w:vAlign w:val="center"/>
          </w:tcPr>
          <w:p>
            <w:pPr>
              <w:pStyle w:val="0"/>
              <w:jc w:val="center"/>
            </w:pPr>
            <w:r>
              <w:rPr>
                <w:sz w:val="20"/>
              </w:rPr>
              <w:t xml:space="preserve">1,4</w:t>
            </w:r>
          </w:p>
        </w:tc>
        <w:tc>
          <w:tcPr>
            <w:tcW w:w="709" w:type="dxa"/>
            <w:vAlign w:val="center"/>
          </w:tcPr>
          <w:p>
            <w:pPr>
              <w:pStyle w:val="0"/>
              <w:jc w:val="center"/>
            </w:pPr>
            <w:r>
              <w:rPr>
                <w:sz w:val="20"/>
              </w:rPr>
              <w:t xml:space="preserve">1,4</w:t>
            </w:r>
          </w:p>
        </w:tc>
        <w:tc>
          <w:tcPr>
            <w:tcW w:w="709" w:type="dxa"/>
            <w:vAlign w:val="center"/>
          </w:tcPr>
          <w:p>
            <w:pPr>
              <w:pStyle w:val="0"/>
              <w:jc w:val="center"/>
            </w:pPr>
            <w:r>
              <w:rPr>
                <w:sz w:val="20"/>
              </w:rPr>
              <w:t xml:space="preserve">0,7</w:t>
            </w:r>
          </w:p>
        </w:tc>
      </w:tr>
      <w:tr>
        <w:tc>
          <w:tcPr>
            <w:tcW w:w="2381" w:type="dxa"/>
            <w:vAlign w:val="center"/>
          </w:tcPr>
          <w:p>
            <w:pPr>
              <w:pStyle w:val="0"/>
            </w:pPr>
            <w:r>
              <w:rPr>
                <w:sz w:val="20"/>
              </w:rPr>
              <w:t xml:space="preserve">Лангепас</w:t>
            </w:r>
          </w:p>
        </w:tc>
        <w:tc>
          <w:tcPr>
            <w:tcW w:w="847" w:type="dxa"/>
            <w:vAlign w:val="center"/>
          </w:tcPr>
          <w:p>
            <w:pPr>
              <w:pStyle w:val="0"/>
              <w:jc w:val="center"/>
            </w:pPr>
            <w:r>
              <w:rPr>
                <w:sz w:val="20"/>
              </w:rPr>
              <w:t xml:space="preserve">7,4</w:t>
            </w:r>
          </w:p>
        </w:tc>
        <w:tc>
          <w:tcPr>
            <w:tcW w:w="948" w:type="dxa"/>
            <w:vAlign w:val="center"/>
          </w:tcPr>
          <w:p>
            <w:pPr>
              <w:pStyle w:val="0"/>
              <w:jc w:val="center"/>
            </w:pPr>
            <w:r>
              <w:rPr>
                <w:sz w:val="20"/>
              </w:rPr>
              <w:t xml:space="preserve">9,2</w:t>
            </w:r>
          </w:p>
        </w:tc>
        <w:tc>
          <w:tcPr>
            <w:tcW w:w="949" w:type="dxa"/>
            <w:vAlign w:val="center"/>
          </w:tcPr>
          <w:p>
            <w:pPr>
              <w:pStyle w:val="0"/>
              <w:jc w:val="center"/>
            </w:pPr>
            <w:r>
              <w:rPr>
                <w:sz w:val="20"/>
              </w:rPr>
              <w:t xml:space="preserve">18,2</w:t>
            </w:r>
          </w:p>
        </w:tc>
        <w:tc>
          <w:tcPr>
            <w:tcW w:w="765" w:type="dxa"/>
            <w:vAlign w:val="center"/>
          </w:tcPr>
          <w:p>
            <w:pPr>
              <w:pStyle w:val="0"/>
              <w:jc w:val="center"/>
            </w:pPr>
            <w:r>
              <w:rPr>
                <w:sz w:val="20"/>
              </w:rPr>
              <w:t xml:space="preserve">18,2</w:t>
            </w:r>
          </w:p>
        </w:tc>
        <w:tc>
          <w:tcPr>
            <w:tcW w:w="843" w:type="dxa"/>
            <w:vAlign w:val="center"/>
          </w:tcPr>
          <w:p>
            <w:pPr>
              <w:pStyle w:val="0"/>
              <w:jc w:val="center"/>
            </w:pPr>
            <w:r>
              <w:rPr>
                <w:sz w:val="20"/>
              </w:rPr>
              <w:t xml:space="preserve">7,8</w:t>
            </w:r>
          </w:p>
        </w:tc>
        <w:tc>
          <w:tcPr>
            <w:tcW w:w="656" w:type="dxa"/>
            <w:vAlign w:val="center"/>
          </w:tcPr>
          <w:p>
            <w:pPr>
              <w:pStyle w:val="0"/>
              <w:jc w:val="center"/>
            </w:pPr>
            <w:r>
              <w:rPr>
                <w:sz w:val="20"/>
              </w:rPr>
              <w:t xml:space="preserve">0,2</w:t>
            </w:r>
          </w:p>
        </w:tc>
        <w:tc>
          <w:tcPr>
            <w:tcW w:w="807" w:type="dxa"/>
            <w:vAlign w:val="center"/>
          </w:tcPr>
          <w:p>
            <w:pPr>
              <w:pStyle w:val="0"/>
              <w:jc w:val="center"/>
            </w:pPr>
            <w:r>
              <w:rPr>
                <w:sz w:val="20"/>
              </w:rPr>
              <w:t xml:space="preserve">0,5</w:t>
            </w:r>
          </w:p>
        </w:tc>
        <w:tc>
          <w:tcPr>
            <w:tcW w:w="850" w:type="dxa"/>
            <w:vAlign w:val="center"/>
          </w:tcPr>
          <w:p>
            <w:pPr>
              <w:pStyle w:val="0"/>
              <w:jc w:val="center"/>
            </w:pPr>
            <w:r>
              <w:rPr>
                <w:sz w:val="20"/>
              </w:rPr>
              <w:t xml:space="preserve">1</w:t>
            </w:r>
          </w:p>
        </w:tc>
        <w:tc>
          <w:tcPr>
            <w:tcW w:w="709" w:type="dxa"/>
            <w:vAlign w:val="center"/>
          </w:tcPr>
          <w:p>
            <w:pPr>
              <w:pStyle w:val="0"/>
              <w:jc w:val="center"/>
            </w:pPr>
            <w:r>
              <w:rPr>
                <w:sz w:val="20"/>
              </w:rPr>
              <w:t xml:space="preserve">1</w:t>
            </w:r>
          </w:p>
        </w:tc>
        <w:tc>
          <w:tcPr>
            <w:tcW w:w="709" w:type="dxa"/>
            <w:vAlign w:val="center"/>
          </w:tcPr>
          <w:p>
            <w:pPr>
              <w:pStyle w:val="0"/>
              <w:jc w:val="center"/>
            </w:pPr>
            <w:r>
              <w:rPr>
                <w:sz w:val="20"/>
              </w:rPr>
              <w:t xml:space="preserve">0,3</w:t>
            </w:r>
          </w:p>
        </w:tc>
      </w:tr>
      <w:tr>
        <w:tc>
          <w:tcPr>
            <w:tcW w:w="2381" w:type="dxa"/>
            <w:vAlign w:val="center"/>
          </w:tcPr>
          <w:p>
            <w:pPr>
              <w:pStyle w:val="0"/>
            </w:pPr>
            <w:r>
              <w:rPr>
                <w:sz w:val="20"/>
              </w:rPr>
              <w:t xml:space="preserve">Покачи</w:t>
            </w:r>
          </w:p>
        </w:tc>
        <w:tc>
          <w:tcPr>
            <w:tcW w:w="847" w:type="dxa"/>
            <w:vAlign w:val="center"/>
          </w:tcPr>
          <w:p>
            <w:pPr>
              <w:pStyle w:val="0"/>
              <w:jc w:val="center"/>
            </w:pPr>
            <w:r>
              <w:rPr>
                <w:sz w:val="20"/>
              </w:rPr>
              <w:t xml:space="preserve">24</w:t>
            </w:r>
          </w:p>
        </w:tc>
        <w:tc>
          <w:tcPr>
            <w:tcW w:w="948" w:type="dxa"/>
            <w:vAlign w:val="center"/>
          </w:tcPr>
          <w:p>
            <w:pPr>
              <w:pStyle w:val="0"/>
              <w:jc w:val="center"/>
            </w:pPr>
            <w:r>
              <w:rPr>
                <w:sz w:val="20"/>
              </w:rPr>
              <w:t xml:space="preserve">13,8</w:t>
            </w:r>
          </w:p>
        </w:tc>
        <w:tc>
          <w:tcPr>
            <w:tcW w:w="949" w:type="dxa"/>
            <w:vAlign w:val="center"/>
          </w:tcPr>
          <w:p>
            <w:pPr>
              <w:pStyle w:val="0"/>
              <w:jc w:val="center"/>
            </w:pPr>
            <w:r>
              <w:rPr>
                <w:sz w:val="20"/>
              </w:rPr>
              <w:t xml:space="preserve">29,6</w:t>
            </w:r>
          </w:p>
        </w:tc>
        <w:tc>
          <w:tcPr>
            <w:tcW w:w="765" w:type="dxa"/>
            <w:vAlign w:val="center"/>
          </w:tcPr>
          <w:p>
            <w:pPr>
              <w:pStyle w:val="0"/>
              <w:jc w:val="center"/>
            </w:pPr>
            <w:r>
              <w:rPr>
                <w:sz w:val="20"/>
              </w:rPr>
              <w:t xml:space="preserve">29,6</w:t>
            </w:r>
          </w:p>
        </w:tc>
        <w:tc>
          <w:tcPr>
            <w:tcW w:w="843" w:type="dxa"/>
            <w:vAlign w:val="center"/>
          </w:tcPr>
          <w:p>
            <w:pPr>
              <w:pStyle w:val="0"/>
              <w:jc w:val="center"/>
            </w:pPr>
            <w:r>
              <w:rPr>
                <w:sz w:val="20"/>
              </w:rPr>
              <w:t xml:space="preserve">12,9</w:t>
            </w:r>
          </w:p>
        </w:tc>
        <w:tc>
          <w:tcPr>
            <w:tcW w:w="656" w:type="dxa"/>
            <w:vAlign w:val="center"/>
          </w:tcPr>
          <w:p>
            <w:pPr>
              <w:pStyle w:val="0"/>
              <w:jc w:val="center"/>
            </w:pPr>
            <w:r>
              <w:rPr>
                <w:sz w:val="20"/>
              </w:rPr>
              <w:t xml:space="preserve">0,8</w:t>
            </w:r>
          </w:p>
        </w:tc>
        <w:tc>
          <w:tcPr>
            <w:tcW w:w="807" w:type="dxa"/>
            <w:vAlign w:val="center"/>
          </w:tcPr>
          <w:p>
            <w:pPr>
              <w:pStyle w:val="0"/>
              <w:jc w:val="center"/>
            </w:pPr>
            <w:r>
              <w:rPr>
                <w:sz w:val="20"/>
              </w:rPr>
              <w:t xml:space="preserve">0,5</w:t>
            </w:r>
          </w:p>
        </w:tc>
        <w:tc>
          <w:tcPr>
            <w:tcW w:w="850" w:type="dxa"/>
            <w:vAlign w:val="center"/>
          </w:tcPr>
          <w:p>
            <w:pPr>
              <w:pStyle w:val="0"/>
              <w:jc w:val="center"/>
            </w:pPr>
            <w:r>
              <w:rPr>
                <w:sz w:val="20"/>
              </w:rPr>
              <w:t xml:space="preserve">1,8</w:t>
            </w:r>
          </w:p>
        </w:tc>
        <w:tc>
          <w:tcPr>
            <w:tcW w:w="709" w:type="dxa"/>
            <w:vAlign w:val="center"/>
          </w:tcPr>
          <w:p>
            <w:pPr>
              <w:pStyle w:val="0"/>
              <w:jc w:val="center"/>
            </w:pPr>
            <w:r>
              <w:rPr>
                <w:sz w:val="20"/>
              </w:rPr>
              <w:t xml:space="preserve">1,8</w:t>
            </w:r>
          </w:p>
        </w:tc>
        <w:tc>
          <w:tcPr>
            <w:tcW w:w="709" w:type="dxa"/>
            <w:vAlign w:val="center"/>
          </w:tcPr>
          <w:p>
            <w:pPr>
              <w:pStyle w:val="0"/>
              <w:jc w:val="center"/>
            </w:pPr>
            <w:r>
              <w:rPr>
                <w:sz w:val="20"/>
              </w:rPr>
              <w:t xml:space="preserve">0,7</w:t>
            </w:r>
          </w:p>
        </w:tc>
      </w:tr>
      <w:tr>
        <w:tc>
          <w:tcPr>
            <w:tcW w:w="2381" w:type="dxa"/>
            <w:vAlign w:val="center"/>
          </w:tcPr>
          <w:p>
            <w:pPr>
              <w:pStyle w:val="0"/>
            </w:pPr>
            <w:r>
              <w:rPr>
                <w:sz w:val="20"/>
              </w:rPr>
              <w:t xml:space="preserve">Автономный округ</w:t>
            </w:r>
          </w:p>
        </w:tc>
        <w:tc>
          <w:tcPr>
            <w:tcW w:w="847" w:type="dxa"/>
            <w:vAlign w:val="center"/>
          </w:tcPr>
          <w:p>
            <w:pPr>
              <w:pStyle w:val="0"/>
              <w:jc w:val="center"/>
            </w:pPr>
            <w:r>
              <w:rPr>
                <w:sz w:val="20"/>
              </w:rPr>
              <w:t xml:space="preserve">20,9</w:t>
            </w:r>
          </w:p>
        </w:tc>
        <w:tc>
          <w:tcPr>
            <w:tcW w:w="948" w:type="dxa"/>
            <w:vAlign w:val="center"/>
          </w:tcPr>
          <w:p>
            <w:pPr>
              <w:pStyle w:val="0"/>
              <w:jc w:val="center"/>
            </w:pPr>
            <w:r>
              <w:rPr>
                <w:sz w:val="20"/>
              </w:rPr>
              <w:t xml:space="preserve">21,5</w:t>
            </w:r>
          </w:p>
        </w:tc>
        <w:tc>
          <w:tcPr>
            <w:tcW w:w="949" w:type="dxa"/>
            <w:vAlign w:val="center"/>
          </w:tcPr>
          <w:p>
            <w:pPr>
              <w:pStyle w:val="0"/>
              <w:jc w:val="center"/>
            </w:pPr>
            <w:r>
              <w:rPr>
                <w:sz w:val="20"/>
              </w:rPr>
              <w:t xml:space="preserve">21,1</w:t>
            </w:r>
          </w:p>
        </w:tc>
        <w:tc>
          <w:tcPr>
            <w:tcW w:w="765" w:type="dxa"/>
            <w:vAlign w:val="center"/>
          </w:tcPr>
          <w:p>
            <w:pPr>
              <w:pStyle w:val="0"/>
              <w:jc w:val="center"/>
            </w:pPr>
            <w:r>
              <w:rPr>
                <w:sz w:val="20"/>
              </w:rPr>
              <w:t xml:space="preserve">23,5</w:t>
            </w:r>
          </w:p>
        </w:tc>
        <w:tc>
          <w:tcPr>
            <w:tcW w:w="843" w:type="dxa"/>
            <w:vAlign w:val="center"/>
          </w:tcPr>
          <w:p>
            <w:pPr>
              <w:pStyle w:val="0"/>
              <w:jc w:val="center"/>
            </w:pPr>
            <w:r>
              <w:rPr>
                <w:sz w:val="20"/>
              </w:rPr>
              <w:t xml:space="preserve">22,7</w:t>
            </w:r>
          </w:p>
        </w:tc>
        <w:tc>
          <w:tcPr>
            <w:tcW w:w="656" w:type="dxa"/>
            <w:vAlign w:val="center"/>
          </w:tcPr>
          <w:p>
            <w:pPr>
              <w:pStyle w:val="0"/>
              <w:jc w:val="center"/>
            </w:pPr>
            <w:r>
              <w:rPr>
                <w:sz w:val="20"/>
              </w:rPr>
              <w:t xml:space="preserve">0,9</w:t>
            </w:r>
          </w:p>
        </w:tc>
        <w:tc>
          <w:tcPr>
            <w:tcW w:w="807" w:type="dxa"/>
            <w:vAlign w:val="center"/>
          </w:tcPr>
          <w:p>
            <w:pPr>
              <w:pStyle w:val="0"/>
              <w:jc w:val="center"/>
            </w:pPr>
            <w:r>
              <w:rPr>
                <w:sz w:val="20"/>
              </w:rPr>
              <w:t xml:space="preserve">1</w:t>
            </w:r>
          </w:p>
        </w:tc>
        <w:tc>
          <w:tcPr>
            <w:tcW w:w="850" w:type="dxa"/>
            <w:vAlign w:val="center"/>
          </w:tcPr>
          <w:p>
            <w:pPr>
              <w:pStyle w:val="0"/>
              <w:jc w:val="center"/>
            </w:pPr>
            <w:r>
              <w:rPr>
                <w:sz w:val="20"/>
              </w:rPr>
              <w:t xml:space="preserve">1</w:t>
            </w:r>
          </w:p>
        </w:tc>
        <w:tc>
          <w:tcPr>
            <w:tcW w:w="709" w:type="dxa"/>
            <w:vAlign w:val="center"/>
          </w:tcPr>
          <w:p>
            <w:pPr>
              <w:pStyle w:val="0"/>
              <w:jc w:val="center"/>
            </w:pPr>
            <w:r>
              <w:rPr>
                <w:sz w:val="20"/>
              </w:rPr>
              <w:t xml:space="preserve">1</w:t>
            </w:r>
          </w:p>
        </w:tc>
        <w:tc>
          <w:tcPr>
            <w:tcW w:w="709" w:type="dxa"/>
            <w:vAlign w:val="center"/>
          </w:tcPr>
          <w:p>
            <w:pPr>
              <w:pStyle w:val="0"/>
              <w:jc w:val="center"/>
            </w:pPr>
            <w:r>
              <w:rPr>
                <w:sz w:val="20"/>
              </w:rPr>
              <w:t xml:space="preserve">1</w:t>
            </w:r>
          </w:p>
        </w:tc>
      </w:tr>
      <w:tr>
        <w:tc>
          <w:tcPr>
            <w:tcW w:w="2381" w:type="dxa"/>
            <w:vAlign w:val="center"/>
          </w:tcPr>
          <w:p>
            <w:pPr>
              <w:pStyle w:val="0"/>
            </w:pPr>
            <w:r>
              <w:rPr>
                <w:sz w:val="20"/>
              </w:rPr>
              <w:t xml:space="preserve">РФ</w:t>
            </w:r>
          </w:p>
        </w:tc>
        <w:tc>
          <w:tcPr>
            <w:tcW w:w="847" w:type="dxa"/>
            <w:vAlign w:val="center"/>
          </w:tcPr>
          <w:p>
            <w:pPr>
              <w:pStyle w:val="0"/>
              <w:jc w:val="center"/>
            </w:pPr>
            <w:r>
              <w:rPr>
                <w:sz w:val="20"/>
              </w:rPr>
              <w:t xml:space="preserve">25,3</w:t>
            </w:r>
          </w:p>
        </w:tc>
        <w:tc>
          <w:tcPr>
            <w:tcW w:w="948" w:type="dxa"/>
            <w:vAlign w:val="center"/>
          </w:tcPr>
          <w:p>
            <w:pPr>
              <w:pStyle w:val="0"/>
              <w:jc w:val="center"/>
            </w:pPr>
            <w:r>
              <w:rPr>
                <w:sz w:val="20"/>
              </w:rPr>
              <w:t xml:space="preserve">24,8</w:t>
            </w:r>
          </w:p>
        </w:tc>
        <w:tc>
          <w:tcPr>
            <w:tcW w:w="949" w:type="dxa"/>
            <w:vAlign w:val="center"/>
          </w:tcPr>
          <w:p>
            <w:pPr>
              <w:pStyle w:val="0"/>
              <w:jc w:val="center"/>
            </w:pPr>
            <w:r>
              <w:rPr>
                <w:sz w:val="20"/>
              </w:rPr>
              <w:t xml:space="preserve">23,6</w:t>
            </w:r>
          </w:p>
        </w:tc>
        <w:tc>
          <w:tcPr>
            <w:tcW w:w="765" w:type="dxa"/>
            <w:vAlign w:val="center"/>
          </w:tcPr>
          <w:p>
            <w:pPr>
              <w:pStyle w:val="0"/>
              <w:jc w:val="center"/>
            </w:pPr>
            <w:r>
              <w:rPr>
                <w:sz w:val="20"/>
              </w:rPr>
              <w:t xml:space="preserve">23,3</w:t>
            </w:r>
          </w:p>
        </w:tc>
        <w:tc>
          <w:tcPr>
            <w:tcW w:w="843" w:type="dxa"/>
            <w:vAlign w:val="center"/>
          </w:tcPr>
          <w:p>
            <w:pPr>
              <w:pStyle w:val="0"/>
              <w:jc w:val="center"/>
            </w:pPr>
            <w:r>
              <w:rPr>
                <w:sz w:val="20"/>
              </w:rPr>
              <w:t xml:space="preserve">22,5</w:t>
            </w:r>
          </w:p>
        </w:tc>
        <w:tc>
          <w:tcPr>
            <w:tcW w:w="656" w:type="dxa"/>
            <w:vAlign w:val="center"/>
          </w:tcPr>
          <w:p>
            <w:pPr>
              <w:pStyle w:val="0"/>
              <w:jc w:val="center"/>
            </w:pPr>
            <w:r>
              <w:rPr>
                <w:sz w:val="20"/>
              </w:rPr>
              <w:t xml:space="preserve">1,2</w:t>
            </w:r>
          </w:p>
        </w:tc>
        <w:tc>
          <w:tcPr>
            <w:tcW w:w="807" w:type="dxa"/>
            <w:vAlign w:val="center"/>
          </w:tcPr>
          <w:p>
            <w:pPr>
              <w:pStyle w:val="0"/>
              <w:jc w:val="center"/>
            </w:pPr>
            <w:r>
              <w:rPr>
                <w:sz w:val="20"/>
              </w:rPr>
              <w:t xml:space="preserve">1,3</w:t>
            </w:r>
          </w:p>
        </w:tc>
        <w:tc>
          <w:tcPr>
            <w:tcW w:w="850" w:type="dxa"/>
            <w:vAlign w:val="center"/>
          </w:tcPr>
          <w:p>
            <w:pPr>
              <w:pStyle w:val="0"/>
              <w:jc w:val="center"/>
            </w:pPr>
            <w:r>
              <w:rPr>
                <w:sz w:val="20"/>
              </w:rPr>
              <w:t xml:space="preserve">1,2</w:t>
            </w:r>
          </w:p>
        </w:tc>
        <w:tc>
          <w:tcPr>
            <w:tcW w:w="709" w:type="dxa"/>
            <w:vAlign w:val="center"/>
          </w:tcPr>
          <w:p>
            <w:pPr>
              <w:pStyle w:val="0"/>
              <w:jc w:val="center"/>
            </w:pPr>
            <w:r>
              <w:rPr>
                <w:sz w:val="20"/>
              </w:rPr>
              <w:t xml:space="preserve">1,2</w:t>
            </w:r>
          </w:p>
        </w:tc>
        <w:tc>
          <w:tcPr>
            <w:tcW w:w="709" w:type="dxa"/>
            <w:vAlign w:val="center"/>
          </w:tcPr>
          <w:p>
            <w:pPr>
              <w:pStyle w:val="0"/>
              <w:jc w:val="center"/>
            </w:pPr>
            <w:r>
              <w:rPr>
                <w:sz w:val="20"/>
              </w:rPr>
              <w:t xml:space="preserve">1,1</w:t>
            </w:r>
          </w:p>
        </w:tc>
      </w:tr>
    </w:tbl>
    <w:p>
      <w:pPr>
        <w:pStyle w:val="0"/>
        <w:ind w:firstLine="540"/>
        <w:jc w:val="both"/>
      </w:pPr>
      <w:r>
        <w:rPr>
          <w:sz w:val="20"/>
        </w:rPr>
      </w:r>
    </w:p>
    <w:p>
      <w:pPr>
        <w:pStyle w:val="0"/>
        <w:jc w:val="right"/>
      </w:pPr>
      <w:r>
        <w:rPr>
          <w:sz w:val="20"/>
        </w:rPr>
        <w:t xml:space="preserve">Таблица 28</w:t>
      </w:r>
    </w:p>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jc w:val="right"/>
      </w:pPr>
      <w:r>
        <w:rPr>
          <w:sz w:val="20"/>
        </w:rPr>
      </w:r>
    </w:p>
    <w:p>
      <w:pPr>
        <w:pStyle w:val="0"/>
        <w:jc w:val="center"/>
      </w:pPr>
      <w:r>
        <w:rPr>
          <w:sz w:val="20"/>
        </w:rPr>
        <w:t xml:space="preserve">Летальность больных в течение года с момента установления</w:t>
      </w:r>
    </w:p>
    <w:p>
      <w:pPr>
        <w:pStyle w:val="0"/>
        <w:jc w:val="center"/>
      </w:pPr>
      <w:r>
        <w:rPr>
          <w:sz w:val="20"/>
        </w:rPr>
        <w:t xml:space="preserve">диагноза злокачественного новообразования (из числа больных,</w:t>
      </w:r>
    </w:p>
    <w:p>
      <w:pPr>
        <w:pStyle w:val="0"/>
        <w:jc w:val="center"/>
      </w:pPr>
      <w:r>
        <w:rPr>
          <w:sz w:val="20"/>
        </w:rPr>
        <w:t xml:space="preserve">впервые взятых на учет в предыдущем году) в соотношении</w:t>
      </w:r>
    </w:p>
    <w:p>
      <w:pPr>
        <w:pStyle w:val="0"/>
        <w:jc w:val="center"/>
      </w:pPr>
      <w:r>
        <w:rPr>
          <w:sz w:val="20"/>
        </w:rPr>
        <w:t xml:space="preserve">к запущенности IV стадии по муниципальным образованиям</w:t>
      </w:r>
    </w:p>
    <w:p>
      <w:pPr>
        <w:pStyle w:val="0"/>
        <w:jc w:val="center"/>
      </w:pPr>
      <w:r>
        <w:rPr>
          <w:sz w:val="20"/>
        </w:rPr>
        <w:t xml:space="preserve">автономного округа в 2018 - 2022 годах</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85"/>
        <w:gridCol w:w="824"/>
        <w:gridCol w:w="760"/>
        <w:gridCol w:w="760"/>
        <w:gridCol w:w="618"/>
        <w:gridCol w:w="762"/>
        <w:gridCol w:w="618"/>
        <w:gridCol w:w="757"/>
        <w:gridCol w:w="760"/>
        <w:gridCol w:w="762"/>
        <w:gridCol w:w="893"/>
      </w:tblGrid>
      <w:tr>
        <w:tc>
          <w:tcPr>
            <w:tcW w:w="2485" w:type="dxa"/>
            <w:vAlign w:val="center"/>
            <w:vMerge w:val="restart"/>
          </w:tcPr>
          <w:p>
            <w:pPr>
              <w:pStyle w:val="0"/>
              <w:jc w:val="center"/>
            </w:pPr>
            <w:r>
              <w:rPr>
                <w:sz w:val="20"/>
              </w:rPr>
              <w:t xml:space="preserve">Муниципальные районы и городские округа</w:t>
            </w:r>
          </w:p>
        </w:tc>
        <w:tc>
          <w:tcPr>
            <w:gridSpan w:val="5"/>
            <w:tcW w:w="3724" w:type="dxa"/>
            <w:vAlign w:val="center"/>
          </w:tcPr>
          <w:p>
            <w:pPr>
              <w:pStyle w:val="0"/>
              <w:jc w:val="center"/>
            </w:pPr>
            <w:r>
              <w:rPr>
                <w:sz w:val="20"/>
              </w:rPr>
              <w:t xml:space="preserve">Летальность на 1 году от установления диагноза</w:t>
            </w:r>
          </w:p>
        </w:tc>
        <w:tc>
          <w:tcPr>
            <w:gridSpan w:val="5"/>
            <w:tcW w:w="3790" w:type="dxa"/>
            <w:vAlign w:val="center"/>
          </w:tcPr>
          <w:p>
            <w:pPr>
              <w:pStyle w:val="0"/>
              <w:jc w:val="center"/>
            </w:pPr>
            <w:r>
              <w:rPr>
                <w:sz w:val="20"/>
              </w:rPr>
              <w:t xml:space="preserve">Соотношение одногодичной летальности и запущенности</w:t>
            </w:r>
          </w:p>
        </w:tc>
      </w:tr>
      <w:tr>
        <w:tc>
          <w:tcPr>
            <w:vMerge w:val="continue"/>
          </w:tcPr>
          <w:p/>
        </w:tc>
        <w:tc>
          <w:tcPr>
            <w:tcW w:w="824" w:type="dxa"/>
            <w:vAlign w:val="center"/>
          </w:tcPr>
          <w:p>
            <w:pPr>
              <w:pStyle w:val="0"/>
              <w:jc w:val="center"/>
            </w:pPr>
            <w:r>
              <w:rPr>
                <w:sz w:val="20"/>
              </w:rPr>
              <w:t xml:space="preserve">2018</w:t>
            </w:r>
          </w:p>
        </w:tc>
        <w:tc>
          <w:tcPr>
            <w:tcW w:w="760" w:type="dxa"/>
            <w:vAlign w:val="center"/>
          </w:tcPr>
          <w:p>
            <w:pPr>
              <w:pStyle w:val="0"/>
              <w:jc w:val="center"/>
            </w:pPr>
            <w:r>
              <w:rPr>
                <w:sz w:val="20"/>
              </w:rPr>
              <w:t xml:space="preserve">2019</w:t>
            </w:r>
          </w:p>
        </w:tc>
        <w:tc>
          <w:tcPr>
            <w:tcW w:w="760" w:type="dxa"/>
            <w:vAlign w:val="center"/>
          </w:tcPr>
          <w:p>
            <w:pPr>
              <w:pStyle w:val="0"/>
              <w:jc w:val="center"/>
            </w:pPr>
            <w:r>
              <w:rPr>
                <w:sz w:val="20"/>
              </w:rPr>
              <w:t xml:space="preserve">2020</w:t>
            </w:r>
          </w:p>
        </w:tc>
        <w:tc>
          <w:tcPr>
            <w:tcW w:w="618" w:type="dxa"/>
            <w:vAlign w:val="center"/>
          </w:tcPr>
          <w:p>
            <w:pPr>
              <w:pStyle w:val="0"/>
              <w:jc w:val="center"/>
            </w:pPr>
            <w:r>
              <w:rPr>
                <w:sz w:val="20"/>
              </w:rPr>
              <w:t xml:space="preserve">2021</w:t>
            </w:r>
          </w:p>
        </w:tc>
        <w:tc>
          <w:tcPr>
            <w:tcW w:w="762" w:type="dxa"/>
            <w:vAlign w:val="center"/>
          </w:tcPr>
          <w:p>
            <w:pPr>
              <w:pStyle w:val="0"/>
              <w:jc w:val="center"/>
            </w:pPr>
            <w:r>
              <w:rPr>
                <w:sz w:val="20"/>
              </w:rPr>
              <w:t xml:space="preserve">2022</w:t>
            </w:r>
          </w:p>
        </w:tc>
        <w:tc>
          <w:tcPr>
            <w:tcW w:w="618" w:type="dxa"/>
            <w:vAlign w:val="center"/>
          </w:tcPr>
          <w:p>
            <w:pPr>
              <w:pStyle w:val="0"/>
              <w:jc w:val="center"/>
            </w:pPr>
            <w:r>
              <w:rPr>
                <w:sz w:val="20"/>
              </w:rPr>
              <w:t xml:space="preserve">2018</w:t>
            </w:r>
          </w:p>
        </w:tc>
        <w:tc>
          <w:tcPr>
            <w:tcW w:w="757" w:type="dxa"/>
            <w:vAlign w:val="center"/>
          </w:tcPr>
          <w:p>
            <w:pPr>
              <w:pStyle w:val="0"/>
              <w:jc w:val="center"/>
            </w:pPr>
            <w:r>
              <w:rPr>
                <w:sz w:val="20"/>
              </w:rPr>
              <w:t xml:space="preserve">2019</w:t>
            </w:r>
          </w:p>
        </w:tc>
        <w:tc>
          <w:tcPr>
            <w:tcW w:w="760" w:type="dxa"/>
            <w:vAlign w:val="center"/>
          </w:tcPr>
          <w:p>
            <w:pPr>
              <w:pStyle w:val="0"/>
              <w:jc w:val="center"/>
            </w:pPr>
            <w:r>
              <w:rPr>
                <w:sz w:val="20"/>
              </w:rPr>
              <w:t xml:space="preserve">2020</w:t>
            </w:r>
          </w:p>
        </w:tc>
        <w:tc>
          <w:tcPr>
            <w:tcW w:w="762" w:type="dxa"/>
            <w:vAlign w:val="center"/>
          </w:tcPr>
          <w:p>
            <w:pPr>
              <w:pStyle w:val="0"/>
              <w:jc w:val="center"/>
            </w:pPr>
            <w:r>
              <w:rPr>
                <w:sz w:val="20"/>
              </w:rPr>
              <w:t xml:space="preserve">2021</w:t>
            </w:r>
          </w:p>
        </w:tc>
        <w:tc>
          <w:tcPr>
            <w:tcW w:w="893" w:type="dxa"/>
            <w:vAlign w:val="center"/>
          </w:tcPr>
          <w:p>
            <w:pPr>
              <w:pStyle w:val="0"/>
              <w:jc w:val="center"/>
            </w:pPr>
            <w:r>
              <w:rPr>
                <w:sz w:val="20"/>
              </w:rPr>
              <w:t xml:space="preserve">2022</w:t>
            </w:r>
          </w:p>
        </w:tc>
      </w:tr>
      <w:tr>
        <w:tc>
          <w:tcPr>
            <w:tcW w:w="2485" w:type="dxa"/>
            <w:vAlign w:val="center"/>
          </w:tcPr>
          <w:p>
            <w:pPr>
              <w:pStyle w:val="0"/>
            </w:pPr>
            <w:r>
              <w:rPr>
                <w:sz w:val="20"/>
              </w:rPr>
              <w:t xml:space="preserve">Ханты-Мансийск</w:t>
            </w:r>
          </w:p>
        </w:tc>
        <w:tc>
          <w:tcPr>
            <w:tcW w:w="824" w:type="dxa"/>
            <w:vAlign w:val="center"/>
          </w:tcPr>
          <w:p>
            <w:pPr>
              <w:pStyle w:val="0"/>
              <w:jc w:val="center"/>
            </w:pPr>
            <w:r>
              <w:rPr>
                <w:sz w:val="20"/>
              </w:rPr>
              <w:t xml:space="preserve">22,6</w:t>
            </w:r>
          </w:p>
        </w:tc>
        <w:tc>
          <w:tcPr>
            <w:tcW w:w="760" w:type="dxa"/>
            <w:vAlign w:val="center"/>
          </w:tcPr>
          <w:p>
            <w:pPr>
              <w:pStyle w:val="0"/>
              <w:jc w:val="center"/>
            </w:pPr>
            <w:r>
              <w:rPr>
                <w:sz w:val="20"/>
              </w:rPr>
              <w:t xml:space="preserve">22,9</w:t>
            </w:r>
          </w:p>
        </w:tc>
        <w:tc>
          <w:tcPr>
            <w:tcW w:w="760" w:type="dxa"/>
            <w:vAlign w:val="center"/>
          </w:tcPr>
          <w:p>
            <w:pPr>
              <w:pStyle w:val="0"/>
              <w:jc w:val="center"/>
            </w:pPr>
            <w:r>
              <w:rPr>
                <w:sz w:val="20"/>
              </w:rPr>
              <w:t xml:space="preserve">25,1</w:t>
            </w:r>
          </w:p>
        </w:tc>
        <w:tc>
          <w:tcPr>
            <w:tcW w:w="618" w:type="dxa"/>
            <w:vAlign w:val="center"/>
          </w:tcPr>
          <w:p>
            <w:pPr>
              <w:pStyle w:val="0"/>
              <w:jc w:val="center"/>
            </w:pPr>
            <w:r>
              <w:rPr>
                <w:sz w:val="20"/>
              </w:rPr>
              <w:t xml:space="preserve">17</w:t>
            </w:r>
          </w:p>
        </w:tc>
        <w:tc>
          <w:tcPr>
            <w:tcW w:w="762" w:type="dxa"/>
            <w:vAlign w:val="center"/>
          </w:tcPr>
          <w:p>
            <w:pPr>
              <w:pStyle w:val="0"/>
              <w:jc w:val="center"/>
            </w:pPr>
            <w:r>
              <w:rPr>
                <w:sz w:val="20"/>
              </w:rPr>
              <w:t xml:space="preserve">9,7</w:t>
            </w:r>
          </w:p>
        </w:tc>
        <w:tc>
          <w:tcPr>
            <w:tcW w:w="618" w:type="dxa"/>
            <w:vAlign w:val="center"/>
          </w:tcPr>
          <w:p>
            <w:pPr>
              <w:pStyle w:val="0"/>
              <w:jc w:val="center"/>
            </w:pPr>
            <w:r>
              <w:rPr>
                <w:sz w:val="20"/>
              </w:rPr>
              <w:t xml:space="preserve">0,9</w:t>
            </w:r>
          </w:p>
        </w:tc>
        <w:tc>
          <w:tcPr>
            <w:tcW w:w="757" w:type="dxa"/>
            <w:vAlign w:val="center"/>
          </w:tcPr>
          <w:p>
            <w:pPr>
              <w:pStyle w:val="0"/>
              <w:jc w:val="center"/>
            </w:pPr>
            <w:r>
              <w:rPr>
                <w:sz w:val="20"/>
              </w:rPr>
              <w:t xml:space="preserve">0,8</w:t>
            </w:r>
          </w:p>
        </w:tc>
        <w:tc>
          <w:tcPr>
            <w:tcW w:w="760" w:type="dxa"/>
            <w:vAlign w:val="center"/>
          </w:tcPr>
          <w:p>
            <w:pPr>
              <w:pStyle w:val="0"/>
              <w:jc w:val="center"/>
            </w:pPr>
            <w:r>
              <w:rPr>
                <w:sz w:val="20"/>
              </w:rPr>
              <w:t xml:space="preserve">1,4</w:t>
            </w:r>
          </w:p>
        </w:tc>
        <w:tc>
          <w:tcPr>
            <w:tcW w:w="762" w:type="dxa"/>
            <w:vAlign w:val="center"/>
          </w:tcPr>
          <w:p>
            <w:pPr>
              <w:pStyle w:val="0"/>
              <w:jc w:val="center"/>
            </w:pPr>
            <w:r>
              <w:rPr>
                <w:sz w:val="20"/>
              </w:rPr>
              <w:t xml:space="preserve">0,7</w:t>
            </w:r>
          </w:p>
        </w:tc>
        <w:tc>
          <w:tcPr>
            <w:tcW w:w="893" w:type="dxa"/>
            <w:vAlign w:val="center"/>
          </w:tcPr>
          <w:p>
            <w:pPr>
              <w:pStyle w:val="0"/>
              <w:jc w:val="center"/>
            </w:pPr>
            <w:r>
              <w:rPr>
                <w:sz w:val="20"/>
              </w:rPr>
              <w:t xml:space="preserve">0,3</w:t>
            </w:r>
          </w:p>
        </w:tc>
      </w:tr>
      <w:tr>
        <w:tc>
          <w:tcPr>
            <w:tcW w:w="2485" w:type="dxa"/>
            <w:vAlign w:val="center"/>
          </w:tcPr>
          <w:p>
            <w:pPr>
              <w:pStyle w:val="0"/>
            </w:pPr>
            <w:r>
              <w:rPr>
                <w:sz w:val="20"/>
              </w:rPr>
              <w:t xml:space="preserve">Нягань</w:t>
            </w:r>
          </w:p>
        </w:tc>
        <w:tc>
          <w:tcPr>
            <w:tcW w:w="824" w:type="dxa"/>
            <w:vAlign w:val="center"/>
          </w:tcPr>
          <w:p>
            <w:pPr>
              <w:pStyle w:val="0"/>
              <w:jc w:val="center"/>
            </w:pPr>
            <w:r>
              <w:rPr>
                <w:sz w:val="20"/>
              </w:rPr>
              <w:t xml:space="preserve">30,4</w:t>
            </w:r>
          </w:p>
        </w:tc>
        <w:tc>
          <w:tcPr>
            <w:tcW w:w="760" w:type="dxa"/>
            <w:vAlign w:val="center"/>
          </w:tcPr>
          <w:p>
            <w:pPr>
              <w:pStyle w:val="0"/>
              <w:jc w:val="center"/>
            </w:pPr>
            <w:r>
              <w:rPr>
                <w:sz w:val="20"/>
              </w:rPr>
              <w:t xml:space="preserve">20,4</w:t>
            </w:r>
          </w:p>
        </w:tc>
        <w:tc>
          <w:tcPr>
            <w:tcW w:w="760" w:type="dxa"/>
            <w:vAlign w:val="center"/>
          </w:tcPr>
          <w:p>
            <w:pPr>
              <w:pStyle w:val="0"/>
              <w:jc w:val="center"/>
            </w:pPr>
            <w:r>
              <w:rPr>
                <w:sz w:val="20"/>
              </w:rPr>
              <w:t xml:space="preserve">24,1</w:t>
            </w:r>
          </w:p>
        </w:tc>
        <w:tc>
          <w:tcPr>
            <w:tcW w:w="618" w:type="dxa"/>
            <w:vAlign w:val="center"/>
          </w:tcPr>
          <w:p>
            <w:pPr>
              <w:pStyle w:val="0"/>
              <w:jc w:val="center"/>
            </w:pPr>
            <w:r>
              <w:rPr>
                <w:sz w:val="20"/>
              </w:rPr>
              <w:t xml:space="preserve">17,8</w:t>
            </w:r>
          </w:p>
        </w:tc>
        <w:tc>
          <w:tcPr>
            <w:tcW w:w="762" w:type="dxa"/>
            <w:vAlign w:val="center"/>
          </w:tcPr>
          <w:p>
            <w:pPr>
              <w:pStyle w:val="0"/>
              <w:jc w:val="center"/>
            </w:pPr>
            <w:r>
              <w:rPr>
                <w:sz w:val="20"/>
              </w:rPr>
              <w:t xml:space="preserve">13,5</w:t>
            </w:r>
          </w:p>
        </w:tc>
        <w:tc>
          <w:tcPr>
            <w:tcW w:w="618" w:type="dxa"/>
            <w:vAlign w:val="center"/>
          </w:tcPr>
          <w:p>
            <w:pPr>
              <w:pStyle w:val="0"/>
              <w:jc w:val="center"/>
            </w:pPr>
            <w:r>
              <w:rPr>
                <w:sz w:val="20"/>
              </w:rPr>
              <w:t xml:space="preserve">1,4</w:t>
            </w:r>
          </w:p>
        </w:tc>
        <w:tc>
          <w:tcPr>
            <w:tcW w:w="757" w:type="dxa"/>
            <w:vAlign w:val="center"/>
          </w:tcPr>
          <w:p>
            <w:pPr>
              <w:pStyle w:val="0"/>
              <w:jc w:val="center"/>
            </w:pPr>
            <w:r>
              <w:rPr>
                <w:sz w:val="20"/>
              </w:rPr>
              <w:t xml:space="preserve">0,9</w:t>
            </w:r>
          </w:p>
        </w:tc>
        <w:tc>
          <w:tcPr>
            <w:tcW w:w="760" w:type="dxa"/>
            <w:vAlign w:val="center"/>
          </w:tcPr>
          <w:p>
            <w:pPr>
              <w:pStyle w:val="0"/>
              <w:jc w:val="center"/>
            </w:pPr>
            <w:r>
              <w:rPr>
                <w:sz w:val="20"/>
              </w:rPr>
              <w:t xml:space="preserve">1,3</w:t>
            </w:r>
          </w:p>
        </w:tc>
        <w:tc>
          <w:tcPr>
            <w:tcW w:w="762" w:type="dxa"/>
            <w:vAlign w:val="center"/>
          </w:tcPr>
          <w:p>
            <w:pPr>
              <w:pStyle w:val="0"/>
              <w:jc w:val="center"/>
            </w:pPr>
            <w:r>
              <w:rPr>
                <w:sz w:val="20"/>
              </w:rPr>
              <w:t xml:space="preserve">1,1</w:t>
            </w:r>
          </w:p>
        </w:tc>
        <w:tc>
          <w:tcPr>
            <w:tcW w:w="893" w:type="dxa"/>
            <w:vAlign w:val="center"/>
          </w:tcPr>
          <w:p>
            <w:pPr>
              <w:pStyle w:val="0"/>
              <w:jc w:val="center"/>
            </w:pPr>
            <w:r>
              <w:rPr>
                <w:sz w:val="20"/>
              </w:rPr>
              <w:t xml:space="preserve">0,2</w:t>
            </w:r>
          </w:p>
        </w:tc>
      </w:tr>
      <w:tr>
        <w:tc>
          <w:tcPr>
            <w:tcW w:w="2485" w:type="dxa"/>
            <w:vAlign w:val="center"/>
          </w:tcPr>
          <w:p>
            <w:pPr>
              <w:pStyle w:val="0"/>
            </w:pPr>
            <w:r>
              <w:rPr>
                <w:sz w:val="20"/>
              </w:rPr>
              <w:t xml:space="preserve">Урай</w:t>
            </w:r>
          </w:p>
        </w:tc>
        <w:tc>
          <w:tcPr>
            <w:tcW w:w="824" w:type="dxa"/>
            <w:vAlign w:val="center"/>
          </w:tcPr>
          <w:p>
            <w:pPr>
              <w:pStyle w:val="0"/>
              <w:jc w:val="center"/>
            </w:pPr>
            <w:r>
              <w:rPr>
                <w:sz w:val="20"/>
              </w:rPr>
              <w:t xml:space="preserve">31,3</w:t>
            </w:r>
          </w:p>
        </w:tc>
        <w:tc>
          <w:tcPr>
            <w:tcW w:w="760" w:type="dxa"/>
            <w:vAlign w:val="center"/>
          </w:tcPr>
          <w:p>
            <w:pPr>
              <w:pStyle w:val="0"/>
              <w:jc w:val="center"/>
            </w:pPr>
            <w:r>
              <w:rPr>
                <w:sz w:val="20"/>
              </w:rPr>
              <w:t xml:space="preserve">23,8</w:t>
            </w:r>
          </w:p>
        </w:tc>
        <w:tc>
          <w:tcPr>
            <w:tcW w:w="760" w:type="dxa"/>
            <w:vAlign w:val="center"/>
          </w:tcPr>
          <w:p>
            <w:pPr>
              <w:pStyle w:val="0"/>
              <w:jc w:val="center"/>
            </w:pPr>
            <w:r>
              <w:rPr>
                <w:sz w:val="20"/>
              </w:rPr>
              <w:t xml:space="preserve">20,2</w:t>
            </w:r>
          </w:p>
        </w:tc>
        <w:tc>
          <w:tcPr>
            <w:tcW w:w="618" w:type="dxa"/>
            <w:vAlign w:val="center"/>
          </w:tcPr>
          <w:p>
            <w:pPr>
              <w:pStyle w:val="0"/>
              <w:jc w:val="center"/>
            </w:pPr>
            <w:r>
              <w:rPr>
                <w:sz w:val="20"/>
              </w:rPr>
              <w:t xml:space="preserve">26,3</w:t>
            </w:r>
          </w:p>
        </w:tc>
        <w:tc>
          <w:tcPr>
            <w:tcW w:w="762" w:type="dxa"/>
            <w:vAlign w:val="center"/>
          </w:tcPr>
          <w:p>
            <w:pPr>
              <w:pStyle w:val="0"/>
              <w:jc w:val="center"/>
            </w:pPr>
            <w:r>
              <w:rPr>
                <w:sz w:val="20"/>
              </w:rPr>
              <w:t xml:space="preserve">17,4</w:t>
            </w:r>
          </w:p>
        </w:tc>
        <w:tc>
          <w:tcPr>
            <w:tcW w:w="618" w:type="dxa"/>
            <w:vAlign w:val="center"/>
          </w:tcPr>
          <w:p>
            <w:pPr>
              <w:pStyle w:val="0"/>
              <w:jc w:val="center"/>
            </w:pPr>
            <w:r>
              <w:rPr>
                <w:sz w:val="20"/>
              </w:rPr>
              <w:t xml:space="preserve">1,4</w:t>
            </w:r>
          </w:p>
        </w:tc>
        <w:tc>
          <w:tcPr>
            <w:tcW w:w="757" w:type="dxa"/>
            <w:vAlign w:val="center"/>
          </w:tcPr>
          <w:p>
            <w:pPr>
              <w:pStyle w:val="0"/>
              <w:jc w:val="center"/>
            </w:pPr>
            <w:r>
              <w:rPr>
                <w:sz w:val="20"/>
              </w:rPr>
              <w:t xml:space="preserve">0,9</w:t>
            </w:r>
          </w:p>
        </w:tc>
        <w:tc>
          <w:tcPr>
            <w:tcW w:w="760" w:type="dxa"/>
            <w:vAlign w:val="center"/>
          </w:tcPr>
          <w:p>
            <w:pPr>
              <w:pStyle w:val="0"/>
              <w:jc w:val="center"/>
            </w:pPr>
            <w:r>
              <w:rPr>
                <w:sz w:val="20"/>
              </w:rPr>
              <w:t xml:space="preserve">1</w:t>
            </w:r>
          </w:p>
        </w:tc>
        <w:tc>
          <w:tcPr>
            <w:tcW w:w="762" w:type="dxa"/>
            <w:vAlign w:val="center"/>
          </w:tcPr>
          <w:p>
            <w:pPr>
              <w:pStyle w:val="0"/>
              <w:jc w:val="center"/>
            </w:pPr>
            <w:r>
              <w:rPr>
                <w:sz w:val="20"/>
              </w:rPr>
              <w:t xml:space="preserve">1,4</w:t>
            </w:r>
          </w:p>
        </w:tc>
        <w:tc>
          <w:tcPr>
            <w:tcW w:w="893" w:type="dxa"/>
            <w:vAlign w:val="center"/>
          </w:tcPr>
          <w:p>
            <w:pPr>
              <w:pStyle w:val="0"/>
              <w:jc w:val="center"/>
            </w:pPr>
            <w:r>
              <w:rPr>
                <w:sz w:val="20"/>
              </w:rPr>
              <w:t xml:space="preserve">0,9</w:t>
            </w:r>
          </w:p>
        </w:tc>
      </w:tr>
      <w:tr>
        <w:tc>
          <w:tcPr>
            <w:tcW w:w="2485" w:type="dxa"/>
            <w:vAlign w:val="center"/>
          </w:tcPr>
          <w:p>
            <w:pPr>
              <w:pStyle w:val="0"/>
            </w:pPr>
            <w:r>
              <w:rPr>
                <w:sz w:val="20"/>
              </w:rPr>
              <w:t xml:space="preserve">Югорск</w:t>
            </w:r>
          </w:p>
        </w:tc>
        <w:tc>
          <w:tcPr>
            <w:tcW w:w="824" w:type="dxa"/>
            <w:vAlign w:val="center"/>
          </w:tcPr>
          <w:p>
            <w:pPr>
              <w:pStyle w:val="0"/>
              <w:jc w:val="center"/>
            </w:pPr>
            <w:r>
              <w:rPr>
                <w:sz w:val="20"/>
              </w:rPr>
              <w:t xml:space="preserve">21</w:t>
            </w:r>
          </w:p>
        </w:tc>
        <w:tc>
          <w:tcPr>
            <w:tcW w:w="760" w:type="dxa"/>
            <w:vAlign w:val="center"/>
          </w:tcPr>
          <w:p>
            <w:pPr>
              <w:pStyle w:val="0"/>
              <w:jc w:val="center"/>
            </w:pPr>
            <w:r>
              <w:rPr>
                <w:sz w:val="20"/>
              </w:rPr>
              <w:t xml:space="preserve">26,3</w:t>
            </w:r>
          </w:p>
        </w:tc>
        <w:tc>
          <w:tcPr>
            <w:tcW w:w="760" w:type="dxa"/>
            <w:vAlign w:val="center"/>
          </w:tcPr>
          <w:p>
            <w:pPr>
              <w:pStyle w:val="0"/>
              <w:jc w:val="center"/>
            </w:pPr>
            <w:r>
              <w:rPr>
                <w:sz w:val="20"/>
              </w:rPr>
              <w:t xml:space="preserve">12,7</w:t>
            </w:r>
          </w:p>
        </w:tc>
        <w:tc>
          <w:tcPr>
            <w:tcW w:w="618" w:type="dxa"/>
            <w:vAlign w:val="center"/>
          </w:tcPr>
          <w:p>
            <w:pPr>
              <w:pStyle w:val="0"/>
              <w:jc w:val="center"/>
            </w:pPr>
            <w:r>
              <w:rPr>
                <w:sz w:val="20"/>
              </w:rPr>
              <w:t xml:space="preserve">15,5</w:t>
            </w:r>
          </w:p>
        </w:tc>
        <w:tc>
          <w:tcPr>
            <w:tcW w:w="762" w:type="dxa"/>
            <w:vAlign w:val="center"/>
          </w:tcPr>
          <w:p>
            <w:pPr>
              <w:pStyle w:val="0"/>
              <w:jc w:val="center"/>
            </w:pPr>
            <w:r>
              <w:rPr>
                <w:sz w:val="20"/>
              </w:rPr>
              <w:t xml:space="preserve">16,7</w:t>
            </w:r>
          </w:p>
        </w:tc>
        <w:tc>
          <w:tcPr>
            <w:tcW w:w="618" w:type="dxa"/>
            <w:vAlign w:val="center"/>
          </w:tcPr>
          <w:p>
            <w:pPr>
              <w:pStyle w:val="0"/>
              <w:jc w:val="center"/>
            </w:pPr>
            <w:r>
              <w:rPr>
                <w:sz w:val="20"/>
              </w:rPr>
              <w:t xml:space="preserve">0,9</w:t>
            </w:r>
          </w:p>
        </w:tc>
        <w:tc>
          <w:tcPr>
            <w:tcW w:w="757" w:type="dxa"/>
            <w:vAlign w:val="center"/>
          </w:tcPr>
          <w:p>
            <w:pPr>
              <w:pStyle w:val="0"/>
              <w:jc w:val="center"/>
            </w:pPr>
            <w:r>
              <w:rPr>
                <w:sz w:val="20"/>
              </w:rPr>
              <w:t xml:space="preserve">1,3</w:t>
            </w:r>
          </w:p>
        </w:tc>
        <w:tc>
          <w:tcPr>
            <w:tcW w:w="760" w:type="dxa"/>
            <w:vAlign w:val="center"/>
          </w:tcPr>
          <w:p>
            <w:pPr>
              <w:pStyle w:val="0"/>
              <w:jc w:val="center"/>
            </w:pPr>
            <w:r>
              <w:rPr>
                <w:sz w:val="20"/>
              </w:rPr>
              <w:t xml:space="preserve">0,7</w:t>
            </w:r>
          </w:p>
        </w:tc>
        <w:tc>
          <w:tcPr>
            <w:tcW w:w="762" w:type="dxa"/>
            <w:vAlign w:val="center"/>
          </w:tcPr>
          <w:p>
            <w:pPr>
              <w:pStyle w:val="0"/>
              <w:jc w:val="center"/>
            </w:pPr>
            <w:r>
              <w:rPr>
                <w:sz w:val="20"/>
              </w:rPr>
              <w:t xml:space="preserve">0,7</w:t>
            </w:r>
          </w:p>
        </w:tc>
        <w:tc>
          <w:tcPr>
            <w:tcW w:w="893" w:type="dxa"/>
            <w:vAlign w:val="center"/>
          </w:tcPr>
          <w:p>
            <w:pPr>
              <w:pStyle w:val="0"/>
              <w:jc w:val="center"/>
            </w:pPr>
            <w:r>
              <w:rPr>
                <w:sz w:val="20"/>
              </w:rPr>
              <w:t xml:space="preserve">0,4</w:t>
            </w:r>
          </w:p>
        </w:tc>
      </w:tr>
      <w:tr>
        <w:tc>
          <w:tcPr>
            <w:tcW w:w="2485" w:type="dxa"/>
            <w:vAlign w:val="center"/>
          </w:tcPr>
          <w:p>
            <w:pPr>
              <w:pStyle w:val="0"/>
            </w:pPr>
            <w:r>
              <w:rPr>
                <w:sz w:val="20"/>
              </w:rPr>
              <w:t xml:space="preserve">Белоярский</w:t>
            </w:r>
          </w:p>
        </w:tc>
        <w:tc>
          <w:tcPr>
            <w:tcW w:w="824" w:type="dxa"/>
            <w:vAlign w:val="center"/>
          </w:tcPr>
          <w:p>
            <w:pPr>
              <w:pStyle w:val="0"/>
              <w:jc w:val="center"/>
            </w:pPr>
            <w:r>
              <w:rPr>
                <w:sz w:val="20"/>
              </w:rPr>
              <w:t xml:space="preserve">24,6</w:t>
            </w:r>
          </w:p>
        </w:tc>
        <w:tc>
          <w:tcPr>
            <w:tcW w:w="760" w:type="dxa"/>
            <w:vAlign w:val="center"/>
          </w:tcPr>
          <w:p>
            <w:pPr>
              <w:pStyle w:val="0"/>
              <w:jc w:val="center"/>
            </w:pPr>
            <w:r>
              <w:rPr>
                <w:sz w:val="20"/>
              </w:rPr>
              <w:t xml:space="preserve">17,5</w:t>
            </w:r>
          </w:p>
        </w:tc>
        <w:tc>
          <w:tcPr>
            <w:tcW w:w="760" w:type="dxa"/>
            <w:vAlign w:val="center"/>
          </w:tcPr>
          <w:p>
            <w:pPr>
              <w:pStyle w:val="0"/>
              <w:jc w:val="center"/>
            </w:pPr>
            <w:r>
              <w:rPr>
                <w:sz w:val="20"/>
              </w:rPr>
              <w:t xml:space="preserve">22,8</w:t>
            </w:r>
          </w:p>
        </w:tc>
        <w:tc>
          <w:tcPr>
            <w:tcW w:w="618" w:type="dxa"/>
            <w:vAlign w:val="center"/>
          </w:tcPr>
          <w:p>
            <w:pPr>
              <w:pStyle w:val="0"/>
              <w:jc w:val="center"/>
            </w:pPr>
            <w:r>
              <w:rPr>
                <w:sz w:val="20"/>
              </w:rPr>
              <w:t xml:space="preserve">30,3</w:t>
            </w:r>
          </w:p>
        </w:tc>
        <w:tc>
          <w:tcPr>
            <w:tcW w:w="762" w:type="dxa"/>
            <w:vAlign w:val="center"/>
          </w:tcPr>
          <w:p>
            <w:pPr>
              <w:pStyle w:val="0"/>
              <w:jc w:val="center"/>
            </w:pPr>
            <w:r>
              <w:rPr>
                <w:sz w:val="20"/>
              </w:rPr>
              <w:t xml:space="preserve">17,1</w:t>
            </w:r>
          </w:p>
        </w:tc>
        <w:tc>
          <w:tcPr>
            <w:tcW w:w="618" w:type="dxa"/>
            <w:vAlign w:val="center"/>
          </w:tcPr>
          <w:p>
            <w:pPr>
              <w:pStyle w:val="0"/>
              <w:jc w:val="center"/>
            </w:pPr>
            <w:r>
              <w:rPr>
                <w:sz w:val="20"/>
              </w:rPr>
              <w:t xml:space="preserve">1,4</w:t>
            </w:r>
          </w:p>
        </w:tc>
        <w:tc>
          <w:tcPr>
            <w:tcW w:w="757" w:type="dxa"/>
            <w:vAlign w:val="center"/>
          </w:tcPr>
          <w:p>
            <w:pPr>
              <w:pStyle w:val="0"/>
              <w:jc w:val="center"/>
            </w:pPr>
            <w:r>
              <w:rPr>
                <w:sz w:val="20"/>
              </w:rPr>
              <w:t xml:space="preserve">0,8</w:t>
            </w:r>
          </w:p>
        </w:tc>
        <w:tc>
          <w:tcPr>
            <w:tcW w:w="760" w:type="dxa"/>
            <w:vAlign w:val="center"/>
          </w:tcPr>
          <w:p>
            <w:pPr>
              <w:pStyle w:val="0"/>
              <w:jc w:val="center"/>
            </w:pPr>
            <w:r>
              <w:rPr>
                <w:sz w:val="20"/>
              </w:rPr>
              <w:t xml:space="preserve">1,1</w:t>
            </w:r>
          </w:p>
        </w:tc>
        <w:tc>
          <w:tcPr>
            <w:tcW w:w="762" w:type="dxa"/>
            <w:vAlign w:val="center"/>
          </w:tcPr>
          <w:p>
            <w:pPr>
              <w:pStyle w:val="0"/>
              <w:jc w:val="center"/>
            </w:pPr>
            <w:r>
              <w:rPr>
                <w:sz w:val="20"/>
              </w:rPr>
              <w:t xml:space="preserve">1,3</w:t>
            </w:r>
          </w:p>
        </w:tc>
        <w:tc>
          <w:tcPr>
            <w:tcW w:w="893" w:type="dxa"/>
            <w:vAlign w:val="center"/>
          </w:tcPr>
          <w:p>
            <w:pPr>
              <w:pStyle w:val="0"/>
              <w:jc w:val="center"/>
            </w:pPr>
            <w:r>
              <w:rPr>
                <w:sz w:val="20"/>
              </w:rPr>
              <w:t xml:space="preserve">0,5</w:t>
            </w:r>
          </w:p>
        </w:tc>
      </w:tr>
      <w:tr>
        <w:tc>
          <w:tcPr>
            <w:tcW w:w="2485" w:type="dxa"/>
            <w:vAlign w:val="center"/>
          </w:tcPr>
          <w:p>
            <w:pPr>
              <w:pStyle w:val="0"/>
            </w:pPr>
            <w:r>
              <w:rPr>
                <w:sz w:val="20"/>
              </w:rPr>
              <w:t xml:space="preserve">Березовский</w:t>
            </w:r>
          </w:p>
        </w:tc>
        <w:tc>
          <w:tcPr>
            <w:tcW w:w="824" w:type="dxa"/>
            <w:vAlign w:val="center"/>
          </w:tcPr>
          <w:p>
            <w:pPr>
              <w:pStyle w:val="0"/>
              <w:jc w:val="center"/>
            </w:pPr>
            <w:r>
              <w:rPr>
                <w:sz w:val="20"/>
              </w:rPr>
              <w:t xml:space="preserve">20,3</w:t>
            </w:r>
          </w:p>
        </w:tc>
        <w:tc>
          <w:tcPr>
            <w:tcW w:w="760" w:type="dxa"/>
            <w:vAlign w:val="center"/>
          </w:tcPr>
          <w:p>
            <w:pPr>
              <w:pStyle w:val="0"/>
              <w:jc w:val="center"/>
            </w:pPr>
            <w:r>
              <w:rPr>
                <w:sz w:val="20"/>
              </w:rPr>
              <w:t xml:space="preserve">32,7</w:t>
            </w:r>
          </w:p>
        </w:tc>
        <w:tc>
          <w:tcPr>
            <w:tcW w:w="760" w:type="dxa"/>
            <w:vAlign w:val="center"/>
          </w:tcPr>
          <w:p>
            <w:pPr>
              <w:pStyle w:val="0"/>
              <w:jc w:val="center"/>
            </w:pPr>
            <w:r>
              <w:rPr>
                <w:sz w:val="20"/>
              </w:rPr>
              <w:t xml:space="preserve">23,8</w:t>
            </w:r>
          </w:p>
        </w:tc>
        <w:tc>
          <w:tcPr>
            <w:tcW w:w="618" w:type="dxa"/>
            <w:vAlign w:val="center"/>
          </w:tcPr>
          <w:p>
            <w:pPr>
              <w:pStyle w:val="0"/>
              <w:jc w:val="center"/>
            </w:pPr>
            <w:r>
              <w:rPr>
                <w:sz w:val="20"/>
              </w:rPr>
              <w:t xml:space="preserve">22,6</w:t>
            </w:r>
          </w:p>
        </w:tc>
        <w:tc>
          <w:tcPr>
            <w:tcW w:w="762" w:type="dxa"/>
            <w:vAlign w:val="center"/>
          </w:tcPr>
          <w:p>
            <w:pPr>
              <w:pStyle w:val="0"/>
              <w:jc w:val="center"/>
            </w:pPr>
            <w:r>
              <w:rPr>
                <w:sz w:val="20"/>
              </w:rPr>
              <w:t xml:space="preserve">19,4</w:t>
            </w:r>
          </w:p>
        </w:tc>
        <w:tc>
          <w:tcPr>
            <w:tcW w:w="618" w:type="dxa"/>
            <w:vAlign w:val="center"/>
          </w:tcPr>
          <w:p>
            <w:pPr>
              <w:pStyle w:val="0"/>
              <w:jc w:val="center"/>
            </w:pPr>
            <w:r>
              <w:rPr>
                <w:sz w:val="20"/>
              </w:rPr>
              <w:t xml:space="preserve">0,8</w:t>
            </w:r>
          </w:p>
        </w:tc>
        <w:tc>
          <w:tcPr>
            <w:tcW w:w="757" w:type="dxa"/>
            <w:vAlign w:val="center"/>
          </w:tcPr>
          <w:p>
            <w:pPr>
              <w:pStyle w:val="0"/>
              <w:jc w:val="center"/>
            </w:pPr>
            <w:r>
              <w:rPr>
                <w:sz w:val="20"/>
              </w:rPr>
              <w:t xml:space="preserve">1,3</w:t>
            </w:r>
          </w:p>
        </w:tc>
        <w:tc>
          <w:tcPr>
            <w:tcW w:w="760" w:type="dxa"/>
            <w:vAlign w:val="center"/>
          </w:tcPr>
          <w:p>
            <w:pPr>
              <w:pStyle w:val="0"/>
              <w:jc w:val="center"/>
            </w:pPr>
            <w:r>
              <w:rPr>
                <w:sz w:val="20"/>
              </w:rPr>
              <w:t xml:space="preserve">1,4</w:t>
            </w:r>
          </w:p>
        </w:tc>
        <w:tc>
          <w:tcPr>
            <w:tcW w:w="762" w:type="dxa"/>
            <w:vAlign w:val="center"/>
          </w:tcPr>
          <w:p>
            <w:pPr>
              <w:pStyle w:val="0"/>
              <w:jc w:val="center"/>
            </w:pPr>
            <w:r>
              <w:rPr>
                <w:sz w:val="20"/>
              </w:rPr>
              <w:t xml:space="preserve">1</w:t>
            </w:r>
          </w:p>
        </w:tc>
        <w:tc>
          <w:tcPr>
            <w:tcW w:w="893" w:type="dxa"/>
            <w:vAlign w:val="center"/>
          </w:tcPr>
          <w:p>
            <w:pPr>
              <w:pStyle w:val="0"/>
              <w:jc w:val="center"/>
            </w:pPr>
            <w:r>
              <w:rPr>
                <w:sz w:val="20"/>
              </w:rPr>
              <w:t xml:space="preserve">0,3</w:t>
            </w:r>
          </w:p>
        </w:tc>
      </w:tr>
      <w:tr>
        <w:tc>
          <w:tcPr>
            <w:tcW w:w="2485" w:type="dxa"/>
            <w:vAlign w:val="center"/>
          </w:tcPr>
          <w:p>
            <w:pPr>
              <w:pStyle w:val="0"/>
            </w:pPr>
            <w:r>
              <w:rPr>
                <w:sz w:val="20"/>
              </w:rPr>
              <w:t xml:space="preserve">Кондинский</w:t>
            </w:r>
          </w:p>
        </w:tc>
        <w:tc>
          <w:tcPr>
            <w:tcW w:w="824" w:type="dxa"/>
            <w:vAlign w:val="center"/>
          </w:tcPr>
          <w:p>
            <w:pPr>
              <w:pStyle w:val="0"/>
              <w:jc w:val="center"/>
            </w:pPr>
            <w:r>
              <w:rPr>
                <w:sz w:val="20"/>
              </w:rPr>
              <w:t xml:space="preserve">29,2</w:t>
            </w:r>
          </w:p>
        </w:tc>
        <w:tc>
          <w:tcPr>
            <w:tcW w:w="760" w:type="dxa"/>
            <w:vAlign w:val="center"/>
          </w:tcPr>
          <w:p>
            <w:pPr>
              <w:pStyle w:val="0"/>
              <w:jc w:val="center"/>
            </w:pPr>
            <w:r>
              <w:rPr>
                <w:sz w:val="20"/>
              </w:rPr>
              <w:t xml:space="preserve">17,3</w:t>
            </w:r>
          </w:p>
        </w:tc>
        <w:tc>
          <w:tcPr>
            <w:tcW w:w="760" w:type="dxa"/>
            <w:vAlign w:val="center"/>
          </w:tcPr>
          <w:p>
            <w:pPr>
              <w:pStyle w:val="0"/>
              <w:jc w:val="center"/>
            </w:pPr>
            <w:r>
              <w:rPr>
                <w:sz w:val="20"/>
              </w:rPr>
              <w:t xml:space="preserve">33,3</w:t>
            </w:r>
          </w:p>
        </w:tc>
        <w:tc>
          <w:tcPr>
            <w:tcW w:w="618" w:type="dxa"/>
            <w:vAlign w:val="center"/>
          </w:tcPr>
          <w:p>
            <w:pPr>
              <w:pStyle w:val="0"/>
              <w:jc w:val="center"/>
            </w:pPr>
            <w:r>
              <w:rPr>
                <w:sz w:val="20"/>
              </w:rPr>
              <w:t xml:space="preserve">22,2</w:t>
            </w:r>
          </w:p>
        </w:tc>
        <w:tc>
          <w:tcPr>
            <w:tcW w:w="762" w:type="dxa"/>
            <w:vAlign w:val="center"/>
          </w:tcPr>
          <w:p>
            <w:pPr>
              <w:pStyle w:val="0"/>
              <w:jc w:val="center"/>
            </w:pPr>
            <w:r>
              <w:rPr>
                <w:sz w:val="20"/>
              </w:rPr>
              <w:t xml:space="preserve">27,3</w:t>
            </w:r>
          </w:p>
        </w:tc>
        <w:tc>
          <w:tcPr>
            <w:tcW w:w="618" w:type="dxa"/>
            <w:vAlign w:val="center"/>
          </w:tcPr>
          <w:p>
            <w:pPr>
              <w:pStyle w:val="0"/>
              <w:jc w:val="center"/>
            </w:pPr>
            <w:r>
              <w:rPr>
                <w:sz w:val="20"/>
              </w:rPr>
              <w:t xml:space="preserve">1,5</w:t>
            </w:r>
          </w:p>
        </w:tc>
        <w:tc>
          <w:tcPr>
            <w:tcW w:w="757" w:type="dxa"/>
            <w:vAlign w:val="center"/>
          </w:tcPr>
          <w:p>
            <w:pPr>
              <w:pStyle w:val="0"/>
              <w:jc w:val="center"/>
            </w:pPr>
            <w:r>
              <w:rPr>
                <w:sz w:val="20"/>
              </w:rPr>
              <w:t xml:space="preserve">0,6</w:t>
            </w:r>
          </w:p>
        </w:tc>
        <w:tc>
          <w:tcPr>
            <w:tcW w:w="760" w:type="dxa"/>
            <w:vAlign w:val="center"/>
          </w:tcPr>
          <w:p>
            <w:pPr>
              <w:pStyle w:val="0"/>
              <w:jc w:val="center"/>
            </w:pPr>
            <w:r>
              <w:rPr>
                <w:sz w:val="20"/>
              </w:rPr>
              <w:t xml:space="preserve">1,5</w:t>
            </w:r>
          </w:p>
        </w:tc>
        <w:tc>
          <w:tcPr>
            <w:tcW w:w="762" w:type="dxa"/>
            <w:vAlign w:val="center"/>
          </w:tcPr>
          <w:p>
            <w:pPr>
              <w:pStyle w:val="0"/>
              <w:jc w:val="center"/>
            </w:pPr>
            <w:r>
              <w:rPr>
                <w:sz w:val="20"/>
              </w:rPr>
              <w:t xml:space="preserve">0,6</w:t>
            </w:r>
          </w:p>
        </w:tc>
        <w:tc>
          <w:tcPr>
            <w:tcW w:w="893" w:type="dxa"/>
            <w:vAlign w:val="center"/>
          </w:tcPr>
          <w:p>
            <w:pPr>
              <w:pStyle w:val="0"/>
              <w:jc w:val="center"/>
            </w:pPr>
            <w:r>
              <w:rPr>
                <w:sz w:val="20"/>
              </w:rPr>
              <w:t xml:space="preserve">0,5</w:t>
            </w:r>
          </w:p>
        </w:tc>
      </w:tr>
      <w:tr>
        <w:tc>
          <w:tcPr>
            <w:tcW w:w="2485" w:type="dxa"/>
            <w:vAlign w:val="center"/>
          </w:tcPr>
          <w:p>
            <w:pPr>
              <w:pStyle w:val="0"/>
            </w:pPr>
            <w:r>
              <w:rPr>
                <w:sz w:val="20"/>
              </w:rPr>
              <w:t xml:space="preserve">Октябрьский</w:t>
            </w:r>
          </w:p>
        </w:tc>
        <w:tc>
          <w:tcPr>
            <w:tcW w:w="824" w:type="dxa"/>
            <w:vAlign w:val="center"/>
          </w:tcPr>
          <w:p>
            <w:pPr>
              <w:pStyle w:val="0"/>
              <w:jc w:val="center"/>
            </w:pPr>
            <w:r>
              <w:rPr>
                <w:sz w:val="20"/>
              </w:rPr>
              <w:t xml:space="preserve">29,9</w:t>
            </w:r>
          </w:p>
        </w:tc>
        <w:tc>
          <w:tcPr>
            <w:tcW w:w="760" w:type="dxa"/>
            <w:vAlign w:val="center"/>
          </w:tcPr>
          <w:p>
            <w:pPr>
              <w:pStyle w:val="0"/>
              <w:jc w:val="center"/>
            </w:pPr>
            <w:r>
              <w:rPr>
                <w:sz w:val="20"/>
              </w:rPr>
              <w:t xml:space="preserve">28,7</w:t>
            </w:r>
          </w:p>
        </w:tc>
        <w:tc>
          <w:tcPr>
            <w:tcW w:w="760" w:type="dxa"/>
            <w:vAlign w:val="center"/>
          </w:tcPr>
          <w:p>
            <w:pPr>
              <w:pStyle w:val="0"/>
              <w:jc w:val="center"/>
            </w:pPr>
            <w:r>
              <w:rPr>
                <w:sz w:val="20"/>
              </w:rPr>
              <w:t xml:space="preserve">32,7</w:t>
            </w:r>
          </w:p>
        </w:tc>
        <w:tc>
          <w:tcPr>
            <w:tcW w:w="618" w:type="dxa"/>
            <w:vAlign w:val="center"/>
          </w:tcPr>
          <w:p>
            <w:pPr>
              <w:pStyle w:val="0"/>
              <w:jc w:val="center"/>
            </w:pPr>
            <w:r>
              <w:rPr>
                <w:sz w:val="20"/>
              </w:rPr>
              <w:t xml:space="preserve">29,7</w:t>
            </w:r>
          </w:p>
        </w:tc>
        <w:tc>
          <w:tcPr>
            <w:tcW w:w="762" w:type="dxa"/>
            <w:vAlign w:val="center"/>
          </w:tcPr>
          <w:p>
            <w:pPr>
              <w:pStyle w:val="0"/>
              <w:jc w:val="center"/>
            </w:pPr>
            <w:r>
              <w:rPr>
                <w:sz w:val="20"/>
              </w:rPr>
              <w:t xml:space="preserve">22,5</w:t>
            </w:r>
          </w:p>
        </w:tc>
        <w:tc>
          <w:tcPr>
            <w:tcW w:w="618" w:type="dxa"/>
            <w:vAlign w:val="center"/>
          </w:tcPr>
          <w:p>
            <w:pPr>
              <w:pStyle w:val="0"/>
              <w:jc w:val="center"/>
            </w:pPr>
            <w:r>
              <w:rPr>
                <w:sz w:val="20"/>
              </w:rPr>
              <w:t xml:space="preserve">1,1</w:t>
            </w:r>
          </w:p>
        </w:tc>
        <w:tc>
          <w:tcPr>
            <w:tcW w:w="757" w:type="dxa"/>
            <w:vAlign w:val="center"/>
          </w:tcPr>
          <w:p>
            <w:pPr>
              <w:pStyle w:val="0"/>
              <w:jc w:val="center"/>
            </w:pPr>
            <w:r>
              <w:rPr>
                <w:sz w:val="20"/>
              </w:rPr>
              <w:t xml:space="preserve">0,9</w:t>
            </w:r>
          </w:p>
        </w:tc>
        <w:tc>
          <w:tcPr>
            <w:tcW w:w="760" w:type="dxa"/>
            <w:vAlign w:val="center"/>
          </w:tcPr>
          <w:p>
            <w:pPr>
              <w:pStyle w:val="0"/>
              <w:jc w:val="center"/>
            </w:pPr>
            <w:r>
              <w:rPr>
                <w:sz w:val="20"/>
              </w:rPr>
              <w:t xml:space="preserve">1,4</w:t>
            </w:r>
          </w:p>
        </w:tc>
        <w:tc>
          <w:tcPr>
            <w:tcW w:w="762" w:type="dxa"/>
            <w:vAlign w:val="center"/>
          </w:tcPr>
          <w:p>
            <w:pPr>
              <w:pStyle w:val="0"/>
              <w:jc w:val="center"/>
            </w:pPr>
            <w:r>
              <w:rPr>
                <w:sz w:val="20"/>
              </w:rPr>
              <w:t xml:space="preserve">1,2</w:t>
            </w:r>
          </w:p>
        </w:tc>
        <w:tc>
          <w:tcPr>
            <w:tcW w:w="893" w:type="dxa"/>
            <w:vAlign w:val="center"/>
          </w:tcPr>
          <w:p>
            <w:pPr>
              <w:pStyle w:val="0"/>
              <w:jc w:val="center"/>
            </w:pPr>
            <w:r>
              <w:rPr>
                <w:sz w:val="20"/>
              </w:rPr>
              <w:t xml:space="preserve">0,5</w:t>
            </w:r>
          </w:p>
        </w:tc>
      </w:tr>
      <w:tr>
        <w:tc>
          <w:tcPr>
            <w:tcW w:w="2485" w:type="dxa"/>
            <w:vAlign w:val="center"/>
          </w:tcPr>
          <w:p>
            <w:pPr>
              <w:pStyle w:val="0"/>
            </w:pPr>
            <w:r>
              <w:rPr>
                <w:sz w:val="20"/>
              </w:rPr>
              <w:t xml:space="preserve">Советский</w:t>
            </w:r>
          </w:p>
        </w:tc>
        <w:tc>
          <w:tcPr>
            <w:tcW w:w="824" w:type="dxa"/>
            <w:vAlign w:val="center"/>
          </w:tcPr>
          <w:p>
            <w:pPr>
              <w:pStyle w:val="0"/>
              <w:jc w:val="center"/>
            </w:pPr>
            <w:r>
              <w:rPr>
                <w:sz w:val="20"/>
              </w:rPr>
              <w:t xml:space="preserve">22</w:t>
            </w:r>
          </w:p>
        </w:tc>
        <w:tc>
          <w:tcPr>
            <w:tcW w:w="760" w:type="dxa"/>
            <w:vAlign w:val="center"/>
          </w:tcPr>
          <w:p>
            <w:pPr>
              <w:pStyle w:val="0"/>
              <w:jc w:val="center"/>
            </w:pPr>
            <w:r>
              <w:rPr>
                <w:sz w:val="20"/>
              </w:rPr>
              <w:t xml:space="preserve">25,7</w:t>
            </w:r>
          </w:p>
        </w:tc>
        <w:tc>
          <w:tcPr>
            <w:tcW w:w="760" w:type="dxa"/>
            <w:vAlign w:val="center"/>
          </w:tcPr>
          <w:p>
            <w:pPr>
              <w:pStyle w:val="0"/>
              <w:jc w:val="center"/>
            </w:pPr>
            <w:r>
              <w:rPr>
                <w:sz w:val="20"/>
              </w:rPr>
              <w:t xml:space="preserve">19</w:t>
            </w:r>
          </w:p>
        </w:tc>
        <w:tc>
          <w:tcPr>
            <w:tcW w:w="618" w:type="dxa"/>
            <w:vAlign w:val="center"/>
          </w:tcPr>
          <w:p>
            <w:pPr>
              <w:pStyle w:val="0"/>
              <w:jc w:val="center"/>
            </w:pPr>
            <w:r>
              <w:rPr>
                <w:sz w:val="20"/>
              </w:rPr>
              <w:t xml:space="preserve">22,5</w:t>
            </w:r>
          </w:p>
        </w:tc>
        <w:tc>
          <w:tcPr>
            <w:tcW w:w="762" w:type="dxa"/>
            <w:vAlign w:val="center"/>
          </w:tcPr>
          <w:p>
            <w:pPr>
              <w:pStyle w:val="0"/>
              <w:jc w:val="center"/>
            </w:pPr>
            <w:r>
              <w:rPr>
                <w:sz w:val="20"/>
              </w:rPr>
              <w:t xml:space="preserve">26,5</w:t>
            </w:r>
          </w:p>
        </w:tc>
        <w:tc>
          <w:tcPr>
            <w:tcW w:w="618" w:type="dxa"/>
            <w:vAlign w:val="center"/>
          </w:tcPr>
          <w:p>
            <w:pPr>
              <w:pStyle w:val="0"/>
              <w:jc w:val="center"/>
            </w:pPr>
            <w:r>
              <w:rPr>
                <w:sz w:val="20"/>
              </w:rPr>
              <w:t xml:space="preserve">0,9</w:t>
            </w:r>
          </w:p>
        </w:tc>
        <w:tc>
          <w:tcPr>
            <w:tcW w:w="757" w:type="dxa"/>
            <w:vAlign w:val="center"/>
          </w:tcPr>
          <w:p>
            <w:pPr>
              <w:pStyle w:val="0"/>
              <w:jc w:val="center"/>
            </w:pPr>
            <w:r>
              <w:rPr>
                <w:sz w:val="20"/>
              </w:rPr>
              <w:t xml:space="preserve">1,2</w:t>
            </w:r>
          </w:p>
        </w:tc>
        <w:tc>
          <w:tcPr>
            <w:tcW w:w="760" w:type="dxa"/>
            <w:vAlign w:val="center"/>
          </w:tcPr>
          <w:p>
            <w:pPr>
              <w:pStyle w:val="0"/>
              <w:jc w:val="center"/>
            </w:pPr>
            <w:r>
              <w:rPr>
                <w:sz w:val="20"/>
              </w:rPr>
              <w:t xml:space="preserve">0,9</w:t>
            </w:r>
          </w:p>
        </w:tc>
        <w:tc>
          <w:tcPr>
            <w:tcW w:w="762" w:type="dxa"/>
            <w:vAlign w:val="center"/>
          </w:tcPr>
          <w:p>
            <w:pPr>
              <w:pStyle w:val="0"/>
              <w:jc w:val="center"/>
            </w:pPr>
            <w:r>
              <w:rPr>
                <w:sz w:val="20"/>
              </w:rPr>
              <w:t xml:space="preserve">0,9</w:t>
            </w:r>
          </w:p>
        </w:tc>
        <w:tc>
          <w:tcPr>
            <w:tcW w:w="893" w:type="dxa"/>
            <w:vAlign w:val="center"/>
          </w:tcPr>
          <w:p>
            <w:pPr>
              <w:pStyle w:val="0"/>
              <w:jc w:val="center"/>
            </w:pPr>
            <w:r>
              <w:rPr>
                <w:sz w:val="20"/>
              </w:rPr>
              <w:t xml:space="preserve">0,7</w:t>
            </w:r>
          </w:p>
        </w:tc>
      </w:tr>
      <w:tr>
        <w:tc>
          <w:tcPr>
            <w:tcW w:w="2485" w:type="dxa"/>
            <w:vAlign w:val="center"/>
          </w:tcPr>
          <w:p>
            <w:pPr>
              <w:pStyle w:val="0"/>
            </w:pPr>
            <w:r>
              <w:rPr>
                <w:sz w:val="20"/>
              </w:rPr>
              <w:t xml:space="preserve">Ханты-Мансийский</w:t>
            </w:r>
          </w:p>
        </w:tc>
        <w:tc>
          <w:tcPr>
            <w:tcW w:w="824" w:type="dxa"/>
            <w:vAlign w:val="center"/>
          </w:tcPr>
          <w:p>
            <w:pPr>
              <w:pStyle w:val="0"/>
              <w:jc w:val="center"/>
            </w:pPr>
            <w:r>
              <w:rPr>
                <w:sz w:val="20"/>
              </w:rPr>
              <w:t xml:space="preserve">28,6</w:t>
            </w:r>
          </w:p>
        </w:tc>
        <w:tc>
          <w:tcPr>
            <w:tcW w:w="760" w:type="dxa"/>
            <w:vAlign w:val="center"/>
          </w:tcPr>
          <w:p>
            <w:pPr>
              <w:pStyle w:val="0"/>
              <w:jc w:val="center"/>
            </w:pPr>
            <w:r>
              <w:rPr>
                <w:sz w:val="20"/>
              </w:rPr>
              <w:t xml:space="preserve">31</w:t>
            </w:r>
          </w:p>
        </w:tc>
        <w:tc>
          <w:tcPr>
            <w:tcW w:w="760" w:type="dxa"/>
            <w:vAlign w:val="center"/>
          </w:tcPr>
          <w:p>
            <w:pPr>
              <w:pStyle w:val="0"/>
              <w:jc w:val="center"/>
            </w:pPr>
            <w:r>
              <w:rPr>
                <w:sz w:val="20"/>
              </w:rPr>
              <w:t xml:space="preserve">41,3</w:t>
            </w:r>
          </w:p>
        </w:tc>
        <w:tc>
          <w:tcPr>
            <w:tcW w:w="618" w:type="dxa"/>
            <w:vAlign w:val="center"/>
          </w:tcPr>
          <w:p>
            <w:pPr>
              <w:pStyle w:val="0"/>
              <w:jc w:val="center"/>
            </w:pPr>
            <w:r>
              <w:rPr>
                <w:sz w:val="20"/>
              </w:rPr>
              <w:t xml:space="preserve">34,5</w:t>
            </w:r>
          </w:p>
        </w:tc>
        <w:tc>
          <w:tcPr>
            <w:tcW w:w="762" w:type="dxa"/>
            <w:vAlign w:val="center"/>
          </w:tcPr>
          <w:p>
            <w:pPr>
              <w:pStyle w:val="0"/>
              <w:jc w:val="center"/>
            </w:pPr>
            <w:r>
              <w:rPr>
                <w:sz w:val="20"/>
              </w:rPr>
              <w:t xml:space="preserve">28</w:t>
            </w:r>
          </w:p>
        </w:tc>
        <w:tc>
          <w:tcPr>
            <w:tcW w:w="618" w:type="dxa"/>
            <w:vAlign w:val="center"/>
          </w:tcPr>
          <w:p>
            <w:pPr>
              <w:pStyle w:val="0"/>
              <w:jc w:val="center"/>
            </w:pPr>
            <w:r>
              <w:rPr>
                <w:sz w:val="20"/>
              </w:rPr>
              <w:t xml:space="preserve">1</w:t>
            </w:r>
          </w:p>
        </w:tc>
        <w:tc>
          <w:tcPr>
            <w:tcW w:w="757" w:type="dxa"/>
            <w:vAlign w:val="center"/>
          </w:tcPr>
          <w:p>
            <w:pPr>
              <w:pStyle w:val="0"/>
              <w:jc w:val="center"/>
            </w:pPr>
            <w:r>
              <w:rPr>
                <w:sz w:val="20"/>
              </w:rPr>
              <w:t xml:space="preserve">0,8</w:t>
            </w:r>
          </w:p>
        </w:tc>
        <w:tc>
          <w:tcPr>
            <w:tcW w:w="760" w:type="dxa"/>
            <w:vAlign w:val="center"/>
          </w:tcPr>
          <w:p>
            <w:pPr>
              <w:pStyle w:val="0"/>
              <w:jc w:val="center"/>
            </w:pPr>
            <w:r>
              <w:rPr>
                <w:sz w:val="20"/>
              </w:rPr>
              <w:t xml:space="preserve">1,9</w:t>
            </w:r>
          </w:p>
        </w:tc>
        <w:tc>
          <w:tcPr>
            <w:tcW w:w="762" w:type="dxa"/>
            <w:vAlign w:val="center"/>
          </w:tcPr>
          <w:p>
            <w:pPr>
              <w:pStyle w:val="0"/>
              <w:jc w:val="center"/>
            </w:pPr>
            <w:r>
              <w:rPr>
                <w:sz w:val="20"/>
              </w:rPr>
              <w:t xml:space="preserve">0,6</w:t>
            </w:r>
          </w:p>
        </w:tc>
        <w:tc>
          <w:tcPr>
            <w:tcW w:w="893" w:type="dxa"/>
            <w:vAlign w:val="center"/>
          </w:tcPr>
          <w:p>
            <w:pPr>
              <w:pStyle w:val="0"/>
              <w:jc w:val="center"/>
            </w:pPr>
            <w:r>
              <w:rPr>
                <w:sz w:val="20"/>
              </w:rPr>
              <w:t xml:space="preserve">0,6</w:t>
            </w:r>
          </w:p>
        </w:tc>
      </w:tr>
      <w:tr>
        <w:tc>
          <w:tcPr>
            <w:tcW w:w="2485" w:type="dxa"/>
            <w:vAlign w:val="center"/>
          </w:tcPr>
          <w:p>
            <w:pPr>
              <w:pStyle w:val="0"/>
            </w:pPr>
            <w:r>
              <w:rPr>
                <w:sz w:val="20"/>
              </w:rPr>
              <w:t xml:space="preserve">Сургут</w:t>
            </w:r>
          </w:p>
        </w:tc>
        <w:tc>
          <w:tcPr>
            <w:tcW w:w="824" w:type="dxa"/>
            <w:vAlign w:val="center"/>
          </w:tcPr>
          <w:p>
            <w:pPr>
              <w:pStyle w:val="0"/>
              <w:jc w:val="center"/>
            </w:pPr>
            <w:r>
              <w:rPr>
                <w:sz w:val="20"/>
              </w:rPr>
              <w:t xml:space="preserve">19,1</w:t>
            </w:r>
          </w:p>
        </w:tc>
        <w:tc>
          <w:tcPr>
            <w:tcW w:w="760" w:type="dxa"/>
            <w:vAlign w:val="center"/>
          </w:tcPr>
          <w:p>
            <w:pPr>
              <w:pStyle w:val="0"/>
              <w:jc w:val="center"/>
            </w:pPr>
            <w:r>
              <w:rPr>
                <w:sz w:val="20"/>
              </w:rPr>
              <w:t xml:space="preserve">20,7</w:t>
            </w:r>
          </w:p>
        </w:tc>
        <w:tc>
          <w:tcPr>
            <w:tcW w:w="760" w:type="dxa"/>
            <w:vAlign w:val="center"/>
          </w:tcPr>
          <w:p>
            <w:pPr>
              <w:pStyle w:val="0"/>
              <w:jc w:val="center"/>
            </w:pPr>
            <w:r>
              <w:rPr>
                <w:sz w:val="20"/>
              </w:rPr>
              <w:t xml:space="preserve">23,5</w:t>
            </w:r>
          </w:p>
        </w:tc>
        <w:tc>
          <w:tcPr>
            <w:tcW w:w="618" w:type="dxa"/>
            <w:vAlign w:val="center"/>
          </w:tcPr>
          <w:p>
            <w:pPr>
              <w:pStyle w:val="0"/>
              <w:jc w:val="center"/>
            </w:pPr>
            <w:r>
              <w:rPr>
                <w:sz w:val="20"/>
              </w:rPr>
              <w:t xml:space="preserve">13,8</w:t>
            </w:r>
          </w:p>
        </w:tc>
        <w:tc>
          <w:tcPr>
            <w:tcW w:w="762" w:type="dxa"/>
            <w:vAlign w:val="center"/>
          </w:tcPr>
          <w:p>
            <w:pPr>
              <w:pStyle w:val="0"/>
              <w:jc w:val="center"/>
            </w:pPr>
            <w:r>
              <w:rPr>
                <w:sz w:val="20"/>
              </w:rPr>
              <w:t xml:space="preserve">18,6</w:t>
            </w:r>
          </w:p>
        </w:tc>
        <w:tc>
          <w:tcPr>
            <w:tcW w:w="618" w:type="dxa"/>
            <w:vAlign w:val="center"/>
          </w:tcPr>
          <w:p>
            <w:pPr>
              <w:pStyle w:val="0"/>
              <w:jc w:val="center"/>
            </w:pPr>
            <w:r>
              <w:rPr>
                <w:sz w:val="20"/>
              </w:rPr>
              <w:t xml:space="preserve">0,9</w:t>
            </w:r>
          </w:p>
        </w:tc>
        <w:tc>
          <w:tcPr>
            <w:tcW w:w="757" w:type="dxa"/>
            <w:vAlign w:val="center"/>
          </w:tcPr>
          <w:p>
            <w:pPr>
              <w:pStyle w:val="0"/>
              <w:jc w:val="center"/>
            </w:pPr>
            <w:r>
              <w:rPr>
                <w:sz w:val="20"/>
              </w:rPr>
              <w:t xml:space="preserve">0,8</w:t>
            </w:r>
          </w:p>
        </w:tc>
        <w:tc>
          <w:tcPr>
            <w:tcW w:w="760" w:type="dxa"/>
            <w:vAlign w:val="center"/>
          </w:tcPr>
          <w:p>
            <w:pPr>
              <w:pStyle w:val="0"/>
              <w:jc w:val="center"/>
            </w:pPr>
            <w:r>
              <w:rPr>
                <w:sz w:val="20"/>
              </w:rPr>
              <w:t xml:space="preserve">1,1</w:t>
            </w:r>
          </w:p>
        </w:tc>
        <w:tc>
          <w:tcPr>
            <w:tcW w:w="762" w:type="dxa"/>
            <w:vAlign w:val="center"/>
          </w:tcPr>
          <w:p>
            <w:pPr>
              <w:pStyle w:val="0"/>
              <w:jc w:val="center"/>
            </w:pPr>
            <w:r>
              <w:rPr>
                <w:sz w:val="20"/>
              </w:rPr>
              <w:t xml:space="preserve">0,5</w:t>
            </w:r>
          </w:p>
        </w:tc>
        <w:tc>
          <w:tcPr>
            <w:tcW w:w="893" w:type="dxa"/>
            <w:vAlign w:val="center"/>
          </w:tcPr>
          <w:p>
            <w:pPr>
              <w:pStyle w:val="0"/>
              <w:jc w:val="center"/>
            </w:pPr>
            <w:r>
              <w:rPr>
                <w:sz w:val="20"/>
              </w:rPr>
              <w:t xml:space="preserve">0,4</w:t>
            </w:r>
          </w:p>
        </w:tc>
      </w:tr>
      <w:tr>
        <w:tc>
          <w:tcPr>
            <w:tcW w:w="2485" w:type="dxa"/>
            <w:vAlign w:val="center"/>
          </w:tcPr>
          <w:p>
            <w:pPr>
              <w:pStyle w:val="0"/>
            </w:pPr>
            <w:r>
              <w:rPr>
                <w:sz w:val="20"/>
              </w:rPr>
              <w:t xml:space="preserve">Сургутский</w:t>
            </w:r>
          </w:p>
        </w:tc>
        <w:tc>
          <w:tcPr>
            <w:tcW w:w="824" w:type="dxa"/>
            <w:vAlign w:val="center"/>
          </w:tcPr>
          <w:p>
            <w:pPr>
              <w:pStyle w:val="0"/>
              <w:jc w:val="center"/>
            </w:pPr>
            <w:r>
              <w:rPr>
                <w:sz w:val="20"/>
              </w:rPr>
              <w:t xml:space="preserve">23,9</w:t>
            </w:r>
          </w:p>
        </w:tc>
        <w:tc>
          <w:tcPr>
            <w:tcW w:w="760" w:type="dxa"/>
            <w:vAlign w:val="center"/>
          </w:tcPr>
          <w:p>
            <w:pPr>
              <w:pStyle w:val="0"/>
              <w:jc w:val="center"/>
            </w:pPr>
            <w:r>
              <w:rPr>
                <w:sz w:val="20"/>
              </w:rPr>
              <w:t xml:space="preserve">21,6</w:t>
            </w:r>
          </w:p>
        </w:tc>
        <w:tc>
          <w:tcPr>
            <w:tcW w:w="760" w:type="dxa"/>
            <w:vAlign w:val="center"/>
          </w:tcPr>
          <w:p>
            <w:pPr>
              <w:pStyle w:val="0"/>
              <w:jc w:val="center"/>
            </w:pPr>
            <w:r>
              <w:rPr>
                <w:sz w:val="20"/>
              </w:rPr>
              <w:t xml:space="preserve">14,9</w:t>
            </w:r>
          </w:p>
        </w:tc>
        <w:tc>
          <w:tcPr>
            <w:tcW w:w="618" w:type="dxa"/>
            <w:vAlign w:val="center"/>
          </w:tcPr>
          <w:p>
            <w:pPr>
              <w:pStyle w:val="0"/>
              <w:jc w:val="center"/>
            </w:pPr>
            <w:r>
              <w:rPr>
                <w:sz w:val="20"/>
              </w:rPr>
              <w:t xml:space="preserve">18,4</w:t>
            </w:r>
          </w:p>
        </w:tc>
        <w:tc>
          <w:tcPr>
            <w:tcW w:w="762" w:type="dxa"/>
            <w:vAlign w:val="center"/>
          </w:tcPr>
          <w:p>
            <w:pPr>
              <w:pStyle w:val="0"/>
              <w:jc w:val="center"/>
            </w:pPr>
            <w:r>
              <w:rPr>
                <w:sz w:val="20"/>
              </w:rPr>
              <w:t xml:space="preserve">18,6</w:t>
            </w:r>
          </w:p>
        </w:tc>
        <w:tc>
          <w:tcPr>
            <w:tcW w:w="618" w:type="dxa"/>
            <w:vAlign w:val="center"/>
          </w:tcPr>
          <w:p>
            <w:pPr>
              <w:pStyle w:val="0"/>
              <w:jc w:val="center"/>
            </w:pPr>
            <w:r>
              <w:rPr>
                <w:sz w:val="20"/>
              </w:rPr>
              <w:t xml:space="preserve">1</w:t>
            </w:r>
          </w:p>
        </w:tc>
        <w:tc>
          <w:tcPr>
            <w:tcW w:w="757" w:type="dxa"/>
            <w:vAlign w:val="center"/>
          </w:tcPr>
          <w:p>
            <w:pPr>
              <w:pStyle w:val="0"/>
              <w:jc w:val="center"/>
            </w:pPr>
            <w:r>
              <w:rPr>
                <w:sz w:val="20"/>
              </w:rPr>
              <w:t xml:space="preserve">0,9</w:t>
            </w:r>
          </w:p>
        </w:tc>
        <w:tc>
          <w:tcPr>
            <w:tcW w:w="760" w:type="dxa"/>
            <w:vAlign w:val="center"/>
          </w:tcPr>
          <w:p>
            <w:pPr>
              <w:pStyle w:val="0"/>
              <w:jc w:val="center"/>
            </w:pPr>
            <w:r>
              <w:rPr>
                <w:sz w:val="20"/>
              </w:rPr>
              <w:t xml:space="preserve">0,7</w:t>
            </w:r>
          </w:p>
        </w:tc>
        <w:tc>
          <w:tcPr>
            <w:tcW w:w="762" w:type="dxa"/>
            <w:vAlign w:val="center"/>
          </w:tcPr>
          <w:p>
            <w:pPr>
              <w:pStyle w:val="0"/>
              <w:jc w:val="center"/>
            </w:pPr>
            <w:r>
              <w:rPr>
                <w:sz w:val="20"/>
              </w:rPr>
              <w:t xml:space="preserve">0,7</w:t>
            </w:r>
          </w:p>
        </w:tc>
        <w:tc>
          <w:tcPr>
            <w:tcW w:w="893" w:type="dxa"/>
            <w:vAlign w:val="center"/>
          </w:tcPr>
          <w:p>
            <w:pPr>
              <w:pStyle w:val="0"/>
              <w:jc w:val="center"/>
            </w:pPr>
            <w:r>
              <w:rPr>
                <w:sz w:val="20"/>
              </w:rPr>
              <w:t xml:space="preserve">0,5</w:t>
            </w:r>
          </w:p>
        </w:tc>
      </w:tr>
      <w:tr>
        <w:tc>
          <w:tcPr>
            <w:tcW w:w="2485" w:type="dxa"/>
            <w:vAlign w:val="center"/>
          </w:tcPr>
          <w:p>
            <w:pPr>
              <w:pStyle w:val="0"/>
            </w:pPr>
            <w:r>
              <w:rPr>
                <w:sz w:val="20"/>
              </w:rPr>
              <w:t xml:space="preserve">Нефтеюганск</w:t>
            </w:r>
          </w:p>
        </w:tc>
        <w:tc>
          <w:tcPr>
            <w:tcW w:w="824" w:type="dxa"/>
            <w:vAlign w:val="center"/>
          </w:tcPr>
          <w:p>
            <w:pPr>
              <w:pStyle w:val="0"/>
              <w:jc w:val="center"/>
            </w:pPr>
            <w:r>
              <w:rPr>
                <w:sz w:val="20"/>
              </w:rPr>
              <w:t xml:space="preserve">17,6</w:t>
            </w:r>
          </w:p>
        </w:tc>
        <w:tc>
          <w:tcPr>
            <w:tcW w:w="760" w:type="dxa"/>
            <w:vAlign w:val="center"/>
          </w:tcPr>
          <w:p>
            <w:pPr>
              <w:pStyle w:val="0"/>
              <w:jc w:val="center"/>
            </w:pPr>
            <w:r>
              <w:rPr>
                <w:sz w:val="20"/>
              </w:rPr>
              <w:t xml:space="preserve">26,8</w:t>
            </w:r>
          </w:p>
        </w:tc>
        <w:tc>
          <w:tcPr>
            <w:tcW w:w="760" w:type="dxa"/>
            <w:vAlign w:val="center"/>
          </w:tcPr>
          <w:p>
            <w:pPr>
              <w:pStyle w:val="0"/>
              <w:jc w:val="center"/>
            </w:pPr>
            <w:r>
              <w:rPr>
                <w:sz w:val="20"/>
              </w:rPr>
              <w:t xml:space="preserve">26,9</w:t>
            </w:r>
          </w:p>
        </w:tc>
        <w:tc>
          <w:tcPr>
            <w:tcW w:w="618" w:type="dxa"/>
            <w:vAlign w:val="center"/>
          </w:tcPr>
          <w:p>
            <w:pPr>
              <w:pStyle w:val="0"/>
              <w:jc w:val="center"/>
            </w:pPr>
            <w:r>
              <w:rPr>
                <w:sz w:val="20"/>
              </w:rPr>
              <w:t xml:space="preserve">19,2</w:t>
            </w:r>
          </w:p>
        </w:tc>
        <w:tc>
          <w:tcPr>
            <w:tcW w:w="762" w:type="dxa"/>
            <w:vAlign w:val="center"/>
          </w:tcPr>
          <w:p>
            <w:pPr>
              <w:pStyle w:val="0"/>
              <w:jc w:val="center"/>
            </w:pPr>
            <w:r>
              <w:rPr>
                <w:sz w:val="20"/>
              </w:rPr>
              <w:t xml:space="preserve">18</w:t>
            </w:r>
          </w:p>
        </w:tc>
        <w:tc>
          <w:tcPr>
            <w:tcW w:w="618" w:type="dxa"/>
            <w:vAlign w:val="center"/>
          </w:tcPr>
          <w:p>
            <w:pPr>
              <w:pStyle w:val="0"/>
              <w:jc w:val="center"/>
            </w:pPr>
            <w:r>
              <w:rPr>
                <w:sz w:val="20"/>
              </w:rPr>
              <w:t xml:space="preserve">0,8</w:t>
            </w:r>
          </w:p>
        </w:tc>
        <w:tc>
          <w:tcPr>
            <w:tcW w:w="757" w:type="dxa"/>
            <w:vAlign w:val="center"/>
          </w:tcPr>
          <w:p>
            <w:pPr>
              <w:pStyle w:val="0"/>
              <w:jc w:val="center"/>
            </w:pPr>
            <w:r>
              <w:rPr>
                <w:sz w:val="20"/>
              </w:rPr>
              <w:t xml:space="preserve">1</w:t>
            </w:r>
          </w:p>
        </w:tc>
        <w:tc>
          <w:tcPr>
            <w:tcW w:w="760" w:type="dxa"/>
            <w:vAlign w:val="center"/>
          </w:tcPr>
          <w:p>
            <w:pPr>
              <w:pStyle w:val="0"/>
              <w:jc w:val="center"/>
            </w:pPr>
            <w:r>
              <w:rPr>
                <w:sz w:val="20"/>
              </w:rPr>
              <w:t xml:space="preserve">1,2</w:t>
            </w:r>
          </w:p>
        </w:tc>
        <w:tc>
          <w:tcPr>
            <w:tcW w:w="762" w:type="dxa"/>
            <w:vAlign w:val="center"/>
          </w:tcPr>
          <w:p>
            <w:pPr>
              <w:pStyle w:val="0"/>
              <w:jc w:val="center"/>
            </w:pPr>
            <w:r>
              <w:rPr>
                <w:sz w:val="20"/>
              </w:rPr>
              <w:t xml:space="preserve">0,7</w:t>
            </w:r>
          </w:p>
        </w:tc>
        <w:tc>
          <w:tcPr>
            <w:tcW w:w="893" w:type="dxa"/>
            <w:vAlign w:val="center"/>
          </w:tcPr>
          <w:p>
            <w:pPr>
              <w:pStyle w:val="0"/>
              <w:jc w:val="center"/>
            </w:pPr>
            <w:r>
              <w:rPr>
                <w:sz w:val="20"/>
              </w:rPr>
              <w:t xml:space="preserve">0,4</w:t>
            </w:r>
          </w:p>
        </w:tc>
      </w:tr>
      <w:tr>
        <w:tc>
          <w:tcPr>
            <w:tcW w:w="2485" w:type="dxa"/>
            <w:vAlign w:val="center"/>
          </w:tcPr>
          <w:p>
            <w:pPr>
              <w:pStyle w:val="0"/>
            </w:pPr>
            <w:r>
              <w:rPr>
                <w:sz w:val="20"/>
              </w:rPr>
              <w:t xml:space="preserve">Нефтеюганский</w:t>
            </w:r>
          </w:p>
        </w:tc>
        <w:tc>
          <w:tcPr>
            <w:tcW w:w="824" w:type="dxa"/>
            <w:vAlign w:val="center"/>
          </w:tcPr>
          <w:p>
            <w:pPr>
              <w:pStyle w:val="0"/>
              <w:jc w:val="center"/>
            </w:pPr>
            <w:r>
              <w:rPr>
                <w:sz w:val="20"/>
              </w:rPr>
              <w:t xml:space="preserve">20,4</w:t>
            </w:r>
          </w:p>
        </w:tc>
        <w:tc>
          <w:tcPr>
            <w:tcW w:w="760" w:type="dxa"/>
            <w:vAlign w:val="center"/>
          </w:tcPr>
          <w:p>
            <w:pPr>
              <w:pStyle w:val="0"/>
              <w:jc w:val="center"/>
            </w:pPr>
            <w:r>
              <w:rPr>
                <w:sz w:val="20"/>
              </w:rPr>
              <w:t xml:space="preserve">18,6</w:t>
            </w:r>
          </w:p>
        </w:tc>
        <w:tc>
          <w:tcPr>
            <w:tcW w:w="760" w:type="dxa"/>
            <w:vAlign w:val="center"/>
          </w:tcPr>
          <w:p>
            <w:pPr>
              <w:pStyle w:val="0"/>
              <w:jc w:val="center"/>
            </w:pPr>
            <w:r>
              <w:rPr>
                <w:sz w:val="20"/>
              </w:rPr>
              <w:t xml:space="preserve">22</w:t>
            </w:r>
          </w:p>
        </w:tc>
        <w:tc>
          <w:tcPr>
            <w:tcW w:w="618" w:type="dxa"/>
            <w:vAlign w:val="center"/>
          </w:tcPr>
          <w:p>
            <w:pPr>
              <w:pStyle w:val="0"/>
              <w:jc w:val="center"/>
            </w:pPr>
            <w:r>
              <w:rPr>
                <w:sz w:val="20"/>
              </w:rPr>
              <w:t xml:space="preserve">33,3</w:t>
            </w:r>
          </w:p>
        </w:tc>
        <w:tc>
          <w:tcPr>
            <w:tcW w:w="762" w:type="dxa"/>
            <w:vAlign w:val="center"/>
          </w:tcPr>
          <w:p>
            <w:pPr>
              <w:pStyle w:val="0"/>
              <w:jc w:val="center"/>
            </w:pPr>
            <w:r>
              <w:rPr>
                <w:sz w:val="20"/>
              </w:rPr>
              <w:t xml:space="preserve">27,6</w:t>
            </w:r>
          </w:p>
        </w:tc>
        <w:tc>
          <w:tcPr>
            <w:tcW w:w="618" w:type="dxa"/>
            <w:vAlign w:val="center"/>
          </w:tcPr>
          <w:p>
            <w:pPr>
              <w:pStyle w:val="0"/>
              <w:jc w:val="center"/>
            </w:pPr>
            <w:r>
              <w:rPr>
                <w:sz w:val="20"/>
              </w:rPr>
              <w:t xml:space="preserve">0,8</w:t>
            </w:r>
          </w:p>
        </w:tc>
        <w:tc>
          <w:tcPr>
            <w:tcW w:w="757" w:type="dxa"/>
            <w:vAlign w:val="center"/>
          </w:tcPr>
          <w:p>
            <w:pPr>
              <w:pStyle w:val="0"/>
              <w:jc w:val="center"/>
            </w:pPr>
            <w:r>
              <w:rPr>
                <w:sz w:val="20"/>
              </w:rPr>
              <w:t xml:space="preserve">0,9</w:t>
            </w:r>
          </w:p>
        </w:tc>
        <w:tc>
          <w:tcPr>
            <w:tcW w:w="760" w:type="dxa"/>
            <w:vAlign w:val="center"/>
          </w:tcPr>
          <w:p>
            <w:pPr>
              <w:pStyle w:val="0"/>
              <w:jc w:val="center"/>
            </w:pPr>
            <w:r>
              <w:rPr>
                <w:sz w:val="20"/>
              </w:rPr>
              <w:t xml:space="preserve">0,8</w:t>
            </w:r>
          </w:p>
        </w:tc>
        <w:tc>
          <w:tcPr>
            <w:tcW w:w="762" w:type="dxa"/>
            <w:vAlign w:val="center"/>
          </w:tcPr>
          <w:p>
            <w:pPr>
              <w:pStyle w:val="0"/>
              <w:jc w:val="center"/>
            </w:pPr>
            <w:r>
              <w:rPr>
                <w:sz w:val="20"/>
              </w:rPr>
              <w:t xml:space="preserve">1,2</w:t>
            </w:r>
          </w:p>
        </w:tc>
        <w:tc>
          <w:tcPr>
            <w:tcW w:w="893" w:type="dxa"/>
            <w:vAlign w:val="center"/>
          </w:tcPr>
          <w:p>
            <w:pPr>
              <w:pStyle w:val="0"/>
              <w:jc w:val="center"/>
            </w:pPr>
            <w:r>
              <w:rPr>
                <w:sz w:val="20"/>
              </w:rPr>
              <w:t xml:space="preserve">0,6</w:t>
            </w:r>
          </w:p>
        </w:tc>
      </w:tr>
      <w:tr>
        <w:tc>
          <w:tcPr>
            <w:tcW w:w="2485" w:type="dxa"/>
            <w:vAlign w:val="center"/>
          </w:tcPr>
          <w:p>
            <w:pPr>
              <w:pStyle w:val="0"/>
            </w:pPr>
            <w:r>
              <w:rPr>
                <w:sz w:val="20"/>
              </w:rPr>
              <w:t xml:space="preserve">Пыть-Ях</w:t>
            </w:r>
          </w:p>
        </w:tc>
        <w:tc>
          <w:tcPr>
            <w:tcW w:w="824" w:type="dxa"/>
            <w:vAlign w:val="center"/>
          </w:tcPr>
          <w:p>
            <w:pPr>
              <w:pStyle w:val="0"/>
              <w:jc w:val="center"/>
            </w:pPr>
            <w:r>
              <w:rPr>
                <w:sz w:val="20"/>
              </w:rPr>
              <w:t xml:space="preserve">15,2</w:t>
            </w:r>
          </w:p>
        </w:tc>
        <w:tc>
          <w:tcPr>
            <w:tcW w:w="760" w:type="dxa"/>
            <w:vAlign w:val="center"/>
          </w:tcPr>
          <w:p>
            <w:pPr>
              <w:pStyle w:val="0"/>
              <w:jc w:val="center"/>
            </w:pPr>
            <w:r>
              <w:rPr>
                <w:sz w:val="20"/>
              </w:rPr>
              <w:t xml:space="preserve">15</w:t>
            </w:r>
          </w:p>
        </w:tc>
        <w:tc>
          <w:tcPr>
            <w:tcW w:w="760" w:type="dxa"/>
            <w:vAlign w:val="center"/>
          </w:tcPr>
          <w:p>
            <w:pPr>
              <w:pStyle w:val="0"/>
              <w:jc w:val="center"/>
            </w:pPr>
            <w:r>
              <w:rPr>
                <w:sz w:val="20"/>
              </w:rPr>
              <w:t xml:space="preserve">16,4</w:t>
            </w:r>
          </w:p>
        </w:tc>
        <w:tc>
          <w:tcPr>
            <w:tcW w:w="618" w:type="dxa"/>
            <w:vAlign w:val="center"/>
          </w:tcPr>
          <w:p>
            <w:pPr>
              <w:pStyle w:val="0"/>
              <w:jc w:val="center"/>
            </w:pPr>
            <w:r>
              <w:rPr>
                <w:sz w:val="20"/>
              </w:rPr>
              <w:t xml:space="preserve">14,6</w:t>
            </w:r>
          </w:p>
        </w:tc>
        <w:tc>
          <w:tcPr>
            <w:tcW w:w="762" w:type="dxa"/>
            <w:vAlign w:val="center"/>
          </w:tcPr>
          <w:p>
            <w:pPr>
              <w:pStyle w:val="0"/>
              <w:jc w:val="center"/>
            </w:pPr>
            <w:r>
              <w:rPr>
                <w:sz w:val="20"/>
              </w:rPr>
              <w:t xml:space="preserve">11,5</w:t>
            </w:r>
          </w:p>
        </w:tc>
        <w:tc>
          <w:tcPr>
            <w:tcW w:w="618" w:type="dxa"/>
            <w:vAlign w:val="center"/>
          </w:tcPr>
          <w:p>
            <w:pPr>
              <w:pStyle w:val="0"/>
              <w:jc w:val="center"/>
            </w:pPr>
            <w:r>
              <w:rPr>
                <w:sz w:val="20"/>
              </w:rPr>
              <w:t xml:space="preserve">0,9</w:t>
            </w:r>
          </w:p>
        </w:tc>
        <w:tc>
          <w:tcPr>
            <w:tcW w:w="757" w:type="dxa"/>
            <w:vAlign w:val="center"/>
          </w:tcPr>
          <w:p>
            <w:pPr>
              <w:pStyle w:val="0"/>
              <w:jc w:val="center"/>
            </w:pPr>
            <w:r>
              <w:rPr>
                <w:sz w:val="20"/>
              </w:rPr>
              <w:t xml:space="preserve">1</w:t>
            </w:r>
          </w:p>
        </w:tc>
        <w:tc>
          <w:tcPr>
            <w:tcW w:w="760" w:type="dxa"/>
            <w:vAlign w:val="center"/>
          </w:tcPr>
          <w:p>
            <w:pPr>
              <w:pStyle w:val="0"/>
              <w:jc w:val="center"/>
            </w:pPr>
            <w:r>
              <w:rPr>
                <w:sz w:val="20"/>
              </w:rPr>
              <w:t xml:space="preserve">1,1</w:t>
            </w:r>
          </w:p>
        </w:tc>
        <w:tc>
          <w:tcPr>
            <w:tcW w:w="762" w:type="dxa"/>
            <w:vAlign w:val="center"/>
          </w:tcPr>
          <w:p>
            <w:pPr>
              <w:pStyle w:val="0"/>
              <w:jc w:val="center"/>
            </w:pPr>
            <w:r>
              <w:rPr>
                <w:sz w:val="20"/>
              </w:rPr>
              <w:t xml:space="preserve">1</w:t>
            </w:r>
          </w:p>
        </w:tc>
        <w:tc>
          <w:tcPr>
            <w:tcW w:w="893" w:type="dxa"/>
            <w:vAlign w:val="center"/>
          </w:tcPr>
          <w:p>
            <w:pPr>
              <w:pStyle w:val="0"/>
              <w:jc w:val="center"/>
            </w:pPr>
            <w:r>
              <w:rPr>
                <w:sz w:val="20"/>
              </w:rPr>
              <w:t xml:space="preserve">0,4</w:t>
            </w:r>
          </w:p>
        </w:tc>
      </w:tr>
      <w:tr>
        <w:tc>
          <w:tcPr>
            <w:tcW w:w="2485" w:type="dxa"/>
            <w:vAlign w:val="center"/>
          </w:tcPr>
          <w:p>
            <w:pPr>
              <w:pStyle w:val="0"/>
            </w:pPr>
            <w:r>
              <w:rPr>
                <w:sz w:val="20"/>
              </w:rPr>
              <w:t xml:space="preserve">Когалым</w:t>
            </w:r>
          </w:p>
        </w:tc>
        <w:tc>
          <w:tcPr>
            <w:tcW w:w="824" w:type="dxa"/>
            <w:vAlign w:val="center"/>
          </w:tcPr>
          <w:p>
            <w:pPr>
              <w:pStyle w:val="0"/>
              <w:jc w:val="center"/>
            </w:pPr>
            <w:r>
              <w:rPr>
                <w:sz w:val="20"/>
              </w:rPr>
              <w:t xml:space="preserve">21,1</w:t>
            </w:r>
          </w:p>
        </w:tc>
        <w:tc>
          <w:tcPr>
            <w:tcW w:w="760" w:type="dxa"/>
            <w:vAlign w:val="center"/>
          </w:tcPr>
          <w:p>
            <w:pPr>
              <w:pStyle w:val="0"/>
              <w:jc w:val="center"/>
            </w:pPr>
            <w:r>
              <w:rPr>
                <w:sz w:val="20"/>
              </w:rPr>
              <w:t xml:space="preserve">13,8</w:t>
            </w:r>
          </w:p>
        </w:tc>
        <w:tc>
          <w:tcPr>
            <w:tcW w:w="760" w:type="dxa"/>
            <w:vAlign w:val="center"/>
          </w:tcPr>
          <w:p>
            <w:pPr>
              <w:pStyle w:val="0"/>
              <w:jc w:val="center"/>
            </w:pPr>
            <w:r>
              <w:rPr>
                <w:sz w:val="20"/>
              </w:rPr>
              <w:t xml:space="preserve">11,5</w:t>
            </w:r>
          </w:p>
        </w:tc>
        <w:tc>
          <w:tcPr>
            <w:tcW w:w="618" w:type="dxa"/>
            <w:vAlign w:val="center"/>
          </w:tcPr>
          <w:p>
            <w:pPr>
              <w:pStyle w:val="0"/>
              <w:jc w:val="center"/>
            </w:pPr>
            <w:r>
              <w:rPr>
                <w:sz w:val="20"/>
              </w:rPr>
              <w:t xml:space="preserve">15,1</w:t>
            </w:r>
          </w:p>
        </w:tc>
        <w:tc>
          <w:tcPr>
            <w:tcW w:w="762" w:type="dxa"/>
            <w:vAlign w:val="center"/>
          </w:tcPr>
          <w:p>
            <w:pPr>
              <w:pStyle w:val="0"/>
              <w:jc w:val="center"/>
            </w:pPr>
            <w:r>
              <w:rPr>
                <w:sz w:val="20"/>
              </w:rPr>
              <w:t xml:space="preserve">7,5</w:t>
            </w:r>
          </w:p>
        </w:tc>
        <w:tc>
          <w:tcPr>
            <w:tcW w:w="618" w:type="dxa"/>
            <w:vAlign w:val="center"/>
          </w:tcPr>
          <w:p>
            <w:pPr>
              <w:pStyle w:val="0"/>
              <w:jc w:val="center"/>
            </w:pPr>
            <w:r>
              <w:rPr>
                <w:sz w:val="20"/>
              </w:rPr>
              <w:t xml:space="preserve">1,1</w:t>
            </w:r>
          </w:p>
        </w:tc>
        <w:tc>
          <w:tcPr>
            <w:tcW w:w="757" w:type="dxa"/>
            <w:vAlign w:val="center"/>
          </w:tcPr>
          <w:p>
            <w:pPr>
              <w:pStyle w:val="0"/>
              <w:jc w:val="center"/>
            </w:pPr>
            <w:r>
              <w:rPr>
                <w:sz w:val="20"/>
              </w:rPr>
              <w:t xml:space="preserve">0,8</w:t>
            </w:r>
          </w:p>
        </w:tc>
        <w:tc>
          <w:tcPr>
            <w:tcW w:w="760" w:type="dxa"/>
            <w:vAlign w:val="center"/>
          </w:tcPr>
          <w:p>
            <w:pPr>
              <w:pStyle w:val="0"/>
              <w:jc w:val="center"/>
            </w:pPr>
            <w:r>
              <w:rPr>
                <w:sz w:val="20"/>
              </w:rPr>
              <w:t xml:space="preserve">0,7</w:t>
            </w:r>
          </w:p>
        </w:tc>
        <w:tc>
          <w:tcPr>
            <w:tcW w:w="762" w:type="dxa"/>
            <w:vAlign w:val="center"/>
          </w:tcPr>
          <w:p>
            <w:pPr>
              <w:pStyle w:val="0"/>
              <w:jc w:val="center"/>
            </w:pPr>
            <w:r>
              <w:rPr>
                <w:sz w:val="20"/>
              </w:rPr>
              <w:t xml:space="preserve">0,4</w:t>
            </w:r>
          </w:p>
        </w:tc>
        <w:tc>
          <w:tcPr>
            <w:tcW w:w="893" w:type="dxa"/>
            <w:vAlign w:val="center"/>
          </w:tcPr>
          <w:p>
            <w:pPr>
              <w:pStyle w:val="0"/>
              <w:jc w:val="center"/>
            </w:pPr>
            <w:r>
              <w:rPr>
                <w:sz w:val="20"/>
              </w:rPr>
              <w:t xml:space="preserve">0,2</w:t>
            </w:r>
          </w:p>
        </w:tc>
      </w:tr>
      <w:tr>
        <w:tc>
          <w:tcPr>
            <w:tcW w:w="2485" w:type="dxa"/>
            <w:vAlign w:val="center"/>
          </w:tcPr>
          <w:p>
            <w:pPr>
              <w:pStyle w:val="0"/>
            </w:pPr>
            <w:r>
              <w:rPr>
                <w:sz w:val="20"/>
              </w:rPr>
              <w:t xml:space="preserve">Нижневартовск</w:t>
            </w:r>
          </w:p>
        </w:tc>
        <w:tc>
          <w:tcPr>
            <w:tcW w:w="824" w:type="dxa"/>
            <w:vAlign w:val="center"/>
          </w:tcPr>
          <w:p>
            <w:pPr>
              <w:pStyle w:val="0"/>
              <w:jc w:val="center"/>
            </w:pPr>
            <w:r>
              <w:rPr>
                <w:sz w:val="20"/>
              </w:rPr>
              <w:t xml:space="preserve">22,3</w:t>
            </w:r>
          </w:p>
        </w:tc>
        <w:tc>
          <w:tcPr>
            <w:tcW w:w="760" w:type="dxa"/>
            <w:vAlign w:val="center"/>
          </w:tcPr>
          <w:p>
            <w:pPr>
              <w:pStyle w:val="0"/>
              <w:jc w:val="center"/>
            </w:pPr>
            <w:r>
              <w:rPr>
                <w:sz w:val="20"/>
              </w:rPr>
              <w:t xml:space="preserve">23,4</w:t>
            </w:r>
          </w:p>
        </w:tc>
        <w:tc>
          <w:tcPr>
            <w:tcW w:w="760" w:type="dxa"/>
            <w:vAlign w:val="center"/>
          </w:tcPr>
          <w:p>
            <w:pPr>
              <w:pStyle w:val="0"/>
              <w:jc w:val="center"/>
            </w:pPr>
            <w:r>
              <w:rPr>
                <w:sz w:val="20"/>
              </w:rPr>
              <w:t xml:space="preserve">23,2</w:t>
            </w:r>
          </w:p>
        </w:tc>
        <w:tc>
          <w:tcPr>
            <w:tcW w:w="618" w:type="dxa"/>
            <w:vAlign w:val="center"/>
          </w:tcPr>
          <w:p>
            <w:pPr>
              <w:pStyle w:val="0"/>
              <w:jc w:val="center"/>
            </w:pPr>
            <w:r>
              <w:rPr>
                <w:sz w:val="20"/>
              </w:rPr>
              <w:t xml:space="preserve">26,5</w:t>
            </w:r>
          </w:p>
        </w:tc>
        <w:tc>
          <w:tcPr>
            <w:tcW w:w="762" w:type="dxa"/>
            <w:vAlign w:val="center"/>
          </w:tcPr>
          <w:p>
            <w:pPr>
              <w:pStyle w:val="0"/>
              <w:jc w:val="center"/>
            </w:pPr>
            <w:r>
              <w:rPr>
                <w:sz w:val="20"/>
              </w:rPr>
              <w:t xml:space="preserve">17,4</w:t>
            </w:r>
          </w:p>
        </w:tc>
        <w:tc>
          <w:tcPr>
            <w:tcW w:w="618" w:type="dxa"/>
            <w:vAlign w:val="center"/>
          </w:tcPr>
          <w:p>
            <w:pPr>
              <w:pStyle w:val="0"/>
              <w:jc w:val="center"/>
            </w:pPr>
            <w:r>
              <w:rPr>
                <w:sz w:val="20"/>
              </w:rPr>
              <w:t xml:space="preserve">0,9</w:t>
            </w:r>
          </w:p>
        </w:tc>
        <w:tc>
          <w:tcPr>
            <w:tcW w:w="757" w:type="dxa"/>
            <w:vAlign w:val="center"/>
          </w:tcPr>
          <w:p>
            <w:pPr>
              <w:pStyle w:val="0"/>
              <w:jc w:val="center"/>
            </w:pPr>
            <w:r>
              <w:rPr>
                <w:sz w:val="20"/>
              </w:rPr>
              <w:t xml:space="preserve">0,9</w:t>
            </w:r>
          </w:p>
        </w:tc>
        <w:tc>
          <w:tcPr>
            <w:tcW w:w="760" w:type="dxa"/>
            <w:vAlign w:val="center"/>
          </w:tcPr>
          <w:p>
            <w:pPr>
              <w:pStyle w:val="0"/>
              <w:jc w:val="center"/>
            </w:pPr>
            <w:r>
              <w:rPr>
                <w:sz w:val="20"/>
              </w:rPr>
              <w:t xml:space="preserve">1,1</w:t>
            </w:r>
          </w:p>
        </w:tc>
        <w:tc>
          <w:tcPr>
            <w:tcW w:w="762" w:type="dxa"/>
            <w:vAlign w:val="center"/>
          </w:tcPr>
          <w:p>
            <w:pPr>
              <w:pStyle w:val="0"/>
              <w:jc w:val="center"/>
            </w:pPr>
            <w:r>
              <w:rPr>
                <w:sz w:val="20"/>
              </w:rPr>
              <w:t xml:space="preserve">1</w:t>
            </w:r>
          </w:p>
        </w:tc>
        <w:tc>
          <w:tcPr>
            <w:tcW w:w="893" w:type="dxa"/>
            <w:vAlign w:val="center"/>
          </w:tcPr>
          <w:p>
            <w:pPr>
              <w:pStyle w:val="0"/>
              <w:jc w:val="center"/>
            </w:pPr>
            <w:r>
              <w:rPr>
                <w:sz w:val="20"/>
              </w:rPr>
              <w:t xml:space="preserve">0,4</w:t>
            </w:r>
          </w:p>
        </w:tc>
      </w:tr>
      <w:tr>
        <w:tc>
          <w:tcPr>
            <w:tcW w:w="2485" w:type="dxa"/>
            <w:vAlign w:val="center"/>
          </w:tcPr>
          <w:p>
            <w:pPr>
              <w:pStyle w:val="0"/>
            </w:pPr>
            <w:r>
              <w:rPr>
                <w:sz w:val="20"/>
              </w:rPr>
              <w:t xml:space="preserve">Нижневартовский</w:t>
            </w:r>
          </w:p>
        </w:tc>
        <w:tc>
          <w:tcPr>
            <w:tcW w:w="824" w:type="dxa"/>
            <w:vAlign w:val="center"/>
          </w:tcPr>
          <w:p>
            <w:pPr>
              <w:pStyle w:val="0"/>
              <w:jc w:val="center"/>
            </w:pPr>
            <w:r>
              <w:rPr>
                <w:sz w:val="20"/>
              </w:rPr>
              <w:t xml:space="preserve">28,6</w:t>
            </w:r>
          </w:p>
        </w:tc>
        <w:tc>
          <w:tcPr>
            <w:tcW w:w="760" w:type="dxa"/>
            <w:vAlign w:val="center"/>
          </w:tcPr>
          <w:p>
            <w:pPr>
              <w:pStyle w:val="0"/>
              <w:jc w:val="center"/>
            </w:pPr>
            <w:r>
              <w:rPr>
                <w:sz w:val="20"/>
              </w:rPr>
              <w:t xml:space="preserve">22,2</w:t>
            </w:r>
          </w:p>
        </w:tc>
        <w:tc>
          <w:tcPr>
            <w:tcW w:w="760" w:type="dxa"/>
            <w:vAlign w:val="center"/>
          </w:tcPr>
          <w:p>
            <w:pPr>
              <w:pStyle w:val="0"/>
              <w:jc w:val="center"/>
            </w:pPr>
            <w:r>
              <w:rPr>
                <w:sz w:val="20"/>
              </w:rPr>
              <w:t xml:space="preserve">24,1</w:t>
            </w:r>
          </w:p>
        </w:tc>
        <w:tc>
          <w:tcPr>
            <w:tcW w:w="618" w:type="dxa"/>
            <w:vAlign w:val="center"/>
          </w:tcPr>
          <w:p>
            <w:pPr>
              <w:pStyle w:val="0"/>
              <w:jc w:val="center"/>
            </w:pPr>
            <w:r>
              <w:rPr>
                <w:sz w:val="20"/>
              </w:rPr>
              <w:t xml:space="preserve">19,8</w:t>
            </w:r>
          </w:p>
        </w:tc>
        <w:tc>
          <w:tcPr>
            <w:tcW w:w="762" w:type="dxa"/>
            <w:vAlign w:val="center"/>
          </w:tcPr>
          <w:p>
            <w:pPr>
              <w:pStyle w:val="0"/>
              <w:jc w:val="center"/>
            </w:pPr>
            <w:r>
              <w:rPr>
                <w:sz w:val="20"/>
              </w:rPr>
              <w:t xml:space="preserve">25,9</w:t>
            </w:r>
          </w:p>
        </w:tc>
        <w:tc>
          <w:tcPr>
            <w:tcW w:w="618" w:type="dxa"/>
            <w:vAlign w:val="center"/>
          </w:tcPr>
          <w:p>
            <w:pPr>
              <w:pStyle w:val="0"/>
              <w:jc w:val="center"/>
            </w:pPr>
            <w:r>
              <w:rPr>
                <w:sz w:val="20"/>
              </w:rPr>
              <w:t xml:space="preserve">1,3</w:t>
            </w:r>
          </w:p>
        </w:tc>
        <w:tc>
          <w:tcPr>
            <w:tcW w:w="757" w:type="dxa"/>
            <w:vAlign w:val="center"/>
          </w:tcPr>
          <w:p>
            <w:pPr>
              <w:pStyle w:val="0"/>
              <w:jc w:val="center"/>
            </w:pPr>
            <w:r>
              <w:rPr>
                <w:sz w:val="20"/>
              </w:rPr>
              <w:t xml:space="preserve">0,9</w:t>
            </w:r>
          </w:p>
        </w:tc>
        <w:tc>
          <w:tcPr>
            <w:tcW w:w="760" w:type="dxa"/>
            <w:vAlign w:val="center"/>
          </w:tcPr>
          <w:p>
            <w:pPr>
              <w:pStyle w:val="0"/>
              <w:jc w:val="center"/>
            </w:pPr>
            <w:r>
              <w:rPr>
                <w:sz w:val="20"/>
              </w:rPr>
              <w:t xml:space="preserve">1</w:t>
            </w:r>
          </w:p>
        </w:tc>
        <w:tc>
          <w:tcPr>
            <w:tcW w:w="762" w:type="dxa"/>
            <w:vAlign w:val="center"/>
          </w:tcPr>
          <w:p>
            <w:pPr>
              <w:pStyle w:val="0"/>
              <w:jc w:val="center"/>
            </w:pPr>
            <w:r>
              <w:rPr>
                <w:sz w:val="20"/>
              </w:rPr>
              <w:t xml:space="preserve">0,6</w:t>
            </w:r>
          </w:p>
        </w:tc>
        <w:tc>
          <w:tcPr>
            <w:tcW w:w="893" w:type="dxa"/>
            <w:vAlign w:val="center"/>
          </w:tcPr>
          <w:p>
            <w:pPr>
              <w:pStyle w:val="0"/>
              <w:jc w:val="center"/>
            </w:pPr>
            <w:r>
              <w:rPr>
                <w:sz w:val="20"/>
              </w:rPr>
              <w:t xml:space="preserve">0,4</w:t>
            </w:r>
          </w:p>
        </w:tc>
      </w:tr>
      <w:tr>
        <w:tc>
          <w:tcPr>
            <w:tcW w:w="2485" w:type="dxa"/>
            <w:vAlign w:val="center"/>
          </w:tcPr>
          <w:p>
            <w:pPr>
              <w:pStyle w:val="0"/>
            </w:pPr>
            <w:r>
              <w:rPr>
                <w:sz w:val="20"/>
              </w:rPr>
              <w:t xml:space="preserve">Мегион</w:t>
            </w:r>
          </w:p>
        </w:tc>
        <w:tc>
          <w:tcPr>
            <w:tcW w:w="824" w:type="dxa"/>
            <w:vAlign w:val="center"/>
          </w:tcPr>
          <w:p>
            <w:pPr>
              <w:pStyle w:val="0"/>
              <w:jc w:val="center"/>
            </w:pPr>
            <w:r>
              <w:rPr>
                <w:sz w:val="20"/>
              </w:rPr>
              <w:t xml:space="preserve">32,1</w:t>
            </w:r>
          </w:p>
        </w:tc>
        <w:tc>
          <w:tcPr>
            <w:tcW w:w="760" w:type="dxa"/>
            <w:vAlign w:val="center"/>
          </w:tcPr>
          <w:p>
            <w:pPr>
              <w:pStyle w:val="0"/>
              <w:jc w:val="center"/>
            </w:pPr>
            <w:r>
              <w:rPr>
                <w:sz w:val="20"/>
              </w:rPr>
              <w:t xml:space="preserve">21,1</w:t>
            </w:r>
          </w:p>
        </w:tc>
        <w:tc>
          <w:tcPr>
            <w:tcW w:w="760" w:type="dxa"/>
            <w:vAlign w:val="center"/>
          </w:tcPr>
          <w:p>
            <w:pPr>
              <w:pStyle w:val="0"/>
              <w:jc w:val="center"/>
            </w:pPr>
            <w:r>
              <w:rPr>
                <w:sz w:val="20"/>
              </w:rPr>
              <w:t xml:space="preserve">26,3</w:t>
            </w:r>
          </w:p>
        </w:tc>
        <w:tc>
          <w:tcPr>
            <w:tcW w:w="618" w:type="dxa"/>
            <w:vAlign w:val="center"/>
          </w:tcPr>
          <w:p>
            <w:pPr>
              <w:pStyle w:val="0"/>
              <w:jc w:val="center"/>
            </w:pPr>
            <w:r>
              <w:rPr>
                <w:sz w:val="20"/>
              </w:rPr>
              <w:t xml:space="preserve">22,9</w:t>
            </w:r>
          </w:p>
        </w:tc>
        <w:tc>
          <w:tcPr>
            <w:tcW w:w="762" w:type="dxa"/>
            <w:vAlign w:val="center"/>
          </w:tcPr>
          <w:p>
            <w:pPr>
              <w:pStyle w:val="0"/>
              <w:jc w:val="center"/>
            </w:pPr>
            <w:r>
              <w:rPr>
                <w:sz w:val="20"/>
              </w:rPr>
              <w:t xml:space="preserve">12,7</w:t>
            </w:r>
          </w:p>
        </w:tc>
        <w:tc>
          <w:tcPr>
            <w:tcW w:w="618" w:type="dxa"/>
            <w:vAlign w:val="center"/>
          </w:tcPr>
          <w:p>
            <w:pPr>
              <w:pStyle w:val="0"/>
              <w:jc w:val="center"/>
            </w:pPr>
            <w:r>
              <w:rPr>
                <w:sz w:val="20"/>
              </w:rPr>
              <w:t xml:space="preserve">1,7</w:t>
            </w:r>
          </w:p>
        </w:tc>
        <w:tc>
          <w:tcPr>
            <w:tcW w:w="757" w:type="dxa"/>
            <w:vAlign w:val="center"/>
          </w:tcPr>
          <w:p>
            <w:pPr>
              <w:pStyle w:val="0"/>
              <w:jc w:val="center"/>
            </w:pPr>
            <w:r>
              <w:rPr>
                <w:sz w:val="20"/>
              </w:rPr>
              <w:t xml:space="preserve">1,4</w:t>
            </w:r>
          </w:p>
        </w:tc>
        <w:tc>
          <w:tcPr>
            <w:tcW w:w="760" w:type="dxa"/>
            <w:vAlign w:val="center"/>
          </w:tcPr>
          <w:p>
            <w:pPr>
              <w:pStyle w:val="0"/>
              <w:jc w:val="center"/>
            </w:pPr>
            <w:r>
              <w:rPr>
                <w:sz w:val="20"/>
              </w:rPr>
              <w:t xml:space="preserve">1,4</w:t>
            </w:r>
          </w:p>
        </w:tc>
        <w:tc>
          <w:tcPr>
            <w:tcW w:w="762" w:type="dxa"/>
            <w:vAlign w:val="center"/>
          </w:tcPr>
          <w:p>
            <w:pPr>
              <w:pStyle w:val="0"/>
              <w:jc w:val="center"/>
            </w:pPr>
            <w:r>
              <w:rPr>
                <w:sz w:val="20"/>
              </w:rPr>
              <w:t xml:space="preserve">0,6</w:t>
            </w:r>
          </w:p>
        </w:tc>
        <w:tc>
          <w:tcPr>
            <w:tcW w:w="893" w:type="dxa"/>
            <w:vAlign w:val="center"/>
          </w:tcPr>
          <w:p>
            <w:pPr>
              <w:pStyle w:val="0"/>
              <w:jc w:val="center"/>
            </w:pPr>
            <w:r>
              <w:rPr>
                <w:sz w:val="20"/>
              </w:rPr>
              <w:t xml:space="preserve">0,3</w:t>
            </w:r>
          </w:p>
        </w:tc>
      </w:tr>
      <w:tr>
        <w:tc>
          <w:tcPr>
            <w:tcW w:w="2485" w:type="dxa"/>
            <w:vAlign w:val="center"/>
          </w:tcPr>
          <w:p>
            <w:pPr>
              <w:pStyle w:val="0"/>
            </w:pPr>
            <w:r>
              <w:rPr>
                <w:sz w:val="20"/>
              </w:rPr>
              <w:t xml:space="preserve">Радужный</w:t>
            </w:r>
          </w:p>
        </w:tc>
        <w:tc>
          <w:tcPr>
            <w:tcW w:w="824" w:type="dxa"/>
            <w:vAlign w:val="center"/>
          </w:tcPr>
          <w:p>
            <w:pPr>
              <w:pStyle w:val="0"/>
              <w:jc w:val="center"/>
            </w:pPr>
            <w:r>
              <w:rPr>
                <w:sz w:val="20"/>
              </w:rPr>
              <w:t xml:space="preserve">14,5</w:t>
            </w:r>
          </w:p>
        </w:tc>
        <w:tc>
          <w:tcPr>
            <w:tcW w:w="760" w:type="dxa"/>
            <w:vAlign w:val="center"/>
          </w:tcPr>
          <w:p>
            <w:pPr>
              <w:pStyle w:val="0"/>
              <w:jc w:val="center"/>
            </w:pPr>
            <w:r>
              <w:rPr>
                <w:sz w:val="20"/>
              </w:rPr>
              <w:t xml:space="preserve">16,2</w:t>
            </w:r>
          </w:p>
        </w:tc>
        <w:tc>
          <w:tcPr>
            <w:tcW w:w="760" w:type="dxa"/>
            <w:vAlign w:val="center"/>
          </w:tcPr>
          <w:p>
            <w:pPr>
              <w:pStyle w:val="0"/>
              <w:jc w:val="center"/>
            </w:pPr>
            <w:r>
              <w:rPr>
                <w:sz w:val="20"/>
              </w:rPr>
              <w:t xml:space="preserve">14,6</w:t>
            </w:r>
          </w:p>
        </w:tc>
        <w:tc>
          <w:tcPr>
            <w:tcW w:w="618" w:type="dxa"/>
            <w:vAlign w:val="center"/>
          </w:tcPr>
          <w:p>
            <w:pPr>
              <w:pStyle w:val="0"/>
              <w:jc w:val="center"/>
            </w:pPr>
            <w:r>
              <w:rPr>
                <w:sz w:val="20"/>
              </w:rPr>
              <w:t xml:space="preserve">12,9</w:t>
            </w:r>
          </w:p>
        </w:tc>
        <w:tc>
          <w:tcPr>
            <w:tcW w:w="762" w:type="dxa"/>
            <w:vAlign w:val="center"/>
          </w:tcPr>
          <w:p>
            <w:pPr>
              <w:pStyle w:val="0"/>
              <w:jc w:val="center"/>
            </w:pPr>
            <w:r>
              <w:rPr>
                <w:sz w:val="20"/>
              </w:rPr>
              <w:t xml:space="preserve">17,6</w:t>
            </w:r>
          </w:p>
        </w:tc>
        <w:tc>
          <w:tcPr>
            <w:tcW w:w="618" w:type="dxa"/>
            <w:vAlign w:val="center"/>
          </w:tcPr>
          <w:p>
            <w:pPr>
              <w:pStyle w:val="0"/>
              <w:jc w:val="center"/>
            </w:pPr>
            <w:r>
              <w:rPr>
                <w:sz w:val="20"/>
              </w:rPr>
              <w:t xml:space="preserve">0,9</w:t>
            </w:r>
          </w:p>
        </w:tc>
        <w:tc>
          <w:tcPr>
            <w:tcW w:w="757" w:type="dxa"/>
            <w:vAlign w:val="center"/>
          </w:tcPr>
          <w:p>
            <w:pPr>
              <w:pStyle w:val="0"/>
              <w:jc w:val="center"/>
            </w:pPr>
            <w:r>
              <w:rPr>
                <w:sz w:val="20"/>
              </w:rPr>
              <w:t xml:space="preserve">0,9</w:t>
            </w:r>
          </w:p>
        </w:tc>
        <w:tc>
          <w:tcPr>
            <w:tcW w:w="760" w:type="dxa"/>
            <w:vAlign w:val="center"/>
          </w:tcPr>
          <w:p>
            <w:pPr>
              <w:pStyle w:val="0"/>
              <w:jc w:val="center"/>
            </w:pPr>
            <w:r>
              <w:rPr>
                <w:sz w:val="20"/>
              </w:rPr>
              <w:t xml:space="preserve">0,7</w:t>
            </w:r>
          </w:p>
        </w:tc>
        <w:tc>
          <w:tcPr>
            <w:tcW w:w="762" w:type="dxa"/>
            <w:vAlign w:val="center"/>
          </w:tcPr>
          <w:p>
            <w:pPr>
              <w:pStyle w:val="0"/>
              <w:jc w:val="center"/>
            </w:pPr>
            <w:r>
              <w:rPr>
                <w:sz w:val="20"/>
              </w:rPr>
              <w:t xml:space="preserve">0,4</w:t>
            </w:r>
          </w:p>
        </w:tc>
        <w:tc>
          <w:tcPr>
            <w:tcW w:w="893" w:type="dxa"/>
            <w:vAlign w:val="center"/>
          </w:tcPr>
          <w:p>
            <w:pPr>
              <w:pStyle w:val="0"/>
              <w:jc w:val="center"/>
            </w:pPr>
            <w:r>
              <w:rPr>
                <w:sz w:val="20"/>
              </w:rPr>
              <w:t xml:space="preserve">0,4</w:t>
            </w:r>
          </w:p>
        </w:tc>
      </w:tr>
      <w:tr>
        <w:tc>
          <w:tcPr>
            <w:tcW w:w="2485" w:type="dxa"/>
            <w:vAlign w:val="center"/>
          </w:tcPr>
          <w:p>
            <w:pPr>
              <w:pStyle w:val="0"/>
            </w:pPr>
            <w:r>
              <w:rPr>
                <w:sz w:val="20"/>
              </w:rPr>
              <w:t xml:space="preserve">Лангепас</w:t>
            </w:r>
          </w:p>
        </w:tc>
        <w:tc>
          <w:tcPr>
            <w:tcW w:w="824" w:type="dxa"/>
            <w:vAlign w:val="center"/>
          </w:tcPr>
          <w:p>
            <w:pPr>
              <w:pStyle w:val="0"/>
              <w:jc w:val="center"/>
            </w:pPr>
            <w:r>
              <w:rPr>
                <w:sz w:val="20"/>
              </w:rPr>
              <w:t xml:space="preserve">18,1</w:t>
            </w:r>
          </w:p>
        </w:tc>
        <w:tc>
          <w:tcPr>
            <w:tcW w:w="760" w:type="dxa"/>
            <w:vAlign w:val="center"/>
          </w:tcPr>
          <w:p>
            <w:pPr>
              <w:pStyle w:val="0"/>
              <w:jc w:val="center"/>
            </w:pPr>
            <w:r>
              <w:rPr>
                <w:sz w:val="20"/>
              </w:rPr>
              <w:t xml:space="preserve">21,2</w:t>
            </w:r>
          </w:p>
        </w:tc>
        <w:tc>
          <w:tcPr>
            <w:tcW w:w="760" w:type="dxa"/>
            <w:vAlign w:val="center"/>
          </w:tcPr>
          <w:p>
            <w:pPr>
              <w:pStyle w:val="0"/>
              <w:jc w:val="center"/>
            </w:pPr>
            <w:r>
              <w:rPr>
                <w:sz w:val="20"/>
              </w:rPr>
              <w:t xml:space="preserve">22,2</w:t>
            </w:r>
          </w:p>
        </w:tc>
        <w:tc>
          <w:tcPr>
            <w:tcW w:w="618" w:type="dxa"/>
            <w:vAlign w:val="center"/>
          </w:tcPr>
          <w:p>
            <w:pPr>
              <w:pStyle w:val="0"/>
              <w:jc w:val="center"/>
            </w:pPr>
            <w:r>
              <w:rPr>
                <w:sz w:val="20"/>
              </w:rPr>
              <w:t xml:space="preserve">16,9</w:t>
            </w:r>
          </w:p>
        </w:tc>
        <w:tc>
          <w:tcPr>
            <w:tcW w:w="762" w:type="dxa"/>
            <w:vAlign w:val="center"/>
          </w:tcPr>
          <w:p>
            <w:pPr>
              <w:pStyle w:val="0"/>
              <w:jc w:val="center"/>
            </w:pPr>
            <w:r>
              <w:rPr>
                <w:sz w:val="20"/>
              </w:rPr>
              <w:t xml:space="preserve">10,5</w:t>
            </w:r>
          </w:p>
        </w:tc>
        <w:tc>
          <w:tcPr>
            <w:tcW w:w="618" w:type="dxa"/>
            <w:vAlign w:val="center"/>
          </w:tcPr>
          <w:p>
            <w:pPr>
              <w:pStyle w:val="0"/>
              <w:jc w:val="center"/>
            </w:pPr>
            <w:r>
              <w:rPr>
                <w:sz w:val="20"/>
              </w:rPr>
              <w:t xml:space="preserve">1,5</w:t>
            </w:r>
          </w:p>
        </w:tc>
        <w:tc>
          <w:tcPr>
            <w:tcW w:w="757" w:type="dxa"/>
            <w:vAlign w:val="center"/>
          </w:tcPr>
          <w:p>
            <w:pPr>
              <w:pStyle w:val="0"/>
              <w:jc w:val="center"/>
            </w:pPr>
            <w:r>
              <w:rPr>
                <w:sz w:val="20"/>
              </w:rPr>
              <w:t xml:space="preserve">0,9</w:t>
            </w:r>
          </w:p>
        </w:tc>
        <w:tc>
          <w:tcPr>
            <w:tcW w:w="760" w:type="dxa"/>
            <w:vAlign w:val="center"/>
          </w:tcPr>
          <w:p>
            <w:pPr>
              <w:pStyle w:val="0"/>
              <w:jc w:val="center"/>
            </w:pPr>
            <w:r>
              <w:rPr>
                <w:sz w:val="20"/>
              </w:rPr>
              <w:t xml:space="preserve">2,2</w:t>
            </w:r>
          </w:p>
        </w:tc>
        <w:tc>
          <w:tcPr>
            <w:tcW w:w="762" w:type="dxa"/>
            <w:vAlign w:val="center"/>
          </w:tcPr>
          <w:p>
            <w:pPr>
              <w:pStyle w:val="0"/>
              <w:jc w:val="center"/>
            </w:pPr>
            <w:r>
              <w:rPr>
                <w:sz w:val="20"/>
              </w:rPr>
              <w:t xml:space="preserve">0,7</w:t>
            </w:r>
          </w:p>
        </w:tc>
        <w:tc>
          <w:tcPr>
            <w:tcW w:w="893" w:type="dxa"/>
            <w:vAlign w:val="center"/>
          </w:tcPr>
          <w:p>
            <w:pPr>
              <w:pStyle w:val="0"/>
              <w:jc w:val="center"/>
            </w:pPr>
            <w:r>
              <w:rPr>
                <w:sz w:val="20"/>
              </w:rPr>
              <w:t xml:space="preserve">0,4</w:t>
            </w:r>
          </w:p>
        </w:tc>
      </w:tr>
      <w:tr>
        <w:tc>
          <w:tcPr>
            <w:tcW w:w="2485" w:type="dxa"/>
            <w:vAlign w:val="center"/>
          </w:tcPr>
          <w:p>
            <w:pPr>
              <w:pStyle w:val="0"/>
            </w:pPr>
            <w:r>
              <w:rPr>
                <w:sz w:val="20"/>
              </w:rPr>
              <w:t xml:space="preserve">Покачи</w:t>
            </w:r>
          </w:p>
        </w:tc>
        <w:tc>
          <w:tcPr>
            <w:tcW w:w="824" w:type="dxa"/>
            <w:vAlign w:val="center"/>
          </w:tcPr>
          <w:p>
            <w:pPr>
              <w:pStyle w:val="0"/>
              <w:jc w:val="center"/>
            </w:pPr>
            <w:r>
              <w:rPr>
                <w:sz w:val="20"/>
              </w:rPr>
              <w:t xml:space="preserve">14,3</w:t>
            </w:r>
          </w:p>
        </w:tc>
        <w:tc>
          <w:tcPr>
            <w:tcW w:w="760" w:type="dxa"/>
            <w:vAlign w:val="center"/>
          </w:tcPr>
          <w:p>
            <w:pPr>
              <w:pStyle w:val="0"/>
              <w:jc w:val="center"/>
            </w:pPr>
            <w:r>
              <w:rPr>
                <w:sz w:val="20"/>
              </w:rPr>
              <w:t xml:space="preserve">14,3</w:t>
            </w:r>
          </w:p>
        </w:tc>
        <w:tc>
          <w:tcPr>
            <w:tcW w:w="760" w:type="dxa"/>
            <w:vAlign w:val="center"/>
          </w:tcPr>
          <w:p>
            <w:pPr>
              <w:pStyle w:val="0"/>
              <w:jc w:val="center"/>
            </w:pPr>
            <w:r>
              <w:rPr>
                <w:sz w:val="20"/>
              </w:rPr>
              <w:t xml:space="preserve">17,9</w:t>
            </w:r>
          </w:p>
        </w:tc>
        <w:tc>
          <w:tcPr>
            <w:tcW w:w="618" w:type="dxa"/>
            <w:vAlign w:val="center"/>
          </w:tcPr>
          <w:p>
            <w:pPr>
              <w:pStyle w:val="0"/>
              <w:jc w:val="center"/>
            </w:pPr>
            <w:r>
              <w:rPr>
                <w:sz w:val="20"/>
              </w:rPr>
              <w:t xml:space="preserve">15,6</w:t>
            </w:r>
          </w:p>
        </w:tc>
        <w:tc>
          <w:tcPr>
            <w:tcW w:w="762" w:type="dxa"/>
            <w:vAlign w:val="center"/>
          </w:tcPr>
          <w:p>
            <w:pPr>
              <w:pStyle w:val="0"/>
              <w:jc w:val="center"/>
            </w:pPr>
            <w:r>
              <w:rPr>
                <w:sz w:val="20"/>
              </w:rPr>
              <w:t xml:space="preserve">22,3</w:t>
            </w:r>
          </w:p>
        </w:tc>
        <w:tc>
          <w:tcPr>
            <w:tcW w:w="618" w:type="dxa"/>
            <w:vAlign w:val="center"/>
          </w:tcPr>
          <w:p>
            <w:pPr>
              <w:pStyle w:val="0"/>
              <w:jc w:val="center"/>
            </w:pPr>
            <w:r>
              <w:rPr>
                <w:sz w:val="20"/>
              </w:rPr>
              <w:t xml:space="preserve">1</w:t>
            </w:r>
          </w:p>
        </w:tc>
        <w:tc>
          <w:tcPr>
            <w:tcW w:w="757" w:type="dxa"/>
            <w:vAlign w:val="center"/>
          </w:tcPr>
          <w:p>
            <w:pPr>
              <w:pStyle w:val="0"/>
              <w:jc w:val="center"/>
            </w:pPr>
            <w:r>
              <w:rPr>
                <w:sz w:val="20"/>
              </w:rPr>
              <w:t xml:space="preserve">1,3</w:t>
            </w:r>
          </w:p>
        </w:tc>
        <w:tc>
          <w:tcPr>
            <w:tcW w:w="760" w:type="dxa"/>
            <w:vAlign w:val="center"/>
          </w:tcPr>
          <w:p>
            <w:pPr>
              <w:pStyle w:val="0"/>
              <w:jc w:val="center"/>
            </w:pPr>
            <w:r>
              <w:rPr>
                <w:sz w:val="20"/>
              </w:rPr>
              <w:t xml:space="preserve">1</w:t>
            </w:r>
          </w:p>
        </w:tc>
        <w:tc>
          <w:tcPr>
            <w:tcW w:w="762" w:type="dxa"/>
            <w:vAlign w:val="center"/>
          </w:tcPr>
          <w:p>
            <w:pPr>
              <w:pStyle w:val="0"/>
              <w:jc w:val="center"/>
            </w:pPr>
            <w:r>
              <w:rPr>
                <w:sz w:val="20"/>
              </w:rPr>
              <w:t xml:space="preserve">0,4</w:t>
            </w:r>
          </w:p>
        </w:tc>
        <w:tc>
          <w:tcPr>
            <w:tcW w:w="893" w:type="dxa"/>
            <w:vAlign w:val="center"/>
          </w:tcPr>
          <w:p>
            <w:pPr>
              <w:pStyle w:val="0"/>
              <w:jc w:val="center"/>
            </w:pPr>
            <w:r>
              <w:rPr>
                <w:sz w:val="20"/>
              </w:rPr>
              <w:t xml:space="preserve">0,5</w:t>
            </w:r>
          </w:p>
        </w:tc>
      </w:tr>
      <w:tr>
        <w:tc>
          <w:tcPr>
            <w:tcW w:w="2485" w:type="dxa"/>
            <w:vAlign w:val="center"/>
          </w:tcPr>
          <w:p>
            <w:pPr>
              <w:pStyle w:val="0"/>
            </w:pPr>
            <w:r>
              <w:rPr>
                <w:sz w:val="20"/>
              </w:rPr>
              <w:t xml:space="preserve">Автономный округ</w:t>
            </w:r>
          </w:p>
        </w:tc>
        <w:tc>
          <w:tcPr>
            <w:tcW w:w="824" w:type="dxa"/>
            <w:vAlign w:val="center"/>
          </w:tcPr>
          <w:p>
            <w:pPr>
              <w:pStyle w:val="0"/>
              <w:jc w:val="center"/>
            </w:pPr>
            <w:r>
              <w:rPr>
                <w:sz w:val="20"/>
              </w:rPr>
              <w:t xml:space="preserve">22,3</w:t>
            </w:r>
          </w:p>
        </w:tc>
        <w:tc>
          <w:tcPr>
            <w:tcW w:w="760" w:type="dxa"/>
            <w:vAlign w:val="center"/>
          </w:tcPr>
          <w:p>
            <w:pPr>
              <w:pStyle w:val="0"/>
              <w:jc w:val="center"/>
            </w:pPr>
            <w:r>
              <w:rPr>
                <w:sz w:val="20"/>
              </w:rPr>
              <w:t xml:space="preserve">22,7</w:t>
            </w:r>
          </w:p>
        </w:tc>
        <w:tc>
          <w:tcPr>
            <w:tcW w:w="760" w:type="dxa"/>
            <w:vAlign w:val="center"/>
          </w:tcPr>
          <w:p>
            <w:pPr>
              <w:pStyle w:val="0"/>
              <w:jc w:val="center"/>
            </w:pPr>
            <w:r>
              <w:rPr>
                <w:sz w:val="20"/>
              </w:rPr>
              <w:t xml:space="preserve">21</w:t>
            </w:r>
          </w:p>
        </w:tc>
        <w:tc>
          <w:tcPr>
            <w:tcW w:w="618" w:type="dxa"/>
            <w:vAlign w:val="center"/>
          </w:tcPr>
          <w:p>
            <w:pPr>
              <w:pStyle w:val="0"/>
              <w:jc w:val="center"/>
            </w:pPr>
            <w:r>
              <w:rPr>
                <w:sz w:val="20"/>
              </w:rPr>
              <w:t xml:space="preserve">20,1</w:t>
            </w:r>
          </w:p>
        </w:tc>
        <w:tc>
          <w:tcPr>
            <w:tcW w:w="762" w:type="dxa"/>
            <w:vAlign w:val="center"/>
          </w:tcPr>
          <w:p>
            <w:pPr>
              <w:pStyle w:val="0"/>
              <w:jc w:val="center"/>
            </w:pPr>
            <w:r>
              <w:rPr>
                <w:sz w:val="20"/>
              </w:rPr>
              <w:t xml:space="preserve">17,5</w:t>
            </w:r>
          </w:p>
        </w:tc>
        <w:tc>
          <w:tcPr>
            <w:tcW w:w="618" w:type="dxa"/>
            <w:vAlign w:val="center"/>
          </w:tcPr>
          <w:p>
            <w:pPr>
              <w:pStyle w:val="0"/>
              <w:jc w:val="center"/>
            </w:pPr>
            <w:r>
              <w:rPr>
                <w:sz w:val="20"/>
              </w:rPr>
              <w:t xml:space="preserve">1</w:t>
            </w:r>
          </w:p>
        </w:tc>
        <w:tc>
          <w:tcPr>
            <w:tcW w:w="757" w:type="dxa"/>
            <w:vAlign w:val="center"/>
          </w:tcPr>
          <w:p>
            <w:pPr>
              <w:pStyle w:val="0"/>
              <w:jc w:val="center"/>
            </w:pPr>
            <w:r>
              <w:rPr>
                <w:sz w:val="20"/>
              </w:rPr>
              <w:t xml:space="preserve">0,9</w:t>
            </w:r>
          </w:p>
        </w:tc>
        <w:tc>
          <w:tcPr>
            <w:tcW w:w="760" w:type="dxa"/>
            <w:vAlign w:val="center"/>
          </w:tcPr>
          <w:p>
            <w:pPr>
              <w:pStyle w:val="0"/>
              <w:jc w:val="center"/>
            </w:pPr>
            <w:r>
              <w:rPr>
                <w:sz w:val="20"/>
              </w:rPr>
              <w:t xml:space="preserve">1,1</w:t>
            </w:r>
          </w:p>
        </w:tc>
        <w:tc>
          <w:tcPr>
            <w:tcW w:w="762" w:type="dxa"/>
            <w:vAlign w:val="center"/>
          </w:tcPr>
          <w:p>
            <w:pPr>
              <w:pStyle w:val="0"/>
              <w:jc w:val="center"/>
            </w:pPr>
            <w:r>
              <w:rPr>
                <w:sz w:val="20"/>
              </w:rPr>
              <w:t xml:space="preserve">0,8</w:t>
            </w:r>
          </w:p>
        </w:tc>
        <w:tc>
          <w:tcPr>
            <w:tcW w:w="893" w:type="dxa"/>
            <w:vAlign w:val="center"/>
          </w:tcPr>
          <w:p>
            <w:pPr>
              <w:pStyle w:val="0"/>
              <w:jc w:val="center"/>
            </w:pPr>
            <w:r>
              <w:rPr>
                <w:sz w:val="20"/>
              </w:rPr>
              <w:t xml:space="preserve">0,6</w:t>
            </w:r>
          </w:p>
        </w:tc>
      </w:tr>
      <w:tr>
        <w:tc>
          <w:tcPr>
            <w:tcW w:w="2485" w:type="dxa"/>
            <w:vAlign w:val="center"/>
          </w:tcPr>
          <w:p>
            <w:pPr>
              <w:pStyle w:val="0"/>
            </w:pPr>
            <w:r>
              <w:rPr>
                <w:sz w:val="20"/>
              </w:rPr>
              <w:t xml:space="preserve">РФ</w:t>
            </w:r>
          </w:p>
        </w:tc>
        <w:tc>
          <w:tcPr>
            <w:tcW w:w="824" w:type="dxa"/>
            <w:vAlign w:val="center"/>
          </w:tcPr>
          <w:p>
            <w:pPr>
              <w:pStyle w:val="0"/>
              <w:jc w:val="center"/>
            </w:pPr>
            <w:r>
              <w:rPr>
                <w:sz w:val="20"/>
              </w:rPr>
              <w:t xml:space="preserve">22,2</w:t>
            </w:r>
          </w:p>
        </w:tc>
        <w:tc>
          <w:tcPr>
            <w:tcW w:w="760" w:type="dxa"/>
            <w:vAlign w:val="center"/>
          </w:tcPr>
          <w:p>
            <w:pPr>
              <w:pStyle w:val="0"/>
              <w:jc w:val="center"/>
            </w:pPr>
            <w:r>
              <w:rPr>
                <w:sz w:val="20"/>
              </w:rPr>
              <w:t xml:space="preserve">21,7</w:t>
            </w:r>
          </w:p>
        </w:tc>
        <w:tc>
          <w:tcPr>
            <w:tcW w:w="760" w:type="dxa"/>
            <w:vAlign w:val="center"/>
          </w:tcPr>
          <w:p>
            <w:pPr>
              <w:pStyle w:val="0"/>
              <w:jc w:val="center"/>
            </w:pPr>
            <w:r>
              <w:rPr>
                <w:sz w:val="20"/>
              </w:rPr>
              <w:t xml:space="preserve">н/д</w:t>
            </w:r>
          </w:p>
        </w:tc>
        <w:tc>
          <w:tcPr>
            <w:tcW w:w="618" w:type="dxa"/>
            <w:vAlign w:val="center"/>
          </w:tcPr>
          <w:p>
            <w:pPr>
              <w:pStyle w:val="0"/>
              <w:jc w:val="center"/>
            </w:pPr>
            <w:r>
              <w:rPr>
                <w:sz w:val="20"/>
              </w:rPr>
              <w:t xml:space="preserve">н/д</w:t>
            </w:r>
          </w:p>
        </w:tc>
        <w:tc>
          <w:tcPr>
            <w:tcW w:w="762" w:type="dxa"/>
            <w:vAlign w:val="center"/>
          </w:tcPr>
          <w:p>
            <w:pPr>
              <w:pStyle w:val="0"/>
              <w:jc w:val="center"/>
            </w:pPr>
            <w:r>
              <w:rPr>
                <w:sz w:val="20"/>
              </w:rPr>
              <w:t xml:space="preserve">н/д</w:t>
            </w:r>
          </w:p>
        </w:tc>
        <w:tc>
          <w:tcPr>
            <w:tcW w:w="618" w:type="dxa"/>
            <w:vAlign w:val="center"/>
          </w:tcPr>
          <w:p>
            <w:pPr>
              <w:pStyle w:val="0"/>
              <w:jc w:val="center"/>
            </w:pPr>
            <w:r>
              <w:rPr>
                <w:sz w:val="20"/>
              </w:rPr>
              <w:t xml:space="preserve">1,1</w:t>
            </w:r>
          </w:p>
        </w:tc>
        <w:tc>
          <w:tcPr>
            <w:tcW w:w="757" w:type="dxa"/>
            <w:vAlign w:val="center"/>
          </w:tcPr>
          <w:p>
            <w:pPr>
              <w:pStyle w:val="0"/>
              <w:jc w:val="center"/>
            </w:pPr>
            <w:r>
              <w:rPr>
                <w:sz w:val="20"/>
              </w:rPr>
              <w:t xml:space="preserve">1,1</w:t>
            </w:r>
          </w:p>
        </w:tc>
        <w:tc>
          <w:tcPr>
            <w:tcW w:w="760" w:type="dxa"/>
            <w:vAlign w:val="center"/>
          </w:tcPr>
          <w:p>
            <w:pPr>
              <w:pStyle w:val="0"/>
              <w:jc w:val="center"/>
            </w:pPr>
            <w:r>
              <w:rPr>
                <w:sz w:val="20"/>
              </w:rPr>
              <w:t xml:space="preserve">н/д</w:t>
            </w:r>
          </w:p>
        </w:tc>
        <w:tc>
          <w:tcPr>
            <w:tcW w:w="762" w:type="dxa"/>
            <w:vAlign w:val="center"/>
          </w:tcPr>
          <w:p>
            <w:pPr>
              <w:pStyle w:val="0"/>
              <w:jc w:val="center"/>
            </w:pPr>
            <w:r>
              <w:rPr>
                <w:sz w:val="20"/>
              </w:rPr>
              <w:t xml:space="preserve">н/д</w:t>
            </w:r>
          </w:p>
        </w:tc>
        <w:tc>
          <w:tcPr>
            <w:tcW w:w="893" w:type="dxa"/>
            <w:vAlign w:val="center"/>
          </w:tcPr>
          <w:p>
            <w:pPr>
              <w:pStyle w:val="0"/>
              <w:jc w:val="center"/>
            </w:pPr>
            <w:r>
              <w:rPr>
                <w:sz w:val="20"/>
              </w:rPr>
              <w:t xml:space="preserve">н/д</w:t>
            </w:r>
          </w:p>
        </w:tc>
      </w:tr>
    </w:tbl>
    <w:p>
      <w:pPr>
        <w:pStyle w:val="0"/>
        <w:ind w:firstLine="540"/>
        <w:jc w:val="both"/>
      </w:pPr>
      <w:r>
        <w:rPr>
          <w:sz w:val="20"/>
        </w:rPr>
      </w:r>
    </w:p>
    <w:p>
      <w:pPr>
        <w:pStyle w:val="0"/>
        <w:ind w:firstLine="540"/>
        <w:jc w:val="both"/>
      </w:pPr>
      <w:r>
        <w:rPr>
          <w:sz w:val="20"/>
        </w:rPr>
        <w:t xml:space="preserve">Средний возраст умерших от злокачественных новообразований в 2022 году составил 64,5 года, из них мужчин - 64,2 года, женщин 64,9 года (в 2021 году - 64,1, из них мужчин 63,5 и женщин 64,8):</w:t>
      </w:r>
    </w:p>
    <w:p>
      <w:pPr>
        <w:pStyle w:val="0"/>
        <w:spacing w:before="200" w:line-rule="auto"/>
        <w:ind w:firstLine="540"/>
        <w:jc w:val="both"/>
      </w:pPr>
      <w:r>
        <w:rPr>
          <w:sz w:val="20"/>
        </w:rPr>
        <w:t xml:space="preserve">при ЗНО трахеи, бронхов, легкого средний возраст 65,2, у мужчин 65,4 и у женщин 64,7;</w:t>
      </w:r>
    </w:p>
    <w:p>
      <w:pPr>
        <w:pStyle w:val="0"/>
        <w:spacing w:before="200" w:line-rule="auto"/>
        <w:ind w:firstLine="540"/>
        <w:jc w:val="both"/>
      </w:pPr>
      <w:r>
        <w:rPr>
          <w:sz w:val="20"/>
        </w:rPr>
        <w:t xml:space="preserve">при раке желудка - 65,7, у мужчин 61,1, женщин 63,7;</w:t>
      </w:r>
    </w:p>
    <w:p>
      <w:pPr>
        <w:pStyle w:val="0"/>
        <w:spacing w:before="200" w:line-rule="auto"/>
        <w:ind w:firstLine="540"/>
        <w:jc w:val="both"/>
      </w:pPr>
      <w:r>
        <w:rPr>
          <w:sz w:val="20"/>
        </w:rPr>
        <w:t xml:space="preserve">при раке молочной железы - 65,3;</w:t>
      </w:r>
    </w:p>
    <w:p>
      <w:pPr>
        <w:pStyle w:val="0"/>
        <w:spacing w:before="200" w:line-rule="auto"/>
        <w:ind w:firstLine="540"/>
        <w:jc w:val="both"/>
      </w:pPr>
      <w:r>
        <w:rPr>
          <w:sz w:val="20"/>
        </w:rPr>
        <w:t xml:space="preserve">при раке ободочной кишки - 66,3, у мужчин 64, женщин 67,1;</w:t>
      </w:r>
    </w:p>
    <w:p>
      <w:pPr>
        <w:pStyle w:val="0"/>
        <w:spacing w:before="200" w:line-rule="auto"/>
        <w:ind w:firstLine="540"/>
        <w:jc w:val="both"/>
      </w:pPr>
      <w:r>
        <w:rPr>
          <w:sz w:val="20"/>
        </w:rPr>
        <w:t xml:space="preserve">при раке предстательной железы - 69,7;</w:t>
      </w:r>
    </w:p>
    <w:p>
      <w:pPr>
        <w:pStyle w:val="0"/>
        <w:spacing w:before="200" w:line-rule="auto"/>
        <w:ind w:firstLine="540"/>
        <w:jc w:val="both"/>
      </w:pPr>
      <w:r>
        <w:rPr>
          <w:sz w:val="20"/>
        </w:rPr>
        <w:t xml:space="preserve">при раке прямой кишки, ректосигмоидального соединения, ануса - 64,4, у мужчин 63,6, женщин 66,1.</w:t>
      </w:r>
    </w:p>
    <w:p>
      <w:pPr>
        <w:pStyle w:val="0"/>
        <w:spacing w:before="200" w:line-rule="auto"/>
        <w:ind w:firstLine="540"/>
        <w:jc w:val="both"/>
      </w:pPr>
      <w:r>
        <w:rPr>
          <w:sz w:val="20"/>
        </w:rPr>
        <w:t xml:space="preserve">Анализ всех случаев выявления заболеваний с запущенными стадиями показал тенденцию миграции онкологических больных с онкопатологией из других регионов Российской Федерации в автономный округ. Доля "мигрантов" в структуре заболеваемости злокачественными новообразованиями достигла 14%; в указанной группе лиц превалируют пациенты, у которых злокачественное новообразование на запущенных стадиях, имеющее неблагоприятный клинический прогноз, выявлены в других регионах Российской Федерации. Доля смертей данной категории граждан за последние 5 лет увеличилась с 10% до 14%.</w:t>
      </w:r>
    </w:p>
    <w:p>
      <w:pPr>
        <w:pStyle w:val="0"/>
        <w:spacing w:before="200" w:line-rule="auto"/>
        <w:ind w:firstLine="540"/>
        <w:jc w:val="both"/>
      </w:pPr>
      <w:r>
        <w:rPr>
          <w:sz w:val="20"/>
        </w:rPr>
        <w:t xml:space="preserve">Доля "мигрантов" в структуре смертности от новообразований за анализируемый период составила 7%.</w:t>
      </w:r>
    </w:p>
    <w:p>
      <w:pPr>
        <w:pStyle w:val="0"/>
        <w:spacing w:before="200" w:line-rule="auto"/>
        <w:ind w:firstLine="540"/>
        <w:jc w:val="both"/>
      </w:pPr>
      <w:r>
        <w:rPr>
          <w:sz w:val="20"/>
        </w:rPr>
        <w:t xml:space="preserve">По данным Канцер-регистра, число умерших от неонкологического заболевания в 2022 году составило 504 человек, в 2013 году - 153 человека, что говорит о росте показателя за 10 лет более чем в 3 раза.</w:t>
      </w:r>
    </w:p>
    <w:p>
      <w:pPr>
        <w:pStyle w:val="0"/>
        <w:jc w:val="center"/>
      </w:pPr>
      <w:r>
        <w:rPr>
          <w:sz w:val="20"/>
        </w:rPr>
      </w:r>
    </w:p>
    <w:p>
      <w:pPr>
        <w:pStyle w:val="2"/>
        <w:outlineLvl w:val="3"/>
        <w:jc w:val="center"/>
      </w:pPr>
      <w:r>
        <w:rPr>
          <w:sz w:val="20"/>
        </w:rPr>
        <w:t xml:space="preserve">Специфические особенности показателей смертности</w:t>
      </w:r>
    </w:p>
    <w:p>
      <w:pPr>
        <w:pStyle w:val="2"/>
        <w:jc w:val="center"/>
      </w:pPr>
      <w:r>
        <w:rPr>
          <w:sz w:val="20"/>
        </w:rPr>
        <w:t xml:space="preserve">в Ханты-Мансийском автономном округе - Югре</w:t>
      </w:r>
    </w:p>
    <w:p>
      <w:pPr>
        <w:pStyle w:val="0"/>
        <w:jc w:val="center"/>
      </w:pPr>
      <w:r>
        <w:rPr>
          <w:sz w:val="20"/>
        </w:rPr>
      </w:r>
    </w:p>
    <w:p>
      <w:pPr>
        <w:pStyle w:val="0"/>
        <w:ind w:firstLine="540"/>
        <w:jc w:val="both"/>
      </w:pPr>
      <w:r>
        <w:rPr>
          <w:sz w:val="20"/>
        </w:rPr>
        <w:t xml:space="preserve">Территорию автономного округа можно отнести к дискомфортной. Эти немаловажные факторы влияют на показатель запущенности злокачественных заболеваний - 20,7%, а также смертности - 126,7 на 100 тыс. населения в 2022 году.</w:t>
      </w:r>
    </w:p>
    <w:p>
      <w:pPr>
        <w:pStyle w:val="0"/>
        <w:spacing w:before="200" w:line-rule="auto"/>
        <w:ind w:firstLine="540"/>
        <w:jc w:val="both"/>
      </w:pPr>
      <w:r>
        <w:rPr>
          <w:sz w:val="20"/>
        </w:rPr>
        <w:t xml:space="preserve">Из числа умерших в 2022 году от злокачественных заболеваний доля IV стадии составила 49,4% (в 2013 году - 40,6%), III стадии - 22,7% (в 2013 году - 23,4%), II стадии - 15,1% (2013 году - 19,5%), I стадии - 7,8% (в 2013 году - 10%), без стадии - 5% (в 2013 году - 7%).</w:t>
      </w:r>
    </w:p>
    <w:p>
      <w:pPr>
        <w:pStyle w:val="0"/>
        <w:spacing w:before="200" w:line-rule="auto"/>
        <w:ind w:firstLine="540"/>
        <w:jc w:val="both"/>
      </w:pPr>
      <w:r>
        <w:rPr>
          <w:sz w:val="20"/>
        </w:rPr>
        <w:t xml:space="preserve">Стандартизованный показатель смертности в разрезе нозологий:</w:t>
      </w:r>
    </w:p>
    <w:p>
      <w:pPr>
        <w:pStyle w:val="0"/>
        <w:spacing w:before="200" w:line-rule="auto"/>
        <w:ind w:firstLine="540"/>
        <w:jc w:val="both"/>
      </w:pPr>
      <w:r>
        <w:rPr>
          <w:sz w:val="20"/>
        </w:rPr>
        <w:t xml:space="preserve">ЗНО печени и внутрипеченочных желчных протоков - 7,8 (в Российской Федерации - 3,9) объясняется тем, что автономный округ является эндемичным районом по описторхозу;</w:t>
      </w:r>
    </w:p>
    <w:p>
      <w:pPr>
        <w:pStyle w:val="0"/>
        <w:spacing w:before="200" w:line-rule="auto"/>
        <w:ind w:firstLine="540"/>
        <w:jc w:val="both"/>
      </w:pPr>
      <w:r>
        <w:rPr>
          <w:sz w:val="20"/>
        </w:rPr>
        <w:t xml:space="preserve">рак прямой кишки - 4,9 (в Российской Федерации - 5,4) объясняется характером питания, в котором преобладают мясные, замороженные, копченые продукты длительного хранения и отсутствие клетчатки;</w:t>
      </w:r>
    </w:p>
    <w:p>
      <w:pPr>
        <w:pStyle w:val="0"/>
        <w:spacing w:before="200" w:line-rule="auto"/>
        <w:ind w:firstLine="540"/>
        <w:jc w:val="both"/>
      </w:pPr>
      <w:r>
        <w:rPr>
          <w:sz w:val="20"/>
        </w:rPr>
        <w:t xml:space="preserve">рак почки - 3,2 (в Российской Федерации - 2,9).</w:t>
      </w:r>
    </w:p>
    <w:p>
      <w:pPr>
        <w:pStyle w:val="0"/>
        <w:spacing w:before="200" w:line-rule="auto"/>
        <w:ind w:firstLine="540"/>
        <w:jc w:val="both"/>
      </w:pPr>
      <w:r>
        <w:rPr>
          <w:sz w:val="20"/>
        </w:rPr>
        <w:t xml:space="preserve">Учитывая представленные данные, были увеличены объемы скрининговых обследований взрослого населения, а также лиц старшего возраста в условиях профилактических медицинских осмотров и диспансеризации. Данные объемы доведены до всех медицинских организаций автономного округа.</w:t>
      </w:r>
    </w:p>
    <w:p>
      <w:pPr>
        <w:pStyle w:val="0"/>
        <w:spacing w:before="200" w:line-rule="auto"/>
        <w:ind w:firstLine="540"/>
        <w:jc w:val="both"/>
      </w:pPr>
      <w:r>
        <w:rPr>
          <w:sz w:val="20"/>
        </w:rPr>
        <w:t xml:space="preserve">Комиссия Департамента здравоохранения Ханты-Мансийского автономного округа - Югры (далее также - Депздрав Югры) ежемесячно проводит разбор случаев смерти от злокачественных образований в соответствии с приказом Департамента здравоохранения Ханты-Мансийского автономного округа - Югры от 6 марта 2019 года N 257 "Об организации деятельности комиссии по разбору случаев смерти от злокачественных образований и анализа причин запущенности".</w:t>
      </w:r>
    </w:p>
    <w:p>
      <w:pPr>
        <w:pStyle w:val="0"/>
        <w:spacing w:before="200" w:line-rule="auto"/>
        <w:ind w:firstLine="540"/>
        <w:jc w:val="both"/>
      </w:pPr>
      <w:r>
        <w:rPr>
          <w:sz w:val="20"/>
        </w:rPr>
        <w:t xml:space="preserve">Число пациентов, умерших от новообразований, относящихся к категории D00 - D48, за 10 лет увеличилось в 2 раза: с 16 до 24 случаев </w:t>
      </w:r>
      <w:hyperlink w:history="0" w:anchor="P10277" w:tooltip="Число жителей автономного округа, прошедших обучение основам">
        <w:r>
          <w:rPr>
            <w:sz w:val="20"/>
            <w:color w:val="0000ff"/>
          </w:rPr>
          <w:t xml:space="preserve">(таблица 30)</w:t>
        </w:r>
      </w:hyperlink>
      <w:r>
        <w:rPr>
          <w:sz w:val="20"/>
        </w:rPr>
        <w:t xml:space="preserve">. При этом наибольший прирост отмечается в подгруппе "Новообразования неопределенного или неизвестного характера (D37 - D48)" с 14 до 33 случаев (в 2 раза), в подгруппе "Доброкачественные новообразования (D10 - D36)" прирост с 2 до 8 случаев (в 3 раза).</w:t>
      </w:r>
    </w:p>
    <w:p>
      <w:pPr>
        <w:pStyle w:val="0"/>
        <w:ind w:firstLine="540"/>
        <w:jc w:val="both"/>
      </w:pPr>
      <w:r>
        <w:rPr>
          <w:sz w:val="20"/>
        </w:rPr>
      </w:r>
    </w:p>
    <w:p>
      <w:pPr>
        <w:pStyle w:val="0"/>
        <w:jc w:val="right"/>
      </w:pPr>
      <w:r>
        <w:rPr>
          <w:sz w:val="20"/>
        </w:rPr>
        <w:t xml:space="preserve">Таблица 29</w:t>
      </w:r>
    </w:p>
    <w:p>
      <w:pPr>
        <w:pStyle w:val="0"/>
        <w:jc w:val="right"/>
      </w:pPr>
      <w:r>
        <w:rPr>
          <w:sz w:val="20"/>
        </w:rPr>
      </w:r>
    </w:p>
    <w:p>
      <w:pPr>
        <w:pStyle w:val="0"/>
        <w:jc w:val="center"/>
      </w:pPr>
      <w:r>
        <w:rPr>
          <w:sz w:val="20"/>
        </w:rPr>
        <w:t xml:space="preserve">Число лиц, умерших от новообразований D00 - D48,</w:t>
      </w:r>
    </w:p>
    <w:p>
      <w:pPr>
        <w:pStyle w:val="0"/>
        <w:jc w:val="center"/>
      </w:pPr>
      <w:r>
        <w:rPr>
          <w:sz w:val="20"/>
        </w:rPr>
        <w:t xml:space="preserve">2013 - 2022 годы (абс.)</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964"/>
        <w:gridCol w:w="964"/>
        <w:gridCol w:w="964"/>
        <w:gridCol w:w="1134"/>
        <w:gridCol w:w="1134"/>
        <w:gridCol w:w="1134"/>
        <w:gridCol w:w="1134"/>
        <w:gridCol w:w="992"/>
        <w:gridCol w:w="1134"/>
        <w:gridCol w:w="837"/>
      </w:tblGrid>
      <w:tr>
        <w:tc>
          <w:tcPr>
            <w:tcW w:w="3005" w:type="dxa"/>
          </w:tcPr>
          <w:p>
            <w:pPr>
              <w:pStyle w:val="0"/>
            </w:pPr>
            <w:r>
              <w:rPr>
                <w:sz w:val="20"/>
              </w:rPr>
            </w:r>
          </w:p>
        </w:tc>
        <w:tc>
          <w:tcPr>
            <w:tcW w:w="964" w:type="dxa"/>
          </w:tcPr>
          <w:p>
            <w:pPr>
              <w:pStyle w:val="0"/>
              <w:jc w:val="center"/>
            </w:pPr>
            <w:r>
              <w:rPr>
                <w:sz w:val="20"/>
              </w:rPr>
              <w:t xml:space="preserve">2013</w:t>
            </w:r>
          </w:p>
        </w:tc>
        <w:tc>
          <w:tcPr>
            <w:tcW w:w="964" w:type="dxa"/>
          </w:tcPr>
          <w:p>
            <w:pPr>
              <w:pStyle w:val="0"/>
              <w:jc w:val="center"/>
            </w:pPr>
            <w:r>
              <w:rPr>
                <w:sz w:val="20"/>
              </w:rPr>
              <w:t xml:space="preserve">2014</w:t>
            </w:r>
          </w:p>
        </w:tc>
        <w:tc>
          <w:tcPr>
            <w:tcW w:w="964" w:type="dxa"/>
          </w:tcPr>
          <w:p>
            <w:pPr>
              <w:pStyle w:val="0"/>
              <w:jc w:val="center"/>
            </w:pPr>
            <w:r>
              <w:rPr>
                <w:sz w:val="20"/>
              </w:rPr>
              <w:t xml:space="preserve">2015</w:t>
            </w:r>
          </w:p>
        </w:tc>
        <w:tc>
          <w:tcPr>
            <w:tcW w:w="1134" w:type="dxa"/>
          </w:tcPr>
          <w:p>
            <w:pPr>
              <w:pStyle w:val="0"/>
              <w:jc w:val="center"/>
            </w:pPr>
            <w:r>
              <w:rPr>
                <w:sz w:val="20"/>
              </w:rPr>
              <w:t xml:space="preserve">2016</w:t>
            </w:r>
          </w:p>
        </w:tc>
        <w:tc>
          <w:tcPr>
            <w:tcW w:w="1134" w:type="dxa"/>
          </w:tcPr>
          <w:p>
            <w:pPr>
              <w:pStyle w:val="0"/>
              <w:jc w:val="center"/>
            </w:pPr>
            <w:r>
              <w:rPr>
                <w:sz w:val="20"/>
              </w:rPr>
              <w:t xml:space="preserve">2017</w:t>
            </w:r>
          </w:p>
        </w:tc>
        <w:tc>
          <w:tcPr>
            <w:tcW w:w="1134" w:type="dxa"/>
          </w:tcPr>
          <w:p>
            <w:pPr>
              <w:pStyle w:val="0"/>
              <w:jc w:val="center"/>
            </w:pPr>
            <w:r>
              <w:rPr>
                <w:sz w:val="20"/>
              </w:rPr>
              <w:t xml:space="preserve">2018</w:t>
            </w:r>
          </w:p>
        </w:tc>
        <w:tc>
          <w:tcPr>
            <w:tcW w:w="1134" w:type="dxa"/>
          </w:tcPr>
          <w:p>
            <w:pPr>
              <w:pStyle w:val="0"/>
              <w:jc w:val="center"/>
            </w:pPr>
            <w:r>
              <w:rPr>
                <w:sz w:val="20"/>
              </w:rPr>
              <w:t xml:space="preserve">2019</w:t>
            </w:r>
          </w:p>
        </w:tc>
        <w:tc>
          <w:tcPr>
            <w:tcW w:w="992" w:type="dxa"/>
          </w:tcPr>
          <w:p>
            <w:pPr>
              <w:pStyle w:val="0"/>
              <w:jc w:val="center"/>
            </w:pPr>
            <w:r>
              <w:rPr>
                <w:sz w:val="20"/>
              </w:rPr>
              <w:t xml:space="preserve">2020</w:t>
            </w:r>
          </w:p>
        </w:tc>
        <w:tc>
          <w:tcPr>
            <w:tcW w:w="1134" w:type="dxa"/>
          </w:tcPr>
          <w:p>
            <w:pPr>
              <w:pStyle w:val="0"/>
              <w:jc w:val="center"/>
            </w:pPr>
            <w:r>
              <w:rPr>
                <w:sz w:val="20"/>
              </w:rPr>
              <w:t xml:space="preserve">2021</w:t>
            </w:r>
          </w:p>
        </w:tc>
        <w:tc>
          <w:tcPr>
            <w:tcW w:w="837" w:type="dxa"/>
          </w:tcPr>
          <w:p>
            <w:pPr>
              <w:pStyle w:val="0"/>
              <w:jc w:val="center"/>
            </w:pPr>
            <w:r>
              <w:rPr>
                <w:sz w:val="20"/>
              </w:rPr>
              <w:t xml:space="preserve">2022</w:t>
            </w:r>
          </w:p>
        </w:tc>
      </w:tr>
      <w:tr>
        <w:tc>
          <w:tcPr>
            <w:tcW w:w="3005" w:type="dxa"/>
          </w:tcPr>
          <w:p>
            <w:pPr>
              <w:pStyle w:val="0"/>
            </w:pPr>
            <w:r>
              <w:rPr>
                <w:sz w:val="20"/>
              </w:rPr>
              <w:t xml:space="preserve">Новообразования in situ (D00 - D09)</w:t>
            </w:r>
          </w:p>
        </w:tc>
        <w:tc>
          <w:tcPr>
            <w:tcW w:w="964" w:type="dxa"/>
          </w:tcPr>
          <w:p>
            <w:pPr>
              <w:pStyle w:val="0"/>
              <w:jc w:val="center"/>
            </w:pPr>
            <w:r>
              <w:rPr>
                <w:sz w:val="20"/>
              </w:rPr>
              <w:t xml:space="preserve">-</w:t>
            </w:r>
          </w:p>
        </w:tc>
        <w:tc>
          <w:tcPr>
            <w:tcW w:w="964" w:type="dxa"/>
          </w:tcPr>
          <w:p>
            <w:pPr>
              <w:pStyle w:val="0"/>
              <w:jc w:val="center"/>
            </w:pPr>
            <w:r>
              <w:rPr>
                <w:sz w:val="20"/>
              </w:rPr>
              <w:t xml:space="preserve">-</w:t>
            </w:r>
          </w:p>
        </w:tc>
        <w:tc>
          <w:tcPr>
            <w:tcW w:w="964" w:type="dxa"/>
          </w:tcPr>
          <w:p>
            <w:pPr>
              <w:pStyle w:val="0"/>
              <w:jc w:val="center"/>
            </w:pPr>
            <w:r>
              <w:rPr>
                <w:sz w:val="20"/>
              </w:rPr>
              <w:t xml:space="preserve">1</w:t>
            </w:r>
          </w:p>
        </w:tc>
        <w:tc>
          <w:tcPr>
            <w:tcW w:w="1134" w:type="dxa"/>
          </w:tcPr>
          <w:p>
            <w:pPr>
              <w:pStyle w:val="0"/>
              <w:jc w:val="center"/>
            </w:pPr>
            <w:r>
              <w:rPr>
                <w:sz w:val="20"/>
              </w:rPr>
              <w:t xml:space="preserve">1</w:t>
            </w:r>
          </w:p>
        </w:tc>
        <w:tc>
          <w:tcPr>
            <w:tcW w:w="1134" w:type="dxa"/>
          </w:tcPr>
          <w:p>
            <w:pPr>
              <w:pStyle w:val="0"/>
              <w:jc w:val="center"/>
            </w:pPr>
            <w:r>
              <w:rPr>
                <w:sz w:val="20"/>
              </w:rPr>
              <w:t xml:space="preserve">-</w:t>
            </w:r>
          </w:p>
        </w:tc>
        <w:tc>
          <w:tcPr>
            <w:tcW w:w="1134" w:type="dxa"/>
          </w:tcPr>
          <w:p>
            <w:pPr>
              <w:pStyle w:val="0"/>
              <w:jc w:val="center"/>
            </w:pPr>
            <w:r>
              <w:rPr>
                <w:sz w:val="20"/>
              </w:rPr>
              <w:t xml:space="preserve">-</w:t>
            </w:r>
          </w:p>
        </w:tc>
        <w:tc>
          <w:tcPr>
            <w:tcW w:w="1134" w:type="dxa"/>
          </w:tcPr>
          <w:p>
            <w:pPr>
              <w:pStyle w:val="0"/>
              <w:jc w:val="center"/>
            </w:pPr>
            <w:r>
              <w:rPr>
                <w:sz w:val="20"/>
              </w:rPr>
              <w:t xml:space="preserve">-</w:t>
            </w:r>
          </w:p>
        </w:tc>
        <w:tc>
          <w:tcPr>
            <w:tcW w:w="992" w:type="dxa"/>
          </w:tcPr>
          <w:p>
            <w:pPr>
              <w:pStyle w:val="0"/>
              <w:jc w:val="center"/>
            </w:pPr>
            <w:r>
              <w:rPr>
                <w:sz w:val="20"/>
              </w:rPr>
              <w:t xml:space="preserve">-</w:t>
            </w:r>
          </w:p>
        </w:tc>
        <w:tc>
          <w:tcPr>
            <w:tcW w:w="1134" w:type="dxa"/>
          </w:tcPr>
          <w:p>
            <w:pPr>
              <w:pStyle w:val="0"/>
              <w:jc w:val="center"/>
            </w:pPr>
            <w:r>
              <w:rPr>
                <w:sz w:val="20"/>
              </w:rPr>
              <w:t xml:space="preserve">0</w:t>
            </w:r>
          </w:p>
        </w:tc>
        <w:tc>
          <w:tcPr>
            <w:tcW w:w="837" w:type="dxa"/>
          </w:tcPr>
          <w:p>
            <w:pPr>
              <w:pStyle w:val="0"/>
              <w:jc w:val="center"/>
            </w:pPr>
            <w:r>
              <w:rPr>
                <w:sz w:val="20"/>
              </w:rPr>
              <w:t xml:space="preserve">0</w:t>
            </w:r>
          </w:p>
        </w:tc>
      </w:tr>
      <w:tr>
        <w:tc>
          <w:tcPr>
            <w:tcW w:w="3005" w:type="dxa"/>
          </w:tcPr>
          <w:p>
            <w:pPr>
              <w:pStyle w:val="0"/>
            </w:pPr>
            <w:r>
              <w:rPr>
                <w:sz w:val="20"/>
              </w:rPr>
              <w:t xml:space="preserve">Доброкачественные новообразования (D10 - D36)</w:t>
            </w:r>
          </w:p>
        </w:tc>
        <w:tc>
          <w:tcPr>
            <w:tcW w:w="964" w:type="dxa"/>
          </w:tcPr>
          <w:p>
            <w:pPr>
              <w:pStyle w:val="0"/>
              <w:jc w:val="center"/>
            </w:pPr>
            <w:r>
              <w:rPr>
                <w:sz w:val="20"/>
              </w:rPr>
              <w:t xml:space="preserve">2</w:t>
            </w:r>
          </w:p>
        </w:tc>
        <w:tc>
          <w:tcPr>
            <w:tcW w:w="964" w:type="dxa"/>
          </w:tcPr>
          <w:p>
            <w:pPr>
              <w:pStyle w:val="0"/>
              <w:jc w:val="center"/>
            </w:pPr>
            <w:r>
              <w:rPr>
                <w:sz w:val="20"/>
              </w:rPr>
              <w:t xml:space="preserve">3</w:t>
            </w:r>
          </w:p>
        </w:tc>
        <w:tc>
          <w:tcPr>
            <w:tcW w:w="964" w:type="dxa"/>
          </w:tcPr>
          <w:p>
            <w:pPr>
              <w:pStyle w:val="0"/>
              <w:jc w:val="center"/>
            </w:pPr>
            <w:r>
              <w:rPr>
                <w:sz w:val="20"/>
              </w:rPr>
              <w:t xml:space="preserve">3</w:t>
            </w:r>
          </w:p>
        </w:tc>
        <w:tc>
          <w:tcPr>
            <w:tcW w:w="1134" w:type="dxa"/>
          </w:tcPr>
          <w:p>
            <w:pPr>
              <w:pStyle w:val="0"/>
              <w:jc w:val="center"/>
            </w:pPr>
            <w:r>
              <w:rPr>
                <w:sz w:val="20"/>
              </w:rPr>
              <w:t xml:space="preserve">4</w:t>
            </w:r>
          </w:p>
        </w:tc>
        <w:tc>
          <w:tcPr>
            <w:tcW w:w="1134" w:type="dxa"/>
          </w:tcPr>
          <w:p>
            <w:pPr>
              <w:pStyle w:val="0"/>
              <w:jc w:val="center"/>
            </w:pPr>
            <w:r>
              <w:rPr>
                <w:sz w:val="20"/>
              </w:rPr>
              <w:t xml:space="preserve">2</w:t>
            </w:r>
          </w:p>
        </w:tc>
        <w:tc>
          <w:tcPr>
            <w:tcW w:w="1134" w:type="dxa"/>
          </w:tcPr>
          <w:p>
            <w:pPr>
              <w:pStyle w:val="0"/>
              <w:jc w:val="center"/>
            </w:pPr>
            <w:r>
              <w:rPr>
                <w:sz w:val="20"/>
              </w:rPr>
              <w:t xml:space="preserve">5</w:t>
            </w:r>
          </w:p>
        </w:tc>
        <w:tc>
          <w:tcPr>
            <w:tcW w:w="1134" w:type="dxa"/>
          </w:tcPr>
          <w:p>
            <w:pPr>
              <w:pStyle w:val="0"/>
              <w:jc w:val="center"/>
            </w:pPr>
            <w:r>
              <w:rPr>
                <w:sz w:val="20"/>
              </w:rPr>
              <w:t xml:space="preserve">8</w:t>
            </w:r>
          </w:p>
        </w:tc>
        <w:tc>
          <w:tcPr>
            <w:tcW w:w="992" w:type="dxa"/>
          </w:tcPr>
          <w:p>
            <w:pPr>
              <w:pStyle w:val="0"/>
              <w:jc w:val="center"/>
            </w:pPr>
            <w:r>
              <w:rPr>
                <w:sz w:val="20"/>
              </w:rPr>
              <w:t xml:space="preserve">7</w:t>
            </w:r>
          </w:p>
        </w:tc>
        <w:tc>
          <w:tcPr>
            <w:tcW w:w="1134" w:type="dxa"/>
          </w:tcPr>
          <w:p>
            <w:pPr>
              <w:pStyle w:val="0"/>
              <w:jc w:val="center"/>
            </w:pPr>
            <w:r>
              <w:rPr>
                <w:sz w:val="20"/>
              </w:rPr>
              <w:t xml:space="preserve">5</w:t>
            </w:r>
          </w:p>
        </w:tc>
        <w:tc>
          <w:tcPr>
            <w:tcW w:w="837" w:type="dxa"/>
          </w:tcPr>
          <w:p>
            <w:pPr>
              <w:pStyle w:val="0"/>
              <w:jc w:val="center"/>
            </w:pPr>
            <w:r>
              <w:rPr>
                <w:sz w:val="20"/>
              </w:rPr>
              <w:t xml:space="preserve">8</w:t>
            </w:r>
          </w:p>
        </w:tc>
      </w:tr>
      <w:tr>
        <w:tc>
          <w:tcPr>
            <w:tcW w:w="3005" w:type="dxa"/>
          </w:tcPr>
          <w:p>
            <w:pPr>
              <w:pStyle w:val="0"/>
            </w:pPr>
            <w:r>
              <w:rPr>
                <w:sz w:val="20"/>
              </w:rPr>
              <w:t xml:space="preserve">Доброкачественное новообразование органов пищеварения (D12 - D13)</w:t>
            </w:r>
          </w:p>
        </w:tc>
        <w:tc>
          <w:tcPr>
            <w:tcW w:w="964" w:type="dxa"/>
          </w:tcPr>
          <w:p>
            <w:pPr>
              <w:pStyle w:val="0"/>
              <w:jc w:val="center"/>
            </w:pPr>
            <w:r>
              <w:rPr>
                <w:sz w:val="20"/>
              </w:rPr>
              <w:t xml:space="preserve">-</w:t>
            </w:r>
          </w:p>
        </w:tc>
        <w:tc>
          <w:tcPr>
            <w:tcW w:w="964" w:type="dxa"/>
          </w:tcPr>
          <w:p>
            <w:pPr>
              <w:pStyle w:val="0"/>
              <w:jc w:val="center"/>
            </w:pPr>
            <w:r>
              <w:rPr>
                <w:sz w:val="20"/>
              </w:rPr>
              <w:t xml:space="preserve">-</w:t>
            </w:r>
          </w:p>
        </w:tc>
        <w:tc>
          <w:tcPr>
            <w:tcW w:w="964" w:type="dxa"/>
          </w:tcPr>
          <w:p>
            <w:pPr>
              <w:pStyle w:val="0"/>
              <w:jc w:val="center"/>
            </w:pPr>
            <w:r>
              <w:rPr>
                <w:sz w:val="20"/>
              </w:rPr>
              <w:t xml:space="preserve">-</w:t>
            </w:r>
          </w:p>
        </w:tc>
        <w:tc>
          <w:tcPr>
            <w:tcW w:w="1134" w:type="dxa"/>
          </w:tcPr>
          <w:p>
            <w:pPr>
              <w:pStyle w:val="0"/>
              <w:jc w:val="center"/>
            </w:pPr>
            <w:r>
              <w:rPr>
                <w:sz w:val="20"/>
              </w:rPr>
              <w:t xml:space="preserve">1</w:t>
            </w:r>
          </w:p>
        </w:tc>
        <w:tc>
          <w:tcPr>
            <w:tcW w:w="1134" w:type="dxa"/>
          </w:tcPr>
          <w:p>
            <w:pPr>
              <w:pStyle w:val="0"/>
              <w:jc w:val="center"/>
            </w:pPr>
            <w:r>
              <w:rPr>
                <w:sz w:val="20"/>
              </w:rPr>
              <w:t xml:space="preserve">-</w:t>
            </w:r>
          </w:p>
        </w:tc>
        <w:tc>
          <w:tcPr>
            <w:tcW w:w="1134" w:type="dxa"/>
          </w:tcPr>
          <w:p>
            <w:pPr>
              <w:pStyle w:val="0"/>
              <w:jc w:val="center"/>
            </w:pPr>
            <w:r>
              <w:rPr>
                <w:sz w:val="20"/>
              </w:rPr>
              <w:t xml:space="preserve">1</w:t>
            </w:r>
          </w:p>
        </w:tc>
        <w:tc>
          <w:tcPr>
            <w:tcW w:w="1134" w:type="dxa"/>
          </w:tcPr>
          <w:p>
            <w:pPr>
              <w:pStyle w:val="0"/>
              <w:jc w:val="center"/>
            </w:pPr>
            <w:r>
              <w:rPr>
                <w:sz w:val="20"/>
              </w:rPr>
              <w:t xml:space="preserve">-</w:t>
            </w:r>
          </w:p>
        </w:tc>
        <w:tc>
          <w:tcPr>
            <w:tcW w:w="992" w:type="dxa"/>
          </w:tcPr>
          <w:p>
            <w:pPr>
              <w:pStyle w:val="0"/>
              <w:jc w:val="center"/>
            </w:pPr>
            <w:r>
              <w:rPr>
                <w:sz w:val="20"/>
              </w:rPr>
              <w:t xml:space="preserve">1</w:t>
            </w:r>
          </w:p>
        </w:tc>
        <w:tc>
          <w:tcPr>
            <w:tcW w:w="1134" w:type="dxa"/>
          </w:tcPr>
          <w:p>
            <w:pPr>
              <w:pStyle w:val="0"/>
              <w:jc w:val="center"/>
            </w:pPr>
            <w:r>
              <w:rPr>
                <w:sz w:val="20"/>
              </w:rPr>
              <w:t xml:space="preserve">0</w:t>
            </w:r>
          </w:p>
        </w:tc>
        <w:tc>
          <w:tcPr>
            <w:tcW w:w="837" w:type="dxa"/>
          </w:tcPr>
          <w:p>
            <w:pPr>
              <w:pStyle w:val="0"/>
              <w:jc w:val="center"/>
            </w:pPr>
            <w:r>
              <w:rPr>
                <w:sz w:val="20"/>
              </w:rPr>
              <w:t xml:space="preserve">0</w:t>
            </w:r>
          </w:p>
        </w:tc>
      </w:tr>
      <w:tr>
        <w:tc>
          <w:tcPr>
            <w:tcW w:w="3005" w:type="dxa"/>
          </w:tcPr>
          <w:p>
            <w:pPr>
              <w:pStyle w:val="0"/>
            </w:pPr>
            <w:r>
              <w:rPr>
                <w:sz w:val="20"/>
              </w:rPr>
              <w:t xml:space="preserve">Доброкачественное новообразование других и неуточненных органов грудной клетки (D15)</w:t>
            </w:r>
          </w:p>
        </w:tc>
        <w:tc>
          <w:tcPr>
            <w:tcW w:w="964" w:type="dxa"/>
          </w:tcPr>
          <w:p>
            <w:pPr>
              <w:pStyle w:val="0"/>
              <w:jc w:val="center"/>
            </w:pPr>
            <w:r>
              <w:rPr>
                <w:sz w:val="20"/>
              </w:rPr>
              <w:t xml:space="preserve">-</w:t>
            </w:r>
          </w:p>
        </w:tc>
        <w:tc>
          <w:tcPr>
            <w:tcW w:w="964" w:type="dxa"/>
          </w:tcPr>
          <w:p>
            <w:pPr>
              <w:pStyle w:val="0"/>
              <w:jc w:val="center"/>
            </w:pPr>
            <w:r>
              <w:rPr>
                <w:sz w:val="20"/>
              </w:rPr>
              <w:t xml:space="preserve">-</w:t>
            </w:r>
          </w:p>
        </w:tc>
        <w:tc>
          <w:tcPr>
            <w:tcW w:w="964" w:type="dxa"/>
          </w:tcPr>
          <w:p>
            <w:pPr>
              <w:pStyle w:val="0"/>
              <w:jc w:val="center"/>
            </w:pPr>
            <w:r>
              <w:rPr>
                <w:sz w:val="20"/>
              </w:rPr>
              <w:t xml:space="preserve">-</w:t>
            </w:r>
          </w:p>
        </w:tc>
        <w:tc>
          <w:tcPr>
            <w:tcW w:w="1134" w:type="dxa"/>
          </w:tcPr>
          <w:p>
            <w:pPr>
              <w:pStyle w:val="0"/>
              <w:jc w:val="center"/>
            </w:pPr>
            <w:r>
              <w:rPr>
                <w:sz w:val="20"/>
              </w:rPr>
              <w:t xml:space="preserve">1</w:t>
            </w:r>
          </w:p>
        </w:tc>
        <w:tc>
          <w:tcPr>
            <w:tcW w:w="1134" w:type="dxa"/>
          </w:tcPr>
          <w:p>
            <w:pPr>
              <w:pStyle w:val="0"/>
              <w:jc w:val="center"/>
            </w:pPr>
            <w:r>
              <w:rPr>
                <w:sz w:val="20"/>
              </w:rPr>
              <w:t xml:space="preserve">-</w:t>
            </w:r>
          </w:p>
        </w:tc>
        <w:tc>
          <w:tcPr>
            <w:tcW w:w="1134" w:type="dxa"/>
          </w:tcPr>
          <w:p>
            <w:pPr>
              <w:pStyle w:val="0"/>
              <w:jc w:val="center"/>
            </w:pPr>
            <w:r>
              <w:rPr>
                <w:sz w:val="20"/>
              </w:rPr>
              <w:t xml:space="preserve">-</w:t>
            </w:r>
          </w:p>
        </w:tc>
        <w:tc>
          <w:tcPr>
            <w:tcW w:w="1134" w:type="dxa"/>
          </w:tcPr>
          <w:p>
            <w:pPr>
              <w:pStyle w:val="0"/>
              <w:jc w:val="center"/>
            </w:pPr>
            <w:r>
              <w:rPr>
                <w:sz w:val="20"/>
              </w:rPr>
              <w:t xml:space="preserve">-</w:t>
            </w:r>
          </w:p>
        </w:tc>
        <w:tc>
          <w:tcPr>
            <w:tcW w:w="992" w:type="dxa"/>
          </w:tcPr>
          <w:p>
            <w:pPr>
              <w:pStyle w:val="0"/>
              <w:jc w:val="center"/>
            </w:pPr>
            <w:r>
              <w:rPr>
                <w:sz w:val="20"/>
              </w:rPr>
              <w:t xml:space="preserve">2</w:t>
            </w:r>
          </w:p>
        </w:tc>
        <w:tc>
          <w:tcPr>
            <w:tcW w:w="1134" w:type="dxa"/>
          </w:tcPr>
          <w:p>
            <w:pPr>
              <w:pStyle w:val="0"/>
              <w:jc w:val="center"/>
            </w:pPr>
            <w:r>
              <w:rPr>
                <w:sz w:val="20"/>
              </w:rPr>
              <w:t xml:space="preserve">0</w:t>
            </w:r>
          </w:p>
        </w:tc>
        <w:tc>
          <w:tcPr>
            <w:tcW w:w="837" w:type="dxa"/>
          </w:tcPr>
          <w:p>
            <w:pPr>
              <w:pStyle w:val="0"/>
              <w:jc w:val="center"/>
            </w:pPr>
            <w:r>
              <w:rPr>
                <w:sz w:val="20"/>
              </w:rPr>
              <w:t xml:space="preserve">0</w:t>
            </w:r>
          </w:p>
        </w:tc>
      </w:tr>
      <w:tr>
        <w:tc>
          <w:tcPr>
            <w:tcW w:w="3005" w:type="dxa"/>
          </w:tcPr>
          <w:p>
            <w:pPr>
              <w:pStyle w:val="0"/>
            </w:pPr>
            <w:r>
              <w:rPr>
                <w:sz w:val="20"/>
              </w:rPr>
              <w:t xml:space="preserve">Доброкачественное новообразование яичника (D27)</w:t>
            </w:r>
          </w:p>
        </w:tc>
        <w:tc>
          <w:tcPr>
            <w:tcW w:w="964" w:type="dxa"/>
          </w:tcPr>
          <w:p>
            <w:pPr>
              <w:pStyle w:val="0"/>
              <w:jc w:val="center"/>
            </w:pPr>
            <w:r>
              <w:rPr>
                <w:sz w:val="20"/>
              </w:rPr>
              <w:t xml:space="preserve">-</w:t>
            </w:r>
          </w:p>
        </w:tc>
        <w:tc>
          <w:tcPr>
            <w:tcW w:w="964" w:type="dxa"/>
          </w:tcPr>
          <w:p>
            <w:pPr>
              <w:pStyle w:val="0"/>
              <w:jc w:val="center"/>
            </w:pPr>
            <w:r>
              <w:rPr>
                <w:sz w:val="20"/>
              </w:rPr>
              <w:t xml:space="preserve">-</w:t>
            </w:r>
          </w:p>
        </w:tc>
        <w:tc>
          <w:tcPr>
            <w:tcW w:w="964" w:type="dxa"/>
          </w:tcPr>
          <w:p>
            <w:pPr>
              <w:pStyle w:val="0"/>
              <w:jc w:val="center"/>
            </w:pPr>
            <w:r>
              <w:rPr>
                <w:sz w:val="20"/>
              </w:rPr>
              <w:t xml:space="preserve">-</w:t>
            </w:r>
          </w:p>
        </w:tc>
        <w:tc>
          <w:tcPr>
            <w:tcW w:w="1134" w:type="dxa"/>
          </w:tcPr>
          <w:p>
            <w:pPr>
              <w:pStyle w:val="0"/>
              <w:jc w:val="center"/>
            </w:pPr>
            <w:r>
              <w:rPr>
                <w:sz w:val="20"/>
              </w:rPr>
              <w:t xml:space="preserve">-</w:t>
            </w:r>
          </w:p>
        </w:tc>
        <w:tc>
          <w:tcPr>
            <w:tcW w:w="1134" w:type="dxa"/>
          </w:tcPr>
          <w:p>
            <w:pPr>
              <w:pStyle w:val="0"/>
              <w:jc w:val="center"/>
            </w:pPr>
            <w:r>
              <w:rPr>
                <w:sz w:val="20"/>
              </w:rPr>
              <w:t xml:space="preserve">-</w:t>
            </w:r>
          </w:p>
        </w:tc>
        <w:tc>
          <w:tcPr>
            <w:tcW w:w="1134" w:type="dxa"/>
          </w:tcPr>
          <w:p>
            <w:pPr>
              <w:pStyle w:val="0"/>
              <w:jc w:val="center"/>
            </w:pPr>
            <w:r>
              <w:rPr>
                <w:sz w:val="20"/>
              </w:rPr>
              <w:t xml:space="preserve">-</w:t>
            </w:r>
          </w:p>
        </w:tc>
        <w:tc>
          <w:tcPr>
            <w:tcW w:w="1134" w:type="dxa"/>
          </w:tcPr>
          <w:p>
            <w:pPr>
              <w:pStyle w:val="0"/>
              <w:jc w:val="center"/>
            </w:pPr>
            <w:r>
              <w:rPr>
                <w:sz w:val="20"/>
              </w:rPr>
              <w:t xml:space="preserve">1</w:t>
            </w:r>
          </w:p>
        </w:tc>
        <w:tc>
          <w:tcPr>
            <w:tcW w:w="992" w:type="dxa"/>
          </w:tcPr>
          <w:p>
            <w:pPr>
              <w:pStyle w:val="0"/>
              <w:jc w:val="center"/>
            </w:pPr>
            <w:r>
              <w:rPr>
                <w:sz w:val="20"/>
              </w:rPr>
              <w:t xml:space="preserve">1</w:t>
            </w:r>
          </w:p>
        </w:tc>
        <w:tc>
          <w:tcPr>
            <w:tcW w:w="1134" w:type="dxa"/>
          </w:tcPr>
          <w:p>
            <w:pPr>
              <w:pStyle w:val="0"/>
              <w:jc w:val="center"/>
            </w:pPr>
            <w:r>
              <w:rPr>
                <w:sz w:val="20"/>
              </w:rPr>
              <w:t xml:space="preserve">0</w:t>
            </w:r>
          </w:p>
        </w:tc>
        <w:tc>
          <w:tcPr>
            <w:tcW w:w="837" w:type="dxa"/>
          </w:tcPr>
          <w:p>
            <w:pPr>
              <w:pStyle w:val="0"/>
              <w:jc w:val="center"/>
            </w:pPr>
            <w:r>
              <w:rPr>
                <w:sz w:val="20"/>
              </w:rPr>
              <w:t xml:space="preserve">0</w:t>
            </w:r>
          </w:p>
        </w:tc>
      </w:tr>
      <w:tr>
        <w:tc>
          <w:tcPr>
            <w:tcW w:w="3005" w:type="dxa"/>
          </w:tcPr>
          <w:p>
            <w:pPr>
              <w:pStyle w:val="0"/>
            </w:pPr>
            <w:r>
              <w:rPr>
                <w:sz w:val="20"/>
              </w:rPr>
              <w:t xml:space="preserve">Доброкачественное новообразование мозговых оболочек (D32)</w:t>
            </w:r>
          </w:p>
        </w:tc>
        <w:tc>
          <w:tcPr>
            <w:tcW w:w="964" w:type="dxa"/>
          </w:tcPr>
          <w:p>
            <w:pPr>
              <w:pStyle w:val="0"/>
              <w:jc w:val="center"/>
            </w:pPr>
            <w:r>
              <w:rPr>
                <w:sz w:val="20"/>
              </w:rPr>
              <w:t xml:space="preserve">-</w:t>
            </w:r>
          </w:p>
        </w:tc>
        <w:tc>
          <w:tcPr>
            <w:tcW w:w="964" w:type="dxa"/>
          </w:tcPr>
          <w:p>
            <w:pPr>
              <w:pStyle w:val="0"/>
              <w:jc w:val="center"/>
            </w:pPr>
            <w:r>
              <w:rPr>
                <w:sz w:val="20"/>
              </w:rPr>
              <w:t xml:space="preserve">1</w:t>
            </w:r>
          </w:p>
        </w:tc>
        <w:tc>
          <w:tcPr>
            <w:tcW w:w="964" w:type="dxa"/>
          </w:tcPr>
          <w:p>
            <w:pPr>
              <w:pStyle w:val="0"/>
              <w:jc w:val="center"/>
            </w:pPr>
            <w:r>
              <w:rPr>
                <w:sz w:val="20"/>
              </w:rPr>
              <w:t xml:space="preserve">-</w:t>
            </w:r>
          </w:p>
        </w:tc>
        <w:tc>
          <w:tcPr>
            <w:tcW w:w="1134" w:type="dxa"/>
          </w:tcPr>
          <w:p>
            <w:pPr>
              <w:pStyle w:val="0"/>
              <w:jc w:val="center"/>
            </w:pPr>
            <w:r>
              <w:rPr>
                <w:sz w:val="20"/>
              </w:rPr>
              <w:t xml:space="preserve">1</w:t>
            </w:r>
          </w:p>
        </w:tc>
        <w:tc>
          <w:tcPr>
            <w:tcW w:w="1134" w:type="dxa"/>
          </w:tcPr>
          <w:p>
            <w:pPr>
              <w:pStyle w:val="0"/>
              <w:jc w:val="center"/>
            </w:pPr>
            <w:r>
              <w:rPr>
                <w:sz w:val="20"/>
              </w:rPr>
              <w:t xml:space="preserve">1</w:t>
            </w:r>
          </w:p>
        </w:tc>
        <w:tc>
          <w:tcPr>
            <w:tcW w:w="1134" w:type="dxa"/>
          </w:tcPr>
          <w:p>
            <w:pPr>
              <w:pStyle w:val="0"/>
              <w:jc w:val="center"/>
            </w:pPr>
            <w:r>
              <w:rPr>
                <w:sz w:val="20"/>
              </w:rPr>
              <w:t xml:space="preserve">1</w:t>
            </w:r>
          </w:p>
        </w:tc>
        <w:tc>
          <w:tcPr>
            <w:tcW w:w="1134" w:type="dxa"/>
          </w:tcPr>
          <w:p>
            <w:pPr>
              <w:pStyle w:val="0"/>
              <w:jc w:val="center"/>
            </w:pPr>
            <w:r>
              <w:rPr>
                <w:sz w:val="20"/>
              </w:rPr>
              <w:t xml:space="preserve">1</w:t>
            </w:r>
          </w:p>
        </w:tc>
        <w:tc>
          <w:tcPr>
            <w:tcW w:w="992" w:type="dxa"/>
          </w:tcPr>
          <w:p>
            <w:pPr>
              <w:pStyle w:val="0"/>
              <w:jc w:val="center"/>
            </w:pPr>
            <w:r>
              <w:rPr>
                <w:sz w:val="20"/>
              </w:rPr>
              <w:t xml:space="preserve">2</w:t>
            </w:r>
          </w:p>
        </w:tc>
        <w:tc>
          <w:tcPr>
            <w:tcW w:w="1134" w:type="dxa"/>
          </w:tcPr>
          <w:p>
            <w:pPr>
              <w:pStyle w:val="0"/>
              <w:jc w:val="center"/>
            </w:pPr>
            <w:r>
              <w:rPr>
                <w:sz w:val="20"/>
              </w:rPr>
              <w:t xml:space="preserve">3</w:t>
            </w:r>
          </w:p>
        </w:tc>
        <w:tc>
          <w:tcPr>
            <w:tcW w:w="837" w:type="dxa"/>
          </w:tcPr>
          <w:p>
            <w:pPr>
              <w:pStyle w:val="0"/>
              <w:jc w:val="center"/>
            </w:pPr>
            <w:r>
              <w:rPr>
                <w:sz w:val="20"/>
              </w:rPr>
              <w:t xml:space="preserve">2</w:t>
            </w:r>
          </w:p>
        </w:tc>
      </w:tr>
      <w:tr>
        <w:tc>
          <w:tcPr>
            <w:tcW w:w="3005" w:type="dxa"/>
          </w:tcPr>
          <w:p>
            <w:pPr>
              <w:pStyle w:val="0"/>
            </w:pPr>
            <w:r>
              <w:rPr>
                <w:sz w:val="20"/>
              </w:rPr>
              <w:t xml:space="preserve">Доброкачественное новообразование головного мозга и других отделов центральной нервной системы (D33)</w:t>
            </w:r>
          </w:p>
        </w:tc>
        <w:tc>
          <w:tcPr>
            <w:tcW w:w="964" w:type="dxa"/>
          </w:tcPr>
          <w:p>
            <w:pPr>
              <w:pStyle w:val="0"/>
              <w:jc w:val="center"/>
            </w:pPr>
            <w:r>
              <w:rPr>
                <w:sz w:val="20"/>
              </w:rPr>
              <w:t xml:space="preserve">2</w:t>
            </w:r>
          </w:p>
        </w:tc>
        <w:tc>
          <w:tcPr>
            <w:tcW w:w="964" w:type="dxa"/>
          </w:tcPr>
          <w:p>
            <w:pPr>
              <w:pStyle w:val="0"/>
              <w:jc w:val="center"/>
            </w:pPr>
            <w:r>
              <w:rPr>
                <w:sz w:val="20"/>
              </w:rPr>
              <w:t xml:space="preserve">1</w:t>
            </w:r>
          </w:p>
        </w:tc>
        <w:tc>
          <w:tcPr>
            <w:tcW w:w="964" w:type="dxa"/>
          </w:tcPr>
          <w:p>
            <w:pPr>
              <w:pStyle w:val="0"/>
              <w:jc w:val="center"/>
            </w:pPr>
            <w:r>
              <w:rPr>
                <w:sz w:val="20"/>
              </w:rPr>
              <w:t xml:space="preserve">2</w:t>
            </w:r>
          </w:p>
        </w:tc>
        <w:tc>
          <w:tcPr>
            <w:tcW w:w="1134" w:type="dxa"/>
          </w:tcPr>
          <w:p>
            <w:pPr>
              <w:pStyle w:val="0"/>
              <w:jc w:val="center"/>
            </w:pPr>
            <w:r>
              <w:rPr>
                <w:sz w:val="20"/>
              </w:rPr>
              <w:t xml:space="preserve">-</w:t>
            </w:r>
          </w:p>
        </w:tc>
        <w:tc>
          <w:tcPr>
            <w:tcW w:w="1134" w:type="dxa"/>
          </w:tcPr>
          <w:p>
            <w:pPr>
              <w:pStyle w:val="0"/>
              <w:jc w:val="center"/>
            </w:pPr>
            <w:r>
              <w:rPr>
                <w:sz w:val="20"/>
              </w:rPr>
              <w:t xml:space="preserve">1</w:t>
            </w:r>
          </w:p>
        </w:tc>
        <w:tc>
          <w:tcPr>
            <w:tcW w:w="1134" w:type="dxa"/>
          </w:tcPr>
          <w:p>
            <w:pPr>
              <w:pStyle w:val="0"/>
              <w:jc w:val="center"/>
            </w:pPr>
            <w:r>
              <w:rPr>
                <w:sz w:val="20"/>
              </w:rPr>
              <w:t xml:space="preserve">1</w:t>
            </w:r>
          </w:p>
        </w:tc>
        <w:tc>
          <w:tcPr>
            <w:tcW w:w="1134" w:type="dxa"/>
          </w:tcPr>
          <w:p>
            <w:pPr>
              <w:pStyle w:val="0"/>
              <w:jc w:val="center"/>
            </w:pPr>
            <w:r>
              <w:rPr>
                <w:sz w:val="20"/>
              </w:rPr>
              <w:t xml:space="preserve">2</w:t>
            </w:r>
          </w:p>
        </w:tc>
        <w:tc>
          <w:tcPr>
            <w:tcW w:w="992" w:type="dxa"/>
          </w:tcPr>
          <w:p>
            <w:pPr>
              <w:pStyle w:val="0"/>
              <w:jc w:val="center"/>
            </w:pPr>
            <w:r>
              <w:rPr>
                <w:sz w:val="20"/>
              </w:rPr>
              <w:t xml:space="preserve">-</w:t>
            </w:r>
          </w:p>
        </w:tc>
        <w:tc>
          <w:tcPr>
            <w:tcW w:w="1134" w:type="dxa"/>
          </w:tcPr>
          <w:p>
            <w:pPr>
              <w:pStyle w:val="0"/>
              <w:jc w:val="center"/>
            </w:pPr>
            <w:r>
              <w:rPr>
                <w:sz w:val="20"/>
              </w:rPr>
              <w:t xml:space="preserve">2</w:t>
            </w:r>
          </w:p>
        </w:tc>
        <w:tc>
          <w:tcPr>
            <w:tcW w:w="837" w:type="dxa"/>
          </w:tcPr>
          <w:p>
            <w:pPr>
              <w:pStyle w:val="0"/>
              <w:jc w:val="center"/>
            </w:pPr>
            <w:r>
              <w:rPr>
                <w:sz w:val="20"/>
              </w:rPr>
              <w:t xml:space="preserve">4</w:t>
            </w:r>
          </w:p>
        </w:tc>
      </w:tr>
      <w:tr>
        <w:tc>
          <w:tcPr>
            <w:tcW w:w="3005" w:type="dxa"/>
          </w:tcPr>
          <w:p>
            <w:pPr>
              <w:pStyle w:val="0"/>
            </w:pPr>
            <w:r>
              <w:rPr>
                <w:sz w:val="20"/>
              </w:rPr>
              <w:t xml:space="preserve">Доброкачественное новообразование других и неуточненных эндокринных желез (D35)</w:t>
            </w:r>
          </w:p>
        </w:tc>
        <w:tc>
          <w:tcPr>
            <w:tcW w:w="964" w:type="dxa"/>
          </w:tcPr>
          <w:p>
            <w:pPr>
              <w:pStyle w:val="0"/>
              <w:jc w:val="center"/>
            </w:pPr>
            <w:r>
              <w:rPr>
                <w:sz w:val="20"/>
              </w:rPr>
              <w:t xml:space="preserve">-</w:t>
            </w:r>
          </w:p>
        </w:tc>
        <w:tc>
          <w:tcPr>
            <w:tcW w:w="964" w:type="dxa"/>
          </w:tcPr>
          <w:p>
            <w:pPr>
              <w:pStyle w:val="0"/>
              <w:jc w:val="center"/>
            </w:pPr>
            <w:r>
              <w:rPr>
                <w:sz w:val="20"/>
              </w:rPr>
              <w:t xml:space="preserve">1</w:t>
            </w:r>
          </w:p>
        </w:tc>
        <w:tc>
          <w:tcPr>
            <w:tcW w:w="964" w:type="dxa"/>
          </w:tcPr>
          <w:p>
            <w:pPr>
              <w:pStyle w:val="0"/>
              <w:jc w:val="center"/>
            </w:pPr>
            <w:r>
              <w:rPr>
                <w:sz w:val="20"/>
              </w:rPr>
              <w:t xml:space="preserve">-</w:t>
            </w:r>
          </w:p>
        </w:tc>
        <w:tc>
          <w:tcPr>
            <w:tcW w:w="1134" w:type="dxa"/>
          </w:tcPr>
          <w:p>
            <w:pPr>
              <w:pStyle w:val="0"/>
              <w:jc w:val="center"/>
            </w:pPr>
            <w:r>
              <w:rPr>
                <w:sz w:val="20"/>
              </w:rPr>
              <w:t xml:space="preserve">1</w:t>
            </w:r>
          </w:p>
        </w:tc>
        <w:tc>
          <w:tcPr>
            <w:tcW w:w="1134" w:type="dxa"/>
          </w:tcPr>
          <w:p>
            <w:pPr>
              <w:pStyle w:val="0"/>
              <w:jc w:val="center"/>
            </w:pPr>
            <w:r>
              <w:rPr>
                <w:sz w:val="20"/>
              </w:rPr>
              <w:t xml:space="preserve">-</w:t>
            </w:r>
          </w:p>
        </w:tc>
        <w:tc>
          <w:tcPr>
            <w:tcW w:w="1134" w:type="dxa"/>
          </w:tcPr>
          <w:p>
            <w:pPr>
              <w:pStyle w:val="0"/>
              <w:jc w:val="center"/>
            </w:pPr>
            <w:r>
              <w:rPr>
                <w:sz w:val="20"/>
              </w:rPr>
              <w:t xml:space="preserve">2</w:t>
            </w:r>
          </w:p>
        </w:tc>
        <w:tc>
          <w:tcPr>
            <w:tcW w:w="1134" w:type="dxa"/>
          </w:tcPr>
          <w:p>
            <w:pPr>
              <w:pStyle w:val="0"/>
              <w:jc w:val="center"/>
            </w:pPr>
            <w:r>
              <w:rPr>
                <w:sz w:val="20"/>
              </w:rPr>
              <w:t xml:space="preserve">4</w:t>
            </w:r>
          </w:p>
        </w:tc>
        <w:tc>
          <w:tcPr>
            <w:tcW w:w="992" w:type="dxa"/>
          </w:tcPr>
          <w:p>
            <w:pPr>
              <w:pStyle w:val="0"/>
              <w:jc w:val="center"/>
            </w:pPr>
            <w:r>
              <w:rPr>
                <w:sz w:val="20"/>
              </w:rPr>
              <w:t xml:space="preserve">1</w:t>
            </w:r>
          </w:p>
        </w:tc>
        <w:tc>
          <w:tcPr>
            <w:tcW w:w="1134" w:type="dxa"/>
          </w:tcPr>
          <w:p>
            <w:pPr>
              <w:pStyle w:val="0"/>
              <w:jc w:val="center"/>
            </w:pPr>
            <w:r>
              <w:rPr>
                <w:sz w:val="20"/>
              </w:rPr>
              <w:t xml:space="preserve">0</w:t>
            </w:r>
          </w:p>
        </w:tc>
        <w:tc>
          <w:tcPr>
            <w:tcW w:w="837" w:type="dxa"/>
          </w:tcPr>
          <w:p>
            <w:pPr>
              <w:pStyle w:val="0"/>
              <w:jc w:val="center"/>
            </w:pPr>
            <w:r>
              <w:rPr>
                <w:sz w:val="20"/>
              </w:rPr>
              <w:t xml:space="preserve">2</w:t>
            </w:r>
          </w:p>
        </w:tc>
      </w:tr>
      <w:tr>
        <w:tc>
          <w:tcPr>
            <w:tcW w:w="3005" w:type="dxa"/>
          </w:tcPr>
          <w:p>
            <w:pPr>
              <w:pStyle w:val="0"/>
            </w:pPr>
            <w:r>
              <w:rPr>
                <w:sz w:val="20"/>
              </w:rPr>
              <w:t xml:space="preserve">Новообразования неопределенного или неизвестного характера (D37 - D48)</w:t>
            </w:r>
          </w:p>
        </w:tc>
        <w:tc>
          <w:tcPr>
            <w:tcW w:w="964" w:type="dxa"/>
          </w:tcPr>
          <w:p>
            <w:pPr>
              <w:pStyle w:val="0"/>
              <w:jc w:val="center"/>
            </w:pPr>
            <w:r>
              <w:rPr>
                <w:sz w:val="20"/>
              </w:rPr>
              <w:t xml:space="preserve">14</w:t>
            </w:r>
          </w:p>
        </w:tc>
        <w:tc>
          <w:tcPr>
            <w:tcW w:w="964" w:type="dxa"/>
          </w:tcPr>
          <w:p>
            <w:pPr>
              <w:pStyle w:val="0"/>
              <w:jc w:val="center"/>
            </w:pPr>
            <w:r>
              <w:rPr>
                <w:sz w:val="20"/>
              </w:rPr>
              <w:t xml:space="preserve">13</w:t>
            </w:r>
          </w:p>
        </w:tc>
        <w:tc>
          <w:tcPr>
            <w:tcW w:w="964" w:type="dxa"/>
          </w:tcPr>
          <w:p>
            <w:pPr>
              <w:pStyle w:val="0"/>
              <w:jc w:val="center"/>
            </w:pPr>
            <w:r>
              <w:rPr>
                <w:sz w:val="20"/>
              </w:rPr>
              <w:t xml:space="preserve">10</w:t>
            </w:r>
          </w:p>
        </w:tc>
        <w:tc>
          <w:tcPr>
            <w:tcW w:w="1134" w:type="dxa"/>
          </w:tcPr>
          <w:p>
            <w:pPr>
              <w:pStyle w:val="0"/>
              <w:jc w:val="center"/>
            </w:pPr>
            <w:r>
              <w:rPr>
                <w:sz w:val="20"/>
              </w:rPr>
              <w:t xml:space="preserve">15</w:t>
            </w:r>
          </w:p>
        </w:tc>
        <w:tc>
          <w:tcPr>
            <w:tcW w:w="1134" w:type="dxa"/>
          </w:tcPr>
          <w:p>
            <w:pPr>
              <w:pStyle w:val="0"/>
              <w:jc w:val="center"/>
            </w:pPr>
            <w:r>
              <w:rPr>
                <w:sz w:val="20"/>
              </w:rPr>
              <w:t xml:space="preserve">20</w:t>
            </w:r>
          </w:p>
        </w:tc>
        <w:tc>
          <w:tcPr>
            <w:tcW w:w="1134" w:type="dxa"/>
          </w:tcPr>
          <w:p>
            <w:pPr>
              <w:pStyle w:val="0"/>
              <w:jc w:val="center"/>
            </w:pPr>
            <w:r>
              <w:rPr>
                <w:sz w:val="20"/>
              </w:rPr>
              <w:t xml:space="preserve">22</w:t>
            </w:r>
          </w:p>
        </w:tc>
        <w:tc>
          <w:tcPr>
            <w:tcW w:w="1134" w:type="dxa"/>
          </w:tcPr>
          <w:p>
            <w:pPr>
              <w:pStyle w:val="0"/>
              <w:jc w:val="center"/>
            </w:pPr>
            <w:r>
              <w:rPr>
                <w:sz w:val="20"/>
              </w:rPr>
              <w:t xml:space="preserve">28</w:t>
            </w:r>
          </w:p>
        </w:tc>
        <w:tc>
          <w:tcPr>
            <w:tcW w:w="992" w:type="dxa"/>
          </w:tcPr>
          <w:p>
            <w:pPr>
              <w:pStyle w:val="0"/>
              <w:jc w:val="center"/>
            </w:pPr>
            <w:r>
              <w:rPr>
                <w:sz w:val="20"/>
              </w:rPr>
              <w:t xml:space="preserve">23</w:t>
            </w:r>
          </w:p>
        </w:tc>
        <w:tc>
          <w:tcPr>
            <w:tcW w:w="1134" w:type="dxa"/>
          </w:tcPr>
          <w:p>
            <w:pPr>
              <w:pStyle w:val="0"/>
              <w:jc w:val="center"/>
            </w:pPr>
            <w:r>
              <w:rPr>
                <w:sz w:val="20"/>
              </w:rPr>
              <w:t xml:space="preserve">16</w:t>
            </w:r>
          </w:p>
        </w:tc>
        <w:tc>
          <w:tcPr>
            <w:tcW w:w="837" w:type="dxa"/>
          </w:tcPr>
          <w:p>
            <w:pPr>
              <w:pStyle w:val="0"/>
              <w:jc w:val="center"/>
            </w:pPr>
            <w:r>
              <w:rPr>
                <w:sz w:val="20"/>
              </w:rPr>
              <w:t xml:space="preserve">33</w:t>
            </w:r>
          </w:p>
        </w:tc>
      </w:tr>
      <w:tr>
        <w:tc>
          <w:tcPr>
            <w:tcW w:w="3005" w:type="dxa"/>
          </w:tcPr>
          <w:p>
            <w:pPr>
              <w:pStyle w:val="0"/>
            </w:pPr>
            <w:r>
              <w:rPr>
                <w:sz w:val="20"/>
              </w:rPr>
              <w:t xml:space="preserve">Новообразование неопределенного или неизвестного характера среднего уха, органов дыхания и грудной клетки (D38)</w:t>
            </w:r>
          </w:p>
        </w:tc>
        <w:tc>
          <w:tcPr>
            <w:tcW w:w="964" w:type="dxa"/>
          </w:tcPr>
          <w:p>
            <w:pPr>
              <w:pStyle w:val="0"/>
              <w:jc w:val="center"/>
            </w:pPr>
            <w:r>
              <w:rPr>
                <w:sz w:val="20"/>
              </w:rPr>
              <w:t xml:space="preserve">3</w:t>
            </w:r>
          </w:p>
        </w:tc>
        <w:tc>
          <w:tcPr>
            <w:tcW w:w="964" w:type="dxa"/>
          </w:tcPr>
          <w:p>
            <w:pPr>
              <w:pStyle w:val="0"/>
              <w:jc w:val="center"/>
            </w:pPr>
            <w:r>
              <w:rPr>
                <w:sz w:val="20"/>
              </w:rPr>
              <w:t xml:space="preserve">1</w:t>
            </w:r>
          </w:p>
        </w:tc>
        <w:tc>
          <w:tcPr>
            <w:tcW w:w="964" w:type="dxa"/>
          </w:tcPr>
          <w:p>
            <w:pPr>
              <w:pStyle w:val="0"/>
              <w:jc w:val="center"/>
            </w:pPr>
            <w:r>
              <w:rPr>
                <w:sz w:val="20"/>
              </w:rPr>
              <w:t xml:space="preserve">2</w:t>
            </w:r>
          </w:p>
        </w:tc>
        <w:tc>
          <w:tcPr>
            <w:tcW w:w="1134" w:type="dxa"/>
          </w:tcPr>
          <w:p>
            <w:pPr>
              <w:pStyle w:val="0"/>
              <w:jc w:val="center"/>
            </w:pPr>
            <w:r>
              <w:rPr>
                <w:sz w:val="20"/>
              </w:rPr>
              <w:t xml:space="preserve">1</w:t>
            </w:r>
          </w:p>
        </w:tc>
        <w:tc>
          <w:tcPr>
            <w:tcW w:w="1134" w:type="dxa"/>
          </w:tcPr>
          <w:p>
            <w:pPr>
              <w:pStyle w:val="0"/>
              <w:jc w:val="center"/>
            </w:pPr>
            <w:r>
              <w:rPr>
                <w:sz w:val="20"/>
              </w:rPr>
              <w:t xml:space="preserve">1</w:t>
            </w:r>
          </w:p>
        </w:tc>
        <w:tc>
          <w:tcPr>
            <w:tcW w:w="1134" w:type="dxa"/>
          </w:tcPr>
          <w:p>
            <w:pPr>
              <w:pStyle w:val="0"/>
              <w:jc w:val="center"/>
            </w:pPr>
            <w:r>
              <w:rPr>
                <w:sz w:val="20"/>
              </w:rPr>
              <w:t xml:space="preserve">-</w:t>
            </w:r>
          </w:p>
        </w:tc>
        <w:tc>
          <w:tcPr>
            <w:tcW w:w="1134" w:type="dxa"/>
          </w:tcPr>
          <w:p>
            <w:pPr>
              <w:pStyle w:val="0"/>
              <w:jc w:val="center"/>
            </w:pPr>
            <w:r>
              <w:rPr>
                <w:sz w:val="20"/>
              </w:rPr>
              <w:t xml:space="preserve">3</w:t>
            </w:r>
          </w:p>
        </w:tc>
        <w:tc>
          <w:tcPr>
            <w:tcW w:w="992" w:type="dxa"/>
          </w:tcPr>
          <w:p>
            <w:pPr>
              <w:pStyle w:val="0"/>
              <w:jc w:val="center"/>
            </w:pPr>
            <w:r>
              <w:rPr>
                <w:sz w:val="20"/>
              </w:rPr>
              <w:t xml:space="preserve">-</w:t>
            </w:r>
          </w:p>
        </w:tc>
        <w:tc>
          <w:tcPr>
            <w:tcW w:w="1134" w:type="dxa"/>
          </w:tcPr>
          <w:p>
            <w:pPr>
              <w:pStyle w:val="0"/>
              <w:jc w:val="center"/>
            </w:pPr>
            <w:r>
              <w:rPr>
                <w:sz w:val="20"/>
              </w:rPr>
              <w:t xml:space="preserve">6</w:t>
            </w:r>
          </w:p>
        </w:tc>
        <w:tc>
          <w:tcPr>
            <w:tcW w:w="837" w:type="dxa"/>
          </w:tcPr>
          <w:p>
            <w:pPr>
              <w:pStyle w:val="0"/>
              <w:jc w:val="center"/>
            </w:pPr>
            <w:r>
              <w:rPr>
                <w:sz w:val="20"/>
              </w:rPr>
              <w:t xml:space="preserve">1</w:t>
            </w:r>
          </w:p>
        </w:tc>
      </w:tr>
      <w:tr>
        <w:tc>
          <w:tcPr>
            <w:tcW w:w="3005" w:type="dxa"/>
          </w:tcPr>
          <w:p>
            <w:pPr>
              <w:pStyle w:val="0"/>
            </w:pPr>
            <w:r>
              <w:rPr>
                <w:sz w:val="20"/>
              </w:rPr>
              <w:t xml:space="preserve">Новообразование неопределенного или неизвестного характера головного мозга и центральной нервной системы (D43)</w:t>
            </w:r>
          </w:p>
        </w:tc>
        <w:tc>
          <w:tcPr>
            <w:tcW w:w="964" w:type="dxa"/>
          </w:tcPr>
          <w:p>
            <w:pPr>
              <w:pStyle w:val="0"/>
              <w:jc w:val="center"/>
            </w:pPr>
            <w:r>
              <w:rPr>
                <w:sz w:val="20"/>
              </w:rPr>
              <w:t xml:space="preserve">2</w:t>
            </w:r>
          </w:p>
        </w:tc>
        <w:tc>
          <w:tcPr>
            <w:tcW w:w="964" w:type="dxa"/>
          </w:tcPr>
          <w:p>
            <w:pPr>
              <w:pStyle w:val="0"/>
              <w:jc w:val="center"/>
            </w:pPr>
            <w:r>
              <w:rPr>
                <w:sz w:val="20"/>
              </w:rPr>
              <w:t xml:space="preserve">2</w:t>
            </w:r>
          </w:p>
        </w:tc>
        <w:tc>
          <w:tcPr>
            <w:tcW w:w="964" w:type="dxa"/>
          </w:tcPr>
          <w:p>
            <w:pPr>
              <w:pStyle w:val="0"/>
              <w:jc w:val="center"/>
            </w:pPr>
            <w:r>
              <w:rPr>
                <w:sz w:val="20"/>
              </w:rPr>
              <w:t xml:space="preserve">2</w:t>
            </w:r>
          </w:p>
        </w:tc>
        <w:tc>
          <w:tcPr>
            <w:tcW w:w="1134" w:type="dxa"/>
          </w:tcPr>
          <w:p>
            <w:pPr>
              <w:pStyle w:val="0"/>
              <w:jc w:val="center"/>
            </w:pPr>
            <w:r>
              <w:rPr>
                <w:sz w:val="20"/>
              </w:rPr>
              <w:t xml:space="preserve">3</w:t>
            </w:r>
          </w:p>
        </w:tc>
        <w:tc>
          <w:tcPr>
            <w:tcW w:w="1134" w:type="dxa"/>
          </w:tcPr>
          <w:p>
            <w:pPr>
              <w:pStyle w:val="0"/>
              <w:jc w:val="center"/>
            </w:pPr>
            <w:r>
              <w:rPr>
                <w:sz w:val="20"/>
              </w:rPr>
              <w:t xml:space="preserve">2</w:t>
            </w:r>
          </w:p>
        </w:tc>
        <w:tc>
          <w:tcPr>
            <w:tcW w:w="1134" w:type="dxa"/>
          </w:tcPr>
          <w:p>
            <w:pPr>
              <w:pStyle w:val="0"/>
              <w:jc w:val="center"/>
            </w:pPr>
            <w:r>
              <w:rPr>
                <w:sz w:val="20"/>
              </w:rPr>
              <w:t xml:space="preserve">5</w:t>
            </w:r>
          </w:p>
        </w:tc>
        <w:tc>
          <w:tcPr>
            <w:tcW w:w="1134" w:type="dxa"/>
          </w:tcPr>
          <w:p>
            <w:pPr>
              <w:pStyle w:val="0"/>
              <w:jc w:val="center"/>
            </w:pPr>
            <w:r>
              <w:rPr>
                <w:sz w:val="20"/>
              </w:rPr>
              <w:t xml:space="preserve">8</w:t>
            </w:r>
          </w:p>
        </w:tc>
        <w:tc>
          <w:tcPr>
            <w:tcW w:w="992" w:type="dxa"/>
          </w:tcPr>
          <w:p>
            <w:pPr>
              <w:pStyle w:val="0"/>
              <w:jc w:val="center"/>
            </w:pPr>
            <w:r>
              <w:rPr>
                <w:sz w:val="20"/>
              </w:rPr>
              <w:t xml:space="preserve">5</w:t>
            </w:r>
          </w:p>
        </w:tc>
        <w:tc>
          <w:tcPr>
            <w:tcW w:w="1134" w:type="dxa"/>
          </w:tcPr>
          <w:p>
            <w:pPr>
              <w:pStyle w:val="0"/>
              <w:jc w:val="center"/>
            </w:pPr>
            <w:r>
              <w:rPr>
                <w:sz w:val="20"/>
              </w:rPr>
              <w:t xml:space="preserve">15</w:t>
            </w:r>
          </w:p>
        </w:tc>
        <w:tc>
          <w:tcPr>
            <w:tcW w:w="837" w:type="dxa"/>
          </w:tcPr>
          <w:p>
            <w:pPr>
              <w:pStyle w:val="0"/>
              <w:jc w:val="center"/>
            </w:pPr>
            <w:r>
              <w:rPr>
                <w:sz w:val="20"/>
              </w:rPr>
              <w:t xml:space="preserve">7</w:t>
            </w:r>
          </w:p>
        </w:tc>
      </w:tr>
      <w:tr>
        <w:tc>
          <w:tcPr>
            <w:tcW w:w="3005" w:type="dxa"/>
          </w:tcPr>
          <w:p>
            <w:pPr>
              <w:pStyle w:val="0"/>
            </w:pPr>
            <w:r>
              <w:rPr>
                <w:sz w:val="20"/>
              </w:rPr>
              <w:t xml:space="preserve">Миелодиспластические синдромы (D46)</w:t>
            </w:r>
          </w:p>
        </w:tc>
        <w:tc>
          <w:tcPr>
            <w:tcW w:w="964" w:type="dxa"/>
          </w:tcPr>
          <w:p>
            <w:pPr>
              <w:pStyle w:val="0"/>
              <w:jc w:val="center"/>
            </w:pPr>
            <w:r>
              <w:rPr>
                <w:sz w:val="20"/>
              </w:rPr>
              <w:t xml:space="preserve">2</w:t>
            </w:r>
          </w:p>
        </w:tc>
        <w:tc>
          <w:tcPr>
            <w:tcW w:w="964" w:type="dxa"/>
          </w:tcPr>
          <w:p>
            <w:pPr>
              <w:pStyle w:val="0"/>
              <w:jc w:val="center"/>
            </w:pPr>
            <w:r>
              <w:rPr>
                <w:sz w:val="20"/>
              </w:rPr>
              <w:t xml:space="preserve">2</w:t>
            </w:r>
          </w:p>
        </w:tc>
        <w:tc>
          <w:tcPr>
            <w:tcW w:w="964" w:type="dxa"/>
          </w:tcPr>
          <w:p>
            <w:pPr>
              <w:pStyle w:val="0"/>
              <w:jc w:val="center"/>
            </w:pPr>
            <w:r>
              <w:rPr>
                <w:sz w:val="20"/>
              </w:rPr>
              <w:t xml:space="preserve">3</w:t>
            </w:r>
          </w:p>
        </w:tc>
        <w:tc>
          <w:tcPr>
            <w:tcW w:w="1134" w:type="dxa"/>
          </w:tcPr>
          <w:p>
            <w:pPr>
              <w:pStyle w:val="0"/>
              <w:jc w:val="center"/>
            </w:pPr>
            <w:r>
              <w:rPr>
                <w:sz w:val="20"/>
              </w:rPr>
              <w:t xml:space="preserve">2</w:t>
            </w:r>
          </w:p>
        </w:tc>
        <w:tc>
          <w:tcPr>
            <w:tcW w:w="1134" w:type="dxa"/>
          </w:tcPr>
          <w:p>
            <w:pPr>
              <w:pStyle w:val="0"/>
              <w:jc w:val="center"/>
            </w:pPr>
            <w:r>
              <w:rPr>
                <w:sz w:val="20"/>
              </w:rPr>
              <w:t xml:space="preserve">1</w:t>
            </w:r>
          </w:p>
        </w:tc>
        <w:tc>
          <w:tcPr>
            <w:tcW w:w="1134" w:type="dxa"/>
          </w:tcPr>
          <w:p>
            <w:pPr>
              <w:pStyle w:val="0"/>
              <w:jc w:val="center"/>
            </w:pPr>
            <w:r>
              <w:rPr>
                <w:sz w:val="20"/>
              </w:rPr>
              <w:t xml:space="preserve">6</w:t>
            </w:r>
          </w:p>
        </w:tc>
        <w:tc>
          <w:tcPr>
            <w:tcW w:w="1134" w:type="dxa"/>
          </w:tcPr>
          <w:p>
            <w:pPr>
              <w:pStyle w:val="0"/>
              <w:jc w:val="center"/>
            </w:pPr>
            <w:r>
              <w:rPr>
                <w:sz w:val="20"/>
              </w:rPr>
              <w:t xml:space="preserve">1</w:t>
            </w:r>
          </w:p>
        </w:tc>
        <w:tc>
          <w:tcPr>
            <w:tcW w:w="992" w:type="dxa"/>
          </w:tcPr>
          <w:p>
            <w:pPr>
              <w:pStyle w:val="0"/>
              <w:jc w:val="center"/>
            </w:pPr>
            <w:r>
              <w:rPr>
                <w:sz w:val="20"/>
              </w:rPr>
              <w:t xml:space="preserve">3</w:t>
            </w:r>
          </w:p>
        </w:tc>
        <w:tc>
          <w:tcPr>
            <w:tcW w:w="1134" w:type="dxa"/>
          </w:tcPr>
          <w:p>
            <w:pPr>
              <w:pStyle w:val="0"/>
              <w:jc w:val="center"/>
            </w:pPr>
            <w:r>
              <w:rPr>
                <w:sz w:val="20"/>
              </w:rPr>
              <w:t xml:space="preserve">1</w:t>
            </w:r>
          </w:p>
        </w:tc>
        <w:tc>
          <w:tcPr>
            <w:tcW w:w="837" w:type="dxa"/>
          </w:tcPr>
          <w:p>
            <w:pPr>
              <w:pStyle w:val="0"/>
              <w:jc w:val="center"/>
            </w:pPr>
            <w:r>
              <w:rPr>
                <w:sz w:val="20"/>
              </w:rPr>
              <w:t xml:space="preserve">2</w:t>
            </w:r>
          </w:p>
        </w:tc>
      </w:tr>
      <w:tr>
        <w:tc>
          <w:tcPr>
            <w:tcW w:w="3005" w:type="dxa"/>
          </w:tcPr>
          <w:p>
            <w:pPr>
              <w:pStyle w:val="0"/>
            </w:pPr>
            <w:r>
              <w:rPr>
                <w:sz w:val="20"/>
              </w:rPr>
              <w:t xml:space="preserve">Доброкачественные новообразования (D00 - D48)</w:t>
            </w:r>
          </w:p>
        </w:tc>
        <w:tc>
          <w:tcPr>
            <w:tcW w:w="964" w:type="dxa"/>
          </w:tcPr>
          <w:p>
            <w:pPr>
              <w:pStyle w:val="0"/>
              <w:jc w:val="center"/>
            </w:pPr>
            <w:r>
              <w:rPr>
                <w:sz w:val="20"/>
              </w:rPr>
              <w:t xml:space="preserve">16</w:t>
            </w:r>
          </w:p>
        </w:tc>
        <w:tc>
          <w:tcPr>
            <w:tcW w:w="964" w:type="dxa"/>
          </w:tcPr>
          <w:p>
            <w:pPr>
              <w:pStyle w:val="0"/>
              <w:jc w:val="center"/>
            </w:pPr>
            <w:r>
              <w:rPr>
                <w:sz w:val="20"/>
              </w:rPr>
              <w:t xml:space="preserve">16</w:t>
            </w:r>
          </w:p>
        </w:tc>
        <w:tc>
          <w:tcPr>
            <w:tcW w:w="964" w:type="dxa"/>
          </w:tcPr>
          <w:p>
            <w:pPr>
              <w:pStyle w:val="0"/>
              <w:jc w:val="center"/>
            </w:pPr>
            <w:r>
              <w:rPr>
                <w:sz w:val="20"/>
              </w:rPr>
              <w:t xml:space="preserve">14</w:t>
            </w:r>
          </w:p>
        </w:tc>
        <w:tc>
          <w:tcPr>
            <w:tcW w:w="1134" w:type="dxa"/>
          </w:tcPr>
          <w:p>
            <w:pPr>
              <w:pStyle w:val="0"/>
              <w:jc w:val="center"/>
            </w:pPr>
            <w:r>
              <w:rPr>
                <w:sz w:val="20"/>
              </w:rPr>
              <w:t xml:space="preserve">20</w:t>
            </w:r>
          </w:p>
        </w:tc>
        <w:tc>
          <w:tcPr>
            <w:tcW w:w="1134" w:type="dxa"/>
          </w:tcPr>
          <w:p>
            <w:pPr>
              <w:pStyle w:val="0"/>
              <w:jc w:val="center"/>
            </w:pPr>
            <w:r>
              <w:rPr>
                <w:sz w:val="20"/>
              </w:rPr>
              <w:t xml:space="preserve">22</w:t>
            </w:r>
          </w:p>
        </w:tc>
        <w:tc>
          <w:tcPr>
            <w:tcW w:w="1134" w:type="dxa"/>
          </w:tcPr>
          <w:p>
            <w:pPr>
              <w:pStyle w:val="0"/>
              <w:jc w:val="center"/>
            </w:pPr>
            <w:r>
              <w:rPr>
                <w:sz w:val="20"/>
              </w:rPr>
              <w:t xml:space="preserve">27</w:t>
            </w:r>
          </w:p>
        </w:tc>
        <w:tc>
          <w:tcPr>
            <w:tcW w:w="1134" w:type="dxa"/>
          </w:tcPr>
          <w:p>
            <w:pPr>
              <w:pStyle w:val="0"/>
              <w:jc w:val="center"/>
            </w:pPr>
            <w:r>
              <w:rPr>
                <w:sz w:val="20"/>
              </w:rPr>
              <w:t xml:space="preserve">36</w:t>
            </w:r>
          </w:p>
        </w:tc>
        <w:tc>
          <w:tcPr>
            <w:tcW w:w="992" w:type="dxa"/>
          </w:tcPr>
          <w:p>
            <w:pPr>
              <w:pStyle w:val="0"/>
              <w:jc w:val="center"/>
            </w:pPr>
            <w:r>
              <w:rPr>
                <w:sz w:val="20"/>
              </w:rPr>
              <w:t xml:space="preserve">30</w:t>
            </w:r>
          </w:p>
        </w:tc>
        <w:tc>
          <w:tcPr>
            <w:tcW w:w="1134" w:type="dxa"/>
          </w:tcPr>
          <w:p>
            <w:pPr>
              <w:pStyle w:val="0"/>
              <w:jc w:val="center"/>
            </w:pPr>
            <w:r>
              <w:rPr>
                <w:sz w:val="20"/>
              </w:rPr>
              <w:t xml:space="preserve">38</w:t>
            </w:r>
          </w:p>
        </w:tc>
        <w:tc>
          <w:tcPr>
            <w:tcW w:w="837" w:type="dxa"/>
          </w:tcPr>
          <w:p>
            <w:pPr>
              <w:pStyle w:val="0"/>
              <w:jc w:val="center"/>
            </w:pPr>
            <w:r>
              <w:rPr>
                <w:sz w:val="20"/>
              </w:rPr>
              <w:t xml:space="preserve">24</w:t>
            </w:r>
          </w:p>
        </w:tc>
      </w:tr>
    </w:tbl>
    <w:p>
      <w:pPr>
        <w:pStyle w:val="0"/>
        <w:ind w:firstLine="540"/>
        <w:jc w:val="both"/>
      </w:pPr>
      <w:r>
        <w:rPr>
          <w:sz w:val="20"/>
        </w:rPr>
      </w:r>
    </w:p>
    <w:p>
      <w:pPr>
        <w:pStyle w:val="2"/>
        <w:outlineLvl w:val="2"/>
        <w:jc w:val="center"/>
      </w:pPr>
      <w:r>
        <w:rPr>
          <w:sz w:val="20"/>
        </w:rPr>
        <w:t xml:space="preserve">1.4. Текущая ситуация по реализации мероприятий по первичной</w:t>
      </w:r>
    </w:p>
    <w:p>
      <w:pPr>
        <w:pStyle w:val="2"/>
        <w:jc w:val="center"/>
      </w:pPr>
      <w:r>
        <w:rPr>
          <w:sz w:val="20"/>
        </w:rPr>
        <w:t xml:space="preserve">и вторичной профилактике онкологических заболеваний</w:t>
      </w:r>
    </w:p>
    <w:p>
      <w:pPr>
        <w:pStyle w:val="2"/>
        <w:jc w:val="center"/>
      </w:pPr>
      <w:r>
        <w:rPr>
          <w:sz w:val="20"/>
        </w:rPr>
        <w:t xml:space="preserve">в Ханты-Мансийском автономном округе - Югре</w:t>
      </w:r>
    </w:p>
    <w:p>
      <w:pPr>
        <w:pStyle w:val="0"/>
        <w:ind w:firstLine="540"/>
        <w:jc w:val="both"/>
      </w:pPr>
      <w:r>
        <w:rPr>
          <w:sz w:val="20"/>
        </w:rPr>
      </w:r>
    </w:p>
    <w:p>
      <w:pPr>
        <w:pStyle w:val="0"/>
        <w:ind w:firstLine="540"/>
        <w:jc w:val="both"/>
      </w:pPr>
      <w:r>
        <w:rPr>
          <w:sz w:val="20"/>
        </w:rPr>
        <w:t xml:space="preserve">Мероприятия по формированию здорового образа жизни в Ханты-Мансийском автономном округе - Югре по профилактике онкологических заболеваний реализуются в соответствии с программой укрепления общественного здоровья в Ханты-Мансийском автономном округе - Югре "Профилактика заболеваний и формирование здорового образа жизни" ("Здоровая Югра").</w:t>
      </w:r>
    </w:p>
    <w:p>
      <w:pPr>
        <w:pStyle w:val="0"/>
        <w:spacing w:before="200" w:line-rule="auto"/>
        <w:ind w:firstLine="540"/>
        <w:jc w:val="both"/>
      </w:pPr>
      <w:r>
        <w:rPr>
          <w:sz w:val="20"/>
        </w:rPr>
        <w:t xml:space="preserve">В автономном округе сформирована система медицинской профилактики, включающая работу бюджетного учреждения Ханты-Мансийского автономного округа - Югры (далее - БУ) "Центр общественного здоровья и медицинской профилактики" с 3 филиалами в городах Сургут, Нижневартовск и Нефтеюганск, 12 центров здоровья (в том числе 4 центра здоровья для детского населения). Для обеспечения жителей отдаленных сельских поселений профилактическими медицинскими услугами осуществляют работу 3 мобильных центра здоровья в городах Сургут, Лянтор, Нижневартовск.</w:t>
      </w:r>
    </w:p>
    <w:p>
      <w:pPr>
        <w:pStyle w:val="0"/>
        <w:spacing w:before="200" w:line-rule="auto"/>
        <w:ind w:firstLine="540"/>
        <w:jc w:val="both"/>
      </w:pPr>
      <w:r>
        <w:rPr>
          <w:sz w:val="20"/>
        </w:rPr>
        <w:t xml:space="preserve">В медицинских организациях автономного округа функционируют 22 отделения и 32 кабинета медицинской профилактики.</w:t>
      </w:r>
    </w:p>
    <w:p>
      <w:pPr>
        <w:pStyle w:val="0"/>
        <w:spacing w:before="200" w:line-rule="auto"/>
        <w:ind w:firstLine="540"/>
        <w:jc w:val="both"/>
      </w:pPr>
      <w:r>
        <w:rPr>
          <w:sz w:val="20"/>
        </w:rPr>
        <w:t xml:space="preserve">Результаты работы системы отражены в увеличении количества жителей автономного округа, прошедших обучение основам здорового образа жизни, в том числе на семинарах, тренингах, лекториях, клубах, школах здоровья (таблица 30).</w:t>
      </w:r>
    </w:p>
    <w:p>
      <w:pPr>
        <w:pStyle w:val="0"/>
        <w:ind w:firstLine="540"/>
        <w:jc w:val="both"/>
      </w:pPr>
      <w:r>
        <w:rPr>
          <w:sz w:val="20"/>
        </w:rPr>
      </w:r>
    </w:p>
    <w:p>
      <w:pPr>
        <w:pStyle w:val="0"/>
        <w:jc w:val="right"/>
      </w:pPr>
      <w:r>
        <w:rPr>
          <w:sz w:val="20"/>
        </w:rPr>
        <w:t xml:space="preserve">Таблица 30</w:t>
      </w:r>
    </w:p>
    <w:p>
      <w:pPr>
        <w:pStyle w:val="0"/>
        <w:jc w:val="right"/>
      </w:pPr>
      <w:r>
        <w:rPr>
          <w:sz w:val="20"/>
        </w:rPr>
      </w:r>
    </w:p>
    <w:bookmarkStart w:id="10277" w:name="P10277"/>
    <w:bookmarkEnd w:id="10277"/>
    <w:p>
      <w:pPr>
        <w:pStyle w:val="0"/>
        <w:jc w:val="center"/>
      </w:pPr>
      <w:r>
        <w:rPr>
          <w:sz w:val="20"/>
        </w:rPr>
        <w:t xml:space="preserve">Число жителей автономного округа, прошедших обучение основам</w:t>
      </w:r>
    </w:p>
    <w:p>
      <w:pPr>
        <w:pStyle w:val="0"/>
        <w:jc w:val="center"/>
      </w:pPr>
      <w:r>
        <w:rPr>
          <w:sz w:val="20"/>
        </w:rPr>
        <w:t xml:space="preserve">здорового образа жизни за период с 2013 по 2022 год</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844"/>
        <w:gridCol w:w="784"/>
        <w:gridCol w:w="844"/>
        <w:gridCol w:w="844"/>
        <w:gridCol w:w="844"/>
        <w:gridCol w:w="844"/>
        <w:gridCol w:w="844"/>
        <w:gridCol w:w="844"/>
        <w:gridCol w:w="844"/>
        <w:gridCol w:w="844"/>
      </w:tblGrid>
      <w:tr>
        <w:tc>
          <w:tcPr>
            <w:tcW w:w="1984" w:type="dxa"/>
          </w:tcPr>
          <w:p>
            <w:pPr>
              <w:pStyle w:val="0"/>
              <w:jc w:val="center"/>
            </w:pPr>
            <w:r>
              <w:rPr>
                <w:sz w:val="20"/>
              </w:rPr>
              <w:t xml:space="preserve">Показатель</w:t>
            </w:r>
          </w:p>
        </w:tc>
        <w:tc>
          <w:tcPr>
            <w:tcW w:w="844" w:type="dxa"/>
          </w:tcPr>
          <w:p>
            <w:pPr>
              <w:pStyle w:val="0"/>
              <w:jc w:val="center"/>
            </w:pPr>
            <w:r>
              <w:rPr>
                <w:sz w:val="20"/>
              </w:rPr>
              <w:t xml:space="preserve">2013</w:t>
            </w:r>
          </w:p>
        </w:tc>
        <w:tc>
          <w:tcPr>
            <w:tcW w:w="784" w:type="dxa"/>
          </w:tcPr>
          <w:p>
            <w:pPr>
              <w:pStyle w:val="0"/>
              <w:jc w:val="center"/>
            </w:pPr>
            <w:r>
              <w:rPr>
                <w:sz w:val="20"/>
              </w:rPr>
              <w:t xml:space="preserve">2014</w:t>
            </w:r>
          </w:p>
        </w:tc>
        <w:tc>
          <w:tcPr>
            <w:tcW w:w="844" w:type="dxa"/>
          </w:tcPr>
          <w:p>
            <w:pPr>
              <w:pStyle w:val="0"/>
              <w:jc w:val="center"/>
            </w:pPr>
            <w:r>
              <w:rPr>
                <w:sz w:val="20"/>
              </w:rPr>
              <w:t xml:space="preserve">2015</w:t>
            </w:r>
          </w:p>
        </w:tc>
        <w:tc>
          <w:tcPr>
            <w:tcW w:w="844" w:type="dxa"/>
          </w:tcPr>
          <w:p>
            <w:pPr>
              <w:pStyle w:val="0"/>
              <w:jc w:val="center"/>
            </w:pPr>
            <w:r>
              <w:rPr>
                <w:sz w:val="20"/>
              </w:rPr>
              <w:t xml:space="preserve">2016</w:t>
            </w:r>
          </w:p>
        </w:tc>
        <w:tc>
          <w:tcPr>
            <w:tcW w:w="844" w:type="dxa"/>
          </w:tcPr>
          <w:p>
            <w:pPr>
              <w:pStyle w:val="0"/>
              <w:jc w:val="center"/>
            </w:pPr>
            <w:r>
              <w:rPr>
                <w:sz w:val="20"/>
              </w:rPr>
              <w:t xml:space="preserve">2017</w:t>
            </w:r>
          </w:p>
        </w:tc>
        <w:tc>
          <w:tcPr>
            <w:tcW w:w="844" w:type="dxa"/>
          </w:tcPr>
          <w:p>
            <w:pPr>
              <w:pStyle w:val="0"/>
              <w:jc w:val="center"/>
            </w:pPr>
            <w:r>
              <w:rPr>
                <w:sz w:val="20"/>
              </w:rPr>
              <w:t xml:space="preserve">2018</w:t>
            </w:r>
          </w:p>
        </w:tc>
        <w:tc>
          <w:tcPr>
            <w:tcW w:w="844" w:type="dxa"/>
          </w:tcPr>
          <w:p>
            <w:pPr>
              <w:pStyle w:val="0"/>
              <w:jc w:val="center"/>
            </w:pPr>
            <w:r>
              <w:rPr>
                <w:sz w:val="20"/>
              </w:rPr>
              <w:t xml:space="preserve">2019</w:t>
            </w:r>
          </w:p>
        </w:tc>
        <w:tc>
          <w:tcPr>
            <w:tcW w:w="844" w:type="dxa"/>
          </w:tcPr>
          <w:p>
            <w:pPr>
              <w:pStyle w:val="0"/>
              <w:jc w:val="center"/>
            </w:pPr>
            <w:r>
              <w:rPr>
                <w:sz w:val="20"/>
              </w:rPr>
              <w:t xml:space="preserve">2020</w:t>
            </w:r>
          </w:p>
        </w:tc>
        <w:tc>
          <w:tcPr>
            <w:tcW w:w="844" w:type="dxa"/>
          </w:tcPr>
          <w:p>
            <w:pPr>
              <w:pStyle w:val="0"/>
              <w:jc w:val="center"/>
            </w:pPr>
            <w:r>
              <w:rPr>
                <w:sz w:val="20"/>
              </w:rPr>
              <w:t xml:space="preserve">2021</w:t>
            </w:r>
          </w:p>
        </w:tc>
        <w:tc>
          <w:tcPr>
            <w:tcW w:w="844" w:type="dxa"/>
          </w:tcPr>
          <w:p>
            <w:pPr>
              <w:pStyle w:val="0"/>
              <w:jc w:val="center"/>
            </w:pPr>
            <w:r>
              <w:rPr>
                <w:sz w:val="20"/>
              </w:rPr>
              <w:t xml:space="preserve">2022</w:t>
            </w:r>
          </w:p>
        </w:tc>
      </w:tr>
      <w:tr>
        <w:tc>
          <w:tcPr>
            <w:tcW w:w="1984" w:type="dxa"/>
          </w:tcPr>
          <w:p>
            <w:pPr>
              <w:pStyle w:val="0"/>
            </w:pPr>
            <w:r>
              <w:rPr>
                <w:sz w:val="20"/>
              </w:rPr>
              <w:t xml:space="preserve">Всего обучено, человек, в т.ч.</w:t>
            </w:r>
          </w:p>
        </w:tc>
        <w:tc>
          <w:tcPr>
            <w:tcW w:w="844" w:type="dxa"/>
          </w:tcPr>
          <w:p>
            <w:pPr>
              <w:pStyle w:val="0"/>
            </w:pPr>
            <w:r>
              <w:rPr>
                <w:sz w:val="20"/>
              </w:rPr>
              <w:t xml:space="preserve">134879</w:t>
            </w:r>
          </w:p>
        </w:tc>
        <w:tc>
          <w:tcPr>
            <w:tcW w:w="784" w:type="dxa"/>
          </w:tcPr>
          <w:p>
            <w:pPr>
              <w:pStyle w:val="0"/>
            </w:pPr>
            <w:r>
              <w:rPr>
                <w:sz w:val="20"/>
              </w:rPr>
              <w:t xml:space="preserve">93 687</w:t>
            </w:r>
          </w:p>
        </w:tc>
        <w:tc>
          <w:tcPr>
            <w:tcW w:w="844" w:type="dxa"/>
          </w:tcPr>
          <w:p>
            <w:pPr>
              <w:pStyle w:val="0"/>
            </w:pPr>
            <w:r>
              <w:rPr>
                <w:sz w:val="20"/>
              </w:rPr>
              <w:t xml:space="preserve">131367</w:t>
            </w:r>
          </w:p>
        </w:tc>
        <w:tc>
          <w:tcPr>
            <w:tcW w:w="844" w:type="dxa"/>
          </w:tcPr>
          <w:p>
            <w:pPr>
              <w:pStyle w:val="0"/>
            </w:pPr>
            <w:r>
              <w:rPr>
                <w:sz w:val="20"/>
              </w:rPr>
              <w:t xml:space="preserve">129849</w:t>
            </w:r>
          </w:p>
        </w:tc>
        <w:tc>
          <w:tcPr>
            <w:tcW w:w="844" w:type="dxa"/>
          </w:tcPr>
          <w:p>
            <w:pPr>
              <w:pStyle w:val="0"/>
            </w:pPr>
            <w:r>
              <w:rPr>
                <w:sz w:val="20"/>
              </w:rPr>
              <w:t xml:space="preserve">152532</w:t>
            </w:r>
          </w:p>
        </w:tc>
        <w:tc>
          <w:tcPr>
            <w:tcW w:w="844" w:type="dxa"/>
          </w:tcPr>
          <w:p>
            <w:pPr>
              <w:pStyle w:val="0"/>
            </w:pPr>
            <w:r>
              <w:rPr>
                <w:sz w:val="20"/>
              </w:rPr>
              <w:t xml:space="preserve">146909</w:t>
            </w:r>
          </w:p>
        </w:tc>
        <w:tc>
          <w:tcPr>
            <w:tcW w:w="844" w:type="dxa"/>
          </w:tcPr>
          <w:p>
            <w:pPr>
              <w:pStyle w:val="0"/>
            </w:pPr>
            <w:r>
              <w:rPr>
                <w:sz w:val="20"/>
              </w:rPr>
              <w:t xml:space="preserve">183005</w:t>
            </w:r>
          </w:p>
        </w:tc>
        <w:tc>
          <w:tcPr>
            <w:tcW w:w="844" w:type="dxa"/>
          </w:tcPr>
          <w:p>
            <w:pPr>
              <w:pStyle w:val="0"/>
            </w:pPr>
            <w:r>
              <w:rPr>
                <w:sz w:val="20"/>
              </w:rPr>
              <w:t xml:space="preserve">118470</w:t>
            </w:r>
          </w:p>
        </w:tc>
        <w:tc>
          <w:tcPr>
            <w:tcW w:w="844" w:type="dxa"/>
          </w:tcPr>
          <w:p>
            <w:pPr>
              <w:pStyle w:val="0"/>
            </w:pPr>
            <w:r>
              <w:rPr>
                <w:sz w:val="20"/>
              </w:rPr>
              <w:t xml:space="preserve">126755</w:t>
            </w:r>
          </w:p>
        </w:tc>
        <w:tc>
          <w:tcPr>
            <w:tcW w:w="844" w:type="dxa"/>
          </w:tcPr>
          <w:p>
            <w:pPr>
              <w:pStyle w:val="0"/>
            </w:pPr>
            <w:r>
              <w:rPr>
                <w:sz w:val="20"/>
              </w:rPr>
              <w:t xml:space="preserve">132347</w:t>
            </w:r>
          </w:p>
        </w:tc>
      </w:tr>
      <w:tr>
        <w:tc>
          <w:tcPr>
            <w:tcW w:w="1984" w:type="dxa"/>
          </w:tcPr>
          <w:p>
            <w:pPr>
              <w:pStyle w:val="0"/>
            </w:pPr>
            <w:r>
              <w:rPr>
                <w:sz w:val="20"/>
              </w:rPr>
              <w:t xml:space="preserve">школы укрепления здоровья</w:t>
            </w:r>
          </w:p>
        </w:tc>
        <w:tc>
          <w:tcPr>
            <w:tcW w:w="844" w:type="dxa"/>
          </w:tcPr>
          <w:p>
            <w:pPr>
              <w:pStyle w:val="0"/>
            </w:pPr>
            <w:r>
              <w:rPr>
                <w:sz w:val="20"/>
              </w:rPr>
              <w:t xml:space="preserve">60 339</w:t>
            </w:r>
          </w:p>
        </w:tc>
        <w:tc>
          <w:tcPr>
            <w:tcW w:w="784" w:type="dxa"/>
          </w:tcPr>
          <w:p>
            <w:pPr>
              <w:pStyle w:val="0"/>
            </w:pPr>
            <w:r>
              <w:rPr>
                <w:sz w:val="20"/>
              </w:rPr>
              <w:t xml:space="preserve">42 155</w:t>
            </w:r>
          </w:p>
        </w:tc>
        <w:tc>
          <w:tcPr>
            <w:tcW w:w="844" w:type="dxa"/>
          </w:tcPr>
          <w:p>
            <w:pPr>
              <w:pStyle w:val="0"/>
            </w:pPr>
            <w:r>
              <w:rPr>
                <w:sz w:val="20"/>
              </w:rPr>
              <w:t xml:space="preserve">68 332</w:t>
            </w:r>
          </w:p>
        </w:tc>
        <w:tc>
          <w:tcPr>
            <w:tcW w:w="844" w:type="dxa"/>
          </w:tcPr>
          <w:p>
            <w:pPr>
              <w:pStyle w:val="0"/>
            </w:pPr>
            <w:r>
              <w:rPr>
                <w:sz w:val="20"/>
              </w:rPr>
              <w:t xml:space="preserve">55 698</w:t>
            </w:r>
          </w:p>
        </w:tc>
        <w:tc>
          <w:tcPr>
            <w:tcW w:w="844" w:type="dxa"/>
          </w:tcPr>
          <w:p>
            <w:pPr>
              <w:pStyle w:val="0"/>
            </w:pPr>
            <w:r>
              <w:rPr>
                <w:sz w:val="20"/>
              </w:rPr>
              <w:t xml:space="preserve">36 637</w:t>
            </w:r>
          </w:p>
        </w:tc>
        <w:tc>
          <w:tcPr>
            <w:tcW w:w="844" w:type="dxa"/>
          </w:tcPr>
          <w:p>
            <w:pPr>
              <w:pStyle w:val="0"/>
            </w:pPr>
            <w:r>
              <w:rPr>
                <w:sz w:val="20"/>
              </w:rPr>
              <w:t xml:space="preserve">38 816</w:t>
            </w:r>
          </w:p>
        </w:tc>
        <w:tc>
          <w:tcPr>
            <w:tcW w:w="844" w:type="dxa"/>
          </w:tcPr>
          <w:p>
            <w:pPr>
              <w:pStyle w:val="0"/>
            </w:pPr>
            <w:r>
              <w:rPr>
                <w:sz w:val="20"/>
              </w:rPr>
              <w:t xml:space="preserve">39 266</w:t>
            </w:r>
          </w:p>
        </w:tc>
        <w:tc>
          <w:tcPr>
            <w:tcW w:w="844" w:type="dxa"/>
          </w:tcPr>
          <w:p>
            <w:pPr>
              <w:pStyle w:val="0"/>
            </w:pPr>
            <w:r>
              <w:rPr>
                <w:sz w:val="20"/>
              </w:rPr>
              <w:t xml:space="preserve">55 647</w:t>
            </w:r>
          </w:p>
        </w:tc>
        <w:tc>
          <w:tcPr>
            <w:tcW w:w="844" w:type="dxa"/>
          </w:tcPr>
          <w:p>
            <w:pPr>
              <w:pStyle w:val="0"/>
            </w:pPr>
            <w:r>
              <w:rPr>
                <w:sz w:val="20"/>
              </w:rPr>
              <w:t xml:space="preserve">56407</w:t>
            </w:r>
          </w:p>
        </w:tc>
        <w:tc>
          <w:tcPr>
            <w:tcW w:w="844" w:type="dxa"/>
          </w:tcPr>
          <w:p>
            <w:pPr>
              <w:pStyle w:val="0"/>
            </w:pPr>
            <w:r>
              <w:rPr>
                <w:sz w:val="20"/>
              </w:rPr>
              <w:t xml:space="preserve">58175</w:t>
            </w:r>
          </w:p>
        </w:tc>
      </w:tr>
      <w:tr>
        <w:tc>
          <w:tcPr>
            <w:tcW w:w="1984" w:type="dxa"/>
          </w:tcPr>
          <w:p>
            <w:pPr>
              <w:pStyle w:val="0"/>
            </w:pPr>
            <w:r>
              <w:rPr>
                <w:sz w:val="20"/>
              </w:rPr>
              <w:t xml:space="preserve">школы профилактики табакокурения</w:t>
            </w:r>
          </w:p>
        </w:tc>
        <w:tc>
          <w:tcPr>
            <w:tcW w:w="844" w:type="dxa"/>
          </w:tcPr>
          <w:p>
            <w:pPr>
              <w:pStyle w:val="0"/>
            </w:pPr>
            <w:r>
              <w:rPr>
                <w:sz w:val="20"/>
              </w:rPr>
              <w:t xml:space="preserve">5 082</w:t>
            </w:r>
          </w:p>
        </w:tc>
        <w:tc>
          <w:tcPr>
            <w:tcW w:w="784" w:type="dxa"/>
          </w:tcPr>
          <w:p>
            <w:pPr>
              <w:pStyle w:val="0"/>
            </w:pPr>
            <w:r>
              <w:rPr>
                <w:sz w:val="20"/>
              </w:rPr>
              <w:t xml:space="preserve">6 637</w:t>
            </w:r>
          </w:p>
        </w:tc>
        <w:tc>
          <w:tcPr>
            <w:tcW w:w="844" w:type="dxa"/>
          </w:tcPr>
          <w:p>
            <w:pPr>
              <w:pStyle w:val="0"/>
            </w:pPr>
            <w:r>
              <w:rPr>
                <w:sz w:val="20"/>
              </w:rPr>
              <w:t xml:space="preserve">11 101</w:t>
            </w:r>
          </w:p>
        </w:tc>
        <w:tc>
          <w:tcPr>
            <w:tcW w:w="844" w:type="dxa"/>
          </w:tcPr>
          <w:p>
            <w:pPr>
              <w:pStyle w:val="0"/>
            </w:pPr>
            <w:r>
              <w:rPr>
                <w:sz w:val="20"/>
              </w:rPr>
              <w:t xml:space="preserve">8 732</w:t>
            </w:r>
          </w:p>
        </w:tc>
        <w:tc>
          <w:tcPr>
            <w:tcW w:w="844" w:type="dxa"/>
          </w:tcPr>
          <w:p>
            <w:pPr>
              <w:pStyle w:val="0"/>
            </w:pPr>
            <w:r>
              <w:rPr>
                <w:sz w:val="20"/>
              </w:rPr>
              <w:t xml:space="preserve">10 275</w:t>
            </w:r>
          </w:p>
        </w:tc>
        <w:tc>
          <w:tcPr>
            <w:tcW w:w="844" w:type="dxa"/>
          </w:tcPr>
          <w:p>
            <w:pPr>
              <w:pStyle w:val="0"/>
            </w:pPr>
            <w:r>
              <w:rPr>
                <w:sz w:val="20"/>
              </w:rPr>
              <w:t xml:space="preserve">10 838</w:t>
            </w:r>
          </w:p>
        </w:tc>
        <w:tc>
          <w:tcPr>
            <w:tcW w:w="844" w:type="dxa"/>
          </w:tcPr>
          <w:p>
            <w:pPr>
              <w:pStyle w:val="0"/>
            </w:pPr>
            <w:r>
              <w:rPr>
                <w:sz w:val="20"/>
              </w:rPr>
              <w:t xml:space="preserve">9 763</w:t>
            </w:r>
          </w:p>
        </w:tc>
        <w:tc>
          <w:tcPr>
            <w:tcW w:w="844" w:type="dxa"/>
          </w:tcPr>
          <w:p>
            <w:pPr>
              <w:pStyle w:val="0"/>
            </w:pPr>
            <w:r>
              <w:rPr>
                <w:sz w:val="20"/>
              </w:rPr>
              <w:t xml:space="preserve">9721</w:t>
            </w:r>
          </w:p>
        </w:tc>
        <w:tc>
          <w:tcPr>
            <w:tcW w:w="844" w:type="dxa"/>
          </w:tcPr>
          <w:p>
            <w:pPr>
              <w:pStyle w:val="0"/>
            </w:pPr>
            <w:r>
              <w:rPr>
                <w:sz w:val="20"/>
              </w:rPr>
              <w:t xml:space="preserve">9832</w:t>
            </w:r>
          </w:p>
        </w:tc>
        <w:tc>
          <w:tcPr>
            <w:tcW w:w="844" w:type="dxa"/>
          </w:tcPr>
          <w:p>
            <w:pPr>
              <w:pStyle w:val="0"/>
            </w:pPr>
            <w:r>
              <w:rPr>
                <w:sz w:val="20"/>
              </w:rPr>
              <w:t xml:space="preserve">10311</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Согласно независимому социологическому исследованию поведенческих факторов риска неинфекционных заболеваний среди населения автономного округа распространенность табакокурения за период с 2013 по 2022 год колебалась от 29,7% до 32,7% и на сегодняшний день и снижение не наблюдается (таблица 31).</w:t>
      </w:r>
    </w:p>
    <w:p>
      <w:pPr>
        <w:pStyle w:val="0"/>
        <w:ind w:firstLine="540"/>
        <w:jc w:val="both"/>
      </w:pPr>
      <w:r>
        <w:rPr>
          <w:sz w:val="20"/>
        </w:rPr>
      </w:r>
    </w:p>
    <w:p>
      <w:pPr>
        <w:pStyle w:val="0"/>
        <w:jc w:val="right"/>
      </w:pPr>
      <w:r>
        <w:rPr>
          <w:sz w:val="20"/>
        </w:rPr>
        <w:t xml:space="preserve">Таблица 31</w:t>
      </w:r>
    </w:p>
    <w:p>
      <w:pPr>
        <w:pStyle w:val="0"/>
        <w:jc w:val="right"/>
      </w:pPr>
      <w:r>
        <w:rPr>
          <w:sz w:val="20"/>
        </w:rPr>
      </w:r>
    </w:p>
    <w:p>
      <w:pPr>
        <w:pStyle w:val="0"/>
        <w:jc w:val="center"/>
      </w:pPr>
      <w:r>
        <w:rPr>
          <w:sz w:val="20"/>
        </w:rPr>
        <w:t xml:space="preserve">Распространенность табакокурения среди населения автономного</w:t>
      </w:r>
    </w:p>
    <w:p>
      <w:pPr>
        <w:pStyle w:val="0"/>
        <w:jc w:val="center"/>
      </w:pPr>
      <w:r>
        <w:rPr>
          <w:sz w:val="20"/>
        </w:rPr>
        <w:t xml:space="preserve">округа, %</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850"/>
        <w:gridCol w:w="850"/>
        <w:gridCol w:w="850"/>
        <w:gridCol w:w="850"/>
        <w:gridCol w:w="850"/>
        <w:gridCol w:w="850"/>
        <w:gridCol w:w="850"/>
        <w:gridCol w:w="850"/>
        <w:gridCol w:w="850"/>
        <w:gridCol w:w="850"/>
      </w:tblGrid>
      <w:tr>
        <w:tc>
          <w:tcPr>
            <w:tcW w:w="2494" w:type="dxa"/>
          </w:tcPr>
          <w:p>
            <w:pPr>
              <w:pStyle w:val="0"/>
              <w:jc w:val="center"/>
            </w:pPr>
            <w:r>
              <w:rPr>
                <w:sz w:val="20"/>
              </w:rPr>
              <w:t xml:space="preserve">Показатель</w:t>
            </w:r>
          </w:p>
        </w:tc>
        <w:tc>
          <w:tcPr>
            <w:tcW w:w="850" w:type="dxa"/>
          </w:tcPr>
          <w:p>
            <w:pPr>
              <w:pStyle w:val="0"/>
              <w:jc w:val="center"/>
            </w:pPr>
            <w:r>
              <w:rPr>
                <w:sz w:val="20"/>
              </w:rPr>
              <w:t xml:space="preserve">2013</w:t>
            </w:r>
          </w:p>
        </w:tc>
        <w:tc>
          <w:tcPr>
            <w:tcW w:w="850" w:type="dxa"/>
          </w:tcPr>
          <w:p>
            <w:pPr>
              <w:pStyle w:val="0"/>
              <w:jc w:val="center"/>
            </w:pPr>
            <w:r>
              <w:rPr>
                <w:sz w:val="20"/>
              </w:rPr>
              <w:t xml:space="preserve">2014</w:t>
            </w:r>
          </w:p>
        </w:tc>
        <w:tc>
          <w:tcPr>
            <w:tcW w:w="850" w:type="dxa"/>
          </w:tcPr>
          <w:p>
            <w:pPr>
              <w:pStyle w:val="0"/>
              <w:jc w:val="center"/>
            </w:pPr>
            <w:r>
              <w:rPr>
                <w:sz w:val="20"/>
              </w:rPr>
              <w:t xml:space="preserve">2015</w:t>
            </w:r>
          </w:p>
        </w:tc>
        <w:tc>
          <w:tcPr>
            <w:tcW w:w="850" w:type="dxa"/>
          </w:tcPr>
          <w:p>
            <w:pPr>
              <w:pStyle w:val="0"/>
              <w:jc w:val="center"/>
            </w:pPr>
            <w:r>
              <w:rPr>
                <w:sz w:val="20"/>
              </w:rPr>
              <w:t xml:space="preserve">2016</w:t>
            </w:r>
          </w:p>
        </w:tc>
        <w:tc>
          <w:tcPr>
            <w:tcW w:w="850" w:type="dxa"/>
          </w:tcPr>
          <w:p>
            <w:pPr>
              <w:pStyle w:val="0"/>
              <w:jc w:val="center"/>
            </w:pPr>
            <w:r>
              <w:rPr>
                <w:sz w:val="20"/>
              </w:rPr>
              <w:t xml:space="preserve">2017</w:t>
            </w:r>
          </w:p>
        </w:tc>
        <w:tc>
          <w:tcPr>
            <w:tcW w:w="850" w:type="dxa"/>
          </w:tcPr>
          <w:p>
            <w:pPr>
              <w:pStyle w:val="0"/>
              <w:jc w:val="center"/>
            </w:pPr>
            <w:r>
              <w:rPr>
                <w:sz w:val="20"/>
              </w:rPr>
              <w:t xml:space="preserve">2018</w:t>
            </w:r>
          </w:p>
        </w:tc>
        <w:tc>
          <w:tcPr>
            <w:tcW w:w="850" w:type="dxa"/>
          </w:tcPr>
          <w:p>
            <w:pPr>
              <w:pStyle w:val="0"/>
              <w:jc w:val="center"/>
            </w:pPr>
            <w:r>
              <w:rPr>
                <w:sz w:val="20"/>
              </w:rPr>
              <w:t xml:space="preserve">2019</w:t>
            </w:r>
          </w:p>
        </w:tc>
        <w:tc>
          <w:tcPr>
            <w:tcW w:w="850" w:type="dxa"/>
          </w:tcPr>
          <w:p>
            <w:pPr>
              <w:pStyle w:val="0"/>
              <w:jc w:val="center"/>
            </w:pPr>
            <w:r>
              <w:rPr>
                <w:sz w:val="20"/>
              </w:rPr>
              <w:t xml:space="preserve">2020</w:t>
            </w:r>
          </w:p>
        </w:tc>
        <w:tc>
          <w:tcPr>
            <w:tcW w:w="850" w:type="dxa"/>
          </w:tcPr>
          <w:p>
            <w:pPr>
              <w:pStyle w:val="0"/>
              <w:jc w:val="center"/>
            </w:pPr>
            <w:r>
              <w:rPr>
                <w:sz w:val="20"/>
              </w:rPr>
              <w:t xml:space="preserve">2021</w:t>
            </w:r>
          </w:p>
        </w:tc>
        <w:tc>
          <w:tcPr>
            <w:tcW w:w="850" w:type="dxa"/>
          </w:tcPr>
          <w:p>
            <w:pPr>
              <w:pStyle w:val="0"/>
              <w:jc w:val="center"/>
            </w:pPr>
            <w:r>
              <w:rPr>
                <w:sz w:val="20"/>
              </w:rPr>
              <w:t xml:space="preserve">2022</w:t>
            </w:r>
          </w:p>
        </w:tc>
      </w:tr>
      <w:tr>
        <w:tc>
          <w:tcPr>
            <w:tcW w:w="2494" w:type="dxa"/>
          </w:tcPr>
          <w:p>
            <w:pPr>
              <w:pStyle w:val="0"/>
              <w:jc w:val="center"/>
            </w:pPr>
            <w:r>
              <w:rPr>
                <w:sz w:val="20"/>
              </w:rPr>
              <w:t xml:space="preserve">Распространенность табакокурения (%)</w:t>
            </w:r>
          </w:p>
        </w:tc>
        <w:tc>
          <w:tcPr>
            <w:tcW w:w="850" w:type="dxa"/>
          </w:tcPr>
          <w:p>
            <w:pPr>
              <w:pStyle w:val="0"/>
              <w:jc w:val="center"/>
            </w:pPr>
            <w:r>
              <w:rPr>
                <w:sz w:val="20"/>
              </w:rPr>
              <w:t xml:space="preserve">29,7</w:t>
            </w:r>
          </w:p>
        </w:tc>
        <w:tc>
          <w:tcPr>
            <w:tcW w:w="850" w:type="dxa"/>
          </w:tcPr>
          <w:p>
            <w:pPr>
              <w:pStyle w:val="0"/>
              <w:jc w:val="center"/>
            </w:pPr>
            <w:r>
              <w:rPr>
                <w:sz w:val="20"/>
              </w:rPr>
              <w:t xml:space="preserve">32,7</w:t>
            </w:r>
          </w:p>
        </w:tc>
        <w:tc>
          <w:tcPr>
            <w:tcW w:w="850" w:type="dxa"/>
          </w:tcPr>
          <w:p>
            <w:pPr>
              <w:pStyle w:val="0"/>
              <w:jc w:val="center"/>
            </w:pPr>
            <w:r>
              <w:rPr>
                <w:sz w:val="20"/>
              </w:rPr>
              <w:t xml:space="preserve">31,5</w:t>
            </w:r>
          </w:p>
        </w:tc>
        <w:tc>
          <w:tcPr>
            <w:tcW w:w="850" w:type="dxa"/>
          </w:tcPr>
          <w:p>
            <w:pPr>
              <w:pStyle w:val="0"/>
              <w:jc w:val="center"/>
            </w:pPr>
            <w:r>
              <w:rPr>
                <w:sz w:val="20"/>
              </w:rPr>
              <w:t xml:space="preserve">28,9</w:t>
            </w:r>
          </w:p>
        </w:tc>
        <w:tc>
          <w:tcPr>
            <w:tcW w:w="850" w:type="dxa"/>
          </w:tcPr>
          <w:p>
            <w:pPr>
              <w:pStyle w:val="0"/>
              <w:jc w:val="center"/>
            </w:pPr>
            <w:r>
              <w:rPr>
                <w:sz w:val="20"/>
              </w:rPr>
              <w:t xml:space="preserve">29,2</w:t>
            </w:r>
          </w:p>
        </w:tc>
        <w:tc>
          <w:tcPr>
            <w:tcW w:w="850" w:type="dxa"/>
          </w:tcPr>
          <w:p>
            <w:pPr>
              <w:pStyle w:val="0"/>
              <w:jc w:val="center"/>
            </w:pPr>
            <w:r>
              <w:rPr>
                <w:sz w:val="20"/>
              </w:rPr>
              <w:t xml:space="preserve">30,2</w:t>
            </w:r>
          </w:p>
        </w:tc>
        <w:tc>
          <w:tcPr>
            <w:tcW w:w="850" w:type="dxa"/>
          </w:tcPr>
          <w:p>
            <w:pPr>
              <w:pStyle w:val="0"/>
              <w:jc w:val="center"/>
            </w:pPr>
            <w:r>
              <w:rPr>
                <w:sz w:val="20"/>
              </w:rPr>
              <w:t xml:space="preserve">31,1</w:t>
            </w:r>
          </w:p>
        </w:tc>
        <w:tc>
          <w:tcPr>
            <w:tcW w:w="850" w:type="dxa"/>
          </w:tcPr>
          <w:p>
            <w:pPr>
              <w:pStyle w:val="0"/>
              <w:jc w:val="center"/>
            </w:pPr>
            <w:r>
              <w:rPr>
                <w:sz w:val="20"/>
              </w:rPr>
              <w:t xml:space="preserve">31,2</w:t>
            </w:r>
          </w:p>
        </w:tc>
        <w:tc>
          <w:tcPr>
            <w:tcW w:w="850" w:type="dxa"/>
          </w:tcPr>
          <w:p>
            <w:pPr>
              <w:pStyle w:val="0"/>
              <w:jc w:val="center"/>
            </w:pPr>
            <w:r>
              <w:rPr>
                <w:sz w:val="20"/>
              </w:rPr>
              <w:t xml:space="preserve">32</w:t>
            </w:r>
          </w:p>
        </w:tc>
        <w:tc>
          <w:tcPr>
            <w:tcW w:w="850" w:type="dxa"/>
          </w:tcPr>
          <w:p>
            <w:pPr>
              <w:pStyle w:val="0"/>
              <w:jc w:val="center"/>
            </w:pPr>
            <w:r>
              <w:rPr>
                <w:sz w:val="20"/>
              </w:rPr>
              <w:t xml:space="preserve">32,7</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С целью снижения распространенности факторов риска онкологических заболеваний с 2013 года в автономном округе на базе 26 медицинских организаций функционируют кабинеты медицинской помощи при отказе от курения, куда жители обращаются как самостоятельно, так и по направлению врача.</w:t>
      </w:r>
    </w:p>
    <w:p>
      <w:pPr>
        <w:pStyle w:val="0"/>
        <w:ind w:firstLine="540"/>
        <w:jc w:val="both"/>
      </w:pPr>
      <w:r>
        <w:rPr>
          <w:sz w:val="20"/>
        </w:rPr>
      </w:r>
    </w:p>
    <w:p>
      <w:pPr>
        <w:pStyle w:val="0"/>
        <w:jc w:val="right"/>
      </w:pPr>
      <w:r>
        <w:rPr>
          <w:sz w:val="20"/>
        </w:rPr>
        <w:t xml:space="preserve">Таблица 32</w:t>
      </w:r>
    </w:p>
    <w:p>
      <w:pPr>
        <w:pStyle w:val="0"/>
        <w:jc w:val="right"/>
      </w:pPr>
      <w:r>
        <w:rPr>
          <w:sz w:val="20"/>
        </w:rPr>
      </w:r>
    </w:p>
    <w:p>
      <w:pPr>
        <w:pStyle w:val="0"/>
        <w:jc w:val="center"/>
      </w:pPr>
      <w:r>
        <w:rPr>
          <w:sz w:val="20"/>
        </w:rPr>
        <w:t xml:space="preserve">Число обращений в кабинеты медицинской помощи при отказе</w:t>
      </w:r>
    </w:p>
    <w:p>
      <w:pPr>
        <w:pStyle w:val="0"/>
        <w:jc w:val="center"/>
      </w:pPr>
      <w:r>
        <w:rPr>
          <w:sz w:val="20"/>
        </w:rPr>
        <w:t xml:space="preserve">от курения, абс.</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850"/>
        <w:gridCol w:w="850"/>
        <w:gridCol w:w="850"/>
        <w:gridCol w:w="850"/>
        <w:gridCol w:w="850"/>
        <w:gridCol w:w="850"/>
        <w:gridCol w:w="850"/>
        <w:gridCol w:w="850"/>
        <w:gridCol w:w="850"/>
      </w:tblGrid>
      <w:tr>
        <w:tc>
          <w:tcPr>
            <w:tcW w:w="2381" w:type="dxa"/>
          </w:tcPr>
          <w:p>
            <w:pPr>
              <w:pStyle w:val="0"/>
              <w:jc w:val="center"/>
            </w:pPr>
            <w:r>
              <w:rPr>
                <w:sz w:val="20"/>
              </w:rPr>
              <w:t xml:space="preserve">Показатель</w:t>
            </w:r>
          </w:p>
        </w:tc>
        <w:tc>
          <w:tcPr>
            <w:tcW w:w="850" w:type="dxa"/>
          </w:tcPr>
          <w:p>
            <w:pPr>
              <w:pStyle w:val="0"/>
              <w:jc w:val="center"/>
            </w:pPr>
            <w:r>
              <w:rPr>
                <w:sz w:val="20"/>
              </w:rPr>
              <w:t xml:space="preserve">2014</w:t>
            </w:r>
          </w:p>
        </w:tc>
        <w:tc>
          <w:tcPr>
            <w:tcW w:w="850" w:type="dxa"/>
          </w:tcPr>
          <w:p>
            <w:pPr>
              <w:pStyle w:val="0"/>
              <w:jc w:val="center"/>
            </w:pPr>
            <w:r>
              <w:rPr>
                <w:sz w:val="20"/>
              </w:rPr>
              <w:t xml:space="preserve">2015</w:t>
            </w:r>
          </w:p>
        </w:tc>
        <w:tc>
          <w:tcPr>
            <w:tcW w:w="850" w:type="dxa"/>
          </w:tcPr>
          <w:p>
            <w:pPr>
              <w:pStyle w:val="0"/>
              <w:jc w:val="center"/>
            </w:pPr>
            <w:r>
              <w:rPr>
                <w:sz w:val="20"/>
              </w:rPr>
              <w:t xml:space="preserve">2016</w:t>
            </w:r>
          </w:p>
        </w:tc>
        <w:tc>
          <w:tcPr>
            <w:tcW w:w="850" w:type="dxa"/>
          </w:tcPr>
          <w:p>
            <w:pPr>
              <w:pStyle w:val="0"/>
              <w:jc w:val="center"/>
            </w:pPr>
            <w:r>
              <w:rPr>
                <w:sz w:val="20"/>
              </w:rPr>
              <w:t xml:space="preserve">2017</w:t>
            </w:r>
          </w:p>
        </w:tc>
        <w:tc>
          <w:tcPr>
            <w:tcW w:w="850" w:type="dxa"/>
          </w:tcPr>
          <w:p>
            <w:pPr>
              <w:pStyle w:val="0"/>
              <w:jc w:val="center"/>
            </w:pPr>
            <w:r>
              <w:rPr>
                <w:sz w:val="20"/>
              </w:rPr>
              <w:t xml:space="preserve">2018</w:t>
            </w:r>
          </w:p>
        </w:tc>
        <w:tc>
          <w:tcPr>
            <w:tcW w:w="850" w:type="dxa"/>
          </w:tcPr>
          <w:p>
            <w:pPr>
              <w:pStyle w:val="0"/>
              <w:jc w:val="center"/>
            </w:pPr>
            <w:r>
              <w:rPr>
                <w:sz w:val="20"/>
              </w:rPr>
              <w:t xml:space="preserve">2019</w:t>
            </w:r>
          </w:p>
        </w:tc>
        <w:tc>
          <w:tcPr>
            <w:tcW w:w="850" w:type="dxa"/>
          </w:tcPr>
          <w:p>
            <w:pPr>
              <w:pStyle w:val="0"/>
              <w:jc w:val="center"/>
            </w:pPr>
            <w:r>
              <w:rPr>
                <w:sz w:val="20"/>
              </w:rPr>
              <w:t xml:space="preserve">2020</w:t>
            </w:r>
          </w:p>
        </w:tc>
        <w:tc>
          <w:tcPr>
            <w:tcW w:w="850" w:type="dxa"/>
          </w:tcPr>
          <w:p>
            <w:pPr>
              <w:pStyle w:val="0"/>
              <w:jc w:val="center"/>
            </w:pPr>
            <w:r>
              <w:rPr>
                <w:sz w:val="20"/>
              </w:rPr>
              <w:t xml:space="preserve">2021</w:t>
            </w:r>
          </w:p>
        </w:tc>
        <w:tc>
          <w:tcPr>
            <w:tcW w:w="850" w:type="dxa"/>
          </w:tcPr>
          <w:p>
            <w:pPr>
              <w:pStyle w:val="0"/>
              <w:jc w:val="center"/>
            </w:pPr>
            <w:r>
              <w:rPr>
                <w:sz w:val="20"/>
              </w:rPr>
              <w:t xml:space="preserve">2022</w:t>
            </w:r>
          </w:p>
        </w:tc>
      </w:tr>
      <w:tr>
        <w:tc>
          <w:tcPr>
            <w:tcW w:w="2381" w:type="dxa"/>
          </w:tcPr>
          <w:p>
            <w:pPr>
              <w:pStyle w:val="0"/>
            </w:pPr>
            <w:r>
              <w:rPr>
                <w:sz w:val="20"/>
              </w:rPr>
              <w:t xml:space="preserve">Обращения в кабинеты медицинской помощи при отказе от курения (абс.)</w:t>
            </w:r>
          </w:p>
        </w:tc>
        <w:tc>
          <w:tcPr>
            <w:tcW w:w="850" w:type="dxa"/>
          </w:tcPr>
          <w:p>
            <w:pPr>
              <w:pStyle w:val="0"/>
            </w:pPr>
            <w:r>
              <w:rPr>
                <w:sz w:val="20"/>
              </w:rPr>
              <w:t xml:space="preserve">9425</w:t>
            </w:r>
          </w:p>
        </w:tc>
        <w:tc>
          <w:tcPr>
            <w:tcW w:w="850" w:type="dxa"/>
          </w:tcPr>
          <w:p>
            <w:pPr>
              <w:pStyle w:val="0"/>
            </w:pPr>
            <w:r>
              <w:rPr>
                <w:sz w:val="20"/>
              </w:rPr>
              <w:t xml:space="preserve">8240</w:t>
            </w:r>
          </w:p>
        </w:tc>
        <w:tc>
          <w:tcPr>
            <w:tcW w:w="850" w:type="dxa"/>
          </w:tcPr>
          <w:p>
            <w:pPr>
              <w:pStyle w:val="0"/>
            </w:pPr>
            <w:r>
              <w:rPr>
                <w:sz w:val="20"/>
              </w:rPr>
              <w:t xml:space="preserve">5773</w:t>
            </w:r>
          </w:p>
        </w:tc>
        <w:tc>
          <w:tcPr>
            <w:tcW w:w="850" w:type="dxa"/>
          </w:tcPr>
          <w:p>
            <w:pPr>
              <w:pStyle w:val="0"/>
            </w:pPr>
            <w:r>
              <w:rPr>
                <w:sz w:val="20"/>
              </w:rPr>
              <w:t xml:space="preserve">4720</w:t>
            </w:r>
          </w:p>
        </w:tc>
        <w:tc>
          <w:tcPr>
            <w:tcW w:w="850" w:type="dxa"/>
          </w:tcPr>
          <w:p>
            <w:pPr>
              <w:pStyle w:val="0"/>
            </w:pPr>
            <w:r>
              <w:rPr>
                <w:sz w:val="20"/>
              </w:rPr>
              <w:t xml:space="preserve">3693</w:t>
            </w:r>
          </w:p>
        </w:tc>
        <w:tc>
          <w:tcPr>
            <w:tcW w:w="850" w:type="dxa"/>
          </w:tcPr>
          <w:p>
            <w:pPr>
              <w:pStyle w:val="0"/>
            </w:pPr>
            <w:r>
              <w:rPr>
                <w:sz w:val="20"/>
              </w:rPr>
              <w:t xml:space="preserve">6980</w:t>
            </w:r>
          </w:p>
        </w:tc>
        <w:tc>
          <w:tcPr>
            <w:tcW w:w="850" w:type="dxa"/>
          </w:tcPr>
          <w:p>
            <w:pPr>
              <w:pStyle w:val="0"/>
            </w:pPr>
            <w:r>
              <w:rPr>
                <w:sz w:val="20"/>
              </w:rPr>
              <w:t xml:space="preserve">4648</w:t>
            </w:r>
          </w:p>
        </w:tc>
        <w:tc>
          <w:tcPr>
            <w:tcW w:w="850" w:type="dxa"/>
          </w:tcPr>
          <w:p>
            <w:pPr>
              <w:pStyle w:val="0"/>
            </w:pPr>
            <w:r>
              <w:rPr>
                <w:sz w:val="20"/>
              </w:rPr>
              <w:t xml:space="preserve">6833</w:t>
            </w:r>
          </w:p>
        </w:tc>
        <w:tc>
          <w:tcPr>
            <w:tcW w:w="850" w:type="dxa"/>
          </w:tcPr>
          <w:p>
            <w:pPr>
              <w:pStyle w:val="0"/>
            </w:pPr>
            <w:r>
              <w:rPr>
                <w:sz w:val="20"/>
              </w:rPr>
              <w:t xml:space="preserve">5864</w:t>
            </w:r>
          </w:p>
        </w:tc>
      </w:tr>
    </w:tbl>
    <w:p>
      <w:pPr>
        <w:pStyle w:val="0"/>
        <w:ind w:firstLine="540"/>
        <w:jc w:val="both"/>
      </w:pPr>
      <w:r>
        <w:rPr>
          <w:sz w:val="20"/>
        </w:rPr>
      </w:r>
    </w:p>
    <w:p>
      <w:pPr>
        <w:pStyle w:val="0"/>
        <w:ind w:firstLine="540"/>
        <w:jc w:val="both"/>
      </w:pPr>
      <w:r>
        <w:rPr>
          <w:sz w:val="20"/>
        </w:rPr>
        <w:t xml:space="preserve">Наиболее часто обращаются лица в возрасте от 25 до 44 лет, при этом мужчины обращаются чаще женщин.</w:t>
      </w:r>
    </w:p>
    <w:p>
      <w:pPr>
        <w:pStyle w:val="0"/>
        <w:spacing w:before="200" w:line-rule="auto"/>
        <w:ind w:firstLine="540"/>
        <w:jc w:val="both"/>
      </w:pPr>
      <w:r>
        <w:rPr>
          <w:sz w:val="20"/>
        </w:rPr>
        <w:t xml:space="preserve">Согласно данным Росстата продажи алкогольной продукции на душу населения (в литрах этанола) в 2021 году в автономном округе при плановом значении показателя 7,9 л достигли значения 5,6 л, в 2022 году - 7,3 л (оперативные данные).</w:t>
      </w:r>
    </w:p>
    <w:p>
      <w:pPr>
        <w:pStyle w:val="0"/>
        <w:ind w:firstLine="540"/>
        <w:jc w:val="both"/>
      </w:pPr>
      <w:r>
        <w:rPr>
          <w:sz w:val="20"/>
        </w:rPr>
      </w:r>
    </w:p>
    <w:p>
      <w:pPr>
        <w:pStyle w:val="0"/>
        <w:jc w:val="right"/>
      </w:pPr>
      <w:r>
        <w:rPr>
          <w:sz w:val="20"/>
        </w:rPr>
        <w:t xml:space="preserve">Таблица 33</w:t>
      </w:r>
    </w:p>
    <w:p>
      <w:pPr>
        <w:pStyle w:val="0"/>
        <w:jc w:val="right"/>
      </w:pPr>
      <w:r>
        <w:rPr>
          <w:sz w:val="20"/>
        </w:rPr>
      </w:r>
    </w:p>
    <w:p>
      <w:pPr>
        <w:pStyle w:val="0"/>
        <w:jc w:val="center"/>
      </w:pPr>
      <w:r>
        <w:rPr>
          <w:sz w:val="20"/>
        </w:rPr>
        <w:t xml:space="preserve">Розничная продажа алкогольной продукции в перерасчете</w:t>
      </w:r>
    </w:p>
    <w:p>
      <w:pPr>
        <w:pStyle w:val="0"/>
        <w:jc w:val="center"/>
      </w:pPr>
      <w:r>
        <w:rPr>
          <w:sz w:val="20"/>
        </w:rPr>
        <w:t xml:space="preserve">на душу населения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27"/>
        <w:gridCol w:w="857"/>
        <w:gridCol w:w="856"/>
        <w:gridCol w:w="856"/>
        <w:gridCol w:w="856"/>
        <w:gridCol w:w="856"/>
        <w:gridCol w:w="856"/>
        <w:gridCol w:w="849"/>
        <w:gridCol w:w="743"/>
      </w:tblGrid>
      <w:tr>
        <w:tc>
          <w:tcPr>
            <w:tcW w:w="2227" w:type="dxa"/>
            <w:vAlign w:val="bottom"/>
          </w:tcPr>
          <w:p>
            <w:pPr>
              <w:pStyle w:val="0"/>
              <w:jc w:val="center"/>
            </w:pPr>
            <w:r>
              <w:rPr>
                <w:sz w:val="20"/>
              </w:rPr>
              <w:t xml:space="preserve">Показатель</w:t>
            </w:r>
          </w:p>
        </w:tc>
        <w:tc>
          <w:tcPr>
            <w:tcW w:w="857" w:type="dxa"/>
          </w:tcPr>
          <w:p>
            <w:pPr>
              <w:pStyle w:val="0"/>
              <w:jc w:val="center"/>
            </w:pPr>
            <w:r>
              <w:rPr>
                <w:sz w:val="20"/>
              </w:rPr>
              <w:t xml:space="preserve">2019</w:t>
            </w:r>
          </w:p>
          <w:p>
            <w:pPr>
              <w:pStyle w:val="0"/>
              <w:jc w:val="center"/>
            </w:pPr>
            <w:r>
              <w:rPr>
                <w:sz w:val="20"/>
              </w:rPr>
              <w:t xml:space="preserve">План</w:t>
            </w:r>
          </w:p>
        </w:tc>
        <w:tc>
          <w:tcPr>
            <w:tcW w:w="856" w:type="dxa"/>
          </w:tcPr>
          <w:p>
            <w:pPr>
              <w:pStyle w:val="0"/>
              <w:jc w:val="center"/>
            </w:pPr>
            <w:r>
              <w:rPr>
                <w:sz w:val="20"/>
              </w:rPr>
              <w:t xml:space="preserve">2019</w:t>
            </w:r>
          </w:p>
          <w:p>
            <w:pPr>
              <w:pStyle w:val="0"/>
              <w:jc w:val="center"/>
            </w:pPr>
            <w:r>
              <w:rPr>
                <w:sz w:val="20"/>
              </w:rPr>
              <w:t xml:space="preserve">Факт</w:t>
            </w:r>
          </w:p>
        </w:tc>
        <w:tc>
          <w:tcPr>
            <w:tcW w:w="856" w:type="dxa"/>
          </w:tcPr>
          <w:p>
            <w:pPr>
              <w:pStyle w:val="0"/>
              <w:jc w:val="center"/>
            </w:pPr>
            <w:r>
              <w:rPr>
                <w:sz w:val="20"/>
              </w:rPr>
              <w:t xml:space="preserve">2020</w:t>
            </w:r>
          </w:p>
          <w:p>
            <w:pPr>
              <w:pStyle w:val="0"/>
              <w:jc w:val="center"/>
            </w:pPr>
            <w:r>
              <w:rPr>
                <w:sz w:val="20"/>
              </w:rPr>
              <w:t xml:space="preserve">План</w:t>
            </w:r>
          </w:p>
        </w:tc>
        <w:tc>
          <w:tcPr>
            <w:tcW w:w="856" w:type="dxa"/>
          </w:tcPr>
          <w:p>
            <w:pPr>
              <w:pStyle w:val="0"/>
              <w:jc w:val="center"/>
            </w:pPr>
            <w:r>
              <w:rPr>
                <w:sz w:val="20"/>
              </w:rPr>
              <w:t xml:space="preserve">2020</w:t>
            </w:r>
          </w:p>
          <w:p>
            <w:pPr>
              <w:pStyle w:val="0"/>
              <w:jc w:val="center"/>
            </w:pPr>
            <w:r>
              <w:rPr>
                <w:sz w:val="20"/>
              </w:rPr>
              <w:t xml:space="preserve">Факт</w:t>
            </w:r>
          </w:p>
        </w:tc>
        <w:tc>
          <w:tcPr>
            <w:tcW w:w="856" w:type="dxa"/>
          </w:tcPr>
          <w:p>
            <w:pPr>
              <w:pStyle w:val="0"/>
              <w:jc w:val="center"/>
            </w:pPr>
            <w:r>
              <w:rPr>
                <w:sz w:val="20"/>
              </w:rPr>
              <w:t xml:space="preserve">2021</w:t>
            </w:r>
          </w:p>
          <w:p>
            <w:pPr>
              <w:pStyle w:val="0"/>
              <w:jc w:val="center"/>
            </w:pPr>
            <w:r>
              <w:rPr>
                <w:sz w:val="20"/>
              </w:rPr>
              <w:t xml:space="preserve">План</w:t>
            </w:r>
          </w:p>
        </w:tc>
        <w:tc>
          <w:tcPr>
            <w:tcW w:w="856" w:type="dxa"/>
          </w:tcPr>
          <w:p>
            <w:pPr>
              <w:pStyle w:val="0"/>
              <w:jc w:val="center"/>
            </w:pPr>
            <w:r>
              <w:rPr>
                <w:sz w:val="20"/>
              </w:rPr>
              <w:t xml:space="preserve">2022</w:t>
            </w:r>
          </w:p>
          <w:p>
            <w:pPr>
              <w:pStyle w:val="0"/>
              <w:jc w:val="center"/>
            </w:pPr>
            <w:r>
              <w:rPr>
                <w:sz w:val="20"/>
              </w:rPr>
              <w:t xml:space="preserve">План</w:t>
            </w:r>
          </w:p>
        </w:tc>
        <w:tc>
          <w:tcPr>
            <w:tcW w:w="849" w:type="dxa"/>
          </w:tcPr>
          <w:p>
            <w:pPr>
              <w:pStyle w:val="0"/>
              <w:jc w:val="center"/>
            </w:pPr>
            <w:r>
              <w:rPr>
                <w:sz w:val="20"/>
              </w:rPr>
              <w:t xml:space="preserve">2023</w:t>
            </w:r>
          </w:p>
          <w:p>
            <w:pPr>
              <w:pStyle w:val="0"/>
              <w:jc w:val="center"/>
            </w:pPr>
            <w:r>
              <w:rPr>
                <w:sz w:val="20"/>
              </w:rPr>
              <w:t xml:space="preserve">План</w:t>
            </w:r>
          </w:p>
        </w:tc>
        <w:tc>
          <w:tcPr>
            <w:tcW w:w="743" w:type="dxa"/>
          </w:tcPr>
          <w:p>
            <w:pPr>
              <w:pStyle w:val="0"/>
              <w:jc w:val="center"/>
            </w:pPr>
            <w:r>
              <w:rPr>
                <w:sz w:val="20"/>
              </w:rPr>
              <w:t xml:space="preserve">2024</w:t>
            </w:r>
          </w:p>
          <w:p>
            <w:pPr>
              <w:pStyle w:val="0"/>
              <w:jc w:val="center"/>
            </w:pPr>
            <w:r>
              <w:rPr>
                <w:sz w:val="20"/>
              </w:rPr>
              <w:t xml:space="preserve">План</w:t>
            </w:r>
          </w:p>
        </w:tc>
      </w:tr>
      <w:tr>
        <w:tc>
          <w:tcPr>
            <w:tcW w:w="2227" w:type="dxa"/>
            <w:vAlign w:val="bottom"/>
          </w:tcPr>
          <w:p>
            <w:pPr>
              <w:pStyle w:val="0"/>
            </w:pPr>
            <w:r>
              <w:rPr>
                <w:sz w:val="20"/>
              </w:rPr>
              <w:t xml:space="preserve">Розничные продажи алкогольной продукции на душу населения (в литрах этанола)</w:t>
            </w:r>
          </w:p>
        </w:tc>
        <w:tc>
          <w:tcPr>
            <w:tcW w:w="857" w:type="dxa"/>
            <w:vAlign w:val="center"/>
          </w:tcPr>
          <w:p>
            <w:pPr>
              <w:pStyle w:val="0"/>
              <w:jc w:val="center"/>
            </w:pPr>
            <w:r>
              <w:rPr>
                <w:sz w:val="20"/>
              </w:rPr>
              <w:t xml:space="preserve">8,1</w:t>
            </w:r>
          </w:p>
        </w:tc>
        <w:tc>
          <w:tcPr>
            <w:tcW w:w="856" w:type="dxa"/>
            <w:vAlign w:val="center"/>
          </w:tcPr>
          <w:p>
            <w:pPr>
              <w:pStyle w:val="0"/>
              <w:jc w:val="center"/>
            </w:pPr>
            <w:r>
              <w:rPr>
                <w:sz w:val="20"/>
              </w:rPr>
              <w:t xml:space="preserve">6,8</w:t>
            </w:r>
          </w:p>
        </w:tc>
        <w:tc>
          <w:tcPr>
            <w:tcW w:w="856" w:type="dxa"/>
            <w:vAlign w:val="center"/>
          </w:tcPr>
          <w:p>
            <w:pPr>
              <w:pStyle w:val="0"/>
              <w:jc w:val="center"/>
            </w:pPr>
            <w:r>
              <w:rPr>
                <w:sz w:val="20"/>
              </w:rPr>
              <w:t xml:space="preserve">8,0</w:t>
            </w:r>
          </w:p>
        </w:tc>
        <w:tc>
          <w:tcPr>
            <w:tcW w:w="856" w:type="dxa"/>
            <w:vAlign w:val="center"/>
          </w:tcPr>
          <w:p>
            <w:pPr>
              <w:pStyle w:val="0"/>
              <w:jc w:val="center"/>
            </w:pPr>
            <w:r>
              <w:rPr>
                <w:sz w:val="20"/>
              </w:rPr>
              <w:t xml:space="preserve">8,0</w:t>
            </w:r>
          </w:p>
        </w:tc>
        <w:tc>
          <w:tcPr>
            <w:tcW w:w="856" w:type="dxa"/>
            <w:vAlign w:val="center"/>
          </w:tcPr>
          <w:p>
            <w:pPr>
              <w:pStyle w:val="0"/>
              <w:jc w:val="center"/>
            </w:pPr>
            <w:r>
              <w:rPr>
                <w:sz w:val="20"/>
              </w:rPr>
              <w:t xml:space="preserve">7,9</w:t>
            </w:r>
          </w:p>
        </w:tc>
        <w:tc>
          <w:tcPr>
            <w:tcW w:w="856" w:type="dxa"/>
            <w:vAlign w:val="center"/>
          </w:tcPr>
          <w:p>
            <w:pPr>
              <w:pStyle w:val="0"/>
              <w:jc w:val="center"/>
            </w:pPr>
            <w:r>
              <w:rPr>
                <w:sz w:val="20"/>
              </w:rPr>
              <w:t xml:space="preserve">7,8</w:t>
            </w:r>
          </w:p>
        </w:tc>
        <w:tc>
          <w:tcPr>
            <w:tcW w:w="849" w:type="dxa"/>
            <w:vAlign w:val="center"/>
          </w:tcPr>
          <w:p>
            <w:pPr>
              <w:pStyle w:val="0"/>
              <w:jc w:val="center"/>
            </w:pPr>
            <w:r>
              <w:rPr>
                <w:sz w:val="20"/>
              </w:rPr>
              <w:t xml:space="preserve">7,7</w:t>
            </w:r>
          </w:p>
        </w:tc>
        <w:tc>
          <w:tcPr>
            <w:tcW w:w="743" w:type="dxa"/>
            <w:vAlign w:val="center"/>
          </w:tcPr>
          <w:p>
            <w:pPr>
              <w:pStyle w:val="0"/>
              <w:jc w:val="center"/>
            </w:pPr>
            <w:r>
              <w:rPr>
                <w:sz w:val="20"/>
              </w:rPr>
              <w:t xml:space="preserve">7,6</w:t>
            </w:r>
          </w:p>
        </w:tc>
      </w:tr>
    </w:tbl>
    <w:p>
      <w:pPr>
        <w:pStyle w:val="0"/>
        <w:ind w:firstLine="540"/>
        <w:jc w:val="both"/>
      </w:pPr>
      <w:r>
        <w:rPr>
          <w:sz w:val="20"/>
        </w:rPr>
      </w:r>
    </w:p>
    <w:p>
      <w:pPr>
        <w:pStyle w:val="0"/>
        <w:ind w:firstLine="540"/>
        <w:jc w:val="both"/>
      </w:pPr>
      <w:r>
        <w:rPr>
          <w:sz w:val="20"/>
        </w:rPr>
        <w:t xml:space="preserve">Один из немаловажных анализируемых показателей здоровья населения - количество впервые выявленных случаев ожирения (таблица 34).</w:t>
      </w:r>
    </w:p>
    <w:p>
      <w:pPr>
        <w:pStyle w:val="0"/>
        <w:jc w:val="right"/>
      </w:pPr>
      <w:r>
        <w:rPr>
          <w:sz w:val="20"/>
        </w:rPr>
      </w:r>
    </w:p>
    <w:p>
      <w:pPr>
        <w:pStyle w:val="0"/>
        <w:jc w:val="right"/>
      </w:pPr>
      <w:r>
        <w:rPr>
          <w:sz w:val="20"/>
        </w:rPr>
        <w:t xml:space="preserve">Таблица 34</w:t>
      </w:r>
    </w:p>
    <w:p>
      <w:pPr>
        <w:pStyle w:val="0"/>
        <w:jc w:val="right"/>
      </w:pPr>
      <w:r>
        <w:rPr>
          <w:sz w:val="20"/>
        </w:rPr>
      </w:r>
    </w:p>
    <w:p>
      <w:pPr>
        <w:pStyle w:val="0"/>
        <w:jc w:val="center"/>
      </w:pPr>
      <w:r>
        <w:rPr>
          <w:sz w:val="20"/>
        </w:rPr>
        <w:t xml:space="preserve">Сведения о впервые выявленных случаях ожирения в автономном</w:t>
      </w:r>
    </w:p>
    <w:p>
      <w:pPr>
        <w:pStyle w:val="0"/>
        <w:jc w:val="center"/>
      </w:pPr>
      <w:r>
        <w:rPr>
          <w:sz w:val="20"/>
        </w:rPr>
        <w:t xml:space="preserve">округе, абс.</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670"/>
        <w:gridCol w:w="670"/>
        <w:gridCol w:w="670"/>
        <w:gridCol w:w="670"/>
        <w:gridCol w:w="670"/>
        <w:gridCol w:w="670"/>
        <w:gridCol w:w="670"/>
        <w:gridCol w:w="670"/>
        <w:gridCol w:w="670"/>
        <w:gridCol w:w="737"/>
      </w:tblGrid>
      <w:tr>
        <w:tc>
          <w:tcPr>
            <w:tcW w:w="2154" w:type="dxa"/>
          </w:tcPr>
          <w:p>
            <w:pPr>
              <w:pStyle w:val="0"/>
              <w:jc w:val="center"/>
            </w:pPr>
            <w:r>
              <w:rPr>
                <w:sz w:val="20"/>
              </w:rPr>
              <w:t xml:space="preserve">Возрастная категория</w:t>
            </w:r>
          </w:p>
        </w:tc>
        <w:tc>
          <w:tcPr>
            <w:tcW w:w="670" w:type="dxa"/>
          </w:tcPr>
          <w:p>
            <w:pPr>
              <w:pStyle w:val="0"/>
              <w:jc w:val="center"/>
            </w:pPr>
            <w:r>
              <w:rPr>
                <w:sz w:val="20"/>
              </w:rPr>
              <w:t xml:space="preserve">2013</w:t>
            </w:r>
          </w:p>
        </w:tc>
        <w:tc>
          <w:tcPr>
            <w:tcW w:w="670" w:type="dxa"/>
          </w:tcPr>
          <w:p>
            <w:pPr>
              <w:pStyle w:val="0"/>
              <w:jc w:val="center"/>
            </w:pPr>
            <w:r>
              <w:rPr>
                <w:sz w:val="20"/>
              </w:rPr>
              <w:t xml:space="preserve">2014</w:t>
            </w:r>
          </w:p>
        </w:tc>
        <w:tc>
          <w:tcPr>
            <w:tcW w:w="670" w:type="dxa"/>
          </w:tcPr>
          <w:p>
            <w:pPr>
              <w:pStyle w:val="0"/>
              <w:jc w:val="center"/>
            </w:pPr>
            <w:r>
              <w:rPr>
                <w:sz w:val="20"/>
              </w:rPr>
              <w:t xml:space="preserve">2015</w:t>
            </w:r>
          </w:p>
        </w:tc>
        <w:tc>
          <w:tcPr>
            <w:tcW w:w="670" w:type="dxa"/>
          </w:tcPr>
          <w:p>
            <w:pPr>
              <w:pStyle w:val="0"/>
              <w:jc w:val="center"/>
            </w:pPr>
            <w:r>
              <w:rPr>
                <w:sz w:val="20"/>
              </w:rPr>
              <w:t xml:space="preserve">2016</w:t>
            </w:r>
          </w:p>
        </w:tc>
        <w:tc>
          <w:tcPr>
            <w:tcW w:w="670" w:type="dxa"/>
          </w:tcPr>
          <w:p>
            <w:pPr>
              <w:pStyle w:val="0"/>
              <w:jc w:val="center"/>
            </w:pPr>
            <w:r>
              <w:rPr>
                <w:sz w:val="20"/>
              </w:rPr>
              <w:t xml:space="preserve">2017</w:t>
            </w:r>
          </w:p>
        </w:tc>
        <w:tc>
          <w:tcPr>
            <w:tcW w:w="670" w:type="dxa"/>
          </w:tcPr>
          <w:p>
            <w:pPr>
              <w:pStyle w:val="0"/>
              <w:jc w:val="center"/>
            </w:pPr>
            <w:r>
              <w:rPr>
                <w:sz w:val="20"/>
              </w:rPr>
              <w:t xml:space="preserve">2018</w:t>
            </w:r>
          </w:p>
        </w:tc>
        <w:tc>
          <w:tcPr>
            <w:tcW w:w="670" w:type="dxa"/>
          </w:tcPr>
          <w:p>
            <w:pPr>
              <w:pStyle w:val="0"/>
              <w:jc w:val="center"/>
            </w:pPr>
            <w:r>
              <w:rPr>
                <w:sz w:val="20"/>
              </w:rPr>
              <w:t xml:space="preserve">2019</w:t>
            </w:r>
          </w:p>
        </w:tc>
        <w:tc>
          <w:tcPr>
            <w:tcW w:w="670" w:type="dxa"/>
          </w:tcPr>
          <w:p>
            <w:pPr>
              <w:pStyle w:val="0"/>
              <w:jc w:val="center"/>
            </w:pPr>
            <w:r>
              <w:rPr>
                <w:sz w:val="20"/>
              </w:rPr>
              <w:t xml:space="preserve">2020</w:t>
            </w:r>
          </w:p>
        </w:tc>
        <w:tc>
          <w:tcPr>
            <w:tcW w:w="670" w:type="dxa"/>
          </w:tcPr>
          <w:p>
            <w:pPr>
              <w:pStyle w:val="0"/>
              <w:jc w:val="center"/>
            </w:pPr>
            <w:r>
              <w:rPr>
                <w:sz w:val="20"/>
              </w:rPr>
              <w:t xml:space="preserve">2021</w:t>
            </w:r>
          </w:p>
        </w:tc>
        <w:tc>
          <w:tcPr>
            <w:tcW w:w="737" w:type="dxa"/>
          </w:tcPr>
          <w:p>
            <w:pPr>
              <w:pStyle w:val="0"/>
              <w:jc w:val="center"/>
            </w:pPr>
            <w:r>
              <w:rPr>
                <w:sz w:val="20"/>
              </w:rPr>
              <w:t xml:space="preserve">2022</w:t>
            </w:r>
          </w:p>
        </w:tc>
      </w:tr>
      <w:tr>
        <w:tc>
          <w:tcPr>
            <w:tcW w:w="2154" w:type="dxa"/>
          </w:tcPr>
          <w:p>
            <w:pPr>
              <w:pStyle w:val="0"/>
            </w:pPr>
            <w:r>
              <w:rPr>
                <w:sz w:val="20"/>
              </w:rPr>
              <w:t xml:space="preserve">Дети 0 - 14 лет</w:t>
            </w:r>
          </w:p>
        </w:tc>
        <w:tc>
          <w:tcPr>
            <w:tcW w:w="670" w:type="dxa"/>
          </w:tcPr>
          <w:p>
            <w:pPr>
              <w:pStyle w:val="0"/>
              <w:jc w:val="center"/>
            </w:pPr>
            <w:r>
              <w:rPr>
                <w:sz w:val="20"/>
              </w:rPr>
              <w:t xml:space="preserve">993</w:t>
            </w:r>
          </w:p>
        </w:tc>
        <w:tc>
          <w:tcPr>
            <w:tcW w:w="670" w:type="dxa"/>
          </w:tcPr>
          <w:p>
            <w:pPr>
              <w:pStyle w:val="0"/>
              <w:jc w:val="center"/>
            </w:pPr>
            <w:r>
              <w:rPr>
                <w:sz w:val="20"/>
              </w:rPr>
              <w:t xml:space="preserve">954</w:t>
            </w:r>
          </w:p>
        </w:tc>
        <w:tc>
          <w:tcPr>
            <w:tcW w:w="670" w:type="dxa"/>
          </w:tcPr>
          <w:p>
            <w:pPr>
              <w:pStyle w:val="0"/>
              <w:jc w:val="center"/>
            </w:pPr>
            <w:r>
              <w:rPr>
                <w:sz w:val="20"/>
              </w:rPr>
              <w:t xml:space="preserve">1 079</w:t>
            </w:r>
          </w:p>
        </w:tc>
        <w:tc>
          <w:tcPr>
            <w:tcW w:w="670" w:type="dxa"/>
          </w:tcPr>
          <w:p>
            <w:pPr>
              <w:pStyle w:val="0"/>
              <w:jc w:val="center"/>
            </w:pPr>
            <w:r>
              <w:rPr>
                <w:sz w:val="20"/>
              </w:rPr>
              <w:t xml:space="preserve">1 078</w:t>
            </w:r>
          </w:p>
        </w:tc>
        <w:tc>
          <w:tcPr>
            <w:tcW w:w="670" w:type="dxa"/>
          </w:tcPr>
          <w:p>
            <w:pPr>
              <w:pStyle w:val="0"/>
              <w:jc w:val="center"/>
            </w:pPr>
            <w:r>
              <w:rPr>
                <w:sz w:val="20"/>
              </w:rPr>
              <w:t xml:space="preserve">1 291</w:t>
            </w:r>
          </w:p>
        </w:tc>
        <w:tc>
          <w:tcPr>
            <w:tcW w:w="670" w:type="dxa"/>
          </w:tcPr>
          <w:p>
            <w:pPr>
              <w:pStyle w:val="0"/>
              <w:jc w:val="center"/>
            </w:pPr>
            <w:r>
              <w:rPr>
                <w:sz w:val="20"/>
              </w:rPr>
              <w:t xml:space="preserve">1 216</w:t>
            </w:r>
          </w:p>
        </w:tc>
        <w:tc>
          <w:tcPr>
            <w:tcW w:w="670" w:type="dxa"/>
          </w:tcPr>
          <w:p>
            <w:pPr>
              <w:pStyle w:val="0"/>
              <w:jc w:val="center"/>
            </w:pPr>
            <w:r>
              <w:rPr>
                <w:sz w:val="20"/>
              </w:rPr>
              <w:t xml:space="preserve">1 485</w:t>
            </w:r>
          </w:p>
        </w:tc>
        <w:tc>
          <w:tcPr>
            <w:tcW w:w="670" w:type="dxa"/>
          </w:tcPr>
          <w:p>
            <w:pPr>
              <w:pStyle w:val="0"/>
              <w:jc w:val="center"/>
            </w:pPr>
            <w:r>
              <w:rPr>
                <w:sz w:val="20"/>
              </w:rPr>
              <w:t xml:space="preserve">1 203</w:t>
            </w:r>
          </w:p>
        </w:tc>
        <w:tc>
          <w:tcPr>
            <w:tcW w:w="670" w:type="dxa"/>
          </w:tcPr>
          <w:p>
            <w:pPr>
              <w:pStyle w:val="0"/>
              <w:jc w:val="center"/>
            </w:pPr>
            <w:r>
              <w:rPr>
                <w:sz w:val="20"/>
              </w:rPr>
              <w:t xml:space="preserve">1 056</w:t>
            </w:r>
          </w:p>
        </w:tc>
        <w:tc>
          <w:tcPr>
            <w:tcW w:w="737" w:type="dxa"/>
          </w:tcPr>
          <w:p>
            <w:pPr>
              <w:pStyle w:val="0"/>
              <w:jc w:val="center"/>
            </w:pPr>
            <w:r>
              <w:rPr>
                <w:sz w:val="20"/>
              </w:rPr>
              <w:t xml:space="preserve">1 052</w:t>
            </w:r>
          </w:p>
        </w:tc>
      </w:tr>
      <w:tr>
        <w:tc>
          <w:tcPr>
            <w:tcW w:w="2154" w:type="dxa"/>
          </w:tcPr>
          <w:p>
            <w:pPr>
              <w:pStyle w:val="0"/>
            </w:pPr>
            <w:r>
              <w:rPr>
                <w:sz w:val="20"/>
              </w:rPr>
              <w:t xml:space="preserve">Подростки 15 - 17 лет</w:t>
            </w:r>
          </w:p>
        </w:tc>
        <w:tc>
          <w:tcPr>
            <w:tcW w:w="670" w:type="dxa"/>
          </w:tcPr>
          <w:p>
            <w:pPr>
              <w:pStyle w:val="0"/>
              <w:jc w:val="center"/>
            </w:pPr>
            <w:r>
              <w:rPr>
                <w:sz w:val="20"/>
              </w:rPr>
              <w:t xml:space="preserve">172</w:t>
            </w:r>
          </w:p>
        </w:tc>
        <w:tc>
          <w:tcPr>
            <w:tcW w:w="670" w:type="dxa"/>
          </w:tcPr>
          <w:p>
            <w:pPr>
              <w:pStyle w:val="0"/>
              <w:jc w:val="center"/>
            </w:pPr>
            <w:r>
              <w:rPr>
                <w:sz w:val="20"/>
              </w:rPr>
              <w:t xml:space="preserve">159</w:t>
            </w:r>
          </w:p>
        </w:tc>
        <w:tc>
          <w:tcPr>
            <w:tcW w:w="670" w:type="dxa"/>
          </w:tcPr>
          <w:p>
            <w:pPr>
              <w:pStyle w:val="0"/>
              <w:jc w:val="center"/>
            </w:pPr>
            <w:r>
              <w:rPr>
                <w:sz w:val="20"/>
              </w:rPr>
              <w:t xml:space="preserve">298</w:t>
            </w:r>
          </w:p>
        </w:tc>
        <w:tc>
          <w:tcPr>
            <w:tcW w:w="670" w:type="dxa"/>
          </w:tcPr>
          <w:p>
            <w:pPr>
              <w:pStyle w:val="0"/>
              <w:jc w:val="center"/>
            </w:pPr>
            <w:r>
              <w:rPr>
                <w:sz w:val="20"/>
              </w:rPr>
              <w:t xml:space="preserve">246</w:t>
            </w:r>
          </w:p>
        </w:tc>
        <w:tc>
          <w:tcPr>
            <w:tcW w:w="670" w:type="dxa"/>
          </w:tcPr>
          <w:p>
            <w:pPr>
              <w:pStyle w:val="0"/>
              <w:jc w:val="center"/>
            </w:pPr>
            <w:r>
              <w:rPr>
                <w:sz w:val="20"/>
              </w:rPr>
              <w:t xml:space="preserve">350</w:t>
            </w:r>
          </w:p>
        </w:tc>
        <w:tc>
          <w:tcPr>
            <w:tcW w:w="670" w:type="dxa"/>
          </w:tcPr>
          <w:p>
            <w:pPr>
              <w:pStyle w:val="0"/>
              <w:jc w:val="center"/>
            </w:pPr>
            <w:r>
              <w:rPr>
                <w:sz w:val="20"/>
              </w:rPr>
              <w:t xml:space="preserve">305</w:t>
            </w:r>
          </w:p>
        </w:tc>
        <w:tc>
          <w:tcPr>
            <w:tcW w:w="670" w:type="dxa"/>
          </w:tcPr>
          <w:p>
            <w:pPr>
              <w:pStyle w:val="0"/>
              <w:jc w:val="center"/>
            </w:pPr>
            <w:r>
              <w:rPr>
                <w:sz w:val="20"/>
              </w:rPr>
              <w:t xml:space="preserve">359</w:t>
            </w:r>
          </w:p>
        </w:tc>
        <w:tc>
          <w:tcPr>
            <w:tcW w:w="670" w:type="dxa"/>
          </w:tcPr>
          <w:p>
            <w:pPr>
              <w:pStyle w:val="0"/>
              <w:jc w:val="center"/>
            </w:pPr>
            <w:r>
              <w:rPr>
                <w:sz w:val="20"/>
              </w:rPr>
              <w:t xml:space="preserve">359</w:t>
            </w:r>
          </w:p>
        </w:tc>
        <w:tc>
          <w:tcPr>
            <w:tcW w:w="670" w:type="dxa"/>
          </w:tcPr>
          <w:p>
            <w:pPr>
              <w:pStyle w:val="0"/>
              <w:jc w:val="center"/>
            </w:pPr>
            <w:r>
              <w:rPr>
                <w:sz w:val="20"/>
              </w:rPr>
              <w:t xml:space="preserve">286</w:t>
            </w:r>
          </w:p>
        </w:tc>
        <w:tc>
          <w:tcPr>
            <w:tcW w:w="737" w:type="dxa"/>
          </w:tcPr>
          <w:p>
            <w:pPr>
              <w:pStyle w:val="0"/>
              <w:jc w:val="center"/>
            </w:pPr>
            <w:r>
              <w:rPr>
                <w:sz w:val="20"/>
              </w:rPr>
              <w:t xml:space="preserve">219</w:t>
            </w:r>
          </w:p>
        </w:tc>
      </w:tr>
      <w:tr>
        <w:tc>
          <w:tcPr>
            <w:tcW w:w="2154" w:type="dxa"/>
          </w:tcPr>
          <w:p>
            <w:pPr>
              <w:pStyle w:val="0"/>
            </w:pPr>
            <w:r>
              <w:rPr>
                <w:sz w:val="20"/>
              </w:rPr>
              <w:t xml:space="preserve">Взрослые 18 лет и старше</w:t>
            </w:r>
          </w:p>
        </w:tc>
        <w:tc>
          <w:tcPr>
            <w:tcW w:w="670" w:type="dxa"/>
          </w:tcPr>
          <w:p>
            <w:pPr>
              <w:pStyle w:val="0"/>
              <w:jc w:val="center"/>
            </w:pPr>
            <w:r>
              <w:rPr>
                <w:sz w:val="20"/>
              </w:rPr>
              <w:t xml:space="preserve">1 524</w:t>
            </w:r>
          </w:p>
        </w:tc>
        <w:tc>
          <w:tcPr>
            <w:tcW w:w="670" w:type="dxa"/>
          </w:tcPr>
          <w:p>
            <w:pPr>
              <w:pStyle w:val="0"/>
              <w:jc w:val="center"/>
            </w:pPr>
            <w:r>
              <w:rPr>
                <w:sz w:val="20"/>
              </w:rPr>
              <w:t xml:space="preserve">1 925</w:t>
            </w:r>
          </w:p>
        </w:tc>
        <w:tc>
          <w:tcPr>
            <w:tcW w:w="670" w:type="dxa"/>
          </w:tcPr>
          <w:p>
            <w:pPr>
              <w:pStyle w:val="0"/>
              <w:jc w:val="center"/>
            </w:pPr>
            <w:r>
              <w:rPr>
                <w:sz w:val="20"/>
              </w:rPr>
              <w:t xml:space="preserve">2 199</w:t>
            </w:r>
          </w:p>
        </w:tc>
        <w:tc>
          <w:tcPr>
            <w:tcW w:w="670" w:type="dxa"/>
          </w:tcPr>
          <w:p>
            <w:pPr>
              <w:pStyle w:val="0"/>
              <w:jc w:val="center"/>
            </w:pPr>
            <w:r>
              <w:rPr>
                <w:sz w:val="20"/>
              </w:rPr>
              <w:t xml:space="preserve">2 649</w:t>
            </w:r>
          </w:p>
        </w:tc>
        <w:tc>
          <w:tcPr>
            <w:tcW w:w="670" w:type="dxa"/>
          </w:tcPr>
          <w:p>
            <w:pPr>
              <w:pStyle w:val="0"/>
              <w:jc w:val="center"/>
            </w:pPr>
            <w:r>
              <w:rPr>
                <w:sz w:val="20"/>
              </w:rPr>
              <w:t xml:space="preserve">2 028</w:t>
            </w:r>
          </w:p>
        </w:tc>
        <w:tc>
          <w:tcPr>
            <w:tcW w:w="670" w:type="dxa"/>
          </w:tcPr>
          <w:p>
            <w:pPr>
              <w:pStyle w:val="0"/>
              <w:jc w:val="center"/>
            </w:pPr>
            <w:r>
              <w:rPr>
                <w:sz w:val="20"/>
              </w:rPr>
              <w:t xml:space="preserve">4 204</w:t>
            </w:r>
          </w:p>
        </w:tc>
        <w:tc>
          <w:tcPr>
            <w:tcW w:w="670" w:type="dxa"/>
          </w:tcPr>
          <w:p>
            <w:pPr>
              <w:pStyle w:val="0"/>
              <w:jc w:val="center"/>
            </w:pPr>
            <w:r>
              <w:rPr>
                <w:sz w:val="20"/>
              </w:rPr>
              <w:t xml:space="preserve">3 806</w:t>
            </w:r>
          </w:p>
        </w:tc>
        <w:tc>
          <w:tcPr>
            <w:tcW w:w="670" w:type="dxa"/>
          </w:tcPr>
          <w:p>
            <w:pPr>
              <w:pStyle w:val="0"/>
              <w:jc w:val="center"/>
            </w:pPr>
            <w:r>
              <w:rPr>
                <w:sz w:val="20"/>
              </w:rPr>
              <w:t xml:space="preserve">3 857</w:t>
            </w:r>
          </w:p>
        </w:tc>
        <w:tc>
          <w:tcPr>
            <w:tcW w:w="670" w:type="dxa"/>
          </w:tcPr>
          <w:p>
            <w:pPr>
              <w:pStyle w:val="0"/>
              <w:jc w:val="center"/>
            </w:pPr>
            <w:r>
              <w:rPr>
                <w:sz w:val="20"/>
              </w:rPr>
              <w:t xml:space="preserve">3 348</w:t>
            </w:r>
          </w:p>
        </w:tc>
        <w:tc>
          <w:tcPr>
            <w:tcW w:w="737" w:type="dxa"/>
          </w:tcPr>
          <w:p>
            <w:pPr>
              <w:pStyle w:val="0"/>
              <w:jc w:val="center"/>
            </w:pPr>
            <w:r>
              <w:rPr>
                <w:sz w:val="20"/>
              </w:rPr>
              <w:t xml:space="preserve">5 284</w:t>
            </w:r>
          </w:p>
        </w:tc>
      </w:tr>
      <w:tr>
        <w:tc>
          <w:tcPr>
            <w:tcW w:w="2154" w:type="dxa"/>
          </w:tcPr>
          <w:p>
            <w:pPr>
              <w:pStyle w:val="0"/>
            </w:pPr>
            <w:r>
              <w:rPr>
                <w:sz w:val="20"/>
              </w:rPr>
              <w:t xml:space="preserve">Итого</w:t>
            </w:r>
          </w:p>
        </w:tc>
        <w:tc>
          <w:tcPr>
            <w:tcW w:w="670" w:type="dxa"/>
          </w:tcPr>
          <w:p>
            <w:pPr>
              <w:pStyle w:val="0"/>
              <w:jc w:val="center"/>
            </w:pPr>
            <w:r>
              <w:rPr>
                <w:sz w:val="20"/>
              </w:rPr>
              <w:t xml:space="preserve">2 689</w:t>
            </w:r>
          </w:p>
        </w:tc>
        <w:tc>
          <w:tcPr>
            <w:tcW w:w="670" w:type="dxa"/>
          </w:tcPr>
          <w:p>
            <w:pPr>
              <w:pStyle w:val="0"/>
              <w:jc w:val="center"/>
            </w:pPr>
            <w:r>
              <w:rPr>
                <w:sz w:val="20"/>
              </w:rPr>
              <w:t xml:space="preserve">3 038</w:t>
            </w:r>
          </w:p>
        </w:tc>
        <w:tc>
          <w:tcPr>
            <w:tcW w:w="670" w:type="dxa"/>
          </w:tcPr>
          <w:p>
            <w:pPr>
              <w:pStyle w:val="0"/>
              <w:jc w:val="center"/>
            </w:pPr>
            <w:r>
              <w:rPr>
                <w:sz w:val="20"/>
              </w:rPr>
              <w:t xml:space="preserve">3 576</w:t>
            </w:r>
          </w:p>
        </w:tc>
        <w:tc>
          <w:tcPr>
            <w:tcW w:w="670" w:type="dxa"/>
          </w:tcPr>
          <w:p>
            <w:pPr>
              <w:pStyle w:val="0"/>
              <w:jc w:val="center"/>
            </w:pPr>
            <w:r>
              <w:rPr>
                <w:sz w:val="20"/>
              </w:rPr>
              <w:t xml:space="preserve">3 973</w:t>
            </w:r>
          </w:p>
        </w:tc>
        <w:tc>
          <w:tcPr>
            <w:tcW w:w="670" w:type="dxa"/>
          </w:tcPr>
          <w:p>
            <w:pPr>
              <w:pStyle w:val="0"/>
              <w:jc w:val="center"/>
            </w:pPr>
            <w:r>
              <w:rPr>
                <w:sz w:val="20"/>
              </w:rPr>
              <w:t xml:space="preserve">3 669</w:t>
            </w:r>
          </w:p>
        </w:tc>
        <w:tc>
          <w:tcPr>
            <w:tcW w:w="670" w:type="dxa"/>
          </w:tcPr>
          <w:p>
            <w:pPr>
              <w:pStyle w:val="0"/>
              <w:jc w:val="center"/>
            </w:pPr>
            <w:r>
              <w:rPr>
                <w:sz w:val="20"/>
              </w:rPr>
              <w:t xml:space="preserve">5 725</w:t>
            </w:r>
          </w:p>
        </w:tc>
        <w:tc>
          <w:tcPr>
            <w:tcW w:w="670" w:type="dxa"/>
          </w:tcPr>
          <w:p>
            <w:pPr>
              <w:pStyle w:val="0"/>
              <w:jc w:val="center"/>
            </w:pPr>
            <w:r>
              <w:rPr>
                <w:sz w:val="20"/>
              </w:rPr>
              <w:t xml:space="preserve">5 650</w:t>
            </w:r>
          </w:p>
        </w:tc>
        <w:tc>
          <w:tcPr>
            <w:tcW w:w="670" w:type="dxa"/>
          </w:tcPr>
          <w:p>
            <w:pPr>
              <w:pStyle w:val="0"/>
              <w:jc w:val="center"/>
            </w:pPr>
            <w:r>
              <w:rPr>
                <w:sz w:val="20"/>
              </w:rPr>
              <w:t xml:space="preserve">5 419</w:t>
            </w:r>
          </w:p>
        </w:tc>
        <w:tc>
          <w:tcPr>
            <w:tcW w:w="670" w:type="dxa"/>
          </w:tcPr>
          <w:p>
            <w:pPr>
              <w:pStyle w:val="0"/>
              <w:jc w:val="center"/>
            </w:pPr>
            <w:r>
              <w:rPr>
                <w:sz w:val="20"/>
              </w:rPr>
              <w:t xml:space="preserve">4 690</w:t>
            </w:r>
          </w:p>
        </w:tc>
        <w:tc>
          <w:tcPr>
            <w:tcW w:w="737" w:type="dxa"/>
          </w:tcPr>
          <w:p>
            <w:pPr>
              <w:pStyle w:val="0"/>
              <w:jc w:val="center"/>
            </w:pPr>
            <w:r>
              <w:rPr>
                <w:sz w:val="20"/>
              </w:rPr>
              <w:t xml:space="preserve">6 555</w:t>
            </w:r>
          </w:p>
        </w:tc>
      </w:tr>
    </w:tbl>
    <w:p>
      <w:pPr>
        <w:pStyle w:val="0"/>
        <w:ind w:firstLine="540"/>
        <w:jc w:val="both"/>
      </w:pPr>
      <w:r>
        <w:rPr>
          <w:sz w:val="20"/>
        </w:rPr>
      </w:r>
    </w:p>
    <w:p>
      <w:pPr>
        <w:pStyle w:val="0"/>
        <w:ind w:firstLine="540"/>
        <w:jc w:val="both"/>
      </w:pPr>
      <w:r>
        <w:rPr>
          <w:sz w:val="20"/>
        </w:rPr>
        <w:t xml:space="preserve">С 2021 года в региональный проект "Укрепление общественного здоровья" введен целевой показатель "Темпы прироста первичной заболеваемости ожирением". Декомпозиция показателя для автономного округа определена следующим образом.</w:t>
      </w:r>
    </w:p>
    <w:p>
      <w:pPr>
        <w:pStyle w:val="0"/>
        <w:ind w:firstLine="540"/>
        <w:jc w:val="both"/>
      </w:pPr>
      <w:r>
        <w:rPr>
          <w:sz w:val="20"/>
        </w:rPr>
      </w:r>
    </w:p>
    <w:p>
      <w:pPr>
        <w:pStyle w:val="0"/>
        <w:jc w:val="right"/>
      </w:pPr>
      <w:r>
        <w:rPr>
          <w:sz w:val="20"/>
        </w:rPr>
        <w:t xml:space="preserve">Таблица 35</w:t>
      </w:r>
    </w:p>
    <w:p>
      <w:pPr>
        <w:pStyle w:val="0"/>
        <w:jc w:val="right"/>
      </w:pPr>
      <w:r>
        <w:rPr>
          <w:sz w:val="20"/>
        </w:rPr>
      </w:r>
    </w:p>
    <w:p>
      <w:pPr>
        <w:pStyle w:val="0"/>
        <w:jc w:val="center"/>
      </w:pPr>
      <w:r>
        <w:rPr>
          <w:sz w:val="20"/>
        </w:rPr>
        <w:t xml:space="preserve">Плановые показатели темпа прироста первичной заболеваемости</w:t>
      </w:r>
    </w:p>
    <w:p>
      <w:pPr>
        <w:pStyle w:val="0"/>
        <w:jc w:val="center"/>
      </w:pPr>
      <w:r>
        <w:rPr>
          <w:sz w:val="20"/>
        </w:rPr>
        <w:t xml:space="preserve">ожирением, %</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61"/>
        <w:gridCol w:w="1446"/>
        <w:gridCol w:w="1588"/>
        <w:gridCol w:w="1588"/>
        <w:gridCol w:w="1189"/>
      </w:tblGrid>
      <w:tr>
        <w:tc>
          <w:tcPr>
            <w:tcW w:w="3261" w:type="dxa"/>
            <w:vAlign w:val="bottom"/>
          </w:tcPr>
          <w:p>
            <w:pPr>
              <w:pStyle w:val="0"/>
              <w:jc w:val="center"/>
            </w:pPr>
            <w:r>
              <w:rPr>
                <w:sz w:val="20"/>
              </w:rPr>
              <w:t xml:space="preserve">Показатель</w:t>
            </w:r>
          </w:p>
        </w:tc>
        <w:tc>
          <w:tcPr>
            <w:tcW w:w="1446" w:type="dxa"/>
          </w:tcPr>
          <w:p>
            <w:pPr>
              <w:pStyle w:val="0"/>
              <w:jc w:val="center"/>
            </w:pPr>
            <w:r>
              <w:rPr>
                <w:sz w:val="20"/>
              </w:rPr>
              <w:t xml:space="preserve">2021</w:t>
            </w:r>
          </w:p>
        </w:tc>
        <w:tc>
          <w:tcPr>
            <w:tcW w:w="1588" w:type="dxa"/>
          </w:tcPr>
          <w:p>
            <w:pPr>
              <w:pStyle w:val="0"/>
              <w:jc w:val="center"/>
            </w:pPr>
            <w:r>
              <w:rPr>
                <w:sz w:val="20"/>
              </w:rPr>
              <w:t xml:space="preserve">2022</w:t>
            </w:r>
          </w:p>
        </w:tc>
        <w:tc>
          <w:tcPr>
            <w:tcW w:w="1588" w:type="dxa"/>
          </w:tcPr>
          <w:p>
            <w:pPr>
              <w:pStyle w:val="0"/>
              <w:jc w:val="center"/>
            </w:pPr>
            <w:r>
              <w:rPr>
                <w:sz w:val="20"/>
              </w:rPr>
              <w:t xml:space="preserve">2023</w:t>
            </w:r>
          </w:p>
        </w:tc>
        <w:tc>
          <w:tcPr>
            <w:tcW w:w="1189" w:type="dxa"/>
          </w:tcPr>
          <w:p>
            <w:pPr>
              <w:pStyle w:val="0"/>
              <w:jc w:val="center"/>
            </w:pPr>
            <w:r>
              <w:rPr>
                <w:sz w:val="20"/>
              </w:rPr>
              <w:t xml:space="preserve">2024</w:t>
            </w:r>
          </w:p>
        </w:tc>
      </w:tr>
      <w:tr>
        <w:tc>
          <w:tcPr>
            <w:tcW w:w="3261" w:type="dxa"/>
            <w:vAlign w:val="bottom"/>
          </w:tcPr>
          <w:p>
            <w:pPr>
              <w:pStyle w:val="0"/>
            </w:pPr>
            <w:r>
              <w:rPr>
                <w:sz w:val="20"/>
              </w:rPr>
              <w:t xml:space="preserve">Темпы прироста первичной заболеваемости ожирением</w:t>
            </w:r>
          </w:p>
        </w:tc>
        <w:tc>
          <w:tcPr>
            <w:tcW w:w="1446" w:type="dxa"/>
            <w:vAlign w:val="center"/>
          </w:tcPr>
          <w:p>
            <w:pPr>
              <w:pStyle w:val="0"/>
              <w:jc w:val="center"/>
            </w:pPr>
            <w:r>
              <w:rPr>
                <w:sz w:val="20"/>
              </w:rPr>
              <w:t xml:space="preserve">7,0</w:t>
            </w:r>
          </w:p>
        </w:tc>
        <w:tc>
          <w:tcPr>
            <w:tcW w:w="1588" w:type="dxa"/>
            <w:vAlign w:val="center"/>
          </w:tcPr>
          <w:p>
            <w:pPr>
              <w:pStyle w:val="0"/>
              <w:jc w:val="center"/>
            </w:pPr>
            <w:r>
              <w:rPr>
                <w:sz w:val="20"/>
              </w:rPr>
              <w:t xml:space="preserve">6,3</w:t>
            </w:r>
          </w:p>
        </w:tc>
        <w:tc>
          <w:tcPr>
            <w:tcW w:w="1588" w:type="dxa"/>
            <w:vAlign w:val="center"/>
          </w:tcPr>
          <w:p>
            <w:pPr>
              <w:pStyle w:val="0"/>
              <w:jc w:val="center"/>
            </w:pPr>
            <w:r>
              <w:rPr>
                <w:sz w:val="20"/>
              </w:rPr>
              <w:t xml:space="preserve">5,6</w:t>
            </w:r>
          </w:p>
        </w:tc>
        <w:tc>
          <w:tcPr>
            <w:tcW w:w="1189" w:type="dxa"/>
            <w:vAlign w:val="center"/>
          </w:tcPr>
          <w:p>
            <w:pPr>
              <w:pStyle w:val="0"/>
              <w:jc w:val="center"/>
            </w:pPr>
            <w:r>
              <w:rPr>
                <w:sz w:val="20"/>
              </w:rPr>
              <w:t xml:space="preserve">4,7</w:t>
            </w:r>
          </w:p>
        </w:tc>
      </w:tr>
    </w:tbl>
    <w:p>
      <w:pPr>
        <w:pStyle w:val="0"/>
        <w:ind w:firstLine="540"/>
        <w:jc w:val="both"/>
      </w:pPr>
      <w:r>
        <w:rPr>
          <w:sz w:val="20"/>
        </w:rPr>
      </w:r>
    </w:p>
    <w:p>
      <w:pPr>
        <w:pStyle w:val="0"/>
        <w:ind w:firstLine="540"/>
        <w:jc w:val="both"/>
      </w:pPr>
      <w:r>
        <w:rPr>
          <w:sz w:val="20"/>
        </w:rPr>
        <w:t xml:space="preserve">С целью формирования среды, способствующей ведению гражданами здорового образа жизни, включая здоровое питание, защиту от табачного дыма, снижению потребления алкоголя, с 2020 года в 10 из 22 муниципальных образований автономного округа действуют муниципальные программы укрепления общественного здоровья (городские округа Ханты-Мансийск, Сургут, Нижневартовск, Югорск, Нягань; муниципальные районы Ханты-Мансийский, Нижневартовский, Советский, Кондинский, Березовский, 45% от всех муниципальных образований автономного округа). К 2024 году в остальных муниципальных образованиях автономного округа будут внедрены такие муниципальные программы.</w:t>
      </w:r>
    </w:p>
    <w:p>
      <w:pPr>
        <w:pStyle w:val="0"/>
        <w:spacing w:before="200" w:line-rule="auto"/>
        <w:ind w:firstLine="540"/>
        <w:jc w:val="both"/>
      </w:pPr>
      <w:r>
        <w:rPr>
          <w:sz w:val="20"/>
        </w:rPr>
        <w:t xml:space="preserve">Бюджетное учреждение Ханты-Мансийского автономного округа - Югры "Центр общественного здоровья и медицинской профилактики", являясь ресурсным центром регионального отделения Всероссийского общественного движения "Волонтеры-медики", сопровождает работу волонтеров по информированию населения по вопросам профилактики онкологических заболеваний и формирования аспектов онконастороженности. Волонтеры-медики проводят мероприятия в трудовых коллективах, в ходе которых освещают вопросы устранения факторов риска развития онкологических заболеваний, формирования навыков самодиагностики онкологических заболеваний, моделирования у населения необходимости прохождения диспансеризации и своевременных медицинских осмотров с целью предупреждения и раннего выявления онкологических заболеваний, определения здорового образа жизни как одного из приоритетных факторов в профилактике онкологических заболеваний.</w:t>
      </w:r>
    </w:p>
    <w:p>
      <w:pPr>
        <w:pStyle w:val="0"/>
        <w:spacing w:before="200" w:line-rule="auto"/>
        <w:ind w:firstLine="540"/>
        <w:jc w:val="both"/>
      </w:pPr>
      <w:r>
        <w:rPr>
          <w:sz w:val="20"/>
        </w:rPr>
        <w:t xml:space="preserve">Мотивирование граждан к ведению здорового образа жизни проводится через вовлечение некоммерческих социально ориентированных организаций в мероприятия по укреплению общественного здоровья. Департаментом здравоохранения Ханты-Мансийского автономного округа - Югры по результатам проведенных конкурсных процедур определяются победители - социально ориентированные некоммерческие организации - на право заключения соглашения о предоставлении из бюджета автономного округа субсидии на реализацию отдельных мероприятий государственной программы Ханты-Мансийского автономного округа - Югры "Современное здравоохранение", включающей в себя программы, направленные на достижение национальных проектов.</w:t>
      </w:r>
    </w:p>
    <w:p>
      <w:pPr>
        <w:pStyle w:val="0"/>
        <w:spacing w:before="200" w:line-rule="auto"/>
        <w:ind w:firstLine="540"/>
        <w:jc w:val="both"/>
      </w:pPr>
      <w:r>
        <w:rPr>
          <w:sz w:val="20"/>
        </w:rPr>
        <w:t xml:space="preserve">Показателем качества (результативности) оказания услуг социально ориентированными некоммерческими организациями - исполнителями общественно полезных услуг является количество жителей Ханты-Мансийского автономного округа - Югры, участвующих в них. Мероприятие по предоставлению услуги (работы) в сфере здравоохранения "Профилактика неинфекционных заболеваний, формирование здорового образа жизни и санитарно-гигиеническое просвещение населения". Профилактика онкологических заболеваний" ежегодно охватывает 1 000 чел.</w:t>
      </w:r>
    </w:p>
    <w:p>
      <w:pPr>
        <w:pStyle w:val="0"/>
        <w:spacing w:before="200" w:line-rule="auto"/>
        <w:ind w:firstLine="540"/>
        <w:jc w:val="both"/>
      </w:pPr>
      <w:r>
        <w:rPr>
          <w:sz w:val="20"/>
        </w:rPr>
        <w:t xml:space="preserve">В условиях исполнения мероприятий федерального проекта "Борьба с онкологическими заболеваниями" бюджетным учреждением Ханты-Мансийского автономного округа - Югры "Центр общественного здоровья и медицинской профилактики" разработан и утвержден план мероприятий, направленных на пропаганду здорового образа жизни, раннее выявление онкологических заболеваний и повышение приверженности к лечению. Согласно плану плотность информационного поля по освещению реализации мероприятий подпрограммы "Борьба с онкологическими заболеваниями" в целом по региону в 2021 году составила 51,4 информационного повода на 10 тыс. населения, в 2022 году - 38,6.</w:t>
      </w:r>
    </w:p>
    <w:p>
      <w:pPr>
        <w:pStyle w:val="0"/>
        <w:spacing w:before="200" w:line-rule="auto"/>
        <w:ind w:firstLine="540"/>
        <w:jc w:val="both"/>
      </w:pPr>
      <w:r>
        <w:rPr>
          <w:sz w:val="20"/>
        </w:rPr>
        <w:t xml:space="preserve">В 2022 году при проведении информационно-коммуникационной кампании в средствах массовой информации инициировано 8 011 материалов на тему медицинской профилактики неинфекционных заболеваний и формирования здорового образа жизни, в том числе у детей, из них: в интернет-изданиях - 4 059, на радио - 448, на телевидении - 470, в печатных СМИ - 149, в социальных сетях - 2885; 2095 материалов на тему профилактики развития зависимостей, включая сокращение потребления табака, алкоголя, наркотических средств и психоактивных веществ, в том числе у детей, из них: в интернет-изданиях - 1009, на радио - 105, на телевидении - 247, в печатных СМИ - 59, в социальных сетях - 675.</w:t>
      </w:r>
    </w:p>
    <w:p>
      <w:pPr>
        <w:pStyle w:val="0"/>
        <w:spacing w:before="200" w:line-rule="auto"/>
        <w:ind w:firstLine="540"/>
        <w:jc w:val="both"/>
      </w:pPr>
      <w:r>
        <w:rPr>
          <w:sz w:val="20"/>
        </w:rPr>
        <w:t xml:space="preserve">Информация, направленная на профилактику онкологических заболеваний, регулярно размещается и обновляется на официальных сайтах медицинских организаций и Департамента здравоохранения Ханты-Мансийского автономного округа - Югры. Всего 41 медицинская организация на своих сайтах имеет разделы об оказании онкологической помощи в регионе, в том числе об актуальных методиках, рекомендованных для скрининга наиболее распространенных заболеваний.</w:t>
      </w:r>
    </w:p>
    <w:p>
      <w:pPr>
        <w:pStyle w:val="0"/>
        <w:spacing w:before="200" w:line-rule="auto"/>
        <w:ind w:firstLine="540"/>
        <w:jc w:val="both"/>
      </w:pPr>
      <w:r>
        <w:rPr>
          <w:sz w:val="20"/>
        </w:rPr>
        <w:t xml:space="preserve">В качестве площадки для взаимодействия с населением особое внимание уделяется социальным медиа: медицинские организации имеют 122 официальные публичные страницы в социальных сетях, из них: "ВКонтакте" - 78, "Одноклассники" - 34. На указанных площадках регулярно размещается информация в виде инфографики, статей, видео, направленных на профилактику онкологических заболеваний.</w:t>
      </w:r>
    </w:p>
    <w:p>
      <w:pPr>
        <w:pStyle w:val="0"/>
        <w:spacing w:before="200" w:line-rule="auto"/>
        <w:ind w:firstLine="540"/>
        <w:jc w:val="both"/>
      </w:pPr>
      <w:r>
        <w:rPr>
          <w:sz w:val="20"/>
        </w:rPr>
        <w:t xml:space="preserve">Одной из самых популярных информационных площадок в системе здравоохранения служит группа "Послушайте, доктор. ХМАО" в социальной сети "ВКонтакте", которая была создана в 2017 году для решения проблем населения в части оказания медицинской помощи. Ежедневно группу посещают более 700 человек. В работу группы включены 72 медицинские организации региона. На информационной площадке регулярно проводятся выступления медицинских специалистов по вопросам снижения факторов риска развития онкологических заболеваний среди населения, вопросам оказания онкологической помои в округе.</w:t>
      </w:r>
    </w:p>
    <w:p>
      <w:pPr>
        <w:pStyle w:val="0"/>
        <w:spacing w:before="200" w:line-rule="auto"/>
        <w:ind w:firstLine="540"/>
        <w:jc w:val="both"/>
      </w:pPr>
      <w:r>
        <w:rPr>
          <w:sz w:val="20"/>
        </w:rPr>
        <w:t xml:space="preserve">БУ "Центр общественного здоровья и медицинской профилактики" имеет постоянные рубрики в ведущих окружных периодических изданиях, таких газетах, как "Аргументы и факты - Югра" и "Новости Югры".</w:t>
      </w:r>
    </w:p>
    <w:p>
      <w:pPr>
        <w:pStyle w:val="0"/>
        <w:spacing w:before="200" w:line-rule="auto"/>
        <w:ind w:firstLine="540"/>
        <w:jc w:val="both"/>
      </w:pPr>
      <w:r>
        <w:rPr>
          <w:sz w:val="20"/>
        </w:rPr>
        <w:t xml:space="preserve">На базе БУ "Центр общественного здоровья и медицинской профилактики" разрабатывается, изготовляется и распространяется печатная продукция, направленная на раннее выявление онкологических заболеваний и повышение приверженности к лечению: в 2021 году - 464 600 экземпляров, в 2022 году - 100 000 экземпляров.</w:t>
      </w:r>
    </w:p>
    <w:p>
      <w:pPr>
        <w:pStyle w:val="0"/>
        <w:spacing w:before="200" w:line-rule="auto"/>
        <w:ind w:firstLine="540"/>
        <w:jc w:val="both"/>
      </w:pPr>
      <w:r>
        <w:rPr>
          <w:sz w:val="20"/>
        </w:rPr>
        <w:t xml:space="preserve">Кроме того, БУ "Центр общественного здоровья и медицинской профилактики" является учредителем средств массовой информации: ежеквартально для молодежной аудитории издается журнал "Регион здоровья" тиражом 1200 экземпляров; для взрослого населения - "Pro здоровье" тиражом 999 экземпляров.</w:t>
      </w:r>
    </w:p>
    <w:p>
      <w:pPr>
        <w:pStyle w:val="0"/>
        <w:spacing w:before="200" w:line-rule="auto"/>
        <w:ind w:firstLine="540"/>
        <w:jc w:val="both"/>
      </w:pPr>
      <w:r>
        <w:rPr>
          <w:sz w:val="20"/>
        </w:rPr>
        <w:t xml:space="preserve">Профилактические медицинские осмотры и диспансеризация определенных групп взрослого населения Ханты-Мансийского автономного округа - Югры проводятся в соответствии с </w:t>
      </w:r>
      <w:hyperlink w:history="0" r:id="rId106" w:tooltip="Приказ Минздрава России от 27.04.2021 N 404н (ред. от 28.09.2023) &quot;Об утверждении Порядка проведения профилактического медицинского осмотра и диспансеризации определенных групп взрослого населения&quot; (Зарегистрировано в Минюсте России 30.06.2021 N 64042) {КонсультантПлюс}">
        <w:r>
          <w:rPr>
            <w:sz w:val="20"/>
            <w:color w:val="0000ff"/>
          </w:rPr>
          <w:t xml:space="preserve">приказом</w:t>
        </w:r>
      </w:hyperlink>
      <w:r>
        <w:rPr>
          <w:sz w:val="20"/>
        </w:rPr>
        <w:t xml:space="preserve"> Министерства здравоохранения Российской Федерации от 27 апреля 2021 года N 404н "Об утверждении порядка проведения профилактического медицинского осмотра и диспансеризации определенных групп взрослого населения" (далее - Приказ N 404н), согласно которому проводятся скрининги, осмотры врачами-специалистами с целью диагностики онкологических заболеваний.</w:t>
      </w:r>
    </w:p>
    <w:p>
      <w:pPr>
        <w:pStyle w:val="0"/>
        <w:jc w:val="right"/>
      </w:pPr>
      <w:r>
        <w:rPr>
          <w:sz w:val="20"/>
        </w:rPr>
      </w:r>
    </w:p>
    <w:p>
      <w:pPr>
        <w:pStyle w:val="0"/>
        <w:jc w:val="right"/>
      </w:pPr>
      <w:r>
        <w:rPr>
          <w:sz w:val="20"/>
        </w:rPr>
        <w:t xml:space="preserve">Таблица 36</w:t>
      </w:r>
    </w:p>
    <w:p>
      <w:pPr>
        <w:pStyle w:val="0"/>
        <w:jc w:val="right"/>
      </w:pPr>
      <w:r>
        <w:rPr>
          <w:sz w:val="20"/>
        </w:rPr>
      </w:r>
    </w:p>
    <w:p>
      <w:pPr>
        <w:pStyle w:val="0"/>
        <w:jc w:val="center"/>
      </w:pPr>
      <w:r>
        <w:rPr>
          <w:sz w:val="20"/>
        </w:rPr>
        <w:t xml:space="preserve">Проведение скрининга на онкологические заболевания в ходе</w:t>
      </w:r>
    </w:p>
    <w:p>
      <w:pPr>
        <w:pStyle w:val="0"/>
        <w:jc w:val="center"/>
      </w:pPr>
      <w:r>
        <w:rPr>
          <w:sz w:val="20"/>
        </w:rPr>
        <w:t xml:space="preserve">проведения диспансеризации определенных групп взрослого</w:t>
      </w:r>
    </w:p>
    <w:p>
      <w:pPr>
        <w:pStyle w:val="0"/>
        <w:jc w:val="center"/>
      </w:pPr>
      <w:r>
        <w:rPr>
          <w:sz w:val="20"/>
        </w:rPr>
        <w:t xml:space="preserve">населения за период с 2014 по 2022 год</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417"/>
        <w:gridCol w:w="1417"/>
        <w:gridCol w:w="1417"/>
        <w:gridCol w:w="1417"/>
        <w:gridCol w:w="1417"/>
        <w:gridCol w:w="1417"/>
        <w:gridCol w:w="1417"/>
        <w:gridCol w:w="1417"/>
        <w:gridCol w:w="1417"/>
        <w:gridCol w:w="1417"/>
        <w:gridCol w:w="1417"/>
        <w:gridCol w:w="1417"/>
        <w:gridCol w:w="1417"/>
        <w:gridCol w:w="1417"/>
        <w:gridCol w:w="1417"/>
        <w:gridCol w:w="1417"/>
        <w:gridCol w:w="1417"/>
        <w:gridCol w:w="1417"/>
      </w:tblGrid>
      <w:tr>
        <w:tc>
          <w:tcPr>
            <w:tcW w:w="3061" w:type="dxa"/>
            <w:vMerge w:val="restart"/>
          </w:tcPr>
          <w:p>
            <w:pPr>
              <w:pStyle w:val="0"/>
              <w:jc w:val="center"/>
            </w:pPr>
            <w:r>
              <w:rPr>
                <w:sz w:val="20"/>
              </w:rPr>
              <w:t xml:space="preserve">Исследование</w:t>
            </w:r>
          </w:p>
        </w:tc>
        <w:tc>
          <w:tcPr>
            <w:gridSpan w:val="2"/>
            <w:tcW w:w="2834" w:type="dxa"/>
          </w:tcPr>
          <w:p>
            <w:pPr>
              <w:pStyle w:val="0"/>
              <w:jc w:val="center"/>
            </w:pPr>
            <w:r>
              <w:rPr>
                <w:sz w:val="20"/>
              </w:rPr>
              <w:t xml:space="preserve">2014</w:t>
            </w:r>
          </w:p>
        </w:tc>
        <w:tc>
          <w:tcPr>
            <w:gridSpan w:val="2"/>
            <w:tcW w:w="2834" w:type="dxa"/>
          </w:tcPr>
          <w:p>
            <w:pPr>
              <w:pStyle w:val="0"/>
              <w:jc w:val="center"/>
            </w:pPr>
            <w:r>
              <w:rPr>
                <w:sz w:val="20"/>
              </w:rPr>
              <w:t xml:space="preserve">2015</w:t>
            </w:r>
          </w:p>
        </w:tc>
        <w:tc>
          <w:tcPr>
            <w:gridSpan w:val="2"/>
            <w:tcW w:w="2834" w:type="dxa"/>
          </w:tcPr>
          <w:p>
            <w:pPr>
              <w:pStyle w:val="0"/>
              <w:jc w:val="center"/>
            </w:pPr>
            <w:r>
              <w:rPr>
                <w:sz w:val="20"/>
              </w:rPr>
              <w:t xml:space="preserve">2016</w:t>
            </w:r>
          </w:p>
        </w:tc>
        <w:tc>
          <w:tcPr>
            <w:gridSpan w:val="2"/>
            <w:tcW w:w="2834" w:type="dxa"/>
          </w:tcPr>
          <w:p>
            <w:pPr>
              <w:pStyle w:val="0"/>
              <w:jc w:val="center"/>
            </w:pPr>
            <w:r>
              <w:rPr>
                <w:sz w:val="20"/>
              </w:rPr>
              <w:t xml:space="preserve">2017</w:t>
            </w:r>
          </w:p>
        </w:tc>
        <w:tc>
          <w:tcPr>
            <w:gridSpan w:val="2"/>
            <w:tcW w:w="2834" w:type="dxa"/>
          </w:tcPr>
          <w:p>
            <w:pPr>
              <w:pStyle w:val="0"/>
              <w:jc w:val="center"/>
            </w:pPr>
            <w:r>
              <w:rPr>
                <w:sz w:val="20"/>
              </w:rPr>
              <w:t xml:space="preserve">2018</w:t>
            </w:r>
          </w:p>
        </w:tc>
        <w:tc>
          <w:tcPr>
            <w:gridSpan w:val="2"/>
            <w:tcW w:w="2834" w:type="dxa"/>
          </w:tcPr>
          <w:p>
            <w:pPr>
              <w:pStyle w:val="0"/>
              <w:jc w:val="center"/>
            </w:pPr>
            <w:r>
              <w:rPr>
                <w:sz w:val="20"/>
              </w:rPr>
              <w:t xml:space="preserve">2019</w:t>
            </w:r>
          </w:p>
        </w:tc>
        <w:tc>
          <w:tcPr>
            <w:gridSpan w:val="2"/>
            <w:tcW w:w="2834" w:type="dxa"/>
          </w:tcPr>
          <w:p>
            <w:pPr>
              <w:pStyle w:val="0"/>
              <w:jc w:val="center"/>
            </w:pPr>
            <w:r>
              <w:rPr>
                <w:sz w:val="20"/>
              </w:rPr>
              <w:t xml:space="preserve">2020</w:t>
            </w:r>
          </w:p>
        </w:tc>
        <w:tc>
          <w:tcPr>
            <w:gridSpan w:val="2"/>
            <w:tcW w:w="2834" w:type="dxa"/>
          </w:tcPr>
          <w:p>
            <w:pPr>
              <w:pStyle w:val="0"/>
              <w:jc w:val="center"/>
            </w:pPr>
            <w:r>
              <w:rPr>
                <w:sz w:val="20"/>
              </w:rPr>
              <w:t xml:space="preserve">2021</w:t>
            </w:r>
          </w:p>
        </w:tc>
        <w:tc>
          <w:tcPr>
            <w:gridSpan w:val="2"/>
            <w:tcW w:w="2834" w:type="dxa"/>
          </w:tcPr>
          <w:p>
            <w:pPr>
              <w:pStyle w:val="0"/>
              <w:jc w:val="center"/>
            </w:pPr>
            <w:r>
              <w:rPr>
                <w:sz w:val="20"/>
              </w:rPr>
              <w:t xml:space="preserve">2022</w:t>
            </w:r>
          </w:p>
        </w:tc>
      </w:tr>
      <w:tr>
        <w:tc>
          <w:tcPr>
            <w:vMerge w:val="continue"/>
          </w:tcP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r>
      <w:tr>
        <w:tc>
          <w:tcPr>
            <w:tcW w:w="3061" w:type="dxa"/>
          </w:tcPr>
          <w:p>
            <w:pPr>
              <w:pStyle w:val="0"/>
              <w:jc w:val="center"/>
            </w:pPr>
            <w:r>
              <w:rPr>
                <w:sz w:val="20"/>
              </w:rPr>
              <w:t xml:space="preserve">1</w:t>
            </w:r>
          </w:p>
        </w:tc>
        <w:tc>
          <w:tcPr>
            <w:tcW w:w="1417" w:type="dxa"/>
          </w:tcPr>
          <w:p>
            <w:pPr>
              <w:pStyle w:val="0"/>
              <w:jc w:val="center"/>
            </w:pPr>
            <w:r>
              <w:rPr>
                <w:sz w:val="20"/>
              </w:rPr>
              <w:t xml:space="preserve">2</w:t>
            </w:r>
          </w:p>
        </w:tc>
        <w:tc>
          <w:tcPr>
            <w:tcW w:w="1417" w:type="dxa"/>
          </w:tcPr>
          <w:p>
            <w:pPr>
              <w:pStyle w:val="0"/>
              <w:jc w:val="center"/>
            </w:pPr>
            <w:r>
              <w:rPr>
                <w:sz w:val="20"/>
              </w:rPr>
              <w:t xml:space="preserve">3</w:t>
            </w:r>
          </w:p>
        </w:tc>
        <w:tc>
          <w:tcPr>
            <w:tcW w:w="1417" w:type="dxa"/>
          </w:tcPr>
          <w:p>
            <w:pPr>
              <w:pStyle w:val="0"/>
              <w:jc w:val="center"/>
            </w:pPr>
            <w:r>
              <w:rPr>
                <w:sz w:val="20"/>
              </w:rPr>
              <w:t xml:space="preserve">4</w:t>
            </w:r>
          </w:p>
        </w:tc>
        <w:tc>
          <w:tcPr>
            <w:tcW w:w="1417" w:type="dxa"/>
          </w:tcPr>
          <w:p>
            <w:pPr>
              <w:pStyle w:val="0"/>
              <w:jc w:val="center"/>
            </w:pPr>
            <w:r>
              <w:rPr>
                <w:sz w:val="20"/>
              </w:rPr>
              <w:t xml:space="preserve">5</w:t>
            </w:r>
          </w:p>
        </w:tc>
        <w:tc>
          <w:tcPr>
            <w:tcW w:w="1417" w:type="dxa"/>
          </w:tcPr>
          <w:p>
            <w:pPr>
              <w:pStyle w:val="0"/>
              <w:jc w:val="center"/>
            </w:pPr>
            <w:r>
              <w:rPr>
                <w:sz w:val="20"/>
              </w:rPr>
              <w:t xml:space="preserve">6</w:t>
            </w:r>
          </w:p>
        </w:tc>
        <w:tc>
          <w:tcPr>
            <w:tcW w:w="1417" w:type="dxa"/>
          </w:tcPr>
          <w:p>
            <w:pPr>
              <w:pStyle w:val="0"/>
              <w:jc w:val="center"/>
            </w:pPr>
            <w:r>
              <w:rPr>
                <w:sz w:val="20"/>
              </w:rPr>
              <w:t xml:space="preserve">7</w:t>
            </w:r>
          </w:p>
        </w:tc>
        <w:tc>
          <w:tcPr>
            <w:tcW w:w="1417" w:type="dxa"/>
          </w:tcPr>
          <w:p>
            <w:pPr>
              <w:pStyle w:val="0"/>
              <w:jc w:val="center"/>
            </w:pPr>
            <w:r>
              <w:rPr>
                <w:sz w:val="20"/>
              </w:rPr>
              <w:t xml:space="preserve">8</w:t>
            </w:r>
          </w:p>
        </w:tc>
        <w:tc>
          <w:tcPr>
            <w:tcW w:w="1417" w:type="dxa"/>
          </w:tcPr>
          <w:p>
            <w:pPr>
              <w:pStyle w:val="0"/>
              <w:jc w:val="center"/>
            </w:pPr>
            <w:r>
              <w:rPr>
                <w:sz w:val="20"/>
              </w:rPr>
              <w:t xml:space="preserve">9</w:t>
            </w:r>
          </w:p>
        </w:tc>
        <w:tc>
          <w:tcPr>
            <w:tcW w:w="1417" w:type="dxa"/>
          </w:tcPr>
          <w:p>
            <w:pPr>
              <w:pStyle w:val="0"/>
              <w:jc w:val="center"/>
            </w:pPr>
            <w:r>
              <w:rPr>
                <w:sz w:val="20"/>
              </w:rPr>
              <w:t xml:space="preserve">10</w:t>
            </w:r>
          </w:p>
        </w:tc>
        <w:tc>
          <w:tcPr>
            <w:tcW w:w="1417" w:type="dxa"/>
          </w:tcPr>
          <w:p>
            <w:pPr>
              <w:pStyle w:val="0"/>
              <w:jc w:val="center"/>
            </w:pPr>
            <w:r>
              <w:rPr>
                <w:sz w:val="20"/>
              </w:rPr>
              <w:t xml:space="preserve">11</w:t>
            </w:r>
          </w:p>
        </w:tc>
        <w:tc>
          <w:tcPr>
            <w:tcW w:w="1417" w:type="dxa"/>
          </w:tcPr>
          <w:p>
            <w:pPr>
              <w:pStyle w:val="0"/>
              <w:jc w:val="center"/>
            </w:pPr>
            <w:r>
              <w:rPr>
                <w:sz w:val="20"/>
              </w:rPr>
              <w:t xml:space="preserve">12</w:t>
            </w:r>
          </w:p>
        </w:tc>
        <w:tc>
          <w:tcPr>
            <w:tcW w:w="1417" w:type="dxa"/>
          </w:tcPr>
          <w:p>
            <w:pPr>
              <w:pStyle w:val="0"/>
              <w:jc w:val="center"/>
            </w:pPr>
            <w:r>
              <w:rPr>
                <w:sz w:val="20"/>
              </w:rPr>
              <w:t xml:space="preserve">13</w:t>
            </w:r>
          </w:p>
        </w:tc>
        <w:tc>
          <w:tcPr>
            <w:tcW w:w="1417" w:type="dxa"/>
          </w:tcPr>
          <w:p>
            <w:pPr>
              <w:pStyle w:val="0"/>
              <w:jc w:val="center"/>
            </w:pPr>
            <w:r>
              <w:rPr>
                <w:sz w:val="20"/>
              </w:rPr>
              <w:t xml:space="preserve">14</w:t>
            </w:r>
          </w:p>
        </w:tc>
        <w:tc>
          <w:tcPr>
            <w:tcW w:w="1417" w:type="dxa"/>
          </w:tcPr>
          <w:p>
            <w:pPr>
              <w:pStyle w:val="0"/>
              <w:jc w:val="center"/>
            </w:pPr>
            <w:r>
              <w:rPr>
                <w:sz w:val="20"/>
              </w:rPr>
              <w:t xml:space="preserve">15</w:t>
            </w:r>
          </w:p>
        </w:tc>
        <w:tc>
          <w:tcPr>
            <w:tcW w:w="1417" w:type="dxa"/>
          </w:tcPr>
          <w:p>
            <w:pPr>
              <w:pStyle w:val="0"/>
              <w:jc w:val="center"/>
            </w:pPr>
            <w:r>
              <w:rPr>
                <w:sz w:val="20"/>
              </w:rPr>
              <w:t xml:space="preserve">16</w:t>
            </w:r>
          </w:p>
        </w:tc>
        <w:tc>
          <w:tcPr>
            <w:tcW w:w="1417" w:type="dxa"/>
          </w:tcPr>
          <w:p>
            <w:pPr>
              <w:pStyle w:val="0"/>
              <w:jc w:val="center"/>
            </w:pPr>
            <w:r>
              <w:rPr>
                <w:sz w:val="20"/>
              </w:rPr>
              <w:t xml:space="preserve">17</w:t>
            </w:r>
          </w:p>
        </w:tc>
        <w:tc>
          <w:tcPr>
            <w:tcW w:w="1417" w:type="dxa"/>
          </w:tcPr>
          <w:p>
            <w:pPr>
              <w:pStyle w:val="0"/>
              <w:jc w:val="center"/>
            </w:pPr>
            <w:r>
              <w:rPr>
                <w:sz w:val="20"/>
              </w:rPr>
              <w:t xml:space="preserve">18</w:t>
            </w:r>
          </w:p>
        </w:tc>
        <w:tc>
          <w:tcPr>
            <w:tcW w:w="1417" w:type="dxa"/>
          </w:tcPr>
          <w:p>
            <w:pPr>
              <w:pStyle w:val="0"/>
              <w:jc w:val="center"/>
            </w:pPr>
            <w:r>
              <w:rPr>
                <w:sz w:val="20"/>
              </w:rPr>
              <w:t xml:space="preserve">19</w:t>
            </w:r>
          </w:p>
        </w:tc>
      </w:tr>
      <w:tr>
        <w:tc>
          <w:tcPr>
            <w:tcW w:w="3061" w:type="dxa"/>
          </w:tcPr>
          <w:p>
            <w:pPr>
              <w:pStyle w:val="0"/>
            </w:pPr>
            <w:r>
              <w:rPr>
                <w:sz w:val="20"/>
              </w:rPr>
              <w:t xml:space="preserve">Взятие мазка с шейки матки на цитологическое исследование</w:t>
            </w:r>
          </w:p>
        </w:tc>
        <w:tc>
          <w:tcPr>
            <w:tcW w:w="1417" w:type="dxa"/>
          </w:tcPr>
          <w:p>
            <w:pPr>
              <w:pStyle w:val="0"/>
            </w:pPr>
            <w:r>
              <w:rPr>
                <w:sz w:val="20"/>
              </w:rPr>
              <w:t xml:space="preserve">113 055</w:t>
            </w:r>
          </w:p>
        </w:tc>
        <w:tc>
          <w:tcPr>
            <w:tcW w:w="1417" w:type="dxa"/>
          </w:tcPr>
          <w:p>
            <w:pPr>
              <w:pStyle w:val="0"/>
            </w:pPr>
            <w:r>
              <w:rPr>
                <w:sz w:val="20"/>
              </w:rPr>
              <w:t xml:space="preserve">1 882</w:t>
            </w:r>
          </w:p>
        </w:tc>
        <w:tc>
          <w:tcPr>
            <w:tcW w:w="1417" w:type="dxa"/>
          </w:tcPr>
          <w:p>
            <w:pPr>
              <w:pStyle w:val="0"/>
            </w:pPr>
            <w:r>
              <w:rPr>
                <w:sz w:val="20"/>
              </w:rPr>
              <w:t xml:space="preserve">123 260</w:t>
            </w:r>
          </w:p>
        </w:tc>
        <w:tc>
          <w:tcPr>
            <w:tcW w:w="1417" w:type="dxa"/>
          </w:tcPr>
          <w:p>
            <w:pPr>
              <w:pStyle w:val="0"/>
            </w:pPr>
            <w:r>
              <w:rPr>
                <w:sz w:val="20"/>
              </w:rPr>
              <w:t xml:space="preserve">5 533</w:t>
            </w:r>
          </w:p>
        </w:tc>
        <w:tc>
          <w:tcPr>
            <w:tcW w:w="1417" w:type="dxa"/>
          </w:tcPr>
          <w:p>
            <w:pPr>
              <w:pStyle w:val="0"/>
            </w:pPr>
            <w:r>
              <w:rPr>
                <w:sz w:val="20"/>
              </w:rPr>
              <w:t xml:space="preserve">118 989</w:t>
            </w:r>
          </w:p>
        </w:tc>
        <w:tc>
          <w:tcPr>
            <w:tcW w:w="1417" w:type="dxa"/>
          </w:tcPr>
          <w:p>
            <w:pPr>
              <w:pStyle w:val="0"/>
            </w:pPr>
            <w:r>
              <w:rPr>
                <w:sz w:val="20"/>
              </w:rPr>
              <w:t xml:space="preserve">4 375</w:t>
            </w:r>
          </w:p>
        </w:tc>
        <w:tc>
          <w:tcPr>
            <w:tcW w:w="1417" w:type="dxa"/>
          </w:tcPr>
          <w:p>
            <w:pPr>
              <w:pStyle w:val="0"/>
            </w:pPr>
            <w:r>
              <w:rPr>
                <w:sz w:val="20"/>
              </w:rPr>
              <w:t xml:space="preserve">122 875</w:t>
            </w:r>
          </w:p>
        </w:tc>
        <w:tc>
          <w:tcPr>
            <w:tcW w:w="1417" w:type="dxa"/>
          </w:tcPr>
          <w:p>
            <w:pPr>
              <w:pStyle w:val="0"/>
            </w:pPr>
            <w:r>
              <w:rPr>
                <w:sz w:val="20"/>
              </w:rPr>
              <w:t xml:space="preserve">5 970</w:t>
            </w:r>
          </w:p>
        </w:tc>
        <w:tc>
          <w:tcPr>
            <w:tcW w:w="1417" w:type="dxa"/>
          </w:tcPr>
          <w:p>
            <w:pPr>
              <w:pStyle w:val="0"/>
            </w:pPr>
            <w:r>
              <w:rPr>
                <w:sz w:val="20"/>
              </w:rPr>
              <w:t xml:space="preserve">89 005</w:t>
            </w:r>
          </w:p>
        </w:tc>
        <w:tc>
          <w:tcPr>
            <w:tcW w:w="1417" w:type="dxa"/>
          </w:tcPr>
          <w:p>
            <w:pPr>
              <w:pStyle w:val="0"/>
            </w:pPr>
            <w:r>
              <w:rPr>
                <w:sz w:val="20"/>
              </w:rPr>
              <w:t xml:space="preserve">5 669</w:t>
            </w:r>
          </w:p>
        </w:tc>
        <w:tc>
          <w:tcPr>
            <w:tcW w:w="1417" w:type="dxa"/>
          </w:tcPr>
          <w:p>
            <w:pPr>
              <w:pStyle w:val="0"/>
            </w:pPr>
            <w:r>
              <w:rPr>
                <w:sz w:val="20"/>
              </w:rPr>
              <w:t xml:space="preserve">106 995</w:t>
            </w:r>
          </w:p>
        </w:tc>
        <w:tc>
          <w:tcPr>
            <w:tcW w:w="1417" w:type="dxa"/>
          </w:tcPr>
          <w:p>
            <w:pPr>
              <w:pStyle w:val="0"/>
            </w:pPr>
            <w:r>
              <w:rPr>
                <w:sz w:val="20"/>
              </w:rPr>
              <w:t xml:space="preserve">4 802</w:t>
            </w:r>
          </w:p>
        </w:tc>
        <w:tc>
          <w:tcPr>
            <w:tcW w:w="1417" w:type="dxa"/>
          </w:tcPr>
          <w:p>
            <w:pPr>
              <w:pStyle w:val="0"/>
            </w:pPr>
            <w:r>
              <w:rPr>
                <w:sz w:val="20"/>
              </w:rPr>
              <w:t xml:space="preserve">72 097</w:t>
            </w:r>
          </w:p>
        </w:tc>
        <w:tc>
          <w:tcPr>
            <w:tcW w:w="1417" w:type="dxa"/>
          </w:tcPr>
          <w:p>
            <w:pPr>
              <w:pStyle w:val="0"/>
            </w:pPr>
            <w:r>
              <w:rPr>
                <w:sz w:val="20"/>
              </w:rPr>
              <w:t xml:space="preserve">2 347</w:t>
            </w:r>
          </w:p>
        </w:tc>
        <w:tc>
          <w:tcPr>
            <w:tcW w:w="1417" w:type="dxa"/>
          </w:tcPr>
          <w:p>
            <w:pPr>
              <w:pStyle w:val="0"/>
            </w:pPr>
            <w:r>
              <w:rPr>
                <w:sz w:val="20"/>
              </w:rPr>
              <w:t xml:space="preserve">79 005</w:t>
            </w:r>
          </w:p>
        </w:tc>
        <w:tc>
          <w:tcPr>
            <w:tcW w:w="1417" w:type="dxa"/>
          </w:tcPr>
          <w:p>
            <w:pPr>
              <w:pStyle w:val="0"/>
            </w:pPr>
            <w:r>
              <w:rPr>
                <w:sz w:val="20"/>
              </w:rPr>
              <w:t xml:space="preserve">5 669</w:t>
            </w:r>
          </w:p>
        </w:tc>
        <w:tc>
          <w:tcPr>
            <w:tcW w:w="1417" w:type="dxa"/>
          </w:tcPr>
          <w:p>
            <w:pPr>
              <w:pStyle w:val="0"/>
            </w:pPr>
            <w:r>
              <w:rPr>
                <w:sz w:val="20"/>
              </w:rPr>
              <w:t xml:space="preserve">53734</w:t>
            </w:r>
          </w:p>
        </w:tc>
        <w:tc>
          <w:tcPr>
            <w:tcW w:w="1417" w:type="dxa"/>
          </w:tcPr>
          <w:p>
            <w:pPr>
              <w:pStyle w:val="0"/>
            </w:pPr>
            <w:r>
              <w:rPr>
                <w:sz w:val="20"/>
              </w:rPr>
              <w:t xml:space="preserve">1922</w:t>
            </w:r>
          </w:p>
        </w:tc>
      </w:tr>
      <w:tr>
        <w:tc>
          <w:tcPr>
            <w:tcW w:w="3061" w:type="dxa"/>
          </w:tcPr>
          <w:p>
            <w:pPr>
              <w:pStyle w:val="0"/>
            </w:pPr>
            <w:r>
              <w:rPr>
                <w:sz w:val="20"/>
              </w:rPr>
              <w:t xml:space="preserve">Флюорография легких</w:t>
            </w:r>
          </w:p>
        </w:tc>
        <w:tc>
          <w:tcPr>
            <w:tcW w:w="1417" w:type="dxa"/>
          </w:tcPr>
          <w:p>
            <w:pPr>
              <w:pStyle w:val="0"/>
            </w:pPr>
            <w:r>
              <w:rPr>
                <w:sz w:val="20"/>
              </w:rPr>
              <w:t xml:space="preserve">201 808</w:t>
            </w:r>
          </w:p>
        </w:tc>
        <w:tc>
          <w:tcPr>
            <w:tcW w:w="1417" w:type="dxa"/>
          </w:tcPr>
          <w:p>
            <w:pPr>
              <w:pStyle w:val="0"/>
            </w:pPr>
            <w:r>
              <w:rPr>
                <w:sz w:val="20"/>
              </w:rPr>
              <w:t xml:space="preserve">520</w:t>
            </w:r>
          </w:p>
        </w:tc>
        <w:tc>
          <w:tcPr>
            <w:tcW w:w="1417" w:type="dxa"/>
          </w:tcPr>
          <w:p>
            <w:pPr>
              <w:pStyle w:val="0"/>
            </w:pPr>
            <w:r>
              <w:rPr>
                <w:sz w:val="20"/>
              </w:rPr>
              <w:t xml:space="preserve">224 275</w:t>
            </w:r>
          </w:p>
        </w:tc>
        <w:tc>
          <w:tcPr>
            <w:tcW w:w="1417" w:type="dxa"/>
          </w:tcPr>
          <w:p>
            <w:pPr>
              <w:pStyle w:val="0"/>
            </w:pPr>
            <w:r>
              <w:rPr>
                <w:sz w:val="20"/>
              </w:rPr>
              <w:t xml:space="preserve">255</w:t>
            </w:r>
          </w:p>
        </w:tc>
        <w:tc>
          <w:tcPr>
            <w:tcW w:w="1417" w:type="dxa"/>
          </w:tcPr>
          <w:p>
            <w:pPr>
              <w:pStyle w:val="0"/>
            </w:pPr>
            <w:r>
              <w:rPr>
                <w:sz w:val="20"/>
              </w:rPr>
              <w:t xml:space="preserve">227 145</w:t>
            </w:r>
          </w:p>
        </w:tc>
        <w:tc>
          <w:tcPr>
            <w:tcW w:w="1417" w:type="dxa"/>
          </w:tcPr>
          <w:p>
            <w:pPr>
              <w:pStyle w:val="0"/>
            </w:pPr>
            <w:r>
              <w:rPr>
                <w:sz w:val="20"/>
              </w:rPr>
              <w:t xml:space="preserve">333</w:t>
            </w:r>
          </w:p>
        </w:tc>
        <w:tc>
          <w:tcPr>
            <w:tcW w:w="1417" w:type="dxa"/>
          </w:tcPr>
          <w:p>
            <w:pPr>
              <w:pStyle w:val="0"/>
            </w:pPr>
            <w:r>
              <w:rPr>
                <w:sz w:val="20"/>
              </w:rPr>
              <w:t xml:space="preserve">229 033</w:t>
            </w:r>
          </w:p>
        </w:tc>
        <w:tc>
          <w:tcPr>
            <w:tcW w:w="1417" w:type="dxa"/>
          </w:tcPr>
          <w:p>
            <w:pPr>
              <w:pStyle w:val="0"/>
            </w:pPr>
            <w:r>
              <w:rPr>
                <w:sz w:val="20"/>
              </w:rPr>
              <w:t xml:space="preserve">594</w:t>
            </w:r>
          </w:p>
        </w:tc>
        <w:tc>
          <w:tcPr>
            <w:tcW w:w="1417" w:type="dxa"/>
          </w:tcPr>
          <w:p>
            <w:pPr>
              <w:pStyle w:val="0"/>
            </w:pPr>
            <w:r>
              <w:rPr>
                <w:sz w:val="20"/>
              </w:rPr>
              <w:t xml:space="preserve">236 033</w:t>
            </w:r>
          </w:p>
        </w:tc>
        <w:tc>
          <w:tcPr>
            <w:tcW w:w="1417" w:type="dxa"/>
          </w:tcPr>
          <w:p>
            <w:pPr>
              <w:pStyle w:val="0"/>
            </w:pPr>
            <w:r>
              <w:rPr>
                <w:sz w:val="20"/>
              </w:rPr>
              <w:t xml:space="preserve">1 314</w:t>
            </w:r>
          </w:p>
        </w:tc>
        <w:tc>
          <w:tcPr>
            <w:tcW w:w="1417" w:type="dxa"/>
          </w:tcPr>
          <w:p>
            <w:pPr>
              <w:pStyle w:val="0"/>
            </w:pPr>
            <w:r>
              <w:rPr>
                <w:sz w:val="20"/>
              </w:rPr>
              <w:t xml:space="preserve">257 357</w:t>
            </w:r>
          </w:p>
        </w:tc>
        <w:tc>
          <w:tcPr>
            <w:tcW w:w="1417" w:type="dxa"/>
          </w:tcPr>
          <w:p>
            <w:pPr>
              <w:pStyle w:val="0"/>
            </w:pPr>
            <w:r>
              <w:rPr>
                <w:sz w:val="20"/>
              </w:rPr>
              <w:t xml:space="preserve">768</w:t>
            </w:r>
          </w:p>
        </w:tc>
        <w:tc>
          <w:tcPr>
            <w:tcW w:w="1417" w:type="dxa"/>
          </w:tcPr>
          <w:p>
            <w:pPr>
              <w:pStyle w:val="0"/>
            </w:pPr>
            <w:r>
              <w:rPr>
                <w:sz w:val="20"/>
              </w:rPr>
              <w:t xml:space="preserve">174 479</w:t>
            </w:r>
          </w:p>
        </w:tc>
        <w:tc>
          <w:tcPr>
            <w:tcW w:w="1417" w:type="dxa"/>
          </w:tcPr>
          <w:p>
            <w:pPr>
              <w:pStyle w:val="0"/>
            </w:pPr>
            <w:r>
              <w:rPr>
                <w:sz w:val="20"/>
              </w:rPr>
              <w:t xml:space="preserve">388</w:t>
            </w:r>
          </w:p>
        </w:tc>
        <w:tc>
          <w:tcPr>
            <w:tcW w:w="1417" w:type="dxa"/>
          </w:tcPr>
          <w:p>
            <w:pPr>
              <w:pStyle w:val="0"/>
            </w:pPr>
            <w:r>
              <w:rPr>
                <w:sz w:val="20"/>
              </w:rPr>
              <w:t xml:space="preserve">136 033</w:t>
            </w:r>
          </w:p>
        </w:tc>
        <w:tc>
          <w:tcPr>
            <w:tcW w:w="1417" w:type="dxa"/>
          </w:tcPr>
          <w:p>
            <w:pPr>
              <w:pStyle w:val="0"/>
            </w:pPr>
            <w:r>
              <w:rPr>
                <w:sz w:val="20"/>
              </w:rPr>
              <w:t xml:space="preserve">1 314</w:t>
            </w:r>
          </w:p>
        </w:tc>
        <w:tc>
          <w:tcPr>
            <w:tcW w:w="1417" w:type="dxa"/>
          </w:tcPr>
          <w:p>
            <w:pPr>
              <w:pStyle w:val="0"/>
            </w:pPr>
            <w:r>
              <w:rPr>
                <w:sz w:val="20"/>
              </w:rPr>
              <w:t xml:space="preserve">142515</w:t>
            </w:r>
          </w:p>
        </w:tc>
        <w:tc>
          <w:tcPr>
            <w:tcW w:w="1417" w:type="dxa"/>
          </w:tcPr>
          <w:p>
            <w:pPr>
              <w:pStyle w:val="0"/>
            </w:pPr>
            <w:r>
              <w:rPr>
                <w:sz w:val="20"/>
              </w:rPr>
              <w:t xml:space="preserve">841</w:t>
            </w:r>
          </w:p>
        </w:tc>
      </w:tr>
      <w:tr>
        <w:tc>
          <w:tcPr>
            <w:tcW w:w="3061" w:type="dxa"/>
          </w:tcPr>
          <w:p>
            <w:pPr>
              <w:pStyle w:val="0"/>
            </w:pPr>
            <w:r>
              <w:rPr>
                <w:sz w:val="20"/>
              </w:rPr>
              <w:t xml:space="preserve">Маммография</w:t>
            </w:r>
          </w:p>
        </w:tc>
        <w:tc>
          <w:tcPr>
            <w:tcW w:w="1417" w:type="dxa"/>
          </w:tcPr>
          <w:p>
            <w:pPr>
              <w:pStyle w:val="0"/>
            </w:pPr>
            <w:r>
              <w:rPr>
                <w:sz w:val="20"/>
              </w:rPr>
              <w:t xml:space="preserve">65 435</w:t>
            </w:r>
          </w:p>
        </w:tc>
        <w:tc>
          <w:tcPr>
            <w:tcW w:w="1417" w:type="dxa"/>
          </w:tcPr>
          <w:p>
            <w:pPr>
              <w:pStyle w:val="0"/>
            </w:pPr>
            <w:r>
              <w:rPr>
                <w:sz w:val="20"/>
              </w:rPr>
              <w:t xml:space="preserve">2 845</w:t>
            </w:r>
          </w:p>
        </w:tc>
        <w:tc>
          <w:tcPr>
            <w:tcW w:w="1417" w:type="dxa"/>
          </w:tcPr>
          <w:p>
            <w:pPr>
              <w:pStyle w:val="0"/>
            </w:pPr>
            <w:r>
              <w:rPr>
                <w:sz w:val="20"/>
              </w:rPr>
              <w:t xml:space="preserve">69 623</w:t>
            </w:r>
          </w:p>
        </w:tc>
        <w:tc>
          <w:tcPr>
            <w:tcW w:w="1417" w:type="dxa"/>
          </w:tcPr>
          <w:p>
            <w:pPr>
              <w:pStyle w:val="0"/>
            </w:pPr>
            <w:r>
              <w:rPr>
                <w:sz w:val="20"/>
              </w:rPr>
              <w:t xml:space="preserve">6 150</w:t>
            </w:r>
          </w:p>
        </w:tc>
        <w:tc>
          <w:tcPr>
            <w:tcW w:w="1417" w:type="dxa"/>
          </w:tcPr>
          <w:p>
            <w:pPr>
              <w:pStyle w:val="0"/>
            </w:pPr>
            <w:r>
              <w:rPr>
                <w:sz w:val="20"/>
              </w:rPr>
              <w:t xml:space="preserve">66 806</w:t>
            </w:r>
          </w:p>
        </w:tc>
        <w:tc>
          <w:tcPr>
            <w:tcW w:w="1417" w:type="dxa"/>
          </w:tcPr>
          <w:p>
            <w:pPr>
              <w:pStyle w:val="0"/>
            </w:pPr>
            <w:r>
              <w:rPr>
                <w:sz w:val="20"/>
              </w:rPr>
              <w:t xml:space="preserve">4 978</w:t>
            </w:r>
          </w:p>
        </w:tc>
        <w:tc>
          <w:tcPr>
            <w:tcW w:w="1417" w:type="dxa"/>
          </w:tcPr>
          <w:p>
            <w:pPr>
              <w:pStyle w:val="0"/>
            </w:pPr>
            <w:r>
              <w:rPr>
                <w:sz w:val="20"/>
              </w:rPr>
              <w:t xml:space="preserve">77 258</w:t>
            </w:r>
          </w:p>
        </w:tc>
        <w:tc>
          <w:tcPr>
            <w:tcW w:w="1417" w:type="dxa"/>
          </w:tcPr>
          <w:p>
            <w:pPr>
              <w:pStyle w:val="0"/>
            </w:pPr>
            <w:r>
              <w:rPr>
                <w:sz w:val="20"/>
              </w:rPr>
              <w:t xml:space="preserve">5 419</w:t>
            </w:r>
          </w:p>
        </w:tc>
        <w:tc>
          <w:tcPr>
            <w:tcW w:w="1417" w:type="dxa"/>
          </w:tcPr>
          <w:p>
            <w:pPr>
              <w:pStyle w:val="0"/>
            </w:pPr>
            <w:r>
              <w:rPr>
                <w:sz w:val="20"/>
              </w:rPr>
              <w:t xml:space="preserve">59 807</w:t>
            </w:r>
          </w:p>
        </w:tc>
        <w:tc>
          <w:tcPr>
            <w:tcW w:w="1417" w:type="dxa"/>
          </w:tcPr>
          <w:p>
            <w:pPr>
              <w:pStyle w:val="0"/>
            </w:pPr>
            <w:r>
              <w:rPr>
                <w:sz w:val="20"/>
              </w:rPr>
              <w:t xml:space="preserve">6 048</w:t>
            </w:r>
          </w:p>
        </w:tc>
        <w:tc>
          <w:tcPr>
            <w:tcW w:w="1417" w:type="dxa"/>
          </w:tcPr>
          <w:p>
            <w:pPr>
              <w:pStyle w:val="0"/>
            </w:pPr>
            <w:r>
              <w:rPr>
                <w:sz w:val="20"/>
              </w:rPr>
              <w:t xml:space="preserve">60 477</w:t>
            </w:r>
          </w:p>
        </w:tc>
        <w:tc>
          <w:tcPr>
            <w:tcW w:w="1417" w:type="dxa"/>
          </w:tcPr>
          <w:p>
            <w:pPr>
              <w:pStyle w:val="0"/>
            </w:pPr>
            <w:r>
              <w:rPr>
                <w:sz w:val="20"/>
              </w:rPr>
              <w:t xml:space="preserve">6 991</w:t>
            </w:r>
          </w:p>
        </w:tc>
        <w:tc>
          <w:tcPr>
            <w:tcW w:w="1417" w:type="dxa"/>
          </w:tcPr>
          <w:p>
            <w:pPr>
              <w:pStyle w:val="0"/>
            </w:pPr>
            <w:r>
              <w:rPr>
                <w:sz w:val="20"/>
              </w:rPr>
              <w:t xml:space="preserve">41 189</w:t>
            </w:r>
          </w:p>
        </w:tc>
        <w:tc>
          <w:tcPr>
            <w:tcW w:w="1417" w:type="dxa"/>
          </w:tcPr>
          <w:p>
            <w:pPr>
              <w:pStyle w:val="0"/>
            </w:pPr>
            <w:r>
              <w:rPr>
                <w:sz w:val="20"/>
              </w:rPr>
              <w:t xml:space="preserve">3 555</w:t>
            </w:r>
          </w:p>
        </w:tc>
        <w:tc>
          <w:tcPr>
            <w:tcW w:w="1417" w:type="dxa"/>
          </w:tcPr>
          <w:p>
            <w:pPr>
              <w:pStyle w:val="0"/>
            </w:pPr>
            <w:r>
              <w:rPr>
                <w:sz w:val="20"/>
              </w:rPr>
              <w:t xml:space="preserve">59 807</w:t>
            </w:r>
          </w:p>
        </w:tc>
        <w:tc>
          <w:tcPr>
            <w:tcW w:w="1417" w:type="dxa"/>
          </w:tcPr>
          <w:p>
            <w:pPr>
              <w:pStyle w:val="0"/>
            </w:pPr>
            <w:r>
              <w:rPr>
                <w:sz w:val="20"/>
              </w:rPr>
              <w:t xml:space="preserve">6 048</w:t>
            </w:r>
          </w:p>
        </w:tc>
        <w:tc>
          <w:tcPr>
            <w:tcW w:w="1417" w:type="dxa"/>
          </w:tcPr>
          <w:p>
            <w:pPr>
              <w:pStyle w:val="0"/>
            </w:pPr>
            <w:r>
              <w:rPr>
                <w:sz w:val="20"/>
              </w:rPr>
              <w:t xml:space="preserve">47405</w:t>
            </w:r>
          </w:p>
        </w:tc>
        <w:tc>
          <w:tcPr>
            <w:tcW w:w="1417" w:type="dxa"/>
          </w:tcPr>
          <w:p>
            <w:pPr>
              <w:pStyle w:val="0"/>
            </w:pPr>
            <w:r>
              <w:rPr>
                <w:sz w:val="20"/>
              </w:rPr>
              <w:t xml:space="preserve">3819</w:t>
            </w:r>
          </w:p>
        </w:tc>
      </w:tr>
      <w:tr>
        <w:tc>
          <w:tcPr>
            <w:tcW w:w="3061" w:type="dxa"/>
          </w:tcPr>
          <w:p>
            <w:pPr>
              <w:pStyle w:val="0"/>
            </w:pPr>
            <w:r>
              <w:rPr>
                <w:sz w:val="20"/>
              </w:rPr>
              <w:t xml:space="preserve">Исследование кала на скрытую кровь</w:t>
            </w:r>
          </w:p>
        </w:tc>
        <w:tc>
          <w:tcPr>
            <w:tcW w:w="1417" w:type="dxa"/>
          </w:tcPr>
          <w:p>
            <w:pPr>
              <w:pStyle w:val="0"/>
            </w:pPr>
            <w:r>
              <w:rPr>
                <w:sz w:val="20"/>
              </w:rPr>
              <w:t xml:space="preserve">92 362</w:t>
            </w:r>
          </w:p>
        </w:tc>
        <w:tc>
          <w:tcPr>
            <w:tcW w:w="1417" w:type="dxa"/>
          </w:tcPr>
          <w:p>
            <w:pPr>
              <w:pStyle w:val="0"/>
            </w:pPr>
            <w:r>
              <w:rPr>
                <w:sz w:val="20"/>
              </w:rPr>
              <w:t xml:space="preserve">665</w:t>
            </w:r>
          </w:p>
        </w:tc>
        <w:tc>
          <w:tcPr>
            <w:tcW w:w="1417" w:type="dxa"/>
          </w:tcPr>
          <w:p>
            <w:pPr>
              <w:pStyle w:val="0"/>
            </w:pPr>
            <w:r>
              <w:rPr>
                <w:sz w:val="20"/>
              </w:rPr>
              <w:t xml:space="preserve">80 747</w:t>
            </w:r>
          </w:p>
        </w:tc>
        <w:tc>
          <w:tcPr>
            <w:tcW w:w="1417" w:type="dxa"/>
          </w:tcPr>
          <w:p>
            <w:pPr>
              <w:pStyle w:val="0"/>
            </w:pPr>
            <w:r>
              <w:rPr>
                <w:sz w:val="20"/>
              </w:rPr>
              <w:t xml:space="preserve">1 248</w:t>
            </w:r>
          </w:p>
        </w:tc>
        <w:tc>
          <w:tcPr>
            <w:tcW w:w="1417" w:type="dxa"/>
          </w:tcPr>
          <w:p>
            <w:pPr>
              <w:pStyle w:val="0"/>
            </w:pPr>
            <w:r>
              <w:rPr>
                <w:sz w:val="20"/>
              </w:rPr>
              <w:t xml:space="preserve">70 090</w:t>
            </w:r>
          </w:p>
        </w:tc>
        <w:tc>
          <w:tcPr>
            <w:tcW w:w="1417" w:type="dxa"/>
          </w:tcPr>
          <w:p>
            <w:pPr>
              <w:pStyle w:val="0"/>
            </w:pPr>
            <w:r>
              <w:rPr>
                <w:sz w:val="20"/>
              </w:rPr>
              <w:t xml:space="preserve">2 119</w:t>
            </w:r>
          </w:p>
        </w:tc>
        <w:tc>
          <w:tcPr>
            <w:tcW w:w="1417" w:type="dxa"/>
          </w:tcPr>
          <w:p>
            <w:pPr>
              <w:pStyle w:val="0"/>
            </w:pPr>
            <w:r>
              <w:rPr>
                <w:sz w:val="20"/>
              </w:rPr>
              <w:t xml:space="preserve">74 027</w:t>
            </w:r>
          </w:p>
        </w:tc>
        <w:tc>
          <w:tcPr>
            <w:tcW w:w="1417" w:type="dxa"/>
          </w:tcPr>
          <w:p>
            <w:pPr>
              <w:pStyle w:val="0"/>
            </w:pPr>
            <w:r>
              <w:rPr>
                <w:sz w:val="20"/>
              </w:rPr>
              <w:t xml:space="preserve">2 875</w:t>
            </w:r>
          </w:p>
        </w:tc>
        <w:tc>
          <w:tcPr>
            <w:tcW w:w="1417" w:type="dxa"/>
          </w:tcPr>
          <w:p>
            <w:pPr>
              <w:pStyle w:val="0"/>
            </w:pPr>
            <w:r>
              <w:rPr>
                <w:sz w:val="20"/>
              </w:rPr>
              <w:t xml:space="preserve">56 805</w:t>
            </w:r>
          </w:p>
        </w:tc>
        <w:tc>
          <w:tcPr>
            <w:tcW w:w="1417" w:type="dxa"/>
          </w:tcPr>
          <w:p>
            <w:pPr>
              <w:pStyle w:val="0"/>
            </w:pPr>
            <w:r>
              <w:rPr>
                <w:sz w:val="20"/>
              </w:rPr>
              <w:t xml:space="preserve">2 723</w:t>
            </w:r>
          </w:p>
        </w:tc>
        <w:tc>
          <w:tcPr>
            <w:tcW w:w="1417" w:type="dxa"/>
          </w:tcPr>
          <w:p>
            <w:pPr>
              <w:pStyle w:val="0"/>
            </w:pPr>
            <w:r>
              <w:rPr>
                <w:sz w:val="20"/>
              </w:rPr>
              <w:t xml:space="preserve">93 880</w:t>
            </w:r>
          </w:p>
        </w:tc>
        <w:tc>
          <w:tcPr>
            <w:tcW w:w="1417" w:type="dxa"/>
          </w:tcPr>
          <w:p>
            <w:pPr>
              <w:pStyle w:val="0"/>
            </w:pPr>
            <w:r>
              <w:rPr>
                <w:sz w:val="20"/>
              </w:rPr>
              <w:t xml:space="preserve">3 923</w:t>
            </w:r>
          </w:p>
        </w:tc>
        <w:tc>
          <w:tcPr>
            <w:tcW w:w="1417" w:type="dxa"/>
          </w:tcPr>
          <w:p>
            <w:pPr>
              <w:pStyle w:val="0"/>
            </w:pPr>
            <w:r>
              <w:rPr>
                <w:sz w:val="20"/>
              </w:rPr>
              <w:t xml:space="preserve">70 411</w:t>
            </w:r>
          </w:p>
        </w:tc>
        <w:tc>
          <w:tcPr>
            <w:tcW w:w="1417" w:type="dxa"/>
          </w:tcPr>
          <w:p>
            <w:pPr>
              <w:pStyle w:val="0"/>
            </w:pPr>
            <w:r>
              <w:rPr>
                <w:sz w:val="20"/>
              </w:rPr>
              <w:t xml:space="preserve">3 281</w:t>
            </w:r>
          </w:p>
        </w:tc>
        <w:tc>
          <w:tcPr>
            <w:tcW w:w="1417" w:type="dxa"/>
          </w:tcPr>
          <w:p>
            <w:pPr>
              <w:pStyle w:val="0"/>
            </w:pPr>
            <w:r>
              <w:rPr>
                <w:sz w:val="20"/>
              </w:rPr>
              <w:t xml:space="preserve">76 805</w:t>
            </w:r>
          </w:p>
        </w:tc>
        <w:tc>
          <w:tcPr>
            <w:tcW w:w="1417" w:type="dxa"/>
          </w:tcPr>
          <w:p>
            <w:pPr>
              <w:pStyle w:val="0"/>
            </w:pPr>
            <w:r>
              <w:rPr>
                <w:sz w:val="20"/>
              </w:rPr>
              <w:t xml:space="preserve">2 723</w:t>
            </w:r>
          </w:p>
        </w:tc>
        <w:tc>
          <w:tcPr>
            <w:tcW w:w="1417" w:type="dxa"/>
          </w:tcPr>
          <w:p>
            <w:pPr>
              <w:pStyle w:val="0"/>
            </w:pPr>
            <w:r>
              <w:rPr>
                <w:sz w:val="20"/>
              </w:rPr>
              <w:t xml:space="preserve">108773</w:t>
            </w:r>
          </w:p>
        </w:tc>
        <w:tc>
          <w:tcPr>
            <w:tcW w:w="1417" w:type="dxa"/>
          </w:tcPr>
          <w:p>
            <w:pPr>
              <w:pStyle w:val="0"/>
            </w:pPr>
            <w:r>
              <w:rPr>
                <w:sz w:val="20"/>
              </w:rPr>
              <w:t xml:space="preserve">4857</w:t>
            </w:r>
          </w:p>
        </w:tc>
      </w:tr>
      <w:tr>
        <w:tc>
          <w:tcPr>
            <w:tcW w:w="3061" w:type="dxa"/>
          </w:tcPr>
          <w:p>
            <w:pPr>
              <w:pStyle w:val="0"/>
            </w:pPr>
            <w:r>
              <w:rPr>
                <w:sz w:val="20"/>
              </w:rPr>
              <w:t xml:space="preserve">Определение уровня простат-специфического антигена в крови</w:t>
            </w:r>
          </w:p>
        </w:tc>
        <w:tc>
          <w:tcPr>
            <w:tcW w:w="1417" w:type="dxa"/>
          </w:tcPr>
          <w:p>
            <w:pPr>
              <w:pStyle w:val="0"/>
            </w:pPr>
            <w:r>
              <w:rPr>
                <w:sz w:val="20"/>
              </w:rPr>
              <w:t xml:space="preserve">32 471</w:t>
            </w:r>
          </w:p>
        </w:tc>
        <w:tc>
          <w:tcPr>
            <w:tcW w:w="1417" w:type="dxa"/>
          </w:tcPr>
          <w:p>
            <w:pPr>
              <w:pStyle w:val="0"/>
            </w:pPr>
            <w:r>
              <w:rPr>
                <w:sz w:val="20"/>
              </w:rPr>
              <w:t xml:space="preserve">345</w:t>
            </w:r>
          </w:p>
        </w:tc>
        <w:tc>
          <w:tcPr>
            <w:tcW w:w="1417" w:type="dxa"/>
          </w:tcPr>
          <w:p>
            <w:pPr>
              <w:pStyle w:val="0"/>
            </w:pPr>
            <w:r>
              <w:rPr>
                <w:sz w:val="20"/>
              </w:rPr>
              <w:t xml:space="preserve">11 687</w:t>
            </w:r>
          </w:p>
        </w:tc>
        <w:tc>
          <w:tcPr>
            <w:tcW w:w="1417" w:type="dxa"/>
          </w:tcPr>
          <w:p>
            <w:pPr>
              <w:pStyle w:val="0"/>
            </w:pPr>
            <w:r>
              <w:rPr>
                <w:sz w:val="20"/>
              </w:rPr>
              <w:t xml:space="preserve">424</w:t>
            </w:r>
          </w:p>
        </w:tc>
        <w:tc>
          <w:tcPr>
            <w:tcW w:w="1417" w:type="dxa"/>
          </w:tcPr>
          <w:p>
            <w:pPr>
              <w:pStyle w:val="0"/>
            </w:pPr>
            <w:r>
              <w:rPr>
                <w:sz w:val="20"/>
              </w:rPr>
              <w:t xml:space="preserve">3 614</w:t>
            </w:r>
          </w:p>
        </w:tc>
        <w:tc>
          <w:tcPr>
            <w:tcW w:w="1417" w:type="dxa"/>
          </w:tcPr>
          <w:p>
            <w:pPr>
              <w:pStyle w:val="0"/>
            </w:pPr>
            <w:r>
              <w:rPr>
                <w:sz w:val="20"/>
              </w:rPr>
              <w:t xml:space="preserve">376</w:t>
            </w:r>
          </w:p>
        </w:tc>
        <w:tc>
          <w:tcPr>
            <w:tcW w:w="1417" w:type="dxa"/>
          </w:tcPr>
          <w:p>
            <w:pPr>
              <w:pStyle w:val="0"/>
            </w:pPr>
            <w:r>
              <w:rPr>
                <w:sz w:val="20"/>
              </w:rPr>
              <w:t xml:space="preserve">16 185</w:t>
            </w:r>
          </w:p>
        </w:tc>
        <w:tc>
          <w:tcPr>
            <w:tcW w:w="1417" w:type="dxa"/>
          </w:tcPr>
          <w:p>
            <w:pPr>
              <w:pStyle w:val="0"/>
            </w:pPr>
            <w:r>
              <w:rPr>
                <w:sz w:val="20"/>
              </w:rPr>
              <w:t xml:space="preserve">905</w:t>
            </w:r>
          </w:p>
        </w:tc>
        <w:tc>
          <w:tcPr>
            <w:tcW w:w="1417" w:type="dxa"/>
          </w:tcPr>
          <w:p>
            <w:pPr>
              <w:pStyle w:val="0"/>
            </w:pPr>
            <w:r>
              <w:rPr>
                <w:sz w:val="20"/>
              </w:rPr>
              <w:t xml:space="preserve">10 156</w:t>
            </w:r>
          </w:p>
        </w:tc>
        <w:tc>
          <w:tcPr>
            <w:tcW w:w="1417" w:type="dxa"/>
          </w:tcPr>
          <w:p>
            <w:pPr>
              <w:pStyle w:val="0"/>
            </w:pPr>
            <w:r>
              <w:rPr>
                <w:sz w:val="20"/>
              </w:rPr>
              <w:t xml:space="preserve">666</w:t>
            </w:r>
          </w:p>
        </w:tc>
        <w:tc>
          <w:tcPr>
            <w:tcW w:w="1417" w:type="dxa"/>
          </w:tcPr>
          <w:p>
            <w:pPr>
              <w:pStyle w:val="0"/>
            </w:pPr>
            <w:r>
              <w:rPr>
                <w:sz w:val="20"/>
              </w:rPr>
              <w:t xml:space="preserve">11 665</w:t>
            </w:r>
          </w:p>
        </w:tc>
        <w:tc>
          <w:tcPr>
            <w:tcW w:w="1417" w:type="dxa"/>
          </w:tcPr>
          <w:p>
            <w:pPr>
              <w:pStyle w:val="0"/>
            </w:pPr>
            <w:r>
              <w:rPr>
                <w:sz w:val="20"/>
              </w:rPr>
              <w:t xml:space="preserve">748</w:t>
            </w:r>
          </w:p>
        </w:tc>
        <w:tc>
          <w:tcPr>
            <w:tcW w:w="1417" w:type="dxa"/>
          </w:tcPr>
          <w:p>
            <w:pPr>
              <w:pStyle w:val="0"/>
            </w:pPr>
            <w:r>
              <w:rPr>
                <w:sz w:val="20"/>
              </w:rPr>
              <w:t xml:space="preserve">7 831</w:t>
            </w:r>
          </w:p>
        </w:tc>
        <w:tc>
          <w:tcPr>
            <w:tcW w:w="1417" w:type="dxa"/>
          </w:tcPr>
          <w:p>
            <w:pPr>
              <w:pStyle w:val="0"/>
            </w:pPr>
            <w:r>
              <w:rPr>
                <w:sz w:val="20"/>
              </w:rPr>
              <w:t xml:space="preserve">529</w:t>
            </w:r>
          </w:p>
        </w:tc>
        <w:tc>
          <w:tcPr>
            <w:tcW w:w="1417" w:type="dxa"/>
          </w:tcPr>
          <w:p>
            <w:pPr>
              <w:pStyle w:val="0"/>
            </w:pPr>
            <w:r>
              <w:rPr>
                <w:sz w:val="20"/>
              </w:rPr>
              <w:t xml:space="preserve">10 156</w:t>
            </w:r>
          </w:p>
        </w:tc>
        <w:tc>
          <w:tcPr>
            <w:tcW w:w="1417" w:type="dxa"/>
          </w:tcPr>
          <w:p>
            <w:pPr>
              <w:pStyle w:val="0"/>
            </w:pPr>
            <w:r>
              <w:rPr>
                <w:sz w:val="20"/>
              </w:rPr>
              <w:t xml:space="preserve">666</w:t>
            </w:r>
          </w:p>
        </w:tc>
        <w:tc>
          <w:tcPr>
            <w:tcW w:w="1417" w:type="dxa"/>
          </w:tcPr>
          <w:p>
            <w:pPr>
              <w:pStyle w:val="0"/>
            </w:pPr>
            <w:r>
              <w:rPr>
                <w:sz w:val="20"/>
              </w:rPr>
              <w:t xml:space="preserve">11121</w:t>
            </w:r>
          </w:p>
        </w:tc>
        <w:tc>
          <w:tcPr>
            <w:tcW w:w="1417" w:type="dxa"/>
          </w:tcPr>
          <w:p>
            <w:pPr>
              <w:pStyle w:val="0"/>
            </w:pPr>
            <w:r>
              <w:rPr>
                <w:sz w:val="20"/>
              </w:rPr>
              <w:t xml:space="preserve">657</w:t>
            </w:r>
          </w:p>
        </w:tc>
      </w:tr>
      <w:tr>
        <w:tc>
          <w:tcPr>
            <w:tcW w:w="3061" w:type="dxa"/>
          </w:tcPr>
          <w:p>
            <w:pPr>
              <w:pStyle w:val="0"/>
            </w:pPr>
            <w:r>
              <w:rPr>
                <w:sz w:val="20"/>
              </w:rPr>
              <w:t xml:space="preserve">Ультразвуковое исследование на предмет исключения новообразований органов брюшной полости, малого таза</w:t>
            </w:r>
          </w:p>
        </w:tc>
        <w:tc>
          <w:tcPr>
            <w:tcW w:w="1417" w:type="dxa"/>
          </w:tcPr>
          <w:p>
            <w:pPr>
              <w:pStyle w:val="0"/>
            </w:pPr>
            <w:r>
              <w:rPr>
                <w:sz w:val="20"/>
              </w:rPr>
              <w:t xml:space="preserve">58 911</w:t>
            </w:r>
          </w:p>
        </w:tc>
        <w:tc>
          <w:tcPr>
            <w:tcW w:w="1417" w:type="dxa"/>
          </w:tcPr>
          <w:p>
            <w:pPr>
              <w:pStyle w:val="0"/>
            </w:pPr>
            <w:r>
              <w:rPr>
                <w:sz w:val="20"/>
              </w:rPr>
              <w:t xml:space="preserve">3 165</w:t>
            </w:r>
          </w:p>
        </w:tc>
        <w:tc>
          <w:tcPr>
            <w:tcW w:w="1417" w:type="dxa"/>
          </w:tcPr>
          <w:p>
            <w:pPr>
              <w:pStyle w:val="0"/>
            </w:pPr>
            <w:r>
              <w:rPr>
                <w:sz w:val="20"/>
              </w:rPr>
              <w:t xml:space="preserve">59 337</w:t>
            </w:r>
          </w:p>
        </w:tc>
        <w:tc>
          <w:tcPr>
            <w:tcW w:w="1417" w:type="dxa"/>
          </w:tcPr>
          <w:p>
            <w:pPr>
              <w:pStyle w:val="0"/>
            </w:pPr>
            <w:r>
              <w:rPr>
                <w:sz w:val="20"/>
              </w:rPr>
              <w:t xml:space="preserve">4 726</w:t>
            </w:r>
          </w:p>
        </w:tc>
        <w:tc>
          <w:tcPr>
            <w:tcW w:w="1417" w:type="dxa"/>
          </w:tcPr>
          <w:p>
            <w:pPr>
              <w:pStyle w:val="0"/>
            </w:pPr>
            <w:r>
              <w:rPr>
                <w:sz w:val="20"/>
              </w:rPr>
              <w:t xml:space="preserve">59 022</w:t>
            </w:r>
          </w:p>
        </w:tc>
        <w:tc>
          <w:tcPr>
            <w:tcW w:w="1417" w:type="dxa"/>
          </w:tcPr>
          <w:p>
            <w:pPr>
              <w:pStyle w:val="0"/>
            </w:pPr>
            <w:r>
              <w:rPr>
                <w:sz w:val="20"/>
              </w:rPr>
              <w:t xml:space="preserve">6 369</w:t>
            </w:r>
          </w:p>
        </w:tc>
        <w:tc>
          <w:tcPr>
            <w:tcW w:w="1417" w:type="dxa"/>
          </w:tcPr>
          <w:p>
            <w:pPr>
              <w:pStyle w:val="0"/>
            </w:pPr>
            <w:r>
              <w:rPr>
                <w:sz w:val="20"/>
              </w:rPr>
              <w:t xml:space="preserve">58 708</w:t>
            </w:r>
          </w:p>
        </w:tc>
        <w:tc>
          <w:tcPr>
            <w:tcW w:w="1417" w:type="dxa"/>
          </w:tcPr>
          <w:p>
            <w:pPr>
              <w:pStyle w:val="0"/>
            </w:pPr>
            <w:r>
              <w:rPr>
                <w:sz w:val="20"/>
              </w:rPr>
              <w:t xml:space="preserve">7 411</w:t>
            </w:r>
          </w:p>
        </w:tc>
        <w:tc>
          <w:tcPr>
            <w:tcW w:w="1417" w:type="dxa"/>
          </w:tcPr>
          <w:p>
            <w:pPr>
              <w:pStyle w:val="0"/>
            </w:pPr>
            <w:r>
              <w:rPr>
                <w:sz w:val="20"/>
              </w:rPr>
              <w:t xml:space="preserve">0</w:t>
            </w:r>
          </w:p>
        </w:tc>
        <w:tc>
          <w:tcPr>
            <w:tcW w:w="1417" w:type="dxa"/>
          </w:tcPr>
          <w:p>
            <w:pPr>
              <w:pStyle w:val="0"/>
            </w:pPr>
            <w:r>
              <w:rPr>
                <w:sz w:val="20"/>
              </w:rPr>
              <w:t xml:space="preserve">0</w:t>
            </w:r>
          </w:p>
        </w:tc>
        <w:tc>
          <w:tcPr>
            <w:tcW w:w="1417" w:type="dxa"/>
          </w:tcPr>
          <w:p>
            <w:pPr>
              <w:pStyle w:val="0"/>
            </w:pPr>
            <w:r>
              <w:rPr>
                <w:sz w:val="20"/>
              </w:rPr>
              <w:t xml:space="preserve">0</w:t>
            </w:r>
          </w:p>
        </w:tc>
        <w:tc>
          <w:tcPr>
            <w:tcW w:w="1417" w:type="dxa"/>
          </w:tcPr>
          <w:p>
            <w:pPr>
              <w:pStyle w:val="0"/>
            </w:pPr>
            <w:r>
              <w:rPr>
                <w:sz w:val="20"/>
              </w:rPr>
              <w:t xml:space="preserve">0</w:t>
            </w:r>
          </w:p>
        </w:tc>
        <w:tc>
          <w:tcPr>
            <w:tcW w:w="1417" w:type="dxa"/>
          </w:tcPr>
          <w:p>
            <w:pPr>
              <w:pStyle w:val="0"/>
            </w:pPr>
            <w:r>
              <w:rPr>
                <w:sz w:val="20"/>
              </w:rPr>
              <w:t xml:space="preserve">0</w:t>
            </w:r>
          </w:p>
        </w:tc>
        <w:tc>
          <w:tcPr>
            <w:tcW w:w="1417" w:type="dxa"/>
          </w:tcPr>
          <w:p>
            <w:pPr>
              <w:pStyle w:val="0"/>
            </w:pPr>
            <w:r>
              <w:rPr>
                <w:sz w:val="20"/>
              </w:rPr>
              <w:t xml:space="preserve">0</w:t>
            </w:r>
          </w:p>
        </w:tc>
        <w:tc>
          <w:tcPr>
            <w:tcW w:w="1417" w:type="dxa"/>
          </w:tcPr>
          <w:p>
            <w:pPr>
              <w:pStyle w:val="0"/>
            </w:pPr>
            <w:r>
              <w:rPr>
                <w:sz w:val="20"/>
              </w:rPr>
              <w:t xml:space="preserve">0</w:t>
            </w:r>
          </w:p>
        </w:tc>
        <w:tc>
          <w:tcPr>
            <w:tcW w:w="1417" w:type="dxa"/>
          </w:tcPr>
          <w:p>
            <w:pPr>
              <w:pStyle w:val="0"/>
            </w:pPr>
            <w:r>
              <w:rPr>
                <w:sz w:val="20"/>
              </w:rPr>
              <w:t xml:space="preserve">0</w:t>
            </w:r>
          </w:p>
        </w:tc>
        <w:tc>
          <w:tcPr>
            <w:tcW w:w="1417" w:type="dxa"/>
          </w:tcPr>
          <w:p>
            <w:pPr>
              <w:pStyle w:val="0"/>
            </w:pPr>
            <w:r>
              <w:rPr>
                <w:sz w:val="20"/>
              </w:rPr>
              <w:t xml:space="preserve">0</w:t>
            </w:r>
          </w:p>
        </w:tc>
        <w:tc>
          <w:tcPr>
            <w:tcW w:w="1417" w:type="dxa"/>
          </w:tcPr>
          <w:p>
            <w:pPr>
              <w:pStyle w:val="0"/>
            </w:pPr>
            <w:r>
              <w:rPr>
                <w:sz w:val="20"/>
              </w:rPr>
              <w:t xml:space="preserve">0</w:t>
            </w:r>
          </w:p>
        </w:tc>
      </w:tr>
    </w:tbl>
    <w:p>
      <w:pPr>
        <w:pStyle w:val="0"/>
        <w:ind w:firstLine="540"/>
        <w:jc w:val="both"/>
      </w:pPr>
      <w:r>
        <w:rPr>
          <w:sz w:val="20"/>
        </w:rPr>
      </w:r>
    </w:p>
    <w:p>
      <w:pPr>
        <w:pStyle w:val="0"/>
        <w:ind w:firstLine="540"/>
        <w:jc w:val="both"/>
      </w:pPr>
      <w:r>
        <w:rPr>
          <w:sz w:val="20"/>
        </w:rPr>
        <w:t xml:space="preserve">Онкологические центры осуществляют организационно-методическую работу по выполнению за счет средств обязательного медицинского страхования скрининговых программ раннего выявления злокачественных новообразований: маммологический скрининг женщин старше 40 лет, обследование мужского населения старше 45 лет на простатспецифический антиген, с 2012 года внедрена программа скрининга колоректального рака, с 2013 года внедрен скрининг рака шейки матки методом жидкостной цитологии.</w:t>
      </w:r>
    </w:p>
    <w:p>
      <w:pPr>
        <w:pStyle w:val="0"/>
        <w:ind w:firstLine="540"/>
        <w:jc w:val="both"/>
      </w:pPr>
      <w:r>
        <w:rPr>
          <w:sz w:val="20"/>
        </w:rPr>
      </w:r>
    </w:p>
    <w:p>
      <w:pPr>
        <w:pStyle w:val="0"/>
        <w:jc w:val="right"/>
      </w:pPr>
      <w:r>
        <w:rPr>
          <w:sz w:val="20"/>
        </w:rPr>
        <w:t xml:space="preserve">Таблица 37</w:t>
      </w:r>
    </w:p>
    <w:p>
      <w:pPr>
        <w:pStyle w:val="0"/>
        <w:jc w:val="right"/>
      </w:pPr>
      <w:r>
        <w:rPr>
          <w:sz w:val="20"/>
        </w:rPr>
      </w:r>
    </w:p>
    <w:p>
      <w:pPr>
        <w:pStyle w:val="0"/>
        <w:jc w:val="center"/>
      </w:pPr>
      <w:r>
        <w:rPr>
          <w:sz w:val="20"/>
        </w:rPr>
        <w:t xml:space="preserve">Результаты проведения дообследования на 2 этапе</w:t>
      </w:r>
    </w:p>
    <w:p>
      <w:pPr>
        <w:pStyle w:val="0"/>
        <w:jc w:val="center"/>
      </w:pPr>
      <w:r>
        <w:rPr>
          <w:sz w:val="20"/>
        </w:rPr>
        <w:t xml:space="preserve">диспансеризации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417"/>
        <w:gridCol w:w="1417"/>
        <w:gridCol w:w="1417"/>
        <w:gridCol w:w="1417"/>
        <w:gridCol w:w="1417"/>
        <w:gridCol w:w="1417"/>
        <w:gridCol w:w="1417"/>
        <w:gridCol w:w="1417"/>
        <w:gridCol w:w="1417"/>
        <w:gridCol w:w="1417"/>
        <w:gridCol w:w="1417"/>
        <w:gridCol w:w="1417"/>
        <w:gridCol w:w="1417"/>
        <w:gridCol w:w="1417"/>
        <w:gridCol w:w="1417"/>
        <w:gridCol w:w="1417"/>
        <w:gridCol w:w="1417"/>
        <w:gridCol w:w="1417"/>
      </w:tblGrid>
      <w:tr>
        <w:tc>
          <w:tcPr>
            <w:tcW w:w="3061" w:type="dxa"/>
            <w:vMerge w:val="restart"/>
          </w:tcPr>
          <w:p>
            <w:pPr>
              <w:pStyle w:val="0"/>
              <w:jc w:val="center"/>
            </w:pPr>
            <w:r>
              <w:rPr>
                <w:sz w:val="20"/>
              </w:rPr>
              <w:t xml:space="preserve">Осмотр (консультация), исследование</w:t>
            </w:r>
          </w:p>
        </w:tc>
        <w:tc>
          <w:tcPr>
            <w:gridSpan w:val="2"/>
            <w:tcW w:w="2834" w:type="dxa"/>
          </w:tcPr>
          <w:p>
            <w:pPr>
              <w:pStyle w:val="0"/>
              <w:jc w:val="center"/>
            </w:pPr>
            <w:r>
              <w:rPr>
                <w:sz w:val="20"/>
              </w:rPr>
              <w:t xml:space="preserve">2014</w:t>
            </w:r>
          </w:p>
        </w:tc>
        <w:tc>
          <w:tcPr>
            <w:gridSpan w:val="2"/>
            <w:tcW w:w="2834" w:type="dxa"/>
          </w:tcPr>
          <w:p>
            <w:pPr>
              <w:pStyle w:val="0"/>
              <w:jc w:val="center"/>
            </w:pPr>
            <w:r>
              <w:rPr>
                <w:sz w:val="20"/>
              </w:rPr>
              <w:t xml:space="preserve">2015</w:t>
            </w:r>
          </w:p>
        </w:tc>
        <w:tc>
          <w:tcPr>
            <w:gridSpan w:val="2"/>
            <w:tcW w:w="2834" w:type="dxa"/>
          </w:tcPr>
          <w:p>
            <w:pPr>
              <w:pStyle w:val="0"/>
              <w:jc w:val="center"/>
            </w:pPr>
            <w:r>
              <w:rPr>
                <w:sz w:val="20"/>
              </w:rPr>
              <w:t xml:space="preserve">2016</w:t>
            </w:r>
          </w:p>
        </w:tc>
        <w:tc>
          <w:tcPr>
            <w:gridSpan w:val="2"/>
            <w:tcW w:w="2834" w:type="dxa"/>
          </w:tcPr>
          <w:p>
            <w:pPr>
              <w:pStyle w:val="0"/>
              <w:jc w:val="center"/>
            </w:pPr>
            <w:r>
              <w:rPr>
                <w:sz w:val="20"/>
              </w:rPr>
              <w:t xml:space="preserve">2017</w:t>
            </w:r>
          </w:p>
        </w:tc>
        <w:tc>
          <w:tcPr>
            <w:gridSpan w:val="2"/>
            <w:tcW w:w="2834" w:type="dxa"/>
          </w:tcPr>
          <w:p>
            <w:pPr>
              <w:pStyle w:val="0"/>
              <w:jc w:val="center"/>
            </w:pPr>
            <w:r>
              <w:rPr>
                <w:sz w:val="20"/>
              </w:rPr>
              <w:t xml:space="preserve">2018</w:t>
            </w:r>
          </w:p>
        </w:tc>
        <w:tc>
          <w:tcPr>
            <w:gridSpan w:val="2"/>
            <w:tcW w:w="2834" w:type="dxa"/>
          </w:tcPr>
          <w:p>
            <w:pPr>
              <w:pStyle w:val="0"/>
              <w:jc w:val="center"/>
            </w:pPr>
            <w:r>
              <w:rPr>
                <w:sz w:val="20"/>
              </w:rPr>
              <w:t xml:space="preserve">2019</w:t>
            </w:r>
          </w:p>
        </w:tc>
        <w:tc>
          <w:tcPr>
            <w:gridSpan w:val="2"/>
            <w:tcW w:w="2834" w:type="dxa"/>
          </w:tcPr>
          <w:p>
            <w:pPr>
              <w:pStyle w:val="0"/>
              <w:jc w:val="center"/>
            </w:pPr>
            <w:r>
              <w:rPr>
                <w:sz w:val="20"/>
              </w:rPr>
              <w:t xml:space="preserve">2020</w:t>
            </w:r>
          </w:p>
        </w:tc>
        <w:tc>
          <w:tcPr>
            <w:gridSpan w:val="2"/>
            <w:tcW w:w="2834" w:type="dxa"/>
          </w:tcPr>
          <w:p>
            <w:pPr>
              <w:pStyle w:val="0"/>
              <w:jc w:val="center"/>
            </w:pPr>
            <w:r>
              <w:rPr>
                <w:sz w:val="20"/>
              </w:rPr>
              <w:t xml:space="preserve">2021</w:t>
            </w:r>
          </w:p>
        </w:tc>
        <w:tc>
          <w:tcPr>
            <w:gridSpan w:val="2"/>
            <w:tcW w:w="2834" w:type="dxa"/>
          </w:tcPr>
          <w:p>
            <w:pPr>
              <w:pStyle w:val="0"/>
              <w:jc w:val="center"/>
            </w:pPr>
            <w:r>
              <w:rPr>
                <w:sz w:val="20"/>
              </w:rPr>
              <w:t xml:space="preserve">2022</w:t>
            </w:r>
          </w:p>
        </w:tc>
      </w:tr>
      <w:tr>
        <w:tc>
          <w:tcPr>
            <w:vMerge w:val="continue"/>
          </w:tcP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c>
          <w:tcPr>
            <w:tcW w:w="1417" w:type="dxa"/>
          </w:tcPr>
          <w:p>
            <w:pPr>
              <w:pStyle w:val="0"/>
              <w:jc w:val="center"/>
            </w:pPr>
            <w:r>
              <w:rPr>
                <w:sz w:val="20"/>
              </w:rPr>
              <w:t xml:space="preserve">Проведено обследований</w:t>
            </w:r>
          </w:p>
        </w:tc>
        <w:tc>
          <w:tcPr>
            <w:tcW w:w="1417" w:type="dxa"/>
          </w:tcPr>
          <w:p>
            <w:pPr>
              <w:pStyle w:val="0"/>
              <w:jc w:val="center"/>
            </w:pPr>
            <w:r>
              <w:rPr>
                <w:sz w:val="20"/>
              </w:rPr>
              <w:t xml:space="preserve">Выявлены заболевания (подозрение на наличие заболевания)</w:t>
            </w:r>
          </w:p>
        </w:tc>
      </w:tr>
      <w:tr>
        <w:tc>
          <w:tcPr>
            <w:tcW w:w="3061" w:type="dxa"/>
          </w:tcPr>
          <w:p>
            <w:pPr>
              <w:pStyle w:val="0"/>
              <w:jc w:val="center"/>
            </w:pPr>
            <w:r>
              <w:rPr>
                <w:sz w:val="20"/>
              </w:rPr>
              <w:t xml:space="preserve">1</w:t>
            </w:r>
          </w:p>
        </w:tc>
        <w:tc>
          <w:tcPr>
            <w:tcW w:w="1417" w:type="dxa"/>
          </w:tcPr>
          <w:p>
            <w:pPr>
              <w:pStyle w:val="0"/>
              <w:jc w:val="center"/>
            </w:pPr>
            <w:r>
              <w:rPr>
                <w:sz w:val="20"/>
              </w:rPr>
              <w:t xml:space="preserve">2</w:t>
            </w:r>
          </w:p>
        </w:tc>
        <w:tc>
          <w:tcPr>
            <w:tcW w:w="1417" w:type="dxa"/>
          </w:tcPr>
          <w:p>
            <w:pPr>
              <w:pStyle w:val="0"/>
              <w:jc w:val="center"/>
            </w:pPr>
            <w:r>
              <w:rPr>
                <w:sz w:val="20"/>
              </w:rPr>
              <w:t xml:space="preserve">3</w:t>
            </w:r>
          </w:p>
        </w:tc>
        <w:tc>
          <w:tcPr>
            <w:tcW w:w="1417" w:type="dxa"/>
          </w:tcPr>
          <w:p>
            <w:pPr>
              <w:pStyle w:val="0"/>
              <w:jc w:val="center"/>
            </w:pPr>
            <w:r>
              <w:rPr>
                <w:sz w:val="20"/>
              </w:rPr>
              <w:t xml:space="preserve">4</w:t>
            </w:r>
          </w:p>
        </w:tc>
        <w:tc>
          <w:tcPr>
            <w:tcW w:w="1417" w:type="dxa"/>
          </w:tcPr>
          <w:p>
            <w:pPr>
              <w:pStyle w:val="0"/>
              <w:jc w:val="center"/>
            </w:pPr>
            <w:r>
              <w:rPr>
                <w:sz w:val="20"/>
              </w:rPr>
              <w:t xml:space="preserve">5</w:t>
            </w:r>
          </w:p>
        </w:tc>
        <w:tc>
          <w:tcPr>
            <w:tcW w:w="1417" w:type="dxa"/>
          </w:tcPr>
          <w:p>
            <w:pPr>
              <w:pStyle w:val="0"/>
              <w:jc w:val="center"/>
            </w:pPr>
            <w:r>
              <w:rPr>
                <w:sz w:val="20"/>
              </w:rPr>
              <w:t xml:space="preserve">6</w:t>
            </w:r>
          </w:p>
        </w:tc>
        <w:tc>
          <w:tcPr>
            <w:tcW w:w="1417" w:type="dxa"/>
          </w:tcPr>
          <w:p>
            <w:pPr>
              <w:pStyle w:val="0"/>
              <w:jc w:val="center"/>
            </w:pPr>
            <w:r>
              <w:rPr>
                <w:sz w:val="20"/>
              </w:rPr>
              <w:t xml:space="preserve">7</w:t>
            </w:r>
          </w:p>
        </w:tc>
        <w:tc>
          <w:tcPr>
            <w:tcW w:w="1417" w:type="dxa"/>
          </w:tcPr>
          <w:p>
            <w:pPr>
              <w:pStyle w:val="0"/>
              <w:jc w:val="center"/>
            </w:pPr>
            <w:r>
              <w:rPr>
                <w:sz w:val="20"/>
              </w:rPr>
              <w:t xml:space="preserve">8</w:t>
            </w:r>
          </w:p>
        </w:tc>
        <w:tc>
          <w:tcPr>
            <w:tcW w:w="1417" w:type="dxa"/>
          </w:tcPr>
          <w:p>
            <w:pPr>
              <w:pStyle w:val="0"/>
              <w:jc w:val="center"/>
            </w:pPr>
            <w:r>
              <w:rPr>
                <w:sz w:val="20"/>
              </w:rPr>
              <w:t xml:space="preserve">9</w:t>
            </w:r>
          </w:p>
        </w:tc>
        <w:tc>
          <w:tcPr>
            <w:tcW w:w="1417" w:type="dxa"/>
          </w:tcPr>
          <w:p>
            <w:pPr>
              <w:pStyle w:val="0"/>
              <w:jc w:val="center"/>
            </w:pPr>
            <w:r>
              <w:rPr>
                <w:sz w:val="20"/>
              </w:rPr>
              <w:t xml:space="preserve">10</w:t>
            </w:r>
          </w:p>
        </w:tc>
        <w:tc>
          <w:tcPr>
            <w:tcW w:w="1417" w:type="dxa"/>
          </w:tcPr>
          <w:p>
            <w:pPr>
              <w:pStyle w:val="0"/>
              <w:jc w:val="center"/>
            </w:pPr>
            <w:r>
              <w:rPr>
                <w:sz w:val="20"/>
              </w:rPr>
              <w:t xml:space="preserve">11</w:t>
            </w:r>
          </w:p>
        </w:tc>
        <w:tc>
          <w:tcPr>
            <w:tcW w:w="1417" w:type="dxa"/>
          </w:tcPr>
          <w:p>
            <w:pPr>
              <w:pStyle w:val="0"/>
              <w:jc w:val="center"/>
            </w:pPr>
            <w:r>
              <w:rPr>
                <w:sz w:val="20"/>
              </w:rPr>
              <w:t xml:space="preserve">12</w:t>
            </w:r>
          </w:p>
        </w:tc>
        <w:tc>
          <w:tcPr>
            <w:tcW w:w="1417" w:type="dxa"/>
          </w:tcPr>
          <w:p>
            <w:pPr>
              <w:pStyle w:val="0"/>
              <w:jc w:val="center"/>
            </w:pPr>
            <w:r>
              <w:rPr>
                <w:sz w:val="20"/>
              </w:rPr>
              <w:t xml:space="preserve">13</w:t>
            </w:r>
          </w:p>
        </w:tc>
        <w:tc>
          <w:tcPr>
            <w:tcW w:w="1417" w:type="dxa"/>
          </w:tcPr>
          <w:p>
            <w:pPr>
              <w:pStyle w:val="0"/>
              <w:jc w:val="center"/>
            </w:pPr>
            <w:r>
              <w:rPr>
                <w:sz w:val="20"/>
              </w:rPr>
              <w:t xml:space="preserve">14</w:t>
            </w:r>
          </w:p>
        </w:tc>
        <w:tc>
          <w:tcPr>
            <w:tcW w:w="1417" w:type="dxa"/>
          </w:tcPr>
          <w:p>
            <w:pPr>
              <w:pStyle w:val="0"/>
              <w:jc w:val="center"/>
            </w:pPr>
            <w:r>
              <w:rPr>
                <w:sz w:val="20"/>
              </w:rPr>
              <w:t xml:space="preserve">15</w:t>
            </w:r>
          </w:p>
        </w:tc>
        <w:tc>
          <w:tcPr>
            <w:tcW w:w="1417" w:type="dxa"/>
          </w:tcPr>
          <w:p>
            <w:pPr>
              <w:pStyle w:val="0"/>
              <w:jc w:val="center"/>
            </w:pPr>
            <w:r>
              <w:rPr>
                <w:sz w:val="20"/>
              </w:rPr>
              <w:t xml:space="preserve">16</w:t>
            </w:r>
          </w:p>
        </w:tc>
        <w:tc>
          <w:tcPr>
            <w:tcW w:w="1417" w:type="dxa"/>
          </w:tcPr>
          <w:p>
            <w:pPr>
              <w:pStyle w:val="0"/>
              <w:jc w:val="center"/>
            </w:pPr>
            <w:r>
              <w:rPr>
                <w:sz w:val="20"/>
              </w:rPr>
              <w:t xml:space="preserve">17</w:t>
            </w:r>
          </w:p>
        </w:tc>
        <w:tc>
          <w:tcPr>
            <w:tcW w:w="1417" w:type="dxa"/>
          </w:tcPr>
          <w:p>
            <w:pPr>
              <w:pStyle w:val="0"/>
              <w:jc w:val="center"/>
            </w:pPr>
            <w:r>
              <w:rPr>
                <w:sz w:val="20"/>
              </w:rPr>
              <w:t xml:space="preserve">18</w:t>
            </w:r>
          </w:p>
        </w:tc>
        <w:tc>
          <w:tcPr>
            <w:tcW w:w="1417" w:type="dxa"/>
          </w:tcPr>
          <w:p>
            <w:pPr>
              <w:pStyle w:val="0"/>
              <w:jc w:val="center"/>
            </w:pPr>
            <w:r>
              <w:rPr>
                <w:sz w:val="20"/>
              </w:rPr>
              <w:t xml:space="preserve">19</w:t>
            </w:r>
          </w:p>
        </w:tc>
      </w:tr>
      <w:tr>
        <w:tc>
          <w:tcPr>
            <w:tcW w:w="3061" w:type="dxa"/>
          </w:tcPr>
          <w:p>
            <w:pPr>
              <w:pStyle w:val="0"/>
            </w:pPr>
            <w:r>
              <w:rPr>
                <w:sz w:val="20"/>
              </w:rPr>
              <w:t xml:space="preserve">Эзофагогастродуоденоскопия</w:t>
            </w:r>
          </w:p>
        </w:tc>
        <w:tc>
          <w:tcPr>
            <w:tcW w:w="1417" w:type="dxa"/>
          </w:tcPr>
          <w:p>
            <w:pPr>
              <w:pStyle w:val="0"/>
            </w:pPr>
            <w:r>
              <w:rPr>
                <w:sz w:val="20"/>
              </w:rPr>
              <w:t xml:space="preserve">735</w:t>
            </w:r>
          </w:p>
        </w:tc>
        <w:tc>
          <w:tcPr>
            <w:tcW w:w="1417" w:type="dxa"/>
          </w:tcPr>
          <w:p>
            <w:pPr>
              <w:pStyle w:val="0"/>
            </w:pPr>
            <w:r>
              <w:rPr>
                <w:sz w:val="20"/>
              </w:rPr>
              <w:t xml:space="preserve">387</w:t>
            </w:r>
          </w:p>
        </w:tc>
        <w:tc>
          <w:tcPr>
            <w:tcW w:w="1417" w:type="dxa"/>
          </w:tcPr>
          <w:p>
            <w:pPr>
              <w:pStyle w:val="0"/>
            </w:pPr>
            <w:r>
              <w:rPr>
                <w:sz w:val="20"/>
              </w:rPr>
              <w:t xml:space="preserve">943</w:t>
            </w:r>
          </w:p>
        </w:tc>
        <w:tc>
          <w:tcPr>
            <w:tcW w:w="1417" w:type="dxa"/>
          </w:tcPr>
          <w:p>
            <w:pPr>
              <w:pStyle w:val="0"/>
            </w:pPr>
            <w:r>
              <w:rPr>
                <w:sz w:val="20"/>
              </w:rPr>
              <w:t xml:space="preserve">529</w:t>
            </w:r>
          </w:p>
        </w:tc>
        <w:tc>
          <w:tcPr>
            <w:tcW w:w="1417" w:type="dxa"/>
          </w:tcPr>
          <w:p>
            <w:pPr>
              <w:pStyle w:val="0"/>
            </w:pPr>
            <w:r>
              <w:rPr>
                <w:sz w:val="20"/>
              </w:rPr>
              <w:t xml:space="preserve">1 426</w:t>
            </w:r>
          </w:p>
        </w:tc>
        <w:tc>
          <w:tcPr>
            <w:tcW w:w="1417" w:type="dxa"/>
          </w:tcPr>
          <w:p>
            <w:pPr>
              <w:pStyle w:val="0"/>
            </w:pPr>
            <w:r>
              <w:rPr>
                <w:sz w:val="20"/>
              </w:rPr>
              <w:t xml:space="preserve">835</w:t>
            </w:r>
          </w:p>
        </w:tc>
        <w:tc>
          <w:tcPr>
            <w:tcW w:w="1417" w:type="dxa"/>
          </w:tcPr>
          <w:p>
            <w:pPr>
              <w:pStyle w:val="0"/>
            </w:pPr>
            <w:r>
              <w:rPr>
                <w:sz w:val="20"/>
              </w:rPr>
              <w:t xml:space="preserve">1 469</w:t>
            </w:r>
          </w:p>
        </w:tc>
        <w:tc>
          <w:tcPr>
            <w:tcW w:w="1417" w:type="dxa"/>
          </w:tcPr>
          <w:p>
            <w:pPr>
              <w:pStyle w:val="0"/>
            </w:pPr>
            <w:r>
              <w:rPr>
                <w:sz w:val="20"/>
              </w:rPr>
              <w:t xml:space="preserve">815</w:t>
            </w:r>
          </w:p>
        </w:tc>
        <w:tc>
          <w:tcPr>
            <w:tcW w:w="1417" w:type="dxa"/>
          </w:tcPr>
          <w:p>
            <w:pPr>
              <w:pStyle w:val="0"/>
            </w:pPr>
            <w:r>
              <w:rPr>
                <w:sz w:val="20"/>
              </w:rPr>
              <w:t xml:space="preserve">0</w:t>
            </w:r>
          </w:p>
        </w:tc>
        <w:tc>
          <w:tcPr>
            <w:tcW w:w="1417" w:type="dxa"/>
          </w:tcPr>
          <w:p>
            <w:pPr>
              <w:pStyle w:val="0"/>
            </w:pPr>
            <w:r>
              <w:rPr>
                <w:sz w:val="20"/>
              </w:rPr>
              <w:t xml:space="preserve">0</w:t>
            </w:r>
          </w:p>
        </w:tc>
        <w:tc>
          <w:tcPr>
            <w:tcW w:w="1417" w:type="dxa"/>
          </w:tcPr>
          <w:p>
            <w:pPr>
              <w:pStyle w:val="0"/>
            </w:pPr>
            <w:r>
              <w:rPr>
                <w:sz w:val="20"/>
              </w:rPr>
              <w:t xml:space="preserve">3 964</w:t>
            </w:r>
          </w:p>
        </w:tc>
        <w:tc>
          <w:tcPr>
            <w:tcW w:w="1417" w:type="dxa"/>
          </w:tcPr>
          <w:p>
            <w:pPr>
              <w:pStyle w:val="0"/>
            </w:pPr>
            <w:r>
              <w:rPr>
                <w:sz w:val="20"/>
              </w:rPr>
              <w:t xml:space="preserve">1 201</w:t>
            </w:r>
          </w:p>
        </w:tc>
        <w:tc>
          <w:tcPr>
            <w:tcW w:w="1417" w:type="dxa"/>
          </w:tcPr>
          <w:p>
            <w:pPr>
              <w:pStyle w:val="0"/>
            </w:pPr>
            <w:r>
              <w:rPr>
                <w:sz w:val="20"/>
              </w:rPr>
              <w:t xml:space="preserve">2 725</w:t>
            </w:r>
          </w:p>
        </w:tc>
        <w:tc>
          <w:tcPr>
            <w:tcW w:w="1417" w:type="dxa"/>
          </w:tcPr>
          <w:p>
            <w:pPr>
              <w:pStyle w:val="0"/>
            </w:pPr>
            <w:r>
              <w:rPr>
                <w:sz w:val="20"/>
              </w:rPr>
              <w:t xml:space="preserve">1 090</w:t>
            </w:r>
          </w:p>
        </w:tc>
        <w:tc>
          <w:tcPr>
            <w:tcW w:w="1417" w:type="dxa"/>
          </w:tcPr>
          <w:p>
            <w:pPr>
              <w:pStyle w:val="0"/>
            </w:pPr>
            <w:r>
              <w:rPr>
                <w:sz w:val="20"/>
              </w:rPr>
              <w:t xml:space="preserve">2 469</w:t>
            </w:r>
          </w:p>
        </w:tc>
        <w:tc>
          <w:tcPr>
            <w:tcW w:w="1417" w:type="dxa"/>
          </w:tcPr>
          <w:p>
            <w:pPr>
              <w:pStyle w:val="0"/>
            </w:pPr>
            <w:r>
              <w:rPr>
                <w:sz w:val="20"/>
              </w:rPr>
              <w:t xml:space="preserve">815</w:t>
            </w:r>
          </w:p>
        </w:tc>
        <w:tc>
          <w:tcPr>
            <w:tcW w:w="1417" w:type="dxa"/>
          </w:tcPr>
          <w:p>
            <w:pPr>
              <w:pStyle w:val="0"/>
            </w:pPr>
            <w:r>
              <w:rPr>
                <w:sz w:val="20"/>
              </w:rPr>
              <w:t xml:space="preserve">2895</w:t>
            </w:r>
          </w:p>
        </w:tc>
        <w:tc>
          <w:tcPr>
            <w:tcW w:w="1417" w:type="dxa"/>
          </w:tcPr>
          <w:p>
            <w:pPr>
              <w:pStyle w:val="0"/>
            </w:pPr>
            <w:r>
              <w:rPr>
                <w:sz w:val="20"/>
              </w:rPr>
              <w:t xml:space="preserve">701</w:t>
            </w:r>
          </w:p>
        </w:tc>
      </w:tr>
      <w:tr>
        <w:tc>
          <w:tcPr>
            <w:tcW w:w="3061" w:type="dxa"/>
          </w:tcPr>
          <w:p>
            <w:pPr>
              <w:pStyle w:val="0"/>
            </w:pPr>
            <w:r>
              <w:rPr>
                <w:sz w:val="20"/>
              </w:rPr>
              <w:t xml:space="preserve">Осмотр (консультация) врача-хирурга/врача-уролога (для мужчин)</w:t>
            </w:r>
          </w:p>
        </w:tc>
        <w:tc>
          <w:tcPr>
            <w:tcW w:w="1417" w:type="dxa"/>
          </w:tcPr>
          <w:p>
            <w:pPr>
              <w:pStyle w:val="0"/>
            </w:pPr>
            <w:r>
              <w:rPr>
                <w:sz w:val="20"/>
              </w:rPr>
              <w:t xml:space="preserve">473</w:t>
            </w:r>
          </w:p>
        </w:tc>
        <w:tc>
          <w:tcPr>
            <w:tcW w:w="1417" w:type="dxa"/>
          </w:tcPr>
          <w:p>
            <w:pPr>
              <w:pStyle w:val="0"/>
            </w:pPr>
            <w:r>
              <w:rPr>
                <w:sz w:val="20"/>
              </w:rPr>
              <w:t xml:space="preserve">188</w:t>
            </w:r>
          </w:p>
        </w:tc>
        <w:tc>
          <w:tcPr>
            <w:tcW w:w="1417" w:type="dxa"/>
          </w:tcPr>
          <w:p>
            <w:pPr>
              <w:pStyle w:val="0"/>
            </w:pPr>
            <w:r>
              <w:rPr>
                <w:sz w:val="20"/>
              </w:rPr>
              <w:t xml:space="preserve">996</w:t>
            </w:r>
          </w:p>
        </w:tc>
        <w:tc>
          <w:tcPr>
            <w:tcW w:w="1417" w:type="dxa"/>
          </w:tcPr>
          <w:p>
            <w:pPr>
              <w:pStyle w:val="0"/>
            </w:pPr>
            <w:r>
              <w:rPr>
                <w:sz w:val="20"/>
              </w:rPr>
              <w:t xml:space="preserve">458</w:t>
            </w:r>
          </w:p>
        </w:tc>
        <w:tc>
          <w:tcPr>
            <w:tcW w:w="1417" w:type="dxa"/>
          </w:tcPr>
          <w:p>
            <w:pPr>
              <w:pStyle w:val="0"/>
            </w:pPr>
            <w:r>
              <w:rPr>
                <w:sz w:val="20"/>
              </w:rPr>
              <w:t xml:space="preserve">1 168</w:t>
            </w:r>
          </w:p>
        </w:tc>
        <w:tc>
          <w:tcPr>
            <w:tcW w:w="1417" w:type="dxa"/>
          </w:tcPr>
          <w:p>
            <w:pPr>
              <w:pStyle w:val="0"/>
            </w:pPr>
            <w:r>
              <w:rPr>
                <w:sz w:val="20"/>
              </w:rPr>
              <w:t xml:space="preserve">659</w:t>
            </w:r>
          </w:p>
        </w:tc>
        <w:tc>
          <w:tcPr>
            <w:tcW w:w="1417" w:type="dxa"/>
          </w:tcPr>
          <w:p>
            <w:pPr>
              <w:pStyle w:val="0"/>
            </w:pPr>
            <w:r>
              <w:rPr>
                <w:sz w:val="20"/>
              </w:rPr>
              <w:t xml:space="preserve">2 805</w:t>
            </w:r>
          </w:p>
        </w:tc>
        <w:tc>
          <w:tcPr>
            <w:tcW w:w="1417" w:type="dxa"/>
          </w:tcPr>
          <w:p>
            <w:pPr>
              <w:pStyle w:val="0"/>
            </w:pPr>
            <w:r>
              <w:rPr>
                <w:sz w:val="20"/>
              </w:rPr>
              <w:t xml:space="preserve">1 450</w:t>
            </w:r>
          </w:p>
        </w:tc>
        <w:tc>
          <w:tcPr>
            <w:tcW w:w="1417" w:type="dxa"/>
          </w:tcPr>
          <w:p>
            <w:pPr>
              <w:pStyle w:val="0"/>
            </w:pPr>
            <w:r>
              <w:rPr>
                <w:sz w:val="20"/>
              </w:rPr>
              <w:t xml:space="preserve">909</w:t>
            </w:r>
          </w:p>
        </w:tc>
        <w:tc>
          <w:tcPr>
            <w:tcW w:w="1417" w:type="dxa"/>
          </w:tcPr>
          <w:p>
            <w:pPr>
              <w:pStyle w:val="0"/>
            </w:pPr>
            <w:r>
              <w:rPr>
                <w:sz w:val="20"/>
              </w:rPr>
              <w:t xml:space="preserve">618</w:t>
            </w:r>
          </w:p>
        </w:tc>
        <w:tc>
          <w:tcPr>
            <w:tcW w:w="1417" w:type="dxa"/>
          </w:tcPr>
          <w:p>
            <w:pPr>
              <w:pStyle w:val="0"/>
            </w:pPr>
            <w:r>
              <w:rPr>
                <w:sz w:val="20"/>
              </w:rPr>
              <w:t xml:space="preserve">684</w:t>
            </w:r>
          </w:p>
        </w:tc>
        <w:tc>
          <w:tcPr>
            <w:tcW w:w="1417" w:type="dxa"/>
          </w:tcPr>
          <w:p>
            <w:pPr>
              <w:pStyle w:val="0"/>
            </w:pPr>
            <w:r>
              <w:rPr>
                <w:sz w:val="20"/>
              </w:rPr>
              <w:t xml:space="preserve">469</w:t>
            </w:r>
          </w:p>
        </w:tc>
        <w:tc>
          <w:tcPr>
            <w:tcW w:w="1417" w:type="dxa"/>
          </w:tcPr>
          <w:p>
            <w:pPr>
              <w:pStyle w:val="0"/>
            </w:pPr>
            <w:r>
              <w:rPr>
                <w:sz w:val="20"/>
              </w:rPr>
              <w:t xml:space="preserve">531</w:t>
            </w:r>
          </w:p>
        </w:tc>
        <w:tc>
          <w:tcPr>
            <w:tcW w:w="1417" w:type="dxa"/>
          </w:tcPr>
          <w:p>
            <w:pPr>
              <w:pStyle w:val="0"/>
            </w:pPr>
            <w:r>
              <w:rPr>
                <w:sz w:val="20"/>
              </w:rPr>
              <w:t xml:space="preserve">330</w:t>
            </w:r>
          </w:p>
        </w:tc>
        <w:tc>
          <w:tcPr>
            <w:tcW w:w="1417" w:type="dxa"/>
          </w:tcPr>
          <w:p>
            <w:pPr>
              <w:pStyle w:val="0"/>
            </w:pPr>
            <w:r>
              <w:rPr>
                <w:sz w:val="20"/>
              </w:rPr>
              <w:t xml:space="preserve">805</w:t>
            </w:r>
          </w:p>
        </w:tc>
        <w:tc>
          <w:tcPr>
            <w:tcW w:w="1417" w:type="dxa"/>
          </w:tcPr>
          <w:p>
            <w:pPr>
              <w:pStyle w:val="0"/>
            </w:pPr>
            <w:r>
              <w:rPr>
                <w:sz w:val="20"/>
              </w:rPr>
              <w:t xml:space="preserve">1 450</w:t>
            </w:r>
          </w:p>
        </w:tc>
        <w:tc>
          <w:tcPr>
            <w:tcW w:w="1417" w:type="dxa"/>
          </w:tcPr>
          <w:p>
            <w:pPr>
              <w:pStyle w:val="0"/>
            </w:pPr>
            <w:r>
              <w:rPr>
                <w:sz w:val="20"/>
              </w:rPr>
              <w:t xml:space="preserve">997</w:t>
            </w:r>
          </w:p>
        </w:tc>
        <w:tc>
          <w:tcPr>
            <w:tcW w:w="1417" w:type="dxa"/>
          </w:tcPr>
          <w:p>
            <w:pPr>
              <w:pStyle w:val="0"/>
            </w:pPr>
            <w:r>
              <w:rPr>
                <w:sz w:val="20"/>
              </w:rPr>
              <w:t xml:space="preserve">337</w:t>
            </w:r>
          </w:p>
        </w:tc>
      </w:tr>
      <w:tr>
        <w:tc>
          <w:tcPr>
            <w:tcW w:w="3061" w:type="dxa"/>
          </w:tcPr>
          <w:p>
            <w:pPr>
              <w:pStyle w:val="0"/>
            </w:pPr>
            <w:r>
              <w:rPr>
                <w:sz w:val="20"/>
              </w:rPr>
              <w:t xml:space="preserve">Осмотр (консультация) врача-хирурга/врача-колопроктолога</w:t>
            </w:r>
          </w:p>
        </w:tc>
        <w:tc>
          <w:tcPr>
            <w:tcW w:w="1417" w:type="dxa"/>
          </w:tcPr>
          <w:p>
            <w:pPr>
              <w:pStyle w:val="0"/>
            </w:pPr>
            <w:r>
              <w:rPr>
                <w:sz w:val="20"/>
              </w:rPr>
              <w:t xml:space="preserve">508</w:t>
            </w:r>
          </w:p>
        </w:tc>
        <w:tc>
          <w:tcPr>
            <w:tcW w:w="1417" w:type="dxa"/>
          </w:tcPr>
          <w:p>
            <w:pPr>
              <w:pStyle w:val="0"/>
            </w:pPr>
            <w:r>
              <w:rPr>
                <w:sz w:val="20"/>
              </w:rPr>
              <w:t xml:space="preserve">201</w:t>
            </w:r>
          </w:p>
        </w:tc>
        <w:tc>
          <w:tcPr>
            <w:tcW w:w="1417" w:type="dxa"/>
          </w:tcPr>
          <w:p>
            <w:pPr>
              <w:pStyle w:val="0"/>
            </w:pPr>
            <w:r>
              <w:rPr>
                <w:sz w:val="20"/>
              </w:rPr>
              <w:t xml:space="preserve">1049</w:t>
            </w:r>
          </w:p>
        </w:tc>
        <w:tc>
          <w:tcPr>
            <w:tcW w:w="1417" w:type="dxa"/>
          </w:tcPr>
          <w:p>
            <w:pPr>
              <w:pStyle w:val="0"/>
            </w:pPr>
            <w:r>
              <w:rPr>
                <w:sz w:val="20"/>
              </w:rPr>
              <w:t xml:space="preserve">484</w:t>
            </w:r>
          </w:p>
        </w:tc>
        <w:tc>
          <w:tcPr>
            <w:tcW w:w="1417" w:type="dxa"/>
          </w:tcPr>
          <w:p>
            <w:pPr>
              <w:pStyle w:val="0"/>
            </w:pPr>
            <w:r>
              <w:rPr>
                <w:sz w:val="20"/>
              </w:rPr>
              <w:t xml:space="preserve">1 357</w:t>
            </w:r>
          </w:p>
        </w:tc>
        <w:tc>
          <w:tcPr>
            <w:tcW w:w="1417" w:type="dxa"/>
          </w:tcPr>
          <w:p>
            <w:pPr>
              <w:pStyle w:val="0"/>
            </w:pPr>
            <w:r>
              <w:rPr>
                <w:sz w:val="20"/>
              </w:rPr>
              <w:t xml:space="preserve">784</w:t>
            </w:r>
          </w:p>
        </w:tc>
        <w:tc>
          <w:tcPr>
            <w:tcW w:w="1417" w:type="dxa"/>
          </w:tcPr>
          <w:p>
            <w:pPr>
              <w:pStyle w:val="0"/>
            </w:pPr>
            <w:r>
              <w:rPr>
                <w:sz w:val="20"/>
              </w:rPr>
              <w:t xml:space="preserve">2 451</w:t>
            </w:r>
          </w:p>
        </w:tc>
        <w:tc>
          <w:tcPr>
            <w:tcW w:w="1417" w:type="dxa"/>
          </w:tcPr>
          <w:p>
            <w:pPr>
              <w:pStyle w:val="0"/>
            </w:pPr>
            <w:r>
              <w:rPr>
                <w:sz w:val="20"/>
              </w:rPr>
              <w:t xml:space="preserve">1 542</w:t>
            </w:r>
          </w:p>
        </w:tc>
        <w:tc>
          <w:tcPr>
            <w:tcW w:w="1417" w:type="dxa"/>
          </w:tcPr>
          <w:p>
            <w:pPr>
              <w:pStyle w:val="0"/>
            </w:pPr>
            <w:r>
              <w:rPr>
                <w:sz w:val="20"/>
              </w:rPr>
              <w:t xml:space="preserve">2 478</w:t>
            </w:r>
          </w:p>
        </w:tc>
        <w:tc>
          <w:tcPr>
            <w:tcW w:w="1417" w:type="dxa"/>
          </w:tcPr>
          <w:p>
            <w:pPr>
              <w:pStyle w:val="0"/>
            </w:pPr>
            <w:r>
              <w:rPr>
                <w:sz w:val="20"/>
              </w:rPr>
              <w:t xml:space="preserve">1 437</w:t>
            </w:r>
          </w:p>
        </w:tc>
        <w:tc>
          <w:tcPr>
            <w:tcW w:w="1417" w:type="dxa"/>
          </w:tcPr>
          <w:p>
            <w:pPr>
              <w:pStyle w:val="0"/>
            </w:pPr>
            <w:r>
              <w:rPr>
                <w:sz w:val="20"/>
              </w:rPr>
              <w:t xml:space="preserve">3 657</w:t>
            </w:r>
          </w:p>
        </w:tc>
        <w:tc>
          <w:tcPr>
            <w:tcW w:w="1417" w:type="dxa"/>
          </w:tcPr>
          <w:p>
            <w:pPr>
              <w:pStyle w:val="0"/>
            </w:pPr>
            <w:r>
              <w:rPr>
                <w:sz w:val="20"/>
              </w:rPr>
              <w:t xml:space="preserve">2 010</w:t>
            </w:r>
          </w:p>
        </w:tc>
        <w:tc>
          <w:tcPr>
            <w:tcW w:w="1417" w:type="dxa"/>
          </w:tcPr>
          <w:p>
            <w:pPr>
              <w:pStyle w:val="0"/>
            </w:pPr>
            <w:r>
              <w:rPr>
                <w:sz w:val="20"/>
              </w:rPr>
              <w:t xml:space="preserve">2 633</w:t>
            </w:r>
          </w:p>
        </w:tc>
        <w:tc>
          <w:tcPr>
            <w:tcW w:w="1417" w:type="dxa"/>
          </w:tcPr>
          <w:p>
            <w:pPr>
              <w:pStyle w:val="0"/>
            </w:pPr>
            <w:r>
              <w:rPr>
                <w:sz w:val="20"/>
              </w:rPr>
              <w:t xml:space="preserve">1 142</w:t>
            </w:r>
          </w:p>
        </w:tc>
        <w:tc>
          <w:tcPr>
            <w:tcW w:w="1417" w:type="dxa"/>
          </w:tcPr>
          <w:p>
            <w:pPr>
              <w:pStyle w:val="0"/>
            </w:pPr>
            <w:r>
              <w:rPr>
                <w:sz w:val="20"/>
              </w:rPr>
              <w:t xml:space="preserve">2 451</w:t>
            </w:r>
          </w:p>
        </w:tc>
        <w:tc>
          <w:tcPr>
            <w:tcW w:w="1417" w:type="dxa"/>
          </w:tcPr>
          <w:p>
            <w:pPr>
              <w:pStyle w:val="0"/>
            </w:pPr>
            <w:r>
              <w:rPr>
                <w:sz w:val="20"/>
              </w:rPr>
              <w:t xml:space="preserve">1 542</w:t>
            </w:r>
          </w:p>
        </w:tc>
        <w:tc>
          <w:tcPr>
            <w:tcW w:w="1417" w:type="dxa"/>
          </w:tcPr>
          <w:p>
            <w:pPr>
              <w:pStyle w:val="0"/>
            </w:pPr>
            <w:r>
              <w:rPr>
                <w:sz w:val="20"/>
              </w:rPr>
              <w:t xml:space="preserve">4910</w:t>
            </w:r>
          </w:p>
        </w:tc>
        <w:tc>
          <w:tcPr>
            <w:tcW w:w="1417" w:type="dxa"/>
          </w:tcPr>
          <w:p>
            <w:pPr>
              <w:pStyle w:val="0"/>
            </w:pPr>
            <w:r>
              <w:rPr>
                <w:sz w:val="20"/>
              </w:rPr>
              <w:t xml:space="preserve">2037</w:t>
            </w:r>
          </w:p>
        </w:tc>
      </w:tr>
      <w:tr>
        <w:tc>
          <w:tcPr>
            <w:tcW w:w="3061" w:type="dxa"/>
          </w:tcPr>
          <w:p>
            <w:pPr>
              <w:pStyle w:val="0"/>
            </w:pPr>
            <w:r>
              <w:rPr>
                <w:sz w:val="20"/>
              </w:rPr>
              <w:t xml:space="preserve">Колоноскопия (ректороманоскопия)</w:t>
            </w:r>
          </w:p>
        </w:tc>
        <w:tc>
          <w:tcPr>
            <w:tcW w:w="1417" w:type="dxa"/>
          </w:tcPr>
          <w:p>
            <w:pPr>
              <w:pStyle w:val="0"/>
            </w:pPr>
            <w:r>
              <w:rPr>
                <w:sz w:val="20"/>
              </w:rPr>
              <w:t xml:space="preserve">353</w:t>
            </w:r>
          </w:p>
        </w:tc>
        <w:tc>
          <w:tcPr>
            <w:tcW w:w="1417" w:type="dxa"/>
          </w:tcPr>
          <w:p>
            <w:pPr>
              <w:pStyle w:val="0"/>
            </w:pPr>
            <w:r>
              <w:rPr>
                <w:sz w:val="20"/>
              </w:rPr>
              <w:t xml:space="preserve">126</w:t>
            </w:r>
          </w:p>
        </w:tc>
        <w:tc>
          <w:tcPr>
            <w:tcW w:w="1417" w:type="dxa"/>
          </w:tcPr>
          <w:p>
            <w:pPr>
              <w:pStyle w:val="0"/>
            </w:pPr>
            <w:r>
              <w:rPr>
                <w:sz w:val="20"/>
              </w:rPr>
              <w:t xml:space="preserve">803</w:t>
            </w:r>
          </w:p>
        </w:tc>
        <w:tc>
          <w:tcPr>
            <w:tcW w:w="1417" w:type="dxa"/>
          </w:tcPr>
          <w:p>
            <w:pPr>
              <w:pStyle w:val="0"/>
            </w:pPr>
            <w:r>
              <w:rPr>
                <w:sz w:val="20"/>
              </w:rPr>
              <w:t xml:space="preserve">374</w:t>
            </w:r>
          </w:p>
        </w:tc>
        <w:tc>
          <w:tcPr>
            <w:tcW w:w="1417" w:type="dxa"/>
          </w:tcPr>
          <w:p>
            <w:pPr>
              <w:pStyle w:val="0"/>
            </w:pPr>
            <w:r>
              <w:rPr>
                <w:sz w:val="20"/>
              </w:rPr>
              <w:t xml:space="preserve">1 421</w:t>
            </w:r>
          </w:p>
        </w:tc>
        <w:tc>
          <w:tcPr>
            <w:tcW w:w="1417" w:type="dxa"/>
          </w:tcPr>
          <w:p>
            <w:pPr>
              <w:pStyle w:val="0"/>
            </w:pPr>
            <w:r>
              <w:rPr>
                <w:sz w:val="20"/>
              </w:rPr>
              <w:t xml:space="preserve">632</w:t>
            </w:r>
          </w:p>
        </w:tc>
        <w:tc>
          <w:tcPr>
            <w:tcW w:w="1417" w:type="dxa"/>
          </w:tcPr>
          <w:p>
            <w:pPr>
              <w:pStyle w:val="0"/>
            </w:pPr>
            <w:r>
              <w:rPr>
                <w:sz w:val="20"/>
              </w:rPr>
              <w:t xml:space="preserve">1 677</w:t>
            </w:r>
          </w:p>
        </w:tc>
        <w:tc>
          <w:tcPr>
            <w:tcW w:w="1417" w:type="dxa"/>
          </w:tcPr>
          <w:p>
            <w:pPr>
              <w:pStyle w:val="0"/>
            </w:pPr>
            <w:r>
              <w:rPr>
                <w:sz w:val="20"/>
              </w:rPr>
              <w:t xml:space="preserve">1 047</w:t>
            </w:r>
          </w:p>
        </w:tc>
        <w:tc>
          <w:tcPr>
            <w:tcW w:w="1417" w:type="dxa"/>
          </w:tcPr>
          <w:p>
            <w:pPr>
              <w:pStyle w:val="0"/>
            </w:pPr>
            <w:r>
              <w:rPr>
                <w:sz w:val="20"/>
              </w:rPr>
              <w:t xml:space="preserve">1 546</w:t>
            </w:r>
          </w:p>
        </w:tc>
        <w:tc>
          <w:tcPr>
            <w:tcW w:w="1417" w:type="dxa"/>
          </w:tcPr>
          <w:p>
            <w:pPr>
              <w:pStyle w:val="0"/>
            </w:pPr>
            <w:r>
              <w:rPr>
                <w:sz w:val="20"/>
              </w:rPr>
              <w:t xml:space="preserve">920</w:t>
            </w:r>
          </w:p>
        </w:tc>
        <w:tc>
          <w:tcPr>
            <w:tcW w:w="1417" w:type="dxa"/>
          </w:tcPr>
          <w:p>
            <w:pPr>
              <w:pStyle w:val="0"/>
            </w:pPr>
            <w:r>
              <w:rPr>
                <w:sz w:val="20"/>
              </w:rPr>
              <w:t xml:space="preserve">2 655</w:t>
            </w:r>
          </w:p>
        </w:tc>
        <w:tc>
          <w:tcPr>
            <w:tcW w:w="1417" w:type="dxa"/>
          </w:tcPr>
          <w:p>
            <w:pPr>
              <w:pStyle w:val="0"/>
            </w:pPr>
            <w:r>
              <w:rPr>
                <w:sz w:val="20"/>
              </w:rPr>
              <w:t xml:space="preserve">1 443</w:t>
            </w:r>
          </w:p>
        </w:tc>
        <w:tc>
          <w:tcPr>
            <w:tcW w:w="1417" w:type="dxa"/>
          </w:tcPr>
          <w:p>
            <w:pPr>
              <w:pStyle w:val="0"/>
            </w:pPr>
            <w:r>
              <w:rPr>
                <w:sz w:val="20"/>
              </w:rPr>
              <w:t xml:space="preserve">1 604</w:t>
            </w:r>
          </w:p>
        </w:tc>
        <w:tc>
          <w:tcPr>
            <w:tcW w:w="1417" w:type="dxa"/>
          </w:tcPr>
          <w:p>
            <w:pPr>
              <w:pStyle w:val="0"/>
            </w:pPr>
            <w:r>
              <w:rPr>
                <w:sz w:val="20"/>
              </w:rPr>
              <w:t xml:space="preserve">763</w:t>
            </w:r>
          </w:p>
        </w:tc>
        <w:tc>
          <w:tcPr>
            <w:tcW w:w="1417" w:type="dxa"/>
          </w:tcPr>
          <w:p>
            <w:pPr>
              <w:pStyle w:val="0"/>
            </w:pPr>
            <w:r>
              <w:rPr>
                <w:sz w:val="20"/>
              </w:rPr>
              <w:t xml:space="preserve">1 677</w:t>
            </w:r>
          </w:p>
        </w:tc>
        <w:tc>
          <w:tcPr>
            <w:tcW w:w="1417" w:type="dxa"/>
          </w:tcPr>
          <w:p>
            <w:pPr>
              <w:pStyle w:val="0"/>
            </w:pPr>
            <w:r>
              <w:rPr>
                <w:sz w:val="20"/>
              </w:rPr>
              <w:t xml:space="preserve">1 047</w:t>
            </w:r>
          </w:p>
        </w:tc>
        <w:tc>
          <w:tcPr>
            <w:tcW w:w="1417" w:type="dxa"/>
          </w:tcPr>
          <w:p>
            <w:pPr>
              <w:pStyle w:val="0"/>
            </w:pPr>
            <w:r>
              <w:rPr>
                <w:sz w:val="20"/>
              </w:rPr>
              <w:t xml:space="preserve">2931</w:t>
            </w:r>
          </w:p>
        </w:tc>
        <w:tc>
          <w:tcPr>
            <w:tcW w:w="1417" w:type="dxa"/>
          </w:tcPr>
          <w:p>
            <w:pPr>
              <w:pStyle w:val="0"/>
            </w:pPr>
            <w:r>
              <w:rPr>
                <w:sz w:val="20"/>
              </w:rPr>
              <w:t xml:space="preserve">1194</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Контроль достижения плановых объемов и соблюдения критериев эффективности проведения профилактических медицинских осмотров и диспансеризации определенных групп взрослого населения осуществляет куратор профилактической службы - БУ "Центр общественного здоровья и медицинской профилактики" ежемесячно. Также анализируются данные Территориального фонда обязательного медицинского страхования Ханты-Мансийского автономного округа - Югры о поданных на оплату и оплаченных счетах по диспансеризации определенных групп взрослого населения. Информация о ходе проведения диспансеризации и профилактических медицинских осмотров в разрезе медицинских организаций ежемесячно обсуждается на профильных совещаниях Департамента здравоохранения Ханты-Мансийского автономного округа - Югры.</w:t>
      </w:r>
    </w:p>
    <w:p>
      <w:pPr>
        <w:pStyle w:val="0"/>
        <w:jc w:val="right"/>
      </w:pPr>
      <w:r>
        <w:rPr>
          <w:sz w:val="20"/>
        </w:rPr>
      </w:r>
    </w:p>
    <w:p>
      <w:pPr>
        <w:pStyle w:val="0"/>
        <w:jc w:val="right"/>
      </w:pPr>
      <w:r>
        <w:rPr>
          <w:sz w:val="20"/>
        </w:rPr>
        <w:t xml:space="preserve">Таблица 38</w:t>
      </w:r>
    </w:p>
    <w:p>
      <w:pPr>
        <w:pStyle w:val="0"/>
        <w:jc w:val="right"/>
      </w:pPr>
      <w:r>
        <w:rPr>
          <w:sz w:val="20"/>
        </w:rPr>
      </w:r>
    </w:p>
    <w:p>
      <w:pPr>
        <w:pStyle w:val="0"/>
        <w:jc w:val="center"/>
      </w:pPr>
      <w:r>
        <w:rPr>
          <w:sz w:val="20"/>
        </w:rPr>
        <w:t xml:space="preserve">Сведения о впервые выявленных злокачественных заболеваниях</w:t>
      </w:r>
    </w:p>
    <w:p>
      <w:pPr>
        <w:pStyle w:val="0"/>
        <w:jc w:val="center"/>
      </w:pPr>
      <w:r>
        <w:rPr>
          <w:sz w:val="20"/>
        </w:rPr>
        <w:t xml:space="preserve">при диспансеризации определенных групп взрослого населения</w:t>
      </w:r>
    </w:p>
    <w:p>
      <w:pPr>
        <w:pStyle w:val="0"/>
        <w:jc w:val="center"/>
      </w:pPr>
      <w:r>
        <w:rPr>
          <w:sz w:val="20"/>
        </w:rPr>
        <w:t xml:space="preserve">в динамике с 2015 по 2022 год (абс.)</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830"/>
        <w:gridCol w:w="709"/>
        <w:gridCol w:w="709"/>
        <w:gridCol w:w="708"/>
        <w:gridCol w:w="709"/>
        <w:gridCol w:w="743"/>
        <w:gridCol w:w="675"/>
        <w:gridCol w:w="708"/>
        <w:gridCol w:w="750"/>
      </w:tblGrid>
      <w:tr>
        <w:tc>
          <w:tcPr>
            <w:tcW w:w="454" w:type="dxa"/>
            <w:vMerge w:val="restart"/>
          </w:tcPr>
          <w:p>
            <w:pPr>
              <w:pStyle w:val="0"/>
              <w:jc w:val="center"/>
            </w:pPr>
            <w:r>
              <w:rPr>
                <w:sz w:val="20"/>
              </w:rPr>
              <w:t xml:space="preserve">N п/п</w:t>
            </w:r>
          </w:p>
        </w:tc>
        <w:tc>
          <w:tcPr>
            <w:tcW w:w="2830" w:type="dxa"/>
            <w:vMerge w:val="restart"/>
          </w:tcPr>
          <w:p>
            <w:pPr>
              <w:pStyle w:val="0"/>
              <w:jc w:val="center"/>
            </w:pPr>
            <w:r>
              <w:rPr>
                <w:sz w:val="20"/>
              </w:rPr>
              <w:t xml:space="preserve">Заболевание</w:t>
            </w:r>
          </w:p>
        </w:tc>
        <w:tc>
          <w:tcPr>
            <w:gridSpan w:val="8"/>
            <w:tcW w:w="5711" w:type="dxa"/>
          </w:tcPr>
          <w:p>
            <w:pPr>
              <w:pStyle w:val="0"/>
              <w:jc w:val="center"/>
            </w:pPr>
            <w:r>
              <w:rPr>
                <w:sz w:val="20"/>
              </w:rPr>
              <w:t xml:space="preserve">Годы</w:t>
            </w:r>
          </w:p>
        </w:tc>
      </w:tr>
      <w:tr>
        <w:tc>
          <w:tcPr>
            <w:vMerge w:val="continue"/>
          </w:tcPr>
          <w:p/>
        </w:tc>
        <w:tc>
          <w:tcPr>
            <w:vMerge w:val="continue"/>
          </w:tcPr>
          <w:p/>
        </w:tc>
        <w:tc>
          <w:tcPr>
            <w:tcW w:w="709" w:type="dxa"/>
          </w:tcPr>
          <w:p>
            <w:pPr>
              <w:pStyle w:val="0"/>
              <w:jc w:val="center"/>
            </w:pPr>
            <w:r>
              <w:rPr>
                <w:sz w:val="20"/>
              </w:rPr>
              <w:t xml:space="preserve">2015</w:t>
            </w:r>
          </w:p>
        </w:tc>
        <w:tc>
          <w:tcPr>
            <w:tcW w:w="709" w:type="dxa"/>
          </w:tcPr>
          <w:p>
            <w:pPr>
              <w:pStyle w:val="0"/>
              <w:jc w:val="center"/>
            </w:pPr>
            <w:r>
              <w:rPr>
                <w:sz w:val="20"/>
              </w:rPr>
              <w:t xml:space="preserve">2016</w:t>
            </w:r>
          </w:p>
        </w:tc>
        <w:tc>
          <w:tcPr>
            <w:tcW w:w="708" w:type="dxa"/>
          </w:tcPr>
          <w:p>
            <w:pPr>
              <w:pStyle w:val="0"/>
              <w:jc w:val="center"/>
            </w:pPr>
            <w:r>
              <w:rPr>
                <w:sz w:val="20"/>
              </w:rPr>
              <w:t xml:space="preserve">2017</w:t>
            </w:r>
          </w:p>
        </w:tc>
        <w:tc>
          <w:tcPr>
            <w:tcW w:w="709" w:type="dxa"/>
          </w:tcPr>
          <w:p>
            <w:pPr>
              <w:pStyle w:val="0"/>
              <w:jc w:val="center"/>
            </w:pPr>
            <w:r>
              <w:rPr>
                <w:sz w:val="20"/>
              </w:rPr>
              <w:t xml:space="preserve">2018</w:t>
            </w:r>
          </w:p>
        </w:tc>
        <w:tc>
          <w:tcPr>
            <w:tcW w:w="743" w:type="dxa"/>
          </w:tcPr>
          <w:p>
            <w:pPr>
              <w:pStyle w:val="0"/>
              <w:jc w:val="center"/>
            </w:pPr>
            <w:r>
              <w:rPr>
                <w:sz w:val="20"/>
              </w:rPr>
              <w:t xml:space="preserve">2019</w:t>
            </w:r>
          </w:p>
        </w:tc>
        <w:tc>
          <w:tcPr>
            <w:tcW w:w="675" w:type="dxa"/>
          </w:tcPr>
          <w:p>
            <w:pPr>
              <w:pStyle w:val="0"/>
              <w:jc w:val="center"/>
            </w:pPr>
            <w:r>
              <w:rPr>
                <w:sz w:val="20"/>
              </w:rPr>
              <w:t xml:space="preserve">2020</w:t>
            </w:r>
          </w:p>
        </w:tc>
        <w:tc>
          <w:tcPr>
            <w:tcW w:w="708" w:type="dxa"/>
          </w:tcPr>
          <w:p>
            <w:pPr>
              <w:pStyle w:val="0"/>
              <w:jc w:val="center"/>
            </w:pPr>
            <w:r>
              <w:rPr>
                <w:sz w:val="20"/>
              </w:rPr>
              <w:t xml:space="preserve">2021</w:t>
            </w:r>
          </w:p>
        </w:tc>
        <w:tc>
          <w:tcPr>
            <w:tcW w:w="750" w:type="dxa"/>
          </w:tcPr>
          <w:p>
            <w:pPr>
              <w:pStyle w:val="0"/>
              <w:jc w:val="center"/>
            </w:pPr>
            <w:r>
              <w:rPr>
                <w:sz w:val="20"/>
              </w:rPr>
              <w:t xml:space="preserve">2022</w:t>
            </w:r>
          </w:p>
        </w:tc>
      </w:tr>
      <w:tr>
        <w:tc>
          <w:tcPr>
            <w:tcW w:w="454" w:type="dxa"/>
          </w:tcPr>
          <w:p>
            <w:pPr>
              <w:pStyle w:val="0"/>
              <w:jc w:val="center"/>
            </w:pPr>
            <w:r>
              <w:rPr>
                <w:sz w:val="20"/>
              </w:rPr>
              <w:t xml:space="preserve">1</w:t>
            </w:r>
          </w:p>
        </w:tc>
        <w:tc>
          <w:tcPr>
            <w:tcW w:w="2830" w:type="dxa"/>
          </w:tcPr>
          <w:p>
            <w:pPr>
              <w:pStyle w:val="0"/>
            </w:pPr>
            <w:r>
              <w:rPr>
                <w:sz w:val="20"/>
              </w:rPr>
              <w:t xml:space="preserve">злокачественные новообразования и новообразования in situ</w:t>
            </w:r>
          </w:p>
        </w:tc>
        <w:tc>
          <w:tcPr>
            <w:tcW w:w="709" w:type="dxa"/>
          </w:tcPr>
          <w:p>
            <w:pPr>
              <w:pStyle w:val="0"/>
              <w:jc w:val="center"/>
            </w:pPr>
            <w:r>
              <w:rPr>
                <w:sz w:val="20"/>
              </w:rPr>
              <w:t xml:space="preserve">62</w:t>
            </w:r>
          </w:p>
        </w:tc>
        <w:tc>
          <w:tcPr>
            <w:tcW w:w="709" w:type="dxa"/>
          </w:tcPr>
          <w:p>
            <w:pPr>
              <w:pStyle w:val="0"/>
              <w:jc w:val="center"/>
            </w:pPr>
            <w:r>
              <w:rPr>
                <w:sz w:val="20"/>
              </w:rPr>
              <w:t xml:space="preserve">64</w:t>
            </w:r>
          </w:p>
        </w:tc>
        <w:tc>
          <w:tcPr>
            <w:tcW w:w="708" w:type="dxa"/>
          </w:tcPr>
          <w:p>
            <w:pPr>
              <w:pStyle w:val="0"/>
              <w:jc w:val="center"/>
            </w:pPr>
            <w:r>
              <w:rPr>
                <w:sz w:val="20"/>
              </w:rPr>
              <w:t xml:space="preserve">86</w:t>
            </w:r>
          </w:p>
        </w:tc>
        <w:tc>
          <w:tcPr>
            <w:tcW w:w="709" w:type="dxa"/>
          </w:tcPr>
          <w:p>
            <w:pPr>
              <w:pStyle w:val="0"/>
              <w:jc w:val="center"/>
            </w:pPr>
            <w:r>
              <w:rPr>
                <w:sz w:val="20"/>
              </w:rPr>
              <w:t xml:space="preserve">70</w:t>
            </w:r>
          </w:p>
        </w:tc>
        <w:tc>
          <w:tcPr>
            <w:tcW w:w="743" w:type="dxa"/>
          </w:tcPr>
          <w:p>
            <w:pPr>
              <w:pStyle w:val="0"/>
              <w:jc w:val="center"/>
            </w:pPr>
            <w:r>
              <w:rPr>
                <w:sz w:val="20"/>
              </w:rPr>
              <w:t xml:space="preserve">174</w:t>
            </w:r>
          </w:p>
        </w:tc>
        <w:tc>
          <w:tcPr>
            <w:tcW w:w="675" w:type="dxa"/>
          </w:tcPr>
          <w:p>
            <w:pPr>
              <w:pStyle w:val="0"/>
              <w:jc w:val="center"/>
            </w:pPr>
            <w:r>
              <w:rPr>
                <w:sz w:val="20"/>
              </w:rPr>
              <w:t xml:space="preserve">72</w:t>
            </w:r>
          </w:p>
        </w:tc>
        <w:tc>
          <w:tcPr>
            <w:tcW w:w="708" w:type="dxa"/>
          </w:tcPr>
          <w:p>
            <w:pPr>
              <w:pStyle w:val="0"/>
              <w:jc w:val="center"/>
            </w:pPr>
            <w:r>
              <w:rPr>
                <w:sz w:val="20"/>
              </w:rPr>
              <w:t xml:space="preserve">98</w:t>
            </w:r>
          </w:p>
        </w:tc>
        <w:tc>
          <w:tcPr>
            <w:tcW w:w="750" w:type="dxa"/>
          </w:tcPr>
          <w:p>
            <w:pPr>
              <w:pStyle w:val="0"/>
              <w:jc w:val="center"/>
            </w:pPr>
            <w:r>
              <w:rPr>
                <w:sz w:val="20"/>
              </w:rPr>
              <w:t xml:space="preserve">431</w:t>
            </w:r>
          </w:p>
        </w:tc>
      </w:tr>
      <w:tr>
        <w:tc>
          <w:tcPr>
            <w:tcW w:w="454" w:type="dxa"/>
          </w:tcPr>
          <w:p>
            <w:pPr>
              <w:pStyle w:val="0"/>
              <w:jc w:val="center"/>
            </w:pPr>
            <w:r>
              <w:rPr>
                <w:sz w:val="20"/>
              </w:rPr>
              <w:t xml:space="preserve">2</w:t>
            </w:r>
          </w:p>
        </w:tc>
        <w:tc>
          <w:tcPr>
            <w:tcW w:w="2830" w:type="dxa"/>
          </w:tcPr>
          <w:p>
            <w:pPr>
              <w:pStyle w:val="0"/>
            </w:pPr>
            <w:r>
              <w:rPr>
                <w:sz w:val="20"/>
              </w:rPr>
              <w:t xml:space="preserve">пищевода</w:t>
            </w:r>
          </w:p>
        </w:tc>
        <w:tc>
          <w:tcPr>
            <w:tcW w:w="709" w:type="dxa"/>
          </w:tcPr>
          <w:p>
            <w:pPr>
              <w:pStyle w:val="0"/>
              <w:jc w:val="center"/>
            </w:pPr>
            <w:r>
              <w:rPr>
                <w:sz w:val="20"/>
              </w:rPr>
              <w:t xml:space="preserve">1</w:t>
            </w:r>
          </w:p>
        </w:tc>
        <w:tc>
          <w:tcPr>
            <w:tcW w:w="709" w:type="dxa"/>
          </w:tcPr>
          <w:p>
            <w:pPr>
              <w:pStyle w:val="0"/>
              <w:jc w:val="center"/>
            </w:pPr>
            <w:r>
              <w:rPr>
                <w:sz w:val="20"/>
              </w:rPr>
              <w:t xml:space="preserve">0</w:t>
            </w:r>
          </w:p>
        </w:tc>
        <w:tc>
          <w:tcPr>
            <w:tcW w:w="708" w:type="dxa"/>
          </w:tcPr>
          <w:p>
            <w:pPr>
              <w:pStyle w:val="0"/>
              <w:jc w:val="center"/>
            </w:pPr>
            <w:r>
              <w:rPr>
                <w:sz w:val="20"/>
              </w:rPr>
              <w:t xml:space="preserve">1</w:t>
            </w:r>
          </w:p>
        </w:tc>
        <w:tc>
          <w:tcPr>
            <w:tcW w:w="709" w:type="dxa"/>
          </w:tcPr>
          <w:p>
            <w:pPr>
              <w:pStyle w:val="0"/>
              <w:jc w:val="center"/>
            </w:pPr>
            <w:r>
              <w:rPr>
                <w:sz w:val="20"/>
              </w:rPr>
              <w:t xml:space="preserve">1</w:t>
            </w:r>
          </w:p>
        </w:tc>
        <w:tc>
          <w:tcPr>
            <w:tcW w:w="743" w:type="dxa"/>
          </w:tcPr>
          <w:p>
            <w:pPr>
              <w:pStyle w:val="0"/>
              <w:jc w:val="center"/>
            </w:pPr>
            <w:r>
              <w:rPr>
                <w:sz w:val="20"/>
              </w:rPr>
              <w:t xml:space="preserve">0</w:t>
            </w:r>
          </w:p>
        </w:tc>
        <w:tc>
          <w:tcPr>
            <w:tcW w:w="675" w:type="dxa"/>
          </w:tcPr>
          <w:p>
            <w:pPr>
              <w:pStyle w:val="0"/>
              <w:jc w:val="center"/>
            </w:pPr>
            <w:r>
              <w:rPr>
                <w:sz w:val="20"/>
              </w:rPr>
              <w:t xml:space="preserve">0</w:t>
            </w:r>
          </w:p>
        </w:tc>
        <w:tc>
          <w:tcPr>
            <w:tcW w:w="708" w:type="dxa"/>
          </w:tcPr>
          <w:p>
            <w:pPr>
              <w:pStyle w:val="0"/>
              <w:jc w:val="center"/>
            </w:pPr>
            <w:r>
              <w:rPr>
                <w:sz w:val="20"/>
              </w:rPr>
              <w:t xml:space="preserve">2</w:t>
            </w:r>
          </w:p>
        </w:tc>
        <w:tc>
          <w:tcPr>
            <w:tcW w:w="750" w:type="dxa"/>
          </w:tcPr>
          <w:p>
            <w:pPr>
              <w:pStyle w:val="0"/>
              <w:jc w:val="center"/>
            </w:pPr>
            <w:r>
              <w:rPr>
                <w:sz w:val="20"/>
              </w:rPr>
              <w:t xml:space="preserve">3</w:t>
            </w:r>
          </w:p>
        </w:tc>
      </w:tr>
      <w:tr>
        <w:tc>
          <w:tcPr>
            <w:tcW w:w="454" w:type="dxa"/>
          </w:tcPr>
          <w:p>
            <w:pPr>
              <w:pStyle w:val="0"/>
              <w:jc w:val="center"/>
            </w:pPr>
            <w:r>
              <w:rPr>
                <w:sz w:val="20"/>
              </w:rPr>
              <w:t xml:space="preserve">3</w:t>
            </w:r>
          </w:p>
        </w:tc>
        <w:tc>
          <w:tcPr>
            <w:tcW w:w="2830" w:type="dxa"/>
          </w:tcPr>
          <w:p>
            <w:pPr>
              <w:pStyle w:val="0"/>
            </w:pPr>
            <w:r>
              <w:rPr>
                <w:sz w:val="20"/>
              </w:rPr>
              <w:t xml:space="preserve">из них в 1 - 2 стадии</w:t>
            </w:r>
          </w:p>
        </w:tc>
        <w:tc>
          <w:tcPr>
            <w:tcW w:w="709" w:type="dxa"/>
          </w:tcPr>
          <w:p>
            <w:pPr>
              <w:pStyle w:val="0"/>
              <w:jc w:val="center"/>
            </w:pPr>
            <w:r>
              <w:rPr>
                <w:sz w:val="20"/>
              </w:rPr>
              <w:t xml:space="preserve">0</w:t>
            </w:r>
          </w:p>
        </w:tc>
        <w:tc>
          <w:tcPr>
            <w:tcW w:w="709" w:type="dxa"/>
          </w:tcPr>
          <w:p>
            <w:pPr>
              <w:pStyle w:val="0"/>
              <w:jc w:val="center"/>
            </w:pPr>
            <w:r>
              <w:rPr>
                <w:sz w:val="20"/>
              </w:rPr>
              <w:t xml:space="preserve">0</w:t>
            </w:r>
          </w:p>
        </w:tc>
        <w:tc>
          <w:tcPr>
            <w:tcW w:w="708" w:type="dxa"/>
          </w:tcPr>
          <w:p>
            <w:pPr>
              <w:pStyle w:val="0"/>
              <w:jc w:val="center"/>
            </w:pPr>
            <w:r>
              <w:rPr>
                <w:sz w:val="20"/>
              </w:rPr>
              <w:t xml:space="preserve">1</w:t>
            </w:r>
          </w:p>
        </w:tc>
        <w:tc>
          <w:tcPr>
            <w:tcW w:w="709" w:type="dxa"/>
          </w:tcPr>
          <w:p>
            <w:pPr>
              <w:pStyle w:val="0"/>
              <w:jc w:val="center"/>
            </w:pPr>
            <w:r>
              <w:rPr>
                <w:sz w:val="20"/>
              </w:rPr>
              <w:t xml:space="preserve">0</w:t>
            </w:r>
          </w:p>
        </w:tc>
        <w:tc>
          <w:tcPr>
            <w:tcW w:w="743" w:type="dxa"/>
          </w:tcPr>
          <w:p>
            <w:pPr>
              <w:pStyle w:val="0"/>
              <w:jc w:val="center"/>
            </w:pPr>
            <w:r>
              <w:rPr>
                <w:sz w:val="20"/>
              </w:rPr>
              <w:t xml:space="preserve">0</w:t>
            </w:r>
          </w:p>
        </w:tc>
        <w:tc>
          <w:tcPr>
            <w:tcW w:w="675" w:type="dxa"/>
          </w:tcPr>
          <w:p>
            <w:pPr>
              <w:pStyle w:val="0"/>
              <w:jc w:val="center"/>
            </w:pPr>
            <w:r>
              <w:rPr>
                <w:sz w:val="20"/>
              </w:rPr>
              <w:t xml:space="preserve">0</w:t>
            </w:r>
          </w:p>
        </w:tc>
        <w:tc>
          <w:tcPr>
            <w:tcW w:w="708" w:type="dxa"/>
          </w:tcPr>
          <w:p>
            <w:pPr>
              <w:pStyle w:val="0"/>
              <w:jc w:val="center"/>
            </w:pPr>
            <w:r>
              <w:rPr>
                <w:sz w:val="20"/>
              </w:rPr>
              <w:t xml:space="preserve">1</w:t>
            </w:r>
          </w:p>
        </w:tc>
        <w:tc>
          <w:tcPr>
            <w:tcW w:w="750" w:type="dxa"/>
          </w:tcPr>
          <w:p>
            <w:pPr>
              <w:pStyle w:val="0"/>
              <w:jc w:val="center"/>
            </w:pPr>
            <w:r>
              <w:rPr>
                <w:sz w:val="20"/>
              </w:rPr>
              <w:t xml:space="preserve">0</w:t>
            </w:r>
          </w:p>
        </w:tc>
      </w:tr>
      <w:tr>
        <w:tc>
          <w:tcPr>
            <w:tcW w:w="454" w:type="dxa"/>
          </w:tcPr>
          <w:p>
            <w:pPr>
              <w:pStyle w:val="0"/>
              <w:jc w:val="center"/>
            </w:pPr>
            <w:r>
              <w:rPr>
                <w:sz w:val="20"/>
              </w:rPr>
              <w:t xml:space="preserve">4</w:t>
            </w:r>
          </w:p>
        </w:tc>
        <w:tc>
          <w:tcPr>
            <w:tcW w:w="2830" w:type="dxa"/>
          </w:tcPr>
          <w:p>
            <w:pPr>
              <w:pStyle w:val="0"/>
            </w:pPr>
            <w:r>
              <w:rPr>
                <w:sz w:val="20"/>
              </w:rPr>
              <w:t xml:space="preserve">желудка</w:t>
            </w:r>
          </w:p>
        </w:tc>
        <w:tc>
          <w:tcPr>
            <w:tcW w:w="709" w:type="dxa"/>
          </w:tcPr>
          <w:p>
            <w:pPr>
              <w:pStyle w:val="0"/>
              <w:jc w:val="center"/>
            </w:pPr>
            <w:r>
              <w:rPr>
                <w:sz w:val="20"/>
              </w:rPr>
              <w:t xml:space="preserve">2</w:t>
            </w:r>
          </w:p>
        </w:tc>
        <w:tc>
          <w:tcPr>
            <w:tcW w:w="709" w:type="dxa"/>
          </w:tcPr>
          <w:p>
            <w:pPr>
              <w:pStyle w:val="0"/>
              <w:jc w:val="center"/>
            </w:pPr>
            <w:r>
              <w:rPr>
                <w:sz w:val="20"/>
              </w:rPr>
              <w:t xml:space="preserve">4</w:t>
            </w:r>
          </w:p>
        </w:tc>
        <w:tc>
          <w:tcPr>
            <w:tcW w:w="708" w:type="dxa"/>
          </w:tcPr>
          <w:p>
            <w:pPr>
              <w:pStyle w:val="0"/>
              <w:jc w:val="center"/>
            </w:pPr>
            <w:r>
              <w:rPr>
                <w:sz w:val="20"/>
              </w:rPr>
              <w:t xml:space="preserve">4</w:t>
            </w:r>
          </w:p>
        </w:tc>
        <w:tc>
          <w:tcPr>
            <w:tcW w:w="709" w:type="dxa"/>
          </w:tcPr>
          <w:p>
            <w:pPr>
              <w:pStyle w:val="0"/>
              <w:jc w:val="center"/>
            </w:pPr>
            <w:r>
              <w:rPr>
                <w:sz w:val="20"/>
              </w:rPr>
              <w:t xml:space="preserve">3</w:t>
            </w:r>
          </w:p>
        </w:tc>
        <w:tc>
          <w:tcPr>
            <w:tcW w:w="743" w:type="dxa"/>
          </w:tcPr>
          <w:p>
            <w:pPr>
              <w:pStyle w:val="0"/>
              <w:jc w:val="center"/>
            </w:pPr>
            <w:r>
              <w:rPr>
                <w:sz w:val="20"/>
              </w:rPr>
              <w:t xml:space="preserve">5</w:t>
            </w:r>
          </w:p>
        </w:tc>
        <w:tc>
          <w:tcPr>
            <w:tcW w:w="675" w:type="dxa"/>
          </w:tcPr>
          <w:p>
            <w:pPr>
              <w:pStyle w:val="0"/>
              <w:jc w:val="center"/>
            </w:pPr>
            <w:r>
              <w:rPr>
                <w:sz w:val="20"/>
              </w:rPr>
              <w:t xml:space="preserve">5</w:t>
            </w:r>
          </w:p>
        </w:tc>
        <w:tc>
          <w:tcPr>
            <w:tcW w:w="708" w:type="dxa"/>
          </w:tcPr>
          <w:p>
            <w:pPr>
              <w:pStyle w:val="0"/>
              <w:jc w:val="center"/>
            </w:pPr>
            <w:r>
              <w:rPr>
                <w:sz w:val="20"/>
              </w:rPr>
              <w:t xml:space="preserve">4</w:t>
            </w:r>
          </w:p>
        </w:tc>
        <w:tc>
          <w:tcPr>
            <w:tcW w:w="750" w:type="dxa"/>
          </w:tcPr>
          <w:p>
            <w:pPr>
              <w:pStyle w:val="0"/>
              <w:jc w:val="center"/>
            </w:pPr>
            <w:r>
              <w:rPr>
                <w:sz w:val="20"/>
              </w:rPr>
              <w:t xml:space="preserve">13</w:t>
            </w:r>
          </w:p>
        </w:tc>
      </w:tr>
      <w:tr>
        <w:tc>
          <w:tcPr>
            <w:tcW w:w="454" w:type="dxa"/>
          </w:tcPr>
          <w:p>
            <w:pPr>
              <w:pStyle w:val="0"/>
              <w:jc w:val="center"/>
            </w:pPr>
            <w:r>
              <w:rPr>
                <w:sz w:val="20"/>
              </w:rPr>
              <w:t xml:space="preserve">5</w:t>
            </w:r>
          </w:p>
        </w:tc>
        <w:tc>
          <w:tcPr>
            <w:tcW w:w="2830" w:type="dxa"/>
          </w:tcPr>
          <w:p>
            <w:pPr>
              <w:pStyle w:val="0"/>
            </w:pPr>
            <w:r>
              <w:rPr>
                <w:sz w:val="20"/>
              </w:rPr>
              <w:t xml:space="preserve">из них в 1 - 2 стадии</w:t>
            </w:r>
          </w:p>
        </w:tc>
        <w:tc>
          <w:tcPr>
            <w:tcW w:w="709" w:type="dxa"/>
          </w:tcPr>
          <w:p>
            <w:pPr>
              <w:pStyle w:val="0"/>
              <w:jc w:val="center"/>
            </w:pPr>
            <w:r>
              <w:rPr>
                <w:sz w:val="20"/>
              </w:rPr>
              <w:t xml:space="preserve">1</w:t>
            </w:r>
          </w:p>
        </w:tc>
        <w:tc>
          <w:tcPr>
            <w:tcW w:w="709" w:type="dxa"/>
          </w:tcPr>
          <w:p>
            <w:pPr>
              <w:pStyle w:val="0"/>
              <w:jc w:val="center"/>
            </w:pPr>
            <w:r>
              <w:rPr>
                <w:sz w:val="20"/>
              </w:rPr>
              <w:t xml:space="preserve">3</w:t>
            </w:r>
          </w:p>
        </w:tc>
        <w:tc>
          <w:tcPr>
            <w:tcW w:w="708" w:type="dxa"/>
          </w:tcPr>
          <w:p>
            <w:pPr>
              <w:pStyle w:val="0"/>
              <w:jc w:val="center"/>
            </w:pPr>
            <w:r>
              <w:rPr>
                <w:sz w:val="20"/>
              </w:rPr>
              <w:t xml:space="preserve">2</w:t>
            </w:r>
          </w:p>
        </w:tc>
        <w:tc>
          <w:tcPr>
            <w:tcW w:w="709" w:type="dxa"/>
          </w:tcPr>
          <w:p>
            <w:pPr>
              <w:pStyle w:val="0"/>
              <w:jc w:val="center"/>
            </w:pPr>
            <w:r>
              <w:rPr>
                <w:sz w:val="20"/>
              </w:rPr>
              <w:t xml:space="preserve">2</w:t>
            </w:r>
          </w:p>
        </w:tc>
        <w:tc>
          <w:tcPr>
            <w:tcW w:w="743" w:type="dxa"/>
          </w:tcPr>
          <w:p>
            <w:pPr>
              <w:pStyle w:val="0"/>
              <w:jc w:val="center"/>
            </w:pPr>
            <w:r>
              <w:rPr>
                <w:sz w:val="20"/>
              </w:rPr>
              <w:t xml:space="preserve">4</w:t>
            </w:r>
          </w:p>
        </w:tc>
        <w:tc>
          <w:tcPr>
            <w:tcW w:w="675" w:type="dxa"/>
          </w:tcPr>
          <w:p>
            <w:pPr>
              <w:pStyle w:val="0"/>
              <w:jc w:val="center"/>
            </w:pPr>
            <w:r>
              <w:rPr>
                <w:sz w:val="20"/>
              </w:rPr>
              <w:t xml:space="preserve">5</w:t>
            </w:r>
          </w:p>
        </w:tc>
        <w:tc>
          <w:tcPr>
            <w:tcW w:w="708" w:type="dxa"/>
          </w:tcPr>
          <w:p>
            <w:pPr>
              <w:pStyle w:val="0"/>
              <w:jc w:val="center"/>
            </w:pPr>
            <w:r>
              <w:rPr>
                <w:sz w:val="20"/>
              </w:rPr>
              <w:t xml:space="preserve">2</w:t>
            </w:r>
          </w:p>
        </w:tc>
        <w:tc>
          <w:tcPr>
            <w:tcW w:w="750" w:type="dxa"/>
          </w:tcPr>
          <w:p>
            <w:pPr>
              <w:pStyle w:val="0"/>
              <w:jc w:val="center"/>
            </w:pPr>
            <w:r>
              <w:rPr>
                <w:sz w:val="20"/>
              </w:rPr>
              <w:t xml:space="preserve">8</w:t>
            </w:r>
          </w:p>
        </w:tc>
      </w:tr>
      <w:tr>
        <w:tc>
          <w:tcPr>
            <w:tcW w:w="454" w:type="dxa"/>
          </w:tcPr>
          <w:p>
            <w:pPr>
              <w:pStyle w:val="0"/>
              <w:jc w:val="center"/>
            </w:pPr>
            <w:r>
              <w:rPr>
                <w:sz w:val="20"/>
              </w:rPr>
              <w:t xml:space="preserve">6</w:t>
            </w:r>
          </w:p>
        </w:tc>
        <w:tc>
          <w:tcPr>
            <w:tcW w:w="2830" w:type="dxa"/>
          </w:tcPr>
          <w:p>
            <w:pPr>
              <w:pStyle w:val="0"/>
            </w:pPr>
            <w:r>
              <w:rPr>
                <w:sz w:val="20"/>
              </w:rPr>
              <w:t xml:space="preserve">ободочной кишки</w:t>
            </w:r>
          </w:p>
        </w:tc>
        <w:tc>
          <w:tcPr>
            <w:tcW w:w="709" w:type="dxa"/>
          </w:tcPr>
          <w:p>
            <w:pPr>
              <w:pStyle w:val="0"/>
              <w:jc w:val="center"/>
            </w:pPr>
            <w:r>
              <w:rPr>
                <w:sz w:val="20"/>
              </w:rPr>
              <w:t xml:space="preserve">2</w:t>
            </w:r>
          </w:p>
        </w:tc>
        <w:tc>
          <w:tcPr>
            <w:tcW w:w="709" w:type="dxa"/>
          </w:tcPr>
          <w:p>
            <w:pPr>
              <w:pStyle w:val="0"/>
              <w:jc w:val="center"/>
            </w:pPr>
            <w:r>
              <w:rPr>
                <w:sz w:val="20"/>
              </w:rPr>
              <w:t xml:space="preserve">9</w:t>
            </w:r>
          </w:p>
        </w:tc>
        <w:tc>
          <w:tcPr>
            <w:tcW w:w="708" w:type="dxa"/>
          </w:tcPr>
          <w:p>
            <w:pPr>
              <w:pStyle w:val="0"/>
              <w:jc w:val="center"/>
            </w:pPr>
            <w:r>
              <w:rPr>
                <w:sz w:val="20"/>
              </w:rPr>
              <w:t xml:space="preserve">7</w:t>
            </w:r>
          </w:p>
        </w:tc>
        <w:tc>
          <w:tcPr>
            <w:tcW w:w="709" w:type="dxa"/>
          </w:tcPr>
          <w:p>
            <w:pPr>
              <w:pStyle w:val="0"/>
              <w:jc w:val="center"/>
            </w:pPr>
            <w:r>
              <w:rPr>
                <w:sz w:val="20"/>
              </w:rPr>
              <w:t xml:space="preserve">13</w:t>
            </w:r>
          </w:p>
        </w:tc>
        <w:tc>
          <w:tcPr>
            <w:tcW w:w="743" w:type="dxa"/>
          </w:tcPr>
          <w:p>
            <w:pPr>
              <w:pStyle w:val="0"/>
              <w:jc w:val="center"/>
            </w:pPr>
            <w:r>
              <w:rPr>
                <w:sz w:val="20"/>
              </w:rPr>
              <w:t xml:space="preserve">31</w:t>
            </w:r>
          </w:p>
        </w:tc>
        <w:tc>
          <w:tcPr>
            <w:tcW w:w="675" w:type="dxa"/>
          </w:tcPr>
          <w:p>
            <w:pPr>
              <w:pStyle w:val="0"/>
              <w:jc w:val="center"/>
            </w:pPr>
            <w:r>
              <w:rPr>
                <w:sz w:val="20"/>
              </w:rPr>
              <w:t xml:space="preserve">9</w:t>
            </w:r>
          </w:p>
        </w:tc>
        <w:tc>
          <w:tcPr>
            <w:tcW w:w="708" w:type="dxa"/>
          </w:tcPr>
          <w:p>
            <w:pPr>
              <w:pStyle w:val="0"/>
              <w:jc w:val="center"/>
            </w:pPr>
            <w:r>
              <w:rPr>
                <w:sz w:val="20"/>
              </w:rPr>
              <w:t xml:space="preserve">7</w:t>
            </w:r>
          </w:p>
        </w:tc>
        <w:tc>
          <w:tcPr>
            <w:tcW w:w="750" w:type="dxa"/>
          </w:tcPr>
          <w:p>
            <w:pPr>
              <w:pStyle w:val="0"/>
              <w:jc w:val="center"/>
            </w:pPr>
            <w:r>
              <w:rPr>
                <w:sz w:val="20"/>
              </w:rPr>
              <w:t xml:space="preserve">56</w:t>
            </w:r>
          </w:p>
        </w:tc>
      </w:tr>
      <w:tr>
        <w:tc>
          <w:tcPr>
            <w:tcW w:w="454" w:type="dxa"/>
          </w:tcPr>
          <w:p>
            <w:pPr>
              <w:pStyle w:val="0"/>
              <w:jc w:val="center"/>
            </w:pPr>
            <w:r>
              <w:rPr>
                <w:sz w:val="20"/>
              </w:rPr>
              <w:t xml:space="preserve">7</w:t>
            </w:r>
          </w:p>
        </w:tc>
        <w:tc>
          <w:tcPr>
            <w:tcW w:w="2830" w:type="dxa"/>
          </w:tcPr>
          <w:p>
            <w:pPr>
              <w:pStyle w:val="0"/>
            </w:pPr>
            <w:r>
              <w:rPr>
                <w:sz w:val="20"/>
              </w:rPr>
              <w:t xml:space="preserve">из них в 1 - 2 стадии</w:t>
            </w:r>
          </w:p>
        </w:tc>
        <w:tc>
          <w:tcPr>
            <w:tcW w:w="709" w:type="dxa"/>
          </w:tcPr>
          <w:p>
            <w:pPr>
              <w:pStyle w:val="0"/>
              <w:jc w:val="center"/>
            </w:pPr>
            <w:r>
              <w:rPr>
                <w:sz w:val="20"/>
              </w:rPr>
              <w:t xml:space="preserve">1</w:t>
            </w:r>
          </w:p>
        </w:tc>
        <w:tc>
          <w:tcPr>
            <w:tcW w:w="709" w:type="dxa"/>
          </w:tcPr>
          <w:p>
            <w:pPr>
              <w:pStyle w:val="0"/>
              <w:jc w:val="center"/>
            </w:pPr>
            <w:r>
              <w:rPr>
                <w:sz w:val="20"/>
              </w:rPr>
              <w:t xml:space="preserve">6</w:t>
            </w:r>
          </w:p>
        </w:tc>
        <w:tc>
          <w:tcPr>
            <w:tcW w:w="708" w:type="dxa"/>
          </w:tcPr>
          <w:p>
            <w:pPr>
              <w:pStyle w:val="0"/>
              <w:jc w:val="center"/>
            </w:pPr>
            <w:r>
              <w:rPr>
                <w:sz w:val="20"/>
              </w:rPr>
              <w:t xml:space="preserve">4</w:t>
            </w:r>
          </w:p>
        </w:tc>
        <w:tc>
          <w:tcPr>
            <w:tcW w:w="709" w:type="dxa"/>
          </w:tcPr>
          <w:p>
            <w:pPr>
              <w:pStyle w:val="0"/>
              <w:jc w:val="center"/>
            </w:pPr>
            <w:r>
              <w:rPr>
                <w:sz w:val="20"/>
              </w:rPr>
              <w:t xml:space="preserve">6</w:t>
            </w:r>
          </w:p>
        </w:tc>
        <w:tc>
          <w:tcPr>
            <w:tcW w:w="743" w:type="dxa"/>
          </w:tcPr>
          <w:p>
            <w:pPr>
              <w:pStyle w:val="0"/>
              <w:jc w:val="center"/>
            </w:pPr>
            <w:r>
              <w:rPr>
                <w:sz w:val="20"/>
              </w:rPr>
              <w:t xml:space="preserve">17</w:t>
            </w:r>
          </w:p>
        </w:tc>
        <w:tc>
          <w:tcPr>
            <w:tcW w:w="675" w:type="dxa"/>
          </w:tcPr>
          <w:p>
            <w:pPr>
              <w:pStyle w:val="0"/>
              <w:jc w:val="center"/>
            </w:pPr>
            <w:r>
              <w:rPr>
                <w:sz w:val="20"/>
              </w:rPr>
              <w:t xml:space="preserve">7</w:t>
            </w:r>
          </w:p>
        </w:tc>
        <w:tc>
          <w:tcPr>
            <w:tcW w:w="708" w:type="dxa"/>
          </w:tcPr>
          <w:p>
            <w:pPr>
              <w:pStyle w:val="0"/>
              <w:jc w:val="center"/>
            </w:pPr>
            <w:r>
              <w:rPr>
                <w:sz w:val="20"/>
              </w:rPr>
              <w:t xml:space="preserve">4</w:t>
            </w:r>
          </w:p>
        </w:tc>
        <w:tc>
          <w:tcPr>
            <w:tcW w:w="750" w:type="dxa"/>
          </w:tcPr>
          <w:p>
            <w:pPr>
              <w:pStyle w:val="0"/>
              <w:jc w:val="center"/>
            </w:pPr>
            <w:r>
              <w:rPr>
                <w:sz w:val="20"/>
              </w:rPr>
              <w:t xml:space="preserve">47</w:t>
            </w:r>
          </w:p>
        </w:tc>
      </w:tr>
      <w:tr>
        <w:tc>
          <w:tcPr>
            <w:tcW w:w="454" w:type="dxa"/>
          </w:tcPr>
          <w:p>
            <w:pPr>
              <w:pStyle w:val="0"/>
              <w:jc w:val="center"/>
            </w:pPr>
            <w:r>
              <w:rPr>
                <w:sz w:val="20"/>
              </w:rPr>
              <w:t xml:space="preserve">8</w:t>
            </w:r>
          </w:p>
        </w:tc>
        <w:tc>
          <w:tcPr>
            <w:tcW w:w="2830" w:type="dxa"/>
          </w:tcPr>
          <w:p>
            <w:pPr>
              <w:pStyle w:val="0"/>
            </w:pPr>
            <w:r>
              <w:rPr>
                <w:sz w:val="20"/>
              </w:rPr>
              <w:t xml:space="preserve">ректосигмоидного соединения, прямой кишки, заднего прохода (ануса) и анального канала</w:t>
            </w:r>
          </w:p>
        </w:tc>
        <w:tc>
          <w:tcPr>
            <w:tcW w:w="709" w:type="dxa"/>
          </w:tcPr>
          <w:p>
            <w:pPr>
              <w:pStyle w:val="0"/>
              <w:jc w:val="center"/>
            </w:pPr>
            <w:r>
              <w:rPr>
                <w:sz w:val="20"/>
              </w:rPr>
              <w:t xml:space="preserve">7</w:t>
            </w:r>
          </w:p>
        </w:tc>
        <w:tc>
          <w:tcPr>
            <w:tcW w:w="709" w:type="dxa"/>
          </w:tcPr>
          <w:p>
            <w:pPr>
              <w:pStyle w:val="0"/>
              <w:jc w:val="center"/>
            </w:pPr>
            <w:r>
              <w:rPr>
                <w:sz w:val="20"/>
              </w:rPr>
              <w:t xml:space="preserve">12</w:t>
            </w:r>
          </w:p>
        </w:tc>
        <w:tc>
          <w:tcPr>
            <w:tcW w:w="708" w:type="dxa"/>
          </w:tcPr>
          <w:p>
            <w:pPr>
              <w:pStyle w:val="0"/>
              <w:jc w:val="center"/>
            </w:pPr>
            <w:r>
              <w:rPr>
                <w:sz w:val="20"/>
              </w:rPr>
              <w:t xml:space="preserve">9</w:t>
            </w:r>
          </w:p>
        </w:tc>
        <w:tc>
          <w:tcPr>
            <w:tcW w:w="709" w:type="dxa"/>
          </w:tcPr>
          <w:p>
            <w:pPr>
              <w:pStyle w:val="0"/>
              <w:jc w:val="center"/>
            </w:pPr>
            <w:r>
              <w:rPr>
                <w:sz w:val="20"/>
              </w:rPr>
              <w:t xml:space="preserve">11</w:t>
            </w:r>
          </w:p>
        </w:tc>
        <w:tc>
          <w:tcPr>
            <w:tcW w:w="743" w:type="dxa"/>
          </w:tcPr>
          <w:p>
            <w:pPr>
              <w:pStyle w:val="0"/>
              <w:jc w:val="center"/>
            </w:pPr>
            <w:r>
              <w:rPr>
                <w:sz w:val="20"/>
              </w:rPr>
              <w:t xml:space="preserve">18</w:t>
            </w:r>
          </w:p>
        </w:tc>
        <w:tc>
          <w:tcPr>
            <w:tcW w:w="675" w:type="dxa"/>
          </w:tcPr>
          <w:p>
            <w:pPr>
              <w:pStyle w:val="0"/>
              <w:jc w:val="center"/>
            </w:pPr>
            <w:r>
              <w:rPr>
                <w:sz w:val="20"/>
              </w:rPr>
              <w:t xml:space="preserve">14</w:t>
            </w:r>
          </w:p>
        </w:tc>
        <w:tc>
          <w:tcPr>
            <w:tcW w:w="708" w:type="dxa"/>
          </w:tcPr>
          <w:p>
            <w:pPr>
              <w:pStyle w:val="0"/>
              <w:jc w:val="center"/>
            </w:pPr>
            <w:r>
              <w:rPr>
                <w:sz w:val="20"/>
              </w:rPr>
              <w:t xml:space="preserve">9</w:t>
            </w:r>
          </w:p>
        </w:tc>
        <w:tc>
          <w:tcPr>
            <w:tcW w:w="750" w:type="dxa"/>
          </w:tcPr>
          <w:p>
            <w:pPr>
              <w:pStyle w:val="0"/>
              <w:jc w:val="center"/>
            </w:pPr>
            <w:r>
              <w:rPr>
                <w:sz w:val="20"/>
              </w:rPr>
              <w:t xml:space="preserve">40</w:t>
            </w:r>
          </w:p>
        </w:tc>
      </w:tr>
      <w:tr>
        <w:tc>
          <w:tcPr>
            <w:tcW w:w="454" w:type="dxa"/>
          </w:tcPr>
          <w:p>
            <w:pPr>
              <w:pStyle w:val="0"/>
              <w:jc w:val="center"/>
            </w:pPr>
            <w:r>
              <w:rPr>
                <w:sz w:val="20"/>
              </w:rPr>
              <w:t xml:space="preserve">9</w:t>
            </w:r>
          </w:p>
        </w:tc>
        <w:tc>
          <w:tcPr>
            <w:tcW w:w="2830" w:type="dxa"/>
          </w:tcPr>
          <w:p>
            <w:pPr>
              <w:pStyle w:val="0"/>
            </w:pPr>
            <w:r>
              <w:rPr>
                <w:sz w:val="20"/>
              </w:rPr>
              <w:t xml:space="preserve">из них в 1 - 2 стадии</w:t>
            </w:r>
          </w:p>
        </w:tc>
        <w:tc>
          <w:tcPr>
            <w:tcW w:w="709" w:type="dxa"/>
          </w:tcPr>
          <w:p>
            <w:pPr>
              <w:pStyle w:val="0"/>
              <w:jc w:val="center"/>
            </w:pPr>
            <w:r>
              <w:rPr>
                <w:sz w:val="20"/>
              </w:rPr>
              <w:t xml:space="preserve">3</w:t>
            </w:r>
          </w:p>
        </w:tc>
        <w:tc>
          <w:tcPr>
            <w:tcW w:w="709" w:type="dxa"/>
          </w:tcPr>
          <w:p>
            <w:pPr>
              <w:pStyle w:val="0"/>
              <w:jc w:val="center"/>
            </w:pPr>
            <w:r>
              <w:rPr>
                <w:sz w:val="20"/>
              </w:rPr>
              <w:t xml:space="preserve">8</w:t>
            </w:r>
          </w:p>
        </w:tc>
        <w:tc>
          <w:tcPr>
            <w:tcW w:w="708" w:type="dxa"/>
          </w:tcPr>
          <w:p>
            <w:pPr>
              <w:pStyle w:val="0"/>
              <w:jc w:val="center"/>
            </w:pPr>
            <w:r>
              <w:rPr>
                <w:sz w:val="20"/>
              </w:rPr>
              <w:t xml:space="preserve">4</w:t>
            </w:r>
          </w:p>
        </w:tc>
        <w:tc>
          <w:tcPr>
            <w:tcW w:w="709" w:type="dxa"/>
          </w:tcPr>
          <w:p>
            <w:pPr>
              <w:pStyle w:val="0"/>
              <w:jc w:val="center"/>
            </w:pPr>
            <w:r>
              <w:rPr>
                <w:sz w:val="20"/>
              </w:rPr>
              <w:t xml:space="preserve">5</w:t>
            </w:r>
          </w:p>
        </w:tc>
        <w:tc>
          <w:tcPr>
            <w:tcW w:w="743" w:type="dxa"/>
          </w:tcPr>
          <w:p>
            <w:pPr>
              <w:pStyle w:val="0"/>
              <w:jc w:val="center"/>
            </w:pPr>
            <w:r>
              <w:rPr>
                <w:sz w:val="20"/>
              </w:rPr>
              <w:t xml:space="preserve">14</w:t>
            </w:r>
          </w:p>
        </w:tc>
        <w:tc>
          <w:tcPr>
            <w:tcW w:w="675" w:type="dxa"/>
          </w:tcPr>
          <w:p>
            <w:pPr>
              <w:pStyle w:val="0"/>
              <w:jc w:val="center"/>
            </w:pPr>
            <w:r>
              <w:rPr>
                <w:sz w:val="20"/>
              </w:rPr>
              <w:t xml:space="preserve">11</w:t>
            </w:r>
          </w:p>
        </w:tc>
        <w:tc>
          <w:tcPr>
            <w:tcW w:w="708" w:type="dxa"/>
          </w:tcPr>
          <w:p>
            <w:pPr>
              <w:pStyle w:val="0"/>
              <w:jc w:val="center"/>
            </w:pPr>
            <w:r>
              <w:rPr>
                <w:sz w:val="20"/>
              </w:rPr>
              <w:t xml:space="preserve">4</w:t>
            </w:r>
          </w:p>
        </w:tc>
        <w:tc>
          <w:tcPr>
            <w:tcW w:w="750" w:type="dxa"/>
          </w:tcPr>
          <w:p>
            <w:pPr>
              <w:pStyle w:val="0"/>
              <w:jc w:val="center"/>
            </w:pPr>
            <w:r>
              <w:rPr>
                <w:sz w:val="20"/>
              </w:rPr>
              <w:t xml:space="preserve">29</w:t>
            </w:r>
          </w:p>
        </w:tc>
      </w:tr>
      <w:tr>
        <w:tc>
          <w:tcPr>
            <w:tcW w:w="454" w:type="dxa"/>
          </w:tcPr>
          <w:p>
            <w:pPr>
              <w:pStyle w:val="0"/>
              <w:jc w:val="center"/>
            </w:pPr>
            <w:r>
              <w:rPr>
                <w:sz w:val="20"/>
              </w:rPr>
              <w:t xml:space="preserve">10</w:t>
            </w:r>
          </w:p>
        </w:tc>
        <w:tc>
          <w:tcPr>
            <w:tcW w:w="2830" w:type="dxa"/>
          </w:tcPr>
          <w:p>
            <w:pPr>
              <w:pStyle w:val="0"/>
            </w:pPr>
            <w:r>
              <w:rPr>
                <w:sz w:val="20"/>
              </w:rPr>
              <w:t xml:space="preserve">поджелудочной железы</w:t>
            </w:r>
          </w:p>
        </w:tc>
        <w:tc>
          <w:tcPr>
            <w:tcW w:w="709" w:type="dxa"/>
          </w:tcPr>
          <w:p>
            <w:pPr>
              <w:pStyle w:val="0"/>
              <w:jc w:val="center"/>
            </w:pPr>
            <w:r>
              <w:rPr>
                <w:sz w:val="20"/>
              </w:rPr>
              <w:t xml:space="preserve">0</w:t>
            </w:r>
          </w:p>
        </w:tc>
        <w:tc>
          <w:tcPr>
            <w:tcW w:w="709" w:type="dxa"/>
          </w:tcPr>
          <w:p>
            <w:pPr>
              <w:pStyle w:val="0"/>
              <w:jc w:val="center"/>
            </w:pPr>
            <w:r>
              <w:rPr>
                <w:sz w:val="20"/>
              </w:rPr>
              <w:t xml:space="preserve">2</w:t>
            </w:r>
          </w:p>
        </w:tc>
        <w:tc>
          <w:tcPr>
            <w:tcW w:w="708" w:type="dxa"/>
          </w:tcPr>
          <w:p>
            <w:pPr>
              <w:pStyle w:val="0"/>
              <w:jc w:val="center"/>
            </w:pPr>
            <w:r>
              <w:rPr>
                <w:sz w:val="20"/>
              </w:rPr>
              <w:t xml:space="preserve">3</w:t>
            </w:r>
          </w:p>
        </w:tc>
        <w:tc>
          <w:tcPr>
            <w:tcW w:w="709" w:type="dxa"/>
          </w:tcPr>
          <w:p>
            <w:pPr>
              <w:pStyle w:val="0"/>
              <w:jc w:val="center"/>
            </w:pPr>
            <w:r>
              <w:rPr>
                <w:sz w:val="20"/>
              </w:rPr>
              <w:t xml:space="preserve">0</w:t>
            </w:r>
          </w:p>
        </w:tc>
        <w:tc>
          <w:tcPr>
            <w:tcW w:w="743" w:type="dxa"/>
          </w:tcPr>
          <w:p>
            <w:pPr>
              <w:pStyle w:val="0"/>
              <w:jc w:val="center"/>
            </w:pPr>
            <w:r>
              <w:rPr>
                <w:sz w:val="20"/>
              </w:rPr>
              <w:t xml:space="preserve">0</w:t>
            </w:r>
          </w:p>
        </w:tc>
        <w:tc>
          <w:tcPr>
            <w:tcW w:w="675" w:type="dxa"/>
          </w:tcPr>
          <w:p>
            <w:pPr>
              <w:pStyle w:val="0"/>
              <w:jc w:val="center"/>
            </w:pPr>
            <w:r>
              <w:rPr>
                <w:sz w:val="20"/>
              </w:rPr>
              <w:t xml:space="preserve">0</w:t>
            </w:r>
          </w:p>
        </w:tc>
        <w:tc>
          <w:tcPr>
            <w:tcW w:w="708" w:type="dxa"/>
          </w:tcPr>
          <w:p>
            <w:pPr>
              <w:pStyle w:val="0"/>
              <w:jc w:val="center"/>
            </w:pPr>
            <w:r>
              <w:rPr>
                <w:sz w:val="20"/>
              </w:rPr>
              <w:t xml:space="preserve">3</w:t>
            </w:r>
          </w:p>
        </w:tc>
        <w:tc>
          <w:tcPr>
            <w:tcW w:w="750" w:type="dxa"/>
          </w:tcPr>
          <w:p>
            <w:pPr>
              <w:pStyle w:val="0"/>
              <w:jc w:val="center"/>
            </w:pPr>
            <w:r>
              <w:rPr>
                <w:sz w:val="20"/>
              </w:rPr>
              <w:t xml:space="preserve">0</w:t>
            </w:r>
          </w:p>
        </w:tc>
      </w:tr>
      <w:tr>
        <w:tc>
          <w:tcPr>
            <w:tcW w:w="454" w:type="dxa"/>
          </w:tcPr>
          <w:p>
            <w:pPr>
              <w:pStyle w:val="0"/>
              <w:jc w:val="center"/>
            </w:pPr>
            <w:r>
              <w:rPr>
                <w:sz w:val="20"/>
              </w:rPr>
              <w:t xml:space="preserve">11</w:t>
            </w:r>
          </w:p>
        </w:tc>
        <w:tc>
          <w:tcPr>
            <w:tcW w:w="2830" w:type="dxa"/>
          </w:tcPr>
          <w:p>
            <w:pPr>
              <w:pStyle w:val="0"/>
            </w:pPr>
            <w:r>
              <w:rPr>
                <w:sz w:val="20"/>
              </w:rPr>
              <w:t xml:space="preserve">из них в 1 - 2 стадии</w:t>
            </w:r>
          </w:p>
        </w:tc>
        <w:tc>
          <w:tcPr>
            <w:tcW w:w="709" w:type="dxa"/>
          </w:tcPr>
          <w:p>
            <w:pPr>
              <w:pStyle w:val="0"/>
              <w:jc w:val="center"/>
            </w:pPr>
            <w:r>
              <w:rPr>
                <w:sz w:val="20"/>
              </w:rPr>
              <w:t xml:space="preserve">0</w:t>
            </w:r>
          </w:p>
        </w:tc>
        <w:tc>
          <w:tcPr>
            <w:tcW w:w="709" w:type="dxa"/>
          </w:tcPr>
          <w:p>
            <w:pPr>
              <w:pStyle w:val="0"/>
              <w:jc w:val="center"/>
            </w:pPr>
            <w:r>
              <w:rPr>
                <w:sz w:val="20"/>
              </w:rPr>
              <w:t xml:space="preserve">1</w:t>
            </w:r>
          </w:p>
        </w:tc>
        <w:tc>
          <w:tcPr>
            <w:tcW w:w="708" w:type="dxa"/>
          </w:tcPr>
          <w:p>
            <w:pPr>
              <w:pStyle w:val="0"/>
              <w:jc w:val="center"/>
            </w:pPr>
            <w:r>
              <w:rPr>
                <w:sz w:val="20"/>
              </w:rPr>
              <w:t xml:space="preserve">1</w:t>
            </w:r>
          </w:p>
        </w:tc>
        <w:tc>
          <w:tcPr>
            <w:tcW w:w="709" w:type="dxa"/>
          </w:tcPr>
          <w:p>
            <w:pPr>
              <w:pStyle w:val="0"/>
              <w:jc w:val="center"/>
            </w:pPr>
            <w:r>
              <w:rPr>
                <w:sz w:val="20"/>
              </w:rPr>
              <w:t xml:space="preserve">0</w:t>
            </w:r>
          </w:p>
        </w:tc>
        <w:tc>
          <w:tcPr>
            <w:tcW w:w="743" w:type="dxa"/>
          </w:tcPr>
          <w:p>
            <w:pPr>
              <w:pStyle w:val="0"/>
              <w:jc w:val="center"/>
            </w:pPr>
            <w:r>
              <w:rPr>
                <w:sz w:val="20"/>
              </w:rPr>
              <w:t xml:space="preserve">0</w:t>
            </w:r>
          </w:p>
        </w:tc>
        <w:tc>
          <w:tcPr>
            <w:tcW w:w="675" w:type="dxa"/>
          </w:tcPr>
          <w:p>
            <w:pPr>
              <w:pStyle w:val="0"/>
              <w:jc w:val="center"/>
            </w:pPr>
            <w:r>
              <w:rPr>
                <w:sz w:val="20"/>
              </w:rPr>
              <w:t xml:space="preserve">0</w:t>
            </w:r>
          </w:p>
        </w:tc>
        <w:tc>
          <w:tcPr>
            <w:tcW w:w="708" w:type="dxa"/>
          </w:tcPr>
          <w:p>
            <w:pPr>
              <w:pStyle w:val="0"/>
              <w:jc w:val="center"/>
            </w:pPr>
            <w:r>
              <w:rPr>
                <w:sz w:val="20"/>
              </w:rPr>
              <w:t xml:space="preserve">1</w:t>
            </w:r>
          </w:p>
        </w:tc>
        <w:tc>
          <w:tcPr>
            <w:tcW w:w="750" w:type="dxa"/>
          </w:tcPr>
          <w:p>
            <w:pPr>
              <w:pStyle w:val="0"/>
              <w:jc w:val="center"/>
            </w:pPr>
            <w:r>
              <w:rPr>
                <w:sz w:val="20"/>
              </w:rPr>
              <w:t xml:space="preserve">0</w:t>
            </w:r>
          </w:p>
        </w:tc>
      </w:tr>
      <w:tr>
        <w:tc>
          <w:tcPr>
            <w:tcW w:w="454" w:type="dxa"/>
          </w:tcPr>
          <w:p>
            <w:pPr>
              <w:pStyle w:val="0"/>
              <w:jc w:val="center"/>
            </w:pPr>
            <w:r>
              <w:rPr>
                <w:sz w:val="20"/>
              </w:rPr>
              <w:t xml:space="preserve">12</w:t>
            </w:r>
          </w:p>
        </w:tc>
        <w:tc>
          <w:tcPr>
            <w:tcW w:w="2830" w:type="dxa"/>
          </w:tcPr>
          <w:p>
            <w:pPr>
              <w:pStyle w:val="0"/>
            </w:pPr>
            <w:r>
              <w:rPr>
                <w:sz w:val="20"/>
              </w:rPr>
              <w:t xml:space="preserve">трахеи, бронхов и легкого</w:t>
            </w:r>
          </w:p>
        </w:tc>
        <w:tc>
          <w:tcPr>
            <w:tcW w:w="709" w:type="dxa"/>
          </w:tcPr>
          <w:p>
            <w:pPr>
              <w:pStyle w:val="0"/>
              <w:jc w:val="center"/>
            </w:pPr>
            <w:r>
              <w:rPr>
                <w:sz w:val="20"/>
              </w:rPr>
              <w:t xml:space="preserve">7</w:t>
            </w:r>
          </w:p>
        </w:tc>
        <w:tc>
          <w:tcPr>
            <w:tcW w:w="709" w:type="dxa"/>
          </w:tcPr>
          <w:p>
            <w:pPr>
              <w:pStyle w:val="0"/>
              <w:jc w:val="center"/>
            </w:pPr>
            <w:r>
              <w:rPr>
                <w:sz w:val="20"/>
              </w:rPr>
              <w:t xml:space="preserve">5</w:t>
            </w:r>
          </w:p>
        </w:tc>
        <w:tc>
          <w:tcPr>
            <w:tcW w:w="708" w:type="dxa"/>
          </w:tcPr>
          <w:p>
            <w:pPr>
              <w:pStyle w:val="0"/>
              <w:jc w:val="center"/>
            </w:pPr>
            <w:r>
              <w:rPr>
                <w:sz w:val="20"/>
              </w:rPr>
              <w:t xml:space="preserve">11</w:t>
            </w:r>
          </w:p>
        </w:tc>
        <w:tc>
          <w:tcPr>
            <w:tcW w:w="709" w:type="dxa"/>
          </w:tcPr>
          <w:p>
            <w:pPr>
              <w:pStyle w:val="0"/>
              <w:jc w:val="center"/>
            </w:pPr>
            <w:r>
              <w:rPr>
                <w:sz w:val="20"/>
              </w:rPr>
              <w:t xml:space="preserve">4</w:t>
            </w:r>
          </w:p>
        </w:tc>
        <w:tc>
          <w:tcPr>
            <w:tcW w:w="743" w:type="dxa"/>
          </w:tcPr>
          <w:p>
            <w:pPr>
              <w:pStyle w:val="0"/>
              <w:jc w:val="center"/>
            </w:pPr>
            <w:r>
              <w:rPr>
                <w:sz w:val="20"/>
              </w:rPr>
              <w:t xml:space="preserve">8</w:t>
            </w:r>
          </w:p>
        </w:tc>
        <w:tc>
          <w:tcPr>
            <w:tcW w:w="675" w:type="dxa"/>
          </w:tcPr>
          <w:p>
            <w:pPr>
              <w:pStyle w:val="0"/>
              <w:jc w:val="center"/>
            </w:pPr>
            <w:r>
              <w:rPr>
                <w:sz w:val="20"/>
              </w:rPr>
              <w:t xml:space="preserve">1</w:t>
            </w:r>
          </w:p>
        </w:tc>
        <w:tc>
          <w:tcPr>
            <w:tcW w:w="708" w:type="dxa"/>
          </w:tcPr>
          <w:p>
            <w:pPr>
              <w:pStyle w:val="0"/>
              <w:jc w:val="center"/>
            </w:pPr>
            <w:r>
              <w:rPr>
                <w:sz w:val="20"/>
              </w:rPr>
              <w:t xml:space="preserve">11</w:t>
            </w:r>
          </w:p>
        </w:tc>
        <w:tc>
          <w:tcPr>
            <w:tcW w:w="750" w:type="dxa"/>
          </w:tcPr>
          <w:p>
            <w:pPr>
              <w:pStyle w:val="0"/>
              <w:jc w:val="center"/>
            </w:pPr>
            <w:r>
              <w:rPr>
                <w:sz w:val="20"/>
              </w:rPr>
              <w:t xml:space="preserve">21</w:t>
            </w:r>
          </w:p>
        </w:tc>
      </w:tr>
      <w:tr>
        <w:tc>
          <w:tcPr>
            <w:tcW w:w="454" w:type="dxa"/>
          </w:tcPr>
          <w:p>
            <w:pPr>
              <w:pStyle w:val="0"/>
              <w:jc w:val="center"/>
            </w:pPr>
            <w:r>
              <w:rPr>
                <w:sz w:val="20"/>
              </w:rPr>
              <w:t xml:space="preserve">13</w:t>
            </w:r>
          </w:p>
        </w:tc>
        <w:tc>
          <w:tcPr>
            <w:tcW w:w="2830" w:type="dxa"/>
          </w:tcPr>
          <w:p>
            <w:pPr>
              <w:pStyle w:val="0"/>
            </w:pPr>
            <w:r>
              <w:rPr>
                <w:sz w:val="20"/>
              </w:rPr>
              <w:t xml:space="preserve">из них в 1 - 2 стадии</w:t>
            </w:r>
          </w:p>
        </w:tc>
        <w:tc>
          <w:tcPr>
            <w:tcW w:w="709" w:type="dxa"/>
          </w:tcPr>
          <w:p>
            <w:pPr>
              <w:pStyle w:val="0"/>
              <w:jc w:val="center"/>
            </w:pPr>
            <w:r>
              <w:rPr>
                <w:sz w:val="20"/>
              </w:rPr>
              <w:t xml:space="preserve">2</w:t>
            </w:r>
          </w:p>
        </w:tc>
        <w:tc>
          <w:tcPr>
            <w:tcW w:w="709" w:type="dxa"/>
          </w:tcPr>
          <w:p>
            <w:pPr>
              <w:pStyle w:val="0"/>
              <w:jc w:val="center"/>
            </w:pPr>
            <w:r>
              <w:rPr>
                <w:sz w:val="20"/>
              </w:rPr>
              <w:t xml:space="preserve">1</w:t>
            </w:r>
          </w:p>
        </w:tc>
        <w:tc>
          <w:tcPr>
            <w:tcW w:w="708" w:type="dxa"/>
          </w:tcPr>
          <w:p>
            <w:pPr>
              <w:pStyle w:val="0"/>
              <w:jc w:val="center"/>
            </w:pPr>
            <w:r>
              <w:rPr>
                <w:sz w:val="20"/>
              </w:rPr>
              <w:t xml:space="preserve">3</w:t>
            </w:r>
          </w:p>
        </w:tc>
        <w:tc>
          <w:tcPr>
            <w:tcW w:w="709" w:type="dxa"/>
          </w:tcPr>
          <w:p>
            <w:pPr>
              <w:pStyle w:val="0"/>
              <w:jc w:val="center"/>
            </w:pPr>
            <w:r>
              <w:rPr>
                <w:sz w:val="20"/>
              </w:rPr>
              <w:t xml:space="preserve">4</w:t>
            </w:r>
          </w:p>
        </w:tc>
        <w:tc>
          <w:tcPr>
            <w:tcW w:w="743" w:type="dxa"/>
          </w:tcPr>
          <w:p>
            <w:pPr>
              <w:pStyle w:val="0"/>
              <w:jc w:val="center"/>
            </w:pPr>
            <w:r>
              <w:rPr>
                <w:sz w:val="20"/>
              </w:rPr>
              <w:t xml:space="preserve">7</w:t>
            </w:r>
          </w:p>
        </w:tc>
        <w:tc>
          <w:tcPr>
            <w:tcW w:w="675" w:type="dxa"/>
          </w:tcPr>
          <w:p>
            <w:pPr>
              <w:pStyle w:val="0"/>
              <w:jc w:val="center"/>
            </w:pPr>
            <w:r>
              <w:rPr>
                <w:sz w:val="20"/>
              </w:rPr>
              <w:t xml:space="preserve">1</w:t>
            </w:r>
          </w:p>
        </w:tc>
        <w:tc>
          <w:tcPr>
            <w:tcW w:w="708" w:type="dxa"/>
          </w:tcPr>
          <w:p>
            <w:pPr>
              <w:pStyle w:val="0"/>
              <w:jc w:val="center"/>
            </w:pPr>
            <w:r>
              <w:rPr>
                <w:sz w:val="20"/>
              </w:rPr>
              <w:t xml:space="preserve">3</w:t>
            </w:r>
          </w:p>
        </w:tc>
        <w:tc>
          <w:tcPr>
            <w:tcW w:w="750" w:type="dxa"/>
          </w:tcPr>
          <w:p>
            <w:pPr>
              <w:pStyle w:val="0"/>
              <w:jc w:val="center"/>
            </w:pPr>
            <w:r>
              <w:rPr>
                <w:sz w:val="20"/>
              </w:rPr>
              <w:t xml:space="preserve">16</w:t>
            </w:r>
          </w:p>
        </w:tc>
      </w:tr>
      <w:tr>
        <w:tc>
          <w:tcPr>
            <w:tcW w:w="454" w:type="dxa"/>
          </w:tcPr>
          <w:p>
            <w:pPr>
              <w:pStyle w:val="0"/>
              <w:jc w:val="center"/>
            </w:pPr>
            <w:r>
              <w:rPr>
                <w:sz w:val="20"/>
              </w:rPr>
              <w:t xml:space="preserve">14</w:t>
            </w:r>
          </w:p>
        </w:tc>
        <w:tc>
          <w:tcPr>
            <w:tcW w:w="2830" w:type="dxa"/>
          </w:tcPr>
          <w:p>
            <w:pPr>
              <w:pStyle w:val="0"/>
            </w:pPr>
            <w:r>
              <w:rPr>
                <w:sz w:val="20"/>
              </w:rPr>
              <w:t xml:space="preserve">молочной железы</w:t>
            </w:r>
          </w:p>
        </w:tc>
        <w:tc>
          <w:tcPr>
            <w:tcW w:w="709" w:type="dxa"/>
          </w:tcPr>
          <w:p>
            <w:pPr>
              <w:pStyle w:val="0"/>
              <w:jc w:val="center"/>
            </w:pPr>
            <w:r>
              <w:rPr>
                <w:sz w:val="20"/>
              </w:rPr>
              <w:t xml:space="preserve">8</w:t>
            </w:r>
          </w:p>
        </w:tc>
        <w:tc>
          <w:tcPr>
            <w:tcW w:w="709" w:type="dxa"/>
          </w:tcPr>
          <w:p>
            <w:pPr>
              <w:pStyle w:val="0"/>
              <w:jc w:val="center"/>
            </w:pPr>
            <w:r>
              <w:rPr>
                <w:sz w:val="20"/>
              </w:rPr>
              <w:t xml:space="preserve">6</w:t>
            </w:r>
          </w:p>
        </w:tc>
        <w:tc>
          <w:tcPr>
            <w:tcW w:w="708" w:type="dxa"/>
          </w:tcPr>
          <w:p>
            <w:pPr>
              <w:pStyle w:val="0"/>
              <w:jc w:val="center"/>
            </w:pPr>
            <w:r>
              <w:rPr>
                <w:sz w:val="20"/>
              </w:rPr>
              <w:t xml:space="preserve">18</w:t>
            </w:r>
          </w:p>
        </w:tc>
        <w:tc>
          <w:tcPr>
            <w:tcW w:w="709" w:type="dxa"/>
          </w:tcPr>
          <w:p>
            <w:pPr>
              <w:pStyle w:val="0"/>
              <w:jc w:val="center"/>
            </w:pPr>
            <w:r>
              <w:rPr>
                <w:sz w:val="20"/>
              </w:rPr>
              <w:t xml:space="preserve">16</w:t>
            </w:r>
          </w:p>
        </w:tc>
        <w:tc>
          <w:tcPr>
            <w:tcW w:w="743" w:type="dxa"/>
          </w:tcPr>
          <w:p>
            <w:pPr>
              <w:pStyle w:val="0"/>
              <w:jc w:val="center"/>
            </w:pPr>
            <w:r>
              <w:rPr>
                <w:sz w:val="20"/>
              </w:rPr>
              <w:t xml:space="preserve">51</w:t>
            </w:r>
          </w:p>
        </w:tc>
        <w:tc>
          <w:tcPr>
            <w:tcW w:w="675" w:type="dxa"/>
          </w:tcPr>
          <w:p>
            <w:pPr>
              <w:pStyle w:val="0"/>
              <w:jc w:val="center"/>
            </w:pPr>
            <w:r>
              <w:rPr>
                <w:sz w:val="20"/>
              </w:rPr>
              <w:t xml:space="preserve">24</w:t>
            </w:r>
          </w:p>
        </w:tc>
        <w:tc>
          <w:tcPr>
            <w:tcW w:w="708" w:type="dxa"/>
          </w:tcPr>
          <w:p>
            <w:pPr>
              <w:pStyle w:val="0"/>
              <w:jc w:val="center"/>
            </w:pPr>
            <w:r>
              <w:rPr>
                <w:sz w:val="20"/>
              </w:rPr>
              <w:t xml:space="preserve">23</w:t>
            </w:r>
          </w:p>
        </w:tc>
        <w:tc>
          <w:tcPr>
            <w:tcW w:w="750" w:type="dxa"/>
          </w:tcPr>
          <w:p>
            <w:pPr>
              <w:pStyle w:val="0"/>
              <w:jc w:val="center"/>
            </w:pPr>
            <w:r>
              <w:rPr>
                <w:sz w:val="20"/>
              </w:rPr>
              <w:t xml:space="preserve">89</w:t>
            </w:r>
          </w:p>
        </w:tc>
      </w:tr>
      <w:tr>
        <w:tc>
          <w:tcPr>
            <w:tcW w:w="454" w:type="dxa"/>
          </w:tcPr>
          <w:p>
            <w:pPr>
              <w:pStyle w:val="0"/>
              <w:jc w:val="center"/>
            </w:pPr>
            <w:r>
              <w:rPr>
                <w:sz w:val="20"/>
              </w:rPr>
              <w:t xml:space="preserve">15</w:t>
            </w:r>
          </w:p>
        </w:tc>
        <w:tc>
          <w:tcPr>
            <w:tcW w:w="2830" w:type="dxa"/>
          </w:tcPr>
          <w:p>
            <w:pPr>
              <w:pStyle w:val="0"/>
            </w:pPr>
            <w:r>
              <w:rPr>
                <w:sz w:val="20"/>
              </w:rPr>
              <w:t xml:space="preserve">из них в 1 - 2 стадии</w:t>
            </w:r>
          </w:p>
        </w:tc>
        <w:tc>
          <w:tcPr>
            <w:tcW w:w="709" w:type="dxa"/>
          </w:tcPr>
          <w:p>
            <w:pPr>
              <w:pStyle w:val="0"/>
              <w:jc w:val="center"/>
            </w:pPr>
            <w:r>
              <w:rPr>
                <w:sz w:val="20"/>
              </w:rPr>
              <w:t xml:space="preserve">3</w:t>
            </w:r>
          </w:p>
        </w:tc>
        <w:tc>
          <w:tcPr>
            <w:tcW w:w="709" w:type="dxa"/>
          </w:tcPr>
          <w:p>
            <w:pPr>
              <w:pStyle w:val="0"/>
              <w:jc w:val="center"/>
            </w:pPr>
            <w:r>
              <w:rPr>
                <w:sz w:val="20"/>
              </w:rPr>
              <w:t xml:space="preserve">3</w:t>
            </w:r>
          </w:p>
        </w:tc>
        <w:tc>
          <w:tcPr>
            <w:tcW w:w="708" w:type="dxa"/>
          </w:tcPr>
          <w:p>
            <w:pPr>
              <w:pStyle w:val="0"/>
              <w:jc w:val="center"/>
            </w:pPr>
            <w:r>
              <w:rPr>
                <w:sz w:val="20"/>
              </w:rPr>
              <w:t xml:space="preserve">11</w:t>
            </w:r>
          </w:p>
        </w:tc>
        <w:tc>
          <w:tcPr>
            <w:tcW w:w="709" w:type="dxa"/>
          </w:tcPr>
          <w:p>
            <w:pPr>
              <w:pStyle w:val="0"/>
              <w:jc w:val="center"/>
            </w:pPr>
            <w:r>
              <w:rPr>
                <w:sz w:val="20"/>
              </w:rPr>
              <w:t xml:space="preserve">8</w:t>
            </w:r>
          </w:p>
        </w:tc>
        <w:tc>
          <w:tcPr>
            <w:tcW w:w="743" w:type="dxa"/>
          </w:tcPr>
          <w:p>
            <w:pPr>
              <w:pStyle w:val="0"/>
              <w:jc w:val="center"/>
            </w:pPr>
            <w:r>
              <w:rPr>
                <w:sz w:val="20"/>
              </w:rPr>
              <w:t xml:space="preserve">47</w:t>
            </w:r>
          </w:p>
        </w:tc>
        <w:tc>
          <w:tcPr>
            <w:tcW w:w="675" w:type="dxa"/>
          </w:tcPr>
          <w:p>
            <w:pPr>
              <w:pStyle w:val="0"/>
              <w:jc w:val="center"/>
            </w:pPr>
            <w:r>
              <w:rPr>
                <w:sz w:val="20"/>
              </w:rPr>
              <w:t xml:space="preserve">19</w:t>
            </w:r>
          </w:p>
        </w:tc>
        <w:tc>
          <w:tcPr>
            <w:tcW w:w="708" w:type="dxa"/>
          </w:tcPr>
          <w:p>
            <w:pPr>
              <w:pStyle w:val="0"/>
              <w:jc w:val="center"/>
            </w:pPr>
            <w:r>
              <w:rPr>
                <w:sz w:val="20"/>
              </w:rPr>
              <w:t xml:space="preserve">15</w:t>
            </w:r>
          </w:p>
        </w:tc>
        <w:tc>
          <w:tcPr>
            <w:tcW w:w="750" w:type="dxa"/>
          </w:tcPr>
          <w:p>
            <w:pPr>
              <w:pStyle w:val="0"/>
              <w:jc w:val="center"/>
            </w:pPr>
            <w:r>
              <w:rPr>
                <w:sz w:val="20"/>
              </w:rPr>
              <w:t xml:space="preserve">65</w:t>
            </w:r>
          </w:p>
        </w:tc>
      </w:tr>
      <w:tr>
        <w:tc>
          <w:tcPr>
            <w:tcW w:w="454" w:type="dxa"/>
          </w:tcPr>
          <w:p>
            <w:pPr>
              <w:pStyle w:val="0"/>
              <w:jc w:val="center"/>
            </w:pPr>
            <w:r>
              <w:rPr>
                <w:sz w:val="20"/>
              </w:rPr>
              <w:t xml:space="preserve">16</w:t>
            </w:r>
          </w:p>
        </w:tc>
        <w:tc>
          <w:tcPr>
            <w:tcW w:w="2830" w:type="dxa"/>
          </w:tcPr>
          <w:p>
            <w:pPr>
              <w:pStyle w:val="0"/>
            </w:pPr>
            <w:r>
              <w:rPr>
                <w:sz w:val="20"/>
              </w:rPr>
              <w:t xml:space="preserve">шейки матки</w:t>
            </w:r>
          </w:p>
        </w:tc>
        <w:tc>
          <w:tcPr>
            <w:tcW w:w="709" w:type="dxa"/>
          </w:tcPr>
          <w:p>
            <w:pPr>
              <w:pStyle w:val="0"/>
              <w:jc w:val="center"/>
            </w:pPr>
            <w:r>
              <w:rPr>
                <w:sz w:val="20"/>
              </w:rPr>
              <w:t xml:space="preserve">14</w:t>
            </w:r>
          </w:p>
        </w:tc>
        <w:tc>
          <w:tcPr>
            <w:tcW w:w="709" w:type="dxa"/>
          </w:tcPr>
          <w:p>
            <w:pPr>
              <w:pStyle w:val="0"/>
              <w:jc w:val="center"/>
            </w:pPr>
            <w:r>
              <w:rPr>
                <w:sz w:val="20"/>
              </w:rPr>
              <w:t xml:space="preserve">8</w:t>
            </w:r>
          </w:p>
        </w:tc>
        <w:tc>
          <w:tcPr>
            <w:tcW w:w="708" w:type="dxa"/>
          </w:tcPr>
          <w:p>
            <w:pPr>
              <w:pStyle w:val="0"/>
              <w:jc w:val="center"/>
            </w:pPr>
            <w:r>
              <w:rPr>
                <w:sz w:val="20"/>
              </w:rPr>
              <w:t xml:space="preserve">6</w:t>
            </w:r>
          </w:p>
        </w:tc>
        <w:tc>
          <w:tcPr>
            <w:tcW w:w="709" w:type="dxa"/>
          </w:tcPr>
          <w:p>
            <w:pPr>
              <w:pStyle w:val="0"/>
              <w:jc w:val="center"/>
            </w:pPr>
            <w:r>
              <w:rPr>
                <w:sz w:val="20"/>
              </w:rPr>
              <w:t xml:space="preserve">2</w:t>
            </w:r>
          </w:p>
        </w:tc>
        <w:tc>
          <w:tcPr>
            <w:tcW w:w="743" w:type="dxa"/>
          </w:tcPr>
          <w:p>
            <w:pPr>
              <w:pStyle w:val="0"/>
              <w:jc w:val="center"/>
            </w:pPr>
            <w:r>
              <w:rPr>
                <w:sz w:val="20"/>
              </w:rPr>
              <w:t xml:space="preserve">22</w:t>
            </w:r>
          </w:p>
        </w:tc>
        <w:tc>
          <w:tcPr>
            <w:tcW w:w="675" w:type="dxa"/>
          </w:tcPr>
          <w:p>
            <w:pPr>
              <w:pStyle w:val="0"/>
              <w:jc w:val="center"/>
            </w:pPr>
            <w:r>
              <w:rPr>
                <w:sz w:val="20"/>
              </w:rPr>
              <w:t xml:space="preserve">5</w:t>
            </w:r>
          </w:p>
        </w:tc>
        <w:tc>
          <w:tcPr>
            <w:tcW w:w="708" w:type="dxa"/>
          </w:tcPr>
          <w:p>
            <w:pPr>
              <w:pStyle w:val="0"/>
              <w:jc w:val="center"/>
            </w:pPr>
            <w:r>
              <w:rPr>
                <w:sz w:val="20"/>
              </w:rPr>
              <w:t xml:space="preserve">7</w:t>
            </w:r>
          </w:p>
        </w:tc>
        <w:tc>
          <w:tcPr>
            <w:tcW w:w="750" w:type="dxa"/>
          </w:tcPr>
          <w:p>
            <w:pPr>
              <w:pStyle w:val="0"/>
              <w:jc w:val="center"/>
            </w:pPr>
            <w:r>
              <w:rPr>
                <w:sz w:val="20"/>
              </w:rPr>
              <w:t xml:space="preserve">35</w:t>
            </w:r>
          </w:p>
        </w:tc>
      </w:tr>
      <w:tr>
        <w:tc>
          <w:tcPr>
            <w:tcW w:w="454" w:type="dxa"/>
          </w:tcPr>
          <w:p>
            <w:pPr>
              <w:pStyle w:val="0"/>
              <w:jc w:val="center"/>
            </w:pPr>
            <w:r>
              <w:rPr>
                <w:sz w:val="20"/>
              </w:rPr>
              <w:t xml:space="preserve">17</w:t>
            </w:r>
          </w:p>
        </w:tc>
        <w:tc>
          <w:tcPr>
            <w:tcW w:w="2830" w:type="dxa"/>
          </w:tcPr>
          <w:p>
            <w:pPr>
              <w:pStyle w:val="0"/>
            </w:pPr>
            <w:r>
              <w:rPr>
                <w:sz w:val="20"/>
              </w:rPr>
              <w:t xml:space="preserve">из них в 1 - 2 стадии</w:t>
            </w:r>
          </w:p>
        </w:tc>
        <w:tc>
          <w:tcPr>
            <w:tcW w:w="709" w:type="dxa"/>
          </w:tcPr>
          <w:p>
            <w:pPr>
              <w:pStyle w:val="0"/>
              <w:jc w:val="center"/>
            </w:pPr>
            <w:r>
              <w:rPr>
                <w:sz w:val="20"/>
              </w:rPr>
              <w:t xml:space="preserve">9</w:t>
            </w:r>
          </w:p>
        </w:tc>
        <w:tc>
          <w:tcPr>
            <w:tcW w:w="709" w:type="dxa"/>
          </w:tcPr>
          <w:p>
            <w:pPr>
              <w:pStyle w:val="0"/>
              <w:jc w:val="center"/>
            </w:pPr>
            <w:r>
              <w:rPr>
                <w:sz w:val="20"/>
              </w:rPr>
              <w:t xml:space="preserve">7</w:t>
            </w:r>
          </w:p>
        </w:tc>
        <w:tc>
          <w:tcPr>
            <w:tcW w:w="708" w:type="dxa"/>
          </w:tcPr>
          <w:p>
            <w:pPr>
              <w:pStyle w:val="0"/>
              <w:jc w:val="center"/>
            </w:pPr>
            <w:r>
              <w:rPr>
                <w:sz w:val="20"/>
              </w:rPr>
              <w:t xml:space="preserve">5</w:t>
            </w:r>
          </w:p>
        </w:tc>
        <w:tc>
          <w:tcPr>
            <w:tcW w:w="709" w:type="dxa"/>
          </w:tcPr>
          <w:p>
            <w:pPr>
              <w:pStyle w:val="0"/>
              <w:jc w:val="center"/>
            </w:pPr>
            <w:r>
              <w:rPr>
                <w:sz w:val="20"/>
              </w:rPr>
              <w:t xml:space="preserve">2</w:t>
            </w:r>
          </w:p>
        </w:tc>
        <w:tc>
          <w:tcPr>
            <w:tcW w:w="743" w:type="dxa"/>
          </w:tcPr>
          <w:p>
            <w:pPr>
              <w:pStyle w:val="0"/>
              <w:jc w:val="center"/>
            </w:pPr>
            <w:r>
              <w:rPr>
                <w:sz w:val="20"/>
              </w:rPr>
              <w:t xml:space="preserve">22</w:t>
            </w:r>
          </w:p>
        </w:tc>
        <w:tc>
          <w:tcPr>
            <w:tcW w:w="675" w:type="dxa"/>
          </w:tcPr>
          <w:p>
            <w:pPr>
              <w:pStyle w:val="0"/>
              <w:jc w:val="center"/>
            </w:pPr>
            <w:r>
              <w:rPr>
                <w:sz w:val="20"/>
              </w:rPr>
              <w:t xml:space="preserve">5</w:t>
            </w:r>
          </w:p>
        </w:tc>
        <w:tc>
          <w:tcPr>
            <w:tcW w:w="708" w:type="dxa"/>
          </w:tcPr>
          <w:p>
            <w:pPr>
              <w:pStyle w:val="0"/>
              <w:jc w:val="center"/>
            </w:pPr>
            <w:r>
              <w:rPr>
                <w:sz w:val="20"/>
              </w:rPr>
              <w:t xml:space="preserve">5</w:t>
            </w:r>
          </w:p>
        </w:tc>
        <w:tc>
          <w:tcPr>
            <w:tcW w:w="750" w:type="dxa"/>
          </w:tcPr>
          <w:p>
            <w:pPr>
              <w:pStyle w:val="0"/>
              <w:jc w:val="center"/>
            </w:pPr>
            <w:r>
              <w:rPr>
                <w:sz w:val="20"/>
              </w:rPr>
              <w:t xml:space="preserve">24</w:t>
            </w:r>
          </w:p>
        </w:tc>
      </w:tr>
      <w:tr>
        <w:tc>
          <w:tcPr>
            <w:tcW w:w="454" w:type="dxa"/>
          </w:tcPr>
          <w:p>
            <w:pPr>
              <w:pStyle w:val="0"/>
              <w:jc w:val="center"/>
            </w:pPr>
            <w:r>
              <w:rPr>
                <w:sz w:val="20"/>
              </w:rPr>
              <w:t xml:space="preserve">18</w:t>
            </w:r>
          </w:p>
        </w:tc>
        <w:tc>
          <w:tcPr>
            <w:tcW w:w="2830" w:type="dxa"/>
          </w:tcPr>
          <w:p>
            <w:pPr>
              <w:pStyle w:val="0"/>
            </w:pPr>
            <w:r>
              <w:rPr>
                <w:sz w:val="20"/>
              </w:rPr>
              <w:t xml:space="preserve">тела матки</w:t>
            </w:r>
          </w:p>
        </w:tc>
        <w:tc>
          <w:tcPr>
            <w:tcW w:w="709" w:type="dxa"/>
          </w:tcPr>
          <w:p>
            <w:pPr>
              <w:pStyle w:val="0"/>
              <w:jc w:val="center"/>
            </w:pPr>
            <w:r>
              <w:rPr>
                <w:sz w:val="20"/>
              </w:rPr>
              <w:t xml:space="preserve">2</w:t>
            </w:r>
          </w:p>
        </w:tc>
        <w:tc>
          <w:tcPr>
            <w:tcW w:w="709" w:type="dxa"/>
          </w:tcPr>
          <w:p>
            <w:pPr>
              <w:pStyle w:val="0"/>
              <w:jc w:val="center"/>
            </w:pPr>
            <w:r>
              <w:rPr>
                <w:sz w:val="20"/>
              </w:rPr>
              <w:t xml:space="preserve">0</w:t>
            </w:r>
          </w:p>
        </w:tc>
        <w:tc>
          <w:tcPr>
            <w:tcW w:w="708" w:type="dxa"/>
          </w:tcPr>
          <w:p>
            <w:pPr>
              <w:pStyle w:val="0"/>
              <w:jc w:val="center"/>
            </w:pPr>
            <w:r>
              <w:rPr>
                <w:sz w:val="20"/>
              </w:rPr>
              <w:t xml:space="preserve">0</w:t>
            </w:r>
          </w:p>
        </w:tc>
        <w:tc>
          <w:tcPr>
            <w:tcW w:w="709" w:type="dxa"/>
          </w:tcPr>
          <w:p>
            <w:pPr>
              <w:pStyle w:val="0"/>
              <w:jc w:val="center"/>
            </w:pPr>
            <w:r>
              <w:rPr>
                <w:sz w:val="20"/>
              </w:rPr>
              <w:t xml:space="preserve">4</w:t>
            </w:r>
          </w:p>
        </w:tc>
        <w:tc>
          <w:tcPr>
            <w:tcW w:w="743" w:type="dxa"/>
          </w:tcPr>
          <w:p>
            <w:pPr>
              <w:pStyle w:val="0"/>
              <w:jc w:val="center"/>
            </w:pPr>
            <w:r>
              <w:rPr>
                <w:sz w:val="20"/>
              </w:rPr>
              <w:t xml:space="preserve">1</w:t>
            </w:r>
          </w:p>
        </w:tc>
        <w:tc>
          <w:tcPr>
            <w:tcW w:w="675" w:type="dxa"/>
          </w:tcPr>
          <w:p>
            <w:pPr>
              <w:pStyle w:val="0"/>
              <w:jc w:val="center"/>
            </w:pPr>
            <w:r>
              <w:rPr>
                <w:sz w:val="20"/>
              </w:rPr>
              <w:t xml:space="preserve">2</w:t>
            </w:r>
          </w:p>
        </w:tc>
        <w:tc>
          <w:tcPr>
            <w:tcW w:w="708" w:type="dxa"/>
          </w:tcPr>
          <w:p>
            <w:pPr>
              <w:pStyle w:val="0"/>
              <w:jc w:val="center"/>
            </w:pPr>
            <w:r>
              <w:rPr>
                <w:sz w:val="20"/>
              </w:rPr>
              <w:t xml:space="preserve">0</w:t>
            </w:r>
          </w:p>
        </w:tc>
        <w:tc>
          <w:tcPr>
            <w:tcW w:w="750" w:type="dxa"/>
          </w:tcPr>
          <w:p>
            <w:pPr>
              <w:pStyle w:val="0"/>
              <w:jc w:val="center"/>
            </w:pPr>
            <w:r>
              <w:rPr>
                <w:sz w:val="20"/>
              </w:rPr>
              <w:t xml:space="preserve">0</w:t>
            </w:r>
          </w:p>
        </w:tc>
      </w:tr>
      <w:tr>
        <w:tc>
          <w:tcPr>
            <w:tcW w:w="454" w:type="dxa"/>
          </w:tcPr>
          <w:p>
            <w:pPr>
              <w:pStyle w:val="0"/>
              <w:jc w:val="center"/>
            </w:pPr>
            <w:r>
              <w:rPr>
                <w:sz w:val="20"/>
              </w:rPr>
              <w:t xml:space="preserve">19</w:t>
            </w:r>
          </w:p>
        </w:tc>
        <w:tc>
          <w:tcPr>
            <w:tcW w:w="2830" w:type="dxa"/>
          </w:tcPr>
          <w:p>
            <w:pPr>
              <w:pStyle w:val="0"/>
            </w:pPr>
            <w:r>
              <w:rPr>
                <w:sz w:val="20"/>
              </w:rPr>
              <w:t xml:space="preserve">из них в 1 - 2 стадии</w:t>
            </w:r>
          </w:p>
        </w:tc>
        <w:tc>
          <w:tcPr>
            <w:tcW w:w="709" w:type="dxa"/>
          </w:tcPr>
          <w:p>
            <w:pPr>
              <w:pStyle w:val="0"/>
              <w:jc w:val="center"/>
            </w:pPr>
            <w:r>
              <w:rPr>
                <w:sz w:val="20"/>
              </w:rPr>
              <w:t xml:space="preserve">2</w:t>
            </w:r>
          </w:p>
        </w:tc>
        <w:tc>
          <w:tcPr>
            <w:tcW w:w="709" w:type="dxa"/>
          </w:tcPr>
          <w:p>
            <w:pPr>
              <w:pStyle w:val="0"/>
              <w:jc w:val="center"/>
            </w:pPr>
            <w:r>
              <w:rPr>
                <w:sz w:val="20"/>
              </w:rPr>
              <w:t xml:space="preserve">0</w:t>
            </w:r>
          </w:p>
        </w:tc>
        <w:tc>
          <w:tcPr>
            <w:tcW w:w="708" w:type="dxa"/>
          </w:tcPr>
          <w:p>
            <w:pPr>
              <w:pStyle w:val="0"/>
              <w:jc w:val="center"/>
            </w:pPr>
            <w:r>
              <w:rPr>
                <w:sz w:val="20"/>
              </w:rPr>
              <w:t xml:space="preserve">0</w:t>
            </w:r>
          </w:p>
        </w:tc>
        <w:tc>
          <w:tcPr>
            <w:tcW w:w="709" w:type="dxa"/>
          </w:tcPr>
          <w:p>
            <w:pPr>
              <w:pStyle w:val="0"/>
              <w:jc w:val="center"/>
            </w:pPr>
            <w:r>
              <w:rPr>
                <w:sz w:val="20"/>
              </w:rPr>
              <w:t xml:space="preserve">2</w:t>
            </w:r>
          </w:p>
        </w:tc>
        <w:tc>
          <w:tcPr>
            <w:tcW w:w="743" w:type="dxa"/>
          </w:tcPr>
          <w:p>
            <w:pPr>
              <w:pStyle w:val="0"/>
              <w:jc w:val="center"/>
            </w:pPr>
            <w:r>
              <w:rPr>
                <w:sz w:val="20"/>
              </w:rPr>
              <w:t xml:space="preserve">1</w:t>
            </w:r>
          </w:p>
        </w:tc>
        <w:tc>
          <w:tcPr>
            <w:tcW w:w="675" w:type="dxa"/>
          </w:tcPr>
          <w:p>
            <w:pPr>
              <w:pStyle w:val="0"/>
              <w:jc w:val="center"/>
            </w:pPr>
            <w:r>
              <w:rPr>
                <w:sz w:val="20"/>
              </w:rPr>
              <w:t xml:space="preserve">2</w:t>
            </w:r>
          </w:p>
        </w:tc>
        <w:tc>
          <w:tcPr>
            <w:tcW w:w="708" w:type="dxa"/>
          </w:tcPr>
          <w:p>
            <w:pPr>
              <w:pStyle w:val="0"/>
              <w:jc w:val="center"/>
            </w:pPr>
            <w:r>
              <w:rPr>
                <w:sz w:val="20"/>
              </w:rPr>
              <w:t xml:space="preserve">0</w:t>
            </w:r>
          </w:p>
        </w:tc>
        <w:tc>
          <w:tcPr>
            <w:tcW w:w="750" w:type="dxa"/>
          </w:tcPr>
          <w:p>
            <w:pPr>
              <w:pStyle w:val="0"/>
              <w:jc w:val="center"/>
            </w:pPr>
            <w:r>
              <w:rPr>
                <w:sz w:val="20"/>
              </w:rPr>
              <w:t xml:space="preserve">0</w:t>
            </w:r>
          </w:p>
        </w:tc>
      </w:tr>
      <w:tr>
        <w:tc>
          <w:tcPr>
            <w:tcW w:w="454" w:type="dxa"/>
          </w:tcPr>
          <w:p>
            <w:pPr>
              <w:pStyle w:val="0"/>
              <w:jc w:val="center"/>
            </w:pPr>
            <w:r>
              <w:rPr>
                <w:sz w:val="20"/>
              </w:rPr>
              <w:t xml:space="preserve">20</w:t>
            </w:r>
          </w:p>
        </w:tc>
        <w:tc>
          <w:tcPr>
            <w:tcW w:w="2830" w:type="dxa"/>
          </w:tcPr>
          <w:p>
            <w:pPr>
              <w:pStyle w:val="0"/>
            </w:pPr>
            <w:r>
              <w:rPr>
                <w:sz w:val="20"/>
              </w:rPr>
              <w:t xml:space="preserve">яичника</w:t>
            </w:r>
          </w:p>
        </w:tc>
        <w:tc>
          <w:tcPr>
            <w:tcW w:w="709" w:type="dxa"/>
          </w:tcPr>
          <w:p>
            <w:pPr>
              <w:pStyle w:val="0"/>
              <w:jc w:val="center"/>
            </w:pPr>
            <w:r>
              <w:rPr>
                <w:sz w:val="20"/>
              </w:rPr>
              <w:t xml:space="preserve">0</w:t>
            </w:r>
          </w:p>
        </w:tc>
        <w:tc>
          <w:tcPr>
            <w:tcW w:w="709" w:type="dxa"/>
          </w:tcPr>
          <w:p>
            <w:pPr>
              <w:pStyle w:val="0"/>
              <w:jc w:val="center"/>
            </w:pPr>
            <w:r>
              <w:rPr>
                <w:sz w:val="20"/>
              </w:rPr>
              <w:t xml:space="preserve">1</w:t>
            </w:r>
          </w:p>
        </w:tc>
        <w:tc>
          <w:tcPr>
            <w:tcW w:w="708" w:type="dxa"/>
          </w:tcPr>
          <w:p>
            <w:pPr>
              <w:pStyle w:val="0"/>
              <w:jc w:val="center"/>
            </w:pPr>
            <w:r>
              <w:rPr>
                <w:sz w:val="20"/>
              </w:rPr>
              <w:t xml:space="preserve">2</w:t>
            </w:r>
          </w:p>
        </w:tc>
        <w:tc>
          <w:tcPr>
            <w:tcW w:w="709" w:type="dxa"/>
          </w:tcPr>
          <w:p>
            <w:pPr>
              <w:pStyle w:val="0"/>
              <w:jc w:val="center"/>
            </w:pPr>
            <w:r>
              <w:rPr>
                <w:sz w:val="20"/>
              </w:rPr>
              <w:t xml:space="preserve">0</w:t>
            </w:r>
          </w:p>
        </w:tc>
        <w:tc>
          <w:tcPr>
            <w:tcW w:w="743" w:type="dxa"/>
          </w:tcPr>
          <w:p>
            <w:pPr>
              <w:pStyle w:val="0"/>
              <w:jc w:val="center"/>
            </w:pPr>
            <w:r>
              <w:rPr>
                <w:sz w:val="20"/>
              </w:rPr>
              <w:t xml:space="preserve">1</w:t>
            </w:r>
          </w:p>
        </w:tc>
        <w:tc>
          <w:tcPr>
            <w:tcW w:w="675" w:type="dxa"/>
          </w:tcPr>
          <w:p>
            <w:pPr>
              <w:pStyle w:val="0"/>
              <w:jc w:val="center"/>
            </w:pPr>
            <w:r>
              <w:rPr>
                <w:sz w:val="20"/>
              </w:rPr>
              <w:t xml:space="preserve">1</w:t>
            </w:r>
          </w:p>
        </w:tc>
        <w:tc>
          <w:tcPr>
            <w:tcW w:w="708" w:type="dxa"/>
          </w:tcPr>
          <w:p>
            <w:pPr>
              <w:pStyle w:val="0"/>
              <w:jc w:val="center"/>
            </w:pPr>
            <w:r>
              <w:rPr>
                <w:sz w:val="20"/>
              </w:rPr>
              <w:t xml:space="preserve">2</w:t>
            </w:r>
          </w:p>
        </w:tc>
        <w:tc>
          <w:tcPr>
            <w:tcW w:w="750" w:type="dxa"/>
          </w:tcPr>
          <w:p>
            <w:pPr>
              <w:pStyle w:val="0"/>
              <w:jc w:val="center"/>
            </w:pPr>
            <w:r>
              <w:rPr>
                <w:sz w:val="20"/>
              </w:rPr>
              <w:t xml:space="preserve">0</w:t>
            </w:r>
          </w:p>
        </w:tc>
      </w:tr>
      <w:tr>
        <w:tc>
          <w:tcPr>
            <w:tcW w:w="454" w:type="dxa"/>
          </w:tcPr>
          <w:p>
            <w:pPr>
              <w:pStyle w:val="0"/>
              <w:jc w:val="center"/>
            </w:pPr>
            <w:r>
              <w:rPr>
                <w:sz w:val="20"/>
              </w:rPr>
              <w:t xml:space="preserve">21</w:t>
            </w:r>
          </w:p>
        </w:tc>
        <w:tc>
          <w:tcPr>
            <w:tcW w:w="2830" w:type="dxa"/>
          </w:tcPr>
          <w:p>
            <w:pPr>
              <w:pStyle w:val="0"/>
            </w:pPr>
            <w:r>
              <w:rPr>
                <w:sz w:val="20"/>
              </w:rPr>
              <w:t xml:space="preserve">из них в 1 - 2 стадии</w:t>
            </w:r>
          </w:p>
        </w:tc>
        <w:tc>
          <w:tcPr>
            <w:tcW w:w="709" w:type="dxa"/>
          </w:tcPr>
          <w:p>
            <w:pPr>
              <w:pStyle w:val="0"/>
              <w:jc w:val="center"/>
            </w:pPr>
            <w:r>
              <w:rPr>
                <w:sz w:val="20"/>
              </w:rPr>
              <w:t xml:space="preserve">0</w:t>
            </w:r>
          </w:p>
        </w:tc>
        <w:tc>
          <w:tcPr>
            <w:tcW w:w="709" w:type="dxa"/>
          </w:tcPr>
          <w:p>
            <w:pPr>
              <w:pStyle w:val="0"/>
              <w:jc w:val="center"/>
            </w:pPr>
            <w:r>
              <w:rPr>
                <w:sz w:val="20"/>
              </w:rPr>
              <w:t xml:space="preserve">0</w:t>
            </w:r>
          </w:p>
        </w:tc>
        <w:tc>
          <w:tcPr>
            <w:tcW w:w="708" w:type="dxa"/>
          </w:tcPr>
          <w:p>
            <w:pPr>
              <w:pStyle w:val="0"/>
              <w:jc w:val="center"/>
            </w:pPr>
            <w:r>
              <w:rPr>
                <w:sz w:val="20"/>
              </w:rPr>
              <w:t xml:space="preserve">2</w:t>
            </w:r>
          </w:p>
        </w:tc>
        <w:tc>
          <w:tcPr>
            <w:tcW w:w="709" w:type="dxa"/>
          </w:tcPr>
          <w:p>
            <w:pPr>
              <w:pStyle w:val="0"/>
              <w:jc w:val="center"/>
            </w:pPr>
            <w:r>
              <w:rPr>
                <w:sz w:val="20"/>
              </w:rPr>
              <w:t xml:space="preserve">0</w:t>
            </w:r>
          </w:p>
        </w:tc>
        <w:tc>
          <w:tcPr>
            <w:tcW w:w="743" w:type="dxa"/>
          </w:tcPr>
          <w:p>
            <w:pPr>
              <w:pStyle w:val="0"/>
              <w:jc w:val="center"/>
            </w:pPr>
            <w:r>
              <w:rPr>
                <w:sz w:val="20"/>
              </w:rPr>
              <w:t xml:space="preserve">1</w:t>
            </w:r>
          </w:p>
        </w:tc>
        <w:tc>
          <w:tcPr>
            <w:tcW w:w="675" w:type="dxa"/>
          </w:tcPr>
          <w:p>
            <w:pPr>
              <w:pStyle w:val="0"/>
              <w:jc w:val="center"/>
            </w:pPr>
            <w:r>
              <w:rPr>
                <w:sz w:val="20"/>
              </w:rPr>
              <w:t xml:space="preserve">0</w:t>
            </w:r>
          </w:p>
        </w:tc>
        <w:tc>
          <w:tcPr>
            <w:tcW w:w="708" w:type="dxa"/>
          </w:tcPr>
          <w:p>
            <w:pPr>
              <w:pStyle w:val="0"/>
              <w:jc w:val="center"/>
            </w:pPr>
            <w:r>
              <w:rPr>
                <w:sz w:val="20"/>
              </w:rPr>
              <w:t xml:space="preserve">2</w:t>
            </w:r>
          </w:p>
        </w:tc>
        <w:tc>
          <w:tcPr>
            <w:tcW w:w="750" w:type="dxa"/>
          </w:tcPr>
          <w:p>
            <w:pPr>
              <w:pStyle w:val="0"/>
              <w:jc w:val="center"/>
            </w:pPr>
            <w:r>
              <w:rPr>
                <w:sz w:val="20"/>
              </w:rPr>
              <w:t xml:space="preserve">0</w:t>
            </w:r>
          </w:p>
        </w:tc>
      </w:tr>
      <w:tr>
        <w:tc>
          <w:tcPr>
            <w:tcW w:w="454" w:type="dxa"/>
          </w:tcPr>
          <w:p>
            <w:pPr>
              <w:pStyle w:val="0"/>
              <w:jc w:val="center"/>
            </w:pPr>
            <w:r>
              <w:rPr>
                <w:sz w:val="20"/>
              </w:rPr>
              <w:t xml:space="preserve">22</w:t>
            </w:r>
          </w:p>
        </w:tc>
        <w:tc>
          <w:tcPr>
            <w:tcW w:w="2830" w:type="dxa"/>
          </w:tcPr>
          <w:p>
            <w:pPr>
              <w:pStyle w:val="0"/>
            </w:pPr>
            <w:r>
              <w:rPr>
                <w:sz w:val="20"/>
              </w:rPr>
              <w:t xml:space="preserve">предстательной железы</w:t>
            </w:r>
          </w:p>
        </w:tc>
        <w:tc>
          <w:tcPr>
            <w:tcW w:w="709" w:type="dxa"/>
          </w:tcPr>
          <w:p>
            <w:pPr>
              <w:pStyle w:val="0"/>
              <w:jc w:val="center"/>
            </w:pPr>
            <w:r>
              <w:rPr>
                <w:sz w:val="20"/>
              </w:rPr>
              <w:t xml:space="preserve">7</w:t>
            </w:r>
          </w:p>
        </w:tc>
        <w:tc>
          <w:tcPr>
            <w:tcW w:w="709" w:type="dxa"/>
          </w:tcPr>
          <w:p>
            <w:pPr>
              <w:pStyle w:val="0"/>
              <w:jc w:val="center"/>
            </w:pPr>
            <w:r>
              <w:rPr>
                <w:sz w:val="20"/>
              </w:rPr>
              <w:t xml:space="preserve">8</w:t>
            </w:r>
          </w:p>
        </w:tc>
        <w:tc>
          <w:tcPr>
            <w:tcW w:w="708" w:type="dxa"/>
          </w:tcPr>
          <w:p>
            <w:pPr>
              <w:pStyle w:val="0"/>
              <w:jc w:val="center"/>
            </w:pPr>
            <w:r>
              <w:rPr>
                <w:sz w:val="20"/>
              </w:rPr>
              <w:t xml:space="preserve">4</w:t>
            </w:r>
          </w:p>
        </w:tc>
        <w:tc>
          <w:tcPr>
            <w:tcW w:w="709" w:type="dxa"/>
          </w:tcPr>
          <w:p>
            <w:pPr>
              <w:pStyle w:val="0"/>
              <w:jc w:val="center"/>
            </w:pPr>
            <w:r>
              <w:rPr>
                <w:sz w:val="20"/>
              </w:rPr>
              <w:t xml:space="preserve">9</w:t>
            </w:r>
          </w:p>
        </w:tc>
        <w:tc>
          <w:tcPr>
            <w:tcW w:w="743" w:type="dxa"/>
          </w:tcPr>
          <w:p>
            <w:pPr>
              <w:pStyle w:val="0"/>
              <w:jc w:val="center"/>
            </w:pPr>
            <w:r>
              <w:rPr>
                <w:sz w:val="20"/>
              </w:rPr>
              <w:t xml:space="preserve">20</w:t>
            </w:r>
          </w:p>
        </w:tc>
        <w:tc>
          <w:tcPr>
            <w:tcW w:w="675" w:type="dxa"/>
          </w:tcPr>
          <w:p>
            <w:pPr>
              <w:pStyle w:val="0"/>
              <w:jc w:val="center"/>
            </w:pPr>
            <w:r>
              <w:rPr>
                <w:sz w:val="20"/>
              </w:rPr>
              <w:t xml:space="preserve">6</w:t>
            </w:r>
          </w:p>
        </w:tc>
        <w:tc>
          <w:tcPr>
            <w:tcW w:w="708" w:type="dxa"/>
          </w:tcPr>
          <w:p>
            <w:pPr>
              <w:pStyle w:val="0"/>
              <w:jc w:val="center"/>
            </w:pPr>
            <w:r>
              <w:rPr>
                <w:sz w:val="20"/>
              </w:rPr>
              <w:t xml:space="preserve">4</w:t>
            </w:r>
          </w:p>
        </w:tc>
        <w:tc>
          <w:tcPr>
            <w:tcW w:w="750" w:type="dxa"/>
          </w:tcPr>
          <w:p>
            <w:pPr>
              <w:pStyle w:val="0"/>
              <w:jc w:val="center"/>
            </w:pPr>
            <w:r>
              <w:rPr>
                <w:sz w:val="20"/>
              </w:rPr>
              <w:t xml:space="preserve">47</w:t>
            </w:r>
          </w:p>
        </w:tc>
      </w:tr>
      <w:tr>
        <w:tc>
          <w:tcPr>
            <w:tcW w:w="454" w:type="dxa"/>
          </w:tcPr>
          <w:p>
            <w:pPr>
              <w:pStyle w:val="0"/>
              <w:jc w:val="center"/>
            </w:pPr>
            <w:r>
              <w:rPr>
                <w:sz w:val="20"/>
              </w:rPr>
              <w:t xml:space="preserve">23</w:t>
            </w:r>
          </w:p>
        </w:tc>
        <w:tc>
          <w:tcPr>
            <w:tcW w:w="2830" w:type="dxa"/>
          </w:tcPr>
          <w:p>
            <w:pPr>
              <w:pStyle w:val="0"/>
            </w:pPr>
            <w:r>
              <w:rPr>
                <w:sz w:val="20"/>
              </w:rPr>
              <w:t xml:space="preserve">из них в 1 - 2 стадии</w:t>
            </w:r>
          </w:p>
        </w:tc>
        <w:tc>
          <w:tcPr>
            <w:tcW w:w="709" w:type="dxa"/>
          </w:tcPr>
          <w:p>
            <w:pPr>
              <w:pStyle w:val="0"/>
              <w:jc w:val="center"/>
            </w:pPr>
            <w:r>
              <w:rPr>
                <w:sz w:val="20"/>
              </w:rPr>
              <w:t xml:space="preserve">4</w:t>
            </w:r>
          </w:p>
        </w:tc>
        <w:tc>
          <w:tcPr>
            <w:tcW w:w="709" w:type="dxa"/>
          </w:tcPr>
          <w:p>
            <w:pPr>
              <w:pStyle w:val="0"/>
              <w:jc w:val="center"/>
            </w:pPr>
            <w:r>
              <w:rPr>
                <w:sz w:val="20"/>
              </w:rPr>
              <w:t xml:space="preserve">7</w:t>
            </w:r>
          </w:p>
        </w:tc>
        <w:tc>
          <w:tcPr>
            <w:tcW w:w="708" w:type="dxa"/>
          </w:tcPr>
          <w:p>
            <w:pPr>
              <w:pStyle w:val="0"/>
              <w:jc w:val="center"/>
            </w:pPr>
            <w:r>
              <w:rPr>
                <w:sz w:val="20"/>
              </w:rPr>
              <w:t xml:space="preserve">4</w:t>
            </w:r>
          </w:p>
        </w:tc>
        <w:tc>
          <w:tcPr>
            <w:tcW w:w="709" w:type="dxa"/>
          </w:tcPr>
          <w:p>
            <w:pPr>
              <w:pStyle w:val="0"/>
              <w:jc w:val="center"/>
            </w:pPr>
            <w:r>
              <w:rPr>
                <w:sz w:val="20"/>
              </w:rPr>
              <w:t xml:space="preserve">1</w:t>
            </w:r>
          </w:p>
        </w:tc>
        <w:tc>
          <w:tcPr>
            <w:tcW w:w="743" w:type="dxa"/>
          </w:tcPr>
          <w:p>
            <w:pPr>
              <w:pStyle w:val="0"/>
              <w:jc w:val="center"/>
            </w:pPr>
            <w:r>
              <w:rPr>
                <w:sz w:val="20"/>
              </w:rPr>
              <w:t xml:space="preserve">18</w:t>
            </w:r>
          </w:p>
        </w:tc>
        <w:tc>
          <w:tcPr>
            <w:tcW w:w="675" w:type="dxa"/>
          </w:tcPr>
          <w:p>
            <w:pPr>
              <w:pStyle w:val="0"/>
              <w:jc w:val="center"/>
            </w:pPr>
            <w:r>
              <w:rPr>
                <w:sz w:val="20"/>
              </w:rPr>
              <w:t xml:space="preserve">6</w:t>
            </w:r>
          </w:p>
        </w:tc>
        <w:tc>
          <w:tcPr>
            <w:tcW w:w="708" w:type="dxa"/>
          </w:tcPr>
          <w:p>
            <w:pPr>
              <w:pStyle w:val="0"/>
              <w:jc w:val="center"/>
            </w:pPr>
            <w:r>
              <w:rPr>
                <w:sz w:val="20"/>
              </w:rPr>
              <w:t xml:space="preserve">4</w:t>
            </w:r>
          </w:p>
        </w:tc>
        <w:tc>
          <w:tcPr>
            <w:tcW w:w="750" w:type="dxa"/>
          </w:tcPr>
          <w:p>
            <w:pPr>
              <w:pStyle w:val="0"/>
              <w:jc w:val="center"/>
            </w:pPr>
            <w:r>
              <w:rPr>
                <w:sz w:val="20"/>
              </w:rPr>
              <w:t xml:space="preserve">27</w:t>
            </w:r>
          </w:p>
        </w:tc>
      </w:tr>
      <w:tr>
        <w:tc>
          <w:tcPr>
            <w:tcW w:w="454" w:type="dxa"/>
          </w:tcPr>
          <w:p>
            <w:pPr>
              <w:pStyle w:val="0"/>
              <w:jc w:val="center"/>
            </w:pPr>
            <w:r>
              <w:rPr>
                <w:sz w:val="20"/>
              </w:rPr>
              <w:t xml:space="preserve">24</w:t>
            </w:r>
          </w:p>
        </w:tc>
        <w:tc>
          <w:tcPr>
            <w:tcW w:w="2830" w:type="dxa"/>
          </w:tcPr>
          <w:p>
            <w:pPr>
              <w:pStyle w:val="0"/>
            </w:pPr>
            <w:r>
              <w:rPr>
                <w:sz w:val="20"/>
              </w:rPr>
              <w:t xml:space="preserve">почки, кроме почечной лоханки</w:t>
            </w:r>
          </w:p>
        </w:tc>
        <w:tc>
          <w:tcPr>
            <w:tcW w:w="709" w:type="dxa"/>
          </w:tcPr>
          <w:p>
            <w:pPr>
              <w:pStyle w:val="0"/>
              <w:jc w:val="center"/>
            </w:pPr>
            <w:r>
              <w:rPr>
                <w:sz w:val="20"/>
              </w:rPr>
              <w:t xml:space="preserve">5</w:t>
            </w:r>
          </w:p>
        </w:tc>
        <w:tc>
          <w:tcPr>
            <w:tcW w:w="709" w:type="dxa"/>
          </w:tcPr>
          <w:p>
            <w:pPr>
              <w:pStyle w:val="0"/>
              <w:jc w:val="center"/>
            </w:pPr>
            <w:r>
              <w:rPr>
                <w:sz w:val="20"/>
              </w:rPr>
              <w:t xml:space="preserve">2</w:t>
            </w:r>
          </w:p>
        </w:tc>
        <w:tc>
          <w:tcPr>
            <w:tcW w:w="708" w:type="dxa"/>
          </w:tcPr>
          <w:p>
            <w:pPr>
              <w:pStyle w:val="0"/>
              <w:jc w:val="center"/>
            </w:pPr>
            <w:r>
              <w:rPr>
                <w:sz w:val="20"/>
              </w:rPr>
              <w:t xml:space="preserve">4</w:t>
            </w:r>
          </w:p>
        </w:tc>
        <w:tc>
          <w:tcPr>
            <w:tcW w:w="709" w:type="dxa"/>
          </w:tcPr>
          <w:p>
            <w:pPr>
              <w:pStyle w:val="0"/>
              <w:jc w:val="center"/>
            </w:pPr>
            <w:r>
              <w:rPr>
                <w:sz w:val="20"/>
              </w:rPr>
              <w:t xml:space="preserve">2</w:t>
            </w:r>
          </w:p>
        </w:tc>
        <w:tc>
          <w:tcPr>
            <w:tcW w:w="743" w:type="dxa"/>
          </w:tcPr>
          <w:p>
            <w:pPr>
              <w:pStyle w:val="0"/>
              <w:jc w:val="center"/>
            </w:pPr>
            <w:r>
              <w:rPr>
                <w:sz w:val="20"/>
              </w:rPr>
              <w:t xml:space="preserve">8</w:t>
            </w:r>
          </w:p>
        </w:tc>
        <w:tc>
          <w:tcPr>
            <w:tcW w:w="675" w:type="dxa"/>
          </w:tcPr>
          <w:p>
            <w:pPr>
              <w:pStyle w:val="0"/>
              <w:jc w:val="center"/>
            </w:pPr>
            <w:r>
              <w:rPr>
                <w:sz w:val="20"/>
              </w:rPr>
              <w:t xml:space="preserve">0</w:t>
            </w:r>
          </w:p>
        </w:tc>
        <w:tc>
          <w:tcPr>
            <w:tcW w:w="708" w:type="dxa"/>
          </w:tcPr>
          <w:p>
            <w:pPr>
              <w:pStyle w:val="0"/>
              <w:jc w:val="center"/>
            </w:pPr>
            <w:r>
              <w:rPr>
                <w:sz w:val="20"/>
              </w:rPr>
              <w:t xml:space="preserve">4</w:t>
            </w:r>
          </w:p>
        </w:tc>
        <w:tc>
          <w:tcPr>
            <w:tcW w:w="750" w:type="dxa"/>
          </w:tcPr>
          <w:p>
            <w:pPr>
              <w:pStyle w:val="0"/>
              <w:jc w:val="center"/>
            </w:pPr>
            <w:r>
              <w:rPr>
                <w:sz w:val="20"/>
              </w:rPr>
              <w:t xml:space="preserve">0</w:t>
            </w:r>
          </w:p>
        </w:tc>
      </w:tr>
      <w:tr>
        <w:tc>
          <w:tcPr>
            <w:tcW w:w="454" w:type="dxa"/>
          </w:tcPr>
          <w:p>
            <w:pPr>
              <w:pStyle w:val="0"/>
              <w:jc w:val="center"/>
            </w:pPr>
            <w:r>
              <w:rPr>
                <w:sz w:val="20"/>
              </w:rPr>
              <w:t xml:space="preserve">25</w:t>
            </w:r>
          </w:p>
        </w:tc>
        <w:tc>
          <w:tcPr>
            <w:tcW w:w="2830" w:type="dxa"/>
          </w:tcPr>
          <w:p>
            <w:pPr>
              <w:pStyle w:val="0"/>
            </w:pPr>
            <w:r>
              <w:rPr>
                <w:sz w:val="20"/>
              </w:rPr>
              <w:t xml:space="preserve">из них в 1 - 2 стадии</w:t>
            </w:r>
          </w:p>
        </w:tc>
        <w:tc>
          <w:tcPr>
            <w:tcW w:w="709" w:type="dxa"/>
          </w:tcPr>
          <w:p>
            <w:pPr>
              <w:pStyle w:val="0"/>
              <w:jc w:val="center"/>
            </w:pPr>
            <w:r>
              <w:rPr>
                <w:sz w:val="20"/>
              </w:rPr>
              <w:t xml:space="preserve">3</w:t>
            </w:r>
          </w:p>
        </w:tc>
        <w:tc>
          <w:tcPr>
            <w:tcW w:w="709" w:type="dxa"/>
          </w:tcPr>
          <w:p>
            <w:pPr>
              <w:pStyle w:val="0"/>
              <w:jc w:val="center"/>
            </w:pPr>
            <w:r>
              <w:rPr>
                <w:sz w:val="20"/>
              </w:rPr>
              <w:t xml:space="preserve">1</w:t>
            </w:r>
          </w:p>
        </w:tc>
        <w:tc>
          <w:tcPr>
            <w:tcW w:w="708" w:type="dxa"/>
          </w:tcPr>
          <w:p>
            <w:pPr>
              <w:pStyle w:val="0"/>
              <w:jc w:val="center"/>
            </w:pPr>
            <w:r>
              <w:rPr>
                <w:sz w:val="20"/>
              </w:rPr>
              <w:t xml:space="preserve">4</w:t>
            </w:r>
          </w:p>
        </w:tc>
        <w:tc>
          <w:tcPr>
            <w:tcW w:w="709" w:type="dxa"/>
          </w:tcPr>
          <w:p>
            <w:pPr>
              <w:pStyle w:val="0"/>
              <w:jc w:val="center"/>
            </w:pPr>
            <w:r>
              <w:rPr>
                <w:sz w:val="20"/>
              </w:rPr>
              <w:t xml:space="preserve">1</w:t>
            </w:r>
          </w:p>
        </w:tc>
        <w:tc>
          <w:tcPr>
            <w:tcW w:w="743" w:type="dxa"/>
          </w:tcPr>
          <w:p>
            <w:pPr>
              <w:pStyle w:val="0"/>
              <w:jc w:val="center"/>
            </w:pPr>
            <w:r>
              <w:rPr>
                <w:sz w:val="20"/>
              </w:rPr>
              <w:t xml:space="preserve">7</w:t>
            </w:r>
          </w:p>
        </w:tc>
        <w:tc>
          <w:tcPr>
            <w:tcW w:w="675" w:type="dxa"/>
          </w:tcPr>
          <w:p>
            <w:pPr>
              <w:pStyle w:val="0"/>
              <w:jc w:val="center"/>
            </w:pPr>
            <w:r>
              <w:rPr>
                <w:sz w:val="20"/>
              </w:rPr>
              <w:t xml:space="preserve">0</w:t>
            </w:r>
          </w:p>
        </w:tc>
        <w:tc>
          <w:tcPr>
            <w:tcW w:w="708" w:type="dxa"/>
          </w:tcPr>
          <w:p>
            <w:pPr>
              <w:pStyle w:val="0"/>
              <w:jc w:val="center"/>
            </w:pPr>
            <w:r>
              <w:rPr>
                <w:sz w:val="20"/>
              </w:rPr>
              <w:t xml:space="preserve">4</w:t>
            </w:r>
          </w:p>
        </w:tc>
        <w:tc>
          <w:tcPr>
            <w:tcW w:w="750" w:type="dxa"/>
          </w:tcPr>
          <w:p>
            <w:pPr>
              <w:pStyle w:val="0"/>
              <w:jc w:val="center"/>
            </w:pPr>
            <w:r>
              <w:rPr>
                <w:sz w:val="20"/>
              </w:rPr>
              <w:t xml:space="preserve">0</w:t>
            </w:r>
          </w:p>
        </w:tc>
      </w:tr>
    </w:tbl>
    <w:p>
      <w:pPr>
        <w:pStyle w:val="0"/>
        <w:ind w:firstLine="540"/>
        <w:jc w:val="both"/>
      </w:pPr>
      <w:r>
        <w:rPr>
          <w:sz w:val="20"/>
        </w:rPr>
      </w:r>
    </w:p>
    <w:p>
      <w:pPr>
        <w:pStyle w:val="2"/>
        <w:outlineLvl w:val="2"/>
        <w:jc w:val="center"/>
      </w:pPr>
      <w:r>
        <w:rPr>
          <w:sz w:val="20"/>
        </w:rPr>
        <w:t xml:space="preserve">1.5. Текущее состояние ресурсной базы онкологической службы</w:t>
      </w:r>
    </w:p>
    <w:p>
      <w:pPr>
        <w:pStyle w:val="2"/>
        <w:jc w:val="center"/>
      </w:pPr>
      <w:r>
        <w:rPr>
          <w:sz w:val="20"/>
        </w:rPr>
        <w:t xml:space="preserve">автономного округа</w:t>
      </w:r>
    </w:p>
    <w:p>
      <w:pPr>
        <w:pStyle w:val="0"/>
        <w:jc w:val="center"/>
      </w:pPr>
      <w:r>
        <w:rPr>
          <w:sz w:val="20"/>
        </w:rPr>
      </w:r>
    </w:p>
    <w:p>
      <w:pPr>
        <w:pStyle w:val="0"/>
        <w:ind w:firstLine="540"/>
        <w:jc w:val="both"/>
      </w:pPr>
      <w:r>
        <w:rPr>
          <w:sz w:val="20"/>
        </w:rPr>
        <w:t xml:space="preserve">В Ханты-Мансийском автономном округе - Югре сформирована трехуровневая система оказания онкологической помощи:</w:t>
      </w:r>
    </w:p>
    <w:p>
      <w:pPr>
        <w:pStyle w:val="0"/>
        <w:spacing w:before="200" w:line-rule="auto"/>
        <w:ind w:firstLine="540"/>
        <w:jc w:val="both"/>
      </w:pPr>
      <w:r>
        <w:rPr>
          <w:sz w:val="20"/>
        </w:rPr>
        <w:t xml:space="preserve">Первый уровень представлен 68 фельдшерско-акушерскими пунктами, 33 врачебными амбулаториями, 18 участковыми больницами.</w:t>
      </w:r>
    </w:p>
    <w:p>
      <w:pPr>
        <w:pStyle w:val="0"/>
        <w:spacing w:before="200" w:line-rule="auto"/>
        <w:ind w:firstLine="540"/>
        <w:jc w:val="both"/>
      </w:pPr>
      <w:r>
        <w:rPr>
          <w:sz w:val="20"/>
        </w:rPr>
        <w:t xml:space="preserve">Второй уровень представлен медицинскими организациями Ханты-Мансийского автономного округа - Югры, оказывающими первичную медико-санитарную и/или специализированную медицинскую помощь. Первичная медико-санитарная помощь осуществляется работниками 65 смотровых кабинетов амбулаторного звена (12 мужских смотровых кабинетов и 53 женских) в 32 медицинских организациях, в которых работают 45 средних медицинских работников (штатных должностей - 54,25, занятых должностей - 50). Первичная онкологическая помощь оказывается в 21 онкологическом кабинете при городских поликлиниках и в 5 центрах амбулаторной онкологической помощи при многопрофильных больницах </w:t>
      </w:r>
      <w:hyperlink w:history="0" w:anchor="P11166" w:tooltip="Информация об организации первичных онкологических кабинетов">
        <w:r>
          <w:rPr>
            <w:sz w:val="20"/>
            <w:color w:val="0000ff"/>
          </w:rPr>
          <w:t xml:space="preserve">(таблица 40)</w:t>
        </w:r>
      </w:hyperlink>
      <w:r>
        <w:rPr>
          <w:sz w:val="20"/>
        </w:rPr>
        <w:t xml:space="preserve">.</w:t>
      </w:r>
    </w:p>
    <w:p>
      <w:pPr>
        <w:pStyle w:val="0"/>
        <w:spacing w:before="200" w:line-rule="auto"/>
        <w:ind w:firstLine="540"/>
        <w:jc w:val="both"/>
      </w:pPr>
      <w:r>
        <w:rPr>
          <w:sz w:val="20"/>
        </w:rPr>
        <w:t xml:space="preserve">Третий уровень представлен 3 медицинскими организациями: БУ "Нижневартовский онкологический диспансер" и 2 онкологических центра на базе БУ "Окружная клиническая больница" и БУ "Сургутская окружная клиническая больница". Специализированная помощь детям со злокачественными новообразованиями оказывается в отделении детской онкологии и гематологии БУ "Нижневартовская окружная клиническая детская больница".</w:t>
      </w:r>
    </w:p>
    <w:p>
      <w:pPr>
        <w:pStyle w:val="0"/>
        <w:ind w:firstLine="540"/>
        <w:jc w:val="both"/>
      </w:pPr>
      <w:r>
        <w:rPr>
          <w:sz w:val="20"/>
        </w:rPr>
      </w:r>
    </w:p>
    <w:p>
      <w:pPr>
        <w:pStyle w:val="0"/>
        <w:jc w:val="right"/>
      </w:pPr>
      <w:r>
        <w:rPr>
          <w:sz w:val="20"/>
        </w:rPr>
        <w:t xml:space="preserve">Рисунок 5</w:t>
      </w:r>
    </w:p>
    <w:p>
      <w:pPr>
        <w:pStyle w:val="0"/>
        <w:jc w:val="right"/>
      </w:pPr>
      <w:r>
        <w:rPr>
          <w:sz w:val="20"/>
        </w:rPr>
      </w:r>
    </w:p>
    <w:p>
      <w:pPr>
        <w:pStyle w:val="0"/>
        <w:jc w:val="center"/>
      </w:pPr>
      <w:r>
        <w:rPr>
          <w:sz w:val="20"/>
        </w:rPr>
        <w:t xml:space="preserve">Уровни оказания онкологической помощи в Ханты-Мансийском</w:t>
      </w:r>
    </w:p>
    <w:p>
      <w:pPr>
        <w:pStyle w:val="0"/>
        <w:jc w:val="center"/>
      </w:pPr>
      <w:r>
        <w:rPr>
          <w:sz w:val="20"/>
        </w:rPr>
        <w:t xml:space="preserve">автономном округе - Югре</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71"/>
        </w:rPr>
        <w:drawing>
          <wp:inline distT="0" distB="0" distL="0" distR="0">
            <wp:extent cx="7179310" cy="4841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7179310" cy="4841240"/>
                    </a:xfrm>
                    <a:prstGeom prst="rect">
                      <a:avLst/>
                    </a:prstGeom>
                    <a:noFill/>
                    <a:ln>
                      <a:noFill/>
                    </a:ln>
                  </pic:spPr>
                </pic:pic>
              </a:graphicData>
            </a:graphic>
          </wp:inline>
        </w:drawing>
      </w:r>
    </w:p>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Окружной онкологический центр на базе БУ "Окружная клиническая больница" обеспечивает организационно-методическое руководство онкологической службы.</w:t>
      </w:r>
    </w:p>
    <w:p>
      <w:pPr>
        <w:pStyle w:val="0"/>
        <w:spacing w:before="200" w:line-rule="auto"/>
        <w:ind w:firstLine="540"/>
        <w:jc w:val="both"/>
      </w:pPr>
      <w:r>
        <w:rPr>
          <w:sz w:val="20"/>
        </w:rPr>
        <w:t xml:space="preserve">В медицинских организациях автономного округа развернуто 356 коек по профилю "онкология", обеспеченность населения автономного округа онкологическими койками в 2022 году составила 2,3 на 10 тыс. человек (по РФ в 2021 году - 2,5), на 1000 случаев, вновь выявленных ЗНО, - 72,2 (по РФ в 2021 году - 67,5). По профилю "радиология" развернуто 50 коек, обеспеченность 0,3 на 10 тыс. населения (по РФ в 2021 году - 0,5), на 1000 случаев, вновь выявленных ЗНО, - 10,2 (по РФ в 2021 году - 14,3). По профилю "детская онкология" развернуто 30 коек, обеспеченность 0,7 на 10 тыс. (по РФ в 2021 году - 0,7).</w:t>
      </w:r>
    </w:p>
    <w:p>
      <w:pPr>
        <w:pStyle w:val="0"/>
        <w:spacing w:before="200" w:line-rule="auto"/>
        <w:ind w:firstLine="540"/>
        <w:jc w:val="both"/>
      </w:pPr>
      <w:r>
        <w:rPr>
          <w:sz w:val="20"/>
        </w:rPr>
        <w:t xml:space="preserve">Структура Окружного онкологического центра:</w:t>
      </w:r>
    </w:p>
    <w:p>
      <w:pPr>
        <w:pStyle w:val="0"/>
        <w:spacing w:before="200" w:line-rule="auto"/>
        <w:ind w:firstLine="540"/>
        <w:jc w:val="both"/>
      </w:pPr>
      <w:r>
        <w:rPr>
          <w:sz w:val="20"/>
        </w:rPr>
        <w:t xml:space="preserve">отделение абдоминальной и торакальной онкологии на 27 коек;</w:t>
      </w:r>
    </w:p>
    <w:p>
      <w:pPr>
        <w:pStyle w:val="0"/>
        <w:spacing w:before="200" w:line-rule="auto"/>
        <w:ind w:firstLine="540"/>
        <w:jc w:val="both"/>
      </w:pPr>
      <w:r>
        <w:rPr>
          <w:sz w:val="20"/>
        </w:rPr>
        <w:t xml:space="preserve">отделение опухолей молочной железы и онкогинекологии на 25 коек;</w:t>
      </w:r>
    </w:p>
    <w:p>
      <w:pPr>
        <w:pStyle w:val="0"/>
        <w:spacing w:before="200" w:line-rule="auto"/>
        <w:ind w:firstLine="540"/>
        <w:jc w:val="both"/>
      </w:pPr>
      <w:r>
        <w:rPr>
          <w:sz w:val="20"/>
        </w:rPr>
        <w:t xml:space="preserve">отделение радиотерапии на 50 коек (с развернутым дневным стационаром на 10 коек, работающих в 3 смены);</w:t>
      </w:r>
    </w:p>
    <w:p>
      <w:pPr>
        <w:pStyle w:val="0"/>
        <w:spacing w:before="200" w:line-rule="auto"/>
        <w:ind w:firstLine="540"/>
        <w:jc w:val="both"/>
      </w:pPr>
      <w:r>
        <w:rPr>
          <w:sz w:val="20"/>
        </w:rPr>
        <w:t xml:space="preserve">отделение противоопухолевой лекарственной терапии на 28 коек, в состав отделения входят лаборатория по приготовлению препаратов для химиотерапии, стерильные боксы на 4 койки для проведения высокодозной химиотерапии, отделение амбулаторной химиотерапии на 12 коек, работающих в 2 смены;</w:t>
      </w:r>
    </w:p>
    <w:p>
      <w:pPr>
        <w:pStyle w:val="0"/>
        <w:spacing w:before="200" w:line-rule="auto"/>
        <w:ind w:firstLine="540"/>
        <w:jc w:val="both"/>
      </w:pPr>
      <w:r>
        <w:rPr>
          <w:sz w:val="20"/>
        </w:rPr>
        <w:t xml:space="preserve">операционное отделение (4 плановых операционных модульного типа, 1 экстренная операционная);</w:t>
      </w:r>
    </w:p>
    <w:p>
      <w:pPr>
        <w:pStyle w:val="0"/>
        <w:spacing w:before="200" w:line-rule="auto"/>
        <w:ind w:firstLine="540"/>
        <w:jc w:val="both"/>
      </w:pPr>
      <w:r>
        <w:rPr>
          <w:sz w:val="20"/>
        </w:rPr>
        <w:t xml:space="preserve">отделение анестезиологии-реанимации на 6 коек с лабораторией.</w:t>
      </w:r>
    </w:p>
    <w:p>
      <w:pPr>
        <w:pStyle w:val="0"/>
        <w:jc w:val="right"/>
      </w:pPr>
      <w:r>
        <w:rPr>
          <w:sz w:val="20"/>
        </w:rPr>
      </w:r>
    </w:p>
    <w:p>
      <w:pPr>
        <w:pStyle w:val="0"/>
        <w:jc w:val="right"/>
      </w:pPr>
      <w:r>
        <w:rPr>
          <w:sz w:val="20"/>
        </w:rPr>
        <w:t xml:space="preserve">Рисунок 6</w:t>
      </w:r>
    </w:p>
    <w:p>
      <w:pPr>
        <w:pStyle w:val="0"/>
        <w:jc w:val="right"/>
      </w:pPr>
      <w:r>
        <w:rPr>
          <w:sz w:val="20"/>
        </w:rPr>
      </w:r>
    </w:p>
    <w:p>
      <w:pPr>
        <w:pStyle w:val="0"/>
        <w:jc w:val="center"/>
      </w:pPr>
      <w:r>
        <w:rPr>
          <w:sz w:val="20"/>
        </w:rPr>
        <w:t xml:space="preserve">Медицинские зоны (зоны обслуживания) по профилю "онкология"</w:t>
      </w:r>
    </w:p>
    <w:p>
      <w:pPr>
        <w:pStyle w:val="0"/>
        <w:jc w:val="center"/>
      </w:pPr>
      <w:r>
        <w:rPr>
          <w:sz w:val="20"/>
        </w:rPr>
        <w:t xml:space="preserve">в Ханты-Мансийском автономном округе - Югре</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54"/>
        </w:rPr>
        <w:drawing>
          <wp:inline distT="0" distB="0" distL="0" distR="0">
            <wp:extent cx="7221855" cy="3355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7221855" cy="3355975"/>
                    </a:xfrm>
                    <a:prstGeom prst="rect">
                      <a:avLst/>
                    </a:prstGeom>
                    <a:noFill/>
                    <a:ln>
                      <a:noFill/>
                    </a:ln>
                  </pic:spPr>
                </pic:pic>
              </a:graphicData>
            </a:graphic>
          </wp:inline>
        </w:drawing>
      </w:r>
    </w:p>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jc w:val="center"/>
      </w:pPr>
      <w:r>
        <w:rPr>
          <w:sz w:val="20"/>
        </w:rPr>
      </w:r>
    </w:p>
    <w:p>
      <w:pPr>
        <w:pStyle w:val="0"/>
        <w:ind w:firstLine="540"/>
        <w:jc w:val="both"/>
      </w:pPr>
      <w:r>
        <w:rPr>
          <w:sz w:val="20"/>
        </w:rPr>
        <w:t xml:space="preserve">Поликлиника на 200 посещений в смену включает: консультативно-диагностическое отделение (консультативный прием общего онколога, онкоуролога, ЛОР-онколога, онкогинеколога, торакального онколога, абдоминального онколога, радиолога, химиотерапевта).</w:t>
      </w:r>
    </w:p>
    <w:p>
      <w:pPr>
        <w:pStyle w:val="0"/>
        <w:spacing w:before="200" w:line-rule="auto"/>
        <w:ind w:firstLine="540"/>
        <w:jc w:val="both"/>
      </w:pPr>
      <w:r>
        <w:rPr>
          <w:sz w:val="20"/>
        </w:rPr>
        <w:t xml:space="preserve">Диагностический блок:</w:t>
      </w:r>
    </w:p>
    <w:p>
      <w:pPr>
        <w:pStyle w:val="0"/>
        <w:spacing w:before="200" w:line-rule="auto"/>
        <w:ind w:firstLine="540"/>
        <w:jc w:val="both"/>
      </w:pPr>
      <w:r>
        <w:rPr>
          <w:sz w:val="20"/>
        </w:rPr>
        <w:t xml:space="preserve">блок радиоизотопной диагностики (1 ПЭТ/КТ Discovery VCT (GE), 1 гамма-камера GE, 1 циклотрон, радиоизотопная лаборатория - введены в эксплуатацию в 2012 году);</w:t>
      </w:r>
    </w:p>
    <w:p>
      <w:pPr>
        <w:pStyle w:val="0"/>
        <w:spacing w:before="200" w:line-rule="auto"/>
        <w:ind w:firstLine="540"/>
        <w:jc w:val="both"/>
      </w:pPr>
      <w:r>
        <w:rPr>
          <w:sz w:val="20"/>
        </w:rPr>
        <w:t xml:space="preserve">отделение лучевой диагностики (2 КТ, 1 МРТ 3 Тл, 1 универсальный рентгенодиагностический аппарат, 1 маммограф).</w:t>
      </w:r>
    </w:p>
    <w:p>
      <w:pPr>
        <w:pStyle w:val="0"/>
        <w:spacing w:before="200" w:line-rule="auto"/>
        <w:ind w:firstLine="540"/>
        <w:jc w:val="both"/>
      </w:pPr>
      <w:r>
        <w:rPr>
          <w:sz w:val="20"/>
        </w:rPr>
        <w:t xml:space="preserve">В автономном округе создана система радиологической диагностики и радиологической помощи пациентам, страдающим злокачественными новообразованиями, отвечающая всем требованиям и нормативам.</w:t>
      </w:r>
    </w:p>
    <w:p>
      <w:pPr>
        <w:pStyle w:val="0"/>
        <w:spacing w:before="200" w:line-rule="auto"/>
        <w:ind w:firstLine="540"/>
        <w:jc w:val="both"/>
      </w:pPr>
      <w:r>
        <w:rPr>
          <w:sz w:val="20"/>
        </w:rPr>
        <w:t xml:space="preserve">Действует окружной центр позитронно-эмиссионной томографии. В 2022 году выполнено 2 603 позитронно-эмиссионных топографических исследования в односменном режиме. Доступность данных исследований для населения автономного округа составляет 100%. Радиотерапия и радиоизотопная диагностика пациентам проводится в БУ "Окружная клиническая больница", специализированная помощь детям по профилю "онкология", "гематология" оказывается в БУ "Нижневартовская окружная детская клиническая больница".</w:t>
      </w:r>
    </w:p>
    <w:p>
      <w:pPr>
        <w:pStyle w:val="0"/>
        <w:spacing w:before="200" w:line-rule="auto"/>
        <w:ind w:firstLine="540"/>
        <w:jc w:val="both"/>
      </w:pPr>
      <w:r>
        <w:rPr>
          <w:sz w:val="20"/>
        </w:rPr>
        <w:t xml:space="preserve">Для проведения позитронно-эмиссионных томографий с 2019 года используются новые радиофармпрепараты, такие как Натрий-18-Фтор - позитронно-эмиссионная томография костей скелета, Углерод-14-Холин - позитронно-эмиссионная томография при диагностике опухолей предстательной железы.</w:t>
      </w:r>
    </w:p>
    <w:p>
      <w:pPr>
        <w:pStyle w:val="0"/>
        <w:spacing w:before="200" w:line-rule="auto"/>
        <w:ind w:firstLine="540"/>
        <w:jc w:val="both"/>
      </w:pPr>
      <w:r>
        <w:rPr>
          <w:sz w:val="20"/>
        </w:rPr>
        <w:t xml:space="preserve">Общеклиническая лаборатория.</w:t>
      </w:r>
    </w:p>
    <w:p>
      <w:pPr>
        <w:pStyle w:val="0"/>
        <w:spacing w:before="200" w:line-rule="auto"/>
        <w:ind w:firstLine="540"/>
        <w:jc w:val="both"/>
      </w:pPr>
      <w:r>
        <w:rPr>
          <w:sz w:val="20"/>
        </w:rPr>
        <w:t xml:space="preserve">Патологоанатомическое отделение. Оснащение отделения оборудованием представлено в </w:t>
      </w:r>
      <w:hyperlink w:history="0" w:anchor="P11127" w:tooltip="Оснащение радиотерапевтического блока в Ханты-Мансийском">
        <w:r>
          <w:rPr>
            <w:sz w:val="20"/>
            <w:color w:val="0000ff"/>
          </w:rPr>
          <w:t xml:space="preserve">таблице 39</w:t>
        </w:r>
      </w:hyperlink>
      <w:r>
        <w:rPr>
          <w:sz w:val="20"/>
        </w:rPr>
        <w:t xml:space="preserve">.</w:t>
      </w:r>
    </w:p>
    <w:p>
      <w:pPr>
        <w:pStyle w:val="0"/>
        <w:spacing w:before="200" w:line-rule="auto"/>
        <w:ind w:firstLine="540"/>
        <w:jc w:val="both"/>
      </w:pPr>
      <w:r>
        <w:rPr>
          <w:sz w:val="20"/>
        </w:rPr>
        <w:t xml:space="preserve">Радиотерапевтический блок: оснащение блока оборудованием представлено в таблице 39.</w:t>
      </w:r>
    </w:p>
    <w:p>
      <w:pPr>
        <w:pStyle w:val="0"/>
        <w:ind w:firstLine="540"/>
        <w:jc w:val="both"/>
      </w:pPr>
      <w:r>
        <w:rPr>
          <w:sz w:val="20"/>
        </w:rPr>
      </w:r>
    </w:p>
    <w:p>
      <w:pPr>
        <w:pStyle w:val="0"/>
        <w:jc w:val="right"/>
      </w:pPr>
      <w:r>
        <w:rPr>
          <w:sz w:val="20"/>
        </w:rPr>
        <w:t xml:space="preserve">Таблица 39</w:t>
      </w:r>
    </w:p>
    <w:p>
      <w:pPr>
        <w:pStyle w:val="0"/>
        <w:jc w:val="right"/>
      </w:pPr>
      <w:r>
        <w:rPr>
          <w:sz w:val="20"/>
        </w:rPr>
      </w:r>
    </w:p>
    <w:bookmarkStart w:id="11127" w:name="P11127"/>
    <w:bookmarkEnd w:id="11127"/>
    <w:p>
      <w:pPr>
        <w:pStyle w:val="0"/>
        <w:jc w:val="center"/>
      </w:pPr>
      <w:r>
        <w:rPr>
          <w:sz w:val="20"/>
        </w:rPr>
        <w:t xml:space="preserve">Оснащение радиотерапевтического блока в Ханты-Мансийском</w:t>
      </w:r>
    </w:p>
    <w:p>
      <w:pPr>
        <w:pStyle w:val="0"/>
        <w:jc w:val="center"/>
      </w:pPr>
      <w:r>
        <w:rPr>
          <w:sz w:val="20"/>
        </w:rPr>
        <w:t xml:space="preserve">автономном округе - Югре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077"/>
        <w:gridCol w:w="1962"/>
        <w:gridCol w:w="3022"/>
      </w:tblGrid>
      <w:tr>
        <w:tc>
          <w:tcPr>
            <w:tcW w:w="4077" w:type="dxa"/>
          </w:tcPr>
          <w:p>
            <w:pPr>
              <w:pStyle w:val="0"/>
              <w:jc w:val="center"/>
            </w:pPr>
            <w:r>
              <w:rPr>
                <w:sz w:val="20"/>
              </w:rPr>
              <w:t xml:space="preserve">Наименование медицинского оборудования</w:t>
            </w:r>
          </w:p>
        </w:tc>
        <w:tc>
          <w:tcPr>
            <w:tcW w:w="1962" w:type="dxa"/>
          </w:tcPr>
          <w:p>
            <w:pPr>
              <w:pStyle w:val="0"/>
              <w:jc w:val="center"/>
            </w:pPr>
            <w:r>
              <w:rPr>
                <w:sz w:val="20"/>
              </w:rPr>
              <w:t xml:space="preserve">Год введения в эксплуатацию</w:t>
            </w:r>
          </w:p>
        </w:tc>
        <w:tc>
          <w:tcPr>
            <w:tcW w:w="3022" w:type="dxa"/>
          </w:tcPr>
          <w:p>
            <w:pPr>
              <w:pStyle w:val="0"/>
              <w:jc w:val="center"/>
            </w:pPr>
            <w:r>
              <w:rPr>
                <w:sz w:val="20"/>
              </w:rPr>
              <w:t xml:space="preserve">Наименование медицинской организации - базы расположения оборудования</w:t>
            </w:r>
          </w:p>
        </w:tc>
      </w:tr>
      <w:tr>
        <w:tc>
          <w:tcPr>
            <w:tcW w:w="4077" w:type="dxa"/>
          </w:tcPr>
          <w:p>
            <w:pPr>
              <w:pStyle w:val="0"/>
            </w:pPr>
            <w:r>
              <w:rPr>
                <w:sz w:val="20"/>
              </w:rPr>
              <w:t xml:space="preserve">Аппарат для дистанционной гамма терапии Gamma Knife Precision</w:t>
            </w:r>
          </w:p>
        </w:tc>
        <w:tc>
          <w:tcPr>
            <w:tcW w:w="1962" w:type="dxa"/>
          </w:tcPr>
          <w:p>
            <w:pPr>
              <w:pStyle w:val="0"/>
              <w:jc w:val="center"/>
            </w:pPr>
            <w:r>
              <w:rPr>
                <w:sz w:val="20"/>
              </w:rPr>
              <w:t xml:space="preserve">2012</w:t>
            </w:r>
          </w:p>
        </w:tc>
        <w:tc>
          <w:tcPr>
            <w:tcW w:w="3022" w:type="dxa"/>
          </w:tcPr>
          <w:p>
            <w:pPr>
              <w:pStyle w:val="0"/>
            </w:pPr>
            <w:r>
              <w:rPr>
                <w:sz w:val="20"/>
              </w:rPr>
              <w:t xml:space="preserve">БУ "Окружная клиническая больница"</w:t>
            </w:r>
          </w:p>
        </w:tc>
      </w:tr>
      <w:tr>
        <w:tc>
          <w:tcPr>
            <w:tcW w:w="4077" w:type="dxa"/>
          </w:tcPr>
          <w:p>
            <w:pPr>
              <w:pStyle w:val="0"/>
            </w:pPr>
            <w:r>
              <w:rPr>
                <w:sz w:val="20"/>
              </w:rPr>
              <w:t xml:space="preserve">Ускорительный комплекс с максимальной энергией 3 - 20 МэВ с многолепестковым коллиматором с функциями модуляции интенсивности пучка, с системой с рентгеновской или магнитно-резонансной визуализацией с технологией контроля дыхания пациента Elekta Axess</w:t>
            </w:r>
          </w:p>
        </w:tc>
        <w:tc>
          <w:tcPr>
            <w:tcW w:w="1962" w:type="dxa"/>
          </w:tcPr>
          <w:p>
            <w:pPr>
              <w:pStyle w:val="0"/>
              <w:jc w:val="center"/>
            </w:pPr>
            <w:r>
              <w:rPr>
                <w:sz w:val="20"/>
              </w:rPr>
              <w:t xml:space="preserve">2012</w:t>
            </w:r>
          </w:p>
        </w:tc>
        <w:tc>
          <w:tcPr>
            <w:tcW w:w="3022" w:type="dxa"/>
          </w:tcPr>
          <w:p>
            <w:pPr>
              <w:pStyle w:val="0"/>
            </w:pPr>
            <w:r>
              <w:rPr>
                <w:sz w:val="20"/>
              </w:rPr>
              <w:t xml:space="preserve">БУ "Окружная клиническая больница"</w:t>
            </w:r>
          </w:p>
        </w:tc>
      </w:tr>
      <w:tr>
        <w:tc>
          <w:tcPr>
            <w:tcW w:w="4077" w:type="dxa"/>
          </w:tcPr>
          <w:p>
            <w:pPr>
              <w:pStyle w:val="0"/>
            </w:pPr>
            <w:r>
              <w:rPr>
                <w:sz w:val="20"/>
              </w:rPr>
              <w:t xml:space="preserve">Ускорительный комплекс с максимальной энергией 3 - 20 МэВ с многолепестковым коллиматором с функциями модуляции интенсивности пучка, с системой с рентгеновской или магнитно-резонансной визуализацией с технологией контроля дыхания пациента Elekta Versa</w:t>
            </w:r>
          </w:p>
        </w:tc>
        <w:tc>
          <w:tcPr>
            <w:tcW w:w="1962" w:type="dxa"/>
          </w:tcPr>
          <w:p>
            <w:pPr>
              <w:pStyle w:val="0"/>
              <w:jc w:val="center"/>
            </w:pPr>
            <w:r>
              <w:rPr>
                <w:sz w:val="20"/>
              </w:rPr>
              <w:t xml:space="preserve">2022</w:t>
            </w:r>
          </w:p>
        </w:tc>
        <w:tc>
          <w:tcPr>
            <w:tcW w:w="3022" w:type="dxa"/>
          </w:tcPr>
          <w:p>
            <w:pPr>
              <w:pStyle w:val="0"/>
            </w:pPr>
            <w:r>
              <w:rPr>
                <w:sz w:val="20"/>
              </w:rPr>
              <w:t xml:space="preserve">БУ "Окружная клиническая больница"</w:t>
            </w:r>
          </w:p>
        </w:tc>
      </w:tr>
      <w:tr>
        <w:tc>
          <w:tcPr>
            <w:tcW w:w="4077" w:type="dxa"/>
          </w:tcPr>
          <w:p>
            <w:pPr>
              <w:pStyle w:val="0"/>
            </w:pPr>
            <w:r>
              <w:rPr>
                <w:sz w:val="20"/>
              </w:rPr>
              <w:t xml:space="preserve">Установка брахитерапии microselectron IBU Nucletron BV</w:t>
            </w:r>
          </w:p>
        </w:tc>
        <w:tc>
          <w:tcPr>
            <w:tcW w:w="1962" w:type="dxa"/>
          </w:tcPr>
          <w:p>
            <w:pPr>
              <w:pStyle w:val="0"/>
              <w:jc w:val="center"/>
            </w:pPr>
            <w:r>
              <w:rPr>
                <w:sz w:val="20"/>
              </w:rPr>
              <w:t xml:space="preserve">2012</w:t>
            </w:r>
          </w:p>
        </w:tc>
        <w:tc>
          <w:tcPr>
            <w:tcW w:w="3022" w:type="dxa"/>
          </w:tcPr>
          <w:p>
            <w:pPr>
              <w:pStyle w:val="0"/>
            </w:pPr>
            <w:r>
              <w:rPr>
                <w:sz w:val="20"/>
              </w:rPr>
              <w:t xml:space="preserve">БУ "Окружная клиническая больница"</w:t>
            </w:r>
          </w:p>
        </w:tc>
      </w:tr>
      <w:tr>
        <w:tc>
          <w:tcPr>
            <w:tcW w:w="4077" w:type="dxa"/>
          </w:tcPr>
          <w:p>
            <w:pPr>
              <w:pStyle w:val="0"/>
            </w:pPr>
            <w:r>
              <w:rPr>
                <w:sz w:val="20"/>
              </w:rPr>
              <w:t xml:space="preserve">Аппарат контактной лучевой терапии MultiSource HDR</w:t>
            </w:r>
          </w:p>
        </w:tc>
        <w:tc>
          <w:tcPr>
            <w:tcW w:w="1962" w:type="dxa"/>
          </w:tcPr>
          <w:p>
            <w:pPr>
              <w:pStyle w:val="0"/>
              <w:jc w:val="center"/>
            </w:pPr>
            <w:r>
              <w:rPr>
                <w:sz w:val="20"/>
              </w:rPr>
              <w:t xml:space="preserve">2012</w:t>
            </w:r>
          </w:p>
        </w:tc>
        <w:tc>
          <w:tcPr>
            <w:tcW w:w="3022" w:type="dxa"/>
          </w:tcPr>
          <w:p>
            <w:pPr>
              <w:pStyle w:val="0"/>
            </w:pPr>
            <w:r>
              <w:rPr>
                <w:sz w:val="20"/>
              </w:rPr>
              <w:t xml:space="preserve">БУ "Окружная клиническая больница"</w:t>
            </w:r>
          </w:p>
        </w:tc>
      </w:tr>
      <w:tr>
        <w:tc>
          <w:tcPr>
            <w:tcW w:w="4077" w:type="dxa"/>
          </w:tcPr>
          <w:p>
            <w:pPr>
              <w:pStyle w:val="0"/>
            </w:pPr>
            <w:r>
              <w:rPr>
                <w:sz w:val="20"/>
              </w:rPr>
              <w:t xml:space="preserve">Аппарат рентгенотерапевтический модели Gulmay D3225</w:t>
            </w:r>
          </w:p>
        </w:tc>
        <w:tc>
          <w:tcPr>
            <w:tcW w:w="1962" w:type="dxa"/>
          </w:tcPr>
          <w:p>
            <w:pPr>
              <w:pStyle w:val="0"/>
              <w:jc w:val="center"/>
            </w:pPr>
            <w:r>
              <w:rPr>
                <w:sz w:val="20"/>
              </w:rPr>
              <w:t xml:space="preserve">2012</w:t>
            </w:r>
          </w:p>
        </w:tc>
        <w:tc>
          <w:tcPr>
            <w:tcW w:w="3022" w:type="dxa"/>
          </w:tcPr>
          <w:p>
            <w:pPr>
              <w:pStyle w:val="0"/>
            </w:pPr>
            <w:r>
              <w:rPr>
                <w:sz w:val="20"/>
              </w:rPr>
              <w:t xml:space="preserve">БУ "Окружная клиническая больница"</w:t>
            </w:r>
          </w:p>
        </w:tc>
      </w:tr>
      <w:tr>
        <w:tc>
          <w:tcPr>
            <w:tcW w:w="4077" w:type="dxa"/>
          </w:tcPr>
          <w:p>
            <w:pPr>
              <w:pStyle w:val="0"/>
            </w:pPr>
            <w:r>
              <w:rPr>
                <w:sz w:val="20"/>
              </w:rPr>
              <w:t xml:space="preserve">Аппарат для интраоперационной лучевой терапии Intrabeam PRS 500</w:t>
            </w:r>
          </w:p>
        </w:tc>
        <w:tc>
          <w:tcPr>
            <w:tcW w:w="1962" w:type="dxa"/>
          </w:tcPr>
          <w:p>
            <w:pPr>
              <w:pStyle w:val="0"/>
              <w:jc w:val="center"/>
            </w:pPr>
            <w:r>
              <w:rPr>
                <w:sz w:val="20"/>
              </w:rPr>
              <w:t xml:space="preserve">2016</w:t>
            </w:r>
          </w:p>
        </w:tc>
        <w:tc>
          <w:tcPr>
            <w:tcW w:w="3022" w:type="dxa"/>
          </w:tcPr>
          <w:p>
            <w:pPr>
              <w:pStyle w:val="0"/>
            </w:pPr>
            <w:r>
              <w:rPr>
                <w:sz w:val="20"/>
              </w:rPr>
              <w:t xml:space="preserve">БУ "Окружная клиническая больница"</w:t>
            </w:r>
          </w:p>
        </w:tc>
      </w:tr>
    </w:tbl>
    <w:p>
      <w:pPr>
        <w:pStyle w:val="0"/>
        <w:ind w:firstLine="540"/>
        <w:jc w:val="both"/>
      </w:pPr>
      <w:r>
        <w:rPr>
          <w:sz w:val="20"/>
        </w:rPr>
      </w:r>
    </w:p>
    <w:p>
      <w:pPr>
        <w:pStyle w:val="0"/>
        <w:ind w:firstLine="540"/>
        <w:jc w:val="both"/>
      </w:pPr>
      <w:r>
        <w:rPr>
          <w:sz w:val="20"/>
        </w:rPr>
        <w:t xml:space="preserve">Отдел медицинской физики.</w:t>
      </w:r>
    </w:p>
    <w:p>
      <w:pPr>
        <w:pStyle w:val="0"/>
        <w:spacing w:before="200" w:line-rule="auto"/>
        <w:ind w:firstLine="540"/>
        <w:jc w:val="both"/>
      </w:pPr>
      <w:r>
        <w:rPr>
          <w:sz w:val="20"/>
        </w:rPr>
        <w:t xml:space="preserve">Запущено производство радиофармпрепаратов на месте согласно номенклатурному списку:</w:t>
      </w:r>
    </w:p>
    <w:p>
      <w:pPr>
        <w:pStyle w:val="0"/>
        <w:spacing w:before="200" w:line-rule="auto"/>
        <w:ind w:firstLine="540"/>
        <w:jc w:val="both"/>
      </w:pPr>
      <w:r>
        <w:rPr>
          <w:sz w:val="20"/>
        </w:rPr>
        <w:t xml:space="preserve">на основе генератора технеция-99 м: "Пирфотех", "Фосфотех", "Технетрил", "Теоксим", "Технефит", "Макротех", "Пентатех", "Технемек", "Технемаг";</w:t>
      </w:r>
    </w:p>
    <w:p>
      <w:pPr>
        <w:pStyle w:val="0"/>
        <w:spacing w:before="200" w:line-rule="auto"/>
        <w:ind w:firstLine="540"/>
        <w:jc w:val="both"/>
      </w:pPr>
      <w:r>
        <w:rPr>
          <w:sz w:val="20"/>
        </w:rPr>
        <w:t xml:space="preserve">на основе позитронно-эмиссионных радиоактивных меток: 2-[18F]-фтор-2-дезокси-D-глюкоза и L-[11C-метил] - метионин.</w:t>
      </w:r>
    </w:p>
    <w:p>
      <w:pPr>
        <w:pStyle w:val="0"/>
        <w:spacing w:before="200" w:line-rule="auto"/>
        <w:ind w:firstLine="540"/>
        <w:jc w:val="both"/>
      </w:pPr>
      <w:r>
        <w:rPr>
          <w:sz w:val="20"/>
        </w:rPr>
        <w:t xml:space="preserve">В 2019 году расширен список приготовляемых радиофармпрепаратов на основе генератора технеция-99 м ("Резоскан", "Церетек") и ПЭТ РФП (Na18F, [N-метил-11C]-холин).</w:t>
      </w:r>
    </w:p>
    <w:p>
      <w:pPr>
        <w:pStyle w:val="0"/>
        <w:spacing w:before="200" w:line-rule="auto"/>
        <w:ind w:firstLine="540"/>
        <w:jc w:val="both"/>
      </w:pPr>
      <w:r>
        <w:rPr>
          <w:sz w:val="20"/>
        </w:rPr>
        <w:t xml:space="preserve">Специализированную онкологическую помощь в автономном округе оказывают 138 врачей-онкологов, в том числе 78 человек в подразделениях, оказывающих медицинскую помощь в амбулаторных условиях. Обеспеченность составляет 0,8 на 10 тыс. населения (по Российской Федерации в 2021 году - 0,5). Коэффициент совместительства - 1,29 (по Российской Федерации в 2021 году - 1,5).</w:t>
      </w:r>
    </w:p>
    <w:p>
      <w:pPr>
        <w:pStyle w:val="0"/>
        <w:spacing w:before="200" w:line-rule="auto"/>
        <w:ind w:firstLine="540"/>
        <w:jc w:val="both"/>
      </w:pPr>
      <w:r>
        <w:rPr>
          <w:sz w:val="20"/>
        </w:rPr>
        <w:t xml:space="preserve">В медицинских организациях автономного округа 189 штатных должностей врача-онколога, занято - 172, в том числе в поликлиниках 106,5 штатной должности, занято - 92,75 и 10,5 должности врача-радиолога, занято - 9,5 ставки, физических лиц - 9 человек, врачей-онкологов на занятых должностях насчитывается 138 человек, из них 6 детских.</w:t>
      </w:r>
    </w:p>
    <w:p>
      <w:pPr>
        <w:pStyle w:val="0"/>
        <w:spacing w:before="200" w:line-rule="auto"/>
        <w:ind w:firstLine="540"/>
        <w:jc w:val="both"/>
      </w:pPr>
      <w:r>
        <w:rPr>
          <w:sz w:val="20"/>
        </w:rPr>
        <w:t xml:space="preserve">В соответствии с паспортом региональной программы "Борьба с онкологическими заболеваниями" в 2019 открыто 2 центра амбулаторной онкологической помощи на базе БУ "Окружная клиническая больница", БУ "Сургутская окружная клиническая больница", в 2020 году еще 2 на базе БУ "Нефтеюганская окружная клиническая больница им. В.И. Яцкив" и автономного учреждения Ханты-Мансийского автономного округа - Югры (далее - АУ) "Советская районная больница, в 2021 году - на базе БУ "Няганская городская поликлиника" (таблица 40).</w:t>
      </w:r>
    </w:p>
    <w:p>
      <w:pPr>
        <w:pStyle w:val="0"/>
        <w:ind w:firstLine="540"/>
        <w:jc w:val="both"/>
      </w:pPr>
      <w:r>
        <w:rPr>
          <w:sz w:val="20"/>
        </w:rPr>
      </w:r>
    </w:p>
    <w:p>
      <w:pPr>
        <w:pStyle w:val="0"/>
        <w:jc w:val="right"/>
      </w:pPr>
      <w:r>
        <w:rPr>
          <w:sz w:val="20"/>
        </w:rPr>
        <w:t xml:space="preserve">Таблица 40</w:t>
      </w:r>
    </w:p>
    <w:p>
      <w:pPr>
        <w:pStyle w:val="0"/>
        <w:jc w:val="right"/>
      </w:pPr>
      <w:r>
        <w:rPr>
          <w:sz w:val="20"/>
        </w:rPr>
      </w:r>
    </w:p>
    <w:bookmarkStart w:id="11166" w:name="P11166"/>
    <w:bookmarkEnd w:id="11166"/>
    <w:p>
      <w:pPr>
        <w:pStyle w:val="0"/>
        <w:jc w:val="center"/>
      </w:pPr>
      <w:r>
        <w:rPr>
          <w:sz w:val="20"/>
        </w:rPr>
        <w:t xml:space="preserve">Информация об организации первичных онкологических кабинетов</w:t>
      </w:r>
    </w:p>
    <w:p>
      <w:pPr>
        <w:pStyle w:val="0"/>
        <w:jc w:val="center"/>
      </w:pPr>
      <w:r>
        <w:rPr>
          <w:sz w:val="20"/>
        </w:rPr>
        <w:t xml:space="preserve">и центров амбулаторной онкологической помощи в автономном</w:t>
      </w:r>
    </w:p>
    <w:p>
      <w:pPr>
        <w:pStyle w:val="0"/>
        <w:jc w:val="center"/>
      </w:pPr>
      <w:r>
        <w:rPr>
          <w:sz w:val="20"/>
        </w:rPr>
        <w:t xml:space="preserve">округе</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438"/>
        <w:gridCol w:w="1444"/>
        <w:gridCol w:w="1774"/>
        <w:gridCol w:w="1759"/>
        <w:gridCol w:w="2209"/>
        <w:gridCol w:w="1609"/>
        <w:gridCol w:w="1969"/>
        <w:gridCol w:w="1834"/>
      </w:tblGrid>
      <w:tr>
        <w:tc>
          <w:tcPr>
            <w:tcW w:w="454" w:type="dxa"/>
            <w:vMerge w:val="restart"/>
          </w:tcPr>
          <w:p>
            <w:pPr>
              <w:pStyle w:val="0"/>
              <w:jc w:val="center"/>
            </w:pPr>
            <w:r>
              <w:rPr>
                <w:sz w:val="20"/>
              </w:rPr>
              <w:t xml:space="preserve">N п/п</w:t>
            </w:r>
          </w:p>
        </w:tc>
        <w:tc>
          <w:tcPr>
            <w:tcW w:w="2438" w:type="dxa"/>
            <w:vMerge w:val="restart"/>
          </w:tcPr>
          <w:p>
            <w:pPr>
              <w:pStyle w:val="0"/>
              <w:jc w:val="center"/>
            </w:pPr>
            <w:r>
              <w:rPr>
                <w:sz w:val="20"/>
              </w:rPr>
              <w:t xml:space="preserve">Муниципальные районы и городские округа автономного округа</w:t>
            </w:r>
          </w:p>
        </w:tc>
        <w:tc>
          <w:tcPr>
            <w:tcW w:w="1444" w:type="dxa"/>
            <w:vMerge w:val="restart"/>
          </w:tcPr>
          <w:p>
            <w:pPr>
              <w:pStyle w:val="0"/>
              <w:jc w:val="center"/>
            </w:pPr>
            <w:r>
              <w:rPr>
                <w:sz w:val="20"/>
              </w:rPr>
              <w:t xml:space="preserve">Численность населения</w:t>
            </w:r>
          </w:p>
        </w:tc>
        <w:tc>
          <w:tcPr>
            <w:gridSpan w:val="2"/>
            <w:tcW w:w="3533" w:type="dxa"/>
          </w:tcPr>
          <w:p>
            <w:pPr>
              <w:pStyle w:val="0"/>
              <w:jc w:val="center"/>
            </w:pPr>
            <w:r>
              <w:rPr>
                <w:sz w:val="20"/>
              </w:rPr>
              <w:t xml:space="preserve">Структурное подразделение</w:t>
            </w:r>
          </w:p>
        </w:tc>
        <w:tc>
          <w:tcPr>
            <w:tcW w:w="2209" w:type="dxa"/>
            <w:vMerge w:val="restart"/>
          </w:tcPr>
          <w:p>
            <w:pPr>
              <w:pStyle w:val="0"/>
              <w:jc w:val="center"/>
            </w:pPr>
            <w:r>
              <w:rPr>
                <w:sz w:val="20"/>
              </w:rPr>
              <w:t xml:space="preserve">Медицинская организация, на базе которой организован ПОК/ЦАОП</w:t>
            </w:r>
          </w:p>
        </w:tc>
        <w:tc>
          <w:tcPr>
            <w:tcW w:w="1609" w:type="dxa"/>
            <w:vMerge w:val="restart"/>
          </w:tcPr>
          <w:p>
            <w:pPr>
              <w:pStyle w:val="0"/>
              <w:jc w:val="center"/>
            </w:pPr>
            <w:r>
              <w:rPr>
                <w:sz w:val="20"/>
              </w:rPr>
              <w:t xml:space="preserve">Время доезда на общественном транспорте от самой отдаленной точки территории обслуживания до ПОК/ЦАОП, ч.</w:t>
            </w:r>
          </w:p>
        </w:tc>
        <w:tc>
          <w:tcPr>
            <w:tcW w:w="1969" w:type="dxa"/>
            <w:vMerge w:val="restart"/>
          </w:tcPr>
          <w:p>
            <w:pPr>
              <w:pStyle w:val="0"/>
              <w:jc w:val="center"/>
            </w:pPr>
            <w:r>
              <w:rPr>
                <w:sz w:val="20"/>
              </w:rPr>
              <w:t xml:space="preserve">Количество врачей-онкологов (фактически/ согласно штатному расписанию)</w:t>
            </w:r>
          </w:p>
        </w:tc>
        <w:tc>
          <w:tcPr>
            <w:tcW w:w="1834" w:type="dxa"/>
            <w:vMerge w:val="restart"/>
          </w:tcPr>
          <w:p>
            <w:pPr>
              <w:pStyle w:val="0"/>
              <w:jc w:val="center"/>
            </w:pPr>
            <w:r>
              <w:rPr>
                <w:sz w:val="20"/>
              </w:rPr>
              <w:t xml:space="preserve">Расстояние до регионального онкологического диспансера, км</w:t>
            </w:r>
          </w:p>
        </w:tc>
      </w:tr>
      <w:tr>
        <w:tc>
          <w:tcPr>
            <w:vMerge w:val="continue"/>
          </w:tcPr>
          <w:p/>
        </w:tc>
        <w:tc>
          <w:tcPr>
            <w:vMerge w:val="continue"/>
          </w:tcPr>
          <w:p/>
        </w:tc>
        <w:tc>
          <w:tcPr>
            <w:vMerge w:val="continue"/>
          </w:tcPr>
          <w:p/>
        </w:tc>
        <w:tc>
          <w:tcPr>
            <w:tcW w:w="1774" w:type="dxa"/>
          </w:tcPr>
          <w:p>
            <w:pPr>
              <w:pStyle w:val="0"/>
              <w:jc w:val="center"/>
            </w:pPr>
            <w:r>
              <w:rPr>
                <w:sz w:val="20"/>
              </w:rPr>
              <w:t xml:space="preserve">Первичный онкологический кабинет (ПОК)</w:t>
            </w:r>
          </w:p>
        </w:tc>
        <w:tc>
          <w:tcPr>
            <w:tcW w:w="1759" w:type="dxa"/>
          </w:tcPr>
          <w:p>
            <w:pPr>
              <w:pStyle w:val="0"/>
              <w:jc w:val="center"/>
            </w:pPr>
            <w:r>
              <w:rPr>
                <w:sz w:val="20"/>
              </w:rPr>
              <w:t xml:space="preserve">Центр амбулаторной онкологической помощи (ЦАОП) (год открытия)</w:t>
            </w:r>
          </w:p>
        </w:tc>
        <w:tc>
          <w:tcPr>
            <w:vMerge w:val="continue"/>
          </w:tcPr>
          <w:p/>
        </w:tc>
        <w:tc>
          <w:tcPr>
            <w:vMerge w:val="continue"/>
          </w:tcPr>
          <w:p/>
        </w:tc>
        <w:tc>
          <w:tcPr>
            <w:vMerge w:val="continue"/>
          </w:tcPr>
          <w:p/>
        </w:tc>
        <w:tc>
          <w:tcPr>
            <w:vMerge w:val="continue"/>
          </w:tcPr>
          <w:p/>
        </w:tc>
      </w:tr>
      <w:tr>
        <w:tc>
          <w:tcPr>
            <w:tcW w:w="454" w:type="dxa"/>
            <w:vMerge w:val="restart"/>
          </w:tcPr>
          <w:p>
            <w:pPr>
              <w:pStyle w:val="0"/>
            </w:pPr>
            <w:r>
              <w:rPr>
                <w:sz w:val="20"/>
              </w:rPr>
              <w:t xml:space="preserve">1</w:t>
            </w:r>
          </w:p>
        </w:tc>
        <w:tc>
          <w:tcPr>
            <w:tcW w:w="2438" w:type="dxa"/>
            <w:vMerge w:val="restart"/>
          </w:tcPr>
          <w:p>
            <w:pPr>
              <w:pStyle w:val="0"/>
            </w:pPr>
            <w:r>
              <w:rPr>
                <w:sz w:val="20"/>
              </w:rPr>
              <w:t xml:space="preserve">Березовский;</w:t>
            </w:r>
          </w:p>
          <w:p>
            <w:pPr>
              <w:pStyle w:val="0"/>
            </w:pPr>
            <w:r>
              <w:rPr>
                <w:sz w:val="20"/>
              </w:rPr>
              <w:t xml:space="preserve">Белоярский;</w:t>
            </w:r>
          </w:p>
          <w:p>
            <w:pPr>
              <w:pStyle w:val="0"/>
            </w:pPr>
            <w:r>
              <w:rPr>
                <w:sz w:val="20"/>
              </w:rPr>
              <w:t xml:space="preserve">Ханты-Мансийский;</w:t>
            </w:r>
          </w:p>
          <w:p>
            <w:pPr>
              <w:pStyle w:val="0"/>
            </w:pPr>
            <w:r>
              <w:rPr>
                <w:sz w:val="20"/>
              </w:rPr>
              <w:t xml:space="preserve">Ханты-Мансийск</w:t>
            </w:r>
          </w:p>
        </w:tc>
        <w:tc>
          <w:tcPr>
            <w:tcW w:w="1444" w:type="dxa"/>
            <w:vMerge w:val="restart"/>
          </w:tcPr>
          <w:p>
            <w:pPr>
              <w:pStyle w:val="0"/>
            </w:pPr>
            <w:r>
              <w:rPr>
                <w:sz w:val="20"/>
              </w:rPr>
              <w:t xml:space="preserve">171840</w:t>
            </w: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"Березовская районная больница"</w:t>
            </w:r>
          </w:p>
        </w:tc>
        <w:tc>
          <w:tcPr>
            <w:tcW w:w="1609" w:type="dxa"/>
          </w:tcPr>
          <w:p>
            <w:pPr>
              <w:pStyle w:val="0"/>
            </w:pPr>
            <w:r>
              <w:rPr>
                <w:sz w:val="20"/>
              </w:rPr>
              <w:t xml:space="preserve">2 - 3</w:t>
            </w:r>
          </w:p>
        </w:tc>
        <w:tc>
          <w:tcPr>
            <w:tcW w:w="1969" w:type="dxa"/>
          </w:tcPr>
          <w:p>
            <w:pPr>
              <w:pStyle w:val="0"/>
            </w:pPr>
            <w:r>
              <w:rPr>
                <w:sz w:val="20"/>
              </w:rPr>
              <w:t xml:space="preserve">0/1</w:t>
            </w:r>
          </w:p>
        </w:tc>
        <w:tc>
          <w:tcPr>
            <w:tcW w:w="1834" w:type="dxa"/>
          </w:tcPr>
          <w:p>
            <w:pPr>
              <w:pStyle w:val="0"/>
            </w:pPr>
            <w:r>
              <w:rPr>
                <w:sz w:val="20"/>
              </w:rPr>
              <w:t xml:space="preserve">570</w:t>
            </w:r>
          </w:p>
        </w:tc>
      </w:tr>
      <w:tr>
        <w:tc>
          <w:tcPr>
            <w:vMerge w:val="continue"/>
          </w:tcPr>
          <w:p/>
        </w:tc>
        <w:tc>
          <w:tcPr>
            <w:vMerge w:val="continue"/>
          </w:tcPr>
          <w:p/>
        </w:tc>
        <w:tc>
          <w:tcPr>
            <w:vMerge w:val="continue"/>
          </w:tcP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"Игримская районная больница"</w:t>
            </w:r>
          </w:p>
        </w:tc>
        <w:tc>
          <w:tcPr>
            <w:tcW w:w="1609" w:type="dxa"/>
          </w:tcPr>
          <w:p>
            <w:pPr>
              <w:pStyle w:val="0"/>
            </w:pPr>
            <w:r>
              <w:rPr>
                <w:sz w:val="20"/>
              </w:rPr>
              <w:t xml:space="preserve">2 - 3</w:t>
            </w:r>
          </w:p>
        </w:tc>
        <w:tc>
          <w:tcPr>
            <w:tcW w:w="1969" w:type="dxa"/>
          </w:tcPr>
          <w:p>
            <w:pPr>
              <w:pStyle w:val="0"/>
            </w:pPr>
            <w:r>
              <w:rPr>
                <w:sz w:val="20"/>
              </w:rPr>
              <w:t xml:space="preserve">1/1</w:t>
            </w:r>
          </w:p>
        </w:tc>
        <w:tc>
          <w:tcPr>
            <w:tcW w:w="1834" w:type="dxa"/>
          </w:tcPr>
          <w:p>
            <w:pPr>
              <w:pStyle w:val="0"/>
            </w:pPr>
            <w:r>
              <w:rPr>
                <w:sz w:val="20"/>
              </w:rPr>
              <w:t xml:space="preserve">483</w:t>
            </w:r>
          </w:p>
        </w:tc>
      </w:tr>
      <w:tr>
        <w:tc>
          <w:tcPr>
            <w:vMerge w:val="continue"/>
          </w:tcPr>
          <w:p/>
        </w:tc>
        <w:tc>
          <w:tcPr>
            <w:vMerge w:val="continue"/>
          </w:tcPr>
          <w:p/>
        </w:tc>
        <w:tc>
          <w:tcPr>
            <w:vMerge w:val="continue"/>
          </w:tcP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"Белоярская районная больница"</w:t>
            </w:r>
          </w:p>
        </w:tc>
        <w:tc>
          <w:tcPr>
            <w:tcW w:w="1609" w:type="dxa"/>
          </w:tcPr>
          <w:p>
            <w:pPr>
              <w:pStyle w:val="0"/>
            </w:pPr>
            <w:r>
              <w:rPr>
                <w:sz w:val="20"/>
              </w:rPr>
              <w:t xml:space="preserve">2 - 3</w:t>
            </w:r>
          </w:p>
        </w:tc>
        <w:tc>
          <w:tcPr>
            <w:tcW w:w="1969" w:type="dxa"/>
          </w:tcPr>
          <w:p>
            <w:pPr>
              <w:pStyle w:val="0"/>
            </w:pPr>
            <w:r>
              <w:rPr>
                <w:sz w:val="20"/>
              </w:rPr>
              <w:t xml:space="preserve">1/1</w:t>
            </w:r>
          </w:p>
        </w:tc>
        <w:tc>
          <w:tcPr>
            <w:tcW w:w="1834" w:type="dxa"/>
          </w:tcPr>
          <w:p>
            <w:pPr>
              <w:pStyle w:val="0"/>
            </w:pPr>
            <w:r>
              <w:rPr>
                <w:sz w:val="20"/>
              </w:rPr>
              <w:t xml:space="preserve">570</w:t>
            </w:r>
          </w:p>
        </w:tc>
      </w:tr>
      <w:tr>
        <w:tc>
          <w:tcPr>
            <w:vMerge w:val="continue"/>
          </w:tcPr>
          <w:p/>
        </w:tc>
        <w:tc>
          <w:tcPr>
            <w:vMerge w:val="continue"/>
          </w:tcPr>
          <w:p/>
        </w:tc>
        <w:tc>
          <w:tcPr>
            <w:vMerge w:val="continue"/>
          </w:tcP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"Ханты-Мансийская районная больница"</w:t>
            </w:r>
          </w:p>
        </w:tc>
        <w:tc>
          <w:tcPr>
            <w:tcW w:w="1609" w:type="dxa"/>
          </w:tcPr>
          <w:p>
            <w:pPr>
              <w:pStyle w:val="0"/>
            </w:pPr>
            <w:r>
              <w:rPr>
                <w:sz w:val="20"/>
              </w:rPr>
              <w:t xml:space="preserve">1 - 2</w:t>
            </w:r>
          </w:p>
        </w:tc>
        <w:tc>
          <w:tcPr>
            <w:tcW w:w="1969" w:type="dxa"/>
          </w:tcPr>
          <w:p>
            <w:pPr>
              <w:pStyle w:val="0"/>
            </w:pPr>
            <w:r>
              <w:rPr>
                <w:sz w:val="20"/>
              </w:rPr>
              <w:t xml:space="preserve">0/1</w:t>
            </w:r>
          </w:p>
        </w:tc>
        <w:tc>
          <w:tcPr>
            <w:tcW w:w="1834" w:type="dxa"/>
          </w:tcPr>
          <w:p>
            <w:pPr>
              <w:pStyle w:val="0"/>
            </w:pPr>
            <w:r>
              <w:rPr>
                <w:sz w:val="20"/>
              </w:rPr>
              <w:t xml:space="preserve">150</w:t>
            </w:r>
          </w:p>
        </w:tc>
      </w:tr>
      <w:tr>
        <w:tc>
          <w:tcPr>
            <w:vMerge w:val="continue"/>
          </w:tcPr>
          <w:p/>
        </w:tc>
        <w:tc>
          <w:tcPr>
            <w:vMerge w:val="continue"/>
          </w:tcPr>
          <w:p/>
        </w:tc>
        <w:tc>
          <w:tcPr>
            <w:vMerge w:val="continue"/>
          </w:tcPr>
          <w:p/>
        </w:tc>
        <w:tc>
          <w:tcPr>
            <w:tcW w:w="1774" w:type="dxa"/>
          </w:tcPr>
          <w:p>
            <w:pPr>
              <w:pStyle w:val="0"/>
            </w:pPr>
            <w:r>
              <w:rPr>
                <w:sz w:val="20"/>
              </w:rPr>
              <w:t xml:space="preserve">-</w:t>
            </w:r>
          </w:p>
        </w:tc>
        <w:tc>
          <w:tcPr>
            <w:tcW w:w="1759" w:type="dxa"/>
          </w:tcPr>
          <w:p>
            <w:pPr>
              <w:pStyle w:val="0"/>
            </w:pPr>
            <w:r>
              <w:rPr>
                <w:sz w:val="20"/>
              </w:rPr>
              <w:t xml:space="preserve">1(2019 год)</w:t>
            </w:r>
          </w:p>
        </w:tc>
        <w:tc>
          <w:tcPr>
            <w:tcW w:w="2209" w:type="dxa"/>
          </w:tcPr>
          <w:p>
            <w:pPr>
              <w:pStyle w:val="0"/>
            </w:pPr>
            <w:r>
              <w:rPr>
                <w:sz w:val="20"/>
              </w:rPr>
              <w:t xml:space="preserve">БУ "Окружная клиническая больница"</w:t>
            </w:r>
          </w:p>
        </w:tc>
        <w:tc>
          <w:tcPr>
            <w:tcW w:w="1609" w:type="dxa"/>
          </w:tcPr>
          <w:p>
            <w:pPr>
              <w:pStyle w:val="0"/>
            </w:pPr>
            <w:r>
              <w:rPr>
                <w:sz w:val="20"/>
              </w:rPr>
              <w:t xml:space="preserve">&gt;1/2</w:t>
            </w:r>
          </w:p>
        </w:tc>
        <w:tc>
          <w:tcPr>
            <w:tcW w:w="1969" w:type="dxa"/>
          </w:tcPr>
          <w:p>
            <w:pPr>
              <w:pStyle w:val="0"/>
            </w:pPr>
            <w:r>
              <w:rPr>
                <w:sz w:val="20"/>
              </w:rPr>
              <w:t xml:space="preserve">14/14</w:t>
            </w:r>
          </w:p>
        </w:tc>
        <w:tc>
          <w:tcPr>
            <w:tcW w:w="1834" w:type="dxa"/>
          </w:tcPr>
          <w:p>
            <w:pPr>
              <w:pStyle w:val="0"/>
            </w:pPr>
            <w:r>
              <w:rPr>
                <w:sz w:val="20"/>
              </w:rPr>
              <w:t xml:space="preserve">0</w:t>
            </w:r>
          </w:p>
        </w:tc>
      </w:tr>
      <w:tr>
        <w:tc>
          <w:tcPr>
            <w:tcW w:w="454" w:type="dxa"/>
            <w:vMerge w:val="restart"/>
          </w:tcPr>
          <w:p>
            <w:pPr>
              <w:pStyle w:val="0"/>
            </w:pPr>
            <w:r>
              <w:rPr>
                <w:sz w:val="20"/>
              </w:rPr>
              <w:t xml:space="preserve">2</w:t>
            </w:r>
          </w:p>
        </w:tc>
        <w:tc>
          <w:tcPr>
            <w:tcW w:w="2438" w:type="dxa"/>
            <w:vMerge w:val="restart"/>
          </w:tcPr>
          <w:p>
            <w:pPr>
              <w:pStyle w:val="0"/>
            </w:pPr>
            <w:r>
              <w:rPr>
                <w:sz w:val="20"/>
              </w:rPr>
              <w:t xml:space="preserve">Октябрьский,</w:t>
            </w:r>
          </w:p>
          <w:p>
            <w:pPr>
              <w:pStyle w:val="0"/>
            </w:pPr>
            <w:r>
              <w:rPr>
                <w:sz w:val="20"/>
              </w:rPr>
              <w:t xml:space="preserve">Нягань</w:t>
            </w:r>
          </w:p>
        </w:tc>
        <w:tc>
          <w:tcPr>
            <w:tcW w:w="1444" w:type="dxa"/>
            <w:vMerge w:val="restart"/>
          </w:tcPr>
          <w:p>
            <w:pPr>
              <w:pStyle w:val="0"/>
            </w:pPr>
            <w:r>
              <w:rPr>
                <w:sz w:val="20"/>
              </w:rPr>
              <w:t xml:space="preserve">86756</w:t>
            </w: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"Октябрьская районная больница"</w:t>
            </w:r>
          </w:p>
        </w:tc>
        <w:tc>
          <w:tcPr>
            <w:tcW w:w="1609" w:type="dxa"/>
          </w:tcPr>
          <w:p>
            <w:pPr>
              <w:pStyle w:val="0"/>
            </w:pPr>
            <w:r>
              <w:rPr>
                <w:sz w:val="20"/>
              </w:rPr>
              <w:t xml:space="preserve">2 - 3</w:t>
            </w:r>
          </w:p>
        </w:tc>
        <w:tc>
          <w:tcPr>
            <w:tcW w:w="1969" w:type="dxa"/>
          </w:tcPr>
          <w:p>
            <w:pPr>
              <w:pStyle w:val="0"/>
            </w:pPr>
            <w:r>
              <w:rPr>
                <w:sz w:val="20"/>
              </w:rPr>
              <w:t xml:space="preserve">1/1</w:t>
            </w:r>
          </w:p>
        </w:tc>
        <w:tc>
          <w:tcPr>
            <w:tcW w:w="1834" w:type="dxa"/>
          </w:tcPr>
          <w:p>
            <w:pPr>
              <w:pStyle w:val="0"/>
            </w:pPr>
            <w:r>
              <w:rPr>
                <w:sz w:val="20"/>
              </w:rPr>
              <w:t xml:space="preserve">370</w:t>
            </w:r>
          </w:p>
        </w:tc>
      </w:tr>
      <w:tr>
        <w:tc>
          <w:tcPr>
            <w:vMerge w:val="continue"/>
          </w:tcPr>
          <w:p/>
        </w:tc>
        <w:tc>
          <w:tcPr>
            <w:vMerge w:val="continue"/>
          </w:tcPr>
          <w:p/>
        </w:tc>
        <w:tc>
          <w:tcPr>
            <w:vMerge w:val="continue"/>
          </w:tcPr>
          <w:p/>
        </w:tc>
        <w:tc>
          <w:tcPr>
            <w:tcW w:w="1774" w:type="dxa"/>
          </w:tcPr>
          <w:p>
            <w:pPr>
              <w:pStyle w:val="0"/>
            </w:pPr>
            <w:r>
              <w:rPr>
                <w:sz w:val="20"/>
              </w:rPr>
              <w:t xml:space="preserve">-</w:t>
            </w:r>
          </w:p>
        </w:tc>
        <w:tc>
          <w:tcPr>
            <w:tcW w:w="1759" w:type="dxa"/>
          </w:tcPr>
          <w:p>
            <w:pPr>
              <w:pStyle w:val="0"/>
            </w:pPr>
            <w:r>
              <w:rPr>
                <w:sz w:val="20"/>
              </w:rPr>
              <w:t xml:space="preserve">1(2021 год)</w:t>
            </w:r>
          </w:p>
        </w:tc>
        <w:tc>
          <w:tcPr>
            <w:tcW w:w="2209" w:type="dxa"/>
          </w:tcPr>
          <w:p>
            <w:pPr>
              <w:pStyle w:val="0"/>
            </w:pPr>
            <w:r>
              <w:rPr>
                <w:sz w:val="20"/>
              </w:rPr>
              <w:t xml:space="preserve">БУ "Няганская городская поликлиника"</w:t>
            </w:r>
          </w:p>
        </w:tc>
        <w:tc>
          <w:tcPr>
            <w:tcW w:w="1609" w:type="dxa"/>
          </w:tcPr>
          <w:p>
            <w:pPr>
              <w:pStyle w:val="0"/>
            </w:pPr>
            <w:r>
              <w:rPr>
                <w:sz w:val="20"/>
              </w:rPr>
              <w:t xml:space="preserve">1 - 2</w:t>
            </w:r>
          </w:p>
        </w:tc>
        <w:tc>
          <w:tcPr>
            <w:tcW w:w="1969" w:type="dxa"/>
          </w:tcPr>
          <w:p>
            <w:pPr>
              <w:pStyle w:val="0"/>
            </w:pPr>
            <w:r>
              <w:rPr>
                <w:sz w:val="20"/>
              </w:rPr>
              <w:t xml:space="preserve">3/3</w:t>
            </w:r>
          </w:p>
        </w:tc>
        <w:tc>
          <w:tcPr>
            <w:tcW w:w="1834" w:type="dxa"/>
          </w:tcPr>
          <w:p>
            <w:pPr>
              <w:pStyle w:val="0"/>
            </w:pPr>
            <w:r>
              <w:rPr>
                <w:sz w:val="20"/>
              </w:rPr>
              <w:t xml:space="preserve">300</w:t>
            </w:r>
          </w:p>
        </w:tc>
      </w:tr>
      <w:tr>
        <w:tc>
          <w:tcPr>
            <w:tcW w:w="454" w:type="dxa"/>
            <w:vMerge w:val="restart"/>
          </w:tcPr>
          <w:p>
            <w:pPr>
              <w:pStyle w:val="0"/>
            </w:pPr>
            <w:r>
              <w:rPr>
                <w:sz w:val="20"/>
              </w:rPr>
              <w:t xml:space="preserve">3</w:t>
            </w:r>
          </w:p>
        </w:tc>
        <w:tc>
          <w:tcPr>
            <w:tcW w:w="2438" w:type="dxa"/>
            <w:vMerge w:val="restart"/>
          </w:tcPr>
          <w:p>
            <w:pPr>
              <w:pStyle w:val="0"/>
            </w:pPr>
            <w:r>
              <w:rPr>
                <w:sz w:val="20"/>
              </w:rPr>
              <w:t xml:space="preserve">Югорск; Урай;</w:t>
            </w:r>
          </w:p>
          <w:p>
            <w:pPr>
              <w:pStyle w:val="0"/>
            </w:pPr>
            <w:r>
              <w:rPr>
                <w:sz w:val="20"/>
              </w:rPr>
              <w:t xml:space="preserve">Кондинский;</w:t>
            </w:r>
          </w:p>
          <w:p>
            <w:pPr>
              <w:pStyle w:val="0"/>
            </w:pPr>
            <w:r>
              <w:rPr>
                <w:sz w:val="20"/>
              </w:rPr>
              <w:t xml:space="preserve">Советский</w:t>
            </w:r>
          </w:p>
        </w:tc>
        <w:tc>
          <w:tcPr>
            <w:tcW w:w="1444" w:type="dxa"/>
            <w:vMerge w:val="restart"/>
          </w:tcPr>
          <w:p>
            <w:pPr>
              <w:pStyle w:val="0"/>
            </w:pPr>
            <w:r>
              <w:rPr>
                <w:sz w:val="20"/>
              </w:rPr>
              <w:t xml:space="preserve">156883</w:t>
            </w: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"Югорская городская больница"</w:t>
            </w:r>
          </w:p>
        </w:tc>
        <w:tc>
          <w:tcPr>
            <w:tcW w:w="1609" w:type="dxa"/>
          </w:tcPr>
          <w:p>
            <w:pPr>
              <w:pStyle w:val="0"/>
            </w:pPr>
            <w:r>
              <w:rPr>
                <w:sz w:val="20"/>
              </w:rPr>
              <w:t xml:space="preserve">&gt;1</w:t>
            </w:r>
          </w:p>
        </w:tc>
        <w:tc>
          <w:tcPr>
            <w:tcW w:w="1969" w:type="dxa"/>
          </w:tcPr>
          <w:p>
            <w:pPr>
              <w:pStyle w:val="0"/>
            </w:pPr>
            <w:r>
              <w:rPr>
                <w:sz w:val="20"/>
              </w:rPr>
              <w:t xml:space="preserve">1/1</w:t>
            </w:r>
          </w:p>
        </w:tc>
        <w:tc>
          <w:tcPr>
            <w:tcW w:w="1834" w:type="dxa"/>
          </w:tcPr>
          <w:p>
            <w:pPr>
              <w:pStyle w:val="0"/>
            </w:pPr>
            <w:r>
              <w:rPr>
                <w:sz w:val="20"/>
              </w:rPr>
              <w:t xml:space="preserve">422</w:t>
            </w:r>
          </w:p>
        </w:tc>
      </w:tr>
      <w:tr>
        <w:tc>
          <w:tcPr>
            <w:vMerge w:val="continue"/>
          </w:tcPr>
          <w:p/>
        </w:tc>
        <w:tc>
          <w:tcPr>
            <w:vMerge w:val="continue"/>
          </w:tcPr>
          <w:p/>
        </w:tc>
        <w:tc>
          <w:tcPr>
            <w:vMerge w:val="continue"/>
          </w:tcPr>
          <w:p/>
        </w:tc>
        <w:tc>
          <w:tcPr>
            <w:tcW w:w="1774" w:type="dxa"/>
          </w:tcPr>
          <w:p>
            <w:pPr>
              <w:pStyle w:val="0"/>
            </w:pPr>
            <w:r>
              <w:rPr>
                <w:sz w:val="20"/>
              </w:rPr>
              <w:t xml:space="preserve">2</w:t>
            </w:r>
          </w:p>
        </w:tc>
        <w:tc>
          <w:tcPr>
            <w:tcW w:w="1759" w:type="dxa"/>
          </w:tcPr>
          <w:p>
            <w:pPr>
              <w:pStyle w:val="0"/>
            </w:pPr>
            <w:r>
              <w:rPr>
                <w:sz w:val="20"/>
              </w:rPr>
              <w:t xml:space="preserve">-</w:t>
            </w:r>
          </w:p>
        </w:tc>
        <w:tc>
          <w:tcPr>
            <w:tcW w:w="2209" w:type="dxa"/>
          </w:tcPr>
          <w:p>
            <w:pPr>
              <w:pStyle w:val="0"/>
            </w:pPr>
            <w:r>
              <w:rPr>
                <w:sz w:val="20"/>
              </w:rPr>
              <w:t xml:space="preserve">БУ "Урайская городская клиническая больница"</w:t>
            </w:r>
          </w:p>
        </w:tc>
        <w:tc>
          <w:tcPr>
            <w:tcW w:w="1609" w:type="dxa"/>
          </w:tcPr>
          <w:p>
            <w:pPr>
              <w:pStyle w:val="0"/>
            </w:pPr>
            <w:r>
              <w:rPr>
                <w:sz w:val="20"/>
              </w:rPr>
              <w:t xml:space="preserve">1 - 2</w:t>
            </w:r>
          </w:p>
        </w:tc>
        <w:tc>
          <w:tcPr>
            <w:tcW w:w="1969" w:type="dxa"/>
          </w:tcPr>
          <w:p>
            <w:pPr>
              <w:pStyle w:val="0"/>
            </w:pPr>
            <w:r>
              <w:rPr>
                <w:sz w:val="20"/>
              </w:rPr>
              <w:t xml:space="preserve">2/2</w:t>
            </w:r>
          </w:p>
        </w:tc>
        <w:tc>
          <w:tcPr>
            <w:tcW w:w="1834" w:type="dxa"/>
          </w:tcPr>
          <w:p>
            <w:pPr>
              <w:pStyle w:val="0"/>
            </w:pPr>
            <w:r>
              <w:rPr>
                <w:sz w:val="20"/>
              </w:rPr>
              <w:t xml:space="preserve">431</w:t>
            </w:r>
          </w:p>
        </w:tc>
      </w:tr>
      <w:tr>
        <w:tc>
          <w:tcPr>
            <w:vMerge w:val="continue"/>
          </w:tcPr>
          <w:p/>
        </w:tc>
        <w:tc>
          <w:tcPr>
            <w:vMerge w:val="continue"/>
          </w:tcPr>
          <w:p/>
        </w:tc>
        <w:tc>
          <w:tcPr>
            <w:vMerge w:val="continue"/>
          </w:tcP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"Кондинская районная больница"</w:t>
            </w:r>
          </w:p>
        </w:tc>
        <w:tc>
          <w:tcPr>
            <w:tcW w:w="1609" w:type="dxa"/>
          </w:tcPr>
          <w:p>
            <w:pPr>
              <w:pStyle w:val="0"/>
            </w:pPr>
            <w:r>
              <w:rPr>
                <w:sz w:val="20"/>
              </w:rPr>
              <w:t xml:space="preserve">1 - 2</w:t>
            </w:r>
          </w:p>
        </w:tc>
        <w:tc>
          <w:tcPr>
            <w:tcW w:w="1969" w:type="dxa"/>
          </w:tcPr>
          <w:p>
            <w:pPr>
              <w:pStyle w:val="0"/>
            </w:pPr>
            <w:r>
              <w:rPr>
                <w:sz w:val="20"/>
              </w:rPr>
              <w:t xml:space="preserve">0/1</w:t>
            </w:r>
          </w:p>
        </w:tc>
        <w:tc>
          <w:tcPr>
            <w:tcW w:w="1834" w:type="dxa"/>
          </w:tcPr>
          <w:p>
            <w:pPr>
              <w:pStyle w:val="0"/>
            </w:pPr>
            <w:r>
              <w:rPr>
                <w:sz w:val="20"/>
              </w:rPr>
              <w:t xml:space="preserve">546</w:t>
            </w:r>
          </w:p>
        </w:tc>
      </w:tr>
      <w:tr>
        <w:tc>
          <w:tcPr>
            <w:vMerge w:val="continue"/>
          </w:tcPr>
          <w:p/>
        </w:tc>
        <w:tc>
          <w:tcPr>
            <w:vMerge w:val="continue"/>
          </w:tcPr>
          <w:p/>
        </w:tc>
        <w:tc>
          <w:tcPr>
            <w:vMerge w:val="continue"/>
          </w:tcP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"Пионерская районная больница"</w:t>
            </w:r>
          </w:p>
        </w:tc>
        <w:tc>
          <w:tcPr>
            <w:tcW w:w="1609" w:type="dxa"/>
          </w:tcPr>
          <w:p>
            <w:pPr>
              <w:pStyle w:val="0"/>
            </w:pPr>
            <w:r>
              <w:rPr>
                <w:sz w:val="20"/>
              </w:rPr>
              <w:t xml:space="preserve">&gt;1</w:t>
            </w:r>
          </w:p>
        </w:tc>
        <w:tc>
          <w:tcPr>
            <w:tcW w:w="1969" w:type="dxa"/>
          </w:tcPr>
          <w:p>
            <w:pPr>
              <w:pStyle w:val="0"/>
            </w:pPr>
            <w:r>
              <w:rPr>
                <w:sz w:val="20"/>
              </w:rPr>
              <w:t xml:space="preserve">1/1</w:t>
            </w:r>
          </w:p>
        </w:tc>
        <w:tc>
          <w:tcPr>
            <w:tcW w:w="1834" w:type="dxa"/>
          </w:tcPr>
          <w:p>
            <w:pPr>
              <w:pStyle w:val="0"/>
            </w:pPr>
            <w:r>
              <w:rPr>
                <w:sz w:val="20"/>
              </w:rPr>
              <w:t xml:space="preserve">418</w:t>
            </w:r>
          </w:p>
        </w:tc>
      </w:tr>
      <w:tr>
        <w:tc>
          <w:tcPr>
            <w:vMerge w:val="continue"/>
          </w:tcPr>
          <w:p/>
        </w:tc>
        <w:tc>
          <w:tcPr>
            <w:vMerge w:val="continue"/>
          </w:tcPr>
          <w:p/>
        </w:tc>
        <w:tc>
          <w:tcPr>
            <w:vMerge w:val="continue"/>
          </w:tcPr>
          <w:p/>
        </w:tc>
        <w:tc>
          <w:tcPr>
            <w:tcW w:w="1774" w:type="dxa"/>
          </w:tcPr>
          <w:p>
            <w:pPr>
              <w:pStyle w:val="0"/>
            </w:pPr>
            <w:r>
              <w:rPr>
                <w:sz w:val="20"/>
              </w:rPr>
              <w:t xml:space="preserve">-</w:t>
            </w:r>
          </w:p>
        </w:tc>
        <w:tc>
          <w:tcPr>
            <w:tcW w:w="1759" w:type="dxa"/>
          </w:tcPr>
          <w:p>
            <w:pPr>
              <w:pStyle w:val="0"/>
            </w:pPr>
            <w:r>
              <w:rPr>
                <w:sz w:val="20"/>
              </w:rPr>
              <w:t xml:space="preserve">1 (2020 год)</w:t>
            </w:r>
          </w:p>
        </w:tc>
        <w:tc>
          <w:tcPr>
            <w:tcW w:w="2209" w:type="dxa"/>
          </w:tcPr>
          <w:p>
            <w:pPr>
              <w:pStyle w:val="0"/>
            </w:pPr>
            <w:r>
              <w:rPr>
                <w:sz w:val="20"/>
              </w:rPr>
              <w:t xml:space="preserve">АУ "Советская районная больница"</w:t>
            </w:r>
          </w:p>
        </w:tc>
        <w:tc>
          <w:tcPr>
            <w:tcW w:w="1609" w:type="dxa"/>
          </w:tcPr>
          <w:p>
            <w:pPr>
              <w:pStyle w:val="0"/>
            </w:pPr>
            <w:r>
              <w:rPr>
                <w:sz w:val="20"/>
              </w:rPr>
              <w:t xml:space="preserve">&gt;1/2</w:t>
            </w:r>
          </w:p>
        </w:tc>
        <w:tc>
          <w:tcPr>
            <w:tcW w:w="1969" w:type="dxa"/>
          </w:tcPr>
          <w:p>
            <w:pPr>
              <w:pStyle w:val="0"/>
            </w:pPr>
            <w:r>
              <w:rPr>
                <w:sz w:val="20"/>
              </w:rPr>
              <w:t xml:space="preserve">2/2</w:t>
            </w:r>
          </w:p>
        </w:tc>
        <w:tc>
          <w:tcPr>
            <w:tcW w:w="1834" w:type="dxa"/>
          </w:tcPr>
          <w:p>
            <w:pPr>
              <w:pStyle w:val="0"/>
            </w:pPr>
            <w:r>
              <w:rPr>
                <w:sz w:val="20"/>
              </w:rPr>
              <w:t xml:space="preserve">365</w:t>
            </w:r>
          </w:p>
        </w:tc>
      </w:tr>
      <w:tr>
        <w:tc>
          <w:tcPr>
            <w:tcW w:w="454" w:type="dxa"/>
            <w:vMerge w:val="restart"/>
          </w:tcPr>
          <w:p>
            <w:pPr>
              <w:pStyle w:val="0"/>
            </w:pPr>
            <w:r>
              <w:rPr>
                <w:sz w:val="20"/>
              </w:rPr>
              <w:t xml:space="preserve">4</w:t>
            </w:r>
          </w:p>
        </w:tc>
        <w:tc>
          <w:tcPr>
            <w:tcW w:w="2438" w:type="dxa"/>
            <w:vMerge w:val="restart"/>
          </w:tcPr>
          <w:p>
            <w:pPr>
              <w:pStyle w:val="0"/>
            </w:pPr>
            <w:r>
              <w:rPr>
                <w:sz w:val="20"/>
              </w:rPr>
              <w:t xml:space="preserve">г. Пыть-Ях;</w:t>
            </w:r>
          </w:p>
          <w:p>
            <w:pPr>
              <w:pStyle w:val="0"/>
            </w:pPr>
            <w:r>
              <w:rPr>
                <w:sz w:val="20"/>
              </w:rPr>
              <w:t xml:space="preserve">Нефтеюганский;</w:t>
            </w:r>
          </w:p>
          <w:p>
            <w:pPr>
              <w:pStyle w:val="0"/>
            </w:pPr>
            <w:r>
              <w:rPr>
                <w:sz w:val="20"/>
              </w:rPr>
              <w:t xml:space="preserve">Нефтеюганск</w:t>
            </w:r>
          </w:p>
        </w:tc>
        <w:tc>
          <w:tcPr>
            <w:tcW w:w="1444" w:type="dxa"/>
            <w:vMerge w:val="restart"/>
          </w:tcPr>
          <w:p>
            <w:pPr>
              <w:pStyle w:val="0"/>
            </w:pPr>
            <w:r>
              <w:rPr>
                <w:sz w:val="20"/>
              </w:rPr>
              <w:t xml:space="preserve">211489</w:t>
            </w: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"Пыть-Яхская окружная клиническая больница"</w:t>
            </w:r>
          </w:p>
        </w:tc>
        <w:tc>
          <w:tcPr>
            <w:tcW w:w="1609" w:type="dxa"/>
          </w:tcPr>
          <w:p>
            <w:pPr>
              <w:pStyle w:val="0"/>
            </w:pPr>
            <w:r>
              <w:rPr>
                <w:sz w:val="20"/>
              </w:rPr>
              <w:t xml:space="preserve">&gt;1</w:t>
            </w:r>
          </w:p>
        </w:tc>
        <w:tc>
          <w:tcPr>
            <w:tcW w:w="1969" w:type="dxa"/>
          </w:tcPr>
          <w:p>
            <w:pPr>
              <w:pStyle w:val="0"/>
            </w:pPr>
            <w:r>
              <w:rPr>
                <w:sz w:val="20"/>
              </w:rPr>
              <w:t xml:space="preserve">1/1</w:t>
            </w:r>
          </w:p>
        </w:tc>
        <w:tc>
          <w:tcPr>
            <w:tcW w:w="1834" w:type="dxa"/>
          </w:tcPr>
          <w:p>
            <w:pPr>
              <w:pStyle w:val="0"/>
            </w:pPr>
            <w:r>
              <w:rPr>
                <w:sz w:val="20"/>
              </w:rPr>
              <w:t xml:space="preserve">100</w:t>
            </w:r>
          </w:p>
        </w:tc>
      </w:tr>
      <w:tr>
        <w:tc>
          <w:tcPr>
            <w:vMerge w:val="continue"/>
          </w:tcPr>
          <w:p/>
        </w:tc>
        <w:tc>
          <w:tcPr>
            <w:vMerge w:val="continue"/>
          </w:tcPr>
          <w:p/>
        </w:tc>
        <w:tc>
          <w:tcPr>
            <w:vMerge w:val="continue"/>
          </w:tcP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"Нефтеюганская районная больница"</w:t>
            </w:r>
          </w:p>
        </w:tc>
        <w:tc>
          <w:tcPr>
            <w:tcW w:w="1609" w:type="dxa"/>
          </w:tcPr>
          <w:p>
            <w:pPr>
              <w:pStyle w:val="0"/>
            </w:pPr>
            <w:r>
              <w:rPr>
                <w:sz w:val="20"/>
              </w:rPr>
              <w:t xml:space="preserve">2 - 3</w:t>
            </w:r>
          </w:p>
        </w:tc>
        <w:tc>
          <w:tcPr>
            <w:tcW w:w="1969" w:type="dxa"/>
          </w:tcPr>
          <w:p>
            <w:pPr>
              <w:pStyle w:val="0"/>
            </w:pPr>
            <w:r>
              <w:rPr>
                <w:sz w:val="20"/>
              </w:rPr>
              <w:t xml:space="preserve">1/1</w:t>
            </w:r>
          </w:p>
        </w:tc>
        <w:tc>
          <w:tcPr>
            <w:tcW w:w="1834" w:type="dxa"/>
          </w:tcPr>
          <w:p>
            <w:pPr>
              <w:pStyle w:val="0"/>
            </w:pPr>
            <w:r>
              <w:rPr>
                <w:sz w:val="20"/>
              </w:rPr>
              <w:t xml:space="preserve">114</w:t>
            </w:r>
          </w:p>
        </w:tc>
      </w:tr>
      <w:tr>
        <w:tc>
          <w:tcPr>
            <w:vMerge w:val="continue"/>
          </w:tcPr>
          <w:p/>
        </w:tc>
        <w:tc>
          <w:tcPr>
            <w:vMerge w:val="continue"/>
          </w:tcPr>
          <w:p/>
        </w:tc>
        <w:tc>
          <w:tcPr>
            <w:vMerge w:val="continue"/>
          </w:tcPr>
          <w:p/>
        </w:tc>
        <w:tc>
          <w:tcPr>
            <w:tcW w:w="1774" w:type="dxa"/>
          </w:tcPr>
          <w:p>
            <w:pPr>
              <w:pStyle w:val="0"/>
            </w:pPr>
            <w:r>
              <w:rPr>
                <w:sz w:val="20"/>
              </w:rPr>
              <w:t xml:space="preserve">-</w:t>
            </w:r>
          </w:p>
        </w:tc>
        <w:tc>
          <w:tcPr>
            <w:tcW w:w="1759" w:type="dxa"/>
          </w:tcPr>
          <w:p>
            <w:pPr>
              <w:pStyle w:val="0"/>
            </w:pPr>
            <w:r>
              <w:rPr>
                <w:sz w:val="20"/>
              </w:rPr>
              <w:t xml:space="preserve">1 (2020 год)</w:t>
            </w:r>
          </w:p>
        </w:tc>
        <w:tc>
          <w:tcPr>
            <w:tcW w:w="2209" w:type="dxa"/>
          </w:tcPr>
          <w:p>
            <w:pPr>
              <w:pStyle w:val="0"/>
            </w:pPr>
            <w:r>
              <w:rPr>
                <w:sz w:val="20"/>
              </w:rPr>
              <w:t xml:space="preserve">БУ "Нефтеюганская окружная клиническая больница имени В.И. Яцкив"</w:t>
            </w:r>
          </w:p>
        </w:tc>
        <w:tc>
          <w:tcPr>
            <w:tcW w:w="1609" w:type="dxa"/>
          </w:tcPr>
          <w:p>
            <w:pPr>
              <w:pStyle w:val="0"/>
            </w:pPr>
            <w:r>
              <w:rPr>
                <w:sz w:val="20"/>
              </w:rPr>
              <w:t xml:space="preserve">&gt;1/2</w:t>
            </w:r>
          </w:p>
        </w:tc>
        <w:tc>
          <w:tcPr>
            <w:tcW w:w="1969" w:type="dxa"/>
          </w:tcPr>
          <w:p>
            <w:pPr>
              <w:pStyle w:val="0"/>
            </w:pPr>
            <w:r>
              <w:rPr>
                <w:sz w:val="20"/>
              </w:rPr>
              <w:t xml:space="preserve">3/3</w:t>
            </w:r>
          </w:p>
        </w:tc>
        <w:tc>
          <w:tcPr>
            <w:tcW w:w="1834" w:type="dxa"/>
          </w:tcPr>
          <w:p>
            <w:pPr>
              <w:pStyle w:val="0"/>
            </w:pPr>
            <w:r>
              <w:rPr>
                <w:sz w:val="20"/>
              </w:rPr>
              <w:t xml:space="preserve">65</w:t>
            </w:r>
          </w:p>
        </w:tc>
      </w:tr>
      <w:tr>
        <w:tc>
          <w:tcPr>
            <w:tcW w:w="454" w:type="dxa"/>
          </w:tcPr>
          <w:p>
            <w:pPr>
              <w:pStyle w:val="0"/>
            </w:pPr>
            <w:r>
              <w:rPr>
                <w:sz w:val="20"/>
              </w:rPr>
              <w:t xml:space="preserve">5</w:t>
            </w:r>
          </w:p>
        </w:tc>
        <w:tc>
          <w:tcPr>
            <w:tcW w:w="2438" w:type="dxa"/>
          </w:tcPr>
          <w:p>
            <w:pPr>
              <w:pStyle w:val="0"/>
            </w:pPr>
            <w:r>
              <w:rPr>
                <w:sz w:val="20"/>
              </w:rPr>
              <w:t xml:space="preserve">Мегион</w:t>
            </w:r>
          </w:p>
        </w:tc>
        <w:tc>
          <w:tcPr>
            <w:tcW w:w="1444" w:type="dxa"/>
          </w:tcPr>
          <w:p>
            <w:pPr>
              <w:pStyle w:val="0"/>
            </w:pPr>
            <w:r>
              <w:rPr>
                <w:sz w:val="20"/>
              </w:rPr>
              <w:t xml:space="preserve">54450</w:t>
            </w: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"Мегионская городская больница"</w:t>
            </w:r>
          </w:p>
        </w:tc>
        <w:tc>
          <w:tcPr>
            <w:tcW w:w="1609" w:type="dxa"/>
          </w:tcPr>
          <w:p>
            <w:pPr>
              <w:pStyle w:val="0"/>
            </w:pPr>
            <w:r>
              <w:rPr>
                <w:sz w:val="20"/>
              </w:rPr>
              <w:t xml:space="preserve">&gt;1</w:t>
            </w:r>
          </w:p>
        </w:tc>
        <w:tc>
          <w:tcPr>
            <w:tcW w:w="1969" w:type="dxa"/>
          </w:tcPr>
          <w:p>
            <w:pPr>
              <w:pStyle w:val="0"/>
            </w:pPr>
            <w:r>
              <w:rPr>
                <w:sz w:val="20"/>
              </w:rPr>
              <w:t xml:space="preserve">1/1</w:t>
            </w:r>
          </w:p>
        </w:tc>
        <w:tc>
          <w:tcPr>
            <w:tcW w:w="1834" w:type="dxa"/>
          </w:tcPr>
          <w:p>
            <w:pPr>
              <w:pStyle w:val="0"/>
            </w:pPr>
            <w:r>
              <w:rPr>
                <w:sz w:val="20"/>
              </w:rPr>
              <w:t xml:space="preserve">35</w:t>
            </w:r>
          </w:p>
        </w:tc>
      </w:tr>
      <w:tr>
        <w:tc>
          <w:tcPr>
            <w:tcW w:w="454" w:type="dxa"/>
          </w:tcPr>
          <w:p>
            <w:pPr>
              <w:pStyle w:val="0"/>
            </w:pPr>
            <w:r>
              <w:rPr>
                <w:sz w:val="20"/>
              </w:rPr>
              <w:t xml:space="preserve">6</w:t>
            </w:r>
          </w:p>
        </w:tc>
        <w:tc>
          <w:tcPr>
            <w:tcW w:w="2438" w:type="dxa"/>
          </w:tcPr>
          <w:p>
            <w:pPr>
              <w:pStyle w:val="0"/>
            </w:pPr>
            <w:r>
              <w:rPr>
                <w:sz w:val="20"/>
              </w:rPr>
              <w:t xml:space="preserve">Лангепас</w:t>
            </w:r>
          </w:p>
        </w:tc>
        <w:tc>
          <w:tcPr>
            <w:tcW w:w="1444" w:type="dxa"/>
          </w:tcPr>
          <w:p>
            <w:pPr>
              <w:pStyle w:val="0"/>
            </w:pPr>
            <w:r>
              <w:rPr>
                <w:sz w:val="20"/>
              </w:rPr>
              <w:t xml:space="preserve">46868</w:t>
            </w: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"Лангепасская городская больница"</w:t>
            </w:r>
          </w:p>
        </w:tc>
        <w:tc>
          <w:tcPr>
            <w:tcW w:w="1609" w:type="dxa"/>
          </w:tcPr>
          <w:p>
            <w:pPr>
              <w:pStyle w:val="0"/>
            </w:pPr>
            <w:r>
              <w:rPr>
                <w:sz w:val="20"/>
              </w:rPr>
              <w:t xml:space="preserve">&gt;1</w:t>
            </w:r>
          </w:p>
        </w:tc>
        <w:tc>
          <w:tcPr>
            <w:tcW w:w="1969" w:type="dxa"/>
          </w:tcPr>
          <w:p>
            <w:pPr>
              <w:pStyle w:val="0"/>
            </w:pPr>
            <w:r>
              <w:rPr>
                <w:sz w:val="20"/>
              </w:rPr>
              <w:t xml:space="preserve">1/1</w:t>
            </w:r>
          </w:p>
        </w:tc>
        <w:tc>
          <w:tcPr>
            <w:tcW w:w="1834" w:type="dxa"/>
          </w:tcPr>
          <w:p>
            <w:pPr>
              <w:pStyle w:val="0"/>
            </w:pPr>
            <w:r>
              <w:rPr>
                <w:sz w:val="20"/>
              </w:rPr>
              <w:t xml:space="preserve">96</w:t>
            </w:r>
          </w:p>
        </w:tc>
      </w:tr>
      <w:tr>
        <w:tc>
          <w:tcPr>
            <w:tcW w:w="454" w:type="dxa"/>
          </w:tcPr>
          <w:p>
            <w:pPr>
              <w:pStyle w:val="0"/>
            </w:pPr>
            <w:r>
              <w:rPr>
                <w:sz w:val="20"/>
              </w:rPr>
              <w:t xml:space="preserve">7</w:t>
            </w:r>
          </w:p>
        </w:tc>
        <w:tc>
          <w:tcPr>
            <w:tcW w:w="2438" w:type="dxa"/>
          </w:tcPr>
          <w:p>
            <w:pPr>
              <w:pStyle w:val="0"/>
            </w:pPr>
            <w:r>
              <w:rPr>
                <w:sz w:val="20"/>
              </w:rPr>
              <w:t xml:space="preserve">Покачи</w:t>
            </w:r>
          </w:p>
        </w:tc>
        <w:tc>
          <w:tcPr>
            <w:tcW w:w="1444" w:type="dxa"/>
          </w:tcPr>
          <w:p>
            <w:pPr>
              <w:pStyle w:val="0"/>
            </w:pPr>
            <w:r>
              <w:rPr>
                <w:sz w:val="20"/>
              </w:rPr>
              <w:t xml:space="preserve">19074</w:t>
            </w: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"Покачевская городская больница"</w:t>
            </w:r>
          </w:p>
        </w:tc>
        <w:tc>
          <w:tcPr>
            <w:tcW w:w="1609" w:type="dxa"/>
          </w:tcPr>
          <w:p>
            <w:pPr>
              <w:pStyle w:val="0"/>
            </w:pPr>
            <w:r>
              <w:rPr>
                <w:sz w:val="20"/>
              </w:rPr>
              <w:t xml:space="preserve">&gt;1</w:t>
            </w:r>
          </w:p>
        </w:tc>
        <w:tc>
          <w:tcPr>
            <w:tcW w:w="1969" w:type="dxa"/>
          </w:tcPr>
          <w:p>
            <w:pPr>
              <w:pStyle w:val="0"/>
            </w:pPr>
            <w:r>
              <w:rPr>
                <w:sz w:val="20"/>
              </w:rPr>
              <w:t xml:space="preserve">1/1</w:t>
            </w:r>
          </w:p>
        </w:tc>
        <w:tc>
          <w:tcPr>
            <w:tcW w:w="1834" w:type="dxa"/>
          </w:tcPr>
          <w:p>
            <w:pPr>
              <w:pStyle w:val="0"/>
            </w:pPr>
            <w:r>
              <w:rPr>
                <w:sz w:val="20"/>
              </w:rPr>
              <w:t xml:space="preserve">161</w:t>
            </w:r>
          </w:p>
        </w:tc>
      </w:tr>
      <w:tr>
        <w:tc>
          <w:tcPr>
            <w:tcW w:w="454" w:type="dxa"/>
          </w:tcPr>
          <w:p>
            <w:pPr>
              <w:pStyle w:val="0"/>
            </w:pPr>
            <w:r>
              <w:rPr>
                <w:sz w:val="20"/>
              </w:rPr>
              <w:t xml:space="preserve">8</w:t>
            </w:r>
          </w:p>
        </w:tc>
        <w:tc>
          <w:tcPr>
            <w:tcW w:w="2438" w:type="dxa"/>
          </w:tcPr>
          <w:p>
            <w:pPr>
              <w:pStyle w:val="0"/>
            </w:pPr>
            <w:r>
              <w:rPr>
                <w:sz w:val="20"/>
              </w:rPr>
              <w:t xml:space="preserve">Нижневартовский</w:t>
            </w:r>
          </w:p>
        </w:tc>
        <w:tc>
          <w:tcPr>
            <w:tcW w:w="1444" w:type="dxa"/>
          </w:tcPr>
          <w:p>
            <w:pPr>
              <w:pStyle w:val="0"/>
            </w:pPr>
            <w:r>
              <w:rPr>
                <w:sz w:val="20"/>
              </w:rPr>
              <w:t xml:space="preserve">36993</w:t>
            </w: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"Нижневартовская районная больница"</w:t>
            </w:r>
          </w:p>
        </w:tc>
        <w:tc>
          <w:tcPr>
            <w:tcW w:w="1609" w:type="dxa"/>
          </w:tcPr>
          <w:p>
            <w:pPr>
              <w:pStyle w:val="0"/>
            </w:pPr>
            <w:r>
              <w:rPr>
                <w:sz w:val="20"/>
              </w:rPr>
              <w:t xml:space="preserve">&gt;1</w:t>
            </w:r>
          </w:p>
        </w:tc>
        <w:tc>
          <w:tcPr>
            <w:tcW w:w="1969" w:type="dxa"/>
          </w:tcPr>
          <w:p>
            <w:pPr>
              <w:pStyle w:val="0"/>
            </w:pPr>
            <w:r>
              <w:rPr>
                <w:sz w:val="20"/>
              </w:rPr>
              <w:t xml:space="preserve">0/1</w:t>
            </w:r>
          </w:p>
        </w:tc>
        <w:tc>
          <w:tcPr>
            <w:tcW w:w="1834" w:type="dxa"/>
          </w:tcPr>
          <w:p>
            <w:pPr>
              <w:pStyle w:val="0"/>
            </w:pPr>
            <w:r>
              <w:rPr>
                <w:sz w:val="20"/>
              </w:rPr>
              <w:t xml:space="preserve">300</w:t>
            </w:r>
          </w:p>
        </w:tc>
      </w:tr>
      <w:tr>
        <w:tc>
          <w:tcPr>
            <w:tcW w:w="454" w:type="dxa"/>
          </w:tcPr>
          <w:p>
            <w:pPr>
              <w:pStyle w:val="0"/>
            </w:pPr>
            <w:r>
              <w:rPr>
                <w:sz w:val="20"/>
              </w:rPr>
              <w:t xml:space="preserve">9</w:t>
            </w:r>
          </w:p>
        </w:tc>
        <w:tc>
          <w:tcPr>
            <w:tcW w:w="2438" w:type="dxa"/>
          </w:tcPr>
          <w:p>
            <w:pPr>
              <w:pStyle w:val="0"/>
            </w:pPr>
            <w:r>
              <w:rPr>
                <w:sz w:val="20"/>
              </w:rPr>
              <w:t xml:space="preserve">Радужный</w:t>
            </w:r>
          </w:p>
        </w:tc>
        <w:tc>
          <w:tcPr>
            <w:tcW w:w="1444" w:type="dxa"/>
          </w:tcPr>
          <w:p>
            <w:pPr>
              <w:pStyle w:val="0"/>
            </w:pPr>
            <w:r>
              <w:rPr>
                <w:sz w:val="20"/>
              </w:rPr>
              <w:t xml:space="preserve">44666</w:t>
            </w: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"Радужнинская городская больница"</w:t>
            </w:r>
          </w:p>
        </w:tc>
        <w:tc>
          <w:tcPr>
            <w:tcW w:w="1609" w:type="dxa"/>
          </w:tcPr>
          <w:p>
            <w:pPr>
              <w:pStyle w:val="0"/>
            </w:pPr>
            <w:r>
              <w:rPr>
                <w:sz w:val="20"/>
              </w:rPr>
              <w:t xml:space="preserve">&gt;1</w:t>
            </w:r>
          </w:p>
        </w:tc>
        <w:tc>
          <w:tcPr>
            <w:tcW w:w="1969" w:type="dxa"/>
          </w:tcPr>
          <w:p>
            <w:pPr>
              <w:pStyle w:val="0"/>
            </w:pPr>
            <w:r>
              <w:rPr>
                <w:sz w:val="20"/>
              </w:rPr>
              <w:t xml:space="preserve">0/2</w:t>
            </w:r>
          </w:p>
        </w:tc>
        <w:tc>
          <w:tcPr>
            <w:tcW w:w="1834" w:type="dxa"/>
          </w:tcPr>
          <w:p>
            <w:pPr>
              <w:pStyle w:val="0"/>
            </w:pPr>
            <w:r>
              <w:rPr>
                <w:sz w:val="20"/>
              </w:rPr>
              <w:t xml:space="preserve">165</w:t>
            </w:r>
          </w:p>
        </w:tc>
      </w:tr>
      <w:tr>
        <w:tc>
          <w:tcPr>
            <w:tcW w:w="454" w:type="dxa"/>
          </w:tcPr>
          <w:p>
            <w:pPr>
              <w:pStyle w:val="0"/>
            </w:pPr>
            <w:r>
              <w:rPr>
                <w:sz w:val="20"/>
              </w:rPr>
              <w:t xml:space="preserve">10</w:t>
            </w:r>
          </w:p>
        </w:tc>
        <w:tc>
          <w:tcPr>
            <w:tcW w:w="2438" w:type="dxa"/>
          </w:tcPr>
          <w:p>
            <w:pPr>
              <w:pStyle w:val="0"/>
            </w:pPr>
            <w:r>
              <w:rPr>
                <w:sz w:val="20"/>
              </w:rPr>
              <w:t xml:space="preserve">Нижневартовск</w:t>
            </w:r>
          </w:p>
        </w:tc>
        <w:tc>
          <w:tcPr>
            <w:tcW w:w="1444" w:type="dxa"/>
          </w:tcPr>
          <w:p>
            <w:pPr>
              <w:pStyle w:val="0"/>
            </w:pPr>
            <w:r>
              <w:rPr>
                <w:sz w:val="20"/>
              </w:rPr>
              <w:t xml:space="preserve">280816</w:t>
            </w:r>
          </w:p>
          <w:p>
            <w:pPr>
              <w:pStyle w:val="0"/>
            </w:pPr>
            <w:r>
              <w:rPr>
                <w:sz w:val="20"/>
              </w:rPr>
              <w:t xml:space="preserve">Итого:</w:t>
            </w:r>
          </w:p>
          <w:p>
            <w:pPr>
              <w:pStyle w:val="0"/>
            </w:pPr>
            <w:r>
              <w:rPr>
                <w:sz w:val="20"/>
              </w:rPr>
              <w:t xml:space="preserve">482867</w:t>
            </w:r>
          </w:p>
        </w:tc>
        <w:tc>
          <w:tcPr>
            <w:tcW w:w="1774" w:type="dxa"/>
          </w:tcPr>
          <w:p>
            <w:pPr>
              <w:pStyle w:val="0"/>
            </w:pPr>
            <w:r>
              <w:rPr>
                <w:sz w:val="20"/>
              </w:rPr>
              <w:t xml:space="preserve">4</w:t>
            </w:r>
          </w:p>
        </w:tc>
        <w:tc>
          <w:tcPr>
            <w:tcW w:w="1759" w:type="dxa"/>
          </w:tcPr>
          <w:p>
            <w:pPr>
              <w:pStyle w:val="0"/>
            </w:pPr>
            <w:r>
              <w:rPr>
                <w:sz w:val="20"/>
              </w:rPr>
              <w:t xml:space="preserve">1(2023 год)</w:t>
            </w:r>
          </w:p>
        </w:tc>
        <w:tc>
          <w:tcPr>
            <w:tcW w:w="2209" w:type="dxa"/>
          </w:tcPr>
          <w:p>
            <w:pPr>
              <w:pStyle w:val="0"/>
            </w:pPr>
            <w:r>
              <w:rPr>
                <w:sz w:val="20"/>
              </w:rPr>
              <w:t xml:space="preserve">БУ "Нижневартовский онкологический диспансер"</w:t>
            </w:r>
          </w:p>
        </w:tc>
        <w:tc>
          <w:tcPr>
            <w:tcW w:w="1609" w:type="dxa"/>
          </w:tcPr>
          <w:p>
            <w:pPr>
              <w:pStyle w:val="0"/>
            </w:pPr>
            <w:r>
              <w:rPr>
                <w:sz w:val="20"/>
              </w:rPr>
              <w:t xml:space="preserve">1 - 2</w:t>
            </w:r>
          </w:p>
        </w:tc>
        <w:tc>
          <w:tcPr>
            <w:tcW w:w="1969" w:type="dxa"/>
          </w:tcPr>
          <w:p>
            <w:pPr>
              <w:pStyle w:val="0"/>
            </w:pPr>
            <w:r>
              <w:rPr>
                <w:sz w:val="20"/>
              </w:rPr>
              <w:t xml:space="preserve">6/6</w:t>
            </w:r>
          </w:p>
        </w:tc>
        <w:tc>
          <w:tcPr>
            <w:tcW w:w="1834" w:type="dxa"/>
          </w:tcPr>
          <w:p>
            <w:pPr>
              <w:pStyle w:val="0"/>
            </w:pPr>
            <w:r>
              <w:rPr>
                <w:sz w:val="20"/>
              </w:rPr>
              <w:t xml:space="preserve">0</w:t>
            </w:r>
          </w:p>
        </w:tc>
      </w:tr>
      <w:tr>
        <w:tc>
          <w:tcPr>
            <w:tcW w:w="454" w:type="dxa"/>
          </w:tcPr>
          <w:p>
            <w:pPr>
              <w:pStyle w:val="0"/>
            </w:pPr>
            <w:r>
              <w:rPr>
                <w:sz w:val="20"/>
              </w:rPr>
              <w:t xml:space="preserve">11</w:t>
            </w:r>
          </w:p>
        </w:tc>
        <w:tc>
          <w:tcPr>
            <w:tcW w:w="2438" w:type="dxa"/>
          </w:tcPr>
          <w:p>
            <w:pPr>
              <w:pStyle w:val="0"/>
            </w:pPr>
            <w:r>
              <w:rPr>
                <w:sz w:val="20"/>
              </w:rPr>
              <w:t xml:space="preserve">Когалым</w:t>
            </w:r>
          </w:p>
        </w:tc>
        <w:tc>
          <w:tcPr>
            <w:tcW w:w="1444" w:type="dxa"/>
          </w:tcPr>
          <w:p>
            <w:pPr>
              <w:pStyle w:val="0"/>
            </w:pPr>
            <w:r>
              <w:rPr>
                <w:sz w:val="20"/>
              </w:rPr>
              <w:t xml:space="preserve">61441</w:t>
            </w:r>
          </w:p>
        </w:tc>
        <w:tc>
          <w:tcPr>
            <w:tcW w:w="1774" w:type="dxa"/>
          </w:tcPr>
          <w:p>
            <w:pPr>
              <w:pStyle w:val="0"/>
            </w:pPr>
            <w:r>
              <w:rPr>
                <w:sz w:val="20"/>
              </w:rPr>
              <w:t xml:space="preserve">1</w:t>
            </w:r>
          </w:p>
        </w:tc>
        <w:tc>
          <w:tcPr>
            <w:tcW w:w="1759" w:type="dxa"/>
          </w:tcPr>
          <w:p>
            <w:pPr>
              <w:pStyle w:val="0"/>
            </w:pPr>
            <w:r>
              <w:rPr>
                <w:sz w:val="20"/>
              </w:rPr>
              <w:t xml:space="preserve">1(2023 год)</w:t>
            </w:r>
          </w:p>
        </w:tc>
        <w:tc>
          <w:tcPr>
            <w:tcW w:w="2209" w:type="dxa"/>
          </w:tcPr>
          <w:p>
            <w:pPr>
              <w:pStyle w:val="0"/>
            </w:pPr>
            <w:r>
              <w:rPr>
                <w:sz w:val="20"/>
              </w:rPr>
              <w:t xml:space="preserve">БУ "Когалымская городская больница"</w:t>
            </w:r>
          </w:p>
        </w:tc>
        <w:tc>
          <w:tcPr>
            <w:tcW w:w="1609" w:type="dxa"/>
          </w:tcPr>
          <w:p>
            <w:pPr>
              <w:pStyle w:val="0"/>
            </w:pPr>
            <w:r>
              <w:rPr>
                <w:sz w:val="20"/>
              </w:rPr>
              <w:t xml:space="preserve">&gt;1</w:t>
            </w:r>
          </w:p>
        </w:tc>
        <w:tc>
          <w:tcPr>
            <w:tcW w:w="1969" w:type="dxa"/>
          </w:tcPr>
          <w:p>
            <w:pPr>
              <w:pStyle w:val="0"/>
            </w:pPr>
            <w:r>
              <w:rPr>
                <w:sz w:val="20"/>
              </w:rPr>
              <w:t xml:space="preserve">1/2</w:t>
            </w:r>
          </w:p>
        </w:tc>
        <w:tc>
          <w:tcPr>
            <w:tcW w:w="1834" w:type="dxa"/>
          </w:tcPr>
          <w:p>
            <w:pPr>
              <w:pStyle w:val="0"/>
            </w:pPr>
            <w:r>
              <w:rPr>
                <w:sz w:val="20"/>
              </w:rPr>
              <w:t xml:space="preserve">179</w:t>
            </w:r>
          </w:p>
        </w:tc>
      </w:tr>
      <w:tr>
        <w:tc>
          <w:tcPr>
            <w:tcW w:w="454" w:type="dxa"/>
            <w:vMerge w:val="restart"/>
          </w:tcPr>
          <w:p>
            <w:pPr>
              <w:pStyle w:val="0"/>
            </w:pPr>
            <w:r>
              <w:rPr>
                <w:sz w:val="20"/>
              </w:rPr>
              <w:t xml:space="preserve">12</w:t>
            </w:r>
          </w:p>
        </w:tc>
        <w:tc>
          <w:tcPr>
            <w:tcW w:w="2438" w:type="dxa"/>
            <w:vMerge w:val="restart"/>
          </w:tcPr>
          <w:p>
            <w:pPr>
              <w:pStyle w:val="0"/>
            </w:pPr>
            <w:r>
              <w:rPr>
                <w:sz w:val="20"/>
              </w:rPr>
              <w:t xml:space="preserve">Лянтор</w:t>
            </w:r>
          </w:p>
          <w:p>
            <w:pPr>
              <w:pStyle w:val="0"/>
            </w:pPr>
            <w:r>
              <w:rPr>
                <w:sz w:val="20"/>
              </w:rPr>
              <w:t xml:space="preserve">Сургутский,</w:t>
            </w:r>
          </w:p>
          <w:p>
            <w:pPr>
              <w:pStyle w:val="0"/>
            </w:pPr>
            <w:r>
              <w:rPr>
                <w:sz w:val="20"/>
              </w:rPr>
              <w:t xml:space="preserve">Сургут</w:t>
            </w:r>
          </w:p>
        </w:tc>
        <w:tc>
          <w:tcPr>
            <w:tcW w:w="1444" w:type="dxa"/>
            <w:vMerge w:val="restart"/>
          </w:tcPr>
          <w:p>
            <w:pPr>
              <w:pStyle w:val="0"/>
            </w:pPr>
            <w:r>
              <w:rPr>
                <w:sz w:val="20"/>
              </w:rPr>
              <w:t xml:space="preserve">511548</w:t>
            </w: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"Лянторская городская больница"</w:t>
            </w:r>
          </w:p>
        </w:tc>
        <w:tc>
          <w:tcPr>
            <w:tcW w:w="1609" w:type="dxa"/>
          </w:tcPr>
          <w:p>
            <w:pPr>
              <w:pStyle w:val="0"/>
            </w:pPr>
            <w:r>
              <w:rPr>
                <w:sz w:val="20"/>
              </w:rPr>
              <w:t xml:space="preserve">&gt;1</w:t>
            </w:r>
          </w:p>
        </w:tc>
        <w:tc>
          <w:tcPr>
            <w:tcW w:w="1969" w:type="dxa"/>
          </w:tcPr>
          <w:p>
            <w:pPr>
              <w:pStyle w:val="0"/>
            </w:pPr>
            <w:r>
              <w:rPr>
                <w:sz w:val="20"/>
              </w:rPr>
              <w:t xml:space="preserve">1/0</w:t>
            </w:r>
          </w:p>
        </w:tc>
        <w:tc>
          <w:tcPr>
            <w:tcW w:w="1834" w:type="dxa"/>
          </w:tcPr>
          <w:p>
            <w:pPr>
              <w:pStyle w:val="0"/>
            </w:pPr>
            <w:r>
              <w:rPr>
                <w:sz w:val="20"/>
              </w:rPr>
              <w:t xml:space="preserve">92</w:t>
            </w:r>
          </w:p>
        </w:tc>
      </w:tr>
      <w:tr>
        <w:tc>
          <w:tcPr>
            <w:vMerge w:val="continue"/>
          </w:tcPr>
          <w:p/>
        </w:tc>
        <w:tc>
          <w:tcPr>
            <w:vMerge w:val="continue"/>
          </w:tcPr>
          <w:p/>
        </w:tc>
        <w:tc>
          <w:tcPr>
            <w:vMerge w:val="continue"/>
          </w:tcP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"Сургутская районная поликлиника"</w:t>
            </w:r>
          </w:p>
        </w:tc>
        <w:tc>
          <w:tcPr>
            <w:tcW w:w="1609" w:type="dxa"/>
          </w:tcPr>
          <w:p>
            <w:pPr>
              <w:pStyle w:val="0"/>
            </w:pPr>
            <w:r>
              <w:rPr>
                <w:sz w:val="20"/>
              </w:rPr>
              <w:t xml:space="preserve">&gt;1</w:t>
            </w:r>
          </w:p>
        </w:tc>
        <w:tc>
          <w:tcPr>
            <w:tcW w:w="1969" w:type="dxa"/>
          </w:tcPr>
          <w:p>
            <w:pPr>
              <w:pStyle w:val="0"/>
            </w:pPr>
            <w:r>
              <w:rPr>
                <w:sz w:val="20"/>
              </w:rPr>
              <w:t xml:space="preserve">1/1</w:t>
            </w:r>
          </w:p>
        </w:tc>
        <w:tc>
          <w:tcPr>
            <w:tcW w:w="1834" w:type="dxa"/>
          </w:tcPr>
          <w:p>
            <w:pPr>
              <w:pStyle w:val="0"/>
            </w:pPr>
            <w:r>
              <w:rPr>
                <w:sz w:val="20"/>
              </w:rPr>
              <w:t xml:space="preserve">50</w:t>
            </w:r>
          </w:p>
        </w:tc>
      </w:tr>
      <w:tr>
        <w:tc>
          <w:tcPr>
            <w:vMerge w:val="continue"/>
          </w:tcPr>
          <w:p/>
        </w:tc>
        <w:tc>
          <w:tcPr>
            <w:vMerge w:val="continue"/>
          </w:tcPr>
          <w:p/>
        </w:tc>
        <w:tc>
          <w:tcPr>
            <w:vMerge w:val="continue"/>
          </w:tcP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"Сургутская городская клиническая поликлиника N 1"</w:t>
            </w:r>
          </w:p>
        </w:tc>
        <w:tc>
          <w:tcPr>
            <w:tcW w:w="1609" w:type="dxa"/>
          </w:tcPr>
          <w:p>
            <w:pPr>
              <w:pStyle w:val="0"/>
            </w:pPr>
            <w:r>
              <w:rPr>
                <w:sz w:val="20"/>
              </w:rPr>
              <w:t xml:space="preserve">&gt;1</w:t>
            </w:r>
          </w:p>
        </w:tc>
        <w:tc>
          <w:tcPr>
            <w:tcW w:w="1969" w:type="dxa"/>
          </w:tcPr>
          <w:p>
            <w:pPr>
              <w:pStyle w:val="0"/>
            </w:pPr>
            <w:r>
              <w:rPr>
                <w:sz w:val="20"/>
              </w:rPr>
              <w:t xml:space="preserve">0/1</w:t>
            </w:r>
          </w:p>
        </w:tc>
        <w:tc>
          <w:tcPr>
            <w:tcW w:w="1834" w:type="dxa"/>
          </w:tcPr>
          <w:p>
            <w:pPr>
              <w:pStyle w:val="0"/>
            </w:pPr>
            <w:r>
              <w:rPr>
                <w:sz w:val="20"/>
              </w:rPr>
              <w:t xml:space="preserve">0</w:t>
            </w:r>
          </w:p>
        </w:tc>
      </w:tr>
      <w:tr>
        <w:tc>
          <w:tcPr>
            <w:vMerge w:val="continue"/>
          </w:tcPr>
          <w:p/>
        </w:tc>
        <w:tc>
          <w:tcPr>
            <w:vMerge w:val="continue"/>
          </w:tcPr>
          <w:p/>
        </w:tc>
        <w:tc>
          <w:tcPr>
            <w:vMerge w:val="continue"/>
          </w:tcP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"Сургутская городская клиническая поликлиника N 2"</w:t>
            </w:r>
          </w:p>
        </w:tc>
        <w:tc>
          <w:tcPr>
            <w:tcW w:w="1609" w:type="dxa"/>
          </w:tcPr>
          <w:p>
            <w:pPr>
              <w:pStyle w:val="0"/>
            </w:pPr>
            <w:r>
              <w:rPr>
                <w:sz w:val="20"/>
              </w:rPr>
              <w:t xml:space="preserve">&gt;1</w:t>
            </w:r>
          </w:p>
        </w:tc>
        <w:tc>
          <w:tcPr>
            <w:tcW w:w="1969" w:type="dxa"/>
          </w:tcPr>
          <w:p>
            <w:pPr>
              <w:pStyle w:val="0"/>
            </w:pPr>
            <w:r>
              <w:rPr>
                <w:sz w:val="20"/>
              </w:rPr>
              <w:t xml:space="preserve">1/1</w:t>
            </w:r>
          </w:p>
        </w:tc>
        <w:tc>
          <w:tcPr>
            <w:tcW w:w="1834" w:type="dxa"/>
          </w:tcPr>
          <w:p>
            <w:pPr>
              <w:pStyle w:val="0"/>
            </w:pPr>
            <w:r>
              <w:rPr>
                <w:sz w:val="20"/>
              </w:rPr>
              <w:t xml:space="preserve">0</w:t>
            </w:r>
          </w:p>
        </w:tc>
      </w:tr>
      <w:tr>
        <w:tc>
          <w:tcPr>
            <w:vMerge w:val="continue"/>
          </w:tcPr>
          <w:p/>
        </w:tc>
        <w:tc>
          <w:tcPr>
            <w:vMerge w:val="continue"/>
          </w:tcPr>
          <w:p/>
        </w:tc>
        <w:tc>
          <w:tcPr>
            <w:vMerge w:val="continue"/>
          </w:tcPr>
          <w:p/>
        </w:tc>
        <w:tc>
          <w:tcPr>
            <w:tcW w:w="1774" w:type="dxa"/>
          </w:tcPr>
          <w:p>
            <w:pPr>
              <w:pStyle w:val="0"/>
            </w:pPr>
            <w:r>
              <w:rPr>
                <w:sz w:val="20"/>
              </w:rPr>
              <w:t xml:space="preserve">1</w:t>
            </w:r>
          </w:p>
        </w:tc>
        <w:tc>
          <w:tcPr>
            <w:tcW w:w="1759" w:type="dxa"/>
          </w:tcPr>
          <w:p>
            <w:pPr>
              <w:pStyle w:val="0"/>
            </w:pPr>
            <w:r>
              <w:rPr>
                <w:sz w:val="20"/>
              </w:rPr>
              <w:t xml:space="preserve">-</w:t>
            </w:r>
          </w:p>
        </w:tc>
        <w:tc>
          <w:tcPr>
            <w:tcW w:w="2209" w:type="dxa"/>
          </w:tcPr>
          <w:p>
            <w:pPr>
              <w:pStyle w:val="0"/>
            </w:pPr>
            <w:r>
              <w:rPr>
                <w:sz w:val="20"/>
              </w:rPr>
              <w:t xml:space="preserve">БУ "Сургутская городская клиническая поликлиника N 3"</w:t>
            </w:r>
          </w:p>
        </w:tc>
        <w:tc>
          <w:tcPr>
            <w:tcW w:w="1609" w:type="dxa"/>
          </w:tcPr>
          <w:p>
            <w:pPr>
              <w:pStyle w:val="0"/>
            </w:pPr>
            <w:r>
              <w:rPr>
                <w:sz w:val="20"/>
              </w:rPr>
              <w:t xml:space="preserve">&gt;1</w:t>
            </w:r>
          </w:p>
        </w:tc>
        <w:tc>
          <w:tcPr>
            <w:tcW w:w="1969" w:type="dxa"/>
          </w:tcPr>
          <w:p>
            <w:pPr>
              <w:pStyle w:val="0"/>
            </w:pPr>
            <w:r>
              <w:rPr>
                <w:sz w:val="20"/>
              </w:rPr>
              <w:t xml:space="preserve">2/2</w:t>
            </w:r>
          </w:p>
        </w:tc>
        <w:tc>
          <w:tcPr>
            <w:tcW w:w="1834" w:type="dxa"/>
          </w:tcPr>
          <w:p>
            <w:pPr>
              <w:pStyle w:val="0"/>
            </w:pPr>
            <w:r>
              <w:rPr>
                <w:sz w:val="20"/>
              </w:rPr>
              <w:t xml:space="preserve">0</w:t>
            </w:r>
          </w:p>
        </w:tc>
      </w:tr>
      <w:tr>
        <w:tc>
          <w:tcPr>
            <w:vMerge w:val="continue"/>
          </w:tcPr>
          <w:p/>
        </w:tc>
        <w:tc>
          <w:tcPr>
            <w:vMerge w:val="continue"/>
          </w:tcPr>
          <w:p/>
        </w:tc>
        <w:tc>
          <w:tcPr>
            <w:vMerge w:val="continue"/>
          </w:tcPr>
          <w:p/>
        </w:tc>
        <w:tc>
          <w:tcPr>
            <w:tcW w:w="1774" w:type="dxa"/>
          </w:tcPr>
          <w:p>
            <w:pPr>
              <w:pStyle w:val="0"/>
            </w:pPr>
            <w:r>
              <w:rPr>
                <w:sz w:val="20"/>
              </w:rPr>
              <w:t xml:space="preserve">2</w:t>
            </w:r>
          </w:p>
        </w:tc>
        <w:tc>
          <w:tcPr>
            <w:tcW w:w="1759" w:type="dxa"/>
          </w:tcPr>
          <w:p>
            <w:pPr>
              <w:pStyle w:val="0"/>
            </w:pPr>
            <w:r>
              <w:rPr>
                <w:sz w:val="20"/>
              </w:rPr>
              <w:t xml:space="preserve">-</w:t>
            </w:r>
          </w:p>
        </w:tc>
        <w:tc>
          <w:tcPr>
            <w:tcW w:w="2209" w:type="dxa"/>
          </w:tcPr>
          <w:p>
            <w:pPr>
              <w:pStyle w:val="0"/>
            </w:pPr>
            <w:r>
              <w:rPr>
                <w:sz w:val="20"/>
              </w:rPr>
              <w:t xml:space="preserve">БУ "Сургутская городская клиническая поликлиника N 4"</w:t>
            </w:r>
          </w:p>
        </w:tc>
        <w:tc>
          <w:tcPr>
            <w:tcW w:w="1609" w:type="dxa"/>
          </w:tcPr>
          <w:p>
            <w:pPr>
              <w:pStyle w:val="0"/>
            </w:pPr>
            <w:r>
              <w:rPr>
                <w:sz w:val="20"/>
              </w:rPr>
              <w:t xml:space="preserve">&gt;1</w:t>
            </w:r>
          </w:p>
        </w:tc>
        <w:tc>
          <w:tcPr>
            <w:tcW w:w="1969" w:type="dxa"/>
          </w:tcPr>
          <w:p>
            <w:pPr>
              <w:pStyle w:val="0"/>
            </w:pPr>
            <w:r>
              <w:rPr>
                <w:sz w:val="20"/>
              </w:rPr>
              <w:t xml:space="preserve">2/3</w:t>
            </w:r>
          </w:p>
        </w:tc>
        <w:tc>
          <w:tcPr>
            <w:tcW w:w="1834" w:type="dxa"/>
          </w:tcPr>
          <w:p>
            <w:pPr>
              <w:pStyle w:val="0"/>
            </w:pPr>
            <w:r>
              <w:rPr>
                <w:sz w:val="20"/>
              </w:rPr>
              <w:t xml:space="preserve">0</w:t>
            </w:r>
          </w:p>
        </w:tc>
      </w:tr>
      <w:tr>
        <w:tc>
          <w:tcPr>
            <w:vMerge w:val="continue"/>
          </w:tcPr>
          <w:p/>
        </w:tc>
        <w:tc>
          <w:tcPr>
            <w:vMerge w:val="continue"/>
          </w:tcPr>
          <w:p/>
        </w:tc>
        <w:tc>
          <w:tcPr>
            <w:vMerge w:val="continue"/>
          </w:tcPr>
          <w:p/>
        </w:tc>
        <w:tc>
          <w:tcPr>
            <w:tcW w:w="1774" w:type="dxa"/>
          </w:tcPr>
          <w:p>
            <w:pPr>
              <w:pStyle w:val="0"/>
            </w:pPr>
            <w:r>
              <w:rPr>
                <w:sz w:val="20"/>
              </w:rPr>
              <w:t xml:space="preserve">-</w:t>
            </w:r>
          </w:p>
        </w:tc>
        <w:tc>
          <w:tcPr>
            <w:tcW w:w="1759" w:type="dxa"/>
          </w:tcPr>
          <w:p>
            <w:pPr>
              <w:pStyle w:val="0"/>
            </w:pPr>
            <w:r>
              <w:rPr>
                <w:sz w:val="20"/>
              </w:rPr>
              <w:t xml:space="preserve">1 (2019 год)</w:t>
            </w:r>
          </w:p>
        </w:tc>
        <w:tc>
          <w:tcPr>
            <w:tcW w:w="2209" w:type="dxa"/>
          </w:tcPr>
          <w:p>
            <w:pPr>
              <w:pStyle w:val="0"/>
            </w:pPr>
            <w:r>
              <w:rPr>
                <w:sz w:val="20"/>
              </w:rPr>
              <w:t xml:space="preserve">БУ "Сургутская окружная клиническая больница"</w:t>
            </w:r>
          </w:p>
        </w:tc>
        <w:tc>
          <w:tcPr>
            <w:tcW w:w="1609" w:type="dxa"/>
          </w:tcPr>
          <w:p>
            <w:pPr>
              <w:pStyle w:val="0"/>
            </w:pPr>
            <w:r>
              <w:rPr>
                <w:sz w:val="20"/>
              </w:rPr>
              <w:t xml:space="preserve">&gt;1/2</w:t>
            </w:r>
          </w:p>
        </w:tc>
        <w:tc>
          <w:tcPr>
            <w:tcW w:w="1969" w:type="dxa"/>
          </w:tcPr>
          <w:p>
            <w:pPr>
              <w:pStyle w:val="0"/>
            </w:pPr>
            <w:r>
              <w:rPr>
                <w:sz w:val="20"/>
              </w:rPr>
              <w:t xml:space="preserve">32/40</w:t>
            </w:r>
          </w:p>
        </w:tc>
        <w:tc>
          <w:tcPr>
            <w:tcW w:w="1834" w:type="dxa"/>
          </w:tcPr>
          <w:p>
            <w:pPr>
              <w:pStyle w:val="0"/>
            </w:pPr>
            <w:r>
              <w:rPr>
                <w:sz w:val="20"/>
              </w:rPr>
              <w:t xml:space="preserve">0</w:t>
            </w:r>
          </w:p>
        </w:tc>
      </w:tr>
    </w:tbl>
    <w:p>
      <w:pPr>
        <w:pStyle w:val="0"/>
        <w:ind w:firstLine="540"/>
        <w:jc w:val="both"/>
      </w:pPr>
      <w:r>
        <w:rPr>
          <w:sz w:val="20"/>
        </w:rPr>
      </w:r>
    </w:p>
    <w:p>
      <w:pPr>
        <w:pStyle w:val="0"/>
        <w:ind w:firstLine="540"/>
        <w:jc w:val="both"/>
      </w:pPr>
      <w:r>
        <w:rPr>
          <w:sz w:val="20"/>
        </w:rPr>
        <w:t xml:space="preserve">Примечание к </w:t>
      </w:r>
      <w:hyperlink w:history="0" w:anchor="P11166" w:tooltip="Информация об организации первичных онкологических кабинетов">
        <w:r>
          <w:rPr>
            <w:sz w:val="20"/>
            <w:color w:val="0000ff"/>
          </w:rPr>
          <w:t xml:space="preserve">таблице 40</w:t>
        </w:r>
      </w:hyperlink>
      <w:r>
        <w:rPr>
          <w:sz w:val="20"/>
        </w:rPr>
        <w:t xml:space="preserve">. Запланировано открытие центров амбулаторной онкологической помощи в 2023 году на базе БУ "Когалымская городская больница" и на базе БУ "Нижневартовский онкологический диспансер"</w:t>
      </w:r>
    </w:p>
    <w:p>
      <w:pPr>
        <w:pStyle w:val="0"/>
        <w:ind w:firstLine="540"/>
        <w:jc w:val="both"/>
      </w:pPr>
      <w:r>
        <w:rPr>
          <w:sz w:val="20"/>
        </w:rPr>
      </w:r>
    </w:p>
    <w:p>
      <w:pPr>
        <w:pStyle w:val="0"/>
        <w:jc w:val="right"/>
      </w:pPr>
      <w:r>
        <w:rPr>
          <w:sz w:val="20"/>
        </w:rPr>
        <w:t xml:space="preserve">Рисунок 7</w:t>
      </w:r>
    </w:p>
    <w:p>
      <w:pPr>
        <w:pStyle w:val="0"/>
        <w:jc w:val="right"/>
      </w:pPr>
      <w:r>
        <w:rPr>
          <w:sz w:val="20"/>
        </w:rPr>
      </w:r>
    </w:p>
    <w:p>
      <w:pPr>
        <w:pStyle w:val="0"/>
        <w:jc w:val="center"/>
      </w:pPr>
      <w:r>
        <w:rPr>
          <w:sz w:val="20"/>
        </w:rPr>
        <w:t xml:space="preserve">Организация центров амбулаторной онкологической помощи</w:t>
      </w:r>
    </w:p>
    <w:p>
      <w:pPr>
        <w:pStyle w:val="0"/>
        <w:jc w:val="center"/>
      </w:pPr>
      <w:r>
        <w:rPr>
          <w:sz w:val="20"/>
        </w:rPr>
        <w:t xml:space="preserve">в Ханты-Мансийском автономном округе - Югре</w:t>
      </w:r>
    </w:p>
    <w:p>
      <w:pPr>
        <w:pStyle w:val="0"/>
        <w:jc w:val="center"/>
      </w:pPr>
      <w:r>
        <w:rPr>
          <w:sz w:val="20"/>
        </w:rPr>
      </w:r>
    </w:p>
    <w:p>
      <w:pPr>
        <w:pStyle w:val="0"/>
        <w:jc w:val="center"/>
      </w:pPr>
      <w:r>
        <w:rPr>
          <w:position w:val="-346"/>
        </w:rPr>
        <w:drawing>
          <wp:inline distT="0" distB="0" distL="0" distR="0">
            <wp:extent cx="7209790" cy="4522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7209790" cy="4522470"/>
                    </a:xfrm>
                    <a:prstGeom prst="rect">
                      <a:avLst/>
                    </a:prstGeom>
                    <a:noFill/>
                    <a:ln>
                      <a:noFill/>
                    </a:ln>
                  </pic:spPr>
                </pic:pic>
              </a:graphicData>
            </a:graphic>
          </wp:inline>
        </w:drawing>
      </w:r>
    </w:p>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jc w:val="right"/>
      </w:pPr>
      <w:r>
        <w:rPr>
          <w:sz w:val="20"/>
        </w:rPr>
        <w:t xml:space="preserve">Таблица 41</w:t>
      </w:r>
    </w:p>
    <w:p>
      <w:pPr>
        <w:pStyle w:val="0"/>
        <w:jc w:val="right"/>
      </w:pPr>
      <w:r>
        <w:rPr>
          <w:sz w:val="20"/>
        </w:rPr>
      </w:r>
    </w:p>
    <w:p>
      <w:pPr>
        <w:pStyle w:val="0"/>
        <w:jc w:val="center"/>
      </w:pPr>
      <w:r>
        <w:rPr>
          <w:sz w:val="20"/>
        </w:rPr>
        <w:t xml:space="preserve">Койки круглосуточного стационара для оказания помощи</w:t>
      </w:r>
    </w:p>
    <w:p>
      <w:pPr>
        <w:pStyle w:val="0"/>
        <w:jc w:val="center"/>
      </w:pPr>
      <w:r>
        <w:rPr>
          <w:sz w:val="20"/>
        </w:rPr>
        <w:t xml:space="preserve">пациентам с онкологическими заболеваниями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402"/>
        <w:gridCol w:w="1531"/>
        <w:gridCol w:w="1701"/>
        <w:gridCol w:w="1701"/>
      </w:tblGrid>
      <w:tr>
        <w:tc>
          <w:tcPr>
            <w:tcW w:w="567" w:type="dxa"/>
          </w:tcPr>
          <w:p>
            <w:pPr>
              <w:pStyle w:val="0"/>
              <w:jc w:val="center"/>
            </w:pPr>
            <w:r>
              <w:rPr>
                <w:sz w:val="20"/>
              </w:rPr>
              <w:t xml:space="preserve">N п/п</w:t>
            </w:r>
          </w:p>
        </w:tc>
        <w:tc>
          <w:tcPr>
            <w:tcW w:w="3402" w:type="dxa"/>
          </w:tcPr>
          <w:p>
            <w:pPr>
              <w:pStyle w:val="0"/>
              <w:jc w:val="center"/>
            </w:pPr>
            <w:r>
              <w:rPr>
                <w:sz w:val="20"/>
              </w:rPr>
              <w:t xml:space="preserve">Наименование медицинской организации</w:t>
            </w:r>
          </w:p>
        </w:tc>
        <w:tc>
          <w:tcPr>
            <w:tcW w:w="1531" w:type="dxa"/>
          </w:tcPr>
          <w:p>
            <w:pPr>
              <w:pStyle w:val="0"/>
              <w:jc w:val="center"/>
            </w:pPr>
            <w:r>
              <w:rPr>
                <w:sz w:val="20"/>
              </w:rPr>
              <w:t xml:space="preserve">Койки по профилю "онкология"</w:t>
            </w:r>
          </w:p>
        </w:tc>
        <w:tc>
          <w:tcPr>
            <w:tcW w:w="1701" w:type="dxa"/>
          </w:tcPr>
          <w:p>
            <w:pPr>
              <w:pStyle w:val="0"/>
              <w:jc w:val="center"/>
            </w:pPr>
            <w:r>
              <w:rPr>
                <w:sz w:val="20"/>
              </w:rPr>
              <w:t xml:space="preserve">Койки по профилю "радиология"</w:t>
            </w:r>
          </w:p>
        </w:tc>
        <w:tc>
          <w:tcPr>
            <w:tcW w:w="1701" w:type="dxa"/>
          </w:tcPr>
          <w:p>
            <w:pPr>
              <w:pStyle w:val="0"/>
              <w:jc w:val="center"/>
            </w:pPr>
            <w:r>
              <w:rPr>
                <w:sz w:val="20"/>
              </w:rPr>
              <w:t xml:space="preserve">Койки по профилю "гематология"</w:t>
            </w:r>
          </w:p>
        </w:tc>
      </w:tr>
      <w:tr>
        <w:tc>
          <w:tcPr>
            <w:tcW w:w="567" w:type="dxa"/>
          </w:tcPr>
          <w:p>
            <w:pPr>
              <w:pStyle w:val="0"/>
              <w:jc w:val="center"/>
            </w:pPr>
            <w:r>
              <w:rPr>
                <w:sz w:val="20"/>
              </w:rPr>
              <w:t xml:space="preserve">1</w:t>
            </w:r>
          </w:p>
        </w:tc>
        <w:tc>
          <w:tcPr>
            <w:tcW w:w="3402" w:type="dxa"/>
          </w:tcPr>
          <w:p>
            <w:pPr>
              <w:pStyle w:val="0"/>
            </w:pPr>
            <w:r>
              <w:rPr>
                <w:sz w:val="20"/>
              </w:rPr>
              <w:t xml:space="preserve">БУ "Нижневартовский онкологический диспансер"</w:t>
            </w:r>
          </w:p>
        </w:tc>
        <w:tc>
          <w:tcPr>
            <w:tcW w:w="1531" w:type="dxa"/>
          </w:tcPr>
          <w:p>
            <w:pPr>
              <w:pStyle w:val="0"/>
              <w:jc w:val="center"/>
            </w:pPr>
            <w:r>
              <w:rPr>
                <w:sz w:val="20"/>
              </w:rPr>
              <w:t xml:space="preserve">102</w:t>
            </w:r>
          </w:p>
        </w:tc>
        <w:tc>
          <w:tcPr>
            <w:tcW w:w="1701" w:type="dxa"/>
          </w:tcPr>
          <w:p>
            <w:pPr>
              <w:pStyle w:val="0"/>
              <w:jc w:val="center"/>
            </w:pPr>
            <w:r>
              <w:rPr>
                <w:sz w:val="20"/>
              </w:rPr>
              <w:t xml:space="preserve">-</w:t>
            </w:r>
          </w:p>
        </w:tc>
        <w:tc>
          <w:tcPr>
            <w:tcW w:w="1701" w:type="dxa"/>
          </w:tcPr>
          <w:p>
            <w:pPr>
              <w:pStyle w:val="0"/>
              <w:jc w:val="center"/>
            </w:pPr>
            <w:r>
              <w:rPr>
                <w:sz w:val="20"/>
              </w:rPr>
              <w:t xml:space="preserve">-</w:t>
            </w:r>
          </w:p>
        </w:tc>
      </w:tr>
      <w:tr>
        <w:tc>
          <w:tcPr>
            <w:tcW w:w="567" w:type="dxa"/>
          </w:tcPr>
          <w:p>
            <w:pPr>
              <w:pStyle w:val="0"/>
              <w:jc w:val="center"/>
            </w:pPr>
            <w:r>
              <w:rPr>
                <w:sz w:val="20"/>
              </w:rPr>
              <w:t xml:space="preserve">2</w:t>
            </w:r>
          </w:p>
        </w:tc>
        <w:tc>
          <w:tcPr>
            <w:tcW w:w="3402" w:type="dxa"/>
          </w:tcPr>
          <w:p>
            <w:pPr>
              <w:pStyle w:val="0"/>
            </w:pPr>
            <w:r>
              <w:rPr>
                <w:sz w:val="20"/>
              </w:rPr>
              <w:t xml:space="preserve">БУ "Нижневартовская окружная клиническая детская больница"</w:t>
            </w:r>
          </w:p>
        </w:tc>
        <w:tc>
          <w:tcPr>
            <w:tcW w:w="1531" w:type="dxa"/>
          </w:tcPr>
          <w:p>
            <w:pPr>
              <w:pStyle w:val="0"/>
              <w:jc w:val="center"/>
            </w:pPr>
            <w:r>
              <w:rPr>
                <w:sz w:val="20"/>
              </w:rPr>
              <w:t xml:space="preserve">30</w:t>
            </w:r>
          </w:p>
        </w:tc>
        <w:tc>
          <w:tcPr>
            <w:tcW w:w="1701" w:type="dxa"/>
          </w:tcPr>
          <w:p>
            <w:pPr>
              <w:pStyle w:val="0"/>
              <w:jc w:val="center"/>
            </w:pPr>
            <w:r>
              <w:rPr>
                <w:sz w:val="20"/>
              </w:rPr>
              <w:t xml:space="preserve">-</w:t>
            </w:r>
          </w:p>
        </w:tc>
        <w:tc>
          <w:tcPr>
            <w:tcW w:w="1701" w:type="dxa"/>
          </w:tcPr>
          <w:p>
            <w:pPr>
              <w:pStyle w:val="0"/>
              <w:jc w:val="center"/>
            </w:pPr>
            <w:r>
              <w:rPr>
                <w:sz w:val="20"/>
              </w:rPr>
              <w:t xml:space="preserve">3</w:t>
            </w:r>
          </w:p>
        </w:tc>
      </w:tr>
      <w:tr>
        <w:tc>
          <w:tcPr>
            <w:tcW w:w="567" w:type="dxa"/>
          </w:tcPr>
          <w:p>
            <w:pPr>
              <w:pStyle w:val="0"/>
              <w:jc w:val="center"/>
            </w:pPr>
            <w:r>
              <w:rPr>
                <w:sz w:val="20"/>
              </w:rPr>
              <w:t xml:space="preserve">3</w:t>
            </w:r>
          </w:p>
        </w:tc>
        <w:tc>
          <w:tcPr>
            <w:tcW w:w="3402" w:type="dxa"/>
          </w:tcPr>
          <w:p>
            <w:pPr>
              <w:pStyle w:val="0"/>
            </w:pPr>
            <w:r>
              <w:rPr>
                <w:sz w:val="20"/>
              </w:rPr>
              <w:t xml:space="preserve">БУ "Нижневартовская окружная клиническая больница"</w:t>
            </w:r>
          </w:p>
        </w:tc>
        <w:tc>
          <w:tcPr>
            <w:tcW w:w="1531" w:type="dxa"/>
          </w:tcPr>
          <w:p>
            <w:pPr>
              <w:pStyle w:val="0"/>
              <w:jc w:val="center"/>
            </w:pPr>
            <w:r>
              <w:rPr>
                <w:sz w:val="20"/>
              </w:rPr>
              <w:t xml:space="preserve">-</w:t>
            </w:r>
          </w:p>
        </w:tc>
        <w:tc>
          <w:tcPr>
            <w:tcW w:w="1701" w:type="dxa"/>
          </w:tcPr>
          <w:p>
            <w:pPr>
              <w:pStyle w:val="0"/>
              <w:jc w:val="center"/>
            </w:pPr>
            <w:r>
              <w:rPr>
                <w:sz w:val="20"/>
              </w:rPr>
              <w:t xml:space="preserve">-</w:t>
            </w:r>
          </w:p>
        </w:tc>
        <w:tc>
          <w:tcPr>
            <w:tcW w:w="1701" w:type="dxa"/>
          </w:tcPr>
          <w:p>
            <w:pPr>
              <w:pStyle w:val="0"/>
              <w:jc w:val="center"/>
            </w:pPr>
            <w:r>
              <w:rPr>
                <w:sz w:val="20"/>
              </w:rPr>
              <w:t xml:space="preserve">7</w:t>
            </w:r>
          </w:p>
        </w:tc>
      </w:tr>
      <w:tr>
        <w:tc>
          <w:tcPr>
            <w:tcW w:w="567" w:type="dxa"/>
          </w:tcPr>
          <w:p>
            <w:pPr>
              <w:pStyle w:val="0"/>
              <w:jc w:val="center"/>
            </w:pPr>
            <w:r>
              <w:rPr>
                <w:sz w:val="20"/>
              </w:rPr>
              <w:t xml:space="preserve">4</w:t>
            </w:r>
          </w:p>
        </w:tc>
        <w:tc>
          <w:tcPr>
            <w:tcW w:w="3402" w:type="dxa"/>
          </w:tcPr>
          <w:p>
            <w:pPr>
              <w:pStyle w:val="0"/>
            </w:pPr>
            <w:r>
              <w:rPr>
                <w:sz w:val="20"/>
              </w:rPr>
              <w:t xml:space="preserve">БУ "Сургутская окружная клиническая больница"</w:t>
            </w:r>
          </w:p>
        </w:tc>
        <w:tc>
          <w:tcPr>
            <w:tcW w:w="1531" w:type="dxa"/>
          </w:tcPr>
          <w:p>
            <w:pPr>
              <w:pStyle w:val="0"/>
              <w:jc w:val="center"/>
            </w:pPr>
            <w:r>
              <w:rPr>
                <w:sz w:val="20"/>
              </w:rPr>
              <w:t xml:space="preserve">133</w:t>
            </w:r>
          </w:p>
        </w:tc>
        <w:tc>
          <w:tcPr>
            <w:tcW w:w="1701" w:type="dxa"/>
          </w:tcPr>
          <w:p>
            <w:pPr>
              <w:pStyle w:val="0"/>
              <w:jc w:val="center"/>
            </w:pPr>
            <w:r>
              <w:rPr>
                <w:sz w:val="20"/>
              </w:rPr>
              <w:t xml:space="preserve">-</w:t>
            </w:r>
          </w:p>
        </w:tc>
        <w:tc>
          <w:tcPr>
            <w:tcW w:w="1701" w:type="dxa"/>
          </w:tcPr>
          <w:p>
            <w:pPr>
              <w:pStyle w:val="0"/>
              <w:jc w:val="center"/>
            </w:pPr>
            <w:r>
              <w:rPr>
                <w:sz w:val="20"/>
              </w:rPr>
              <w:t xml:space="preserve">50</w:t>
            </w:r>
          </w:p>
        </w:tc>
      </w:tr>
      <w:tr>
        <w:tc>
          <w:tcPr>
            <w:tcW w:w="567" w:type="dxa"/>
          </w:tcPr>
          <w:p>
            <w:pPr>
              <w:pStyle w:val="0"/>
              <w:jc w:val="center"/>
            </w:pPr>
            <w:r>
              <w:rPr>
                <w:sz w:val="20"/>
              </w:rPr>
              <w:t xml:space="preserve">5</w:t>
            </w:r>
          </w:p>
        </w:tc>
        <w:tc>
          <w:tcPr>
            <w:tcW w:w="3402" w:type="dxa"/>
          </w:tcPr>
          <w:p>
            <w:pPr>
              <w:pStyle w:val="0"/>
            </w:pPr>
            <w:r>
              <w:rPr>
                <w:sz w:val="20"/>
              </w:rPr>
              <w:t xml:space="preserve">БУ "Окружная клиническая больница"</w:t>
            </w:r>
          </w:p>
        </w:tc>
        <w:tc>
          <w:tcPr>
            <w:tcW w:w="1531" w:type="dxa"/>
          </w:tcPr>
          <w:p>
            <w:pPr>
              <w:pStyle w:val="0"/>
              <w:jc w:val="center"/>
            </w:pPr>
            <w:r>
              <w:rPr>
                <w:sz w:val="20"/>
              </w:rPr>
              <w:t xml:space="preserve">91</w:t>
            </w:r>
          </w:p>
        </w:tc>
        <w:tc>
          <w:tcPr>
            <w:tcW w:w="1701" w:type="dxa"/>
          </w:tcPr>
          <w:p>
            <w:pPr>
              <w:pStyle w:val="0"/>
              <w:jc w:val="center"/>
            </w:pPr>
            <w:r>
              <w:rPr>
                <w:sz w:val="20"/>
              </w:rPr>
              <w:t xml:space="preserve">50</w:t>
            </w:r>
          </w:p>
        </w:tc>
        <w:tc>
          <w:tcPr>
            <w:tcW w:w="1701" w:type="dxa"/>
          </w:tcPr>
          <w:p>
            <w:pPr>
              <w:pStyle w:val="0"/>
              <w:jc w:val="center"/>
            </w:pPr>
            <w:r>
              <w:rPr>
                <w:sz w:val="20"/>
              </w:rPr>
              <w:t xml:space="preserve">1</w:t>
            </w:r>
          </w:p>
        </w:tc>
      </w:tr>
      <w:tr>
        <w:tc>
          <w:tcPr>
            <w:tcW w:w="567" w:type="dxa"/>
          </w:tcPr>
          <w:p>
            <w:pPr>
              <w:pStyle w:val="0"/>
              <w:jc w:val="center"/>
            </w:pPr>
            <w:r>
              <w:rPr>
                <w:sz w:val="20"/>
              </w:rPr>
              <w:t xml:space="preserve">6</w:t>
            </w:r>
          </w:p>
        </w:tc>
        <w:tc>
          <w:tcPr>
            <w:tcW w:w="3402" w:type="dxa"/>
          </w:tcPr>
          <w:p>
            <w:pPr>
              <w:pStyle w:val="0"/>
              <w:jc w:val="both"/>
            </w:pPr>
            <w:r>
              <w:rPr>
                <w:sz w:val="20"/>
              </w:rPr>
              <w:t xml:space="preserve">Всего</w:t>
            </w:r>
          </w:p>
        </w:tc>
        <w:tc>
          <w:tcPr>
            <w:tcW w:w="1531" w:type="dxa"/>
          </w:tcPr>
          <w:p>
            <w:pPr>
              <w:pStyle w:val="0"/>
              <w:jc w:val="center"/>
            </w:pPr>
            <w:r>
              <w:rPr>
                <w:sz w:val="20"/>
              </w:rPr>
              <w:t xml:space="preserve">356</w:t>
            </w:r>
          </w:p>
        </w:tc>
        <w:tc>
          <w:tcPr>
            <w:tcW w:w="1701" w:type="dxa"/>
          </w:tcPr>
          <w:p>
            <w:pPr>
              <w:pStyle w:val="0"/>
              <w:jc w:val="center"/>
            </w:pPr>
            <w:r>
              <w:rPr>
                <w:sz w:val="20"/>
              </w:rPr>
              <w:t xml:space="preserve">50</w:t>
            </w:r>
          </w:p>
        </w:tc>
        <w:tc>
          <w:tcPr>
            <w:tcW w:w="1701" w:type="dxa"/>
          </w:tcPr>
          <w:p>
            <w:pPr>
              <w:pStyle w:val="0"/>
              <w:jc w:val="center"/>
            </w:pPr>
            <w:r>
              <w:rPr>
                <w:sz w:val="20"/>
              </w:rPr>
              <w:t xml:space="preserve">61</w:t>
            </w:r>
          </w:p>
        </w:tc>
      </w:tr>
    </w:tbl>
    <w:p>
      <w:pPr>
        <w:pStyle w:val="0"/>
        <w:ind w:firstLine="540"/>
        <w:jc w:val="both"/>
      </w:pPr>
      <w:r>
        <w:rPr>
          <w:sz w:val="20"/>
        </w:rPr>
      </w:r>
    </w:p>
    <w:p>
      <w:pPr>
        <w:pStyle w:val="0"/>
        <w:jc w:val="right"/>
      </w:pPr>
      <w:r>
        <w:rPr>
          <w:sz w:val="20"/>
        </w:rPr>
        <w:t xml:space="preserve">Таблица 42</w:t>
      </w:r>
    </w:p>
    <w:p>
      <w:pPr>
        <w:pStyle w:val="0"/>
        <w:jc w:val="right"/>
      </w:pPr>
      <w:r>
        <w:rPr>
          <w:sz w:val="20"/>
        </w:rPr>
      </w:r>
    </w:p>
    <w:p>
      <w:pPr>
        <w:pStyle w:val="0"/>
        <w:jc w:val="center"/>
      </w:pPr>
      <w:r>
        <w:rPr>
          <w:sz w:val="20"/>
        </w:rPr>
        <w:t xml:space="preserve">Койки дневного стационара для оказания помощи пациентам</w:t>
      </w:r>
    </w:p>
    <w:p>
      <w:pPr>
        <w:pStyle w:val="0"/>
        <w:jc w:val="center"/>
      </w:pPr>
      <w:r>
        <w:rPr>
          <w:sz w:val="20"/>
        </w:rPr>
        <w:t xml:space="preserve">с онкологическими заболеваниями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3118"/>
        <w:gridCol w:w="2041"/>
        <w:gridCol w:w="1699"/>
        <w:gridCol w:w="1722"/>
      </w:tblGrid>
      <w:tr>
        <w:tc>
          <w:tcPr>
            <w:tcW w:w="454" w:type="dxa"/>
          </w:tcPr>
          <w:p>
            <w:pPr>
              <w:pStyle w:val="0"/>
              <w:jc w:val="center"/>
            </w:pPr>
            <w:r>
              <w:rPr>
                <w:sz w:val="20"/>
              </w:rPr>
              <w:t xml:space="preserve">N п/п</w:t>
            </w:r>
          </w:p>
        </w:tc>
        <w:tc>
          <w:tcPr>
            <w:tcW w:w="3118" w:type="dxa"/>
          </w:tcPr>
          <w:p>
            <w:pPr>
              <w:pStyle w:val="0"/>
              <w:jc w:val="center"/>
            </w:pPr>
            <w:r>
              <w:rPr>
                <w:sz w:val="20"/>
              </w:rPr>
              <w:t xml:space="preserve">Наименование медицинской организации</w:t>
            </w:r>
          </w:p>
        </w:tc>
        <w:tc>
          <w:tcPr>
            <w:tcW w:w="2041" w:type="dxa"/>
          </w:tcPr>
          <w:p>
            <w:pPr>
              <w:pStyle w:val="0"/>
              <w:jc w:val="center"/>
            </w:pPr>
            <w:r>
              <w:rPr>
                <w:sz w:val="20"/>
              </w:rPr>
              <w:t xml:space="preserve">Койки по профилю "онкология"</w:t>
            </w:r>
          </w:p>
        </w:tc>
        <w:tc>
          <w:tcPr>
            <w:tcW w:w="1699" w:type="dxa"/>
          </w:tcPr>
          <w:p>
            <w:pPr>
              <w:pStyle w:val="0"/>
              <w:jc w:val="center"/>
            </w:pPr>
            <w:r>
              <w:rPr>
                <w:sz w:val="20"/>
              </w:rPr>
              <w:t xml:space="preserve">Койки по профилю "радиология"</w:t>
            </w:r>
          </w:p>
        </w:tc>
        <w:tc>
          <w:tcPr>
            <w:tcW w:w="1722" w:type="dxa"/>
          </w:tcPr>
          <w:p>
            <w:pPr>
              <w:pStyle w:val="0"/>
              <w:jc w:val="center"/>
            </w:pPr>
            <w:r>
              <w:rPr>
                <w:sz w:val="20"/>
              </w:rPr>
              <w:t xml:space="preserve">Койки по профилю "гематология"</w:t>
            </w:r>
          </w:p>
        </w:tc>
      </w:tr>
      <w:tr>
        <w:tc>
          <w:tcPr>
            <w:tcW w:w="454" w:type="dxa"/>
          </w:tcPr>
          <w:p>
            <w:pPr>
              <w:pStyle w:val="0"/>
              <w:jc w:val="center"/>
            </w:pPr>
            <w:r>
              <w:rPr>
                <w:sz w:val="20"/>
              </w:rPr>
              <w:t xml:space="preserve">1</w:t>
            </w:r>
          </w:p>
        </w:tc>
        <w:tc>
          <w:tcPr>
            <w:tcW w:w="3118" w:type="dxa"/>
          </w:tcPr>
          <w:p>
            <w:pPr>
              <w:pStyle w:val="0"/>
            </w:pPr>
            <w:r>
              <w:rPr>
                <w:sz w:val="20"/>
              </w:rPr>
              <w:t xml:space="preserve">БУ "Нижневартовский онкологический диспансер"</w:t>
            </w:r>
          </w:p>
        </w:tc>
        <w:tc>
          <w:tcPr>
            <w:tcW w:w="2041" w:type="dxa"/>
          </w:tcPr>
          <w:p>
            <w:pPr>
              <w:pStyle w:val="0"/>
              <w:jc w:val="center"/>
            </w:pPr>
            <w:r>
              <w:rPr>
                <w:sz w:val="20"/>
              </w:rPr>
              <w:t xml:space="preserve">20 (в 2 смены)</w:t>
            </w:r>
          </w:p>
          <w:p>
            <w:pPr>
              <w:pStyle w:val="0"/>
              <w:jc w:val="center"/>
            </w:pPr>
            <w:r>
              <w:rPr>
                <w:sz w:val="20"/>
              </w:rPr>
              <w:t xml:space="preserve">40 пациенто-мест</w:t>
            </w:r>
          </w:p>
        </w:tc>
        <w:tc>
          <w:tcPr>
            <w:tcW w:w="1699" w:type="dxa"/>
          </w:tcPr>
          <w:p>
            <w:pPr>
              <w:pStyle w:val="0"/>
              <w:jc w:val="center"/>
            </w:pPr>
            <w:r>
              <w:rPr>
                <w:sz w:val="20"/>
              </w:rPr>
              <w:t xml:space="preserve">-</w:t>
            </w:r>
          </w:p>
        </w:tc>
        <w:tc>
          <w:tcPr>
            <w:tcW w:w="1722" w:type="dxa"/>
          </w:tcPr>
          <w:p>
            <w:pPr>
              <w:pStyle w:val="0"/>
              <w:jc w:val="center"/>
            </w:pPr>
            <w:r>
              <w:rPr>
                <w:sz w:val="20"/>
              </w:rPr>
              <w:t xml:space="preserve">-</w:t>
            </w:r>
          </w:p>
        </w:tc>
      </w:tr>
      <w:tr>
        <w:tc>
          <w:tcPr>
            <w:tcW w:w="454" w:type="dxa"/>
          </w:tcPr>
          <w:p>
            <w:pPr>
              <w:pStyle w:val="0"/>
              <w:jc w:val="center"/>
            </w:pPr>
            <w:r>
              <w:rPr>
                <w:sz w:val="20"/>
              </w:rPr>
              <w:t xml:space="preserve">2</w:t>
            </w:r>
          </w:p>
        </w:tc>
        <w:tc>
          <w:tcPr>
            <w:tcW w:w="3118" w:type="dxa"/>
          </w:tcPr>
          <w:p>
            <w:pPr>
              <w:pStyle w:val="0"/>
            </w:pPr>
            <w:r>
              <w:rPr>
                <w:sz w:val="20"/>
              </w:rPr>
              <w:t xml:space="preserve">БУ "Сургутская окружная клиническая больница"</w:t>
            </w:r>
          </w:p>
        </w:tc>
        <w:tc>
          <w:tcPr>
            <w:tcW w:w="2041" w:type="dxa"/>
          </w:tcPr>
          <w:p>
            <w:pPr>
              <w:pStyle w:val="0"/>
              <w:jc w:val="center"/>
            </w:pPr>
            <w:r>
              <w:rPr>
                <w:sz w:val="20"/>
              </w:rPr>
              <w:t xml:space="preserve">22 (в 3 смены)</w:t>
            </w:r>
          </w:p>
          <w:p>
            <w:pPr>
              <w:pStyle w:val="0"/>
              <w:jc w:val="center"/>
            </w:pPr>
            <w:r>
              <w:rPr>
                <w:sz w:val="20"/>
              </w:rPr>
              <w:t xml:space="preserve">66 пациенто-мест</w:t>
            </w:r>
          </w:p>
        </w:tc>
        <w:tc>
          <w:tcPr>
            <w:tcW w:w="1699" w:type="dxa"/>
          </w:tcPr>
          <w:p>
            <w:pPr>
              <w:pStyle w:val="0"/>
              <w:jc w:val="center"/>
            </w:pPr>
            <w:r>
              <w:rPr>
                <w:sz w:val="20"/>
              </w:rPr>
              <w:t xml:space="preserve">-</w:t>
            </w:r>
          </w:p>
        </w:tc>
        <w:tc>
          <w:tcPr>
            <w:tcW w:w="1722" w:type="dxa"/>
          </w:tcPr>
          <w:p>
            <w:pPr>
              <w:pStyle w:val="0"/>
              <w:jc w:val="center"/>
            </w:pPr>
            <w:r>
              <w:rPr>
                <w:sz w:val="20"/>
              </w:rPr>
              <w:t xml:space="preserve">2</w:t>
            </w:r>
          </w:p>
        </w:tc>
      </w:tr>
      <w:tr>
        <w:tc>
          <w:tcPr>
            <w:tcW w:w="454" w:type="dxa"/>
          </w:tcPr>
          <w:p>
            <w:pPr>
              <w:pStyle w:val="0"/>
              <w:jc w:val="center"/>
            </w:pPr>
            <w:r>
              <w:rPr>
                <w:sz w:val="20"/>
              </w:rPr>
              <w:t xml:space="preserve">3</w:t>
            </w:r>
          </w:p>
        </w:tc>
        <w:tc>
          <w:tcPr>
            <w:tcW w:w="3118" w:type="dxa"/>
          </w:tcPr>
          <w:p>
            <w:pPr>
              <w:pStyle w:val="0"/>
            </w:pPr>
            <w:r>
              <w:rPr>
                <w:sz w:val="20"/>
              </w:rPr>
              <w:t xml:space="preserve">БУ "Окружная клиническая больница"</w:t>
            </w:r>
          </w:p>
        </w:tc>
        <w:tc>
          <w:tcPr>
            <w:tcW w:w="2041" w:type="dxa"/>
          </w:tcPr>
          <w:p>
            <w:pPr>
              <w:pStyle w:val="0"/>
              <w:jc w:val="center"/>
            </w:pPr>
            <w:r>
              <w:rPr>
                <w:sz w:val="20"/>
              </w:rPr>
              <w:t xml:space="preserve">12 (в 2 смены)</w:t>
            </w:r>
          </w:p>
          <w:p>
            <w:pPr>
              <w:pStyle w:val="0"/>
              <w:jc w:val="center"/>
            </w:pPr>
            <w:r>
              <w:rPr>
                <w:sz w:val="20"/>
              </w:rPr>
              <w:t xml:space="preserve">24 пациенто-мест</w:t>
            </w:r>
          </w:p>
        </w:tc>
        <w:tc>
          <w:tcPr>
            <w:tcW w:w="1699" w:type="dxa"/>
          </w:tcPr>
          <w:p>
            <w:pPr>
              <w:pStyle w:val="0"/>
              <w:jc w:val="center"/>
            </w:pPr>
            <w:r>
              <w:rPr>
                <w:sz w:val="20"/>
              </w:rPr>
              <w:t xml:space="preserve">10 (в 3 смены)</w:t>
            </w:r>
          </w:p>
          <w:p>
            <w:pPr>
              <w:pStyle w:val="0"/>
              <w:jc w:val="center"/>
            </w:pPr>
            <w:r>
              <w:rPr>
                <w:sz w:val="20"/>
              </w:rPr>
              <w:t xml:space="preserve">30 пациенто-мест</w:t>
            </w:r>
          </w:p>
        </w:tc>
        <w:tc>
          <w:tcPr>
            <w:tcW w:w="1722" w:type="dxa"/>
          </w:tcPr>
          <w:p>
            <w:pPr>
              <w:pStyle w:val="0"/>
              <w:jc w:val="center"/>
            </w:pPr>
            <w:r>
              <w:rPr>
                <w:sz w:val="20"/>
              </w:rPr>
              <w:t xml:space="preserve">-</w:t>
            </w:r>
          </w:p>
        </w:tc>
      </w:tr>
      <w:tr>
        <w:tc>
          <w:tcPr>
            <w:tcW w:w="454" w:type="dxa"/>
          </w:tcPr>
          <w:p>
            <w:pPr>
              <w:pStyle w:val="0"/>
              <w:jc w:val="center"/>
            </w:pPr>
            <w:r>
              <w:rPr>
                <w:sz w:val="20"/>
              </w:rPr>
              <w:t xml:space="preserve">4</w:t>
            </w:r>
          </w:p>
        </w:tc>
        <w:tc>
          <w:tcPr>
            <w:tcW w:w="3118" w:type="dxa"/>
          </w:tcPr>
          <w:p>
            <w:pPr>
              <w:pStyle w:val="0"/>
            </w:pPr>
            <w:r>
              <w:rPr>
                <w:sz w:val="20"/>
              </w:rPr>
              <w:t xml:space="preserve">ЦАОП БУ "Няганская городская поликлиники"</w:t>
            </w:r>
          </w:p>
        </w:tc>
        <w:tc>
          <w:tcPr>
            <w:tcW w:w="2041" w:type="dxa"/>
          </w:tcPr>
          <w:p>
            <w:pPr>
              <w:pStyle w:val="0"/>
              <w:jc w:val="center"/>
            </w:pPr>
            <w:r>
              <w:rPr>
                <w:sz w:val="20"/>
              </w:rPr>
              <w:t xml:space="preserve">3 (в 2 смены)</w:t>
            </w:r>
          </w:p>
          <w:p>
            <w:pPr>
              <w:pStyle w:val="0"/>
              <w:jc w:val="center"/>
            </w:pPr>
            <w:r>
              <w:rPr>
                <w:sz w:val="20"/>
              </w:rPr>
              <w:t xml:space="preserve">6 пациенто-мест</w:t>
            </w:r>
          </w:p>
        </w:tc>
        <w:tc>
          <w:tcPr>
            <w:tcW w:w="1699" w:type="dxa"/>
          </w:tcPr>
          <w:p>
            <w:pPr>
              <w:pStyle w:val="0"/>
              <w:jc w:val="center"/>
            </w:pPr>
            <w:r>
              <w:rPr>
                <w:sz w:val="20"/>
              </w:rPr>
            </w:r>
          </w:p>
        </w:tc>
        <w:tc>
          <w:tcPr>
            <w:tcW w:w="1722" w:type="dxa"/>
          </w:tcPr>
          <w:p>
            <w:pPr>
              <w:pStyle w:val="0"/>
              <w:jc w:val="center"/>
            </w:pPr>
            <w:r>
              <w:rPr>
                <w:sz w:val="20"/>
              </w:rPr>
            </w:r>
          </w:p>
        </w:tc>
      </w:tr>
      <w:tr>
        <w:tc>
          <w:tcPr>
            <w:tcW w:w="454" w:type="dxa"/>
          </w:tcPr>
          <w:p>
            <w:pPr>
              <w:pStyle w:val="0"/>
              <w:jc w:val="center"/>
            </w:pPr>
            <w:r>
              <w:rPr>
                <w:sz w:val="20"/>
              </w:rPr>
              <w:t xml:space="preserve">5</w:t>
            </w:r>
          </w:p>
        </w:tc>
        <w:tc>
          <w:tcPr>
            <w:tcW w:w="3118" w:type="dxa"/>
          </w:tcPr>
          <w:p>
            <w:pPr>
              <w:pStyle w:val="0"/>
            </w:pPr>
            <w:r>
              <w:rPr>
                <w:sz w:val="20"/>
              </w:rPr>
              <w:t xml:space="preserve">ЦАОП АУ "Советская районная больница"</w:t>
            </w:r>
          </w:p>
        </w:tc>
        <w:tc>
          <w:tcPr>
            <w:tcW w:w="2041" w:type="dxa"/>
          </w:tcPr>
          <w:p>
            <w:pPr>
              <w:pStyle w:val="0"/>
              <w:jc w:val="center"/>
            </w:pPr>
            <w:r>
              <w:rPr>
                <w:sz w:val="20"/>
              </w:rPr>
              <w:t xml:space="preserve">5 (в 2 смены)</w:t>
            </w:r>
          </w:p>
          <w:p>
            <w:pPr>
              <w:pStyle w:val="0"/>
              <w:jc w:val="center"/>
            </w:pPr>
            <w:r>
              <w:rPr>
                <w:sz w:val="20"/>
              </w:rPr>
              <w:t xml:space="preserve">10 пациенто-мест</w:t>
            </w:r>
          </w:p>
        </w:tc>
        <w:tc>
          <w:tcPr>
            <w:tcW w:w="1699" w:type="dxa"/>
          </w:tcPr>
          <w:p>
            <w:pPr>
              <w:pStyle w:val="0"/>
              <w:jc w:val="center"/>
            </w:pPr>
            <w:r>
              <w:rPr>
                <w:sz w:val="20"/>
              </w:rPr>
            </w:r>
          </w:p>
        </w:tc>
        <w:tc>
          <w:tcPr>
            <w:tcW w:w="1722" w:type="dxa"/>
          </w:tcPr>
          <w:p>
            <w:pPr>
              <w:pStyle w:val="0"/>
              <w:jc w:val="center"/>
            </w:pPr>
            <w:r>
              <w:rPr>
                <w:sz w:val="20"/>
              </w:rPr>
            </w:r>
          </w:p>
        </w:tc>
      </w:tr>
      <w:tr>
        <w:tc>
          <w:tcPr>
            <w:tcW w:w="454" w:type="dxa"/>
          </w:tcPr>
          <w:p>
            <w:pPr>
              <w:pStyle w:val="0"/>
              <w:jc w:val="center"/>
            </w:pPr>
            <w:r>
              <w:rPr>
                <w:sz w:val="20"/>
              </w:rPr>
              <w:t xml:space="preserve">6</w:t>
            </w:r>
          </w:p>
        </w:tc>
        <w:tc>
          <w:tcPr>
            <w:tcW w:w="3118" w:type="dxa"/>
          </w:tcPr>
          <w:p>
            <w:pPr>
              <w:pStyle w:val="0"/>
            </w:pPr>
            <w:r>
              <w:rPr>
                <w:sz w:val="20"/>
              </w:rPr>
              <w:t xml:space="preserve">ЦАОП БУ "Нефтеюганская окружная клиническая больница им. В.И. Яцкив"</w:t>
            </w:r>
          </w:p>
        </w:tc>
        <w:tc>
          <w:tcPr>
            <w:tcW w:w="2041" w:type="dxa"/>
          </w:tcPr>
          <w:p>
            <w:pPr>
              <w:pStyle w:val="0"/>
              <w:jc w:val="center"/>
            </w:pPr>
            <w:r>
              <w:rPr>
                <w:sz w:val="20"/>
              </w:rPr>
              <w:t xml:space="preserve">4 (в 2 смены)</w:t>
            </w:r>
          </w:p>
          <w:p>
            <w:pPr>
              <w:pStyle w:val="0"/>
              <w:jc w:val="center"/>
            </w:pPr>
            <w:r>
              <w:rPr>
                <w:sz w:val="20"/>
              </w:rPr>
              <w:t xml:space="preserve">8 пациенто-мест</w:t>
            </w:r>
          </w:p>
        </w:tc>
        <w:tc>
          <w:tcPr>
            <w:tcW w:w="1699" w:type="dxa"/>
          </w:tcPr>
          <w:p>
            <w:pPr>
              <w:pStyle w:val="0"/>
              <w:jc w:val="center"/>
            </w:pPr>
            <w:r>
              <w:rPr>
                <w:sz w:val="20"/>
              </w:rPr>
            </w:r>
          </w:p>
        </w:tc>
        <w:tc>
          <w:tcPr>
            <w:tcW w:w="1722" w:type="dxa"/>
          </w:tcPr>
          <w:p>
            <w:pPr>
              <w:pStyle w:val="0"/>
              <w:jc w:val="center"/>
            </w:pPr>
            <w:r>
              <w:rPr>
                <w:sz w:val="20"/>
              </w:rPr>
            </w:r>
          </w:p>
        </w:tc>
      </w:tr>
      <w:tr>
        <w:tc>
          <w:tcPr>
            <w:tcW w:w="454" w:type="dxa"/>
          </w:tcPr>
          <w:p>
            <w:pPr>
              <w:pStyle w:val="0"/>
              <w:jc w:val="center"/>
            </w:pPr>
            <w:r>
              <w:rPr>
                <w:sz w:val="20"/>
              </w:rPr>
              <w:t xml:space="preserve">7</w:t>
            </w:r>
          </w:p>
        </w:tc>
        <w:tc>
          <w:tcPr>
            <w:tcW w:w="3118" w:type="dxa"/>
          </w:tcPr>
          <w:p>
            <w:pPr>
              <w:pStyle w:val="0"/>
            </w:pPr>
            <w:r>
              <w:rPr>
                <w:sz w:val="20"/>
              </w:rPr>
              <w:t xml:space="preserve">ЦАОП БУ "Окружная клиническая больница"</w:t>
            </w:r>
          </w:p>
        </w:tc>
        <w:tc>
          <w:tcPr>
            <w:tcW w:w="2041" w:type="dxa"/>
          </w:tcPr>
          <w:p>
            <w:pPr>
              <w:pStyle w:val="0"/>
              <w:jc w:val="center"/>
            </w:pPr>
            <w:r>
              <w:rPr>
                <w:sz w:val="20"/>
              </w:rPr>
              <w:t xml:space="preserve">3 (в 2 смены)</w:t>
            </w:r>
          </w:p>
          <w:p>
            <w:pPr>
              <w:pStyle w:val="0"/>
              <w:jc w:val="center"/>
            </w:pPr>
            <w:r>
              <w:rPr>
                <w:sz w:val="20"/>
              </w:rPr>
              <w:t xml:space="preserve">6 пациенто-мест</w:t>
            </w:r>
          </w:p>
        </w:tc>
        <w:tc>
          <w:tcPr>
            <w:tcW w:w="1699" w:type="dxa"/>
          </w:tcPr>
          <w:p>
            <w:pPr>
              <w:pStyle w:val="0"/>
              <w:jc w:val="center"/>
            </w:pPr>
            <w:r>
              <w:rPr>
                <w:sz w:val="20"/>
              </w:rPr>
            </w:r>
          </w:p>
        </w:tc>
        <w:tc>
          <w:tcPr>
            <w:tcW w:w="1722" w:type="dxa"/>
          </w:tcPr>
          <w:p>
            <w:pPr>
              <w:pStyle w:val="0"/>
              <w:jc w:val="center"/>
            </w:pPr>
            <w:r>
              <w:rPr>
                <w:sz w:val="20"/>
              </w:rPr>
            </w:r>
          </w:p>
        </w:tc>
      </w:tr>
      <w:tr>
        <w:tc>
          <w:tcPr>
            <w:tcW w:w="454" w:type="dxa"/>
          </w:tcPr>
          <w:p>
            <w:pPr>
              <w:pStyle w:val="0"/>
              <w:jc w:val="both"/>
            </w:pPr>
            <w:r>
              <w:rPr>
                <w:sz w:val="20"/>
              </w:rPr>
            </w:r>
          </w:p>
        </w:tc>
        <w:tc>
          <w:tcPr>
            <w:tcW w:w="3118" w:type="dxa"/>
          </w:tcPr>
          <w:p>
            <w:pPr>
              <w:pStyle w:val="0"/>
              <w:jc w:val="both"/>
            </w:pPr>
            <w:r>
              <w:rPr>
                <w:sz w:val="20"/>
              </w:rPr>
              <w:t xml:space="preserve">Всего</w:t>
            </w:r>
          </w:p>
        </w:tc>
        <w:tc>
          <w:tcPr>
            <w:tcW w:w="2041" w:type="dxa"/>
          </w:tcPr>
          <w:p>
            <w:pPr>
              <w:pStyle w:val="0"/>
              <w:jc w:val="center"/>
            </w:pPr>
            <w:r>
              <w:rPr>
                <w:sz w:val="20"/>
              </w:rPr>
              <w:t xml:space="preserve">69</w:t>
            </w:r>
          </w:p>
        </w:tc>
        <w:tc>
          <w:tcPr>
            <w:tcW w:w="1699" w:type="dxa"/>
          </w:tcPr>
          <w:p>
            <w:pPr>
              <w:pStyle w:val="0"/>
              <w:jc w:val="center"/>
            </w:pPr>
            <w:r>
              <w:rPr>
                <w:sz w:val="20"/>
              </w:rPr>
              <w:t xml:space="preserve">10</w:t>
            </w:r>
          </w:p>
        </w:tc>
        <w:tc>
          <w:tcPr>
            <w:tcW w:w="1722" w:type="dxa"/>
          </w:tcPr>
          <w:p>
            <w:pPr>
              <w:pStyle w:val="0"/>
              <w:jc w:val="center"/>
            </w:pPr>
            <w:r>
              <w:rPr>
                <w:sz w:val="20"/>
              </w:rPr>
              <w:t xml:space="preserve">2</w:t>
            </w:r>
          </w:p>
        </w:tc>
      </w:tr>
    </w:tbl>
    <w:p>
      <w:pPr>
        <w:pStyle w:val="0"/>
        <w:ind w:firstLine="540"/>
        <w:jc w:val="both"/>
      </w:pPr>
      <w:r>
        <w:rPr>
          <w:sz w:val="20"/>
        </w:rPr>
      </w:r>
    </w:p>
    <w:p>
      <w:pPr>
        <w:pStyle w:val="0"/>
        <w:jc w:val="right"/>
      </w:pPr>
      <w:r>
        <w:rPr>
          <w:sz w:val="20"/>
        </w:rPr>
        <w:t xml:space="preserve">Таблица 43</w:t>
      </w:r>
    </w:p>
    <w:p>
      <w:pPr>
        <w:pStyle w:val="0"/>
        <w:jc w:val="right"/>
      </w:pPr>
      <w:r>
        <w:rPr>
          <w:sz w:val="20"/>
        </w:rPr>
      </w:r>
    </w:p>
    <w:p>
      <w:pPr>
        <w:pStyle w:val="0"/>
        <w:jc w:val="center"/>
      </w:pPr>
      <w:r>
        <w:rPr>
          <w:sz w:val="20"/>
        </w:rPr>
        <w:t xml:space="preserve">Перечень диагностических и лечебных структурных</w:t>
      </w:r>
    </w:p>
    <w:p>
      <w:pPr>
        <w:pStyle w:val="0"/>
        <w:jc w:val="center"/>
      </w:pPr>
      <w:r>
        <w:rPr>
          <w:sz w:val="20"/>
        </w:rPr>
        <w:t xml:space="preserve">подразделений медицинских организаций, оказывающих помощь</w:t>
      </w:r>
    </w:p>
    <w:p>
      <w:pPr>
        <w:pStyle w:val="0"/>
        <w:jc w:val="center"/>
      </w:pPr>
      <w:r>
        <w:rPr>
          <w:sz w:val="20"/>
        </w:rPr>
        <w:t xml:space="preserve">пациентам с онкологическими заболеваниями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28"/>
        <w:gridCol w:w="1677"/>
        <w:gridCol w:w="1265"/>
        <w:gridCol w:w="2274"/>
      </w:tblGrid>
      <w:tr>
        <w:tc>
          <w:tcPr>
            <w:gridSpan w:val="4"/>
            <w:tcW w:w="9044" w:type="dxa"/>
          </w:tcPr>
          <w:p>
            <w:pPr>
              <w:pStyle w:val="0"/>
              <w:jc w:val="center"/>
            </w:pPr>
            <w:r>
              <w:rPr>
                <w:sz w:val="20"/>
              </w:rPr>
              <w:t xml:space="preserve">Диагностические подразделения</w:t>
            </w:r>
          </w:p>
        </w:tc>
      </w:tr>
      <w:tr>
        <w:tc>
          <w:tcPr>
            <w:gridSpan w:val="2"/>
            <w:tcW w:w="5505" w:type="dxa"/>
          </w:tcPr>
          <w:p>
            <w:pPr>
              <w:pStyle w:val="0"/>
              <w:jc w:val="both"/>
            </w:pPr>
            <w:r>
              <w:rPr>
                <w:sz w:val="20"/>
              </w:rPr>
              <w:t xml:space="preserve">Наименование структурного подразделения</w:t>
            </w:r>
          </w:p>
        </w:tc>
        <w:tc>
          <w:tcPr>
            <w:gridSpan w:val="2"/>
            <w:tcW w:w="3539" w:type="dxa"/>
          </w:tcPr>
          <w:p>
            <w:pPr>
              <w:pStyle w:val="0"/>
              <w:jc w:val="center"/>
            </w:pPr>
            <w:r>
              <w:rPr>
                <w:sz w:val="20"/>
              </w:rPr>
              <w:t xml:space="preserve">Количество исследований в смену</w:t>
            </w:r>
          </w:p>
        </w:tc>
      </w:tr>
      <w:tr>
        <w:tc>
          <w:tcPr>
            <w:gridSpan w:val="2"/>
            <w:tcW w:w="5505" w:type="dxa"/>
          </w:tcPr>
          <w:p>
            <w:pPr>
              <w:pStyle w:val="0"/>
            </w:pPr>
            <w:r>
              <w:rPr>
                <w:sz w:val="20"/>
              </w:rPr>
              <w:t xml:space="preserve">БУ "Нижневартовский онкологический диспансер":</w:t>
            </w:r>
          </w:p>
        </w:tc>
        <w:tc>
          <w:tcPr>
            <w:gridSpan w:val="2"/>
            <w:tcW w:w="3539" w:type="dxa"/>
          </w:tcPr>
          <w:p>
            <w:pPr>
              <w:pStyle w:val="0"/>
              <w:jc w:val="center"/>
            </w:pPr>
            <w:r>
              <w:rPr>
                <w:sz w:val="20"/>
              </w:rPr>
            </w:r>
          </w:p>
        </w:tc>
      </w:tr>
      <w:tr>
        <w:tc>
          <w:tcPr>
            <w:gridSpan w:val="2"/>
            <w:tcW w:w="5505" w:type="dxa"/>
          </w:tcPr>
          <w:p>
            <w:pPr>
              <w:pStyle w:val="0"/>
              <w:jc w:val="right"/>
            </w:pPr>
            <w:r>
              <w:rPr>
                <w:sz w:val="20"/>
              </w:rPr>
              <w:t xml:space="preserve">Эндоскопический кабинет</w:t>
            </w:r>
          </w:p>
        </w:tc>
        <w:tc>
          <w:tcPr>
            <w:gridSpan w:val="2"/>
            <w:tcW w:w="3539" w:type="dxa"/>
          </w:tcPr>
          <w:p>
            <w:pPr>
              <w:pStyle w:val="0"/>
              <w:jc w:val="center"/>
            </w:pPr>
            <w:r>
              <w:rPr>
                <w:sz w:val="20"/>
              </w:rPr>
              <w:t xml:space="preserve">30</w:t>
            </w:r>
          </w:p>
        </w:tc>
      </w:tr>
      <w:tr>
        <w:tc>
          <w:tcPr>
            <w:gridSpan w:val="2"/>
            <w:tcW w:w="5505" w:type="dxa"/>
          </w:tcPr>
          <w:p>
            <w:pPr>
              <w:pStyle w:val="0"/>
              <w:jc w:val="right"/>
            </w:pPr>
            <w:r>
              <w:rPr>
                <w:sz w:val="20"/>
              </w:rPr>
              <w:t xml:space="preserve">Кабинет ультразвуковой диагностики</w:t>
            </w:r>
          </w:p>
        </w:tc>
        <w:tc>
          <w:tcPr>
            <w:gridSpan w:val="2"/>
            <w:tcW w:w="3539" w:type="dxa"/>
          </w:tcPr>
          <w:p>
            <w:pPr>
              <w:pStyle w:val="0"/>
              <w:jc w:val="center"/>
            </w:pPr>
            <w:r>
              <w:rPr>
                <w:sz w:val="20"/>
              </w:rPr>
              <w:t xml:space="preserve">150</w:t>
            </w:r>
          </w:p>
        </w:tc>
      </w:tr>
      <w:tr>
        <w:tc>
          <w:tcPr>
            <w:gridSpan w:val="2"/>
            <w:tcW w:w="5505" w:type="dxa"/>
          </w:tcPr>
          <w:p>
            <w:pPr>
              <w:pStyle w:val="0"/>
              <w:jc w:val="right"/>
            </w:pPr>
            <w:r>
              <w:rPr>
                <w:sz w:val="20"/>
              </w:rPr>
              <w:t xml:space="preserve">Рентгенологический кабинет</w:t>
            </w:r>
          </w:p>
        </w:tc>
        <w:tc>
          <w:tcPr>
            <w:gridSpan w:val="2"/>
            <w:tcW w:w="3539" w:type="dxa"/>
          </w:tcPr>
          <w:p>
            <w:pPr>
              <w:pStyle w:val="0"/>
              <w:jc w:val="center"/>
            </w:pPr>
            <w:r>
              <w:rPr>
                <w:sz w:val="20"/>
              </w:rPr>
              <w:t xml:space="preserve">50</w:t>
            </w:r>
          </w:p>
        </w:tc>
      </w:tr>
      <w:tr>
        <w:tc>
          <w:tcPr>
            <w:gridSpan w:val="2"/>
            <w:tcW w:w="5505" w:type="dxa"/>
          </w:tcPr>
          <w:p>
            <w:pPr>
              <w:pStyle w:val="0"/>
              <w:jc w:val="right"/>
            </w:pPr>
            <w:r>
              <w:rPr>
                <w:sz w:val="20"/>
              </w:rPr>
              <w:t xml:space="preserve">Клинико-диагностическая лаборатория</w:t>
            </w:r>
          </w:p>
        </w:tc>
        <w:tc>
          <w:tcPr>
            <w:gridSpan w:val="2"/>
            <w:tcW w:w="3539" w:type="dxa"/>
          </w:tcPr>
          <w:p>
            <w:pPr>
              <w:pStyle w:val="0"/>
              <w:jc w:val="center"/>
            </w:pPr>
            <w:r>
              <w:rPr>
                <w:sz w:val="20"/>
              </w:rPr>
              <w:t xml:space="preserve">1000</w:t>
            </w:r>
          </w:p>
        </w:tc>
      </w:tr>
      <w:tr>
        <w:tc>
          <w:tcPr>
            <w:gridSpan w:val="2"/>
            <w:tcW w:w="5505" w:type="dxa"/>
          </w:tcPr>
          <w:p>
            <w:pPr>
              <w:pStyle w:val="0"/>
              <w:jc w:val="right"/>
            </w:pPr>
            <w:r>
              <w:rPr>
                <w:sz w:val="20"/>
              </w:rPr>
              <w:t xml:space="preserve">Цитологическая лаборатория</w:t>
            </w:r>
          </w:p>
        </w:tc>
        <w:tc>
          <w:tcPr>
            <w:gridSpan w:val="2"/>
            <w:tcW w:w="3539" w:type="dxa"/>
          </w:tcPr>
          <w:p>
            <w:pPr>
              <w:pStyle w:val="0"/>
              <w:jc w:val="center"/>
            </w:pPr>
            <w:r>
              <w:rPr>
                <w:sz w:val="20"/>
              </w:rPr>
              <w:t xml:space="preserve">150</w:t>
            </w:r>
          </w:p>
        </w:tc>
      </w:tr>
      <w:tr>
        <w:tc>
          <w:tcPr>
            <w:gridSpan w:val="2"/>
            <w:tcW w:w="5505" w:type="dxa"/>
          </w:tcPr>
          <w:p>
            <w:pPr>
              <w:pStyle w:val="0"/>
              <w:jc w:val="both"/>
            </w:pPr>
            <w:r>
              <w:rPr>
                <w:sz w:val="20"/>
              </w:rPr>
              <w:t xml:space="preserve">БУ "Сургутская окружная клиническая больница":</w:t>
            </w:r>
          </w:p>
        </w:tc>
        <w:tc>
          <w:tcPr>
            <w:gridSpan w:val="2"/>
            <w:tcW w:w="3539" w:type="dxa"/>
          </w:tcPr>
          <w:p>
            <w:pPr>
              <w:pStyle w:val="0"/>
              <w:jc w:val="center"/>
            </w:pPr>
            <w:r>
              <w:rPr>
                <w:sz w:val="20"/>
              </w:rPr>
            </w:r>
          </w:p>
        </w:tc>
      </w:tr>
      <w:tr>
        <w:tc>
          <w:tcPr>
            <w:gridSpan w:val="2"/>
            <w:tcW w:w="5505" w:type="dxa"/>
          </w:tcPr>
          <w:p>
            <w:pPr>
              <w:pStyle w:val="0"/>
              <w:jc w:val="right"/>
            </w:pPr>
            <w:r>
              <w:rPr>
                <w:sz w:val="20"/>
              </w:rPr>
              <w:t xml:space="preserve">Рентгенологическое отделение</w:t>
            </w:r>
          </w:p>
        </w:tc>
        <w:tc>
          <w:tcPr>
            <w:gridSpan w:val="2"/>
            <w:tcW w:w="3539" w:type="dxa"/>
          </w:tcPr>
          <w:p>
            <w:pPr>
              <w:pStyle w:val="0"/>
              <w:jc w:val="center"/>
            </w:pPr>
            <w:r>
              <w:rPr>
                <w:sz w:val="20"/>
              </w:rPr>
              <w:t xml:space="preserve">100</w:t>
            </w:r>
          </w:p>
        </w:tc>
      </w:tr>
      <w:tr>
        <w:tc>
          <w:tcPr>
            <w:gridSpan w:val="2"/>
            <w:tcW w:w="5505" w:type="dxa"/>
          </w:tcPr>
          <w:p>
            <w:pPr>
              <w:pStyle w:val="0"/>
              <w:jc w:val="right"/>
            </w:pPr>
            <w:r>
              <w:rPr>
                <w:sz w:val="20"/>
              </w:rPr>
              <w:t xml:space="preserve">Эндоскопическое отделение</w:t>
            </w:r>
          </w:p>
        </w:tc>
        <w:tc>
          <w:tcPr>
            <w:gridSpan w:val="2"/>
            <w:tcW w:w="3539" w:type="dxa"/>
          </w:tcPr>
          <w:p>
            <w:pPr>
              <w:pStyle w:val="0"/>
              <w:jc w:val="center"/>
            </w:pPr>
            <w:r>
              <w:rPr>
                <w:sz w:val="20"/>
              </w:rPr>
              <w:t xml:space="preserve">45</w:t>
            </w:r>
          </w:p>
        </w:tc>
      </w:tr>
      <w:tr>
        <w:tc>
          <w:tcPr>
            <w:gridSpan w:val="2"/>
            <w:tcW w:w="5505" w:type="dxa"/>
          </w:tcPr>
          <w:p>
            <w:pPr>
              <w:pStyle w:val="0"/>
              <w:jc w:val="right"/>
            </w:pPr>
            <w:r>
              <w:rPr>
                <w:sz w:val="20"/>
              </w:rPr>
              <w:t xml:space="preserve">Отделение ультразвуковой диагностики</w:t>
            </w:r>
          </w:p>
        </w:tc>
        <w:tc>
          <w:tcPr>
            <w:gridSpan w:val="2"/>
            <w:tcW w:w="3539" w:type="dxa"/>
          </w:tcPr>
          <w:p>
            <w:pPr>
              <w:pStyle w:val="0"/>
              <w:jc w:val="center"/>
            </w:pPr>
            <w:r>
              <w:rPr>
                <w:sz w:val="20"/>
              </w:rPr>
              <w:t xml:space="preserve">150</w:t>
            </w:r>
          </w:p>
        </w:tc>
      </w:tr>
      <w:tr>
        <w:tc>
          <w:tcPr>
            <w:gridSpan w:val="2"/>
            <w:tcW w:w="5505" w:type="dxa"/>
          </w:tcPr>
          <w:p>
            <w:pPr>
              <w:pStyle w:val="0"/>
              <w:jc w:val="right"/>
            </w:pPr>
            <w:r>
              <w:rPr>
                <w:sz w:val="20"/>
              </w:rPr>
              <w:t xml:space="preserve">Клинико-диагностическая лаборатория</w:t>
            </w:r>
          </w:p>
        </w:tc>
        <w:tc>
          <w:tcPr>
            <w:gridSpan w:val="2"/>
            <w:tcW w:w="3539" w:type="dxa"/>
          </w:tcPr>
          <w:p>
            <w:pPr>
              <w:pStyle w:val="0"/>
              <w:jc w:val="center"/>
            </w:pPr>
            <w:r>
              <w:rPr>
                <w:sz w:val="20"/>
              </w:rPr>
              <w:t xml:space="preserve">2000</w:t>
            </w:r>
          </w:p>
        </w:tc>
      </w:tr>
      <w:tr>
        <w:tc>
          <w:tcPr>
            <w:gridSpan w:val="2"/>
            <w:tcW w:w="5505" w:type="dxa"/>
          </w:tcPr>
          <w:p>
            <w:pPr>
              <w:pStyle w:val="0"/>
              <w:jc w:val="right"/>
            </w:pPr>
            <w:r>
              <w:rPr>
                <w:sz w:val="20"/>
              </w:rPr>
              <w:t xml:space="preserve">Патологоанатомическое отделение</w:t>
            </w:r>
          </w:p>
        </w:tc>
        <w:tc>
          <w:tcPr>
            <w:gridSpan w:val="2"/>
            <w:tcW w:w="3539" w:type="dxa"/>
          </w:tcPr>
          <w:p>
            <w:pPr>
              <w:pStyle w:val="0"/>
              <w:jc w:val="center"/>
            </w:pPr>
            <w:r>
              <w:rPr>
                <w:sz w:val="20"/>
              </w:rPr>
              <w:t xml:space="preserve">150</w:t>
            </w:r>
          </w:p>
        </w:tc>
      </w:tr>
      <w:tr>
        <w:tc>
          <w:tcPr>
            <w:gridSpan w:val="2"/>
            <w:tcW w:w="5505" w:type="dxa"/>
          </w:tcPr>
          <w:p>
            <w:pPr>
              <w:pStyle w:val="0"/>
              <w:jc w:val="both"/>
            </w:pPr>
            <w:r>
              <w:rPr>
                <w:sz w:val="20"/>
              </w:rPr>
              <w:t xml:space="preserve">БУ "Окружная клиническая больница":</w:t>
            </w:r>
          </w:p>
        </w:tc>
        <w:tc>
          <w:tcPr>
            <w:gridSpan w:val="2"/>
            <w:tcW w:w="3539" w:type="dxa"/>
          </w:tcPr>
          <w:p>
            <w:pPr>
              <w:pStyle w:val="0"/>
              <w:jc w:val="center"/>
            </w:pPr>
            <w:r>
              <w:rPr>
                <w:sz w:val="20"/>
              </w:rPr>
            </w:r>
          </w:p>
        </w:tc>
      </w:tr>
      <w:tr>
        <w:tc>
          <w:tcPr>
            <w:gridSpan w:val="2"/>
            <w:tcW w:w="5505" w:type="dxa"/>
          </w:tcPr>
          <w:p>
            <w:pPr>
              <w:pStyle w:val="0"/>
              <w:jc w:val="right"/>
            </w:pPr>
            <w:r>
              <w:rPr>
                <w:sz w:val="20"/>
              </w:rPr>
              <w:t xml:space="preserve">Рентгенологическое отделение</w:t>
            </w:r>
          </w:p>
        </w:tc>
        <w:tc>
          <w:tcPr>
            <w:gridSpan w:val="2"/>
            <w:tcW w:w="3539" w:type="dxa"/>
          </w:tcPr>
          <w:p>
            <w:pPr>
              <w:pStyle w:val="0"/>
              <w:jc w:val="center"/>
            </w:pPr>
            <w:r>
              <w:rPr>
                <w:sz w:val="20"/>
              </w:rPr>
              <w:t xml:space="preserve">60</w:t>
            </w:r>
          </w:p>
        </w:tc>
      </w:tr>
      <w:tr>
        <w:tc>
          <w:tcPr>
            <w:gridSpan w:val="2"/>
            <w:tcW w:w="5505" w:type="dxa"/>
          </w:tcPr>
          <w:p>
            <w:pPr>
              <w:pStyle w:val="0"/>
              <w:jc w:val="right"/>
            </w:pPr>
            <w:r>
              <w:rPr>
                <w:sz w:val="20"/>
              </w:rPr>
              <w:t xml:space="preserve">Отделение радиоизотопной диагностики</w:t>
            </w:r>
          </w:p>
        </w:tc>
        <w:tc>
          <w:tcPr>
            <w:gridSpan w:val="2"/>
            <w:tcW w:w="3539" w:type="dxa"/>
          </w:tcPr>
          <w:p>
            <w:pPr>
              <w:pStyle w:val="0"/>
              <w:jc w:val="center"/>
            </w:pPr>
            <w:r>
              <w:rPr>
                <w:sz w:val="20"/>
              </w:rPr>
              <w:t xml:space="preserve">30</w:t>
            </w:r>
          </w:p>
        </w:tc>
      </w:tr>
      <w:tr>
        <w:tc>
          <w:tcPr>
            <w:gridSpan w:val="2"/>
            <w:tcW w:w="5505" w:type="dxa"/>
          </w:tcPr>
          <w:p>
            <w:pPr>
              <w:pStyle w:val="0"/>
              <w:jc w:val="right"/>
            </w:pPr>
            <w:r>
              <w:rPr>
                <w:sz w:val="20"/>
              </w:rPr>
              <w:t xml:space="preserve">Эндоскопическое отделение</w:t>
            </w:r>
          </w:p>
        </w:tc>
        <w:tc>
          <w:tcPr>
            <w:gridSpan w:val="2"/>
            <w:tcW w:w="3539" w:type="dxa"/>
          </w:tcPr>
          <w:p>
            <w:pPr>
              <w:pStyle w:val="0"/>
              <w:jc w:val="center"/>
            </w:pPr>
            <w:r>
              <w:rPr>
                <w:sz w:val="20"/>
              </w:rPr>
              <w:t xml:space="preserve">40</w:t>
            </w:r>
          </w:p>
        </w:tc>
      </w:tr>
      <w:tr>
        <w:tc>
          <w:tcPr>
            <w:gridSpan w:val="2"/>
            <w:tcW w:w="5505" w:type="dxa"/>
          </w:tcPr>
          <w:p>
            <w:pPr>
              <w:pStyle w:val="0"/>
              <w:jc w:val="right"/>
            </w:pPr>
            <w:r>
              <w:rPr>
                <w:sz w:val="20"/>
              </w:rPr>
              <w:t xml:space="preserve">Кабинет ультразвуковой диагностики</w:t>
            </w:r>
          </w:p>
        </w:tc>
        <w:tc>
          <w:tcPr>
            <w:gridSpan w:val="2"/>
            <w:tcW w:w="3539" w:type="dxa"/>
          </w:tcPr>
          <w:p>
            <w:pPr>
              <w:pStyle w:val="0"/>
              <w:jc w:val="center"/>
            </w:pPr>
            <w:r>
              <w:rPr>
                <w:sz w:val="20"/>
              </w:rPr>
              <w:t xml:space="preserve">100</w:t>
            </w:r>
          </w:p>
        </w:tc>
      </w:tr>
      <w:tr>
        <w:tc>
          <w:tcPr>
            <w:gridSpan w:val="2"/>
            <w:tcW w:w="5505" w:type="dxa"/>
          </w:tcPr>
          <w:p>
            <w:pPr>
              <w:pStyle w:val="0"/>
              <w:jc w:val="right"/>
            </w:pPr>
            <w:r>
              <w:rPr>
                <w:sz w:val="20"/>
              </w:rPr>
              <w:t xml:space="preserve">Клинико-диагностическая лаборатория</w:t>
            </w:r>
          </w:p>
        </w:tc>
        <w:tc>
          <w:tcPr>
            <w:gridSpan w:val="2"/>
            <w:tcW w:w="3539" w:type="dxa"/>
          </w:tcPr>
          <w:p>
            <w:pPr>
              <w:pStyle w:val="0"/>
              <w:jc w:val="center"/>
            </w:pPr>
            <w:r>
              <w:rPr>
                <w:sz w:val="20"/>
              </w:rPr>
              <w:t xml:space="preserve">1800</w:t>
            </w:r>
          </w:p>
        </w:tc>
      </w:tr>
      <w:tr>
        <w:tc>
          <w:tcPr>
            <w:gridSpan w:val="2"/>
            <w:tcW w:w="5505" w:type="dxa"/>
          </w:tcPr>
          <w:p>
            <w:pPr>
              <w:pStyle w:val="0"/>
              <w:jc w:val="right"/>
            </w:pPr>
            <w:r>
              <w:rPr>
                <w:sz w:val="20"/>
              </w:rPr>
              <w:t xml:space="preserve">Патологоанатомическое отделение</w:t>
            </w:r>
          </w:p>
        </w:tc>
        <w:tc>
          <w:tcPr>
            <w:gridSpan w:val="2"/>
            <w:tcW w:w="3539" w:type="dxa"/>
          </w:tcPr>
          <w:p>
            <w:pPr>
              <w:pStyle w:val="0"/>
              <w:jc w:val="center"/>
            </w:pPr>
            <w:r>
              <w:rPr>
                <w:sz w:val="20"/>
              </w:rPr>
              <w:t xml:space="preserve">150</w:t>
            </w:r>
          </w:p>
        </w:tc>
      </w:tr>
      <w:tr>
        <w:tc>
          <w:tcPr>
            <w:gridSpan w:val="4"/>
            <w:tcW w:w="9044" w:type="dxa"/>
          </w:tcPr>
          <w:p>
            <w:pPr>
              <w:pStyle w:val="0"/>
              <w:jc w:val="center"/>
            </w:pPr>
            <w:r>
              <w:rPr>
                <w:sz w:val="20"/>
              </w:rPr>
              <w:t xml:space="preserve">Лечебные подразделения</w:t>
            </w:r>
          </w:p>
        </w:tc>
      </w:tr>
      <w:tr>
        <w:tc>
          <w:tcPr>
            <w:gridSpan w:val="4"/>
            <w:tcW w:w="9044" w:type="dxa"/>
          </w:tcPr>
          <w:p>
            <w:pPr>
              <w:pStyle w:val="0"/>
              <w:jc w:val="center"/>
            </w:pPr>
            <w:r>
              <w:rPr>
                <w:sz w:val="20"/>
              </w:rPr>
              <w:t xml:space="preserve">БУ "Нижневартовский онкологический диспансер"</w:t>
            </w:r>
          </w:p>
        </w:tc>
      </w:tr>
      <w:tr>
        <w:tc>
          <w:tcPr>
            <w:tcW w:w="3828" w:type="dxa"/>
          </w:tcPr>
          <w:p>
            <w:pPr>
              <w:pStyle w:val="0"/>
              <w:jc w:val="center"/>
            </w:pPr>
            <w:r>
              <w:rPr>
                <w:sz w:val="20"/>
              </w:rPr>
              <w:t xml:space="preserve">Наименование структурного подразделения с указанием профиля коек</w:t>
            </w:r>
          </w:p>
        </w:tc>
        <w:tc>
          <w:tcPr>
            <w:gridSpan w:val="2"/>
            <w:tcW w:w="2942" w:type="dxa"/>
          </w:tcPr>
          <w:p>
            <w:pPr>
              <w:pStyle w:val="0"/>
              <w:jc w:val="center"/>
            </w:pPr>
            <w:r>
              <w:rPr>
                <w:sz w:val="20"/>
              </w:rPr>
              <w:t xml:space="preserve">Профиль коек</w:t>
            </w:r>
          </w:p>
        </w:tc>
        <w:tc>
          <w:tcPr>
            <w:tcW w:w="2274" w:type="dxa"/>
          </w:tcPr>
          <w:p>
            <w:pPr>
              <w:pStyle w:val="0"/>
              <w:jc w:val="center"/>
            </w:pPr>
            <w:r>
              <w:rPr>
                <w:sz w:val="20"/>
              </w:rPr>
              <w:t xml:space="preserve">Количество коек, ед.</w:t>
            </w:r>
          </w:p>
        </w:tc>
      </w:tr>
      <w:tr>
        <w:tc>
          <w:tcPr>
            <w:tcW w:w="3828" w:type="dxa"/>
            <w:tcBorders>
              <w:bottom w:val="nil"/>
            </w:tcBorders>
            <w:vMerge w:val="restart"/>
          </w:tcPr>
          <w:p>
            <w:pPr>
              <w:pStyle w:val="0"/>
            </w:pPr>
            <w:r>
              <w:rPr>
                <w:sz w:val="20"/>
              </w:rPr>
              <w:t xml:space="preserve">отделение абдоминальной онкологии и торакальной онкологии</w:t>
            </w:r>
          </w:p>
        </w:tc>
        <w:tc>
          <w:tcPr>
            <w:gridSpan w:val="2"/>
            <w:tcW w:w="2942" w:type="dxa"/>
            <w:tcBorders>
              <w:bottom w:val="nil"/>
            </w:tcBorders>
          </w:tcPr>
          <w:p>
            <w:pPr>
              <w:pStyle w:val="0"/>
              <w:jc w:val="both"/>
            </w:pPr>
            <w:r>
              <w:rPr>
                <w:sz w:val="20"/>
              </w:rPr>
              <w:t xml:space="preserve">онкологические абдоминальные</w:t>
            </w:r>
          </w:p>
        </w:tc>
        <w:tc>
          <w:tcPr>
            <w:tcW w:w="2274" w:type="dxa"/>
            <w:tcBorders>
              <w:bottom w:val="nil"/>
            </w:tcBorders>
          </w:tcPr>
          <w:p>
            <w:pPr>
              <w:pStyle w:val="0"/>
              <w:jc w:val="center"/>
            </w:pPr>
            <w:r>
              <w:rPr>
                <w:sz w:val="20"/>
              </w:rPr>
              <w:t xml:space="preserve">15</w:t>
            </w:r>
          </w:p>
        </w:tc>
      </w:tr>
      <w:tr>
        <w:tblPrEx>
          <w:tblBorders>
            <w:insideH w:val="nil"/>
          </w:tblBorders>
        </w:tblPrEx>
        <w:tc>
          <w:tcPr>
            <w:tcBorders>
              <w:bottom w:val="nil"/>
            </w:tcBorders>
            <w:vMerge w:val="continue"/>
          </w:tcPr>
          <w:p/>
        </w:tc>
        <w:tc>
          <w:tcPr>
            <w:gridSpan w:val="2"/>
            <w:tcW w:w="2942" w:type="dxa"/>
            <w:tcBorders>
              <w:top w:val="nil"/>
              <w:bottom w:val="nil"/>
            </w:tcBorders>
          </w:tcPr>
          <w:p>
            <w:pPr>
              <w:pStyle w:val="0"/>
              <w:jc w:val="both"/>
            </w:pPr>
            <w:r>
              <w:rPr>
                <w:sz w:val="20"/>
              </w:rPr>
              <w:t xml:space="preserve">онкологические торакальные</w:t>
            </w:r>
          </w:p>
        </w:tc>
        <w:tc>
          <w:tcPr>
            <w:tcW w:w="2274" w:type="dxa"/>
            <w:tcBorders>
              <w:top w:val="nil"/>
              <w:bottom w:val="nil"/>
            </w:tcBorders>
          </w:tcPr>
          <w:p>
            <w:pPr>
              <w:pStyle w:val="0"/>
              <w:jc w:val="center"/>
            </w:pPr>
            <w:r>
              <w:rPr>
                <w:sz w:val="20"/>
              </w:rPr>
              <w:t xml:space="preserve">11</w:t>
            </w:r>
          </w:p>
        </w:tc>
      </w:tr>
      <w:tr>
        <w:tblPrEx>
          <w:tblBorders>
            <w:insideH w:val="nil"/>
          </w:tblBorders>
        </w:tblPrEx>
        <w:tc>
          <w:tcPr>
            <w:tcBorders>
              <w:bottom w:val="nil"/>
            </w:tcBorders>
            <w:vMerge w:val="continue"/>
          </w:tcPr>
          <w:p/>
        </w:tc>
        <w:tc>
          <w:tcPr>
            <w:gridSpan w:val="2"/>
            <w:tcW w:w="2942" w:type="dxa"/>
            <w:tcBorders>
              <w:top w:val="nil"/>
              <w:bottom w:val="nil"/>
            </w:tcBorders>
          </w:tcPr>
          <w:p>
            <w:pPr>
              <w:pStyle w:val="0"/>
              <w:jc w:val="both"/>
            </w:pPr>
            <w:r>
              <w:rPr>
                <w:sz w:val="20"/>
              </w:rPr>
              <w:t xml:space="preserve">онкоурологические</w:t>
            </w:r>
          </w:p>
        </w:tc>
        <w:tc>
          <w:tcPr>
            <w:tcW w:w="2274" w:type="dxa"/>
            <w:tcBorders>
              <w:top w:val="nil"/>
              <w:bottom w:val="nil"/>
            </w:tcBorders>
          </w:tcPr>
          <w:p>
            <w:pPr>
              <w:pStyle w:val="0"/>
              <w:jc w:val="center"/>
            </w:pPr>
            <w:r>
              <w:rPr>
                <w:sz w:val="20"/>
              </w:rPr>
              <w:t xml:space="preserve">8</w:t>
            </w:r>
          </w:p>
        </w:tc>
      </w:tr>
      <w:tr>
        <w:tblPrEx>
          <w:tblBorders>
            <w:insideH w:val="nil"/>
          </w:tblBorders>
        </w:tblPrEx>
        <w:tc>
          <w:tcPr>
            <w:tcW w:w="3828" w:type="dxa"/>
            <w:tcBorders>
              <w:top w:val="nil"/>
              <w:bottom w:val="nil"/>
            </w:tcBorders>
            <w:vMerge w:val="restart"/>
          </w:tcPr>
          <w:p>
            <w:pPr>
              <w:pStyle w:val="0"/>
            </w:pPr>
            <w:r>
              <w:rPr>
                <w:sz w:val="20"/>
              </w:rPr>
              <w:t xml:space="preserve">отделение опухолей молочной железы и онкогинекологии</w:t>
            </w:r>
          </w:p>
        </w:tc>
        <w:tc>
          <w:tcPr>
            <w:gridSpan w:val="2"/>
            <w:tcW w:w="2942" w:type="dxa"/>
            <w:tcBorders>
              <w:top w:val="nil"/>
              <w:bottom w:val="nil"/>
            </w:tcBorders>
          </w:tcPr>
          <w:p>
            <w:pPr>
              <w:pStyle w:val="0"/>
              <w:jc w:val="both"/>
            </w:pPr>
            <w:r>
              <w:rPr>
                <w:sz w:val="20"/>
              </w:rPr>
              <w:t xml:space="preserve">онкологические</w:t>
            </w:r>
          </w:p>
        </w:tc>
        <w:tc>
          <w:tcPr>
            <w:tcW w:w="2274" w:type="dxa"/>
            <w:tcBorders>
              <w:top w:val="nil"/>
              <w:bottom w:val="nil"/>
            </w:tcBorders>
          </w:tcPr>
          <w:p>
            <w:pPr>
              <w:pStyle w:val="0"/>
              <w:jc w:val="center"/>
            </w:pPr>
            <w:r>
              <w:rPr>
                <w:sz w:val="20"/>
              </w:rPr>
              <w:t xml:space="preserve">6</w:t>
            </w:r>
          </w:p>
        </w:tc>
      </w:tr>
      <w:tr>
        <w:tblPrEx>
          <w:tblBorders>
            <w:insideH w:val="nil"/>
          </w:tblBorders>
        </w:tblPrEx>
        <w:tc>
          <w:tcPr>
            <w:tcBorders>
              <w:top w:val="nil"/>
              <w:bottom w:val="nil"/>
            </w:tcBorders>
            <w:vMerge w:val="continue"/>
          </w:tcPr>
          <w:p/>
        </w:tc>
        <w:tc>
          <w:tcPr>
            <w:gridSpan w:val="2"/>
            <w:tcW w:w="2942" w:type="dxa"/>
            <w:tcBorders>
              <w:top w:val="nil"/>
              <w:bottom w:val="nil"/>
            </w:tcBorders>
          </w:tcPr>
          <w:p>
            <w:pPr>
              <w:pStyle w:val="0"/>
              <w:jc w:val="both"/>
            </w:pPr>
            <w:r>
              <w:rPr>
                <w:sz w:val="20"/>
              </w:rPr>
              <w:t xml:space="preserve">онкогинекологические</w:t>
            </w:r>
          </w:p>
        </w:tc>
        <w:tc>
          <w:tcPr>
            <w:tcW w:w="2274" w:type="dxa"/>
            <w:tcBorders>
              <w:top w:val="nil"/>
              <w:bottom w:val="nil"/>
            </w:tcBorders>
          </w:tcPr>
          <w:p>
            <w:pPr>
              <w:pStyle w:val="0"/>
              <w:jc w:val="center"/>
            </w:pPr>
            <w:r>
              <w:rPr>
                <w:sz w:val="20"/>
              </w:rPr>
              <w:t xml:space="preserve">12</w:t>
            </w:r>
          </w:p>
        </w:tc>
      </w:tr>
      <w:tr>
        <w:tblPrEx>
          <w:tblBorders>
            <w:insideH w:val="nil"/>
          </w:tblBorders>
        </w:tblPrEx>
        <w:tc>
          <w:tcPr>
            <w:tcBorders>
              <w:top w:val="nil"/>
              <w:bottom w:val="nil"/>
            </w:tcBorders>
            <w:vMerge w:val="continue"/>
          </w:tcPr>
          <w:p/>
        </w:tc>
        <w:tc>
          <w:tcPr>
            <w:gridSpan w:val="2"/>
            <w:tcW w:w="2942" w:type="dxa"/>
            <w:tcBorders>
              <w:top w:val="nil"/>
              <w:bottom w:val="nil"/>
            </w:tcBorders>
          </w:tcPr>
          <w:p>
            <w:pPr>
              <w:pStyle w:val="0"/>
              <w:jc w:val="both"/>
            </w:pPr>
            <w:r>
              <w:rPr>
                <w:sz w:val="20"/>
              </w:rPr>
              <w:t xml:space="preserve">онкологические (маммологические)</w:t>
            </w:r>
          </w:p>
        </w:tc>
        <w:tc>
          <w:tcPr>
            <w:tcW w:w="2274" w:type="dxa"/>
            <w:tcBorders>
              <w:top w:val="nil"/>
              <w:bottom w:val="nil"/>
            </w:tcBorders>
          </w:tcPr>
          <w:p>
            <w:pPr>
              <w:pStyle w:val="0"/>
              <w:jc w:val="center"/>
            </w:pPr>
            <w:r>
              <w:rPr>
                <w:sz w:val="20"/>
              </w:rPr>
              <w:t xml:space="preserve">18</w:t>
            </w:r>
          </w:p>
        </w:tc>
      </w:tr>
      <w:tr>
        <w:tblPrEx>
          <w:tblBorders>
            <w:insideH w:val="nil"/>
          </w:tblBorders>
        </w:tblPrEx>
        <w:tc>
          <w:tcPr>
            <w:tcW w:w="3828" w:type="dxa"/>
            <w:tcBorders>
              <w:top w:val="nil"/>
            </w:tcBorders>
          </w:tcPr>
          <w:p>
            <w:pPr>
              <w:pStyle w:val="0"/>
            </w:pPr>
            <w:r>
              <w:rPr>
                <w:sz w:val="20"/>
              </w:rPr>
              <w:t xml:space="preserve">отделение противоопухолевой лекарственной терапии</w:t>
            </w:r>
          </w:p>
        </w:tc>
        <w:tc>
          <w:tcPr>
            <w:gridSpan w:val="2"/>
            <w:tcW w:w="2942" w:type="dxa"/>
            <w:tcBorders>
              <w:top w:val="nil"/>
            </w:tcBorders>
          </w:tcPr>
          <w:p>
            <w:pPr>
              <w:pStyle w:val="0"/>
              <w:jc w:val="both"/>
            </w:pPr>
            <w:r>
              <w:rPr>
                <w:sz w:val="20"/>
              </w:rPr>
              <w:t xml:space="preserve">онкологические</w:t>
            </w:r>
          </w:p>
        </w:tc>
        <w:tc>
          <w:tcPr>
            <w:tcW w:w="2274" w:type="dxa"/>
            <w:tcBorders>
              <w:top w:val="nil"/>
            </w:tcBorders>
          </w:tcPr>
          <w:p>
            <w:pPr>
              <w:pStyle w:val="0"/>
              <w:jc w:val="center"/>
            </w:pPr>
            <w:r>
              <w:rPr>
                <w:sz w:val="20"/>
              </w:rPr>
              <w:t xml:space="preserve">32</w:t>
            </w:r>
          </w:p>
        </w:tc>
      </w:tr>
      <w:tr>
        <w:tc>
          <w:tcPr>
            <w:gridSpan w:val="4"/>
            <w:tcW w:w="9044" w:type="dxa"/>
          </w:tcPr>
          <w:p>
            <w:pPr>
              <w:pStyle w:val="0"/>
              <w:jc w:val="center"/>
            </w:pPr>
            <w:r>
              <w:rPr>
                <w:sz w:val="20"/>
              </w:rPr>
              <w:t xml:space="preserve">БУ "Сургутская окружная клиническая больница"</w:t>
            </w:r>
          </w:p>
        </w:tc>
      </w:tr>
      <w:tr>
        <w:tblPrEx>
          <w:tblBorders>
            <w:insideH w:val="nil"/>
          </w:tblBorders>
        </w:tblPrEx>
        <w:tc>
          <w:tcPr>
            <w:tcW w:w="3828" w:type="dxa"/>
            <w:tcBorders>
              <w:bottom w:val="nil"/>
            </w:tcBorders>
          </w:tcPr>
          <w:p>
            <w:pPr>
              <w:pStyle w:val="0"/>
            </w:pPr>
            <w:r>
              <w:rPr>
                <w:sz w:val="20"/>
              </w:rPr>
              <w:t xml:space="preserve">отделение абдоминальной онкологии</w:t>
            </w:r>
          </w:p>
        </w:tc>
        <w:tc>
          <w:tcPr>
            <w:gridSpan w:val="2"/>
            <w:tcW w:w="2942" w:type="dxa"/>
            <w:tcBorders>
              <w:bottom w:val="nil"/>
            </w:tcBorders>
          </w:tcPr>
          <w:p>
            <w:pPr>
              <w:pStyle w:val="0"/>
              <w:jc w:val="both"/>
            </w:pPr>
            <w:r>
              <w:rPr>
                <w:sz w:val="20"/>
              </w:rPr>
              <w:t xml:space="preserve">онкологические абдоминальные</w:t>
            </w:r>
          </w:p>
        </w:tc>
        <w:tc>
          <w:tcPr>
            <w:tcW w:w="2274" w:type="dxa"/>
            <w:tcBorders>
              <w:bottom w:val="nil"/>
            </w:tcBorders>
          </w:tcPr>
          <w:p>
            <w:pPr>
              <w:pStyle w:val="0"/>
              <w:jc w:val="center"/>
            </w:pPr>
            <w:r>
              <w:rPr>
                <w:sz w:val="20"/>
              </w:rPr>
              <w:t xml:space="preserve">18</w:t>
            </w:r>
          </w:p>
        </w:tc>
      </w:tr>
      <w:tr>
        <w:tblPrEx>
          <w:tblBorders>
            <w:insideH w:val="nil"/>
          </w:tblBorders>
        </w:tblPrEx>
        <w:tc>
          <w:tcPr>
            <w:tcW w:w="3828" w:type="dxa"/>
            <w:tcBorders>
              <w:top w:val="nil"/>
              <w:bottom w:val="nil"/>
            </w:tcBorders>
            <w:vMerge w:val="restart"/>
          </w:tcPr>
          <w:p>
            <w:pPr>
              <w:pStyle w:val="0"/>
            </w:pPr>
            <w:r>
              <w:rPr>
                <w:sz w:val="20"/>
              </w:rPr>
              <w:t xml:space="preserve">отделение торакальной онкологии и опухолей кожи</w:t>
            </w:r>
          </w:p>
        </w:tc>
        <w:tc>
          <w:tcPr>
            <w:gridSpan w:val="2"/>
            <w:tcW w:w="2942" w:type="dxa"/>
            <w:tcBorders>
              <w:top w:val="nil"/>
              <w:bottom w:val="nil"/>
            </w:tcBorders>
          </w:tcPr>
          <w:p>
            <w:pPr>
              <w:pStyle w:val="0"/>
              <w:jc w:val="both"/>
            </w:pPr>
            <w:r>
              <w:rPr>
                <w:sz w:val="20"/>
              </w:rPr>
              <w:t xml:space="preserve">онкоурологические</w:t>
            </w:r>
          </w:p>
        </w:tc>
        <w:tc>
          <w:tcPr>
            <w:tcW w:w="2274" w:type="dxa"/>
            <w:tcBorders>
              <w:top w:val="nil"/>
              <w:bottom w:val="nil"/>
            </w:tcBorders>
          </w:tcPr>
          <w:p>
            <w:pPr>
              <w:pStyle w:val="0"/>
              <w:jc w:val="center"/>
            </w:pPr>
            <w:r>
              <w:rPr>
                <w:sz w:val="20"/>
              </w:rPr>
              <w:t xml:space="preserve">7</w:t>
            </w:r>
          </w:p>
        </w:tc>
      </w:tr>
      <w:tr>
        <w:tblPrEx>
          <w:tblBorders>
            <w:insideH w:val="nil"/>
          </w:tblBorders>
        </w:tblPrEx>
        <w:tc>
          <w:tcPr>
            <w:tcBorders>
              <w:top w:val="nil"/>
              <w:bottom w:val="nil"/>
            </w:tcBorders>
            <w:vMerge w:val="continue"/>
          </w:tcPr>
          <w:p/>
        </w:tc>
        <w:tc>
          <w:tcPr>
            <w:gridSpan w:val="2"/>
            <w:tcW w:w="2942" w:type="dxa"/>
            <w:tcBorders>
              <w:top w:val="nil"/>
              <w:bottom w:val="nil"/>
            </w:tcBorders>
          </w:tcPr>
          <w:p>
            <w:pPr>
              <w:pStyle w:val="0"/>
              <w:jc w:val="both"/>
            </w:pPr>
            <w:r>
              <w:rPr>
                <w:sz w:val="20"/>
              </w:rPr>
              <w:t xml:space="preserve">онкологические торакальные</w:t>
            </w:r>
          </w:p>
        </w:tc>
        <w:tc>
          <w:tcPr>
            <w:tcW w:w="2274" w:type="dxa"/>
            <w:tcBorders>
              <w:top w:val="nil"/>
              <w:bottom w:val="nil"/>
            </w:tcBorders>
          </w:tcPr>
          <w:p>
            <w:pPr>
              <w:pStyle w:val="0"/>
              <w:jc w:val="center"/>
            </w:pPr>
            <w:r>
              <w:rPr>
                <w:sz w:val="20"/>
              </w:rPr>
              <w:t xml:space="preserve">14</w:t>
            </w:r>
          </w:p>
        </w:tc>
      </w:tr>
      <w:tr>
        <w:tblPrEx>
          <w:tblBorders>
            <w:insideH w:val="nil"/>
          </w:tblBorders>
        </w:tblPrEx>
        <w:tc>
          <w:tcPr>
            <w:tcBorders>
              <w:top w:val="nil"/>
              <w:bottom w:val="nil"/>
            </w:tcBorders>
            <w:vMerge w:val="continue"/>
          </w:tcPr>
          <w:p/>
        </w:tc>
        <w:tc>
          <w:tcPr>
            <w:gridSpan w:val="2"/>
            <w:tcW w:w="2942" w:type="dxa"/>
            <w:tcBorders>
              <w:top w:val="nil"/>
              <w:bottom w:val="nil"/>
            </w:tcBorders>
          </w:tcPr>
          <w:p>
            <w:pPr>
              <w:pStyle w:val="0"/>
              <w:jc w:val="both"/>
            </w:pPr>
            <w:r>
              <w:rPr>
                <w:sz w:val="20"/>
              </w:rPr>
              <w:t xml:space="preserve">онкологические опухолей кожи</w:t>
            </w:r>
          </w:p>
        </w:tc>
        <w:tc>
          <w:tcPr>
            <w:tcW w:w="2274" w:type="dxa"/>
            <w:tcBorders>
              <w:top w:val="nil"/>
              <w:bottom w:val="nil"/>
            </w:tcBorders>
          </w:tcPr>
          <w:p>
            <w:pPr>
              <w:pStyle w:val="0"/>
              <w:jc w:val="center"/>
            </w:pPr>
            <w:r>
              <w:rPr>
                <w:sz w:val="20"/>
              </w:rPr>
              <w:t xml:space="preserve">14</w:t>
            </w:r>
          </w:p>
        </w:tc>
      </w:tr>
      <w:tr>
        <w:tblPrEx>
          <w:tblBorders>
            <w:insideH w:val="nil"/>
          </w:tblBorders>
        </w:tblPrEx>
        <w:tc>
          <w:tcPr>
            <w:tcW w:w="3828" w:type="dxa"/>
            <w:tcBorders>
              <w:top w:val="nil"/>
              <w:bottom w:val="nil"/>
            </w:tcBorders>
            <w:vMerge w:val="restart"/>
          </w:tcPr>
          <w:p>
            <w:pPr>
              <w:pStyle w:val="0"/>
            </w:pPr>
            <w:r>
              <w:rPr>
                <w:sz w:val="20"/>
              </w:rPr>
              <w:t xml:space="preserve">отделение опухолей молочной железы и онкогинекологии</w:t>
            </w:r>
          </w:p>
        </w:tc>
        <w:tc>
          <w:tcPr>
            <w:gridSpan w:val="2"/>
            <w:tcW w:w="2942" w:type="dxa"/>
            <w:tcBorders>
              <w:top w:val="nil"/>
              <w:bottom w:val="nil"/>
            </w:tcBorders>
          </w:tcPr>
          <w:p>
            <w:pPr>
              <w:pStyle w:val="0"/>
              <w:jc w:val="both"/>
            </w:pPr>
            <w:r>
              <w:rPr>
                <w:sz w:val="20"/>
              </w:rPr>
              <w:t xml:space="preserve">онкогинекологические</w:t>
            </w:r>
          </w:p>
        </w:tc>
        <w:tc>
          <w:tcPr>
            <w:tcW w:w="2274" w:type="dxa"/>
            <w:tcBorders>
              <w:top w:val="nil"/>
              <w:bottom w:val="nil"/>
            </w:tcBorders>
          </w:tcPr>
          <w:p>
            <w:pPr>
              <w:pStyle w:val="0"/>
              <w:jc w:val="center"/>
            </w:pPr>
            <w:r>
              <w:rPr>
                <w:sz w:val="20"/>
              </w:rPr>
              <w:t xml:space="preserve">12</w:t>
            </w:r>
          </w:p>
        </w:tc>
      </w:tr>
      <w:tr>
        <w:tblPrEx>
          <w:tblBorders>
            <w:insideH w:val="nil"/>
          </w:tblBorders>
        </w:tblPrEx>
        <w:tc>
          <w:tcPr>
            <w:tcBorders>
              <w:top w:val="nil"/>
              <w:bottom w:val="nil"/>
            </w:tcBorders>
            <w:vMerge w:val="continue"/>
          </w:tcPr>
          <w:p/>
        </w:tc>
        <w:tc>
          <w:tcPr>
            <w:gridSpan w:val="2"/>
            <w:tcW w:w="2942" w:type="dxa"/>
            <w:tcBorders>
              <w:top w:val="nil"/>
              <w:bottom w:val="nil"/>
            </w:tcBorders>
          </w:tcPr>
          <w:p>
            <w:pPr>
              <w:pStyle w:val="0"/>
              <w:jc w:val="both"/>
            </w:pPr>
            <w:r>
              <w:rPr>
                <w:sz w:val="20"/>
              </w:rPr>
              <w:t xml:space="preserve">онкологические (маммологические)</w:t>
            </w:r>
          </w:p>
        </w:tc>
        <w:tc>
          <w:tcPr>
            <w:tcW w:w="2274" w:type="dxa"/>
            <w:tcBorders>
              <w:top w:val="nil"/>
              <w:bottom w:val="nil"/>
            </w:tcBorders>
          </w:tcPr>
          <w:p>
            <w:pPr>
              <w:pStyle w:val="0"/>
              <w:jc w:val="center"/>
            </w:pPr>
            <w:r>
              <w:rPr>
                <w:sz w:val="20"/>
              </w:rPr>
              <w:t xml:space="preserve">18</w:t>
            </w:r>
          </w:p>
        </w:tc>
      </w:tr>
      <w:tr>
        <w:tblPrEx>
          <w:tblBorders>
            <w:insideH w:val="nil"/>
          </w:tblBorders>
        </w:tblPrEx>
        <w:tc>
          <w:tcPr>
            <w:tcW w:w="3828" w:type="dxa"/>
            <w:tcBorders>
              <w:top w:val="nil"/>
            </w:tcBorders>
          </w:tcPr>
          <w:p>
            <w:pPr>
              <w:pStyle w:val="0"/>
            </w:pPr>
            <w:r>
              <w:rPr>
                <w:sz w:val="20"/>
              </w:rPr>
              <w:t xml:space="preserve">отделение противоопухолевой лекарственной терапии</w:t>
            </w:r>
          </w:p>
        </w:tc>
        <w:tc>
          <w:tcPr>
            <w:gridSpan w:val="2"/>
            <w:tcW w:w="2942" w:type="dxa"/>
            <w:tcBorders>
              <w:top w:val="nil"/>
            </w:tcBorders>
          </w:tcPr>
          <w:p>
            <w:pPr>
              <w:pStyle w:val="0"/>
              <w:jc w:val="both"/>
            </w:pPr>
            <w:r>
              <w:rPr>
                <w:sz w:val="20"/>
              </w:rPr>
              <w:t xml:space="preserve">онкологические</w:t>
            </w:r>
          </w:p>
        </w:tc>
        <w:tc>
          <w:tcPr>
            <w:tcW w:w="2274" w:type="dxa"/>
            <w:tcBorders>
              <w:top w:val="nil"/>
            </w:tcBorders>
          </w:tcPr>
          <w:p>
            <w:pPr>
              <w:pStyle w:val="0"/>
              <w:jc w:val="center"/>
            </w:pPr>
            <w:r>
              <w:rPr>
                <w:sz w:val="20"/>
              </w:rPr>
              <w:t xml:space="preserve">50</w:t>
            </w:r>
          </w:p>
        </w:tc>
      </w:tr>
      <w:tr>
        <w:tc>
          <w:tcPr>
            <w:gridSpan w:val="4"/>
            <w:tcW w:w="9044" w:type="dxa"/>
          </w:tcPr>
          <w:p>
            <w:pPr>
              <w:pStyle w:val="0"/>
              <w:jc w:val="center"/>
            </w:pPr>
            <w:r>
              <w:rPr>
                <w:sz w:val="20"/>
              </w:rPr>
              <w:t xml:space="preserve">БУ "Окружная клиническая больница"</w:t>
            </w:r>
          </w:p>
        </w:tc>
      </w:tr>
      <w:tr>
        <w:tc>
          <w:tcPr>
            <w:tcW w:w="3828" w:type="dxa"/>
            <w:tcBorders>
              <w:bottom w:val="nil"/>
            </w:tcBorders>
            <w:vMerge w:val="restart"/>
          </w:tcPr>
          <w:p>
            <w:pPr>
              <w:pStyle w:val="0"/>
            </w:pPr>
            <w:r>
              <w:rPr>
                <w:sz w:val="20"/>
              </w:rPr>
              <w:t xml:space="preserve">отделение абдоминальной и торакальной онкологии</w:t>
            </w:r>
          </w:p>
        </w:tc>
        <w:tc>
          <w:tcPr>
            <w:gridSpan w:val="2"/>
            <w:tcW w:w="2942" w:type="dxa"/>
            <w:tcBorders>
              <w:bottom w:val="nil"/>
            </w:tcBorders>
          </w:tcPr>
          <w:p>
            <w:pPr>
              <w:pStyle w:val="0"/>
              <w:jc w:val="both"/>
            </w:pPr>
            <w:r>
              <w:rPr>
                <w:sz w:val="20"/>
              </w:rPr>
              <w:t xml:space="preserve">онкологические торакальные</w:t>
            </w:r>
          </w:p>
        </w:tc>
        <w:tc>
          <w:tcPr>
            <w:tcW w:w="2274" w:type="dxa"/>
            <w:tcBorders>
              <w:bottom w:val="nil"/>
            </w:tcBorders>
          </w:tcPr>
          <w:p>
            <w:pPr>
              <w:pStyle w:val="0"/>
              <w:jc w:val="center"/>
            </w:pPr>
            <w:r>
              <w:rPr>
                <w:sz w:val="20"/>
              </w:rPr>
              <w:t xml:space="preserve">7</w:t>
            </w:r>
          </w:p>
        </w:tc>
      </w:tr>
      <w:tr>
        <w:tblPrEx>
          <w:tblBorders>
            <w:insideH w:val="nil"/>
          </w:tblBorders>
        </w:tblPrEx>
        <w:tc>
          <w:tcPr>
            <w:tcBorders>
              <w:bottom w:val="nil"/>
            </w:tcBorders>
            <w:vMerge w:val="continue"/>
          </w:tcPr>
          <w:p/>
        </w:tc>
        <w:tc>
          <w:tcPr>
            <w:gridSpan w:val="2"/>
            <w:tcW w:w="2942" w:type="dxa"/>
            <w:tcBorders>
              <w:top w:val="nil"/>
              <w:bottom w:val="nil"/>
            </w:tcBorders>
          </w:tcPr>
          <w:p>
            <w:pPr>
              <w:pStyle w:val="0"/>
              <w:jc w:val="both"/>
            </w:pPr>
            <w:r>
              <w:rPr>
                <w:sz w:val="20"/>
              </w:rPr>
              <w:t xml:space="preserve">онкологические абдоминальные</w:t>
            </w:r>
          </w:p>
        </w:tc>
        <w:tc>
          <w:tcPr>
            <w:tcW w:w="2274" w:type="dxa"/>
            <w:tcBorders>
              <w:top w:val="nil"/>
              <w:bottom w:val="nil"/>
            </w:tcBorders>
          </w:tcPr>
          <w:p>
            <w:pPr>
              <w:pStyle w:val="0"/>
              <w:jc w:val="center"/>
            </w:pPr>
            <w:r>
              <w:rPr>
                <w:sz w:val="20"/>
              </w:rPr>
              <w:t xml:space="preserve">14</w:t>
            </w:r>
          </w:p>
        </w:tc>
      </w:tr>
      <w:tr>
        <w:tblPrEx>
          <w:tblBorders>
            <w:insideH w:val="nil"/>
          </w:tblBorders>
        </w:tblPrEx>
        <w:tc>
          <w:tcPr>
            <w:tcBorders>
              <w:bottom w:val="nil"/>
            </w:tcBorders>
            <w:vMerge w:val="continue"/>
          </w:tcPr>
          <w:p/>
        </w:tc>
        <w:tc>
          <w:tcPr>
            <w:gridSpan w:val="2"/>
            <w:tcW w:w="2942" w:type="dxa"/>
            <w:tcBorders>
              <w:top w:val="nil"/>
              <w:bottom w:val="nil"/>
            </w:tcBorders>
          </w:tcPr>
          <w:p>
            <w:pPr>
              <w:pStyle w:val="0"/>
              <w:jc w:val="both"/>
            </w:pPr>
            <w:r>
              <w:rPr>
                <w:sz w:val="20"/>
              </w:rPr>
              <w:t xml:space="preserve">опухоли головы и шеи</w:t>
            </w:r>
          </w:p>
        </w:tc>
        <w:tc>
          <w:tcPr>
            <w:tcW w:w="2274" w:type="dxa"/>
            <w:tcBorders>
              <w:top w:val="nil"/>
              <w:bottom w:val="nil"/>
            </w:tcBorders>
          </w:tcPr>
          <w:p>
            <w:pPr>
              <w:pStyle w:val="0"/>
              <w:jc w:val="center"/>
            </w:pPr>
            <w:r>
              <w:rPr>
                <w:sz w:val="20"/>
              </w:rPr>
              <w:t xml:space="preserve">3</w:t>
            </w:r>
          </w:p>
        </w:tc>
      </w:tr>
      <w:tr>
        <w:tblPrEx>
          <w:tblBorders>
            <w:insideH w:val="nil"/>
          </w:tblBorders>
        </w:tblPrEx>
        <w:tc>
          <w:tcPr>
            <w:tcW w:w="3828" w:type="dxa"/>
            <w:tcBorders>
              <w:top w:val="nil"/>
              <w:bottom w:val="nil"/>
            </w:tcBorders>
            <w:vMerge w:val="restart"/>
          </w:tcPr>
          <w:p>
            <w:pPr>
              <w:pStyle w:val="0"/>
            </w:pPr>
            <w:r>
              <w:rPr>
                <w:sz w:val="20"/>
              </w:rPr>
              <w:t xml:space="preserve">отделение опухолей молочной железы и онкогинекологии</w:t>
            </w:r>
          </w:p>
        </w:tc>
        <w:tc>
          <w:tcPr>
            <w:gridSpan w:val="2"/>
            <w:tcW w:w="2942" w:type="dxa"/>
            <w:tcBorders>
              <w:top w:val="nil"/>
              <w:bottom w:val="nil"/>
            </w:tcBorders>
          </w:tcPr>
          <w:p>
            <w:pPr>
              <w:pStyle w:val="0"/>
              <w:jc w:val="both"/>
            </w:pPr>
            <w:r>
              <w:rPr>
                <w:sz w:val="20"/>
              </w:rPr>
              <w:t xml:space="preserve">опухолей кожи и мягких тканей</w:t>
            </w:r>
          </w:p>
        </w:tc>
        <w:tc>
          <w:tcPr>
            <w:tcW w:w="2274" w:type="dxa"/>
            <w:tcBorders>
              <w:top w:val="nil"/>
              <w:bottom w:val="nil"/>
            </w:tcBorders>
          </w:tcPr>
          <w:p>
            <w:pPr>
              <w:pStyle w:val="0"/>
              <w:jc w:val="center"/>
            </w:pPr>
            <w:r>
              <w:rPr>
                <w:sz w:val="20"/>
              </w:rPr>
              <w:t xml:space="preserve">3</w:t>
            </w:r>
          </w:p>
        </w:tc>
      </w:tr>
      <w:tr>
        <w:tblPrEx>
          <w:tblBorders>
            <w:insideH w:val="nil"/>
          </w:tblBorders>
        </w:tblPrEx>
        <w:tc>
          <w:tcPr>
            <w:tcBorders>
              <w:top w:val="nil"/>
              <w:bottom w:val="nil"/>
            </w:tcBorders>
            <w:vMerge w:val="continue"/>
          </w:tcPr>
          <w:p/>
        </w:tc>
        <w:tc>
          <w:tcPr>
            <w:gridSpan w:val="2"/>
            <w:tcW w:w="2942" w:type="dxa"/>
            <w:tcBorders>
              <w:top w:val="nil"/>
              <w:bottom w:val="nil"/>
            </w:tcBorders>
          </w:tcPr>
          <w:p>
            <w:pPr>
              <w:pStyle w:val="0"/>
              <w:jc w:val="both"/>
            </w:pPr>
            <w:r>
              <w:rPr>
                <w:sz w:val="20"/>
              </w:rPr>
              <w:t xml:space="preserve">онкогинекологические</w:t>
            </w:r>
          </w:p>
        </w:tc>
        <w:tc>
          <w:tcPr>
            <w:tcW w:w="2274" w:type="dxa"/>
            <w:tcBorders>
              <w:top w:val="nil"/>
              <w:bottom w:val="nil"/>
            </w:tcBorders>
          </w:tcPr>
          <w:p>
            <w:pPr>
              <w:pStyle w:val="0"/>
              <w:jc w:val="center"/>
            </w:pPr>
            <w:r>
              <w:rPr>
                <w:sz w:val="20"/>
              </w:rPr>
              <w:t xml:space="preserve">12</w:t>
            </w:r>
          </w:p>
        </w:tc>
      </w:tr>
      <w:tr>
        <w:tblPrEx>
          <w:tblBorders>
            <w:insideH w:val="nil"/>
          </w:tblBorders>
        </w:tblPrEx>
        <w:tc>
          <w:tcPr>
            <w:tcBorders>
              <w:top w:val="nil"/>
              <w:bottom w:val="nil"/>
            </w:tcBorders>
            <w:vMerge w:val="continue"/>
          </w:tcPr>
          <w:p/>
        </w:tc>
        <w:tc>
          <w:tcPr>
            <w:gridSpan w:val="2"/>
            <w:tcW w:w="2942" w:type="dxa"/>
            <w:tcBorders>
              <w:top w:val="nil"/>
              <w:bottom w:val="nil"/>
            </w:tcBorders>
          </w:tcPr>
          <w:p>
            <w:pPr>
              <w:pStyle w:val="0"/>
              <w:jc w:val="both"/>
            </w:pPr>
            <w:r>
              <w:rPr>
                <w:sz w:val="20"/>
              </w:rPr>
              <w:t xml:space="preserve">онкологические (маммологические)</w:t>
            </w:r>
          </w:p>
        </w:tc>
        <w:tc>
          <w:tcPr>
            <w:tcW w:w="2274" w:type="dxa"/>
            <w:tcBorders>
              <w:top w:val="nil"/>
              <w:bottom w:val="nil"/>
            </w:tcBorders>
          </w:tcPr>
          <w:p>
            <w:pPr>
              <w:pStyle w:val="0"/>
              <w:jc w:val="center"/>
            </w:pPr>
            <w:r>
              <w:rPr>
                <w:sz w:val="20"/>
              </w:rPr>
              <w:t xml:space="preserve">13</w:t>
            </w:r>
          </w:p>
        </w:tc>
      </w:tr>
      <w:tr>
        <w:tblPrEx>
          <w:tblBorders>
            <w:insideH w:val="nil"/>
          </w:tblBorders>
        </w:tblPrEx>
        <w:tc>
          <w:tcPr>
            <w:tcW w:w="3828" w:type="dxa"/>
            <w:tcBorders>
              <w:top w:val="nil"/>
              <w:bottom w:val="nil"/>
            </w:tcBorders>
          </w:tcPr>
          <w:p>
            <w:pPr>
              <w:pStyle w:val="0"/>
            </w:pPr>
            <w:r>
              <w:rPr>
                <w:sz w:val="20"/>
              </w:rPr>
              <w:t xml:space="preserve">отделение радиотерапии</w:t>
            </w:r>
          </w:p>
        </w:tc>
        <w:tc>
          <w:tcPr>
            <w:gridSpan w:val="2"/>
            <w:tcW w:w="2942" w:type="dxa"/>
            <w:tcBorders>
              <w:top w:val="nil"/>
              <w:bottom w:val="nil"/>
            </w:tcBorders>
          </w:tcPr>
          <w:p>
            <w:pPr>
              <w:pStyle w:val="0"/>
              <w:jc w:val="both"/>
            </w:pPr>
            <w:r>
              <w:rPr>
                <w:sz w:val="20"/>
              </w:rPr>
              <w:t xml:space="preserve">радиологические</w:t>
            </w:r>
          </w:p>
        </w:tc>
        <w:tc>
          <w:tcPr>
            <w:tcW w:w="2274" w:type="dxa"/>
            <w:tcBorders>
              <w:top w:val="nil"/>
              <w:bottom w:val="nil"/>
            </w:tcBorders>
          </w:tcPr>
          <w:p>
            <w:pPr>
              <w:pStyle w:val="0"/>
              <w:jc w:val="center"/>
            </w:pPr>
            <w:r>
              <w:rPr>
                <w:sz w:val="20"/>
              </w:rPr>
              <w:t xml:space="preserve">50</w:t>
            </w:r>
          </w:p>
        </w:tc>
      </w:tr>
      <w:tr>
        <w:tblPrEx>
          <w:tblBorders>
            <w:insideH w:val="nil"/>
          </w:tblBorders>
        </w:tblPrEx>
        <w:tc>
          <w:tcPr>
            <w:tcW w:w="3828" w:type="dxa"/>
            <w:tcBorders>
              <w:top w:val="nil"/>
            </w:tcBorders>
          </w:tcPr>
          <w:p>
            <w:pPr>
              <w:pStyle w:val="0"/>
            </w:pPr>
            <w:r>
              <w:rPr>
                <w:sz w:val="20"/>
              </w:rPr>
              <w:t xml:space="preserve">отделение противоопухолевой лекарственной терапии</w:t>
            </w:r>
          </w:p>
        </w:tc>
        <w:tc>
          <w:tcPr>
            <w:gridSpan w:val="2"/>
            <w:tcW w:w="2942" w:type="dxa"/>
            <w:tcBorders>
              <w:top w:val="nil"/>
            </w:tcBorders>
          </w:tcPr>
          <w:p>
            <w:pPr>
              <w:pStyle w:val="0"/>
              <w:jc w:val="both"/>
            </w:pPr>
            <w:r>
              <w:rPr>
                <w:sz w:val="20"/>
              </w:rPr>
              <w:t xml:space="preserve">онкологические</w:t>
            </w:r>
          </w:p>
        </w:tc>
        <w:tc>
          <w:tcPr>
            <w:tcW w:w="2274" w:type="dxa"/>
            <w:tcBorders>
              <w:top w:val="nil"/>
            </w:tcBorders>
          </w:tcPr>
          <w:p>
            <w:pPr>
              <w:pStyle w:val="0"/>
              <w:jc w:val="center"/>
            </w:pPr>
            <w:r>
              <w:rPr>
                <w:sz w:val="20"/>
              </w:rPr>
              <w:t xml:space="preserve">28</w:t>
            </w:r>
          </w:p>
        </w:tc>
      </w:tr>
    </w:tbl>
    <w:p>
      <w:pPr>
        <w:pStyle w:val="0"/>
        <w:ind w:firstLine="540"/>
        <w:jc w:val="both"/>
      </w:pPr>
      <w:r>
        <w:rPr>
          <w:sz w:val="20"/>
        </w:rPr>
      </w:r>
    </w:p>
    <w:p>
      <w:pPr>
        <w:pStyle w:val="0"/>
        <w:ind w:firstLine="540"/>
        <w:jc w:val="both"/>
      </w:pPr>
      <w:r>
        <w:rPr>
          <w:sz w:val="20"/>
        </w:rPr>
        <w:t xml:space="preserve">Специфические особенности ресурсной базы онкологической службы автономного округа.</w:t>
      </w:r>
    </w:p>
    <w:p>
      <w:pPr>
        <w:pStyle w:val="0"/>
        <w:spacing w:before="200" w:line-rule="auto"/>
        <w:ind w:firstLine="540"/>
        <w:jc w:val="both"/>
      </w:pPr>
      <w:r>
        <w:rPr>
          <w:sz w:val="20"/>
        </w:rPr>
        <w:t xml:space="preserve">Организованы 3 медицинских кластера обслуживания населения по профилю "онкология" с прикрепленным населением: Окружной онкологический центр БУ "Окружная клиническая больница" - 423 776 человек, БУ "Сургутская окружная клиническая больница" - 781 011 человек, БУ "Нижневартовский онкологический диспансер" - 482 867 человек </w:t>
      </w:r>
      <w:hyperlink w:history="0" w:anchor="P11627" w:tooltip="Кластеры обслуживания населения по профилю &quot;онкология&quot;,">
        <w:r>
          <w:rPr>
            <w:sz w:val="20"/>
            <w:color w:val="0000ff"/>
          </w:rPr>
          <w:t xml:space="preserve">(таблица 44)</w:t>
        </w:r>
      </w:hyperlink>
      <w:r>
        <w:rPr>
          <w:sz w:val="20"/>
        </w:rPr>
        <w:t xml:space="preserve">. Актуальная маршрутизация пациентов при подозрении или выявлении злокачественного новообразования утверждена приказом Департамента здравоохранения Ханты-Мансийского автономного округа - Югры от 12 июля 2023 года N 1068 "Об организации оказания медицинской помощи при злокачественных новообразованиях в Ханты-Мансийском автономном округе - Югре". В 2023 году маршрутизация пациентов при подозрении или выявлении злокачественного новообразования пересматривается совместно с ФГБУ "Национальный медицинский исследовательский центр онкологии им. Н.Н. Блохина" Министерства здравоохранения Российской Федерации (далее также - Минздрава России).</w:t>
      </w:r>
    </w:p>
    <w:p>
      <w:pPr>
        <w:pStyle w:val="0"/>
        <w:jc w:val="right"/>
      </w:pPr>
      <w:r>
        <w:rPr>
          <w:sz w:val="20"/>
        </w:rPr>
      </w:r>
    </w:p>
    <w:p>
      <w:pPr>
        <w:pStyle w:val="0"/>
        <w:jc w:val="right"/>
      </w:pPr>
      <w:r>
        <w:rPr>
          <w:sz w:val="20"/>
        </w:rPr>
        <w:t xml:space="preserve">Таблица 44</w:t>
      </w:r>
    </w:p>
    <w:p>
      <w:pPr>
        <w:pStyle w:val="0"/>
        <w:jc w:val="right"/>
      </w:pPr>
      <w:r>
        <w:rPr>
          <w:sz w:val="20"/>
        </w:rPr>
      </w:r>
    </w:p>
    <w:bookmarkStart w:id="11627" w:name="P11627"/>
    <w:bookmarkEnd w:id="11627"/>
    <w:p>
      <w:pPr>
        <w:pStyle w:val="0"/>
        <w:jc w:val="center"/>
      </w:pPr>
      <w:r>
        <w:rPr>
          <w:sz w:val="20"/>
        </w:rPr>
        <w:t xml:space="preserve">Кластеры обслуживания населения по профилю "онкология",</w:t>
      </w:r>
    </w:p>
    <w:p>
      <w:pPr>
        <w:pStyle w:val="0"/>
        <w:jc w:val="center"/>
      </w:pPr>
      <w:r>
        <w:rPr>
          <w:sz w:val="20"/>
        </w:rPr>
        <w:t xml:space="preserve">закрепленные за медицинскими организациями третьего уровня</w:t>
      </w:r>
    </w:p>
    <w:p>
      <w:pPr>
        <w:pStyle w:val="0"/>
        <w:jc w:val="center"/>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8844"/>
      </w:tblGrid>
      <w:tr>
        <w:tc>
          <w:tcPr>
            <w:tcW w:w="8844" w:type="dxa"/>
            <w:vAlign w:val="center"/>
            <w:tcBorders>
              <w:left w:val="single" w:sz="4"/>
              <w:right w:val="single" w:sz="4"/>
            </w:tcBorders>
          </w:tcPr>
          <w:p>
            <w:pPr>
              <w:pStyle w:val="0"/>
              <w:jc w:val="center"/>
            </w:pPr>
            <w:r>
              <w:rPr>
                <w:sz w:val="20"/>
              </w:rPr>
              <w:t xml:space="preserve">Окружной онкологический центр</w:t>
            </w:r>
          </w:p>
          <w:p>
            <w:pPr>
              <w:pStyle w:val="0"/>
              <w:jc w:val="center"/>
            </w:pPr>
            <w:r>
              <w:rPr>
                <w:sz w:val="20"/>
              </w:rPr>
              <w:t xml:space="preserve">БУ "Окружная клиническая больница" (прикрепленное население 423 776 человек)</w:t>
            </w:r>
          </w:p>
        </w:tc>
      </w:tr>
      <w:tr>
        <w:tc>
          <w:tcPr>
            <w:tcW w:w="8844" w:type="dxa"/>
            <w:tcBorders>
              <w:left w:val="single" w:sz="4"/>
              <w:right w:val="single" w:sz="4"/>
            </w:tcBorders>
          </w:tcPr>
          <w:p>
            <w:pPr>
              <w:pStyle w:val="0"/>
            </w:pPr>
            <w:r>
              <w:rPr>
                <w:sz w:val="20"/>
              </w:rPr>
              <w:t xml:space="preserve">Ханты-Мансийск</w:t>
            </w:r>
          </w:p>
        </w:tc>
      </w:tr>
      <w:tr>
        <w:tc>
          <w:tcPr>
            <w:tcW w:w="8844" w:type="dxa"/>
            <w:tcBorders>
              <w:left w:val="single" w:sz="4"/>
              <w:right w:val="single" w:sz="4"/>
            </w:tcBorders>
          </w:tcPr>
          <w:p>
            <w:pPr>
              <w:pStyle w:val="0"/>
            </w:pPr>
            <w:r>
              <w:rPr>
                <w:sz w:val="20"/>
              </w:rPr>
              <w:t xml:space="preserve">Нягань</w:t>
            </w:r>
          </w:p>
        </w:tc>
      </w:tr>
      <w:tr>
        <w:tc>
          <w:tcPr>
            <w:tcW w:w="8844" w:type="dxa"/>
            <w:tcBorders>
              <w:left w:val="single" w:sz="4"/>
              <w:right w:val="single" w:sz="4"/>
            </w:tcBorders>
          </w:tcPr>
          <w:p>
            <w:pPr>
              <w:pStyle w:val="0"/>
            </w:pPr>
            <w:r>
              <w:rPr>
                <w:sz w:val="20"/>
              </w:rPr>
              <w:t xml:space="preserve">Урай</w:t>
            </w:r>
          </w:p>
        </w:tc>
      </w:tr>
      <w:tr>
        <w:tc>
          <w:tcPr>
            <w:tcW w:w="8844" w:type="dxa"/>
            <w:tcBorders>
              <w:left w:val="single" w:sz="4"/>
              <w:right w:val="single" w:sz="4"/>
            </w:tcBorders>
          </w:tcPr>
          <w:p>
            <w:pPr>
              <w:pStyle w:val="0"/>
            </w:pPr>
            <w:r>
              <w:rPr>
                <w:sz w:val="20"/>
              </w:rPr>
              <w:t xml:space="preserve">Югорск</w:t>
            </w:r>
          </w:p>
        </w:tc>
      </w:tr>
      <w:tr>
        <w:tc>
          <w:tcPr>
            <w:tcW w:w="8844" w:type="dxa"/>
            <w:tcBorders>
              <w:left w:val="single" w:sz="4"/>
              <w:right w:val="single" w:sz="4"/>
            </w:tcBorders>
          </w:tcPr>
          <w:p>
            <w:pPr>
              <w:pStyle w:val="0"/>
            </w:pPr>
            <w:r>
              <w:rPr>
                <w:sz w:val="20"/>
              </w:rPr>
              <w:t xml:space="preserve">Белоярский</w:t>
            </w:r>
          </w:p>
        </w:tc>
      </w:tr>
      <w:tr>
        <w:tc>
          <w:tcPr>
            <w:tcW w:w="8844" w:type="dxa"/>
            <w:tcBorders>
              <w:left w:val="single" w:sz="4"/>
              <w:right w:val="single" w:sz="4"/>
            </w:tcBorders>
          </w:tcPr>
          <w:p>
            <w:pPr>
              <w:pStyle w:val="0"/>
            </w:pPr>
            <w:r>
              <w:rPr>
                <w:sz w:val="20"/>
              </w:rPr>
              <w:t xml:space="preserve">Березовский</w:t>
            </w:r>
          </w:p>
        </w:tc>
      </w:tr>
      <w:tr>
        <w:tc>
          <w:tcPr>
            <w:tcW w:w="8844" w:type="dxa"/>
            <w:tcBorders>
              <w:left w:val="single" w:sz="4"/>
              <w:right w:val="single" w:sz="4"/>
            </w:tcBorders>
          </w:tcPr>
          <w:p>
            <w:pPr>
              <w:pStyle w:val="0"/>
            </w:pPr>
            <w:r>
              <w:rPr>
                <w:sz w:val="20"/>
              </w:rPr>
              <w:t xml:space="preserve">Кондинский</w:t>
            </w:r>
          </w:p>
        </w:tc>
      </w:tr>
      <w:tr>
        <w:tc>
          <w:tcPr>
            <w:tcW w:w="8844" w:type="dxa"/>
            <w:tcBorders>
              <w:left w:val="single" w:sz="4"/>
              <w:right w:val="single" w:sz="4"/>
            </w:tcBorders>
          </w:tcPr>
          <w:p>
            <w:pPr>
              <w:pStyle w:val="0"/>
            </w:pPr>
            <w:r>
              <w:rPr>
                <w:sz w:val="20"/>
              </w:rPr>
              <w:t xml:space="preserve">Октябрьский</w:t>
            </w:r>
          </w:p>
        </w:tc>
      </w:tr>
      <w:tr>
        <w:tc>
          <w:tcPr>
            <w:tcW w:w="8844" w:type="dxa"/>
            <w:tcBorders>
              <w:left w:val="single" w:sz="4"/>
              <w:right w:val="single" w:sz="4"/>
            </w:tcBorders>
          </w:tcPr>
          <w:p>
            <w:pPr>
              <w:pStyle w:val="0"/>
            </w:pPr>
            <w:r>
              <w:rPr>
                <w:sz w:val="20"/>
              </w:rPr>
              <w:t xml:space="preserve">Советский</w:t>
            </w:r>
          </w:p>
        </w:tc>
      </w:tr>
      <w:tr>
        <w:tc>
          <w:tcPr>
            <w:tcW w:w="8844" w:type="dxa"/>
            <w:tcBorders>
              <w:left w:val="single" w:sz="4"/>
              <w:right w:val="single" w:sz="4"/>
            </w:tcBorders>
          </w:tcPr>
          <w:p>
            <w:pPr>
              <w:pStyle w:val="0"/>
            </w:pPr>
            <w:r>
              <w:rPr>
                <w:sz w:val="20"/>
              </w:rPr>
              <w:t xml:space="preserve">Ханты-Мансийский</w:t>
            </w:r>
          </w:p>
        </w:tc>
      </w:tr>
      <w:tr>
        <w:tc>
          <w:tcPr>
            <w:tcW w:w="8844" w:type="dxa"/>
            <w:vAlign w:val="center"/>
            <w:tcBorders>
              <w:left w:val="single" w:sz="4"/>
              <w:right w:val="single" w:sz="4"/>
            </w:tcBorders>
          </w:tcPr>
          <w:p>
            <w:pPr>
              <w:pStyle w:val="0"/>
              <w:jc w:val="center"/>
            </w:pPr>
            <w:r>
              <w:rPr>
                <w:sz w:val="20"/>
              </w:rPr>
              <w:t xml:space="preserve">Онкологический центр БУ "Сургутская окружная клиническая больница" (прикрепленное население 781 011 человек)</w:t>
            </w:r>
          </w:p>
        </w:tc>
      </w:tr>
      <w:tr>
        <w:tc>
          <w:tcPr>
            <w:tcW w:w="8844" w:type="dxa"/>
            <w:tcBorders>
              <w:left w:val="single" w:sz="4"/>
              <w:right w:val="single" w:sz="4"/>
            </w:tcBorders>
          </w:tcPr>
          <w:p>
            <w:pPr>
              <w:pStyle w:val="0"/>
            </w:pPr>
            <w:r>
              <w:rPr>
                <w:sz w:val="20"/>
              </w:rPr>
              <w:t xml:space="preserve">Сургут</w:t>
            </w:r>
          </w:p>
        </w:tc>
      </w:tr>
      <w:tr>
        <w:tc>
          <w:tcPr>
            <w:tcW w:w="8844" w:type="dxa"/>
            <w:tcBorders>
              <w:left w:val="single" w:sz="4"/>
              <w:right w:val="single" w:sz="4"/>
            </w:tcBorders>
          </w:tcPr>
          <w:p>
            <w:pPr>
              <w:pStyle w:val="0"/>
            </w:pPr>
            <w:r>
              <w:rPr>
                <w:sz w:val="20"/>
              </w:rPr>
              <w:t xml:space="preserve">Сургутский</w:t>
            </w:r>
          </w:p>
        </w:tc>
      </w:tr>
      <w:tr>
        <w:tc>
          <w:tcPr>
            <w:tcW w:w="8844" w:type="dxa"/>
            <w:tcBorders>
              <w:left w:val="single" w:sz="4"/>
              <w:right w:val="single" w:sz="4"/>
            </w:tcBorders>
          </w:tcPr>
          <w:p>
            <w:pPr>
              <w:pStyle w:val="0"/>
            </w:pPr>
            <w:r>
              <w:rPr>
                <w:sz w:val="20"/>
              </w:rPr>
              <w:t xml:space="preserve">Нефтеюганск</w:t>
            </w:r>
          </w:p>
        </w:tc>
      </w:tr>
      <w:tr>
        <w:tc>
          <w:tcPr>
            <w:tcW w:w="8844" w:type="dxa"/>
            <w:tcBorders>
              <w:left w:val="single" w:sz="4"/>
              <w:right w:val="single" w:sz="4"/>
            </w:tcBorders>
          </w:tcPr>
          <w:p>
            <w:pPr>
              <w:pStyle w:val="0"/>
            </w:pPr>
            <w:r>
              <w:rPr>
                <w:sz w:val="20"/>
              </w:rPr>
              <w:t xml:space="preserve">Нефтеюганский</w:t>
            </w:r>
          </w:p>
        </w:tc>
      </w:tr>
      <w:tr>
        <w:tc>
          <w:tcPr>
            <w:tcW w:w="8844" w:type="dxa"/>
            <w:tcBorders>
              <w:left w:val="single" w:sz="4"/>
              <w:right w:val="single" w:sz="4"/>
            </w:tcBorders>
          </w:tcPr>
          <w:p>
            <w:pPr>
              <w:pStyle w:val="0"/>
            </w:pPr>
            <w:r>
              <w:rPr>
                <w:sz w:val="20"/>
              </w:rPr>
              <w:t xml:space="preserve">Пыть-Ях</w:t>
            </w:r>
          </w:p>
        </w:tc>
      </w:tr>
      <w:tr>
        <w:tc>
          <w:tcPr>
            <w:tcW w:w="8844" w:type="dxa"/>
            <w:tcBorders>
              <w:left w:val="single" w:sz="4"/>
              <w:right w:val="single" w:sz="4"/>
            </w:tcBorders>
          </w:tcPr>
          <w:p>
            <w:pPr>
              <w:pStyle w:val="0"/>
            </w:pPr>
            <w:r>
              <w:rPr>
                <w:sz w:val="20"/>
              </w:rPr>
              <w:t xml:space="preserve">Когалым</w:t>
            </w:r>
          </w:p>
        </w:tc>
      </w:tr>
      <w:tr>
        <w:tc>
          <w:tcPr>
            <w:tcW w:w="8844" w:type="dxa"/>
            <w:vAlign w:val="center"/>
            <w:tcBorders>
              <w:left w:val="single" w:sz="4"/>
              <w:right w:val="single" w:sz="4"/>
            </w:tcBorders>
          </w:tcPr>
          <w:p>
            <w:pPr>
              <w:pStyle w:val="0"/>
              <w:jc w:val="center"/>
            </w:pPr>
            <w:r>
              <w:rPr>
                <w:sz w:val="20"/>
              </w:rPr>
              <w:t xml:space="preserve">БУ "Нижневартовский онкологический диспансер"</w:t>
            </w:r>
          </w:p>
          <w:p>
            <w:pPr>
              <w:pStyle w:val="0"/>
              <w:jc w:val="center"/>
            </w:pPr>
            <w:r>
              <w:rPr>
                <w:sz w:val="20"/>
              </w:rPr>
              <w:t xml:space="preserve">(прикрепленное население 482 867 человек)</w:t>
            </w:r>
          </w:p>
        </w:tc>
      </w:tr>
      <w:tr>
        <w:tc>
          <w:tcPr>
            <w:tcW w:w="8844" w:type="dxa"/>
            <w:tcBorders>
              <w:left w:val="single" w:sz="4"/>
              <w:right w:val="single" w:sz="4"/>
            </w:tcBorders>
          </w:tcPr>
          <w:p>
            <w:pPr>
              <w:pStyle w:val="0"/>
            </w:pPr>
            <w:r>
              <w:rPr>
                <w:sz w:val="20"/>
              </w:rPr>
              <w:t xml:space="preserve">Нижневартовск</w:t>
            </w:r>
          </w:p>
        </w:tc>
      </w:tr>
      <w:tr>
        <w:tc>
          <w:tcPr>
            <w:tcW w:w="8844" w:type="dxa"/>
            <w:tcBorders>
              <w:left w:val="single" w:sz="4"/>
              <w:right w:val="single" w:sz="4"/>
            </w:tcBorders>
          </w:tcPr>
          <w:p>
            <w:pPr>
              <w:pStyle w:val="0"/>
            </w:pPr>
            <w:r>
              <w:rPr>
                <w:sz w:val="20"/>
              </w:rPr>
              <w:t xml:space="preserve">Нижневартовский</w:t>
            </w:r>
          </w:p>
        </w:tc>
      </w:tr>
      <w:tr>
        <w:tc>
          <w:tcPr>
            <w:tcW w:w="8844" w:type="dxa"/>
            <w:tcBorders>
              <w:left w:val="single" w:sz="4"/>
              <w:right w:val="single" w:sz="4"/>
            </w:tcBorders>
          </w:tcPr>
          <w:p>
            <w:pPr>
              <w:pStyle w:val="0"/>
            </w:pPr>
            <w:r>
              <w:rPr>
                <w:sz w:val="20"/>
              </w:rPr>
              <w:t xml:space="preserve">Мегион</w:t>
            </w:r>
          </w:p>
        </w:tc>
      </w:tr>
      <w:tr>
        <w:tc>
          <w:tcPr>
            <w:tcW w:w="8844" w:type="dxa"/>
            <w:tcBorders>
              <w:left w:val="single" w:sz="4"/>
              <w:right w:val="single" w:sz="4"/>
            </w:tcBorders>
          </w:tcPr>
          <w:p>
            <w:pPr>
              <w:pStyle w:val="0"/>
            </w:pPr>
            <w:r>
              <w:rPr>
                <w:sz w:val="20"/>
              </w:rPr>
              <w:t xml:space="preserve">Радужный</w:t>
            </w:r>
          </w:p>
        </w:tc>
      </w:tr>
      <w:tr>
        <w:tc>
          <w:tcPr>
            <w:tcW w:w="8844" w:type="dxa"/>
            <w:tcBorders>
              <w:left w:val="single" w:sz="4"/>
              <w:right w:val="single" w:sz="4"/>
            </w:tcBorders>
          </w:tcPr>
          <w:p>
            <w:pPr>
              <w:pStyle w:val="0"/>
            </w:pPr>
            <w:r>
              <w:rPr>
                <w:sz w:val="20"/>
              </w:rPr>
              <w:t xml:space="preserve">Лангепас</w:t>
            </w:r>
          </w:p>
        </w:tc>
      </w:tr>
      <w:tr>
        <w:tc>
          <w:tcPr>
            <w:tcW w:w="8844" w:type="dxa"/>
            <w:tcBorders>
              <w:left w:val="single" w:sz="4"/>
              <w:right w:val="single" w:sz="4"/>
            </w:tcBorders>
          </w:tcPr>
          <w:p>
            <w:pPr>
              <w:pStyle w:val="0"/>
            </w:pPr>
            <w:r>
              <w:rPr>
                <w:sz w:val="20"/>
              </w:rPr>
              <w:t xml:space="preserve">Покачи</w:t>
            </w:r>
          </w:p>
        </w:tc>
      </w:tr>
    </w:tbl>
    <w:p>
      <w:pPr>
        <w:pStyle w:val="0"/>
        <w:jc w:val="right"/>
      </w:pPr>
      <w:r>
        <w:rPr>
          <w:sz w:val="20"/>
        </w:rPr>
      </w:r>
    </w:p>
    <w:p>
      <w:pPr>
        <w:pStyle w:val="0"/>
        <w:jc w:val="right"/>
      </w:pPr>
      <w:r>
        <w:rPr>
          <w:sz w:val="20"/>
        </w:rPr>
        <w:t xml:space="preserve">Рисунок 8</w:t>
      </w:r>
    </w:p>
    <w:p>
      <w:pPr>
        <w:pStyle w:val="0"/>
        <w:jc w:val="right"/>
      </w:pPr>
      <w:r>
        <w:rPr>
          <w:sz w:val="20"/>
        </w:rPr>
      </w:r>
    </w:p>
    <w:p>
      <w:pPr>
        <w:pStyle w:val="0"/>
        <w:jc w:val="center"/>
      </w:pPr>
      <w:r>
        <w:rPr>
          <w:sz w:val="20"/>
        </w:rPr>
        <w:t xml:space="preserve">Маршрутизация пациентов при подозрении или выявлении</w:t>
      </w:r>
    </w:p>
    <w:p>
      <w:pPr>
        <w:pStyle w:val="0"/>
        <w:jc w:val="center"/>
      </w:pPr>
      <w:r>
        <w:rPr>
          <w:sz w:val="20"/>
        </w:rPr>
        <w:t xml:space="preserve">злокачественного новообразования</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309"/>
        </w:rPr>
        <w:drawing>
          <wp:inline distT="0" distB="0" distL="0" distR="0">
            <wp:extent cx="7216775" cy="406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7216775" cy="4060190"/>
                    </a:xfrm>
                    <a:prstGeom prst="rect">
                      <a:avLst/>
                    </a:prstGeom>
                    <a:noFill/>
                    <a:ln>
                      <a:noFill/>
                    </a:ln>
                  </pic:spPr>
                </pic:pic>
              </a:graphicData>
            </a:graphic>
          </wp:inline>
        </w:drawing>
      </w:r>
    </w:p>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jc w:val="right"/>
      </w:pPr>
      <w:r>
        <w:rPr>
          <w:sz w:val="20"/>
        </w:rPr>
      </w:r>
    </w:p>
    <w:p>
      <w:pPr>
        <w:pStyle w:val="0"/>
        <w:ind w:firstLine="540"/>
        <w:jc w:val="both"/>
      </w:pPr>
      <w:r>
        <w:rPr>
          <w:sz w:val="20"/>
        </w:rPr>
        <w:t xml:space="preserve">В сложных клинических случаях для уточнения диагноза в целях проведения оценки, интерпретации и описания результатов врач-онколог медицинской организации третьего уровня, оказывающей специализированную, в том числе высокотехнологичную медицинскую помощь, организует направление в национальные медицинские исследовательские центры: ФГБУ "Национальный медицинский исследовательский центр онкологии им. Н.Н. Блохина" Минздрава России, ФГБУ "Национальный медицинский исследовательский центр онкологии им. Н.Н. Петрова" Минздрава России, МНИОИ им. П.А. Герцена - филиал ФГБУ "Национальный медицинский исследовательский центр радиологии" Минздрава России.</w:t>
      </w:r>
    </w:p>
    <w:p>
      <w:pPr>
        <w:pStyle w:val="0"/>
        <w:spacing w:before="200" w:line-rule="auto"/>
        <w:ind w:firstLine="540"/>
        <w:jc w:val="both"/>
      </w:pPr>
      <w:r>
        <w:rPr>
          <w:sz w:val="20"/>
        </w:rPr>
        <w:t xml:space="preserve">С 2018 года введены курсы паллиативной системной радионуклидной терапии лекарственным радиофармпрепаратом Радия-223-хлорид при множественном метастазировании в кости скелета различных злокачественных новообразований.</w:t>
      </w:r>
    </w:p>
    <w:p>
      <w:pPr>
        <w:pStyle w:val="0"/>
        <w:spacing w:before="200" w:line-rule="auto"/>
        <w:ind w:firstLine="540"/>
        <w:jc w:val="both"/>
      </w:pPr>
      <w:r>
        <w:rPr>
          <w:sz w:val="20"/>
        </w:rPr>
        <w:t xml:space="preserve">Ежегодно в автономном округе проводится более 15 тысяч курсов химиотерапии. Количество схем лекарственной противоопухолевой химиотерапии за 2022 год составило: в круглосуточном стационаре - 184 схемы (35% от утвержденных схем), в дневном стационаре - 246 схем (33% от утвержденных схем).</w:t>
      </w:r>
    </w:p>
    <w:p>
      <w:pPr>
        <w:pStyle w:val="0"/>
        <w:spacing w:before="200" w:line-rule="auto"/>
        <w:ind w:firstLine="540"/>
        <w:jc w:val="both"/>
      </w:pPr>
      <w:r>
        <w:rPr>
          <w:sz w:val="20"/>
        </w:rPr>
        <w:t xml:space="preserve">Ежегодно пациентам со злокачественными новообразованиями проводится более 1600 курсов лучевой терапии.</w:t>
      </w:r>
    </w:p>
    <w:p>
      <w:pPr>
        <w:pStyle w:val="0"/>
        <w:spacing w:before="200" w:line-rule="auto"/>
        <w:ind w:firstLine="540"/>
        <w:jc w:val="both"/>
      </w:pPr>
      <w:r>
        <w:rPr>
          <w:sz w:val="20"/>
        </w:rPr>
        <w:t xml:space="preserve">В автономном округе с 2012 года осуществляются процедуры с использованием системы Гамма-нож. За 10 лет количество процедур увеличилось на 58%, в 2022 году выполнено 159 операций на системе Гамма-нож, всего выполнено более 1300 операций.</w:t>
      </w:r>
    </w:p>
    <w:p>
      <w:pPr>
        <w:pStyle w:val="0"/>
        <w:spacing w:before="200" w:line-rule="auto"/>
        <w:ind w:firstLine="540"/>
        <w:jc w:val="both"/>
      </w:pPr>
      <w:r>
        <w:rPr>
          <w:sz w:val="20"/>
        </w:rPr>
        <w:t xml:space="preserve">Патологоанатомическая служба автономного округа представлена 20 централизованными патологоанатомическими отделениями в 16 муниципальных образованиях медицинских организациях II - III уровней. В соответствии с приказом Департамента здравоохранения автономного округа от 17 мая 2018 года N 524 "Об организации централизованного прижизненного патологоанатомического, иммуногистохимического исследования биопсийного (операционного) материала в Ханты-Мансийском автономном округе - Югре" в эти организации направляется материал из 73 медицинских учреждений автономного округа. Данный приказ регламентирует маршрутизацию диагностического биопсийного и операционного материала, а также алгоритм взаимодействия медицинских организаций по проведению прижизненного патологоанатомического исследования всего операционного и биопсийного материала. Три отделения онкологических центров являются ведущими по диагностике опухолевой патологии, здесь имеются иммуногистохимические лаборатории с набором антител, рассчитанными на дифференциальную диагностику мягкотканных и низкодифференцированных опухолей, типирования лимфом, определения рецепторов гормонов и пролиферативной активности, а также выявление источника опухолевого роста по отдаленным метастазам.</w:t>
      </w:r>
    </w:p>
    <w:p>
      <w:pPr>
        <w:pStyle w:val="0"/>
        <w:spacing w:before="200" w:line-rule="auto"/>
        <w:ind w:firstLine="540"/>
        <w:jc w:val="both"/>
      </w:pPr>
      <w:r>
        <w:rPr>
          <w:sz w:val="20"/>
        </w:rPr>
        <w:t xml:space="preserve">Особенности кадрового обеспечения патологоанатомической службы автономного округа.</w:t>
      </w:r>
    </w:p>
    <w:p>
      <w:pPr>
        <w:pStyle w:val="0"/>
        <w:spacing w:before="200" w:line-rule="auto"/>
        <w:ind w:firstLine="540"/>
        <w:jc w:val="both"/>
      </w:pPr>
      <w:r>
        <w:rPr>
          <w:sz w:val="20"/>
        </w:rPr>
        <w:t xml:space="preserve">Всего штатных должностей врачей-патологоанатомов - 112,75, из них занято 95 ставок. Физических лиц - 62 человека, из них 16 имеют высшую квалификационную категорию, 5 человек - первую, 8 человек - вторую. Процент укомплектованности составляет 84,2%. Коэффициент совместительства - 1,6.</w:t>
      </w:r>
    </w:p>
    <w:p>
      <w:pPr>
        <w:pStyle w:val="0"/>
        <w:spacing w:before="200" w:line-rule="auto"/>
        <w:ind w:firstLine="540"/>
        <w:jc w:val="both"/>
      </w:pPr>
      <w:r>
        <w:rPr>
          <w:sz w:val="20"/>
        </w:rPr>
        <w:t xml:space="preserve">За период с 2020 по 2022 год приняты на работу 4 врача-патологоанатома, прошедших целевую ординатуру по патологической анатомии. За счет этого снизился коэффициент совместительства с 1,9 до 1,5.</w:t>
      </w:r>
    </w:p>
    <w:p>
      <w:pPr>
        <w:pStyle w:val="0"/>
        <w:ind w:firstLine="540"/>
        <w:jc w:val="both"/>
      </w:pPr>
      <w:r>
        <w:rPr>
          <w:sz w:val="20"/>
        </w:rPr>
      </w:r>
    </w:p>
    <w:p>
      <w:pPr>
        <w:pStyle w:val="0"/>
        <w:jc w:val="right"/>
      </w:pPr>
      <w:r>
        <w:rPr>
          <w:sz w:val="20"/>
        </w:rPr>
        <w:t xml:space="preserve">Таблица 45</w:t>
      </w:r>
    </w:p>
    <w:p>
      <w:pPr>
        <w:pStyle w:val="0"/>
        <w:jc w:val="right"/>
      </w:pPr>
      <w:r>
        <w:rPr>
          <w:sz w:val="20"/>
        </w:rPr>
      </w:r>
    </w:p>
    <w:p>
      <w:pPr>
        <w:pStyle w:val="0"/>
        <w:jc w:val="center"/>
      </w:pPr>
      <w:r>
        <w:rPr>
          <w:sz w:val="20"/>
        </w:rPr>
        <w:t xml:space="preserve">Оснащение патологоанатомической службы автономного округа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79"/>
        <w:gridCol w:w="1474"/>
        <w:gridCol w:w="1361"/>
        <w:gridCol w:w="1644"/>
      </w:tblGrid>
      <w:tr>
        <w:tc>
          <w:tcPr>
            <w:tcW w:w="4479" w:type="dxa"/>
          </w:tcPr>
          <w:p>
            <w:pPr>
              <w:pStyle w:val="0"/>
              <w:jc w:val="center"/>
            </w:pPr>
            <w:r>
              <w:rPr>
                <w:sz w:val="20"/>
              </w:rPr>
              <w:t xml:space="preserve">Наименование оборудования</w:t>
            </w:r>
          </w:p>
        </w:tc>
        <w:tc>
          <w:tcPr>
            <w:tcW w:w="1474" w:type="dxa"/>
          </w:tcPr>
          <w:p>
            <w:pPr>
              <w:pStyle w:val="0"/>
              <w:jc w:val="center"/>
            </w:pPr>
            <w:r>
              <w:rPr>
                <w:sz w:val="20"/>
              </w:rPr>
              <w:t xml:space="preserve">Количество</w:t>
            </w:r>
          </w:p>
        </w:tc>
        <w:tc>
          <w:tcPr>
            <w:tcW w:w="1361" w:type="dxa"/>
          </w:tcPr>
          <w:p>
            <w:pPr>
              <w:pStyle w:val="0"/>
              <w:jc w:val="center"/>
            </w:pPr>
            <w:r>
              <w:rPr>
                <w:sz w:val="20"/>
              </w:rPr>
              <w:t xml:space="preserve">Старше 10 лет</w:t>
            </w:r>
          </w:p>
        </w:tc>
        <w:tc>
          <w:tcPr>
            <w:tcW w:w="1644" w:type="dxa"/>
          </w:tcPr>
          <w:p>
            <w:pPr>
              <w:pStyle w:val="0"/>
              <w:jc w:val="center"/>
            </w:pPr>
            <w:r>
              <w:rPr>
                <w:sz w:val="20"/>
              </w:rPr>
              <w:t xml:space="preserve">Динамика за 3 года</w:t>
            </w:r>
          </w:p>
        </w:tc>
      </w:tr>
      <w:tr>
        <w:tc>
          <w:tcPr>
            <w:tcW w:w="4479" w:type="dxa"/>
          </w:tcPr>
          <w:p>
            <w:pPr>
              <w:pStyle w:val="0"/>
              <w:jc w:val="center"/>
            </w:pPr>
            <w:r>
              <w:rPr>
                <w:sz w:val="20"/>
              </w:rPr>
              <w:t xml:space="preserve">Станции вырезки</w:t>
            </w:r>
          </w:p>
        </w:tc>
        <w:tc>
          <w:tcPr>
            <w:tcW w:w="1474" w:type="dxa"/>
          </w:tcPr>
          <w:p>
            <w:pPr>
              <w:pStyle w:val="0"/>
              <w:jc w:val="center"/>
            </w:pPr>
            <w:r>
              <w:rPr>
                <w:sz w:val="20"/>
              </w:rPr>
              <w:t xml:space="preserve">13</w:t>
            </w:r>
          </w:p>
        </w:tc>
        <w:tc>
          <w:tcPr>
            <w:tcW w:w="1361" w:type="dxa"/>
          </w:tcPr>
          <w:p>
            <w:pPr>
              <w:pStyle w:val="0"/>
              <w:jc w:val="center"/>
            </w:pPr>
            <w:r>
              <w:rPr>
                <w:sz w:val="20"/>
              </w:rPr>
              <w:t xml:space="preserve">6</w:t>
            </w:r>
          </w:p>
        </w:tc>
        <w:tc>
          <w:tcPr>
            <w:tcW w:w="1644" w:type="dxa"/>
          </w:tcPr>
          <w:p>
            <w:pPr>
              <w:pStyle w:val="0"/>
              <w:jc w:val="center"/>
            </w:pPr>
            <w:r>
              <w:rPr>
                <w:sz w:val="20"/>
              </w:rPr>
              <w:t xml:space="preserve">+3</w:t>
            </w:r>
          </w:p>
        </w:tc>
      </w:tr>
      <w:tr>
        <w:tc>
          <w:tcPr>
            <w:tcW w:w="4479" w:type="dxa"/>
          </w:tcPr>
          <w:p>
            <w:pPr>
              <w:pStyle w:val="0"/>
              <w:jc w:val="center"/>
            </w:pPr>
            <w:r>
              <w:rPr>
                <w:sz w:val="20"/>
              </w:rPr>
              <w:t xml:space="preserve">Аппараты для проводки карусельного типа</w:t>
            </w:r>
          </w:p>
        </w:tc>
        <w:tc>
          <w:tcPr>
            <w:tcW w:w="1474" w:type="dxa"/>
          </w:tcPr>
          <w:p>
            <w:pPr>
              <w:pStyle w:val="0"/>
              <w:jc w:val="center"/>
            </w:pPr>
            <w:r>
              <w:rPr>
                <w:sz w:val="20"/>
              </w:rPr>
              <w:t xml:space="preserve">21</w:t>
            </w:r>
          </w:p>
        </w:tc>
        <w:tc>
          <w:tcPr>
            <w:tcW w:w="1361" w:type="dxa"/>
          </w:tcPr>
          <w:p>
            <w:pPr>
              <w:pStyle w:val="0"/>
              <w:jc w:val="center"/>
            </w:pPr>
            <w:r>
              <w:rPr>
                <w:sz w:val="20"/>
              </w:rPr>
              <w:t xml:space="preserve">8</w:t>
            </w:r>
          </w:p>
        </w:tc>
        <w:tc>
          <w:tcPr>
            <w:tcW w:w="1644" w:type="dxa"/>
          </w:tcPr>
          <w:p>
            <w:pPr>
              <w:pStyle w:val="0"/>
              <w:jc w:val="center"/>
            </w:pPr>
            <w:r>
              <w:rPr>
                <w:sz w:val="20"/>
              </w:rPr>
              <w:t xml:space="preserve">+8</w:t>
            </w:r>
          </w:p>
        </w:tc>
      </w:tr>
      <w:tr>
        <w:tc>
          <w:tcPr>
            <w:tcW w:w="4479" w:type="dxa"/>
          </w:tcPr>
          <w:p>
            <w:pPr>
              <w:pStyle w:val="0"/>
              <w:jc w:val="center"/>
            </w:pPr>
            <w:r>
              <w:rPr>
                <w:sz w:val="20"/>
              </w:rPr>
              <w:t xml:space="preserve">Аппараты для проводки процессорного типа</w:t>
            </w:r>
          </w:p>
        </w:tc>
        <w:tc>
          <w:tcPr>
            <w:tcW w:w="1474" w:type="dxa"/>
          </w:tcPr>
          <w:p>
            <w:pPr>
              <w:pStyle w:val="0"/>
              <w:jc w:val="center"/>
            </w:pPr>
            <w:r>
              <w:rPr>
                <w:sz w:val="20"/>
              </w:rPr>
              <w:t xml:space="preserve">16</w:t>
            </w:r>
          </w:p>
        </w:tc>
        <w:tc>
          <w:tcPr>
            <w:tcW w:w="1361" w:type="dxa"/>
          </w:tcPr>
          <w:p>
            <w:pPr>
              <w:pStyle w:val="0"/>
              <w:jc w:val="center"/>
            </w:pPr>
            <w:r>
              <w:rPr>
                <w:sz w:val="20"/>
              </w:rPr>
              <w:t xml:space="preserve">5</w:t>
            </w:r>
          </w:p>
        </w:tc>
        <w:tc>
          <w:tcPr>
            <w:tcW w:w="1644" w:type="dxa"/>
          </w:tcPr>
          <w:p>
            <w:pPr>
              <w:pStyle w:val="0"/>
              <w:jc w:val="center"/>
            </w:pPr>
            <w:r>
              <w:rPr>
                <w:sz w:val="20"/>
              </w:rPr>
              <w:t xml:space="preserve">+7</w:t>
            </w:r>
          </w:p>
        </w:tc>
      </w:tr>
      <w:tr>
        <w:tc>
          <w:tcPr>
            <w:tcW w:w="4479" w:type="dxa"/>
          </w:tcPr>
          <w:p>
            <w:pPr>
              <w:pStyle w:val="0"/>
              <w:jc w:val="center"/>
            </w:pPr>
            <w:r>
              <w:rPr>
                <w:sz w:val="20"/>
              </w:rPr>
              <w:t xml:space="preserve">Станции заливки парафином</w:t>
            </w:r>
          </w:p>
        </w:tc>
        <w:tc>
          <w:tcPr>
            <w:tcW w:w="1474" w:type="dxa"/>
          </w:tcPr>
          <w:p>
            <w:pPr>
              <w:pStyle w:val="0"/>
              <w:jc w:val="center"/>
            </w:pPr>
            <w:r>
              <w:rPr>
                <w:sz w:val="20"/>
              </w:rPr>
              <w:t xml:space="preserve">31</w:t>
            </w:r>
          </w:p>
        </w:tc>
        <w:tc>
          <w:tcPr>
            <w:tcW w:w="1361" w:type="dxa"/>
          </w:tcPr>
          <w:p>
            <w:pPr>
              <w:pStyle w:val="0"/>
              <w:jc w:val="center"/>
            </w:pPr>
            <w:r>
              <w:rPr>
                <w:sz w:val="20"/>
              </w:rPr>
              <w:t xml:space="preserve">13</w:t>
            </w:r>
          </w:p>
        </w:tc>
        <w:tc>
          <w:tcPr>
            <w:tcW w:w="1644" w:type="dxa"/>
          </w:tcPr>
          <w:p>
            <w:pPr>
              <w:pStyle w:val="0"/>
              <w:jc w:val="center"/>
            </w:pPr>
            <w:r>
              <w:rPr>
                <w:sz w:val="20"/>
              </w:rPr>
              <w:t xml:space="preserve">+8</w:t>
            </w:r>
          </w:p>
        </w:tc>
      </w:tr>
      <w:tr>
        <w:tc>
          <w:tcPr>
            <w:tcW w:w="4479" w:type="dxa"/>
          </w:tcPr>
          <w:p>
            <w:pPr>
              <w:pStyle w:val="0"/>
              <w:jc w:val="center"/>
            </w:pPr>
            <w:r>
              <w:rPr>
                <w:sz w:val="20"/>
              </w:rPr>
              <w:t xml:space="preserve">Микротомы санные</w:t>
            </w:r>
          </w:p>
        </w:tc>
        <w:tc>
          <w:tcPr>
            <w:tcW w:w="1474" w:type="dxa"/>
          </w:tcPr>
          <w:p>
            <w:pPr>
              <w:pStyle w:val="0"/>
              <w:jc w:val="center"/>
            </w:pPr>
            <w:r>
              <w:rPr>
                <w:sz w:val="20"/>
              </w:rPr>
              <w:t xml:space="preserve">8</w:t>
            </w:r>
          </w:p>
        </w:tc>
        <w:tc>
          <w:tcPr>
            <w:tcW w:w="1361" w:type="dxa"/>
          </w:tcPr>
          <w:p>
            <w:pPr>
              <w:pStyle w:val="0"/>
              <w:jc w:val="center"/>
            </w:pPr>
            <w:r>
              <w:rPr>
                <w:sz w:val="20"/>
              </w:rPr>
              <w:t xml:space="preserve">7</w:t>
            </w:r>
          </w:p>
        </w:tc>
        <w:tc>
          <w:tcPr>
            <w:tcW w:w="1644" w:type="dxa"/>
          </w:tcPr>
          <w:p>
            <w:pPr>
              <w:pStyle w:val="0"/>
              <w:jc w:val="center"/>
            </w:pPr>
            <w:r>
              <w:rPr>
                <w:sz w:val="20"/>
              </w:rPr>
              <w:t xml:space="preserve">-2</w:t>
            </w:r>
          </w:p>
        </w:tc>
      </w:tr>
      <w:tr>
        <w:tc>
          <w:tcPr>
            <w:tcW w:w="4479" w:type="dxa"/>
          </w:tcPr>
          <w:p>
            <w:pPr>
              <w:pStyle w:val="0"/>
              <w:jc w:val="center"/>
            </w:pPr>
            <w:r>
              <w:rPr>
                <w:sz w:val="20"/>
              </w:rPr>
              <w:t xml:space="preserve">Микротомы Ротационные</w:t>
            </w:r>
          </w:p>
        </w:tc>
        <w:tc>
          <w:tcPr>
            <w:tcW w:w="1474" w:type="dxa"/>
          </w:tcPr>
          <w:p>
            <w:pPr>
              <w:pStyle w:val="0"/>
              <w:jc w:val="center"/>
            </w:pPr>
            <w:r>
              <w:rPr>
                <w:sz w:val="20"/>
              </w:rPr>
              <w:t xml:space="preserve">90</w:t>
            </w:r>
          </w:p>
        </w:tc>
        <w:tc>
          <w:tcPr>
            <w:tcW w:w="1361" w:type="dxa"/>
          </w:tcPr>
          <w:p>
            <w:pPr>
              <w:pStyle w:val="0"/>
              <w:jc w:val="center"/>
            </w:pPr>
            <w:r>
              <w:rPr>
                <w:sz w:val="20"/>
              </w:rPr>
              <w:t xml:space="preserve">28</w:t>
            </w:r>
          </w:p>
        </w:tc>
        <w:tc>
          <w:tcPr>
            <w:tcW w:w="1644" w:type="dxa"/>
          </w:tcPr>
          <w:p>
            <w:pPr>
              <w:pStyle w:val="0"/>
              <w:jc w:val="center"/>
            </w:pPr>
            <w:r>
              <w:rPr>
                <w:sz w:val="20"/>
              </w:rPr>
              <w:t xml:space="preserve">+29</w:t>
            </w:r>
          </w:p>
        </w:tc>
      </w:tr>
      <w:tr>
        <w:tc>
          <w:tcPr>
            <w:tcW w:w="4479" w:type="dxa"/>
          </w:tcPr>
          <w:p>
            <w:pPr>
              <w:pStyle w:val="0"/>
              <w:jc w:val="center"/>
            </w:pPr>
            <w:r>
              <w:rPr>
                <w:sz w:val="20"/>
              </w:rPr>
              <w:t xml:space="preserve">Автоматы для окраски</w:t>
            </w:r>
          </w:p>
        </w:tc>
        <w:tc>
          <w:tcPr>
            <w:tcW w:w="1474" w:type="dxa"/>
          </w:tcPr>
          <w:p>
            <w:pPr>
              <w:pStyle w:val="0"/>
              <w:jc w:val="center"/>
            </w:pPr>
            <w:r>
              <w:rPr>
                <w:sz w:val="20"/>
              </w:rPr>
              <w:t xml:space="preserve">20</w:t>
            </w:r>
          </w:p>
        </w:tc>
        <w:tc>
          <w:tcPr>
            <w:tcW w:w="1361" w:type="dxa"/>
          </w:tcPr>
          <w:p>
            <w:pPr>
              <w:pStyle w:val="0"/>
              <w:jc w:val="center"/>
            </w:pPr>
            <w:r>
              <w:rPr>
                <w:sz w:val="20"/>
              </w:rPr>
              <w:t xml:space="preserve">12</w:t>
            </w:r>
          </w:p>
        </w:tc>
        <w:tc>
          <w:tcPr>
            <w:tcW w:w="1644" w:type="dxa"/>
          </w:tcPr>
          <w:p>
            <w:pPr>
              <w:pStyle w:val="0"/>
              <w:jc w:val="center"/>
            </w:pPr>
            <w:r>
              <w:rPr>
                <w:sz w:val="20"/>
              </w:rPr>
              <w:t xml:space="preserve">+5</w:t>
            </w:r>
          </w:p>
        </w:tc>
      </w:tr>
      <w:tr>
        <w:tc>
          <w:tcPr>
            <w:tcW w:w="4479" w:type="dxa"/>
          </w:tcPr>
          <w:p>
            <w:pPr>
              <w:pStyle w:val="0"/>
              <w:jc w:val="center"/>
            </w:pPr>
            <w:r>
              <w:rPr>
                <w:sz w:val="20"/>
              </w:rPr>
              <w:t xml:space="preserve">Иммуностейнеры</w:t>
            </w:r>
          </w:p>
        </w:tc>
        <w:tc>
          <w:tcPr>
            <w:tcW w:w="1474" w:type="dxa"/>
          </w:tcPr>
          <w:p>
            <w:pPr>
              <w:pStyle w:val="0"/>
              <w:jc w:val="center"/>
            </w:pPr>
            <w:r>
              <w:rPr>
                <w:sz w:val="20"/>
              </w:rPr>
              <w:t xml:space="preserve">7</w:t>
            </w:r>
          </w:p>
        </w:tc>
        <w:tc>
          <w:tcPr>
            <w:tcW w:w="1361" w:type="dxa"/>
          </w:tcPr>
          <w:p>
            <w:pPr>
              <w:pStyle w:val="0"/>
              <w:jc w:val="center"/>
            </w:pPr>
            <w:r>
              <w:rPr>
                <w:sz w:val="20"/>
              </w:rPr>
              <w:t xml:space="preserve">1</w:t>
            </w:r>
          </w:p>
        </w:tc>
        <w:tc>
          <w:tcPr>
            <w:tcW w:w="1644" w:type="dxa"/>
          </w:tcPr>
          <w:p>
            <w:pPr>
              <w:pStyle w:val="0"/>
              <w:jc w:val="center"/>
            </w:pPr>
            <w:r>
              <w:rPr>
                <w:sz w:val="20"/>
              </w:rPr>
              <w:t xml:space="preserve">+2</w:t>
            </w:r>
          </w:p>
        </w:tc>
      </w:tr>
      <w:tr>
        <w:tc>
          <w:tcPr>
            <w:tcW w:w="4479" w:type="dxa"/>
          </w:tcPr>
          <w:p>
            <w:pPr>
              <w:pStyle w:val="0"/>
              <w:jc w:val="center"/>
            </w:pPr>
            <w:r>
              <w:rPr>
                <w:sz w:val="20"/>
              </w:rPr>
              <w:t xml:space="preserve">Аппараты для заключения срезов</w:t>
            </w:r>
          </w:p>
        </w:tc>
        <w:tc>
          <w:tcPr>
            <w:tcW w:w="1474" w:type="dxa"/>
          </w:tcPr>
          <w:p>
            <w:pPr>
              <w:pStyle w:val="0"/>
              <w:jc w:val="center"/>
            </w:pPr>
            <w:r>
              <w:rPr>
                <w:sz w:val="20"/>
              </w:rPr>
              <w:t xml:space="preserve">11</w:t>
            </w:r>
          </w:p>
        </w:tc>
        <w:tc>
          <w:tcPr>
            <w:tcW w:w="1361" w:type="dxa"/>
          </w:tcPr>
          <w:p>
            <w:pPr>
              <w:pStyle w:val="0"/>
              <w:jc w:val="center"/>
            </w:pPr>
            <w:r>
              <w:rPr>
                <w:sz w:val="20"/>
              </w:rPr>
              <w:t xml:space="preserve">4</w:t>
            </w:r>
          </w:p>
        </w:tc>
        <w:tc>
          <w:tcPr>
            <w:tcW w:w="1644" w:type="dxa"/>
          </w:tcPr>
          <w:p>
            <w:pPr>
              <w:pStyle w:val="0"/>
              <w:jc w:val="center"/>
            </w:pPr>
            <w:r>
              <w:rPr>
                <w:sz w:val="20"/>
              </w:rPr>
              <w:t xml:space="preserve">+2</w:t>
            </w:r>
          </w:p>
        </w:tc>
      </w:tr>
      <w:tr>
        <w:tc>
          <w:tcPr>
            <w:tcW w:w="4479" w:type="dxa"/>
          </w:tcPr>
          <w:p>
            <w:pPr>
              <w:pStyle w:val="0"/>
              <w:jc w:val="center"/>
            </w:pPr>
            <w:r>
              <w:rPr>
                <w:sz w:val="20"/>
              </w:rPr>
              <w:t xml:space="preserve">Микроскопы</w:t>
            </w:r>
          </w:p>
        </w:tc>
        <w:tc>
          <w:tcPr>
            <w:tcW w:w="1474" w:type="dxa"/>
          </w:tcPr>
          <w:p>
            <w:pPr>
              <w:pStyle w:val="0"/>
              <w:jc w:val="center"/>
            </w:pPr>
            <w:r>
              <w:rPr>
                <w:sz w:val="20"/>
              </w:rPr>
              <w:t xml:space="preserve">115</w:t>
            </w:r>
          </w:p>
        </w:tc>
        <w:tc>
          <w:tcPr>
            <w:tcW w:w="1361" w:type="dxa"/>
          </w:tcPr>
          <w:p>
            <w:pPr>
              <w:pStyle w:val="0"/>
              <w:jc w:val="center"/>
            </w:pPr>
            <w:r>
              <w:rPr>
                <w:sz w:val="20"/>
              </w:rPr>
              <w:t xml:space="preserve">42</w:t>
            </w:r>
          </w:p>
        </w:tc>
        <w:tc>
          <w:tcPr>
            <w:tcW w:w="1644" w:type="dxa"/>
          </w:tcPr>
          <w:p>
            <w:pPr>
              <w:pStyle w:val="0"/>
              <w:jc w:val="center"/>
            </w:pPr>
            <w:r>
              <w:rPr>
                <w:sz w:val="20"/>
              </w:rPr>
              <w:t xml:space="preserve">+31</w:t>
            </w:r>
          </w:p>
        </w:tc>
      </w:tr>
      <w:tr>
        <w:tc>
          <w:tcPr>
            <w:tcW w:w="4479" w:type="dxa"/>
          </w:tcPr>
          <w:p>
            <w:pPr>
              <w:pStyle w:val="0"/>
              <w:jc w:val="center"/>
            </w:pPr>
            <w:r>
              <w:rPr>
                <w:sz w:val="20"/>
              </w:rPr>
              <w:t xml:space="preserve">Сканеры микропрепаратов (микроскоп сканирующий)</w:t>
            </w:r>
          </w:p>
        </w:tc>
        <w:tc>
          <w:tcPr>
            <w:tcW w:w="1474" w:type="dxa"/>
          </w:tcPr>
          <w:p>
            <w:pPr>
              <w:pStyle w:val="0"/>
              <w:jc w:val="center"/>
            </w:pPr>
            <w:r>
              <w:rPr>
                <w:sz w:val="20"/>
              </w:rPr>
              <w:t xml:space="preserve">19</w:t>
            </w:r>
          </w:p>
        </w:tc>
        <w:tc>
          <w:tcPr>
            <w:tcW w:w="1361" w:type="dxa"/>
          </w:tcPr>
          <w:p>
            <w:pPr>
              <w:pStyle w:val="0"/>
              <w:jc w:val="center"/>
            </w:pPr>
            <w:r>
              <w:rPr>
                <w:sz w:val="20"/>
              </w:rPr>
            </w:r>
          </w:p>
        </w:tc>
        <w:tc>
          <w:tcPr>
            <w:tcW w:w="1644" w:type="dxa"/>
          </w:tcPr>
          <w:p>
            <w:pPr>
              <w:pStyle w:val="0"/>
              <w:jc w:val="center"/>
            </w:pPr>
            <w:r>
              <w:rPr>
                <w:sz w:val="20"/>
              </w:rPr>
              <w:t xml:space="preserve">+19</w:t>
            </w:r>
          </w:p>
        </w:tc>
      </w:tr>
      <w:tr>
        <w:tc>
          <w:tcPr>
            <w:tcW w:w="4479" w:type="dxa"/>
          </w:tcPr>
          <w:p>
            <w:pPr>
              <w:pStyle w:val="0"/>
              <w:jc w:val="center"/>
            </w:pPr>
            <w:r>
              <w:rPr>
                <w:sz w:val="20"/>
              </w:rPr>
              <w:t xml:space="preserve">Всего единиц техники</w:t>
            </w:r>
          </w:p>
        </w:tc>
        <w:tc>
          <w:tcPr>
            <w:tcW w:w="1474" w:type="dxa"/>
          </w:tcPr>
          <w:p>
            <w:pPr>
              <w:pStyle w:val="0"/>
              <w:jc w:val="center"/>
            </w:pPr>
            <w:r>
              <w:rPr>
                <w:sz w:val="20"/>
              </w:rPr>
              <w:t xml:space="preserve">351</w:t>
            </w:r>
          </w:p>
        </w:tc>
        <w:tc>
          <w:tcPr>
            <w:tcW w:w="1361" w:type="dxa"/>
          </w:tcPr>
          <w:p>
            <w:pPr>
              <w:pStyle w:val="0"/>
              <w:jc w:val="center"/>
            </w:pPr>
            <w:r>
              <w:rPr>
                <w:sz w:val="20"/>
              </w:rPr>
              <w:t xml:space="preserve">126</w:t>
            </w:r>
          </w:p>
        </w:tc>
        <w:tc>
          <w:tcPr>
            <w:tcW w:w="1644" w:type="dxa"/>
          </w:tcPr>
          <w:p>
            <w:pPr>
              <w:pStyle w:val="0"/>
              <w:jc w:val="center"/>
            </w:pPr>
            <w:r>
              <w:rPr>
                <w:sz w:val="20"/>
              </w:rPr>
              <w:t xml:space="preserve">114</w:t>
            </w:r>
          </w:p>
        </w:tc>
      </w:tr>
    </w:tbl>
    <w:p>
      <w:pPr>
        <w:pStyle w:val="0"/>
        <w:ind w:firstLine="540"/>
        <w:jc w:val="both"/>
      </w:pPr>
      <w:r>
        <w:rPr>
          <w:sz w:val="20"/>
        </w:rPr>
      </w:r>
    </w:p>
    <w:p>
      <w:pPr>
        <w:pStyle w:val="0"/>
        <w:ind w:firstLine="540"/>
        <w:jc w:val="both"/>
      </w:pPr>
      <w:r>
        <w:rPr>
          <w:sz w:val="20"/>
        </w:rPr>
        <w:t xml:space="preserve">Патологоанатомическая служба автономного округа оснащена гистологическим оборудованием, приобретено 114 единиц техники, в том числе аппараты, автоматизирующие большую часть процессов, что привело к стандартизации и повышению качества микропрепаратов.</w:t>
      </w:r>
    </w:p>
    <w:p>
      <w:pPr>
        <w:pStyle w:val="0"/>
        <w:spacing w:before="200" w:line-rule="auto"/>
        <w:ind w:firstLine="540"/>
        <w:jc w:val="both"/>
      </w:pPr>
      <w:r>
        <w:rPr>
          <w:sz w:val="20"/>
        </w:rPr>
        <w:t xml:space="preserve">На прижизненные патологоанатомические исследования операционного и биопсийного материала приходится 95% и только 5% - посмертная диагностика. Исследуется прижизненный материал более чем от 100 тысяч человек, что составляет более 600 тысяч объектов исследования в год. От данного объема 40% приходится на опухоли (доброкачественные, злокачественные) и предопухолевые процессы.</w:t>
      </w:r>
    </w:p>
    <w:p>
      <w:pPr>
        <w:pStyle w:val="0"/>
        <w:spacing w:before="200" w:line-rule="auto"/>
        <w:ind w:firstLine="540"/>
        <w:jc w:val="both"/>
      </w:pPr>
      <w:r>
        <w:rPr>
          <w:sz w:val="20"/>
        </w:rPr>
        <w:t xml:space="preserve">Учитывая, что основной поток консультаций выполняет БУ "Окружная клиническая больница", на ее базе к 2024 году планируется создать окружной консультативный центр по патоморфологической диагностике онкологических заболеваний, выполняемых с помощью телемедицинских технологий.</w:t>
      </w:r>
    </w:p>
    <w:p>
      <w:pPr>
        <w:pStyle w:val="0"/>
        <w:spacing w:before="200" w:line-rule="auto"/>
        <w:ind w:firstLine="540"/>
        <w:jc w:val="both"/>
      </w:pPr>
      <w:r>
        <w:rPr>
          <w:sz w:val="20"/>
        </w:rPr>
        <w:t xml:space="preserve">Сроки выполнения исследований в 90% случаев соответствуют утвержденным в </w:t>
      </w:r>
      <w:hyperlink w:history="0" r:id="rId111" w:tooltip="Приказ Минздрава России от 24.03.2016 N 179н (ред. от 25.03.2019) &quot;О Правилах проведения патолого-анатомических исследований&quot; (Зарегистрировано в Минюсте России 14.04.2016 N 41799) {КонсультантПлюс}">
        <w:r>
          <w:rPr>
            <w:sz w:val="20"/>
            <w:color w:val="0000ff"/>
          </w:rPr>
          <w:t xml:space="preserve">приказе</w:t>
        </w:r>
      </w:hyperlink>
      <w:r>
        <w:rPr>
          <w:sz w:val="20"/>
        </w:rPr>
        <w:t xml:space="preserve"> Минздрава России от 24 марта 2016 года N 179н "О правилах проведения патологоанатомических исследований": до 4 дней - обычный гистологический материал, до 10 дней - при использовании гистохимических методик, до 15 дней - иммуногистохимия.</w:t>
      </w:r>
    </w:p>
    <w:p>
      <w:pPr>
        <w:pStyle w:val="0"/>
        <w:spacing w:before="200" w:line-rule="auto"/>
        <w:ind w:firstLine="540"/>
        <w:jc w:val="both"/>
      </w:pPr>
      <w:r>
        <w:rPr>
          <w:sz w:val="20"/>
        </w:rPr>
        <w:t xml:space="preserve">Оснащение отделений современным гистологическим оборудованием и сканерами микропрепаратов всех патологоанатомических отделений округа создало возможность проведения телемедицинских консультаций как внутри автономного округа </w:t>
      </w:r>
      <w:hyperlink w:history="0" w:anchor="P11765" w:tooltip="Схема взаимодействия референс-центра">
        <w:r>
          <w:rPr>
            <w:sz w:val="20"/>
            <w:color w:val="0000ff"/>
          </w:rPr>
          <w:t xml:space="preserve">(рисунок 9)</w:t>
        </w:r>
      </w:hyperlink>
      <w:r>
        <w:rPr>
          <w:sz w:val="20"/>
        </w:rPr>
        <w:t xml:space="preserve">, так и с получением мнения специалистов референсных центров, утвержденных Министерством здравоохранения Российской Федерации. Ежегодно проводится 60 телеконсультаций по сканированным микропрепаратам внутри автономного округа. С введением в работу сканеров микропрепаратов планируется увеличение потока телемедицинских консультаций в федеральные референс-центры. Это позволит улучшить качество прижизненной диагностики, а также совершенствовать профессиональные знания врачей-патологоанатомов.</w:t>
      </w:r>
    </w:p>
    <w:p>
      <w:pPr>
        <w:pStyle w:val="0"/>
        <w:spacing w:before="200" w:line-rule="auto"/>
        <w:ind w:firstLine="540"/>
        <w:jc w:val="both"/>
      </w:pPr>
      <w:r>
        <w:rPr>
          <w:sz w:val="20"/>
        </w:rPr>
        <w:t xml:space="preserve">В 2022 году в патологоанатомическом отделении БУ "Окружная клиническая больница" внедрены в работу молекулярно-генетические исследования операционного и биопсийного онкологического материала, выполняемые методикой иммуногистохимического исследования и in situ гибридизацией (таблица 46).</w:t>
      </w:r>
    </w:p>
    <w:p>
      <w:pPr>
        <w:pStyle w:val="0"/>
        <w:ind w:firstLine="540"/>
        <w:jc w:val="both"/>
      </w:pPr>
      <w:r>
        <w:rPr>
          <w:sz w:val="20"/>
        </w:rPr>
      </w:r>
    </w:p>
    <w:p>
      <w:pPr>
        <w:pStyle w:val="0"/>
        <w:jc w:val="right"/>
      </w:pPr>
      <w:r>
        <w:rPr>
          <w:sz w:val="20"/>
        </w:rPr>
        <w:t xml:space="preserve">Таблица 46</w:t>
      </w:r>
    </w:p>
    <w:p>
      <w:pPr>
        <w:pStyle w:val="0"/>
        <w:jc w:val="right"/>
      </w:pPr>
      <w:r>
        <w:rPr>
          <w:sz w:val="20"/>
        </w:rPr>
      </w:r>
    </w:p>
    <w:p>
      <w:pPr>
        <w:pStyle w:val="0"/>
        <w:jc w:val="center"/>
      </w:pPr>
      <w:r>
        <w:rPr>
          <w:sz w:val="20"/>
        </w:rPr>
        <w:t xml:space="preserve">Выполнение исследований методикой иммуногистохимических</w:t>
      </w:r>
    </w:p>
    <w:p>
      <w:pPr>
        <w:pStyle w:val="0"/>
        <w:jc w:val="center"/>
      </w:pPr>
      <w:r>
        <w:rPr>
          <w:sz w:val="20"/>
        </w:rPr>
        <w:t xml:space="preserve">исследований и in situ гибридизацией</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76"/>
        <w:gridCol w:w="3912"/>
        <w:gridCol w:w="3989"/>
      </w:tblGrid>
      <w:tr>
        <w:tc>
          <w:tcPr>
            <w:tcW w:w="676" w:type="dxa"/>
          </w:tcPr>
          <w:p>
            <w:pPr>
              <w:pStyle w:val="0"/>
              <w:jc w:val="center"/>
            </w:pPr>
            <w:r>
              <w:rPr>
                <w:sz w:val="20"/>
              </w:rPr>
              <w:t xml:space="preserve">N</w:t>
            </w:r>
          </w:p>
        </w:tc>
        <w:tc>
          <w:tcPr>
            <w:tcW w:w="3912" w:type="dxa"/>
          </w:tcPr>
          <w:p>
            <w:pPr>
              <w:pStyle w:val="0"/>
              <w:jc w:val="center"/>
            </w:pPr>
            <w:r>
              <w:rPr>
                <w:sz w:val="20"/>
              </w:rPr>
              <w:t xml:space="preserve">Маркер</w:t>
            </w:r>
          </w:p>
        </w:tc>
        <w:tc>
          <w:tcPr>
            <w:tcW w:w="3989" w:type="dxa"/>
          </w:tcPr>
          <w:p>
            <w:pPr>
              <w:pStyle w:val="0"/>
              <w:jc w:val="center"/>
            </w:pPr>
            <w:r>
              <w:rPr>
                <w:sz w:val="20"/>
              </w:rPr>
              <w:t xml:space="preserve">Количество выполненных исследований</w:t>
            </w:r>
          </w:p>
        </w:tc>
      </w:tr>
      <w:tr>
        <w:tc>
          <w:tcPr>
            <w:tcW w:w="676" w:type="dxa"/>
          </w:tcPr>
          <w:p>
            <w:pPr>
              <w:pStyle w:val="0"/>
              <w:jc w:val="both"/>
            </w:pPr>
            <w:r>
              <w:rPr>
                <w:sz w:val="20"/>
              </w:rPr>
              <w:t xml:space="preserve">1</w:t>
            </w:r>
          </w:p>
        </w:tc>
        <w:tc>
          <w:tcPr>
            <w:tcW w:w="3912" w:type="dxa"/>
          </w:tcPr>
          <w:p>
            <w:pPr>
              <w:pStyle w:val="0"/>
              <w:jc w:val="both"/>
            </w:pPr>
            <w:r>
              <w:rPr>
                <w:sz w:val="20"/>
              </w:rPr>
              <w:t xml:space="preserve">c-kit</w:t>
            </w:r>
          </w:p>
        </w:tc>
        <w:tc>
          <w:tcPr>
            <w:tcW w:w="3989" w:type="dxa"/>
          </w:tcPr>
          <w:p>
            <w:pPr>
              <w:pStyle w:val="0"/>
              <w:jc w:val="both"/>
            </w:pPr>
            <w:r>
              <w:rPr>
                <w:sz w:val="20"/>
              </w:rPr>
              <w:t xml:space="preserve">9</w:t>
            </w:r>
          </w:p>
        </w:tc>
      </w:tr>
      <w:tr>
        <w:tc>
          <w:tcPr>
            <w:tcW w:w="676" w:type="dxa"/>
          </w:tcPr>
          <w:p>
            <w:pPr>
              <w:pStyle w:val="0"/>
              <w:jc w:val="both"/>
            </w:pPr>
            <w:r>
              <w:rPr>
                <w:sz w:val="20"/>
              </w:rPr>
              <w:t xml:space="preserve">2</w:t>
            </w:r>
          </w:p>
        </w:tc>
        <w:tc>
          <w:tcPr>
            <w:tcW w:w="3912" w:type="dxa"/>
          </w:tcPr>
          <w:p>
            <w:pPr>
              <w:pStyle w:val="0"/>
              <w:jc w:val="both"/>
            </w:pPr>
            <w:r>
              <w:rPr>
                <w:sz w:val="20"/>
              </w:rPr>
              <w:t xml:space="preserve">ALK</w:t>
            </w:r>
          </w:p>
        </w:tc>
        <w:tc>
          <w:tcPr>
            <w:tcW w:w="3989" w:type="dxa"/>
          </w:tcPr>
          <w:p>
            <w:pPr>
              <w:pStyle w:val="0"/>
              <w:jc w:val="both"/>
            </w:pPr>
            <w:r>
              <w:rPr>
                <w:sz w:val="20"/>
              </w:rPr>
              <w:t xml:space="preserve">64</w:t>
            </w:r>
          </w:p>
        </w:tc>
      </w:tr>
      <w:tr>
        <w:tc>
          <w:tcPr>
            <w:tcW w:w="676" w:type="dxa"/>
          </w:tcPr>
          <w:p>
            <w:pPr>
              <w:pStyle w:val="0"/>
              <w:jc w:val="both"/>
            </w:pPr>
            <w:r>
              <w:rPr>
                <w:sz w:val="20"/>
              </w:rPr>
              <w:t xml:space="preserve">3</w:t>
            </w:r>
          </w:p>
        </w:tc>
        <w:tc>
          <w:tcPr>
            <w:tcW w:w="3912" w:type="dxa"/>
          </w:tcPr>
          <w:p>
            <w:pPr>
              <w:pStyle w:val="0"/>
              <w:jc w:val="both"/>
            </w:pPr>
            <w:r>
              <w:rPr>
                <w:sz w:val="20"/>
              </w:rPr>
              <w:t xml:space="preserve">PD-L1</w:t>
            </w:r>
          </w:p>
        </w:tc>
        <w:tc>
          <w:tcPr>
            <w:tcW w:w="3989" w:type="dxa"/>
          </w:tcPr>
          <w:p>
            <w:pPr>
              <w:pStyle w:val="0"/>
              <w:jc w:val="both"/>
            </w:pPr>
            <w:r>
              <w:rPr>
                <w:sz w:val="20"/>
              </w:rPr>
              <w:t xml:space="preserve">40</w:t>
            </w:r>
          </w:p>
        </w:tc>
      </w:tr>
      <w:tr>
        <w:tc>
          <w:tcPr>
            <w:tcW w:w="676" w:type="dxa"/>
          </w:tcPr>
          <w:p>
            <w:pPr>
              <w:pStyle w:val="0"/>
              <w:jc w:val="both"/>
            </w:pPr>
            <w:r>
              <w:rPr>
                <w:sz w:val="20"/>
              </w:rPr>
              <w:t xml:space="preserve">4</w:t>
            </w:r>
          </w:p>
        </w:tc>
        <w:tc>
          <w:tcPr>
            <w:tcW w:w="3912" w:type="dxa"/>
          </w:tcPr>
          <w:p>
            <w:pPr>
              <w:pStyle w:val="0"/>
              <w:jc w:val="both"/>
            </w:pPr>
            <w:r>
              <w:rPr>
                <w:sz w:val="20"/>
              </w:rPr>
              <w:t xml:space="preserve">SISH HER2</w:t>
            </w:r>
          </w:p>
        </w:tc>
        <w:tc>
          <w:tcPr>
            <w:tcW w:w="3989" w:type="dxa"/>
          </w:tcPr>
          <w:p>
            <w:pPr>
              <w:pStyle w:val="0"/>
              <w:jc w:val="both"/>
            </w:pPr>
            <w:r>
              <w:rPr>
                <w:sz w:val="20"/>
              </w:rPr>
              <w:t xml:space="preserve">30</w:t>
            </w:r>
          </w:p>
        </w:tc>
      </w:tr>
      <w:tr>
        <w:tc>
          <w:tcPr>
            <w:tcW w:w="676" w:type="dxa"/>
          </w:tcPr>
          <w:p>
            <w:pPr>
              <w:pStyle w:val="0"/>
              <w:jc w:val="both"/>
            </w:pPr>
            <w:r>
              <w:rPr>
                <w:sz w:val="20"/>
              </w:rPr>
            </w:r>
          </w:p>
        </w:tc>
        <w:tc>
          <w:tcPr>
            <w:tcW w:w="3912" w:type="dxa"/>
          </w:tcPr>
          <w:p>
            <w:pPr>
              <w:pStyle w:val="0"/>
              <w:jc w:val="both"/>
            </w:pPr>
            <w:r>
              <w:rPr>
                <w:sz w:val="20"/>
              </w:rPr>
              <w:t xml:space="preserve">ИТОГО</w:t>
            </w:r>
          </w:p>
        </w:tc>
        <w:tc>
          <w:tcPr>
            <w:tcW w:w="3989" w:type="dxa"/>
          </w:tcPr>
          <w:p>
            <w:pPr>
              <w:pStyle w:val="0"/>
              <w:jc w:val="both"/>
            </w:pPr>
            <w:r>
              <w:rPr>
                <w:sz w:val="20"/>
              </w:rPr>
              <w:t xml:space="preserve">143</w:t>
            </w:r>
          </w:p>
        </w:tc>
      </w:tr>
    </w:tbl>
    <w:p>
      <w:pPr>
        <w:pStyle w:val="0"/>
        <w:ind w:firstLine="540"/>
        <w:jc w:val="both"/>
      </w:pPr>
      <w:r>
        <w:rPr>
          <w:sz w:val="20"/>
        </w:rPr>
      </w:r>
    </w:p>
    <w:p>
      <w:pPr>
        <w:pStyle w:val="0"/>
        <w:jc w:val="right"/>
      </w:pPr>
      <w:r>
        <w:rPr>
          <w:sz w:val="20"/>
        </w:rPr>
        <w:t xml:space="preserve">Рисунок 9</w:t>
      </w:r>
    </w:p>
    <w:p>
      <w:pPr>
        <w:pStyle w:val="0"/>
        <w:jc w:val="right"/>
      </w:pPr>
      <w:r>
        <w:rPr>
          <w:sz w:val="20"/>
        </w:rPr>
      </w:r>
    </w:p>
    <w:bookmarkStart w:id="11765" w:name="P11765"/>
    <w:bookmarkEnd w:id="11765"/>
    <w:p>
      <w:pPr>
        <w:pStyle w:val="0"/>
        <w:jc w:val="center"/>
      </w:pPr>
      <w:r>
        <w:rPr>
          <w:sz w:val="20"/>
        </w:rPr>
        <w:t xml:space="preserve">Схема взаимодействия референс-центра</w:t>
      </w:r>
    </w:p>
    <w:p>
      <w:pPr>
        <w:pStyle w:val="0"/>
        <w:ind w:firstLine="540"/>
        <w:jc w:val="both"/>
      </w:pPr>
      <w:r>
        <w:rPr>
          <w:sz w:val="20"/>
        </w:rPr>
      </w:r>
    </w:p>
    <w:p>
      <w:pPr>
        <w:pStyle w:val="0"/>
        <w:jc w:val="center"/>
      </w:pPr>
      <w:r>
        <w:rPr>
          <w:position w:val="-230"/>
        </w:rPr>
        <w:drawing>
          <wp:inline distT="0" distB="0" distL="0" distR="0">
            <wp:extent cx="6186805" cy="3053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6186805" cy="3053715"/>
                    </a:xfrm>
                    <a:prstGeom prst="rect">
                      <a:avLst/>
                    </a:prstGeom>
                    <a:noFill/>
                    <a:ln>
                      <a:noFill/>
                    </a:ln>
                  </pic:spPr>
                </pic:pic>
              </a:graphicData>
            </a:graphic>
          </wp:inline>
        </w:drawing>
      </w:r>
    </w:p>
    <w:p>
      <w:pPr>
        <w:pStyle w:val="0"/>
        <w:jc w:val="right"/>
      </w:pPr>
      <w:r>
        <w:rPr>
          <w:sz w:val="20"/>
        </w:rPr>
      </w:r>
    </w:p>
    <w:p>
      <w:pPr>
        <w:pStyle w:val="0"/>
        <w:jc w:val="right"/>
      </w:pPr>
      <w:r>
        <w:rPr>
          <w:sz w:val="20"/>
        </w:rPr>
        <w:t xml:space="preserve">Рисунок 10</w:t>
      </w:r>
    </w:p>
    <w:p>
      <w:pPr>
        <w:pStyle w:val="0"/>
        <w:jc w:val="right"/>
      </w:pPr>
      <w:r>
        <w:rPr>
          <w:sz w:val="20"/>
        </w:rPr>
      </w:r>
    </w:p>
    <w:bookmarkStart w:id="11771" w:name="P11771"/>
    <w:bookmarkEnd w:id="11771"/>
    <w:p>
      <w:pPr>
        <w:pStyle w:val="0"/>
        <w:jc w:val="center"/>
      </w:pPr>
      <w:r>
        <w:rPr>
          <w:sz w:val="20"/>
        </w:rPr>
        <w:t xml:space="preserve">Алгоритм действий при подозрении или выявлении</w:t>
      </w:r>
    </w:p>
    <w:p>
      <w:pPr>
        <w:pStyle w:val="0"/>
        <w:jc w:val="center"/>
      </w:pPr>
      <w:r>
        <w:rPr>
          <w:sz w:val="20"/>
        </w:rPr>
        <w:t xml:space="preserve">злокачественного новообразования в медицинских организациях</w:t>
      </w:r>
    </w:p>
    <w:p>
      <w:pPr>
        <w:pStyle w:val="0"/>
        <w:jc w:val="center"/>
      </w:pPr>
      <w:r>
        <w:rPr>
          <w:sz w:val="20"/>
        </w:rPr>
        <w:t xml:space="preserve">автономного округа</w:t>
      </w:r>
    </w:p>
    <w:p>
      <w:pPr>
        <w:pStyle w:val="0"/>
        <w:jc w:val="center"/>
      </w:pPr>
      <w:r>
        <w:rPr>
          <w:sz w:val="20"/>
        </w:rPr>
      </w:r>
    </w:p>
    <w:p>
      <w:pPr>
        <w:pStyle w:val="0"/>
        <w:jc w:val="center"/>
      </w:pPr>
      <w:r>
        <w:rPr>
          <w:position w:val="-386"/>
        </w:rPr>
        <w:drawing>
          <wp:inline distT="0" distB="0" distL="0" distR="0">
            <wp:extent cx="4316095" cy="50317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4316095" cy="503174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Примечание к </w:t>
      </w:r>
      <w:hyperlink w:history="0" w:anchor="P11771" w:tooltip="Алгоритм действий при подозрении или выявлении">
        <w:r>
          <w:rPr>
            <w:sz w:val="20"/>
            <w:color w:val="0000ff"/>
          </w:rPr>
          <w:t xml:space="preserve">рисунку 10</w:t>
        </w:r>
      </w:hyperlink>
      <w:r>
        <w:rPr>
          <w:sz w:val="20"/>
        </w:rPr>
        <w:t xml:space="preserve">:</w:t>
      </w:r>
    </w:p>
    <w:p>
      <w:pPr>
        <w:pStyle w:val="0"/>
        <w:spacing w:before="200" w:line-rule="auto"/>
        <w:ind w:firstLine="540"/>
        <w:jc w:val="both"/>
      </w:pPr>
      <w:r>
        <w:rPr>
          <w:sz w:val="20"/>
        </w:rPr>
        <w:t xml:space="preserve">В сложных клинических случаях для уточнения диагноза в целях проведения оценки, интерпретации и описания результатов врач-онколог медицинской организации III уровня, оказывающей специализированную, в том числе высокотехнологичную медицинскую помощь, организует направление в национальные медицинские исследовательские центры: ФГБУ "НМИЦ онкологии им. Н.Н. Блохина" Минздрава России, ФГБУ "НМИЦ онкологии им. Н.Н. Петрова" Минздрава России, МНИОИ им. П.А. Герцена - филиал ФГБУ "НМИЦ радиологии" Минздрава России.</w:t>
      </w:r>
    </w:p>
    <w:p>
      <w:pPr>
        <w:pStyle w:val="0"/>
        <w:ind w:firstLine="540"/>
        <w:jc w:val="both"/>
      </w:pPr>
      <w:r>
        <w:rPr>
          <w:sz w:val="20"/>
        </w:rPr>
      </w:r>
    </w:p>
    <w:p>
      <w:pPr>
        <w:pStyle w:val="2"/>
        <w:outlineLvl w:val="2"/>
        <w:jc w:val="center"/>
      </w:pPr>
      <w:r>
        <w:rPr>
          <w:sz w:val="20"/>
        </w:rPr>
        <w:t xml:space="preserve">1.6. Выводы</w:t>
      </w:r>
    </w:p>
    <w:p>
      <w:pPr>
        <w:pStyle w:val="0"/>
        <w:jc w:val="center"/>
      </w:pPr>
      <w:r>
        <w:rPr>
          <w:sz w:val="20"/>
        </w:rPr>
      </w:r>
    </w:p>
    <w:p>
      <w:pPr>
        <w:pStyle w:val="0"/>
        <w:ind w:firstLine="540"/>
        <w:jc w:val="both"/>
      </w:pPr>
      <w:r>
        <w:rPr>
          <w:sz w:val="20"/>
        </w:rPr>
        <w:t xml:space="preserve">1.6.1. Показатель заболеваемости онкологических заболеваний в автономном округе за десятилетний период с 2013 года по 2022 год увеличился на 28,9% (с 3825 случаев до 4929 в абсолютных числах соответственно). Заболеваемость злокачественными новообразованиями детского населения (0 - 17 лет) в 2013 году составила 11,4 на 100 тыс. населения (зарегистрировано 42 вновь выявленных случаев заболеваний), в 2022 году - 13,1 на 100 тыс. населения (зарегистрировано 56 вновь выявленных заболевания). Рост за 10 лет составил 14,9%. "Грубый" показатель заболеваемости злокачественными новообразованиями в 2022 году составил 288,7 на 100 тыс. населения, что на 20% выше показателя 2013 года (240,5 на 100 тыс. населения).</w:t>
      </w:r>
    </w:p>
    <w:p>
      <w:pPr>
        <w:pStyle w:val="0"/>
        <w:spacing w:before="200" w:line-rule="auto"/>
        <w:ind w:firstLine="540"/>
        <w:jc w:val="both"/>
      </w:pPr>
      <w:r>
        <w:rPr>
          <w:sz w:val="20"/>
        </w:rPr>
        <w:t xml:space="preserve">1.6.2. Смертность от всех новообразований, включая злокачественные, составила 126,7 на 100 тыс. населения. Смертность от злокачественных новообразований на 100 тыс. населения за 2022 года составила 125,1 на 100 тыс. населения, что на 3,3% ниже, чем в 2021 году - 129,4 на 100 тыс. населения.</w:t>
      </w:r>
    </w:p>
    <w:p>
      <w:pPr>
        <w:pStyle w:val="0"/>
        <w:spacing w:before="200" w:line-rule="auto"/>
        <w:ind w:firstLine="540"/>
        <w:jc w:val="both"/>
      </w:pPr>
      <w:r>
        <w:rPr>
          <w:sz w:val="20"/>
        </w:rPr>
        <w:t xml:space="preserve">1.6.3. Доля злокачественных новообразований, выявленных на ранних стадиях (I - II стадии), от всех случаев злокачественных новообразований, выявленных впервые, составила 60,9%, что на 8,7% больше в сравнении с 2013 годом. Удельный вес больных со злокачественными новообразованиями, выявленных на ранних стадиях (I - II стадии) активно, из числа больных с установленным диагнозом злокачественного новообразования составил 69,7% (на 35,0% выше показателя 2013 года). В Российской Федерации данный показатель составлял в 2021 году - 77,8%.</w:t>
      </w:r>
    </w:p>
    <w:p>
      <w:pPr>
        <w:pStyle w:val="0"/>
        <w:spacing w:before="200" w:line-rule="auto"/>
        <w:ind w:firstLine="540"/>
        <w:jc w:val="both"/>
      </w:pPr>
      <w:r>
        <w:rPr>
          <w:sz w:val="20"/>
        </w:rPr>
        <w:t xml:space="preserve">Количество пациентов, состоящих на учете с раком in situ, ежегодно увеличивается, за 2022 год впервые выявлено 164 случая (в 2021 году - 100 случаев). По состоянию на 31 декабря 2022 года на диспансерном учете состояли 714 пациентов с раком in situ, из них наибольший удельный вес - пациенты с карциномой in situ следующих локализаций: шейки матки - 74,9%, других и неуточненных органов пищеварения - 8,8%, молочной железы - 7,3%.</w:t>
      </w:r>
    </w:p>
    <w:p>
      <w:pPr>
        <w:pStyle w:val="0"/>
        <w:spacing w:before="200" w:line-rule="auto"/>
        <w:ind w:firstLine="540"/>
        <w:jc w:val="both"/>
      </w:pPr>
      <w:r>
        <w:rPr>
          <w:sz w:val="20"/>
        </w:rPr>
        <w:t xml:space="preserve">1.6.4. В 2022 году показатель одногодичной летальности в автономном округе составил 17,5% (РФ в 2021 году - 20,3%), темп снижения показателя в сравнении с 2021 годом составил - 2,6%, в сравнении с 2013 годом - 3,4%. Наибольшая одногодичная летальность отмечается в городском округе Покачи - 32,3%, в муниципальных районах Кондинском - 27,3%, в Нефтеюганском - 27,6%, Ханты-Мансийском - 28,0%.</w:t>
      </w:r>
    </w:p>
    <w:p>
      <w:pPr>
        <w:pStyle w:val="0"/>
        <w:spacing w:before="200" w:line-rule="auto"/>
        <w:ind w:firstLine="540"/>
        <w:jc w:val="both"/>
      </w:pPr>
      <w:r>
        <w:rPr>
          <w:sz w:val="20"/>
        </w:rPr>
        <w:t xml:space="preserve">1.6.5. В 2022 году в автономном округе 19 506 пациентов (55,7% всех больных со злокачественными новообразованиями), находившихся под наблюдением, состояли на учете 5 лет и более. Среди них больший удельный вес составляют пациенты с ЗНО молочной железы (20,8%), шейки матки (7,8%), почки (7,2%), щитовидной железы (6,7%), ободочной кишки (6,3%), тела матки (6,1%), кожи (5,7%), предстательной железы (5,3%), прямой кишки, ректосигмоидного соединения, ануса (4,8%), лимфомы (4,1%), трахеи, бронхов, легкого (3,4%).</w:t>
      </w:r>
    </w:p>
    <w:p>
      <w:pPr>
        <w:pStyle w:val="0"/>
        <w:spacing w:before="200" w:line-rule="auto"/>
        <w:ind w:firstLine="540"/>
        <w:jc w:val="both"/>
      </w:pPr>
      <w:r>
        <w:rPr>
          <w:sz w:val="20"/>
        </w:rPr>
        <w:t xml:space="preserve">1.6.6. Обеспеченность врачами-онкологами в автономном округе составляет 90%, имеется потребность в создании кадрового резерва для амбулаторно-поликлинического звена, укомплектования центров амбулаторной онкологической помощи (далее также - ЦАОП). Сохраняется проблема отсутствия врачей-онкологов в Сургутском муниципальном районе, городском округе Когалым. Недоукомплектованность штатных должностей врачей-онкологов физическими лицами отмечается в БУ "Сургутская окружная клиническая больница", БУ "Сургутская городская клиническая поликлиника N 4", БУ "Нефтеюганская окружная клиническая больница имени В.И. Яцкив", БУ "Нижневартовский онкологический диспансер", БУ "Сургутская городская клиническая поликлиника N 1", БУ "Сургутская городская клиническая поликлиника N 2", БУ "Сургутская городская клиническая поликлиника N 3".</w:t>
      </w:r>
    </w:p>
    <w:p>
      <w:pPr>
        <w:pStyle w:val="0"/>
        <w:spacing w:before="200" w:line-rule="auto"/>
        <w:ind w:firstLine="540"/>
        <w:jc w:val="both"/>
      </w:pPr>
      <w:r>
        <w:rPr>
          <w:sz w:val="20"/>
        </w:rPr>
        <w:t xml:space="preserve">1.6.7. Коечный фонд и материально-техническое оснащение региональной системы здравоохранения позволяет осуществлять лечение пациентов онкологического профиля с использованием современных методик диагностики и лечения. В период пандемии новой коронавирусной инфекции онкологическая помощь пациентам оказывалась в плановом режиме, разработан временный порядок направления пациентов с соблюдением противоэпидемиологических мероприятий, с разделением потоков пациентов, с проведением телемедицинских консультаций.</w:t>
      </w:r>
    </w:p>
    <w:p>
      <w:pPr>
        <w:pStyle w:val="0"/>
        <w:spacing w:before="200" w:line-rule="auto"/>
        <w:ind w:firstLine="540"/>
        <w:jc w:val="both"/>
      </w:pPr>
      <w:r>
        <w:rPr>
          <w:sz w:val="20"/>
        </w:rPr>
        <w:t xml:space="preserve">1.6.8. Создана трехуровневая система оказания медицинской помощи пациентам с онкологическими заболеваниями, организована работа 5 центров амбулаторной онкологической помощи, внедрена маршрутизация пациентов с применением информационных технологий, что позволяет обеспечить оказание специализированной помощи как городским, так и сельским пациентам онкологического профиля.</w:t>
      </w:r>
    </w:p>
    <w:p>
      <w:pPr>
        <w:pStyle w:val="0"/>
        <w:spacing w:before="200" w:line-rule="auto"/>
        <w:ind w:firstLine="540"/>
        <w:jc w:val="both"/>
      </w:pPr>
      <w:r>
        <w:rPr>
          <w:sz w:val="20"/>
        </w:rPr>
        <w:t xml:space="preserve">1.6.9. Создано единое информационное пространство онкологической службы региона, к Государственной региональной медицинской системе "Удаленное консультирование" подключено 76 удаленных медицинских пунктов, в ней задействовано более 2 500 врачей. Для обеспечения процессов дистанционного взаимодействия (проведения телемедицинских консультаций) с национальными медицинскими исследовательскими центрами Министерства здравоохранения Российской Федерации к подсистеме "Телемедицинские консультации" Единой государственной информационной системы в сфере здравоохранения (далее также - ЕГИСЗ) подключены 27 медицинских организаций.</w:t>
      </w:r>
    </w:p>
    <w:p>
      <w:pPr>
        <w:pStyle w:val="0"/>
        <w:spacing w:before="200" w:line-rule="auto"/>
        <w:ind w:firstLine="540"/>
        <w:jc w:val="both"/>
      </w:pPr>
      <w:r>
        <w:rPr>
          <w:sz w:val="20"/>
        </w:rPr>
        <w:t xml:space="preserve">Организован Центральный архив медицинских изображений, к которому подключено диагностическое оборудование, с которого осуществляется передача медицинских изображений.</w:t>
      </w:r>
    </w:p>
    <w:p>
      <w:pPr>
        <w:pStyle w:val="0"/>
        <w:spacing w:before="200" w:line-rule="auto"/>
        <w:ind w:firstLine="540"/>
        <w:jc w:val="both"/>
      </w:pPr>
      <w:r>
        <w:rPr>
          <w:sz w:val="20"/>
        </w:rPr>
        <w:t xml:space="preserve">В автономном округе обеспечена полная работоспособность Вертикально-интегрированной медицинской информационной системы "онкология" (далее также - ВИМИС). Передано 1,02 млн документов 5,9 тыс. пациентов с построенными маршрутами в ВИМИС.</w:t>
      </w:r>
    </w:p>
    <w:p>
      <w:pPr>
        <w:pStyle w:val="0"/>
        <w:ind w:firstLine="540"/>
        <w:jc w:val="both"/>
      </w:pPr>
      <w:r>
        <w:rPr>
          <w:sz w:val="20"/>
        </w:rPr>
      </w:r>
    </w:p>
    <w:p>
      <w:pPr>
        <w:pStyle w:val="2"/>
        <w:outlineLvl w:val="1"/>
        <w:jc w:val="center"/>
      </w:pPr>
      <w:r>
        <w:rPr>
          <w:sz w:val="20"/>
        </w:rPr>
        <w:t xml:space="preserve">Раздел II. ЦЕЛЬ, ПОКАЗАТЕЛИ И СРОКИ РЕАЛИЗАЦИИ РЕГИОНАЛЬНОЙ</w:t>
      </w:r>
    </w:p>
    <w:p>
      <w:pPr>
        <w:pStyle w:val="2"/>
        <w:jc w:val="center"/>
      </w:pPr>
      <w:r>
        <w:rPr>
          <w:sz w:val="20"/>
        </w:rPr>
        <w:t xml:space="preserve">ПРОГРАММЫ ПО БОРЬБЕ С ОНКОЛОГИЧЕСКИМИ ЗАБОЛЕВАНИЯМИ</w:t>
      </w:r>
    </w:p>
    <w:p>
      <w:pPr>
        <w:pStyle w:val="0"/>
        <w:ind w:firstLine="540"/>
        <w:jc w:val="both"/>
      </w:pPr>
      <w:r>
        <w:rPr>
          <w:sz w:val="20"/>
        </w:rPr>
      </w:r>
    </w:p>
    <w:p>
      <w:pPr>
        <w:pStyle w:val="0"/>
        <w:ind w:firstLine="540"/>
        <w:jc w:val="both"/>
      </w:pPr>
      <w:r>
        <w:rPr>
          <w:sz w:val="20"/>
        </w:rPr>
        <w:t xml:space="preserve">Основной целью региональной программы "Борьба с онкологическими заболеваниями" является снижение смертности от новообразований, в том числе от злокачественных, до 99,5 случая на 100 тыс. населения к 2030 году.</w:t>
      </w:r>
    </w:p>
    <w:p>
      <w:pPr>
        <w:pStyle w:val="0"/>
        <w:spacing w:before="200" w:line-rule="auto"/>
        <w:ind w:firstLine="540"/>
        <w:jc w:val="both"/>
      </w:pPr>
      <w:r>
        <w:rPr>
          <w:sz w:val="20"/>
        </w:rPr>
        <w:t xml:space="preserve">Это планируется достичь путем увеличения доли злокачественных новообразований, выявленных на ранних стадиях (I - II стадии) (с 55,6% в 2018 году до 65,0% в 2030 году), повышения удельного веса больных со злокачественными новообразованиями, состоящих на учете 5 лет и более (с 52% в 2018 году до 63,0% в 2030 году), и снижения одногодичной летальности больных со злокачественными новообразованиями (с 22,7% в 2018 году до 16,0% в 2030 году). Увеличить долю лиц с онкологическими заболеваниями, прошедших обследование и/или лечение в текущем году из числа состоящих под диспансерным наблюдением (с 66% в 2020 году до 90,0% в 2030 году).</w:t>
      </w:r>
    </w:p>
    <w:p>
      <w:pPr>
        <w:pStyle w:val="0"/>
        <w:jc w:val="right"/>
      </w:pPr>
      <w:r>
        <w:rPr>
          <w:sz w:val="20"/>
        </w:rPr>
      </w:r>
    </w:p>
    <w:p>
      <w:pPr>
        <w:pStyle w:val="0"/>
        <w:jc w:val="right"/>
      </w:pPr>
      <w:r>
        <w:rPr>
          <w:sz w:val="20"/>
        </w:rPr>
        <w:t xml:space="preserve">Таблица 47</w:t>
      </w:r>
    </w:p>
    <w:p>
      <w:pPr>
        <w:pStyle w:val="0"/>
        <w:jc w:val="right"/>
      </w:pPr>
      <w:r>
        <w:rPr>
          <w:sz w:val="20"/>
        </w:rPr>
      </w:r>
    </w:p>
    <w:p>
      <w:pPr>
        <w:pStyle w:val="0"/>
        <w:jc w:val="center"/>
      </w:pPr>
      <w:r>
        <w:rPr>
          <w:sz w:val="20"/>
        </w:rPr>
        <w:t xml:space="preserve">Основные целевые показатели региональной программы "Борьба</w:t>
      </w:r>
    </w:p>
    <w:p>
      <w:pPr>
        <w:pStyle w:val="0"/>
        <w:jc w:val="center"/>
      </w:pPr>
      <w:r>
        <w:rPr>
          <w:sz w:val="20"/>
        </w:rPr>
        <w:t xml:space="preserve">с онкологическими заболеваниями"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3061"/>
        <w:gridCol w:w="1054"/>
        <w:gridCol w:w="737"/>
        <w:gridCol w:w="737"/>
        <w:gridCol w:w="737"/>
        <w:gridCol w:w="737"/>
        <w:gridCol w:w="737"/>
        <w:gridCol w:w="737"/>
      </w:tblGrid>
      <w:tr>
        <w:tc>
          <w:tcPr>
            <w:tcW w:w="454" w:type="dxa"/>
            <w:vMerge w:val="restart"/>
          </w:tcPr>
          <w:p>
            <w:pPr>
              <w:pStyle w:val="0"/>
              <w:jc w:val="center"/>
            </w:pPr>
            <w:r>
              <w:rPr>
                <w:sz w:val="20"/>
              </w:rPr>
              <w:t xml:space="preserve">N п/п</w:t>
            </w:r>
          </w:p>
        </w:tc>
        <w:tc>
          <w:tcPr>
            <w:tcW w:w="3061" w:type="dxa"/>
            <w:vMerge w:val="restart"/>
          </w:tcPr>
          <w:p>
            <w:pPr>
              <w:pStyle w:val="0"/>
              <w:jc w:val="center"/>
            </w:pPr>
            <w:r>
              <w:rPr>
                <w:sz w:val="20"/>
              </w:rPr>
              <w:t xml:space="preserve">Наименование показателя</w:t>
            </w:r>
          </w:p>
        </w:tc>
        <w:tc>
          <w:tcPr>
            <w:tcW w:w="1054" w:type="dxa"/>
            <w:vMerge w:val="restart"/>
          </w:tcPr>
          <w:p>
            <w:pPr>
              <w:pStyle w:val="0"/>
              <w:jc w:val="center"/>
            </w:pPr>
            <w:r>
              <w:rPr>
                <w:sz w:val="20"/>
              </w:rPr>
              <w:t xml:space="preserve">Базовое значение (на 31 декабря 2018 года)</w:t>
            </w:r>
          </w:p>
        </w:tc>
        <w:tc>
          <w:tcPr>
            <w:gridSpan w:val="6"/>
            <w:tcW w:w="4422" w:type="dxa"/>
          </w:tcPr>
          <w:p>
            <w:pPr>
              <w:pStyle w:val="0"/>
              <w:jc w:val="center"/>
            </w:pPr>
            <w:r>
              <w:rPr>
                <w:sz w:val="20"/>
              </w:rPr>
              <w:t xml:space="preserve">Период, год</w:t>
            </w:r>
          </w:p>
        </w:tc>
      </w:tr>
      <w:tr>
        <w:tc>
          <w:tcPr>
            <w:vMerge w:val="continue"/>
          </w:tcPr>
          <w:p/>
        </w:tc>
        <w:tc>
          <w:tcPr>
            <w:vMerge w:val="continue"/>
          </w:tcPr>
          <w:p/>
        </w:tc>
        <w:tc>
          <w:tcPr>
            <w:vMerge w:val="continue"/>
          </w:tcPr>
          <w:p/>
        </w:tc>
        <w:tc>
          <w:tcPr>
            <w:tcW w:w="737" w:type="dxa"/>
          </w:tcPr>
          <w:p>
            <w:pPr>
              <w:pStyle w:val="0"/>
              <w:jc w:val="center"/>
            </w:pPr>
            <w:r>
              <w:rPr>
                <w:sz w:val="20"/>
              </w:rPr>
              <w:t xml:space="preserve">2019</w:t>
            </w:r>
          </w:p>
        </w:tc>
        <w:tc>
          <w:tcPr>
            <w:tcW w:w="737" w:type="dxa"/>
          </w:tcPr>
          <w:p>
            <w:pPr>
              <w:pStyle w:val="0"/>
              <w:jc w:val="center"/>
            </w:pPr>
            <w:r>
              <w:rPr>
                <w:sz w:val="20"/>
              </w:rPr>
              <w:t xml:space="preserve">2020</w:t>
            </w:r>
          </w:p>
        </w:tc>
        <w:tc>
          <w:tcPr>
            <w:tcW w:w="737" w:type="dxa"/>
          </w:tcPr>
          <w:p>
            <w:pPr>
              <w:pStyle w:val="0"/>
              <w:jc w:val="center"/>
            </w:pPr>
            <w:r>
              <w:rPr>
                <w:sz w:val="20"/>
              </w:rPr>
              <w:t xml:space="preserve">2021</w:t>
            </w:r>
          </w:p>
        </w:tc>
        <w:tc>
          <w:tcPr>
            <w:tcW w:w="737" w:type="dxa"/>
          </w:tcPr>
          <w:p>
            <w:pPr>
              <w:pStyle w:val="0"/>
              <w:jc w:val="center"/>
            </w:pPr>
            <w:r>
              <w:rPr>
                <w:sz w:val="20"/>
              </w:rPr>
              <w:t xml:space="preserve">2022</w:t>
            </w:r>
          </w:p>
        </w:tc>
        <w:tc>
          <w:tcPr>
            <w:tcW w:w="737" w:type="dxa"/>
          </w:tcPr>
          <w:p>
            <w:pPr>
              <w:pStyle w:val="0"/>
              <w:jc w:val="center"/>
            </w:pPr>
            <w:r>
              <w:rPr>
                <w:sz w:val="20"/>
              </w:rPr>
              <w:t xml:space="preserve">2023</w:t>
            </w:r>
          </w:p>
        </w:tc>
        <w:tc>
          <w:tcPr>
            <w:tcW w:w="737" w:type="dxa"/>
          </w:tcPr>
          <w:p>
            <w:pPr>
              <w:pStyle w:val="0"/>
              <w:jc w:val="center"/>
            </w:pPr>
            <w:r>
              <w:rPr>
                <w:sz w:val="20"/>
              </w:rPr>
              <w:t xml:space="preserve">2024</w:t>
            </w:r>
          </w:p>
        </w:tc>
      </w:tr>
      <w:tr>
        <w:tc>
          <w:tcPr>
            <w:tcW w:w="454" w:type="dxa"/>
          </w:tcPr>
          <w:p>
            <w:pPr>
              <w:pStyle w:val="0"/>
            </w:pPr>
            <w:r>
              <w:rPr>
                <w:sz w:val="20"/>
              </w:rPr>
              <w:t xml:space="preserve">1.</w:t>
            </w:r>
          </w:p>
        </w:tc>
        <w:tc>
          <w:tcPr>
            <w:tcW w:w="3061" w:type="dxa"/>
          </w:tcPr>
          <w:p>
            <w:pPr>
              <w:pStyle w:val="0"/>
            </w:pPr>
            <w:r>
              <w:rPr>
                <w:sz w:val="20"/>
              </w:rPr>
              <w:t xml:space="preserve">Смертность от новообразований, в том числе от злокачественных, на 100 тыс. населения</w:t>
            </w:r>
          </w:p>
        </w:tc>
        <w:tc>
          <w:tcPr>
            <w:tcW w:w="1054" w:type="dxa"/>
          </w:tcPr>
          <w:p>
            <w:pPr>
              <w:pStyle w:val="0"/>
            </w:pPr>
            <w:r>
              <w:rPr>
                <w:sz w:val="20"/>
              </w:rPr>
              <w:t xml:space="preserve">119,7</w:t>
            </w:r>
          </w:p>
        </w:tc>
        <w:tc>
          <w:tcPr>
            <w:tcW w:w="737" w:type="dxa"/>
          </w:tcPr>
          <w:p>
            <w:pPr>
              <w:pStyle w:val="0"/>
            </w:pPr>
            <w:r>
              <w:rPr>
                <w:sz w:val="20"/>
              </w:rPr>
              <w:t xml:space="preserve">111,9</w:t>
            </w:r>
          </w:p>
        </w:tc>
        <w:tc>
          <w:tcPr>
            <w:tcW w:w="737" w:type="dxa"/>
          </w:tcPr>
          <w:p>
            <w:pPr>
              <w:pStyle w:val="0"/>
            </w:pPr>
            <w:r>
              <w:rPr>
                <w:sz w:val="20"/>
              </w:rPr>
              <w:t xml:space="preserve">111,7</w:t>
            </w:r>
          </w:p>
        </w:tc>
        <w:tc>
          <w:tcPr>
            <w:tcW w:w="737" w:type="dxa"/>
          </w:tcPr>
          <w:p>
            <w:pPr>
              <w:pStyle w:val="0"/>
            </w:pPr>
            <w:r>
              <w:rPr>
                <w:sz w:val="20"/>
              </w:rPr>
              <w:t xml:space="preserve">107,7</w:t>
            </w:r>
          </w:p>
        </w:tc>
        <w:tc>
          <w:tcPr>
            <w:tcW w:w="737" w:type="dxa"/>
          </w:tcPr>
          <w:p>
            <w:pPr>
              <w:pStyle w:val="0"/>
            </w:pPr>
            <w:r>
              <w:rPr>
                <w:sz w:val="20"/>
              </w:rPr>
              <w:t xml:space="preserve">106,8</w:t>
            </w:r>
          </w:p>
        </w:tc>
        <w:tc>
          <w:tcPr>
            <w:tcW w:w="737" w:type="dxa"/>
          </w:tcPr>
          <w:p>
            <w:pPr>
              <w:pStyle w:val="0"/>
            </w:pPr>
            <w:r>
              <w:rPr>
                <w:sz w:val="20"/>
              </w:rPr>
              <w:t xml:space="preserve">105,9</w:t>
            </w:r>
          </w:p>
        </w:tc>
        <w:tc>
          <w:tcPr>
            <w:tcW w:w="737" w:type="dxa"/>
          </w:tcPr>
          <w:p>
            <w:pPr>
              <w:pStyle w:val="0"/>
            </w:pPr>
            <w:r>
              <w:rPr>
                <w:sz w:val="20"/>
              </w:rPr>
              <w:t xml:space="preserve">105,0</w:t>
            </w:r>
          </w:p>
        </w:tc>
      </w:tr>
      <w:tr>
        <w:tc>
          <w:tcPr>
            <w:tcW w:w="454" w:type="dxa"/>
          </w:tcPr>
          <w:p>
            <w:pPr>
              <w:pStyle w:val="0"/>
            </w:pPr>
            <w:r>
              <w:rPr>
                <w:sz w:val="20"/>
              </w:rPr>
              <w:t xml:space="preserve">2.</w:t>
            </w:r>
          </w:p>
        </w:tc>
        <w:tc>
          <w:tcPr>
            <w:tcW w:w="3061" w:type="dxa"/>
          </w:tcPr>
          <w:p>
            <w:pPr>
              <w:pStyle w:val="0"/>
            </w:pPr>
            <w:r>
              <w:rPr>
                <w:sz w:val="20"/>
              </w:rPr>
              <w:t xml:space="preserve">Смертность от злокачественных новообразований, на 100 тыс. населения</w:t>
            </w:r>
          </w:p>
        </w:tc>
        <w:tc>
          <w:tcPr>
            <w:tcW w:w="1054" w:type="dxa"/>
          </w:tcPr>
          <w:p>
            <w:pPr>
              <w:pStyle w:val="0"/>
            </w:pPr>
            <w:r>
              <w:rPr>
                <w:sz w:val="20"/>
              </w:rPr>
              <w:t xml:space="preserve">117,7</w:t>
            </w:r>
          </w:p>
        </w:tc>
        <w:tc>
          <w:tcPr>
            <w:tcW w:w="737" w:type="dxa"/>
          </w:tcPr>
          <w:p>
            <w:pPr>
              <w:pStyle w:val="0"/>
            </w:pPr>
            <w:r>
              <w:rPr>
                <w:sz w:val="20"/>
              </w:rPr>
              <w:t xml:space="preserve">0</w:t>
            </w:r>
          </w:p>
        </w:tc>
        <w:tc>
          <w:tcPr>
            <w:tcW w:w="737" w:type="dxa"/>
          </w:tcPr>
          <w:p>
            <w:pPr>
              <w:pStyle w:val="0"/>
            </w:pPr>
            <w:r>
              <w:rPr>
                <w:sz w:val="20"/>
              </w:rPr>
              <w:t xml:space="preserve">0</w:t>
            </w:r>
          </w:p>
        </w:tc>
        <w:tc>
          <w:tcPr>
            <w:tcW w:w="737" w:type="dxa"/>
          </w:tcPr>
          <w:p>
            <w:pPr>
              <w:pStyle w:val="0"/>
            </w:pPr>
            <w:r>
              <w:rPr>
                <w:sz w:val="20"/>
              </w:rPr>
              <w:t xml:space="preserve">106,4</w:t>
            </w:r>
          </w:p>
        </w:tc>
        <w:tc>
          <w:tcPr>
            <w:tcW w:w="737" w:type="dxa"/>
          </w:tcPr>
          <w:p>
            <w:pPr>
              <w:pStyle w:val="0"/>
            </w:pPr>
            <w:r>
              <w:rPr>
                <w:sz w:val="20"/>
              </w:rPr>
              <w:t xml:space="preserve">105,5</w:t>
            </w:r>
          </w:p>
        </w:tc>
        <w:tc>
          <w:tcPr>
            <w:tcW w:w="737" w:type="dxa"/>
          </w:tcPr>
          <w:p>
            <w:pPr>
              <w:pStyle w:val="0"/>
            </w:pPr>
            <w:r>
              <w:rPr>
                <w:sz w:val="20"/>
              </w:rPr>
              <w:t xml:space="preserve">104,6</w:t>
            </w:r>
          </w:p>
        </w:tc>
        <w:tc>
          <w:tcPr>
            <w:tcW w:w="737" w:type="dxa"/>
          </w:tcPr>
          <w:p>
            <w:pPr>
              <w:pStyle w:val="0"/>
            </w:pPr>
            <w:r>
              <w:rPr>
                <w:sz w:val="20"/>
              </w:rPr>
              <w:t xml:space="preserve">103,7</w:t>
            </w:r>
          </w:p>
        </w:tc>
      </w:tr>
      <w:tr>
        <w:tc>
          <w:tcPr>
            <w:tcW w:w="454" w:type="dxa"/>
          </w:tcPr>
          <w:p>
            <w:pPr>
              <w:pStyle w:val="0"/>
            </w:pPr>
            <w:r>
              <w:rPr>
                <w:sz w:val="20"/>
              </w:rPr>
              <w:t xml:space="preserve">3.</w:t>
            </w:r>
          </w:p>
        </w:tc>
        <w:tc>
          <w:tcPr>
            <w:tcW w:w="3061" w:type="dxa"/>
          </w:tcPr>
          <w:p>
            <w:pPr>
              <w:pStyle w:val="0"/>
            </w:pPr>
            <w:r>
              <w:rPr>
                <w:sz w:val="20"/>
              </w:rPr>
              <w:t xml:space="preserve">Доля злокачественных новообразований, выявленных на I - II стадиях, %</w:t>
            </w:r>
          </w:p>
        </w:tc>
        <w:tc>
          <w:tcPr>
            <w:tcW w:w="1054" w:type="dxa"/>
          </w:tcPr>
          <w:p>
            <w:pPr>
              <w:pStyle w:val="0"/>
            </w:pPr>
            <w:r>
              <w:rPr>
                <w:sz w:val="20"/>
              </w:rPr>
              <w:t xml:space="preserve">56,1</w:t>
            </w:r>
          </w:p>
        </w:tc>
        <w:tc>
          <w:tcPr>
            <w:tcW w:w="737" w:type="dxa"/>
          </w:tcPr>
          <w:p>
            <w:pPr>
              <w:pStyle w:val="0"/>
            </w:pPr>
            <w:r>
              <w:rPr>
                <w:sz w:val="20"/>
              </w:rPr>
              <w:t xml:space="preserve">56,5</w:t>
            </w:r>
          </w:p>
        </w:tc>
        <w:tc>
          <w:tcPr>
            <w:tcW w:w="737" w:type="dxa"/>
          </w:tcPr>
          <w:p>
            <w:pPr>
              <w:pStyle w:val="0"/>
            </w:pPr>
            <w:r>
              <w:rPr>
                <w:sz w:val="20"/>
              </w:rPr>
              <w:t xml:space="preserve">59,1</w:t>
            </w:r>
          </w:p>
        </w:tc>
        <w:tc>
          <w:tcPr>
            <w:tcW w:w="737" w:type="dxa"/>
          </w:tcPr>
          <w:p>
            <w:pPr>
              <w:pStyle w:val="0"/>
            </w:pPr>
            <w:r>
              <w:rPr>
                <w:sz w:val="20"/>
              </w:rPr>
              <w:t xml:space="preserve">59,5</w:t>
            </w:r>
          </w:p>
        </w:tc>
        <w:tc>
          <w:tcPr>
            <w:tcW w:w="737" w:type="dxa"/>
          </w:tcPr>
          <w:p>
            <w:pPr>
              <w:pStyle w:val="0"/>
            </w:pPr>
            <w:r>
              <w:rPr>
                <w:sz w:val="20"/>
              </w:rPr>
              <w:t xml:space="preserve">58,5</w:t>
            </w:r>
          </w:p>
        </w:tc>
        <w:tc>
          <w:tcPr>
            <w:tcW w:w="737" w:type="dxa"/>
          </w:tcPr>
          <w:p>
            <w:pPr>
              <w:pStyle w:val="0"/>
            </w:pPr>
            <w:r>
              <w:rPr>
                <w:sz w:val="20"/>
              </w:rPr>
              <w:t xml:space="preserve">58,7</w:t>
            </w:r>
          </w:p>
        </w:tc>
        <w:tc>
          <w:tcPr>
            <w:tcW w:w="737" w:type="dxa"/>
          </w:tcPr>
          <w:p>
            <w:pPr>
              <w:pStyle w:val="0"/>
            </w:pPr>
            <w:r>
              <w:rPr>
                <w:sz w:val="20"/>
              </w:rPr>
              <w:t xml:space="preserve">59,5</w:t>
            </w:r>
          </w:p>
        </w:tc>
      </w:tr>
      <w:tr>
        <w:tc>
          <w:tcPr>
            <w:tcW w:w="454" w:type="dxa"/>
          </w:tcPr>
          <w:p>
            <w:pPr>
              <w:pStyle w:val="0"/>
            </w:pPr>
            <w:r>
              <w:rPr>
                <w:sz w:val="20"/>
              </w:rPr>
              <w:t xml:space="preserve">4.</w:t>
            </w:r>
          </w:p>
        </w:tc>
        <w:tc>
          <w:tcPr>
            <w:tcW w:w="3061" w:type="dxa"/>
          </w:tcPr>
          <w:p>
            <w:pPr>
              <w:pStyle w:val="0"/>
            </w:pPr>
            <w:r>
              <w:rPr>
                <w:sz w:val="20"/>
              </w:rPr>
              <w:t xml:space="preserve">Удельный вес больных со злокачественными новообразованиями, состоящих на учете 5 лет и более, из общего числа больных со злокачественными образованиями, состоящих под диспансерным наблюдением, %</w:t>
            </w:r>
          </w:p>
        </w:tc>
        <w:tc>
          <w:tcPr>
            <w:tcW w:w="1054" w:type="dxa"/>
          </w:tcPr>
          <w:p>
            <w:pPr>
              <w:pStyle w:val="0"/>
            </w:pPr>
            <w:r>
              <w:rPr>
                <w:sz w:val="20"/>
              </w:rPr>
              <w:t xml:space="preserve">53,1</w:t>
            </w:r>
          </w:p>
        </w:tc>
        <w:tc>
          <w:tcPr>
            <w:tcW w:w="737" w:type="dxa"/>
          </w:tcPr>
          <w:p>
            <w:pPr>
              <w:pStyle w:val="0"/>
            </w:pPr>
            <w:r>
              <w:rPr>
                <w:sz w:val="20"/>
              </w:rPr>
              <w:t xml:space="preserve">52,8</w:t>
            </w:r>
          </w:p>
        </w:tc>
        <w:tc>
          <w:tcPr>
            <w:tcW w:w="737" w:type="dxa"/>
          </w:tcPr>
          <w:p>
            <w:pPr>
              <w:pStyle w:val="0"/>
            </w:pPr>
            <w:r>
              <w:rPr>
                <w:sz w:val="20"/>
              </w:rPr>
              <w:t xml:space="preserve">53,7</w:t>
            </w:r>
          </w:p>
        </w:tc>
        <w:tc>
          <w:tcPr>
            <w:tcW w:w="737" w:type="dxa"/>
          </w:tcPr>
          <w:p>
            <w:pPr>
              <w:pStyle w:val="0"/>
            </w:pPr>
            <w:r>
              <w:rPr>
                <w:sz w:val="20"/>
              </w:rPr>
              <w:t xml:space="preserve">54,6</w:t>
            </w:r>
          </w:p>
        </w:tc>
        <w:tc>
          <w:tcPr>
            <w:tcW w:w="737" w:type="dxa"/>
          </w:tcPr>
          <w:p>
            <w:pPr>
              <w:pStyle w:val="0"/>
            </w:pPr>
            <w:r>
              <w:rPr>
                <w:sz w:val="20"/>
              </w:rPr>
              <w:t xml:space="preserve">55,5</w:t>
            </w:r>
          </w:p>
        </w:tc>
        <w:tc>
          <w:tcPr>
            <w:tcW w:w="737" w:type="dxa"/>
          </w:tcPr>
          <w:p>
            <w:pPr>
              <w:pStyle w:val="0"/>
            </w:pPr>
            <w:r>
              <w:rPr>
                <w:sz w:val="20"/>
              </w:rPr>
              <w:t xml:space="preserve">56,5</w:t>
            </w:r>
          </w:p>
        </w:tc>
        <w:tc>
          <w:tcPr>
            <w:tcW w:w="737" w:type="dxa"/>
          </w:tcPr>
          <w:p>
            <w:pPr>
              <w:pStyle w:val="0"/>
            </w:pPr>
            <w:r>
              <w:rPr>
                <w:sz w:val="20"/>
              </w:rPr>
              <w:t xml:space="preserve">60</w:t>
            </w:r>
          </w:p>
        </w:tc>
      </w:tr>
      <w:tr>
        <w:tc>
          <w:tcPr>
            <w:tcW w:w="454" w:type="dxa"/>
          </w:tcPr>
          <w:p>
            <w:pPr>
              <w:pStyle w:val="0"/>
            </w:pPr>
            <w:r>
              <w:rPr>
                <w:sz w:val="20"/>
              </w:rPr>
              <w:t xml:space="preserve">5.</w:t>
            </w:r>
          </w:p>
        </w:tc>
        <w:tc>
          <w:tcPr>
            <w:tcW w:w="3061" w:type="dxa"/>
          </w:tcPr>
          <w:p>
            <w:pPr>
              <w:pStyle w:val="0"/>
            </w:pPr>
            <w:r>
              <w:rPr>
                <w:sz w:val="20"/>
              </w:rPr>
              <w:t xml:space="preserve">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w:t>
            </w:r>
          </w:p>
        </w:tc>
        <w:tc>
          <w:tcPr>
            <w:tcW w:w="1054" w:type="dxa"/>
          </w:tcPr>
          <w:p>
            <w:pPr>
              <w:pStyle w:val="0"/>
            </w:pPr>
            <w:r>
              <w:rPr>
                <w:sz w:val="20"/>
              </w:rPr>
              <w:t xml:space="preserve">22,3</w:t>
            </w:r>
          </w:p>
        </w:tc>
        <w:tc>
          <w:tcPr>
            <w:tcW w:w="737" w:type="dxa"/>
          </w:tcPr>
          <w:p>
            <w:pPr>
              <w:pStyle w:val="0"/>
            </w:pPr>
            <w:r>
              <w:rPr>
                <w:sz w:val="20"/>
              </w:rPr>
              <w:t xml:space="preserve">23,0</w:t>
            </w:r>
          </w:p>
        </w:tc>
        <w:tc>
          <w:tcPr>
            <w:tcW w:w="737" w:type="dxa"/>
          </w:tcPr>
          <w:p>
            <w:pPr>
              <w:pStyle w:val="0"/>
            </w:pPr>
            <w:r>
              <w:rPr>
                <w:sz w:val="20"/>
              </w:rPr>
              <w:t xml:space="preserve">21,8</w:t>
            </w:r>
          </w:p>
        </w:tc>
        <w:tc>
          <w:tcPr>
            <w:tcW w:w="737" w:type="dxa"/>
          </w:tcPr>
          <w:p>
            <w:pPr>
              <w:pStyle w:val="0"/>
            </w:pPr>
            <w:r>
              <w:rPr>
                <w:sz w:val="20"/>
              </w:rPr>
              <w:t xml:space="preserve">20,7</w:t>
            </w:r>
          </w:p>
        </w:tc>
        <w:tc>
          <w:tcPr>
            <w:tcW w:w="737" w:type="dxa"/>
          </w:tcPr>
          <w:p>
            <w:pPr>
              <w:pStyle w:val="0"/>
            </w:pPr>
            <w:r>
              <w:rPr>
                <w:sz w:val="20"/>
              </w:rPr>
              <w:t xml:space="preserve">20,1</w:t>
            </w:r>
          </w:p>
        </w:tc>
        <w:tc>
          <w:tcPr>
            <w:tcW w:w="737" w:type="dxa"/>
          </w:tcPr>
          <w:p>
            <w:pPr>
              <w:pStyle w:val="0"/>
            </w:pPr>
            <w:r>
              <w:rPr>
                <w:sz w:val="20"/>
              </w:rPr>
              <w:t xml:space="preserve">19,6</w:t>
            </w:r>
          </w:p>
        </w:tc>
        <w:tc>
          <w:tcPr>
            <w:tcW w:w="737" w:type="dxa"/>
          </w:tcPr>
          <w:p>
            <w:pPr>
              <w:pStyle w:val="0"/>
            </w:pPr>
            <w:r>
              <w:rPr>
                <w:sz w:val="20"/>
              </w:rPr>
              <w:t xml:space="preserve">19,1</w:t>
            </w:r>
          </w:p>
        </w:tc>
      </w:tr>
      <w:tr>
        <w:tc>
          <w:tcPr>
            <w:tcW w:w="454" w:type="dxa"/>
          </w:tcPr>
          <w:p>
            <w:pPr>
              <w:pStyle w:val="0"/>
            </w:pPr>
            <w:r>
              <w:rPr>
                <w:sz w:val="20"/>
              </w:rPr>
              <w:t xml:space="preserve">6.</w:t>
            </w:r>
          </w:p>
        </w:tc>
        <w:tc>
          <w:tcPr>
            <w:tcW w:w="3061" w:type="dxa"/>
          </w:tcPr>
          <w:p>
            <w:pPr>
              <w:pStyle w:val="0"/>
            </w:pPr>
            <w:r>
              <w:rPr>
                <w:sz w:val="20"/>
              </w:rPr>
              <w:t xml:space="preserve">Доля лиц с онкологическими заболеваниями, прошедших обследование и/или лечение в текущем году, из числа состоящих под диспансерным наблюдением, %</w:t>
            </w:r>
          </w:p>
        </w:tc>
        <w:tc>
          <w:tcPr>
            <w:tcW w:w="1054" w:type="dxa"/>
          </w:tcPr>
          <w:p>
            <w:pPr>
              <w:pStyle w:val="0"/>
            </w:pPr>
            <w:r>
              <w:rPr>
                <w:sz w:val="20"/>
              </w:rPr>
              <w:t xml:space="preserve">-</w:t>
            </w:r>
          </w:p>
        </w:tc>
        <w:tc>
          <w:tcPr>
            <w:tcW w:w="737" w:type="dxa"/>
          </w:tcPr>
          <w:p>
            <w:pPr>
              <w:pStyle w:val="0"/>
            </w:pPr>
            <w:r>
              <w:rPr>
                <w:sz w:val="20"/>
              </w:rPr>
              <w:t xml:space="preserve">-</w:t>
            </w:r>
          </w:p>
        </w:tc>
        <w:tc>
          <w:tcPr>
            <w:tcW w:w="737" w:type="dxa"/>
          </w:tcPr>
          <w:p>
            <w:pPr>
              <w:pStyle w:val="0"/>
            </w:pPr>
            <w:r>
              <w:rPr>
                <w:sz w:val="20"/>
              </w:rPr>
              <w:t xml:space="preserve">-</w:t>
            </w:r>
          </w:p>
        </w:tc>
        <w:tc>
          <w:tcPr>
            <w:tcW w:w="737" w:type="dxa"/>
          </w:tcPr>
          <w:p>
            <w:pPr>
              <w:pStyle w:val="0"/>
            </w:pPr>
            <w:r>
              <w:rPr>
                <w:sz w:val="20"/>
              </w:rPr>
              <w:t xml:space="preserve">66</w:t>
            </w:r>
          </w:p>
        </w:tc>
        <w:tc>
          <w:tcPr>
            <w:tcW w:w="737" w:type="dxa"/>
          </w:tcPr>
          <w:p>
            <w:pPr>
              <w:pStyle w:val="0"/>
            </w:pPr>
            <w:r>
              <w:rPr>
                <w:sz w:val="20"/>
              </w:rPr>
              <w:t xml:space="preserve">70</w:t>
            </w:r>
          </w:p>
        </w:tc>
        <w:tc>
          <w:tcPr>
            <w:tcW w:w="737" w:type="dxa"/>
          </w:tcPr>
          <w:p>
            <w:pPr>
              <w:pStyle w:val="0"/>
            </w:pPr>
            <w:r>
              <w:rPr>
                <w:sz w:val="20"/>
              </w:rPr>
              <w:t xml:space="preserve">75</w:t>
            </w:r>
          </w:p>
        </w:tc>
        <w:tc>
          <w:tcPr>
            <w:tcW w:w="737" w:type="dxa"/>
          </w:tcPr>
          <w:p>
            <w:pPr>
              <w:pStyle w:val="0"/>
            </w:pPr>
            <w:r>
              <w:rPr>
                <w:sz w:val="20"/>
              </w:rPr>
              <w:t xml:space="preserve">80</w:t>
            </w:r>
          </w:p>
        </w:tc>
      </w:tr>
    </w:tbl>
    <w:p>
      <w:pPr>
        <w:pStyle w:val="0"/>
        <w:ind w:firstLine="540"/>
        <w:jc w:val="both"/>
      </w:pPr>
      <w:r>
        <w:rPr>
          <w:sz w:val="20"/>
        </w:rPr>
      </w:r>
    </w:p>
    <w:p>
      <w:pPr>
        <w:pStyle w:val="0"/>
        <w:jc w:val="right"/>
      </w:pPr>
      <w:r>
        <w:rPr>
          <w:sz w:val="20"/>
        </w:rPr>
        <w:t xml:space="preserve">Таблица 48</w:t>
      </w:r>
    </w:p>
    <w:p>
      <w:pPr>
        <w:pStyle w:val="0"/>
        <w:jc w:val="right"/>
      </w:pPr>
      <w:r>
        <w:rPr>
          <w:sz w:val="20"/>
        </w:rPr>
      </w:r>
    </w:p>
    <w:bookmarkStart w:id="11873" w:name="P11873"/>
    <w:bookmarkEnd w:id="11873"/>
    <w:p>
      <w:pPr>
        <w:pStyle w:val="0"/>
        <w:jc w:val="center"/>
      </w:pPr>
      <w:r>
        <w:rPr>
          <w:sz w:val="20"/>
        </w:rPr>
        <w:t xml:space="preserve">Дополнительные целевые показатели региональной программы</w:t>
      </w:r>
    </w:p>
    <w:p>
      <w:pPr>
        <w:pStyle w:val="0"/>
        <w:jc w:val="center"/>
      </w:pPr>
      <w:r>
        <w:rPr>
          <w:sz w:val="20"/>
        </w:rPr>
        <w:t xml:space="preserve">"Борьба с онкологическими заболеваниями" на 2021 - 2030 годы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3"/>
        <w:gridCol w:w="711"/>
        <w:gridCol w:w="845"/>
        <w:gridCol w:w="711"/>
        <w:gridCol w:w="786"/>
        <w:gridCol w:w="786"/>
        <w:gridCol w:w="786"/>
        <w:gridCol w:w="786"/>
        <w:gridCol w:w="786"/>
        <w:gridCol w:w="711"/>
      </w:tblGrid>
      <w:tr>
        <w:tc>
          <w:tcPr>
            <w:tcW w:w="2153" w:type="dxa"/>
            <w:vMerge w:val="restart"/>
          </w:tcPr>
          <w:p>
            <w:pPr>
              <w:pStyle w:val="0"/>
              <w:jc w:val="center"/>
            </w:pPr>
            <w:r>
              <w:rPr>
                <w:sz w:val="20"/>
              </w:rPr>
              <w:t xml:space="preserve">Наименование показателя</w:t>
            </w:r>
          </w:p>
        </w:tc>
        <w:tc>
          <w:tcPr>
            <w:gridSpan w:val="9"/>
            <w:tcW w:w="6908" w:type="dxa"/>
          </w:tcPr>
          <w:p>
            <w:pPr>
              <w:pStyle w:val="0"/>
              <w:jc w:val="center"/>
            </w:pPr>
            <w:r>
              <w:rPr>
                <w:sz w:val="20"/>
              </w:rPr>
              <w:t xml:space="preserve">Год</w:t>
            </w:r>
          </w:p>
        </w:tc>
      </w:tr>
      <w:tr>
        <w:tc>
          <w:tcPr>
            <w:vMerge w:val="continue"/>
          </w:tcPr>
          <w:p/>
        </w:tc>
        <w:tc>
          <w:tcPr>
            <w:tcW w:w="711" w:type="dxa"/>
          </w:tcPr>
          <w:p>
            <w:pPr>
              <w:pStyle w:val="0"/>
              <w:jc w:val="center"/>
            </w:pPr>
            <w:r>
              <w:rPr>
                <w:sz w:val="20"/>
              </w:rPr>
              <w:t xml:space="preserve">2021</w:t>
            </w:r>
          </w:p>
        </w:tc>
        <w:tc>
          <w:tcPr>
            <w:tcW w:w="845" w:type="dxa"/>
          </w:tcPr>
          <w:p>
            <w:pPr>
              <w:pStyle w:val="0"/>
              <w:jc w:val="center"/>
            </w:pPr>
            <w:r>
              <w:rPr>
                <w:sz w:val="20"/>
              </w:rPr>
              <w:t xml:space="preserve">2022</w:t>
            </w:r>
          </w:p>
        </w:tc>
        <w:tc>
          <w:tcPr>
            <w:tcW w:w="711" w:type="dxa"/>
          </w:tcPr>
          <w:p>
            <w:pPr>
              <w:pStyle w:val="0"/>
              <w:jc w:val="center"/>
            </w:pPr>
            <w:r>
              <w:rPr>
                <w:sz w:val="20"/>
              </w:rPr>
              <w:t xml:space="preserve">2023</w:t>
            </w:r>
          </w:p>
        </w:tc>
        <w:tc>
          <w:tcPr>
            <w:tcW w:w="786" w:type="dxa"/>
          </w:tcPr>
          <w:p>
            <w:pPr>
              <w:pStyle w:val="0"/>
              <w:jc w:val="center"/>
            </w:pPr>
            <w:r>
              <w:rPr>
                <w:sz w:val="20"/>
              </w:rPr>
              <w:t xml:space="preserve">2024</w:t>
            </w:r>
          </w:p>
        </w:tc>
        <w:tc>
          <w:tcPr>
            <w:tcW w:w="786" w:type="dxa"/>
          </w:tcPr>
          <w:p>
            <w:pPr>
              <w:pStyle w:val="0"/>
              <w:jc w:val="center"/>
            </w:pPr>
            <w:r>
              <w:rPr>
                <w:sz w:val="20"/>
              </w:rPr>
              <w:t xml:space="preserve">2025</w:t>
            </w:r>
          </w:p>
        </w:tc>
        <w:tc>
          <w:tcPr>
            <w:tcW w:w="786" w:type="dxa"/>
          </w:tcPr>
          <w:p>
            <w:pPr>
              <w:pStyle w:val="0"/>
              <w:jc w:val="center"/>
            </w:pPr>
            <w:r>
              <w:rPr>
                <w:sz w:val="20"/>
              </w:rPr>
              <w:t xml:space="preserve">2026</w:t>
            </w:r>
          </w:p>
        </w:tc>
        <w:tc>
          <w:tcPr>
            <w:tcW w:w="786" w:type="dxa"/>
          </w:tcPr>
          <w:p>
            <w:pPr>
              <w:pStyle w:val="0"/>
              <w:jc w:val="center"/>
            </w:pPr>
            <w:r>
              <w:rPr>
                <w:sz w:val="20"/>
              </w:rPr>
              <w:t xml:space="preserve">2027</w:t>
            </w:r>
          </w:p>
        </w:tc>
        <w:tc>
          <w:tcPr>
            <w:tcW w:w="786" w:type="dxa"/>
          </w:tcPr>
          <w:p>
            <w:pPr>
              <w:pStyle w:val="0"/>
              <w:jc w:val="center"/>
            </w:pPr>
            <w:r>
              <w:rPr>
                <w:sz w:val="20"/>
              </w:rPr>
              <w:t xml:space="preserve">2028</w:t>
            </w:r>
          </w:p>
        </w:tc>
        <w:tc>
          <w:tcPr>
            <w:tcW w:w="711" w:type="dxa"/>
          </w:tcPr>
          <w:p>
            <w:pPr>
              <w:pStyle w:val="0"/>
              <w:jc w:val="center"/>
            </w:pPr>
            <w:r>
              <w:rPr>
                <w:sz w:val="20"/>
              </w:rPr>
              <w:t xml:space="preserve">2029</w:t>
            </w:r>
          </w:p>
        </w:tc>
      </w:tr>
      <w:tr>
        <w:tc>
          <w:tcPr>
            <w:tcW w:w="2153" w:type="dxa"/>
          </w:tcPr>
          <w:p>
            <w:pPr>
              <w:pStyle w:val="0"/>
            </w:pPr>
            <w:r>
              <w:rPr>
                <w:sz w:val="20"/>
              </w:rPr>
              <w:t xml:space="preserve">Стандартизованный коэффициент смертности от новообразований, в том числе злокачественных, на 100 тыс. населения &lt;1&gt;</w:t>
            </w:r>
          </w:p>
        </w:tc>
        <w:tc>
          <w:tcPr>
            <w:tcW w:w="711" w:type="dxa"/>
          </w:tcPr>
          <w:p>
            <w:pPr>
              <w:pStyle w:val="0"/>
              <w:jc w:val="center"/>
            </w:pPr>
            <w:r>
              <w:rPr>
                <w:sz w:val="20"/>
              </w:rPr>
              <w:t xml:space="preserve">127,6</w:t>
            </w:r>
          </w:p>
        </w:tc>
        <w:tc>
          <w:tcPr>
            <w:tcW w:w="845" w:type="dxa"/>
          </w:tcPr>
          <w:p>
            <w:pPr>
              <w:pStyle w:val="0"/>
              <w:jc w:val="center"/>
            </w:pPr>
            <w:r>
              <w:rPr>
                <w:sz w:val="20"/>
              </w:rPr>
              <w:t xml:space="preserve">127,4</w:t>
            </w:r>
          </w:p>
        </w:tc>
        <w:tc>
          <w:tcPr>
            <w:tcW w:w="711" w:type="dxa"/>
          </w:tcPr>
          <w:p>
            <w:pPr>
              <w:pStyle w:val="0"/>
              <w:jc w:val="center"/>
            </w:pPr>
            <w:r>
              <w:rPr>
                <w:sz w:val="20"/>
              </w:rPr>
              <w:t xml:space="preserve">127,2</w:t>
            </w:r>
          </w:p>
        </w:tc>
        <w:tc>
          <w:tcPr>
            <w:tcW w:w="786" w:type="dxa"/>
          </w:tcPr>
          <w:p>
            <w:pPr>
              <w:pStyle w:val="0"/>
              <w:jc w:val="center"/>
            </w:pPr>
            <w:r>
              <w:rPr>
                <w:sz w:val="20"/>
              </w:rPr>
              <w:t xml:space="preserve">126,9</w:t>
            </w:r>
          </w:p>
        </w:tc>
        <w:tc>
          <w:tcPr>
            <w:tcW w:w="786" w:type="dxa"/>
          </w:tcPr>
          <w:p>
            <w:pPr>
              <w:pStyle w:val="0"/>
              <w:jc w:val="center"/>
            </w:pPr>
            <w:r>
              <w:rPr>
                <w:sz w:val="20"/>
              </w:rPr>
              <w:t xml:space="preserve">126,7</w:t>
            </w:r>
          </w:p>
        </w:tc>
        <w:tc>
          <w:tcPr>
            <w:tcW w:w="786" w:type="dxa"/>
          </w:tcPr>
          <w:p>
            <w:pPr>
              <w:pStyle w:val="0"/>
              <w:jc w:val="center"/>
            </w:pPr>
            <w:r>
              <w:rPr>
                <w:sz w:val="20"/>
              </w:rPr>
              <w:t xml:space="preserve">126,4</w:t>
            </w:r>
          </w:p>
        </w:tc>
        <w:tc>
          <w:tcPr>
            <w:tcW w:w="786" w:type="dxa"/>
          </w:tcPr>
          <w:p>
            <w:pPr>
              <w:pStyle w:val="0"/>
              <w:jc w:val="center"/>
            </w:pPr>
            <w:r>
              <w:rPr>
                <w:sz w:val="20"/>
              </w:rPr>
              <w:t xml:space="preserve">126,1</w:t>
            </w:r>
          </w:p>
        </w:tc>
        <w:tc>
          <w:tcPr>
            <w:tcW w:w="786" w:type="dxa"/>
          </w:tcPr>
          <w:p>
            <w:pPr>
              <w:pStyle w:val="0"/>
              <w:jc w:val="center"/>
            </w:pPr>
            <w:r>
              <w:rPr>
                <w:sz w:val="20"/>
              </w:rPr>
              <w:t xml:space="preserve">125,8</w:t>
            </w:r>
          </w:p>
        </w:tc>
        <w:tc>
          <w:tcPr>
            <w:tcW w:w="711" w:type="dxa"/>
          </w:tcPr>
          <w:p>
            <w:pPr>
              <w:pStyle w:val="0"/>
              <w:jc w:val="center"/>
            </w:pPr>
            <w:r>
              <w:rPr>
                <w:sz w:val="20"/>
              </w:rPr>
              <w:t xml:space="preserve">125,4</w:t>
            </w:r>
          </w:p>
        </w:tc>
      </w:tr>
      <w:tr>
        <w:tc>
          <w:tcPr>
            <w:tcW w:w="2153" w:type="dxa"/>
          </w:tcPr>
          <w:p>
            <w:pPr>
              <w:pStyle w:val="0"/>
            </w:pPr>
            <w:r>
              <w:rPr>
                <w:sz w:val="20"/>
              </w:rPr>
              <w:t xml:space="preserve">Доля злокачественных новообразований кроме рака кожи (C44) и лейкемий, выявленных на I стадии, от всех зарегистрированных ЗНО, кроме рака кожи (C44) и лейкемий (без учтенных посмертно), %</w:t>
            </w:r>
          </w:p>
        </w:tc>
        <w:tc>
          <w:tcPr>
            <w:tcW w:w="711" w:type="dxa"/>
          </w:tcPr>
          <w:p>
            <w:pPr>
              <w:pStyle w:val="0"/>
              <w:jc w:val="center"/>
            </w:pPr>
            <w:r>
              <w:rPr>
                <w:sz w:val="20"/>
              </w:rPr>
              <w:t xml:space="preserve">32,2</w:t>
            </w:r>
          </w:p>
        </w:tc>
        <w:tc>
          <w:tcPr>
            <w:tcW w:w="845" w:type="dxa"/>
          </w:tcPr>
          <w:p>
            <w:pPr>
              <w:pStyle w:val="0"/>
              <w:jc w:val="center"/>
            </w:pPr>
            <w:r>
              <w:rPr>
                <w:sz w:val="20"/>
              </w:rPr>
              <w:t xml:space="preserve">33,0</w:t>
            </w:r>
          </w:p>
        </w:tc>
        <w:tc>
          <w:tcPr>
            <w:tcW w:w="711" w:type="dxa"/>
          </w:tcPr>
          <w:p>
            <w:pPr>
              <w:pStyle w:val="0"/>
              <w:jc w:val="center"/>
            </w:pPr>
            <w:r>
              <w:rPr>
                <w:sz w:val="20"/>
              </w:rPr>
              <w:t xml:space="preserve">33,7</w:t>
            </w:r>
          </w:p>
        </w:tc>
        <w:tc>
          <w:tcPr>
            <w:tcW w:w="786" w:type="dxa"/>
          </w:tcPr>
          <w:p>
            <w:pPr>
              <w:pStyle w:val="0"/>
              <w:jc w:val="center"/>
            </w:pPr>
            <w:r>
              <w:rPr>
                <w:sz w:val="20"/>
              </w:rPr>
              <w:t xml:space="preserve">34,5</w:t>
            </w:r>
          </w:p>
        </w:tc>
        <w:tc>
          <w:tcPr>
            <w:tcW w:w="786" w:type="dxa"/>
          </w:tcPr>
          <w:p>
            <w:pPr>
              <w:pStyle w:val="0"/>
              <w:jc w:val="center"/>
            </w:pPr>
            <w:r>
              <w:rPr>
                <w:sz w:val="20"/>
              </w:rPr>
              <w:t xml:space="preserve">35,3</w:t>
            </w:r>
          </w:p>
        </w:tc>
        <w:tc>
          <w:tcPr>
            <w:tcW w:w="786" w:type="dxa"/>
          </w:tcPr>
          <w:p>
            <w:pPr>
              <w:pStyle w:val="0"/>
              <w:jc w:val="center"/>
            </w:pPr>
            <w:r>
              <w:rPr>
                <w:sz w:val="20"/>
              </w:rPr>
              <w:t xml:space="preserve">36,0</w:t>
            </w:r>
          </w:p>
        </w:tc>
        <w:tc>
          <w:tcPr>
            <w:tcW w:w="786" w:type="dxa"/>
          </w:tcPr>
          <w:p>
            <w:pPr>
              <w:pStyle w:val="0"/>
              <w:jc w:val="center"/>
            </w:pPr>
            <w:r>
              <w:rPr>
                <w:sz w:val="20"/>
              </w:rPr>
              <w:t xml:space="preserve">36,8</w:t>
            </w:r>
          </w:p>
        </w:tc>
        <w:tc>
          <w:tcPr>
            <w:tcW w:w="786" w:type="dxa"/>
          </w:tcPr>
          <w:p>
            <w:pPr>
              <w:pStyle w:val="0"/>
              <w:jc w:val="center"/>
            </w:pPr>
            <w:r>
              <w:rPr>
                <w:sz w:val="20"/>
              </w:rPr>
              <w:t xml:space="preserve">37,6</w:t>
            </w:r>
          </w:p>
        </w:tc>
        <w:tc>
          <w:tcPr>
            <w:tcW w:w="711" w:type="dxa"/>
          </w:tcPr>
          <w:p>
            <w:pPr>
              <w:pStyle w:val="0"/>
              <w:jc w:val="center"/>
            </w:pPr>
            <w:r>
              <w:rPr>
                <w:sz w:val="20"/>
              </w:rPr>
              <w:t xml:space="preserve">38,3</w:t>
            </w:r>
          </w:p>
        </w:tc>
      </w:tr>
      <w:tr>
        <w:tc>
          <w:tcPr>
            <w:tcW w:w="2153" w:type="dxa"/>
          </w:tcPr>
          <w:p>
            <w:pPr>
              <w:pStyle w:val="0"/>
            </w:pPr>
            <w:r>
              <w:rPr>
                <w:sz w:val="20"/>
              </w:rPr>
              <w:t xml:space="preserve">Доля диагнозов зарегистрированных ЗНО (без учтенных посмертно), подтвержденных морфологически, %</w:t>
            </w:r>
          </w:p>
        </w:tc>
        <w:tc>
          <w:tcPr>
            <w:tcW w:w="711" w:type="dxa"/>
          </w:tcPr>
          <w:p>
            <w:pPr>
              <w:pStyle w:val="0"/>
              <w:jc w:val="center"/>
            </w:pPr>
            <w:r>
              <w:rPr>
                <w:sz w:val="20"/>
              </w:rPr>
              <w:t xml:space="preserve">96,2</w:t>
            </w:r>
          </w:p>
        </w:tc>
        <w:tc>
          <w:tcPr>
            <w:tcW w:w="845" w:type="dxa"/>
          </w:tcPr>
          <w:p>
            <w:pPr>
              <w:pStyle w:val="0"/>
              <w:jc w:val="center"/>
            </w:pPr>
            <w:r>
              <w:rPr>
                <w:sz w:val="20"/>
              </w:rPr>
              <w:t xml:space="preserve">96,9</w:t>
            </w:r>
          </w:p>
        </w:tc>
        <w:tc>
          <w:tcPr>
            <w:tcW w:w="711" w:type="dxa"/>
          </w:tcPr>
          <w:p>
            <w:pPr>
              <w:pStyle w:val="0"/>
              <w:jc w:val="center"/>
            </w:pPr>
            <w:r>
              <w:rPr>
                <w:sz w:val="20"/>
              </w:rPr>
              <w:t xml:space="preserve">97,5</w:t>
            </w:r>
          </w:p>
        </w:tc>
        <w:tc>
          <w:tcPr>
            <w:tcW w:w="786" w:type="dxa"/>
          </w:tcPr>
          <w:p>
            <w:pPr>
              <w:pStyle w:val="0"/>
              <w:jc w:val="center"/>
            </w:pPr>
            <w:r>
              <w:rPr>
                <w:sz w:val="20"/>
              </w:rPr>
              <w:t xml:space="preserve">98,1</w:t>
            </w:r>
          </w:p>
        </w:tc>
        <w:tc>
          <w:tcPr>
            <w:tcW w:w="786" w:type="dxa"/>
          </w:tcPr>
          <w:p>
            <w:pPr>
              <w:pStyle w:val="0"/>
              <w:jc w:val="center"/>
            </w:pPr>
            <w:r>
              <w:rPr>
                <w:sz w:val="20"/>
              </w:rPr>
              <w:t xml:space="preserve">98,2</w:t>
            </w:r>
          </w:p>
        </w:tc>
        <w:tc>
          <w:tcPr>
            <w:tcW w:w="786" w:type="dxa"/>
          </w:tcPr>
          <w:p>
            <w:pPr>
              <w:pStyle w:val="0"/>
              <w:jc w:val="center"/>
            </w:pPr>
            <w:r>
              <w:rPr>
                <w:sz w:val="20"/>
              </w:rPr>
              <w:t xml:space="preserve">98,3</w:t>
            </w:r>
          </w:p>
        </w:tc>
        <w:tc>
          <w:tcPr>
            <w:tcW w:w="786" w:type="dxa"/>
          </w:tcPr>
          <w:p>
            <w:pPr>
              <w:pStyle w:val="0"/>
              <w:jc w:val="center"/>
            </w:pPr>
            <w:r>
              <w:rPr>
                <w:sz w:val="20"/>
              </w:rPr>
              <w:t xml:space="preserve">98,4</w:t>
            </w:r>
          </w:p>
        </w:tc>
        <w:tc>
          <w:tcPr>
            <w:tcW w:w="786" w:type="dxa"/>
          </w:tcPr>
          <w:p>
            <w:pPr>
              <w:pStyle w:val="0"/>
              <w:jc w:val="center"/>
            </w:pPr>
            <w:r>
              <w:rPr>
                <w:sz w:val="20"/>
              </w:rPr>
              <w:t xml:space="preserve">98,4</w:t>
            </w:r>
          </w:p>
        </w:tc>
        <w:tc>
          <w:tcPr>
            <w:tcW w:w="711" w:type="dxa"/>
          </w:tcPr>
          <w:p>
            <w:pPr>
              <w:pStyle w:val="0"/>
              <w:jc w:val="center"/>
            </w:pPr>
            <w:r>
              <w:rPr>
                <w:sz w:val="20"/>
              </w:rPr>
              <w:t xml:space="preserve">98,5</w:t>
            </w:r>
          </w:p>
        </w:tc>
      </w:tr>
      <w:tr>
        <w:tc>
          <w:tcPr>
            <w:tcW w:w="2153" w:type="dxa"/>
          </w:tcPr>
          <w:p>
            <w:pPr>
              <w:pStyle w:val="0"/>
            </w:pPr>
            <w:r>
              <w:rPr>
                <w:sz w:val="20"/>
              </w:rPr>
              <w:t xml:space="preserve">Число лиц, прошедших профилактический медицинский осмотр и (или) диспансеризацию определенных групп взрослого населения, на 1 случай впервые в жизни установленного диагноза ЗНО, в рамках указанных мероприятий &lt;2&gt;</w:t>
            </w:r>
          </w:p>
        </w:tc>
        <w:tc>
          <w:tcPr>
            <w:tcW w:w="711" w:type="dxa"/>
          </w:tcPr>
          <w:p>
            <w:pPr>
              <w:pStyle w:val="0"/>
              <w:jc w:val="center"/>
            </w:pPr>
            <w:r>
              <w:rPr>
                <w:sz w:val="20"/>
              </w:rPr>
              <w:t xml:space="preserve">400</w:t>
            </w:r>
          </w:p>
        </w:tc>
        <w:tc>
          <w:tcPr>
            <w:tcW w:w="845" w:type="dxa"/>
          </w:tcPr>
          <w:p>
            <w:pPr>
              <w:pStyle w:val="0"/>
              <w:jc w:val="center"/>
            </w:pPr>
            <w:r>
              <w:rPr>
                <w:sz w:val="20"/>
              </w:rPr>
              <w:t xml:space="preserve">350</w:t>
            </w:r>
          </w:p>
        </w:tc>
        <w:tc>
          <w:tcPr>
            <w:tcW w:w="711" w:type="dxa"/>
          </w:tcPr>
          <w:p>
            <w:pPr>
              <w:pStyle w:val="0"/>
              <w:jc w:val="center"/>
            </w:pPr>
            <w:r>
              <w:rPr>
                <w:sz w:val="20"/>
              </w:rPr>
              <w:t xml:space="preserve">320</w:t>
            </w:r>
          </w:p>
        </w:tc>
        <w:tc>
          <w:tcPr>
            <w:tcW w:w="786" w:type="dxa"/>
          </w:tcPr>
          <w:p>
            <w:pPr>
              <w:pStyle w:val="0"/>
              <w:jc w:val="center"/>
            </w:pPr>
            <w:r>
              <w:rPr>
                <w:sz w:val="20"/>
              </w:rPr>
              <w:t xml:space="preserve">300</w:t>
            </w:r>
          </w:p>
        </w:tc>
        <w:tc>
          <w:tcPr>
            <w:tcW w:w="786" w:type="dxa"/>
          </w:tcPr>
          <w:p>
            <w:pPr>
              <w:pStyle w:val="0"/>
              <w:jc w:val="center"/>
            </w:pPr>
            <w:r>
              <w:rPr>
                <w:sz w:val="20"/>
              </w:rPr>
              <w:t xml:space="preserve">292</w:t>
            </w:r>
          </w:p>
        </w:tc>
        <w:tc>
          <w:tcPr>
            <w:tcW w:w="786" w:type="dxa"/>
          </w:tcPr>
          <w:p>
            <w:pPr>
              <w:pStyle w:val="0"/>
              <w:jc w:val="center"/>
            </w:pPr>
            <w:r>
              <w:rPr>
                <w:sz w:val="20"/>
              </w:rPr>
              <w:t xml:space="preserve">283</w:t>
            </w:r>
          </w:p>
        </w:tc>
        <w:tc>
          <w:tcPr>
            <w:tcW w:w="786" w:type="dxa"/>
          </w:tcPr>
          <w:p>
            <w:pPr>
              <w:pStyle w:val="0"/>
              <w:jc w:val="center"/>
            </w:pPr>
            <w:r>
              <w:rPr>
                <w:sz w:val="20"/>
              </w:rPr>
              <w:t xml:space="preserve">275</w:t>
            </w:r>
          </w:p>
        </w:tc>
        <w:tc>
          <w:tcPr>
            <w:tcW w:w="786" w:type="dxa"/>
          </w:tcPr>
          <w:p>
            <w:pPr>
              <w:pStyle w:val="0"/>
              <w:jc w:val="center"/>
            </w:pPr>
            <w:r>
              <w:rPr>
                <w:sz w:val="20"/>
              </w:rPr>
              <w:t xml:space="preserve">267</w:t>
            </w:r>
          </w:p>
        </w:tc>
        <w:tc>
          <w:tcPr>
            <w:tcW w:w="711" w:type="dxa"/>
          </w:tcPr>
          <w:p>
            <w:pPr>
              <w:pStyle w:val="0"/>
              <w:jc w:val="center"/>
            </w:pPr>
            <w:r>
              <w:rPr>
                <w:sz w:val="20"/>
              </w:rPr>
              <w:t xml:space="preserve">258</w:t>
            </w:r>
          </w:p>
        </w:tc>
      </w:tr>
    </w:tbl>
    <w:p>
      <w:pPr>
        <w:pStyle w:val="0"/>
        <w:ind w:firstLine="540"/>
        <w:jc w:val="both"/>
      </w:pPr>
      <w:r>
        <w:rPr>
          <w:sz w:val="20"/>
        </w:rPr>
      </w:r>
    </w:p>
    <w:p>
      <w:pPr>
        <w:pStyle w:val="0"/>
        <w:ind w:firstLine="540"/>
        <w:jc w:val="both"/>
      </w:pPr>
      <w:r>
        <w:rPr>
          <w:sz w:val="20"/>
        </w:rPr>
        <w:t xml:space="preserve">Примечание к </w:t>
      </w:r>
      <w:hyperlink w:history="0" w:anchor="P11873" w:tooltip="Дополнительные целевые показатели региональной программы">
        <w:r>
          <w:rPr>
            <w:sz w:val="20"/>
            <w:color w:val="0000ff"/>
          </w:rPr>
          <w:t xml:space="preserve">таблице 48</w:t>
        </w:r>
      </w:hyperlink>
      <w:r>
        <w:rPr>
          <w:sz w:val="20"/>
        </w:rPr>
        <w:t xml:space="preserve">:</w:t>
      </w:r>
    </w:p>
    <w:p>
      <w:pPr>
        <w:pStyle w:val="0"/>
        <w:spacing w:before="200" w:line-rule="auto"/>
        <w:ind w:firstLine="540"/>
        <w:jc w:val="both"/>
      </w:pPr>
      <w:r>
        <w:rPr>
          <w:sz w:val="20"/>
        </w:rPr>
        <w:t xml:space="preserve">1. Показатель рассчитывает ФГБУ "НМИЦ онкологии им. Н.Н. Блохина" Минздрава России</w:t>
      </w:r>
    </w:p>
    <w:p>
      <w:pPr>
        <w:pStyle w:val="0"/>
        <w:spacing w:before="200" w:line-rule="auto"/>
        <w:ind w:firstLine="540"/>
        <w:jc w:val="both"/>
      </w:pPr>
      <w:r>
        <w:rPr>
          <w:sz w:val="20"/>
        </w:rPr>
        <w:t xml:space="preserve">2. Показатель рассчитывается по форме N 131/о "Сведения о проведении профилактического медицинского осмотра и диспансеризации определенных групп взрослого населения".</w:t>
      </w:r>
    </w:p>
    <w:p>
      <w:pPr>
        <w:pStyle w:val="0"/>
        <w:ind w:firstLine="540"/>
        <w:jc w:val="both"/>
      </w:pPr>
      <w:r>
        <w:rPr>
          <w:sz w:val="20"/>
        </w:rPr>
      </w:r>
    </w:p>
    <w:p>
      <w:pPr>
        <w:pStyle w:val="2"/>
        <w:outlineLvl w:val="1"/>
        <w:jc w:val="center"/>
      </w:pPr>
      <w:r>
        <w:rPr>
          <w:sz w:val="20"/>
        </w:rPr>
        <w:t xml:space="preserve">Раздел III. ЗАДАЧИ РЕГИОНАЛЬНОЙ ПРОГРАММЫ</w:t>
      </w:r>
    </w:p>
    <w:p>
      <w:pPr>
        <w:pStyle w:val="0"/>
        <w:jc w:val="center"/>
      </w:pPr>
      <w:r>
        <w:rPr>
          <w:sz w:val="20"/>
        </w:rPr>
      </w:r>
    </w:p>
    <w:p>
      <w:pPr>
        <w:pStyle w:val="2"/>
        <w:outlineLvl w:val="2"/>
        <w:jc w:val="center"/>
      </w:pPr>
      <w:r>
        <w:rPr>
          <w:sz w:val="20"/>
        </w:rPr>
        <w:t xml:space="preserve">3.1. Совершенствование комплекса мер первичной профилактики</w:t>
      </w:r>
    </w:p>
    <w:p>
      <w:pPr>
        <w:pStyle w:val="2"/>
        <w:jc w:val="center"/>
      </w:pPr>
      <w:r>
        <w:rPr>
          <w:sz w:val="20"/>
        </w:rPr>
        <w:t xml:space="preserve">онкологических заболеваний</w:t>
      </w:r>
    </w:p>
    <w:p>
      <w:pPr>
        <w:pStyle w:val="0"/>
        <w:jc w:val="center"/>
      </w:pPr>
      <w:r>
        <w:rPr>
          <w:sz w:val="20"/>
        </w:rPr>
      </w:r>
    </w:p>
    <w:p>
      <w:pPr>
        <w:pStyle w:val="0"/>
        <w:ind w:firstLine="540"/>
        <w:jc w:val="both"/>
      </w:pPr>
      <w:r>
        <w:rPr>
          <w:sz w:val="20"/>
        </w:rPr>
        <w:t xml:space="preserve">Мероприятия, направленные на формирование здорового образа жизни, в том числе на раннюю диагностику и повышение приверженности к лечению онкологических заболеваний в Ханты-Мансийском автономном округе - Югре реализуются по государственной </w:t>
      </w:r>
      <w:hyperlink w:history="0" r:id="rId114" w:tooltip="Постановление Правительства ХМАО - Югры от 31.10.2021 N 467-п (ред. от 13.10.2023) &quot;О государственной программе Ханты-Мансийского автономного округа - Югры &quot;Современное здравоохранение&quot; (с изм. и доп., вступающими в силу с 22.10.2023) {КонсультантПлюс}">
        <w:r>
          <w:rPr>
            <w:sz w:val="20"/>
            <w:color w:val="0000ff"/>
          </w:rPr>
          <w:t xml:space="preserve">программе</w:t>
        </w:r>
      </w:hyperlink>
      <w:r>
        <w:rPr>
          <w:sz w:val="20"/>
        </w:rPr>
        <w:t xml:space="preserve"> "Современное здравоохранение", утвержденной постановлением Правительства автономного округа от 31 октября 2021 года N 467-п.</w:t>
      </w:r>
    </w:p>
    <w:p>
      <w:pPr>
        <w:pStyle w:val="0"/>
        <w:spacing w:before="200" w:line-rule="auto"/>
        <w:ind w:firstLine="540"/>
        <w:jc w:val="both"/>
      </w:pPr>
      <w:r>
        <w:rPr>
          <w:sz w:val="20"/>
        </w:rPr>
        <w:t xml:space="preserve">Для реализации мероприятий по формированию здорового образа жизни, профилактике хронических неинфекционных заболеваний сформирована система медицинской профилактики, включающая работу бюджетного учреждения Ханты-Мансийского автономного округа - Югры "Центр общественного здоровья и медицинской профилактики" с 3 филиалами в крупных городах, 15 центров здоровья (в том числе 4 центра здоровья для детского населения). Для обеспечения жителей отдаленных сельских поселений профилактическими медицинскими услугами работают 3 мобильных центра. В медицинских организациях округа функционирует 22 отделения, 32 кабинета медицинской профилактики.</w:t>
      </w:r>
    </w:p>
    <w:p>
      <w:pPr>
        <w:pStyle w:val="0"/>
        <w:spacing w:before="200" w:line-rule="auto"/>
        <w:ind w:firstLine="540"/>
        <w:jc w:val="both"/>
      </w:pPr>
      <w:r>
        <w:rPr>
          <w:sz w:val="20"/>
        </w:rPr>
        <w:t xml:space="preserve">В условиях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pPr>
        <w:pStyle w:val="0"/>
        <w:spacing w:before="200" w:line-rule="auto"/>
        <w:ind w:firstLine="540"/>
        <w:jc w:val="both"/>
      </w:pPr>
      <w:r>
        <w:rPr>
          <w:sz w:val="20"/>
        </w:rPr>
        <w:t xml:space="preserve">Запланировано продолжение изготовления и размещения в средствах массовой информации (СМИ) материалов, социальной рекламы о вреде потребления табачной продукции. Снижение уровня распространенности табакокурения населения автономного округа ежегодно на 32%.</w:t>
      </w:r>
    </w:p>
    <w:p>
      <w:pPr>
        <w:pStyle w:val="0"/>
        <w:spacing w:before="200" w:line-rule="auto"/>
        <w:ind w:firstLine="540"/>
        <w:jc w:val="both"/>
      </w:pPr>
      <w:r>
        <w:rPr>
          <w:sz w:val="20"/>
        </w:rPr>
        <w:t xml:space="preserve">Изготовление и размещение в СМИ материалов, социальной рекламы о вреде потребления алкогольной продукции. Снижение розничных продаж алкогольной продукции на душу населения (в литрах этанола) в 2023 году - 7,7, в 2024 году - 7,6.</w:t>
      </w:r>
    </w:p>
    <w:p>
      <w:pPr>
        <w:pStyle w:val="0"/>
        <w:spacing w:before="200" w:line-rule="auto"/>
        <w:ind w:firstLine="540"/>
        <w:jc w:val="both"/>
      </w:pPr>
      <w:r>
        <w:rPr>
          <w:sz w:val="20"/>
        </w:rPr>
        <w:t xml:space="preserve">Масштабные коммуникационные кампании, направленные на формирование здорового образа жизни, организуются ежегодно в условиях профилактических месячников. Тематика и сроки проведения устанавливает приказами Департамент здравоохранения Ханты-Мансийского автономного округа - Югры.</w:t>
      </w:r>
    </w:p>
    <w:p>
      <w:pPr>
        <w:pStyle w:val="0"/>
        <w:spacing w:before="200" w:line-rule="auto"/>
        <w:ind w:firstLine="540"/>
        <w:jc w:val="both"/>
      </w:pPr>
      <w:r>
        <w:rPr>
          <w:sz w:val="20"/>
        </w:rPr>
        <w:t xml:space="preserve">Ежегодно проводится информационно-коммуникационная кампания, направленная на пропаганду здорового образа жизни, снижение массы тела, повышение физической активности, антитабачной, антиалкогольной направленности, культуры здорового питания. Запланированное снижение темпов прироста первичной заболеваемости ожирением в процентах: в 2023 году - 5,6, в 2024 году - 4,7; уровня информированности населения о факторах риска заболеваний (на 10 тыс. населения) в 2023 году - 54, в 2024 году - 56. Ежегодное проведение вакцинации против вирусного гепатита B - не менее 50000 человек.</w:t>
      </w:r>
    </w:p>
    <w:p>
      <w:pPr>
        <w:pStyle w:val="0"/>
        <w:spacing w:before="200" w:line-rule="auto"/>
        <w:ind w:firstLine="540"/>
        <w:jc w:val="both"/>
      </w:pPr>
      <w:r>
        <w:rPr>
          <w:sz w:val="20"/>
        </w:rPr>
        <w:t xml:space="preserve">Ежегодные традиционные мероприятия "Время быть здоровым", "За здоровый образ жизни", "Бросай болеть - вставай на лыжи", "Здоровая мама, здоровый малыш", "31 мая - Всемирный день без табака", "Югра за здоровый образ жизни", "Всемирный День здоровья", акции "Югра за здоровый образ жизни", "Всемирный день здоровья" на территории автономного округа включают в себя организацию фестивалей на городских площадях крупных муниципальных образований с участием профессиональных творческих коллективов, оповещение о проводимых акциях населения через средства массовой информации с привлечением популярных блогеров, распространение печатной и сувенирной продукции.</w:t>
      </w:r>
    </w:p>
    <w:p>
      <w:pPr>
        <w:pStyle w:val="0"/>
        <w:spacing w:before="200" w:line-rule="auto"/>
        <w:ind w:firstLine="540"/>
        <w:jc w:val="both"/>
      </w:pPr>
      <w:r>
        <w:rPr>
          <w:sz w:val="20"/>
        </w:rPr>
        <w:t xml:space="preserve">В 2022 году, учитывая эпидемиологическую ситуацию, связанную с распространением новой коронавирусной инфекции, большинство мероприятий проводилось в онлайн-форме.</w:t>
      </w:r>
    </w:p>
    <w:p>
      <w:pPr>
        <w:pStyle w:val="0"/>
        <w:spacing w:before="200" w:line-rule="auto"/>
        <w:ind w:firstLine="540"/>
        <w:jc w:val="both"/>
      </w:pPr>
      <w:r>
        <w:rPr>
          <w:sz w:val="20"/>
        </w:rPr>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региона.</w:t>
      </w:r>
    </w:p>
    <w:p>
      <w:pPr>
        <w:pStyle w:val="0"/>
        <w:spacing w:before="200" w:line-rule="auto"/>
        <w:ind w:firstLine="540"/>
        <w:jc w:val="both"/>
      </w:pPr>
      <w:r>
        <w:rPr>
          <w:sz w:val="20"/>
        </w:rPr>
        <w:t xml:space="preserve">Целесообразно проведение не менее 3 семинаров по онконастороженности для специалистов, оказывающих первичную медико-санитарную помощь, в том числе фельдшеров фельдшерско-акушерских пунктов, на базе каждого из ЦАОП (в том числе в режиме видео-конференц-связи).</w:t>
      </w:r>
    </w:p>
    <w:p>
      <w:pPr>
        <w:pStyle w:val="0"/>
        <w:spacing w:before="200" w:line-rule="auto"/>
        <w:ind w:firstLine="540"/>
        <w:jc w:val="both"/>
      </w:pPr>
      <w:r>
        <w:rPr>
          <w:sz w:val="20"/>
        </w:rPr>
        <w:t xml:space="preserve">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2022 году в мероприятиях и акциях, посвященных популяризации здорового образа жизни, приняли участие 2 537 добровольцев. Ежегодно планируется проводить не менее 12 мероприятий в различных формах.</w:t>
      </w:r>
    </w:p>
    <w:p>
      <w:pPr>
        <w:pStyle w:val="0"/>
        <w:spacing w:before="200" w:line-rule="auto"/>
        <w:ind w:firstLine="540"/>
        <w:jc w:val="both"/>
      </w:pPr>
      <w:r>
        <w:rPr>
          <w:sz w:val="20"/>
        </w:rPr>
        <w:t xml:space="preserve">Реализуются на системной основе массовые мероприятия, направленные на информирование о первичной профилактике онкологических заболеваний, приуроченных к тематическим дням (4 февраля - международный день борьбы против рака, 7 февраля - всемирный день здоровья, 15 февраля - международный день детей, больных раком, 31 мая - всемирный день без табака, 28 июля всемирный день борьбы с гепатитом, третий четверг ноября - международный день отказа от курения); проведение месячников по профилактике заболеваний и пропаганде здорового образа жизни среди населения автономного округа. Ежегодное проведение не менее 6 мероприятий в различных формах.</w:t>
      </w:r>
    </w:p>
    <w:p>
      <w:pPr>
        <w:pStyle w:val="0"/>
        <w:spacing w:before="200" w:line-rule="auto"/>
        <w:ind w:firstLine="540"/>
        <w:jc w:val="both"/>
      </w:pPr>
      <w:r>
        <w:rPr>
          <w:sz w:val="20"/>
        </w:rPr>
        <w:t xml:space="preserve">БУ "Центр общественного здоровья и медицинской профилактики" реализуются проекты: "Профилактика неинфекционных заболеваний, формирование здорового образа жизни санитарно-гигиеническое просвещение населения. Профилактика онкологических заболеваний", "Профилактика неинфекционных заболеваний, формирование здорового образа жизни санитарно-гигиеническое просвещение населения".</w:t>
      </w:r>
    </w:p>
    <w:p>
      <w:pPr>
        <w:pStyle w:val="0"/>
        <w:jc w:val="center"/>
      </w:pPr>
      <w:r>
        <w:rPr>
          <w:sz w:val="20"/>
        </w:rPr>
      </w:r>
    </w:p>
    <w:p>
      <w:pPr>
        <w:pStyle w:val="2"/>
        <w:outlineLvl w:val="2"/>
        <w:jc w:val="center"/>
      </w:pPr>
      <w:r>
        <w:rPr>
          <w:sz w:val="20"/>
        </w:rPr>
        <w:t xml:space="preserve">3.2. Совершенствование комплекса мер по вторичной</w:t>
      </w:r>
    </w:p>
    <w:p>
      <w:pPr>
        <w:pStyle w:val="2"/>
        <w:jc w:val="center"/>
      </w:pPr>
      <w:r>
        <w:rPr>
          <w:sz w:val="20"/>
        </w:rPr>
        <w:t xml:space="preserve">профилактике онкологических заболеваний</w:t>
      </w:r>
    </w:p>
    <w:p>
      <w:pPr>
        <w:pStyle w:val="0"/>
        <w:jc w:val="center"/>
      </w:pPr>
      <w:r>
        <w:rPr>
          <w:sz w:val="20"/>
        </w:rPr>
      </w:r>
    </w:p>
    <w:p>
      <w:pPr>
        <w:pStyle w:val="0"/>
        <w:ind w:firstLine="540"/>
        <w:jc w:val="both"/>
      </w:pPr>
      <w:r>
        <w:rPr>
          <w:sz w:val="20"/>
        </w:rPr>
        <w:t xml:space="preserve">Продолжить работу женских и мужских смотровых кабинетов с проведением профилактических осмотров, диспансеризации и совершенствованием современных скрининговых программ по ранней диагностике злокачественных новообразований, предусмотрев ежегодное проведение:</w:t>
      </w:r>
    </w:p>
    <w:p>
      <w:pPr>
        <w:pStyle w:val="0"/>
        <w:spacing w:before="200" w:line-rule="auto"/>
        <w:ind w:firstLine="540"/>
        <w:jc w:val="both"/>
      </w:pPr>
      <w:r>
        <w:rPr>
          <w:sz w:val="20"/>
        </w:rPr>
        <w:t xml:space="preserve">215000 исследований (соскоб с шейки матки и цервикального канала - 200000, соскоб с окрашиванием по Папаниколау - 15000);</w:t>
      </w:r>
    </w:p>
    <w:p>
      <w:pPr>
        <w:pStyle w:val="0"/>
        <w:spacing w:before="200" w:line-rule="auto"/>
        <w:ind w:firstLine="540"/>
        <w:jc w:val="both"/>
      </w:pPr>
      <w:r>
        <w:rPr>
          <w:sz w:val="20"/>
        </w:rPr>
        <w:t xml:space="preserve">85000 исследований кала на "скрытую кровь" в год: иммунохимический метод - 60000, экспресс-метод - 25000; 15000 эндоскопических обследований желудочно-кишечного тракта ежегодно;</w:t>
      </w:r>
    </w:p>
    <w:p>
      <w:pPr>
        <w:pStyle w:val="0"/>
        <w:spacing w:before="200" w:line-rule="auto"/>
        <w:ind w:firstLine="540"/>
        <w:jc w:val="both"/>
      </w:pPr>
      <w:r>
        <w:rPr>
          <w:sz w:val="20"/>
        </w:rPr>
        <w:t xml:space="preserve">800000 флюорографических обследований в год, 5000 обследований при проведении компьютерной томографии органов грудной клетки в год;</w:t>
      </w:r>
    </w:p>
    <w:p>
      <w:pPr>
        <w:pStyle w:val="0"/>
        <w:spacing w:before="200" w:line-rule="auto"/>
        <w:ind w:firstLine="540"/>
        <w:jc w:val="both"/>
      </w:pPr>
      <w:r>
        <w:rPr>
          <w:sz w:val="20"/>
        </w:rPr>
        <w:t xml:space="preserve">не менее 30000 обследований предстательной железы у мужчин при проведении ПСА-исследований;</w:t>
      </w:r>
    </w:p>
    <w:p>
      <w:pPr>
        <w:pStyle w:val="0"/>
        <w:spacing w:before="200" w:line-rule="auto"/>
        <w:ind w:firstLine="540"/>
        <w:jc w:val="both"/>
      </w:pPr>
      <w:r>
        <w:rPr>
          <w:sz w:val="20"/>
        </w:rPr>
        <w:t xml:space="preserve">60000 маммографических обследований у женщин;</w:t>
      </w:r>
    </w:p>
    <w:p>
      <w:pPr>
        <w:pStyle w:val="0"/>
        <w:spacing w:before="200" w:line-rule="auto"/>
        <w:ind w:firstLine="540"/>
        <w:jc w:val="both"/>
      </w:pPr>
      <w:r>
        <w:rPr>
          <w:sz w:val="20"/>
        </w:rPr>
        <w:t xml:space="preserve">15000 обследований репродуктивных органов у женщин при проведении УЗИ органов малого таза в год.</w:t>
      </w:r>
    </w:p>
    <w:p>
      <w:pPr>
        <w:pStyle w:val="0"/>
        <w:spacing w:before="200" w:line-rule="auto"/>
        <w:ind w:firstLine="540"/>
        <w:jc w:val="both"/>
      </w:pPr>
      <w:r>
        <w:rPr>
          <w:sz w:val="20"/>
        </w:rPr>
        <w:t xml:space="preserve">Оказывать методическое сопровождение и практическую помощь специалистам центров амбулаторной онкологической помощи, первичных онкологических кабинетов, кабинетов раннего выявления заболеваний медицинских организаций области.</w:t>
      </w:r>
    </w:p>
    <w:p>
      <w:pPr>
        <w:pStyle w:val="0"/>
        <w:ind w:firstLine="540"/>
        <w:jc w:val="both"/>
      </w:pPr>
      <w:r>
        <w:rPr>
          <w:sz w:val="20"/>
        </w:rPr>
      </w:r>
    </w:p>
    <w:p>
      <w:pPr>
        <w:pStyle w:val="2"/>
        <w:outlineLvl w:val="2"/>
        <w:jc w:val="center"/>
      </w:pPr>
      <w:r>
        <w:rPr>
          <w:sz w:val="20"/>
        </w:rPr>
        <w:t xml:space="preserve">3.3. Совершенствование комплекса мер, направленных</w:t>
      </w:r>
    </w:p>
    <w:p>
      <w:pPr>
        <w:pStyle w:val="2"/>
        <w:jc w:val="center"/>
      </w:pPr>
      <w:r>
        <w:rPr>
          <w:sz w:val="20"/>
        </w:rPr>
        <w:t xml:space="preserve">на развитие первичной специализированной медико-санитарной</w:t>
      </w:r>
    </w:p>
    <w:p>
      <w:pPr>
        <w:pStyle w:val="2"/>
        <w:jc w:val="center"/>
      </w:pPr>
      <w:r>
        <w:rPr>
          <w:sz w:val="20"/>
        </w:rPr>
        <w:t xml:space="preserve">помощи пациентам с онкологическими заболеваниями</w:t>
      </w:r>
    </w:p>
    <w:p>
      <w:pPr>
        <w:pStyle w:val="0"/>
        <w:jc w:val="center"/>
      </w:pPr>
      <w:r>
        <w:rPr>
          <w:sz w:val="20"/>
        </w:rPr>
      </w:r>
    </w:p>
    <w:p>
      <w:pPr>
        <w:pStyle w:val="0"/>
        <w:ind w:firstLine="540"/>
        <w:jc w:val="both"/>
      </w:pPr>
      <w:r>
        <w:rPr>
          <w:sz w:val="20"/>
        </w:rPr>
        <w:t xml:space="preserve">Проведена реорганизация структурных подразделений медицинских организаций, оказывающих медицинскую помощь пациентам с онкологическими заболеваниями, в соответствии с требованиями </w:t>
      </w:r>
      <w:hyperlink w:history="0" r:id="rId115"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0"/>
            <w:color w:val="0000ff"/>
          </w:rPr>
          <w:t xml:space="preserve">приказа</w:t>
        </w:r>
      </w:hyperlink>
      <w:r>
        <w:rPr>
          <w:sz w:val="20"/>
        </w:rPr>
        <w:t xml:space="preserve"> Минздрава России от 19 февраля 2021 года N 116н "Об утверждении Порядка оказания медицинской помощи взрослому населению при онкологических заболеваниях".</w:t>
      </w:r>
    </w:p>
    <w:p>
      <w:pPr>
        <w:pStyle w:val="0"/>
        <w:spacing w:before="200" w:line-rule="auto"/>
        <w:ind w:firstLine="540"/>
        <w:jc w:val="both"/>
      </w:pPr>
      <w:r>
        <w:rPr>
          <w:sz w:val="20"/>
        </w:rPr>
        <w:t xml:space="preserve">Мониторить работу центров амбулаторной онкологической помощи, проводить контроль качества оказания медицинской помощи в ЦАОП, соблюдения выполнения клинических рекомендаций специалистами ЦАОП.</w:t>
      </w:r>
    </w:p>
    <w:p>
      <w:pPr>
        <w:pStyle w:val="0"/>
        <w:spacing w:before="200" w:line-rule="auto"/>
        <w:ind w:firstLine="540"/>
        <w:jc w:val="both"/>
      </w:pPr>
      <w:r>
        <w:rPr>
          <w:sz w:val="20"/>
        </w:rPr>
        <w:t xml:space="preserve">К 1 августа 2023 года организовать работу центров амбулаторной онкологической помощи в городах Когалым, Нижневартовск. Количество прикрепленного населения - 544308 человек, планируемые объемы оказания медицинской помощи в условиях дневного стационара по профилю "онкология" 900 случаев госпитализации в год. Примерные схемы противоопухолевого лечения: sh0650, sh0214, sh0170, sh9001, sh9002.</w:t>
      </w:r>
    </w:p>
    <w:p>
      <w:pPr>
        <w:pStyle w:val="0"/>
        <w:spacing w:before="200" w:line-rule="auto"/>
        <w:ind w:firstLine="540"/>
        <w:jc w:val="both"/>
      </w:pPr>
      <w:r>
        <w:rPr>
          <w:sz w:val="20"/>
        </w:rPr>
        <w:t xml:space="preserve">Обеспечение "зеленого коридора" для пациентов с подозрением на онкологическое заболевание.</w:t>
      </w:r>
    </w:p>
    <w:p>
      <w:pPr>
        <w:pStyle w:val="0"/>
        <w:spacing w:before="200" w:line-rule="auto"/>
        <w:ind w:firstLine="540"/>
        <w:jc w:val="both"/>
      </w:pPr>
      <w:r>
        <w:rPr>
          <w:sz w:val="20"/>
        </w:rPr>
        <w:t xml:space="preserve">Продолжить запись пациентов на прием к онкологу через электронную запись в Единой региональный медицинской информационной системе (далее также - ЕРМИС).</w:t>
      </w:r>
    </w:p>
    <w:p>
      <w:pPr>
        <w:pStyle w:val="0"/>
        <w:spacing w:before="200" w:line-rule="auto"/>
        <w:ind w:firstLine="540"/>
        <w:jc w:val="both"/>
      </w:pPr>
      <w:r>
        <w:rPr>
          <w:sz w:val="20"/>
        </w:rPr>
        <w:t xml:space="preserve">Продолжить эффективное использование "тяжелого" диагностического оборудования в медицинских организациях автономного округа:</w:t>
      </w:r>
    </w:p>
    <w:p>
      <w:pPr>
        <w:pStyle w:val="0"/>
        <w:spacing w:before="200" w:line-rule="auto"/>
        <w:ind w:firstLine="540"/>
        <w:jc w:val="both"/>
      </w:pPr>
      <w:r>
        <w:rPr>
          <w:sz w:val="20"/>
        </w:rPr>
        <w:t xml:space="preserve">Проведение компьютерной томографии (обследования): в 2023 году - 31000, в 2024 году - 31500. Проведение магнитно-резонансной томографии (обследования): в 2023 году - 18700, в 2024 году - 18900. Проведение позитронно-эмиссионной томографии (обследования): в 2023 году - 1410, в 2024 году - 1450.</w:t>
      </w:r>
    </w:p>
    <w:p>
      <w:pPr>
        <w:pStyle w:val="0"/>
        <w:spacing w:before="200" w:line-rule="auto"/>
        <w:ind w:firstLine="540"/>
        <w:jc w:val="both"/>
      </w:pPr>
      <w:r>
        <w:rPr>
          <w:sz w:val="20"/>
        </w:rPr>
        <w:t xml:space="preserve">Продолжить дистанционные консультации специалистов амбулаторной онкологической сети с использованием телемедицинских средств связи - ежегодно не менее 800 телеконсультаций со специалистами первичного звена.</w:t>
      </w:r>
    </w:p>
    <w:p>
      <w:pPr>
        <w:pStyle w:val="0"/>
        <w:spacing w:before="200" w:line-rule="auto"/>
        <w:ind w:firstLine="540"/>
        <w:jc w:val="both"/>
      </w:pPr>
      <w:r>
        <w:rPr>
          <w:sz w:val="20"/>
        </w:rPr>
        <w:t xml:space="preserve">Использование клинических рекомендаций и протоколов ведения онкологических пациентов.</w:t>
      </w:r>
    </w:p>
    <w:p>
      <w:pPr>
        <w:pStyle w:val="0"/>
        <w:ind w:firstLine="540"/>
        <w:jc w:val="both"/>
      </w:pPr>
      <w:r>
        <w:rPr>
          <w:sz w:val="20"/>
        </w:rPr>
      </w:r>
    </w:p>
    <w:p>
      <w:pPr>
        <w:pStyle w:val="2"/>
        <w:outlineLvl w:val="2"/>
        <w:jc w:val="center"/>
      </w:pPr>
      <w:r>
        <w:rPr>
          <w:sz w:val="20"/>
        </w:rPr>
        <w:t xml:space="preserve">3.4. Совершенствование специализированной медицинской помощи</w:t>
      </w:r>
    </w:p>
    <w:p>
      <w:pPr>
        <w:pStyle w:val="2"/>
        <w:jc w:val="center"/>
      </w:pPr>
      <w:r>
        <w:rPr>
          <w:sz w:val="20"/>
        </w:rPr>
        <w:t xml:space="preserve">больным с онкологическими заболеваниями</w:t>
      </w:r>
    </w:p>
    <w:p>
      <w:pPr>
        <w:pStyle w:val="0"/>
        <w:jc w:val="center"/>
      </w:pPr>
      <w:r>
        <w:rPr>
          <w:sz w:val="20"/>
        </w:rPr>
      </w:r>
    </w:p>
    <w:p>
      <w:pPr>
        <w:pStyle w:val="0"/>
        <w:ind w:firstLine="540"/>
        <w:jc w:val="both"/>
      </w:pPr>
      <w:r>
        <w:rPr>
          <w:sz w:val="20"/>
        </w:rPr>
        <w:t xml:space="preserve">Проводить меры по формированию системы контроля качества диагностики, лечения и динамического наблюдения пациентов онкологического профиля.</w:t>
      </w:r>
    </w:p>
    <w:p>
      <w:pPr>
        <w:pStyle w:val="0"/>
        <w:spacing w:before="200" w:line-rule="auto"/>
        <w:ind w:firstLine="540"/>
        <w:jc w:val="both"/>
      </w:pPr>
      <w:r>
        <w:rPr>
          <w:sz w:val="20"/>
        </w:rPr>
        <w:t xml:space="preserve">Организовать отделение онкоурологии на базе БУ "Окружная клиническая больница" до 30 декабря 2023 года с реорганизацией структурных подразделений медицинских организаций 3 уровня, оказывающих медицинскую помощь пациентам с онкологическими заболеваниями урологической патологии, в соответствии с требованиями </w:t>
      </w:r>
      <w:hyperlink w:history="0" r:id="rId116"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0"/>
            <w:color w:val="0000ff"/>
          </w:rPr>
          <w:t xml:space="preserve">приказа</w:t>
        </w:r>
      </w:hyperlink>
      <w:r>
        <w:rPr>
          <w:sz w:val="20"/>
        </w:rPr>
        <w:t xml:space="preserve"> Минздрава России от 19 февраля 2021 года N 116н "Об утверждении Порядка оказания медицинской помощи взрослому населению при онкологических заболеваниях".</w:t>
      </w:r>
    </w:p>
    <w:p>
      <w:pPr>
        <w:pStyle w:val="0"/>
        <w:spacing w:before="200" w:line-rule="auto"/>
        <w:ind w:firstLine="540"/>
        <w:jc w:val="both"/>
      </w:pPr>
      <w:r>
        <w:rPr>
          <w:sz w:val="20"/>
        </w:rPr>
        <w:t xml:space="preserve">До конца 2024 года осуществить переоснащение медицинским оборудованием медицинских организаций.</w:t>
      </w:r>
    </w:p>
    <w:p>
      <w:pPr>
        <w:pStyle w:val="0"/>
        <w:spacing w:before="200" w:line-rule="auto"/>
        <w:ind w:firstLine="540"/>
        <w:jc w:val="both"/>
      </w:pPr>
      <w:r>
        <w:rPr>
          <w:sz w:val="20"/>
        </w:rPr>
        <w:t xml:space="preserve">Развивать и совершенствовать медицинскую помощь пациентам онкологического профиля, оказываемую в условиях круглосуточного и дневного стационаров, обеспечение преемственности противоопухолевой терапии, проводимой в стационарных и амбулаторных условиях между онкологическими центрами, онкодиспансером и ЦАОП:</w:t>
      </w:r>
    </w:p>
    <w:p>
      <w:pPr>
        <w:pStyle w:val="0"/>
        <w:spacing w:before="200" w:line-rule="auto"/>
        <w:ind w:firstLine="540"/>
        <w:jc w:val="both"/>
      </w:pPr>
      <w:r>
        <w:rPr>
          <w:sz w:val="20"/>
        </w:rPr>
        <w:t xml:space="preserve">обеспечение преемственности в противоопухолевой терапии в ЦАОП после решения мультидисциплинарного консилиума специалистов;</w:t>
      </w:r>
    </w:p>
    <w:p>
      <w:pPr>
        <w:pStyle w:val="0"/>
        <w:spacing w:before="200" w:line-rule="auto"/>
        <w:ind w:firstLine="540"/>
        <w:jc w:val="both"/>
      </w:pPr>
      <w:r>
        <w:rPr>
          <w:sz w:val="20"/>
        </w:rPr>
        <w:t xml:space="preserve">соблюдение сроков начала и межкурсового интервала противоопухолевой лекарственной терапии в ЦАОП;</w:t>
      </w:r>
    </w:p>
    <w:p>
      <w:pPr>
        <w:pStyle w:val="0"/>
        <w:spacing w:before="200" w:line-rule="auto"/>
        <w:ind w:firstLine="540"/>
        <w:jc w:val="both"/>
      </w:pPr>
      <w:r>
        <w:rPr>
          <w:sz w:val="20"/>
        </w:rPr>
        <w:t xml:space="preserve">соблюдение клинических рекомендаций по сопроводительной терапии и межкурсового наблюдения за пациентом с онкологическим заболеванием при противоопухолевом лечении.</w:t>
      </w:r>
    </w:p>
    <w:p>
      <w:pPr>
        <w:pStyle w:val="0"/>
        <w:spacing w:before="200" w:line-rule="auto"/>
        <w:ind w:firstLine="540"/>
        <w:jc w:val="both"/>
      </w:pPr>
      <w:r>
        <w:rPr>
          <w:sz w:val="20"/>
        </w:rPr>
        <w:t xml:space="preserve">Продолжить развитие стационарзамещающих технологий, малоинвазивных операций: малоинвазивные 3D-лапороскопических операций, робот-ассистированных операций, эндоскопических внутрипросветных операций, органосохранных операций при раке молочной железы, рентгенэндоваскулярных операций.</w:t>
      </w:r>
    </w:p>
    <w:p>
      <w:pPr>
        <w:pStyle w:val="0"/>
        <w:spacing w:before="200" w:line-rule="auto"/>
        <w:ind w:firstLine="540"/>
        <w:jc w:val="both"/>
      </w:pPr>
      <w:r>
        <w:rPr>
          <w:sz w:val="20"/>
        </w:rPr>
        <w:t xml:space="preserve">Переоснастить современным оборудованием для лучевой терапии Окружной онкологический центр БУ "Окружная клиническая больница", до конца 2023 года внедрить новые методики проведения радиотерапии, в том числе радиохирургии за счет бюджета автономного округа.</w:t>
      </w:r>
    </w:p>
    <w:p>
      <w:pPr>
        <w:pStyle w:val="0"/>
        <w:spacing w:before="200" w:line-rule="auto"/>
        <w:ind w:firstLine="540"/>
        <w:jc w:val="both"/>
      </w:pPr>
      <w:r>
        <w:rPr>
          <w:sz w:val="20"/>
        </w:rPr>
        <w:t xml:space="preserve">Продолжить переоснащение патологоанатомических отделений медицинских организаций второго уровня современным гистологическим оборудованием на 70% за счет средств автономного округа. Создать окружной консультативный телемедицинский центр на базе патологоанатомического отделения БУ "Окружная клиническая больница" до конца 2023 года. Стандартизировать пробоподготовку и изготовление гистологических микропрепаратов за счет обучения лаборантов-гистологов (медицинских лабораторных техников), использования единых методик и современного оборудования. Результат: повышение качества диагностики и возможность проведения телемедицинских консультаций по сканированным изображениям микропрепаратов. Стандартизация и контроль на всех этапах работы в лаборатории. Расширение спектра молекулярно-генетических исследований. Обмен данными в электронном виде через единую государственную информационную систему здравоохранения со всеми медицинскими организациями округа.</w:t>
      </w:r>
    </w:p>
    <w:p>
      <w:pPr>
        <w:pStyle w:val="0"/>
        <w:spacing w:before="200" w:line-rule="auto"/>
        <w:ind w:firstLine="540"/>
        <w:jc w:val="both"/>
      </w:pPr>
      <w:r>
        <w:rPr>
          <w:sz w:val="20"/>
        </w:rPr>
        <w:t xml:space="preserve">Разработать план мероприятий медицинской и психологической реабилитации пациентов онкологического профиля.</w:t>
      </w:r>
    </w:p>
    <w:p>
      <w:pPr>
        <w:pStyle w:val="0"/>
        <w:spacing w:before="200" w:line-rule="auto"/>
        <w:ind w:firstLine="540"/>
        <w:jc w:val="both"/>
      </w:pPr>
      <w:r>
        <w:rPr>
          <w:sz w:val="20"/>
        </w:rPr>
        <w:t xml:space="preserve">Внедрить программы психоэмоциональной поддержки онкологических больных и обеспечить охват ими онкологических больных не менее 50% от числа всех онкологических больных к концу 2024 года.</w:t>
      </w:r>
    </w:p>
    <w:p>
      <w:pPr>
        <w:pStyle w:val="0"/>
        <w:spacing w:before="200" w:line-rule="auto"/>
        <w:ind w:firstLine="540"/>
        <w:jc w:val="both"/>
      </w:pPr>
      <w:r>
        <w:rPr>
          <w:sz w:val="20"/>
        </w:rPr>
        <w:t xml:space="preserve">Совершенствовать организацию регулярных дистанционных консультаций специалистов амбулаторной онкологической сети с использованием телемедицинских средств связи.</w:t>
      </w:r>
    </w:p>
    <w:p>
      <w:pPr>
        <w:pStyle w:val="0"/>
        <w:jc w:val="center"/>
      </w:pPr>
      <w:r>
        <w:rPr>
          <w:sz w:val="20"/>
        </w:rPr>
      </w:r>
    </w:p>
    <w:p>
      <w:pPr>
        <w:pStyle w:val="2"/>
        <w:outlineLvl w:val="2"/>
        <w:jc w:val="center"/>
      </w:pPr>
      <w:r>
        <w:rPr>
          <w:sz w:val="20"/>
        </w:rPr>
        <w:t xml:space="preserve">3.5. Совершенствование мероприятий по третичной профилактике</w:t>
      </w:r>
    </w:p>
    <w:p>
      <w:pPr>
        <w:pStyle w:val="2"/>
        <w:jc w:val="center"/>
      </w:pPr>
      <w:r>
        <w:rPr>
          <w:sz w:val="20"/>
        </w:rPr>
        <w:t xml:space="preserve">рака</w:t>
      </w:r>
    </w:p>
    <w:p>
      <w:pPr>
        <w:pStyle w:val="0"/>
        <w:jc w:val="center"/>
      </w:pPr>
      <w:r>
        <w:rPr>
          <w:sz w:val="20"/>
        </w:rPr>
      </w:r>
    </w:p>
    <w:p>
      <w:pPr>
        <w:pStyle w:val="0"/>
        <w:ind w:firstLine="540"/>
        <w:jc w:val="both"/>
      </w:pPr>
      <w:r>
        <w:rPr>
          <w:sz w:val="20"/>
        </w:rPr>
        <w:t xml:space="preserve">Соблюдать диспансерное наблюдение за пациентами с онкологическими заболеваниями специалистами в первичных онкологических кабинетах (далее также - ПОК) и ЦАОП согласно </w:t>
      </w:r>
      <w:hyperlink w:history="0" r:id="rId117" w:tooltip="Приказ Минздрава России от 04.06.2020 N 548н &quot;Об утверждении порядка диспансерного наблюдения за взрослыми с онкологическими заболеваниями&quot; (Зарегистрировано в Минюсте России 26.06.2020 N 58786) {КонсультантПлюс}">
        <w:r>
          <w:rPr>
            <w:sz w:val="20"/>
            <w:color w:val="0000ff"/>
          </w:rPr>
          <w:t xml:space="preserve">приказу</w:t>
        </w:r>
      </w:hyperlink>
      <w:r>
        <w:rPr>
          <w:sz w:val="20"/>
        </w:rPr>
        <w:t xml:space="preserve"> Министерства здравоохранения Российской Федерации от 4 июня 2020 года N 548н "Об утверждении порядка диспансерного наблюдения за взрослыми с онкологическими заболеваниями". Увеличение доли лиц, осмотренных в течение года врачами-онкологами, из числа диспансерной группы пациентов с ЗНО: в 2023 году - 77%, в 2024 году - 80%.</w:t>
      </w:r>
    </w:p>
    <w:p>
      <w:pPr>
        <w:pStyle w:val="0"/>
        <w:spacing w:before="200" w:line-rule="auto"/>
        <w:ind w:firstLine="540"/>
        <w:jc w:val="both"/>
      </w:pPr>
      <w:r>
        <w:rPr>
          <w:sz w:val="20"/>
        </w:rPr>
        <w:t xml:space="preserve">Повышение приверженности пациентов с онкологическими заболеваниями к лечению и выполнению рекомендаций врача-онколога. Увеличение доли лиц с онкологическими заболеваниями, приверженными к лечению и выполнению рекомендаций врача-онколога (в %), основание для оценки - анализ выборки лечения пациентов на амбулаторном этапе: в 2023 году - 75%, в 2024 году - 80%.</w:t>
      </w:r>
    </w:p>
    <w:p>
      <w:pPr>
        <w:pStyle w:val="0"/>
        <w:spacing w:before="200" w:line-rule="auto"/>
        <w:ind w:firstLine="540"/>
        <w:jc w:val="both"/>
      </w:pPr>
      <w:r>
        <w:rPr>
          <w:sz w:val="20"/>
        </w:rPr>
        <w:t xml:space="preserve">Проводить сверку с Территориальным фондом обязательного медицинского страхования Ханты-Мансийского автономного округа - Югры (далее также - ТФОМС) и Департаментом здравоохранения автономного округа пациентов, состоящих на диспансерном учете с ЗНО.</w:t>
      </w:r>
    </w:p>
    <w:p>
      <w:pPr>
        <w:pStyle w:val="0"/>
        <w:ind w:firstLine="540"/>
        <w:jc w:val="both"/>
      </w:pPr>
      <w:r>
        <w:rPr>
          <w:sz w:val="20"/>
        </w:rPr>
      </w:r>
    </w:p>
    <w:p>
      <w:pPr>
        <w:pStyle w:val="2"/>
        <w:outlineLvl w:val="2"/>
        <w:jc w:val="center"/>
      </w:pPr>
      <w:r>
        <w:rPr>
          <w:sz w:val="20"/>
        </w:rPr>
        <w:t xml:space="preserve">3.6. Совершенствование мероприятий по паллиативной</w:t>
      </w:r>
    </w:p>
    <w:p>
      <w:pPr>
        <w:pStyle w:val="2"/>
        <w:jc w:val="center"/>
      </w:pPr>
      <w:r>
        <w:rPr>
          <w:sz w:val="20"/>
        </w:rPr>
        <w:t xml:space="preserve">медицинской помощи пациентам с онкологическими заболеваниями</w:t>
      </w:r>
    </w:p>
    <w:p>
      <w:pPr>
        <w:pStyle w:val="0"/>
        <w:jc w:val="center"/>
      </w:pPr>
      <w:r>
        <w:rPr>
          <w:sz w:val="20"/>
        </w:rPr>
      </w:r>
    </w:p>
    <w:p>
      <w:pPr>
        <w:pStyle w:val="0"/>
        <w:ind w:firstLine="540"/>
        <w:jc w:val="both"/>
      </w:pPr>
      <w:r>
        <w:rPr>
          <w:sz w:val="20"/>
        </w:rPr>
        <w:t xml:space="preserve">Продолжить повышение качества и доступности паллиативной помощи населению. К концу 2024 года будет функционировать 20 паллиативных коек на 100 000 взрослого населения.</w:t>
      </w:r>
    </w:p>
    <w:p>
      <w:pPr>
        <w:pStyle w:val="0"/>
        <w:spacing w:before="200" w:line-rule="auto"/>
        <w:ind w:firstLine="540"/>
        <w:jc w:val="both"/>
      </w:pPr>
      <w:r>
        <w:rPr>
          <w:sz w:val="20"/>
        </w:rPr>
        <w:t xml:space="preserve">Продолжить создание отделений выездной патронажной паллиативной медицинской помощи.</w:t>
      </w:r>
    </w:p>
    <w:p>
      <w:pPr>
        <w:pStyle w:val="0"/>
        <w:spacing w:before="200" w:line-rule="auto"/>
        <w:ind w:firstLine="540"/>
        <w:jc w:val="both"/>
      </w:pPr>
      <w:r>
        <w:rPr>
          <w:sz w:val="20"/>
        </w:rPr>
        <w:t xml:space="preserve">Продолжить проведение не менее 4 раз в год школ "Уход за тяжелобольными пациентами" в медицинских организациях, оказывающих первичную медико-санитарную помощь пациентам с онкологическими заболеваниями. Продолжить проведение мониторинга доступности обезболивающий терапии в ежеквартальном режиме.</w:t>
      </w:r>
    </w:p>
    <w:p>
      <w:pPr>
        <w:pStyle w:val="0"/>
        <w:spacing w:before="200" w:line-rule="auto"/>
        <w:ind w:firstLine="540"/>
        <w:jc w:val="both"/>
      </w:pPr>
      <w:r>
        <w:rPr>
          <w:sz w:val="20"/>
        </w:rPr>
        <w:t xml:space="preserve">Продолжить оснащение/дооснащение медицинским оборудованием медицинских организаций, оказывающих паллиативную медицинскую помощь.</w:t>
      </w:r>
    </w:p>
    <w:p>
      <w:pPr>
        <w:pStyle w:val="0"/>
        <w:spacing w:before="200" w:line-rule="auto"/>
        <w:ind w:firstLine="540"/>
        <w:jc w:val="both"/>
      </w:pPr>
      <w:r>
        <w:rPr>
          <w:sz w:val="20"/>
        </w:rPr>
        <w:t xml:space="preserve">Продолжить обеспечение медицинским оборудованием пациентов, нуждающихся в паллиативной медицинской помощи и респираторной поддержке на дому.</w:t>
      </w:r>
    </w:p>
    <w:p>
      <w:pPr>
        <w:pStyle w:val="0"/>
        <w:spacing w:before="200" w:line-rule="auto"/>
        <w:ind w:firstLine="540"/>
        <w:jc w:val="both"/>
      </w:pPr>
      <w:r>
        <w:rPr>
          <w:sz w:val="20"/>
        </w:rPr>
        <w:t xml:space="preserve">Продолжить обучение медицинских работников по вопросам оказания паллиативной помощи.</w:t>
      </w:r>
    </w:p>
    <w:p>
      <w:pPr>
        <w:pStyle w:val="0"/>
        <w:spacing w:before="200" w:line-rule="auto"/>
        <w:ind w:firstLine="540"/>
        <w:jc w:val="both"/>
      </w:pPr>
      <w:r>
        <w:rPr>
          <w:sz w:val="20"/>
        </w:rPr>
        <w:t xml:space="preserve">Продолжить ведение регистра пациентов, нуждающихся в оказании паллиативной помощи.</w:t>
      </w:r>
    </w:p>
    <w:p>
      <w:pPr>
        <w:pStyle w:val="0"/>
        <w:spacing w:before="200" w:line-rule="auto"/>
        <w:ind w:firstLine="540"/>
        <w:jc w:val="both"/>
      </w:pPr>
      <w:r>
        <w:rPr>
          <w:sz w:val="20"/>
        </w:rPr>
        <w:t xml:space="preserve">Совершенствовать маршрутизацию пациентов с хроническим болевым синдромом, нуждающихся в паллиативной медицинской помощи.</w:t>
      </w:r>
    </w:p>
    <w:p>
      <w:pPr>
        <w:pStyle w:val="0"/>
        <w:spacing w:before="200" w:line-rule="auto"/>
        <w:ind w:firstLine="540"/>
        <w:jc w:val="both"/>
      </w:pPr>
      <w:r>
        <w:rPr>
          <w:sz w:val="20"/>
        </w:rPr>
        <w:t xml:space="preserve">Продолжить проведение социально значимых мероприятий с привлечением волонтерской помощи пациентам, нуждающимся в паллиативной помощи.</w:t>
      </w:r>
    </w:p>
    <w:p>
      <w:pPr>
        <w:pStyle w:val="0"/>
        <w:ind w:firstLine="540"/>
        <w:jc w:val="both"/>
      </w:pPr>
      <w:r>
        <w:rPr>
          <w:sz w:val="20"/>
        </w:rPr>
      </w:r>
    </w:p>
    <w:p>
      <w:pPr>
        <w:pStyle w:val="2"/>
        <w:outlineLvl w:val="2"/>
        <w:jc w:val="center"/>
      </w:pPr>
      <w:r>
        <w:rPr>
          <w:sz w:val="20"/>
        </w:rPr>
        <w:t xml:space="preserve">3.7. Организационно-методическое сопровождение деятельности</w:t>
      </w:r>
    </w:p>
    <w:p>
      <w:pPr>
        <w:pStyle w:val="2"/>
        <w:jc w:val="center"/>
      </w:pPr>
      <w:r>
        <w:rPr>
          <w:sz w:val="20"/>
        </w:rPr>
        <w:t xml:space="preserve">онкологической службы</w:t>
      </w:r>
    </w:p>
    <w:p>
      <w:pPr>
        <w:pStyle w:val="0"/>
        <w:jc w:val="center"/>
      </w:pPr>
      <w:r>
        <w:rPr>
          <w:sz w:val="20"/>
        </w:rPr>
      </w:r>
    </w:p>
    <w:p>
      <w:pPr>
        <w:pStyle w:val="0"/>
        <w:ind w:firstLine="540"/>
        <w:jc w:val="both"/>
      </w:pPr>
      <w:r>
        <w:rPr>
          <w:sz w:val="20"/>
        </w:rPr>
        <w:t xml:space="preserve">Ежегодная актуализация и утверждение регионального нормативного правового акта по маршрутизации пациентов с подозрением на онкологическое заболевание для дообследования, получения специализированной помощи и диспансерного наблюдения.</w:t>
      </w:r>
    </w:p>
    <w:p>
      <w:pPr>
        <w:pStyle w:val="0"/>
        <w:spacing w:before="200" w:line-rule="auto"/>
        <w:ind w:firstLine="540"/>
        <w:jc w:val="both"/>
      </w:pPr>
      <w:r>
        <w:rPr>
          <w:sz w:val="20"/>
        </w:rPr>
        <w:t xml:space="preserve">Проведение эпидемиологического мониторинга заболеваемости, смертности, распространенности и инвалидизации от злокачественных новообразований, планирование объемов оказания медицинской помощи на основании действующего регионального онкологического регистра.</w:t>
      </w:r>
    </w:p>
    <w:p>
      <w:pPr>
        <w:pStyle w:val="0"/>
        <w:spacing w:before="200" w:line-rule="auto"/>
        <w:ind w:firstLine="540"/>
        <w:jc w:val="both"/>
      </w:pPr>
      <w:r>
        <w:rPr>
          <w:sz w:val="20"/>
        </w:rPr>
        <w:t xml:space="preserve">Организация научно-практических мероприятий, в том числе зарегистрированных в системе непрерывного медицинского образования, с привлечением специалистов федеральных медицинских центров, в автономном округе.</w:t>
      </w:r>
    </w:p>
    <w:p>
      <w:pPr>
        <w:pStyle w:val="0"/>
        <w:spacing w:before="200" w:line-rule="auto"/>
        <w:ind w:firstLine="540"/>
        <w:jc w:val="both"/>
      </w:pPr>
      <w:r>
        <w:rPr>
          <w:sz w:val="20"/>
        </w:rPr>
        <w:t xml:space="preserve">Контроль обеспечения мероприятий по внедрению системы внутреннего контроля качества медицинской помощи и безопасности медицинской деятельности.</w:t>
      </w:r>
    </w:p>
    <w:p>
      <w:pPr>
        <w:pStyle w:val="0"/>
        <w:spacing w:before="200" w:line-rule="auto"/>
        <w:ind w:firstLine="540"/>
        <w:jc w:val="both"/>
      </w:pPr>
      <w:r>
        <w:rPr>
          <w:sz w:val="20"/>
        </w:rPr>
        <w:t xml:space="preserve">Соблюдение клинических рекомендаций при оказании медицинской помощи больным с онкологическими заболеваниями.</w:t>
      </w:r>
    </w:p>
    <w:p>
      <w:pPr>
        <w:pStyle w:val="0"/>
        <w:spacing w:before="200" w:line-rule="auto"/>
        <w:ind w:firstLine="540"/>
        <w:jc w:val="both"/>
      </w:pPr>
      <w:r>
        <w:rPr>
          <w:sz w:val="20"/>
        </w:rPr>
        <w:t xml:space="preserve">Проведение мультидисциплинарного консилиума всем больным с впервые установленным диагнозом ЗНО, а также при смене тактики лечения.</w:t>
      </w:r>
    </w:p>
    <w:p>
      <w:pPr>
        <w:pStyle w:val="0"/>
        <w:spacing w:before="200" w:line-rule="auto"/>
        <w:ind w:firstLine="540"/>
        <w:jc w:val="both"/>
      </w:pPr>
      <w:r>
        <w:rPr>
          <w:sz w:val="20"/>
        </w:rPr>
        <w:t xml:space="preserve">Формирование системы внешнего контроля качества медицинской помощи онкологическим больным, плановая и внеплановая оценка контроля качества работы учреждения Департаментом здравоохранения Ханты-Мансийского автономного округа - Югры. Контроль качества оказания медицинской помощи.</w:t>
      </w:r>
    </w:p>
    <w:p>
      <w:pPr>
        <w:pStyle w:val="0"/>
        <w:spacing w:before="200" w:line-rule="auto"/>
        <w:ind w:firstLine="540"/>
        <w:jc w:val="both"/>
      </w:pPr>
      <w:r>
        <w:rPr>
          <w:sz w:val="20"/>
        </w:rPr>
        <w:t xml:space="preserve">Работа комиссии по разбору всех случаев смерти от ЗНО в автономном округе.</w:t>
      </w:r>
    </w:p>
    <w:p>
      <w:pPr>
        <w:pStyle w:val="0"/>
        <w:spacing w:before="200" w:line-rule="auto"/>
        <w:ind w:firstLine="540"/>
        <w:jc w:val="both"/>
      </w:pPr>
      <w:r>
        <w:rPr>
          <w:sz w:val="20"/>
        </w:rPr>
        <w:t xml:space="preserve">Работа комиссии по разбору всех случаев запущенности от ЗНО в автономном округе.</w:t>
      </w:r>
    </w:p>
    <w:p>
      <w:pPr>
        <w:pStyle w:val="0"/>
        <w:spacing w:before="200" w:line-rule="auto"/>
        <w:ind w:firstLine="540"/>
        <w:jc w:val="both"/>
      </w:pPr>
      <w:r>
        <w:rPr>
          <w:sz w:val="20"/>
        </w:rPr>
        <w:t xml:space="preserve">Ежеквартальный мониторинг состояния онкологической службы в автономном округе, ежеквартальный анализ и формирование предложений по улучшению работы служб.</w:t>
      </w:r>
    </w:p>
    <w:p>
      <w:pPr>
        <w:pStyle w:val="0"/>
        <w:spacing w:before="200" w:line-rule="auto"/>
        <w:ind w:firstLine="540"/>
        <w:jc w:val="both"/>
      </w:pPr>
      <w:r>
        <w:rPr>
          <w:sz w:val="20"/>
        </w:rPr>
        <w:t xml:space="preserve">Проведение консультаций "врач-врач" с Национальными медицинскими исследовательским центром (далее - НМИЦ) онкологии по формированию тактики ведения пациентов в сложных клинических случаях. К концу 2024 года ежегодное участие не менее 70% врачей-онкологов в вебинарах и мастер-классах, проводимых НМИЦ. Проведение ежегодно не менее 70 телемедицинских консультаций "врач-врач" с НМИЦ онкологии по формированию тактики ведения пациентов в сложных клинических случаях.</w:t>
      </w:r>
    </w:p>
    <w:p>
      <w:pPr>
        <w:pStyle w:val="0"/>
        <w:jc w:val="center"/>
      </w:pPr>
      <w:r>
        <w:rPr>
          <w:sz w:val="20"/>
        </w:rPr>
      </w:r>
    </w:p>
    <w:p>
      <w:pPr>
        <w:pStyle w:val="2"/>
        <w:outlineLvl w:val="2"/>
        <w:jc w:val="center"/>
      </w:pPr>
      <w:r>
        <w:rPr>
          <w:sz w:val="20"/>
        </w:rPr>
        <w:t xml:space="preserve">3.8. Внедрение информационных технологий в работу</w:t>
      </w:r>
    </w:p>
    <w:p>
      <w:pPr>
        <w:pStyle w:val="2"/>
        <w:jc w:val="center"/>
      </w:pPr>
      <w:r>
        <w:rPr>
          <w:sz w:val="20"/>
        </w:rPr>
        <w:t xml:space="preserve">онкологической службы и их интеграция в систему медицинских</w:t>
      </w:r>
    </w:p>
    <w:p>
      <w:pPr>
        <w:pStyle w:val="2"/>
        <w:jc w:val="center"/>
      </w:pPr>
      <w:r>
        <w:rPr>
          <w:sz w:val="20"/>
        </w:rPr>
        <w:t xml:space="preserve">организаций автономного округа</w:t>
      </w:r>
    </w:p>
    <w:p>
      <w:pPr>
        <w:pStyle w:val="0"/>
        <w:jc w:val="center"/>
      </w:pPr>
      <w:r>
        <w:rPr>
          <w:sz w:val="20"/>
        </w:rPr>
      </w:r>
    </w:p>
    <w:p>
      <w:pPr>
        <w:pStyle w:val="0"/>
        <w:ind w:firstLine="540"/>
        <w:jc w:val="both"/>
      </w:pPr>
      <w:r>
        <w:rPr>
          <w:sz w:val="20"/>
        </w:rPr>
        <w:t xml:space="preserve">Продолжить формирование инфраструктуры системы оказания телемедицинских консультаций для медицинских организаций автономного округа.</w:t>
      </w:r>
    </w:p>
    <w:p>
      <w:pPr>
        <w:pStyle w:val="0"/>
        <w:spacing w:before="200" w:line-rule="auto"/>
        <w:ind w:firstLine="540"/>
        <w:jc w:val="both"/>
      </w:pPr>
      <w:r>
        <w:rPr>
          <w:sz w:val="20"/>
        </w:rPr>
        <w:t xml:space="preserve">Продолжить работу в ВИМИС по профилю "онкология" с повышением эффективности управления организации медицинской помощи по профилю "онкология" за счет обеспечения оперативного и всестороннего анализа информации, а также повышение качества оказания медицинской помощи онкологическим больным на основе совершенствования ее информационной поддержки на всех уровнях. Обеспечить передачу данных в соответствии с планом работ в ВИМИС "онкология" с ежеквартальным контролем объемов передаваемых данных.</w:t>
      </w:r>
    </w:p>
    <w:p>
      <w:pPr>
        <w:pStyle w:val="0"/>
        <w:spacing w:before="200" w:line-rule="auto"/>
        <w:ind w:firstLine="540"/>
        <w:jc w:val="both"/>
      </w:pPr>
      <w:r>
        <w:rPr>
          <w:sz w:val="20"/>
        </w:rPr>
        <w:t xml:space="preserve">Унификация ведения электронной медицинской документации и справочников: актуализация нормативно-справочной информации для функционирования единого цифрового контура онкологической службы автономного округа. Формирование электронных документов от момента обращения в первичное звено медицинской помощи до проведения специализированного лечения пациента со злокачественным новообразованием.</w:t>
      </w:r>
    </w:p>
    <w:p>
      <w:pPr>
        <w:pStyle w:val="0"/>
        <w:spacing w:before="200" w:line-rule="auto"/>
        <w:ind w:firstLine="540"/>
        <w:jc w:val="both"/>
      </w:pPr>
      <w:r>
        <w:rPr>
          <w:sz w:val="20"/>
        </w:rPr>
        <w:t xml:space="preserve">Обеспечить применение систем электронной очереди для амбулаторных и стационарных пациентов при формировании единого цифрового контура онкологической службы региона для электронной записи пациентов на прием и госпитализацию.</w:t>
      </w:r>
    </w:p>
    <w:p>
      <w:pPr>
        <w:pStyle w:val="0"/>
        <w:spacing w:before="200" w:line-rule="auto"/>
        <w:ind w:firstLine="540"/>
        <w:jc w:val="both"/>
      </w:pPr>
      <w:r>
        <w:rPr>
          <w:sz w:val="20"/>
        </w:rPr>
        <w:t xml:space="preserve">Организовать мониторинг, планирование и управление потоками пациентов с онкологическими заболеваниями при оказании им медицинской помощи: формирование единого цифрового контура онкологической службы региона для мониторинга направления пациентов.</w:t>
      </w:r>
    </w:p>
    <w:p>
      <w:pPr>
        <w:pStyle w:val="0"/>
        <w:spacing w:before="200" w:line-rule="auto"/>
        <w:ind w:firstLine="540"/>
        <w:jc w:val="both"/>
      </w:pPr>
      <w:r>
        <w:rPr>
          <w:sz w:val="20"/>
        </w:rPr>
        <w:t xml:space="preserve">Продолжить использование локального и регионального архивов медицинских изображений (PACS-архивы) как основы для телемедицинских консультаций: совершенствование системы работы региональной радиологической системы (РРИС) с использованием PACS-архивов.</w:t>
      </w:r>
    </w:p>
    <w:p>
      <w:pPr>
        <w:pStyle w:val="0"/>
        <w:spacing w:before="200" w:line-rule="auto"/>
        <w:ind w:firstLine="540"/>
        <w:jc w:val="both"/>
      </w:pPr>
      <w:r>
        <w:rPr>
          <w:sz w:val="20"/>
        </w:rPr>
        <w:t xml:space="preserve">Продолжить развитие и использование метода цифровой микроскопии при верификации онкологических диагнозов.</w:t>
      </w:r>
    </w:p>
    <w:p>
      <w:pPr>
        <w:pStyle w:val="0"/>
        <w:spacing w:before="200" w:line-rule="auto"/>
        <w:ind w:firstLine="540"/>
        <w:jc w:val="both"/>
      </w:pPr>
      <w:r>
        <w:rPr>
          <w:sz w:val="20"/>
        </w:rPr>
        <w:t xml:space="preserve">Обеспечить работу механизмов обратной связи, информирование пациентов через сайты учреждений.</w:t>
      </w:r>
    </w:p>
    <w:p>
      <w:pPr>
        <w:pStyle w:val="0"/>
        <w:spacing w:before="200" w:line-rule="auto"/>
        <w:ind w:firstLine="540"/>
        <w:jc w:val="both"/>
      </w:pPr>
      <w:r>
        <w:rPr>
          <w:sz w:val="20"/>
        </w:rPr>
        <w:t xml:space="preserve">Обеспечить медицинские организации широкополосным доступом в сеть Интернет с созданием возможности безопасной передачи данных, обеспечить рабочие места онкологов компьютерной техникой с последующим совершенствованием системы использования безопасной передачи данных по закрытым каналам.</w:t>
      </w:r>
    </w:p>
    <w:p>
      <w:pPr>
        <w:pStyle w:val="0"/>
        <w:spacing w:before="200" w:line-rule="auto"/>
        <w:ind w:firstLine="540"/>
        <w:jc w:val="both"/>
      </w:pPr>
      <w:r>
        <w:rPr>
          <w:sz w:val="20"/>
        </w:rPr>
        <w:t xml:space="preserve">Выполнить интеграцию медицинской информационной системы с подсистемами единой государственной информационной системы в сфере здравоохранения.</w:t>
      </w:r>
    </w:p>
    <w:p>
      <w:pPr>
        <w:pStyle w:val="0"/>
        <w:ind w:firstLine="540"/>
        <w:jc w:val="both"/>
      </w:pPr>
      <w:r>
        <w:rPr>
          <w:sz w:val="20"/>
        </w:rPr>
      </w:r>
    </w:p>
    <w:p>
      <w:pPr>
        <w:pStyle w:val="2"/>
        <w:outlineLvl w:val="2"/>
        <w:jc w:val="center"/>
      </w:pPr>
      <w:r>
        <w:rPr>
          <w:sz w:val="20"/>
        </w:rPr>
        <w:t xml:space="preserve">3.9. Разработка комплекса мер по улучшению</w:t>
      </w:r>
    </w:p>
    <w:p>
      <w:pPr>
        <w:pStyle w:val="2"/>
        <w:jc w:val="center"/>
      </w:pPr>
      <w:r>
        <w:rPr>
          <w:sz w:val="20"/>
        </w:rPr>
        <w:t xml:space="preserve">укомплектованности кадрами медицинских организаций,</w:t>
      </w:r>
    </w:p>
    <w:p>
      <w:pPr>
        <w:pStyle w:val="2"/>
        <w:jc w:val="center"/>
      </w:pPr>
      <w:r>
        <w:rPr>
          <w:sz w:val="20"/>
        </w:rPr>
        <w:t xml:space="preserve">оказывающих медицинскую помощь больным с онкологическими</w:t>
      </w:r>
    </w:p>
    <w:p>
      <w:pPr>
        <w:pStyle w:val="2"/>
        <w:jc w:val="center"/>
      </w:pPr>
      <w:r>
        <w:rPr>
          <w:sz w:val="20"/>
        </w:rPr>
        <w:t xml:space="preserve">заболеваниями</w:t>
      </w:r>
    </w:p>
    <w:p>
      <w:pPr>
        <w:pStyle w:val="0"/>
        <w:jc w:val="center"/>
      </w:pPr>
      <w:r>
        <w:rPr>
          <w:sz w:val="20"/>
        </w:rPr>
      </w:r>
    </w:p>
    <w:p>
      <w:pPr>
        <w:pStyle w:val="0"/>
        <w:ind w:firstLine="540"/>
        <w:jc w:val="both"/>
      </w:pPr>
      <w:r>
        <w:rPr>
          <w:sz w:val="20"/>
        </w:rPr>
        <w:t xml:space="preserve">Обеспечить подготовку специалистов по программам высшего образования целевого обучения за счет средств федерального и регионального бюджетов. Подготовка до конца 2024 года: в клинической ординатуре окружных вузов врачей-онкологов; в окружных и федеральных вузах: врач-патологоанатом - 22; врач клинической лабораторной диагностики - 20; врач лабораторной генетики - 2; врач-гематолог - 5; врач УЗ диагностики - 13; врач функциональной диагностики - 6; врач-эндоскопист - 4; врач-рентгенолог - 27; врач-трансфузиолог - 4.</w:t>
      </w:r>
    </w:p>
    <w:p>
      <w:pPr>
        <w:pStyle w:val="0"/>
        <w:spacing w:before="200" w:line-rule="auto"/>
        <w:ind w:firstLine="540"/>
        <w:jc w:val="both"/>
      </w:pPr>
      <w:r>
        <w:rPr>
          <w:sz w:val="20"/>
        </w:rPr>
        <w:t xml:space="preserve">Подготовка специалистов по программам среднего образования при целевом обучении за счет средств федерального и регионального бюджетов. Подготовка до конца 2024 года в средних медицинских образовательных учреждениях среднего медицинского работника, в том числе рентген-лаборантов, не менее 21 специалиста.</w:t>
      </w:r>
    </w:p>
    <w:p>
      <w:pPr>
        <w:pStyle w:val="0"/>
        <w:spacing w:before="200" w:line-rule="auto"/>
        <w:ind w:firstLine="540"/>
        <w:jc w:val="both"/>
      </w:pPr>
      <w:r>
        <w:rPr>
          <w:sz w:val="20"/>
        </w:rPr>
        <w:t xml:space="preserve">Продолжить подготовку специалистов по программам профессиональной переподготовки и повышению квалификации (в том числе за счет ТФОМС и при непрерывном медицинском образовании). Ежегодное повышение квалификации не менее 50% врачей по специальностям "онкология", "радиотерапия", "радиология", "рентгенология", "ультразвуковая диагностика", "клиническая лабораторная диагностика", "патологическая анатомия".</w:t>
      </w:r>
    </w:p>
    <w:p>
      <w:pPr>
        <w:pStyle w:val="0"/>
        <w:spacing w:before="200" w:line-rule="auto"/>
        <w:ind w:firstLine="540"/>
        <w:jc w:val="both"/>
      </w:pPr>
      <w:r>
        <w:rPr>
          <w:sz w:val="20"/>
        </w:rPr>
        <w:t xml:space="preserve">Обеспечить укомплектование центров амбулаторной онкологической помощи не менее 14 врачами-онкологами к 2024 году.</w:t>
      </w:r>
    </w:p>
    <w:p>
      <w:pPr>
        <w:pStyle w:val="0"/>
        <w:spacing w:before="200" w:line-rule="auto"/>
        <w:ind w:firstLine="540"/>
        <w:jc w:val="both"/>
      </w:pPr>
      <w:r>
        <w:rPr>
          <w:sz w:val="20"/>
        </w:rPr>
        <w:t xml:space="preserve">Продолжить реализацию программы "Земский доктор", "Земский фельдшер".</w:t>
      </w:r>
    </w:p>
    <w:p>
      <w:pPr>
        <w:pStyle w:val="0"/>
        <w:spacing w:before="200" w:line-rule="auto"/>
        <w:ind w:firstLine="540"/>
        <w:jc w:val="both"/>
      </w:pPr>
      <w:r>
        <w:rPr>
          <w:sz w:val="20"/>
        </w:rPr>
        <w:t xml:space="preserve">Продолжить проведение конкурсов профессионального мастерства "Лучший врач года", "Лучший средний медицинский работник года".</w:t>
      </w:r>
    </w:p>
    <w:p>
      <w:pPr>
        <w:pStyle w:val="0"/>
        <w:spacing w:before="200" w:line-rule="auto"/>
        <w:ind w:firstLine="540"/>
        <w:jc w:val="both"/>
      </w:pPr>
      <w:r>
        <w:rPr>
          <w:sz w:val="20"/>
        </w:rPr>
        <w:t xml:space="preserve">Обеспечить предоставление служебного жилья специалистам, выплату ежемесячной компенсации расходов за коммунальные услуги.</w:t>
      </w:r>
    </w:p>
    <w:p>
      <w:pPr>
        <w:pStyle w:val="0"/>
        <w:ind w:firstLine="540"/>
        <w:jc w:val="both"/>
      </w:pPr>
      <w:r>
        <w:rPr>
          <w:sz w:val="20"/>
        </w:rPr>
      </w:r>
    </w:p>
    <w:p>
      <w:pPr>
        <w:pStyle w:val="0"/>
        <w:jc w:val="right"/>
      </w:pPr>
      <w:r>
        <w:rPr>
          <w:sz w:val="20"/>
        </w:rPr>
        <w:t xml:space="preserve">Таблица 50</w:t>
      </w:r>
    </w:p>
    <w:p>
      <w:pPr>
        <w:pStyle w:val="0"/>
        <w:jc w:val="right"/>
      </w:pPr>
      <w:r>
        <w:rPr>
          <w:sz w:val="20"/>
        </w:rPr>
      </w:r>
    </w:p>
    <w:p>
      <w:pPr>
        <w:pStyle w:val="2"/>
        <w:outlineLvl w:val="1"/>
        <w:jc w:val="center"/>
      </w:pPr>
      <w:r>
        <w:rPr>
          <w:sz w:val="20"/>
        </w:rPr>
        <w:t xml:space="preserve">Раздел IV. ПЛАН МЕРОПРИЯТИЙ РЕГИОНАЛЬНОЙ ПРОГРАММЫ "БОРЬБА</w:t>
      </w:r>
    </w:p>
    <w:p>
      <w:pPr>
        <w:pStyle w:val="2"/>
        <w:jc w:val="center"/>
      </w:pPr>
      <w:r>
        <w:rPr>
          <w:sz w:val="20"/>
        </w:rPr>
        <w:t xml:space="preserve">С ОНКОЛОГИЧЕСКИМИ ЗАБОЛЕВАНИЯМИ" В ХАНТЫ-МАНСИЙСКОМ</w:t>
      </w:r>
    </w:p>
    <w:p>
      <w:pPr>
        <w:pStyle w:val="2"/>
        <w:jc w:val="center"/>
      </w:pPr>
      <w:r>
        <w:rPr>
          <w:sz w:val="20"/>
        </w:rPr>
        <w:t xml:space="preserve">АВТОНОМНОМ ОКРУГЕ - ЮГРЕ</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7"/>
        <w:gridCol w:w="3685"/>
        <w:gridCol w:w="1220"/>
        <w:gridCol w:w="1304"/>
        <w:gridCol w:w="3118"/>
        <w:gridCol w:w="4195"/>
        <w:gridCol w:w="1644"/>
      </w:tblGrid>
      <w:tr>
        <w:tc>
          <w:tcPr>
            <w:tcW w:w="587" w:type="dxa"/>
          </w:tcPr>
          <w:p>
            <w:pPr>
              <w:pStyle w:val="0"/>
              <w:jc w:val="center"/>
            </w:pPr>
            <w:r>
              <w:rPr>
                <w:sz w:val="20"/>
              </w:rPr>
              <w:t xml:space="preserve">N п/п</w:t>
            </w:r>
          </w:p>
        </w:tc>
        <w:tc>
          <w:tcPr>
            <w:tcW w:w="3685" w:type="dxa"/>
          </w:tcPr>
          <w:p>
            <w:pPr>
              <w:pStyle w:val="0"/>
              <w:jc w:val="center"/>
            </w:pPr>
            <w:r>
              <w:rPr>
                <w:sz w:val="20"/>
              </w:rPr>
              <w:t xml:space="preserve">Наименование мероприятий, контрольные точки</w:t>
            </w:r>
          </w:p>
        </w:tc>
        <w:tc>
          <w:tcPr>
            <w:tcW w:w="1220" w:type="dxa"/>
          </w:tcPr>
          <w:p>
            <w:pPr>
              <w:pStyle w:val="0"/>
              <w:jc w:val="center"/>
            </w:pPr>
            <w:r>
              <w:rPr>
                <w:sz w:val="20"/>
              </w:rPr>
              <w:t xml:space="preserve">Дата начала реализации</w:t>
            </w:r>
          </w:p>
        </w:tc>
        <w:tc>
          <w:tcPr>
            <w:tcW w:w="1304" w:type="dxa"/>
          </w:tcPr>
          <w:p>
            <w:pPr>
              <w:pStyle w:val="0"/>
              <w:jc w:val="center"/>
            </w:pPr>
            <w:r>
              <w:rPr>
                <w:sz w:val="20"/>
              </w:rPr>
              <w:t xml:space="preserve">Дата окончания реализации</w:t>
            </w:r>
          </w:p>
        </w:tc>
        <w:tc>
          <w:tcPr>
            <w:tcW w:w="3118" w:type="dxa"/>
          </w:tcPr>
          <w:p>
            <w:pPr>
              <w:pStyle w:val="0"/>
              <w:jc w:val="center"/>
            </w:pPr>
            <w:r>
              <w:rPr>
                <w:sz w:val="20"/>
              </w:rPr>
              <w:t xml:space="preserve">Ответственный исполнитель</w:t>
            </w:r>
          </w:p>
        </w:tc>
        <w:tc>
          <w:tcPr>
            <w:tcW w:w="4195" w:type="dxa"/>
          </w:tcPr>
          <w:p>
            <w:pPr>
              <w:pStyle w:val="0"/>
              <w:jc w:val="center"/>
            </w:pPr>
            <w:r>
              <w:rPr>
                <w:sz w:val="20"/>
              </w:rPr>
              <w:t xml:space="preserve">Характеристика результата, критерий исполнения мероприятия</w:t>
            </w:r>
          </w:p>
        </w:tc>
        <w:tc>
          <w:tcPr>
            <w:tcW w:w="1644" w:type="dxa"/>
          </w:tcPr>
          <w:p>
            <w:pPr>
              <w:pStyle w:val="0"/>
              <w:jc w:val="center"/>
            </w:pPr>
            <w:r>
              <w:rPr>
                <w:sz w:val="20"/>
              </w:rPr>
              <w:t xml:space="preserve">Регулярность</w:t>
            </w:r>
          </w:p>
        </w:tc>
      </w:tr>
      <w:tr>
        <w:tc>
          <w:tcPr>
            <w:gridSpan w:val="7"/>
            <w:tcW w:w="15753" w:type="dxa"/>
          </w:tcPr>
          <w:p>
            <w:pPr>
              <w:pStyle w:val="0"/>
              <w:outlineLvl w:val="2"/>
              <w:jc w:val="center"/>
            </w:pPr>
            <w:r>
              <w:rPr>
                <w:sz w:val="20"/>
              </w:rPr>
              <w:t xml:space="preserve">1. Комплекс мер первичной профилактики онкологических заболеваний</w:t>
            </w:r>
          </w:p>
        </w:tc>
      </w:tr>
      <w:tr>
        <w:tc>
          <w:tcPr>
            <w:tcW w:w="587" w:type="dxa"/>
          </w:tcPr>
          <w:p>
            <w:pPr>
              <w:pStyle w:val="0"/>
            </w:pPr>
            <w:r>
              <w:rPr>
                <w:sz w:val="20"/>
              </w:rPr>
              <w:t xml:space="preserve">1.1.</w:t>
            </w:r>
          </w:p>
        </w:tc>
        <w:tc>
          <w:tcPr>
            <w:tcW w:w="3685" w:type="dxa"/>
          </w:tcPr>
          <w:p>
            <w:pPr>
              <w:pStyle w:val="0"/>
            </w:pPr>
            <w:r>
              <w:rPr>
                <w:sz w:val="20"/>
              </w:rPr>
              <w:t xml:space="preserve">Изготовление и размещение в средствах массовой информации (далее - СМИ) материалов, социальной рекламы о вреде потребления табачной продукции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специалист по профилактической медицине, пульмонолог, онколог (по согласованию)</w:t>
            </w:r>
          </w:p>
        </w:tc>
        <w:tc>
          <w:tcPr>
            <w:tcW w:w="4195" w:type="dxa"/>
          </w:tcPr>
          <w:p>
            <w:pPr>
              <w:pStyle w:val="0"/>
            </w:pPr>
            <w:r>
              <w:rPr>
                <w:sz w:val="20"/>
              </w:rPr>
              <w:t xml:space="preserve">Изготовление и размещение в СМИ:</w:t>
            </w:r>
          </w:p>
          <w:p>
            <w:pPr>
              <w:pStyle w:val="0"/>
            </w:pPr>
            <w:r>
              <w:rPr>
                <w:sz w:val="20"/>
              </w:rPr>
              <w:t xml:space="preserve">в 2023 году - не менее 800 материалов,</w:t>
            </w:r>
          </w:p>
          <w:p>
            <w:pPr>
              <w:pStyle w:val="0"/>
            </w:pPr>
            <w:r>
              <w:rPr>
                <w:sz w:val="20"/>
              </w:rPr>
              <w:t xml:space="preserve">в 2024 году - не менее 800 материалов</w:t>
            </w:r>
          </w:p>
        </w:tc>
        <w:tc>
          <w:tcPr>
            <w:tcW w:w="1644" w:type="dxa"/>
          </w:tcPr>
          <w:p>
            <w:pPr>
              <w:pStyle w:val="0"/>
            </w:pPr>
            <w:r>
              <w:rPr>
                <w:sz w:val="20"/>
              </w:rPr>
              <w:t xml:space="preserve">Регулярные</w:t>
            </w:r>
          </w:p>
        </w:tc>
      </w:tr>
      <w:tr>
        <w:tc>
          <w:tcPr>
            <w:tcW w:w="587" w:type="dxa"/>
          </w:tcPr>
          <w:p>
            <w:pPr>
              <w:pStyle w:val="0"/>
            </w:pPr>
            <w:r>
              <w:rPr>
                <w:sz w:val="20"/>
              </w:rPr>
              <w:t xml:space="preserve">1.2.</w:t>
            </w:r>
          </w:p>
        </w:tc>
        <w:tc>
          <w:tcPr>
            <w:tcW w:w="3685" w:type="dxa"/>
          </w:tcPr>
          <w:p>
            <w:pPr>
              <w:pStyle w:val="0"/>
            </w:pPr>
            <w:r>
              <w:rPr>
                <w:sz w:val="20"/>
              </w:rPr>
              <w:t xml:space="preserve">Изготовление и размещение в СМИ материалов, социальной рекламы о вреде потребления алкогольной продукции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Депздрава Югры по профилактической медицине (по согласованию)</w:t>
            </w:r>
          </w:p>
        </w:tc>
        <w:tc>
          <w:tcPr>
            <w:tcW w:w="4195" w:type="dxa"/>
          </w:tcPr>
          <w:p>
            <w:pPr>
              <w:pStyle w:val="0"/>
            </w:pPr>
            <w:r>
              <w:rPr>
                <w:sz w:val="20"/>
              </w:rPr>
              <w:t xml:space="preserve">Изготовление и размещение в СМИ:</w:t>
            </w:r>
          </w:p>
          <w:p>
            <w:pPr>
              <w:pStyle w:val="0"/>
            </w:pPr>
            <w:r>
              <w:rPr>
                <w:sz w:val="20"/>
              </w:rPr>
              <w:t xml:space="preserve">в 2023 году - не менее 800 материалов</w:t>
            </w:r>
          </w:p>
          <w:p>
            <w:pPr>
              <w:pStyle w:val="0"/>
            </w:pPr>
            <w:r>
              <w:rPr>
                <w:sz w:val="20"/>
              </w:rPr>
              <w:t xml:space="preserve">в 2024 году - не менее 800 материалов</w:t>
            </w:r>
          </w:p>
        </w:tc>
        <w:tc>
          <w:tcPr>
            <w:tcW w:w="1644" w:type="dxa"/>
          </w:tcPr>
          <w:p>
            <w:pPr>
              <w:pStyle w:val="0"/>
            </w:pPr>
            <w:r>
              <w:rPr>
                <w:sz w:val="20"/>
              </w:rPr>
              <w:t xml:space="preserve">Регулярные</w:t>
            </w:r>
          </w:p>
        </w:tc>
      </w:tr>
      <w:tr>
        <w:tc>
          <w:tcPr>
            <w:tcW w:w="587" w:type="dxa"/>
          </w:tcPr>
          <w:p>
            <w:pPr>
              <w:pStyle w:val="0"/>
            </w:pPr>
            <w:r>
              <w:rPr>
                <w:sz w:val="20"/>
              </w:rPr>
              <w:t xml:space="preserve">1.3.</w:t>
            </w:r>
          </w:p>
        </w:tc>
        <w:tc>
          <w:tcPr>
            <w:tcW w:w="3685" w:type="dxa"/>
          </w:tcPr>
          <w:p>
            <w:pPr>
              <w:pStyle w:val="0"/>
            </w:pPr>
            <w:r>
              <w:rPr>
                <w:sz w:val="20"/>
              </w:rPr>
              <w:t xml:space="preserve">Проведение информационно-коммуникационной кампании, направленной на пропаганду ЗОЖ, снижение массы тела, повышение физической активности, антитабачной, антиалкогольной направленности, культуры здорового питания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пульмонолог, психиатр-нарколог, терапевт, гастроэнтеролог, онколог, диетолог, специалист по профилактической медицине (по согласованию)</w:t>
            </w:r>
          </w:p>
        </w:tc>
        <w:tc>
          <w:tcPr>
            <w:tcW w:w="4195" w:type="dxa"/>
          </w:tcPr>
          <w:p>
            <w:pPr>
              <w:pStyle w:val="0"/>
            </w:pPr>
            <w:r>
              <w:rPr>
                <w:sz w:val="20"/>
              </w:rPr>
              <w:t xml:space="preserve">Снижение темпов прироста первичной заболеваемости ожирением:</w:t>
            </w:r>
          </w:p>
          <w:p>
            <w:pPr>
              <w:pStyle w:val="0"/>
            </w:pPr>
            <w:r>
              <w:rPr>
                <w:sz w:val="20"/>
              </w:rPr>
              <w:t xml:space="preserve">в 2023 году - 5,6%</w:t>
            </w:r>
          </w:p>
          <w:p>
            <w:pPr>
              <w:pStyle w:val="0"/>
            </w:pPr>
            <w:r>
              <w:rPr>
                <w:sz w:val="20"/>
              </w:rPr>
              <w:t xml:space="preserve">в 2024 году - 4,7%.</w:t>
            </w:r>
          </w:p>
          <w:p>
            <w:pPr>
              <w:pStyle w:val="0"/>
            </w:pPr>
            <w:r>
              <w:rPr>
                <w:sz w:val="20"/>
              </w:rPr>
              <w:t xml:space="preserve">Уровень информированности населения о факторах риска заболеваний (на 10 тыс. населения):</w:t>
            </w:r>
          </w:p>
          <w:p>
            <w:pPr>
              <w:pStyle w:val="0"/>
            </w:pPr>
            <w:r>
              <w:rPr>
                <w:sz w:val="20"/>
              </w:rPr>
              <w:t xml:space="preserve">в 2023 году - 54</w:t>
            </w:r>
          </w:p>
          <w:p>
            <w:pPr>
              <w:pStyle w:val="0"/>
            </w:pPr>
            <w:r>
              <w:rPr>
                <w:sz w:val="20"/>
              </w:rPr>
              <w:t xml:space="preserve">в 2024 году - 56</w:t>
            </w:r>
          </w:p>
        </w:tc>
        <w:tc>
          <w:tcPr>
            <w:tcW w:w="1644" w:type="dxa"/>
          </w:tcPr>
          <w:p>
            <w:pPr>
              <w:pStyle w:val="0"/>
            </w:pPr>
            <w:r>
              <w:rPr>
                <w:sz w:val="20"/>
              </w:rPr>
              <w:t xml:space="preserve">Регулярные</w:t>
            </w:r>
          </w:p>
        </w:tc>
      </w:tr>
      <w:tr>
        <w:tc>
          <w:tcPr>
            <w:tcW w:w="587" w:type="dxa"/>
          </w:tcPr>
          <w:p>
            <w:pPr>
              <w:pStyle w:val="0"/>
            </w:pPr>
            <w:r>
              <w:rPr>
                <w:sz w:val="20"/>
              </w:rPr>
              <w:t xml:space="preserve">1.4.</w:t>
            </w:r>
          </w:p>
        </w:tc>
        <w:tc>
          <w:tcPr>
            <w:tcW w:w="3685" w:type="dxa"/>
          </w:tcPr>
          <w:p>
            <w:pPr>
              <w:pStyle w:val="0"/>
            </w:pPr>
            <w:r>
              <w:rPr>
                <w:sz w:val="20"/>
              </w:rPr>
              <w:t xml:space="preserve">Мероприятия по мотивации населения к своевременной диагностике и лечению хронических заболеваний, в том числе заболеваний, имеющих повышенный риск развития злокачественных новообразований</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директор ТФОМС Югры, руководители страховых медицинских организаций, главный внештатный специалист онколог Депздрава Югры (по согласованию)</w:t>
            </w:r>
          </w:p>
        </w:tc>
        <w:tc>
          <w:tcPr>
            <w:tcW w:w="4195" w:type="dxa"/>
          </w:tcPr>
          <w:p>
            <w:pPr>
              <w:pStyle w:val="0"/>
            </w:pPr>
            <w:r>
              <w:rPr>
                <w:sz w:val="20"/>
              </w:rPr>
              <w:t xml:space="preserve">Ежегодное приглашение не менее 70% целевой группы пациентов на профилактические осмотры, диспансеризацию посредством мобильной связи, смс оповещения</w:t>
            </w:r>
          </w:p>
        </w:tc>
        <w:tc>
          <w:tcPr>
            <w:tcW w:w="1644" w:type="dxa"/>
          </w:tcPr>
          <w:p>
            <w:pPr>
              <w:pStyle w:val="0"/>
            </w:pPr>
            <w:r>
              <w:rPr>
                <w:sz w:val="20"/>
              </w:rPr>
              <w:t xml:space="preserve">Регулярные</w:t>
            </w:r>
          </w:p>
        </w:tc>
      </w:tr>
      <w:tr>
        <w:tc>
          <w:tcPr>
            <w:tcW w:w="587" w:type="dxa"/>
          </w:tcPr>
          <w:p>
            <w:pPr>
              <w:pStyle w:val="0"/>
            </w:pPr>
            <w:r>
              <w:rPr>
                <w:sz w:val="20"/>
              </w:rPr>
              <w:t xml:space="preserve">1.5.</w:t>
            </w:r>
          </w:p>
        </w:tc>
        <w:tc>
          <w:tcPr>
            <w:tcW w:w="3685" w:type="dxa"/>
          </w:tcPr>
          <w:p>
            <w:pPr>
              <w:pStyle w:val="0"/>
            </w:pPr>
            <w:r>
              <w:rPr>
                <w:sz w:val="20"/>
              </w:rPr>
              <w:t xml:space="preserve">Проведение семинаров по онконастороженности для специалистов, оказывающих первичную медико-санитарную помощь, в том числе фельдшеров ФАПов</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онколог, дерматовенеролог, главные врачи медицинских организаций (далее также - МО) (по согласованию)</w:t>
            </w:r>
          </w:p>
        </w:tc>
        <w:tc>
          <w:tcPr>
            <w:tcW w:w="4195" w:type="dxa"/>
          </w:tcPr>
          <w:p>
            <w:pPr>
              <w:pStyle w:val="0"/>
            </w:pPr>
            <w:r>
              <w:rPr>
                <w:sz w:val="20"/>
              </w:rPr>
              <w:t xml:space="preserve">Ежегодное проведение не менее 3 семинаров на базе каждого из ЦАОПов (в том числе в режиме ВКС):</w:t>
            </w:r>
          </w:p>
          <w:p>
            <w:pPr>
              <w:pStyle w:val="0"/>
            </w:pPr>
            <w:r>
              <w:rPr>
                <w:sz w:val="20"/>
              </w:rPr>
              <w:t xml:space="preserve">в 2023 году - не менее 400 человек;</w:t>
            </w:r>
          </w:p>
          <w:p>
            <w:pPr>
              <w:pStyle w:val="0"/>
            </w:pPr>
            <w:r>
              <w:rPr>
                <w:sz w:val="20"/>
              </w:rPr>
              <w:t xml:space="preserve">в 2024 году - не менее 400 человек.</w:t>
            </w:r>
          </w:p>
        </w:tc>
        <w:tc>
          <w:tcPr>
            <w:tcW w:w="1644" w:type="dxa"/>
          </w:tcPr>
          <w:p>
            <w:pPr>
              <w:pStyle w:val="0"/>
            </w:pPr>
            <w:r>
              <w:rPr>
                <w:sz w:val="20"/>
              </w:rPr>
              <w:t xml:space="preserve">Регулярные</w:t>
            </w:r>
          </w:p>
        </w:tc>
      </w:tr>
      <w:tr>
        <w:tc>
          <w:tcPr>
            <w:tcW w:w="587" w:type="dxa"/>
          </w:tcPr>
          <w:p>
            <w:pPr>
              <w:pStyle w:val="0"/>
            </w:pPr>
            <w:r>
              <w:rPr>
                <w:sz w:val="20"/>
              </w:rPr>
              <w:t xml:space="preserve">1.6.</w:t>
            </w:r>
          </w:p>
        </w:tc>
        <w:tc>
          <w:tcPr>
            <w:tcW w:w="3685" w:type="dxa"/>
          </w:tcPr>
          <w:p>
            <w:pPr>
              <w:pStyle w:val="0"/>
            </w:pPr>
            <w:r>
              <w:rPr>
                <w:sz w:val="20"/>
              </w:rPr>
              <w:t xml:space="preserve">Проведение "Школ здоровья"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терапевт, онколог, дерматовенеролог, главные врачи МО (по согласованию)</w:t>
            </w:r>
          </w:p>
        </w:tc>
        <w:tc>
          <w:tcPr>
            <w:tcW w:w="4195" w:type="dxa"/>
          </w:tcPr>
          <w:p>
            <w:pPr>
              <w:pStyle w:val="0"/>
            </w:pPr>
            <w:r>
              <w:rPr>
                <w:sz w:val="20"/>
              </w:rPr>
              <w:t xml:space="preserve">Ежемесячное проведение школ здоровья в медицинских организациях автономного округа, не менее 20 в год, охват:</w:t>
            </w:r>
          </w:p>
          <w:p>
            <w:pPr>
              <w:pStyle w:val="0"/>
            </w:pPr>
            <w:r>
              <w:rPr>
                <w:sz w:val="20"/>
              </w:rPr>
              <w:t xml:space="preserve">в 2023 году - не менее 10 500 чел.,</w:t>
            </w:r>
          </w:p>
          <w:p>
            <w:pPr>
              <w:pStyle w:val="0"/>
            </w:pPr>
            <w:r>
              <w:rPr>
                <w:sz w:val="20"/>
              </w:rPr>
              <w:t xml:space="preserve">в 2024 году - не менее 11 000 чел.</w:t>
            </w:r>
          </w:p>
        </w:tc>
        <w:tc>
          <w:tcPr>
            <w:tcW w:w="1644" w:type="dxa"/>
          </w:tcPr>
          <w:p>
            <w:pPr>
              <w:pStyle w:val="0"/>
            </w:pPr>
            <w:r>
              <w:rPr>
                <w:sz w:val="20"/>
              </w:rPr>
              <w:t xml:space="preserve">Регулярные</w:t>
            </w:r>
          </w:p>
        </w:tc>
      </w:tr>
      <w:tr>
        <w:tc>
          <w:tcPr>
            <w:tcW w:w="587" w:type="dxa"/>
          </w:tcPr>
          <w:p>
            <w:pPr>
              <w:pStyle w:val="0"/>
            </w:pPr>
            <w:r>
              <w:rPr>
                <w:sz w:val="20"/>
              </w:rPr>
              <w:t xml:space="preserve">1.7.</w:t>
            </w:r>
          </w:p>
        </w:tc>
        <w:tc>
          <w:tcPr>
            <w:tcW w:w="3685" w:type="dxa"/>
          </w:tcPr>
          <w:p>
            <w:pPr>
              <w:pStyle w:val="0"/>
            </w:pPr>
            <w:r>
              <w:rPr>
                <w:sz w:val="20"/>
              </w:rPr>
              <w:t xml:space="preserve">Разработка и изготовление буклетов по основным локализациям злокачественных новообразований</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акушер-гинеколог, онколог, дерматовенеролог, специалист по профилактической медицине, главные врачи МО (по согласованию)</w:t>
            </w:r>
          </w:p>
        </w:tc>
        <w:tc>
          <w:tcPr>
            <w:tcW w:w="4195" w:type="dxa"/>
          </w:tcPr>
          <w:p>
            <w:pPr>
              <w:pStyle w:val="0"/>
            </w:pPr>
            <w:r>
              <w:rPr>
                <w:sz w:val="20"/>
              </w:rPr>
              <w:t xml:space="preserve">Ежегодный выпуск 50 тыс. экземпляров буклетов в год</w:t>
            </w:r>
          </w:p>
        </w:tc>
        <w:tc>
          <w:tcPr>
            <w:tcW w:w="1644" w:type="dxa"/>
          </w:tcPr>
          <w:p>
            <w:pPr>
              <w:pStyle w:val="0"/>
            </w:pPr>
            <w:r>
              <w:rPr>
                <w:sz w:val="20"/>
              </w:rPr>
              <w:t xml:space="preserve">Регулярные</w:t>
            </w:r>
          </w:p>
        </w:tc>
      </w:tr>
      <w:tr>
        <w:tc>
          <w:tcPr>
            <w:tcW w:w="587" w:type="dxa"/>
          </w:tcPr>
          <w:p>
            <w:pPr>
              <w:pStyle w:val="0"/>
            </w:pPr>
            <w:r>
              <w:rPr>
                <w:sz w:val="20"/>
              </w:rPr>
              <w:t xml:space="preserve">1.8.</w:t>
            </w:r>
          </w:p>
        </w:tc>
        <w:tc>
          <w:tcPr>
            <w:tcW w:w="3685" w:type="dxa"/>
          </w:tcPr>
          <w:p>
            <w:pPr>
              <w:pStyle w:val="0"/>
            </w:pPr>
            <w:r>
              <w:rPr>
                <w:sz w:val="20"/>
              </w:rPr>
              <w:t xml:space="preserve">Организация волонтерской деятельности, направленной на работу с населением. Просвещение населения по вопросам профилактики онкологических заболеваний, формирование навыков самодиагностики, моделирование у населения осознанной необходимости прохождения диспансеризации и профилактических медицинских осмотров</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акушер-гинеколог, онколог, дерматовенеролог, терапевт, специалист по профилактической медицине, главные врачи МО (по согласованию)</w:t>
            </w:r>
          </w:p>
        </w:tc>
        <w:tc>
          <w:tcPr>
            <w:tcW w:w="4195" w:type="dxa"/>
          </w:tcPr>
          <w:p>
            <w:pPr>
              <w:pStyle w:val="0"/>
            </w:pPr>
            <w:r>
              <w:rPr>
                <w:sz w:val="20"/>
              </w:rPr>
              <w:t xml:space="preserve">Ежегодное проведение не менее 12 мероприятий в различных формах:</w:t>
            </w:r>
          </w:p>
          <w:p>
            <w:pPr>
              <w:pStyle w:val="0"/>
            </w:pPr>
            <w:r>
              <w:rPr>
                <w:sz w:val="20"/>
              </w:rPr>
              <w:t xml:space="preserve">в 2023 году - не менее 1010 чел.;</w:t>
            </w:r>
          </w:p>
          <w:p>
            <w:pPr>
              <w:pStyle w:val="0"/>
            </w:pPr>
            <w:r>
              <w:rPr>
                <w:sz w:val="20"/>
              </w:rPr>
              <w:t xml:space="preserve">в 2024 году - не менее 1150 чел.</w:t>
            </w:r>
          </w:p>
        </w:tc>
        <w:tc>
          <w:tcPr>
            <w:tcW w:w="1644" w:type="dxa"/>
          </w:tcPr>
          <w:p>
            <w:pPr>
              <w:pStyle w:val="0"/>
            </w:pPr>
            <w:r>
              <w:rPr>
                <w:sz w:val="20"/>
              </w:rPr>
              <w:t xml:space="preserve">Регулярные</w:t>
            </w:r>
          </w:p>
        </w:tc>
      </w:tr>
      <w:tr>
        <w:tc>
          <w:tcPr>
            <w:tcW w:w="587" w:type="dxa"/>
          </w:tcPr>
          <w:p>
            <w:pPr>
              <w:pStyle w:val="0"/>
            </w:pPr>
            <w:r>
              <w:rPr>
                <w:sz w:val="20"/>
              </w:rPr>
              <w:t xml:space="preserve">1.9.</w:t>
            </w:r>
          </w:p>
        </w:tc>
        <w:tc>
          <w:tcPr>
            <w:tcW w:w="3685" w:type="dxa"/>
          </w:tcPr>
          <w:p>
            <w:pPr>
              <w:pStyle w:val="0"/>
            </w:pPr>
            <w:r>
              <w:rPr>
                <w:sz w:val="20"/>
              </w:rPr>
              <w:t xml:space="preserve">Проведение массовых мероприятий, направленных на информирование о первичной профилактике онкологических заболеваний, приуроченных к тематическим дням (4 февраля - международный день борьбы против рака, 7 апреля - всемирный день здоровья, 15 февраля - международный день детей, больных раком, 31 мая - всемирный день без табака, 28 июля всемирный день борьбы с гепатитом, третий четверг ноября - международный день отказа от курения); проведение месячников по профилактике заболеваний и пропаганде здорового образа жизни среди населения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акушер-гинеколог, онколог, дерматовенеролог, специалист по профилактической медицине; главные врачи МО (по согласованию)</w:t>
            </w:r>
          </w:p>
        </w:tc>
        <w:tc>
          <w:tcPr>
            <w:tcW w:w="4195" w:type="dxa"/>
          </w:tcPr>
          <w:p>
            <w:pPr>
              <w:pStyle w:val="0"/>
            </w:pPr>
            <w:r>
              <w:rPr>
                <w:sz w:val="20"/>
              </w:rPr>
              <w:t xml:space="preserve">Ежегодное проведение не менее 6 мероприятий в различных форматах:</w:t>
            </w:r>
          </w:p>
          <w:p>
            <w:pPr>
              <w:pStyle w:val="0"/>
            </w:pPr>
            <w:r>
              <w:rPr>
                <w:sz w:val="20"/>
              </w:rPr>
              <w:t xml:space="preserve">в 2023 году - не менее 50 000 чел.</w:t>
            </w:r>
          </w:p>
          <w:p>
            <w:pPr>
              <w:pStyle w:val="0"/>
            </w:pPr>
            <w:r>
              <w:rPr>
                <w:sz w:val="20"/>
              </w:rPr>
              <w:t xml:space="preserve">в 2024 году - не менее 50 000 чел.</w:t>
            </w:r>
          </w:p>
        </w:tc>
        <w:tc>
          <w:tcPr>
            <w:tcW w:w="1644" w:type="dxa"/>
          </w:tcPr>
          <w:p>
            <w:pPr>
              <w:pStyle w:val="0"/>
            </w:pPr>
            <w:r>
              <w:rPr>
                <w:sz w:val="20"/>
              </w:rPr>
              <w:t xml:space="preserve">Регулярные</w:t>
            </w:r>
          </w:p>
        </w:tc>
      </w:tr>
      <w:tr>
        <w:tc>
          <w:tcPr>
            <w:tcW w:w="587" w:type="dxa"/>
          </w:tcPr>
          <w:p>
            <w:pPr>
              <w:pStyle w:val="0"/>
            </w:pPr>
            <w:r>
              <w:rPr>
                <w:sz w:val="20"/>
              </w:rPr>
              <w:t xml:space="preserve">1.10.</w:t>
            </w:r>
          </w:p>
        </w:tc>
        <w:tc>
          <w:tcPr>
            <w:tcW w:w="3685" w:type="dxa"/>
          </w:tcPr>
          <w:p>
            <w:pPr>
              <w:pStyle w:val="0"/>
            </w:pPr>
            <w:r>
              <w:rPr>
                <w:sz w:val="20"/>
              </w:rPr>
              <w:t xml:space="preserve">Проведение профилактического консультирования при профилактических медицинских осмотрах и диспансеризации определенных групп взрослого населения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по профилактической медицине Депздрава Югры, главные врачи МО (по согласованию)</w:t>
            </w:r>
          </w:p>
        </w:tc>
        <w:tc>
          <w:tcPr>
            <w:tcW w:w="4195" w:type="dxa"/>
          </w:tcPr>
          <w:p>
            <w:pPr>
              <w:pStyle w:val="0"/>
            </w:pPr>
            <w:r>
              <w:rPr>
                <w:sz w:val="20"/>
              </w:rPr>
              <w:t xml:space="preserve">Ежегодное профилактическое консультирование не менее 60% от числа лиц, прошедших профилактические медицинские осмотры и диспансеризацию определенных групп взрослого населения</w:t>
            </w:r>
          </w:p>
        </w:tc>
        <w:tc>
          <w:tcPr>
            <w:tcW w:w="1644" w:type="dxa"/>
          </w:tcPr>
          <w:p>
            <w:pPr>
              <w:pStyle w:val="0"/>
            </w:pPr>
            <w:r>
              <w:rPr>
                <w:sz w:val="20"/>
              </w:rPr>
              <w:t xml:space="preserve">Регулярные</w:t>
            </w:r>
          </w:p>
        </w:tc>
      </w:tr>
      <w:tr>
        <w:tc>
          <w:tcPr>
            <w:tcW w:w="587" w:type="dxa"/>
          </w:tcPr>
          <w:p>
            <w:pPr>
              <w:pStyle w:val="0"/>
            </w:pPr>
            <w:r>
              <w:rPr>
                <w:sz w:val="20"/>
              </w:rPr>
              <w:t xml:space="preserve">1.11.</w:t>
            </w:r>
          </w:p>
        </w:tc>
        <w:tc>
          <w:tcPr>
            <w:tcW w:w="3685" w:type="dxa"/>
          </w:tcPr>
          <w:p>
            <w:pPr>
              <w:pStyle w:val="0"/>
            </w:pPr>
            <w:r>
              <w:rPr>
                <w:sz w:val="20"/>
              </w:rPr>
              <w:t xml:space="preserve">Привлечение социально ориентированных некоммерческих и общественных организаций в проведение массовых мероприятий, направленных на информирование о первичной профилактике злокачественных заболеваний, пропаганде здорового образа жизни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пульмонолог, гастроэнтеролог, акушер-гинеколог, онколог, дерматовенеролог, специалист по профилактической медицине, главные врачи МО, руководители СО НКО (по согласованию)</w:t>
            </w:r>
          </w:p>
        </w:tc>
        <w:tc>
          <w:tcPr>
            <w:tcW w:w="4195" w:type="dxa"/>
          </w:tcPr>
          <w:p>
            <w:pPr>
              <w:pStyle w:val="0"/>
            </w:pPr>
            <w:r>
              <w:rPr>
                <w:sz w:val="20"/>
              </w:rPr>
              <w:t xml:space="preserve">Не менее 1000 жителей в год</w:t>
            </w:r>
          </w:p>
        </w:tc>
        <w:tc>
          <w:tcPr>
            <w:tcW w:w="1644" w:type="dxa"/>
          </w:tcPr>
          <w:p>
            <w:pPr>
              <w:pStyle w:val="0"/>
            </w:pPr>
            <w:r>
              <w:rPr>
                <w:sz w:val="20"/>
              </w:rPr>
              <w:t xml:space="preserve">Регулярные</w:t>
            </w:r>
          </w:p>
        </w:tc>
      </w:tr>
      <w:tr>
        <w:tc>
          <w:tcPr>
            <w:tcW w:w="587" w:type="dxa"/>
            <w:vMerge w:val="restart"/>
          </w:tcPr>
          <w:p>
            <w:pPr>
              <w:pStyle w:val="0"/>
            </w:pPr>
            <w:r>
              <w:rPr>
                <w:sz w:val="20"/>
              </w:rPr>
              <w:t xml:space="preserve">1.12.</w:t>
            </w:r>
          </w:p>
        </w:tc>
        <w:tc>
          <w:tcPr>
            <w:tcW w:w="3685" w:type="dxa"/>
            <w:vMerge w:val="restart"/>
          </w:tcPr>
          <w:p>
            <w:pPr>
              <w:pStyle w:val="0"/>
            </w:pPr>
            <w:r>
              <w:rPr>
                <w:sz w:val="20"/>
              </w:rPr>
              <w:t xml:space="preserve">Проведение вакцинации против вирусного гепатита B, вируса папилломы человека (далее - ВПЧ)</w:t>
            </w:r>
          </w:p>
        </w:tc>
        <w:tc>
          <w:tcPr>
            <w:tcW w:w="1220" w:type="dxa"/>
            <w:vMerge w:val="restart"/>
          </w:tcPr>
          <w:p>
            <w:pPr>
              <w:pStyle w:val="0"/>
            </w:pPr>
            <w:r>
              <w:rPr>
                <w:sz w:val="20"/>
              </w:rPr>
              <w:t xml:space="preserve">1 июня 2023</w:t>
            </w:r>
          </w:p>
        </w:tc>
        <w:tc>
          <w:tcPr>
            <w:tcW w:w="1304" w:type="dxa"/>
            <w:vMerge w:val="restart"/>
          </w:tcPr>
          <w:p>
            <w:pPr>
              <w:pStyle w:val="0"/>
            </w:pPr>
            <w:r>
              <w:rPr>
                <w:sz w:val="20"/>
              </w:rPr>
              <w:t xml:space="preserve">31 декабря 2024 года</w:t>
            </w:r>
          </w:p>
        </w:tc>
        <w:tc>
          <w:tcPr>
            <w:tcW w:w="3118" w:type="dxa"/>
            <w:vMerge w:val="restart"/>
          </w:tcPr>
          <w:p>
            <w:pPr>
              <w:pStyle w:val="0"/>
            </w:pPr>
            <w:r>
              <w:rPr>
                <w:sz w:val="20"/>
              </w:rPr>
              <w:t xml:space="preserve">начальник управления медицинской помощи детям и родовспоможению Депздрава Югры; главный внештатный специалист по инфекционным болезням Депздрава Югры, главные врачи МО (по согласованию)</w:t>
            </w:r>
          </w:p>
        </w:tc>
        <w:tc>
          <w:tcPr>
            <w:tcW w:w="4195" w:type="dxa"/>
            <w:tcBorders>
              <w:bottom w:val="nil"/>
            </w:tcBorders>
          </w:tcPr>
          <w:p>
            <w:pPr>
              <w:pStyle w:val="0"/>
            </w:pPr>
            <w:r>
              <w:rPr>
                <w:sz w:val="20"/>
              </w:rPr>
              <w:t xml:space="preserve">Ежегодно не менее 50 000 человек, привитых населения от вирусного гепатита B.</w:t>
            </w:r>
          </w:p>
        </w:tc>
        <w:tc>
          <w:tcPr>
            <w:tcW w:w="1644" w:type="dxa"/>
            <w:tcBorders>
              <w:bottom w:val="nil"/>
            </w:tcBorders>
          </w:tcPr>
          <w:p>
            <w:pPr>
              <w:pStyle w:val="0"/>
            </w:pPr>
            <w:r>
              <w:rPr>
                <w:sz w:val="20"/>
              </w:rPr>
              <w:t xml:space="preserve">Регулярные</w:t>
            </w:r>
          </w:p>
        </w:tc>
      </w:tr>
      <w:tr>
        <w:tc>
          <w:tcPr>
            <w:vMerge w:val="continue"/>
          </w:tcPr>
          <w:p/>
        </w:tc>
        <w:tc>
          <w:tcPr>
            <w:vMerge w:val="continue"/>
          </w:tcPr>
          <w:p/>
        </w:tc>
        <w:tc>
          <w:tcPr>
            <w:vMerge w:val="continue"/>
          </w:tcPr>
          <w:p/>
        </w:tc>
        <w:tc>
          <w:tcPr>
            <w:vMerge w:val="continue"/>
          </w:tcPr>
          <w:p/>
        </w:tc>
        <w:tc>
          <w:tcPr>
            <w:vMerge w:val="continue"/>
          </w:tcPr>
          <w:p/>
        </w:tc>
        <w:tc>
          <w:tcPr>
            <w:tcW w:w="4195" w:type="dxa"/>
            <w:tcBorders>
              <w:top w:val="nil"/>
            </w:tcBorders>
          </w:tcPr>
          <w:p>
            <w:pPr>
              <w:pStyle w:val="0"/>
            </w:pPr>
            <w:r>
              <w:rPr>
                <w:sz w:val="20"/>
              </w:rPr>
              <w:t xml:space="preserve">В 2023 году проведена вакцинация против ВПЧ 2000 девочек в возрасте 11 - 12 лет</w:t>
            </w:r>
          </w:p>
        </w:tc>
        <w:tc>
          <w:tcPr>
            <w:tcW w:w="1644" w:type="dxa"/>
            <w:tcBorders>
              <w:top w:val="nil"/>
            </w:tcBorders>
          </w:tcPr>
          <w:p>
            <w:pPr>
              <w:pStyle w:val="0"/>
            </w:pPr>
            <w:r>
              <w:rPr>
                <w:sz w:val="20"/>
              </w:rPr>
              <w:t xml:space="preserve">Разовое</w:t>
            </w:r>
          </w:p>
        </w:tc>
      </w:tr>
      <w:tr>
        <w:tc>
          <w:tcPr>
            <w:gridSpan w:val="7"/>
            <w:tcW w:w="15753" w:type="dxa"/>
          </w:tcPr>
          <w:p>
            <w:pPr>
              <w:pStyle w:val="0"/>
              <w:outlineLvl w:val="2"/>
              <w:jc w:val="center"/>
            </w:pPr>
            <w:r>
              <w:rPr>
                <w:sz w:val="20"/>
              </w:rPr>
              <w:t xml:space="preserve">2. Комплекс мер вторичной профилактики онкологических заболеваний</w:t>
            </w:r>
          </w:p>
        </w:tc>
      </w:tr>
      <w:tr>
        <w:tc>
          <w:tcPr>
            <w:tcW w:w="587" w:type="dxa"/>
          </w:tcPr>
          <w:p>
            <w:pPr>
              <w:pStyle w:val="0"/>
            </w:pPr>
            <w:r>
              <w:rPr>
                <w:sz w:val="20"/>
              </w:rPr>
              <w:t xml:space="preserve">2.1.</w:t>
            </w:r>
          </w:p>
        </w:tc>
        <w:tc>
          <w:tcPr>
            <w:tcW w:w="3685" w:type="dxa"/>
          </w:tcPr>
          <w:p>
            <w:pPr>
              <w:pStyle w:val="0"/>
            </w:pPr>
            <w:r>
              <w:rPr>
                <w:sz w:val="20"/>
              </w:rPr>
              <w:t xml:space="preserve">Скрининг онкоцитологического исследования у женщин (от 18 лет и старше)</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главные врачи МО (по согласованию)</w:t>
            </w:r>
          </w:p>
        </w:tc>
        <w:tc>
          <w:tcPr>
            <w:tcW w:w="4195" w:type="dxa"/>
          </w:tcPr>
          <w:p>
            <w:pPr>
              <w:pStyle w:val="0"/>
            </w:pPr>
            <w:r>
              <w:rPr>
                <w:sz w:val="20"/>
              </w:rPr>
              <w:t xml:space="preserve">Ежегодное проведение 215000 исследований (соскоб с окрашиванием по Папаниколау). Доля от категории риска не менее 30% ежегодно</w:t>
            </w:r>
          </w:p>
        </w:tc>
        <w:tc>
          <w:tcPr>
            <w:tcW w:w="1644" w:type="dxa"/>
          </w:tcPr>
          <w:p>
            <w:pPr>
              <w:pStyle w:val="0"/>
            </w:pPr>
            <w:r>
              <w:rPr>
                <w:sz w:val="20"/>
              </w:rPr>
              <w:t xml:space="preserve">Регулярные</w:t>
            </w:r>
          </w:p>
        </w:tc>
      </w:tr>
      <w:tr>
        <w:tc>
          <w:tcPr>
            <w:tcW w:w="587" w:type="dxa"/>
          </w:tcPr>
          <w:p>
            <w:pPr>
              <w:pStyle w:val="0"/>
            </w:pPr>
            <w:r>
              <w:rPr>
                <w:sz w:val="20"/>
              </w:rPr>
              <w:t xml:space="preserve">2.2.</w:t>
            </w:r>
          </w:p>
        </w:tc>
        <w:tc>
          <w:tcPr>
            <w:tcW w:w="3685" w:type="dxa"/>
          </w:tcPr>
          <w:p>
            <w:pPr>
              <w:pStyle w:val="0"/>
            </w:pPr>
            <w:r>
              <w:rPr>
                <w:sz w:val="20"/>
              </w:rPr>
              <w:t xml:space="preserve">Система скрининга злокачественных новообразований органов желудочно-кишечного тракта, включающая анализ кала у пациентов возрастной категории от 40 до 60 лет (1 раз в 3 года), комплексное эндоскопическое обследование (фиброгастроскопия и колоноскопия лиц с 55 до 60 лет 1 раз в 3 года), а также вне зависимости от возраста обследование лиц, имеющих факторы риска по онкологическим заболеваниям ЖКТ, методами эзофагогастродуоденоскопии, сигмоидоскопии при наличии положительного результата анализа кала на "скрытую кровь"</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гастроэнтеролог, онколог, хирург и эндоскопист, колопроктолог, главные врачи МО (по согласованию)</w:t>
            </w:r>
          </w:p>
        </w:tc>
        <w:tc>
          <w:tcPr>
            <w:tcW w:w="4195" w:type="dxa"/>
          </w:tcPr>
          <w:p>
            <w:pPr>
              <w:pStyle w:val="0"/>
            </w:pPr>
            <w:r>
              <w:rPr>
                <w:sz w:val="20"/>
              </w:rPr>
              <w:t xml:space="preserve">Ежегодное проведение 85000 исследований кала на "скрытую кровь" в год: иммунохимический метод - 85000. Доля от категории риска не менее 30% ежегодно.</w:t>
            </w:r>
          </w:p>
          <w:p>
            <w:pPr>
              <w:pStyle w:val="0"/>
            </w:pPr>
            <w:r>
              <w:rPr>
                <w:sz w:val="20"/>
              </w:rPr>
              <w:t xml:space="preserve">15000 эндоскопических обследований желудочно-кишечного тракта ежегодно</w:t>
            </w:r>
          </w:p>
        </w:tc>
        <w:tc>
          <w:tcPr>
            <w:tcW w:w="1644" w:type="dxa"/>
          </w:tcPr>
          <w:p>
            <w:pPr>
              <w:pStyle w:val="0"/>
            </w:pPr>
            <w:r>
              <w:rPr>
                <w:sz w:val="20"/>
              </w:rPr>
              <w:t xml:space="preserve">Регулярные</w:t>
            </w:r>
          </w:p>
        </w:tc>
      </w:tr>
      <w:tr>
        <w:tc>
          <w:tcPr>
            <w:tcW w:w="587" w:type="dxa"/>
          </w:tcPr>
          <w:p>
            <w:pPr>
              <w:pStyle w:val="0"/>
            </w:pPr>
            <w:r>
              <w:rPr>
                <w:sz w:val="20"/>
              </w:rPr>
              <w:t xml:space="preserve">2.3.</w:t>
            </w:r>
          </w:p>
        </w:tc>
        <w:tc>
          <w:tcPr>
            <w:tcW w:w="3685" w:type="dxa"/>
          </w:tcPr>
          <w:p>
            <w:pPr>
              <w:pStyle w:val="0"/>
            </w:pPr>
            <w:r>
              <w:rPr>
                <w:sz w:val="20"/>
              </w:rPr>
              <w:t xml:space="preserve">Система скрининга злокачественных новообразований органов грудной клетки, включающая флюорографическое обследование, обследование посредством компьютерной томографии органов грудной клетки лиц в возрасте от 55 до 65 лет, а также лиц со стажем курения свыше 30 лет (1 раз в два года)</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пульмонолог, онколог, по лучевой и инструментальной диагностике, главные врачи МО (по согласованию)</w:t>
            </w:r>
          </w:p>
        </w:tc>
        <w:tc>
          <w:tcPr>
            <w:tcW w:w="4195" w:type="dxa"/>
          </w:tcPr>
          <w:p>
            <w:pPr>
              <w:pStyle w:val="0"/>
            </w:pPr>
            <w:r>
              <w:rPr>
                <w:sz w:val="20"/>
              </w:rPr>
              <w:t xml:space="preserve">Ежегодное проведение 800000 флюорографических обследований в год, 5000 обследований посредством компьютерной томографии органов грудной клетки в год</w:t>
            </w:r>
          </w:p>
        </w:tc>
        <w:tc>
          <w:tcPr>
            <w:tcW w:w="1644" w:type="dxa"/>
          </w:tcPr>
          <w:p>
            <w:pPr>
              <w:pStyle w:val="0"/>
            </w:pPr>
            <w:r>
              <w:rPr>
                <w:sz w:val="20"/>
              </w:rPr>
              <w:t xml:space="preserve">Регулярные</w:t>
            </w:r>
          </w:p>
        </w:tc>
      </w:tr>
      <w:tr>
        <w:tc>
          <w:tcPr>
            <w:tcW w:w="587" w:type="dxa"/>
          </w:tcPr>
          <w:p>
            <w:pPr>
              <w:pStyle w:val="0"/>
            </w:pPr>
            <w:r>
              <w:rPr>
                <w:sz w:val="20"/>
              </w:rPr>
              <w:t xml:space="preserve">2.4.</w:t>
            </w:r>
          </w:p>
        </w:tc>
        <w:tc>
          <w:tcPr>
            <w:tcW w:w="3685" w:type="dxa"/>
          </w:tcPr>
          <w:p>
            <w:pPr>
              <w:pStyle w:val="0"/>
            </w:pPr>
            <w:r>
              <w:rPr>
                <w:sz w:val="20"/>
              </w:rPr>
              <w:t xml:space="preserve">Скрининг злокачественных новообразований репродуктивных органов посредством УЗИ органов малого таза у женщин в возрасте от 55 до 60 лет (при наличии отягощенного наследственного анамнеза - с 40 лет 1 раз в год)</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медицинской помощи детям и родовспоможению Депздрава Югры; главные внештатные специалисты Депздрава Югры: онколог, по лучевой и инструментальной диагностике, акушер-гинеколог, главные врачи МО (по согласованию)</w:t>
            </w:r>
          </w:p>
        </w:tc>
        <w:tc>
          <w:tcPr>
            <w:tcW w:w="4195" w:type="dxa"/>
          </w:tcPr>
          <w:p>
            <w:pPr>
              <w:pStyle w:val="0"/>
            </w:pPr>
            <w:r>
              <w:rPr>
                <w:sz w:val="20"/>
              </w:rPr>
              <w:t xml:space="preserve">Ежегодное проведение 15000 обследований репродуктивных органов у женщин посредством УЗИ органов малого таза в год. Доля от категории риска не менее 25% ежегодно</w:t>
            </w:r>
          </w:p>
        </w:tc>
        <w:tc>
          <w:tcPr>
            <w:tcW w:w="1644" w:type="dxa"/>
          </w:tcPr>
          <w:p>
            <w:pPr>
              <w:pStyle w:val="0"/>
            </w:pPr>
            <w:r>
              <w:rPr>
                <w:sz w:val="20"/>
              </w:rPr>
              <w:t xml:space="preserve">Регулярно</w:t>
            </w:r>
          </w:p>
        </w:tc>
      </w:tr>
      <w:tr>
        <w:tc>
          <w:tcPr>
            <w:tcW w:w="587" w:type="dxa"/>
          </w:tcPr>
          <w:p>
            <w:pPr>
              <w:pStyle w:val="0"/>
            </w:pPr>
            <w:r>
              <w:rPr>
                <w:sz w:val="20"/>
              </w:rPr>
              <w:t xml:space="preserve">2.5.</w:t>
            </w:r>
          </w:p>
        </w:tc>
        <w:tc>
          <w:tcPr>
            <w:tcW w:w="3685" w:type="dxa"/>
          </w:tcPr>
          <w:p>
            <w:pPr>
              <w:pStyle w:val="0"/>
            </w:pPr>
            <w:r>
              <w:rPr>
                <w:sz w:val="20"/>
              </w:rPr>
              <w:t xml:space="preserve">Скрининг злокачественных новообразований предстательной железы посредством ПСА-исследований у мужчин от 40 до 65 лет (1 раз в год)</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клинической лабораторной диагностике, главные врачи МО (по согласованию)</w:t>
            </w:r>
          </w:p>
        </w:tc>
        <w:tc>
          <w:tcPr>
            <w:tcW w:w="4195" w:type="dxa"/>
          </w:tcPr>
          <w:p>
            <w:pPr>
              <w:pStyle w:val="0"/>
            </w:pPr>
            <w:r>
              <w:rPr>
                <w:sz w:val="20"/>
              </w:rPr>
              <w:t xml:space="preserve">Ежегодное проведение не менее 30000 обследований предстательной железы у мужчин посредством ПСА-исследований. Доля от категории риска не менее 10% ежегодно</w:t>
            </w:r>
          </w:p>
        </w:tc>
        <w:tc>
          <w:tcPr>
            <w:tcW w:w="1644" w:type="dxa"/>
          </w:tcPr>
          <w:p>
            <w:pPr>
              <w:pStyle w:val="0"/>
            </w:pPr>
            <w:r>
              <w:rPr>
                <w:sz w:val="20"/>
              </w:rPr>
              <w:t xml:space="preserve">Регулярные</w:t>
            </w:r>
          </w:p>
        </w:tc>
      </w:tr>
      <w:tr>
        <w:tc>
          <w:tcPr>
            <w:tcW w:w="587" w:type="dxa"/>
          </w:tcPr>
          <w:p>
            <w:pPr>
              <w:pStyle w:val="0"/>
            </w:pPr>
            <w:r>
              <w:rPr>
                <w:sz w:val="20"/>
              </w:rPr>
              <w:t xml:space="preserve">2.6.</w:t>
            </w:r>
          </w:p>
        </w:tc>
        <w:tc>
          <w:tcPr>
            <w:tcW w:w="3685" w:type="dxa"/>
          </w:tcPr>
          <w:p>
            <w:pPr>
              <w:pStyle w:val="0"/>
            </w:pPr>
            <w:r>
              <w:rPr>
                <w:sz w:val="20"/>
              </w:rPr>
              <w:t xml:space="preserve">Скрининг злокачественных новообразований молочных желез посредством маммографических исследований у женщин от 40 до 75 лет (1 раз в 2 года)</w:t>
            </w:r>
          </w:p>
        </w:tc>
        <w:tc>
          <w:tcPr>
            <w:tcW w:w="1220" w:type="dxa"/>
          </w:tcPr>
          <w:p>
            <w:pPr>
              <w:pStyle w:val="0"/>
            </w:pPr>
            <w:r>
              <w:rPr>
                <w:sz w:val="20"/>
              </w:rPr>
              <w:t xml:space="preserve">1 июня 2023</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лучевой и инструментальной диагностике, акушер-гинеколог, главные врачи МО (по согласованию)</w:t>
            </w:r>
          </w:p>
        </w:tc>
        <w:tc>
          <w:tcPr>
            <w:tcW w:w="4195" w:type="dxa"/>
          </w:tcPr>
          <w:p>
            <w:pPr>
              <w:pStyle w:val="0"/>
            </w:pPr>
            <w:r>
              <w:rPr>
                <w:sz w:val="20"/>
              </w:rPr>
              <w:t xml:space="preserve">Ежегодное проведение 60000 маммографических обследований у женщин. Доля от категории риска не менее 20% ежегодно</w:t>
            </w:r>
          </w:p>
        </w:tc>
        <w:tc>
          <w:tcPr>
            <w:tcW w:w="1644" w:type="dxa"/>
          </w:tcPr>
          <w:p>
            <w:pPr>
              <w:pStyle w:val="0"/>
            </w:pPr>
            <w:r>
              <w:rPr>
                <w:sz w:val="20"/>
              </w:rPr>
              <w:t xml:space="preserve">Регулярные</w:t>
            </w:r>
          </w:p>
        </w:tc>
      </w:tr>
      <w:tr>
        <w:tc>
          <w:tcPr>
            <w:tcW w:w="587" w:type="dxa"/>
          </w:tcPr>
          <w:p>
            <w:pPr>
              <w:pStyle w:val="0"/>
            </w:pPr>
            <w:r>
              <w:rPr>
                <w:sz w:val="20"/>
              </w:rPr>
              <w:t xml:space="preserve">2.7.</w:t>
            </w:r>
          </w:p>
        </w:tc>
        <w:tc>
          <w:tcPr>
            <w:tcW w:w="3685" w:type="dxa"/>
          </w:tcPr>
          <w:p>
            <w:pPr>
              <w:pStyle w:val="0"/>
            </w:pPr>
            <w:r>
              <w:rPr>
                <w:sz w:val="20"/>
              </w:rPr>
              <w:t xml:space="preserve">Мониторинг работы смотровых кабинетов на базе медицинских организаций, оказывающих первичную медико-санитарную медицинскую помощь</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акушер-гинеколог, дерматовенеролог, специалист по профилактической медицине, главные врачи МО (по согласованию)</w:t>
            </w:r>
          </w:p>
        </w:tc>
        <w:tc>
          <w:tcPr>
            <w:tcW w:w="4195" w:type="dxa"/>
          </w:tcPr>
          <w:p>
            <w:pPr>
              <w:pStyle w:val="0"/>
            </w:pPr>
            <w:r>
              <w:rPr>
                <w:sz w:val="20"/>
              </w:rPr>
              <w:t xml:space="preserve">Проведение выездных мероприятий по контролю качества работы смотровых кабинетов и первичных онкологических кабинетов, 4 раза в год. Не менее 70% смотровых кабинетов и первичных онкологических кабинетов инспектируется в течение года</w:t>
            </w:r>
          </w:p>
        </w:tc>
        <w:tc>
          <w:tcPr>
            <w:tcW w:w="1644" w:type="dxa"/>
          </w:tcPr>
          <w:p>
            <w:pPr>
              <w:pStyle w:val="0"/>
            </w:pPr>
            <w:r>
              <w:rPr>
                <w:sz w:val="20"/>
              </w:rPr>
              <w:t xml:space="preserve">Регулярные</w:t>
            </w:r>
          </w:p>
        </w:tc>
      </w:tr>
      <w:tr>
        <w:tc>
          <w:tcPr>
            <w:tcW w:w="587" w:type="dxa"/>
          </w:tcPr>
          <w:p>
            <w:pPr>
              <w:pStyle w:val="0"/>
            </w:pPr>
            <w:r>
              <w:rPr>
                <w:sz w:val="20"/>
              </w:rPr>
              <w:t xml:space="preserve">2.8.</w:t>
            </w:r>
          </w:p>
        </w:tc>
        <w:tc>
          <w:tcPr>
            <w:tcW w:w="3685" w:type="dxa"/>
          </w:tcPr>
          <w:p>
            <w:pPr>
              <w:pStyle w:val="0"/>
            </w:pPr>
            <w:r>
              <w:rPr>
                <w:sz w:val="20"/>
              </w:rPr>
              <w:t xml:space="preserve">Мониторинг количества впервые выявленных ЗНО толстой кишки при проведении фиброколоноскопии на II этапе диспансеризации определенных групп взрослого населения и профилактических медицинских осмотров</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гастроэнтеролог, онколог, хирург и эндоскопист, колопроктолог, главные врачи МО (по согласованию)</w:t>
            </w:r>
          </w:p>
        </w:tc>
        <w:tc>
          <w:tcPr>
            <w:tcW w:w="4195" w:type="dxa"/>
          </w:tcPr>
          <w:p>
            <w:pPr>
              <w:pStyle w:val="0"/>
            </w:pPr>
            <w:r>
              <w:rPr>
                <w:sz w:val="20"/>
              </w:rPr>
              <w:t xml:space="preserve">Доля впервые выявленных ЗНО кишечника (С18 - 20) к общему количеству выполненных фиброколоноскопии в рамках профилактических медицинских осмотров и диспансеризации определенных групп взрослого населения (II этап), %</w:t>
            </w:r>
          </w:p>
          <w:p>
            <w:pPr>
              <w:pStyle w:val="0"/>
            </w:pPr>
            <w:r>
              <w:rPr>
                <w:sz w:val="20"/>
              </w:rPr>
              <w:t xml:space="preserve">на 31.12.2023 - 1,5%;</w:t>
            </w:r>
          </w:p>
          <w:p>
            <w:pPr>
              <w:pStyle w:val="0"/>
            </w:pPr>
            <w:r>
              <w:rPr>
                <w:sz w:val="20"/>
              </w:rPr>
              <w:t xml:space="preserve">на 31 декабря 2024 года - 2,0%</w:t>
            </w:r>
          </w:p>
        </w:tc>
        <w:tc>
          <w:tcPr>
            <w:tcW w:w="1644" w:type="dxa"/>
          </w:tcPr>
          <w:p>
            <w:pPr>
              <w:pStyle w:val="0"/>
            </w:pPr>
            <w:r>
              <w:rPr>
                <w:sz w:val="20"/>
              </w:rPr>
              <w:t xml:space="preserve">Регулярные</w:t>
            </w:r>
          </w:p>
        </w:tc>
      </w:tr>
      <w:tr>
        <w:tc>
          <w:tcPr>
            <w:tcW w:w="587" w:type="dxa"/>
          </w:tcPr>
          <w:p>
            <w:pPr>
              <w:pStyle w:val="0"/>
            </w:pPr>
            <w:r>
              <w:rPr>
                <w:sz w:val="20"/>
              </w:rPr>
              <w:t xml:space="preserve">2.9.</w:t>
            </w:r>
          </w:p>
        </w:tc>
        <w:tc>
          <w:tcPr>
            <w:tcW w:w="3685" w:type="dxa"/>
          </w:tcPr>
          <w:p>
            <w:pPr>
              <w:pStyle w:val="0"/>
            </w:pPr>
            <w:r>
              <w:rPr>
                <w:sz w:val="20"/>
              </w:rPr>
              <w:t xml:space="preserve">Мониторинг количества выявленных ЗНО молочной железы по результатам проведения маммографического скрининга на I этапе диспансеризации определенных групп взрослого населения и профилактических медицинских осмотров</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лучевой и инструментальной диагностике, акушер-гинеколог, главные врачи МО (по согласованию)</w:t>
            </w:r>
          </w:p>
        </w:tc>
        <w:tc>
          <w:tcPr>
            <w:tcW w:w="4195" w:type="dxa"/>
          </w:tcPr>
          <w:p>
            <w:pPr>
              <w:pStyle w:val="0"/>
            </w:pPr>
            <w:r>
              <w:rPr>
                <w:sz w:val="20"/>
              </w:rPr>
              <w:t xml:space="preserve">Доля впервые выявленных ЗНО молочной железы в рамках профилактических медицинских осмотров и диспансеризации определенных групп взрослого населения к общему количеству выполненных маммографий в рамках профилактических медицинских осмотров и диспансеризации определенных групп взрослого населения, %</w:t>
            </w:r>
          </w:p>
          <w:p>
            <w:pPr>
              <w:pStyle w:val="0"/>
            </w:pPr>
            <w:r>
              <w:rPr>
                <w:sz w:val="20"/>
              </w:rPr>
              <w:t xml:space="preserve">на 31.12.2023 - 0,4%;</w:t>
            </w:r>
          </w:p>
          <w:p>
            <w:pPr>
              <w:pStyle w:val="0"/>
            </w:pPr>
            <w:r>
              <w:rPr>
                <w:sz w:val="20"/>
              </w:rPr>
              <w:t xml:space="preserve">на 31 декабря 2024 года - 0,5%</w:t>
            </w:r>
          </w:p>
        </w:tc>
        <w:tc>
          <w:tcPr>
            <w:tcW w:w="1644" w:type="dxa"/>
          </w:tcPr>
          <w:p>
            <w:pPr>
              <w:pStyle w:val="0"/>
            </w:pPr>
            <w:r>
              <w:rPr>
                <w:sz w:val="20"/>
              </w:rPr>
              <w:t xml:space="preserve">Регулярные</w:t>
            </w:r>
          </w:p>
        </w:tc>
      </w:tr>
      <w:tr>
        <w:tc>
          <w:tcPr>
            <w:tcW w:w="587" w:type="dxa"/>
          </w:tcPr>
          <w:p>
            <w:pPr>
              <w:pStyle w:val="0"/>
            </w:pPr>
            <w:r>
              <w:rPr>
                <w:sz w:val="20"/>
              </w:rPr>
              <w:t xml:space="preserve">2.10.</w:t>
            </w:r>
          </w:p>
        </w:tc>
        <w:tc>
          <w:tcPr>
            <w:tcW w:w="3685" w:type="dxa"/>
          </w:tcPr>
          <w:p>
            <w:pPr>
              <w:pStyle w:val="0"/>
            </w:pPr>
            <w:r>
              <w:rPr>
                <w:sz w:val="20"/>
              </w:rPr>
              <w:t xml:space="preserve">Мониторинг количества выявленных ЗНО шейки матки (в том числе (CIN III) при проведении цитологического скрининга на I этапе диспансеризации определенных групп взрослого населения и профилактических медицинских осмотров</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по лучевой и инструментальной диагностике, акушер-гинеколог, главные врачи МО (по согласованию)</w:t>
            </w:r>
          </w:p>
        </w:tc>
        <w:tc>
          <w:tcPr>
            <w:tcW w:w="4195" w:type="dxa"/>
          </w:tcPr>
          <w:p>
            <w:pPr>
              <w:pStyle w:val="0"/>
            </w:pPr>
            <w:r>
              <w:rPr>
                <w:sz w:val="20"/>
              </w:rPr>
              <w:t xml:space="preserve">Доля впервые выявленных ЗНО шейки матки (в том числе CIN III) при профилактических медицинских осмотрах и диспансеризации определенных групп взрослого населения к общему количеству выполненных цитологических исследований шейки матки профилактических медицинских осмотров и диспансеризации определенных групп взрослого населения, %</w:t>
            </w:r>
          </w:p>
          <w:p>
            <w:pPr>
              <w:pStyle w:val="0"/>
            </w:pPr>
            <w:r>
              <w:rPr>
                <w:sz w:val="20"/>
              </w:rPr>
              <w:t xml:space="preserve">на 31.12.2023 - 0,4%;</w:t>
            </w:r>
          </w:p>
          <w:p>
            <w:pPr>
              <w:pStyle w:val="0"/>
            </w:pPr>
            <w:r>
              <w:rPr>
                <w:sz w:val="20"/>
              </w:rPr>
              <w:t xml:space="preserve">на 31 декабря 2024 года - 0,5%</w:t>
            </w:r>
          </w:p>
        </w:tc>
        <w:tc>
          <w:tcPr>
            <w:tcW w:w="1644" w:type="dxa"/>
          </w:tcPr>
          <w:p>
            <w:pPr>
              <w:pStyle w:val="0"/>
            </w:pPr>
            <w:r>
              <w:rPr>
                <w:sz w:val="20"/>
              </w:rPr>
              <w:t xml:space="preserve">Регулярные</w:t>
            </w:r>
          </w:p>
        </w:tc>
      </w:tr>
      <w:tr>
        <w:tc>
          <w:tcPr>
            <w:tcW w:w="587" w:type="dxa"/>
          </w:tcPr>
          <w:p>
            <w:pPr>
              <w:pStyle w:val="0"/>
            </w:pPr>
            <w:r>
              <w:rPr>
                <w:sz w:val="20"/>
              </w:rPr>
              <w:t xml:space="preserve">2.11.</w:t>
            </w:r>
          </w:p>
        </w:tc>
        <w:tc>
          <w:tcPr>
            <w:tcW w:w="3685" w:type="dxa"/>
          </w:tcPr>
          <w:p>
            <w:pPr>
              <w:pStyle w:val="0"/>
            </w:pPr>
            <w:r>
              <w:rPr>
                <w:sz w:val="20"/>
              </w:rPr>
              <w:t xml:space="preserve">Мониторинг числа лиц, прошедших профилактический медицинский осмотр и (или) диспансеризацию определенных групп взрослого населения, на 1 случай впервые в жизни установленного диагноза ЗНО, в условиях проведения указанных мероприятий</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по профилактической медицине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2023 год - 320 человек</w:t>
            </w:r>
          </w:p>
          <w:p>
            <w:pPr>
              <w:pStyle w:val="0"/>
            </w:pPr>
            <w:r>
              <w:rPr>
                <w:sz w:val="20"/>
              </w:rPr>
              <w:t xml:space="preserve">2024 год - 300 человек</w:t>
            </w:r>
          </w:p>
        </w:tc>
        <w:tc>
          <w:tcPr>
            <w:tcW w:w="1644" w:type="dxa"/>
          </w:tcPr>
          <w:p>
            <w:pPr>
              <w:pStyle w:val="0"/>
            </w:pPr>
            <w:r>
              <w:rPr>
                <w:sz w:val="20"/>
              </w:rPr>
              <w:t xml:space="preserve">Регулярные</w:t>
            </w:r>
          </w:p>
        </w:tc>
      </w:tr>
      <w:tr>
        <w:tc>
          <w:tcPr>
            <w:tcW w:w="587" w:type="dxa"/>
          </w:tcPr>
          <w:p>
            <w:pPr>
              <w:pStyle w:val="0"/>
            </w:pPr>
            <w:r>
              <w:rPr>
                <w:sz w:val="20"/>
              </w:rPr>
              <w:t xml:space="preserve">2.12.</w:t>
            </w:r>
          </w:p>
        </w:tc>
        <w:tc>
          <w:tcPr>
            <w:tcW w:w="3685" w:type="dxa"/>
          </w:tcPr>
          <w:p>
            <w:pPr>
              <w:pStyle w:val="0"/>
            </w:pPr>
            <w:r>
              <w:rPr>
                <w:sz w:val="20"/>
              </w:rPr>
              <w:t xml:space="preserve">Мониторинг выявления предраковых состояний (N 87,1, N 87,2, J44, К21.0, K22.1, K22.7, К25, К26, K29.4, K50.1, K51, К57) при проведении профилактических медицинских осмотров и диспансеризации определенных групп взрослого населения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гастроэнтеролог, онколог, хирург, колопроктолог, акушер-гинеколог, терапевт, главные врачи МО (по согласованию)</w:t>
            </w:r>
          </w:p>
        </w:tc>
        <w:tc>
          <w:tcPr>
            <w:tcW w:w="4195" w:type="dxa"/>
          </w:tcPr>
          <w:p>
            <w:pPr>
              <w:pStyle w:val="0"/>
            </w:pPr>
            <w:r>
              <w:rPr>
                <w:sz w:val="20"/>
              </w:rPr>
              <w:t xml:space="preserve">Доля случаев впервые выявленных предраковых состояний (по МКБ-10: N 87,1, N 87,2, J44, К21.0, K22.1, K22.7, К25, К26, K29.4, K50.1, K51, К57) от числа проведенных профилактических осмотров и диспансеризации определенных групп взрослого населения:</w:t>
            </w:r>
          </w:p>
          <w:p>
            <w:pPr>
              <w:pStyle w:val="0"/>
            </w:pPr>
            <w:r>
              <w:rPr>
                <w:sz w:val="20"/>
              </w:rPr>
              <w:t xml:space="preserve">2023 год - 10%;</w:t>
            </w:r>
          </w:p>
          <w:p>
            <w:pPr>
              <w:pStyle w:val="0"/>
            </w:pPr>
            <w:r>
              <w:rPr>
                <w:sz w:val="20"/>
              </w:rPr>
              <w:t xml:space="preserve">2024 год - 12%</w:t>
            </w:r>
          </w:p>
        </w:tc>
        <w:tc>
          <w:tcPr>
            <w:tcW w:w="1644" w:type="dxa"/>
          </w:tcPr>
          <w:p>
            <w:pPr>
              <w:pStyle w:val="0"/>
            </w:pPr>
            <w:r>
              <w:rPr>
                <w:sz w:val="20"/>
              </w:rPr>
              <w:t xml:space="preserve">Регулярные</w:t>
            </w:r>
          </w:p>
        </w:tc>
      </w:tr>
      <w:tr>
        <w:tc>
          <w:tcPr>
            <w:tcW w:w="587" w:type="dxa"/>
          </w:tcPr>
          <w:p>
            <w:pPr>
              <w:pStyle w:val="0"/>
            </w:pPr>
            <w:r>
              <w:rPr>
                <w:sz w:val="20"/>
              </w:rPr>
              <w:t xml:space="preserve">2.13.</w:t>
            </w:r>
          </w:p>
        </w:tc>
        <w:tc>
          <w:tcPr>
            <w:tcW w:w="3685" w:type="dxa"/>
          </w:tcPr>
          <w:p>
            <w:pPr>
              <w:pStyle w:val="0"/>
            </w:pPr>
            <w:r>
              <w:rPr>
                <w:sz w:val="20"/>
              </w:rPr>
              <w:t xml:space="preserve">Организация контроля знаний и обучения на рабочем месте рентген-лаборантов правилам проведения маммографических исследований (в том числе по программе НМО)</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по лучевой и инструментальной диагностике Депздрава Югры, главные врачи МО (по согласованию)</w:t>
            </w:r>
          </w:p>
        </w:tc>
        <w:tc>
          <w:tcPr>
            <w:tcW w:w="4195" w:type="dxa"/>
          </w:tcPr>
          <w:p>
            <w:pPr>
              <w:pStyle w:val="0"/>
            </w:pPr>
            <w:r>
              <w:rPr>
                <w:sz w:val="20"/>
              </w:rPr>
              <w:t xml:space="preserve">Доля рентген-лаборантов, в отношении которых проведен контроль знаний и обучение на рабочем месте правилам проведения маммографических исследований, в том числе по программе НМО:</w:t>
            </w:r>
          </w:p>
          <w:p>
            <w:pPr>
              <w:pStyle w:val="0"/>
            </w:pPr>
            <w:r>
              <w:rPr>
                <w:sz w:val="20"/>
              </w:rPr>
              <w:t xml:space="preserve">2023 год - 100%;</w:t>
            </w:r>
          </w:p>
          <w:p>
            <w:pPr>
              <w:pStyle w:val="0"/>
            </w:pPr>
            <w:r>
              <w:rPr>
                <w:sz w:val="20"/>
              </w:rPr>
              <w:t xml:space="preserve">2024 год - 100%</w:t>
            </w:r>
          </w:p>
        </w:tc>
        <w:tc>
          <w:tcPr>
            <w:tcW w:w="1644" w:type="dxa"/>
          </w:tcPr>
          <w:p>
            <w:pPr>
              <w:pStyle w:val="0"/>
            </w:pPr>
            <w:r>
              <w:rPr>
                <w:sz w:val="20"/>
              </w:rPr>
              <w:t xml:space="preserve">Регулярные</w:t>
            </w:r>
          </w:p>
        </w:tc>
      </w:tr>
      <w:tr>
        <w:tc>
          <w:tcPr>
            <w:tcW w:w="587" w:type="dxa"/>
          </w:tcPr>
          <w:p>
            <w:pPr>
              <w:pStyle w:val="0"/>
            </w:pPr>
            <w:r>
              <w:rPr>
                <w:sz w:val="20"/>
              </w:rPr>
              <w:t xml:space="preserve">2.14.</w:t>
            </w:r>
          </w:p>
        </w:tc>
        <w:tc>
          <w:tcPr>
            <w:tcW w:w="3685" w:type="dxa"/>
          </w:tcPr>
          <w:p>
            <w:pPr>
              <w:pStyle w:val="0"/>
            </w:pPr>
            <w:r>
              <w:rPr>
                <w:sz w:val="20"/>
              </w:rPr>
              <w:t xml:space="preserve">Организация обучения на рабочем месте специалистов медицинских организаций первичного звена здравоохранения (акушерки, медицинские сестры, фельдшеры, врачи) правилам осмотра пациентов на визуальные локализации рака, правилам забора материала для исследований, профилактики ЗНО (в том числе по программе НМО)</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медицинской помощи детям и родовспоможению Депздрава Югры; главные внештатные специалисты Депздрава Югры: акушер-гинеколог, онколог, специалист по клинической лабораторной диагностике, главные врачи МО (по согласованию)</w:t>
            </w:r>
          </w:p>
        </w:tc>
        <w:tc>
          <w:tcPr>
            <w:tcW w:w="4195" w:type="dxa"/>
          </w:tcPr>
          <w:p>
            <w:pPr>
              <w:pStyle w:val="0"/>
            </w:pPr>
            <w:r>
              <w:rPr>
                <w:sz w:val="20"/>
              </w:rPr>
              <w:t xml:space="preserve">Доля обученных специалистов первичного звена здравоохранения (акушерки, медицинские сестры, фельдшеры, врачи):</w:t>
            </w:r>
          </w:p>
          <w:p>
            <w:pPr>
              <w:pStyle w:val="0"/>
            </w:pPr>
            <w:r>
              <w:rPr>
                <w:sz w:val="20"/>
              </w:rPr>
              <w:t xml:space="preserve">2023 год - 100%;</w:t>
            </w:r>
          </w:p>
          <w:p>
            <w:pPr>
              <w:pStyle w:val="0"/>
            </w:pPr>
            <w:r>
              <w:rPr>
                <w:sz w:val="20"/>
              </w:rPr>
              <w:t xml:space="preserve">2024 год - 100%</w:t>
            </w:r>
          </w:p>
        </w:tc>
        <w:tc>
          <w:tcPr>
            <w:tcW w:w="1644" w:type="dxa"/>
          </w:tcPr>
          <w:p>
            <w:pPr>
              <w:pStyle w:val="0"/>
            </w:pPr>
            <w:r>
              <w:rPr>
                <w:sz w:val="20"/>
              </w:rPr>
              <w:t xml:space="preserve">Регулярные</w:t>
            </w:r>
          </w:p>
        </w:tc>
      </w:tr>
      <w:tr>
        <w:tc>
          <w:tcPr>
            <w:tcW w:w="587" w:type="dxa"/>
          </w:tcPr>
          <w:p>
            <w:pPr>
              <w:pStyle w:val="0"/>
            </w:pPr>
            <w:r>
              <w:rPr>
                <w:sz w:val="20"/>
              </w:rPr>
              <w:t xml:space="preserve">2.15.</w:t>
            </w:r>
          </w:p>
        </w:tc>
        <w:tc>
          <w:tcPr>
            <w:tcW w:w="3685" w:type="dxa"/>
          </w:tcPr>
          <w:p>
            <w:pPr>
              <w:pStyle w:val="0"/>
            </w:pPr>
            <w:r>
              <w:rPr>
                <w:sz w:val="20"/>
              </w:rPr>
              <w:t xml:space="preserve">Мониторинг показателя доли злокачественных новообразований, выявленных на I стадии, кроме рака кожи (C44) и лейкемий (С91 - 95), от всех зарегистрированных ЗНО кроме рака кожи (C44) и лейкемий (С91 - 95) (без учтенных посмертно), %</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директор БУ "Медицинский информационно-аналитический центр" (далее - БУ "МИАЦ"),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2023 год - 33,7%,</w:t>
            </w:r>
          </w:p>
          <w:p>
            <w:pPr>
              <w:pStyle w:val="0"/>
            </w:pPr>
            <w:r>
              <w:rPr>
                <w:sz w:val="20"/>
              </w:rPr>
              <w:t xml:space="preserve">2024 год - 34,5%</w:t>
            </w:r>
          </w:p>
        </w:tc>
        <w:tc>
          <w:tcPr>
            <w:tcW w:w="1644" w:type="dxa"/>
          </w:tcPr>
          <w:p>
            <w:pPr>
              <w:pStyle w:val="0"/>
            </w:pPr>
            <w:r>
              <w:rPr>
                <w:sz w:val="20"/>
              </w:rPr>
              <w:t xml:space="preserve">Регулярные</w:t>
            </w:r>
          </w:p>
        </w:tc>
      </w:tr>
      <w:tr>
        <w:tc>
          <w:tcPr>
            <w:tcW w:w="587" w:type="dxa"/>
          </w:tcPr>
          <w:p>
            <w:pPr>
              <w:pStyle w:val="0"/>
            </w:pPr>
            <w:r>
              <w:rPr>
                <w:sz w:val="20"/>
              </w:rPr>
              <w:t xml:space="preserve">2.16.</w:t>
            </w:r>
          </w:p>
        </w:tc>
        <w:tc>
          <w:tcPr>
            <w:tcW w:w="3685" w:type="dxa"/>
          </w:tcPr>
          <w:p>
            <w:pPr>
              <w:pStyle w:val="0"/>
            </w:pPr>
            <w:r>
              <w:rPr>
                <w:sz w:val="20"/>
              </w:rPr>
              <w:t xml:space="preserve">Контроль осуществления разбора случаев выявления у больных запущенной формы ЗНО, а именно III и IV стадии для визуальных локализаций (C00 - 04, C06 - 09, C20, C21, C44, C50 - 53, C60, C62, C63.2, C73) и IV стадии всех остальных локализаций на основании данных ВИМИС "онкология" и формы федерального государственного статистического наблюдения N 7 "Сведения о ЗНО" (далее - 7 форма)</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информационным технологиям, главные врачи МО (по согласованию)</w:t>
            </w:r>
          </w:p>
        </w:tc>
        <w:tc>
          <w:tcPr>
            <w:tcW w:w="4195" w:type="dxa"/>
          </w:tcPr>
          <w:p>
            <w:pPr>
              <w:pStyle w:val="0"/>
            </w:pPr>
            <w:r>
              <w:rPr>
                <w:sz w:val="20"/>
              </w:rPr>
              <w:t xml:space="preserve">Доля случаев по которым осуществлен разбор (количество разобранных случаев по данным ВИМИС "Онкология") от общего количества случаев выявленных запущенной формы ЗНО, а именно III и IV стадии для визуальных локализаций (C00 - 04, C06 - 09, C20, C21, C44, C50 - 53, C60, C62, C63.2, C73) и IV стадии всех остальных локализаций (общее количество случаев по данным 7 формы)</w:t>
            </w:r>
          </w:p>
          <w:p>
            <w:pPr>
              <w:pStyle w:val="0"/>
            </w:pPr>
            <w:r>
              <w:rPr>
                <w:sz w:val="20"/>
              </w:rPr>
              <w:t xml:space="preserve">2023 - 100%; 2024 - 100%</w:t>
            </w:r>
          </w:p>
        </w:tc>
        <w:tc>
          <w:tcPr>
            <w:tcW w:w="1644" w:type="dxa"/>
          </w:tcPr>
          <w:p>
            <w:pPr>
              <w:pStyle w:val="0"/>
            </w:pPr>
            <w:r>
              <w:rPr>
                <w:sz w:val="20"/>
              </w:rPr>
              <w:t xml:space="preserve">Разовое</w:t>
            </w:r>
          </w:p>
        </w:tc>
      </w:tr>
      <w:tr>
        <w:tc>
          <w:tcPr>
            <w:gridSpan w:val="7"/>
            <w:tcW w:w="15753" w:type="dxa"/>
          </w:tcPr>
          <w:p>
            <w:pPr>
              <w:pStyle w:val="0"/>
              <w:outlineLvl w:val="2"/>
              <w:jc w:val="center"/>
            </w:pPr>
            <w:r>
              <w:rPr>
                <w:sz w:val="20"/>
              </w:rPr>
              <w:t xml:space="preserve">3. Совершенствование оказания первичной специализированной медико-санитарной помощи пациентам с онкологическими заболеваниями</w:t>
            </w:r>
          </w:p>
        </w:tc>
      </w:tr>
      <w:tr>
        <w:tc>
          <w:tcPr>
            <w:tcW w:w="587" w:type="dxa"/>
          </w:tcPr>
          <w:p>
            <w:pPr>
              <w:pStyle w:val="0"/>
            </w:pPr>
            <w:r>
              <w:rPr>
                <w:sz w:val="20"/>
              </w:rPr>
              <w:t xml:space="preserve">3.1.</w:t>
            </w:r>
          </w:p>
        </w:tc>
        <w:tc>
          <w:tcPr>
            <w:tcW w:w="3685" w:type="dxa"/>
          </w:tcPr>
          <w:p>
            <w:pPr>
              <w:pStyle w:val="0"/>
            </w:pPr>
            <w:r>
              <w:rPr>
                <w:sz w:val="20"/>
              </w:rPr>
              <w:t xml:space="preserve">Организация работы 2 центров амбулаторной онкологической помощи в г. Когалым, г. Нижневартовск</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w:t>
            </w:r>
          </w:p>
        </w:tc>
        <w:tc>
          <w:tcPr>
            <w:tcW w:w="4195" w:type="dxa"/>
          </w:tcPr>
          <w:p>
            <w:pPr>
              <w:pStyle w:val="0"/>
            </w:pPr>
            <w:r>
              <w:rPr>
                <w:sz w:val="20"/>
              </w:rPr>
              <w:t xml:space="preserve">Открытие к 1 августа 2023 года 2 центров амбулаторно-онкологической помощи: на базе БУ "Когалымская городская больница" и БУ "Нижневартовский онкологический диспансер". Количество прикрепленного населения 544308 человек, планируемые объемы оказания медицинской помощи в условиях дневного стационара по профилю "онкология" 900 случаев госпитализаций в год</w:t>
            </w:r>
          </w:p>
        </w:tc>
        <w:tc>
          <w:tcPr>
            <w:tcW w:w="1644" w:type="dxa"/>
          </w:tcPr>
          <w:p>
            <w:pPr>
              <w:pStyle w:val="0"/>
            </w:pPr>
            <w:r>
              <w:rPr>
                <w:sz w:val="20"/>
              </w:rPr>
              <w:t xml:space="preserve">Разовые делимые</w:t>
            </w:r>
          </w:p>
        </w:tc>
      </w:tr>
      <w:tr>
        <w:tc>
          <w:tcPr>
            <w:tcW w:w="587" w:type="dxa"/>
          </w:tcPr>
          <w:p>
            <w:pPr>
              <w:pStyle w:val="0"/>
            </w:pPr>
            <w:r>
              <w:rPr>
                <w:sz w:val="20"/>
              </w:rPr>
              <w:t xml:space="preserve">3.2.</w:t>
            </w:r>
          </w:p>
        </w:tc>
        <w:tc>
          <w:tcPr>
            <w:tcW w:w="3685" w:type="dxa"/>
          </w:tcPr>
          <w:p>
            <w:pPr>
              <w:pStyle w:val="0"/>
            </w:pPr>
            <w:r>
              <w:rPr>
                <w:sz w:val="20"/>
              </w:rPr>
              <w:t xml:space="preserve">Анализ работы медицинских организаций, оказывающих первичную медико-санитарную медицинскую помощь по обеспечению "зеленого коридора" для пациентов с подозрением на онкологическое заболевание</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директор БУ "МИАЦ", главные врачи МО (по согласованию)</w:t>
            </w:r>
          </w:p>
        </w:tc>
        <w:tc>
          <w:tcPr>
            <w:tcW w:w="4195" w:type="dxa"/>
          </w:tcPr>
          <w:p>
            <w:pPr>
              <w:pStyle w:val="0"/>
            </w:pPr>
            <w:r>
              <w:rPr>
                <w:sz w:val="20"/>
              </w:rPr>
              <w:t xml:space="preserve">Соблюдение сроков оказания медицинской помощи, регламентированных программой государственных гарантий (ожидание не более 14 дней)</w:t>
            </w:r>
          </w:p>
        </w:tc>
        <w:tc>
          <w:tcPr>
            <w:tcW w:w="1644" w:type="dxa"/>
          </w:tcPr>
          <w:p>
            <w:pPr>
              <w:pStyle w:val="0"/>
            </w:pPr>
            <w:r>
              <w:rPr>
                <w:sz w:val="20"/>
              </w:rPr>
              <w:t xml:space="preserve">Регулярные</w:t>
            </w:r>
          </w:p>
        </w:tc>
      </w:tr>
      <w:tr>
        <w:tc>
          <w:tcPr>
            <w:tcW w:w="587" w:type="dxa"/>
          </w:tcPr>
          <w:p>
            <w:pPr>
              <w:pStyle w:val="0"/>
            </w:pPr>
            <w:r>
              <w:rPr>
                <w:sz w:val="20"/>
              </w:rPr>
              <w:t xml:space="preserve">3.3.</w:t>
            </w:r>
          </w:p>
        </w:tc>
        <w:tc>
          <w:tcPr>
            <w:tcW w:w="3685" w:type="dxa"/>
          </w:tcPr>
          <w:p>
            <w:pPr>
              <w:pStyle w:val="0"/>
            </w:pPr>
            <w:r>
              <w:rPr>
                <w:sz w:val="20"/>
              </w:rPr>
              <w:t xml:space="preserve">Назначение оптимального времени приема к онкологу посредством электронной записи в Единой региональный медицинской информационной системе (ЕРМИС)</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врачи МО (по согласованию)</w:t>
            </w:r>
          </w:p>
        </w:tc>
        <w:tc>
          <w:tcPr>
            <w:tcW w:w="4195" w:type="dxa"/>
          </w:tcPr>
          <w:p>
            <w:pPr>
              <w:pStyle w:val="0"/>
            </w:pPr>
            <w:r>
              <w:rPr>
                <w:sz w:val="20"/>
              </w:rPr>
              <w:t xml:space="preserve">Увеличение к концу 2024 года электронной записи пациентов к онкологу:</w:t>
            </w:r>
          </w:p>
          <w:p>
            <w:pPr>
              <w:pStyle w:val="0"/>
            </w:pPr>
            <w:r>
              <w:rPr>
                <w:sz w:val="20"/>
              </w:rPr>
              <w:t xml:space="preserve">в 2023 году - 75%,</w:t>
            </w:r>
          </w:p>
          <w:p>
            <w:pPr>
              <w:pStyle w:val="0"/>
            </w:pPr>
            <w:r>
              <w:rPr>
                <w:sz w:val="20"/>
              </w:rPr>
              <w:t xml:space="preserve">в 2024 году - 90%</w:t>
            </w:r>
          </w:p>
        </w:tc>
        <w:tc>
          <w:tcPr>
            <w:tcW w:w="1644" w:type="dxa"/>
          </w:tcPr>
          <w:p>
            <w:pPr>
              <w:pStyle w:val="0"/>
            </w:pPr>
            <w:r>
              <w:rPr>
                <w:sz w:val="20"/>
              </w:rPr>
              <w:t xml:space="preserve">Регулярные</w:t>
            </w:r>
          </w:p>
        </w:tc>
      </w:tr>
      <w:tr>
        <w:tc>
          <w:tcPr>
            <w:tcW w:w="587" w:type="dxa"/>
          </w:tcPr>
          <w:p>
            <w:pPr>
              <w:pStyle w:val="0"/>
            </w:pPr>
            <w:r>
              <w:rPr>
                <w:sz w:val="20"/>
              </w:rPr>
              <w:t xml:space="preserve">3.4.</w:t>
            </w:r>
          </w:p>
        </w:tc>
        <w:tc>
          <w:tcPr>
            <w:tcW w:w="3685" w:type="dxa"/>
          </w:tcPr>
          <w:p>
            <w:pPr>
              <w:pStyle w:val="0"/>
            </w:pPr>
            <w:r>
              <w:rPr>
                <w:sz w:val="20"/>
              </w:rPr>
              <w:t xml:space="preserve">Эффективное использование "тяжелого" диагностического оборудования в медицинских организациях автономного округа</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по лучевой и инструментальной диагностике Депздрава Югры, главные врачи МО (по согласованию)</w:t>
            </w:r>
          </w:p>
        </w:tc>
        <w:tc>
          <w:tcPr>
            <w:tcW w:w="4195" w:type="dxa"/>
          </w:tcPr>
          <w:p>
            <w:pPr>
              <w:pStyle w:val="0"/>
            </w:pPr>
            <w:r>
              <w:rPr>
                <w:sz w:val="20"/>
              </w:rPr>
              <w:t xml:space="preserve">Проведение компьютерной томографии (обследования):</w:t>
            </w:r>
          </w:p>
          <w:p>
            <w:pPr>
              <w:pStyle w:val="0"/>
            </w:pPr>
            <w:r>
              <w:rPr>
                <w:sz w:val="20"/>
              </w:rPr>
              <w:t xml:space="preserve">в 2023 году - 31000,</w:t>
            </w:r>
          </w:p>
          <w:p>
            <w:pPr>
              <w:pStyle w:val="0"/>
            </w:pPr>
            <w:r>
              <w:rPr>
                <w:sz w:val="20"/>
              </w:rPr>
              <w:t xml:space="preserve">в 2024 году - 31500;</w:t>
            </w:r>
          </w:p>
          <w:p>
            <w:pPr>
              <w:pStyle w:val="0"/>
            </w:pPr>
            <w:r>
              <w:rPr>
                <w:sz w:val="20"/>
              </w:rPr>
              <w:t xml:space="preserve">проведение магнитно-резонансной томографии (обследования):</w:t>
            </w:r>
          </w:p>
          <w:p>
            <w:pPr>
              <w:pStyle w:val="0"/>
            </w:pPr>
            <w:r>
              <w:rPr>
                <w:sz w:val="20"/>
              </w:rPr>
              <w:t xml:space="preserve">в 2023 году - 18700,</w:t>
            </w:r>
          </w:p>
          <w:p>
            <w:pPr>
              <w:pStyle w:val="0"/>
            </w:pPr>
            <w:r>
              <w:rPr>
                <w:sz w:val="20"/>
              </w:rPr>
              <w:t xml:space="preserve">в 2024 году - 18900;</w:t>
            </w:r>
          </w:p>
          <w:p>
            <w:pPr>
              <w:pStyle w:val="0"/>
            </w:pPr>
            <w:r>
              <w:rPr>
                <w:sz w:val="20"/>
              </w:rPr>
              <w:t xml:space="preserve">проведение позитронно-эмиссионной томографии (обследования):</w:t>
            </w:r>
          </w:p>
          <w:p>
            <w:pPr>
              <w:pStyle w:val="0"/>
            </w:pPr>
            <w:r>
              <w:rPr>
                <w:sz w:val="20"/>
              </w:rPr>
              <w:t xml:space="preserve">в 2023 году - 1410,</w:t>
            </w:r>
          </w:p>
          <w:p>
            <w:pPr>
              <w:pStyle w:val="0"/>
            </w:pPr>
            <w:r>
              <w:rPr>
                <w:sz w:val="20"/>
              </w:rPr>
              <w:t xml:space="preserve">в 2024 году - 1450</w:t>
            </w:r>
          </w:p>
        </w:tc>
        <w:tc>
          <w:tcPr>
            <w:tcW w:w="1644" w:type="dxa"/>
          </w:tcPr>
          <w:p>
            <w:pPr>
              <w:pStyle w:val="0"/>
            </w:pPr>
            <w:r>
              <w:rPr>
                <w:sz w:val="20"/>
              </w:rPr>
              <w:t xml:space="preserve">Регулярные</w:t>
            </w:r>
          </w:p>
        </w:tc>
      </w:tr>
      <w:tr>
        <w:tc>
          <w:tcPr>
            <w:tcW w:w="587" w:type="dxa"/>
          </w:tcPr>
          <w:p>
            <w:pPr>
              <w:pStyle w:val="0"/>
            </w:pPr>
            <w:r>
              <w:rPr>
                <w:sz w:val="20"/>
              </w:rPr>
              <w:t xml:space="preserve">3.5.</w:t>
            </w:r>
          </w:p>
        </w:tc>
        <w:tc>
          <w:tcPr>
            <w:tcW w:w="3685" w:type="dxa"/>
          </w:tcPr>
          <w:p>
            <w:pPr>
              <w:pStyle w:val="0"/>
            </w:pPr>
            <w:r>
              <w:rPr>
                <w:sz w:val="20"/>
              </w:rPr>
              <w:t xml:space="preserve">Организация оказания медицинской помощи по профилю "онкология" в первичном онкологическом кабинете</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Депздрава Югры: онколог, главные врачи МО (по согласованию)</w:t>
            </w:r>
          </w:p>
        </w:tc>
        <w:tc>
          <w:tcPr>
            <w:tcW w:w="4195" w:type="dxa"/>
          </w:tcPr>
          <w:p>
            <w:pPr>
              <w:pStyle w:val="0"/>
            </w:pPr>
            <w:r>
              <w:rPr>
                <w:sz w:val="20"/>
              </w:rPr>
              <w:t xml:space="preserve">Обследование пациентов с подозрением на онкологическое заболевание, направленных в ЦАОП и онкологические центры</w:t>
            </w:r>
          </w:p>
        </w:tc>
        <w:tc>
          <w:tcPr>
            <w:tcW w:w="1644" w:type="dxa"/>
          </w:tcPr>
          <w:p>
            <w:pPr>
              <w:pStyle w:val="0"/>
            </w:pPr>
            <w:r>
              <w:rPr>
                <w:sz w:val="20"/>
              </w:rPr>
              <w:t xml:space="preserve">Регулярные</w:t>
            </w:r>
          </w:p>
        </w:tc>
      </w:tr>
      <w:tr>
        <w:tc>
          <w:tcPr>
            <w:tcW w:w="587" w:type="dxa"/>
          </w:tcPr>
          <w:p>
            <w:pPr>
              <w:pStyle w:val="0"/>
            </w:pPr>
            <w:r>
              <w:rPr>
                <w:sz w:val="20"/>
              </w:rPr>
              <w:t xml:space="preserve">3.6.</w:t>
            </w:r>
          </w:p>
        </w:tc>
        <w:tc>
          <w:tcPr>
            <w:tcW w:w="3685" w:type="dxa"/>
          </w:tcPr>
          <w:p>
            <w:pPr>
              <w:pStyle w:val="0"/>
            </w:pPr>
            <w:r>
              <w:rPr>
                <w:sz w:val="20"/>
              </w:rPr>
              <w:t xml:space="preserve">Доля случаев проведенных биопсий при эндоскопических диагностических исследованиях от общего числа выполненных эндоскопических диагностических исследований в амбулаторных условиях (МКБ-10: С00 - 97, Z03.1, D00 - 09, D37 - 48)</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Депздрава Югры: эндоскопист и хирург,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20% (ежегодно)</w:t>
            </w:r>
          </w:p>
        </w:tc>
        <w:tc>
          <w:tcPr>
            <w:tcW w:w="1644" w:type="dxa"/>
          </w:tcPr>
          <w:p>
            <w:pPr>
              <w:pStyle w:val="0"/>
            </w:pPr>
            <w:r>
              <w:rPr>
                <w:sz w:val="20"/>
              </w:rPr>
              <w:t xml:space="preserve">регулярные</w:t>
            </w:r>
          </w:p>
        </w:tc>
      </w:tr>
      <w:tr>
        <w:tc>
          <w:tcPr>
            <w:tcW w:w="587" w:type="dxa"/>
          </w:tcPr>
          <w:p>
            <w:pPr>
              <w:pStyle w:val="0"/>
            </w:pPr>
            <w:r>
              <w:rPr>
                <w:sz w:val="20"/>
              </w:rPr>
              <w:t xml:space="preserve">3.7.</w:t>
            </w:r>
          </w:p>
        </w:tc>
        <w:tc>
          <w:tcPr>
            <w:tcW w:w="3685" w:type="dxa"/>
          </w:tcPr>
          <w:p>
            <w:pPr>
              <w:pStyle w:val="0"/>
            </w:pPr>
            <w:r>
              <w:rPr>
                <w:sz w:val="20"/>
              </w:rPr>
              <w:t xml:space="preserve">Число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выполненных в амбулаторных условиях.</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Депздрава Югры: онколог, по патологической анатомии, главные врачи МО (по согласованию)</w:t>
            </w:r>
          </w:p>
        </w:tc>
        <w:tc>
          <w:tcPr>
            <w:tcW w:w="4195" w:type="dxa"/>
          </w:tcPr>
          <w:p>
            <w:pPr>
              <w:pStyle w:val="0"/>
            </w:pPr>
            <w:r>
              <w:rPr>
                <w:sz w:val="20"/>
              </w:rPr>
              <w:t xml:space="preserve">Целевой показатель: - не менее 75% от норматива, установленного Программой государственных гарантий бесплатного оказания гражданам медицинской помощи (ежегодно)</w:t>
            </w:r>
          </w:p>
        </w:tc>
        <w:tc>
          <w:tcPr>
            <w:tcW w:w="1644" w:type="dxa"/>
          </w:tcPr>
          <w:p>
            <w:pPr>
              <w:pStyle w:val="0"/>
            </w:pPr>
            <w:r>
              <w:rPr>
                <w:sz w:val="20"/>
              </w:rPr>
              <w:t xml:space="preserve">регулярные</w:t>
            </w:r>
          </w:p>
        </w:tc>
      </w:tr>
      <w:tr>
        <w:tc>
          <w:tcPr>
            <w:tcW w:w="587" w:type="dxa"/>
          </w:tcPr>
          <w:p>
            <w:pPr>
              <w:pStyle w:val="0"/>
            </w:pPr>
            <w:r>
              <w:rPr>
                <w:sz w:val="20"/>
              </w:rPr>
              <w:t xml:space="preserve">3.8.</w:t>
            </w:r>
          </w:p>
        </w:tc>
        <w:tc>
          <w:tcPr>
            <w:tcW w:w="3685" w:type="dxa"/>
          </w:tcPr>
          <w:p>
            <w:pPr>
              <w:pStyle w:val="0"/>
            </w:pPr>
            <w:r>
              <w:rPr>
                <w:sz w:val="20"/>
              </w:rPr>
              <w:t xml:space="preserve">Доля случаев иммуногистохимических исследований (1 случай - 1 заключение) от числа всех выполненных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выполненных в амбулаторных условиях</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Депздрава Югры: онколог, специалист по патологической анатомии,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7% (ежегодно)</w:t>
            </w:r>
          </w:p>
        </w:tc>
        <w:tc>
          <w:tcPr>
            <w:tcW w:w="1644" w:type="dxa"/>
          </w:tcPr>
          <w:p>
            <w:pPr>
              <w:pStyle w:val="0"/>
            </w:pPr>
            <w:r>
              <w:rPr>
                <w:sz w:val="20"/>
              </w:rPr>
              <w:t xml:space="preserve">регулярные</w:t>
            </w:r>
          </w:p>
        </w:tc>
      </w:tr>
      <w:tr>
        <w:tc>
          <w:tcPr>
            <w:tcW w:w="587" w:type="dxa"/>
          </w:tcPr>
          <w:p>
            <w:pPr>
              <w:pStyle w:val="0"/>
            </w:pPr>
            <w:r>
              <w:rPr>
                <w:sz w:val="20"/>
              </w:rPr>
              <w:t xml:space="preserve">3.9.</w:t>
            </w:r>
          </w:p>
        </w:tc>
        <w:tc>
          <w:tcPr>
            <w:tcW w:w="3685" w:type="dxa"/>
          </w:tcPr>
          <w:p>
            <w:pPr>
              <w:pStyle w:val="0"/>
            </w:pPr>
            <w:r>
              <w:rPr>
                <w:sz w:val="20"/>
              </w:rPr>
              <w:t xml:space="preserve">Доля применения внутривенного контрастирования при проведении КТ или МРТ у больных со злокачественными новообразованиями от общего числа исследований (КТ или МРТ), выполненных при злокачественных новообразованиях</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по лучевой и инструментальной диагностике Депздрава Югры, главные врачи МО (по согласованию)</w:t>
            </w:r>
          </w:p>
        </w:tc>
        <w:tc>
          <w:tcPr>
            <w:tcW w:w="4195" w:type="dxa"/>
          </w:tcPr>
          <w:p>
            <w:pPr>
              <w:pStyle w:val="0"/>
            </w:pPr>
            <w:r>
              <w:rPr>
                <w:sz w:val="20"/>
              </w:rPr>
              <w:t xml:space="preserve">Целевой показатель (ежегодно):</w:t>
            </w:r>
          </w:p>
          <w:p>
            <w:pPr>
              <w:pStyle w:val="0"/>
            </w:pPr>
            <w:r>
              <w:rPr>
                <w:sz w:val="20"/>
              </w:rPr>
              <w:t xml:space="preserve">для КТ не менее 85%,</w:t>
            </w:r>
          </w:p>
          <w:p>
            <w:pPr>
              <w:pStyle w:val="0"/>
            </w:pPr>
            <w:r>
              <w:rPr>
                <w:sz w:val="20"/>
              </w:rPr>
              <w:t xml:space="preserve">для МРТ не менее 75%.</w:t>
            </w:r>
          </w:p>
        </w:tc>
        <w:tc>
          <w:tcPr>
            <w:tcW w:w="1644" w:type="dxa"/>
          </w:tcPr>
          <w:p>
            <w:pPr>
              <w:pStyle w:val="0"/>
            </w:pPr>
            <w:r>
              <w:rPr>
                <w:sz w:val="20"/>
              </w:rPr>
              <w:t xml:space="preserve">регулярное</w:t>
            </w:r>
          </w:p>
        </w:tc>
      </w:tr>
      <w:tr>
        <w:tc>
          <w:tcPr>
            <w:tcW w:w="587" w:type="dxa"/>
          </w:tcPr>
          <w:p>
            <w:pPr>
              <w:pStyle w:val="0"/>
            </w:pPr>
            <w:r>
              <w:rPr>
                <w:sz w:val="20"/>
              </w:rPr>
              <w:t xml:space="preserve">3.10.</w:t>
            </w:r>
          </w:p>
        </w:tc>
        <w:tc>
          <w:tcPr>
            <w:tcW w:w="3685" w:type="dxa"/>
          </w:tcPr>
          <w:p>
            <w:pPr>
              <w:pStyle w:val="0"/>
            </w:pPr>
            <w:r>
              <w:rPr>
                <w:sz w:val="20"/>
              </w:rPr>
              <w:t xml:space="preserve">Доля кабинетов КТ или МРТ работающих в две и более смен от общего числа кабинетов КТ или МРТ</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начальник управления развития системы здравоохранения Депздрава Югры; главный внештатный специалист по лучевой и инструментальной диагностике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90%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3.11.</w:t>
            </w:r>
          </w:p>
        </w:tc>
        <w:tc>
          <w:tcPr>
            <w:tcW w:w="3685" w:type="dxa"/>
          </w:tcPr>
          <w:p>
            <w:pPr>
              <w:pStyle w:val="0"/>
            </w:pPr>
            <w:r>
              <w:rPr>
                <w:sz w:val="20"/>
              </w:rPr>
              <w:t xml:space="preserve">Доля диагнозов зарегистрированных ЗНО (без учтенных посмертно), подтвержденных морфологически (из формы федерального государственного статистического наблюдения N 7 "Сведения о ЗНО")</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2023 год - 97,5%</w:t>
            </w:r>
          </w:p>
          <w:p>
            <w:pPr>
              <w:pStyle w:val="0"/>
            </w:pPr>
            <w:r>
              <w:rPr>
                <w:sz w:val="20"/>
              </w:rPr>
              <w:t xml:space="preserve">2024 год - 98,1%</w:t>
            </w:r>
          </w:p>
        </w:tc>
        <w:tc>
          <w:tcPr>
            <w:tcW w:w="1644" w:type="dxa"/>
          </w:tcPr>
          <w:p>
            <w:pPr>
              <w:pStyle w:val="0"/>
            </w:pPr>
            <w:r>
              <w:rPr>
                <w:sz w:val="20"/>
              </w:rPr>
              <w:t xml:space="preserve">регулярное</w:t>
            </w:r>
          </w:p>
        </w:tc>
      </w:tr>
      <w:tr>
        <w:tc>
          <w:tcPr>
            <w:gridSpan w:val="7"/>
            <w:tcW w:w="15753" w:type="dxa"/>
          </w:tcPr>
          <w:p>
            <w:pPr>
              <w:pStyle w:val="0"/>
              <w:outlineLvl w:val="2"/>
              <w:jc w:val="center"/>
            </w:pPr>
            <w:r>
              <w:rPr>
                <w:sz w:val="20"/>
              </w:rPr>
              <w:t xml:space="preserve">4. Совершенствование оказания специализированной медицинской помощи пациентам с онкологическими заболеваниями</w:t>
            </w:r>
          </w:p>
        </w:tc>
      </w:tr>
      <w:tr>
        <w:tc>
          <w:tcPr>
            <w:tcW w:w="587" w:type="dxa"/>
          </w:tcPr>
          <w:p>
            <w:pPr>
              <w:pStyle w:val="0"/>
            </w:pPr>
            <w:r>
              <w:rPr>
                <w:sz w:val="20"/>
              </w:rPr>
              <w:t xml:space="preserve">4.1.</w:t>
            </w:r>
          </w:p>
        </w:tc>
        <w:tc>
          <w:tcPr>
            <w:tcW w:w="3685" w:type="dxa"/>
          </w:tcPr>
          <w:p>
            <w:pPr>
              <w:pStyle w:val="0"/>
            </w:pPr>
            <w:r>
              <w:rPr>
                <w:sz w:val="20"/>
              </w:rPr>
              <w:t xml:space="preserve">Меры по формированию системы контроля качества диагностики, лечения и динамического наблюдения пациентов онкологического профиля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главные врачи МО (по согласованию)</w:t>
            </w:r>
          </w:p>
        </w:tc>
        <w:tc>
          <w:tcPr>
            <w:tcW w:w="4195" w:type="dxa"/>
          </w:tcPr>
          <w:p>
            <w:pPr>
              <w:pStyle w:val="0"/>
            </w:pPr>
            <w:r>
              <w:rPr>
                <w:sz w:val="20"/>
              </w:rPr>
              <w:t xml:space="preserve">Ежемесячный анализ случаев оказания медицинской помощи в соответствии с клиническими рекомендациями в отделениях на уровне заведующих отделениями, анализ соблюдения сроков начала специального лечения, соблюдения сроков интервала лечения. Ежеквартальное проведение контрольно-экспертных мероприятий (медико-экономическая экспертиза и экспертиза качества). Отчет о реализации мероприятия ежеквартально в течение года</w:t>
            </w:r>
          </w:p>
        </w:tc>
        <w:tc>
          <w:tcPr>
            <w:tcW w:w="1644" w:type="dxa"/>
          </w:tcPr>
          <w:p>
            <w:pPr>
              <w:pStyle w:val="0"/>
            </w:pPr>
            <w:r>
              <w:rPr>
                <w:sz w:val="20"/>
              </w:rPr>
              <w:t xml:space="preserve">Регулярные</w:t>
            </w:r>
          </w:p>
        </w:tc>
      </w:tr>
      <w:tr>
        <w:tc>
          <w:tcPr>
            <w:tcW w:w="587" w:type="dxa"/>
          </w:tcPr>
          <w:p>
            <w:pPr>
              <w:pStyle w:val="0"/>
            </w:pPr>
            <w:r>
              <w:rPr>
                <w:sz w:val="20"/>
              </w:rPr>
              <w:t xml:space="preserve">4.2.</w:t>
            </w:r>
          </w:p>
        </w:tc>
        <w:tc>
          <w:tcPr>
            <w:tcW w:w="3685" w:type="dxa"/>
          </w:tcPr>
          <w:p>
            <w:pPr>
              <w:pStyle w:val="0"/>
            </w:pPr>
            <w:r>
              <w:rPr>
                <w:sz w:val="20"/>
              </w:rPr>
              <w:t xml:space="preserve">Переоснащение медицинским оборудованием медицинских организаций</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развития здравоохранения Депздрава Югры; главные врачи МО (по согласованию)</w:t>
            </w:r>
          </w:p>
        </w:tc>
        <w:tc>
          <w:tcPr>
            <w:tcW w:w="4195" w:type="dxa"/>
          </w:tcPr>
          <w:p>
            <w:pPr>
              <w:pStyle w:val="0"/>
            </w:pPr>
            <w:r>
              <w:rPr>
                <w:sz w:val="20"/>
              </w:rPr>
              <w:t xml:space="preserve">100% пере/дооснащение медицинским оборудованием от запланированного:</w:t>
            </w:r>
          </w:p>
          <w:p>
            <w:pPr>
              <w:pStyle w:val="0"/>
            </w:pPr>
            <w:r>
              <w:rPr>
                <w:sz w:val="20"/>
              </w:rPr>
              <w:t xml:space="preserve">2023 год - 1 медицинская организация;</w:t>
            </w:r>
          </w:p>
          <w:p>
            <w:pPr>
              <w:pStyle w:val="0"/>
            </w:pPr>
            <w:r>
              <w:rPr>
                <w:sz w:val="20"/>
              </w:rPr>
              <w:t xml:space="preserve">2024 год - 1 медицинская организация</w:t>
            </w:r>
          </w:p>
        </w:tc>
        <w:tc>
          <w:tcPr>
            <w:tcW w:w="1644" w:type="dxa"/>
          </w:tcPr>
          <w:p>
            <w:pPr>
              <w:pStyle w:val="0"/>
            </w:pPr>
            <w:r>
              <w:rPr>
                <w:sz w:val="20"/>
              </w:rPr>
              <w:t xml:space="preserve">Разовое делимые</w:t>
            </w:r>
          </w:p>
        </w:tc>
      </w:tr>
      <w:tr>
        <w:tc>
          <w:tcPr>
            <w:tcW w:w="587" w:type="dxa"/>
          </w:tcPr>
          <w:p>
            <w:pPr>
              <w:pStyle w:val="0"/>
            </w:pPr>
            <w:r>
              <w:rPr>
                <w:sz w:val="20"/>
              </w:rPr>
              <w:t xml:space="preserve">4.3.</w:t>
            </w:r>
          </w:p>
        </w:tc>
        <w:tc>
          <w:tcPr>
            <w:tcW w:w="3685" w:type="dxa"/>
          </w:tcPr>
          <w:p>
            <w:pPr>
              <w:pStyle w:val="0"/>
            </w:pPr>
            <w:r>
              <w:rPr>
                <w:sz w:val="20"/>
              </w:rPr>
              <w:t xml:space="preserve">Использование современных методов высокотехнологичной медицинской помощи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главные врачи МО (по согласованию)</w:t>
            </w:r>
          </w:p>
        </w:tc>
        <w:tc>
          <w:tcPr>
            <w:tcW w:w="4195" w:type="dxa"/>
          </w:tcPr>
          <w:p>
            <w:pPr>
              <w:pStyle w:val="0"/>
            </w:pPr>
            <w:r>
              <w:rPr>
                <w:sz w:val="20"/>
              </w:rPr>
              <w:t xml:space="preserve">Ежегодное выполнение 100% плана ВМП по профилю "онкология"</w:t>
            </w:r>
          </w:p>
        </w:tc>
        <w:tc>
          <w:tcPr>
            <w:tcW w:w="1644" w:type="dxa"/>
          </w:tcPr>
          <w:p>
            <w:pPr>
              <w:pStyle w:val="0"/>
            </w:pPr>
            <w:r>
              <w:rPr>
                <w:sz w:val="20"/>
              </w:rPr>
              <w:t xml:space="preserve">Регулярные</w:t>
            </w:r>
          </w:p>
        </w:tc>
      </w:tr>
      <w:tr>
        <w:tc>
          <w:tcPr>
            <w:tcW w:w="587" w:type="dxa"/>
          </w:tcPr>
          <w:p>
            <w:pPr>
              <w:pStyle w:val="0"/>
            </w:pPr>
            <w:r>
              <w:rPr>
                <w:sz w:val="20"/>
              </w:rPr>
              <w:t xml:space="preserve">4.4.</w:t>
            </w:r>
          </w:p>
        </w:tc>
        <w:tc>
          <w:tcPr>
            <w:tcW w:w="3685" w:type="dxa"/>
          </w:tcPr>
          <w:p>
            <w:pPr>
              <w:pStyle w:val="0"/>
            </w:pPr>
            <w:r>
              <w:rPr>
                <w:sz w:val="20"/>
              </w:rPr>
              <w:t xml:space="preserve">Повышение качества радиотерапевтического лечения с использованием линейных ускорителей</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радиолог Депздрава Югры, главный врач БУ "Окружная клиническая больница" (по согласованию)</w:t>
            </w:r>
          </w:p>
        </w:tc>
        <w:tc>
          <w:tcPr>
            <w:tcW w:w="4195" w:type="dxa"/>
          </w:tcPr>
          <w:p>
            <w:pPr>
              <w:pStyle w:val="0"/>
            </w:pPr>
            <w:r>
              <w:rPr>
                <w:sz w:val="20"/>
              </w:rPr>
              <w:t xml:space="preserve">Доля использования методов конформной лучевой терапии на современных системах линейных ускорителях электронов от общего числа проведенных случаев дистанционной терапии:</w:t>
            </w:r>
          </w:p>
          <w:p>
            <w:pPr>
              <w:pStyle w:val="0"/>
            </w:pPr>
            <w:r>
              <w:rPr>
                <w:sz w:val="20"/>
              </w:rPr>
              <w:t xml:space="preserve">в 2023 году - 77%,</w:t>
            </w:r>
          </w:p>
          <w:p>
            <w:pPr>
              <w:pStyle w:val="0"/>
            </w:pPr>
            <w:r>
              <w:rPr>
                <w:sz w:val="20"/>
              </w:rPr>
              <w:t xml:space="preserve">в 2024 году - 80%</w:t>
            </w:r>
          </w:p>
        </w:tc>
        <w:tc>
          <w:tcPr>
            <w:tcW w:w="1644" w:type="dxa"/>
          </w:tcPr>
          <w:p>
            <w:pPr>
              <w:pStyle w:val="0"/>
            </w:pPr>
            <w:r>
              <w:rPr>
                <w:sz w:val="20"/>
              </w:rPr>
              <w:t xml:space="preserve">Регулярные</w:t>
            </w:r>
          </w:p>
        </w:tc>
      </w:tr>
      <w:tr>
        <w:tc>
          <w:tcPr>
            <w:tcW w:w="587" w:type="dxa"/>
          </w:tcPr>
          <w:p>
            <w:pPr>
              <w:pStyle w:val="0"/>
            </w:pPr>
            <w:r>
              <w:rPr>
                <w:sz w:val="20"/>
              </w:rPr>
              <w:t xml:space="preserve">4.5.</w:t>
            </w:r>
          </w:p>
        </w:tc>
        <w:tc>
          <w:tcPr>
            <w:tcW w:w="3685" w:type="dxa"/>
          </w:tcPr>
          <w:p>
            <w:pPr>
              <w:pStyle w:val="0"/>
            </w:pPr>
            <w:r>
              <w:rPr>
                <w:sz w:val="20"/>
              </w:rPr>
              <w:t xml:space="preserve">Внедрение программ психоэмоциональной поддержки онкологических больных</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медицинской реабилитации, по медицинской психологии (по согласованию)</w:t>
            </w:r>
          </w:p>
        </w:tc>
        <w:tc>
          <w:tcPr>
            <w:tcW w:w="4195" w:type="dxa"/>
          </w:tcPr>
          <w:p>
            <w:pPr>
              <w:pStyle w:val="0"/>
            </w:pPr>
            <w:r>
              <w:rPr>
                <w:sz w:val="20"/>
              </w:rPr>
              <w:t xml:space="preserve">Охват программами психоэмоциональной поддержки онкологических больных не менее 50% от числа всех онкологических больных:</w:t>
            </w:r>
          </w:p>
          <w:p>
            <w:pPr>
              <w:pStyle w:val="0"/>
            </w:pPr>
            <w:r>
              <w:rPr>
                <w:sz w:val="20"/>
              </w:rPr>
              <w:t xml:space="preserve">в 2023 году - 40%,</w:t>
            </w:r>
          </w:p>
          <w:p>
            <w:pPr>
              <w:pStyle w:val="0"/>
            </w:pPr>
            <w:r>
              <w:rPr>
                <w:sz w:val="20"/>
              </w:rPr>
              <w:t xml:space="preserve">в 2024 году - 50%</w:t>
            </w:r>
          </w:p>
        </w:tc>
        <w:tc>
          <w:tcPr>
            <w:tcW w:w="1644" w:type="dxa"/>
          </w:tcPr>
          <w:p>
            <w:pPr>
              <w:pStyle w:val="0"/>
            </w:pPr>
            <w:r>
              <w:rPr>
                <w:sz w:val="20"/>
              </w:rPr>
              <w:t xml:space="preserve">Регулярные</w:t>
            </w:r>
          </w:p>
        </w:tc>
      </w:tr>
      <w:tr>
        <w:tc>
          <w:tcPr>
            <w:tcW w:w="587" w:type="dxa"/>
          </w:tcPr>
          <w:p>
            <w:pPr>
              <w:pStyle w:val="0"/>
            </w:pPr>
            <w:r>
              <w:rPr>
                <w:sz w:val="20"/>
              </w:rPr>
              <w:t xml:space="preserve">4.6.</w:t>
            </w:r>
          </w:p>
        </w:tc>
        <w:tc>
          <w:tcPr>
            <w:tcW w:w="3685" w:type="dxa"/>
          </w:tcPr>
          <w:p>
            <w:pPr>
              <w:pStyle w:val="0"/>
            </w:pPr>
            <w:r>
              <w:rPr>
                <w:sz w:val="20"/>
              </w:rPr>
              <w:t xml:space="preserve">Обеспечение доступности лекарственных препаратов, таргетной и иммунной терапии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медицинской реабилитации, по медицинской психологии, главные врачи МО (по согласованию)</w:t>
            </w:r>
          </w:p>
        </w:tc>
        <w:tc>
          <w:tcPr>
            <w:tcW w:w="4195" w:type="dxa"/>
          </w:tcPr>
          <w:p>
            <w:pPr>
              <w:pStyle w:val="0"/>
            </w:pPr>
            <w:r>
              <w:rPr>
                <w:sz w:val="20"/>
              </w:rPr>
              <w:t xml:space="preserve">100% охвата лекарственным обеспечением онкологических больных</w:t>
            </w:r>
          </w:p>
        </w:tc>
        <w:tc>
          <w:tcPr>
            <w:tcW w:w="1644" w:type="dxa"/>
          </w:tcPr>
          <w:p>
            <w:pPr>
              <w:pStyle w:val="0"/>
            </w:pPr>
            <w:r>
              <w:rPr>
                <w:sz w:val="20"/>
              </w:rPr>
              <w:t xml:space="preserve">Регулярные</w:t>
            </w:r>
          </w:p>
        </w:tc>
      </w:tr>
      <w:tr>
        <w:tc>
          <w:tcPr>
            <w:tcW w:w="587" w:type="dxa"/>
          </w:tcPr>
          <w:p>
            <w:pPr>
              <w:pStyle w:val="0"/>
            </w:pPr>
            <w:r>
              <w:rPr>
                <w:sz w:val="20"/>
              </w:rPr>
              <w:t xml:space="preserve">4.7.</w:t>
            </w:r>
          </w:p>
        </w:tc>
        <w:tc>
          <w:tcPr>
            <w:tcW w:w="3685" w:type="dxa"/>
          </w:tcPr>
          <w:p>
            <w:pPr>
              <w:pStyle w:val="0"/>
            </w:pPr>
            <w:r>
              <w:rPr>
                <w:sz w:val="20"/>
              </w:rPr>
              <w:t xml:space="preserve">Внедрение новых методов молекулярно-генетического тестирования (определение микросателлитной нестабильности опухоли путем ИГХ, молекулярно-генетическое исследования статуса PD-L1 в операционном или биопсийном материале) в БУ "Окружная клиническая больница"</w:t>
            </w:r>
          </w:p>
        </w:tc>
        <w:tc>
          <w:tcPr>
            <w:tcW w:w="1220" w:type="dxa"/>
          </w:tcPr>
          <w:p>
            <w:pPr>
              <w:pStyle w:val="0"/>
            </w:pPr>
            <w:r>
              <w:rPr>
                <w:sz w:val="20"/>
              </w:rPr>
              <w:t xml:space="preserve">1 июня 2023 года</w:t>
            </w:r>
          </w:p>
        </w:tc>
        <w:tc>
          <w:tcPr>
            <w:tcW w:w="1304" w:type="dxa"/>
          </w:tcPr>
          <w:p>
            <w:pPr>
              <w:pStyle w:val="0"/>
            </w:pPr>
            <w:r>
              <w:rPr>
                <w:sz w:val="20"/>
              </w:rPr>
              <w:t xml:space="preserve">31.12.2023</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радиолог, онколог, специалист по патологической анатомии Депздрава Югры, специалист по клинической лабораторной диагностике, главный врач БУ "Окружная клиническая больница" (по согласованию)</w:t>
            </w:r>
          </w:p>
        </w:tc>
        <w:tc>
          <w:tcPr>
            <w:tcW w:w="4195" w:type="dxa"/>
          </w:tcPr>
          <w:p>
            <w:pPr>
              <w:pStyle w:val="0"/>
            </w:pPr>
            <w:r>
              <w:rPr>
                <w:sz w:val="20"/>
              </w:rPr>
              <w:t xml:space="preserve">Определение микросателлитной нестабильности опухоли путем ИГХ, молекулярно-генетическое исследование статуса PD-L1 в операционном или биопсийном материале в БУ "Окружная клиническая больница"</w:t>
            </w:r>
          </w:p>
        </w:tc>
        <w:tc>
          <w:tcPr>
            <w:tcW w:w="1644" w:type="dxa"/>
          </w:tcPr>
          <w:p>
            <w:pPr>
              <w:pStyle w:val="0"/>
            </w:pPr>
            <w:r>
              <w:rPr>
                <w:sz w:val="20"/>
              </w:rPr>
              <w:t xml:space="preserve">Регулярные</w:t>
            </w:r>
          </w:p>
        </w:tc>
      </w:tr>
      <w:tr>
        <w:tc>
          <w:tcPr>
            <w:tcW w:w="587" w:type="dxa"/>
          </w:tcPr>
          <w:p>
            <w:pPr>
              <w:pStyle w:val="0"/>
            </w:pPr>
            <w:r>
              <w:rPr>
                <w:sz w:val="20"/>
              </w:rPr>
              <w:t xml:space="preserve">4.8.</w:t>
            </w:r>
          </w:p>
        </w:tc>
        <w:tc>
          <w:tcPr>
            <w:tcW w:w="3685" w:type="dxa"/>
          </w:tcPr>
          <w:p>
            <w:pPr>
              <w:pStyle w:val="0"/>
            </w:pPr>
            <w:r>
              <w:rPr>
                <w:sz w:val="20"/>
              </w:rPr>
              <w:t xml:space="preserve">Количество врачебных консилиумов при злокачественных новообразованиях с целью определения тактики лечения в расчете на 100 впервые установленных диагнозов злокачественного новообразования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140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4.9.</w:t>
            </w:r>
          </w:p>
        </w:tc>
        <w:tc>
          <w:tcPr>
            <w:tcW w:w="3685" w:type="dxa"/>
          </w:tcPr>
          <w:p>
            <w:pPr>
              <w:pStyle w:val="0"/>
            </w:pPr>
            <w:r>
              <w:rPr>
                <w:sz w:val="20"/>
              </w:rPr>
              <w:t xml:space="preserve">Число международных непатентованных наименований, применяемых в дневном стационаре центра амбулаторной онкологической помощи (в разрезе каждой медицинской организации), помесячно нарастающим итогом</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35 международных непатентованных наименований на конец года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4.10.</w:t>
            </w:r>
          </w:p>
        </w:tc>
        <w:tc>
          <w:tcPr>
            <w:tcW w:w="3685" w:type="dxa"/>
          </w:tcPr>
          <w:p>
            <w:pPr>
              <w:pStyle w:val="0"/>
            </w:pPr>
            <w:r>
              <w:rPr>
                <w:sz w:val="20"/>
              </w:rPr>
              <w:t xml:space="preserve">Доля больных с диагнозом "рак желудка 4 стадии", которые получили двух или трехкомпонентную схему противоопухолевой лекарственной терапии, от общего количества больных, выявленных в отчетный период, с диагнозом "рак желудка 4 стадии"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50%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4.11.</w:t>
            </w:r>
          </w:p>
        </w:tc>
        <w:tc>
          <w:tcPr>
            <w:tcW w:w="3685" w:type="dxa"/>
          </w:tcPr>
          <w:p>
            <w:pPr>
              <w:pStyle w:val="0"/>
            </w:pPr>
            <w:r>
              <w:rPr>
                <w:sz w:val="20"/>
              </w:rPr>
              <w:t xml:space="preserve">Доля случаев химиолучевого лечения от всех случаев проведения лучевой терапии в условиях круглосуточного и дневного стационаров</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радиолог,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25%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4.12.</w:t>
            </w:r>
          </w:p>
        </w:tc>
        <w:tc>
          <w:tcPr>
            <w:tcW w:w="3685" w:type="dxa"/>
          </w:tcPr>
          <w:p>
            <w:pPr>
              <w:pStyle w:val="0"/>
            </w:pPr>
            <w:r>
              <w:rPr>
                <w:sz w:val="20"/>
              </w:rPr>
              <w:t xml:space="preserve">Доля случаев проведения дистанционной лучевой терапии в условиях дневного и круглосуточного стационаров в расчете от общего числа впервые установленных диагнозов злокачественного новообразования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радиолог,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30%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4.13.</w:t>
            </w:r>
          </w:p>
        </w:tc>
        <w:tc>
          <w:tcPr>
            <w:tcW w:w="3685" w:type="dxa"/>
          </w:tcPr>
          <w:p>
            <w:pPr>
              <w:pStyle w:val="0"/>
            </w:pPr>
            <w:r>
              <w:rPr>
                <w:sz w:val="20"/>
              </w:rPr>
              <w:t xml:space="preserve">Доля случаев конформной лучевой терапии от общего числа случаев дистанционной лучевой терапии в условиях круглосуточного и дневного стационаров</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радиолог,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80%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4.14.</w:t>
            </w:r>
          </w:p>
        </w:tc>
        <w:tc>
          <w:tcPr>
            <w:tcW w:w="3685" w:type="dxa"/>
          </w:tcPr>
          <w:p>
            <w:pPr>
              <w:pStyle w:val="0"/>
            </w:pPr>
            <w:r>
              <w:rPr>
                <w:sz w:val="20"/>
              </w:rPr>
              <w:t xml:space="preserve">Доля случаев стереотаксической лучевой терапии от общего числа случаев дистанционной лучевой терапии в условиях круглосуточного и дневного стационаров</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радиолог,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3%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4.15.</w:t>
            </w:r>
          </w:p>
        </w:tc>
        <w:tc>
          <w:tcPr>
            <w:tcW w:w="3685" w:type="dxa"/>
          </w:tcPr>
          <w:p>
            <w:pPr>
              <w:pStyle w:val="0"/>
            </w:pPr>
            <w:r>
              <w:rPr>
                <w:sz w:val="20"/>
              </w:rPr>
              <w:t xml:space="preserve">Доля органосохраняющих и реконструктивно-пластических оперативных вмешательств, выполненных при раке молочной железы, от общего числа оперативных вмешательств при раке молочной железы</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55%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4.16.</w:t>
            </w:r>
          </w:p>
        </w:tc>
        <w:tc>
          <w:tcPr>
            <w:tcW w:w="3685" w:type="dxa"/>
          </w:tcPr>
          <w:p>
            <w:pPr>
              <w:pStyle w:val="0"/>
            </w:pPr>
            <w:r>
              <w:rPr>
                <w:sz w:val="20"/>
              </w:rPr>
              <w:t xml:space="preserve">Доля радикальных операций с удалением сторожевых лимфатических узлов по поводу меланомы кожи, от общего количества радикальных операций по поводу меланомы кожи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50%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4.17.</w:t>
            </w:r>
          </w:p>
        </w:tc>
        <w:tc>
          <w:tcPr>
            <w:tcW w:w="3685" w:type="dxa"/>
          </w:tcPr>
          <w:p>
            <w:pPr>
              <w:pStyle w:val="0"/>
            </w:pPr>
            <w:r>
              <w:rPr>
                <w:sz w:val="20"/>
              </w:rPr>
              <w:t xml:space="preserve">Доля больных с диагнозом "рак желудка", получавших предоперационную химиотерапию, от общего количества больных, которым проведена операция по поводу рака желудка (гастрэктомия или резекция желудка в различном объеме)</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75%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4.18.</w:t>
            </w:r>
          </w:p>
        </w:tc>
        <w:tc>
          <w:tcPr>
            <w:tcW w:w="3685" w:type="dxa"/>
          </w:tcPr>
          <w:p>
            <w:pPr>
              <w:pStyle w:val="0"/>
            </w:pPr>
            <w:r>
              <w:rPr>
                <w:sz w:val="20"/>
              </w:rPr>
              <w:t xml:space="preserve">Доля операций по экстирпации прямой кишки в различном объеме при злокачественных новообразованиях прямой кишки от общего количества операций при злокачественных новообразованиях прямой кишки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более 35%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4.19.</w:t>
            </w:r>
          </w:p>
        </w:tc>
        <w:tc>
          <w:tcPr>
            <w:tcW w:w="3685" w:type="dxa"/>
          </w:tcPr>
          <w:p>
            <w:pPr>
              <w:pStyle w:val="0"/>
            </w:pPr>
            <w:r>
              <w:rPr>
                <w:sz w:val="20"/>
              </w:rPr>
              <w:t xml:space="preserve">Доля случаев эндоскопических оперативных вмешательств, выполненных по поводу злокачественных новообразований колоректальной локализации, от общего числа оперативных вмешательств, выполненных по поводу злокачественных новообразований колоректальной локализации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40%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4.20.</w:t>
            </w:r>
          </w:p>
        </w:tc>
        <w:tc>
          <w:tcPr>
            <w:tcW w:w="3685" w:type="dxa"/>
          </w:tcPr>
          <w:p>
            <w:pPr>
              <w:pStyle w:val="0"/>
            </w:pPr>
            <w:r>
              <w:rPr>
                <w:sz w:val="20"/>
              </w:rPr>
              <w:t xml:space="preserve">Доля случаев госпитализаций по профилю "онкология" без специального противоопухолевого лечения от общего количества случаев госпитализаций по профилю "онкология"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более 3%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4.21.</w:t>
            </w:r>
          </w:p>
        </w:tc>
        <w:tc>
          <w:tcPr>
            <w:tcW w:w="3685" w:type="dxa"/>
          </w:tcPr>
          <w:p>
            <w:pPr>
              <w:pStyle w:val="0"/>
            </w:pPr>
            <w:r>
              <w:rPr>
                <w:sz w:val="20"/>
              </w:rPr>
              <w:t xml:space="preserve">Доля случаев хирургических вмешательств у больных с диагнозом злокачественного новообразования на неонкологических койках (за исключением коек нейрохирургического профиля) от общего количества хирургических вмешательств у больных с диагнозом злокачественного новообразования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более 3%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4.22.</w:t>
            </w:r>
          </w:p>
        </w:tc>
        <w:tc>
          <w:tcPr>
            <w:tcW w:w="3685" w:type="dxa"/>
          </w:tcPr>
          <w:p>
            <w:pPr>
              <w:pStyle w:val="0"/>
            </w:pPr>
            <w:r>
              <w:rPr>
                <w:sz w:val="20"/>
              </w:rPr>
              <w:t xml:space="preserve">Доля случаев оказания специализированной медицинской помощи по профилю "онкология" в плановой форме (далее - СМП онкология) в медицинских организациях, не соответствующих </w:t>
            </w:r>
            <w:hyperlink w:history="0" r:id="rId118"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0"/>
                  <w:color w:val="0000ff"/>
                </w:rPr>
                <w:t xml:space="preserve">Порядку</w:t>
              </w:r>
            </w:hyperlink>
            <w:r>
              <w:rPr>
                <w:sz w:val="20"/>
              </w:rPr>
              <w:t xml:space="preserve"> оказания медицинской помощи взрослому населению при онкологических заболеваниях (приказ Минздрава России от 19 февраля 2021 года N 116н) от общего количества случаев СМП онкология, оплаченных по Территориальной программе государственных гарантий бесплатного оказания гражданам медицинской помощи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Целевое значение: 0%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4.23.</w:t>
            </w:r>
          </w:p>
        </w:tc>
        <w:tc>
          <w:tcPr>
            <w:tcW w:w="3685" w:type="dxa"/>
          </w:tcPr>
          <w:p>
            <w:pPr>
              <w:pStyle w:val="0"/>
            </w:pPr>
            <w:r>
              <w:rPr>
                <w:sz w:val="20"/>
              </w:rPr>
              <w:t xml:space="preserve">Доля случаев проведения противоопухолевой лекарственной терапии в условиях дневного стационара от общего числа случаев проведения противоопухолевой лекарственной терапии, выполненных при оказании медицинской помощи в условиях круглосуточного и дневного стационаров</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55%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4.24.</w:t>
            </w:r>
          </w:p>
        </w:tc>
        <w:tc>
          <w:tcPr>
            <w:tcW w:w="3685" w:type="dxa"/>
          </w:tcPr>
          <w:p>
            <w:pPr>
              <w:pStyle w:val="0"/>
            </w:pPr>
            <w:r>
              <w:rPr>
                <w:sz w:val="20"/>
              </w:rPr>
              <w:t xml:space="preserve">Доля случаев проведения лучевых и химиолучевых методов лечения в условиях дневного стационара от общего числа случаев проведения лучевых и химиолучевых методов лечения в условиях круглосуточного и дневного стационаров</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радиолог,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50%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4.25.</w:t>
            </w:r>
          </w:p>
        </w:tc>
        <w:tc>
          <w:tcPr>
            <w:tcW w:w="3685" w:type="dxa"/>
          </w:tcPr>
          <w:p>
            <w:pPr>
              <w:pStyle w:val="0"/>
            </w:pPr>
            <w:r>
              <w:rPr>
                <w:sz w:val="20"/>
              </w:rPr>
              <w:t xml:space="preserve">Доля впервые выявленных случаев ЗНО, входящих в рубрики С37, C38, C40-C41, C45-C49, С58, D39, C62, C69-C70, С72, C74 МКБ-10, а также соответствующих кодам международной классификации болезней - онкология (МКБ-О), 3 издания 8936, 906 - 909, 8247/3, 8013/3, 8240/3, 8244/3, 8246/3, 8249/3, направленных на проведение консультации или консилиума врачей, в том числе с применением телемедицинских технологий, в федеральные государственные бюджетные учреждения, подведомственные Министерству здравоохранения Российской Федерации, к общему количеству впервые выявленных случаев ЗНО, входящих в рубрики С37, C38, C40-C41, C45-C49, С58, D39, C62, C69-C70, С72, C74 МКБ-10, а также соответствующих кодам международной классификации болезней - "онкология" (МКБ-О), 3 издания 8936, 906 - 909, 8247/3, 8013/3, 8240/3, 8244/3, 8246/3, 8249/3.</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90%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4.26.</w:t>
            </w:r>
          </w:p>
        </w:tc>
        <w:tc>
          <w:tcPr>
            <w:tcW w:w="3685" w:type="dxa"/>
          </w:tcPr>
          <w:p>
            <w:pPr>
              <w:pStyle w:val="0"/>
            </w:pPr>
            <w:r>
              <w:rPr>
                <w:sz w:val="20"/>
              </w:rPr>
              <w:t xml:space="preserve">Средняя длительность госпитализации при оказании специализированной, в том числе высокотехнологичной, медицинской помощи в условиях круглосуточного стационара на койках онкологического профиля при применении хирургических методов лечения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не более 12 койко-дней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4.27.</w:t>
            </w:r>
          </w:p>
        </w:tc>
        <w:tc>
          <w:tcPr>
            <w:tcW w:w="3685" w:type="dxa"/>
          </w:tcPr>
          <w:p>
            <w:pPr>
              <w:pStyle w:val="0"/>
            </w:pPr>
            <w:r>
              <w:rPr>
                <w:sz w:val="20"/>
              </w:rPr>
              <w:t xml:space="preserve">Средняя длительность госпитализации при оказании специализированной, в том числе высокотехнологичной, медицинской помощи в условиях круглосуточного стационара на койках онкологического профиля при проведении противоопухолевой лекарственной терапии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не более 5 койко-дней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4.28.</w:t>
            </w:r>
          </w:p>
        </w:tc>
        <w:tc>
          <w:tcPr>
            <w:tcW w:w="3685" w:type="dxa"/>
          </w:tcPr>
          <w:p>
            <w:pPr>
              <w:pStyle w:val="0"/>
            </w:pPr>
            <w:r>
              <w:rPr>
                <w:sz w:val="20"/>
              </w:rPr>
              <w:t xml:space="preserve">Средняя длительность госпитализации при оказании специализированной, в том числе высокотехнологичной, медицинской помощи в условиях круглосуточного стационара на койках радиологического профиля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не более 30 койко-дней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4.29.</w:t>
            </w:r>
          </w:p>
        </w:tc>
        <w:tc>
          <w:tcPr>
            <w:tcW w:w="3685" w:type="dxa"/>
          </w:tcPr>
          <w:p>
            <w:pPr>
              <w:pStyle w:val="0"/>
            </w:pPr>
            <w:r>
              <w:rPr>
                <w:sz w:val="20"/>
              </w:rPr>
              <w:t xml:space="preserve">Доля пациентов с онкологическими заболеваниями, которым была проведена паллиативная (симптоматическая) дистанционная лучевая терапия, от общего количества случаев лучевой терапии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 не менее 15%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4.30.</w:t>
            </w:r>
          </w:p>
        </w:tc>
        <w:tc>
          <w:tcPr>
            <w:tcW w:w="3685" w:type="dxa"/>
          </w:tcPr>
          <w:p>
            <w:pPr>
              <w:pStyle w:val="0"/>
            </w:pPr>
            <w:r>
              <w:rPr>
                <w:sz w:val="20"/>
              </w:rPr>
              <w:t xml:space="preserve">Доля пациентов с плоскоклеточным раком головы и шеи, которым проводилась химиолучевая терапия, от общего количества больных с впервые установленным диагнозом плоскоклеточного рака головы и шеи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 не менее 40%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4.31.</w:t>
            </w:r>
          </w:p>
        </w:tc>
        <w:tc>
          <w:tcPr>
            <w:tcW w:w="3685" w:type="dxa"/>
          </w:tcPr>
          <w:p>
            <w:pPr>
              <w:pStyle w:val="0"/>
            </w:pPr>
            <w:r>
              <w:rPr>
                <w:sz w:val="20"/>
              </w:rPr>
              <w:t xml:space="preserve">Доля пациентов с раком легкого III стадии, которым проводилась химиолучевая терапия, от общего количества больных с впервые установленным диагнозом рака легкого III стадией</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Целевой показатель: не менее 70% (ежегодно)</w:t>
            </w:r>
          </w:p>
        </w:tc>
        <w:tc>
          <w:tcPr>
            <w:tcW w:w="1644" w:type="dxa"/>
          </w:tcPr>
          <w:p>
            <w:pPr>
              <w:pStyle w:val="0"/>
            </w:pPr>
            <w:r>
              <w:rPr>
                <w:sz w:val="20"/>
              </w:rPr>
              <w:t xml:space="preserve">регулярное</w:t>
            </w:r>
          </w:p>
        </w:tc>
      </w:tr>
      <w:tr>
        <w:tc>
          <w:tcPr>
            <w:tcW w:w="587" w:type="dxa"/>
          </w:tcPr>
          <w:p>
            <w:pPr>
              <w:pStyle w:val="0"/>
            </w:pPr>
            <w:r>
              <w:rPr>
                <w:sz w:val="20"/>
              </w:rPr>
              <w:t xml:space="preserve">4.32.</w:t>
            </w:r>
          </w:p>
        </w:tc>
        <w:tc>
          <w:tcPr>
            <w:tcW w:w="3685" w:type="dxa"/>
          </w:tcPr>
          <w:p>
            <w:pPr>
              <w:pStyle w:val="0"/>
            </w:pPr>
            <w:r>
              <w:rPr>
                <w:sz w:val="20"/>
              </w:rPr>
              <w:t xml:space="preserve">Развитие консультативного центра по патологической анатомии опухоли на базе БУ "Окружная клиническая больница"</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патологической анатомии, главные врачи МО (по согласованию)</w:t>
            </w:r>
          </w:p>
        </w:tc>
        <w:tc>
          <w:tcPr>
            <w:tcW w:w="4195" w:type="dxa"/>
          </w:tcPr>
          <w:p>
            <w:pPr>
              <w:pStyle w:val="0"/>
            </w:pPr>
            <w:r>
              <w:rPr>
                <w:sz w:val="20"/>
              </w:rPr>
              <w:t xml:space="preserve">Утверждены региональные нормативные правовые акты по созданию референс-центра в Окружной клинической больнице по исследованию опухолей, по организации окружной лаборатории молекулярно-генетических исследований злокачественных новообразований.</w:t>
            </w:r>
          </w:p>
          <w:p>
            <w:pPr>
              <w:pStyle w:val="0"/>
            </w:pPr>
            <w:r>
              <w:rPr>
                <w:sz w:val="20"/>
              </w:rPr>
              <w:t xml:space="preserve">К концу 2024 года сформирована окружная сеть дистанционного консультирования сканированных микропрепаратов на базе БУ "Окружная клиническая больница". К концу 2024 года сканирующие микроскопы подключены к сети интернет и локальной сети учреждений</w:t>
            </w:r>
          </w:p>
        </w:tc>
        <w:tc>
          <w:tcPr>
            <w:tcW w:w="1644" w:type="dxa"/>
          </w:tcPr>
          <w:p>
            <w:pPr>
              <w:pStyle w:val="0"/>
            </w:pPr>
            <w:r>
              <w:rPr>
                <w:sz w:val="20"/>
              </w:rPr>
              <w:t xml:space="preserve">Регулярные</w:t>
            </w:r>
          </w:p>
        </w:tc>
      </w:tr>
      <w:tr>
        <w:tc>
          <w:tcPr>
            <w:tcW w:w="587" w:type="dxa"/>
          </w:tcPr>
          <w:p>
            <w:pPr>
              <w:pStyle w:val="0"/>
            </w:pPr>
            <w:r>
              <w:rPr>
                <w:sz w:val="20"/>
              </w:rPr>
              <w:t xml:space="preserve">4.33.</w:t>
            </w:r>
          </w:p>
        </w:tc>
        <w:tc>
          <w:tcPr>
            <w:tcW w:w="3685" w:type="dxa"/>
          </w:tcPr>
          <w:p>
            <w:pPr>
              <w:pStyle w:val="0"/>
            </w:pPr>
            <w:r>
              <w:rPr>
                <w:sz w:val="20"/>
              </w:rPr>
              <w:t xml:space="preserve">Совершенствование организации регулярных дистанционных консультаций специалистов амбулаторной онкологической сети с использованием телемедицинских средств связи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радиолог, главные врачи МО (по согласованию)</w:t>
            </w:r>
          </w:p>
        </w:tc>
        <w:tc>
          <w:tcPr>
            <w:tcW w:w="4195" w:type="dxa"/>
          </w:tcPr>
          <w:p>
            <w:pPr>
              <w:pStyle w:val="0"/>
            </w:pPr>
            <w:r>
              <w:rPr>
                <w:sz w:val="20"/>
              </w:rPr>
              <w:t xml:space="preserve">ежегодное проведение не менее 800 телеконсультаций со специалистами первичного звена</w:t>
            </w:r>
          </w:p>
        </w:tc>
        <w:tc>
          <w:tcPr>
            <w:tcW w:w="1644" w:type="dxa"/>
          </w:tcPr>
          <w:p>
            <w:pPr>
              <w:pStyle w:val="0"/>
            </w:pPr>
            <w:r>
              <w:rPr>
                <w:sz w:val="20"/>
              </w:rPr>
              <w:t xml:space="preserve">Регулярные</w:t>
            </w:r>
          </w:p>
        </w:tc>
      </w:tr>
      <w:tr>
        <w:tc>
          <w:tcPr>
            <w:tcW w:w="587" w:type="dxa"/>
          </w:tcPr>
          <w:p>
            <w:pPr>
              <w:pStyle w:val="0"/>
            </w:pPr>
            <w:r>
              <w:rPr>
                <w:sz w:val="20"/>
              </w:rPr>
              <w:t xml:space="preserve">4.34.</w:t>
            </w:r>
          </w:p>
        </w:tc>
        <w:tc>
          <w:tcPr>
            <w:tcW w:w="3685" w:type="dxa"/>
          </w:tcPr>
          <w:p>
            <w:pPr>
              <w:pStyle w:val="0"/>
            </w:pPr>
            <w:r>
              <w:rPr>
                <w:sz w:val="20"/>
              </w:rPr>
              <w:t xml:space="preserve">Организация отделения онкоурологии на базе БУ "Окружная клиническая больница"</w:t>
            </w:r>
          </w:p>
        </w:tc>
        <w:tc>
          <w:tcPr>
            <w:tcW w:w="1220" w:type="dxa"/>
          </w:tcPr>
          <w:p>
            <w:pPr>
              <w:pStyle w:val="0"/>
            </w:pPr>
            <w:r>
              <w:rPr>
                <w:sz w:val="20"/>
              </w:rPr>
              <w:t xml:space="preserve">1 июня 2023 года</w:t>
            </w:r>
          </w:p>
        </w:tc>
        <w:tc>
          <w:tcPr>
            <w:tcW w:w="1304" w:type="dxa"/>
          </w:tcPr>
          <w:p>
            <w:pPr>
              <w:pStyle w:val="0"/>
            </w:pPr>
            <w:r>
              <w:rPr>
                <w:sz w:val="20"/>
              </w:rPr>
              <w:t xml:space="preserve">31.12.2023</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Открытие к концу 2023 года отделения онкоурологии на базе БУ "Окружная клиническая больница"</w:t>
            </w:r>
          </w:p>
        </w:tc>
        <w:tc>
          <w:tcPr>
            <w:tcW w:w="1644" w:type="dxa"/>
          </w:tcPr>
          <w:p>
            <w:pPr>
              <w:pStyle w:val="0"/>
            </w:pPr>
            <w:r>
              <w:rPr>
                <w:sz w:val="20"/>
              </w:rPr>
              <w:t xml:space="preserve">Разовые делимые</w:t>
            </w:r>
          </w:p>
        </w:tc>
      </w:tr>
      <w:tr>
        <w:tc>
          <w:tcPr>
            <w:tcW w:w="587" w:type="dxa"/>
          </w:tcPr>
          <w:p>
            <w:pPr>
              <w:pStyle w:val="0"/>
            </w:pPr>
            <w:r>
              <w:rPr>
                <w:sz w:val="20"/>
              </w:rPr>
              <w:t xml:space="preserve">4.35.</w:t>
            </w:r>
          </w:p>
        </w:tc>
        <w:tc>
          <w:tcPr>
            <w:tcW w:w="3685" w:type="dxa"/>
          </w:tcPr>
          <w:p>
            <w:pPr>
              <w:pStyle w:val="0"/>
            </w:pPr>
            <w:r>
              <w:rPr>
                <w:sz w:val="20"/>
              </w:rPr>
              <w:t xml:space="preserve">Реорганизация структурных подразделений медицинских организаций 3 уровня, оказывающих медицинскую помощь пациентам с онкологическими заболеваниями урологической патологии, в соответствии с требованиями </w:t>
            </w:r>
            <w:hyperlink w:history="0" r:id="rId119"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0"/>
                  <w:color w:val="0000ff"/>
                </w:rPr>
                <w:t xml:space="preserve">приказа</w:t>
              </w:r>
            </w:hyperlink>
            <w:r>
              <w:rPr>
                <w:sz w:val="20"/>
              </w:rPr>
              <w:t xml:space="preserve"> Минздрава России от 19 февраля 2021 года N 116н "Об утверждении Порядка оказания медицинской помощи взрослому населению при онкологических заболеваниях"</w:t>
            </w:r>
          </w:p>
        </w:tc>
        <w:tc>
          <w:tcPr>
            <w:tcW w:w="1220" w:type="dxa"/>
          </w:tcPr>
          <w:p>
            <w:pPr>
              <w:pStyle w:val="0"/>
            </w:pPr>
            <w:r>
              <w:rPr>
                <w:sz w:val="20"/>
              </w:rPr>
              <w:t xml:space="preserve">1 июня 2023 года</w:t>
            </w:r>
          </w:p>
        </w:tc>
        <w:tc>
          <w:tcPr>
            <w:tcW w:w="1304" w:type="dxa"/>
          </w:tcPr>
          <w:p>
            <w:pPr>
              <w:pStyle w:val="0"/>
            </w:pPr>
            <w:r>
              <w:rPr>
                <w:sz w:val="20"/>
              </w:rPr>
              <w:t xml:space="preserve">31.12.2023</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Медицинские организации 3 уровня региона, участвующие в оказании плановой медицинской помощи пациентам с онкологическими заболеваниями урологической патологии, соответствуют требованиям </w:t>
            </w:r>
            <w:hyperlink w:history="0" r:id="rId120" w:tooltip="Приказ Минздрава России от 19.02.2021 N 116н (ред. от 24.01.2022) &quot;Об утверждении Порядка оказания медицинской помощи взрослому населению при онкологических заболеваниях&quot; (Зарегистрировано в Минюсте России 01.04.2021 N 62964) {КонсультантПлюс}">
              <w:r>
                <w:rPr>
                  <w:sz w:val="20"/>
                  <w:color w:val="0000ff"/>
                </w:rPr>
                <w:t xml:space="preserve">приказа</w:t>
              </w:r>
            </w:hyperlink>
            <w:r>
              <w:rPr>
                <w:sz w:val="20"/>
              </w:rPr>
              <w:t xml:space="preserve"> Минздрава России от 19 февраля 2021 года N 116н "Об утверждении Порядка оказания медицинской помощи взрослому населению при онкологических заболеваниях"</w:t>
            </w:r>
          </w:p>
        </w:tc>
        <w:tc>
          <w:tcPr>
            <w:tcW w:w="1644" w:type="dxa"/>
          </w:tcPr>
          <w:p>
            <w:pPr>
              <w:pStyle w:val="0"/>
            </w:pPr>
            <w:r>
              <w:rPr>
                <w:sz w:val="20"/>
              </w:rPr>
              <w:t xml:space="preserve">Разовое</w:t>
            </w:r>
          </w:p>
        </w:tc>
      </w:tr>
      <w:tr>
        <w:tc>
          <w:tcPr>
            <w:gridSpan w:val="7"/>
            <w:tcW w:w="15753" w:type="dxa"/>
          </w:tcPr>
          <w:p>
            <w:pPr>
              <w:pStyle w:val="0"/>
              <w:outlineLvl w:val="2"/>
            </w:pPr>
            <w:r>
              <w:rPr>
                <w:sz w:val="20"/>
              </w:rPr>
              <w:t xml:space="preserve">5. Третичная профилактика онкологических заболеваний, включая организацию диспансерного наблюдения пациентов с онкологическими заболеваниями</w:t>
            </w:r>
          </w:p>
        </w:tc>
      </w:tr>
      <w:tr>
        <w:tc>
          <w:tcPr>
            <w:tcW w:w="587" w:type="dxa"/>
          </w:tcPr>
          <w:p>
            <w:pPr>
              <w:pStyle w:val="0"/>
            </w:pPr>
            <w:r>
              <w:rPr>
                <w:sz w:val="20"/>
              </w:rPr>
              <w:t xml:space="preserve">5.1.</w:t>
            </w:r>
          </w:p>
        </w:tc>
        <w:tc>
          <w:tcPr>
            <w:tcW w:w="3685" w:type="dxa"/>
          </w:tcPr>
          <w:p>
            <w:pPr>
              <w:pStyle w:val="0"/>
            </w:pPr>
            <w:r>
              <w:rPr>
                <w:sz w:val="20"/>
              </w:rPr>
              <w:t xml:space="preserve">Организация диспансерного наблюдения пациентов с онкологическими заболеваниями на базе первичных онкологических кабинетов, центров амбулаторной онкологической помощи, онкологических диспансеров</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Увеличение доли лиц, осмотренных в течение года врачами-онкологами, из числа диспансерной группы пациентов с ЗНО:</w:t>
            </w:r>
          </w:p>
          <w:p>
            <w:pPr>
              <w:pStyle w:val="0"/>
            </w:pPr>
            <w:r>
              <w:rPr>
                <w:sz w:val="20"/>
              </w:rPr>
              <w:t xml:space="preserve">в 2023 году - 77%,</w:t>
            </w:r>
          </w:p>
          <w:p>
            <w:pPr>
              <w:pStyle w:val="0"/>
            </w:pPr>
            <w:r>
              <w:rPr>
                <w:sz w:val="20"/>
              </w:rPr>
              <w:t xml:space="preserve">в 2024 году - 80</w:t>
            </w:r>
          </w:p>
        </w:tc>
        <w:tc>
          <w:tcPr>
            <w:tcW w:w="1644" w:type="dxa"/>
          </w:tcPr>
          <w:p>
            <w:pPr>
              <w:pStyle w:val="0"/>
            </w:pPr>
            <w:r>
              <w:rPr>
                <w:sz w:val="20"/>
              </w:rPr>
              <w:t xml:space="preserve">Регулярные</w:t>
            </w:r>
          </w:p>
        </w:tc>
      </w:tr>
      <w:tr>
        <w:tc>
          <w:tcPr>
            <w:tcW w:w="587" w:type="dxa"/>
          </w:tcPr>
          <w:p>
            <w:pPr>
              <w:pStyle w:val="0"/>
            </w:pPr>
            <w:r>
              <w:rPr>
                <w:sz w:val="20"/>
              </w:rPr>
              <w:t xml:space="preserve">5.2.</w:t>
            </w:r>
          </w:p>
        </w:tc>
        <w:tc>
          <w:tcPr>
            <w:tcW w:w="3685" w:type="dxa"/>
          </w:tcPr>
          <w:p>
            <w:pPr>
              <w:pStyle w:val="0"/>
            </w:pPr>
            <w:r>
              <w:rPr>
                <w:sz w:val="20"/>
              </w:rPr>
              <w:t xml:space="preserve">Повышение приверженности пациентов с онкологическими заболеваниями к лечению и выполнению рекомендаций врача-онколога</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Увеличение доли лиц с онкологическими заболеваниями, приверженными к лечению и выполнению рекомендаций врача-онколога:</w:t>
            </w:r>
          </w:p>
          <w:p>
            <w:pPr>
              <w:pStyle w:val="0"/>
            </w:pPr>
            <w:r>
              <w:rPr>
                <w:sz w:val="20"/>
              </w:rPr>
              <w:t xml:space="preserve">в 2023 году - 75%</w:t>
            </w:r>
          </w:p>
          <w:p>
            <w:pPr>
              <w:pStyle w:val="0"/>
            </w:pPr>
            <w:r>
              <w:rPr>
                <w:sz w:val="20"/>
              </w:rPr>
              <w:t xml:space="preserve">в 2024 году - 80</w:t>
            </w:r>
          </w:p>
        </w:tc>
        <w:tc>
          <w:tcPr>
            <w:tcW w:w="1644" w:type="dxa"/>
          </w:tcPr>
          <w:p>
            <w:pPr>
              <w:pStyle w:val="0"/>
            </w:pPr>
            <w:r>
              <w:rPr>
                <w:sz w:val="20"/>
              </w:rPr>
              <w:t xml:space="preserve">Регулярные</w:t>
            </w:r>
          </w:p>
        </w:tc>
      </w:tr>
      <w:tr>
        <w:tc>
          <w:tcPr>
            <w:gridSpan w:val="7"/>
            <w:tcW w:w="15753" w:type="dxa"/>
          </w:tcPr>
          <w:p>
            <w:pPr>
              <w:pStyle w:val="0"/>
              <w:outlineLvl w:val="2"/>
            </w:pPr>
            <w:r>
              <w:rPr>
                <w:sz w:val="20"/>
              </w:rPr>
              <w:t xml:space="preserve">6. Комплекс мер по развитию паллиативной помощи пациентам с онкологическими заболеваниями</w:t>
            </w:r>
          </w:p>
        </w:tc>
      </w:tr>
      <w:tr>
        <w:tc>
          <w:tcPr>
            <w:tcW w:w="587" w:type="dxa"/>
          </w:tcPr>
          <w:p>
            <w:pPr>
              <w:pStyle w:val="0"/>
            </w:pPr>
            <w:r>
              <w:rPr>
                <w:sz w:val="20"/>
              </w:rPr>
              <w:t xml:space="preserve">6.1.</w:t>
            </w:r>
          </w:p>
        </w:tc>
        <w:tc>
          <w:tcPr>
            <w:tcW w:w="3685" w:type="dxa"/>
          </w:tcPr>
          <w:p>
            <w:pPr>
              <w:pStyle w:val="0"/>
            </w:pPr>
            <w:r>
              <w:rPr>
                <w:sz w:val="20"/>
              </w:rPr>
              <w:t xml:space="preserve">Проведение школ "Уход за тяжелобольными пациентами" в медицинских организациях, оказывающих ПМП пациентам с онкологическими заболеваниями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специалист по паллиативной медицине Депздрава Югры, главные врачи МО (по согласованию)</w:t>
            </w:r>
          </w:p>
        </w:tc>
        <w:tc>
          <w:tcPr>
            <w:tcW w:w="4195" w:type="dxa"/>
          </w:tcPr>
          <w:p>
            <w:pPr>
              <w:pStyle w:val="0"/>
            </w:pPr>
            <w:r>
              <w:rPr>
                <w:sz w:val="20"/>
              </w:rPr>
              <w:t xml:space="preserve">К концу 2024 года 100% обучение лиц, осуществляющих уход за тяжелобольными пациентами, навыкам и приемам ухода. Ежегодное проведение не менее 4 школ в год</w:t>
            </w:r>
          </w:p>
        </w:tc>
        <w:tc>
          <w:tcPr>
            <w:tcW w:w="1644" w:type="dxa"/>
          </w:tcPr>
          <w:p>
            <w:pPr>
              <w:pStyle w:val="0"/>
            </w:pPr>
            <w:r>
              <w:rPr>
                <w:sz w:val="20"/>
              </w:rPr>
              <w:t xml:space="preserve">Регулярные</w:t>
            </w:r>
          </w:p>
        </w:tc>
      </w:tr>
      <w:tr>
        <w:tc>
          <w:tcPr>
            <w:tcW w:w="587" w:type="dxa"/>
          </w:tcPr>
          <w:p>
            <w:pPr>
              <w:pStyle w:val="0"/>
            </w:pPr>
            <w:r>
              <w:rPr>
                <w:sz w:val="20"/>
              </w:rPr>
              <w:t xml:space="preserve">6.2.</w:t>
            </w:r>
          </w:p>
        </w:tc>
        <w:tc>
          <w:tcPr>
            <w:tcW w:w="3685" w:type="dxa"/>
          </w:tcPr>
          <w:p>
            <w:pPr>
              <w:pStyle w:val="0"/>
            </w:pPr>
            <w:r>
              <w:rPr>
                <w:sz w:val="20"/>
              </w:rPr>
              <w:t xml:space="preserve">Проведение мониторинга доступности и обеспеченности обезболивающий терапии в ежеквартальном режиме</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специалист по паллиативной медицине Депздрава Югры, главные врачи МО (по согласованию)</w:t>
            </w:r>
          </w:p>
        </w:tc>
        <w:tc>
          <w:tcPr>
            <w:tcW w:w="4195" w:type="dxa"/>
          </w:tcPr>
          <w:p>
            <w:pPr>
              <w:pStyle w:val="0"/>
            </w:pPr>
            <w:r>
              <w:rPr>
                <w:sz w:val="20"/>
              </w:rPr>
              <w:t xml:space="preserve">К концу 2024 года 100% пациентов обеспечены обезболивающей терапией</w:t>
            </w:r>
          </w:p>
        </w:tc>
        <w:tc>
          <w:tcPr>
            <w:tcW w:w="1644" w:type="dxa"/>
          </w:tcPr>
          <w:p>
            <w:pPr>
              <w:pStyle w:val="0"/>
            </w:pPr>
            <w:r>
              <w:rPr>
                <w:sz w:val="20"/>
              </w:rPr>
              <w:t xml:space="preserve">Регулярные</w:t>
            </w:r>
          </w:p>
        </w:tc>
      </w:tr>
      <w:tr>
        <w:tc>
          <w:tcPr>
            <w:tcW w:w="587" w:type="dxa"/>
          </w:tcPr>
          <w:p>
            <w:pPr>
              <w:pStyle w:val="0"/>
            </w:pPr>
            <w:r>
              <w:rPr>
                <w:sz w:val="20"/>
              </w:rPr>
              <w:t xml:space="preserve">6.3.</w:t>
            </w:r>
          </w:p>
        </w:tc>
        <w:tc>
          <w:tcPr>
            <w:tcW w:w="3685" w:type="dxa"/>
          </w:tcPr>
          <w:p>
            <w:pPr>
              <w:pStyle w:val="0"/>
            </w:pPr>
            <w:r>
              <w:rPr>
                <w:sz w:val="20"/>
              </w:rPr>
              <w:t xml:space="preserve">Оснащение/дооснащение медицинским оборудованием медицинских организаций, оказывающих паллиативную медицинскую помощь</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развития системы здравоохранения Депздрава Югры; главный внештатный специалист онколог, специалист по паллиативной медицине Депздрава Югры, главные врачи МО (по согласованию)</w:t>
            </w:r>
          </w:p>
        </w:tc>
        <w:tc>
          <w:tcPr>
            <w:tcW w:w="4195" w:type="dxa"/>
          </w:tcPr>
          <w:p>
            <w:pPr>
              <w:pStyle w:val="0"/>
            </w:pPr>
            <w:r>
              <w:rPr>
                <w:sz w:val="20"/>
              </w:rPr>
              <w:t xml:space="preserve">К концу 2024 года 100% оснащение медицинских организаций оборудованием в соответствии с порядком оказания паллиативной помощи</w:t>
            </w:r>
          </w:p>
        </w:tc>
        <w:tc>
          <w:tcPr>
            <w:tcW w:w="1644" w:type="dxa"/>
          </w:tcPr>
          <w:p>
            <w:pPr>
              <w:pStyle w:val="0"/>
            </w:pPr>
            <w:r>
              <w:rPr>
                <w:sz w:val="20"/>
              </w:rPr>
              <w:t xml:space="preserve">Разовое делимое</w:t>
            </w:r>
          </w:p>
        </w:tc>
      </w:tr>
      <w:tr>
        <w:tc>
          <w:tcPr>
            <w:tcW w:w="587" w:type="dxa"/>
          </w:tcPr>
          <w:p>
            <w:pPr>
              <w:pStyle w:val="0"/>
            </w:pPr>
            <w:r>
              <w:rPr>
                <w:sz w:val="20"/>
              </w:rPr>
              <w:t xml:space="preserve">6.4.</w:t>
            </w:r>
          </w:p>
        </w:tc>
        <w:tc>
          <w:tcPr>
            <w:tcW w:w="3685" w:type="dxa"/>
          </w:tcPr>
          <w:p>
            <w:pPr>
              <w:pStyle w:val="0"/>
            </w:pPr>
            <w:r>
              <w:rPr>
                <w:sz w:val="20"/>
              </w:rPr>
              <w:t xml:space="preserve">Обеспечение медицинским оборудованием пациентов, нуждающихся в ПМП и респираторной поддержке на дому</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развития системы здравоохранения Депздрава Югры; главный внештатный специалист онколог, специалист по паллиативной медицине Депздрава Югры, главные врачи МО (по согласованию)</w:t>
            </w:r>
          </w:p>
        </w:tc>
        <w:tc>
          <w:tcPr>
            <w:tcW w:w="4195" w:type="dxa"/>
          </w:tcPr>
          <w:p>
            <w:pPr>
              <w:pStyle w:val="0"/>
            </w:pPr>
            <w:r>
              <w:rPr>
                <w:sz w:val="20"/>
              </w:rPr>
              <w:t xml:space="preserve">К концу 2024 года 100% оснащение пациентов, нуждающихся в респираторной поддержке</w:t>
            </w:r>
          </w:p>
        </w:tc>
        <w:tc>
          <w:tcPr>
            <w:tcW w:w="1644" w:type="dxa"/>
          </w:tcPr>
          <w:p>
            <w:pPr>
              <w:pStyle w:val="0"/>
            </w:pPr>
            <w:r>
              <w:rPr>
                <w:sz w:val="20"/>
              </w:rPr>
              <w:t xml:space="preserve">Регулярное</w:t>
            </w:r>
          </w:p>
        </w:tc>
      </w:tr>
      <w:tr>
        <w:tc>
          <w:tcPr>
            <w:tcW w:w="587" w:type="dxa"/>
          </w:tcPr>
          <w:p>
            <w:pPr>
              <w:pStyle w:val="0"/>
            </w:pPr>
            <w:r>
              <w:rPr>
                <w:sz w:val="20"/>
              </w:rPr>
              <w:t xml:space="preserve">6.5.</w:t>
            </w:r>
          </w:p>
        </w:tc>
        <w:tc>
          <w:tcPr>
            <w:tcW w:w="3685" w:type="dxa"/>
          </w:tcPr>
          <w:p>
            <w:pPr>
              <w:pStyle w:val="0"/>
            </w:pPr>
            <w:r>
              <w:rPr>
                <w:sz w:val="20"/>
              </w:rPr>
              <w:t xml:space="preserve">Обучение медицинских работников по вопросам оказания паллиативной помощи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развития системы здравоохранения Депздрава Югры; главный внештатный специалист онколог, специалист по паллиативной медицине Депздрава Югры, главные врачи МО (по согласованию)</w:t>
            </w:r>
          </w:p>
        </w:tc>
        <w:tc>
          <w:tcPr>
            <w:tcW w:w="4195" w:type="dxa"/>
          </w:tcPr>
          <w:p>
            <w:pPr>
              <w:pStyle w:val="0"/>
            </w:pPr>
            <w:r>
              <w:rPr>
                <w:sz w:val="20"/>
              </w:rPr>
              <w:t xml:space="preserve">Ежегодное проведение не менее 4 обучающих мероприятий</w:t>
            </w:r>
          </w:p>
        </w:tc>
        <w:tc>
          <w:tcPr>
            <w:tcW w:w="1644" w:type="dxa"/>
          </w:tcPr>
          <w:p>
            <w:pPr>
              <w:pStyle w:val="0"/>
            </w:pPr>
            <w:r>
              <w:rPr>
                <w:sz w:val="20"/>
              </w:rPr>
              <w:t xml:space="preserve">Регулярное</w:t>
            </w:r>
          </w:p>
        </w:tc>
      </w:tr>
      <w:tr>
        <w:tc>
          <w:tcPr>
            <w:tcW w:w="587" w:type="dxa"/>
          </w:tcPr>
          <w:p>
            <w:pPr>
              <w:pStyle w:val="0"/>
            </w:pPr>
            <w:r>
              <w:rPr>
                <w:sz w:val="20"/>
              </w:rPr>
              <w:t xml:space="preserve">6.6.</w:t>
            </w:r>
          </w:p>
        </w:tc>
        <w:tc>
          <w:tcPr>
            <w:tcW w:w="3685" w:type="dxa"/>
          </w:tcPr>
          <w:p>
            <w:pPr>
              <w:pStyle w:val="0"/>
            </w:pPr>
            <w:r>
              <w:rPr>
                <w:sz w:val="20"/>
              </w:rPr>
              <w:t xml:space="preserve">Ведение регистра пациентов, нуждающихся в оказании паллиативной помощи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развития системы здравоохранения Депздрава Югры; главный внештатный специалист онколог, специалист по паллиативной медицине Депздрава Югры, главные врачи МО (по согласованию)</w:t>
            </w:r>
          </w:p>
        </w:tc>
        <w:tc>
          <w:tcPr>
            <w:tcW w:w="4195" w:type="dxa"/>
          </w:tcPr>
          <w:p>
            <w:pPr>
              <w:pStyle w:val="0"/>
            </w:pPr>
            <w:r>
              <w:rPr>
                <w:sz w:val="20"/>
              </w:rPr>
              <w:t xml:space="preserve">Создание регистра пациентов, нуждающихся в ПМП, во всех медицинский организациях, оказывающих ПМП. К 2024 году 100% учет пациентов в регистре пациентов, нуждающихся в оказании паллиативной помощи</w:t>
            </w:r>
          </w:p>
        </w:tc>
        <w:tc>
          <w:tcPr>
            <w:tcW w:w="1644" w:type="dxa"/>
          </w:tcPr>
          <w:p>
            <w:pPr>
              <w:pStyle w:val="0"/>
            </w:pPr>
            <w:r>
              <w:rPr>
                <w:sz w:val="20"/>
              </w:rPr>
              <w:t xml:space="preserve">Регулярное</w:t>
            </w:r>
          </w:p>
        </w:tc>
      </w:tr>
      <w:tr>
        <w:tc>
          <w:tcPr>
            <w:tcW w:w="587" w:type="dxa"/>
          </w:tcPr>
          <w:p>
            <w:pPr>
              <w:pStyle w:val="0"/>
            </w:pPr>
            <w:r>
              <w:rPr>
                <w:sz w:val="20"/>
              </w:rPr>
              <w:t xml:space="preserve">6.7.</w:t>
            </w:r>
          </w:p>
        </w:tc>
        <w:tc>
          <w:tcPr>
            <w:tcW w:w="3685" w:type="dxa"/>
          </w:tcPr>
          <w:p>
            <w:pPr>
              <w:pStyle w:val="0"/>
            </w:pPr>
            <w:r>
              <w:rPr>
                <w:sz w:val="20"/>
              </w:rPr>
              <w:t xml:space="preserve">Проведение социально значимых мероприятий с привлечением волонтерской помощи пациентам, нуждающимся в паллиативной помощи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развития системы здравоохранения Депздрава Югры; главный внештатный специалист онколог, специалист по паллиативной медицине, по профилактической медицине Депздрава Югры, главные врачи МО (по согласованию)</w:t>
            </w:r>
          </w:p>
        </w:tc>
        <w:tc>
          <w:tcPr>
            <w:tcW w:w="4195" w:type="dxa"/>
          </w:tcPr>
          <w:p>
            <w:pPr>
              <w:pStyle w:val="0"/>
            </w:pPr>
            <w:r>
              <w:rPr>
                <w:sz w:val="20"/>
              </w:rPr>
              <w:t xml:space="preserve">К концу 2024 года 100% охват пациентов, нуждающихся в волонтерской помощи</w:t>
            </w:r>
          </w:p>
        </w:tc>
        <w:tc>
          <w:tcPr>
            <w:tcW w:w="1644" w:type="dxa"/>
          </w:tcPr>
          <w:p>
            <w:pPr>
              <w:pStyle w:val="0"/>
            </w:pPr>
            <w:r>
              <w:rPr>
                <w:sz w:val="20"/>
              </w:rPr>
              <w:t xml:space="preserve">Регулярные</w:t>
            </w:r>
          </w:p>
        </w:tc>
      </w:tr>
      <w:tr>
        <w:tc>
          <w:tcPr>
            <w:tcW w:w="587" w:type="dxa"/>
          </w:tcPr>
          <w:p>
            <w:pPr>
              <w:pStyle w:val="0"/>
            </w:pPr>
            <w:r>
              <w:rPr>
                <w:sz w:val="20"/>
              </w:rPr>
              <w:t xml:space="preserve">6.8.</w:t>
            </w:r>
          </w:p>
        </w:tc>
        <w:tc>
          <w:tcPr>
            <w:tcW w:w="3685" w:type="dxa"/>
          </w:tcPr>
          <w:p>
            <w:pPr>
              <w:pStyle w:val="0"/>
            </w:pPr>
            <w:r>
              <w:rPr>
                <w:sz w:val="20"/>
              </w:rPr>
              <w:t xml:space="preserve">Доля пациентов, получивших обезболивание в рамках оказания паллиативной медицинской помощи от общего количества пациентов, нуждающихся в обезболивании при оказании паллиативной медицинской помощи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развития системы здравоохранения Депздрава Югры; специалист по паллиативной медицине Депздрава Югры,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не менее 80% (ежегодно).</w:t>
            </w:r>
          </w:p>
        </w:tc>
        <w:tc>
          <w:tcPr>
            <w:tcW w:w="1644" w:type="dxa"/>
          </w:tcPr>
          <w:p>
            <w:pPr>
              <w:pStyle w:val="0"/>
            </w:pPr>
            <w:r>
              <w:rPr>
                <w:sz w:val="20"/>
              </w:rPr>
              <w:t xml:space="preserve">регулярное</w:t>
            </w:r>
          </w:p>
        </w:tc>
      </w:tr>
      <w:tr>
        <w:tc>
          <w:tcPr>
            <w:gridSpan w:val="7"/>
            <w:tcW w:w="15753" w:type="dxa"/>
          </w:tcPr>
          <w:p>
            <w:pPr>
              <w:pStyle w:val="0"/>
              <w:outlineLvl w:val="2"/>
            </w:pPr>
            <w:r>
              <w:rPr>
                <w:sz w:val="20"/>
              </w:rPr>
              <w:t xml:space="preserve">7. Организационно-методическое сопровождение деятельности онкологической службы региона</w:t>
            </w:r>
          </w:p>
        </w:tc>
      </w:tr>
      <w:tr>
        <w:tc>
          <w:tcPr>
            <w:tcW w:w="587" w:type="dxa"/>
          </w:tcPr>
          <w:p>
            <w:pPr>
              <w:pStyle w:val="0"/>
            </w:pPr>
            <w:r>
              <w:rPr>
                <w:sz w:val="20"/>
              </w:rPr>
              <w:t xml:space="preserve">7.1.</w:t>
            </w:r>
          </w:p>
        </w:tc>
        <w:tc>
          <w:tcPr>
            <w:tcW w:w="3685" w:type="dxa"/>
          </w:tcPr>
          <w:p>
            <w:pPr>
              <w:pStyle w:val="0"/>
            </w:pPr>
            <w:r>
              <w:rPr>
                <w:sz w:val="20"/>
              </w:rPr>
              <w:t xml:space="preserve">Согласование с главным внештатным специалистом онкологом Минздрава России проекта регионального нормативного правового акта, регламентирующего Порядок оказания медицинской помощи взрослому населению при онкологических заболеваниях на 2023 год</w:t>
            </w:r>
          </w:p>
        </w:tc>
        <w:tc>
          <w:tcPr>
            <w:tcW w:w="1220" w:type="dxa"/>
          </w:tcPr>
          <w:p>
            <w:pPr>
              <w:pStyle w:val="0"/>
            </w:pPr>
            <w:r>
              <w:rPr>
                <w:sz w:val="20"/>
              </w:rPr>
              <w:t xml:space="preserve">1 июня 2023 года</w:t>
            </w:r>
          </w:p>
        </w:tc>
        <w:tc>
          <w:tcPr>
            <w:tcW w:w="1304" w:type="dxa"/>
          </w:tcPr>
          <w:p>
            <w:pPr>
              <w:pStyle w:val="0"/>
            </w:pPr>
            <w:r>
              <w:rPr>
                <w:sz w:val="20"/>
              </w:rPr>
              <w:t xml:space="preserve">31.12.2023</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w:t>
            </w:r>
          </w:p>
        </w:tc>
        <w:tc>
          <w:tcPr>
            <w:tcW w:w="4195" w:type="dxa"/>
          </w:tcPr>
          <w:p>
            <w:pPr>
              <w:pStyle w:val="0"/>
            </w:pPr>
            <w:r>
              <w:rPr>
                <w:sz w:val="20"/>
              </w:rPr>
              <w:t xml:space="preserve">Представление в адрес ФГБУ "НМИЦ онкологии им. Н.Н.Блохина" Минздрава России проекта регионального нормативного правового акта - 2023 год</w:t>
            </w:r>
          </w:p>
        </w:tc>
        <w:tc>
          <w:tcPr>
            <w:tcW w:w="1644" w:type="dxa"/>
          </w:tcPr>
          <w:p>
            <w:pPr>
              <w:pStyle w:val="0"/>
            </w:pPr>
            <w:r>
              <w:rPr>
                <w:sz w:val="20"/>
              </w:rPr>
              <w:t xml:space="preserve">Регулярное</w:t>
            </w:r>
          </w:p>
        </w:tc>
      </w:tr>
      <w:tr>
        <w:tc>
          <w:tcPr>
            <w:tcW w:w="587" w:type="dxa"/>
          </w:tcPr>
          <w:p>
            <w:pPr>
              <w:pStyle w:val="0"/>
            </w:pPr>
            <w:r>
              <w:rPr>
                <w:sz w:val="20"/>
              </w:rPr>
              <w:t xml:space="preserve">7.2.</w:t>
            </w:r>
          </w:p>
        </w:tc>
        <w:tc>
          <w:tcPr>
            <w:tcW w:w="3685" w:type="dxa"/>
          </w:tcPr>
          <w:p>
            <w:pPr>
              <w:pStyle w:val="0"/>
            </w:pPr>
            <w:r>
              <w:rPr>
                <w:sz w:val="20"/>
              </w:rPr>
              <w:t xml:space="preserve">Проведения эпидемиологического мониторинга заболеваемости, смертности, распространенности и инвалидизации от злокачественных новообразований, планирования объемов оказания медицинской помощи на основании действующего регионального онкологического регистра</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директор БУ "МИАЦ" (по согласованию)</w:t>
            </w:r>
          </w:p>
        </w:tc>
        <w:tc>
          <w:tcPr>
            <w:tcW w:w="4195" w:type="dxa"/>
          </w:tcPr>
          <w:p>
            <w:pPr>
              <w:pStyle w:val="0"/>
            </w:pPr>
            <w:r>
              <w:rPr>
                <w:sz w:val="20"/>
              </w:rPr>
              <w:t xml:space="preserve">Ежемесячный мониторинг показателей работы онкологической службы региона, в том числе в разрезе медицинских организаций</w:t>
            </w:r>
          </w:p>
        </w:tc>
        <w:tc>
          <w:tcPr>
            <w:tcW w:w="1644" w:type="dxa"/>
          </w:tcPr>
          <w:p>
            <w:pPr>
              <w:pStyle w:val="0"/>
            </w:pPr>
            <w:r>
              <w:rPr>
                <w:sz w:val="20"/>
              </w:rPr>
              <w:t xml:space="preserve">Регулярное</w:t>
            </w:r>
          </w:p>
        </w:tc>
      </w:tr>
      <w:tr>
        <w:tc>
          <w:tcPr>
            <w:tcW w:w="587" w:type="dxa"/>
          </w:tcPr>
          <w:p>
            <w:pPr>
              <w:pStyle w:val="0"/>
            </w:pPr>
            <w:r>
              <w:rPr>
                <w:sz w:val="20"/>
              </w:rPr>
              <w:t xml:space="preserve">7.3.</w:t>
            </w:r>
          </w:p>
        </w:tc>
        <w:tc>
          <w:tcPr>
            <w:tcW w:w="3685" w:type="dxa"/>
          </w:tcPr>
          <w:p>
            <w:pPr>
              <w:pStyle w:val="0"/>
            </w:pPr>
            <w:r>
              <w:rPr>
                <w:sz w:val="20"/>
              </w:rPr>
              <w:t xml:space="preserve">Организация научно-практических мероприятий, в том зарегистрированных в система непрерывного медицинского образования (далее - НМО), с привлечением специалистов НМИЦ в автономном округе</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(по согласованию)</w:t>
            </w:r>
          </w:p>
        </w:tc>
        <w:tc>
          <w:tcPr>
            <w:tcW w:w="4195" w:type="dxa"/>
          </w:tcPr>
          <w:p>
            <w:pPr>
              <w:pStyle w:val="0"/>
            </w:pPr>
            <w:r>
              <w:rPr>
                <w:sz w:val="20"/>
              </w:rPr>
              <w:t xml:space="preserve">Ежегодное проведение научно-практических мероприятий в автономном округе в соответствии с утверждаемым Депздравом Югры планом (не менее 3 научно-практических мероприятий окружного уровня в год, в оффлайн или онлайн-режиме)</w:t>
            </w:r>
          </w:p>
        </w:tc>
        <w:tc>
          <w:tcPr>
            <w:tcW w:w="1644" w:type="dxa"/>
          </w:tcPr>
          <w:p>
            <w:pPr>
              <w:pStyle w:val="0"/>
            </w:pPr>
            <w:r>
              <w:rPr>
                <w:sz w:val="20"/>
              </w:rPr>
              <w:t xml:space="preserve">Регулярное</w:t>
            </w:r>
          </w:p>
        </w:tc>
      </w:tr>
      <w:tr>
        <w:tc>
          <w:tcPr>
            <w:tcW w:w="587" w:type="dxa"/>
          </w:tcPr>
          <w:p>
            <w:pPr>
              <w:pStyle w:val="0"/>
            </w:pPr>
            <w:r>
              <w:rPr>
                <w:sz w:val="20"/>
              </w:rPr>
              <w:t xml:space="preserve">7.4.</w:t>
            </w:r>
          </w:p>
        </w:tc>
        <w:tc>
          <w:tcPr>
            <w:tcW w:w="3685" w:type="dxa"/>
          </w:tcPr>
          <w:p>
            <w:pPr>
              <w:pStyle w:val="0"/>
            </w:pPr>
            <w:r>
              <w:rPr>
                <w:sz w:val="20"/>
              </w:rPr>
              <w:t xml:space="preserve">Контроль обеспечения мероприятий по внедрению системы внутреннего контроля качества медицинской помощи и безопасности медицинской деятельности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Ежеквартальная оценка главным внештатным онкологом результатов контроля качества медицинской помощи онкологическим больным в медицинских организациях автономного округа, предоставление в Депздрав Югры ежеквартального отчета</w:t>
            </w:r>
          </w:p>
        </w:tc>
        <w:tc>
          <w:tcPr>
            <w:tcW w:w="1644" w:type="dxa"/>
          </w:tcPr>
          <w:p>
            <w:pPr>
              <w:pStyle w:val="0"/>
            </w:pPr>
            <w:r>
              <w:rPr>
                <w:sz w:val="20"/>
              </w:rPr>
              <w:t xml:space="preserve">Регулярные</w:t>
            </w:r>
          </w:p>
        </w:tc>
      </w:tr>
      <w:tr>
        <w:tc>
          <w:tcPr>
            <w:tcW w:w="587" w:type="dxa"/>
          </w:tcPr>
          <w:p>
            <w:pPr>
              <w:pStyle w:val="0"/>
            </w:pPr>
            <w:r>
              <w:rPr>
                <w:sz w:val="20"/>
              </w:rPr>
              <w:t xml:space="preserve">7.5.</w:t>
            </w:r>
          </w:p>
        </w:tc>
        <w:tc>
          <w:tcPr>
            <w:tcW w:w="3685" w:type="dxa"/>
          </w:tcPr>
          <w:p>
            <w:pPr>
              <w:pStyle w:val="0"/>
            </w:pPr>
            <w:r>
              <w:rPr>
                <w:sz w:val="20"/>
              </w:rPr>
              <w:t xml:space="preserve">Соблюдение клинических рекомендаций при оказании медицинской помощи больным с онкологическими заболеваниями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Достижение в 100% случаев выполнения клинических рекомендаций</w:t>
            </w:r>
          </w:p>
        </w:tc>
        <w:tc>
          <w:tcPr>
            <w:tcW w:w="1644" w:type="dxa"/>
          </w:tcPr>
          <w:p>
            <w:pPr>
              <w:pStyle w:val="0"/>
            </w:pPr>
            <w:r>
              <w:rPr>
                <w:sz w:val="20"/>
              </w:rPr>
              <w:t xml:space="preserve">Регулярные</w:t>
            </w:r>
          </w:p>
        </w:tc>
      </w:tr>
      <w:tr>
        <w:tc>
          <w:tcPr>
            <w:tcW w:w="587" w:type="dxa"/>
          </w:tcPr>
          <w:p>
            <w:pPr>
              <w:pStyle w:val="0"/>
            </w:pPr>
            <w:r>
              <w:rPr>
                <w:sz w:val="20"/>
              </w:rPr>
              <w:t xml:space="preserve">7.6.</w:t>
            </w:r>
          </w:p>
        </w:tc>
        <w:tc>
          <w:tcPr>
            <w:tcW w:w="3685" w:type="dxa"/>
          </w:tcPr>
          <w:p>
            <w:pPr>
              <w:pStyle w:val="0"/>
            </w:pPr>
            <w:r>
              <w:rPr>
                <w:sz w:val="20"/>
              </w:rPr>
              <w:t xml:space="preserve">Проведение мультидисциплинарного консилиума всем больным с впервые установленным диагнозом злокачественного новообразования, а также при смене тактики лечения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главные врачи МО (по согласованию)</w:t>
            </w:r>
          </w:p>
        </w:tc>
        <w:tc>
          <w:tcPr>
            <w:tcW w:w="4195" w:type="dxa"/>
          </w:tcPr>
          <w:p>
            <w:pPr>
              <w:pStyle w:val="0"/>
            </w:pPr>
            <w:r>
              <w:rPr>
                <w:sz w:val="20"/>
              </w:rPr>
              <w:t xml:space="preserve">Достижение в 90% случаев проведения мультидисциплинарного консилиума пациентам с установленным диагнозом злокачественное новообразование к концу 2024 года</w:t>
            </w:r>
          </w:p>
        </w:tc>
        <w:tc>
          <w:tcPr>
            <w:tcW w:w="1644" w:type="dxa"/>
          </w:tcPr>
          <w:p>
            <w:pPr>
              <w:pStyle w:val="0"/>
            </w:pPr>
            <w:r>
              <w:rPr>
                <w:sz w:val="20"/>
              </w:rPr>
              <w:t xml:space="preserve">Разовые</w:t>
            </w:r>
          </w:p>
        </w:tc>
      </w:tr>
      <w:tr>
        <w:tc>
          <w:tcPr>
            <w:tcW w:w="587" w:type="dxa"/>
          </w:tcPr>
          <w:p>
            <w:pPr>
              <w:pStyle w:val="0"/>
            </w:pPr>
            <w:r>
              <w:rPr>
                <w:sz w:val="20"/>
              </w:rPr>
              <w:t xml:space="preserve">7.7.</w:t>
            </w:r>
          </w:p>
        </w:tc>
        <w:tc>
          <w:tcPr>
            <w:tcW w:w="3685" w:type="dxa"/>
          </w:tcPr>
          <w:p>
            <w:pPr>
              <w:pStyle w:val="0"/>
            </w:pPr>
            <w:r>
              <w:rPr>
                <w:sz w:val="20"/>
              </w:rPr>
              <w:t xml:space="preserve">Формирование системы внешнего контроля качества медицинской помощи онкологическим больным, плановая и внеплановая оценка контроля качества работы учреждения Департаментом здравоохранения Ханты-Мансийского автономного округа - Югры. Осуществление контроля качества оказания медицинской помощи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главные врачи МО, директор ТФОМС, руководители страховых медицинских организаций Югры (по согласованию)</w:t>
            </w:r>
          </w:p>
        </w:tc>
        <w:tc>
          <w:tcPr>
            <w:tcW w:w="4195" w:type="dxa"/>
          </w:tcPr>
          <w:p>
            <w:pPr>
              <w:pStyle w:val="0"/>
            </w:pPr>
            <w:r>
              <w:rPr>
                <w:sz w:val="20"/>
              </w:rPr>
              <w:t xml:space="preserve">Мониторинг ситуаций с превышением допустимых сроков обследования пациентов с подозрением на онкологические заболевания. Проведение ведомственных проверок в случае выявления нарушений сроков и качества оказания медицинской помощи</w:t>
            </w:r>
          </w:p>
        </w:tc>
        <w:tc>
          <w:tcPr>
            <w:tcW w:w="1644" w:type="dxa"/>
          </w:tcPr>
          <w:p>
            <w:pPr>
              <w:pStyle w:val="0"/>
            </w:pPr>
            <w:r>
              <w:rPr>
                <w:sz w:val="20"/>
              </w:rPr>
              <w:t xml:space="preserve">Разовые делимые</w:t>
            </w:r>
          </w:p>
        </w:tc>
      </w:tr>
      <w:tr>
        <w:tc>
          <w:tcPr>
            <w:tcW w:w="587" w:type="dxa"/>
          </w:tcPr>
          <w:p>
            <w:pPr>
              <w:pStyle w:val="0"/>
            </w:pPr>
            <w:r>
              <w:rPr>
                <w:sz w:val="20"/>
              </w:rPr>
              <w:t xml:space="preserve">7.8.</w:t>
            </w:r>
          </w:p>
        </w:tc>
        <w:tc>
          <w:tcPr>
            <w:tcW w:w="3685" w:type="dxa"/>
          </w:tcPr>
          <w:p>
            <w:pPr>
              <w:pStyle w:val="0"/>
            </w:pPr>
            <w:r>
              <w:rPr>
                <w:sz w:val="20"/>
              </w:rPr>
              <w:t xml:space="preserve">Работа комиссии по разбору всех случаев смерти от злокачественных новообразований на территории Ханты-Мансийского автономного округа - Югры.</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главные врачи МО (по согласованию)</w:t>
            </w:r>
          </w:p>
        </w:tc>
        <w:tc>
          <w:tcPr>
            <w:tcW w:w="4195" w:type="dxa"/>
          </w:tcPr>
          <w:p>
            <w:pPr>
              <w:pStyle w:val="0"/>
            </w:pPr>
            <w:r>
              <w:rPr>
                <w:sz w:val="20"/>
              </w:rPr>
              <w:t xml:space="preserve">Проведение в 100% случаев разбора смерти от онкологических заболеваний</w:t>
            </w:r>
          </w:p>
        </w:tc>
        <w:tc>
          <w:tcPr>
            <w:tcW w:w="1644" w:type="dxa"/>
          </w:tcPr>
          <w:p>
            <w:pPr>
              <w:pStyle w:val="0"/>
            </w:pPr>
            <w:r>
              <w:rPr>
                <w:sz w:val="20"/>
              </w:rPr>
              <w:t xml:space="preserve">Регулярные</w:t>
            </w:r>
          </w:p>
        </w:tc>
      </w:tr>
      <w:tr>
        <w:tc>
          <w:tcPr>
            <w:tcW w:w="587" w:type="dxa"/>
          </w:tcPr>
          <w:p>
            <w:pPr>
              <w:pStyle w:val="0"/>
            </w:pPr>
            <w:r>
              <w:rPr>
                <w:sz w:val="20"/>
              </w:rPr>
              <w:t xml:space="preserve">7.9.</w:t>
            </w:r>
          </w:p>
        </w:tc>
        <w:tc>
          <w:tcPr>
            <w:tcW w:w="3685" w:type="dxa"/>
          </w:tcPr>
          <w:p>
            <w:pPr>
              <w:pStyle w:val="0"/>
            </w:pPr>
            <w:r>
              <w:rPr>
                <w:sz w:val="20"/>
              </w:rPr>
              <w:t xml:space="preserve">Итоговый отчет о реализации мероприятий федерального проекта "Борьба с онкологическими заболеваниями", достижении его целевых показателей и работе онкологической службы региона в целом (отчетные данные, анализ, разбор причин недостижения, выводы, план мероприятий по устранению, перспективы развития онкологической службы региона и т.д.) за 2023 год</w:t>
            </w:r>
          </w:p>
        </w:tc>
        <w:tc>
          <w:tcPr>
            <w:tcW w:w="1220" w:type="dxa"/>
          </w:tcPr>
          <w:p>
            <w:pPr>
              <w:pStyle w:val="0"/>
            </w:pPr>
            <w:r>
              <w:rPr>
                <w:sz w:val="20"/>
              </w:rPr>
              <w:t xml:space="preserve">1 июня 2023 года</w:t>
            </w:r>
          </w:p>
        </w:tc>
        <w:tc>
          <w:tcPr>
            <w:tcW w:w="1304" w:type="dxa"/>
          </w:tcPr>
          <w:p>
            <w:pPr>
              <w:pStyle w:val="0"/>
            </w:pPr>
            <w:r>
              <w:rPr>
                <w:sz w:val="20"/>
              </w:rPr>
              <w:t xml:space="preserve">15.02.2024</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w:t>
            </w:r>
          </w:p>
        </w:tc>
        <w:tc>
          <w:tcPr>
            <w:tcW w:w="4195" w:type="dxa"/>
          </w:tcPr>
          <w:p>
            <w:pPr>
              <w:pStyle w:val="0"/>
            </w:pPr>
            <w:r>
              <w:rPr>
                <w:sz w:val="20"/>
              </w:rPr>
              <w:t xml:space="preserve">Предоставление отчета в адрес ФГБУ "НМИЦ онкологии им. Н. Н. Блохина" Минздрава России в срок до 15 февраля 2024 года с приложением формы N 7</w:t>
            </w:r>
          </w:p>
        </w:tc>
        <w:tc>
          <w:tcPr>
            <w:tcW w:w="1644" w:type="dxa"/>
          </w:tcPr>
          <w:p>
            <w:pPr>
              <w:pStyle w:val="0"/>
            </w:pPr>
            <w:r>
              <w:rPr>
                <w:sz w:val="20"/>
              </w:rPr>
              <w:t xml:space="preserve">разовое неделимое</w:t>
            </w:r>
          </w:p>
        </w:tc>
      </w:tr>
      <w:tr>
        <w:tc>
          <w:tcPr>
            <w:tcW w:w="587" w:type="dxa"/>
          </w:tcPr>
          <w:p>
            <w:pPr>
              <w:pStyle w:val="0"/>
            </w:pPr>
            <w:r>
              <w:rPr>
                <w:sz w:val="20"/>
              </w:rPr>
              <w:t xml:space="preserve">7.10.</w:t>
            </w:r>
          </w:p>
        </w:tc>
        <w:tc>
          <w:tcPr>
            <w:tcW w:w="3685" w:type="dxa"/>
          </w:tcPr>
          <w:p>
            <w:pPr>
              <w:pStyle w:val="0"/>
            </w:pPr>
            <w:r>
              <w:rPr>
                <w:sz w:val="20"/>
              </w:rPr>
              <w:t xml:space="preserve">Проведение телемедицинских консультаций ЦАОП и другими медицинскими организациями региона с ФГБУ "НМИЦ онкологии им. Н.Н.Блохина" Минздрава России, оказывающей медицинскую помощь пациентам с онкологическими заболеваниями (онкологический диспансер, онкологическая больница)</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директор БУ "МИАЦ", главные врачи МО (по согласованию)</w:t>
            </w:r>
          </w:p>
        </w:tc>
        <w:tc>
          <w:tcPr>
            <w:tcW w:w="4195" w:type="dxa"/>
          </w:tcPr>
          <w:p>
            <w:pPr>
              <w:pStyle w:val="0"/>
            </w:pPr>
            <w:r>
              <w:rPr>
                <w:sz w:val="20"/>
              </w:rPr>
              <w:t xml:space="preserve">Представление информации о количестве телемедицинских консультаций (нарастающим итогом) в разрезе каждой медицинской организации (с указанием их наименования), в том числе на базе которых функционируют ЦАОП, с "головной" медицинской организацией субъекта Российской Федерации, оказывающей медицинскую помощь пациентам с онкологическими заболеваниями (онкологический диспансер, онкологическая больница)</w:t>
            </w:r>
          </w:p>
        </w:tc>
        <w:tc>
          <w:tcPr>
            <w:tcW w:w="1644" w:type="dxa"/>
          </w:tcPr>
          <w:p>
            <w:pPr>
              <w:pStyle w:val="0"/>
            </w:pPr>
            <w:r>
              <w:rPr>
                <w:sz w:val="20"/>
              </w:rPr>
              <w:t xml:space="preserve">регулярное</w:t>
            </w:r>
          </w:p>
        </w:tc>
      </w:tr>
      <w:tr>
        <w:tc>
          <w:tcPr>
            <w:tcW w:w="587" w:type="dxa"/>
            <w:vMerge w:val="restart"/>
          </w:tcPr>
          <w:p>
            <w:pPr>
              <w:pStyle w:val="0"/>
            </w:pPr>
            <w:r>
              <w:rPr>
                <w:sz w:val="20"/>
              </w:rPr>
              <w:t xml:space="preserve">7.11.</w:t>
            </w:r>
          </w:p>
        </w:tc>
        <w:tc>
          <w:tcPr>
            <w:tcW w:w="3685" w:type="dxa"/>
            <w:vMerge w:val="restart"/>
          </w:tcPr>
          <w:p>
            <w:pPr>
              <w:pStyle w:val="0"/>
            </w:pPr>
            <w:r>
              <w:rPr>
                <w:sz w:val="20"/>
              </w:rPr>
              <w:t xml:space="preserve">Составление графика выездных мероприятий в муниципальные образования региона специалистами регионального онкологического диспансера (опорной медицинской организации) с целью организационно методической работы, разбора клинических случаев</w:t>
            </w:r>
          </w:p>
        </w:tc>
        <w:tc>
          <w:tcPr>
            <w:tcW w:w="1220" w:type="dxa"/>
            <w:vMerge w:val="restart"/>
          </w:tcPr>
          <w:p>
            <w:pPr>
              <w:pStyle w:val="0"/>
            </w:pPr>
            <w:r>
              <w:rPr>
                <w:sz w:val="20"/>
              </w:rPr>
              <w:t xml:space="preserve">1 июня 2023 года</w:t>
            </w:r>
          </w:p>
        </w:tc>
        <w:tc>
          <w:tcPr>
            <w:tcW w:w="1304" w:type="dxa"/>
            <w:vMerge w:val="restart"/>
          </w:tcPr>
          <w:p>
            <w:pPr>
              <w:pStyle w:val="0"/>
            </w:pPr>
            <w:r>
              <w:rPr>
                <w:sz w:val="20"/>
              </w:rPr>
              <w:t xml:space="preserve">31.12.2023</w:t>
            </w:r>
          </w:p>
        </w:tc>
        <w:tc>
          <w:tcPr>
            <w:tcW w:w="3118" w:type="dxa"/>
            <w:vMerge w:val="restart"/>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w:t>
            </w:r>
          </w:p>
        </w:tc>
        <w:tc>
          <w:tcPr>
            <w:tcW w:w="4195" w:type="dxa"/>
          </w:tcPr>
          <w:p>
            <w:pPr>
              <w:pStyle w:val="0"/>
            </w:pPr>
            <w:r>
              <w:rPr>
                <w:sz w:val="20"/>
              </w:rPr>
              <w:t xml:space="preserve">Представление в адрес ФГБУ "НМИЦ онкологии им. Н.Н.Блохина" Минздрава России плана-графика выездных мероприятий в срок до 15 июля 2023 года</w:t>
            </w:r>
          </w:p>
        </w:tc>
        <w:tc>
          <w:tcPr>
            <w:tcW w:w="1644" w:type="dxa"/>
          </w:tcPr>
          <w:p>
            <w:pPr>
              <w:pStyle w:val="0"/>
            </w:pPr>
            <w:r>
              <w:rPr>
                <w:sz w:val="20"/>
              </w:rPr>
              <w:t xml:space="preserve">разовое неделимое</w:t>
            </w:r>
          </w:p>
        </w:tc>
      </w:tr>
      <w:tr>
        <w:tc>
          <w:tcPr>
            <w:vMerge w:val="continue"/>
          </w:tcPr>
          <w:p/>
        </w:tc>
        <w:tc>
          <w:tcPr>
            <w:vMerge w:val="continue"/>
          </w:tcPr>
          <w:p/>
        </w:tc>
        <w:tc>
          <w:tcPr>
            <w:vMerge w:val="continue"/>
          </w:tcPr>
          <w:p/>
        </w:tc>
        <w:tc>
          <w:tcPr>
            <w:vMerge w:val="continue"/>
          </w:tcPr>
          <w:p/>
        </w:tc>
        <w:tc>
          <w:tcPr>
            <w:vMerge w:val="continue"/>
          </w:tcPr>
          <w:p/>
        </w:tc>
        <w:tc>
          <w:tcPr>
            <w:tcW w:w="4195" w:type="dxa"/>
          </w:tcPr>
          <w:p>
            <w:pPr>
              <w:pStyle w:val="0"/>
            </w:pPr>
            <w:r>
              <w:rPr>
                <w:sz w:val="20"/>
              </w:rPr>
              <w:t xml:space="preserve">Представление информации о результатах выездного мероприятия в муниципальные образования с указанием перечня муниципальных образований, которые в отчетный период осуществлены</w:t>
            </w:r>
          </w:p>
        </w:tc>
        <w:tc>
          <w:tcPr>
            <w:tcW w:w="1644" w:type="dxa"/>
          </w:tcPr>
          <w:p>
            <w:pPr>
              <w:pStyle w:val="0"/>
            </w:pPr>
            <w:r>
              <w:rPr>
                <w:sz w:val="20"/>
              </w:rPr>
              <w:t xml:space="preserve">регулярное</w:t>
            </w:r>
          </w:p>
        </w:tc>
      </w:tr>
      <w:tr>
        <w:tc>
          <w:tcPr>
            <w:tcW w:w="587" w:type="dxa"/>
          </w:tcPr>
          <w:p>
            <w:pPr>
              <w:pStyle w:val="0"/>
            </w:pPr>
            <w:r>
              <w:rPr>
                <w:sz w:val="20"/>
              </w:rPr>
              <w:t xml:space="preserve">7.12.</w:t>
            </w:r>
          </w:p>
        </w:tc>
        <w:tc>
          <w:tcPr>
            <w:tcW w:w="3685" w:type="dxa"/>
          </w:tcPr>
          <w:p>
            <w:pPr>
              <w:pStyle w:val="0"/>
            </w:pPr>
            <w:r>
              <w:rPr>
                <w:sz w:val="20"/>
              </w:rPr>
              <w:t xml:space="preserve">Отчет по работе ВИМИС "Онкология"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директор БУ "МИАЦ", главные врачи МО (по согласованию)</w:t>
            </w:r>
          </w:p>
        </w:tc>
        <w:tc>
          <w:tcPr>
            <w:tcW w:w="4195" w:type="dxa"/>
          </w:tcPr>
          <w:p>
            <w:pPr>
              <w:pStyle w:val="0"/>
            </w:pPr>
            <w:r>
              <w:rPr>
                <w:sz w:val="20"/>
              </w:rPr>
              <w:t xml:space="preserve">Предоставление краткой информационной справки 1 раз в квартал, не позднее 10 числа месяца, следующего за отчетным периодом, по наполнению информацией ВИМИС "Онкология" в адрес ФГБУ "НМИЦ онкологии им. Н. Н. Блохина" Минздрава России</w:t>
            </w:r>
          </w:p>
        </w:tc>
        <w:tc>
          <w:tcPr>
            <w:tcW w:w="1644" w:type="dxa"/>
          </w:tcPr>
          <w:p>
            <w:pPr>
              <w:pStyle w:val="0"/>
            </w:pPr>
            <w:r>
              <w:rPr>
                <w:sz w:val="20"/>
              </w:rPr>
              <w:t xml:space="preserve">регулярное</w:t>
            </w:r>
          </w:p>
        </w:tc>
      </w:tr>
      <w:tr>
        <w:tc>
          <w:tcPr>
            <w:tcW w:w="587" w:type="dxa"/>
          </w:tcPr>
          <w:p>
            <w:pPr>
              <w:pStyle w:val="0"/>
            </w:pPr>
            <w:r>
              <w:rPr>
                <w:sz w:val="20"/>
              </w:rPr>
              <w:t xml:space="preserve">7.13.</w:t>
            </w:r>
          </w:p>
        </w:tc>
        <w:tc>
          <w:tcPr>
            <w:tcW w:w="3685" w:type="dxa"/>
          </w:tcPr>
          <w:p>
            <w:pPr>
              <w:pStyle w:val="0"/>
            </w:pPr>
            <w:r>
              <w:rPr>
                <w:sz w:val="20"/>
              </w:rPr>
              <w:t xml:space="preserve">Семинары или тематические лекции со специалистами ЦАОП и первичных онкологических кабинетов по вопросам организации работы этих структурных подразделений</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директор БУ "МИАЦ", главные врачи МО (по согласованию)</w:t>
            </w:r>
          </w:p>
        </w:tc>
        <w:tc>
          <w:tcPr>
            <w:tcW w:w="4195" w:type="dxa"/>
          </w:tcPr>
          <w:p>
            <w:pPr>
              <w:pStyle w:val="0"/>
            </w:pPr>
            <w:r>
              <w:rPr>
                <w:sz w:val="20"/>
              </w:rPr>
              <w:t xml:space="preserve">Не менее 1 мероприятия в квартал. В адрес главного внештатного специалиста онколога Депздрава Югры представляется краткий отчет о реализации мероприятия с указанием ФИО и должностей организаторов, количества слушателей, участвующих медицинских организаций</w:t>
            </w:r>
          </w:p>
        </w:tc>
        <w:tc>
          <w:tcPr>
            <w:tcW w:w="1644" w:type="dxa"/>
          </w:tcPr>
          <w:p>
            <w:pPr>
              <w:pStyle w:val="0"/>
            </w:pPr>
            <w:r>
              <w:rPr>
                <w:sz w:val="20"/>
              </w:rPr>
              <w:t xml:space="preserve">регулярное</w:t>
            </w:r>
          </w:p>
        </w:tc>
      </w:tr>
      <w:tr>
        <w:tc>
          <w:tcPr>
            <w:tcW w:w="587" w:type="dxa"/>
          </w:tcPr>
          <w:p>
            <w:pPr>
              <w:pStyle w:val="0"/>
            </w:pPr>
            <w:r>
              <w:rPr>
                <w:sz w:val="20"/>
              </w:rPr>
              <w:t xml:space="preserve">7.14.</w:t>
            </w:r>
          </w:p>
        </w:tc>
        <w:tc>
          <w:tcPr>
            <w:tcW w:w="3685" w:type="dxa"/>
          </w:tcPr>
          <w:p>
            <w:pPr>
              <w:pStyle w:val="0"/>
            </w:pPr>
            <w:r>
              <w:rPr>
                <w:sz w:val="20"/>
              </w:rPr>
              <w:t xml:space="preserve">Семинары или тематические лекции со специалистами первичного звена (врачи-терапевты, врачи общей практики, иные врачи специалисты кроме врачей-онкологов) по вопросам оказания медицинской помощи больным с подозрением на онкологическое заболевание, лицам находящимся на диспансерном наблюдении с предопухолевой патологией, по вопросам разбора запущенных случаев и онконастороженности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директор БУ "МИАЦ", главные врачи МО (по согласованию)</w:t>
            </w:r>
          </w:p>
        </w:tc>
        <w:tc>
          <w:tcPr>
            <w:tcW w:w="4195" w:type="dxa"/>
          </w:tcPr>
          <w:p>
            <w:pPr>
              <w:pStyle w:val="0"/>
            </w:pPr>
            <w:r>
              <w:rPr>
                <w:sz w:val="20"/>
              </w:rPr>
              <w:t xml:space="preserve">Не менее 1 мероприятия в квартал. В адрес главного внештатного специалиста онколога Депздрава Югры представляется краткий отчет о реализации мероприятия с указанием ФИО и должностей организаторов, количества слушателей, участвующих медицинских организаций</w:t>
            </w:r>
          </w:p>
        </w:tc>
        <w:tc>
          <w:tcPr>
            <w:tcW w:w="1644" w:type="dxa"/>
          </w:tcPr>
          <w:p>
            <w:pPr>
              <w:pStyle w:val="0"/>
            </w:pPr>
            <w:r>
              <w:rPr>
                <w:sz w:val="20"/>
              </w:rPr>
              <w:t xml:space="preserve">регулярное</w:t>
            </w:r>
          </w:p>
        </w:tc>
      </w:tr>
      <w:tr>
        <w:tc>
          <w:tcPr>
            <w:tcW w:w="587" w:type="dxa"/>
          </w:tcPr>
          <w:p>
            <w:pPr>
              <w:pStyle w:val="0"/>
            </w:pPr>
            <w:r>
              <w:rPr>
                <w:sz w:val="20"/>
              </w:rPr>
              <w:t xml:space="preserve">7.15.</w:t>
            </w:r>
          </w:p>
        </w:tc>
        <w:tc>
          <w:tcPr>
            <w:tcW w:w="3685" w:type="dxa"/>
          </w:tcPr>
          <w:p>
            <w:pPr>
              <w:pStyle w:val="0"/>
            </w:pPr>
            <w:r>
              <w:rPr>
                <w:sz w:val="20"/>
              </w:rPr>
              <w:t xml:space="preserve">Проведение консультаций "врач-врач" с НМИЦ онкологии по формированию тактики ведения пациентов в сложных клинических случаях</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К 2024 году ежегодное участие не менее 70% врачей-онкологов в вебинарах и мастер-классах, проводимых НМИЦ. Проведение ежегодно не менее 70 телемедицинских консультаций "врач-врач" с НМИЦ онкологии по формированию тактики ведения пациентов в сложных клинических случаях</w:t>
            </w:r>
          </w:p>
        </w:tc>
        <w:tc>
          <w:tcPr>
            <w:tcW w:w="1644" w:type="dxa"/>
          </w:tcPr>
          <w:p>
            <w:pPr>
              <w:pStyle w:val="0"/>
            </w:pPr>
            <w:r>
              <w:rPr>
                <w:sz w:val="20"/>
              </w:rPr>
              <w:t xml:space="preserve">Регулярные</w:t>
            </w:r>
          </w:p>
        </w:tc>
      </w:tr>
      <w:tr>
        <w:tblPrEx>
          <w:tblBorders>
            <w:insideH w:val="nil"/>
          </w:tblBorders>
        </w:tblPrEx>
        <w:tc>
          <w:tcPr>
            <w:tcW w:w="587" w:type="dxa"/>
            <w:tcBorders>
              <w:bottom w:val="nil"/>
            </w:tcBorders>
          </w:tcPr>
          <w:p>
            <w:pPr>
              <w:pStyle w:val="0"/>
            </w:pPr>
            <w:r>
              <w:rPr>
                <w:sz w:val="20"/>
              </w:rPr>
              <w:t xml:space="preserve">7.16.</w:t>
            </w:r>
          </w:p>
        </w:tc>
        <w:tc>
          <w:tcPr>
            <w:tcW w:w="3685" w:type="dxa"/>
            <w:tcBorders>
              <w:bottom w:val="nil"/>
            </w:tcBorders>
          </w:tcPr>
          <w:p>
            <w:pPr>
              <w:pStyle w:val="0"/>
            </w:pPr>
            <w:r>
              <w:rPr>
                <w:sz w:val="20"/>
              </w:rPr>
              <w:t xml:space="preserve">Утверждение "дорожной карты" по направлению онкологических пациентов на диагностику, лечение сердечно-сосудистых заболеваний</w:t>
            </w:r>
          </w:p>
        </w:tc>
        <w:tc>
          <w:tcPr>
            <w:tcW w:w="1220" w:type="dxa"/>
            <w:tcBorders>
              <w:bottom w:val="nil"/>
            </w:tcBorders>
          </w:tcPr>
          <w:p>
            <w:pPr>
              <w:pStyle w:val="0"/>
            </w:pPr>
            <w:r>
              <w:rPr>
                <w:sz w:val="20"/>
              </w:rPr>
              <w:t xml:space="preserve">1 ноября 2023 года</w:t>
            </w:r>
          </w:p>
        </w:tc>
        <w:tc>
          <w:tcPr>
            <w:tcW w:w="1304" w:type="dxa"/>
            <w:tcBorders>
              <w:bottom w:val="nil"/>
            </w:tcBorders>
          </w:tcPr>
          <w:p>
            <w:pPr>
              <w:pStyle w:val="0"/>
            </w:pPr>
            <w:r>
              <w:rPr>
                <w:sz w:val="20"/>
              </w:rPr>
              <w:t xml:space="preserve">1 июня 2024 года</w:t>
            </w:r>
          </w:p>
        </w:tc>
        <w:tc>
          <w:tcPr>
            <w:tcW w:w="3118" w:type="dxa"/>
            <w:tcBorders>
              <w:bottom w:val="nil"/>
            </w:tcBorders>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кардиолог, онколог, главные врачи МО (по согласованию)</w:t>
            </w:r>
          </w:p>
        </w:tc>
        <w:tc>
          <w:tcPr>
            <w:tcW w:w="4195" w:type="dxa"/>
            <w:tcBorders>
              <w:bottom w:val="nil"/>
            </w:tcBorders>
          </w:tcPr>
          <w:p>
            <w:pPr>
              <w:pStyle w:val="0"/>
            </w:pPr>
            <w:r>
              <w:rPr>
                <w:sz w:val="20"/>
              </w:rPr>
              <w:t xml:space="preserve">В каждой медицинской организации автономного округа актуализирована нормативная правовая база в соответствии с региональными нормативными документами и клиническими рекомендациями</w:t>
            </w:r>
          </w:p>
        </w:tc>
        <w:tc>
          <w:tcPr>
            <w:tcW w:w="1644" w:type="dxa"/>
            <w:tcBorders>
              <w:bottom w:val="nil"/>
            </w:tcBorders>
          </w:tcPr>
          <w:p>
            <w:pPr>
              <w:pStyle w:val="0"/>
            </w:pPr>
            <w:r>
              <w:rPr>
                <w:sz w:val="20"/>
              </w:rPr>
              <w:t xml:space="preserve">Разовые делимые</w:t>
            </w:r>
          </w:p>
        </w:tc>
      </w:tr>
      <w:tr>
        <w:tblPrEx>
          <w:tblBorders>
            <w:insideH w:val="nil"/>
          </w:tblBorders>
        </w:tblPrEx>
        <w:tc>
          <w:tcPr>
            <w:gridSpan w:val="7"/>
            <w:tcW w:w="15753" w:type="dxa"/>
            <w:tcBorders>
              <w:top w:val="nil"/>
            </w:tcBorders>
          </w:tcPr>
          <w:p>
            <w:pPr>
              <w:pStyle w:val="0"/>
              <w:jc w:val="both"/>
            </w:pPr>
            <w:r>
              <w:rPr>
                <w:sz w:val="20"/>
              </w:rPr>
              <w:t xml:space="preserve">(п. 7.16 введен </w:t>
            </w:r>
            <w:hyperlink w:history="0" r:id="rId121" w:tooltip="Постановление Правительства ХМАО - Югры от 27.10.2023 N 52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 от 27.10.2023 N 527-п)</w:t>
            </w:r>
          </w:p>
        </w:tc>
      </w:tr>
      <w:tr>
        <w:tblPrEx>
          <w:tblBorders>
            <w:insideH w:val="nil"/>
          </w:tblBorders>
        </w:tblPrEx>
        <w:tc>
          <w:tcPr>
            <w:tcW w:w="587" w:type="dxa"/>
            <w:tcBorders>
              <w:bottom w:val="nil"/>
            </w:tcBorders>
          </w:tcPr>
          <w:p>
            <w:pPr>
              <w:pStyle w:val="0"/>
            </w:pPr>
            <w:r>
              <w:rPr>
                <w:sz w:val="20"/>
              </w:rPr>
              <w:t xml:space="preserve">7.17.</w:t>
            </w:r>
          </w:p>
        </w:tc>
        <w:tc>
          <w:tcPr>
            <w:tcW w:w="3685" w:type="dxa"/>
            <w:tcBorders>
              <w:bottom w:val="nil"/>
            </w:tcBorders>
          </w:tcPr>
          <w:p>
            <w:pPr>
              <w:pStyle w:val="0"/>
            </w:pPr>
            <w:r>
              <w:rPr>
                <w:sz w:val="20"/>
              </w:rPr>
              <w:t xml:space="preserve">Внедрение в практику региональных протоколов оказания медицинской помощи пациентам онкологического профиля с сердечно-сосудистыми заболеваниями</w:t>
            </w:r>
          </w:p>
        </w:tc>
        <w:tc>
          <w:tcPr>
            <w:tcW w:w="1220" w:type="dxa"/>
            <w:tcBorders>
              <w:bottom w:val="nil"/>
            </w:tcBorders>
          </w:tcPr>
          <w:p>
            <w:pPr>
              <w:pStyle w:val="0"/>
            </w:pPr>
            <w:r>
              <w:rPr>
                <w:sz w:val="20"/>
              </w:rPr>
              <w:t xml:space="preserve">1 ноября 2023 года</w:t>
            </w:r>
          </w:p>
        </w:tc>
        <w:tc>
          <w:tcPr>
            <w:tcW w:w="1304" w:type="dxa"/>
            <w:tcBorders>
              <w:bottom w:val="nil"/>
            </w:tcBorders>
          </w:tcPr>
          <w:p>
            <w:pPr>
              <w:pStyle w:val="0"/>
            </w:pPr>
            <w:r>
              <w:rPr>
                <w:sz w:val="20"/>
              </w:rPr>
              <w:t xml:space="preserve">31 декабря 2024 года</w:t>
            </w:r>
          </w:p>
        </w:tc>
        <w:tc>
          <w:tcPr>
            <w:tcW w:w="3118" w:type="dxa"/>
            <w:tcBorders>
              <w:bottom w:val="nil"/>
            </w:tcBorders>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кардиолог, онколог, главные врачи МО (по согласованию)</w:t>
            </w:r>
          </w:p>
        </w:tc>
        <w:tc>
          <w:tcPr>
            <w:tcW w:w="4195" w:type="dxa"/>
            <w:tcBorders>
              <w:bottom w:val="nil"/>
            </w:tcBorders>
          </w:tcPr>
          <w:p>
            <w:pPr>
              <w:pStyle w:val="0"/>
            </w:pPr>
            <w:r>
              <w:rPr>
                <w:sz w:val="20"/>
              </w:rPr>
              <w:t xml:space="preserve">Утвержден приказ Депздрава Югры по внедрению в практику региональных протоколов оказания медицинской помощи пациентам онкологического профиля с сердечно-сосудистыми заболеваниями</w:t>
            </w:r>
          </w:p>
        </w:tc>
        <w:tc>
          <w:tcPr>
            <w:tcW w:w="1644" w:type="dxa"/>
            <w:tcBorders>
              <w:bottom w:val="nil"/>
            </w:tcBorders>
          </w:tcPr>
          <w:p>
            <w:pPr>
              <w:pStyle w:val="0"/>
            </w:pPr>
            <w:r>
              <w:rPr>
                <w:sz w:val="20"/>
              </w:rPr>
              <w:t xml:space="preserve">Разовые делимые</w:t>
            </w:r>
          </w:p>
        </w:tc>
      </w:tr>
      <w:tr>
        <w:tblPrEx>
          <w:tblBorders>
            <w:insideH w:val="nil"/>
          </w:tblBorders>
        </w:tblPrEx>
        <w:tc>
          <w:tcPr>
            <w:gridSpan w:val="7"/>
            <w:tcW w:w="15753" w:type="dxa"/>
            <w:tcBorders>
              <w:top w:val="nil"/>
            </w:tcBorders>
          </w:tcPr>
          <w:p>
            <w:pPr>
              <w:pStyle w:val="0"/>
              <w:jc w:val="both"/>
            </w:pPr>
            <w:r>
              <w:rPr>
                <w:sz w:val="20"/>
              </w:rPr>
              <w:t xml:space="preserve">(п. 7.17 введен </w:t>
            </w:r>
            <w:hyperlink w:history="0" r:id="rId122" w:tooltip="Постановление Правительства ХМАО - Югры от 27.10.2023 N 52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 от 27.10.2023 N 527-п)</w:t>
            </w:r>
          </w:p>
        </w:tc>
      </w:tr>
      <w:tr>
        <w:tblPrEx>
          <w:tblBorders>
            <w:insideH w:val="nil"/>
          </w:tblBorders>
        </w:tblPrEx>
        <w:tc>
          <w:tcPr>
            <w:tcW w:w="587" w:type="dxa"/>
            <w:tcBorders>
              <w:bottom w:val="nil"/>
            </w:tcBorders>
          </w:tcPr>
          <w:p>
            <w:pPr>
              <w:pStyle w:val="0"/>
            </w:pPr>
            <w:r>
              <w:rPr>
                <w:sz w:val="20"/>
              </w:rPr>
              <w:t xml:space="preserve">7.18.</w:t>
            </w:r>
          </w:p>
        </w:tc>
        <w:tc>
          <w:tcPr>
            <w:tcW w:w="3685" w:type="dxa"/>
            <w:tcBorders>
              <w:bottom w:val="nil"/>
            </w:tcBorders>
          </w:tcPr>
          <w:p>
            <w:pPr>
              <w:pStyle w:val="0"/>
            </w:pPr>
            <w:r>
              <w:rPr>
                <w:sz w:val="20"/>
              </w:rPr>
              <w:t xml:space="preserve">Проведение обучающих семинаров среди медицинских работников по корректности кодирования и оформления свидетельств о смерти</w:t>
            </w:r>
          </w:p>
        </w:tc>
        <w:tc>
          <w:tcPr>
            <w:tcW w:w="1220" w:type="dxa"/>
            <w:tcBorders>
              <w:bottom w:val="nil"/>
            </w:tcBorders>
          </w:tcPr>
          <w:p>
            <w:pPr>
              <w:pStyle w:val="0"/>
            </w:pPr>
            <w:r>
              <w:rPr>
                <w:sz w:val="20"/>
              </w:rPr>
              <w:t xml:space="preserve">1 января 2024 года</w:t>
            </w:r>
          </w:p>
        </w:tc>
        <w:tc>
          <w:tcPr>
            <w:tcW w:w="1304" w:type="dxa"/>
            <w:tcBorders>
              <w:bottom w:val="nil"/>
            </w:tcBorders>
          </w:tcPr>
          <w:p>
            <w:pPr>
              <w:pStyle w:val="0"/>
            </w:pPr>
            <w:r>
              <w:rPr>
                <w:sz w:val="20"/>
              </w:rPr>
              <w:t xml:space="preserve">1 декабря 2024 года</w:t>
            </w:r>
          </w:p>
        </w:tc>
        <w:tc>
          <w:tcPr>
            <w:tcW w:w="3118" w:type="dxa"/>
            <w:tcBorders>
              <w:bottom w:val="nil"/>
            </w:tcBorders>
          </w:tcPr>
          <w:p>
            <w:pPr>
              <w:pStyle w:val="0"/>
            </w:pPr>
            <w:r>
              <w:rPr>
                <w:sz w:val="20"/>
              </w:rPr>
              <w:t xml:space="preserve">Начальник управления организации медицинской помощи Депздрава Югры; главный внештатный специалист Депздрава Югры онколог, главный внештатный специалист Депздрава Югры по патологической анатомии, главные врачи МО (по согласованию)</w:t>
            </w:r>
          </w:p>
        </w:tc>
        <w:tc>
          <w:tcPr>
            <w:tcW w:w="4195" w:type="dxa"/>
            <w:tcBorders>
              <w:bottom w:val="nil"/>
            </w:tcBorders>
          </w:tcPr>
          <w:p>
            <w:pPr>
              <w:pStyle w:val="0"/>
            </w:pPr>
            <w:r>
              <w:rPr>
                <w:sz w:val="20"/>
              </w:rPr>
              <w:t xml:space="preserve">Ежегодное проведение не менее 4 обучающих семинаров</w:t>
            </w:r>
          </w:p>
        </w:tc>
        <w:tc>
          <w:tcPr>
            <w:tcW w:w="1644" w:type="dxa"/>
            <w:tcBorders>
              <w:bottom w:val="nil"/>
            </w:tcBorders>
          </w:tcPr>
          <w:p>
            <w:pPr>
              <w:pStyle w:val="0"/>
            </w:pPr>
            <w:r>
              <w:rPr>
                <w:sz w:val="20"/>
              </w:rPr>
              <w:t xml:space="preserve">Регулярные</w:t>
            </w:r>
          </w:p>
        </w:tc>
      </w:tr>
      <w:tr>
        <w:tblPrEx>
          <w:tblBorders>
            <w:insideH w:val="nil"/>
          </w:tblBorders>
        </w:tblPrEx>
        <w:tc>
          <w:tcPr>
            <w:gridSpan w:val="7"/>
            <w:tcW w:w="15753" w:type="dxa"/>
            <w:tcBorders>
              <w:top w:val="nil"/>
            </w:tcBorders>
          </w:tcPr>
          <w:p>
            <w:pPr>
              <w:pStyle w:val="0"/>
              <w:jc w:val="both"/>
            </w:pPr>
            <w:r>
              <w:rPr>
                <w:sz w:val="20"/>
              </w:rPr>
              <w:t xml:space="preserve">(п. 7.18 введен </w:t>
            </w:r>
            <w:hyperlink w:history="0" r:id="rId123" w:tooltip="Постановление Правительства ХМАО - Югры от 27.10.2023 N 52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 от 27.10.2023 N 527-п)</w:t>
            </w:r>
          </w:p>
        </w:tc>
      </w:tr>
      <w:tr>
        <w:tc>
          <w:tcPr>
            <w:gridSpan w:val="7"/>
            <w:tcW w:w="15753" w:type="dxa"/>
          </w:tcPr>
          <w:p>
            <w:pPr>
              <w:pStyle w:val="0"/>
              <w:outlineLvl w:val="2"/>
            </w:pPr>
            <w:r>
              <w:rPr>
                <w:sz w:val="20"/>
              </w:rPr>
              <w:t xml:space="preserve">8. Формирование и развитие цифрового контура онкологической службы региона</w:t>
            </w:r>
          </w:p>
        </w:tc>
      </w:tr>
      <w:tr>
        <w:tc>
          <w:tcPr>
            <w:tcW w:w="587" w:type="dxa"/>
          </w:tcPr>
          <w:p>
            <w:pPr>
              <w:pStyle w:val="0"/>
            </w:pPr>
            <w:r>
              <w:rPr>
                <w:sz w:val="20"/>
              </w:rPr>
              <w:t xml:space="preserve">8.1.</w:t>
            </w:r>
          </w:p>
        </w:tc>
        <w:tc>
          <w:tcPr>
            <w:tcW w:w="3685" w:type="dxa"/>
          </w:tcPr>
          <w:p>
            <w:pPr>
              <w:pStyle w:val="0"/>
            </w:pPr>
            <w:r>
              <w:rPr>
                <w:sz w:val="20"/>
              </w:rPr>
              <w:t xml:space="preserve">Организация работы в вертикально интегрированной медицинской информационной системе по профилю "онкология"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специалист по патологической анатомии, по информационным технологиям, главные врачи МО (по согласованию)</w:t>
            </w:r>
          </w:p>
        </w:tc>
        <w:tc>
          <w:tcPr>
            <w:tcW w:w="4195" w:type="dxa"/>
          </w:tcPr>
          <w:p>
            <w:pPr>
              <w:pStyle w:val="0"/>
            </w:pPr>
            <w:r>
              <w:rPr>
                <w:sz w:val="20"/>
              </w:rPr>
              <w:t xml:space="preserve">Повышение эффективности управления всей вертикалью организации медицинской помощи по профилю "онкология" за счет обеспечения оперативного и всестороннего анализа информации, а также повышение качества оказания медицинской помощи онкологическим больным на основе совершенствования ее информационной поддержки на всех уровнях. Обеспечение передачи данных в соответствии с планом работы в ВИМИС "онкология". Ежеквартальный контроль объемов передаваемых данных</w:t>
            </w:r>
          </w:p>
        </w:tc>
        <w:tc>
          <w:tcPr>
            <w:tcW w:w="1644" w:type="dxa"/>
          </w:tcPr>
          <w:p>
            <w:pPr>
              <w:pStyle w:val="0"/>
            </w:pPr>
            <w:r>
              <w:rPr>
                <w:sz w:val="20"/>
              </w:rPr>
              <w:t xml:space="preserve">Разовые делимые</w:t>
            </w:r>
          </w:p>
        </w:tc>
      </w:tr>
      <w:tr>
        <w:tc>
          <w:tcPr>
            <w:tcW w:w="587" w:type="dxa"/>
          </w:tcPr>
          <w:p>
            <w:pPr>
              <w:pStyle w:val="0"/>
            </w:pPr>
            <w:r>
              <w:rPr>
                <w:sz w:val="20"/>
              </w:rPr>
              <w:t xml:space="preserve">8.2.</w:t>
            </w:r>
          </w:p>
        </w:tc>
        <w:tc>
          <w:tcPr>
            <w:tcW w:w="3685" w:type="dxa"/>
          </w:tcPr>
          <w:p>
            <w:pPr>
              <w:pStyle w:val="0"/>
            </w:pPr>
            <w:r>
              <w:rPr>
                <w:sz w:val="20"/>
              </w:rPr>
              <w:t xml:space="preserve">Унификации ведения электронной медицинской документации и справочников: актуализация нормативно-справочной информации для функционирования единого цифрового контура онкологической службы региона</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директор БУ "МИАЦ", главные врачи МО (по согласованию)</w:t>
            </w:r>
          </w:p>
        </w:tc>
        <w:tc>
          <w:tcPr>
            <w:tcW w:w="4195" w:type="dxa"/>
          </w:tcPr>
          <w:p>
            <w:pPr>
              <w:pStyle w:val="0"/>
            </w:pPr>
            <w:r>
              <w:rPr>
                <w:sz w:val="20"/>
              </w:rPr>
              <w:t xml:space="preserve">Формирование электронных документов от момента обращения в первичное звено медицинской помощи, до проведения специализированного лечения пациента со ЗНО. К 2024 году в цифровом контуре онкологической службы региона использование актуализированных на 100% справочников</w:t>
            </w:r>
          </w:p>
        </w:tc>
        <w:tc>
          <w:tcPr>
            <w:tcW w:w="1644" w:type="dxa"/>
          </w:tcPr>
          <w:p>
            <w:pPr>
              <w:pStyle w:val="0"/>
            </w:pPr>
            <w:r>
              <w:rPr>
                <w:sz w:val="20"/>
              </w:rPr>
              <w:t xml:space="preserve">Разовые делимые</w:t>
            </w:r>
          </w:p>
        </w:tc>
      </w:tr>
      <w:tr>
        <w:tc>
          <w:tcPr>
            <w:tcW w:w="587" w:type="dxa"/>
          </w:tcPr>
          <w:p>
            <w:pPr>
              <w:pStyle w:val="0"/>
            </w:pPr>
            <w:r>
              <w:rPr>
                <w:sz w:val="20"/>
              </w:rPr>
              <w:t xml:space="preserve">8.3.</w:t>
            </w:r>
          </w:p>
        </w:tc>
        <w:tc>
          <w:tcPr>
            <w:tcW w:w="3685" w:type="dxa"/>
          </w:tcPr>
          <w:p>
            <w:pPr>
              <w:pStyle w:val="0"/>
            </w:pPr>
            <w:r>
              <w:rPr>
                <w:sz w:val="20"/>
              </w:rPr>
              <w:t xml:space="preserve">Применение систем электронной очереди для амбулаторных и стационарных пациентов посредством формирования единого цифрового контура онкологической службы региона для электронной записи пациентов на прием и госпитализацию</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директор БУ "МИАЦ", главные врачи МО (по согласованию)</w:t>
            </w:r>
          </w:p>
        </w:tc>
        <w:tc>
          <w:tcPr>
            <w:tcW w:w="4195" w:type="dxa"/>
          </w:tcPr>
          <w:p>
            <w:pPr>
              <w:pStyle w:val="0"/>
            </w:pPr>
            <w:r>
              <w:rPr>
                <w:sz w:val="20"/>
              </w:rPr>
              <w:t xml:space="preserve">К 2024 году обеспечена возможность осуществления записи пациентов на прием к специалистам медицинских организаций второго и третьего уровня медицинскими работниками подразделений первичного звена. Обеспечение доступа к медицинской документации специалистам на всех уровнях (первичная, в том числе первичная специализированная медицинская помощь, специализированная, в том числе высокотехнологичная, медицинская помощь)</w:t>
            </w:r>
          </w:p>
        </w:tc>
        <w:tc>
          <w:tcPr>
            <w:tcW w:w="1644" w:type="dxa"/>
          </w:tcPr>
          <w:p>
            <w:pPr>
              <w:pStyle w:val="0"/>
            </w:pPr>
            <w:r>
              <w:rPr>
                <w:sz w:val="20"/>
              </w:rPr>
              <w:t xml:space="preserve">Разовые делимые</w:t>
            </w:r>
          </w:p>
        </w:tc>
      </w:tr>
      <w:tr>
        <w:tc>
          <w:tcPr>
            <w:tcW w:w="587" w:type="dxa"/>
          </w:tcPr>
          <w:p>
            <w:pPr>
              <w:pStyle w:val="0"/>
            </w:pPr>
            <w:r>
              <w:rPr>
                <w:sz w:val="20"/>
              </w:rPr>
              <w:t xml:space="preserve">8.4.</w:t>
            </w:r>
          </w:p>
        </w:tc>
        <w:tc>
          <w:tcPr>
            <w:tcW w:w="3685" w:type="dxa"/>
          </w:tcPr>
          <w:p>
            <w:pPr>
              <w:pStyle w:val="0"/>
            </w:pPr>
            <w:r>
              <w:rPr>
                <w:sz w:val="20"/>
              </w:rPr>
              <w:t xml:space="preserve">Мониторинг, планирование и управление потоками пациентов онкологическими заболеваниями при оказании им медицинской помощи: формирование единого цифрового контура онкологической службы региона для мониторинга направления пациентов</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директор БУ "МИАЦ", главные врачи МО (по согласованию)</w:t>
            </w:r>
          </w:p>
        </w:tc>
        <w:tc>
          <w:tcPr>
            <w:tcW w:w="4195" w:type="dxa"/>
          </w:tcPr>
          <w:p>
            <w:pPr>
              <w:pStyle w:val="0"/>
            </w:pPr>
            <w:r>
              <w:rPr>
                <w:sz w:val="20"/>
              </w:rPr>
              <w:t xml:space="preserve">Сокращение времени ожидания гражданами медицинской помощи за счет реализации системы управления маршрутизацией и потоками пациентов. К 2024 году обеспечена работа единого цифрового контура онкологической службы региона для мониторинга направления пациентов</w:t>
            </w:r>
          </w:p>
        </w:tc>
        <w:tc>
          <w:tcPr>
            <w:tcW w:w="1644" w:type="dxa"/>
          </w:tcPr>
          <w:p>
            <w:pPr>
              <w:pStyle w:val="0"/>
            </w:pPr>
            <w:r>
              <w:rPr>
                <w:sz w:val="20"/>
              </w:rPr>
              <w:t xml:space="preserve">Разовые делимые</w:t>
            </w:r>
          </w:p>
        </w:tc>
      </w:tr>
      <w:tr>
        <w:tc>
          <w:tcPr>
            <w:tcW w:w="587" w:type="dxa"/>
          </w:tcPr>
          <w:p>
            <w:pPr>
              <w:pStyle w:val="0"/>
            </w:pPr>
            <w:r>
              <w:rPr>
                <w:sz w:val="20"/>
              </w:rPr>
              <w:t xml:space="preserve">8.5.</w:t>
            </w:r>
          </w:p>
        </w:tc>
        <w:tc>
          <w:tcPr>
            <w:tcW w:w="3685" w:type="dxa"/>
          </w:tcPr>
          <w:p>
            <w:pPr>
              <w:pStyle w:val="0"/>
            </w:pPr>
            <w:r>
              <w:rPr>
                <w:sz w:val="20"/>
              </w:rPr>
              <w:t xml:space="preserve">Развитие метода цифровой микроскопии: использование цифровой микроскопии при верификации онкологических диагнозов</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главные внештатные специалисты Депздрава Югры: онколог, по патологической анатомии, директор БУ "МИАЦ", главные врачи МО (по согласованию)</w:t>
            </w:r>
          </w:p>
        </w:tc>
        <w:tc>
          <w:tcPr>
            <w:tcW w:w="4195" w:type="dxa"/>
          </w:tcPr>
          <w:p>
            <w:pPr>
              <w:pStyle w:val="0"/>
            </w:pPr>
            <w:r>
              <w:rPr>
                <w:sz w:val="20"/>
              </w:rPr>
              <w:t xml:space="preserve">Повышение точности установления онкологических диагнозов за счет получения "второго мнения" профильного врача-патологоанатома. К концу 2024 года 100% подключенных патоморфосканеров в структурных подразделениях медицинских организаций</w:t>
            </w:r>
          </w:p>
        </w:tc>
        <w:tc>
          <w:tcPr>
            <w:tcW w:w="1644" w:type="dxa"/>
          </w:tcPr>
          <w:p>
            <w:pPr>
              <w:pStyle w:val="0"/>
            </w:pPr>
            <w:r>
              <w:rPr>
                <w:sz w:val="20"/>
              </w:rPr>
              <w:t xml:space="preserve">Регулярные</w:t>
            </w:r>
          </w:p>
        </w:tc>
      </w:tr>
      <w:tr>
        <w:tc>
          <w:tcPr>
            <w:tcW w:w="587" w:type="dxa"/>
          </w:tcPr>
          <w:p>
            <w:pPr>
              <w:pStyle w:val="0"/>
            </w:pPr>
            <w:r>
              <w:rPr>
                <w:sz w:val="20"/>
              </w:rPr>
              <w:t xml:space="preserve">8.6.</w:t>
            </w:r>
          </w:p>
        </w:tc>
        <w:tc>
          <w:tcPr>
            <w:tcW w:w="3685" w:type="dxa"/>
          </w:tcPr>
          <w:p>
            <w:pPr>
              <w:pStyle w:val="0"/>
            </w:pPr>
            <w:r>
              <w:rPr>
                <w:sz w:val="20"/>
              </w:rPr>
              <w:t xml:space="preserve">Обеспечение работы механизмов обратной связи, информирование пациентов посредством сайтов учреждений</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главный внештатный специалист онколог Депздрава Югры, директор БУ "МИАЦ", главные врачи МО (по согласованию)</w:t>
            </w:r>
          </w:p>
        </w:tc>
        <w:tc>
          <w:tcPr>
            <w:tcW w:w="4195" w:type="dxa"/>
          </w:tcPr>
          <w:p>
            <w:pPr>
              <w:pStyle w:val="0"/>
            </w:pPr>
            <w:r>
              <w:rPr>
                <w:sz w:val="20"/>
              </w:rPr>
              <w:t xml:space="preserve">К концу 2024 года 100% медицинских организаций, оказывающих медицинскую помощь по профилю "онкология", обеспечены реализацией механизмов обратной связи, информированием пациентов посредством сайта учреждения</w:t>
            </w:r>
          </w:p>
        </w:tc>
        <w:tc>
          <w:tcPr>
            <w:tcW w:w="1644" w:type="dxa"/>
          </w:tcPr>
          <w:p>
            <w:pPr>
              <w:pStyle w:val="0"/>
            </w:pPr>
            <w:r>
              <w:rPr>
                <w:sz w:val="20"/>
              </w:rPr>
              <w:t xml:space="preserve">Регулярные</w:t>
            </w:r>
          </w:p>
        </w:tc>
      </w:tr>
      <w:tr>
        <w:tc>
          <w:tcPr>
            <w:tcW w:w="587" w:type="dxa"/>
          </w:tcPr>
          <w:p>
            <w:pPr>
              <w:pStyle w:val="0"/>
            </w:pPr>
            <w:r>
              <w:rPr>
                <w:sz w:val="20"/>
              </w:rPr>
              <w:t xml:space="preserve">8.7.</w:t>
            </w:r>
          </w:p>
        </w:tc>
        <w:tc>
          <w:tcPr>
            <w:tcW w:w="3685" w:type="dxa"/>
          </w:tcPr>
          <w:p>
            <w:pPr>
              <w:pStyle w:val="0"/>
            </w:pPr>
            <w:r>
              <w:rPr>
                <w:sz w:val="20"/>
              </w:rPr>
              <w:t xml:space="preserve">Обеспечение медицинских организаций широкополосным доступом в сеть Интернет, создание возможности безопасной передачи данных, обеспечение рабочих мест онкологов компьютерной техникой, совершенствование системы использования безопасной передачи данных по закрытым каналам</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начальник управления развития здравоохранения Депздрава Югры, директор БУ "МИАЦ", главные врачи МО (по согласованию)</w:t>
            </w:r>
          </w:p>
        </w:tc>
        <w:tc>
          <w:tcPr>
            <w:tcW w:w="4195" w:type="dxa"/>
          </w:tcPr>
          <w:p>
            <w:pPr>
              <w:pStyle w:val="0"/>
            </w:pPr>
            <w:r>
              <w:rPr>
                <w:sz w:val="20"/>
              </w:rPr>
              <w:t xml:space="preserve">Обеспечена защищенная сеть передачи данных, к которой подключены не менее 80% территориально-выделенных структурных подразделений медицинских организаций государственной и муниципальной систем здравоохранения субъекта Российской Федерации. К концу 2024 года 100% медицинской информации передаются по защищенным каналам передачи данных; 100% врачей-онкологов обеспечены компьютерной техникой</w:t>
            </w:r>
          </w:p>
        </w:tc>
        <w:tc>
          <w:tcPr>
            <w:tcW w:w="1644" w:type="dxa"/>
          </w:tcPr>
          <w:p>
            <w:pPr>
              <w:pStyle w:val="0"/>
            </w:pPr>
            <w:r>
              <w:rPr>
                <w:sz w:val="20"/>
              </w:rPr>
              <w:t xml:space="preserve">Регулярные</w:t>
            </w:r>
          </w:p>
        </w:tc>
      </w:tr>
      <w:tr>
        <w:tc>
          <w:tcPr>
            <w:tcW w:w="587" w:type="dxa"/>
          </w:tcPr>
          <w:p>
            <w:pPr>
              <w:pStyle w:val="0"/>
            </w:pPr>
            <w:r>
              <w:rPr>
                <w:sz w:val="20"/>
              </w:rPr>
              <w:t xml:space="preserve">8.8.</w:t>
            </w:r>
          </w:p>
        </w:tc>
        <w:tc>
          <w:tcPr>
            <w:tcW w:w="3685" w:type="dxa"/>
          </w:tcPr>
          <w:p>
            <w:pPr>
              <w:pStyle w:val="0"/>
            </w:pPr>
            <w:r>
              <w:rPr>
                <w:sz w:val="20"/>
              </w:rPr>
              <w:t xml:space="preserve">Интеграция медицинской информационной системы с подсистемами единой государственной информационной системы в сфере здравоохранения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начальник управления развития здравоохранения Депздрава Югры; директор БУ "МИАЦ", главные врачи МО (по согласованию)</w:t>
            </w:r>
          </w:p>
        </w:tc>
        <w:tc>
          <w:tcPr>
            <w:tcW w:w="4195" w:type="dxa"/>
          </w:tcPr>
          <w:p>
            <w:pPr>
              <w:pStyle w:val="0"/>
            </w:pPr>
            <w:r>
              <w:rPr>
                <w:sz w:val="20"/>
              </w:rPr>
              <w:t xml:space="preserve">Работа по интеграции МИС с подсистемами ЕГИСЗ запланирована на 2023 год, завершится в 2024 году предоставлением отчета о реализации мероприятия в Депздраве Югры</w:t>
            </w:r>
          </w:p>
        </w:tc>
        <w:tc>
          <w:tcPr>
            <w:tcW w:w="1644" w:type="dxa"/>
          </w:tcPr>
          <w:p>
            <w:pPr>
              <w:pStyle w:val="0"/>
            </w:pPr>
            <w:r>
              <w:rPr>
                <w:sz w:val="20"/>
              </w:rPr>
              <w:t xml:space="preserve">Регулярные</w:t>
            </w:r>
          </w:p>
        </w:tc>
      </w:tr>
      <w:tr>
        <w:tc>
          <w:tcPr>
            <w:tcW w:w="587" w:type="dxa"/>
          </w:tcPr>
          <w:p>
            <w:pPr>
              <w:pStyle w:val="0"/>
            </w:pPr>
            <w:r>
              <w:rPr>
                <w:sz w:val="20"/>
              </w:rPr>
              <w:t xml:space="preserve">8.9.</w:t>
            </w:r>
          </w:p>
        </w:tc>
        <w:tc>
          <w:tcPr>
            <w:tcW w:w="3685" w:type="dxa"/>
          </w:tcPr>
          <w:p>
            <w:pPr>
              <w:pStyle w:val="0"/>
            </w:pPr>
            <w:r>
              <w:rPr>
                <w:sz w:val="20"/>
              </w:rPr>
              <w:t xml:space="preserve">Доля подключенных медицинских автономного округа в разрезе территориально-выделенных структурных подразделений в ВИМИС "онкология" от планового показателя</w:t>
            </w:r>
          </w:p>
        </w:tc>
        <w:tc>
          <w:tcPr>
            <w:tcW w:w="1220" w:type="dxa"/>
          </w:tcPr>
          <w:p>
            <w:pPr>
              <w:pStyle w:val="0"/>
            </w:pPr>
            <w:r>
              <w:rPr>
                <w:sz w:val="20"/>
              </w:rPr>
              <w:t xml:space="preserve">1 июня 2023 года</w:t>
            </w:r>
          </w:p>
        </w:tc>
        <w:tc>
          <w:tcPr>
            <w:tcW w:w="1304" w:type="dxa"/>
          </w:tcPr>
          <w:p>
            <w:pPr>
              <w:pStyle w:val="0"/>
            </w:pPr>
            <w:r>
              <w:rPr>
                <w:sz w:val="20"/>
              </w:rPr>
              <w:t xml:space="preserve">31.12.2023</w:t>
            </w:r>
          </w:p>
        </w:tc>
        <w:tc>
          <w:tcPr>
            <w:tcW w:w="3118" w:type="dxa"/>
          </w:tcPr>
          <w:p>
            <w:pPr>
              <w:pStyle w:val="0"/>
            </w:pPr>
            <w:r>
              <w:rPr>
                <w:sz w:val="20"/>
              </w:rPr>
              <w:t xml:space="preserve">Начальник управления организации медицинской помощи Депздрава Югры, начальник управления развития здравоохранения Депздрава Югры; директор БУ "МИАЦ",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2023 год - не менее 100%</w:t>
            </w:r>
          </w:p>
        </w:tc>
        <w:tc>
          <w:tcPr>
            <w:tcW w:w="1644" w:type="dxa"/>
          </w:tcPr>
          <w:p>
            <w:pPr>
              <w:pStyle w:val="0"/>
            </w:pPr>
            <w:r>
              <w:rPr>
                <w:sz w:val="20"/>
              </w:rPr>
              <w:t xml:space="preserve">регулярное</w:t>
            </w:r>
          </w:p>
        </w:tc>
      </w:tr>
      <w:tr>
        <w:tc>
          <w:tcPr>
            <w:tcW w:w="587" w:type="dxa"/>
          </w:tcPr>
          <w:p>
            <w:pPr>
              <w:pStyle w:val="0"/>
            </w:pPr>
            <w:r>
              <w:rPr>
                <w:sz w:val="20"/>
              </w:rPr>
              <w:t xml:space="preserve">8.10.</w:t>
            </w:r>
          </w:p>
        </w:tc>
        <w:tc>
          <w:tcPr>
            <w:tcW w:w="3685" w:type="dxa"/>
          </w:tcPr>
          <w:p>
            <w:pPr>
              <w:pStyle w:val="0"/>
            </w:pPr>
            <w:r>
              <w:rPr>
                <w:sz w:val="20"/>
              </w:rPr>
              <w:t xml:space="preserve">Доля видов направляемых структурированных электронных медицинских документов от всех медицинских организаций автономного округа, оказывающих медицинскую помощь по профилю "онкология", от планового годового показателя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управления организации медицинской помощи Депздрава Югры, начальник управления развития здравоохранения Депздрава Югры; директор БУ "МИАЦ", главные врачи МО (по согласованию)</w:t>
            </w:r>
          </w:p>
        </w:tc>
        <w:tc>
          <w:tcPr>
            <w:tcW w:w="4195" w:type="dxa"/>
          </w:tcPr>
          <w:p>
            <w:pPr>
              <w:pStyle w:val="0"/>
            </w:pPr>
            <w:r>
              <w:rPr>
                <w:sz w:val="20"/>
              </w:rPr>
              <w:t xml:space="preserve">Целевой показатель:</w:t>
            </w:r>
          </w:p>
          <w:p>
            <w:pPr>
              <w:pStyle w:val="0"/>
            </w:pPr>
            <w:r>
              <w:rPr>
                <w:sz w:val="20"/>
              </w:rPr>
              <w:t xml:space="preserve">2023 год - 100%,</w:t>
            </w:r>
          </w:p>
          <w:p>
            <w:pPr>
              <w:pStyle w:val="0"/>
            </w:pPr>
            <w:r>
              <w:rPr>
                <w:sz w:val="20"/>
              </w:rPr>
              <w:t xml:space="preserve">2024 год - 100%</w:t>
            </w:r>
          </w:p>
        </w:tc>
        <w:tc>
          <w:tcPr>
            <w:tcW w:w="1644" w:type="dxa"/>
          </w:tcPr>
          <w:p>
            <w:pPr>
              <w:pStyle w:val="0"/>
            </w:pPr>
            <w:r>
              <w:rPr>
                <w:sz w:val="20"/>
              </w:rPr>
              <w:t xml:space="preserve">регулярное</w:t>
            </w:r>
          </w:p>
        </w:tc>
      </w:tr>
      <w:tr>
        <w:tc>
          <w:tcPr>
            <w:gridSpan w:val="7"/>
            <w:tcW w:w="15753" w:type="dxa"/>
          </w:tcPr>
          <w:p>
            <w:pPr>
              <w:pStyle w:val="0"/>
              <w:outlineLvl w:val="2"/>
            </w:pPr>
            <w:r>
              <w:rPr>
                <w:sz w:val="20"/>
              </w:rPr>
              <w:t xml:space="preserve">9. Обеспечение укомплектованности кадрами медицинских организаций, оказывающих медицинскую помощь пациентам с онкологическими заболеваниями</w:t>
            </w:r>
          </w:p>
        </w:tc>
      </w:tr>
      <w:tr>
        <w:tc>
          <w:tcPr>
            <w:tcW w:w="587" w:type="dxa"/>
          </w:tcPr>
          <w:p>
            <w:pPr>
              <w:pStyle w:val="0"/>
            </w:pPr>
            <w:r>
              <w:rPr>
                <w:sz w:val="20"/>
              </w:rPr>
              <w:t xml:space="preserve">9.1.</w:t>
            </w:r>
          </w:p>
        </w:tc>
        <w:tc>
          <w:tcPr>
            <w:tcW w:w="3685" w:type="dxa"/>
          </w:tcPr>
          <w:p>
            <w:pPr>
              <w:pStyle w:val="0"/>
            </w:pPr>
            <w:r>
              <w:rPr>
                <w:sz w:val="20"/>
              </w:rPr>
              <w:t xml:space="preserve">Мониторинг кадрового состава онкологической службы, ведение регионального сегмента ФРМР, регулярное обновление базы вакансий</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административного управления Депздрава Югры; директор БУ "МИАЦ",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Ежеквартальный анализ потребности в приглашении медицинских кадров для оказания медицинской помощи гражданам при реализации региональной программы "Борьба с онкологическими заболеваниями"</w:t>
            </w:r>
          </w:p>
        </w:tc>
        <w:tc>
          <w:tcPr>
            <w:tcW w:w="1644" w:type="dxa"/>
          </w:tcPr>
          <w:p>
            <w:pPr>
              <w:pStyle w:val="0"/>
            </w:pPr>
            <w:r>
              <w:rPr>
                <w:sz w:val="20"/>
              </w:rPr>
              <w:t xml:space="preserve">Регулярные</w:t>
            </w:r>
          </w:p>
        </w:tc>
      </w:tr>
      <w:tr>
        <w:tc>
          <w:tcPr>
            <w:tcW w:w="587" w:type="dxa"/>
          </w:tcPr>
          <w:p>
            <w:pPr>
              <w:pStyle w:val="0"/>
            </w:pPr>
            <w:r>
              <w:rPr>
                <w:sz w:val="20"/>
              </w:rPr>
              <w:t xml:space="preserve">9.2.</w:t>
            </w:r>
          </w:p>
        </w:tc>
        <w:tc>
          <w:tcPr>
            <w:tcW w:w="3685" w:type="dxa"/>
          </w:tcPr>
          <w:p>
            <w:pPr>
              <w:pStyle w:val="0"/>
            </w:pPr>
            <w:r>
              <w:rPr>
                <w:sz w:val="20"/>
              </w:rPr>
              <w:t xml:space="preserve">Подготовка специалистов по программам высшего образования целевого обучения за счет средств федерального и окружного бюджетов</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административного управления Депздрава Югры; главные внештатные специалисты Депздрава Югры: онколог, гематолог, радиолог, хирург и эндоскопист, специалист по лучевой диагностике, по патологической анатомии, по клинической лабораторной диагностике, по медицинскому образованию, главные врачи МО (по согласованию)</w:t>
            </w:r>
          </w:p>
        </w:tc>
        <w:tc>
          <w:tcPr>
            <w:tcW w:w="4195" w:type="dxa"/>
          </w:tcPr>
          <w:p>
            <w:pPr>
              <w:pStyle w:val="0"/>
            </w:pPr>
            <w:r>
              <w:rPr>
                <w:sz w:val="20"/>
              </w:rPr>
              <w:t xml:space="preserve">подготовка до 2024 года: в клинической ординатуре окружных вузов врачей-онкологов; в окружных и федеральных ВУЗах: врач-патологоанатом - 22; врач клинической лабораторной диагностики - 20; врач лабораторной генетики - 2; врач-гематолог - 5; врач ультразвуковой диагностики - 13; врач функциональной диагностики - 6; врач-эндоскопист - 4; врач-рентгенолог - 27; врач-трансфузиолог - 4</w:t>
            </w:r>
          </w:p>
        </w:tc>
        <w:tc>
          <w:tcPr>
            <w:tcW w:w="1644" w:type="dxa"/>
          </w:tcPr>
          <w:p>
            <w:pPr>
              <w:pStyle w:val="0"/>
            </w:pPr>
            <w:r>
              <w:rPr>
                <w:sz w:val="20"/>
              </w:rPr>
              <w:t xml:space="preserve">Регулярные</w:t>
            </w:r>
          </w:p>
        </w:tc>
      </w:tr>
      <w:tr>
        <w:tc>
          <w:tcPr>
            <w:tcW w:w="587" w:type="dxa"/>
          </w:tcPr>
          <w:p>
            <w:pPr>
              <w:pStyle w:val="0"/>
            </w:pPr>
            <w:r>
              <w:rPr>
                <w:sz w:val="20"/>
              </w:rPr>
              <w:t xml:space="preserve">9.3.</w:t>
            </w:r>
          </w:p>
        </w:tc>
        <w:tc>
          <w:tcPr>
            <w:tcW w:w="3685" w:type="dxa"/>
          </w:tcPr>
          <w:p>
            <w:pPr>
              <w:pStyle w:val="0"/>
            </w:pPr>
            <w:r>
              <w:rPr>
                <w:sz w:val="20"/>
              </w:rPr>
              <w:t xml:space="preserve">Подготовка специалистов по программам среднего образования целевого обучения за счет средств федерального и областного бюджетов</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административного управления Депздрава Югры; главные внештатные специалисты Депздрава Югры: онколог, гематолог, радиолог, хирург и эндоскопист, специалист по лучевой диагностике, по патологической анатомии, по клинической лабораторной диагностике, по медицинскому образованию, главные врачи МО (по согласованию)</w:t>
            </w:r>
          </w:p>
        </w:tc>
        <w:tc>
          <w:tcPr>
            <w:tcW w:w="4195" w:type="dxa"/>
          </w:tcPr>
          <w:p>
            <w:pPr>
              <w:pStyle w:val="0"/>
            </w:pPr>
            <w:r>
              <w:rPr>
                <w:sz w:val="20"/>
              </w:rPr>
              <w:t xml:space="preserve">Подготовка до 2024 года средних медицинских образовательных учреждениях средних медицинских работников, в т.ч. рентген-лаборантов:</w:t>
            </w:r>
          </w:p>
          <w:p>
            <w:pPr>
              <w:pStyle w:val="0"/>
            </w:pPr>
            <w:r>
              <w:rPr>
                <w:sz w:val="20"/>
              </w:rPr>
              <w:t xml:space="preserve">в 2023 году - 7 человек,</w:t>
            </w:r>
          </w:p>
          <w:p>
            <w:pPr>
              <w:pStyle w:val="0"/>
            </w:pPr>
            <w:r>
              <w:rPr>
                <w:sz w:val="20"/>
              </w:rPr>
              <w:t xml:space="preserve">в 2024 году - 7 человек</w:t>
            </w:r>
          </w:p>
        </w:tc>
        <w:tc>
          <w:tcPr>
            <w:tcW w:w="1644" w:type="dxa"/>
          </w:tcPr>
          <w:p>
            <w:pPr>
              <w:pStyle w:val="0"/>
            </w:pPr>
            <w:r>
              <w:rPr>
                <w:sz w:val="20"/>
              </w:rPr>
              <w:t xml:space="preserve">Регулярные</w:t>
            </w:r>
          </w:p>
        </w:tc>
      </w:tr>
      <w:tr>
        <w:tc>
          <w:tcPr>
            <w:tcW w:w="587" w:type="dxa"/>
          </w:tcPr>
          <w:p>
            <w:pPr>
              <w:pStyle w:val="0"/>
            </w:pPr>
            <w:r>
              <w:rPr>
                <w:sz w:val="20"/>
              </w:rPr>
              <w:t xml:space="preserve">9.4.</w:t>
            </w:r>
          </w:p>
        </w:tc>
        <w:tc>
          <w:tcPr>
            <w:tcW w:w="3685" w:type="dxa"/>
          </w:tcPr>
          <w:p>
            <w:pPr>
              <w:pStyle w:val="0"/>
            </w:pPr>
            <w:r>
              <w:rPr>
                <w:sz w:val="20"/>
              </w:rPr>
              <w:t xml:space="preserve">Подготовка специалистов по программам профессиональной переподготовки и повышения квалификации (в том числе за счет ТФОМС Югры и в условиях непрерывного медицинского образования) с использованием дистанционных образовательных технологий путем освоения дополнительных образовательных программ, сети Интернет, электронных пособий, справочников, профильных журналов, разработанных с учетом порядков оказания медицинской помощи, клинических рекомендаций и принципов доказательной медицины, с использованием личных кабинетов системы непрерывного медицинского образования</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Главные внештатные специалисты Депздрава Югры: онколог, радиолог, специалист по лучевой диагностике, по патологической анатомии, по клинической лабораторной диагностике, главные врачи МО (по согласованию)</w:t>
            </w:r>
          </w:p>
        </w:tc>
        <w:tc>
          <w:tcPr>
            <w:tcW w:w="4195" w:type="dxa"/>
          </w:tcPr>
          <w:p>
            <w:pPr>
              <w:pStyle w:val="0"/>
            </w:pPr>
            <w:r>
              <w:rPr>
                <w:sz w:val="20"/>
              </w:rPr>
              <w:t xml:space="preserve">Ежегодное повышение квалификации не менее 50% врачей по специальности "онкология", "радиотерапия", "радиология", "рентгенология", "ультразвуковая диагностика", клиническая лабораторная диагностика", "патологическая анатомия"</w:t>
            </w:r>
          </w:p>
        </w:tc>
        <w:tc>
          <w:tcPr>
            <w:tcW w:w="1644" w:type="dxa"/>
          </w:tcPr>
          <w:p>
            <w:pPr>
              <w:pStyle w:val="0"/>
            </w:pPr>
            <w:r>
              <w:rPr>
                <w:sz w:val="20"/>
              </w:rPr>
              <w:t xml:space="preserve">Регулярные</w:t>
            </w:r>
          </w:p>
        </w:tc>
      </w:tr>
      <w:tr>
        <w:tc>
          <w:tcPr>
            <w:tcW w:w="587" w:type="dxa"/>
          </w:tcPr>
          <w:p>
            <w:pPr>
              <w:pStyle w:val="0"/>
            </w:pPr>
            <w:r>
              <w:rPr>
                <w:sz w:val="20"/>
              </w:rPr>
              <w:t xml:space="preserve">9.5.</w:t>
            </w:r>
          </w:p>
        </w:tc>
        <w:tc>
          <w:tcPr>
            <w:tcW w:w="3685" w:type="dxa"/>
          </w:tcPr>
          <w:p>
            <w:pPr>
              <w:pStyle w:val="0"/>
            </w:pPr>
            <w:r>
              <w:rPr>
                <w:sz w:val="20"/>
              </w:rPr>
              <w:t xml:space="preserve">Укомплектование центров амбулаторной онкологической помощи врачами-онкологами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административного управления Депздрава Югры; главный внештатный специалист онколог Депздрава Югры, главные врачи МО (по согласованию)</w:t>
            </w:r>
          </w:p>
        </w:tc>
        <w:tc>
          <w:tcPr>
            <w:tcW w:w="4195" w:type="dxa"/>
          </w:tcPr>
          <w:p>
            <w:pPr>
              <w:pStyle w:val="0"/>
            </w:pPr>
            <w:r>
              <w:rPr>
                <w:sz w:val="20"/>
              </w:rPr>
              <w:t xml:space="preserve">Привлечение к работе в ЦАОП до 2024 года врачей-онкологов:</w:t>
            </w:r>
          </w:p>
          <w:p>
            <w:pPr>
              <w:pStyle w:val="0"/>
            </w:pPr>
            <w:r>
              <w:rPr>
                <w:sz w:val="20"/>
              </w:rPr>
              <w:t xml:space="preserve">в 2023 году - 2,</w:t>
            </w:r>
          </w:p>
          <w:p>
            <w:pPr>
              <w:pStyle w:val="0"/>
            </w:pPr>
            <w:r>
              <w:rPr>
                <w:sz w:val="20"/>
              </w:rPr>
              <w:t xml:space="preserve">в 2024 году - 2</w:t>
            </w:r>
          </w:p>
        </w:tc>
        <w:tc>
          <w:tcPr>
            <w:tcW w:w="1644" w:type="dxa"/>
          </w:tcPr>
          <w:p>
            <w:pPr>
              <w:pStyle w:val="0"/>
            </w:pPr>
            <w:r>
              <w:rPr>
                <w:sz w:val="20"/>
              </w:rPr>
              <w:t xml:space="preserve">Регулярные</w:t>
            </w:r>
          </w:p>
        </w:tc>
      </w:tr>
      <w:tr>
        <w:tc>
          <w:tcPr>
            <w:tcW w:w="587" w:type="dxa"/>
          </w:tcPr>
          <w:p>
            <w:pPr>
              <w:pStyle w:val="0"/>
            </w:pPr>
            <w:r>
              <w:rPr>
                <w:sz w:val="20"/>
              </w:rPr>
              <w:t xml:space="preserve">9.6.</w:t>
            </w:r>
          </w:p>
        </w:tc>
        <w:tc>
          <w:tcPr>
            <w:tcW w:w="3685" w:type="dxa"/>
          </w:tcPr>
          <w:p>
            <w:pPr>
              <w:pStyle w:val="0"/>
            </w:pPr>
            <w:r>
              <w:rPr>
                <w:sz w:val="20"/>
              </w:rPr>
              <w:t xml:space="preserve">Реализации программы "Земский доктор", "Земский фельдшер" в Ханты-Мансийском автономном округе - Югре</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административного управления Депздрава Югры; главные врачи МО, главы муниципальных образований (по согласованию)</w:t>
            </w:r>
          </w:p>
        </w:tc>
        <w:tc>
          <w:tcPr>
            <w:tcW w:w="4195" w:type="dxa"/>
          </w:tcPr>
          <w:p>
            <w:pPr>
              <w:pStyle w:val="0"/>
            </w:pPr>
            <w:r>
              <w:rPr>
                <w:sz w:val="20"/>
              </w:rPr>
              <w:t xml:space="preserve">ежегодное увеличение численности врачей и средних медицинских работников, работающих в медицинских организациях, оказывающих помощь по профилю "онкология"</w:t>
            </w:r>
          </w:p>
        </w:tc>
        <w:tc>
          <w:tcPr>
            <w:tcW w:w="1644" w:type="dxa"/>
          </w:tcPr>
          <w:p>
            <w:pPr>
              <w:pStyle w:val="0"/>
            </w:pPr>
            <w:r>
              <w:rPr>
                <w:sz w:val="20"/>
              </w:rPr>
              <w:t xml:space="preserve">Регулярные</w:t>
            </w:r>
          </w:p>
        </w:tc>
      </w:tr>
      <w:tr>
        <w:tc>
          <w:tcPr>
            <w:tcW w:w="587" w:type="dxa"/>
          </w:tcPr>
          <w:p>
            <w:pPr>
              <w:pStyle w:val="0"/>
            </w:pPr>
            <w:r>
              <w:rPr>
                <w:sz w:val="20"/>
              </w:rPr>
              <w:t xml:space="preserve">9.7.</w:t>
            </w:r>
          </w:p>
        </w:tc>
        <w:tc>
          <w:tcPr>
            <w:tcW w:w="3685" w:type="dxa"/>
          </w:tcPr>
          <w:p>
            <w:pPr>
              <w:pStyle w:val="0"/>
            </w:pPr>
            <w:r>
              <w:rPr>
                <w:sz w:val="20"/>
              </w:rPr>
              <w:t xml:space="preserve">Проведение конкурсов профессионального мастерства "Лучший врач года", "Лучший средний медицинский работник года"</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административного управления Депздрава Югры; главные врачи МО (по согласованию)</w:t>
            </w:r>
          </w:p>
        </w:tc>
        <w:tc>
          <w:tcPr>
            <w:tcW w:w="4195" w:type="dxa"/>
          </w:tcPr>
          <w:p>
            <w:pPr>
              <w:pStyle w:val="0"/>
            </w:pPr>
            <w:r>
              <w:rPr>
                <w:sz w:val="20"/>
              </w:rPr>
              <w:t xml:space="preserve">Ежегодное участие врачей и средних медицинских работников, работающих в медицинских организациях, оказывающих помощь по профилю "онкология", в конкурсах профессионального мастерства "Лучший врач года", "Лучший средний медицинский работник года"</w:t>
            </w:r>
          </w:p>
        </w:tc>
        <w:tc>
          <w:tcPr>
            <w:tcW w:w="1644" w:type="dxa"/>
          </w:tcPr>
          <w:p>
            <w:pPr>
              <w:pStyle w:val="0"/>
            </w:pPr>
            <w:r>
              <w:rPr>
                <w:sz w:val="20"/>
              </w:rPr>
              <w:t xml:space="preserve">Регулярные</w:t>
            </w:r>
          </w:p>
        </w:tc>
      </w:tr>
      <w:tr>
        <w:tc>
          <w:tcPr>
            <w:tcW w:w="587" w:type="dxa"/>
          </w:tcPr>
          <w:p>
            <w:pPr>
              <w:pStyle w:val="0"/>
            </w:pPr>
            <w:r>
              <w:rPr>
                <w:sz w:val="20"/>
              </w:rPr>
              <w:t xml:space="preserve">9.8.</w:t>
            </w:r>
          </w:p>
        </w:tc>
        <w:tc>
          <w:tcPr>
            <w:tcW w:w="3685" w:type="dxa"/>
          </w:tcPr>
          <w:p>
            <w:pPr>
              <w:pStyle w:val="0"/>
            </w:pPr>
            <w:r>
              <w:rPr>
                <w:sz w:val="20"/>
              </w:rPr>
              <w:t xml:space="preserve">Предоставление служебного жилья специалистам, ежемесячная компенсация расходов за коммунальные услуги</w:t>
            </w:r>
          </w:p>
        </w:tc>
        <w:tc>
          <w:tcPr>
            <w:tcW w:w="1220" w:type="dxa"/>
          </w:tcPr>
          <w:p>
            <w:pPr>
              <w:pStyle w:val="0"/>
            </w:pPr>
            <w:r>
              <w:rPr>
                <w:sz w:val="20"/>
              </w:rPr>
              <w:t xml:space="preserve">1 июня 2023 года</w:t>
            </w:r>
          </w:p>
        </w:tc>
        <w:tc>
          <w:tcPr>
            <w:tcW w:w="1304" w:type="dxa"/>
          </w:tcPr>
          <w:p>
            <w:pPr>
              <w:pStyle w:val="0"/>
            </w:pPr>
            <w:r>
              <w:rPr>
                <w:sz w:val="20"/>
              </w:rPr>
              <w:t xml:space="preserve">31 декабря 2024 года</w:t>
            </w:r>
          </w:p>
        </w:tc>
        <w:tc>
          <w:tcPr>
            <w:tcW w:w="3118" w:type="dxa"/>
          </w:tcPr>
          <w:p>
            <w:pPr>
              <w:pStyle w:val="0"/>
            </w:pPr>
            <w:r>
              <w:rPr>
                <w:sz w:val="20"/>
              </w:rPr>
              <w:t xml:space="preserve">Начальник административного управления Депздрава Югры; главные врачи МО, главы муниципальных образований (по согласованию)</w:t>
            </w:r>
          </w:p>
        </w:tc>
        <w:tc>
          <w:tcPr>
            <w:tcW w:w="4195" w:type="dxa"/>
          </w:tcPr>
          <w:p>
            <w:pPr>
              <w:pStyle w:val="0"/>
            </w:pPr>
            <w:r>
              <w:rPr>
                <w:sz w:val="20"/>
              </w:rPr>
              <w:t xml:space="preserve">Обеспеченность населения врачами, оказывающими специализированную медицинскую помощь, чел. на 10 тыс. населения: 2023 год - 20,5; 2024 год - 20,9</w:t>
            </w:r>
          </w:p>
        </w:tc>
        <w:tc>
          <w:tcPr>
            <w:tcW w:w="1644" w:type="dxa"/>
          </w:tcPr>
          <w:p>
            <w:pPr>
              <w:pStyle w:val="0"/>
            </w:pPr>
            <w:r>
              <w:rPr>
                <w:sz w:val="20"/>
              </w:rPr>
              <w:t xml:space="preserve">Регулярные</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2"/>
        <w:outlineLvl w:val="1"/>
        <w:jc w:val="center"/>
      </w:pPr>
      <w:r>
        <w:rPr>
          <w:sz w:val="20"/>
        </w:rPr>
        <w:t xml:space="preserve">Раздел V. ОЖИДАЕМЫЕ РЕЗУЛЬТАТЫ РЕГИОНАЛЬНОЙ ПРОГРАММЫ</w:t>
      </w:r>
    </w:p>
    <w:p>
      <w:pPr>
        <w:pStyle w:val="0"/>
        <w:jc w:val="center"/>
      </w:pPr>
      <w:r>
        <w:rPr>
          <w:sz w:val="20"/>
        </w:rPr>
      </w:r>
    </w:p>
    <w:p>
      <w:pPr>
        <w:pStyle w:val="0"/>
        <w:ind w:firstLine="540"/>
        <w:jc w:val="both"/>
      </w:pPr>
      <w:r>
        <w:rPr>
          <w:sz w:val="20"/>
        </w:rPr>
        <w:t xml:space="preserve">Исполнение мероприятий региональной программы позволит достичь к 2024 году следующих результатов:</w:t>
      </w:r>
    </w:p>
    <w:p>
      <w:pPr>
        <w:pStyle w:val="0"/>
        <w:spacing w:before="200" w:line-rule="auto"/>
        <w:ind w:firstLine="540"/>
        <w:jc w:val="both"/>
      </w:pPr>
      <w:r>
        <w:rPr>
          <w:sz w:val="20"/>
        </w:rPr>
        <w:t xml:space="preserve">снижение смертности от новообразований, в том числе злокачественных, до уровня 105,0 на 100 тыс. населения;</w:t>
      </w:r>
    </w:p>
    <w:p>
      <w:pPr>
        <w:pStyle w:val="0"/>
        <w:spacing w:before="200" w:line-rule="auto"/>
        <w:ind w:firstLine="540"/>
        <w:jc w:val="both"/>
      </w:pPr>
      <w:r>
        <w:rPr>
          <w:sz w:val="20"/>
        </w:rPr>
        <w:t xml:space="preserve">снижение смертности от злокачественных новообразований до уровня 103,7 на 100 тыс. населения;</w:t>
      </w:r>
    </w:p>
    <w:p>
      <w:pPr>
        <w:pStyle w:val="0"/>
        <w:spacing w:before="200" w:line-rule="auto"/>
        <w:ind w:firstLine="540"/>
        <w:jc w:val="both"/>
      </w:pPr>
      <w:r>
        <w:rPr>
          <w:sz w:val="20"/>
        </w:rPr>
        <w:t xml:space="preserve">снижение одногодичной летальности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до уровня 19,1%;</w:t>
      </w:r>
    </w:p>
    <w:p>
      <w:pPr>
        <w:pStyle w:val="0"/>
        <w:spacing w:before="200" w:line-rule="auto"/>
        <w:ind w:firstLine="540"/>
        <w:jc w:val="both"/>
      </w:pPr>
      <w:r>
        <w:rPr>
          <w:sz w:val="20"/>
        </w:rPr>
        <w:t xml:space="preserve">увеличение доли злокачественных новообразований, выявленных на ранних (I - II) стадиях, до 59,5%;</w:t>
      </w:r>
    </w:p>
    <w:p>
      <w:pPr>
        <w:pStyle w:val="0"/>
        <w:spacing w:before="200" w:line-rule="auto"/>
        <w:ind w:firstLine="540"/>
        <w:jc w:val="both"/>
      </w:pPr>
      <w:r>
        <w:rPr>
          <w:sz w:val="20"/>
        </w:rPr>
        <w:t xml:space="preserve">увеличение удельного веса больных со злокачественными новообразованиями, состоящих на учете 5 лет и более, из общего числа больных со злокачественными образованиями, состоящих под диспансерным наблюдением, до 60%;</w:t>
      </w:r>
    </w:p>
    <w:p>
      <w:pPr>
        <w:pStyle w:val="0"/>
        <w:spacing w:before="200" w:line-rule="auto"/>
        <w:ind w:firstLine="540"/>
        <w:jc w:val="both"/>
      </w:pPr>
      <w:r>
        <w:rPr>
          <w:sz w:val="20"/>
        </w:rPr>
        <w:t xml:space="preserve">увеличение доли лиц с онкологическими заболеваниями, прошедших обследование и/или лечение в текущем году из числа состоящих под диспансерным наблюдением, до уровня 80,0%;</w:t>
      </w:r>
    </w:p>
    <w:p>
      <w:pPr>
        <w:pStyle w:val="0"/>
        <w:spacing w:before="200" w:line-rule="auto"/>
        <w:ind w:firstLine="540"/>
        <w:jc w:val="both"/>
      </w:pPr>
      <w:r>
        <w:rPr>
          <w:sz w:val="20"/>
        </w:rPr>
        <w:t xml:space="preserve">снижение стандартизованного коэффициента смертности от новообразований, в том числе злокачественных, на 100 тыс. населения до 126,9;</w:t>
      </w:r>
    </w:p>
    <w:p>
      <w:pPr>
        <w:pStyle w:val="0"/>
        <w:spacing w:before="200" w:line-rule="auto"/>
        <w:ind w:firstLine="540"/>
        <w:jc w:val="both"/>
      </w:pPr>
      <w:r>
        <w:rPr>
          <w:sz w:val="20"/>
        </w:rPr>
        <w:t xml:space="preserve">увеличение доли злокачественных новообразований, кроме рака кожи (C44) и лейкемий, выявленных на I стадии, от всех зарегистрированных ЗНО, кроме рака кожи (C44) и лейкемий (без учтенных посмертно), до 34,5%;</w:t>
      </w:r>
    </w:p>
    <w:p>
      <w:pPr>
        <w:pStyle w:val="0"/>
        <w:spacing w:before="200" w:line-rule="auto"/>
        <w:ind w:firstLine="540"/>
        <w:jc w:val="both"/>
      </w:pPr>
      <w:r>
        <w:rPr>
          <w:sz w:val="20"/>
        </w:rPr>
        <w:t xml:space="preserve">увеличение доли диагнозов, зарегистрированных ЗНО (без учтенных посмертно), подтвержденных морфологически, до 98,1%;</w:t>
      </w:r>
    </w:p>
    <w:p>
      <w:pPr>
        <w:pStyle w:val="0"/>
        <w:spacing w:before="200" w:line-rule="auto"/>
        <w:ind w:firstLine="540"/>
        <w:jc w:val="both"/>
      </w:pPr>
      <w:r>
        <w:rPr>
          <w:sz w:val="20"/>
        </w:rPr>
        <w:t xml:space="preserve">снижение числа лиц, прошедших профилактический медицинский осмотр и (или) диспансеризацию определенных групп взрослого населения, на 1 случай впервые в жизни установленного диагноза ЗНО, при проведении указанных мероприятий, до 300.</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4</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pPr>
      <w:r>
        <w:rPr>
          <w:sz w:val="20"/>
        </w:rPr>
      </w:r>
    </w:p>
    <w:bookmarkStart w:id="13040" w:name="P13040"/>
    <w:bookmarkEnd w:id="13040"/>
    <w:p>
      <w:pPr>
        <w:pStyle w:val="2"/>
        <w:jc w:val="center"/>
      </w:pPr>
      <w:r>
        <w:rPr>
          <w:sz w:val="20"/>
        </w:rPr>
        <w:t xml:space="preserve">РЕГИОНАЛЬНАЯ ПРОГРАММА</w:t>
      </w:r>
    </w:p>
    <w:p>
      <w:pPr>
        <w:pStyle w:val="2"/>
        <w:jc w:val="center"/>
      </w:pPr>
      <w:r>
        <w:rPr>
          <w:sz w:val="20"/>
        </w:rPr>
        <w:t xml:space="preserve">ХАНТЫ-МАНСИЙСКОГО АВТОНОМНОГО ОКРУГА - ЮГРЫ "БОРЬБА</w:t>
      </w:r>
    </w:p>
    <w:p>
      <w:pPr>
        <w:pStyle w:val="2"/>
        <w:jc w:val="center"/>
      </w:pPr>
      <w:r>
        <w:rPr>
          <w:sz w:val="20"/>
        </w:rPr>
        <w:t xml:space="preserve">С СЕРДЕЧНО-СОСУДИСТЫМИ ЗАБОЛЕВАНИЯМИ"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ХМАО - Югры от 02.06.2023 </w:t>
            </w:r>
            <w:hyperlink w:history="0" r:id="rId124" w:tooltip="Постановление Правительства ХМАО - Югры от 02.06.2023 N 242-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242-п</w:t>
              </w:r>
            </w:hyperlink>
            <w:r>
              <w:rPr>
                <w:sz w:val="20"/>
                <w:color w:val="392c69"/>
              </w:rPr>
              <w:t xml:space="preserve">,</w:t>
            </w:r>
          </w:p>
          <w:p>
            <w:pPr>
              <w:pStyle w:val="0"/>
              <w:jc w:val="center"/>
            </w:pPr>
            <w:r>
              <w:rPr>
                <w:sz w:val="20"/>
                <w:color w:val="392c69"/>
              </w:rPr>
              <w:t xml:space="preserve">от 27.10.2023 </w:t>
            </w:r>
            <w:hyperlink w:history="0" r:id="rId125" w:tooltip="Постановление Правительства ХМАО - Югры от 27.10.2023 N 52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N 527-п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1"/>
        <w:jc w:val="center"/>
      </w:pPr>
      <w:r>
        <w:rPr>
          <w:sz w:val="20"/>
        </w:rPr>
        <w:t xml:space="preserve">Раздел 1. АНАЛИЗ ТЕКУЩЕГО СОСТОЯНИЯ ОКАЗАНИЯ МЕДИЦИНСКОЙ</w:t>
      </w:r>
    </w:p>
    <w:p>
      <w:pPr>
        <w:pStyle w:val="2"/>
        <w:jc w:val="center"/>
      </w:pPr>
      <w:r>
        <w:rPr>
          <w:sz w:val="20"/>
        </w:rPr>
        <w:t xml:space="preserve">ПОМОЩИ БОЛЬНЫМ С СЕРДЕЧНО-СОСУДИСТЫМИ ЗАБОЛЕВАНИЯМИ</w:t>
      </w:r>
    </w:p>
    <w:p>
      <w:pPr>
        <w:pStyle w:val="2"/>
        <w:jc w:val="center"/>
      </w:pPr>
      <w:r>
        <w:rPr>
          <w:sz w:val="20"/>
        </w:rPr>
        <w:t xml:space="preserve">В ХАНТЫ-МАНСИЙСКОМ АВТОНОМНОМ ОКРУГЕ - ЮГРЕ. ОСНОВНЫЕ</w:t>
      </w:r>
    </w:p>
    <w:p>
      <w:pPr>
        <w:pStyle w:val="2"/>
        <w:jc w:val="center"/>
      </w:pPr>
      <w:r>
        <w:rPr>
          <w:sz w:val="20"/>
        </w:rPr>
        <w:t xml:space="preserve">ПОКАЗАТЕЛИ ОКАЗАНИЯ МЕДИЦИНСКОЙ ПОМОЩИ БОЛЬНЫМ</w:t>
      </w:r>
    </w:p>
    <w:p>
      <w:pPr>
        <w:pStyle w:val="2"/>
        <w:jc w:val="center"/>
      </w:pPr>
      <w:r>
        <w:rPr>
          <w:sz w:val="20"/>
        </w:rPr>
        <w:t xml:space="preserve">С СЕРДЕЧНО-СОСУДИСТЫМИ ЗАБОЛЕВАНИЯМИ В РАЗРЕЗЕ МУНИЦИПАЛЬНЫХ</w:t>
      </w:r>
    </w:p>
    <w:p>
      <w:pPr>
        <w:pStyle w:val="2"/>
        <w:jc w:val="center"/>
      </w:pPr>
      <w:r>
        <w:rPr>
          <w:sz w:val="20"/>
        </w:rPr>
        <w:t xml:space="preserve">ОБРАЗОВАНИЙ ХАНТЫ-МАНСИЙСКОГО АВТОНОМНОГО ОКРУГА - ЮГРЫ</w:t>
      </w:r>
    </w:p>
    <w:p>
      <w:pPr>
        <w:pStyle w:val="0"/>
        <w:ind w:firstLine="540"/>
        <w:jc w:val="both"/>
      </w:pPr>
      <w:r>
        <w:rPr>
          <w:sz w:val="20"/>
        </w:rPr>
      </w:r>
    </w:p>
    <w:p>
      <w:pPr>
        <w:pStyle w:val="2"/>
        <w:outlineLvl w:val="2"/>
        <w:ind w:firstLine="540"/>
        <w:jc w:val="both"/>
      </w:pPr>
      <w:r>
        <w:rPr>
          <w:sz w:val="20"/>
        </w:rPr>
        <w:t xml:space="preserve">1.1. Краткая характеристика Ханты-Мансийского автономного округа - Югры</w:t>
      </w:r>
    </w:p>
    <w:p>
      <w:pPr>
        <w:pStyle w:val="0"/>
        <w:ind w:firstLine="540"/>
        <w:jc w:val="both"/>
      </w:pPr>
      <w:r>
        <w:rPr>
          <w:sz w:val="20"/>
        </w:rPr>
      </w:r>
    </w:p>
    <w:p>
      <w:pPr>
        <w:pStyle w:val="0"/>
        <w:ind w:firstLine="540"/>
        <w:jc w:val="both"/>
      </w:pPr>
      <w:r>
        <w:rPr>
          <w:sz w:val="20"/>
        </w:rPr>
        <w:t xml:space="preserve">Ханты-Мансийский автономный округ - Югра (далее также - автономный округ) занимает центральную часть Западно-Сибирской равнины, протяженность составляет с запада на восток почти 1400 км - от Уральского хребта до Обско-Енисейского водораздела, с севера на юг - на 800 км. Протяженность границ составляет 4733 км.</w:t>
      </w:r>
    </w:p>
    <w:p>
      <w:pPr>
        <w:pStyle w:val="0"/>
        <w:spacing w:before="200" w:line-rule="auto"/>
        <w:ind w:firstLine="540"/>
        <w:jc w:val="both"/>
      </w:pPr>
      <w:r>
        <w:rPr>
          <w:sz w:val="20"/>
        </w:rPr>
        <w:t xml:space="preserve">Площадь автономного округа составляет 534,8 тыс. кв. км. В пределах муниципального устройства в автономном округе создано 105 муниципальных образований (13 городских округов, 9 муниципальных районов, поселений 83, в том числе: 26 городских и 57 сельских), 194 населенных пункта: 16 городов (из них 14 наделены статусом "город окружного значения"), 24 поселка городского типа, 154 сельских населенных пункта: в том числе 58 поселков, 45 сел, 51 деревня).</w:t>
      </w:r>
    </w:p>
    <w:p>
      <w:pPr>
        <w:pStyle w:val="0"/>
        <w:spacing w:before="200" w:line-rule="auto"/>
        <w:ind w:firstLine="540"/>
        <w:jc w:val="both"/>
      </w:pPr>
      <w:r>
        <w:rPr>
          <w:sz w:val="20"/>
        </w:rPr>
        <w:t xml:space="preserve">Плотность населения составляет 3,2 человека на 1 кв. км. Данный факт обуславливает географические сложности оказания медицинской помощи жителям отдаленных территорий.</w:t>
      </w:r>
    </w:p>
    <w:p>
      <w:pPr>
        <w:pStyle w:val="0"/>
        <w:spacing w:before="200" w:line-rule="auto"/>
        <w:ind w:firstLine="540"/>
        <w:jc w:val="both"/>
      </w:pPr>
      <w:r>
        <w:rPr>
          <w:sz w:val="20"/>
        </w:rPr>
        <w:t xml:space="preserve">Приоритетным направлением экономики автономного округа является добыча углеводородного сырья, также развиваются энергетика, строительство, транспортная инфраструктура и другие отрасли. Автономный округ является основным нефтегазоносным регионом России и одним из крупнейших нефтедобывающих регионов мира, относится к регионам-донорам России, занимает лидирующие позиции по ряду основных экономических показателей в Российской Федерации:</w:t>
      </w:r>
    </w:p>
    <w:p>
      <w:pPr>
        <w:pStyle w:val="0"/>
        <w:spacing w:before="200" w:line-rule="auto"/>
        <w:ind w:firstLine="540"/>
        <w:jc w:val="both"/>
      </w:pPr>
      <w:r>
        <w:rPr>
          <w:sz w:val="20"/>
        </w:rPr>
        <w:t xml:space="preserve">I место - по добыче нефти;</w:t>
      </w:r>
    </w:p>
    <w:p>
      <w:pPr>
        <w:pStyle w:val="0"/>
        <w:spacing w:before="200" w:line-rule="auto"/>
        <w:ind w:firstLine="540"/>
        <w:jc w:val="both"/>
      </w:pPr>
      <w:r>
        <w:rPr>
          <w:sz w:val="20"/>
        </w:rPr>
        <w:t xml:space="preserve">I место - по производству электроэнергии;</w:t>
      </w:r>
    </w:p>
    <w:p>
      <w:pPr>
        <w:pStyle w:val="0"/>
        <w:spacing w:before="200" w:line-rule="auto"/>
        <w:ind w:firstLine="540"/>
        <w:jc w:val="both"/>
      </w:pPr>
      <w:r>
        <w:rPr>
          <w:sz w:val="20"/>
        </w:rPr>
        <w:t xml:space="preserve">II место - по объему промышленного производства;</w:t>
      </w:r>
    </w:p>
    <w:p>
      <w:pPr>
        <w:pStyle w:val="0"/>
        <w:spacing w:before="200" w:line-rule="auto"/>
        <w:ind w:firstLine="540"/>
        <w:jc w:val="both"/>
      </w:pPr>
      <w:r>
        <w:rPr>
          <w:sz w:val="20"/>
        </w:rPr>
        <w:t xml:space="preserve">II место - по добыче газа;</w:t>
      </w:r>
    </w:p>
    <w:p>
      <w:pPr>
        <w:pStyle w:val="0"/>
        <w:spacing w:before="200" w:line-rule="auto"/>
        <w:ind w:firstLine="540"/>
        <w:jc w:val="both"/>
      </w:pPr>
      <w:r>
        <w:rPr>
          <w:sz w:val="20"/>
        </w:rPr>
        <w:t xml:space="preserve">II место - по поступлению налогов в бюджетную систему;</w:t>
      </w:r>
    </w:p>
    <w:p>
      <w:pPr>
        <w:pStyle w:val="0"/>
        <w:spacing w:before="200" w:line-rule="auto"/>
        <w:ind w:firstLine="540"/>
        <w:jc w:val="both"/>
      </w:pPr>
      <w:r>
        <w:rPr>
          <w:sz w:val="20"/>
        </w:rPr>
        <w:t xml:space="preserve">III место - по объему инвестиций в основной капитал.</w:t>
      </w:r>
    </w:p>
    <w:p>
      <w:pPr>
        <w:pStyle w:val="0"/>
        <w:jc w:val="right"/>
      </w:pPr>
      <w:r>
        <w:rPr>
          <w:sz w:val="20"/>
        </w:rPr>
      </w:r>
    </w:p>
    <w:p>
      <w:pPr>
        <w:pStyle w:val="0"/>
        <w:jc w:val="right"/>
      </w:pPr>
      <w:r>
        <w:rPr>
          <w:sz w:val="20"/>
        </w:rPr>
        <w:t xml:space="preserve">Рисунок 1</w:t>
      </w:r>
    </w:p>
    <w:p>
      <w:pPr>
        <w:pStyle w:val="0"/>
        <w:jc w:val="right"/>
      </w:pPr>
      <w:r>
        <w:rPr>
          <w:sz w:val="20"/>
        </w:rPr>
      </w:r>
    </w:p>
    <w:p>
      <w:pPr>
        <w:pStyle w:val="0"/>
        <w:jc w:val="center"/>
      </w:pPr>
      <w:r>
        <w:rPr>
          <w:sz w:val="20"/>
        </w:rPr>
        <w:t xml:space="preserve">Географическое положение автономного округа</w:t>
      </w:r>
    </w:p>
    <w:p>
      <w:pPr>
        <w:pStyle w:val="0"/>
        <w:jc w:val="center"/>
      </w:pPr>
      <w:r>
        <w:rPr>
          <w:sz w:val="20"/>
        </w:rPr>
      </w:r>
    </w:p>
    <w:p>
      <w:pPr>
        <w:pStyle w:val="0"/>
        <w:jc w:val="center"/>
      </w:pPr>
      <w:r>
        <w:rPr>
          <w:position w:val="-227"/>
        </w:rPr>
        <w:drawing>
          <wp:inline distT="0" distB="0" distL="0" distR="0">
            <wp:extent cx="5857875" cy="3011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5857875" cy="301117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Общая численность населения автономного округа, по данным Федеральной службы государственной статистики (далее - Росстат), по состоянию на 1 января 2023 года составила 1 730 353 человека. Численность сельского населения - 134 587 человек (7,8% от общего числа населения автономного округа).</w:t>
      </w:r>
    </w:p>
    <w:p>
      <w:pPr>
        <w:pStyle w:val="0"/>
        <w:spacing w:before="200" w:line-rule="auto"/>
        <w:ind w:firstLine="540"/>
        <w:jc w:val="both"/>
      </w:pPr>
      <w:r>
        <w:rPr>
          <w:sz w:val="20"/>
        </w:rPr>
        <w:t xml:space="preserve">За 3 года численность населения региона увеличилась на 42,7 тыс. чел. или на 2,5%, что обусловлено как миграционным, так и естественным приростом. Показатель на 1 тыс. населения в 2021 году прирост составил всего 8,6, в том числе естественный 3,1 и миграционный 5,5.</w:t>
      </w:r>
    </w:p>
    <w:p>
      <w:pPr>
        <w:pStyle w:val="0"/>
        <w:spacing w:before="200" w:line-rule="auto"/>
        <w:ind w:firstLine="540"/>
        <w:jc w:val="both"/>
      </w:pPr>
      <w:r>
        <w:rPr>
          <w:sz w:val="20"/>
        </w:rPr>
        <w:t xml:space="preserve">Из всех субъектов Российской Федерации (далее - РФ) автономный округ занимает одиннадцатое место по показателю рождаемости и пятое место по показателю смертности (данные 2022 года).</w:t>
      </w:r>
    </w:p>
    <w:p>
      <w:pPr>
        <w:pStyle w:val="0"/>
        <w:ind w:firstLine="540"/>
        <w:jc w:val="both"/>
      </w:pPr>
      <w:r>
        <w:rPr>
          <w:sz w:val="20"/>
        </w:rPr>
      </w:r>
    </w:p>
    <w:p>
      <w:pPr>
        <w:pStyle w:val="0"/>
        <w:jc w:val="right"/>
      </w:pPr>
      <w:r>
        <w:rPr>
          <w:sz w:val="20"/>
        </w:rPr>
        <w:t xml:space="preserve">Таблица 1</w:t>
      </w:r>
    </w:p>
    <w:p>
      <w:pPr>
        <w:pStyle w:val="0"/>
        <w:jc w:val="right"/>
      </w:pPr>
      <w:r>
        <w:rPr>
          <w:sz w:val="20"/>
        </w:rPr>
      </w:r>
    </w:p>
    <w:p>
      <w:pPr>
        <w:pStyle w:val="0"/>
        <w:jc w:val="center"/>
      </w:pPr>
      <w:r>
        <w:rPr>
          <w:sz w:val="20"/>
        </w:rPr>
        <w:t xml:space="preserve">Численность населения автономного округа в разрезе</w:t>
      </w:r>
    </w:p>
    <w:p>
      <w:pPr>
        <w:pStyle w:val="0"/>
        <w:jc w:val="center"/>
      </w:pPr>
      <w:r>
        <w:rPr>
          <w:sz w:val="20"/>
        </w:rPr>
        <w:t xml:space="preserve">муниципальных образований на 1 января 2023 года (Росстат)</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9"/>
        <w:gridCol w:w="1814"/>
        <w:gridCol w:w="1644"/>
        <w:gridCol w:w="1587"/>
      </w:tblGrid>
      <w:tr>
        <w:tc>
          <w:tcPr>
            <w:tcW w:w="3969" w:type="dxa"/>
            <w:vMerge w:val="restart"/>
          </w:tcPr>
          <w:p>
            <w:pPr>
              <w:pStyle w:val="0"/>
              <w:jc w:val="center"/>
            </w:pPr>
            <w:r>
              <w:rPr>
                <w:sz w:val="20"/>
              </w:rPr>
              <w:t xml:space="preserve">Наименование городских округов, муниципальных районов</w:t>
            </w:r>
          </w:p>
        </w:tc>
        <w:tc>
          <w:tcPr>
            <w:tcW w:w="1814" w:type="dxa"/>
            <w:vMerge w:val="restart"/>
          </w:tcPr>
          <w:p>
            <w:pPr>
              <w:pStyle w:val="0"/>
              <w:jc w:val="center"/>
            </w:pPr>
            <w:r>
              <w:rPr>
                <w:sz w:val="20"/>
              </w:rPr>
              <w:t xml:space="preserve">Численность населения - всего, человек</w:t>
            </w:r>
          </w:p>
        </w:tc>
        <w:tc>
          <w:tcPr>
            <w:gridSpan w:val="2"/>
            <w:tcW w:w="3231" w:type="dxa"/>
          </w:tcPr>
          <w:p>
            <w:pPr>
              <w:pStyle w:val="0"/>
              <w:jc w:val="center"/>
            </w:pPr>
            <w:r>
              <w:rPr>
                <w:sz w:val="20"/>
              </w:rPr>
              <w:t xml:space="preserve">В том числе:</w:t>
            </w:r>
          </w:p>
        </w:tc>
      </w:tr>
      <w:tr>
        <w:tc>
          <w:tcPr>
            <w:vMerge w:val="continue"/>
          </w:tcPr>
          <w:p/>
        </w:tc>
        <w:tc>
          <w:tcPr>
            <w:vMerge w:val="continue"/>
          </w:tcPr>
          <w:p/>
        </w:tc>
        <w:tc>
          <w:tcPr>
            <w:tcW w:w="1644" w:type="dxa"/>
          </w:tcPr>
          <w:p>
            <w:pPr>
              <w:pStyle w:val="0"/>
              <w:jc w:val="center"/>
            </w:pPr>
            <w:r>
              <w:rPr>
                <w:sz w:val="20"/>
              </w:rPr>
              <w:t xml:space="preserve">городское, человек</w:t>
            </w:r>
          </w:p>
        </w:tc>
        <w:tc>
          <w:tcPr>
            <w:tcW w:w="1587" w:type="dxa"/>
          </w:tcPr>
          <w:p>
            <w:pPr>
              <w:pStyle w:val="0"/>
              <w:jc w:val="center"/>
            </w:pPr>
            <w:r>
              <w:rPr>
                <w:sz w:val="20"/>
              </w:rPr>
              <w:t xml:space="preserve">сельское, человек</w:t>
            </w:r>
          </w:p>
        </w:tc>
      </w:tr>
      <w:tr>
        <w:tc>
          <w:tcPr>
            <w:tcW w:w="3969" w:type="dxa"/>
          </w:tcPr>
          <w:p>
            <w:pPr>
              <w:pStyle w:val="0"/>
            </w:pPr>
            <w:r>
              <w:rPr>
                <w:sz w:val="20"/>
              </w:rPr>
              <w:t xml:space="preserve">Автономный округ</w:t>
            </w:r>
          </w:p>
        </w:tc>
        <w:tc>
          <w:tcPr>
            <w:tcW w:w="1814" w:type="dxa"/>
          </w:tcPr>
          <w:p>
            <w:pPr>
              <w:pStyle w:val="0"/>
            </w:pPr>
            <w:r>
              <w:rPr>
                <w:sz w:val="20"/>
              </w:rPr>
              <w:t xml:space="preserve">1730353</w:t>
            </w:r>
          </w:p>
        </w:tc>
        <w:tc>
          <w:tcPr>
            <w:tcW w:w="1644" w:type="dxa"/>
          </w:tcPr>
          <w:p>
            <w:pPr>
              <w:pStyle w:val="0"/>
            </w:pPr>
            <w:r>
              <w:rPr>
                <w:sz w:val="20"/>
              </w:rPr>
              <w:t xml:space="preserve">1595766</w:t>
            </w:r>
          </w:p>
        </w:tc>
        <w:tc>
          <w:tcPr>
            <w:tcW w:w="1587" w:type="dxa"/>
          </w:tcPr>
          <w:p>
            <w:pPr>
              <w:pStyle w:val="0"/>
            </w:pPr>
            <w:r>
              <w:rPr>
                <w:sz w:val="20"/>
              </w:rPr>
              <w:t xml:space="preserve">134587</w:t>
            </w:r>
          </w:p>
        </w:tc>
      </w:tr>
      <w:tr>
        <w:tc>
          <w:tcPr>
            <w:tcW w:w="3969" w:type="dxa"/>
          </w:tcPr>
          <w:p>
            <w:pPr>
              <w:pStyle w:val="0"/>
            </w:pPr>
            <w:r>
              <w:rPr>
                <w:sz w:val="20"/>
              </w:rPr>
              <w:t xml:space="preserve">Ханты-Мансийск</w:t>
            </w:r>
          </w:p>
        </w:tc>
        <w:tc>
          <w:tcPr>
            <w:tcW w:w="1814" w:type="dxa"/>
          </w:tcPr>
          <w:p>
            <w:pPr>
              <w:pStyle w:val="0"/>
            </w:pPr>
            <w:r>
              <w:rPr>
                <w:sz w:val="20"/>
              </w:rPr>
              <w:t xml:space="preserve">109745</w:t>
            </w:r>
          </w:p>
        </w:tc>
        <w:tc>
          <w:tcPr>
            <w:tcW w:w="1644" w:type="dxa"/>
          </w:tcPr>
          <w:p>
            <w:pPr>
              <w:pStyle w:val="0"/>
            </w:pPr>
            <w:r>
              <w:rPr>
                <w:sz w:val="20"/>
              </w:rPr>
              <w:t xml:space="preserve">109745</w:t>
            </w:r>
          </w:p>
        </w:tc>
        <w:tc>
          <w:tcPr>
            <w:tcW w:w="1587" w:type="dxa"/>
          </w:tcPr>
          <w:p>
            <w:pPr>
              <w:pStyle w:val="0"/>
            </w:pPr>
            <w:r>
              <w:rPr>
                <w:sz w:val="20"/>
              </w:rPr>
            </w:r>
          </w:p>
        </w:tc>
      </w:tr>
      <w:tr>
        <w:tc>
          <w:tcPr>
            <w:tcW w:w="3969" w:type="dxa"/>
          </w:tcPr>
          <w:p>
            <w:pPr>
              <w:pStyle w:val="0"/>
            </w:pPr>
            <w:r>
              <w:rPr>
                <w:sz w:val="20"/>
              </w:rPr>
              <w:t xml:space="preserve">Когалым</w:t>
            </w:r>
          </w:p>
        </w:tc>
        <w:tc>
          <w:tcPr>
            <w:tcW w:w="1814" w:type="dxa"/>
          </w:tcPr>
          <w:p>
            <w:pPr>
              <w:pStyle w:val="0"/>
            </w:pPr>
            <w:r>
              <w:rPr>
                <w:sz w:val="20"/>
              </w:rPr>
              <w:t xml:space="preserve">62494</w:t>
            </w:r>
          </w:p>
        </w:tc>
        <w:tc>
          <w:tcPr>
            <w:tcW w:w="1644" w:type="dxa"/>
          </w:tcPr>
          <w:p>
            <w:pPr>
              <w:pStyle w:val="0"/>
            </w:pPr>
            <w:r>
              <w:rPr>
                <w:sz w:val="20"/>
              </w:rPr>
              <w:t xml:space="preserve">62062</w:t>
            </w:r>
          </w:p>
        </w:tc>
        <w:tc>
          <w:tcPr>
            <w:tcW w:w="1587" w:type="dxa"/>
          </w:tcPr>
          <w:p>
            <w:pPr>
              <w:pStyle w:val="0"/>
            </w:pPr>
            <w:r>
              <w:rPr>
                <w:sz w:val="20"/>
              </w:rPr>
              <w:t xml:space="preserve">432</w:t>
            </w:r>
          </w:p>
        </w:tc>
      </w:tr>
      <w:tr>
        <w:tc>
          <w:tcPr>
            <w:tcW w:w="3969" w:type="dxa"/>
          </w:tcPr>
          <w:p>
            <w:pPr>
              <w:pStyle w:val="0"/>
            </w:pPr>
            <w:r>
              <w:rPr>
                <w:sz w:val="20"/>
              </w:rPr>
              <w:t xml:space="preserve">Лангепас</w:t>
            </w:r>
          </w:p>
        </w:tc>
        <w:tc>
          <w:tcPr>
            <w:tcW w:w="1814" w:type="dxa"/>
          </w:tcPr>
          <w:p>
            <w:pPr>
              <w:pStyle w:val="0"/>
            </w:pPr>
            <w:r>
              <w:rPr>
                <w:sz w:val="20"/>
              </w:rPr>
              <w:t xml:space="preserve">43407</w:t>
            </w:r>
          </w:p>
        </w:tc>
        <w:tc>
          <w:tcPr>
            <w:tcW w:w="1644" w:type="dxa"/>
          </w:tcPr>
          <w:p>
            <w:pPr>
              <w:pStyle w:val="0"/>
            </w:pPr>
            <w:r>
              <w:rPr>
                <w:sz w:val="20"/>
              </w:rPr>
              <w:t xml:space="preserve">43407</w:t>
            </w:r>
          </w:p>
        </w:tc>
        <w:tc>
          <w:tcPr>
            <w:tcW w:w="1587" w:type="dxa"/>
          </w:tcPr>
          <w:p>
            <w:pPr>
              <w:pStyle w:val="0"/>
            </w:pPr>
            <w:r>
              <w:rPr>
                <w:sz w:val="20"/>
              </w:rPr>
            </w:r>
          </w:p>
        </w:tc>
      </w:tr>
      <w:tr>
        <w:tc>
          <w:tcPr>
            <w:tcW w:w="3969" w:type="dxa"/>
          </w:tcPr>
          <w:p>
            <w:pPr>
              <w:pStyle w:val="0"/>
            </w:pPr>
            <w:r>
              <w:rPr>
                <w:sz w:val="20"/>
              </w:rPr>
              <w:t xml:space="preserve">Мегион</w:t>
            </w:r>
          </w:p>
        </w:tc>
        <w:tc>
          <w:tcPr>
            <w:tcW w:w="1814" w:type="dxa"/>
          </w:tcPr>
          <w:p>
            <w:pPr>
              <w:pStyle w:val="0"/>
            </w:pPr>
            <w:r>
              <w:rPr>
                <w:sz w:val="20"/>
              </w:rPr>
              <w:t xml:space="preserve">59174</w:t>
            </w:r>
          </w:p>
        </w:tc>
        <w:tc>
          <w:tcPr>
            <w:tcW w:w="1644" w:type="dxa"/>
          </w:tcPr>
          <w:p>
            <w:pPr>
              <w:pStyle w:val="0"/>
            </w:pPr>
            <w:r>
              <w:rPr>
                <w:sz w:val="20"/>
              </w:rPr>
              <w:t xml:space="preserve">59174</w:t>
            </w:r>
          </w:p>
        </w:tc>
        <w:tc>
          <w:tcPr>
            <w:tcW w:w="1587" w:type="dxa"/>
          </w:tcPr>
          <w:p>
            <w:pPr>
              <w:pStyle w:val="0"/>
            </w:pPr>
            <w:r>
              <w:rPr>
                <w:sz w:val="20"/>
              </w:rPr>
            </w:r>
          </w:p>
        </w:tc>
      </w:tr>
      <w:tr>
        <w:tc>
          <w:tcPr>
            <w:tcW w:w="3969" w:type="dxa"/>
          </w:tcPr>
          <w:p>
            <w:pPr>
              <w:pStyle w:val="0"/>
            </w:pPr>
            <w:r>
              <w:rPr>
                <w:sz w:val="20"/>
              </w:rPr>
              <w:t xml:space="preserve">Нефтеюганск</w:t>
            </w:r>
          </w:p>
        </w:tc>
        <w:tc>
          <w:tcPr>
            <w:tcW w:w="1814" w:type="dxa"/>
          </w:tcPr>
          <w:p>
            <w:pPr>
              <w:pStyle w:val="0"/>
            </w:pPr>
            <w:r>
              <w:rPr>
                <w:sz w:val="20"/>
              </w:rPr>
              <w:t xml:space="preserve">124989</w:t>
            </w:r>
          </w:p>
        </w:tc>
        <w:tc>
          <w:tcPr>
            <w:tcW w:w="1644" w:type="dxa"/>
          </w:tcPr>
          <w:p>
            <w:pPr>
              <w:pStyle w:val="0"/>
            </w:pPr>
            <w:r>
              <w:rPr>
                <w:sz w:val="20"/>
              </w:rPr>
              <w:t xml:space="preserve">124989</w:t>
            </w:r>
          </w:p>
        </w:tc>
        <w:tc>
          <w:tcPr>
            <w:tcW w:w="1587" w:type="dxa"/>
          </w:tcPr>
          <w:p>
            <w:pPr>
              <w:pStyle w:val="0"/>
            </w:pPr>
            <w:r>
              <w:rPr>
                <w:sz w:val="20"/>
              </w:rPr>
            </w:r>
          </w:p>
        </w:tc>
      </w:tr>
      <w:tr>
        <w:tc>
          <w:tcPr>
            <w:tcW w:w="3969" w:type="dxa"/>
          </w:tcPr>
          <w:p>
            <w:pPr>
              <w:pStyle w:val="0"/>
            </w:pPr>
            <w:r>
              <w:rPr>
                <w:sz w:val="20"/>
              </w:rPr>
              <w:t xml:space="preserve">Нижневартовск</w:t>
            </w:r>
          </w:p>
        </w:tc>
        <w:tc>
          <w:tcPr>
            <w:tcW w:w="1814" w:type="dxa"/>
          </w:tcPr>
          <w:p>
            <w:pPr>
              <w:pStyle w:val="0"/>
            </w:pPr>
            <w:r>
              <w:rPr>
                <w:sz w:val="20"/>
              </w:rPr>
              <w:t xml:space="preserve">287095</w:t>
            </w:r>
          </w:p>
        </w:tc>
        <w:tc>
          <w:tcPr>
            <w:tcW w:w="1644" w:type="dxa"/>
          </w:tcPr>
          <w:p>
            <w:pPr>
              <w:pStyle w:val="0"/>
            </w:pPr>
            <w:r>
              <w:rPr>
                <w:sz w:val="20"/>
              </w:rPr>
              <w:t xml:space="preserve">287095</w:t>
            </w:r>
          </w:p>
        </w:tc>
        <w:tc>
          <w:tcPr>
            <w:tcW w:w="1587" w:type="dxa"/>
          </w:tcPr>
          <w:p>
            <w:pPr>
              <w:pStyle w:val="0"/>
            </w:pPr>
            <w:r>
              <w:rPr>
                <w:sz w:val="20"/>
              </w:rPr>
            </w:r>
          </w:p>
        </w:tc>
      </w:tr>
      <w:tr>
        <w:tc>
          <w:tcPr>
            <w:tcW w:w="3969" w:type="dxa"/>
          </w:tcPr>
          <w:p>
            <w:pPr>
              <w:pStyle w:val="0"/>
            </w:pPr>
            <w:r>
              <w:rPr>
                <w:sz w:val="20"/>
              </w:rPr>
              <w:t xml:space="preserve">Нягань</w:t>
            </w:r>
          </w:p>
        </w:tc>
        <w:tc>
          <w:tcPr>
            <w:tcW w:w="1814" w:type="dxa"/>
          </w:tcPr>
          <w:p>
            <w:pPr>
              <w:pStyle w:val="0"/>
            </w:pPr>
            <w:r>
              <w:rPr>
                <w:sz w:val="20"/>
              </w:rPr>
              <w:t xml:space="preserve">63054</w:t>
            </w:r>
          </w:p>
        </w:tc>
        <w:tc>
          <w:tcPr>
            <w:tcW w:w="1644" w:type="dxa"/>
          </w:tcPr>
          <w:p>
            <w:pPr>
              <w:pStyle w:val="0"/>
            </w:pPr>
            <w:r>
              <w:rPr>
                <w:sz w:val="20"/>
              </w:rPr>
              <w:t xml:space="preserve">63054</w:t>
            </w:r>
          </w:p>
        </w:tc>
        <w:tc>
          <w:tcPr>
            <w:tcW w:w="1587" w:type="dxa"/>
          </w:tcPr>
          <w:p>
            <w:pPr>
              <w:pStyle w:val="0"/>
            </w:pPr>
            <w:r>
              <w:rPr>
                <w:sz w:val="20"/>
              </w:rPr>
            </w:r>
          </w:p>
        </w:tc>
      </w:tr>
      <w:tr>
        <w:tc>
          <w:tcPr>
            <w:tcW w:w="3969" w:type="dxa"/>
          </w:tcPr>
          <w:p>
            <w:pPr>
              <w:pStyle w:val="0"/>
            </w:pPr>
            <w:r>
              <w:rPr>
                <w:sz w:val="20"/>
              </w:rPr>
              <w:t xml:space="preserve">Покачи</w:t>
            </w:r>
          </w:p>
        </w:tc>
        <w:tc>
          <w:tcPr>
            <w:tcW w:w="1814" w:type="dxa"/>
          </w:tcPr>
          <w:p>
            <w:pPr>
              <w:pStyle w:val="0"/>
            </w:pPr>
            <w:r>
              <w:rPr>
                <w:sz w:val="20"/>
              </w:rPr>
              <w:t xml:space="preserve">16201</w:t>
            </w:r>
          </w:p>
        </w:tc>
        <w:tc>
          <w:tcPr>
            <w:tcW w:w="1644" w:type="dxa"/>
          </w:tcPr>
          <w:p>
            <w:pPr>
              <w:pStyle w:val="0"/>
            </w:pPr>
            <w:r>
              <w:rPr>
                <w:sz w:val="20"/>
              </w:rPr>
              <w:t xml:space="preserve">16201</w:t>
            </w:r>
          </w:p>
        </w:tc>
        <w:tc>
          <w:tcPr>
            <w:tcW w:w="1587" w:type="dxa"/>
          </w:tcPr>
          <w:p>
            <w:pPr>
              <w:pStyle w:val="0"/>
            </w:pPr>
            <w:r>
              <w:rPr>
                <w:sz w:val="20"/>
              </w:rPr>
            </w:r>
          </w:p>
        </w:tc>
      </w:tr>
      <w:tr>
        <w:tc>
          <w:tcPr>
            <w:tcW w:w="3969" w:type="dxa"/>
          </w:tcPr>
          <w:p>
            <w:pPr>
              <w:pStyle w:val="0"/>
            </w:pPr>
            <w:r>
              <w:rPr>
                <w:sz w:val="20"/>
              </w:rPr>
              <w:t xml:space="preserve">Пыть-Ях</w:t>
            </w:r>
          </w:p>
        </w:tc>
        <w:tc>
          <w:tcPr>
            <w:tcW w:w="1814" w:type="dxa"/>
          </w:tcPr>
          <w:p>
            <w:pPr>
              <w:pStyle w:val="0"/>
            </w:pPr>
            <w:r>
              <w:rPr>
                <w:sz w:val="20"/>
              </w:rPr>
              <w:t xml:space="preserve">40253</w:t>
            </w:r>
          </w:p>
        </w:tc>
        <w:tc>
          <w:tcPr>
            <w:tcW w:w="1644" w:type="dxa"/>
          </w:tcPr>
          <w:p>
            <w:pPr>
              <w:pStyle w:val="0"/>
            </w:pPr>
            <w:r>
              <w:rPr>
                <w:sz w:val="20"/>
              </w:rPr>
              <w:t xml:space="preserve">40253</w:t>
            </w:r>
          </w:p>
        </w:tc>
        <w:tc>
          <w:tcPr>
            <w:tcW w:w="1587" w:type="dxa"/>
          </w:tcPr>
          <w:p>
            <w:pPr>
              <w:pStyle w:val="0"/>
            </w:pPr>
            <w:r>
              <w:rPr>
                <w:sz w:val="20"/>
              </w:rPr>
            </w:r>
          </w:p>
        </w:tc>
      </w:tr>
      <w:tr>
        <w:tc>
          <w:tcPr>
            <w:tcW w:w="3969" w:type="dxa"/>
          </w:tcPr>
          <w:p>
            <w:pPr>
              <w:pStyle w:val="0"/>
            </w:pPr>
            <w:r>
              <w:rPr>
                <w:sz w:val="20"/>
              </w:rPr>
              <w:t xml:space="preserve">Радужный</w:t>
            </w:r>
          </w:p>
        </w:tc>
        <w:tc>
          <w:tcPr>
            <w:tcW w:w="1814" w:type="dxa"/>
          </w:tcPr>
          <w:p>
            <w:pPr>
              <w:pStyle w:val="0"/>
            </w:pPr>
            <w:r>
              <w:rPr>
                <w:sz w:val="20"/>
              </w:rPr>
              <w:t xml:space="preserve">44635</w:t>
            </w:r>
          </w:p>
        </w:tc>
        <w:tc>
          <w:tcPr>
            <w:tcW w:w="1644" w:type="dxa"/>
          </w:tcPr>
          <w:p>
            <w:pPr>
              <w:pStyle w:val="0"/>
            </w:pPr>
            <w:r>
              <w:rPr>
                <w:sz w:val="20"/>
              </w:rPr>
              <w:t xml:space="preserve">44635</w:t>
            </w:r>
          </w:p>
        </w:tc>
        <w:tc>
          <w:tcPr>
            <w:tcW w:w="1587" w:type="dxa"/>
          </w:tcPr>
          <w:p>
            <w:pPr>
              <w:pStyle w:val="0"/>
            </w:pPr>
            <w:r>
              <w:rPr>
                <w:sz w:val="20"/>
              </w:rPr>
            </w:r>
          </w:p>
        </w:tc>
      </w:tr>
      <w:tr>
        <w:tc>
          <w:tcPr>
            <w:tcW w:w="3969" w:type="dxa"/>
          </w:tcPr>
          <w:p>
            <w:pPr>
              <w:pStyle w:val="0"/>
            </w:pPr>
            <w:r>
              <w:rPr>
                <w:sz w:val="20"/>
              </w:rPr>
              <w:t xml:space="preserve">Сургут</w:t>
            </w:r>
          </w:p>
        </w:tc>
        <w:tc>
          <w:tcPr>
            <w:tcW w:w="1814" w:type="dxa"/>
          </w:tcPr>
          <w:p>
            <w:pPr>
              <w:pStyle w:val="0"/>
            </w:pPr>
            <w:r>
              <w:rPr>
                <w:sz w:val="20"/>
              </w:rPr>
              <w:t xml:space="preserve">406938</w:t>
            </w:r>
          </w:p>
        </w:tc>
        <w:tc>
          <w:tcPr>
            <w:tcW w:w="1644" w:type="dxa"/>
          </w:tcPr>
          <w:p>
            <w:pPr>
              <w:pStyle w:val="0"/>
            </w:pPr>
            <w:r>
              <w:rPr>
                <w:sz w:val="20"/>
              </w:rPr>
              <w:t xml:space="preserve">406938</w:t>
            </w:r>
          </w:p>
        </w:tc>
        <w:tc>
          <w:tcPr>
            <w:tcW w:w="1587" w:type="dxa"/>
          </w:tcPr>
          <w:p>
            <w:pPr>
              <w:pStyle w:val="0"/>
            </w:pPr>
            <w:r>
              <w:rPr>
                <w:sz w:val="20"/>
              </w:rPr>
            </w:r>
          </w:p>
        </w:tc>
      </w:tr>
      <w:tr>
        <w:tc>
          <w:tcPr>
            <w:tcW w:w="3969" w:type="dxa"/>
          </w:tcPr>
          <w:p>
            <w:pPr>
              <w:pStyle w:val="0"/>
            </w:pPr>
            <w:r>
              <w:rPr>
                <w:sz w:val="20"/>
              </w:rPr>
              <w:t xml:space="preserve">Урай</w:t>
            </w:r>
          </w:p>
        </w:tc>
        <w:tc>
          <w:tcPr>
            <w:tcW w:w="1814" w:type="dxa"/>
          </w:tcPr>
          <w:p>
            <w:pPr>
              <w:pStyle w:val="0"/>
            </w:pPr>
            <w:r>
              <w:rPr>
                <w:sz w:val="20"/>
              </w:rPr>
              <w:t xml:space="preserve">41141</w:t>
            </w:r>
          </w:p>
        </w:tc>
        <w:tc>
          <w:tcPr>
            <w:tcW w:w="1644" w:type="dxa"/>
          </w:tcPr>
          <w:p>
            <w:pPr>
              <w:pStyle w:val="0"/>
            </w:pPr>
            <w:r>
              <w:rPr>
                <w:sz w:val="20"/>
              </w:rPr>
              <w:t xml:space="preserve">41141</w:t>
            </w:r>
          </w:p>
        </w:tc>
        <w:tc>
          <w:tcPr>
            <w:tcW w:w="1587" w:type="dxa"/>
          </w:tcPr>
          <w:p>
            <w:pPr>
              <w:pStyle w:val="0"/>
            </w:pPr>
            <w:r>
              <w:rPr>
                <w:sz w:val="20"/>
              </w:rPr>
            </w:r>
          </w:p>
        </w:tc>
      </w:tr>
      <w:tr>
        <w:tc>
          <w:tcPr>
            <w:tcW w:w="3969" w:type="dxa"/>
          </w:tcPr>
          <w:p>
            <w:pPr>
              <w:pStyle w:val="0"/>
            </w:pPr>
            <w:r>
              <w:rPr>
                <w:sz w:val="20"/>
              </w:rPr>
              <w:t xml:space="preserve">Югорск</w:t>
            </w:r>
          </w:p>
        </w:tc>
        <w:tc>
          <w:tcPr>
            <w:tcW w:w="1814" w:type="dxa"/>
          </w:tcPr>
          <w:p>
            <w:pPr>
              <w:pStyle w:val="0"/>
            </w:pPr>
            <w:r>
              <w:rPr>
                <w:sz w:val="20"/>
              </w:rPr>
              <w:t xml:space="preserve">38611</w:t>
            </w:r>
          </w:p>
        </w:tc>
        <w:tc>
          <w:tcPr>
            <w:tcW w:w="1644" w:type="dxa"/>
          </w:tcPr>
          <w:p>
            <w:pPr>
              <w:pStyle w:val="0"/>
            </w:pPr>
            <w:r>
              <w:rPr>
                <w:sz w:val="20"/>
              </w:rPr>
              <w:t xml:space="preserve">38611</w:t>
            </w:r>
          </w:p>
        </w:tc>
        <w:tc>
          <w:tcPr>
            <w:tcW w:w="1587" w:type="dxa"/>
          </w:tcPr>
          <w:p>
            <w:pPr>
              <w:pStyle w:val="0"/>
            </w:pPr>
            <w:r>
              <w:rPr>
                <w:sz w:val="20"/>
              </w:rPr>
            </w:r>
          </w:p>
        </w:tc>
      </w:tr>
      <w:tr>
        <w:tc>
          <w:tcPr>
            <w:tcW w:w="3969" w:type="dxa"/>
          </w:tcPr>
          <w:p>
            <w:pPr>
              <w:pStyle w:val="0"/>
            </w:pPr>
            <w:r>
              <w:rPr>
                <w:sz w:val="20"/>
              </w:rPr>
              <w:t xml:space="preserve">Белоярский муниципальный район</w:t>
            </w:r>
          </w:p>
        </w:tc>
        <w:tc>
          <w:tcPr>
            <w:tcW w:w="1814" w:type="dxa"/>
          </w:tcPr>
          <w:p>
            <w:pPr>
              <w:pStyle w:val="0"/>
            </w:pPr>
            <w:r>
              <w:rPr>
                <w:sz w:val="20"/>
              </w:rPr>
              <w:t xml:space="preserve">28798</w:t>
            </w:r>
          </w:p>
        </w:tc>
        <w:tc>
          <w:tcPr>
            <w:tcW w:w="1644" w:type="dxa"/>
          </w:tcPr>
          <w:p>
            <w:pPr>
              <w:pStyle w:val="0"/>
            </w:pPr>
            <w:r>
              <w:rPr>
                <w:sz w:val="20"/>
              </w:rPr>
              <w:t xml:space="preserve">20016</w:t>
            </w:r>
          </w:p>
        </w:tc>
        <w:tc>
          <w:tcPr>
            <w:tcW w:w="1587" w:type="dxa"/>
          </w:tcPr>
          <w:p>
            <w:pPr>
              <w:pStyle w:val="0"/>
            </w:pPr>
            <w:r>
              <w:rPr>
                <w:sz w:val="20"/>
              </w:rPr>
              <w:t xml:space="preserve">8782</w:t>
            </w:r>
          </w:p>
        </w:tc>
      </w:tr>
      <w:tr>
        <w:tc>
          <w:tcPr>
            <w:tcW w:w="3969" w:type="dxa"/>
          </w:tcPr>
          <w:p>
            <w:pPr>
              <w:pStyle w:val="0"/>
            </w:pPr>
            <w:r>
              <w:rPr>
                <w:sz w:val="20"/>
              </w:rPr>
              <w:t xml:space="preserve">Березовский муниципальный район</w:t>
            </w:r>
          </w:p>
        </w:tc>
        <w:tc>
          <w:tcPr>
            <w:tcW w:w="1814" w:type="dxa"/>
          </w:tcPr>
          <w:p>
            <w:pPr>
              <w:pStyle w:val="0"/>
            </w:pPr>
            <w:r>
              <w:rPr>
                <w:sz w:val="20"/>
              </w:rPr>
              <w:t xml:space="preserve">22690</w:t>
            </w:r>
          </w:p>
        </w:tc>
        <w:tc>
          <w:tcPr>
            <w:tcW w:w="1644" w:type="dxa"/>
          </w:tcPr>
          <w:p>
            <w:pPr>
              <w:pStyle w:val="0"/>
            </w:pPr>
            <w:r>
              <w:rPr>
                <w:sz w:val="20"/>
              </w:rPr>
              <w:t xml:space="preserve">13493</w:t>
            </w:r>
          </w:p>
        </w:tc>
        <w:tc>
          <w:tcPr>
            <w:tcW w:w="1587" w:type="dxa"/>
          </w:tcPr>
          <w:p>
            <w:pPr>
              <w:pStyle w:val="0"/>
            </w:pPr>
            <w:r>
              <w:rPr>
                <w:sz w:val="20"/>
              </w:rPr>
              <w:t xml:space="preserve">9197</w:t>
            </w:r>
          </w:p>
        </w:tc>
      </w:tr>
      <w:tr>
        <w:tc>
          <w:tcPr>
            <w:tcW w:w="3969" w:type="dxa"/>
          </w:tcPr>
          <w:p>
            <w:pPr>
              <w:pStyle w:val="0"/>
            </w:pPr>
            <w:r>
              <w:rPr>
                <w:sz w:val="20"/>
              </w:rPr>
              <w:t xml:space="preserve">Кондинский муниципальный район</w:t>
            </w:r>
          </w:p>
        </w:tc>
        <w:tc>
          <w:tcPr>
            <w:tcW w:w="1814" w:type="dxa"/>
          </w:tcPr>
          <w:p>
            <w:pPr>
              <w:pStyle w:val="0"/>
            </w:pPr>
            <w:r>
              <w:rPr>
                <w:sz w:val="20"/>
              </w:rPr>
              <w:t xml:space="preserve">30495</w:t>
            </w:r>
          </w:p>
        </w:tc>
        <w:tc>
          <w:tcPr>
            <w:tcW w:w="1644" w:type="dxa"/>
          </w:tcPr>
          <w:p>
            <w:pPr>
              <w:pStyle w:val="0"/>
            </w:pPr>
            <w:r>
              <w:rPr>
                <w:sz w:val="20"/>
              </w:rPr>
              <w:t xml:space="preserve">20908</w:t>
            </w:r>
          </w:p>
        </w:tc>
        <w:tc>
          <w:tcPr>
            <w:tcW w:w="1587" w:type="dxa"/>
          </w:tcPr>
          <w:p>
            <w:pPr>
              <w:pStyle w:val="0"/>
            </w:pPr>
            <w:r>
              <w:rPr>
                <w:sz w:val="20"/>
              </w:rPr>
              <w:t xml:space="preserve">9587</w:t>
            </w:r>
          </w:p>
        </w:tc>
      </w:tr>
      <w:tr>
        <w:tc>
          <w:tcPr>
            <w:tcW w:w="3969" w:type="dxa"/>
          </w:tcPr>
          <w:p>
            <w:pPr>
              <w:pStyle w:val="0"/>
            </w:pPr>
            <w:r>
              <w:rPr>
                <w:sz w:val="20"/>
              </w:rPr>
              <w:t xml:space="preserve">Нефтеюганский муниципальный район</w:t>
            </w:r>
          </w:p>
        </w:tc>
        <w:tc>
          <w:tcPr>
            <w:tcW w:w="1814" w:type="dxa"/>
          </w:tcPr>
          <w:p>
            <w:pPr>
              <w:pStyle w:val="0"/>
            </w:pPr>
            <w:r>
              <w:rPr>
                <w:sz w:val="20"/>
              </w:rPr>
              <w:t xml:space="preserve">47014</w:t>
            </w:r>
          </w:p>
        </w:tc>
        <w:tc>
          <w:tcPr>
            <w:tcW w:w="1644" w:type="dxa"/>
          </w:tcPr>
          <w:p>
            <w:pPr>
              <w:pStyle w:val="0"/>
            </w:pPr>
            <w:r>
              <w:rPr>
                <w:sz w:val="20"/>
              </w:rPr>
              <w:t xml:space="preserve">24541</w:t>
            </w:r>
          </w:p>
        </w:tc>
        <w:tc>
          <w:tcPr>
            <w:tcW w:w="1587" w:type="dxa"/>
          </w:tcPr>
          <w:p>
            <w:pPr>
              <w:pStyle w:val="0"/>
            </w:pPr>
            <w:r>
              <w:rPr>
                <w:sz w:val="20"/>
              </w:rPr>
              <w:t xml:space="preserve">22473</w:t>
            </w:r>
          </w:p>
        </w:tc>
      </w:tr>
      <w:tr>
        <w:tc>
          <w:tcPr>
            <w:tcW w:w="3969" w:type="dxa"/>
          </w:tcPr>
          <w:p>
            <w:pPr>
              <w:pStyle w:val="0"/>
            </w:pPr>
            <w:r>
              <w:rPr>
                <w:sz w:val="20"/>
              </w:rPr>
              <w:t xml:space="preserve">Нижневартовский муниципальный район</w:t>
            </w:r>
          </w:p>
        </w:tc>
        <w:tc>
          <w:tcPr>
            <w:tcW w:w="1814" w:type="dxa"/>
          </w:tcPr>
          <w:p>
            <w:pPr>
              <w:pStyle w:val="0"/>
            </w:pPr>
            <w:r>
              <w:rPr>
                <w:sz w:val="20"/>
              </w:rPr>
              <w:t xml:space="preserve">38507</w:t>
            </w:r>
          </w:p>
        </w:tc>
        <w:tc>
          <w:tcPr>
            <w:tcW w:w="1644" w:type="dxa"/>
          </w:tcPr>
          <w:p>
            <w:pPr>
              <w:pStyle w:val="0"/>
            </w:pPr>
            <w:r>
              <w:rPr>
                <w:sz w:val="20"/>
              </w:rPr>
              <w:t xml:space="preserve">30751</w:t>
            </w:r>
          </w:p>
        </w:tc>
        <w:tc>
          <w:tcPr>
            <w:tcW w:w="1587" w:type="dxa"/>
          </w:tcPr>
          <w:p>
            <w:pPr>
              <w:pStyle w:val="0"/>
            </w:pPr>
            <w:r>
              <w:rPr>
                <w:sz w:val="20"/>
              </w:rPr>
              <w:t xml:space="preserve">7756</w:t>
            </w:r>
          </w:p>
        </w:tc>
      </w:tr>
      <w:tr>
        <w:tc>
          <w:tcPr>
            <w:tcW w:w="3969" w:type="dxa"/>
          </w:tcPr>
          <w:p>
            <w:pPr>
              <w:pStyle w:val="0"/>
            </w:pPr>
            <w:r>
              <w:rPr>
                <w:sz w:val="20"/>
              </w:rPr>
              <w:t xml:space="preserve">Октябрьский муниципальный район</w:t>
            </w:r>
          </w:p>
        </w:tc>
        <w:tc>
          <w:tcPr>
            <w:tcW w:w="1814" w:type="dxa"/>
          </w:tcPr>
          <w:p>
            <w:pPr>
              <w:pStyle w:val="0"/>
            </w:pPr>
            <w:r>
              <w:rPr>
                <w:sz w:val="20"/>
              </w:rPr>
              <w:t xml:space="preserve">32050</w:t>
            </w:r>
          </w:p>
        </w:tc>
        <w:tc>
          <w:tcPr>
            <w:tcW w:w="1644" w:type="dxa"/>
          </w:tcPr>
          <w:p>
            <w:pPr>
              <w:pStyle w:val="0"/>
            </w:pPr>
            <w:r>
              <w:rPr>
                <w:sz w:val="20"/>
              </w:rPr>
              <w:t xml:space="preserve">16283</w:t>
            </w:r>
          </w:p>
        </w:tc>
        <w:tc>
          <w:tcPr>
            <w:tcW w:w="1587" w:type="dxa"/>
          </w:tcPr>
          <w:p>
            <w:pPr>
              <w:pStyle w:val="0"/>
            </w:pPr>
            <w:r>
              <w:rPr>
                <w:sz w:val="20"/>
              </w:rPr>
              <w:t xml:space="preserve">15767</w:t>
            </w:r>
          </w:p>
        </w:tc>
      </w:tr>
      <w:tr>
        <w:tc>
          <w:tcPr>
            <w:tcW w:w="3969" w:type="dxa"/>
          </w:tcPr>
          <w:p>
            <w:pPr>
              <w:pStyle w:val="0"/>
            </w:pPr>
            <w:r>
              <w:rPr>
                <w:sz w:val="20"/>
              </w:rPr>
              <w:t xml:space="preserve">Советский муниципальный район</w:t>
            </w:r>
          </w:p>
        </w:tc>
        <w:tc>
          <w:tcPr>
            <w:tcW w:w="1814" w:type="dxa"/>
          </w:tcPr>
          <w:p>
            <w:pPr>
              <w:pStyle w:val="0"/>
            </w:pPr>
            <w:r>
              <w:rPr>
                <w:sz w:val="20"/>
              </w:rPr>
              <w:t xml:space="preserve">46585</w:t>
            </w:r>
          </w:p>
        </w:tc>
        <w:tc>
          <w:tcPr>
            <w:tcW w:w="1644" w:type="dxa"/>
          </w:tcPr>
          <w:p>
            <w:pPr>
              <w:pStyle w:val="0"/>
            </w:pPr>
            <w:r>
              <w:rPr>
                <w:sz w:val="20"/>
              </w:rPr>
              <w:t xml:space="preserve">43824</w:t>
            </w:r>
          </w:p>
        </w:tc>
        <w:tc>
          <w:tcPr>
            <w:tcW w:w="1587" w:type="dxa"/>
          </w:tcPr>
          <w:p>
            <w:pPr>
              <w:pStyle w:val="0"/>
            </w:pPr>
            <w:r>
              <w:rPr>
                <w:sz w:val="20"/>
              </w:rPr>
              <w:t xml:space="preserve">2761</w:t>
            </w:r>
          </w:p>
        </w:tc>
      </w:tr>
      <w:tr>
        <w:tc>
          <w:tcPr>
            <w:tcW w:w="3969" w:type="dxa"/>
          </w:tcPr>
          <w:p>
            <w:pPr>
              <w:pStyle w:val="0"/>
            </w:pPr>
            <w:r>
              <w:rPr>
                <w:sz w:val="20"/>
              </w:rPr>
              <w:t xml:space="preserve">Сургутский муниципальный район</w:t>
            </w:r>
          </w:p>
        </w:tc>
        <w:tc>
          <w:tcPr>
            <w:tcW w:w="1814" w:type="dxa"/>
          </w:tcPr>
          <w:p>
            <w:pPr>
              <w:pStyle w:val="0"/>
            </w:pPr>
            <w:r>
              <w:rPr>
                <w:sz w:val="20"/>
              </w:rPr>
              <w:t xml:space="preserve">127611</w:t>
            </w:r>
          </w:p>
        </w:tc>
        <w:tc>
          <w:tcPr>
            <w:tcW w:w="1644" w:type="dxa"/>
          </w:tcPr>
          <w:p>
            <w:pPr>
              <w:pStyle w:val="0"/>
            </w:pPr>
            <w:r>
              <w:rPr>
                <w:sz w:val="20"/>
              </w:rPr>
              <w:t xml:space="preserve">88645</w:t>
            </w:r>
          </w:p>
        </w:tc>
        <w:tc>
          <w:tcPr>
            <w:tcW w:w="1587" w:type="dxa"/>
          </w:tcPr>
          <w:p>
            <w:pPr>
              <w:pStyle w:val="0"/>
            </w:pPr>
            <w:r>
              <w:rPr>
                <w:sz w:val="20"/>
              </w:rPr>
              <w:t xml:space="preserve">38966</w:t>
            </w:r>
          </w:p>
        </w:tc>
      </w:tr>
      <w:tr>
        <w:tc>
          <w:tcPr>
            <w:tcW w:w="3969" w:type="dxa"/>
          </w:tcPr>
          <w:p>
            <w:pPr>
              <w:pStyle w:val="0"/>
            </w:pPr>
            <w:r>
              <w:rPr>
                <w:sz w:val="20"/>
              </w:rPr>
              <w:t xml:space="preserve">Ханты-Мансийский муниципальный район</w:t>
            </w:r>
          </w:p>
        </w:tc>
        <w:tc>
          <w:tcPr>
            <w:tcW w:w="1814" w:type="dxa"/>
          </w:tcPr>
          <w:p>
            <w:pPr>
              <w:pStyle w:val="0"/>
            </w:pPr>
            <w:r>
              <w:rPr>
                <w:sz w:val="20"/>
              </w:rPr>
              <w:t xml:space="preserve">18866</w:t>
            </w:r>
          </w:p>
        </w:tc>
        <w:tc>
          <w:tcPr>
            <w:tcW w:w="1644" w:type="dxa"/>
          </w:tcPr>
          <w:p>
            <w:pPr>
              <w:pStyle w:val="0"/>
            </w:pPr>
            <w:r>
              <w:rPr>
                <w:sz w:val="20"/>
              </w:rPr>
            </w:r>
          </w:p>
        </w:tc>
        <w:tc>
          <w:tcPr>
            <w:tcW w:w="1587" w:type="dxa"/>
          </w:tcPr>
          <w:p>
            <w:pPr>
              <w:pStyle w:val="0"/>
            </w:pPr>
            <w:r>
              <w:rPr>
                <w:sz w:val="20"/>
              </w:rPr>
              <w:t xml:space="preserve">18866</w:t>
            </w:r>
          </w:p>
        </w:tc>
      </w:tr>
    </w:tbl>
    <w:p>
      <w:pPr>
        <w:pStyle w:val="0"/>
        <w:jc w:val="right"/>
      </w:pPr>
      <w:r>
        <w:rPr>
          <w:sz w:val="20"/>
        </w:rPr>
      </w:r>
    </w:p>
    <w:p>
      <w:pPr>
        <w:pStyle w:val="0"/>
        <w:jc w:val="right"/>
      </w:pPr>
      <w:r>
        <w:rPr>
          <w:sz w:val="20"/>
        </w:rPr>
        <w:t xml:space="preserve">Таблица 2</w:t>
      </w:r>
    </w:p>
    <w:p>
      <w:pPr>
        <w:pStyle w:val="0"/>
        <w:jc w:val="right"/>
      </w:pPr>
      <w:r>
        <w:rPr>
          <w:sz w:val="20"/>
        </w:rPr>
      </w:r>
    </w:p>
    <w:p>
      <w:pPr>
        <w:pStyle w:val="0"/>
        <w:jc w:val="center"/>
      </w:pPr>
      <w:r>
        <w:rPr>
          <w:sz w:val="20"/>
        </w:rPr>
        <w:t xml:space="preserve">Демографические процессы в структуре населения автономного</w:t>
      </w:r>
    </w:p>
    <w:p>
      <w:pPr>
        <w:pStyle w:val="0"/>
        <w:jc w:val="center"/>
      </w:pPr>
      <w:r>
        <w:rPr>
          <w:sz w:val="20"/>
        </w:rPr>
        <w:t xml:space="preserve">округа в динамике за 5 лет (Росстат)</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55"/>
        <w:gridCol w:w="784"/>
        <w:gridCol w:w="784"/>
        <w:gridCol w:w="784"/>
        <w:gridCol w:w="784"/>
        <w:gridCol w:w="784"/>
        <w:gridCol w:w="1159"/>
      </w:tblGrid>
      <w:tr>
        <w:tc>
          <w:tcPr>
            <w:tcW w:w="3855" w:type="dxa"/>
          </w:tcPr>
          <w:p>
            <w:pPr>
              <w:pStyle w:val="0"/>
              <w:jc w:val="center"/>
            </w:pPr>
            <w:r>
              <w:rPr>
                <w:sz w:val="20"/>
              </w:rPr>
              <w:t xml:space="preserve">Показатели</w:t>
            </w:r>
          </w:p>
        </w:tc>
        <w:tc>
          <w:tcPr>
            <w:tcW w:w="784" w:type="dxa"/>
          </w:tcPr>
          <w:p>
            <w:pPr>
              <w:pStyle w:val="0"/>
              <w:jc w:val="center"/>
            </w:pPr>
            <w:r>
              <w:rPr>
                <w:sz w:val="20"/>
              </w:rPr>
              <w:t xml:space="preserve">2018</w:t>
            </w:r>
          </w:p>
        </w:tc>
        <w:tc>
          <w:tcPr>
            <w:tcW w:w="784" w:type="dxa"/>
          </w:tcPr>
          <w:p>
            <w:pPr>
              <w:pStyle w:val="0"/>
              <w:jc w:val="center"/>
            </w:pPr>
            <w:r>
              <w:rPr>
                <w:sz w:val="20"/>
              </w:rPr>
              <w:t xml:space="preserve">2019</w:t>
            </w:r>
          </w:p>
        </w:tc>
        <w:tc>
          <w:tcPr>
            <w:tcW w:w="784" w:type="dxa"/>
          </w:tcPr>
          <w:p>
            <w:pPr>
              <w:pStyle w:val="0"/>
              <w:jc w:val="center"/>
            </w:pPr>
            <w:r>
              <w:rPr>
                <w:sz w:val="20"/>
              </w:rPr>
              <w:t xml:space="preserve">2020</w:t>
            </w:r>
          </w:p>
        </w:tc>
        <w:tc>
          <w:tcPr>
            <w:tcW w:w="784" w:type="dxa"/>
          </w:tcPr>
          <w:p>
            <w:pPr>
              <w:pStyle w:val="0"/>
              <w:jc w:val="center"/>
            </w:pPr>
            <w:r>
              <w:rPr>
                <w:sz w:val="20"/>
              </w:rPr>
              <w:t xml:space="preserve">2021</w:t>
            </w:r>
          </w:p>
        </w:tc>
        <w:tc>
          <w:tcPr>
            <w:tcW w:w="784" w:type="dxa"/>
          </w:tcPr>
          <w:p>
            <w:pPr>
              <w:pStyle w:val="0"/>
              <w:jc w:val="center"/>
            </w:pPr>
            <w:r>
              <w:rPr>
                <w:sz w:val="20"/>
              </w:rPr>
              <w:t xml:space="preserve">2022</w:t>
            </w:r>
          </w:p>
        </w:tc>
        <w:tc>
          <w:tcPr>
            <w:tcW w:w="1159" w:type="dxa"/>
          </w:tcPr>
          <w:p>
            <w:pPr>
              <w:pStyle w:val="0"/>
              <w:jc w:val="center"/>
            </w:pPr>
            <w:r>
              <w:rPr>
                <w:sz w:val="20"/>
              </w:rPr>
              <w:t xml:space="preserve">Динамика (%) 2018 - 2022</w:t>
            </w:r>
          </w:p>
        </w:tc>
      </w:tr>
      <w:tr>
        <w:tc>
          <w:tcPr>
            <w:tcW w:w="3855" w:type="dxa"/>
          </w:tcPr>
          <w:p>
            <w:pPr>
              <w:pStyle w:val="0"/>
            </w:pPr>
            <w:r>
              <w:rPr>
                <w:sz w:val="20"/>
              </w:rPr>
              <w:t xml:space="preserve">Население на 31 декабря (в тыс.)</w:t>
            </w:r>
          </w:p>
        </w:tc>
        <w:tc>
          <w:tcPr>
            <w:tcW w:w="784" w:type="dxa"/>
          </w:tcPr>
          <w:p>
            <w:pPr>
              <w:pStyle w:val="0"/>
            </w:pPr>
            <w:r>
              <w:rPr>
                <w:sz w:val="20"/>
              </w:rPr>
              <w:t xml:space="preserve">1663,8</w:t>
            </w:r>
          </w:p>
        </w:tc>
        <w:tc>
          <w:tcPr>
            <w:tcW w:w="784" w:type="dxa"/>
          </w:tcPr>
          <w:p>
            <w:pPr>
              <w:pStyle w:val="0"/>
            </w:pPr>
            <w:r>
              <w:rPr>
                <w:sz w:val="20"/>
              </w:rPr>
              <w:t xml:space="preserve">1674,7</w:t>
            </w:r>
          </w:p>
        </w:tc>
        <w:tc>
          <w:tcPr>
            <w:tcW w:w="784" w:type="dxa"/>
          </w:tcPr>
          <w:p>
            <w:pPr>
              <w:pStyle w:val="0"/>
            </w:pPr>
            <w:r>
              <w:rPr>
                <w:sz w:val="20"/>
              </w:rPr>
              <w:t xml:space="preserve">1687,7</w:t>
            </w:r>
          </w:p>
        </w:tc>
        <w:tc>
          <w:tcPr>
            <w:tcW w:w="784" w:type="dxa"/>
          </w:tcPr>
          <w:p>
            <w:pPr>
              <w:pStyle w:val="0"/>
            </w:pPr>
            <w:r>
              <w:rPr>
                <w:sz w:val="20"/>
              </w:rPr>
              <w:t xml:space="preserve">1713,8</w:t>
            </w:r>
          </w:p>
        </w:tc>
        <w:tc>
          <w:tcPr>
            <w:tcW w:w="784" w:type="dxa"/>
          </w:tcPr>
          <w:p>
            <w:pPr>
              <w:pStyle w:val="0"/>
            </w:pPr>
            <w:r>
              <w:rPr>
                <w:sz w:val="20"/>
              </w:rPr>
              <w:t xml:space="preserve">1730,4</w:t>
            </w:r>
          </w:p>
        </w:tc>
        <w:tc>
          <w:tcPr>
            <w:tcW w:w="1159" w:type="dxa"/>
          </w:tcPr>
          <w:p>
            <w:pPr>
              <w:pStyle w:val="0"/>
            </w:pPr>
            <w:r>
              <w:rPr>
                <w:sz w:val="20"/>
              </w:rPr>
              <w:t xml:space="preserve">4,0</w:t>
            </w:r>
          </w:p>
        </w:tc>
      </w:tr>
      <w:tr>
        <w:tc>
          <w:tcPr>
            <w:tcW w:w="3855" w:type="dxa"/>
          </w:tcPr>
          <w:p>
            <w:pPr>
              <w:pStyle w:val="0"/>
            </w:pPr>
            <w:r>
              <w:rPr>
                <w:sz w:val="20"/>
              </w:rPr>
              <w:t xml:space="preserve">Рождаемость на 1000 населения</w:t>
            </w:r>
          </w:p>
        </w:tc>
        <w:tc>
          <w:tcPr>
            <w:tcW w:w="784" w:type="dxa"/>
          </w:tcPr>
          <w:p>
            <w:pPr>
              <w:pStyle w:val="0"/>
            </w:pPr>
            <w:r>
              <w:rPr>
                <w:sz w:val="20"/>
              </w:rPr>
              <w:t xml:space="preserve">13,6</w:t>
            </w:r>
          </w:p>
        </w:tc>
        <w:tc>
          <w:tcPr>
            <w:tcW w:w="784" w:type="dxa"/>
          </w:tcPr>
          <w:p>
            <w:pPr>
              <w:pStyle w:val="0"/>
            </w:pPr>
            <w:r>
              <w:rPr>
                <w:sz w:val="20"/>
              </w:rPr>
              <w:t xml:space="preserve">12,4</w:t>
            </w:r>
          </w:p>
        </w:tc>
        <w:tc>
          <w:tcPr>
            <w:tcW w:w="784" w:type="dxa"/>
          </w:tcPr>
          <w:p>
            <w:pPr>
              <w:pStyle w:val="0"/>
            </w:pPr>
            <w:r>
              <w:rPr>
                <w:sz w:val="20"/>
              </w:rPr>
              <w:t xml:space="preserve">12,3</w:t>
            </w:r>
          </w:p>
        </w:tc>
        <w:tc>
          <w:tcPr>
            <w:tcW w:w="784" w:type="dxa"/>
          </w:tcPr>
          <w:p>
            <w:pPr>
              <w:pStyle w:val="0"/>
            </w:pPr>
            <w:r>
              <w:rPr>
                <w:sz w:val="20"/>
              </w:rPr>
              <w:t xml:space="preserve">11,6</w:t>
            </w:r>
          </w:p>
        </w:tc>
        <w:tc>
          <w:tcPr>
            <w:tcW w:w="784" w:type="dxa"/>
          </w:tcPr>
          <w:p>
            <w:pPr>
              <w:pStyle w:val="0"/>
            </w:pPr>
            <w:r>
              <w:rPr>
                <w:sz w:val="20"/>
              </w:rPr>
              <w:t xml:space="preserve">11,1</w:t>
            </w:r>
          </w:p>
        </w:tc>
        <w:tc>
          <w:tcPr>
            <w:tcW w:w="1159" w:type="dxa"/>
          </w:tcPr>
          <w:p>
            <w:pPr>
              <w:pStyle w:val="0"/>
            </w:pPr>
            <w:r>
              <w:rPr>
                <w:sz w:val="20"/>
              </w:rPr>
              <w:t xml:space="preserve">-18,4</w:t>
            </w:r>
          </w:p>
        </w:tc>
      </w:tr>
      <w:tr>
        <w:tc>
          <w:tcPr>
            <w:tcW w:w="3855" w:type="dxa"/>
          </w:tcPr>
          <w:p>
            <w:pPr>
              <w:pStyle w:val="0"/>
            </w:pPr>
            <w:r>
              <w:rPr>
                <w:sz w:val="20"/>
              </w:rPr>
              <w:t xml:space="preserve">Общая смертность на 1000 населения</w:t>
            </w:r>
          </w:p>
        </w:tc>
        <w:tc>
          <w:tcPr>
            <w:tcW w:w="784" w:type="dxa"/>
          </w:tcPr>
          <w:p>
            <w:pPr>
              <w:pStyle w:val="0"/>
            </w:pPr>
            <w:r>
              <w:rPr>
                <w:sz w:val="20"/>
              </w:rPr>
              <w:t xml:space="preserve">6,3</w:t>
            </w:r>
          </w:p>
        </w:tc>
        <w:tc>
          <w:tcPr>
            <w:tcW w:w="784" w:type="dxa"/>
          </w:tcPr>
          <w:p>
            <w:pPr>
              <w:pStyle w:val="0"/>
            </w:pPr>
            <w:r>
              <w:rPr>
                <w:sz w:val="20"/>
              </w:rPr>
              <w:t xml:space="preserve">6,0</w:t>
            </w:r>
          </w:p>
        </w:tc>
        <w:tc>
          <w:tcPr>
            <w:tcW w:w="784" w:type="dxa"/>
          </w:tcPr>
          <w:p>
            <w:pPr>
              <w:pStyle w:val="0"/>
            </w:pPr>
            <w:r>
              <w:rPr>
                <w:sz w:val="20"/>
              </w:rPr>
              <w:t xml:space="preserve">7,6</w:t>
            </w:r>
          </w:p>
        </w:tc>
        <w:tc>
          <w:tcPr>
            <w:tcW w:w="784" w:type="dxa"/>
          </w:tcPr>
          <w:p>
            <w:pPr>
              <w:pStyle w:val="0"/>
            </w:pPr>
            <w:r>
              <w:rPr>
                <w:sz w:val="20"/>
              </w:rPr>
              <w:t xml:space="preserve">8,5</w:t>
            </w:r>
          </w:p>
        </w:tc>
        <w:tc>
          <w:tcPr>
            <w:tcW w:w="784" w:type="dxa"/>
          </w:tcPr>
          <w:p>
            <w:pPr>
              <w:pStyle w:val="0"/>
            </w:pPr>
            <w:r>
              <w:rPr>
                <w:sz w:val="20"/>
              </w:rPr>
              <w:t xml:space="preserve">6,5</w:t>
            </w:r>
          </w:p>
        </w:tc>
        <w:tc>
          <w:tcPr>
            <w:tcW w:w="1159" w:type="dxa"/>
          </w:tcPr>
          <w:p>
            <w:pPr>
              <w:pStyle w:val="0"/>
            </w:pPr>
            <w:r>
              <w:rPr>
                <w:sz w:val="20"/>
              </w:rPr>
              <w:t xml:space="preserve">3,2</w:t>
            </w:r>
          </w:p>
        </w:tc>
      </w:tr>
      <w:tr>
        <w:tc>
          <w:tcPr>
            <w:tcW w:w="3855" w:type="dxa"/>
          </w:tcPr>
          <w:p>
            <w:pPr>
              <w:pStyle w:val="0"/>
            </w:pPr>
            <w:r>
              <w:rPr>
                <w:sz w:val="20"/>
              </w:rPr>
              <w:t xml:space="preserve">Естественный прирост на 1000 населения</w:t>
            </w:r>
          </w:p>
        </w:tc>
        <w:tc>
          <w:tcPr>
            <w:tcW w:w="784" w:type="dxa"/>
          </w:tcPr>
          <w:p>
            <w:pPr>
              <w:pStyle w:val="0"/>
            </w:pPr>
            <w:r>
              <w:rPr>
                <w:sz w:val="20"/>
              </w:rPr>
              <w:t xml:space="preserve">7,3</w:t>
            </w:r>
          </w:p>
        </w:tc>
        <w:tc>
          <w:tcPr>
            <w:tcW w:w="784" w:type="dxa"/>
          </w:tcPr>
          <w:p>
            <w:pPr>
              <w:pStyle w:val="0"/>
            </w:pPr>
            <w:r>
              <w:rPr>
                <w:sz w:val="20"/>
              </w:rPr>
              <w:t xml:space="preserve">6,4</w:t>
            </w:r>
          </w:p>
        </w:tc>
        <w:tc>
          <w:tcPr>
            <w:tcW w:w="784" w:type="dxa"/>
          </w:tcPr>
          <w:p>
            <w:pPr>
              <w:pStyle w:val="0"/>
            </w:pPr>
            <w:r>
              <w:rPr>
                <w:sz w:val="20"/>
              </w:rPr>
              <w:t xml:space="preserve">4,7</w:t>
            </w:r>
          </w:p>
        </w:tc>
        <w:tc>
          <w:tcPr>
            <w:tcW w:w="784" w:type="dxa"/>
          </w:tcPr>
          <w:p>
            <w:pPr>
              <w:pStyle w:val="0"/>
            </w:pPr>
            <w:r>
              <w:rPr>
                <w:sz w:val="20"/>
              </w:rPr>
              <w:t xml:space="preserve">3,1</w:t>
            </w:r>
          </w:p>
        </w:tc>
        <w:tc>
          <w:tcPr>
            <w:tcW w:w="784" w:type="dxa"/>
          </w:tcPr>
          <w:p>
            <w:pPr>
              <w:pStyle w:val="0"/>
            </w:pPr>
            <w:r>
              <w:rPr>
                <w:sz w:val="20"/>
              </w:rPr>
              <w:t xml:space="preserve">4,5</w:t>
            </w:r>
          </w:p>
        </w:tc>
        <w:tc>
          <w:tcPr>
            <w:tcW w:w="1159" w:type="dxa"/>
          </w:tcPr>
          <w:p>
            <w:pPr>
              <w:pStyle w:val="0"/>
            </w:pPr>
            <w:r>
              <w:rPr>
                <w:sz w:val="20"/>
              </w:rPr>
              <w:t xml:space="preserve">-38,4</w:t>
            </w:r>
          </w:p>
        </w:tc>
      </w:tr>
    </w:tbl>
    <w:p>
      <w:pPr>
        <w:pStyle w:val="0"/>
        <w:jc w:val="center"/>
      </w:pPr>
      <w:r>
        <w:rPr>
          <w:sz w:val="20"/>
        </w:rPr>
      </w:r>
    </w:p>
    <w:p>
      <w:pPr>
        <w:pStyle w:val="2"/>
        <w:outlineLvl w:val="2"/>
        <w:ind w:firstLine="540"/>
        <w:jc w:val="both"/>
      </w:pPr>
      <w:r>
        <w:rPr>
          <w:sz w:val="20"/>
        </w:rPr>
        <w:t xml:space="preserve">1.2. Анализ общей смертности и смертности от сердечно-сосудистых заболеваний</w:t>
      </w:r>
    </w:p>
    <w:p>
      <w:pPr>
        <w:pStyle w:val="0"/>
        <w:ind w:firstLine="540"/>
        <w:jc w:val="both"/>
      </w:pPr>
      <w:r>
        <w:rPr>
          <w:sz w:val="20"/>
        </w:rPr>
      </w:r>
    </w:p>
    <w:p>
      <w:pPr>
        <w:pStyle w:val="0"/>
        <w:ind w:firstLine="540"/>
        <w:jc w:val="both"/>
      </w:pPr>
      <w:r>
        <w:rPr>
          <w:sz w:val="20"/>
        </w:rPr>
        <w:t xml:space="preserve">В 2022 году общая смертность населения в автономном округе снизилась с 8,5 до 6,5 на 1 тыс. населения. В абсолютных цифрах снижение числа умерших составило 3265 случаев (снижение на 23,5%, с 14440 до 11175 человек).</w:t>
      </w:r>
    </w:p>
    <w:p>
      <w:pPr>
        <w:pStyle w:val="0"/>
        <w:spacing w:before="200" w:line-rule="auto"/>
        <w:ind w:firstLine="540"/>
        <w:jc w:val="both"/>
      </w:pPr>
      <w:r>
        <w:rPr>
          <w:sz w:val="20"/>
        </w:rPr>
        <w:t xml:space="preserve">Ведущим классом заболеваний в структуре общей смертности в 2022 году, как и в предыдущие годы, явились болезни системы кровообращения (далее - БСК) (39,3%). Доля смертности от БСК увеличилась на 5,9% и составила 39,3% (в 2021 г. - 33,4%).</w:t>
      </w:r>
    </w:p>
    <w:p>
      <w:pPr>
        <w:pStyle w:val="0"/>
        <w:spacing w:before="200" w:line-rule="auto"/>
        <w:ind w:firstLine="540"/>
        <w:jc w:val="both"/>
      </w:pPr>
      <w:r>
        <w:rPr>
          <w:sz w:val="20"/>
        </w:rPr>
        <w:t xml:space="preserve">На второе место по смертности вышли новообразования (19,5%), на третьем месте - внешние причины (7,9%), болезни органов пищеварения - на четвертом (6,0%), новая коронавирусная инфекция COVID-19 занимает пятое место (5,7%).</w:t>
      </w:r>
    </w:p>
    <w:p>
      <w:pPr>
        <w:pStyle w:val="0"/>
        <w:ind w:firstLine="540"/>
        <w:jc w:val="both"/>
      </w:pPr>
      <w:r>
        <w:rPr>
          <w:sz w:val="20"/>
        </w:rPr>
      </w:r>
    </w:p>
    <w:p>
      <w:pPr>
        <w:pStyle w:val="0"/>
        <w:jc w:val="right"/>
      </w:pPr>
      <w:r>
        <w:rPr>
          <w:sz w:val="20"/>
        </w:rPr>
        <w:t xml:space="preserve">Таблица 3</w:t>
      </w:r>
    </w:p>
    <w:p>
      <w:pPr>
        <w:pStyle w:val="0"/>
        <w:jc w:val="right"/>
      </w:pPr>
      <w:r>
        <w:rPr>
          <w:sz w:val="20"/>
        </w:rPr>
      </w:r>
    </w:p>
    <w:p>
      <w:pPr>
        <w:pStyle w:val="0"/>
        <w:jc w:val="center"/>
      </w:pPr>
      <w:r>
        <w:rPr>
          <w:sz w:val="20"/>
        </w:rPr>
        <w:t xml:space="preserve">Смертность в Российской Федерации, Уральском федеральном</w:t>
      </w:r>
    </w:p>
    <w:p>
      <w:pPr>
        <w:pStyle w:val="0"/>
        <w:jc w:val="center"/>
      </w:pPr>
      <w:r>
        <w:rPr>
          <w:sz w:val="20"/>
        </w:rPr>
        <w:t xml:space="preserve">округе, Ханты-Мансийском автономном округе - Югре</w:t>
      </w:r>
    </w:p>
    <w:p>
      <w:pPr>
        <w:pStyle w:val="0"/>
        <w:jc w:val="center"/>
      </w:pPr>
      <w:r>
        <w:rPr>
          <w:sz w:val="20"/>
        </w:rPr>
        <w:t xml:space="preserve">за 2020 - 2022 годы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59"/>
        <w:gridCol w:w="1134"/>
        <w:gridCol w:w="1247"/>
        <w:gridCol w:w="1361"/>
      </w:tblGrid>
      <w:tr>
        <w:tc>
          <w:tcPr>
            <w:tcW w:w="5159" w:type="dxa"/>
            <w:vMerge w:val="restart"/>
          </w:tcPr>
          <w:p>
            <w:pPr>
              <w:pStyle w:val="0"/>
              <w:jc w:val="center"/>
            </w:pPr>
            <w:r>
              <w:rPr>
                <w:sz w:val="20"/>
              </w:rPr>
              <w:t xml:space="preserve">Территория</w:t>
            </w:r>
          </w:p>
        </w:tc>
        <w:tc>
          <w:tcPr>
            <w:gridSpan w:val="3"/>
            <w:tcW w:w="3742" w:type="dxa"/>
          </w:tcPr>
          <w:p>
            <w:pPr>
              <w:pStyle w:val="0"/>
              <w:jc w:val="center"/>
            </w:pPr>
            <w:r>
              <w:rPr>
                <w:sz w:val="20"/>
              </w:rPr>
              <w:t xml:space="preserve">Число умерших на 1 тыс. населения</w:t>
            </w:r>
          </w:p>
        </w:tc>
      </w:tr>
      <w:tr>
        <w:tc>
          <w:tcPr>
            <w:vMerge w:val="continue"/>
          </w:tcPr>
          <w:p/>
        </w:tc>
        <w:tc>
          <w:tcPr>
            <w:tcW w:w="1134" w:type="dxa"/>
          </w:tcPr>
          <w:p>
            <w:pPr>
              <w:pStyle w:val="0"/>
              <w:jc w:val="center"/>
            </w:pPr>
            <w:r>
              <w:rPr>
                <w:sz w:val="20"/>
              </w:rPr>
              <w:t xml:space="preserve">2020</w:t>
            </w:r>
          </w:p>
        </w:tc>
        <w:tc>
          <w:tcPr>
            <w:tcW w:w="1247" w:type="dxa"/>
          </w:tcPr>
          <w:p>
            <w:pPr>
              <w:pStyle w:val="0"/>
              <w:jc w:val="center"/>
            </w:pPr>
            <w:r>
              <w:rPr>
                <w:sz w:val="20"/>
              </w:rPr>
              <w:t xml:space="preserve">2021</w:t>
            </w:r>
          </w:p>
        </w:tc>
        <w:tc>
          <w:tcPr>
            <w:tcW w:w="1361" w:type="dxa"/>
          </w:tcPr>
          <w:p>
            <w:pPr>
              <w:pStyle w:val="0"/>
              <w:jc w:val="center"/>
            </w:pPr>
            <w:r>
              <w:rPr>
                <w:sz w:val="20"/>
              </w:rPr>
              <w:t xml:space="preserve">2022</w:t>
            </w:r>
          </w:p>
        </w:tc>
      </w:tr>
      <w:tr>
        <w:tc>
          <w:tcPr>
            <w:tcW w:w="5159" w:type="dxa"/>
          </w:tcPr>
          <w:p>
            <w:pPr>
              <w:pStyle w:val="0"/>
            </w:pPr>
            <w:r>
              <w:rPr>
                <w:sz w:val="20"/>
              </w:rPr>
              <w:t xml:space="preserve">Российская Федерация</w:t>
            </w:r>
          </w:p>
        </w:tc>
        <w:tc>
          <w:tcPr>
            <w:tcW w:w="1134" w:type="dxa"/>
          </w:tcPr>
          <w:p>
            <w:pPr>
              <w:pStyle w:val="0"/>
            </w:pPr>
            <w:r>
              <w:rPr>
                <w:sz w:val="20"/>
              </w:rPr>
              <w:t xml:space="preserve">14,5</w:t>
            </w:r>
          </w:p>
        </w:tc>
        <w:tc>
          <w:tcPr>
            <w:tcW w:w="1247" w:type="dxa"/>
          </w:tcPr>
          <w:p>
            <w:pPr>
              <w:pStyle w:val="0"/>
            </w:pPr>
            <w:r>
              <w:rPr>
                <w:sz w:val="20"/>
              </w:rPr>
              <w:t xml:space="preserve">16,8</w:t>
            </w:r>
          </w:p>
        </w:tc>
        <w:tc>
          <w:tcPr>
            <w:tcW w:w="1361" w:type="dxa"/>
          </w:tcPr>
          <w:p>
            <w:pPr>
              <w:pStyle w:val="0"/>
            </w:pPr>
            <w:r>
              <w:rPr>
                <w:sz w:val="20"/>
              </w:rPr>
              <w:t xml:space="preserve">13,1</w:t>
            </w:r>
          </w:p>
        </w:tc>
      </w:tr>
      <w:tr>
        <w:tc>
          <w:tcPr>
            <w:tcW w:w="5159" w:type="dxa"/>
          </w:tcPr>
          <w:p>
            <w:pPr>
              <w:pStyle w:val="0"/>
            </w:pPr>
            <w:r>
              <w:rPr>
                <w:sz w:val="20"/>
              </w:rPr>
              <w:t xml:space="preserve">Уральский федеральный округ</w:t>
            </w:r>
          </w:p>
        </w:tc>
        <w:tc>
          <w:tcPr>
            <w:tcW w:w="1134" w:type="dxa"/>
          </w:tcPr>
          <w:p>
            <w:pPr>
              <w:pStyle w:val="0"/>
            </w:pPr>
            <w:r>
              <w:rPr>
                <w:sz w:val="20"/>
              </w:rPr>
              <w:t xml:space="preserve">13,9</w:t>
            </w:r>
          </w:p>
        </w:tc>
        <w:tc>
          <w:tcPr>
            <w:tcW w:w="1247" w:type="dxa"/>
          </w:tcPr>
          <w:p>
            <w:pPr>
              <w:pStyle w:val="0"/>
            </w:pPr>
            <w:r>
              <w:rPr>
                <w:sz w:val="20"/>
              </w:rPr>
              <w:t xml:space="preserve">15,7</w:t>
            </w:r>
          </w:p>
        </w:tc>
        <w:tc>
          <w:tcPr>
            <w:tcW w:w="1361" w:type="dxa"/>
          </w:tcPr>
          <w:p>
            <w:pPr>
              <w:pStyle w:val="0"/>
            </w:pPr>
            <w:r>
              <w:rPr>
                <w:sz w:val="20"/>
              </w:rPr>
              <w:t xml:space="preserve">12,1</w:t>
            </w:r>
          </w:p>
        </w:tc>
      </w:tr>
      <w:tr>
        <w:tc>
          <w:tcPr>
            <w:tcW w:w="5159" w:type="dxa"/>
          </w:tcPr>
          <w:p>
            <w:pPr>
              <w:pStyle w:val="0"/>
            </w:pPr>
            <w:r>
              <w:rPr>
                <w:sz w:val="20"/>
              </w:rPr>
              <w:t xml:space="preserve">Ханты-Мансийский автономный округ - Югра</w:t>
            </w:r>
          </w:p>
        </w:tc>
        <w:tc>
          <w:tcPr>
            <w:tcW w:w="1134" w:type="dxa"/>
          </w:tcPr>
          <w:p>
            <w:pPr>
              <w:pStyle w:val="0"/>
            </w:pPr>
            <w:r>
              <w:rPr>
                <w:sz w:val="20"/>
              </w:rPr>
              <w:t xml:space="preserve">7,6</w:t>
            </w:r>
          </w:p>
        </w:tc>
        <w:tc>
          <w:tcPr>
            <w:tcW w:w="1247" w:type="dxa"/>
          </w:tcPr>
          <w:p>
            <w:pPr>
              <w:pStyle w:val="0"/>
            </w:pPr>
            <w:r>
              <w:rPr>
                <w:sz w:val="20"/>
              </w:rPr>
              <w:t xml:space="preserve">8,5</w:t>
            </w:r>
          </w:p>
        </w:tc>
        <w:tc>
          <w:tcPr>
            <w:tcW w:w="1361" w:type="dxa"/>
          </w:tcPr>
          <w:p>
            <w:pPr>
              <w:pStyle w:val="0"/>
            </w:pPr>
            <w:r>
              <w:rPr>
                <w:sz w:val="20"/>
              </w:rPr>
              <w:t xml:space="preserve">6,5</w:t>
            </w:r>
          </w:p>
        </w:tc>
      </w:tr>
    </w:tbl>
    <w:p>
      <w:pPr>
        <w:pStyle w:val="0"/>
        <w:ind w:firstLine="540"/>
        <w:jc w:val="both"/>
      </w:pPr>
      <w:r>
        <w:rPr>
          <w:sz w:val="20"/>
        </w:rPr>
      </w:r>
    </w:p>
    <w:p>
      <w:pPr>
        <w:pStyle w:val="0"/>
        <w:ind w:firstLine="540"/>
        <w:jc w:val="both"/>
      </w:pPr>
      <w:r>
        <w:rPr>
          <w:sz w:val="20"/>
        </w:rPr>
        <w:t xml:space="preserve">Данная динамика обусловлена снижением смертности от COVID-19, которая в течение 2021 - 2022 гг. была причиной роста общей смертности.</w:t>
      </w:r>
    </w:p>
    <w:p>
      <w:pPr>
        <w:pStyle w:val="0"/>
        <w:spacing w:before="200" w:line-rule="auto"/>
        <w:ind w:firstLine="540"/>
        <w:jc w:val="both"/>
      </w:pPr>
      <w:r>
        <w:rPr>
          <w:sz w:val="20"/>
        </w:rPr>
        <w:t xml:space="preserve">Показатель смертности от БСК снизился на 10,7%, с 285,7 до 255,2 на 100 тыс. населения, число умерших от БСК уменьшилось на 9,3% (- 449 человек).</w:t>
      </w:r>
    </w:p>
    <w:p>
      <w:pPr>
        <w:pStyle w:val="0"/>
        <w:spacing w:before="200" w:line-rule="auto"/>
        <w:ind w:firstLine="540"/>
        <w:jc w:val="both"/>
      </w:pPr>
      <w:r>
        <w:rPr>
          <w:sz w:val="20"/>
        </w:rPr>
        <w:t xml:space="preserve">Смертность вне стационара составила 69% от общего числа случаев смерти от БСК (3043 случая) за счет высокой доли умерших от ишемической болезни сердца (далее - ИБС) на дому (78% от общего числа умерших от ИБС). Значительное число умерших от ИБС на дому обусловлено особенностями кодирования причин смерти: в большинстве случаев смерти на дому врачи - судебно-медицинские эксперты первоначальной причиной считают атеросклероз коронарных артерий, относящийся по коду МКБ-10 к ИБС (I25).</w:t>
      </w:r>
    </w:p>
    <w:p>
      <w:pPr>
        <w:pStyle w:val="0"/>
        <w:jc w:val="right"/>
      </w:pPr>
      <w:r>
        <w:rPr>
          <w:sz w:val="20"/>
        </w:rPr>
      </w:r>
    </w:p>
    <w:p>
      <w:pPr>
        <w:pStyle w:val="0"/>
        <w:jc w:val="right"/>
      </w:pPr>
      <w:r>
        <w:rPr>
          <w:sz w:val="20"/>
        </w:rPr>
        <w:t xml:space="preserve">Таблица 4</w:t>
      </w:r>
    </w:p>
    <w:p>
      <w:pPr>
        <w:pStyle w:val="0"/>
        <w:jc w:val="right"/>
      </w:pPr>
      <w:r>
        <w:rPr>
          <w:sz w:val="20"/>
        </w:rPr>
      </w:r>
    </w:p>
    <w:p>
      <w:pPr>
        <w:pStyle w:val="0"/>
        <w:jc w:val="center"/>
      </w:pPr>
      <w:r>
        <w:rPr>
          <w:sz w:val="20"/>
        </w:rPr>
        <w:t xml:space="preserve">Структура смертности населения по основным классам</w:t>
      </w:r>
    </w:p>
    <w:p>
      <w:pPr>
        <w:pStyle w:val="0"/>
        <w:jc w:val="center"/>
      </w:pPr>
      <w:r>
        <w:rPr>
          <w:sz w:val="20"/>
        </w:rPr>
        <w:t xml:space="preserve">заболеваний, абс. ч.</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76"/>
        <w:gridCol w:w="724"/>
        <w:gridCol w:w="724"/>
        <w:gridCol w:w="724"/>
        <w:gridCol w:w="1984"/>
      </w:tblGrid>
      <w:tr>
        <w:tc>
          <w:tcPr>
            <w:tcW w:w="4876" w:type="dxa"/>
          </w:tcPr>
          <w:p>
            <w:pPr>
              <w:pStyle w:val="0"/>
              <w:jc w:val="center"/>
            </w:pPr>
            <w:r>
              <w:rPr>
                <w:sz w:val="20"/>
              </w:rPr>
              <w:t xml:space="preserve">Название классов</w:t>
            </w:r>
          </w:p>
        </w:tc>
        <w:tc>
          <w:tcPr>
            <w:tcW w:w="724" w:type="dxa"/>
          </w:tcPr>
          <w:p>
            <w:pPr>
              <w:pStyle w:val="0"/>
              <w:jc w:val="center"/>
            </w:pPr>
            <w:r>
              <w:rPr>
                <w:sz w:val="20"/>
              </w:rPr>
              <w:t xml:space="preserve">2020</w:t>
            </w:r>
          </w:p>
        </w:tc>
        <w:tc>
          <w:tcPr>
            <w:tcW w:w="724" w:type="dxa"/>
          </w:tcPr>
          <w:p>
            <w:pPr>
              <w:pStyle w:val="0"/>
              <w:jc w:val="center"/>
            </w:pPr>
            <w:r>
              <w:rPr>
                <w:sz w:val="20"/>
              </w:rPr>
              <w:t xml:space="preserve">2021</w:t>
            </w:r>
          </w:p>
        </w:tc>
        <w:tc>
          <w:tcPr>
            <w:tcW w:w="724" w:type="dxa"/>
          </w:tcPr>
          <w:p>
            <w:pPr>
              <w:pStyle w:val="0"/>
              <w:jc w:val="center"/>
            </w:pPr>
            <w:r>
              <w:rPr>
                <w:sz w:val="20"/>
              </w:rPr>
              <w:t xml:space="preserve">2022</w:t>
            </w:r>
          </w:p>
        </w:tc>
        <w:tc>
          <w:tcPr>
            <w:tcW w:w="1984" w:type="dxa"/>
          </w:tcPr>
          <w:p>
            <w:pPr>
              <w:pStyle w:val="0"/>
              <w:jc w:val="center"/>
            </w:pPr>
            <w:r>
              <w:rPr>
                <w:sz w:val="20"/>
              </w:rPr>
              <w:t xml:space="preserve">Динамика 2022/2021 (%)</w:t>
            </w:r>
          </w:p>
        </w:tc>
      </w:tr>
      <w:tr>
        <w:tc>
          <w:tcPr>
            <w:tcW w:w="4876" w:type="dxa"/>
          </w:tcPr>
          <w:p>
            <w:pPr>
              <w:pStyle w:val="0"/>
            </w:pPr>
            <w:r>
              <w:rPr>
                <w:sz w:val="20"/>
              </w:rPr>
              <w:t xml:space="preserve">Некоторые инфекционные и паразитарные болезни</w:t>
            </w:r>
          </w:p>
        </w:tc>
        <w:tc>
          <w:tcPr>
            <w:tcW w:w="724" w:type="dxa"/>
          </w:tcPr>
          <w:p>
            <w:pPr>
              <w:pStyle w:val="0"/>
            </w:pPr>
            <w:r>
              <w:rPr>
                <w:sz w:val="20"/>
              </w:rPr>
              <w:t xml:space="preserve">495</w:t>
            </w:r>
          </w:p>
        </w:tc>
        <w:tc>
          <w:tcPr>
            <w:tcW w:w="724" w:type="dxa"/>
          </w:tcPr>
          <w:p>
            <w:pPr>
              <w:pStyle w:val="0"/>
            </w:pPr>
            <w:r>
              <w:rPr>
                <w:sz w:val="20"/>
              </w:rPr>
              <w:t xml:space="preserve">342</w:t>
            </w:r>
          </w:p>
        </w:tc>
        <w:tc>
          <w:tcPr>
            <w:tcW w:w="724" w:type="dxa"/>
          </w:tcPr>
          <w:p>
            <w:pPr>
              <w:pStyle w:val="0"/>
            </w:pPr>
            <w:r>
              <w:rPr>
                <w:sz w:val="20"/>
              </w:rPr>
              <w:t xml:space="preserve">351</w:t>
            </w:r>
          </w:p>
        </w:tc>
        <w:tc>
          <w:tcPr>
            <w:tcW w:w="1984" w:type="dxa"/>
          </w:tcPr>
          <w:p>
            <w:pPr>
              <w:pStyle w:val="0"/>
            </w:pPr>
            <w:r>
              <w:rPr>
                <w:sz w:val="20"/>
              </w:rPr>
              <w:t xml:space="preserve">2,6</w:t>
            </w:r>
          </w:p>
        </w:tc>
      </w:tr>
      <w:tr>
        <w:tc>
          <w:tcPr>
            <w:tcW w:w="4876" w:type="dxa"/>
          </w:tcPr>
          <w:p>
            <w:pPr>
              <w:pStyle w:val="0"/>
            </w:pPr>
            <w:r>
              <w:rPr>
                <w:sz w:val="20"/>
              </w:rPr>
              <w:t xml:space="preserve">туберкулез</w:t>
            </w:r>
          </w:p>
        </w:tc>
        <w:tc>
          <w:tcPr>
            <w:tcW w:w="724" w:type="dxa"/>
          </w:tcPr>
          <w:p>
            <w:pPr>
              <w:pStyle w:val="0"/>
            </w:pPr>
            <w:r>
              <w:rPr>
                <w:sz w:val="20"/>
              </w:rPr>
              <w:t xml:space="preserve">40</w:t>
            </w:r>
          </w:p>
        </w:tc>
        <w:tc>
          <w:tcPr>
            <w:tcW w:w="724" w:type="dxa"/>
          </w:tcPr>
          <w:p>
            <w:pPr>
              <w:pStyle w:val="0"/>
            </w:pPr>
            <w:r>
              <w:rPr>
                <w:sz w:val="20"/>
              </w:rPr>
              <w:t xml:space="preserve">36</w:t>
            </w:r>
          </w:p>
        </w:tc>
        <w:tc>
          <w:tcPr>
            <w:tcW w:w="724" w:type="dxa"/>
          </w:tcPr>
          <w:p>
            <w:pPr>
              <w:pStyle w:val="0"/>
            </w:pPr>
            <w:r>
              <w:rPr>
                <w:sz w:val="20"/>
              </w:rPr>
              <w:t xml:space="preserve">32</w:t>
            </w:r>
          </w:p>
        </w:tc>
        <w:tc>
          <w:tcPr>
            <w:tcW w:w="1984" w:type="dxa"/>
          </w:tcPr>
          <w:p>
            <w:pPr>
              <w:pStyle w:val="0"/>
            </w:pPr>
            <w:r>
              <w:rPr>
                <w:sz w:val="20"/>
              </w:rPr>
              <w:t xml:space="preserve">-11,1</w:t>
            </w:r>
          </w:p>
        </w:tc>
      </w:tr>
      <w:tr>
        <w:tc>
          <w:tcPr>
            <w:tcW w:w="4876" w:type="dxa"/>
          </w:tcPr>
          <w:p>
            <w:pPr>
              <w:pStyle w:val="0"/>
            </w:pPr>
            <w:r>
              <w:rPr>
                <w:sz w:val="20"/>
              </w:rPr>
              <w:t xml:space="preserve">ВИЧ</w:t>
            </w:r>
          </w:p>
        </w:tc>
        <w:tc>
          <w:tcPr>
            <w:tcW w:w="724" w:type="dxa"/>
          </w:tcPr>
          <w:p>
            <w:pPr>
              <w:pStyle w:val="0"/>
            </w:pPr>
            <w:r>
              <w:rPr>
                <w:sz w:val="20"/>
              </w:rPr>
              <w:t xml:space="preserve">366</w:t>
            </w:r>
          </w:p>
        </w:tc>
        <w:tc>
          <w:tcPr>
            <w:tcW w:w="724" w:type="dxa"/>
          </w:tcPr>
          <w:p>
            <w:pPr>
              <w:pStyle w:val="0"/>
            </w:pPr>
            <w:r>
              <w:rPr>
                <w:sz w:val="20"/>
              </w:rPr>
              <w:t xml:space="preserve">243</w:t>
            </w:r>
          </w:p>
        </w:tc>
        <w:tc>
          <w:tcPr>
            <w:tcW w:w="724" w:type="dxa"/>
          </w:tcPr>
          <w:p>
            <w:pPr>
              <w:pStyle w:val="0"/>
            </w:pPr>
            <w:r>
              <w:rPr>
                <w:sz w:val="20"/>
              </w:rPr>
              <w:t xml:space="preserve">256</w:t>
            </w:r>
          </w:p>
        </w:tc>
        <w:tc>
          <w:tcPr>
            <w:tcW w:w="1984" w:type="dxa"/>
          </w:tcPr>
          <w:p>
            <w:pPr>
              <w:pStyle w:val="0"/>
            </w:pPr>
            <w:r>
              <w:rPr>
                <w:sz w:val="20"/>
              </w:rPr>
              <w:t xml:space="preserve">5,4</w:t>
            </w:r>
          </w:p>
        </w:tc>
      </w:tr>
      <w:tr>
        <w:tc>
          <w:tcPr>
            <w:tcW w:w="4876" w:type="dxa"/>
          </w:tcPr>
          <w:p>
            <w:pPr>
              <w:pStyle w:val="0"/>
            </w:pPr>
            <w:r>
              <w:rPr>
                <w:sz w:val="20"/>
              </w:rPr>
              <w:t xml:space="preserve">Новообразования</w:t>
            </w:r>
          </w:p>
        </w:tc>
        <w:tc>
          <w:tcPr>
            <w:tcW w:w="724" w:type="dxa"/>
          </w:tcPr>
          <w:p>
            <w:pPr>
              <w:pStyle w:val="0"/>
            </w:pPr>
            <w:r>
              <w:rPr>
                <w:sz w:val="20"/>
              </w:rPr>
              <w:t xml:space="preserve">2050</w:t>
            </w:r>
          </w:p>
        </w:tc>
        <w:tc>
          <w:tcPr>
            <w:tcW w:w="724" w:type="dxa"/>
          </w:tcPr>
          <w:p>
            <w:pPr>
              <w:pStyle w:val="0"/>
            </w:pPr>
            <w:r>
              <w:rPr>
                <w:sz w:val="20"/>
              </w:rPr>
              <w:t xml:space="preserve">2231</w:t>
            </w:r>
          </w:p>
        </w:tc>
        <w:tc>
          <w:tcPr>
            <w:tcW w:w="724" w:type="dxa"/>
          </w:tcPr>
          <w:p>
            <w:pPr>
              <w:pStyle w:val="0"/>
            </w:pPr>
            <w:r>
              <w:rPr>
                <w:sz w:val="20"/>
              </w:rPr>
              <w:t xml:space="preserve">2182</w:t>
            </w:r>
          </w:p>
        </w:tc>
        <w:tc>
          <w:tcPr>
            <w:tcW w:w="1984" w:type="dxa"/>
          </w:tcPr>
          <w:p>
            <w:pPr>
              <w:pStyle w:val="0"/>
            </w:pPr>
            <w:r>
              <w:rPr>
                <w:sz w:val="20"/>
              </w:rPr>
              <w:t xml:space="preserve">-2,2</w:t>
            </w:r>
          </w:p>
        </w:tc>
      </w:tr>
      <w:tr>
        <w:tc>
          <w:tcPr>
            <w:tcW w:w="4876" w:type="dxa"/>
          </w:tcPr>
          <w:p>
            <w:pPr>
              <w:pStyle w:val="0"/>
            </w:pPr>
            <w:r>
              <w:rPr>
                <w:sz w:val="20"/>
              </w:rPr>
              <w:t xml:space="preserve">из них: злокачественные</w:t>
            </w:r>
          </w:p>
        </w:tc>
        <w:tc>
          <w:tcPr>
            <w:tcW w:w="724" w:type="dxa"/>
          </w:tcPr>
          <w:p>
            <w:pPr>
              <w:pStyle w:val="0"/>
            </w:pPr>
            <w:r>
              <w:rPr>
                <w:sz w:val="20"/>
              </w:rPr>
              <w:t xml:space="preserve">2020</w:t>
            </w:r>
          </w:p>
        </w:tc>
        <w:tc>
          <w:tcPr>
            <w:tcW w:w="724" w:type="dxa"/>
          </w:tcPr>
          <w:p>
            <w:pPr>
              <w:pStyle w:val="0"/>
            </w:pPr>
            <w:r>
              <w:rPr>
                <w:sz w:val="20"/>
              </w:rPr>
              <w:t xml:space="preserve">2193</w:t>
            </w:r>
          </w:p>
        </w:tc>
        <w:tc>
          <w:tcPr>
            <w:tcW w:w="724" w:type="dxa"/>
          </w:tcPr>
          <w:p>
            <w:pPr>
              <w:pStyle w:val="0"/>
            </w:pPr>
            <w:r>
              <w:rPr>
                <w:sz w:val="20"/>
              </w:rPr>
              <w:t xml:space="preserve">2153</w:t>
            </w:r>
          </w:p>
        </w:tc>
        <w:tc>
          <w:tcPr>
            <w:tcW w:w="1984" w:type="dxa"/>
          </w:tcPr>
          <w:p>
            <w:pPr>
              <w:pStyle w:val="0"/>
            </w:pPr>
            <w:r>
              <w:rPr>
                <w:sz w:val="20"/>
              </w:rPr>
              <w:t xml:space="preserve">-1,8</w:t>
            </w:r>
          </w:p>
        </w:tc>
      </w:tr>
      <w:tr>
        <w:tc>
          <w:tcPr>
            <w:tcW w:w="4876" w:type="dxa"/>
          </w:tcPr>
          <w:p>
            <w:pPr>
              <w:pStyle w:val="0"/>
            </w:pPr>
            <w:r>
              <w:rPr>
                <w:sz w:val="20"/>
              </w:rPr>
              <w:t xml:space="preserve">БСК</w:t>
            </w:r>
          </w:p>
        </w:tc>
        <w:tc>
          <w:tcPr>
            <w:tcW w:w="724" w:type="dxa"/>
          </w:tcPr>
          <w:p>
            <w:pPr>
              <w:pStyle w:val="0"/>
            </w:pPr>
            <w:r>
              <w:rPr>
                <w:sz w:val="20"/>
              </w:rPr>
              <w:t xml:space="preserve">4612</w:t>
            </w:r>
          </w:p>
        </w:tc>
        <w:tc>
          <w:tcPr>
            <w:tcW w:w="724" w:type="dxa"/>
          </w:tcPr>
          <w:p>
            <w:pPr>
              <w:pStyle w:val="0"/>
            </w:pPr>
            <w:r>
              <w:rPr>
                <w:sz w:val="20"/>
              </w:rPr>
              <w:t xml:space="preserve">4842</w:t>
            </w:r>
          </w:p>
        </w:tc>
        <w:tc>
          <w:tcPr>
            <w:tcW w:w="724" w:type="dxa"/>
          </w:tcPr>
          <w:p>
            <w:pPr>
              <w:pStyle w:val="0"/>
            </w:pPr>
            <w:r>
              <w:rPr>
                <w:sz w:val="20"/>
              </w:rPr>
              <w:t xml:space="preserve">4393</w:t>
            </w:r>
          </w:p>
        </w:tc>
        <w:tc>
          <w:tcPr>
            <w:tcW w:w="1984" w:type="dxa"/>
          </w:tcPr>
          <w:p>
            <w:pPr>
              <w:pStyle w:val="0"/>
            </w:pPr>
            <w:r>
              <w:rPr>
                <w:sz w:val="20"/>
              </w:rPr>
              <w:t xml:space="preserve">-9,3</w:t>
            </w:r>
          </w:p>
        </w:tc>
      </w:tr>
      <w:tr>
        <w:tc>
          <w:tcPr>
            <w:tcW w:w="4876" w:type="dxa"/>
          </w:tcPr>
          <w:p>
            <w:pPr>
              <w:pStyle w:val="0"/>
            </w:pPr>
            <w:r>
              <w:rPr>
                <w:sz w:val="20"/>
              </w:rPr>
              <w:t xml:space="preserve">из них ИБС</w:t>
            </w:r>
          </w:p>
        </w:tc>
        <w:tc>
          <w:tcPr>
            <w:tcW w:w="724" w:type="dxa"/>
          </w:tcPr>
          <w:p>
            <w:pPr>
              <w:pStyle w:val="0"/>
            </w:pPr>
            <w:r>
              <w:rPr>
                <w:sz w:val="20"/>
              </w:rPr>
              <w:t xml:space="preserve">2613</w:t>
            </w:r>
          </w:p>
        </w:tc>
        <w:tc>
          <w:tcPr>
            <w:tcW w:w="724" w:type="dxa"/>
          </w:tcPr>
          <w:p>
            <w:pPr>
              <w:pStyle w:val="0"/>
            </w:pPr>
            <w:r>
              <w:rPr>
                <w:sz w:val="20"/>
              </w:rPr>
              <w:t xml:space="preserve">2759</w:t>
            </w:r>
          </w:p>
        </w:tc>
        <w:tc>
          <w:tcPr>
            <w:tcW w:w="724" w:type="dxa"/>
          </w:tcPr>
          <w:p>
            <w:pPr>
              <w:pStyle w:val="0"/>
            </w:pPr>
            <w:r>
              <w:rPr>
                <w:sz w:val="20"/>
              </w:rPr>
              <w:t xml:space="preserve">2395</w:t>
            </w:r>
          </w:p>
        </w:tc>
        <w:tc>
          <w:tcPr>
            <w:tcW w:w="1984" w:type="dxa"/>
          </w:tcPr>
          <w:p>
            <w:pPr>
              <w:pStyle w:val="0"/>
            </w:pPr>
            <w:r>
              <w:rPr>
                <w:sz w:val="20"/>
              </w:rPr>
              <w:t xml:space="preserve">-13,2</w:t>
            </w:r>
          </w:p>
        </w:tc>
      </w:tr>
      <w:tr>
        <w:tc>
          <w:tcPr>
            <w:tcW w:w="4876" w:type="dxa"/>
          </w:tcPr>
          <w:p>
            <w:pPr>
              <w:pStyle w:val="0"/>
            </w:pPr>
            <w:r>
              <w:rPr>
                <w:sz w:val="20"/>
              </w:rPr>
              <w:t xml:space="preserve">из них: инфаркт миокарда (далее также - ИМ)</w:t>
            </w:r>
          </w:p>
        </w:tc>
        <w:tc>
          <w:tcPr>
            <w:tcW w:w="724" w:type="dxa"/>
          </w:tcPr>
          <w:p>
            <w:pPr>
              <w:pStyle w:val="0"/>
            </w:pPr>
            <w:r>
              <w:rPr>
                <w:sz w:val="20"/>
              </w:rPr>
              <w:t xml:space="preserve">211</w:t>
            </w:r>
          </w:p>
        </w:tc>
        <w:tc>
          <w:tcPr>
            <w:tcW w:w="724" w:type="dxa"/>
          </w:tcPr>
          <w:p>
            <w:pPr>
              <w:pStyle w:val="0"/>
            </w:pPr>
            <w:r>
              <w:rPr>
                <w:sz w:val="20"/>
              </w:rPr>
              <w:t xml:space="preserve">226</w:t>
            </w:r>
          </w:p>
        </w:tc>
        <w:tc>
          <w:tcPr>
            <w:tcW w:w="724" w:type="dxa"/>
          </w:tcPr>
          <w:p>
            <w:pPr>
              <w:pStyle w:val="0"/>
            </w:pPr>
            <w:r>
              <w:rPr>
                <w:sz w:val="20"/>
              </w:rPr>
              <w:t xml:space="preserve">181</w:t>
            </w:r>
          </w:p>
        </w:tc>
        <w:tc>
          <w:tcPr>
            <w:tcW w:w="1984" w:type="dxa"/>
          </w:tcPr>
          <w:p>
            <w:pPr>
              <w:pStyle w:val="0"/>
            </w:pPr>
            <w:r>
              <w:rPr>
                <w:sz w:val="20"/>
              </w:rPr>
              <w:t xml:space="preserve">-19,9</w:t>
            </w:r>
          </w:p>
        </w:tc>
      </w:tr>
      <w:tr>
        <w:tc>
          <w:tcPr>
            <w:tcW w:w="4876" w:type="dxa"/>
          </w:tcPr>
          <w:p>
            <w:pPr>
              <w:pStyle w:val="0"/>
            </w:pPr>
            <w:r>
              <w:rPr>
                <w:sz w:val="20"/>
              </w:rPr>
              <w:t xml:space="preserve">Цереброваскулярные болезни (далее также - ЦВБ)</w:t>
            </w:r>
          </w:p>
        </w:tc>
        <w:tc>
          <w:tcPr>
            <w:tcW w:w="724" w:type="dxa"/>
          </w:tcPr>
          <w:p>
            <w:pPr>
              <w:pStyle w:val="0"/>
            </w:pPr>
            <w:r>
              <w:rPr>
                <w:sz w:val="20"/>
              </w:rPr>
              <w:t xml:space="preserve">740</w:t>
            </w:r>
          </w:p>
        </w:tc>
        <w:tc>
          <w:tcPr>
            <w:tcW w:w="724" w:type="dxa"/>
          </w:tcPr>
          <w:p>
            <w:pPr>
              <w:pStyle w:val="0"/>
            </w:pPr>
            <w:r>
              <w:rPr>
                <w:sz w:val="20"/>
              </w:rPr>
              <w:t xml:space="preserve">719</w:t>
            </w:r>
          </w:p>
        </w:tc>
        <w:tc>
          <w:tcPr>
            <w:tcW w:w="724" w:type="dxa"/>
          </w:tcPr>
          <w:p>
            <w:pPr>
              <w:pStyle w:val="0"/>
            </w:pPr>
            <w:r>
              <w:rPr>
                <w:sz w:val="20"/>
              </w:rPr>
              <w:t xml:space="preserve">656</w:t>
            </w:r>
          </w:p>
        </w:tc>
        <w:tc>
          <w:tcPr>
            <w:tcW w:w="1984" w:type="dxa"/>
          </w:tcPr>
          <w:p>
            <w:pPr>
              <w:pStyle w:val="0"/>
            </w:pPr>
            <w:r>
              <w:rPr>
                <w:sz w:val="20"/>
              </w:rPr>
              <w:t xml:space="preserve">-8,8</w:t>
            </w:r>
          </w:p>
        </w:tc>
      </w:tr>
      <w:tr>
        <w:tc>
          <w:tcPr>
            <w:tcW w:w="4876" w:type="dxa"/>
          </w:tcPr>
          <w:p>
            <w:pPr>
              <w:pStyle w:val="0"/>
            </w:pPr>
            <w:r>
              <w:rPr>
                <w:sz w:val="20"/>
              </w:rPr>
              <w:t xml:space="preserve">из них: острое нарушение мозгового кровообращения</w:t>
            </w:r>
          </w:p>
        </w:tc>
        <w:tc>
          <w:tcPr>
            <w:tcW w:w="724" w:type="dxa"/>
          </w:tcPr>
          <w:p>
            <w:pPr>
              <w:pStyle w:val="0"/>
            </w:pPr>
            <w:r>
              <w:rPr>
                <w:sz w:val="20"/>
              </w:rPr>
              <w:t xml:space="preserve">420</w:t>
            </w:r>
          </w:p>
        </w:tc>
        <w:tc>
          <w:tcPr>
            <w:tcW w:w="724" w:type="dxa"/>
          </w:tcPr>
          <w:p>
            <w:pPr>
              <w:pStyle w:val="0"/>
            </w:pPr>
            <w:r>
              <w:rPr>
                <w:sz w:val="20"/>
              </w:rPr>
              <w:t xml:space="preserve">448</w:t>
            </w:r>
          </w:p>
        </w:tc>
        <w:tc>
          <w:tcPr>
            <w:tcW w:w="724" w:type="dxa"/>
          </w:tcPr>
          <w:p>
            <w:pPr>
              <w:pStyle w:val="0"/>
            </w:pPr>
            <w:r>
              <w:rPr>
                <w:sz w:val="20"/>
              </w:rPr>
              <w:t xml:space="preserve">387</w:t>
            </w:r>
          </w:p>
        </w:tc>
        <w:tc>
          <w:tcPr>
            <w:tcW w:w="1984" w:type="dxa"/>
          </w:tcPr>
          <w:p>
            <w:pPr>
              <w:pStyle w:val="0"/>
            </w:pPr>
            <w:r>
              <w:rPr>
                <w:sz w:val="20"/>
              </w:rPr>
              <w:t xml:space="preserve">-13,6</w:t>
            </w:r>
          </w:p>
        </w:tc>
      </w:tr>
      <w:tr>
        <w:tc>
          <w:tcPr>
            <w:tcW w:w="4876" w:type="dxa"/>
          </w:tcPr>
          <w:p>
            <w:pPr>
              <w:pStyle w:val="0"/>
            </w:pPr>
            <w:r>
              <w:rPr>
                <w:sz w:val="20"/>
              </w:rPr>
              <w:t xml:space="preserve">Болезни органов дыхания</w:t>
            </w:r>
          </w:p>
        </w:tc>
        <w:tc>
          <w:tcPr>
            <w:tcW w:w="724" w:type="dxa"/>
          </w:tcPr>
          <w:p>
            <w:pPr>
              <w:pStyle w:val="0"/>
            </w:pPr>
            <w:r>
              <w:rPr>
                <w:sz w:val="20"/>
              </w:rPr>
              <w:t xml:space="preserve">913</w:t>
            </w:r>
          </w:p>
        </w:tc>
        <w:tc>
          <w:tcPr>
            <w:tcW w:w="724" w:type="dxa"/>
          </w:tcPr>
          <w:p>
            <w:pPr>
              <w:pStyle w:val="0"/>
            </w:pPr>
            <w:r>
              <w:rPr>
                <w:sz w:val="20"/>
              </w:rPr>
              <w:t xml:space="preserve">861</w:t>
            </w:r>
          </w:p>
        </w:tc>
        <w:tc>
          <w:tcPr>
            <w:tcW w:w="724" w:type="dxa"/>
          </w:tcPr>
          <w:p>
            <w:pPr>
              <w:pStyle w:val="0"/>
            </w:pPr>
            <w:r>
              <w:rPr>
                <w:sz w:val="20"/>
              </w:rPr>
              <w:t xml:space="preserve">395</w:t>
            </w:r>
          </w:p>
        </w:tc>
        <w:tc>
          <w:tcPr>
            <w:tcW w:w="1984" w:type="dxa"/>
          </w:tcPr>
          <w:p>
            <w:pPr>
              <w:pStyle w:val="0"/>
            </w:pPr>
            <w:r>
              <w:rPr>
                <w:sz w:val="20"/>
              </w:rPr>
              <w:t xml:space="preserve">-54</w:t>
            </w:r>
          </w:p>
        </w:tc>
      </w:tr>
      <w:tr>
        <w:tc>
          <w:tcPr>
            <w:tcW w:w="4876" w:type="dxa"/>
          </w:tcPr>
          <w:p>
            <w:pPr>
              <w:pStyle w:val="0"/>
            </w:pPr>
            <w:r>
              <w:rPr>
                <w:sz w:val="20"/>
              </w:rPr>
              <w:t xml:space="preserve">из них: пневмония</w:t>
            </w:r>
          </w:p>
        </w:tc>
        <w:tc>
          <w:tcPr>
            <w:tcW w:w="724" w:type="dxa"/>
          </w:tcPr>
          <w:p>
            <w:pPr>
              <w:pStyle w:val="0"/>
            </w:pPr>
            <w:r>
              <w:rPr>
                <w:sz w:val="20"/>
              </w:rPr>
              <w:t xml:space="preserve">709</w:t>
            </w:r>
          </w:p>
        </w:tc>
        <w:tc>
          <w:tcPr>
            <w:tcW w:w="724" w:type="dxa"/>
          </w:tcPr>
          <w:p>
            <w:pPr>
              <w:pStyle w:val="0"/>
            </w:pPr>
            <w:r>
              <w:rPr>
                <w:sz w:val="20"/>
              </w:rPr>
              <w:t xml:space="preserve">649</w:t>
            </w:r>
          </w:p>
        </w:tc>
        <w:tc>
          <w:tcPr>
            <w:tcW w:w="724" w:type="dxa"/>
          </w:tcPr>
          <w:p>
            <w:pPr>
              <w:pStyle w:val="0"/>
            </w:pPr>
            <w:r>
              <w:rPr>
                <w:sz w:val="20"/>
              </w:rPr>
              <w:t xml:space="preserve">266</w:t>
            </w:r>
          </w:p>
        </w:tc>
        <w:tc>
          <w:tcPr>
            <w:tcW w:w="1984" w:type="dxa"/>
          </w:tcPr>
          <w:p>
            <w:pPr>
              <w:pStyle w:val="0"/>
            </w:pPr>
            <w:r>
              <w:rPr>
                <w:sz w:val="20"/>
              </w:rPr>
              <w:t xml:space="preserve">-59</w:t>
            </w:r>
          </w:p>
        </w:tc>
      </w:tr>
      <w:tr>
        <w:tc>
          <w:tcPr>
            <w:tcW w:w="4876" w:type="dxa"/>
          </w:tcPr>
          <w:p>
            <w:pPr>
              <w:pStyle w:val="0"/>
            </w:pPr>
            <w:r>
              <w:rPr>
                <w:sz w:val="20"/>
              </w:rPr>
              <w:t xml:space="preserve">Болезни нервной системы</w:t>
            </w:r>
          </w:p>
        </w:tc>
        <w:tc>
          <w:tcPr>
            <w:tcW w:w="724" w:type="dxa"/>
          </w:tcPr>
          <w:p>
            <w:pPr>
              <w:pStyle w:val="0"/>
            </w:pPr>
            <w:r>
              <w:rPr>
                <w:sz w:val="20"/>
              </w:rPr>
              <w:t xml:space="preserve">477</w:t>
            </w:r>
          </w:p>
        </w:tc>
        <w:tc>
          <w:tcPr>
            <w:tcW w:w="724" w:type="dxa"/>
          </w:tcPr>
          <w:p>
            <w:pPr>
              <w:pStyle w:val="0"/>
            </w:pPr>
            <w:r>
              <w:rPr>
                <w:sz w:val="20"/>
              </w:rPr>
              <w:t xml:space="preserve">510</w:t>
            </w:r>
          </w:p>
        </w:tc>
        <w:tc>
          <w:tcPr>
            <w:tcW w:w="724" w:type="dxa"/>
          </w:tcPr>
          <w:p>
            <w:pPr>
              <w:pStyle w:val="0"/>
            </w:pPr>
            <w:r>
              <w:rPr>
                <w:sz w:val="20"/>
              </w:rPr>
              <w:t xml:space="preserve">507</w:t>
            </w:r>
          </w:p>
        </w:tc>
        <w:tc>
          <w:tcPr>
            <w:tcW w:w="1984" w:type="dxa"/>
          </w:tcPr>
          <w:p>
            <w:pPr>
              <w:pStyle w:val="0"/>
            </w:pPr>
            <w:r>
              <w:rPr>
                <w:sz w:val="20"/>
              </w:rPr>
              <w:t xml:space="preserve">-0,6</w:t>
            </w:r>
          </w:p>
        </w:tc>
      </w:tr>
      <w:tr>
        <w:tc>
          <w:tcPr>
            <w:tcW w:w="4876" w:type="dxa"/>
          </w:tcPr>
          <w:p>
            <w:pPr>
              <w:pStyle w:val="0"/>
            </w:pPr>
            <w:r>
              <w:rPr>
                <w:sz w:val="20"/>
              </w:rPr>
              <w:t xml:space="preserve">Болезни эндокринной системы</w:t>
            </w:r>
          </w:p>
        </w:tc>
        <w:tc>
          <w:tcPr>
            <w:tcW w:w="724" w:type="dxa"/>
          </w:tcPr>
          <w:p>
            <w:pPr>
              <w:pStyle w:val="0"/>
            </w:pPr>
            <w:r>
              <w:rPr>
                <w:sz w:val="20"/>
              </w:rPr>
              <w:t xml:space="preserve">456</w:t>
            </w:r>
          </w:p>
        </w:tc>
        <w:tc>
          <w:tcPr>
            <w:tcW w:w="724" w:type="dxa"/>
          </w:tcPr>
          <w:p>
            <w:pPr>
              <w:pStyle w:val="0"/>
            </w:pPr>
            <w:r>
              <w:rPr>
                <w:sz w:val="20"/>
              </w:rPr>
              <w:t xml:space="preserve">374</w:t>
            </w:r>
          </w:p>
        </w:tc>
        <w:tc>
          <w:tcPr>
            <w:tcW w:w="724" w:type="dxa"/>
          </w:tcPr>
          <w:p>
            <w:pPr>
              <w:pStyle w:val="0"/>
            </w:pPr>
            <w:r>
              <w:rPr>
                <w:sz w:val="20"/>
              </w:rPr>
              <w:t xml:space="preserve">394</w:t>
            </w:r>
          </w:p>
        </w:tc>
        <w:tc>
          <w:tcPr>
            <w:tcW w:w="1984" w:type="dxa"/>
          </w:tcPr>
          <w:p>
            <w:pPr>
              <w:pStyle w:val="0"/>
            </w:pPr>
            <w:r>
              <w:rPr>
                <w:sz w:val="20"/>
              </w:rPr>
              <w:t xml:space="preserve">5,6</w:t>
            </w:r>
          </w:p>
        </w:tc>
      </w:tr>
      <w:tr>
        <w:tc>
          <w:tcPr>
            <w:tcW w:w="4876" w:type="dxa"/>
          </w:tcPr>
          <w:p>
            <w:pPr>
              <w:pStyle w:val="0"/>
            </w:pPr>
            <w:r>
              <w:rPr>
                <w:sz w:val="20"/>
              </w:rPr>
              <w:t xml:space="preserve">Болезни органов пищеварения</w:t>
            </w:r>
          </w:p>
        </w:tc>
        <w:tc>
          <w:tcPr>
            <w:tcW w:w="724" w:type="dxa"/>
          </w:tcPr>
          <w:p>
            <w:pPr>
              <w:pStyle w:val="0"/>
            </w:pPr>
            <w:r>
              <w:rPr>
                <w:sz w:val="20"/>
              </w:rPr>
              <w:t xml:space="preserve">744</w:t>
            </w:r>
          </w:p>
        </w:tc>
        <w:tc>
          <w:tcPr>
            <w:tcW w:w="724" w:type="dxa"/>
          </w:tcPr>
          <w:p>
            <w:pPr>
              <w:pStyle w:val="0"/>
            </w:pPr>
            <w:r>
              <w:rPr>
                <w:sz w:val="20"/>
              </w:rPr>
              <w:t xml:space="preserve">664</w:t>
            </w:r>
          </w:p>
        </w:tc>
        <w:tc>
          <w:tcPr>
            <w:tcW w:w="724" w:type="dxa"/>
          </w:tcPr>
          <w:p>
            <w:pPr>
              <w:pStyle w:val="0"/>
            </w:pPr>
            <w:r>
              <w:rPr>
                <w:sz w:val="20"/>
              </w:rPr>
              <w:t xml:space="preserve">675</w:t>
            </w:r>
          </w:p>
        </w:tc>
        <w:tc>
          <w:tcPr>
            <w:tcW w:w="1984" w:type="dxa"/>
          </w:tcPr>
          <w:p>
            <w:pPr>
              <w:pStyle w:val="0"/>
            </w:pPr>
            <w:r>
              <w:rPr>
                <w:sz w:val="20"/>
              </w:rPr>
              <w:t xml:space="preserve">1,7</w:t>
            </w:r>
          </w:p>
        </w:tc>
      </w:tr>
      <w:tr>
        <w:tc>
          <w:tcPr>
            <w:tcW w:w="4876" w:type="dxa"/>
          </w:tcPr>
          <w:p>
            <w:pPr>
              <w:pStyle w:val="0"/>
            </w:pPr>
            <w:r>
              <w:rPr>
                <w:sz w:val="20"/>
              </w:rPr>
              <w:t xml:space="preserve">Травмы, отравления (внешние причины)</w:t>
            </w:r>
          </w:p>
        </w:tc>
        <w:tc>
          <w:tcPr>
            <w:tcW w:w="724" w:type="dxa"/>
          </w:tcPr>
          <w:p>
            <w:pPr>
              <w:pStyle w:val="0"/>
            </w:pPr>
            <w:r>
              <w:rPr>
                <w:sz w:val="20"/>
              </w:rPr>
              <w:t xml:space="preserve">1231</w:t>
            </w:r>
          </w:p>
        </w:tc>
        <w:tc>
          <w:tcPr>
            <w:tcW w:w="724" w:type="dxa"/>
          </w:tcPr>
          <w:p>
            <w:pPr>
              <w:pStyle w:val="0"/>
            </w:pPr>
            <w:r>
              <w:rPr>
                <w:sz w:val="20"/>
              </w:rPr>
              <w:t xml:space="preserve">931</w:t>
            </w:r>
          </w:p>
        </w:tc>
        <w:tc>
          <w:tcPr>
            <w:tcW w:w="724" w:type="dxa"/>
          </w:tcPr>
          <w:p>
            <w:pPr>
              <w:pStyle w:val="0"/>
            </w:pPr>
            <w:r>
              <w:rPr>
                <w:sz w:val="20"/>
              </w:rPr>
              <w:t xml:space="preserve">880</w:t>
            </w:r>
          </w:p>
        </w:tc>
        <w:tc>
          <w:tcPr>
            <w:tcW w:w="1984" w:type="dxa"/>
          </w:tcPr>
          <w:p>
            <w:pPr>
              <w:pStyle w:val="0"/>
            </w:pPr>
            <w:r>
              <w:rPr>
                <w:sz w:val="20"/>
              </w:rPr>
              <w:t xml:space="preserve">-5,5</w:t>
            </w:r>
          </w:p>
        </w:tc>
      </w:tr>
      <w:tr>
        <w:tc>
          <w:tcPr>
            <w:tcW w:w="4876" w:type="dxa"/>
          </w:tcPr>
          <w:p>
            <w:pPr>
              <w:pStyle w:val="0"/>
            </w:pPr>
            <w:r>
              <w:rPr>
                <w:sz w:val="20"/>
              </w:rPr>
              <w:t xml:space="preserve">Новая коронавирусная инфекция COVID-19</w:t>
            </w:r>
          </w:p>
        </w:tc>
        <w:tc>
          <w:tcPr>
            <w:tcW w:w="724" w:type="dxa"/>
          </w:tcPr>
          <w:p>
            <w:pPr>
              <w:pStyle w:val="0"/>
            </w:pPr>
            <w:r>
              <w:rPr>
                <w:sz w:val="20"/>
              </w:rPr>
              <w:t xml:space="preserve">850</w:t>
            </w:r>
          </w:p>
        </w:tc>
        <w:tc>
          <w:tcPr>
            <w:tcW w:w="724" w:type="dxa"/>
          </w:tcPr>
          <w:p>
            <w:pPr>
              <w:pStyle w:val="0"/>
            </w:pPr>
            <w:r>
              <w:rPr>
                <w:sz w:val="20"/>
              </w:rPr>
              <w:t xml:space="preserve">2802</w:t>
            </w:r>
          </w:p>
        </w:tc>
        <w:tc>
          <w:tcPr>
            <w:tcW w:w="724" w:type="dxa"/>
          </w:tcPr>
          <w:p>
            <w:pPr>
              <w:pStyle w:val="0"/>
            </w:pPr>
            <w:r>
              <w:rPr>
                <w:sz w:val="20"/>
              </w:rPr>
              <w:t xml:space="preserve">633</w:t>
            </w:r>
          </w:p>
        </w:tc>
        <w:tc>
          <w:tcPr>
            <w:tcW w:w="1984" w:type="dxa"/>
          </w:tcPr>
          <w:p>
            <w:pPr>
              <w:pStyle w:val="0"/>
            </w:pPr>
            <w:r>
              <w:rPr>
                <w:sz w:val="20"/>
              </w:rPr>
              <w:t xml:space="preserve">- в 4 раза</w:t>
            </w:r>
          </w:p>
        </w:tc>
      </w:tr>
      <w:tr>
        <w:tc>
          <w:tcPr>
            <w:tcW w:w="4876" w:type="dxa"/>
          </w:tcPr>
          <w:p>
            <w:pPr>
              <w:pStyle w:val="0"/>
            </w:pPr>
            <w:r>
              <w:rPr>
                <w:sz w:val="20"/>
              </w:rPr>
              <w:t xml:space="preserve">Итого</w:t>
            </w:r>
          </w:p>
        </w:tc>
        <w:tc>
          <w:tcPr>
            <w:tcW w:w="724" w:type="dxa"/>
          </w:tcPr>
          <w:p>
            <w:pPr>
              <w:pStyle w:val="0"/>
            </w:pPr>
            <w:r>
              <w:rPr>
                <w:sz w:val="20"/>
              </w:rPr>
              <w:t xml:space="preserve">12794</w:t>
            </w:r>
          </w:p>
        </w:tc>
        <w:tc>
          <w:tcPr>
            <w:tcW w:w="724" w:type="dxa"/>
          </w:tcPr>
          <w:p>
            <w:pPr>
              <w:pStyle w:val="0"/>
            </w:pPr>
            <w:r>
              <w:rPr>
                <w:sz w:val="20"/>
              </w:rPr>
              <w:t xml:space="preserve">14440</w:t>
            </w:r>
          </w:p>
        </w:tc>
        <w:tc>
          <w:tcPr>
            <w:tcW w:w="724" w:type="dxa"/>
          </w:tcPr>
          <w:p>
            <w:pPr>
              <w:pStyle w:val="0"/>
            </w:pPr>
            <w:r>
              <w:rPr>
                <w:sz w:val="20"/>
              </w:rPr>
              <w:t xml:space="preserve">11175</w:t>
            </w:r>
          </w:p>
        </w:tc>
        <w:tc>
          <w:tcPr>
            <w:tcW w:w="1984" w:type="dxa"/>
          </w:tcPr>
          <w:p>
            <w:pPr>
              <w:pStyle w:val="0"/>
            </w:pPr>
            <w:r>
              <w:rPr>
                <w:sz w:val="20"/>
              </w:rPr>
              <w:t xml:space="preserve">-22,6</w:t>
            </w:r>
          </w:p>
        </w:tc>
      </w:tr>
    </w:tbl>
    <w:p>
      <w:pPr>
        <w:pStyle w:val="0"/>
        <w:ind w:firstLine="540"/>
        <w:jc w:val="both"/>
      </w:pPr>
      <w:r>
        <w:rPr>
          <w:sz w:val="20"/>
        </w:rPr>
      </w:r>
    </w:p>
    <w:p>
      <w:pPr>
        <w:pStyle w:val="0"/>
        <w:ind w:firstLine="540"/>
        <w:jc w:val="both"/>
      </w:pPr>
      <w:r>
        <w:rPr>
          <w:sz w:val="20"/>
        </w:rPr>
        <w:t xml:space="preserve">В 2022 году наблюдается снижение числа умерших практически по всем основным классам заболеваний, за исключением болезней эндокринной системы, органов пищеварения и ВИЧ-инфекции. По всем нозологиям класса БСК зарегистрировано существенное снижение числа умерших.</w:t>
      </w:r>
    </w:p>
    <w:p>
      <w:pPr>
        <w:pStyle w:val="0"/>
        <w:spacing w:before="200" w:line-rule="auto"/>
        <w:ind w:firstLine="540"/>
        <w:jc w:val="both"/>
      </w:pPr>
      <w:r>
        <w:rPr>
          <w:sz w:val="20"/>
        </w:rPr>
        <w:t xml:space="preserve">По итогам 2022 года автономный округ, как и прежде, входит в пятерку субъектов РФ с самым низким уровнем смертности от БСК. Показатель смертности от БСК в 2022 г. - 255,2 на 100 тыс. населения, что в 2,5 раза ниже, чем по РФ (641,7 на 100 тыс. в 2021 году).</w:t>
      </w:r>
    </w:p>
    <w:p>
      <w:pPr>
        <w:pStyle w:val="0"/>
        <w:ind w:firstLine="540"/>
        <w:jc w:val="both"/>
      </w:pPr>
      <w:r>
        <w:rPr>
          <w:sz w:val="20"/>
        </w:rPr>
      </w:r>
    </w:p>
    <w:p>
      <w:pPr>
        <w:pStyle w:val="0"/>
        <w:jc w:val="right"/>
      </w:pPr>
      <w:r>
        <w:rPr>
          <w:sz w:val="20"/>
        </w:rPr>
        <w:t xml:space="preserve">Рисунок 2</w:t>
      </w:r>
    </w:p>
    <w:p>
      <w:pPr>
        <w:pStyle w:val="0"/>
        <w:jc w:val="right"/>
      </w:pPr>
      <w:r>
        <w:rPr>
          <w:sz w:val="20"/>
        </w:rPr>
      </w:r>
    </w:p>
    <w:p>
      <w:pPr>
        <w:pStyle w:val="0"/>
        <w:jc w:val="center"/>
      </w:pPr>
      <w:r>
        <w:rPr>
          <w:sz w:val="20"/>
        </w:rPr>
        <w:t xml:space="preserve">Динамика уровня смертности от БСК, ИБС, ИМ 2018 - 2022 годы</w:t>
      </w:r>
    </w:p>
    <w:p>
      <w:pPr>
        <w:pStyle w:val="0"/>
        <w:jc w:val="center"/>
      </w:pPr>
      <w:r>
        <w:rPr>
          <w:sz w:val="20"/>
        </w:rPr>
        <w:t xml:space="preserve">(на 100 тыс. населения) и целевой показатель на 2023 год</w:t>
      </w:r>
    </w:p>
    <w:p>
      <w:pPr>
        <w:pStyle w:val="0"/>
        <w:jc w:val="center"/>
      </w:pPr>
      <w:r>
        <w:rPr>
          <w:sz w:val="20"/>
        </w:rPr>
      </w:r>
    </w:p>
    <w:p>
      <w:pPr>
        <w:pStyle w:val="0"/>
        <w:jc w:val="center"/>
      </w:pPr>
      <w:r>
        <w:rPr>
          <w:position w:val="-178"/>
        </w:rPr>
        <w:drawing>
          <wp:inline distT="0" distB="0" distL="0" distR="0">
            <wp:extent cx="5351780" cy="2389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5351780" cy="2389505"/>
                    </a:xfrm>
                    <a:prstGeom prst="rect">
                      <a:avLst/>
                    </a:prstGeom>
                    <a:noFill/>
                    <a:ln>
                      <a:noFill/>
                    </a:ln>
                  </pic:spPr>
                </pic:pic>
              </a:graphicData>
            </a:graphic>
          </wp:inline>
        </w:drawing>
      </w:r>
    </w:p>
    <w:p>
      <w:pPr>
        <w:pStyle w:val="0"/>
        <w:jc w:val="right"/>
      </w:pPr>
      <w:r>
        <w:rPr>
          <w:sz w:val="20"/>
        </w:rPr>
      </w:r>
    </w:p>
    <w:p>
      <w:pPr>
        <w:pStyle w:val="0"/>
        <w:jc w:val="right"/>
      </w:pPr>
      <w:r>
        <w:rPr>
          <w:sz w:val="20"/>
        </w:rPr>
        <w:t xml:space="preserve">Рисунок 3</w:t>
      </w:r>
    </w:p>
    <w:p>
      <w:pPr>
        <w:pStyle w:val="0"/>
        <w:jc w:val="right"/>
      </w:pPr>
      <w:r>
        <w:rPr>
          <w:sz w:val="20"/>
        </w:rPr>
      </w:r>
    </w:p>
    <w:p>
      <w:pPr>
        <w:pStyle w:val="0"/>
        <w:jc w:val="center"/>
      </w:pPr>
      <w:r>
        <w:rPr>
          <w:sz w:val="20"/>
        </w:rPr>
        <w:t xml:space="preserve">Структура смертности населения в автономном округе - Югре</w:t>
      </w:r>
    </w:p>
    <w:p>
      <w:pPr>
        <w:pStyle w:val="0"/>
        <w:jc w:val="center"/>
      </w:pPr>
      <w:r>
        <w:rPr>
          <w:sz w:val="20"/>
        </w:rPr>
        <w:t xml:space="preserve">в 2022 году</w:t>
      </w:r>
    </w:p>
    <w:p>
      <w:pPr>
        <w:pStyle w:val="0"/>
        <w:jc w:val="center"/>
      </w:pPr>
      <w:r>
        <w:rPr>
          <w:sz w:val="20"/>
        </w:rPr>
      </w:r>
    </w:p>
    <w:p>
      <w:pPr>
        <w:pStyle w:val="0"/>
        <w:jc w:val="center"/>
      </w:pPr>
      <w:r>
        <w:rPr>
          <w:position w:val="-239"/>
        </w:rPr>
        <w:drawing>
          <wp:inline distT="0" distB="0" distL="0" distR="0">
            <wp:extent cx="2950210" cy="3169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2950210" cy="3169920"/>
                    </a:xfrm>
                    <a:prstGeom prst="rect">
                      <a:avLst/>
                    </a:prstGeom>
                    <a:noFill/>
                    <a:ln>
                      <a:noFill/>
                    </a:ln>
                  </pic:spPr>
                </pic:pic>
              </a:graphicData>
            </a:graphic>
          </wp:inline>
        </w:drawing>
      </w:r>
    </w:p>
    <w:p>
      <w:pPr>
        <w:pStyle w:val="0"/>
        <w:jc w:val="center"/>
      </w:pPr>
      <w:r>
        <w:rPr>
          <w:sz w:val="20"/>
        </w:rPr>
      </w:r>
    </w:p>
    <w:p>
      <w:pPr>
        <w:pStyle w:val="0"/>
        <w:jc w:val="right"/>
      </w:pPr>
      <w:r>
        <w:rPr>
          <w:sz w:val="20"/>
        </w:rPr>
        <w:t xml:space="preserve">Таблица 5</w:t>
      </w:r>
    </w:p>
    <w:p>
      <w:pPr>
        <w:pStyle w:val="0"/>
        <w:jc w:val="right"/>
      </w:pPr>
      <w:r>
        <w:rPr>
          <w:sz w:val="20"/>
        </w:rPr>
      </w:r>
    </w:p>
    <w:p>
      <w:pPr>
        <w:pStyle w:val="0"/>
        <w:jc w:val="center"/>
      </w:pPr>
      <w:r>
        <w:rPr>
          <w:sz w:val="20"/>
        </w:rPr>
        <w:t xml:space="preserve">Структура смертности от БСК (Росстат)</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59"/>
        <w:gridCol w:w="694"/>
        <w:gridCol w:w="664"/>
        <w:gridCol w:w="694"/>
        <w:gridCol w:w="664"/>
        <w:gridCol w:w="694"/>
        <w:gridCol w:w="664"/>
        <w:gridCol w:w="694"/>
        <w:gridCol w:w="664"/>
        <w:gridCol w:w="694"/>
        <w:gridCol w:w="904"/>
        <w:gridCol w:w="904"/>
      </w:tblGrid>
      <w:tr>
        <w:tc>
          <w:tcPr>
            <w:tcW w:w="1459" w:type="dxa"/>
          </w:tcPr>
          <w:p>
            <w:pPr>
              <w:pStyle w:val="0"/>
              <w:jc w:val="center"/>
            </w:pPr>
            <w:r>
              <w:rPr>
                <w:sz w:val="20"/>
              </w:rPr>
              <w:t xml:space="preserve">Период</w:t>
            </w:r>
          </w:p>
        </w:tc>
        <w:tc>
          <w:tcPr>
            <w:gridSpan w:val="2"/>
            <w:tcW w:w="1358" w:type="dxa"/>
          </w:tcPr>
          <w:p>
            <w:pPr>
              <w:pStyle w:val="0"/>
              <w:jc w:val="center"/>
            </w:pPr>
            <w:r>
              <w:rPr>
                <w:sz w:val="20"/>
              </w:rPr>
              <w:t xml:space="preserve">2018</w:t>
            </w:r>
          </w:p>
        </w:tc>
        <w:tc>
          <w:tcPr>
            <w:gridSpan w:val="2"/>
            <w:tcW w:w="1358" w:type="dxa"/>
          </w:tcPr>
          <w:p>
            <w:pPr>
              <w:pStyle w:val="0"/>
              <w:jc w:val="center"/>
            </w:pPr>
            <w:r>
              <w:rPr>
                <w:sz w:val="20"/>
              </w:rPr>
              <w:t xml:space="preserve">2019</w:t>
            </w:r>
          </w:p>
        </w:tc>
        <w:tc>
          <w:tcPr>
            <w:gridSpan w:val="2"/>
            <w:tcW w:w="1358" w:type="dxa"/>
          </w:tcPr>
          <w:p>
            <w:pPr>
              <w:pStyle w:val="0"/>
              <w:jc w:val="center"/>
            </w:pPr>
            <w:r>
              <w:rPr>
                <w:sz w:val="20"/>
              </w:rPr>
              <w:t xml:space="preserve">2020</w:t>
            </w:r>
          </w:p>
        </w:tc>
        <w:tc>
          <w:tcPr>
            <w:gridSpan w:val="2"/>
            <w:tcW w:w="1358" w:type="dxa"/>
          </w:tcPr>
          <w:p>
            <w:pPr>
              <w:pStyle w:val="0"/>
              <w:jc w:val="center"/>
            </w:pPr>
            <w:r>
              <w:rPr>
                <w:sz w:val="20"/>
              </w:rPr>
              <w:t xml:space="preserve">2021</w:t>
            </w:r>
          </w:p>
        </w:tc>
        <w:tc>
          <w:tcPr>
            <w:gridSpan w:val="2"/>
            <w:tcW w:w="1598" w:type="dxa"/>
          </w:tcPr>
          <w:p>
            <w:pPr>
              <w:pStyle w:val="0"/>
              <w:jc w:val="center"/>
            </w:pPr>
            <w:r>
              <w:rPr>
                <w:sz w:val="20"/>
              </w:rPr>
              <w:t xml:space="preserve">2022</w:t>
            </w:r>
          </w:p>
        </w:tc>
        <w:tc>
          <w:tcPr>
            <w:tcW w:w="904" w:type="dxa"/>
            <w:vMerge w:val="restart"/>
          </w:tcPr>
          <w:p>
            <w:pPr>
              <w:pStyle w:val="0"/>
              <w:jc w:val="center"/>
            </w:pPr>
            <w:r>
              <w:rPr>
                <w:sz w:val="20"/>
              </w:rPr>
              <w:t xml:space="preserve">2021 год,</w:t>
            </w:r>
          </w:p>
          <w:p>
            <w:pPr>
              <w:pStyle w:val="0"/>
              <w:jc w:val="center"/>
            </w:pPr>
            <w:r>
              <w:rPr>
                <w:sz w:val="20"/>
              </w:rPr>
              <w:t xml:space="preserve">РФ</w:t>
            </w:r>
          </w:p>
        </w:tc>
      </w:tr>
      <w:tr>
        <w:tc>
          <w:tcPr>
            <w:tcW w:w="1459" w:type="dxa"/>
          </w:tcPr>
          <w:p>
            <w:pPr>
              <w:pStyle w:val="0"/>
              <w:jc w:val="center"/>
            </w:pPr>
            <w:r>
              <w:rPr>
                <w:sz w:val="20"/>
              </w:rPr>
              <w:t xml:space="preserve">Население</w:t>
            </w:r>
          </w:p>
        </w:tc>
        <w:tc>
          <w:tcPr>
            <w:gridSpan w:val="2"/>
            <w:tcW w:w="1358" w:type="dxa"/>
          </w:tcPr>
          <w:p>
            <w:pPr>
              <w:pStyle w:val="0"/>
              <w:jc w:val="center"/>
            </w:pPr>
            <w:r>
              <w:rPr>
                <w:sz w:val="20"/>
              </w:rPr>
              <w:t xml:space="preserve">1663795</w:t>
            </w:r>
          </w:p>
        </w:tc>
        <w:tc>
          <w:tcPr>
            <w:gridSpan w:val="2"/>
            <w:tcW w:w="1358" w:type="dxa"/>
          </w:tcPr>
          <w:p>
            <w:pPr>
              <w:pStyle w:val="0"/>
              <w:jc w:val="center"/>
            </w:pPr>
            <w:r>
              <w:rPr>
                <w:sz w:val="20"/>
              </w:rPr>
              <w:t xml:space="preserve">1669236</w:t>
            </w:r>
          </w:p>
        </w:tc>
        <w:tc>
          <w:tcPr>
            <w:gridSpan w:val="2"/>
            <w:tcW w:w="1358" w:type="dxa"/>
          </w:tcPr>
          <w:p>
            <w:pPr>
              <w:pStyle w:val="0"/>
              <w:jc w:val="center"/>
            </w:pPr>
            <w:r>
              <w:rPr>
                <w:sz w:val="20"/>
              </w:rPr>
              <w:t xml:space="preserve">1687654</w:t>
            </w:r>
          </w:p>
        </w:tc>
        <w:tc>
          <w:tcPr>
            <w:gridSpan w:val="2"/>
            <w:tcW w:w="1358" w:type="dxa"/>
          </w:tcPr>
          <w:p>
            <w:pPr>
              <w:pStyle w:val="0"/>
              <w:jc w:val="center"/>
            </w:pPr>
            <w:r>
              <w:rPr>
                <w:sz w:val="20"/>
              </w:rPr>
              <w:t xml:space="preserve">1702240</w:t>
            </w:r>
          </w:p>
        </w:tc>
        <w:tc>
          <w:tcPr>
            <w:gridSpan w:val="2"/>
            <w:tcW w:w="1598" w:type="dxa"/>
          </w:tcPr>
          <w:p>
            <w:pPr>
              <w:pStyle w:val="0"/>
              <w:jc w:val="center"/>
            </w:pPr>
            <w:r>
              <w:rPr>
                <w:sz w:val="20"/>
              </w:rPr>
              <w:t xml:space="preserve">1721618</w:t>
            </w:r>
          </w:p>
        </w:tc>
        <w:tc>
          <w:tcPr>
            <w:vMerge w:val="continue"/>
          </w:tcPr>
          <w:p/>
        </w:tc>
      </w:tr>
      <w:tr>
        <w:tc>
          <w:tcPr>
            <w:tcW w:w="1459" w:type="dxa"/>
          </w:tcPr>
          <w:p>
            <w:pPr>
              <w:pStyle w:val="0"/>
              <w:jc w:val="center"/>
            </w:pPr>
            <w:r>
              <w:rPr>
                <w:sz w:val="20"/>
              </w:rPr>
              <w:t xml:space="preserve">Заболевания:</w:t>
            </w:r>
          </w:p>
        </w:tc>
        <w:tc>
          <w:tcPr>
            <w:tcW w:w="694" w:type="dxa"/>
          </w:tcPr>
          <w:p>
            <w:pPr>
              <w:pStyle w:val="0"/>
              <w:jc w:val="center"/>
            </w:pPr>
            <w:r>
              <w:rPr>
                <w:sz w:val="20"/>
              </w:rPr>
              <w:t xml:space="preserve">абс. ч.</w:t>
            </w:r>
          </w:p>
        </w:tc>
        <w:tc>
          <w:tcPr>
            <w:tcW w:w="664" w:type="dxa"/>
          </w:tcPr>
          <w:p>
            <w:pPr>
              <w:pStyle w:val="0"/>
              <w:jc w:val="center"/>
            </w:pPr>
            <w:r>
              <w:rPr>
                <w:sz w:val="20"/>
              </w:rPr>
              <w:t xml:space="preserve">на 100 тыс. нас.</w:t>
            </w:r>
          </w:p>
        </w:tc>
        <w:tc>
          <w:tcPr>
            <w:tcW w:w="694" w:type="dxa"/>
          </w:tcPr>
          <w:p>
            <w:pPr>
              <w:pStyle w:val="0"/>
              <w:jc w:val="center"/>
            </w:pPr>
            <w:r>
              <w:rPr>
                <w:sz w:val="20"/>
              </w:rPr>
              <w:t xml:space="preserve">абс. ч.</w:t>
            </w:r>
          </w:p>
        </w:tc>
        <w:tc>
          <w:tcPr>
            <w:tcW w:w="664" w:type="dxa"/>
          </w:tcPr>
          <w:p>
            <w:pPr>
              <w:pStyle w:val="0"/>
              <w:jc w:val="center"/>
            </w:pPr>
            <w:r>
              <w:rPr>
                <w:sz w:val="20"/>
              </w:rPr>
              <w:t xml:space="preserve">на 100 тыс. нас.</w:t>
            </w:r>
          </w:p>
        </w:tc>
        <w:tc>
          <w:tcPr>
            <w:tcW w:w="694" w:type="dxa"/>
          </w:tcPr>
          <w:p>
            <w:pPr>
              <w:pStyle w:val="0"/>
              <w:jc w:val="center"/>
            </w:pPr>
            <w:r>
              <w:rPr>
                <w:sz w:val="20"/>
              </w:rPr>
              <w:t xml:space="preserve">абс. ч.</w:t>
            </w:r>
          </w:p>
        </w:tc>
        <w:tc>
          <w:tcPr>
            <w:tcW w:w="664" w:type="dxa"/>
          </w:tcPr>
          <w:p>
            <w:pPr>
              <w:pStyle w:val="0"/>
              <w:jc w:val="center"/>
            </w:pPr>
            <w:r>
              <w:rPr>
                <w:sz w:val="20"/>
              </w:rPr>
              <w:t xml:space="preserve">на 100 тыс. нас.</w:t>
            </w:r>
          </w:p>
        </w:tc>
        <w:tc>
          <w:tcPr>
            <w:tcW w:w="694" w:type="dxa"/>
          </w:tcPr>
          <w:p>
            <w:pPr>
              <w:pStyle w:val="0"/>
              <w:jc w:val="center"/>
            </w:pPr>
            <w:r>
              <w:rPr>
                <w:sz w:val="20"/>
              </w:rPr>
              <w:t xml:space="preserve">абс. ч.</w:t>
            </w:r>
          </w:p>
        </w:tc>
        <w:tc>
          <w:tcPr>
            <w:tcW w:w="664" w:type="dxa"/>
          </w:tcPr>
          <w:p>
            <w:pPr>
              <w:pStyle w:val="0"/>
              <w:jc w:val="center"/>
            </w:pPr>
            <w:r>
              <w:rPr>
                <w:sz w:val="20"/>
              </w:rPr>
              <w:t xml:space="preserve">на 100 тыс. нас.</w:t>
            </w:r>
          </w:p>
        </w:tc>
        <w:tc>
          <w:tcPr>
            <w:tcW w:w="694" w:type="dxa"/>
          </w:tcPr>
          <w:p>
            <w:pPr>
              <w:pStyle w:val="0"/>
              <w:jc w:val="center"/>
            </w:pPr>
            <w:r>
              <w:rPr>
                <w:sz w:val="20"/>
              </w:rPr>
              <w:t xml:space="preserve">абс. ч.</w:t>
            </w:r>
          </w:p>
        </w:tc>
        <w:tc>
          <w:tcPr>
            <w:tcW w:w="904" w:type="dxa"/>
          </w:tcPr>
          <w:p>
            <w:pPr>
              <w:pStyle w:val="0"/>
              <w:jc w:val="center"/>
            </w:pPr>
            <w:r>
              <w:rPr>
                <w:sz w:val="20"/>
              </w:rPr>
              <w:t xml:space="preserve">на 100 тыс. нас</w:t>
            </w:r>
          </w:p>
        </w:tc>
        <w:tc>
          <w:tcPr>
            <w:tcW w:w="904" w:type="dxa"/>
          </w:tcPr>
          <w:p>
            <w:pPr>
              <w:pStyle w:val="0"/>
              <w:jc w:val="center"/>
            </w:pPr>
            <w:r>
              <w:rPr>
                <w:sz w:val="20"/>
              </w:rPr>
              <w:t xml:space="preserve">на 100 тыс. нас</w:t>
            </w:r>
          </w:p>
        </w:tc>
      </w:tr>
      <w:tr>
        <w:tc>
          <w:tcPr>
            <w:tcW w:w="1459" w:type="dxa"/>
          </w:tcPr>
          <w:p>
            <w:pPr>
              <w:pStyle w:val="0"/>
            </w:pPr>
            <w:r>
              <w:rPr>
                <w:sz w:val="20"/>
              </w:rPr>
              <w:t xml:space="preserve">ИМ</w:t>
            </w:r>
          </w:p>
        </w:tc>
        <w:tc>
          <w:tcPr>
            <w:tcW w:w="694" w:type="dxa"/>
          </w:tcPr>
          <w:p>
            <w:pPr>
              <w:pStyle w:val="0"/>
            </w:pPr>
            <w:r>
              <w:rPr>
                <w:sz w:val="20"/>
              </w:rPr>
              <w:t xml:space="preserve">286</w:t>
            </w:r>
          </w:p>
        </w:tc>
        <w:tc>
          <w:tcPr>
            <w:tcW w:w="664" w:type="dxa"/>
          </w:tcPr>
          <w:p>
            <w:pPr>
              <w:pStyle w:val="0"/>
            </w:pPr>
            <w:r>
              <w:rPr>
                <w:sz w:val="20"/>
              </w:rPr>
              <w:t xml:space="preserve">17,2</w:t>
            </w:r>
          </w:p>
        </w:tc>
        <w:tc>
          <w:tcPr>
            <w:tcW w:w="694" w:type="dxa"/>
          </w:tcPr>
          <w:p>
            <w:pPr>
              <w:pStyle w:val="0"/>
            </w:pPr>
            <w:r>
              <w:rPr>
                <w:sz w:val="20"/>
              </w:rPr>
              <w:t xml:space="preserve">220</w:t>
            </w:r>
          </w:p>
        </w:tc>
        <w:tc>
          <w:tcPr>
            <w:tcW w:w="664" w:type="dxa"/>
          </w:tcPr>
          <w:p>
            <w:pPr>
              <w:pStyle w:val="0"/>
            </w:pPr>
            <w:r>
              <w:rPr>
                <w:sz w:val="20"/>
              </w:rPr>
              <w:t xml:space="preserve">13,2</w:t>
            </w:r>
          </w:p>
        </w:tc>
        <w:tc>
          <w:tcPr>
            <w:tcW w:w="694" w:type="dxa"/>
          </w:tcPr>
          <w:p>
            <w:pPr>
              <w:pStyle w:val="0"/>
            </w:pPr>
            <w:r>
              <w:rPr>
                <w:sz w:val="20"/>
              </w:rPr>
              <w:t xml:space="preserve">211</w:t>
            </w:r>
          </w:p>
        </w:tc>
        <w:tc>
          <w:tcPr>
            <w:tcW w:w="664" w:type="dxa"/>
          </w:tcPr>
          <w:p>
            <w:pPr>
              <w:pStyle w:val="0"/>
            </w:pPr>
            <w:r>
              <w:rPr>
                <w:sz w:val="20"/>
              </w:rPr>
              <w:t xml:space="preserve">12,5</w:t>
            </w:r>
          </w:p>
        </w:tc>
        <w:tc>
          <w:tcPr>
            <w:tcW w:w="694" w:type="dxa"/>
          </w:tcPr>
          <w:p>
            <w:pPr>
              <w:pStyle w:val="0"/>
            </w:pPr>
            <w:r>
              <w:rPr>
                <w:sz w:val="20"/>
              </w:rPr>
              <w:t xml:space="preserve">224</w:t>
            </w:r>
          </w:p>
        </w:tc>
        <w:tc>
          <w:tcPr>
            <w:tcW w:w="664" w:type="dxa"/>
          </w:tcPr>
          <w:p>
            <w:pPr>
              <w:pStyle w:val="0"/>
            </w:pPr>
            <w:r>
              <w:rPr>
                <w:sz w:val="20"/>
              </w:rPr>
              <w:t xml:space="preserve">13,2</w:t>
            </w:r>
          </w:p>
        </w:tc>
        <w:tc>
          <w:tcPr>
            <w:tcW w:w="694" w:type="dxa"/>
          </w:tcPr>
          <w:p>
            <w:pPr>
              <w:pStyle w:val="0"/>
            </w:pPr>
            <w:r>
              <w:rPr>
                <w:sz w:val="20"/>
              </w:rPr>
              <w:t xml:space="preserve">181</w:t>
            </w:r>
          </w:p>
        </w:tc>
        <w:tc>
          <w:tcPr>
            <w:tcW w:w="904" w:type="dxa"/>
          </w:tcPr>
          <w:p>
            <w:pPr>
              <w:pStyle w:val="0"/>
            </w:pPr>
            <w:r>
              <w:rPr>
                <w:sz w:val="20"/>
              </w:rPr>
              <w:t xml:space="preserve">10,5</w:t>
            </w:r>
          </w:p>
        </w:tc>
        <w:tc>
          <w:tcPr>
            <w:tcW w:w="904" w:type="dxa"/>
          </w:tcPr>
          <w:p>
            <w:pPr>
              <w:pStyle w:val="0"/>
            </w:pPr>
            <w:r>
              <w:rPr>
                <w:sz w:val="20"/>
              </w:rPr>
              <w:t xml:space="preserve">39,7</w:t>
            </w:r>
          </w:p>
        </w:tc>
      </w:tr>
      <w:tr>
        <w:tc>
          <w:tcPr>
            <w:tcW w:w="1459" w:type="dxa"/>
          </w:tcPr>
          <w:p>
            <w:pPr>
              <w:pStyle w:val="0"/>
            </w:pPr>
            <w:r>
              <w:rPr>
                <w:sz w:val="20"/>
              </w:rPr>
              <w:t xml:space="preserve">ИБС</w:t>
            </w:r>
          </w:p>
        </w:tc>
        <w:tc>
          <w:tcPr>
            <w:tcW w:w="694" w:type="dxa"/>
          </w:tcPr>
          <w:p>
            <w:pPr>
              <w:pStyle w:val="0"/>
            </w:pPr>
            <w:r>
              <w:rPr>
                <w:sz w:val="20"/>
              </w:rPr>
              <w:t xml:space="preserve">2 430</w:t>
            </w:r>
          </w:p>
        </w:tc>
        <w:tc>
          <w:tcPr>
            <w:tcW w:w="664" w:type="dxa"/>
          </w:tcPr>
          <w:p>
            <w:pPr>
              <w:pStyle w:val="0"/>
            </w:pPr>
            <w:r>
              <w:rPr>
                <w:sz w:val="20"/>
              </w:rPr>
              <w:t xml:space="preserve">146,4</w:t>
            </w:r>
          </w:p>
        </w:tc>
        <w:tc>
          <w:tcPr>
            <w:tcW w:w="694" w:type="dxa"/>
          </w:tcPr>
          <w:p>
            <w:pPr>
              <w:pStyle w:val="0"/>
            </w:pPr>
            <w:r>
              <w:rPr>
                <w:sz w:val="20"/>
              </w:rPr>
              <w:t xml:space="preserve">2303</w:t>
            </w:r>
          </w:p>
        </w:tc>
        <w:tc>
          <w:tcPr>
            <w:tcW w:w="664" w:type="dxa"/>
          </w:tcPr>
          <w:p>
            <w:pPr>
              <w:pStyle w:val="0"/>
            </w:pPr>
            <w:r>
              <w:rPr>
                <w:sz w:val="20"/>
              </w:rPr>
              <w:t xml:space="preserve">138,0</w:t>
            </w:r>
          </w:p>
        </w:tc>
        <w:tc>
          <w:tcPr>
            <w:tcW w:w="694" w:type="dxa"/>
          </w:tcPr>
          <w:p>
            <w:pPr>
              <w:pStyle w:val="0"/>
            </w:pPr>
            <w:r>
              <w:rPr>
                <w:sz w:val="20"/>
              </w:rPr>
              <w:t xml:space="preserve">2613</w:t>
            </w:r>
          </w:p>
        </w:tc>
        <w:tc>
          <w:tcPr>
            <w:tcW w:w="664" w:type="dxa"/>
          </w:tcPr>
          <w:p>
            <w:pPr>
              <w:pStyle w:val="0"/>
            </w:pPr>
            <w:r>
              <w:rPr>
                <w:sz w:val="20"/>
              </w:rPr>
              <w:t xml:space="preserve">155,4</w:t>
            </w:r>
          </w:p>
        </w:tc>
        <w:tc>
          <w:tcPr>
            <w:tcW w:w="694" w:type="dxa"/>
          </w:tcPr>
          <w:p>
            <w:pPr>
              <w:pStyle w:val="0"/>
            </w:pPr>
            <w:r>
              <w:rPr>
                <w:sz w:val="20"/>
              </w:rPr>
              <w:t xml:space="preserve">2730</w:t>
            </w:r>
          </w:p>
        </w:tc>
        <w:tc>
          <w:tcPr>
            <w:tcW w:w="664" w:type="dxa"/>
          </w:tcPr>
          <w:p>
            <w:pPr>
              <w:pStyle w:val="0"/>
            </w:pPr>
            <w:r>
              <w:rPr>
                <w:sz w:val="20"/>
              </w:rPr>
              <w:t xml:space="preserve">162,8</w:t>
            </w:r>
          </w:p>
        </w:tc>
        <w:tc>
          <w:tcPr>
            <w:tcW w:w="694" w:type="dxa"/>
          </w:tcPr>
          <w:p>
            <w:pPr>
              <w:pStyle w:val="0"/>
            </w:pPr>
            <w:r>
              <w:rPr>
                <w:sz w:val="20"/>
              </w:rPr>
              <w:t xml:space="preserve">2395</w:t>
            </w:r>
          </w:p>
        </w:tc>
        <w:tc>
          <w:tcPr>
            <w:tcW w:w="904" w:type="dxa"/>
          </w:tcPr>
          <w:p>
            <w:pPr>
              <w:pStyle w:val="0"/>
            </w:pPr>
            <w:r>
              <w:rPr>
                <w:sz w:val="20"/>
              </w:rPr>
              <w:t xml:space="preserve">139,1</w:t>
            </w:r>
          </w:p>
        </w:tc>
        <w:tc>
          <w:tcPr>
            <w:tcW w:w="904" w:type="dxa"/>
          </w:tcPr>
          <w:p>
            <w:pPr>
              <w:pStyle w:val="0"/>
            </w:pPr>
            <w:r>
              <w:rPr>
                <w:sz w:val="20"/>
              </w:rPr>
              <w:t xml:space="preserve">347,3</w:t>
            </w:r>
          </w:p>
        </w:tc>
      </w:tr>
      <w:tr>
        <w:tc>
          <w:tcPr>
            <w:tcW w:w="1459" w:type="dxa"/>
          </w:tcPr>
          <w:p>
            <w:pPr>
              <w:pStyle w:val="0"/>
            </w:pPr>
            <w:r>
              <w:rPr>
                <w:sz w:val="20"/>
              </w:rPr>
              <w:t xml:space="preserve">ОНМК</w:t>
            </w:r>
          </w:p>
        </w:tc>
        <w:tc>
          <w:tcPr>
            <w:tcW w:w="694" w:type="dxa"/>
          </w:tcPr>
          <w:p>
            <w:pPr>
              <w:pStyle w:val="0"/>
            </w:pPr>
            <w:r>
              <w:rPr>
                <w:sz w:val="20"/>
              </w:rPr>
              <w:t xml:space="preserve">471</w:t>
            </w:r>
          </w:p>
        </w:tc>
        <w:tc>
          <w:tcPr>
            <w:tcW w:w="664" w:type="dxa"/>
          </w:tcPr>
          <w:p>
            <w:pPr>
              <w:pStyle w:val="0"/>
            </w:pPr>
            <w:r>
              <w:rPr>
                <w:sz w:val="20"/>
              </w:rPr>
              <w:t xml:space="preserve">28,3</w:t>
            </w:r>
          </w:p>
        </w:tc>
        <w:tc>
          <w:tcPr>
            <w:tcW w:w="694" w:type="dxa"/>
          </w:tcPr>
          <w:p>
            <w:pPr>
              <w:pStyle w:val="0"/>
            </w:pPr>
            <w:r>
              <w:rPr>
                <w:sz w:val="20"/>
              </w:rPr>
              <w:t xml:space="preserve">414</w:t>
            </w:r>
          </w:p>
        </w:tc>
        <w:tc>
          <w:tcPr>
            <w:tcW w:w="664" w:type="dxa"/>
          </w:tcPr>
          <w:p>
            <w:pPr>
              <w:pStyle w:val="0"/>
            </w:pPr>
            <w:r>
              <w:rPr>
                <w:sz w:val="20"/>
              </w:rPr>
              <w:t xml:space="preserve">24,8</w:t>
            </w:r>
          </w:p>
        </w:tc>
        <w:tc>
          <w:tcPr>
            <w:tcW w:w="694" w:type="dxa"/>
          </w:tcPr>
          <w:p>
            <w:pPr>
              <w:pStyle w:val="0"/>
            </w:pPr>
            <w:r>
              <w:rPr>
                <w:sz w:val="20"/>
              </w:rPr>
              <w:t xml:space="preserve">420</w:t>
            </w:r>
          </w:p>
        </w:tc>
        <w:tc>
          <w:tcPr>
            <w:tcW w:w="664" w:type="dxa"/>
          </w:tcPr>
          <w:p>
            <w:pPr>
              <w:pStyle w:val="0"/>
            </w:pPr>
            <w:r>
              <w:rPr>
                <w:sz w:val="20"/>
              </w:rPr>
              <w:t xml:space="preserve">25,0</w:t>
            </w:r>
          </w:p>
        </w:tc>
        <w:tc>
          <w:tcPr>
            <w:tcW w:w="694" w:type="dxa"/>
          </w:tcPr>
          <w:p>
            <w:pPr>
              <w:pStyle w:val="0"/>
            </w:pPr>
            <w:r>
              <w:rPr>
                <w:sz w:val="20"/>
              </w:rPr>
              <w:t xml:space="preserve">443</w:t>
            </w:r>
          </w:p>
        </w:tc>
        <w:tc>
          <w:tcPr>
            <w:tcW w:w="664" w:type="dxa"/>
          </w:tcPr>
          <w:p>
            <w:pPr>
              <w:pStyle w:val="0"/>
            </w:pPr>
            <w:r>
              <w:rPr>
                <w:sz w:val="20"/>
              </w:rPr>
              <w:t xml:space="preserve">26,4</w:t>
            </w:r>
          </w:p>
        </w:tc>
        <w:tc>
          <w:tcPr>
            <w:tcW w:w="694" w:type="dxa"/>
          </w:tcPr>
          <w:p>
            <w:pPr>
              <w:pStyle w:val="0"/>
            </w:pPr>
            <w:r>
              <w:rPr>
                <w:sz w:val="20"/>
              </w:rPr>
              <w:t xml:space="preserve">387</w:t>
            </w:r>
          </w:p>
        </w:tc>
        <w:tc>
          <w:tcPr>
            <w:tcW w:w="904" w:type="dxa"/>
          </w:tcPr>
          <w:p>
            <w:pPr>
              <w:pStyle w:val="0"/>
            </w:pPr>
            <w:r>
              <w:rPr>
                <w:sz w:val="20"/>
              </w:rPr>
              <w:t xml:space="preserve">22,5</w:t>
            </w:r>
          </w:p>
        </w:tc>
        <w:tc>
          <w:tcPr>
            <w:tcW w:w="904" w:type="dxa"/>
          </w:tcPr>
          <w:p>
            <w:pPr>
              <w:pStyle w:val="0"/>
            </w:pPr>
            <w:r>
              <w:rPr>
                <w:sz w:val="20"/>
              </w:rPr>
              <w:t xml:space="preserve">92,4</w:t>
            </w:r>
          </w:p>
        </w:tc>
      </w:tr>
      <w:tr>
        <w:tc>
          <w:tcPr>
            <w:tcW w:w="1459" w:type="dxa"/>
          </w:tcPr>
          <w:p>
            <w:pPr>
              <w:pStyle w:val="0"/>
            </w:pPr>
            <w:r>
              <w:rPr>
                <w:sz w:val="20"/>
              </w:rPr>
              <w:t xml:space="preserve">ЦВБ</w:t>
            </w:r>
          </w:p>
        </w:tc>
        <w:tc>
          <w:tcPr>
            <w:tcW w:w="694" w:type="dxa"/>
          </w:tcPr>
          <w:p>
            <w:pPr>
              <w:pStyle w:val="0"/>
            </w:pPr>
            <w:r>
              <w:rPr>
                <w:sz w:val="20"/>
              </w:rPr>
              <w:t xml:space="preserve">768</w:t>
            </w:r>
          </w:p>
        </w:tc>
        <w:tc>
          <w:tcPr>
            <w:tcW w:w="664" w:type="dxa"/>
          </w:tcPr>
          <w:p>
            <w:pPr>
              <w:pStyle w:val="0"/>
            </w:pPr>
            <w:r>
              <w:rPr>
                <w:sz w:val="20"/>
              </w:rPr>
              <w:t xml:space="preserve">46,0</w:t>
            </w:r>
          </w:p>
        </w:tc>
        <w:tc>
          <w:tcPr>
            <w:tcW w:w="694" w:type="dxa"/>
          </w:tcPr>
          <w:p>
            <w:pPr>
              <w:pStyle w:val="0"/>
            </w:pPr>
            <w:r>
              <w:rPr>
                <w:sz w:val="20"/>
              </w:rPr>
              <w:t xml:space="preserve">717</w:t>
            </w:r>
          </w:p>
        </w:tc>
        <w:tc>
          <w:tcPr>
            <w:tcW w:w="664" w:type="dxa"/>
          </w:tcPr>
          <w:p>
            <w:pPr>
              <w:pStyle w:val="0"/>
            </w:pPr>
            <w:r>
              <w:rPr>
                <w:sz w:val="20"/>
              </w:rPr>
              <w:t xml:space="preserve">43,0</w:t>
            </w:r>
          </w:p>
        </w:tc>
        <w:tc>
          <w:tcPr>
            <w:tcW w:w="694" w:type="dxa"/>
          </w:tcPr>
          <w:p>
            <w:pPr>
              <w:pStyle w:val="0"/>
            </w:pPr>
            <w:r>
              <w:rPr>
                <w:sz w:val="20"/>
              </w:rPr>
              <w:t xml:space="preserve">740</w:t>
            </w:r>
          </w:p>
        </w:tc>
        <w:tc>
          <w:tcPr>
            <w:tcW w:w="664" w:type="dxa"/>
          </w:tcPr>
          <w:p>
            <w:pPr>
              <w:pStyle w:val="0"/>
            </w:pPr>
            <w:r>
              <w:rPr>
                <w:sz w:val="20"/>
              </w:rPr>
              <w:t xml:space="preserve">44,0</w:t>
            </w:r>
          </w:p>
        </w:tc>
        <w:tc>
          <w:tcPr>
            <w:tcW w:w="694" w:type="dxa"/>
          </w:tcPr>
          <w:p>
            <w:pPr>
              <w:pStyle w:val="0"/>
            </w:pPr>
            <w:r>
              <w:rPr>
                <w:sz w:val="20"/>
              </w:rPr>
              <w:t xml:space="preserve">712</w:t>
            </w:r>
          </w:p>
        </w:tc>
        <w:tc>
          <w:tcPr>
            <w:tcW w:w="664" w:type="dxa"/>
          </w:tcPr>
          <w:p>
            <w:pPr>
              <w:pStyle w:val="0"/>
            </w:pPr>
            <w:r>
              <w:rPr>
                <w:sz w:val="20"/>
              </w:rPr>
              <w:t xml:space="preserve">42,4</w:t>
            </w:r>
          </w:p>
        </w:tc>
        <w:tc>
          <w:tcPr>
            <w:tcW w:w="694" w:type="dxa"/>
          </w:tcPr>
          <w:p>
            <w:pPr>
              <w:pStyle w:val="0"/>
            </w:pPr>
            <w:r>
              <w:rPr>
                <w:sz w:val="20"/>
              </w:rPr>
              <w:t xml:space="preserve">656</w:t>
            </w:r>
          </w:p>
        </w:tc>
        <w:tc>
          <w:tcPr>
            <w:tcW w:w="904" w:type="dxa"/>
          </w:tcPr>
          <w:p>
            <w:pPr>
              <w:pStyle w:val="0"/>
            </w:pPr>
            <w:r>
              <w:rPr>
                <w:sz w:val="20"/>
              </w:rPr>
              <w:t xml:space="preserve">38,1</w:t>
            </w:r>
          </w:p>
        </w:tc>
        <w:tc>
          <w:tcPr>
            <w:tcW w:w="904" w:type="dxa"/>
          </w:tcPr>
          <w:p>
            <w:pPr>
              <w:pStyle w:val="0"/>
            </w:pPr>
            <w:r>
              <w:rPr>
                <w:sz w:val="20"/>
              </w:rPr>
              <w:t xml:space="preserve">190,2</w:t>
            </w:r>
          </w:p>
        </w:tc>
      </w:tr>
      <w:tr>
        <w:tc>
          <w:tcPr>
            <w:tcW w:w="1459" w:type="dxa"/>
          </w:tcPr>
          <w:p>
            <w:pPr>
              <w:pStyle w:val="0"/>
            </w:pPr>
            <w:r>
              <w:rPr>
                <w:sz w:val="20"/>
              </w:rPr>
              <w:t xml:space="preserve">ГБ</w:t>
            </w:r>
          </w:p>
        </w:tc>
        <w:tc>
          <w:tcPr>
            <w:tcW w:w="694" w:type="dxa"/>
          </w:tcPr>
          <w:p>
            <w:pPr>
              <w:pStyle w:val="0"/>
            </w:pPr>
            <w:r>
              <w:rPr>
                <w:sz w:val="20"/>
              </w:rPr>
              <w:t xml:space="preserve">94</w:t>
            </w:r>
          </w:p>
        </w:tc>
        <w:tc>
          <w:tcPr>
            <w:tcW w:w="664" w:type="dxa"/>
          </w:tcPr>
          <w:p>
            <w:pPr>
              <w:pStyle w:val="0"/>
            </w:pPr>
            <w:r>
              <w:rPr>
                <w:sz w:val="20"/>
              </w:rPr>
              <w:t xml:space="preserve">5,6</w:t>
            </w:r>
          </w:p>
        </w:tc>
        <w:tc>
          <w:tcPr>
            <w:tcW w:w="694" w:type="dxa"/>
          </w:tcPr>
          <w:p>
            <w:pPr>
              <w:pStyle w:val="0"/>
            </w:pPr>
            <w:r>
              <w:rPr>
                <w:sz w:val="20"/>
              </w:rPr>
              <w:t xml:space="preserve">100</w:t>
            </w:r>
          </w:p>
        </w:tc>
        <w:tc>
          <w:tcPr>
            <w:tcW w:w="664" w:type="dxa"/>
          </w:tcPr>
          <w:p>
            <w:pPr>
              <w:pStyle w:val="0"/>
            </w:pPr>
            <w:r>
              <w:rPr>
                <w:sz w:val="20"/>
              </w:rPr>
              <w:t xml:space="preserve">6,0</w:t>
            </w:r>
          </w:p>
        </w:tc>
        <w:tc>
          <w:tcPr>
            <w:tcW w:w="694" w:type="dxa"/>
          </w:tcPr>
          <w:p>
            <w:pPr>
              <w:pStyle w:val="0"/>
            </w:pPr>
            <w:r>
              <w:rPr>
                <w:sz w:val="20"/>
              </w:rPr>
              <w:t xml:space="preserve">97</w:t>
            </w:r>
          </w:p>
        </w:tc>
        <w:tc>
          <w:tcPr>
            <w:tcW w:w="664" w:type="dxa"/>
          </w:tcPr>
          <w:p>
            <w:pPr>
              <w:pStyle w:val="0"/>
            </w:pPr>
            <w:r>
              <w:rPr>
                <w:sz w:val="20"/>
              </w:rPr>
              <w:t xml:space="preserve">5,8</w:t>
            </w:r>
          </w:p>
        </w:tc>
        <w:tc>
          <w:tcPr>
            <w:tcW w:w="694" w:type="dxa"/>
          </w:tcPr>
          <w:p>
            <w:pPr>
              <w:pStyle w:val="0"/>
            </w:pPr>
            <w:r>
              <w:rPr>
                <w:sz w:val="20"/>
              </w:rPr>
              <w:t xml:space="preserve">108</w:t>
            </w:r>
          </w:p>
        </w:tc>
        <w:tc>
          <w:tcPr>
            <w:tcW w:w="664" w:type="dxa"/>
          </w:tcPr>
          <w:p>
            <w:pPr>
              <w:pStyle w:val="0"/>
            </w:pPr>
            <w:r>
              <w:rPr>
                <w:sz w:val="20"/>
              </w:rPr>
              <w:t xml:space="preserve">6,4</w:t>
            </w:r>
          </w:p>
        </w:tc>
        <w:tc>
          <w:tcPr>
            <w:tcW w:w="694" w:type="dxa"/>
          </w:tcPr>
          <w:p>
            <w:pPr>
              <w:pStyle w:val="0"/>
            </w:pPr>
            <w:r>
              <w:rPr>
                <w:sz w:val="20"/>
              </w:rPr>
              <w:t xml:space="preserve">80</w:t>
            </w:r>
          </w:p>
        </w:tc>
        <w:tc>
          <w:tcPr>
            <w:tcW w:w="904" w:type="dxa"/>
          </w:tcPr>
          <w:p>
            <w:pPr>
              <w:pStyle w:val="0"/>
            </w:pPr>
            <w:r>
              <w:rPr>
                <w:sz w:val="20"/>
              </w:rPr>
              <w:t xml:space="preserve">4,6</w:t>
            </w:r>
          </w:p>
        </w:tc>
        <w:tc>
          <w:tcPr>
            <w:tcW w:w="904" w:type="dxa"/>
          </w:tcPr>
          <w:p>
            <w:pPr>
              <w:pStyle w:val="0"/>
            </w:pPr>
            <w:r>
              <w:rPr>
                <w:sz w:val="20"/>
              </w:rPr>
              <w:t xml:space="preserve">12,8</w:t>
            </w:r>
          </w:p>
        </w:tc>
      </w:tr>
      <w:tr>
        <w:tc>
          <w:tcPr>
            <w:tcW w:w="1459" w:type="dxa"/>
          </w:tcPr>
          <w:p>
            <w:pPr>
              <w:pStyle w:val="0"/>
            </w:pPr>
            <w:r>
              <w:rPr>
                <w:sz w:val="20"/>
              </w:rPr>
              <w:t xml:space="preserve">БСК</w:t>
            </w:r>
          </w:p>
        </w:tc>
        <w:tc>
          <w:tcPr>
            <w:tcW w:w="694" w:type="dxa"/>
          </w:tcPr>
          <w:p>
            <w:pPr>
              <w:pStyle w:val="0"/>
            </w:pPr>
            <w:r>
              <w:rPr>
                <w:sz w:val="20"/>
              </w:rPr>
              <w:t xml:space="preserve">4 235</w:t>
            </w:r>
          </w:p>
        </w:tc>
        <w:tc>
          <w:tcPr>
            <w:tcW w:w="664" w:type="dxa"/>
          </w:tcPr>
          <w:p>
            <w:pPr>
              <w:pStyle w:val="0"/>
            </w:pPr>
            <w:r>
              <w:rPr>
                <w:sz w:val="20"/>
              </w:rPr>
              <w:t xml:space="preserve">254,9</w:t>
            </w:r>
          </w:p>
        </w:tc>
        <w:tc>
          <w:tcPr>
            <w:tcW w:w="694" w:type="dxa"/>
          </w:tcPr>
          <w:p>
            <w:pPr>
              <w:pStyle w:val="0"/>
            </w:pPr>
            <w:r>
              <w:rPr>
                <w:sz w:val="20"/>
              </w:rPr>
              <w:t xml:space="preserve">3969</w:t>
            </w:r>
          </w:p>
        </w:tc>
        <w:tc>
          <w:tcPr>
            <w:tcW w:w="664" w:type="dxa"/>
          </w:tcPr>
          <w:p>
            <w:pPr>
              <w:pStyle w:val="0"/>
            </w:pPr>
            <w:r>
              <w:rPr>
                <w:sz w:val="20"/>
              </w:rPr>
              <w:t xml:space="preserve">237,7</w:t>
            </w:r>
          </w:p>
        </w:tc>
        <w:tc>
          <w:tcPr>
            <w:tcW w:w="694" w:type="dxa"/>
          </w:tcPr>
          <w:p>
            <w:pPr>
              <w:pStyle w:val="0"/>
            </w:pPr>
            <w:r>
              <w:rPr>
                <w:sz w:val="20"/>
              </w:rPr>
              <w:t xml:space="preserve">4612</w:t>
            </w:r>
          </w:p>
        </w:tc>
        <w:tc>
          <w:tcPr>
            <w:tcW w:w="664" w:type="dxa"/>
          </w:tcPr>
          <w:p>
            <w:pPr>
              <w:pStyle w:val="0"/>
            </w:pPr>
            <w:r>
              <w:rPr>
                <w:sz w:val="20"/>
              </w:rPr>
              <w:t xml:space="preserve">274,3</w:t>
            </w:r>
          </w:p>
        </w:tc>
        <w:tc>
          <w:tcPr>
            <w:tcW w:w="694" w:type="dxa"/>
          </w:tcPr>
          <w:p>
            <w:pPr>
              <w:pStyle w:val="0"/>
            </w:pPr>
            <w:r>
              <w:rPr>
                <w:sz w:val="20"/>
              </w:rPr>
              <w:t xml:space="preserve">4807</w:t>
            </w:r>
          </w:p>
        </w:tc>
        <w:tc>
          <w:tcPr>
            <w:tcW w:w="664" w:type="dxa"/>
          </w:tcPr>
          <w:p>
            <w:pPr>
              <w:pStyle w:val="0"/>
            </w:pPr>
            <w:r>
              <w:rPr>
                <w:sz w:val="20"/>
              </w:rPr>
              <w:t xml:space="preserve">285,7</w:t>
            </w:r>
          </w:p>
        </w:tc>
        <w:tc>
          <w:tcPr>
            <w:tcW w:w="694" w:type="dxa"/>
          </w:tcPr>
          <w:p>
            <w:pPr>
              <w:pStyle w:val="0"/>
            </w:pPr>
            <w:r>
              <w:rPr>
                <w:sz w:val="20"/>
              </w:rPr>
              <w:t xml:space="preserve">4393</w:t>
            </w:r>
          </w:p>
        </w:tc>
        <w:tc>
          <w:tcPr>
            <w:tcW w:w="904" w:type="dxa"/>
          </w:tcPr>
          <w:p>
            <w:pPr>
              <w:pStyle w:val="0"/>
            </w:pPr>
            <w:r>
              <w:rPr>
                <w:sz w:val="20"/>
              </w:rPr>
              <w:t xml:space="preserve">255,2</w:t>
            </w:r>
          </w:p>
        </w:tc>
        <w:tc>
          <w:tcPr>
            <w:tcW w:w="904" w:type="dxa"/>
          </w:tcPr>
          <w:p>
            <w:pPr>
              <w:pStyle w:val="0"/>
            </w:pPr>
            <w:r>
              <w:rPr>
                <w:sz w:val="20"/>
              </w:rPr>
              <w:t xml:space="preserve">641,7</w:t>
            </w:r>
          </w:p>
        </w:tc>
      </w:tr>
    </w:tbl>
    <w:p>
      <w:pPr>
        <w:pStyle w:val="0"/>
        <w:ind w:firstLine="540"/>
        <w:jc w:val="both"/>
      </w:pPr>
      <w:r>
        <w:rPr>
          <w:sz w:val="20"/>
        </w:rPr>
      </w:r>
    </w:p>
    <w:p>
      <w:pPr>
        <w:pStyle w:val="0"/>
        <w:ind w:firstLine="540"/>
        <w:jc w:val="both"/>
      </w:pPr>
      <w:r>
        <w:rPr>
          <w:sz w:val="20"/>
        </w:rPr>
        <w:t xml:space="preserve">Показатель смертности от БСК в сравнении с 2021 годом снизился на 10,7% (-449 человек) и составил 255,2 на 100 тыс. населения, что выше целевого показателя регионального проекта "Борьба с сердечно-сосудистыми заболеваниями" на 6,8% (238,9 на 100 тыс. населения)</w:t>
      </w:r>
    </w:p>
    <w:p>
      <w:pPr>
        <w:pStyle w:val="0"/>
        <w:spacing w:before="200" w:line-rule="auto"/>
        <w:ind w:firstLine="540"/>
        <w:jc w:val="both"/>
      </w:pPr>
      <w:r>
        <w:rPr>
          <w:sz w:val="20"/>
        </w:rPr>
        <w:t xml:space="preserve">Показатель смертности от ИБС за 2022 год снизился на 14,6% и составил 139,1 на 100 тыс. населения, что на 1,8% выше целевого значения на 2022 год (136,6 на 100 тыс. населения).</w:t>
      </w:r>
    </w:p>
    <w:p>
      <w:pPr>
        <w:pStyle w:val="0"/>
        <w:spacing w:before="200" w:line-rule="auto"/>
        <w:ind w:firstLine="540"/>
        <w:jc w:val="both"/>
      </w:pPr>
      <w:r>
        <w:rPr>
          <w:sz w:val="20"/>
        </w:rPr>
        <w:t xml:space="preserve">Впервые с 2020 года с момента роста смертности в годы пандемии COVID-19 отмечается снижение смертности от БСК, ИБС, острого нарушения мозгового кровообращения (далее - ОНМК), ЦВБ.</w:t>
      </w:r>
    </w:p>
    <w:p>
      <w:pPr>
        <w:pStyle w:val="0"/>
        <w:spacing w:before="200" w:line-rule="auto"/>
        <w:ind w:firstLine="540"/>
        <w:jc w:val="both"/>
      </w:pPr>
      <w:r>
        <w:rPr>
          <w:sz w:val="20"/>
        </w:rPr>
        <w:t xml:space="preserve">Несмотря на рост смертности в 2020 - 2021 годы, в динамике за 5 лет показатели смертности снизились: смертность от ИМ на 39%, от ЦВБ - на 17,2%, от ОНМК - на 20,5%, от гипертонической болезни (далее - ГБ) - на 17,9%.</w:t>
      </w:r>
    </w:p>
    <w:p>
      <w:pPr>
        <w:pStyle w:val="0"/>
        <w:spacing w:before="200" w:line-rule="auto"/>
        <w:ind w:firstLine="540"/>
        <w:jc w:val="both"/>
      </w:pPr>
      <w:r>
        <w:rPr>
          <w:sz w:val="20"/>
        </w:rPr>
        <w:t xml:space="preserve">Структура смертности демонстрирует отсутствие существенных изменений за последние 5 лет: в 2022 году доля ИБС составила 54,5%, в том числе ИМ - 4,1%, ЦВБ - 14,9%, ОНМК - 8,8%.</w:t>
      </w:r>
    </w:p>
    <w:p>
      <w:pPr>
        <w:pStyle w:val="0"/>
        <w:jc w:val="right"/>
      </w:pPr>
      <w:r>
        <w:rPr>
          <w:sz w:val="20"/>
        </w:rPr>
      </w:r>
    </w:p>
    <w:p>
      <w:pPr>
        <w:pStyle w:val="0"/>
        <w:jc w:val="right"/>
      </w:pPr>
      <w:r>
        <w:rPr>
          <w:sz w:val="20"/>
        </w:rPr>
        <w:t xml:space="preserve">Таблица 6</w:t>
      </w:r>
    </w:p>
    <w:p>
      <w:pPr>
        <w:pStyle w:val="0"/>
        <w:jc w:val="right"/>
      </w:pPr>
      <w:r>
        <w:rPr>
          <w:sz w:val="20"/>
        </w:rPr>
      </w:r>
    </w:p>
    <w:p>
      <w:pPr>
        <w:pStyle w:val="0"/>
        <w:jc w:val="center"/>
      </w:pPr>
      <w:r>
        <w:rPr>
          <w:sz w:val="20"/>
        </w:rPr>
        <w:t xml:space="preserve">Показатели смертности от БСК в разрезе возраста</w:t>
      </w:r>
    </w:p>
    <w:p>
      <w:pPr>
        <w:pStyle w:val="0"/>
        <w:jc w:val="center"/>
      </w:pPr>
      <w:r>
        <w:rPr>
          <w:sz w:val="20"/>
        </w:rPr>
        <w:t xml:space="preserve">за 2021 - 2022 годы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724"/>
        <w:gridCol w:w="724"/>
        <w:gridCol w:w="932"/>
        <w:gridCol w:w="932"/>
        <w:gridCol w:w="932"/>
        <w:gridCol w:w="932"/>
        <w:gridCol w:w="604"/>
        <w:gridCol w:w="604"/>
      </w:tblGrid>
      <w:tr>
        <w:tc>
          <w:tcPr>
            <w:tcW w:w="2438" w:type="dxa"/>
            <w:vMerge w:val="restart"/>
          </w:tcPr>
          <w:p>
            <w:pPr>
              <w:pStyle w:val="0"/>
              <w:jc w:val="center"/>
            </w:pPr>
            <w:r>
              <w:rPr>
                <w:sz w:val="20"/>
              </w:rPr>
              <w:t xml:space="preserve">Нозологии</w:t>
            </w:r>
          </w:p>
        </w:tc>
        <w:tc>
          <w:tcPr>
            <w:gridSpan w:val="2"/>
            <w:tcW w:w="1448" w:type="dxa"/>
          </w:tcPr>
          <w:p>
            <w:pPr>
              <w:pStyle w:val="0"/>
              <w:jc w:val="center"/>
            </w:pPr>
            <w:r>
              <w:rPr>
                <w:sz w:val="20"/>
              </w:rPr>
              <w:t xml:space="preserve">Всего</w:t>
            </w:r>
          </w:p>
        </w:tc>
        <w:tc>
          <w:tcPr>
            <w:gridSpan w:val="2"/>
            <w:tcW w:w="1864" w:type="dxa"/>
          </w:tcPr>
          <w:p>
            <w:pPr>
              <w:pStyle w:val="0"/>
              <w:jc w:val="center"/>
            </w:pPr>
            <w:r>
              <w:rPr>
                <w:sz w:val="20"/>
              </w:rPr>
              <w:t xml:space="preserve">Трудоспособный возраст</w:t>
            </w:r>
          </w:p>
        </w:tc>
        <w:tc>
          <w:tcPr>
            <w:gridSpan w:val="2"/>
            <w:tcW w:w="1864" w:type="dxa"/>
          </w:tcPr>
          <w:p>
            <w:pPr>
              <w:pStyle w:val="0"/>
              <w:jc w:val="center"/>
            </w:pPr>
            <w:r>
              <w:rPr>
                <w:sz w:val="20"/>
              </w:rPr>
              <w:t xml:space="preserve">Старше трудоспособного</w:t>
            </w:r>
          </w:p>
        </w:tc>
        <w:tc>
          <w:tcPr>
            <w:gridSpan w:val="2"/>
            <w:tcW w:w="1208" w:type="dxa"/>
          </w:tcPr>
          <w:p>
            <w:pPr>
              <w:pStyle w:val="0"/>
              <w:jc w:val="center"/>
            </w:pPr>
            <w:r>
              <w:rPr>
                <w:sz w:val="20"/>
              </w:rPr>
              <w:t xml:space="preserve">Старше 80 лет</w:t>
            </w:r>
          </w:p>
        </w:tc>
      </w:tr>
      <w:tr>
        <w:tc>
          <w:tcPr>
            <w:vMerge w:val="continue"/>
          </w:tcPr>
          <w:p/>
        </w:tc>
        <w:tc>
          <w:tcPr>
            <w:tcW w:w="724" w:type="dxa"/>
          </w:tcPr>
          <w:p>
            <w:pPr>
              <w:pStyle w:val="0"/>
              <w:jc w:val="center"/>
            </w:pPr>
            <w:r>
              <w:rPr>
                <w:sz w:val="20"/>
              </w:rPr>
              <w:t xml:space="preserve">2021</w:t>
            </w:r>
          </w:p>
        </w:tc>
        <w:tc>
          <w:tcPr>
            <w:tcW w:w="724" w:type="dxa"/>
          </w:tcPr>
          <w:p>
            <w:pPr>
              <w:pStyle w:val="0"/>
              <w:jc w:val="center"/>
            </w:pPr>
            <w:r>
              <w:rPr>
                <w:sz w:val="20"/>
              </w:rPr>
              <w:t xml:space="preserve">2022</w:t>
            </w:r>
          </w:p>
        </w:tc>
        <w:tc>
          <w:tcPr>
            <w:tcW w:w="932" w:type="dxa"/>
          </w:tcPr>
          <w:p>
            <w:pPr>
              <w:pStyle w:val="0"/>
              <w:jc w:val="center"/>
            </w:pPr>
            <w:r>
              <w:rPr>
                <w:sz w:val="20"/>
              </w:rPr>
              <w:t xml:space="preserve">2021</w:t>
            </w:r>
          </w:p>
        </w:tc>
        <w:tc>
          <w:tcPr>
            <w:tcW w:w="932" w:type="dxa"/>
          </w:tcPr>
          <w:p>
            <w:pPr>
              <w:pStyle w:val="0"/>
              <w:jc w:val="center"/>
            </w:pPr>
            <w:r>
              <w:rPr>
                <w:sz w:val="20"/>
              </w:rPr>
              <w:t xml:space="preserve">2022</w:t>
            </w:r>
          </w:p>
        </w:tc>
        <w:tc>
          <w:tcPr>
            <w:tcW w:w="932" w:type="dxa"/>
          </w:tcPr>
          <w:p>
            <w:pPr>
              <w:pStyle w:val="0"/>
              <w:jc w:val="center"/>
            </w:pPr>
            <w:r>
              <w:rPr>
                <w:sz w:val="20"/>
              </w:rPr>
              <w:t xml:space="preserve">2021</w:t>
            </w:r>
          </w:p>
        </w:tc>
        <w:tc>
          <w:tcPr>
            <w:tcW w:w="932" w:type="dxa"/>
          </w:tcPr>
          <w:p>
            <w:pPr>
              <w:pStyle w:val="0"/>
              <w:jc w:val="center"/>
            </w:pPr>
            <w:r>
              <w:rPr>
                <w:sz w:val="20"/>
              </w:rPr>
              <w:t xml:space="preserve">2022</w:t>
            </w:r>
          </w:p>
        </w:tc>
        <w:tc>
          <w:tcPr>
            <w:tcW w:w="604" w:type="dxa"/>
          </w:tcPr>
          <w:p>
            <w:pPr>
              <w:pStyle w:val="0"/>
              <w:jc w:val="center"/>
            </w:pPr>
            <w:r>
              <w:rPr>
                <w:sz w:val="20"/>
              </w:rPr>
              <w:t xml:space="preserve">2021</w:t>
            </w:r>
          </w:p>
        </w:tc>
        <w:tc>
          <w:tcPr>
            <w:tcW w:w="604" w:type="dxa"/>
          </w:tcPr>
          <w:p>
            <w:pPr>
              <w:pStyle w:val="0"/>
              <w:jc w:val="center"/>
            </w:pPr>
            <w:r>
              <w:rPr>
                <w:sz w:val="20"/>
              </w:rPr>
              <w:t xml:space="preserve">2022</w:t>
            </w:r>
          </w:p>
        </w:tc>
      </w:tr>
      <w:tr>
        <w:tc>
          <w:tcPr>
            <w:tcW w:w="2438" w:type="dxa"/>
          </w:tcPr>
          <w:p>
            <w:pPr>
              <w:pStyle w:val="0"/>
            </w:pPr>
            <w:r>
              <w:rPr>
                <w:sz w:val="20"/>
              </w:rPr>
              <w:t xml:space="preserve">От всех причин</w:t>
            </w:r>
          </w:p>
        </w:tc>
        <w:tc>
          <w:tcPr>
            <w:tcW w:w="724" w:type="dxa"/>
          </w:tcPr>
          <w:p>
            <w:pPr>
              <w:pStyle w:val="0"/>
            </w:pPr>
            <w:r>
              <w:rPr>
                <w:sz w:val="20"/>
              </w:rPr>
              <w:t xml:space="preserve">14440</w:t>
            </w:r>
          </w:p>
        </w:tc>
        <w:tc>
          <w:tcPr>
            <w:tcW w:w="724" w:type="dxa"/>
          </w:tcPr>
          <w:p>
            <w:pPr>
              <w:pStyle w:val="0"/>
            </w:pPr>
            <w:r>
              <w:rPr>
                <w:sz w:val="20"/>
              </w:rPr>
              <w:t xml:space="preserve">11151</w:t>
            </w:r>
          </w:p>
        </w:tc>
        <w:tc>
          <w:tcPr>
            <w:tcW w:w="932" w:type="dxa"/>
          </w:tcPr>
          <w:p>
            <w:pPr>
              <w:pStyle w:val="0"/>
            </w:pPr>
            <w:r>
              <w:rPr>
                <w:sz w:val="20"/>
              </w:rPr>
              <w:t xml:space="preserve">4449</w:t>
            </w:r>
          </w:p>
        </w:tc>
        <w:tc>
          <w:tcPr>
            <w:tcW w:w="932" w:type="dxa"/>
          </w:tcPr>
          <w:p>
            <w:pPr>
              <w:pStyle w:val="0"/>
            </w:pPr>
            <w:r>
              <w:rPr>
                <w:sz w:val="20"/>
              </w:rPr>
              <w:t xml:space="preserve">3978</w:t>
            </w:r>
          </w:p>
        </w:tc>
        <w:tc>
          <w:tcPr>
            <w:tcW w:w="932" w:type="dxa"/>
          </w:tcPr>
          <w:p>
            <w:pPr>
              <w:pStyle w:val="0"/>
            </w:pPr>
            <w:r>
              <w:rPr>
                <w:sz w:val="20"/>
              </w:rPr>
              <w:t xml:space="preserve">9859</w:t>
            </w:r>
          </w:p>
        </w:tc>
        <w:tc>
          <w:tcPr>
            <w:tcW w:w="932" w:type="dxa"/>
          </w:tcPr>
          <w:p>
            <w:pPr>
              <w:pStyle w:val="0"/>
            </w:pPr>
            <w:r>
              <w:rPr>
                <w:sz w:val="20"/>
              </w:rPr>
              <w:t xml:space="preserve">7046</w:t>
            </w:r>
          </w:p>
        </w:tc>
        <w:tc>
          <w:tcPr>
            <w:tcW w:w="604" w:type="dxa"/>
          </w:tcPr>
          <w:p>
            <w:pPr>
              <w:pStyle w:val="0"/>
            </w:pPr>
            <w:r>
              <w:rPr>
                <w:sz w:val="20"/>
              </w:rPr>
              <w:t xml:space="preserve">2535</w:t>
            </w:r>
          </w:p>
        </w:tc>
        <w:tc>
          <w:tcPr>
            <w:tcW w:w="604" w:type="dxa"/>
          </w:tcPr>
          <w:p>
            <w:pPr>
              <w:pStyle w:val="0"/>
            </w:pPr>
            <w:r>
              <w:rPr>
                <w:sz w:val="20"/>
              </w:rPr>
              <w:t xml:space="preserve">2182</w:t>
            </w:r>
          </w:p>
        </w:tc>
      </w:tr>
      <w:tr>
        <w:tc>
          <w:tcPr>
            <w:tcW w:w="2438" w:type="dxa"/>
          </w:tcPr>
          <w:p>
            <w:pPr>
              <w:pStyle w:val="0"/>
            </w:pPr>
            <w:r>
              <w:rPr>
                <w:sz w:val="20"/>
              </w:rPr>
              <w:t xml:space="preserve">Болезни системы кровообращения</w:t>
            </w:r>
          </w:p>
        </w:tc>
        <w:tc>
          <w:tcPr>
            <w:tcW w:w="724" w:type="dxa"/>
          </w:tcPr>
          <w:p>
            <w:pPr>
              <w:pStyle w:val="0"/>
            </w:pPr>
            <w:r>
              <w:rPr>
                <w:sz w:val="20"/>
              </w:rPr>
              <w:t xml:space="preserve">4842</w:t>
            </w:r>
          </w:p>
        </w:tc>
        <w:tc>
          <w:tcPr>
            <w:tcW w:w="724" w:type="dxa"/>
          </w:tcPr>
          <w:p>
            <w:pPr>
              <w:pStyle w:val="0"/>
            </w:pPr>
            <w:r>
              <w:rPr>
                <w:sz w:val="20"/>
              </w:rPr>
              <w:t xml:space="preserve">4393</w:t>
            </w:r>
          </w:p>
        </w:tc>
        <w:tc>
          <w:tcPr>
            <w:tcW w:w="932" w:type="dxa"/>
          </w:tcPr>
          <w:p>
            <w:pPr>
              <w:pStyle w:val="0"/>
            </w:pPr>
            <w:r>
              <w:rPr>
                <w:sz w:val="20"/>
              </w:rPr>
              <w:t xml:space="preserve">1456</w:t>
            </w:r>
          </w:p>
        </w:tc>
        <w:tc>
          <w:tcPr>
            <w:tcW w:w="932" w:type="dxa"/>
          </w:tcPr>
          <w:p>
            <w:pPr>
              <w:pStyle w:val="0"/>
            </w:pPr>
            <w:r>
              <w:rPr>
                <w:sz w:val="20"/>
              </w:rPr>
              <w:t xml:space="preserve">1384</w:t>
            </w:r>
          </w:p>
        </w:tc>
        <w:tc>
          <w:tcPr>
            <w:tcW w:w="932" w:type="dxa"/>
          </w:tcPr>
          <w:p>
            <w:pPr>
              <w:pStyle w:val="0"/>
            </w:pPr>
            <w:r>
              <w:rPr>
                <w:sz w:val="20"/>
              </w:rPr>
              <w:t xml:space="preserve">3382</w:t>
            </w:r>
          </w:p>
        </w:tc>
        <w:tc>
          <w:tcPr>
            <w:tcW w:w="932" w:type="dxa"/>
          </w:tcPr>
          <w:p>
            <w:pPr>
              <w:pStyle w:val="0"/>
            </w:pPr>
            <w:r>
              <w:rPr>
                <w:sz w:val="20"/>
              </w:rPr>
              <w:t xml:space="preserve">3007</w:t>
            </w:r>
          </w:p>
        </w:tc>
        <w:tc>
          <w:tcPr>
            <w:tcW w:w="604" w:type="dxa"/>
          </w:tcPr>
          <w:p>
            <w:pPr>
              <w:pStyle w:val="0"/>
            </w:pPr>
            <w:r>
              <w:rPr>
                <w:sz w:val="20"/>
              </w:rPr>
              <w:t xml:space="preserve">1012</w:t>
            </w:r>
          </w:p>
        </w:tc>
        <w:tc>
          <w:tcPr>
            <w:tcW w:w="604" w:type="dxa"/>
          </w:tcPr>
          <w:p>
            <w:pPr>
              <w:pStyle w:val="0"/>
            </w:pPr>
            <w:r>
              <w:rPr>
                <w:sz w:val="20"/>
              </w:rPr>
              <w:t xml:space="preserve">1084</w:t>
            </w:r>
          </w:p>
        </w:tc>
      </w:tr>
      <w:tr>
        <w:tc>
          <w:tcPr>
            <w:tcW w:w="2438" w:type="dxa"/>
          </w:tcPr>
          <w:p>
            <w:pPr>
              <w:pStyle w:val="0"/>
            </w:pPr>
            <w:r>
              <w:rPr>
                <w:sz w:val="20"/>
              </w:rPr>
              <w:t xml:space="preserve">ИБС</w:t>
            </w:r>
          </w:p>
        </w:tc>
        <w:tc>
          <w:tcPr>
            <w:tcW w:w="724" w:type="dxa"/>
          </w:tcPr>
          <w:p>
            <w:pPr>
              <w:pStyle w:val="0"/>
            </w:pPr>
            <w:r>
              <w:rPr>
                <w:sz w:val="20"/>
              </w:rPr>
              <w:t xml:space="preserve">2759</w:t>
            </w:r>
          </w:p>
        </w:tc>
        <w:tc>
          <w:tcPr>
            <w:tcW w:w="724" w:type="dxa"/>
          </w:tcPr>
          <w:p>
            <w:pPr>
              <w:pStyle w:val="0"/>
            </w:pPr>
            <w:r>
              <w:rPr>
                <w:sz w:val="20"/>
              </w:rPr>
              <w:t xml:space="preserve">2395</w:t>
            </w:r>
          </w:p>
        </w:tc>
        <w:tc>
          <w:tcPr>
            <w:tcW w:w="932" w:type="dxa"/>
          </w:tcPr>
          <w:p>
            <w:pPr>
              <w:pStyle w:val="0"/>
            </w:pPr>
            <w:r>
              <w:rPr>
                <w:sz w:val="20"/>
              </w:rPr>
              <w:t xml:space="preserve">546</w:t>
            </w:r>
          </w:p>
        </w:tc>
        <w:tc>
          <w:tcPr>
            <w:tcW w:w="932" w:type="dxa"/>
          </w:tcPr>
          <w:p>
            <w:pPr>
              <w:pStyle w:val="0"/>
            </w:pPr>
            <w:r>
              <w:rPr>
                <w:sz w:val="20"/>
              </w:rPr>
              <w:t xml:space="preserve">459</w:t>
            </w:r>
          </w:p>
        </w:tc>
        <w:tc>
          <w:tcPr>
            <w:tcW w:w="932" w:type="dxa"/>
          </w:tcPr>
          <w:p>
            <w:pPr>
              <w:pStyle w:val="0"/>
            </w:pPr>
            <w:r>
              <w:rPr>
                <w:sz w:val="20"/>
              </w:rPr>
              <w:t xml:space="preserve">2213</w:t>
            </w:r>
          </w:p>
        </w:tc>
        <w:tc>
          <w:tcPr>
            <w:tcW w:w="932" w:type="dxa"/>
          </w:tcPr>
          <w:p>
            <w:pPr>
              <w:pStyle w:val="0"/>
            </w:pPr>
            <w:r>
              <w:rPr>
                <w:sz w:val="20"/>
              </w:rPr>
              <w:t xml:space="preserve">1936</w:t>
            </w:r>
          </w:p>
        </w:tc>
        <w:tc>
          <w:tcPr>
            <w:tcW w:w="604" w:type="dxa"/>
          </w:tcPr>
          <w:p>
            <w:pPr>
              <w:pStyle w:val="0"/>
            </w:pPr>
            <w:r>
              <w:rPr>
                <w:sz w:val="20"/>
              </w:rPr>
              <w:t xml:space="preserve">726</w:t>
            </w:r>
          </w:p>
        </w:tc>
        <w:tc>
          <w:tcPr>
            <w:tcW w:w="604" w:type="dxa"/>
          </w:tcPr>
          <w:p>
            <w:pPr>
              <w:pStyle w:val="0"/>
            </w:pPr>
            <w:r>
              <w:rPr>
                <w:sz w:val="20"/>
              </w:rPr>
              <w:t xml:space="preserve">784</w:t>
            </w:r>
          </w:p>
        </w:tc>
      </w:tr>
      <w:tr>
        <w:tc>
          <w:tcPr>
            <w:tcW w:w="2438" w:type="dxa"/>
          </w:tcPr>
          <w:p>
            <w:pPr>
              <w:pStyle w:val="0"/>
            </w:pPr>
            <w:r>
              <w:rPr>
                <w:sz w:val="20"/>
              </w:rPr>
              <w:t xml:space="preserve">из них инфаркты</w:t>
            </w:r>
          </w:p>
        </w:tc>
        <w:tc>
          <w:tcPr>
            <w:tcW w:w="724" w:type="dxa"/>
          </w:tcPr>
          <w:p>
            <w:pPr>
              <w:pStyle w:val="0"/>
            </w:pPr>
            <w:r>
              <w:rPr>
                <w:sz w:val="20"/>
              </w:rPr>
              <w:t xml:space="preserve">286</w:t>
            </w:r>
          </w:p>
        </w:tc>
        <w:tc>
          <w:tcPr>
            <w:tcW w:w="724" w:type="dxa"/>
          </w:tcPr>
          <w:p>
            <w:pPr>
              <w:pStyle w:val="0"/>
            </w:pPr>
            <w:r>
              <w:rPr>
                <w:sz w:val="20"/>
              </w:rPr>
              <w:t xml:space="preserve">181</w:t>
            </w:r>
          </w:p>
        </w:tc>
        <w:tc>
          <w:tcPr>
            <w:tcW w:w="932" w:type="dxa"/>
          </w:tcPr>
          <w:p>
            <w:pPr>
              <w:pStyle w:val="0"/>
            </w:pPr>
            <w:r>
              <w:rPr>
                <w:sz w:val="20"/>
              </w:rPr>
              <w:t xml:space="preserve">55</w:t>
            </w:r>
          </w:p>
        </w:tc>
        <w:tc>
          <w:tcPr>
            <w:tcW w:w="932" w:type="dxa"/>
          </w:tcPr>
          <w:p>
            <w:pPr>
              <w:pStyle w:val="0"/>
            </w:pPr>
            <w:r>
              <w:rPr>
                <w:sz w:val="20"/>
              </w:rPr>
              <w:t xml:space="preserve">48</w:t>
            </w:r>
          </w:p>
        </w:tc>
        <w:tc>
          <w:tcPr>
            <w:tcW w:w="932" w:type="dxa"/>
          </w:tcPr>
          <w:p>
            <w:pPr>
              <w:pStyle w:val="0"/>
            </w:pPr>
            <w:r>
              <w:rPr>
                <w:sz w:val="20"/>
              </w:rPr>
              <w:t xml:space="preserve">171</w:t>
            </w:r>
          </w:p>
        </w:tc>
        <w:tc>
          <w:tcPr>
            <w:tcW w:w="932" w:type="dxa"/>
          </w:tcPr>
          <w:p>
            <w:pPr>
              <w:pStyle w:val="0"/>
            </w:pPr>
            <w:r>
              <w:rPr>
                <w:sz w:val="20"/>
              </w:rPr>
              <w:t xml:space="preserve">133</w:t>
            </w:r>
          </w:p>
        </w:tc>
        <w:tc>
          <w:tcPr>
            <w:tcW w:w="604" w:type="dxa"/>
          </w:tcPr>
          <w:p>
            <w:pPr>
              <w:pStyle w:val="0"/>
            </w:pPr>
            <w:r>
              <w:rPr>
                <w:sz w:val="20"/>
              </w:rPr>
              <w:t xml:space="preserve">37</w:t>
            </w:r>
          </w:p>
        </w:tc>
        <w:tc>
          <w:tcPr>
            <w:tcW w:w="604" w:type="dxa"/>
          </w:tcPr>
          <w:p>
            <w:pPr>
              <w:pStyle w:val="0"/>
            </w:pPr>
            <w:r>
              <w:rPr>
                <w:sz w:val="20"/>
              </w:rPr>
              <w:t xml:space="preserve">25</w:t>
            </w:r>
          </w:p>
        </w:tc>
      </w:tr>
      <w:tr>
        <w:tc>
          <w:tcPr>
            <w:tcW w:w="2438" w:type="dxa"/>
          </w:tcPr>
          <w:p>
            <w:pPr>
              <w:pStyle w:val="0"/>
            </w:pPr>
            <w:r>
              <w:rPr>
                <w:sz w:val="20"/>
              </w:rPr>
              <w:t xml:space="preserve">ЦВБ</w:t>
            </w:r>
          </w:p>
        </w:tc>
        <w:tc>
          <w:tcPr>
            <w:tcW w:w="724" w:type="dxa"/>
          </w:tcPr>
          <w:p>
            <w:pPr>
              <w:pStyle w:val="0"/>
            </w:pPr>
            <w:r>
              <w:rPr>
                <w:sz w:val="20"/>
              </w:rPr>
              <w:t xml:space="preserve">719</w:t>
            </w:r>
          </w:p>
        </w:tc>
        <w:tc>
          <w:tcPr>
            <w:tcW w:w="724" w:type="dxa"/>
          </w:tcPr>
          <w:p>
            <w:pPr>
              <w:pStyle w:val="0"/>
            </w:pPr>
            <w:r>
              <w:rPr>
                <w:sz w:val="20"/>
              </w:rPr>
              <w:t xml:space="preserve">656</w:t>
            </w:r>
          </w:p>
        </w:tc>
        <w:tc>
          <w:tcPr>
            <w:tcW w:w="932" w:type="dxa"/>
          </w:tcPr>
          <w:p>
            <w:pPr>
              <w:pStyle w:val="0"/>
            </w:pPr>
            <w:r>
              <w:rPr>
                <w:sz w:val="20"/>
              </w:rPr>
              <w:t xml:space="preserve">172</w:t>
            </w:r>
          </w:p>
        </w:tc>
        <w:tc>
          <w:tcPr>
            <w:tcW w:w="932" w:type="dxa"/>
          </w:tcPr>
          <w:p>
            <w:pPr>
              <w:pStyle w:val="0"/>
            </w:pPr>
            <w:r>
              <w:rPr>
                <w:sz w:val="20"/>
              </w:rPr>
              <w:t xml:space="preserve">176</w:t>
            </w:r>
          </w:p>
        </w:tc>
        <w:tc>
          <w:tcPr>
            <w:tcW w:w="932" w:type="dxa"/>
          </w:tcPr>
          <w:p>
            <w:pPr>
              <w:pStyle w:val="0"/>
            </w:pPr>
            <w:r>
              <w:rPr>
                <w:sz w:val="20"/>
              </w:rPr>
              <w:t xml:space="preserve">547</w:t>
            </w:r>
          </w:p>
        </w:tc>
        <w:tc>
          <w:tcPr>
            <w:tcW w:w="932" w:type="dxa"/>
          </w:tcPr>
          <w:p>
            <w:pPr>
              <w:pStyle w:val="0"/>
            </w:pPr>
            <w:r>
              <w:rPr>
                <w:sz w:val="20"/>
              </w:rPr>
              <w:t xml:space="preserve">479</w:t>
            </w:r>
          </w:p>
        </w:tc>
        <w:tc>
          <w:tcPr>
            <w:tcW w:w="604" w:type="dxa"/>
          </w:tcPr>
          <w:p>
            <w:pPr>
              <w:pStyle w:val="0"/>
            </w:pPr>
            <w:r>
              <w:rPr>
                <w:sz w:val="20"/>
              </w:rPr>
              <w:t xml:space="preserve">166</w:t>
            </w:r>
          </w:p>
        </w:tc>
        <w:tc>
          <w:tcPr>
            <w:tcW w:w="604" w:type="dxa"/>
          </w:tcPr>
          <w:p>
            <w:pPr>
              <w:pStyle w:val="0"/>
            </w:pPr>
            <w:r>
              <w:rPr>
                <w:sz w:val="20"/>
              </w:rPr>
              <w:t xml:space="preserve">160</w:t>
            </w:r>
          </w:p>
        </w:tc>
      </w:tr>
      <w:tr>
        <w:tc>
          <w:tcPr>
            <w:tcW w:w="2438" w:type="dxa"/>
          </w:tcPr>
          <w:p>
            <w:pPr>
              <w:pStyle w:val="0"/>
            </w:pPr>
            <w:r>
              <w:rPr>
                <w:sz w:val="20"/>
              </w:rPr>
              <w:t xml:space="preserve">из них ОНМК</w:t>
            </w:r>
          </w:p>
        </w:tc>
        <w:tc>
          <w:tcPr>
            <w:tcW w:w="724" w:type="dxa"/>
          </w:tcPr>
          <w:p>
            <w:pPr>
              <w:pStyle w:val="0"/>
            </w:pPr>
            <w:r>
              <w:rPr>
                <w:sz w:val="20"/>
              </w:rPr>
              <w:t xml:space="preserve">448</w:t>
            </w:r>
          </w:p>
        </w:tc>
        <w:tc>
          <w:tcPr>
            <w:tcW w:w="724" w:type="dxa"/>
          </w:tcPr>
          <w:p>
            <w:pPr>
              <w:pStyle w:val="0"/>
            </w:pPr>
            <w:r>
              <w:rPr>
                <w:sz w:val="20"/>
              </w:rPr>
              <w:t xml:space="preserve">387</w:t>
            </w:r>
          </w:p>
        </w:tc>
        <w:tc>
          <w:tcPr>
            <w:tcW w:w="932" w:type="dxa"/>
          </w:tcPr>
          <w:p>
            <w:pPr>
              <w:pStyle w:val="0"/>
            </w:pPr>
            <w:r>
              <w:rPr>
                <w:sz w:val="20"/>
              </w:rPr>
              <w:t xml:space="preserve">135</w:t>
            </w:r>
          </w:p>
        </w:tc>
        <w:tc>
          <w:tcPr>
            <w:tcW w:w="932" w:type="dxa"/>
          </w:tcPr>
          <w:p>
            <w:pPr>
              <w:pStyle w:val="0"/>
            </w:pPr>
            <w:r>
              <w:rPr>
                <w:sz w:val="20"/>
              </w:rPr>
              <w:t xml:space="preserve">135</w:t>
            </w:r>
          </w:p>
        </w:tc>
        <w:tc>
          <w:tcPr>
            <w:tcW w:w="932" w:type="dxa"/>
          </w:tcPr>
          <w:p>
            <w:pPr>
              <w:pStyle w:val="0"/>
            </w:pPr>
            <w:r>
              <w:rPr>
                <w:sz w:val="20"/>
              </w:rPr>
              <w:t xml:space="preserve">313</w:t>
            </w:r>
          </w:p>
        </w:tc>
        <w:tc>
          <w:tcPr>
            <w:tcW w:w="932" w:type="dxa"/>
          </w:tcPr>
          <w:p>
            <w:pPr>
              <w:pStyle w:val="0"/>
            </w:pPr>
            <w:r>
              <w:rPr>
                <w:sz w:val="20"/>
              </w:rPr>
              <w:t xml:space="preserve">252</w:t>
            </w:r>
          </w:p>
        </w:tc>
        <w:tc>
          <w:tcPr>
            <w:tcW w:w="604" w:type="dxa"/>
          </w:tcPr>
          <w:p>
            <w:pPr>
              <w:pStyle w:val="0"/>
            </w:pPr>
            <w:r>
              <w:rPr>
                <w:sz w:val="20"/>
              </w:rPr>
              <w:t xml:space="preserve">73</w:t>
            </w:r>
          </w:p>
        </w:tc>
        <w:tc>
          <w:tcPr>
            <w:tcW w:w="604" w:type="dxa"/>
          </w:tcPr>
          <w:p>
            <w:pPr>
              <w:pStyle w:val="0"/>
            </w:pPr>
            <w:r>
              <w:rPr>
                <w:sz w:val="20"/>
              </w:rPr>
              <w:t xml:space="preserve">69</w:t>
            </w:r>
          </w:p>
        </w:tc>
      </w:tr>
    </w:tbl>
    <w:p>
      <w:pPr>
        <w:pStyle w:val="0"/>
        <w:ind w:firstLine="540"/>
        <w:jc w:val="both"/>
      </w:pPr>
      <w:r>
        <w:rPr>
          <w:sz w:val="20"/>
        </w:rPr>
      </w:r>
    </w:p>
    <w:p>
      <w:pPr>
        <w:pStyle w:val="0"/>
        <w:ind w:firstLine="540"/>
        <w:jc w:val="both"/>
      </w:pPr>
      <w:r>
        <w:rPr>
          <w:sz w:val="20"/>
        </w:rPr>
        <w:t xml:space="preserve">Число умерших от всех причин среди трудоспособного населения за 2022 год снизилось на 10,6% (- 471 чел.) в сравнении с 2021 годом, в том числе: от БСК - на 4,9% (- 72 чел.), ИБС - на 15,9% (- 87 чел.), ЦВБ - на 2,3%.</w:t>
      </w:r>
    </w:p>
    <w:p>
      <w:pPr>
        <w:pStyle w:val="0"/>
        <w:spacing w:before="200" w:line-rule="auto"/>
        <w:ind w:firstLine="540"/>
        <w:jc w:val="both"/>
      </w:pPr>
      <w:r>
        <w:rPr>
          <w:sz w:val="20"/>
        </w:rPr>
        <w:t xml:space="preserve">Доля умерших трудоспособного возраста в структуре смертности от БСК стабильна и составляет 31,5% (в 2021 году - 30,1%), от ИМ - 26,5% (в 2021 году - 24,3%). Отмечается рост умерших от БСК в возрасте старше 80 лет на 7,1% (+ 72 чел.) Доля умерших от БСК за 2022 год в возрасте старше 80 лет увеличилась на 3,8% в сравнении с 2021 годом и составила 24,7% (в 2021 году - 20,9%).</w:t>
      </w:r>
    </w:p>
    <w:p>
      <w:pPr>
        <w:pStyle w:val="0"/>
        <w:jc w:val="right"/>
      </w:pPr>
      <w:r>
        <w:rPr>
          <w:sz w:val="20"/>
        </w:rPr>
      </w:r>
    </w:p>
    <w:p>
      <w:pPr>
        <w:pStyle w:val="0"/>
        <w:jc w:val="right"/>
      </w:pPr>
      <w:r>
        <w:rPr>
          <w:sz w:val="20"/>
        </w:rPr>
        <w:t xml:space="preserve">Таблица 7</w:t>
      </w:r>
    </w:p>
    <w:p>
      <w:pPr>
        <w:pStyle w:val="0"/>
        <w:jc w:val="right"/>
      </w:pPr>
      <w:r>
        <w:rPr>
          <w:sz w:val="20"/>
        </w:rPr>
      </w:r>
    </w:p>
    <w:p>
      <w:pPr>
        <w:pStyle w:val="0"/>
        <w:jc w:val="center"/>
      </w:pPr>
      <w:r>
        <w:rPr>
          <w:sz w:val="20"/>
        </w:rPr>
        <w:t xml:space="preserve">Показатели смертности от БСК в трудоспособном возрасте (на</w:t>
      </w:r>
    </w:p>
    <w:p>
      <w:pPr>
        <w:pStyle w:val="0"/>
        <w:jc w:val="center"/>
      </w:pPr>
      <w:r>
        <w:rPr>
          <w:sz w:val="20"/>
        </w:rPr>
        <w:t xml:space="preserve">100 тыс. трудоспособного населения)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45"/>
        <w:gridCol w:w="964"/>
        <w:gridCol w:w="850"/>
        <w:gridCol w:w="794"/>
        <w:gridCol w:w="737"/>
        <w:gridCol w:w="1159"/>
        <w:gridCol w:w="1159"/>
      </w:tblGrid>
      <w:tr>
        <w:tc>
          <w:tcPr>
            <w:tcW w:w="3345" w:type="dxa"/>
          </w:tcPr>
          <w:p>
            <w:pPr>
              <w:pStyle w:val="0"/>
              <w:jc w:val="center"/>
            </w:pPr>
            <w:r>
              <w:rPr>
                <w:sz w:val="20"/>
              </w:rPr>
            </w:r>
          </w:p>
        </w:tc>
        <w:tc>
          <w:tcPr>
            <w:tcW w:w="964" w:type="dxa"/>
          </w:tcPr>
          <w:p>
            <w:pPr>
              <w:pStyle w:val="0"/>
              <w:jc w:val="center"/>
            </w:pPr>
            <w:r>
              <w:rPr>
                <w:sz w:val="20"/>
              </w:rPr>
              <w:t xml:space="preserve">2019</w:t>
            </w:r>
          </w:p>
        </w:tc>
        <w:tc>
          <w:tcPr>
            <w:tcW w:w="850" w:type="dxa"/>
          </w:tcPr>
          <w:p>
            <w:pPr>
              <w:pStyle w:val="0"/>
              <w:jc w:val="center"/>
            </w:pPr>
            <w:r>
              <w:rPr>
                <w:sz w:val="20"/>
              </w:rPr>
              <w:t xml:space="preserve">2020</w:t>
            </w:r>
          </w:p>
        </w:tc>
        <w:tc>
          <w:tcPr>
            <w:tcW w:w="794" w:type="dxa"/>
          </w:tcPr>
          <w:p>
            <w:pPr>
              <w:pStyle w:val="0"/>
              <w:jc w:val="center"/>
            </w:pPr>
            <w:r>
              <w:rPr>
                <w:sz w:val="20"/>
              </w:rPr>
              <w:t xml:space="preserve">2021</w:t>
            </w:r>
          </w:p>
        </w:tc>
        <w:tc>
          <w:tcPr>
            <w:tcW w:w="737" w:type="dxa"/>
          </w:tcPr>
          <w:p>
            <w:pPr>
              <w:pStyle w:val="0"/>
              <w:jc w:val="center"/>
            </w:pPr>
            <w:r>
              <w:rPr>
                <w:sz w:val="20"/>
              </w:rPr>
              <w:t xml:space="preserve">2022</w:t>
            </w:r>
          </w:p>
        </w:tc>
        <w:tc>
          <w:tcPr>
            <w:tcW w:w="1159" w:type="dxa"/>
          </w:tcPr>
          <w:p>
            <w:pPr>
              <w:pStyle w:val="0"/>
              <w:jc w:val="center"/>
            </w:pPr>
            <w:r>
              <w:rPr>
                <w:sz w:val="20"/>
              </w:rPr>
              <w:t xml:space="preserve">Динамика 2022 / 2019</w:t>
            </w:r>
          </w:p>
        </w:tc>
        <w:tc>
          <w:tcPr>
            <w:tcW w:w="1159" w:type="dxa"/>
          </w:tcPr>
          <w:p>
            <w:pPr>
              <w:pStyle w:val="0"/>
              <w:jc w:val="center"/>
            </w:pPr>
            <w:r>
              <w:rPr>
                <w:sz w:val="20"/>
              </w:rPr>
              <w:t xml:space="preserve">Динамика 2022 / 2021</w:t>
            </w:r>
          </w:p>
        </w:tc>
      </w:tr>
      <w:tr>
        <w:tc>
          <w:tcPr>
            <w:tcW w:w="3345" w:type="dxa"/>
          </w:tcPr>
          <w:p>
            <w:pPr>
              <w:pStyle w:val="0"/>
            </w:pPr>
            <w:r>
              <w:rPr>
                <w:sz w:val="20"/>
              </w:rPr>
              <w:t xml:space="preserve">От всех причин</w:t>
            </w:r>
          </w:p>
        </w:tc>
        <w:tc>
          <w:tcPr>
            <w:tcW w:w="964" w:type="dxa"/>
          </w:tcPr>
          <w:p>
            <w:pPr>
              <w:pStyle w:val="0"/>
            </w:pPr>
            <w:r>
              <w:rPr>
                <w:sz w:val="20"/>
              </w:rPr>
              <w:t xml:space="preserve">361,4</w:t>
            </w:r>
          </w:p>
        </w:tc>
        <w:tc>
          <w:tcPr>
            <w:tcW w:w="850" w:type="dxa"/>
          </w:tcPr>
          <w:p>
            <w:pPr>
              <w:pStyle w:val="0"/>
            </w:pPr>
            <w:r>
              <w:rPr>
                <w:sz w:val="20"/>
              </w:rPr>
              <w:t xml:space="preserve">391,8</w:t>
            </w:r>
          </w:p>
        </w:tc>
        <w:tc>
          <w:tcPr>
            <w:tcW w:w="794" w:type="dxa"/>
          </w:tcPr>
          <w:p>
            <w:pPr>
              <w:pStyle w:val="0"/>
            </w:pPr>
            <w:r>
              <w:rPr>
                <w:sz w:val="20"/>
              </w:rPr>
              <w:t xml:space="preserve">434,8</w:t>
            </w:r>
          </w:p>
        </w:tc>
        <w:tc>
          <w:tcPr>
            <w:tcW w:w="737" w:type="dxa"/>
          </w:tcPr>
          <w:p>
            <w:pPr>
              <w:pStyle w:val="0"/>
            </w:pPr>
            <w:r>
              <w:rPr>
                <w:sz w:val="20"/>
              </w:rPr>
              <w:t xml:space="preserve">379,3</w:t>
            </w:r>
          </w:p>
        </w:tc>
        <w:tc>
          <w:tcPr>
            <w:tcW w:w="1159" w:type="dxa"/>
          </w:tcPr>
          <w:p>
            <w:pPr>
              <w:pStyle w:val="0"/>
            </w:pPr>
            <w:r>
              <w:rPr>
                <w:sz w:val="20"/>
              </w:rPr>
              <w:t xml:space="preserve">5,0</w:t>
            </w:r>
          </w:p>
        </w:tc>
        <w:tc>
          <w:tcPr>
            <w:tcW w:w="1159" w:type="dxa"/>
          </w:tcPr>
          <w:p>
            <w:pPr>
              <w:pStyle w:val="0"/>
            </w:pPr>
            <w:r>
              <w:rPr>
                <w:sz w:val="20"/>
              </w:rPr>
              <w:t xml:space="preserve">-12,8</w:t>
            </w:r>
          </w:p>
        </w:tc>
      </w:tr>
      <w:tr>
        <w:tc>
          <w:tcPr>
            <w:tcW w:w="3345" w:type="dxa"/>
          </w:tcPr>
          <w:p>
            <w:pPr>
              <w:pStyle w:val="0"/>
            </w:pPr>
            <w:r>
              <w:rPr>
                <w:sz w:val="20"/>
              </w:rPr>
              <w:t xml:space="preserve">Болезни системы кровообращения</w:t>
            </w:r>
          </w:p>
        </w:tc>
        <w:tc>
          <w:tcPr>
            <w:tcW w:w="964" w:type="dxa"/>
          </w:tcPr>
          <w:p>
            <w:pPr>
              <w:pStyle w:val="0"/>
            </w:pPr>
            <w:r>
              <w:rPr>
                <w:sz w:val="20"/>
              </w:rPr>
              <w:t xml:space="preserve">117,6</w:t>
            </w:r>
          </w:p>
        </w:tc>
        <w:tc>
          <w:tcPr>
            <w:tcW w:w="850" w:type="dxa"/>
          </w:tcPr>
          <w:p>
            <w:pPr>
              <w:pStyle w:val="0"/>
            </w:pPr>
            <w:r>
              <w:rPr>
                <w:sz w:val="20"/>
              </w:rPr>
              <w:t xml:space="preserve">122,8</w:t>
            </w:r>
          </w:p>
        </w:tc>
        <w:tc>
          <w:tcPr>
            <w:tcW w:w="794" w:type="dxa"/>
          </w:tcPr>
          <w:p>
            <w:pPr>
              <w:pStyle w:val="0"/>
            </w:pPr>
            <w:r>
              <w:rPr>
                <w:sz w:val="20"/>
              </w:rPr>
              <w:t xml:space="preserve">141,8</w:t>
            </w:r>
          </w:p>
        </w:tc>
        <w:tc>
          <w:tcPr>
            <w:tcW w:w="737" w:type="dxa"/>
          </w:tcPr>
          <w:p>
            <w:pPr>
              <w:pStyle w:val="0"/>
            </w:pPr>
            <w:r>
              <w:rPr>
                <w:sz w:val="20"/>
              </w:rPr>
              <w:t xml:space="preserve">130,1</w:t>
            </w:r>
          </w:p>
        </w:tc>
        <w:tc>
          <w:tcPr>
            <w:tcW w:w="1159" w:type="dxa"/>
          </w:tcPr>
          <w:p>
            <w:pPr>
              <w:pStyle w:val="0"/>
            </w:pPr>
            <w:r>
              <w:rPr>
                <w:sz w:val="20"/>
              </w:rPr>
              <w:t xml:space="preserve">10,6</w:t>
            </w:r>
          </w:p>
        </w:tc>
        <w:tc>
          <w:tcPr>
            <w:tcW w:w="1159" w:type="dxa"/>
          </w:tcPr>
          <w:p>
            <w:pPr>
              <w:pStyle w:val="0"/>
            </w:pPr>
            <w:r>
              <w:rPr>
                <w:sz w:val="20"/>
              </w:rPr>
              <w:t xml:space="preserve">-8,3</w:t>
            </w:r>
          </w:p>
        </w:tc>
      </w:tr>
      <w:tr>
        <w:tc>
          <w:tcPr>
            <w:tcW w:w="3345" w:type="dxa"/>
          </w:tcPr>
          <w:p>
            <w:pPr>
              <w:pStyle w:val="0"/>
            </w:pPr>
            <w:r>
              <w:rPr>
                <w:sz w:val="20"/>
              </w:rPr>
              <w:t xml:space="preserve">из них: ИБС</w:t>
            </w:r>
          </w:p>
        </w:tc>
        <w:tc>
          <w:tcPr>
            <w:tcW w:w="964" w:type="dxa"/>
          </w:tcPr>
          <w:p>
            <w:pPr>
              <w:pStyle w:val="0"/>
            </w:pPr>
            <w:r>
              <w:rPr>
                <w:sz w:val="20"/>
              </w:rPr>
              <w:t xml:space="preserve">45,7</w:t>
            </w:r>
          </w:p>
        </w:tc>
        <w:tc>
          <w:tcPr>
            <w:tcW w:w="850" w:type="dxa"/>
          </w:tcPr>
          <w:p>
            <w:pPr>
              <w:pStyle w:val="0"/>
            </w:pPr>
            <w:r>
              <w:rPr>
                <w:sz w:val="20"/>
              </w:rPr>
              <w:t xml:space="preserve">45,9</w:t>
            </w:r>
          </w:p>
        </w:tc>
        <w:tc>
          <w:tcPr>
            <w:tcW w:w="794" w:type="dxa"/>
          </w:tcPr>
          <w:p>
            <w:pPr>
              <w:pStyle w:val="0"/>
            </w:pPr>
            <w:r>
              <w:rPr>
                <w:sz w:val="20"/>
              </w:rPr>
              <w:t xml:space="preserve">53,8</w:t>
            </w:r>
          </w:p>
        </w:tc>
        <w:tc>
          <w:tcPr>
            <w:tcW w:w="737" w:type="dxa"/>
          </w:tcPr>
          <w:p>
            <w:pPr>
              <w:pStyle w:val="0"/>
            </w:pPr>
            <w:r>
              <w:rPr>
                <w:sz w:val="20"/>
              </w:rPr>
              <w:t xml:space="preserve">43,8</w:t>
            </w:r>
          </w:p>
        </w:tc>
        <w:tc>
          <w:tcPr>
            <w:tcW w:w="1159" w:type="dxa"/>
          </w:tcPr>
          <w:p>
            <w:pPr>
              <w:pStyle w:val="0"/>
            </w:pPr>
            <w:r>
              <w:rPr>
                <w:sz w:val="20"/>
              </w:rPr>
              <w:t xml:space="preserve">-4,2</w:t>
            </w:r>
          </w:p>
        </w:tc>
        <w:tc>
          <w:tcPr>
            <w:tcW w:w="1159" w:type="dxa"/>
          </w:tcPr>
          <w:p>
            <w:pPr>
              <w:pStyle w:val="0"/>
            </w:pPr>
            <w:r>
              <w:rPr>
                <w:sz w:val="20"/>
              </w:rPr>
              <w:t xml:space="preserve">-18,5</w:t>
            </w:r>
          </w:p>
        </w:tc>
      </w:tr>
      <w:tr>
        <w:tc>
          <w:tcPr>
            <w:tcW w:w="3345" w:type="dxa"/>
          </w:tcPr>
          <w:p>
            <w:pPr>
              <w:pStyle w:val="0"/>
            </w:pPr>
            <w:r>
              <w:rPr>
                <w:sz w:val="20"/>
              </w:rPr>
              <w:t xml:space="preserve">ЦВБ</w:t>
            </w:r>
          </w:p>
        </w:tc>
        <w:tc>
          <w:tcPr>
            <w:tcW w:w="964" w:type="dxa"/>
          </w:tcPr>
          <w:p>
            <w:pPr>
              <w:pStyle w:val="0"/>
            </w:pPr>
            <w:r>
              <w:rPr>
                <w:sz w:val="20"/>
              </w:rPr>
              <w:t xml:space="preserve">16,7</w:t>
            </w:r>
          </w:p>
        </w:tc>
        <w:tc>
          <w:tcPr>
            <w:tcW w:w="850" w:type="dxa"/>
          </w:tcPr>
          <w:p>
            <w:pPr>
              <w:pStyle w:val="0"/>
            </w:pPr>
            <w:r>
              <w:rPr>
                <w:sz w:val="20"/>
              </w:rPr>
              <w:t xml:space="preserve">15,1</w:t>
            </w:r>
          </w:p>
        </w:tc>
        <w:tc>
          <w:tcPr>
            <w:tcW w:w="794" w:type="dxa"/>
          </w:tcPr>
          <w:p>
            <w:pPr>
              <w:pStyle w:val="0"/>
            </w:pPr>
            <w:r>
              <w:rPr>
                <w:sz w:val="20"/>
              </w:rPr>
              <w:t xml:space="preserve">17,2</w:t>
            </w:r>
          </w:p>
        </w:tc>
        <w:tc>
          <w:tcPr>
            <w:tcW w:w="737" w:type="dxa"/>
          </w:tcPr>
          <w:p>
            <w:pPr>
              <w:pStyle w:val="0"/>
            </w:pPr>
            <w:r>
              <w:rPr>
                <w:sz w:val="20"/>
              </w:rPr>
              <w:t xml:space="preserve">16,7</w:t>
            </w:r>
          </w:p>
        </w:tc>
        <w:tc>
          <w:tcPr>
            <w:tcW w:w="1159" w:type="dxa"/>
          </w:tcPr>
          <w:p>
            <w:pPr>
              <w:pStyle w:val="0"/>
            </w:pPr>
            <w:r>
              <w:rPr>
                <w:sz w:val="20"/>
              </w:rPr>
              <w:t xml:space="preserve">-0,2</w:t>
            </w:r>
          </w:p>
        </w:tc>
        <w:tc>
          <w:tcPr>
            <w:tcW w:w="1159" w:type="dxa"/>
          </w:tcPr>
          <w:p>
            <w:pPr>
              <w:pStyle w:val="0"/>
            </w:pPr>
            <w:r>
              <w:rPr>
                <w:sz w:val="20"/>
              </w:rPr>
              <w:t xml:space="preserve">-3,2</w:t>
            </w:r>
          </w:p>
        </w:tc>
      </w:tr>
    </w:tbl>
    <w:p>
      <w:pPr>
        <w:pStyle w:val="0"/>
        <w:jc w:val="center"/>
      </w:pPr>
      <w:r>
        <w:rPr>
          <w:sz w:val="20"/>
        </w:rPr>
      </w:r>
    </w:p>
    <w:p>
      <w:pPr>
        <w:pStyle w:val="0"/>
        <w:ind w:firstLine="540"/>
        <w:jc w:val="both"/>
      </w:pPr>
      <w:r>
        <w:rPr>
          <w:sz w:val="20"/>
        </w:rPr>
        <w:t xml:space="preserve">В 2022 году в динамике с 2021 годом отмечается снижение показателей смертности среди трудоспособного населения: от всех причин на 12,8%, от БСК на 8,3%, ИБС на 18,5%, ЦВБ на 3,2%.</w:t>
      </w:r>
    </w:p>
    <w:p>
      <w:pPr>
        <w:pStyle w:val="0"/>
        <w:spacing w:before="200" w:line-rule="auto"/>
        <w:ind w:firstLine="540"/>
        <w:jc w:val="both"/>
      </w:pPr>
      <w:r>
        <w:rPr>
          <w:sz w:val="20"/>
        </w:rPr>
        <w:t xml:space="preserve">Следует отметить, что в трудоспособном возрасте мужчины умирают почти в 4 раза чаще, чем женщины: 3156 и 822 соответственно. Показатель смертности трудоспособных мужчин - 588,3 на 100 тыс. населения, женщин - 168,6 на 100 тыс. населения.</w:t>
      </w:r>
    </w:p>
    <w:p>
      <w:pPr>
        <w:pStyle w:val="0"/>
        <w:ind w:firstLine="540"/>
        <w:jc w:val="both"/>
      </w:pPr>
      <w:r>
        <w:rPr>
          <w:sz w:val="20"/>
        </w:rPr>
      </w:r>
    </w:p>
    <w:p>
      <w:pPr>
        <w:pStyle w:val="0"/>
        <w:jc w:val="right"/>
      </w:pPr>
      <w:r>
        <w:rPr>
          <w:sz w:val="20"/>
        </w:rPr>
        <w:t xml:space="preserve">Рисунок 4</w:t>
      </w:r>
    </w:p>
    <w:p>
      <w:pPr>
        <w:pStyle w:val="0"/>
        <w:jc w:val="right"/>
      </w:pPr>
      <w:r>
        <w:rPr>
          <w:sz w:val="20"/>
        </w:rPr>
      </w:r>
    </w:p>
    <w:p>
      <w:pPr>
        <w:pStyle w:val="0"/>
        <w:jc w:val="center"/>
      </w:pPr>
      <w:r>
        <w:rPr>
          <w:sz w:val="20"/>
        </w:rPr>
        <w:t xml:space="preserve">Смертность от БСК в разрезе муниципальных образований</w:t>
      </w:r>
    </w:p>
    <w:p>
      <w:pPr>
        <w:pStyle w:val="0"/>
        <w:jc w:val="center"/>
      </w:pPr>
      <w:r>
        <w:rPr>
          <w:sz w:val="20"/>
        </w:rPr>
        <w:t xml:space="preserve">за 2022 год (на 100 тыс. населения)</w:t>
      </w:r>
    </w:p>
    <w:p>
      <w:pPr>
        <w:pStyle w:val="0"/>
        <w:jc w:val="center"/>
      </w:pPr>
      <w:r>
        <w:rPr>
          <w:sz w:val="20"/>
        </w:rPr>
      </w:r>
    </w:p>
    <w:p>
      <w:pPr>
        <w:pStyle w:val="0"/>
        <w:jc w:val="center"/>
      </w:pPr>
      <w:r>
        <w:rPr>
          <w:position w:val="-125"/>
        </w:rPr>
        <w:drawing>
          <wp:inline distT="0" distB="0" distL="0" distR="0">
            <wp:extent cx="5436870" cy="1725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5436870" cy="1725295"/>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Наиболее высокие значения показателей смертности от БСК в 2022 году в муниципальных образованиях западной зоны: Кондинский, Советский, Октябрьский, Ханты-Мансийский, Березовский муниципальные районы автономного округа. Причинами высокого уровня смертности являются в первую очередь особенности населения (возрастной состав выше среднеокружного, преобладание сельских жителей, распространение алкоголизации населения, отсутствие приверженности к лечению).</w:t>
      </w:r>
    </w:p>
    <w:p>
      <w:pPr>
        <w:pStyle w:val="0"/>
        <w:spacing w:before="200" w:line-rule="auto"/>
        <w:ind w:firstLine="540"/>
        <w:jc w:val="both"/>
      </w:pPr>
      <w:r>
        <w:rPr>
          <w:sz w:val="20"/>
        </w:rPr>
        <w:t xml:space="preserve">В ряде муниципальных образований (особенно Сургут) на уровень смертности от БСК оказывают влияние проблемы кодирования первоначальной причины смерти у лиц, умерших на дому, завышение доли ИБС (код I25 "атеросклеротическая болезнь сердца") в структуре смертности населения.</w:t>
      </w:r>
    </w:p>
    <w:p>
      <w:pPr>
        <w:pStyle w:val="0"/>
        <w:ind w:firstLine="540"/>
        <w:jc w:val="both"/>
      </w:pPr>
      <w:r>
        <w:rPr>
          <w:sz w:val="20"/>
        </w:rPr>
      </w:r>
    </w:p>
    <w:p>
      <w:pPr>
        <w:pStyle w:val="0"/>
        <w:jc w:val="right"/>
      </w:pPr>
      <w:r>
        <w:rPr>
          <w:sz w:val="20"/>
        </w:rPr>
        <w:t xml:space="preserve">Таблица 8</w:t>
      </w:r>
    </w:p>
    <w:p>
      <w:pPr>
        <w:pStyle w:val="0"/>
        <w:jc w:val="right"/>
      </w:pPr>
      <w:r>
        <w:rPr>
          <w:sz w:val="20"/>
        </w:rPr>
      </w:r>
    </w:p>
    <w:p>
      <w:pPr>
        <w:pStyle w:val="0"/>
        <w:jc w:val="center"/>
      </w:pPr>
      <w:r>
        <w:rPr>
          <w:sz w:val="20"/>
        </w:rPr>
        <w:t xml:space="preserve">Показатели смертности от БСК в разрезе муниципальных</w:t>
      </w:r>
    </w:p>
    <w:p>
      <w:pPr>
        <w:pStyle w:val="0"/>
        <w:jc w:val="center"/>
      </w:pPr>
      <w:r>
        <w:rPr>
          <w:sz w:val="20"/>
        </w:rPr>
        <w:t xml:space="preserve">образований (МИАЦ)</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1020"/>
        <w:gridCol w:w="907"/>
        <w:gridCol w:w="1020"/>
        <w:gridCol w:w="907"/>
        <w:gridCol w:w="737"/>
        <w:gridCol w:w="850"/>
        <w:gridCol w:w="794"/>
        <w:gridCol w:w="634"/>
      </w:tblGrid>
      <w:tr>
        <w:tc>
          <w:tcPr>
            <w:tcW w:w="2194" w:type="dxa"/>
            <w:vMerge w:val="restart"/>
          </w:tcPr>
          <w:p>
            <w:pPr>
              <w:pStyle w:val="0"/>
              <w:jc w:val="center"/>
            </w:pPr>
            <w:r>
              <w:rPr>
                <w:sz w:val="20"/>
              </w:rPr>
              <w:t xml:space="preserve">Наименование муниципальных районов, городских округов</w:t>
            </w:r>
          </w:p>
        </w:tc>
        <w:tc>
          <w:tcPr>
            <w:gridSpan w:val="2"/>
            <w:tcW w:w="1927" w:type="dxa"/>
          </w:tcPr>
          <w:p>
            <w:pPr>
              <w:pStyle w:val="0"/>
              <w:jc w:val="center"/>
            </w:pPr>
            <w:r>
              <w:rPr>
                <w:sz w:val="20"/>
              </w:rPr>
              <w:t xml:space="preserve">2020</w:t>
            </w:r>
          </w:p>
        </w:tc>
        <w:tc>
          <w:tcPr>
            <w:gridSpan w:val="2"/>
            <w:tcW w:w="1927" w:type="dxa"/>
          </w:tcPr>
          <w:p>
            <w:pPr>
              <w:pStyle w:val="0"/>
              <w:jc w:val="center"/>
            </w:pPr>
            <w:r>
              <w:rPr>
                <w:sz w:val="20"/>
              </w:rPr>
              <w:t xml:space="preserve">2021</w:t>
            </w:r>
          </w:p>
        </w:tc>
        <w:tc>
          <w:tcPr>
            <w:gridSpan w:val="2"/>
            <w:tcW w:w="1587" w:type="dxa"/>
          </w:tcPr>
          <w:p>
            <w:pPr>
              <w:pStyle w:val="0"/>
              <w:jc w:val="center"/>
            </w:pPr>
            <w:r>
              <w:rPr>
                <w:sz w:val="20"/>
              </w:rPr>
              <w:t xml:space="preserve">2022</w:t>
            </w:r>
          </w:p>
        </w:tc>
        <w:tc>
          <w:tcPr>
            <w:gridSpan w:val="2"/>
            <w:tcW w:w="1428" w:type="dxa"/>
          </w:tcPr>
          <w:p>
            <w:pPr>
              <w:pStyle w:val="0"/>
              <w:jc w:val="center"/>
            </w:pPr>
            <w:r>
              <w:rPr>
                <w:sz w:val="20"/>
              </w:rPr>
              <w:t xml:space="preserve">Динамика 2022/2021</w:t>
            </w:r>
          </w:p>
        </w:tc>
      </w:tr>
      <w:tr>
        <w:tc>
          <w:tcPr>
            <w:vMerge w:val="continue"/>
          </w:tcPr>
          <w:p/>
        </w:tc>
        <w:tc>
          <w:tcPr>
            <w:tcW w:w="1020" w:type="dxa"/>
          </w:tcPr>
          <w:p>
            <w:pPr>
              <w:pStyle w:val="0"/>
              <w:jc w:val="center"/>
            </w:pPr>
            <w:r>
              <w:rPr>
                <w:sz w:val="20"/>
              </w:rPr>
              <w:t xml:space="preserve">Абс. пок.</w:t>
            </w:r>
          </w:p>
        </w:tc>
        <w:tc>
          <w:tcPr>
            <w:tcW w:w="907" w:type="dxa"/>
          </w:tcPr>
          <w:p>
            <w:pPr>
              <w:pStyle w:val="0"/>
              <w:jc w:val="center"/>
            </w:pPr>
            <w:r>
              <w:rPr>
                <w:sz w:val="20"/>
              </w:rPr>
              <w:t xml:space="preserve">на 100 т.н.</w:t>
            </w:r>
          </w:p>
        </w:tc>
        <w:tc>
          <w:tcPr>
            <w:tcW w:w="1020" w:type="dxa"/>
          </w:tcPr>
          <w:p>
            <w:pPr>
              <w:pStyle w:val="0"/>
              <w:jc w:val="center"/>
            </w:pPr>
            <w:r>
              <w:rPr>
                <w:sz w:val="20"/>
              </w:rPr>
              <w:t xml:space="preserve">Абс. пок.</w:t>
            </w:r>
          </w:p>
        </w:tc>
        <w:tc>
          <w:tcPr>
            <w:tcW w:w="907" w:type="dxa"/>
          </w:tcPr>
          <w:p>
            <w:pPr>
              <w:pStyle w:val="0"/>
              <w:jc w:val="center"/>
            </w:pPr>
            <w:r>
              <w:rPr>
                <w:sz w:val="20"/>
              </w:rPr>
              <w:t xml:space="preserve">на 100 т.н.</w:t>
            </w:r>
          </w:p>
        </w:tc>
        <w:tc>
          <w:tcPr>
            <w:tcW w:w="737" w:type="dxa"/>
          </w:tcPr>
          <w:p>
            <w:pPr>
              <w:pStyle w:val="0"/>
              <w:jc w:val="center"/>
            </w:pPr>
            <w:r>
              <w:rPr>
                <w:sz w:val="20"/>
              </w:rPr>
              <w:t xml:space="preserve">Абс. пок.</w:t>
            </w:r>
          </w:p>
        </w:tc>
        <w:tc>
          <w:tcPr>
            <w:tcW w:w="850" w:type="dxa"/>
          </w:tcPr>
          <w:p>
            <w:pPr>
              <w:pStyle w:val="0"/>
              <w:jc w:val="center"/>
            </w:pPr>
            <w:r>
              <w:rPr>
                <w:sz w:val="20"/>
              </w:rPr>
              <w:t xml:space="preserve">на 100 т.н.</w:t>
            </w:r>
          </w:p>
        </w:tc>
        <w:tc>
          <w:tcPr>
            <w:tcW w:w="794" w:type="dxa"/>
          </w:tcPr>
          <w:p>
            <w:pPr>
              <w:pStyle w:val="0"/>
              <w:jc w:val="center"/>
            </w:pPr>
            <w:r>
              <w:rPr>
                <w:sz w:val="20"/>
              </w:rPr>
              <w:t xml:space="preserve">Абс. пок.</w:t>
            </w:r>
          </w:p>
        </w:tc>
        <w:tc>
          <w:tcPr>
            <w:tcW w:w="634" w:type="dxa"/>
          </w:tcPr>
          <w:p>
            <w:pPr>
              <w:pStyle w:val="0"/>
              <w:jc w:val="center"/>
            </w:pPr>
            <w:r>
              <w:rPr>
                <w:sz w:val="20"/>
              </w:rPr>
              <w:t xml:space="preserve">%</w:t>
            </w:r>
          </w:p>
        </w:tc>
      </w:tr>
      <w:tr>
        <w:tc>
          <w:tcPr>
            <w:tcW w:w="2194" w:type="dxa"/>
          </w:tcPr>
          <w:p>
            <w:pPr>
              <w:pStyle w:val="0"/>
            </w:pPr>
            <w:r>
              <w:rPr>
                <w:sz w:val="20"/>
              </w:rPr>
              <w:t xml:space="preserve">Лангепас</w:t>
            </w:r>
          </w:p>
        </w:tc>
        <w:tc>
          <w:tcPr>
            <w:tcW w:w="1020" w:type="dxa"/>
          </w:tcPr>
          <w:p>
            <w:pPr>
              <w:pStyle w:val="0"/>
            </w:pPr>
            <w:r>
              <w:rPr>
                <w:sz w:val="20"/>
              </w:rPr>
              <w:t xml:space="preserve">71</w:t>
            </w:r>
          </w:p>
        </w:tc>
        <w:tc>
          <w:tcPr>
            <w:tcW w:w="907" w:type="dxa"/>
          </w:tcPr>
          <w:p>
            <w:pPr>
              <w:pStyle w:val="0"/>
            </w:pPr>
            <w:r>
              <w:rPr>
                <w:sz w:val="20"/>
              </w:rPr>
              <w:t xml:space="preserve">160,1</w:t>
            </w:r>
          </w:p>
        </w:tc>
        <w:tc>
          <w:tcPr>
            <w:tcW w:w="1020" w:type="dxa"/>
          </w:tcPr>
          <w:p>
            <w:pPr>
              <w:pStyle w:val="0"/>
            </w:pPr>
            <w:r>
              <w:rPr>
                <w:sz w:val="20"/>
              </w:rPr>
              <w:t xml:space="preserve">61</w:t>
            </w:r>
          </w:p>
        </w:tc>
        <w:tc>
          <w:tcPr>
            <w:tcW w:w="907" w:type="dxa"/>
          </w:tcPr>
          <w:p>
            <w:pPr>
              <w:pStyle w:val="0"/>
            </w:pPr>
            <w:r>
              <w:rPr>
                <w:sz w:val="20"/>
              </w:rPr>
              <w:t xml:space="preserve">136,6</w:t>
            </w:r>
          </w:p>
        </w:tc>
        <w:tc>
          <w:tcPr>
            <w:tcW w:w="737" w:type="dxa"/>
          </w:tcPr>
          <w:p>
            <w:pPr>
              <w:pStyle w:val="0"/>
            </w:pPr>
            <w:r>
              <w:rPr>
                <w:sz w:val="20"/>
              </w:rPr>
              <w:t xml:space="preserve">71</w:t>
            </w:r>
          </w:p>
        </w:tc>
        <w:tc>
          <w:tcPr>
            <w:tcW w:w="850" w:type="dxa"/>
          </w:tcPr>
          <w:p>
            <w:pPr>
              <w:pStyle w:val="0"/>
            </w:pPr>
            <w:r>
              <w:rPr>
                <w:sz w:val="20"/>
              </w:rPr>
              <w:t xml:space="preserve">157,6</w:t>
            </w:r>
          </w:p>
        </w:tc>
        <w:tc>
          <w:tcPr>
            <w:tcW w:w="794" w:type="dxa"/>
          </w:tcPr>
          <w:p>
            <w:pPr>
              <w:pStyle w:val="0"/>
            </w:pPr>
            <w:r>
              <w:rPr>
                <w:sz w:val="20"/>
              </w:rPr>
              <w:t xml:space="preserve">7</w:t>
            </w:r>
          </w:p>
        </w:tc>
        <w:tc>
          <w:tcPr>
            <w:tcW w:w="634" w:type="dxa"/>
          </w:tcPr>
          <w:p>
            <w:pPr>
              <w:pStyle w:val="0"/>
            </w:pPr>
            <w:r>
              <w:rPr>
                <w:sz w:val="20"/>
              </w:rPr>
              <w:t xml:space="preserve">9,2</w:t>
            </w:r>
          </w:p>
        </w:tc>
      </w:tr>
      <w:tr>
        <w:tc>
          <w:tcPr>
            <w:tcW w:w="2194" w:type="dxa"/>
          </w:tcPr>
          <w:p>
            <w:pPr>
              <w:pStyle w:val="0"/>
            </w:pPr>
            <w:r>
              <w:rPr>
                <w:sz w:val="20"/>
              </w:rPr>
              <w:t xml:space="preserve">Покачи</w:t>
            </w:r>
          </w:p>
        </w:tc>
        <w:tc>
          <w:tcPr>
            <w:tcW w:w="1020" w:type="dxa"/>
          </w:tcPr>
          <w:p>
            <w:pPr>
              <w:pStyle w:val="0"/>
            </w:pPr>
            <w:r>
              <w:rPr>
                <w:sz w:val="20"/>
              </w:rPr>
              <w:t xml:space="preserve">31</w:t>
            </w:r>
          </w:p>
        </w:tc>
        <w:tc>
          <w:tcPr>
            <w:tcW w:w="907" w:type="dxa"/>
          </w:tcPr>
          <w:p>
            <w:pPr>
              <w:pStyle w:val="0"/>
            </w:pPr>
            <w:r>
              <w:rPr>
                <w:sz w:val="20"/>
              </w:rPr>
              <w:t xml:space="preserve">172,9</w:t>
            </w:r>
          </w:p>
        </w:tc>
        <w:tc>
          <w:tcPr>
            <w:tcW w:w="1020" w:type="dxa"/>
          </w:tcPr>
          <w:p>
            <w:pPr>
              <w:pStyle w:val="0"/>
            </w:pPr>
            <w:r>
              <w:rPr>
                <w:sz w:val="20"/>
              </w:rPr>
              <w:t xml:space="preserve">27</w:t>
            </w:r>
          </w:p>
        </w:tc>
        <w:tc>
          <w:tcPr>
            <w:tcW w:w="907" w:type="dxa"/>
          </w:tcPr>
          <w:p>
            <w:pPr>
              <w:pStyle w:val="0"/>
            </w:pPr>
            <w:r>
              <w:rPr>
                <w:sz w:val="20"/>
              </w:rPr>
              <w:t xml:space="preserve">149,4</w:t>
            </w:r>
          </w:p>
        </w:tc>
        <w:tc>
          <w:tcPr>
            <w:tcW w:w="737" w:type="dxa"/>
          </w:tcPr>
          <w:p>
            <w:pPr>
              <w:pStyle w:val="0"/>
            </w:pPr>
            <w:r>
              <w:rPr>
                <w:sz w:val="20"/>
              </w:rPr>
              <w:t xml:space="preserve">26</w:t>
            </w:r>
          </w:p>
        </w:tc>
        <w:tc>
          <w:tcPr>
            <w:tcW w:w="850" w:type="dxa"/>
          </w:tcPr>
          <w:p>
            <w:pPr>
              <w:pStyle w:val="0"/>
            </w:pPr>
            <w:r>
              <w:rPr>
                <w:sz w:val="20"/>
              </w:rPr>
              <w:t xml:space="preserve">142,7</w:t>
            </w:r>
          </w:p>
        </w:tc>
        <w:tc>
          <w:tcPr>
            <w:tcW w:w="794" w:type="dxa"/>
          </w:tcPr>
          <w:p>
            <w:pPr>
              <w:pStyle w:val="0"/>
            </w:pPr>
            <w:r>
              <w:rPr>
                <w:sz w:val="20"/>
              </w:rPr>
              <w:t xml:space="preserve">-2</w:t>
            </w:r>
          </w:p>
        </w:tc>
        <w:tc>
          <w:tcPr>
            <w:tcW w:w="634" w:type="dxa"/>
          </w:tcPr>
          <w:p>
            <w:pPr>
              <w:pStyle w:val="0"/>
            </w:pPr>
            <w:r>
              <w:rPr>
                <w:sz w:val="20"/>
              </w:rPr>
              <w:t xml:space="preserve">-7,1</w:t>
            </w:r>
          </w:p>
        </w:tc>
      </w:tr>
      <w:tr>
        <w:tc>
          <w:tcPr>
            <w:tcW w:w="2194" w:type="dxa"/>
          </w:tcPr>
          <w:p>
            <w:pPr>
              <w:pStyle w:val="0"/>
            </w:pPr>
            <w:r>
              <w:rPr>
                <w:sz w:val="20"/>
              </w:rPr>
              <w:t xml:space="preserve">Когалым</w:t>
            </w:r>
          </w:p>
        </w:tc>
        <w:tc>
          <w:tcPr>
            <w:tcW w:w="1020" w:type="dxa"/>
          </w:tcPr>
          <w:p>
            <w:pPr>
              <w:pStyle w:val="0"/>
            </w:pPr>
            <w:r>
              <w:rPr>
                <w:sz w:val="20"/>
              </w:rPr>
              <w:t xml:space="preserve">128</w:t>
            </w:r>
          </w:p>
        </w:tc>
        <w:tc>
          <w:tcPr>
            <w:tcW w:w="907" w:type="dxa"/>
          </w:tcPr>
          <w:p>
            <w:pPr>
              <w:pStyle w:val="0"/>
            </w:pPr>
            <w:r>
              <w:rPr>
                <w:sz w:val="20"/>
              </w:rPr>
              <w:t xml:space="preserve">192,1</w:t>
            </w:r>
          </w:p>
        </w:tc>
        <w:tc>
          <w:tcPr>
            <w:tcW w:w="1020" w:type="dxa"/>
          </w:tcPr>
          <w:p>
            <w:pPr>
              <w:pStyle w:val="0"/>
            </w:pPr>
            <w:r>
              <w:rPr>
                <w:sz w:val="20"/>
              </w:rPr>
              <w:t xml:space="preserve">141</w:t>
            </w:r>
          </w:p>
        </w:tc>
        <w:tc>
          <w:tcPr>
            <w:tcW w:w="907" w:type="dxa"/>
          </w:tcPr>
          <w:p>
            <w:pPr>
              <w:pStyle w:val="0"/>
            </w:pPr>
            <w:r>
              <w:rPr>
                <w:sz w:val="20"/>
              </w:rPr>
              <w:t xml:space="preserve">207,7</w:t>
            </w:r>
          </w:p>
        </w:tc>
        <w:tc>
          <w:tcPr>
            <w:tcW w:w="737" w:type="dxa"/>
          </w:tcPr>
          <w:p>
            <w:pPr>
              <w:pStyle w:val="0"/>
            </w:pPr>
            <w:r>
              <w:rPr>
                <w:sz w:val="20"/>
              </w:rPr>
              <w:t xml:space="preserve">123</w:t>
            </w:r>
          </w:p>
        </w:tc>
        <w:tc>
          <w:tcPr>
            <w:tcW w:w="850" w:type="dxa"/>
          </w:tcPr>
          <w:p>
            <w:pPr>
              <w:pStyle w:val="0"/>
            </w:pPr>
            <w:r>
              <w:rPr>
                <w:sz w:val="20"/>
              </w:rPr>
              <w:t xml:space="preserve">178,7</w:t>
            </w:r>
          </w:p>
        </w:tc>
        <w:tc>
          <w:tcPr>
            <w:tcW w:w="794" w:type="dxa"/>
          </w:tcPr>
          <w:p>
            <w:pPr>
              <w:pStyle w:val="0"/>
            </w:pPr>
            <w:r>
              <w:rPr>
                <w:sz w:val="20"/>
              </w:rPr>
              <w:t xml:space="preserve">-18</w:t>
            </w:r>
          </w:p>
        </w:tc>
        <w:tc>
          <w:tcPr>
            <w:tcW w:w="634" w:type="dxa"/>
          </w:tcPr>
          <w:p>
            <w:pPr>
              <w:pStyle w:val="0"/>
            </w:pPr>
            <w:r>
              <w:rPr>
                <w:sz w:val="20"/>
              </w:rPr>
              <w:t xml:space="preserve">-15,6</w:t>
            </w:r>
          </w:p>
        </w:tc>
      </w:tr>
      <w:tr>
        <w:tc>
          <w:tcPr>
            <w:tcW w:w="2194" w:type="dxa"/>
          </w:tcPr>
          <w:p>
            <w:pPr>
              <w:pStyle w:val="0"/>
            </w:pPr>
            <w:r>
              <w:rPr>
                <w:sz w:val="20"/>
              </w:rPr>
              <w:t xml:space="preserve">Ханты-Мансийск</w:t>
            </w:r>
          </w:p>
        </w:tc>
        <w:tc>
          <w:tcPr>
            <w:tcW w:w="1020" w:type="dxa"/>
          </w:tcPr>
          <w:p>
            <w:pPr>
              <w:pStyle w:val="0"/>
            </w:pPr>
            <w:r>
              <w:rPr>
                <w:sz w:val="20"/>
              </w:rPr>
              <w:t xml:space="preserve">188</w:t>
            </w:r>
          </w:p>
        </w:tc>
        <w:tc>
          <w:tcPr>
            <w:tcW w:w="907" w:type="dxa"/>
          </w:tcPr>
          <w:p>
            <w:pPr>
              <w:pStyle w:val="0"/>
            </w:pPr>
            <w:r>
              <w:rPr>
                <w:sz w:val="20"/>
              </w:rPr>
              <w:t xml:space="preserve">190,0</w:t>
            </w:r>
          </w:p>
        </w:tc>
        <w:tc>
          <w:tcPr>
            <w:tcW w:w="1020" w:type="dxa"/>
          </w:tcPr>
          <w:p>
            <w:pPr>
              <w:pStyle w:val="0"/>
            </w:pPr>
            <w:r>
              <w:rPr>
                <w:sz w:val="20"/>
              </w:rPr>
              <w:t xml:space="preserve">214</w:t>
            </w:r>
          </w:p>
        </w:tc>
        <w:tc>
          <w:tcPr>
            <w:tcW w:w="907" w:type="dxa"/>
          </w:tcPr>
          <w:p>
            <w:pPr>
              <w:pStyle w:val="0"/>
            </w:pPr>
            <w:r>
              <w:rPr>
                <w:sz w:val="20"/>
              </w:rPr>
              <w:t xml:space="preserve">210,9</w:t>
            </w:r>
          </w:p>
        </w:tc>
        <w:tc>
          <w:tcPr>
            <w:tcW w:w="737" w:type="dxa"/>
          </w:tcPr>
          <w:p>
            <w:pPr>
              <w:pStyle w:val="0"/>
            </w:pPr>
            <w:r>
              <w:rPr>
                <w:sz w:val="20"/>
              </w:rPr>
              <w:t xml:space="preserve">197</w:t>
            </w:r>
          </w:p>
        </w:tc>
        <w:tc>
          <w:tcPr>
            <w:tcW w:w="850" w:type="dxa"/>
          </w:tcPr>
          <w:p>
            <w:pPr>
              <w:pStyle w:val="0"/>
            </w:pPr>
            <w:r>
              <w:rPr>
                <w:sz w:val="20"/>
              </w:rPr>
              <w:t xml:space="preserve">191,0</w:t>
            </w:r>
          </w:p>
        </w:tc>
        <w:tc>
          <w:tcPr>
            <w:tcW w:w="794" w:type="dxa"/>
          </w:tcPr>
          <w:p>
            <w:pPr>
              <w:pStyle w:val="0"/>
            </w:pPr>
            <w:r>
              <w:rPr>
                <w:sz w:val="20"/>
              </w:rPr>
              <w:t xml:space="preserve">-8</w:t>
            </w:r>
          </w:p>
        </w:tc>
        <w:tc>
          <w:tcPr>
            <w:tcW w:w="634" w:type="dxa"/>
          </w:tcPr>
          <w:p>
            <w:pPr>
              <w:pStyle w:val="0"/>
            </w:pPr>
            <w:r>
              <w:rPr>
                <w:sz w:val="20"/>
              </w:rPr>
              <w:t xml:space="preserve">-7,8</w:t>
            </w:r>
          </w:p>
        </w:tc>
      </w:tr>
      <w:tr>
        <w:tc>
          <w:tcPr>
            <w:tcW w:w="2194" w:type="dxa"/>
          </w:tcPr>
          <w:p>
            <w:pPr>
              <w:pStyle w:val="0"/>
            </w:pPr>
            <w:r>
              <w:rPr>
                <w:sz w:val="20"/>
              </w:rPr>
              <w:t xml:space="preserve">Сургутский</w:t>
            </w:r>
          </w:p>
        </w:tc>
        <w:tc>
          <w:tcPr>
            <w:tcW w:w="1020" w:type="dxa"/>
          </w:tcPr>
          <w:p>
            <w:pPr>
              <w:pStyle w:val="0"/>
            </w:pPr>
            <w:r>
              <w:rPr>
                <w:sz w:val="20"/>
              </w:rPr>
              <w:t xml:space="preserve">294</w:t>
            </w:r>
          </w:p>
        </w:tc>
        <w:tc>
          <w:tcPr>
            <w:tcW w:w="907" w:type="dxa"/>
          </w:tcPr>
          <w:p>
            <w:pPr>
              <w:pStyle w:val="0"/>
            </w:pPr>
            <w:r>
              <w:rPr>
                <w:sz w:val="20"/>
              </w:rPr>
              <w:t xml:space="preserve">236,3</w:t>
            </w:r>
          </w:p>
        </w:tc>
        <w:tc>
          <w:tcPr>
            <w:tcW w:w="1020" w:type="dxa"/>
          </w:tcPr>
          <w:p>
            <w:pPr>
              <w:pStyle w:val="0"/>
            </w:pPr>
            <w:r>
              <w:rPr>
                <w:sz w:val="20"/>
              </w:rPr>
              <w:t xml:space="preserve">281</w:t>
            </w:r>
          </w:p>
        </w:tc>
        <w:tc>
          <w:tcPr>
            <w:tcW w:w="907" w:type="dxa"/>
          </w:tcPr>
          <w:p>
            <w:pPr>
              <w:pStyle w:val="0"/>
            </w:pPr>
            <w:r>
              <w:rPr>
                <w:sz w:val="20"/>
              </w:rPr>
              <w:t xml:space="preserve">223,5</w:t>
            </w:r>
          </w:p>
        </w:tc>
        <w:tc>
          <w:tcPr>
            <w:tcW w:w="737" w:type="dxa"/>
          </w:tcPr>
          <w:p>
            <w:pPr>
              <w:pStyle w:val="0"/>
            </w:pPr>
            <w:r>
              <w:rPr>
                <w:sz w:val="20"/>
              </w:rPr>
              <w:t xml:space="preserve">294</w:t>
            </w:r>
          </w:p>
        </w:tc>
        <w:tc>
          <w:tcPr>
            <w:tcW w:w="850" w:type="dxa"/>
          </w:tcPr>
          <w:p>
            <w:pPr>
              <w:pStyle w:val="0"/>
            </w:pPr>
            <w:r>
              <w:rPr>
                <w:sz w:val="20"/>
              </w:rPr>
              <w:t xml:space="preserve">233,1</w:t>
            </w:r>
          </w:p>
        </w:tc>
        <w:tc>
          <w:tcPr>
            <w:tcW w:w="794" w:type="dxa"/>
          </w:tcPr>
          <w:p>
            <w:pPr>
              <w:pStyle w:val="0"/>
            </w:pPr>
            <w:r>
              <w:rPr>
                <w:sz w:val="20"/>
              </w:rPr>
              <w:t xml:space="preserve">-22</w:t>
            </w:r>
          </w:p>
        </w:tc>
        <w:tc>
          <w:tcPr>
            <w:tcW w:w="634" w:type="dxa"/>
          </w:tcPr>
          <w:p>
            <w:pPr>
              <w:pStyle w:val="0"/>
            </w:pPr>
            <w:r>
              <w:rPr>
                <w:sz w:val="20"/>
              </w:rPr>
              <w:t xml:space="preserve">-8,2</w:t>
            </w:r>
          </w:p>
        </w:tc>
      </w:tr>
      <w:tr>
        <w:tc>
          <w:tcPr>
            <w:tcW w:w="2194" w:type="dxa"/>
          </w:tcPr>
          <w:p>
            <w:pPr>
              <w:pStyle w:val="0"/>
            </w:pPr>
            <w:r>
              <w:rPr>
                <w:sz w:val="20"/>
              </w:rPr>
              <w:t xml:space="preserve">Югорск</w:t>
            </w:r>
          </w:p>
        </w:tc>
        <w:tc>
          <w:tcPr>
            <w:tcW w:w="1020" w:type="dxa"/>
          </w:tcPr>
          <w:p>
            <w:pPr>
              <w:pStyle w:val="0"/>
            </w:pPr>
            <w:r>
              <w:rPr>
                <w:sz w:val="20"/>
              </w:rPr>
              <w:t xml:space="preserve">86</w:t>
            </w:r>
          </w:p>
        </w:tc>
        <w:tc>
          <w:tcPr>
            <w:tcW w:w="907" w:type="dxa"/>
          </w:tcPr>
          <w:p>
            <w:pPr>
              <w:pStyle w:val="0"/>
            </w:pPr>
            <w:r>
              <w:rPr>
                <w:sz w:val="20"/>
              </w:rPr>
              <w:t xml:space="preserve">229,8</w:t>
            </w:r>
          </w:p>
        </w:tc>
        <w:tc>
          <w:tcPr>
            <w:tcW w:w="1020" w:type="dxa"/>
          </w:tcPr>
          <w:p>
            <w:pPr>
              <w:pStyle w:val="0"/>
            </w:pPr>
            <w:r>
              <w:rPr>
                <w:sz w:val="20"/>
              </w:rPr>
              <w:t xml:space="preserve">87</w:t>
            </w:r>
          </w:p>
        </w:tc>
        <w:tc>
          <w:tcPr>
            <w:tcW w:w="907" w:type="dxa"/>
          </w:tcPr>
          <w:p>
            <w:pPr>
              <w:pStyle w:val="0"/>
            </w:pPr>
            <w:r>
              <w:rPr>
                <w:sz w:val="20"/>
              </w:rPr>
              <w:t xml:space="preserve">229,2</w:t>
            </w:r>
          </w:p>
        </w:tc>
        <w:tc>
          <w:tcPr>
            <w:tcW w:w="737" w:type="dxa"/>
          </w:tcPr>
          <w:p>
            <w:pPr>
              <w:pStyle w:val="0"/>
            </w:pPr>
            <w:r>
              <w:rPr>
                <w:sz w:val="20"/>
              </w:rPr>
              <w:t xml:space="preserve">125</w:t>
            </w:r>
          </w:p>
        </w:tc>
        <w:tc>
          <w:tcPr>
            <w:tcW w:w="850" w:type="dxa"/>
          </w:tcPr>
          <w:p>
            <w:pPr>
              <w:pStyle w:val="0"/>
            </w:pPr>
            <w:r>
              <w:rPr>
                <w:sz w:val="20"/>
              </w:rPr>
              <w:t xml:space="preserve">324,3</w:t>
            </w:r>
          </w:p>
        </w:tc>
        <w:tc>
          <w:tcPr>
            <w:tcW w:w="794" w:type="dxa"/>
          </w:tcPr>
          <w:p>
            <w:pPr>
              <w:pStyle w:val="0"/>
            </w:pPr>
            <w:r>
              <w:rPr>
                <w:sz w:val="20"/>
              </w:rPr>
              <w:t xml:space="preserve">37</w:t>
            </w:r>
          </w:p>
        </w:tc>
        <w:tc>
          <w:tcPr>
            <w:tcW w:w="634" w:type="dxa"/>
          </w:tcPr>
          <w:p>
            <w:pPr>
              <w:pStyle w:val="0"/>
            </w:pPr>
            <w:r>
              <w:rPr>
                <w:sz w:val="20"/>
              </w:rPr>
              <w:t xml:space="preserve">37,9</w:t>
            </w:r>
          </w:p>
        </w:tc>
      </w:tr>
      <w:tr>
        <w:tc>
          <w:tcPr>
            <w:tcW w:w="2194" w:type="dxa"/>
          </w:tcPr>
          <w:p>
            <w:pPr>
              <w:pStyle w:val="0"/>
            </w:pPr>
            <w:r>
              <w:rPr>
                <w:sz w:val="20"/>
              </w:rPr>
              <w:t xml:space="preserve">Радужный</w:t>
            </w:r>
          </w:p>
        </w:tc>
        <w:tc>
          <w:tcPr>
            <w:tcW w:w="1020" w:type="dxa"/>
          </w:tcPr>
          <w:p>
            <w:pPr>
              <w:pStyle w:val="0"/>
            </w:pPr>
            <w:r>
              <w:rPr>
                <w:sz w:val="20"/>
              </w:rPr>
              <w:t xml:space="preserve">98</w:t>
            </w:r>
          </w:p>
        </w:tc>
        <w:tc>
          <w:tcPr>
            <w:tcW w:w="907" w:type="dxa"/>
          </w:tcPr>
          <w:p>
            <w:pPr>
              <w:pStyle w:val="0"/>
            </w:pPr>
            <w:r>
              <w:rPr>
                <w:sz w:val="20"/>
              </w:rPr>
              <w:t xml:space="preserve">224,4</w:t>
            </w:r>
          </w:p>
        </w:tc>
        <w:tc>
          <w:tcPr>
            <w:tcW w:w="1020" w:type="dxa"/>
          </w:tcPr>
          <w:p>
            <w:pPr>
              <w:pStyle w:val="0"/>
            </w:pPr>
            <w:r>
              <w:rPr>
                <w:sz w:val="20"/>
              </w:rPr>
              <w:t xml:space="preserve">106</w:t>
            </w:r>
          </w:p>
        </w:tc>
        <w:tc>
          <w:tcPr>
            <w:tcW w:w="907" w:type="dxa"/>
          </w:tcPr>
          <w:p>
            <w:pPr>
              <w:pStyle w:val="0"/>
            </w:pPr>
            <w:r>
              <w:rPr>
                <w:sz w:val="20"/>
              </w:rPr>
              <w:t xml:space="preserve">242,8</w:t>
            </w:r>
          </w:p>
        </w:tc>
        <w:tc>
          <w:tcPr>
            <w:tcW w:w="737" w:type="dxa"/>
          </w:tcPr>
          <w:p>
            <w:pPr>
              <w:pStyle w:val="0"/>
            </w:pPr>
            <w:r>
              <w:rPr>
                <w:sz w:val="20"/>
              </w:rPr>
              <w:t xml:space="preserve">95</w:t>
            </w:r>
          </w:p>
        </w:tc>
        <w:tc>
          <w:tcPr>
            <w:tcW w:w="850" w:type="dxa"/>
          </w:tcPr>
          <w:p>
            <w:pPr>
              <w:pStyle w:val="0"/>
            </w:pPr>
            <w:r>
              <w:rPr>
                <w:sz w:val="20"/>
              </w:rPr>
              <w:t xml:space="preserve">215,3</w:t>
            </w:r>
          </w:p>
        </w:tc>
        <w:tc>
          <w:tcPr>
            <w:tcW w:w="794" w:type="dxa"/>
          </w:tcPr>
          <w:p>
            <w:pPr>
              <w:pStyle w:val="0"/>
            </w:pPr>
            <w:r>
              <w:rPr>
                <w:sz w:val="20"/>
              </w:rPr>
              <w:t xml:space="preserve">-13</w:t>
            </w:r>
          </w:p>
        </w:tc>
        <w:tc>
          <w:tcPr>
            <w:tcW w:w="634" w:type="dxa"/>
          </w:tcPr>
          <w:p>
            <w:pPr>
              <w:pStyle w:val="0"/>
            </w:pPr>
            <w:r>
              <w:rPr>
                <w:sz w:val="20"/>
              </w:rPr>
              <w:t xml:space="preserve">-13,1</w:t>
            </w:r>
          </w:p>
        </w:tc>
      </w:tr>
      <w:tr>
        <w:tc>
          <w:tcPr>
            <w:tcW w:w="2194" w:type="dxa"/>
          </w:tcPr>
          <w:p>
            <w:pPr>
              <w:pStyle w:val="0"/>
            </w:pPr>
            <w:r>
              <w:rPr>
                <w:sz w:val="20"/>
              </w:rPr>
              <w:t xml:space="preserve">Нефтеюганский</w:t>
            </w:r>
          </w:p>
        </w:tc>
        <w:tc>
          <w:tcPr>
            <w:tcW w:w="1020" w:type="dxa"/>
          </w:tcPr>
          <w:p>
            <w:pPr>
              <w:pStyle w:val="0"/>
            </w:pPr>
            <w:r>
              <w:rPr>
                <w:sz w:val="20"/>
              </w:rPr>
              <w:t xml:space="preserve">119</w:t>
            </w:r>
          </w:p>
        </w:tc>
        <w:tc>
          <w:tcPr>
            <w:tcW w:w="907" w:type="dxa"/>
          </w:tcPr>
          <w:p>
            <w:pPr>
              <w:pStyle w:val="0"/>
            </w:pPr>
            <w:r>
              <w:rPr>
                <w:sz w:val="20"/>
              </w:rPr>
              <w:t xml:space="preserve">265,6</w:t>
            </w:r>
          </w:p>
        </w:tc>
        <w:tc>
          <w:tcPr>
            <w:tcW w:w="1020" w:type="dxa"/>
          </w:tcPr>
          <w:p>
            <w:pPr>
              <w:pStyle w:val="0"/>
            </w:pPr>
            <w:r>
              <w:rPr>
                <w:sz w:val="20"/>
              </w:rPr>
              <w:t xml:space="preserve">113</w:t>
            </w:r>
          </w:p>
        </w:tc>
        <w:tc>
          <w:tcPr>
            <w:tcW w:w="907" w:type="dxa"/>
          </w:tcPr>
          <w:p>
            <w:pPr>
              <w:pStyle w:val="0"/>
            </w:pPr>
            <w:r>
              <w:rPr>
                <w:sz w:val="20"/>
              </w:rPr>
              <w:t xml:space="preserve">253,0</w:t>
            </w:r>
          </w:p>
        </w:tc>
        <w:tc>
          <w:tcPr>
            <w:tcW w:w="737" w:type="dxa"/>
          </w:tcPr>
          <w:p>
            <w:pPr>
              <w:pStyle w:val="0"/>
            </w:pPr>
            <w:r>
              <w:rPr>
                <w:sz w:val="20"/>
              </w:rPr>
              <w:t xml:space="preserve">89</w:t>
            </w:r>
          </w:p>
        </w:tc>
        <w:tc>
          <w:tcPr>
            <w:tcW w:w="850" w:type="dxa"/>
          </w:tcPr>
          <w:p>
            <w:pPr>
              <w:pStyle w:val="0"/>
            </w:pPr>
            <w:r>
              <w:rPr>
                <w:sz w:val="20"/>
              </w:rPr>
              <w:t xml:space="preserve">197,8</w:t>
            </w:r>
          </w:p>
        </w:tc>
        <w:tc>
          <w:tcPr>
            <w:tcW w:w="794" w:type="dxa"/>
          </w:tcPr>
          <w:p>
            <w:pPr>
              <w:pStyle w:val="0"/>
            </w:pPr>
            <w:r>
              <w:rPr>
                <w:sz w:val="20"/>
              </w:rPr>
              <w:t xml:space="preserve">-27</w:t>
            </w:r>
          </w:p>
        </w:tc>
        <w:tc>
          <w:tcPr>
            <w:tcW w:w="634" w:type="dxa"/>
          </w:tcPr>
          <w:p>
            <w:pPr>
              <w:pStyle w:val="0"/>
            </w:pPr>
            <w:r>
              <w:rPr>
                <w:sz w:val="20"/>
              </w:rPr>
              <w:t xml:space="preserve">-23,6</w:t>
            </w:r>
          </w:p>
        </w:tc>
      </w:tr>
      <w:tr>
        <w:tc>
          <w:tcPr>
            <w:tcW w:w="2194" w:type="dxa"/>
          </w:tcPr>
          <w:p>
            <w:pPr>
              <w:pStyle w:val="0"/>
            </w:pPr>
            <w:r>
              <w:rPr>
                <w:sz w:val="20"/>
              </w:rPr>
              <w:t xml:space="preserve">Нижневартовск</w:t>
            </w:r>
          </w:p>
        </w:tc>
        <w:tc>
          <w:tcPr>
            <w:tcW w:w="1020" w:type="dxa"/>
          </w:tcPr>
          <w:p>
            <w:pPr>
              <w:pStyle w:val="0"/>
            </w:pPr>
            <w:r>
              <w:rPr>
                <w:sz w:val="20"/>
              </w:rPr>
              <w:t xml:space="preserve">738</w:t>
            </w:r>
          </w:p>
        </w:tc>
        <w:tc>
          <w:tcPr>
            <w:tcW w:w="907" w:type="dxa"/>
          </w:tcPr>
          <w:p>
            <w:pPr>
              <w:pStyle w:val="0"/>
            </w:pPr>
            <w:r>
              <w:rPr>
                <w:sz w:val="20"/>
              </w:rPr>
              <w:t xml:space="preserve">267,4</w:t>
            </w:r>
          </w:p>
        </w:tc>
        <w:tc>
          <w:tcPr>
            <w:tcW w:w="1020" w:type="dxa"/>
          </w:tcPr>
          <w:p>
            <w:pPr>
              <w:pStyle w:val="0"/>
            </w:pPr>
            <w:r>
              <w:rPr>
                <w:sz w:val="20"/>
              </w:rPr>
              <w:t xml:space="preserve">746</w:t>
            </w:r>
          </w:p>
        </w:tc>
        <w:tc>
          <w:tcPr>
            <w:tcW w:w="907" w:type="dxa"/>
          </w:tcPr>
          <w:p>
            <w:pPr>
              <w:pStyle w:val="0"/>
            </w:pPr>
            <w:r>
              <w:rPr>
                <w:sz w:val="20"/>
              </w:rPr>
              <w:t xml:space="preserve">268,7</w:t>
            </w:r>
          </w:p>
        </w:tc>
        <w:tc>
          <w:tcPr>
            <w:tcW w:w="737" w:type="dxa"/>
          </w:tcPr>
          <w:p>
            <w:pPr>
              <w:pStyle w:val="0"/>
            </w:pPr>
            <w:r>
              <w:rPr>
                <w:sz w:val="20"/>
              </w:rPr>
              <w:t xml:space="preserve">687</w:t>
            </w:r>
          </w:p>
        </w:tc>
        <w:tc>
          <w:tcPr>
            <w:tcW w:w="850" w:type="dxa"/>
          </w:tcPr>
          <w:p>
            <w:pPr>
              <w:pStyle w:val="0"/>
            </w:pPr>
            <w:r>
              <w:rPr>
                <w:sz w:val="20"/>
              </w:rPr>
              <w:t xml:space="preserve">246,5</w:t>
            </w:r>
          </w:p>
        </w:tc>
        <w:tc>
          <w:tcPr>
            <w:tcW w:w="794" w:type="dxa"/>
          </w:tcPr>
          <w:p>
            <w:pPr>
              <w:pStyle w:val="0"/>
            </w:pPr>
            <w:r>
              <w:rPr>
                <w:sz w:val="20"/>
              </w:rPr>
              <w:t xml:space="preserve">-54</w:t>
            </w:r>
          </w:p>
        </w:tc>
        <w:tc>
          <w:tcPr>
            <w:tcW w:w="634" w:type="dxa"/>
          </w:tcPr>
          <w:p>
            <w:pPr>
              <w:pStyle w:val="0"/>
            </w:pPr>
            <w:r>
              <w:rPr>
                <w:sz w:val="20"/>
              </w:rPr>
              <w:t xml:space="preserve">-8,2</w:t>
            </w:r>
          </w:p>
        </w:tc>
      </w:tr>
      <w:tr>
        <w:tc>
          <w:tcPr>
            <w:tcW w:w="2194" w:type="dxa"/>
          </w:tcPr>
          <w:p>
            <w:pPr>
              <w:pStyle w:val="0"/>
            </w:pPr>
            <w:r>
              <w:rPr>
                <w:sz w:val="20"/>
              </w:rPr>
              <w:t xml:space="preserve">Пыть-Ях</w:t>
            </w:r>
          </w:p>
        </w:tc>
        <w:tc>
          <w:tcPr>
            <w:tcW w:w="1020" w:type="dxa"/>
          </w:tcPr>
          <w:p>
            <w:pPr>
              <w:pStyle w:val="0"/>
            </w:pPr>
            <w:r>
              <w:rPr>
                <w:sz w:val="20"/>
              </w:rPr>
              <w:t xml:space="preserve">107</w:t>
            </w:r>
          </w:p>
        </w:tc>
        <w:tc>
          <w:tcPr>
            <w:tcW w:w="907" w:type="dxa"/>
          </w:tcPr>
          <w:p>
            <w:pPr>
              <w:pStyle w:val="0"/>
            </w:pPr>
            <w:r>
              <w:rPr>
                <w:sz w:val="20"/>
              </w:rPr>
              <w:t xml:space="preserve">267,1</w:t>
            </w:r>
          </w:p>
        </w:tc>
        <w:tc>
          <w:tcPr>
            <w:tcW w:w="1020" w:type="dxa"/>
          </w:tcPr>
          <w:p>
            <w:pPr>
              <w:pStyle w:val="0"/>
            </w:pPr>
            <w:r>
              <w:rPr>
                <w:sz w:val="20"/>
              </w:rPr>
              <w:t xml:space="preserve">108</w:t>
            </w:r>
          </w:p>
        </w:tc>
        <w:tc>
          <w:tcPr>
            <w:tcW w:w="907" w:type="dxa"/>
          </w:tcPr>
          <w:p>
            <w:pPr>
              <w:pStyle w:val="0"/>
            </w:pPr>
            <w:r>
              <w:rPr>
                <w:sz w:val="20"/>
              </w:rPr>
              <w:t xml:space="preserve">272,9</w:t>
            </w:r>
          </w:p>
        </w:tc>
        <w:tc>
          <w:tcPr>
            <w:tcW w:w="737" w:type="dxa"/>
          </w:tcPr>
          <w:p>
            <w:pPr>
              <w:pStyle w:val="0"/>
            </w:pPr>
            <w:r>
              <w:rPr>
                <w:sz w:val="20"/>
              </w:rPr>
              <w:t xml:space="preserve">98</w:t>
            </w:r>
          </w:p>
        </w:tc>
        <w:tc>
          <w:tcPr>
            <w:tcW w:w="850" w:type="dxa"/>
          </w:tcPr>
          <w:p>
            <w:pPr>
              <w:pStyle w:val="0"/>
            </w:pPr>
            <w:r>
              <w:rPr>
                <w:sz w:val="20"/>
              </w:rPr>
              <w:t xml:space="preserve">248,5</w:t>
            </w:r>
          </w:p>
        </w:tc>
        <w:tc>
          <w:tcPr>
            <w:tcW w:w="794" w:type="dxa"/>
          </w:tcPr>
          <w:p>
            <w:pPr>
              <w:pStyle w:val="0"/>
            </w:pPr>
            <w:r>
              <w:rPr>
                <w:sz w:val="20"/>
              </w:rPr>
              <w:t xml:space="preserve">-14</w:t>
            </w:r>
          </w:p>
        </w:tc>
        <w:tc>
          <w:tcPr>
            <w:tcW w:w="634" w:type="dxa"/>
          </w:tcPr>
          <w:p>
            <w:pPr>
              <w:pStyle w:val="0"/>
            </w:pPr>
            <w:r>
              <w:rPr>
                <w:sz w:val="20"/>
              </w:rPr>
              <w:t xml:space="preserve">-11,1</w:t>
            </w:r>
          </w:p>
        </w:tc>
      </w:tr>
      <w:tr>
        <w:tc>
          <w:tcPr>
            <w:tcW w:w="2194" w:type="dxa"/>
          </w:tcPr>
          <w:p>
            <w:pPr>
              <w:pStyle w:val="0"/>
            </w:pPr>
            <w:r>
              <w:rPr>
                <w:sz w:val="20"/>
              </w:rPr>
              <w:t xml:space="preserve">Нягань</w:t>
            </w:r>
          </w:p>
        </w:tc>
        <w:tc>
          <w:tcPr>
            <w:tcW w:w="1020" w:type="dxa"/>
          </w:tcPr>
          <w:p>
            <w:pPr>
              <w:pStyle w:val="0"/>
            </w:pPr>
            <w:r>
              <w:rPr>
                <w:sz w:val="20"/>
              </w:rPr>
              <w:t xml:space="preserve">141</w:t>
            </w:r>
          </w:p>
        </w:tc>
        <w:tc>
          <w:tcPr>
            <w:tcW w:w="907" w:type="dxa"/>
          </w:tcPr>
          <w:p>
            <w:pPr>
              <w:pStyle w:val="0"/>
            </w:pPr>
            <w:r>
              <w:rPr>
                <w:sz w:val="20"/>
              </w:rPr>
              <w:t xml:space="preserve">242,0</w:t>
            </w:r>
          </w:p>
        </w:tc>
        <w:tc>
          <w:tcPr>
            <w:tcW w:w="1020" w:type="dxa"/>
          </w:tcPr>
          <w:p>
            <w:pPr>
              <w:pStyle w:val="0"/>
            </w:pPr>
            <w:r>
              <w:rPr>
                <w:sz w:val="20"/>
              </w:rPr>
              <w:t xml:space="preserve">164</w:t>
            </w:r>
          </w:p>
        </w:tc>
        <w:tc>
          <w:tcPr>
            <w:tcW w:w="907" w:type="dxa"/>
          </w:tcPr>
          <w:p>
            <w:pPr>
              <w:pStyle w:val="0"/>
            </w:pPr>
            <w:r>
              <w:rPr>
                <w:sz w:val="20"/>
              </w:rPr>
              <w:t xml:space="preserve">280,0</w:t>
            </w:r>
          </w:p>
        </w:tc>
        <w:tc>
          <w:tcPr>
            <w:tcW w:w="737" w:type="dxa"/>
          </w:tcPr>
          <w:p>
            <w:pPr>
              <w:pStyle w:val="0"/>
            </w:pPr>
            <w:r>
              <w:rPr>
                <w:sz w:val="20"/>
              </w:rPr>
              <w:t xml:space="preserve">141</w:t>
            </w:r>
          </w:p>
        </w:tc>
        <w:tc>
          <w:tcPr>
            <w:tcW w:w="850" w:type="dxa"/>
          </w:tcPr>
          <w:p>
            <w:pPr>
              <w:pStyle w:val="0"/>
            </w:pPr>
            <w:r>
              <w:rPr>
                <w:sz w:val="20"/>
              </w:rPr>
              <w:t xml:space="preserve">240,1</w:t>
            </w:r>
          </w:p>
        </w:tc>
        <w:tc>
          <w:tcPr>
            <w:tcW w:w="794" w:type="dxa"/>
          </w:tcPr>
          <w:p>
            <w:pPr>
              <w:pStyle w:val="0"/>
            </w:pPr>
            <w:r>
              <w:rPr>
                <w:sz w:val="20"/>
              </w:rPr>
              <w:t xml:space="preserve">-19</w:t>
            </w:r>
          </w:p>
        </w:tc>
        <w:tc>
          <w:tcPr>
            <w:tcW w:w="634" w:type="dxa"/>
          </w:tcPr>
          <w:p>
            <w:pPr>
              <w:pStyle w:val="0"/>
            </w:pPr>
            <w:r>
              <w:rPr>
                <w:sz w:val="20"/>
              </w:rPr>
              <w:t xml:space="preserve">-12,6</w:t>
            </w:r>
          </w:p>
        </w:tc>
      </w:tr>
      <w:tr>
        <w:tc>
          <w:tcPr>
            <w:tcW w:w="2194" w:type="dxa"/>
          </w:tcPr>
          <w:p>
            <w:pPr>
              <w:pStyle w:val="0"/>
            </w:pPr>
            <w:r>
              <w:rPr>
                <w:sz w:val="20"/>
              </w:rPr>
              <w:t xml:space="preserve">Нижневартовский</w:t>
            </w:r>
          </w:p>
        </w:tc>
        <w:tc>
          <w:tcPr>
            <w:tcW w:w="1020" w:type="dxa"/>
          </w:tcPr>
          <w:p>
            <w:pPr>
              <w:pStyle w:val="0"/>
            </w:pPr>
            <w:r>
              <w:rPr>
                <w:sz w:val="20"/>
              </w:rPr>
              <w:t xml:space="preserve">98</w:t>
            </w:r>
          </w:p>
        </w:tc>
        <w:tc>
          <w:tcPr>
            <w:tcW w:w="907" w:type="dxa"/>
          </w:tcPr>
          <w:p>
            <w:pPr>
              <w:pStyle w:val="0"/>
            </w:pPr>
            <w:r>
              <w:rPr>
                <w:sz w:val="20"/>
              </w:rPr>
              <w:t xml:space="preserve">271,8</w:t>
            </w:r>
          </w:p>
        </w:tc>
        <w:tc>
          <w:tcPr>
            <w:tcW w:w="1020" w:type="dxa"/>
          </w:tcPr>
          <w:p>
            <w:pPr>
              <w:pStyle w:val="0"/>
            </w:pPr>
            <w:r>
              <w:rPr>
                <w:sz w:val="20"/>
              </w:rPr>
              <w:t xml:space="preserve">108</w:t>
            </w:r>
          </w:p>
        </w:tc>
        <w:tc>
          <w:tcPr>
            <w:tcW w:w="907" w:type="dxa"/>
          </w:tcPr>
          <w:p>
            <w:pPr>
              <w:pStyle w:val="0"/>
            </w:pPr>
            <w:r>
              <w:rPr>
                <w:sz w:val="20"/>
              </w:rPr>
              <w:t xml:space="preserve">300,1</w:t>
            </w:r>
          </w:p>
        </w:tc>
        <w:tc>
          <w:tcPr>
            <w:tcW w:w="737" w:type="dxa"/>
          </w:tcPr>
          <w:p>
            <w:pPr>
              <w:pStyle w:val="0"/>
            </w:pPr>
            <w:r>
              <w:rPr>
                <w:sz w:val="20"/>
              </w:rPr>
              <w:t xml:space="preserve">113</w:t>
            </w:r>
          </w:p>
        </w:tc>
        <w:tc>
          <w:tcPr>
            <w:tcW w:w="850" w:type="dxa"/>
          </w:tcPr>
          <w:p>
            <w:pPr>
              <w:pStyle w:val="0"/>
            </w:pPr>
            <w:r>
              <w:rPr>
                <w:sz w:val="20"/>
              </w:rPr>
              <w:t xml:space="preserve">312,0</w:t>
            </w:r>
          </w:p>
        </w:tc>
        <w:tc>
          <w:tcPr>
            <w:tcW w:w="794" w:type="dxa"/>
          </w:tcPr>
          <w:p>
            <w:pPr>
              <w:pStyle w:val="0"/>
            </w:pPr>
            <w:r>
              <w:rPr>
                <w:sz w:val="20"/>
              </w:rPr>
              <w:t xml:space="preserve">-6</w:t>
            </w:r>
          </w:p>
        </w:tc>
        <w:tc>
          <w:tcPr>
            <w:tcW w:w="634" w:type="dxa"/>
          </w:tcPr>
          <w:p>
            <w:pPr>
              <w:pStyle w:val="0"/>
            </w:pPr>
            <w:r>
              <w:rPr>
                <w:sz w:val="20"/>
              </w:rPr>
              <w:t xml:space="preserve">-5,5</w:t>
            </w:r>
          </w:p>
        </w:tc>
      </w:tr>
      <w:tr>
        <w:tc>
          <w:tcPr>
            <w:tcW w:w="2194" w:type="dxa"/>
          </w:tcPr>
          <w:p>
            <w:pPr>
              <w:pStyle w:val="0"/>
            </w:pPr>
            <w:r>
              <w:rPr>
                <w:sz w:val="20"/>
              </w:rPr>
              <w:t xml:space="preserve">Белоярский</w:t>
            </w:r>
          </w:p>
        </w:tc>
        <w:tc>
          <w:tcPr>
            <w:tcW w:w="1020" w:type="dxa"/>
          </w:tcPr>
          <w:p>
            <w:pPr>
              <w:pStyle w:val="0"/>
            </w:pPr>
            <w:r>
              <w:rPr>
                <w:sz w:val="20"/>
              </w:rPr>
              <w:t xml:space="preserve">91</w:t>
            </w:r>
          </w:p>
        </w:tc>
        <w:tc>
          <w:tcPr>
            <w:tcW w:w="907" w:type="dxa"/>
          </w:tcPr>
          <w:p>
            <w:pPr>
              <w:pStyle w:val="0"/>
            </w:pPr>
            <w:r>
              <w:rPr>
                <w:sz w:val="20"/>
              </w:rPr>
              <w:t xml:space="preserve">317,3</w:t>
            </w:r>
          </w:p>
        </w:tc>
        <w:tc>
          <w:tcPr>
            <w:tcW w:w="1020" w:type="dxa"/>
          </w:tcPr>
          <w:p>
            <w:pPr>
              <w:pStyle w:val="0"/>
            </w:pPr>
            <w:r>
              <w:rPr>
                <w:sz w:val="20"/>
              </w:rPr>
              <w:t xml:space="preserve">88</w:t>
            </w:r>
          </w:p>
        </w:tc>
        <w:tc>
          <w:tcPr>
            <w:tcW w:w="907" w:type="dxa"/>
          </w:tcPr>
          <w:p>
            <w:pPr>
              <w:pStyle w:val="0"/>
            </w:pPr>
            <w:r>
              <w:rPr>
                <w:sz w:val="20"/>
              </w:rPr>
              <w:t xml:space="preserve">309,8</w:t>
            </w:r>
          </w:p>
        </w:tc>
        <w:tc>
          <w:tcPr>
            <w:tcW w:w="737" w:type="dxa"/>
          </w:tcPr>
          <w:p>
            <w:pPr>
              <w:pStyle w:val="0"/>
            </w:pPr>
            <w:r>
              <w:rPr>
                <w:sz w:val="20"/>
              </w:rPr>
              <w:t xml:space="preserve">69</w:t>
            </w:r>
          </w:p>
        </w:tc>
        <w:tc>
          <w:tcPr>
            <w:tcW w:w="850" w:type="dxa"/>
          </w:tcPr>
          <w:p>
            <w:pPr>
              <w:pStyle w:val="0"/>
            </w:pPr>
            <w:r>
              <w:rPr>
                <w:sz w:val="20"/>
              </w:rPr>
              <w:t xml:space="preserve">240,1</w:t>
            </w:r>
          </w:p>
        </w:tc>
        <w:tc>
          <w:tcPr>
            <w:tcW w:w="794" w:type="dxa"/>
          </w:tcPr>
          <w:p>
            <w:pPr>
              <w:pStyle w:val="0"/>
            </w:pPr>
            <w:r>
              <w:rPr>
                <w:sz w:val="20"/>
              </w:rPr>
              <w:t xml:space="preserve">-19</w:t>
            </w:r>
          </w:p>
        </w:tc>
        <w:tc>
          <w:tcPr>
            <w:tcW w:w="634" w:type="dxa"/>
          </w:tcPr>
          <w:p>
            <w:pPr>
              <w:pStyle w:val="0"/>
            </w:pPr>
            <w:r>
              <w:rPr>
                <w:sz w:val="20"/>
              </w:rPr>
              <w:t xml:space="preserve">-21,8</w:t>
            </w:r>
          </w:p>
        </w:tc>
      </w:tr>
      <w:tr>
        <w:tc>
          <w:tcPr>
            <w:tcW w:w="2194" w:type="dxa"/>
          </w:tcPr>
          <w:p>
            <w:pPr>
              <w:pStyle w:val="0"/>
            </w:pPr>
            <w:r>
              <w:rPr>
                <w:sz w:val="20"/>
              </w:rPr>
              <w:t xml:space="preserve">Ханты-Мансийский</w:t>
            </w:r>
          </w:p>
        </w:tc>
        <w:tc>
          <w:tcPr>
            <w:tcW w:w="1020" w:type="dxa"/>
          </w:tcPr>
          <w:p>
            <w:pPr>
              <w:pStyle w:val="0"/>
            </w:pPr>
            <w:r>
              <w:rPr>
                <w:sz w:val="20"/>
              </w:rPr>
              <w:t xml:space="preserve">61</w:t>
            </w:r>
          </w:p>
        </w:tc>
        <w:tc>
          <w:tcPr>
            <w:tcW w:w="907" w:type="dxa"/>
          </w:tcPr>
          <w:p>
            <w:pPr>
              <w:pStyle w:val="0"/>
            </w:pPr>
            <w:r>
              <w:rPr>
                <w:sz w:val="20"/>
              </w:rPr>
              <w:t xml:space="preserve">304,7</w:t>
            </w:r>
          </w:p>
        </w:tc>
        <w:tc>
          <w:tcPr>
            <w:tcW w:w="1020" w:type="dxa"/>
          </w:tcPr>
          <w:p>
            <w:pPr>
              <w:pStyle w:val="0"/>
            </w:pPr>
            <w:r>
              <w:rPr>
                <w:sz w:val="20"/>
              </w:rPr>
              <w:t xml:space="preserve">62</w:t>
            </w:r>
          </w:p>
        </w:tc>
        <w:tc>
          <w:tcPr>
            <w:tcW w:w="907" w:type="dxa"/>
          </w:tcPr>
          <w:p>
            <w:pPr>
              <w:pStyle w:val="0"/>
            </w:pPr>
            <w:r>
              <w:rPr>
                <w:sz w:val="20"/>
              </w:rPr>
              <w:t xml:space="preserve">313,0</w:t>
            </w:r>
          </w:p>
        </w:tc>
        <w:tc>
          <w:tcPr>
            <w:tcW w:w="737" w:type="dxa"/>
          </w:tcPr>
          <w:p>
            <w:pPr>
              <w:pStyle w:val="0"/>
            </w:pPr>
            <w:r>
              <w:rPr>
                <w:sz w:val="20"/>
              </w:rPr>
              <w:t xml:space="preserve">70</w:t>
            </w:r>
          </w:p>
        </w:tc>
        <w:tc>
          <w:tcPr>
            <w:tcW w:w="850" w:type="dxa"/>
          </w:tcPr>
          <w:p>
            <w:pPr>
              <w:pStyle w:val="0"/>
            </w:pPr>
            <w:r>
              <w:rPr>
                <w:sz w:val="20"/>
              </w:rPr>
              <w:t xml:space="preserve">357,1</w:t>
            </w:r>
          </w:p>
        </w:tc>
        <w:tc>
          <w:tcPr>
            <w:tcW w:w="794" w:type="dxa"/>
          </w:tcPr>
          <w:p>
            <w:pPr>
              <w:pStyle w:val="0"/>
            </w:pPr>
            <w:r>
              <w:rPr>
                <w:sz w:val="20"/>
              </w:rPr>
              <w:t xml:space="preserve">2</w:t>
            </w:r>
          </w:p>
        </w:tc>
        <w:tc>
          <w:tcPr>
            <w:tcW w:w="634" w:type="dxa"/>
          </w:tcPr>
          <w:p>
            <w:pPr>
              <w:pStyle w:val="0"/>
            </w:pPr>
            <w:r>
              <w:rPr>
                <w:sz w:val="20"/>
              </w:rPr>
              <w:t xml:space="preserve">5,1</w:t>
            </w:r>
          </w:p>
        </w:tc>
      </w:tr>
      <w:tr>
        <w:tc>
          <w:tcPr>
            <w:tcW w:w="2194" w:type="dxa"/>
          </w:tcPr>
          <w:p>
            <w:pPr>
              <w:pStyle w:val="0"/>
            </w:pPr>
            <w:r>
              <w:rPr>
                <w:sz w:val="20"/>
              </w:rPr>
              <w:t xml:space="preserve">Нефтеюганск</w:t>
            </w:r>
          </w:p>
        </w:tc>
        <w:tc>
          <w:tcPr>
            <w:tcW w:w="1020" w:type="dxa"/>
          </w:tcPr>
          <w:p>
            <w:pPr>
              <w:pStyle w:val="0"/>
            </w:pPr>
            <w:r>
              <w:rPr>
                <w:sz w:val="20"/>
              </w:rPr>
              <w:t xml:space="preserve">372</w:t>
            </w:r>
          </w:p>
        </w:tc>
        <w:tc>
          <w:tcPr>
            <w:tcW w:w="907" w:type="dxa"/>
          </w:tcPr>
          <w:p>
            <w:pPr>
              <w:pStyle w:val="0"/>
            </w:pPr>
            <w:r>
              <w:rPr>
                <w:sz w:val="20"/>
              </w:rPr>
              <w:t xml:space="preserve">292,1</w:t>
            </w:r>
          </w:p>
        </w:tc>
        <w:tc>
          <w:tcPr>
            <w:tcW w:w="1020" w:type="dxa"/>
          </w:tcPr>
          <w:p>
            <w:pPr>
              <w:pStyle w:val="0"/>
            </w:pPr>
            <w:r>
              <w:rPr>
                <w:sz w:val="20"/>
              </w:rPr>
              <w:t xml:space="preserve">402</w:t>
            </w:r>
          </w:p>
        </w:tc>
        <w:tc>
          <w:tcPr>
            <w:tcW w:w="907" w:type="dxa"/>
          </w:tcPr>
          <w:p>
            <w:pPr>
              <w:pStyle w:val="0"/>
            </w:pPr>
            <w:r>
              <w:rPr>
                <w:sz w:val="20"/>
              </w:rPr>
              <w:t xml:space="preserve">315,9</w:t>
            </w:r>
          </w:p>
        </w:tc>
        <w:tc>
          <w:tcPr>
            <w:tcW w:w="737" w:type="dxa"/>
          </w:tcPr>
          <w:p>
            <w:pPr>
              <w:pStyle w:val="0"/>
            </w:pPr>
            <w:r>
              <w:rPr>
                <w:sz w:val="20"/>
              </w:rPr>
              <w:t xml:space="preserve">351</w:t>
            </w:r>
          </w:p>
        </w:tc>
        <w:tc>
          <w:tcPr>
            <w:tcW w:w="850" w:type="dxa"/>
          </w:tcPr>
          <w:p>
            <w:pPr>
              <w:pStyle w:val="0"/>
            </w:pPr>
            <w:r>
              <w:rPr>
                <w:sz w:val="20"/>
              </w:rPr>
              <w:t xml:space="preserve">273,9</w:t>
            </w:r>
          </w:p>
        </w:tc>
        <w:tc>
          <w:tcPr>
            <w:tcW w:w="794" w:type="dxa"/>
          </w:tcPr>
          <w:p>
            <w:pPr>
              <w:pStyle w:val="0"/>
            </w:pPr>
            <w:r>
              <w:rPr>
                <w:sz w:val="20"/>
              </w:rPr>
              <w:t xml:space="preserve">-50</w:t>
            </w:r>
          </w:p>
        </w:tc>
        <w:tc>
          <w:tcPr>
            <w:tcW w:w="634" w:type="dxa"/>
          </w:tcPr>
          <w:p>
            <w:pPr>
              <w:pStyle w:val="0"/>
            </w:pPr>
            <w:r>
              <w:rPr>
                <w:sz w:val="20"/>
              </w:rPr>
              <w:t xml:space="preserve">-13</w:t>
            </w:r>
          </w:p>
        </w:tc>
      </w:tr>
      <w:tr>
        <w:tc>
          <w:tcPr>
            <w:tcW w:w="2194" w:type="dxa"/>
          </w:tcPr>
          <w:p>
            <w:pPr>
              <w:pStyle w:val="0"/>
            </w:pPr>
            <w:r>
              <w:rPr>
                <w:sz w:val="20"/>
              </w:rPr>
              <w:t xml:space="preserve">Урай</w:t>
            </w:r>
          </w:p>
        </w:tc>
        <w:tc>
          <w:tcPr>
            <w:tcW w:w="1020" w:type="dxa"/>
          </w:tcPr>
          <w:p>
            <w:pPr>
              <w:pStyle w:val="0"/>
            </w:pPr>
            <w:r>
              <w:rPr>
                <w:sz w:val="20"/>
              </w:rPr>
              <w:t xml:space="preserve">116</w:t>
            </w:r>
          </w:p>
        </w:tc>
        <w:tc>
          <w:tcPr>
            <w:tcW w:w="907" w:type="dxa"/>
          </w:tcPr>
          <w:p>
            <w:pPr>
              <w:pStyle w:val="0"/>
            </w:pPr>
            <w:r>
              <w:rPr>
                <w:sz w:val="20"/>
              </w:rPr>
              <w:t xml:space="preserve">287,2</w:t>
            </w:r>
          </w:p>
        </w:tc>
        <w:tc>
          <w:tcPr>
            <w:tcW w:w="1020" w:type="dxa"/>
          </w:tcPr>
          <w:p>
            <w:pPr>
              <w:pStyle w:val="0"/>
            </w:pPr>
            <w:r>
              <w:rPr>
                <w:sz w:val="20"/>
              </w:rPr>
              <w:t xml:space="preserve">129</w:t>
            </w:r>
          </w:p>
        </w:tc>
        <w:tc>
          <w:tcPr>
            <w:tcW w:w="907" w:type="dxa"/>
          </w:tcPr>
          <w:p>
            <w:pPr>
              <w:pStyle w:val="0"/>
            </w:pPr>
            <w:r>
              <w:rPr>
                <w:sz w:val="20"/>
              </w:rPr>
              <w:t xml:space="preserve">318,2</w:t>
            </w:r>
          </w:p>
        </w:tc>
        <w:tc>
          <w:tcPr>
            <w:tcW w:w="737" w:type="dxa"/>
          </w:tcPr>
          <w:p>
            <w:pPr>
              <w:pStyle w:val="0"/>
            </w:pPr>
            <w:r>
              <w:rPr>
                <w:sz w:val="20"/>
              </w:rPr>
              <w:t xml:space="preserve">127</w:t>
            </w:r>
          </w:p>
        </w:tc>
        <w:tc>
          <w:tcPr>
            <w:tcW w:w="850" w:type="dxa"/>
          </w:tcPr>
          <w:p>
            <w:pPr>
              <w:pStyle w:val="0"/>
            </w:pPr>
            <w:r>
              <w:rPr>
                <w:sz w:val="20"/>
              </w:rPr>
              <w:t xml:space="preserve">312,1</w:t>
            </w:r>
          </w:p>
        </w:tc>
        <w:tc>
          <w:tcPr>
            <w:tcW w:w="794" w:type="dxa"/>
          </w:tcPr>
          <w:p>
            <w:pPr>
              <w:pStyle w:val="0"/>
            </w:pPr>
            <w:r>
              <w:rPr>
                <w:sz w:val="20"/>
              </w:rPr>
              <w:t xml:space="preserve">1</w:t>
            </w:r>
          </w:p>
        </w:tc>
        <w:tc>
          <w:tcPr>
            <w:tcW w:w="634" w:type="dxa"/>
          </w:tcPr>
          <w:p>
            <w:pPr>
              <w:pStyle w:val="0"/>
            </w:pPr>
            <w:r>
              <w:rPr>
                <w:sz w:val="20"/>
              </w:rPr>
              <w:t xml:space="preserve">0</w:t>
            </w:r>
          </w:p>
        </w:tc>
      </w:tr>
      <w:tr>
        <w:tc>
          <w:tcPr>
            <w:tcW w:w="2194" w:type="dxa"/>
          </w:tcPr>
          <w:p>
            <w:pPr>
              <w:pStyle w:val="0"/>
            </w:pPr>
            <w:r>
              <w:rPr>
                <w:sz w:val="20"/>
              </w:rPr>
              <w:t xml:space="preserve">Сургут</w:t>
            </w:r>
          </w:p>
        </w:tc>
        <w:tc>
          <w:tcPr>
            <w:tcW w:w="1020" w:type="dxa"/>
          </w:tcPr>
          <w:p>
            <w:pPr>
              <w:pStyle w:val="0"/>
            </w:pPr>
            <w:r>
              <w:rPr>
                <w:sz w:val="20"/>
              </w:rPr>
              <w:t xml:space="preserve">1194</w:t>
            </w:r>
          </w:p>
        </w:tc>
        <w:tc>
          <w:tcPr>
            <w:tcW w:w="907" w:type="dxa"/>
          </w:tcPr>
          <w:p>
            <w:pPr>
              <w:pStyle w:val="0"/>
            </w:pPr>
            <w:r>
              <w:rPr>
                <w:sz w:val="20"/>
              </w:rPr>
              <w:t xml:space="preserve">322,6</w:t>
            </w:r>
          </w:p>
        </w:tc>
        <w:tc>
          <w:tcPr>
            <w:tcW w:w="1020" w:type="dxa"/>
          </w:tcPr>
          <w:p>
            <w:pPr>
              <w:pStyle w:val="0"/>
            </w:pPr>
            <w:r>
              <w:rPr>
                <w:sz w:val="20"/>
              </w:rPr>
              <w:t xml:space="preserve">1223</w:t>
            </w:r>
          </w:p>
        </w:tc>
        <w:tc>
          <w:tcPr>
            <w:tcW w:w="907" w:type="dxa"/>
          </w:tcPr>
          <w:p>
            <w:pPr>
              <w:pStyle w:val="0"/>
            </w:pPr>
            <w:r>
              <w:rPr>
                <w:sz w:val="20"/>
              </w:rPr>
              <w:t xml:space="preserve">321,3</w:t>
            </w:r>
          </w:p>
        </w:tc>
        <w:tc>
          <w:tcPr>
            <w:tcW w:w="737" w:type="dxa"/>
          </w:tcPr>
          <w:p>
            <w:pPr>
              <w:pStyle w:val="0"/>
            </w:pPr>
            <w:r>
              <w:rPr>
                <w:sz w:val="20"/>
              </w:rPr>
              <w:t xml:space="preserve">1072</w:t>
            </w:r>
          </w:p>
        </w:tc>
        <w:tc>
          <w:tcPr>
            <w:tcW w:w="850" w:type="dxa"/>
          </w:tcPr>
          <w:p>
            <w:pPr>
              <w:pStyle w:val="0"/>
            </w:pPr>
            <w:r>
              <w:rPr>
                <w:sz w:val="20"/>
              </w:rPr>
              <w:t xml:space="preserve">276,8</w:t>
            </w:r>
          </w:p>
        </w:tc>
        <w:tc>
          <w:tcPr>
            <w:tcW w:w="794" w:type="dxa"/>
          </w:tcPr>
          <w:p>
            <w:pPr>
              <w:pStyle w:val="0"/>
            </w:pPr>
            <w:r>
              <w:rPr>
                <w:sz w:val="20"/>
              </w:rPr>
              <w:t xml:space="preserve">-124</w:t>
            </w:r>
          </w:p>
        </w:tc>
        <w:tc>
          <w:tcPr>
            <w:tcW w:w="634" w:type="dxa"/>
          </w:tcPr>
          <w:p>
            <w:pPr>
              <w:pStyle w:val="0"/>
            </w:pPr>
            <w:r>
              <w:rPr>
                <w:sz w:val="20"/>
              </w:rPr>
              <w:t xml:space="preserve">-14,3</w:t>
            </w:r>
          </w:p>
        </w:tc>
      </w:tr>
      <w:tr>
        <w:tc>
          <w:tcPr>
            <w:tcW w:w="2194" w:type="dxa"/>
          </w:tcPr>
          <w:p>
            <w:pPr>
              <w:pStyle w:val="0"/>
            </w:pPr>
            <w:r>
              <w:rPr>
                <w:sz w:val="20"/>
              </w:rPr>
              <w:t xml:space="preserve">Мегион</w:t>
            </w:r>
          </w:p>
        </w:tc>
        <w:tc>
          <w:tcPr>
            <w:tcW w:w="1020" w:type="dxa"/>
          </w:tcPr>
          <w:p>
            <w:pPr>
              <w:pStyle w:val="0"/>
            </w:pPr>
            <w:r>
              <w:rPr>
                <w:sz w:val="20"/>
              </w:rPr>
              <w:t xml:space="preserve">195</w:t>
            </w:r>
          </w:p>
        </w:tc>
        <w:tc>
          <w:tcPr>
            <w:tcW w:w="907" w:type="dxa"/>
          </w:tcPr>
          <w:p>
            <w:pPr>
              <w:pStyle w:val="0"/>
            </w:pPr>
            <w:r>
              <w:rPr>
                <w:sz w:val="20"/>
              </w:rPr>
              <w:t xml:space="preserve">358,2</w:t>
            </w:r>
          </w:p>
        </w:tc>
        <w:tc>
          <w:tcPr>
            <w:tcW w:w="1020" w:type="dxa"/>
          </w:tcPr>
          <w:p>
            <w:pPr>
              <w:pStyle w:val="0"/>
            </w:pPr>
            <w:r>
              <w:rPr>
                <w:sz w:val="20"/>
              </w:rPr>
              <w:t xml:space="preserve">176</w:t>
            </w:r>
          </w:p>
        </w:tc>
        <w:tc>
          <w:tcPr>
            <w:tcW w:w="907" w:type="dxa"/>
          </w:tcPr>
          <w:p>
            <w:pPr>
              <w:pStyle w:val="0"/>
            </w:pPr>
            <w:r>
              <w:rPr>
                <w:sz w:val="20"/>
              </w:rPr>
              <w:t xml:space="preserve">329,3</w:t>
            </w:r>
          </w:p>
        </w:tc>
        <w:tc>
          <w:tcPr>
            <w:tcW w:w="737" w:type="dxa"/>
          </w:tcPr>
          <w:p>
            <w:pPr>
              <w:pStyle w:val="0"/>
            </w:pPr>
            <w:r>
              <w:rPr>
                <w:sz w:val="20"/>
              </w:rPr>
              <w:t xml:space="preserve">143</w:t>
            </w:r>
          </w:p>
        </w:tc>
        <w:tc>
          <w:tcPr>
            <w:tcW w:w="850" w:type="dxa"/>
          </w:tcPr>
          <w:p>
            <w:pPr>
              <w:pStyle w:val="0"/>
            </w:pPr>
            <w:r>
              <w:rPr>
                <w:sz w:val="20"/>
              </w:rPr>
              <w:t xml:space="preserve">269,8</w:t>
            </w:r>
          </w:p>
        </w:tc>
        <w:tc>
          <w:tcPr>
            <w:tcW w:w="794" w:type="dxa"/>
          </w:tcPr>
          <w:p>
            <w:pPr>
              <w:pStyle w:val="0"/>
            </w:pPr>
            <w:r>
              <w:rPr>
                <w:sz w:val="20"/>
              </w:rPr>
              <w:t xml:space="preserve">-36</w:t>
            </w:r>
          </w:p>
        </w:tc>
        <w:tc>
          <w:tcPr>
            <w:tcW w:w="634" w:type="dxa"/>
          </w:tcPr>
          <w:p>
            <w:pPr>
              <w:pStyle w:val="0"/>
            </w:pPr>
            <w:r>
              <w:rPr>
                <w:sz w:val="20"/>
              </w:rPr>
              <w:t xml:space="preserve">-18</w:t>
            </w:r>
          </w:p>
        </w:tc>
      </w:tr>
      <w:tr>
        <w:tc>
          <w:tcPr>
            <w:tcW w:w="2194" w:type="dxa"/>
          </w:tcPr>
          <w:p>
            <w:pPr>
              <w:pStyle w:val="0"/>
            </w:pPr>
            <w:r>
              <w:rPr>
                <w:sz w:val="20"/>
              </w:rPr>
              <w:t xml:space="preserve">Советский</w:t>
            </w:r>
          </w:p>
        </w:tc>
        <w:tc>
          <w:tcPr>
            <w:tcW w:w="1020" w:type="dxa"/>
          </w:tcPr>
          <w:p>
            <w:pPr>
              <w:pStyle w:val="0"/>
            </w:pPr>
            <w:r>
              <w:rPr>
                <w:sz w:val="20"/>
              </w:rPr>
              <w:t xml:space="preserve">149</w:t>
            </w:r>
          </w:p>
        </w:tc>
        <w:tc>
          <w:tcPr>
            <w:tcW w:w="907" w:type="dxa"/>
          </w:tcPr>
          <w:p>
            <w:pPr>
              <w:pStyle w:val="0"/>
            </w:pPr>
            <w:r>
              <w:rPr>
                <w:sz w:val="20"/>
              </w:rPr>
              <w:t xml:space="preserve">308,4</w:t>
            </w:r>
          </w:p>
        </w:tc>
        <w:tc>
          <w:tcPr>
            <w:tcW w:w="1020" w:type="dxa"/>
          </w:tcPr>
          <w:p>
            <w:pPr>
              <w:pStyle w:val="0"/>
            </w:pPr>
            <w:r>
              <w:rPr>
                <w:sz w:val="20"/>
              </w:rPr>
              <w:t xml:space="preserve">185</w:t>
            </w:r>
          </w:p>
        </w:tc>
        <w:tc>
          <w:tcPr>
            <w:tcW w:w="907" w:type="dxa"/>
          </w:tcPr>
          <w:p>
            <w:pPr>
              <w:pStyle w:val="0"/>
            </w:pPr>
            <w:r>
              <w:rPr>
                <w:sz w:val="20"/>
              </w:rPr>
              <w:t xml:space="preserve">388,5</w:t>
            </w:r>
          </w:p>
        </w:tc>
        <w:tc>
          <w:tcPr>
            <w:tcW w:w="737" w:type="dxa"/>
          </w:tcPr>
          <w:p>
            <w:pPr>
              <w:pStyle w:val="0"/>
            </w:pPr>
            <w:r>
              <w:rPr>
                <w:sz w:val="20"/>
              </w:rPr>
              <w:t xml:space="preserve">175</w:t>
            </w:r>
          </w:p>
        </w:tc>
        <w:tc>
          <w:tcPr>
            <w:tcW w:w="850" w:type="dxa"/>
          </w:tcPr>
          <w:p>
            <w:pPr>
              <w:pStyle w:val="0"/>
            </w:pPr>
            <w:r>
              <w:rPr>
                <w:sz w:val="20"/>
              </w:rPr>
              <w:t xml:space="preserve">369,7</w:t>
            </w:r>
          </w:p>
        </w:tc>
        <w:tc>
          <w:tcPr>
            <w:tcW w:w="794" w:type="dxa"/>
          </w:tcPr>
          <w:p>
            <w:pPr>
              <w:pStyle w:val="0"/>
            </w:pPr>
            <w:r>
              <w:rPr>
                <w:sz w:val="20"/>
              </w:rPr>
              <w:t xml:space="preserve">-12</w:t>
            </w:r>
          </w:p>
        </w:tc>
        <w:tc>
          <w:tcPr>
            <w:tcW w:w="634" w:type="dxa"/>
          </w:tcPr>
          <w:p>
            <w:pPr>
              <w:pStyle w:val="0"/>
            </w:pPr>
            <w:r>
              <w:rPr>
                <w:sz w:val="20"/>
              </w:rPr>
              <w:t xml:space="preserve">-4,5</w:t>
            </w:r>
          </w:p>
        </w:tc>
      </w:tr>
      <w:tr>
        <w:tc>
          <w:tcPr>
            <w:tcW w:w="2194" w:type="dxa"/>
          </w:tcPr>
          <w:p>
            <w:pPr>
              <w:pStyle w:val="0"/>
            </w:pPr>
            <w:r>
              <w:rPr>
                <w:sz w:val="20"/>
              </w:rPr>
              <w:t xml:space="preserve">Березовский</w:t>
            </w:r>
          </w:p>
        </w:tc>
        <w:tc>
          <w:tcPr>
            <w:tcW w:w="1020" w:type="dxa"/>
          </w:tcPr>
          <w:p>
            <w:pPr>
              <w:pStyle w:val="0"/>
            </w:pPr>
            <w:r>
              <w:rPr>
                <w:sz w:val="20"/>
              </w:rPr>
              <w:t xml:space="preserve">96</w:t>
            </w:r>
          </w:p>
        </w:tc>
        <w:tc>
          <w:tcPr>
            <w:tcW w:w="907" w:type="dxa"/>
          </w:tcPr>
          <w:p>
            <w:pPr>
              <w:pStyle w:val="0"/>
            </w:pPr>
            <w:r>
              <w:rPr>
                <w:sz w:val="20"/>
              </w:rPr>
              <w:t xml:space="preserve">427,8</w:t>
            </w:r>
          </w:p>
        </w:tc>
        <w:tc>
          <w:tcPr>
            <w:tcW w:w="1020" w:type="dxa"/>
          </w:tcPr>
          <w:p>
            <w:pPr>
              <w:pStyle w:val="0"/>
            </w:pPr>
            <w:r>
              <w:rPr>
                <w:sz w:val="20"/>
              </w:rPr>
              <w:t xml:space="preserve">88</w:t>
            </w:r>
          </w:p>
        </w:tc>
        <w:tc>
          <w:tcPr>
            <w:tcW w:w="907" w:type="dxa"/>
          </w:tcPr>
          <w:p>
            <w:pPr>
              <w:pStyle w:val="0"/>
            </w:pPr>
            <w:r>
              <w:rPr>
                <w:sz w:val="20"/>
              </w:rPr>
              <w:t xml:space="preserve">397,0</w:t>
            </w:r>
          </w:p>
        </w:tc>
        <w:tc>
          <w:tcPr>
            <w:tcW w:w="737" w:type="dxa"/>
          </w:tcPr>
          <w:p>
            <w:pPr>
              <w:pStyle w:val="0"/>
            </w:pPr>
            <w:r>
              <w:rPr>
                <w:sz w:val="20"/>
              </w:rPr>
              <w:t xml:space="preserve">79</w:t>
            </w:r>
          </w:p>
        </w:tc>
        <w:tc>
          <w:tcPr>
            <w:tcW w:w="850" w:type="dxa"/>
          </w:tcPr>
          <w:p>
            <w:pPr>
              <w:pStyle w:val="0"/>
            </w:pPr>
            <w:r>
              <w:rPr>
                <w:sz w:val="20"/>
              </w:rPr>
              <w:t xml:space="preserve">354,5</w:t>
            </w:r>
          </w:p>
        </w:tc>
        <w:tc>
          <w:tcPr>
            <w:tcW w:w="794" w:type="dxa"/>
          </w:tcPr>
          <w:p>
            <w:pPr>
              <w:pStyle w:val="0"/>
            </w:pPr>
            <w:r>
              <w:rPr>
                <w:sz w:val="20"/>
              </w:rPr>
              <w:t xml:space="preserve">-11</w:t>
            </w:r>
          </w:p>
        </w:tc>
        <w:tc>
          <w:tcPr>
            <w:tcW w:w="634" w:type="dxa"/>
          </w:tcPr>
          <w:p>
            <w:pPr>
              <w:pStyle w:val="0"/>
            </w:pPr>
            <w:r>
              <w:rPr>
                <w:sz w:val="20"/>
              </w:rPr>
              <w:t xml:space="preserve">-11,6</w:t>
            </w:r>
          </w:p>
        </w:tc>
      </w:tr>
      <w:tr>
        <w:tc>
          <w:tcPr>
            <w:tcW w:w="2194" w:type="dxa"/>
          </w:tcPr>
          <w:p>
            <w:pPr>
              <w:pStyle w:val="0"/>
            </w:pPr>
            <w:r>
              <w:rPr>
                <w:sz w:val="20"/>
              </w:rPr>
              <w:t xml:space="preserve">Октябрьский</w:t>
            </w:r>
          </w:p>
        </w:tc>
        <w:tc>
          <w:tcPr>
            <w:tcW w:w="1020" w:type="dxa"/>
          </w:tcPr>
          <w:p>
            <w:pPr>
              <w:pStyle w:val="0"/>
            </w:pPr>
            <w:r>
              <w:rPr>
                <w:sz w:val="20"/>
              </w:rPr>
              <w:t xml:space="preserve">97</w:t>
            </w:r>
          </w:p>
        </w:tc>
        <w:tc>
          <w:tcPr>
            <w:tcW w:w="907" w:type="dxa"/>
          </w:tcPr>
          <w:p>
            <w:pPr>
              <w:pStyle w:val="0"/>
            </w:pPr>
            <w:r>
              <w:rPr>
                <w:sz w:val="20"/>
              </w:rPr>
              <w:t xml:space="preserve">340,9</w:t>
            </w:r>
          </w:p>
        </w:tc>
        <w:tc>
          <w:tcPr>
            <w:tcW w:w="1020" w:type="dxa"/>
          </w:tcPr>
          <w:p>
            <w:pPr>
              <w:pStyle w:val="0"/>
            </w:pPr>
            <w:r>
              <w:rPr>
                <w:sz w:val="20"/>
              </w:rPr>
              <w:t xml:space="preserve">134</w:t>
            </w:r>
          </w:p>
        </w:tc>
        <w:tc>
          <w:tcPr>
            <w:tcW w:w="907" w:type="dxa"/>
          </w:tcPr>
          <w:p>
            <w:pPr>
              <w:pStyle w:val="0"/>
            </w:pPr>
            <w:r>
              <w:rPr>
                <w:sz w:val="20"/>
              </w:rPr>
              <w:t xml:space="preserve">475,3</w:t>
            </w:r>
          </w:p>
        </w:tc>
        <w:tc>
          <w:tcPr>
            <w:tcW w:w="737" w:type="dxa"/>
          </w:tcPr>
          <w:p>
            <w:pPr>
              <w:pStyle w:val="0"/>
            </w:pPr>
            <w:r>
              <w:rPr>
                <w:sz w:val="20"/>
              </w:rPr>
              <w:t xml:space="preserve">102</w:t>
            </w:r>
          </w:p>
        </w:tc>
        <w:tc>
          <w:tcPr>
            <w:tcW w:w="850" w:type="dxa"/>
          </w:tcPr>
          <w:p>
            <w:pPr>
              <w:pStyle w:val="0"/>
            </w:pPr>
            <w:r>
              <w:rPr>
                <w:sz w:val="20"/>
              </w:rPr>
              <w:t xml:space="preserve">365,7</w:t>
            </w:r>
          </w:p>
        </w:tc>
        <w:tc>
          <w:tcPr>
            <w:tcW w:w="794" w:type="dxa"/>
          </w:tcPr>
          <w:p>
            <w:pPr>
              <w:pStyle w:val="0"/>
            </w:pPr>
            <w:r>
              <w:rPr>
                <w:sz w:val="20"/>
              </w:rPr>
              <w:t xml:space="preserve">-36</w:t>
            </w:r>
          </w:p>
        </w:tc>
        <w:tc>
          <w:tcPr>
            <w:tcW w:w="634" w:type="dxa"/>
          </w:tcPr>
          <w:p>
            <w:pPr>
              <w:pStyle w:val="0"/>
            </w:pPr>
            <w:r>
              <w:rPr>
                <w:sz w:val="20"/>
              </w:rPr>
              <w:t xml:space="preserve">-24,6</w:t>
            </w:r>
          </w:p>
        </w:tc>
      </w:tr>
      <w:tr>
        <w:tc>
          <w:tcPr>
            <w:tcW w:w="2194" w:type="dxa"/>
          </w:tcPr>
          <w:p>
            <w:pPr>
              <w:pStyle w:val="0"/>
            </w:pPr>
            <w:r>
              <w:rPr>
                <w:sz w:val="20"/>
              </w:rPr>
              <w:t xml:space="preserve">Кондинский</w:t>
            </w:r>
          </w:p>
        </w:tc>
        <w:tc>
          <w:tcPr>
            <w:tcW w:w="1020" w:type="dxa"/>
          </w:tcPr>
          <w:p>
            <w:pPr>
              <w:pStyle w:val="0"/>
            </w:pPr>
            <w:r>
              <w:rPr>
                <w:sz w:val="20"/>
              </w:rPr>
              <w:t xml:space="preserve">151</w:t>
            </w:r>
          </w:p>
        </w:tc>
        <w:tc>
          <w:tcPr>
            <w:tcW w:w="907" w:type="dxa"/>
          </w:tcPr>
          <w:p>
            <w:pPr>
              <w:pStyle w:val="0"/>
            </w:pPr>
            <w:r>
              <w:rPr>
                <w:sz w:val="20"/>
              </w:rPr>
              <w:t xml:space="preserve">489,0</w:t>
            </w:r>
          </w:p>
        </w:tc>
        <w:tc>
          <w:tcPr>
            <w:tcW w:w="1020" w:type="dxa"/>
          </w:tcPr>
          <w:p>
            <w:pPr>
              <w:pStyle w:val="0"/>
            </w:pPr>
            <w:r>
              <w:rPr>
                <w:sz w:val="20"/>
              </w:rPr>
              <w:t xml:space="preserve">164</w:t>
            </w:r>
          </w:p>
        </w:tc>
        <w:tc>
          <w:tcPr>
            <w:tcW w:w="907" w:type="dxa"/>
          </w:tcPr>
          <w:p>
            <w:pPr>
              <w:pStyle w:val="0"/>
            </w:pPr>
            <w:r>
              <w:rPr>
                <w:sz w:val="20"/>
              </w:rPr>
              <w:t xml:space="preserve">533,2</w:t>
            </w:r>
          </w:p>
        </w:tc>
        <w:tc>
          <w:tcPr>
            <w:tcW w:w="737" w:type="dxa"/>
          </w:tcPr>
          <w:p>
            <w:pPr>
              <w:pStyle w:val="0"/>
            </w:pPr>
            <w:r>
              <w:rPr>
                <w:sz w:val="20"/>
              </w:rPr>
              <w:t xml:space="preserve">146</w:t>
            </w:r>
          </w:p>
        </w:tc>
        <w:tc>
          <w:tcPr>
            <w:tcW w:w="850" w:type="dxa"/>
          </w:tcPr>
          <w:p>
            <w:pPr>
              <w:pStyle w:val="0"/>
            </w:pPr>
            <w:r>
              <w:rPr>
                <w:sz w:val="20"/>
              </w:rPr>
              <w:t xml:space="preserve">477,6</w:t>
            </w:r>
          </w:p>
        </w:tc>
        <w:tc>
          <w:tcPr>
            <w:tcW w:w="794" w:type="dxa"/>
          </w:tcPr>
          <w:p>
            <w:pPr>
              <w:pStyle w:val="0"/>
            </w:pPr>
            <w:r>
              <w:rPr>
                <w:sz w:val="20"/>
              </w:rPr>
              <w:t xml:space="preserve">-25</w:t>
            </w:r>
          </w:p>
        </w:tc>
        <w:tc>
          <w:tcPr>
            <w:tcW w:w="634" w:type="dxa"/>
          </w:tcPr>
          <w:p>
            <w:pPr>
              <w:pStyle w:val="0"/>
            </w:pPr>
            <w:r>
              <w:rPr>
                <w:sz w:val="20"/>
              </w:rPr>
              <w:t xml:space="preserve">-13,8</w:t>
            </w:r>
          </w:p>
        </w:tc>
      </w:tr>
      <w:tr>
        <w:tc>
          <w:tcPr>
            <w:tcW w:w="2194" w:type="dxa"/>
          </w:tcPr>
          <w:p>
            <w:pPr>
              <w:pStyle w:val="0"/>
            </w:pPr>
            <w:r>
              <w:rPr>
                <w:sz w:val="20"/>
              </w:rPr>
              <w:t xml:space="preserve">Всего по автономному округу</w:t>
            </w:r>
          </w:p>
        </w:tc>
        <w:tc>
          <w:tcPr>
            <w:tcW w:w="1020" w:type="dxa"/>
          </w:tcPr>
          <w:p>
            <w:pPr>
              <w:pStyle w:val="0"/>
            </w:pPr>
            <w:r>
              <w:rPr>
                <w:sz w:val="20"/>
              </w:rPr>
              <w:t xml:space="preserve">4612</w:t>
            </w:r>
          </w:p>
        </w:tc>
        <w:tc>
          <w:tcPr>
            <w:tcW w:w="907" w:type="dxa"/>
          </w:tcPr>
          <w:p>
            <w:pPr>
              <w:pStyle w:val="0"/>
            </w:pPr>
            <w:r>
              <w:rPr>
                <w:sz w:val="20"/>
              </w:rPr>
              <w:t xml:space="preserve">274,3</w:t>
            </w:r>
          </w:p>
        </w:tc>
        <w:tc>
          <w:tcPr>
            <w:tcW w:w="1020" w:type="dxa"/>
          </w:tcPr>
          <w:p>
            <w:pPr>
              <w:pStyle w:val="0"/>
            </w:pPr>
            <w:r>
              <w:rPr>
                <w:sz w:val="20"/>
              </w:rPr>
              <w:t xml:space="preserve">4 842</w:t>
            </w:r>
          </w:p>
        </w:tc>
        <w:tc>
          <w:tcPr>
            <w:tcW w:w="907" w:type="dxa"/>
          </w:tcPr>
          <w:p>
            <w:pPr>
              <w:pStyle w:val="0"/>
            </w:pPr>
            <w:r>
              <w:rPr>
                <w:sz w:val="20"/>
              </w:rPr>
              <w:t xml:space="preserve">285,7</w:t>
            </w:r>
          </w:p>
        </w:tc>
        <w:tc>
          <w:tcPr>
            <w:tcW w:w="737" w:type="dxa"/>
          </w:tcPr>
          <w:p>
            <w:pPr>
              <w:pStyle w:val="0"/>
            </w:pPr>
            <w:r>
              <w:rPr>
                <w:sz w:val="20"/>
              </w:rPr>
              <w:t xml:space="preserve">4393</w:t>
            </w:r>
          </w:p>
        </w:tc>
        <w:tc>
          <w:tcPr>
            <w:tcW w:w="850" w:type="dxa"/>
          </w:tcPr>
          <w:p>
            <w:pPr>
              <w:pStyle w:val="0"/>
            </w:pPr>
            <w:r>
              <w:rPr>
                <w:sz w:val="20"/>
              </w:rPr>
              <w:t xml:space="preserve">255,2</w:t>
            </w:r>
          </w:p>
        </w:tc>
        <w:tc>
          <w:tcPr>
            <w:tcW w:w="794" w:type="dxa"/>
          </w:tcPr>
          <w:p>
            <w:pPr>
              <w:pStyle w:val="0"/>
            </w:pPr>
            <w:r>
              <w:rPr>
                <w:sz w:val="20"/>
              </w:rPr>
              <w:t xml:space="preserve">-449</w:t>
            </w:r>
          </w:p>
        </w:tc>
        <w:tc>
          <w:tcPr>
            <w:tcW w:w="634" w:type="dxa"/>
          </w:tcPr>
          <w:p>
            <w:pPr>
              <w:pStyle w:val="0"/>
            </w:pPr>
            <w:r>
              <w:rPr>
                <w:sz w:val="20"/>
              </w:rPr>
              <w:t xml:space="preserve">-10,7</w:t>
            </w:r>
          </w:p>
        </w:tc>
      </w:tr>
    </w:tbl>
    <w:p>
      <w:pPr>
        <w:pStyle w:val="0"/>
        <w:ind w:firstLine="540"/>
        <w:jc w:val="both"/>
      </w:pPr>
      <w:r>
        <w:rPr>
          <w:sz w:val="20"/>
        </w:rPr>
      </w:r>
    </w:p>
    <w:p>
      <w:pPr>
        <w:pStyle w:val="0"/>
        <w:ind w:firstLine="540"/>
        <w:jc w:val="both"/>
      </w:pPr>
      <w:r>
        <w:rPr>
          <w:sz w:val="20"/>
        </w:rPr>
        <w:t xml:space="preserve">Смертность от БСК на 100 тыс. населения по муниципальным образованиям возросла в городском округе Югорск (+37,9%) и в Ханты-Мансийском муниципальном районе (+5,1%). В остальных МО отмечается снижение показателя смертности. Наиболее значительное снижение смертности от БСК в Октябрьском, Нефтеюганском и Белоярском муниципальных районах (-24,6%, -23,6% и -21,8% соответственно). Уровень смертности от БСК в Кондинском, Советском, Октябрьском, Ханты-Мансийском и Березовском муниципальных районах постепенно снижается, но по-прежнему значительно превышает среднеокружной показатель.</w:t>
      </w:r>
    </w:p>
    <w:p>
      <w:pPr>
        <w:pStyle w:val="0"/>
        <w:spacing w:before="200" w:line-rule="auto"/>
        <w:ind w:firstLine="540"/>
        <w:jc w:val="both"/>
      </w:pPr>
      <w:r>
        <w:rPr>
          <w:sz w:val="20"/>
        </w:rPr>
        <w:t xml:space="preserve">В целях осуществления постоянного контроля показателей смертности в летальности приказом Депздрав Югры утверждает индивидуальные целевые показатели, включая смертность от БСК, ИБС, ЦВБ, ИМ, ОНМК, для каждой медицинской организации. Мониторинг показателей проводится ежемесячно посредством региональной системы статистической отчетности.</w:t>
      </w:r>
    </w:p>
    <w:p>
      <w:pPr>
        <w:pStyle w:val="0"/>
        <w:jc w:val="right"/>
      </w:pPr>
      <w:r>
        <w:rPr>
          <w:sz w:val="20"/>
        </w:rPr>
      </w:r>
    </w:p>
    <w:p>
      <w:pPr>
        <w:pStyle w:val="0"/>
        <w:jc w:val="right"/>
      </w:pPr>
      <w:r>
        <w:rPr>
          <w:sz w:val="20"/>
        </w:rPr>
        <w:t xml:space="preserve">Рисунок 5</w:t>
      </w:r>
    </w:p>
    <w:p>
      <w:pPr>
        <w:pStyle w:val="0"/>
        <w:jc w:val="right"/>
      </w:pPr>
      <w:r>
        <w:rPr>
          <w:sz w:val="20"/>
        </w:rPr>
      </w:r>
    </w:p>
    <w:p>
      <w:pPr>
        <w:pStyle w:val="0"/>
        <w:jc w:val="center"/>
      </w:pPr>
      <w:r>
        <w:rPr>
          <w:sz w:val="20"/>
        </w:rPr>
        <w:t xml:space="preserve">Смертность от ИБС в разрезе муниципальных образований</w:t>
      </w:r>
    </w:p>
    <w:p>
      <w:pPr>
        <w:pStyle w:val="0"/>
        <w:jc w:val="center"/>
      </w:pPr>
      <w:r>
        <w:rPr>
          <w:sz w:val="20"/>
        </w:rPr>
        <w:t xml:space="preserve">за 2022 год (на 100 тыс. населения)</w:t>
      </w:r>
    </w:p>
    <w:p>
      <w:pPr>
        <w:pStyle w:val="0"/>
        <w:jc w:val="center"/>
      </w:pPr>
      <w:r>
        <w:rPr>
          <w:sz w:val="20"/>
        </w:rPr>
      </w:r>
    </w:p>
    <w:p>
      <w:pPr>
        <w:pStyle w:val="0"/>
        <w:jc w:val="center"/>
      </w:pPr>
      <w:r>
        <w:rPr>
          <w:position w:val="-173"/>
        </w:rPr>
        <w:drawing>
          <wp:inline distT="0" distB="0" distL="0" distR="0">
            <wp:extent cx="5241925" cy="2334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5241925" cy="2334260"/>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Смертность от ИБС за 2022 год в сравнении с 2021 годом снизилась в большинстве муниципалитетов, за исключением городских округов Югорск, Урай, Нижневартовского и Ханты-Мансийского муниципальных районов (+ 38,1%, +7,6%, +19,9% и 18,6% соответственно). Самый высокий уровень смертности от ИБС отмечается в Кондинском и Октябрьском муниципальных районах, а также в городском округе Урай, где показатели более чем в 1,5 раза выше среднеокружного значения - 139,1 на 100 тыс. населения.</w:t>
      </w:r>
    </w:p>
    <w:p>
      <w:pPr>
        <w:pStyle w:val="0"/>
        <w:ind w:firstLine="540"/>
        <w:jc w:val="both"/>
      </w:pPr>
      <w:r>
        <w:rPr>
          <w:sz w:val="20"/>
        </w:rPr>
      </w:r>
    </w:p>
    <w:p>
      <w:pPr>
        <w:pStyle w:val="0"/>
        <w:jc w:val="right"/>
      </w:pPr>
      <w:r>
        <w:rPr>
          <w:sz w:val="20"/>
        </w:rPr>
        <w:t xml:space="preserve">Рисунок 6</w:t>
      </w:r>
    </w:p>
    <w:p>
      <w:pPr>
        <w:pStyle w:val="0"/>
        <w:jc w:val="right"/>
      </w:pPr>
      <w:r>
        <w:rPr>
          <w:sz w:val="20"/>
        </w:rPr>
      </w:r>
    </w:p>
    <w:p>
      <w:pPr>
        <w:pStyle w:val="0"/>
        <w:jc w:val="center"/>
      </w:pPr>
      <w:r>
        <w:rPr>
          <w:sz w:val="20"/>
        </w:rPr>
        <w:t xml:space="preserve">Смертность от ИМ в разрезе муниципальных образований</w:t>
      </w:r>
    </w:p>
    <w:p>
      <w:pPr>
        <w:pStyle w:val="0"/>
        <w:jc w:val="center"/>
      </w:pPr>
      <w:r>
        <w:rPr>
          <w:sz w:val="20"/>
        </w:rPr>
        <w:t xml:space="preserve">за 2022 год (на 100 тыс. населения)</w:t>
      </w:r>
    </w:p>
    <w:p>
      <w:pPr>
        <w:pStyle w:val="0"/>
        <w:jc w:val="center"/>
      </w:pPr>
      <w:r>
        <w:rPr>
          <w:sz w:val="20"/>
        </w:rPr>
      </w:r>
    </w:p>
    <w:p>
      <w:pPr>
        <w:pStyle w:val="0"/>
        <w:jc w:val="center"/>
      </w:pPr>
      <w:r>
        <w:rPr>
          <w:position w:val="-172"/>
        </w:rPr>
        <w:drawing>
          <wp:inline distT="0" distB="0" distL="0" distR="0">
            <wp:extent cx="4876165" cy="2316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4876165" cy="2316480"/>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Смертность населения от ИМ в 2022 году в целом по региону снизилась на 21,1% в сравнении с 2021 годом (с 13,3 до 10,5 на 100 тыс. населения).</w:t>
      </w:r>
    </w:p>
    <w:p>
      <w:pPr>
        <w:pStyle w:val="0"/>
        <w:spacing w:before="200" w:line-rule="auto"/>
        <w:ind w:firstLine="540"/>
        <w:jc w:val="both"/>
      </w:pPr>
      <w:r>
        <w:rPr>
          <w:sz w:val="20"/>
        </w:rPr>
        <w:t xml:space="preserve">Самый высокий показатель в городском округе Урай - 34,5 на 100 т.н. (рис. 6). Показатели смертности от ИМ в Березовском и Белоярском муниципальных районах, в городских округах Югорск, Нягань значительно выше среднеокружного значения.</w:t>
      </w:r>
    </w:p>
    <w:p>
      <w:pPr>
        <w:pStyle w:val="0"/>
        <w:ind w:firstLine="540"/>
        <w:jc w:val="both"/>
      </w:pPr>
      <w:r>
        <w:rPr>
          <w:sz w:val="20"/>
        </w:rPr>
      </w:r>
    </w:p>
    <w:p>
      <w:pPr>
        <w:pStyle w:val="0"/>
        <w:jc w:val="right"/>
      </w:pPr>
      <w:r>
        <w:rPr>
          <w:sz w:val="20"/>
        </w:rPr>
        <w:t xml:space="preserve">Рисунок 7</w:t>
      </w:r>
    </w:p>
    <w:p>
      <w:pPr>
        <w:pStyle w:val="0"/>
        <w:jc w:val="right"/>
      </w:pPr>
      <w:r>
        <w:rPr>
          <w:sz w:val="20"/>
        </w:rPr>
      </w:r>
    </w:p>
    <w:p>
      <w:pPr>
        <w:pStyle w:val="0"/>
        <w:jc w:val="center"/>
      </w:pPr>
      <w:r>
        <w:rPr>
          <w:sz w:val="20"/>
        </w:rPr>
        <w:t xml:space="preserve">Смертность от ОНМК в разрезе муниципальных образований</w:t>
      </w:r>
    </w:p>
    <w:p>
      <w:pPr>
        <w:pStyle w:val="0"/>
        <w:jc w:val="center"/>
      </w:pPr>
      <w:r>
        <w:rPr>
          <w:sz w:val="20"/>
        </w:rPr>
        <w:t xml:space="preserve">за 2022 год (на 100 тыс. населения)</w:t>
      </w:r>
    </w:p>
    <w:p>
      <w:pPr>
        <w:pStyle w:val="0"/>
        <w:jc w:val="center"/>
      </w:pPr>
      <w:r>
        <w:rPr>
          <w:sz w:val="20"/>
        </w:rPr>
      </w:r>
    </w:p>
    <w:p>
      <w:pPr>
        <w:pStyle w:val="0"/>
        <w:jc w:val="center"/>
      </w:pPr>
      <w:r>
        <w:rPr>
          <w:position w:val="-147"/>
        </w:rPr>
        <w:drawing>
          <wp:inline distT="0" distB="0" distL="0" distR="0">
            <wp:extent cx="5302885" cy="2005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5302885" cy="2005330"/>
                    </a:xfrm>
                    <a:prstGeom prst="rect">
                      <a:avLst/>
                    </a:prstGeom>
                    <a:noFill/>
                    <a:ln>
                      <a:noFill/>
                    </a:ln>
                  </pic:spPr>
                </pic:pic>
              </a:graphicData>
            </a:graphic>
          </wp:inline>
        </w:drawing>
      </w:r>
    </w:p>
    <w:p>
      <w:pPr>
        <w:pStyle w:val="0"/>
        <w:jc w:val="right"/>
      </w:pPr>
      <w:r>
        <w:rPr>
          <w:sz w:val="20"/>
        </w:rPr>
      </w:r>
    </w:p>
    <w:p>
      <w:pPr>
        <w:pStyle w:val="0"/>
        <w:ind w:firstLine="540"/>
        <w:jc w:val="both"/>
      </w:pPr>
      <w:r>
        <w:rPr>
          <w:sz w:val="20"/>
        </w:rPr>
        <w:t xml:space="preserve">Показатель смертности от ОНМК составил 22,5 на 100 тыс. населения, что на 14,8% ниже показателя 2021 года (26,4 на 100 тыс. населения). В Кондинском, Советском, Березовском, Октябрьском муниципальных районах показатель смертности от ОНМК существенно превышает среднеокружной. Самый высокий показатель в Кондинском муниципальном районе - 74,8 на 100 тыс. населения - более чем в 3 раза выше среднего значения по автономному округу.</w:t>
      </w:r>
    </w:p>
    <w:p>
      <w:pPr>
        <w:pStyle w:val="0"/>
        <w:ind w:firstLine="540"/>
        <w:jc w:val="both"/>
      </w:pPr>
      <w:r>
        <w:rPr>
          <w:sz w:val="20"/>
        </w:rPr>
      </w:r>
    </w:p>
    <w:p>
      <w:pPr>
        <w:pStyle w:val="2"/>
        <w:outlineLvl w:val="2"/>
        <w:ind w:firstLine="540"/>
        <w:jc w:val="both"/>
      </w:pPr>
      <w:r>
        <w:rPr>
          <w:sz w:val="20"/>
        </w:rPr>
        <w:t xml:space="preserve">1.3. Заболеваемость болезнями системы кровообращения</w:t>
      </w:r>
    </w:p>
    <w:p>
      <w:pPr>
        <w:pStyle w:val="0"/>
        <w:ind w:firstLine="540"/>
        <w:jc w:val="both"/>
      </w:pPr>
      <w:r>
        <w:rPr>
          <w:sz w:val="20"/>
        </w:rPr>
      </w:r>
    </w:p>
    <w:p>
      <w:pPr>
        <w:pStyle w:val="0"/>
        <w:ind w:firstLine="540"/>
        <w:jc w:val="both"/>
      </w:pPr>
      <w:r>
        <w:rPr>
          <w:sz w:val="20"/>
        </w:rPr>
        <w:t xml:space="preserve">В 2022 году показатель общей заболеваемости населения автономного округа </w:t>
      </w:r>
      <w:hyperlink w:history="0" w:anchor="P14039" w:tooltip="Общая заболеваемость БСК в разрезе муниципальных образований">
        <w:r>
          <w:rPr>
            <w:sz w:val="20"/>
            <w:color w:val="0000ff"/>
          </w:rPr>
          <w:t xml:space="preserve">(таблица 10)</w:t>
        </w:r>
      </w:hyperlink>
      <w:r>
        <w:rPr>
          <w:sz w:val="20"/>
        </w:rPr>
        <w:t xml:space="preserve"> увеличился по всем классам болезней на 8,3% и составил 20 281,4 на 100 тыс. населения (в 2021 году - 18 729,0; по УрФО - 20 324,1; по РФ - 24 792,3 на 100 тыс. населения).</w:t>
      </w:r>
    </w:p>
    <w:p>
      <w:pPr>
        <w:pStyle w:val="0"/>
        <w:spacing w:before="200" w:line-rule="auto"/>
        <w:ind w:firstLine="540"/>
        <w:jc w:val="both"/>
      </w:pPr>
      <w:r>
        <w:rPr>
          <w:sz w:val="20"/>
        </w:rPr>
        <w:t xml:space="preserve">В структуре общей заболеваемости населения автономного округа БСК на 1 месте - 15,6%, на 2 месте болезни органов дыхания - 15,3%.</w:t>
      </w:r>
    </w:p>
    <w:p>
      <w:pPr>
        <w:pStyle w:val="0"/>
        <w:spacing w:before="200" w:line-rule="auto"/>
        <w:ind w:firstLine="540"/>
        <w:jc w:val="both"/>
      </w:pPr>
      <w:r>
        <w:rPr>
          <w:sz w:val="20"/>
        </w:rPr>
        <w:t xml:space="preserve">Общая заболеваемость БСК взрослого населения в 2022 году составила 265,7 на 1000 населения, рост данного показателя с 2018 по 2022 год на 3,5% (с 256,8 в 2018 году до 265,7 на 1000 населения в 2022 году).</w:t>
      </w:r>
    </w:p>
    <w:p>
      <w:pPr>
        <w:pStyle w:val="0"/>
        <w:spacing w:before="200" w:line-rule="auto"/>
        <w:ind w:firstLine="540"/>
        <w:jc w:val="both"/>
      </w:pPr>
      <w:r>
        <w:rPr>
          <w:sz w:val="20"/>
        </w:rPr>
        <w:t xml:space="preserve">Отмечается рост общей заболеваемости артериальной гипертензией (далее - АГ), ИБС в динамике за 5 лет (+24,7%, +4,9% соответственно). Своевременная выявляемость данной патологии приводит к снижению частоты осложнений:</w:t>
      </w:r>
    </w:p>
    <w:p>
      <w:pPr>
        <w:pStyle w:val="0"/>
        <w:spacing w:before="200" w:line-rule="auto"/>
        <w:ind w:firstLine="540"/>
        <w:jc w:val="both"/>
      </w:pPr>
      <w:r>
        <w:rPr>
          <w:sz w:val="20"/>
        </w:rPr>
        <w:t xml:space="preserve">заболеваемость ИМ снизилась на 0,6% (с 84,4 на 100 тыс. населения в 2018 году до 83,9 на 100 тыс. населения в 2022 году);</w:t>
      </w:r>
    </w:p>
    <w:p>
      <w:pPr>
        <w:pStyle w:val="0"/>
        <w:spacing w:before="200" w:line-rule="auto"/>
        <w:ind w:firstLine="540"/>
        <w:jc w:val="both"/>
      </w:pPr>
      <w:r>
        <w:rPr>
          <w:sz w:val="20"/>
        </w:rPr>
        <w:t xml:space="preserve">заболеваемость преходящими транзиторными ишемическими приступами снизилась на 41,8% (с 61,5 на 100 тыс. населения в 2018 году до 35,8 на 100 тыс. населения в 2022 году);</w:t>
      </w:r>
    </w:p>
    <w:p>
      <w:pPr>
        <w:pStyle w:val="0"/>
        <w:spacing w:before="200" w:line-rule="auto"/>
        <w:ind w:firstLine="540"/>
        <w:jc w:val="both"/>
      </w:pPr>
      <w:r>
        <w:rPr>
          <w:sz w:val="20"/>
        </w:rPr>
        <w:t xml:space="preserve">заболеваемость инсультом неуточненным снизилась на 29,6% (с 2,7 на 100 тыс. населения в 2018 году до 1,9 на 100 тыс. населения в 2022 году).</w:t>
      </w:r>
    </w:p>
    <w:p>
      <w:pPr>
        <w:pStyle w:val="0"/>
        <w:spacing w:before="200" w:line-rule="auto"/>
        <w:ind w:firstLine="540"/>
        <w:jc w:val="both"/>
      </w:pPr>
      <w:r>
        <w:rPr>
          <w:sz w:val="20"/>
        </w:rPr>
        <w:t xml:space="preserve">Заболеваемость острым ИМ без существенной динамики (с 81,1 на 100 тыс. населения в 2018 году и 82,5 на 100 тыс. населения в 2022 году) и снижение заболеваемости на 61,8% при повторном ИМ (с 3,4 на 100 тыс. населения в 2018 году до 1,3 на 100 тыс. населения в 2022 году).</w:t>
      </w:r>
    </w:p>
    <w:p>
      <w:pPr>
        <w:pStyle w:val="0"/>
        <w:jc w:val="right"/>
      </w:pPr>
      <w:r>
        <w:rPr>
          <w:sz w:val="20"/>
        </w:rPr>
      </w:r>
    </w:p>
    <w:p>
      <w:pPr>
        <w:pStyle w:val="0"/>
        <w:jc w:val="right"/>
      </w:pPr>
      <w:r>
        <w:rPr>
          <w:sz w:val="20"/>
        </w:rPr>
        <w:t xml:space="preserve">Таблица 9</w:t>
      </w:r>
    </w:p>
    <w:p>
      <w:pPr>
        <w:pStyle w:val="0"/>
        <w:jc w:val="right"/>
      </w:pPr>
      <w:r>
        <w:rPr>
          <w:sz w:val="20"/>
        </w:rPr>
      </w:r>
    </w:p>
    <w:p>
      <w:pPr>
        <w:pStyle w:val="0"/>
        <w:jc w:val="center"/>
      </w:pPr>
      <w:r>
        <w:rPr>
          <w:sz w:val="20"/>
        </w:rPr>
        <w:t xml:space="preserve">Общая заболеваемость населения автономного округа БСК</w:t>
      </w:r>
    </w:p>
    <w:p>
      <w:pPr>
        <w:pStyle w:val="0"/>
        <w:jc w:val="center"/>
      </w:pPr>
      <w:r>
        <w:rPr>
          <w:sz w:val="20"/>
        </w:rPr>
        <w:t xml:space="preserve">(федеральная форма статистического наблюдения N 12)</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19"/>
        <w:gridCol w:w="964"/>
        <w:gridCol w:w="1384"/>
        <w:gridCol w:w="1174"/>
        <w:gridCol w:w="1384"/>
        <w:gridCol w:w="1174"/>
        <w:gridCol w:w="1384"/>
        <w:gridCol w:w="1174"/>
        <w:gridCol w:w="1384"/>
        <w:gridCol w:w="1174"/>
        <w:gridCol w:w="1384"/>
        <w:gridCol w:w="1174"/>
      </w:tblGrid>
      <w:tr>
        <w:tc>
          <w:tcPr>
            <w:tcW w:w="2119" w:type="dxa"/>
            <w:vMerge w:val="restart"/>
          </w:tcPr>
          <w:p>
            <w:pPr>
              <w:pStyle w:val="0"/>
              <w:jc w:val="center"/>
            </w:pPr>
            <w:r>
              <w:rPr>
                <w:sz w:val="20"/>
              </w:rPr>
              <w:t xml:space="preserve">Наименование классов и отдельных болезней</w:t>
            </w:r>
          </w:p>
        </w:tc>
        <w:tc>
          <w:tcPr>
            <w:tcW w:w="964" w:type="dxa"/>
            <w:vMerge w:val="restart"/>
          </w:tcPr>
          <w:p>
            <w:pPr>
              <w:pStyle w:val="0"/>
              <w:jc w:val="center"/>
            </w:pPr>
            <w:r>
              <w:rPr>
                <w:sz w:val="20"/>
              </w:rPr>
              <w:t xml:space="preserve">Код по МКБ-10</w:t>
            </w:r>
          </w:p>
        </w:tc>
        <w:tc>
          <w:tcPr>
            <w:gridSpan w:val="2"/>
            <w:tcW w:w="2558" w:type="dxa"/>
          </w:tcPr>
          <w:p>
            <w:pPr>
              <w:pStyle w:val="0"/>
              <w:jc w:val="center"/>
            </w:pPr>
            <w:r>
              <w:rPr>
                <w:sz w:val="20"/>
              </w:rPr>
              <w:t xml:space="preserve">2018</w:t>
            </w:r>
          </w:p>
        </w:tc>
        <w:tc>
          <w:tcPr>
            <w:gridSpan w:val="2"/>
            <w:tcW w:w="2558" w:type="dxa"/>
          </w:tcPr>
          <w:p>
            <w:pPr>
              <w:pStyle w:val="0"/>
              <w:jc w:val="center"/>
            </w:pPr>
            <w:r>
              <w:rPr>
                <w:sz w:val="20"/>
              </w:rPr>
              <w:t xml:space="preserve">2019</w:t>
            </w:r>
          </w:p>
        </w:tc>
        <w:tc>
          <w:tcPr>
            <w:gridSpan w:val="2"/>
            <w:tcW w:w="2558" w:type="dxa"/>
          </w:tcPr>
          <w:p>
            <w:pPr>
              <w:pStyle w:val="0"/>
              <w:jc w:val="center"/>
            </w:pPr>
            <w:r>
              <w:rPr>
                <w:sz w:val="20"/>
              </w:rPr>
              <w:t xml:space="preserve">2020</w:t>
            </w:r>
          </w:p>
        </w:tc>
        <w:tc>
          <w:tcPr>
            <w:gridSpan w:val="2"/>
            <w:tcW w:w="2558" w:type="dxa"/>
          </w:tcPr>
          <w:p>
            <w:pPr>
              <w:pStyle w:val="0"/>
              <w:jc w:val="center"/>
            </w:pPr>
            <w:r>
              <w:rPr>
                <w:sz w:val="20"/>
              </w:rPr>
              <w:t xml:space="preserve">2021</w:t>
            </w:r>
          </w:p>
        </w:tc>
        <w:tc>
          <w:tcPr>
            <w:gridSpan w:val="2"/>
            <w:tcW w:w="2558" w:type="dxa"/>
          </w:tcPr>
          <w:p>
            <w:pPr>
              <w:pStyle w:val="0"/>
              <w:jc w:val="center"/>
            </w:pPr>
            <w:r>
              <w:rPr>
                <w:sz w:val="20"/>
              </w:rPr>
              <w:t xml:space="preserve">2022</w:t>
            </w:r>
          </w:p>
        </w:tc>
      </w:tr>
      <w:tr>
        <w:tc>
          <w:tcPr>
            <w:vMerge w:val="continue"/>
          </w:tcPr>
          <w:p/>
        </w:tc>
        <w:tc>
          <w:tcPr>
            <w:vMerge w:val="continue"/>
          </w:tcPr>
          <w:p/>
        </w:tc>
        <w:tc>
          <w:tcPr>
            <w:tcW w:w="1384" w:type="dxa"/>
          </w:tcPr>
          <w:p>
            <w:pPr>
              <w:pStyle w:val="0"/>
              <w:jc w:val="center"/>
            </w:pPr>
            <w:r>
              <w:rPr>
                <w:sz w:val="20"/>
              </w:rPr>
              <w:t xml:space="preserve">абсолютные показатели</w:t>
            </w:r>
          </w:p>
        </w:tc>
        <w:tc>
          <w:tcPr>
            <w:tcW w:w="1174" w:type="dxa"/>
          </w:tcPr>
          <w:p>
            <w:pPr>
              <w:pStyle w:val="0"/>
              <w:jc w:val="center"/>
            </w:pPr>
            <w:r>
              <w:rPr>
                <w:sz w:val="20"/>
              </w:rPr>
              <w:t xml:space="preserve">на 100 тыс. населения</w:t>
            </w:r>
          </w:p>
        </w:tc>
        <w:tc>
          <w:tcPr>
            <w:tcW w:w="1384" w:type="dxa"/>
          </w:tcPr>
          <w:p>
            <w:pPr>
              <w:pStyle w:val="0"/>
              <w:jc w:val="center"/>
            </w:pPr>
            <w:r>
              <w:rPr>
                <w:sz w:val="20"/>
              </w:rPr>
              <w:t xml:space="preserve">абсолютные показатели</w:t>
            </w:r>
          </w:p>
        </w:tc>
        <w:tc>
          <w:tcPr>
            <w:tcW w:w="1174" w:type="dxa"/>
          </w:tcPr>
          <w:p>
            <w:pPr>
              <w:pStyle w:val="0"/>
              <w:jc w:val="center"/>
            </w:pPr>
            <w:r>
              <w:rPr>
                <w:sz w:val="20"/>
              </w:rPr>
              <w:t xml:space="preserve">на 100 тыс. населения</w:t>
            </w:r>
          </w:p>
        </w:tc>
        <w:tc>
          <w:tcPr>
            <w:tcW w:w="1384" w:type="dxa"/>
          </w:tcPr>
          <w:p>
            <w:pPr>
              <w:pStyle w:val="0"/>
              <w:jc w:val="center"/>
            </w:pPr>
            <w:r>
              <w:rPr>
                <w:sz w:val="20"/>
              </w:rPr>
              <w:t xml:space="preserve">абсолютные показатели</w:t>
            </w:r>
          </w:p>
        </w:tc>
        <w:tc>
          <w:tcPr>
            <w:tcW w:w="1174" w:type="dxa"/>
          </w:tcPr>
          <w:p>
            <w:pPr>
              <w:pStyle w:val="0"/>
              <w:jc w:val="center"/>
            </w:pPr>
            <w:r>
              <w:rPr>
                <w:sz w:val="20"/>
              </w:rPr>
              <w:t xml:space="preserve">на 100 тыс. населения</w:t>
            </w:r>
          </w:p>
        </w:tc>
        <w:tc>
          <w:tcPr>
            <w:tcW w:w="1384" w:type="dxa"/>
          </w:tcPr>
          <w:p>
            <w:pPr>
              <w:pStyle w:val="0"/>
              <w:jc w:val="center"/>
            </w:pPr>
            <w:r>
              <w:rPr>
                <w:sz w:val="20"/>
              </w:rPr>
              <w:t xml:space="preserve">абсолютные показатели</w:t>
            </w:r>
          </w:p>
        </w:tc>
        <w:tc>
          <w:tcPr>
            <w:tcW w:w="1174" w:type="dxa"/>
          </w:tcPr>
          <w:p>
            <w:pPr>
              <w:pStyle w:val="0"/>
              <w:jc w:val="center"/>
            </w:pPr>
            <w:r>
              <w:rPr>
                <w:sz w:val="20"/>
              </w:rPr>
              <w:t xml:space="preserve">на 100 тыс. населения</w:t>
            </w:r>
          </w:p>
        </w:tc>
        <w:tc>
          <w:tcPr>
            <w:tcW w:w="1384" w:type="dxa"/>
          </w:tcPr>
          <w:p>
            <w:pPr>
              <w:pStyle w:val="0"/>
              <w:jc w:val="center"/>
            </w:pPr>
            <w:r>
              <w:rPr>
                <w:sz w:val="20"/>
              </w:rPr>
              <w:t xml:space="preserve">абсолютные показатели</w:t>
            </w:r>
          </w:p>
        </w:tc>
        <w:tc>
          <w:tcPr>
            <w:tcW w:w="1174" w:type="dxa"/>
          </w:tcPr>
          <w:p>
            <w:pPr>
              <w:pStyle w:val="0"/>
              <w:jc w:val="center"/>
            </w:pPr>
            <w:r>
              <w:rPr>
                <w:sz w:val="20"/>
              </w:rPr>
              <w:t xml:space="preserve">на 100 тыс. населения</w:t>
            </w:r>
          </w:p>
        </w:tc>
      </w:tr>
      <w:tr>
        <w:tc>
          <w:tcPr>
            <w:tcW w:w="2119" w:type="dxa"/>
          </w:tcPr>
          <w:p>
            <w:pPr>
              <w:pStyle w:val="0"/>
            </w:pPr>
            <w:r>
              <w:rPr>
                <w:sz w:val="20"/>
              </w:rPr>
              <w:t xml:space="preserve">БСК</w:t>
            </w:r>
          </w:p>
        </w:tc>
        <w:tc>
          <w:tcPr>
            <w:tcW w:w="964" w:type="dxa"/>
          </w:tcPr>
          <w:p>
            <w:pPr>
              <w:pStyle w:val="0"/>
            </w:pPr>
            <w:r>
              <w:rPr>
                <w:sz w:val="20"/>
              </w:rPr>
              <w:t xml:space="preserve">I00-I99</w:t>
            </w:r>
          </w:p>
        </w:tc>
        <w:tc>
          <w:tcPr>
            <w:tcW w:w="1384" w:type="dxa"/>
          </w:tcPr>
          <w:p>
            <w:pPr>
              <w:pStyle w:val="0"/>
            </w:pPr>
            <w:r>
              <w:rPr>
                <w:sz w:val="20"/>
              </w:rPr>
              <w:t xml:space="preserve">309558</w:t>
            </w:r>
          </w:p>
        </w:tc>
        <w:tc>
          <w:tcPr>
            <w:tcW w:w="1174" w:type="dxa"/>
          </w:tcPr>
          <w:p>
            <w:pPr>
              <w:pStyle w:val="0"/>
            </w:pPr>
            <w:r>
              <w:rPr>
                <w:sz w:val="20"/>
              </w:rPr>
              <w:t xml:space="preserve">18654,4</w:t>
            </w:r>
          </w:p>
        </w:tc>
        <w:tc>
          <w:tcPr>
            <w:tcW w:w="1384" w:type="dxa"/>
          </w:tcPr>
          <w:p>
            <w:pPr>
              <w:pStyle w:val="0"/>
            </w:pPr>
            <w:r>
              <w:rPr>
                <w:sz w:val="20"/>
              </w:rPr>
              <w:t xml:space="preserve">306976</w:t>
            </w:r>
          </w:p>
        </w:tc>
        <w:tc>
          <w:tcPr>
            <w:tcW w:w="1174" w:type="dxa"/>
          </w:tcPr>
          <w:p>
            <w:pPr>
              <w:pStyle w:val="0"/>
            </w:pPr>
            <w:r>
              <w:rPr>
                <w:sz w:val="20"/>
              </w:rPr>
              <w:t xml:space="preserve">18390,2</w:t>
            </w:r>
          </w:p>
        </w:tc>
        <w:tc>
          <w:tcPr>
            <w:tcW w:w="1384" w:type="dxa"/>
          </w:tcPr>
          <w:p>
            <w:pPr>
              <w:pStyle w:val="0"/>
            </w:pPr>
            <w:r>
              <w:rPr>
                <w:sz w:val="20"/>
              </w:rPr>
              <w:t xml:space="preserve">295264</w:t>
            </w:r>
          </w:p>
        </w:tc>
        <w:tc>
          <w:tcPr>
            <w:tcW w:w="1174" w:type="dxa"/>
          </w:tcPr>
          <w:p>
            <w:pPr>
              <w:pStyle w:val="0"/>
            </w:pPr>
            <w:r>
              <w:rPr>
                <w:sz w:val="20"/>
              </w:rPr>
              <w:t xml:space="preserve">20240,2</w:t>
            </w:r>
          </w:p>
        </w:tc>
        <w:tc>
          <w:tcPr>
            <w:tcW w:w="1384" w:type="dxa"/>
          </w:tcPr>
          <w:p>
            <w:pPr>
              <w:pStyle w:val="0"/>
            </w:pPr>
            <w:r>
              <w:rPr>
                <w:sz w:val="20"/>
              </w:rPr>
              <w:t xml:space="preserve">317 447</w:t>
            </w:r>
          </w:p>
        </w:tc>
        <w:tc>
          <w:tcPr>
            <w:tcW w:w="1174" w:type="dxa"/>
          </w:tcPr>
          <w:p>
            <w:pPr>
              <w:pStyle w:val="0"/>
            </w:pPr>
            <w:r>
              <w:rPr>
                <w:sz w:val="20"/>
              </w:rPr>
              <w:t xml:space="preserve">23686,9</w:t>
            </w:r>
          </w:p>
        </w:tc>
        <w:tc>
          <w:tcPr>
            <w:tcW w:w="1384" w:type="dxa"/>
          </w:tcPr>
          <w:p>
            <w:pPr>
              <w:pStyle w:val="0"/>
            </w:pPr>
            <w:r>
              <w:rPr>
                <w:sz w:val="20"/>
              </w:rPr>
              <w:t xml:space="preserve">347575</w:t>
            </w:r>
          </w:p>
        </w:tc>
        <w:tc>
          <w:tcPr>
            <w:tcW w:w="1174" w:type="dxa"/>
          </w:tcPr>
          <w:p>
            <w:pPr>
              <w:pStyle w:val="0"/>
            </w:pPr>
            <w:r>
              <w:rPr>
                <w:sz w:val="20"/>
              </w:rPr>
              <w:t xml:space="preserve">20281,4</w:t>
            </w:r>
          </w:p>
        </w:tc>
      </w:tr>
      <w:tr>
        <w:tc>
          <w:tcPr>
            <w:tcW w:w="2119" w:type="dxa"/>
          </w:tcPr>
          <w:p>
            <w:pPr>
              <w:pStyle w:val="0"/>
            </w:pPr>
            <w:r>
              <w:rPr>
                <w:sz w:val="20"/>
              </w:rPr>
              <w:t xml:space="preserve">Болезни, характеризующиеся повышенным кровяным давлением</w:t>
            </w:r>
          </w:p>
        </w:tc>
        <w:tc>
          <w:tcPr>
            <w:tcW w:w="964" w:type="dxa"/>
          </w:tcPr>
          <w:p>
            <w:pPr>
              <w:pStyle w:val="0"/>
            </w:pPr>
            <w:r>
              <w:rPr>
                <w:sz w:val="20"/>
              </w:rPr>
              <w:t xml:space="preserve">I10-I15</w:t>
            </w:r>
          </w:p>
        </w:tc>
        <w:tc>
          <w:tcPr>
            <w:tcW w:w="1384" w:type="dxa"/>
          </w:tcPr>
          <w:p>
            <w:pPr>
              <w:pStyle w:val="0"/>
            </w:pPr>
            <w:r>
              <w:rPr>
                <w:sz w:val="20"/>
              </w:rPr>
              <w:t xml:space="preserve">160841</w:t>
            </w:r>
          </w:p>
        </w:tc>
        <w:tc>
          <w:tcPr>
            <w:tcW w:w="1174" w:type="dxa"/>
          </w:tcPr>
          <w:p>
            <w:pPr>
              <w:pStyle w:val="0"/>
            </w:pPr>
            <w:r>
              <w:rPr>
                <w:sz w:val="20"/>
              </w:rPr>
              <w:t xml:space="preserve">9692,5</w:t>
            </w:r>
          </w:p>
        </w:tc>
        <w:tc>
          <w:tcPr>
            <w:tcW w:w="1384" w:type="dxa"/>
          </w:tcPr>
          <w:p>
            <w:pPr>
              <w:pStyle w:val="0"/>
            </w:pPr>
            <w:r>
              <w:rPr>
                <w:sz w:val="20"/>
              </w:rPr>
              <w:t xml:space="preserve">177399</w:t>
            </w:r>
          </w:p>
        </w:tc>
        <w:tc>
          <w:tcPr>
            <w:tcW w:w="1174" w:type="dxa"/>
          </w:tcPr>
          <w:p>
            <w:pPr>
              <w:pStyle w:val="0"/>
            </w:pPr>
            <w:r>
              <w:rPr>
                <w:sz w:val="20"/>
              </w:rPr>
              <w:t xml:space="preserve">10627,5</w:t>
            </w:r>
          </w:p>
        </w:tc>
        <w:tc>
          <w:tcPr>
            <w:tcW w:w="1384" w:type="dxa"/>
          </w:tcPr>
          <w:p>
            <w:pPr>
              <w:pStyle w:val="0"/>
            </w:pPr>
            <w:r>
              <w:rPr>
                <w:sz w:val="20"/>
              </w:rPr>
              <w:t xml:space="preserve">174035</w:t>
            </w:r>
          </w:p>
        </w:tc>
        <w:tc>
          <w:tcPr>
            <w:tcW w:w="1174" w:type="dxa"/>
          </w:tcPr>
          <w:p>
            <w:pPr>
              <w:pStyle w:val="0"/>
            </w:pPr>
            <w:r>
              <w:rPr>
                <w:sz w:val="20"/>
              </w:rPr>
              <w:t xml:space="preserve">10392,2</w:t>
            </w:r>
          </w:p>
        </w:tc>
        <w:tc>
          <w:tcPr>
            <w:tcW w:w="1384" w:type="dxa"/>
          </w:tcPr>
          <w:p>
            <w:pPr>
              <w:pStyle w:val="0"/>
            </w:pPr>
            <w:r>
              <w:rPr>
                <w:sz w:val="20"/>
              </w:rPr>
              <w:t xml:space="preserve">189 903</w:t>
            </w:r>
          </w:p>
        </w:tc>
        <w:tc>
          <w:tcPr>
            <w:tcW w:w="1174" w:type="dxa"/>
          </w:tcPr>
          <w:p>
            <w:pPr>
              <w:pStyle w:val="0"/>
            </w:pPr>
            <w:r>
              <w:rPr>
                <w:sz w:val="20"/>
              </w:rPr>
              <w:t xml:space="preserve">11154,7</w:t>
            </w:r>
          </w:p>
        </w:tc>
        <w:tc>
          <w:tcPr>
            <w:tcW w:w="1384" w:type="dxa"/>
          </w:tcPr>
          <w:p>
            <w:pPr>
              <w:pStyle w:val="0"/>
            </w:pPr>
            <w:r>
              <w:rPr>
                <w:sz w:val="20"/>
              </w:rPr>
              <w:t xml:space="preserve">207114</w:t>
            </w:r>
          </w:p>
        </w:tc>
        <w:tc>
          <w:tcPr>
            <w:tcW w:w="1174" w:type="dxa"/>
          </w:tcPr>
          <w:p>
            <w:pPr>
              <w:pStyle w:val="0"/>
            </w:pPr>
            <w:r>
              <w:rPr>
                <w:sz w:val="20"/>
              </w:rPr>
              <w:t xml:space="preserve">12085,3</w:t>
            </w:r>
          </w:p>
        </w:tc>
      </w:tr>
      <w:tr>
        <w:tc>
          <w:tcPr>
            <w:tcW w:w="2119" w:type="dxa"/>
          </w:tcPr>
          <w:p>
            <w:pPr>
              <w:pStyle w:val="0"/>
            </w:pPr>
            <w:r>
              <w:rPr>
                <w:sz w:val="20"/>
              </w:rPr>
              <w:t xml:space="preserve">ИБС</w:t>
            </w:r>
          </w:p>
        </w:tc>
        <w:tc>
          <w:tcPr>
            <w:tcW w:w="964" w:type="dxa"/>
          </w:tcPr>
          <w:p>
            <w:pPr>
              <w:pStyle w:val="0"/>
            </w:pPr>
            <w:r>
              <w:rPr>
                <w:sz w:val="20"/>
              </w:rPr>
              <w:t xml:space="preserve">I20-I25</w:t>
            </w:r>
          </w:p>
        </w:tc>
        <w:tc>
          <w:tcPr>
            <w:tcW w:w="1384" w:type="dxa"/>
          </w:tcPr>
          <w:p>
            <w:pPr>
              <w:pStyle w:val="0"/>
            </w:pPr>
            <w:r>
              <w:rPr>
                <w:sz w:val="20"/>
              </w:rPr>
              <w:t xml:space="preserve">38973</w:t>
            </w:r>
          </w:p>
        </w:tc>
        <w:tc>
          <w:tcPr>
            <w:tcW w:w="1174" w:type="dxa"/>
          </w:tcPr>
          <w:p>
            <w:pPr>
              <w:pStyle w:val="0"/>
            </w:pPr>
            <w:r>
              <w:rPr>
                <w:sz w:val="20"/>
              </w:rPr>
              <w:t xml:space="preserve">2348,6</w:t>
            </w:r>
          </w:p>
        </w:tc>
        <w:tc>
          <w:tcPr>
            <w:tcW w:w="1384" w:type="dxa"/>
          </w:tcPr>
          <w:p>
            <w:pPr>
              <w:pStyle w:val="0"/>
            </w:pPr>
            <w:r>
              <w:rPr>
                <w:sz w:val="20"/>
              </w:rPr>
              <w:t xml:space="preserve">39565</w:t>
            </w:r>
          </w:p>
        </w:tc>
        <w:tc>
          <w:tcPr>
            <w:tcW w:w="1174" w:type="dxa"/>
          </w:tcPr>
          <w:p>
            <w:pPr>
              <w:pStyle w:val="0"/>
            </w:pPr>
            <w:r>
              <w:rPr>
                <w:sz w:val="20"/>
              </w:rPr>
              <w:t xml:space="preserve">2370,2</w:t>
            </w:r>
          </w:p>
        </w:tc>
        <w:tc>
          <w:tcPr>
            <w:tcW w:w="1384" w:type="dxa"/>
          </w:tcPr>
          <w:p>
            <w:pPr>
              <w:pStyle w:val="0"/>
            </w:pPr>
            <w:r>
              <w:rPr>
                <w:sz w:val="20"/>
              </w:rPr>
              <w:t xml:space="preserve">41028</w:t>
            </w:r>
          </w:p>
        </w:tc>
        <w:tc>
          <w:tcPr>
            <w:tcW w:w="1174" w:type="dxa"/>
          </w:tcPr>
          <w:p>
            <w:pPr>
              <w:pStyle w:val="0"/>
            </w:pPr>
            <w:r>
              <w:rPr>
                <w:sz w:val="20"/>
              </w:rPr>
              <w:t xml:space="preserve">2449,9</w:t>
            </w:r>
          </w:p>
        </w:tc>
        <w:tc>
          <w:tcPr>
            <w:tcW w:w="1384" w:type="dxa"/>
          </w:tcPr>
          <w:p>
            <w:pPr>
              <w:pStyle w:val="0"/>
            </w:pPr>
            <w:r>
              <w:rPr>
                <w:sz w:val="20"/>
              </w:rPr>
              <w:t xml:space="preserve">38 750</w:t>
            </w:r>
          </w:p>
        </w:tc>
        <w:tc>
          <w:tcPr>
            <w:tcW w:w="1174" w:type="dxa"/>
          </w:tcPr>
          <w:p>
            <w:pPr>
              <w:pStyle w:val="0"/>
            </w:pPr>
            <w:r>
              <w:rPr>
                <w:sz w:val="20"/>
              </w:rPr>
              <w:t xml:space="preserve">2276,1</w:t>
            </w:r>
          </w:p>
        </w:tc>
        <w:tc>
          <w:tcPr>
            <w:tcW w:w="1384" w:type="dxa"/>
          </w:tcPr>
          <w:p>
            <w:pPr>
              <w:pStyle w:val="0"/>
            </w:pPr>
            <w:r>
              <w:rPr>
                <w:sz w:val="20"/>
              </w:rPr>
              <w:t xml:space="preserve">42237</w:t>
            </w:r>
          </w:p>
        </w:tc>
        <w:tc>
          <w:tcPr>
            <w:tcW w:w="1174" w:type="dxa"/>
          </w:tcPr>
          <w:p>
            <w:pPr>
              <w:pStyle w:val="0"/>
            </w:pPr>
            <w:r>
              <w:rPr>
                <w:sz w:val="20"/>
              </w:rPr>
              <w:t xml:space="preserve">2464,6</w:t>
            </w:r>
          </w:p>
        </w:tc>
      </w:tr>
      <w:tr>
        <w:tc>
          <w:tcPr>
            <w:tcW w:w="2119" w:type="dxa"/>
          </w:tcPr>
          <w:p>
            <w:pPr>
              <w:pStyle w:val="0"/>
            </w:pPr>
            <w:r>
              <w:rPr>
                <w:sz w:val="20"/>
              </w:rPr>
              <w:t xml:space="preserve">Острый ИМ</w:t>
            </w:r>
          </w:p>
        </w:tc>
        <w:tc>
          <w:tcPr>
            <w:tcW w:w="964" w:type="dxa"/>
          </w:tcPr>
          <w:p>
            <w:pPr>
              <w:pStyle w:val="0"/>
            </w:pPr>
            <w:r>
              <w:rPr>
                <w:sz w:val="20"/>
              </w:rPr>
              <w:t xml:space="preserve">I21</w:t>
            </w:r>
          </w:p>
        </w:tc>
        <w:tc>
          <w:tcPr>
            <w:tcW w:w="1384" w:type="dxa"/>
          </w:tcPr>
          <w:p>
            <w:pPr>
              <w:pStyle w:val="0"/>
            </w:pPr>
            <w:r>
              <w:rPr>
                <w:sz w:val="20"/>
              </w:rPr>
              <w:t xml:space="preserve">1345</w:t>
            </w:r>
          </w:p>
        </w:tc>
        <w:tc>
          <w:tcPr>
            <w:tcW w:w="1174" w:type="dxa"/>
          </w:tcPr>
          <w:p>
            <w:pPr>
              <w:pStyle w:val="0"/>
            </w:pPr>
            <w:r>
              <w:rPr>
                <w:sz w:val="20"/>
              </w:rPr>
              <w:t xml:space="preserve">81,1</w:t>
            </w:r>
          </w:p>
        </w:tc>
        <w:tc>
          <w:tcPr>
            <w:tcW w:w="1384" w:type="dxa"/>
          </w:tcPr>
          <w:p>
            <w:pPr>
              <w:pStyle w:val="0"/>
            </w:pPr>
            <w:r>
              <w:rPr>
                <w:sz w:val="20"/>
              </w:rPr>
              <w:t xml:space="preserve">1361</w:t>
            </w:r>
          </w:p>
        </w:tc>
        <w:tc>
          <w:tcPr>
            <w:tcW w:w="1174" w:type="dxa"/>
          </w:tcPr>
          <w:p>
            <w:pPr>
              <w:pStyle w:val="0"/>
            </w:pPr>
            <w:r>
              <w:rPr>
                <w:sz w:val="20"/>
              </w:rPr>
              <w:t xml:space="preserve">81,5</w:t>
            </w:r>
          </w:p>
        </w:tc>
        <w:tc>
          <w:tcPr>
            <w:tcW w:w="1384" w:type="dxa"/>
          </w:tcPr>
          <w:p>
            <w:pPr>
              <w:pStyle w:val="0"/>
            </w:pPr>
            <w:r>
              <w:rPr>
                <w:sz w:val="20"/>
              </w:rPr>
              <w:t xml:space="preserve">1337</w:t>
            </w:r>
          </w:p>
        </w:tc>
        <w:tc>
          <w:tcPr>
            <w:tcW w:w="1174" w:type="dxa"/>
          </w:tcPr>
          <w:p>
            <w:pPr>
              <w:pStyle w:val="0"/>
            </w:pPr>
            <w:r>
              <w:rPr>
                <w:sz w:val="20"/>
              </w:rPr>
              <w:t xml:space="preserve">79,8</w:t>
            </w:r>
          </w:p>
        </w:tc>
        <w:tc>
          <w:tcPr>
            <w:tcW w:w="1384" w:type="dxa"/>
          </w:tcPr>
          <w:p>
            <w:pPr>
              <w:pStyle w:val="0"/>
            </w:pPr>
            <w:r>
              <w:rPr>
                <w:sz w:val="20"/>
              </w:rPr>
              <w:t xml:space="preserve">1 383</w:t>
            </w:r>
          </w:p>
        </w:tc>
        <w:tc>
          <w:tcPr>
            <w:tcW w:w="1174" w:type="dxa"/>
          </w:tcPr>
          <w:p>
            <w:pPr>
              <w:pStyle w:val="0"/>
            </w:pPr>
            <w:r>
              <w:rPr>
                <w:sz w:val="20"/>
              </w:rPr>
              <w:t xml:space="preserve">81,2</w:t>
            </w:r>
          </w:p>
        </w:tc>
        <w:tc>
          <w:tcPr>
            <w:tcW w:w="1384" w:type="dxa"/>
          </w:tcPr>
          <w:p>
            <w:pPr>
              <w:pStyle w:val="0"/>
            </w:pPr>
            <w:r>
              <w:rPr>
                <w:sz w:val="20"/>
              </w:rPr>
              <w:t xml:space="preserve">1414</w:t>
            </w:r>
          </w:p>
        </w:tc>
        <w:tc>
          <w:tcPr>
            <w:tcW w:w="1174" w:type="dxa"/>
          </w:tcPr>
          <w:p>
            <w:pPr>
              <w:pStyle w:val="0"/>
            </w:pPr>
            <w:r>
              <w:rPr>
                <w:sz w:val="20"/>
              </w:rPr>
              <w:t xml:space="preserve">82,5</w:t>
            </w:r>
          </w:p>
        </w:tc>
      </w:tr>
      <w:tr>
        <w:tc>
          <w:tcPr>
            <w:tcW w:w="2119" w:type="dxa"/>
          </w:tcPr>
          <w:p>
            <w:pPr>
              <w:pStyle w:val="0"/>
            </w:pPr>
            <w:r>
              <w:rPr>
                <w:sz w:val="20"/>
              </w:rPr>
              <w:t xml:space="preserve">Повторный ИМ</w:t>
            </w:r>
          </w:p>
        </w:tc>
        <w:tc>
          <w:tcPr>
            <w:tcW w:w="964" w:type="dxa"/>
          </w:tcPr>
          <w:p>
            <w:pPr>
              <w:pStyle w:val="0"/>
            </w:pPr>
            <w:r>
              <w:rPr>
                <w:sz w:val="20"/>
              </w:rPr>
              <w:t xml:space="preserve">I22</w:t>
            </w:r>
          </w:p>
        </w:tc>
        <w:tc>
          <w:tcPr>
            <w:tcW w:w="1384" w:type="dxa"/>
          </w:tcPr>
          <w:p>
            <w:pPr>
              <w:pStyle w:val="0"/>
            </w:pPr>
            <w:r>
              <w:rPr>
                <w:sz w:val="20"/>
              </w:rPr>
              <w:t xml:space="preserve">56</w:t>
            </w:r>
          </w:p>
        </w:tc>
        <w:tc>
          <w:tcPr>
            <w:tcW w:w="1174" w:type="dxa"/>
          </w:tcPr>
          <w:p>
            <w:pPr>
              <w:pStyle w:val="0"/>
            </w:pPr>
            <w:r>
              <w:rPr>
                <w:sz w:val="20"/>
              </w:rPr>
              <w:t xml:space="preserve">3,4</w:t>
            </w:r>
          </w:p>
        </w:tc>
        <w:tc>
          <w:tcPr>
            <w:tcW w:w="1384" w:type="dxa"/>
          </w:tcPr>
          <w:p>
            <w:pPr>
              <w:pStyle w:val="0"/>
            </w:pPr>
            <w:r>
              <w:rPr>
                <w:sz w:val="20"/>
              </w:rPr>
              <w:t xml:space="preserve">56</w:t>
            </w:r>
          </w:p>
        </w:tc>
        <w:tc>
          <w:tcPr>
            <w:tcW w:w="1174" w:type="dxa"/>
          </w:tcPr>
          <w:p>
            <w:pPr>
              <w:pStyle w:val="0"/>
            </w:pPr>
            <w:r>
              <w:rPr>
                <w:sz w:val="20"/>
              </w:rPr>
              <w:t xml:space="preserve">3,35</w:t>
            </w:r>
          </w:p>
        </w:tc>
        <w:tc>
          <w:tcPr>
            <w:tcW w:w="1384" w:type="dxa"/>
          </w:tcPr>
          <w:p>
            <w:pPr>
              <w:pStyle w:val="0"/>
            </w:pPr>
            <w:r>
              <w:rPr>
                <w:sz w:val="20"/>
              </w:rPr>
              <w:t xml:space="preserve">41</w:t>
            </w:r>
          </w:p>
        </w:tc>
        <w:tc>
          <w:tcPr>
            <w:tcW w:w="1174" w:type="dxa"/>
          </w:tcPr>
          <w:p>
            <w:pPr>
              <w:pStyle w:val="0"/>
            </w:pPr>
            <w:r>
              <w:rPr>
                <w:sz w:val="20"/>
              </w:rPr>
              <w:t xml:space="preserve">2,4</w:t>
            </w:r>
          </w:p>
        </w:tc>
        <w:tc>
          <w:tcPr>
            <w:tcW w:w="1384" w:type="dxa"/>
          </w:tcPr>
          <w:p>
            <w:pPr>
              <w:pStyle w:val="0"/>
            </w:pPr>
            <w:r>
              <w:rPr>
                <w:sz w:val="20"/>
              </w:rPr>
              <w:t xml:space="preserve">33</w:t>
            </w:r>
          </w:p>
        </w:tc>
        <w:tc>
          <w:tcPr>
            <w:tcW w:w="1174" w:type="dxa"/>
          </w:tcPr>
          <w:p>
            <w:pPr>
              <w:pStyle w:val="0"/>
            </w:pPr>
            <w:r>
              <w:rPr>
                <w:sz w:val="20"/>
              </w:rPr>
              <w:t xml:space="preserve">1,9</w:t>
            </w:r>
          </w:p>
        </w:tc>
        <w:tc>
          <w:tcPr>
            <w:tcW w:w="1384" w:type="dxa"/>
          </w:tcPr>
          <w:p>
            <w:pPr>
              <w:pStyle w:val="0"/>
            </w:pPr>
            <w:r>
              <w:rPr>
                <w:sz w:val="20"/>
              </w:rPr>
              <w:t xml:space="preserve">23</w:t>
            </w:r>
          </w:p>
        </w:tc>
        <w:tc>
          <w:tcPr>
            <w:tcW w:w="1174" w:type="dxa"/>
          </w:tcPr>
          <w:p>
            <w:pPr>
              <w:pStyle w:val="0"/>
            </w:pPr>
            <w:r>
              <w:rPr>
                <w:sz w:val="20"/>
              </w:rPr>
              <w:t xml:space="preserve">1,3</w:t>
            </w:r>
          </w:p>
        </w:tc>
      </w:tr>
      <w:tr>
        <w:tc>
          <w:tcPr>
            <w:tcW w:w="2119" w:type="dxa"/>
          </w:tcPr>
          <w:p>
            <w:pPr>
              <w:pStyle w:val="0"/>
            </w:pPr>
            <w:r>
              <w:rPr>
                <w:sz w:val="20"/>
              </w:rPr>
              <w:t xml:space="preserve">ЦВБ,</w:t>
            </w:r>
          </w:p>
        </w:tc>
        <w:tc>
          <w:tcPr>
            <w:tcW w:w="964" w:type="dxa"/>
          </w:tcPr>
          <w:p>
            <w:pPr>
              <w:pStyle w:val="0"/>
            </w:pPr>
            <w:r>
              <w:rPr>
                <w:sz w:val="20"/>
              </w:rPr>
              <w:t xml:space="preserve">I60-I69</w:t>
            </w:r>
          </w:p>
        </w:tc>
        <w:tc>
          <w:tcPr>
            <w:tcW w:w="1384" w:type="dxa"/>
          </w:tcPr>
          <w:p>
            <w:pPr>
              <w:pStyle w:val="0"/>
            </w:pPr>
            <w:r>
              <w:rPr>
                <w:sz w:val="20"/>
              </w:rPr>
              <w:t xml:space="preserve">37716</w:t>
            </w:r>
          </w:p>
        </w:tc>
        <w:tc>
          <w:tcPr>
            <w:tcW w:w="1174" w:type="dxa"/>
          </w:tcPr>
          <w:p>
            <w:pPr>
              <w:pStyle w:val="0"/>
            </w:pPr>
            <w:r>
              <w:rPr>
                <w:sz w:val="20"/>
              </w:rPr>
              <w:t xml:space="preserve">2272,8</w:t>
            </w:r>
          </w:p>
        </w:tc>
        <w:tc>
          <w:tcPr>
            <w:tcW w:w="1384" w:type="dxa"/>
          </w:tcPr>
          <w:p>
            <w:pPr>
              <w:pStyle w:val="0"/>
            </w:pPr>
            <w:r>
              <w:rPr>
                <w:sz w:val="20"/>
              </w:rPr>
              <w:t xml:space="preserve">38812</w:t>
            </w:r>
          </w:p>
        </w:tc>
        <w:tc>
          <w:tcPr>
            <w:tcW w:w="1174" w:type="dxa"/>
          </w:tcPr>
          <w:p>
            <w:pPr>
              <w:pStyle w:val="0"/>
            </w:pPr>
            <w:r>
              <w:rPr>
                <w:sz w:val="20"/>
              </w:rPr>
              <w:t xml:space="preserve">2325,1</w:t>
            </w:r>
          </w:p>
        </w:tc>
        <w:tc>
          <w:tcPr>
            <w:tcW w:w="1384" w:type="dxa"/>
          </w:tcPr>
          <w:p>
            <w:pPr>
              <w:pStyle w:val="0"/>
            </w:pPr>
            <w:r>
              <w:rPr>
                <w:sz w:val="20"/>
              </w:rPr>
              <w:t xml:space="preserve">32611</w:t>
            </w:r>
          </w:p>
        </w:tc>
        <w:tc>
          <w:tcPr>
            <w:tcW w:w="1174" w:type="dxa"/>
          </w:tcPr>
          <w:p>
            <w:pPr>
              <w:pStyle w:val="0"/>
            </w:pPr>
            <w:r>
              <w:rPr>
                <w:sz w:val="20"/>
              </w:rPr>
              <w:t xml:space="preserve">1947,5</w:t>
            </w:r>
          </w:p>
        </w:tc>
        <w:tc>
          <w:tcPr>
            <w:tcW w:w="1384" w:type="dxa"/>
          </w:tcPr>
          <w:p>
            <w:pPr>
              <w:pStyle w:val="0"/>
            </w:pPr>
            <w:r>
              <w:rPr>
                <w:sz w:val="20"/>
              </w:rPr>
              <w:t xml:space="preserve">31 391</w:t>
            </w:r>
          </w:p>
        </w:tc>
        <w:tc>
          <w:tcPr>
            <w:tcW w:w="1174" w:type="dxa"/>
          </w:tcPr>
          <w:p>
            <w:pPr>
              <w:pStyle w:val="0"/>
            </w:pPr>
            <w:r>
              <w:rPr>
                <w:sz w:val="20"/>
              </w:rPr>
              <w:t xml:space="preserve">1843,9</w:t>
            </w:r>
          </w:p>
        </w:tc>
        <w:tc>
          <w:tcPr>
            <w:tcW w:w="1384" w:type="dxa"/>
          </w:tcPr>
          <w:p>
            <w:pPr>
              <w:pStyle w:val="0"/>
            </w:pPr>
            <w:r>
              <w:rPr>
                <w:sz w:val="20"/>
              </w:rPr>
              <w:t xml:space="preserve">32126</w:t>
            </w:r>
          </w:p>
        </w:tc>
        <w:tc>
          <w:tcPr>
            <w:tcW w:w="1174" w:type="dxa"/>
          </w:tcPr>
          <w:p>
            <w:pPr>
              <w:pStyle w:val="0"/>
            </w:pPr>
            <w:r>
              <w:rPr>
                <w:sz w:val="20"/>
              </w:rPr>
              <w:t xml:space="preserve">1874,6</w:t>
            </w:r>
          </w:p>
        </w:tc>
      </w:tr>
      <w:tr>
        <w:tc>
          <w:tcPr>
            <w:tcW w:w="2119" w:type="dxa"/>
          </w:tcPr>
          <w:p>
            <w:pPr>
              <w:pStyle w:val="0"/>
            </w:pPr>
            <w:r>
              <w:rPr>
                <w:sz w:val="20"/>
              </w:rPr>
              <w:t xml:space="preserve">из них: субарахноидальное кровоизлияние</w:t>
            </w:r>
          </w:p>
        </w:tc>
        <w:tc>
          <w:tcPr>
            <w:tcW w:w="964" w:type="dxa"/>
          </w:tcPr>
          <w:p>
            <w:pPr>
              <w:pStyle w:val="0"/>
            </w:pPr>
            <w:r>
              <w:rPr>
                <w:sz w:val="20"/>
              </w:rPr>
              <w:t xml:space="preserve">I60</w:t>
            </w:r>
          </w:p>
        </w:tc>
        <w:tc>
          <w:tcPr>
            <w:tcW w:w="1384" w:type="dxa"/>
          </w:tcPr>
          <w:p>
            <w:pPr>
              <w:pStyle w:val="0"/>
            </w:pPr>
            <w:r>
              <w:rPr>
                <w:sz w:val="20"/>
              </w:rPr>
              <w:t xml:space="preserve">63</w:t>
            </w:r>
          </w:p>
        </w:tc>
        <w:tc>
          <w:tcPr>
            <w:tcW w:w="1174" w:type="dxa"/>
          </w:tcPr>
          <w:p>
            <w:pPr>
              <w:pStyle w:val="0"/>
            </w:pPr>
            <w:r>
              <w:rPr>
                <w:sz w:val="20"/>
              </w:rPr>
              <w:t xml:space="preserve">3,8</w:t>
            </w:r>
          </w:p>
        </w:tc>
        <w:tc>
          <w:tcPr>
            <w:tcW w:w="1384" w:type="dxa"/>
          </w:tcPr>
          <w:p>
            <w:pPr>
              <w:pStyle w:val="0"/>
            </w:pPr>
            <w:r>
              <w:rPr>
                <w:sz w:val="20"/>
              </w:rPr>
              <w:t xml:space="preserve">64</w:t>
            </w:r>
          </w:p>
        </w:tc>
        <w:tc>
          <w:tcPr>
            <w:tcW w:w="1174" w:type="dxa"/>
          </w:tcPr>
          <w:p>
            <w:pPr>
              <w:pStyle w:val="0"/>
            </w:pPr>
            <w:r>
              <w:rPr>
                <w:sz w:val="20"/>
              </w:rPr>
              <w:t xml:space="preserve">3,8</w:t>
            </w:r>
          </w:p>
        </w:tc>
        <w:tc>
          <w:tcPr>
            <w:tcW w:w="1384" w:type="dxa"/>
          </w:tcPr>
          <w:p>
            <w:pPr>
              <w:pStyle w:val="0"/>
            </w:pPr>
            <w:r>
              <w:rPr>
                <w:sz w:val="20"/>
              </w:rPr>
              <w:t xml:space="preserve">81</w:t>
            </w:r>
          </w:p>
        </w:tc>
        <w:tc>
          <w:tcPr>
            <w:tcW w:w="1174" w:type="dxa"/>
          </w:tcPr>
          <w:p>
            <w:pPr>
              <w:pStyle w:val="0"/>
            </w:pPr>
            <w:r>
              <w:rPr>
                <w:sz w:val="20"/>
              </w:rPr>
              <w:t xml:space="preserve">4,8</w:t>
            </w:r>
          </w:p>
        </w:tc>
        <w:tc>
          <w:tcPr>
            <w:tcW w:w="1384" w:type="dxa"/>
          </w:tcPr>
          <w:p>
            <w:pPr>
              <w:pStyle w:val="0"/>
            </w:pPr>
            <w:r>
              <w:rPr>
                <w:sz w:val="20"/>
              </w:rPr>
              <w:t xml:space="preserve">57</w:t>
            </w:r>
          </w:p>
        </w:tc>
        <w:tc>
          <w:tcPr>
            <w:tcW w:w="1174" w:type="dxa"/>
          </w:tcPr>
          <w:p>
            <w:pPr>
              <w:pStyle w:val="0"/>
            </w:pPr>
            <w:r>
              <w:rPr>
                <w:sz w:val="20"/>
              </w:rPr>
              <w:t xml:space="preserve">3,3</w:t>
            </w:r>
          </w:p>
        </w:tc>
        <w:tc>
          <w:tcPr>
            <w:tcW w:w="1384" w:type="dxa"/>
          </w:tcPr>
          <w:p>
            <w:pPr>
              <w:pStyle w:val="0"/>
            </w:pPr>
            <w:r>
              <w:rPr>
                <w:sz w:val="20"/>
              </w:rPr>
              <w:t xml:space="preserve">47</w:t>
            </w:r>
          </w:p>
        </w:tc>
        <w:tc>
          <w:tcPr>
            <w:tcW w:w="1174" w:type="dxa"/>
          </w:tcPr>
          <w:p>
            <w:pPr>
              <w:pStyle w:val="0"/>
            </w:pPr>
            <w:r>
              <w:rPr>
                <w:sz w:val="20"/>
              </w:rPr>
              <w:t xml:space="preserve">2,7</w:t>
            </w:r>
          </w:p>
        </w:tc>
      </w:tr>
      <w:tr>
        <w:tc>
          <w:tcPr>
            <w:tcW w:w="2119" w:type="dxa"/>
          </w:tcPr>
          <w:p>
            <w:pPr>
              <w:pStyle w:val="0"/>
            </w:pPr>
            <w:r>
              <w:rPr>
                <w:sz w:val="20"/>
              </w:rPr>
              <w:t xml:space="preserve">внутримозговое и другое внутричерепное кровоизлияние</w:t>
            </w:r>
          </w:p>
        </w:tc>
        <w:tc>
          <w:tcPr>
            <w:tcW w:w="964" w:type="dxa"/>
          </w:tcPr>
          <w:p>
            <w:pPr>
              <w:pStyle w:val="0"/>
            </w:pPr>
            <w:r>
              <w:rPr>
                <w:sz w:val="20"/>
              </w:rPr>
              <w:t xml:space="preserve">I61, I62</w:t>
            </w:r>
          </w:p>
        </w:tc>
        <w:tc>
          <w:tcPr>
            <w:tcW w:w="1384" w:type="dxa"/>
          </w:tcPr>
          <w:p>
            <w:pPr>
              <w:pStyle w:val="0"/>
            </w:pPr>
            <w:r>
              <w:rPr>
                <w:sz w:val="20"/>
              </w:rPr>
              <w:t xml:space="preserve">364</w:t>
            </w:r>
          </w:p>
        </w:tc>
        <w:tc>
          <w:tcPr>
            <w:tcW w:w="1174" w:type="dxa"/>
          </w:tcPr>
          <w:p>
            <w:pPr>
              <w:pStyle w:val="0"/>
            </w:pPr>
            <w:r>
              <w:rPr>
                <w:sz w:val="20"/>
              </w:rPr>
              <w:t xml:space="preserve">21,9</w:t>
            </w:r>
          </w:p>
        </w:tc>
        <w:tc>
          <w:tcPr>
            <w:tcW w:w="1384" w:type="dxa"/>
          </w:tcPr>
          <w:p>
            <w:pPr>
              <w:pStyle w:val="0"/>
            </w:pPr>
            <w:r>
              <w:rPr>
                <w:sz w:val="20"/>
              </w:rPr>
              <w:t xml:space="preserve">278</w:t>
            </w:r>
          </w:p>
        </w:tc>
        <w:tc>
          <w:tcPr>
            <w:tcW w:w="1174" w:type="dxa"/>
          </w:tcPr>
          <w:p>
            <w:pPr>
              <w:pStyle w:val="0"/>
            </w:pPr>
            <w:r>
              <w:rPr>
                <w:sz w:val="20"/>
              </w:rPr>
              <w:t xml:space="preserve">16,6</w:t>
            </w:r>
          </w:p>
        </w:tc>
        <w:tc>
          <w:tcPr>
            <w:tcW w:w="1384" w:type="dxa"/>
          </w:tcPr>
          <w:p>
            <w:pPr>
              <w:pStyle w:val="0"/>
            </w:pPr>
            <w:r>
              <w:rPr>
                <w:sz w:val="20"/>
              </w:rPr>
              <w:t xml:space="preserve">297</w:t>
            </w:r>
          </w:p>
        </w:tc>
        <w:tc>
          <w:tcPr>
            <w:tcW w:w="1174" w:type="dxa"/>
          </w:tcPr>
          <w:p>
            <w:pPr>
              <w:pStyle w:val="0"/>
            </w:pPr>
            <w:r>
              <w:rPr>
                <w:sz w:val="20"/>
              </w:rPr>
              <w:t xml:space="preserve">17,6</w:t>
            </w:r>
          </w:p>
        </w:tc>
        <w:tc>
          <w:tcPr>
            <w:tcW w:w="1384" w:type="dxa"/>
          </w:tcPr>
          <w:p>
            <w:pPr>
              <w:pStyle w:val="0"/>
            </w:pPr>
            <w:r>
              <w:rPr>
                <w:sz w:val="20"/>
              </w:rPr>
              <w:t xml:space="preserve">247</w:t>
            </w:r>
          </w:p>
        </w:tc>
        <w:tc>
          <w:tcPr>
            <w:tcW w:w="1174" w:type="dxa"/>
          </w:tcPr>
          <w:p>
            <w:pPr>
              <w:pStyle w:val="0"/>
            </w:pPr>
            <w:r>
              <w:rPr>
                <w:sz w:val="20"/>
              </w:rPr>
              <w:t xml:space="preserve">14,5</w:t>
            </w:r>
          </w:p>
        </w:tc>
        <w:tc>
          <w:tcPr>
            <w:tcW w:w="1384" w:type="dxa"/>
          </w:tcPr>
          <w:p>
            <w:pPr>
              <w:pStyle w:val="0"/>
            </w:pPr>
            <w:r>
              <w:rPr>
                <w:sz w:val="20"/>
              </w:rPr>
              <w:t xml:space="preserve">295</w:t>
            </w:r>
          </w:p>
        </w:tc>
        <w:tc>
          <w:tcPr>
            <w:tcW w:w="1174" w:type="dxa"/>
          </w:tcPr>
          <w:p>
            <w:pPr>
              <w:pStyle w:val="0"/>
            </w:pPr>
            <w:r>
              <w:rPr>
                <w:sz w:val="20"/>
              </w:rPr>
              <w:t xml:space="preserve">17,2</w:t>
            </w:r>
          </w:p>
        </w:tc>
      </w:tr>
      <w:tr>
        <w:tc>
          <w:tcPr>
            <w:tcW w:w="2119" w:type="dxa"/>
          </w:tcPr>
          <w:p>
            <w:pPr>
              <w:pStyle w:val="0"/>
            </w:pPr>
            <w:r>
              <w:rPr>
                <w:sz w:val="20"/>
              </w:rPr>
              <w:t xml:space="preserve">ИМ</w:t>
            </w:r>
          </w:p>
        </w:tc>
        <w:tc>
          <w:tcPr>
            <w:tcW w:w="964" w:type="dxa"/>
          </w:tcPr>
          <w:p>
            <w:pPr>
              <w:pStyle w:val="0"/>
            </w:pPr>
            <w:r>
              <w:rPr>
                <w:sz w:val="20"/>
              </w:rPr>
              <w:t xml:space="preserve">I63</w:t>
            </w:r>
          </w:p>
        </w:tc>
        <w:tc>
          <w:tcPr>
            <w:tcW w:w="1384" w:type="dxa"/>
          </w:tcPr>
          <w:p>
            <w:pPr>
              <w:pStyle w:val="0"/>
            </w:pPr>
            <w:r>
              <w:rPr>
                <w:sz w:val="20"/>
              </w:rPr>
              <w:t xml:space="preserve">2065</w:t>
            </w:r>
          </w:p>
        </w:tc>
        <w:tc>
          <w:tcPr>
            <w:tcW w:w="1174" w:type="dxa"/>
          </w:tcPr>
          <w:p>
            <w:pPr>
              <w:pStyle w:val="0"/>
            </w:pPr>
            <w:r>
              <w:rPr>
                <w:sz w:val="20"/>
              </w:rPr>
              <w:t xml:space="preserve">124,4</w:t>
            </w:r>
          </w:p>
        </w:tc>
        <w:tc>
          <w:tcPr>
            <w:tcW w:w="1384" w:type="dxa"/>
          </w:tcPr>
          <w:p>
            <w:pPr>
              <w:pStyle w:val="0"/>
            </w:pPr>
            <w:r>
              <w:rPr>
                <w:sz w:val="20"/>
              </w:rPr>
              <w:t xml:space="preserve">1891</w:t>
            </w:r>
          </w:p>
        </w:tc>
        <w:tc>
          <w:tcPr>
            <w:tcW w:w="1174" w:type="dxa"/>
          </w:tcPr>
          <w:p>
            <w:pPr>
              <w:pStyle w:val="0"/>
            </w:pPr>
            <w:r>
              <w:rPr>
                <w:sz w:val="20"/>
              </w:rPr>
              <w:t xml:space="preserve">113,2</w:t>
            </w:r>
          </w:p>
        </w:tc>
        <w:tc>
          <w:tcPr>
            <w:tcW w:w="1384" w:type="dxa"/>
          </w:tcPr>
          <w:p>
            <w:pPr>
              <w:pStyle w:val="0"/>
            </w:pPr>
            <w:r>
              <w:rPr>
                <w:sz w:val="20"/>
              </w:rPr>
              <w:t xml:space="preserve">1948</w:t>
            </w:r>
          </w:p>
        </w:tc>
        <w:tc>
          <w:tcPr>
            <w:tcW w:w="1174" w:type="dxa"/>
          </w:tcPr>
          <w:p>
            <w:pPr>
              <w:pStyle w:val="0"/>
            </w:pPr>
            <w:r>
              <w:rPr>
                <w:sz w:val="20"/>
              </w:rPr>
              <w:t xml:space="preserve">115,8</w:t>
            </w:r>
          </w:p>
        </w:tc>
        <w:tc>
          <w:tcPr>
            <w:tcW w:w="1384" w:type="dxa"/>
          </w:tcPr>
          <w:p>
            <w:pPr>
              <w:pStyle w:val="0"/>
            </w:pPr>
            <w:r>
              <w:rPr>
                <w:sz w:val="20"/>
              </w:rPr>
              <w:t xml:space="preserve">1 768</w:t>
            </w:r>
          </w:p>
        </w:tc>
        <w:tc>
          <w:tcPr>
            <w:tcW w:w="1174" w:type="dxa"/>
          </w:tcPr>
          <w:p>
            <w:pPr>
              <w:pStyle w:val="0"/>
            </w:pPr>
            <w:r>
              <w:rPr>
                <w:sz w:val="20"/>
              </w:rPr>
              <w:t xml:space="preserve">103,9</w:t>
            </w:r>
          </w:p>
        </w:tc>
        <w:tc>
          <w:tcPr>
            <w:tcW w:w="1384" w:type="dxa"/>
          </w:tcPr>
          <w:p>
            <w:pPr>
              <w:pStyle w:val="0"/>
            </w:pPr>
            <w:r>
              <w:rPr>
                <w:sz w:val="20"/>
              </w:rPr>
              <w:t xml:space="preserve">2037</w:t>
            </w:r>
          </w:p>
        </w:tc>
        <w:tc>
          <w:tcPr>
            <w:tcW w:w="1174" w:type="dxa"/>
          </w:tcPr>
          <w:p>
            <w:pPr>
              <w:pStyle w:val="0"/>
            </w:pPr>
            <w:r>
              <w:rPr>
                <w:sz w:val="20"/>
              </w:rPr>
              <w:t xml:space="preserve">118,9</w:t>
            </w:r>
          </w:p>
        </w:tc>
      </w:tr>
      <w:tr>
        <w:tc>
          <w:tcPr>
            <w:tcW w:w="2119" w:type="dxa"/>
          </w:tcPr>
          <w:p>
            <w:pPr>
              <w:pStyle w:val="0"/>
            </w:pPr>
            <w:r>
              <w:rPr>
                <w:sz w:val="20"/>
              </w:rPr>
              <w:t xml:space="preserve">инсульт не уточненный</w:t>
            </w:r>
          </w:p>
        </w:tc>
        <w:tc>
          <w:tcPr>
            <w:tcW w:w="964" w:type="dxa"/>
          </w:tcPr>
          <w:p>
            <w:pPr>
              <w:pStyle w:val="0"/>
            </w:pPr>
            <w:r>
              <w:rPr>
                <w:sz w:val="20"/>
              </w:rPr>
              <w:t xml:space="preserve">I64</w:t>
            </w:r>
          </w:p>
        </w:tc>
        <w:tc>
          <w:tcPr>
            <w:tcW w:w="1384" w:type="dxa"/>
          </w:tcPr>
          <w:p>
            <w:pPr>
              <w:pStyle w:val="0"/>
            </w:pPr>
            <w:r>
              <w:rPr>
                <w:sz w:val="20"/>
              </w:rPr>
              <w:t xml:space="preserve">44</w:t>
            </w:r>
          </w:p>
        </w:tc>
        <w:tc>
          <w:tcPr>
            <w:tcW w:w="1174" w:type="dxa"/>
          </w:tcPr>
          <w:p>
            <w:pPr>
              <w:pStyle w:val="0"/>
            </w:pPr>
            <w:r>
              <w:rPr>
                <w:sz w:val="20"/>
              </w:rPr>
              <w:t xml:space="preserve">2,7</w:t>
            </w:r>
          </w:p>
        </w:tc>
        <w:tc>
          <w:tcPr>
            <w:tcW w:w="1384" w:type="dxa"/>
          </w:tcPr>
          <w:p>
            <w:pPr>
              <w:pStyle w:val="0"/>
            </w:pPr>
            <w:r>
              <w:rPr>
                <w:sz w:val="20"/>
              </w:rPr>
              <w:t xml:space="preserve">92</w:t>
            </w:r>
          </w:p>
        </w:tc>
        <w:tc>
          <w:tcPr>
            <w:tcW w:w="1174" w:type="dxa"/>
          </w:tcPr>
          <w:p>
            <w:pPr>
              <w:pStyle w:val="0"/>
            </w:pPr>
            <w:r>
              <w:rPr>
                <w:sz w:val="20"/>
              </w:rPr>
              <w:t xml:space="preserve">5,5</w:t>
            </w:r>
          </w:p>
        </w:tc>
        <w:tc>
          <w:tcPr>
            <w:tcW w:w="1384" w:type="dxa"/>
          </w:tcPr>
          <w:p>
            <w:pPr>
              <w:pStyle w:val="0"/>
            </w:pPr>
            <w:r>
              <w:rPr>
                <w:sz w:val="20"/>
              </w:rPr>
              <w:t xml:space="preserve">103</w:t>
            </w:r>
          </w:p>
        </w:tc>
        <w:tc>
          <w:tcPr>
            <w:tcW w:w="1174" w:type="dxa"/>
          </w:tcPr>
          <w:p>
            <w:pPr>
              <w:pStyle w:val="0"/>
            </w:pPr>
            <w:r>
              <w:rPr>
                <w:sz w:val="20"/>
              </w:rPr>
              <w:t xml:space="preserve">6,1</w:t>
            </w:r>
          </w:p>
        </w:tc>
        <w:tc>
          <w:tcPr>
            <w:tcW w:w="1384" w:type="dxa"/>
          </w:tcPr>
          <w:p>
            <w:pPr>
              <w:pStyle w:val="0"/>
            </w:pPr>
            <w:r>
              <w:rPr>
                <w:sz w:val="20"/>
              </w:rPr>
              <w:t xml:space="preserve">53</w:t>
            </w:r>
          </w:p>
        </w:tc>
        <w:tc>
          <w:tcPr>
            <w:tcW w:w="1174" w:type="dxa"/>
          </w:tcPr>
          <w:p>
            <w:pPr>
              <w:pStyle w:val="0"/>
            </w:pPr>
            <w:r>
              <w:rPr>
                <w:sz w:val="20"/>
              </w:rPr>
              <w:t xml:space="preserve">3,1</w:t>
            </w:r>
          </w:p>
        </w:tc>
        <w:tc>
          <w:tcPr>
            <w:tcW w:w="1384" w:type="dxa"/>
          </w:tcPr>
          <w:p>
            <w:pPr>
              <w:pStyle w:val="0"/>
            </w:pPr>
            <w:r>
              <w:rPr>
                <w:sz w:val="20"/>
              </w:rPr>
              <w:t xml:space="preserve">32</w:t>
            </w:r>
          </w:p>
        </w:tc>
        <w:tc>
          <w:tcPr>
            <w:tcW w:w="1174" w:type="dxa"/>
          </w:tcPr>
          <w:p>
            <w:pPr>
              <w:pStyle w:val="0"/>
            </w:pPr>
            <w:r>
              <w:rPr>
                <w:sz w:val="20"/>
              </w:rPr>
              <w:t xml:space="preserve">1,9</w:t>
            </w:r>
          </w:p>
        </w:tc>
      </w:tr>
      <w:tr>
        <w:tc>
          <w:tcPr>
            <w:tcW w:w="2119" w:type="dxa"/>
          </w:tcPr>
          <w:p>
            <w:pPr>
              <w:pStyle w:val="0"/>
            </w:pPr>
            <w:r>
              <w:rPr>
                <w:sz w:val="20"/>
              </w:rPr>
              <w:t xml:space="preserve">переходящие транзиторные церебральные ишемические приступы (атаки)</w:t>
            </w:r>
          </w:p>
        </w:tc>
        <w:tc>
          <w:tcPr>
            <w:tcW w:w="964" w:type="dxa"/>
          </w:tcPr>
          <w:p>
            <w:pPr>
              <w:pStyle w:val="0"/>
            </w:pPr>
            <w:r>
              <w:rPr>
                <w:sz w:val="20"/>
              </w:rPr>
              <w:t xml:space="preserve">G45</w:t>
            </w:r>
          </w:p>
        </w:tc>
        <w:tc>
          <w:tcPr>
            <w:tcW w:w="1384" w:type="dxa"/>
          </w:tcPr>
          <w:p>
            <w:pPr>
              <w:pStyle w:val="0"/>
            </w:pPr>
            <w:r>
              <w:rPr>
                <w:sz w:val="20"/>
              </w:rPr>
              <w:t xml:space="preserve">1020</w:t>
            </w:r>
          </w:p>
        </w:tc>
        <w:tc>
          <w:tcPr>
            <w:tcW w:w="1174" w:type="dxa"/>
          </w:tcPr>
          <w:p>
            <w:pPr>
              <w:pStyle w:val="0"/>
            </w:pPr>
            <w:r>
              <w:rPr>
                <w:sz w:val="20"/>
              </w:rPr>
              <w:t xml:space="preserve">61,5</w:t>
            </w:r>
          </w:p>
        </w:tc>
        <w:tc>
          <w:tcPr>
            <w:tcW w:w="1384" w:type="dxa"/>
          </w:tcPr>
          <w:p>
            <w:pPr>
              <w:pStyle w:val="0"/>
            </w:pPr>
            <w:r>
              <w:rPr>
                <w:sz w:val="20"/>
              </w:rPr>
              <w:t xml:space="preserve">855</w:t>
            </w:r>
          </w:p>
        </w:tc>
        <w:tc>
          <w:tcPr>
            <w:tcW w:w="1174" w:type="dxa"/>
          </w:tcPr>
          <w:p>
            <w:pPr>
              <w:pStyle w:val="0"/>
            </w:pPr>
            <w:r>
              <w:rPr>
                <w:sz w:val="20"/>
              </w:rPr>
              <w:t xml:space="preserve">51,2</w:t>
            </w:r>
          </w:p>
        </w:tc>
        <w:tc>
          <w:tcPr>
            <w:tcW w:w="1384" w:type="dxa"/>
          </w:tcPr>
          <w:p>
            <w:pPr>
              <w:pStyle w:val="0"/>
            </w:pPr>
            <w:r>
              <w:rPr>
                <w:sz w:val="20"/>
              </w:rPr>
              <w:t xml:space="preserve">793</w:t>
            </w:r>
          </w:p>
        </w:tc>
        <w:tc>
          <w:tcPr>
            <w:tcW w:w="1174" w:type="dxa"/>
          </w:tcPr>
          <w:p>
            <w:pPr>
              <w:pStyle w:val="0"/>
            </w:pPr>
            <w:r>
              <w:rPr>
                <w:sz w:val="20"/>
              </w:rPr>
              <w:t xml:space="preserve">47,1</w:t>
            </w:r>
          </w:p>
        </w:tc>
        <w:tc>
          <w:tcPr>
            <w:tcW w:w="1384" w:type="dxa"/>
          </w:tcPr>
          <w:p>
            <w:pPr>
              <w:pStyle w:val="0"/>
            </w:pPr>
            <w:r>
              <w:rPr>
                <w:sz w:val="20"/>
              </w:rPr>
              <w:t xml:space="preserve">675</w:t>
            </w:r>
          </w:p>
        </w:tc>
        <w:tc>
          <w:tcPr>
            <w:tcW w:w="1174" w:type="dxa"/>
          </w:tcPr>
          <w:p>
            <w:pPr>
              <w:pStyle w:val="0"/>
            </w:pPr>
            <w:r>
              <w:rPr>
                <w:sz w:val="20"/>
              </w:rPr>
              <w:t xml:space="preserve">39,6</w:t>
            </w:r>
          </w:p>
        </w:tc>
        <w:tc>
          <w:tcPr>
            <w:tcW w:w="1384" w:type="dxa"/>
          </w:tcPr>
          <w:p>
            <w:pPr>
              <w:pStyle w:val="0"/>
            </w:pPr>
            <w:r>
              <w:rPr>
                <w:sz w:val="20"/>
              </w:rPr>
              <w:t xml:space="preserve">614</w:t>
            </w:r>
          </w:p>
        </w:tc>
        <w:tc>
          <w:tcPr>
            <w:tcW w:w="1174" w:type="dxa"/>
          </w:tcPr>
          <w:p>
            <w:pPr>
              <w:pStyle w:val="0"/>
            </w:pPr>
            <w:r>
              <w:rPr>
                <w:sz w:val="20"/>
              </w:rPr>
              <w:t xml:space="preserve">35,8</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В структуре общей заболеваемости в 2022 году первое место заняли болезни, характеризующиеся повышенным кровяным давлением, - 12085,3 на 100 тыс. населения, второе - ИБС 2464,6 на 100 тыс. населения, третье - ЦВБ 1874,6 на 100 тыс. населения.</w:t>
      </w:r>
    </w:p>
    <w:p>
      <w:pPr>
        <w:pStyle w:val="0"/>
        <w:jc w:val="right"/>
      </w:pPr>
      <w:r>
        <w:rPr>
          <w:sz w:val="20"/>
        </w:rPr>
      </w:r>
    </w:p>
    <w:p>
      <w:pPr>
        <w:pStyle w:val="0"/>
        <w:jc w:val="right"/>
      </w:pPr>
      <w:r>
        <w:rPr>
          <w:sz w:val="20"/>
        </w:rPr>
        <w:t xml:space="preserve">Таблица 10</w:t>
      </w:r>
    </w:p>
    <w:p>
      <w:pPr>
        <w:pStyle w:val="0"/>
        <w:jc w:val="right"/>
      </w:pPr>
      <w:r>
        <w:rPr>
          <w:sz w:val="20"/>
        </w:rPr>
      </w:r>
    </w:p>
    <w:bookmarkStart w:id="14039" w:name="P14039"/>
    <w:bookmarkEnd w:id="14039"/>
    <w:p>
      <w:pPr>
        <w:pStyle w:val="0"/>
        <w:jc w:val="center"/>
      </w:pPr>
      <w:r>
        <w:rPr>
          <w:sz w:val="20"/>
        </w:rPr>
        <w:t xml:space="preserve">Общая заболеваемость БСК в разрезе муниципальных образований</w:t>
      </w:r>
    </w:p>
    <w:p>
      <w:pPr>
        <w:pStyle w:val="0"/>
        <w:jc w:val="center"/>
      </w:pPr>
      <w:r>
        <w:rPr>
          <w:sz w:val="20"/>
        </w:rPr>
        <w:t xml:space="preserve">автономного округа за 2021 - 2022 гг. (на 100 тыс.</w:t>
      </w:r>
    </w:p>
    <w:p>
      <w:pPr>
        <w:pStyle w:val="0"/>
        <w:jc w:val="center"/>
      </w:pPr>
      <w:r>
        <w:rPr>
          <w:sz w:val="20"/>
        </w:rPr>
        <w:t xml:space="preserve">населения)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139"/>
        <w:gridCol w:w="1474"/>
        <w:gridCol w:w="1304"/>
        <w:gridCol w:w="1701"/>
      </w:tblGrid>
      <w:tr>
        <w:tc>
          <w:tcPr>
            <w:tcW w:w="4139" w:type="dxa"/>
          </w:tcPr>
          <w:p>
            <w:pPr>
              <w:pStyle w:val="0"/>
              <w:jc w:val="center"/>
            </w:pPr>
            <w:r>
              <w:rPr>
                <w:sz w:val="20"/>
              </w:rPr>
              <w:t xml:space="preserve">Наименование городских округов, муниципальных районов</w:t>
            </w:r>
          </w:p>
        </w:tc>
        <w:tc>
          <w:tcPr>
            <w:tcW w:w="1474" w:type="dxa"/>
          </w:tcPr>
          <w:p>
            <w:pPr>
              <w:pStyle w:val="0"/>
              <w:jc w:val="center"/>
            </w:pPr>
            <w:r>
              <w:rPr>
                <w:sz w:val="20"/>
              </w:rPr>
              <w:t xml:space="preserve">2021 г.</w:t>
            </w:r>
          </w:p>
        </w:tc>
        <w:tc>
          <w:tcPr>
            <w:tcW w:w="1304" w:type="dxa"/>
          </w:tcPr>
          <w:p>
            <w:pPr>
              <w:pStyle w:val="0"/>
              <w:jc w:val="center"/>
            </w:pPr>
            <w:r>
              <w:rPr>
                <w:sz w:val="20"/>
              </w:rPr>
              <w:t xml:space="preserve">2022 г.</w:t>
            </w:r>
          </w:p>
        </w:tc>
        <w:tc>
          <w:tcPr>
            <w:tcW w:w="1701" w:type="dxa"/>
          </w:tcPr>
          <w:p>
            <w:pPr>
              <w:pStyle w:val="0"/>
              <w:jc w:val="center"/>
            </w:pPr>
            <w:r>
              <w:rPr>
                <w:sz w:val="20"/>
              </w:rPr>
              <w:t xml:space="preserve">Динамика 2022/2021</w:t>
            </w:r>
          </w:p>
        </w:tc>
      </w:tr>
      <w:tr>
        <w:tc>
          <w:tcPr>
            <w:tcW w:w="4139" w:type="dxa"/>
          </w:tcPr>
          <w:p>
            <w:pPr>
              <w:pStyle w:val="0"/>
            </w:pPr>
            <w:r>
              <w:rPr>
                <w:sz w:val="20"/>
              </w:rPr>
              <w:t xml:space="preserve">Автономный округ в целом</w:t>
            </w:r>
          </w:p>
        </w:tc>
        <w:tc>
          <w:tcPr>
            <w:tcW w:w="1474" w:type="dxa"/>
          </w:tcPr>
          <w:p>
            <w:pPr>
              <w:pStyle w:val="0"/>
            </w:pPr>
            <w:r>
              <w:rPr>
                <w:sz w:val="20"/>
              </w:rPr>
              <w:t xml:space="preserve">18729,0</w:t>
            </w:r>
          </w:p>
        </w:tc>
        <w:tc>
          <w:tcPr>
            <w:tcW w:w="1304" w:type="dxa"/>
          </w:tcPr>
          <w:p>
            <w:pPr>
              <w:pStyle w:val="0"/>
            </w:pPr>
            <w:r>
              <w:rPr>
                <w:sz w:val="20"/>
              </w:rPr>
              <w:t xml:space="preserve">20281,4</w:t>
            </w:r>
          </w:p>
        </w:tc>
        <w:tc>
          <w:tcPr>
            <w:tcW w:w="1701" w:type="dxa"/>
          </w:tcPr>
          <w:p>
            <w:pPr>
              <w:pStyle w:val="0"/>
            </w:pPr>
            <w:r>
              <w:rPr>
                <w:sz w:val="20"/>
              </w:rPr>
              <w:t xml:space="preserve">+8,3</w:t>
            </w:r>
          </w:p>
        </w:tc>
      </w:tr>
      <w:tr>
        <w:tc>
          <w:tcPr>
            <w:tcW w:w="4139" w:type="dxa"/>
          </w:tcPr>
          <w:p>
            <w:pPr>
              <w:pStyle w:val="0"/>
            </w:pPr>
            <w:r>
              <w:rPr>
                <w:sz w:val="20"/>
              </w:rPr>
              <w:t xml:space="preserve">Ханты-Мансийск</w:t>
            </w:r>
          </w:p>
        </w:tc>
        <w:tc>
          <w:tcPr>
            <w:tcW w:w="1474" w:type="dxa"/>
          </w:tcPr>
          <w:p>
            <w:pPr>
              <w:pStyle w:val="0"/>
            </w:pPr>
            <w:r>
              <w:rPr>
                <w:sz w:val="20"/>
              </w:rPr>
              <w:t xml:space="preserve">18736,7</w:t>
            </w:r>
          </w:p>
        </w:tc>
        <w:tc>
          <w:tcPr>
            <w:tcW w:w="1304" w:type="dxa"/>
          </w:tcPr>
          <w:p>
            <w:pPr>
              <w:pStyle w:val="0"/>
            </w:pPr>
            <w:r>
              <w:rPr>
                <w:sz w:val="20"/>
              </w:rPr>
              <w:t xml:space="preserve">20570,8</w:t>
            </w:r>
          </w:p>
        </w:tc>
        <w:tc>
          <w:tcPr>
            <w:tcW w:w="1701" w:type="dxa"/>
          </w:tcPr>
          <w:p>
            <w:pPr>
              <w:pStyle w:val="0"/>
            </w:pPr>
            <w:r>
              <w:rPr>
                <w:sz w:val="20"/>
              </w:rPr>
              <w:t xml:space="preserve">+9,8</w:t>
            </w:r>
          </w:p>
        </w:tc>
      </w:tr>
      <w:tr>
        <w:tc>
          <w:tcPr>
            <w:tcW w:w="4139" w:type="dxa"/>
          </w:tcPr>
          <w:p>
            <w:pPr>
              <w:pStyle w:val="0"/>
            </w:pPr>
            <w:r>
              <w:rPr>
                <w:sz w:val="20"/>
              </w:rPr>
              <w:t xml:space="preserve">Когалым</w:t>
            </w:r>
          </w:p>
        </w:tc>
        <w:tc>
          <w:tcPr>
            <w:tcW w:w="1474" w:type="dxa"/>
          </w:tcPr>
          <w:p>
            <w:pPr>
              <w:pStyle w:val="0"/>
            </w:pPr>
            <w:r>
              <w:rPr>
                <w:sz w:val="20"/>
              </w:rPr>
              <w:t xml:space="preserve">16602,6</w:t>
            </w:r>
          </w:p>
        </w:tc>
        <w:tc>
          <w:tcPr>
            <w:tcW w:w="1304" w:type="dxa"/>
          </w:tcPr>
          <w:p>
            <w:pPr>
              <w:pStyle w:val="0"/>
            </w:pPr>
            <w:r>
              <w:rPr>
                <w:sz w:val="20"/>
              </w:rPr>
              <w:t xml:space="preserve">15429,7</w:t>
            </w:r>
          </w:p>
        </w:tc>
        <w:tc>
          <w:tcPr>
            <w:tcW w:w="1701" w:type="dxa"/>
          </w:tcPr>
          <w:p>
            <w:pPr>
              <w:pStyle w:val="0"/>
            </w:pPr>
            <w:r>
              <w:rPr>
                <w:sz w:val="20"/>
              </w:rPr>
              <w:t xml:space="preserve">-7,1</w:t>
            </w:r>
          </w:p>
        </w:tc>
      </w:tr>
      <w:tr>
        <w:tc>
          <w:tcPr>
            <w:tcW w:w="4139" w:type="dxa"/>
          </w:tcPr>
          <w:p>
            <w:pPr>
              <w:pStyle w:val="0"/>
            </w:pPr>
            <w:r>
              <w:rPr>
                <w:sz w:val="20"/>
              </w:rPr>
              <w:t xml:space="preserve">Лангепас</w:t>
            </w:r>
          </w:p>
        </w:tc>
        <w:tc>
          <w:tcPr>
            <w:tcW w:w="1474" w:type="dxa"/>
          </w:tcPr>
          <w:p>
            <w:pPr>
              <w:pStyle w:val="0"/>
            </w:pPr>
            <w:r>
              <w:rPr>
                <w:sz w:val="20"/>
              </w:rPr>
              <w:t xml:space="preserve">12847,8</w:t>
            </w:r>
          </w:p>
        </w:tc>
        <w:tc>
          <w:tcPr>
            <w:tcW w:w="1304" w:type="dxa"/>
          </w:tcPr>
          <w:p>
            <w:pPr>
              <w:pStyle w:val="0"/>
            </w:pPr>
            <w:r>
              <w:rPr>
                <w:sz w:val="20"/>
              </w:rPr>
              <w:t xml:space="preserve">34844,2</w:t>
            </w:r>
          </w:p>
        </w:tc>
        <w:tc>
          <w:tcPr>
            <w:tcW w:w="1701" w:type="dxa"/>
          </w:tcPr>
          <w:p>
            <w:pPr>
              <w:pStyle w:val="0"/>
            </w:pPr>
            <w:r>
              <w:rPr>
                <w:sz w:val="20"/>
              </w:rPr>
              <w:t xml:space="preserve">+171,2</w:t>
            </w:r>
          </w:p>
        </w:tc>
      </w:tr>
      <w:tr>
        <w:tc>
          <w:tcPr>
            <w:tcW w:w="4139" w:type="dxa"/>
          </w:tcPr>
          <w:p>
            <w:pPr>
              <w:pStyle w:val="0"/>
            </w:pPr>
            <w:r>
              <w:rPr>
                <w:sz w:val="20"/>
              </w:rPr>
              <w:t xml:space="preserve">Мегион</w:t>
            </w:r>
          </w:p>
        </w:tc>
        <w:tc>
          <w:tcPr>
            <w:tcW w:w="1474" w:type="dxa"/>
          </w:tcPr>
          <w:p>
            <w:pPr>
              <w:pStyle w:val="0"/>
            </w:pPr>
            <w:r>
              <w:rPr>
                <w:sz w:val="20"/>
              </w:rPr>
              <w:t xml:space="preserve">14458,5</w:t>
            </w:r>
          </w:p>
        </w:tc>
        <w:tc>
          <w:tcPr>
            <w:tcW w:w="1304" w:type="dxa"/>
          </w:tcPr>
          <w:p>
            <w:pPr>
              <w:pStyle w:val="0"/>
            </w:pPr>
            <w:r>
              <w:rPr>
                <w:sz w:val="20"/>
              </w:rPr>
              <w:t xml:space="preserve">17719,6</w:t>
            </w:r>
          </w:p>
        </w:tc>
        <w:tc>
          <w:tcPr>
            <w:tcW w:w="1701" w:type="dxa"/>
          </w:tcPr>
          <w:p>
            <w:pPr>
              <w:pStyle w:val="0"/>
            </w:pPr>
            <w:r>
              <w:rPr>
                <w:sz w:val="20"/>
              </w:rPr>
              <w:t xml:space="preserve">+22,6</w:t>
            </w:r>
          </w:p>
        </w:tc>
      </w:tr>
      <w:tr>
        <w:tc>
          <w:tcPr>
            <w:tcW w:w="4139" w:type="dxa"/>
          </w:tcPr>
          <w:p>
            <w:pPr>
              <w:pStyle w:val="0"/>
            </w:pPr>
            <w:r>
              <w:rPr>
                <w:sz w:val="20"/>
              </w:rPr>
              <w:t xml:space="preserve">Нефтеюганск</w:t>
            </w:r>
          </w:p>
        </w:tc>
        <w:tc>
          <w:tcPr>
            <w:tcW w:w="1474" w:type="dxa"/>
          </w:tcPr>
          <w:p>
            <w:pPr>
              <w:pStyle w:val="0"/>
            </w:pPr>
            <w:r>
              <w:rPr>
                <w:sz w:val="20"/>
              </w:rPr>
              <w:t xml:space="preserve">13592,1</w:t>
            </w:r>
          </w:p>
        </w:tc>
        <w:tc>
          <w:tcPr>
            <w:tcW w:w="1304" w:type="dxa"/>
          </w:tcPr>
          <w:p>
            <w:pPr>
              <w:pStyle w:val="0"/>
            </w:pPr>
            <w:r>
              <w:rPr>
                <w:sz w:val="20"/>
              </w:rPr>
              <w:t xml:space="preserve">15246,5</w:t>
            </w:r>
          </w:p>
        </w:tc>
        <w:tc>
          <w:tcPr>
            <w:tcW w:w="1701" w:type="dxa"/>
          </w:tcPr>
          <w:p>
            <w:pPr>
              <w:pStyle w:val="0"/>
            </w:pPr>
            <w:r>
              <w:rPr>
                <w:sz w:val="20"/>
              </w:rPr>
              <w:t xml:space="preserve">+12,2</w:t>
            </w:r>
          </w:p>
        </w:tc>
      </w:tr>
      <w:tr>
        <w:tc>
          <w:tcPr>
            <w:tcW w:w="4139" w:type="dxa"/>
          </w:tcPr>
          <w:p>
            <w:pPr>
              <w:pStyle w:val="0"/>
            </w:pPr>
            <w:r>
              <w:rPr>
                <w:sz w:val="20"/>
              </w:rPr>
              <w:t xml:space="preserve">Нижневартовск</w:t>
            </w:r>
          </w:p>
        </w:tc>
        <w:tc>
          <w:tcPr>
            <w:tcW w:w="1474" w:type="dxa"/>
          </w:tcPr>
          <w:p>
            <w:pPr>
              <w:pStyle w:val="0"/>
            </w:pPr>
            <w:r>
              <w:rPr>
                <w:sz w:val="20"/>
              </w:rPr>
              <w:t xml:space="preserve">20705,5</w:t>
            </w:r>
          </w:p>
        </w:tc>
        <w:tc>
          <w:tcPr>
            <w:tcW w:w="1304" w:type="dxa"/>
          </w:tcPr>
          <w:p>
            <w:pPr>
              <w:pStyle w:val="0"/>
            </w:pPr>
            <w:r>
              <w:rPr>
                <w:sz w:val="20"/>
              </w:rPr>
              <w:t xml:space="preserve">20672,7</w:t>
            </w:r>
          </w:p>
        </w:tc>
        <w:tc>
          <w:tcPr>
            <w:tcW w:w="1701" w:type="dxa"/>
          </w:tcPr>
          <w:p>
            <w:pPr>
              <w:pStyle w:val="0"/>
            </w:pPr>
            <w:r>
              <w:rPr>
                <w:sz w:val="20"/>
              </w:rPr>
              <w:t xml:space="preserve">-0,2</w:t>
            </w:r>
          </w:p>
        </w:tc>
      </w:tr>
      <w:tr>
        <w:tc>
          <w:tcPr>
            <w:tcW w:w="4139" w:type="dxa"/>
          </w:tcPr>
          <w:p>
            <w:pPr>
              <w:pStyle w:val="0"/>
            </w:pPr>
            <w:r>
              <w:rPr>
                <w:sz w:val="20"/>
              </w:rPr>
              <w:t xml:space="preserve">Нягань</w:t>
            </w:r>
          </w:p>
        </w:tc>
        <w:tc>
          <w:tcPr>
            <w:tcW w:w="1474" w:type="dxa"/>
          </w:tcPr>
          <w:p>
            <w:pPr>
              <w:pStyle w:val="0"/>
            </w:pPr>
            <w:r>
              <w:rPr>
                <w:sz w:val="20"/>
              </w:rPr>
              <w:t xml:space="preserve">31469,9</w:t>
            </w:r>
          </w:p>
        </w:tc>
        <w:tc>
          <w:tcPr>
            <w:tcW w:w="1304" w:type="dxa"/>
          </w:tcPr>
          <w:p>
            <w:pPr>
              <w:pStyle w:val="0"/>
            </w:pPr>
            <w:r>
              <w:rPr>
                <w:sz w:val="20"/>
              </w:rPr>
              <w:t xml:space="preserve">31013,0</w:t>
            </w:r>
          </w:p>
        </w:tc>
        <w:tc>
          <w:tcPr>
            <w:tcW w:w="1701" w:type="dxa"/>
          </w:tcPr>
          <w:p>
            <w:pPr>
              <w:pStyle w:val="0"/>
            </w:pPr>
            <w:r>
              <w:rPr>
                <w:sz w:val="20"/>
              </w:rPr>
              <w:t xml:space="preserve">-1,5</w:t>
            </w:r>
          </w:p>
        </w:tc>
      </w:tr>
      <w:tr>
        <w:tc>
          <w:tcPr>
            <w:tcW w:w="4139" w:type="dxa"/>
          </w:tcPr>
          <w:p>
            <w:pPr>
              <w:pStyle w:val="0"/>
            </w:pPr>
            <w:r>
              <w:rPr>
                <w:sz w:val="20"/>
              </w:rPr>
              <w:t xml:space="preserve">Покачи</w:t>
            </w:r>
          </w:p>
        </w:tc>
        <w:tc>
          <w:tcPr>
            <w:tcW w:w="1474" w:type="dxa"/>
          </w:tcPr>
          <w:p>
            <w:pPr>
              <w:pStyle w:val="0"/>
            </w:pPr>
            <w:r>
              <w:rPr>
                <w:sz w:val="20"/>
              </w:rPr>
              <w:t xml:space="preserve">16493,9</w:t>
            </w:r>
          </w:p>
        </w:tc>
        <w:tc>
          <w:tcPr>
            <w:tcW w:w="1304" w:type="dxa"/>
          </w:tcPr>
          <w:p>
            <w:pPr>
              <w:pStyle w:val="0"/>
            </w:pPr>
            <w:r>
              <w:rPr>
                <w:sz w:val="20"/>
              </w:rPr>
              <w:t xml:space="preserve">16488,4</w:t>
            </w:r>
          </w:p>
        </w:tc>
        <w:tc>
          <w:tcPr>
            <w:tcW w:w="1701" w:type="dxa"/>
          </w:tcPr>
          <w:p>
            <w:pPr>
              <w:pStyle w:val="0"/>
            </w:pPr>
            <w:r>
              <w:rPr>
                <w:sz w:val="20"/>
              </w:rPr>
              <w:t xml:space="preserve">-0,03</w:t>
            </w:r>
          </w:p>
        </w:tc>
      </w:tr>
      <w:tr>
        <w:tc>
          <w:tcPr>
            <w:tcW w:w="4139" w:type="dxa"/>
          </w:tcPr>
          <w:p>
            <w:pPr>
              <w:pStyle w:val="0"/>
            </w:pPr>
            <w:r>
              <w:rPr>
                <w:sz w:val="20"/>
              </w:rPr>
              <w:t xml:space="preserve">Пыть-Ях</w:t>
            </w:r>
          </w:p>
        </w:tc>
        <w:tc>
          <w:tcPr>
            <w:tcW w:w="1474" w:type="dxa"/>
          </w:tcPr>
          <w:p>
            <w:pPr>
              <w:pStyle w:val="0"/>
            </w:pPr>
            <w:r>
              <w:rPr>
                <w:sz w:val="20"/>
              </w:rPr>
              <w:t xml:space="preserve">22454,0</w:t>
            </w:r>
          </w:p>
        </w:tc>
        <w:tc>
          <w:tcPr>
            <w:tcW w:w="1304" w:type="dxa"/>
          </w:tcPr>
          <w:p>
            <w:pPr>
              <w:pStyle w:val="0"/>
            </w:pPr>
            <w:r>
              <w:rPr>
                <w:sz w:val="20"/>
              </w:rPr>
              <w:t xml:space="preserve">27632,5</w:t>
            </w:r>
          </w:p>
        </w:tc>
        <w:tc>
          <w:tcPr>
            <w:tcW w:w="1701" w:type="dxa"/>
          </w:tcPr>
          <w:p>
            <w:pPr>
              <w:pStyle w:val="0"/>
            </w:pPr>
            <w:r>
              <w:rPr>
                <w:sz w:val="20"/>
              </w:rPr>
              <w:t xml:space="preserve">+23,1</w:t>
            </w:r>
          </w:p>
        </w:tc>
      </w:tr>
      <w:tr>
        <w:tc>
          <w:tcPr>
            <w:tcW w:w="4139" w:type="dxa"/>
          </w:tcPr>
          <w:p>
            <w:pPr>
              <w:pStyle w:val="0"/>
            </w:pPr>
            <w:r>
              <w:rPr>
                <w:sz w:val="20"/>
              </w:rPr>
              <w:t xml:space="preserve">Радужный</w:t>
            </w:r>
          </w:p>
        </w:tc>
        <w:tc>
          <w:tcPr>
            <w:tcW w:w="1474" w:type="dxa"/>
          </w:tcPr>
          <w:p>
            <w:pPr>
              <w:pStyle w:val="0"/>
            </w:pPr>
            <w:r>
              <w:rPr>
                <w:sz w:val="20"/>
              </w:rPr>
              <w:t xml:space="preserve">13180,8</w:t>
            </w:r>
          </w:p>
        </w:tc>
        <w:tc>
          <w:tcPr>
            <w:tcW w:w="1304" w:type="dxa"/>
          </w:tcPr>
          <w:p>
            <w:pPr>
              <w:pStyle w:val="0"/>
            </w:pPr>
            <w:r>
              <w:rPr>
                <w:sz w:val="20"/>
              </w:rPr>
              <w:t xml:space="preserve">14114,7</w:t>
            </w:r>
          </w:p>
        </w:tc>
        <w:tc>
          <w:tcPr>
            <w:tcW w:w="1701" w:type="dxa"/>
          </w:tcPr>
          <w:p>
            <w:pPr>
              <w:pStyle w:val="0"/>
            </w:pPr>
            <w:r>
              <w:rPr>
                <w:sz w:val="20"/>
              </w:rPr>
              <w:t xml:space="preserve">+7,1</w:t>
            </w:r>
          </w:p>
        </w:tc>
      </w:tr>
      <w:tr>
        <w:tc>
          <w:tcPr>
            <w:tcW w:w="4139" w:type="dxa"/>
          </w:tcPr>
          <w:p>
            <w:pPr>
              <w:pStyle w:val="0"/>
            </w:pPr>
            <w:r>
              <w:rPr>
                <w:sz w:val="20"/>
              </w:rPr>
              <w:t xml:space="preserve">Сургут</w:t>
            </w:r>
          </w:p>
        </w:tc>
        <w:tc>
          <w:tcPr>
            <w:tcW w:w="1474" w:type="dxa"/>
          </w:tcPr>
          <w:p>
            <w:pPr>
              <w:pStyle w:val="0"/>
            </w:pPr>
            <w:r>
              <w:rPr>
                <w:sz w:val="20"/>
              </w:rPr>
              <w:t xml:space="preserve">18669,0</w:t>
            </w:r>
          </w:p>
        </w:tc>
        <w:tc>
          <w:tcPr>
            <w:tcW w:w="1304" w:type="dxa"/>
          </w:tcPr>
          <w:p>
            <w:pPr>
              <w:pStyle w:val="0"/>
            </w:pPr>
            <w:r>
              <w:rPr>
                <w:sz w:val="20"/>
              </w:rPr>
              <w:t xml:space="preserve">20356,4</w:t>
            </w:r>
          </w:p>
        </w:tc>
        <w:tc>
          <w:tcPr>
            <w:tcW w:w="1701" w:type="dxa"/>
          </w:tcPr>
          <w:p>
            <w:pPr>
              <w:pStyle w:val="0"/>
            </w:pPr>
            <w:r>
              <w:rPr>
                <w:sz w:val="20"/>
              </w:rPr>
              <w:t xml:space="preserve">+9,0</w:t>
            </w:r>
          </w:p>
        </w:tc>
      </w:tr>
      <w:tr>
        <w:tc>
          <w:tcPr>
            <w:tcW w:w="4139" w:type="dxa"/>
          </w:tcPr>
          <w:p>
            <w:pPr>
              <w:pStyle w:val="0"/>
            </w:pPr>
            <w:r>
              <w:rPr>
                <w:sz w:val="20"/>
              </w:rPr>
              <w:t xml:space="preserve">Урай</w:t>
            </w:r>
          </w:p>
        </w:tc>
        <w:tc>
          <w:tcPr>
            <w:tcW w:w="1474" w:type="dxa"/>
          </w:tcPr>
          <w:p>
            <w:pPr>
              <w:pStyle w:val="0"/>
            </w:pPr>
            <w:r>
              <w:rPr>
                <w:sz w:val="20"/>
              </w:rPr>
              <w:t xml:space="preserve">15215,5</w:t>
            </w:r>
          </w:p>
        </w:tc>
        <w:tc>
          <w:tcPr>
            <w:tcW w:w="1304" w:type="dxa"/>
          </w:tcPr>
          <w:p>
            <w:pPr>
              <w:pStyle w:val="0"/>
            </w:pPr>
            <w:r>
              <w:rPr>
                <w:sz w:val="20"/>
              </w:rPr>
              <w:t xml:space="preserve">16523,0</w:t>
            </w:r>
          </w:p>
        </w:tc>
        <w:tc>
          <w:tcPr>
            <w:tcW w:w="1701" w:type="dxa"/>
          </w:tcPr>
          <w:p>
            <w:pPr>
              <w:pStyle w:val="0"/>
            </w:pPr>
            <w:r>
              <w:rPr>
                <w:sz w:val="20"/>
              </w:rPr>
              <w:t xml:space="preserve">+8,6</w:t>
            </w:r>
          </w:p>
        </w:tc>
      </w:tr>
      <w:tr>
        <w:tc>
          <w:tcPr>
            <w:tcW w:w="4139" w:type="dxa"/>
          </w:tcPr>
          <w:p>
            <w:pPr>
              <w:pStyle w:val="0"/>
            </w:pPr>
            <w:r>
              <w:rPr>
                <w:sz w:val="20"/>
              </w:rPr>
              <w:t xml:space="preserve">Югорск</w:t>
            </w:r>
          </w:p>
        </w:tc>
        <w:tc>
          <w:tcPr>
            <w:tcW w:w="1474" w:type="dxa"/>
          </w:tcPr>
          <w:p>
            <w:pPr>
              <w:pStyle w:val="0"/>
            </w:pPr>
            <w:r>
              <w:rPr>
                <w:sz w:val="20"/>
              </w:rPr>
              <w:t xml:space="preserve">21597,8</w:t>
            </w:r>
          </w:p>
        </w:tc>
        <w:tc>
          <w:tcPr>
            <w:tcW w:w="1304" w:type="dxa"/>
          </w:tcPr>
          <w:p>
            <w:pPr>
              <w:pStyle w:val="0"/>
            </w:pPr>
            <w:r>
              <w:rPr>
                <w:sz w:val="20"/>
              </w:rPr>
              <w:t xml:space="preserve">21965,8</w:t>
            </w:r>
          </w:p>
        </w:tc>
        <w:tc>
          <w:tcPr>
            <w:tcW w:w="1701" w:type="dxa"/>
          </w:tcPr>
          <w:p>
            <w:pPr>
              <w:pStyle w:val="0"/>
            </w:pPr>
            <w:r>
              <w:rPr>
                <w:sz w:val="20"/>
              </w:rPr>
              <w:t xml:space="preserve">+1,7</w:t>
            </w:r>
          </w:p>
        </w:tc>
      </w:tr>
      <w:tr>
        <w:tc>
          <w:tcPr>
            <w:tcW w:w="4139" w:type="dxa"/>
          </w:tcPr>
          <w:p>
            <w:pPr>
              <w:pStyle w:val="0"/>
            </w:pPr>
            <w:r>
              <w:rPr>
                <w:sz w:val="20"/>
              </w:rPr>
              <w:t xml:space="preserve">Белоярский</w:t>
            </w:r>
          </w:p>
        </w:tc>
        <w:tc>
          <w:tcPr>
            <w:tcW w:w="1474" w:type="dxa"/>
          </w:tcPr>
          <w:p>
            <w:pPr>
              <w:pStyle w:val="0"/>
            </w:pPr>
            <w:r>
              <w:rPr>
                <w:sz w:val="20"/>
              </w:rPr>
              <w:t xml:space="preserve">15059,4</w:t>
            </w:r>
          </w:p>
        </w:tc>
        <w:tc>
          <w:tcPr>
            <w:tcW w:w="1304" w:type="dxa"/>
          </w:tcPr>
          <w:p>
            <w:pPr>
              <w:pStyle w:val="0"/>
            </w:pPr>
            <w:r>
              <w:rPr>
                <w:sz w:val="20"/>
              </w:rPr>
              <w:t xml:space="preserve">16052,7</w:t>
            </w:r>
          </w:p>
        </w:tc>
        <w:tc>
          <w:tcPr>
            <w:tcW w:w="1701" w:type="dxa"/>
          </w:tcPr>
          <w:p>
            <w:pPr>
              <w:pStyle w:val="0"/>
            </w:pPr>
            <w:r>
              <w:rPr>
                <w:sz w:val="20"/>
              </w:rPr>
              <w:t xml:space="preserve">+6,6</w:t>
            </w:r>
          </w:p>
        </w:tc>
      </w:tr>
      <w:tr>
        <w:tc>
          <w:tcPr>
            <w:tcW w:w="4139" w:type="dxa"/>
          </w:tcPr>
          <w:p>
            <w:pPr>
              <w:pStyle w:val="0"/>
            </w:pPr>
            <w:r>
              <w:rPr>
                <w:sz w:val="20"/>
              </w:rPr>
              <w:t xml:space="preserve">Березовский</w:t>
            </w:r>
          </w:p>
        </w:tc>
        <w:tc>
          <w:tcPr>
            <w:tcW w:w="1474" w:type="dxa"/>
          </w:tcPr>
          <w:p>
            <w:pPr>
              <w:pStyle w:val="0"/>
            </w:pPr>
            <w:r>
              <w:rPr>
                <w:sz w:val="20"/>
              </w:rPr>
              <w:t xml:space="preserve">29070,3</w:t>
            </w:r>
          </w:p>
        </w:tc>
        <w:tc>
          <w:tcPr>
            <w:tcW w:w="1304" w:type="dxa"/>
          </w:tcPr>
          <w:p>
            <w:pPr>
              <w:pStyle w:val="0"/>
            </w:pPr>
            <w:r>
              <w:rPr>
                <w:sz w:val="20"/>
              </w:rPr>
              <w:t xml:space="preserve">24391,8</w:t>
            </w:r>
          </w:p>
        </w:tc>
        <w:tc>
          <w:tcPr>
            <w:tcW w:w="1701" w:type="dxa"/>
          </w:tcPr>
          <w:p>
            <w:pPr>
              <w:pStyle w:val="0"/>
            </w:pPr>
            <w:r>
              <w:rPr>
                <w:sz w:val="20"/>
              </w:rPr>
              <w:t xml:space="preserve">-16,1</w:t>
            </w:r>
          </w:p>
        </w:tc>
      </w:tr>
      <w:tr>
        <w:tc>
          <w:tcPr>
            <w:tcW w:w="4139" w:type="dxa"/>
          </w:tcPr>
          <w:p>
            <w:pPr>
              <w:pStyle w:val="0"/>
            </w:pPr>
            <w:r>
              <w:rPr>
                <w:sz w:val="20"/>
              </w:rPr>
              <w:t xml:space="preserve">Кондинский</w:t>
            </w:r>
          </w:p>
        </w:tc>
        <w:tc>
          <w:tcPr>
            <w:tcW w:w="1474" w:type="dxa"/>
          </w:tcPr>
          <w:p>
            <w:pPr>
              <w:pStyle w:val="0"/>
            </w:pPr>
            <w:r>
              <w:rPr>
                <w:sz w:val="20"/>
              </w:rPr>
              <w:t xml:space="preserve">25079,9</w:t>
            </w:r>
          </w:p>
        </w:tc>
        <w:tc>
          <w:tcPr>
            <w:tcW w:w="1304" w:type="dxa"/>
          </w:tcPr>
          <w:p>
            <w:pPr>
              <w:pStyle w:val="0"/>
            </w:pPr>
            <w:r>
              <w:rPr>
                <w:sz w:val="20"/>
              </w:rPr>
              <w:t xml:space="preserve">24163,5</w:t>
            </w:r>
          </w:p>
        </w:tc>
        <w:tc>
          <w:tcPr>
            <w:tcW w:w="1701" w:type="dxa"/>
          </w:tcPr>
          <w:p>
            <w:pPr>
              <w:pStyle w:val="0"/>
            </w:pPr>
            <w:r>
              <w:rPr>
                <w:sz w:val="20"/>
              </w:rPr>
              <w:t xml:space="preserve">-3,7</w:t>
            </w:r>
          </w:p>
        </w:tc>
      </w:tr>
      <w:tr>
        <w:tc>
          <w:tcPr>
            <w:tcW w:w="4139" w:type="dxa"/>
          </w:tcPr>
          <w:p>
            <w:pPr>
              <w:pStyle w:val="0"/>
            </w:pPr>
            <w:r>
              <w:rPr>
                <w:sz w:val="20"/>
              </w:rPr>
              <w:t xml:space="preserve">Нефтеюганский</w:t>
            </w:r>
          </w:p>
        </w:tc>
        <w:tc>
          <w:tcPr>
            <w:tcW w:w="1474" w:type="dxa"/>
          </w:tcPr>
          <w:p>
            <w:pPr>
              <w:pStyle w:val="0"/>
            </w:pPr>
            <w:r>
              <w:rPr>
                <w:sz w:val="20"/>
              </w:rPr>
              <w:t xml:space="preserve">14413,5</w:t>
            </w:r>
          </w:p>
        </w:tc>
        <w:tc>
          <w:tcPr>
            <w:tcW w:w="1304" w:type="dxa"/>
          </w:tcPr>
          <w:p>
            <w:pPr>
              <w:pStyle w:val="0"/>
            </w:pPr>
            <w:r>
              <w:rPr>
                <w:sz w:val="20"/>
              </w:rPr>
              <w:t xml:space="preserve">15266,1</w:t>
            </w:r>
          </w:p>
        </w:tc>
        <w:tc>
          <w:tcPr>
            <w:tcW w:w="1701" w:type="dxa"/>
          </w:tcPr>
          <w:p>
            <w:pPr>
              <w:pStyle w:val="0"/>
            </w:pPr>
            <w:r>
              <w:rPr>
                <w:sz w:val="20"/>
              </w:rPr>
              <w:t xml:space="preserve">+5,9</w:t>
            </w:r>
          </w:p>
        </w:tc>
      </w:tr>
      <w:tr>
        <w:tc>
          <w:tcPr>
            <w:tcW w:w="4139" w:type="dxa"/>
          </w:tcPr>
          <w:p>
            <w:pPr>
              <w:pStyle w:val="0"/>
            </w:pPr>
            <w:r>
              <w:rPr>
                <w:sz w:val="20"/>
              </w:rPr>
              <w:t xml:space="preserve">Нижневартовский</w:t>
            </w:r>
          </w:p>
        </w:tc>
        <w:tc>
          <w:tcPr>
            <w:tcW w:w="1474" w:type="dxa"/>
          </w:tcPr>
          <w:p>
            <w:pPr>
              <w:pStyle w:val="0"/>
            </w:pPr>
            <w:r>
              <w:rPr>
                <w:sz w:val="20"/>
              </w:rPr>
              <w:t xml:space="preserve">23339,5</w:t>
            </w:r>
          </w:p>
        </w:tc>
        <w:tc>
          <w:tcPr>
            <w:tcW w:w="1304" w:type="dxa"/>
          </w:tcPr>
          <w:p>
            <w:pPr>
              <w:pStyle w:val="0"/>
            </w:pPr>
            <w:r>
              <w:rPr>
                <w:sz w:val="20"/>
              </w:rPr>
              <w:t xml:space="preserve">25113,6</w:t>
            </w:r>
          </w:p>
        </w:tc>
        <w:tc>
          <w:tcPr>
            <w:tcW w:w="1701" w:type="dxa"/>
          </w:tcPr>
          <w:p>
            <w:pPr>
              <w:pStyle w:val="0"/>
            </w:pPr>
            <w:r>
              <w:rPr>
                <w:sz w:val="20"/>
              </w:rPr>
              <w:t xml:space="preserve">+7,6</w:t>
            </w:r>
          </w:p>
        </w:tc>
      </w:tr>
      <w:tr>
        <w:tc>
          <w:tcPr>
            <w:tcW w:w="4139" w:type="dxa"/>
          </w:tcPr>
          <w:p>
            <w:pPr>
              <w:pStyle w:val="0"/>
            </w:pPr>
            <w:r>
              <w:rPr>
                <w:sz w:val="20"/>
              </w:rPr>
              <w:t xml:space="preserve">Октябрьский</w:t>
            </w:r>
          </w:p>
        </w:tc>
        <w:tc>
          <w:tcPr>
            <w:tcW w:w="1474" w:type="dxa"/>
          </w:tcPr>
          <w:p>
            <w:pPr>
              <w:pStyle w:val="0"/>
            </w:pPr>
            <w:r>
              <w:rPr>
                <w:sz w:val="20"/>
              </w:rPr>
              <w:t xml:space="preserve">16608,7</w:t>
            </w:r>
          </w:p>
        </w:tc>
        <w:tc>
          <w:tcPr>
            <w:tcW w:w="1304" w:type="dxa"/>
          </w:tcPr>
          <w:p>
            <w:pPr>
              <w:pStyle w:val="0"/>
            </w:pPr>
            <w:r>
              <w:rPr>
                <w:sz w:val="20"/>
              </w:rPr>
              <w:t xml:space="preserve">23722,0</w:t>
            </w:r>
          </w:p>
        </w:tc>
        <w:tc>
          <w:tcPr>
            <w:tcW w:w="1701" w:type="dxa"/>
          </w:tcPr>
          <w:p>
            <w:pPr>
              <w:pStyle w:val="0"/>
            </w:pPr>
            <w:r>
              <w:rPr>
                <w:sz w:val="20"/>
              </w:rPr>
              <w:t xml:space="preserve">+42,8</w:t>
            </w:r>
          </w:p>
        </w:tc>
      </w:tr>
      <w:tr>
        <w:tc>
          <w:tcPr>
            <w:tcW w:w="4139" w:type="dxa"/>
          </w:tcPr>
          <w:p>
            <w:pPr>
              <w:pStyle w:val="0"/>
            </w:pPr>
            <w:r>
              <w:rPr>
                <w:sz w:val="20"/>
              </w:rPr>
              <w:t xml:space="preserve">Советский</w:t>
            </w:r>
          </w:p>
        </w:tc>
        <w:tc>
          <w:tcPr>
            <w:tcW w:w="1474" w:type="dxa"/>
          </w:tcPr>
          <w:p>
            <w:pPr>
              <w:pStyle w:val="0"/>
            </w:pPr>
            <w:r>
              <w:rPr>
                <w:sz w:val="20"/>
              </w:rPr>
              <w:t xml:space="preserve">29615,0</w:t>
            </w:r>
          </w:p>
        </w:tc>
        <w:tc>
          <w:tcPr>
            <w:tcW w:w="1304" w:type="dxa"/>
          </w:tcPr>
          <w:p>
            <w:pPr>
              <w:pStyle w:val="0"/>
            </w:pPr>
            <w:r>
              <w:rPr>
                <w:sz w:val="20"/>
              </w:rPr>
              <w:t xml:space="preserve">30869,7</w:t>
            </w:r>
          </w:p>
        </w:tc>
        <w:tc>
          <w:tcPr>
            <w:tcW w:w="1701" w:type="dxa"/>
          </w:tcPr>
          <w:p>
            <w:pPr>
              <w:pStyle w:val="0"/>
            </w:pPr>
            <w:r>
              <w:rPr>
                <w:sz w:val="20"/>
              </w:rPr>
              <w:t xml:space="preserve">+4,2</w:t>
            </w:r>
          </w:p>
        </w:tc>
      </w:tr>
      <w:tr>
        <w:tc>
          <w:tcPr>
            <w:tcW w:w="4139" w:type="dxa"/>
          </w:tcPr>
          <w:p>
            <w:pPr>
              <w:pStyle w:val="0"/>
            </w:pPr>
            <w:r>
              <w:rPr>
                <w:sz w:val="20"/>
              </w:rPr>
              <w:t xml:space="preserve">Сургутский</w:t>
            </w:r>
          </w:p>
        </w:tc>
        <w:tc>
          <w:tcPr>
            <w:tcW w:w="1474" w:type="dxa"/>
          </w:tcPr>
          <w:p>
            <w:pPr>
              <w:pStyle w:val="0"/>
            </w:pPr>
            <w:r>
              <w:rPr>
                <w:sz w:val="20"/>
              </w:rPr>
              <w:t xml:space="preserve">12746,3</w:t>
            </w:r>
          </w:p>
        </w:tc>
        <w:tc>
          <w:tcPr>
            <w:tcW w:w="1304" w:type="dxa"/>
          </w:tcPr>
          <w:p>
            <w:pPr>
              <w:pStyle w:val="0"/>
            </w:pPr>
            <w:r>
              <w:rPr>
                <w:sz w:val="20"/>
              </w:rPr>
              <w:t xml:space="preserve">14488,0</w:t>
            </w:r>
          </w:p>
        </w:tc>
        <w:tc>
          <w:tcPr>
            <w:tcW w:w="1701" w:type="dxa"/>
          </w:tcPr>
          <w:p>
            <w:pPr>
              <w:pStyle w:val="0"/>
            </w:pPr>
            <w:r>
              <w:rPr>
                <w:sz w:val="20"/>
              </w:rPr>
              <w:t xml:space="preserve">+13,7</w:t>
            </w:r>
          </w:p>
        </w:tc>
      </w:tr>
      <w:tr>
        <w:tc>
          <w:tcPr>
            <w:tcW w:w="4139" w:type="dxa"/>
          </w:tcPr>
          <w:p>
            <w:pPr>
              <w:pStyle w:val="0"/>
            </w:pPr>
            <w:r>
              <w:rPr>
                <w:sz w:val="20"/>
              </w:rPr>
              <w:t xml:space="preserve">Ханты-Мансийский</w:t>
            </w:r>
          </w:p>
        </w:tc>
        <w:tc>
          <w:tcPr>
            <w:tcW w:w="1474" w:type="dxa"/>
          </w:tcPr>
          <w:p>
            <w:pPr>
              <w:pStyle w:val="0"/>
            </w:pPr>
            <w:r>
              <w:rPr>
                <w:sz w:val="20"/>
              </w:rPr>
              <w:t xml:space="preserve">22821,1</w:t>
            </w:r>
          </w:p>
        </w:tc>
        <w:tc>
          <w:tcPr>
            <w:tcW w:w="1304" w:type="dxa"/>
          </w:tcPr>
          <w:p>
            <w:pPr>
              <w:pStyle w:val="0"/>
            </w:pPr>
            <w:r>
              <w:rPr>
                <w:sz w:val="20"/>
              </w:rPr>
              <w:t xml:space="preserve">24885,9</w:t>
            </w:r>
          </w:p>
        </w:tc>
        <w:tc>
          <w:tcPr>
            <w:tcW w:w="1701" w:type="dxa"/>
          </w:tcPr>
          <w:p>
            <w:pPr>
              <w:pStyle w:val="0"/>
            </w:pPr>
            <w:r>
              <w:rPr>
                <w:sz w:val="20"/>
              </w:rPr>
              <w:t xml:space="preserve">9,0</w:t>
            </w:r>
          </w:p>
        </w:tc>
      </w:tr>
    </w:tbl>
    <w:p>
      <w:pPr>
        <w:pStyle w:val="0"/>
        <w:ind w:firstLine="540"/>
        <w:jc w:val="both"/>
      </w:pPr>
      <w:r>
        <w:rPr>
          <w:sz w:val="20"/>
        </w:rPr>
      </w:r>
    </w:p>
    <w:p>
      <w:pPr>
        <w:pStyle w:val="0"/>
        <w:ind w:firstLine="540"/>
        <w:jc w:val="both"/>
      </w:pPr>
      <w:r>
        <w:rPr>
          <w:sz w:val="20"/>
        </w:rPr>
        <w:t xml:space="preserve">В ряде муниципальных образований общая заболеваемость ниже среднеокружной: в Белоярском, Нефтеюганском, Сургутском муниципальных районах, а также в городских округах Когалым, Мегион, Нефтеюганск, Покачи, Радужный, Урай. Это неблагоприятный фактор: пациенты реже обращаются за медицинской помощью.</w:t>
      </w:r>
    </w:p>
    <w:p>
      <w:pPr>
        <w:pStyle w:val="0"/>
        <w:spacing w:before="200" w:line-rule="auto"/>
        <w:ind w:firstLine="540"/>
        <w:jc w:val="both"/>
      </w:pPr>
      <w:r>
        <w:rPr>
          <w:sz w:val="20"/>
        </w:rPr>
        <w:t xml:space="preserve">Наиболее высокий рост общей заболеваемости отмечается в городских округах Лангепас, Пыть-Ях, Мегион, Октябрьском муниципальном районе. Значительное снижение общей заболеваемости отмечается в Березовском муниципальном районе, городском округе Когалым.</w:t>
      </w:r>
    </w:p>
    <w:p>
      <w:pPr>
        <w:pStyle w:val="0"/>
        <w:jc w:val="right"/>
      </w:pPr>
      <w:r>
        <w:rPr>
          <w:sz w:val="20"/>
        </w:rPr>
      </w:r>
    </w:p>
    <w:p>
      <w:pPr>
        <w:pStyle w:val="0"/>
        <w:jc w:val="right"/>
      </w:pPr>
      <w:r>
        <w:rPr>
          <w:sz w:val="20"/>
        </w:rPr>
        <w:t xml:space="preserve">Таблица 11</w:t>
      </w:r>
    </w:p>
    <w:p>
      <w:pPr>
        <w:pStyle w:val="0"/>
        <w:jc w:val="right"/>
      </w:pPr>
      <w:r>
        <w:rPr>
          <w:sz w:val="20"/>
        </w:rPr>
      </w:r>
    </w:p>
    <w:p>
      <w:pPr>
        <w:pStyle w:val="0"/>
        <w:jc w:val="center"/>
      </w:pPr>
      <w:r>
        <w:rPr>
          <w:sz w:val="20"/>
        </w:rPr>
        <w:t xml:space="preserve">Первичная заболеваемость БСК в разрезе муниципальных</w:t>
      </w:r>
    </w:p>
    <w:p>
      <w:pPr>
        <w:pStyle w:val="0"/>
        <w:jc w:val="center"/>
      </w:pPr>
      <w:r>
        <w:rPr>
          <w:sz w:val="20"/>
        </w:rPr>
        <w:t xml:space="preserve">образований автономного округа за 2021 - 2022 годах (на 100</w:t>
      </w:r>
    </w:p>
    <w:p>
      <w:pPr>
        <w:pStyle w:val="0"/>
        <w:jc w:val="center"/>
      </w:pPr>
      <w:r>
        <w:rPr>
          <w:sz w:val="20"/>
        </w:rPr>
        <w:t xml:space="preserve">тыс. населения)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1304"/>
        <w:gridCol w:w="1474"/>
        <w:gridCol w:w="1814"/>
      </w:tblGrid>
      <w:tr>
        <w:tc>
          <w:tcPr>
            <w:tcW w:w="3685" w:type="dxa"/>
          </w:tcPr>
          <w:p>
            <w:pPr>
              <w:pStyle w:val="0"/>
              <w:jc w:val="center"/>
            </w:pPr>
            <w:r>
              <w:rPr>
                <w:sz w:val="20"/>
              </w:rPr>
              <w:t xml:space="preserve">Наименование городских округов, муниципальных районов</w:t>
            </w:r>
          </w:p>
        </w:tc>
        <w:tc>
          <w:tcPr>
            <w:tcW w:w="1304" w:type="dxa"/>
          </w:tcPr>
          <w:p>
            <w:pPr>
              <w:pStyle w:val="0"/>
              <w:jc w:val="center"/>
            </w:pPr>
            <w:r>
              <w:rPr>
                <w:sz w:val="20"/>
              </w:rPr>
              <w:t xml:space="preserve">2021 г.</w:t>
            </w:r>
          </w:p>
        </w:tc>
        <w:tc>
          <w:tcPr>
            <w:tcW w:w="1474" w:type="dxa"/>
          </w:tcPr>
          <w:p>
            <w:pPr>
              <w:pStyle w:val="0"/>
              <w:jc w:val="center"/>
            </w:pPr>
            <w:r>
              <w:rPr>
                <w:sz w:val="20"/>
              </w:rPr>
              <w:t xml:space="preserve">2022 г.</w:t>
            </w:r>
          </w:p>
        </w:tc>
        <w:tc>
          <w:tcPr>
            <w:tcW w:w="1814" w:type="dxa"/>
          </w:tcPr>
          <w:p>
            <w:pPr>
              <w:pStyle w:val="0"/>
              <w:jc w:val="center"/>
            </w:pPr>
            <w:r>
              <w:rPr>
                <w:sz w:val="20"/>
              </w:rPr>
              <w:t xml:space="preserve">Динамика 2022/2021</w:t>
            </w:r>
          </w:p>
        </w:tc>
      </w:tr>
      <w:tr>
        <w:tc>
          <w:tcPr>
            <w:tcW w:w="3685" w:type="dxa"/>
          </w:tcPr>
          <w:p>
            <w:pPr>
              <w:pStyle w:val="0"/>
            </w:pPr>
            <w:r>
              <w:rPr>
                <w:sz w:val="20"/>
              </w:rPr>
              <w:t xml:space="preserve">Автономный округ в целом</w:t>
            </w:r>
          </w:p>
        </w:tc>
        <w:tc>
          <w:tcPr>
            <w:tcW w:w="1304" w:type="dxa"/>
          </w:tcPr>
          <w:p>
            <w:pPr>
              <w:pStyle w:val="0"/>
            </w:pPr>
            <w:r>
              <w:rPr>
                <w:sz w:val="20"/>
              </w:rPr>
              <w:t xml:space="preserve">1928,2</w:t>
            </w:r>
          </w:p>
        </w:tc>
        <w:tc>
          <w:tcPr>
            <w:tcW w:w="1474" w:type="dxa"/>
          </w:tcPr>
          <w:p>
            <w:pPr>
              <w:pStyle w:val="0"/>
            </w:pPr>
            <w:r>
              <w:rPr>
                <w:sz w:val="20"/>
              </w:rPr>
              <w:t xml:space="preserve">2106,2</w:t>
            </w:r>
          </w:p>
        </w:tc>
        <w:tc>
          <w:tcPr>
            <w:tcW w:w="1814" w:type="dxa"/>
          </w:tcPr>
          <w:p>
            <w:pPr>
              <w:pStyle w:val="0"/>
            </w:pPr>
            <w:r>
              <w:rPr>
                <w:sz w:val="20"/>
              </w:rPr>
              <w:t xml:space="preserve">+9,2</w:t>
            </w:r>
          </w:p>
        </w:tc>
      </w:tr>
      <w:tr>
        <w:tc>
          <w:tcPr>
            <w:tcW w:w="3685" w:type="dxa"/>
          </w:tcPr>
          <w:p>
            <w:pPr>
              <w:pStyle w:val="0"/>
            </w:pPr>
            <w:r>
              <w:rPr>
                <w:sz w:val="20"/>
              </w:rPr>
              <w:t xml:space="preserve">Ханты-Мансийск</w:t>
            </w:r>
          </w:p>
        </w:tc>
        <w:tc>
          <w:tcPr>
            <w:tcW w:w="1304" w:type="dxa"/>
          </w:tcPr>
          <w:p>
            <w:pPr>
              <w:pStyle w:val="0"/>
            </w:pPr>
            <w:r>
              <w:rPr>
                <w:sz w:val="20"/>
              </w:rPr>
              <w:t xml:space="preserve">1442,5</w:t>
            </w:r>
          </w:p>
        </w:tc>
        <w:tc>
          <w:tcPr>
            <w:tcW w:w="1474" w:type="dxa"/>
          </w:tcPr>
          <w:p>
            <w:pPr>
              <w:pStyle w:val="0"/>
            </w:pPr>
            <w:r>
              <w:rPr>
                <w:sz w:val="20"/>
              </w:rPr>
              <w:t xml:space="preserve">1732,2</w:t>
            </w:r>
          </w:p>
        </w:tc>
        <w:tc>
          <w:tcPr>
            <w:tcW w:w="1814" w:type="dxa"/>
          </w:tcPr>
          <w:p>
            <w:pPr>
              <w:pStyle w:val="0"/>
            </w:pPr>
            <w:r>
              <w:rPr>
                <w:sz w:val="20"/>
              </w:rPr>
              <w:t xml:space="preserve">+20,1</w:t>
            </w:r>
          </w:p>
        </w:tc>
      </w:tr>
      <w:tr>
        <w:tc>
          <w:tcPr>
            <w:tcW w:w="3685" w:type="dxa"/>
          </w:tcPr>
          <w:p>
            <w:pPr>
              <w:pStyle w:val="0"/>
            </w:pPr>
            <w:r>
              <w:rPr>
                <w:sz w:val="20"/>
              </w:rPr>
              <w:t xml:space="preserve">Когалым</w:t>
            </w:r>
          </w:p>
        </w:tc>
        <w:tc>
          <w:tcPr>
            <w:tcW w:w="1304" w:type="dxa"/>
          </w:tcPr>
          <w:p>
            <w:pPr>
              <w:pStyle w:val="0"/>
            </w:pPr>
            <w:r>
              <w:rPr>
                <w:sz w:val="20"/>
              </w:rPr>
              <w:t xml:space="preserve">1190,1</w:t>
            </w:r>
          </w:p>
        </w:tc>
        <w:tc>
          <w:tcPr>
            <w:tcW w:w="1474" w:type="dxa"/>
          </w:tcPr>
          <w:p>
            <w:pPr>
              <w:pStyle w:val="0"/>
            </w:pPr>
            <w:r>
              <w:rPr>
                <w:sz w:val="20"/>
              </w:rPr>
              <w:t xml:space="preserve">1433,6</w:t>
            </w:r>
          </w:p>
        </w:tc>
        <w:tc>
          <w:tcPr>
            <w:tcW w:w="1814" w:type="dxa"/>
          </w:tcPr>
          <w:p>
            <w:pPr>
              <w:pStyle w:val="0"/>
            </w:pPr>
            <w:r>
              <w:rPr>
                <w:sz w:val="20"/>
              </w:rPr>
              <w:t xml:space="preserve">+20,5</w:t>
            </w:r>
          </w:p>
        </w:tc>
      </w:tr>
      <w:tr>
        <w:tc>
          <w:tcPr>
            <w:tcW w:w="3685" w:type="dxa"/>
          </w:tcPr>
          <w:p>
            <w:pPr>
              <w:pStyle w:val="0"/>
            </w:pPr>
            <w:r>
              <w:rPr>
                <w:sz w:val="20"/>
              </w:rPr>
              <w:t xml:space="preserve">Лангепас</w:t>
            </w:r>
          </w:p>
        </w:tc>
        <w:tc>
          <w:tcPr>
            <w:tcW w:w="1304" w:type="dxa"/>
          </w:tcPr>
          <w:p>
            <w:pPr>
              <w:pStyle w:val="0"/>
            </w:pPr>
            <w:r>
              <w:rPr>
                <w:sz w:val="20"/>
              </w:rPr>
              <w:t xml:space="preserve">1241,5</w:t>
            </w:r>
          </w:p>
        </w:tc>
        <w:tc>
          <w:tcPr>
            <w:tcW w:w="1474" w:type="dxa"/>
          </w:tcPr>
          <w:p>
            <w:pPr>
              <w:pStyle w:val="0"/>
            </w:pPr>
            <w:r>
              <w:rPr>
                <w:sz w:val="20"/>
              </w:rPr>
              <w:t xml:space="preserve">2009,8</w:t>
            </w:r>
          </w:p>
        </w:tc>
        <w:tc>
          <w:tcPr>
            <w:tcW w:w="1814" w:type="dxa"/>
          </w:tcPr>
          <w:p>
            <w:pPr>
              <w:pStyle w:val="0"/>
            </w:pPr>
            <w:r>
              <w:rPr>
                <w:sz w:val="20"/>
              </w:rPr>
              <w:t xml:space="preserve">+61,9</w:t>
            </w:r>
          </w:p>
        </w:tc>
      </w:tr>
      <w:tr>
        <w:tc>
          <w:tcPr>
            <w:tcW w:w="3685" w:type="dxa"/>
          </w:tcPr>
          <w:p>
            <w:pPr>
              <w:pStyle w:val="0"/>
            </w:pPr>
            <w:r>
              <w:rPr>
                <w:sz w:val="20"/>
              </w:rPr>
              <w:t xml:space="preserve">Мегион</w:t>
            </w:r>
          </w:p>
        </w:tc>
        <w:tc>
          <w:tcPr>
            <w:tcW w:w="1304" w:type="dxa"/>
          </w:tcPr>
          <w:p>
            <w:pPr>
              <w:pStyle w:val="0"/>
            </w:pPr>
            <w:r>
              <w:rPr>
                <w:sz w:val="20"/>
              </w:rPr>
              <w:t xml:space="preserve">1518,7</w:t>
            </w:r>
          </w:p>
        </w:tc>
        <w:tc>
          <w:tcPr>
            <w:tcW w:w="1474" w:type="dxa"/>
          </w:tcPr>
          <w:p>
            <w:pPr>
              <w:pStyle w:val="0"/>
            </w:pPr>
            <w:r>
              <w:rPr>
                <w:sz w:val="20"/>
              </w:rPr>
              <w:t xml:space="preserve">1547,1</w:t>
            </w:r>
          </w:p>
        </w:tc>
        <w:tc>
          <w:tcPr>
            <w:tcW w:w="1814" w:type="dxa"/>
          </w:tcPr>
          <w:p>
            <w:pPr>
              <w:pStyle w:val="0"/>
            </w:pPr>
            <w:r>
              <w:rPr>
                <w:sz w:val="20"/>
              </w:rPr>
              <w:t xml:space="preserve">+1,9</w:t>
            </w:r>
          </w:p>
        </w:tc>
      </w:tr>
      <w:tr>
        <w:tc>
          <w:tcPr>
            <w:tcW w:w="3685" w:type="dxa"/>
          </w:tcPr>
          <w:p>
            <w:pPr>
              <w:pStyle w:val="0"/>
            </w:pPr>
            <w:r>
              <w:rPr>
                <w:sz w:val="20"/>
              </w:rPr>
              <w:t xml:space="preserve">Нефтеюганск</w:t>
            </w:r>
          </w:p>
        </w:tc>
        <w:tc>
          <w:tcPr>
            <w:tcW w:w="1304" w:type="dxa"/>
          </w:tcPr>
          <w:p>
            <w:pPr>
              <w:pStyle w:val="0"/>
            </w:pPr>
            <w:r>
              <w:rPr>
                <w:sz w:val="20"/>
              </w:rPr>
              <w:t xml:space="preserve">683,1</w:t>
            </w:r>
          </w:p>
        </w:tc>
        <w:tc>
          <w:tcPr>
            <w:tcW w:w="1474" w:type="dxa"/>
          </w:tcPr>
          <w:p>
            <w:pPr>
              <w:pStyle w:val="0"/>
            </w:pPr>
            <w:r>
              <w:rPr>
                <w:sz w:val="20"/>
              </w:rPr>
              <w:t xml:space="preserve">959,7</w:t>
            </w:r>
          </w:p>
        </w:tc>
        <w:tc>
          <w:tcPr>
            <w:tcW w:w="1814" w:type="dxa"/>
          </w:tcPr>
          <w:p>
            <w:pPr>
              <w:pStyle w:val="0"/>
            </w:pPr>
            <w:r>
              <w:rPr>
                <w:sz w:val="20"/>
              </w:rPr>
              <w:t xml:space="preserve">+40,5</w:t>
            </w:r>
          </w:p>
        </w:tc>
      </w:tr>
      <w:tr>
        <w:tc>
          <w:tcPr>
            <w:tcW w:w="3685" w:type="dxa"/>
          </w:tcPr>
          <w:p>
            <w:pPr>
              <w:pStyle w:val="0"/>
            </w:pPr>
            <w:r>
              <w:rPr>
                <w:sz w:val="20"/>
              </w:rPr>
              <w:t xml:space="preserve">Нижневартовск</w:t>
            </w:r>
          </w:p>
        </w:tc>
        <w:tc>
          <w:tcPr>
            <w:tcW w:w="1304" w:type="dxa"/>
          </w:tcPr>
          <w:p>
            <w:pPr>
              <w:pStyle w:val="0"/>
            </w:pPr>
            <w:r>
              <w:rPr>
                <w:sz w:val="20"/>
              </w:rPr>
              <w:t xml:space="preserve">2262,2</w:t>
            </w:r>
          </w:p>
        </w:tc>
        <w:tc>
          <w:tcPr>
            <w:tcW w:w="1474" w:type="dxa"/>
          </w:tcPr>
          <w:p>
            <w:pPr>
              <w:pStyle w:val="0"/>
            </w:pPr>
            <w:r>
              <w:rPr>
                <w:sz w:val="20"/>
              </w:rPr>
              <w:t xml:space="preserve">1912,5</w:t>
            </w:r>
          </w:p>
        </w:tc>
        <w:tc>
          <w:tcPr>
            <w:tcW w:w="1814" w:type="dxa"/>
          </w:tcPr>
          <w:p>
            <w:pPr>
              <w:pStyle w:val="0"/>
            </w:pPr>
            <w:r>
              <w:rPr>
                <w:sz w:val="20"/>
              </w:rPr>
              <w:t xml:space="preserve">-15,5</w:t>
            </w:r>
          </w:p>
        </w:tc>
      </w:tr>
      <w:tr>
        <w:tc>
          <w:tcPr>
            <w:tcW w:w="3685" w:type="dxa"/>
          </w:tcPr>
          <w:p>
            <w:pPr>
              <w:pStyle w:val="0"/>
            </w:pPr>
            <w:r>
              <w:rPr>
                <w:sz w:val="20"/>
              </w:rPr>
              <w:t xml:space="preserve">Нягань</w:t>
            </w:r>
          </w:p>
        </w:tc>
        <w:tc>
          <w:tcPr>
            <w:tcW w:w="1304" w:type="dxa"/>
          </w:tcPr>
          <w:p>
            <w:pPr>
              <w:pStyle w:val="0"/>
            </w:pPr>
            <w:r>
              <w:rPr>
                <w:sz w:val="20"/>
              </w:rPr>
              <w:t xml:space="preserve">1301,8</w:t>
            </w:r>
          </w:p>
        </w:tc>
        <w:tc>
          <w:tcPr>
            <w:tcW w:w="1474" w:type="dxa"/>
          </w:tcPr>
          <w:p>
            <w:pPr>
              <w:pStyle w:val="0"/>
            </w:pPr>
            <w:r>
              <w:rPr>
                <w:sz w:val="20"/>
              </w:rPr>
              <w:t xml:space="preserve">1153,8</w:t>
            </w:r>
          </w:p>
        </w:tc>
        <w:tc>
          <w:tcPr>
            <w:tcW w:w="1814" w:type="dxa"/>
          </w:tcPr>
          <w:p>
            <w:pPr>
              <w:pStyle w:val="0"/>
            </w:pPr>
            <w:r>
              <w:rPr>
                <w:sz w:val="20"/>
              </w:rPr>
              <w:t xml:space="preserve">-11,4</w:t>
            </w:r>
          </w:p>
        </w:tc>
      </w:tr>
      <w:tr>
        <w:tc>
          <w:tcPr>
            <w:tcW w:w="3685" w:type="dxa"/>
          </w:tcPr>
          <w:p>
            <w:pPr>
              <w:pStyle w:val="0"/>
            </w:pPr>
            <w:r>
              <w:rPr>
                <w:sz w:val="20"/>
              </w:rPr>
              <w:t xml:space="preserve">Покачи</w:t>
            </w:r>
          </w:p>
        </w:tc>
        <w:tc>
          <w:tcPr>
            <w:tcW w:w="1304" w:type="dxa"/>
          </w:tcPr>
          <w:p>
            <w:pPr>
              <w:pStyle w:val="0"/>
            </w:pPr>
            <w:r>
              <w:rPr>
                <w:sz w:val="20"/>
              </w:rPr>
              <w:t xml:space="preserve">6989,3</w:t>
            </w:r>
          </w:p>
        </w:tc>
        <w:tc>
          <w:tcPr>
            <w:tcW w:w="1474" w:type="dxa"/>
          </w:tcPr>
          <w:p>
            <w:pPr>
              <w:pStyle w:val="0"/>
            </w:pPr>
            <w:r>
              <w:rPr>
                <w:sz w:val="20"/>
              </w:rPr>
              <w:t xml:space="preserve">5085,1</w:t>
            </w:r>
          </w:p>
        </w:tc>
        <w:tc>
          <w:tcPr>
            <w:tcW w:w="1814" w:type="dxa"/>
          </w:tcPr>
          <w:p>
            <w:pPr>
              <w:pStyle w:val="0"/>
            </w:pPr>
            <w:r>
              <w:rPr>
                <w:sz w:val="20"/>
              </w:rPr>
              <w:t xml:space="preserve">-27,2</w:t>
            </w:r>
          </w:p>
        </w:tc>
      </w:tr>
      <w:tr>
        <w:tc>
          <w:tcPr>
            <w:tcW w:w="3685" w:type="dxa"/>
          </w:tcPr>
          <w:p>
            <w:pPr>
              <w:pStyle w:val="0"/>
            </w:pPr>
            <w:r>
              <w:rPr>
                <w:sz w:val="20"/>
              </w:rPr>
              <w:t xml:space="preserve">Пыть-Ях</w:t>
            </w:r>
          </w:p>
        </w:tc>
        <w:tc>
          <w:tcPr>
            <w:tcW w:w="1304" w:type="dxa"/>
          </w:tcPr>
          <w:p>
            <w:pPr>
              <w:pStyle w:val="0"/>
            </w:pPr>
            <w:r>
              <w:rPr>
                <w:sz w:val="20"/>
              </w:rPr>
              <w:t xml:space="preserve">2001,7</w:t>
            </w:r>
          </w:p>
        </w:tc>
        <w:tc>
          <w:tcPr>
            <w:tcW w:w="1474" w:type="dxa"/>
          </w:tcPr>
          <w:p>
            <w:pPr>
              <w:pStyle w:val="0"/>
            </w:pPr>
            <w:r>
              <w:rPr>
                <w:sz w:val="20"/>
              </w:rPr>
              <w:t xml:space="preserve">3092,9</w:t>
            </w:r>
          </w:p>
        </w:tc>
        <w:tc>
          <w:tcPr>
            <w:tcW w:w="1814" w:type="dxa"/>
          </w:tcPr>
          <w:p>
            <w:pPr>
              <w:pStyle w:val="0"/>
            </w:pPr>
            <w:r>
              <w:rPr>
                <w:sz w:val="20"/>
              </w:rPr>
              <w:t xml:space="preserve">+54,5</w:t>
            </w:r>
          </w:p>
        </w:tc>
      </w:tr>
      <w:tr>
        <w:tc>
          <w:tcPr>
            <w:tcW w:w="3685" w:type="dxa"/>
          </w:tcPr>
          <w:p>
            <w:pPr>
              <w:pStyle w:val="0"/>
            </w:pPr>
            <w:r>
              <w:rPr>
                <w:sz w:val="20"/>
              </w:rPr>
              <w:t xml:space="preserve">Радужный</w:t>
            </w:r>
          </w:p>
        </w:tc>
        <w:tc>
          <w:tcPr>
            <w:tcW w:w="1304" w:type="dxa"/>
          </w:tcPr>
          <w:p>
            <w:pPr>
              <w:pStyle w:val="0"/>
            </w:pPr>
            <w:r>
              <w:rPr>
                <w:sz w:val="20"/>
              </w:rPr>
              <w:t xml:space="preserve">1170,2</w:t>
            </w:r>
          </w:p>
        </w:tc>
        <w:tc>
          <w:tcPr>
            <w:tcW w:w="1474" w:type="dxa"/>
          </w:tcPr>
          <w:p>
            <w:pPr>
              <w:pStyle w:val="0"/>
            </w:pPr>
            <w:r>
              <w:rPr>
                <w:sz w:val="20"/>
              </w:rPr>
              <w:t xml:space="preserve">2185,2</w:t>
            </w:r>
          </w:p>
        </w:tc>
        <w:tc>
          <w:tcPr>
            <w:tcW w:w="1814" w:type="dxa"/>
          </w:tcPr>
          <w:p>
            <w:pPr>
              <w:pStyle w:val="0"/>
            </w:pPr>
            <w:r>
              <w:rPr>
                <w:sz w:val="20"/>
              </w:rPr>
              <w:t xml:space="preserve">+86,7</w:t>
            </w:r>
          </w:p>
        </w:tc>
      </w:tr>
      <w:tr>
        <w:tc>
          <w:tcPr>
            <w:tcW w:w="3685" w:type="dxa"/>
          </w:tcPr>
          <w:p>
            <w:pPr>
              <w:pStyle w:val="0"/>
            </w:pPr>
            <w:r>
              <w:rPr>
                <w:sz w:val="20"/>
              </w:rPr>
              <w:t xml:space="preserve">Сургут</w:t>
            </w:r>
          </w:p>
        </w:tc>
        <w:tc>
          <w:tcPr>
            <w:tcW w:w="1304" w:type="dxa"/>
          </w:tcPr>
          <w:p>
            <w:pPr>
              <w:pStyle w:val="0"/>
            </w:pPr>
            <w:r>
              <w:rPr>
                <w:sz w:val="20"/>
              </w:rPr>
              <w:t xml:space="preserve">2302,6</w:t>
            </w:r>
          </w:p>
        </w:tc>
        <w:tc>
          <w:tcPr>
            <w:tcW w:w="1474" w:type="dxa"/>
          </w:tcPr>
          <w:p>
            <w:pPr>
              <w:pStyle w:val="0"/>
            </w:pPr>
            <w:r>
              <w:rPr>
                <w:sz w:val="20"/>
              </w:rPr>
              <w:t xml:space="preserve">2844,1</w:t>
            </w:r>
          </w:p>
        </w:tc>
        <w:tc>
          <w:tcPr>
            <w:tcW w:w="1814" w:type="dxa"/>
          </w:tcPr>
          <w:p>
            <w:pPr>
              <w:pStyle w:val="0"/>
            </w:pPr>
            <w:r>
              <w:rPr>
                <w:sz w:val="20"/>
              </w:rPr>
              <w:t xml:space="preserve">+23,5</w:t>
            </w:r>
          </w:p>
        </w:tc>
      </w:tr>
      <w:tr>
        <w:tc>
          <w:tcPr>
            <w:tcW w:w="3685" w:type="dxa"/>
          </w:tcPr>
          <w:p>
            <w:pPr>
              <w:pStyle w:val="0"/>
            </w:pPr>
            <w:r>
              <w:rPr>
                <w:sz w:val="20"/>
              </w:rPr>
              <w:t xml:space="preserve">Урай</w:t>
            </w:r>
          </w:p>
        </w:tc>
        <w:tc>
          <w:tcPr>
            <w:tcW w:w="1304" w:type="dxa"/>
          </w:tcPr>
          <w:p>
            <w:pPr>
              <w:pStyle w:val="0"/>
            </w:pPr>
            <w:r>
              <w:rPr>
                <w:sz w:val="20"/>
              </w:rPr>
              <w:t xml:space="preserve">1184,4</w:t>
            </w:r>
          </w:p>
        </w:tc>
        <w:tc>
          <w:tcPr>
            <w:tcW w:w="1474" w:type="dxa"/>
          </w:tcPr>
          <w:p>
            <w:pPr>
              <w:pStyle w:val="0"/>
            </w:pPr>
            <w:r>
              <w:rPr>
                <w:sz w:val="20"/>
              </w:rPr>
              <w:t xml:space="preserve">1342,0</w:t>
            </w:r>
          </w:p>
        </w:tc>
        <w:tc>
          <w:tcPr>
            <w:tcW w:w="1814" w:type="dxa"/>
          </w:tcPr>
          <w:p>
            <w:pPr>
              <w:pStyle w:val="0"/>
            </w:pPr>
            <w:r>
              <w:rPr>
                <w:sz w:val="20"/>
              </w:rPr>
              <w:t xml:space="preserve">+13,3</w:t>
            </w:r>
          </w:p>
        </w:tc>
      </w:tr>
      <w:tr>
        <w:tc>
          <w:tcPr>
            <w:tcW w:w="3685" w:type="dxa"/>
          </w:tcPr>
          <w:p>
            <w:pPr>
              <w:pStyle w:val="0"/>
            </w:pPr>
            <w:r>
              <w:rPr>
                <w:sz w:val="20"/>
              </w:rPr>
              <w:t xml:space="preserve">Югорск</w:t>
            </w:r>
          </w:p>
        </w:tc>
        <w:tc>
          <w:tcPr>
            <w:tcW w:w="1304" w:type="dxa"/>
          </w:tcPr>
          <w:p>
            <w:pPr>
              <w:pStyle w:val="0"/>
            </w:pPr>
            <w:r>
              <w:rPr>
                <w:sz w:val="20"/>
              </w:rPr>
              <w:t xml:space="preserve">1698,2</w:t>
            </w:r>
          </w:p>
        </w:tc>
        <w:tc>
          <w:tcPr>
            <w:tcW w:w="1474" w:type="dxa"/>
          </w:tcPr>
          <w:p>
            <w:pPr>
              <w:pStyle w:val="0"/>
            </w:pPr>
            <w:r>
              <w:rPr>
                <w:sz w:val="20"/>
              </w:rPr>
              <w:t xml:space="preserve">1963,2</w:t>
            </w:r>
          </w:p>
        </w:tc>
        <w:tc>
          <w:tcPr>
            <w:tcW w:w="1814" w:type="dxa"/>
          </w:tcPr>
          <w:p>
            <w:pPr>
              <w:pStyle w:val="0"/>
            </w:pPr>
            <w:r>
              <w:rPr>
                <w:sz w:val="20"/>
              </w:rPr>
              <w:t xml:space="preserve">+15,6</w:t>
            </w:r>
          </w:p>
        </w:tc>
      </w:tr>
      <w:tr>
        <w:tc>
          <w:tcPr>
            <w:tcW w:w="3685" w:type="dxa"/>
          </w:tcPr>
          <w:p>
            <w:pPr>
              <w:pStyle w:val="0"/>
            </w:pPr>
            <w:r>
              <w:rPr>
                <w:sz w:val="20"/>
              </w:rPr>
              <w:t xml:space="preserve">Белоярский</w:t>
            </w:r>
          </w:p>
        </w:tc>
        <w:tc>
          <w:tcPr>
            <w:tcW w:w="1304" w:type="dxa"/>
          </w:tcPr>
          <w:p>
            <w:pPr>
              <w:pStyle w:val="0"/>
            </w:pPr>
            <w:r>
              <w:rPr>
                <w:sz w:val="20"/>
              </w:rPr>
              <w:t xml:space="preserve">1770,5</w:t>
            </w:r>
          </w:p>
        </w:tc>
        <w:tc>
          <w:tcPr>
            <w:tcW w:w="1474" w:type="dxa"/>
          </w:tcPr>
          <w:p>
            <w:pPr>
              <w:pStyle w:val="0"/>
            </w:pPr>
            <w:r>
              <w:rPr>
                <w:sz w:val="20"/>
              </w:rPr>
              <w:t xml:space="preserve">1205,9</w:t>
            </w:r>
          </w:p>
        </w:tc>
        <w:tc>
          <w:tcPr>
            <w:tcW w:w="1814" w:type="dxa"/>
          </w:tcPr>
          <w:p>
            <w:pPr>
              <w:pStyle w:val="0"/>
            </w:pPr>
            <w:r>
              <w:rPr>
                <w:sz w:val="20"/>
              </w:rPr>
              <w:t xml:space="preserve">-31,9</w:t>
            </w:r>
          </w:p>
        </w:tc>
      </w:tr>
      <w:tr>
        <w:tc>
          <w:tcPr>
            <w:tcW w:w="3685" w:type="dxa"/>
          </w:tcPr>
          <w:p>
            <w:pPr>
              <w:pStyle w:val="0"/>
            </w:pPr>
            <w:r>
              <w:rPr>
                <w:sz w:val="20"/>
              </w:rPr>
              <w:t xml:space="preserve">Березовский</w:t>
            </w:r>
          </w:p>
        </w:tc>
        <w:tc>
          <w:tcPr>
            <w:tcW w:w="1304" w:type="dxa"/>
          </w:tcPr>
          <w:p>
            <w:pPr>
              <w:pStyle w:val="0"/>
            </w:pPr>
            <w:r>
              <w:rPr>
                <w:sz w:val="20"/>
              </w:rPr>
              <w:t xml:space="preserve">3835,4</w:t>
            </w:r>
          </w:p>
        </w:tc>
        <w:tc>
          <w:tcPr>
            <w:tcW w:w="1474" w:type="dxa"/>
          </w:tcPr>
          <w:p>
            <w:pPr>
              <w:pStyle w:val="0"/>
            </w:pPr>
            <w:r>
              <w:rPr>
                <w:sz w:val="20"/>
              </w:rPr>
              <w:t xml:space="preserve">2108,3</w:t>
            </w:r>
          </w:p>
        </w:tc>
        <w:tc>
          <w:tcPr>
            <w:tcW w:w="1814" w:type="dxa"/>
          </w:tcPr>
          <w:p>
            <w:pPr>
              <w:pStyle w:val="0"/>
            </w:pPr>
            <w:r>
              <w:rPr>
                <w:sz w:val="20"/>
              </w:rPr>
              <w:t xml:space="preserve">-45,0</w:t>
            </w:r>
          </w:p>
        </w:tc>
      </w:tr>
      <w:tr>
        <w:tc>
          <w:tcPr>
            <w:tcW w:w="3685" w:type="dxa"/>
          </w:tcPr>
          <w:p>
            <w:pPr>
              <w:pStyle w:val="0"/>
            </w:pPr>
            <w:r>
              <w:rPr>
                <w:sz w:val="20"/>
              </w:rPr>
              <w:t xml:space="preserve">Кондинский</w:t>
            </w:r>
          </w:p>
        </w:tc>
        <w:tc>
          <w:tcPr>
            <w:tcW w:w="1304" w:type="dxa"/>
          </w:tcPr>
          <w:p>
            <w:pPr>
              <w:pStyle w:val="0"/>
            </w:pPr>
            <w:r>
              <w:rPr>
                <w:sz w:val="20"/>
              </w:rPr>
              <w:t xml:space="preserve">5142,6</w:t>
            </w:r>
          </w:p>
        </w:tc>
        <w:tc>
          <w:tcPr>
            <w:tcW w:w="1474" w:type="dxa"/>
          </w:tcPr>
          <w:p>
            <w:pPr>
              <w:pStyle w:val="0"/>
            </w:pPr>
            <w:r>
              <w:rPr>
                <w:sz w:val="20"/>
              </w:rPr>
              <w:t xml:space="preserve">3642,7</w:t>
            </w:r>
          </w:p>
        </w:tc>
        <w:tc>
          <w:tcPr>
            <w:tcW w:w="1814" w:type="dxa"/>
          </w:tcPr>
          <w:p>
            <w:pPr>
              <w:pStyle w:val="0"/>
            </w:pPr>
            <w:r>
              <w:rPr>
                <w:sz w:val="20"/>
              </w:rPr>
              <w:t xml:space="preserve">-29,2</w:t>
            </w:r>
          </w:p>
        </w:tc>
      </w:tr>
      <w:tr>
        <w:tc>
          <w:tcPr>
            <w:tcW w:w="3685" w:type="dxa"/>
          </w:tcPr>
          <w:p>
            <w:pPr>
              <w:pStyle w:val="0"/>
            </w:pPr>
            <w:r>
              <w:rPr>
                <w:sz w:val="20"/>
              </w:rPr>
              <w:t xml:space="preserve">Нефтеюганский</w:t>
            </w:r>
          </w:p>
        </w:tc>
        <w:tc>
          <w:tcPr>
            <w:tcW w:w="1304" w:type="dxa"/>
          </w:tcPr>
          <w:p>
            <w:pPr>
              <w:pStyle w:val="0"/>
            </w:pPr>
            <w:r>
              <w:rPr>
                <w:sz w:val="20"/>
              </w:rPr>
              <w:t xml:space="preserve">1149,3</w:t>
            </w:r>
          </w:p>
        </w:tc>
        <w:tc>
          <w:tcPr>
            <w:tcW w:w="1474" w:type="dxa"/>
          </w:tcPr>
          <w:p>
            <w:pPr>
              <w:pStyle w:val="0"/>
            </w:pPr>
            <w:r>
              <w:rPr>
                <w:sz w:val="20"/>
              </w:rPr>
              <w:t xml:space="preserve">1069,6</w:t>
            </w:r>
          </w:p>
        </w:tc>
        <w:tc>
          <w:tcPr>
            <w:tcW w:w="1814" w:type="dxa"/>
          </w:tcPr>
          <w:p>
            <w:pPr>
              <w:pStyle w:val="0"/>
            </w:pPr>
            <w:r>
              <w:rPr>
                <w:sz w:val="20"/>
              </w:rPr>
              <w:t xml:space="preserve">-6,9</w:t>
            </w:r>
          </w:p>
        </w:tc>
      </w:tr>
      <w:tr>
        <w:tc>
          <w:tcPr>
            <w:tcW w:w="3685" w:type="dxa"/>
          </w:tcPr>
          <w:p>
            <w:pPr>
              <w:pStyle w:val="0"/>
            </w:pPr>
            <w:r>
              <w:rPr>
                <w:sz w:val="20"/>
              </w:rPr>
              <w:t xml:space="preserve">Нижневартовский</w:t>
            </w:r>
          </w:p>
        </w:tc>
        <w:tc>
          <w:tcPr>
            <w:tcW w:w="1304" w:type="dxa"/>
          </w:tcPr>
          <w:p>
            <w:pPr>
              <w:pStyle w:val="0"/>
            </w:pPr>
            <w:r>
              <w:rPr>
                <w:sz w:val="20"/>
              </w:rPr>
              <w:t xml:space="preserve">1961,5</w:t>
            </w:r>
          </w:p>
        </w:tc>
        <w:tc>
          <w:tcPr>
            <w:tcW w:w="1474" w:type="dxa"/>
          </w:tcPr>
          <w:p>
            <w:pPr>
              <w:pStyle w:val="0"/>
            </w:pPr>
            <w:r>
              <w:rPr>
                <w:sz w:val="20"/>
              </w:rPr>
              <w:t xml:space="preserve">1380,2</w:t>
            </w:r>
          </w:p>
        </w:tc>
        <w:tc>
          <w:tcPr>
            <w:tcW w:w="1814" w:type="dxa"/>
          </w:tcPr>
          <w:p>
            <w:pPr>
              <w:pStyle w:val="0"/>
            </w:pPr>
            <w:r>
              <w:rPr>
                <w:sz w:val="20"/>
              </w:rPr>
              <w:t xml:space="preserve">-29,6</w:t>
            </w:r>
          </w:p>
        </w:tc>
      </w:tr>
      <w:tr>
        <w:tc>
          <w:tcPr>
            <w:tcW w:w="3685" w:type="dxa"/>
          </w:tcPr>
          <w:p>
            <w:pPr>
              <w:pStyle w:val="0"/>
            </w:pPr>
            <w:r>
              <w:rPr>
                <w:sz w:val="20"/>
              </w:rPr>
              <w:t xml:space="preserve">Октябрьский</w:t>
            </w:r>
          </w:p>
        </w:tc>
        <w:tc>
          <w:tcPr>
            <w:tcW w:w="1304" w:type="dxa"/>
          </w:tcPr>
          <w:p>
            <w:pPr>
              <w:pStyle w:val="0"/>
            </w:pPr>
            <w:r>
              <w:rPr>
                <w:sz w:val="20"/>
              </w:rPr>
              <w:t xml:space="preserve">1489,6</w:t>
            </w:r>
          </w:p>
        </w:tc>
        <w:tc>
          <w:tcPr>
            <w:tcW w:w="1474" w:type="dxa"/>
          </w:tcPr>
          <w:p>
            <w:pPr>
              <w:pStyle w:val="0"/>
            </w:pPr>
            <w:r>
              <w:rPr>
                <w:sz w:val="20"/>
              </w:rPr>
              <w:t xml:space="preserve">3063,7</w:t>
            </w:r>
          </w:p>
        </w:tc>
        <w:tc>
          <w:tcPr>
            <w:tcW w:w="1814" w:type="dxa"/>
          </w:tcPr>
          <w:p>
            <w:pPr>
              <w:pStyle w:val="0"/>
            </w:pPr>
            <w:r>
              <w:rPr>
                <w:sz w:val="20"/>
              </w:rPr>
              <w:t xml:space="preserve">+105,7</w:t>
            </w:r>
          </w:p>
        </w:tc>
      </w:tr>
      <w:tr>
        <w:tc>
          <w:tcPr>
            <w:tcW w:w="3685" w:type="dxa"/>
          </w:tcPr>
          <w:p>
            <w:pPr>
              <w:pStyle w:val="0"/>
            </w:pPr>
            <w:r>
              <w:rPr>
                <w:sz w:val="20"/>
              </w:rPr>
              <w:t xml:space="preserve">Советский</w:t>
            </w:r>
          </w:p>
        </w:tc>
        <w:tc>
          <w:tcPr>
            <w:tcW w:w="1304" w:type="dxa"/>
          </w:tcPr>
          <w:p>
            <w:pPr>
              <w:pStyle w:val="0"/>
            </w:pPr>
            <w:r>
              <w:rPr>
                <w:sz w:val="20"/>
              </w:rPr>
              <w:t xml:space="preserve">2988,9</w:t>
            </w:r>
          </w:p>
        </w:tc>
        <w:tc>
          <w:tcPr>
            <w:tcW w:w="1474" w:type="dxa"/>
          </w:tcPr>
          <w:p>
            <w:pPr>
              <w:pStyle w:val="0"/>
            </w:pPr>
            <w:r>
              <w:rPr>
                <w:sz w:val="20"/>
              </w:rPr>
              <w:t xml:space="preserve">5260,6</w:t>
            </w:r>
          </w:p>
        </w:tc>
        <w:tc>
          <w:tcPr>
            <w:tcW w:w="1814" w:type="dxa"/>
          </w:tcPr>
          <w:p>
            <w:pPr>
              <w:pStyle w:val="0"/>
            </w:pPr>
            <w:r>
              <w:rPr>
                <w:sz w:val="20"/>
              </w:rPr>
              <w:t xml:space="preserve">+76,0</w:t>
            </w:r>
          </w:p>
        </w:tc>
      </w:tr>
      <w:tr>
        <w:tc>
          <w:tcPr>
            <w:tcW w:w="3685" w:type="dxa"/>
          </w:tcPr>
          <w:p>
            <w:pPr>
              <w:pStyle w:val="0"/>
            </w:pPr>
            <w:r>
              <w:rPr>
                <w:sz w:val="20"/>
              </w:rPr>
              <w:t xml:space="preserve">Сургутский</w:t>
            </w:r>
          </w:p>
        </w:tc>
        <w:tc>
          <w:tcPr>
            <w:tcW w:w="1304" w:type="dxa"/>
          </w:tcPr>
          <w:p>
            <w:pPr>
              <w:pStyle w:val="0"/>
            </w:pPr>
            <w:r>
              <w:rPr>
                <w:sz w:val="20"/>
              </w:rPr>
              <w:t xml:space="preserve">1241,4</w:t>
            </w:r>
          </w:p>
        </w:tc>
        <w:tc>
          <w:tcPr>
            <w:tcW w:w="1474" w:type="dxa"/>
          </w:tcPr>
          <w:p>
            <w:pPr>
              <w:pStyle w:val="0"/>
            </w:pPr>
            <w:r>
              <w:rPr>
                <w:sz w:val="20"/>
              </w:rPr>
              <w:t xml:space="preserve">1501,8</w:t>
            </w:r>
          </w:p>
        </w:tc>
        <w:tc>
          <w:tcPr>
            <w:tcW w:w="1814" w:type="dxa"/>
          </w:tcPr>
          <w:p>
            <w:pPr>
              <w:pStyle w:val="0"/>
            </w:pPr>
            <w:r>
              <w:rPr>
                <w:sz w:val="20"/>
              </w:rPr>
              <w:t xml:space="preserve">+21,0</w:t>
            </w:r>
          </w:p>
        </w:tc>
      </w:tr>
      <w:tr>
        <w:tc>
          <w:tcPr>
            <w:tcW w:w="3685" w:type="dxa"/>
          </w:tcPr>
          <w:p>
            <w:pPr>
              <w:pStyle w:val="0"/>
            </w:pPr>
            <w:r>
              <w:rPr>
                <w:sz w:val="20"/>
              </w:rPr>
              <w:t xml:space="preserve">Ханты-Мансийский</w:t>
            </w:r>
          </w:p>
        </w:tc>
        <w:tc>
          <w:tcPr>
            <w:tcW w:w="1304" w:type="dxa"/>
          </w:tcPr>
          <w:p>
            <w:pPr>
              <w:pStyle w:val="0"/>
            </w:pPr>
            <w:r>
              <w:rPr>
                <w:sz w:val="20"/>
              </w:rPr>
              <w:t xml:space="preserve">2189,3</w:t>
            </w:r>
          </w:p>
        </w:tc>
        <w:tc>
          <w:tcPr>
            <w:tcW w:w="1474" w:type="dxa"/>
          </w:tcPr>
          <w:p>
            <w:pPr>
              <w:pStyle w:val="0"/>
            </w:pPr>
            <w:r>
              <w:rPr>
                <w:sz w:val="20"/>
              </w:rPr>
              <w:t xml:space="preserve">2682,1</w:t>
            </w:r>
          </w:p>
        </w:tc>
        <w:tc>
          <w:tcPr>
            <w:tcW w:w="1814" w:type="dxa"/>
          </w:tcPr>
          <w:p>
            <w:pPr>
              <w:pStyle w:val="0"/>
            </w:pPr>
            <w:r>
              <w:rPr>
                <w:sz w:val="20"/>
              </w:rPr>
              <w:t xml:space="preserve">+22,5</w:t>
            </w:r>
          </w:p>
        </w:tc>
      </w:tr>
    </w:tbl>
    <w:p>
      <w:pPr>
        <w:pStyle w:val="0"/>
        <w:ind w:firstLine="540"/>
        <w:jc w:val="both"/>
      </w:pPr>
      <w:r>
        <w:rPr>
          <w:sz w:val="20"/>
        </w:rPr>
      </w:r>
    </w:p>
    <w:p>
      <w:pPr>
        <w:pStyle w:val="0"/>
        <w:ind w:firstLine="540"/>
        <w:jc w:val="both"/>
      </w:pPr>
      <w:r>
        <w:rPr>
          <w:sz w:val="20"/>
        </w:rPr>
        <w:t xml:space="preserve">В 2022 году первичная заболеваемость в автономном округе увеличилась по сравнению с 2021 годом на 9,2% и составила 2106,2 на 100 тыс. населения (по России - 3048,3, по УРФО - 2953,4 на 100 тыс. населения). До 2019 года первичная заболеваемость была стабильна, существенно не отличалась от уровня РФ. В 2020 - 2021 гг. резкое ее снижение в автономном округе (как и в целом по РФ) связано с временным приостановлением диспансеризации, профосмотров, снижением посещаемости поликлиник в связи с самоизоляцией и боязнью пациентов из-за угрозы инфицирования COVID-19.</w:t>
      </w:r>
    </w:p>
    <w:p>
      <w:pPr>
        <w:pStyle w:val="0"/>
        <w:spacing w:before="200" w:line-rule="auto"/>
        <w:ind w:firstLine="540"/>
        <w:jc w:val="both"/>
      </w:pPr>
      <w:r>
        <w:rPr>
          <w:sz w:val="20"/>
        </w:rPr>
        <w:t xml:space="preserve">Значительно ниже среднеокружного показателя первичная заболеваемость в городских округах Нефтеюганск, Нягань, Урай, Белоярском, Нефтеюганском муниципальных районах. Это неблагоприятный фактор: недостаточная выявляемость сердечно-сосудистых заболеваний приводит к росту госпитализаций, осложнений и в конечном итоге к повышению смертности населения от БСК.</w:t>
      </w:r>
    </w:p>
    <w:p>
      <w:pPr>
        <w:pStyle w:val="0"/>
        <w:jc w:val="right"/>
      </w:pPr>
      <w:r>
        <w:rPr>
          <w:sz w:val="20"/>
        </w:rPr>
      </w:r>
    </w:p>
    <w:p>
      <w:pPr>
        <w:pStyle w:val="0"/>
        <w:jc w:val="right"/>
      </w:pPr>
      <w:r>
        <w:rPr>
          <w:sz w:val="20"/>
        </w:rPr>
        <w:t xml:space="preserve">Таблица 12</w:t>
      </w:r>
    </w:p>
    <w:p>
      <w:pPr>
        <w:pStyle w:val="0"/>
        <w:jc w:val="center"/>
      </w:pPr>
      <w:r>
        <w:rPr>
          <w:sz w:val="20"/>
        </w:rPr>
      </w:r>
    </w:p>
    <w:p>
      <w:pPr>
        <w:pStyle w:val="0"/>
        <w:jc w:val="center"/>
      </w:pPr>
      <w:r>
        <w:rPr>
          <w:sz w:val="20"/>
        </w:rPr>
        <w:t xml:space="preserve">Первичная заболеваемость населения автономного округа</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19"/>
        <w:gridCol w:w="964"/>
        <w:gridCol w:w="724"/>
        <w:gridCol w:w="784"/>
        <w:gridCol w:w="724"/>
        <w:gridCol w:w="664"/>
        <w:gridCol w:w="724"/>
        <w:gridCol w:w="784"/>
        <w:gridCol w:w="724"/>
        <w:gridCol w:w="784"/>
        <w:gridCol w:w="724"/>
        <w:gridCol w:w="784"/>
      </w:tblGrid>
      <w:tr>
        <w:tc>
          <w:tcPr>
            <w:tcW w:w="2119" w:type="dxa"/>
            <w:vMerge w:val="restart"/>
          </w:tcPr>
          <w:p>
            <w:pPr>
              <w:pStyle w:val="0"/>
              <w:jc w:val="center"/>
            </w:pPr>
            <w:r>
              <w:rPr>
                <w:sz w:val="20"/>
              </w:rPr>
              <w:t xml:space="preserve">Наименование классов и отдельных болезней</w:t>
            </w:r>
          </w:p>
        </w:tc>
        <w:tc>
          <w:tcPr>
            <w:tcW w:w="964" w:type="dxa"/>
            <w:vMerge w:val="restart"/>
          </w:tcPr>
          <w:p>
            <w:pPr>
              <w:pStyle w:val="0"/>
              <w:jc w:val="center"/>
            </w:pPr>
            <w:r>
              <w:rPr>
                <w:sz w:val="20"/>
              </w:rPr>
              <w:t xml:space="preserve">Код по МКБ-10</w:t>
            </w:r>
          </w:p>
        </w:tc>
        <w:tc>
          <w:tcPr>
            <w:gridSpan w:val="2"/>
            <w:tcW w:w="1508" w:type="dxa"/>
          </w:tcPr>
          <w:p>
            <w:pPr>
              <w:pStyle w:val="0"/>
              <w:jc w:val="center"/>
            </w:pPr>
            <w:r>
              <w:rPr>
                <w:sz w:val="20"/>
              </w:rPr>
              <w:t xml:space="preserve">2018</w:t>
            </w:r>
          </w:p>
        </w:tc>
        <w:tc>
          <w:tcPr>
            <w:gridSpan w:val="2"/>
            <w:tcW w:w="1388" w:type="dxa"/>
          </w:tcPr>
          <w:p>
            <w:pPr>
              <w:pStyle w:val="0"/>
              <w:jc w:val="center"/>
            </w:pPr>
            <w:r>
              <w:rPr>
                <w:sz w:val="20"/>
              </w:rPr>
              <w:t xml:space="preserve">2019</w:t>
            </w:r>
          </w:p>
        </w:tc>
        <w:tc>
          <w:tcPr>
            <w:gridSpan w:val="2"/>
            <w:tcW w:w="1508" w:type="dxa"/>
          </w:tcPr>
          <w:p>
            <w:pPr>
              <w:pStyle w:val="0"/>
              <w:jc w:val="center"/>
            </w:pPr>
            <w:r>
              <w:rPr>
                <w:sz w:val="20"/>
              </w:rPr>
              <w:t xml:space="preserve">2020</w:t>
            </w:r>
          </w:p>
        </w:tc>
        <w:tc>
          <w:tcPr>
            <w:gridSpan w:val="2"/>
            <w:tcW w:w="1508" w:type="dxa"/>
          </w:tcPr>
          <w:p>
            <w:pPr>
              <w:pStyle w:val="0"/>
              <w:jc w:val="center"/>
            </w:pPr>
            <w:r>
              <w:rPr>
                <w:sz w:val="20"/>
              </w:rPr>
              <w:t xml:space="preserve">2021</w:t>
            </w:r>
          </w:p>
        </w:tc>
        <w:tc>
          <w:tcPr>
            <w:gridSpan w:val="2"/>
            <w:tcW w:w="1508" w:type="dxa"/>
          </w:tcPr>
          <w:p>
            <w:pPr>
              <w:pStyle w:val="0"/>
              <w:jc w:val="center"/>
            </w:pPr>
            <w:r>
              <w:rPr>
                <w:sz w:val="20"/>
              </w:rPr>
              <w:t xml:space="preserve">2022</w:t>
            </w:r>
          </w:p>
        </w:tc>
      </w:tr>
      <w:tr>
        <w:tc>
          <w:tcPr>
            <w:vMerge w:val="continue"/>
          </w:tcPr>
          <w:p/>
        </w:tc>
        <w:tc>
          <w:tcPr>
            <w:vMerge w:val="continue"/>
          </w:tcPr>
          <w:p/>
        </w:tc>
        <w:tc>
          <w:tcPr>
            <w:tcW w:w="724" w:type="dxa"/>
            <w:vMerge w:val="restart"/>
          </w:tcPr>
          <w:p>
            <w:pPr>
              <w:pStyle w:val="0"/>
              <w:jc w:val="center"/>
            </w:pPr>
            <w:r>
              <w:rPr>
                <w:sz w:val="20"/>
              </w:rPr>
              <w:t xml:space="preserve">Абс.</w:t>
            </w:r>
          </w:p>
        </w:tc>
        <w:tc>
          <w:tcPr>
            <w:tcW w:w="784" w:type="dxa"/>
          </w:tcPr>
          <w:p>
            <w:pPr>
              <w:pStyle w:val="0"/>
              <w:jc w:val="center"/>
            </w:pPr>
            <w:r>
              <w:rPr>
                <w:sz w:val="20"/>
              </w:rPr>
              <w:t xml:space="preserve">на 100</w:t>
            </w:r>
          </w:p>
        </w:tc>
        <w:tc>
          <w:tcPr>
            <w:tcW w:w="724" w:type="dxa"/>
            <w:vMerge w:val="restart"/>
          </w:tcPr>
          <w:p>
            <w:pPr>
              <w:pStyle w:val="0"/>
              <w:jc w:val="center"/>
            </w:pPr>
            <w:r>
              <w:rPr>
                <w:sz w:val="20"/>
              </w:rPr>
              <w:t xml:space="preserve">Абс. пок.</w:t>
            </w:r>
          </w:p>
        </w:tc>
        <w:tc>
          <w:tcPr>
            <w:tcW w:w="664" w:type="dxa"/>
          </w:tcPr>
          <w:p>
            <w:pPr>
              <w:pStyle w:val="0"/>
              <w:jc w:val="center"/>
            </w:pPr>
            <w:r>
              <w:rPr>
                <w:sz w:val="20"/>
              </w:rPr>
              <w:t xml:space="preserve">на 100</w:t>
            </w:r>
          </w:p>
        </w:tc>
        <w:tc>
          <w:tcPr>
            <w:tcW w:w="724" w:type="dxa"/>
            <w:vMerge w:val="restart"/>
          </w:tcPr>
          <w:p>
            <w:pPr>
              <w:pStyle w:val="0"/>
              <w:jc w:val="center"/>
            </w:pPr>
            <w:r>
              <w:rPr>
                <w:sz w:val="20"/>
              </w:rPr>
              <w:t xml:space="preserve">Абс. пок.</w:t>
            </w:r>
          </w:p>
        </w:tc>
        <w:tc>
          <w:tcPr>
            <w:tcW w:w="784" w:type="dxa"/>
          </w:tcPr>
          <w:p>
            <w:pPr>
              <w:pStyle w:val="0"/>
              <w:jc w:val="center"/>
            </w:pPr>
            <w:r>
              <w:rPr>
                <w:sz w:val="20"/>
              </w:rPr>
              <w:t xml:space="preserve">на 100</w:t>
            </w:r>
          </w:p>
        </w:tc>
        <w:tc>
          <w:tcPr>
            <w:tcW w:w="724" w:type="dxa"/>
            <w:vMerge w:val="restart"/>
          </w:tcPr>
          <w:p>
            <w:pPr>
              <w:pStyle w:val="0"/>
              <w:jc w:val="center"/>
            </w:pPr>
            <w:r>
              <w:rPr>
                <w:sz w:val="20"/>
              </w:rPr>
              <w:t xml:space="preserve">Абс. пок.</w:t>
            </w:r>
          </w:p>
        </w:tc>
        <w:tc>
          <w:tcPr>
            <w:tcW w:w="784" w:type="dxa"/>
          </w:tcPr>
          <w:p>
            <w:pPr>
              <w:pStyle w:val="0"/>
              <w:jc w:val="center"/>
            </w:pPr>
            <w:r>
              <w:rPr>
                <w:sz w:val="20"/>
              </w:rPr>
              <w:t xml:space="preserve">на 100</w:t>
            </w:r>
          </w:p>
        </w:tc>
        <w:tc>
          <w:tcPr>
            <w:tcW w:w="724" w:type="dxa"/>
            <w:vMerge w:val="restart"/>
          </w:tcPr>
          <w:p>
            <w:pPr>
              <w:pStyle w:val="0"/>
              <w:jc w:val="center"/>
            </w:pPr>
            <w:r>
              <w:rPr>
                <w:sz w:val="20"/>
              </w:rPr>
              <w:t xml:space="preserve">Абс. пок.</w:t>
            </w:r>
          </w:p>
        </w:tc>
        <w:tc>
          <w:tcPr>
            <w:tcW w:w="784" w:type="dxa"/>
          </w:tcPr>
          <w:p>
            <w:pPr>
              <w:pStyle w:val="0"/>
              <w:jc w:val="center"/>
            </w:pPr>
            <w:r>
              <w:rPr>
                <w:sz w:val="20"/>
              </w:rPr>
              <w:t xml:space="preserve">на 100</w:t>
            </w:r>
          </w:p>
        </w:tc>
      </w:tr>
      <w:tr>
        <w:tc>
          <w:tcPr>
            <w:vMerge w:val="continue"/>
          </w:tcPr>
          <w:p/>
        </w:tc>
        <w:tc>
          <w:tcPr>
            <w:vMerge w:val="continue"/>
          </w:tcPr>
          <w:p/>
        </w:tc>
        <w:tc>
          <w:tcPr>
            <w:vMerge w:val="continue"/>
          </w:tcPr>
          <w:p/>
        </w:tc>
        <w:tc>
          <w:tcPr>
            <w:tcW w:w="784" w:type="dxa"/>
          </w:tcPr>
          <w:p>
            <w:pPr>
              <w:pStyle w:val="0"/>
              <w:jc w:val="center"/>
            </w:pPr>
            <w:r>
              <w:rPr>
                <w:sz w:val="20"/>
              </w:rPr>
              <w:t xml:space="preserve">т.н..</w:t>
            </w:r>
          </w:p>
        </w:tc>
        <w:tc>
          <w:tcPr>
            <w:vMerge w:val="continue"/>
          </w:tcPr>
          <w:p/>
        </w:tc>
        <w:tc>
          <w:tcPr>
            <w:tcW w:w="664" w:type="dxa"/>
          </w:tcPr>
          <w:p>
            <w:pPr>
              <w:pStyle w:val="0"/>
              <w:jc w:val="center"/>
            </w:pPr>
            <w:r>
              <w:rPr>
                <w:sz w:val="20"/>
              </w:rPr>
              <w:t xml:space="preserve">т.н.</w:t>
            </w:r>
          </w:p>
        </w:tc>
        <w:tc>
          <w:tcPr>
            <w:vMerge w:val="continue"/>
          </w:tcPr>
          <w:p/>
        </w:tc>
        <w:tc>
          <w:tcPr>
            <w:tcW w:w="784" w:type="dxa"/>
          </w:tcPr>
          <w:p>
            <w:pPr>
              <w:pStyle w:val="0"/>
              <w:jc w:val="center"/>
            </w:pPr>
            <w:r>
              <w:rPr>
                <w:sz w:val="20"/>
              </w:rPr>
              <w:t xml:space="preserve">т.н.</w:t>
            </w:r>
          </w:p>
        </w:tc>
        <w:tc>
          <w:tcPr>
            <w:vMerge w:val="continue"/>
          </w:tcPr>
          <w:p/>
        </w:tc>
        <w:tc>
          <w:tcPr>
            <w:tcW w:w="784" w:type="dxa"/>
          </w:tcPr>
          <w:p>
            <w:pPr>
              <w:pStyle w:val="0"/>
              <w:jc w:val="center"/>
            </w:pPr>
            <w:r>
              <w:rPr>
                <w:sz w:val="20"/>
              </w:rPr>
              <w:t xml:space="preserve">т.н.</w:t>
            </w:r>
          </w:p>
        </w:tc>
        <w:tc>
          <w:tcPr>
            <w:vMerge w:val="continue"/>
          </w:tcPr>
          <w:p/>
        </w:tc>
        <w:tc>
          <w:tcPr>
            <w:tcW w:w="784" w:type="dxa"/>
          </w:tcPr>
          <w:p>
            <w:pPr>
              <w:pStyle w:val="0"/>
              <w:jc w:val="center"/>
            </w:pPr>
            <w:r>
              <w:rPr>
                <w:sz w:val="20"/>
              </w:rPr>
              <w:t xml:space="preserve">т.н.</w:t>
            </w:r>
          </w:p>
        </w:tc>
      </w:tr>
      <w:tr>
        <w:tc>
          <w:tcPr>
            <w:tcW w:w="2119" w:type="dxa"/>
          </w:tcPr>
          <w:p>
            <w:pPr>
              <w:pStyle w:val="0"/>
            </w:pPr>
            <w:r>
              <w:rPr>
                <w:sz w:val="20"/>
              </w:rPr>
              <w:t xml:space="preserve">БСК</w:t>
            </w:r>
          </w:p>
        </w:tc>
        <w:tc>
          <w:tcPr>
            <w:tcW w:w="964" w:type="dxa"/>
          </w:tcPr>
          <w:p>
            <w:pPr>
              <w:pStyle w:val="0"/>
            </w:pPr>
            <w:r>
              <w:rPr>
                <w:sz w:val="20"/>
              </w:rPr>
              <w:t xml:space="preserve">I00-I99</w:t>
            </w:r>
          </w:p>
        </w:tc>
        <w:tc>
          <w:tcPr>
            <w:tcW w:w="724" w:type="dxa"/>
          </w:tcPr>
          <w:p>
            <w:pPr>
              <w:pStyle w:val="0"/>
            </w:pPr>
            <w:r>
              <w:rPr>
                <w:sz w:val="20"/>
              </w:rPr>
              <w:t xml:space="preserve">34684</w:t>
            </w:r>
          </w:p>
        </w:tc>
        <w:tc>
          <w:tcPr>
            <w:tcW w:w="784" w:type="dxa"/>
          </w:tcPr>
          <w:p>
            <w:pPr>
              <w:pStyle w:val="0"/>
            </w:pPr>
            <w:r>
              <w:rPr>
                <w:sz w:val="20"/>
              </w:rPr>
              <w:t xml:space="preserve">2090,1</w:t>
            </w:r>
          </w:p>
        </w:tc>
        <w:tc>
          <w:tcPr>
            <w:tcW w:w="724" w:type="dxa"/>
          </w:tcPr>
          <w:p>
            <w:pPr>
              <w:pStyle w:val="0"/>
            </w:pPr>
            <w:r>
              <w:rPr>
                <w:sz w:val="20"/>
              </w:rPr>
              <w:t xml:space="preserve">36586</w:t>
            </w:r>
          </w:p>
        </w:tc>
        <w:tc>
          <w:tcPr>
            <w:tcW w:w="664" w:type="dxa"/>
          </w:tcPr>
          <w:p>
            <w:pPr>
              <w:pStyle w:val="0"/>
            </w:pPr>
            <w:r>
              <w:rPr>
                <w:sz w:val="20"/>
              </w:rPr>
              <w:t xml:space="preserve">2192</w:t>
            </w:r>
          </w:p>
        </w:tc>
        <w:tc>
          <w:tcPr>
            <w:tcW w:w="724" w:type="dxa"/>
          </w:tcPr>
          <w:p>
            <w:pPr>
              <w:pStyle w:val="0"/>
            </w:pPr>
            <w:r>
              <w:rPr>
                <w:sz w:val="20"/>
              </w:rPr>
              <w:t xml:space="preserve">28206</w:t>
            </w:r>
          </w:p>
        </w:tc>
        <w:tc>
          <w:tcPr>
            <w:tcW w:w="784" w:type="dxa"/>
          </w:tcPr>
          <w:p>
            <w:pPr>
              <w:pStyle w:val="0"/>
            </w:pPr>
            <w:r>
              <w:rPr>
                <w:sz w:val="20"/>
              </w:rPr>
              <w:t xml:space="preserve">1684,3</w:t>
            </w:r>
          </w:p>
        </w:tc>
        <w:tc>
          <w:tcPr>
            <w:tcW w:w="724" w:type="dxa"/>
          </w:tcPr>
          <w:p>
            <w:pPr>
              <w:pStyle w:val="0"/>
            </w:pPr>
            <w:r>
              <w:rPr>
                <w:sz w:val="20"/>
              </w:rPr>
              <w:t xml:space="preserve">32676</w:t>
            </w:r>
          </w:p>
        </w:tc>
        <w:tc>
          <w:tcPr>
            <w:tcW w:w="784" w:type="dxa"/>
          </w:tcPr>
          <w:p>
            <w:pPr>
              <w:pStyle w:val="0"/>
            </w:pPr>
            <w:r>
              <w:rPr>
                <w:sz w:val="20"/>
              </w:rPr>
              <w:t xml:space="preserve">1928,2</w:t>
            </w:r>
          </w:p>
        </w:tc>
        <w:tc>
          <w:tcPr>
            <w:tcW w:w="724" w:type="dxa"/>
          </w:tcPr>
          <w:p>
            <w:pPr>
              <w:pStyle w:val="0"/>
            </w:pPr>
            <w:r>
              <w:rPr>
                <w:sz w:val="20"/>
              </w:rPr>
              <w:t xml:space="preserve">36096</w:t>
            </w:r>
          </w:p>
        </w:tc>
        <w:tc>
          <w:tcPr>
            <w:tcW w:w="784" w:type="dxa"/>
          </w:tcPr>
          <w:p>
            <w:pPr>
              <w:pStyle w:val="0"/>
            </w:pPr>
            <w:r>
              <w:rPr>
                <w:sz w:val="20"/>
              </w:rPr>
              <w:t xml:space="preserve">2106,2</w:t>
            </w:r>
          </w:p>
        </w:tc>
      </w:tr>
      <w:tr>
        <w:tc>
          <w:tcPr>
            <w:tcW w:w="2119" w:type="dxa"/>
          </w:tcPr>
          <w:p>
            <w:pPr>
              <w:pStyle w:val="0"/>
            </w:pPr>
            <w:r>
              <w:rPr>
                <w:sz w:val="20"/>
              </w:rPr>
              <w:t xml:space="preserve">Болезни, характеризующиеся повышенным давлением</w:t>
            </w:r>
          </w:p>
        </w:tc>
        <w:tc>
          <w:tcPr>
            <w:tcW w:w="964" w:type="dxa"/>
          </w:tcPr>
          <w:p>
            <w:pPr>
              <w:pStyle w:val="0"/>
            </w:pPr>
            <w:r>
              <w:rPr>
                <w:sz w:val="20"/>
              </w:rPr>
              <w:t xml:space="preserve">I10-I15</w:t>
            </w:r>
          </w:p>
        </w:tc>
        <w:tc>
          <w:tcPr>
            <w:tcW w:w="724" w:type="dxa"/>
          </w:tcPr>
          <w:p>
            <w:pPr>
              <w:pStyle w:val="0"/>
            </w:pPr>
            <w:r>
              <w:rPr>
                <w:sz w:val="20"/>
              </w:rPr>
              <w:t xml:space="preserve">8132</w:t>
            </w:r>
          </w:p>
        </w:tc>
        <w:tc>
          <w:tcPr>
            <w:tcW w:w="784" w:type="dxa"/>
          </w:tcPr>
          <w:p>
            <w:pPr>
              <w:pStyle w:val="0"/>
            </w:pPr>
            <w:r>
              <w:rPr>
                <w:sz w:val="20"/>
              </w:rPr>
              <w:t xml:space="preserve">490</w:t>
            </w:r>
          </w:p>
        </w:tc>
        <w:tc>
          <w:tcPr>
            <w:tcW w:w="724" w:type="dxa"/>
          </w:tcPr>
          <w:p>
            <w:pPr>
              <w:pStyle w:val="0"/>
            </w:pPr>
            <w:r>
              <w:rPr>
                <w:sz w:val="20"/>
              </w:rPr>
              <w:t xml:space="preserve">10417</w:t>
            </w:r>
          </w:p>
        </w:tc>
        <w:tc>
          <w:tcPr>
            <w:tcW w:w="664" w:type="dxa"/>
          </w:tcPr>
          <w:p>
            <w:pPr>
              <w:pStyle w:val="0"/>
            </w:pPr>
            <w:r>
              <w:rPr>
                <w:sz w:val="20"/>
              </w:rPr>
              <w:t xml:space="preserve">624</w:t>
            </w:r>
          </w:p>
        </w:tc>
        <w:tc>
          <w:tcPr>
            <w:tcW w:w="724" w:type="dxa"/>
          </w:tcPr>
          <w:p>
            <w:pPr>
              <w:pStyle w:val="0"/>
            </w:pPr>
            <w:r>
              <w:rPr>
                <w:sz w:val="20"/>
              </w:rPr>
              <w:t xml:space="preserve">8141</w:t>
            </w:r>
          </w:p>
        </w:tc>
        <w:tc>
          <w:tcPr>
            <w:tcW w:w="784" w:type="dxa"/>
          </w:tcPr>
          <w:p>
            <w:pPr>
              <w:pStyle w:val="0"/>
            </w:pPr>
            <w:r>
              <w:rPr>
                <w:sz w:val="20"/>
              </w:rPr>
              <w:t xml:space="preserve">507,7</w:t>
            </w:r>
          </w:p>
        </w:tc>
        <w:tc>
          <w:tcPr>
            <w:tcW w:w="724" w:type="dxa"/>
          </w:tcPr>
          <w:p>
            <w:pPr>
              <w:pStyle w:val="0"/>
            </w:pPr>
            <w:r>
              <w:rPr>
                <w:sz w:val="20"/>
              </w:rPr>
              <w:t xml:space="preserve">10317</w:t>
            </w:r>
          </w:p>
        </w:tc>
        <w:tc>
          <w:tcPr>
            <w:tcW w:w="784" w:type="dxa"/>
          </w:tcPr>
          <w:p>
            <w:pPr>
              <w:pStyle w:val="0"/>
            </w:pPr>
            <w:r>
              <w:rPr>
                <w:sz w:val="20"/>
              </w:rPr>
              <w:t xml:space="preserve">608,8</w:t>
            </w:r>
          </w:p>
        </w:tc>
        <w:tc>
          <w:tcPr>
            <w:tcW w:w="724" w:type="dxa"/>
          </w:tcPr>
          <w:p>
            <w:pPr>
              <w:pStyle w:val="0"/>
            </w:pPr>
            <w:r>
              <w:rPr>
                <w:sz w:val="20"/>
              </w:rPr>
              <w:t xml:space="preserve">14325</w:t>
            </w:r>
          </w:p>
        </w:tc>
        <w:tc>
          <w:tcPr>
            <w:tcW w:w="784" w:type="dxa"/>
          </w:tcPr>
          <w:p>
            <w:pPr>
              <w:pStyle w:val="0"/>
            </w:pPr>
            <w:r>
              <w:rPr>
                <w:sz w:val="20"/>
              </w:rPr>
              <w:t xml:space="preserve">835,9</w:t>
            </w:r>
          </w:p>
        </w:tc>
      </w:tr>
      <w:tr>
        <w:tc>
          <w:tcPr>
            <w:tcW w:w="2119" w:type="dxa"/>
          </w:tcPr>
          <w:p>
            <w:pPr>
              <w:pStyle w:val="0"/>
            </w:pPr>
            <w:r>
              <w:rPr>
                <w:sz w:val="20"/>
              </w:rPr>
              <w:t xml:space="preserve">ИБС</w:t>
            </w:r>
          </w:p>
        </w:tc>
        <w:tc>
          <w:tcPr>
            <w:tcW w:w="964" w:type="dxa"/>
          </w:tcPr>
          <w:p>
            <w:pPr>
              <w:pStyle w:val="0"/>
            </w:pPr>
            <w:r>
              <w:rPr>
                <w:sz w:val="20"/>
              </w:rPr>
              <w:t xml:space="preserve">I20-I25</w:t>
            </w:r>
          </w:p>
        </w:tc>
        <w:tc>
          <w:tcPr>
            <w:tcW w:w="724" w:type="dxa"/>
          </w:tcPr>
          <w:p>
            <w:pPr>
              <w:pStyle w:val="0"/>
            </w:pPr>
            <w:r>
              <w:rPr>
                <w:sz w:val="20"/>
              </w:rPr>
              <w:t xml:space="preserve">6580</w:t>
            </w:r>
          </w:p>
        </w:tc>
        <w:tc>
          <w:tcPr>
            <w:tcW w:w="784" w:type="dxa"/>
          </w:tcPr>
          <w:p>
            <w:pPr>
              <w:pStyle w:val="0"/>
            </w:pPr>
            <w:r>
              <w:rPr>
                <w:sz w:val="20"/>
              </w:rPr>
              <w:t xml:space="preserve">396,5</w:t>
            </w:r>
          </w:p>
        </w:tc>
        <w:tc>
          <w:tcPr>
            <w:tcW w:w="724" w:type="dxa"/>
          </w:tcPr>
          <w:p>
            <w:pPr>
              <w:pStyle w:val="0"/>
            </w:pPr>
            <w:r>
              <w:rPr>
                <w:sz w:val="20"/>
              </w:rPr>
              <w:t xml:space="preserve">7223</w:t>
            </w:r>
          </w:p>
        </w:tc>
        <w:tc>
          <w:tcPr>
            <w:tcW w:w="664" w:type="dxa"/>
          </w:tcPr>
          <w:p>
            <w:pPr>
              <w:pStyle w:val="0"/>
            </w:pPr>
            <w:r>
              <w:rPr>
                <w:sz w:val="20"/>
              </w:rPr>
              <w:t xml:space="preserve">433</w:t>
            </w:r>
          </w:p>
        </w:tc>
        <w:tc>
          <w:tcPr>
            <w:tcW w:w="724" w:type="dxa"/>
          </w:tcPr>
          <w:p>
            <w:pPr>
              <w:pStyle w:val="0"/>
            </w:pPr>
            <w:r>
              <w:rPr>
                <w:sz w:val="20"/>
              </w:rPr>
              <w:t xml:space="preserve">6023</w:t>
            </w:r>
          </w:p>
        </w:tc>
        <w:tc>
          <w:tcPr>
            <w:tcW w:w="784" w:type="dxa"/>
          </w:tcPr>
          <w:p>
            <w:pPr>
              <w:pStyle w:val="0"/>
            </w:pPr>
            <w:r>
              <w:rPr>
                <w:sz w:val="20"/>
              </w:rPr>
              <w:t xml:space="preserve">359,7</w:t>
            </w:r>
          </w:p>
        </w:tc>
        <w:tc>
          <w:tcPr>
            <w:tcW w:w="724" w:type="dxa"/>
          </w:tcPr>
          <w:p>
            <w:pPr>
              <w:pStyle w:val="0"/>
            </w:pPr>
            <w:r>
              <w:rPr>
                <w:sz w:val="20"/>
              </w:rPr>
              <w:t xml:space="preserve">5755</w:t>
            </w:r>
          </w:p>
        </w:tc>
        <w:tc>
          <w:tcPr>
            <w:tcW w:w="784" w:type="dxa"/>
          </w:tcPr>
          <w:p>
            <w:pPr>
              <w:pStyle w:val="0"/>
            </w:pPr>
            <w:r>
              <w:rPr>
                <w:sz w:val="20"/>
              </w:rPr>
              <w:t xml:space="preserve">339,6</w:t>
            </w:r>
          </w:p>
        </w:tc>
        <w:tc>
          <w:tcPr>
            <w:tcW w:w="724" w:type="dxa"/>
          </w:tcPr>
          <w:p>
            <w:pPr>
              <w:pStyle w:val="0"/>
            </w:pPr>
            <w:r>
              <w:rPr>
                <w:sz w:val="20"/>
              </w:rPr>
              <w:t xml:space="preserve">5603</w:t>
            </w:r>
          </w:p>
        </w:tc>
        <w:tc>
          <w:tcPr>
            <w:tcW w:w="784" w:type="dxa"/>
          </w:tcPr>
          <w:p>
            <w:pPr>
              <w:pStyle w:val="0"/>
            </w:pPr>
            <w:r>
              <w:rPr>
                <w:sz w:val="20"/>
              </w:rPr>
              <w:t xml:space="preserve">326,9</w:t>
            </w:r>
          </w:p>
        </w:tc>
      </w:tr>
      <w:tr>
        <w:tc>
          <w:tcPr>
            <w:tcW w:w="2119" w:type="dxa"/>
          </w:tcPr>
          <w:p>
            <w:pPr>
              <w:pStyle w:val="0"/>
            </w:pPr>
            <w:r>
              <w:rPr>
                <w:sz w:val="20"/>
              </w:rPr>
              <w:t xml:space="preserve">Острый ИМ</w:t>
            </w:r>
          </w:p>
        </w:tc>
        <w:tc>
          <w:tcPr>
            <w:tcW w:w="964" w:type="dxa"/>
          </w:tcPr>
          <w:p>
            <w:pPr>
              <w:pStyle w:val="0"/>
            </w:pPr>
            <w:r>
              <w:rPr>
                <w:sz w:val="20"/>
              </w:rPr>
              <w:t xml:space="preserve">I21</w:t>
            </w:r>
          </w:p>
        </w:tc>
        <w:tc>
          <w:tcPr>
            <w:tcW w:w="724" w:type="dxa"/>
          </w:tcPr>
          <w:p>
            <w:pPr>
              <w:pStyle w:val="0"/>
            </w:pPr>
            <w:r>
              <w:rPr>
                <w:sz w:val="20"/>
              </w:rPr>
              <w:t xml:space="preserve">1345</w:t>
            </w:r>
          </w:p>
        </w:tc>
        <w:tc>
          <w:tcPr>
            <w:tcW w:w="784" w:type="dxa"/>
          </w:tcPr>
          <w:p>
            <w:pPr>
              <w:pStyle w:val="0"/>
            </w:pPr>
            <w:r>
              <w:rPr>
                <w:sz w:val="20"/>
              </w:rPr>
              <w:t xml:space="preserve">81,1</w:t>
            </w:r>
          </w:p>
        </w:tc>
        <w:tc>
          <w:tcPr>
            <w:tcW w:w="724" w:type="dxa"/>
          </w:tcPr>
          <w:p>
            <w:pPr>
              <w:pStyle w:val="0"/>
            </w:pPr>
            <w:r>
              <w:rPr>
                <w:sz w:val="20"/>
              </w:rPr>
              <w:t xml:space="preserve">1342</w:t>
            </w:r>
          </w:p>
        </w:tc>
        <w:tc>
          <w:tcPr>
            <w:tcW w:w="664" w:type="dxa"/>
          </w:tcPr>
          <w:p>
            <w:pPr>
              <w:pStyle w:val="0"/>
            </w:pPr>
            <w:r>
              <w:rPr>
                <w:sz w:val="20"/>
              </w:rPr>
              <w:t xml:space="preserve">80</w:t>
            </w:r>
          </w:p>
        </w:tc>
        <w:tc>
          <w:tcPr>
            <w:tcW w:w="724" w:type="dxa"/>
          </w:tcPr>
          <w:p>
            <w:pPr>
              <w:pStyle w:val="0"/>
            </w:pPr>
            <w:r>
              <w:rPr>
                <w:sz w:val="20"/>
              </w:rPr>
              <w:t xml:space="preserve">1337</w:t>
            </w:r>
          </w:p>
        </w:tc>
        <w:tc>
          <w:tcPr>
            <w:tcW w:w="784" w:type="dxa"/>
          </w:tcPr>
          <w:p>
            <w:pPr>
              <w:pStyle w:val="0"/>
            </w:pPr>
            <w:r>
              <w:rPr>
                <w:sz w:val="20"/>
              </w:rPr>
              <w:t xml:space="preserve">79,8</w:t>
            </w:r>
          </w:p>
        </w:tc>
        <w:tc>
          <w:tcPr>
            <w:tcW w:w="724" w:type="dxa"/>
          </w:tcPr>
          <w:p>
            <w:pPr>
              <w:pStyle w:val="0"/>
            </w:pPr>
            <w:r>
              <w:rPr>
                <w:sz w:val="20"/>
              </w:rPr>
              <w:t xml:space="preserve">1415</w:t>
            </w:r>
          </w:p>
        </w:tc>
        <w:tc>
          <w:tcPr>
            <w:tcW w:w="784" w:type="dxa"/>
          </w:tcPr>
          <w:p>
            <w:pPr>
              <w:pStyle w:val="0"/>
            </w:pPr>
            <w:r>
              <w:rPr>
                <w:sz w:val="20"/>
              </w:rPr>
              <w:t xml:space="preserve">83,5</w:t>
            </w:r>
          </w:p>
        </w:tc>
        <w:tc>
          <w:tcPr>
            <w:tcW w:w="724" w:type="dxa"/>
          </w:tcPr>
          <w:p>
            <w:pPr>
              <w:pStyle w:val="0"/>
            </w:pPr>
            <w:r>
              <w:rPr>
                <w:sz w:val="20"/>
              </w:rPr>
              <w:t xml:space="preserve">1414</w:t>
            </w:r>
          </w:p>
        </w:tc>
        <w:tc>
          <w:tcPr>
            <w:tcW w:w="784" w:type="dxa"/>
          </w:tcPr>
          <w:p>
            <w:pPr>
              <w:pStyle w:val="0"/>
            </w:pPr>
            <w:r>
              <w:rPr>
                <w:sz w:val="20"/>
              </w:rPr>
              <w:t xml:space="preserve">82,5</w:t>
            </w:r>
          </w:p>
        </w:tc>
      </w:tr>
      <w:tr>
        <w:tc>
          <w:tcPr>
            <w:tcW w:w="2119" w:type="dxa"/>
          </w:tcPr>
          <w:p>
            <w:pPr>
              <w:pStyle w:val="0"/>
            </w:pPr>
            <w:r>
              <w:rPr>
                <w:sz w:val="20"/>
              </w:rPr>
              <w:t xml:space="preserve">Повторный ИМ</w:t>
            </w:r>
          </w:p>
        </w:tc>
        <w:tc>
          <w:tcPr>
            <w:tcW w:w="964" w:type="dxa"/>
          </w:tcPr>
          <w:p>
            <w:pPr>
              <w:pStyle w:val="0"/>
            </w:pPr>
            <w:r>
              <w:rPr>
                <w:sz w:val="20"/>
              </w:rPr>
              <w:t xml:space="preserve">I22</w:t>
            </w:r>
          </w:p>
        </w:tc>
        <w:tc>
          <w:tcPr>
            <w:tcW w:w="724" w:type="dxa"/>
          </w:tcPr>
          <w:p>
            <w:pPr>
              <w:pStyle w:val="0"/>
            </w:pPr>
            <w:r>
              <w:rPr>
                <w:sz w:val="20"/>
              </w:rPr>
              <w:t xml:space="preserve">56</w:t>
            </w:r>
          </w:p>
        </w:tc>
        <w:tc>
          <w:tcPr>
            <w:tcW w:w="784" w:type="dxa"/>
          </w:tcPr>
          <w:p>
            <w:pPr>
              <w:pStyle w:val="0"/>
            </w:pPr>
            <w:r>
              <w:rPr>
                <w:sz w:val="20"/>
              </w:rPr>
              <w:t xml:space="preserve">3,4</w:t>
            </w:r>
          </w:p>
        </w:tc>
        <w:tc>
          <w:tcPr>
            <w:tcW w:w="724" w:type="dxa"/>
          </w:tcPr>
          <w:p>
            <w:pPr>
              <w:pStyle w:val="0"/>
            </w:pPr>
            <w:r>
              <w:rPr>
                <w:sz w:val="20"/>
              </w:rPr>
              <w:t xml:space="preserve">56</w:t>
            </w:r>
          </w:p>
        </w:tc>
        <w:tc>
          <w:tcPr>
            <w:tcW w:w="664" w:type="dxa"/>
          </w:tcPr>
          <w:p>
            <w:pPr>
              <w:pStyle w:val="0"/>
            </w:pPr>
            <w:r>
              <w:rPr>
                <w:sz w:val="20"/>
              </w:rPr>
              <w:t xml:space="preserve">3</w:t>
            </w:r>
          </w:p>
        </w:tc>
        <w:tc>
          <w:tcPr>
            <w:tcW w:w="724" w:type="dxa"/>
          </w:tcPr>
          <w:p>
            <w:pPr>
              <w:pStyle w:val="0"/>
            </w:pPr>
            <w:r>
              <w:rPr>
                <w:sz w:val="20"/>
              </w:rPr>
              <w:t xml:space="preserve">41</w:t>
            </w:r>
          </w:p>
        </w:tc>
        <w:tc>
          <w:tcPr>
            <w:tcW w:w="784" w:type="dxa"/>
          </w:tcPr>
          <w:p>
            <w:pPr>
              <w:pStyle w:val="0"/>
            </w:pPr>
            <w:r>
              <w:rPr>
                <w:sz w:val="20"/>
              </w:rPr>
              <w:t xml:space="preserve">2,4</w:t>
            </w:r>
          </w:p>
        </w:tc>
        <w:tc>
          <w:tcPr>
            <w:tcW w:w="724" w:type="dxa"/>
          </w:tcPr>
          <w:p>
            <w:pPr>
              <w:pStyle w:val="0"/>
            </w:pPr>
            <w:r>
              <w:rPr>
                <w:sz w:val="20"/>
              </w:rPr>
              <w:t xml:space="preserve">33</w:t>
            </w:r>
          </w:p>
        </w:tc>
        <w:tc>
          <w:tcPr>
            <w:tcW w:w="784" w:type="dxa"/>
          </w:tcPr>
          <w:p>
            <w:pPr>
              <w:pStyle w:val="0"/>
            </w:pPr>
            <w:r>
              <w:rPr>
                <w:sz w:val="20"/>
              </w:rPr>
              <w:t xml:space="preserve">1,9</w:t>
            </w:r>
          </w:p>
        </w:tc>
        <w:tc>
          <w:tcPr>
            <w:tcW w:w="724" w:type="dxa"/>
          </w:tcPr>
          <w:p>
            <w:pPr>
              <w:pStyle w:val="0"/>
            </w:pPr>
            <w:r>
              <w:rPr>
                <w:sz w:val="20"/>
              </w:rPr>
              <w:t xml:space="preserve">23</w:t>
            </w:r>
          </w:p>
        </w:tc>
        <w:tc>
          <w:tcPr>
            <w:tcW w:w="784" w:type="dxa"/>
          </w:tcPr>
          <w:p>
            <w:pPr>
              <w:pStyle w:val="0"/>
            </w:pPr>
            <w:r>
              <w:rPr>
                <w:sz w:val="20"/>
              </w:rPr>
              <w:t xml:space="preserve">1,3</w:t>
            </w:r>
          </w:p>
        </w:tc>
      </w:tr>
      <w:tr>
        <w:tc>
          <w:tcPr>
            <w:tcW w:w="2119" w:type="dxa"/>
          </w:tcPr>
          <w:p>
            <w:pPr>
              <w:pStyle w:val="0"/>
            </w:pPr>
            <w:r>
              <w:rPr>
                <w:sz w:val="20"/>
              </w:rPr>
              <w:t xml:space="preserve">ЦВБ</w:t>
            </w:r>
          </w:p>
        </w:tc>
        <w:tc>
          <w:tcPr>
            <w:tcW w:w="964" w:type="dxa"/>
          </w:tcPr>
          <w:p>
            <w:pPr>
              <w:pStyle w:val="0"/>
            </w:pPr>
            <w:r>
              <w:rPr>
                <w:sz w:val="20"/>
              </w:rPr>
              <w:t xml:space="preserve">I60-I69</w:t>
            </w:r>
          </w:p>
        </w:tc>
        <w:tc>
          <w:tcPr>
            <w:tcW w:w="724" w:type="dxa"/>
          </w:tcPr>
          <w:p>
            <w:pPr>
              <w:pStyle w:val="0"/>
            </w:pPr>
            <w:r>
              <w:rPr>
                <w:sz w:val="20"/>
              </w:rPr>
              <w:t xml:space="preserve">6493</w:t>
            </w:r>
          </w:p>
        </w:tc>
        <w:tc>
          <w:tcPr>
            <w:tcW w:w="784" w:type="dxa"/>
          </w:tcPr>
          <w:p>
            <w:pPr>
              <w:pStyle w:val="0"/>
            </w:pPr>
            <w:r>
              <w:rPr>
                <w:sz w:val="20"/>
              </w:rPr>
              <w:t xml:space="preserve">391,3</w:t>
            </w:r>
          </w:p>
        </w:tc>
        <w:tc>
          <w:tcPr>
            <w:tcW w:w="724" w:type="dxa"/>
          </w:tcPr>
          <w:p>
            <w:pPr>
              <w:pStyle w:val="0"/>
            </w:pPr>
            <w:r>
              <w:rPr>
                <w:sz w:val="20"/>
              </w:rPr>
              <w:t xml:space="preserve">6651</w:t>
            </w:r>
          </w:p>
        </w:tc>
        <w:tc>
          <w:tcPr>
            <w:tcW w:w="664" w:type="dxa"/>
          </w:tcPr>
          <w:p>
            <w:pPr>
              <w:pStyle w:val="0"/>
            </w:pPr>
            <w:r>
              <w:rPr>
                <w:sz w:val="20"/>
              </w:rPr>
              <w:t xml:space="preserve">398</w:t>
            </w:r>
          </w:p>
        </w:tc>
        <w:tc>
          <w:tcPr>
            <w:tcW w:w="724" w:type="dxa"/>
          </w:tcPr>
          <w:p>
            <w:pPr>
              <w:pStyle w:val="0"/>
            </w:pPr>
            <w:r>
              <w:rPr>
                <w:sz w:val="20"/>
              </w:rPr>
              <w:t xml:space="preserve">4908</w:t>
            </w:r>
          </w:p>
        </w:tc>
        <w:tc>
          <w:tcPr>
            <w:tcW w:w="784" w:type="dxa"/>
          </w:tcPr>
          <w:p>
            <w:pPr>
              <w:pStyle w:val="0"/>
            </w:pPr>
            <w:r>
              <w:rPr>
                <w:sz w:val="20"/>
              </w:rPr>
              <w:t xml:space="preserve">293,3</w:t>
            </w:r>
          </w:p>
        </w:tc>
        <w:tc>
          <w:tcPr>
            <w:tcW w:w="724" w:type="dxa"/>
          </w:tcPr>
          <w:p>
            <w:pPr>
              <w:pStyle w:val="0"/>
            </w:pPr>
            <w:r>
              <w:rPr>
                <w:sz w:val="20"/>
              </w:rPr>
              <w:t xml:space="preserve">5600</w:t>
            </w:r>
          </w:p>
        </w:tc>
        <w:tc>
          <w:tcPr>
            <w:tcW w:w="784" w:type="dxa"/>
          </w:tcPr>
          <w:p>
            <w:pPr>
              <w:pStyle w:val="0"/>
            </w:pPr>
            <w:r>
              <w:rPr>
                <w:sz w:val="20"/>
              </w:rPr>
              <w:t xml:space="preserve">330,5</w:t>
            </w:r>
          </w:p>
        </w:tc>
        <w:tc>
          <w:tcPr>
            <w:tcW w:w="724" w:type="dxa"/>
          </w:tcPr>
          <w:p>
            <w:pPr>
              <w:pStyle w:val="0"/>
            </w:pPr>
            <w:r>
              <w:rPr>
                <w:sz w:val="20"/>
              </w:rPr>
              <w:t xml:space="preserve">5613</w:t>
            </w:r>
          </w:p>
        </w:tc>
        <w:tc>
          <w:tcPr>
            <w:tcW w:w="784" w:type="dxa"/>
          </w:tcPr>
          <w:p>
            <w:pPr>
              <w:pStyle w:val="0"/>
            </w:pPr>
            <w:r>
              <w:rPr>
                <w:sz w:val="20"/>
              </w:rPr>
              <w:t xml:space="preserve">327,5</w:t>
            </w:r>
          </w:p>
        </w:tc>
      </w:tr>
      <w:tr>
        <w:tc>
          <w:tcPr>
            <w:tcW w:w="2119" w:type="dxa"/>
          </w:tcPr>
          <w:p>
            <w:pPr>
              <w:pStyle w:val="0"/>
            </w:pPr>
            <w:r>
              <w:rPr>
                <w:sz w:val="20"/>
              </w:rPr>
              <w:t xml:space="preserve">Из них: субарахноидальное кровоизлияние</w:t>
            </w:r>
          </w:p>
        </w:tc>
        <w:tc>
          <w:tcPr>
            <w:tcW w:w="964" w:type="dxa"/>
          </w:tcPr>
          <w:p>
            <w:pPr>
              <w:pStyle w:val="0"/>
            </w:pPr>
            <w:r>
              <w:rPr>
                <w:sz w:val="20"/>
              </w:rPr>
              <w:t xml:space="preserve">I60</w:t>
            </w:r>
          </w:p>
        </w:tc>
        <w:tc>
          <w:tcPr>
            <w:tcW w:w="724" w:type="dxa"/>
          </w:tcPr>
          <w:p>
            <w:pPr>
              <w:pStyle w:val="0"/>
            </w:pPr>
            <w:r>
              <w:rPr>
                <w:sz w:val="20"/>
              </w:rPr>
              <w:t xml:space="preserve">63</w:t>
            </w:r>
          </w:p>
        </w:tc>
        <w:tc>
          <w:tcPr>
            <w:tcW w:w="784" w:type="dxa"/>
          </w:tcPr>
          <w:p>
            <w:pPr>
              <w:pStyle w:val="0"/>
            </w:pPr>
            <w:r>
              <w:rPr>
                <w:sz w:val="20"/>
              </w:rPr>
              <w:t xml:space="preserve">3,8</w:t>
            </w:r>
          </w:p>
        </w:tc>
        <w:tc>
          <w:tcPr>
            <w:tcW w:w="724" w:type="dxa"/>
          </w:tcPr>
          <w:p>
            <w:pPr>
              <w:pStyle w:val="0"/>
            </w:pPr>
            <w:r>
              <w:rPr>
                <w:sz w:val="20"/>
              </w:rPr>
              <w:t xml:space="preserve">64</w:t>
            </w:r>
          </w:p>
        </w:tc>
        <w:tc>
          <w:tcPr>
            <w:tcW w:w="664" w:type="dxa"/>
          </w:tcPr>
          <w:p>
            <w:pPr>
              <w:pStyle w:val="0"/>
            </w:pPr>
            <w:r>
              <w:rPr>
                <w:sz w:val="20"/>
              </w:rPr>
              <w:t xml:space="preserve">3,9</w:t>
            </w:r>
          </w:p>
        </w:tc>
        <w:tc>
          <w:tcPr>
            <w:tcW w:w="724" w:type="dxa"/>
          </w:tcPr>
          <w:p>
            <w:pPr>
              <w:pStyle w:val="0"/>
            </w:pPr>
            <w:r>
              <w:rPr>
                <w:sz w:val="20"/>
              </w:rPr>
              <w:t xml:space="preserve">81</w:t>
            </w:r>
          </w:p>
        </w:tc>
        <w:tc>
          <w:tcPr>
            <w:tcW w:w="784" w:type="dxa"/>
          </w:tcPr>
          <w:p>
            <w:pPr>
              <w:pStyle w:val="0"/>
            </w:pPr>
            <w:r>
              <w:rPr>
                <w:sz w:val="20"/>
              </w:rPr>
              <w:t xml:space="preserve">4,8</w:t>
            </w:r>
          </w:p>
        </w:tc>
        <w:tc>
          <w:tcPr>
            <w:tcW w:w="724" w:type="dxa"/>
          </w:tcPr>
          <w:p>
            <w:pPr>
              <w:pStyle w:val="0"/>
            </w:pPr>
            <w:r>
              <w:rPr>
                <w:sz w:val="20"/>
              </w:rPr>
              <w:t xml:space="preserve">62</w:t>
            </w:r>
          </w:p>
        </w:tc>
        <w:tc>
          <w:tcPr>
            <w:tcW w:w="784" w:type="dxa"/>
          </w:tcPr>
          <w:p>
            <w:pPr>
              <w:pStyle w:val="0"/>
            </w:pPr>
            <w:r>
              <w:rPr>
                <w:sz w:val="20"/>
              </w:rPr>
              <w:t xml:space="preserve">3,7</w:t>
            </w:r>
          </w:p>
        </w:tc>
        <w:tc>
          <w:tcPr>
            <w:tcW w:w="724" w:type="dxa"/>
          </w:tcPr>
          <w:p>
            <w:pPr>
              <w:pStyle w:val="0"/>
            </w:pPr>
            <w:r>
              <w:rPr>
                <w:sz w:val="20"/>
              </w:rPr>
              <w:t xml:space="preserve">47</w:t>
            </w:r>
          </w:p>
        </w:tc>
        <w:tc>
          <w:tcPr>
            <w:tcW w:w="784" w:type="dxa"/>
          </w:tcPr>
          <w:p>
            <w:pPr>
              <w:pStyle w:val="0"/>
            </w:pPr>
            <w:r>
              <w:rPr>
                <w:sz w:val="20"/>
              </w:rPr>
              <w:t xml:space="preserve">2,7</w:t>
            </w:r>
          </w:p>
        </w:tc>
      </w:tr>
      <w:tr>
        <w:tc>
          <w:tcPr>
            <w:tcW w:w="2119" w:type="dxa"/>
          </w:tcPr>
          <w:p>
            <w:pPr>
              <w:pStyle w:val="0"/>
            </w:pPr>
            <w:r>
              <w:rPr>
                <w:sz w:val="20"/>
              </w:rPr>
              <w:t xml:space="preserve">внутримозговое и другое внутричерепное кровоизлияние</w:t>
            </w:r>
          </w:p>
        </w:tc>
        <w:tc>
          <w:tcPr>
            <w:tcW w:w="964" w:type="dxa"/>
          </w:tcPr>
          <w:p>
            <w:pPr>
              <w:pStyle w:val="0"/>
            </w:pPr>
            <w:r>
              <w:rPr>
                <w:sz w:val="20"/>
              </w:rPr>
              <w:t xml:space="preserve">I61, I62</w:t>
            </w:r>
          </w:p>
        </w:tc>
        <w:tc>
          <w:tcPr>
            <w:tcW w:w="724" w:type="dxa"/>
          </w:tcPr>
          <w:p>
            <w:pPr>
              <w:pStyle w:val="0"/>
            </w:pPr>
            <w:r>
              <w:rPr>
                <w:sz w:val="20"/>
              </w:rPr>
              <w:t xml:space="preserve">364</w:t>
            </w:r>
          </w:p>
        </w:tc>
        <w:tc>
          <w:tcPr>
            <w:tcW w:w="784" w:type="dxa"/>
          </w:tcPr>
          <w:p>
            <w:pPr>
              <w:pStyle w:val="0"/>
            </w:pPr>
            <w:r>
              <w:rPr>
                <w:sz w:val="20"/>
              </w:rPr>
              <w:t xml:space="preserve">21,9</w:t>
            </w:r>
          </w:p>
        </w:tc>
        <w:tc>
          <w:tcPr>
            <w:tcW w:w="724" w:type="dxa"/>
          </w:tcPr>
          <w:p>
            <w:pPr>
              <w:pStyle w:val="0"/>
            </w:pPr>
            <w:r>
              <w:rPr>
                <w:sz w:val="20"/>
              </w:rPr>
              <w:t xml:space="preserve">278</w:t>
            </w:r>
          </w:p>
        </w:tc>
        <w:tc>
          <w:tcPr>
            <w:tcW w:w="664" w:type="dxa"/>
          </w:tcPr>
          <w:p>
            <w:pPr>
              <w:pStyle w:val="0"/>
            </w:pPr>
            <w:r>
              <w:rPr>
                <w:sz w:val="20"/>
              </w:rPr>
              <w:t xml:space="preserve">17</w:t>
            </w:r>
          </w:p>
        </w:tc>
        <w:tc>
          <w:tcPr>
            <w:tcW w:w="724" w:type="dxa"/>
          </w:tcPr>
          <w:p>
            <w:pPr>
              <w:pStyle w:val="0"/>
            </w:pPr>
            <w:r>
              <w:rPr>
                <w:sz w:val="20"/>
              </w:rPr>
              <w:t xml:space="preserve">297</w:t>
            </w:r>
          </w:p>
        </w:tc>
        <w:tc>
          <w:tcPr>
            <w:tcW w:w="784" w:type="dxa"/>
          </w:tcPr>
          <w:p>
            <w:pPr>
              <w:pStyle w:val="0"/>
            </w:pPr>
            <w:r>
              <w:rPr>
                <w:sz w:val="20"/>
              </w:rPr>
              <w:t xml:space="preserve">17,6</w:t>
            </w:r>
          </w:p>
        </w:tc>
        <w:tc>
          <w:tcPr>
            <w:tcW w:w="724" w:type="dxa"/>
          </w:tcPr>
          <w:p>
            <w:pPr>
              <w:pStyle w:val="0"/>
            </w:pPr>
            <w:r>
              <w:rPr>
                <w:sz w:val="20"/>
              </w:rPr>
              <w:t xml:space="preserve">277</w:t>
            </w:r>
          </w:p>
        </w:tc>
        <w:tc>
          <w:tcPr>
            <w:tcW w:w="784" w:type="dxa"/>
          </w:tcPr>
          <w:p>
            <w:pPr>
              <w:pStyle w:val="0"/>
            </w:pPr>
            <w:r>
              <w:rPr>
                <w:sz w:val="20"/>
              </w:rPr>
              <w:t xml:space="preserve">16,3</w:t>
            </w:r>
          </w:p>
        </w:tc>
        <w:tc>
          <w:tcPr>
            <w:tcW w:w="724" w:type="dxa"/>
          </w:tcPr>
          <w:p>
            <w:pPr>
              <w:pStyle w:val="0"/>
            </w:pPr>
            <w:r>
              <w:rPr>
                <w:sz w:val="20"/>
              </w:rPr>
              <w:t xml:space="preserve">295</w:t>
            </w:r>
          </w:p>
        </w:tc>
        <w:tc>
          <w:tcPr>
            <w:tcW w:w="784" w:type="dxa"/>
          </w:tcPr>
          <w:p>
            <w:pPr>
              <w:pStyle w:val="0"/>
            </w:pPr>
            <w:r>
              <w:rPr>
                <w:sz w:val="20"/>
              </w:rPr>
              <w:t xml:space="preserve">17,2</w:t>
            </w:r>
          </w:p>
        </w:tc>
      </w:tr>
      <w:tr>
        <w:tc>
          <w:tcPr>
            <w:tcW w:w="2119" w:type="dxa"/>
          </w:tcPr>
          <w:p>
            <w:pPr>
              <w:pStyle w:val="0"/>
            </w:pPr>
            <w:r>
              <w:rPr>
                <w:sz w:val="20"/>
              </w:rPr>
              <w:t xml:space="preserve">инфаркт мозга</w:t>
            </w:r>
          </w:p>
        </w:tc>
        <w:tc>
          <w:tcPr>
            <w:tcW w:w="964" w:type="dxa"/>
          </w:tcPr>
          <w:p>
            <w:pPr>
              <w:pStyle w:val="0"/>
            </w:pPr>
            <w:r>
              <w:rPr>
                <w:sz w:val="20"/>
              </w:rPr>
              <w:t xml:space="preserve">I63</w:t>
            </w:r>
          </w:p>
        </w:tc>
        <w:tc>
          <w:tcPr>
            <w:tcW w:w="724" w:type="dxa"/>
          </w:tcPr>
          <w:p>
            <w:pPr>
              <w:pStyle w:val="0"/>
            </w:pPr>
            <w:r>
              <w:rPr>
                <w:sz w:val="20"/>
              </w:rPr>
              <w:t xml:space="preserve">2065</w:t>
            </w:r>
          </w:p>
        </w:tc>
        <w:tc>
          <w:tcPr>
            <w:tcW w:w="784" w:type="dxa"/>
          </w:tcPr>
          <w:p>
            <w:pPr>
              <w:pStyle w:val="0"/>
            </w:pPr>
            <w:r>
              <w:rPr>
                <w:sz w:val="20"/>
              </w:rPr>
              <w:t xml:space="preserve">124,4</w:t>
            </w:r>
          </w:p>
        </w:tc>
        <w:tc>
          <w:tcPr>
            <w:tcW w:w="724" w:type="dxa"/>
          </w:tcPr>
          <w:p>
            <w:pPr>
              <w:pStyle w:val="0"/>
            </w:pPr>
            <w:r>
              <w:rPr>
                <w:sz w:val="20"/>
              </w:rPr>
              <w:t xml:space="preserve">1887</w:t>
            </w:r>
          </w:p>
        </w:tc>
        <w:tc>
          <w:tcPr>
            <w:tcW w:w="664" w:type="dxa"/>
          </w:tcPr>
          <w:p>
            <w:pPr>
              <w:pStyle w:val="0"/>
            </w:pPr>
            <w:r>
              <w:rPr>
                <w:sz w:val="20"/>
              </w:rPr>
              <w:t xml:space="preserve">113</w:t>
            </w:r>
          </w:p>
        </w:tc>
        <w:tc>
          <w:tcPr>
            <w:tcW w:w="724" w:type="dxa"/>
          </w:tcPr>
          <w:p>
            <w:pPr>
              <w:pStyle w:val="0"/>
            </w:pPr>
            <w:r>
              <w:rPr>
                <w:sz w:val="20"/>
              </w:rPr>
              <w:t xml:space="preserve">1949</w:t>
            </w:r>
          </w:p>
        </w:tc>
        <w:tc>
          <w:tcPr>
            <w:tcW w:w="784" w:type="dxa"/>
          </w:tcPr>
          <w:p>
            <w:pPr>
              <w:pStyle w:val="0"/>
            </w:pPr>
            <w:r>
              <w:rPr>
                <w:sz w:val="20"/>
              </w:rPr>
              <w:t xml:space="preserve">115,4</w:t>
            </w:r>
          </w:p>
        </w:tc>
        <w:tc>
          <w:tcPr>
            <w:tcW w:w="724" w:type="dxa"/>
          </w:tcPr>
          <w:p>
            <w:pPr>
              <w:pStyle w:val="0"/>
            </w:pPr>
            <w:r>
              <w:rPr>
                <w:sz w:val="20"/>
              </w:rPr>
              <w:t xml:space="preserve">1809</w:t>
            </w:r>
          </w:p>
        </w:tc>
        <w:tc>
          <w:tcPr>
            <w:tcW w:w="784" w:type="dxa"/>
          </w:tcPr>
          <w:p>
            <w:pPr>
              <w:pStyle w:val="0"/>
            </w:pPr>
            <w:r>
              <w:rPr>
                <w:sz w:val="20"/>
              </w:rPr>
              <w:t xml:space="preserve">106,7</w:t>
            </w:r>
          </w:p>
        </w:tc>
        <w:tc>
          <w:tcPr>
            <w:tcW w:w="724" w:type="dxa"/>
          </w:tcPr>
          <w:p>
            <w:pPr>
              <w:pStyle w:val="0"/>
            </w:pPr>
            <w:r>
              <w:rPr>
                <w:sz w:val="20"/>
              </w:rPr>
              <w:t xml:space="preserve">2037</w:t>
            </w:r>
          </w:p>
        </w:tc>
        <w:tc>
          <w:tcPr>
            <w:tcW w:w="784" w:type="dxa"/>
          </w:tcPr>
          <w:p>
            <w:pPr>
              <w:pStyle w:val="0"/>
            </w:pPr>
            <w:r>
              <w:rPr>
                <w:sz w:val="20"/>
              </w:rPr>
              <w:t xml:space="preserve">118,9</w:t>
            </w:r>
          </w:p>
        </w:tc>
      </w:tr>
      <w:tr>
        <w:tc>
          <w:tcPr>
            <w:tcW w:w="2119" w:type="dxa"/>
          </w:tcPr>
          <w:p>
            <w:pPr>
              <w:pStyle w:val="0"/>
            </w:pPr>
            <w:r>
              <w:rPr>
                <w:sz w:val="20"/>
              </w:rPr>
              <w:t xml:space="preserve">инсульт не уточненный как кровоизлияние или инфаркт</w:t>
            </w:r>
          </w:p>
        </w:tc>
        <w:tc>
          <w:tcPr>
            <w:tcW w:w="964" w:type="dxa"/>
          </w:tcPr>
          <w:p>
            <w:pPr>
              <w:pStyle w:val="0"/>
            </w:pPr>
            <w:r>
              <w:rPr>
                <w:sz w:val="20"/>
              </w:rPr>
              <w:t xml:space="preserve">I64</w:t>
            </w:r>
          </w:p>
        </w:tc>
        <w:tc>
          <w:tcPr>
            <w:tcW w:w="724" w:type="dxa"/>
          </w:tcPr>
          <w:p>
            <w:pPr>
              <w:pStyle w:val="0"/>
            </w:pPr>
            <w:r>
              <w:rPr>
                <w:sz w:val="20"/>
              </w:rPr>
              <w:t xml:space="preserve">44</w:t>
            </w:r>
          </w:p>
        </w:tc>
        <w:tc>
          <w:tcPr>
            <w:tcW w:w="784" w:type="dxa"/>
          </w:tcPr>
          <w:p>
            <w:pPr>
              <w:pStyle w:val="0"/>
            </w:pPr>
            <w:r>
              <w:rPr>
                <w:sz w:val="20"/>
              </w:rPr>
              <w:t xml:space="preserve">2,7</w:t>
            </w:r>
          </w:p>
        </w:tc>
        <w:tc>
          <w:tcPr>
            <w:tcW w:w="724" w:type="dxa"/>
          </w:tcPr>
          <w:p>
            <w:pPr>
              <w:pStyle w:val="0"/>
            </w:pPr>
            <w:r>
              <w:rPr>
                <w:sz w:val="20"/>
              </w:rPr>
              <w:t xml:space="preserve">92</w:t>
            </w:r>
          </w:p>
        </w:tc>
        <w:tc>
          <w:tcPr>
            <w:tcW w:w="664" w:type="dxa"/>
          </w:tcPr>
          <w:p>
            <w:pPr>
              <w:pStyle w:val="0"/>
            </w:pPr>
            <w:r>
              <w:rPr>
                <w:sz w:val="20"/>
              </w:rPr>
              <w:t xml:space="preserve">5,9</w:t>
            </w:r>
          </w:p>
        </w:tc>
        <w:tc>
          <w:tcPr>
            <w:tcW w:w="724" w:type="dxa"/>
          </w:tcPr>
          <w:p>
            <w:pPr>
              <w:pStyle w:val="0"/>
            </w:pPr>
            <w:r>
              <w:rPr>
                <w:sz w:val="20"/>
              </w:rPr>
              <w:t xml:space="preserve">103</w:t>
            </w:r>
          </w:p>
        </w:tc>
        <w:tc>
          <w:tcPr>
            <w:tcW w:w="784" w:type="dxa"/>
          </w:tcPr>
          <w:p>
            <w:pPr>
              <w:pStyle w:val="0"/>
            </w:pPr>
            <w:r>
              <w:rPr>
                <w:sz w:val="20"/>
              </w:rPr>
              <w:t xml:space="preserve">6,1</w:t>
            </w:r>
          </w:p>
        </w:tc>
        <w:tc>
          <w:tcPr>
            <w:tcW w:w="724" w:type="dxa"/>
          </w:tcPr>
          <w:p>
            <w:pPr>
              <w:pStyle w:val="0"/>
            </w:pPr>
            <w:r>
              <w:rPr>
                <w:sz w:val="20"/>
              </w:rPr>
              <w:t xml:space="preserve">54</w:t>
            </w:r>
          </w:p>
        </w:tc>
        <w:tc>
          <w:tcPr>
            <w:tcW w:w="784" w:type="dxa"/>
          </w:tcPr>
          <w:p>
            <w:pPr>
              <w:pStyle w:val="0"/>
            </w:pPr>
            <w:r>
              <w:rPr>
                <w:sz w:val="20"/>
              </w:rPr>
              <w:t xml:space="preserve">3,2</w:t>
            </w:r>
          </w:p>
        </w:tc>
        <w:tc>
          <w:tcPr>
            <w:tcW w:w="724" w:type="dxa"/>
          </w:tcPr>
          <w:p>
            <w:pPr>
              <w:pStyle w:val="0"/>
            </w:pPr>
            <w:r>
              <w:rPr>
                <w:sz w:val="20"/>
              </w:rPr>
              <w:t xml:space="preserve">32</w:t>
            </w:r>
          </w:p>
        </w:tc>
        <w:tc>
          <w:tcPr>
            <w:tcW w:w="784" w:type="dxa"/>
          </w:tcPr>
          <w:p>
            <w:pPr>
              <w:pStyle w:val="0"/>
            </w:pPr>
            <w:r>
              <w:rPr>
                <w:sz w:val="20"/>
              </w:rPr>
              <w:t xml:space="preserve">1,9</w:t>
            </w:r>
          </w:p>
        </w:tc>
      </w:tr>
      <w:tr>
        <w:tc>
          <w:tcPr>
            <w:tcW w:w="2119" w:type="dxa"/>
          </w:tcPr>
          <w:p>
            <w:pPr>
              <w:pStyle w:val="0"/>
            </w:pPr>
            <w:r>
              <w:rPr>
                <w:sz w:val="20"/>
              </w:rPr>
              <w:t xml:space="preserve">Переходящие транзиторные церебральные ишемические приступы (атаки)</w:t>
            </w:r>
          </w:p>
        </w:tc>
        <w:tc>
          <w:tcPr>
            <w:tcW w:w="964" w:type="dxa"/>
          </w:tcPr>
          <w:p>
            <w:pPr>
              <w:pStyle w:val="0"/>
            </w:pPr>
            <w:r>
              <w:rPr>
                <w:sz w:val="20"/>
              </w:rPr>
              <w:t xml:space="preserve">G45</w:t>
            </w:r>
          </w:p>
        </w:tc>
        <w:tc>
          <w:tcPr>
            <w:tcW w:w="724" w:type="dxa"/>
          </w:tcPr>
          <w:p>
            <w:pPr>
              <w:pStyle w:val="0"/>
            </w:pPr>
            <w:r>
              <w:rPr>
                <w:sz w:val="20"/>
              </w:rPr>
              <w:t xml:space="preserve">557</w:t>
            </w:r>
          </w:p>
        </w:tc>
        <w:tc>
          <w:tcPr>
            <w:tcW w:w="784" w:type="dxa"/>
          </w:tcPr>
          <w:p>
            <w:pPr>
              <w:pStyle w:val="0"/>
            </w:pPr>
            <w:r>
              <w:rPr>
                <w:sz w:val="20"/>
              </w:rPr>
              <w:t xml:space="preserve">33,6</w:t>
            </w:r>
          </w:p>
        </w:tc>
        <w:tc>
          <w:tcPr>
            <w:tcW w:w="724" w:type="dxa"/>
          </w:tcPr>
          <w:p>
            <w:pPr>
              <w:pStyle w:val="0"/>
            </w:pPr>
            <w:r>
              <w:rPr>
                <w:sz w:val="20"/>
              </w:rPr>
              <w:t xml:space="preserve">563</w:t>
            </w:r>
          </w:p>
        </w:tc>
        <w:tc>
          <w:tcPr>
            <w:tcW w:w="664" w:type="dxa"/>
          </w:tcPr>
          <w:p>
            <w:pPr>
              <w:pStyle w:val="0"/>
            </w:pPr>
            <w:r>
              <w:rPr>
                <w:sz w:val="20"/>
              </w:rPr>
              <w:t xml:space="preserve">33,62</w:t>
            </w:r>
          </w:p>
        </w:tc>
        <w:tc>
          <w:tcPr>
            <w:tcW w:w="724" w:type="dxa"/>
          </w:tcPr>
          <w:p>
            <w:pPr>
              <w:pStyle w:val="0"/>
            </w:pPr>
            <w:r>
              <w:rPr>
                <w:sz w:val="20"/>
              </w:rPr>
              <w:t xml:space="preserve">442</w:t>
            </w:r>
          </w:p>
        </w:tc>
        <w:tc>
          <w:tcPr>
            <w:tcW w:w="784" w:type="dxa"/>
          </w:tcPr>
          <w:p>
            <w:pPr>
              <w:pStyle w:val="0"/>
            </w:pPr>
            <w:r>
              <w:rPr>
                <w:sz w:val="20"/>
              </w:rPr>
              <w:t xml:space="preserve">26,18</w:t>
            </w:r>
          </w:p>
        </w:tc>
        <w:tc>
          <w:tcPr>
            <w:tcW w:w="724" w:type="dxa"/>
          </w:tcPr>
          <w:p>
            <w:pPr>
              <w:pStyle w:val="0"/>
            </w:pPr>
            <w:r>
              <w:rPr>
                <w:sz w:val="20"/>
              </w:rPr>
              <w:t xml:space="preserve">419</w:t>
            </w:r>
          </w:p>
        </w:tc>
        <w:tc>
          <w:tcPr>
            <w:tcW w:w="784" w:type="dxa"/>
          </w:tcPr>
          <w:p>
            <w:pPr>
              <w:pStyle w:val="0"/>
            </w:pPr>
            <w:r>
              <w:rPr>
                <w:sz w:val="20"/>
              </w:rPr>
              <w:t xml:space="preserve">24,7</w:t>
            </w:r>
          </w:p>
        </w:tc>
        <w:tc>
          <w:tcPr>
            <w:tcW w:w="724" w:type="dxa"/>
          </w:tcPr>
          <w:p>
            <w:pPr>
              <w:pStyle w:val="0"/>
            </w:pPr>
            <w:r>
              <w:rPr>
                <w:sz w:val="20"/>
              </w:rPr>
              <w:t xml:space="preserve">312</w:t>
            </w:r>
          </w:p>
        </w:tc>
        <w:tc>
          <w:tcPr>
            <w:tcW w:w="784" w:type="dxa"/>
          </w:tcPr>
          <w:p>
            <w:pPr>
              <w:pStyle w:val="0"/>
            </w:pPr>
            <w:r>
              <w:rPr>
                <w:sz w:val="20"/>
              </w:rPr>
              <w:t xml:space="preserve">18,2</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jc w:val="center"/>
      </w:pPr>
      <w:r>
        <w:rPr>
          <w:sz w:val="20"/>
        </w:rPr>
      </w:r>
    </w:p>
    <w:p>
      <w:pPr>
        <w:pStyle w:val="0"/>
        <w:ind w:firstLine="540"/>
        <w:jc w:val="both"/>
      </w:pPr>
      <w:r>
        <w:rPr>
          <w:sz w:val="20"/>
        </w:rPr>
        <w:t xml:space="preserve">В структуре первичной заболеваемости в 2022 году первое место занимают болезни, характеризующиеся повышенным кровяным давлением - 32,4%; второе - ЦВБ 15,6%; третье - ИБС 15,5%; четвертое - болезни вен, лимфатических сосудов и лимфатических узлов - 12,5%.</w:t>
      </w:r>
    </w:p>
    <w:p>
      <w:pPr>
        <w:pStyle w:val="0"/>
        <w:ind w:firstLine="540"/>
        <w:jc w:val="both"/>
      </w:pPr>
      <w:r>
        <w:rPr>
          <w:sz w:val="20"/>
        </w:rPr>
      </w:r>
    </w:p>
    <w:p>
      <w:pPr>
        <w:pStyle w:val="0"/>
        <w:jc w:val="right"/>
      </w:pPr>
      <w:r>
        <w:rPr>
          <w:sz w:val="20"/>
        </w:rPr>
        <w:t xml:space="preserve">Рисунок 8</w:t>
      </w:r>
    </w:p>
    <w:p>
      <w:pPr>
        <w:pStyle w:val="0"/>
        <w:jc w:val="right"/>
      </w:pPr>
      <w:r>
        <w:rPr>
          <w:sz w:val="20"/>
        </w:rPr>
      </w:r>
    </w:p>
    <w:p>
      <w:pPr>
        <w:pStyle w:val="0"/>
        <w:jc w:val="center"/>
      </w:pPr>
      <w:r>
        <w:rPr>
          <w:sz w:val="20"/>
        </w:rPr>
        <w:t xml:space="preserve">Показатели первичной заболеваемости в динамике за период</w:t>
      </w:r>
    </w:p>
    <w:p>
      <w:pPr>
        <w:pStyle w:val="0"/>
        <w:jc w:val="center"/>
      </w:pPr>
      <w:r>
        <w:rPr>
          <w:sz w:val="20"/>
        </w:rPr>
        <w:t xml:space="preserve">2018 - 2022 годов (на 100 тыс. населения)</w:t>
      </w:r>
    </w:p>
    <w:p>
      <w:pPr>
        <w:pStyle w:val="0"/>
        <w:jc w:val="center"/>
      </w:pPr>
      <w:r>
        <w:rPr>
          <w:sz w:val="20"/>
        </w:rPr>
      </w:r>
    </w:p>
    <w:p>
      <w:pPr>
        <w:pStyle w:val="0"/>
        <w:jc w:val="center"/>
      </w:pPr>
      <w:r>
        <w:rPr>
          <w:position w:val="-143"/>
        </w:rPr>
        <w:drawing>
          <wp:inline distT="0" distB="0" distL="0" distR="0">
            <wp:extent cx="5077460" cy="1950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5077460" cy="195072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При анализе структуры первичной заболеваемости в динамике за 5 лет прослеживается повышение доли болезней, характеризующихся повышенным кровяным давлением с 23,4% в 2018 году до 39,7% в 2022 году. В 2022 году отмечается снижение доли заболеваемости ИБС с 19,0% до 15,5%, снижение доли заболеваемости ЦВБ с 18,7% до 15,6%.</w:t>
      </w:r>
    </w:p>
    <w:p>
      <w:pPr>
        <w:pStyle w:val="0"/>
        <w:spacing w:before="200" w:line-rule="auto"/>
        <w:ind w:firstLine="540"/>
        <w:jc w:val="both"/>
      </w:pPr>
      <w:r>
        <w:rPr>
          <w:sz w:val="20"/>
        </w:rPr>
        <w:t xml:space="preserve">Первичная заболеваемость БСК в сравнении с 2018 годом практически не изменилась: 2018 год - 2090,1; 2022 год - 2106,2 на 100 тыс. населения, при этом отмечается рост первичной заболеваемости болезнями, характеризующимися повышенным кровяным давлением, на 76% по сравнению с 2018 годом - положительная динамика, свидетельствующая об улучшении выявляемости гипертонической болезни.</w:t>
      </w:r>
    </w:p>
    <w:p>
      <w:pPr>
        <w:pStyle w:val="2"/>
        <w:spacing w:before="200" w:line-rule="auto"/>
        <w:outlineLvl w:val="2"/>
        <w:ind w:firstLine="540"/>
        <w:jc w:val="both"/>
      </w:pPr>
      <w:r>
        <w:rPr>
          <w:sz w:val="20"/>
        </w:rPr>
        <w:t xml:space="preserve">1.4. Другие показатели, характеризующие оказание медицинской помощи больным с сердечно-сосудистыми заболеваниями в автономном округе.</w:t>
      </w:r>
    </w:p>
    <w:p>
      <w:pPr>
        <w:pStyle w:val="0"/>
        <w:spacing w:before="200" w:line-rule="auto"/>
        <w:ind w:firstLine="540"/>
        <w:jc w:val="both"/>
      </w:pPr>
      <w:r>
        <w:rPr>
          <w:sz w:val="20"/>
        </w:rPr>
        <w:t xml:space="preserve">В 2022 году профилактическими медицинскими осмотрами и диспансеризацией взрослого населения охвачены 349 378 человек - в 1,7 раза больше, чем в 2021 году (200 285 человек). Исполнение годового плана - 100,8%.</w:t>
      </w:r>
    </w:p>
    <w:p>
      <w:pPr>
        <w:pStyle w:val="0"/>
        <w:spacing w:before="200" w:line-rule="auto"/>
        <w:ind w:firstLine="540"/>
        <w:jc w:val="both"/>
      </w:pPr>
      <w:r>
        <w:rPr>
          <w:sz w:val="20"/>
        </w:rPr>
        <w:t xml:space="preserve">Из числа прошедших диспансеризацию к первой группе состояния здоровья отнесены 87 786 человек (25,3%), ко второй - 52 794 человека (15,2%), к третьей "а" - 159 334 человека (46,0%), к третьей "б" - 49 464 человека (14,3%).</w:t>
      </w:r>
    </w:p>
    <w:p>
      <w:pPr>
        <w:pStyle w:val="0"/>
        <w:spacing w:before="200" w:line-rule="auto"/>
        <w:ind w:firstLine="540"/>
        <w:jc w:val="both"/>
      </w:pPr>
      <w:r>
        <w:rPr>
          <w:sz w:val="20"/>
        </w:rPr>
        <w:t xml:space="preserve">Число граждан, направленных на второй этап диспансеризации, составило 68 925 человек (19,9%) от прошедших первый этап диспансеризации.</w:t>
      </w:r>
    </w:p>
    <w:p>
      <w:pPr>
        <w:pStyle w:val="0"/>
        <w:spacing w:before="200" w:line-rule="auto"/>
        <w:ind w:firstLine="540"/>
        <w:jc w:val="both"/>
      </w:pPr>
      <w:r>
        <w:rPr>
          <w:sz w:val="20"/>
        </w:rPr>
        <w:t xml:space="preserve">По результатам диспансеризации впервые выявлено:</w:t>
      </w:r>
    </w:p>
    <w:p>
      <w:pPr>
        <w:pStyle w:val="0"/>
        <w:spacing w:before="200" w:line-rule="auto"/>
        <w:ind w:firstLine="540"/>
        <w:jc w:val="both"/>
      </w:pPr>
      <w:r>
        <w:rPr>
          <w:sz w:val="20"/>
        </w:rPr>
        <w:t xml:space="preserve">ожирение (Е66) - 40 740 (11,8%);</w:t>
      </w:r>
    </w:p>
    <w:p>
      <w:pPr>
        <w:pStyle w:val="0"/>
        <w:spacing w:before="200" w:line-rule="auto"/>
        <w:ind w:firstLine="540"/>
        <w:jc w:val="both"/>
      </w:pPr>
      <w:r>
        <w:rPr>
          <w:sz w:val="20"/>
        </w:rPr>
        <w:t xml:space="preserve">АГ - 3 998 (1,15%), взято под диспансерное наблюдение 3 273 (81,9%);</w:t>
      </w:r>
    </w:p>
    <w:p>
      <w:pPr>
        <w:pStyle w:val="0"/>
        <w:spacing w:before="200" w:line-rule="auto"/>
        <w:ind w:firstLine="540"/>
        <w:jc w:val="both"/>
      </w:pPr>
      <w:r>
        <w:rPr>
          <w:sz w:val="20"/>
        </w:rPr>
        <w:t xml:space="preserve">сахарный диабет (далее - СД) - 528 (0,15%), взяты под диспансерное наблюдение 528 (100,0%).</w:t>
      </w:r>
    </w:p>
    <w:p>
      <w:pPr>
        <w:pStyle w:val="0"/>
        <w:spacing w:before="200" w:line-rule="auto"/>
        <w:ind w:firstLine="540"/>
        <w:jc w:val="both"/>
      </w:pPr>
      <w:r>
        <w:rPr>
          <w:sz w:val="20"/>
        </w:rPr>
        <w:t xml:space="preserve">От числа полностью завершивших диспансеризацию 24 203 человек (6,9%) имеют высокий и очень высокий абсолютный суммарный риск сердечно-сосудистых осложнений.</w:t>
      </w:r>
    </w:p>
    <w:p>
      <w:pPr>
        <w:pStyle w:val="0"/>
        <w:spacing w:before="200" w:line-rule="auto"/>
        <w:ind w:firstLine="540"/>
        <w:jc w:val="both"/>
      </w:pPr>
      <w:r>
        <w:rPr>
          <w:sz w:val="20"/>
        </w:rPr>
        <w:t xml:space="preserve">По результатам диспансеризации на дополнительное диагностическое исследование, не входящее в объем диспансеризации, направлены 3 301 человек (0,94%), для получения специализированной, в том числе высокотехнологичной, медицинской помощи (далее - ВМП) направлены 150 пациентов (0,04%).</w:t>
      </w:r>
    </w:p>
    <w:p>
      <w:pPr>
        <w:pStyle w:val="0"/>
        <w:spacing w:before="200" w:line-rule="auto"/>
        <w:ind w:firstLine="540"/>
        <w:jc w:val="both"/>
      </w:pPr>
      <w:r>
        <w:rPr>
          <w:sz w:val="20"/>
        </w:rPr>
        <w:t xml:space="preserve">За 2022 год в центры здоровья обратились 18 915 человек.</w:t>
      </w:r>
    </w:p>
    <w:p>
      <w:pPr>
        <w:pStyle w:val="0"/>
        <w:spacing w:before="200" w:line-rule="auto"/>
        <w:ind w:firstLine="540"/>
        <w:jc w:val="both"/>
      </w:pPr>
      <w:r>
        <w:rPr>
          <w:sz w:val="20"/>
        </w:rPr>
        <w:t xml:space="preserve">Из них 7 595 здоровых граждан, к группе риска в отчетном периоде отнесены 11 320 человек.</w:t>
      </w:r>
    </w:p>
    <w:p>
      <w:pPr>
        <w:pStyle w:val="0"/>
        <w:spacing w:before="200" w:line-rule="auto"/>
        <w:ind w:firstLine="540"/>
        <w:jc w:val="both"/>
      </w:pPr>
      <w:r>
        <w:rPr>
          <w:sz w:val="20"/>
        </w:rPr>
        <w:t xml:space="preserve">Назначены индивидуальные планы оздоровления 18 915 пациентам. Направлены в медицинские организации к врачам-специалистам для дополнительного обследования и лечения 1 184 человека.</w:t>
      </w:r>
    </w:p>
    <w:p>
      <w:pPr>
        <w:pStyle w:val="0"/>
        <w:jc w:val="center"/>
      </w:pPr>
      <w:r>
        <w:rPr>
          <w:sz w:val="20"/>
        </w:rPr>
      </w:r>
    </w:p>
    <w:p>
      <w:pPr>
        <w:pStyle w:val="2"/>
        <w:outlineLvl w:val="3"/>
        <w:ind w:firstLine="540"/>
        <w:jc w:val="both"/>
      </w:pPr>
      <w:r>
        <w:rPr>
          <w:sz w:val="20"/>
        </w:rPr>
        <w:t xml:space="preserve">1.4.1. Профилактика заболеваний и формирование здорового образа жизни</w:t>
      </w:r>
    </w:p>
    <w:p>
      <w:pPr>
        <w:pStyle w:val="0"/>
        <w:ind w:firstLine="540"/>
        <w:jc w:val="both"/>
      </w:pPr>
      <w:r>
        <w:rPr>
          <w:sz w:val="20"/>
        </w:rPr>
      </w:r>
    </w:p>
    <w:p>
      <w:pPr>
        <w:pStyle w:val="0"/>
        <w:ind w:firstLine="540"/>
        <w:jc w:val="both"/>
      </w:pPr>
      <w:r>
        <w:rPr>
          <w:sz w:val="20"/>
        </w:rPr>
        <w:t xml:space="preserve">Мероприятия по формированию здорового образа жизни реализуются по государственной </w:t>
      </w:r>
      <w:hyperlink w:history="0" r:id="rId134" w:tooltip="Постановление Правительства ХМАО - Югры от 31.10.2021 N 467-п (ред. от 13.10.2023) &quot;О государственной программе Ханты-Мансийского автономного округа - Югры &quot;Современное здравоохранение&quot; (с изм. и доп., вступающими в силу с 22.10.2023) {КонсультантПлюс}">
        <w:r>
          <w:rPr>
            <w:sz w:val="20"/>
            <w:color w:val="0000ff"/>
          </w:rPr>
          <w:t xml:space="preserve">программе</w:t>
        </w:r>
      </w:hyperlink>
      <w:r>
        <w:rPr>
          <w:sz w:val="20"/>
        </w:rPr>
        <w:t xml:space="preserve"> "Современное здравоохранение", утвержденной постановлением Правительства автономного округа от 31 октября 2021 года N 467-п. Система медицинской профилактики включает: бюджетное учреждение Ханты-Мансийского автономного округа - Югры (далее - БУ) "Центр общественного здоровья и медицинской профилактики" с 3 филиалами в гг. Сургут, Нижневартовск и Нефтеюганск, 5 центров здоровья (в том числе 3 центра здоровья для детского населения).</w:t>
      </w:r>
    </w:p>
    <w:p>
      <w:pPr>
        <w:pStyle w:val="0"/>
        <w:spacing w:before="200" w:line-rule="auto"/>
        <w:ind w:firstLine="540"/>
        <w:jc w:val="both"/>
      </w:pPr>
      <w:r>
        <w:rPr>
          <w:sz w:val="20"/>
        </w:rPr>
        <w:t xml:space="preserve">В 2022 году в центры здоровья обратились 18 915 чел. (2021 год - 35 068 чел., 2020 год - 25 620 чел.). Индивидуальные планы оздоровления назначены в 100% случаев обращений.</w:t>
      </w:r>
    </w:p>
    <w:p>
      <w:pPr>
        <w:pStyle w:val="0"/>
        <w:spacing w:before="200" w:line-rule="auto"/>
        <w:ind w:firstLine="540"/>
        <w:jc w:val="both"/>
      </w:pPr>
      <w:r>
        <w:rPr>
          <w:sz w:val="20"/>
        </w:rPr>
        <w:t xml:space="preserve">Из числа обратившихся:</w:t>
      </w:r>
    </w:p>
    <w:p>
      <w:pPr>
        <w:pStyle w:val="0"/>
        <w:spacing w:before="200" w:line-rule="auto"/>
        <w:ind w:firstLine="540"/>
        <w:jc w:val="both"/>
      </w:pPr>
      <w:r>
        <w:rPr>
          <w:sz w:val="20"/>
        </w:rPr>
        <w:t xml:space="preserve">здоровых граждан 7 595 чел. (2021 год - 22 330 чел., 2020 год - 8 129 чел.);</w:t>
      </w:r>
    </w:p>
    <w:p>
      <w:pPr>
        <w:pStyle w:val="0"/>
        <w:spacing w:before="200" w:line-rule="auto"/>
        <w:ind w:firstLine="540"/>
        <w:jc w:val="both"/>
      </w:pPr>
      <w:r>
        <w:rPr>
          <w:sz w:val="20"/>
        </w:rPr>
        <w:t xml:space="preserve">к группе риска отнесены 11 320 чел. (2021 год - 12 738 чел., 2020 год - 17 491 чел.);</w:t>
      </w:r>
    </w:p>
    <w:p>
      <w:pPr>
        <w:pStyle w:val="0"/>
        <w:spacing w:before="200" w:line-rule="auto"/>
        <w:ind w:firstLine="540"/>
        <w:jc w:val="both"/>
      </w:pPr>
      <w:r>
        <w:rPr>
          <w:sz w:val="20"/>
        </w:rPr>
        <w:t xml:space="preserve">направлены в медицинские организации к врачам-специалистам для дополнительного обследования и лечения 1 184 чел. (2021 год - 2 703 чел., 2020 год - 2 111 чел.).</w:t>
      </w:r>
    </w:p>
    <w:p>
      <w:pPr>
        <w:pStyle w:val="0"/>
        <w:spacing w:before="200" w:line-rule="auto"/>
        <w:ind w:firstLine="540"/>
        <w:jc w:val="both"/>
      </w:pPr>
      <w:r>
        <w:rPr>
          <w:sz w:val="20"/>
        </w:rPr>
        <w:t xml:space="preserve">Кроме того, в медицинских организациях автономного округа функционирует 22 отделения, 31 кабинет медицинской профилактики и 26 кабинетов медицинской помощи при отказе от курения.</w:t>
      </w:r>
    </w:p>
    <w:p>
      <w:pPr>
        <w:pStyle w:val="0"/>
        <w:spacing w:before="200" w:line-rule="auto"/>
        <w:ind w:firstLine="540"/>
        <w:jc w:val="both"/>
      </w:pPr>
      <w:r>
        <w:rPr>
          <w:sz w:val="20"/>
        </w:rPr>
        <w:t xml:space="preserve">Для формирования единого медиапространства по пропаганде здорового образа жизни в автономном округе применяются следующие принципы:</w:t>
      </w:r>
    </w:p>
    <w:p>
      <w:pPr>
        <w:pStyle w:val="0"/>
        <w:spacing w:before="200" w:line-rule="auto"/>
        <w:ind w:firstLine="540"/>
        <w:jc w:val="both"/>
      </w:pPr>
      <w:r>
        <w:rPr>
          <w:sz w:val="20"/>
        </w:rPr>
        <w:t xml:space="preserve">информационное обеспечение деятельности медицинских организаций;</w:t>
      </w:r>
    </w:p>
    <w:p>
      <w:pPr>
        <w:pStyle w:val="0"/>
        <w:spacing w:before="200" w:line-rule="auto"/>
        <w:ind w:firstLine="540"/>
        <w:jc w:val="both"/>
      </w:pPr>
      <w:r>
        <w:rPr>
          <w:sz w:val="20"/>
        </w:rPr>
        <w:t xml:space="preserve">обеспечение информационной открытости;</w:t>
      </w:r>
    </w:p>
    <w:p>
      <w:pPr>
        <w:pStyle w:val="0"/>
        <w:spacing w:before="200" w:line-rule="auto"/>
        <w:ind w:firstLine="540"/>
        <w:jc w:val="both"/>
      </w:pPr>
      <w:r>
        <w:rPr>
          <w:sz w:val="20"/>
        </w:rPr>
        <w:t xml:space="preserve">формирование через средства массовой информации объективного общественного мнения.</w:t>
      </w:r>
    </w:p>
    <w:p>
      <w:pPr>
        <w:pStyle w:val="0"/>
        <w:spacing w:before="200" w:line-rule="auto"/>
        <w:ind w:firstLine="540"/>
        <w:jc w:val="both"/>
      </w:pPr>
      <w:r>
        <w:rPr>
          <w:sz w:val="20"/>
        </w:rPr>
        <w:t xml:space="preserve">Плотность информационного поля по освещению реализации мероприятий по вопросам охраны здоровья граждан за 2022 год составляет 63,4 информационных повода на 10 тысяч населения.</w:t>
      </w:r>
    </w:p>
    <w:p>
      <w:pPr>
        <w:pStyle w:val="0"/>
        <w:spacing w:before="200" w:line-rule="auto"/>
        <w:ind w:firstLine="540"/>
        <w:jc w:val="both"/>
      </w:pPr>
      <w:r>
        <w:rPr>
          <w:sz w:val="20"/>
        </w:rPr>
        <w:t xml:space="preserve">Для того, чтобы отслеживать результаты информационно-коммуникационной кампании, проверять актуальность публикуемых данных и анализировать качество проводимой работы на официальном сайте БУ "Центр общественного здоровья и медицинской профилактики" (http://cmphmao.ru) функционирует система оперативного мониторинга средств массовой информации (далее - СМИ). В каждой медицинской организации назначен информационный уполномоченный, который ежедневно заполняет отчет о размещенных материалах в СМИ.</w:t>
      </w:r>
    </w:p>
    <w:p>
      <w:pPr>
        <w:pStyle w:val="0"/>
        <w:spacing w:before="200" w:line-rule="auto"/>
        <w:ind w:firstLine="540"/>
        <w:jc w:val="both"/>
      </w:pPr>
      <w:r>
        <w:rPr>
          <w:sz w:val="20"/>
        </w:rPr>
        <w:t xml:space="preserve">В 2022 году размещено 9 444 публикации, в том числе в Интернете - 4 754, на радио - 640, телевидении - 806, в периодических изданиях - 190, социальных сетях - 3 054.</w:t>
      </w:r>
    </w:p>
    <w:p>
      <w:pPr>
        <w:pStyle w:val="0"/>
        <w:spacing w:before="200" w:line-rule="auto"/>
        <w:ind w:firstLine="540"/>
        <w:jc w:val="both"/>
      </w:pPr>
      <w:r>
        <w:rPr>
          <w:sz w:val="20"/>
        </w:rPr>
        <w:t xml:space="preserve">На сайте ежедневно обновляется информация о вопросах сохранения здоровья с использованием различных форматов. Площадка является интерактивной. У желающих есть возможность посредством сайта использовать online-сервисы, такие как "Калькулятор SCORE", "Индекс массы тела" и др.</w:t>
      </w:r>
    </w:p>
    <w:p>
      <w:pPr>
        <w:pStyle w:val="0"/>
        <w:spacing w:before="200" w:line-rule="auto"/>
        <w:ind w:firstLine="540"/>
        <w:jc w:val="both"/>
      </w:pPr>
      <w:r>
        <w:rPr>
          <w:sz w:val="20"/>
        </w:rPr>
        <w:t xml:space="preserve">На сайте Центра общественного здоровья и медицинской профилактики размещаются макеты выпускаемой печатной продукции, в том числе собственных СМИ - журнала "Регион здоровья", газеты "Здравоохранение Югры", видео- и аудиоролики, мотивирующие на ведение здорового образа жизни.</w:t>
      </w:r>
    </w:p>
    <w:p>
      <w:pPr>
        <w:pStyle w:val="0"/>
        <w:spacing w:before="200" w:line-rule="auto"/>
        <w:ind w:firstLine="540"/>
        <w:jc w:val="both"/>
      </w:pPr>
      <w:r>
        <w:rPr>
          <w:sz w:val="20"/>
        </w:rPr>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автономного округа и Департамента здравоохранения Ханты-Мансийского автономного округа - Югры.</w:t>
      </w:r>
    </w:p>
    <w:p>
      <w:pPr>
        <w:pStyle w:val="0"/>
        <w:spacing w:before="200" w:line-rule="auto"/>
        <w:ind w:firstLine="540"/>
        <w:jc w:val="both"/>
      </w:pPr>
      <w:r>
        <w:rPr>
          <w:sz w:val="20"/>
        </w:rPr>
        <w:t xml:space="preserve">В качестве площадки для взаимодействия с населением особое внимание уделяется социальным медиа: медицинские организации имеют 166 официальных публичных страниц в социальных сетях, из них: "ВКонтакте" - 89, "Одноклассники" - 36, "Телеграмм" - 41.</w:t>
      </w:r>
    </w:p>
    <w:p>
      <w:pPr>
        <w:pStyle w:val="0"/>
        <w:spacing w:before="200" w:line-rule="auto"/>
        <w:ind w:firstLine="540"/>
        <w:jc w:val="both"/>
      </w:pPr>
      <w:r>
        <w:rPr>
          <w:sz w:val="20"/>
        </w:rPr>
        <w:t xml:space="preserve">Одной из самых популярных площадок в системе здравоохранения служит группа "Послушайте, доктор. ХМАО - Югра" в социальной сети "ВКонтакте". Ежедневное посещение более 700 человек. По состоянию на 31 декабря 2022 года группа имеет 51 677 подписчиков.</w:t>
      </w:r>
    </w:p>
    <w:p>
      <w:pPr>
        <w:pStyle w:val="0"/>
        <w:spacing w:before="200" w:line-rule="auto"/>
        <w:ind w:firstLine="540"/>
        <w:jc w:val="both"/>
      </w:pPr>
      <w:r>
        <w:rPr>
          <w:sz w:val="20"/>
        </w:rPr>
        <w:t xml:space="preserve">По проекту оперативного мониторинга информационной активности населения в сфере здравоохранения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59 прямых эфиров.</w:t>
      </w:r>
    </w:p>
    <w:p>
      <w:pPr>
        <w:pStyle w:val="0"/>
        <w:spacing w:before="200" w:line-rule="auto"/>
        <w:ind w:firstLine="540"/>
        <w:jc w:val="both"/>
      </w:pPr>
      <w:r>
        <w:rPr>
          <w:sz w:val="20"/>
        </w:rPr>
        <w:t xml:space="preserve">В 2022 году в эфире ОТРК "Югра" реализован телевизионный проект "100+", который посвящен борьбе с лишним весом, с вредными привычками.</w:t>
      </w:r>
    </w:p>
    <w:p>
      <w:pPr>
        <w:pStyle w:val="0"/>
        <w:spacing w:before="200" w:line-rule="auto"/>
        <w:ind w:firstLine="540"/>
        <w:jc w:val="both"/>
      </w:pPr>
      <w:r>
        <w:rPr>
          <w:sz w:val="20"/>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"Семейный доктор". Территория вещания: автономный округ и город Тюмень. Количество слушателей около 1,5 млн человек, возраст - 16+.</w:t>
      </w:r>
    </w:p>
    <w:p>
      <w:pPr>
        <w:pStyle w:val="0"/>
        <w:spacing w:before="200" w:line-rule="auto"/>
        <w:ind w:firstLine="540"/>
        <w:jc w:val="both"/>
      </w:pPr>
      <w:r>
        <w:rPr>
          <w:sz w:val="20"/>
        </w:rPr>
        <w:t xml:space="preserve">В 2022 году в эфир вышло 100 передач. Тематика: месячники профилактики инфекционных и неинфекционных заболеваний,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скрининги).</w:t>
      </w:r>
    </w:p>
    <w:p>
      <w:pPr>
        <w:pStyle w:val="0"/>
        <w:spacing w:before="200" w:line-rule="auto"/>
        <w:ind w:firstLine="540"/>
        <w:jc w:val="both"/>
      </w:pPr>
      <w:r>
        <w:rPr>
          <w:sz w:val="20"/>
        </w:rPr>
        <w:t xml:space="preserve">Центр общественного здоровья и медицинской профилактики имеет постоянную рубрику в окружном периодическом издании "Новости Югры".</w:t>
      </w:r>
    </w:p>
    <w:p>
      <w:pPr>
        <w:pStyle w:val="0"/>
        <w:spacing w:before="200" w:line-rule="auto"/>
        <w:ind w:firstLine="540"/>
        <w:jc w:val="both"/>
      </w:pPr>
      <w:r>
        <w:rPr>
          <w:sz w:val="20"/>
        </w:rPr>
        <w:t xml:space="preserve">В 2022 году Центром общественного здоровья и медицинской профилактики напечатано 29 наименований полиграфической продукции общим тиражом 211 700 экземпляров (2021 год - 36 наименований, тираж - 464 600 экземпляров, 2020 год - 27 наименований, тираж - 576 700 экземпляров), в том числе лифлет "Углубленная диспансеризация", "Изменения в организме после отказа от курения", "Как сократить количество трансжиров в питании", "Первая помощь при гипертоническом кризе", "Осторожно! Алкоголь!", "Рекомендации для лиц с хроническими заболеваниями в условиях пандемии", брошюра "Дневник пациента с артериальной гипертонией" и другие.</w:t>
      </w:r>
    </w:p>
    <w:p>
      <w:pPr>
        <w:pStyle w:val="0"/>
        <w:spacing w:before="200" w:line-rule="auto"/>
        <w:ind w:firstLine="540"/>
        <w:jc w:val="both"/>
      </w:pPr>
      <w:r>
        <w:rPr>
          <w:sz w:val="20"/>
        </w:rPr>
        <w:t xml:space="preserve">В 2022 году проведено 12 месячников: профилактики сердечно-сосудистых заболеваний, профилактики факторов риска для пожилого человека, здорового питания. В ходе которых в медицинских организациях проводились лекции и беседы, размещались материалы в СМИ, киновидеодемонстрации, размещались средства наглядной агитации в стенах учреждений.</w:t>
      </w:r>
    </w:p>
    <w:p>
      <w:pPr>
        <w:pStyle w:val="0"/>
        <w:spacing w:before="200" w:line-rule="auto"/>
        <w:ind w:firstLine="540"/>
        <w:jc w:val="both"/>
      </w:pPr>
      <w:r>
        <w:rPr>
          <w:sz w:val="20"/>
        </w:rPr>
        <w:t xml:space="preserve">Так, в месячник профилактики сердечно-сосудистых заболеваний специалистами медицинских организаций прочитано 294 лекции, общее число слушателей 4 199 чел., 27 242 беседы, число участников 61 103 чел., в СМИ размещено 602 информации: на телевидении - 13, радио - 16, публикации в прессе - 19, интернете - 554, проведено 98 кинодемонстраций с обсуждением, число зрителей - 2 132 человека, проведено 61 массовое мероприятие, число участников 9 421 чел., размещено 1634 средства наглядной агитации (стенды, альбомы, плакаты, санитарные бюллетени и др.), распространено 29 214 экз. печатной продукции.</w:t>
      </w:r>
    </w:p>
    <w:p>
      <w:pPr>
        <w:pStyle w:val="0"/>
        <w:spacing w:before="200" w:line-rule="auto"/>
        <w:ind w:firstLine="540"/>
        <w:jc w:val="both"/>
      </w:pPr>
      <w:r>
        <w:rPr>
          <w:sz w:val="20"/>
        </w:rPr>
        <w:t xml:space="preserve">В 2022 году специалистами медицинских организаций по профилактике заболеваний сердечно-сосудистой системы прочитано 1 161 лекция, число слушателей 11 932 чел., проведено 69 133 беседы, число участников - 134 884 чел., в СМИ размещено 1457 информаций: на телевидении - 77, радио - 23, публикаций в прессе - 55, интернет - 1302, проведено 312 кинодемонстраций, число зрителей 5516 чел., проведено 78 массовых мероприятий с 10 792 участниками, в том числе: акций - 60, дней открытых дверей - 7, флеш-мобов - 2, конкурсов рисунков - 1, "круглых столов" - 8, размещено 4 029 средств наглядной агитации, распространено 73 131 экз. печатной продукции.</w:t>
      </w:r>
    </w:p>
    <w:p>
      <w:pPr>
        <w:pStyle w:val="0"/>
        <w:spacing w:before="200" w:line-rule="auto"/>
        <w:ind w:firstLine="540"/>
        <w:jc w:val="both"/>
      </w:pPr>
      <w:r>
        <w:rPr>
          <w:sz w:val="20"/>
        </w:rPr>
        <w:t xml:space="preserve">В период Всемирного дня борьбы с артериальной гипертонией (17 мая) прочитано 44 лекции, число слушателей 701 чел., проведено 2 800 бесед, число участников 6 369 чел., размещено 112 информационных повода в СМИ, в том числе: на телевидении - 2, радио - 4, публикаций в прессе - 11, Интернете - 95, проведено 25 кинопоказов с обсуждением, число зрителей 371 чел., проведено 10 массовых мероприятий, в том числе: акций - 9, дней открытых дверей - 1, размещено 118 средств наглядной агитации и распространено 5 900 экз. печатной продукции.</w:t>
      </w:r>
    </w:p>
    <w:p>
      <w:pPr>
        <w:pStyle w:val="0"/>
        <w:spacing w:before="200" w:line-rule="auto"/>
        <w:ind w:firstLine="540"/>
        <w:jc w:val="both"/>
      </w:pPr>
      <w:r>
        <w:rPr>
          <w:sz w:val="20"/>
        </w:rPr>
        <w:t xml:space="preserve">Всемирный день сердца (29 сентября): прочитано 38 лекций, число слушателей 762 чел., проведено 3 172 беседы, число участников 7 163 чел., размещено 126 информационных повода в СМИ, в том числе: на телевидении - 6, радио - 1, публикаций в прессе - 1, Интернете - 118, проведен 21 кинопоказ с обсуждением, число зрителей 389 чел., проведено 22 массовых мероприятия, в том числе: акций - 17, дней открытых дверей - 2, флеш-мобов - 2, "круглых столов" - 1, размещено 166 средств наглядной агитации и распространено 7 427 экз. печатной продукции.</w:t>
      </w:r>
    </w:p>
    <w:p>
      <w:pPr>
        <w:pStyle w:val="0"/>
        <w:spacing w:before="200" w:line-rule="auto"/>
        <w:ind w:firstLine="540"/>
        <w:jc w:val="both"/>
      </w:pPr>
      <w:r>
        <w:rPr>
          <w:sz w:val="20"/>
        </w:rPr>
        <w:t xml:space="preserve">В условиях Всемирного дня борьбы с инсультом (29 октября) прочитано 33 лекции, число слушателей 1 115 чел., проведено 5 940 бесед, число участников 10 587 чел., размещено 91 информация в СМИ, в том числе: на телевидении - 4, публикаций в прессе - 3, Интернете - 84, проведено 18 кинопоказов с обсуждением, число зрителей 274 чел., проведено 21 массовое мероприятие, в том числе: акций - 17, конкурсов - 1, круглых столов - 3, размещено 163 средств наглядной агитации и распространено 6 037 экз. печатной продукции.</w:t>
      </w:r>
    </w:p>
    <w:p>
      <w:pPr>
        <w:pStyle w:val="0"/>
        <w:spacing w:before="200" w:line-rule="auto"/>
        <w:ind w:firstLine="540"/>
        <w:jc w:val="both"/>
      </w:pPr>
      <w:r>
        <w:rPr>
          <w:sz w:val="20"/>
        </w:rPr>
        <w:t xml:space="preserve">По состоянию на 30 декабря 2022 года зарегистрировано 2 799 добровольцев регионального отделения Всероссийского общественного движения "Волонтеры-медики", при участии которых реализовано несколько крупных всероссийских проектов и федеральных программ Национального проекта "Здравоохранение", в том числе Всероссийская федеральная программа по профилактике сердечно-сосудистых заболеваний и их осложнений "Оберегая сердца": для 1167 школьников средних общеобразовательных учреждений в 10 муниципалитетах проведены: квиз "Оберегая сердца", соображариум "Тайны здоровья нашего сердца", интерактивный урок-эксперимент "Как работает сердце" и тренинг "ССЗ", урок здоровья "Орбик и история об инсульте". Мероприятия направлены на освещение основных понятий сердечно-сосудистых заболеваний, обучение навыкам распознавания инсульта и инфаркта, а также мотивацию здорового образа жизни (далее - ЗОЖ), как неотъемлемой части профилактики данных заболеваний и состояний. Дополнительно проведено 9 массовых мероприятий для 440 школьников, приуроченных к Всемирному дню борьбы с инсультом 29 октября.</w:t>
      </w:r>
    </w:p>
    <w:p>
      <w:pPr>
        <w:pStyle w:val="0"/>
        <w:spacing w:before="200" w:line-rule="auto"/>
        <w:ind w:firstLine="540"/>
        <w:jc w:val="both"/>
      </w:pPr>
      <w:r>
        <w:rPr>
          <w:sz w:val="20"/>
        </w:rPr>
        <w:t xml:space="preserve">Для коллективов 2 крупных предприятий автономного округа проведены открытые лектории о профилактике сердечно-сосудистых заболеваний, способах их диагностики и профилактики; а также мастер-класс "Измеряем давление правильно".</w:t>
      </w:r>
    </w:p>
    <w:p>
      <w:pPr>
        <w:pStyle w:val="0"/>
        <w:spacing w:before="200" w:line-rule="auto"/>
        <w:ind w:firstLine="540"/>
        <w:jc w:val="both"/>
      </w:pPr>
      <w:r>
        <w:rPr>
          <w:sz w:val="20"/>
        </w:rPr>
        <w:t xml:space="preserve">В июне 2022 года добровольцы здравоохранения посетили летние пришкольные лагеря дневного пребывания с целью повышения осведомленности населения в части оказания первой помощи, показали мастер-классы по оказанию первой помощи при отсутствии сознания, остановке дыхания и кровообращения, кровотечении, переломах и других состояниях.</w:t>
      </w:r>
    </w:p>
    <w:p>
      <w:pPr>
        <w:pStyle w:val="0"/>
        <w:spacing w:before="200" w:line-rule="auto"/>
        <w:ind w:firstLine="540"/>
        <w:jc w:val="both"/>
      </w:pPr>
      <w:r>
        <w:rPr>
          <w:sz w:val="20"/>
        </w:rPr>
        <w:t xml:space="preserve">В 2022 году Депздрав Югры проведена работа с привлечением социально ориентированных негосударственных коммерческих организаций к оказанию медицинской помощи, в том числе по проекту "Профилактика неинфекционных заболеваний, формирование здорового образа жизни и санитарно-гигиеническое просвещение населения. Профилактика сердечно-сосудистых заболеваний".</w:t>
      </w:r>
    </w:p>
    <w:p>
      <w:pPr>
        <w:pStyle w:val="0"/>
        <w:jc w:val="center"/>
      </w:pPr>
      <w:r>
        <w:rPr>
          <w:sz w:val="20"/>
        </w:rPr>
      </w:r>
    </w:p>
    <w:p>
      <w:pPr>
        <w:pStyle w:val="2"/>
        <w:outlineLvl w:val="3"/>
        <w:ind w:firstLine="540"/>
        <w:jc w:val="both"/>
      </w:pPr>
      <w:r>
        <w:rPr>
          <w:sz w:val="20"/>
        </w:rPr>
        <w:t xml:space="preserve">1.4.2. Первичная медико-санитарная помощь пациентам с БСК</w:t>
      </w:r>
    </w:p>
    <w:p>
      <w:pPr>
        <w:pStyle w:val="0"/>
        <w:ind w:firstLine="540"/>
        <w:jc w:val="both"/>
      </w:pPr>
      <w:r>
        <w:rPr>
          <w:sz w:val="20"/>
        </w:rPr>
      </w:r>
    </w:p>
    <w:p>
      <w:pPr>
        <w:pStyle w:val="0"/>
        <w:ind w:firstLine="540"/>
        <w:jc w:val="both"/>
      </w:pPr>
      <w:r>
        <w:rPr>
          <w:sz w:val="20"/>
        </w:rPr>
        <w:t xml:space="preserve">Амбулаторно-поликлиническая помощь оказывается населению автономного округа в 73 медицинских подразделениях, в том числе самостоятельных поликлиниках и поликлиниках, входящих в состав больниц. В структуре первичного звена работают 68 фельдшерско-акушерских пунктов, 33 врачебных амбулатории, 16 участковых больниц.</w:t>
      </w:r>
    </w:p>
    <w:p>
      <w:pPr>
        <w:pStyle w:val="0"/>
        <w:spacing w:before="200" w:line-rule="auto"/>
        <w:ind w:firstLine="540"/>
        <w:jc w:val="both"/>
      </w:pPr>
      <w:r>
        <w:rPr>
          <w:sz w:val="20"/>
        </w:rPr>
        <w:t xml:space="preserve">Первичную медико-санитарную помощь (ПСМП) оказывают 625 врачей-терапевтов участковых, 83 врача общей практики.</w:t>
      </w:r>
    </w:p>
    <w:p>
      <w:pPr>
        <w:pStyle w:val="0"/>
        <w:spacing w:before="200" w:line-rule="auto"/>
        <w:ind w:firstLine="540"/>
        <w:jc w:val="both"/>
      </w:pPr>
      <w:r>
        <w:rPr>
          <w:sz w:val="20"/>
        </w:rPr>
        <w:t xml:space="preserve">Возможность получения ПСМП жителями отдаленных и труднодоступных населенных пунктов автономного округа решается за счет работы выездных медицинских бригад.</w:t>
      </w:r>
    </w:p>
    <w:p>
      <w:pPr>
        <w:pStyle w:val="0"/>
        <w:spacing w:before="200" w:line-rule="auto"/>
        <w:ind w:firstLine="540"/>
        <w:jc w:val="both"/>
      </w:pPr>
      <w:r>
        <w:rPr>
          <w:sz w:val="20"/>
        </w:rPr>
        <w:t xml:space="preserve">Основным звеном выездной работы является лечебно-диагностическое отделение на водном транспорте автономного учреждения Ханты-Мансийского автономного округа - Югры "Центр профессиональной патологии", оснащенное современным оборудованием, на базе трехпалубного теплохода "Николай Пирогов", где прием ведут врачи 12 специальностей, рабочие места врачей полностью компьютеризованы, имеется спутниковый телемедицинский комплекс. В 2022 году специалисты на теплоходе посетили 60 населенных пунктов. Осмотрено 10 430 человек.</w:t>
      </w:r>
    </w:p>
    <w:p>
      <w:pPr>
        <w:pStyle w:val="0"/>
        <w:spacing w:before="200" w:line-rule="auto"/>
        <w:ind w:firstLine="540"/>
        <w:jc w:val="both"/>
      </w:pPr>
      <w:r>
        <w:rPr>
          <w:sz w:val="20"/>
        </w:rPr>
        <w:t xml:space="preserve">Кроме того, выездная работа осуществляется 17 врачебно-фельдшерскими бригадами районных больниц. В 2022 году ими осуществлено 470 выездов, осмотрены более 32 тыс. человек.</w:t>
      </w:r>
    </w:p>
    <w:p>
      <w:pPr>
        <w:pStyle w:val="0"/>
        <w:ind w:firstLine="540"/>
        <w:jc w:val="both"/>
      </w:pPr>
      <w:r>
        <w:rPr>
          <w:sz w:val="20"/>
        </w:rPr>
      </w:r>
    </w:p>
    <w:p>
      <w:pPr>
        <w:pStyle w:val="0"/>
        <w:jc w:val="right"/>
      </w:pPr>
      <w:r>
        <w:rPr>
          <w:sz w:val="20"/>
        </w:rPr>
        <w:t xml:space="preserve">Таблица 13</w:t>
      </w:r>
    </w:p>
    <w:p>
      <w:pPr>
        <w:pStyle w:val="0"/>
        <w:jc w:val="right"/>
      </w:pPr>
      <w:r>
        <w:rPr>
          <w:sz w:val="20"/>
        </w:rPr>
      </w:r>
    </w:p>
    <w:p>
      <w:pPr>
        <w:pStyle w:val="0"/>
        <w:jc w:val="center"/>
      </w:pPr>
      <w:r>
        <w:rPr>
          <w:sz w:val="20"/>
        </w:rPr>
        <w:t xml:space="preserve">Заболеваемость БСК и охват диспансерным наблюдением</w:t>
      </w:r>
    </w:p>
    <w:p>
      <w:pPr>
        <w:pStyle w:val="0"/>
        <w:jc w:val="center"/>
      </w:pPr>
      <w:r>
        <w:rPr>
          <w:sz w:val="20"/>
        </w:rPr>
        <w:t xml:space="preserve">за период 2020 - 2022 годов (МИАЦ)</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89"/>
        <w:gridCol w:w="844"/>
        <w:gridCol w:w="1174"/>
        <w:gridCol w:w="1114"/>
        <w:gridCol w:w="949"/>
        <w:gridCol w:w="1174"/>
        <w:gridCol w:w="844"/>
        <w:gridCol w:w="1174"/>
        <w:gridCol w:w="1114"/>
        <w:gridCol w:w="844"/>
        <w:gridCol w:w="1174"/>
        <w:gridCol w:w="844"/>
        <w:gridCol w:w="1174"/>
        <w:gridCol w:w="724"/>
        <w:gridCol w:w="844"/>
        <w:gridCol w:w="1174"/>
      </w:tblGrid>
      <w:tr>
        <w:tc>
          <w:tcPr>
            <w:tcW w:w="1189" w:type="dxa"/>
            <w:vMerge w:val="restart"/>
          </w:tcPr>
          <w:p>
            <w:pPr>
              <w:pStyle w:val="0"/>
              <w:jc w:val="center"/>
            </w:pPr>
            <w:r>
              <w:rPr>
                <w:sz w:val="20"/>
              </w:rPr>
              <w:t xml:space="preserve">Нозология</w:t>
            </w:r>
          </w:p>
        </w:tc>
        <w:tc>
          <w:tcPr>
            <w:gridSpan w:val="5"/>
            <w:tcW w:w="5255" w:type="dxa"/>
          </w:tcPr>
          <w:p>
            <w:pPr>
              <w:pStyle w:val="0"/>
              <w:jc w:val="center"/>
            </w:pPr>
            <w:r>
              <w:rPr>
                <w:sz w:val="20"/>
              </w:rPr>
              <w:t xml:space="preserve">2020</w:t>
            </w:r>
          </w:p>
        </w:tc>
        <w:tc>
          <w:tcPr>
            <w:gridSpan w:val="5"/>
            <w:tcW w:w="5150" w:type="dxa"/>
          </w:tcPr>
          <w:p>
            <w:pPr>
              <w:pStyle w:val="0"/>
              <w:jc w:val="center"/>
            </w:pPr>
            <w:r>
              <w:rPr>
                <w:sz w:val="20"/>
              </w:rPr>
              <w:t xml:space="preserve">2021</w:t>
            </w:r>
          </w:p>
        </w:tc>
        <w:tc>
          <w:tcPr>
            <w:gridSpan w:val="5"/>
            <w:tcW w:w="4760" w:type="dxa"/>
          </w:tcPr>
          <w:p>
            <w:pPr>
              <w:pStyle w:val="0"/>
              <w:jc w:val="center"/>
            </w:pPr>
            <w:r>
              <w:rPr>
                <w:sz w:val="20"/>
              </w:rPr>
              <w:t xml:space="preserve">2022</w:t>
            </w:r>
          </w:p>
        </w:tc>
      </w:tr>
      <w:tr>
        <w:tc>
          <w:tcPr>
            <w:vMerge w:val="continue"/>
          </w:tcPr>
          <w:p/>
        </w:tc>
        <w:tc>
          <w:tcPr>
            <w:gridSpan w:val="3"/>
            <w:tcW w:w="3132" w:type="dxa"/>
          </w:tcPr>
          <w:p>
            <w:pPr>
              <w:pStyle w:val="0"/>
              <w:jc w:val="center"/>
            </w:pPr>
            <w:r>
              <w:rPr>
                <w:sz w:val="20"/>
              </w:rPr>
              <w:t xml:space="preserve">Зарегистрировано заболеваний</w:t>
            </w:r>
          </w:p>
        </w:tc>
        <w:tc>
          <w:tcPr>
            <w:gridSpan w:val="2"/>
            <w:tcW w:w="2123" w:type="dxa"/>
            <w:vMerge w:val="restart"/>
          </w:tcPr>
          <w:p>
            <w:pPr>
              <w:pStyle w:val="0"/>
              <w:jc w:val="center"/>
            </w:pPr>
            <w:r>
              <w:rPr>
                <w:sz w:val="20"/>
              </w:rPr>
              <w:t xml:space="preserve">состоит на Д-учете</w:t>
            </w:r>
          </w:p>
        </w:tc>
        <w:tc>
          <w:tcPr>
            <w:gridSpan w:val="3"/>
            <w:tcW w:w="3132" w:type="dxa"/>
          </w:tcPr>
          <w:p>
            <w:pPr>
              <w:pStyle w:val="0"/>
              <w:jc w:val="center"/>
            </w:pPr>
            <w:r>
              <w:rPr>
                <w:sz w:val="20"/>
              </w:rPr>
              <w:t xml:space="preserve">Зарегистрировано заболеваний</w:t>
            </w:r>
          </w:p>
        </w:tc>
        <w:tc>
          <w:tcPr>
            <w:gridSpan w:val="2"/>
            <w:tcW w:w="2018" w:type="dxa"/>
            <w:vMerge w:val="restart"/>
          </w:tcPr>
          <w:p>
            <w:pPr>
              <w:pStyle w:val="0"/>
              <w:jc w:val="center"/>
            </w:pPr>
            <w:r>
              <w:rPr>
                <w:sz w:val="20"/>
              </w:rPr>
              <w:t xml:space="preserve">состоит на Д-учете</w:t>
            </w:r>
          </w:p>
        </w:tc>
        <w:tc>
          <w:tcPr>
            <w:gridSpan w:val="2"/>
            <w:tcW w:w="2018" w:type="dxa"/>
          </w:tcPr>
          <w:p>
            <w:pPr>
              <w:pStyle w:val="0"/>
              <w:jc w:val="center"/>
            </w:pPr>
            <w:r>
              <w:rPr>
                <w:sz w:val="20"/>
              </w:rPr>
              <w:t xml:space="preserve">Зарегистрировано заболеваний</w:t>
            </w:r>
          </w:p>
        </w:tc>
        <w:tc>
          <w:tcPr>
            <w:gridSpan w:val="3"/>
            <w:tcW w:w="2742" w:type="dxa"/>
            <w:vMerge w:val="restart"/>
          </w:tcPr>
          <w:p>
            <w:pPr>
              <w:pStyle w:val="0"/>
              <w:jc w:val="center"/>
            </w:pPr>
            <w:r>
              <w:rPr>
                <w:sz w:val="20"/>
              </w:rPr>
              <w:t xml:space="preserve">состоит на Д-учете</w:t>
            </w:r>
          </w:p>
        </w:tc>
      </w:tr>
      <w:tr>
        <w:tc>
          <w:tcPr>
            <w:vMerge w:val="continue"/>
          </w:tcPr>
          <w:p/>
        </w:tc>
        <w:tc>
          <w:tcPr>
            <w:gridSpan w:val="2"/>
            <w:tcW w:w="2018" w:type="dxa"/>
          </w:tcPr>
          <w:p>
            <w:pPr>
              <w:pStyle w:val="0"/>
              <w:jc w:val="center"/>
            </w:pPr>
            <w:r>
              <w:rPr>
                <w:sz w:val="20"/>
              </w:rPr>
              <w:t xml:space="preserve">всего</w:t>
            </w:r>
          </w:p>
        </w:tc>
        <w:tc>
          <w:tcPr>
            <w:tcW w:w="1114" w:type="dxa"/>
          </w:tcPr>
          <w:p>
            <w:pPr>
              <w:pStyle w:val="0"/>
              <w:jc w:val="center"/>
            </w:pPr>
            <w:r>
              <w:rPr>
                <w:sz w:val="20"/>
              </w:rPr>
              <w:t xml:space="preserve">Впервые выявлено</w:t>
            </w:r>
          </w:p>
        </w:tc>
        <w:tc>
          <w:tcPr>
            <w:gridSpan w:val="2"/>
            <w:vMerge w:val="continue"/>
          </w:tcPr>
          <w:p/>
        </w:tc>
        <w:tc>
          <w:tcPr>
            <w:gridSpan w:val="2"/>
            <w:tcW w:w="2018" w:type="dxa"/>
          </w:tcPr>
          <w:p>
            <w:pPr>
              <w:pStyle w:val="0"/>
              <w:jc w:val="center"/>
            </w:pPr>
            <w:r>
              <w:rPr>
                <w:sz w:val="20"/>
              </w:rPr>
              <w:t xml:space="preserve">всего</w:t>
            </w:r>
          </w:p>
        </w:tc>
        <w:tc>
          <w:tcPr>
            <w:tcW w:w="1114" w:type="dxa"/>
          </w:tcPr>
          <w:p>
            <w:pPr>
              <w:pStyle w:val="0"/>
              <w:jc w:val="center"/>
            </w:pPr>
            <w:r>
              <w:rPr>
                <w:sz w:val="20"/>
              </w:rPr>
              <w:t xml:space="preserve">Впервые выявлено</w:t>
            </w:r>
          </w:p>
        </w:tc>
        <w:tc>
          <w:tcPr>
            <w:gridSpan w:val="2"/>
            <w:vMerge w:val="continue"/>
          </w:tcPr>
          <w:p/>
        </w:tc>
        <w:tc>
          <w:tcPr>
            <w:tcW w:w="844" w:type="dxa"/>
          </w:tcPr>
          <w:p>
            <w:pPr>
              <w:pStyle w:val="0"/>
              <w:jc w:val="center"/>
            </w:pPr>
            <w:r>
              <w:rPr>
                <w:sz w:val="20"/>
              </w:rPr>
              <w:t xml:space="preserve">всего</w:t>
            </w:r>
          </w:p>
        </w:tc>
        <w:tc>
          <w:tcPr>
            <w:tcW w:w="1174" w:type="dxa"/>
          </w:tcPr>
          <w:p>
            <w:pPr>
              <w:pStyle w:val="0"/>
              <w:jc w:val="center"/>
            </w:pPr>
            <w:r>
              <w:rPr>
                <w:sz w:val="20"/>
              </w:rPr>
              <w:t xml:space="preserve">Впервые выявлено</w:t>
            </w:r>
          </w:p>
        </w:tc>
        <w:tc>
          <w:tcPr>
            <w:gridSpan w:val="3"/>
            <w:vMerge w:val="continue"/>
          </w:tcPr>
          <w:p/>
        </w:tc>
      </w:tr>
      <w:tr>
        <w:tc>
          <w:tcPr>
            <w:vMerge w:val="continue"/>
          </w:tcPr>
          <w:p/>
        </w:tc>
        <w:tc>
          <w:tcPr>
            <w:tcW w:w="844" w:type="dxa"/>
          </w:tcPr>
          <w:p>
            <w:pPr>
              <w:pStyle w:val="0"/>
              <w:jc w:val="center"/>
            </w:pPr>
            <w:r>
              <w:rPr>
                <w:sz w:val="20"/>
              </w:rPr>
              <w:t xml:space="preserve">абс. число</w:t>
            </w:r>
          </w:p>
        </w:tc>
        <w:tc>
          <w:tcPr>
            <w:tcW w:w="1174" w:type="dxa"/>
            <w:tcBorders>
              <w:bottom w:val="nil"/>
            </w:tcBorders>
          </w:tcPr>
          <w:p>
            <w:pPr>
              <w:pStyle w:val="0"/>
              <w:jc w:val="center"/>
            </w:pPr>
            <w:r>
              <w:rPr>
                <w:sz w:val="20"/>
              </w:rPr>
              <w:t xml:space="preserve">на 1000 населения</w:t>
            </w:r>
          </w:p>
        </w:tc>
        <w:tc>
          <w:tcPr>
            <w:tcW w:w="1114" w:type="dxa"/>
          </w:tcPr>
          <w:p>
            <w:pPr>
              <w:pStyle w:val="0"/>
              <w:jc w:val="center"/>
            </w:pPr>
            <w:r>
              <w:rPr>
                <w:sz w:val="20"/>
              </w:rPr>
              <w:t xml:space="preserve">абс. число</w:t>
            </w:r>
          </w:p>
        </w:tc>
        <w:tc>
          <w:tcPr>
            <w:tcW w:w="949" w:type="dxa"/>
          </w:tcPr>
          <w:p>
            <w:pPr>
              <w:pStyle w:val="0"/>
              <w:jc w:val="center"/>
            </w:pPr>
            <w:r>
              <w:rPr>
                <w:sz w:val="20"/>
              </w:rPr>
              <w:t xml:space="preserve">абс. число</w:t>
            </w:r>
          </w:p>
        </w:tc>
        <w:tc>
          <w:tcPr>
            <w:tcW w:w="1174" w:type="dxa"/>
            <w:tcBorders>
              <w:bottom w:val="nil"/>
            </w:tcBorders>
          </w:tcPr>
          <w:p>
            <w:pPr>
              <w:pStyle w:val="0"/>
              <w:jc w:val="center"/>
            </w:pPr>
            <w:r>
              <w:rPr>
                <w:sz w:val="20"/>
              </w:rPr>
              <w:t xml:space="preserve">на 1000 населения</w:t>
            </w:r>
          </w:p>
        </w:tc>
        <w:tc>
          <w:tcPr>
            <w:tcW w:w="844" w:type="dxa"/>
          </w:tcPr>
          <w:p>
            <w:pPr>
              <w:pStyle w:val="0"/>
              <w:jc w:val="center"/>
            </w:pPr>
            <w:r>
              <w:rPr>
                <w:sz w:val="20"/>
              </w:rPr>
              <w:t xml:space="preserve">абс. число</w:t>
            </w:r>
          </w:p>
        </w:tc>
        <w:tc>
          <w:tcPr>
            <w:tcW w:w="1174" w:type="dxa"/>
            <w:tcBorders>
              <w:bottom w:val="nil"/>
            </w:tcBorders>
          </w:tcPr>
          <w:p>
            <w:pPr>
              <w:pStyle w:val="0"/>
              <w:jc w:val="center"/>
            </w:pPr>
            <w:r>
              <w:rPr>
                <w:sz w:val="20"/>
              </w:rPr>
              <w:t xml:space="preserve">на 1000 населения</w:t>
            </w:r>
          </w:p>
        </w:tc>
        <w:tc>
          <w:tcPr>
            <w:tcW w:w="1114" w:type="dxa"/>
          </w:tcPr>
          <w:p>
            <w:pPr>
              <w:pStyle w:val="0"/>
              <w:jc w:val="center"/>
            </w:pPr>
            <w:r>
              <w:rPr>
                <w:sz w:val="20"/>
              </w:rPr>
              <w:t xml:space="preserve">абс. число</w:t>
            </w:r>
          </w:p>
        </w:tc>
        <w:tc>
          <w:tcPr>
            <w:tcW w:w="844" w:type="dxa"/>
          </w:tcPr>
          <w:p>
            <w:pPr>
              <w:pStyle w:val="0"/>
              <w:jc w:val="center"/>
            </w:pPr>
            <w:r>
              <w:rPr>
                <w:sz w:val="20"/>
              </w:rPr>
              <w:t xml:space="preserve">число</w:t>
            </w:r>
          </w:p>
        </w:tc>
        <w:tc>
          <w:tcPr>
            <w:tcW w:w="1174" w:type="dxa"/>
            <w:tcBorders>
              <w:bottom w:val="nil"/>
            </w:tcBorders>
          </w:tcPr>
          <w:p>
            <w:pPr>
              <w:pStyle w:val="0"/>
              <w:jc w:val="center"/>
            </w:pPr>
            <w:r>
              <w:rPr>
                <w:sz w:val="20"/>
              </w:rPr>
              <w:t xml:space="preserve">на 1000 населения</w:t>
            </w:r>
          </w:p>
        </w:tc>
        <w:tc>
          <w:tcPr>
            <w:tcW w:w="844" w:type="dxa"/>
          </w:tcPr>
          <w:p>
            <w:pPr>
              <w:pStyle w:val="0"/>
              <w:jc w:val="center"/>
            </w:pPr>
            <w:r>
              <w:rPr>
                <w:sz w:val="20"/>
              </w:rPr>
              <w:t xml:space="preserve">абс. число</w:t>
            </w:r>
          </w:p>
        </w:tc>
        <w:tc>
          <w:tcPr>
            <w:tcW w:w="1174" w:type="dxa"/>
            <w:tcBorders>
              <w:bottom w:val="nil"/>
            </w:tcBorders>
          </w:tcPr>
          <w:p>
            <w:pPr>
              <w:pStyle w:val="0"/>
              <w:jc w:val="center"/>
            </w:pPr>
            <w:r>
              <w:rPr>
                <w:sz w:val="20"/>
              </w:rPr>
              <w:t xml:space="preserve">на 1000 населения</w:t>
            </w:r>
          </w:p>
        </w:tc>
        <w:tc>
          <w:tcPr>
            <w:tcW w:w="724" w:type="dxa"/>
          </w:tcPr>
          <w:p>
            <w:pPr>
              <w:pStyle w:val="0"/>
              <w:jc w:val="center"/>
            </w:pPr>
            <w:r>
              <w:rPr>
                <w:sz w:val="20"/>
              </w:rPr>
              <w:t xml:space="preserve">абс. число</w:t>
            </w:r>
          </w:p>
        </w:tc>
        <w:tc>
          <w:tcPr>
            <w:tcW w:w="844" w:type="dxa"/>
          </w:tcPr>
          <w:p>
            <w:pPr>
              <w:pStyle w:val="0"/>
              <w:jc w:val="center"/>
            </w:pPr>
            <w:r>
              <w:rPr>
                <w:sz w:val="20"/>
              </w:rPr>
              <w:t xml:space="preserve">абс. число</w:t>
            </w:r>
          </w:p>
        </w:tc>
        <w:tc>
          <w:tcPr>
            <w:tcW w:w="1174" w:type="dxa"/>
            <w:tcBorders>
              <w:bottom w:val="nil"/>
            </w:tcBorders>
          </w:tcPr>
          <w:p>
            <w:pPr>
              <w:pStyle w:val="0"/>
              <w:jc w:val="center"/>
            </w:pPr>
            <w:r>
              <w:rPr>
                <w:sz w:val="20"/>
              </w:rPr>
              <w:t xml:space="preserve">на 1000 населения</w:t>
            </w:r>
          </w:p>
        </w:tc>
      </w:tr>
      <w:tr>
        <w:tc>
          <w:tcPr>
            <w:tcW w:w="1189" w:type="dxa"/>
          </w:tcPr>
          <w:p>
            <w:pPr>
              <w:pStyle w:val="0"/>
              <w:ind w:firstLine="5" w:left="10"/>
            </w:pPr>
            <w:r>
              <w:rPr>
                <w:sz w:val="20"/>
              </w:rPr>
              <w:t xml:space="preserve">Б С К</w:t>
            </w:r>
          </w:p>
        </w:tc>
        <w:tc>
          <w:tcPr>
            <w:tcW w:w="844" w:type="dxa"/>
          </w:tcPr>
          <w:p>
            <w:pPr>
              <w:pStyle w:val="0"/>
            </w:pPr>
            <w:r>
              <w:rPr>
                <w:sz w:val="20"/>
              </w:rPr>
              <w:t xml:space="preserve">295264</w:t>
            </w:r>
          </w:p>
        </w:tc>
        <w:tc>
          <w:tcPr>
            <w:tcW w:w="1174" w:type="dxa"/>
            <w:tcBorders>
              <w:top w:val="nil"/>
            </w:tcBorders>
          </w:tcPr>
          <w:p>
            <w:pPr>
              <w:pStyle w:val="0"/>
            </w:pPr>
            <w:r>
              <w:rPr>
                <w:sz w:val="20"/>
              </w:rPr>
              <w:t xml:space="preserve">175,8</w:t>
            </w:r>
          </w:p>
        </w:tc>
        <w:tc>
          <w:tcPr>
            <w:tcW w:w="1114" w:type="dxa"/>
          </w:tcPr>
          <w:p>
            <w:pPr>
              <w:pStyle w:val="0"/>
            </w:pPr>
            <w:r>
              <w:rPr>
                <w:sz w:val="20"/>
              </w:rPr>
              <w:t xml:space="preserve">28206</w:t>
            </w:r>
          </w:p>
        </w:tc>
        <w:tc>
          <w:tcPr>
            <w:tcW w:w="949" w:type="dxa"/>
          </w:tcPr>
          <w:p>
            <w:pPr>
              <w:pStyle w:val="0"/>
            </w:pPr>
            <w:r>
              <w:rPr>
                <w:sz w:val="20"/>
              </w:rPr>
              <w:t xml:space="preserve">233725</w:t>
            </w:r>
          </w:p>
        </w:tc>
        <w:tc>
          <w:tcPr>
            <w:tcW w:w="1174" w:type="dxa"/>
            <w:tcBorders>
              <w:top w:val="nil"/>
            </w:tcBorders>
          </w:tcPr>
          <w:p>
            <w:pPr>
              <w:pStyle w:val="0"/>
            </w:pPr>
            <w:r>
              <w:rPr>
                <w:sz w:val="20"/>
              </w:rPr>
              <w:t xml:space="preserve">139</w:t>
            </w:r>
          </w:p>
        </w:tc>
        <w:tc>
          <w:tcPr>
            <w:tcW w:w="844" w:type="dxa"/>
          </w:tcPr>
          <w:p>
            <w:pPr>
              <w:pStyle w:val="0"/>
            </w:pPr>
            <w:r>
              <w:rPr>
                <w:sz w:val="20"/>
              </w:rPr>
              <w:t xml:space="preserve">317413</w:t>
            </w:r>
          </w:p>
        </w:tc>
        <w:tc>
          <w:tcPr>
            <w:tcW w:w="1174" w:type="dxa"/>
            <w:tcBorders>
              <w:top w:val="nil"/>
            </w:tcBorders>
          </w:tcPr>
          <w:p>
            <w:pPr>
              <w:pStyle w:val="0"/>
            </w:pPr>
            <w:r>
              <w:rPr>
                <w:sz w:val="20"/>
              </w:rPr>
              <w:t xml:space="preserve">187,3</w:t>
            </w:r>
          </w:p>
        </w:tc>
        <w:tc>
          <w:tcPr>
            <w:tcW w:w="1114" w:type="dxa"/>
          </w:tcPr>
          <w:p>
            <w:pPr>
              <w:pStyle w:val="0"/>
              <w:ind w:left="86"/>
            </w:pPr>
            <w:r>
              <w:rPr>
                <w:sz w:val="20"/>
              </w:rPr>
              <w:t xml:space="preserve">32676</w:t>
            </w:r>
          </w:p>
        </w:tc>
        <w:tc>
          <w:tcPr>
            <w:tcW w:w="844" w:type="dxa"/>
          </w:tcPr>
          <w:p>
            <w:pPr>
              <w:pStyle w:val="0"/>
            </w:pPr>
            <w:r>
              <w:rPr>
                <w:sz w:val="20"/>
              </w:rPr>
              <w:t xml:space="preserve">229123</w:t>
            </w:r>
          </w:p>
        </w:tc>
        <w:tc>
          <w:tcPr>
            <w:tcW w:w="1174" w:type="dxa"/>
            <w:tcBorders>
              <w:top w:val="nil"/>
            </w:tcBorders>
          </w:tcPr>
          <w:p>
            <w:pPr>
              <w:pStyle w:val="0"/>
            </w:pPr>
            <w:r>
              <w:rPr>
                <w:sz w:val="20"/>
              </w:rPr>
              <w:t xml:space="preserve">135,2</w:t>
            </w:r>
          </w:p>
        </w:tc>
        <w:tc>
          <w:tcPr>
            <w:tcW w:w="844" w:type="dxa"/>
          </w:tcPr>
          <w:p>
            <w:pPr>
              <w:pStyle w:val="0"/>
            </w:pPr>
            <w:r>
              <w:rPr>
                <w:sz w:val="20"/>
              </w:rPr>
              <w:t xml:space="preserve">347575</w:t>
            </w:r>
          </w:p>
        </w:tc>
        <w:tc>
          <w:tcPr>
            <w:tcW w:w="1174" w:type="dxa"/>
            <w:tcBorders>
              <w:top w:val="nil"/>
            </w:tcBorders>
          </w:tcPr>
          <w:p>
            <w:pPr>
              <w:pStyle w:val="0"/>
            </w:pPr>
            <w:r>
              <w:rPr>
                <w:sz w:val="20"/>
              </w:rPr>
              <w:t xml:space="preserve">202,8</w:t>
            </w:r>
          </w:p>
        </w:tc>
        <w:tc>
          <w:tcPr>
            <w:tcW w:w="724" w:type="dxa"/>
          </w:tcPr>
          <w:p>
            <w:pPr>
              <w:pStyle w:val="0"/>
            </w:pPr>
            <w:r>
              <w:rPr>
                <w:sz w:val="20"/>
              </w:rPr>
              <w:t xml:space="preserve">36096</w:t>
            </w:r>
          </w:p>
        </w:tc>
        <w:tc>
          <w:tcPr>
            <w:tcW w:w="844" w:type="dxa"/>
          </w:tcPr>
          <w:p>
            <w:pPr>
              <w:pStyle w:val="0"/>
            </w:pPr>
            <w:r>
              <w:rPr>
                <w:sz w:val="20"/>
              </w:rPr>
              <w:t xml:space="preserve">251696</w:t>
            </w:r>
          </w:p>
        </w:tc>
        <w:tc>
          <w:tcPr>
            <w:tcW w:w="1174" w:type="dxa"/>
            <w:tcBorders>
              <w:top w:val="nil"/>
            </w:tcBorders>
          </w:tcPr>
          <w:p>
            <w:pPr>
              <w:pStyle w:val="0"/>
            </w:pPr>
            <w:r>
              <w:rPr>
                <w:sz w:val="20"/>
              </w:rPr>
              <w:t xml:space="preserve">146,9</w:t>
            </w:r>
          </w:p>
        </w:tc>
      </w:tr>
      <w:tr>
        <w:tc>
          <w:tcPr>
            <w:tcW w:w="1189" w:type="dxa"/>
          </w:tcPr>
          <w:p>
            <w:pPr>
              <w:pStyle w:val="0"/>
              <w:ind w:left="14"/>
            </w:pPr>
            <w:r>
              <w:rPr>
                <w:sz w:val="20"/>
              </w:rPr>
              <w:t xml:space="preserve">И Б С</w:t>
            </w:r>
          </w:p>
        </w:tc>
        <w:tc>
          <w:tcPr>
            <w:tcW w:w="844" w:type="dxa"/>
          </w:tcPr>
          <w:p>
            <w:pPr>
              <w:pStyle w:val="0"/>
              <w:ind w:left="5"/>
            </w:pPr>
            <w:r>
              <w:rPr>
                <w:sz w:val="20"/>
              </w:rPr>
              <w:t xml:space="preserve">41028</w:t>
            </w:r>
          </w:p>
        </w:tc>
        <w:tc>
          <w:tcPr>
            <w:tcW w:w="1174" w:type="dxa"/>
          </w:tcPr>
          <w:p>
            <w:pPr>
              <w:pStyle w:val="0"/>
            </w:pPr>
            <w:r>
              <w:rPr>
                <w:sz w:val="20"/>
              </w:rPr>
              <w:t xml:space="preserve">24,4</w:t>
            </w:r>
          </w:p>
        </w:tc>
        <w:tc>
          <w:tcPr>
            <w:tcW w:w="1114" w:type="dxa"/>
          </w:tcPr>
          <w:p>
            <w:pPr>
              <w:pStyle w:val="0"/>
            </w:pPr>
            <w:r>
              <w:rPr>
                <w:sz w:val="20"/>
              </w:rPr>
              <w:t xml:space="preserve">6023</w:t>
            </w:r>
          </w:p>
        </w:tc>
        <w:tc>
          <w:tcPr>
            <w:tcW w:w="949" w:type="dxa"/>
          </w:tcPr>
          <w:p>
            <w:pPr>
              <w:pStyle w:val="0"/>
              <w:ind w:left="14"/>
            </w:pPr>
            <w:r>
              <w:rPr>
                <w:sz w:val="20"/>
              </w:rPr>
              <w:t xml:space="preserve">36985</w:t>
            </w:r>
          </w:p>
        </w:tc>
        <w:tc>
          <w:tcPr>
            <w:tcW w:w="1174" w:type="dxa"/>
          </w:tcPr>
          <w:p>
            <w:pPr>
              <w:pStyle w:val="0"/>
              <w:ind w:left="82"/>
            </w:pPr>
            <w:r>
              <w:rPr>
                <w:sz w:val="20"/>
              </w:rPr>
              <w:t xml:space="preserve">22</w:t>
            </w:r>
          </w:p>
        </w:tc>
        <w:tc>
          <w:tcPr>
            <w:tcW w:w="844" w:type="dxa"/>
          </w:tcPr>
          <w:p>
            <w:pPr>
              <w:pStyle w:val="0"/>
              <w:ind w:left="5"/>
            </w:pPr>
            <w:r>
              <w:rPr>
                <w:sz w:val="20"/>
              </w:rPr>
              <w:t xml:space="preserve">41677</w:t>
            </w:r>
          </w:p>
        </w:tc>
        <w:tc>
          <w:tcPr>
            <w:tcW w:w="1174" w:type="dxa"/>
          </w:tcPr>
          <w:p>
            <w:pPr>
              <w:pStyle w:val="0"/>
              <w:ind w:left="72"/>
            </w:pPr>
            <w:r>
              <w:rPr>
                <w:sz w:val="20"/>
              </w:rPr>
              <w:t xml:space="preserve">24,6</w:t>
            </w:r>
          </w:p>
        </w:tc>
        <w:tc>
          <w:tcPr>
            <w:tcW w:w="1114" w:type="dxa"/>
          </w:tcPr>
          <w:p>
            <w:pPr>
              <w:pStyle w:val="0"/>
              <w:ind w:left="139"/>
            </w:pPr>
            <w:r>
              <w:rPr>
                <w:sz w:val="20"/>
              </w:rPr>
              <w:t xml:space="preserve">5755</w:t>
            </w:r>
          </w:p>
        </w:tc>
        <w:tc>
          <w:tcPr>
            <w:tcW w:w="844" w:type="dxa"/>
          </w:tcPr>
          <w:p>
            <w:pPr>
              <w:pStyle w:val="0"/>
              <w:ind w:left="10"/>
            </w:pPr>
            <w:r>
              <w:rPr>
                <w:sz w:val="20"/>
              </w:rPr>
              <w:t xml:space="preserve">31320</w:t>
            </w:r>
          </w:p>
        </w:tc>
        <w:tc>
          <w:tcPr>
            <w:tcW w:w="1174" w:type="dxa"/>
          </w:tcPr>
          <w:p>
            <w:pPr>
              <w:pStyle w:val="0"/>
              <w:ind w:left="34"/>
            </w:pPr>
            <w:r>
              <w:rPr>
                <w:sz w:val="20"/>
              </w:rPr>
              <w:t xml:space="preserve">18,5</w:t>
            </w:r>
          </w:p>
        </w:tc>
        <w:tc>
          <w:tcPr>
            <w:tcW w:w="844" w:type="dxa"/>
          </w:tcPr>
          <w:p>
            <w:pPr>
              <w:pStyle w:val="0"/>
            </w:pPr>
            <w:r>
              <w:rPr>
                <w:sz w:val="20"/>
              </w:rPr>
              <w:t xml:space="preserve">42237</w:t>
            </w:r>
          </w:p>
        </w:tc>
        <w:tc>
          <w:tcPr>
            <w:tcW w:w="1174" w:type="dxa"/>
          </w:tcPr>
          <w:p>
            <w:pPr>
              <w:pStyle w:val="0"/>
              <w:ind w:left="77"/>
            </w:pPr>
            <w:r>
              <w:rPr>
                <w:sz w:val="20"/>
              </w:rPr>
              <w:t xml:space="preserve">24,6</w:t>
            </w:r>
          </w:p>
        </w:tc>
        <w:tc>
          <w:tcPr>
            <w:tcW w:w="724" w:type="dxa"/>
          </w:tcPr>
          <w:p>
            <w:pPr>
              <w:pStyle w:val="0"/>
            </w:pPr>
            <w:r>
              <w:rPr>
                <w:sz w:val="20"/>
              </w:rPr>
              <w:t xml:space="preserve">5603</w:t>
            </w:r>
          </w:p>
        </w:tc>
        <w:tc>
          <w:tcPr>
            <w:tcW w:w="844" w:type="dxa"/>
          </w:tcPr>
          <w:p>
            <w:pPr>
              <w:pStyle w:val="0"/>
            </w:pPr>
            <w:r>
              <w:rPr>
                <w:sz w:val="20"/>
              </w:rPr>
              <w:t xml:space="preserve">30926</w:t>
            </w:r>
          </w:p>
        </w:tc>
        <w:tc>
          <w:tcPr>
            <w:tcW w:w="1174" w:type="dxa"/>
          </w:tcPr>
          <w:p>
            <w:pPr>
              <w:pStyle w:val="0"/>
            </w:pPr>
            <w:r>
              <w:rPr>
                <w:sz w:val="20"/>
              </w:rPr>
              <w:t xml:space="preserve">18,0</w:t>
            </w:r>
          </w:p>
        </w:tc>
      </w:tr>
      <w:tr>
        <w:tc>
          <w:tcPr>
            <w:tcW w:w="1189" w:type="dxa"/>
          </w:tcPr>
          <w:p>
            <w:pPr>
              <w:pStyle w:val="0"/>
              <w:ind w:left="14"/>
            </w:pPr>
            <w:r>
              <w:rPr>
                <w:sz w:val="20"/>
              </w:rPr>
              <w:t xml:space="preserve">ГБ</w:t>
            </w:r>
          </w:p>
        </w:tc>
        <w:tc>
          <w:tcPr>
            <w:tcW w:w="844" w:type="dxa"/>
          </w:tcPr>
          <w:p>
            <w:pPr>
              <w:pStyle w:val="0"/>
            </w:pPr>
            <w:r>
              <w:rPr>
                <w:sz w:val="20"/>
              </w:rPr>
              <w:t xml:space="preserve">174035</w:t>
            </w:r>
          </w:p>
        </w:tc>
        <w:tc>
          <w:tcPr>
            <w:tcW w:w="1174" w:type="dxa"/>
          </w:tcPr>
          <w:p>
            <w:pPr>
              <w:pStyle w:val="0"/>
            </w:pPr>
            <w:r>
              <w:rPr>
                <w:sz w:val="20"/>
              </w:rPr>
              <w:t xml:space="preserve">103,5</w:t>
            </w:r>
          </w:p>
        </w:tc>
        <w:tc>
          <w:tcPr>
            <w:tcW w:w="1114" w:type="dxa"/>
          </w:tcPr>
          <w:p>
            <w:pPr>
              <w:pStyle w:val="0"/>
            </w:pPr>
            <w:r>
              <w:rPr>
                <w:sz w:val="20"/>
              </w:rPr>
              <w:t xml:space="preserve">8141</w:t>
            </w:r>
          </w:p>
        </w:tc>
        <w:tc>
          <w:tcPr>
            <w:tcW w:w="949" w:type="dxa"/>
          </w:tcPr>
          <w:p>
            <w:pPr>
              <w:pStyle w:val="0"/>
            </w:pPr>
            <w:r>
              <w:rPr>
                <w:sz w:val="20"/>
              </w:rPr>
              <w:t xml:space="preserve">156645</w:t>
            </w:r>
          </w:p>
        </w:tc>
        <w:tc>
          <w:tcPr>
            <w:tcW w:w="1174" w:type="dxa"/>
          </w:tcPr>
          <w:p>
            <w:pPr>
              <w:pStyle w:val="0"/>
              <w:ind w:left="14"/>
            </w:pPr>
            <w:r>
              <w:rPr>
                <w:sz w:val="20"/>
              </w:rPr>
              <w:t xml:space="preserve">93,2</w:t>
            </w:r>
          </w:p>
        </w:tc>
        <w:tc>
          <w:tcPr>
            <w:tcW w:w="844" w:type="dxa"/>
          </w:tcPr>
          <w:p>
            <w:pPr>
              <w:pStyle w:val="0"/>
            </w:pPr>
            <w:r>
              <w:rPr>
                <w:sz w:val="20"/>
              </w:rPr>
              <w:t xml:space="preserve">189899</w:t>
            </w:r>
          </w:p>
        </w:tc>
        <w:tc>
          <w:tcPr>
            <w:tcW w:w="1174" w:type="dxa"/>
          </w:tcPr>
          <w:p>
            <w:pPr>
              <w:pStyle w:val="0"/>
              <w:ind w:left="38"/>
            </w:pPr>
            <w:r>
              <w:rPr>
                <w:sz w:val="20"/>
              </w:rPr>
              <w:t xml:space="preserve">112,0</w:t>
            </w:r>
          </w:p>
        </w:tc>
        <w:tc>
          <w:tcPr>
            <w:tcW w:w="1114" w:type="dxa"/>
          </w:tcPr>
          <w:p>
            <w:pPr>
              <w:pStyle w:val="0"/>
              <w:ind w:left="101"/>
            </w:pPr>
            <w:r>
              <w:rPr>
                <w:sz w:val="20"/>
              </w:rPr>
              <w:t xml:space="preserve">10317</w:t>
            </w:r>
          </w:p>
        </w:tc>
        <w:tc>
          <w:tcPr>
            <w:tcW w:w="844" w:type="dxa"/>
          </w:tcPr>
          <w:p>
            <w:pPr>
              <w:pStyle w:val="0"/>
            </w:pPr>
            <w:r>
              <w:rPr>
                <w:sz w:val="20"/>
              </w:rPr>
              <w:t xml:space="preserve">159672</w:t>
            </w:r>
          </w:p>
        </w:tc>
        <w:tc>
          <w:tcPr>
            <w:tcW w:w="1174" w:type="dxa"/>
          </w:tcPr>
          <w:p>
            <w:pPr>
              <w:pStyle w:val="0"/>
              <w:ind w:left="14"/>
            </w:pPr>
            <w:r>
              <w:rPr>
                <w:sz w:val="20"/>
              </w:rPr>
              <w:t xml:space="preserve">94,2</w:t>
            </w:r>
          </w:p>
        </w:tc>
        <w:tc>
          <w:tcPr>
            <w:tcW w:w="844" w:type="dxa"/>
          </w:tcPr>
          <w:p>
            <w:pPr>
              <w:pStyle w:val="0"/>
            </w:pPr>
            <w:r>
              <w:rPr>
                <w:sz w:val="20"/>
              </w:rPr>
              <w:t xml:space="preserve">207114</w:t>
            </w:r>
          </w:p>
        </w:tc>
        <w:tc>
          <w:tcPr>
            <w:tcW w:w="1174" w:type="dxa"/>
          </w:tcPr>
          <w:p>
            <w:pPr>
              <w:pStyle w:val="0"/>
              <w:ind w:left="43"/>
            </w:pPr>
            <w:r>
              <w:rPr>
                <w:sz w:val="20"/>
              </w:rPr>
              <w:t xml:space="preserve">120,8</w:t>
            </w:r>
          </w:p>
        </w:tc>
        <w:tc>
          <w:tcPr>
            <w:tcW w:w="724" w:type="dxa"/>
          </w:tcPr>
          <w:p>
            <w:pPr>
              <w:pStyle w:val="0"/>
            </w:pPr>
            <w:r>
              <w:rPr>
                <w:sz w:val="20"/>
              </w:rPr>
              <w:t xml:space="preserve">14325</w:t>
            </w:r>
          </w:p>
        </w:tc>
        <w:tc>
          <w:tcPr>
            <w:tcW w:w="844" w:type="dxa"/>
          </w:tcPr>
          <w:p>
            <w:pPr>
              <w:pStyle w:val="0"/>
            </w:pPr>
            <w:r>
              <w:rPr>
                <w:sz w:val="20"/>
              </w:rPr>
              <w:t xml:space="preserve">177771</w:t>
            </w:r>
          </w:p>
        </w:tc>
        <w:tc>
          <w:tcPr>
            <w:tcW w:w="1174" w:type="dxa"/>
          </w:tcPr>
          <w:p>
            <w:pPr>
              <w:pStyle w:val="0"/>
            </w:pPr>
            <w:r>
              <w:rPr>
                <w:sz w:val="20"/>
              </w:rPr>
              <w:t xml:space="preserve">103,7</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jc w:val="center"/>
      </w:pPr>
      <w:r>
        <w:rPr>
          <w:sz w:val="20"/>
        </w:rPr>
      </w:r>
    </w:p>
    <w:p>
      <w:pPr>
        <w:pStyle w:val="0"/>
        <w:ind w:firstLine="540"/>
        <w:jc w:val="both"/>
      </w:pPr>
      <w:r>
        <w:rPr>
          <w:sz w:val="20"/>
        </w:rPr>
        <w:t xml:space="preserve">В 2022 году зарегистрировано 347 575 больных с БСК - на 9,5% больше в сравнении с 2021 годом. Количество впервые выявленных БСК увеличилось на 10,5%.</w:t>
      </w:r>
    </w:p>
    <w:p>
      <w:pPr>
        <w:pStyle w:val="0"/>
        <w:spacing w:before="200" w:line-rule="auto"/>
        <w:ind w:firstLine="540"/>
        <w:jc w:val="both"/>
      </w:pPr>
      <w:r>
        <w:rPr>
          <w:sz w:val="20"/>
        </w:rPr>
        <w:t xml:space="preserve">Состоят на диспансерном учете 251696 или 72,4% от числа зарегистрированных больных с БСК. В 2022 году доля пациентов с БСК, состоящих на Д-учете, не изменилась: в 2021 году - 72,2%. В сравнении с 2021 годом число больных БСК, состоящих на "Д"-учете, в расчете на 1 тыс. населения, возросло на 8,7% и составило 146,9.</w:t>
      </w:r>
    </w:p>
    <w:p>
      <w:pPr>
        <w:pStyle w:val="0"/>
        <w:spacing w:before="200" w:line-rule="auto"/>
        <w:ind w:firstLine="540"/>
        <w:jc w:val="both"/>
      </w:pPr>
      <w:r>
        <w:rPr>
          <w:sz w:val="20"/>
        </w:rPr>
        <w:t xml:space="preserve">Показатель заболеваемости гипертонической болезнью увеличился в сравнении с 2021 годом на 7,9%. Также увеличился охват Д-наблюдением пациентов с АГ - 85,8% (2021 год - 84,1%). В сравнении с 2021 годом число больных АГ, состоящих на Д-учете, в расчете на 1 тыс. населения возросло на 10,1% и составило 103,7.</w:t>
      </w:r>
    </w:p>
    <w:p>
      <w:pPr>
        <w:pStyle w:val="0"/>
        <w:spacing w:before="200" w:line-rule="auto"/>
        <w:ind w:firstLine="540"/>
        <w:jc w:val="both"/>
      </w:pPr>
      <w:r>
        <w:rPr>
          <w:sz w:val="20"/>
        </w:rPr>
        <w:t xml:space="preserve">Показатель заболеваемости ишемической болезнью сердца остался без изменений в сравнении с 2021 годом; число больных ИБС, состоящих на Д-учете, в расчете на 1 тыс. населения практически не изменилось и составляет 18,0 на 1000 населения.</w:t>
      </w:r>
    </w:p>
    <w:p>
      <w:pPr>
        <w:pStyle w:val="0"/>
        <w:jc w:val="right"/>
      </w:pPr>
      <w:r>
        <w:rPr>
          <w:sz w:val="20"/>
        </w:rPr>
      </w:r>
    </w:p>
    <w:p>
      <w:pPr>
        <w:pStyle w:val="0"/>
        <w:jc w:val="right"/>
      </w:pPr>
      <w:r>
        <w:rPr>
          <w:sz w:val="20"/>
        </w:rPr>
        <w:t xml:space="preserve">Рисунок 9</w:t>
      </w:r>
    </w:p>
    <w:p>
      <w:pPr>
        <w:pStyle w:val="0"/>
        <w:jc w:val="right"/>
      </w:pPr>
      <w:r>
        <w:rPr>
          <w:sz w:val="20"/>
        </w:rPr>
      </w:r>
    </w:p>
    <w:p>
      <w:pPr>
        <w:pStyle w:val="0"/>
        <w:jc w:val="center"/>
      </w:pPr>
      <w:r>
        <w:rPr>
          <w:sz w:val="20"/>
        </w:rPr>
        <w:t xml:space="preserve">Число лиц, состоящих на Д-учете, из числа пациентов с БСК</w:t>
      </w:r>
    </w:p>
    <w:p>
      <w:pPr>
        <w:pStyle w:val="0"/>
        <w:jc w:val="center"/>
      </w:pPr>
      <w:r>
        <w:rPr>
          <w:sz w:val="20"/>
        </w:rPr>
      </w:r>
    </w:p>
    <w:p>
      <w:pPr>
        <w:pStyle w:val="0"/>
        <w:jc w:val="center"/>
      </w:pPr>
      <w:r>
        <w:rPr>
          <w:position w:val="-150"/>
        </w:rPr>
        <w:drawing>
          <wp:inline distT="0" distB="0" distL="0" distR="0">
            <wp:extent cx="4858385" cy="2035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4858385" cy="203581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За 5 лет достигнут значительный рост числа пациентов с БСК, состоящих на Д-учете, - с 182337 человек до 251696 (на 38,0%).</w:t>
      </w:r>
    </w:p>
    <w:p>
      <w:pPr>
        <w:pStyle w:val="0"/>
        <w:spacing w:before="200" w:line-rule="auto"/>
        <w:ind w:firstLine="540"/>
        <w:jc w:val="both"/>
      </w:pPr>
      <w:r>
        <w:rPr>
          <w:sz w:val="20"/>
        </w:rPr>
        <w:t xml:space="preserve">За 5 лет достигнут значительный рост числа пациентов с БСК, состоящих на Д-учете, - с 165921 человек до 252656 (на 38,1%).</w:t>
      </w:r>
    </w:p>
    <w:p>
      <w:pPr>
        <w:pStyle w:val="0"/>
        <w:spacing w:before="200" w:line-rule="auto"/>
        <w:ind w:firstLine="540"/>
        <w:jc w:val="both"/>
      </w:pPr>
      <w:r>
        <w:rPr>
          <w:sz w:val="20"/>
        </w:rPr>
        <w:t xml:space="preserve">Удельный вес пациентов с БСК от числа прикрепленного населения в среднем по региону составил 20,8% (в 2021 году - 19%). Наиболее низкие показатели в БУ "Федоровская городская больница" - 13,3%, БУ "Нефтеюганская районная больница" - 14,1%, БУ "Лянторская городская больница" - 14,2%.</w:t>
      </w:r>
    </w:p>
    <w:p>
      <w:pPr>
        <w:pStyle w:val="0"/>
        <w:spacing w:before="200" w:line-rule="auto"/>
        <w:ind w:firstLine="540"/>
        <w:jc w:val="both"/>
      </w:pPr>
      <w:r>
        <w:rPr>
          <w:sz w:val="20"/>
        </w:rPr>
        <w:t xml:space="preserve">С 2021 года внедрен алгоритм расширенного диспансерного наблюдения за пациентами с ССЗ высокого риска, состоящими на Д-учете (приказ Депздрава Югры от 19 марта 2021 года N 348 "Об утверждении алгоритма расширенного диспансерного наблюдения за взрослыми пациентами высокого сердечно-сосудистого риска на территории Ханты-Мансийского автономного округа - Югры"). По результатам анкетирования и опроса сформированы группы пациентов в зависимости от тяжести состояния. К пациентам более высокого риска организуются выезды на дом терапевта, пациенты с меньшим риском консультируются в плановом порядке, в том числе дистанционно.</w:t>
      </w:r>
    </w:p>
    <w:p>
      <w:pPr>
        <w:pStyle w:val="0"/>
        <w:spacing w:before="200" w:line-rule="auto"/>
        <w:ind w:firstLine="540"/>
        <w:jc w:val="both"/>
      </w:pPr>
      <w:r>
        <w:rPr>
          <w:sz w:val="20"/>
        </w:rPr>
        <w:t xml:space="preserve">В 2022 году использовались следующие виды дистанционного наблюдения за больными с сердечно-сосудистыми заболеваниями:</w:t>
      </w:r>
    </w:p>
    <w:p>
      <w:pPr>
        <w:pStyle w:val="0"/>
        <w:spacing w:before="200" w:line-rule="auto"/>
        <w:ind w:firstLine="540"/>
        <w:jc w:val="both"/>
      </w:pPr>
      <w:r>
        <w:rPr>
          <w:sz w:val="20"/>
        </w:rPr>
        <w:t xml:space="preserve">активные телефонные патронажи пациентов в поликлиниках с прикрепленным населением - 11980 случаев;</w:t>
      </w:r>
    </w:p>
    <w:p>
      <w:pPr>
        <w:pStyle w:val="0"/>
        <w:spacing w:before="200" w:line-rule="auto"/>
        <w:ind w:firstLine="540"/>
        <w:jc w:val="both"/>
      </w:pPr>
      <w:r>
        <w:rPr>
          <w:sz w:val="20"/>
        </w:rPr>
        <w:t xml:space="preserve">плановые стационарные телемедицинские консультации в режиме "врач-врач" между медицинскими организациями 3 уровня и 1 - 2 уровней - 2138 телеконсультаций;</w:t>
      </w:r>
    </w:p>
    <w:p>
      <w:pPr>
        <w:pStyle w:val="0"/>
        <w:spacing w:before="200" w:line-rule="auto"/>
        <w:ind w:firstLine="540"/>
        <w:jc w:val="both"/>
      </w:pPr>
      <w:r>
        <w:rPr>
          <w:sz w:val="20"/>
        </w:rPr>
        <w:t xml:space="preserve">экстренные и неотложные стационарные телемедицинские консультации в режиме "врач-врач" между медицинскими организациями 3 уровня и 1 - 2 уровней - 2292 консультации;</w:t>
      </w:r>
    </w:p>
    <w:p>
      <w:pPr>
        <w:pStyle w:val="0"/>
        <w:spacing w:before="200" w:line-rule="auto"/>
        <w:ind w:firstLine="540"/>
        <w:jc w:val="both"/>
      </w:pPr>
      <w:r>
        <w:rPr>
          <w:sz w:val="20"/>
        </w:rPr>
        <w:t xml:space="preserve">плановые амбулаторные телемедицинские консультации в режиме "врач-врач" между консультативной поликлиникой при МО 3 уровня и поликлиниками с прикрепленным населением - 641 консультация;</w:t>
      </w:r>
    </w:p>
    <w:p>
      <w:pPr>
        <w:pStyle w:val="0"/>
        <w:spacing w:before="200" w:line-rule="auto"/>
        <w:ind w:firstLine="540"/>
        <w:jc w:val="both"/>
      </w:pPr>
      <w:r>
        <w:rPr>
          <w:sz w:val="20"/>
        </w:rPr>
        <w:t xml:space="preserve">дистанционная расшифровка ЭКГ, снятых фельдшером на дому, в ФАПе, амбулатории, участковой больнице - 332 ЭКГ.</w:t>
      </w:r>
    </w:p>
    <w:p>
      <w:pPr>
        <w:pStyle w:val="0"/>
        <w:spacing w:before="200" w:line-rule="auto"/>
        <w:ind w:firstLine="540"/>
        <w:jc w:val="both"/>
      </w:pPr>
      <w:r>
        <w:rPr>
          <w:sz w:val="20"/>
        </w:rPr>
        <w:t xml:space="preserve">В 2022 году проведено 45 выездных проверок качества Д-наблюдения с участием главных специалистов по кардиологии, терапии и общей врачебной практике в медицинских организациях региона. По итогам проверок приняты решения по совершенствованию диспансерного наблюдения за пациентами с БСК в Депздрав Югры.</w:t>
      </w:r>
    </w:p>
    <w:p>
      <w:pPr>
        <w:pStyle w:val="0"/>
        <w:ind w:firstLine="540"/>
        <w:jc w:val="both"/>
      </w:pPr>
      <w:r>
        <w:rPr>
          <w:sz w:val="20"/>
        </w:rPr>
      </w:r>
    </w:p>
    <w:p>
      <w:pPr>
        <w:pStyle w:val="0"/>
        <w:jc w:val="right"/>
      </w:pPr>
      <w:r>
        <w:rPr>
          <w:sz w:val="20"/>
        </w:rPr>
        <w:t xml:space="preserve">Таблица 14</w:t>
      </w:r>
    </w:p>
    <w:p>
      <w:pPr>
        <w:pStyle w:val="0"/>
        <w:jc w:val="right"/>
      </w:pPr>
      <w:r>
        <w:rPr>
          <w:sz w:val="20"/>
        </w:rPr>
      </w:r>
    </w:p>
    <w:p>
      <w:pPr>
        <w:pStyle w:val="0"/>
        <w:jc w:val="center"/>
      </w:pPr>
      <w:r>
        <w:rPr>
          <w:sz w:val="20"/>
        </w:rPr>
        <w:t xml:space="preserve">Показатели работы кардиологической службы автономного округа</w:t>
      </w:r>
    </w:p>
    <w:p>
      <w:pPr>
        <w:pStyle w:val="0"/>
        <w:jc w:val="center"/>
      </w:pPr>
      <w:r>
        <w:rPr>
          <w:sz w:val="20"/>
        </w:rPr>
        <w:t xml:space="preserve">за 2018 - 2022 годы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844"/>
        <w:gridCol w:w="844"/>
        <w:gridCol w:w="844"/>
        <w:gridCol w:w="844"/>
        <w:gridCol w:w="844"/>
        <w:gridCol w:w="1871"/>
      </w:tblGrid>
      <w:tr>
        <w:tc>
          <w:tcPr>
            <w:tcW w:w="2608" w:type="dxa"/>
          </w:tcPr>
          <w:p>
            <w:pPr>
              <w:pStyle w:val="0"/>
              <w:jc w:val="center"/>
            </w:pPr>
            <w:r>
              <w:rPr>
                <w:sz w:val="20"/>
              </w:rPr>
              <w:t xml:space="preserve">Показатель</w:t>
            </w:r>
          </w:p>
        </w:tc>
        <w:tc>
          <w:tcPr>
            <w:tcW w:w="844" w:type="dxa"/>
          </w:tcPr>
          <w:p>
            <w:pPr>
              <w:pStyle w:val="0"/>
              <w:jc w:val="center"/>
            </w:pPr>
            <w:r>
              <w:rPr>
                <w:sz w:val="20"/>
              </w:rPr>
              <w:t xml:space="preserve">2018</w:t>
            </w:r>
          </w:p>
        </w:tc>
        <w:tc>
          <w:tcPr>
            <w:tcW w:w="844" w:type="dxa"/>
          </w:tcPr>
          <w:p>
            <w:pPr>
              <w:pStyle w:val="0"/>
              <w:jc w:val="center"/>
            </w:pPr>
            <w:r>
              <w:rPr>
                <w:sz w:val="20"/>
              </w:rPr>
              <w:t xml:space="preserve">2019</w:t>
            </w:r>
          </w:p>
        </w:tc>
        <w:tc>
          <w:tcPr>
            <w:tcW w:w="844" w:type="dxa"/>
          </w:tcPr>
          <w:p>
            <w:pPr>
              <w:pStyle w:val="0"/>
              <w:jc w:val="center"/>
            </w:pPr>
            <w:r>
              <w:rPr>
                <w:sz w:val="20"/>
              </w:rPr>
              <w:t xml:space="preserve">2020</w:t>
            </w:r>
          </w:p>
        </w:tc>
        <w:tc>
          <w:tcPr>
            <w:tcW w:w="844" w:type="dxa"/>
          </w:tcPr>
          <w:p>
            <w:pPr>
              <w:pStyle w:val="0"/>
              <w:jc w:val="center"/>
            </w:pPr>
            <w:r>
              <w:rPr>
                <w:sz w:val="20"/>
              </w:rPr>
              <w:t xml:space="preserve">2021</w:t>
            </w:r>
          </w:p>
        </w:tc>
        <w:tc>
          <w:tcPr>
            <w:tcW w:w="844" w:type="dxa"/>
          </w:tcPr>
          <w:p>
            <w:pPr>
              <w:pStyle w:val="0"/>
              <w:jc w:val="center"/>
            </w:pPr>
            <w:r>
              <w:rPr>
                <w:sz w:val="20"/>
              </w:rPr>
              <w:t xml:space="preserve">2022</w:t>
            </w:r>
          </w:p>
        </w:tc>
        <w:tc>
          <w:tcPr>
            <w:tcW w:w="1871" w:type="dxa"/>
          </w:tcPr>
          <w:p>
            <w:pPr>
              <w:pStyle w:val="0"/>
              <w:jc w:val="center"/>
            </w:pPr>
            <w:r>
              <w:rPr>
                <w:sz w:val="20"/>
              </w:rPr>
              <w:t xml:space="preserve">Динамика 2022/2021 (%)</w:t>
            </w:r>
          </w:p>
        </w:tc>
      </w:tr>
      <w:tr>
        <w:tc>
          <w:tcPr>
            <w:tcW w:w="2608" w:type="dxa"/>
          </w:tcPr>
          <w:p>
            <w:pPr>
              <w:pStyle w:val="0"/>
            </w:pPr>
            <w:r>
              <w:rPr>
                <w:sz w:val="20"/>
              </w:rPr>
              <w:t xml:space="preserve">Число посещений к врачам-кардиологам (взрослые)</w:t>
            </w:r>
          </w:p>
        </w:tc>
        <w:tc>
          <w:tcPr>
            <w:tcW w:w="844" w:type="dxa"/>
          </w:tcPr>
          <w:p>
            <w:pPr>
              <w:pStyle w:val="0"/>
            </w:pPr>
            <w:r>
              <w:rPr>
                <w:sz w:val="20"/>
              </w:rPr>
              <w:t xml:space="preserve">195850</w:t>
            </w:r>
          </w:p>
        </w:tc>
        <w:tc>
          <w:tcPr>
            <w:tcW w:w="844" w:type="dxa"/>
          </w:tcPr>
          <w:p>
            <w:pPr>
              <w:pStyle w:val="0"/>
            </w:pPr>
            <w:r>
              <w:rPr>
                <w:sz w:val="20"/>
              </w:rPr>
              <w:t xml:space="preserve">200043</w:t>
            </w:r>
          </w:p>
        </w:tc>
        <w:tc>
          <w:tcPr>
            <w:tcW w:w="844" w:type="dxa"/>
          </w:tcPr>
          <w:p>
            <w:pPr>
              <w:pStyle w:val="0"/>
            </w:pPr>
            <w:r>
              <w:rPr>
                <w:sz w:val="20"/>
              </w:rPr>
              <w:t xml:space="preserve">165954</w:t>
            </w:r>
          </w:p>
        </w:tc>
        <w:tc>
          <w:tcPr>
            <w:tcW w:w="844" w:type="dxa"/>
          </w:tcPr>
          <w:p>
            <w:pPr>
              <w:pStyle w:val="0"/>
            </w:pPr>
            <w:r>
              <w:rPr>
                <w:sz w:val="20"/>
              </w:rPr>
              <w:t xml:space="preserve">193002</w:t>
            </w:r>
          </w:p>
        </w:tc>
        <w:tc>
          <w:tcPr>
            <w:tcW w:w="844" w:type="dxa"/>
          </w:tcPr>
          <w:p>
            <w:pPr>
              <w:pStyle w:val="0"/>
            </w:pPr>
            <w:r>
              <w:rPr>
                <w:sz w:val="20"/>
              </w:rPr>
              <w:t xml:space="preserve">203280</w:t>
            </w:r>
          </w:p>
        </w:tc>
        <w:tc>
          <w:tcPr>
            <w:tcW w:w="1871" w:type="dxa"/>
          </w:tcPr>
          <w:p>
            <w:pPr>
              <w:pStyle w:val="0"/>
            </w:pPr>
            <w:r>
              <w:rPr>
                <w:sz w:val="20"/>
              </w:rPr>
              <w:t xml:space="preserve">+5,3</w:t>
            </w:r>
          </w:p>
        </w:tc>
      </w:tr>
      <w:tr>
        <w:tc>
          <w:tcPr>
            <w:tcW w:w="2608" w:type="dxa"/>
          </w:tcPr>
          <w:p>
            <w:pPr>
              <w:pStyle w:val="0"/>
            </w:pPr>
            <w:r>
              <w:rPr>
                <w:sz w:val="20"/>
              </w:rPr>
              <w:t xml:space="preserve">Функция врачебной должности</w:t>
            </w:r>
          </w:p>
        </w:tc>
        <w:tc>
          <w:tcPr>
            <w:tcW w:w="844" w:type="dxa"/>
          </w:tcPr>
          <w:p>
            <w:pPr>
              <w:pStyle w:val="0"/>
            </w:pPr>
            <w:r>
              <w:rPr>
                <w:sz w:val="20"/>
              </w:rPr>
              <w:t xml:space="preserve">2487</w:t>
            </w:r>
          </w:p>
        </w:tc>
        <w:tc>
          <w:tcPr>
            <w:tcW w:w="844" w:type="dxa"/>
          </w:tcPr>
          <w:p>
            <w:pPr>
              <w:pStyle w:val="0"/>
            </w:pPr>
            <w:r>
              <w:rPr>
                <w:sz w:val="20"/>
              </w:rPr>
              <w:t xml:space="preserve">2360</w:t>
            </w:r>
          </w:p>
        </w:tc>
        <w:tc>
          <w:tcPr>
            <w:tcW w:w="844" w:type="dxa"/>
          </w:tcPr>
          <w:p>
            <w:pPr>
              <w:pStyle w:val="0"/>
            </w:pPr>
            <w:r>
              <w:rPr>
                <w:sz w:val="20"/>
              </w:rPr>
              <w:t xml:space="preserve">2042</w:t>
            </w:r>
          </w:p>
        </w:tc>
        <w:tc>
          <w:tcPr>
            <w:tcW w:w="844" w:type="dxa"/>
          </w:tcPr>
          <w:p>
            <w:pPr>
              <w:pStyle w:val="0"/>
            </w:pPr>
            <w:r>
              <w:rPr>
                <w:sz w:val="20"/>
              </w:rPr>
              <w:t xml:space="preserve">2474</w:t>
            </w:r>
          </w:p>
        </w:tc>
        <w:tc>
          <w:tcPr>
            <w:tcW w:w="844" w:type="dxa"/>
          </w:tcPr>
          <w:p>
            <w:pPr>
              <w:pStyle w:val="0"/>
            </w:pPr>
            <w:r>
              <w:rPr>
                <w:sz w:val="20"/>
              </w:rPr>
              <w:t xml:space="preserve">2666</w:t>
            </w:r>
          </w:p>
        </w:tc>
        <w:tc>
          <w:tcPr>
            <w:tcW w:w="1871" w:type="dxa"/>
          </w:tcPr>
          <w:p>
            <w:pPr>
              <w:pStyle w:val="0"/>
            </w:pPr>
            <w:r>
              <w:rPr>
                <w:sz w:val="20"/>
              </w:rPr>
              <w:t xml:space="preserve">+7,8</w:t>
            </w:r>
          </w:p>
        </w:tc>
      </w:tr>
    </w:tbl>
    <w:p>
      <w:pPr>
        <w:pStyle w:val="0"/>
        <w:ind w:firstLine="540"/>
        <w:jc w:val="both"/>
      </w:pPr>
      <w:r>
        <w:rPr>
          <w:sz w:val="20"/>
        </w:rPr>
      </w:r>
    </w:p>
    <w:p>
      <w:pPr>
        <w:pStyle w:val="0"/>
        <w:ind w:firstLine="540"/>
        <w:jc w:val="both"/>
      </w:pPr>
      <w:r>
        <w:rPr>
          <w:sz w:val="20"/>
        </w:rPr>
        <w:t xml:space="preserve">За 2022 год число посещений врачей-кардиологов в автономном округе увеличилось на 5,3% в сравнении с 2021 годом, функция врачебной должности увеличилась на 7,8%, но остается ниже нормативной (4200).</w:t>
      </w:r>
    </w:p>
    <w:p>
      <w:pPr>
        <w:pStyle w:val="0"/>
        <w:spacing w:before="200" w:line-rule="auto"/>
        <w:ind w:firstLine="540"/>
        <w:jc w:val="both"/>
      </w:pPr>
      <w:r>
        <w:rPr>
          <w:sz w:val="20"/>
        </w:rPr>
        <w:t xml:space="preserve">Доступность специализированной медицинской помощи жителям в значительной мере обеспечивают выездные формы работы, объем которых в 2021 году значительно увеличился, несмотря на действие ограничительных мер по новой коронавирусной инфекции COVID-19. Силами региональных сосудистых центров (далее - также РСЦ) за 2022 год проведено 94 выезда в автономном округе (в 2021 году - 109 выездов). Количество осмотренных пациентов составило 2364 человека. На госпитализацию отобрано 704 пациента (в 2021 году - 700 пациентов). Во время выездов специалисты медицинских организаций 3 уровня проводят оценку качества оказания медицинской помощи, обучение врачей медицинских организаций 2 уровня новым алгоритмам, технологиям, методам диагностики и лечения.</w:t>
      </w:r>
    </w:p>
    <w:p>
      <w:pPr>
        <w:pStyle w:val="0"/>
        <w:spacing w:before="200" w:line-rule="auto"/>
        <w:ind w:firstLine="540"/>
        <w:jc w:val="both"/>
      </w:pPr>
      <w:r>
        <w:rPr>
          <w:sz w:val="20"/>
        </w:rPr>
        <w:t xml:space="preserve">В 2022 году по программе "Диагностика одного дня", рассчитанной на жителей отдаленных территорий автономного округа, в учреждениях 3 уровня прошли 2556 пациентов, что на 12,9% больше, чем в 2021 году, из них каждый седьмой направлен на ВМП.</w:t>
      </w:r>
    </w:p>
    <w:p>
      <w:pPr>
        <w:pStyle w:val="0"/>
        <w:jc w:val="center"/>
      </w:pPr>
      <w:r>
        <w:rPr>
          <w:sz w:val="20"/>
        </w:rPr>
      </w:r>
    </w:p>
    <w:p>
      <w:pPr>
        <w:pStyle w:val="2"/>
        <w:outlineLvl w:val="3"/>
        <w:ind w:firstLine="540"/>
        <w:jc w:val="both"/>
      </w:pPr>
      <w:r>
        <w:rPr>
          <w:sz w:val="20"/>
        </w:rPr>
        <w:t xml:space="preserve">1.4.3. Стационарозамещающие технологии</w:t>
      </w:r>
    </w:p>
    <w:p>
      <w:pPr>
        <w:pStyle w:val="0"/>
        <w:ind w:firstLine="540"/>
        <w:jc w:val="both"/>
      </w:pPr>
      <w:r>
        <w:rPr>
          <w:sz w:val="20"/>
        </w:rPr>
      </w:r>
    </w:p>
    <w:p>
      <w:pPr>
        <w:pStyle w:val="0"/>
        <w:ind w:firstLine="540"/>
        <w:jc w:val="both"/>
      </w:pPr>
      <w:r>
        <w:rPr>
          <w:sz w:val="20"/>
        </w:rPr>
        <w:t xml:space="preserve">Одним из путей повышения эффективности системы здравоохранения и более экономичного использования больничных ресурсов является развитие стационарозамещающих форм медицинской помощи (дневных стационаров на базе амбулаторно-поликлинических, больничных организаций и стационаров на дому). В 2022 году в автономном округе в дневных стационарах медицинских организаций было развернуто 3 869 койко-мест (в 2021 году - 3670 койко-мест). Медицинскую помощь на койках дневного пребывания получили 110990 человек (в 2021 году - 122 298 человек).</w:t>
      </w:r>
    </w:p>
    <w:p>
      <w:pPr>
        <w:pStyle w:val="0"/>
        <w:spacing w:before="200" w:line-rule="auto"/>
        <w:ind w:firstLine="540"/>
        <w:jc w:val="both"/>
      </w:pPr>
      <w:r>
        <w:rPr>
          <w:sz w:val="20"/>
        </w:rPr>
        <w:t xml:space="preserve">Число мест в дневных стационарах в 2022 году в сравнении с 2021 годом увеличилось на 6,7%, обеспеченность на 10 тыс. взрослого населения койками дневного пребывания увеличилась на 1,7%, что обусловлено снижением необходимости перепрофилирования койко-мест дневных стационаров в койки круглосуточного стационара для лечения пациентов с новой коронавирусной инфекцией. В результате доля больных, пролеченных в дневных стационарах, от всего взрослого населения автономного округа увеличилась до 6,3% в 2022 году (по региону за 2021 год - 6,0%, по РФ за 2020 год - 4,4%).</w:t>
      </w:r>
    </w:p>
    <w:p>
      <w:pPr>
        <w:pStyle w:val="0"/>
        <w:spacing w:before="200" w:line-rule="auto"/>
        <w:ind w:firstLine="540"/>
        <w:jc w:val="both"/>
      </w:pPr>
      <w:r>
        <w:rPr>
          <w:sz w:val="20"/>
        </w:rPr>
        <w:t xml:space="preserve">С целью разгрузки дорогостоящей койки в РСЦ активно внедряется проведение амбулаторной коронароангиографии. В 2022 году выполнено 1379 коронароангиографий (далее - КАГ) амбулаторно - на 30,7% больше, чем в 2021 году, в том числе в БУ "Окружная клиническая больница" выполнено 641 КАГ, в БУ "Окружной кардиологический диспансер "Центр диагностики и сердечно-сосудистой хирургии" - 738.</w:t>
      </w:r>
    </w:p>
    <w:p>
      <w:pPr>
        <w:pStyle w:val="0"/>
        <w:ind w:firstLine="540"/>
        <w:jc w:val="both"/>
      </w:pPr>
      <w:r>
        <w:rPr>
          <w:sz w:val="20"/>
        </w:rPr>
      </w:r>
    </w:p>
    <w:p>
      <w:pPr>
        <w:pStyle w:val="0"/>
        <w:jc w:val="right"/>
      </w:pPr>
      <w:r>
        <w:rPr>
          <w:sz w:val="20"/>
        </w:rPr>
        <w:t xml:space="preserve">Таблица 15</w:t>
      </w:r>
    </w:p>
    <w:p>
      <w:pPr>
        <w:pStyle w:val="0"/>
        <w:jc w:val="right"/>
      </w:pPr>
      <w:r>
        <w:rPr>
          <w:sz w:val="20"/>
        </w:rPr>
      </w:r>
    </w:p>
    <w:p>
      <w:pPr>
        <w:pStyle w:val="0"/>
        <w:jc w:val="center"/>
      </w:pPr>
      <w:r>
        <w:rPr>
          <w:sz w:val="20"/>
        </w:rPr>
        <w:t xml:space="preserve">Выполнение амбулаторных коронарографий в медицинских</w:t>
      </w:r>
    </w:p>
    <w:p>
      <w:pPr>
        <w:pStyle w:val="0"/>
        <w:jc w:val="center"/>
      </w:pPr>
      <w:r>
        <w:rPr>
          <w:sz w:val="20"/>
        </w:rPr>
        <w:t xml:space="preserve">организациях автономного округа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18"/>
        <w:gridCol w:w="2551"/>
        <w:gridCol w:w="2689"/>
        <w:gridCol w:w="2608"/>
      </w:tblGrid>
      <w:tr>
        <w:tc>
          <w:tcPr>
            <w:tcW w:w="1118" w:type="dxa"/>
          </w:tcPr>
          <w:p>
            <w:pPr>
              <w:pStyle w:val="0"/>
              <w:jc w:val="center"/>
            </w:pPr>
            <w:r>
              <w:rPr>
                <w:sz w:val="20"/>
              </w:rPr>
              <w:t xml:space="preserve">Год</w:t>
            </w:r>
          </w:p>
        </w:tc>
        <w:tc>
          <w:tcPr>
            <w:tcW w:w="2551" w:type="dxa"/>
          </w:tcPr>
          <w:p>
            <w:pPr>
              <w:pStyle w:val="0"/>
              <w:jc w:val="center"/>
            </w:pPr>
            <w:r>
              <w:rPr>
                <w:sz w:val="20"/>
              </w:rPr>
              <w:t xml:space="preserve">БУ "Окружная клиническая больница"</w:t>
            </w:r>
          </w:p>
        </w:tc>
        <w:tc>
          <w:tcPr>
            <w:tcW w:w="2689" w:type="dxa"/>
          </w:tcPr>
          <w:p>
            <w:pPr>
              <w:pStyle w:val="0"/>
              <w:jc w:val="center"/>
            </w:pPr>
            <w:r>
              <w:rPr>
                <w:sz w:val="20"/>
              </w:rPr>
              <w:t xml:space="preserve">БУ "Окружной кардиологический диспансер "Центр диагностики и сердечно-сосудистой хирургии"</w:t>
            </w:r>
          </w:p>
        </w:tc>
        <w:tc>
          <w:tcPr>
            <w:tcW w:w="2608" w:type="dxa"/>
          </w:tcPr>
          <w:p>
            <w:pPr>
              <w:pStyle w:val="0"/>
              <w:jc w:val="center"/>
            </w:pPr>
            <w:r>
              <w:rPr>
                <w:sz w:val="20"/>
              </w:rPr>
              <w:t xml:space="preserve">Всего по автономному округу</w:t>
            </w:r>
          </w:p>
        </w:tc>
      </w:tr>
      <w:tr>
        <w:tc>
          <w:tcPr>
            <w:tcW w:w="1118" w:type="dxa"/>
          </w:tcPr>
          <w:p>
            <w:pPr>
              <w:pStyle w:val="0"/>
            </w:pPr>
            <w:r>
              <w:rPr>
                <w:sz w:val="20"/>
              </w:rPr>
              <w:t xml:space="preserve">2018</w:t>
            </w:r>
          </w:p>
        </w:tc>
        <w:tc>
          <w:tcPr>
            <w:tcW w:w="2551" w:type="dxa"/>
          </w:tcPr>
          <w:p>
            <w:pPr>
              <w:pStyle w:val="0"/>
            </w:pPr>
            <w:r>
              <w:rPr>
                <w:sz w:val="20"/>
              </w:rPr>
              <w:t xml:space="preserve">683</w:t>
            </w:r>
          </w:p>
        </w:tc>
        <w:tc>
          <w:tcPr>
            <w:tcW w:w="2689" w:type="dxa"/>
          </w:tcPr>
          <w:p>
            <w:pPr>
              <w:pStyle w:val="0"/>
            </w:pPr>
            <w:r>
              <w:rPr>
                <w:sz w:val="20"/>
              </w:rPr>
              <w:t xml:space="preserve">333</w:t>
            </w:r>
          </w:p>
        </w:tc>
        <w:tc>
          <w:tcPr>
            <w:tcW w:w="2608" w:type="dxa"/>
          </w:tcPr>
          <w:p>
            <w:pPr>
              <w:pStyle w:val="0"/>
            </w:pPr>
            <w:r>
              <w:rPr>
                <w:sz w:val="20"/>
              </w:rPr>
              <w:t xml:space="preserve">1016</w:t>
            </w:r>
          </w:p>
        </w:tc>
      </w:tr>
      <w:tr>
        <w:tc>
          <w:tcPr>
            <w:tcW w:w="1118" w:type="dxa"/>
          </w:tcPr>
          <w:p>
            <w:pPr>
              <w:pStyle w:val="0"/>
            </w:pPr>
            <w:r>
              <w:rPr>
                <w:sz w:val="20"/>
              </w:rPr>
              <w:t xml:space="preserve">2019</w:t>
            </w:r>
          </w:p>
        </w:tc>
        <w:tc>
          <w:tcPr>
            <w:tcW w:w="2551" w:type="dxa"/>
          </w:tcPr>
          <w:p>
            <w:pPr>
              <w:pStyle w:val="0"/>
            </w:pPr>
            <w:r>
              <w:rPr>
                <w:sz w:val="20"/>
              </w:rPr>
              <w:t xml:space="preserve">562</w:t>
            </w:r>
          </w:p>
        </w:tc>
        <w:tc>
          <w:tcPr>
            <w:tcW w:w="2689" w:type="dxa"/>
          </w:tcPr>
          <w:p>
            <w:pPr>
              <w:pStyle w:val="0"/>
            </w:pPr>
            <w:r>
              <w:rPr>
                <w:sz w:val="20"/>
              </w:rPr>
              <w:t xml:space="preserve">552</w:t>
            </w:r>
          </w:p>
        </w:tc>
        <w:tc>
          <w:tcPr>
            <w:tcW w:w="2608" w:type="dxa"/>
          </w:tcPr>
          <w:p>
            <w:pPr>
              <w:pStyle w:val="0"/>
            </w:pPr>
            <w:r>
              <w:rPr>
                <w:sz w:val="20"/>
              </w:rPr>
              <w:t xml:space="preserve">1114</w:t>
            </w:r>
          </w:p>
        </w:tc>
      </w:tr>
      <w:tr>
        <w:tc>
          <w:tcPr>
            <w:tcW w:w="1118" w:type="dxa"/>
          </w:tcPr>
          <w:p>
            <w:pPr>
              <w:pStyle w:val="0"/>
            </w:pPr>
            <w:r>
              <w:rPr>
                <w:sz w:val="20"/>
              </w:rPr>
              <w:t xml:space="preserve">2020</w:t>
            </w:r>
          </w:p>
        </w:tc>
        <w:tc>
          <w:tcPr>
            <w:tcW w:w="2551" w:type="dxa"/>
          </w:tcPr>
          <w:p>
            <w:pPr>
              <w:pStyle w:val="0"/>
            </w:pPr>
            <w:r>
              <w:rPr>
                <w:sz w:val="20"/>
              </w:rPr>
              <w:t xml:space="preserve">444</w:t>
            </w:r>
          </w:p>
        </w:tc>
        <w:tc>
          <w:tcPr>
            <w:tcW w:w="2689" w:type="dxa"/>
          </w:tcPr>
          <w:p>
            <w:pPr>
              <w:pStyle w:val="0"/>
            </w:pPr>
            <w:r>
              <w:rPr>
                <w:sz w:val="20"/>
              </w:rPr>
              <w:t xml:space="preserve">391</w:t>
            </w:r>
          </w:p>
        </w:tc>
        <w:tc>
          <w:tcPr>
            <w:tcW w:w="2608" w:type="dxa"/>
          </w:tcPr>
          <w:p>
            <w:pPr>
              <w:pStyle w:val="0"/>
            </w:pPr>
            <w:r>
              <w:rPr>
                <w:sz w:val="20"/>
              </w:rPr>
              <w:t xml:space="preserve">835</w:t>
            </w:r>
          </w:p>
        </w:tc>
      </w:tr>
      <w:tr>
        <w:tc>
          <w:tcPr>
            <w:tcW w:w="1118" w:type="dxa"/>
          </w:tcPr>
          <w:p>
            <w:pPr>
              <w:pStyle w:val="0"/>
            </w:pPr>
            <w:r>
              <w:rPr>
                <w:sz w:val="20"/>
              </w:rPr>
              <w:t xml:space="preserve">2021</w:t>
            </w:r>
          </w:p>
        </w:tc>
        <w:tc>
          <w:tcPr>
            <w:tcW w:w="2551" w:type="dxa"/>
          </w:tcPr>
          <w:p>
            <w:pPr>
              <w:pStyle w:val="0"/>
            </w:pPr>
            <w:r>
              <w:rPr>
                <w:sz w:val="20"/>
              </w:rPr>
              <w:t xml:space="preserve">611</w:t>
            </w:r>
          </w:p>
        </w:tc>
        <w:tc>
          <w:tcPr>
            <w:tcW w:w="2689" w:type="dxa"/>
          </w:tcPr>
          <w:p>
            <w:pPr>
              <w:pStyle w:val="0"/>
            </w:pPr>
            <w:r>
              <w:rPr>
                <w:sz w:val="20"/>
              </w:rPr>
              <w:t xml:space="preserve">444</w:t>
            </w:r>
          </w:p>
        </w:tc>
        <w:tc>
          <w:tcPr>
            <w:tcW w:w="2608" w:type="dxa"/>
          </w:tcPr>
          <w:p>
            <w:pPr>
              <w:pStyle w:val="0"/>
            </w:pPr>
            <w:r>
              <w:rPr>
                <w:sz w:val="20"/>
              </w:rPr>
              <w:t xml:space="preserve">1055</w:t>
            </w:r>
          </w:p>
        </w:tc>
      </w:tr>
      <w:tr>
        <w:tc>
          <w:tcPr>
            <w:tcW w:w="1118" w:type="dxa"/>
          </w:tcPr>
          <w:p>
            <w:pPr>
              <w:pStyle w:val="0"/>
            </w:pPr>
            <w:r>
              <w:rPr>
                <w:sz w:val="20"/>
              </w:rPr>
              <w:t xml:space="preserve">2022</w:t>
            </w:r>
          </w:p>
        </w:tc>
        <w:tc>
          <w:tcPr>
            <w:tcW w:w="2551" w:type="dxa"/>
          </w:tcPr>
          <w:p>
            <w:pPr>
              <w:pStyle w:val="0"/>
            </w:pPr>
            <w:r>
              <w:rPr>
                <w:sz w:val="20"/>
              </w:rPr>
              <w:t xml:space="preserve">641</w:t>
            </w:r>
          </w:p>
        </w:tc>
        <w:tc>
          <w:tcPr>
            <w:tcW w:w="2689" w:type="dxa"/>
          </w:tcPr>
          <w:p>
            <w:pPr>
              <w:pStyle w:val="0"/>
            </w:pPr>
            <w:r>
              <w:rPr>
                <w:sz w:val="20"/>
              </w:rPr>
              <w:t xml:space="preserve">738</w:t>
            </w:r>
          </w:p>
        </w:tc>
        <w:tc>
          <w:tcPr>
            <w:tcW w:w="2608" w:type="dxa"/>
          </w:tcPr>
          <w:p>
            <w:pPr>
              <w:pStyle w:val="0"/>
            </w:pPr>
            <w:r>
              <w:rPr>
                <w:sz w:val="20"/>
              </w:rPr>
              <w:t xml:space="preserve">1379</w:t>
            </w:r>
          </w:p>
        </w:tc>
      </w:tr>
    </w:tbl>
    <w:p>
      <w:pPr>
        <w:pStyle w:val="0"/>
        <w:ind w:firstLine="540"/>
        <w:jc w:val="both"/>
      </w:pPr>
      <w:r>
        <w:rPr>
          <w:sz w:val="20"/>
        </w:rPr>
      </w:r>
    </w:p>
    <w:p>
      <w:pPr>
        <w:pStyle w:val="0"/>
        <w:ind w:firstLine="540"/>
        <w:jc w:val="both"/>
      </w:pPr>
      <w:r>
        <w:rPr>
          <w:sz w:val="20"/>
        </w:rPr>
        <w:t xml:space="preserve">Планируется внедрение амбулаторных КАГ в БУ "Няганская окружная больница" и БУ "Нижневартовская окружная клиническая больница".</w:t>
      </w:r>
    </w:p>
    <w:p>
      <w:pPr>
        <w:pStyle w:val="0"/>
        <w:spacing w:before="200" w:line-rule="auto"/>
        <w:ind w:firstLine="540"/>
        <w:jc w:val="both"/>
      </w:pPr>
      <w:r>
        <w:rPr>
          <w:sz w:val="20"/>
        </w:rPr>
        <w:t xml:space="preserve">Медицинская реабилитация</w:t>
      </w:r>
    </w:p>
    <w:p>
      <w:pPr>
        <w:pStyle w:val="0"/>
        <w:spacing w:before="200" w:line-rule="auto"/>
        <w:ind w:firstLine="540"/>
        <w:jc w:val="both"/>
      </w:pPr>
      <w:r>
        <w:rPr>
          <w:sz w:val="20"/>
        </w:rPr>
        <w:t xml:space="preserve">В автономном округе медицинская помощь по профилю "медицинская реабилитация" оказывается в зависимости от тяжести состояния пациента в 3 этапа.</w:t>
      </w:r>
    </w:p>
    <w:p>
      <w:pPr>
        <w:pStyle w:val="0"/>
        <w:spacing w:before="200" w:line-rule="auto"/>
        <w:ind w:firstLine="540"/>
        <w:jc w:val="both"/>
      </w:pPr>
      <w:r>
        <w:rPr>
          <w:sz w:val="20"/>
        </w:rPr>
        <w:t xml:space="preserve">Медицинская помощь по профилю "медицинская реабилитация" оказывается в соответствии с приказом Депздрава Югры от 9 июля 2021 года N 1002 "Об организации оказания медицинской помощи по медицинской реабилитации взрослому населению Ханты-Мансийского автономного округа - Югры": определены схема маршрутизации пациентов при оказании медицинской помощи по медицинской реабилитации; перечень медицинских организаций, осуществляющих медицинскую реабилитацию взрослого населения, по группам, медицинским зонам, этапам и профилям медицинской реабилитации.</w:t>
      </w:r>
    </w:p>
    <w:p>
      <w:pPr>
        <w:pStyle w:val="0"/>
        <w:spacing w:before="200" w:line-rule="auto"/>
        <w:ind w:firstLine="540"/>
        <w:jc w:val="both"/>
      </w:pPr>
      <w:r>
        <w:rPr>
          <w:sz w:val="20"/>
        </w:rPr>
        <w:t xml:space="preserve">В 2022 году с целью повышения качества реабилитационной помощи, укрепления материально-технической базы учреждений, оказывающих помощь по профилю "медицинская реабилитация", подготовки кадров специалистов утверждена </w:t>
      </w:r>
      <w:hyperlink w:history="0" r:id="rId136" w:tooltip="Постановление Правительства ХМАО - Югры от 27.05.2022 N 229-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Ханты-Мансийского автономного округа - Югры от 27 мая 2022 года N 229-п "О внесении изменений в постановление Правительства Ханты-Мансийского автономного округа - Югры от 27 декабря 2021 года N 594-п "О мерах по реализации государственной программы Ханты-Мансийского автономного округа - Югры "Современное здравоохранение" региональная программа "Оптимальная для восстановления здоровья медицинская реабилитация в Ханты-Мансийском автономном округе - Югре".</w:t>
      </w:r>
    </w:p>
    <w:p>
      <w:pPr>
        <w:pStyle w:val="0"/>
        <w:spacing w:before="200" w:line-rule="auto"/>
        <w:ind w:firstLine="540"/>
        <w:jc w:val="both"/>
      </w:pPr>
      <w:r>
        <w:rPr>
          <w:sz w:val="20"/>
        </w:rPr>
        <w:t xml:space="preserve">За 2022 год в целях осуществления пациентам с ССЗ первого этапа медицинской реабилитации открыты 3 отделения ранней медицинской реабилитации на базах БУ "Окружной кардиодиспансер "Центр диагностики и сердечно-сосудистой хирургии", г. Сургут, БУ "Окружная клиническая больница", г. Ханты-Мансийск, БУ "Няганская окружная больница". Готовятся к открытию еще 4 отделения ранней медицинской реабилитации.</w:t>
      </w:r>
    </w:p>
    <w:p>
      <w:pPr>
        <w:pStyle w:val="0"/>
        <w:spacing w:before="200" w:line-rule="auto"/>
        <w:ind w:firstLine="540"/>
        <w:jc w:val="both"/>
      </w:pPr>
      <w:r>
        <w:rPr>
          <w:sz w:val="20"/>
        </w:rPr>
        <w:t xml:space="preserve">В 2022 году мероприятиями по ранней медицинской реабилитации в стационарах охвачены 19 770 пациентов с БСК. Налажен ежемесячный мониторинг в региональной МИС за соблюдением этапов реабилитационной помощи. Доля пациентов с ОКС, которым осуществлялись мероприятия ранней медицинской реабилитации не позднее 72 часов от поступления в стационар, составила 67% пациентов от числа поступивших с ОКС (целевой показатель 70%), 62% пациентов с ОНМК и 92% после кардиохирургических операций.</w:t>
      </w:r>
    </w:p>
    <w:p>
      <w:pPr>
        <w:pStyle w:val="0"/>
        <w:spacing w:before="200" w:line-rule="auto"/>
        <w:ind w:firstLine="540"/>
        <w:jc w:val="both"/>
      </w:pPr>
      <w:r>
        <w:rPr>
          <w:sz w:val="20"/>
        </w:rPr>
        <w:t xml:space="preserve">По данным аудита, проведенного главным внештатным специалистом Депздрав Югры по неврологии, оценка нутритивного статуса и диагностики наличия дисфагии, а также мероприятия по ранней мобилизации и вертикализации проводится у 100% пациентов с ОНМК в первые 24 часа от поступления.</w:t>
      </w:r>
    </w:p>
    <w:p>
      <w:pPr>
        <w:pStyle w:val="0"/>
        <w:spacing w:before="200" w:line-rule="auto"/>
        <w:ind w:firstLine="540"/>
        <w:jc w:val="both"/>
      </w:pPr>
      <w:r>
        <w:rPr>
          <w:sz w:val="20"/>
        </w:rPr>
        <w:t xml:space="preserve">Коечная мощность реабилитационных учреждений (отделений) автономного округа, оказывающих медицинскую помощь по профилю "медицинская реабилитация" на втором этапе в 14 медицинских организациях автономного округа, составила 367 реабилитационных коек, в том числе 7 медицинских организаций проводят кардиореабилитацию.</w:t>
      </w:r>
    </w:p>
    <w:p>
      <w:pPr>
        <w:pStyle w:val="0"/>
        <w:spacing w:before="200" w:line-rule="auto"/>
        <w:ind w:firstLine="540"/>
        <w:jc w:val="both"/>
      </w:pPr>
      <w:r>
        <w:rPr>
          <w:sz w:val="20"/>
        </w:rPr>
        <w:t xml:space="preserve">Кардиореабилитация 2 этапа проводится в следующих медорганизациях:</w:t>
      </w:r>
    </w:p>
    <w:p>
      <w:pPr>
        <w:pStyle w:val="0"/>
        <w:spacing w:before="200" w:line-rule="auto"/>
        <w:ind w:firstLine="540"/>
        <w:jc w:val="both"/>
      </w:pPr>
      <w:r>
        <w:rPr>
          <w:sz w:val="20"/>
        </w:rPr>
        <w:t xml:space="preserve">БУ "Окружной клинический лечебно-реабилитационный центр"</w:t>
      </w:r>
    </w:p>
    <w:p>
      <w:pPr>
        <w:pStyle w:val="0"/>
        <w:spacing w:before="200" w:line-rule="auto"/>
        <w:ind w:firstLine="540"/>
        <w:jc w:val="both"/>
      </w:pPr>
      <w:r>
        <w:rPr>
          <w:sz w:val="20"/>
        </w:rPr>
        <w:t xml:space="preserve">БУ "Окружной кардиологический диспансер "Центр диагностики и сердечно-сосудистой хирургии",</w:t>
      </w:r>
    </w:p>
    <w:p>
      <w:pPr>
        <w:pStyle w:val="0"/>
        <w:spacing w:before="200" w:line-rule="auto"/>
        <w:ind w:firstLine="540"/>
        <w:jc w:val="both"/>
      </w:pPr>
      <w:r>
        <w:rPr>
          <w:sz w:val="20"/>
        </w:rPr>
        <w:t xml:space="preserve">БУ "Пыть-Яхская окружная клиническая больница",</w:t>
      </w:r>
    </w:p>
    <w:p>
      <w:pPr>
        <w:pStyle w:val="0"/>
        <w:spacing w:before="200" w:line-rule="auto"/>
        <w:ind w:firstLine="540"/>
        <w:jc w:val="both"/>
      </w:pPr>
      <w:r>
        <w:rPr>
          <w:sz w:val="20"/>
        </w:rPr>
        <w:t xml:space="preserve">БУ "Нижневартовская окружная клиническая больница",</w:t>
      </w:r>
    </w:p>
    <w:p>
      <w:pPr>
        <w:pStyle w:val="0"/>
        <w:spacing w:before="200" w:line-rule="auto"/>
        <w:ind w:firstLine="540"/>
        <w:jc w:val="both"/>
      </w:pPr>
      <w:r>
        <w:rPr>
          <w:sz w:val="20"/>
        </w:rPr>
        <w:t xml:space="preserve">БУ "Лангепасская городская больница",</w:t>
      </w:r>
    </w:p>
    <w:p>
      <w:pPr>
        <w:pStyle w:val="0"/>
        <w:spacing w:before="200" w:line-rule="auto"/>
        <w:ind w:firstLine="540"/>
        <w:jc w:val="both"/>
      </w:pPr>
      <w:r>
        <w:rPr>
          <w:sz w:val="20"/>
        </w:rPr>
        <w:t xml:space="preserve">БУ "Урайская окружная больница медицинской реабилитации",</w:t>
      </w:r>
    </w:p>
    <w:p>
      <w:pPr>
        <w:pStyle w:val="0"/>
        <w:spacing w:before="200" w:line-rule="auto"/>
        <w:ind w:firstLine="540"/>
        <w:jc w:val="both"/>
      </w:pPr>
      <w:r>
        <w:rPr>
          <w:sz w:val="20"/>
        </w:rPr>
        <w:t xml:space="preserve">Частное учреждение здравоохранения (далее - ЧУЗ) "Клиническая больница "РЖД-Медицина" города Сургута".</w:t>
      </w:r>
    </w:p>
    <w:p>
      <w:pPr>
        <w:pStyle w:val="0"/>
        <w:spacing w:before="200" w:line-rule="auto"/>
        <w:ind w:firstLine="540"/>
        <w:jc w:val="both"/>
      </w:pPr>
      <w:r>
        <w:rPr>
          <w:sz w:val="20"/>
        </w:rPr>
        <w:t xml:space="preserve">Отделение реабилитации на 25 коек на базе стационара БУ "Окружной кардиологический диспансер "Центр диагностики и сердечно-сосудистой хирургии" развернуто с апреля 2022 года.</w:t>
      </w:r>
    </w:p>
    <w:p>
      <w:pPr>
        <w:pStyle w:val="0"/>
        <w:spacing w:before="200" w:line-rule="auto"/>
        <w:ind w:firstLine="540"/>
        <w:jc w:val="both"/>
      </w:pPr>
      <w:r>
        <w:rPr>
          <w:sz w:val="20"/>
        </w:rPr>
        <w:t xml:space="preserve">В 2022 году медицинскую помощь по профилю "медицинская реабилитация" на 2 этапе в стационарных условиях получили 7 969 пациентов (в 2021 году - 7 126, в 2020 году - 5829).</w:t>
      </w:r>
    </w:p>
    <w:p>
      <w:pPr>
        <w:pStyle w:val="0"/>
        <w:spacing w:before="200" w:line-rule="auto"/>
        <w:ind w:firstLine="540"/>
        <w:jc w:val="both"/>
      </w:pPr>
      <w:r>
        <w:rPr>
          <w:sz w:val="20"/>
        </w:rPr>
        <w:t xml:space="preserve">Доля пациентов, имеющих оценку по ШРМ 4 - 5 - 6 баллов и направленных на 2 этап медицинской реабилитации после завершения 1 этапа, составила в 2022 году 70,1% при целевом показателе не менее 60%.</w:t>
      </w:r>
    </w:p>
    <w:p>
      <w:pPr>
        <w:pStyle w:val="0"/>
        <w:spacing w:before="200" w:line-rule="auto"/>
        <w:ind w:firstLine="540"/>
        <w:jc w:val="both"/>
      </w:pPr>
      <w:r>
        <w:rPr>
          <w:sz w:val="20"/>
        </w:rPr>
        <w:t xml:space="preserve">На 2 этапе в процесс кардиореабилитации вовлечены 1100 пациентов с ОНМК из 2511 пролеченных в стационаре и 664 пациента с ОКС из 3448 пролеченных.</w:t>
      </w:r>
    </w:p>
    <w:p>
      <w:pPr>
        <w:pStyle w:val="0"/>
        <w:spacing w:before="200" w:line-rule="auto"/>
        <w:ind w:firstLine="540"/>
        <w:jc w:val="both"/>
      </w:pPr>
      <w:r>
        <w:rPr>
          <w:sz w:val="20"/>
        </w:rPr>
        <w:t xml:space="preserve">Доля пациентов с ОНМК, направленных на 2 этап медицинской реабилитации, от общего числа закончивших лечение в отделении для пациентов с ОКС и имеющих оценку по ШРМ 4 - 5 - 6 баллов, составила 64,2% при целевом показателе не менее 35%.</w:t>
      </w:r>
    </w:p>
    <w:p>
      <w:pPr>
        <w:pStyle w:val="0"/>
        <w:spacing w:before="200" w:line-rule="auto"/>
        <w:ind w:firstLine="540"/>
        <w:jc w:val="both"/>
      </w:pPr>
      <w:r>
        <w:rPr>
          <w:sz w:val="20"/>
        </w:rPr>
        <w:t xml:space="preserve">Доля пациентов с ОКС, направленных на 2 этап медицинской реабилитации, от общего числа закончивших лечение в отделении для пациентов с ОКС и имеющих оценку по шкале реабилитационной маршрутизации (далее - ШРМ) 4 - 5 - 6 баллов, составила 43,7% при целевом показателе не менее 25%.</w:t>
      </w:r>
    </w:p>
    <w:p>
      <w:pPr>
        <w:pStyle w:val="0"/>
        <w:spacing w:before="200" w:line-rule="auto"/>
        <w:ind w:firstLine="540"/>
        <w:jc w:val="both"/>
      </w:pPr>
      <w:r>
        <w:rPr>
          <w:sz w:val="20"/>
        </w:rPr>
        <w:t xml:space="preserve">Объем оказанной медицинской помощи на 3 этапе за 2022 год составил:</w:t>
      </w:r>
    </w:p>
    <w:p>
      <w:pPr>
        <w:pStyle w:val="0"/>
        <w:spacing w:before="200" w:line-rule="auto"/>
        <w:ind w:firstLine="540"/>
        <w:jc w:val="both"/>
      </w:pPr>
      <w:r>
        <w:rPr>
          <w:sz w:val="20"/>
        </w:rPr>
        <w:t xml:space="preserve">в условиях дневного стационара медицинская помощь оказана 8160 пациентам, в амбулаторных условиях медицинская помощь оказана 4698 пациентам.</w:t>
      </w:r>
    </w:p>
    <w:p>
      <w:pPr>
        <w:pStyle w:val="0"/>
        <w:spacing w:before="200" w:line-rule="auto"/>
        <w:ind w:firstLine="540"/>
        <w:jc w:val="both"/>
      </w:pPr>
      <w:r>
        <w:rPr>
          <w:sz w:val="20"/>
        </w:rPr>
        <w:t xml:space="preserve">Медицинская реабилитация 3 этапа в условиях дневного стационара пациентам с БСК оказывается на базе следующих медицинских организаций:</w:t>
      </w:r>
    </w:p>
    <w:p>
      <w:pPr>
        <w:pStyle w:val="0"/>
        <w:spacing w:before="200" w:line-rule="auto"/>
        <w:ind w:firstLine="540"/>
        <w:jc w:val="both"/>
      </w:pPr>
      <w:r>
        <w:rPr>
          <w:sz w:val="20"/>
        </w:rPr>
        <w:t xml:space="preserve">БУ "Окружной клинический лечебно-реабилитационный центр",</w:t>
      </w:r>
    </w:p>
    <w:p>
      <w:pPr>
        <w:pStyle w:val="0"/>
        <w:spacing w:before="200" w:line-rule="auto"/>
        <w:ind w:firstLine="540"/>
        <w:jc w:val="both"/>
      </w:pPr>
      <w:r>
        <w:rPr>
          <w:sz w:val="20"/>
        </w:rPr>
        <w:t xml:space="preserve">БУ "Мегионская городская больница",</w:t>
      </w:r>
    </w:p>
    <w:p>
      <w:pPr>
        <w:pStyle w:val="0"/>
        <w:spacing w:before="200" w:line-rule="auto"/>
        <w:ind w:firstLine="540"/>
        <w:jc w:val="both"/>
      </w:pPr>
      <w:r>
        <w:rPr>
          <w:sz w:val="20"/>
        </w:rPr>
        <w:t xml:space="preserve">БУ "Нефтеюганская окружная клиническая больница им. В.И. Яцкив",</w:t>
      </w:r>
    </w:p>
    <w:p>
      <w:pPr>
        <w:pStyle w:val="0"/>
        <w:spacing w:before="200" w:line-rule="auto"/>
        <w:ind w:firstLine="540"/>
        <w:jc w:val="both"/>
      </w:pPr>
      <w:r>
        <w:rPr>
          <w:sz w:val="20"/>
        </w:rPr>
        <w:t xml:space="preserve">БУ "Нижневартовская окружная клиническая больница",</w:t>
      </w:r>
    </w:p>
    <w:p>
      <w:pPr>
        <w:pStyle w:val="0"/>
        <w:spacing w:before="200" w:line-rule="auto"/>
        <w:ind w:firstLine="540"/>
        <w:jc w:val="both"/>
      </w:pPr>
      <w:r>
        <w:rPr>
          <w:sz w:val="20"/>
        </w:rPr>
        <w:t xml:space="preserve">БУ "Сургутская окружная клиническая больница",</w:t>
      </w:r>
    </w:p>
    <w:p>
      <w:pPr>
        <w:pStyle w:val="0"/>
        <w:spacing w:before="200" w:line-rule="auto"/>
        <w:ind w:firstLine="540"/>
        <w:jc w:val="both"/>
      </w:pPr>
      <w:r>
        <w:rPr>
          <w:sz w:val="20"/>
        </w:rPr>
        <w:t xml:space="preserve">БУ "Сургутская городская клиническая поликлиника N 1",</w:t>
      </w:r>
    </w:p>
    <w:p>
      <w:pPr>
        <w:pStyle w:val="0"/>
        <w:spacing w:before="200" w:line-rule="auto"/>
        <w:ind w:firstLine="540"/>
        <w:jc w:val="both"/>
      </w:pPr>
      <w:r>
        <w:rPr>
          <w:sz w:val="20"/>
        </w:rPr>
        <w:t xml:space="preserve">БУ "Сургутская городская клиническая поликлиника N 3",</w:t>
      </w:r>
    </w:p>
    <w:p>
      <w:pPr>
        <w:pStyle w:val="0"/>
        <w:spacing w:before="200" w:line-rule="auto"/>
        <w:ind w:firstLine="540"/>
        <w:jc w:val="both"/>
      </w:pPr>
      <w:r>
        <w:rPr>
          <w:sz w:val="20"/>
        </w:rPr>
        <w:t xml:space="preserve">БУ "Окружной кардиологический диспансер "Центр диагностики и сердечно-сосудистой хирургии",</w:t>
      </w:r>
    </w:p>
    <w:p>
      <w:pPr>
        <w:pStyle w:val="0"/>
        <w:spacing w:before="200" w:line-rule="auto"/>
        <w:ind w:firstLine="540"/>
        <w:jc w:val="both"/>
      </w:pPr>
      <w:r>
        <w:rPr>
          <w:sz w:val="20"/>
        </w:rPr>
        <w:t xml:space="preserve">БУ "Сургутская городская клиническая поликлиника N 4",</w:t>
      </w:r>
    </w:p>
    <w:p>
      <w:pPr>
        <w:pStyle w:val="0"/>
        <w:spacing w:before="200" w:line-rule="auto"/>
        <w:ind w:firstLine="540"/>
        <w:jc w:val="both"/>
      </w:pPr>
      <w:r>
        <w:rPr>
          <w:sz w:val="20"/>
        </w:rPr>
        <w:t xml:space="preserve">БУ "Урайская окружная больница медицинской реабилитации".</w:t>
      </w:r>
    </w:p>
    <w:p>
      <w:pPr>
        <w:pStyle w:val="0"/>
        <w:spacing w:before="200" w:line-rule="auto"/>
        <w:ind w:firstLine="540"/>
        <w:jc w:val="both"/>
      </w:pPr>
      <w:r>
        <w:rPr>
          <w:sz w:val="20"/>
        </w:rPr>
        <w:t xml:space="preserve">Медицинская реабилитация в амбулаторных условиях оказывается на базе следующих медицинских организаций:</w:t>
      </w:r>
    </w:p>
    <w:p>
      <w:pPr>
        <w:pStyle w:val="0"/>
        <w:spacing w:before="200" w:line-rule="auto"/>
        <w:ind w:firstLine="540"/>
        <w:jc w:val="both"/>
      </w:pPr>
      <w:r>
        <w:rPr>
          <w:sz w:val="20"/>
        </w:rPr>
        <w:t xml:space="preserve">БУ "Белоярская районная больница",</w:t>
      </w:r>
    </w:p>
    <w:p>
      <w:pPr>
        <w:pStyle w:val="0"/>
        <w:spacing w:before="200" w:line-rule="auto"/>
        <w:ind w:firstLine="540"/>
        <w:jc w:val="both"/>
      </w:pPr>
      <w:r>
        <w:rPr>
          <w:sz w:val="20"/>
        </w:rPr>
        <w:t xml:space="preserve">БУ "Окружной клинический лечебно-реабилитационный центр",</w:t>
      </w:r>
    </w:p>
    <w:p>
      <w:pPr>
        <w:pStyle w:val="0"/>
        <w:spacing w:before="200" w:line-rule="auto"/>
        <w:ind w:firstLine="540"/>
        <w:jc w:val="both"/>
      </w:pPr>
      <w:r>
        <w:rPr>
          <w:sz w:val="20"/>
        </w:rPr>
        <w:t xml:space="preserve">БУ "Когалымская городская больница",</w:t>
      </w:r>
    </w:p>
    <w:p>
      <w:pPr>
        <w:pStyle w:val="0"/>
        <w:spacing w:before="200" w:line-rule="auto"/>
        <w:ind w:firstLine="540"/>
        <w:jc w:val="both"/>
      </w:pPr>
      <w:r>
        <w:rPr>
          <w:sz w:val="20"/>
        </w:rPr>
        <w:t xml:space="preserve">БУ "Лангепасская городская больница",</w:t>
      </w:r>
    </w:p>
    <w:p>
      <w:pPr>
        <w:pStyle w:val="0"/>
        <w:spacing w:before="200" w:line-rule="auto"/>
        <w:ind w:firstLine="540"/>
        <w:jc w:val="both"/>
      </w:pPr>
      <w:r>
        <w:rPr>
          <w:sz w:val="20"/>
        </w:rPr>
        <w:t xml:space="preserve">БУ "Мегионская городская больница",</w:t>
      </w:r>
    </w:p>
    <w:p>
      <w:pPr>
        <w:pStyle w:val="0"/>
        <w:spacing w:before="200" w:line-rule="auto"/>
        <w:ind w:firstLine="540"/>
        <w:jc w:val="both"/>
      </w:pPr>
      <w:r>
        <w:rPr>
          <w:sz w:val="20"/>
        </w:rPr>
        <w:t xml:space="preserve">БУ "Нижневартовская городская поликлиника",</w:t>
      </w:r>
    </w:p>
    <w:p>
      <w:pPr>
        <w:pStyle w:val="0"/>
        <w:spacing w:before="200" w:line-rule="auto"/>
        <w:ind w:firstLine="540"/>
        <w:jc w:val="both"/>
      </w:pPr>
      <w:r>
        <w:rPr>
          <w:sz w:val="20"/>
        </w:rPr>
        <w:t xml:space="preserve">БУ "Няганская городская поликлиника",</w:t>
      </w:r>
    </w:p>
    <w:p>
      <w:pPr>
        <w:pStyle w:val="0"/>
        <w:spacing w:before="200" w:line-rule="auto"/>
        <w:ind w:firstLine="540"/>
        <w:jc w:val="both"/>
      </w:pPr>
      <w:r>
        <w:rPr>
          <w:sz w:val="20"/>
        </w:rPr>
        <w:t xml:space="preserve">БУ "Покачевская городская больница",</w:t>
      </w:r>
    </w:p>
    <w:p>
      <w:pPr>
        <w:pStyle w:val="0"/>
        <w:spacing w:before="200" w:line-rule="auto"/>
        <w:ind w:firstLine="540"/>
        <w:jc w:val="both"/>
      </w:pPr>
      <w:r>
        <w:rPr>
          <w:sz w:val="20"/>
        </w:rPr>
        <w:t xml:space="preserve">БУ "Пыть-Яхская окружная клиническая больница",</w:t>
      </w:r>
    </w:p>
    <w:p>
      <w:pPr>
        <w:pStyle w:val="0"/>
        <w:spacing w:before="200" w:line-rule="auto"/>
        <w:ind w:firstLine="540"/>
        <w:jc w:val="both"/>
      </w:pPr>
      <w:r>
        <w:rPr>
          <w:sz w:val="20"/>
        </w:rPr>
        <w:t xml:space="preserve">БУ "Сургутская городская клиническая поликлиника N 1",</w:t>
      </w:r>
    </w:p>
    <w:p>
      <w:pPr>
        <w:pStyle w:val="0"/>
        <w:spacing w:before="200" w:line-rule="auto"/>
        <w:ind w:firstLine="540"/>
        <w:jc w:val="both"/>
      </w:pPr>
      <w:r>
        <w:rPr>
          <w:sz w:val="20"/>
        </w:rPr>
        <w:t xml:space="preserve">БУ "Сургутская городская клиническая поликлиника N 2",</w:t>
      </w:r>
    </w:p>
    <w:p>
      <w:pPr>
        <w:pStyle w:val="0"/>
        <w:spacing w:before="200" w:line-rule="auto"/>
        <w:ind w:firstLine="540"/>
        <w:jc w:val="both"/>
      </w:pPr>
      <w:r>
        <w:rPr>
          <w:sz w:val="20"/>
        </w:rPr>
        <w:t xml:space="preserve">БУ "Сургутская клиническая травматологическая больница",</w:t>
      </w:r>
    </w:p>
    <w:p>
      <w:pPr>
        <w:pStyle w:val="0"/>
        <w:spacing w:before="200" w:line-rule="auto"/>
        <w:ind w:firstLine="540"/>
        <w:jc w:val="both"/>
      </w:pPr>
      <w:r>
        <w:rPr>
          <w:sz w:val="20"/>
        </w:rPr>
        <w:t xml:space="preserve">БУ "Окружной кардиологический диспансер "Центр диагностики и сердечно-сосудистой хирургии",</w:t>
      </w:r>
    </w:p>
    <w:p>
      <w:pPr>
        <w:pStyle w:val="0"/>
        <w:spacing w:before="200" w:line-rule="auto"/>
        <w:ind w:firstLine="540"/>
        <w:jc w:val="both"/>
      </w:pPr>
      <w:r>
        <w:rPr>
          <w:sz w:val="20"/>
        </w:rPr>
        <w:t xml:space="preserve">БУ "Урайская городская клиническая больница",</w:t>
      </w:r>
    </w:p>
    <w:p>
      <w:pPr>
        <w:pStyle w:val="0"/>
        <w:spacing w:before="200" w:line-rule="auto"/>
        <w:ind w:firstLine="540"/>
        <w:jc w:val="both"/>
      </w:pPr>
      <w:r>
        <w:rPr>
          <w:sz w:val="20"/>
        </w:rPr>
        <w:t xml:space="preserve">БУ "Югорская городская больница"</w:t>
      </w:r>
    </w:p>
    <w:p>
      <w:pPr>
        <w:pStyle w:val="0"/>
        <w:spacing w:before="200" w:line-rule="auto"/>
        <w:ind w:firstLine="540"/>
        <w:jc w:val="both"/>
      </w:pPr>
      <w:r>
        <w:rPr>
          <w:sz w:val="20"/>
        </w:rPr>
        <w:t xml:space="preserve">Отработан механизм своевременного направления на третий этап медицинской реабилитации пациентов с ОНМК и ОКС с использованием чек-листов, внедренных в МИС в медорганизациях региона: при оценке по ШРМ 2 - 3 балла пациент направляется на третий этап медицинской реабилитации.</w:t>
      </w:r>
    </w:p>
    <w:p>
      <w:pPr>
        <w:pStyle w:val="0"/>
        <w:spacing w:before="200" w:line-rule="auto"/>
        <w:ind w:firstLine="540"/>
        <w:jc w:val="both"/>
      </w:pPr>
      <w:r>
        <w:rPr>
          <w:sz w:val="20"/>
        </w:rPr>
        <w:t xml:space="preserve">Удельный вес пациентов, направленных на 3 этап медицинской реабилитации, от общего числа закончивших лечение в отделении для пациентов с ОНМК и имеющих оценку по ШРМ 2 - 3 балла, составил 76% (784 пациентов из 1032) при целевом показателе не менее 46%.</w:t>
      </w:r>
    </w:p>
    <w:p>
      <w:pPr>
        <w:pStyle w:val="0"/>
        <w:spacing w:before="200" w:line-rule="auto"/>
        <w:ind w:firstLine="540"/>
        <w:jc w:val="both"/>
      </w:pPr>
      <w:r>
        <w:rPr>
          <w:sz w:val="20"/>
        </w:rPr>
        <w:t xml:space="preserve">Удельный вес пациентов, направленных на 3 этап медицинской реабилитации, от общего числа закончивших лечение в отделении для пациентов с ОКС и имеющих оценку по ШРМ 2 - 3 балла, составил 69,4% (577 пациентов из 832) при целевом показателе не менее 55%.</w:t>
      </w:r>
    </w:p>
    <w:p>
      <w:pPr>
        <w:pStyle w:val="0"/>
        <w:spacing w:before="200" w:line-rule="auto"/>
        <w:ind w:firstLine="540"/>
        <w:jc w:val="both"/>
      </w:pPr>
      <w:r>
        <w:rPr>
          <w:sz w:val="20"/>
        </w:rPr>
        <w:t xml:space="preserve">Удельный вес пациентов, перенесших ОКС, кардиохирургические вмешательства, лечение по поводу декомпенсации ХСН, прошедших мероприятия медицинской реабилитации 2 и/или 3 этапов, составил 40,5% (1893 пациента из 4677) при целевом показателе не менее 70%.</w:t>
      </w:r>
    </w:p>
    <w:p>
      <w:pPr>
        <w:pStyle w:val="0"/>
        <w:spacing w:before="200" w:line-rule="auto"/>
        <w:ind w:firstLine="540"/>
        <w:jc w:val="both"/>
      </w:pPr>
      <w:r>
        <w:rPr>
          <w:sz w:val="20"/>
        </w:rPr>
        <w:t xml:space="preserve">Фактически в 2022 году прошли первичную профессиональную переподготовку по специальности "Физическая и реабилитационная медицина" 41 врач, что составило 51,3% от числа запланированных (80 врачей).</w:t>
      </w:r>
    </w:p>
    <w:p>
      <w:pPr>
        <w:pStyle w:val="0"/>
        <w:spacing w:before="200" w:line-rule="auto"/>
        <w:ind w:firstLine="540"/>
        <w:jc w:val="both"/>
      </w:pPr>
      <w:r>
        <w:rPr>
          <w:sz w:val="20"/>
        </w:rPr>
        <w:t xml:space="preserve">Из числа специалистов со средним медицинским образованием прошли профессиональную переподготовку по специальности "Реабилитационное сестринское дело" в 2022 году 95 человек - 45% от числа запланированных (211 человек).</w:t>
      </w:r>
    </w:p>
    <w:p>
      <w:pPr>
        <w:pStyle w:val="0"/>
        <w:spacing w:before="200" w:line-rule="auto"/>
        <w:ind w:firstLine="540"/>
        <w:jc w:val="both"/>
      </w:pPr>
      <w:r>
        <w:rPr>
          <w:sz w:val="20"/>
        </w:rPr>
        <w:t xml:space="preserve">Специалисты, осуществляющие медицинскую реабилитацию в течение года принимали участие в обучающих мероприятиях, проводимых профильными национальными медицинскими информационными центрами (далее - НМИЦ), Союзом реабилитологов России и профильными сообществами, всего в научно-практических мероприятиях приняли участие 130 человек - 54% из числа сотрудников отделений реабилитации (241 человек).</w:t>
      </w:r>
    </w:p>
    <w:p>
      <w:pPr>
        <w:pStyle w:val="0"/>
        <w:spacing w:before="200" w:line-rule="auto"/>
        <w:ind w:firstLine="540"/>
        <w:jc w:val="both"/>
      </w:pPr>
      <w:r>
        <w:rPr>
          <w:sz w:val="20"/>
        </w:rPr>
        <w:t xml:space="preserve">За 2022 год переоснащены оборудованием по медицинской реабилитации отделения медицинской реабилитации БУ "Окружной кардиологический диспансер "Центр диагностики и сердечно-сосудистой хирургии", БУ "Сургутская клиническая травматологическая больница", БУ "Лангепасская городская больница". Всего закуплено 278 единиц медицинского оборудования. Отделения реабилитации БУ "Окружной кардиологический диспансер "Центр диагностики и сердечно-сосудистой хирургии" получили 50 единиц оборудования для реабилитации.</w:t>
      </w:r>
    </w:p>
    <w:p>
      <w:pPr>
        <w:pStyle w:val="0"/>
        <w:spacing w:before="200" w:line-rule="auto"/>
        <w:ind w:firstLine="540"/>
        <w:jc w:val="both"/>
      </w:pPr>
      <w:r>
        <w:rPr>
          <w:sz w:val="20"/>
        </w:rPr>
        <w:t xml:space="preserve">Под руководством главного специалиста по медицинской реабилитации разрабатываются региональные алгоритмы направления пациентов, перенесших ОКС и ОНМК, при отсутствии реабилитационного потенциала для оказания паллиативной медицинской помощи; а также алгоритмы маршрутизации пациентов с БСК для оказания медицинской помощи по гериатрии и для проведения санаторно-курортного лечения. Согласно плану мероприятий ("дорожной карте") алгоритмы будут внедрены в первом полугодии 2023 года.</w:t>
      </w:r>
    </w:p>
    <w:p>
      <w:pPr>
        <w:pStyle w:val="0"/>
        <w:ind w:firstLine="540"/>
        <w:jc w:val="both"/>
      </w:pPr>
      <w:r>
        <w:rPr>
          <w:sz w:val="20"/>
        </w:rPr>
      </w:r>
    </w:p>
    <w:p>
      <w:pPr>
        <w:pStyle w:val="2"/>
        <w:outlineLvl w:val="3"/>
        <w:ind w:firstLine="540"/>
        <w:jc w:val="both"/>
      </w:pPr>
      <w:r>
        <w:rPr>
          <w:sz w:val="20"/>
        </w:rPr>
        <w:t xml:space="preserve">1.4.4. Развитие и внедрение инновационных методов диагностики и лечения</w:t>
      </w:r>
    </w:p>
    <w:p>
      <w:pPr>
        <w:pStyle w:val="0"/>
        <w:ind w:firstLine="540"/>
        <w:jc w:val="both"/>
      </w:pPr>
      <w:r>
        <w:rPr>
          <w:sz w:val="20"/>
        </w:rPr>
      </w:r>
    </w:p>
    <w:p>
      <w:pPr>
        <w:pStyle w:val="0"/>
        <w:ind w:firstLine="540"/>
        <w:jc w:val="both"/>
      </w:pPr>
      <w:r>
        <w:rPr>
          <w:sz w:val="20"/>
        </w:rPr>
        <w:t xml:space="preserve">В 2022 году в региональных высокотехнологичных центрах автономного округа проведен ряд уникальных операций:</w:t>
      </w:r>
    </w:p>
    <w:p>
      <w:pPr>
        <w:pStyle w:val="0"/>
        <w:spacing w:before="200" w:line-rule="auto"/>
        <w:ind w:firstLine="540"/>
        <w:jc w:val="both"/>
      </w:pPr>
      <w:r>
        <w:rPr>
          <w:sz w:val="20"/>
        </w:rPr>
        <w:t xml:space="preserve">MICS CABG - минимально инвазивная полная реваскуляризация миокарда через боковую торакотомию слева на работающем сердце;</w:t>
      </w:r>
    </w:p>
    <w:p>
      <w:pPr>
        <w:pStyle w:val="0"/>
        <w:spacing w:before="200" w:line-rule="auto"/>
        <w:ind w:firstLine="540"/>
        <w:jc w:val="both"/>
      </w:pPr>
      <w:r>
        <w:rPr>
          <w:sz w:val="20"/>
        </w:rPr>
        <w:t xml:space="preserve">MIDCAB + торакоскопическая изоляция ушка левого предсердия;</w:t>
      </w:r>
    </w:p>
    <w:p>
      <w:pPr>
        <w:pStyle w:val="0"/>
        <w:spacing w:before="200" w:line-rule="auto"/>
        <w:ind w:firstLine="540"/>
        <w:jc w:val="both"/>
      </w:pPr>
      <w:r>
        <w:rPr>
          <w:sz w:val="20"/>
        </w:rPr>
        <w:t xml:space="preserve">изолированная торакоскопическая изоляция ушка левого предсердия;</w:t>
      </w:r>
    </w:p>
    <w:p>
      <w:pPr>
        <w:pStyle w:val="0"/>
        <w:spacing w:before="200" w:line-rule="auto"/>
        <w:ind w:firstLine="540"/>
        <w:jc w:val="both"/>
      </w:pPr>
      <w:r>
        <w:rPr>
          <w:sz w:val="20"/>
        </w:rPr>
        <w:t xml:space="preserve">протезирование дуги аорты по методике FET (Frozen Elephant Trunk "замороженный хобот слона") композитным протезом МедИнж;</w:t>
      </w:r>
    </w:p>
    <w:p>
      <w:pPr>
        <w:pStyle w:val="0"/>
        <w:spacing w:before="200" w:line-rule="auto"/>
        <w:ind w:firstLine="540"/>
        <w:jc w:val="both"/>
      </w:pPr>
      <w:r>
        <w:rPr>
          <w:sz w:val="20"/>
        </w:rPr>
        <w:t xml:space="preserve">протезирование митрального, аортального, трикуспидального клапанов через боковую торакотомию справа;</w:t>
      </w:r>
    </w:p>
    <w:p>
      <w:pPr>
        <w:pStyle w:val="0"/>
        <w:spacing w:before="200" w:line-rule="auto"/>
        <w:ind w:firstLine="540"/>
        <w:jc w:val="both"/>
      </w:pPr>
      <w:r>
        <w:rPr>
          <w:sz w:val="20"/>
        </w:rPr>
        <w:t xml:space="preserve">мини-инвазивная полная реваскуляризация миокарда + торакоскопический забор левой внутренней артерии;</w:t>
      </w:r>
    </w:p>
    <w:p>
      <w:pPr>
        <w:pStyle w:val="0"/>
        <w:spacing w:before="200" w:line-rule="auto"/>
        <w:ind w:firstLine="540"/>
        <w:jc w:val="both"/>
      </w:pPr>
      <w:r>
        <w:rPr>
          <w:sz w:val="20"/>
        </w:rPr>
        <w:t xml:space="preserve">имплантация устройств для модуляции сердечной сократимости (оптимайзеры);</w:t>
      </w:r>
    </w:p>
    <w:p>
      <w:pPr>
        <w:pStyle w:val="0"/>
        <w:spacing w:before="200" w:line-rule="auto"/>
        <w:ind w:firstLine="540"/>
        <w:jc w:val="both"/>
      </w:pPr>
      <w:r>
        <w:rPr>
          <w:sz w:val="20"/>
        </w:rPr>
        <w:t xml:space="preserve">выполнена 1 операция по трансплантации сердца;</w:t>
      </w:r>
    </w:p>
    <w:p>
      <w:pPr>
        <w:pStyle w:val="0"/>
        <w:spacing w:before="200" w:line-rule="auto"/>
        <w:ind w:firstLine="540"/>
        <w:jc w:val="both"/>
      </w:pPr>
      <w:r>
        <w:rPr>
          <w:sz w:val="20"/>
        </w:rPr>
        <w:t xml:space="preserve">модификация операции "Commando" с реконструкцией задней полуокружности фиброзного кольца митрального клапана при инфекционном эндокардите;</w:t>
      </w:r>
    </w:p>
    <w:p>
      <w:pPr>
        <w:pStyle w:val="0"/>
        <w:spacing w:before="200" w:line-rule="auto"/>
        <w:ind w:firstLine="540"/>
        <w:jc w:val="both"/>
      </w:pPr>
      <w:r>
        <w:rPr>
          <w:sz w:val="20"/>
        </w:rPr>
        <w:t xml:space="preserve">протезирование аортального клапана из нижней министернотомии при низком расположении корня аорты;</w:t>
      </w:r>
    </w:p>
    <w:p>
      <w:pPr>
        <w:pStyle w:val="0"/>
        <w:spacing w:before="200" w:line-rule="auto"/>
        <w:ind w:firstLine="540"/>
        <w:jc w:val="both"/>
      </w:pPr>
      <w:r>
        <w:rPr>
          <w:sz w:val="20"/>
        </w:rPr>
        <w:t xml:space="preserve">малоинвазивное многососудистое коронарное шунтирование впервые выполнена ОТТС с забором сердечного трансплантата на удаленной донорской базе.</w:t>
      </w:r>
    </w:p>
    <w:p>
      <w:pPr>
        <w:pStyle w:val="0"/>
        <w:spacing w:before="200" w:line-rule="auto"/>
        <w:ind w:firstLine="540"/>
        <w:jc w:val="both"/>
      </w:pPr>
      <w:r>
        <w:rPr>
          <w:sz w:val="20"/>
        </w:rPr>
        <w:t xml:space="preserve">В высокотехнологичных медицинских центрах автономного округа в 2023 - 2024 годах планируется внедрение и дальнейшее развитие новых методик диагностики и лечения:</w:t>
      </w:r>
    </w:p>
    <w:p>
      <w:pPr>
        <w:pStyle w:val="0"/>
        <w:spacing w:before="200" w:line-rule="auto"/>
        <w:ind w:firstLine="540"/>
        <w:jc w:val="both"/>
      </w:pPr>
      <w:r>
        <w:rPr>
          <w:sz w:val="20"/>
        </w:rPr>
        <w:t xml:space="preserve">дальнейшее освоение полной малоинвазивной реваскуляризации миокарда;</w:t>
      </w:r>
    </w:p>
    <w:p>
      <w:pPr>
        <w:pStyle w:val="0"/>
        <w:spacing w:before="200" w:line-rule="auto"/>
        <w:ind w:firstLine="540"/>
        <w:jc w:val="both"/>
      </w:pPr>
      <w:r>
        <w:rPr>
          <w:sz w:val="20"/>
        </w:rPr>
        <w:t xml:space="preserve">гибридное протезирование дуги аорты при остром аортальном синдроме;</w:t>
      </w:r>
    </w:p>
    <w:p>
      <w:pPr>
        <w:pStyle w:val="0"/>
        <w:spacing w:before="200" w:line-rule="auto"/>
        <w:ind w:firstLine="540"/>
        <w:jc w:val="both"/>
      </w:pPr>
      <w:r>
        <w:rPr>
          <w:sz w:val="20"/>
        </w:rPr>
        <w:t xml:space="preserve">операции из миниторакотомического доступа с видеоподдержкой при пороках сердца;</w:t>
      </w:r>
    </w:p>
    <w:p>
      <w:pPr>
        <w:pStyle w:val="0"/>
        <w:spacing w:before="200" w:line-rule="auto"/>
        <w:ind w:firstLine="540"/>
        <w:jc w:val="both"/>
      </w:pPr>
      <w:r>
        <w:rPr>
          <w:sz w:val="20"/>
        </w:rPr>
        <w:t xml:space="preserve">методики визуализации интраоперационного кровотока по шунтам и восходящей аорте;</w:t>
      </w:r>
    </w:p>
    <w:p>
      <w:pPr>
        <w:pStyle w:val="0"/>
        <w:spacing w:before="200" w:line-rule="auto"/>
        <w:ind w:firstLine="540"/>
        <w:jc w:val="both"/>
      </w:pPr>
      <w:r>
        <w:rPr>
          <w:sz w:val="20"/>
        </w:rPr>
        <w:t xml:space="preserve">бесконтактная перфузия головного мозга;</w:t>
      </w:r>
    </w:p>
    <w:p>
      <w:pPr>
        <w:pStyle w:val="0"/>
        <w:spacing w:before="200" w:line-rule="auto"/>
        <w:ind w:firstLine="540"/>
        <w:jc w:val="both"/>
      </w:pPr>
      <w:r>
        <w:rPr>
          <w:sz w:val="20"/>
        </w:rPr>
        <w:t xml:space="preserve">клеточная терапия ИБС;</w:t>
      </w:r>
    </w:p>
    <w:p>
      <w:pPr>
        <w:pStyle w:val="0"/>
        <w:spacing w:before="200" w:line-rule="auto"/>
        <w:ind w:firstLine="540"/>
        <w:jc w:val="both"/>
      </w:pPr>
      <w:r>
        <w:rPr>
          <w:sz w:val="20"/>
        </w:rPr>
        <w:t xml:space="preserve">протезирование хорд передней створки митрального клапана при выраженной недостаточности митрального клапана.</w:t>
      </w:r>
    </w:p>
    <w:p>
      <w:pPr>
        <w:pStyle w:val="0"/>
        <w:ind w:firstLine="540"/>
        <w:jc w:val="both"/>
      </w:pPr>
      <w:r>
        <w:rPr>
          <w:sz w:val="20"/>
        </w:rPr>
      </w:r>
    </w:p>
    <w:p>
      <w:pPr>
        <w:pStyle w:val="2"/>
        <w:outlineLvl w:val="2"/>
        <w:ind w:firstLine="540"/>
        <w:jc w:val="both"/>
      </w:pPr>
      <w:r>
        <w:rPr>
          <w:sz w:val="20"/>
        </w:rPr>
        <w:t xml:space="preserve">1.5. Ресурсы инфраструктуры службы, оказывающей медицинскую помощь больным с болезнями системы кровообращения (анализ за 2018 - 2022 годы)</w:t>
      </w:r>
    </w:p>
    <w:p>
      <w:pPr>
        <w:pStyle w:val="0"/>
        <w:jc w:val="center"/>
      </w:pPr>
      <w:r>
        <w:rPr>
          <w:sz w:val="20"/>
        </w:rPr>
      </w:r>
    </w:p>
    <w:p>
      <w:pPr>
        <w:pStyle w:val="2"/>
        <w:outlineLvl w:val="3"/>
        <w:jc w:val="center"/>
      </w:pPr>
      <w:r>
        <w:rPr>
          <w:sz w:val="20"/>
        </w:rPr>
        <w:t xml:space="preserve">Служба скорой медицинской помощи</w:t>
      </w:r>
    </w:p>
    <w:p>
      <w:pPr>
        <w:pStyle w:val="0"/>
        <w:jc w:val="center"/>
      </w:pPr>
      <w:r>
        <w:rPr>
          <w:sz w:val="20"/>
        </w:rPr>
      </w:r>
    </w:p>
    <w:p>
      <w:pPr>
        <w:pStyle w:val="0"/>
        <w:ind w:firstLine="540"/>
        <w:jc w:val="both"/>
      </w:pPr>
      <w:r>
        <w:rPr>
          <w:sz w:val="20"/>
        </w:rPr>
        <w:t xml:space="preserve">Служба скорой медицинской помощи (далее - СМП) в автономном округе представлена 5 станциями СМП, 23 отделениями СМП, входящими в состав городских и районных больниц, центром медицины катастроф и одним стационарным отделением СМП, входящим в состав БУ "Сургутская окружная клиническая больница".</w:t>
      </w:r>
    </w:p>
    <w:p>
      <w:pPr>
        <w:pStyle w:val="0"/>
        <w:ind w:firstLine="540"/>
        <w:jc w:val="both"/>
      </w:pPr>
      <w:r>
        <w:rPr>
          <w:sz w:val="20"/>
        </w:rPr>
      </w:r>
    </w:p>
    <w:p>
      <w:pPr>
        <w:pStyle w:val="0"/>
        <w:jc w:val="right"/>
      </w:pPr>
      <w:r>
        <w:rPr>
          <w:sz w:val="20"/>
        </w:rPr>
        <w:t xml:space="preserve">Рисунок 10</w:t>
      </w:r>
    </w:p>
    <w:p>
      <w:pPr>
        <w:pStyle w:val="0"/>
        <w:jc w:val="right"/>
      </w:pPr>
      <w:r>
        <w:rPr>
          <w:sz w:val="20"/>
        </w:rPr>
      </w:r>
    </w:p>
    <w:p>
      <w:pPr>
        <w:pStyle w:val="0"/>
        <w:jc w:val="center"/>
      </w:pPr>
      <w:r>
        <w:rPr>
          <w:sz w:val="20"/>
        </w:rPr>
        <w:t xml:space="preserve">Служба скорой медицинской помощи автономного округа</w:t>
      </w:r>
    </w:p>
    <w:p>
      <w:pPr>
        <w:pStyle w:val="0"/>
        <w:jc w:val="center"/>
      </w:pPr>
      <w:r>
        <w:rPr>
          <w:sz w:val="20"/>
        </w:rPr>
      </w:r>
    </w:p>
    <w:p>
      <w:pPr>
        <w:pStyle w:val="0"/>
        <w:jc w:val="center"/>
      </w:pPr>
      <w:r>
        <w:rPr>
          <w:position w:val="-255"/>
        </w:rPr>
        <w:drawing>
          <wp:inline distT="0" distB="0" distL="0" distR="0">
            <wp:extent cx="6388100" cy="3376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6388100" cy="337693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В автономном округе обеспечение централизованного приема обращений (вызовов) населения за СМП, незамедлительная передача вызовов выездным бригадам СМП, оперативное управление и контроль за работой выездных бригад СМП осуществляется с использованием внедренного в медицинских организациях, подведомственных Депздраву Югры, программного обеспечения "Унифицированное программное решение для обеспечения функции диспетчеризации санитарного автотранспорта" (далее - Унифицированное решение СМП). Прием и обработка обращений (вызовов) осуществляется децентрализовано по Унифицированному решению СМП.</w:t>
      </w:r>
    </w:p>
    <w:p>
      <w:pPr>
        <w:pStyle w:val="0"/>
        <w:spacing w:before="200" w:line-rule="auto"/>
        <w:ind w:firstLine="540"/>
        <w:jc w:val="both"/>
      </w:pPr>
      <w:r>
        <w:rPr>
          <w:sz w:val="20"/>
        </w:rPr>
        <w:t xml:space="preserve">Для оказания медицинской помощи населению организована 31 круглосуточная выездная врачебная бригада (132 врачебных бригады-смены (включая бригады анестезиологии и реанимации) и 104 фельдшерских бригад (или 444 фельдшерских бригад-смен)).</w:t>
      </w:r>
    </w:p>
    <w:p>
      <w:pPr>
        <w:pStyle w:val="0"/>
        <w:jc w:val="right"/>
      </w:pPr>
      <w:r>
        <w:rPr>
          <w:sz w:val="20"/>
        </w:rPr>
      </w:r>
    </w:p>
    <w:p>
      <w:pPr>
        <w:pStyle w:val="0"/>
        <w:jc w:val="right"/>
      </w:pPr>
      <w:r>
        <w:rPr>
          <w:sz w:val="20"/>
        </w:rPr>
        <w:t xml:space="preserve">Таблица 16</w:t>
      </w:r>
    </w:p>
    <w:p>
      <w:pPr>
        <w:pStyle w:val="0"/>
        <w:jc w:val="right"/>
      </w:pPr>
      <w:r>
        <w:rPr>
          <w:sz w:val="20"/>
        </w:rPr>
      </w:r>
    </w:p>
    <w:p>
      <w:pPr>
        <w:pStyle w:val="0"/>
        <w:jc w:val="center"/>
      </w:pPr>
      <w:r>
        <w:rPr>
          <w:sz w:val="20"/>
        </w:rPr>
        <w:t xml:space="preserve">Количество выездных бригад СМП станций и отделений СМП</w:t>
      </w:r>
    </w:p>
    <w:p>
      <w:pPr>
        <w:pStyle w:val="0"/>
        <w:jc w:val="center"/>
      </w:pPr>
      <w:r>
        <w:rPr>
          <w:sz w:val="20"/>
        </w:rPr>
        <w:t xml:space="preserve">за 2020 - 2022 годы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98"/>
        <w:gridCol w:w="1417"/>
        <w:gridCol w:w="1134"/>
        <w:gridCol w:w="1276"/>
        <w:gridCol w:w="1418"/>
      </w:tblGrid>
      <w:tr>
        <w:tc>
          <w:tcPr>
            <w:tcW w:w="3798" w:type="dxa"/>
          </w:tcPr>
          <w:p>
            <w:pPr>
              <w:pStyle w:val="0"/>
              <w:jc w:val="center"/>
            </w:pPr>
            <w:r>
              <w:rPr>
                <w:sz w:val="20"/>
              </w:rPr>
              <w:t xml:space="preserve">Показатель</w:t>
            </w:r>
          </w:p>
        </w:tc>
        <w:tc>
          <w:tcPr>
            <w:tcW w:w="1417" w:type="dxa"/>
          </w:tcPr>
          <w:p>
            <w:pPr>
              <w:pStyle w:val="0"/>
              <w:jc w:val="center"/>
            </w:pPr>
            <w:r>
              <w:rPr>
                <w:sz w:val="20"/>
              </w:rPr>
              <w:t xml:space="preserve">2020</w:t>
            </w:r>
          </w:p>
        </w:tc>
        <w:tc>
          <w:tcPr>
            <w:tcW w:w="1134" w:type="dxa"/>
          </w:tcPr>
          <w:p>
            <w:pPr>
              <w:pStyle w:val="0"/>
              <w:jc w:val="center"/>
            </w:pPr>
            <w:r>
              <w:rPr>
                <w:sz w:val="20"/>
              </w:rPr>
              <w:t xml:space="preserve">2021</w:t>
            </w:r>
          </w:p>
        </w:tc>
        <w:tc>
          <w:tcPr>
            <w:tcW w:w="1276" w:type="dxa"/>
          </w:tcPr>
          <w:p>
            <w:pPr>
              <w:pStyle w:val="0"/>
              <w:jc w:val="center"/>
            </w:pPr>
            <w:r>
              <w:rPr>
                <w:sz w:val="20"/>
              </w:rPr>
              <w:t xml:space="preserve">2022</w:t>
            </w:r>
          </w:p>
        </w:tc>
        <w:tc>
          <w:tcPr>
            <w:tcW w:w="1418" w:type="dxa"/>
          </w:tcPr>
          <w:p>
            <w:pPr>
              <w:pStyle w:val="0"/>
              <w:jc w:val="center"/>
            </w:pPr>
            <w:r>
              <w:rPr>
                <w:sz w:val="20"/>
              </w:rPr>
              <w:t xml:space="preserve">Динамика 2022/2020 (%)</w:t>
            </w:r>
          </w:p>
        </w:tc>
      </w:tr>
      <w:tr>
        <w:tc>
          <w:tcPr>
            <w:tcW w:w="3798" w:type="dxa"/>
          </w:tcPr>
          <w:p>
            <w:pPr>
              <w:pStyle w:val="0"/>
            </w:pPr>
            <w:r>
              <w:rPr>
                <w:sz w:val="20"/>
              </w:rPr>
              <w:t xml:space="preserve">Бригады-смены врачебных бригад</w:t>
            </w:r>
          </w:p>
        </w:tc>
        <w:tc>
          <w:tcPr>
            <w:tcW w:w="1417" w:type="dxa"/>
          </w:tcPr>
          <w:p>
            <w:pPr>
              <w:pStyle w:val="0"/>
            </w:pPr>
            <w:r>
              <w:rPr>
                <w:sz w:val="20"/>
              </w:rPr>
              <w:t xml:space="preserve">132</w:t>
            </w:r>
          </w:p>
        </w:tc>
        <w:tc>
          <w:tcPr>
            <w:tcW w:w="1134" w:type="dxa"/>
          </w:tcPr>
          <w:p>
            <w:pPr>
              <w:pStyle w:val="0"/>
            </w:pPr>
            <w:r>
              <w:rPr>
                <w:sz w:val="20"/>
              </w:rPr>
              <w:t xml:space="preserve">122</w:t>
            </w:r>
          </w:p>
        </w:tc>
        <w:tc>
          <w:tcPr>
            <w:tcW w:w="1276" w:type="dxa"/>
          </w:tcPr>
          <w:p>
            <w:pPr>
              <w:pStyle w:val="0"/>
            </w:pPr>
            <w:r>
              <w:rPr>
                <w:sz w:val="20"/>
              </w:rPr>
              <w:t xml:space="preserve">127</w:t>
            </w:r>
          </w:p>
        </w:tc>
        <w:tc>
          <w:tcPr>
            <w:tcW w:w="1418" w:type="dxa"/>
          </w:tcPr>
          <w:p>
            <w:pPr>
              <w:pStyle w:val="0"/>
            </w:pPr>
            <w:r>
              <w:rPr>
                <w:sz w:val="20"/>
              </w:rPr>
              <w:t xml:space="preserve">-3.8%</w:t>
            </w:r>
          </w:p>
        </w:tc>
      </w:tr>
      <w:tr>
        <w:tc>
          <w:tcPr>
            <w:tcW w:w="3798" w:type="dxa"/>
          </w:tcPr>
          <w:p>
            <w:pPr>
              <w:pStyle w:val="0"/>
            </w:pPr>
            <w:r>
              <w:rPr>
                <w:sz w:val="20"/>
              </w:rPr>
              <w:t xml:space="preserve">Круглосуточных врачебных бригад</w:t>
            </w:r>
          </w:p>
        </w:tc>
        <w:tc>
          <w:tcPr>
            <w:tcW w:w="1417" w:type="dxa"/>
          </w:tcPr>
          <w:p>
            <w:pPr>
              <w:pStyle w:val="0"/>
            </w:pPr>
            <w:r>
              <w:rPr>
                <w:sz w:val="20"/>
              </w:rPr>
              <w:t xml:space="preserve">31</w:t>
            </w:r>
          </w:p>
        </w:tc>
        <w:tc>
          <w:tcPr>
            <w:tcW w:w="1134" w:type="dxa"/>
          </w:tcPr>
          <w:p>
            <w:pPr>
              <w:pStyle w:val="0"/>
            </w:pPr>
            <w:r>
              <w:rPr>
                <w:sz w:val="20"/>
              </w:rPr>
              <w:t xml:space="preserve">31</w:t>
            </w:r>
          </w:p>
        </w:tc>
        <w:tc>
          <w:tcPr>
            <w:tcW w:w="1276" w:type="dxa"/>
          </w:tcPr>
          <w:p>
            <w:pPr>
              <w:pStyle w:val="0"/>
            </w:pPr>
            <w:r>
              <w:rPr>
                <w:sz w:val="20"/>
              </w:rPr>
              <w:t xml:space="preserve">30</w:t>
            </w:r>
          </w:p>
        </w:tc>
        <w:tc>
          <w:tcPr>
            <w:tcW w:w="1418" w:type="dxa"/>
          </w:tcPr>
          <w:p>
            <w:pPr>
              <w:pStyle w:val="0"/>
            </w:pPr>
            <w:r>
              <w:rPr>
                <w:sz w:val="20"/>
              </w:rPr>
              <w:t xml:space="preserve">-3.2%</w:t>
            </w:r>
          </w:p>
        </w:tc>
      </w:tr>
      <w:tr>
        <w:tc>
          <w:tcPr>
            <w:tcW w:w="3798" w:type="dxa"/>
          </w:tcPr>
          <w:p>
            <w:pPr>
              <w:pStyle w:val="0"/>
            </w:pPr>
            <w:r>
              <w:rPr>
                <w:sz w:val="20"/>
              </w:rPr>
              <w:t xml:space="preserve">Бригады-смены фельдшерских бригад</w:t>
            </w:r>
          </w:p>
        </w:tc>
        <w:tc>
          <w:tcPr>
            <w:tcW w:w="1417" w:type="dxa"/>
          </w:tcPr>
          <w:p>
            <w:pPr>
              <w:pStyle w:val="0"/>
            </w:pPr>
            <w:r>
              <w:rPr>
                <w:sz w:val="20"/>
              </w:rPr>
              <w:t xml:space="preserve">421</w:t>
            </w:r>
          </w:p>
        </w:tc>
        <w:tc>
          <w:tcPr>
            <w:tcW w:w="1134" w:type="dxa"/>
          </w:tcPr>
          <w:p>
            <w:pPr>
              <w:pStyle w:val="0"/>
            </w:pPr>
            <w:r>
              <w:rPr>
                <w:sz w:val="20"/>
              </w:rPr>
              <w:t xml:space="preserve">444</w:t>
            </w:r>
          </w:p>
        </w:tc>
        <w:tc>
          <w:tcPr>
            <w:tcW w:w="1276" w:type="dxa"/>
          </w:tcPr>
          <w:p>
            <w:pPr>
              <w:pStyle w:val="0"/>
            </w:pPr>
            <w:r>
              <w:rPr>
                <w:sz w:val="20"/>
              </w:rPr>
              <w:t xml:space="preserve">415</w:t>
            </w:r>
          </w:p>
        </w:tc>
        <w:tc>
          <w:tcPr>
            <w:tcW w:w="1418" w:type="dxa"/>
          </w:tcPr>
          <w:p>
            <w:pPr>
              <w:pStyle w:val="0"/>
            </w:pPr>
            <w:r>
              <w:rPr>
                <w:sz w:val="20"/>
              </w:rPr>
              <w:t xml:space="preserve">-1.4</w:t>
            </w:r>
          </w:p>
        </w:tc>
      </w:tr>
      <w:tr>
        <w:tc>
          <w:tcPr>
            <w:tcW w:w="3798" w:type="dxa"/>
          </w:tcPr>
          <w:p>
            <w:pPr>
              <w:pStyle w:val="0"/>
            </w:pPr>
            <w:r>
              <w:rPr>
                <w:sz w:val="20"/>
              </w:rPr>
              <w:t xml:space="preserve">Круглосуточных фельдшерских бригад</w:t>
            </w:r>
          </w:p>
        </w:tc>
        <w:tc>
          <w:tcPr>
            <w:tcW w:w="1417" w:type="dxa"/>
          </w:tcPr>
          <w:p>
            <w:pPr>
              <w:pStyle w:val="0"/>
            </w:pPr>
            <w:r>
              <w:rPr>
                <w:sz w:val="20"/>
              </w:rPr>
              <w:t xml:space="preserve">100</w:t>
            </w:r>
          </w:p>
        </w:tc>
        <w:tc>
          <w:tcPr>
            <w:tcW w:w="1134" w:type="dxa"/>
          </w:tcPr>
          <w:p>
            <w:pPr>
              <w:pStyle w:val="0"/>
            </w:pPr>
            <w:r>
              <w:rPr>
                <w:sz w:val="20"/>
              </w:rPr>
              <w:t xml:space="preserve">104</w:t>
            </w:r>
          </w:p>
        </w:tc>
        <w:tc>
          <w:tcPr>
            <w:tcW w:w="1276" w:type="dxa"/>
          </w:tcPr>
          <w:p>
            <w:pPr>
              <w:pStyle w:val="0"/>
            </w:pPr>
            <w:r>
              <w:rPr>
                <w:sz w:val="20"/>
              </w:rPr>
              <w:t xml:space="preserve">98</w:t>
            </w:r>
          </w:p>
        </w:tc>
        <w:tc>
          <w:tcPr>
            <w:tcW w:w="1418" w:type="dxa"/>
          </w:tcPr>
          <w:p>
            <w:pPr>
              <w:pStyle w:val="0"/>
            </w:pPr>
            <w:r>
              <w:rPr>
                <w:sz w:val="20"/>
              </w:rPr>
              <w:t xml:space="preserve">-2%</w:t>
            </w:r>
          </w:p>
        </w:tc>
      </w:tr>
    </w:tbl>
    <w:p>
      <w:pPr>
        <w:pStyle w:val="0"/>
        <w:ind w:firstLine="540"/>
        <w:jc w:val="both"/>
      </w:pPr>
      <w:r>
        <w:rPr>
          <w:sz w:val="20"/>
        </w:rPr>
      </w:r>
    </w:p>
    <w:p>
      <w:pPr>
        <w:pStyle w:val="0"/>
        <w:ind w:firstLine="540"/>
        <w:jc w:val="both"/>
      </w:pPr>
      <w:r>
        <w:rPr>
          <w:sz w:val="20"/>
        </w:rPr>
        <w:t xml:space="preserve">Общее количество вызовов СМП, выполненных выездными бригадами СМП за 2022 год составило 512014, среди них 45,1% (230696) вызовов СМП выполнены в экстренной форме и 54,9% (281318) - в неотложной форме.</w:t>
      </w:r>
    </w:p>
    <w:p>
      <w:pPr>
        <w:pStyle w:val="0"/>
        <w:spacing w:before="200" w:line-rule="auto"/>
        <w:ind w:firstLine="540"/>
        <w:jc w:val="both"/>
      </w:pPr>
      <w:r>
        <w:rPr>
          <w:sz w:val="20"/>
        </w:rPr>
        <w:t xml:space="preserve">Из общего количества вызовов СМП, выполненных выездными бригадами СМП, 94,3% вызовов СМП со временем доезда выездной бригады СМП до пациента менее 20 минут.</w:t>
      </w:r>
    </w:p>
    <w:p>
      <w:pPr>
        <w:pStyle w:val="0"/>
        <w:spacing w:before="200" w:line-rule="auto"/>
        <w:ind w:firstLine="540"/>
        <w:jc w:val="both"/>
      </w:pPr>
      <w:r>
        <w:rPr>
          <w:sz w:val="20"/>
        </w:rPr>
        <w:t xml:space="preserve">По состоянию на 01.01.2023 износ санитарного автотранспорта составил: до 3 лет - 26,9%; от 3 до 5 лет - 54,5%; более 5 лет - 18,6%.</w:t>
      </w:r>
    </w:p>
    <w:p>
      <w:pPr>
        <w:pStyle w:val="0"/>
        <w:spacing w:before="200" w:line-rule="auto"/>
        <w:ind w:firstLine="540"/>
        <w:jc w:val="both"/>
      </w:pPr>
      <w:r>
        <w:rPr>
          <w:sz w:val="20"/>
        </w:rPr>
        <w:t xml:space="preserve">По состоянию на 01.01.2023 в распоряжении службы СМП автономного округа имеется 279 автомобилей СМП, из них 93,2% автомобилей со сроком эксплуатации до 5 лет (см. </w:t>
      </w:r>
      <w:hyperlink w:history="0" w:anchor="P14841" w:tooltip="Выполнение вызовов к больным с острыми сердечно-сосудистыми">
        <w:r>
          <w:rPr>
            <w:sz w:val="20"/>
            <w:color w:val="0000ff"/>
          </w:rPr>
          <w:t xml:space="preserve">таблицу 18</w:t>
        </w:r>
      </w:hyperlink>
      <w:r>
        <w:rPr>
          <w:sz w:val="20"/>
        </w:rPr>
        <w:t xml:space="preserve">). Все автомобили СМП, состоящие на балансе учреждений, оборудованы навигационной системой ГЛОНАСС.</w:t>
      </w:r>
    </w:p>
    <w:p>
      <w:pPr>
        <w:pStyle w:val="0"/>
        <w:ind w:firstLine="540"/>
        <w:jc w:val="both"/>
      </w:pPr>
      <w:r>
        <w:rPr>
          <w:sz w:val="20"/>
        </w:rPr>
      </w:r>
    </w:p>
    <w:p>
      <w:pPr>
        <w:pStyle w:val="0"/>
        <w:jc w:val="right"/>
      </w:pPr>
      <w:r>
        <w:rPr>
          <w:sz w:val="20"/>
        </w:rPr>
        <w:t xml:space="preserve">Таблица 17</w:t>
      </w:r>
    </w:p>
    <w:p>
      <w:pPr>
        <w:pStyle w:val="0"/>
        <w:jc w:val="right"/>
      </w:pPr>
      <w:r>
        <w:rPr>
          <w:sz w:val="20"/>
        </w:rPr>
      </w:r>
    </w:p>
    <w:p>
      <w:pPr>
        <w:pStyle w:val="0"/>
        <w:jc w:val="center"/>
      </w:pPr>
      <w:r>
        <w:rPr>
          <w:sz w:val="20"/>
        </w:rPr>
        <w:t xml:space="preserve">Сроки эксплуатации автомобилей скорой медицинской помощи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082"/>
        <w:gridCol w:w="911"/>
        <w:gridCol w:w="1070"/>
        <w:gridCol w:w="1178"/>
        <w:gridCol w:w="1699"/>
      </w:tblGrid>
      <w:tr>
        <w:tc>
          <w:tcPr>
            <w:tcW w:w="4082" w:type="dxa"/>
          </w:tcPr>
          <w:p>
            <w:pPr>
              <w:pStyle w:val="0"/>
              <w:jc w:val="center"/>
            </w:pPr>
            <w:r>
              <w:rPr>
                <w:sz w:val="20"/>
              </w:rPr>
              <w:t xml:space="preserve">Показатели</w:t>
            </w:r>
          </w:p>
        </w:tc>
        <w:tc>
          <w:tcPr>
            <w:tcW w:w="911" w:type="dxa"/>
          </w:tcPr>
          <w:p>
            <w:pPr>
              <w:pStyle w:val="0"/>
              <w:jc w:val="center"/>
            </w:pPr>
            <w:r>
              <w:rPr>
                <w:sz w:val="20"/>
              </w:rPr>
              <w:t xml:space="preserve">2020</w:t>
            </w:r>
          </w:p>
        </w:tc>
        <w:tc>
          <w:tcPr>
            <w:tcW w:w="1070" w:type="dxa"/>
          </w:tcPr>
          <w:p>
            <w:pPr>
              <w:pStyle w:val="0"/>
              <w:jc w:val="center"/>
            </w:pPr>
            <w:r>
              <w:rPr>
                <w:sz w:val="20"/>
              </w:rPr>
              <w:t xml:space="preserve">2021</w:t>
            </w:r>
          </w:p>
        </w:tc>
        <w:tc>
          <w:tcPr>
            <w:tcW w:w="1178" w:type="dxa"/>
          </w:tcPr>
          <w:p>
            <w:pPr>
              <w:pStyle w:val="0"/>
              <w:jc w:val="center"/>
            </w:pPr>
            <w:r>
              <w:rPr>
                <w:sz w:val="20"/>
              </w:rPr>
              <w:t xml:space="preserve">2022</w:t>
            </w:r>
          </w:p>
        </w:tc>
        <w:tc>
          <w:tcPr>
            <w:tcW w:w="1699" w:type="dxa"/>
          </w:tcPr>
          <w:p>
            <w:pPr>
              <w:pStyle w:val="0"/>
              <w:jc w:val="center"/>
            </w:pPr>
            <w:r>
              <w:rPr>
                <w:sz w:val="20"/>
              </w:rPr>
              <w:t xml:space="preserve">Динамика 2022/2021</w:t>
            </w:r>
          </w:p>
        </w:tc>
      </w:tr>
      <w:tr>
        <w:tc>
          <w:tcPr>
            <w:tcW w:w="4082" w:type="dxa"/>
          </w:tcPr>
          <w:p>
            <w:pPr>
              <w:pStyle w:val="0"/>
            </w:pPr>
            <w:r>
              <w:rPr>
                <w:sz w:val="20"/>
              </w:rPr>
              <w:t xml:space="preserve">Автомобили СМП всего, из них со сроком эксплуатации:</w:t>
            </w:r>
          </w:p>
        </w:tc>
        <w:tc>
          <w:tcPr>
            <w:tcW w:w="911" w:type="dxa"/>
          </w:tcPr>
          <w:p>
            <w:pPr>
              <w:pStyle w:val="0"/>
            </w:pPr>
            <w:r>
              <w:rPr>
                <w:sz w:val="20"/>
              </w:rPr>
              <w:t xml:space="preserve">321</w:t>
            </w:r>
          </w:p>
        </w:tc>
        <w:tc>
          <w:tcPr>
            <w:tcW w:w="1070" w:type="dxa"/>
          </w:tcPr>
          <w:p>
            <w:pPr>
              <w:pStyle w:val="0"/>
            </w:pPr>
            <w:r>
              <w:rPr>
                <w:sz w:val="20"/>
              </w:rPr>
              <w:t xml:space="preserve">272</w:t>
            </w:r>
          </w:p>
        </w:tc>
        <w:tc>
          <w:tcPr>
            <w:tcW w:w="1178" w:type="dxa"/>
          </w:tcPr>
          <w:p>
            <w:pPr>
              <w:pStyle w:val="0"/>
            </w:pPr>
            <w:r>
              <w:rPr>
                <w:sz w:val="20"/>
              </w:rPr>
              <w:t xml:space="preserve">279</w:t>
            </w:r>
          </w:p>
        </w:tc>
        <w:tc>
          <w:tcPr>
            <w:tcW w:w="1699" w:type="dxa"/>
          </w:tcPr>
          <w:p>
            <w:pPr>
              <w:pStyle w:val="0"/>
            </w:pPr>
            <w:r>
              <w:rPr>
                <w:sz w:val="20"/>
              </w:rPr>
              <w:t xml:space="preserve">+7</w:t>
            </w:r>
          </w:p>
        </w:tc>
      </w:tr>
      <w:tr>
        <w:tc>
          <w:tcPr>
            <w:tcW w:w="4082" w:type="dxa"/>
          </w:tcPr>
          <w:p>
            <w:pPr>
              <w:pStyle w:val="0"/>
            </w:pPr>
            <w:r>
              <w:rPr>
                <w:sz w:val="20"/>
              </w:rPr>
              <w:t xml:space="preserve">до 3 лет</w:t>
            </w:r>
          </w:p>
        </w:tc>
        <w:tc>
          <w:tcPr>
            <w:tcW w:w="911" w:type="dxa"/>
          </w:tcPr>
          <w:p>
            <w:pPr>
              <w:pStyle w:val="0"/>
            </w:pPr>
            <w:r>
              <w:rPr>
                <w:sz w:val="20"/>
              </w:rPr>
              <w:t xml:space="preserve">207</w:t>
            </w:r>
          </w:p>
        </w:tc>
        <w:tc>
          <w:tcPr>
            <w:tcW w:w="1070" w:type="dxa"/>
          </w:tcPr>
          <w:p>
            <w:pPr>
              <w:pStyle w:val="0"/>
            </w:pPr>
            <w:r>
              <w:rPr>
                <w:sz w:val="20"/>
              </w:rPr>
              <w:t xml:space="preserve">106</w:t>
            </w:r>
          </w:p>
        </w:tc>
        <w:tc>
          <w:tcPr>
            <w:tcW w:w="1178" w:type="dxa"/>
          </w:tcPr>
          <w:p>
            <w:pPr>
              <w:pStyle w:val="0"/>
            </w:pPr>
            <w:r>
              <w:rPr>
                <w:sz w:val="20"/>
              </w:rPr>
              <w:t xml:space="preserve">75</w:t>
            </w:r>
          </w:p>
        </w:tc>
        <w:tc>
          <w:tcPr>
            <w:tcW w:w="1699" w:type="dxa"/>
          </w:tcPr>
          <w:p>
            <w:pPr>
              <w:pStyle w:val="0"/>
            </w:pPr>
            <w:r>
              <w:rPr>
                <w:sz w:val="20"/>
              </w:rPr>
              <w:t xml:space="preserve">-31</w:t>
            </w:r>
          </w:p>
        </w:tc>
      </w:tr>
      <w:tr>
        <w:tc>
          <w:tcPr>
            <w:tcW w:w="4082" w:type="dxa"/>
          </w:tcPr>
          <w:p>
            <w:pPr>
              <w:pStyle w:val="0"/>
            </w:pPr>
            <w:r>
              <w:rPr>
                <w:sz w:val="20"/>
              </w:rPr>
              <w:t xml:space="preserve">от 3 до 5 лет</w:t>
            </w:r>
          </w:p>
        </w:tc>
        <w:tc>
          <w:tcPr>
            <w:tcW w:w="911" w:type="dxa"/>
          </w:tcPr>
          <w:p>
            <w:pPr>
              <w:pStyle w:val="0"/>
            </w:pPr>
            <w:r>
              <w:rPr>
                <w:sz w:val="20"/>
              </w:rPr>
              <w:t xml:space="preserve">48</w:t>
            </w:r>
          </w:p>
        </w:tc>
        <w:tc>
          <w:tcPr>
            <w:tcW w:w="1070" w:type="dxa"/>
          </w:tcPr>
          <w:p>
            <w:pPr>
              <w:pStyle w:val="0"/>
            </w:pPr>
            <w:r>
              <w:rPr>
                <w:sz w:val="20"/>
              </w:rPr>
              <w:t xml:space="preserve">121</w:t>
            </w:r>
          </w:p>
        </w:tc>
        <w:tc>
          <w:tcPr>
            <w:tcW w:w="1178" w:type="dxa"/>
          </w:tcPr>
          <w:p>
            <w:pPr>
              <w:pStyle w:val="0"/>
            </w:pPr>
            <w:r>
              <w:rPr>
                <w:sz w:val="20"/>
              </w:rPr>
              <w:t xml:space="preserve">185</w:t>
            </w:r>
          </w:p>
        </w:tc>
        <w:tc>
          <w:tcPr>
            <w:tcW w:w="1699" w:type="dxa"/>
          </w:tcPr>
          <w:p>
            <w:pPr>
              <w:pStyle w:val="0"/>
            </w:pPr>
            <w:r>
              <w:rPr>
                <w:sz w:val="20"/>
              </w:rPr>
              <w:t xml:space="preserve">+64</w:t>
            </w:r>
          </w:p>
        </w:tc>
      </w:tr>
      <w:tr>
        <w:tc>
          <w:tcPr>
            <w:tcW w:w="4082" w:type="dxa"/>
          </w:tcPr>
          <w:p>
            <w:pPr>
              <w:pStyle w:val="0"/>
            </w:pPr>
            <w:r>
              <w:rPr>
                <w:sz w:val="20"/>
              </w:rPr>
              <w:t xml:space="preserve">свыше 5 лет</w:t>
            </w:r>
          </w:p>
        </w:tc>
        <w:tc>
          <w:tcPr>
            <w:tcW w:w="911" w:type="dxa"/>
          </w:tcPr>
          <w:p>
            <w:pPr>
              <w:pStyle w:val="0"/>
            </w:pPr>
            <w:r>
              <w:rPr>
                <w:sz w:val="20"/>
              </w:rPr>
              <w:t xml:space="preserve">66</w:t>
            </w:r>
          </w:p>
        </w:tc>
        <w:tc>
          <w:tcPr>
            <w:tcW w:w="1070" w:type="dxa"/>
          </w:tcPr>
          <w:p>
            <w:pPr>
              <w:pStyle w:val="0"/>
            </w:pPr>
            <w:r>
              <w:rPr>
                <w:sz w:val="20"/>
              </w:rPr>
              <w:t xml:space="preserve">45</w:t>
            </w:r>
          </w:p>
        </w:tc>
        <w:tc>
          <w:tcPr>
            <w:tcW w:w="1178" w:type="dxa"/>
          </w:tcPr>
          <w:p>
            <w:pPr>
              <w:pStyle w:val="0"/>
            </w:pPr>
            <w:r>
              <w:rPr>
                <w:sz w:val="20"/>
              </w:rPr>
              <w:t xml:space="preserve">19</w:t>
            </w:r>
          </w:p>
        </w:tc>
        <w:tc>
          <w:tcPr>
            <w:tcW w:w="1699" w:type="dxa"/>
          </w:tcPr>
          <w:p>
            <w:pPr>
              <w:pStyle w:val="0"/>
            </w:pPr>
            <w:r>
              <w:rPr>
                <w:sz w:val="20"/>
              </w:rPr>
              <w:t xml:space="preserve">-26</w:t>
            </w:r>
          </w:p>
        </w:tc>
      </w:tr>
    </w:tbl>
    <w:p>
      <w:pPr>
        <w:pStyle w:val="0"/>
        <w:ind w:firstLine="540"/>
        <w:jc w:val="both"/>
      </w:pPr>
      <w:r>
        <w:rPr>
          <w:sz w:val="20"/>
        </w:rPr>
      </w:r>
    </w:p>
    <w:p>
      <w:pPr>
        <w:pStyle w:val="0"/>
        <w:ind w:firstLine="540"/>
        <w:jc w:val="both"/>
      </w:pPr>
      <w:r>
        <w:rPr>
          <w:sz w:val="20"/>
        </w:rPr>
        <w:t xml:space="preserve">Доля пациентов, эвакуированных по медицинским показаниям в первые сутки с момента поступления из медицинских организаций, где отсутствует возможность оказания необходимой экстренной медицинской помощи, в медицинские организации 2-го и 3-го уровней в пределах трехуровневой системы здравоохранения, из общего числа пациентов, доставленных по экстренным показаниям в медицинские организации, - 98%.</w:t>
      </w:r>
    </w:p>
    <w:p>
      <w:pPr>
        <w:pStyle w:val="0"/>
        <w:spacing w:before="200" w:line-rule="auto"/>
        <w:ind w:firstLine="540"/>
        <w:jc w:val="both"/>
      </w:pPr>
      <w:r>
        <w:rPr>
          <w:sz w:val="20"/>
        </w:rPr>
        <w:t xml:space="preserve">Санитарно-авиационная эвакуация пациентов осуществляется отделениями экстренной консультативной медицинской помощи и медицинской эвакуации казенного учреждения (далее - КУ) "Центр медицины катастроф".</w:t>
      </w:r>
    </w:p>
    <w:p>
      <w:pPr>
        <w:pStyle w:val="0"/>
        <w:spacing w:before="200" w:line-rule="auto"/>
        <w:ind w:firstLine="540"/>
        <w:jc w:val="both"/>
      </w:pPr>
      <w:r>
        <w:rPr>
          <w:sz w:val="20"/>
        </w:rPr>
        <w:t xml:space="preserve">Авиационная инфраструктура автономного округа включает 10 аэродромов, 116 вертолетных площадок.</w:t>
      </w:r>
    </w:p>
    <w:p>
      <w:pPr>
        <w:pStyle w:val="0"/>
        <w:spacing w:before="200" w:line-rule="auto"/>
        <w:ind w:firstLine="540"/>
        <w:jc w:val="both"/>
      </w:pPr>
      <w:r>
        <w:rPr>
          <w:sz w:val="20"/>
        </w:rPr>
        <w:t xml:space="preserve">В круглосуточной готовности к вылету находятся 5 вертолетов (Ми-8) и самолет L410, 6 авиамедицинских бригад. В зависимости от профиля заболевания и тяжести состояния пациента авиационные бригады усиливаются врачами-специалистами соответствующего профиля из медицинских организаций 3 уровня оказания медицинской помощи.</w:t>
      </w:r>
    </w:p>
    <w:p>
      <w:pPr>
        <w:pStyle w:val="0"/>
        <w:spacing w:before="200" w:line-rule="auto"/>
        <w:ind w:firstLine="540"/>
        <w:jc w:val="both"/>
      </w:pPr>
      <w:r>
        <w:rPr>
          <w:sz w:val="20"/>
        </w:rPr>
        <w:t xml:space="preserve">Бригады оснащены портативным медицинским оборудованием, медицинскими укладками и комплектами для оказания скорой, в том числе скорой специализированной, медицинской помощи в экстренной и неотложной форме на месте вызова и при медицинской эвакуации.</w:t>
      </w:r>
    </w:p>
    <w:p>
      <w:pPr>
        <w:pStyle w:val="0"/>
        <w:spacing w:before="200" w:line-rule="auto"/>
        <w:ind w:firstLine="540"/>
        <w:jc w:val="both"/>
      </w:pPr>
      <w:r>
        <w:rPr>
          <w:sz w:val="20"/>
        </w:rPr>
        <w:t xml:space="preserve">Сроки вылета авиационных бригад составляет в летнее время не более 30 минут, в зимнее время - не более 1 часа. Доступность с мест базировки - вертолет - 2 часа, самолет - 2 часа.</w:t>
      </w:r>
    </w:p>
    <w:p>
      <w:pPr>
        <w:pStyle w:val="0"/>
        <w:spacing w:before="200" w:line-rule="auto"/>
        <w:ind w:firstLine="540"/>
        <w:jc w:val="both"/>
      </w:pPr>
      <w:r>
        <w:rPr>
          <w:sz w:val="20"/>
        </w:rPr>
        <w:t xml:space="preserve">За 2022 год выполнено 1785 вылетов по санитарно-авиационной эвакуации, в медицинские организации автономного округа эвакуированы 2483 пациента, из них 494 с БСК.</w:t>
      </w:r>
    </w:p>
    <w:p>
      <w:pPr>
        <w:pStyle w:val="0"/>
        <w:ind w:firstLine="540"/>
        <w:jc w:val="both"/>
      </w:pPr>
      <w:r>
        <w:rPr>
          <w:sz w:val="20"/>
        </w:rPr>
      </w:r>
    </w:p>
    <w:p>
      <w:pPr>
        <w:pStyle w:val="0"/>
        <w:jc w:val="right"/>
      </w:pPr>
      <w:r>
        <w:rPr>
          <w:sz w:val="20"/>
        </w:rPr>
        <w:t xml:space="preserve">Рисунок 11</w:t>
      </w:r>
    </w:p>
    <w:p>
      <w:pPr>
        <w:pStyle w:val="0"/>
        <w:jc w:val="right"/>
      </w:pPr>
      <w:r>
        <w:rPr>
          <w:sz w:val="20"/>
        </w:rPr>
      </w:r>
    </w:p>
    <w:p>
      <w:pPr>
        <w:pStyle w:val="0"/>
        <w:jc w:val="center"/>
      </w:pPr>
      <w:r>
        <w:rPr>
          <w:sz w:val="20"/>
        </w:rPr>
        <w:t xml:space="preserve">Схема взаимодействия элементов региональной системы СМП</w:t>
      </w:r>
    </w:p>
    <w:p>
      <w:pPr>
        <w:pStyle w:val="0"/>
        <w:jc w:val="center"/>
      </w:pPr>
      <w:r>
        <w:rPr>
          <w:sz w:val="20"/>
        </w:rPr>
        <w:t xml:space="preserve">в автономном округе</w:t>
      </w:r>
    </w:p>
    <w:p>
      <w:pPr>
        <w:pStyle w:val="0"/>
        <w:jc w:val="center"/>
      </w:pPr>
      <w:r>
        <w:rPr>
          <w:sz w:val="20"/>
        </w:rPr>
      </w:r>
    </w:p>
    <w:p>
      <w:pPr>
        <w:pStyle w:val="0"/>
        <w:jc w:val="center"/>
      </w:pPr>
      <w:r>
        <w:rPr>
          <w:sz w:val="20"/>
        </w:rPr>
      </w:r>
    </w:p>
    <w:p>
      <w:pPr>
        <w:pStyle w:val="0"/>
        <w:ind w:firstLine="540"/>
        <w:jc w:val="both"/>
      </w:pPr>
      <w:r>
        <w:rPr>
          <w:sz w:val="20"/>
        </w:rPr>
        <w:t xml:space="preserve">Организация деятельности отделений (кабинетов) неотложной медицинской помощи (далее - НМП)</w:t>
      </w:r>
    </w:p>
    <w:p>
      <w:pPr>
        <w:pStyle w:val="0"/>
        <w:spacing w:before="200" w:line-rule="auto"/>
        <w:ind w:firstLine="540"/>
        <w:jc w:val="both"/>
      </w:pPr>
      <w:r>
        <w:rPr>
          <w:sz w:val="20"/>
        </w:rPr>
        <w:t xml:space="preserve">В автономном округе во всех населенных пунктах созданы кабинеты и отделения НМП. В ночное время НМП оказывают бригады СМП.</w:t>
      </w:r>
    </w:p>
    <w:p>
      <w:pPr>
        <w:pStyle w:val="0"/>
        <w:spacing w:before="200" w:line-rule="auto"/>
        <w:ind w:firstLine="540"/>
        <w:jc w:val="both"/>
      </w:pPr>
      <w:r>
        <w:rPr>
          <w:sz w:val="20"/>
        </w:rPr>
        <w:t xml:space="preserve">Доля вызовов (обращений) для оказания медицинской помощи в неотложной форме, переданных из станций (отделений) СМП для исполнения в отделения НМП, составила 11%.</w:t>
      </w:r>
    </w:p>
    <w:p>
      <w:pPr>
        <w:pStyle w:val="0"/>
        <w:spacing w:before="200" w:line-rule="auto"/>
        <w:ind w:firstLine="540"/>
        <w:jc w:val="both"/>
      </w:pPr>
      <w:r>
        <w:rPr>
          <w:sz w:val="20"/>
        </w:rPr>
        <w:t xml:space="preserve">В 2022 году число вызовов к пациентам с острым ИМ составило 1252 или 0,2% от общего количества вызовов. В динамике за 5 лет наблюдается незначительное уменьшение числа вызовов к больным с ИМ на 3,6% и к пациентам с ОНМК - на 12,1%. В динамике отмечается увеличение числа догоспитальных тромболизисов, их доля от числа всех вызовов к пациентам с острым ИМ в 2022 году составило 9,2% (115 из 1252).</w:t>
      </w:r>
    </w:p>
    <w:p>
      <w:pPr>
        <w:pStyle w:val="0"/>
        <w:ind w:firstLine="540"/>
        <w:jc w:val="both"/>
      </w:pPr>
      <w:r>
        <w:rPr>
          <w:sz w:val="20"/>
        </w:rPr>
      </w:r>
    </w:p>
    <w:p>
      <w:pPr>
        <w:pStyle w:val="0"/>
        <w:jc w:val="right"/>
      </w:pPr>
      <w:r>
        <w:rPr>
          <w:sz w:val="20"/>
        </w:rPr>
        <w:t xml:space="preserve">Таблица 18</w:t>
      </w:r>
    </w:p>
    <w:p>
      <w:pPr>
        <w:pStyle w:val="0"/>
        <w:jc w:val="right"/>
      </w:pPr>
      <w:r>
        <w:rPr>
          <w:sz w:val="20"/>
        </w:rPr>
      </w:r>
    </w:p>
    <w:bookmarkStart w:id="14841" w:name="P14841"/>
    <w:bookmarkEnd w:id="14841"/>
    <w:p>
      <w:pPr>
        <w:pStyle w:val="0"/>
        <w:jc w:val="center"/>
      </w:pPr>
      <w:r>
        <w:rPr>
          <w:sz w:val="20"/>
        </w:rPr>
        <w:t xml:space="preserve">Выполнение вызовов к больным с острыми сердечно-сосудистыми</w:t>
      </w:r>
    </w:p>
    <w:p>
      <w:pPr>
        <w:pStyle w:val="0"/>
        <w:jc w:val="center"/>
      </w:pPr>
      <w:r>
        <w:rPr>
          <w:sz w:val="20"/>
        </w:rPr>
        <w:t xml:space="preserve">заболеваниями за 2018 - 2022 годы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195"/>
        <w:gridCol w:w="1077"/>
        <w:gridCol w:w="1077"/>
        <w:gridCol w:w="964"/>
        <w:gridCol w:w="850"/>
        <w:gridCol w:w="850"/>
      </w:tblGrid>
      <w:tr>
        <w:tc>
          <w:tcPr>
            <w:tcW w:w="4195" w:type="dxa"/>
          </w:tcPr>
          <w:p>
            <w:pPr>
              <w:pStyle w:val="0"/>
              <w:jc w:val="center"/>
            </w:pPr>
            <w:r>
              <w:rPr>
                <w:sz w:val="20"/>
              </w:rPr>
              <w:t xml:space="preserve">Показатель</w:t>
            </w:r>
          </w:p>
        </w:tc>
        <w:tc>
          <w:tcPr>
            <w:tcW w:w="1077" w:type="dxa"/>
          </w:tcPr>
          <w:p>
            <w:pPr>
              <w:pStyle w:val="0"/>
              <w:jc w:val="center"/>
            </w:pPr>
            <w:r>
              <w:rPr>
                <w:sz w:val="20"/>
              </w:rPr>
              <w:t xml:space="preserve">2018</w:t>
            </w:r>
          </w:p>
        </w:tc>
        <w:tc>
          <w:tcPr>
            <w:tcW w:w="1077" w:type="dxa"/>
          </w:tcPr>
          <w:p>
            <w:pPr>
              <w:pStyle w:val="0"/>
              <w:jc w:val="center"/>
            </w:pPr>
            <w:r>
              <w:rPr>
                <w:sz w:val="20"/>
              </w:rPr>
              <w:t xml:space="preserve">2019</w:t>
            </w:r>
          </w:p>
        </w:tc>
        <w:tc>
          <w:tcPr>
            <w:tcW w:w="964" w:type="dxa"/>
          </w:tcPr>
          <w:p>
            <w:pPr>
              <w:pStyle w:val="0"/>
              <w:jc w:val="center"/>
            </w:pPr>
            <w:r>
              <w:rPr>
                <w:sz w:val="20"/>
              </w:rPr>
              <w:t xml:space="preserve">2020</w:t>
            </w:r>
          </w:p>
        </w:tc>
        <w:tc>
          <w:tcPr>
            <w:tcW w:w="850" w:type="dxa"/>
          </w:tcPr>
          <w:p>
            <w:pPr>
              <w:pStyle w:val="0"/>
              <w:jc w:val="center"/>
            </w:pPr>
            <w:r>
              <w:rPr>
                <w:sz w:val="20"/>
              </w:rPr>
              <w:t xml:space="preserve">2021</w:t>
            </w:r>
          </w:p>
        </w:tc>
        <w:tc>
          <w:tcPr>
            <w:tcW w:w="850" w:type="dxa"/>
          </w:tcPr>
          <w:p>
            <w:pPr>
              <w:pStyle w:val="0"/>
              <w:jc w:val="center"/>
            </w:pPr>
            <w:r>
              <w:rPr>
                <w:sz w:val="20"/>
              </w:rPr>
              <w:t xml:space="preserve">2022</w:t>
            </w:r>
          </w:p>
        </w:tc>
      </w:tr>
      <w:tr>
        <w:tc>
          <w:tcPr>
            <w:tcW w:w="4195" w:type="dxa"/>
          </w:tcPr>
          <w:p>
            <w:pPr>
              <w:pStyle w:val="0"/>
            </w:pPr>
            <w:r>
              <w:rPr>
                <w:sz w:val="20"/>
              </w:rPr>
              <w:t xml:space="preserve">Число вызовов с острым ИМ</w:t>
            </w:r>
          </w:p>
        </w:tc>
        <w:tc>
          <w:tcPr>
            <w:tcW w:w="1077" w:type="dxa"/>
          </w:tcPr>
          <w:p>
            <w:pPr>
              <w:pStyle w:val="0"/>
            </w:pPr>
            <w:r>
              <w:rPr>
                <w:sz w:val="20"/>
              </w:rPr>
              <w:t xml:space="preserve">1475</w:t>
            </w:r>
          </w:p>
        </w:tc>
        <w:tc>
          <w:tcPr>
            <w:tcW w:w="1077" w:type="dxa"/>
          </w:tcPr>
          <w:p>
            <w:pPr>
              <w:pStyle w:val="0"/>
            </w:pPr>
            <w:r>
              <w:rPr>
                <w:sz w:val="20"/>
              </w:rPr>
              <w:t xml:space="preserve">1298</w:t>
            </w:r>
          </w:p>
        </w:tc>
        <w:tc>
          <w:tcPr>
            <w:tcW w:w="964" w:type="dxa"/>
          </w:tcPr>
          <w:p>
            <w:pPr>
              <w:pStyle w:val="0"/>
            </w:pPr>
            <w:r>
              <w:rPr>
                <w:sz w:val="20"/>
              </w:rPr>
              <w:t xml:space="preserve">1248</w:t>
            </w:r>
          </w:p>
        </w:tc>
        <w:tc>
          <w:tcPr>
            <w:tcW w:w="850" w:type="dxa"/>
          </w:tcPr>
          <w:p>
            <w:pPr>
              <w:pStyle w:val="0"/>
            </w:pPr>
            <w:r>
              <w:rPr>
                <w:sz w:val="20"/>
              </w:rPr>
              <w:t xml:space="preserve">1308</w:t>
            </w:r>
          </w:p>
        </w:tc>
        <w:tc>
          <w:tcPr>
            <w:tcW w:w="850" w:type="dxa"/>
          </w:tcPr>
          <w:p>
            <w:pPr>
              <w:pStyle w:val="0"/>
            </w:pPr>
            <w:r>
              <w:rPr>
                <w:sz w:val="20"/>
              </w:rPr>
              <w:t xml:space="preserve">1252</w:t>
            </w:r>
          </w:p>
        </w:tc>
      </w:tr>
      <w:tr>
        <w:tc>
          <w:tcPr>
            <w:tcW w:w="4195" w:type="dxa"/>
          </w:tcPr>
          <w:p>
            <w:pPr>
              <w:pStyle w:val="0"/>
            </w:pPr>
            <w:r>
              <w:rPr>
                <w:sz w:val="20"/>
              </w:rPr>
              <w:t xml:space="preserve">Число вызовов с проведенным догоспитальным тромболизисом</w:t>
            </w:r>
          </w:p>
        </w:tc>
        <w:tc>
          <w:tcPr>
            <w:tcW w:w="1077" w:type="dxa"/>
          </w:tcPr>
          <w:p>
            <w:pPr>
              <w:pStyle w:val="0"/>
            </w:pPr>
            <w:r>
              <w:rPr>
                <w:sz w:val="20"/>
              </w:rPr>
              <w:t xml:space="preserve">115</w:t>
            </w:r>
          </w:p>
        </w:tc>
        <w:tc>
          <w:tcPr>
            <w:tcW w:w="1077" w:type="dxa"/>
          </w:tcPr>
          <w:p>
            <w:pPr>
              <w:pStyle w:val="0"/>
            </w:pPr>
            <w:r>
              <w:rPr>
                <w:sz w:val="20"/>
              </w:rPr>
              <w:t xml:space="preserve">73</w:t>
            </w:r>
          </w:p>
        </w:tc>
        <w:tc>
          <w:tcPr>
            <w:tcW w:w="964" w:type="dxa"/>
          </w:tcPr>
          <w:p>
            <w:pPr>
              <w:pStyle w:val="0"/>
            </w:pPr>
            <w:r>
              <w:rPr>
                <w:sz w:val="20"/>
              </w:rPr>
              <w:t xml:space="preserve">65</w:t>
            </w:r>
          </w:p>
        </w:tc>
        <w:tc>
          <w:tcPr>
            <w:tcW w:w="850" w:type="dxa"/>
          </w:tcPr>
          <w:p>
            <w:pPr>
              <w:pStyle w:val="0"/>
            </w:pPr>
            <w:r>
              <w:rPr>
                <w:sz w:val="20"/>
              </w:rPr>
              <w:t xml:space="preserve">78</w:t>
            </w:r>
          </w:p>
        </w:tc>
        <w:tc>
          <w:tcPr>
            <w:tcW w:w="850" w:type="dxa"/>
          </w:tcPr>
          <w:p>
            <w:pPr>
              <w:pStyle w:val="0"/>
            </w:pPr>
            <w:r>
              <w:rPr>
                <w:sz w:val="20"/>
              </w:rPr>
              <w:t xml:space="preserve">115</w:t>
            </w:r>
          </w:p>
        </w:tc>
      </w:tr>
      <w:tr>
        <w:tc>
          <w:tcPr>
            <w:tcW w:w="4195" w:type="dxa"/>
          </w:tcPr>
          <w:p>
            <w:pPr>
              <w:pStyle w:val="0"/>
            </w:pPr>
            <w:r>
              <w:rPr>
                <w:sz w:val="20"/>
              </w:rPr>
              <w:t xml:space="preserve">Доля вызовов с проведенным догоспитальным тромболизисом (%)</w:t>
            </w:r>
          </w:p>
        </w:tc>
        <w:tc>
          <w:tcPr>
            <w:tcW w:w="1077" w:type="dxa"/>
          </w:tcPr>
          <w:p>
            <w:pPr>
              <w:pStyle w:val="0"/>
            </w:pPr>
            <w:r>
              <w:rPr>
                <w:sz w:val="20"/>
              </w:rPr>
              <w:t xml:space="preserve">7,8</w:t>
            </w:r>
          </w:p>
        </w:tc>
        <w:tc>
          <w:tcPr>
            <w:tcW w:w="1077" w:type="dxa"/>
          </w:tcPr>
          <w:p>
            <w:pPr>
              <w:pStyle w:val="0"/>
            </w:pPr>
            <w:r>
              <w:rPr>
                <w:sz w:val="20"/>
              </w:rPr>
              <w:t xml:space="preserve">5,6</w:t>
            </w:r>
          </w:p>
        </w:tc>
        <w:tc>
          <w:tcPr>
            <w:tcW w:w="964" w:type="dxa"/>
          </w:tcPr>
          <w:p>
            <w:pPr>
              <w:pStyle w:val="0"/>
            </w:pPr>
            <w:r>
              <w:rPr>
                <w:sz w:val="20"/>
              </w:rPr>
              <w:t xml:space="preserve">5,2</w:t>
            </w:r>
          </w:p>
        </w:tc>
        <w:tc>
          <w:tcPr>
            <w:tcW w:w="850" w:type="dxa"/>
          </w:tcPr>
          <w:p>
            <w:pPr>
              <w:pStyle w:val="0"/>
            </w:pPr>
            <w:r>
              <w:rPr>
                <w:sz w:val="20"/>
              </w:rPr>
              <w:t xml:space="preserve">6</w:t>
            </w:r>
          </w:p>
        </w:tc>
        <w:tc>
          <w:tcPr>
            <w:tcW w:w="850" w:type="dxa"/>
          </w:tcPr>
          <w:p>
            <w:pPr>
              <w:pStyle w:val="0"/>
            </w:pPr>
            <w:r>
              <w:rPr>
                <w:sz w:val="20"/>
              </w:rPr>
              <w:t xml:space="preserve">9,2</w:t>
            </w:r>
          </w:p>
        </w:tc>
      </w:tr>
      <w:tr>
        <w:tc>
          <w:tcPr>
            <w:tcW w:w="4195" w:type="dxa"/>
          </w:tcPr>
          <w:p>
            <w:pPr>
              <w:pStyle w:val="0"/>
            </w:pPr>
            <w:r>
              <w:rPr>
                <w:sz w:val="20"/>
              </w:rPr>
              <w:t xml:space="preserve">Число вызовов с острым нарушением мозгового кровообращения</w:t>
            </w:r>
          </w:p>
        </w:tc>
        <w:tc>
          <w:tcPr>
            <w:tcW w:w="1077" w:type="dxa"/>
          </w:tcPr>
          <w:p>
            <w:pPr>
              <w:pStyle w:val="0"/>
            </w:pPr>
            <w:r>
              <w:rPr>
                <w:sz w:val="20"/>
              </w:rPr>
              <w:t xml:space="preserve">5324</w:t>
            </w:r>
          </w:p>
        </w:tc>
        <w:tc>
          <w:tcPr>
            <w:tcW w:w="1077" w:type="dxa"/>
          </w:tcPr>
          <w:p>
            <w:pPr>
              <w:pStyle w:val="0"/>
            </w:pPr>
            <w:r>
              <w:rPr>
                <w:sz w:val="20"/>
              </w:rPr>
              <w:t xml:space="preserve">5373</w:t>
            </w:r>
          </w:p>
        </w:tc>
        <w:tc>
          <w:tcPr>
            <w:tcW w:w="964" w:type="dxa"/>
          </w:tcPr>
          <w:p>
            <w:pPr>
              <w:pStyle w:val="0"/>
            </w:pPr>
            <w:r>
              <w:rPr>
                <w:sz w:val="20"/>
              </w:rPr>
              <w:t xml:space="preserve">5144</w:t>
            </w:r>
          </w:p>
        </w:tc>
        <w:tc>
          <w:tcPr>
            <w:tcW w:w="850" w:type="dxa"/>
          </w:tcPr>
          <w:p>
            <w:pPr>
              <w:pStyle w:val="0"/>
            </w:pPr>
            <w:r>
              <w:rPr>
                <w:sz w:val="20"/>
              </w:rPr>
              <w:t xml:space="preserve">5702</w:t>
            </w:r>
          </w:p>
        </w:tc>
        <w:tc>
          <w:tcPr>
            <w:tcW w:w="850" w:type="dxa"/>
          </w:tcPr>
          <w:p>
            <w:pPr>
              <w:pStyle w:val="0"/>
            </w:pPr>
            <w:r>
              <w:rPr>
                <w:sz w:val="20"/>
              </w:rPr>
              <w:t xml:space="preserve">4724</w:t>
            </w:r>
          </w:p>
        </w:tc>
      </w:tr>
    </w:tbl>
    <w:p>
      <w:pPr>
        <w:pStyle w:val="0"/>
        <w:ind w:firstLine="540"/>
        <w:jc w:val="both"/>
      </w:pPr>
      <w:r>
        <w:rPr>
          <w:sz w:val="20"/>
        </w:rPr>
      </w:r>
    </w:p>
    <w:p>
      <w:pPr>
        <w:pStyle w:val="0"/>
        <w:ind w:firstLine="540"/>
        <w:jc w:val="both"/>
      </w:pPr>
      <w:r>
        <w:rPr>
          <w:sz w:val="20"/>
        </w:rPr>
        <w:t xml:space="preserve">Доля пациентов с ОКС и ОНМК, доставленных первоначально выездными бригадами СМП в первичные сосудистые отделения (далее - ПСО) и региональные сосудистые центры (далее - РСЦ), из общего числа пациентов с ОКС и ОНМК, которым была оказана СМП вне медицинской организации выездными бригадами СМП, - 90,8%.</w:t>
      </w:r>
    </w:p>
    <w:p>
      <w:pPr>
        <w:pStyle w:val="0"/>
        <w:jc w:val="center"/>
      </w:pPr>
      <w:r>
        <w:rPr>
          <w:sz w:val="20"/>
        </w:rPr>
      </w:r>
    </w:p>
    <w:p>
      <w:pPr>
        <w:pStyle w:val="2"/>
        <w:outlineLvl w:val="3"/>
        <w:jc w:val="center"/>
      </w:pPr>
      <w:r>
        <w:rPr>
          <w:sz w:val="20"/>
        </w:rPr>
        <w:t xml:space="preserve">Мероприятия по совершенствованию организации и оказания</w:t>
      </w:r>
    </w:p>
    <w:p>
      <w:pPr>
        <w:pStyle w:val="2"/>
        <w:jc w:val="center"/>
      </w:pPr>
      <w:r>
        <w:rPr>
          <w:sz w:val="20"/>
        </w:rPr>
        <w:t xml:space="preserve">скорой, в том числе скорой специализированной, медицинской</w:t>
      </w:r>
    </w:p>
    <w:p>
      <w:pPr>
        <w:pStyle w:val="2"/>
        <w:jc w:val="center"/>
      </w:pPr>
      <w:r>
        <w:rPr>
          <w:sz w:val="20"/>
        </w:rPr>
        <w:t xml:space="preserve">помощи</w:t>
      </w:r>
    </w:p>
    <w:p>
      <w:pPr>
        <w:pStyle w:val="0"/>
        <w:jc w:val="center"/>
      </w:pPr>
      <w:r>
        <w:rPr>
          <w:sz w:val="20"/>
        </w:rPr>
      </w:r>
    </w:p>
    <w:p>
      <w:pPr>
        <w:pStyle w:val="0"/>
        <w:ind w:firstLine="540"/>
        <w:jc w:val="both"/>
      </w:pPr>
      <w:r>
        <w:rPr>
          <w:sz w:val="20"/>
        </w:rPr>
        <w:t xml:space="preserve">Главным врачам медицинских организаций, оказывающих СМП, обеспечить поддержание достигнутого уровня оказания скорой, в том числе скорой специализированной, медицинской помощи пациентам с ОКС и ОНМК.</w:t>
      </w:r>
    </w:p>
    <w:p>
      <w:pPr>
        <w:pStyle w:val="0"/>
        <w:ind w:firstLine="540"/>
        <w:jc w:val="both"/>
      </w:pPr>
      <w:r>
        <w:rPr>
          <w:sz w:val="20"/>
        </w:rPr>
      </w:r>
    </w:p>
    <w:p>
      <w:pPr>
        <w:pStyle w:val="2"/>
        <w:outlineLvl w:val="3"/>
        <w:jc w:val="center"/>
      </w:pPr>
      <w:r>
        <w:rPr>
          <w:sz w:val="20"/>
        </w:rPr>
        <w:t xml:space="preserve">Специализированная, в том числе высокотехнологичная,</w:t>
      </w:r>
    </w:p>
    <w:p>
      <w:pPr>
        <w:pStyle w:val="2"/>
        <w:jc w:val="center"/>
      </w:pPr>
      <w:r>
        <w:rPr>
          <w:sz w:val="20"/>
        </w:rPr>
        <w:t xml:space="preserve">медицинская помощь</w:t>
      </w:r>
    </w:p>
    <w:p>
      <w:pPr>
        <w:pStyle w:val="0"/>
        <w:jc w:val="center"/>
      </w:pPr>
      <w:r>
        <w:rPr>
          <w:sz w:val="20"/>
        </w:rPr>
      </w:r>
    </w:p>
    <w:p>
      <w:pPr>
        <w:pStyle w:val="0"/>
        <w:ind w:firstLine="540"/>
        <w:jc w:val="both"/>
      </w:pPr>
      <w:r>
        <w:rPr>
          <w:sz w:val="20"/>
        </w:rPr>
        <w:t xml:space="preserve">В 2022 году коечный фонд медицинских организаций автономного округа составил 11 803 койки, обеспеченность населения койками круглосуточного пребывания составила 68,9 на 10 тыс. населения; по РФ в 2021 году - 69,7; УРФО - 69,8 (в 2021 году - 69,9; в 2020 году - 70,6, в 2019 году - 71,8). Снижение коечного фонда в 2022 году (на 92 койки в сравнении с 2021 годом) произошло за счет перераспределения потоков больных в соответствии с их патологией в сосудистые, травматологические центры, развития стационарзамещающих технологий.</w:t>
      </w:r>
    </w:p>
    <w:p>
      <w:pPr>
        <w:pStyle w:val="0"/>
        <w:ind w:firstLine="540"/>
        <w:jc w:val="both"/>
      </w:pPr>
      <w:r>
        <w:rPr>
          <w:sz w:val="20"/>
        </w:rPr>
      </w:r>
    </w:p>
    <w:p>
      <w:pPr>
        <w:pStyle w:val="0"/>
        <w:jc w:val="right"/>
      </w:pPr>
      <w:r>
        <w:rPr>
          <w:sz w:val="20"/>
        </w:rPr>
        <w:t xml:space="preserve">Таблица 19</w:t>
      </w:r>
    </w:p>
    <w:p>
      <w:pPr>
        <w:pStyle w:val="0"/>
        <w:jc w:val="right"/>
      </w:pPr>
      <w:r>
        <w:rPr>
          <w:sz w:val="20"/>
        </w:rPr>
      </w:r>
    </w:p>
    <w:p>
      <w:pPr>
        <w:pStyle w:val="0"/>
        <w:jc w:val="center"/>
      </w:pPr>
      <w:r>
        <w:rPr>
          <w:sz w:val="20"/>
        </w:rPr>
        <w:t xml:space="preserve">Динамика коечного фонда терапевтического профиля</w:t>
      </w:r>
    </w:p>
    <w:p>
      <w:pPr>
        <w:pStyle w:val="0"/>
        <w:jc w:val="center"/>
      </w:pPr>
      <w:r>
        <w:rPr>
          <w:sz w:val="20"/>
        </w:rPr>
        <w:t xml:space="preserve">в медицинских организациях автономного округа</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65"/>
        <w:gridCol w:w="1247"/>
        <w:gridCol w:w="1089"/>
        <w:gridCol w:w="1184"/>
        <w:gridCol w:w="1182"/>
      </w:tblGrid>
      <w:tr>
        <w:tc>
          <w:tcPr>
            <w:tcW w:w="4365" w:type="dxa"/>
          </w:tcPr>
          <w:p>
            <w:pPr>
              <w:pStyle w:val="0"/>
              <w:jc w:val="center"/>
            </w:pPr>
            <w:r>
              <w:rPr>
                <w:sz w:val="20"/>
              </w:rPr>
              <w:t xml:space="preserve">Показатель</w:t>
            </w:r>
          </w:p>
        </w:tc>
        <w:tc>
          <w:tcPr>
            <w:tcW w:w="1247" w:type="dxa"/>
          </w:tcPr>
          <w:p>
            <w:pPr>
              <w:pStyle w:val="0"/>
              <w:jc w:val="center"/>
            </w:pPr>
            <w:r>
              <w:rPr>
                <w:sz w:val="20"/>
              </w:rPr>
              <w:t xml:space="preserve">2019</w:t>
            </w:r>
          </w:p>
        </w:tc>
        <w:tc>
          <w:tcPr>
            <w:tcW w:w="1089" w:type="dxa"/>
          </w:tcPr>
          <w:p>
            <w:pPr>
              <w:pStyle w:val="0"/>
              <w:jc w:val="center"/>
            </w:pPr>
            <w:r>
              <w:rPr>
                <w:sz w:val="20"/>
              </w:rPr>
              <w:t xml:space="preserve">2020</w:t>
            </w:r>
          </w:p>
        </w:tc>
        <w:tc>
          <w:tcPr>
            <w:tcW w:w="1184" w:type="dxa"/>
          </w:tcPr>
          <w:p>
            <w:pPr>
              <w:pStyle w:val="0"/>
              <w:jc w:val="center"/>
            </w:pPr>
            <w:r>
              <w:rPr>
                <w:sz w:val="20"/>
              </w:rPr>
              <w:t xml:space="preserve">2021</w:t>
            </w:r>
          </w:p>
        </w:tc>
        <w:tc>
          <w:tcPr>
            <w:tcW w:w="1182" w:type="dxa"/>
          </w:tcPr>
          <w:p>
            <w:pPr>
              <w:pStyle w:val="0"/>
              <w:jc w:val="center"/>
            </w:pPr>
            <w:r>
              <w:rPr>
                <w:sz w:val="20"/>
              </w:rPr>
              <w:t xml:space="preserve">2022</w:t>
            </w:r>
          </w:p>
        </w:tc>
      </w:tr>
      <w:tr>
        <w:tc>
          <w:tcPr>
            <w:tcW w:w="4365" w:type="dxa"/>
          </w:tcPr>
          <w:p>
            <w:pPr>
              <w:pStyle w:val="0"/>
            </w:pPr>
            <w:r>
              <w:rPr>
                <w:sz w:val="20"/>
              </w:rPr>
              <w:t xml:space="preserve">Число коек</w:t>
            </w:r>
          </w:p>
        </w:tc>
        <w:tc>
          <w:tcPr>
            <w:tcW w:w="1247" w:type="dxa"/>
          </w:tcPr>
          <w:p>
            <w:pPr>
              <w:pStyle w:val="0"/>
            </w:pPr>
            <w:r>
              <w:rPr>
                <w:sz w:val="20"/>
              </w:rPr>
              <w:t xml:space="preserve">874</w:t>
            </w:r>
          </w:p>
        </w:tc>
        <w:tc>
          <w:tcPr>
            <w:tcW w:w="1089" w:type="dxa"/>
          </w:tcPr>
          <w:p>
            <w:pPr>
              <w:pStyle w:val="0"/>
            </w:pPr>
            <w:r>
              <w:rPr>
                <w:sz w:val="20"/>
              </w:rPr>
              <w:t xml:space="preserve">668</w:t>
            </w:r>
          </w:p>
        </w:tc>
        <w:tc>
          <w:tcPr>
            <w:tcW w:w="1184" w:type="dxa"/>
          </w:tcPr>
          <w:p>
            <w:pPr>
              <w:pStyle w:val="0"/>
            </w:pPr>
            <w:r>
              <w:rPr>
                <w:sz w:val="20"/>
              </w:rPr>
              <w:t xml:space="preserve">861</w:t>
            </w:r>
          </w:p>
        </w:tc>
        <w:tc>
          <w:tcPr>
            <w:tcW w:w="1182" w:type="dxa"/>
          </w:tcPr>
          <w:p>
            <w:pPr>
              <w:pStyle w:val="0"/>
            </w:pPr>
            <w:r>
              <w:rPr>
                <w:sz w:val="20"/>
              </w:rPr>
              <w:t xml:space="preserve">883</w:t>
            </w:r>
          </w:p>
        </w:tc>
      </w:tr>
      <w:tr>
        <w:tc>
          <w:tcPr>
            <w:tcW w:w="4365" w:type="dxa"/>
          </w:tcPr>
          <w:p>
            <w:pPr>
              <w:pStyle w:val="0"/>
            </w:pPr>
            <w:r>
              <w:rPr>
                <w:sz w:val="20"/>
              </w:rPr>
              <w:t xml:space="preserve">Обеспеченность койками (на 10 000 взрослого населения)</w:t>
            </w:r>
          </w:p>
        </w:tc>
        <w:tc>
          <w:tcPr>
            <w:tcW w:w="1247" w:type="dxa"/>
          </w:tcPr>
          <w:p>
            <w:pPr>
              <w:pStyle w:val="0"/>
            </w:pPr>
            <w:r>
              <w:rPr>
                <w:sz w:val="20"/>
              </w:rPr>
              <w:t xml:space="preserve">7,0</w:t>
            </w:r>
          </w:p>
        </w:tc>
        <w:tc>
          <w:tcPr>
            <w:tcW w:w="1089" w:type="dxa"/>
          </w:tcPr>
          <w:p>
            <w:pPr>
              <w:pStyle w:val="0"/>
            </w:pPr>
            <w:r>
              <w:rPr>
                <w:sz w:val="20"/>
              </w:rPr>
              <w:t xml:space="preserve">5,3</w:t>
            </w:r>
          </w:p>
        </w:tc>
        <w:tc>
          <w:tcPr>
            <w:tcW w:w="1184" w:type="dxa"/>
          </w:tcPr>
          <w:p>
            <w:pPr>
              <w:pStyle w:val="0"/>
            </w:pPr>
            <w:r>
              <w:rPr>
                <w:sz w:val="20"/>
              </w:rPr>
              <w:t xml:space="preserve">6,7</w:t>
            </w:r>
          </w:p>
        </w:tc>
        <w:tc>
          <w:tcPr>
            <w:tcW w:w="1182" w:type="dxa"/>
          </w:tcPr>
          <w:p>
            <w:pPr>
              <w:pStyle w:val="0"/>
            </w:pPr>
            <w:r>
              <w:rPr>
                <w:sz w:val="20"/>
              </w:rPr>
              <w:t xml:space="preserve">6,9</w:t>
            </w:r>
          </w:p>
        </w:tc>
      </w:tr>
      <w:tr>
        <w:tc>
          <w:tcPr>
            <w:tcW w:w="4365" w:type="dxa"/>
          </w:tcPr>
          <w:p>
            <w:pPr>
              <w:pStyle w:val="0"/>
            </w:pPr>
            <w:r>
              <w:rPr>
                <w:sz w:val="20"/>
              </w:rPr>
              <w:t xml:space="preserve">Среднее число дней занятости койки в году</w:t>
            </w:r>
          </w:p>
        </w:tc>
        <w:tc>
          <w:tcPr>
            <w:tcW w:w="1247" w:type="dxa"/>
          </w:tcPr>
          <w:p>
            <w:pPr>
              <w:pStyle w:val="0"/>
            </w:pPr>
            <w:r>
              <w:rPr>
                <w:sz w:val="20"/>
              </w:rPr>
              <w:t xml:space="preserve">335,9</w:t>
            </w:r>
          </w:p>
        </w:tc>
        <w:tc>
          <w:tcPr>
            <w:tcW w:w="1089" w:type="dxa"/>
          </w:tcPr>
          <w:p>
            <w:pPr>
              <w:pStyle w:val="0"/>
            </w:pPr>
            <w:r>
              <w:rPr>
                <w:sz w:val="20"/>
              </w:rPr>
              <w:t xml:space="preserve">321,6</w:t>
            </w:r>
          </w:p>
        </w:tc>
        <w:tc>
          <w:tcPr>
            <w:tcW w:w="1184" w:type="dxa"/>
          </w:tcPr>
          <w:p>
            <w:pPr>
              <w:pStyle w:val="0"/>
            </w:pPr>
            <w:r>
              <w:rPr>
                <w:sz w:val="20"/>
              </w:rPr>
              <w:t xml:space="preserve">324,0</w:t>
            </w:r>
          </w:p>
        </w:tc>
        <w:tc>
          <w:tcPr>
            <w:tcW w:w="1182" w:type="dxa"/>
          </w:tcPr>
          <w:p>
            <w:pPr>
              <w:pStyle w:val="0"/>
            </w:pPr>
            <w:r>
              <w:rPr>
                <w:sz w:val="20"/>
              </w:rPr>
              <w:t xml:space="preserve">300,0</w:t>
            </w:r>
          </w:p>
        </w:tc>
      </w:tr>
      <w:tr>
        <w:tc>
          <w:tcPr>
            <w:tcW w:w="4365" w:type="dxa"/>
          </w:tcPr>
          <w:p>
            <w:pPr>
              <w:pStyle w:val="0"/>
            </w:pPr>
            <w:r>
              <w:rPr>
                <w:sz w:val="20"/>
              </w:rPr>
              <w:t xml:space="preserve">Среднее число дней пребывания пациента на койке</w:t>
            </w:r>
          </w:p>
        </w:tc>
        <w:tc>
          <w:tcPr>
            <w:tcW w:w="1247" w:type="dxa"/>
          </w:tcPr>
          <w:p>
            <w:pPr>
              <w:pStyle w:val="0"/>
            </w:pPr>
            <w:r>
              <w:rPr>
                <w:sz w:val="20"/>
              </w:rPr>
              <w:t xml:space="preserve">10,5</w:t>
            </w:r>
          </w:p>
        </w:tc>
        <w:tc>
          <w:tcPr>
            <w:tcW w:w="1089" w:type="dxa"/>
          </w:tcPr>
          <w:p>
            <w:pPr>
              <w:pStyle w:val="0"/>
            </w:pPr>
            <w:r>
              <w:rPr>
                <w:sz w:val="20"/>
              </w:rPr>
              <w:t xml:space="preserve">10,1</w:t>
            </w:r>
          </w:p>
        </w:tc>
        <w:tc>
          <w:tcPr>
            <w:tcW w:w="1184" w:type="dxa"/>
          </w:tcPr>
          <w:p>
            <w:pPr>
              <w:pStyle w:val="0"/>
            </w:pPr>
            <w:r>
              <w:rPr>
                <w:sz w:val="20"/>
              </w:rPr>
              <w:t xml:space="preserve">9,8</w:t>
            </w:r>
          </w:p>
        </w:tc>
        <w:tc>
          <w:tcPr>
            <w:tcW w:w="1182" w:type="dxa"/>
          </w:tcPr>
          <w:p>
            <w:pPr>
              <w:pStyle w:val="0"/>
            </w:pPr>
            <w:r>
              <w:rPr>
                <w:sz w:val="20"/>
              </w:rPr>
              <w:t xml:space="preserve">9,7</w:t>
            </w:r>
          </w:p>
        </w:tc>
      </w:tr>
      <w:tr>
        <w:tc>
          <w:tcPr>
            <w:tcW w:w="4365" w:type="dxa"/>
          </w:tcPr>
          <w:p>
            <w:pPr>
              <w:pStyle w:val="0"/>
            </w:pPr>
            <w:r>
              <w:rPr>
                <w:sz w:val="20"/>
              </w:rPr>
              <w:t xml:space="preserve">Функция (оборот) койки</w:t>
            </w:r>
          </w:p>
        </w:tc>
        <w:tc>
          <w:tcPr>
            <w:tcW w:w="1247" w:type="dxa"/>
          </w:tcPr>
          <w:p>
            <w:pPr>
              <w:pStyle w:val="0"/>
            </w:pPr>
            <w:r>
              <w:rPr>
                <w:sz w:val="20"/>
              </w:rPr>
              <w:t xml:space="preserve">31,9</w:t>
            </w:r>
          </w:p>
        </w:tc>
        <w:tc>
          <w:tcPr>
            <w:tcW w:w="1089" w:type="dxa"/>
          </w:tcPr>
          <w:p>
            <w:pPr>
              <w:pStyle w:val="0"/>
            </w:pPr>
            <w:r>
              <w:rPr>
                <w:sz w:val="20"/>
              </w:rPr>
              <w:t xml:space="preserve">31,9</w:t>
            </w:r>
          </w:p>
        </w:tc>
        <w:tc>
          <w:tcPr>
            <w:tcW w:w="1184" w:type="dxa"/>
          </w:tcPr>
          <w:p>
            <w:pPr>
              <w:pStyle w:val="0"/>
            </w:pPr>
            <w:r>
              <w:rPr>
                <w:sz w:val="20"/>
              </w:rPr>
              <w:t xml:space="preserve">33,2</w:t>
            </w:r>
          </w:p>
        </w:tc>
        <w:tc>
          <w:tcPr>
            <w:tcW w:w="1182" w:type="dxa"/>
          </w:tcPr>
          <w:p>
            <w:pPr>
              <w:pStyle w:val="0"/>
            </w:pPr>
            <w:r>
              <w:rPr>
                <w:sz w:val="20"/>
              </w:rPr>
              <w:t xml:space="preserve">30,9</w:t>
            </w:r>
          </w:p>
        </w:tc>
      </w:tr>
    </w:tbl>
    <w:p>
      <w:pPr>
        <w:pStyle w:val="0"/>
        <w:ind w:firstLine="540"/>
        <w:jc w:val="both"/>
      </w:pPr>
      <w:r>
        <w:rPr>
          <w:sz w:val="20"/>
        </w:rPr>
      </w:r>
    </w:p>
    <w:p>
      <w:pPr>
        <w:pStyle w:val="0"/>
        <w:ind w:firstLine="540"/>
        <w:jc w:val="both"/>
      </w:pPr>
      <w:r>
        <w:rPr>
          <w:sz w:val="20"/>
        </w:rPr>
        <w:t xml:space="preserve">В 2022 году обеспеченность населения койками терапевтического профиля круглосуточного пребывания составила 6,9 на 10 тыс. населения (в 2021 году - 6,7, в 2020 году - 5,3).</w:t>
      </w:r>
    </w:p>
    <w:p>
      <w:pPr>
        <w:pStyle w:val="0"/>
        <w:spacing w:before="200" w:line-rule="auto"/>
        <w:ind w:firstLine="540"/>
        <w:jc w:val="both"/>
      </w:pPr>
      <w:r>
        <w:rPr>
          <w:sz w:val="20"/>
        </w:rPr>
        <w:t xml:space="preserve">В </w:t>
      </w:r>
      <w:hyperlink w:history="0" w:anchor="P14994" w:tooltip="Перечень медицинских организаций, оказывающих медицинскую">
        <w:r>
          <w:rPr>
            <w:sz w:val="20"/>
            <w:color w:val="0000ff"/>
          </w:rPr>
          <w:t xml:space="preserve">таблице 21</w:t>
        </w:r>
      </w:hyperlink>
      <w:r>
        <w:rPr>
          <w:sz w:val="20"/>
        </w:rPr>
        <w:t xml:space="preserve"> представлена маршрутизация пациентов при оказании им первичной медико-санитарной, специализированной кардиологической и ВМП.</w:t>
      </w:r>
    </w:p>
    <w:p>
      <w:pPr>
        <w:pStyle w:val="0"/>
        <w:jc w:val="right"/>
      </w:pPr>
      <w:r>
        <w:rPr>
          <w:sz w:val="20"/>
        </w:rPr>
      </w:r>
    </w:p>
    <w:p>
      <w:pPr>
        <w:pStyle w:val="0"/>
        <w:jc w:val="right"/>
      </w:pPr>
      <w:r>
        <w:rPr>
          <w:sz w:val="20"/>
        </w:rPr>
        <w:t xml:space="preserve">Таблица 20</w:t>
      </w:r>
    </w:p>
    <w:p>
      <w:pPr>
        <w:pStyle w:val="0"/>
        <w:jc w:val="right"/>
      </w:pPr>
      <w:r>
        <w:rPr>
          <w:sz w:val="20"/>
        </w:rPr>
      </w:r>
    </w:p>
    <w:p>
      <w:pPr>
        <w:pStyle w:val="0"/>
        <w:jc w:val="center"/>
      </w:pPr>
      <w:r>
        <w:rPr>
          <w:sz w:val="20"/>
        </w:rPr>
        <w:t xml:space="preserve">Маршрут движения больных при оказании помощи взрослому</w:t>
      </w:r>
    </w:p>
    <w:p>
      <w:pPr>
        <w:pStyle w:val="0"/>
        <w:jc w:val="center"/>
      </w:pPr>
      <w:r>
        <w:rPr>
          <w:sz w:val="20"/>
        </w:rPr>
        <w:t xml:space="preserve">населению при кардиологических заболеваниях на госпитальном</w:t>
      </w:r>
    </w:p>
    <w:p>
      <w:pPr>
        <w:pStyle w:val="0"/>
        <w:jc w:val="center"/>
      </w:pPr>
      <w:r>
        <w:rPr>
          <w:sz w:val="20"/>
        </w:rPr>
        <w:t xml:space="preserve">этапе в автономном округе</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19"/>
        <w:gridCol w:w="2194"/>
        <w:gridCol w:w="2104"/>
        <w:gridCol w:w="2665"/>
        <w:gridCol w:w="2299"/>
        <w:gridCol w:w="2721"/>
      </w:tblGrid>
      <w:tr>
        <w:tc>
          <w:tcPr>
            <w:tcW w:w="1519" w:type="dxa"/>
            <w:vMerge w:val="restart"/>
          </w:tcPr>
          <w:p>
            <w:pPr>
              <w:pStyle w:val="0"/>
              <w:jc w:val="center"/>
            </w:pPr>
            <w:r>
              <w:rPr>
                <w:sz w:val="20"/>
              </w:rPr>
              <w:t xml:space="preserve">Медицинская зона</w:t>
            </w:r>
          </w:p>
        </w:tc>
        <w:tc>
          <w:tcPr>
            <w:tcW w:w="2194" w:type="dxa"/>
            <w:vMerge w:val="restart"/>
          </w:tcPr>
          <w:p>
            <w:pPr>
              <w:pStyle w:val="0"/>
              <w:jc w:val="center"/>
            </w:pPr>
            <w:r>
              <w:rPr>
                <w:sz w:val="20"/>
              </w:rPr>
              <w:t xml:space="preserve">Входящие муниципальные районы и городские округа</w:t>
            </w:r>
          </w:p>
        </w:tc>
        <w:tc>
          <w:tcPr>
            <w:gridSpan w:val="3"/>
            <w:tcW w:w="7068" w:type="dxa"/>
          </w:tcPr>
          <w:p>
            <w:pPr>
              <w:pStyle w:val="0"/>
              <w:jc w:val="center"/>
            </w:pPr>
            <w:r>
              <w:rPr>
                <w:sz w:val="20"/>
              </w:rPr>
              <w:t xml:space="preserve">Наименование МО, оказывающего помощь больным с сердечно-сосудистыми заболеваниями</w:t>
            </w:r>
          </w:p>
        </w:tc>
        <w:tc>
          <w:tcPr>
            <w:tcW w:w="2721" w:type="dxa"/>
          </w:tcPr>
          <w:p>
            <w:pPr>
              <w:pStyle w:val="0"/>
              <w:jc w:val="center"/>
            </w:pPr>
            <w:r>
              <w:rPr>
                <w:sz w:val="20"/>
              </w:rPr>
              <w:t xml:space="preserve">Наименование МО, оказывающего помощь по профилю сердечно-сосудистая хирургия</w:t>
            </w:r>
          </w:p>
        </w:tc>
      </w:tr>
      <w:tr>
        <w:tc>
          <w:tcPr>
            <w:vMerge w:val="continue"/>
          </w:tcPr>
          <w:p/>
        </w:tc>
        <w:tc>
          <w:tcPr>
            <w:vMerge w:val="continue"/>
          </w:tcPr>
          <w:p/>
        </w:tc>
        <w:tc>
          <w:tcPr>
            <w:tcW w:w="2104" w:type="dxa"/>
          </w:tcPr>
          <w:p>
            <w:pPr>
              <w:pStyle w:val="0"/>
              <w:jc w:val="center"/>
            </w:pPr>
            <w:r>
              <w:rPr>
                <w:sz w:val="20"/>
              </w:rPr>
              <w:t xml:space="preserve">Плановая и экстренная первичная медико-санитарная помощь (1 уровень - первичный)</w:t>
            </w:r>
          </w:p>
        </w:tc>
        <w:tc>
          <w:tcPr>
            <w:tcW w:w="2665" w:type="dxa"/>
          </w:tcPr>
          <w:p>
            <w:pPr>
              <w:pStyle w:val="0"/>
              <w:jc w:val="center"/>
            </w:pPr>
            <w:r>
              <w:rPr>
                <w:sz w:val="20"/>
              </w:rPr>
              <w:t xml:space="preserve">Плановая и экстренная специализированная кардиологическая помощь (2 уровень - зональный)</w:t>
            </w:r>
          </w:p>
        </w:tc>
        <w:tc>
          <w:tcPr>
            <w:tcW w:w="2299" w:type="dxa"/>
          </w:tcPr>
          <w:p>
            <w:pPr>
              <w:pStyle w:val="0"/>
              <w:jc w:val="center"/>
            </w:pPr>
            <w:r>
              <w:rPr>
                <w:sz w:val="20"/>
              </w:rPr>
              <w:t xml:space="preserve">Плановая и экстренная специализированная кардиологическая помощь (3 уровень - региональный)</w:t>
            </w:r>
          </w:p>
        </w:tc>
        <w:tc>
          <w:tcPr>
            <w:tcW w:w="2721" w:type="dxa"/>
          </w:tcPr>
          <w:p>
            <w:pPr>
              <w:pStyle w:val="0"/>
              <w:jc w:val="center"/>
            </w:pPr>
            <w:r>
              <w:rPr>
                <w:sz w:val="20"/>
              </w:rPr>
              <w:t xml:space="preserve">Плановая и экстренная специализированная, в т.ч. высокотехнологичная медицинская помощь больным с заболеваниями сердца и магистральных сосудов (3 уровень - региональный)</w:t>
            </w:r>
          </w:p>
        </w:tc>
      </w:tr>
      <w:tr>
        <w:tc>
          <w:tcPr>
            <w:tcW w:w="1519" w:type="dxa"/>
            <w:vMerge w:val="restart"/>
          </w:tcPr>
          <w:p>
            <w:pPr>
              <w:pStyle w:val="0"/>
            </w:pPr>
            <w:r>
              <w:rPr>
                <w:sz w:val="20"/>
              </w:rPr>
              <w:t xml:space="preserve">N 1</w:t>
            </w:r>
          </w:p>
        </w:tc>
        <w:tc>
          <w:tcPr>
            <w:tcW w:w="2194" w:type="dxa"/>
          </w:tcPr>
          <w:p>
            <w:pPr>
              <w:pStyle w:val="0"/>
            </w:pPr>
            <w:r>
              <w:rPr>
                <w:sz w:val="20"/>
              </w:rPr>
              <w:t xml:space="preserve">Кондинский</w:t>
            </w:r>
          </w:p>
        </w:tc>
        <w:tc>
          <w:tcPr>
            <w:tcW w:w="2104" w:type="dxa"/>
            <w:vMerge w:val="restart"/>
          </w:tcPr>
          <w:p>
            <w:pPr>
              <w:pStyle w:val="0"/>
            </w:pPr>
            <w:r>
              <w:rPr>
                <w:sz w:val="20"/>
              </w:rPr>
              <w:t xml:space="preserve">Терапевтические койки городских, районных и участковых больниц</w:t>
            </w:r>
          </w:p>
        </w:tc>
        <w:tc>
          <w:tcPr>
            <w:tcW w:w="2665" w:type="dxa"/>
            <w:vMerge w:val="restart"/>
          </w:tcPr>
          <w:p>
            <w:pPr>
              <w:pStyle w:val="0"/>
            </w:pPr>
            <w:r>
              <w:rPr>
                <w:sz w:val="20"/>
              </w:rPr>
              <w:t xml:space="preserve">БУ "Окружная клиническая больница", г. Ханты-Мансийск,</w:t>
            </w:r>
          </w:p>
          <w:p>
            <w:pPr>
              <w:pStyle w:val="0"/>
            </w:pPr>
            <w:r>
              <w:rPr>
                <w:sz w:val="20"/>
              </w:rPr>
              <w:t xml:space="preserve">БУ "Урайская городская клиническая больница"</w:t>
            </w:r>
          </w:p>
        </w:tc>
        <w:tc>
          <w:tcPr>
            <w:tcW w:w="2299" w:type="dxa"/>
            <w:vMerge w:val="restart"/>
          </w:tcPr>
          <w:p>
            <w:pPr>
              <w:pStyle w:val="0"/>
            </w:pPr>
            <w:r>
              <w:rPr>
                <w:sz w:val="20"/>
              </w:rPr>
              <w:t xml:space="preserve">БУ "Окружная клиническая больница", г. Ханты-Мансийск,</w:t>
            </w:r>
          </w:p>
          <w:p>
            <w:pPr>
              <w:pStyle w:val="0"/>
            </w:pPr>
            <w:r>
              <w:rPr>
                <w:sz w:val="20"/>
              </w:rPr>
              <w:t xml:space="preserve">БУ "Няганская окружная больница"</w:t>
            </w:r>
          </w:p>
        </w:tc>
        <w:tc>
          <w:tcPr>
            <w:tcW w:w="2721" w:type="dxa"/>
            <w:vMerge w:val="restart"/>
          </w:tcPr>
          <w:p>
            <w:pPr>
              <w:pStyle w:val="0"/>
            </w:pPr>
            <w:r>
              <w:rPr>
                <w:sz w:val="20"/>
              </w:rPr>
              <w:t xml:space="preserve">БУ "Окружная клиническая больница", г. Ханты-Мансийск, БУ "Няганская окружная больница"</w:t>
            </w:r>
          </w:p>
        </w:tc>
      </w:tr>
      <w:tr>
        <w:tc>
          <w:tcPr>
            <w:vMerge w:val="continue"/>
          </w:tcPr>
          <w:p/>
        </w:tc>
        <w:tc>
          <w:tcPr>
            <w:tcW w:w="2194" w:type="dxa"/>
          </w:tcPr>
          <w:p>
            <w:pPr>
              <w:pStyle w:val="0"/>
            </w:pPr>
            <w:r>
              <w:rPr>
                <w:sz w:val="20"/>
              </w:rPr>
              <w:t xml:space="preserve">Ханты-Мансийский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0"/>
              </w:rPr>
              <w:t xml:space="preserve">Березовский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0"/>
              </w:rPr>
              <w:t xml:space="preserve">Белоярский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0"/>
              </w:rPr>
              <w:t xml:space="preserve">Урай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0"/>
              </w:rPr>
              <w:t xml:space="preserve">Ханты-Мансийск</w:t>
            </w:r>
          </w:p>
        </w:tc>
        <w:tc>
          <w:tcPr>
            <w:vMerge w:val="continue"/>
          </w:tcPr>
          <w:p/>
        </w:tc>
        <w:tc>
          <w:tcPr>
            <w:vMerge w:val="continue"/>
          </w:tcPr>
          <w:p/>
        </w:tc>
        <w:tc>
          <w:tcPr>
            <w:vMerge w:val="continue"/>
          </w:tcPr>
          <w:p/>
        </w:tc>
        <w:tc>
          <w:tcPr>
            <w:vMerge w:val="continue"/>
          </w:tcPr>
          <w:p/>
        </w:tc>
      </w:tr>
      <w:tr>
        <w:tc>
          <w:tcPr>
            <w:tcW w:w="1519" w:type="dxa"/>
            <w:vMerge w:val="restart"/>
          </w:tcPr>
          <w:p>
            <w:pPr>
              <w:pStyle w:val="0"/>
            </w:pPr>
            <w:r>
              <w:rPr>
                <w:sz w:val="20"/>
              </w:rPr>
              <w:t xml:space="preserve">N 2</w:t>
            </w:r>
          </w:p>
        </w:tc>
        <w:tc>
          <w:tcPr>
            <w:tcW w:w="2194" w:type="dxa"/>
          </w:tcPr>
          <w:p>
            <w:pPr>
              <w:pStyle w:val="0"/>
            </w:pPr>
            <w:r>
              <w:rPr>
                <w:sz w:val="20"/>
              </w:rPr>
              <w:t xml:space="preserve">Сургутский</w:t>
            </w:r>
          </w:p>
        </w:tc>
        <w:tc>
          <w:tcPr>
            <w:tcW w:w="2104" w:type="dxa"/>
            <w:vMerge w:val="restart"/>
          </w:tcPr>
          <w:p>
            <w:pPr>
              <w:pStyle w:val="0"/>
            </w:pPr>
            <w:r>
              <w:rPr>
                <w:sz w:val="20"/>
              </w:rPr>
              <w:t xml:space="preserve">Терапевтические койки городских, районных и участковых больниц</w:t>
            </w:r>
          </w:p>
        </w:tc>
        <w:tc>
          <w:tcPr>
            <w:tcW w:w="2665" w:type="dxa"/>
            <w:vMerge w:val="restart"/>
          </w:tcPr>
          <w:p>
            <w:pPr>
              <w:pStyle w:val="0"/>
            </w:pPr>
            <w:r>
              <w:rPr>
                <w:sz w:val="20"/>
              </w:rPr>
              <w:t xml:space="preserve">БУ "Окружной кардиологический диспансер "Центр диагностики и сердечно-сосудистой хирургии",</w:t>
            </w:r>
          </w:p>
          <w:p>
            <w:pPr>
              <w:pStyle w:val="0"/>
            </w:pPr>
            <w:r>
              <w:rPr>
                <w:sz w:val="20"/>
              </w:rPr>
              <w:t xml:space="preserve">БУ "Когалымская городская больница"</w:t>
            </w:r>
          </w:p>
        </w:tc>
        <w:tc>
          <w:tcPr>
            <w:tcW w:w="2299" w:type="dxa"/>
            <w:vMerge w:val="restart"/>
          </w:tcPr>
          <w:p>
            <w:pPr>
              <w:pStyle w:val="0"/>
            </w:pPr>
            <w:r>
              <w:rPr>
                <w:sz w:val="20"/>
              </w:rPr>
              <w:t xml:space="preserve">БУ "Окружной кардиологический диспансер "Центр диагностики и сердечно-сосудистой хирургии"</w:t>
            </w:r>
          </w:p>
        </w:tc>
        <w:tc>
          <w:tcPr>
            <w:tcW w:w="2721" w:type="dxa"/>
            <w:vMerge w:val="restart"/>
          </w:tcPr>
          <w:p>
            <w:pPr>
              <w:pStyle w:val="0"/>
            </w:pPr>
            <w:r>
              <w:rPr>
                <w:sz w:val="20"/>
              </w:rPr>
              <w:t xml:space="preserve">БУ "Окружной кардиологический диспансер "Центр диагностики и сердечно-сосудистой хирургии"</w:t>
            </w:r>
          </w:p>
        </w:tc>
      </w:tr>
      <w:tr>
        <w:tc>
          <w:tcPr>
            <w:vMerge w:val="continue"/>
          </w:tcPr>
          <w:p/>
        </w:tc>
        <w:tc>
          <w:tcPr>
            <w:tcW w:w="2194" w:type="dxa"/>
          </w:tcPr>
          <w:p>
            <w:pPr>
              <w:pStyle w:val="0"/>
            </w:pPr>
            <w:r>
              <w:rPr>
                <w:sz w:val="20"/>
              </w:rPr>
              <w:t xml:space="preserve">Сургут</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0"/>
              </w:rPr>
              <w:t xml:space="preserve">Когалым</w:t>
            </w:r>
          </w:p>
        </w:tc>
        <w:tc>
          <w:tcPr>
            <w:vMerge w:val="continue"/>
          </w:tcPr>
          <w:p/>
        </w:tc>
        <w:tc>
          <w:tcPr>
            <w:vMerge w:val="continue"/>
          </w:tcPr>
          <w:p/>
        </w:tc>
        <w:tc>
          <w:tcPr>
            <w:vMerge w:val="continue"/>
          </w:tcPr>
          <w:p/>
        </w:tc>
        <w:tc>
          <w:tcPr>
            <w:vMerge w:val="continue"/>
          </w:tcPr>
          <w:p/>
        </w:tc>
      </w:tr>
      <w:tr>
        <w:tc>
          <w:tcPr>
            <w:tcW w:w="1519" w:type="dxa"/>
            <w:vMerge w:val="restart"/>
          </w:tcPr>
          <w:p>
            <w:pPr>
              <w:pStyle w:val="0"/>
            </w:pPr>
            <w:r>
              <w:rPr>
                <w:sz w:val="20"/>
              </w:rPr>
              <w:t xml:space="preserve">N 3</w:t>
            </w:r>
          </w:p>
        </w:tc>
        <w:tc>
          <w:tcPr>
            <w:tcW w:w="2194" w:type="dxa"/>
          </w:tcPr>
          <w:p>
            <w:pPr>
              <w:pStyle w:val="0"/>
            </w:pPr>
            <w:r>
              <w:rPr>
                <w:sz w:val="20"/>
              </w:rPr>
              <w:t xml:space="preserve">Нефтеюганский муниципальный</w:t>
            </w:r>
          </w:p>
        </w:tc>
        <w:tc>
          <w:tcPr>
            <w:tcW w:w="2104" w:type="dxa"/>
            <w:vMerge w:val="restart"/>
          </w:tcPr>
          <w:p>
            <w:pPr>
              <w:pStyle w:val="0"/>
            </w:pPr>
            <w:r>
              <w:rPr>
                <w:sz w:val="20"/>
              </w:rPr>
              <w:t xml:space="preserve">Терапевтические койки городских, районных и участковых больниц</w:t>
            </w:r>
          </w:p>
        </w:tc>
        <w:tc>
          <w:tcPr>
            <w:tcW w:w="2665" w:type="dxa"/>
            <w:vMerge w:val="restart"/>
          </w:tcPr>
          <w:p>
            <w:pPr>
              <w:pStyle w:val="0"/>
            </w:pPr>
            <w:r>
              <w:rPr>
                <w:sz w:val="20"/>
              </w:rPr>
              <w:t xml:space="preserve">БУ "Нефтеюганская окружная клиническая больница", БУ "Пыть-Яхская окружная клиническая больница"</w:t>
            </w:r>
          </w:p>
        </w:tc>
        <w:tc>
          <w:tcPr>
            <w:tcW w:w="2299" w:type="dxa"/>
            <w:vMerge w:val="restart"/>
          </w:tcPr>
          <w:p>
            <w:pPr>
              <w:pStyle w:val="0"/>
            </w:pPr>
            <w:r>
              <w:rPr>
                <w:sz w:val="20"/>
              </w:rPr>
              <w:t xml:space="preserve">БУ "Окружной кардиологический диспансер "Центр диагностики и сердечно-сосудистой хирургии"</w:t>
            </w:r>
          </w:p>
        </w:tc>
        <w:tc>
          <w:tcPr>
            <w:tcW w:w="2721" w:type="dxa"/>
            <w:vMerge w:val="restart"/>
          </w:tcPr>
          <w:p>
            <w:pPr>
              <w:pStyle w:val="0"/>
            </w:pPr>
            <w:r>
              <w:rPr>
                <w:sz w:val="20"/>
              </w:rPr>
              <w:t xml:space="preserve">БУ "Окружной кардиологический диспансер "Центр диагностики и сердечно-сосудистой хирургии"</w:t>
            </w:r>
          </w:p>
        </w:tc>
      </w:tr>
      <w:tr>
        <w:tc>
          <w:tcPr>
            <w:vMerge w:val="continue"/>
          </w:tcPr>
          <w:p/>
        </w:tc>
        <w:tc>
          <w:tcPr>
            <w:tcW w:w="2194" w:type="dxa"/>
          </w:tcPr>
          <w:p>
            <w:pPr>
              <w:pStyle w:val="0"/>
            </w:pPr>
            <w:r>
              <w:rPr>
                <w:sz w:val="20"/>
              </w:rPr>
              <w:t xml:space="preserve">Нефтеюганск</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0"/>
              </w:rPr>
              <w:t xml:space="preserve">Пыть-Ях</w:t>
            </w:r>
          </w:p>
        </w:tc>
        <w:tc>
          <w:tcPr>
            <w:vMerge w:val="continue"/>
          </w:tcPr>
          <w:p/>
        </w:tc>
        <w:tc>
          <w:tcPr>
            <w:vMerge w:val="continue"/>
          </w:tcPr>
          <w:p/>
        </w:tc>
        <w:tc>
          <w:tcPr>
            <w:vMerge w:val="continue"/>
          </w:tcPr>
          <w:p/>
        </w:tc>
        <w:tc>
          <w:tcPr>
            <w:vMerge w:val="continue"/>
          </w:tcPr>
          <w:p/>
        </w:tc>
      </w:tr>
      <w:tr>
        <w:tc>
          <w:tcPr>
            <w:tcW w:w="1519" w:type="dxa"/>
            <w:vMerge w:val="restart"/>
          </w:tcPr>
          <w:p>
            <w:pPr>
              <w:pStyle w:val="0"/>
            </w:pPr>
            <w:r>
              <w:rPr>
                <w:sz w:val="20"/>
              </w:rPr>
              <w:t xml:space="preserve">N 4</w:t>
            </w:r>
          </w:p>
        </w:tc>
        <w:tc>
          <w:tcPr>
            <w:tcW w:w="2194" w:type="dxa"/>
          </w:tcPr>
          <w:p>
            <w:pPr>
              <w:pStyle w:val="0"/>
            </w:pPr>
            <w:r>
              <w:rPr>
                <w:sz w:val="20"/>
              </w:rPr>
              <w:t xml:space="preserve">Нижневартовский</w:t>
            </w:r>
          </w:p>
        </w:tc>
        <w:tc>
          <w:tcPr>
            <w:tcW w:w="2104" w:type="dxa"/>
            <w:vMerge w:val="restart"/>
          </w:tcPr>
          <w:p>
            <w:pPr>
              <w:pStyle w:val="0"/>
            </w:pPr>
            <w:r>
              <w:rPr>
                <w:sz w:val="20"/>
              </w:rPr>
              <w:t xml:space="preserve">Терапевтические койки городских, районных и участковых больниц</w:t>
            </w:r>
          </w:p>
        </w:tc>
        <w:tc>
          <w:tcPr>
            <w:tcW w:w="2665" w:type="dxa"/>
            <w:vMerge w:val="restart"/>
          </w:tcPr>
          <w:p>
            <w:pPr>
              <w:pStyle w:val="0"/>
            </w:pPr>
            <w:r>
              <w:rPr>
                <w:sz w:val="20"/>
              </w:rPr>
              <w:t xml:space="preserve">БУ "Мегионская городская больница", БУ "Радужнинская городская больница"</w:t>
            </w:r>
          </w:p>
        </w:tc>
        <w:tc>
          <w:tcPr>
            <w:tcW w:w="2299" w:type="dxa"/>
            <w:vMerge w:val="restart"/>
          </w:tcPr>
          <w:p>
            <w:pPr>
              <w:pStyle w:val="0"/>
            </w:pPr>
            <w:r>
              <w:rPr>
                <w:sz w:val="20"/>
              </w:rPr>
              <w:t xml:space="preserve">БУ "Нижневартовская окружная клиническая больница"</w:t>
            </w:r>
          </w:p>
        </w:tc>
        <w:tc>
          <w:tcPr>
            <w:tcW w:w="2721" w:type="dxa"/>
            <w:vMerge w:val="restart"/>
          </w:tcPr>
          <w:p>
            <w:pPr>
              <w:pStyle w:val="0"/>
            </w:pPr>
            <w:r>
              <w:rPr>
                <w:sz w:val="20"/>
              </w:rPr>
              <w:t xml:space="preserve">БУ "Нижневартовская окружная клиническая больница", БУ "Окружной кардиологический диспансер "Центр диагностики и сердечно-сосудистой хирургии"</w:t>
            </w:r>
          </w:p>
        </w:tc>
      </w:tr>
      <w:tr>
        <w:tc>
          <w:tcPr>
            <w:vMerge w:val="continue"/>
          </w:tcPr>
          <w:p/>
        </w:tc>
        <w:tc>
          <w:tcPr>
            <w:tcW w:w="2194" w:type="dxa"/>
          </w:tcPr>
          <w:p>
            <w:pPr>
              <w:pStyle w:val="0"/>
            </w:pPr>
            <w:r>
              <w:rPr>
                <w:sz w:val="20"/>
              </w:rPr>
              <w:t xml:space="preserve">Нижневартовск</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0"/>
              </w:rPr>
              <w:t xml:space="preserve">Мегион</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0"/>
              </w:rPr>
              <w:t xml:space="preserve">Радужный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0"/>
              </w:rPr>
              <w:t xml:space="preserve">Лангепас</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0"/>
              </w:rPr>
              <w:t xml:space="preserve">Покачи</w:t>
            </w:r>
          </w:p>
        </w:tc>
        <w:tc>
          <w:tcPr>
            <w:vMerge w:val="continue"/>
          </w:tcPr>
          <w:p/>
        </w:tc>
        <w:tc>
          <w:tcPr>
            <w:vMerge w:val="continue"/>
          </w:tcPr>
          <w:p/>
        </w:tc>
        <w:tc>
          <w:tcPr>
            <w:vMerge w:val="continue"/>
          </w:tcPr>
          <w:p/>
        </w:tc>
        <w:tc>
          <w:tcPr>
            <w:vMerge w:val="continue"/>
          </w:tcPr>
          <w:p/>
        </w:tc>
      </w:tr>
      <w:tr>
        <w:tc>
          <w:tcPr>
            <w:tcW w:w="1519" w:type="dxa"/>
            <w:vMerge w:val="restart"/>
          </w:tcPr>
          <w:p>
            <w:pPr>
              <w:pStyle w:val="0"/>
            </w:pPr>
            <w:r>
              <w:rPr>
                <w:sz w:val="20"/>
              </w:rPr>
              <w:t xml:space="preserve">N 5</w:t>
            </w:r>
          </w:p>
        </w:tc>
        <w:tc>
          <w:tcPr>
            <w:tcW w:w="2194" w:type="dxa"/>
          </w:tcPr>
          <w:p>
            <w:pPr>
              <w:pStyle w:val="0"/>
            </w:pPr>
            <w:r>
              <w:rPr>
                <w:sz w:val="20"/>
              </w:rPr>
              <w:t xml:space="preserve">Октябрьский</w:t>
            </w:r>
          </w:p>
        </w:tc>
        <w:tc>
          <w:tcPr>
            <w:tcW w:w="2104" w:type="dxa"/>
            <w:vMerge w:val="restart"/>
          </w:tcPr>
          <w:p>
            <w:pPr>
              <w:pStyle w:val="0"/>
            </w:pPr>
            <w:r>
              <w:rPr>
                <w:sz w:val="20"/>
              </w:rPr>
              <w:t xml:space="preserve">Терапевтические койки городских, районных и участковых больниц</w:t>
            </w:r>
          </w:p>
        </w:tc>
        <w:tc>
          <w:tcPr>
            <w:tcW w:w="2665" w:type="dxa"/>
            <w:vMerge w:val="restart"/>
          </w:tcPr>
          <w:p>
            <w:pPr>
              <w:pStyle w:val="0"/>
            </w:pPr>
            <w:r>
              <w:rPr>
                <w:sz w:val="20"/>
              </w:rPr>
              <w:t xml:space="preserve">БУ "Няганская окружная больница"</w:t>
            </w:r>
          </w:p>
        </w:tc>
        <w:tc>
          <w:tcPr>
            <w:tcW w:w="2299" w:type="dxa"/>
            <w:vMerge w:val="restart"/>
          </w:tcPr>
          <w:p>
            <w:pPr>
              <w:pStyle w:val="0"/>
            </w:pPr>
            <w:r>
              <w:rPr>
                <w:sz w:val="20"/>
              </w:rPr>
              <w:t xml:space="preserve">БУ "Няганская окружная больница"</w:t>
            </w:r>
          </w:p>
        </w:tc>
        <w:tc>
          <w:tcPr>
            <w:tcW w:w="2721" w:type="dxa"/>
            <w:vMerge w:val="restart"/>
          </w:tcPr>
          <w:p>
            <w:pPr>
              <w:pStyle w:val="0"/>
            </w:pPr>
            <w:r>
              <w:rPr>
                <w:sz w:val="20"/>
              </w:rPr>
              <w:t xml:space="preserve">БУ "Няганская окружная больница", БУ "Окружная клиническая больница"</w:t>
            </w:r>
          </w:p>
        </w:tc>
      </w:tr>
      <w:tr>
        <w:tc>
          <w:tcPr>
            <w:vMerge w:val="continue"/>
          </w:tcPr>
          <w:p/>
        </w:tc>
        <w:tc>
          <w:tcPr>
            <w:tcW w:w="2194" w:type="dxa"/>
          </w:tcPr>
          <w:p>
            <w:pPr>
              <w:pStyle w:val="0"/>
            </w:pPr>
            <w:r>
              <w:rPr>
                <w:sz w:val="20"/>
              </w:rPr>
              <w:t xml:space="preserve">Советский</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0"/>
              </w:rPr>
              <w:t xml:space="preserve">Югорск</w:t>
            </w:r>
          </w:p>
        </w:tc>
        <w:tc>
          <w:tcPr>
            <w:vMerge w:val="continue"/>
          </w:tcPr>
          <w:p/>
        </w:tc>
        <w:tc>
          <w:tcPr>
            <w:vMerge w:val="continue"/>
          </w:tcPr>
          <w:p/>
        </w:tc>
        <w:tc>
          <w:tcPr>
            <w:vMerge w:val="continue"/>
          </w:tcPr>
          <w:p/>
        </w:tc>
        <w:tc>
          <w:tcPr>
            <w:vMerge w:val="continue"/>
          </w:tcPr>
          <w:p/>
        </w:tc>
      </w:tr>
      <w:tr>
        <w:tc>
          <w:tcPr>
            <w:vMerge w:val="continue"/>
          </w:tcPr>
          <w:p/>
        </w:tc>
        <w:tc>
          <w:tcPr>
            <w:tcW w:w="2194" w:type="dxa"/>
          </w:tcPr>
          <w:p>
            <w:pPr>
              <w:pStyle w:val="0"/>
            </w:pPr>
            <w:r>
              <w:rPr>
                <w:sz w:val="20"/>
              </w:rPr>
              <w:t xml:space="preserve">Нягань</w:t>
            </w:r>
          </w:p>
        </w:tc>
        <w:tc>
          <w:tcPr>
            <w:vMerge w:val="continue"/>
          </w:tcPr>
          <w:p/>
        </w:tc>
        <w:tc>
          <w:tcPr>
            <w:vMerge w:val="continue"/>
          </w:tcPr>
          <w:p/>
        </w:tc>
        <w:tc>
          <w:tcPr>
            <w:vMerge w:val="continue"/>
          </w:tcPr>
          <w:p/>
        </w:tc>
        <w:tc>
          <w:tcPr>
            <w:vMerge w:val="continue"/>
          </w:tcPr>
          <w:p/>
        </w:tc>
      </w:tr>
    </w:tbl>
    <w:p>
      <w:pPr>
        <w:pStyle w:val="0"/>
        <w:ind w:firstLine="540"/>
        <w:jc w:val="both"/>
      </w:pPr>
      <w:r>
        <w:rPr>
          <w:sz w:val="20"/>
        </w:rPr>
      </w:r>
    </w:p>
    <w:p>
      <w:pPr>
        <w:pStyle w:val="0"/>
        <w:jc w:val="right"/>
      </w:pPr>
      <w:r>
        <w:rPr>
          <w:sz w:val="20"/>
        </w:rPr>
        <w:t xml:space="preserve">Таблица 21</w:t>
      </w:r>
    </w:p>
    <w:p>
      <w:pPr>
        <w:pStyle w:val="0"/>
        <w:jc w:val="right"/>
      </w:pPr>
      <w:r>
        <w:rPr>
          <w:sz w:val="20"/>
        </w:rPr>
      </w:r>
    </w:p>
    <w:bookmarkStart w:id="14994" w:name="P14994"/>
    <w:bookmarkEnd w:id="14994"/>
    <w:p>
      <w:pPr>
        <w:pStyle w:val="0"/>
        <w:jc w:val="center"/>
      </w:pPr>
      <w:r>
        <w:rPr>
          <w:sz w:val="20"/>
        </w:rPr>
        <w:t xml:space="preserve">Перечень медицинских организаций, оказывающих медицинскую</w:t>
      </w:r>
    </w:p>
    <w:p>
      <w:pPr>
        <w:pStyle w:val="0"/>
        <w:jc w:val="center"/>
      </w:pPr>
      <w:r>
        <w:rPr>
          <w:sz w:val="20"/>
        </w:rPr>
        <w:t xml:space="preserve">помощь пациентам с БСК в автономном округе в условиях</w:t>
      </w:r>
    </w:p>
    <w:p>
      <w:pPr>
        <w:pStyle w:val="0"/>
        <w:jc w:val="center"/>
      </w:pPr>
      <w:r>
        <w:rPr>
          <w:sz w:val="20"/>
        </w:rPr>
        <w:t xml:space="preserve">стационара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4"/>
        <w:gridCol w:w="2299"/>
        <w:gridCol w:w="2074"/>
        <w:gridCol w:w="664"/>
        <w:gridCol w:w="1969"/>
        <w:gridCol w:w="2344"/>
        <w:gridCol w:w="1864"/>
        <w:gridCol w:w="1969"/>
        <w:gridCol w:w="1879"/>
      </w:tblGrid>
      <w:tr>
        <w:tc>
          <w:tcPr>
            <w:tcW w:w="634" w:type="dxa"/>
            <w:vMerge w:val="restart"/>
          </w:tcPr>
          <w:p>
            <w:pPr>
              <w:pStyle w:val="0"/>
              <w:jc w:val="center"/>
            </w:pPr>
            <w:r>
              <w:rPr>
                <w:sz w:val="20"/>
              </w:rPr>
            </w:r>
          </w:p>
        </w:tc>
        <w:tc>
          <w:tcPr>
            <w:tcW w:w="2299" w:type="dxa"/>
            <w:vMerge w:val="restart"/>
          </w:tcPr>
          <w:p>
            <w:pPr>
              <w:pStyle w:val="0"/>
              <w:jc w:val="center"/>
            </w:pPr>
            <w:r>
              <w:rPr>
                <w:sz w:val="20"/>
              </w:rPr>
              <w:t xml:space="preserve">Название медицинского учреждения</w:t>
            </w:r>
          </w:p>
        </w:tc>
        <w:tc>
          <w:tcPr>
            <w:tcW w:w="2074" w:type="dxa"/>
            <w:vMerge w:val="restart"/>
          </w:tcPr>
          <w:p>
            <w:pPr>
              <w:pStyle w:val="0"/>
              <w:jc w:val="center"/>
            </w:pPr>
            <w:r>
              <w:rPr>
                <w:sz w:val="20"/>
              </w:rPr>
              <w:t xml:space="preserve">Юридический адрес</w:t>
            </w:r>
          </w:p>
        </w:tc>
        <w:tc>
          <w:tcPr>
            <w:gridSpan w:val="5"/>
            <w:tcW w:w="8810" w:type="dxa"/>
          </w:tcPr>
          <w:p>
            <w:pPr>
              <w:pStyle w:val="0"/>
              <w:jc w:val="center"/>
            </w:pPr>
            <w:r>
              <w:rPr>
                <w:sz w:val="20"/>
              </w:rPr>
              <w:t xml:space="preserve">Количество коек в учреждении</w:t>
            </w:r>
          </w:p>
        </w:tc>
        <w:tc>
          <w:tcPr>
            <w:tcW w:w="1879" w:type="dxa"/>
          </w:tcPr>
          <w:p>
            <w:pPr>
              <w:pStyle w:val="0"/>
              <w:jc w:val="center"/>
            </w:pPr>
            <w:r>
              <w:rPr>
                <w:sz w:val="20"/>
              </w:rPr>
              <w:t xml:space="preserve">"Прикрепленное" взрослое население в зоне обслуживания</w:t>
            </w:r>
          </w:p>
        </w:tc>
      </w:tr>
      <w:tr>
        <w:tc>
          <w:tcPr>
            <w:vMerge w:val="continue"/>
          </w:tcPr>
          <w:p/>
        </w:tc>
        <w:tc>
          <w:tcPr>
            <w:vMerge w:val="continue"/>
          </w:tcPr>
          <w:p/>
        </w:tc>
        <w:tc>
          <w:tcPr>
            <w:vMerge w:val="continue"/>
          </w:tcPr>
          <w:p/>
        </w:tc>
        <w:tc>
          <w:tcPr>
            <w:tcW w:w="664" w:type="dxa"/>
          </w:tcPr>
          <w:p>
            <w:pPr>
              <w:pStyle w:val="0"/>
              <w:jc w:val="center"/>
            </w:pPr>
            <w:r>
              <w:rPr>
                <w:sz w:val="20"/>
              </w:rPr>
              <w:t xml:space="preserve">всего</w:t>
            </w:r>
          </w:p>
        </w:tc>
        <w:tc>
          <w:tcPr>
            <w:tcW w:w="1969" w:type="dxa"/>
          </w:tcPr>
          <w:p>
            <w:pPr>
              <w:pStyle w:val="0"/>
              <w:jc w:val="center"/>
            </w:pPr>
            <w:r>
              <w:rPr>
                <w:sz w:val="20"/>
              </w:rPr>
              <w:t xml:space="preserve">кардиологических</w:t>
            </w:r>
          </w:p>
        </w:tc>
        <w:tc>
          <w:tcPr>
            <w:tcW w:w="2344" w:type="dxa"/>
          </w:tcPr>
          <w:p>
            <w:pPr>
              <w:pStyle w:val="0"/>
              <w:jc w:val="center"/>
            </w:pPr>
            <w:r>
              <w:rPr>
                <w:sz w:val="20"/>
              </w:rPr>
              <w:t xml:space="preserve">общетерапевтических</w:t>
            </w:r>
          </w:p>
        </w:tc>
        <w:tc>
          <w:tcPr>
            <w:tcW w:w="1864" w:type="dxa"/>
          </w:tcPr>
          <w:p>
            <w:pPr>
              <w:pStyle w:val="0"/>
              <w:jc w:val="center"/>
            </w:pPr>
            <w:r>
              <w:rPr>
                <w:sz w:val="20"/>
              </w:rPr>
              <w:t xml:space="preserve">неврологических</w:t>
            </w:r>
          </w:p>
        </w:tc>
        <w:tc>
          <w:tcPr>
            <w:tcW w:w="1969" w:type="dxa"/>
          </w:tcPr>
          <w:p>
            <w:pPr>
              <w:pStyle w:val="0"/>
              <w:jc w:val="center"/>
            </w:pPr>
            <w:r>
              <w:rPr>
                <w:sz w:val="20"/>
              </w:rPr>
              <w:t xml:space="preserve">реанимационных/ из них интенсивной терапии</w:t>
            </w:r>
          </w:p>
        </w:tc>
        <w:tc>
          <w:tcPr>
            <w:tcW w:w="1879" w:type="dxa"/>
          </w:tcPr>
          <w:p>
            <w:pPr>
              <w:pStyle w:val="0"/>
              <w:jc w:val="center"/>
            </w:pPr>
            <w:r>
              <w:rPr>
                <w:sz w:val="20"/>
              </w:rPr>
            </w:r>
          </w:p>
        </w:tc>
      </w:tr>
      <w:tr>
        <w:tc>
          <w:tcPr>
            <w:gridSpan w:val="3"/>
            <w:tcW w:w="5007" w:type="dxa"/>
          </w:tcPr>
          <w:p>
            <w:pPr>
              <w:pStyle w:val="0"/>
            </w:pPr>
            <w:r>
              <w:rPr>
                <w:sz w:val="20"/>
              </w:rPr>
              <w:t xml:space="preserve">Региональные сосудистые центры</w:t>
            </w:r>
          </w:p>
        </w:tc>
        <w:tc>
          <w:tcPr>
            <w:tcW w:w="664" w:type="dxa"/>
          </w:tcPr>
          <w:p>
            <w:pPr>
              <w:pStyle w:val="0"/>
            </w:pPr>
            <w:r>
              <w:rPr>
                <w:sz w:val="20"/>
              </w:rPr>
            </w:r>
          </w:p>
        </w:tc>
        <w:tc>
          <w:tcPr>
            <w:tcW w:w="1969" w:type="dxa"/>
          </w:tcPr>
          <w:p>
            <w:pPr>
              <w:pStyle w:val="0"/>
            </w:pPr>
            <w:r>
              <w:rPr>
                <w:sz w:val="20"/>
              </w:rPr>
            </w:r>
          </w:p>
        </w:tc>
        <w:tc>
          <w:tcPr>
            <w:tcW w:w="2344" w:type="dxa"/>
          </w:tcPr>
          <w:p>
            <w:pPr>
              <w:pStyle w:val="0"/>
            </w:pPr>
            <w:r>
              <w:rPr>
                <w:sz w:val="20"/>
              </w:rPr>
            </w:r>
          </w:p>
        </w:tc>
        <w:tc>
          <w:tcPr>
            <w:tcW w:w="1864" w:type="dxa"/>
          </w:tcPr>
          <w:p>
            <w:pPr>
              <w:pStyle w:val="0"/>
            </w:pPr>
            <w:r>
              <w:rPr>
                <w:sz w:val="20"/>
              </w:rPr>
            </w:r>
          </w:p>
        </w:tc>
        <w:tc>
          <w:tcPr>
            <w:tcW w:w="1969" w:type="dxa"/>
          </w:tcPr>
          <w:p>
            <w:pPr>
              <w:pStyle w:val="0"/>
            </w:pPr>
            <w:r>
              <w:rPr>
                <w:sz w:val="20"/>
              </w:rPr>
            </w:r>
          </w:p>
        </w:tc>
        <w:tc>
          <w:tcPr>
            <w:tcW w:w="1879" w:type="dxa"/>
          </w:tcPr>
          <w:p>
            <w:pPr>
              <w:pStyle w:val="0"/>
            </w:pPr>
            <w:r>
              <w:rPr>
                <w:sz w:val="20"/>
              </w:rPr>
            </w:r>
          </w:p>
        </w:tc>
      </w:tr>
      <w:tr>
        <w:tc>
          <w:tcPr>
            <w:tcW w:w="634" w:type="dxa"/>
          </w:tcPr>
          <w:p>
            <w:pPr>
              <w:pStyle w:val="0"/>
            </w:pPr>
            <w:r>
              <w:rPr>
                <w:sz w:val="20"/>
              </w:rPr>
              <w:t xml:space="preserve">РСЦ N 1</w:t>
            </w:r>
          </w:p>
        </w:tc>
        <w:tc>
          <w:tcPr>
            <w:tcW w:w="2299" w:type="dxa"/>
          </w:tcPr>
          <w:p>
            <w:pPr>
              <w:pStyle w:val="0"/>
            </w:pPr>
            <w:r>
              <w:rPr>
                <w:sz w:val="20"/>
              </w:rPr>
              <w:t xml:space="preserve">БУ "Окружной кардиологический диспансер "Центр диагностики и сердечно-сосудистой хирургии"</w:t>
            </w:r>
          </w:p>
        </w:tc>
        <w:tc>
          <w:tcPr>
            <w:tcW w:w="2074" w:type="dxa"/>
          </w:tcPr>
          <w:p>
            <w:pPr>
              <w:pStyle w:val="0"/>
            </w:pPr>
            <w:r>
              <w:rPr>
                <w:sz w:val="20"/>
              </w:rPr>
              <w:t xml:space="preserve">Город Сургут,</w:t>
            </w:r>
          </w:p>
          <w:p>
            <w:pPr>
              <w:pStyle w:val="0"/>
            </w:pPr>
            <w:r>
              <w:rPr>
                <w:sz w:val="20"/>
              </w:rPr>
              <w:t xml:space="preserve">пр. Ленина, д. 69/1</w:t>
            </w:r>
          </w:p>
        </w:tc>
        <w:tc>
          <w:tcPr>
            <w:tcW w:w="664" w:type="dxa"/>
          </w:tcPr>
          <w:p>
            <w:pPr>
              <w:pStyle w:val="0"/>
            </w:pPr>
            <w:r>
              <w:rPr>
                <w:sz w:val="20"/>
              </w:rPr>
              <w:t xml:space="preserve">263</w:t>
            </w:r>
          </w:p>
        </w:tc>
        <w:tc>
          <w:tcPr>
            <w:tcW w:w="1969" w:type="dxa"/>
          </w:tcPr>
          <w:p>
            <w:pPr>
              <w:pStyle w:val="0"/>
            </w:pPr>
            <w:r>
              <w:rPr>
                <w:sz w:val="20"/>
              </w:rPr>
              <w:t xml:space="preserve">147</w:t>
            </w:r>
          </w:p>
        </w:tc>
        <w:tc>
          <w:tcPr>
            <w:tcW w:w="2344" w:type="dxa"/>
          </w:tcPr>
          <w:p>
            <w:pPr>
              <w:pStyle w:val="0"/>
            </w:pPr>
            <w:r>
              <w:rPr>
                <w:sz w:val="20"/>
              </w:rPr>
              <w:t xml:space="preserve">0</w:t>
            </w:r>
          </w:p>
        </w:tc>
        <w:tc>
          <w:tcPr>
            <w:tcW w:w="1864" w:type="dxa"/>
          </w:tcPr>
          <w:p>
            <w:pPr>
              <w:pStyle w:val="0"/>
            </w:pPr>
            <w:r>
              <w:rPr>
                <w:sz w:val="20"/>
              </w:rPr>
              <w:t xml:space="preserve">0</w:t>
            </w:r>
          </w:p>
        </w:tc>
        <w:tc>
          <w:tcPr>
            <w:tcW w:w="1969" w:type="dxa"/>
          </w:tcPr>
          <w:p>
            <w:pPr>
              <w:pStyle w:val="0"/>
            </w:pPr>
            <w:r>
              <w:rPr>
                <w:sz w:val="20"/>
              </w:rPr>
              <w:t xml:space="preserve">30/0</w:t>
            </w:r>
          </w:p>
        </w:tc>
        <w:tc>
          <w:tcPr>
            <w:tcW w:w="1879" w:type="dxa"/>
          </w:tcPr>
          <w:p>
            <w:pPr>
              <w:pStyle w:val="0"/>
            </w:pPr>
            <w:r>
              <w:rPr>
                <w:sz w:val="20"/>
              </w:rPr>
              <w:t xml:space="preserve">0</w:t>
            </w:r>
          </w:p>
        </w:tc>
      </w:tr>
      <w:tr>
        <w:tc>
          <w:tcPr>
            <w:tcW w:w="634" w:type="dxa"/>
          </w:tcPr>
          <w:p>
            <w:pPr>
              <w:pStyle w:val="0"/>
            </w:pPr>
            <w:r>
              <w:rPr>
                <w:sz w:val="20"/>
              </w:rPr>
              <w:t xml:space="preserve">РСЦ N 2</w:t>
            </w:r>
          </w:p>
        </w:tc>
        <w:tc>
          <w:tcPr>
            <w:tcW w:w="2299" w:type="dxa"/>
          </w:tcPr>
          <w:p>
            <w:pPr>
              <w:pStyle w:val="0"/>
            </w:pPr>
            <w:r>
              <w:rPr>
                <w:sz w:val="20"/>
              </w:rPr>
              <w:t xml:space="preserve">БУ "Окружная клиническая больница"</w:t>
            </w:r>
          </w:p>
        </w:tc>
        <w:tc>
          <w:tcPr>
            <w:tcW w:w="2074" w:type="dxa"/>
          </w:tcPr>
          <w:p>
            <w:pPr>
              <w:pStyle w:val="0"/>
            </w:pPr>
            <w:r>
              <w:rPr>
                <w:sz w:val="20"/>
              </w:rPr>
              <w:t xml:space="preserve">Город Ханты-Мансийск, ул. Калинина, д. 40</w:t>
            </w:r>
          </w:p>
        </w:tc>
        <w:tc>
          <w:tcPr>
            <w:tcW w:w="664" w:type="dxa"/>
          </w:tcPr>
          <w:p>
            <w:pPr>
              <w:pStyle w:val="0"/>
            </w:pPr>
            <w:r>
              <w:rPr>
                <w:sz w:val="20"/>
              </w:rPr>
              <w:t xml:space="preserve">713</w:t>
            </w:r>
          </w:p>
        </w:tc>
        <w:tc>
          <w:tcPr>
            <w:tcW w:w="1969" w:type="dxa"/>
          </w:tcPr>
          <w:p>
            <w:pPr>
              <w:pStyle w:val="0"/>
            </w:pPr>
            <w:r>
              <w:rPr>
                <w:sz w:val="20"/>
              </w:rPr>
              <w:t xml:space="preserve">40</w:t>
            </w:r>
          </w:p>
        </w:tc>
        <w:tc>
          <w:tcPr>
            <w:tcW w:w="2344" w:type="dxa"/>
          </w:tcPr>
          <w:p>
            <w:pPr>
              <w:pStyle w:val="0"/>
            </w:pPr>
            <w:r>
              <w:rPr>
                <w:sz w:val="20"/>
              </w:rPr>
              <w:t xml:space="preserve">8</w:t>
            </w:r>
          </w:p>
        </w:tc>
        <w:tc>
          <w:tcPr>
            <w:tcW w:w="1864" w:type="dxa"/>
          </w:tcPr>
          <w:p>
            <w:pPr>
              <w:pStyle w:val="0"/>
            </w:pPr>
            <w:r>
              <w:rPr>
                <w:sz w:val="20"/>
              </w:rPr>
              <w:t xml:space="preserve">36</w:t>
            </w:r>
          </w:p>
        </w:tc>
        <w:tc>
          <w:tcPr>
            <w:tcW w:w="1969" w:type="dxa"/>
          </w:tcPr>
          <w:p>
            <w:pPr>
              <w:pStyle w:val="0"/>
            </w:pPr>
            <w:r>
              <w:rPr>
                <w:sz w:val="20"/>
              </w:rPr>
              <w:t xml:space="preserve">44/2</w:t>
            </w:r>
          </w:p>
        </w:tc>
        <w:tc>
          <w:tcPr>
            <w:tcW w:w="1879" w:type="dxa"/>
          </w:tcPr>
          <w:p>
            <w:pPr>
              <w:pStyle w:val="0"/>
            </w:pPr>
            <w:r>
              <w:rPr>
                <w:sz w:val="20"/>
              </w:rPr>
              <w:t xml:space="preserve">77229</w:t>
            </w:r>
          </w:p>
        </w:tc>
      </w:tr>
      <w:tr>
        <w:tc>
          <w:tcPr>
            <w:tcW w:w="634" w:type="dxa"/>
          </w:tcPr>
          <w:p>
            <w:pPr>
              <w:pStyle w:val="0"/>
            </w:pPr>
            <w:r>
              <w:rPr>
                <w:sz w:val="20"/>
              </w:rPr>
              <w:t xml:space="preserve">РСЦ N 3</w:t>
            </w:r>
          </w:p>
        </w:tc>
        <w:tc>
          <w:tcPr>
            <w:tcW w:w="2299" w:type="dxa"/>
          </w:tcPr>
          <w:p>
            <w:pPr>
              <w:pStyle w:val="0"/>
            </w:pPr>
            <w:r>
              <w:rPr>
                <w:sz w:val="20"/>
              </w:rPr>
              <w:t xml:space="preserve">БУ "Няганская окружная больница"</w:t>
            </w:r>
          </w:p>
        </w:tc>
        <w:tc>
          <w:tcPr>
            <w:tcW w:w="2074" w:type="dxa"/>
          </w:tcPr>
          <w:p>
            <w:pPr>
              <w:pStyle w:val="0"/>
            </w:pPr>
            <w:r>
              <w:rPr>
                <w:sz w:val="20"/>
              </w:rPr>
              <w:t xml:space="preserve">Город Нягань,</w:t>
            </w:r>
          </w:p>
          <w:p>
            <w:pPr>
              <w:pStyle w:val="0"/>
            </w:pPr>
            <w:r>
              <w:rPr>
                <w:sz w:val="20"/>
              </w:rPr>
              <w:t xml:space="preserve">ул. Загородных, д. 12</w:t>
            </w:r>
          </w:p>
        </w:tc>
        <w:tc>
          <w:tcPr>
            <w:tcW w:w="664" w:type="dxa"/>
          </w:tcPr>
          <w:p>
            <w:pPr>
              <w:pStyle w:val="0"/>
            </w:pPr>
            <w:r>
              <w:rPr>
                <w:sz w:val="20"/>
              </w:rPr>
              <w:t xml:space="preserve">531</w:t>
            </w:r>
          </w:p>
        </w:tc>
        <w:tc>
          <w:tcPr>
            <w:tcW w:w="1969" w:type="dxa"/>
          </w:tcPr>
          <w:p>
            <w:pPr>
              <w:pStyle w:val="0"/>
            </w:pPr>
            <w:r>
              <w:rPr>
                <w:sz w:val="20"/>
              </w:rPr>
              <w:t xml:space="preserve">30</w:t>
            </w:r>
          </w:p>
        </w:tc>
        <w:tc>
          <w:tcPr>
            <w:tcW w:w="2344" w:type="dxa"/>
          </w:tcPr>
          <w:p>
            <w:pPr>
              <w:pStyle w:val="0"/>
            </w:pPr>
            <w:r>
              <w:rPr>
                <w:sz w:val="20"/>
              </w:rPr>
              <w:t xml:space="preserve">57</w:t>
            </w:r>
          </w:p>
        </w:tc>
        <w:tc>
          <w:tcPr>
            <w:tcW w:w="1864" w:type="dxa"/>
          </w:tcPr>
          <w:p>
            <w:pPr>
              <w:pStyle w:val="0"/>
            </w:pPr>
            <w:r>
              <w:rPr>
                <w:sz w:val="20"/>
              </w:rPr>
              <w:t xml:space="preserve">36</w:t>
            </w:r>
          </w:p>
        </w:tc>
        <w:tc>
          <w:tcPr>
            <w:tcW w:w="1969" w:type="dxa"/>
          </w:tcPr>
          <w:p>
            <w:pPr>
              <w:pStyle w:val="0"/>
            </w:pPr>
            <w:r>
              <w:rPr>
                <w:sz w:val="20"/>
              </w:rPr>
              <w:t xml:space="preserve">24/0</w:t>
            </w:r>
          </w:p>
        </w:tc>
        <w:tc>
          <w:tcPr>
            <w:tcW w:w="1879" w:type="dxa"/>
          </w:tcPr>
          <w:p>
            <w:pPr>
              <w:pStyle w:val="0"/>
            </w:pPr>
            <w:r>
              <w:rPr>
                <w:sz w:val="20"/>
              </w:rPr>
              <w:t xml:space="preserve">0</w:t>
            </w:r>
          </w:p>
        </w:tc>
      </w:tr>
      <w:tr>
        <w:tc>
          <w:tcPr>
            <w:tcW w:w="634" w:type="dxa"/>
          </w:tcPr>
          <w:p>
            <w:pPr>
              <w:pStyle w:val="0"/>
            </w:pPr>
            <w:r>
              <w:rPr>
                <w:sz w:val="20"/>
              </w:rPr>
              <w:t xml:space="preserve">РСЦ N 4</w:t>
            </w:r>
          </w:p>
        </w:tc>
        <w:tc>
          <w:tcPr>
            <w:tcW w:w="2299" w:type="dxa"/>
          </w:tcPr>
          <w:p>
            <w:pPr>
              <w:pStyle w:val="0"/>
            </w:pPr>
            <w:r>
              <w:rPr>
                <w:sz w:val="20"/>
              </w:rPr>
              <w:t xml:space="preserve">БУ "Нижневартовская окружная клиническая больница"</w:t>
            </w:r>
          </w:p>
        </w:tc>
        <w:tc>
          <w:tcPr>
            <w:tcW w:w="2074" w:type="dxa"/>
          </w:tcPr>
          <w:p>
            <w:pPr>
              <w:pStyle w:val="0"/>
            </w:pPr>
            <w:r>
              <w:rPr>
                <w:sz w:val="20"/>
              </w:rPr>
              <w:t xml:space="preserve">Город Нижневартовск, ул. Ленина, д. 18</w:t>
            </w:r>
          </w:p>
        </w:tc>
        <w:tc>
          <w:tcPr>
            <w:tcW w:w="664" w:type="dxa"/>
          </w:tcPr>
          <w:p>
            <w:pPr>
              <w:pStyle w:val="0"/>
            </w:pPr>
            <w:r>
              <w:rPr>
                <w:sz w:val="20"/>
              </w:rPr>
              <w:t xml:space="preserve">1135</w:t>
            </w:r>
          </w:p>
        </w:tc>
        <w:tc>
          <w:tcPr>
            <w:tcW w:w="1969" w:type="dxa"/>
          </w:tcPr>
          <w:p>
            <w:pPr>
              <w:pStyle w:val="0"/>
            </w:pPr>
            <w:r>
              <w:rPr>
                <w:sz w:val="20"/>
              </w:rPr>
              <w:t xml:space="preserve">112</w:t>
            </w:r>
          </w:p>
        </w:tc>
        <w:tc>
          <w:tcPr>
            <w:tcW w:w="2344" w:type="dxa"/>
          </w:tcPr>
          <w:p>
            <w:pPr>
              <w:pStyle w:val="0"/>
            </w:pPr>
            <w:r>
              <w:rPr>
                <w:sz w:val="20"/>
              </w:rPr>
              <w:t xml:space="preserve">0</w:t>
            </w:r>
          </w:p>
        </w:tc>
        <w:tc>
          <w:tcPr>
            <w:tcW w:w="1864" w:type="dxa"/>
          </w:tcPr>
          <w:p>
            <w:pPr>
              <w:pStyle w:val="0"/>
            </w:pPr>
            <w:r>
              <w:rPr>
                <w:sz w:val="20"/>
              </w:rPr>
              <w:t xml:space="preserve">80</w:t>
            </w:r>
          </w:p>
        </w:tc>
        <w:tc>
          <w:tcPr>
            <w:tcW w:w="1969" w:type="dxa"/>
          </w:tcPr>
          <w:p>
            <w:pPr>
              <w:pStyle w:val="0"/>
            </w:pPr>
            <w:r>
              <w:rPr>
                <w:sz w:val="20"/>
              </w:rPr>
              <w:t xml:space="preserve">44/0</w:t>
            </w:r>
          </w:p>
        </w:tc>
        <w:tc>
          <w:tcPr>
            <w:tcW w:w="1879" w:type="dxa"/>
          </w:tcPr>
          <w:p>
            <w:pPr>
              <w:pStyle w:val="0"/>
            </w:pPr>
            <w:r>
              <w:rPr>
                <w:sz w:val="20"/>
              </w:rPr>
              <w:t xml:space="preserve">0</w:t>
            </w:r>
          </w:p>
        </w:tc>
      </w:tr>
      <w:tr>
        <w:tc>
          <w:tcPr>
            <w:tcW w:w="634" w:type="dxa"/>
          </w:tcPr>
          <w:p>
            <w:pPr>
              <w:pStyle w:val="0"/>
            </w:pPr>
            <w:r>
              <w:rPr>
                <w:sz w:val="20"/>
              </w:rPr>
              <w:t xml:space="preserve">РСЦ N 5</w:t>
            </w:r>
          </w:p>
        </w:tc>
        <w:tc>
          <w:tcPr>
            <w:tcW w:w="2299" w:type="dxa"/>
          </w:tcPr>
          <w:p>
            <w:pPr>
              <w:pStyle w:val="0"/>
            </w:pPr>
            <w:r>
              <w:rPr>
                <w:sz w:val="20"/>
              </w:rPr>
              <w:t xml:space="preserve">БУ "Сургутская клиническая травматологическая больница"</w:t>
            </w:r>
          </w:p>
        </w:tc>
        <w:tc>
          <w:tcPr>
            <w:tcW w:w="2074" w:type="dxa"/>
          </w:tcPr>
          <w:p>
            <w:pPr>
              <w:pStyle w:val="0"/>
            </w:pPr>
            <w:r>
              <w:rPr>
                <w:sz w:val="20"/>
              </w:rPr>
              <w:t xml:space="preserve">Город Сургут, Нефтеюганске шоссе, д. 20</w:t>
            </w:r>
          </w:p>
        </w:tc>
        <w:tc>
          <w:tcPr>
            <w:tcW w:w="664" w:type="dxa"/>
          </w:tcPr>
          <w:p>
            <w:pPr>
              <w:pStyle w:val="0"/>
            </w:pPr>
            <w:r>
              <w:rPr>
                <w:sz w:val="20"/>
              </w:rPr>
              <w:t xml:space="preserve">566</w:t>
            </w:r>
          </w:p>
        </w:tc>
        <w:tc>
          <w:tcPr>
            <w:tcW w:w="1969" w:type="dxa"/>
          </w:tcPr>
          <w:p>
            <w:pPr>
              <w:pStyle w:val="0"/>
            </w:pPr>
            <w:r>
              <w:rPr>
                <w:sz w:val="20"/>
              </w:rPr>
              <w:t xml:space="preserve">0</w:t>
            </w:r>
          </w:p>
        </w:tc>
        <w:tc>
          <w:tcPr>
            <w:tcW w:w="2344" w:type="dxa"/>
          </w:tcPr>
          <w:p>
            <w:pPr>
              <w:pStyle w:val="0"/>
            </w:pPr>
            <w:r>
              <w:rPr>
                <w:sz w:val="20"/>
              </w:rPr>
              <w:t xml:space="preserve">0</w:t>
            </w:r>
          </w:p>
        </w:tc>
        <w:tc>
          <w:tcPr>
            <w:tcW w:w="1864" w:type="dxa"/>
          </w:tcPr>
          <w:p>
            <w:pPr>
              <w:pStyle w:val="0"/>
            </w:pPr>
            <w:r>
              <w:rPr>
                <w:sz w:val="20"/>
              </w:rPr>
              <w:t xml:space="preserve">30</w:t>
            </w:r>
          </w:p>
        </w:tc>
        <w:tc>
          <w:tcPr>
            <w:tcW w:w="1969" w:type="dxa"/>
          </w:tcPr>
          <w:p>
            <w:pPr>
              <w:pStyle w:val="0"/>
            </w:pPr>
            <w:r>
              <w:rPr>
                <w:sz w:val="20"/>
              </w:rPr>
              <w:t xml:space="preserve">46/0</w:t>
            </w:r>
          </w:p>
        </w:tc>
        <w:tc>
          <w:tcPr>
            <w:tcW w:w="1879" w:type="dxa"/>
          </w:tcPr>
          <w:p>
            <w:pPr>
              <w:pStyle w:val="0"/>
            </w:pPr>
            <w:r>
              <w:rPr>
                <w:sz w:val="20"/>
              </w:rPr>
              <w:t xml:space="preserve">0</w:t>
            </w:r>
          </w:p>
        </w:tc>
      </w:tr>
      <w:tr>
        <w:tc>
          <w:tcPr>
            <w:gridSpan w:val="3"/>
            <w:tcW w:w="5007" w:type="dxa"/>
          </w:tcPr>
          <w:p>
            <w:pPr>
              <w:pStyle w:val="0"/>
            </w:pPr>
            <w:r>
              <w:rPr>
                <w:sz w:val="20"/>
              </w:rPr>
              <w:t xml:space="preserve">Первичные сосудистые отделения</w:t>
            </w:r>
          </w:p>
        </w:tc>
        <w:tc>
          <w:tcPr>
            <w:tcW w:w="664" w:type="dxa"/>
          </w:tcPr>
          <w:p>
            <w:pPr>
              <w:pStyle w:val="0"/>
            </w:pPr>
            <w:r>
              <w:rPr>
                <w:sz w:val="20"/>
              </w:rPr>
            </w:r>
          </w:p>
        </w:tc>
        <w:tc>
          <w:tcPr>
            <w:tcW w:w="1969" w:type="dxa"/>
          </w:tcPr>
          <w:p>
            <w:pPr>
              <w:pStyle w:val="0"/>
            </w:pPr>
            <w:r>
              <w:rPr>
                <w:sz w:val="20"/>
              </w:rPr>
            </w:r>
          </w:p>
        </w:tc>
        <w:tc>
          <w:tcPr>
            <w:tcW w:w="2344" w:type="dxa"/>
          </w:tcPr>
          <w:p>
            <w:pPr>
              <w:pStyle w:val="0"/>
            </w:pPr>
            <w:r>
              <w:rPr>
                <w:sz w:val="20"/>
              </w:rPr>
            </w:r>
          </w:p>
        </w:tc>
        <w:tc>
          <w:tcPr>
            <w:tcW w:w="1864" w:type="dxa"/>
          </w:tcPr>
          <w:p>
            <w:pPr>
              <w:pStyle w:val="0"/>
            </w:pPr>
            <w:r>
              <w:rPr>
                <w:sz w:val="20"/>
              </w:rPr>
            </w:r>
          </w:p>
        </w:tc>
        <w:tc>
          <w:tcPr>
            <w:tcW w:w="1969" w:type="dxa"/>
          </w:tcPr>
          <w:p>
            <w:pPr>
              <w:pStyle w:val="0"/>
            </w:pPr>
            <w:r>
              <w:rPr>
                <w:sz w:val="20"/>
              </w:rPr>
            </w:r>
          </w:p>
        </w:tc>
        <w:tc>
          <w:tcPr>
            <w:tcW w:w="1879" w:type="dxa"/>
          </w:tcPr>
          <w:p>
            <w:pPr>
              <w:pStyle w:val="0"/>
            </w:pPr>
            <w:r>
              <w:rPr>
                <w:sz w:val="20"/>
              </w:rPr>
            </w:r>
          </w:p>
        </w:tc>
      </w:tr>
      <w:tr>
        <w:tc>
          <w:tcPr>
            <w:tcW w:w="634" w:type="dxa"/>
          </w:tcPr>
          <w:p>
            <w:pPr>
              <w:pStyle w:val="0"/>
            </w:pPr>
            <w:r>
              <w:rPr>
                <w:sz w:val="20"/>
              </w:rPr>
              <w:t xml:space="preserve">ПСО N 1</w:t>
            </w:r>
          </w:p>
        </w:tc>
        <w:tc>
          <w:tcPr>
            <w:tcW w:w="2299" w:type="dxa"/>
          </w:tcPr>
          <w:p>
            <w:pPr>
              <w:pStyle w:val="0"/>
            </w:pPr>
            <w:r>
              <w:rPr>
                <w:sz w:val="20"/>
              </w:rPr>
              <w:t xml:space="preserve">БУ "Нефтеюганская окружная клиническая больница имени В.И. Яцкив"</w:t>
            </w:r>
          </w:p>
        </w:tc>
        <w:tc>
          <w:tcPr>
            <w:tcW w:w="2074" w:type="dxa"/>
          </w:tcPr>
          <w:p>
            <w:pPr>
              <w:pStyle w:val="0"/>
            </w:pPr>
            <w:r>
              <w:rPr>
                <w:sz w:val="20"/>
              </w:rPr>
              <w:t xml:space="preserve">город Нефтеюганск, мкр. 7, д. 13</w:t>
            </w:r>
          </w:p>
        </w:tc>
        <w:tc>
          <w:tcPr>
            <w:tcW w:w="664" w:type="dxa"/>
          </w:tcPr>
          <w:p>
            <w:pPr>
              <w:pStyle w:val="0"/>
            </w:pPr>
            <w:r>
              <w:rPr>
                <w:sz w:val="20"/>
              </w:rPr>
              <w:t xml:space="preserve">669</w:t>
            </w:r>
          </w:p>
        </w:tc>
        <w:tc>
          <w:tcPr>
            <w:tcW w:w="1969" w:type="dxa"/>
          </w:tcPr>
          <w:p>
            <w:pPr>
              <w:pStyle w:val="0"/>
            </w:pPr>
            <w:r>
              <w:rPr>
                <w:sz w:val="20"/>
              </w:rPr>
              <w:t xml:space="preserve">35</w:t>
            </w:r>
          </w:p>
        </w:tc>
        <w:tc>
          <w:tcPr>
            <w:tcW w:w="2344" w:type="dxa"/>
          </w:tcPr>
          <w:p>
            <w:pPr>
              <w:pStyle w:val="0"/>
            </w:pPr>
            <w:r>
              <w:rPr>
                <w:sz w:val="20"/>
              </w:rPr>
              <w:t xml:space="preserve">30</w:t>
            </w:r>
          </w:p>
        </w:tc>
        <w:tc>
          <w:tcPr>
            <w:tcW w:w="1864" w:type="dxa"/>
          </w:tcPr>
          <w:p>
            <w:pPr>
              <w:pStyle w:val="0"/>
            </w:pPr>
            <w:r>
              <w:rPr>
                <w:sz w:val="20"/>
              </w:rPr>
              <w:t xml:space="preserve">55</w:t>
            </w:r>
          </w:p>
        </w:tc>
        <w:tc>
          <w:tcPr>
            <w:tcW w:w="1969" w:type="dxa"/>
          </w:tcPr>
          <w:p>
            <w:pPr>
              <w:pStyle w:val="0"/>
            </w:pPr>
            <w:r>
              <w:rPr>
                <w:sz w:val="20"/>
              </w:rPr>
              <w:t xml:space="preserve">18/13</w:t>
            </w:r>
          </w:p>
        </w:tc>
        <w:tc>
          <w:tcPr>
            <w:tcW w:w="1879" w:type="dxa"/>
          </w:tcPr>
          <w:p>
            <w:pPr>
              <w:pStyle w:val="0"/>
            </w:pPr>
            <w:r>
              <w:rPr>
                <w:sz w:val="20"/>
              </w:rPr>
              <w:t xml:space="preserve">99942</w:t>
            </w:r>
          </w:p>
        </w:tc>
      </w:tr>
      <w:tr>
        <w:tc>
          <w:tcPr>
            <w:tcW w:w="634" w:type="dxa"/>
          </w:tcPr>
          <w:p>
            <w:pPr>
              <w:pStyle w:val="0"/>
            </w:pPr>
            <w:r>
              <w:rPr>
                <w:sz w:val="20"/>
              </w:rPr>
              <w:t xml:space="preserve">ПСО N 2</w:t>
            </w:r>
          </w:p>
        </w:tc>
        <w:tc>
          <w:tcPr>
            <w:tcW w:w="2299" w:type="dxa"/>
          </w:tcPr>
          <w:p>
            <w:pPr>
              <w:pStyle w:val="0"/>
            </w:pPr>
            <w:r>
              <w:rPr>
                <w:sz w:val="20"/>
              </w:rPr>
              <w:t xml:space="preserve">БУ "Радужнинская городская больница"</w:t>
            </w:r>
          </w:p>
        </w:tc>
        <w:tc>
          <w:tcPr>
            <w:tcW w:w="2074" w:type="dxa"/>
          </w:tcPr>
          <w:p>
            <w:pPr>
              <w:pStyle w:val="0"/>
            </w:pPr>
            <w:r>
              <w:rPr>
                <w:sz w:val="20"/>
              </w:rPr>
              <w:t xml:space="preserve">Город Радужный,</w:t>
            </w:r>
          </w:p>
          <w:p>
            <w:pPr>
              <w:pStyle w:val="0"/>
            </w:pPr>
            <w:r>
              <w:rPr>
                <w:sz w:val="20"/>
              </w:rPr>
              <w:t xml:space="preserve">мкр. 2, д. 31</w:t>
            </w:r>
          </w:p>
        </w:tc>
        <w:tc>
          <w:tcPr>
            <w:tcW w:w="664" w:type="dxa"/>
          </w:tcPr>
          <w:p>
            <w:pPr>
              <w:pStyle w:val="0"/>
            </w:pPr>
            <w:r>
              <w:rPr>
                <w:sz w:val="20"/>
              </w:rPr>
              <w:t xml:space="preserve">255</w:t>
            </w:r>
          </w:p>
        </w:tc>
        <w:tc>
          <w:tcPr>
            <w:tcW w:w="1969" w:type="dxa"/>
          </w:tcPr>
          <w:p>
            <w:pPr>
              <w:pStyle w:val="0"/>
            </w:pPr>
            <w:r>
              <w:rPr>
                <w:sz w:val="20"/>
              </w:rPr>
              <w:t xml:space="preserve">15</w:t>
            </w:r>
          </w:p>
        </w:tc>
        <w:tc>
          <w:tcPr>
            <w:tcW w:w="2344" w:type="dxa"/>
          </w:tcPr>
          <w:p>
            <w:pPr>
              <w:pStyle w:val="0"/>
            </w:pPr>
            <w:r>
              <w:rPr>
                <w:sz w:val="20"/>
              </w:rPr>
              <w:t xml:space="preserve">30</w:t>
            </w:r>
          </w:p>
        </w:tc>
        <w:tc>
          <w:tcPr>
            <w:tcW w:w="1864" w:type="dxa"/>
          </w:tcPr>
          <w:p>
            <w:pPr>
              <w:pStyle w:val="0"/>
            </w:pPr>
            <w:r>
              <w:rPr>
                <w:sz w:val="20"/>
              </w:rPr>
              <w:t xml:space="preserve">15</w:t>
            </w:r>
          </w:p>
        </w:tc>
        <w:tc>
          <w:tcPr>
            <w:tcW w:w="1969" w:type="dxa"/>
          </w:tcPr>
          <w:p>
            <w:pPr>
              <w:pStyle w:val="0"/>
            </w:pPr>
            <w:r>
              <w:rPr>
                <w:sz w:val="20"/>
              </w:rPr>
              <w:t xml:space="preserve">20/0</w:t>
            </w:r>
          </w:p>
        </w:tc>
        <w:tc>
          <w:tcPr>
            <w:tcW w:w="1879" w:type="dxa"/>
          </w:tcPr>
          <w:p>
            <w:pPr>
              <w:pStyle w:val="0"/>
            </w:pPr>
            <w:r>
              <w:rPr>
                <w:sz w:val="20"/>
              </w:rPr>
              <w:t xml:space="preserve">31907</w:t>
            </w:r>
          </w:p>
        </w:tc>
      </w:tr>
      <w:tr>
        <w:tc>
          <w:tcPr>
            <w:tcW w:w="634" w:type="dxa"/>
          </w:tcPr>
          <w:p>
            <w:pPr>
              <w:pStyle w:val="0"/>
            </w:pPr>
            <w:r>
              <w:rPr>
                <w:sz w:val="20"/>
              </w:rPr>
              <w:t xml:space="preserve">ПСО N 3</w:t>
            </w:r>
          </w:p>
        </w:tc>
        <w:tc>
          <w:tcPr>
            <w:tcW w:w="2299" w:type="dxa"/>
          </w:tcPr>
          <w:p>
            <w:pPr>
              <w:pStyle w:val="0"/>
            </w:pPr>
            <w:r>
              <w:rPr>
                <w:sz w:val="20"/>
              </w:rPr>
              <w:t xml:space="preserve">БУ "Мегионская городская больница"</w:t>
            </w:r>
          </w:p>
        </w:tc>
        <w:tc>
          <w:tcPr>
            <w:tcW w:w="2074" w:type="dxa"/>
          </w:tcPr>
          <w:p>
            <w:pPr>
              <w:pStyle w:val="0"/>
            </w:pPr>
            <w:r>
              <w:rPr>
                <w:sz w:val="20"/>
              </w:rPr>
              <w:t xml:space="preserve">город Мегион,</w:t>
            </w:r>
          </w:p>
          <w:p>
            <w:pPr>
              <w:pStyle w:val="0"/>
            </w:pPr>
            <w:r>
              <w:rPr>
                <w:sz w:val="20"/>
              </w:rPr>
              <w:t xml:space="preserve">ул. Заречная, д. 6</w:t>
            </w:r>
          </w:p>
        </w:tc>
        <w:tc>
          <w:tcPr>
            <w:tcW w:w="664" w:type="dxa"/>
          </w:tcPr>
          <w:p>
            <w:pPr>
              <w:pStyle w:val="0"/>
            </w:pPr>
            <w:r>
              <w:rPr>
                <w:sz w:val="20"/>
              </w:rPr>
              <w:t xml:space="preserve">285</w:t>
            </w:r>
          </w:p>
        </w:tc>
        <w:tc>
          <w:tcPr>
            <w:tcW w:w="1969" w:type="dxa"/>
          </w:tcPr>
          <w:p>
            <w:pPr>
              <w:pStyle w:val="0"/>
            </w:pPr>
            <w:r>
              <w:rPr>
                <w:sz w:val="20"/>
              </w:rPr>
              <w:t xml:space="preserve">15</w:t>
            </w:r>
          </w:p>
        </w:tc>
        <w:tc>
          <w:tcPr>
            <w:tcW w:w="2344" w:type="dxa"/>
          </w:tcPr>
          <w:p>
            <w:pPr>
              <w:pStyle w:val="0"/>
            </w:pPr>
            <w:r>
              <w:rPr>
                <w:sz w:val="20"/>
              </w:rPr>
              <w:t xml:space="preserve">30</w:t>
            </w:r>
          </w:p>
        </w:tc>
        <w:tc>
          <w:tcPr>
            <w:tcW w:w="1864" w:type="dxa"/>
          </w:tcPr>
          <w:p>
            <w:pPr>
              <w:pStyle w:val="0"/>
            </w:pPr>
            <w:r>
              <w:rPr>
                <w:sz w:val="20"/>
              </w:rPr>
              <w:t xml:space="preserve">25</w:t>
            </w:r>
          </w:p>
        </w:tc>
        <w:tc>
          <w:tcPr>
            <w:tcW w:w="1969" w:type="dxa"/>
          </w:tcPr>
          <w:p>
            <w:pPr>
              <w:pStyle w:val="0"/>
            </w:pPr>
            <w:r>
              <w:rPr>
                <w:sz w:val="20"/>
              </w:rPr>
              <w:t xml:space="preserve">9/0</w:t>
            </w:r>
          </w:p>
        </w:tc>
        <w:tc>
          <w:tcPr>
            <w:tcW w:w="1879" w:type="dxa"/>
          </w:tcPr>
          <w:p>
            <w:pPr>
              <w:pStyle w:val="0"/>
            </w:pPr>
            <w:r>
              <w:rPr>
                <w:sz w:val="20"/>
              </w:rPr>
              <w:t xml:space="preserve">59424</w:t>
            </w:r>
          </w:p>
        </w:tc>
      </w:tr>
      <w:tr>
        <w:tc>
          <w:tcPr>
            <w:tcW w:w="634" w:type="dxa"/>
          </w:tcPr>
          <w:p>
            <w:pPr>
              <w:pStyle w:val="0"/>
            </w:pPr>
            <w:r>
              <w:rPr>
                <w:sz w:val="20"/>
              </w:rPr>
              <w:t xml:space="preserve">ПСО N 4</w:t>
            </w:r>
          </w:p>
        </w:tc>
        <w:tc>
          <w:tcPr>
            <w:tcW w:w="2299" w:type="dxa"/>
          </w:tcPr>
          <w:p>
            <w:pPr>
              <w:pStyle w:val="0"/>
            </w:pPr>
            <w:r>
              <w:rPr>
                <w:sz w:val="20"/>
              </w:rPr>
              <w:t xml:space="preserve">БУ "Урайская городская клиническая больница"</w:t>
            </w:r>
          </w:p>
        </w:tc>
        <w:tc>
          <w:tcPr>
            <w:tcW w:w="2074" w:type="dxa"/>
          </w:tcPr>
          <w:p>
            <w:pPr>
              <w:pStyle w:val="0"/>
            </w:pPr>
            <w:r>
              <w:rPr>
                <w:sz w:val="20"/>
              </w:rPr>
              <w:t xml:space="preserve">Город Урай,</w:t>
            </w:r>
          </w:p>
          <w:p>
            <w:pPr>
              <w:pStyle w:val="0"/>
            </w:pPr>
            <w:r>
              <w:rPr>
                <w:sz w:val="20"/>
              </w:rPr>
              <w:t xml:space="preserve">ул. Ленина, д. 96</w:t>
            </w:r>
          </w:p>
        </w:tc>
        <w:tc>
          <w:tcPr>
            <w:tcW w:w="664" w:type="dxa"/>
          </w:tcPr>
          <w:p>
            <w:pPr>
              <w:pStyle w:val="0"/>
            </w:pPr>
            <w:r>
              <w:rPr>
                <w:sz w:val="20"/>
              </w:rPr>
              <w:t xml:space="preserve">236</w:t>
            </w:r>
          </w:p>
        </w:tc>
        <w:tc>
          <w:tcPr>
            <w:tcW w:w="1969" w:type="dxa"/>
          </w:tcPr>
          <w:p>
            <w:pPr>
              <w:pStyle w:val="0"/>
            </w:pPr>
            <w:r>
              <w:rPr>
                <w:sz w:val="20"/>
              </w:rPr>
              <w:t xml:space="preserve">15</w:t>
            </w:r>
          </w:p>
        </w:tc>
        <w:tc>
          <w:tcPr>
            <w:tcW w:w="2344" w:type="dxa"/>
          </w:tcPr>
          <w:p>
            <w:pPr>
              <w:pStyle w:val="0"/>
            </w:pPr>
            <w:r>
              <w:rPr>
                <w:sz w:val="20"/>
              </w:rPr>
              <w:t xml:space="preserve">24</w:t>
            </w:r>
          </w:p>
        </w:tc>
        <w:tc>
          <w:tcPr>
            <w:tcW w:w="1864" w:type="dxa"/>
          </w:tcPr>
          <w:p>
            <w:pPr>
              <w:pStyle w:val="0"/>
            </w:pPr>
            <w:r>
              <w:rPr>
                <w:sz w:val="20"/>
              </w:rPr>
              <w:t xml:space="preserve">18</w:t>
            </w:r>
          </w:p>
        </w:tc>
        <w:tc>
          <w:tcPr>
            <w:tcW w:w="1969" w:type="dxa"/>
          </w:tcPr>
          <w:p>
            <w:pPr>
              <w:pStyle w:val="0"/>
            </w:pPr>
            <w:r>
              <w:rPr>
                <w:sz w:val="20"/>
              </w:rPr>
              <w:t xml:space="preserve">8/0</w:t>
            </w:r>
          </w:p>
        </w:tc>
        <w:tc>
          <w:tcPr>
            <w:tcW w:w="1879" w:type="dxa"/>
          </w:tcPr>
          <w:p>
            <w:pPr>
              <w:pStyle w:val="0"/>
            </w:pPr>
            <w:r>
              <w:rPr>
                <w:sz w:val="20"/>
              </w:rPr>
              <w:t xml:space="preserve">30874</w:t>
            </w:r>
          </w:p>
        </w:tc>
      </w:tr>
      <w:tr>
        <w:tc>
          <w:tcPr>
            <w:tcW w:w="634" w:type="dxa"/>
          </w:tcPr>
          <w:p>
            <w:pPr>
              <w:pStyle w:val="0"/>
            </w:pPr>
            <w:r>
              <w:rPr>
                <w:sz w:val="20"/>
              </w:rPr>
              <w:t xml:space="preserve">ПСО N 5</w:t>
            </w:r>
          </w:p>
        </w:tc>
        <w:tc>
          <w:tcPr>
            <w:tcW w:w="2299" w:type="dxa"/>
          </w:tcPr>
          <w:p>
            <w:pPr>
              <w:pStyle w:val="0"/>
            </w:pPr>
            <w:r>
              <w:rPr>
                <w:sz w:val="20"/>
              </w:rPr>
              <w:t xml:space="preserve">БУ "Пыть-Яхская окружная клиническая больница"</w:t>
            </w:r>
          </w:p>
        </w:tc>
        <w:tc>
          <w:tcPr>
            <w:tcW w:w="2074" w:type="dxa"/>
          </w:tcPr>
          <w:p>
            <w:pPr>
              <w:pStyle w:val="0"/>
            </w:pPr>
            <w:r>
              <w:rPr>
                <w:sz w:val="20"/>
              </w:rPr>
              <w:t xml:space="preserve">Город Пыть-Ях, мкр. 8, ул. Православная, д. 10</w:t>
            </w:r>
          </w:p>
        </w:tc>
        <w:tc>
          <w:tcPr>
            <w:tcW w:w="664" w:type="dxa"/>
          </w:tcPr>
          <w:p>
            <w:pPr>
              <w:pStyle w:val="0"/>
            </w:pPr>
            <w:r>
              <w:rPr>
                <w:sz w:val="20"/>
              </w:rPr>
              <w:t xml:space="preserve">219</w:t>
            </w:r>
          </w:p>
        </w:tc>
        <w:tc>
          <w:tcPr>
            <w:tcW w:w="1969" w:type="dxa"/>
          </w:tcPr>
          <w:p>
            <w:pPr>
              <w:pStyle w:val="0"/>
            </w:pPr>
            <w:r>
              <w:rPr>
                <w:sz w:val="20"/>
              </w:rPr>
              <w:t xml:space="preserve">13</w:t>
            </w:r>
          </w:p>
        </w:tc>
        <w:tc>
          <w:tcPr>
            <w:tcW w:w="2344" w:type="dxa"/>
          </w:tcPr>
          <w:p>
            <w:pPr>
              <w:pStyle w:val="0"/>
            </w:pPr>
            <w:r>
              <w:rPr>
                <w:sz w:val="20"/>
              </w:rPr>
              <w:t xml:space="preserve">25</w:t>
            </w:r>
          </w:p>
        </w:tc>
        <w:tc>
          <w:tcPr>
            <w:tcW w:w="1864" w:type="dxa"/>
          </w:tcPr>
          <w:p>
            <w:pPr>
              <w:pStyle w:val="0"/>
            </w:pPr>
            <w:r>
              <w:rPr>
                <w:sz w:val="20"/>
              </w:rPr>
              <w:t xml:space="preserve">20</w:t>
            </w:r>
          </w:p>
        </w:tc>
        <w:tc>
          <w:tcPr>
            <w:tcW w:w="1969" w:type="dxa"/>
          </w:tcPr>
          <w:p>
            <w:pPr>
              <w:pStyle w:val="0"/>
            </w:pPr>
            <w:r>
              <w:rPr>
                <w:sz w:val="20"/>
              </w:rPr>
              <w:t xml:space="preserve">9/0</w:t>
            </w:r>
          </w:p>
        </w:tc>
        <w:tc>
          <w:tcPr>
            <w:tcW w:w="1879" w:type="dxa"/>
          </w:tcPr>
          <w:p>
            <w:pPr>
              <w:pStyle w:val="0"/>
            </w:pPr>
            <w:r>
              <w:rPr>
                <w:sz w:val="20"/>
              </w:rPr>
              <w:t xml:space="preserve">39961</w:t>
            </w:r>
          </w:p>
        </w:tc>
      </w:tr>
      <w:tr>
        <w:tc>
          <w:tcPr>
            <w:tcW w:w="634" w:type="dxa"/>
          </w:tcPr>
          <w:p>
            <w:pPr>
              <w:pStyle w:val="0"/>
            </w:pPr>
            <w:r>
              <w:rPr>
                <w:sz w:val="20"/>
              </w:rPr>
              <w:t xml:space="preserve">ПСО N 6</w:t>
            </w:r>
          </w:p>
        </w:tc>
        <w:tc>
          <w:tcPr>
            <w:tcW w:w="2299" w:type="dxa"/>
          </w:tcPr>
          <w:p>
            <w:pPr>
              <w:pStyle w:val="0"/>
            </w:pPr>
            <w:r>
              <w:rPr>
                <w:sz w:val="20"/>
              </w:rPr>
              <w:t xml:space="preserve">БУ Белоярская районная больница"</w:t>
            </w:r>
          </w:p>
        </w:tc>
        <w:tc>
          <w:tcPr>
            <w:tcW w:w="2074" w:type="dxa"/>
          </w:tcPr>
          <w:p>
            <w:pPr>
              <w:pStyle w:val="0"/>
            </w:pPr>
            <w:r>
              <w:rPr>
                <w:sz w:val="20"/>
              </w:rPr>
              <w:t xml:space="preserve">Город Белоярский, ул. Барсукова, д. 6</w:t>
            </w:r>
          </w:p>
        </w:tc>
        <w:tc>
          <w:tcPr>
            <w:tcW w:w="664" w:type="dxa"/>
          </w:tcPr>
          <w:p>
            <w:pPr>
              <w:pStyle w:val="0"/>
            </w:pPr>
            <w:r>
              <w:rPr>
                <w:sz w:val="20"/>
              </w:rPr>
              <w:t xml:space="preserve">203</w:t>
            </w:r>
          </w:p>
        </w:tc>
        <w:tc>
          <w:tcPr>
            <w:tcW w:w="1969" w:type="dxa"/>
          </w:tcPr>
          <w:p>
            <w:pPr>
              <w:pStyle w:val="0"/>
            </w:pPr>
            <w:r>
              <w:rPr>
                <w:sz w:val="20"/>
              </w:rPr>
              <w:t xml:space="preserve">0</w:t>
            </w:r>
          </w:p>
        </w:tc>
        <w:tc>
          <w:tcPr>
            <w:tcW w:w="2344" w:type="dxa"/>
          </w:tcPr>
          <w:p>
            <w:pPr>
              <w:pStyle w:val="0"/>
            </w:pPr>
            <w:r>
              <w:rPr>
                <w:sz w:val="20"/>
              </w:rPr>
              <w:t xml:space="preserve">27</w:t>
            </w:r>
          </w:p>
        </w:tc>
        <w:tc>
          <w:tcPr>
            <w:tcW w:w="1864" w:type="dxa"/>
          </w:tcPr>
          <w:p>
            <w:pPr>
              <w:pStyle w:val="0"/>
            </w:pPr>
            <w:r>
              <w:rPr>
                <w:sz w:val="20"/>
              </w:rPr>
              <w:t xml:space="preserve">20</w:t>
            </w:r>
          </w:p>
        </w:tc>
        <w:tc>
          <w:tcPr>
            <w:tcW w:w="1969" w:type="dxa"/>
          </w:tcPr>
          <w:p>
            <w:pPr>
              <w:pStyle w:val="0"/>
            </w:pPr>
            <w:r>
              <w:rPr>
                <w:sz w:val="20"/>
              </w:rPr>
              <w:t xml:space="preserve">6/0</w:t>
            </w:r>
          </w:p>
        </w:tc>
        <w:tc>
          <w:tcPr>
            <w:tcW w:w="1879" w:type="dxa"/>
          </w:tcPr>
          <w:p>
            <w:pPr>
              <w:pStyle w:val="0"/>
            </w:pPr>
            <w:r>
              <w:rPr>
                <w:sz w:val="20"/>
              </w:rPr>
              <w:t xml:space="preserve">26425</w:t>
            </w:r>
          </w:p>
        </w:tc>
      </w:tr>
      <w:tr>
        <w:tc>
          <w:tcPr>
            <w:tcW w:w="634" w:type="dxa"/>
          </w:tcPr>
          <w:p>
            <w:pPr>
              <w:pStyle w:val="0"/>
            </w:pPr>
            <w:r>
              <w:rPr>
                <w:sz w:val="20"/>
              </w:rPr>
              <w:t xml:space="preserve">ПСО N 7</w:t>
            </w:r>
          </w:p>
        </w:tc>
        <w:tc>
          <w:tcPr>
            <w:tcW w:w="2299" w:type="dxa"/>
          </w:tcPr>
          <w:p>
            <w:pPr>
              <w:pStyle w:val="0"/>
            </w:pPr>
            <w:r>
              <w:rPr>
                <w:sz w:val="20"/>
              </w:rPr>
              <w:t xml:space="preserve">БУ "Лангепасская городская больница"</w:t>
            </w:r>
          </w:p>
        </w:tc>
        <w:tc>
          <w:tcPr>
            <w:tcW w:w="2074" w:type="dxa"/>
          </w:tcPr>
          <w:p>
            <w:pPr>
              <w:pStyle w:val="0"/>
            </w:pPr>
            <w:r>
              <w:rPr>
                <w:sz w:val="20"/>
              </w:rPr>
              <w:t xml:space="preserve">Город Лангепас,</w:t>
            </w:r>
          </w:p>
          <w:p>
            <w:pPr>
              <w:pStyle w:val="0"/>
            </w:pPr>
            <w:r>
              <w:rPr>
                <w:sz w:val="20"/>
              </w:rPr>
              <w:t xml:space="preserve">ул. Ленина, д. 13</w:t>
            </w:r>
          </w:p>
        </w:tc>
        <w:tc>
          <w:tcPr>
            <w:tcW w:w="664" w:type="dxa"/>
          </w:tcPr>
          <w:p>
            <w:pPr>
              <w:pStyle w:val="0"/>
            </w:pPr>
            <w:r>
              <w:rPr>
                <w:sz w:val="20"/>
              </w:rPr>
              <w:t xml:space="preserve">209</w:t>
            </w:r>
          </w:p>
        </w:tc>
        <w:tc>
          <w:tcPr>
            <w:tcW w:w="1969" w:type="dxa"/>
          </w:tcPr>
          <w:p>
            <w:pPr>
              <w:pStyle w:val="0"/>
            </w:pPr>
            <w:r>
              <w:rPr>
                <w:sz w:val="20"/>
              </w:rPr>
              <w:t xml:space="preserve">5</w:t>
            </w:r>
          </w:p>
        </w:tc>
        <w:tc>
          <w:tcPr>
            <w:tcW w:w="2344" w:type="dxa"/>
          </w:tcPr>
          <w:p>
            <w:pPr>
              <w:pStyle w:val="0"/>
            </w:pPr>
            <w:r>
              <w:rPr>
                <w:sz w:val="20"/>
              </w:rPr>
              <w:t xml:space="preserve">45</w:t>
            </w:r>
          </w:p>
        </w:tc>
        <w:tc>
          <w:tcPr>
            <w:tcW w:w="1864" w:type="dxa"/>
          </w:tcPr>
          <w:p>
            <w:pPr>
              <w:pStyle w:val="0"/>
            </w:pPr>
            <w:r>
              <w:rPr>
                <w:sz w:val="20"/>
              </w:rPr>
              <w:t xml:space="preserve">20</w:t>
            </w:r>
          </w:p>
        </w:tc>
        <w:tc>
          <w:tcPr>
            <w:tcW w:w="1969" w:type="dxa"/>
          </w:tcPr>
          <w:p>
            <w:pPr>
              <w:pStyle w:val="0"/>
            </w:pPr>
            <w:r>
              <w:rPr>
                <w:sz w:val="20"/>
              </w:rPr>
              <w:t xml:space="preserve">6/0</w:t>
            </w:r>
          </w:p>
        </w:tc>
        <w:tc>
          <w:tcPr>
            <w:tcW w:w="1879" w:type="dxa"/>
          </w:tcPr>
          <w:p>
            <w:pPr>
              <w:pStyle w:val="0"/>
            </w:pPr>
            <w:r>
              <w:rPr>
                <w:sz w:val="20"/>
              </w:rPr>
              <w:t xml:space="preserve">45868</w:t>
            </w:r>
          </w:p>
        </w:tc>
      </w:tr>
      <w:tr>
        <w:tc>
          <w:tcPr>
            <w:tcW w:w="634" w:type="dxa"/>
          </w:tcPr>
          <w:p>
            <w:pPr>
              <w:pStyle w:val="0"/>
            </w:pPr>
            <w:r>
              <w:rPr>
                <w:sz w:val="20"/>
              </w:rPr>
              <w:t xml:space="preserve">ПСО N 8</w:t>
            </w:r>
          </w:p>
        </w:tc>
        <w:tc>
          <w:tcPr>
            <w:tcW w:w="2299" w:type="dxa"/>
          </w:tcPr>
          <w:p>
            <w:pPr>
              <w:pStyle w:val="0"/>
            </w:pPr>
            <w:r>
              <w:rPr>
                <w:sz w:val="20"/>
              </w:rPr>
              <w:t xml:space="preserve">БУ "Когалымская городская больница"</w:t>
            </w:r>
          </w:p>
        </w:tc>
        <w:tc>
          <w:tcPr>
            <w:tcW w:w="2074" w:type="dxa"/>
          </w:tcPr>
          <w:p>
            <w:pPr>
              <w:pStyle w:val="0"/>
            </w:pPr>
            <w:r>
              <w:rPr>
                <w:sz w:val="20"/>
              </w:rPr>
              <w:t xml:space="preserve">Город Когалым,</w:t>
            </w:r>
          </w:p>
          <w:p>
            <w:pPr>
              <w:pStyle w:val="0"/>
            </w:pPr>
            <w:r>
              <w:rPr>
                <w:sz w:val="20"/>
              </w:rPr>
              <w:t xml:space="preserve">ул. Молодежная, д. 9</w:t>
            </w:r>
          </w:p>
        </w:tc>
        <w:tc>
          <w:tcPr>
            <w:tcW w:w="664" w:type="dxa"/>
          </w:tcPr>
          <w:p>
            <w:pPr>
              <w:pStyle w:val="0"/>
            </w:pPr>
            <w:r>
              <w:rPr>
                <w:sz w:val="20"/>
              </w:rPr>
              <w:t xml:space="preserve">306</w:t>
            </w:r>
          </w:p>
        </w:tc>
        <w:tc>
          <w:tcPr>
            <w:tcW w:w="1969" w:type="dxa"/>
          </w:tcPr>
          <w:p>
            <w:pPr>
              <w:pStyle w:val="0"/>
            </w:pPr>
            <w:r>
              <w:rPr>
                <w:sz w:val="20"/>
              </w:rPr>
              <w:t xml:space="preserve">15</w:t>
            </w:r>
          </w:p>
        </w:tc>
        <w:tc>
          <w:tcPr>
            <w:tcW w:w="2344" w:type="dxa"/>
          </w:tcPr>
          <w:p>
            <w:pPr>
              <w:pStyle w:val="0"/>
            </w:pPr>
            <w:r>
              <w:rPr>
                <w:sz w:val="20"/>
              </w:rPr>
              <w:t xml:space="preserve">35</w:t>
            </w:r>
          </w:p>
        </w:tc>
        <w:tc>
          <w:tcPr>
            <w:tcW w:w="1864" w:type="dxa"/>
          </w:tcPr>
          <w:p>
            <w:pPr>
              <w:pStyle w:val="0"/>
            </w:pPr>
            <w:r>
              <w:rPr>
                <w:sz w:val="20"/>
              </w:rPr>
              <w:t xml:space="preserve">31</w:t>
            </w:r>
          </w:p>
        </w:tc>
        <w:tc>
          <w:tcPr>
            <w:tcW w:w="1969" w:type="dxa"/>
          </w:tcPr>
          <w:p>
            <w:pPr>
              <w:pStyle w:val="0"/>
            </w:pPr>
            <w:r>
              <w:rPr>
                <w:sz w:val="20"/>
              </w:rPr>
              <w:t xml:space="preserve">6/0</w:t>
            </w:r>
          </w:p>
        </w:tc>
        <w:tc>
          <w:tcPr>
            <w:tcW w:w="1879" w:type="dxa"/>
          </w:tcPr>
          <w:p>
            <w:pPr>
              <w:pStyle w:val="0"/>
            </w:pPr>
            <w:r>
              <w:rPr>
                <w:sz w:val="20"/>
              </w:rPr>
              <w:t xml:space="preserve">46157</w:t>
            </w:r>
          </w:p>
        </w:tc>
      </w:tr>
      <w:tr>
        <w:tc>
          <w:tcPr>
            <w:tcW w:w="634" w:type="dxa"/>
          </w:tcPr>
          <w:p>
            <w:pPr>
              <w:pStyle w:val="0"/>
            </w:pPr>
            <w:r>
              <w:rPr>
                <w:sz w:val="20"/>
              </w:rPr>
              <w:t xml:space="preserve">ПСО N 9</w:t>
            </w:r>
          </w:p>
        </w:tc>
        <w:tc>
          <w:tcPr>
            <w:tcW w:w="2299" w:type="dxa"/>
          </w:tcPr>
          <w:p>
            <w:pPr>
              <w:pStyle w:val="0"/>
            </w:pPr>
            <w:r>
              <w:rPr>
                <w:sz w:val="20"/>
              </w:rPr>
              <w:t xml:space="preserve">БУ "Югорская городская больница"</w:t>
            </w:r>
          </w:p>
        </w:tc>
        <w:tc>
          <w:tcPr>
            <w:tcW w:w="2074" w:type="dxa"/>
          </w:tcPr>
          <w:p>
            <w:pPr>
              <w:pStyle w:val="0"/>
            </w:pPr>
            <w:r>
              <w:rPr>
                <w:sz w:val="20"/>
              </w:rPr>
              <w:t xml:space="preserve">Город Югорск,</w:t>
            </w:r>
          </w:p>
          <w:p>
            <w:pPr>
              <w:pStyle w:val="0"/>
            </w:pPr>
            <w:r>
              <w:rPr>
                <w:sz w:val="20"/>
              </w:rPr>
              <w:t xml:space="preserve">ул. Попова, д. 29/1</w:t>
            </w:r>
          </w:p>
        </w:tc>
        <w:tc>
          <w:tcPr>
            <w:tcW w:w="664" w:type="dxa"/>
          </w:tcPr>
          <w:p>
            <w:pPr>
              <w:pStyle w:val="0"/>
            </w:pPr>
            <w:r>
              <w:rPr>
                <w:sz w:val="20"/>
              </w:rPr>
              <w:t xml:space="preserve">217</w:t>
            </w:r>
          </w:p>
        </w:tc>
        <w:tc>
          <w:tcPr>
            <w:tcW w:w="1969" w:type="dxa"/>
          </w:tcPr>
          <w:p>
            <w:pPr>
              <w:pStyle w:val="0"/>
            </w:pPr>
            <w:r>
              <w:rPr>
                <w:sz w:val="20"/>
              </w:rPr>
              <w:t xml:space="preserve">2</w:t>
            </w:r>
          </w:p>
        </w:tc>
        <w:tc>
          <w:tcPr>
            <w:tcW w:w="2344" w:type="dxa"/>
          </w:tcPr>
          <w:p>
            <w:pPr>
              <w:pStyle w:val="0"/>
            </w:pPr>
            <w:r>
              <w:rPr>
                <w:sz w:val="20"/>
              </w:rPr>
              <w:t xml:space="preserve">31</w:t>
            </w:r>
          </w:p>
        </w:tc>
        <w:tc>
          <w:tcPr>
            <w:tcW w:w="1864" w:type="dxa"/>
          </w:tcPr>
          <w:p>
            <w:pPr>
              <w:pStyle w:val="0"/>
            </w:pPr>
            <w:r>
              <w:rPr>
                <w:sz w:val="20"/>
              </w:rPr>
              <w:t xml:space="preserve">22</w:t>
            </w:r>
          </w:p>
        </w:tc>
        <w:tc>
          <w:tcPr>
            <w:tcW w:w="1969" w:type="dxa"/>
          </w:tcPr>
          <w:p>
            <w:pPr>
              <w:pStyle w:val="0"/>
            </w:pPr>
            <w:r>
              <w:rPr>
                <w:sz w:val="20"/>
              </w:rPr>
              <w:t xml:space="preserve">9/0</w:t>
            </w:r>
          </w:p>
        </w:tc>
        <w:tc>
          <w:tcPr>
            <w:tcW w:w="1879" w:type="dxa"/>
          </w:tcPr>
          <w:p>
            <w:pPr>
              <w:pStyle w:val="0"/>
            </w:pPr>
            <w:r>
              <w:rPr>
                <w:sz w:val="20"/>
              </w:rPr>
              <w:t xml:space="preserve">28433</w:t>
            </w:r>
          </w:p>
        </w:tc>
      </w:tr>
      <w:tr>
        <w:tc>
          <w:tcPr>
            <w:tcW w:w="634" w:type="dxa"/>
          </w:tcPr>
          <w:p>
            <w:pPr>
              <w:pStyle w:val="0"/>
            </w:pPr>
            <w:r>
              <w:rPr>
                <w:sz w:val="20"/>
              </w:rPr>
              <w:t xml:space="preserve">ПСО N 10</w:t>
            </w:r>
          </w:p>
        </w:tc>
        <w:tc>
          <w:tcPr>
            <w:tcW w:w="2299" w:type="dxa"/>
          </w:tcPr>
          <w:p>
            <w:pPr>
              <w:pStyle w:val="0"/>
            </w:pPr>
            <w:r>
              <w:rPr>
                <w:sz w:val="20"/>
              </w:rPr>
              <w:t xml:space="preserve">АУ Советская районная больница"</w:t>
            </w:r>
          </w:p>
        </w:tc>
        <w:tc>
          <w:tcPr>
            <w:tcW w:w="2074" w:type="dxa"/>
          </w:tcPr>
          <w:p>
            <w:pPr>
              <w:pStyle w:val="0"/>
            </w:pPr>
            <w:r>
              <w:rPr>
                <w:sz w:val="20"/>
              </w:rPr>
              <w:t xml:space="preserve">Город Советский,</w:t>
            </w:r>
          </w:p>
          <w:p>
            <w:pPr>
              <w:pStyle w:val="0"/>
            </w:pPr>
            <w:r>
              <w:rPr>
                <w:sz w:val="20"/>
              </w:rPr>
              <w:t xml:space="preserve">ул. Киевская, д. 33</w:t>
            </w:r>
          </w:p>
        </w:tc>
        <w:tc>
          <w:tcPr>
            <w:tcW w:w="664" w:type="dxa"/>
          </w:tcPr>
          <w:p>
            <w:pPr>
              <w:pStyle w:val="0"/>
            </w:pPr>
            <w:r>
              <w:rPr>
                <w:sz w:val="20"/>
              </w:rPr>
              <w:t xml:space="preserve">147</w:t>
            </w:r>
          </w:p>
        </w:tc>
        <w:tc>
          <w:tcPr>
            <w:tcW w:w="1969" w:type="dxa"/>
          </w:tcPr>
          <w:p>
            <w:pPr>
              <w:pStyle w:val="0"/>
            </w:pPr>
            <w:r>
              <w:rPr>
                <w:sz w:val="20"/>
              </w:rPr>
              <w:t xml:space="preserve">2</w:t>
            </w:r>
          </w:p>
        </w:tc>
        <w:tc>
          <w:tcPr>
            <w:tcW w:w="2344" w:type="dxa"/>
          </w:tcPr>
          <w:p>
            <w:pPr>
              <w:pStyle w:val="0"/>
            </w:pPr>
            <w:r>
              <w:rPr>
                <w:sz w:val="20"/>
              </w:rPr>
              <w:t xml:space="preserve">18</w:t>
            </w:r>
          </w:p>
        </w:tc>
        <w:tc>
          <w:tcPr>
            <w:tcW w:w="1864" w:type="dxa"/>
          </w:tcPr>
          <w:p>
            <w:pPr>
              <w:pStyle w:val="0"/>
            </w:pPr>
            <w:r>
              <w:rPr>
                <w:sz w:val="20"/>
              </w:rPr>
              <w:t xml:space="preserve">20</w:t>
            </w:r>
          </w:p>
        </w:tc>
        <w:tc>
          <w:tcPr>
            <w:tcW w:w="1969" w:type="dxa"/>
          </w:tcPr>
          <w:p>
            <w:pPr>
              <w:pStyle w:val="0"/>
            </w:pPr>
            <w:r>
              <w:rPr>
                <w:sz w:val="20"/>
              </w:rPr>
              <w:t xml:space="preserve">6/0</w:t>
            </w:r>
          </w:p>
        </w:tc>
        <w:tc>
          <w:tcPr>
            <w:tcW w:w="1879" w:type="dxa"/>
          </w:tcPr>
          <w:p>
            <w:pPr>
              <w:pStyle w:val="0"/>
            </w:pPr>
            <w:r>
              <w:rPr>
                <w:sz w:val="20"/>
              </w:rPr>
              <w:t xml:space="preserve">24113</w:t>
            </w:r>
          </w:p>
        </w:tc>
      </w:tr>
      <w:tr>
        <w:tc>
          <w:tcPr>
            <w:tcW w:w="634" w:type="dxa"/>
          </w:tcPr>
          <w:p>
            <w:pPr>
              <w:pStyle w:val="0"/>
            </w:pPr>
            <w:r>
              <w:rPr>
                <w:sz w:val="20"/>
              </w:rPr>
              <w:t xml:space="preserve">ПСО N 11</w:t>
            </w:r>
          </w:p>
        </w:tc>
        <w:tc>
          <w:tcPr>
            <w:tcW w:w="2299" w:type="dxa"/>
          </w:tcPr>
          <w:p>
            <w:pPr>
              <w:pStyle w:val="0"/>
            </w:pPr>
            <w:r>
              <w:rPr>
                <w:sz w:val="20"/>
              </w:rPr>
              <w:t xml:space="preserve">БУ "Кондинская районная больница"</w:t>
            </w:r>
          </w:p>
        </w:tc>
        <w:tc>
          <w:tcPr>
            <w:tcW w:w="2074" w:type="dxa"/>
          </w:tcPr>
          <w:p>
            <w:pPr>
              <w:pStyle w:val="0"/>
            </w:pPr>
            <w:r>
              <w:rPr>
                <w:sz w:val="20"/>
              </w:rPr>
              <w:t xml:space="preserve">Пгт Междуреченский, ул. Кондинская, д. 3</w:t>
            </w:r>
          </w:p>
        </w:tc>
        <w:tc>
          <w:tcPr>
            <w:tcW w:w="664" w:type="dxa"/>
          </w:tcPr>
          <w:p>
            <w:pPr>
              <w:pStyle w:val="0"/>
            </w:pPr>
            <w:r>
              <w:rPr>
                <w:sz w:val="20"/>
              </w:rPr>
              <w:t xml:space="preserve">188</w:t>
            </w:r>
          </w:p>
        </w:tc>
        <w:tc>
          <w:tcPr>
            <w:tcW w:w="1969" w:type="dxa"/>
          </w:tcPr>
          <w:p>
            <w:pPr>
              <w:pStyle w:val="0"/>
            </w:pPr>
            <w:r>
              <w:rPr>
                <w:sz w:val="20"/>
              </w:rPr>
              <w:t xml:space="preserve">4</w:t>
            </w:r>
          </w:p>
        </w:tc>
        <w:tc>
          <w:tcPr>
            <w:tcW w:w="2344" w:type="dxa"/>
          </w:tcPr>
          <w:p>
            <w:pPr>
              <w:pStyle w:val="0"/>
            </w:pPr>
            <w:r>
              <w:rPr>
                <w:sz w:val="20"/>
              </w:rPr>
              <w:t xml:space="preserve">33</w:t>
            </w:r>
          </w:p>
        </w:tc>
        <w:tc>
          <w:tcPr>
            <w:tcW w:w="1864" w:type="dxa"/>
          </w:tcPr>
          <w:p>
            <w:pPr>
              <w:pStyle w:val="0"/>
            </w:pPr>
            <w:r>
              <w:rPr>
                <w:sz w:val="20"/>
              </w:rPr>
              <w:t xml:space="preserve">15</w:t>
            </w:r>
          </w:p>
        </w:tc>
        <w:tc>
          <w:tcPr>
            <w:tcW w:w="1969" w:type="dxa"/>
          </w:tcPr>
          <w:p>
            <w:pPr>
              <w:pStyle w:val="0"/>
            </w:pPr>
            <w:r>
              <w:rPr>
                <w:sz w:val="20"/>
              </w:rPr>
              <w:t xml:space="preserve">6/0</w:t>
            </w:r>
          </w:p>
        </w:tc>
        <w:tc>
          <w:tcPr>
            <w:tcW w:w="1879" w:type="dxa"/>
          </w:tcPr>
          <w:p>
            <w:pPr>
              <w:pStyle w:val="0"/>
            </w:pPr>
            <w:r>
              <w:rPr>
                <w:sz w:val="20"/>
              </w:rPr>
              <w:t xml:space="preserve">21065</w:t>
            </w:r>
          </w:p>
        </w:tc>
      </w:tr>
      <w:tr>
        <w:tc>
          <w:tcPr>
            <w:tcW w:w="634" w:type="dxa"/>
          </w:tcPr>
          <w:p>
            <w:pPr>
              <w:pStyle w:val="0"/>
            </w:pPr>
            <w:r>
              <w:rPr>
                <w:sz w:val="20"/>
              </w:rPr>
              <w:t xml:space="preserve">ПСО N 12</w:t>
            </w:r>
          </w:p>
        </w:tc>
        <w:tc>
          <w:tcPr>
            <w:tcW w:w="2299" w:type="dxa"/>
          </w:tcPr>
          <w:p>
            <w:pPr>
              <w:pStyle w:val="0"/>
            </w:pPr>
            <w:r>
              <w:rPr>
                <w:sz w:val="20"/>
              </w:rPr>
              <w:t xml:space="preserve">БУ "Октябрьская районная больница"</w:t>
            </w:r>
          </w:p>
        </w:tc>
        <w:tc>
          <w:tcPr>
            <w:tcW w:w="2074" w:type="dxa"/>
          </w:tcPr>
          <w:p>
            <w:pPr>
              <w:pStyle w:val="0"/>
            </w:pPr>
            <w:r>
              <w:rPr>
                <w:sz w:val="20"/>
              </w:rPr>
              <w:t xml:space="preserve">Гп Октябрьское,</w:t>
            </w:r>
          </w:p>
          <w:p>
            <w:pPr>
              <w:pStyle w:val="0"/>
            </w:pPr>
            <w:r>
              <w:rPr>
                <w:sz w:val="20"/>
              </w:rPr>
              <w:t xml:space="preserve">ул. Медицинская, д. 3</w:t>
            </w:r>
          </w:p>
        </w:tc>
        <w:tc>
          <w:tcPr>
            <w:tcW w:w="664" w:type="dxa"/>
          </w:tcPr>
          <w:p>
            <w:pPr>
              <w:pStyle w:val="0"/>
            </w:pPr>
            <w:r>
              <w:rPr>
                <w:sz w:val="20"/>
              </w:rPr>
              <w:t xml:space="preserve">80</w:t>
            </w:r>
          </w:p>
        </w:tc>
        <w:tc>
          <w:tcPr>
            <w:tcW w:w="1969" w:type="dxa"/>
          </w:tcPr>
          <w:p>
            <w:pPr>
              <w:pStyle w:val="0"/>
            </w:pPr>
            <w:r>
              <w:rPr>
                <w:sz w:val="20"/>
              </w:rPr>
              <w:t xml:space="preserve">1</w:t>
            </w:r>
          </w:p>
        </w:tc>
        <w:tc>
          <w:tcPr>
            <w:tcW w:w="2344" w:type="dxa"/>
          </w:tcPr>
          <w:p>
            <w:pPr>
              <w:pStyle w:val="0"/>
            </w:pPr>
            <w:r>
              <w:rPr>
                <w:sz w:val="20"/>
              </w:rPr>
              <w:t xml:space="preserve">80</w:t>
            </w:r>
          </w:p>
        </w:tc>
        <w:tc>
          <w:tcPr>
            <w:tcW w:w="1864" w:type="dxa"/>
          </w:tcPr>
          <w:p>
            <w:pPr>
              <w:pStyle w:val="0"/>
            </w:pPr>
            <w:r>
              <w:rPr>
                <w:sz w:val="20"/>
              </w:rPr>
              <w:t xml:space="preserve">0</w:t>
            </w:r>
          </w:p>
        </w:tc>
        <w:tc>
          <w:tcPr>
            <w:tcW w:w="1969" w:type="dxa"/>
          </w:tcPr>
          <w:p>
            <w:pPr>
              <w:pStyle w:val="0"/>
            </w:pPr>
            <w:r>
              <w:rPr>
                <w:sz w:val="20"/>
              </w:rPr>
              <w:t xml:space="preserve">2/2</w:t>
            </w:r>
          </w:p>
        </w:tc>
        <w:tc>
          <w:tcPr>
            <w:tcW w:w="1879" w:type="dxa"/>
          </w:tcPr>
          <w:p>
            <w:pPr>
              <w:pStyle w:val="0"/>
            </w:pPr>
            <w:r>
              <w:rPr>
                <w:sz w:val="20"/>
              </w:rPr>
              <w:t xml:space="preserve">27099</w:t>
            </w:r>
          </w:p>
        </w:tc>
      </w:tr>
      <w:tr>
        <w:tc>
          <w:tcPr>
            <w:gridSpan w:val="9"/>
            <w:tcW w:w="15696" w:type="dxa"/>
          </w:tcPr>
          <w:p>
            <w:pPr>
              <w:pStyle w:val="0"/>
            </w:pPr>
            <w:r>
              <w:rPr>
                <w:sz w:val="20"/>
              </w:rPr>
              <w:t xml:space="preserve">Иные медицинские организации, участвующие в оказании медицинской помощи больных с острым коронарным синдромом</w:t>
            </w:r>
          </w:p>
        </w:tc>
      </w:tr>
      <w:tr>
        <w:tc>
          <w:tcPr>
            <w:tcW w:w="634" w:type="dxa"/>
          </w:tcPr>
          <w:p>
            <w:pPr>
              <w:pStyle w:val="0"/>
            </w:pPr>
            <w:r>
              <w:rPr>
                <w:sz w:val="20"/>
              </w:rPr>
              <w:t xml:space="preserve">1</w:t>
            </w:r>
          </w:p>
        </w:tc>
        <w:tc>
          <w:tcPr>
            <w:tcW w:w="2299" w:type="dxa"/>
          </w:tcPr>
          <w:p>
            <w:pPr>
              <w:pStyle w:val="0"/>
            </w:pPr>
            <w:r>
              <w:rPr>
                <w:sz w:val="20"/>
              </w:rPr>
              <w:t xml:space="preserve">БУ "Пионерская районная больница"</w:t>
            </w:r>
          </w:p>
        </w:tc>
        <w:tc>
          <w:tcPr>
            <w:tcW w:w="2074" w:type="dxa"/>
          </w:tcPr>
          <w:p>
            <w:pPr>
              <w:pStyle w:val="0"/>
            </w:pPr>
            <w:r>
              <w:rPr>
                <w:sz w:val="20"/>
              </w:rPr>
              <w:t xml:space="preserve">Пгт Пионерский,</w:t>
            </w:r>
          </w:p>
          <w:p>
            <w:pPr>
              <w:pStyle w:val="0"/>
            </w:pPr>
            <w:r>
              <w:rPr>
                <w:sz w:val="20"/>
              </w:rPr>
              <w:t xml:space="preserve">ул. Советская, д. 65</w:t>
            </w:r>
          </w:p>
        </w:tc>
        <w:tc>
          <w:tcPr>
            <w:tcW w:w="664" w:type="dxa"/>
          </w:tcPr>
          <w:p>
            <w:pPr>
              <w:pStyle w:val="0"/>
            </w:pPr>
            <w:r>
              <w:rPr>
                <w:sz w:val="20"/>
              </w:rPr>
              <w:t xml:space="preserve">158</w:t>
            </w:r>
          </w:p>
        </w:tc>
        <w:tc>
          <w:tcPr>
            <w:tcW w:w="1969" w:type="dxa"/>
          </w:tcPr>
          <w:p>
            <w:pPr>
              <w:pStyle w:val="0"/>
            </w:pPr>
            <w:r>
              <w:rPr>
                <w:sz w:val="20"/>
              </w:rPr>
              <w:t xml:space="preserve">0</w:t>
            </w:r>
          </w:p>
        </w:tc>
        <w:tc>
          <w:tcPr>
            <w:tcW w:w="2344" w:type="dxa"/>
          </w:tcPr>
          <w:p>
            <w:pPr>
              <w:pStyle w:val="0"/>
            </w:pPr>
            <w:r>
              <w:rPr>
                <w:sz w:val="20"/>
              </w:rPr>
              <w:t xml:space="preserve">21</w:t>
            </w:r>
          </w:p>
        </w:tc>
        <w:tc>
          <w:tcPr>
            <w:tcW w:w="1864" w:type="dxa"/>
          </w:tcPr>
          <w:p>
            <w:pPr>
              <w:pStyle w:val="0"/>
            </w:pPr>
            <w:r>
              <w:rPr>
                <w:sz w:val="20"/>
              </w:rPr>
              <w:t xml:space="preserve">7</w:t>
            </w:r>
          </w:p>
        </w:tc>
        <w:tc>
          <w:tcPr>
            <w:tcW w:w="1969" w:type="dxa"/>
          </w:tcPr>
          <w:p>
            <w:pPr>
              <w:pStyle w:val="0"/>
            </w:pPr>
            <w:r>
              <w:rPr>
                <w:sz w:val="20"/>
              </w:rPr>
              <w:t xml:space="preserve">3/0</w:t>
            </w:r>
          </w:p>
        </w:tc>
        <w:tc>
          <w:tcPr>
            <w:tcW w:w="1879" w:type="dxa"/>
          </w:tcPr>
          <w:p>
            <w:pPr>
              <w:pStyle w:val="0"/>
            </w:pPr>
            <w:r>
              <w:rPr>
                <w:sz w:val="20"/>
              </w:rPr>
              <w:t xml:space="preserve">9683</w:t>
            </w:r>
          </w:p>
        </w:tc>
      </w:tr>
      <w:tr>
        <w:tc>
          <w:tcPr>
            <w:tcW w:w="634" w:type="dxa"/>
          </w:tcPr>
          <w:p>
            <w:pPr>
              <w:pStyle w:val="0"/>
            </w:pPr>
            <w:r>
              <w:rPr>
                <w:sz w:val="20"/>
              </w:rPr>
              <w:t xml:space="preserve">2</w:t>
            </w:r>
          </w:p>
        </w:tc>
        <w:tc>
          <w:tcPr>
            <w:tcW w:w="2299" w:type="dxa"/>
          </w:tcPr>
          <w:p>
            <w:pPr>
              <w:pStyle w:val="0"/>
            </w:pPr>
            <w:r>
              <w:rPr>
                <w:sz w:val="20"/>
              </w:rPr>
              <w:t xml:space="preserve">БУ "Березовская районная больница"</w:t>
            </w:r>
          </w:p>
        </w:tc>
        <w:tc>
          <w:tcPr>
            <w:tcW w:w="2074" w:type="dxa"/>
          </w:tcPr>
          <w:p>
            <w:pPr>
              <w:pStyle w:val="0"/>
            </w:pPr>
            <w:r>
              <w:rPr>
                <w:sz w:val="20"/>
              </w:rPr>
              <w:t xml:space="preserve">Пгт Березово, ул. Ленина, д. 56 кор. 2</w:t>
            </w:r>
          </w:p>
        </w:tc>
        <w:tc>
          <w:tcPr>
            <w:tcW w:w="664" w:type="dxa"/>
          </w:tcPr>
          <w:p>
            <w:pPr>
              <w:pStyle w:val="0"/>
            </w:pPr>
            <w:r>
              <w:rPr>
                <w:sz w:val="20"/>
              </w:rPr>
              <w:t xml:space="preserve">95</w:t>
            </w:r>
          </w:p>
        </w:tc>
        <w:tc>
          <w:tcPr>
            <w:tcW w:w="1969" w:type="dxa"/>
          </w:tcPr>
          <w:p>
            <w:pPr>
              <w:pStyle w:val="0"/>
            </w:pPr>
            <w:r>
              <w:rPr>
                <w:sz w:val="20"/>
              </w:rPr>
              <w:t xml:space="preserve">0</w:t>
            </w:r>
          </w:p>
        </w:tc>
        <w:tc>
          <w:tcPr>
            <w:tcW w:w="2344" w:type="dxa"/>
          </w:tcPr>
          <w:p>
            <w:pPr>
              <w:pStyle w:val="0"/>
            </w:pPr>
            <w:r>
              <w:rPr>
                <w:sz w:val="20"/>
              </w:rPr>
              <w:t xml:space="preserve">26</w:t>
            </w:r>
          </w:p>
        </w:tc>
        <w:tc>
          <w:tcPr>
            <w:tcW w:w="1864" w:type="dxa"/>
          </w:tcPr>
          <w:p>
            <w:pPr>
              <w:pStyle w:val="0"/>
            </w:pPr>
            <w:r>
              <w:rPr>
                <w:sz w:val="20"/>
              </w:rPr>
              <w:t xml:space="preserve">2</w:t>
            </w:r>
          </w:p>
        </w:tc>
        <w:tc>
          <w:tcPr>
            <w:tcW w:w="1969" w:type="dxa"/>
          </w:tcPr>
          <w:p>
            <w:pPr>
              <w:pStyle w:val="0"/>
            </w:pPr>
            <w:r>
              <w:rPr>
                <w:sz w:val="20"/>
              </w:rPr>
              <w:t xml:space="preserve">3/0</w:t>
            </w:r>
          </w:p>
        </w:tc>
        <w:tc>
          <w:tcPr>
            <w:tcW w:w="1879" w:type="dxa"/>
          </w:tcPr>
          <w:p>
            <w:pPr>
              <w:pStyle w:val="0"/>
            </w:pPr>
            <w:r>
              <w:rPr>
                <w:sz w:val="20"/>
              </w:rPr>
              <w:t xml:space="preserve">10127</w:t>
            </w:r>
          </w:p>
        </w:tc>
      </w:tr>
      <w:tr>
        <w:tc>
          <w:tcPr>
            <w:tcW w:w="634" w:type="dxa"/>
          </w:tcPr>
          <w:p>
            <w:pPr>
              <w:pStyle w:val="0"/>
            </w:pPr>
            <w:r>
              <w:rPr>
                <w:sz w:val="20"/>
              </w:rPr>
              <w:t xml:space="preserve">3</w:t>
            </w:r>
          </w:p>
        </w:tc>
        <w:tc>
          <w:tcPr>
            <w:tcW w:w="2299" w:type="dxa"/>
          </w:tcPr>
          <w:p>
            <w:pPr>
              <w:pStyle w:val="0"/>
            </w:pPr>
            <w:r>
              <w:rPr>
                <w:sz w:val="20"/>
              </w:rPr>
              <w:t xml:space="preserve">БУ "Лянторская городская больница")</w:t>
            </w:r>
          </w:p>
        </w:tc>
        <w:tc>
          <w:tcPr>
            <w:tcW w:w="2074" w:type="dxa"/>
          </w:tcPr>
          <w:p>
            <w:pPr>
              <w:pStyle w:val="0"/>
            </w:pPr>
            <w:r>
              <w:rPr>
                <w:sz w:val="20"/>
              </w:rPr>
              <w:t xml:space="preserve">город Лянтор, ул. Салавата Юлаева, д. 7</w:t>
            </w:r>
          </w:p>
        </w:tc>
        <w:tc>
          <w:tcPr>
            <w:tcW w:w="664" w:type="dxa"/>
          </w:tcPr>
          <w:p>
            <w:pPr>
              <w:pStyle w:val="0"/>
            </w:pPr>
            <w:r>
              <w:rPr>
                <w:sz w:val="20"/>
              </w:rPr>
              <w:t xml:space="preserve">109</w:t>
            </w:r>
          </w:p>
        </w:tc>
        <w:tc>
          <w:tcPr>
            <w:tcW w:w="1969" w:type="dxa"/>
          </w:tcPr>
          <w:p>
            <w:pPr>
              <w:pStyle w:val="0"/>
            </w:pPr>
            <w:r>
              <w:rPr>
                <w:sz w:val="20"/>
              </w:rPr>
              <w:t xml:space="preserve">0</w:t>
            </w:r>
          </w:p>
        </w:tc>
        <w:tc>
          <w:tcPr>
            <w:tcW w:w="2344" w:type="dxa"/>
          </w:tcPr>
          <w:p>
            <w:pPr>
              <w:pStyle w:val="0"/>
            </w:pPr>
            <w:r>
              <w:rPr>
                <w:sz w:val="20"/>
              </w:rPr>
              <w:t xml:space="preserve">26</w:t>
            </w:r>
          </w:p>
        </w:tc>
        <w:tc>
          <w:tcPr>
            <w:tcW w:w="1864" w:type="dxa"/>
          </w:tcPr>
          <w:p>
            <w:pPr>
              <w:pStyle w:val="0"/>
            </w:pPr>
            <w:r>
              <w:rPr>
                <w:sz w:val="20"/>
              </w:rPr>
              <w:t xml:space="preserve">15</w:t>
            </w:r>
          </w:p>
        </w:tc>
        <w:tc>
          <w:tcPr>
            <w:tcW w:w="1969" w:type="dxa"/>
          </w:tcPr>
          <w:p>
            <w:pPr>
              <w:pStyle w:val="0"/>
            </w:pPr>
            <w:r>
              <w:rPr>
                <w:sz w:val="20"/>
              </w:rPr>
              <w:t xml:space="preserve">6/0</w:t>
            </w:r>
          </w:p>
        </w:tc>
        <w:tc>
          <w:tcPr>
            <w:tcW w:w="1879" w:type="dxa"/>
          </w:tcPr>
          <w:p>
            <w:pPr>
              <w:pStyle w:val="0"/>
            </w:pPr>
            <w:r>
              <w:rPr>
                <w:sz w:val="20"/>
              </w:rPr>
              <w:t xml:space="preserve">30801</w:t>
            </w:r>
          </w:p>
        </w:tc>
      </w:tr>
      <w:tr>
        <w:tc>
          <w:tcPr>
            <w:tcW w:w="634" w:type="dxa"/>
          </w:tcPr>
          <w:p>
            <w:pPr>
              <w:pStyle w:val="0"/>
            </w:pPr>
            <w:r>
              <w:rPr>
                <w:sz w:val="20"/>
              </w:rPr>
              <w:t xml:space="preserve">4</w:t>
            </w:r>
          </w:p>
        </w:tc>
        <w:tc>
          <w:tcPr>
            <w:tcW w:w="2299" w:type="dxa"/>
          </w:tcPr>
          <w:p>
            <w:pPr>
              <w:pStyle w:val="0"/>
            </w:pPr>
            <w:r>
              <w:rPr>
                <w:sz w:val="20"/>
              </w:rPr>
              <w:t xml:space="preserve">БУ "Игримская районная больница"</w:t>
            </w:r>
          </w:p>
        </w:tc>
        <w:tc>
          <w:tcPr>
            <w:tcW w:w="2074" w:type="dxa"/>
          </w:tcPr>
          <w:p>
            <w:pPr>
              <w:pStyle w:val="0"/>
            </w:pPr>
            <w:r>
              <w:rPr>
                <w:sz w:val="20"/>
              </w:rPr>
              <w:t xml:space="preserve">Пгт Игрим,</w:t>
            </w:r>
          </w:p>
          <w:p>
            <w:pPr>
              <w:pStyle w:val="0"/>
            </w:pPr>
            <w:r>
              <w:rPr>
                <w:sz w:val="20"/>
              </w:rPr>
              <w:t xml:space="preserve">ул. Кооперативная, д. 52</w:t>
            </w:r>
          </w:p>
        </w:tc>
        <w:tc>
          <w:tcPr>
            <w:tcW w:w="664" w:type="dxa"/>
          </w:tcPr>
          <w:p>
            <w:pPr>
              <w:pStyle w:val="0"/>
            </w:pPr>
            <w:r>
              <w:rPr>
                <w:sz w:val="20"/>
              </w:rPr>
              <w:t xml:space="preserve">105</w:t>
            </w:r>
          </w:p>
        </w:tc>
        <w:tc>
          <w:tcPr>
            <w:tcW w:w="1969" w:type="dxa"/>
          </w:tcPr>
          <w:p>
            <w:pPr>
              <w:pStyle w:val="0"/>
            </w:pPr>
            <w:r>
              <w:rPr>
                <w:sz w:val="20"/>
              </w:rPr>
              <w:t xml:space="preserve">0</w:t>
            </w:r>
          </w:p>
        </w:tc>
        <w:tc>
          <w:tcPr>
            <w:tcW w:w="2344" w:type="dxa"/>
          </w:tcPr>
          <w:p>
            <w:pPr>
              <w:pStyle w:val="0"/>
            </w:pPr>
            <w:r>
              <w:rPr>
                <w:sz w:val="20"/>
              </w:rPr>
              <w:t xml:space="preserve">23</w:t>
            </w:r>
          </w:p>
        </w:tc>
        <w:tc>
          <w:tcPr>
            <w:tcW w:w="1864" w:type="dxa"/>
          </w:tcPr>
          <w:p>
            <w:pPr>
              <w:pStyle w:val="0"/>
            </w:pPr>
            <w:r>
              <w:rPr>
                <w:sz w:val="20"/>
              </w:rPr>
              <w:t xml:space="preserve">0</w:t>
            </w:r>
          </w:p>
        </w:tc>
        <w:tc>
          <w:tcPr>
            <w:tcW w:w="1969" w:type="dxa"/>
          </w:tcPr>
          <w:p>
            <w:pPr>
              <w:pStyle w:val="0"/>
            </w:pPr>
            <w:r>
              <w:rPr>
                <w:sz w:val="20"/>
              </w:rPr>
              <w:t xml:space="preserve">3/1</w:t>
            </w:r>
          </w:p>
        </w:tc>
        <w:tc>
          <w:tcPr>
            <w:tcW w:w="1879" w:type="dxa"/>
          </w:tcPr>
          <w:p>
            <w:pPr>
              <w:pStyle w:val="0"/>
            </w:pPr>
            <w:r>
              <w:rPr>
                <w:sz w:val="20"/>
              </w:rPr>
              <w:t xml:space="preserve">6870</w:t>
            </w:r>
          </w:p>
        </w:tc>
      </w:tr>
      <w:tr>
        <w:tc>
          <w:tcPr>
            <w:gridSpan w:val="9"/>
            <w:tcW w:w="15696" w:type="dxa"/>
          </w:tcPr>
          <w:p>
            <w:pPr>
              <w:pStyle w:val="0"/>
            </w:pPr>
            <w:r>
              <w:rPr>
                <w:sz w:val="20"/>
              </w:rPr>
              <w:t xml:space="preserve">Больницы с терапевтическим стационаром вне маршрутизации ОКС</w:t>
            </w:r>
          </w:p>
        </w:tc>
      </w:tr>
      <w:tr>
        <w:tc>
          <w:tcPr>
            <w:tcW w:w="634" w:type="dxa"/>
          </w:tcPr>
          <w:p>
            <w:pPr>
              <w:pStyle w:val="0"/>
            </w:pPr>
            <w:r>
              <w:rPr>
                <w:sz w:val="20"/>
              </w:rPr>
              <w:t xml:space="preserve">1</w:t>
            </w:r>
          </w:p>
        </w:tc>
        <w:tc>
          <w:tcPr>
            <w:tcW w:w="2299" w:type="dxa"/>
          </w:tcPr>
          <w:p>
            <w:pPr>
              <w:pStyle w:val="0"/>
            </w:pPr>
            <w:r>
              <w:rPr>
                <w:sz w:val="20"/>
              </w:rPr>
              <w:t xml:space="preserve">БУ "Нижневартовская районная больница"</w:t>
            </w:r>
          </w:p>
        </w:tc>
        <w:tc>
          <w:tcPr>
            <w:tcW w:w="2074" w:type="dxa"/>
          </w:tcPr>
          <w:p>
            <w:pPr>
              <w:pStyle w:val="0"/>
            </w:pPr>
            <w:r>
              <w:rPr>
                <w:sz w:val="20"/>
              </w:rPr>
              <w:t xml:space="preserve">Пгт Излучинск,</w:t>
            </w:r>
          </w:p>
          <w:p>
            <w:pPr>
              <w:pStyle w:val="0"/>
            </w:pPr>
            <w:r>
              <w:rPr>
                <w:sz w:val="20"/>
              </w:rPr>
              <w:t xml:space="preserve">ул. Энергетиков, д. 2</w:t>
            </w:r>
          </w:p>
        </w:tc>
        <w:tc>
          <w:tcPr>
            <w:tcW w:w="664" w:type="dxa"/>
          </w:tcPr>
          <w:p>
            <w:pPr>
              <w:pStyle w:val="0"/>
            </w:pPr>
            <w:r>
              <w:rPr>
                <w:sz w:val="20"/>
              </w:rPr>
              <w:t xml:space="preserve">80</w:t>
            </w:r>
          </w:p>
        </w:tc>
        <w:tc>
          <w:tcPr>
            <w:tcW w:w="1969" w:type="dxa"/>
          </w:tcPr>
          <w:p>
            <w:pPr>
              <w:pStyle w:val="0"/>
            </w:pPr>
            <w:r>
              <w:rPr>
                <w:sz w:val="20"/>
              </w:rPr>
              <w:t xml:space="preserve">0</w:t>
            </w:r>
          </w:p>
        </w:tc>
        <w:tc>
          <w:tcPr>
            <w:tcW w:w="2344" w:type="dxa"/>
          </w:tcPr>
          <w:p>
            <w:pPr>
              <w:pStyle w:val="0"/>
            </w:pPr>
            <w:r>
              <w:rPr>
                <w:sz w:val="20"/>
              </w:rPr>
              <w:t xml:space="preserve">39</w:t>
            </w:r>
          </w:p>
        </w:tc>
        <w:tc>
          <w:tcPr>
            <w:tcW w:w="1864" w:type="dxa"/>
          </w:tcPr>
          <w:p>
            <w:pPr>
              <w:pStyle w:val="0"/>
            </w:pPr>
            <w:r>
              <w:rPr>
                <w:sz w:val="20"/>
              </w:rPr>
              <w:t xml:space="preserve">17</w:t>
            </w:r>
          </w:p>
        </w:tc>
        <w:tc>
          <w:tcPr>
            <w:tcW w:w="1969" w:type="dxa"/>
          </w:tcPr>
          <w:p>
            <w:pPr>
              <w:pStyle w:val="0"/>
            </w:pPr>
            <w:r>
              <w:rPr>
                <w:sz w:val="20"/>
              </w:rPr>
              <w:t xml:space="preserve">1/1</w:t>
            </w:r>
          </w:p>
        </w:tc>
        <w:tc>
          <w:tcPr>
            <w:tcW w:w="1879" w:type="dxa"/>
          </w:tcPr>
          <w:p>
            <w:pPr>
              <w:pStyle w:val="0"/>
            </w:pPr>
            <w:r>
              <w:rPr>
                <w:sz w:val="20"/>
              </w:rPr>
              <w:t xml:space="preserve">16934</w:t>
            </w:r>
          </w:p>
        </w:tc>
      </w:tr>
      <w:tr>
        <w:tblPrEx>
          <w:tblBorders>
            <w:insideH w:val="nil"/>
          </w:tblBorders>
        </w:tblPrEx>
        <w:tc>
          <w:tcPr>
            <w:gridSpan w:val="9"/>
            <w:tcW w:w="15696" w:type="dxa"/>
            <w:tcBorders>
              <w:bottom w:val="nil"/>
            </w:tcBorders>
          </w:tcPr>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634" w:type="dxa"/>
            <w:tcBorders>
              <w:top w:val="nil"/>
            </w:tcBorders>
          </w:tcPr>
          <w:p>
            <w:pPr>
              <w:pStyle w:val="0"/>
            </w:pPr>
            <w:r>
              <w:rPr>
                <w:sz w:val="20"/>
              </w:rPr>
              <w:t xml:space="preserve">3</w:t>
            </w:r>
          </w:p>
        </w:tc>
        <w:tc>
          <w:tcPr>
            <w:tcW w:w="2299" w:type="dxa"/>
            <w:tcBorders>
              <w:top w:val="nil"/>
            </w:tcBorders>
          </w:tcPr>
          <w:p>
            <w:pPr>
              <w:pStyle w:val="0"/>
            </w:pPr>
            <w:r>
              <w:rPr>
                <w:sz w:val="20"/>
              </w:rPr>
              <w:t xml:space="preserve">БУ "Нефтеюганская районная больница"</w:t>
            </w:r>
          </w:p>
        </w:tc>
        <w:tc>
          <w:tcPr>
            <w:tcW w:w="2074" w:type="dxa"/>
            <w:tcBorders>
              <w:top w:val="nil"/>
            </w:tcBorders>
          </w:tcPr>
          <w:p>
            <w:pPr>
              <w:pStyle w:val="0"/>
            </w:pPr>
            <w:r>
              <w:rPr>
                <w:sz w:val="20"/>
              </w:rPr>
              <w:t xml:space="preserve">Пгт Пойковский, ул. 6, д. 1</w:t>
            </w:r>
          </w:p>
        </w:tc>
        <w:tc>
          <w:tcPr>
            <w:tcW w:w="664" w:type="dxa"/>
            <w:tcBorders>
              <w:top w:val="nil"/>
            </w:tcBorders>
          </w:tcPr>
          <w:p>
            <w:pPr>
              <w:pStyle w:val="0"/>
            </w:pPr>
            <w:r>
              <w:rPr>
                <w:sz w:val="20"/>
              </w:rPr>
              <w:t xml:space="preserve">121</w:t>
            </w:r>
          </w:p>
        </w:tc>
        <w:tc>
          <w:tcPr>
            <w:tcW w:w="1969" w:type="dxa"/>
            <w:tcBorders>
              <w:top w:val="nil"/>
            </w:tcBorders>
          </w:tcPr>
          <w:p>
            <w:pPr>
              <w:pStyle w:val="0"/>
            </w:pPr>
            <w:r>
              <w:rPr>
                <w:sz w:val="20"/>
              </w:rPr>
              <w:t xml:space="preserve">0</w:t>
            </w:r>
          </w:p>
        </w:tc>
        <w:tc>
          <w:tcPr>
            <w:tcW w:w="2344" w:type="dxa"/>
            <w:tcBorders>
              <w:top w:val="nil"/>
            </w:tcBorders>
          </w:tcPr>
          <w:p>
            <w:pPr>
              <w:pStyle w:val="0"/>
            </w:pPr>
            <w:r>
              <w:rPr>
                <w:sz w:val="20"/>
              </w:rPr>
              <w:t xml:space="preserve">41</w:t>
            </w:r>
          </w:p>
        </w:tc>
        <w:tc>
          <w:tcPr>
            <w:tcW w:w="1864" w:type="dxa"/>
            <w:tcBorders>
              <w:top w:val="nil"/>
            </w:tcBorders>
          </w:tcPr>
          <w:p>
            <w:pPr>
              <w:pStyle w:val="0"/>
            </w:pPr>
            <w:r>
              <w:rPr>
                <w:sz w:val="20"/>
              </w:rPr>
              <w:t xml:space="preserve">24</w:t>
            </w:r>
          </w:p>
        </w:tc>
        <w:tc>
          <w:tcPr>
            <w:tcW w:w="1969" w:type="dxa"/>
            <w:tcBorders>
              <w:top w:val="nil"/>
            </w:tcBorders>
          </w:tcPr>
          <w:p>
            <w:pPr>
              <w:pStyle w:val="0"/>
            </w:pPr>
            <w:r>
              <w:rPr>
                <w:sz w:val="20"/>
              </w:rPr>
              <w:t xml:space="preserve">6/0</w:t>
            </w:r>
          </w:p>
        </w:tc>
        <w:tc>
          <w:tcPr>
            <w:tcW w:w="1879" w:type="dxa"/>
            <w:tcBorders>
              <w:top w:val="nil"/>
            </w:tcBorders>
          </w:tcPr>
          <w:p>
            <w:pPr>
              <w:pStyle w:val="0"/>
            </w:pPr>
            <w:r>
              <w:rPr>
                <w:sz w:val="20"/>
              </w:rPr>
              <w:t xml:space="preserve">21980</w:t>
            </w:r>
          </w:p>
        </w:tc>
      </w:tr>
      <w:tr>
        <w:tc>
          <w:tcPr>
            <w:tcW w:w="634" w:type="dxa"/>
          </w:tcPr>
          <w:p>
            <w:pPr>
              <w:pStyle w:val="0"/>
            </w:pPr>
            <w:r>
              <w:rPr>
                <w:sz w:val="20"/>
              </w:rPr>
              <w:t xml:space="preserve">4</w:t>
            </w:r>
          </w:p>
        </w:tc>
        <w:tc>
          <w:tcPr>
            <w:tcW w:w="2299" w:type="dxa"/>
          </w:tcPr>
          <w:p>
            <w:pPr>
              <w:pStyle w:val="0"/>
            </w:pPr>
            <w:r>
              <w:rPr>
                <w:sz w:val="20"/>
              </w:rPr>
              <w:t xml:space="preserve">БУ "Федоровская городская больница"</w:t>
            </w:r>
          </w:p>
        </w:tc>
        <w:tc>
          <w:tcPr>
            <w:tcW w:w="2074" w:type="dxa"/>
          </w:tcPr>
          <w:p>
            <w:pPr>
              <w:pStyle w:val="0"/>
            </w:pPr>
            <w:r>
              <w:rPr>
                <w:sz w:val="20"/>
              </w:rPr>
              <w:t xml:space="preserve">Пгт Федоровский,</w:t>
            </w:r>
          </w:p>
          <w:p>
            <w:pPr>
              <w:pStyle w:val="0"/>
            </w:pPr>
            <w:r>
              <w:rPr>
                <w:sz w:val="20"/>
              </w:rPr>
              <w:t xml:space="preserve">ул. Федорова, д. 2</w:t>
            </w:r>
          </w:p>
        </w:tc>
        <w:tc>
          <w:tcPr>
            <w:tcW w:w="664" w:type="dxa"/>
          </w:tcPr>
          <w:p>
            <w:pPr>
              <w:pStyle w:val="0"/>
            </w:pPr>
            <w:r>
              <w:rPr>
                <w:sz w:val="20"/>
              </w:rPr>
              <w:t xml:space="preserve">58</w:t>
            </w:r>
          </w:p>
        </w:tc>
        <w:tc>
          <w:tcPr>
            <w:tcW w:w="1969" w:type="dxa"/>
          </w:tcPr>
          <w:p>
            <w:pPr>
              <w:pStyle w:val="0"/>
            </w:pPr>
            <w:r>
              <w:rPr>
                <w:sz w:val="20"/>
              </w:rPr>
              <w:t xml:space="preserve">0</w:t>
            </w:r>
          </w:p>
        </w:tc>
        <w:tc>
          <w:tcPr>
            <w:tcW w:w="2344" w:type="dxa"/>
          </w:tcPr>
          <w:p>
            <w:pPr>
              <w:pStyle w:val="0"/>
            </w:pPr>
            <w:r>
              <w:rPr>
                <w:sz w:val="20"/>
              </w:rPr>
              <w:t xml:space="preserve">27</w:t>
            </w:r>
          </w:p>
        </w:tc>
        <w:tc>
          <w:tcPr>
            <w:tcW w:w="1864" w:type="dxa"/>
          </w:tcPr>
          <w:p>
            <w:pPr>
              <w:pStyle w:val="0"/>
            </w:pPr>
            <w:r>
              <w:rPr>
                <w:sz w:val="20"/>
              </w:rPr>
              <w:t xml:space="preserve">0</w:t>
            </w:r>
          </w:p>
        </w:tc>
        <w:tc>
          <w:tcPr>
            <w:tcW w:w="1969" w:type="dxa"/>
          </w:tcPr>
          <w:p>
            <w:pPr>
              <w:pStyle w:val="0"/>
            </w:pPr>
            <w:r>
              <w:rPr>
                <w:sz w:val="20"/>
              </w:rPr>
              <w:t xml:space="preserve">3/3</w:t>
            </w:r>
          </w:p>
        </w:tc>
        <w:tc>
          <w:tcPr>
            <w:tcW w:w="1879" w:type="dxa"/>
          </w:tcPr>
          <w:p>
            <w:pPr>
              <w:pStyle w:val="0"/>
            </w:pPr>
            <w:r>
              <w:rPr>
                <w:sz w:val="20"/>
              </w:rPr>
              <w:t xml:space="preserve">18373</w:t>
            </w:r>
          </w:p>
        </w:tc>
      </w:tr>
      <w:tr>
        <w:tc>
          <w:tcPr>
            <w:tcW w:w="634" w:type="dxa"/>
          </w:tcPr>
          <w:p>
            <w:pPr>
              <w:pStyle w:val="0"/>
            </w:pPr>
            <w:r>
              <w:rPr>
                <w:sz w:val="20"/>
              </w:rPr>
              <w:t xml:space="preserve">5</w:t>
            </w:r>
          </w:p>
        </w:tc>
        <w:tc>
          <w:tcPr>
            <w:tcW w:w="2299" w:type="dxa"/>
          </w:tcPr>
          <w:p>
            <w:pPr>
              <w:pStyle w:val="0"/>
            </w:pPr>
            <w:r>
              <w:rPr>
                <w:sz w:val="20"/>
              </w:rPr>
              <w:t xml:space="preserve">БУ "Нижнесортымская участковая больница"</w:t>
            </w:r>
          </w:p>
        </w:tc>
        <w:tc>
          <w:tcPr>
            <w:tcW w:w="2074" w:type="dxa"/>
          </w:tcPr>
          <w:p>
            <w:pPr>
              <w:pStyle w:val="0"/>
            </w:pPr>
            <w:r>
              <w:rPr>
                <w:sz w:val="20"/>
              </w:rPr>
              <w:t xml:space="preserve">Сп. Нижнесортымский</w:t>
            </w:r>
          </w:p>
          <w:p>
            <w:pPr>
              <w:pStyle w:val="0"/>
            </w:pPr>
            <w:r>
              <w:rPr>
                <w:sz w:val="20"/>
              </w:rPr>
              <w:t xml:space="preserve">ул. Кедровая, д. 6</w:t>
            </w:r>
          </w:p>
        </w:tc>
        <w:tc>
          <w:tcPr>
            <w:tcW w:w="664" w:type="dxa"/>
          </w:tcPr>
          <w:p>
            <w:pPr>
              <w:pStyle w:val="0"/>
            </w:pPr>
            <w:r>
              <w:rPr>
                <w:sz w:val="20"/>
              </w:rPr>
              <w:t xml:space="preserve">55</w:t>
            </w:r>
          </w:p>
        </w:tc>
        <w:tc>
          <w:tcPr>
            <w:tcW w:w="1969" w:type="dxa"/>
          </w:tcPr>
          <w:p>
            <w:pPr>
              <w:pStyle w:val="0"/>
            </w:pPr>
            <w:r>
              <w:rPr>
                <w:sz w:val="20"/>
              </w:rPr>
              <w:t xml:space="preserve">0</w:t>
            </w:r>
          </w:p>
        </w:tc>
        <w:tc>
          <w:tcPr>
            <w:tcW w:w="2344" w:type="dxa"/>
          </w:tcPr>
          <w:p>
            <w:pPr>
              <w:pStyle w:val="0"/>
            </w:pPr>
            <w:r>
              <w:rPr>
                <w:sz w:val="20"/>
              </w:rPr>
              <w:t xml:space="preserve">15</w:t>
            </w:r>
          </w:p>
        </w:tc>
        <w:tc>
          <w:tcPr>
            <w:tcW w:w="1864" w:type="dxa"/>
          </w:tcPr>
          <w:p>
            <w:pPr>
              <w:pStyle w:val="0"/>
            </w:pPr>
            <w:r>
              <w:rPr>
                <w:sz w:val="20"/>
              </w:rPr>
              <w:t xml:space="preserve">0</w:t>
            </w:r>
          </w:p>
        </w:tc>
        <w:tc>
          <w:tcPr>
            <w:tcW w:w="1969" w:type="dxa"/>
          </w:tcPr>
          <w:p>
            <w:pPr>
              <w:pStyle w:val="0"/>
            </w:pPr>
            <w:r>
              <w:rPr>
                <w:sz w:val="20"/>
              </w:rPr>
              <w:t xml:space="preserve">0</w:t>
            </w:r>
          </w:p>
        </w:tc>
        <w:tc>
          <w:tcPr>
            <w:tcW w:w="1879" w:type="dxa"/>
          </w:tcPr>
          <w:p>
            <w:pPr>
              <w:pStyle w:val="0"/>
            </w:pPr>
            <w:r>
              <w:rPr>
                <w:sz w:val="20"/>
              </w:rPr>
              <w:t xml:space="preserve">9272</w:t>
            </w:r>
          </w:p>
        </w:tc>
      </w:tr>
      <w:tr>
        <w:tc>
          <w:tcPr>
            <w:tcW w:w="634" w:type="dxa"/>
          </w:tcPr>
          <w:p>
            <w:pPr>
              <w:pStyle w:val="0"/>
            </w:pPr>
            <w:r>
              <w:rPr>
                <w:sz w:val="20"/>
              </w:rPr>
              <w:t xml:space="preserve">6</w:t>
            </w:r>
          </w:p>
        </w:tc>
        <w:tc>
          <w:tcPr>
            <w:tcW w:w="2299" w:type="dxa"/>
          </w:tcPr>
          <w:p>
            <w:pPr>
              <w:pStyle w:val="0"/>
            </w:pPr>
            <w:r>
              <w:rPr>
                <w:sz w:val="20"/>
              </w:rPr>
              <w:t xml:space="preserve">БУ "Новоаганская районная больница"</w:t>
            </w:r>
          </w:p>
        </w:tc>
        <w:tc>
          <w:tcPr>
            <w:tcW w:w="2074" w:type="dxa"/>
          </w:tcPr>
          <w:p>
            <w:pPr>
              <w:pStyle w:val="0"/>
            </w:pPr>
            <w:r>
              <w:rPr>
                <w:sz w:val="20"/>
              </w:rPr>
              <w:t xml:space="preserve">Гп. Новоаганск, ул. Техснаб, д. 103</w:t>
            </w:r>
          </w:p>
        </w:tc>
        <w:tc>
          <w:tcPr>
            <w:tcW w:w="664" w:type="dxa"/>
          </w:tcPr>
          <w:p>
            <w:pPr>
              <w:pStyle w:val="0"/>
            </w:pPr>
            <w:r>
              <w:rPr>
                <w:sz w:val="20"/>
              </w:rPr>
              <w:t xml:space="preserve">77</w:t>
            </w:r>
          </w:p>
        </w:tc>
        <w:tc>
          <w:tcPr>
            <w:tcW w:w="1969" w:type="dxa"/>
          </w:tcPr>
          <w:p>
            <w:pPr>
              <w:pStyle w:val="0"/>
            </w:pPr>
            <w:r>
              <w:rPr>
                <w:sz w:val="20"/>
              </w:rPr>
              <w:t xml:space="preserve">0</w:t>
            </w:r>
          </w:p>
        </w:tc>
        <w:tc>
          <w:tcPr>
            <w:tcW w:w="2344" w:type="dxa"/>
          </w:tcPr>
          <w:p>
            <w:pPr>
              <w:pStyle w:val="0"/>
            </w:pPr>
            <w:r>
              <w:rPr>
                <w:sz w:val="20"/>
              </w:rPr>
              <w:t xml:space="preserve">22</w:t>
            </w:r>
          </w:p>
        </w:tc>
        <w:tc>
          <w:tcPr>
            <w:tcW w:w="1864" w:type="dxa"/>
          </w:tcPr>
          <w:p>
            <w:pPr>
              <w:pStyle w:val="0"/>
            </w:pPr>
            <w:r>
              <w:rPr>
                <w:sz w:val="20"/>
              </w:rPr>
              <w:t xml:space="preserve">9</w:t>
            </w:r>
          </w:p>
        </w:tc>
        <w:tc>
          <w:tcPr>
            <w:tcW w:w="1969" w:type="dxa"/>
          </w:tcPr>
          <w:p>
            <w:pPr>
              <w:pStyle w:val="0"/>
            </w:pPr>
            <w:r>
              <w:rPr>
                <w:sz w:val="20"/>
              </w:rPr>
              <w:t xml:space="preserve">1/1</w:t>
            </w:r>
          </w:p>
        </w:tc>
        <w:tc>
          <w:tcPr>
            <w:tcW w:w="1879" w:type="dxa"/>
          </w:tcPr>
          <w:p>
            <w:pPr>
              <w:pStyle w:val="0"/>
            </w:pPr>
            <w:r>
              <w:rPr>
                <w:sz w:val="20"/>
              </w:rPr>
              <w:t xml:space="preserve">8038</w:t>
            </w:r>
          </w:p>
        </w:tc>
      </w:tr>
      <w:tr>
        <w:tc>
          <w:tcPr>
            <w:tcW w:w="634" w:type="dxa"/>
          </w:tcPr>
          <w:p>
            <w:pPr>
              <w:pStyle w:val="0"/>
            </w:pPr>
            <w:r>
              <w:rPr>
                <w:sz w:val="20"/>
              </w:rPr>
              <w:t xml:space="preserve">7</w:t>
            </w:r>
          </w:p>
        </w:tc>
        <w:tc>
          <w:tcPr>
            <w:tcW w:w="2299" w:type="dxa"/>
          </w:tcPr>
          <w:p>
            <w:pPr>
              <w:pStyle w:val="0"/>
            </w:pPr>
            <w:r>
              <w:rPr>
                <w:sz w:val="20"/>
              </w:rPr>
              <w:t xml:space="preserve">БУ "Сургутская окружная клиническая больница"</w:t>
            </w:r>
          </w:p>
        </w:tc>
        <w:tc>
          <w:tcPr>
            <w:tcW w:w="2074" w:type="dxa"/>
          </w:tcPr>
          <w:p>
            <w:pPr>
              <w:pStyle w:val="0"/>
            </w:pPr>
            <w:r>
              <w:rPr>
                <w:sz w:val="20"/>
              </w:rPr>
              <w:t xml:space="preserve">Город Сургут,</w:t>
            </w:r>
          </w:p>
          <w:p>
            <w:pPr>
              <w:pStyle w:val="0"/>
            </w:pPr>
            <w:r>
              <w:rPr>
                <w:sz w:val="20"/>
              </w:rPr>
              <w:t xml:space="preserve">ул. Энергетиков, д. 14</w:t>
            </w:r>
          </w:p>
        </w:tc>
        <w:tc>
          <w:tcPr>
            <w:tcW w:w="664" w:type="dxa"/>
          </w:tcPr>
          <w:p>
            <w:pPr>
              <w:pStyle w:val="0"/>
            </w:pPr>
            <w:r>
              <w:rPr>
                <w:sz w:val="20"/>
              </w:rPr>
              <w:t xml:space="preserve">964</w:t>
            </w:r>
          </w:p>
        </w:tc>
        <w:tc>
          <w:tcPr>
            <w:tcW w:w="1969" w:type="dxa"/>
          </w:tcPr>
          <w:p>
            <w:pPr>
              <w:pStyle w:val="0"/>
            </w:pPr>
            <w:r>
              <w:rPr>
                <w:sz w:val="20"/>
              </w:rPr>
              <w:t xml:space="preserve">0</w:t>
            </w:r>
          </w:p>
        </w:tc>
        <w:tc>
          <w:tcPr>
            <w:tcW w:w="2344" w:type="dxa"/>
          </w:tcPr>
          <w:p>
            <w:pPr>
              <w:pStyle w:val="0"/>
            </w:pPr>
            <w:r>
              <w:rPr>
                <w:sz w:val="20"/>
              </w:rPr>
              <w:t xml:space="preserve">0</w:t>
            </w:r>
          </w:p>
        </w:tc>
        <w:tc>
          <w:tcPr>
            <w:tcW w:w="1864" w:type="dxa"/>
          </w:tcPr>
          <w:p>
            <w:pPr>
              <w:pStyle w:val="0"/>
            </w:pPr>
            <w:r>
              <w:rPr>
                <w:sz w:val="20"/>
              </w:rPr>
              <w:t xml:space="preserve">95</w:t>
            </w:r>
          </w:p>
        </w:tc>
        <w:tc>
          <w:tcPr>
            <w:tcW w:w="1969" w:type="dxa"/>
          </w:tcPr>
          <w:p>
            <w:pPr>
              <w:pStyle w:val="0"/>
            </w:pPr>
            <w:r>
              <w:rPr>
                <w:sz w:val="20"/>
              </w:rPr>
              <w:t xml:space="preserve">27/0</w:t>
            </w:r>
          </w:p>
        </w:tc>
        <w:tc>
          <w:tcPr>
            <w:tcW w:w="1879" w:type="dxa"/>
          </w:tcPr>
          <w:p>
            <w:pPr>
              <w:pStyle w:val="0"/>
            </w:pPr>
            <w:r>
              <w:rPr>
                <w:sz w:val="20"/>
              </w:rPr>
              <w:t xml:space="preserve">0</w:t>
            </w:r>
          </w:p>
        </w:tc>
      </w:tr>
      <w:tr>
        <w:tc>
          <w:tcPr>
            <w:tcW w:w="634" w:type="dxa"/>
          </w:tcPr>
          <w:p>
            <w:pPr>
              <w:pStyle w:val="0"/>
            </w:pPr>
            <w:r>
              <w:rPr>
                <w:sz w:val="20"/>
              </w:rPr>
              <w:t xml:space="preserve">8</w:t>
            </w:r>
          </w:p>
        </w:tc>
        <w:tc>
          <w:tcPr>
            <w:tcW w:w="2299" w:type="dxa"/>
          </w:tcPr>
          <w:p>
            <w:pPr>
              <w:pStyle w:val="0"/>
            </w:pPr>
            <w:r>
              <w:rPr>
                <w:sz w:val="20"/>
              </w:rPr>
              <w:t xml:space="preserve">БУ "Покачевская городская больница"</w:t>
            </w:r>
          </w:p>
        </w:tc>
        <w:tc>
          <w:tcPr>
            <w:tcW w:w="2074" w:type="dxa"/>
          </w:tcPr>
          <w:p>
            <w:pPr>
              <w:pStyle w:val="0"/>
            </w:pPr>
            <w:r>
              <w:rPr>
                <w:sz w:val="20"/>
              </w:rPr>
              <w:t xml:space="preserve">Город Покачи,</w:t>
            </w:r>
          </w:p>
          <w:p>
            <w:pPr>
              <w:pStyle w:val="0"/>
            </w:pPr>
            <w:r>
              <w:rPr>
                <w:sz w:val="20"/>
              </w:rPr>
              <w:t xml:space="preserve">ул. Мира, д. 18</w:t>
            </w:r>
          </w:p>
        </w:tc>
        <w:tc>
          <w:tcPr>
            <w:tcW w:w="664" w:type="dxa"/>
          </w:tcPr>
          <w:p>
            <w:pPr>
              <w:pStyle w:val="0"/>
            </w:pPr>
            <w:r>
              <w:rPr>
                <w:sz w:val="20"/>
              </w:rPr>
              <w:t xml:space="preserve">101</w:t>
            </w:r>
          </w:p>
        </w:tc>
        <w:tc>
          <w:tcPr>
            <w:tcW w:w="1969" w:type="dxa"/>
          </w:tcPr>
          <w:p>
            <w:pPr>
              <w:pStyle w:val="0"/>
            </w:pPr>
            <w:r>
              <w:rPr>
                <w:sz w:val="20"/>
              </w:rPr>
              <w:t xml:space="preserve">0</w:t>
            </w:r>
          </w:p>
        </w:tc>
        <w:tc>
          <w:tcPr>
            <w:tcW w:w="2344" w:type="dxa"/>
          </w:tcPr>
          <w:p>
            <w:pPr>
              <w:pStyle w:val="0"/>
            </w:pPr>
            <w:r>
              <w:rPr>
                <w:sz w:val="20"/>
              </w:rPr>
              <w:t xml:space="preserve">35</w:t>
            </w:r>
          </w:p>
        </w:tc>
        <w:tc>
          <w:tcPr>
            <w:tcW w:w="1864" w:type="dxa"/>
          </w:tcPr>
          <w:p>
            <w:pPr>
              <w:pStyle w:val="0"/>
            </w:pPr>
            <w:r>
              <w:rPr>
                <w:sz w:val="20"/>
              </w:rPr>
              <w:t xml:space="preserve">0</w:t>
            </w:r>
          </w:p>
        </w:tc>
        <w:tc>
          <w:tcPr>
            <w:tcW w:w="1969" w:type="dxa"/>
          </w:tcPr>
          <w:p>
            <w:pPr>
              <w:pStyle w:val="0"/>
            </w:pPr>
            <w:r>
              <w:rPr>
                <w:sz w:val="20"/>
              </w:rPr>
              <w:t xml:space="preserve">3/0</w:t>
            </w:r>
          </w:p>
        </w:tc>
        <w:tc>
          <w:tcPr>
            <w:tcW w:w="1879" w:type="dxa"/>
          </w:tcPr>
          <w:p>
            <w:pPr>
              <w:pStyle w:val="0"/>
            </w:pPr>
            <w:r>
              <w:rPr>
                <w:sz w:val="20"/>
              </w:rPr>
              <w:t xml:space="preserve">14055</w:t>
            </w:r>
          </w:p>
        </w:tc>
      </w:tr>
      <w:tr>
        <w:tc>
          <w:tcPr>
            <w:tcW w:w="634" w:type="dxa"/>
          </w:tcPr>
          <w:p>
            <w:pPr>
              <w:pStyle w:val="0"/>
            </w:pPr>
            <w:r>
              <w:rPr>
                <w:sz w:val="20"/>
              </w:rPr>
              <w:t xml:space="preserve">9</w:t>
            </w:r>
          </w:p>
        </w:tc>
        <w:tc>
          <w:tcPr>
            <w:tcW w:w="2299" w:type="dxa"/>
          </w:tcPr>
          <w:p>
            <w:pPr>
              <w:pStyle w:val="0"/>
            </w:pPr>
            <w:r>
              <w:rPr>
                <w:sz w:val="20"/>
              </w:rPr>
              <w:t xml:space="preserve">БУ "Ханты-Мансийская районная больница"</w:t>
            </w:r>
          </w:p>
        </w:tc>
        <w:tc>
          <w:tcPr>
            <w:tcW w:w="2074" w:type="dxa"/>
          </w:tcPr>
          <w:p>
            <w:pPr>
              <w:pStyle w:val="0"/>
            </w:pPr>
            <w:r>
              <w:rPr>
                <w:sz w:val="20"/>
              </w:rPr>
              <w:t xml:space="preserve">город Ханты-Мансийск, ул. Барабинская, д. 13</w:t>
            </w:r>
          </w:p>
        </w:tc>
        <w:tc>
          <w:tcPr>
            <w:tcW w:w="664" w:type="dxa"/>
          </w:tcPr>
          <w:p>
            <w:pPr>
              <w:pStyle w:val="0"/>
            </w:pPr>
            <w:r>
              <w:rPr>
                <w:sz w:val="20"/>
              </w:rPr>
              <w:t xml:space="preserve">0</w:t>
            </w:r>
          </w:p>
        </w:tc>
        <w:tc>
          <w:tcPr>
            <w:tcW w:w="1969" w:type="dxa"/>
          </w:tcPr>
          <w:p>
            <w:pPr>
              <w:pStyle w:val="0"/>
            </w:pPr>
            <w:r>
              <w:rPr>
                <w:sz w:val="20"/>
              </w:rPr>
              <w:t xml:space="preserve">0</w:t>
            </w:r>
          </w:p>
        </w:tc>
        <w:tc>
          <w:tcPr>
            <w:tcW w:w="2344" w:type="dxa"/>
          </w:tcPr>
          <w:p>
            <w:pPr>
              <w:pStyle w:val="0"/>
            </w:pPr>
            <w:r>
              <w:rPr>
                <w:sz w:val="20"/>
              </w:rPr>
              <w:t xml:space="preserve">0</w:t>
            </w:r>
          </w:p>
        </w:tc>
        <w:tc>
          <w:tcPr>
            <w:tcW w:w="1864" w:type="dxa"/>
          </w:tcPr>
          <w:p>
            <w:pPr>
              <w:pStyle w:val="0"/>
            </w:pPr>
            <w:r>
              <w:rPr>
                <w:sz w:val="20"/>
              </w:rPr>
              <w:t xml:space="preserve">0</w:t>
            </w:r>
          </w:p>
        </w:tc>
        <w:tc>
          <w:tcPr>
            <w:tcW w:w="1969" w:type="dxa"/>
          </w:tcPr>
          <w:p>
            <w:pPr>
              <w:pStyle w:val="0"/>
            </w:pPr>
            <w:r>
              <w:rPr>
                <w:sz w:val="20"/>
              </w:rPr>
              <w:t xml:space="preserve">0</w:t>
            </w:r>
          </w:p>
        </w:tc>
        <w:tc>
          <w:tcPr>
            <w:tcW w:w="1879" w:type="dxa"/>
          </w:tcPr>
          <w:p>
            <w:pPr>
              <w:pStyle w:val="0"/>
            </w:pPr>
            <w:r>
              <w:rPr>
                <w:sz w:val="20"/>
              </w:rPr>
              <w:t xml:space="preserve">6350</w:t>
            </w:r>
          </w:p>
        </w:tc>
      </w:tr>
      <w:tr>
        <w:tc>
          <w:tcPr>
            <w:gridSpan w:val="9"/>
            <w:tcW w:w="15696" w:type="dxa"/>
          </w:tcPr>
          <w:p>
            <w:pPr>
              <w:pStyle w:val="0"/>
            </w:pPr>
            <w:r>
              <w:rPr>
                <w:sz w:val="20"/>
              </w:rPr>
              <w:t xml:space="preserve">Санатории и другие реабилитационные учреждения кардиологического профиля</w:t>
            </w:r>
          </w:p>
        </w:tc>
      </w:tr>
      <w:tr>
        <w:tc>
          <w:tcPr>
            <w:tcW w:w="634" w:type="dxa"/>
          </w:tcPr>
          <w:p>
            <w:pPr>
              <w:pStyle w:val="0"/>
            </w:pPr>
            <w:r>
              <w:rPr>
                <w:sz w:val="20"/>
              </w:rPr>
              <w:t xml:space="preserve">1</w:t>
            </w:r>
          </w:p>
        </w:tc>
        <w:tc>
          <w:tcPr>
            <w:tcW w:w="2299" w:type="dxa"/>
          </w:tcPr>
          <w:p>
            <w:pPr>
              <w:pStyle w:val="0"/>
            </w:pPr>
            <w:r>
              <w:rPr>
                <w:sz w:val="20"/>
              </w:rPr>
              <w:t xml:space="preserve">БУ "Окружной клинический реабилитационный центр"</w:t>
            </w:r>
          </w:p>
        </w:tc>
        <w:tc>
          <w:tcPr>
            <w:tcW w:w="2074" w:type="dxa"/>
          </w:tcPr>
          <w:p>
            <w:pPr>
              <w:pStyle w:val="0"/>
            </w:pPr>
            <w:r>
              <w:rPr>
                <w:sz w:val="20"/>
              </w:rPr>
              <w:t xml:space="preserve">город Ханты-Мансийск, ул. Калинина, д. 3А</w:t>
            </w:r>
          </w:p>
        </w:tc>
        <w:tc>
          <w:tcPr>
            <w:tcW w:w="664" w:type="dxa"/>
          </w:tcPr>
          <w:p>
            <w:pPr>
              <w:pStyle w:val="0"/>
            </w:pPr>
            <w:r>
              <w:rPr>
                <w:sz w:val="20"/>
              </w:rPr>
              <w:t xml:space="preserve">66</w:t>
            </w:r>
          </w:p>
        </w:tc>
        <w:tc>
          <w:tcPr>
            <w:tcW w:w="1969" w:type="dxa"/>
          </w:tcPr>
          <w:p>
            <w:pPr>
              <w:pStyle w:val="0"/>
            </w:pPr>
            <w:r>
              <w:rPr>
                <w:sz w:val="20"/>
              </w:rPr>
              <w:t xml:space="preserve">0</w:t>
            </w:r>
          </w:p>
        </w:tc>
        <w:tc>
          <w:tcPr>
            <w:tcW w:w="2344" w:type="dxa"/>
          </w:tcPr>
          <w:p>
            <w:pPr>
              <w:pStyle w:val="0"/>
            </w:pPr>
            <w:r>
              <w:rPr>
                <w:sz w:val="20"/>
              </w:rPr>
              <w:t xml:space="preserve">0</w:t>
            </w:r>
          </w:p>
        </w:tc>
        <w:tc>
          <w:tcPr>
            <w:tcW w:w="1864" w:type="dxa"/>
          </w:tcPr>
          <w:p>
            <w:pPr>
              <w:pStyle w:val="0"/>
            </w:pPr>
            <w:r>
              <w:rPr>
                <w:sz w:val="20"/>
              </w:rPr>
              <w:t xml:space="preserve">0</w:t>
            </w:r>
          </w:p>
        </w:tc>
        <w:tc>
          <w:tcPr>
            <w:tcW w:w="1969" w:type="dxa"/>
          </w:tcPr>
          <w:p>
            <w:pPr>
              <w:pStyle w:val="0"/>
            </w:pPr>
            <w:r>
              <w:rPr>
                <w:sz w:val="20"/>
              </w:rPr>
              <w:t xml:space="preserve">0</w:t>
            </w:r>
          </w:p>
        </w:tc>
        <w:tc>
          <w:tcPr>
            <w:tcW w:w="1879" w:type="dxa"/>
          </w:tcPr>
          <w:p>
            <w:pPr>
              <w:pStyle w:val="0"/>
            </w:pPr>
            <w:r>
              <w:rPr>
                <w:sz w:val="20"/>
              </w:rPr>
              <w:t xml:space="preserve">0</w:t>
            </w:r>
          </w:p>
        </w:tc>
      </w:tr>
      <w:tr>
        <w:tc>
          <w:tcPr>
            <w:tcW w:w="634" w:type="dxa"/>
          </w:tcPr>
          <w:p>
            <w:pPr>
              <w:pStyle w:val="0"/>
            </w:pPr>
            <w:r>
              <w:rPr>
                <w:sz w:val="20"/>
              </w:rPr>
              <w:t xml:space="preserve">2</w:t>
            </w:r>
          </w:p>
        </w:tc>
        <w:tc>
          <w:tcPr>
            <w:tcW w:w="2299" w:type="dxa"/>
          </w:tcPr>
          <w:p>
            <w:pPr>
              <w:pStyle w:val="0"/>
            </w:pPr>
            <w:r>
              <w:rPr>
                <w:sz w:val="20"/>
              </w:rPr>
              <w:t xml:space="preserve">БУ "Урайская окружная больница медицинской реабилитации"</w:t>
            </w:r>
          </w:p>
        </w:tc>
        <w:tc>
          <w:tcPr>
            <w:tcW w:w="2074" w:type="dxa"/>
          </w:tcPr>
          <w:p>
            <w:pPr>
              <w:pStyle w:val="0"/>
            </w:pPr>
            <w:r>
              <w:rPr>
                <w:sz w:val="20"/>
              </w:rPr>
              <w:t xml:space="preserve">город Урай, Промбаза, проезд 10</w:t>
            </w:r>
          </w:p>
        </w:tc>
        <w:tc>
          <w:tcPr>
            <w:tcW w:w="664" w:type="dxa"/>
          </w:tcPr>
          <w:p>
            <w:pPr>
              <w:pStyle w:val="0"/>
            </w:pPr>
            <w:r>
              <w:rPr>
                <w:sz w:val="20"/>
              </w:rPr>
              <w:t xml:space="preserve">77</w:t>
            </w:r>
          </w:p>
        </w:tc>
        <w:tc>
          <w:tcPr>
            <w:tcW w:w="1969" w:type="dxa"/>
          </w:tcPr>
          <w:p>
            <w:pPr>
              <w:pStyle w:val="0"/>
            </w:pPr>
            <w:r>
              <w:rPr>
                <w:sz w:val="20"/>
              </w:rPr>
              <w:t xml:space="preserve">0</w:t>
            </w:r>
          </w:p>
        </w:tc>
        <w:tc>
          <w:tcPr>
            <w:tcW w:w="2344" w:type="dxa"/>
          </w:tcPr>
          <w:p>
            <w:pPr>
              <w:pStyle w:val="0"/>
            </w:pPr>
            <w:r>
              <w:rPr>
                <w:sz w:val="20"/>
              </w:rPr>
              <w:t xml:space="preserve">0</w:t>
            </w:r>
          </w:p>
        </w:tc>
        <w:tc>
          <w:tcPr>
            <w:tcW w:w="1864" w:type="dxa"/>
          </w:tcPr>
          <w:p>
            <w:pPr>
              <w:pStyle w:val="0"/>
            </w:pPr>
            <w:r>
              <w:rPr>
                <w:sz w:val="20"/>
              </w:rPr>
              <w:t xml:space="preserve">0</w:t>
            </w:r>
          </w:p>
        </w:tc>
        <w:tc>
          <w:tcPr>
            <w:tcW w:w="1969" w:type="dxa"/>
          </w:tcPr>
          <w:p>
            <w:pPr>
              <w:pStyle w:val="0"/>
            </w:pPr>
            <w:r>
              <w:rPr>
                <w:sz w:val="20"/>
              </w:rPr>
              <w:t xml:space="preserve">0</w:t>
            </w:r>
          </w:p>
        </w:tc>
        <w:tc>
          <w:tcPr>
            <w:tcW w:w="1879" w:type="dxa"/>
          </w:tcPr>
          <w:p>
            <w:pPr>
              <w:pStyle w:val="0"/>
            </w:pPr>
            <w:r>
              <w:rPr>
                <w:sz w:val="20"/>
              </w:rPr>
              <w:t xml:space="preserve">0</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jc w:val="center"/>
      </w:pPr>
      <w:r>
        <w:rPr>
          <w:sz w:val="20"/>
        </w:rPr>
      </w:r>
    </w:p>
    <w:p>
      <w:pPr>
        <w:pStyle w:val="2"/>
        <w:outlineLvl w:val="3"/>
        <w:jc w:val="center"/>
      </w:pPr>
      <w:r>
        <w:rPr>
          <w:sz w:val="20"/>
        </w:rPr>
        <w:t xml:space="preserve">Отделения, оказывающие специализированную, в том числе</w:t>
      </w:r>
    </w:p>
    <w:p>
      <w:pPr>
        <w:pStyle w:val="2"/>
        <w:jc w:val="center"/>
      </w:pPr>
      <w:r>
        <w:rPr>
          <w:sz w:val="20"/>
        </w:rPr>
        <w:t xml:space="preserve">высокотехнологичную, медицинскую помощь жителям автономного</w:t>
      </w:r>
    </w:p>
    <w:p>
      <w:pPr>
        <w:pStyle w:val="2"/>
        <w:jc w:val="center"/>
      </w:pPr>
      <w:r>
        <w:rPr>
          <w:sz w:val="20"/>
        </w:rPr>
        <w:t xml:space="preserve">округа</w:t>
      </w:r>
    </w:p>
    <w:p>
      <w:pPr>
        <w:pStyle w:val="0"/>
        <w:jc w:val="center"/>
      </w:pPr>
      <w:r>
        <w:rPr>
          <w:sz w:val="20"/>
        </w:rPr>
      </w:r>
    </w:p>
    <w:p>
      <w:pPr>
        <w:pStyle w:val="0"/>
        <w:ind w:firstLine="540"/>
        <w:jc w:val="both"/>
      </w:pPr>
      <w:r>
        <w:rPr>
          <w:sz w:val="20"/>
        </w:rPr>
        <w:t xml:space="preserve">Кардиологические отделения:</w:t>
      </w:r>
    </w:p>
    <w:p>
      <w:pPr>
        <w:pStyle w:val="0"/>
        <w:spacing w:before="200" w:line-rule="auto"/>
        <w:ind w:firstLine="540"/>
        <w:jc w:val="both"/>
      </w:pPr>
      <w:r>
        <w:rPr>
          <w:sz w:val="20"/>
        </w:rPr>
        <w:t xml:space="preserve">3 отделения в БУ "Окружной кардиологический диспансер "Центр диагностики и сердечно-сосудистой хирургии";</w:t>
      </w:r>
    </w:p>
    <w:p>
      <w:pPr>
        <w:pStyle w:val="0"/>
        <w:spacing w:before="200" w:line-rule="auto"/>
        <w:ind w:firstLine="540"/>
        <w:jc w:val="both"/>
      </w:pPr>
      <w:r>
        <w:rPr>
          <w:sz w:val="20"/>
        </w:rPr>
        <w:t xml:space="preserve">БУ "Окружная клиническая больница" (далее БУ "Окружная клиническая больница");</w:t>
      </w:r>
    </w:p>
    <w:p>
      <w:pPr>
        <w:pStyle w:val="0"/>
        <w:spacing w:before="200" w:line-rule="auto"/>
        <w:ind w:firstLine="540"/>
        <w:jc w:val="both"/>
      </w:pPr>
      <w:r>
        <w:rPr>
          <w:sz w:val="20"/>
        </w:rPr>
        <w:t xml:space="preserve">БУ "Нижневартовская окружная клиническая больница";</w:t>
      </w:r>
    </w:p>
    <w:p>
      <w:pPr>
        <w:pStyle w:val="0"/>
        <w:spacing w:before="200" w:line-rule="auto"/>
        <w:ind w:firstLine="540"/>
        <w:jc w:val="both"/>
      </w:pPr>
      <w:r>
        <w:rPr>
          <w:sz w:val="20"/>
        </w:rPr>
        <w:t xml:space="preserve">БУ "Няганская окружная больница";</w:t>
      </w:r>
    </w:p>
    <w:p>
      <w:pPr>
        <w:pStyle w:val="0"/>
        <w:spacing w:before="200" w:line-rule="auto"/>
        <w:ind w:firstLine="540"/>
        <w:jc w:val="both"/>
      </w:pPr>
      <w:r>
        <w:rPr>
          <w:sz w:val="20"/>
        </w:rPr>
        <w:t xml:space="preserve">БУ "Нефтеюганская окружная клиническая больница им. В.И. Яцкив";</w:t>
      </w:r>
    </w:p>
    <w:p>
      <w:pPr>
        <w:pStyle w:val="0"/>
        <w:spacing w:before="200" w:line-rule="auto"/>
        <w:ind w:firstLine="540"/>
        <w:jc w:val="both"/>
      </w:pPr>
      <w:r>
        <w:rPr>
          <w:sz w:val="20"/>
        </w:rPr>
        <w:t xml:space="preserve">БУ "Пыть-Яхская окружная клиническая больница" (кардиологические койки в составе терапевтического отделения);</w:t>
      </w:r>
    </w:p>
    <w:p>
      <w:pPr>
        <w:pStyle w:val="0"/>
        <w:spacing w:before="200" w:line-rule="auto"/>
        <w:ind w:firstLine="540"/>
        <w:jc w:val="both"/>
      </w:pPr>
      <w:r>
        <w:rPr>
          <w:sz w:val="20"/>
        </w:rPr>
        <w:t xml:space="preserve">БУ "Радужнинская городская больница";</w:t>
      </w:r>
    </w:p>
    <w:p>
      <w:pPr>
        <w:pStyle w:val="0"/>
        <w:spacing w:before="200" w:line-rule="auto"/>
        <w:ind w:firstLine="540"/>
        <w:jc w:val="both"/>
      </w:pPr>
      <w:r>
        <w:rPr>
          <w:sz w:val="20"/>
        </w:rPr>
        <w:t xml:space="preserve">БУ "Урайская городская больница" (кардиологические койки в составе терапевтического отделения);</w:t>
      </w:r>
    </w:p>
    <w:p>
      <w:pPr>
        <w:pStyle w:val="0"/>
        <w:spacing w:before="200" w:line-rule="auto"/>
        <w:ind w:firstLine="540"/>
        <w:jc w:val="both"/>
      </w:pPr>
      <w:r>
        <w:rPr>
          <w:sz w:val="20"/>
        </w:rPr>
        <w:t xml:space="preserve">БУ "Мегионская городская больница";</w:t>
      </w:r>
    </w:p>
    <w:p>
      <w:pPr>
        <w:pStyle w:val="0"/>
        <w:spacing w:before="200" w:line-rule="auto"/>
        <w:ind w:firstLine="540"/>
        <w:jc w:val="both"/>
      </w:pPr>
      <w:r>
        <w:rPr>
          <w:sz w:val="20"/>
        </w:rPr>
        <w:t xml:space="preserve">Кардиохирургические отделения:</w:t>
      </w:r>
    </w:p>
    <w:p>
      <w:pPr>
        <w:pStyle w:val="0"/>
        <w:spacing w:before="200" w:line-rule="auto"/>
        <w:ind w:firstLine="540"/>
        <w:jc w:val="both"/>
      </w:pPr>
      <w:r>
        <w:rPr>
          <w:sz w:val="20"/>
        </w:rPr>
        <w:t xml:space="preserve">2 отделения в БУ "Окружной кардиологический диспансер "Центр диагностики и сердечно-сосудистой хирургии";</w:t>
      </w:r>
    </w:p>
    <w:p>
      <w:pPr>
        <w:pStyle w:val="0"/>
        <w:spacing w:before="200" w:line-rule="auto"/>
        <w:ind w:firstLine="540"/>
        <w:jc w:val="both"/>
      </w:pPr>
      <w:r>
        <w:rPr>
          <w:sz w:val="20"/>
        </w:rPr>
        <w:t xml:space="preserve">1 отделение в БУ "Окружная клиническая больница"</w:t>
      </w:r>
    </w:p>
    <w:p>
      <w:pPr>
        <w:pStyle w:val="0"/>
        <w:spacing w:before="200" w:line-rule="auto"/>
        <w:ind w:firstLine="540"/>
        <w:jc w:val="both"/>
      </w:pPr>
      <w:r>
        <w:rPr>
          <w:sz w:val="20"/>
        </w:rPr>
        <w:t xml:space="preserve">Отделения рентгенохирургических методов диагностики и лечения:</w:t>
      </w:r>
    </w:p>
    <w:p>
      <w:pPr>
        <w:pStyle w:val="0"/>
        <w:spacing w:before="200" w:line-rule="auto"/>
        <w:ind w:firstLine="540"/>
        <w:jc w:val="both"/>
      </w:pPr>
      <w:r>
        <w:rPr>
          <w:sz w:val="20"/>
        </w:rPr>
        <w:t xml:space="preserve">БУ "Окружной кардиологический диспансер "Центр диагностики и сердечно-сосудистой хирургии";</w:t>
      </w:r>
    </w:p>
    <w:p>
      <w:pPr>
        <w:pStyle w:val="0"/>
        <w:spacing w:before="200" w:line-rule="auto"/>
        <w:ind w:firstLine="540"/>
        <w:jc w:val="both"/>
      </w:pPr>
      <w:r>
        <w:rPr>
          <w:sz w:val="20"/>
        </w:rPr>
        <w:t xml:space="preserve">БУ "Окружная клиническая больница";</w:t>
      </w:r>
    </w:p>
    <w:p>
      <w:pPr>
        <w:pStyle w:val="0"/>
        <w:spacing w:before="200" w:line-rule="auto"/>
        <w:ind w:firstLine="540"/>
        <w:jc w:val="both"/>
      </w:pPr>
      <w:r>
        <w:rPr>
          <w:sz w:val="20"/>
        </w:rPr>
        <w:t xml:space="preserve">БУ "Нижневартовская окружная клиническая больница";</w:t>
      </w:r>
    </w:p>
    <w:p>
      <w:pPr>
        <w:pStyle w:val="0"/>
        <w:spacing w:before="200" w:line-rule="auto"/>
        <w:ind w:firstLine="540"/>
        <w:jc w:val="both"/>
      </w:pPr>
      <w:r>
        <w:rPr>
          <w:sz w:val="20"/>
        </w:rPr>
        <w:t xml:space="preserve">БУ "Няганская окружная больница".</w:t>
      </w:r>
    </w:p>
    <w:p>
      <w:pPr>
        <w:pStyle w:val="0"/>
        <w:spacing w:before="200" w:line-rule="auto"/>
        <w:ind w:firstLine="540"/>
        <w:jc w:val="both"/>
      </w:pPr>
      <w:r>
        <w:rPr>
          <w:sz w:val="20"/>
        </w:rPr>
        <w:t xml:space="preserve">Отделения хирургического лечения сложных нарушений ритма сердца и электрокардиостимуляции:</w:t>
      </w:r>
    </w:p>
    <w:p>
      <w:pPr>
        <w:pStyle w:val="0"/>
        <w:spacing w:before="200" w:line-rule="auto"/>
        <w:ind w:firstLine="540"/>
        <w:jc w:val="both"/>
      </w:pPr>
      <w:r>
        <w:rPr>
          <w:sz w:val="20"/>
        </w:rPr>
        <w:t xml:space="preserve">БУ "Окружной кардиологический диспансер "Центр диагностики и сердечно-сосудистой хирургии"</w:t>
      </w:r>
    </w:p>
    <w:p>
      <w:pPr>
        <w:pStyle w:val="0"/>
        <w:spacing w:before="200" w:line-rule="auto"/>
        <w:ind w:firstLine="540"/>
        <w:jc w:val="both"/>
      </w:pPr>
      <w:r>
        <w:rPr>
          <w:sz w:val="20"/>
        </w:rPr>
        <w:t xml:space="preserve">БУ "Окружная клиническая больница";</w:t>
      </w:r>
    </w:p>
    <w:p>
      <w:pPr>
        <w:pStyle w:val="0"/>
        <w:spacing w:before="200" w:line-rule="auto"/>
        <w:ind w:firstLine="540"/>
        <w:jc w:val="both"/>
      </w:pPr>
      <w:r>
        <w:rPr>
          <w:sz w:val="20"/>
        </w:rPr>
        <w:t xml:space="preserve">Отделения сосудистой хирургии:</w:t>
      </w:r>
    </w:p>
    <w:p>
      <w:pPr>
        <w:pStyle w:val="0"/>
        <w:spacing w:before="200" w:line-rule="auto"/>
        <w:ind w:firstLine="540"/>
        <w:jc w:val="both"/>
      </w:pPr>
      <w:r>
        <w:rPr>
          <w:sz w:val="20"/>
        </w:rPr>
        <w:t xml:space="preserve">БУ "Няганская окружная больница";</w:t>
      </w:r>
    </w:p>
    <w:p>
      <w:pPr>
        <w:pStyle w:val="0"/>
        <w:spacing w:before="200" w:line-rule="auto"/>
        <w:ind w:firstLine="540"/>
        <w:jc w:val="both"/>
      </w:pPr>
      <w:r>
        <w:rPr>
          <w:sz w:val="20"/>
        </w:rPr>
        <w:t xml:space="preserve">БУ "Сургутская окружная клиническая больница".</w:t>
      </w:r>
    </w:p>
    <w:p>
      <w:pPr>
        <w:pStyle w:val="0"/>
        <w:jc w:val="right"/>
      </w:pPr>
      <w:r>
        <w:rPr>
          <w:sz w:val="20"/>
        </w:rPr>
      </w:r>
    </w:p>
    <w:p>
      <w:pPr>
        <w:pStyle w:val="0"/>
        <w:jc w:val="right"/>
      </w:pPr>
      <w:r>
        <w:rPr>
          <w:sz w:val="20"/>
        </w:rPr>
        <w:t xml:space="preserve">Таблица 22</w:t>
      </w:r>
    </w:p>
    <w:p>
      <w:pPr>
        <w:pStyle w:val="0"/>
        <w:jc w:val="right"/>
      </w:pPr>
      <w:r>
        <w:rPr>
          <w:sz w:val="20"/>
        </w:rPr>
      </w:r>
    </w:p>
    <w:p>
      <w:pPr>
        <w:pStyle w:val="0"/>
        <w:jc w:val="center"/>
      </w:pPr>
      <w:r>
        <w:rPr>
          <w:sz w:val="20"/>
        </w:rPr>
        <w:t xml:space="preserve">Число пациентов с БСК, пролеченных в стационарах автономного</w:t>
      </w:r>
    </w:p>
    <w:p>
      <w:pPr>
        <w:pStyle w:val="0"/>
        <w:jc w:val="center"/>
      </w:pPr>
      <w:r>
        <w:rPr>
          <w:sz w:val="20"/>
        </w:rPr>
        <w:t xml:space="preserve">округа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1399"/>
        <w:gridCol w:w="1174"/>
        <w:gridCol w:w="1399"/>
        <w:gridCol w:w="1174"/>
        <w:gridCol w:w="1204"/>
      </w:tblGrid>
      <w:tr>
        <w:tc>
          <w:tcPr>
            <w:tcW w:w="2665" w:type="dxa"/>
            <w:vMerge w:val="restart"/>
          </w:tcPr>
          <w:p>
            <w:pPr>
              <w:pStyle w:val="0"/>
              <w:jc w:val="center"/>
            </w:pPr>
            <w:r>
              <w:rPr>
                <w:sz w:val="20"/>
              </w:rPr>
              <w:t xml:space="preserve">Нозология</w:t>
            </w:r>
          </w:p>
        </w:tc>
        <w:tc>
          <w:tcPr>
            <w:gridSpan w:val="2"/>
            <w:tcW w:w="2573" w:type="dxa"/>
          </w:tcPr>
          <w:p>
            <w:pPr>
              <w:pStyle w:val="0"/>
              <w:jc w:val="center"/>
            </w:pPr>
            <w:r>
              <w:rPr>
                <w:sz w:val="20"/>
              </w:rPr>
              <w:t xml:space="preserve">2021</w:t>
            </w:r>
          </w:p>
        </w:tc>
        <w:tc>
          <w:tcPr>
            <w:gridSpan w:val="2"/>
            <w:tcW w:w="2573" w:type="dxa"/>
          </w:tcPr>
          <w:p>
            <w:pPr>
              <w:pStyle w:val="0"/>
              <w:jc w:val="center"/>
            </w:pPr>
            <w:r>
              <w:rPr>
                <w:sz w:val="20"/>
              </w:rPr>
              <w:t xml:space="preserve">2022</w:t>
            </w:r>
          </w:p>
        </w:tc>
        <w:tc>
          <w:tcPr>
            <w:tcW w:w="1204" w:type="dxa"/>
            <w:vMerge w:val="restart"/>
          </w:tcPr>
          <w:p>
            <w:pPr>
              <w:pStyle w:val="0"/>
              <w:jc w:val="center"/>
            </w:pPr>
            <w:r>
              <w:rPr>
                <w:sz w:val="20"/>
              </w:rPr>
              <w:t xml:space="preserve">Динамика</w:t>
            </w:r>
          </w:p>
          <w:p>
            <w:pPr>
              <w:pStyle w:val="0"/>
              <w:jc w:val="center"/>
            </w:pPr>
            <w:r>
              <w:rPr>
                <w:sz w:val="20"/>
              </w:rPr>
              <w:t xml:space="preserve">2022/2020, %</w:t>
            </w:r>
          </w:p>
        </w:tc>
      </w:tr>
      <w:tr>
        <w:tc>
          <w:tcPr>
            <w:vMerge w:val="continue"/>
          </w:tcPr>
          <w:p/>
        </w:tc>
        <w:tc>
          <w:tcPr>
            <w:tcW w:w="1399" w:type="dxa"/>
          </w:tcPr>
          <w:p>
            <w:pPr>
              <w:pStyle w:val="0"/>
              <w:jc w:val="center"/>
            </w:pPr>
            <w:r>
              <w:rPr>
                <w:sz w:val="20"/>
              </w:rPr>
              <w:t xml:space="preserve">Абсолютное число</w:t>
            </w:r>
          </w:p>
        </w:tc>
        <w:tc>
          <w:tcPr>
            <w:tcW w:w="1174" w:type="dxa"/>
          </w:tcPr>
          <w:p>
            <w:pPr>
              <w:pStyle w:val="0"/>
              <w:jc w:val="center"/>
            </w:pPr>
            <w:r>
              <w:rPr>
                <w:sz w:val="20"/>
              </w:rPr>
              <w:t xml:space="preserve">Удельный вес, %</w:t>
            </w:r>
          </w:p>
        </w:tc>
        <w:tc>
          <w:tcPr>
            <w:tcW w:w="1399" w:type="dxa"/>
          </w:tcPr>
          <w:p>
            <w:pPr>
              <w:pStyle w:val="0"/>
              <w:jc w:val="center"/>
            </w:pPr>
            <w:r>
              <w:rPr>
                <w:sz w:val="20"/>
              </w:rPr>
              <w:t xml:space="preserve">Абсолютное число</w:t>
            </w:r>
          </w:p>
        </w:tc>
        <w:tc>
          <w:tcPr>
            <w:tcW w:w="1174" w:type="dxa"/>
          </w:tcPr>
          <w:p>
            <w:pPr>
              <w:pStyle w:val="0"/>
              <w:jc w:val="center"/>
            </w:pPr>
            <w:r>
              <w:rPr>
                <w:sz w:val="20"/>
              </w:rPr>
              <w:t xml:space="preserve">Удельный вес, %</w:t>
            </w:r>
          </w:p>
        </w:tc>
        <w:tc>
          <w:tcPr>
            <w:vMerge w:val="continue"/>
          </w:tcPr>
          <w:p/>
        </w:tc>
      </w:tr>
      <w:tr>
        <w:tc>
          <w:tcPr>
            <w:tcW w:w="2665" w:type="dxa"/>
          </w:tcPr>
          <w:p>
            <w:pPr>
              <w:pStyle w:val="0"/>
            </w:pPr>
            <w:r>
              <w:rPr>
                <w:sz w:val="20"/>
              </w:rPr>
              <w:t xml:space="preserve">БСК</w:t>
            </w:r>
          </w:p>
        </w:tc>
        <w:tc>
          <w:tcPr>
            <w:tcW w:w="1399" w:type="dxa"/>
          </w:tcPr>
          <w:p>
            <w:pPr>
              <w:pStyle w:val="0"/>
            </w:pPr>
            <w:r>
              <w:rPr>
                <w:sz w:val="20"/>
              </w:rPr>
              <w:t xml:space="preserve">39863</w:t>
            </w:r>
          </w:p>
        </w:tc>
        <w:tc>
          <w:tcPr>
            <w:tcW w:w="1174" w:type="dxa"/>
          </w:tcPr>
          <w:p>
            <w:pPr>
              <w:pStyle w:val="0"/>
            </w:pPr>
            <w:r>
              <w:rPr>
                <w:sz w:val="20"/>
              </w:rPr>
            </w:r>
          </w:p>
        </w:tc>
        <w:tc>
          <w:tcPr>
            <w:tcW w:w="1399" w:type="dxa"/>
          </w:tcPr>
          <w:p>
            <w:pPr>
              <w:pStyle w:val="0"/>
            </w:pPr>
            <w:r>
              <w:rPr>
                <w:sz w:val="20"/>
              </w:rPr>
              <w:t xml:space="preserve">44966</w:t>
            </w:r>
          </w:p>
        </w:tc>
        <w:tc>
          <w:tcPr>
            <w:tcW w:w="1174" w:type="dxa"/>
          </w:tcPr>
          <w:p>
            <w:pPr>
              <w:pStyle w:val="0"/>
            </w:pPr>
            <w:r>
              <w:rPr>
                <w:sz w:val="20"/>
              </w:rPr>
            </w:r>
          </w:p>
        </w:tc>
        <w:tc>
          <w:tcPr>
            <w:tcW w:w="1204" w:type="dxa"/>
          </w:tcPr>
          <w:p>
            <w:pPr>
              <w:pStyle w:val="0"/>
            </w:pPr>
            <w:r>
              <w:rPr>
                <w:sz w:val="20"/>
              </w:rPr>
              <w:t xml:space="preserve">+12,8</w:t>
            </w:r>
          </w:p>
        </w:tc>
      </w:tr>
      <w:tr>
        <w:tc>
          <w:tcPr>
            <w:tcW w:w="2665" w:type="dxa"/>
          </w:tcPr>
          <w:p>
            <w:pPr>
              <w:pStyle w:val="0"/>
            </w:pPr>
            <w:r>
              <w:rPr>
                <w:sz w:val="20"/>
              </w:rPr>
              <w:t xml:space="preserve">Гипертоническая болезнь</w:t>
            </w:r>
          </w:p>
        </w:tc>
        <w:tc>
          <w:tcPr>
            <w:tcW w:w="1399" w:type="dxa"/>
          </w:tcPr>
          <w:p>
            <w:pPr>
              <w:pStyle w:val="0"/>
            </w:pPr>
            <w:r>
              <w:rPr>
                <w:sz w:val="20"/>
              </w:rPr>
              <w:t xml:space="preserve">7850</w:t>
            </w:r>
          </w:p>
        </w:tc>
        <w:tc>
          <w:tcPr>
            <w:tcW w:w="1174" w:type="dxa"/>
          </w:tcPr>
          <w:p>
            <w:pPr>
              <w:pStyle w:val="0"/>
            </w:pPr>
            <w:r>
              <w:rPr>
                <w:sz w:val="20"/>
              </w:rPr>
              <w:t xml:space="preserve">19,7</w:t>
            </w:r>
          </w:p>
        </w:tc>
        <w:tc>
          <w:tcPr>
            <w:tcW w:w="1399" w:type="dxa"/>
          </w:tcPr>
          <w:p>
            <w:pPr>
              <w:pStyle w:val="0"/>
            </w:pPr>
            <w:r>
              <w:rPr>
                <w:sz w:val="20"/>
              </w:rPr>
              <w:t xml:space="preserve">8988</w:t>
            </w:r>
          </w:p>
        </w:tc>
        <w:tc>
          <w:tcPr>
            <w:tcW w:w="1174" w:type="dxa"/>
          </w:tcPr>
          <w:p>
            <w:pPr>
              <w:pStyle w:val="0"/>
            </w:pPr>
            <w:r>
              <w:rPr>
                <w:sz w:val="20"/>
              </w:rPr>
              <w:t xml:space="preserve">20,0</w:t>
            </w:r>
          </w:p>
        </w:tc>
        <w:tc>
          <w:tcPr>
            <w:tcW w:w="1204" w:type="dxa"/>
          </w:tcPr>
          <w:p>
            <w:pPr>
              <w:pStyle w:val="0"/>
            </w:pPr>
            <w:r>
              <w:rPr>
                <w:sz w:val="20"/>
              </w:rPr>
              <w:t xml:space="preserve">+14,5</w:t>
            </w:r>
          </w:p>
        </w:tc>
      </w:tr>
      <w:tr>
        <w:tc>
          <w:tcPr>
            <w:tcW w:w="2665" w:type="dxa"/>
          </w:tcPr>
          <w:p>
            <w:pPr>
              <w:pStyle w:val="0"/>
            </w:pPr>
            <w:r>
              <w:rPr>
                <w:sz w:val="20"/>
              </w:rPr>
              <w:t xml:space="preserve">ИБС, в т.ч.:</w:t>
            </w:r>
          </w:p>
        </w:tc>
        <w:tc>
          <w:tcPr>
            <w:tcW w:w="1399" w:type="dxa"/>
          </w:tcPr>
          <w:p>
            <w:pPr>
              <w:pStyle w:val="0"/>
            </w:pPr>
            <w:r>
              <w:rPr>
                <w:sz w:val="20"/>
              </w:rPr>
              <w:t xml:space="preserve">10369</w:t>
            </w:r>
          </w:p>
        </w:tc>
        <w:tc>
          <w:tcPr>
            <w:tcW w:w="1174" w:type="dxa"/>
          </w:tcPr>
          <w:p>
            <w:pPr>
              <w:pStyle w:val="0"/>
            </w:pPr>
            <w:r>
              <w:rPr>
                <w:sz w:val="20"/>
              </w:rPr>
              <w:t xml:space="preserve">26,0</w:t>
            </w:r>
          </w:p>
        </w:tc>
        <w:tc>
          <w:tcPr>
            <w:tcW w:w="1399" w:type="dxa"/>
          </w:tcPr>
          <w:p>
            <w:pPr>
              <w:pStyle w:val="0"/>
            </w:pPr>
            <w:r>
              <w:rPr>
                <w:sz w:val="20"/>
              </w:rPr>
              <w:t xml:space="preserve">11965</w:t>
            </w:r>
          </w:p>
        </w:tc>
        <w:tc>
          <w:tcPr>
            <w:tcW w:w="1174" w:type="dxa"/>
          </w:tcPr>
          <w:p>
            <w:pPr>
              <w:pStyle w:val="0"/>
            </w:pPr>
            <w:r>
              <w:rPr>
                <w:sz w:val="20"/>
              </w:rPr>
              <w:t xml:space="preserve">26,6</w:t>
            </w:r>
          </w:p>
        </w:tc>
        <w:tc>
          <w:tcPr>
            <w:tcW w:w="1204" w:type="dxa"/>
          </w:tcPr>
          <w:p>
            <w:pPr>
              <w:pStyle w:val="0"/>
            </w:pPr>
            <w:r>
              <w:rPr>
                <w:sz w:val="20"/>
              </w:rPr>
              <w:t xml:space="preserve">+15,4</w:t>
            </w:r>
          </w:p>
        </w:tc>
      </w:tr>
      <w:tr>
        <w:tc>
          <w:tcPr>
            <w:tcW w:w="2665" w:type="dxa"/>
          </w:tcPr>
          <w:p>
            <w:pPr>
              <w:pStyle w:val="0"/>
            </w:pPr>
            <w:r>
              <w:rPr>
                <w:sz w:val="20"/>
              </w:rPr>
              <w:t xml:space="preserve">Стенокардия</w:t>
            </w:r>
          </w:p>
        </w:tc>
        <w:tc>
          <w:tcPr>
            <w:tcW w:w="1399" w:type="dxa"/>
          </w:tcPr>
          <w:p>
            <w:pPr>
              <w:pStyle w:val="0"/>
            </w:pPr>
            <w:r>
              <w:rPr>
                <w:sz w:val="20"/>
              </w:rPr>
              <w:t xml:space="preserve">5462</w:t>
            </w:r>
          </w:p>
        </w:tc>
        <w:tc>
          <w:tcPr>
            <w:tcW w:w="1174" w:type="dxa"/>
          </w:tcPr>
          <w:p>
            <w:pPr>
              <w:pStyle w:val="0"/>
            </w:pPr>
            <w:r>
              <w:rPr>
                <w:sz w:val="20"/>
              </w:rPr>
              <w:t xml:space="preserve">13,7</w:t>
            </w:r>
          </w:p>
        </w:tc>
        <w:tc>
          <w:tcPr>
            <w:tcW w:w="1399" w:type="dxa"/>
          </w:tcPr>
          <w:p>
            <w:pPr>
              <w:pStyle w:val="0"/>
            </w:pPr>
            <w:r>
              <w:rPr>
                <w:sz w:val="20"/>
              </w:rPr>
              <w:t xml:space="preserve">5872</w:t>
            </w:r>
          </w:p>
        </w:tc>
        <w:tc>
          <w:tcPr>
            <w:tcW w:w="1174" w:type="dxa"/>
          </w:tcPr>
          <w:p>
            <w:pPr>
              <w:pStyle w:val="0"/>
            </w:pPr>
            <w:r>
              <w:rPr>
                <w:sz w:val="20"/>
              </w:rPr>
              <w:t xml:space="preserve">13,1</w:t>
            </w:r>
          </w:p>
        </w:tc>
        <w:tc>
          <w:tcPr>
            <w:tcW w:w="1204" w:type="dxa"/>
          </w:tcPr>
          <w:p>
            <w:pPr>
              <w:pStyle w:val="0"/>
            </w:pPr>
            <w:r>
              <w:rPr>
                <w:sz w:val="20"/>
              </w:rPr>
              <w:t xml:space="preserve">+7,5</w:t>
            </w:r>
          </w:p>
        </w:tc>
      </w:tr>
      <w:tr>
        <w:tc>
          <w:tcPr>
            <w:tcW w:w="2665" w:type="dxa"/>
          </w:tcPr>
          <w:p>
            <w:pPr>
              <w:pStyle w:val="0"/>
            </w:pPr>
            <w:r>
              <w:rPr>
                <w:sz w:val="20"/>
              </w:rPr>
              <w:t xml:space="preserve">из нее: нестабильная стенокардия</w:t>
            </w:r>
          </w:p>
        </w:tc>
        <w:tc>
          <w:tcPr>
            <w:tcW w:w="1399" w:type="dxa"/>
          </w:tcPr>
          <w:p>
            <w:pPr>
              <w:pStyle w:val="0"/>
            </w:pPr>
            <w:r>
              <w:rPr>
                <w:sz w:val="20"/>
              </w:rPr>
              <w:t xml:space="preserve">1299</w:t>
            </w:r>
          </w:p>
        </w:tc>
        <w:tc>
          <w:tcPr>
            <w:tcW w:w="1174" w:type="dxa"/>
          </w:tcPr>
          <w:p>
            <w:pPr>
              <w:pStyle w:val="0"/>
            </w:pPr>
            <w:r>
              <w:rPr>
                <w:sz w:val="20"/>
              </w:rPr>
              <w:t xml:space="preserve">3,3</w:t>
            </w:r>
          </w:p>
        </w:tc>
        <w:tc>
          <w:tcPr>
            <w:tcW w:w="1399" w:type="dxa"/>
          </w:tcPr>
          <w:p>
            <w:pPr>
              <w:pStyle w:val="0"/>
            </w:pPr>
            <w:r>
              <w:rPr>
                <w:sz w:val="20"/>
              </w:rPr>
              <w:t xml:space="preserve">1374</w:t>
            </w:r>
          </w:p>
        </w:tc>
        <w:tc>
          <w:tcPr>
            <w:tcW w:w="1174" w:type="dxa"/>
          </w:tcPr>
          <w:p>
            <w:pPr>
              <w:pStyle w:val="0"/>
            </w:pPr>
            <w:r>
              <w:rPr>
                <w:sz w:val="20"/>
              </w:rPr>
              <w:t xml:space="preserve">3,1</w:t>
            </w:r>
          </w:p>
        </w:tc>
        <w:tc>
          <w:tcPr>
            <w:tcW w:w="1204" w:type="dxa"/>
          </w:tcPr>
          <w:p>
            <w:pPr>
              <w:pStyle w:val="0"/>
            </w:pPr>
            <w:r>
              <w:rPr>
                <w:sz w:val="20"/>
              </w:rPr>
              <w:t xml:space="preserve">+5,8</w:t>
            </w:r>
          </w:p>
        </w:tc>
      </w:tr>
      <w:tr>
        <w:tc>
          <w:tcPr>
            <w:tcW w:w="2665" w:type="dxa"/>
          </w:tcPr>
          <w:p>
            <w:pPr>
              <w:pStyle w:val="0"/>
            </w:pPr>
            <w:r>
              <w:rPr>
                <w:sz w:val="20"/>
              </w:rPr>
              <w:t xml:space="preserve">ИМ</w:t>
            </w:r>
          </w:p>
        </w:tc>
        <w:tc>
          <w:tcPr>
            <w:tcW w:w="1399" w:type="dxa"/>
          </w:tcPr>
          <w:p>
            <w:pPr>
              <w:pStyle w:val="0"/>
            </w:pPr>
            <w:r>
              <w:rPr>
                <w:sz w:val="20"/>
              </w:rPr>
              <w:t xml:space="preserve">1993</w:t>
            </w:r>
          </w:p>
        </w:tc>
        <w:tc>
          <w:tcPr>
            <w:tcW w:w="1174" w:type="dxa"/>
          </w:tcPr>
          <w:p>
            <w:pPr>
              <w:pStyle w:val="0"/>
            </w:pPr>
            <w:r>
              <w:rPr>
                <w:sz w:val="20"/>
              </w:rPr>
              <w:t xml:space="preserve">4,6</w:t>
            </w:r>
          </w:p>
        </w:tc>
        <w:tc>
          <w:tcPr>
            <w:tcW w:w="1399" w:type="dxa"/>
          </w:tcPr>
          <w:p>
            <w:pPr>
              <w:pStyle w:val="0"/>
            </w:pPr>
            <w:r>
              <w:rPr>
                <w:sz w:val="20"/>
              </w:rPr>
              <w:t xml:space="preserve">2073</w:t>
            </w:r>
          </w:p>
        </w:tc>
        <w:tc>
          <w:tcPr>
            <w:tcW w:w="1174" w:type="dxa"/>
          </w:tcPr>
          <w:p>
            <w:pPr>
              <w:pStyle w:val="0"/>
            </w:pPr>
            <w:r>
              <w:rPr>
                <w:sz w:val="20"/>
              </w:rPr>
              <w:t xml:space="preserve">4,6</w:t>
            </w:r>
          </w:p>
        </w:tc>
        <w:tc>
          <w:tcPr>
            <w:tcW w:w="1204" w:type="dxa"/>
          </w:tcPr>
          <w:p>
            <w:pPr>
              <w:pStyle w:val="0"/>
            </w:pPr>
            <w:r>
              <w:rPr>
                <w:sz w:val="20"/>
              </w:rPr>
              <w:t xml:space="preserve">+4,0</w:t>
            </w:r>
          </w:p>
        </w:tc>
      </w:tr>
      <w:tr>
        <w:tc>
          <w:tcPr>
            <w:tcW w:w="2665" w:type="dxa"/>
          </w:tcPr>
          <w:p>
            <w:pPr>
              <w:pStyle w:val="0"/>
            </w:pPr>
            <w:r>
              <w:rPr>
                <w:sz w:val="20"/>
              </w:rPr>
              <w:t xml:space="preserve">Хроническая ИБС</w:t>
            </w:r>
          </w:p>
        </w:tc>
        <w:tc>
          <w:tcPr>
            <w:tcW w:w="1399" w:type="dxa"/>
          </w:tcPr>
          <w:p>
            <w:pPr>
              <w:pStyle w:val="0"/>
            </w:pPr>
            <w:r>
              <w:rPr>
                <w:sz w:val="20"/>
              </w:rPr>
              <w:t xml:space="preserve">2759</w:t>
            </w:r>
          </w:p>
        </w:tc>
        <w:tc>
          <w:tcPr>
            <w:tcW w:w="1174" w:type="dxa"/>
          </w:tcPr>
          <w:p>
            <w:pPr>
              <w:pStyle w:val="0"/>
            </w:pPr>
            <w:r>
              <w:rPr>
                <w:sz w:val="20"/>
              </w:rPr>
              <w:t xml:space="preserve">6,9</w:t>
            </w:r>
          </w:p>
        </w:tc>
        <w:tc>
          <w:tcPr>
            <w:tcW w:w="1399" w:type="dxa"/>
          </w:tcPr>
          <w:p>
            <w:pPr>
              <w:pStyle w:val="0"/>
            </w:pPr>
            <w:r>
              <w:rPr>
                <w:sz w:val="20"/>
              </w:rPr>
              <w:t xml:space="preserve">4017</w:t>
            </w:r>
          </w:p>
        </w:tc>
        <w:tc>
          <w:tcPr>
            <w:tcW w:w="1174" w:type="dxa"/>
          </w:tcPr>
          <w:p>
            <w:pPr>
              <w:pStyle w:val="0"/>
            </w:pPr>
            <w:r>
              <w:rPr>
                <w:sz w:val="20"/>
              </w:rPr>
              <w:t xml:space="preserve">8,9</w:t>
            </w:r>
          </w:p>
        </w:tc>
        <w:tc>
          <w:tcPr>
            <w:tcW w:w="1204" w:type="dxa"/>
          </w:tcPr>
          <w:p>
            <w:pPr>
              <w:pStyle w:val="0"/>
            </w:pPr>
            <w:r>
              <w:rPr>
                <w:sz w:val="20"/>
              </w:rPr>
              <w:t xml:space="preserve">+45,6</w:t>
            </w:r>
          </w:p>
        </w:tc>
      </w:tr>
      <w:tr>
        <w:tc>
          <w:tcPr>
            <w:tcW w:w="2665" w:type="dxa"/>
          </w:tcPr>
          <w:p>
            <w:pPr>
              <w:pStyle w:val="0"/>
            </w:pPr>
            <w:r>
              <w:rPr>
                <w:sz w:val="20"/>
              </w:rPr>
              <w:t xml:space="preserve">Цереброваскулярные</w:t>
            </w:r>
          </w:p>
          <w:p>
            <w:pPr>
              <w:pStyle w:val="0"/>
            </w:pPr>
            <w:r>
              <w:rPr>
                <w:sz w:val="20"/>
              </w:rPr>
              <w:t xml:space="preserve">болезни</w:t>
            </w:r>
          </w:p>
        </w:tc>
        <w:tc>
          <w:tcPr>
            <w:tcW w:w="1399" w:type="dxa"/>
          </w:tcPr>
          <w:p>
            <w:pPr>
              <w:pStyle w:val="0"/>
            </w:pPr>
            <w:r>
              <w:rPr>
                <w:sz w:val="20"/>
              </w:rPr>
              <w:t xml:space="preserve">9962</w:t>
            </w:r>
          </w:p>
        </w:tc>
        <w:tc>
          <w:tcPr>
            <w:tcW w:w="1174" w:type="dxa"/>
          </w:tcPr>
          <w:p>
            <w:pPr>
              <w:pStyle w:val="0"/>
            </w:pPr>
            <w:r>
              <w:rPr>
                <w:sz w:val="20"/>
              </w:rPr>
              <w:t xml:space="preserve">25,0</w:t>
            </w:r>
          </w:p>
        </w:tc>
        <w:tc>
          <w:tcPr>
            <w:tcW w:w="1399" w:type="dxa"/>
          </w:tcPr>
          <w:p>
            <w:pPr>
              <w:pStyle w:val="0"/>
            </w:pPr>
            <w:r>
              <w:rPr>
                <w:sz w:val="20"/>
              </w:rPr>
              <w:t xml:space="preserve">11485</w:t>
            </w:r>
          </w:p>
        </w:tc>
        <w:tc>
          <w:tcPr>
            <w:tcW w:w="1174" w:type="dxa"/>
          </w:tcPr>
          <w:p>
            <w:pPr>
              <w:pStyle w:val="0"/>
            </w:pPr>
            <w:r>
              <w:rPr>
                <w:sz w:val="20"/>
              </w:rPr>
              <w:t xml:space="preserve">25,5</w:t>
            </w:r>
          </w:p>
        </w:tc>
        <w:tc>
          <w:tcPr>
            <w:tcW w:w="1204" w:type="dxa"/>
          </w:tcPr>
          <w:p>
            <w:pPr>
              <w:pStyle w:val="0"/>
            </w:pPr>
            <w:r>
              <w:rPr>
                <w:sz w:val="20"/>
              </w:rPr>
              <w:t xml:space="preserve">+15,3</w:t>
            </w:r>
          </w:p>
        </w:tc>
      </w:tr>
      <w:tr>
        <w:tc>
          <w:tcPr>
            <w:tcW w:w="2665" w:type="dxa"/>
          </w:tcPr>
          <w:p>
            <w:pPr>
              <w:pStyle w:val="0"/>
            </w:pPr>
            <w:r>
              <w:rPr>
                <w:sz w:val="20"/>
              </w:rPr>
              <w:t xml:space="preserve">из них: ОНМК</w:t>
            </w:r>
          </w:p>
        </w:tc>
        <w:tc>
          <w:tcPr>
            <w:tcW w:w="1399" w:type="dxa"/>
          </w:tcPr>
          <w:p>
            <w:pPr>
              <w:pStyle w:val="0"/>
            </w:pPr>
            <w:r>
              <w:rPr>
                <w:sz w:val="20"/>
              </w:rPr>
              <w:t xml:space="preserve">2923</w:t>
            </w:r>
          </w:p>
        </w:tc>
        <w:tc>
          <w:tcPr>
            <w:tcW w:w="1174" w:type="dxa"/>
          </w:tcPr>
          <w:p>
            <w:pPr>
              <w:pStyle w:val="0"/>
            </w:pPr>
            <w:r>
              <w:rPr>
                <w:sz w:val="20"/>
              </w:rPr>
              <w:t xml:space="preserve">7,3</w:t>
            </w:r>
          </w:p>
        </w:tc>
        <w:tc>
          <w:tcPr>
            <w:tcW w:w="1399" w:type="dxa"/>
          </w:tcPr>
          <w:p>
            <w:pPr>
              <w:pStyle w:val="0"/>
            </w:pPr>
            <w:r>
              <w:rPr>
                <w:sz w:val="20"/>
              </w:rPr>
              <w:t xml:space="preserve">3891</w:t>
            </w:r>
          </w:p>
        </w:tc>
        <w:tc>
          <w:tcPr>
            <w:tcW w:w="1174" w:type="dxa"/>
          </w:tcPr>
          <w:p>
            <w:pPr>
              <w:pStyle w:val="0"/>
            </w:pPr>
            <w:r>
              <w:rPr>
                <w:sz w:val="20"/>
              </w:rPr>
              <w:t xml:space="preserve">8,7</w:t>
            </w:r>
          </w:p>
        </w:tc>
        <w:tc>
          <w:tcPr>
            <w:tcW w:w="1204" w:type="dxa"/>
          </w:tcPr>
          <w:p>
            <w:pPr>
              <w:pStyle w:val="0"/>
            </w:pPr>
            <w:r>
              <w:rPr>
                <w:sz w:val="20"/>
              </w:rPr>
              <w:t xml:space="preserve">+33,1</w:t>
            </w:r>
          </w:p>
        </w:tc>
      </w:tr>
    </w:tbl>
    <w:p>
      <w:pPr>
        <w:pStyle w:val="0"/>
        <w:ind w:firstLine="540"/>
        <w:jc w:val="both"/>
      </w:pPr>
      <w:r>
        <w:rPr>
          <w:sz w:val="20"/>
        </w:rPr>
      </w:r>
    </w:p>
    <w:p>
      <w:pPr>
        <w:pStyle w:val="0"/>
        <w:ind w:firstLine="540"/>
        <w:jc w:val="both"/>
      </w:pPr>
      <w:r>
        <w:rPr>
          <w:sz w:val="20"/>
        </w:rPr>
        <w:t xml:space="preserve">В 2022 году увеличилось количество больных с БСК, пролеченных в стационарах, на 12,8%. Данная тенденция объясняется прекращением ограничительных мероприятий, связанных с COVID-19, и отмечается по всем группам заболеваний БСК.</w:t>
      </w:r>
    </w:p>
    <w:p>
      <w:pPr>
        <w:pStyle w:val="0"/>
        <w:spacing w:before="200" w:line-rule="auto"/>
        <w:ind w:firstLine="540"/>
        <w:jc w:val="both"/>
      </w:pPr>
      <w:r>
        <w:rPr>
          <w:sz w:val="20"/>
        </w:rPr>
        <w:t xml:space="preserve">Всего в 2022 году пролечено в стационарах автономного округа 44966 пациентов с БСК, из них 15767 (35,1%) на кардиологических койках.</w:t>
      </w:r>
    </w:p>
    <w:p>
      <w:pPr>
        <w:pStyle w:val="0"/>
        <w:spacing w:before="200" w:line-rule="auto"/>
        <w:ind w:firstLine="540"/>
        <w:jc w:val="both"/>
      </w:pPr>
      <w:r>
        <w:rPr>
          <w:sz w:val="20"/>
        </w:rPr>
        <w:t xml:space="preserve">Общее число коек неврологического профиля в 2022 году составило 672 - 39,2 на 100 тыс. населения, по РФ в 2021 году - 34,5 (2021 год - 577 коек), из них 228 коек для лечения пациентов с острым нарушением мозгового кровообращения (13,3 на 100 тыс. населения). Всего пролечено пациентов на неврологических койках 14755 пациентов (в 2021 году - 12 109 пациентов), проведено койко-дней - 178576 (в 2021 году - 149 223 дней). Средняя занятость коек неврологического профиля составила 293 дня, средний койко-день - 12,1, оборот койки в среднем - 24,2.</w:t>
      </w:r>
    </w:p>
    <w:p>
      <w:pPr>
        <w:pStyle w:val="0"/>
        <w:spacing w:before="200" w:line-rule="auto"/>
        <w:ind w:firstLine="540"/>
        <w:jc w:val="both"/>
      </w:pPr>
      <w:r>
        <w:rPr>
          <w:sz w:val="20"/>
        </w:rPr>
        <w:t xml:space="preserve">Общее число коек по профилю "сердечно-сосудистая хирургия" (кардиохирургические койки) в 2022 году составило 81 (4,7 на 100 тыс. населения, по РФ за 2021 год - 4,3; по УРФО - 5,2). Всего пролечено пациентов на койках данного профиля 2259, проведено койко-дней 27555. Средняя занятость коек кардиохирургического профиля составила 349 дней в году, средний койко-день - 12,2, оборот койки в среднем составил 28,6.</w:t>
      </w:r>
    </w:p>
    <w:p>
      <w:pPr>
        <w:pStyle w:val="0"/>
        <w:ind w:firstLine="540"/>
        <w:jc w:val="both"/>
      </w:pPr>
      <w:r>
        <w:rPr>
          <w:sz w:val="20"/>
        </w:rPr>
      </w:r>
    </w:p>
    <w:p>
      <w:pPr>
        <w:pStyle w:val="0"/>
        <w:jc w:val="right"/>
      </w:pPr>
      <w:r>
        <w:rPr>
          <w:sz w:val="20"/>
        </w:rPr>
        <w:t xml:space="preserve">Таблица 23</w:t>
      </w:r>
    </w:p>
    <w:p>
      <w:pPr>
        <w:pStyle w:val="0"/>
        <w:jc w:val="right"/>
      </w:pPr>
      <w:r>
        <w:rPr>
          <w:sz w:val="20"/>
        </w:rPr>
      </w:r>
    </w:p>
    <w:p>
      <w:pPr>
        <w:pStyle w:val="0"/>
        <w:jc w:val="center"/>
      </w:pPr>
      <w:r>
        <w:rPr>
          <w:sz w:val="20"/>
        </w:rPr>
        <w:t xml:space="preserve">Динамика объемов стационарной помощи больным</w:t>
      </w:r>
    </w:p>
    <w:p>
      <w:pPr>
        <w:pStyle w:val="0"/>
        <w:jc w:val="center"/>
      </w:pPr>
      <w:r>
        <w:rPr>
          <w:sz w:val="20"/>
        </w:rPr>
        <w:t xml:space="preserve">кардиологического профиля в автономном округе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31"/>
        <w:gridCol w:w="844"/>
        <w:gridCol w:w="844"/>
        <w:gridCol w:w="844"/>
        <w:gridCol w:w="844"/>
        <w:gridCol w:w="844"/>
        <w:gridCol w:w="1587"/>
      </w:tblGrid>
      <w:tr>
        <w:tc>
          <w:tcPr>
            <w:tcW w:w="3231" w:type="dxa"/>
          </w:tcPr>
          <w:p>
            <w:pPr>
              <w:pStyle w:val="0"/>
              <w:jc w:val="center"/>
            </w:pPr>
            <w:r>
              <w:rPr>
                <w:sz w:val="20"/>
              </w:rPr>
              <w:t xml:space="preserve">Показатель</w:t>
            </w:r>
          </w:p>
        </w:tc>
        <w:tc>
          <w:tcPr>
            <w:tcW w:w="844" w:type="dxa"/>
          </w:tcPr>
          <w:p>
            <w:pPr>
              <w:pStyle w:val="0"/>
              <w:jc w:val="center"/>
            </w:pPr>
            <w:r>
              <w:rPr>
                <w:sz w:val="20"/>
              </w:rPr>
              <w:t xml:space="preserve">2018</w:t>
            </w:r>
          </w:p>
        </w:tc>
        <w:tc>
          <w:tcPr>
            <w:tcW w:w="844" w:type="dxa"/>
          </w:tcPr>
          <w:p>
            <w:pPr>
              <w:pStyle w:val="0"/>
              <w:jc w:val="center"/>
            </w:pPr>
            <w:r>
              <w:rPr>
                <w:sz w:val="20"/>
              </w:rPr>
              <w:t xml:space="preserve">2019</w:t>
            </w:r>
          </w:p>
        </w:tc>
        <w:tc>
          <w:tcPr>
            <w:tcW w:w="844" w:type="dxa"/>
          </w:tcPr>
          <w:p>
            <w:pPr>
              <w:pStyle w:val="0"/>
              <w:jc w:val="center"/>
            </w:pPr>
            <w:r>
              <w:rPr>
                <w:sz w:val="20"/>
              </w:rPr>
              <w:t xml:space="preserve">2020</w:t>
            </w:r>
          </w:p>
        </w:tc>
        <w:tc>
          <w:tcPr>
            <w:tcW w:w="844" w:type="dxa"/>
          </w:tcPr>
          <w:p>
            <w:pPr>
              <w:pStyle w:val="0"/>
              <w:jc w:val="center"/>
            </w:pPr>
            <w:r>
              <w:rPr>
                <w:sz w:val="20"/>
              </w:rPr>
              <w:t xml:space="preserve">2021</w:t>
            </w:r>
          </w:p>
        </w:tc>
        <w:tc>
          <w:tcPr>
            <w:tcW w:w="844" w:type="dxa"/>
          </w:tcPr>
          <w:p>
            <w:pPr>
              <w:pStyle w:val="0"/>
              <w:jc w:val="center"/>
            </w:pPr>
            <w:r>
              <w:rPr>
                <w:sz w:val="20"/>
              </w:rPr>
              <w:t xml:space="preserve">2022</w:t>
            </w:r>
          </w:p>
        </w:tc>
        <w:tc>
          <w:tcPr>
            <w:tcW w:w="1587" w:type="dxa"/>
          </w:tcPr>
          <w:p>
            <w:pPr>
              <w:pStyle w:val="0"/>
              <w:jc w:val="center"/>
            </w:pPr>
            <w:r>
              <w:rPr>
                <w:sz w:val="20"/>
              </w:rPr>
              <w:t xml:space="preserve">Динамика 2022/2018 (%)</w:t>
            </w:r>
          </w:p>
        </w:tc>
      </w:tr>
      <w:tr>
        <w:tc>
          <w:tcPr>
            <w:tcW w:w="3231" w:type="dxa"/>
          </w:tcPr>
          <w:p>
            <w:pPr>
              <w:pStyle w:val="0"/>
            </w:pPr>
            <w:r>
              <w:rPr>
                <w:sz w:val="20"/>
              </w:rPr>
              <w:t xml:space="preserve">Число госпитализаций на 1000 жителей в год</w:t>
            </w:r>
          </w:p>
        </w:tc>
        <w:tc>
          <w:tcPr>
            <w:tcW w:w="844" w:type="dxa"/>
          </w:tcPr>
          <w:p>
            <w:pPr>
              <w:pStyle w:val="0"/>
            </w:pPr>
            <w:r>
              <w:rPr>
                <w:sz w:val="20"/>
              </w:rPr>
              <w:t xml:space="preserve">10,9</w:t>
            </w:r>
          </w:p>
        </w:tc>
        <w:tc>
          <w:tcPr>
            <w:tcW w:w="844" w:type="dxa"/>
          </w:tcPr>
          <w:p>
            <w:pPr>
              <w:pStyle w:val="0"/>
            </w:pPr>
            <w:r>
              <w:rPr>
                <w:sz w:val="20"/>
              </w:rPr>
              <w:t xml:space="preserve">9,3</w:t>
            </w:r>
          </w:p>
        </w:tc>
        <w:tc>
          <w:tcPr>
            <w:tcW w:w="844" w:type="dxa"/>
          </w:tcPr>
          <w:p>
            <w:pPr>
              <w:pStyle w:val="0"/>
            </w:pPr>
            <w:r>
              <w:rPr>
                <w:sz w:val="20"/>
              </w:rPr>
              <w:t xml:space="preserve">7,6</w:t>
            </w:r>
          </w:p>
        </w:tc>
        <w:tc>
          <w:tcPr>
            <w:tcW w:w="844" w:type="dxa"/>
          </w:tcPr>
          <w:p>
            <w:pPr>
              <w:pStyle w:val="0"/>
            </w:pPr>
            <w:r>
              <w:rPr>
                <w:sz w:val="20"/>
              </w:rPr>
              <w:t xml:space="preserve">8,4</w:t>
            </w:r>
          </w:p>
        </w:tc>
        <w:tc>
          <w:tcPr>
            <w:tcW w:w="844" w:type="dxa"/>
          </w:tcPr>
          <w:p>
            <w:pPr>
              <w:pStyle w:val="0"/>
            </w:pPr>
            <w:r>
              <w:rPr>
                <w:sz w:val="20"/>
              </w:rPr>
              <w:t xml:space="preserve">9,2</w:t>
            </w:r>
          </w:p>
        </w:tc>
        <w:tc>
          <w:tcPr>
            <w:tcW w:w="1587" w:type="dxa"/>
          </w:tcPr>
          <w:p>
            <w:pPr>
              <w:pStyle w:val="0"/>
            </w:pPr>
            <w:r>
              <w:rPr>
                <w:sz w:val="20"/>
              </w:rPr>
              <w:t xml:space="preserve">-15,6</w:t>
            </w:r>
          </w:p>
        </w:tc>
      </w:tr>
      <w:tr>
        <w:tc>
          <w:tcPr>
            <w:tcW w:w="3231" w:type="dxa"/>
          </w:tcPr>
          <w:p>
            <w:pPr>
              <w:pStyle w:val="0"/>
            </w:pPr>
            <w:r>
              <w:rPr>
                <w:sz w:val="20"/>
              </w:rPr>
              <w:t xml:space="preserve">Госпитализировано больных на койки кардиологического профиля</w:t>
            </w:r>
          </w:p>
        </w:tc>
        <w:tc>
          <w:tcPr>
            <w:tcW w:w="844" w:type="dxa"/>
          </w:tcPr>
          <w:p>
            <w:pPr>
              <w:pStyle w:val="0"/>
            </w:pPr>
            <w:r>
              <w:rPr>
                <w:sz w:val="20"/>
              </w:rPr>
              <w:t xml:space="preserve">15537</w:t>
            </w:r>
          </w:p>
        </w:tc>
        <w:tc>
          <w:tcPr>
            <w:tcW w:w="844" w:type="dxa"/>
          </w:tcPr>
          <w:p>
            <w:pPr>
              <w:pStyle w:val="0"/>
            </w:pPr>
            <w:r>
              <w:rPr>
                <w:sz w:val="20"/>
              </w:rPr>
              <w:t xml:space="preserve">15546</w:t>
            </w:r>
          </w:p>
        </w:tc>
        <w:tc>
          <w:tcPr>
            <w:tcW w:w="844" w:type="dxa"/>
          </w:tcPr>
          <w:p>
            <w:pPr>
              <w:pStyle w:val="0"/>
            </w:pPr>
            <w:r>
              <w:rPr>
                <w:sz w:val="20"/>
              </w:rPr>
              <w:t xml:space="preserve">13008</w:t>
            </w:r>
          </w:p>
        </w:tc>
        <w:tc>
          <w:tcPr>
            <w:tcW w:w="844" w:type="dxa"/>
          </w:tcPr>
          <w:p>
            <w:pPr>
              <w:pStyle w:val="0"/>
            </w:pPr>
            <w:r>
              <w:rPr>
                <w:sz w:val="20"/>
              </w:rPr>
              <w:t xml:space="preserve">14267</w:t>
            </w:r>
          </w:p>
        </w:tc>
        <w:tc>
          <w:tcPr>
            <w:tcW w:w="844" w:type="dxa"/>
          </w:tcPr>
          <w:p>
            <w:pPr>
              <w:pStyle w:val="0"/>
            </w:pPr>
            <w:r>
              <w:rPr>
                <w:sz w:val="20"/>
              </w:rPr>
              <w:t xml:space="preserve">15336</w:t>
            </w:r>
          </w:p>
        </w:tc>
        <w:tc>
          <w:tcPr>
            <w:tcW w:w="1587" w:type="dxa"/>
          </w:tcPr>
          <w:p>
            <w:pPr>
              <w:pStyle w:val="0"/>
            </w:pPr>
            <w:r>
              <w:rPr>
                <w:sz w:val="20"/>
              </w:rPr>
              <w:t xml:space="preserve">-1,3</w:t>
            </w:r>
          </w:p>
        </w:tc>
      </w:tr>
      <w:tr>
        <w:tc>
          <w:tcPr>
            <w:tcW w:w="3231" w:type="dxa"/>
          </w:tcPr>
          <w:p>
            <w:pPr>
              <w:pStyle w:val="0"/>
            </w:pPr>
            <w:r>
              <w:rPr>
                <w:sz w:val="20"/>
              </w:rPr>
              <w:t xml:space="preserve">Число койко-дней на 1000 жителей в год</w:t>
            </w:r>
          </w:p>
        </w:tc>
        <w:tc>
          <w:tcPr>
            <w:tcW w:w="844" w:type="dxa"/>
          </w:tcPr>
          <w:p>
            <w:pPr>
              <w:pStyle w:val="0"/>
            </w:pPr>
            <w:r>
              <w:rPr>
                <w:sz w:val="20"/>
              </w:rPr>
              <w:t xml:space="preserve">106,8</w:t>
            </w:r>
          </w:p>
        </w:tc>
        <w:tc>
          <w:tcPr>
            <w:tcW w:w="844" w:type="dxa"/>
          </w:tcPr>
          <w:p>
            <w:pPr>
              <w:pStyle w:val="0"/>
            </w:pPr>
            <w:r>
              <w:rPr>
                <w:sz w:val="20"/>
              </w:rPr>
              <w:t xml:space="preserve">89,3</w:t>
            </w:r>
          </w:p>
        </w:tc>
        <w:tc>
          <w:tcPr>
            <w:tcW w:w="844" w:type="dxa"/>
          </w:tcPr>
          <w:p>
            <w:pPr>
              <w:pStyle w:val="0"/>
            </w:pPr>
            <w:r>
              <w:rPr>
                <w:sz w:val="20"/>
              </w:rPr>
              <w:t xml:space="preserve">66,7</w:t>
            </w:r>
          </w:p>
        </w:tc>
        <w:tc>
          <w:tcPr>
            <w:tcW w:w="844" w:type="dxa"/>
          </w:tcPr>
          <w:p>
            <w:pPr>
              <w:pStyle w:val="0"/>
            </w:pPr>
            <w:r>
              <w:rPr>
                <w:sz w:val="20"/>
              </w:rPr>
              <w:t xml:space="preserve">75,4</w:t>
            </w:r>
          </w:p>
        </w:tc>
        <w:tc>
          <w:tcPr>
            <w:tcW w:w="844" w:type="dxa"/>
          </w:tcPr>
          <w:p>
            <w:pPr>
              <w:pStyle w:val="0"/>
            </w:pPr>
            <w:r>
              <w:rPr>
                <w:sz w:val="20"/>
              </w:rPr>
              <w:t xml:space="preserve">77,1</w:t>
            </w:r>
          </w:p>
        </w:tc>
        <w:tc>
          <w:tcPr>
            <w:tcW w:w="1587" w:type="dxa"/>
          </w:tcPr>
          <w:p>
            <w:pPr>
              <w:pStyle w:val="0"/>
            </w:pPr>
            <w:r>
              <w:rPr>
                <w:sz w:val="20"/>
              </w:rPr>
              <w:t xml:space="preserve">-27,8</w:t>
            </w:r>
          </w:p>
        </w:tc>
      </w:tr>
      <w:tr>
        <w:tc>
          <w:tcPr>
            <w:tcW w:w="3231" w:type="dxa"/>
          </w:tcPr>
          <w:p>
            <w:pPr>
              <w:pStyle w:val="0"/>
            </w:pPr>
            <w:r>
              <w:rPr>
                <w:sz w:val="20"/>
              </w:rPr>
              <w:t xml:space="preserve">Число койко-дней всего</w:t>
            </w:r>
          </w:p>
        </w:tc>
        <w:tc>
          <w:tcPr>
            <w:tcW w:w="844" w:type="dxa"/>
          </w:tcPr>
          <w:p>
            <w:pPr>
              <w:pStyle w:val="0"/>
            </w:pPr>
            <w:r>
              <w:rPr>
                <w:sz w:val="20"/>
              </w:rPr>
              <w:t xml:space="preserve">152063</w:t>
            </w:r>
          </w:p>
        </w:tc>
        <w:tc>
          <w:tcPr>
            <w:tcW w:w="844" w:type="dxa"/>
          </w:tcPr>
          <w:p>
            <w:pPr>
              <w:pStyle w:val="0"/>
            </w:pPr>
            <w:r>
              <w:rPr>
                <w:sz w:val="20"/>
              </w:rPr>
              <w:t xml:space="preserve">150196</w:t>
            </w:r>
          </w:p>
        </w:tc>
        <w:tc>
          <w:tcPr>
            <w:tcW w:w="844" w:type="dxa"/>
          </w:tcPr>
          <w:p>
            <w:pPr>
              <w:pStyle w:val="0"/>
            </w:pPr>
            <w:r>
              <w:rPr>
                <w:sz w:val="20"/>
              </w:rPr>
              <w:t xml:space="preserve">117141</w:t>
            </w:r>
          </w:p>
        </w:tc>
        <w:tc>
          <w:tcPr>
            <w:tcW w:w="844" w:type="dxa"/>
          </w:tcPr>
          <w:p>
            <w:pPr>
              <w:pStyle w:val="0"/>
            </w:pPr>
            <w:r>
              <w:rPr>
                <w:sz w:val="20"/>
              </w:rPr>
              <w:t xml:space="preserve">128439</w:t>
            </w:r>
          </w:p>
        </w:tc>
        <w:tc>
          <w:tcPr>
            <w:tcW w:w="844" w:type="dxa"/>
          </w:tcPr>
          <w:p>
            <w:pPr>
              <w:pStyle w:val="0"/>
            </w:pPr>
            <w:r>
              <w:rPr>
                <w:sz w:val="20"/>
              </w:rPr>
              <w:t xml:space="preserve">132168</w:t>
            </w:r>
          </w:p>
        </w:tc>
        <w:tc>
          <w:tcPr>
            <w:tcW w:w="1587" w:type="dxa"/>
          </w:tcPr>
          <w:p>
            <w:pPr>
              <w:pStyle w:val="0"/>
            </w:pPr>
            <w:r>
              <w:rPr>
                <w:sz w:val="20"/>
              </w:rPr>
              <w:t xml:space="preserve">-13,1</w:t>
            </w:r>
          </w:p>
        </w:tc>
      </w:tr>
      <w:tr>
        <w:tc>
          <w:tcPr>
            <w:tcW w:w="3231" w:type="dxa"/>
          </w:tcPr>
          <w:p>
            <w:pPr>
              <w:pStyle w:val="0"/>
            </w:pPr>
            <w:r>
              <w:rPr>
                <w:sz w:val="20"/>
              </w:rPr>
              <w:t xml:space="preserve">Средний койко-день</w:t>
            </w:r>
          </w:p>
        </w:tc>
        <w:tc>
          <w:tcPr>
            <w:tcW w:w="844" w:type="dxa"/>
          </w:tcPr>
          <w:p>
            <w:pPr>
              <w:pStyle w:val="0"/>
            </w:pPr>
            <w:r>
              <w:rPr>
                <w:sz w:val="20"/>
              </w:rPr>
              <w:t xml:space="preserve">9,8</w:t>
            </w:r>
          </w:p>
        </w:tc>
        <w:tc>
          <w:tcPr>
            <w:tcW w:w="844" w:type="dxa"/>
          </w:tcPr>
          <w:p>
            <w:pPr>
              <w:pStyle w:val="0"/>
            </w:pPr>
            <w:r>
              <w:rPr>
                <w:sz w:val="20"/>
              </w:rPr>
              <w:t xml:space="preserve">9,6</w:t>
            </w:r>
          </w:p>
        </w:tc>
        <w:tc>
          <w:tcPr>
            <w:tcW w:w="844" w:type="dxa"/>
          </w:tcPr>
          <w:p>
            <w:pPr>
              <w:pStyle w:val="0"/>
            </w:pPr>
            <w:r>
              <w:rPr>
                <w:sz w:val="20"/>
              </w:rPr>
              <w:t xml:space="preserve">9,1</w:t>
            </w:r>
          </w:p>
        </w:tc>
        <w:tc>
          <w:tcPr>
            <w:tcW w:w="844" w:type="dxa"/>
          </w:tcPr>
          <w:p>
            <w:pPr>
              <w:pStyle w:val="0"/>
            </w:pPr>
            <w:r>
              <w:rPr>
                <w:sz w:val="20"/>
              </w:rPr>
              <w:t xml:space="preserve">8,9</w:t>
            </w:r>
          </w:p>
        </w:tc>
        <w:tc>
          <w:tcPr>
            <w:tcW w:w="844" w:type="dxa"/>
          </w:tcPr>
          <w:p>
            <w:pPr>
              <w:pStyle w:val="0"/>
            </w:pPr>
            <w:r>
              <w:rPr>
                <w:sz w:val="20"/>
              </w:rPr>
              <w:t xml:space="preserve">8,4</w:t>
            </w:r>
          </w:p>
        </w:tc>
        <w:tc>
          <w:tcPr>
            <w:tcW w:w="1587" w:type="dxa"/>
          </w:tcPr>
          <w:p>
            <w:pPr>
              <w:pStyle w:val="0"/>
            </w:pPr>
            <w:r>
              <w:rPr>
                <w:sz w:val="20"/>
              </w:rPr>
              <w:t xml:space="preserve">-14,3</w:t>
            </w:r>
          </w:p>
        </w:tc>
      </w:tr>
      <w:tr>
        <w:tc>
          <w:tcPr>
            <w:tcW w:w="3231" w:type="dxa"/>
          </w:tcPr>
          <w:p>
            <w:pPr>
              <w:pStyle w:val="0"/>
            </w:pPr>
            <w:r>
              <w:rPr>
                <w:sz w:val="20"/>
              </w:rPr>
              <w:t xml:space="preserve">Среднегодовое количество коек кардиологического профиля</w:t>
            </w:r>
          </w:p>
        </w:tc>
        <w:tc>
          <w:tcPr>
            <w:tcW w:w="844" w:type="dxa"/>
          </w:tcPr>
          <w:p>
            <w:pPr>
              <w:pStyle w:val="0"/>
            </w:pPr>
            <w:r>
              <w:rPr>
                <w:sz w:val="20"/>
              </w:rPr>
              <w:t xml:space="preserve">456</w:t>
            </w:r>
          </w:p>
        </w:tc>
        <w:tc>
          <w:tcPr>
            <w:tcW w:w="844" w:type="dxa"/>
          </w:tcPr>
          <w:p>
            <w:pPr>
              <w:pStyle w:val="0"/>
            </w:pPr>
            <w:r>
              <w:rPr>
                <w:sz w:val="20"/>
              </w:rPr>
              <w:t xml:space="preserve">446</w:t>
            </w:r>
          </w:p>
        </w:tc>
        <w:tc>
          <w:tcPr>
            <w:tcW w:w="844" w:type="dxa"/>
          </w:tcPr>
          <w:p>
            <w:pPr>
              <w:pStyle w:val="0"/>
            </w:pPr>
            <w:r>
              <w:rPr>
                <w:sz w:val="20"/>
              </w:rPr>
              <w:t xml:space="preserve">434</w:t>
            </w:r>
          </w:p>
        </w:tc>
        <w:tc>
          <w:tcPr>
            <w:tcW w:w="844" w:type="dxa"/>
          </w:tcPr>
          <w:p>
            <w:pPr>
              <w:pStyle w:val="0"/>
            </w:pPr>
            <w:r>
              <w:rPr>
                <w:sz w:val="20"/>
              </w:rPr>
              <w:t xml:space="preserve">410</w:t>
            </w:r>
          </w:p>
        </w:tc>
        <w:tc>
          <w:tcPr>
            <w:tcW w:w="844" w:type="dxa"/>
          </w:tcPr>
          <w:p>
            <w:pPr>
              <w:pStyle w:val="0"/>
            </w:pPr>
            <w:r>
              <w:rPr>
                <w:sz w:val="20"/>
              </w:rPr>
              <w:t xml:space="preserve">451</w:t>
            </w:r>
          </w:p>
        </w:tc>
        <w:tc>
          <w:tcPr>
            <w:tcW w:w="1587" w:type="dxa"/>
          </w:tcPr>
          <w:p>
            <w:pPr>
              <w:pStyle w:val="0"/>
            </w:pPr>
            <w:r>
              <w:rPr>
                <w:sz w:val="20"/>
              </w:rPr>
              <w:t xml:space="preserve">+10</w:t>
            </w:r>
          </w:p>
        </w:tc>
      </w:tr>
      <w:tr>
        <w:tc>
          <w:tcPr>
            <w:tcW w:w="3231" w:type="dxa"/>
          </w:tcPr>
          <w:p>
            <w:pPr>
              <w:pStyle w:val="0"/>
            </w:pPr>
            <w:r>
              <w:rPr>
                <w:sz w:val="20"/>
              </w:rPr>
              <w:t xml:space="preserve">Функция койки</w:t>
            </w:r>
          </w:p>
        </w:tc>
        <w:tc>
          <w:tcPr>
            <w:tcW w:w="844" w:type="dxa"/>
          </w:tcPr>
          <w:p>
            <w:pPr>
              <w:pStyle w:val="0"/>
            </w:pPr>
            <w:r>
              <w:rPr>
                <w:sz w:val="20"/>
              </w:rPr>
              <w:t xml:space="preserve">337</w:t>
            </w:r>
          </w:p>
        </w:tc>
        <w:tc>
          <w:tcPr>
            <w:tcW w:w="844" w:type="dxa"/>
          </w:tcPr>
          <w:p>
            <w:pPr>
              <w:pStyle w:val="0"/>
            </w:pPr>
            <w:r>
              <w:rPr>
                <w:sz w:val="20"/>
              </w:rPr>
              <w:t xml:space="preserve">337</w:t>
            </w:r>
          </w:p>
        </w:tc>
        <w:tc>
          <w:tcPr>
            <w:tcW w:w="844" w:type="dxa"/>
          </w:tcPr>
          <w:p>
            <w:pPr>
              <w:pStyle w:val="0"/>
            </w:pPr>
            <w:r>
              <w:rPr>
                <w:sz w:val="20"/>
              </w:rPr>
              <w:t xml:space="preserve">332</w:t>
            </w:r>
          </w:p>
        </w:tc>
        <w:tc>
          <w:tcPr>
            <w:tcW w:w="844" w:type="dxa"/>
          </w:tcPr>
          <w:p>
            <w:pPr>
              <w:pStyle w:val="0"/>
            </w:pPr>
            <w:r>
              <w:rPr>
                <w:sz w:val="20"/>
              </w:rPr>
              <w:t xml:space="preserve">329</w:t>
            </w:r>
          </w:p>
        </w:tc>
        <w:tc>
          <w:tcPr>
            <w:tcW w:w="844" w:type="dxa"/>
          </w:tcPr>
          <w:p>
            <w:pPr>
              <w:pStyle w:val="0"/>
            </w:pPr>
            <w:r>
              <w:rPr>
                <w:sz w:val="20"/>
              </w:rPr>
              <w:t xml:space="preserve">293</w:t>
            </w:r>
          </w:p>
        </w:tc>
        <w:tc>
          <w:tcPr>
            <w:tcW w:w="1587" w:type="dxa"/>
          </w:tcPr>
          <w:p>
            <w:pPr>
              <w:pStyle w:val="0"/>
            </w:pPr>
            <w:r>
              <w:rPr>
                <w:sz w:val="20"/>
              </w:rPr>
              <w:t xml:space="preserve">-13,4</w:t>
            </w:r>
          </w:p>
        </w:tc>
      </w:tr>
    </w:tbl>
    <w:p>
      <w:pPr>
        <w:pStyle w:val="0"/>
        <w:ind w:firstLine="540"/>
        <w:jc w:val="both"/>
      </w:pPr>
      <w:r>
        <w:rPr>
          <w:sz w:val="20"/>
        </w:rPr>
      </w:r>
    </w:p>
    <w:p>
      <w:pPr>
        <w:pStyle w:val="0"/>
        <w:ind w:firstLine="540"/>
        <w:jc w:val="both"/>
      </w:pPr>
      <w:r>
        <w:rPr>
          <w:sz w:val="20"/>
        </w:rPr>
        <w:t xml:space="preserve">Среднегодовое число коек кардиологического профиля (для взрослых) в 2022 году составило 428 (33,6 на 100 тыс. населения).</w:t>
      </w:r>
    </w:p>
    <w:p>
      <w:pPr>
        <w:pStyle w:val="0"/>
        <w:spacing w:before="200" w:line-rule="auto"/>
        <w:ind w:firstLine="540"/>
        <w:jc w:val="both"/>
      </w:pPr>
      <w:r>
        <w:rPr>
          <w:sz w:val="20"/>
        </w:rPr>
        <w:t xml:space="preserve">В динамике за 5 лет отмечено снижение на 15,6% показателя госпитализаций на койки кардиологического профиля на 1000 населения, показатель составил 9,2 на 1000 жителей, что ниже рекомендованного Программой Государственных гарантий бесплатного оказания медицинской помощи на 2022 год и на плановый период 2023 и 2024 годов (9,7 на 1000 населения). Число койко-дней на койках кардиологического профиля также снизилось (на 27,8% в сравнении с 2018 г.), в том числе за счет уменьшения среднего койко-дня на 14,3%. Число койко-дней на 1000 жителей в год значительно меньше рекомендованного Минздравом России показателя (75,4 и 101,08 на 1000 жителей соответственно).</w:t>
      </w:r>
    </w:p>
    <w:p>
      <w:pPr>
        <w:pStyle w:val="0"/>
        <w:spacing w:before="200" w:line-rule="auto"/>
        <w:ind w:firstLine="540"/>
        <w:jc w:val="both"/>
      </w:pPr>
      <w:r>
        <w:rPr>
          <w:sz w:val="20"/>
        </w:rPr>
        <w:t xml:space="preserve">В 2022 году в автономном округе отмечена положительная динамика числа инструментальных исследований, проведенных пациентам с БСК: всего проведено 1 604 101 функционально-диагностических исследований, из них Эхо-КГ - 201974 исследования (в 2021 году - 192 942), УЗИ сосудов - 265 370 (в 2021 году - 241 100), нагрузочных тестов (ВЭМ, тредмил) - 13 403 (в 2021 году - 15 057), коронароангиографий 6533 (в 2021 году - 8430).</w:t>
      </w:r>
    </w:p>
    <w:p>
      <w:pPr>
        <w:pStyle w:val="0"/>
        <w:jc w:val="right"/>
      </w:pPr>
      <w:r>
        <w:rPr>
          <w:sz w:val="20"/>
        </w:rPr>
      </w:r>
    </w:p>
    <w:p>
      <w:pPr>
        <w:pStyle w:val="0"/>
        <w:jc w:val="right"/>
      </w:pPr>
      <w:r>
        <w:rPr>
          <w:sz w:val="20"/>
        </w:rPr>
        <w:t xml:space="preserve">Таблица 24</w:t>
      </w:r>
    </w:p>
    <w:p>
      <w:pPr>
        <w:pStyle w:val="0"/>
        <w:jc w:val="right"/>
      </w:pPr>
      <w:r>
        <w:rPr>
          <w:sz w:val="20"/>
        </w:rPr>
      </w:r>
    </w:p>
    <w:p>
      <w:pPr>
        <w:pStyle w:val="0"/>
        <w:jc w:val="center"/>
      </w:pPr>
      <w:r>
        <w:rPr>
          <w:sz w:val="20"/>
        </w:rPr>
        <w:t xml:space="preserve">Госпитальная летальность от БСК (МИАЦ)</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604"/>
        <w:gridCol w:w="604"/>
        <w:gridCol w:w="604"/>
        <w:gridCol w:w="604"/>
        <w:gridCol w:w="604"/>
        <w:gridCol w:w="1644"/>
      </w:tblGrid>
      <w:tr>
        <w:tc>
          <w:tcPr>
            <w:tcW w:w="2551" w:type="dxa"/>
          </w:tcPr>
          <w:p>
            <w:pPr>
              <w:pStyle w:val="0"/>
              <w:jc w:val="center"/>
            </w:pPr>
            <w:r>
              <w:rPr>
                <w:sz w:val="20"/>
              </w:rPr>
              <w:t xml:space="preserve">Показатели</w:t>
            </w:r>
          </w:p>
        </w:tc>
        <w:tc>
          <w:tcPr>
            <w:tcW w:w="604" w:type="dxa"/>
          </w:tcPr>
          <w:p>
            <w:pPr>
              <w:pStyle w:val="0"/>
              <w:jc w:val="center"/>
            </w:pPr>
            <w:r>
              <w:rPr>
                <w:sz w:val="20"/>
              </w:rPr>
              <w:t xml:space="preserve">2018</w:t>
            </w:r>
          </w:p>
        </w:tc>
        <w:tc>
          <w:tcPr>
            <w:tcW w:w="604" w:type="dxa"/>
          </w:tcPr>
          <w:p>
            <w:pPr>
              <w:pStyle w:val="0"/>
              <w:jc w:val="center"/>
            </w:pPr>
            <w:r>
              <w:rPr>
                <w:sz w:val="20"/>
              </w:rPr>
              <w:t xml:space="preserve">2019</w:t>
            </w:r>
          </w:p>
        </w:tc>
        <w:tc>
          <w:tcPr>
            <w:tcW w:w="604" w:type="dxa"/>
          </w:tcPr>
          <w:p>
            <w:pPr>
              <w:pStyle w:val="0"/>
              <w:jc w:val="center"/>
            </w:pPr>
            <w:r>
              <w:rPr>
                <w:sz w:val="20"/>
              </w:rPr>
              <w:t xml:space="preserve">2020</w:t>
            </w:r>
          </w:p>
        </w:tc>
        <w:tc>
          <w:tcPr>
            <w:tcW w:w="604" w:type="dxa"/>
          </w:tcPr>
          <w:p>
            <w:pPr>
              <w:pStyle w:val="0"/>
              <w:jc w:val="center"/>
            </w:pPr>
            <w:r>
              <w:rPr>
                <w:sz w:val="20"/>
              </w:rPr>
              <w:t xml:space="preserve">2021</w:t>
            </w:r>
          </w:p>
        </w:tc>
        <w:tc>
          <w:tcPr>
            <w:tcW w:w="604" w:type="dxa"/>
          </w:tcPr>
          <w:p>
            <w:pPr>
              <w:pStyle w:val="0"/>
              <w:jc w:val="center"/>
            </w:pPr>
            <w:r>
              <w:rPr>
                <w:sz w:val="20"/>
              </w:rPr>
              <w:t xml:space="preserve">2022</w:t>
            </w:r>
          </w:p>
        </w:tc>
        <w:tc>
          <w:tcPr>
            <w:tcW w:w="1644" w:type="dxa"/>
          </w:tcPr>
          <w:p>
            <w:pPr>
              <w:pStyle w:val="0"/>
              <w:jc w:val="center"/>
            </w:pPr>
            <w:r>
              <w:rPr>
                <w:sz w:val="20"/>
              </w:rPr>
              <w:t xml:space="preserve">Динамика 2022/2021</w:t>
            </w:r>
          </w:p>
        </w:tc>
      </w:tr>
      <w:tr>
        <w:tc>
          <w:tcPr>
            <w:tcW w:w="2551" w:type="dxa"/>
          </w:tcPr>
          <w:p>
            <w:pPr>
              <w:pStyle w:val="0"/>
            </w:pPr>
            <w:r>
              <w:rPr>
                <w:sz w:val="20"/>
              </w:rPr>
              <w:t xml:space="preserve">Больничная летальность от БСК</w:t>
            </w:r>
          </w:p>
        </w:tc>
        <w:tc>
          <w:tcPr>
            <w:tcW w:w="604" w:type="dxa"/>
          </w:tcPr>
          <w:p>
            <w:pPr>
              <w:pStyle w:val="0"/>
            </w:pPr>
            <w:r>
              <w:rPr>
                <w:sz w:val="20"/>
              </w:rPr>
              <w:t xml:space="preserve">2,7</w:t>
            </w:r>
          </w:p>
        </w:tc>
        <w:tc>
          <w:tcPr>
            <w:tcW w:w="604" w:type="dxa"/>
          </w:tcPr>
          <w:p>
            <w:pPr>
              <w:pStyle w:val="0"/>
            </w:pPr>
            <w:r>
              <w:rPr>
                <w:sz w:val="20"/>
              </w:rPr>
              <w:t xml:space="preserve">2,8</w:t>
            </w:r>
          </w:p>
        </w:tc>
        <w:tc>
          <w:tcPr>
            <w:tcW w:w="604" w:type="dxa"/>
          </w:tcPr>
          <w:p>
            <w:pPr>
              <w:pStyle w:val="0"/>
            </w:pPr>
            <w:r>
              <w:rPr>
                <w:sz w:val="20"/>
              </w:rPr>
              <w:t xml:space="preserve">4,2</w:t>
            </w:r>
          </w:p>
        </w:tc>
        <w:tc>
          <w:tcPr>
            <w:tcW w:w="604" w:type="dxa"/>
          </w:tcPr>
          <w:p>
            <w:pPr>
              <w:pStyle w:val="0"/>
            </w:pPr>
            <w:r>
              <w:rPr>
                <w:sz w:val="20"/>
              </w:rPr>
              <w:t xml:space="preserve">3,4</w:t>
            </w:r>
          </w:p>
        </w:tc>
        <w:tc>
          <w:tcPr>
            <w:tcW w:w="604" w:type="dxa"/>
          </w:tcPr>
          <w:p>
            <w:pPr>
              <w:pStyle w:val="0"/>
            </w:pPr>
            <w:r>
              <w:rPr>
                <w:sz w:val="20"/>
              </w:rPr>
              <w:t xml:space="preserve">3,0</w:t>
            </w:r>
          </w:p>
        </w:tc>
        <w:tc>
          <w:tcPr>
            <w:tcW w:w="1644" w:type="dxa"/>
          </w:tcPr>
          <w:p>
            <w:pPr>
              <w:pStyle w:val="0"/>
            </w:pPr>
            <w:r>
              <w:rPr>
                <w:sz w:val="20"/>
              </w:rPr>
              <w:t xml:space="preserve">-11,8</w:t>
            </w:r>
          </w:p>
        </w:tc>
      </w:tr>
      <w:tr>
        <w:tc>
          <w:tcPr>
            <w:tcW w:w="2551" w:type="dxa"/>
          </w:tcPr>
          <w:p>
            <w:pPr>
              <w:pStyle w:val="0"/>
            </w:pPr>
            <w:r>
              <w:rPr>
                <w:sz w:val="20"/>
              </w:rPr>
              <w:t xml:space="preserve">от ишемических болезней</w:t>
            </w:r>
          </w:p>
        </w:tc>
        <w:tc>
          <w:tcPr>
            <w:tcW w:w="604" w:type="dxa"/>
          </w:tcPr>
          <w:p>
            <w:pPr>
              <w:pStyle w:val="0"/>
            </w:pPr>
            <w:r>
              <w:rPr>
                <w:sz w:val="20"/>
              </w:rPr>
              <w:t xml:space="preserve">3,58</w:t>
            </w:r>
          </w:p>
        </w:tc>
        <w:tc>
          <w:tcPr>
            <w:tcW w:w="604" w:type="dxa"/>
          </w:tcPr>
          <w:p>
            <w:pPr>
              <w:pStyle w:val="0"/>
            </w:pPr>
            <w:r>
              <w:rPr>
                <w:sz w:val="20"/>
              </w:rPr>
              <w:t xml:space="preserve">3,7</w:t>
            </w:r>
          </w:p>
        </w:tc>
        <w:tc>
          <w:tcPr>
            <w:tcW w:w="604" w:type="dxa"/>
          </w:tcPr>
          <w:p>
            <w:pPr>
              <w:pStyle w:val="0"/>
            </w:pPr>
            <w:r>
              <w:rPr>
                <w:sz w:val="20"/>
              </w:rPr>
              <w:t xml:space="preserve">5,5</w:t>
            </w:r>
          </w:p>
        </w:tc>
        <w:tc>
          <w:tcPr>
            <w:tcW w:w="604" w:type="dxa"/>
          </w:tcPr>
          <w:p>
            <w:pPr>
              <w:pStyle w:val="0"/>
            </w:pPr>
            <w:r>
              <w:rPr>
                <w:sz w:val="20"/>
              </w:rPr>
              <w:t xml:space="preserve">4,4</w:t>
            </w:r>
          </w:p>
        </w:tc>
        <w:tc>
          <w:tcPr>
            <w:tcW w:w="604" w:type="dxa"/>
          </w:tcPr>
          <w:p>
            <w:pPr>
              <w:pStyle w:val="0"/>
            </w:pPr>
            <w:r>
              <w:rPr>
                <w:sz w:val="20"/>
              </w:rPr>
              <w:t xml:space="preserve">4,1</w:t>
            </w:r>
          </w:p>
        </w:tc>
        <w:tc>
          <w:tcPr>
            <w:tcW w:w="1644" w:type="dxa"/>
          </w:tcPr>
          <w:p>
            <w:pPr>
              <w:pStyle w:val="0"/>
            </w:pPr>
            <w:r>
              <w:rPr>
                <w:sz w:val="20"/>
              </w:rPr>
              <w:t xml:space="preserve">-6,8</w:t>
            </w:r>
          </w:p>
        </w:tc>
      </w:tr>
      <w:tr>
        <w:tc>
          <w:tcPr>
            <w:tcW w:w="2551" w:type="dxa"/>
          </w:tcPr>
          <w:p>
            <w:pPr>
              <w:pStyle w:val="0"/>
            </w:pPr>
            <w:r>
              <w:rPr>
                <w:sz w:val="20"/>
              </w:rPr>
              <w:t xml:space="preserve">из них: от ИМ</w:t>
            </w:r>
          </w:p>
        </w:tc>
        <w:tc>
          <w:tcPr>
            <w:tcW w:w="604" w:type="dxa"/>
          </w:tcPr>
          <w:p>
            <w:pPr>
              <w:pStyle w:val="0"/>
            </w:pPr>
            <w:r>
              <w:rPr>
                <w:sz w:val="20"/>
              </w:rPr>
              <w:t xml:space="preserve">8,2</w:t>
            </w:r>
          </w:p>
        </w:tc>
        <w:tc>
          <w:tcPr>
            <w:tcW w:w="604" w:type="dxa"/>
          </w:tcPr>
          <w:p>
            <w:pPr>
              <w:pStyle w:val="0"/>
            </w:pPr>
            <w:r>
              <w:rPr>
                <w:sz w:val="20"/>
              </w:rPr>
              <w:t xml:space="preserve">7,4</w:t>
            </w:r>
          </w:p>
        </w:tc>
        <w:tc>
          <w:tcPr>
            <w:tcW w:w="604" w:type="dxa"/>
          </w:tcPr>
          <w:p>
            <w:pPr>
              <w:pStyle w:val="0"/>
            </w:pPr>
            <w:r>
              <w:rPr>
                <w:sz w:val="20"/>
              </w:rPr>
              <w:t xml:space="preserve">7,4</w:t>
            </w:r>
          </w:p>
        </w:tc>
        <w:tc>
          <w:tcPr>
            <w:tcW w:w="604" w:type="dxa"/>
          </w:tcPr>
          <w:p>
            <w:pPr>
              <w:pStyle w:val="0"/>
            </w:pPr>
            <w:r>
              <w:rPr>
                <w:sz w:val="20"/>
              </w:rPr>
              <w:t xml:space="preserve">7,3</w:t>
            </w:r>
          </w:p>
        </w:tc>
        <w:tc>
          <w:tcPr>
            <w:tcW w:w="604" w:type="dxa"/>
          </w:tcPr>
          <w:p>
            <w:pPr>
              <w:pStyle w:val="0"/>
            </w:pPr>
            <w:r>
              <w:rPr>
                <w:sz w:val="20"/>
              </w:rPr>
              <w:t xml:space="preserve">6,0</w:t>
            </w:r>
          </w:p>
        </w:tc>
        <w:tc>
          <w:tcPr>
            <w:tcW w:w="1644" w:type="dxa"/>
          </w:tcPr>
          <w:p>
            <w:pPr>
              <w:pStyle w:val="0"/>
            </w:pPr>
            <w:r>
              <w:rPr>
                <w:sz w:val="20"/>
              </w:rPr>
              <w:t xml:space="preserve">-17,8</w:t>
            </w:r>
          </w:p>
        </w:tc>
      </w:tr>
      <w:tr>
        <w:tc>
          <w:tcPr>
            <w:tcW w:w="2551" w:type="dxa"/>
          </w:tcPr>
          <w:p>
            <w:pPr>
              <w:pStyle w:val="0"/>
            </w:pPr>
            <w:r>
              <w:rPr>
                <w:sz w:val="20"/>
              </w:rPr>
              <w:t xml:space="preserve">от ЦВБ</w:t>
            </w:r>
          </w:p>
        </w:tc>
        <w:tc>
          <w:tcPr>
            <w:tcW w:w="604" w:type="dxa"/>
          </w:tcPr>
          <w:p>
            <w:pPr>
              <w:pStyle w:val="0"/>
            </w:pPr>
            <w:r>
              <w:rPr>
                <w:sz w:val="20"/>
              </w:rPr>
              <w:t xml:space="preserve">4,5</w:t>
            </w:r>
          </w:p>
        </w:tc>
        <w:tc>
          <w:tcPr>
            <w:tcW w:w="604" w:type="dxa"/>
          </w:tcPr>
          <w:p>
            <w:pPr>
              <w:pStyle w:val="0"/>
            </w:pPr>
            <w:r>
              <w:rPr>
                <w:sz w:val="20"/>
              </w:rPr>
              <w:t xml:space="preserve">3,4</w:t>
            </w:r>
          </w:p>
        </w:tc>
        <w:tc>
          <w:tcPr>
            <w:tcW w:w="604" w:type="dxa"/>
          </w:tcPr>
          <w:p>
            <w:pPr>
              <w:pStyle w:val="0"/>
            </w:pPr>
            <w:r>
              <w:rPr>
                <w:sz w:val="20"/>
              </w:rPr>
              <w:t xml:space="preserve">5,9</w:t>
            </w:r>
          </w:p>
        </w:tc>
        <w:tc>
          <w:tcPr>
            <w:tcW w:w="604" w:type="dxa"/>
          </w:tcPr>
          <w:p>
            <w:pPr>
              <w:pStyle w:val="0"/>
            </w:pPr>
            <w:r>
              <w:rPr>
                <w:sz w:val="20"/>
              </w:rPr>
              <w:t xml:space="preserve">4,6</w:t>
            </w:r>
          </w:p>
        </w:tc>
        <w:tc>
          <w:tcPr>
            <w:tcW w:w="604" w:type="dxa"/>
          </w:tcPr>
          <w:p>
            <w:pPr>
              <w:pStyle w:val="0"/>
            </w:pPr>
            <w:r>
              <w:rPr>
                <w:sz w:val="20"/>
              </w:rPr>
              <w:t xml:space="preserve">3,9</w:t>
            </w:r>
          </w:p>
        </w:tc>
        <w:tc>
          <w:tcPr>
            <w:tcW w:w="1644" w:type="dxa"/>
          </w:tcPr>
          <w:p>
            <w:pPr>
              <w:pStyle w:val="0"/>
            </w:pPr>
            <w:r>
              <w:rPr>
                <w:sz w:val="20"/>
              </w:rPr>
              <w:t xml:space="preserve">-15,2</w:t>
            </w:r>
          </w:p>
        </w:tc>
      </w:tr>
      <w:tr>
        <w:tc>
          <w:tcPr>
            <w:tcW w:w="2551" w:type="dxa"/>
          </w:tcPr>
          <w:p>
            <w:pPr>
              <w:pStyle w:val="0"/>
            </w:pPr>
            <w:r>
              <w:rPr>
                <w:sz w:val="20"/>
              </w:rPr>
              <w:t xml:space="preserve">из них: ОНМК</w:t>
            </w:r>
          </w:p>
        </w:tc>
        <w:tc>
          <w:tcPr>
            <w:tcW w:w="604" w:type="dxa"/>
          </w:tcPr>
          <w:p>
            <w:pPr>
              <w:pStyle w:val="0"/>
            </w:pPr>
            <w:r>
              <w:rPr>
                <w:sz w:val="20"/>
              </w:rPr>
              <w:t xml:space="preserve">11,1</w:t>
            </w:r>
          </w:p>
        </w:tc>
        <w:tc>
          <w:tcPr>
            <w:tcW w:w="604" w:type="dxa"/>
          </w:tcPr>
          <w:p>
            <w:pPr>
              <w:pStyle w:val="0"/>
            </w:pPr>
            <w:r>
              <w:rPr>
                <w:sz w:val="20"/>
              </w:rPr>
              <w:t xml:space="preserve">10,0</w:t>
            </w:r>
          </w:p>
        </w:tc>
        <w:tc>
          <w:tcPr>
            <w:tcW w:w="604" w:type="dxa"/>
          </w:tcPr>
          <w:p>
            <w:pPr>
              <w:pStyle w:val="0"/>
            </w:pPr>
            <w:r>
              <w:rPr>
                <w:sz w:val="20"/>
              </w:rPr>
              <w:t xml:space="preserve">10,4</w:t>
            </w:r>
          </w:p>
        </w:tc>
        <w:tc>
          <w:tcPr>
            <w:tcW w:w="604" w:type="dxa"/>
          </w:tcPr>
          <w:p>
            <w:pPr>
              <w:pStyle w:val="0"/>
            </w:pPr>
            <w:r>
              <w:rPr>
                <w:sz w:val="20"/>
              </w:rPr>
              <w:t xml:space="preserve">10,0</w:t>
            </w:r>
          </w:p>
        </w:tc>
        <w:tc>
          <w:tcPr>
            <w:tcW w:w="604" w:type="dxa"/>
          </w:tcPr>
          <w:p>
            <w:pPr>
              <w:pStyle w:val="0"/>
            </w:pPr>
            <w:r>
              <w:rPr>
                <w:sz w:val="20"/>
              </w:rPr>
              <w:t xml:space="preserve">8,9</w:t>
            </w:r>
          </w:p>
        </w:tc>
        <w:tc>
          <w:tcPr>
            <w:tcW w:w="1644" w:type="dxa"/>
          </w:tcPr>
          <w:p>
            <w:pPr>
              <w:pStyle w:val="0"/>
            </w:pPr>
            <w:r>
              <w:rPr>
                <w:sz w:val="20"/>
              </w:rPr>
              <w:t xml:space="preserve">-11,0</w:t>
            </w:r>
          </w:p>
        </w:tc>
      </w:tr>
    </w:tbl>
    <w:p>
      <w:pPr>
        <w:pStyle w:val="0"/>
        <w:ind w:firstLine="540"/>
        <w:jc w:val="both"/>
      </w:pPr>
      <w:r>
        <w:rPr>
          <w:sz w:val="20"/>
        </w:rPr>
      </w:r>
    </w:p>
    <w:p>
      <w:pPr>
        <w:pStyle w:val="0"/>
        <w:ind w:firstLine="540"/>
        <w:jc w:val="both"/>
      </w:pPr>
      <w:r>
        <w:rPr>
          <w:sz w:val="20"/>
        </w:rPr>
        <w:t xml:space="preserve">В 2022 году летальность в целом по БСК снизилась в сравнении с 2021 годом (-11,8%). При анализе показателей летальности в динамике необходимо отметить, что положительная тенденция к снижению летальности продолжается благодаря стабилизации эпидемиологической обстановке по COVID-19 в 2022 году. В сравнении с доковидными показателями 2018 года очевидно, что летальность повысилась только за счет хронических форм БСК, в то время как летальность от острых заболеваний (ОНМК, ИМ) имеет тенденцию к снижению.</w:t>
      </w:r>
    </w:p>
    <w:p>
      <w:pPr>
        <w:pStyle w:val="0"/>
        <w:ind w:firstLine="540"/>
        <w:jc w:val="both"/>
      </w:pPr>
      <w:r>
        <w:rPr>
          <w:sz w:val="20"/>
        </w:rPr>
      </w:r>
    </w:p>
    <w:p>
      <w:pPr>
        <w:pStyle w:val="0"/>
        <w:jc w:val="right"/>
      </w:pPr>
      <w:r>
        <w:rPr>
          <w:sz w:val="20"/>
        </w:rPr>
        <w:t xml:space="preserve">Таблица 25</w:t>
      </w:r>
    </w:p>
    <w:p>
      <w:pPr>
        <w:pStyle w:val="0"/>
        <w:jc w:val="right"/>
      </w:pPr>
      <w:r>
        <w:rPr>
          <w:sz w:val="20"/>
        </w:rPr>
      </w:r>
    </w:p>
    <w:p>
      <w:pPr>
        <w:pStyle w:val="0"/>
        <w:jc w:val="center"/>
      </w:pPr>
      <w:r>
        <w:rPr>
          <w:sz w:val="20"/>
        </w:rPr>
        <w:t xml:space="preserve">Госпитальная летальность в автономном округе за 2022 год</w:t>
      </w:r>
    </w:p>
    <w:p>
      <w:pPr>
        <w:pStyle w:val="0"/>
        <w:jc w:val="center"/>
      </w:pPr>
      <w:r>
        <w:rPr>
          <w:sz w:val="20"/>
        </w:rPr>
        <w:t xml:space="preserve">(МИАЦ)</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19"/>
        <w:gridCol w:w="844"/>
        <w:gridCol w:w="1129"/>
        <w:gridCol w:w="1864"/>
        <w:gridCol w:w="1129"/>
        <w:gridCol w:w="1864"/>
      </w:tblGrid>
      <w:tr>
        <w:tc>
          <w:tcPr>
            <w:tcW w:w="2119" w:type="dxa"/>
          </w:tcPr>
          <w:p>
            <w:pPr>
              <w:pStyle w:val="0"/>
              <w:jc w:val="center"/>
            </w:pPr>
            <w:r>
              <w:rPr>
                <w:sz w:val="20"/>
              </w:rPr>
            </w:r>
          </w:p>
        </w:tc>
        <w:tc>
          <w:tcPr>
            <w:tcW w:w="844" w:type="dxa"/>
          </w:tcPr>
          <w:p>
            <w:pPr>
              <w:pStyle w:val="0"/>
              <w:jc w:val="center"/>
            </w:pPr>
            <w:r>
              <w:rPr>
                <w:sz w:val="20"/>
              </w:rPr>
            </w:r>
          </w:p>
        </w:tc>
        <w:tc>
          <w:tcPr>
            <w:tcW w:w="1129" w:type="dxa"/>
          </w:tcPr>
          <w:p>
            <w:pPr>
              <w:pStyle w:val="0"/>
              <w:jc w:val="center"/>
            </w:pPr>
            <w:r>
              <w:rPr>
                <w:sz w:val="20"/>
              </w:rPr>
              <w:t xml:space="preserve">взрослые, абс.,</w:t>
            </w:r>
          </w:p>
        </w:tc>
        <w:tc>
          <w:tcPr>
            <w:tcW w:w="1864" w:type="dxa"/>
          </w:tcPr>
          <w:p>
            <w:pPr>
              <w:pStyle w:val="0"/>
              <w:jc w:val="center"/>
            </w:pPr>
            <w:r>
              <w:rPr>
                <w:sz w:val="20"/>
              </w:rPr>
              <w:t xml:space="preserve">старше трудоспособного возраста, абс.,</w:t>
            </w:r>
          </w:p>
        </w:tc>
        <w:tc>
          <w:tcPr>
            <w:tcW w:w="1129" w:type="dxa"/>
          </w:tcPr>
          <w:p>
            <w:pPr>
              <w:pStyle w:val="0"/>
              <w:jc w:val="center"/>
            </w:pPr>
            <w:r>
              <w:rPr>
                <w:sz w:val="20"/>
              </w:rPr>
              <w:t xml:space="preserve">взрослые, %</w:t>
            </w:r>
          </w:p>
        </w:tc>
        <w:tc>
          <w:tcPr>
            <w:tcW w:w="1864" w:type="dxa"/>
          </w:tcPr>
          <w:p>
            <w:pPr>
              <w:pStyle w:val="0"/>
              <w:jc w:val="center"/>
            </w:pPr>
            <w:r>
              <w:rPr>
                <w:sz w:val="20"/>
              </w:rPr>
              <w:t xml:space="preserve">старше трудоспособного возраста, %</w:t>
            </w:r>
          </w:p>
        </w:tc>
      </w:tr>
      <w:tr>
        <w:tc>
          <w:tcPr>
            <w:tcW w:w="2119" w:type="dxa"/>
          </w:tcPr>
          <w:p>
            <w:pPr>
              <w:pStyle w:val="0"/>
            </w:pPr>
            <w:r>
              <w:rPr>
                <w:sz w:val="20"/>
              </w:rPr>
              <w:t xml:space="preserve">БСК</w:t>
            </w:r>
          </w:p>
        </w:tc>
        <w:tc>
          <w:tcPr>
            <w:tcW w:w="844" w:type="dxa"/>
          </w:tcPr>
          <w:p>
            <w:pPr>
              <w:pStyle w:val="0"/>
            </w:pPr>
            <w:r>
              <w:rPr>
                <w:sz w:val="20"/>
              </w:rPr>
              <w:t xml:space="preserve">I00-I99</w:t>
            </w:r>
          </w:p>
        </w:tc>
        <w:tc>
          <w:tcPr>
            <w:tcW w:w="1129" w:type="dxa"/>
          </w:tcPr>
          <w:p>
            <w:pPr>
              <w:pStyle w:val="0"/>
            </w:pPr>
            <w:r>
              <w:rPr>
                <w:sz w:val="20"/>
              </w:rPr>
              <w:t xml:space="preserve">1350</w:t>
            </w:r>
          </w:p>
        </w:tc>
        <w:tc>
          <w:tcPr>
            <w:tcW w:w="1864" w:type="dxa"/>
          </w:tcPr>
          <w:p>
            <w:pPr>
              <w:pStyle w:val="0"/>
            </w:pPr>
            <w:r>
              <w:rPr>
                <w:sz w:val="20"/>
              </w:rPr>
              <w:t xml:space="preserve">1036</w:t>
            </w:r>
          </w:p>
        </w:tc>
        <w:tc>
          <w:tcPr>
            <w:tcW w:w="1129" w:type="dxa"/>
          </w:tcPr>
          <w:p>
            <w:pPr>
              <w:pStyle w:val="0"/>
            </w:pPr>
            <w:r>
              <w:rPr>
                <w:sz w:val="20"/>
              </w:rPr>
              <w:t xml:space="preserve">3,1</w:t>
            </w:r>
          </w:p>
        </w:tc>
        <w:tc>
          <w:tcPr>
            <w:tcW w:w="1864" w:type="dxa"/>
          </w:tcPr>
          <w:p>
            <w:pPr>
              <w:pStyle w:val="0"/>
            </w:pPr>
            <w:r>
              <w:rPr>
                <w:sz w:val="20"/>
              </w:rPr>
              <w:t xml:space="preserve">3,6</w:t>
            </w:r>
          </w:p>
        </w:tc>
      </w:tr>
      <w:tr>
        <w:tc>
          <w:tcPr>
            <w:tcW w:w="2119" w:type="dxa"/>
          </w:tcPr>
          <w:p>
            <w:pPr>
              <w:pStyle w:val="0"/>
            </w:pPr>
            <w:r>
              <w:rPr>
                <w:sz w:val="20"/>
              </w:rPr>
              <w:t xml:space="preserve">болезни, характеризующиеся повышенным кровяным давлением</w:t>
            </w:r>
          </w:p>
        </w:tc>
        <w:tc>
          <w:tcPr>
            <w:tcW w:w="844" w:type="dxa"/>
          </w:tcPr>
          <w:p>
            <w:pPr>
              <w:pStyle w:val="0"/>
            </w:pPr>
            <w:r>
              <w:rPr>
                <w:sz w:val="20"/>
              </w:rPr>
              <w:t xml:space="preserve">I10-I13</w:t>
            </w:r>
          </w:p>
        </w:tc>
        <w:tc>
          <w:tcPr>
            <w:tcW w:w="1129" w:type="dxa"/>
          </w:tcPr>
          <w:p>
            <w:pPr>
              <w:pStyle w:val="0"/>
            </w:pPr>
            <w:r>
              <w:rPr>
                <w:sz w:val="20"/>
              </w:rPr>
              <w:t xml:space="preserve">23</w:t>
            </w:r>
          </w:p>
        </w:tc>
        <w:tc>
          <w:tcPr>
            <w:tcW w:w="1864" w:type="dxa"/>
          </w:tcPr>
          <w:p>
            <w:pPr>
              <w:pStyle w:val="0"/>
            </w:pPr>
            <w:r>
              <w:rPr>
                <w:sz w:val="20"/>
              </w:rPr>
              <w:t xml:space="preserve">20</w:t>
            </w:r>
          </w:p>
        </w:tc>
        <w:tc>
          <w:tcPr>
            <w:tcW w:w="1129" w:type="dxa"/>
          </w:tcPr>
          <w:p>
            <w:pPr>
              <w:pStyle w:val="0"/>
            </w:pPr>
            <w:r>
              <w:rPr>
                <w:sz w:val="20"/>
              </w:rPr>
              <w:t xml:space="preserve">0,3</w:t>
            </w:r>
          </w:p>
        </w:tc>
        <w:tc>
          <w:tcPr>
            <w:tcW w:w="1864" w:type="dxa"/>
          </w:tcPr>
          <w:p>
            <w:pPr>
              <w:pStyle w:val="0"/>
            </w:pPr>
            <w:r>
              <w:rPr>
                <w:sz w:val="20"/>
              </w:rPr>
              <w:t xml:space="preserve">0,3</w:t>
            </w:r>
          </w:p>
        </w:tc>
      </w:tr>
      <w:tr>
        <w:tc>
          <w:tcPr>
            <w:tcW w:w="2119" w:type="dxa"/>
          </w:tcPr>
          <w:p>
            <w:pPr>
              <w:pStyle w:val="0"/>
            </w:pPr>
            <w:r>
              <w:rPr>
                <w:sz w:val="20"/>
              </w:rPr>
              <w:t xml:space="preserve">ИБС</w:t>
            </w:r>
          </w:p>
        </w:tc>
        <w:tc>
          <w:tcPr>
            <w:tcW w:w="844" w:type="dxa"/>
          </w:tcPr>
          <w:p>
            <w:pPr>
              <w:pStyle w:val="0"/>
            </w:pPr>
            <w:r>
              <w:rPr>
                <w:sz w:val="20"/>
              </w:rPr>
              <w:t xml:space="preserve">I20-I25</w:t>
            </w:r>
          </w:p>
        </w:tc>
        <w:tc>
          <w:tcPr>
            <w:tcW w:w="1129" w:type="dxa"/>
          </w:tcPr>
          <w:p>
            <w:pPr>
              <w:pStyle w:val="0"/>
            </w:pPr>
            <w:r>
              <w:rPr>
                <w:sz w:val="20"/>
              </w:rPr>
              <w:t xml:space="preserve">495</w:t>
            </w:r>
          </w:p>
        </w:tc>
        <w:tc>
          <w:tcPr>
            <w:tcW w:w="1864" w:type="dxa"/>
          </w:tcPr>
          <w:p>
            <w:pPr>
              <w:pStyle w:val="0"/>
            </w:pPr>
            <w:r>
              <w:rPr>
                <w:sz w:val="20"/>
              </w:rPr>
              <w:t xml:space="preserve">428</w:t>
            </w:r>
          </w:p>
        </w:tc>
        <w:tc>
          <w:tcPr>
            <w:tcW w:w="1129" w:type="dxa"/>
          </w:tcPr>
          <w:p>
            <w:pPr>
              <w:pStyle w:val="0"/>
            </w:pPr>
            <w:r>
              <w:rPr>
                <w:sz w:val="20"/>
              </w:rPr>
              <w:t xml:space="preserve">4,1</w:t>
            </w:r>
          </w:p>
        </w:tc>
        <w:tc>
          <w:tcPr>
            <w:tcW w:w="1864" w:type="dxa"/>
          </w:tcPr>
          <w:p>
            <w:pPr>
              <w:pStyle w:val="0"/>
            </w:pPr>
            <w:r>
              <w:rPr>
                <w:sz w:val="20"/>
              </w:rPr>
              <w:t xml:space="preserve">5,2</w:t>
            </w:r>
          </w:p>
        </w:tc>
      </w:tr>
      <w:tr>
        <w:tc>
          <w:tcPr>
            <w:tcW w:w="2119" w:type="dxa"/>
          </w:tcPr>
          <w:p>
            <w:pPr>
              <w:pStyle w:val="0"/>
            </w:pPr>
            <w:r>
              <w:rPr>
                <w:sz w:val="20"/>
              </w:rPr>
              <w:t xml:space="preserve">острый ИМ</w:t>
            </w:r>
          </w:p>
        </w:tc>
        <w:tc>
          <w:tcPr>
            <w:tcW w:w="844" w:type="dxa"/>
          </w:tcPr>
          <w:p>
            <w:pPr>
              <w:pStyle w:val="0"/>
            </w:pPr>
            <w:r>
              <w:rPr>
                <w:sz w:val="20"/>
              </w:rPr>
              <w:t xml:space="preserve">I21</w:t>
            </w:r>
          </w:p>
        </w:tc>
        <w:tc>
          <w:tcPr>
            <w:tcW w:w="1129" w:type="dxa"/>
          </w:tcPr>
          <w:p>
            <w:pPr>
              <w:pStyle w:val="0"/>
            </w:pPr>
            <w:r>
              <w:rPr>
                <w:sz w:val="20"/>
              </w:rPr>
              <w:t xml:space="preserve">123</w:t>
            </w:r>
          </w:p>
        </w:tc>
        <w:tc>
          <w:tcPr>
            <w:tcW w:w="1864" w:type="dxa"/>
          </w:tcPr>
          <w:p>
            <w:pPr>
              <w:pStyle w:val="0"/>
            </w:pPr>
            <w:r>
              <w:rPr>
                <w:sz w:val="20"/>
              </w:rPr>
              <w:t xml:space="preserve">98</w:t>
            </w:r>
          </w:p>
        </w:tc>
        <w:tc>
          <w:tcPr>
            <w:tcW w:w="1129" w:type="dxa"/>
          </w:tcPr>
          <w:p>
            <w:pPr>
              <w:pStyle w:val="0"/>
            </w:pPr>
            <w:r>
              <w:rPr>
                <w:sz w:val="20"/>
              </w:rPr>
              <w:t xml:space="preserve">6,0</w:t>
            </w:r>
          </w:p>
        </w:tc>
        <w:tc>
          <w:tcPr>
            <w:tcW w:w="1864" w:type="dxa"/>
          </w:tcPr>
          <w:p>
            <w:pPr>
              <w:pStyle w:val="0"/>
            </w:pPr>
            <w:r>
              <w:rPr>
                <w:sz w:val="20"/>
              </w:rPr>
              <w:t xml:space="preserve">7,8</w:t>
            </w:r>
          </w:p>
        </w:tc>
      </w:tr>
      <w:tr>
        <w:tc>
          <w:tcPr>
            <w:tcW w:w="2119" w:type="dxa"/>
          </w:tcPr>
          <w:p>
            <w:pPr>
              <w:pStyle w:val="0"/>
            </w:pPr>
            <w:r>
              <w:rPr>
                <w:sz w:val="20"/>
              </w:rPr>
              <w:t xml:space="preserve">повторный ИМ</w:t>
            </w:r>
          </w:p>
        </w:tc>
        <w:tc>
          <w:tcPr>
            <w:tcW w:w="844" w:type="dxa"/>
          </w:tcPr>
          <w:p>
            <w:pPr>
              <w:pStyle w:val="0"/>
            </w:pPr>
            <w:r>
              <w:rPr>
                <w:sz w:val="20"/>
              </w:rPr>
              <w:t xml:space="preserve">I22</w:t>
            </w:r>
          </w:p>
        </w:tc>
        <w:tc>
          <w:tcPr>
            <w:tcW w:w="1129" w:type="dxa"/>
          </w:tcPr>
          <w:p>
            <w:pPr>
              <w:pStyle w:val="0"/>
            </w:pPr>
            <w:r>
              <w:rPr>
                <w:sz w:val="20"/>
              </w:rPr>
              <w:t xml:space="preserve">1</w:t>
            </w:r>
          </w:p>
        </w:tc>
        <w:tc>
          <w:tcPr>
            <w:tcW w:w="1864" w:type="dxa"/>
          </w:tcPr>
          <w:p>
            <w:pPr>
              <w:pStyle w:val="0"/>
            </w:pPr>
            <w:r>
              <w:rPr>
                <w:sz w:val="20"/>
              </w:rPr>
              <w:t xml:space="preserve">0</w:t>
            </w:r>
          </w:p>
        </w:tc>
        <w:tc>
          <w:tcPr>
            <w:tcW w:w="1129" w:type="dxa"/>
          </w:tcPr>
          <w:p>
            <w:pPr>
              <w:pStyle w:val="0"/>
            </w:pPr>
            <w:r>
              <w:rPr>
                <w:sz w:val="20"/>
              </w:rPr>
              <w:t xml:space="preserve">16,7</w:t>
            </w:r>
          </w:p>
        </w:tc>
        <w:tc>
          <w:tcPr>
            <w:tcW w:w="1864" w:type="dxa"/>
          </w:tcPr>
          <w:p>
            <w:pPr>
              <w:pStyle w:val="0"/>
            </w:pPr>
            <w:r>
              <w:rPr>
                <w:sz w:val="20"/>
              </w:rPr>
              <w:t xml:space="preserve">0</w:t>
            </w:r>
          </w:p>
        </w:tc>
      </w:tr>
      <w:tr>
        <w:tc>
          <w:tcPr>
            <w:tcW w:w="2119" w:type="dxa"/>
          </w:tcPr>
          <w:p>
            <w:pPr>
              <w:pStyle w:val="0"/>
            </w:pPr>
            <w:r>
              <w:rPr>
                <w:sz w:val="20"/>
              </w:rPr>
              <w:t xml:space="preserve">хроническая ИБС</w:t>
            </w:r>
          </w:p>
        </w:tc>
        <w:tc>
          <w:tcPr>
            <w:tcW w:w="844" w:type="dxa"/>
          </w:tcPr>
          <w:p>
            <w:pPr>
              <w:pStyle w:val="0"/>
            </w:pPr>
            <w:r>
              <w:rPr>
                <w:sz w:val="20"/>
              </w:rPr>
              <w:t xml:space="preserve">I25</w:t>
            </w:r>
          </w:p>
        </w:tc>
        <w:tc>
          <w:tcPr>
            <w:tcW w:w="1129" w:type="dxa"/>
          </w:tcPr>
          <w:p>
            <w:pPr>
              <w:pStyle w:val="0"/>
            </w:pPr>
            <w:r>
              <w:rPr>
                <w:sz w:val="20"/>
              </w:rPr>
              <w:t xml:space="preserve">369</w:t>
            </w:r>
          </w:p>
        </w:tc>
        <w:tc>
          <w:tcPr>
            <w:tcW w:w="1864" w:type="dxa"/>
          </w:tcPr>
          <w:p>
            <w:pPr>
              <w:pStyle w:val="0"/>
            </w:pPr>
            <w:r>
              <w:rPr>
                <w:sz w:val="20"/>
              </w:rPr>
              <w:t xml:space="preserve">335</w:t>
            </w:r>
          </w:p>
        </w:tc>
        <w:tc>
          <w:tcPr>
            <w:tcW w:w="1129" w:type="dxa"/>
          </w:tcPr>
          <w:p>
            <w:pPr>
              <w:pStyle w:val="0"/>
            </w:pPr>
            <w:r>
              <w:rPr>
                <w:sz w:val="20"/>
              </w:rPr>
              <w:t xml:space="preserve">9,2</w:t>
            </w:r>
          </w:p>
        </w:tc>
        <w:tc>
          <w:tcPr>
            <w:tcW w:w="1864" w:type="dxa"/>
          </w:tcPr>
          <w:p>
            <w:pPr>
              <w:pStyle w:val="0"/>
            </w:pPr>
            <w:r>
              <w:rPr>
                <w:sz w:val="20"/>
              </w:rPr>
              <w:t xml:space="preserve">12,4</w:t>
            </w:r>
          </w:p>
        </w:tc>
      </w:tr>
      <w:tr>
        <w:tc>
          <w:tcPr>
            <w:tcW w:w="2119" w:type="dxa"/>
          </w:tcPr>
          <w:p>
            <w:pPr>
              <w:pStyle w:val="0"/>
            </w:pPr>
            <w:r>
              <w:rPr>
                <w:sz w:val="20"/>
              </w:rPr>
              <w:t xml:space="preserve">из нее - постинфарктный кардиосклероз</w:t>
            </w:r>
          </w:p>
        </w:tc>
        <w:tc>
          <w:tcPr>
            <w:tcW w:w="844" w:type="dxa"/>
          </w:tcPr>
          <w:p>
            <w:pPr>
              <w:pStyle w:val="0"/>
            </w:pPr>
            <w:r>
              <w:rPr>
                <w:sz w:val="20"/>
              </w:rPr>
              <w:t xml:space="preserve">I25,8</w:t>
            </w:r>
          </w:p>
        </w:tc>
        <w:tc>
          <w:tcPr>
            <w:tcW w:w="1129" w:type="dxa"/>
          </w:tcPr>
          <w:p>
            <w:pPr>
              <w:pStyle w:val="0"/>
            </w:pPr>
            <w:r>
              <w:rPr>
                <w:sz w:val="20"/>
              </w:rPr>
              <w:t xml:space="preserve">132</w:t>
            </w:r>
          </w:p>
        </w:tc>
        <w:tc>
          <w:tcPr>
            <w:tcW w:w="1864" w:type="dxa"/>
          </w:tcPr>
          <w:p>
            <w:pPr>
              <w:pStyle w:val="0"/>
            </w:pPr>
            <w:r>
              <w:rPr>
                <w:sz w:val="20"/>
              </w:rPr>
              <w:t xml:space="preserve">120</w:t>
            </w:r>
          </w:p>
        </w:tc>
        <w:tc>
          <w:tcPr>
            <w:tcW w:w="1129" w:type="dxa"/>
          </w:tcPr>
          <w:p>
            <w:pPr>
              <w:pStyle w:val="0"/>
            </w:pPr>
            <w:r>
              <w:rPr>
                <w:sz w:val="20"/>
              </w:rPr>
              <w:t xml:space="preserve">15,0</w:t>
            </w:r>
          </w:p>
        </w:tc>
        <w:tc>
          <w:tcPr>
            <w:tcW w:w="1864" w:type="dxa"/>
          </w:tcPr>
          <w:p>
            <w:pPr>
              <w:pStyle w:val="0"/>
            </w:pPr>
            <w:r>
              <w:rPr>
                <w:sz w:val="20"/>
              </w:rPr>
              <w:t xml:space="preserve">19,9</w:t>
            </w:r>
          </w:p>
        </w:tc>
      </w:tr>
      <w:tr>
        <w:tc>
          <w:tcPr>
            <w:tcW w:w="2119" w:type="dxa"/>
          </w:tcPr>
          <w:p>
            <w:pPr>
              <w:pStyle w:val="0"/>
            </w:pPr>
            <w:r>
              <w:rPr>
                <w:sz w:val="20"/>
              </w:rPr>
              <w:t xml:space="preserve">другие болезни сердца</w:t>
            </w:r>
          </w:p>
        </w:tc>
        <w:tc>
          <w:tcPr>
            <w:tcW w:w="844" w:type="dxa"/>
          </w:tcPr>
          <w:p>
            <w:pPr>
              <w:pStyle w:val="0"/>
            </w:pPr>
            <w:r>
              <w:rPr>
                <w:sz w:val="20"/>
              </w:rPr>
              <w:t xml:space="preserve">I30-I51</w:t>
            </w:r>
          </w:p>
        </w:tc>
        <w:tc>
          <w:tcPr>
            <w:tcW w:w="1129" w:type="dxa"/>
          </w:tcPr>
          <w:p>
            <w:pPr>
              <w:pStyle w:val="0"/>
            </w:pPr>
            <w:r>
              <w:rPr>
                <w:sz w:val="20"/>
              </w:rPr>
              <w:t xml:space="preserve">207</w:t>
            </w:r>
          </w:p>
        </w:tc>
        <w:tc>
          <w:tcPr>
            <w:tcW w:w="1864" w:type="dxa"/>
          </w:tcPr>
          <w:p>
            <w:pPr>
              <w:pStyle w:val="0"/>
            </w:pPr>
            <w:r>
              <w:rPr>
                <w:sz w:val="20"/>
              </w:rPr>
              <w:t xml:space="preserve">127</w:t>
            </w:r>
          </w:p>
        </w:tc>
        <w:tc>
          <w:tcPr>
            <w:tcW w:w="1129" w:type="dxa"/>
          </w:tcPr>
          <w:p>
            <w:pPr>
              <w:pStyle w:val="0"/>
            </w:pPr>
            <w:r>
              <w:rPr>
                <w:sz w:val="20"/>
              </w:rPr>
              <w:t xml:space="preserve">3,2</w:t>
            </w:r>
          </w:p>
        </w:tc>
        <w:tc>
          <w:tcPr>
            <w:tcW w:w="1864" w:type="dxa"/>
          </w:tcPr>
          <w:p>
            <w:pPr>
              <w:pStyle w:val="0"/>
            </w:pPr>
            <w:r>
              <w:rPr>
                <w:sz w:val="20"/>
              </w:rPr>
              <w:t xml:space="preserve">2,7</w:t>
            </w:r>
          </w:p>
        </w:tc>
      </w:tr>
      <w:tr>
        <w:tc>
          <w:tcPr>
            <w:tcW w:w="2119" w:type="dxa"/>
          </w:tcPr>
          <w:p>
            <w:pPr>
              <w:pStyle w:val="0"/>
            </w:pPr>
            <w:r>
              <w:rPr>
                <w:sz w:val="20"/>
              </w:rPr>
              <w:t xml:space="preserve">острый и подострый эндокардит</w:t>
            </w:r>
          </w:p>
        </w:tc>
        <w:tc>
          <w:tcPr>
            <w:tcW w:w="844" w:type="dxa"/>
          </w:tcPr>
          <w:p>
            <w:pPr>
              <w:pStyle w:val="0"/>
            </w:pPr>
            <w:r>
              <w:rPr>
                <w:sz w:val="20"/>
              </w:rPr>
              <w:t xml:space="preserve">I33</w:t>
            </w:r>
          </w:p>
        </w:tc>
        <w:tc>
          <w:tcPr>
            <w:tcW w:w="1129" w:type="dxa"/>
          </w:tcPr>
          <w:p>
            <w:pPr>
              <w:pStyle w:val="0"/>
            </w:pPr>
            <w:r>
              <w:rPr>
                <w:sz w:val="20"/>
              </w:rPr>
              <w:t xml:space="preserve">28</w:t>
            </w:r>
          </w:p>
        </w:tc>
        <w:tc>
          <w:tcPr>
            <w:tcW w:w="1864" w:type="dxa"/>
          </w:tcPr>
          <w:p>
            <w:pPr>
              <w:pStyle w:val="0"/>
            </w:pPr>
            <w:r>
              <w:rPr>
                <w:sz w:val="20"/>
              </w:rPr>
              <w:t xml:space="preserve">10</w:t>
            </w:r>
          </w:p>
        </w:tc>
        <w:tc>
          <w:tcPr>
            <w:tcW w:w="1129" w:type="dxa"/>
          </w:tcPr>
          <w:p>
            <w:pPr>
              <w:pStyle w:val="0"/>
            </w:pPr>
            <w:r>
              <w:rPr>
                <w:sz w:val="20"/>
              </w:rPr>
              <w:t xml:space="preserve">47,5</w:t>
            </w:r>
          </w:p>
        </w:tc>
        <w:tc>
          <w:tcPr>
            <w:tcW w:w="1864" w:type="dxa"/>
          </w:tcPr>
          <w:p>
            <w:pPr>
              <w:pStyle w:val="0"/>
            </w:pPr>
            <w:r>
              <w:rPr>
                <w:sz w:val="20"/>
              </w:rPr>
              <w:t xml:space="preserve">62,5</w:t>
            </w:r>
          </w:p>
        </w:tc>
      </w:tr>
      <w:tr>
        <w:tc>
          <w:tcPr>
            <w:tcW w:w="2119" w:type="dxa"/>
          </w:tcPr>
          <w:p>
            <w:pPr>
              <w:pStyle w:val="0"/>
            </w:pPr>
            <w:r>
              <w:rPr>
                <w:sz w:val="20"/>
              </w:rPr>
              <w:t xml:space="preserve">неревматические поражения клапанов</w:t>
            </w:r>
          </w:p>
        </w:tc>
        <w:tc>
          <w:tcPr>
            <w:tcW w:w="844" w:type="dxa"/>
          </w:tcPr>
          <w:p>
            <w:pPr>
              <w:pStyle w:val="0"/>
            </w:pPr>
            <w:r>
              <w:rPr>
                <w:sz w:val="20"/>
              </w:rPr>
              <w:t xml:space="preserve">I34-I37</w:t>
            </w:r>
          </w:p>
        </w:tc>
        <w:tc>
          <w:tcPr>
            <w:tcW w:w="1129" w:type="dxa"/>
          </w:tcPr>
          <w:p>
            <w:pPr>
              <w:pStyle w:val="0"/>
            </w:pPr>
            <w:r>
              <w:rPr>
                <w:sz w:val="20"/>
              </w:rPr>
              <w:t xml:space="preserve">23</w:t>
            </w:r>
          </w:p>
        </w:tc>
        <w:tc>
          <w:tcPr>
            <w:tcW w:w="1864" w:type="dxa"/>
          </w:tcPr>
          <w:p>
            <w:pPr>
              <w:pStyle w:val="0"/>
            </w:pPr>
            <w:r>
              <w:rPr>
                <w:sz w:val="20"/>
              </w:rPr>
              <w:t xml:space="preserve">19</w:t>
            </w:r>
          </w:p>
        </w:tc>
        <w:tc>
          <w:tcPr>
            <w:tcW w:w="1129" w:type="dxa"/>
          </w:tcPr>
          <w:p>
            <w:pPr>
              <w:pStyle w:val="0"/>
            </w:pPr>
            <w:r>
              <w:rPr>
                <w:sz w:val="20"/>
              </w:rPr>
              <w:t xml:space="preserve">5,4</w:t>
            </w:r>
          </w:p>
        </w:tc>
        <w:tc>
          <w:tcPr>
            <w:tcW w:w="1864" w:type="dxa"/>
          </w:tcPr>
          <w:p>
            <w:pPr>
              <w:pStyle w:val="0"/>
            </w:pPr>
            <w:r>
              <w:rPr>
                <w:sz w:val="20"/>
              </w:rPr>
              <w:t xml:space="preserve">6,7</w:t>
            </w:r>
          </w:p>
        </w:tc>
      </w:tr>
      <w:tr>
        <w:tc>
          <w:tcPr>
            <w:tcW w:w="2119" w:type="dxa"/>
          </w:tcPr>
          <w:p>
            <w:pPr>
              <w:pStyle w:val="0"/>
            </w:pPr>
            <w:r>
              <w:rPr>
                <w:sz w:val="20"/>
              </w:rPr>
              <w:t xml:space="preserve">острый миокардит</w:t>
            </w:r>
          </w:p>
        </w:tc>
        <w:tc>
          <w:tcPr>
            <w:tcW w:w="844" w:type="dxa"/>
          </w:tcPr>
          <w:p>
            <w:pPr>
              <w:pStyle w:val="0"/>
            </w:pPr>
            <w:r>
              <w:rPr>
                <w:sz w:val="20"/>
              </w:rPr>
              <w:t xml:space="preserve">I40</w:t>
            </w:r>
          </w:p>
        </w:tc>
        <w:tc>
          <w:tcPr>
            <w:tcW w:w="1129" w:type="dxa"/>
          </w:tcPr>
          <w:p>
            <w:pPr>
              <w:pStyle w:val="0"/>
            </w:pPr>
            <w:r>
              <w:rPr>
                <w:sz w:val="20"/>
              </w:rPr>
              <w:t xml:space="preserve">5</w:t>
            </w:r>
          </w:p>
        </w:tc>
        <w:tc>
          <w:tcPr>
            <w:tcW w:w="1864" w:type="dxa"/>
          </w:tcPr>
          <w:p>
            <w:pPr>
              <w:pStyle w:val="0"/>
            </w:pPr>
            <w:r>
              <w:rPr>
                <w:sz w:val="20"/>
              </w:rPr>
              <w:t xml:space="preserve">2</w:t>
            </w:r>
          </w:p>
        </w:tc>
        <w:tc>
          <w:tcPr>
            <w:tcW w:w="1129" w:type="dxa"/>
          </w:tcPr>
          <w:p>
            <w:pPr>
              <w:pStyle w:val="0"/>
            </w:pPr>
            <w:r>
              <w:rPr>
                <w:sz w:val="20"/>
              </w:rPr>
              <w:t xml:space="preserve">21,7</w:t>
            </w:r>
          </w:p>
        </w:tc>
        <w:tc>
          <w:tcPr>
            <w:tcW w:w="1864" w:type="dxa"/>
          </w:tcPr>
          <w:p>
            <w:pPr>
              <w:pStyle w:val="0"/>
            </w:pPr>
            <w:r>
              <w:rPr>
                <w:sz w:val="20"/>
              </w:rPr>
              <w:t xml:space="preserve">50,0</w:t>
            </w:r>
          </w:p>
        </w:tc>
      </w:tr>
      <w:tr>
        <w:tc>
          <w:tcPr>
            <w:tcW w:w="2119" w:type="dxa"/>
          </w:tcPr>
          <w:p>
            <w:pPr>
              <w:pStyle w:val="0"/>
            </w:pPr>
            <w:r>
              <w:rPr>
                <w:sz w:val="20"/>
              </w:rPr>
              <w:t xml:space="preserve">кардиомиопатия</w:t>
            </w:r>
          </w:p>
        </w:tc>
        <w:tc>
          <w:tcPr>
            <w:tcW w:w="844" w:type="dxa"/>
          </w:tcPr>
          <w:p>
            <w:pPr>
              <w:pStyle w:val="0"/>
            </w:pPr>
            <w:r>
              <w:rPr>
                <w:sz w:val="20"/>
              </w:rPr>
              <w:t xml:space="preserve">I42</w:t>
            </w:r>
          </w:p>
        </w:tc>
        <w:tc>
          <w:tcPr>
            <w:tcW w:w="1129" w:type="dxa"/>
          </w:tcPr>
          <w:p>
            <w:pPr>
              <w:pStyle w:val="0"/>
            </w:pPr>
            <w:r>
              <w:rPr>
                <w:sz w:val="20"/>
              </w:rPr>
              <w:t xml:space="preserve">80</w:t>
            </w:r>
          </w:p>
        </w:tc>
        <w:tc>
          <w:tcPr>
            <w:tcW w:w="1864" w:type="dxa"/>
          </w:tcPr>
          <w:p>
            <w:pPr>
              <w:pStyle w:val="0"/>
            </w:pPr>
            <w:r>
              <w:rPr>
                <w:sz w:val="20"/>
              </w:rPr>
              <w:t xml:space="preserve">38</w:t>
            </w:r>
          </w:p>
        </w:tc>
        <w:tc>
          <w:tcPr>
            <w:tcW w:w="1129" w:type="dxa"/>
          </w:tcPr>
          <w:p>
            <w:pPr>
              <w:pStyle w:val="0"/>
            </w:pPr>
            <w:r>
              <w:rPr>
                <w:sz w:val="20"/>
              </w:rPr>
              <w:t xml:space="preserve">26,1</w:t>
            </w:r>
          </w:p>
        </w:tc>
        <w:tc>
          <w:tcPr>
            <w:tcW w:w="1864" w:type="dxa"/>
          </w:tcPr>
          <w:p>
            <w:pPr>
              <w:pStyle w:val="0"/>
            </w:pPr>
            <w:r>
              <w:rPr>
                <w:sz w:val="20"/>
              </w:rPr>
              <w:t xml:space="preserve">28,8</w:t>
            </w:r>
          </w:p>
        </w:tc>
      </w:tr>
      <w:tr>
        <w:tc>
          <w:tcPr>
            <w:tcW w:w="2119" w:type="dxa"/>
          </w:tcPr>
          <w:p>
            <w:pPr>
              <w:pStyle w:val="0"/>
            </w:pPr>
            <w:r>
              <w:rPr>
                <w:sz w:val="20"/>
              </w:rPr>
              <w:t xml:space="preserve">ЦВБ</w:t>
            </w:r>
          </w:p>
        </w:tc>
        <w:tc>
          <w:tcPr>
            <w:tcW w:w="844" w:type="dxa"/>
          </w:tcPr>
          <w:p>
            <w:pPr>
              <w:pStyle w:val="0"/>
            </w:pPr>
            <w:r>
              <w:rPr>
                <w:sz w:val="20"/>
              </w:rPr>
              <w:t xml:space="preserve">I60-I69</w:t>
            </w:r>
          </w:p>
        </w:tc>
        <w:tc>
          <w:tcPr>
            <w:tcW w:w="1129" w:type="dxa"/>
          </w:tcPr>
          <w:p>
            <w:pPr>
              <w:pStyle w:val="0"/>
            </w:pPr>
            <w:r>
              <w:rPr>
                <w:sz w:val="20"/>
              </w:rPr>
              <w:t xml:space="preserve">451</w:t>
            </w:r>
          </w:p>
        </w:tc>
        <w:tc>
          <w:tcPr>
            <w:tcW w:w="1864" w:type="dxa"/>
          </w:tcPr>
          <w:p>
            <w:pPr>
              <w:pStyle w:val="0"/>
            </w:pPr>
            <w:r>
              <w:rPr>
                <w:sz w:val="20"/>
              </w:rPr>
              <w:t xml:space="preserve">330</w:t>
            </w:r>
          </w:p>
        </w:tc>
        <w:tc>
          <w:tcPr>
            <w:tcW w:w="1129" w:type="dxa"/>
          </w:tcPr>
          <w:p>
            <w:pPr>
              <w:pStyle w:val="0"/>
            </w:pPr>
            <w:r>
              <w:rPr>
                <w:sz w:val="20"/>
              </w:rPr>
              <w:t xml:space="preserve">3,9</w:t>
            </w:r>
          </w:p>
        </w:tc>
        <w:tc>
          <w:tcPr>
            <w:tcW w:w="1864" w:type="dxa"/>
          </w:tcPr>
          <w:p>
            <w:pPr>
              <w:pStyle w:val="0"/>
            </w:pPr>
            <w:r>
              <w:rPr>
                <w:sz w:val="20"/>
              </w:rPr>
              <w:t xml:space="preserve">4,2</w:t>
            </w:r>
          </w:p>
        </w:tc>
      </w:tr>
      <w:tr>
        <w:tc>
          <w:tcPr>
            <w:tcW w:w="2119" w:type="dxa"/>
          </w:tcPr>
          <w:p>
            <w:pPr>
              <w:pStyle w:val="0"/>
            </w:pPr>
            <w:r>
              <w:rPr>
                <w:sz w:val="20"/>
              </w:rPr>
              <w:t xml:space="preserve">из них - субарахноидальное кровоизлияние</w:t>
            </w:r>
          </w:p>
        </w:tc>
        <w:tc>
          <w:tcPr>
            <w:tcW w:w="844" w:type="dxa"/>
          </w:tcPr>
          <w:p>
            <w:pPr>
              <w:pStyle w:val="0"/>
            </w:pPr>
            <w:r>
              <w:rPr>
                <w:sz w:val="20"/>
              </w:rPr>
              <w:t xml:space="preserve">I60</w:t>
            </w:r>
          </w:p>
        </w:tc>
        <w:tc>
          <w:tcPr>
            <w:tcW w:w="1129" w:type="dxa"/>
          </w:tcPr>
          <w:p>
            <w:pPr>
              <w:pStyle w:val="0"/>
            </w:pPr>
            <w:r>
              <w:rPr>
                <w:sz w:val="20"/>
              </w:rPr>
              <w:t xml:space="preserve">13</w:t>
            </w:r>
          </w:p>
        </w:tc>
        <w:tc>
          <w:tcPr>
            <w:tcW w:w="1864" w:type="dxa"/>
          </w:tcPr>
          <w:p>
            <w:pPr>
              <w:pStyle w:val="0"/>
            </w:pPr>
            <w:r>
              <w:rPr>
                <w:sz w:val="20"/>
              </w:rPr>
              <w:t xml:space="preserve">5</w:t>
            </w:r>
          </w:p>
        </w:tc>
        <w:tc>
          <w:tcPr>
            <w:tcW w:w="1129" w:type="dxa"/>
          </w:tcPr>
          <w:p>
            <w:pPr>
              <w:pStyle w:val="0"/>
            </w:pPr>
            <w:r>
              <w:rPr>
                <w:sz w:val="20"/>
              </w:rPr>
              <w:t xml:space="preserve">11,9</w:t>
            </w:r>
          </w:p>
        </w:tc>
        <w:tc>
          <w:tcPr>
            <w:tcW w:w="1864" w:type="dxa"/>
          </w:tcPr>
          <w:p>
            <w:pPr>
              <w:pStyle w:val="0"/>
            </w:pPr>
            <w:r>
              <w:rPr>
                <w:sz w:val="20"/>
              </w:rPr>
              <w:t xml:space="preserve">16,1</w:t>
            </w:r>
          </w:p>
        </w:tc>
      </w:tr>
      <w:tr>
        <w:tc>
          <w:tcPr>
            <w:tcW w:w="2119" w:type="dxa"/>
          </w:tcPr>
          <w:p>
            <w:pPr>
              <w:pStyle w:val="0"/>
            </w:pPr>
            <w:r>
              <w:rPr>
                <w:sz w:val="20"/>
              </w:rPr>
              <w:t xml:space="preserve">внутримозговое и другое внутричерепное кровоизлияние</w:t>
            </w:r>
          </w:p>
        </w:tc>
        <w:tc>
          <w:tcPr>
            <w:tcW w:w="844" w:type="dxa"/>
          </w:tcPr>
          <w:p>
            <w:pPr>
              <w:pStyle w:val="0"/>
            </w:pPr>
            <w:r>
              <w:rPr>
                <w:sz w:val="20"/>
              </w:rPr>
              <w:t xml:space="preserve">I61, I62</w:t>
            </w:r>
          </w:p>
        </w:tc>
        <w:tc>
          <w:tcPr>
            <w:tcW w:w="1129" w:type="dxa"/>
          </w:tcPr>
          <w:p>
            <w:pPr>
              <w:pStyle w:val="0"/>
            </w:pPr>
            <w:r>
              <w:rPr>
                <w:sz w:val="20"/>
              </w:rPr>
              <w:t xml:space="preserve">107</w:t>
            </w:r>
          </w:p>
        </w:tc>
        <w:tc>
          <w:tcPr>
            <w:tcW w:w="1864" w:type="dxa"/>
          </w:tcPr>
          <w:p>
            <w:pPr>
              <w:pStyle w:val="0"/>
            </w:pPr>
            <w:r>
              <w:rPr>
                <w:sz w:val="20"/>
              </w:rPr>
              <w:t xml:space="preserve">61</w:t>
            </w:r>
          </w:p>
        </w:tc>
        <w:tc>
          <w:tcPr>
            <w:tcW w:w="1129" w:type="dxa"/>
          </w:tcPr>
          <w:p>
            <w:pPr>
              <w:pStyle w:val="0"/>
            </w:pPr>
            <w:r>
              <w:rPr>
                <w:sz w:val="20"/>
              </w:rPr>
              <w:t xml:space="preserve">25,4</w:t>
            </w:r>
          </w:p>
        </w:tc>
        <w:tc>
          <w:tcPr>
            <w:tcW w:w="1864" w:type="dxa"/>
          </w:tcPr>
          <w:p>
            <w:pPr>
              <w:pStyle w:val="0"/>
            </w:pPr>
            <w:r>
              <w:rPr>
                <w:sz w:val="20"/>
              </w:rPr>
              <w:t xml:space="preserve">26,6</w:t>
            </w:r>
          </w:p>
        </w:tc>
      </w:tr>
      <w:tr>
        <w:tc>
          <w:tcPr>
            <w:tcW w:w="2119" w:type="dxa"/>
          </w:tcPr>
          <w:p>
            <w:pPr>
              <w:pStyle w:val="0"/>
            </w:pPr>
            <w:r>
              <w:rPr>
                <w:sz w:val="20"/>
              </w:rPr>
              <w:t xml:space="preserve">инфаркт мозга</w:t>
            </w:r>
          </w:p>
        </w:tc>
        <w:tc>
          <w:tcPr>
            <w:tcW w:w="844" w:type="dxa"/>
          </w:tcPr>
          <w:p>
            <w:pPr>
              <w:pStyle w:val="0"/>
            </w:pPr>
            <w:r>
              <w:rPr>
                <w:sz w:val="20"/>
              </w:rPr>
              <w:t xml:space="preserve">I63</w:t>
            </w:r>
          </w:p>
        </w:tc>
        <w:tc>
          <w:tcPr>
            <w:tcW w:w="1129" w:type="dxa"/>
          </w:tcPr>
          <w:p>
            <w:pPr>
              <w:pStyle w:val="0"/>
            </w:pPr>
            <w:r>
              <w:rPr>
                <w:sz w:val="20"/>
              </w:rPr>
              <w:t xml:space="preserve">168</w:t>
            </w:r>
          </w:p>
        </w:tc>
        <w:tc>
          <w:tcPr>
            <w:tcW w:w="1864" w:type="dxa"/>
          </w:tcPr>
          <w:p>
            <w:pPr>
              <w:pStyle w:val="0"/>
            </w:pPr>
            <w:r>
              <w:rPr>
                <w:sz w:val="20"/>
              </w:rPr>
              <w:t xml:space="preserve">130</w:t>
            </w:r>
          </w:p>
        </w:tc>
        <w:tc>
          <w:tcPr>
            <w:tcW w:w="1129" w:type="dxa"/>
          </w:tcPr>
          <w:p>
            <w:pPr>
              <w:pStyle w:val="0"/>
            </w:pPr>
            <w:r>
              <w:rPr>
                <w:sz w:val="20"/>
              </w:rPr>
              <w:t xml:space="preserve">6,1</w:t>
            </w:r>
          </w:p>
        </w:tc>
        <w:tc>
          <w:tcPr>
            <w:tcW w:w="1864" w:type="dxa"/>
          </w:tcPr>
          <w:p>
            <w:pPr>
              <w:pStyle w:val="0"/>
            </w:pPr>
            <w:r>
              <w:rPr>
                <w:sz w:val="20"/>
              </w:rPr>
              <w:t xml:space="preserve">7,2</w:t>
            </w:r>
          </w:p>
        </w:tc>
      </w:tr>
      <w:tr>
        <w:tc>
          <w:tcPr>
            <w:tcW w:w="2119" w:type="dxa"/>
          </w:tcPr>
          <w:p>
            <w:pPr>
              <w:pStyle w:val="0"/>
            </w:pPr>
            <w:r>
              <w:rPr>
                <w:sz w:val="20"/>
              </w:rPr>
              <w:t xml:space="preserve">другие ЦВБ</w:t>
            </w:r>
          </w:p>
        </w:tc>
        <w:tc>
          <w:tcPr>
            <w:tcW w:w="844" w:type="dxa"/>
          </w:tcPr>
          <w:p>
            <w:pPr>
              <w:pStyle w:val="0"/>
            </w:pPr>
            <w:r>
              <w:rPr>
                <w:sz w:val="20"/>
              </w:rPr>
              <w:t xml:space="preserve">I67</w:t>
            </w:r>
          </w:p>
        </w:tc>
        <w:tc>
          <w:tcPr>
            <w:tcW w:w="1129" w:type="dxa"/>
          </w:tcPr>
          <w:p>
            <w:pPr>
              <w:pStyle w:val="0"/>
            </w:pPr>
            <w:r>
              <w:rPr>
                <w:sz w:val="20"/>
              </w:rPr>
              <w:t xml:space="preserve">102</w:t>
            </w:r>
          </w:p>
        </w:tc>
        <w:tc>
          <w:tcPr>
            <w:tcW w:w="1864" w:type="dxa"/>
          </w:tcPr>
          <w:p>
            <w:pPr>
              <w:pStyle w:val="0"/>
            </w:pPr>
            <w:r>
              <w:rPr>
                <w:sz w:val="20"/>
              </w:rPr>
              <w:t xml:space="preserve">78</w:t>
            </w:r>
          </w:p>
        </w:tc>
        <w:tc>
          <w:tcPr>
            <w:tcW w:w="1129" w:type="dxa"/>
          </w:tcPr>
          <w:p>
            <w:pPr>
              <w:pStyle w:val="0"/>
            </w:pPr>
            <w:r>
              <w:rPr>
                <w:sz w:val="20"/>
              </w:rPr>
              <w:t xml:space="preserve">1,3</w:t>
            </w:r>
          </w:p>
        </w:tc>
        <w:tc>
          <w:tcPr>
            <w:tcW w:w="1864" w:type="dxa"/>
          </w:tcPr>
          <w:p>
            <w:pPr>
              <w:pStyle w:val="0"/>
            </w:pPr>
            <w:r>
              <w:rPr>
                <w:sz w:val="20"/>
              </w:rPr>
              <w:t xml:space="preserve">1,4</w:t>
            </w:r>
          </w:p>
        </w:tc>
      </w:tr>
      <w:tr>
        <w:tc>
          <w:tcPr>
            <w:tcW w:w="2119" w:type="dxa"/>
          </w:tcPr>
          <w:p>
            <w:pPr>
              <w:pStyle w:val="0"/>
            </w:pPr>
            <w:r>
              <w:rPr>
                <w:sz w:val="20"/>
              </w:rPr>
              <w:t xml:space="preserve">из них - церебральный атеросклероз</w:t>
            </w:r>
          </w:p>
        </w:tc>
        <w:tc>
          <w:tcPr>
            <w:tcW w:w="844" w:type="dxa"/>
          </w:tcPr>
          <w:p>
            <w:pPr>
              <w:pStyle w:val="0"/>
            </w:pPr>
            <w:r>
              <w:rPr>
                <w:sz w:val="20"/>
              </w:rPr>
              <w:t xml:space="preserve">I67,2</w:t>
            </w:r>
          </w:p>
        </w:tc>
        <w:tc>
          <w:tcPr>
            <w:tcW w:w="1129" w:type="dxa"/>
          </w:tcPr>
          <w:p>
            <w:pPr>
              <w:pStyle w:val="0"/>
            </w:pPr>
            <w:r>
              <w:rPr>
                <w:sz w:val="20"/>
              </w:rPr>
              <w:t xml:space="preserve">4</w:t>
            </w:r>
          </w:p>
        </w:tc>
        <w:tc>
          <w:tcPr>
            <w:tcW w:w="1864" w:type="dxa"/>
          </w:tcPr>
          <w:p>
            <w:pPr>
              <w:pStyle w:val="0"/>
            </w:pPr>
            <w:r>
              <w:rPr>
                <w:sz w:val="20"/>
              </w:rPr>
              <w:t xml:space="preserve">2</w:t>
            </w:r>
          </w:p>
        </w:tc>
        <w:tc>
          <w:tcPr>
            <w:tcW w:w="1129" w:type="dxa"/>
          </w:tcPr>
          <w:p>
            <w:pPr>
              <w:pStyle w:val="0"/>
            </w:pPr>
            <w:r>
              <w:rPr>
                <w:sz w:val="20"/>
              </w:rPr>
              <w:t xml:space="preserve">19,0</w:t>
            </w:r>
          </w:p>
        </w:tc>
        <w:tc>
          <w:tcPr>
            <w:tcW w:w="1864" w:type="dxa"/>
          </w:tcPr>
          <w:p>
            <w:pPr>
              <w:pStyle w:val="0"/>
            </w:pPr>
            <w:r>
              <w:rPr>
                <w:sz w:val="20"/>
              </w:rPr>
              <w:t xml:space="preserve">15,4</w:t>
            </w:r>
          </w:p>
        </w:tc>
      </w:tr>
      <w:tr>
        <w:tc>
          <w:tcPr>
            <w:tcW w:w="2119" w:type="dxa"/>
          </w:tcPr>
          <w:p>
            <w:pPr>
              <w:pStyle w:val="0"/>
            </w:pPr>
            <w:r>
              <w:rPr>
                <w:sz w:val="20"/>
              </w:rPr>
              <w:t xml:space="preserve">атеросклероз артерий конечностей, тромбангиит облитерирующий</w:t>
            </w:r>
          </w:p>
        </w:tc>
        <w:tc>
          <w:tcPr>
            <w:tcW w:w="844" w:type="dxa"/>
          </w:tcPr>
          <w:p>
            <w:pPr>
              <w:pStyle w:val="0"/>
            </w:pPr>
            <w:r>
              <w:rPr>
                <w:sz w:val="20"/>
              </w:rPr>
              <w:t xml:space="preserve">I70,2, I73,1</w:t>
            </w:r>
          </w:p>
        </w:tc>
        <w:tc>
          <w:tcPr>
            <w:tcW w:w="1129" w:type="dxa"/>
          </w:tcPr>
          <w:p>
            <w:pPr>
              <w:pStyle w:val="0"/>
            </w:pPr>
            <w:r>
              <w:rPr>
                <w:sz w:val="20"/>
              </w:rPr>
              <w:t xml:space="preserve">45</w:t>
            </w:r>
          </w:p>
        </w:tc>
        <w:tc>
          <w:tcPr>
            <w:tcW w:w="1864" w:type="dxa"/>
          </w:tcPr>
          <w:p>
            <w:pPr>
              <w:pStyle w:val="0"/>
            </w:pPr>
            <w:r>
              <w:rPr>
                <w:sz w:val="20"/>
              </w:rPr>
              <w:t xml:space="preserve">37</w:t>
            </w:r>
          </w:p>
        </w:tc>
        <w:tc>
          <w:tcPr>
            <w:tcW w:w="1129" w:type="dxa"/>
          </w:tcPr>
          <w:p>
            <w:pPr>
              <w:pStyle w:val="0"/>
            </w:pPr>
            <w:r>
              <w:rPr>
                <w:sz w:val="20"/>
              </w:rPr>
              <w:t xml:space="preserve">5,6</w:t>
            </w:r>
          </w:p>
        </w:tc>
        <w:tc>
          <w:tcPr>
            <w:tcW w:w="1864" w:type="dxa"/>
          </w:tcPr>
          <w:p>
            <w:pPr>
              <w:pStyle w:val="0"/>
            </w:pPr>
            <w:r>
              <w:rPr>
                <w:sz w:val="20"/>
              </w:rPr>
              <w:t xml:space="preserve">5,9</w:t>
            </w:r>
          </w:p>
        </w:tc>
      </w:tr>
      <w:tr>
        <w:tc>
          <w:tcPr>
            <w:tcW w:w="2119" w:type="dxa"/>
          </w:tcPr>
          <w:p>
            <w:pPr>
              <w:pStyle w:val="0"/>
            </w:pPr>
            <w:r>
              <w:rPr>
                <w:sz w:val="20"/>
              </w:rPr>
              <w:t xml:space="preserve">болезни вен, лимфатических сосудов и лимфатических узлов</w:t>
            </w:r>
          </w:p>
        </w:tc>
        <w:tc>
          <w:tcPr>
            <w:tcW w:w="844" w:type="dxa"/>
          </w:tcPr>
          <w:p>
            <w:pPr>
              <w:pStyle w:val="0"/>
            </w:pPr>
            <w:r>
              <w:rPr>
                <w:sz w:val="20"/>
              </w:rPr>
              <w:t xml:space="preserve">I80-I89</w:t>
            </w:r>
          </w:p>
        </w:tc>
        <w:tc>
          <w:tcPr>
            <w:tcW w:w="1129" w:type="dxa"/>
          </w:tcPr>
          <w:p>
            <w:pPr>
              <w:pStyle w:val="0"/>
            </w:pPr>
            <w:r>
              <w:rPr>
                <w:sz w:val="20"/>
              </w:rPr>
              <w:t xml:space="preserve">20</w:t>
            </w:r>
          </w:p>
        </w:tc>
        <w:tc>
          <w:tcPr>
            <w:tcW w:w="1864" w:type="dxa"/>
          </w:tcPr>
          <w:p>
            <w:pPr>
              <w:pStyle w:val="0"/>
            </w:pPr>
            <w:r>
              <w:rPr>
                <w:sz w:val="20"/>
              </w:rPr>
              <w:t xml:space="preserve">15</w:t>
            </w:r>
          </w:p>
        </w:tc>
        <w:tc>
          <w:tcPr>
            <w:tcW w:w="1129" w:type="dxa"/>
          </w:tcPr>
          <w:p>
            <w:pPr>
              <w:pStyle w:val="0"/>
            </w:pPr>
            <w:r>
              <w:rPr>
                <w:sz w:val="20"/>
              </w:rPr>
              <w:t xml:space="preserve">1,0</w:t>
            </w:r>
          </w:p>
        </w:tc>
        <w:tc>
          <w:tcPr>
            <w:tcW w:w="1864" w:type="dxa"/>
          </w:tcPr>
          <w:p>
            <w:pPr>
              <w:pStyle w:val="0"/>
            </w:pPr>
            <w:r>
              <w:rPr>
                <w:sz w:val="20"/>
              </w:rPr>
              <w:t xml:space="preserve">2,3</w:t>
            </w:r>
          </w:p>
        </w:tc>
      </w:tr>
    </w:tbl>
    <w:p>
      <w:pPr>
        <w:pStyle w:val="0"/>
        <w:ind w:firstLine="540"/>
        <w:jc w:val="both"/>
      </w:pPr>
      <w:r>
        <w:rPr>
          <w:sz w:val="20"/>
        </w:rPr>
      </w:r>
    </w:p>
    <w:p>
      <w:pPr>
        <w:pStyle w:val="0"/>
        <w:ind w:firstLine="540"/>
        <w:jc w:val="both"/>
      </w:pPr>
      <w:r>
        <w:rPr>
          <w:sz w:val="20"/>
        </w:rPr>
        <w:t xml:space="preserve">В структуре госпитальной летальности на 1 месте ИБС - 495 умерших, из них наибольший вклад в уровень летальности вносят хронические формы ИБС, от которых умерло 369 человек (74,5%); от ИМ умерло 124 человека (25,1% от числа умерших от ИБС). Следует отметить высокий уровень летальности среди пролеченных с хронической ИБС - 9,2%, а в группе пациентов старше трудоспособного возраста - 12,4%.</w:t>
      </w:r>
    </w:p>
    <w:p>
      <w:pPr>
        <w:pStyle w:val="0"/>
        <w:spacing w:before="200" w:line-rule="auto"/>
        <w:ind w:firstLine="540"/>
        <w:jc w:val="both"/>
      </w:pPr>
      <w:r>
        <w:rPr>
          <w:sz w:val="20"/>
        </w:rPr>
        <w:t xml:space="preserve">На втором месте в структуре летальности ЦВБ - 451 умерший (33,4% от числа умерших), из них 64,1% - умершие от острых форм (ОНМК - 289 человек). В группе ЦВБ высокая летальность от геморрагического инсульта (11,9% у лиц с субарахноидальным кровоизлиянием и 25,4% у лиц с внутричерепным кровоизлиянием).</w:t>
      </w:r>
    </w:p>
    <w:p>
      <w:pPr>
        <w:pStyle w:val="0"/>
        <w:spacing w:before="200" w:line-rule="auto"/>
        <w:ind w:firstLine="540"/>
        <w:jc w:val="both"/>
      </w:pPr>
      <w:r>
        <w:rPr>
          <w:sz w:val="20"/>
        </w:rPr>
        <w:t xml:space="preserve">На третьем месте - другие болезни сердца - 207 человек (15,3% в структуре летальности).</w:t>
      </w:r>
    </w:p>
    <w:p>
      <w:pPr>
        <w:pStyle w:val="0"/>
        <w:spacing w:before="200" w:line-rule="auto"/>
        <w:ind w:firstLine="540"/>
        <w:jc w:val="both"/>
      </w:pPr>
      <w:r>
        <w:rPr>
          <w:sz w:val="20"/>
        </w:rPr>
        <w:t xml:space="preserve">Среди умерших от БСК лица старше трудоспособного возраста составили 76,7% (1036 человек). В группе лиц старше трудоспособного возраста летальность 3,6%, что на 0,5% выше, чем в целом по классу БСК.</w:t>
      </w:r>
    </w:p>
    <w:p>
      <w:pPr>
        <w:pStyle w:val="0"/>
        <w:jc w:val="center"/>
      </w:pPr>
      <w:r>
        <w:rPr>
          <w:sz w:val="20"/>
        </w:rPr>
      </w:r>
    </w:p>
    <w:p>
      <w:pPr>
        <w:pStyle w:val="2"/>
        <w:outlineLvl w:val="3"/>
        <w:jc w:val="center"/>
      </w:pPr>
      <w:r>
        <w:rPr>
          <w:sz w:val="20"/>
        </w:rPr>
        <w:t xml:space="preserve">Высокотехнологичная медицинская помощь</w:t>
      </w:r>
    </w:p>
    <w:p>
      <w:pPr>
        <w:pStyle w:val="0"/>
        <w:jc w:val="center"/>
      </w:pPr>
      <w:r>
        <w:rPr>
          <w:sz w:val="20"/>
        </w:rPr>
      </w:r>
    </w:p>
    <w:p>
      <w:pPr>
        <w:pStyle w:val="0"/>
        <w:ind w:firstLine="540"/>
        <w:jc w:val="both"/>
      </w:pPr>
      <w:r>
        <w:rPr>
          <w:sz w:val="20"/>
        </w:rPr>
        <w:t xml:space="preserve">Потребность населения автономного округа в ВМП в 2022 году обеспечивается в 17 медицинских организациях автономного округа и 1 медицинской организации частной формы собственности, а также в федеральных медицинских центрах, расположенных за пределами автономного округа.</w:t>
      </w:r>
    </w:p>
    <w:p>
      <w:pPr>
        <w:pStyle w:val="0"/>
        <w:spacing w:before="200" w:line-rule="auto"/>
        <w:ind w:firstLine="540"/>
        <w:jc w:val="both"/>
      </w:pPr>
      <w:r>
        <w:rPr>
          <w:sz w:val="20"/>
        </w:rPr>
        <w:t xml:space="preserve">Финансирование медицинских организаций автономного округа, оказывающих ВМП, осуществляется за счет средств окружного бюджета, бюджета территориального фонда обязательного медицинского страхования (далее - ОМС), субсидии из федерального бюджета.</w:t>
      </w:r>
    </w:p>
    <w:p>
      <w:pPr>
        <w:pStyle w:val="0"/>
        <w:spacing w:before="200" w:line-rule="auto"/>
        <w:ind w:firstLine="540"/>
        <w:jc w:val="both"/>
      </w:pPr>
      <w:r>
        <w:rPr>
          <w:sz w:val="20"/>
        </w:rPr>
        <w:t xml:space="preserve">В 2022 году выполнено 10540 операций на сердце и сосудах (2021 год - 10 319 операций).</w:t>
      </w:r>
    </w:p>
    <w:p>
      <w:pPr>
        <w:pStyle w:val="0"/>
        <w:spacing w:before="200" w:line-rule="auto"/>
        <w:ind w:firstLine="540"/>
        <w:jc w:val="both"/>
      </w:pPr>
      <w:r>
        <w:rPr>
          <w:sz w:val="20"/>
        </w:rPr>
        <w:t xml:space="preserve">Высокотехнологичную медицинскую помощь по профилю "сердечно-сосудистая хирургия" в автономном округе оказывают в 3 кардиохирургических отделениях (2 в БУ "Окружной кардиологический диспансер "Центр диагностики и сердечно-сосудистой хирургии" и 1 в БУ "Окружная клиническая больница"), 4 отделениях рентгенохирургических методов диагностики и лечения (БУ "Окружной кардиологический диспансер "Центр диагностики и сердечно-сосудистой хирургии", в БУ "Окружная клиническая больница", БУ "Нижневартовская окружная больница", БУ "Няганская окружная больница"), 2 отделениях хирургического лечения сложных нарушений ритма (БУ "Окружной кардиологический диспансер "Центр диагностики и сердечно-сосудистой хирургии" и в БУ "Окружная клиническая больница"), 2 отделениях сосудистой хирургии (БУ "Няганская окружная больница", БУ "Сургутская окружная клиническая больница").</w:t>
      </w:r>
    </w:p>
    <w:p>
      <w:pPr>
        <w:pStyle w:val="0"/>
        <w:spacing w:before="200" w:line-rule="auto"/>
        <w:ind w:firstLine="540"/>
        <w:jc w:val="both"/>
      </w:pPr>
      <w:r>
        <w:rPr>
          <w:sz w:val="20"/>
        </w:rPr>
        <w:t xml:space="preserve">Уровень развития службы сердечно-сосудистой хирургии, знания и опыт врачей сердечно-сосудистых хирургов и рентгенхирургов позволяют выполнять высокотехнологичные операции любой сложности и обеспечивают потребность в ВМП населения автономного округа на 99,1%. В 2022 году для оказания ВМП по профилю "сердечно-сосудистая хирургия" за пределы региона в федеральные центры направлены 92 пациента (0,9%).</w:t>
      </w:r>
    </w:p>
    <w:p>
      <w:pPr>
        <w:pStyle w:val="0"/>
        <w:jc w:val="right"/>
      </w:pPr>
      <w:r>
        <w:rPr>
          <w:sz w:val="20"/>
        </w:rPr>
      </w:r>
    </w:p>
    <w:p>
      <w:pPr>
        <w:pStyle w:val="0"/>
        <w:jc w:val="right"/>
      </w:pPr>
      <w:r>
        <w:rPr>
          <w:sz w:val="20"/>
        </w:rPr>
        <w:t xml:space="preserve">Таблица 26</w:t>
      </w:r>
    </w:p>
    <w:p>
      <w:pPr>
        <w:pStyle w:val="0"/>
        <w:jc w:val="right"/>
      </w:pPr>
      <w:r>
        <w:rPr>
          <w:sz w:val="20"/>
        </w:rPr>
      </w:r>
    </w:p>
    <w:p>
      <w:pPr>
        <w:pStyle w:val="0"/>
        <w:jc w:val="center"/>
      </w:pPr>
      <w:r>
        <w:rPr>
          <w:sz w:val="20"/>
        </w:rPr>
        <w:t xml:space="preserve">Показатели работы кардиохирургической и рентгенхирургической</w:t>
      </w:r>
    </w:p>
    <w:p>
      <w:pPr>
        <w:pStyle w:val="0"/>
        <w:jc w:val="center"/>
      </w:pPr>
      <w:r>
        <w:rPr>
          <w:sz w:val="20"/>
        </w:rPr>
        <w:t xml:space="preserve">службы автономного округа за 2018 - 2022 годы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619"/>
        <w:gridCol w:w="619"/>
        <w:gridCol w:w="619"/>
        <w:gridCol w:w="619"/>
        <w:gridCol w:w="619"/>
        <w:gridCol w:w="1871"/>
      </w:tblGrid>
      <w:tr>
        <w:tc>
          <w:tcPr>
            <w:tcW w:w="3685" w:type="dxa"/>
          </w:tcPr>
          <w:p>
            <w:pPr>
              <w:pStyle w:val="0"/>
              <w:jc w:val="center"/>
            </w:pPr>
            <w:r>
              <w:rPr>
                <w:sz w:val="20"/>
              </w:rPr>
              <w:t xml:space="preserve">Показатели</w:t>
            </w:r>
          </w:p>
        </w:tc>
        <w:tc>
          <w:tcPr>
            <w:tcW w:w="619" w:type="dxa"/>
          </w:tcPr>
          <w:p>
            <w:pPr>
              <w:pStyle w:val="0"/>
              <w:jc w:val="center"/>
            </w:pPr>
            <w:r>
              <w:rPr>
                <w:sz w:val="20"/>
              </w:rPr>
              <w:t xml:space="preserve">2018</w:t>
            </w:r>
          </w:p>
        </w:tc>
        <w:tc>
          <w:tcPr>
            <w:tcW w:w="619" w:type="dxa"/>
          </w:tcPr>
          <w:p>
            <w:pPr>
              <w:pStyle w:val="0"/>
              <w:jc w:val="center"/>
            </w:pPr>
            <w:r>
              <w:rPr>
                <w:sz w:val="20"/>
              </w:rPr>
              <w:t xml:space="preserve">2019</w:t>
            </w:r>
          </w:p>
        </w:tc>
        <w:tc>
          <w:tcPr>
            <w:tcW w:w="619" w:type="dxa"/>
          </w:tcPr>
          <w:p>
            <w:pPr>
              <w:pStyle w:val="0"/>
              <w:jc w:val="center"/>
            </w:pPr>
            <w:r>
              <w:rPr>
                <w:sz w:val="20"/>
              </w:rPr>
              <w:t xml:space="preserve">2020</w:t>
            </w:r>
          </w:p>
        </w:tc>
        <w:tc>
          <w:tcPr>
            <w:tcW w:w="619" w:type="dxa"/>
          </w:tcPr>
          <w:p>
            <w:pPr>
              <w:pStyle w:val="0"/>
              <w:jc w:val="center"/>
            </w:pPr>
            <w:r>
              <w:rPr>
                <w:sz w:val="20"/>
              </w:rPr>
              <w:t xml:space="preserve">2021</w:t>
            </w:r>
          </w:p>
        </w:tc>
        <w:tc>
          <w:tcPr>
            <w:tcW w:w="619" w:type="dxa"/>
          </w:tcPr>
          <w:p>
            <w:pPr>
              <w:pStyle w:val="0"/>
              <w:jc w:val="center"/>
            </w:pPr>
            <w:r>
              <w:rPr>
                <w:sz w:val="20"/>
              </w:rPr>
              <w:t xml:space="preserve">2022</w:t>
            </w:r>
          </w:p>
        </w:tc>
        <w:tc>
          <w:tcPr>
            <w:tcW w:w="1871" w:type="dxa"/>
          </w:tcPr>
          <w:p>
            <w:pPr>
              <w:pStyle w:val="0"/>
              <w:jc w:val="center"/>
            </w:pPr>
            <w:r>
              <w:rPr>
                <w:sz w:val="20"/>
              </w:rPr>
              <w:t xml:space="preserve">Динамика 2022/2021 (%)</w:t>
            </w:r>
          </w:p>
        </w:tc>
      </w:tr>
      <w:tr>
        <w:tc>
          <w:tcPr>
            <w:tcW w:w="3685" w:type="dxa"/>
          </w:tcPr>
          <w:p>
            <w:pPr>
              <w:pStyle w:val="0"/>
            </w:pPr>
            <w:r>
              <w:rPr>
                <w:sz w:val="20"/>
              </w:rPr>
              <w:t xml:space="preserve">Операции на сердце всего</w:t>
            </w:r>
          </w:p>
        </w:tc>
        <w:tc>
          <w:tcPr>
            <w:tcW w:w="619" w:type="dxa"/>
          </w:tcPr>
          <w:p>
            <w:pPr>
              <w:pStyle w:val="0"/>
            </w:pPr>
            <w:r>
              <w:rPr>
                <w:sz w:val="20"/>
              </w:rPr>
              <w:t xml:space="preserve">5972</w:t>
            </w:r>
          </w:p>
        </w:tc>
        <w:tc>
          <w:tcPr>
            <w:tcW w:w="619" w:type="dxa"/>
          </w:tcPr>
          <w:p>
            <w:pPr>
              <w:pStyle w:val="0"/>
            </w:pPr>
            <w:r>
              <w:rPr>
                <w:sz w:val="20"/>
              </w:rPr>
              <w:t xml:space="preserve">6407</w:t>
            </w:r>
          </w:p>
        </w:tc>
        <w:tc>
          <w:tcPr>
            <w:tcW w:w="619" w:type="dxa"/>
          </w:tcPr>
          <w:p>
            <w:pPr>
              <w:pStyle w:val="0"/>
            </w:pPr>
            <w:r>
              <w:rPr>
                <w:sz w:val="20"/>
              </w:rPr>
              <w:t xml:space="preserve">5705</w:t>
            </w:r>
          </w:p>
        </w:tc>
        <w:tc>
          <w:tcPr>
            <w:tcW w:w="619" w:type="dxa"/>
          </w:tcPr>
          <w:p>
            <w:pPr>
              <w:pStyle w:val="0"/>
            </w:pPr>
            <w:r>
              <w:rPr>
                <w:sz w:val="20"/>
              </w:rPr>
              <w:t xml:space="preserve">6333</w:t>
            </w:r>
          </w:p>
        </w:tc>
        <w:tc>
          <w:tcPr>
            <w:tcW w:w="619" w:type="dxa"/>
          </w:tcPr>
          <w:p>
            <w:pPr>
              <w:pStyle w:val="0"/>
            </w:pPr>
            <w:r>
              <w:rPr>
                <w:sz w:val="20"/>
              </w:rPr>
              <w:t xml:space="preserve">6576</w:t>
            </w:r>
          </w:p>
        </w:tc>
        <w:tc>
          <w:tcPr>
            <w:tcW w:w="1871" w:type="dxa"/>
          </w:tcPr>
          <w:p>
            <w:pPr>
              <w:pStyle w:val="0"/>
            </w:pPr>
            <w:r>
              <w:rPr>
                <w:sz w:val="20"/>
              </w:rPr>
              <w:t xml:space="preserve">3,8</w:t>
            </w:r>
          </w:p>
        </w:tc>
      </w:tr>
      <w:tr>
        <w:tc>
          <w:tcPr>
            <w:tcW w:w="3685" w:type="dxa"/>
          </w:tcPr>
          <w:p>
            <w:pPr>
              <w:pStyle w:val="0"/>
            </w:pPr>
            <w:r>
              <w:rPr>
                <w:sz w:val="20"/>
              </w:rPr>
              <w:t xml:space="preserve">Послеоперационная летальность</w:t>
            </w:r>
          </w:p>
        </w:tc>
        <w:tc>
          <w:tcPr>
            <w:tcW w:w="619" w:type="dxa"/>
          </w:tcPr>
          <w:p>
            <w:pPr>
              <w:pStyle w:val="0"/>
            </w:pPr>
            <w:r>
              <w:rPr>
                <w:sz w:val="20"/>
              </w:rPr>
              <w:t xml:space="preserve">1,6%</w:t>
            </w:r>
          </w:p>
        </w:tc>
        <w:tc>
          <w:tcPr>
            <w:tcW w:w="619" w:type="dxa"/>
          </w:tcPr>
          <w:p>
            <w:pPr>
              <w:pStyle w:val="0"/>
            </w:pPr>
            <w:r>
              <w:rPr>
                <w:sz w:val="20"/>
              </w:rPr>
              <w:t xml:space="preserve">1,8%</w:t>
            </w:r>
          </w:p>
        </w:tc>
        <w:tc>
          <w:tcPr>
            <w:tcW w:w="619" w:type="dxa"/>
          </w:tcPr>
          <w:p>
            <w:pPr>
              <w:pStyle w:val="0"/>
            </w:pPr>
            <w:r>
              <w:rPr>
                <w:sz w:val="20"/>
              </w:rPr>
              <w:t xml:space="preserve">1,8%</w:t>
            </w:r>
          </w:p>
        </w:tc>
        <w:tc>
          <w:tcPr>
            <w:tcW w:w="619" w:type="dxa"/>
          </w:tcPr>
          <w:p>
            <w:pPr>
              <w:pStyle w:val="0"/>
            </w:pPr>
            <w:r>
              <w:rPr>
                <w:sz w:val="20"/>
              </w:rPr>
              <w:t xml:space="preserve">1,7%</w:t>
            </w:r>
          </w:p>
        </w:tc>
        <w:tc>
          <w:tcPr>
            <w:tcW w:w="619" w:type="dxa"/>
          </w:tcPr>
          <w:p>
            <w:pPr>
              <w:pStyle w:val="0"/>
            </w:pPr>
            <w:r>
              <w:rPr>
                <w:sz w:val="20"/>
              </w:rPr>
              <w:t xml:space="preserve">1,6%</w:t>
            </w:r>
          </w:p>
        </w:tc>
        <w:tc>
          <w:tcPr>
            <w:tcW w:w="1871" w:type="dxa"/>
          </w:tcPr>
          <w:p>
            <w:pPr>
              <w:pStyle w:val="0"/>
            </w:pPr>
            <w:r>
              <w:rPr>
                <w:sz w:val="20"/>
              </w:rPr>
              <w:t xml:space="preserve">-0,1</w:t>
            </w:r>
          </w:p>
        </w:tc>
      </w:tr>
      <w:tr>
        <w:tc>
          <w:tcPr>
            <w:tcW w:w="3685" w:type="dxa"/>
          </w:tcPr>
          <w:p>
            <w:pPr>
              <w:pStyle w:val="0"/>
            </w:pPr>
            <w:r>
              <w:rPr>
                <w:sz w:val="20"/>
              </w:rPr>
              <w:t xml:space="preserve">Операции при нарушениях ритма, в т.ч.:</w:t>
            </w:r>
          </w:p>
        </w:tc>
        <w:tc>
          <w:tcPr>
            <w:tcW w:w="619" w:type="dxa"/>
          </w:tcPr>
          <w:p>
            <w:pPr>
              <w:pStyle w:val="0"/>
            </w:pPr>
            <w:r>
              <w:rPr>
                <w:sz w:val="20"/>
              </w:rPr>
              <w:t xml:space="preserve">1039</w:t>
            </w:r>
          </w:p>
        </w:tc>
        <w:tc>
          <w:tcPr>
            <w:tcW w:w="619" w:type="dxa"/>
          </w:tcPr>
          <w:p>
            <w:pPr>
              <w:pStyle w:val="0"/>
            </w:pPr>
            <w:r>
              <w:rPr>
                <w:sz w:val="20"/>
              </w:rPr>
              <w:t xml:space="preserve">1249</w:t>
            </w:r>
          </w:p>
        </w:tc>
        <w:tc>
          <w:tcPr>
            <w:tcW w:w="619" w:type="dxa"/>
          </w:tcPr>
          <w:p>
            <w:pPr>
              <w:pStyle w:val="0"/>
            </w:pPr>
            <w:r>
              <w:rPr>
                <w:sz w:val="20"/>
              </w:rPr>
              <w:t xml:space="preserve">1238</w:t>
            </w:r>
          </w:p>
        </w:tc>
        <w:tc>
          <w:tcPr>
            <w:tcW w:w="619" w:type="dxa"/>
          </w:tcPr>
          <w:p>
            <w:pPr>
              <w:pStyle w:val="0"/>
            </w:pPr>
            <w:r>
              <w:rPr>
                <w:sz w:val="20"/>
              </w:rPr>
              <w:t xml:space="preserve">1252</w:t>
            </w:r>
          </w:p>
        </w:tc>
        <w:tc>
          <w:tcPr>
            <w:tcW w:w="619" w:type="dxa"/>
          </w:tcPr>
          <w:p>
            <w:pPr>
              <w:pStyle w:val="0"/>
            </w:pPr>
            <w:r>
              <w:rPr>
                <w:sz w:val="20"/>
              </w:rPr>
              <w:t xml:space="preserve">1334</w:t>
            </w:r>
          </w:p>
        </w:tc>
        <w:tc>
          <w:tcPr>
            <w:tcW w:w="1871" w:type="dxa"/>
          </w:tcPr>
          <w:p>
            <w:pPr>
              <w:pStyle w:val="0"/>
            </w:pPr>
            <w:r>
              <w:rPr>
                <w:sz w:val="20"/>
              </w:rPr>
              <w:t xml:space="preserve">6,5</w:t>
            </w:r>
          </w:p>
        </w:tc>
      </w:tr>
      <w:tr>
        <w:tc>
          <w:tcPr>
            <w:tcW w:w="3685" w:type="dxa"/>
          </w:tcPr>
          <w:p>
            <w:pPr>
              <w:pStyle w:val="0"/>
            </w:pPr>
            <w:r>
              <w:rPr>
                <w:sz w:val="20"/>
              </w:rPr>
              <w:t xml:space="preserve">с использованием имплантируемых антиаритмических устройств</w:t>
            </w:r>
          </w:p>
        </w:tc>
        <w:tc>
          <w:tcPr>
            <w:tcW w:w="619" w:type="dxa"/>
          </w:tcPr>
          <w:p>
            <w:pPr>
              <w:pStyle w:val="0"/>
            </w:pPr>
            <w:r>
              <w:rPr>
                <w:sz w:val="20"/>
              </w:rPr>
              <w:t xml:space="preserve">477</w:t>
            </w:r>
          </w:p>
        </w:tc>
        <w:tc>
          <w:tcPr>
            <w:tcW w:w="619" w:type="dxa"/>
          </w:tcPr>
          <w:p>
            <w:pPr>
              <w:pStyle w:val="0"/>
            </w:pPr>
            <w:r>
              <w:rPr>
                <w:sz w:val="20"/>
              </w:rPr>
              <w:t xml:space="preserve">621</w:t>
            </w:r>
          </w:p>
        </w:tc>
        <w:tc>
          <w:tcPr>
            <w:tcW w:w="619" w:type="dxa"/>
          </w:tcPr>
          <w:p>
            <w:pPr>
              <w:pStyle w:val="0"/>
            </w:pPr>
            <w:r>
              <w:rPr>
                <w:sz w:val="20"/>
              </w:rPr>
              <w:t xml:space="preserve">575</w:t>
            </w:r>
          </w:p>
        </w:tc>
        <w:tc>
          <w:tcPr>
            <w:tcW w:w="619" w:type="dxa"/>
          </w:tcPr>
          <w:p>
            <w:pPr>
              <w:pStyle w:val="0"/>
            </w:pPr>
            <w:r>
              <w:rPr>
                <w:sz w:val="20"/>
              </w:rPr>
              <w:t xml:space="preserve">594</w:t>
            </w:r>
          </w:p>
        </w:tc>
        <w:tc>
          <w:tcPr>
            <w:tcW w:w="619" w:type="dxa"/>
          </w:tcPr>
          <w:p>
            <w:pPr>
              <w:pStyle w:val="0"/>
            </w:pPr>
            <w:r>
              <w:rPr>
                <w:sz w:val="20"/>
              </w:rPr>
              <w:t xml:space="preserve">634</w:t>
            </w:r>
          </w:p>
        </w:tc>
        <w:tc>
          <w:tcPr>
            <w:tcW w:w="1871" w:type="dxa"/>
          </w:tcPr>
          <w:p>
            <w:pPr>
              <w:pStyle w:val="0"/>
            </w:pPr>
            <w:r>
              <w:rPr>
                <w:sz w:val="20"/>
              </w:rPr>
              <w:t xml:space="preserve">6,7</w:t>
            </w:r>
          </w:p>
        </w:tc>
      </w:tr>
      <w:tr>
        <w:tc>
          <w:tcPr>
            <w:tcW w:w="3685" w:type="dxa"/>
          </w:tcPr>
          <w:p>
            <w:pPr>
              <w:pStyle w:val="0"/>
            </w:pPr>
            <w:r>
              <w:rPr>
                <w:sz w:val="20"/>
              </w:rPr>
              <w:t xml:space="preserve">коррекция тахикардий</w:t>
            </w:r>
          </w:p>
        </w:tc>
        <w:tc>
          <w:tcPr>
            <w:tcW w:w="619" w:type="dxa"/>
          </w:tcPr>
          <w:p>
            <w:pPr>
              <w:pStyle w:val="0"/>
            </w:pPr>
            <w:r>
              <w:rPr>
                <w:sz w:val="20"/>
              </w:rPr>
              <w:t xml:space="preserve">546</w:t>
            </w:r>
          </w:p>
        </w:tc>
        <w:tc>
          <w:tcPr>
            <w:tcW w:w="619" w:type="dxa"/>
          </w:tcPr>
          <w:p>
            <w:pPr>
              <w:pStyle w:val="0"/>
            </w:pPr>
            <w:r>
              <w:rPr>
                <w:sz w:val="20"/>
              </w:rPr>
              <w:t xml:space="preserve">628</w:t>
            </w:r>
          </w:p>
        </w:tc>
        <w:tc>
          <w:tcPr>
            <w:tcW w:w="619" w:type="dxa"/>
          </w:tcPr>
          <w:p>
            <w:pPr>
              <w:pStyle w:val="0"/>
            </w:pPr>
            <w:r>
              <w:rPr>
                <w:sz w:val="20"/>
              </w:rPr>
              <w:t xml:space="preserve">663</w:t>
            </w:r>
          </w:p>
        </w:tc>
        <w:tc>
          <w:tcPr>
            <w:tcW w:w="619" w:type="dxa"/>
          </w:tcPr>
          <w:p>
            <w:pPr>
              <w:pStyle w:val="0"/>
            </w:pPr>
            <w:r>
              <w:rPr>
                <w:sz w:val="20"/>
              </w:rPr>
              <w:t xml:space="preserve">571</w:t>
            </w:r>
          </w:p>
        </w:tc>
        <w:tc>
          <w:tcPr>
            <w:tcW w:w="619" w:type="dxa"/>
          </w:tcPr>
          <w:p>
            <w:pPr>
              <w:pStyle w:val="0"/>
            </w:pPr>
            <w:r>
              <w:rPr>
                <w:sz w:val="20"/>
              </w:rPr>
              <w:t xml:space="preserve">700</w:t>
            </w:r>
          </w:p>
        </w:tc>
        <w:tc>
          <w:tcPr>
            <w:tcW w:w="1871" w:type="dxa"/>
          </w:tcPr>
          <w:p>
            <w:pPr>
              <w:pStyle w:val="0"/>
            </w:pPr>
            <w:r>
              <w:rPr>
                <w:sz w:val="20"/>
              </w:rPr>
              <w:t xml:space="preserve">22,6</w:t>
            </w:r>
          </w:p>
        </w:tc>
      </w:tr>
      <w:tr>
        <w:tc>
          <w:tcPr>
            <w:tcW w:w="3685" w:type="dxa"/>
          </w:tcPr>
          <w:p>
            <w:pPr>
              <w:pStyle w:val="0"/>
            </w:pPr>
            <w:r>
              <w:rPr>
                <w:sz w:val="20"/>
              </w:rPr>
              <w:t xml:space="preserve">Операции при ИБС, в т.ч.:</w:t>
            </w:r>
          </w:p>
        </w:tc>
        <w:tc>
          <w:tcPr>
            <w:tcW w:w="619" w:type="dxa"/>
          </w:tcPr>
          <w:p>
            <w:pPr>
              <w:pStyle w:val="0"/>
            </w:pPr>
            <w:r>
              <w:rPr>
                <w:sz w:val="20"/>
              </w:rPr>
              <w:t xml:space="preserve">4537</w:t>
            </w:r>
          </w:p>
        </w:tc>
        <w:tc>
          <w:tcPr>
            <w:tcW w:w="619" w:type="dxa"/>
          </w:tcPr>
          <w:p>
            <w:pPr>
              <w:pStyle w:val="0"/>
            </w:pPr>
            <w:r>
              <w:rPr>
                <w:sz w:val="20"/>
              </w:rPr>
              <w:t xml:space="preserve">4801</w:t>
            </w:r>
          </w:p>
        </w:tc>
        <w:tc>
          <w:tcPr>
            <w:tcW w:w="619" w:type="dxa"/>
          </w:tcPr>
          <w:p>
            <w:pPr>
              <w:pStyle w:val="0"/>
            </w:pPr>
            <w:r>
              <w:rPr>
                <w:sz w:val="20"/>
              </w:rPr>
              <w:t xml:space="preserve">4107</w:t>
            </w:r>
          </w:p>
        </w:tc>
        <w:tc>
          <w:tcPr>
            <w:tcW w:w="619" w:type="dxa"/>
          </w:tcPr>
          <w:p>
            <w:pPr>
              <w:pStyle w:val="0"/>
            </w:pPr>
            <w:r>
              <w:rPr>
                <w:sz w:val="20"/>
              </w:rPr>
              <w:t xml:space="preserve">4706</w:t>
            </w:r>
          </w:p>
        </w:tc>
        <w:tc>
          <w:tcPr>
            <w:tcW w:w="619" w:type="dxa"/>
          </w:tcPr>
          <w:p>
            <w:pPr>
              <w:pStyle w:val="0"/>
            </w:pPr>
            <w:r>
              <w:rPr>
                <w:sz w:val="20"/>
              </w:rPr>
              <w:t xml:space="preserve">4865</w:t>
            </w:r>
          </w:p>
        </w:tc>
        <w:tc>
          <w:tcPr>
            <w:tcW w:w="1871" w:type="dxa"/>
          </w:tcPr>
          <w:p>
            <w:pPr>
              <w:pStyle w:val="0"/>
            </w:pPr>
            <w:r>
              <w:rPr>
                <w:sz w:val="20"/>
              </w:rPr>
              <w:t xml:space="preserve">3,4</w:t>
            </w:r>
          </w:p>
        </w:tc>
      </w:tr>
      <w:tr>
        <w:tc>
          <w:tcPr>
            <w:tcW w:w="3685" w:type="dxa"/>
          </w:tcPr>
          <w:p>
            <w:pPr>
              <w:pStyle w:val="0"/>
            </w:pPr>
            <w:r>
              <w:rPr>
                <w:sz w:val="20"/>
              </w:rPr>
              <w:t xml:space="preserve">аортокоронарное шунтирование</w:t>
            </w:r>
          </w:p>
        </w:tc>
        <w:tc>
          <w:tcPr>
            <w:tcW w:w="619" w:type="dxa"/>
          </w:tcPr>
          <w:p>
            <w:pPr>
              <w:pStyle w:val="0"/>
            </w:pPr>
            <w:r>
              <w:rPr>
                <w:sz w:val="20"/>
              </w:rPr>
              <w:t xml:space="preserve">773</w:t>
            </w:r>
          </w:p>
        </w:tc>
        <w:tc>
          <w:tcPr>
            <w:tcW w:w="619" w:type="dxa"/>
          </w:tcPr>
          <w:p>
            <w:pPr>
              <w:pStyle w:val="0"/>
            </w:pPr>
            <w:r>
              <w:rPr>
                <w:sz w:val="20"/>
              </w:rPr>
              <w:t xml:space="preserve">773</w:t>
            </w:r>
          </w:p>
        </w:tc>
        <w:tc>
          <w:tcPr>
            <w:tcW w:w="619" w:type="dxa"/>
          </w:tcPr>
          <w:p>
            <w:pPr>
              <w:pStyle w:val="0"/>
            </w:pPr>
            <w:r>
              <w:rPr>
                <w:sz w:val="20"/>
              </w:rPr>
              <w:t xml:space="preserve">602</w:t>
            </w:r>
          </w:p>
        </w:tc>
        <w:tc>
          <w:tcPr>
            <w:tcW w:w="619" w:type="dxa"/>
          </w:tcPr>
          <w:p>
            <w:pPr>
              <w:pStyle w:val="0"/>
            </w:pPr>
            <w:r>
              <w:rPr>
                <w:sz w:val="20"/>
              </w:rPr>
              <w:t xml:space="preserve">695</w:t>
            </w:r>
          </w:p>
        </w:tc>
        <w:tc>
          <w:tcPr>
            <w:tcW w:w="619" w:type="dxa"/>
          </w:tcPr>
          <w:p>
            <w:pPr>
              <w:pStyle w:val="0"/>
            </w:pPr>
            <w:r>
              <w:rPr>
                <w:sz w:val="20"/>
              </w:rPr>
              <w:t xml:space="preserve">716</w:t>
            </w:r>
          </w:p>
        </w:tc>
        <w:tc>
          <w:tcPr>
            <w:tcW w:w="1871" w:type="dxa"/>
          </w:tcPr>
          <w:p>
            <w:pPr>
              <w:pStyle w:val="0"/>
            </w:pPr>
            <w:r>
              <w:rPr>
                <w:sz w:val="20"/>
              </w:rPr>
              <w:t xml:space="preserve">3,0</w:t>
            </w:r>
          </w:p>
        </w:tc>
      </w:tr>
      <w:tr>
        <w:tc>
          <w:tcPr>
            <w:tcW w:w="3685" w:type="dxa"/>
          </w:tcPr>
          <w:p>
            <w:pPr>
              <w:pStyle w:val="0"/>
            </w:pPr>
            <w:r>
              <w:rPr>
                <w:sz w:val="20"/>
              </w:rPr>
              <w:t xml:space="preserve">ангиопластика коронарных артерий</w:t>
            </w:r>
          </w:p>
        </w:tc>
        <w:tc>
          <w:tcPr>
            <w:tcW w:w="619" w:type="dxa"/>
          </w:tcPr>
          <w:p>
            <w:pPr>
              <w:pStyle w:val="0"/>
            </w:pPr>
            <w:r>
              <w:rPr>
                <w:sz w:val="20"/>
              </w:rPr>
              <w:t xml:space="preserve">3764</w:t>
            </w:r>
          </w:p>
        </w:tc>
        <w:tc>
          <w:tcPr>
            <w:tcW w:w="619" w:type="dxa"/>
          </w:tcPr>
          <w:p>
            <w:pPr>
              <w:pStyle w:val="0"/>
            </w:pPr>
            <w:r>
              <w:rPr>
                <w:sz w:val="20"/>
              </w:rPr>
              <w:t xml:space="preserve">4028</w:t>
            </w:r>
          </w:p>
        </w:tc>
        <w:tc>
          <w:tcPr>
            <w:tcW w:w="619" w:type="dxa"/>
          </w:tcPr>
          <w:p>
            <w:pPr>
              <w:pStyle w:val="0"/>
            </w:pPr>
            <w:r>
              <w:rPr>
                <w:sz w:val="20"/>
              </w:rPr>
              <w:t xml:space="preserve">3505</w:t>
            </w:r>
          </w:p>
        </w:tc>
        <w:tc>
          <w:tcPr>
            <w:tcW w:w="619" w:type="dxa"/>
          </w:tcPr>
          <w:p>
            <w:pPr>
              <w:pStyle w:val="0"/>
            </w:pPr>
            <w:r>
              <w:rPr>
                <w:sz w:val="20"/>
              </w:rPr>
              <w:t xml:space="preserve">4011</w:t>
            </w:r>
          </w:p>
        </w:tc>
        <w:tc>
          <w:tcPr>
            <w:tcW w:w="619" w:type="dxa"/>
          </w:tcPr>
          <w:p>
            <w:pPr>
              <w:pStyle w:val="0"/>
            </w:pPr>
            <w:r>
              <w:rPr>
                <w:sz w:val="20"/>
              </w:rPr>
              <w:t xml:space="preserve">4149</w:t>
            </w:r>
          </w:p>
        </w:tc>
        <w:tc>
          <w:tcPr>
            <w:tcW w:w="1871" w:type="dxa"/>
          </w:tcPr>
          <w:p>
            <w:pPr>
              <w:pStyle w:val="0"/>
            </w:pPr>
            <w:r>
              <w:rPr>
                <w:sz w:val="20"/>
              </w:rPr>
              <w:t xml:space="preserve">3,4</w:t>
            </w:r>
          </w:p>
        </w:tc>
      </w:tr>
    </w:tbl>
    <w:p>
      <w:pPr>
        <w:pStyle w:val="0"/>
        <w:ind w:firstLine="540"/>
        <w:jc w:val="both"/>
      </w:pPr>
      <w:r>
        <w:rPr>
          <w:sz w:val="20"/>
        </w:rPr>
      </w:r>
    </w:p>
    <w:p>
      <w:pPr>
        <w:pStyle w:val="0"/>
        <w:ind w:firstLine="540"/>
        <w:jc w:val="both"/>
      </w:pPr>
      <w:r>
        <w:rPr>
          <w:sz w:val="20"/>
        </w:rPr>
        <w:t xml:space="preserve">В 2022 году объемы высокотехнологичных вмешательств на сердце возросли по всем видам операций, общее количество операций на сердце увеличилось на 3,8%.</w:t>
      </w:r>
    </w:p>
    <w:p>
      <w:pPr>
        <w:pStyle w:val="0"/>
        <w:spacing w:before="200" w:line-rule="auto"/>
        <w:ind w:firstLine="540"/>
        <w:jc w:val="both"/>
      </w:pPr>
      <w:r>
        <w:rPr>
          <w:sz w:val="20"/>
        </w:rPr>
        <w:t xml:space="preserve">Наиболее выражено увеличение количества операций при нарушениях ритма сердца - на 6,5%, в том числе имплантация антиаритмических устройств (6,7%) и коррекция тахикардий (22,6%).</w:t>
      </w:r>
    </w:p>
    <w:p>
      <w:pPr>
        <w:pStyle w:val="0"/>
        <w:spacing w:before="200" w:line-rule="auto"/>
        <w:ind w:firstLine="540"/>
        <w:jc w:val="both"/>
      </w:pPr>
      <w:r>
        <w:rPr>
          <w:sz w:val="20"/>
        </w:rPr>
        <w:t xml:space="preserve">За 2022 год выполнено:</w:t>
      </w:r>
    </w:p>
    <w:p>
      <w:pPr>
        <w:pStyle w:val="0"/>
        <w:spacing w:before="200" w:line-rule="auto"/>
        <w:ind w:firstLine="540"/>
        <w:jc w:val="both"/>
      </w:pPr>
      <w:r>
        <w:rPr>
          <w:sz w:val="20"/>
        </w:rPr>
        <w:t xml:space="preserve">716 операций аортокоронарного шунтирования, в т.ч. - 133 при ОКС,</w:t>
      </w:r>
    </w:p>
    <w:p>
      <w:pPr>
        <w:pStyle w:val="0"/>
        <w:spacing w:before="200" w:line-rule="auto"/>
        <w:ind w:firstLine="540"/>
        <w:jc w:val="both"/>
      </w:pPr>
      <w:r>
        <w:rPr>
          <w:sz w:val="20"/>
        </w:rPr>
        <w:t xml:space="preserve">4149 операций ангиопластики коронарных артерий, из них 2533 больным с ОКС.</w:t>
      </w:r>
    </w:p>
    <w:p>
      <w:pPr>
        <w:pStyle w:val="0"/>
        <w:spacing w:before="200" w:line-rule="auto"/>
        <w:ind w:firstLine="540"/>
        <w:jc w:val="both"/>
      </w:pPr>
      <w:r>
        <w:rPr>
          <w:sz w:val="20"/>
        </w:rPr>
        <w:t xml:space="preserve">Послеоперационная летальность за 5-летний период без динамики, а в 2022 году незначительно снизилась и составила 1,6%.</w:t>
      </w:r>
    </w:p>
    <w:p>
      <w:pPr>
        <w:pStyle w:val="0"/>
        <w:spacing w:before="200" w:line-rule="auto"/>
        <w:ind w:firstLine="540"/>
        <w:jc w:val="both"/>
      </w:pPr>
      <w:r>
        <w:rPr>
          <w:sz w:val="20"/>
        </w:rPr>
        <w:t xml:space="preserve">В автономном округе выполняются все виды ВМП по профилю "сердечно-сосудистая хирургия". План ВМП в соответствии с установленными объемами выполнен на 100% всеми учреждениями автономного округа: 4347 операций, включенных в базовую программу ОМС (+137 операций в сравнении с 2021 годом), и 2391 операция по бюджету (+33 операции в сравнении с 2021 годом).</w:t>
      </w:r>
    </w:p>
    <w:p>
      <w:pPr>
        <w:pStyle w:val="0"/>
        <w:jc w:val="right"/>
      </w:pPr>
      <w:r>
        <w:rPr>
          <w:sz w:val="20"/>
        </w:rPr>
      </w:r>
    </w:p>
    <w:p>
      <w:pPr>
        <w:pStyle w:val="0"/>
        <w:jc w:val="right"/>
      </w:pPr>
      <w:r>
        <w:rPr>
          <w:sz w:val="20"/>
        </w:rPr>
        <w:t xml:space="preserve">Таблица 27</w:t>
      </w:r>
    </w:p>
    <w:p>
      <w:pPr>
        <w:pStyle w:val="0"/>
        <w:jc w:val="right"/>
      </w:pPr>
      <w:r>
        <w:rPr>
          <w:sz w:val="20"/>
        </w:rPr>
      </w:r>
    </w:p>
    <w:p>
      <w:pPr>
        <w:pStyle w:val="0"/>
        <w:jc w:val="center"/>
      </w:pPr>
      <w:r>
        <w:rPr>
          <w:sz w:val="20"/>
        </w:rPr>
        <w:t xml:space="preserve">Объем хирургической помощи в медицинских организациях</w:t>
      </w:r>
    </w:p>
    <w:p>
      <w:pPr>
        <w:pStyle w:val="0"/>
        <w:jc w:val="center"/>
      </w:pPr>
      <w:r>
        <w:rPr>
          <w:sz w:val="20"/>
        </w:rPr>
        <w:t xml:space="preserve">автономного округа</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04"/>
        <w:gridCol w:w="1114"/>
        <w:gridCol w:w="1354"/>
        <w:gridCol w:w="1114"/>
        <w:gridCol w:w="1354"/>
        <w:gridCol w:w="1174"/>
        <w:gridCol w:w="1174"/>
        <w:gridCol w:w="1159"/>
      </w:tblGrid>
      <w:tr>
        <w:tc>
          <w:tcPr>
            <w:tcW w:w="2704" w:type="dxa"/>
            <w:vMerge w:val="restart"/>
          </w:tcPr>
          <w:p>
            <w:pPr>
              <w:pStyle w:val="0"/>
              <w:jc w:val="center"/>
            </w:pPr>
            <w:r>
              <w:rPr>
                <w:sz w:val="20"/>
              </w:rPr>
              <w:t xml:space="preserve">Операции</w:t>
            </w:r>
          </w:p>
        </w:tc>
        <w:tc>
          <w:tcPr>
            <w:gridSpan w:val="2"/>
            <w:tcW w:w="2468" w:type="dxa"/>
          </w:tcPr>
          <w:p>
            <w:pPr>
              <w:pStyle w:val="0"/>
              <w:jc w:val="center"/>
            </w:pPr>
            <w:r>
              <w:rPr>
                <w:sz w:val="20"/>
              </w:rPr>
              <w:t xml:space="preserve">2021</w:t>
            </w:r>
          </w:p>
        </w:tc>
        <w:tc>
          <w:tcPr>
            <w:gridSpan w:val="2"/>
            <w:tcW w:w="2468" w:type="dxa"/>
          </w:tcPr>
          <w:p>
            <w:pPr>
              <w:pStyle w:val="0"/>
              <w:jc w:val="center"/>
            </w:pPr>
            <w:r>
              <w:rPr>
                <w:sz w:val="20"/>
              </w:rPr>
              <w:t xml:space="preserve">2022</w:t>
            </w:r>
          </w:p>
        </w:tc>
        <w:tc>
          <w:tcPr>
            <w:tcW w:w="1174" w:type="dxa"/>
            <w:vMerge w:val="restart"/>
          </w:tcPr>
          <w:p>
            <w:pPr>
              <w:pStyle w:val="0"/>
              <w:jc w:val="center"/>
            </w:pPr>
            <w:r>
              <w:rPr>
                <w:sz w:val="20"/>
              </w:rPr>
              <w:t xml:space="preserve">По субъекту, 2021 год, на 1 млн населения</w:t>
            </w:r>
          </w:p>
        </w:tc>
        <w:tc>
          <w:tcPr>
            <w:tcW w:w="1174" w:type="dxa"/>
            <w:vMerge w:val="restart"/>
          </w:tcPr>
          <w:p>
            <w:pPr>
              <w:pStyle w:val="0"/>
              <w:jc w:val="center"/>
            </w:pPr>
            <w:r>
              <w:rPr>
                <w:sz w:val="20"/>
              </w:rPr>
              <w:t xml:space="preserve">По субъекту, 2022 год, на 1 млн населения</w:t>
            </w:r>
          </w:p>
        </w:tc>
        <w:tc>
          <w:tcPr>
            <w:tcW w:w="1159" w:type="dxa"/>
            <w:vMerge w:val="restart"/>
          </w:tcPr>
          <w:p>
            <w:pPr>
              <w:pStyle w:val="0"/>
              <w:jc w:val="center"/>
            </w:pPr>
            <w:r>
              <w:rPr>
                <w:sz w:val="20"/>
              </w:rPr>
              <w:t xml:space="preserve">Динамика 2022/2021 (%)</w:t>
            </w:r>
          </w:p>
        </w:tc>
      </w:tr>
      <w:tr>
        <w:tc>
          <w:tcPr>
            <w:vMerge w:val="continue"/>
          </w:tcPr>
          <w:p/>
        </w:tc>
        <w:tc>
          <w:tcPr>
            <w:tcW w:w="1114" w:type="dxa"/>
          </w:tcPr>
          <w:p>
            <w:pPr>
              <w:pStyle w:val="0"/>
              <w:jc w:val="center"/>
            </w:pPr>
            <w:r>
              <w:rPr>
                <w:sz w:val="20"/>
              </w:rPr>
              <w:t xml:space="preserve">число операций</w:t>
            </w:r>
          </w:p>
        </w:tc>
        <w:tc>
          <w:tcPr>
            <w:tcW w:w="1354" w:type="dxa"/>
          </w:tcPr>
          <w:p>
            <w:pPr>
              <w:pStyle w:val="0"/>
              <w:jc w:val="center"/>
            </w:pPr>
            <w:r>
              <w:rPr>
                <w:sz w:val="20"/>
              </w:rPr>
              <w:t xml:space="preserve">летальность</w:t>
            </w:r>
          </w:p>
        </w:tc>
        <w:tc>
          <w:tcPr>
            <w:tcW w:w="1114" w:type="dxa"/>
          </w:tcPr>
          <w:p>
            <w:pPr>
              <w:pStyle w:val="0"/>
              <w:jc w:val="center"/>
            </w:pPr>
            <w:r>
              <w:rPr>
                <w:sz w:val="20"/>
              </w:rPr>
              <w:t xml:space="preserve">число операций</w:t>
            </w:r>
          </w:p>
        </w:tc>
        <w:tc>
          <w:tcPr>
            <w:tcW w:w="1354" w:type="dxa"/>
          </w:tcPr>
          <w:p>
            <w:pPr>
              <w:pStyle w:val="0"/>
              <w:jc w:val="center"/>
            </w:pPr>
            <w:r>
              <w:rPr>
                <w:sz w:val="20"/>
              </w:rPr>
              <w:t xml:space="preserve">летальность</w:t>
            </w:r>
          </w:p>
        </w:tc>
        <w:tc>
          <w:tcPr>
            <w:vMerge w:val="continue"/>
          </w:tcPr>
          <w:p/>
        </w:tc>
        <w:tc>
          <w:tcPr>
            <w:vMerge w:val="continue"/>
          </w:tcPr>
          <w:p/>
        </w:tc>
        <w:tc>
          <w:tcPr>
            <w:vMerge w:val="continue"/>
          </w:tcPr>
          <w:p/>
        </w:tc>
      </w:tr>
      <w:tr>
        <w:tc>
          <w:tcPr>
            <w:tcW w:w="2704" w:type="dxa"/>
          </w:tcPr>
          <w:p>
            <w:pPr>
              <w:pStyle w:val="0"/>
            </w:pPr>
            <w:r>
              <w:rPr>
                <w:sz w:val="20"/>
              </w:rPr>
              <w:t xml:space="preserve">Операции на сердце, из них:</w:t>
            </w:r>
          </w:p>
        </w:tc>
        <w:tc>
          <w:tcPr>
            <w:tcW w:w="1114" w:type="dxa"/>
          </w:tcPr>
          <w:p>
            <w:pPr>
              <w:pStyle w:val="0"/>
            </w:pPr>
            <w:r>
              <w:rPr>
                <w:sz w:val="20"/>
              </w:rPr>
              <w:t xml:space="preserve">6333</w:t>
            </w:r>
          </w:p>
        </w:tc>
        <w:tc>
          <w:tcPr>
            <w:tcW w:w="1354" w:type="dxa"/>
          </w:tcPr>
          <w:p>
            <w:pPr>
              <w:pStyle w:val="0"/>
            </w:pPr>
            <w:r>
              <w:rPr>
                <w:sz w:val="20"/>
              </w:rPr>
              <w:t xml:space="preserve">1,7%</w:t>
            </w:r>
          </w:p>
        </w:tc>
        <w:tc>
          <w:tcPr>
            <w:tcW w:w="1114" w:type="dxa"/>
          </w:tcPr>
          <w:p>
            <w:pPr>
              <w:pStyle w:val="0"/>
            </w:pPr>
            <w:r>
              <w:rPr>
                <w:sz w:val="20"/>
              </w:rPr>
              <w:t xml:space="preserve">6576</w:t>
            </w:r>
          </w:p>
        </w:tc>
        <w:tc>
          <w:tcPr>
            <w:tcW w:w="1354" w:type="dxa"/>
          </w:tcPr>
          <w:p>
            <w:pPr>
              <w:pStyle w:val="0"/>
            </w:pPr>
            <w:r>
              <w:rPr>
                <w:sz w:val="20"/>
              </w:rPr>
              <w:t xml:space="preserve">1,6%</w:t>
            </w:r>
          </w:p>
        </w:tc>
        <w:tc>
          <w:tcPr>
            <w:tcW w:w="1174" w:type="dxa"/>
          </w:tcPr>
          <w:p>
            <w:pPr>
              <w:pStyle w:val="0"/>
            </w:pPr>
            <w:r>
              <w:rPr>
                <w:sz w:val="20"/>
              </w:rPr>
              <w:t xml:space="preserve">3752</w:t>
            </w:r>
          </w:p>
        </w:tc>
        <w:tc>
          <w:tcPr>
            <w:tcW w:w="1174" w:type="dxa"/>
          </w:tcPr>
          <w:p>
            <w:pPr>
              <w:pStyle w:val="0"/>
            </w:pPr>
            <w:r>
              <w:rPr>
                <w:sz w:val="20"/>
              </w:rPr>
              <w:t xml:space="preserve">3837</w:t>
            </w:r>
          </w:p>
        </w:tc>
        <w:tc>
          <w:tcPr>
            <w:tcW w:w="1159" w:type="dxa"/>
          </w:tcPr>
          <w:p>
            <w:pPr>
              <w:pStyle w:val="0"/>
            </w:pPr>
            <w:r>
              <w:rPr>
                <w:sz w:val="20"/>
              </w:rPr>
              <w:t xml:space="preserve">2,3</w:t>
            </w:r>
          </w:p>
        </w:tc>
      </w:tr>
      <w:tr>
        <w:tc>
          <w:tcPr>
            <w:tcW w:w="2704" w:type="dxa"/>
          </w:tcPr>
          <w:p>
            <w:pPr>
              <w:pStyle w:val="0"/>
            </w:pPr>
            <w:r>
              <w:rPr>
                <w:sz w:val="20"/>
              </w:rPr>
              <w:t xml:space="preserve">на открытом сердце, из них:</w:t>
            </w:r>
          </w:p>
        </w:tc>
        <w:tc>
          <w:tcPr>
            <w:tcW w:w="1114" w:type="dxa"/>
          </w:tcPr>
          <w:p>
            <w:pPr>
              <w:pStyle w:val="0"/>
            </w:pPr>
            <w:r>
              <w:rPr>
                <w:sz w:val="20"/>
              </w:rPr>
              <w:t xml:space="preserve">957</w:t>
            </w:r>
          </w:p>
        </w:tc>
        <w:tc>
          <w:tcPr>
            <w:tcW w:w="1354" w:type="dxa"/>
          </w:tcPr>
          <w:p>
            <w:pPr>
              <w:pStyle w:val="0"/>
            </w:pPr>
            <w:r>
              <w:rPr>
                <w:sz w:val="20"/>
              </w:rPr>
              <w:t xml:space="preserve">2,4%</w:t>
            </w:r>
          </w:p>
        </w:tc>
        <w:tc>
          <w:tcPr>
            <w:tcW w:w="1114" w:type="dxa"/>
          </w:tcPr>
          <w:p>
            <w:pPr>
              <w:pStyle w:val="0"/>
            </w:pPr>
            <w:r>
              <w:rPr>
                <w:sz w:val="20"/>
              </w:rPr>
              <w:t xml:space="preserve">952</w:t>
            </w:r>
          </w:p>
        </w:tc>
        <w:tc>
          <w:tcPr>
            <w:tcW w:w="1354" w:type="dxa"/>
          </w:tcPr>
          <w:p>
            <w:pPr>
              <w:pStyle w:val="0"/>
            </w:pPr>
            <w:r>
              <w:rPr>
                <w:sz w:val="20"/>
              </w:rPr>
              <w:t xml:space="preserve">3,0%</w:t>
            </w:r>
          </w:p>
        </w:tc>
        <w:tc>
          <w:tcPr>
            <w:tcW w:w="1174" w:type="dxa"/>
          </w:tcPr>
          <w:p>
            <w:pPr>
              <w:pStyle w:val="0"/>
            </w:pPr>
            <w:r>
              <w:rPr>
                <w:sz w:val="20"/>
              </w:rPr>
              <w:t xml:space="preserve">567</w:t>
            </w:r>
          </w:p>
        </w:tc>
        <w:tc>
          <w:tcPr>
            <w:tcW w:w="1174" w:type="dxa"/>
          </w:tcPr>
          <w:p>
            <w:pPr>
              <w:pStyle w:val="0"/>
            </w:pPr>
            <w:r>
              <w:rPr>
                <w:sz w:val="20"/>
              </w:rPr>
              <w:t xml:space="preserve">556</w:t>
            </w:r>
          </w:p>
        </w:tc>
        <w:tc>
          <w:tcPr>
            <w:tcW w:w="1159" w:type="dxa"/>
          </w:tcPr>
          <w:p>
            <w:pPr>
              <w:pStyle w:val="0"/>
            </w:pPr>
            <w:r>
              <w:rPr>
                <w:sz w:val="20"/>
              </w:rPr>
              <w:t xml:space="preserve">-2,0</w:t>
            </w:r>
          </w:p>
        </w:tc>
      </w:tr>
      <w:tr>
        <w:tc>
          <w:tcPr>
            <w:tcW w:w="2704" w:type="dxa"/>
          </w:tcPr>
          <w:p>
            <w:pPr>
              <w:pStyle w:val="0"/>
            </w:pPr>
            <w:r>
              <w:rPr>
                <w:sz w:val="20"/>
              </w:rPr>
              <w:t xml:space="preserve">с искусственным кровообращением</w:t>
            </w:r>
          </w:p>
        </w:tc>
        <w:tc>
          <w:tcPr>
            <w:tcW w:w="1114" w:type="dxa"/>
          </w:tcPr>
          <w:p>
            <w:pPr>
              <w:pStyle w:val="0"/>
            </w:pPr>
            <w:r>
              <w:rPr>
                <w:sz w:val="20"/>
              </w:rPr>
              <w:t xml:space="preserve">842</w:t>
            </w:r>
          </w:p>
        </w:tc>
        <w:tc>
          <w:tcPr>
            <w:tcW w:w="1354" w:type="dxa"/>
          </w:tcPr>
          <w:p>
            <w:pPr>
              <w:pStyle w:val="0"/>
            </w:pPr>
            <w:r>
              <w:rPr>
                <w:sz w:val="20"/>
              </w:rPr>
              <w:t xml:space="preserve">2,7%</w:t>
            </w:r>
          </w:p>
        </w:tc>
        <w:tc>
          <w:tcPr>
            <w:tcW w:w="1114" w:type="dxa"/>
          </w:tcPr>
          <w:p>
            <w:pPr>
              <w:pStyle w:val="0"/>
            </w:pPr>
            <w:r>
              <w:rPr>
                <w:sz w:val="20"/>
              </w:rPr>
              <w:t xml:space="preserve">822</w:t>
            </w:r>
          </w:p>
        </w:tc>
        <w:tc>
          <w:tcPr>
            <w:tcW w:w="1354" w:type="dxa"/>
          </w:tcPr>
          <w:p>
            <w:pPr>
              <w:pStyle w:val="0"/>
            </w:pPr>
            <w:r>
              <w:rPr>
                <w:sz w:val="20"/>
              </w:rPr>
              <w:t xml:space="preserve">3,5%</w:t>
            </w:r>
          </w:p>
        </w:tc>
        <w:tc>
          <w:tcPr>
            <w:tcW w:w="1174" w:type="dxa"/>
          </w:tcPr>
          <w:p>
            <w:pPr>
              <w:pStyle w:val="0"/>
            </w:pPr>
            <w:r>
              <w:rPr>
                <w:sz w:val="20"/>
              </w:rPr>
              <w:t xml:space="preserve">499</w:t>
            </w:r>
          </w:p>
        </w:tc>
        <w:tc>
          <w:tcPr>
            <w:tcW w:w="1174" w:type="dxa"/>
          </w:tcPr>
          <w:p>
            <w:pPr>
              <w:pStyle w:val="0"/>
            </w:pPr>
            <w:r>
              <w:rPr>
                <w:sz w:val="20"/>
              </w:rPr>
              <w:t xml:space="preserve">480</w:t>
            </w:r>
          </w:p>
        </w:tc>
        <w:tc>
          <w:tcPr>
            <w:tcW w:w="1159" w:type="dxa"/>
          </w:tcPr>
          <w:p>
            <w:pPr>
              <w:pStyle w:val="0"/>
            </w:pPr>
            <w:r>
              <w:rPr>
                <w:sz w:val="20"/>
              </w:rPr>
              <w:t xml:space="preserve">-3,9</w:t>
            </w:r>
          </w:p>
        </w:tc>
      </w:tr>
      <w:tr>
        <w:tc>
          <w:tcPr>
            <w:tcW w:w="2704" w:type="dxa"/>
          </w:tcPr>
          <w:p>
            <w:pPr>
              <w:pStyle w:val="0"/>
            </w:pPr>
            <w:r>
              <w:rPr>
                <w:sz w:val="20"/>
              </w:rPr>
              <w:t xml:space="preserve">Коррекция врожденных пороков сердца</w:t>
            </w:r>
          </w:p>
        </w:tc>
        <w:tc>
          <w:tcPr>
            <w:tcW w:w="1114" w:type="dxa"/>
          </w:tcPr>
          <w:p>
            <w:pPr>
              <w:pStyle w:val="0"/>
            </w:pPr>
            <w:r>
              <w:rPr>
                <w:sz w:val="20"/>
              </w:rPr>
              <w:t xml:space="preserve">127</w:t>
            </w:r>
          </w:p>
        </w:tc>
        <w:tc>
          <w:tcPr>
            <w:tcW w:w="1354" w:type="dxa"/>
          </w:tcPr>
          <w:p>
            <w:pPr>
              <w:pStyle w:val="0"/>
            </w:pPr>
            <w:r>
              <w:rPr>
                <w:sz w:val="20"/>
              </w:rPr>
              <w:t xml:space="preserve">3,9%</w:t>
            </w:r>
          </w:p>
        </w:tc>
        <w:tc>
          <w:tcPr>
            <w:tcW w:w="1114" w:type="dxa"/>
          </w:tcPr>
          <w:p>
            <w:pPr>
              <w:pStyle w:val="0"/>
            </w:pPr>
            <w:r>
              <w:rPr>
                <w:sz w:val="20"/>
              </w:rPr>
              <w:t xml:space="preserve">122</w:t>
            </w:r>
          </w:p>
        </w:tc>
        <w:tc>
          <w:tcPr>
            <w:tcW w:w="1354" w:type="dxa"/>
          </w:tcPr>
          <w:p>
            <w:pPr>
              <w:pStyle w:val="0"/>
            </w:pPr>
            <w:r>
              <w:rPr>
                <w:sz w:val="20"/>
              </w:rPr>
              <w:t xml:space="preserve">0%</w:t>
            </w:r>
          </w:p>
        </w:tc>
        <w:tc>
          <w:tcPr>
            <w:tcW w:w="1174" w:type="dxa"/>
          </w:tcPr>
          <w:p>
            <w:pPr>
              <w:pStyle w:val="0"/>
            </w:pPr>
            <w:r>
              <w:rPr>
                <w:sz w:val="20"/>
              </w:rPr>
              <w:t xml:space="preserve">75</w:t>
            </w:r>
          </w:p>
        </w:tc>
        <w:tc>
          <w:tcPr>
            <w:tcW w:w="1174" w:type="dxa"/>
          </w:tcPr>
          <w:p>
            <w:pPr>
              <w:pStyle w:val="0"/>
            </w:pPr>
            <w:r>
              <w:rPr>
                <w:sz w:val="20"/>
              </w:rPr>
              <w:t xml:space="preserve">71</w:t>
            </w:r>
          </w:p>
        </w:tc>
        <w:tc>
          <w:tcPr>
            <w:tcW w:w="1159" w:type="dxa"/>
          </w:tcPr>
          <w:p>
            <w:pPr>
              <w:pStyle w:val="0"/>
            </w:pPr>
            <w:r>
              <w:rPr>
                <w:sz w:val="20"/>
              </w:rPr>
              <w:t xml:space="preserve">-5,1</w:t>
            </w:r>
          </w:p>
        </w:tc>
      </w:tr>
      <w:tr>
        <w:tc>
          <w:tcPr>
            <w:tcW w:w="2704" w:type="dxa"/>
          </w:tcPr>
          <w:p>
            <w:pPr>
              <w:pStyle w:val="0"/>
            </w:pPr>
            <w:r>
              <w:rPr>
                <w:sz w:val="20"/>
              </w:rPr>
              <w:t xml:space="preserve">Коррекция приобретенных поражений клапанов сердца</w:t>
            </w:r>
          </w:p>
        </w:tc>
        <w:tc>
          <w:tcPr>
            <w:tcW w:w="1114" w:type="dxa"/>
          </w:tcPr>
          <w:p>
            <w:pPr>
              <w:pStyle w:val="0"/>
            </w:pPr>
            <w:r>
              <w:rPr>
                <w:sz w:val="20"/>
              </w:rPr>
              <w:t xml:space="preserve">184</w:t>
            </w:r>
          </w:p>
        </w:tc>
        <w:tc>
          <w:tcPr>
            <w:tcW w:w="1354" w:type="dxa"/>
          </w:tcPr>
          <w:p>
            <w:pPr>
              <w:pStyle w:val="0"/>
            </w:pPr>
            <w:r>
              <w:rPr>
                <w:sz w:val="20"/>
              </w:rPr>
              <w:t xml:space="preserve">7,1%</w:t>
            </w:r>
          </w:p>
        </w:tc>
        <w:tc>
          <w:tcPr>
            <w:tcW w:w="1114" w:type="dxa"/>
          </w:tcPr>
          <w:p>
            <w:pPr>
              <w:pStyle w:val="0"/>
            </w:pPr>
            <w:r>
              <w:rPr>
                <w:sz w:val="20"/>
              </w:rPr>
              <w:t xml:space="preserve">171</w:t>
            </w:r>
          </w:p>
        </w:tc>
        <w:tc>
          <w:tcPr>
            <w:tcW w:w="1354" w:type="dxa"/>
          </w:tcPr>
          <w:p>
            <w:pPr>
              <w:pStyle w:val="0"/>
            </w:pPr>
            <w:r>
              <w:rPr>
                <w:sz w:val="20"/>
              </w:rPr>
              <w:t xml:space="preserve">5,8%</w:t>
            </w:r>
          </w:p>
        </w:tc>
        <w:tc>
          <w:tcPr>
            <w:tcW w:w="1174" w:type="dxa"/>
          </w:tcPr>
          <w:p>
            <w:pPr>
              <w:pStyle w:val="0"/>
            </w:pPr>
            <w:r>
              <w:rPr>
                <w:sz w:val="20"/>
              </w:rPr>
              <w:t xml:space="preserve">109</w:t>
            </w:r>
          </w:p>
        </w:tc>
        <w:tc>
          <w:tcPr>
            <w:tcW w:w="1174" w:type="dxa"/>
          </w:tcPr>
          <w:p>
            <w:pPr>
              <w:pStyle w:val="0"/>
            </w:pPr>
            <w:r>
              <w:rPr>
                <w:sz w:val="20"/>
              </w:rPr>
              <w:t xml:space="preserve">100</w:t>
            </w:r>
          </w:p>
        </w:tc>
        <w:tc>
          <w:tcPr>
            <w:tcW w:w="1159" w:type="dxa"/>
          </w:tcPr>
          <w:p>
            <w:pPr>
              <w:pStyle w:val="0"/>
            </w:pPr>
            <w:r>
              <w:rPr>
                <w:sz w:val="20"/>
              </w:rPr>
              <w:t xml:space="preserve">-8,5</w:t>
            </w:r>
          </w:p>
        </w:tc>
      </w:tr>
      <w:tr>
        <w:tc>
          <w:tcPr>
            <w:tcW w:w="2704" w:type="dxa"/>
          </w:tcPr>
          <w:p>
            <w:pPr>
              <w:pStyle w:val="0"/>
            </w:pPr>
            <w:r>
              <w:rPr>
                <w:sz w:val="20"/>
              </w:rPr>
              <w:t xml:space="preserve">При нарушениях ритма, из них:</w:t>
            </w:r>
          </w:p>
        </w:tc>
        <w:tc>
          <w:tcPr>
            <w:tcW w:w="1114" w:type="dxa"/>
          </w:tcPr>
          <w:p>
            <w:pPr>
              <w:pStyle w:val="0"/>
            </w:pPr>
            <w:r>
              <w:rPr>
                <w:sz w:val="20"/>
              </w:rPr>
              <w:t xml:space="preserve">1252</w:t>
            </w:r>
          </w:p>
        </w:tc>
        <w:tc>
          <w:tcPr>
            <w:tcW w:w="1354" w:type="dxa"/>
          </w:tcPr>
          <w:p>
            <w:pPr>
              <w:pStyle w:val="0"/>
            </w:pPr>
            <w:r>
              <w:rPr>
                <w:sz w:val="20"/>
              </w:rPr>
              <w:t xml:space="preserve">0</w:t>
            </w:r>
          </w:p>
        </w:tc>
        <w:tc>
          <w:tcPr>
            <w:tcW w:w="1114" w:type="dxa"/>
          </w:tcPr>
          <w:p>
            <w:pPr>
              <w:pStyle w:val="0"/>
            </w:pPr>
            <w:r>
              <w:rPr>
                <w:sz w:val="20"/>
              </w:rPr>
              <w:t xml:space="preserve">1334</w:t>
            </w:r>
          </w:p>
        </w:tc>
        <w:tc>
          <w:tcPr>
            <w:tcW w:w="1354" w:type="dxa"/>
          </w:tcPr>
          <w:p>
            <w:pPr>
              <w:pStyle w:val="0"/>
            </w:pPr>
            <w:r>
              <w:rPr>
                <w:sz w:val="20"/>
              </w:rPr>
              <w:t xml:space="preserve">0%</w:t>
            </w:r>
          </w:p>
        </w:tc>
        <w:tc>
          <w:tcPr>
            <w:tcW w:w="1174" w:type="dxa"/>
          </w:tcPr>
          <w:p>
            <w:pPr>
              <w:pStyle w:val="0"/>
            </w:pPr>
            <w:r>
              <w:rPr>
                <w:sz w:val="20"/>
              </w:rPr>
              <w:t xml:space="preserve">742</w:t>
            </w:r>
          </w:p>
        </w:tc>
        <w:tc>
          <w:tcPr>
            <w:tcW w:w="1174" w:type="dxa"/>
          </w:tcPr>
          <w:p>
            <w:pPr>
              <w:pStyle w:val="0"/>
            </w:pPr>
            <w:r>
              <w:rPr>
                <w:sz w:val="20"/>
              </w:rPr>
              <w:t xml:space="preserve">778</w:t>
            </w:r>
          </w:p>
        </w:tc>
        <w:tc>
          <w:tcPr>
            <w:tcW w:w="1159" w:type="dxa"/>
          </w:tcPr>
          <w:p>
            <w:pPr>
              <w:pStyle w:val="0"/>
            </w:pPr>
            <w:r>
              <w:rPr>
                <w:sz w:val="20"/>
              </w:rPr>
              <w:t xml:space="preserve">4,9</w:t>
            </w:r>
          </w:p>
        </w:tc>
      </w:tr>
      <w:tr>
        <w:tc>
          <w:tcPr>
            <w:tcW w:w="2704" w:type="dxa"/>
          </w:tcPr>
          <w:p>
            <w:pPr>
              <w:pStyle w:val="0"/>
            </w:pPr>
            <w:r>
              <w:rPr>
                <w:sz w:val="20"/>
              </w:rPr>
              <w:t xml:space="preserve">имплантация антиаритмических устройств</w:t>
            </w:r>
          </w:p>
        </w:tc>
        <w:tc>
          <w:tcPr>
            <w:tcW w:w="1114" w:type="dxa"/>
          </w:tcPr>
          <w:p>
            <w:pPr>
              <w:pStyle w:val="0"/>
            </w:pPr>
            <w:r>
              <w:rPr>
                <w:sz w:val="20"/>
              </w:rPr>
              <w:t xml:space="preserve">594</w:t>
            </w:r>
          </w:p>
        </w:tc>
        <w:tc>
          <w:tcPr>
            <w:tcW w:w="1354" w:type="dxa"/>
          </w:tcPr>
          <w:p>
            <w:pPr>
              <w:pStyle w:val="0"/>
            </w:pPr>
            <w:r>
              <w:rPr>
                <w:sz w:val="20"/>
              </w:rPr>
              <w:t xml:space="preserve">0</w:t>
            </w:r>
          </w:p>
        </w:tc>
        <w:tc>
          <w:tcPr>
            <w:tcW w:w="1114" w:type="dxa"/>
          </w:tcPr>
          <w:p>
            <w:pPr>
              <w:pStyle w:val="0"/>
            </w:pPr>
            <w:r>
              <w:rPr>
                <w:sz w:val="20"/>
              </w:rPr>
              <w:t xml:space="preserve">634</w:t>
            </w:r>
          </w:p>
        </w:tc>
        <w:tc>
          <w:tcPr>
            <w:tcW w:w="1354" w:type="dxa"/>
          </w:tcPr>
          <w:p>
            <w:pPr>
              <w:pStyle w:val="0"/>
            </w:pPr>
            <w:r>
              <w:rPr>
                <w:sz w:val="20"/>
              </w:rPr>
              <w:t xml:space="preserve">0%</w:t>
            </w:r>
          </w:p>
        </w:tc>
        <w:tc>
          <w:tcPr>
            <w:tcW w:w="1174" w:type="dxa"/>
          </w:tcPr>
          <w:p>
            <w:pPr>
              <w:pStyle w:val="0"/>
            </w:pPr>
            <w:r>
              <w:rPr>
                <w:sz w:val="20"/>
              </w:rPr>
              <w:t xml:space="preserve">352</w:t>
            </w:r>
          </w:p>
        </w:tc>
        <w:tc>
          <w:tcPr>
            <w:tcW w:w="1174" w:type="dxa"/>
          </w:tcPr>
          <w:p>
            <w:pPr>
              <w:pStyle w:val="0"/>
            </w:pPr>
            <w:r>
              <w:rPr>
                <w:sz w:val="20"/>
              </w:rPr>
              <w:t xml:space="preserve">370</w:t>
            </w:r>
          </w:p>
        </w:tc>
        <w:tc>
          <w:tcPr>
            <w:tcW w:w="1159" w:type="dxa"/>
          </w:tcPr>
          <w:p>
            <w:pPr>
              <w:pStyle w:val="0"/>
            </w:pPr>
            <w:r>
              <w:rPr>
                <w:sz w:val="20"/>
              </w:rPr>
              <w:t xml:space="preserve">5,1</w:t>
            </w:r>
          </w:p>
        </w:tc>
      </w:tr>
      <w:tr>
        <w:tc>
          <w:tcPr>
            <w:tcW w:w="2704" w:type="dxa"/>
          </w:tcPr>
          <w:p>
            <w:pPr>
              <w:pStyle w:val="0"/>
            </w:pPr>
            <w:r>
              <w:rPr>
                <w:sz w:val="20"/>
              </w:rPr>
              <w:t xml:space="preserve">По поводу ИБС, из них:</w:t>
            </w:r>
          </w:p>
        </w:tc>
        <w:tc>
          <w:tcPr>
            <w:tcW w:w="1114" w:type="dxa"/>
          </w:tcPr>
          <w:p>
            <w:pPr>
              <w:pStyle w:val="0"/>
            </w:pPr>
            <w:r>
              <w:rPr>
                <w:sz w:val="20"/>
              </w:rPr>
              <w:t xml:space="preserve">4706</w:t>
            </w:r>
          </w:p>
        </w:tc>
        <w:tc>
          <w:tcPr>
            <w:tcW w:w="1354" w:type="dxa"/>
          </w:tcPr>
          <w:p>
            <w:pPr>
              <w:pStyle w:val="0"/>
            </w:pPr>
            <w:r>
              <w:rPr>
                <w:sz w:val="20"/>
              </w:rPr>
              <w:t xml:space="preserve">1,9%</w:t>
            </w:r>
          </w:p>
        </w:tc>
        <w:tc>
          <w:tcPr>
            <w:tcW w:w="1114" w:type="dxa"/>
          </w:tcPr>
          <w:p>
            <w:pPr>
              <w:pStyle w:val="0"/>
            </w:pPr>
            <w:r>
              <w:rPr>
                <w:sz w:val="20"/>
              </w:rPr>
              <w:t xml:space="preserve">4865</w:t>
            </w:r>
          </w:p>
        </w:tc>
        <w:tc>
          <w:tcPr>
            <w:tcW w:w="1354" w:type="dxa"/>
          </w:tcPr>
          <w:p>
            <w:pPr>
              <w:pStyle w:val="0"/>
            </w:pPr>
            <w:r>
              <w:rPr>
                <w:sz w:val="20"/>
              </w:rPr>
              <w:t xml:space="preserve">2,0%</w:t>
            </w:r>
          </w:p>
        </w:tc>
        <w:tc>
          <w:tcPr>
            <w:tcW w:w="1174" w:type="dxa"/>
          </w:tcPr>
          <w:p>
            <w:pPr>
              <w:pStyle w:val="0"/>
            </w:pPr>
            <w:r>
              <w:rPr>
                <w:sz w:val="20"/>
              </w:rPr>
              <w:t xml:space="preserve">2788</w:t>
            </w:r>
          </w:p>
        </w:tc>
        <w:tc>
          <w:tcPr>
            <w:tcW w:w="1174" w:type="dxa"/>
          </w:tcPr>
          <w:p>
            <w:pPr>
              <w:pStyle w:val="0"/>
            </w:pPr>
            <w:r>
              <w:rPr>
                <w:sz w:val="20"/>
              </w:rPr>
              <w:t xml:space="preserve">2839</w:t>
            </w:r>
          </w:p>
        </w:tc>
        <w:tc>
          <w:tcPr>
            <w:tcW w:w="1159" w:type="dxa"/>
          </w:tcPr>
          <w:p>
            <w:pPr>
              <w:pStyle w:val="0"/>
            </w:pPr>
            <w:r>
              <w:rPr>
                <w:sz w:val="20"/>
              </w:rPr>
              <w:t xml:space="preserve">1,8</w:t>
            </w:r>
          </w:p>
        </w:tc>
      </w:tr>
      <w:tr>
        <w:tc>
          <w:tcPr>
            <w:tcW w:w="2704" w:type="dxa"/>
          </w:tcPr>
          <w:p>
            <w:pPr>
              <w:pStyle w:val="0"/>
            </w:pPr>
            <w:r>
              <w:rPr>
                <w:sz w:val="20"/>
              </w:rPr>
              <w:t xml:space="preserve">аортокоронарное шунтирование</w:t>
            </w:r>
          </w:p>
        </w:tc>
        <w:tc>
          <w:tcPr>
            <w:tcW w:w="1114" w:type="dxa"/>
          </w:tcPr>
          <w:p>
            <w:pPr>
              <w:pStyle w:val="0"/>
            </w:pPr>
            <w:r>
              <w:rPr>
                <w:sz w:val="20"/>
              </w:rPr>
              <w:t xml:space="preserve">695</w:t>
            </w:r>
          </w:p>
        </w:tc>
        <w:tc>
          <w:tcPr>
            <w:tcW w:w="1354" w:type="dxa"/>
          </w:tcPr>
          <w:p>
            <w:pPr>
              <w:pStyle w:val="0"/>
            </w:pPr>
            <w:r>
              <w:rPr>
                <w:sz w:val="20"/>
              </w:rPr>
              <w:t xml:space="preserve">1,2%</w:t>
            </w:r>
          </w:p>
        </w:tc>
        <w:tc>
          <w:tcPr>
            <w:tcW w:w="1114" w:type="dxa"/>
          </w:tcPr>
          <w:p>
            <w:pPr>
              <w:pStyle w:val="0"/>
            </w:pPr>
            <w:r>
              <w:rPr>
                <w:sz w:val="20"/>
              </w:rPr>
              <w:t xml:space="preserve">716</w:t>
            </w:r>
          </w:p>
        </w:tc>
        <w:tc>
          <w:tcPr>
            <w:tcW w:w="1354" w:type="dxa"/>
          </w:tcPr>
          <w:p>
            <w:pPr>
              <w:pStyle w:val="0"/>
            </w:pPr>
            <w:r>
              <w:rPr>
                <w:sz w:val="20"/>
              </w:rPr>
              <w:t xml:space="preserve">1,8%</w:t>
            </w:r>
          </w:p>
        </w:tc>
        <w:tc>
          <w:tcPr>
            <w:tcW w:w="1174" w:type="dxa"/>
          </w:tcPr>
          <w:p>
            <w:pPr>
              <w:pStyle w:val="0"/>
            </w:pPr>
            <w:r>
              <w:rPr>
                <w:sz w:val="20"/>
              </w:rPr>
              <w:t xml:space="preserve">412</w:t>
            </w:r>
          </w:p>
        </w:tc>
        <w:tc>
          <w:tcPr>
            <w:tcW w:w="1174" w:type="dxa"/>
          </w:tcPr>
          <w:p>
            <w:pPr>
              <w:pStyle w:val="0"/>
            </w:pPr>
            <w:r>
              <w:rPr>
                <w:sz w:val="20"/>
              </w:rPr>
              <w:t xml:space="preserve">418</w:t>
            </w:r>
          </w:p>
        </w:tc>
        <w:tc>
          <w:tcPr>
            <w:tcW w:w="1159" w:type="dxa"/>
          </w:tcPr>
          <w:p>
            <w:pPr>
              <w:pStyle w:val="0"/>
            </w:pPr>
            <w:r>
              <w:rPr>
                <w:sz w:val="20"/>
              </w:rPr>
              <w:t xml:space="preserve">1,4</w:t>
            </w:r>
          </w:p>
        </w:tc>
      </w:tr>
      <w:tr>
        <w:tc>
          <w:tcPr>
            <w:tcW w:w="2704" w:type="dxa"/>
          </w:tcPr>
          <w:p>
            <w:pPr>
              <w:pStyle w:val="0"/>
            </w:pPr>
            <w:r>
              <w:rPr>
                <w:sz w:val="20"/>
              </w:rPr>
              <w:t xml:space="preserve">Ангиопластика коронарных артерий, из них:</w:t>
            </w:r>
          </w:p>
        </w:tc>
        <w:tc>
          <w:tcPr>
            <w:tcW w:w="1114" w:type="dxa"/>
          </w:tcPr>
          <w:p>
            <w:pPr>
              <w:pStyle w:val="0"/>
            </w:pPr>
            <w:r>
              <w:rPr>
                <w:sz w:val="20"/>
              </w:rPr>
              <w:t xml:space="preserve">4011</w:t>
            </w:r>
          </w:p>
        </w:tc>
        <w:tc>
          <w:tcPr>
            <w:tcW w:w="1354" w:type="dxa"/>
          </w:tcPr>
          <w:p>
            <w:pPr>
              <w:pStyle w:val="0"/>
            </w:pPr>
            <w:r>
              <w:rPr>
                <w:sz w:val="20"/>
              </w:rPr>
              <w:t xml:space="preserve">2,0%</w:t>
            </w:r>
          </w:p>
        </w:tc>
        <w:tc>
          <w:tcPr>
            <w:tcW w:w="1114" w:type="dxa"/>
          </w:tcPr>
          <w:p>
            <w:pPr>
              <w:pStyle w:val="0"/>
            </w:pPr>
            <w:r>
              <w:rPr>
                <w:sz w:val="20"/>
              </w:rPr>
              <w:t xml:space="preserve">4149</w:t>
            </w:r>
          </w:p>
        </w:tc>
        <w:tc>
          <w:tcPr>
            <w:tcW w:w="1354" w:type="dxa"/>
          </w:tcPr>
          <w:p>
            <w:pPr>
              <w:pStyle w:val="0"/>
            </w:pPr>
            <w:r>
              <w:rPr>
                <w:sz w:val="20"/>
              </w:rPr>
              <w:t xml:space="preserve">2,0%</w:t>
            </w:r>
          </w:p>
        </w:tc>
        <w:tc>
          <w:tcPr>
            <w:tcW w:w="1174" w:type="dxa"/>
          </w:tcPr>
          <w:p>
            <w:pPr>
              <w:pStyle w:val="0"/>
            </w:pPr>
            <w:r>
              <w:rPr>
                <w:sz w:val="20"/>
              </w:rPr>
              <w:t xml:space="preserve">2376</w:t>
            </w:r>
          </w:p>
        </w:tc>
        <w:tc>
          <w:tcPr>
            <w:tcW w:w="1174" w:type="dxa"/>
          </w:tcPr>
          <w:p>
            <w:pPr>
              <w:pStyle w:val="0"/>
            </w:pPr>
            <w:r>
              <w:rPr>
                <w:sz w:val="20"/>
              </w:rPr>
              <w:t xml:space="preserve">2421</w:t>
            </w:r>
          </w:p>
        </w:tc>
        <w:tc>
          <w:tcPr>
            <w:tcW w:w="1159" w:type="dxa"/>
          </w:tcPr>
          <w:p>
            <w:pPr>
              <w:pStyle w:val="0"/>
            </w:pPr>
            <w:r>
              <w:rPr>
                <w:sz w:val="20"/>
              </w:rPr>
              <w:t xml:space="preserve">1,9</w:t>
            </w:r>
          </w:p>
        </w:tc>
      </w:tr>
      <w:tr>
        <w:tc>
          <w:tcPr>
            <w:tcW w:w="2704" w:type="dxa"/>
          </w:tcPr>
          <w:p>
            <w:pPr>
              <w:pStyle w:val="0"/>
            </w:pPr>
            <w:r>
              <w:rPr>
                <w:sz w:val="20"/>
              </w:rPr>
              <w:t xml:space="preserve">со стентированием</w:t>
            </w:r>
          </w:p>
        </w:tc>
        <w:tc>
          <w:tcPr>
            <w:tcW w:w="1114" w:type="dxa"/>
          </w:tcPr>
          <w:p>
            <w:pPr>
              <w:pStyle w:val="0"/>
            </w:pPr>
            <w:r>
              <w:rPr>
                <w:sz w:val="20"/>
              </w:rPr>
              <w:t xml:space="preserve">3871</w:t>
            </w:r>
          </w:p>
        </w:tc>
        <w:tc>
          <w:tcPr>
            <w:tcW w:w="1354" w:type="dxa"/>
          </w:tcPr>
          <w:p>
            <w:pPr>
              <w:pStyle w:val="0"/>
            </w:pPr>
            <w:r>
              <w:rPr>
                <w:sz w:val="20"/>
              </w:rPr>
              <w:t xml:space="preserve">1,9%</w:t>
            </w:r>
          </w:p>
        </w:tc>
        <w:tc>
          <w:tcPr>
            <w:tcW w:w="1114" w:type="dxa"/>
          </w:tcPr>
          <w:p>
            <w:pPr>
              <w:pStyle w:val="0"/>
            </w:pPr>
            <w:r>
              <w:rPr>
                <w:sz w:val="20"/>
              </w:rPr>
              <w:t xml:space="preserve">3969</w:t>
            </w:r>
          </w:p>
        </w:tc>
        <w:tc>
          <w:tcPr>
            <w:tcW w:w="1354" w:type="dxa"/>
          </w:tcPr>
          <w:p>
            <w:pPr>
              <w:pStyle w:val="0"/>
            </w:pPr>
            <w:r>
              <w:rPr>
                <w:sz w:val="20"/>
              </w:rPr>
              <w:t xml:space="preserve">1,9%</w:t>
            </w:r>
          </w:p>
        </w:tc>
        <w:tc>
          <w:tcPr>
            <w:tcW w:w="1174" w:type="dxa"/>
          </w:tcPr>
          <w:p>
            <w:pPr>
              <w:pStyle w:val="0"/>
            </w:pPr>
            <w:r>
              <w:rPr>
                <w:sz w:val="20"/>
              </w:rPr>
              <w:t xml:space="preserve">2293</w:t>
            </w:r>
          </w:p>
        </w:tc>
        <w:tc>
          <w:tcPr>
            <w:tcW w:w="1174" w:type="dxa"/>
          </w:tcPr>
          <w:p>
            <w:pPr>
              <w:pStyle w:val="0"/>
            </w:pPr>
            <w:r>
              <w:rPr>
                <w:sz w:val="20"/>
              </w:rPr>
              <w:t xml:space="preserve">2316</w:t>
            </w:r>
          </w:p>
        </w:tc>
        <w:tc>
          <w:tcPr>
            <w:tcW w:w="1159" w:type="dxa"/>
          </w:tcPr>
          <w:p>
            <w:pPr>
              <w:pStyle w:val="0"/>
            </w:pPr>
            <w:r>
              <w:rPr>
                <w:sz w:val="20"/>
              </w:rPr>
              <w:t xml:space="preserve">1,0</w:t>
            </w:r>
          </w:p>
        </w:tc>
      </w:tr>
      <w:tr>
        <w:tc>
          <w:tcPr>
            <w:tcW w:w="2704" w:type="dxa"/>
          </w:tcPr>
          <w:p>
            <w:pPr>
              <w:pStyle w:val="0"/>
            </w:pPr>
            <w:r>
              <w:rPr>
                <w:sz w:val="20"/>
              </w:rPr>
              <w:t xml:space="preserve">Операций на сосудах,</w:t>
            </w:r>
          </w:p>
        </w:tc>
        <w:tc>
          <w:tcPr>
            <w:tcW w:w="1114" w:type="dxa"/>
          </w:tcPr>
          <w:p>
            <w:pPr>
              <w:pStyle w:val="0"/>
            </w:pPr>
            <w:r>
              <w:rPr>
                <w:sz w:val="20"/>
              </w:rPr>
              <w:t xml:space="preserve">3986</w:t>
            </w:r>
          </w:p>
        </w:tc>
        <w:tc>
          <w:tcPr>
            <w:tcW w:w="1354" w:type="dxa"/>
          </w:tcPr>
          <w:p>
            <w:pPr>
              <w:pStyle w:val="0"/>
            </w:pPr>
            <w:r>
              <w:rPr>
                <w:sz w:val="20"/>
              </w:rPr>
              <w:t xml:space="preserve">1,8%</w:t>
            </w:r>
          </w:p>
        </w:tc>
        <w:tc>
          <w:tcPr>
            <w:tcW w:w="1114" w:type="dxa"/>
          </w:tcPr>
          <w:p>
            <w:pPr>
              <w:pStyle w:val="0"/>
            </w:pPr>
            <w:r>
              <w:rPr>
                <w:sz w:val="20"/>
              </w:rPr>
              <w:t xml:space="preserve">3964</w:t>
            </w:r>
          </w:p>
        </w:tc>
        <w:tc>
          <w:tcPr>
            <w:tcW w:w="1354" w:type="dxa"/>
          </w:tcPr>
          <w:p>
            <w:pPr>
              <w:pStyle w:val="0"/>
            </w:pPr>
            <w:r>
              <w:rPr>
                <w:sz w:val="20"/>
              </w:rPr>
              <w:t xml:space="preserve">1,2%</w:t>
            </w:r>
          </w:p>
        </w:tc>
        <w:tc>
          <w:tcPr>
            <w:tcW w:w="1174" w:type="dxa"/>
          </w:tcPr>
          <w:p>
            <w:pPr>
              <w:pStyle w:val="0"/>
            </w:pPr>
            <w:r>
              <w:rPr>
                <w:sz w:val="20"/>
              </w:rPr>
              <w:t xml:space="preserve">2361</w:t>
            </w:r>
          </w:p>
        </w:tc>
        <w:tc>
          <w:tcPr>
            <w:tcW w:w="1174" w:type="dxa"/>
          </w:tcPr>
          <w:p>
            <w:pPr>
              <w:pStyle w:val="0"/>
            </w:pPr>
            <w:r>
              <w:rPr>
                <w:sz w:val="20"/>
              </w:rPr>
              <w:t xml:space="preserve">2313</w:t>
            </w:r>
          </w:p>
        </w:tc>
        <w:tc>
          <w:tcPr>
            <w:tcW w:w="1159" w:type="dxa"/>
          </w:tcPr>
          <w:p>
            <w:pPr>
              <w:pStyle w:val="0"/>
            </w:pPr>
            <w:r>
              <w:rPr>
                <w:sz w:val="20"/>
              </w:rPr>
              <w:t xml:space="preserve">-2,0</w:t>
            </w:r>
          </w:p>
        </w:tc>
      </w:tr>
      <w:tr>
        <w:tc>
          <w:tcPr>
            <w:tcW w:w="2704" w:type="dxa"/>
          </w:tcPr>
          <w:p>
            <w:pPr>
              <w:pStyle w:val="0"/>
            </w:pPr>
            <w:r>
              <w:rPr>
                <w:sz w:val="20"/>
              </w:rPr>
              <w:t xml:space="preserve">операции на артериях</w:t>
            </w:r>
          </w:p>
        </w:tc>
        <w:tc>
          <w:tcPr>
            <w:tcW w:w="1114" w:type="dxa"/>
          </w:tcPr>
          <w:p>
            <w:pPr>
              <w:pStyle w:val="0"/>
            </w:pPr>
            <w:r>
              <w:rPr>
                <w:sz w:val="20"/>
              </w:rPr>
              <w:t xml:space="preserve">2361</w:t>
            </w:r>
          </w:p>
        </w:tc>
        <w:tc>
          <w:tcPr>
            <w:tcW w:w="1354" w:type="dxa"/>
          </w:tcPr>
          <w:p>
            <w:pPr>
              <w:pStyle w:val="0"/>
            </w:pPr>
            <w:r>
              <w:rPr>
                <w:sz w:val="20"/>
              </w:rPr>
              <w:t xml:space="preserve">2,0%</w:t>
            </w:r>
          </w:p>
        </w:tc>
        <w:tc>
          <w:tcPr>
            <w:tcW w:w="1114" w:type="dxa"/>
          </w:tcPr>
          <w:p>
            <w:pPr>
              <w:pStyle w:val="0"/>
            </w:pPr>
            <w:r>
              <w:rPr>
                <w:sz w:val="20"/>
              </w:rPr>
              <w:t xml:space="preserve">2187</w:t>
            </w:r>
          </w:p>
        </w:tc>
        <w:tc>
          <w:tcPr>
            <w:tcW w:w="1354" w:type="dxa"/>
          </w:tcPr>
          <w:p>
            <w:pPr>
              <w:pStyle w:val="0"/>
            </w:pPr>
            <w:r>
              <w:rPr>
                <w:sz w:val="20"/>
              </w:rPr>
              <w:t xml:space="preserve">1,4%</w:t>
            </w:r>
          </w:p>
        </w:tc>
        <w:tc>
          <w:tcPr>
            <w:tcW w:w="1174" w:type="dxa"/>
          </w:tcPr>
          <w:p>
            <w:pPr>
              <w:pStyle w:val="0"/>
            </w:pPr>
            <w:r>
              <w:rPr>
                <w:sz w:val="20"/>
              </w:rPr>
              <w:t xml:space="preserve">1399</w:t>
            </w:r>
          </w:p>
        </w:tc>
        <w:tc>
          <w:tcPr>
            <w:tcW w:w="1174" w:type="dxa"/>
          </w:tcPr>
          <w:p>
            <w:pPr>
              <w:pStyle w:val="0"/>
            </w:pPr>
            <w:r>
              <w:rPr>
                <w:sz w:val="20"/>
              </w:rPr>
              <w:t xml:space="preserve">1276</w:t>
            </w:r>
          </w:p>
        </w:tc>
        <w:tc>
          <w:tcPr>
            <w:tcW w:w="1159" w:type="dxa"/>
          </w:tcPr>
          <w:p>
            <w:pPr>
              <w:pStyle w:val="0"/>
            </w:pPr>
            <w:r>
              <w:rPr>
                <w:sz w:val="20"/>
              </w:rPr>
              <w:t xml:space="preserve">-8,8</w:t>
            </w:r>
          </w:p>
        </w:tc>
      </w:tr>
      <w:tr>
        <w:tc>
          <w:tcPr>
            <w:tcW w:w="2704" w:type="dxa"/>
          </w:tcPr>
          <w:p>
            <w:pPr>
              <w:pStyle w:val="0"/>
            </w:pPr>
            <w:r>
              <w:rPr>
                <w:sz w:val="20"/>
              </w:rPr>
              <w:t xml:space="preserve">Из них на питающих головной мозг, из них:</w:t>
            </w:r>
          </w:p>
        </w:tc>
        <w:tc>
          <w:tcPr>
            <w:tcW w:w="1114" w:type="dxa"/>
          </w:tcPr>
          <w:p>
            <w:pPr>
              <w:pStyle w:val="0"/>
            </w:pPr>
            <w:r>
              <w:rPr>
                <w:sz w:val="20"/>
              </w:rPr>
              <w:t xml:space="preserve">785</w:t>
            </w:r>
          </w:p>
        </w:tc>
        <w:tc>
          <w:tcPr>
            <w:tcW w:w="1354" w:type="dxa"/>
          </w:tcPr>
          <w:p>
            <w:pPr>
              <w:pStyle w:val="0"/>
            </w:pPr>
            <w:r>
              <w:rPr>
                <w:sz w:val="20"/>
              </w:rPr>
              <w:t xml:space="preserve">0,3%</w:t>
            </w:r>
          </w:p>
        </w:tc>
        <w:tc>
          <w:tcPr>
            <w:tcW w:w="1114" w:type="dxa"/>
          </w:tcPr>
          <w:p>
            <w:pPr>
              <w:pStyle w:val="0"/>
            </w:pPr>
            <w:r>
              <w:rPr>
                <w:sz w:val="20"/>
              </w:rPr>
              <w:t xml:space="preserve">709</w:t>
            </w:r>
          </w:p>
        </w:tc>
        <w:tc>
          <w:tcPr>
            <w:tcW w:w="1354" w:type="dxa"/>
          </w:tcPr>
          <w:p>
            <w:pPr>
              <w:pStyle w:val="0"/>
            </w:pPr>
            <w:r>
              <w:rPr>
                <w:sz w:val="20"/>
              </w:rPr>
              <w:t xml:space="preserve">0,6%</w:t>
            </w:r>
          </w:p>
        </w:tc>
        <w:tc>
          <w:tcPr>
            <w:tcW w:w="1174" w:type="dxa"/>
          </w:tcPr>
          <w:p>
            <w:pPr>
              <w:pStyle w:val="0"/>
            </w:pPr>
            <w:r>
              <w:rPr>
                <w:sz w:val="20"/>
              </w:rPr>
              <w:t xml:space="preserve">465</w:t>
            </w:r>
          </w:p>
        </w:tc>
        <w:tc>
          <w:tcPr>
            <w:tcW w:w="1174" w:type="dxa"/>
          </w:tcPr>
          <w:p>
            <w:pPr>
              <w:pStyle w:val="0"/>
            </w:pPr>
            <w:r>
              <w:rPr>
                <w:sz w:val="20"/>
              </w:rPr>
              <w:t xml:space="preserve">414</w:t>
            </w:r>
          </w:p>
        </w:tc>
        <w:tc>
          <w:tcPr>
            <w:tcW w:w="1159" w:type="dxa"/>
          </w:tcPr>
          <w:p>
            <w:pPr>
              <w:pStyle w:val="0"/>
            </w:pPr>
            <w:r>
              <w:rPr>
                <w:sz w:val="20"/>
              </w:rPr>
              <w:t xml:space="preserve">-11,0</w:t>
            </w:r>
          </w:p>
        </w:tc>
      </w:tr>
      <w:tr>
        <w:tc>
          <w:tcPr>
            <w:tcW w:w="2704" w:type="dxa"/>
          </w:tcPr>
          <w:p>
            <w:pPr>
              <w:pStyle w:val="0"/>
            </w:pPr>
            <w:r>
              <w:rPr>
                <w:sz w:val="20"/>
              </w:rPr>
              <w:t xml:space="preserve">каротидные эндартерэктомии</w:t>
            </w:r>
          </w:p>
        </w:tc>
        <w:tc>
          <w:tcPr>
            <w:tcW w:w="1114" w:type="dxa"/>
          </w:tcPr>
          <w:p>
            <w:pPr>
              <w:pStyle w:val="0"/>
            </w:pPr>
            <w:r>
              <w:rPr>
                <w:sz w:val="20"/>
              </w:rPr>
              <w:t xml:space="preserve">210</w:t>
            </w:r>
          </w:p>
        </w:tc>
        <w:tc>
          <w:tcPr>
            <w:tcW w:w="1354" w:type="dxa"/>
          </w:tcPr>
          <w:p>
            <w:pPr>
              <w:pStyle w:val="0"/>
            </w:pPr>
            <w:r>
              <w:rPr>
                <w:sz w:val="20"/>
              </w:rPr>
              <w:t xml:space="preserve">0</w:t>
            </w:r>
          </w:p>
        </w:tc>
        <w:tc>
          <w:tcPr>
            <w:tcW w:w="1114" w:type="dxa"/>
          </w:tcPr>
          <w:p>
            <w:pPr>
              <w:pStyle w:val="0"/>
            </w:pPr>
            <w:r>
              <w:rPr>
                <w:sz w:val="20"/>
              </w:rPr>
              <w:t xml:space="preserve">269</w:t>
            </w:r>
          </w:p>
        </w:tc>
        <w:tc>
          <w:tcPr>
            <w:tcW w:w="1354" w:type="dxa"/>
          </w:tcPr>
          <w:p>
            <w:pPr>
              <w:pStyle w:val="0"/>
            </w:pPr>
            <w:r>
              <w:rPr>
                <w:sz w:val="20"/>
              </w:rPr>
              <w:t xml:space="preserve">0,4%</w:t>
            </w:r>
          </w:p>
        </w:tc>
        <w:tc>
          <w:tcPr>
            <w:tcW w:w="1174" w:type="dxa"/>
          </w:tcPr>
          <w:p>
            <w:pPr>
              <w:pStyle w:val="0"/>
            </w:pPr>
            <w:r>
              <w:rPr>
                <w:sz w:val="20"/>
              </w:rPr>
              <w:t xml:space="preserve">124</w:t>
            </w:r>
          </w:p>
        </w:tc>
        <w:tc>
          <w:tcPr>
            <w:tcW w:w="1174" w:type="dxa"/>
          </w:tcPr>
          <w:p>
            <w:pPr>
              <w:pStyle w:val="0"/>
            </w:pPr>
            <w:r>
              <w:rPr>
                <w:sz w:val="20"/>
              </w:rPr>
              <w:t xml:space="preserve">157</w:t>
            </w:r>
          </w:p>
        </w:tc>
        <w:tc>
          <w:tcPr>
            <w:tcW w:w="1159" w:type="dxa"/>
          </w:tcPr>
          <w:p>
            <w:pPr>
              <w:pStyle w:val="0"/>
            </w:pPr>
            <w:r>
              <w:rPr>
                <w:sz w:val="20"/>
              </w:rPr>
              <w:t xml:space="preserve">26,6</w:t>
            </w:r>
          </w:p>
        </w:tc>
      </w:tr>
      <w:tr>
        <w:tc>
          <w:tcPr>
            <w:tcW w:w="2704" w:type="dxa"/>
          </w:tcPr>
          <w:p>
            <w:pPr>
              <w:pStyle w:val="0"/>
            </w:pPr>
            <w:r>
              <w:rPr>
                <w:sz w:val="20"/>
              </w:rPr>
              <w:t xml:space="preserve">Рентгенэндоваскулярные дилатации, из них:</w:t>
            </w:r>
          </w:p>
        </w:tc>
        <w:tc>
          <w:tcPr>
            <w:tcW w:w="1114" w:type="dxa"/>
          </w:tcPr>
          <w:p>
            <w:pPr>
              <w:pStyle w:val="0"/>
            </w:pPr>
            <w:r>
              <w:rPr>
                <w:sz w:val="20"/>
              </w:rPr>
              <w:t xml:space="preserve">364</w:t>
            </w:r>
          </w:p>
        </w:tc>
        <w:tc>
          <w:tcPr>
            <w:tcW w:w="1354" w:type="dxa"/>
          </w:tcPr>
          <w:p>
            <w:pPr>
              <w:pStyle w:val="0"/>
            </w:pPr>
            <w:r>
              <w:rPr>
                <w:sz w:val="20"/>
              </w:rPr>
              <w:t xml:space="preserve">0,3%</w:t>
            </w:r>
          </w:p>
        </w:tc>
        <w:tc>
          <w:tcPr>
            <w:tcW w:w="1114" w:type="dxa"/>
          </w:tcPr>
          <w:p>
            <w:pPr>
              <w:pStyle w:val="0"/>
            </w:pPr>
            <w:r>
              <w:rPr>
                <w:sz w:val="20"/>
              </w:rPr>
              <w:t xml:space="preserve">263</w:t>
            </w:r>
          </w:p>
        </w:tc>
        <w:tc>
          <w:tcPr>
            <w:tcW w:w="1354" w:type="dxa"/>
          </w:tcPr>
          <w:p>
            <w:pPr>
              <w:pStyle w:val="0"/>
            </w:pPr>
            <w:r>
              <w:rPr>
                <w:sz w:val="20"/>
              </w:rPr>
              <w:t xml:space="preserve">0,4%</w:t>
            </w:r>
          </w:p>
        </w:tc>
        <w:tc>
          <w:tcPr>
            <w:tcW w:w="1174" w:type="dxa"/>
          </w:tcPr>
          <w:p>
            <w:pPr>
              <w:pStyle w:val="0"/>
            </w:pPr>
            <w:r>
              <w:rPr>
                <w:sz w:val="20"/>
              </w:rPr>
              <w:t xml:space="preserve">216</w:t>
            </w:r>
          </w:p>
        </w:tc>
        <w:tc>
          <w:tcPr>
            <w:tcW w:w="1174" w:type="dxa"/>
          </w:tcPr>
          <w:p>
            <w:pPr>
              <w:pStyle w:val="0"/>
            </w:pPr>
            <w:r>
              <w:rPr>
                <w:sz w:val="20"/>
              </w:rPr>
              <w:t xml:space="preserve">153</w:t>
            </w:r>
          </w:p>
        </w:tc>
        <w:tc>
          <w:tcPr>
            <w:tcW w:w="1159" w:type="dxa"/>
          </w:tcPr>
          <w:p>
            <w:pPr>
              <w:pStyle w:val="0"/>
            </w:pPr>
            <w:r>
              <w:rPr>
                <w:sz w:val="20"/>
              </w:rPr>
              <w:t xml:space="preserve">-29,0</w:t>
            </w:r>
          </w:p>
        </w:tc>
      </w:tr>
      <w:tr>
        <w:tc>
          <w:tcPr>
            <w:tcW w:w="2704" w:type="dxa"/>
          </w:tcPr>
          <w:p>
            <w:pPr>
              <w:pStyle w:val="0"/>
            </w:pPr>
            <w:r>
              <w:rPr>
                <w:sz w:val="20"/>
              </w:rPr>
              <w:t xml:space="preserve">со стентированием</w:t>
            </w:r>
          </w:p>
        </w:tc>
        <w:tc>
          <w:tcPr>
            <w:tcW w:w="1114" w:type="dxa"/>
          </w:tcPr>
          <w:p>
            <w:pPr>
              <w:pStyle w:val="0"/>
            </w:pPr>
            <w:r>
              <w:rPr>
                <w:sz w:val="20"/>
              </w:rPr>
              <w:t xml:space="preserve">260</w:t>
            </w:r>
          </w:p>
        </w:tc>
        <w:tc>
          <w:tcPr>
            <w:tcW w:w="1354" w:type="dxa"/>
          </w:tcPr>
          <w:p>
            <w:pPr>
              <w:pStyle w:val="0"/>
            </w:pPr>
            <w:r>
              <w:rPr>
                <w:sz w:val="20"/>
              </w:rPr>
              <w:t xml:space="preserve">0,4%</w:t>
            </w:r>
          </w:p>
        </w:tc>
        <w:tc>
          <w:tcPr>
            <w:tcW w:w="1114" w:type="dxa"/>
          </w:tcPr>
          <w:p>
            <w:pPr>
              <w:pStyle w:val="0"/>
            </w:pPr>
            <w:r>
              <w:rPr>
                <w:sz w:val="20"/>
              </w:rPr>
              <w:t xml:space="preserve">239</w:t>
            </w:r>
          </w:p>
        </w:tc>
        <w:tc>
          <w:tcPr>
            <w:tcW w:w="1354" w:type="dxa"/>
          </w:tcPr>
          <w:p>
            <w:pPr>
              <w:pStyle w:val="0"/>
            </w:pPr>
            <w:r>
              <w:rPr>
                <w:sz w:val="20"/>
              </w:rPr>
              <w:t xml:space="preserve">0,4%</w:t>
            </w:r>
          </w:p>
        </w:tc>
        <w:tc>
          <w:tcPr>
            <w:tcW w:w="1174" w:type="dxa"/>
          </w:tcPr>
          <w:p>
            <w:pPr>
              <w:pStyle w:val="0"/>
            </w:pPr>
            <w:r>
              <w:rPr>
                <w:sz w:val="20"/>
              </w:rPr>
              <w:t xml:space="preserve">154</w:t>
            </w:r>
          </w:p>
        </w:tc>
        <w:tc>
          <w:tcPr>
            <w:tcW w:w="1174" w:type="dxa"/>
          </w:tcPr>
          <w:p>
            <w:pPr>
              <w:pStyle w:val="0"/>
            </w:pPr>
            <w:r>
              <w:rPr>
                <w:sz w:val="20"/>
              </w:rPr>
              <w:t xml:space="preserve">139</w:t>
            </w:r>
          </w:p>
        </w:tc>
        <w:tc>
          <w:tcPr>
            <w:tcW w:w="1159" w:type="dxa"/>
          </w:tcPr>
          <w:p>
            <w:pPr>
              <w:pStyle w:val="0"/>
            </w:pPr>
            <w:r>
              <w:rPr>
                <w:sz w:val="20"/>
              </w:rPr>
              <w:t xml:space="preserve">-9,4</w:t>
            </w:r>
          </w:p>
        </w:tc>
      </w:tr>
      <w:tr>
        <w:tc>
          <w:tcPr>
            <w:tcW w:w="2704" w:type="dxa"/>
          </w:tcPr>
          <w:p>
            <w:pPr>
              <w:pStyle w:val="0"/>
            </w:pPr>
            <w:r>
              <w:rPr>
                <w:sz w:val="20"/>
              </w:rPr>
              <w:t xml:space="preserve">На почечных артериях</w:t>
            </w:r>
          </w:p>
        </w:tc>
        <w:tc>
          <w:tcPr>
            <w:tcW w:w="1114" w:type="dxa"/>
          </w:tcPr>
          <w:p>
            <w:pPr>
              <w:pStyle w:val="0"/>
            </w:pPr>
            <w:r>
              <w:rPr>
                <w:sz w:val="20"/>
              </w:rPr>
              <w:t xml:space="preserve">14</w:t>
            </w:r>
          </w:p>
        </w:tc>
        <w:tc>
          <w:tcPr>
            <w:tcW w:w="1354" w:type="dxa"/>
          </w:tcPr>
          <w:p>
            <w:pPr>
              <w:pStyle w:val="0"/>
            </w:pPr>
            <w:r>
              <w:rPr>
                <w:sz w:val="20"/>
              </w:rPr>
              <w:t xml:space="preserve">0</w:t>
            </w:r>
          </w:p>
        </w:tc>
        <w:tc>
          <w:tcPr>
            <w:tcW w:w="1114" w:type="dxa"/>
          </w:tcPr>
          <w:p>
            <w:pPr>
              <w:pStyle w:val="0"/>
            </w:pPr>
            <w:r>
              <w:rPr>
                <w:sz w:val="20"/>
              </w:rPr>
              <w:t xml:space="preserve">14</w:t>
            </w:r>
          </w:p>
        </w:tc>
        <w:tc>
          <w:tcPr>
            <w:tcW w:w="1354" w:type="dxa"/>
          </w:tcPr>
          <w:p>
            <w:pPr>
              <w:pStyle w:val="0"/>
            </w:pPr>
            <w:r>
              <w:rPr>
                <w:sz w:val="20"/>
              </w:rPr>
              <w:t xml:space="preserve">0%</w:t>
            </w:r>
          </w:p>
        </w:tc>
        <w:tc>
          <w:tcPr>
            <w:tcW w:w="1174" w:type="dxa"/>
          </w:tcPr>
          <w:p>
            <w:pPr>
              <w:pStyle w:val="0"/>
            </w:pPr>
            <w:r>
              <w:rPr>
                <w:sz w:val="20"/>
              </w:rPr>
              <w:t xml:space="preserve">8</w:t>
            </w:r>
          </w:p>
        </w:tc>
        <w:tc>
          <w:tcPr>
            <w:tcW w:w="1174" w:type="dxa"/>
          </w:tcPr>
          <w:p>
            <w:pPr>
              <w:pStyle w:val="0"/>
            </w:pPr>
            <w:r>
              <w:rPr>
                <w:sz w:val="20"/>
              </w:rPr>
              <w:t xml:space="preserve">8</w:t>
            </w:r>
          </w:p>
        </w:tc>
        <w:tc>
          <w:tcPr>
            <w:tcW w:w="1159" w:type="dxa"/>
          </w:tcPr>
          <w:p>
            <w:pPr>
              <w:pStyle w:val="0"/>
            </w:pPr>
            <w:r>
              <w:rPr>
                <w:sz w:val="20"/>
              </w:rPr>
              <w:t xml:space="preserve">2,1</w:t>
            </w:r>
          </w:p>
        </w:tc>
      </w:tr>
      <w:tr>
        <w:tc>
          <w:tcPr>
            <w:tcW w:w="2704" w:type="dxa"/>
          </w:tcPr>
          <w:p>
            <w:pPr>
              <w:pStyle w:val="0"/>
            </w:pPr>
            <w:r>
              <w:rPr>
                <w:sz w:val="20"/>
              </w:rPr>
              <w:t xml:space="preserve">На аорте</w:t>
            </w:r>
          </w:p>
        </w:tc>
        <w:tc>
          <w:tcPr>
            <w:tcW w:w="1114" w:type="dxa"/>
          </w:tcPr>
          <w:p>
            <w:pPr>
              <w:pStyle w:val="0"/>
            </w:pPr>
            <w:r>
              <w:rPr>
                <w:sz w:val="20"/>
              </w:rPr>
              <w:t xml:space="preserve">106</w:t>
            </w:r>
          </w:p>
        </w:tc>
        <w:tc>
          <w:tcPr>
            <w:tcW w:w="1354" w:type="dxa"/>
          </w:tcPr>
          <w:p>
            <w:pPr>
              <w:pStyle w:val="0"/>
            </w:pPr>
            <w:r>
              <w:rPr>
                <w:sz w:val="20"/>
              </w:rPr>
              <w:t xml:space="preserve">13,2%</w:t>
            </w:r>
          </w:p>
        </w:tc>
        <w:tc>
          <w:tcPr>
            <w:tcW w:w="1114" w:type="dxa"/>
          </w:tcPr>
          <w:p>
            <w:pPr>
              <w:pStyle w:val="0"/>
            </w:pPr>
            <w:r>
              <w:rPr>
                <w:sz w:val="20"/>
              </w:rPr>
              <w:t xml:space="preserve">85</w:t>
            </w:r>
          </w:p>
        </w:tc>
        <w:tc>
          <w:tcPr>
            <w:tcW w:w="1354" w:type="dxa"/>
          </w:tcPr>
          <w:p>
            <w:pPr>
              <w:pStyle w:val="0"/>
            </w:pPr>
            <w:r>
              <w:rPr>
                <w:sz w:val="20"/>
              </w:rPr>
              <w:t xml:space="preserve">4,7%</w:t>
            </w:r>
          </w:p>
        </w:tc>
        <w:tc>
          <w:tcPr>
            <w:tcW w:w="1174" w:type="dxa"/>
          </w:tcPr>
          <w:p>
            <w:pPr>
              <w:pStyle w:val="0"/>
            </w:pPr>
            <w:r>
              <w:rPr>
                <w:sz w:val="20"/>
              </w:rPr>
              <w:t xml:space="preserve">63</w:t>
            </w:r>
          </w:p>
        </w:tc>
        <w:tc>
          <w:tcPr>
            <w:tcW w:w="1174" w:type="dxa"/>
          </w:tcPr>
          <w:p>
            <w:pPr>
              <w:pStyle w:val="0"/>
            </w:pPr>
            <w:r>
              <w:rPr>
                <w:sz w:val="20"/>
              </w:rPr>
              <w:t xml:space="preserve">50</w:t>
            </w:r>
          </w:p>
        </w:tc>
        <w:tc>
          <w:tcPr>
            <w:tcW w:w="1159" w:type="dxa"/>
          </w:tcPr>
          <w:p>
            <w:pPr>
              <w:pStyle w:val="0"/>
            </w:pPr>
            <w:r>
              <w:rPr>
                <w:sz w:val="20"/>
              </w:rPr>
              <w:t xml:space="preserve">-21,3</w:t>
            </w:r>
          </w:p>
        </w:tc>
      </w:tr>
      <w:tr>
        <w:tc>
          <w:tcPr>
            <w:tcW w:w="2704" w:type="dxa"/>
          </w:tcPr>
          <w:p>
            <w:pPr>
              <w:pStyle w:val="0"/>
            </w:pPr>
            <w:r>
              <w:rPr>
                <w:sz w:val="20"/>
              </w:rPr>
              <w:t xml:space="preserve">Операции на венах</w:t>
            </w:r>
          </w:p>
        </w:tc>
        <w:tc>
          <w:tcPr>
            <w:tcW w:w="1114" w:type="dxa"/>
          </w:tcPr>
          <w:p>
            <w:pPr>
              <w:pStyle w:val="0"/>
            </w:pPr>
            <w:r>
              <w:rPr>
                <w:sz w:val="20"/>
              </w:rPr>
              <w:t xml:space="preserve">1625</w:t>
            </w:r>
          </w:p>
        </w:tc>
        <w:tc>
          <w:tcPr>
            <w:tcW w:w="1354" w:type="dxa"/>
          </w:tcPr>
          <w:p>
            <w:pPr>
              <w:pStyle w:val="0"/>
            </w:pPr>
            <w:r>
              <w:rPr>
                <w:sz w:val="20"/>
              </w:rPr>
              <w:t xml:space="preserve">1,4%</w:t>
            </w:r>
          </w:p>
        </w:tc>
        <w:tc>
          <w:tcPr>
            <w:tcW w:w="1114" w:type="dxa"/>
          </w:tcPr>
          <w:p>
            <w:pPr>
              <w:pStyle w:val="0"/>
            </w:pPr>
            <w:r>
              <w:rPr>
                <w:sz w:val="20"/>
              </w:rPr>
              <w:t xml:space="preserve">1777</w:t>
            </w:r>
          </w:p>
        </w:tc>
        <w:tc>
          <w:tcPr>
            <w:tcW w:w="1354" w:type="dxa"/>
          </w:tcPr>
          <w:p>
            <w:pPr>
              <w:pStyle w:val="0"/>
            </w:pPr>
            <w:r>
              <w:rPr>
                <w:sz w:val="20"/>
              </w:rPr>
              <w:t xml:space="preserve">0,9%</w:t>
            </w:r>
          </w:p>
        </w:tc>
        <w:tc>
          <w:tcPr>
            <w:tcW w:w="1174" w:type="dxa"/>
          </w:tcPr>
          <w:p>
            <w:pPr>
              <w:pStyle w:val="0"/>
            </w:pPr>
            <w:r>
              <w:rPr>
                <w:sz w:val="20"/>
              </w:rPr>
              <w:t xml:space="preserve">963</w:t>
            </w:r>
          </w:p>
        </w:tc>
        <w:tc>
          <w:tcPr>
            <w:tcW w:w="1174" w:type="dxa"/>
          </w:tcPr>
          <w:p>
            <w:pPr>
              <w:pStyle w:val="0"/>
            </w:pPr>
            <w:r>
              <w:rPr>
                <w:sz w:val="20"/>
              </w:rPr>
              <w:t xml:space="preserve">1037</w:t>
            </w:r>
          </w:p>
        </w:tc>
        <w:tc>
          <w:tcPr>
            <w:tcW w:w="1159" w:type="dxa"/>
          </w:tcPr>
          <w:p>
            <w:pPr>
              <w:pStyle w:val="0"/>
            </w:pPr>
            <w:r>
              <w:rPr>
                <w:sz w:val="20"/>
              </w:rPr>
              <w:t xml:space="preserve">7,7</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В 2022 году объем медицинской помощи по профилю "сердечно-сосудистая хирургия" на 1 млн населения увеличился на 2,3%.</w:t>
      </w:r>
    </w:p>
    <w:p>
      <w:pPr>
        <w:pStyle w:val="0"/>
        <w:spacing w:before="200" w:line-rule="auto"/>
        <w:ind w:firstLine="540"/>
        <w:jc w:val="both"/>
      </w:pPr>
      <w:r>
        <w:rPr>
          <w:sz w:val="20"/>
        </w:rPr>
        <w:t xml:space="preserve">Утвержденная приказами Депздрав Югры система маршрутизации пациентов с сердечно-сосудистыми заболеваниями (далее - ССЗ) обусловлена географическими особенностями автономного округа - обширная территория с низкой плотностью населения, большими расстояниями между населенными пунктами с низкой транспортной доступностью. Так, в западной части автономного округа расстояния между поселками, являющимися центрами муниципальных образований, и от центров муниципальных образований до РСЦ составляет в среднем 550 км. Таким образом, транспортировка пациентов с ОКС и ОНМК в ближайшее РСЦ из таких муниципальных образований, как Белоярский, Березовский, Кондинский, Советский муниципальные районы; городские округа Урай, Югорск возможна только силами и средствами санавиации.</w:t>
      </w:r>
    </w:p>
    <w:p>
      <w:pPr>
        <w:pStyle w:val="0"/>
        <w:spacing w:before="200" w:line-rule="auto"/>
        <w:ind w:firstLine="540"/>
        <w:jc w:val="both"/>
      </w:pPr>
      <w:r>
        <w:rPr>
          <w:sz w:val="20"/>
        </w:rPr>
        <w:t xml:space="preserve">Первичные сосудистые отделения (далее - ПСО) размещены в отдаленных и сельских муниципальных образованиях на базах терапевтических отделений.</w:t>
      </w:r>
    </w:p>
    <w:p>
      <w:pPr>
        <w:pStyle w:val="0"/>
        <w:spacing w:before="200" w:line-rule="auto"/>
        <w:ind w:firstLine="540"/>
        <w:jc w:val="both"/>
      </w:pPr>
      <w:r>
        <w:rPr>
          <w:sz w:val="20"/>
        </w:rPr>
        <w:t xml:space="preserve">В 2022 году в оказании медицинской помощи при ОКС и ОНМК участвовало 5 РСЦ и 14 ПСО.</w:t>
      </w:r>
    </w:p>
    <w:p>
      <w:pPr>
        <w:pStyle w:val="0"/>
        <w:spacing w:before="200" w:line-rule="auto"/>
        <w:ind w:firstLine="540"/>
        <w:jc w:val="both"/>
      </w:pPr>
      <w:r>
        <w:rPr>
          <w:sz w:val="20"/>
        </w:rPr>
        <w:t xml:space="preserve">Из 5 РСЦ только 2 оказывают специализированную, в том числе высокотехнологичную, медицинскую помощь пациентам и с ОКС и ОНМК (БУ "Окружная клиническая больница" и БУ "Няганская окружная больница"). В городе Сургуте функции РСЦ для пациентов с ОКС выполняет БУ "Окружной кардиологический диспансер "Центр диагностики сердечно-сосудистой хирургии", а функции РСЦ для пациентов с ОНМК - БУ "Сургутская клиническая травматологическая больница".</w:t>
      </w:r>
    </w:p>
    <w:p>
      <w:pPr>
        <w:pStyle w:val="0"/>
        <w:spacing w:before="200" w:line-rule="auto"/>
        <w:ind w:firstLine="540"/>
        <w:jc w:val="both"/>
      </w:pPr>
      <w:r>
        <w:rPr>
          <w:sz w:val="20"/>
        </w:rPr>
        <w:t xml:space="preserve">Из 14 ПСО 12 оказывают специализированную медицинскую помощь пациентам с ОКС и ОНМК. Профиль оказания специализированной помощи в ПСО на базе БУ "Сургутская окружная клиническая больница" - только ОНМК. Профиль оказания специализированной помощи в ПСО на базе БУ "Октябрьская районная больница" - только ОКС.</w:t>
      </w:r>
    </w:p>
    <w:p>
      <w:pPr>
        <w:pStyle w:val="0"/>
        <w:ind w:firstLine="540"/>
        <w:jc w:val="both"/>
      </w:pPr>
      <w:r>
        <w:rPr>
          <w:sz w:val="20"/>
        </w:rPr>
      </w:r>
    </w:p>
    <w:p>
      <w:pPr>
        <w:pStyle w:val="0"/>
        <w:jc w:val="right"/>
      </w:pPr>
      <w:r>
        <w:rPr>
          <w:sz w:val="20"/>
        </w:rPr>
        <w:t xml:space="preserve">Таблица 28</w:t>
      </w:r>
    </w:p>
    <w:p>
      <w:pPr>
        <w:pStyle w:val="0"/>
        <w:jc w:val="right"/>
      </w:pPr>
      <w:r>
        <w:rPr>
          <w:sz w:val="20"/>
        </w:rPr>
      </w:r>
    </w:p>
    <w:p>
      <w:pPr>
        <w:pStyle w:val="0"/>
        <w:jc w:val="center"/>
      </w:pPr>
      <w:r>
        <w:rPr>
          <w:sz w:val="20"/>
        </w:rPr>
        <w:t xml:space="preserve">Распределение РСЦ и ПСО по профилям оказания медицинской</w:t>
      </w:r>
    </w:p>
    <w:p>
      <w:pPr>
        <w:pStyle w:val="0"/>
        <w:jc w:val="center"/>
      </w:pPr>
      <w:r>
        <w:rPr>
          <w:sz w:val="20"/>
        </w:rPr>
        <w:t xml:space="preserve">помощи, 2022 год</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09"/>
        <w:gridCol w:w="589"/>
        <w:gridCol w:w="634"/>
        <w:gridCol w:w="634"/>
        <w:gridCol w:w="844"/>
      </w:tblGrid>
      <w:tr>
        <w:tc>
          <w:tcPr>
            <w:tcW w:w="6009" w:type="dxa"/>
          </w:tcPr>
          <w:p>
            <w:pPr>
              <w:pStyle w:val="0"/>
              <w:jc w:val="center"/>
            </w:pPr>
            <w:r>
              <w:rPr>
                <w:sz w:val="20"/>
              </w:rPr>
              <w:t xml:space="preserve">Медицинские организации</w:t>
            </w:r>
          </w:p>
        </w:tc>
        <w:tc>
          <w:tcPr>
            <w:tcW w:w="589" w:type="dxa"/>
          </w:tcPr>
          <w:p>
            <w:pPr>
              <w:pStyle w:val="0"/>
              <w:jc w:val="center"/>
            </w:pPr>
            <w:r>
              <w:rPr>
                <w:sz w:val="20"/>
              </w:rPr>
              <w:t xml:space="preserve">РСЦ</w:t>
            </w:r>
          </w:p>
        </w:tc>
        <w:tc>
          <w:tcPr>
            <w:tcW w:w="634" w:type="dxa"/>
          </w:tcPr>
          <w:p>
            <w:pPr>
              <w:pStyle w:val="0"/>
              <w:jc w:val="center"/>
            </w:pPr>
            <w:r>
              <w:rPr>
                <w:sz w:val="20"/>
              </w:rPr>
              <w:t xml:space="preserve">ПСО</w:t>
            </w:r>
          </w:p>
        </w:tc>
        <w:tc>
          <w:tcPr>
            <w:tcW w:w="634" w:type="dxa"/>
          </w:tcPr>
          <w:p>
            <w:pPr>
              <w:pStyle w:val="0"/>
              <w:jc w:val="center"/>
            </w:pPr>
            <w:r>
              <w:rPr>
                <w:sz w:val="20"/>
              </w:rPr>
              <w:t xml:space="preserve">ОКС</w:t>
            </w:r>
          </w:p>
        </w:tc>
        <w:tc>
          <w:tcPr>
            <w:tcW w:w="844" w:type="dxa"/>
          </w:tcPr>
          <w:p>
            <w:pPr>
              <w:pStyle w:val="0"/>
              <w:jc w:val="center"/>
            </w:pPr>
            <w:r>
              <w:rPr>
                <w:sz w:val="20"/>
              </w:rPr>
              <w:t xml:space="preserve">ОНМК</w:t>
            </w:r>
          </w:p>
        </w:tc>
      </w:tr>
      <w:tr>
        <w:tc>
          <w:tcPr>
            <w:tcW w:w="6009" w:type="dxa"/>
          </w:tcPr>
          <w:p>
            <w:pPr>
              <w:pStyle w:val="0"/>
            </w:pPr>
            <w:r>
              <w:rPr>
                <w:sz w:val="20"/>
              </w:rPr>
              <w:t xml:space="preserve">БУ "Окружной кардиологический диспансер "Центр диагностики и сердечно-сосудистой хирургии" хирургии"</w:t>
            </w:r>
          </w:p>
        </w:tc>
        <w:tc>
          <w:tcPr>
            <w:tcW w:w="589" w:type="dxa"/>
          </w:tcPr>
          <w:p>
            <w:pPr>
              <w:pStyle w:val="0"/>
            </w:pPr>
            <w:r>
              <w:rPr>
                <w:sz w:val="20"/>
              </w:rPr>
              <w:t xml:space="preserve">+</w:t>
            </w:r>
          </w:p>
        </w:tc>
        <w:tc>
          <w:tcPr>
            <w:tcW w:w="634" w:type="dxa"/>
          </w:tcPr>
          <w:p>
            <w:pPr>
              <w:pStyle w:val="0"/>
            </w:pPr>
            <w:r>
              <w:rPr>
                <w:sz w:val="20"/>
              </w:rPr>
            </w:r>
          </w:p>
        </w:tc>
        <w:tc>
          <w:tcPr>
            <w:tcW w:w="634" w:type="dxa"/>
          </w:tcPr>
          <w:p>
            <w:pPr>
              <w:pStyle w:val="0"/>
            </w:pPr>
            <w:r>
              <w:rPr>
                <w:sz w:val="20"/>
              </w:rPr>
              <w:t xml:space="preserve">+</w:t>
            </w:r>
          </w:p>
        </w:tc>
        <w:tc>
          <w:tcPr>
            <w:tcW w:w="844" w:type="dxa"/>
          </w:tcPr>
          <w:p>
            <w:pPr>
              <w:pStyle w:val="0"/>
            </w:pPr>
            <w:r>
              <w:rPr>
                <w:sz w:val="20"/>
              </w:rPr>
            </w:r>
          </w:p>
        </w:tc>
      </w:tr>
      <w:tr>
        <w:tc>
          <w:tcPr>
            <w:tcW w:w="6009" w:type="dxa"/>
          </w:tcPr>
          <w:p>
            <w:pPr>
              <w:pStyle w:val="0"/>
            </w:pPr>
            <w:r>
              <w:rPr>
                <w:sz w:val="20"/>
              </w:rPr>
              <w:t xml:space="preserve">БУ "Окружная клиническая больница"</w:t>
            </w:r>
          </w:p>
        </w:tc>
        <w:tc>
          <w:tcPr>
            <w:tcW w:w="589" w:type="dxa"/>
          </w:tcPr>
          <w:p>
            <w:pPr>
              <w:pStyle w:val="0"/>
            </w:pPr>
            <w:r>
              <w:rPr>
                <w:sz w:val="20"/>
              </w:rPr>
              <w:t xml:space="preserve">+</w:t>
            </w:r>
          </w:p>
        </w:tc>
        <w:tc>
          <w:tcPr>
            <w:tcW w:w="634" w:type="dxa"/>
          </w:tcPr>
          <w:p>
            <w:pPr>
              <w:pStyle w:val="0"/>
            </w:pPr>
            <w:r>
              <w:rPr>
                <w:sz w:val="20"/>
              </w:rPr>
            </w:r>
          </w:p>
        </w:tc>
        <w:tc>
          <w:tcPr>
            <w:tcW w:w="634" w:type="dxa"/>
          </w:tcPr>
          <w:p>
            <w:pPr>
              <w:pStyle w:val="0"/>
            </w:pPr>
            <w:r>
              <w:rPr>
                <w:sz w:val="20"/>
              </w:rPr>
              <w:t xml:space="preserve">+</w:t>
            </w:r>
          </w:p>
        </w:tc>
        <w:tc>
          <w:tcPr>
            <w:tcW w:w="844" w:type="dxa"/>
          </w:tcPr>
          <w:p>
            <w:pPr>
              <w:pStyle w:val="0"/>
            </w:pPr>
            <w:r>
              <w:rPr>
                <w:sz w:val="20"/>
              </w:rPr>
              <w:t xml:space="preserve">+</w:t>
            </w:r>
          </w:p>
        </w:tc>
      </w:tr>
      <w:tr>
        <w:tc>
          <w:tcPr>
            <w:tcW w:w="6009" w:type="dxa"/>
          </w:tcPr>
          <w:p>
            <w:pPr>
              <w:pStyle w:val="0"/>
            </w:pPr>
            <w:r>
              <w:rPr>
                <w:sz w:val="20"/>
              </w:rPr>
              <w:t xml:space="preserve">БУ "Няганская окружная больница"</w:t>
            </w:r>
          </w:p>
        </w:tc>
        <w:tc>
          <w:tcPr>
            <w:tcW w:w="589" w:type="dxa"/>
          </w:tcPr>
          <w:p>
            <w:pPr>
              <w:pStyle w:val="0"/>
            </w:pPr>
            <w:r>
              <w:rPr>
                <w:sz w:val="20"/>
              </w:rPr>
              <w:t xml:space="preserve">+</w:t>
            </w:r>
          </w:p>
        </w:tc>
        <w:tc>
          <w:tcPr>
            <w:tcW w:w="634" w:type="dxa"/>
          </w:tcPr>
          <w:p>
            <w:pPr>
              <w:pStyle w:val="0"/>
            </w:pPr>
            <w:r>
              <w:rPr>
                <w:sz w:val="20"/>
              </w:rPr>
            </w:r>
          </w:p>
        </w:tc>
        <w:tc>
          <w:tcPr>
            <w:tcW w:w="634" w:type="dxa"/>
          </w:tcPr>
          <w:p>
            <w:pPr>
              <w:pStyle w:val="0"/>
            </w:pPr>
            <w:r>
              <w:rPr>
                <w:sz w:val="20"/>
              </w:rPr>
              <w:t xml:space="preserve">+</w:t>
            </w:r>
          </w:p>
        </w:tc>
        <w:tc>
          <w:tcPr>
            <w:tcW w:w="844" w:type="dxa"/>
          </w:tcPr>
          <w:p>
            <w:pPr>
              <w:pStyle w:val="0"/>
            </w:pPr>
            <w:r>
              <w:rPr>
                <w:sz w:val="20"/>
              </w:rPr>
              <w:t xml:space="preserve">+</w:t>
            </w:r>
          </w:p>
        </w:tc>
      </w:tr>
      <w:tr>
        <w:tc>
          <w:tcPr>
            <w:tcW w:w="6009" w:type="dxa"/>
          </w:tcPr>
          <w:p>
            <w:pPr>
              <w:pStyle w:val="0"/>
            </w:pPr>
            <w:r>
              <w:rPr>
                <w:sz w:val="20"/>
              </w:rPr>
              <w:t xml:space="preserve">БУ "Нижневартовская окружная клиническая больница"</w:t>
            </w:r>
          </w:p>
        </w:tc>
        <w:tc>
          <w:tcPr>
            <w:tcW w:w="589" w:type="dxa"/>
          </w:tcPr>
          <w:p>
            <w:pPr>
              <w:pStyle w:val="0"/>
            </w:pPr>
            <w:r>
              <w:rPr>
                <w:sz w:val="20"/>
              </w:rPr>
              <w:t xml:space="preserve">+</w:t>
            </w:r>
          </w:p>
        </w:tc>
        <w:tc>
          <w:tcPr>
            <w:tcW w:w="634" w:type="dxa"/>
          </w:tcPr>
          <w:p>
            <w:pPr>
              <w:pStyle w:val="0"/>
            </w:pPr>
            <w:r>
              <w:rPr>
                <w:sz w:val="20"/>
              </w:rPr>
            </w:r>
          </w:p>
        </w:tc>
        <w:tc>
          <w:tcPr>
            <w:tcW w:w="634" w:type="dxa"/>
          </w:tcPr>
          <w:p>
            <w:pPr>
              <w:pStyle w:val="0"/>
            </w:pPr>
            <w:r>
              <w:rPr>
                <w:sz w:val="20"/>
              </w:rPr>
              <w:t xml:space="preserve">+</w:t>
            </w:r>
          </w:p>
        </w:tc>
        <w:tc>
          <w:tcPr>
            <w:tcW w:w="844" w:type="dxa"/>
          </w:tcPr>
          <w:p>
            <w:pPr>
              <w:pStyle w:val="0"/>
            </w:pPr>
            <w:r>
              <w:rPr>
                <w:sz w:val="20"/>
              </w:rPr>
            </w:r>
          </w:p>
        </w:tc>
      </w:tr>
      <w:tr>
        <w:tc>
          <w:tcPr>
            <w:tcW w:w="6009" w:type="dxa"/>
          </w:tcPr>
          <w:p>
            <w:pPr>
              <w:pStyle w:val="0"/>
            </w:pPr>
            <w:r>
              <w:rPr>
                <w:sz w:val="20"/>
              </w:rPr>
              <w:t xml:space="preserve">БУ "Сургутская клиническая травматологическая больница"</w:t>
            </w:r>
          </w:p>
        </w:tc>
        <w:tc>
          <w:tcPr>
            <w:tcW w:w="589" w:type="dxa"/>
          </w:tcPr>
          <w:p>
            <w:pPr>
              <w:pStyle w:val="0"/>
            </w:pPr>
            <w:r>
              <w:rPr>
                <w:sz w:val="20"/>
              </w:rPr>
              <w:t xml:space="preserve">+</w:t>
            </w:r>
          </w:p>
        </w:tc>
        <w:tc>
          <w:tcPr>
            <w:tcW w:w="634" w:type="dxa"/>
          </w:tcPr>
          <w:p>
            <w:pPr>
              <w:pStyle w:val="0"/>
            </w:pPr>
            <w:r>
              <w:rPr>
                <w:sz w:val="20"/>
              </w:rPr>
            </w:r>
          </w:p>
        </w:tc>
        <w:tc>
          <w:tcPr>
            <w:tcW w:w="634" w:type="dxa"/>
          </w:tcPr>
          <w:p>
            <w:pPr>
              <w:pStyle w:val="0"/>
            </w:pPr>
            <w:r>
              <w:rPr>
                <w:sz w:val="20"/>
              </w:rPr>
            </w:r>
          </w:p>
        </w:tc>
        <w:tc>
          <w:tcPr>
            <w:tcW w:w="844" w:type="dxa"/>
          </w:tcPr>
          <w:p>
            <w:pPr>
              <w:pStyle w:val="0"/>
            </w:pPr>
            <w:r>
              <w:rPr>
                <w:sz w:val="20"/>
              </w:rPr>
              <w:t xml:space="preserve">+</w:t>
            </w:r>
          </w:p>
        </w:tc>
      </w:tr>
      <w:tr>
        <w:tc>
          <w:tcPr>
            <w:tcW w:w="6009" w:type="dxa"/>
          </w:tcPr>
          <w:p>
            <w:pPr>
              <w:pStyle w:val="0"/>
            </w:pPr>
            <w:r>
              <w:rPr>
                <w:sz w:val="20"/>
              </w:rPr>
              <w:t xml:space="preserve">БУ "Нефтеюганская окружная клиническая больница им. Яцкив"</w:t>
            </w:r>
          </w:p>
        </w:tc>
        <w:tc>
          <w:tcPr>
            <w:tcW w:w="589" w:type="dxa"/>
          </w:tcPr>
          <w:p>
            <w:pPr>
              <w:pStyle w:val="0"/>
            </w:pPr>
            <w:r>
              <w:rPr>
                <w:sz w:val="20"/>
              </w:rPr>
            </w:r>
          </w:p>
        </w:tc>
        <w:tc>
          <w:tcPr>
            <w:tcW w:w="634" w:type="dxa"/>
          </w:tcPr>
          <w:p>
            <w:pPr>
              <w:pStyle w:val="0"/>
            </w:pPr>
            <w:r>
              <w:rPr>
                <w:sz w:val="20"/>
              </w:rPr>
              <w:t xml:space="preserve">+</w:t>
            </w:r>
          </w:p>
        </w:tc>
        <w:tc>
          <w:tcPr>
            <w:tcW w:w="634" w:type="dxa"/>
          </w:tcPr>
          <w:p>
            <w:pPr>
              <w:pStyle w:val="0"/>
            </w:pPr>
            <w:r>
              <w:rPr>
                <w:sz w:val="20"/>
              </w:rPr>
              <w:t xml:space="preserve">+</w:t>
            </w:r>
          </w:p>
        </w:tc>
        <w:tc>
          <w:tcPr>
            <w:tcW w:w="844" w:type="dxa"/>
          </w:tcPr>
          <w:p>
            <w:pPr>
              <w:pStyle w:val="0"/>
            </w:pPr>
            <w:r>
              <w:rPr>
                <w:sz w:val="20"/>
              </w:rPr>
              <w:t xml:space="preserve">+</w:t>
            </w:r>
          </w:p>
        </w:tc>
      </w:tr>
      <w:tr>
        <w:tc>
          <w:tcPr>
            <w:tcW w:w="6009" w:type="dxa"/>
          </w:tcPr>
          <w:p>
            <w:pPr>
              <w:pStyle w:val="0"/>
            </w:pPr>
            <w:r>
              <w:rPr>
                <w:sz w:val="20"/>
              </w:rPr>
              <w:t xml:space="preserve">БУ "Пыть-Яхская окружная клиническая больница"</w:t>
            </w:r>
          </w:p>
        </w:tc>
        <w:tc>
          <w:tcPr>
            <w:tcW w:w="589" w:type="dxa"/>
          </w:tcPr>
          <w:p>
            <w:pPr>
              <w:pStyle w:val="0"/>
            </w:pPr>
            <w:r>
              <w:rPr>
                <w:sz w:val="20"/>
              </w:rPr>
            </w:r>
          </w:p>
        </w:tc>
        <w:tc>
          <w:tcPr>
            <w:tcW w:w="634" w:type="dxa"/>
          </w:tcPr>
          <w:p>
            <w:pPr>
              <w:pStyle w:val="0"/>
            </w:pPr>
            <w:r>
              <w:rPr>
                <w:sz w:val="20"/>
              </w:rPr>
              <w:t xml:space="preserve">+</w:t>
            </w:r>
          </w:p>
        </w:tc>
        <w:tc>
          <w:tcPr>
            <w:tcW w:w="634" w:type="dxa"/>
          </w:tcPr>
          <w:p>
            <w:pPr>
              <w:pStyle w:val="0"/>
            </w:pPr>
            <w:r>
              <w:rPr>
                <w:sz w:val="20"/>
              </w:rPr>
              <w:t xml:space="preserve">+</w:t>
            </w:r>
          </w:p>
        </w:tc>
        <w:tc>
          <w:tcPr>
            <w:tcW w:w="844" w:type="dxa"/>
          </w:tcPr>
          <w:p>
            <w:pPr>
              <w:pStyle w:val="0"/>
            </w:pPr>
            <w:r>
              <w:rPr>
                <w:sz w:val="20"/>
              </w:rPr>
              <w:t xml:space="preserve">+</w:t>
            </w:r>
          </w:p>
        </w:tc>
      </w:tr>
      <w:tr>
        <w:tc>
          <w:tcPr>
            <w:tcW w:w="6009" w:type="dxa"/>
          </w:tcPr>
          <w:p>
            <w:pPr>
              <w:pStyle w:val="0"/>
            </w:pPr>
            <w:r>
              <w:rPr>
                <w:sz w:val="20"/>
              </w:rPr>
              <w:t xml:space="preserve">БУ "Лангепасская городская больница"</w:t>
            </w:r>
          </w:p>
        </w:tc>
        <w:tc>
          <w:tcPr>
            <w:tcW w:w="589" w:type="dxa"/>
          </w:tcPr>
          <w:p>
            <w:pPr>
              <w:pStyle w:val="0"/>
            </w:pPr>
            <w:r>
              <w:rPr>
                <w:sz w:val="20"/>
              </w:rPr>
            </w:r>
          </w:p>
        </w:tc>
        <w:tc>
          <w:tcPr>
            <w:tcW w:w="634" w:type="dxa"/>
          </w:tcPr>
          <w:p>
            <w:pPr>
              <w:pStyle w:val="0"/>
            </w:pPr>
            <w:r>
              <w:rPr>
                <w:sz w:val="20"/>
              </w:rPr>
              <w:t xml:space="preserve">+</w:t>
            </w:r>
          </w:p>
        </w:tc>
        <w:tc>
          <w:tcPr>
            <w:tcW w:w="634" w:type="dxa"/>
          </w:tcPr>
          <w:p>
            <w:pPr>
              <w:pStyle w:val="0"/>
            </w:pPr>
            <w:r>
              <w:rPr>
                <w:sz w:val="20"/>
              </w:rPr>
              <w:t xml:space="preserve">+</w:t>
            </w:r>
          </w:p>
        </w:tc>
        <w:tc>
          <w:tcPr>
            <w:tcW w:w="844" w:type="dxa"/>
          </w:tcPr>
          <w:p>
            <w:pPr>
              <w:pStyle w:val="0"/>
            </w:pPr>
            <w:r>
              <w:rPr>
                <w:sz w:val="20"/>
              </w:rPr>
              <w:t xml:space="preserve">+</w:t>
            </w:r>
          </w:p>
        </w:tc>
      </w:tr>
      <w:tr>
        <w:tc>
          <w:tcPr>
            <w:tcW w:w="6009" w:type="dxa"/>
          </w:tcPr>
          <w:p>
            <w:pPr>
              <w:pStyle w:val="0"/>
            </w:pPr>
            <w:r>
              <w:rPr>
                <w:sz w:val="20"/>
              </w:rPr>
              <w:t xml:space="preserve">БУ "Когалымская городская больница"</w:t>
            </w:r>
          </w:p>
        </w:tc>
        <w:tc>
          <w:tcPr>
            <w:tcW w:w="589" w:type="dxa"/>
          </w:tcPr>
          <w:p>
            <w:pPr>
              <w:pStyle w:val="0"/>
            </w:pPr>
            <w:r>
              <w:rPr>
                <w:sz w:val="20"/>
              </w:rPr>
            </w:r>
          </w:p>
        </w:tc>
        <w:tc>
          <w:tcPr>
            <w:tcW w:w="634" w:type="dxa"/>
          </w:tcPr>
          <w:p>
            <w:pPr>
              <w:pStyle w:val="0"/>
            </w:pPr>
            <w:r>
              <w:rPr>
                <w:sz w:val="20"/>
              </w:rPr>
              <w:t xml:space="preserve">+</w:t>
            </w:r>
          </w:p>
        </w:tc>
        <w:tc>
          <w:tcPr>
            <w:tcW w:w="634" w:type="dxa"/>
          </w:tcPr>
          <w:p>
            <w:pPr>
              <w:pStyle w:val="0"/>
            </w:pPr>
            <w:r>
              <w:rPr>
                <w:sz w:val="20"/>
              </w:rPr>
              <w:t xml:space="preserve">+</w:t>
            </w:r>
          </w:p>
        </w:tc>
        <w:tc>
          <w:tcPr>
            <w:tcW w:w="844" w:type="dxa"/>
          </w:tcPr>
          <w:p>
            <w:pPr>
              <w:pStyle w:val="0"/>
            </w:pPr>
            <w:r>
              <w:rPr>
                <w:sz w:val="20"/>
              </w:rPr>
              <w:t xml:space="preserve">+</w:t>
            </w:r>
          </w:p>
        </w:tc>
      </w:tr>
      <w:tr>
        <w:tc>
          <w:tcPr>
            <w:tcW w:w="6009" w:type="dxa"/>
          </w:tcPr>
          <w:p>
            <w:pPr>
              <w:pStyle w:val="0"/>
            </w:pPr>
            <w:r>
              <w:rPr>
                <w:sz w:val="20"/>
              </w:rPr>
              <w:t xml:space="preserve">БУ "Белоярская районная больница"</w:t>
            </w:r>
          </w:p>
        </w:tc>
        <w:tc>
          <w:tcPr>
            <w:tcW w:w="589" w:type="dxa"/>
          </w:tcPr>
          <w:p>
            <w:pPr>
              <w:pStyle w:val="0"/>
            </w:pPr>
            <w:r>
              <w:rPr>
                <w:sz w:val="20"/>
              </w:rPr>
            </w:r>
          </w:p>
        </w:tc>
        <w:tc>
          <w:tcPr>
            <w:tcW w:w="634" w:type="dxa"/>
          </w:tcPr>
          <w:p>
            <w:pPr>
              <w:pStyle w:val="0"/>
            </w:pPr>
            <w:r>
              <w:rPr>
                <w:sz w:val="20"/>
              </w:rPr>
              <w:t xml:space="preserve">+</w:t>
            </w:r>
          </w:p>
        </w:tc>
        <w:tc>
          <w:tcPr>
            <w:tcW w:w="634" w:type="dxa"/>
          </w:tcPr>
          <w:p>
            <w:pPr>
              <w:pStyle w:val="0"/>
            </w:pPr>
            <w:r>
              <w:rPr>
                <w:sz w:val="20"/>
              </w:rPr>
              <w:t xml:space="preserve">+</w:t>
            </w:r>
          </w:p>
        </w:tc>
        <w:tc>
          <w:tcPr>
            <w:tcW w:w="844" w:type="dxa"/>
          </w:tcPr>
          <w:p>
            <w:pPr>
              <w:pStyle w:val="0"/>
            </w:pPr>
            <w:r>
              <w:rPr>
                <w:sz w:val="20"/>
              </w:rPr>
              <w:t xml:space="preserve">+</w:t>
            </w:r>
          </w:p>
        </w:tc>
      </w:tr>
      <w:tr>
        <w:tc>
          <w:tcPr>
            <w:tcW w:w="6009" w:type="dxa"/>
          </w:tcPr>
          <w:p>
            <w:pPr>
              <w:pStyle w:val="0"/>
            </w:pPr>
            <w:r>
              <w:rPr>
                <w:sz w:val="20"/>
              </w:rPr>
              <w:t xml:space="preserve">БУ "Урайская городская клиническая больница"</w:t>
            </w:r>
          </w:p>
        </w:tc>
        <w:tc>
          <w:tcPr>
            <w:tcW w:w="589" w:type="dxa"/>
          </w:tcPr>
          <w:p>
            <w:pPr>
              <w:pStyle w:val="0"/>
            </w:pPr>
            <w:r>
              <w:rPr>
                <w:sz w:val="20"/>
              </w:rPr>
            </w:r>
          </w:p>
        </w:tc>
        <w:tc>
          <w:tcPr>
            <w:tcW w:w="634" w:type="dxa"/>
          </w:tcPr>
          <w:p>
            <w:pPr>
              <w:pStyle w:val="0"/>
            </w:pPr>
            <w:r>
              <w:rPr>
                <w:sz w:val="20"/>
              </w:rPr>
              <w:t xml:space="preserve">+</w:t>
            </w:r>
          </w:p>
        </w:tc>
        <w:tc>
          <w:tcPr>
            <w:tcW w:w="634" w:type="dxa"/>
          </w:tcPr>
          <w:p>
            <w:pPr>
              <w:pStyle w:val="0"/>
            </w:pPr>
            <w:r>
              <w:rPr>
                <w:sz w:val="20"/>
              </w:rPr>
              <w:t xml:space="preserve">+</w:t>
            </w:r>
          </w:p>
        </w:tc>
        <w:tc>
          <w:tcPr>
            <w:tcW w:w="844" w:type="dxa"/>
          </w:tcPr>
          <w:p>
            <w:pPr>
              <w:pStyle w:val="0"/>
            </w:pPr>
            <w:r>
              <w:rPr>
                <w:sz w:val="20"/>
              </w:rPr>
              <w:t xml:space="preserve">+</w:t>
            </w:r>
          </w:p>
        </w:tc>
      </w:tr>
      <w:tr>
        <w:tc>
          <w:tcPr>
            <w:tcW w:w="6009" w:type="dxa"/>
          </w:tcPr>
          <w:p>
            <w:pPr>
              <w:pStyle w:val="0"/>
            </w:pPr>
            <w:r>
              <w:rPr>
                <w:sz w:val="20"/>
              </w:rPr>
              <w:t xml:space="preserve">БУ "Кондинская районная больница"</w:t>
            </w:r>
          </w:p>
        </w:tc>
        <w:tc>
          <w:tcPr>
            <w:tcW w:w="589" w:type="dxa"/>
          </w:tcPr>
          <w:p>
            <w:pPr>
              <w:pStyle w:val="0"/>
            </w:pPr>
            <w:r>
              <w:rPr>
                <w:sz w:val="20"/>
              </w:rPr>
            </w:r>
          </w:p>
        </w:tc>
        <w:tc>
          <w:tcPr>
            <w:tcW w:w="634" w:type="dxa"/>
          </w:tcPr>
          <w:p>
            <w:pPr>
              <w:pStyle w:val="0"/>
            </w:pPr>
            <w:r>
              <w:rPr>
                <w:sz w:val="20"/>
              </w:rPr>
              <w:t xml:space="preserve">+</w:t>
            </w:r>
          </w:p>
        </w:tc>
        <w:tc>
          <w:tcPr>
            <w:tcW w:w="634" w:type="dxa"/>
          </w:tcPr>
          <w:p>
            <w:pPr>
              <w:pStyle w:val="0"/>
            </w:pPr>
            <w:r>
              <w:rPr>
                <w:sz w:val="20"/>
              </w:rPr>
              <w:t xml:space="preserve">+</w:t>
            </w:r>
          </w:p>
        </w:tc>
        <w:tc>
          <w:tcPr>
            <w:tcW w:w="844" w:type="dxa"/>
          </w:tcPr>
          <w:p>
            <w:pPr>
              <w:pStyle w:val="0"/>
            </w:pPr>
            <w:r>
              <w:rPr>
                <w:sz w:val="20"/>
              </w:rPr>
              <w:t xml:space="preserve">+</w:t>
            </w:r>
          </w:p>
        </w:tc>
      </w:tr>
      <w:tr>
        <w:tc>
          <w:tcPr>
            <w:tcW w:w="6009" w:type="dxa"/>
          </w:tcPr>
          <w:p>
            <w:pPr>
              <w:pStyle w:val="0"/>
            </w:pPr>
            <w:r>
              <w:rPr>
                <w:sz w:val="20"/>
              </w:rPr>
              <w:t xml:space="preserve">АУ "Советская районная больница</w:t>
            </w:r>
          </w:p>
        </w:tc>
        <w:tc>
          <w:tcPr>
            <w:tcW w:w="589" w:type="dxa"/>
          </w:tcPr>
          <w:p>
            <w:pPr>
              <w:pStyle w:val="0"/>
            </w:pPr>
            <w:r>
              <w:rPr>
                <w:sz w:val="20"/>
              </w:rPr>
            </w:r>
          </w:p>
        </w:tc>
        <w:tc>
          <w:tcPr>
            <w:tcW w:w="634" w:type="dxa"/>
          </w:tcPr>
          <w:p>
            <w:pPr>
              <w:pStyle w:val="0"/>
            </w:pPr>
            <w:r>
              <w:rPr>
                <w:sz w:val="20"/>
              </w:rPr>
              <w:t xml:space="preserve">+</w:t>
            </w:r>
          </w:p>
        </w:tc>
        <w:tc>
          <w:tcPr>
            <w:tcW w:w="634" w:type="dxa"/>
          </w:tcPr>
          <w:p>
            <w:pPr>
              <w:pStyle w:val="0"/>
            </w:pPr>
            <w:r>
              <w:rPr>
                <w:sz w:val="20"/>
              </w:rPr>
              <w:t xml:space="preserve">+</w:t>
            </w:r>
          </w:p>
        </w:tc>
        <w:tc>
          <w:tcPr>
            <w:tcW w:w="844" w:type="dxa"/>
          </w:tcPr>
          <w:p>
            <w:pPr>
              <w:pStyle w:val="0"/>
            </w:pPr>
            <w:r>
              <w:rPr>
                <w:sz w:val="20"/>
              </w:rPr>
              <w:t xml:space="preserve">+</w:t>
            </w:r>
          </w:p>
        </w:tc>
      </w:tr>
      <w:tr>
        <w:tc>
          <w:tcPr>
            <w:tcW w:w="6009" w:type="dxa"/>
          </w:tcPr>
          <w:p>
            <w:pPr>
              <w:pStyle w:val="0"/>
            </w:pPr>
            <w:r>
              <w:rPr>
                <w:sz w:val="20"/>
              </w:rPr>
              <w:t xml:space="preserve">БУ "Югорская городская больница"</w:t>
            </w:r>
          </w:p>
        </w:tc>
        <w:tc>
          <w:tcPr>
            <w:tcW w:w="589" w:type="dxa"/>
          </w:tcPr>
          <w:p>
            <w:pPr>
              <w:pStyle w:val="0"/>
            </w:pPr>
            <w:r>
              <w:rPr>
                <w:sz w:val="20"/>
              </w:rPr>
            </w:r>
          </w:p>
        </w:tc>
        <w:tc>
          <w:tcPr>
            <w:tcW w:w="634" w:type="dxa"/>
          </w:tcPr>
          <w:p>
            <w:pPr>
              <w:pStyle w:val="0"/>
            </w:pPr>
            <w:r>
              <w:rPr>
                <w:sz w:val="20"/>
              </w:rPr>
              <w:t xml:space="preserve">+</w:t>
            </w:r>
          </w:p>
        </w:tc>
        <w:tc>
          <w:tcPr>
            <w:tcW w:w="634" w:type="dxa"/>
          </w:tcPr>
          <w:p>
            <w:pPr>
              <w:pStyle w:val="0"/>
            </w:pPr>
            <w:r>
              <w:rPr>
                <w:sz w:val="20"/>
              </w:rPr>
              <w:t xml:space="preserve">+</w:t>
            </w:r>
          </w:p>
        </w:tc>
        <w:tc>
          <w:tcPr>
            <w:tcW w:w="844" w:type="dxa"/>
          </w:tcPr>
          <w:p>
            <w:pPr>
              <w:pStyle w:val="0"/>
            </w:pPr>
            <w:r>
              <w:rPr>
                <w:sz w:val="20"/>
              </w:rPr>
              <w:t xml:space="preserve">+</w:t>
            </w:r>
          </w:p>
        </w:tc>
      </w:tr>
      <w:tr>
        <w:tc>
          <w:tcPr>
            <w:tcW w:w="6009" w:type="dxa"/>
          </w:tcPr>
          <w:p>
            <w:pPr>
              <w:pStyle w:val="0"/>
            </w:pPr>
            <w:r>
              <w:rPr>
                <w:sz w:val="20"/>
              </w:rPr>
              <w:t xml:space="preserve">БУ "Березовская районная больница"</w:t>
            </w:r>
          </w:p>
        </w:tc>
        <w:tc>
          <w:tcPr>
            <w:tcW w:w="589" w:type="dxa"/>
          </w:tcPr>
          <w:p>
            <w:pPr>
              <w:pStyle w:val="0"/>
            </w:pPr>
            <w:r>
              <w:rPr>
                <w:sz w:val="20"/>
              </w:rPr>
            </w:r>
          </w:p>
        </w:tc>
        <w:tc>
          <w:tcPr>
            <w:tcW w:w="634" w:type="dxa"/>
          </w:tcPr>
          <w:p>
            <w:pPr>
              <w:pStyle w:val="0"/>
            </w:pPr>
            <w:r>
              <w:rPr>
                <w:sz w:val="20"/>
              </w:rPr>
              <w:t xml:space="preserve">+</w:t>
            </w:r>
          </w:p>
        </w:tc>
        <w:tc>
          <w:tcPr>
            <w:tcW w:w="634" w:type="dxa"/>
          </w:tcPr>
          <w:p>
            <w:pPr>
              <w:pStyle w:val="0"/>
            </w:pPr>
            <w:r>
              <w:rPr>
                <w:sz w:val="20"/>
              </w:rPr>
            </w:r>
          </w:p>
        </w:tc>
        <w:tc>
          <w:tcPr>
            <w:tcW w:w="844" w:type="dxa"/>
          </w:tcPr>
          <w:p>
            <w:pPr>
              <w:pStyle w:val="0"/>
            </w:pPr>
            <w:r>
              <w:rPr>
                <w:sz w:val="20"/>
              </w:rPr>
              <w:t xml:space="preserve">+</w:t>
            </w:r>
          </w:p>
        </w:tc>
      </w:tr>
      <w:tr>
        <w:tc>
          <w:tcPr>
            <w:tcW w:w="6009" w:type="dxa"/>
          </w:tcPr>
          <w:p>
            <w:pPr>
              <w:pStyle w:val="0"/>
            </w:pPr>
            <w:r>
              <w:rPr>
                <w:sz w:val="20"/>
              </w:rPr>
              <w:t xml:space="preserve">БУ "Мегионская городская больница"</w:t>
            </w:r>
          </w:p>
        </w:tc>
        <w:tc>
          <w:tcPr>
            <w:tcW w:w="589" w:type="dxa"/>
          </w:tcPr>
          <w:p>
            <w:pPr>
              <w:pStyle w:val="0"/>
            </w:pPr>
            <w:r>
              <w:rPr>
                <w:sz w:val="20"/>
              </w:rPr>
            </w:r>
          </w:p>
        </w:tc>
        <w:tc>
          <w:tcPr>
            <w:tcW w:w="634" w:type="dxa"/>
          </w:tcPr>
          <w:p>
            <w:pPr>
              <w:pStyle w:val="0"/>
            </w:pPr>
            <w:r>
              <w:rPr>
                <w:sz w:val="20"/>
              </w:rPr>
              <w:t xml:space="preserve">+</w:t>
            </w:r>
          </w:p>
        </w:tc>
        <w:tc>
          <w:tcPr>
            <w:tcW w:w="634" w:type="dxa"/>
          </w:tcPr>
          <w:p>
            <w:pPr>
              <w:pStyle w:val="0"/>
            </w:pPr>
            <w:r>
              <w:rPr>
                <w:sz w:val="20"/>
              </w:rPr>
              <w:t xml:space="preserve">+</w:t>
            </w:r>
          </w:p>
        </w:tc>
        <w:tc>
          <w:tcPr>
            <w:tcW w:w="844" w:type="dxa"/>
          </w:tcPr>
          <w:p>
            <w:pPr>
              <w:pStyle w:val="0"/>
            </w:pPr>
            <w:r>
              <w:rPr>
                <w:sz w:val="20"/>
              </w:rPr>
              <w:t xml:space="preserve">+</w:t>
            </w:r>
          </w:p>
        </w:tc>
      </w:tr>
      <w:tr>
        <w:tc>
          <w:tcPr>
            <w:tcW w:w="6009" w:type="dxa"/>
          </w:tcPr>
          <w:p>
            <w:pPr>
              <w:pStyle w:val="0"/>
            </w:pPr>
            <w:r>
              <w:rPr>
                <w:sz w:val="20"/>
              </w:rPr>
              <w:t xml:space="preserve">БУ "Радужнинская городская больница"</w:t>
            </w:r>
          </w:p>
        </w:tc>
        <w:tc>
          <w:tcPr>
            <w:tcW w:w="589" w:type="dxa"/>
          </w:tcPr>
          <w:p>
            <w:pPr>
              <w:pStyle w:val="0"/>
            </w:pPr>
            <w:r>
              <w:rPr>
                <w:sz w:val="20"/>
              </w:rPr>
            </w:r>
          </w:p>
        </w:tc>
        <w:tc>
          <w:tcPr>
            <w:tcW w:w="634" w:type="dxa"/>
          </w:tcPr>
          <w:p>
            <w:pPr>
              <w:pStyle w:val="0"/>
            </w:pPr>
            <w:r>
              <w:rPr>
                <w:sz w:val="20"/>
              </w:rPr>
              <w:t xml:space="preserve">+</w:t>
            </w:r>
          </w:p>
        </w:tc>
        <w:tc>
          <w:tcPr>
            <w:tcW w:w="634" w:type="dxa"/>
          </w:tcPr>
          <w:p>
            <w:pPr>
              <w:pStyle w:val="0"/>
            </w:pPr>
            <w:r>
              <w:rPr>
                <w:sz w:val="20"/>
              </w:rPr>
              <w:t xml:space="preserve">+</w:t>
            </w:r>
          </w:p>
        </w:tc>
        <w:tc>
          <w:tcPr>
            <w:tcW w:w="844" w:type="dxa"/>
          </w:tcPr>
          <w:p>
            <w:pPr>
              <w:pStyle w:val="0"/>
            </w:pPr>
            <w:r>
              <w:rPr>
                <w:sz w:val="20"/>
              </w:rPr>
              <w:t xml:space="preserve">+</w:t>
            </w:r>
          </w:p>
        </w:tc>
      </w:tr>
      <w:tr>
        <w:tc>
          <w:tcPr>
            <w:tcW w:w="6009" w:type="dxa"/>
          </w:tcPr>
          <w:p>
            <w:pPr>
              <w:pStyle w:val="0"/>
            </w:pPr>
            <w:r>
              <w:rPr>
                <w:sz w:val="20"/>
              </w:rPr>
              <w:t xml:space="preserve">БУ "Сургутская окружная клиническая больница"</w:t>
            </w:r>
          </w:p>
        </w:tc>
        <w:tc>
          <w:tcPr>
            <w:tcW w:w="589" w:type="dxa"/>
          </w:tcPr>
          <w:p>
            <w:pPr>
              <w:pStyle w:val="0"/>
            </w:pPr>
            <w:r>
              <w:rPr>
                <w:sz w:val="20"/>
              </w:rPr>
            </w:r>
          </w:p>
        </w:tc>
        <w:tc>
          <w:tcPr>
            <w:tcW w:w="634" w:type="dxa"/>
          </w:tcPr>
          <w:p>
            <w:pPr>
              <w:pStyle w:val="0"/>
            </w:pPr>
            <w:r>
              <w:rPr>
                <w:sz w:val="20"/>
              </w:rPr>
              <w:t xml:space="preserve">+</w:t>
            </w:r>
          </w:p>
        </w:tc>
        <w:tc>
          <w:tcPr>
            <w:tcW w:w="634" w:type="dxa"/>
          </w:tcPr>
          <w:p>
            <w:pPr>
              <w:pStyle w:val="0"/>
            </w:pPr>
            <w:r>
              <w:rPr>
                <w:sz w:val="20"/>
              </w:rPr>
            </w:r>
          </w:p>
        </w:tc>
        <w:tc>
          <w:tcPr>
            <w:tcW w:w="844" w:type="dxa"/>
          </w:tcPr>
          <w:p>
            <w:pPr>
              <w:pStyle w:val="0"/>
            </w:pPr>
            <w:r>
              <w:rPr>
                <w:sz w:val="20"/>
              </w:rPr>
              <w:t xml:space="preserve">+</w:t>
            </w:r>
          </w:p>
        </w:tc>
      </w:tr>
      <w:tr>
        <w:tc>
          <w:tcPr>
            <w:tcW w:w="6009" w:type="dxa"/>
          </w:tcPr>
          <w:p>
            <w:pPr>
              <w:pStyle w:val="0"/>
            </w:pPr>
            <w:r>
              <w:rPr>
                <w:sz w:val="20"/>
              </w:rPr>
              <w:t xml:space="preserve">БУ "Октябрьская районная больница"</w:t>
            </w:r>
          </w:p>
        </w:tc>
        <w:tc>
          <w:tcPr>
            <w:tcW w:w="589" w:type="dxa"/>
          </w:tcPr>
          <w:p>
            <w:pPr>
              <w:pStyle w:val="0"/>
            </w:pPr>
            <w:r>
              <w:rPr>
                <w:sz w:val="20"/>
              </w:rPr>
            </w:r>
          </w:p>
        </w:tc>
        <w:tc>
          <w:tcPr>
            <w:tcW w:w="634" w:type="dxa"/>
          </w:tcPr>
          <w:p>
            <w:pPr>
              <w:pStyle w:val="0"/>
            </w:pPr>
            <w:r>
              <w:rPr>
                <w:sz w:val="20"/>
              </w:rPr>
              <w:t xml:space="preserve">+</w:t>
            </w:r>
          </w:p>
        </w:tc>
        <w:tc>
          <w:tcPr>
            <w:tcW w:w="634" w:type="dxa"/>
          </w:tcPr>
          <w:p>
            <w:pPr>
              <w:pStyle w:val="0"/>
            </w:pPr>
            <w:r>
              <w:rPr>
                <w:sz w:val="20"/>
              </w:rPr>
              <w:t xml:space="preserve">+</w:t>
            </w:r>
          </w:p>
        </w:tc>
        <w:tc>
          <w:tcPr>
            <w:tcW w:w="844" w:type="dxa"/>
          </w:tcPr>
          <w:p>
            <w:pPr>
              <w:pStyle w:val="0"/>
            </w:pPr>
            <w:r>
              <w:rPr>
                <w:sz w:val="20"/>
              </w:rPr>
            </w:r>
          </w:p>
        </w:tc>
      </w:tr>
    </w:tbl>
    <w:p>
      <w:pPr>
        <w:pStyle w:val="0"/>
        <w:jc w:val="right"/>
      </w:pPr>
      <w:r>
        <w:rPr>
          <w:sz w:val="20"/>
        </w:rPr>
      </w:r>
    </w:p>
    <w:p>
      <w:pPr>
        <w:pStyle w:val="0"/>
        <w:jc w:val="right"/>
      </w:pPr>
      <w:r>
        <w:rPr>
          <w:sz w:val="20"/>
        </w:rPr>
        <w:t xml:space="preserve">Таблица 29</w:t>
      </w:r>
    </w:p>
    <w:p>
      <w:pPr>
        <w:pStyle w:val="0"/>
        <w:jc w:val="right"/>
      </w:pPr>
      <w:r>
        <w:rPr>
          <w:sz w:val="20"/>
        </w:rPr>
      </w:r>
    </w:p>
    <w:p>
      <w:pPr>
        <w:pStyle w:val="0"/>
        <w:jc w:val="center"/>
      </w:pPr>
      <w:r>
        <w:rPr>
          <w:sz w:val="20"/>
        </w:rPr>
        <w:t xml:space="preserve">Число коек по профилям "кардиология", "неврология",</w:t>
      </w:r>
    </w:p>
    <w:p>
      <w:pPr>
        <w:pStyle w:val="0"/>
        <w:jc w:val="center"/>
      </w:pPr>
      <w:r>
        <w:rPr>
          <w:sz w:val="20"/>
        </w:rPr>
        <w:t xml:space="preserve">"терапия" в РСЦ и ПСО автономного округа, 2022 год</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31"/>
        <w:gridCol w:w="2029"/>
        <w:gridCol w:w="1864"/>
        <w:gridCol w:w="1894"/>
      </w:tblGrid>
      <w:tr>
        <w:tc>
          <w:tcPr>
            <w:tcW w:w="3231" w:type="dxa"/>
          </w:tcPr>
          <w:p>
            <w:pPr>
              <w:pStyle w:val="0"/>
              <w:jc w:val="center"/>
            </w:pPr>
            <w:r>
              <w:rPr>
                <w:sz w:val="20"/>
              </w:rPr>
              <w:t xml:space="preserve">Медицинские организации</w:t>
            </w:r>
          </w:p>
        </w:tc>
        <w:tc>
          <w:tcPr>
            <w:tcW w:w="2029" w:type="dxa"/>
          </w:tcPr>
          <w:p>
            <w:pPr>
              <w:pStyle w:val="0"/>
              <w:jc w:val="center"/>
            </w:pPr>
            <w:r>
              <w:rPr>
                <w:sz w:val="20"/>
              </w:rPr>
              <w:t xml:space="preserve">Кардиологические койки</w:t>
            </w:r>
          </w:p>
        </w:tc>
        <w:tc>
          <w:tcPr>
            <w:tcW w:w="1864" w:type="dxa"/>
          </w:tcPr>
          <w:p>
            <w:pPr>
              <w:pStyle w:val="0"/>
              <w:jc w:val="center"/>
            </w:pPr>
            <w:r>
              <w:rPr>
                <w:sz w:val="20"/>
              </w:rPr>
              <w:t xml:space="preserve">Терапевтические койки</w:t>
            </w:r>
          </w:p>
        </w:tc>
        <w:tc>
          <w:tcPr>
            <w:tcW w:w="1894" w:type="dxa"/>
          </w:tcPr>
          <w:p>
            <w:pPr>
              <w:pStyle w:val="0"/>
              <w:jc w:val="center"/>
            </w:pPr>
            <w:r>
              <w:rPr>
                <w:sz w:val="20"/>
              </w:rPr>
              <w:t xml:space="preserve">Неврологические койки</w:t>
            </w:r>
          </w:p>
        </w:tc>
      </w:tr>
      <w:tr>
        <w:tc>
          <w:tcPr>
            <w:tcW w:w="3231" w:type="dxa"/>
          </w:tcPr>
          <w:p>
            <w:pPr>
              <w:pStyle w:val="0"/>
            </w:pPr>
            <w:r>
              <w:rPr>
                <w:sz w:val="20"/>
              </w:rPr>
              <w:t xml:space="preserve">БУ "Окружной кардиологический диспансер "Центр диагностики и сердечно-сосудистой хирургии"</w:t>
            </w:r>
          </w:p>
        </w:tc>
        <w:tc>
          <w:tcPr>
            <w:tcW w:w="2029" w:type="dxa"/>
          </w:tcPr>
          <w:p>
            <w:pPr>
              <w:pStyle w:val="0"/>
            </w:pPr>
            <w:r>
              <w:rPr>
                <w:sz w:val="20"/>
              </w:rPr>
              <w:t xml:space="preserve">147</w:t>
            </w:r>
          </w:p>
        </w:tc>
        <w:tc>
          <w:tcPr>
            <w:tcW w:w="1864" w:type="dxa"/>
          </w:tcPr>
          <w:p>
            <w:pPr>
              <w:pStyle w:val="0"/>
            </w:pPr>
            <w:r>
              <w:rPr>
                <w:sz w:val="20"/>
              </w:rPr>
              <w:t xml:space="preserve">0</w:t>
            </w:r>
          </w:p>
        </w:tc>
        <w:tc>
          <w:tcPr>
            <w:tcW w:w="1894" w:type="dxa"/>
          </w:tcPr>
          <w:p>
            <w:pPr>
              <w:pStyle w:val="0"/>
            </w:pPr>
            <w:r>
              <w:rPr>
                <w:sz w:val="20"/>
              </w:rPr>
              <w:t xml:space="preserve">0</w:t>
            </w:r>
          </w:p>
        </w:tc>
      </w:tr>
      <w:tr>
        <w:tc>
          <w:tcPr>
            <w:tcW w:w="3231" w:type="dxa"/>
          </w:tcPr>
          <w:p>
            <w:pPr>
              <w:pStyle w:val="0"/>
            </w:pPr>
            <w:r>
              <w:rPr>
                <w:sz w:val="20"/>
              </w:rPr>
              <w:t xml:space="preserve">БУ "Окружная клиническая больница"</w:t>
            </w:r>
          </w:p>
        </w:tc>
        <w:tc>
          <w:tcPr>
            <w:tcW w:w="2029" w:type="dxa"/>
          </w:tcPr>
          <w:p>
            <w:pPr>
              <w:pStyle w:val="0"/>
            </w:pPr>
            <w:r>
              <w:rPr>
                <w:sz w:val="20"/>
              </w:rPr>
              <w:t xml:space="preserve">40</w:t>
            </w:r>
          </w:p>
        </w:tc>
        <w:tc>
          <w:tcPr>
            <w:tcW w:w="1864" w:type="dxa"/>
          </w:tcPr>
          <w:p>
            <w:pPr>
              <w:pStyle w:val="0"/>
            </w:pPr>
            <w:r>
              <w:rPr>
                <w:sz w:val="20"/>
              </w:rPr>
              <w:t xml:space="preserve">8</w:t>
            </w:r>
          </w:p>
        </w:tc>
        <w:tc>
          <w:tcPr>
            <w:tcW w:w="1894" w:type="dxa"/>
          </w:tcPr>
          <w:p>
            <w:pPr>
              <w:pStyle w:val="0"/>
            </w:pPr>
            <w:r>
              <w:rPr>
                <w:sz w:val="20"/>
              </w:rPr>
              <w:t xml:space="preserve">36</w:t>
            </w:r>
          </w:p>
        </w:tc>
      </w:tr>
      <w:tr>
        <w:tc>
          <w:tcPr>
            <w:tcW w:w="3231" w:type="dxa"/>
          </w:tcPr>
          <w:p>
            <w:pPr>
              <w:pStyle w:val="0"/>
            </w:pPr>
            <w:r>
              <w:rPr>
                <w:sz w:val="20"/>
              </w:rPr>
              <w:t xml:space="preserve">БУ "Няганская окружная больница"</w:t>
            </w:r>
          </w:p>
        </w:tc>
        <w:tc>
          <w:tcPr>
            <w:tcW w:w="2029" w:type="dxa"/>
          </w:tcPr>
          <w:p>
            <w:pPr>
              <w:pStyle w:val="0"/>
            </w:pPr>
            <w:r>
              <w:rPr>
                <w:sz w:val="20"/>
              </w:rPr>
              <w:t xml:space="preserve">30</w:t>
            </w:r>
          </w:p>
        </w:tc>
        <w:tc>
          <w:tcPr>
            <w:tcW w:w="1864" w:type="dxa"/>
          </w:tcPr>
          <w:p>
            <w:pPr>
              <w:pStyle w:val="0"/>
            </w:pPr>
            <w:r>
              <w:rPr>
                <w:sz w:val="20"/>
              </w:rPr>
              <w:t xml:space="preserve">57</w:t>
            </w:r>
          </w:p>
        </w:tc>
        <w:tc>
          <w:tcPr>
            <w:tcW w:w="1894" w:type="dxa"/>
          </w:tcPr>
          <w:p>
            <w:pPr>
              <w:pStyle w:val="0"/>
            </w:pPr>
            <w:r>
              <w:rPr>
                <w:sz w:val="20"/>
              </w:rPr>
              <w:t xml:space="preserve">36</w:t>
            </w:r>
          </w:p>
        </w:tc>
      </w:tr>
      <w:tr>
        <w:tc>
          <w:tcPr>
            <w:tcW w:w="3231" w:type="dxa"/>
          </w:tcPr>
          <w:p>
            <w:pPr>
              <w:pStyle w:val="0"/>
            </w:pPr>
            <w:r>
              <w:rPr>
                <w:sz w:val="20"/>
              </w:rPr>
              <w:t xml:space="preserve">БУ "Нижневартовская окружная клиническая больница"</w:t>
            </w:r>
          </w:p>
        </w:tc>
        <w:tc>
          <w:tcPr>
            <w:tcW w:w="2029" w:type="dxa"/>
          </w:tcPr>
          <w:p>
            <w:pPr>
              <w:pStyle w:val="0"/>
            </w:pPr>
            <w:r>
              <w:rPr>
                <w:sz w:val="20"/>
              </w:rPr>
              <w:t xml:space="preserve">112</w:t>
            </w:r>
          </w:p>
        </w:tc>
        <w:tc>
          <w:tcPr>
            <w:tcW w:w="1864" w:type="dxa"/>
          </w:tcPr>
          <w:p>
            <w:pPr>
              <w:pStyle w:val="0"/>
            </w:pPr>
            <w:r>
              <w:rPr>
                <w:sz w:val="20"/>
              </w:rPr>
              <w:t xml:space="preserve">0</w:t>
            </w:r>
          </w:p>
        </w:tc>
        <w:tc>
          <w:tcPr>
            <w:tcW w:w="1894" w:type="dxa"/>
          </w:tcPr>
          <w:p>
            <w:pPr>
              <w:pStyle w:val="0"/>
            </w:pPr>
            <w:r>
              <w:rPr>
                <w:sz w:val="20"/>
              </w:rPr>
              <w:t xml:space="preserve">80</w:t>
            </w:r>
          </w:p>
        </w:tc>
      </w:tr>
      <w:tr>
        <w:tc>
          <w:tcPr>
            <w:tcW w:w="3231" w:type="dxa"/>
          </w:tcPr>
          <w:p>
            <w:pPr>
              <w:pStyle w:val="0"/>
            </w:pPr>
            <w:r>
              <w:rPr>
                <w:sz w:val="20"/>
              </w:rPr>
              <w:t xml:space="preserve">БУ "Сургутская клиническая травматологическая больница" </w:t>
            </w:r>
            <w:hyperlink w:history="0" w:anchor="P16142" w:tooltip="&lt;*&gt; Имеются 72 нейрохирургические койки для лечения пациентов с острыми формами нарушения мозгового кровообращения.">
              <w:r>
                <w:rPr>
                  <w:sz w:val="20"/>
                  <w:color w:val="0000ff"/>
                </w:rPr>
                <w:t xml:space="preserve">&lt;*&gt;</w:t>
              </w:r>
            </w:hyperlink>
          </w:p>
        </w:tc>
        <w:tc>
          <w:tcPr>
            <w:tcW w:w="2029" w:type="dxa"/>
          </w:tcPr>
          <w:p>
            <w:pPr>
              <w:pStyle w:val="0"/>
            </w:pPr>
            <w:r>
              <w:rPr>
                <w:sz w:val="20"/>
              </w:rPr>
              <w:t xml:space="preserve">0</w:t>
            </w:r>
          </w:p>
        </w:tc>
        <w:tc>
          <w:tcPr>
            <w:tcW w:w="1864" w:type="dxa"/>
          </w:tcPr>
          <w:p>
            <w:pPr>
              <w:pStyle w:val="0"/>
            </w:pPr>
            <w:r>
              <w:rPr>
                <w:sz w:val="20"/>
              </w:rPr>
              <w:t xml:space="preserve">0</w:t>
            </w:r>
          </w:p>
        </w:tc>
        <w:tc>
          <w:tcPr>
            <w:tcW w:w="1894" w:type="dxa"/>
          </w:tcPr>
          <w:p>
            <w:pPr>
              <w:pStyle w:val="0"/>
            </w:pPr>
            <w:r>
              <w:rPr>
                <w:sz w:val="20"/>
              </w:rPr>
              <w:t xml:space="preserve">30</w:t>
            </w:r>
          </w:p>
        </w:tc>
      </w:tr>
      <w:tr>
        <w:tc>
          <w:tcPr>
            <w:tcW w:w="3231" w:type="dxa"/>
          </w:tcPr>
          <w:p>
            <w:pPr>
              <w:pStyle w:val="0"/>
            </w:pPr>
            <w:r>
              <w:rPr>
                <w:sz w:val="20"/>
              </w:rPr>
              <w:t xml:space="preserve">БУ "Нефтеюганская окружная клиническая больница им. Яцкив"</w:t>
            </w:r>
          </w:p>
        </w:tc>
        <w:tc>
          <w:tcPr>
            <w:tcW w:w="2029" w:type="dxa"/>
          </w:tcPr>
          <w:p>
            <w:pPr>
              <w:pStyle w:val="0"/>
            </w:pPr>
            <w:r>
              <w:rPr>
                <w:sz w:val="20"/>
              </w:rPr>
              <w:t xml:space="preserve">35</w:t>
            </w:r>
          </w:p>
        </w:tc>
        <w:tc>
          <w:tcPr>
            <w:tcW w:w="1864" w:type="dxa"/>
          </w:tcPr>
          <w:p>
            <w:pPr>
              <w:pStyle w:val="0"/>
            </w:pPr>
            <w:r>
              <w:rPr>
                <w:sz w:val="20"/>
              </w:rPr>
              <w:t xml:space="preserve">30</w:t>
            </w:r>
          </w:p>
        </w:tc>
        <w:tc>
          <w:tcPr>
            <w:tcW w:w="1894" w:type="dxa"/>
          </w:tcPr>
          <w:p>
            <w:pPr>
              <w:pStyle w:val="0"/>
            </w:pPr>
            <w:r>
              <w:rPr>
                <w:sz w:val="20"/>
              </w:rPr>
              <w:t xml:space="preserve">55</w:t>
            </w:r>
          </w:p>
        </w:tc>
      </w:tr>
      <w:tr>
        <w:tc>
          <w:tcPr>
            <w:tcW w:w="3231" w:type="dxa"/>
          </w:tcPr>
          <w:p>
            <w:pPr>
              <w:pStyle w:val="0"/>
            </w:pPr>
            <w:r>
              <w:rPr>
                <w:sz w:val="20"/>
              </w:rPr>
              <w:t xml:space="preserve">БУ "Пыть-Яхская окружная клиническая больница"</w:t>
            </w:r>
          </w:p>
        </w:tc>
        <w:tc>
          <w:tcPr>
            <w:tcW w:w="2029" w:type="dxa"/>
          </w:tcPr>
          <w:p>
            <w:pPr>
              <w:pStyle w:val="0"/>
            </w:pPr>
            <w:r>
              <w:rPr>
                <w:sz w:val="20"/>
              </w:rPr>
              <w:t xml:space="preserve">13</w:t>
            </w:r>
          </w:p>
        </w:tc>
        <w:tc>
          <w:tcPr>
            <w:tcW w:w="1864" w:type="dxa"/>
          </w:tcPr>
          <w:p>
            <w:pPr>
              <w:pStyle w:val="0"/>
            </w:pPr>
            <w:r>
              <w:rPr>
                <w:sz w:val="20"/>
              </w:rPr>
              <w:t xml:space="preserve">25</w:t>
            </w:r>
          </w:p>
        </w:tc>
        <w:tc>
          <w:tcPr>
            <w:tcW w:w="1894" w:type="dxa"/>
          </w:tcPr>
          <w:p>
            <w:pPr>
              <w:pStyle w:val="0"/>
            </w:pPr>
            <w:r>
              <w:rPr>
                <w:sz w:val="20"/>
              </w:rPr>
              <w:t xml:space="preserve">20</w:t>
            </w:r>
          </w:p>
        </w:tc>
      </w:tr>
      <w:tr>
        <w:tc>
          <w:tcPr>
            <w:tcW w:w="3231" w:type="dxa"/>
          </w:tcPr>
          <w:p>
            <w:pPr>
              <w:pStyle w:val="0"/>
            </w:pPr>
            <w:r>
              <w:rPr>
                <w:sz w:val="20"/>
              </w:rPr>
              <w:t xml:space="preserve">БУ "Лангепасская городская больница"</w:t>
            </w:r>
          </w:p>
        </w:tc>
        <w:tc>
          <w:tcPr>
            <w:tcW w:w="2029" w:type="dxa"/>
          </w:tcPr>
          <w:p>
            <w:pPr>
              <w:pStyle w:val="0"/>
            </w:pPr>
            <w:r>
              <w:rPr>
                <w:sz w:val="20"/>
              </w:rPr>
              <w:t xml:space="preserve">5</w:t>
            </w:r>
          </w:p>
        </w:tc>
        <w:tc>
          <w:tcPr>
            <w:tcW w:w="1864" w:type="dxa"/>
          </w:tcPr>
          <w:p>
            <w:pPr>
              <w:pStyle w:val="0"/>
            </w:pPr>
            <w:r>
              <w:rPr>
                <w:sz w:val="20"/>
              </w:rPr>
              <w:t xml:space="preserve">45</w:t>
            </w:r>
          </w:p>
        </w:tc>
        <w:tc>
          <w:tcPr>
            <w:tcW w:w="1894" w:type="dxa"/>
          </w:tcPr>
          <w:p>
            <w:pPr>
              <w:pStyle w:val="0"/>
            </w:pPr>
            <w:r>
              <w:rPr>
                <w:sz w:val="20"/>
              </w:rPr>
              <w:t xml:space="preserve">20</w:t>
            </w:r>
          </w:p>
        </w:tc>
      </w:tr>
      <w:tr>
        <w:tc>
          <w:tcPr>
            <w:tcW w:w="3231" w:type="dxa"/>
          </w:tcPr>
          <w:p>
            <w:pPr>
              <w:pStyle w:val="0"/>
            </w:pPr>
            <w:r>
              <w:rPr>
                <w:sz w:val="20"/>
              </w:rPr>
              <w:t xml:space="preserve">БУ "Когалымская городская больница"</w:t>
            </w:r>
          </w:p>
        </w:tc>
        <w:tc>
          <w:tcPr>
            <w:tcW w:w="2029" w:type="dxa"/>
          </w:tcPr>
          <w:p>
            <w:pPr>
              <w:pStyle w:val="0"/>
            </w:pPr>
            <w:r>
              <w:rPr>
                <w:sz w:val="20"/>
              </w:rPr>
              <w:t xml:space="preserve">15</w:t>
            </w:r>
          </w:p>
        </w:tc>
        <w:tc>
          <w:tcPr>
            <w:tcW w:w="1864" w:type="dxa"/>
          </w:tcPr>
          <w:p>
            <w:pPr>
              <w:pStyle w:val="0"/>
            </w:pPr>
            <w:r>
              <w:rPr>
                <w:sz w:val="20"/>
              </w:rPr>
              <w:t xml:space="preserve">35</w:t>
            </w:r>
          </w:p>
        </w:tc>
        <w:tc>
          <w:tcPr>
            <w:tcW w:w="1894" w:type="dxa"/>
          </w:tcPr>
          <w:p>
            <w:pPr>
              <w:pStyle w:val="0"/>
            </w:pPr>
            <w:r>
              <w:rPr>
                <w:sz w:val="20"/>
              </w:rPr>
              <w:t xml:space="preserve">31</w:t>
            </w:r>
          </w:p>
        </w:tc>
      </w:tr>
      <w:tr>
        <w:tc>
          <w:tcPr>
            <w:tcW w:w="3231" w:type="dxa"/>
          </w:tcPr>
          <w:p>
            <w:pPr>
              <w:pStyle w:val="0"/>
            </w:pPr>
            <w:r>
              <w:rPr>
                <w:sz w:val="20"/>
              </w:rPr>
              <w:t xml:space="preserve">БУ "Белоярская районная больница"</w:t>
            </w:r>
          </w:p>
        </w:tc>
        <w:tc>
          <w:tcPr>
            <w:tcW w:w="2029" w:type="dxa"/>
          </w:tcPr>
          <w:p>
            <w:pPr>
              <w:pStyle w:val="0"/>
            </w:pPr>
            <w:r>
              <w:rPr>
                <w:sz w:val="20"/>
              </w:rPr>
              <w:t xml:space="preserve">0</w:t>
            </w:r>
          </w:p>
        </w:tc>
        <w:tc>
          <w:tcPr>
            <w:tcW w:w="1864" w:type="dxa"/>
          </w:tcPr>
          <w:p>
            <w:pPr>
              <w:pStyle w:val="0"/>
            </w:pPr>
            <w:r>
              <w:rPr>
                <w:sz w:val="20"/>
              </w:rPr>
              <w:t xml:space="preserve">27</w:t>
            </w:r>
          </w:p>
        </w:tc>
        <w:tc>
          <w:tcPr>
            <w:tcW w:w="1894" w:type="dxa"/>
          </w:tcPr>
          <w:p>
            <w:pPr>
              <w:pStyle w:val="0"/>
            </w:pPr>
            <w:r>
              <w:rPr>
                <w:sz w:val="20"/>
              </w:rPr>
              <w:t xml:space="preserve">20</w:t>
            </w:r>
          </w:p>
        </w:tc>
      </w:tr>
      <w:tr>
        <w:tc>
          <w:tcPr>
            <w:tcW w:w="3231" w:type="dxa"/>
          </w:tcPr>
          <w:p>
            <w:pPr>
              <w:pStyle w:val="0"/>
            </w:pPr>
            <w:r>
              <w:rPr>
                <w:sz w:val="20"/>
              </w:rPr>
              <w:t xml:space="preserve">БУ "Урайская городская клиническая больница"</w:t>
            </w:r>
          </w:p>
        </w:tc>
        <w:tc>
          <w:tcPr>
            <w:tcW w:w="2029" w:type="dxa"/>
          </w:tcPr>
          <w:p>
            <w:pPr>
              <w:pStyle w:val="0"/>
            </w:pPr>
            <w:r>
              <w:rPr>
                <w:sz w:val="20"/>
              </w:rPr>
              <w:t xml:space="preserve">15</w:t>
            </w:r>
          </w:p>
        </w:tc>
        <w:tc>
          <w:tcPr>
            <w:tcW w:w="1864" w:type="dxa"/>
          </w:tcPr>
          <w:p>
            <w:pPr>
              <w:pStyle w:val="0"/>
            </w:pPr>
            <w:r>
              <w:rPr>
                <w:sz w:val="20"/>
              </w:rPr>
              <w:t xml:space="preserve">24</w:t>
            </w:r>
          </w:p>
        </w:tc>
        <w:tc>
          <w:tcPr>
            <w:tcW w:w="1894" w:type="dxa"/>
          </w:tcPr>
          <w:p>
            <w:pPr>
              <w:pStyle w:val="0"/>
            </w:pPr>
            <w:r>
              <w:rPr>
                <w:sz w:val="20"/>
              </w:rPr>
              <w:t xml:space="preserve">18</w:t>
            </w:r>
          </w:p>
        </w:tc>
      </w:tr>
      <w:tr>
        <w:tc>
          <w:tcPr>
            <w:tcW w:w="3231" w:type="dxa"/>
          </w:tcPr>
          <w:p>
            <w:pPr>
              <w:pStyle w:val="0"/>
            </w:pPr>
            <w:r>
              <w:rPr>
                <w:sz w:val="20"/>
              </w:rPr>
              <w:t xml:space="preserve">БУ "Кондинская районная больница"</w:t>
            </w:r>
          </w:p>
        </w:tc>
        <w:tc>
          <w:tcPr>
            <w:tcW w:w="2029" w:type="dxa"/>
          </w:tcPr>
          <w:p>
            <w:pPr>
              <w:pStyle w:val="0"/>
            </w:pPr>
            <w:r>
              <w:rPr>
                <w:sz w:val="20"/>
              </w:rPr>
              <w:t xml:space="preserve">4</w:t>
            </w:r>
          </w:p>
        </w:tc>
        <w:tc>
          <w:tcPr>
            <w:tcW w:w="1864" w:type="dxa"/>
          </w:tcPr>
          <w:p>
            <w:pPr>
              <w:pStyle w:val="0"/>
            </w:pPr>
            <w:r>
              <w:rPr>
                <w:sz w:val="20"/>
              </w:rPr>
              <w:t xml:space="preserve">33</w:t>
            </w:r>
          </w:p>
        </w:tc>
        <w:tc>
          <w:tcPr>
            <w:tcW w:w="1894" w:type="dxa"/>
          </w:tcPr>
          <w:p>
            <w:pPr>
              <w:pStyle w:val="0"/>
            </w:pPr>
            <w:r>
              <w:rPr>
                <w:sz w:val="20"/>
              </w:rPr>
              <w:t xml:space="preserve">15</w:t>
            </w:r>
          </w:p>
        </w:tc>
      </w:tr>
      <w:tr>
        <w:tc>
          <w:tcPr>
            <w:tcW w:w="3231" w:type="dxa"/>
          </w:tcPr>
          <w:p>
            <w:pPr>
              <w:pStyle w:val="0"/>
            </w:pPr>
            <w:r>
              <w:rPr>
                <w:sz w:val="20"/>
              </w:rPr>
              <w:t xml:space="preserve">АУ "Советская районная больница</w:t>
            </w:r>
          </w:p>
        </w:tc>
        <w:tc>
          <w:tcPr>
            <w:tcW w:w="2029" w:type="dxa"/>
          </w:tcPr>
          <w:p>
            <w:pPr>
              <w:pStyle w:val="0"/>
            </w:pPr>
            <w:r>
              <w:rPr>
                <w:sz w:val="20"/>
              </w:rPr>
              <w:t xml:space="preserve">2</w:t>
            </w:r>
          </w:p>
        </w:tc>
        <w:tc>
          <w:tcPr>
            <w:tcW w:w="1864" w:type="dxa"/>
          </w:tcPr>
          <w:p>
            <w:pPr>
              <w:pStyle w:val="0"/>
            </w:pPr>
            <w:r>
              <w:rPr>
                <w:sz w:val="20"/>
              </w:rPr>
              <w:t xml:space="preserve">18</w:t>
            </w:r>
          </w:p>
        </w:tc>
        <w:tc>
          <w:tcPr>
            <w:tcW w:w="1894" w:type="dxa"/>
          </w:tcPr>
          <w:p>
            <w:pPr>
              <w:pStyle w:val="0"/>
            </w:pPr>
            <w:r>
              <w:rPr>
                <w:sz w:val="20"/>
              </w:rPr>
              <w:t xml:space="preserve">20</w:t>
            </w:r>
          </w:p>
        </w:tc>
      </w:tr>
      <w:tr>
        <w:tc>
          <w:tcPr>
            <w:tcW w:w="3231" w:type="dxa"/>
          </w:tcPr>
          <w:p>
            <w:pPr>
              <w:pStyle w:val="0"/>
            </w:pPr>
            <w:r>
              <w:rPr>
                <w:sz w:val="20"/>
              </w:rPr>
              <w:t xml:space="preserve">БУ "Югорская городская больница"</w:t>
            </w:r>
          </w:p>
        </w:tc>
        <w:tc>
          <w:tcPr>
            <w:tcW w:w="2029" w:type="dxa"/>
          </w:tcPr>
          <w:p>
            <w:pPr>
              <w:pStyle w:val="0"/>
            </w:pPr>
            <w:r>
              <w:rPr>
                <w:sz w:val="20"/>
              </w:rPr>
              <w:t xml:space="preserve">2</w:t>
            </w:r>
          </w:p>
        </w:tc>
        <w:tc>
          <w:tcPr>
            <w:tcW w:w="1864" w:type="dxa"/>
          </w:tcPr>
          <w:p>
            <w:pPr>
              <w:pStyle w:val="0"/>
            </w:pPr>
            <w:r>
              <w:rPr>
                <w:sz w:val="20"/>
              </w:rPr>
              <w:t xml:space="preserve">31</w:t>
            </w:r>
          </w:p>
        </w:tc>
        <w:tc>
          <w:tcPr>
            <w:tcW w:w="1894" w:type="dxa"/>
          </w:tcPr>
          <w:p>
            <w:pPr>
              <w:pStyle w:val="0"/>
            </w:pPr>
            <w:r>
              <w:rPr>
                <w:sz w:val="20"/>
              </w:rPr>
              <w:t xml:space="preserve">22</w:t>
            </w:r>
          </w:p>
        </w:tc>
      </w:tr>
      <w:tr>
        <w:tc>
          <w:tcPr>
            <w:tcW w:w="3231" w:type="dxa"/>
          </w:tcPr>
          <w:p>
            <w:pPr>
              <w:pStyle w:val="0"/>
            </w:pPr>
            <w:r>
              <w:rPr>
                <w:sz w:val="20"/>
              </w:rPr>
              <w:t xml:space="preserve">БУ "Березовская районная больница"</w:t>
            </w:r>
          </w:p>
        </w:tc>
        <w:tc>
          <w:tcPr>
            <w:tcW w:w="2029" w:type="dxa"/>
          </w:tcPr>
          <w:p>
            <w:pPr>
              <w:pStyle w:val="0"/>
            </w:pPr>
            <w:r>
              <w:rPr>
                <w:sz w:val="20"/>
              </w:rPr>
              <w:t xml:space="preserve">0</w:t>
            </w:r>
          </w:p>
        </w:tc>
        <w:tc>
          <w:tcPr>
            <w:tcW w:w="1864" w:type="dxa"/>
          </w:tcPr>
          <w:p>
            <w:pPr>
              <w:pStyle w:val="0"/>
            </w:pPr>
            <w:r>
              <w:rPr>
                <w:sz w:val="20"/>
              </w:rPr>
              <w:t xml:space="preserve">26</w:t>
            </w:r>
          </w:p>
        </w:tc>
        <w:tc>
          <w:tcPr>
            <w:tcW w:w="1894" w:type="dxa"/>
          </w:tcPr>
          <w:p>
            <w:pPr>
              <w:pStyle w:val="0"/>
            </w:pPr>
            <w:r>
              <w:rPr>
                <w:sz w:val="20"/>
              </w:rPr>
              <w:t xml:space="preserve">2</w:t>
            </w:r>
          </w:p>
        </w:tc>
      </w:tr>
      <w:tr>
        <w:tc>
          <w:tcPr>
            <w:tcW w:w="3231" w:type="dxa"/>
          </w:tcPr>
          <w:p>
            <w:pPr>
              <w:pStyle w:val="0"/>
            </w:pPr>
            <w:r>
              <w:rPr>
                <w:sz w:val="20"/>
              </w:rPr>
              <w:t xml:space="preserve">БУ "Мегионская городская больница"</w:t>
            </w:r>
          </w:p>
        </w:tc>
        <w:tc>
          <w:tcPr>
            <w:tcW w:w="2029" w:type="dxa"/>
          </w:tcPr>
          <w:p>
            <w:pPr>
              <w:pStyle w:val="0"/>
            </w:pPr>
            <w:r>
              <w:rPr>
                <w:sz w:val="20"/>
              </w:rPr>
              <w:t xml:space="preserve">15</w:t>
            </w:r>
          </w:p>
        </w:tc>
        <w:tc>
          <w:tcPr>
            <w:tcW w:w="1864" w:type="dxa"/>
          </w:tcPr>
          <w:p>
            <w:pPr>
              <w:pStyle w:val="0"/>
            </w:pPr>
            <w:r>
              <w:rPr>
                <w:sz w:val="20"/>
              </w:rPr>
              <w:t xml:space="preserve">25</w:t>
            </w:r>
          </w:p>
        </w:tc>
        <w:tc>
          <w:tcPr>
            <w:tcW w:w="1894" w:type="dxa"/>
          </w:tcPr>
          <w:p>
            <w:pPr>
              <w:pStyle w:val="0"/>
            </w:pPr>
            <w:r>
              <w:rPr>
                <w:sz w:val="20"/>
              </w:rPr>
              <w:t xml:space="preserve">25</w:t>
            </w:r>
          </w:p>
        </w:tc>
      </w:tr>
      <w:tr>
        <w:tc>
          <w:tcPr>
            <w:tcW w:w="3231" w:type="dxa"/>
          </w:tcPr>
          <w:p>
            <w:pPr>
              <w:pStyle w:val="0"/>
            </w:pPr>
            <w:r>
              <w:rPr>
                <w:sz w:val="20"/>
              </w:rPr>
              <w:t xml:space="preserve">БУ "Радужнинская городская больница"</w:t>
            </w:r>
          </w:p>
        </w:tc>
        <w:tc>
          <w:tcPr>
            <w:tcW w:w="2029" w:type="dxa"/>
          </w:tcPr>
          <w:p>
            <w:pPr>
              <w:pStyle w:val="0"/>
            </w:pPr>
            <w:r>
              <w:rPr>
                <w:sz w:val="20"/>
              </w:rPr>
              <w:t xml:space="preserve">25</w:t>
            </w:r>
          </w:p>
        </w:tc>
        <w:tc>
          <w:tcPr>
            <w:tcW w:w="1864" w:type="dxa"/>
          </w:tcPr>
          <w:p>
            <w:pPr>
              <w:pStyle w:val="0"/>
            </w:pPr>
            <w:r>
              <w:rPr>
                <w:sz w:val="20"/>
              </w:rPr>
              <w:t xml:space="preserve">30</w:t>
            </w:r>
          </w:p>
        </w:tc>
        <w:tc>
          <w:tcPr>
            <w:tcW w:w="1894" w:type="dxa"/>
          </w:tcPr>
          <w:p>
            <w:pPr>
              <w:pStyle w:val="0"/>
            </w:pPr>
            <w:r>
              <w:rPr>
                <w:sz w:val="20"/>
              </w:rPr>
              <w:t xml:space="preserve">15</w:t>
            </w:r>
          </w:p>
        </w:tc>
      </w:tr>
      <w:tr>
        <w:tc>
          <w:tcPr>
            <w:tcW w:w="3231" w:type="dxa"/>
          </w:tcPr>
          <w:p>
            <w:pPr>
              <w:pStyle w:val="0"/>
            </w:pPr>
            <w:r>
              <w:rPr>
                <w:sz w:val="20"/>
              </w:rPr>
              <w:t xml:space="preserve">БУ "Сургутская окружная клиническая больница"</w:t>
            </w:r>
          </w:p>
        </w:tc>
        <w:tc>
          <w:tcPr>
            <w:tcW w:w="2029" w:type="dxa"/>
          </w:tcPr>
          <w:p>
            <w:pPr>
              <w:pStyle w:val="0"/>
            </w:pPr>
            <w:r>
              <w:rPr>
                <w:sz w:val="20"/>
              </w:rPr>
              <w:t xml:space="preserve">0</w:t>
            </w:r>
          </w:p>
        </w:tc>
        <w:tc>
          <w:tcPr>
            <w:tcW w:w="1864" w:type="dxa"/>
          </w:tcPr>
          <w:p>
            <w:pPr>
              <w:pStyle w:val="0"/>
            </w:pPr>
            <w:r>
              <w:rPr>
                <w:sz w:val="20"/>
              </w:rPr>
              <w:t xml:space="preserve">25</w:t>
            </w:r>
          </w:p>
        </w:tc>
        <w:tc>
          <w:tcPr>
            <w:tcW w:w="1894" w:type="dxa"/>
          </w:tcPr>
          <w:p>
            <w:pPr>
              <w:pStyle w:val="0"/>
            </w:pPr>
            <w:r>
              <w:rPr>
                <w:sz w:val="20"/>
              </w:rPr>
              <w:t xml:space="preserve">95</w:t>
            </w:r>
          </w:p>
        </w:tc>
      </w:tr>
      <w:tr>
        <w:tc>
          <w:tcPr>
            <w:tcW w:w="3231" w:type="dxa"/>
          </w:tcPr>
          <w:p>
            <w:pPr>
              <w:pStyle w:val="0"/>
            </w:pPr>
            <w:r>
              <w:rPr>
                <w:sz w:val="20"/>
              </w:rPr>
              <w:t xml:space="preserve">БУ "Октябрьская районная больница"</w:t>
            </w:r>
          </w:p>
        </w:tc>
        <w:tc>
          <w:tcPr>
            <w:tcW w:w="2029" w:type="dxa"/>
          </w:tcPr>
          <w:p>
            <w:pPr>
              <w:pStyle w:val="0"/>
            </w:pPr>
            <w:r>
              <w:rPr>
                <w:sz w:val="20"/>
              </w:rPr>
              <w:t xml:space="preserve">1</w:t>
            </w:r>
          </w:p>
        </w:tc>
        <w:tc>
          <w:tcPr>
            <w:tcW w:w="1864" w:type="dxa"/>
          </w:tcPr>
          <w:p>
            <w:pPr>
              <w:pStyle w:val="0"/>
            </w:pPr>
            <w:r>
              <w:rPr>
                <w:sz w:val="20"/>
              </w:rPr>
              <w:t xml:space="preserve">80</w:t>
            </w:r>
          </w:p>
        </w:tc>
        <w:tc>
          <w:tcPr>
            <w:tcW w:w="1894" w:type="dxa"/>
          </w:tcPr>
          <w:p>
            <w:pPr>
              <w:pStyle w:val="0"/>
            </w:pPr>
            <w:r>
              <w:rPr>
                <w:sz w:val="20"/>
              </w:rPr>
              <w:t xml:space="preserve">0</w:t>
            </w:r>
          </w:p>
        </w:tc>
      </w:tr>
    </w:tbl>
    <w:p>
      <w:pPr>
        <w:pStyle w:val="0"/>
        <w:ind w:firstLine="540"/>
        <w:jc w:val="both"/>
      </w:pPr>
      <w:r>
        <w:rPr>
          <w:sz w:val="20"/>
        </w:rPr>
      </w:r>
    </w:p>
    <w:p>
      <w:pPr>
        <w:pStyle w:val="0"/>
        <w:ind w:firstLine="540"/>
        <w:jc w:val="both"/>
      </w:pPr>
      <w:r>
        <w:rPr>
          <w:sz w:val="20"/>
        </w:rPr>
        <w:t xml:space="preserve">--------------------------------</w:t>
      </w:r>
    </w:p>
    <w:bookmarkStart w:id="16142" w:name="P16142"/>
    <w:bookmarkEnd w:id="16142"/>
    <w:p>
      <w:pPr>
        <w:pStyle w:val="0"/>
        <w:spacing w:before="200" w:line-rule="auto"/>
        <w:ind w:firstLine="540"/>
        <w:jc w:val="both"/>
      </w:pPr>
      <w:r>
        <w:rPr>
          <w:sz w:val="20"/>
        </w:rPr>
        <w:t xml:space="preserve">&lt;*&gt; Имеются 72 нейрохирургические койки для лечения пациентов с острыми формами нарушения мозгового кровообращения.</w:t>
      </w:r>
    </w:p>
    <w:p>
      <w:pPr>
        <w:pStyle w:val="0"/>
        <w:ind w:firstLine="540"/>
        <w:jc w:val="both"/>
      </w:pPr>
      <w:r>
        <w:rPr>
          <w:sz w:val="20"/>
        </w:rPr>
      </w:r>
    </w:p>
    <w:p>
      <w:pPr>
        <w:pStyle w:val="0"/>
        <w:ind w:firstLine="540"/>
        <w:jc w:val="both"/>
      </w:pPr>
      <w:r>
        <w:rPr>
          <w:sz w:val="20"/>
        </w:rPr>
        <w:t xml:space="preserve">В 2022 году кардиологический коечный фонд автономного округа увеличился на 37 коек и составил 447 коек. Данная динамика связана с решением Депздрава Югры о целесообразности концентрации оказания специализированной, в том числе высокотехнологичной, медицинской помощи больным с БСК в специализированных учреждениях 3 уровня, что позволяет:</w:t>
      </w:r>
    </w:p>
    <w:p>
      <w:pPr>
        <w:pStyle w:val="0"/>
        <w:spacing w:before="200" w:line-rule="auto"/>
        <w:ind w:firstLine="540"/>
        <w:jc w:val="both"/>
      </w:pPr>
      <w:r>
        <w:rPr>
          <w:sz w:val="20"/>
        </w:rPr>
        <w:t xml:space="preserve">рационально использовать ресурсы системы здравоохранения,</w:t>
      </w:r>
    </w:p>
    <w:p>
      <w:pPr>
        <w:pStyle w:val="0"/>
        <w:spacing w:before="200" w:line-rule="auto"/>
        <w:ind w:firstLine="540"/>
        <w:jc w:val="both"/>
      </w:pPr>
      <w:r>
        <w:rPr>
          <w:sz w:val="20"/>
        </w:rPr>
        <w:t xml:space="preserve">обеспечивать высокое качество оказания медицинской помощи,</w:t>
      </w:r>
    </w:p>
    <w:p>
      <w:pPr>
        <w:pStyle w:val="0"/>
        <w:spacing w:before="200" w:line-rule="auto"/>
        <w:ind w:firstLine="540"/>
        <w:jc w:val="both"/>
      </w:pPr>
      <w:r>
        <w:rPr>
          <w:sz w:val="20"/>
        </w:rPr>
        <w:t xml:space="preserve">осуществлять полный цикл лечения пациентов, включая отбор на ВМП, предоперационную подготовку, хирургическое лечение и кардиореабилитацию.</w:t>
      </w:r>
    </w:p>
    <w:p>
      <w:pPr>
        <w:pStyle w:val="0"/>
        <w:spacing w:before="200" w:line-rule="auto"/>
        <w:ind w:firstLine="540"/>
        <w:jc w:val="both"/>
      </w:pPr>
      <w:r>
        <w:rPr>
          <w:sz w:val="20"/>
        </w:rPr>
        <w:t xml:space="preserve">В 2022 году приказами Депздрава Югры увеличено число кардиологических коек в БУ "Окружной кардиологический диспансер "Центр диагностики и сердечно-сосудистой хирургии" на 10, БУ "Окружная клиническая больница" на 5 коек, БУ "Нижневартовская окружная клиническая больница" на 17 коек, БУ "Нефтеюганская окружная клиническая больница им. Яцкив" на 10 коек, БУ "Когалымская городская больница" на 5 коек, установлены 4 койки в БУ "Кондинская районная больница", уменьшено в БУ "Мегионская городская больница" с 20 до 15 в связи с перенаправлением потока пациентов в БУ "Нижневартовская окружная клиническая больница".</w:t>
      </w:r>
    </w:p>
    <w:p>
      <w:pPr>
        <w:pStyle w:val="0"/>
        <w:spacing w:before="200" w:line-rule="auto"/>
        <w:ind w:firstLine="540"/>
        <w:jc w:val="both"/>
      </w:pPr>
      <w:r>
        <w:rPr>
          <w:sz w:val="20"/>
        </w:rPr>
        <w:t xml:space="preserve">В схемах маршрутизации пациентов с ОКС участвуют 4 РСЦ и 12 ПСО.</w:t>
      </w:r>
    </w:p>
    <w:p>
      <w:pPr>
        <w:pStyle w:val="0"/>
        <w:jc w:val="right"/>
      </w:pPr>
      <w:r>
        <w:rPr>
          <w:sz w:val="20"/>
        </w:rPr>
      </w:r>
    </w:p>
    <w:p>
      <w:pPr>
        <w:pStyle w:val="0"/>
        <w:jc w:val="right"/>
      </w:pPr>
      <w:r>
        <w:rPr>
          <w:sz w:val="20"/>
        </w:rPr>
        <w:t xml:space="preserve">Рисунок 12</w:t>
      </w:r>
    </w:p>
    <w:p>
      <w:pPr>
        <w:pStyle w:val="0"/>
        <w:jc w:val="right"/>
      </w:pPr>
      <w:r>
        <w:rPr>
          <w:sz w:val="20"/>
        </w:rPr>
      </w:r>
    </w:p>
    <w:p>
      <w:pPr>
        <w:pStyle w:val="0"/>
        <w:jc w:val="center"/>
      </w:pPr>
      <w:r>
        <w:rPr>
          <w:sz w:val="20"/>
        </w:rPr>
        <w:t xml:space="preserve">Маршрутизация пациентов с ОКС по автономному округу</w:t>
      </w:r>
    </w:p>
    <w:p>
      <w:pPr>
        <w:pStyle w:val="0"/>
        <w:jc w:val="center"/>
      </w:pPr>
      <w:r>
        <w:rPr>
          <w:sz w:val="20"/>
        </w:rPr>
      </w:r>
    </w:p>
    <w:p>
      <w:pPr>
        <w:pStyle w:val="0"/>
        <w:jc w:val="center"/>
      </w:pPr>
      <w:r>
        <w:rPr>
          <w:position w:val="-236"/>
        </w:rPr>
        <w:drawing>
          <wp:inline distT="0" distB="0" distL="0" distR="0">
            <wp:extent cx="5632450" cy="31267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5632450" cy="3126740"/>
                    </a:xfrm>
                    <a:prstGeom prst="rect">
                      <a:avLst/>
                    </a:prstGeom>
                    <a:noFill/>
                    <a:ln>
                      <a:noFill/>
                    </a:ln>
                  </pic:spPr>
                </pic:pic>
              </a:graphicData>
            </a:graphic>
          </wp:inline>
        </w:drawing>
      </w:r>
    </w:p>
    <w:p>
      <w:pPr>
        <w:pStyle w:val="0"/>
        <w:jc w:val="right"/>
      </w:pPr>
      <w:r>
        <w:rPr>
          <w:sz w:val="20"/>
        </w:rPr>
      </w:r>
    </w:p>
    <w:p>
      <w:pPr>
        <w:pStyle w:val="0"/>
        <w:jc w:val="right"/>
      </w:pPr>
      <w:r>
        <w:rPr>
          <w:sz w:val="20"/>
        </w:rPr>
        <w:t xml:space="preserve">Таблица 30</w:t>
      </w:r>
    </w:p>
    <w:p>
      <w:pPr>
        <w:pStyle w:val="0"/>
        <w:jc w:val="right"/>
      </w:pPr>
      <w:r>
        <w:rPr>
          <w:sz w:val="20"/>
        </w:rPr>
      </w:r>
    </w:p>
    <w:p>
      <w:pPr>
        <w:pStyle w:val="0"/>
        <w:jc w:val="center"/>
      </w:pPr>
      <w:r>
        <w:rPr>
          <w:sz w:val="20"/>
        </w:rPr>
        <w:t xml:space="preserve">Схема маршрутизации пациентов с ОКС по автономному округу</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99"/>
        <w:gridCol w:w="1744"/>
        <w:gridCol w:w="2494"/>
        <w:gridCol w:w="1279"/>
        <w:gridCol w:w="574"/>
        <w:gridCol w:w="589"/>
      </w:tblGrid>
      <w:tr>
        <w:tc>
          <w:tcPr>
            <w:tcW w:w="2299" w:type="dxa"/>
            <w:vMerge w:val="restart"/>
          </w:tcPr>
          <w:p>
            <w:pPr>
              <w:pStyle w:val="0"/>
              <w:jc w:val="center"/>
            </w:pPr>
            <w:r>
              <w:rPr>
                <w:sz w:val="20"/>
              </w:rPr>
              <w:t xml:space="preserve">Региональные сосудистые центры</w:t>
            </w:r>
          </w:p>
        </w:tc>
        <w:tc>
          <w:tcPr>
            <w:tcW w:w="1744" w:type="dxa"/>
            <w:vMerge w:val="restart"/>
          </w:tcPr>
          <w:p>
            <w:pPr>
              <w:pStyle w:val="0"/>
              <w:jc w:val="center"/>
            </w:pPr>
            <w:r>
              <w:rPr>
                <w:sz w:val="20"/>
              </w:rPr>
              <w:t xml:space="preserve">Первичные сосудистые отделения</w:t>
            </w:r>
          </w:p>
        </w:tc>
        <w:tc>
          <w:tcPr>
            <w:tcW w:w="2494" w:type="dxa"/>
            <w:vMerge w:val="restart"/>
          </w:tcPr>
          <w:p>
            <w:pPr>
              <w:pStyle w:val="0"/>
              <w:jc w:val="center"/>
            </w:pPr>
            <w:r>
              <w:rPr>
                <w:sz w:val="20"/>
              </w:rPr>
              <w:t xml:space="preserve">Прикрепленные территории</w:t>
            </w:r>
          </w:p>
        </w:tc>
        <w:tc>
          <w:tcPr>
            <w:tcW w:w="1279" w:type="dxa"/>
            <w:vMerge w:val="restart"/>
          </w:tcPr>
          <w:p>
            <w:pPr>
              <w:pStyle w:val="0"/>
              <w:jc w:val="center"/>
            </w:pPr>
            <w:r>
              <w:rPr>
                <w:sz w:val="20"/>
              </w:rPr>
              <w:t xml:space="preserve">Расстояние до РСЦ</w:t>
            </w:r>
          </w:p>
        </w:tc>
        <w:tc>
          <w:tcPr>
            <w:gridSpan w:val="2"/>
            <w:tcW w:w="1163" w:type="dxa"/>
          </w:tcPr>
          <w:p>
            <w:pPr>
              <w:pStyle w:val="0"/>
              <w:jc w:val="center"/>
            </w:pPr>
            <w:r>
              <w:rPr>
                <w:sz w:val="20"/>
              </w:rPr>
              <w:t xml:space="preserve">Время доставки (ч.)</w:t>
            </w:r>
          </w:p>
        </w:tc>
      </w:tr>
      <w:tr>
        <w:tc>
          <w:tcPr>
            <w:vMerge w:val="continue"/>
          </w:tcPr>
          <w:p/>
        </w:tc>
        <w:tc>
          <w:tcPr>
            <w:vMerge w:val="continue"/>
          </w:tcPr>
          <w:p/>
        </w:tc>
        <w:tc>
          <w:tcPr>
            <w:vMerge w:val="continue"/>
          </w:tcPr>
          <w:p/>
        </w:tc>
        <w:tc>
          <w:tcPr>
            <w:vMerge w:val="continue"/>
          </w:tcPr>
          <w:p/>
        </w:tc>
        <w:tc>
          <w:tcPr>
            <w:tcW w:w="574" w:type="dxa"/>
          </w:tcPr>
          <w:p>
            <w:pPr>
              <w:pStyle w:val="0"/>
              <w:jc w:val="center"/>
            </w:pPr>
            <w:r>
              <w:rPr>
                <w:sz w:val="20"/>
              </w:rPr>
              <w:t xml:space="preserve">авто</w:t>
            </w:r>
          </w:p>
        </w:tc>
        <w:tc>
          <w:tcPr>
            <w:tcW w:w="589" w:type="dxa"/>
          </w:tcPr>
          <w:p>
            <w:pPr>
              <w:pStyle w:val="0"/>
              <w:jc w:val="center"/>
            </w:pPr>
            <w:r>
              <w:rPr>
                <w:sz w:val="20"/>
              </w:rPr>
              <w:t xml:space="preserve">авиа</w:t>
            </w:r>
          </w:p>
        </w:tc>
      </w:tr>
      <w:tr>
        <w:tc>
          <w:tcPr>
            <w:tcW w:w="2299" w:type="dxa"/>
            <w:vMerge w:val="restart"/>
          </w:tcPr>
          <w:p>
            <w:pPr>
              <w:pStyle w:val="0"/>
            </w:pPr>
            <w:r>
              <w:rPr>
                <w:sz w:val="20"/>
              </w:rPr>
              <w:t xml:space="preserve">РСЦ N 1</w:t>
            </w:r>
          </w:p>
          <w:p>
            <w:pPr>
              <w:pStyle w:val="0"/>
            </w:pPr>
            <w:r>
              <w:rPr>
                <w:sz w:val="20"/>
              </w:rPr>
              <w:t xml:space="preserve">БУ "Окружной кардиологический диспансер "Центр диагностики и сердечно-сосудистой хирургии"</w:t>
            </w:r>
          </w:p>
        </w:tc>
        <w:tc>
          <w:tcPr>
            <w:tcW w:w="1744" w:type="dxa"/>
            <w:vMerge w:val="restart"/>
          </w:tcPr>
          <w:p>
            <w:pPr>
              <w:pStyle w:val="0"/>
            </w:pPr>
            <w:r>
              <w:rPr>
                <w:sz w:val="20"/>
              </w:rPr>
            </w:r>
          </w:p>
        </w:tc>
        <w:tc>
          <w:tcPr>
            <w:tcW w:w="2494" w:type="dxa"/>
          </w:tcPr>
          <w:p>
            <w:pPr>
              <w:pStyle w:val="0"/>
            </w:pPr>
            <w:r>
              <w:rPr>
                <w:sz w:val="20"/>
              </w:rPr>
              <w:t xml:space="preserve">г. Сургут</w:t>
            </w:r>
          </w:p>
        </w:tc>
        <w:tc>
          <w:tcPr>
            <w:tcW w:w="1279" w:type="dxa"/>
          </w:tcPr>
          <w:p>
            <w:pPr>
              <w:pStyle w:val="0"/>
            </w:pPr>
            <w:r>
              <w:rPr>
                <w:sz w:val="20"/>
              </w:rPr>
            </w:r>
          </w:p>
        </w:tc>
        <w:tc>
          <w:tcPr>
            <w:tcW w:w="574" w:type="dxa"/>
          </w:tcPr>
          <w:p>
            <w:pPr>
              <w:pStyle w:val="0"/>
            </w:pPr>
            <w:r>
              <w:rPr>
                <w:sz w:val="20"/>
              </w:rPr>
            </w:r>
          </w:p>
        </w:tc>
        <w:tc>
          <w:tcPr>
            <w:tcW w:w="589" w:type="dxa"/>
          </w:tcPr>
          <w:p>
            <w:pPr>
              <w:pStyle w:val="0"/>
            </w:pPr>
            <w:r>
              <w:rPr>
                <w:sz w:val="20"/>
              </w:rPr>
            </w:r>
          </w:p>
        </w:tc>
      </w:tr>
      <w:tr>
        <w:tc>
          <w:tcPr>
            <w:vMerge w:val="continue"/>
          </w:tcPr>
          <w:p/>
        </w:tc>
        <w:tc>
          <w:tcPr>
            <w:vMerge w:val="continue"/>
          </w:tcPr>
          <w:p/>
        </w:tc>
        <w:tc>
          <w:tcPr>
            <w:tcW w:w="2494" w:type="dxa"/>
          </w:tcPr>
          <w:p>
            <w:pPr>
              <w:pStyle w:val="0"/>
            </w:pPr>
            <w:r>
              <w:rPr>
                <w:sz w:val="20"/>
              </w:rPr>
              <w:t xml:space="preserve">г. Лянтор, Сургутский муниципальный район</w:t>
            </w:r>
          </w:p>
        </w:tc>
        <w:tc>
          <w:tcPr>
            <w:tcW w:w="1279" w:type="dxa"/>
          </w:tcPr>
          <w:p>
            <w:pPr>
              <w:pStyle w:val="0"/>
            </w:pPr>
            <w:r>
              <w:rPr>
                <w:sz w:val="20"/>
              </w:rPr>
              <w:t xml:space="preserve">90 км</w:t>
            </w:r>
          </w:p>
        </w:tc>
        <w:tc>
          <w:tcPr>
            <w:tcW w:w="574" w:type="dxa"/>
          </w:tcPr>
          <w:p>
            <w:pPr>
              <w:pStyle w:val="0"/>
            </w:pPr>
            <w:r>
              <w:rPr>
                <w:sz w:val="20"/>
              </w:rPr>
              <w:t xml:space="preserve">1:30</w:t>
            </w:r>
          </w:p>
        </w:tc>
        <w:tc>
          <w:tcPr>
            <w:tcW w:w="589" w:type="dxa"/>
          </w:tcPr>
          <w:p>
            <w:pPr>
              <w:pStyle w:val="0"/>
            </w:pPr>
            <w:r>
              <w:rPr>
                <w:sz w:val="20"/>
              </w:rPr>
              <w:t xml:space="preserve">-</w:t>
            </w:r>
          </w:p>
        </w:tc>
      </w:tr>
      <w:tr>
        <w:tc>
          <w:tcPr>
            <w:vMerge w:val="continue"/>
          </w:tcPr>
          <w:p/>
        </w:tc>
        <w:tc>
          <w:tcPr>
            <w:vMerge w:val="continue"/>
          </w:tcPr>
          <w:p/>
        </w:tc>
        <w:tc>
          <w:tcPr>
            <w:tcW w:w="2494" w:type="dxa"/>
          </w:tcPr>
          <w:p>
            <w:pPr>
              <w:pStyle w:val="0"/>
            </w:pPr>
            <w:r>
              <w:rPr>
                <w:sz w:val="20"/>
              </w:rPr>
              <w:t xml:space="preserve">г. Лангепас</w:t>
            </w:r>
          </w:p>
        </w:tc>
        <w:tc>
          <w:tcPr>
            <w:tcW w:w="1279" w:type="dxa"/>
          </w:tcPr>
          <w:p>
            <w:pPr>
              <w:pStyle w:val="0"/>
            </w:pPr>
            <w:r>
              <w:rPr>
                <w:sz w:val="20"/>
              </w:rPr>
              <w:t xml:space="preserve">130 км</w:t>
            </w:r>
          </w:p>
        </w:tc>
        <w:tc>
          <w:tcPr>
            <w:tcW w:w="574" w:type="dxa"/>
          </w:tcPr>
          <w:p>
            <w:pPr>
              <w:pStyle w:val="0"/>
            </w:pPr>
            <w:r>
              <w:rPr>
                <w:sz w:val="20"/>
              </w:rPr>
              <w:t xml:space="preserve">2:00</w:t>
            </w:r>
          </w:p>
        </w:tc>
        <w:tc>
          <w:tcPr>
            <w:tcW w:w="589" w:type="dxa"/>
          </w:tcPr>
          <w:p>
            <w:pPr>
              <w:pStyle w:val="0"/>
            </w:pPr>
            <w:r>
              <w:rPr>
                <w:sz w:val="20"/>
              </w:rPr>
              <w:t xml:space="preserve">-</w:t>
            </w:r>
          </w:p>
        </w:tc>
      </w:tr>
      <w:tr>
        <w:tc>
          <w:tcPr>
            <w:vMerge w:val="continue"/>
          </w:tcPr>
          <w:p/>
        </w:tc>
        <w:tc>
          <w:tcPr>
            <w:vMerge w:val="continue"/>
          </w:tcPr>
          <w:p/>
        </w:tc>
        <w:tc>
          <w:tcPr>
            <w:tcW w:w="2494" w:type="dxa"/>
          </w:tcPr>
          <w:p>
            <w:pPr>
              <w:pStyle w:val="0"/>
            </w:pPr>
            <w:r>
              <w:rPr>
                <w:sz w:val="20"/>
              </w:rPr>
              <w:t xml:space="preserve">г. Покачи</w:t>
            </w:r>
          </w:p>
        </w:tc>
        <w:tc>
          <w:tcPr>
            <w:tcW w:w="1279" w:type="dxa"/>
          </w:tcPr>
          <w:p>
            <w:pPr>
              <w:pStyle w:val="0"/>
            </w:pPr>
            <w:r>
              <w:rPr>
                <w:sz w:val="20"/>
              </w:rPr>
              <w:t xml:space="preserve">190 км</w:t>
            </w:r>
          </w:p>
        </w:tc>
        <w:tc>
          <w:tcPr>
            <w:tcW w:w="574" w:type="dxa"/>
          </w:tcPr>
          <w:p>
            <w:pPr>
              <w:pStyle w:val="0"/>
            </w:pPr>
            <w:r>
              <w:rPr>
                <w:sz w:val="20"/>
              </w:rPr>
              <w:t xml:space="preserve">2:30</w:t>
            </w:r>
          </w:p>
        </w:tc>
        <w:tc>
          <w:tcPr>
            <w:tcW w:w="589" w:type="dxa"/>
          </w:tcPr>
          <w:p>
            <w:pPr>
              <w:pStyle w:val="0"/>
            </w:pPr>
            <w:r>
              <w:rPr>
                <w:sz w:val="20"/>
              </w:rPr>
              <w:t xml:space="preserve">-</w:t>
            </w:r>
          </w:p>
        </w:tc>
      </w:tr>
      <w:tr>
        <w:tc>
          <w:tcPr>
            <w:vMerge w:val="continue"/>
          </w:tcPr>
          <w:p/>
        </w:tc>
        <w:tc>
          <w:tcPr>
            <w:tcW w:w="1744" w:type="dxa"/>
            <w:vMerge w:val="restart"/>
          </w:tcPr>
          <w:p>
            <w:pPr>
              <w:pStyle w:val="0"/>
            </w:pPr>
            <w:r>
              <w:rPr>
                <w:sz w:val="20"/>
              </w:rPr>
              <w:t xml:space="preserve">БУ "Нефтеюганская окружная клиническая больница им. Яцкив"</w:t>
            </w:r>
          </w:p>
        </w:tc>
        <w:tc>
          <w:tcPr>
            <w:tcW w:w="2494" w:type="dxa"/>
          </w:tcPr>
          <w:p>
            <w:pPr>
              <w:pStyle w:val="0"/>
            </w:pPr>
            <w:r>
              <w:rPr>
                <w:sz w:val="20"/>
              </w:rPr>
              <w:t xml:space="preserve">г. Нефтеюганск</w:t>
            </w:r>
          </w:p>
        </w:tc>
        <w:tc>
          <w:tcPr>
            <w:tcW w:w="1279" w:type="dxa"/>
          </w:tcPr>
          <w:p>
            <w:pPr>
              <w:pStyle w:val="0"/>
            </w:pPr>
            <w:r>
              <w:rPr>
                <w:sz w:val="20"/>
              </w:rPr>
              <w:t xml:space="preserve">60 км</w:t>
            </w:r>
          </w:p>
        </w:tc>
        <w:tc>
          <w:tcPr>
            <w:tcW w:w="574" w:type="dxa"/>
          </w:tcPr>
          <w:p>
            <w:pPr>
              <w:pStyle w:val="0"/>
            </w:pPr>
            <w:r>
              <w:rPr>
                <w:sz w:val="20"/>
              </w:rPr>
              <w:t xml:space="preserve">1:00</w:t>
            </w:r>
          </w:p>
        </w:tc>
        <w:tc>
          <w:tcPr>
            <w:tcW w:w="589" w:type="dxa"/>
          </w:tcPr>
          <w:p>
            <w:pPr>
              <w:pStyle w:val="0"/>
            </w:pPr>
            <w:r>
              <w:rPr>
                <w:sz w:val="20"/>
              </w:rPr>
              <w:t xml:space="preserve">-</w:t>
            </w:r>
          </w:p>
        </w:tc>
      </w:tr>
      <w:tr>
        <w:tc>
          <w:tcPr>
            <w:vMerge w:val="continue"/>
          </w:tcPr>
          <w:p/>
        </w:tc>
        <w:tc>
          <w:tcPr>
            <w:vMerge w:val="continue"/>
          </w:tcPr>
          <w:p/>
        </w:tc>
        <w:tc>
          <w:tcPr>
            <w:tcW w:w="2494" w:type="dxa"/>
          </w:tcPr>
          <w:p>
            <w:pPr>
              <w:pStyle w:val="0"/>
            </w:pPr>
            <w:r>
              <w:rPr>
                <w:sz w:val="20"/>
              </w:rPr>
              <w:t xml:space="preserve">Нефтеюганский муниципальный район (кроме п. Салым, п. Сентябрьский)</w:t>
            </w:r>
          </w:p>
        </w:tc>
        <w:tc>
          <w:tcPr>
            <w:tcW w:w="1279" w:type="dxa"/>
          </w:tcPr>
          <w:p>
            <w:pPr>
              <w:pStyle w:val="0"/>
            </w:pPr>
            <w:r>
              <w:rPr>
                <w:sz w:val="20"/>
              </w:rPr>
              <w:t xml:space="preserve">115 км</w:t>
            </w:r>
          </w:p>
        </w:tc>
        <w:tc>
          <w:tcPr>
            <w:tcW w:w="574" w:type="dxa"/>
          </w:tcPr>
          <w:p>
            <w:pPr>
              <w:pStyle w:val="0"/>
            </w:pPr>
            <w:r>
              <w:rPr>
                <w:sz w:val="20"/>
              </w:rPr>
              <w:t xml:space="preserve">1:40</w:t>
            </w:r>
          </w:p>
        </w:tc>
        <w:tc>
          <w:tcPr>
            <w:tcW w:w="589" w:type="dxa"/>
          </w:tcPr>
          <w:p>
            <w:pPr>
              <w:pStyle w:val="0"/>
            </w:pPr>
            <w:r>
              <w:rPr>
                <w:sz w:val="20"/>
              </w:rPr>
              <w:t xml:space="preserve">-</w:t>
            </w:r>
          </w:p>
        </w:tc>
      </w:tr>
      <w:tr>
        <w:tc>
          <w:tcPr>
            <w:vMerge w:val="continue"/>
          </w:tcPr>
          <w:p/>
        </w:tc>
        <w:tc>
          <w:tcPr>
            <w:tcW w:w="1744" w:type="dxa"/>
            <w:vMerge w:val="restart"/>
          </w:tcPr>
          <w:p>
            <w:pPr>
              <w:pStyle w:val="0"/>
            </w:pPr>
            <w:r>
              <w:rPr>
                <w:sz w:val="20"/>
              </w:rPr>
              <w:t xml:space="preserve">БУ "Пыть-Яхская окружная больница"</w:t>
            </w:r>
          </w:p>
        </w:tc>
        <w:tc>
          <w:tcPr>
            <w:tcW w:w="2494" w:type="dxa"/>
          </w:tcPr>
          <w:p>
            <w:pPr>
              <w:pStyle w:val="0"/>
            </w:pPr>
            <w:r>
              <w:rPr>
                <w:sz w:val="20"/>
              </w:rPr>
              <w:t xml:space="preserve">г. Пыть-Ях</w:t>
            </w:r>
          </w:p>
        </w:tc>
        <w:tc>
          <w:tcPr>
            <w:tcW w:w="1279" w:type="dxa"/>
          </w:tcPr>
          <w:p>
            <w:pPr>
              <w:pStyle w:val="0"/>
            </w:pPr>
            <w:r>
              <w:rPr>
                <w:sz w:val="20"/>
              </w:rPr>
              <w:t xml:space="preserve">120 км</w:t>
            </w:r>
          </w:p>
        </w:tc>
        <w:tc>
          <w:tcPr>
            <w:tcW w:w="574" w:type="dxa"/>
          </w:tcPr>
          <w:p>
            <w:pPr>
              <w:pStyle w:val="0"/>
            </w:pPr>
            <w:r>
              <w:rPr>
                <w:sz w:val="20"/>
              </w:rPr>
              <w:t xml:space="preserve">2:00</w:t>
            </w:r>
          </w:p>
        </w:tc>
        <w:tc>
          <w:tcPr>
            <w:tcW w:w="589" w:type="dxa"/>
          </w:tcPr>
          <w:p>
            <w:pPr>
              <w:pStyle w:val="0"/>
            </w:pPr>
            <w:r>
              <w:rPr>
                <w:sz w:val="20"/>
              </w:rPr>
              <w:t xml:space="preserve">-</w:t>
            </w:r>
          </w:p>
        </w:tc>
      </w:tr>
      <w:tr>
        <w:tc>
          <w:tcPr>
            <w:vMerge w:val="continue"/>
          </w:tcPr>
          <w:p/>
        </w:tc>
        <w:tc>
          <w:tcPr>
            <w:vMerge w:val="continue"/>
          </w:tcPr>
          <w:p/>
        </w:tc>
        <w:tc>
          <w:tcPr>
            <w:tcW w:w="2494" w:type="dxa"/>
          </w:tcPr>
          <w:p>
            <w:pPr>
              <w:pStyle w:val="0"/>
            </w:pPr>
            <w:r>
              <w:rPr>
                <w:sz w:val="20"/>
              </w:rPr>
              <w:t xml:space="preserve">п. Салым, Нефтеюганский муниципальный район</w:t>
            </w:r>
          </w:p>
        </w:tc>
        <w:tc>
          <w:tcPr>
            <w:tcW w:w="1279" w:type="dxa"/>
          </w:tcPr>
          <w:p>
            <w:pPr>
              <w:pStyle w:val="0"/>
            </w:pPr>
            <w:r>
              <w:rPr>
                <w:sz w:val="20"/>
              </w:rPr>
              <w:t xml:space="preserve">220 км</w:t>
            </w:r>
          </w:p>
        </w:tc>
        <w:tc>
          <w:tcPr>
            <w:tcW w:w="574" w:type="dxa"/>
          </w:tcPr>
          <w:p>
            <w:pPr>
              <w:pStyle w:val="0"/>
            </w:pPr>
            <w:r>
              <w:rPr>
                <w:sz w:val="20"/>
              </w:rPr>
              <w:t xml:space="preserve">3:00</w:t>
            </w:r>
          </w:p>
        </w:tc>
        <w:tc>
          <w:tcPr>
            <w:tcW w:w="589" w:type="dxa"/>
          </w:tcPr>
          <w:p>
            <w:pPr>
              <w:pStyle w:val="0"/>
            </w:pPr>
            <w:r>
              <w:rPr>
                <w:sz w:val="20"/>
              </w:rPr>
              <w:t xml:space="preserve">-</w:t>
            </w:r>
          </w:p>
        </w:tc>
      </w:tr>
      <w:tr>
        <w:tc>
          <w:tcPr>
            <w:vMerge w:val="continue"/>
          </w:tcPr>
          <w:p/>
        </w:tc>
        <w:tc>
          <w:tcPr>
            <w:vMerge w:val="continue"/>
          </w:tcPr>
          <w:p/>
        </w:tc>
        <w:tc>
          <w:tcPr>
            <w:tcW w:w="2494" w:type="dxa"/>
          </w:tcPr>
          <w:p>
            <w:pPr>
              <w:pStyle w:val="0"/>
            </w:pPr>
            <w:r>
              <w:rPr>
                <w:sz w:val="20"/>
              </w:rPr>
              <w:t xml:space="preserve">п. Сентябрьский Нефтеюганский муниципальный район</w:t>
            </w:r>
          </w:p>
        </w:tc>
        <w:tc>
          <w:tcPr>
            <w:tcW w:w="1279" w:type="dxa"/>
          </w:tcPr>
          <w:p>
            <w:pPr>
              <w:pStyle w:val="0"/>
            </w:pPr>
            <w:r>
              <w:rPr>
                <w:sz w:val="20"/>
              </w:rPr>
              <w:t xml:space="preserve">150 км</w:t>
            </w:r>
          </w:p>
        </w:tc>
        <w:tc>
          <w:tcPr>
            <w:tcW w:w="574" w:type="dxa"/>
          </w:tcPr>
          <w:p>
            <w:pPr>
              <w:pStyle w:val="0"/>
            </w:pPr>
            <w:r>
              <w:rPr>
                <w:sz w:val="20"/>
              </w:rPr>
              <w:t xml:space="preserve">2:00</w:t>
            </w:r>
          </w:p>
        </w:tc>
        <w:tc>
          <w:tcPr>
            <w:tcW w:w="589" w:type="dxa"/>
          </w:tcPr>
          <w:p>
            <w:pPr>
              <w:pStyle w:val="0"/>
            </w:pPr>
            <w:r>
              <w:rPr>
                <w:sz w:val="20"/>
              </w:rPr>
              <w:t xml:space="preserve">-</w:t>
            </w:r>
          </w:p>
        </w:tc>
      </w:tr>
      <w:tr>
        <w:tc>
          <w:tcPr>
            <w:vMerge w:val="continue"/>
          </w:tcPr>
          <w:p/>
        </w:tc>
        <w:tc>
          <w:tcPr>
            <w:tcW w:w="1744" w:type="dxa"/>
          </w:tcPr>
          <w:p>
            <w:pPr>
              <w:pStyle w:val="0"/>
            </w:pPr>
            <w:r>
              <w:rPr>
                <w:sz w:val="20"/>
              </w:rPr>
              <w:t xml:space="preserve">БУ "Когалымская городская больница"</w:t>
            </w:r>
          </w:p>
        </w:tc>
        <w:tc>
          <w:tcPr>
            <w:tcW w:w="2494" w:type="dxa"/>
          </w:tcPr>
          <w:p>
            <w:pPr>
              <w:pStyle w:val="0"/>
            </w:pPr>
            <w:r>
              <w:rPr>
                <w:sz w:val="20"/>
              </w:rPr>
              <w:t xml:space="preserve">г. Когалым</w:t>
            </w:r>
          </w:p>
        </w:tc>
        <w:tc>
          <w:tcPr>
            <w:tcW w:w="1279" w:type="dxa"/>
          </w:tcPr>
          <w:p>
            <w:pPr>
              <w:pStyle w:val="0"/>
            </w:pPr>
            <w:r>
              <w:rPr>
                <w:sz w:val="20"/>
              </w:rPr>
              <w:t xml:space="preserve">180 км</w:t>
            </w:r>
          </w:p>
        </w:tc>
        <w:tc>
          <w:tcPr>
            <w:tcW w:w="574" w:type="dxa"/>
          </w:tcPr>
          <w:p>
            <w:pPr>
              <w:pStyle w:val="0"/>
            </w:pPr>
            <w:r>
              <w:rPr>
                <w:sz w:val="20"/>
              </w:rPr>
              <w:t xml:space="preserve">2:30</w:t>
            </w:r>
          </w:p>
        </w:tc>
        <w:tc>
          <w:tcPr>
            <w:tcW w:w="589" w:type="dxa"/>
          </w:tcPr>
          <w:p>
            <w:pPr>
              <w:pStyle w:val="0"/>
            </w:pPr>
            <w:r>
              <w:rPr>
                <w:sz w:val="20"/>
              </w:rPr>
              <w:t xml:space="preserve">-</w:t>
            </w:r>
          </w:p>
        </w:tc>
      </w:tr>
      <w:tr>
        <w:tc>
          <w:tcPr>
            <w:tcW w:w="2299" w:type="dxa"/>
            <w:vMerge w:val="restart"/>
          </w:tcPr>
          <w:p>
            <w:pPr>
              <w:pStyle w:val="0"/>
            </w:pPr>
            <w:r>
              <w:rPr>
                <w:sz w:val="20"/>
              </w:rPr>
              <w:t xml:space="preserve">РСЦ N 2</w:t>
            </w:r>
          </w:p>
          <w:p>
            <w:pPr>
              <w:pStyle w:val="0"/>
            </w:pPr>
            <w:r>
              <w:rPr>
                <w:sz w:val="20"/>
              </w:rPr>
              <w:t xml:space="preserve">БУ "Окружная клиническая больница"</w:t>
            </w:r>
          </w:p>
        </w:tc>
        <w:tc>
          <w:tcPr>
            <w:tcW w:w="1744" w:type="dxa"/>
            <w:vMerge w:val="restart"/>
          </w:tcPr>
          <w:p>
            <w:pPr>
              <w:pStyle w:val="0"/>
            </w:pPr>
            <w:r>
              <w:rPr>
                <w:sz w:val="20"/>
              </w:rPr>
            </w:r>
          </w:p>
        </w:tc>
        <w:tc>
          <w:tcPr>
            <w:tcW w:w="2494" w:type="dxa"/>
          </w:tcPr>
          <w:p>
            <w:pPr>
              <w:pStyle w:val="0"/>
            </w:pPr>
            <w:r>
              <w:rPr>
                <w:sz w:val="20"/>
              </w:rPr>
              <w:t xml:space="preserve">г. Ханты-Мансийск</w:t>
            </w:r>
          </w:p>
        </w:tc>
        <w:tc>
          <w:tcPr>
            <w:tcW w:w="1279" w:type="dxa"/>
          </w:tcPr>
          <w:p>
            <w:pPr>
              <w:pStyle w:val="0"/>
            </w:pPr>
            <w:r>
              <w:rPr>
                <w:sz w:val="20"/>
              </w:rPr>
            </w:r>
          </w:p>
        </w:tc>
        <w:tc>
          <w:tcPr>
            <w:tcW w:w="574" w:type="dxa"/>
          </w:tcPr>
          <w:p>
            <w:pPr>
              <w:pStyle w:val="0"/>
            </w:pPr>
            <w:r>
              <w:rPr>
                <w:sz w:val="20"/>
              </w:rPr>
            </w:r>
          </w:p>
        </w:tc>
        <w:tc>
          <w:tcPr>
            <w:tcW w:w="589" w:type="dxa"/>
          </w:tcPr>
          <w:p>
            <w:pPr>
              <w:pStyle w:val="0"/>
            </w:pPr>
            <w:r>
              <w:rPr>
                <w:sz w:val="20"/>
              </w:rPr>
            </w:r>
          </w:p>
        </w:tc>
      </w:tr>
      <w:tr>
        <w:tc>
          <w:tcPr>
            <w:vMerge w:val="continue"/>
          </w:tcPr>
          <w:p/>
        </w:tc>
        <w:tc>
          <w:tcPr>
            <w:vMerge w:val="continue"/>
          </w:tcPr>
          <w:p/>
        </w:tc>
        <w:tc>
          <w:tcPr>
            <w:tcW w:w="2494" w:type="dxa"/>
          </w:tcPr>
          <w:p>
            <w:pPr>
              <w:pStyle w:val="0"/>
            </w:pPr>
            <w:r>
              <w:rPr>
                <w:sz w:val="20"/>
              </w:rPr>
              <w:t xml:space="preserve">Ханты-Мансийский муниципальный район, п. Горноправдинск</w:t>
            </w:r>
          </w:p>
        </w:tc>
        <w:tc>
          <w:tcPr>
            <w:tcW w:w="1279" w:type="dxa"/>
          </w:tcPr>
          <w:p>
            <w:pPr>
              <w:pStyle w:val="0"/>
            </w:pPr>
            <w:r>
              <w:rPr>
                <w:sz w:val="20"/>
              </w:rPr>
              <w:t xml:space="preserve">150 км</w:t>
            </w:r>
          </w:p>
        </w:tc>
        <w:tc>
          <w:tcPr>
            <w:tcW w:w="574" w:type="dxa"/>
          </w:tcPr>
          <w:p>
            <w:pPr>
              <w:pStyle w:val="0"/>
            </w:pPr>
            <w:r>
              <w:rPr>
                <w:sz w:val="20"/>
              </w:rPr>
              <w:t xml:space="preserve">2:00</w:t>
            </w:r>
          </w:p>
        </w:tc>
        <w:tc>
          <w:tcPr>
            <w:tcW w:w="589" w:type="dxa"/>
          </w:tcPr>
          <w:p>
            <w:pPr>
              <w:pStyle w:val="0"/>
            </w:pPr>
            <w:r>
              <w:rPr>
                <w:sz w:val="20"/>
              </w:rPr>
              <w:t xml:space="preserve">-</w:t>
            </w:r>
          </w:p>
        </w:tc>
      </w:tr>
      <w:tr>
        <w:tc>
          <w:tcPr>
            <w:vMerge w:val="continue"/>
          </w:tcPr>
          <w:p/>
        </w:tc>
        <w:tc>
          <w:tcPr>
            <w:vMerge w:val="continue"/>
          </w:tcPr>
          <w:p/>
        </w:tc>
        <w:tc>
          <w:tcPr>
            <w:tcW w:w="2494" w:type="dxa"/>
          </w:tcPr>
          <w:p>
            <w:pPr>
              <w:pStyle w:val="0"/>
            </w:pPr>
            <w:r>
              <w:rPr>
                <w:sz w:val="20"/>
              </w:rPr>
              <w:t xml:space="preserve">Ханты-Мансийский муниципальный район, п. Луговской</w:t>
            </w:r>
          </w:p>
        </w:tc>
        <w:tc>
          <w:tcPr>
            <w:tcW w:w="1279" w:type="dxa"/>
          </w:tcPr>
          <w:p>
            <w:pPr>
              <w:pStyle w:val="0"/>
            </w:pPr>
            <w:r>
              <w:rPr>
                <w:sz w:val="20"/>
              </w:rPr>
              <w:t xml:space="preserve">41 км</w:t>
            </w:r>
          </w:p>
        </w:tc>
        <w:tc>
          <w:tcPr>
            <w:tcW w:w="574" w:type="dxa"/>
          </w:tcPr>
          <w:p>
            <w:pPr>
              <w:pStyle w:val="0"/>
            </w:pPr>
            <w:r>
              <w:rPr>
                <w:sz w:val="20"/>
              </w:rPr>
              <w:t xml:space="preserve">0:40</w:t>
            </w:r>
          </w:p>
        </w:tc>
        <w:tc>
          <w:tcPr>
            <w:tcW w:w="589" w:type="dxa"/>
          </w:tcPr>
          <w:p>
            <w:pPr>
              <w:pStyle w:val="0"/>
            </w:pPr>
            <w:r>
              <w:rPr>
                <w:sz w:val="20"/>
              </w:rPr>
              <w:t xml:space="preserve">-</w:t>
            </w:r>
          </w:p>
        </w:tc>
      </w:tr>
      <w:tr>
        <w:tc>
          <w:tcPr>
            <w:vMerge w:val="continue"/>
          </w:tcPr>
          <w:p/>
        </w:tc>
        <w:tc>
          <w:tcPr>
            <w:vMerge w:val="continue"/>
          </w:tcPr>
          <w:p/>
        </w:tc>
        <w:tc>
          <w:tcPr>
            <w:tcW w:w="2494" w:type="dxa"/>
          </w:tcPr>
          <w:p>
            <w:pPr>
              <w:pStyle w:val="0"/>
            </w:pPr>
            <w:r>
              <w:rPr>
                <w:sz w:val="20"/>
              </w:rPr>
              <w:t xml:space="preserve">Ханты-Мансийский муниципальный район, п. Кедровый</w:t>
            </w:r>
          </w:p>
        </w:tc>
        <w:tc>
          <w:tcPr>
            <w:tcW w:w="1279" w:type="dxa"/>
          </w:tcPr>
          <w:p>
            <w:pPr>
              <w:pStyle w:val="0"/>
            </w:pPr>
            <w:r>
              <w:rPr>
                <w:sz w:val="20"/>
              </w:rPr>
              <w:t xml:space="preserve">297 км</w:t>
            </w:r>
          </w:p>
        </w:tc>
        <w:tc>
          <w:tcPr>
            <w:tcW w:w="574" w:type="dxa"/>
          </w:tcPr>
          <w:p>
            <w:pPr>
              <w:pStyle w:val="0"/>
            </w:pPr>
            <w:r>
              <w:rPr>
                <w:sz w:val="20"/>
              </w:rPr>
              <w:t xml:space="preserve">4:00</w:t>
            </w:r>
          </w:p>
        </w:tc>
        <w:tc>
          <w:tcPr>
            <w:tcW w:w="589" w:type="dxa"/>
          </w:tcPr>
          <w:p>
            <w:pPr>
              <w:pStyle w:val="0"/>
            </w:pPr>
            <w:r>
              <w:rPr>
                <w:sz w:val="20"/>
              </w:rPr>
              <w:t xml:space="preserve">-</w:t>
            </w:r>
          </w:p>
        </w:tc>
      </w:tr>
      <w:tr>
        <w:tc>
          <w:tcPr>
            <w:vMerge w:val="continue"/>
          </w:tcPr>
          <w:p/>
        </w:tc>
        <w:tc>
          <w:tcPr>
            <w:vMerge w:val="continue"/>
          </w:tcPr>
          <w:p/>
        </w:tc>
        <w:tc>
          <w:tcPr>
            <w:tcW w:w="2494" w:type="dxa"/>
          </w:tcPr>
          <w:p>
            <w:pPr>
              <w:pStyle w:val="0"/>
            </w:pPr>
            <w:r>
              <w:rPr>
                <w:sz w:val="20"/>
              </w:rPr>
              <w:t xml:space="preserve">пгт. Игрим, Березовский муниципальный района</w:t>
            </w:r>
          </w:p>
        </w:tc>
        <w:tc>
          <w:tcPr>
            <w:tcW w:w="1279" w:type="dxa"/>
          </w:tcPr>
          <w:p>
            <w:pPr>
              <w:pStyle w:val="0"/>
            </w:pPr>
            <w:r>
              <w:rPr>
                <w:sz w:val="20"/>
              </w:rPr>
              <w:t xml:space="preserve">570 км</w:t>
            </w:r>
          </w:p>
        </w:tc>
        <w:tc>
          <w:tcPr>
            <w:tcW w:w="574" w:type="dxa"/>
          </w:tcPr>
          <w:p>
            <w:pPr>
              <w:pStyle w:val="0"/>
            </w:pPr>
            <w:r>
              <w:rPr>
                <w:sz w:val="20"/>
              </w:rPr>
              <w:t xml:space="preserve">8:40</w:t>
            </w:r>
          </w:p>
        </w:tc>
        <w:tc>
          <w:tcPr>
            <w:tcW w:w="589" w:type="dxa"/>
          </w:tcPr>
          <w:p>
            <w:pPr>
              <w:pStyle w:val="0"/>
            </w:pPr>
            <w:r>
              <w:rPr>
                <w:sz w:val="20"/>
              </w:rPr>
              <w:t xml:space="preserve">2:00</w:t>
            </w:r>
          </w:p>
        </w:tc>
      </w:tr>
      <w:tr>
        <w:tc>
          <w:tcPr>
            <w:vMerge w:val="continue"/>
          </w:tcPr>
          <w:p/>
        </w:tc>
        <w:tc>
          <w:tcPr>
            <w:tcW w:w="1744" w:type="dxa"/>
          </w:tcPr>
          <w:p>
            <w:pPr>
              <w:pStyle w:val="0"/>
            </w:pPr>
            <w:r>
              <w:rPr>
                <w:sz w:val="20"/>
              </w:rPr>
              <w:t xml:space="preserve">БУ "Белоярская районная больница"</w:t>
            </w:r>
          </w:p>
        </w:tc>
        <w:tc>
          <w:tcPr>
            <w:tcW w:w="2494" w:type="dxa"/>
          </w:tcPr>
          <w:p>
            <w:pPr>
              <w:pStyle w:val="0"/>
            </w:pPr>
            <w:r>
              <w:rPr>
                <w:sz w:val="20"/>
              </w:rPr>
              <w:t xml:space="preserve">Белоярский муниципальный район</w:t>
            </w:r>
          </w:p>
        </w:tc>
        <w:tc>
          <w:tcPr>
            <w:tcW w:w="1279" w:type="dxa"/>
          </w:tcPr>
          <w:p>
            <w:pPr>
              <w:pStyle w:val="0"/>
            </w:pPr>
            <w:r>
              <w:rPr>
                <w:sz w:val="20"/>
              </w:rPr>
              <w:t xml:space="preserve">570 км</w:t>
            </w:r>
          </w:p>
        </w:tc>
        <w:tc>
          <w:tcPr>
            <w:tcW w:w="574" w:type="dxa"/>
          </w:tcPr>
          <w:p>
            <w:pPr>
              <w:pStyle w:val="0"/>
            </w:pPr>
            <w:r>
              <w:rPr>
                <w:sz w:val="20"/>
              </w:rPr>
              <w:t xml:space="preserve">8:40</w:t>
            </w:r>
          </w:p>
        </w:tc>
        <w:tc>
          <w:tcPr>
            <w:tcW w:w="589" w:type="dxa"/>
          </w:tcPr>
          <w:p>
            <w:pPr>
              <w:pStyle w:val="0"/>
            </w:pPr>
            <w:r>
              <w:rPr>
                <w:sz w:val="20"/>
              </w:rPr>
              <w:t xml:space="preserve">2:00</w:t>
            </w:r>
          </w:p>
        </w:tc>
      </w:tr>
      <w:tr>
        <w:tc>
          <w:tcPr>
            <w:vMerge w:val="continue"/>
          </w:tcPr>
          <w:p/>
        </w:tc>
        <w:tc>
          <w:tcPr>
            <w:tcW w:w="1744" w:type="dxa"/>
          </w:tcPr>
          <w:p>
            <w:pPr>
              <w:pStyle w:val="0"/>
            </w:pPr>
            <w:r>
              <w:rPr>
                <w:sz w:val="20"/>
              </w:rPr>
              <w:t xml:space="preserve">БУ "Урайская городская больница"</w:t>
            </w:r>
          </w:p>
        </w:tc>
        <w:tc>
          <w:tcPr>
            <w:tcW w:w="2494" w:type="dxa"/>
          </w:tcPr>
          <w:p>
            <w:pPr>
              <w:pStyle w:val="0"/>
            </w:pPr>
            <w:r>
              <w:rPr>
                <w:sz w:val="20"/>
              </w:rPr>
              <w:t xml:space="preserve">г. Урай, Мулымская территория Кондинского муниципального района</w:t>
            </w:r>
          </w:p>
        </w:tc>
        <w:tc>
          <w:tcPr>
            <w:tcW w:w="1279" w:type="dxa"/>
          </w:tcPr>
          <w:p>
            <w:pPr>
              <w:pStyle w:val="0"/>
            </w:pPr>
            <w:r>
              <w:rPr>
                <w:sz w:val="20"/>
              </w:rPr>
              <w:t xml:space="preserve">430 км</w:t>
            </w:r>
          </w:p>
        </w:tc>
        <w:tc>
          <w:tcPr>
            <w:tcW w:w="574" w:type="dxa"/>
          </w:tcPr>
          <w:p>
            <w:pPr>
              <w:pStyle w:val="0"/>
            </w:pPr>
            <w:r>
              <w:rPr>
                <w:sz w:val="20"/>
              </w:rPr>
              <w:t xml:space="preserve">4:50</w:t>
            </w:r>
          </w:p>
        </w:tc>
        <w:tc>
          <w:tcPr>
            <w:tcW w:w="589" w:type="dxa"/>
          </w:tcPr>
          <w:p>
            <w:pPr>
              <w:pStyle w:val="0"/>
            </w:pPr>
            <w:r>
              <w:rPr>
                <w:sz w:val="20"/>
              </w:rPr>
              <w:t xml:space="preserve">1:40</w:t>
            </w:r>
          </w:p>
        </w:tc>
      </w:tr>
      <w:tr>
        <w:tc>
          <w:tcPr>
            <w:vMerge w:val="continue"/>
          </w:tcPr>
          <w:p/>
        </w:tc>
        <w:tc>
          <w:tcPr>
            <w:tcW w:w="1744" w:type="dxa"/>
          </w:tcPr>
          <w:p>
            <w:pPr>
              <w:pStyle w:val="0"/>
            </w:pPr>
            <w:r>
              <w:rPr>
                <w:sz w:val="20"/>
              </w:rPr>
              <w:t xml:space="preserve">БУ "Кондинская районная больница"</w:t>
            </w:r>
          </w:p>
        </w:tc>
        <w:tc>
          <w:tcPr>
            <w:tcW w:w="2494" w:type="dxa"/>
          </w:tcPr>
          <w:p>
            <w:pPr>
              <w:pStyle w:val="0"/>
            </w:pPr>
            <w:r>
              <w:rPr>
                <w:sz w:val="20"/>
              </w:rPr>
              <w:t xml:space="preserve">Кондинский муниципальный район (кроме Мулымской территории)</w:t>
            </w:r>
          </w:p>
        </w:tc>
        <w:tc>
          <w:tcPr>
            <w:tcW w:w="1279" w:type="dxa"/>
          </w:tcPr>
          <w:p>
            <w:pPr>
              <w:pStyle w:val="0"/>
            </w:pPr>
            <w:r>
              <w:rPr>
                <w:sz w:val="20"/>
              </w:rPr>
              <w:t xml:space="preserve">546 км</w:t>
            </w:r>
          </w:p>
        </w:tc>
        <w:tc>
          <w:tcPr>
            <w:tcW w:w="574" w:type="dxa"/>
          </w:tcPr>
          <w:p>
            <w:pPr>
              <w:pStyle w:val="0"/>
            </w:pPr>
            <w:r>
              <w:rPr>
                <w:sz w:val="20"/>
              </w:rPr>
              <w:t xml:space="preserve">6:50</w:t>
            </w:r>
          </w:p>
        </w:tc>
        <w:tc>
          <w:tcPr>
            <w:tcW w:w="589" w:type="dxa"/>
          </w:tcPr>
          <w:p>
            <w:pPr>
              <w:pStyle w:val="0"/>
            </w:pPr>
            <w:r>
              <w:rPr>
                <w:sz w:val="20"/>
              </w:rPr>
              <w:t xml:space="preserve">1:30</w:t>
            </w:r>
          </w:p>
        </w:tc>
      </w:tr>
      <w:tr>
        <w:tc>
          <w:tcPr>
            <w:tcW w:w="2299" w:type="dxa"/>
            <w:vMerge w:val="restart"/>
          </w:tcPr>
          <w:p>
            <w:pPr>
              <w:pStyle w:val="0"/>
            </w:pPr>
            <w:r>
              <w:rPr>
                <w:sz w:val="20"/>
              </w:rPr>
              <w:t xml:space="preserve">РСЦ N 3</w:t>
            </w:r>
          </w:p>
          <w:p>
            <w:pPr>
              <w:pStyle w:val="0"/>
            </w:pPr>
            <w:r>
              <w:rPr>
                <w:sz w:val="20"/>
              </w:rPr>
              <w:t xml:space="preserve">БУ "Няганская окружная больница"</w:t>
            </w:r>
          </w:p>
        </w:tc>
        <w:tc>
          <w:tcPr>
            <w:tcW w:w="1744" w:type="dxa"/>
            <w:vMerge w:val="restart"/>
          </w:tcPr>
          <w:p>
            <w:pPr>
              <w:pStyle w:val="0"/>
            </w:pPr>
            <w:r>
              <w:rPr>
                <w:sz w:val="20"/>
              </w:rPr>
            </w:r>
          </w:p>
        </w:tc>
        <w:tc>
          <w:tcPr>
            <w:tcW w:w="2494" w:type="dxa"/>
          </w:tcPr>
          <w:p>
            <w:pPr>
              <w:pStyle w:val="0"/>
            </w:pPr>
            <w:r>
              <w:rPr>
                <w:sz w:val="20"/>
              </w:rPr>
              <w:t xml:space="preserve">г. Нягань</w:t>
            </w:r>
          </w:p>
        </w:tc>
        <w:tc>
          <w:tcPr>
            <w:tcW w:w="1279" w:type="dxa"/>
          </w:tcPr>
          <w:p>
            <w:pPr>
              <w:pStyle w:val="0"/>
            </w:pPr>
            <w:r>
              <w:rPr>
                <w:sz w:val="20"/>
              </w:rPr>
            </w:r>
          </w:p>
        </w:tc>
        <w:tc>
          <w:tcPr>
            <w:tcW w:w="574" w:type="dxa"/>
          </w:tcPr>
          <w:p>
            <w:pPr>
              <w:pStyle w:val="0"/>
            </w:pPr>
            <w:r>
              <w:rPr>
                <w:sz w:val="20"/>
              </w:rPr>
            </w:r>
          </w:p>
        </w:tc>
        <w:tc>
          <w:tcPr>
            <w:tcW w:w="589" w:type="dxa"/>
          </w:tcPr>
          <w:p>
            <w:pPr>
              <w:pStyle w:val="0"/>
            </w:pPr>
            <w:r>
              <w:rPr>
                <w:sz w:val="20"/>
              </w:rPr>
            </w:r>
          </w:p>
        </w:tc>
      </w:tr>
      <w:tr>
        <w:tc>
          <w:tcPr>
            <w:vMerge w:val="continue"/>
          </w:tcPr>
          <w:p/>
        </w:tc>
        <w:tc>
          <w:tcPr>
            <w:vMerge w:val="continue"/>
          </w:tcPr>
          <w:p/>
        </w:tc>
        <w:tc>
          <w:tcPr>
            <w:tcW w:w="2494" w:type="dxa"/>
          </w:tcPr>
          <w:p>
            <w:pPr>
              <w:pStyle w:val="0"/>
            </w:pPr>
            <w:r>
              <w:rPr>
                <w:sz w:val="20"/>
              </w:rPr>
              <w:t xml:space="preserve">пгт. Пионерский, Советский муниципальный район</w:t>
            </w:r>
          </w:p>
        </w:tc>
        <w:tc>
          <w:tcPr>
            <w:tcW w:w="1279" w:type="dxa"/>
          </w:tcPr>
          <w:p>
            <w:pPr>
              <w:pStyle w:val="0"/>
            </w:pPr>
            <w:r>
              <w:rPr>
                <w:sz w:val="20"/>
              </w:rPr>
              <w:t xml:space="preserve">200 км</w:t>
            </w:r>
          </w:p>
        </w:tc>
        <w:tc>
          <w:tcPr>
            <w:tcW w:w="574" w:type="dxa"/>
          </w:tcPr>
          <w:p>
            <w:pPr>
              <w:pStyle w:val="0"/>
            </w:pPr>
            <w:r>
              <w:rPr>
                <w:sz w:val="20"/>
              </w:rPr>
              <w:t xml:space="preserve">3:30</w:t>
            </w:r>
          </w:p>
        </w:tc>
        <w:tc>
          <w:tcPr>
            <w:tcW w:w="589" w:type="dxa"/>
          </w:tcPr>
          <w:p>
            <w:pPr>
              <w:pStyle w:val="0"/>
            </w:pPr>
            <w:r>
              <w:rPr>
                <w:sz w:val="20"/>
              </w:rPr>
              <w:t xml:space="preserve">0:30</w:t>
            </w:r>
          </w:p>
        </w:tc>
      </w:tr>
      <w:tr>
        <w:tc>
          <w:tcPr>
            <w:vMerge w:val="continue"/>
          </w:tcPr>
          <w:p/>
        </w:tc>
        <w:tc>
          <w:tcPr>
            <w:vMerge w:val="continue"/>
          </w:tcPr>
          <w:p/>
        </w:tc>
        <w:tc>
          <w:tcPr>
            <w:tcW w:w="2494" w:type="dxa"/>
          </w:tcPr>
          <w:p>
            <w:pPr>
              <w:pStyle w:val="0"/>
            </w:pPr>
            <w:r>
              <w:rPr>
                <w:sz w:val="20"/>
              </w:rPr>
              <w:t xml:space="preserve">Березовский муниципальный район (кроме пгт. Игрим)</w:t>
            </w:r>
          </w:p>
        </w:tc>
        <w:tc>
          <w:tcPr>
            <w:tcW w:w="1279" w:type="dxa"/>
          </w:tcPr>
          <w:p>
            <w:pPr>
              <w:pStyle w:val="0"/>
            </w:pPr>
            <w:r>
              <w:rPr>
                <w:sz w:val="20"/>
              </w:rPr>
              <w:t xml:space="preserve">270 км</w:t>
            </w:r>
          </w:p>
        </w:tc>
        <w:tc>
          <w:tcPr>
            <w:tcW w:w="574" w:type="dxa"/>
          </w:tcPr>
          <w:p>
            <w:pPr>
              <w:pStyle w:val="0"/>
            </w:pPr>
            <w:r>
              <w:rPr>
                <w:sz w:val="20"/>
              </w:rPr>
              <w:t xml:space="preserve">3:50</w:t>
            </w:r>
          </w:p>
        </w:tc>
        <w:tc>
          <w:tcPr>
            <w:tcW w:w="589" w:type="dxa"/>
          </w:tcPr>
          <w:p>
            <w:pPr>
              <w:pStyle w:val="0"/>
            </w:pPr>
            <w:r>
              <w:rPr>
                <w:sz w:val="20"/>
              </w:rPr>
              <w:t xml:space="preserve">1:00</w:t>
            </w:r>
          </w:p>
        </w:tc>
      </w:tr>
      <w:tr>
        <w:tc>
          <w:tcPr>
            <w:vMerge w:val="continue"/>
          </w:tcPr>
          <w:p/>
        </w:tc>
        <w:tc>
          <w:tcPr>
            <w:tcW w:w="1744" w:type="dxa"/>
          </w:tcPr>
          <w:p>
            <w:pPr>
              <w:pStyle w:val="0"/>
            </w:pPr>
            <w:r>
              <w:rPr>
                <w:sz w:val="20"/>
              </w:rPr>
              <w:t xml:space="preserve">АУ "Советская районная больница"</w:t>
            </w:r>
          </w:p>
        </w:tc>
        <w:tc>
          <w:tcPr>
            <w:tcW w:w="2494" w:type="dxa"/>
          </w:tcPr>
          <w:p>
            <w:pPr>
              <w:pStyle w:val="0"/>
            </w:pPr>
            <w:r>
              <w:rPr>
                <w:sz w:val="20"/>
              </w:rPr>
              <w:t xml:space="preserve">Советский муниципальный район (кроме пгт. Пионерский)</w:t>
            </w:r>
          </w:p>
        </w:tc>
        <w:tc>
          <w:tcPr>
            <w:tcW w:w="1279" w:type="dxa"/>
          </w:tcPr>
          <w:p>
            <w:pPr>
              <w:pStyle w:val="0"/>
            </w:pPr>
            <w:r>
              <w:rPr>
                <w:sz w:val="20"/>
              </w:rPr>
              <w:t xml:space="preserve">153 км</w:t>
            </w:r>
          </w:p>
        </w:tc>
        <w:tc>
          <w:tcPr>
            <w:tcW w:w="574" w:type="dxa"/>
          </w:tcPr>
          <w:p>
            <w:pPr>
              <w:pStyle w:val="0"/>
            </w:pPr>
            <w:r>
              <w:rPr>
                <w:sz w:val="20"/>
              </w:rPr>
              <w:t xml:space="preserve">2:20</w:t>
            </w:r>
          </w:p>
        </w:tc>
        <w:tc>
          <w:tcPr>
            <w:tcW w:w="589" w:type="dxa"/>
          </w:tcPr>
          <w:p>
            <w:pPr>
              <w:pStyle w:val="0"/>
            </w:pPr>
            <w:r>
              <w:rPr>
                <w:sz w:val="20"/>
              </w:rPr>
              <w:t xml:space="preserve">0:40</w:t>
            </w:r>
          </w:p>
        </w:tc>
      </w:tr>
      <w:tr>
        <w:tc>
          <w:tcPr>
            <w:vMerge w:val="continue"/>
          </w:tcPr>
          <w:p/>
        </w:tc>
        <w:tc>
          <w:tcPr>
            <w:tcW w:w="1744" w:type="dxa"/>
          </w:tcPr>
          <w:p>
            <w:pPr>
              <w:pStyle w:val="0"/>
            </w:pPr>
            <w:r>
              <w:rPr>
                <w:sz w:val="20"/>
              </w:rPr>
              <w:t xml:space="preserve">БУ "Югорская городская больница"</w:t>
            </w:r>
          </w:p>
        </w:tc>
        <w:tc>
          <w:tcPr>
            <w:tcW w:w="2494" w:type="dxa"/>
          </w:tcPr>
          <w:p>
            <w:pPr>
              <w:pStyle w:val="0"/>
            </w:pPr>
            <w:r>
              <w:rPr>
                <w:sz w:val="20"/>
              </w:rPr>
              <w:t xml:space="preserve">г. Югорск</w:t>
            </w:r>
          </w:p>
        </w:tc>
        <w:tc>
          <w:tcPr>
            <w:tcW w:w="1279" w:type="dxa"/>
          </w:tcPr>
          <w:p>
            <w:pPr>
              <w:pStyle w:val="0"/>
            </w:pPr>
            <w:r>
              <w:rPr>
                <w:sz w:val="20"/>
              </w:rPr>
              <w:t xml:space="preserve">170 км</w:t>
            </w:r>
          </w:p>
        </w:tc>
        <w:tc>
          <w:tcPr>
            <w:tcW w:w="574" w:type="dxa"/>
          </w:tcPr>
          <w:p>
            <w:pPr>
              <w:pStyle w:val="0"/>
            </w:pPr>
            <w:r>
              <w:rPr>
                <w:sz w:val="20"/>
              </w:rPr>
              <w:t xml:space="preserve">2:20</w:t>
            </w:r>
          </w:p>
        </w:tc>
        <w:tc>
          <w:tcPr>
            <w:tcW w:w="589" w:type="dxa"/>
          </w:tcPr>
          <w:p>
            <w:pPr>
              <w:pStyle w:val="0"/>
            </w:pPr>
            <w:r>
              <w:rPr>
                <w:sz w:val="20"/>
              </w:rPr>
              <w:t xml:space="preserve">0:50</w:t>
            </w:r>
          </w:p>
        </w:tc>
      </w:tr>
      <w:tr>
        <w:tc>
          <w:tcPr>
            <w:vMerge w:val="continue"/>
          </w:tcPr>
          <w:p/>
        </w:tc>
        <w:tc>
          <w:tcPr>
            <w:tcW w:w="1744" w:type="dxa"/>
          </w:tcPr>
          <w:p>
            <w:pPr>
              <w:pStyle w:val="0"/>
            </w:pPr>
            <w:r>
              <w:rPr>
                <w:sz w:val="20"/>
              </w:rPr>
              <w:t xml:space="preserve">БУ "Октябрьская районная больница"</w:t>
            </w:r>
          </w:p>
        </w:tc>
        <w:tc>
          <w:tcPr>
            <w:tcW w:w="2494" w:type="dxa"/>
          </w:tcPr>
          <w:p>
            <w:pPr>
              <w:pStyle w:val="0"/>
            </w:pPr>
            <w:r>
              <w:rPr>
                <w:sz w:val="20"/>
              </w:rPr>
              <w:t xml:space="preserve">Октябрьский муниципальный район</w:t>
            </w:r>
          </w:p>
        </w:tc>
        <w:tc>
          <w:tcPr>
            <w:tcW w:w="1279" w:type="dxa"/>
          </w:tcPr>
          <w:p>
            <w:pPr>
              <w:pStyle w:val="0"/>
            </w:pPr>
            <w:r>
              <w:rPr>
                <w:sz w:val="20"/>
              </w:rPr>
              <w:t xml:space="preserve">83 км</w:t>
            </w:r>
          </w:p>
        </w:tc>
        <w:tc>
          <w:tcPr>
            <w:tcW w:w="574" w:type="dxa"/>
          </w:tcPr>
          <w:p>
            <w:pPr>
              <w:pStyle w:val="0"/>
            </w:pPr>
            <w:r>
              <w:rPr>
                <w:sz w:val="20"/>
              </w:rPr>
              <w:t xml:space="preserve">1:25</w:t>
            </w:r>
          </w:p>
        </w:tc>
        <w:tc>
          <w:tcPr>
            <w:tcW w:w="589" w:type="dxa"/>
          </w:tcPr>
          <w:p>
            <w:pPr>
              <w:pStyle w:val="0"/>
            </w:pPr>
            <w:r>
              <w:rPr>
                <w:sz w:val="20"/>
              </w:rPr>
              <w:t xml:space="preserve">-</w:t>
            </w:r>
          </w:p>
        </w:tc>
      </w:tr>
      <w:tr>
        <w:tc>
          <w:tcPr>
            <w:tcW w:w="2299" w:type="dxa"/>
            <w:vMerge w:val="restart"/>
          </w:tcPr>
          <w:p>
            <w:pPr>
              <w:pStyle w:val="0"/>
            </w:pPr>
            <w:r>
              <w:rPr>
                <w:sz w:val="20"/>
              </w:rPr>
              <w:t xml:space="preserve">РСЦ N 4</w:t>
            </w:r>
          </w:p>
          <w:p>
            <w:pPr>
              <w:pStyle w:val="0"/>
            </w:pPr>
            <w:r>
              <w:rPr>
                <w:sz w:val="20"/>
              </w:rPr>
              <w:t xml:space="preserve">БУ "Нижневартовская окружная клиническая больница"</w:t>
            </w:r>
          </w:p>
        </w:tc>
        <w:tc>
          <w:tcPr>
            <w:tcW w:w="1744" w:type="dxa"/>
          </w:tcPr>
          <w:p>
            <w:pPr>
              <w:pStyle w:val="0"/>
            </w:pPr>
            <w:r>
              <w:rPr>
                <w:sz w:val="20"/>
              </w:rPr>
            </w:r>
          </w:p>
        </w:tc>
        <w:tc>
          <w:tcPr>
            <w:tcW w:w="2494" w:type="dxa"/>
          </w:tcPr>
          <w:p>
            <w:pPr>
              <w:pStyle w:val="0"/>
            </w:pPr>
            <w:r>
              <w:rPr>
                <w:sz w:val="20"/>
              </w:rPr>
              <w:t xml:space="preserve">г. Нижневартовск</w:t>
            </w:r>
          </w:p>
        </w:tc>
        <w:tc>
          <w:tcPr>
            <w:tcW w:w="1279" w:type="dxa"/>
          </w:tcPr>
          <w:p>
            <w:pPr>
              <w:pStyle w:val="0"/>
            </w:pPr>
            <w:r>
              <w:rPr>
                <w:sz w:val="20"/>
              </w:rPr>
            </w:r>
          </w:p>
        </w:tc>
        <w:tc>
          <w:tcPr>
            <w:tcW w:w="574" w:type="dxa"/>
          </w:tcPr>
          <w:p>
            <w:pPr>
              <w:pStyle w:val="0"/>
            </w:pPr>
            <w:r>
              <w:rPr>
                <w:sz w:val="20"/>
              </w:rPr>
            </w:r>
          </w:p>
        </w:tc>
        <w:tc>
          <w:tcPr>
            <w:tcW w:w="589" w:type="dxa"/>
          </w:tcPr>
          <w:p>
            <w:pPr>
              <w:pStyle w:val="0"/>
            </w:pPr>
            <w:r>
              <w:rPr>
                <w:sz w:val="20"/>
              </w:rPr>
            </w:r>
          </w:p>
        </w:tc>
      </w:tr>
      <w:tr>
        <w:tc>
          <w:tcPr>
            <w:vMerge w:val="continue"/>
          </w:tcPr>
          <w:p/>
        </w:tc>
        <w:tc>
          <w:tcPr>
            <w:tcW w:w="1744" w:type="dxa"/>
          </w:tcPr>
          <w:p>
            <w:pPr>
              <w:pStyle w:val="0"/>
            </w:pPr>
            <w:r>
              <w:rPr>
                <w:sz w:val="20"/>
              </w:rPr>
            </w:r>
          </w:p>
        </w:tc>
        <w:tc>
          <w:tcPr>
            <w:tcW w:w="2494" w:type="dxa"/>
          </w:tcPr>
          <w:p>
            <w:pPr>
              <w:pStyle w:val="0"/>
            </w:pPr>
            <w:r>
              <w:rPr>
                <w:sz w:val="20"/>
              </w:rPr>
              <w:t xml:space="preserve">Нижневартовский муниципальный район (кроме пгт. Новоаганск и п. Высокий)</w:t>
            </w:r>
          </w:p>
        </w:tc>
        <w:tc>
          <w:tcPr>
            <w:tcW w:w="1279" w:type="dxa"/>
          </w:tcPr>
          <w:p>
            <w:pPr>
              <w:pStyle w:val="0"/>
            </w:pPr>
            <w:r>
              <w:rPr>
                <w:sz w:val="20"/>
              </w:rPr>
              <w:t xml:space="preserve">315 км</w:t>
            </w:r>
          </w:p>
        </w:tc>
        <w:tc>
          <w:tcPr>
            <w:tcW w:w="574" w:type="dxa"/>
          </w:tcPr>
          <w:p>
            <w:pPr>
              <w:pStyle w:val="0"/>
            </w:pPr>
            <w:r>
              <w:rPr>
                <w:sz w:val="20"/>
              </w:rPr>
              <w:t xml:space="preserve">4:00</w:t>
            </w:r>
          </w:p>
        </w:tc>
        <w:tc>
          <w:tcPr>
            <w:tcW w:w="589" w:type="dxa"/>
          </w:tcPr>
          <w:p>
            <w:pPr>
              <w:pStyle w:val="0"/>
            </w:pPr>
            <w:r>
              <w:rPr>
                <w:sz w:val="20"/>
              </w:rPr>
              <w:t xml:space="preserve">1:25</w:t>
            </w:r>
          </w:p>
        </w:tc>
      </w:tr>
      <w:tr>
        <w:tc>
          <w:tcPr>
            <w:vMerge w:val="continue"/>
          </w:tcPr>
          <w:p/>
        </w:tc>
        <w:tc>
          <w:tcPr>
            <w:tcW w:w="1744" w:type="dxa"/>
          </w:tcPr>
          <w:p>
            <w:pPr>
              <w:pStyle w:val="0"/>
            </w:pPr>
            <w:r>
              <w:rPr>
                <w:sz w:val="20"/>
              </w:rPr>
              <w:t xml:space="preserve">БУ "Мегионская городская больница"</w:t>
            </w:r>
          </w:p>
        </w:tc>
        <w:tc>
          <w:tcPr>
            <w:tcW w:w="2494" w:type="dxa"/>
          </w:tcPr>
          <w:p>
            <w:pPr>
              <w:pStyle w:val="0"/>
            </w:pPr>
            <w:r>
              <w:rPr>
                <w:sz w:val="20"/>
              </w:rPr>
              <w:t xml:space="preserve">г. Мегион</w:t>
            </w:r>
          </w:p>
        </w:tc>
        <w:tc>
          <w:tcPr>
            <w:tcW w:w="1279" w:type="dxa"/>
          </w:tcPr>
          <w:p>
            <w:pPr>
              <w:pStyle w:val="0"/>
            </w:pPr>
            <w:r>
              <w:rPr>
                <w:sz w:val="20"/>
              </w:rPr>
              <w:t xml:space="preserve">35 км</w:t>
            </w:r>
          </w:p>
        </w:tc>
        <w:tc>
          <w:tcPr>
            <w:tcW w:w="574" w:type="dxa"/>
          </w:tcPr>
          <w:p>
            <w:pPr>
              <w:pStyle w:val="0"/>
            </w:pPr>
            <w:r>
              <w:rPr>
                <w:sz w:val="20"/>
              </w:rPr>
              <w:t xml:space="preserve">0:30</w:t>
            </w:r>
          </w:p>
        </w:tc>
        <w:tc>
          <w:tcPr>
            <w:tcW w:w="589" w:type="dxa"/>
          </w:tcPr>
          <w:p>
            <w:pPr>
              <w:pStyle w:val="0"/>
            </w:pPr>
            <w:r>
              <w:rPr>
                <w:sz w:val="20"/>
              </w:rPr>
              <w:t xml:space="preserve">-</w:t>
            </w:r>
          </w:p>
        </w:tc>
      </w:tr>
      <w:tr>
        <w:tc>
          <w:tcPr>
            <w:vMerge w:val="continue"/>
          </w:tcPr>
          <w:p/>
        </w:tc>
        <w:tc>
          <w:tcPr>
            <w:tcW w:w="1744" w:type="dxa"/>
          </w:tcPr>
          <w:p>
            <w:pPr>
              <w:pStyle w:val="0"/>
            </w:pPr>
            <w:r>
              <w:rPr>
                <w:sz w:val="20"/>
              </w:rPr>
            </w:r>
          </w:p>
        </w:tc>
        <w:tc>
          <w:tcPr>
            <w:tcW w:w="2494" w:type="dxa"/>
          </w:tcPr>
          <w:p>
            <w:pPr>
              <w:pStyle w:val="0"/>
            </w:pPr>
            <w:r>
              <w:rPr>
                <w:sz w:val="20"/>
              </w:rPr>
              <w:t xml:space="preserve">п. Высокий, Нижневартовский муниципальный района</w:t>
            </w:r>
          </w:p>
        </w:tc>
        <w:tc>
          <w:tcPr>
            <w:tcW w:w="1279" w:type="dxa"/>
          </w:tcPr>
          <w:p>
            <w:pPr>
              <w:pStyle w:val="0"/>
            </w:pPr>
            <w:r>
              <w:rPr>
                <w:sz w:val="20"/>
              </w:rPr>
              <w:t xml:space="preserve">51 км</w:t>
            </w:r>
          </w:p>
        </w:tc>
        <w:tc>
          <w:tcPr>
            <w:tcW w:w="574" w:type="dxa"/>
          </w:tcPr>
          <w:p>
            <w:pPr>
              <w:pStyle w:val="0"/>
            </w:pPr>
            <w:r>
              <w:rPr>
                <w:sz w:val="20"/>
              </w:rPr>
              <w:t xml:space="preserve">1:00</w:t>
            </w:r>
          </w:p>
        </w:tc>
        <w:tc>
          <w:tcPr>
            <w:tcW w:w="589" w:type="dxa"/>
          </w:tcPr>
          <w:p>
            <w:pPr>
              <w:pStyle w:val="0"/>
            </w:pPr>
            <w:r>
              <w:rPr>
                <w:sz w:val="20"/>
              </w:rPr>
              <w:t xml:space="preserve">-</w:t>
            </w:r>
          </w:p>
        </w:tc>
      </w:tr>
      <w:tr>
        <w:tc>
          <w:tcPr>
            <w:vMerge w:val="continue"/>
          </w:tcPr>
          <w:p/>
        </w:tc>
        <w:tc>
          <w:tcPr>
            <w:tcW w:w="1744" w:type="dxa"/>
          </w:tcPr>
          <w:p>
            <w:pPr>
              <w:pStyle w:val="0"/>
            </w:pPr>
            <w:r>
              <w:rPr>
                <w:sz w:val="20"/>
              </w:rPr>
              <w:t xml:space="preserve">БУ "Радужнинская городская больница"</w:t>
            </w:r>
          </w:p>
        </w:tc>
        <w:tc>
          <w:tcPr>
            <w:tcW w:w="2494" w:type="dxa"/>
          </w:tcPr>
          <w:p>
            <w:pPr>
              <w:pStyle w:val="0"/>
            </w:pPr>
            <w:r>
              <w:rPr>
                <w:sz w:val="20"/>
              </w:rPr>
              <w:t xml:space="preserve">г. Радужный, п. Новоаганск, Нижневартовский район</w:t>
            </w:r>
          </w:p>
        </w:tc>
        <w:tc>
          <w:tcPr>
            <w:tcW w:w="1279" w:type="dxa"/>
          </w:tcPr>
          <w:p>
            <w:pPr>
              <w:pStyle w:val="0"/>
            </w:pPr>
            <w:r>
              <w:rPr>
                <w:sz w:val="20"/>
              </w:rPr>
              <w:t xml:space="preserve">165 км</w:t>
            </w:r>
          </w:p>
        </w:tc>
        <w:tc>
          <w:tcPr>
            <w:tcW w:w="574" w:type="dxa"/>
          </w:tcPr>
          <w:p>
            <w:pPr>
              <w:pStyle w:val="0"/>
            </w:pPr>
            <w:r>
              <w:rPr>
                <w:sz w:val="20"/>
              </w:rPr>
              <w:t xml:space="preserve">2:30</w:t>
            </w:r>
          </w:p>
        </w:tc>
        <w:tc>
          <w:tcPr>
            <w:tcW w:w="589" w:type="dxa"/>
          </w:tcPr>
          <w:p>
            <w:pPr>
              <w:pStyle w:val="0"/>
            </w:pPr>
            <w:r>
              <w:rPr>
                <w:sz w:val="20"/>
              </w:rPr>
              <w:t xml:space="preserve">-</w:t>
            </w:r>
          </w:p>
        </w:tc>
      </w:tr>
      <w:tr>
        <w:tc>
          <w:tcPr>
            <w:vMerge w:val="continue"/>
          </w:tcPr>
          <w:p/>
        </w:tc>
        <w:tc>
          <w:tcPr>
            <w:tcW w:w="1744" w:type="dxa"/>
          </w:tcPr>
          <w:p>
            <w:pPr>
              <w:pStyle w:val="0"/>
            </w:pPr>
            <w:r>
              <w:rPr>
                <w:sz w:val="20"/>
              </w:rPr>
              <w:t xml:space="preserve">БУ "Лангепасская городская больница"</w:t>
            </w:r>
          </w:p>
        </w:tc>
        <w:tc>
          <w:tcPr>
            <w:tcW w:w="2494" w:type="dxa"/>
          </w:tcPr>
          <w:p>
            <w:pPr>
              <w:pStyle w:val="0"/>
            </w:pPr>
            <w:r>
              <w:rPr>
                <w:sz w:val="20"/>
              </w:rPr>
              <w:t xml:space="preserve">г. Лангепас</w:t>
            </w:r>
          </w:p>
        </w:tc>
        <w:tc>
          <w:tcPr>
            <w:tcW w:w="1279" w:type="dxa"/>
          </w:tcPr>
          <w:p>
            <w:pPr>
              <w:pStyle w:val="0"/>
            </w:pPr>
            <w:r>
              <w:rPr>
                <w:sz w:val="20"/>
              </w:rPr>
            </w:r>
          </w:p>
        </w:tc>
        <w:tc>
          <w:tcPr>
            <w:tcW w:w="574" w:type="dxa"/>
          </w:tcPr>
          <w:p>
            <w:pPr>
              <w:pStyle w:val="0"/>
            </w:pPr>
            <w:r>
              <w:rPr>
                <w:sz w:val="20"/>
              </w:rPr>
            </w:r>
          </w:p>
        </w:tc>
        <w:tc>
          <w:tcPr>
            <w:tcW w:w="589" w:type="dxa"/>
          </w:tcPr>
          <w:p>
            <w:pPr>
              <w:pStyle w:val="0"/>
            </w:pPr>
            <w:r>
              <w:rPr>
                <w:sz w:val="20"/>
              </w:rPr>
            </w:r>
          </w:p>
        </w:tc>
      </w:tr>
    </w:tbl>
    <w:p>
      <w:pPr>
        <w:pStyle w:val="0"/>
        <w:ind w:firstLine="540"/>
        <w:jc w:val="both"/>
      </w:pPr>
      <w:r>
        <w:rPr>
          <w:sz w:val="20"/>
        </w:rPr>
      </w:r>
    </w:p>
    <w:p>
      <w:pPr>
        <w:pStyle w:val="0"/>
        <w:ind w:firstLine="540"/>
        <w:jc w:val="both"/>
      </w:pPr>
      <w:r>
        <w:rPr>
          <w:sz w:val="20"/>
        </w:rPr>
        <w:t xml:space="preserve">Всего в автономном округе осуществляют деятельность 3 РСЦ и 13 ПСО для лечения больных с ОНМК.</w:t>
      </w:r>
    </w:p>
    <w:p>
      <w:pPr>
        <w:pStyle w:val="0"/>
        <w:jc w:val="right"/>
      </w:pPr>
      <w:r>
        <w:rPr>
          <w:sz w:val="20"/>
        </w:rPr>
      </w:r>
    </w:p>
    <w:p>
      <w:pPr>
        <w:pStyle w:val="0"/>
        <w:jc w:val="right"/>
      </w:pPr>
      <w:r>
        <w:rPr>
          <w:sz w:val="20"/>
        </w:rPr>
        <w:t xml:space="preserve">Рисунок 13</w:t>
      </w:r>
    </w:p>
    <w:p>
      <w:pPr>
        <w:pStyle w:val="0"/>
        <w:jc w:val="right"/>
      </w:pPr>
      <w:r>
        <w:rPr>
          <w:sz w:val="20"/>
        </w:rPr>
      </w:r>
    </w:p>
    <w:p>
      <w:pPr>
        <w:pStyle w:val="0"/>
        <w:jc w:val="center"/>
      </w:pPr>
      <w:r>
        <w:rPr>
          <w:sz w:val="20"/>
        </w:rPr>
        <w:t xml:space="preserve">Маршрутизация пациентов с ОНМК</w:t>
      </w:r>
    </w:p>
    <w:p>
      <w:pPr>
        <w:pStyle w:val="0"/>
        <w:jc w:val="center"/>
      </w:pPr>
      <w:r>
        <w:rPr>
          <w:sz w:val="20"/>
        </w:rPr>
      </w:r>
    </w:p>
    <w:p>
      <w:pPr>
        <w:pStyle w:val="0"/>
        <w:jc w:val="center"/>
      </w:pPr>
      <w:r>
        <w:rPr>
          <w:position w:val="-245"/>
        </w:rPr>
        <w:drawing>
          <wp:inline distT="0" distB="0" distL="0" distR="0">
            <wp:extent cx="6242050" cy="3248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6242050" cy="3248660"/>
                    </a:xfrm>
                    <a:prstGeom prst="rect">
                      <a:avLst/>
                    </a:prstGeom>
                    <a:noFill/>
                    <a:ln>
                      <a:noFill/>
                    </a:ln>
                  </pic:spPr>
                </pic:pic>
              </a:graphicData>
            </a:graphic>
          </wp:inline>
        </w:drawing>
      </w:r>
    </w:p>
    <w:p>
      <w:pPr>
        <w:pStyle w:val="0"/>
        <w:jc w:val="center"/>
      </w:pPr>
      <w:r>
        <w:rPr>
          <w:sz w:val="20"/>
        </w:rPr>
      </w:r>
    </w:p>
    <w:p>
      <w:pPr>
        <w:pStyle w:val="0"/>
        <w:jc w:val="right"/>
      </w:pPr>
      <w:r>
        <w:rPr>
          <w:sz w:val="20"/>
        </w:rPr>
        <w:t xml:space="preserve">Таблица 31</w:t>
      </w:r>
    </w:p>
    <w:p>
      <w:pPr>
        <w:pStyle w:val="0"/>
        <w:jc w:val="center"/>
      </w:pPr>
      <w:r>
        <w:rPr>
          <w:sz w:val="20"/>
        </w:rPr>
      </w:r>
    </w:p>
    <w:p>
      <w:pPr>
        <w:pStyle w:val="0"/>
        <w:jc w:val="center"/>
      </w:pPr>
      <w:r>
        <w:rPr>
          <w:sz w:val="20"/>
        </w:rPr>
        <w:t xml:space="preserve">Сигнальные показатели, характеризующие качество медицинской</w:t>
      </w:r>
    </w:p>
    <w:p>
      <w:pPr>
        <w:pStyle w:val="0"/>
        <w:jc w:val="center"/>
      </w:pPr>
      <w:r>
        <w:rPr>
          <w:sz w:val="20"/>
        </w:rPr>
        <w:t xml:space="preserve">помощи больным с ОНМК</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216"/>
        <w:gridCol w:w="1247"/>
        <w:gridCol w:w="1304"/>
        <w:gridCol w:w="1247"/>
      </w:tblGrid>
      <w:tr>
        <w:tc>
          <w:tcPr>
            <w:tcW w:w="5216" w:type="dxa"/>
          </w:tcPr>
          <w:p>
            <w:pPr>
              <w:pStyle w:val="0"/>
              <w:jc w:val="center"/>
            </w:pPr>
            <w:r>
              <w:rPr>
                <w:sz w:val="20"/>
              </w:rPr>
              <w:t xml:space="preserve">Показатель</w:t>
            </w:r>
          </w:p>
        </w:tc>
        <w:tc>
          <w:tcPr>
            <w:tcW w:w="1247" w:type="dxa"/>
          </w:tcPr>
          <w:p>
            <w:pPr>
              <w:pStyle w:val="0"/>
              <w:jc w:val="center"/>
            </w:pPr>
            <w:r>
              <w:rPr>
                <w:sz w:val="20"/>
              </w:rPr>
              <w:t xml:space="preserve">2020</w:t>
            </w:r>
          </w:p>
        </w:tc>
        <w:tc>
          <w:tcPr>
            <w:tcW w:w="1304" w:type="dxa"/>
          </w:tcPr>
          <w:p>
            <w:pPr>
              <w:pStyle w:val="0"/>
              <w:jc w:val="center"/>
            </w:pPr>
            <w:r>
              <w:rPr>
                <w:sz w:val="20"/>
              </w:rPr>
              <w:t xml:space="preserve">2021</w:t>
            </w:r>
          </w:p>
        </w:tc>
        <w:tc>
          <w:tcPr>
            <w:tcW w:w="1247" w:type="dxa"/>
          </w:tcPr>
          <w:p>
            <w:pPr>
              <w:pStyle w:val="0"/>
              <w:jc w:val="center"/>
            </w:pPr>
            <w:r>
              <w:rPr>
                <w:sz w:val="20"/>
              </w:rPr>
              <w:t xml:space="preserve">2022</w:t>
            </w:r>
          </w:p>
        </w:tc>
      </w:tr>
      <w:tr>
        <w:tc>
          <w:tcPr>
            <w:tcW w:w="5216" w:type="dxa"/>
          </w:tcPr>
          <w:p>
            <w:pPr>
              <w:pStyle w:val="0"/>
            </w:pPr>
            <w:r>
              <w:rPr>
                <w:sz w:val="20"/>
              </w:rPr>
              <w:t xml:space="preserve">Доля больных с ОНМК, госпитализированных в РСЦ и ПСО, госпитализированных в первые 4,5 часа от начала заболевания (не менее 40%)</w:t>
            </w:r>
          </w:p>
        </w:tc>
        <w:tc>
          <w:tcPr>
            <w:tcW w:w="1247" w:type="dxa"/>
          </w:tcPr>
          <w:p>
            <w:pPr>
              <w:pStyle w:val="0"/>
            </w:pPr>
            <w:r>
              <w:rPr>
                <w:sz w:val="20"/>
              </w:rPr>
              <w:t xml:space="preserve">41%</w:t>
            </w:r>
          </w:p>
        </w:tc>
        <w:tc>
          <w:tcPr>
            <w:tcW w:w="1304" w:type="dxa"/>
          </w:tcPr>
          <w:p>
            <w:pPr>
              <w:pStyle w:val="0"/>
            </w:pPr>
            <w:r>
              <w:rPr>
                <w:sz w:val="20"/>
              </w:rPr>
              <w:t xml:space="preserve">53,3%</w:t>
            </w:r>
          </w:p>
        </w:tc>
        <w:tc>
          <w:tcPr>
            <w:tcW w:w="1247" w:type="dxa"/>
          </w:tcPr>
          <w:p>
            <w:pPr>
              <w:pStyle w:val="0"/>
            </w:pPr>
            <w:r>
              <w:rPr>
                <w:sz w:val="20"/>
              </w:rPr>
              <w:t xml:space="preserve">50,4%</w:t>
            </w:r>
          </w:p>
        </w:tc>
      </w:tr>
      <w:tr>
        <w:tc>
          <w:tcPr>
            <w:tcW w:w="5216" w:type="dxa"/>
          </w:tcPr>
          <w:p>
            <w:pPr>
              <w:pStyle w:val="0"/>
            </w:pPr>
            <w:r>
              <w:rPr>
                <w:sz w:val="20"/>
              </w:rPr>
              <w:t xml:space="preserve">Доля больных с ишемическим инсультом, которым выполнен системный тромболизис (не менее 5%)</w:t>
            </w:r>
          </w:p>
        </w:tc>
        <w:tc>
          <w:tcPr>
            <w:tcW w:w="1247" w:type="dxa"/>
          </w:tcPr>
          <w:p>
            <w:pPr>
              <w:pStyle w:val="0"/>
            </w:pPr>
            <w:r>
              <w:rPr>
                <w:sz w:val="20"/>
              </w:rPr>
              <w:t xml:space="preserve">6,5%</w:t>
            </w:r>
          </w:p>
        </w:tc>
        <w:tc>
          <w:tcPr>
            <w:tcW w:w="1304" w:type="dxa"/>
          </w:tcPr>
          <w:p>
            <w:pPr>
              <w:pStyle w:val="0"/>
            </w:pPr>
            <w:r>
              <w:rPr>
                <w:sz w:val="20"/>
              </w:rPr>
              <w:t xml:space="preserve">5,5%</w:t>
            </w:r>
          </w:p>
        </w:tc>
        <w:tc>
          <w:tcPr>
            <w:tcW w:w="1247" w:type="dxa"/>
          </w:tcPr>
          <w:p>
            <w:pPr>
              <w:pStyle w:val="0"/>
            </w:pPr>
            <w:r>
              <w:rPr>
                <w:sz w:val="20"/>
              </w:rPr>
              <w:t xml:space="preserve">6,5%</w:t>
            </w:r>
          </w:p>
        </w:tc>
      </w:tr>
      <w:tr>
        <w:tc>
          <w:tcPr>
            <w:tcW w:w="5216" w:type="dxa"/>
          </w:tcPr>
          <w:p>
            <w:pPr>
              <w:pStyle w:val="0"/>
            </w:pPr>
            <w:r>
              <w:rPr>
                <w:sz w:val="20"/>
              </w:rPr>
              <w:t xml:space="preserve">Доля больных с ишемическим инсультом, которым выполнена тромбэкстракция</w:t>
            </w:r>
          </w:p>
        </w:tc>
        <w:tc>
          <w:tcPr>
            <w:tcW w:w="1247" w:type="dxa"/>
          </w:tcPr>
          <w:p>
            <w:pPr>
              <w:pStyle w:val="0"/>
            </w:pPr>
            <w:r>
              <w:rPr>
                <w:sz w:val="20"/>
              </w:rPr>
              <w:t xml:space="preserve">2,4%</w:t>
            </w:r>
          </w:p>
        </w:tc>
        <w:tc>
          <w:tcPr>
            <w:tcW w:w="1304" w:type="dxa"/>
          </w:tcPr>
          <w:p>
            <w:pPr>
              <w:pStyle w:val="0"/>
            </w:pPr>
            <w:r>
              <w:rPr>
                <w:sz w:val="20"/>
              </w:rPr>
              <w:t xml:space="preserve">2,9%</w:t>
            </w:r>
          </w:p>
        </w:tc>
        <w:tc>
          <w:tcPr>
            <w:tcW w:w="1247" w:type="dxa"/>
          </w:tcPr>
          <w:p>
            <w:pPr>
              <w:pStyle w:val="0"/>
            </w:pPr>
            <w:r>
              <w:rPr>
                <w:sz w:val="20"/>
              </w:rPr>
              <w:t xml:space="preserve">3,0%</w:t>
            </w:r>
          </w:p>
        </w:tc>
      </w:tr>
      <w:tr>
        <w:tc>
          <w:tcPr>
            <w:tcW w:w="5216" w:type="dxa"/>
          </w:tcPr>
          <w:p>
            <w:pPr>
              <w:pStyle w:val="0"/>
            </w:pPr>
            <w:r>
              <w:rPr>
                <w:sz w:val="20"/>
              </w:rPr>
              <w:t xml:space="preserve">Больничная летальность при инсультах (не более 20%)</w:t>
            </w:r>
          </w:p>
        </w:tc>
        <w:tc>
          <w:tcPr>
            <w:tcW w:w="1247" w:type="dxa"/>
          </w:tcPr>
          <w:p>
            <w:pPr>
              <w:pStyle w:val="0"/>
            </w:pPr>
            <w:r>
              <w:rPr>
                <w:sz w:val="20"/>
              </w:rPr>
              <w:t xml:space="preserve">10,4%</w:t>
            </w:r>
          </w:p>
        </w:tc>
        <w:tc>
          <w:tcPr>
            <w:tcW w:w="1304" w:type="dxa"/>
          </w:tcPr>
          <w:p>
            <w:pPr>
              <w:pStyle w:val="0"/>
            </w:pPr>
            <w:r>
              <w:rPr>
                <w:sz w:val="20"/>
              </w:rPr>
              <w:t xml:space="preserve">9,9%</w:t>
            </w:r>
          </w:p>
        </w:tc>
        <w:tc>
          <w:tcPr>
            <w:tcW w:w="1247" w:type="dxa"/>
          </w:tcPr>
          <w:p>
            <w:pPr>
              <w:pStyle w:val="0"/>
            </w:pPr>
            <w:r>
              <w:rPr>
                <w:sz w:val="20"/>
              </w:rPr>
              <w:t xml:space="preserve">8,8%</w:t>
            </w:r>
          </w:p>
        </w:tc>
      </w:tr>
      <w:tr>
        <w:tc>
          <w:tcPr>
            <w:tcW w:w="5216" w:type="dxa"/>
          </w:tcPr>
          <w:p>
            <w:pPr>
              <w:pStyle w:val="0"/>
            </w:pPr>
            <w:r>
              <w:rPr>
                <w:sz w:val="20"/>
              </w:rPr>
              <w:t xml:space="preserve">Профильность госпитализации: доля больных,</w:t>
            </w:r>
          </w:p>
          <w:p>
            <w:pPr>
              <w:pStyle w:val="0"/>
            </w:pPr>
            <w:r>
              <w:rPr>
                <w:sz w:val="20"/>
              </w:rPr>
              <w:t xml:space="preserve">госпитализированных в РСЦ и ПСО</w:t>
            </w:r>
          </w:p>
        </w:tc>
        <w:tc>
          <w:tcPr>
            <w:tcW w:w="1247" w:type="dxa"/>
          </w:tcPr>
          <w:p>
            <w:pPr>
              <w:pStyle w:val="0"/>
            </w:pPr>
            <w:r>
              <w:rPr>
                <w:sz w:val="20"/>
              </w:rPr>
              <w:t xml:space="preserve">100%</w:t>
            </w:r>
          </w:p>
        </w:tc>
        <w:tc>
          <w:tcPr>
            <w:tcW w:w="1304" w:type="dxa"/>
          </w:tcPr>
          <w:p>
            <w:pPr>
              <w:pStyle w:val="0"/>
            </w:pPr>
            <w:r>
              <w:rPr>
                <w:sz w:val="20"/>
              </w:rPr>
              <w:t xml:space="preserve">99,8%</w:t>
            </w:r>
          </w:p>
        </w:tc>
        <w:tc>
          <w:tcPr>
            <w:tcW w:w="1247" w:type="dxa"/>
          </w:tcPr>
          <w:p>
            <w:pPr>
              <w:pStyle w:val="0"/>
            </w:pPr>
            <w:r>
              <w:rPr>
                <w:sz w:val="20"/>
              </w:rPr>
              <w:t xml:space="preserve">99,9%</w:t>
            </w:r>
          </w:p>
        </w:tc>
      </w:tr>
    </w:tbl>
    <w:p>
      <w:pPr>
        <w:pStyle w:val="0"/>
        <w:ind w:firstLine="540"/>
        <w:jc w:val="both"/>
      </w:pPr>
      <w:r>
        <w:rPr>
          <w:sz w:val="20"/>
        </w:rPr>
      </w:r>
    </w:p>
    <w:p>
      <w:pPr>
        <w:pStyle w:val="0"/>
        <w:ind w:firstLine="540"/>
        <w:jc w:val="both"/>
      </w:pPr>
      <w:r>
        <w:rPr>
          <w:sz w:val="20"/>
        </w:rPr>
        <w:t xml:space="preserve">В 2022 году отмечена положительная динамика показателей качества оказания медицинской помощи больным с ОНМК. Доля системного тромболизиса, проведенного больным с ишемическим инсультом, увеличилась с 5,5% до 6,5%. Показатель проведения тромболитической терапии (далее - ТЛТ) выше целевого (не менее 5%).</w:t>
      </w:r>
    </w:p>
    <w:p>
      <w:pPr>
        <w:pStyle w:val="0"/>
        <w:spacing w:before="200" w:line-rule="auto"/>
        <w:ind w:firstLine="540"/>
        <w:jc w:val="both"/>
      </w:pPr>
      <w:r>
        <w:rPr>
          <w:sz w:val="20"/>
        </w:rPr>
        <w:t xml:space="preserve">Доля больных с ишемическим инсультом, которым проведена тромбэкстракция, выросла с 2,4% в 2020 году до 3,0% в 2022 году.</w:t>
      </w:r>
    </w:p>
    <w:p>
      <w:pPr>
        <w:pStyle w:val="0"/>
        <w:spacing w:before="200" w:line-rule="auto"/>
        <w:ind w:firstLine="540"/>
        <w:jc w:val="both"/>
      </w:pPr>
      <w:r>
        <w:rPr>
          <w:sz w:val="20"/>
        </w:rPr>
        <w:t xml:space="preserve">В 2022 году существенно снизилась госпитальная летальность при инсультах на 1,2%, по сравнению с 2021 годом целевой показатель выполнен. Профильность госпитализации в 2022 году оставалось высокой и составила 99,9%.</w:t>
      </w:r>
    </w:p>
    <w:p>
      <w:pPr>
        <w:pStyle w:val="0"/>
        <w:spacing w:before="200" w:line-rule="auto"/>
        <w:ind w:firstLine="540"/>
        <w:jc w:val="both"/>
      </w:pPr>
      <w:r>
        <w:rPr>
          <w:sz w:val="20"/>
        </w:rPr>
        <w:t xml:space="preserve">В 2022 году в автономном округе проведено 324 открытых операции на брахиоцефальных артериях (БЦА), в 2021 году - 256, в 2020 году - 187; эндоваскулярные операции на БЦА: в 2022 году - 227 операций, в 2021 году проведено 307 операций, в 2020 году - 289. Таким образом, объемы хирургической профилактики ОНМК имеют устойчивую тенденцию к увеличению (+15,8% в динамике за 3 года).</w:t>
      </w:r>
    </w:p>
    <w:p>
      <w:pPr>
        <w:pStyle w:val="0"/>
        <w:ind w:firstLine="540"/>
        <w:jc w:val="both"/>
      </w:pPr>
      <w:r>
        <w:rPr>
          <w:sz w:val="20"/>
        </w:rPr>
      </w:r>
    </w:p>
    <w:p>
      <w:pPr>
        <w:pStyle w:val="0"/>
        <w:jc w:val="right"/>
      </w:pPr>
      <w:r>
        <w:rPr>
          <w:sz w:val="20"/>
        </w:rPr>
        <w:t xml:space="preserve">Рисунок 14</w:t>
      </w:r>
    </w:p>
    <w:p>
      <w:pPr>
        <w:pStyle w:val="0"/>
        <w:jc w:val="right"/>
      </w:pPr>
      <w:r>
        <w:rPr>
          <w:sz w:val="20"/>
        </w:rPr>
      </w:r>
    </w:p>
    <w:p>
      <w:pPr>
        <w:pStyle w:val="0"/>
        <w:jc w:val="center"/>
      </w:pPr>
      <w:r>
        <w:rPr>
          <w:sz w:val="20"/>
        </w:rPr>
        <w:t xml:space="preserve">Маршрутизация пациентов с ОНМК в зоне ответственности</w:t>
      </w:r>
    </w:p>
    <w:p>
      <w:pPr>
        <w:pStyle w:val="0"/>
        <w:jc w:val="center"/>
      </w:pPr>
      <w:r>
        <w:rPr>
          <w:sz w:val="20"/>
        </w:rPr>
        <w:t xml:space="preserve">РСЦ N 1</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68"/>
        </w:rPr>
        <w:drawing>
          <wp:inline distT="0" distB="0" distL="0" distR="0">
            <wp:extent cx="6558915" cy="3535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6558915" cy="3535680"/>
                    </a:xfrm>
                    <a:prstGeom prst="rect">
                      <a:avLst/>
                    </a:prstGeom>
                    <a:noFill/>
                    <a:ln>
                      <a:noFill/>
                    </a:ln>
                  </pic:spPr>
                </pic:pic>
              </a:graphicData>
            </a:graphic>
          </wp:inline>
        </w:drawing>
      </w:r>
    </w:p>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Зона ответственности РСЦ N 1 (город Ханты-Мансийск) - западная зона автономного округа: городской округ Ханты-Мансийск, городской округ Урай, Белоярский, Кондинский, Ханты-Мансийский муниципальные районы. Наиболее отдаленное ПСО развернуто в БУ "Белоярская районная больница" (570 км)</w:t>
      </w:r>
    </w:p>
    <w:p>
      <w:pPr>
        <w:pStyle w:val="0"/>
        <w:ind w:firstLine="540"/>
        <w:jc w:val="both"/>
      </w:pPr>
      <w:r>
        <w:rPr>
          <w:sz w:val="20"/>
        </w:rPr>
      </w:r>
    </w:p>
    <w:p>
      <w:pPr>
        <w:pStyle w:val="0"/>
        <w:jc w:val="right"/>
      </w:pPr>
      <w:r>
        <w:rPr>
          <w:sz w:val="20"/>
        </w:rPr>
        <w:t xml:space="preserve">Таблица 32</w:t>
      </w:r>
    </w:p>
    <w:p>
      <w:pPr>
        <w:pStyle w:val="0"/>
        <w:jc w:val="right"/>
      </w:pPr>
      <w:r>
        <w:rPr>
          <w:sz w:val="20"/>
        </w:rPr>
      </w:r>
    </w:p>
    <w:p>
      <w:pPr>
        <w:pStyle w:val="0"/>
        <w:jc w:val="center"/>
      </w:pPr>
      <w:r>
        <w:rPr>
          <w:sz w:val="20"/>
        </w:rPr>
        <w:t xml:space="preserve">Оказание специализированной помощи больным с ОНМК в РСЦ N 1</w:t>
      </w:r>
    </w:p>
    <w:p>
      <w:pPr>
        <w:pStyle w:val="0"/>
        <w:jc w:val="center"/>
      </w:pPr>
      <w:r>
        <w:rPr>
          <w:sz w:val="20"/>
        </w:rPr>
        <w:t xml:space="preserve">(МИАЦ)</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58"/>
        <w:gridCol w:w="604"/>
        <w:gridCol w:w="604"/>
        <w:gridCol w:w="604"/>
        <w:gridCol w:w="604"/>
        <w:gridCol w:w="604"/>
      </w:tblGrid>
      <w:tr>
        <w:tc>
          <w:tcPr>
            <w:tcW w:w="3458" w:type="dxa"/>
          </w:tcPr>
          <w:p>
            <w:pPr>
              <w:pStyle w:val="0"/>
              <w:jc w:val="center"/>
            </w:pPr>
            <w:r>
              <w:rPr>
                <w:sz w:val="20"/>
              </w:rPr>
              <w:t xml:space="preserve">Год</w:t>
            </w:r>
          </w:p>
        </w:tc>
        <w:tc>
          <w:tcPr>
            <w:tcW w:w="604" w:type="dxa"/>
          </w:tcPr>
          <w:p>
            <w:pPr>
              <w:pStyle w:val="0"/>
              <w:jc w:val="center"/>
            </w:pPr>
            <w:r>
              <w:rPr>
                <w:sz w:val="20"/>
              </w:rPr>
              <w:t xml:space="preserve">2018</w:t>
            </w:r>
          </w:p>
        </w:tc>
        <w:tc>
          <w:tcPr>
            <w:tcW w:w="604" w:type="dxa"/>
          </w:tcPr>
          <w:p>
            <w:pPr>
              <w:pStyle w:val="0"/>
              <w:jc w:val="center"/>
            </w:pPr>
            <w:r>
              <w:rPr>
                <w:sz w:val="20"/>
              </w:rPr>
              <w:t xml:space="preserve">2019</w:t>
            </w:r>
          </w:p>
        </w:tc>
        <w:tc>
          <w:tcPr>
            <w:tcW w:w="604" w:type="dxa"/>
          </w:tcPr>
          <w:p>
            <w:pPr>
              <w:pStyle w:val="0"/>
              <w:jc w:val="center"/>
            </w:pPr>
            <w:r>
              <w:rPr>
                <w:sz w:val="20"/>
              </w:rPr>
              <w:t xml:space="preserve">2020</w:t>
            </w:r>
          </w:p>
        </w:tc>
        <w:tc>
          <w:tcPr>
            <w:tcW w:w="604" w:type="dxa"/>
          </w:tcPr>
          <w:p>
            <w:pPr>
              <w:pStyle w:val="0"/>
              <w:jc w:val="center"/>
            </w:pPr>
            <w:r>
              <w:rPr>
                <w:sz w:val="20"/>
              </w:rPr>
              <w:t xml:space="preserve">2021</w:t>
            </w:r>
          </w:p>
        </w:tc>
        <w:tc>
          <w:tcPr>
            <w:tcW w:w="604" w:type="dxa"/>
          </w:tcPr>
          <w:p>
            <w:pPr>
              <w:pStyle w:val="0"/>
              <w:jc w:val="center"/>
            </w:pPr>
            <w:r>
              <w:rPr>
                <w:sz w:val="20"/>
              </w:rPr>
              <w:t xml:space="preserve">2022</w:t>
            </w:r>
          </w:p>
        </w:tc>
      </w:tr>
      <w:tr>
        <w:tc>
          <w:tcPr>
            <w:tcW w:w="3458" w:type="dxa"/>
          </w:tcPr>
          <w:p>
            <w:pPr>
              <w:pStyle w:val="0"/>
            </w:pPr>
            <w:r>
              <w:rPr>
                <w:sz w:val="20"/>
              </w:rPr>
              <w:t xml:space="preserve">Поступило больных</w:t>
            </w:r>
          </w:p>
        </w:tc>
        <w:tc>
          <w:tcPr>
            <w:tcW w:w="604" w:type="dxa"/>
          </w:tcPr>
          <w:p>
            <w:pPr>
              <w:pStyle w:val="0"/>
            </w:pPr>
            <w:r>
              <w:rPr>
                <w:sz w:val="20"/>
              </w:rPr>
              <w:t xml:space="preserve">238</w:t>
            </w:r>
          </w:p>
        </w:tc>
        <w:tc>
          <w:tcPr>
            <w:tcW w:w="604" w:type="dxa"/>
          </w:tcPr>
          <w:p>
            <w:pPr>
              <w:pStyle w:val="0"/>
            </w:pPr>
            <w:r>
              <w:rPr>
                <w:sz w:val="20"/>
              </w:rPr>
              <w:t xml:space="preserve">276</w:t>
            </w:r>
          </w:p>
        </w:tc>
        <w:tc>
          <w:tcPr>
            <w:tcW w:w="604" w:type="dxa"/>
          </w:tcPr>
          <w:p>
            <w:pPr>
              <w:pStyle w:val="0"/>
            </w:pPr>
            <w:r>
              <w:rPr>
                <w:sz w:val="20"/>
              </w:rPr>
              <w:t xml:space="preserve">209</w:t>
            </w:r>
          </w:p>
        </w:tc>
        <w:tc>
          <w:tcPr>
            <w:tcW w:w="604" w:type="dxa"/>
          </w:tcPr>
          <w:p>
            <w:pPr>
              <w:pStyle w:val="0"/>
            </w:pPr>
            <w:r>
              <w:rPr>
                <w:sz w:val="20"/>
              </w:rPr>
              <w:t xml:space="preserve">271</w:t>
            </w:r>
          </w:p>
        </w:tc>
        <w:tc>
          <w:tcPr>
            <w:tcW w:w="604" w:type="dxa"/>
          </w:tcPr>
          <w:p>
            <w:pPr>
              <w:pStyle w:val="0"/>
            </w:pPr>
            <w:r>
              <w:rPr>
                <w:sz w:val="20"/>
              </w:rPr>
              <w:t xml:space="preserve">247</w:t>
            </w:r>
          </w:p>
        </w:tc>
      </w:tr>
      <w:tr>
        <w:tc>
          <w:tcPr>
            <w:tcW w:w="3458" w:type="dxa"/>
          </w:tcPr>
          <w:p>
            <w:pPr>
              <w:pStyle w:val="0"/>
            </w:pPr>
            <w:r>
              <w:rPr>
                <w:sz w:val="20"/>
              </w:rPr>
              <w:t xml:space="preserve">Выписано</w:t>
            </w:r>
          </w:p>
        </w:tc>
        <w:tc>
          <w:tcPr>
            <w:tcW w:w="604" w:type="dxa"/>
          </w:tcPr>
          <w:p>
            <w:pPr>
              <w:pStyle w:val="0"/>
            </w:pPr>
            <w:r>
              <w:rPr>
                <w:sz w:val="20"/>
              </w:rPr>
              <w:t xml:space="preserve">206</w:t>
            </w:r>
          </w:p>
        </w:tc>
        <w:tc>
          <w:tcPr>
            <w:tcW w:w="604" w:type="dxa"/>
          </w:tcPr>
          <w:p>
            <w:pPr>
              <w:pStyle w:val="0"/>
            </w:pPr>
            <w:r>
              <w:rPr>
                <w:sz w:val="20"/>
              </w:rPr>
              <w:t xml:space="preserve">193</w:t>
            </w:r>
          </w:p>
        </w:tc>
        <w:tc>
          <w:tcPr>
            <w:tcW w:w="604" w:type="dxa"/>
          </w:tcPr>
          <w:p>
            <w:pPr>
              <w:pStyle w:val="0"/>
            </w:pPr>
            <w:r>
              <w:rPr>
                <w:sz w:val="20"/>
              </w:rPr>
              <w:t xml:space="preserve">175</w:t>
            </w:r>
          </w:p>
        </w:tc>
        <w:tc>
          <w:tcPr>
            <w:tcW w:w="604" w:type="dxa"/>
          </w:tcPr>
          <w:p>
            <w:pPr>
              <w:pStyle w:val="0"/>
            </w:pPr>
            <w:r>
              <w:rPr>
                <w:sz w:val="20"/>
              </w:rPr>
              <w:t xml:space="preserve">240</w:t>
            </w:r>
          </w:p>
        </w:tc>
        <w:tc>
          <w:tcPr>
            <w:tcW w:w="604" w:type="dxa"/>
          </w:tcPr>
          <w:p>
            <w:pPr>
              <w:pStyle w:val="0"/>
            </w:pPr>
            <w:r>
              <w:rPr>
                <w:sz w:val="20"/>
              </w:rPr>
              <w:t xml:space="preserve">223</w:t>
            </w:r>
          </w:p>
        </w:tc>
      </w:tr>
      <w:tr>
        <w:tc>
          <w:tcPr>
            <w:tcW w:w="3458" w:type="dxa"/>
          </w:tcPr>
          <w:p>
            <w:pPr>
              <w:pStyle w:val="0"/>
            </w:pPr>
            <w:r>
              <w:rPr>
                <w:sz w:val="20"/>
              </w:rPr>
              <w:t xml:space="preserve">Жителей села</w:t>
            </w:r>
          </w:p>
        </w:tc>
        <w:tc>
          <w:tcPr>
            <w:tcW w:w="604" w:type="dxa"/>
          </w:tcPr>
          <w:p>
            <w:pPr>
              <w:pStyle w:val="0"/>
            </w:pPr>
            <w:r>
              <w:rPr>
                <w:sz w:val="20"/>
              </w:rPr>
              <w:t xml:space="preserve">22</w:t>
            </w:r>
          </w:p>
        </w:tc>
        <w:tc>
          <w:tcPr>
            <w:tcW w:w="604" w:type="dxa"/>
          </w:tcPr>
          <w:p>
            <w:pPr>
              <w:pStyle w:val="0"/>
            </w:pPr>
            <w:r>
              <w:rPr>
                <w:sz w:val="20"/>
              </w:rPr>
              <w:t xml:space="preserve">39</w:t>
            </w:r>
          </w:p>
        </w:tc>
        <w:tc>
          <w:tcPr>
            <w:tcW w:w="604" w:type="dxa"/>
          </w:tcPr>
          <w:p>
            <w:pPr>
              <w:pStyle w:val="0"/>
            </w:pPr>
            <w:r>
              <w:rPr>
                <w:sz w:val="20"/>
              </w:rPr>
              <w:t xml:space="preserve">22</w:t>
            </w:r>
          </w:p>
        </w:tc>
        <w:tc>
          <w:tcPr>
            <w:tcW w:w="604" w:type="dxa"/>
          </w:tcPr>
          <w:p>
            <w:pPr>
              <w:pStyle w:val="0"/>
            </w:pPr>
            <w:r>
              <w:rPr>
                <w:sz w:val="20"/>
              </w:rPr>
              <w:t xml:space="preserve">44</w:t>
            </w:r>
          </w:p>
        </w:tc>
        <w:tc>
          <w:tcPr>
            <w:tcW w:w="604" w:type="dxa"/>
          </w:tcPr>
          <w:p>
            <w:pPr>
              <w:pStyle w:val="0"/>
            </w:pPr>
            <w:r>
              <w:rPr>
                <w:sz w:val="20"/>
              </w:rPr>
              <w:t xml:space="preserve">20</w:t>
            </w:r>
          </w:p>
        </w:tc>
      </w:tr>
      <w:tr>
        <w:tc>
          <w:tcPr>
            <w:tcW w:w="3458" w:type="dxa"/>
          </w:tcPr>
          <w:p>
            <w:pPr>
              <w:pStyle w:val="0"/>
            </w:pPr>
            <w:r>
              <w:rPr>
                <w:sz w:val="20"/>
              </w:rPr>
              <w:t xml:space="preserve">Жителей города</w:t>
            </w:r>
          </w:p>
        </w:tc>
        <w:tc>
          <w:tcPr>
            <w:tcW w:w="604" w:type="dxa"/>
          </w:tcPr>
          <w:p>
            <w:pPr>
              <w:pStyle w:val="0"/>
            </w:pPr>
            <w:r>
              <w:rPr>
                <w:sz w:val="20"/>
              </w:rPr>
              <w:t xml:space="preserve">216</w:t>
            </w:r>
          </w:p>
        </w:tc>
        <w:tc>
          <w:tcPr>
            <w:tcW w:w="604" w:type="dxa"/>
          </w:tcPr>
          <w:p>
            <w:pPr>
              <w:pStyle w:val="0"/>
            </w:pPr>
            <w:r>
              <w:rPr>
                <w:sz w:val="20"/>
              </w:rPr>
              <w:t xml:space="preserve">237</w:t>
            </w:r>
          </w:p>
        </w:tc>
        <w:tc>
          <w:tcPr>
            <w:tcW w:w="604" w:type="dxa"/>
          </w:tcPr>
          <w:p>
            <w:pPr>
              <w:pStyle w:val="0"/>
            </w:pPr>
            <w:r>
              <w:rPr>
                <w:sz w:val="20"/>
              </w:rPr>
              <w:t xml:space="preserve">187</w:t>
            </w:r>
          </w:p>
        </w:tc>
        <w:tc>
          <w:tcPr>
            <w:tcW w:w="604" w:type="dxa"/>
          </w:tcPr>
          <w:p>
            <w:pPr>
              <w:pStyle w:val="0"/>
            </w:pPr>
            <w:r>
              <w:rPr>
                <w:sz w:val="20"/>
              </w:rPr>
              <w:t xml:space="preserve">227</w:t>
            </w:r>
          </w:p>
        </w:tc>
        <w:tc>
          <w:tcPr>
            <w:tcW w:w="604" w:type="dxa"/>
          </w:tcPr>
          <w:p>
            <w:pPr>
              <w:pStyle w:val="0"/>
            </w:pPr>
            <w:r>
              <w:rPr>
                <w:sz w:val="20"/>
              </w:rPr>
              <w:t xml:space="preserve">247</w:t>
            </w:r>
          </w:p>
        </w:tc>
      </w:tr>
    </w:tbl>
    <w:p>
      <w:pPr>
        <w:pStyle w:val="0"/>
        <w:ind w:firstLine="540"/>
        <w:jc w:val="both"/>
      </w:pPr>
      <w:r>
        <w:rPr>
          <w:sz w:val="20"/>
        </w:rPr>
      </w:r>
    </w:p>
    <w:p>
      <w:pPr>
        <w:pStyle w:val="0"/>
        <w:ind w:firstLine="540"/>
        <w:jc w:val="both"/>
      </w:pPr>
      <w:r>
        <w:rPr>
          <w:sz w:val="20"/>
        </w:rPr>
        <w:t xml:space="preserve">Рост числа больных, которым ежегодно оказывается специализированная помощь при ОНМК в зоне ответственности РСЦ N 1, с 206 в 2018 году до 223 в 2022 году за счет городских жителей, доля которых составила в среднем 92,5% (90,8% в 2018 году). Доля жителей села составила в 2022 году 7,5%.</w:t>
      </w:r>
    </w:p>
    <w:p>
      <w:pPr>
        <w:pStyle w:val="0"/>
        <w:ind w:firstLine="540"/>
        <w:jc w:val="both"/>
      </w:pPr>
      <w:r>
        <w:rPr>
          <w:sz w:val="20"/>
        </w:rPr>
      </w:r>
    </w:p>
    <w:p>
      <w:pPr>
        <w:pStyle w:val="0"/>
        <w:jc w:val="right"/>
      </w:pPr>
      <w:r>
        <w:rPr>
          <w:sz w:val="20"/>
        </w:rPr>
        <w:t xml:space="preserve">Таблица 33</w:t>
      </w:r>
    </w:p>
    <w:p>
      <w:pPr>
        <w:pStyle w:val="0"/>
        <w:jc w:val="right"/>
      </w:pPr>
      <w:r>
        <w:rPr>
          <w:sz w:val="20"/>
        </w:rPr>
      </w:r>
    </w:p>
    <w:p>
      <w:pPr>
        <w:pStyle w:val="0"/>
        <w:jc w:val="center"/>
      </w:pPr>
      <w:r>
        <w:rPr>
          <w:sz w:val="20"/>
        </w:rPr>
        <w:t xml:space="preserve">Основные показатели работы неврологического отделения</w:t>
      </w:r>
    </w:p>
    <w:p>
      <w:pPr>
        <w:pStyle w:val="0"/>
        <w:jc w:val="center"/>
      </w:pPr>
      <w:r>
        <w:rPr>
          <w:sz w:val="20"/>
        </w:rPr>
        <w:t xml:space="preserve">для больных с ОНМК в РСЦ N 1 (МИАЦ)</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664"/>
        <w:gridCol w:w="664"/>
        <w:gridCol w:w="664"/>
        <w:gridCol w:w="664"/>
        <w:gridCol w:w="604"/>
      </w:tblGrid>
      <w:tr>
        <w:tc>
          <w:tcPr>
            <w:tcW w:w="3402" w:type="dxa"/>
          </w:tcPr>
          <w:p>
            <w:pPr>
              <w:pStyle w:val="0"/>
              <w:jc w:val="center"/>
            </w:pPr>
            <w:r>
              <w:rPr>
                <w:sz w:val="20"/>
              </w:rPr>
              <w:t xml:space="preserve">Год</w:t>
            </w:r>
          </w:p>
        </w:tc>
        <w:tc>
          <w:tcPr>
            <w:tcW w:w="664" w:type="dxa"/>
          </w:tcPr>
          <w:p>
            <w:pPr>
              <w:pStyle w:val="0"/>
              <w:jc w:val="center"/>
            </w:pPr>
            <w:r>
              <w:rPr>
                <w:sz w:val="20"/>
              </w:rPr>
              <w:t xml:space="preserve">2018</w:t>
            </w:r>
          </w:p>
        </w:tc>
        <w:tc>
          <w:tcPr>
            <w:tcW w:w="664" w:type="dxa"/>
          </w:tcPr>
          <w:p>
            <w:pPr>
              <w:pStyle w:val="0"/>
              <w:jc w:val="center"/>
            </w:pPr>
            <w:r>
              <w:rPr>
                <w:sz w:val="20"/>
              </w:rPr>
              <w:t xml:space="preserve">2019</w:t>
            </w:r>
          </w:p>
        </w:tc>
        <w:tc>
          <w:tcPr>
            <w:tcW w:w="664" w:type="dxa"/>
          </w:tcPr>
          <w:p>
            <w:pPr>
              <w:pStyle w:val="0"/>
              <w:jc w:val="center"/>
            </w:pPr>
            <w:r>
              <w:rPr>
                <w:sz w:val="20"/>
              </w:rPr>
              <w:t xml:space="preserve">2020</w:t>
            </w:r>
          </w:p>
        </w:tc>
        <w:tc>
          <w:tcPr>
            <w:tcW w:w="664" w:type="dxa"/>
          </w:tcPr>
          <w:p>
            <w:pPr>
              <w:pStyle w:val="0"/>
              <w:jc w:val="center"/>
            </w:pPr>
            <w:r>
              <w:rPr>
                <w:sz w:val="20"/>
              </w:rPr>
              <w:t xml:space="preserve">2021</w:t>
            </w:r>
          </w:p>
        </w:tc>
        <w:tc>
          <w:tcPr>
            <w:tcW w:w="604" w:type="dxa"/>
          </w:tcPr>
          <w:p>
            <w:pPr>
              <w:pStyle w:val="0"/>
              <w:jc w:val="center"/>
            </w:pPr>
            <w:r>
              <w:rPr>
                <w:sz w:val="20"/>
              </w:rPr>
              <w:t xml:space="preserve">2022</w:t>
            </w:r>
          </w:p>
        </w:tc>
      </w:tr>
      <w:tr>
        <w:tc>
          <w:tcPr>
            <w:tcW w:w="3402" w:type="dxa"/>
          </w:tcPr>
          <w:p>
            <w:pPr>
              <w:pStyle w:val="0"/>
            </w:pPr>
            <w:r>
              <w:rPr>
                <w:sz w:val="20"/>
              </w:rPr>
              <w:t xml:space="preserve">Занятость койки</w:t>
            </w:r>
          </w:p>
        </w:tc>
        <w:tc>
          <w:tcPr>
            <w:tcW w:w="664" w:type="dxa"/>
          </w:tcPr>
          <w:p>
            <w:pPr>
              <w:pStyle w:val="0"/>
            </w:pPr>
            <w:r>
              <w:rPr>
                <w:sz w:val="20"/>
              </w:rPr>
              <w:t xml:space="preserve">348,2</w:t>
            </w:r>
          </w:p>
        </w:tc>
        <w:tc>
          <w:tcPr>
            <w:tcW w:w="664" w:type="dxa"/>
          </w:tcPr>
          <w:p>
            <w:pPr>
              <w:pStyle w:val="0"/>
            </w:pPr>
            <w:r>
              <w:rPr>
                <w:sz w:val="20"/>
              </w:rPr>
              <w:t xml:space="preserve">340,6</w:t>
            </w:r>
          </w:p>
        </w:tc>
        <w:tc>
          <w:tcPr>
            <w:tcW w:w="664" w:type="dxa"/>
          </w:tcPr>
          <w:p>
            <w:pPr>
              <w:pStyle w:val="0"/>
            </w:pPr>
            <w:r>
              <w:rPr>
                <w:sz w:val="20"/>
              </w:rPr>
              <w:t xml:space="preserve">331,5</w:t>
            </w:r>
          </w:p>
        </w:tc>
        <w:tc>
          <w:tcPr>
            <w:tcW w:w="664" w:type="dxa"/>
          </w:tcPr>
          <w:p>
            <w:pPr>
              <w:pStyle w:val="0"/>
            </w:pPr>
            <w:r>
              <w:rPr>
                <w:sz w:val="20"/>
              </w:rPr>
              <w:t xml:space="preserve">346,8</w:t>
            </w:r>
          </w:p>
        </w:tc>
        <w:tc>
          <w:tcPr>
            <w:tcW w:w="604" w:type="dxa"/>
          </w:tcPr>
          <w:p>
            <w:pPr>
              <w:pStyle w:val="0"/>
            </w:pPr>
            <w:r>
              <w:rPr>
                <w:sz w:val="20"/>
              </w:rPr>
              <w:t xml:space="preserve">293</w:t>
            </w:r>
          </w:p>
        </w:tc>
      </w:tr>
      <w:tr>
        <w:tc>
          <w:tcPr>
            <w:tcW w:w="3402" w:type="dxa"/>
          </w:tcPr>
          <w:p>
            <w:pPr>
              <w:pStyle w:val="0"/>
            </w:pPr>
            <w:r>
              <w:rPr>
                <w:sz w:val="20"/>
              </w:rPr>
              <w:t xml:space="preserve">Оборот койки</w:t>
            </w:r>
          </w:p>
        </w:tc>
        <w:tc>
          <w:tcPr>
            <w:tcW w:w="664" w:type="dxa"/>
          </w:tcPr>
          <w:p>
            <w:pPr>
              <w:pStyle w:val="0"/>
            </w:pPr>
            <w:r>
              <w:rPr>
                <w:sz w:val="20"/>
              </w:rPr>
              <w:t xml:space="preserve">15,7</w:t>
            </w:r>
          </w:p>
        </w:tc>
        <w:tc>
          <w:tcPr>
            <w:tcW w:w="664" w:type="dxa"/>
          </w:tcPr>
          <w:p>
            <w:pPr>
              <w:pStyle w:val="0"/>
            </w:pPr>
            <w:r>
              <w:rPr>
                <w:sz w:val="20"/>
              </w:rPr>
              <w:t xml:space="preserve">17,6</w:t>
            </w:r>
          </w:p>
        </w:tc>
        <w:tc>
          <w:tcPr>
            <w:tcW w:w="664" w:type="dxa"/>
          </w:tcPr>
          <w:p>
            <w:pPr>
              <w:pStyle w:val="0"/>
            </w:pPr>
            <w:r>
              <w:rPr>
                <w:sz w:val="20"/>
              </w:rPr>
              <w:t xml:space="preserve">17,1</w:t>
            </w:r>
          </w:p>
        </w:tc>
        <w:tc>
          <w:tcPr>
            <w:tcW w:w="664" w:type="dxa"/>
          </w:tcPr>
          <w:p>
            <w:pPr>
              <w:pStyle w:val="0"/>
            </w:pPr>
            <w:r>
              <w:rPr>
                <w:sz w:val="20"/>
              </w:rPr>
              <w:t xml:space="preserve">27,9</w:t>
            </w:r>
          </w:p>
        </w:tc>
        <w:tc>
          <w:tcPr>
            <w:tcW w:w="604" w:type="dxa"/>
          </w:tcPr>
          <w:p>
            <w:pPr>
              <w:pStyle w:val="0"/>
            </w:pPr>
            <w:r>
              <w:rPr>
                <w:sz w:val="20"/>
              </w:rPr>
              <w:t xml:space="preserve">14,5</w:t>
            </w:r>
          </w:p>
        </w:tc>
      </w:tr>
      <w:tr>
        <w:tc>
          <w:tcPr>
            <w:tcW w:w="3402" w:type="dxa"/>
          </w:tcPr>
          <w:p>
            <w:pPr>
              <w:pStyle w:val="0"/>
            </w:pPr>
            <w:r>
              <w:rPr>
                <w:sz w:val="20"/>
              </w:rPr>
              <w:t xml:space="preserve">Среднее пребывание, к/д</w:t>
            </w:r>
          </w:p>
        </w:tc>
        <w:tc>
          <w:tcPr>
            <w:tcW w:w="664" w:type="dxa"/>
          </w:tcPr>
          <w:p>
            <w:pPr>
              <w:pStyle w:val="0"/>
            </w:pPr>
            <w:r>
              <w:rPr>
                <w:sz w:val="20"/>
              </w:rPr>
              <w:t xml:space="preserve">20,8</w:t>
            </w:r>
          </w:p>
        </w:tc>
        <w:tc>
          <w:tcPr>
            <w:tcW w:w="664" w:type="dxa"/>
          </w:tcPr>
          <w:p>
            <w:pPr>
              <w:pStyle w:val="0"/>
            </w:pPr>
            <w:r>
              <w:rPr>
                <w:sz w:val="20"/>
              </w:rPr>
              <w:t xml:space="preserve">19,2</w:t>
            </w:r>
          </w:p>
        </w:tc>
        <w:tc>
          <w:tcPr>
            <w:tcW w:w="664" w:type="dxa"/>
          </w:tcPr>
          <w:p>
            <w:pPr>
              <w:pStyle w:val="0"/>
            </w:pPr>
            <w:r>
              <w:rPr>
                <w:sz w:val="20"/>
              </w:rPr>
              <w:t xml:space="preserve">19,4</w:t>
            </w:r>
          </w:p>
        </w:tc>
        <w:tc>
          <w:tcPr>
            <w:tcW w:w="664" w:type="dxa"/>
          </w:tcPr>
          <w:p>
            <w:pPr>
              <w:pStyle w:val="0"/>
            </w:pPr>
            <w:r>
              <w:rPr>
                <w:sz w:val="20"/>
              </w:rPr>
              <w:t xml:space="preserve">12,4</w:t>
            </w:r>
          </w:p>
        </w:tc>
        <w:tc>
          <w:tcPr>
            <w:tcW w:w="604" w:type="dxa"/>
          </w:tcPr>
          <w:p>
            <w:pPr>
              <w:pStyle w:val="0"/>
            </w:pPr>
            <w:r>
              <w:rPr>
                <w:sz w:val="20"/>
              </w:rPr>
              <w:t xml:space="preserve">19,7</w:t>
            </w:r>
          </w:p>
        </w:tc>
      </w:tr>
      <w:tr>
        <w:tc>
          <w:tcPr>
            <w:tcW w:w="3402" w:type="dxa"/>
          </w:tcPr>
          <w:p>
            <w:pPr>
              <w:pStyle w:val="0"/>
            </w:pPr>
            <w:r>
              <w:rPr>
                <w:sz w:val="20"/>
              </w:rPr>
              <w:t xml:space="preserve">Летальность, %</w:t>
            </w:r>
          </w:p>
        </w:tc>
        <w:tc>
          <w:tcPr>
            <w:tcW w:w="664" w:type="dxa"/>
          </w:tcPr>
          <w:p>
            <w:pPr>
              <w:pStyle w:val="0"/>
            </w:pPr>
            <w:r>
              <w:rPr>
                <w:sz w:val="20"/>
              </w:rPr>
              <w:t xml:space="preserve">13,4</w:t>
            </w:r>
          </w:p>
        </w:tc>
        <w:tc>
          <w:tcPr>
            <w:tcW w:w="664" w:type="dxa"/>
          </w:tcPr>
          <w:p>
            <w:pPr>
              <w:pStyle w:val="0"/>
            </w:pPr>
            <w:r>
              <w:rPr>
                <w:sz w:val="20"/>
              </w:rPr>
              <w:t xml:space="preserve">12,5</w:t>
            </w:r>
          </w:p>
        </w:tc>
        <w:tc>
          <w:tcPr>
            <w:tcW w:w="664" w:type="dxa"/>
          </w:tcPr>
          <w:p>
            <w:pPr>
              <w:pStyle w:val="0"/>
            </w:pPr>
            <w:r>
              <w:rPr>
                <w:sz w:val="20"/>
              </w:rPr>
              <w:t xml:space="preserve">19,9</w:t>
            </w:r>
          </w:p>
        </w:tc>
        <w:tc>
          <w:tcPr>
            <w:tcW w:w="664" w:type="dxa"/>
          </w:tcPr>
          <w:p>
            <w:pPr>
              <w:pStyle w:val="0"/>
            </w:pPr>
            <w:r>
              <w:rPr>
                <w:sz w:val="20"/>
              </w:rPr>
              <w:t xml:space="preserve">11,4</w:t>
            </w:r>
          </w:p>
        </w:tc>
        <w:tc>
          <w:tcPr>
            <w:tcW w:w="604" w:type="dxa"/>
          </w:tcPr>
          <w:p>
            <w:pPr>
              <w:pStyle w:val="0"/>
            </w:pPr>
            <w:r>
              <w:rPr>
                <w:sz w:val="20"/>
              </w:rPr>
              <w:t xml:space="preserve">9,7</w:t>
            </w:r>
          </w:p>
        </w:tc>
      </w:tr>
      <w:tr>
        <w:tc>
          <w:tcPr>
            <w:tcW w:w="3402" w:type="dxa"/>
          </w:tcPr>
          <w:p>
            <w:pPr>
              <w:pStyle w:val="0"/>
            </w:pPr>
            <w:r>
              <w:rPr>
                <w:sz w:val="20"/>
              </w:rPr>
              <w:t xml:space="preserve">Умерло</w:t>
            </w:r>
          </w:p>
        </w:tc>
        <w:tc>
          <w:tcPr>
            <w:tcW w:w="664" w:type="dxa"/>
          </w:tcPr>
          <w:p>
            <w:pPr>
              <w:pStyle w:val="0"/>
            </w:pPr>
            <w:r>
              <w:rPr>
                <w:sz w:val="20"/>
              </w:rPr>
              <w:t xml:space="preserve">32</w:t>
            </w:r>
          </w:p>
        </w:tc>
        <w:tc>
          <w:tcPr>
            <w:tcW w:w="664" w:type="dxa"/>
          </w:tcPr>
          <w:p>
            <w:pPr>
              <w:pStyle w:val="0"/>
            </w:pPr>
            <w:r>
              <w:rPr>
                <w:sz w:val="20"/>
              </w:rPr>
              <w:t xml:space="preserve">33</w:t>
            </w:r>
          </w:p>
        </w:tc>
        <w:tc>
          <w:tcPr>
            <w:tcW w:w="664" w:type="dxa"/>
          </w:tcPr>
          <w:p>
            <w:pPr>
              <w:pStyle w:val="0"/>
            </w:pPr>
            <w:r>
              <w:rPr>
                <w:sz w:val="20"/>
              </w:rPr>
              <w:t xml:space="preserve">34</w:t>
            </w:r>
          </w:p>
        </w:tc>
        <w:tc>
          <w:tcPr>
            <w:tcW w:w="664" w:type="dxa"/>
          </w:tcPr>
          <w:p>
            <w:pPr>
              <w:pStyle w:val="0"/>
            </w:pPr>
            <w:r>
              <w:rPr>
                <w:sz w:val="20"/>
              </w:rPr>
              <w:t xml:space="preserve">31</w:t>
            </w:r>
          </w:p>
        </w:tc>
        <w:tc>
          <w:tcPr>
            <w:tcW w:w="604" w:type="dxa"/>
          </w:tcPr>
          <w:p>
            <w:pPr>
              <w:pStyle w:val="0"/>
            </w:pPr>
            <w:r>
              <w:rPr>
                <w:sz w:val="20"/>
              </w:rPr>
              <w:t xml:space="preserve">24</w:t>
            </w:r>
          </w:p>
        </w:tc>
      </w:tr>
    </w:tbl>
    <w:p>
      <w:pPr>
        <w:pStyle w:val="0"/>
        <w:ind w:firstLine="540"/>
        <w:jc w:val="both"/>
      </w:pPr>
      <w:r>
        <w:rPr>
          <w:sz w:val="20"/>
        </w:rPr>
      </w:r>
    </w:p>
    <w:p>
      <w:pPr>
        <w:pStyle w:val="0"/>
        <w:ind w:firstLine="540"/>
        <w:jc w:val="both"/>
      </w:pPr>
      <w:r>
        <w:rPr>
          <w:sz w:val="20"/>
        </w:rPr>
        <w:t xml:space="preserve">В РСЦ развернуто 15 коек для лечения ОНМК, 4 койки палаты интенсивной терапии. Занятость койки составила в 2022 году 293 дня. Показатель среднего койко-дня на протяжении 5 лет уменьшается с 20,8 в 2018 году до 19,7 в 2022 году. Летальность от ОНМК постепенно снижается и составила 9,7% в 2022 году, тенденция к снижению прослеживается с 2018 года. Однако показатель летальности превышает целевой - 8,2% на 2022 год, что обусловлено госпитализацией тяжелых пациентов из зоны ответственности, из близлежащих месторождений нефти и газа (жителей РФ).</w:t>
      </w:r>
    </w:p>
    <w:p>
      <w:pPr>
        <w:pStyle w:val="0"/>
        <w:jc w:val="right"/>
      </w:pPr>
      <w:r>
        <w:rPr>
          <w:sz w:val="20"/>
        </w:rPr>
      </w:r>
    </w:p>
    <w:p>
      <w:pPr>
        <w:pStyle w:val="0"/>
        <w:jc w:val="right"/>
      </w:pPr>
      <w:r>
        <w:rPr>
          <w:sz w:val="20"/>
        </w:rPr>
        <w:t xml:space="preserve">Таблица 34</w:t>
      </w:r>
    </w:p>
    <w:p>
      <w:pPr>
        <w:pStyle w:val="0"/>
        <w:jc w:val="right"/>
      </w:pPr>
      <w:r>
        <w:rPr>
          <w:sz w:val="20"/>
        </w:rPr>
      </w:r>
    </w:p>
    <w:p>
      <w:pPr>
        <w:pStyle w:val="0"/>
        <w:jc w:val="center"/>
      </w:pPr>
      <w:r>
        <w:rPr>
          <w:sz w:val="20"/>
        </w:rPr>
        <w:t xml:space="preserve">Госпитализация больных с ОНМК в зависимости от времени</w:t>
      </w:r>
    </w:p>
    <w:p>
      <w:pPr>
        <w:pStyle w:val="0"/>
        <w:jc w:val="center"/>
      </w:pPr>
      <w:r>
        <w:rPr>
          <w:sz w:val="20"/>
        </w:rPr>
        <w:t xml:space="preserve">начала заболевания, РСЦ N 1</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964"/>
        <w:gridCol w:w="850"/>
        <w:gridCol w:w="964"/>
      </w:tblGrid>
      <w:tr>
        <w:tc>
          <w:tcPr>
            <w:tcW w:w="5669" w:type="dxa"/>
          </w:tcPr>
          <w:p>
            <w:pPr>
              <w:pStyle w:val="0"/>
              <w:jc w:val="center"/>
            </w:pPr>
            <w:r>
              <w:rPr>
                <w:sz w:val="20"/>
              </w:rPr>
              <w:t xml:space="preserve">Год</w:t>
            </w:r>
          </w:p>
        </w:tc>
        <w:tc>
          <w:tcPr>
            <w:tcW w:w="964" w:type="dxa"/>
          </w:tcPr>
          <w:p>
            <w:pPr>
              <w:pStyle w:val="0"/>
              <w:jc w:val="center"/>
            </w:pPr>
            <w:r>
              <w:rPr>
                <w:sz w:val="20"/>
              </w:rPr>
              <w:t xml:space="preserve">2020</w:t>
            </w:r>
          </w:p>
        </w:tc>
        <w:tc>
          <w:tcPr>
            <w:tcW w:w="850" w:type="dxa"/>
          </w:tcPr>
          <w:p>
            <w:pPr>
              <w:pStyle w:val="0"/>
              <w:jc w:val="center"/>
            </w:pPr>
            <w:r>
              <w:rPr>
                <w:sz w:val="20"/>
              </w:rPr>
              <w:t xml:space="preserve">2021</w:t>
            </w:r>
          </w:p>
        </w:tc>
        <w:tc>
          <w:tcPr>
            <w:tcW w:w="964" w:type="dxa"/>
          </w:tcPr>
          <w:p>
            <w:pPr>
              <w:pStyle w:val="0"/>
              <w:jc w:val="center"/>
            </w:pPr>
            <w:r>
              <w:rPr>
                <w:sz w:val="20"/>
              </w:rPr>
              <w:t xml:space="preserve">2022</w:t>
            </w:r>
          </w:p>
        </w:tc>
      </w:tr>
      <w:tr>
        <w:tc>
          <w:tcPr>
            <w:tcW w:w="5669" w:type="dxa"/>
          </w:tcPr>
          <w:p>
            <w:pPr>
              <w:pStyle w:val="0"/>
            </w:pPr>
            <w:r>
              <w:rPr>
                <w:sz w:val="20"/>
              </w:rPr>
              <w:t xml:space="preserve">Число госпитализированных больных с ОНМК, всего</w:t>
            </w:r>
          </w:p>
        </w:tc>
        <w:tc>
          <w:tcPr>
            <w:tcW w:w="964" w:type="dxa"/>
          </w:tcPr>
          <w:p>
            <w:pPr>
              <w:pStyle w:val="0"/>
            </w:pPr>
            <w:r>
              <w:rPr>
                <w:sz w:val="20"/>
              </w:rPr>
              <w:t xml:space="preserve">209</w:t>
            </w:r>
          </w:p>
        </w:tc>
        <w:tc>
          <w:tcPr>
            <w:tcW w:w="850" w:type="dxa"/>
          </w:tcPr>
          <w:p>
            <w:pPr>
              <w:pStyle w:val="0"/>
            </w:pPr>
            <w:r>
              <w:rPr>
                <w:sz w:val="20"/>
              </w:rPr>
              <w:t xml:space="preserve">271</w:t>
            </w:r>
          </w:p>
        </w:tc>
        <w:tc>
          <w:tcPr>
            <w:tcW w:w="964" w:type="dxa"/>
          </w:tcPr>
          <w:p>
            <w:pPr>
              <w:pStyle w:val="0"/>
            </w:pPr>
            <w:r>
              <w:rPr>
                <w:sz w:val="20"/>
              </w:rPr>
              <w:t xml:space="preserve">247</w:t>
            </w:r>
          </w:p>
        </w:tc>
      </w:tr>
      <w:tr>
        <w:tc>
          <w:tcPr>
            <w:tcW w:w="5669" w:type="dxa"/>
          </w:tcPr>
          <w:p>
            <w:pPr>
              <w:pStyle w:val="0"/>
            </w:pPr>
            <w:r>
              <w:rPr>
                <w:sz w:val="20"/>
              </w:rPr>
              <w:t xml:space="preserve">из них в первые 24 часа</w:t>
            </w:r>
          </w:p>
        </w:tc>
        <w:tc>
          <w:tcPr>
            <w:tcW w:w="964" w:type="dxa"/>
          </w:tcPr>
          <w:p>
            <w:pPr>
              <w:pStyle w:val="0"/>
            </w:pPr>
            <w:r>
              <w:rPr>
                <w:sz w:val="20"/>
              </w:rPr>
              <w:t xml:space="preserve">181</w:t>
            </w:r>
          </w:p>
        </w:tc>
        <w:tc>
          <w:tcPr>
            <w:tcW w:w="850" w:type="dxa"/>
          </w:tcPr>
          <w:p>
            <w:pPr>
              <w:pStyle w:val="0"/>
            </w:pPr>
            <w:r>
              <w:rPr>
                <w:sz w:val="20"/>
              </w:rPr>
              <w:t xml:space="preserve">201</w:t>
            </w:r>
          </w:p>
        </w:tc>
        <w:tc>
          <w:tcPr>
            <w:tcW w:w="964" w:type="dxa"/>
          </w:tcPr>
          <w:p>
            <w:pPr>
              <w:pStyle w:val="0"/>
            </w:pPr>
            <w:r>
              <w:rPr>
                <w:sz w:val="20"/>
              </w:rPr>
              <w:t xml:space="preserve">184</w:t>
            </w:r>
          </w:p>
        </w:tc>
      </w:tr>
      <w:tr>
        <w:tc>
          <w:tcPr>
            <w:tcW w:w="5669" w:type="dxa"/>
          </w:tcPr>
          <w:p>
            <w:pPr>
              <w:pStyle w:val="0"/>
            </w:pPr>
            <w:r>
              <w:rPr>
                <w:sz w:val="20"/>
              </w:rPr>
              <w:t xml:space="preserve">из них первые 6 часов</w:t>
            </w:r>
          </w:p>
        </w:tc>
        <w:tc>
          <w:tcPr>
            <w:tcW w:w="964" w:type="dxa"/>
          </w:tcPr>
          <w:p>
            <w:pPr>
              <w:pStyle w:val="0"/>
            </w:pPr>
            <w:r>
              <w:rPr>
                <w:sz w:val="20"/>
              </w:rPr>
              <w:t xml:space="preserve">60</w:t>
            </w:r>
          </w:p>
        </w:tc>
        <w:tc>
          <w:tcPr>
            <w:tcW w:w="850" w:type="dxa"/>
          </w:tcPr>
          <w:p>
            <w:pPr>
              <w:pStyle w:val="0"/>
            </w:pPr>
            <w:r>
              <w:rPr>
                <w:sz w:val="20"/>
              </w:rPr>
              <w:t xml:space="preserve">114</w:t>
            </w:r>
          </w:p>
        </w:tc>
        <w:tc>
          <w:tcPr>
            <w:tcW w:w="964" w:type="dxa"/>
          </w:tcPr>
          <w:p>
            <w:pPr>
              <w:pStyle w:val="0"/>
            </w:pPr>
            <w:r>
              <w:rPr>
                <w:sz w:val="20"/>
              </w:rPr>
              <w:t xml:space="preserve">123</w:t>
            </w:r>
          </w:p>
        </w:tc>
      </w:tr>
      <w:tr>
        <w:tc>
          <w:tcPr>
            <w:tcW w:w="5669" w:type="dxa"/>
          </w:tcPr>
          <w:p>
            <w:pPr>
              <w:pStyle w:val="0"/>
            </w:pPr>
            <w:r>
              <w:rPr>
                <w:sz w:val="20"/>
              </w:rPr>
              <w:t xml:space="preserve">Проведена тромболитическая терапия первые 6 часов</w:t>
            </w:r>
          </w:p>
        </w:tc>
        <w:tc>
          <w:tcPr>
            <w:tcW w:w="964" w:type="dxa"/>
          </w:tcPr>
          <w:p>
            <w:pPr>
              <w:pStyle w:val="0"/>
            </w:pPr>
            <w:r>
              <w:rPr>
                <w:sz w:val="20"/>
              </w:rPr>
              <w:t xml:space="preserve">13</w:t>
            </w:r>
          </w:p>
        </w:tc>
        <w:tc>
          <w:tcPr>
            <w:tcW w:w="850" w:type="dxa"/>
          </w:tcPr>
          <w:p>
            <w:pPr>
              <w:pStyle w:val="0"/>
            </w:pPr>
            <w:r>
              <w:rPr>
                <w:sz w:val="20"/>
              </w:rPr>
              <w:t xml:space="preserve">14</w:t>
            </w:r>
          </w:p>
        </w:tc>
        <w:tc>
          <w:tcPr>
            <w:tcW w:w="964" w:type="dxa"/>
          </w:tcPr>
          <w:p>
            <w:pPr>
              <w:pStyle w:val="0"/>
            </w:pPr>
            <w:r>
              <w:rPr>
                <w:sz w:val="20"/>
              </w:rPr>
              <w:t xml:space="preserve">25</w:t>
            </w:r>
          </w:p>
        </w:tc>
      </w:tr>
      <w:tr>
        <w:tc>
          <w:tcPr>
            <w:tcW w:w="5669" w:type="dxa"/>
          </w:tcPr>
          <w:p>
            <w:pPr>
              <w:pStyle w:val="0"/>
            </w:pPr>
            <w:r>
              <w:rPr>
                <w:sz w:val="20"/>
              </w:rPr>
              <w:t xml:space="preserve">Число госпитализированных больных с ишемическим инсультом, всего</w:t>
            </w:r>
          </w:p>
        </w:tc>
        <w:tc>
          <w:tcPr>
            <w:tcW w:w="964" w:type="dxa"/>
          </w:tcPr>
          <w:p>
            <w:pPr>
              <w:pStyle w:val="0"/>
            </w:pPr>
            <w:r>
              <w:rPr>
                <w:sz w:val="20"/>
              </w:rPr>
              <w:t xml:space="preserve">154</w:t>
            </w:r>
          </w:p>
        </w:tc>
        <w:tc>
          <w:tcPr>
            <w:tcW w:w="850" w:type="dxa"/>
          </w:tcPr>
          <w:p>
            <w:pPr>
              <w:pStyle w:val="0"/>
            </w:pPr>
            <w:r>
              <w:rPr>
                <w:sz w:val="20"/>
              </w:rPr>
              <w:t xml:space="preserve">209</w:t>
            </w:r>
          </w:p>
        </w:tc>
        <w:tc>
          <w:tcPr>
            <w:tcW w:w="964" w:type="dxa"/>
          </w:tcPr>
          <w:p>
            <w:pPr>
              <w:pStyle w:val="0"/>
            </w:pPr>
            <w:r>
              <w:rPr>
                <w:sz w:val="20"/>
              </w:rPr>
              <w:t xml:space="preserve">195</w:t>
            </w:r>
          </w:p>
        </w:tc>
      </w:tr>
    </w:tbl>
    <w:p>
      <w:pPr>
        <w:pStyle w:val="0"/>
        <w:ind w:firstLine="540"/>
        <w:jc w:val="both"/>
      </w:pPr>
      <w:r>
        <w:rPr>
          <w:sz w:val="20"/>
        </w:rPr>
      </w:r>
    </w:p>
    <w:p>
      <w:pPr>
        <w:pStyle w:val="0"/>
        <w:ind w:firstLine="540"/>
        <w:jc w:val="both"/>
      </w:pPr>
      <w:r>
        <w:rPr>
          <w:sz w:val="20"/>
        </w:rPr>
        <w:t xml:space="preserve">По РСЦ N 1 в динамике с 2020 года не отмечен рост числа госпитализированных больных, при этом удельный вес поступивших в первые 24 часа уменьшился на 14,1% по сравнению с 2020 годом. Число госпитализированных с ишемическим инсультом увеличилось на 26,6% в сравнении с 2020 годом, всего госпитализировано 195 пациентов (78,9%).</w:t>
      </w:r>
    </w:p>
    <w:p>
      <w:pPr>
        <w:pStyle w:val="0"/>
        <w:spacing w:before="200" w:line-rule="auto"/>
        <w:ind w:firstLine="540"/>
        <w:jc w:val="both"/>
      </w:pPr>
      <w:r>
        <w:rPr>
          <w:sz w:val="20"/>
        </w:rPr>
        <w:t xml:space="preserve">Нуждающиеся в реабилитации 2 этапа проходят реабилитационное лечение в БУ "Окружная клиническая больница". Часть пациентов переводится в БУ "Окружной клинический лечебно-реабилитационный центр".</w:t>
      </w:r>
    </w:p>
    <w:p>
      <w:pPr>
        <w:pStyle w:val="0"/>
        <w:jc w:val="right"/>
      </w:pPr>
      <w:r>
        <w:rPr>
          <w:sz w:val="20"/>
        </w:rPr>
      </w:r>
    </w:p>
    <w:p>
      <w:pPr>
        <w:pStyle w:val="0"/>
        <w:jc w:val="right"/>
      </w:pPr>
      <w:r>
        <w:rPr>
          <w:sz w:val="20"/>
        </w:rPr>
        <w:t xml:space="preserve">Рисунок 15</w:t>
      </w:r>
    </w:p>
    <w:p>
      <w:pPr>
        <w:pStyle w:val="0"/>
        <w:jc w:val="right"/>
      </w:pPr>
      <w:r>
        <w:rPr>
          <w:sz w:val="20"/>
        </w:rPr>
      </w:r>
    </w:p>
    <w:p>
      <w:pPr>
        <w:pStyle w:val="0"/>
        <w:jc w:val="center"/>
      </w:pPr>
      <w:r>
        <w:rPr>
          <w:sz w:val="20"/>
        </w:rPr>
        <w:t xml:space="preserve">Маршрутизация пациентов с ОНМК в зоне ответственности</w:t>
      </w:r>
    </w:p>
    <w:p>
      <w:pPr>
        <w:pStyle w:val="0"/>
        <w:jc w:val="center"/>
      </w:pPr>
      <w:r>
        <w:rPr>
          <w:sz w:val="20"/>
        </w:rPr>
        <w:t xml:space="preserve">РСЦ N 2</w:t>
      </w:r>
    </w:p>
    <w:p>
      <w:pPr>
        <w:pStyle w:val="0"/>
        <w:jc w:val="center"/>
      </w:pPr>
      <w:r>
        <w:rPr>
          <w:sz w:val="20"/>
        </w:rPr>
      </w:r>
    </w:p>
    <w:p>
      <w:pPr>
        <w:pStyle w:val="0"/>
        <w:jc w:val="center"/>
      </w:pPr>
      <w:r>
        <w:rPr>
          <w:position w:val="-252"/>
        </w:rPr>
        <w:drawing>
          <wp:inline distT="0" distB="0" distL="0" distR="0">
            <wp:extent cx="6120130" cy="33280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6120130" cy="332803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Зона ответственности БУ "Сургутская клиническая травматологическая больница" (РСЦ N 2) - центральные районы автономного округа: городские округа Сургут, Нефтеюганск, Когалым, Пыть-Ях, Мегион, Лангепас, Радужный, Нижневартовск; Сургутский, Нижневартовский муниципальные районы.</w:t>
      </w:r>
    </w:p>
    <w:p>
      <w:pPr>
        <w:pStyle w:val="0"/>
        <w:spacing w:before="200" w:line-rule="auto"/>
        <w:ind w:firstLine="540"/>
        <w:jc w:val="both"/>
      </w:pPr>
      <w:r>
        <w:rPr>
          <w:sz w:val="20"/>
        </w:rPr>
        <w:t xml:space="preserve">В БУ "Сургутская клиническая травматологическая больница" развернуто 135 нейрохирургических коек, из них 72 для лечения пациентов с ОНМК. Медицинская организация является в том числе специализированным центром для лечения геморрагического инсульта для всех жителей автономного округа, в котором выполняется весь спектр нейрохирургических вмешательств, в том числе высокотехнологичных.</w:t>
      </w:r>
    </w:p>
    <w:p>
      <w:pPr>
        <w:pStyle w:val="0"/>
        <w:ind w:firstLine="540"/>
        <w:jc w:val="both"/>
      </w:pPr>
      <w:r>
        <w:rPr>
          <w:sz w:val="20"/>
        </w:rPr>
      </w:r>
    </w:p>
    <w:p>
      <w:pPr>
        <w:pStyle w:val="0"/>
        <w:jc w:val="right"/>
      </w:pPr>
      <w:r>
        <w:rPr>
          <w:sz w:val="20"/>
        </w:rPr>
        <w:t xml:space="preserve">Таблица 35</w:t>
      </w:r>
    </w:p>
    <w:p>
      <w:pPr>
        <w:pStyle w:val="0"/>
        <w:jc w:val="right"/>
      </w:pPr>
      <w:r>
        <w:rPr>
          <w:sz w:val="20"/>
        </w:rPr>
      </w:r>
    </w:p>
    <w:p>
      <w:pPr>
        <w:pStyle w:val="0"/>
        <w:jc w:val="center"/>
      </w:pPr>
      <w:r>
        <w:rPr>
          <w:sz w:val="20"/>
        </w:rPr>
        <w:t xml:space="preserve">Оказание специализированной помощи больным с ОНМК в зоне</w:t>
      </w:r>
    </w:p>
    <w:p>
      <w:pPr>
        <w:pStyle w:val="0"/>
        <w:jc w:val="center"/>
      </w:pPr>
      <w:r>
        <w:rPr>
          <w:sz w:val="20"/>
        </w:rPr>
        <w:t xml:space="preserve">ответственности РСЦ N 2 (МИАЦ)</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05"/>
        <w:gridCol w:w="1191"/>
        <w:gridCol w:w="1191"/>
        <w:gridCol w:w="1389"/>
        <w:gridCol w:w="1390"/>
        <w:gridCol w:w="1390"/>
      </w:tblGrid>
      <w:tr>
        <w:tc>
          <w:tcPr>
            <w:tcW w:w="2405" w:type="dxa"/>
          </w:tcPr>
          <w:p>
            <w:pPr>
              <w:pStyle w:val="0"/>
              <w:jc w:val="center"/>
            </w:pPr>
            <w:r>
              <w:rPr>
                <w:sz w:val="20"/>
              </w:rPr>
              <w:t xml:space="preserve">Год</w:t>
            </w:r>
          </w:p>
        </w:tc>
        <w:tc>
          <w:tcPr>
            <w:tcW w:w="1191" w:type="dxa"/>
          </w:tcPr>
          <w:p>
            <w:pPr>
              <w:pStyle w:val="0"/>
              <w:jc w:val="center"/>
            </w:pPr>
            <w:r>
              <w:rPr>
                <w:sz w:val="20"/>
              </w:rPr>
              <w:t xml:space="preserve">2018</w:t>
            </w:r>
          </w:p>
        </w:tc>
        <w:tc>
          <w:tcPr>
            <w:tcW w:w="1191" w:type="dxa"/>
          </w:tcPr>
          <w:p>
            <w:pPr>
              <w:pStyle w:val="0"/>
              <w:jc w:val="center"/>
            </w:pPr>
            <w:r>
              <w:rPr>
                <w:sz w:val="20"/>
              </w:rPr>
              <w:t xml:space="preserve">2019</w:t>
            </w:r>
          </w:p>
        </w:tc>
        <w:tc>
          <w:tcPr>
            <w:tcW w:w="1389" w:type="dxa"/>
          </w:tcPr>
          <w:p>
            <w:pPr>
              <w:pStyle w:val="0"/>
              <w:jc w:val="center"/>
            </w:pPr>
            <w:r>
              <w:rPr>
                <w:sz w:val="20"/>
              </w:rPr>
              <w:t xml:space="preserve">2020</w:t>
            </w:r>
          </w:p>
        </w:tc>
        <w:tc>
          <w:tcPr>
            <w:tcW w:w="1390" w:type="dxa"/>
          </w:tcPr>
          <w:p>
            <w:pPr>
              <w:pStyle w:val="0"/>
              <w:jc w:val="center"/>
            </w:pPr>
            <w:r>
              <w:rPr>
                <w:sz w:val="20"/>
              </w:rPr>
              <w:t xml:space="preserve">2021</w:t>
            </w:r>
          </w:p>
        </w:tc>
        <w:tc>
          <w:tcPr>
            <w:tcW w:w="1390" w:type="dxa"/>
          </w:tcPr>
          <w:p>
            <w:pPr>
              <w:pStyle w:val="0"/>
              <w:jc w:val="center"/>
            </w:pPr>
            <w:r>
              <w:rPr>
                <w:sz w:val="20"/>
              </w:rPr>
              <w:t xml:space="preserve">2022</w:t>
            </w:r>
          </w:p>
        </w:tc>
      </w:tr>
      <w:tr>
        <w:tc>
          <w:tcPr>
            <w:tcW w:w="2405" w:type="dxa"/>
          </w:tcPr>
          <w:p>
            <w:pPr>
              <w:pStyle w:val="0"/>
            </w:pPr>
            <w:r>
              <w:rPr>
                <w:sz w:val="20"/>
              </w:rPr>
              <w:t xml:space="preserve">Поступило больных</w:t>
            </w:r>
          </w:p>
        </w:tc>
        <w:tc>
          <w:tcPr>
            <w:tcW w:w="1191" w:type="dxa"/>
          </w:tcPr>
          <w:p>
            <w:pPr>
              <w:pStyle w:val="0"/>
            </w:pPr>
            <w:r>
              <w:rPr>
                <w:sz w:val="20"/>
              </w:rPr>
              <w:t xml:space="preserve">407</w:t>
            </w:r>
          </w:p>
        </w:tc>
        <w:tc>
          <w:tcPr>
            <w:tcW w:w="1191" w:type="dxa"/>
          </w:tcPr>
          <w:p>
            <w:pPr>
              <w:pStyle w:val="0"/>
            </w:pPr>
            <w:r>
              <w:rPr>
                <w:sz w:val="20"/>
              </w:rPr>
              <w:t xml:space="preserve">416</w:t>
            </w:r>
          </w:p>
        </w:tc>
        <w:tc>
          <w:tcPr>
            <w:tcW w:w="1389" w:type="dxa"/>
          </w:tcPr>
          <w:p>
            <w:pPr>
              <w:pStyle w:val="0"/>
            </w:pPr>
            <w:r>
              <w:rPr>
                <w:sz w:val="20"/>
              </w:rPr>
              <w:t xml:space="preserve">732</w:t>
            </w:r>
          </w:p>
        </w:tc>
        <w:tc>
          <w:tcPr>
            <w:tcW w:w="1390" w:type="dxa"/>
          </w:tcPr>
          <w:p>
            <w:pPr>
              <w:pStyle w:val="0"/>
            </w:pPr>
            <w:r>
              <w:rPr>
                <w:sz w:val="20"/>
              </w:rPr>
              <w:t xml:space="preserve">860</w:t>
            </w:r>
          </w:p>
        </w:tc>
        <w:tc>
          <w:tcPr>
            <w:tcW w:w="1390" w:type="dxa"/>
          </w:tcPr>
          <w:p>
            <w:pPr>
              <w:pStyle w:val="0"/>
            </w:pPr>
            <w:r>
              <w:rPr>
                <w:sz w:val="20"/>
              </w:rPr>
              <w:t xml:space="preserve">736</w:t>
            </w:r>
          </w:p>
        </w:tc>
      </w:tr>
      <w:tr>
        <w:tc>
          <w:tcPr>
            <w:tcW w:w="2405" w:type="dxa"/>
          </w:tcPr>
          <w:p>
            <w:pPr>
              <w:pStyle w:val="0"/>
            </w:pPr>
            <w:r>
              <w:rPr>
                <w:sz w:val="20"/>
              </w:rPr>
              <w:t xml:space="preserve">Выписано</w:t>
            </w:r>
          </w:p>
        </w:tc>
        <w:tc>
          <w:tcPr>
            <w:tcW w:w="1191" w:type="dxa"/>
          </w:tcPr>
          <w:p>
            <w:pPr>
              <w:pStyle w:val="0"/>
            </w:pPr>
            <w:r>
              <w:rPr>
                <w:sz w:val="20"/>
              </w:rPr>
              <w:t xml:space="preserve">356</w:t>
            </w:r>
          </w:p>
        </w:tc>
        <w:tc>
          <w:tcPr>
            <w:tcW w:w="1191" w:type="dxa"/>
          </w:tcPr>
          <w:p>
            <w:pPr>
              <w:pStyle w:val="0"/>
            </w:pPr>
            <w:r>
              <w:rPr>
                <w:sz w:val="20"/>
              </w:rPr>
              <w:t xml:space="preserve">375</w:t>
            </w:r>
          </w:p>
        </w:tc>
        <w:tc>
          <w:tcPr>
            <w:tcW w:w="1389" w:type="dxa"/>
          </w:tcPr>
          <w:p>
            <w:pPr>
              <w:pStyle w:val="0"/>
            </w:pPr>
            <w:r>
              <w:rPr>
                <w:sz w:val="20"/>
              </w:rPr>
              <w:t xml:space="preserve">661</w:t>
            </w:r>
          </w:p>
        </w:tc>
        <w:tc>
          <w:tcPr>
            <w:tcW w:w="1390" w:type="dxa"/>
          </w:tcPr>
          <w:p>
            <w:pPr>
              <w:pStyle w:val="0"/>
            </w:pPr>
            <w:r>
              <w:rPr>
                <w:sz w:val="20"/>
              </w:rPr>
              <w:t xml:space="preserve">776</w:t>
            </w:r>
          </w:p>
        </w:tc>
        <w:tc>
          <w:tcPr>
            <w:tcW w:w="1390" w:type="dxa"/>
          </w:tcPr>
          <w:p>
            <w:pPr>
              <w:pStyle w:val="0"/>
            </w:pPr>
            <w:r>
              <w:rPr>
                <w:sz w:val="20"/>
              </w:rPr>
              <w:t xml:space="preserve">726</w:t>
            </w:r>
          </w:p>
        </w:tc>
      </w:tr>
    </w:tbl>
    <w:p>
      <w:pPr>
        <w:pStyle w:val="0"/>
        <w:ind w:firstLine="540"/>
        <w:jc w:val="both"/>
      </w:pPr>
      <w:r>
        <w:rPr>
          <w:sz w:val="20"/>
        </w:rPr>
      </w:r>
    </w:p>
    <w:p>
      <w:pPr>
        <w:pStyle w:val="0"/>
        <w:ind w:firstLine="540"/>
        <w:jc w:val="both"/>
      </w:pPr>
      <w:r>
        <w:rPr>
          <w:sz w:val="20"/>
        </w:rPr>
        <w:t xml:space="preserve">Число больных, которым ежегодно оказывается специализированная помощь при ОНМК в зоне ответственности РСЦ N 2, за 5 лет возросло в 2 раза. В структуре госпитализированных преобладает городское население.</w:t>
      </w:r>
    </w:p>
    <w:p>
      <w:pPr>
        <w:pStyle w:val="0"/>
        <w:jc w:val="right"/>
      </w:pPr>
      <w:r>
        <w:rPr>
          <w:sz w:val="20"/>
        </w:rPr>
      </w:r>
    </w:p>
    <w:p>
      <w:pPr>
        <w:pStyle w:val="0"/>
        <w:jc w:val="right"/>
      </w:pPr>
      <w:r>
        <w:rPr>
          <w:sz w:val="20"/>
        </w:rPr>
        <w:t xml:space="preserve">Таблица 36</w:t>
      </w:r>
    </w:p>
    <w:p>
      <w:pPr>
        <w:pStyle w:val="0"/>
        <w:jc w:val="right"/>
      </w:pPr>
      <w:r>
        <w:rPr>
          <w:sz w:val="20"/>
        </w:rPr>
      </w:r>
    </w:p>
    <w:p>
      <w:pPr>
        <w:pStyle w:val="0"/>
        <w:jc w:val="center"/>
      </w:pPr>
      <w:r>
        <w:rPr>
          <w:sz w:val="20"/>
        </w:rPr>
        <w:t xml:space="preserve">Основные показатели работы нейрохирургического отделения</w:t>
      </w:r>
    </w:p>
    <w:p>
      <w:pPr>
        <w:pStyle w:val="0"/>
        <w:jc w:val="center"/>
      </w:pPr>
      <w:r>
        <w:rPr>
          <w:sz w:val="20"/>
        </w:rPr>
        <w:t xml:space="preserve">в РСЦ N 2</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72"/>
        <w:gridCol w:w="664"/>
        <w:gridCol w:w="664"/>
        <w:gridCol w:w="664"/>
        <w:gridCol w:w="664"/>
        <w:gridCol w:w="664"/>
      </w:tblGrid>
      <w:tr>
        <w:tc>
          <w:tcPr>
            <w:tcW w:w="3572" w:type="dxa"/>
          </w:tcPr>
          <w:p>
            <w:pPr>
              <w:pStyle w:val="0"/>
              <w:jc w:val="center"/>
            </w:pPr>
            <w:r>
              <w:rPr>
                <w:sz w:val="20"/>
              </w:rPr>
              <w:t xml:space="preserve">Год</w:t>
            </w:r>
          </w:p>
        </w:tc>
        <w:tc>
          <w:tcPr>
            <w:tcW w:w="664" w:type="dxa"/>
          </w:tcPr>
          <w:p>
            <w:pPr>
              <w:pStyle w:val="0"/>
              <w:jc w:val="center"/>
            </w:pPr>
            <w:r>
              <w:rPr>
                <w:sz w:val="20"/>
              </w:rPr>
              <w:t xml:space="preserve">2018</w:t>
            </w:r>
          </w:p>
        </w:tc>
        <w:tc>
          <w:tcPr>
            <w:tcW w:w="664" w:type="dxa"/>
          </w:tcPr>
          <w:p>
            <w:pPr>
              <w:pStyle w:val="0"/>
              <w:jc w:val="center"/>
            </w:pPr>
            <w:r>
              <w:rPr>
                <w:sz w:val="20"/>
              </w:rPr>
              <w:t xml:space="preserve">2019</w:t>
            </w:r>
          </w:p>
        </w:tc>
        <w:tc>
          <w:tcPr>
            <w:tcW w:w="664" w:type="dxa"/>
          </w:tcPr>
          <w:p>
            <w:pPr>
              <w:pStyle w:val="0"/>
              <w:jc w:val="center"/>
            </w:pPr>
            <w:r>
              <w:rPr>
                <w:sz w:val="20"/>
              </w:rPr>
              <w:t xml:space="preserve">2020</w:t>
            </w:r>
          </w:p>
        </w:tc>
        <w:tc>
          <w:tcPr>
            <w:tcW w:w="664" w:type="dxa"/>
          </w:tcPr>
          <w:p>
            <w:pPr>
              <w:pStyle w:val="0"/>
              <w:jc w:val="center"/>
            </w:pPr>
            <w:r>
              <w:rPr>
                <w:sz w:val="20"/>
              </w:rPr>
              <w:t xml:space="preserve">2021</w:t>
            </w:r>
          </w:p>
        </w:tc>
        <w:tc>
          <w:tcPr>
            <w:tcW w:w="664" w:type="dxa"/>
          </w:tcPr>
          <w:p>
            <w:pPr>
              <w:pStyle w:val="0"/>
              <w:jc w:val="center"/>
            </w:pPr>
            <w:r>
              <w:rPr>
                <w:sz w:val="20"/>
              </w:rPr>
              <w:t xml:space="preserve">2022</w:t>
            </w:r>
          </w:p>
        </w:tc>
      </w:tr>
      <w:tr>
        <w:tc>
          <w:tcPr>
            <w:tcW w:w="3572" w:type="dxa"/>
          </w:tcPr>
          <w:p>
            <w:pPr>
              <w:pStyle w:val="0"/>
            </w:pPr>
            <w:r>
              <w:rPr>
                <w:sz w:val="20"/>
              </w:rPr>
              <w:t xml:space="preserve">Занятость койки</w:t>
            </w:r>
          </w:p>
        </w:tc>
        <w:tc>
          <w:tcPr>
            <w:tcW w:w="664" w:type="dxa"/>
          </w:tcPr>
          <w:p>
            <w:pPr>
              <w:pStyle w:val="0"/>
            </w:pPr>
            <w:r>
              <w:rPr>
                <w:sz w:val="20"/>
              </w:rPr>
              <w:t xml:space="preserve">330,1</w:t>
            </w:r>
          </w:p>
        </w:tc>
        <w:tc>
          <w:tcPr>
            <w:tcW w:w="664" w:type="dxa"/>
          </w:tcPr>
          <w:p>
            <w:pPr>
              <w:pStyle w:val="0"/>
            </w:pPr>
            <w:r>
              <w:rPr>
                <w:sz w:val="20"/>
              </w:rPr>
              <w:t xml:space="preserve">341,6</w:t>
            </w:r>
          </w:p>
        </w:tc>
        <w:tc>
          <w:tcPr>
            <w:tcW w:w="664" w:type="dxa"/>
          </w:tcPr>
          <w:p>
            <w:pPr>
              <w:pStyle w:val="0"/>
            </w:pPr>
            <w:r>
              <w:rPr>
                <w:sz w:val="20"/>
              </w:rPr>
              <w:t xml:space="preserve">347,4</w:t>
            </w:r>
          </w:p>
        </w:tc>
        <w:tc>
          <w:tcPr>
            <w:tcW w:w="664" w:type="dxa"/>
          </w:tcPr>
          <w:p>
            <w:pPr>
              <w:pStyle w:val="0"/>
            </w:pPr>
            <w:r>
              <w:rPr>
                <w:sz w:val="20"/>
              </w:rPr>
              <w:t xml:space="preserve">337,4</w:t>
            </w:r>
          </w:p>
        </w:tc>
        <w:tc>
          <w:tcPr>
            <w:tcW w:w="664" w:type="dxa"/>
          </w:tcPr>
          <w:p>
            <w:pPr>
              <w:pStyle w:val="0"/>
            </w:pPr>
            <w:r>
              <w:rPr>
                <w:sz w:val="20"/>
              </w:rPr>
              <w:t xml:space="preserve">337,4</w:t>
            </w:r>
          </w:p>
        </w:tc>
      </w:tr>
      <w:tr>
        <w:tc>
          <w:tcPr>
            <w:tcW w:w="3572" w:type="dxa"/>
          </w:tcPr>
          <w:p>
            <w:pPr>
              <w:pStyle w:val="0"/>
            </w:pPr>
            <w:r>
              <w:rPr>
                <w:sz w:val="20"/>
              </w:rPr>
              <w:t xml:space="preserve">Оборот койки</w:t>
            </w:r>
          </w:p>
        </w:tc>
        <w:tc>
          <w:tcPr>
            <w:tcW w:w="664" w:type="dxa"/>
          </w:tcPr>
          <w:p>
            <w:pPr>
              <w:pStyle w:val="0"/>
            </w:pPr>
            <w:r>
              <w:rPr>
                <w:sz w:val="20"/>
              </w:rPr>
              <w:t xml:space="preserve">27,8</w:t>
            </w:r>
          </w:p>
        </w:tc>
        <w:tc>
          <w:tcPr>
            <w:tcW w:w="664" w:type="dxa"/>
          </w:tcPr>
          <w:p>
            <w:pPr>
              <w:pStyle w:val="0"/>
            </w:pPr>
            <w:r>
              <w:rPr>
                <w:sz w:val="20"/>
              </w:rPr>
              <w:t xml:space="preserve">26,1</w:t>
            </w:r>
          </w:p>
        </w:tc>
        <w:tc>
          <w:tcPr>
            <w:tcW w:w="664" w:type="dxa"/>
          </w:tcPr>
          <w:p>
            <w:pPr>
              <w:pStyle w:val="0"/>
            </w:pPr>
            <w:r>
              <w:rPr>
                <w:sz w:val="20"/>
              </w:rPr>
              <w:t xml:space="preserve">28,3</w:t>
            </w:r>
          </w:p>
        </w:tc>
        <w:tc>
          <w:tcPr>
            <w:tcW w:w="664" w:type="dxa"/>
          </w:tcPr>
          <w:p>
            <w:pPr>
              <w:pStyle w:val="0"/>
            </w:pPr>
            <w:r>
              <w:rPr>
                <w:sz w:val="20"/>
              </w:rPr>
              <w:t xml:space="preserve">21,4</w:t>
            </w:r>
          </w:p>
        </w:tc>
        <w:tc>
          <w:tcPr>
            <w:tcW w:w="664" w:type="dxa"/>
          </w:tcPr>
          <w:p>
            <w:pPr>
              <w:pStyle w:val="0"/>
            </w:pPr>
            <w:r>
              <w:rPr>
                <w:sz w:val="20"/>
              </w:rPr>
              <w:t xml:space="preserve">26,7</w:t>
            </w:r>
          </w:p>
        </w:tc>
      </w:tr>
      <w:tr>
        <w:tc>
          <w:tcPr>
            <w:tcW w:w="3572" w:type="dxa"/>
          </w:tcPr>
          <w:p>
            <w:pPr>
              <w:pStyle w:val="0"/>
            </w:pPr>
            <w:r>
              <w:rPr>
                <w:sz w:val="20"/>
              </w:rPr>
              <w:t xml:space="preserve">Среднее пребывание, к/д</w:t>
            </w:r>
          </w:p>
        </w:tc>
        <w:tc>
          <w:tcPr>
            <w:tcW w:w="664" w:type="dxa"/>
          </w:tcPr>
          <w:p>
            <w:pPr>
              <w:pStyle w:val="0"/>
            </w:pPr>
            <w:r>
              <w:rPr>
                <w:sz w:val="20"/>
              </w:rPr>
              <w:t xml:space="preserve">11,9</w:t>
            </w:r>
          </w:p>
        </w:tc>
        <w:tc>
          <w:tcPr>
            <w:tcW w:w="664" w:type="dxa"/>
          </w:tcPr>
          <w:p>
            <w:pPr>
              <w:pStyle w:val="0"/>
            </w:pPr>
            <w:r>
              <w:rPr>
                <w:sz w:val="20"/>
              </w:rPr>
              <w:t xml:space="preserve">13,1</w:t>
            </w:r>
          </w:p>
        </w:tc>
        <w:tc>
          <w:tcPr>
            <w:tcW w:w="664" w:type="dxa"/>
          </w:tcPr>
          <w:p>
            <w:pPr>
              <w:pStyle w:val="0"/>
            </w:pPr>
            <w:r>
              <w:rPr>
                <w:sz w:val="20"/>
              </w:rPr>
              <w:t xml:space="preserve">11,8</w:t>
            </w:r>
          </w:p>
        </w:tc>
        <w:tc>
          <w:tcPr>
            <w:tcW w:w="664" w:type="dxa"/>
          </w:tcPr>
          <w:p>
            <w:pPr>
              <w:pStyle w:val="0"/>
            </w:pPr>
            <w:r>
              <w:rPr>
                <w:sz w:val="20"/>
              </w:rPr>
              <w:t xml:space="preserve">14,6</w:t>
            </w:r>
          </w:p>
        </w:tc>
        <w:tc>
          <w:tcPr>
            <w:tcW w:w="664" w:type="dxa"/>
          </w:tcPr>
          <w:p>
            <w:pPr>
              <w:pStyle w:val="0"/>
            </w:pPr>
            <w:r>
              <w:rPr>
                <w:sz w:val="20"/>
              </w:rPr>
              <w:t xml:space="preserve">12,6</w:t>
            </w:r>
          </w:p>
        </w:tc>
      </w:tr>
      <w:tr>
        <w:tc>
          <w:tcPr>
            <w:tcW w:w="3572" w:type="dxa"/>
          </w:tcPr>
          <w:p>
            <w:pPr>
              <w:pStyle w:val="0"/>
            </w:pPr>
            <w:r>
              <w:rPr>
                <w:sz w:val="20"/>
              </w:rPr>
              <w:t xml:space="preserve">Летальность, %</w:t>
            </w:r>
          </w:p>
        </w:tc>
        <w:tc>
          <w:tcPr>
            <w:tcW w:w="664" w:type="dxa"/>
          </w:tcPr>
          <w:p>
            <w:pPr>
              <w:pStyle w:val="0"/>
            </w:pPr>
            <w:r>
              <w:rPr>
                <w:sz w:val="20"/>
              </w:rPr>
              <w:t xml:space="preserve">15,8</w:t>
            </w:r>
          </w:p>
        </w:tc>
        <w:tc>
          <w:tcPr>
            <w:tcW w:w="664" w:type="dxa"/>
          </w:tcPr>
          <w:p>
            <w:pPr>
              <w:pStyle w:val="0"/>
            </w:pPr>
            <w:r>
              <w:rPr>
                <w:sz w:val="20"/>
              </w:rPr>
              <w:t xml:space="preserve">9,9</w:t>
            </w:r>
          </w:p>
        </w:tc>
        <w:tc>
          <w:tcPr>
            <w:tcW w:w="664" w:type="dxa"/>
          </w:tcPr>
          <w:p>
            <w:pPr>
              <w:pStyle w:val="0"/>
            </w:pPr>
            <w:r>
              <w:rPr>
                <w:sz w:val="20"/>
              </w:rPr>
              <w:t xml:space="preserve">9,7</w:t>
            </w:r>
          </w:p>
        </w:tc>
        <w:tc>
          <w:tcPr>
            <w:tcW w:w="664" w:type="dxa"/>
          </w:tcPr>
          <w:p>
            <w:pPr>
              <w:pStyle w:val="0"/>
            </w:pPr>
            <w:r>
              <w:rPr>
                <w:sz w:val="20"/>
              </w:rPr>
              <w:t xml:space="preserve">9,0</w:t>
            </w:r>
          </w:p>
        </w:tc>
        <w:tc>
          <w:tcPr>
            <w:tcW w:w="664" w:type="dxa"/>
          </w:tcPr>
          <w:p>
            <w:pPr>
              <w:pStyle w:val="0"/>
            </w:pPr>
            <w:r>
              <w:rPr>
                <w:sz w:val="20"/>
              </w:rPr>
              <w:t xml:space="preserve">9,8</w:t>
            </w:r>
          </w:p>
        </w:tc>
      </w:tr>
      <w:tr>
        <w:tc>
          <w:tcPr>
            <w:tcW w:w="3572" w:type="dxa"/>
          </w:tcPr>
          <w:p>
            <w:pPr>
              <w:pStyle w:val="0"/>
            </w:pPr>
            <w:r>
              <w:rPr>
                <w:sz w:val="20"/>
              </w:rPr>
              <w:t xml:space="preserve">Умерло</w:t>
            </w:r>
          </w:p>
        </w:tc>
        <w:tc>
          <w:tcPr>
            <w:tcW w:w="664" w:type="dxa"/>
          </w:tcPr>
          <w:p>
            <w:pPr>
              <w:pStyle w:val="0"/>
            </w:pPr>
            <w:r>
              <w:rPr>
                <w:sz w:val="20"/>
              </w:rPr>
              <w:t xml:space="preserve">67</w:t>
            </w:r>
          </w:p>
        </w:tc>
        <w:tc>
          <w:tcPr>
            <w:tcW w:w="664" w:type="dxa"/>
          </w:tcPr>
          <w:p>
            <w:pPr>
              <w:pStyle w:val="0"/>
            </w:pPr>
            <w:r>
              <w:rPr>
                <w:sz w:val="20"/>
              </w:rPr>
              <w:t xml:space="preserve">41</w:t>
            </w:r>
          </w:p>
        </w:tc>
        <w:tc>
          <w:tcPr>
            <w:tcW w:w="664" w:type="dxa"/>
          </w:tcPr>
          <w:p>
            <w:pPr>
              <w:pStyle w:val="0"/>
            </w:pPr>
            <w:r>
              <w:rPr>
                <w:sz w:val="20"/>
              </w:rPr>
              <w:t xml:space="preserve">71</w:t>
            </w:r>
          </w:p>
        </w:tc>
        <w:tc>
          <w:tcPr>
            <w:tcW w:w="664" w:type="dxa"/>
          </w:tcPr>
          <w:p>
            <w:pPr>
              <w:pStyle w:val="0"/>
            </w:pPr>
            <w:r>
              <w:rPr>
                <w:sz w:val="20"/>
              </w:rPr>
              <w:t xml:space="preserve">71</w:t>
            </w:r>
          </w:p>
        </w:tc>
        <w:tc>
          <w:tcPr>
            <w:tcW w:w="664" w:type="dxa"/>
          </w:tcPr>
          <w:p>
            <w:pPr>
              <w:pStyle w:val="0"/>
            </w:pPr>
            <w:r>
              <w:rPr>
                <w:sz w:val="20"/>
              </w:rPr>
              <w:t xml:space="preserve">52</w:t>
            </w:r>
          </w:p>
        </w:tc>
      </w:tr>
    </w:tbl>
    <w:p>
      <w:pPr>
        <w:pStyle w:val="0"/>
        <w:ind w:firstLine="540"/>
        <w:jc w:val="both"/>
      </w:pPr>
      <w:r>
        <w:rPr>
          <w:sz w:val="20"/>
        </w:rPr>
      </w:r>
    </w:p>
    <w:p>
      <w:pPr>
        <w:pStyle w:val="0"/>
        <w:ind w:firstLine="540"/>
        <w:jc w:val="both"/>
      </w:pPr>
      <w:r>
        <w:rPr>
          <w:sz w:val="20"/>
        </w:rPr>
        <w:t xml:space="preserve">В нейрохирургическом отделении наблюдается стабильно высокий показатель работы койки в году - 337,4 дня; средний койко-день снизился на 13,7% % в сравнении с 2021 годом. Летальность от ОНМК в целом за 5 лет постепенно снижается и составила 9,8% в 2022 году, что превышает целевой показатель для РСЦ - 8,2% на 2022 год.</w:t>
      </w:r>
    </w:p>
    <w:p>
      <w:pPr>
        <w:pStyle w:val="0"/>
        <w:jc w:val="right"/>
      </w:pPr>
      <w:r>
        <w:rPr>
          <w:sz w:val="20"/>
        </w:rPr>
      </w:r>
    </w:p>
    <w:p>
      <w:pPr>
        <w:pStyle w:val="0"/>
        <w:jc w:val="right"/>
      </w:pPr>
      <w:r>
        <w:rPr>
          <w:sz w:val="20"/>
        </w:rPr>
        <w:t xml:space="preserve">Таблица 37</w:t>
      </w:r>
    </w:p>
    <w:p>
      <w:pPr>
        <w:pStyle w:val="0"/>
        <w:jc w:val="right"/>
      </w:pPr>
      <w:r>
        <w:rPr>
          <w:sz w:val="20"/>
        </w:rPr>
      </w:r>
    </w:p>
    <w:p>
      <w:pPr>
        <w:pStyle w:val="0"/>
        <w:jc w:val="center"/>
      </w:pPr>
      <w:r>
        <w:rPr>
          <w:sz w:val="20"/>
        </w:rPr>
        <w:t xml:space="preserve">Госпитализация больных с ишемическим инсультом в зависимости</w:t>
      </w:r>
    </w:p>
    <w:p>
      <w:pPr>
        <w:pStyle w:val="0"/>
        <w:jc w:val="center"/>
      </w:pPr>
      <w:r>
        <w:rPr>
          <w:sz w:val="20"/>
        </w:rPr>
        <w:t xml:space="preserve">от времени начала заболевания, данные по РСЦ N 2</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19"/>
        <w:gridCol w:w="1134"/>
        <w:gridCol w:w="907"/>
        <w:gridCol w:w="1077"/>
      </w:tblGrid>
      <w:tr>
        <w:tc>
          <w:tcPr>
            <w:tcW w:w="4819" w:type="dxa"/>
          </w:tcPr>
          <w:p>
            <w:pPr>
              <w:pStyle w:val="0"/>
              <w:jc w:val="center"/>
            </w:pPr>
            <w:r>
              <w:rPr>
                <w:sz w:val="20"/>
              </w:rPr>
              <w:t xml:space="preserve">Год</w:t>
            </w:r>
          </w:p>
        </w:tc>
        <w:tc>
          <w:tcPr>
            <w:tcW w:w="1134" w:type="dxa"/>
          </w:tcPr>
          <w:p>
            <w:pPr>
              <w:pStyle w:val="0"/>
              <w:jc w:val="center"/>
            </w:pPr>
            <w:r>
              <w:rPr>
                <w:sz w:val="20"/>
              </w:rPr>
              <w:t xml:space="preserve">2020</w:t>
            </w:r>
          </w:p>
        </w:tc>
        <w:tc>
          <w:tcPr>
            <w:tcW w:w="907" w:type="dxa"/>
          </w:tcPr>
          <w:p>
            <w:pPr>
              <w:pStyle w:val="0"/>
              <w:jc w:val="center"/>
            </w:pPr>
            <w:r>
              <w:rPr>
                <w:sz w:val="20"/>
              </w:rPr>
              <w:t xml:space="preserve">2021</w:t>
            </w:r>
          </w:p>
        </w:tc>
        <w:tc>
          <w:tcPr>
            <w:tcW w:w="1077" w:type="dxa"/>
          </w:tcPr>
          <w:p>
            <w:pPr>
              <w:pStyle w:val="0"/>
              <w:jc w:val="center"/>
            </w:pPr>
            <w:r>
              <w:rPr>
                <w:sz w:val="20"/>
              </w:rPr>
              <w:t xml:space="preserve">2022</w:t>
            </w:r>
          </w:p>
        </w:tc>
      </w:tr>
      <w:tr>
        <w:tc>
          <w:tcPr>
            <w:tcW w:w="4819" w:type="dxa"/>
          </w:tcPr>
          <w:p>
            <w:pPr>
              <w:pStyle w:val="0"/>
            </w:pPr>
            <w:r>
              <w:rPr>
                <w:sz w:val="20"/>
              </w:rPr>
              <w:t xml:space="preserve">Число госпитализированных больных с ОНМК, всего человек</w:t>
            </w:r>
          </w:p>
        </w:tc>
        <w:tc>
          <w:tcPr>
            <w:tcW w:w="1134" w:type="dxa"/>
          </w:tcPr>
          <w:p>
            <w:pPr>
              <w:pStyle w:val="0"/>
            </w:pPr>
            <w:r>
              <w:rPr>
                <w:sz w:val="20"/>
              </w:rPr>
              <w:t xml:space="preserve">732</w:t>
            </w:r>
          </w:p>
        </w:tc>
        <w:tc>
          <w:tcPr>
            <w:tcW w:w="907" w:type="dxa"/>
          </w:tcPr>
          <w:p>
            <w:pPr>
              <w:pStyle w:val="0"/>
            </w:pPr>
            <w:r>
              <w:rPr>
                <w:sz w:val="20"/>
              </w:rPr>
              <w:t xml:space="preserve">860</w:t>
            </w:r>
          </w:p>
        </w:tc>
        <w:tc>
          <w:tcPr>
            <w:tcW w:w="1077" w:type="dxa"/>
          </w:tcPr>
          <w:p>
            <w:pPr>
              <w:pStyle w:val="0"/>
            </w:pPr>
            <w:r>
              <w:rPr>
                <w:sz w:val="20"/>
              </w:rPr>
              <w:t xml:space="preserve">537</w:t>
            </w:r>
          </w:p>
        </w:tc>
      </w:tr>
      <w:tr>
        <w:tc>
          <w:tcPr>
            <w:tcW w:w="4819" w:type="dxa"/>
          </w:tcPr>
          <w:p>
            <w:pPr>
              <w:pStyle w:val="0"/>
            </w:pPr>
            <w:r>
              <w:rPr>
                <w:sz w:val="20"/>
              </w:rPr>
              <w:t xml:space="preserve">из них в первые 24 часа</w:t>
            </w:r>
          </w:p>
        </w:tc>
        <w:tc>
          <w:tcPr>
            <w:tcW w:w="1134" w:type="dxa"/>
          </w:tcPr>
          <w:p>
            <w:pPr>
              <w:pStyle w:val="0"/>
            </w:pPr>
            <w:r>
              <w:rPr>
                <w:sz w:val="20"/>
              </w:rPr>
              <w:t xml:space="preserve">561</w:t>
            </w:r>
          </w:p>
        </w:tc>
        <w:tc>
          <w:tcPr>
            <w:tcW w:w="907" w:type="dxa"/>
          </w:tcPr>
          <w:p>
            <w:pPr>
              <w:pStyle w:val="0"/>
            </w:pPr>
            <w:r>
              <w:rPr>
                <w:sz w:val="20"/>
              </w:rPr>
              <w:t xml:space="preserve">740</w:t>
            </w:r>
          </w:p>
        </w:tc>
        <w:tc>
          <w:tcPr>
            <w:tcW w:w="1077" w:type="dxa"/>
          </w:tcPr>
          <w:p>
            <w:pPr>
              <w:pStyle w:val="0"/>
            </w:pPr>
            <w:r>
              <w:rPr>
                <w:sz w:val="20"/>
              </w:rPr>
              <w:t xml:space="preserve">454</w:t>
            </w:r>
          </w:p>
        </w:tc>
      </w:tr>
      <w:tr>
        <w:tc>
          <w:tcPr>
            <w:tcW w:w="4819" w:type="dxa"/>
          </w:tcPr>
          <w:p>
            <w:pPr>
              <w:pStyle w:val="0"/>
            </w:pPr>
            <w:r>
              <w:rPr>
                <w:sz w:val="20"/>
              </w:rPr>
              <w:t xml:space="preserve">из них первые 6 часов</w:t>
            </w:r>
          </w:p>
        </w:tc>
        <w:tc>
          <w:tcPr>
            <w:tcW w:w="1134" w:type="dxa"/>
          </w:tcPr>
          <w:p>
            <w:pPr>
              <w:pStyle w:val="0"/>
            </w:pPr>
            <w:r>
              <w:rPr>
                <w:sz w:val="20"/>
              </w:rPr>
              <w:t xml:space="preserve">538</w:t>
            </w:r>
          </w:p>
        </w:tc>
        <w:tc>
          <w:tcPr>
            <w:tcW w:w="907" w:type="dxa"/>
          </w:tcPr>
          <w:p>
            <w:pPr>
              <w:pStyle w:val="0"/>
            </w:pPr>
            <w:r>
              <w:rPr>
                <w:sz w:val="20"/>
              </w:rPr>
              <w:t xml:space="preserve">808</w:t>
            </w:r>
          </w:p>
        </w:tc>
        <w:tc>
          <w:tcPr>
            <w:tcW w:w="1077" w:type="dxa"/>
          </w:tcPr>
          <w:p>
            <w:pPr>
              <w:pStyle w:val="0"/>
            </w:pPr>
            <w:r>
              <w:rPr>
                <w:sz w:val="20"/>
              </w:rPr>
              <w:t xml:space="preserve">443</w:t>
            </w:r>
          </w:p>
        </w:tc>
      </w:tr>
      <w:tr>
        <w:tc>
          <w:tcPr>
            <w:tcW w:w="4819" w:type="dxa"/>
          </w:tcPr>
          <w:p>
            <w:pPr>
              <w:pStyle w:val="0"/>
            </w:pPr>
            <w:r>
              <w:rPr>
                <w:sz w:val="20"/>
              </w:rPr>
              <w:t xml:space="preserve">Проведена тромболитическая терапия первые 6 часов</w:t>
            </w:r>
          </w:p>
        </w:tc>
        <w:tc>
          <w:tcPr>
            <w:tcW w:w="1134" w:type="dxa"/>
          </w:tcPr>
          <w:p>
            <w:pPr>
              <w:pStyle w:val="0"/>
            </w:pPr>
            <w:r>
              <w:rPr>
                <w:sz w:val="20"/>
              </w:rPr>
              <w:t xml:space="preserve">35</w:t>
            </w:r>
          </w:p>
        </w:tc>
        <w:tc>
          <w:tcPr>
            <w:tcW w:w="907" w:type="dxa"/>
          </w:tcPr>
          <w:p>
            <w:pPr>
              <w:pStyle w:val="0"/>
            </w:pPr>
            <w:r>
              <w:rPr>
                <w:sz w:val="20"/>
              </w:rPr>
              <w:t xml:space="preserve">27</w:t>
            </w:r>
          </w:p>
        </w:tc>
        <w:tc>
          <w:tcPr>
            <w:tcW w:w="1077" w:type="dxa"/>
          </w:tcPr>
          <w:p>
            <w:pPr>
              <w:pStyle w:val="0"/>
            </w:pPr>
            <w:r>
              <w:rPr>
                <w:sz w:val="20"/>
              </w:rPr>
              <w:t xml:space="preserve">57</w:t>
            </w:r>
          </w:p>
        </w:tc>
      </w:tr>
      <w:tr>
        <w:tc>
          <w:tcPr>
            <w:tcW w:w="4819" w:type="dxa"/>
          </w:tcPr>
          <w:p>
            <w:pPr>
              <w:pStyle w:val="0"/>
            </w:pPr>
            <w:r>
              <w:rPr>
                <w:sz w:val="20"/>
              </w:rPr>
              <w:t xml:space="preserve">Число госпитализированных больных с ишемическим инсультом, всего человек</w:t>
            </w:r>
          </w:p>
        </w:tc>
        <w:tc>
          <w:tcPr>
            <w:tcW w:w="1134" w:type="dxa"/>
          </w:tcPr>
          <w:p>
            <w:pPr>
              <w:pStyle w:val="0"/>
            </w:pPr>
            <w:r>
              <w:rPr>
                <w:sz w:val="20"/>
              </w:rPr>
              <w:t xml:space="preserve">518</w:t>
            </w:r>
          </w:p>
        </w:tc>
        <w:tc>
          <w:tcPr>
            <w:tcW w:w="907" w:type="dxa"/>
          </w:tcPr>
          <w:p>
            <w:pPr>
              <w:pStyle w:val="0"/>
            </w:pPr>
            <w:r>
              <w:rPr>
                <w:sz w:val="20"/>
              </w:rPr>
              <w:t xml:space="preserve">649</w:t>
            </w:r>
          </w:p>
        </w:tc>
        <w:tc>
          <w:tcPr>
            <w:tcW w:w="1077" w:type="dxa"/>
          </w:tcPr>
          <w:p>
            <w:pPr>
              <w:pStyle w:val="0"/>
            </w:pPr>
            <w:r>
              <w:rPr>
                <w:sz w:val="20"/>
              </w:rPr>
              <w:t xml:space="preserve">324</w:t>
            </w:r>
          </w:p>
        </w:tc>
      </w:tr>
    </w:tbl>
    <w:p>
      <w:pPr>
        <w:pStyle w:val="0"/>
        <w:ind w:firstLine="540"/>
        <w:jc w:val="both"/>
      </w:pPr>
      <w:r>
        <w:rPr>
          <w:sz w:val="20"/>
        </w:rPr>
      </w:r>
    </w:p>
    <w:p>
      <w:pPr>
        <w:pStyle w:val="0"/>
        <w:ind w:firstLine="540"/>
        <w:jc w:val="both"/>
      </w:pPr>
      <w:r>
        <w:rPr>
          <w:sz w:val="20"/>
        </w:rPr>
        <w:t xml:space="preserve">По РСЦ N 2 в динамике с 2020 годом число госпитализированных больных уменьшилось на 26,6%, при этом увеличение удельного веса поступивших в первые 24 часа - с 76,6% в 2020 году до 84,5% в 2022 году. Из них доля госпитализированных пациентов в первые 6 часов увеличилась с 73,5% в 2020 году до 82,5% в 2022 году. Число госпитализированных с ишемическим инсультом увеличилось на 37,5%.</w:t>
      </w:r>
    </w:p>
    <w:p>
      <w:pPr>
        <w:pStyle w:val="0"/>
        <w:ind w:firstLine="540"/>
        <w:jc w:val="both"/>
      </w:pPr>
      <w:r>
        <w:rPr>
          <w:sz w:val="20"/>
        </w:rPr>
      </w:r>
    </w:p>
    <w:p>
      <w:pPr>
        <w:pStyle w:val="0"/>
        <w:jc w:val="right"/>
      </w:pPr>
      <w:r>
        <w:rPr>
          <w:sz w:val="20"/>
        </w:rPr>
        <w:t xml:space="preserve">Рисунок 16</w:t>
      </w:r>
    </w:p>
    <w:p>
      <w:pPr>
        <w:pStyle w:val="0"/>
        <w:jc w:val="right"/>
      </w:pPr>
      <w:r>
        <w:rPr>
          <w:sz w:val="20"/>
        </w:rPr>
      </w:r>
    </w:p>
    <w:p>
      <w:pPr>
        <w:pStyle w:val="0"/>
        <w:jc w:val="center"/>
      </w:pPr>
      <w:r>
        <w:rPr>
          <w:sz w:val="20"/>
        </w:rPr>
        <w:t xml:space="preserve">Маршрутизация пациентов с ОНМК в зоне ответственности</w:t>
      </w:r>
    </w:p>
    <w:p>
      <w:pPr>
        <w:pStyle w:val="0"/>
        <w:jc w:val="center"/>
      </w:pPr>
      <w:r>
        <w:rPr>
          <w:sz w:val="20"/>
        </w:rPr>
        <w:t xml:space="preserve">РСЦ N 3</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267"/>
        </w:rPr>
        <w:drawing>
          <wp:inline distT="0" distB="0" distL="0" distR="0">
            <wp:extent cx="6540500" cy="3529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6540500" cy="3529330"/>
                    </a:xfrm>
                    <a:prstGeom prst="rect">
                      <a:avLst/>
                    </a:prstGeom>
                    <a:noFill/>
                    <a:ln>
                      <a:noFill/>
                    </a:ln>
                  </pic:spPr>
                </pic:pic>
              </a:graphicData>
            </a:graphic>
          </wp:inline>
        </w:drawing>
      </w:r>
    </w:p>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jc w:val="center"/>
      </w:pPr>
      <w:r>
        <w:rPr>
          <w:sz w:val="20"/>
        </w:rPr>
      </w:r>
    </w:p>
    <w:p>
      <w:pPr>
        <w:pStyle w:val="0"/>
        <w:ind w:firstLine="540"/>
        <w:jc w:val="both"/>
      </w:pPr>
      <w:r>
        <w:rPr>
          <w:sz w:val="20"/>
        </w:rPr>
        <w:t xml:space="preserve">Зона ответственности РСЦ N 3 - западная зона автономного округа: городские округа Нягань, Советский, Югорск; Октябрьский, Березовский муниципальные районы. Самый отдаленный населенный пункт - поселок городского типа Березово (270 км).</w:t>
      </w:r>
    </w:p>
    <w:p>
      <w:pPr>
        <w:pStyle w:val="0"/>
        <w:ind w:firstLine="540"/>
        <w:jc w:val="both"/>
      </w:pPr>
      <w:r>
        <w:rPr>
          <w:sz w:val="20"/>
        </w:rPr>
      </w:r>
    </w:p>
    <w:p>
      <w:pPr>
        <w:pStyle w:val="0"/>
        <w:jc w:val="right"/>
      </w:pPr>
      <w:r>
        <w:rPr>
          <w:sz w:val="20"/>
        </w:rPr>
        <w:t xml:space="preserve">Таблица 38</w:t>
      </w:r>
    </w:p>
    <w:p>
      <w:pPr>
        <w:pStyle w:val="0"/>
        <w:jc w:val="right"/>
      </w:pPr>
      <w:r>
        <w:rPr>
          <w:sz w:val="20"/>
        </w:rPr>
      </w:r>
    </w:p>
    <w:p>
      <w:pPr>
        <w:pStyle w:val="0"/>
        <w:jc w:val="center"/>
      </w:pPr>
      <w:r>
        <w:rPr>
          <w:sz w:val="20"/>
        </w:rPr>
        <w:t xml:space="preserve">Оказание специализированной помощи больным с ОНМК в</w:t>
      </w:r>
    </w:p>
    <w:p>
      <w:pPr>
        <w:pStyle w:val="0"/>
        <w:jc w:val="center"/>
      </w:pPr>
      <w:r>
        <w:rPr>
          <w:sz w:val="20"/>
        </w:rPr>
        <w:t xml:space="preserve">РСЦ N 3 (МИАЦ)</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61"/>
        <w:gridCol w:w="1077"/>
        <w:gridCol w:w="1191"/>
        <w:gridCol w:w="1134"/>
        <w:gridCol w:w="1077"/>
        <w:gridCol w:w="1191"/>
      </w:tblGrid>
      <w:tr>
        <w:tc>
          <w:tcPr>
            <w:tcW w:w="2761" w:type="dxa"/>
          </w:tcPr>
          <w:p>
            <w:pPr>
              <w:pStyle w:val="0"/>
              <w:jc w:val="center"/>
            </w:pPr>
            <w:r>
              <w:rPr>
                <w:sz w:val="20"/>
              </w:rPr>
              <w:t xml:space="preserve">Год</w:t>
            </w:r>
          </w:p>
        </w:tc>
        <w:tc>
          <w:tcPr>
            <w:tcW w:w="1077" w:type="dxa"/>
          </w:tcPr>
          <w:p>
            <w:pPr>
              <w:pStyle w:val="0"/>
              <w:jc w:val="center"/>
            </w:pPr>
            <w:r>
              <w:rPr>
                <w:sz w:val="20"/>
              </w:rPr>
              <w:t xml:space="preserve">2018</w:t>
            </w:r>
          </w:p>
        </w:tc>
        <w:tc>
          <w:tcPr>
            <w:tcW w:w="1191" w:type="dxa"/>
          </w:tcPr>
          <w:p>
            <w:pPr>
              <w:pStyle w:val="0"/>
              <w:jc w:val="center"/>
            </w:pPr>
            <w:r>
              <w:rPr>
                <w:sz w:val="20"/>
              </w:rPr>
              <w:t xml:space="preserve">2019</w:t>
            </w:r>
          </w:p>
        </w:tc>
        <w:tc>
          <w:tcPr>
            <w:tcW w:w="1134" w:type="dxa"/>
          </w:tcPr>
          <w:p>
            <w:pPr>
              <w:pStyle w:val="0"/>
              <w:jc w:val="center"/>
            </w:pPr>
            <w:r>
              <w:rPr>
                <w:sz w:val="20"/>
              </w:rPr>
              <w:t xml:space="preserve">2020</w:t>
            </w:r>
          </w:p>
        </w:tc>
        <w:tc>
          <w:tcPr>
            <w:tcW w:w="1077" w:type="dxa"/>
          </w:tcPr>
          <w:p>
            <w:pPr>
              <w:pStyle w:val="0"/>
              <w:jc w:val="center"/>
            </w:pPr>
            <w:r>
              <w:rPr>
                <w:sz w:val="20"/>
              </w:rPr>
              <w:t xml:space="preserve">2021</w:t>
            </w:r>
          </w:p>
        </w:tc>
        <w:tc>
          <w:tcPr>
            <w:tcW w:w="1191" w:type="dxa"/>
          </w:tcPr>
          <w:p>
            <w:pPr>
              <w:pStyle w:val="0"/>
              <w:jc w:val="center"/>
            </w:pPr>
            <w:r>
              <w:rPr>
                <w:sz w:val="20"/>
              </w:rPr>
              <w:t xml:space="preserve">2022</w:t>
            </w:r>
          </w:p>
        </w:tc>
      </w:tr>
      <w:tr>
        <w:tc>
          <w:tcPr>
            <w:tcW w:w="2761" w:type="dxa"/>
          </w:tcPr>
          <w:p>
            <w:pPr>
              <w:pStyle w:val="0"/>
            </w:pPr>
            <w:r>
              <w:rPr>
                <w:sz w:val="20"/>
              </w:rPr>
              <w:t xml:space="preserve">Поступило больных</w:t>
            </w:r>
          </w:p>
        </w:tc>
        <w:tc>
          <w:tcPr>
            <w:tcW w:w="1077" w:type="dxa"/>
          </w:tcPr>
          <w:p>
            <w:pPr>
              <w:pStyle w:val="0"/>
            </w:pPr>
            <w:r>
              <w:rPr>
                <w:sz w:val="20"/>
              </w:rPr>
              <w:t xml:space="preserve">218</w:t>
            </w:r>
          </w:p>
        </w:tc>
        <w:tc>
          <w:tcPr>
            <w:tcW w:w="1191" w:type="dxa"/>
          </w:tcPr>
          <w:p>
            <w:pPr>
              <w:pStyle w:val="0"/>
            </w:pPr>
            <w:r>
              <w:rPr>
                <w:sz w:val="20"/>
              </w:rPr>
              <w:t xml:space="preserve">231</w:t>
            </w:r>
          </w:p>
        </w:tc>
        <w:tc>
          <w:tcPr>
            <w:tcW w:w="1134" w:type="dxa"/>
          </w:tcPr>
          <w:p>
            <w:pPr>
              <w:pStyle w:val="0"/>
            </w:pPr>
            <w:r>
              <w:rPr>
                <w:sz w:val="20"/>
              </w:rPr>
              <w:t xml:space="preserve">229</w:t>
            </w:r>
          </w:p>
        </w:tc>
        <w:tc>
          <w:tcPr>
            <w:tcW w:w="1077" w:type="dxa"/>
          </w:tcPr>
          <w:p>
            <w:pPr>
              <w:pStyle w:val="0"/>
            </w:pPr>
            <w:r>
              <w:rPr>
                <w:sz w:val="20"/>
              </w:rPr>
              <w:t xml:space="preserve">243</w:t>
            </w:r>
          </w:p>
        </w:tc>
        <w:tc>
          <w:tcPr>
            <w:tcW w:w="1191" w:type="dxa"/>
          </w:tcPr>
          <w:p>
            <w:pPr>
              <w:pStyle w:val="0"/>
            </w:pPr>
            <w:r>
              <w:rPr>
                <w:sz w:val="20"/>
              </w:rPr>
              <w:t xml:space="preserve">232</w:t>
            </w:r>
          </w:p>
        </w:tc>
      </w:tr>
      <w:tr>
        <w:tc>
          <w:tcPr>
            <w:tcW w:w="2761" w:type="dxa"/>
          </w:tcPr>
          <w:p>
            <w:pPr>
              <w:pStyle w:val="0"/>
            </w:pPr>
            <w:r>
              <w:rPr>
                <w:sz w:val="20"/>
              </w:rPr>
              <w:t xml:space="preserve">Выписано</w:t>
            </w:r>
          </w:p>
        </w:tc>
        <w:tc>
          <w:tcPr>
            <w:tcW w:w="1077" w:type="dxa"/>
          </w:tcPr>
          <w:p>
            <w:pPr>
              <w:pStyle w:val="0"/>
            </w:pPr>
            <w:r>
              <w:rPr>
                <w:sz w:val="20"/>
              </w:rPr>
              <w:t xml:space="preserve">196</w:t>
            </w:r>
          </w:p>
        </w:tc>
        <w:tc>
          <w:tcPr>
            <w:tcW w:w="1191" w:type="dxa"/>
          </w:tcPr>
          <w:p>
            <w:pPr>
              <w:pStyle w:val="0"/>
            </w:pPr>
            <w:r>
              <w:rPr>
                <w:sz w:val="20"/>
              </w:rPr>
              <w:t xml:space="preserve">208</w:t>
            </w:r>
          </w:p>
        </w:tc>
        <w:tc>
          <w:tcPr>
            <w:tcW w:w="1134" w:type="dxa"/>
          </w:tcPr>
          <w:p>
            <w:pPr>
              <w:pStyle w:val="0"/>
            </w:pPr>
            <w:r>
              <w:rPr>
                <w:sz w:val="20"/>
              </w:rPr>
              <w:t xml:space="preserve">205</w:t>
            </w:r>
          </w:p>
        </w:tc>
        <w:tc>
          <w:tcPr>
            <w:tcW w:w="1077" w:type="dxa"/>
          </w:tcPr>
          <w:p>
            <w:pPr>
              <w:pStyle w:val="0"/>
            </w:pPr>
            <w:r>
              <w:rPr>
                <w:sz w:val="20"/>
              </w:rPr>
              <w:t xml:space="preserve">224</w:t>
            </w:r>
          </w:p>
        </w:tc>
        <w:tc>
          <w:tcPr>
            <w:tcW w:w="1191" w:type="dxa"/>
          </w:tcPr>
          <w:p>
            <w:pPr>
              <w:pStyle w:val="0"/>
            </w:pPr>
            <w:r>
              <w:rPr>
                <w:sz w:val="20"/>
              </w:rPr>
              <w:t xml:space="preserve">231</w:t>
            </w:r>
          </w:p>
        </w:tc>
      </w:tr>
    </w:tbl>
    <w:p>
      <w:pPr>
        <w:pStyle w:val="0"/>
        <w:ind w:firstLine="540"/>
        <w:jc w:val="both"/>
      </w:pPr>
      <w:r>
        <w:rPr>
          <w:sz w:val="20"/>
        </w:rPr>
      </w:r>
    </w:p>
    <w:p>
      <w:pPr>
        <w:pStyle w:val="0"/>
        <w:ind w:firstLine="540"/>
        <w:jc w:val="both"/>
      </w:pPr>
      <w:r>
        <w:rPr>
          <w:sz w:val="20"/>
        </w:rPr>
        <w:t xml:space="preserve">Число больных, которым ежегодно оказывается специализированная помощь при ОНМК в зоне ответственности РСЦ N 3, за 5 лет возросло на 17, 9%.</w:t>
      </w:r>
    </w:p>
    <w:p>
      <w:pPr>
        <w:pStyle w:val="0"/>
        <w:spacing w:before="200" w:line-rule="auto"/>
        <w:ind w:firstLine="540"/>
        <w:jc w:val="both"/>
      </w:pPr>
      <w:r>
        <w:rPr>
          <w:sz w:val="20"/>
        </w:rPr>
        <w:t xml:space="preserve">В 2022 году наибольшее количество пролеченных пациентов с ОНМК - жители города Нягани (более 55%).</w:t>
      </w:r>
    </w:p>
    <w:p>
      <w:pPr>
        <w:pStyle w:val="0"/>
        <w:jc w:val="right"/>
      </w:pPr>
      <w:r>
        <w:rPr>
          <w:sz w:val="20"/>
        </w:rPr>
      </w:r>
    </w:p>
    <w:p>
      <w:pPr>
        <w:pStyle w:val="0"/>
        <w:jc w:val="right"/>
      </w:pPr>
      <w:r>
        <w:rPr>
          <w:sz w:val="20"/>
        </w:rPr>
        <w:t xml:space="preserve">Таблица 39</w:t>
      </w:r>
    </w:p>
    <w:p>
      <w:pPr>
        <w:pStyle w:val="0"/>
        <w:jc w:val="right"/>
      </w:pPr>
      <w:r>
        <w:rPr>
          <w:sz w:val="20"/>
        </w:rPr>
      </w:r>
    </w:p>
    <w:p>
      <w:pPr>
        <w:pStyle w:val="0"/>
        <w:jc w:val="center"/>
      </w:pPr>
      <w:r>
        <w:rPr>
          <w:sz w:val="20"/>
        </w:rPr>
        <w:t xml:space="preserve">Основные показатели работы неврологического отделения</w:t>
      </w:r>
    </w:p>
    <w:p>
      <w:pPr>
        <w:pStyle w:val="0"/>
        <w:jc w:val="center"/>
      </w:pPr>
      <w:r>
        <w:rPr>
          <w:sz w:val="20"/>
        </w:rPr>
        <w:t xml:space="preserve">для больных с ОНМК в РСЦ N 3</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1701"/>
        <w:gridCol w:w="1701"/>
        <w:gridCol w:w="1757"/>
      </w:tblGrid>
      <w:tr>
        <w:tc>
          <w:tcPr>
            <w:tcW w:w="3628" w:type="dxa"/>
          </w:tcPr>
          <w:p>
            <w:pPr>
              <w:pStyle w:val="0"/>
              <w:jc w:val="center"/>
            </w:pPr>
            <w:r>
              <w:rPr>
                <w:sz w:val="20"/>
              </w:rPr>
              <w:t xml:space="preserve">Год</w:t>
            </w:r>
          </w:p>
        </w:tc>
        <w:tc>
          <w:tcPr>
            <w:tcW w:w="1701" w:type="dxa"/>
          </w:tcPr>
          <w:p>
            <w:pPr>
              <w:pStyle w:val="0"/>
              <w:jc w:val="center"/>
            </w:pPr>
            <w:r>
              <w:rPr>
                <w:sz w:val="20"/>
              </w:rPr>
              <w:t xml:space="preserve">2020</w:t>
            </w:r>
          </w:p>
        </w:tc>
        <w:tc>
          <w:tcPr>
            <w:tcW w:w="1701" w:type="dxa"/>
          </w:tcPr>
          <w:p>
            <w:pPr>
              <w:pStyle w:val="0"/>
              <w:jc w:val="center"/>
            </w:pPr>
            <w:r>
              <w:rPr>
                <w:sz w:val="20"/>
              </w:rPr>
              <w:t xml:space="preserve">2021</w:t>
            </w:r>
          </w:p>
        </w:tc>
        <w:tc>
          <w:tcPr>
            <w:tcW w:w="1757" w:type="dxa"/>
          </w:tcPr>
          <w:p>
            <w:pPr>
              <w:pStyle w:val="0"/>
              <w:jc w:val="center"/>
            </w:pPr>
            <w:r>
              <w:rPr>
                <w:sz w:val="20"/>
              </w:rPr>
              <w:t xml:space="preserve">2022</w:t>
            </w:r>
          </w:p>
        </w:tc>
      </w:tr>
      <w:tr>
        <w:tc>
          <w:tcPr>
            <w:tcW w:w="3628" w:type="dxa"/>
          </w:tcPr>
          <w:p>
            <w:pPr>
              <w:pStyle w:val="0"/>
            </w:pPr>
            <w:r>
              <w:rPr>
                <w:sz w:val="20"/>
              </w:rPr>
              <w:t xml:space="preserve">Занятость койки</w:t>
            </w:r>
          </w:p>
        </w:tc>
        <w:tc>
          <w:tcPr>
            <w:tcW w:w="1701" w:type="dxa"/>
          </w:tcPr>
          <w:p>
            <w:pPr>
              <w:pStyle w:val="0"/>
            </w:pPr>
            <w:r>
              <w:rPr>
                <w:sz w:val="20"/>
              </w:rPr>
              <w:t xml:space="preserve">331</w:t>
            </w:r>
          </w:p>
        </w:tc>
        <w:tc>
          <w:tcPr>
            <w:tcW w:w="1701" w:type="dxa"/>
          </w:tcPr>
          <w:p>
            <w:pPr>
              <w:pStyle w:val="0"/>
            </w:pPr>
            <w:r>
              <w:rPr>
                <w:sz w:val="20"/>
              </w:rPr>
              <w:t xml:space="preserve">352, 7</w:t>
            </w:r>
          </w:p>
        </w:tc>
        <w:tc>
          <w:tcPr>
            <w:tcW w:w="1757" w:type="dxa"/>
          </w:tcPr>
          <w:p>
            <w:pPr>
              <w:pStyle w:val="0"/>
            </w:pPr>
            <w:r>
              <w:rPr>
                <w:sz w:val="20"/>
              </w:rPr>
              <w:t xml:space="preserve">368,6</w:t>
            </w:r>
          </w:p>
        </w:tc>
      </w:tr>
      <w:tr>
        <w:tc>
          <w:tcPr>
            <w:tcW w:w="3628" w:type="dxa"/>
          </w:tcPr>
          <w:p>
            <w:pPr>
              <w:pStyle w:val="0"/>
            </w:pPr>
            <w:r>
              <w:rPr>
                <w:sz w:val="20"/>
              </w:rPr>
              <w:t xml:space="preserve">Оборот койки</w:t>
            </w:r>
          </w:p>
        </w:tc>
        <w:tc>
          <w:tcPr>
            <w:tcW w:w="1701" w:type="dxa"/>
          </w:tcPr>
          <w:p>
            <w:pPr>
              <w:pStyle w:val="0"/>
            </w:pPr>
            <w:r>
              <w:rPr>
                <w:sz w:val="20"/>
              </w:rPr>
              <w:t xml:space="preserve">20,5</w:t>
            </w:r>
          </w:p>
        </w:tc>
        <w:tc>
          <w:tcPr>
            <w:tcW w:w="1701" w:type="dxa"/>
          </w:tcPr>
          <w:p>
            <w:pPr>
              <w:pStyle w:val="0"/>
            </w:pPr>
            <w:r>
              <w:rPr>
                <w:sz w:val="20"/>
              </w:rPr>
              <w:t xml:space="preserve">22,7</w:t>
            </w:r>
          </w:p>
        </w:tc>
        <w:tc>
          <w:tcPr>
            <w:tcW w:w="1757" w:type="dxa"/>
          </w:tcPr>
          <w:p>
            <w:pPr>
              <w:pStyle w:val="0"/>
            </w:pPr>
            <w:r>
              <w:rPr>
                <w:sz w:val="20"/>
              </w:rPr>
              <w:t xml:space="preserve">23,1</w:t>
            </w:r>
          </w:p>
        </w:tc>
      </w:tr>
      <w:tr>
        <w:tc>
          <w:tcPr>
            <w:tcW w:w="3628" w:type="dxa"/>
          </w:tcPr>
          <w:p>
            <w:pPr>
              <w:pStyle w:val="0"/>
            </w:pPr>
            <w:r>
              <w:rPr>
                <w:sz w:val="20"/>
              </w:rPr>
              <w:t xml:space="preserve">Среднее пребывание, к/д</w:t>
            </w:r>
          </w:p>
        </w:tc>
        <w:tc>
          <w:tcPr>
            <w:tcW w:w="1701" w:type="dxa"/>
          </w:tcPr>
          <w:p>
            <w:pPr>
              <w:pStyle w:val="0"/>
            </w:pPr>
            <w:r>
              <w:rPr>
                <w:sz w:val="20"/>
              </w:rPr>
              <w:t xml:space="preserve">16,2</w:t>
            </w:r>
          </w:p>
        </w:tc>
        <w:tc>
          <w:tcPr>
            <w:tcW w:w="1701" w:type="dxa"/>
          </w:tcPr>
          <w:p>
            <w:pPr>
              <w:pStyle w:val="0"/>
            </w:pPr>
            <w:r>
              <w:rPr>
                <w:sz w:val="20"/>
              </w:rPr>
              <w:t xml:space="preserve">15,5</w:t>
            </w:r>
          </w:p>
        </w:tc>
        <w:tc>
          <w:tcPr>
            <w:tcW w:w="1757" w:type="dxa"/>
          </w:tcPr>
          <w:p>
            <w:pPr>
              <w:pStyle w:val="0"/>
            </w:pPr>
            <w:r>
              <w:rPr>
                <w:sz w:val="20"/>
              </w:rPr>
              <w:t xml:space="preserve">16,0</w:t>
            </w:r>
          </w:p>
        </w:tc>
      </w:tr>
      <w:tr>
        <w:tc>
          <w:tcPr>
            <w:tcW w:w="3628" w:type="dxa"/>
          </w:tcPr>
          <w:p>
            <w:pPr>
              <w:pStyle w:val="0"/>
            </w:pPr>
            <w:r>
              <w:rPr>
                <w:sz w:val="20"/>
              </w:rPr>
              <w:t xml:space="preserve">Летальность, %</w:t>
            </w:r>
          </w:p>
        </w:tc>
        <w:tc>
          <w:tcPr>
            <w:tcW w:w="1701" w:type="dxa"/>
          </w:tcPr>
          <w:p>
            <w:pPr>
              <w:pStyle w:val="0"/>
            </w:pPr>
            <w:r>
              <w:rPr>
                <w:sz w:val="20"/>
              </w:rPr>
              <w:t xml:space="preserve">10,6</w:t>
            </w:r>
          </w:p>
        </w:tc>
        <w:tc>
          <w:tcPr>
            <w:tcW w:w="1701" w:type="dxa"/>
          </w:tcPr>
          <w:p>
            <w:pPr>
              <w:pStyle w:val="0"/>
            </w:pPr>
            <w:r>
              <w:rPr>
                <w:sz w:val="20"/>
              </w:rPr>
              <w:t xml:space="preserve">7,8</w:t>
            </w:r>
          </w:p>
        </w:tc>
        <w:tc>
          <w:tcPr>
            <w:tcW w:w="1757" w:type="dxa"/>
          </w:tcPr>
          <w:p>
            <w:pPr>
              <w:pStyle w:val="0"/>
            </w:pPr>
            <w:r>
              <w:rPr>
                <w:sz w:val="20"/>
              </w:rPr>
              <w:t xml:space="preserve">7,3</w:t>
            </w:r>
          </w:p>
        </w:tc>
      </w:tr>
      <w:tr>
        <w:tc>
          <w:tcPr>
            <w:tcW w:w="3628" w:type="dxa"/>
          </w:tcPr>
          <w:p>
            <w:pPr>
              <w:pStyle w:val="0"/>
            </w:pPr>
            <w:r>
              <w:rPr>
                <w:sz w:val="20"/>
              </w:rPr>
              <w:t xml:space="preserve">Умерло</w:t>
            </w:r>
          </w:p>
        </w:tc>
        <w:tc>
          <w:tcPr>
            <w:tcW w:w="1701" w:type="dxa"/>
          </w:tcPr>
          <w:p>
            <w:pPr>
              <w:pStyle w:val="0"/>
            </w:pPr>
            <w:r>
              <w:rPr>
                <w:sz w:val="20"/>
              </w:rPr>
              <w:t xml:space="preserve">24</w:t>
            </w:r>
          </w:p>
        </w:tc>
        <w:tc>
          <w:tcPr>
            <w:tcW w:w="1701" w:type="dxa"/>
          </w:tcPr>
          <w:p>
            <w:pPr>
              <w:pStyle w:val="0"/>
            </w:pPr>
            <w:r>
              <w:rPr>
                <w:sz w:val="20"/>
              </w:rPr>
              <w:t xml:space="preserve">19</w:t>
            </w:r>
          </w:p>
        </w:tc>
        <w:tc>
          <w:tcPr>
            <w:tcW w:w="1757" w:type="dxa"/>
          </w:tcPr>
          <w:p>
            <w:pPr>
              <w:pStyle w:val="0"/>
            </w:pPr>
            <w:r>
              <w:rPr>
                <w:sz w:val="20"/>
              </w:rPr>
              <w:t xml:space="preserve">17</w:t>
            </w:r>
          </w:p>
        </w:tc>
      </w:tr>
    </w:tbl>
    <w:p>
      <w:pPr>
        <w:pStyle w:val="0"/>
        <w:ind w:firstLine="540"/>
        <w:jc w:val="both"/>
      </w:pPr>
      <w:r>
        <w:rPr>
          <w:sz w:val="20"/>
        </w:rPr>
      </w:r>
    </w:p>
    <w:p>
      <w:pPr>
        <w:pStyle w:val="0"/>
        <w:ind w:firstLine="540"/>
        <w:jc w:val="both"/>
      </w:pPr>
      <w:r>
        <w:rPr>
          <w:sz w:val="20"/>
        </w:rPr>
        <w:t xml:space="preserve">В неврологическом отделении занятость койки в 2022 году в сравнении с 2021 годом увеличилась на 4,5%; средний койко-день увеличился на 3,2% и составил в 2022 году 16,0. Летальность от ОНМК снижается и составила 7,3% в 2022 году, что ниже целевого показатель для РСЦ - 8,2% на 2022 год.</w:t>
      </w:r>
    </w:p>
    <w:p>
      <w:pPr>
        <w:pStyle w:val="0"/>
        <w:jc w:val="right"/>
      </w:pPr>
      <w:r>
        <w:rPr>
          <w:sz w:val="20"/>
        </w:rPr>
      </w:r>
    </w:p>
    <w:p>
      <w:pPr>
        <w:pStyle w:val="0"/>
        <w:jc w:val="right"/>
      </w:pPr>
      <w:r>
        <w:rPr>
          <w:sz w:val="20"/>
        </w:rPr>
        <w:t xml:space="preserve">Таблица 40</w:t>
      </w:r>
    </w:p>
    <w:p>
      <w:pPr>
        <w:pStyle w:val="0"/>
        <w:jc w:val="right"/>
      </w:pPr>
      <w:r>
        <w:rPr>
          <w:sz w:val="20"/>
        </w:rPr>
      </w:r>
    </w:p>
    <w:p>
      <w:pPr>
        <w:pStyle w:val="0"/>
        <w:jc w:val="center"/>
      </w:pPr>
      <w:r>
        <w:rPr>
          <w:sz w:val="20"/>
        </w:rPr>
        <w:t xml:space="preserve">Структура острых сосудистых заболеваний в РСЦ N 3</w:t>
      </w:r>
    </w:p>
    <w:p>
      <w:pPr>
        <w:pStyle w:val="0"/>
        <w:jc w:val="center"/>
      </w:pPr>
      <w:r>
        <w:rPr>
          <w:sz w:val="20"/>
        </w:rPr>
        <w:t xml:space="preserve">за 2020 - 2022 годы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859"/>
        <w:gridCol w:w="544"/>
        <w:gridCol w:w="694"/>
        <w:gridCol w:w="859"/>
        <w:gridCol w:w="544"/>
        <w:gridCol w:w="544"/>
        <w:gridCol w:w="859"/>
        <w:gridCol w:w="544"/>
        <w:gridCol w:w="544"/>
      </w:tblGrid>
      <w:tr>
        <w:tc>
          <w:tcPr>
            <w:tcW w:w="2665" w:type="dxa"/>
          </w:tcPr>
          <w:p>
            <w:pPr>
              <w:pStyle w:val="0"/>
              <w:jc w:val="center"/>
            </w:pPr>
            <w:r>
              <w:rPr>
                <w:sz w:val="20"/>
              </w:rPr>
              <w:t xml:space="preserve">годы</w:t>
            </w:r>
          </w:p>
        </w:tc>
        <w:tc>
          <w:tcPr>
            <w:gridSpan w:val="3"/>
            <w:tcW w:w="2097" w:type="dxa"/>
          </w:tcPr>
          <w:p>
            <w:pPr>
              <w:pStyle w:val="0"/>
              <w:jc w:val="center"/>
            </w:pPr>
            <w:r>
              <w:rPr>
                <w:sz w:val="20"/>
              </w:rPr>
              <w:t xml:space="preserve">2020</w:t>
            </w:r>
          </w:p>
        </w:tc>
        <w:tc>
          <w:tcPr>
            <w:gridSpan w:val="3"/>
            <w:tcW w:w="1947" w:type="dxa"/>
          </w:tcPr>
          <w:p>
            <w:pPr>
              <w:pStyle w:val="0"/>
              <w:jc w:val="center"/>
            </w:pPr>
            <w:r>
              <w:rPr>
                <w:sz w:val="20"/>
              </w:rPr>
              <w:t xml:space="preserve">2021</w:t>
            </w:r>
          </w:p>
        </w:tc>
        <w:tc>
          <w:tcPr>
            <w:gridSpan w:val="3"/>
            <w:tcW w:w="1947" w:type="dxa"/>
          </w:tcPr>
          <w:p>
            <w:pPr>
              <w:pStyle w:val="0"/>
              <w:jc w:val="center"/>
            </w:pPr>
            <w:r>
              <w:rPr>
                <w:sz w:val="20"/>
              </w:rPr>
              <w:t xml:space="preserve">2022</w:t>
            </w:r>
          </w:p>
        </w:tc>
      </w:tr>
      <w:tr>
        <w:tc>
          <w:tcPr>
            <w:tcW w:w="2665" w:type="dxa"/>
          </w:tcPr>
          <w:p>
            <w:pPr>
              <w:pStyle w:val="0"/>
            </w:pPr>
            <w:r>
              <w:rPr>
                <w:sz w:val="20"/>
              </w:rPr>
              <w:t xml:space="preserve">Нозология</w:t>
            </w:r>
          </w:p>
        </w:tc>
        <w:tc>
          <w:tcPr>
            <w:tcW w:w="859" w:type="dxa"/>
          </w:tcPr>
          <w:p>
            <w:pPr>
              <w:pStyle w:val="0"/>
            </w:pPr>
            <w:r>
              <w:rPr>
                <w:sz w:val="20"/>
              </w:rPr>
              <w:t xml:space="preserve">Кол-во</w:t>
            </w:r>
          </w:p>
        </w:tc>
        <w:tc>
          <w:tcPr>
            <w:tcW w:w="544" w:type="dxa"/>
          </w:tcPr>
          <w:p>
            <w:pPr>
              <w:pStyle w:val="0"/>
            </w:pPr>
            <w:r>
              <w:rPr>
                <w:sz w:val="20"/>
              </w:rPr>
              <w:t xml:space="preserve">%</w:t>
            </w:r>
          </w:p>
        </w:tc>
        <w:tc>
          <w:tcPr>
            <w:tcW w:w="694" w:type="dxa"/>
          </w:tcPr>
          <w:p>
            <w:pPr>
              <w:pStyle w:val="0"/>
            </w:pPr>
            <w:r>
              <w:rPr>
                <w:sz w:val="20"/>
              </w:rPr>
              <w:t xml:space="preserve">ср. к/д</w:t>
            </w:r>
          </w:p>
        </w:tc>
        <w:tc>
          <w:tcPr>
            <w:tcW w:w="859" w:type="dxa"/>
          </w:tcPr>
          <w:p>
            <w:pPr>
              <w:pStyle w:val="0"/>
            </w:pPr>
            <w:r>
              <w:rPr>
                <w:sz w:val="20"/>
              </w:rPr>
              <w:t xml:space="preserve">Кол-во</w:t>
            </w:r>
          </w:p>
        </w:tc>
        <w:tc>
          <w:tcPr>
            <w:tcW w:w="544" w:type="dxa"/>
          </w:tcPr>
          <w:p>
            <w:pPr>
              <w:pStyle w:val="0"/>
            </w:pPr>
            <w:r>
              <w:rPr>
                <w:sz w:val="20"/>
              </w:rPr>
              <w:t xml:space="preserve">%</w:t>
            </w:r>
          </w:p>
        </w:tc>
        <w:tc>
          <w:tcPr>
            <w:tcW w:w="544" w:type="dxa"/>
          </w:tcPr>
          <w:p>
            <w:pPr>
              <w:pStyle w:val="0"/>
            </w:pPr>
            <w:r>
              <w:rPr>
                <w:sz w:val="20"/>
              </w:rPr>
              <w:t xml:space="preserve">Ср к/д</w:t>
            </w:r>
          </w:p>
        </w:tc>
        <w:tc>
          <w:tcPr>
            <w:tcW w:w="859" w:type="dxa"/>
          </w:tcPr>
          <w:p>
            <w:pPr>
              <w:pStyle w:val="0"/>
            </w:pPr>
            <w:r>
              <w:rPr>
                <w:sz w:val="20"/>
              </w:rPr>
              <w:t xml:space="preserve">Кол-во</w:t>
            </w:r>
          </w:p>
        </w:tc>
        <w:tc>
          <w:tcPr>
            <w:tcW w:w="544" w:type="dxa"/>
          </w:tcPr>
          <w:p>
            <w:pPr>
              <w:pStyle w:val="0"/>
            </w:pPr>
            <w:r>
              <w:rPr>
                <w:sz w:val="20"/>
              </w:rPr>
              <w:t xml:space="preserve">%</w:t>
            </w:r>
          </w:p>
        </w:tc>
        <w:tc>
          <w:tcPr>
            <w:tcW w:w="544" w:type="dxa"/>
          </w:tcPr>
          <w:p>
            <w:pPr>
              <w:pStyle w:val="0"/>
            </w:pPr>
            <w:r>
              <w:rPr>
                <w:sz w:val="20"/>
              </w:rPr>
              <w:t xml:space="preserve">Ср к/д</w:t>
            </w:r>
          </w:p>
        </w:tc>
      </w:tr>
      <w:tr>
        <w:tc>
          <w:tcPr>
            <w:tcW w:w="2665" w:type="dxa"/>
          </w:tcPr>
          <w:p>
            <w:pPr>
              <w:pStyle w:val="0"/>
            </w:pPr>
            <w:r>
              <w:rPr>
                <w:sz w:val="20"/>
              </w:rPr>
              <w:t xml:space="preserve">Транзиторные ишемические атаки</w:t>
            </w:r>
          </w:p>
        </w:tc>
        <w:tc>
          <w:tcPr>
            <w:tcW w:w="859" w:type="dxa"/>
          </w:tcPr>
          <w:p>
            <w:pPr>
              <w:pStyle w:val="0"/>
            </w:pPr>
            <w:r>
              <w:rPr>
                <w:sz w:val="20"/>
              </w:rPr>
              <w:t xml:space="preserve">21</w:t>
            </w:r>
          </w:p>
        </w:tc>
        <w:tc>
          <w:tcPr>
            <w:tcW w:w="544" w:type="dxa"/>
          </w:tcPr>
          <w:p>
            <w:pPr>
              <w:pStyle w:val="0"/>
            </w:pPr>
            <w:r>
              <w:rPr>
                <w:sz w:val="20"/>
              </w:rPr>
              <w:t xml:space="preserve">8,4</w:t>
            </w:r>
          </w:p>
        </w:tc>
        <w:tc>
          <w:tcPr>
            <w:tcW w:w="694" w:type="dxa"/>
          </w:tcPr>
          <w:p>
            <w:pPr>
              <w:pStyle w:val="0"/>
            </w:pPr>
            <w:r>
              <w:rPr>
                <w:sz w:val="20"/>
              </w:rPr>
              <w:t xml:space="preserve">10,2</w:t>
            </w:r>
          </w:p>
        </w:tc>
        <w:tc>
          <w:tcPr>
            <w:tcW w:w="859" w:type="dxa"/>
          </w:tcPr>
          <w:p>
            <w:pPr>
              <w:pStyle w:val="0"/>
            </w:pPr>
            <w:r>
              <w:rPr>
                <w:sz w:val="20"/>
              </w:rPr>
              <w:t xml:space="preserve">25</w:t>
            </w:r>
          </w:p>
        </w:tc>
        <w:tc>
          <w:tcPr>
            <w:tcW w:w="544" w:type="dxa"/>
          </w:tcPr>
          <w:p>
            <w:pPr>
              <w:pStyle w:val="0"/>
            </w:pPr>
            <w:r>
              <w:rPr>
                <w:sz w:val="20"/>
              </w:rPr>
              <w:t xml:space="preserve">9,3</w:t>
            </w:r>
          </w:p>
        </w:tc>
        <w:tc>
          <w:tcPr>
            <w:tcW w:w="544" w:type="dxa"/>
          </w:tcPr>
          <w:p>
            <w:pPr>
              <w:pStyle w:val="0"/>
            </w:pPr>
            <w:r>
              <w:rPr>
                <w:sz w:val="20"/>
              </w:rPr>
              <w:t xml:space="preserve">9,3</w:t>
            </w:r>
          </w:p>
        </w:tc>
        <w:tc>
          <w:tcPr>
            <w:tcW w:w="859" w:type="dxa"/>
          </w:tcPr>
          <w:p>
            <w:pPr>
              <w:pStyle w:val="0"/>
            </w:pPr>
            <w:r>
              <w:rPr>
                <w:sz w:val="20"/>
              </w:rPr>
              <w:t xml:space="preserve">20</w:t>
            </w:r>
          </w:p>
        </w:tc>
        <w:tc>
          <w:tcPr>
            <w:tcW w:w="544" w:type="dxa"/>
          </w:tcPr>
          <w:p>
            <w:pPr>
              <w:pStyle w:val="0"/>
            </w:pPr>
            <w:r>
              <w:rPr>
                <w:sz w:val="20"/>
              </w:rPr>
              <w:t xml:space="preserve">7,9</w:t>
            </w:r>
          </w:p>
        </w:tc>
        <w:tc>
          <w:tcPr>
            <w:tcW w:w="544" w:type="dxa"/>
          </w:tcPr>
          <w:p>
            <w:pPr>
              <w:pStyle w:val="0"/>
            </w:pPr>
            <w:r>
              <w:rPr>
                <w:sz w:val="20"/>
              </w:rPr>
              <w:t xml:space="preserve">8,8</w:t>
            </w:r>
          </w:p>
        </w:tc>
      </w:tr>
      <w:tr>
        <w:tc>
          <w:tcPr>
            <w:tcW w:w="2665" w:type="dxa"/>
          </w:tcPr>
          <w:p>
            <w:pPr>
              <w:pStyle w:val="0"/>
            </w:pPr>
            <w:r>
              <w:rPr>
                <w:sz w:val="20"/>
              </w:rPr>
              <w:t xml:space="preserve">Инфаркт мозга</w:t>
            </w:r>
          </w:p>
        </w:tc>
        <w:tc>
          <w:tcPr>
            <w:tcW w:w="859" w:type="dxa"/>
          </w:tcPr>
          <w:p>
            <w:pPr>
              <w:pStyle w:val="0"/>
            </w:pPr>
            <w:r>
              <w:rPr>
                <w:sz w:val="20"/>
              </w:rPr>
              <w:t xml:space="preserve">191</w:t>
            </w:r>
          </w:p>
        </w:tc>
        <w:tc>
          <w:tcPr>
            <w:tcW w:w="544" w:type="dxa"/>
          </w:tcPr>
          <w:p>
            <w:pPr>
              <w:pStyle w:val="0"/>
            </w:pPr>
            <w:r>
              <w:rPr>
                <w:sz w:val="20"/>
              </w:rPr>
              <w:t xml:space="preserve">76,4</w:t>
            </w:r>
          </w:p>
        </w:tc>
        <w:tc>
          <w:tcPr>
            <w:tcW w:w="694" w:type="dxa"/>
          </w:tcPr>
          <w:p>
            <w:pPr>
              <w:pStyle w:val="0"/>
            </w:pPr>
            <w:r>
              <w:rPr>
                <w:sz w:val="20"/>
              </w:rPr>
              <w:t xml:space="preserve">17</w:t>
            </w:r>
          </w:p>
        </w:tc>
        <w:tc>
          <w:tcPr>
            <w:tcW w:w="859" w:type="dxa"/>
          </w:tcPr>
          <w:p>
            <w:pPr>
              <w:pStyle w:val="0"/>
            </w:pPr>
            <w:r>
              <w:rPr>
                <w:sz w:val="20"/>
              </w:rPr>
              <w:t xml:space="preserve">207</w:t>
            </w:r>
          </w:p>
        </w:tc>
        <w:tc>
          <w:tcPr>
            <w:tcW w:w="544" w:type="dxa"/>
          </w:tcPr>
          <w:p>
            <w:pPr>
              <w:pStyle w:val="0"/>
            </w:pPr>
            <w:r>
              <w:rPr>
                <w:sz w:val="20"/>
              </w:rPr>
              <w:t xml:space="preserve">77,3</w:t>
            </w:r>
          </w:p>
        </w:tc>
        <w:tc>
          <w:tcPr>
            <w:tcW w:w="544" w:type="dxa"/>
          </w:tcPr>
          <w:p>
            <w:pPr>
              <w:pStyle w:val="0"/>
            </w:pPr>
            <w:r>
              <w:rPr>
                <w:sz w:val="20"/>
              </w:rPr>
              <w:t xml:space="preserve">15,5</w:t>
            </w:r>
          </w:p>
        </w:tc>
        <w:tc>
          <w:tcPr>
            <w:tcW w:w="859" w:type="dxa"/>
          </w:tcPr>
          <w:p>
            <w:pPr>
              <w:pStyle w:val="0"/>
            </w:pPr>
            <w:r>
              <w:rPr>
                <w:sz w:val="20"/>
              </w:rPr>
              <w:t xml:space="preserve">198</w:t>
            </w:r>
          </w:p>
        </w:tc>
        <w:tc>
          <w:tcPr>
            <w:tcW w:w="544" w:type="dxa"/>
          </w:tcPr>
          <w:p>
            <w:pPr>
              <w:pStyle w:val="0"/>
            </w:pPr>
            <w:r>
              <w:rPr>
                <w:sz w:val="20"/>
              </w:rPr>
              <w:t xml:space="preserve">78,6</w:t>
            </w:r>
          </w:p>
        </w:tc>
        <w:tc>
          <w:tcPr>
            <w:tcW w:w="544" w:type="dxa"/>
          </w:tcPr>
          <w:p>
            <w:pPr>
              <w:pStyle w:val="0"/>
            </w:pPr>
            <w:r>
              <w:rPr>
                <w:sz w:val="20"/>
              </w:rPr>
              <w:t xml:space="preserve">15,9</w:t>
            </w:r>
          </w:p>
        </w:tc>
      </w:tr>
      <w:tr>
        <w:tc>
          <w:tcPr>
            <w:tcW w:w="2665" w:type="dxa"/>
          </w:tcPr>
          <w:p>
            <w:pPr>
              <w:pStyle w:val="0"/>
            </w:pPr>
            <w:r>
              <w:rPr>
                <w:sz w:val="20"/>
              </w:rPr>
              <w:t xml:space="preserve">Геморрагический инсульт</w:t>
            </w:r>
          </w:p>
        </w:tc>
        <w:tc>
          <w:tcPr>
            <w:tcW w:w="859" w:type="dxa"/>
          </w:tcPr>
          <w:p>
            <w:pPr>
              <w:pStyle w:val="0"/>
            </w:pPr>
            <w:r>
              <w:rPr>
                <w:sz w:val="20"/>
              </w:rPr>
              <w:t xml:space="preserve">35</w:t>
            </w:r>
          </w:p>
        </w:tc>
        <w:tc>
          <w:tcPr>
            <w:tcW w:w="544" w:type="dxa"/>
          </w:tcPr>
          <w:p>
            <w:pPr>
              <w:pStyle w:val="0"/>
            </w:pPr>
            <w:r>
              <w:rPr>
                <w:sz w:val="20"/>
              </w:rPr>
              <w:t xml:space="preserve">14</w:t>
            </w:r>
          </w:p>
        </w:tc>
        <w:tc>
          <w:tcPr>
            <w:tcW w:w="694" w:type="dxa"/>
          </w:tcPr>
          <w:p>
            <w:pPr>
              <w:pStyle w:val="0"/>
            </w:pPr>
            <w:r>
              <w:rPr>
                <w:sz w:val="20"/>
              </w:rPr>
              <w:t xml:space="preserve">14</w:t>
            </w:r>
          </w:p>
        </w:tc>
        <w:tc>
          <w:tcPr>
            <w:tcW w:w="859" w:type="dxa"/>
          </w:tcPr>
          <w:p>
            <w:pPr>
              <w:pStyle w:val="0"/>
            </w:pPr>
            <w:r>
              <w:rPr>
                <w:sz w:val="20"/>
              </w:rPr>
              <w:t xml:space="preserve">33</w:t>
            </w:r>
          </w:p>
        </w:tc>
        <w:tc>
          <w:tcPr>
            <w:tcW w:w="544" w:type="dxa"/>
          </w:tcPr>
          <w:p>
            <w:pPr>
              <w:pStyle w:val="0"/>
            </w:pPr>
            <w:r>
              <w:rPr>
                <w:sz w:val="20"/>
              </w:rPr>
              <w:t xml:space="preserve">12,3</w:t>
            </w:r>
          </w:p>
        </w:tc>
        <w:tc>
          <w:tcPr>
            <w:tcW w:w="544" w:type="dxa"/>
          </w:tcPr>
          <w:p>
            <w:pPr>
              <w:pStyle w:val="0"/>
            </w:pPr>
            <w:r>
              <w:rPr>
                <w:sz w:val="20"/>
              </w:rPr>
              <w:t xml:space="preserve">20,0</w:t>
            </w:r>
          </w:p>
        </w:tc>
        <w:tc>
          <w:tcPr>
            <w:tcW w:w="859" w:type="dxa"/>
          </w:tcPr>
          <w:p>
            <w:pPr>
              <w:pStyle w:val="0"/>
            </w:pPr>
            <w:r>
              <w:rPr>
                <w:sz w:val="20"/>
              </w:rPr>
              <w:t xml:space="preserve">33</w:t>
            </w:r>
          </w:p>
        </w:tc>
        <w:tc>
          <w:tcPr>
            <w:tcW w:w="544" w:type="dxa"/>
          </w:tcPr>
          <w:p>
            <w:pPr>
              <w:pStyle w:val="0"/>
            </w:pPr>
            <w:r>
              <w:rPr>
                <w:sz w:val="20"/>
              </w:rPr>
              <w:t xml:space="preserve">13,1</w:t>
            </w:r>
          </w:p>
        </w:tc>
        <w:tc>
          <w:tcPr>
            <w:tcW w:w="544" w:type="dxa"/>
          </w:tcPr>
          <w:p>
            <w:pPr>
              <w:pStyle w:val="0"/>
            </w:pPr>
            <w:r>
              <w:rPr>
                <w:sz w:val="20"/>
              </w:rPr>
              <w:t xml:space="preserve">21,3</w:t>
            </w:r>
          </w:p>
        </w:tc>
      </w:tr>
      <w:tr>
        <w:tc>
          <w:tcPr>
            <w:tcW w:w="2665" w:type="dxa"/>
          </w:tcPr>
          <w:p>
            <w:pPr>
              <w:pStyle w:val="0"/>
            </w:pPr>
            <w:r>
              <w:rPr>
                <w:sz w:val="20"/>
              </w:rPr>
              <w:t xml:space="preserve">Субарахноидальное кровоизлияние</w:t>
            </w:r>
          </w:p>
        </w:tc>
        <w:tc>
          <w:tcPr>
            <w:tcW w:w="859" w:type="dxa"/>
          </w:tcPr>
          <w:p>
            <w:pPr>
              <w:pStyle w:val="0"/>
            </w:pPr>
            <w:r>
              <w:rPr>
                <w:sz w:val="20"/>
              </w:rPr>
              <w:t xml:space="preserve">3</w:t>
            </w:r>
          </w:p>
        </w:tc>
        <w:tc>
          <w:tcPr>
            <w:tcW w:w="544" w:type="dxa"/>
          </w:tcPr>
          <w:p>
            <w:pPr>
              <w:pStyle w:val="0"/>
            </w:pPr>
            <w:r>
              <w:rPr>
                <w:sz w:val="20"/>
              </w:rPr>
              <w:t xml:space="preserve">1,2</w:t>
            </w:r>
          </w:p>
        </w:tc>
        <w:tc>
          <w:tcPr>
            <w:tcW w:w="694" w:type="dxa"/>
          </w:tcPr>
          <w:p>
            <w:pPr>
              <w:pStyle w:val="0"/>
            </w:pPr>
            <w:r>
              <w:rPr>
                <w:sz w:val="20"/>
              </w:rPr>
              <w:t xml:space="preserve">5,3</w:t>
            </w:r>
          </w:p>
        </w:tc>
        <w:tc>
          <w:tcPr>
            <w:tcW w:w="859" w:type="dxa"/>
          </w:tcPr>
          <w:p>
            <w:pPr>
              <w:pStyle w:val="0"/>
            </w:pPr>
            <w:r>
              <w:rPr>
                <w:sz w:val="20"/>
              </w:rPr>
              <w:t xml:space="preserve">3</w:t>
            </w:r>
          </w:p>
        </w:tc>
        <w:tc>
          <w:tcPr>
            <w:tcW w:w="544" w:type="dxa"/>
          </w:tcPr>
          <w:p>
            <w:pPr>
              <w:pStyle w:val="0"/>
            </w:pPr>
            <w:r>
              <w:rPr>
                <w:sz w:val="20"/>
              </w:rPr>
              <w:t xml:space="preserve">1,1</w:t>
            </w:r>
          </w:p>
        </w:tc>
        <w:tc>
          <w:tcPr>
            <w:tcW w:w="544" w:type="dxa"/>
          </w:tcPr>
          <w:p>
            <w:pPr>
              <w:pStyle w:val="0"/>
            </w:pPr>
            <w:r>
              <w:rPr>
                <w:sz w:val="20"/>
              </w:rPr>
              <w:t xml:space="preserve">1,0</w:t>
            </w:r>
          </w:p>
        </w:tc>
        <w:tc>
          <w:tcPr>
            <w:tcW w:w="859" w:type="dxa"/>
          </w:tcPr>
          <w:p>
            <w:pPr>
              <w:pStyle w:val="0"/>
            </w:pPr>
            <w:r>
              <w:rPr>
                <w:sz w:val="20"/>
              </w:rPr>
              <w:t xml:space="preserve">1</w:t>
            </w:r>
          </w:p>
        </w:tc>
        <w:tc>
          <w:tcPr>
            <w:tcW w:w="544" w:type="dxa"/>
          </w:tcPr>
          <w:p>
            <w:pPr>
              <w:pStyle w:val="0"/>
            </w:pPr>
            <w:r>
              <w:rPr>
                <w:sz w:val="20"/>
              </w:rPr>
              <w:t xml:space="preserve">0,4</w:t>
            </w:r>
          </w:p>
        </w:tc>
        <w:tc>
          <w:tcPr>
            <w:tcW w:w="544" w:type="dxa"/>
          </w:tcPr>
          <w:p>
            <w:pPr>
              <w:pStyle w:val="0"/>
            </w:pPr>
            <w:r>
              <w:rPr>
                <w:sz w:val="20"/>
              </w:rPr>
              <w:t xml:space="preserve">19,0</w:t>
            </w:r>
          </w:p>
        </w:tc>
      </w:tr>
      <w:tr>
        <w:tc>
          <w:tcPr>
            <w:tcW w:w="2665" w:type="dxa"/>
          </w:tcPr>
          <w:p>
            <w:pPr>
              <w:pStyle w:val="0"/>
            </w:pPr>
            <w:r>
              <w:rPr>
                <w:sz w:val="20"/>
              </w:rPr>
              <w:t xml:space="preserve">Всего</w:t>
            </w:r>
          </w:p>
        </w:tc>
        <w:tc>
          <w:tcPr>
            <w:tcW w:w="859" w:type="dxa"/>
          </w:tcPr>
          <w:p>
            <w:pPr>
              <w:pStyle w:val="0"/>
            </w:pPr>
            <w:r>
              <w:rPr>
                <w:sz w:val="20"/>
              </w:rPr>
              <w:t xml:space="preserve">250</w:t>
            </w:r>
          </w:p>
        </w:tc>
        <w:tc>
          <w:tcPr>
            <w:tcW w:w="544" w:type="dxa"/>
          </w:tcPr>
          <w:p>
            <w:pPr>
              <w:pStyle w:val="0"/>
            </w:pPr>
            <w:r>
              <w:rPr>
                <w:sz w:val="20"/>
              </w:rPr>
              <w:t xml:space="preserve">100</w:t>
            </w:r>
          </w:p>
        </w:tc>
        <w:tc>
          <w:tcPr>
            <w:tcW w:w="694" w:type="dxa"/>
          </w:tcPr>
          <w:p>
            <w:pPr>
              <w:pStyle w:val="0"/>
            </w:pPr>
            <w:r>
              <w:rPr>
                <w:sz w:val="20"/>
              </w:rPr>
              <w:t xml:space="preserve">6,3</w:t>
            </w:r>
          </w:p>
        </w:tc>
        <w:tc>
          <w:tcPr>
            <w:tcW w:w="859" w:type="dxa"/>
          </w:tcPr>
          <w:p>
            <w:pPr>
              <w:pStyle w:val="0"/>
            </w:pPr>
            <w:r>
              <w:rPr>
                <w:sz w:val="20"/>
              </w:rPr>
              <w:t xml:space="preserve">268</w:t>
            </w:r>
          </w:p>
        </w:tc>
        <w:tc>
          <w:tcPr>
            <w:tcW w:w="544" w:type="dxa"/>
          </w:tcPr>
          <w:p>
            <w:pPr>
              <w:pStyle w:val="0"/>
            </w:pPr>
            <w:r>
              <w:rPr>
                <w:sz w:val="20"/>
              </w:rPr>
              <w:t xml:space="preserve">100</w:t>
            </w:r>
          </w:p>
        </w:tc>
        <w:tc>
          <w:tcPr>
            <w:tcW w:w="544" w:type="dxa"/>
          </w:tcPr>
          <w:p>
            <w:pPr>
              <w:pStyle w:val="0"/>
            </w:pPr>
            <w:r>
              <w:rPr>
                <w:sz w:val="20"/>
              </w:rPr>
              <w:t xml:space="preserve">12,8</w:t>
            </w:r>
          </w:p>
        </w:tc>
        <w:tc>
          <w:tcPr>
            <w:tcW w:w="859" w:type="dxa"/>
          </w:tcPr>
          <w:p>
            <w:pPr>
              <w:pStyle w:val="0"/>
            </w:pPr>
            <w:r>
              <w:rPr>
                <w:sz w:val="20"/>
              </w:rPr>
              <w:t xml:space="preserve">252</w:t>
            </w:r>
          </w:p>
        </w:tc>
        <w:tc>
          <w:tcPr>
            <w:tcW w:w="544" w:type="dxa"/>
          </w:tcPr>
          <w:p>
            <w:pPr>
              <w:pStyle w:val="0"/>
            </w:pPr>
            <w:r>
              <w:rPr>
                <w:sz w:val="20"/>
              </w:rPr>
              <w:t xml:space="preserve">100</w:t>
            </w:r>
          </w:p>
        </w:tc>
        <w:tc>
          <w:tcPr>
            <w:tcW w:w="544" w:type="dxa"/>
          </w:tcPr>
          <w:p>
            <w:pPr>
              <w:pStyle w:val="0"/>
            </w:pPr>
            <w:r>
              <w:rPr>
                <w:sz w:val="20"/>
              </w:rPr>
              <w:t xml:space="preserve">15,9</w:t>
            </w:r>
          </w:p>
        </w:tc>
      </w:tr>
    </w:tbl>
    <w:p>
      <w:pPr>
        <w:pStyle w:val="0"/>
        <w:ind w:firstLine="540"/>
        <w:jc w:val="both"/>
      </w:pPr>
      <w:r>
        <w:rPr>
          <w:sz w:val="20"/>
        </w:rPr>
      </w:r>
    </w:p>
    <w:p>
      <w:pPr>
        <w:pStyle w:val="0"/>
        <w:ind w:firstLine="540"/>
        <w:jc w:val="both"/>
      </w:pPr>
      <w:r>
        <w:rPr>
          <w:sz w:val="20"/>
        </w:rPr>
        <w:t xml:space="preserve">Лидирующая позиция в структуре острых сосудистых заболеваний принадлежит ишемическим повреждениям головного мозга (в 2020 - 2022 годах от 76,4% до 78,6% от числа пролеченных). Геморрагические инсульты, включая субарахноидальное кровоизлияние, составляют 13,5% в структуре заболеваний в 2022 году. Наибольшая длительность лечения у пациентов с геморрагическим инсультом 21 койко-день, в 2022 году увеличилась на 6,5%.</w:t>
      </w:r>
    </w:p>
    <w:p>
      <w:pPr>
        <w:pStyle w:val="0"/>
        <w:jc w:val="right"/>
      </w:pPr>
      <w:r>
        <w:rPr>
          <w:sz w:val="20"/>
        </w:rPr>
      </w:r>
    </w:p>
    <w:p>
      <w:pPr>
        <w:pStyle w:val="0"/>
        <w:jc w:val="right"/>
      </w:pPr>
      <w:r>
        <w:rPr>
          <w:sz w:val="20"/>
        </w:rPr>
        <w:t xml:space="preserve">Таблица 41</w:t>
      </w:r>
    </w:p>
    <w:p>
      <w:pPr>
        <w:pStyle w:val="0"/>
        <w:jc w:val="right"/>
      </w:pPr>
      <w:r>
        <w:rPr>
          <w:sz w:val="20"/>
        </w:rPr>
      </w:r>
    </w:p>
    <w:p>
      <w:pPr>
        <w:pStyle w:val="0"/>
        <w:jc w:val="center"/>
      </w:pPr>
      <w:r>
        <w:rPr>
          <w:sz w:val="20"/>
        </w:rPr>
        <w:t xml:space="preserve">Госпитализация больных с ОНМК в зависимости от времени</w:t>
      </w:r>
    </w:p>
    <w:p>
      <w:pPr>
        <w:pStyle w:val="0"/>
        <w:jc w:val="center"/>
      </w:pPr>
      <w:r>
        <w:rPr>
          <w:sz w:val="20"/>
        </w:rPr>
        <w:t xml:space="preserve">начала заболевания, данные по РСЦ N 3</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29"/>
        <w:gridCol w:w="1134"/>
        <w:gridCol w:w="907"/>
        <w:gridCol w:w="1134"/>
      </w:tblGrid>
      <w:tr>
        <w:tc>
          <w:tcPr>
            <w:tcW w:w="5329" w:type="dxa"/>
          </w:tcPr>
          <w:p>
            <w:pPr>
              <w:pStyle w:val="0"/>
              <w:jc w:val="center"/>
            </w:pPr>
            <w:r>
              <w:rPr>
                <w:sz w:val="20"/>
              </w:rPr>
              <w:t xml:space="preserve">Год</w:t>
            </w:r>
          </w:p>
        </w:tc>
        <w:tc>
          <w:tcPr>
            <w:tcW w:w="1134" w:type="dxa"/>
          </w:tcPr>
          <w:p>
            <w:pPr>
              <w:pStyle w:val="0"/>
              <w:jc w:val="center"/>
            </w:pPr>
            <w:r>
              <w:rPr>
                <w:sz w:val="20"/>
              </w:rPr>
              <w:t xml:space="preserve">2020</w:t>
            </w:r>
          </w:p>
        </w:tc>
        <w:tc>
          <w:tcPr>
            <w:tcW w:w="907" w:type="dxa"/>
          </w:tcPr>
          <w:p>
            <w:pPr>
              <w:pStyle w:val="0"/>
              <w:jc w:val="center"/>
            </w:pPr>
            <w:r>
              <w:rPr>
                <w:sz w:val="20"/>
              </w:rPr>
              <w:t xml:space="preserve">2021</w:t>
            </w:r>
          </w:p>
        </w:tc>
        <w:tc>
          <w:tcPr>
            <w:tcW w:w="1134" w:type="dxa"/>
          </w:tcPr>
          <w:p>
            <w:pPr>
              <w:pStyle w:val="0"/>
              <w:jc w:val="center"/>
            </w:pPr>
            <w:r>
              <w:rPr>
                <w:sz w:val="20"/>
              </w:rPr>
              <w:t xml:space="preserve">2022</w:t>
            </w:r>
          </w:p>
        </w:tc>
      </w:tr>
      <w:tr>
        <w:tc>
          <w:tcPr>
            <w:tcW w:w="5329" w:type="dxa"/>
          </w:tcPr>
          <w:p>
            <w:pPr>
              <w:pStyle w:val="0"/>
            </w:pPr>
            <w:r>
              <w:rPr>
                <w:sz w:val="20"/>
              </w:rPr>
              <w:t xml:space="preserve">Число госпитализированных больных с ОНМК, всего человек</w:t>
            </w:r>
          </w:p>
        </w:tc>
        <w:tc>
          <w:tcPr>
            <w:tcW w:w="1134" w:type="dxa"/>
          </w:tcPr>
          <w:p>
            <w:pPr>
              <w:pStyle w:val="0"/>
            </w:pPr>
            <w:r>
              <w:rPr>
                <w:sz w:val="20"/>
              </w:rPr>
              <w:t xml:space="preserve">229</w:t>
            </w:r>
          </w:p>
        </w:tc>
        <w:tc>
          <w:tcPr>
            <w:tcW w:w="907" w:type="dxa"/>
          </w:tcPr>
          <w:p>
            <w:pPr>
              <w:pStyle w:val="0"/>
            </w:pPr>
            <w:r>
              <w:rPr>
                <w:sz w:val="20"/>
              </w:rPr>
              <w:t xml:space="preserve">243</w:t>
            </w:r>
          </w:p>
        </w:tc>
        <w:tc>
          <w:tcPr>
            <w:tcW w:w="1134" w:type="dxa"/>
          </w:tcPr>
          <w:p>
            <w:pPr>
              <w:pStyle w:val="0"/>
            </w:pPr>
            <w:r>
              <w:rPr>
                <w:sz w:val="20"/>
              </w:rPr>
              <w:t xml:space="preserve">232</w:t>
            </w:r>
          </w:p>
        </w:tc>
      </w:tr>
      <w:tr>
        <w:tc>
          <w:tcPr>
            <w:tcW w:w="5329" w:type="dxa"/>
          </w:tcPr>
          <w:p>
            <w:pPr>
              <w:pStyle w:val="0"/>
            </w:pPr>
            <w:r>
              <w:rPr>
                <w:sz w:val="20"/>
              </w:rPr>
              <w:t xml:space="preserve">из них в первые 24 часа</w:t>
            </w:r>
          </w:p>
        </w:tc>
        <w:tc>
          <w:tcPr>
            <w:tcW w:w="1134" w:type="dxa"/>
          </w:tcPr>
          <w:p>
            <w:pPr>
              <w:pStyle w:val="0"/>
            </w:pPr>
            <w:r>
              <w:rPr>
                <w:sz w:val="20"/>
              </w:rPr>
              <w:t xml:space="preserve">210</w:t>
            </w:r>
          </w:p>
        </w:tc>
        <w:tc>
          <w:tcPr>
            <w:tcW w:w="907" w:type="dxa"/>
          </w:tcPr>
          <w:p>
            <w:pPr>
              <w:pStyle w:val="0"/>
            </w:pPr>
            <w:r>
              <w:rPr>
                <w:sz w:val="20"/>
              </w:rPr>
              <w:t xml:space="preserve">185</w:t>
            </w:r>
          </w:p>
        </w:tc>
        <w:tc>
          <w:tcPr>
            <w:tcW w:w="1134" w:type="dxa"/>
          </w:tcPr>
          <w:p>
            <w:pPr>
              <w:pStyle w:val="0"/>
            </w:pPr>
            <w:r>
              <w:rPr>
                <w:sz w:val="20"/>
              </w:rPr>
              <w:t xml:space="preserve">215</w:t>
            </w:r>
          </w:p>
        </w:tc>
      </w:tr>
      <w:tr>
        <w:tc>
          <w:tcPr>
            <w:tcW w:w="5329" w:type="dxa"/>
          </w:tcPr>
          <w:p>
            <w:pPr>
              <w:pStyle w:val="0"/>
            </w:pPr>
            <w:r>
              <w:rPr>
                <w:sz w:val="20"/>
              </w:rPr>
              <w:t xml:space="preserve">из них первые 6 часов</w:t>
            </w:r>
          </w:p>
        </w:tc>
        <w:tc>
          <w:tcPr>
            <w:tcW w:w="1134" w:type="dxa"/>
          </w:tcPr>
          <w:p>
            <w:pPr>
              <w:pStyle w:val="0"/>
            </w:pPr>
            <w:r>
              <w:rPr>
                <w:sz w:val="20"/>
              </w:rPr>
              <w:t xml:space="preserve">122</w:t>
            </w:r>
          </w:p>
        </w:tc>
        <w:tc>
          <w:tcPr>
            <w:tcW w:w="907" w:type="dxa"/>
          </w:tcPr>
          <w:p>
            <w:pPr>
              <w:pStyle w:val="0"/>
            </w:pPr>
            <w:r>
              <w:rPr>
                <w:sz w:val="20"/>
              </w:rPr>
              <w:t xml:space="preserve">106</w:t>
            </w:r>
          </w:p>
        </w:tc>
        <w:tc>
          <w:tcPr>
            <w:tcW w:w="1134" w:type="dxa"/>
          </w:tcPr>
          <w:p>
            <w:pPr>
              <w:pStyle w:val="0"/>
            </w:pPr>
            <w:r>
              <w:rPr>
                <w:sz w:val="20"/>
              </w:rPr>
              <w:t xml:space="preserve">98</w:t>
            </w:r>
          </w:p>
        </w:tc>
      </w:tr>
      <w:tr>
        <w:tc>
          <w:tcPr>
            <w:tcW w:w="5329" w:type="dxa"/>
          </w:tcPr>
          <w:p>
            <w:pPr>
              <w:pStyle w:val="0"/>
            </w:pPr>
            <w:r>
              <w:rPr>
                <w:sz w:val="20"/>
              </w:rPr>
              <w:t xml:space="preserve">Проведена тромболитическая терапия первые 6 часов</w:t>
            </w:r>
          </w:p>
        </w:tc>
        <w:tc>
          <w:tcPr>
            <w:tcW w:w="1134" w:type="dxa"/>
          </w:tcPr>
          <w:p>
            <w:pPr>
              <w:pStyle w:val="0"/>
            </w:pPr>
            <w:r>
              <w:rPr>
                <w:sz w:val="20"/>
              </w:rPr>
              <w:t xml:space="preserve">11</w:t>
            </w:r>
          </w:p>
        </w:tc>
        <w:tc>
          <w:tcPr>
            <w:tcW w:w="907" w:type="dxa"/>
          </w:tcPr>
          <w:p>
            <w:pPr>
              <w:pStyle w:val="0"/>
            </w:pPr>
            <w:r>
              <w:rPr>
                <w:sz w:val="20"/>
              </w:rPr>
              <w:t xml:space="preserve">14</w:t>
            </w:r>
          </w:p>
        </w:tc>
        <w:tc>
          <w:tcPr>
            <w:tcW w:w="1134" w:type="dxa"/>
          </w:tcPr>
          <w:p>
            <w:pPr>
              <w:pStyle w:val="0"/>
            </w:pPr>
            <w:r>
              <w:rPr>
                <w:sz w:val="20"/>
              </w:rPr>
              <w:t xml:space="preserve">15</w:t>
            </w:r>
          </w:p>
        </w:tc>
      </w:tr>
      <w:tr>
        <w:tc>
          <w:tcPr>
            <w:tcW w:w="5329" w:type="dxa"/>
          </w:tcPr>
          <w:p>
            <w:pPr>
              <w:pStyle w:val="0"/>
            </w:pPr>
            <w:r>
              <w:rPr>
                <w:sz w:val="20"/>
              </w:rPr>
              <w:t xml:space="preserve">Число госпитализированных больных с ишемическим инсультом, всего человек</w:t>
            </w:r>
          </w:p>
        </w:tc>
        <w:tc>
          <w:tcPr>
            <w:tcW w:w="1134" w:type="dxa"/>
          </w:tcPr>
          <w:p>
            <w:pPr>
              <w:pStyle w:val="0"/>
            </w:pPr>
            <w:r>
              <w:rPr>
                <w:sz w:val="20"/>
              </w:rPr>
              <w:t xml:space="preserve">191</w:t>
            </w:r>
          </w:p>
        </w:tc>
        <w:tc>
          <w:tcPr>
            <w:tcW w:w="907" w:type="dxa"/>
          </w:tcPr>
          <w:p>
            <w:pPr>
              <w:pStyle w:val="0"/>
            </w:pPr>
            <w:r>
              <w:rPr>
                <w:sz w:val="20"/>
              </w:rPr>
              <w:t xml:space="preserve">207</w:t>
            </w:r>
          </w:p>
        </w:tc>
        <w:tc>
          <w:tcPr>
            <w:tcW w:w="1134" w:type="dxa"/>
          </w:tcPr>
          <w:p>
            <w:pPr>
              <w:pStyle w:val="0"/>
            </w:pPr>
            <w:r>
              <w:rPr>
                <w:sz w:val="20"/>
              </w:rPr>
              <w:t xml:space="preserve">198</w:t>
            </w:r>
          </w:p>
        </w:tc>
      </w:tr>
    </w:tbl>
    <w:p>
      <w:pPr>
        <w:pStyle w:val="0"/>
        <w:ind w:firstLine="540"/>
        <w:jc w:val="both"/>
      </w:pPr>
      <w:r>
        <w:rPr>
          <w:sz w:val="20"/>
        </w:rPr>
      </w:r>
    </w:p>
    <w:p>
      <w:pPr>
        <w:pStyle w:val="0"/>
        <w:ind w:firstLine="540"/>
        <w:jc w:val="both"/>
      </w:pPr>
      <w:r>
        <w:rPr>
          <w:sz w:val="20"/>
        </w:rPr>
        <w:t xml:space="preserve">В 2022 году незначительно увеличилось количество поступивших пациентов с ОНМК в сравнении с 2020 годом. Увеличилось количество пациентов, поступивших в первые 24 часа от начала заболевания на 2,4% по сравнению с 2020 годом. В 2022 году на 19,7% (на 24 человека по сравнению с 2020 годом) уменьшилось количество поступивших пациентов в первые 6 часов от начала заболевания. В 2022 году процент тромболизиса составил 6,4%, что превышает целевой по РФ на 1,7%.</w:t>
      </w:r>
    </w:p>
    <w:p>
      <w:pPr>
        <w:pStyle w:val="0"/>
        <w:spacing w:before="200" w:line-rule="auto"/>
        <w:ind w:firstLine="540"/>
        <w:jc w:val="both"/>
      </w:pPr>
      <w:r>
        <w:rPr>
          <w:sz w:val="20"/>
        </w:rPr>
        <w:t xml:space="preserve">В зоне ответственности РСЦ N 3 реабилитация пациентов, перенесших ОНМК, осуществляется в БУ "Урайская окружная больница медицинской реабилитации".</w:t>
      </w:r>
    </w:p>
    <w:p>
      <w:pPr>
        <w:pStyle w:val="0"/>
        <w:ind w:firstLine="540"/>
        <w:jc w:val="both"/>
      </w:pPr>
      <w:r>
        <w:rPr>
          <w:sz w:val="20"/>
        </w:rPr>
      </w:r>
    </w:p>
    <w:p>
      <w:pPr>
        <w:pStyle w:val="2"/>
        <w:outlineLvl w:val="3"/>
        <w:jc w:val="center"/>
      </w:pPr>
      <w:r>
        <w:rPr>
          <w:sz w:val="20"/>
        </w:rPr>
        <w:t xml:space="preserve">Анализ работы РСЦ по оказанию специализированной, в том</w:t>
      </w:r>
    </w:p>
    <w:p>
      <w:pPr>
        <w:pStyle w:val="2"/>
        <w:jc w:val="center"/>
      </w:pPr>
      <w:r>
        <w:rPr>
          <w:sz w:val="20"/>
        </w:rPr>
        <w:t xml:space="preserve">числе высокотехнологичной, медицинской помощи пациентам</w:t>
      </w:r>
    </w:p>
    <w:p>
      <w:pPr>
        <w:pStyle w:val="2"/>
        <w:jc w:val="center"/>
      </w:pPr>
      <w:r>
        <w:rPr>
          <w:sz w:val="20"/>
        </w:rPr>
        <w:t xml:space="preserve">с ОКС</w:t>
      </w:r>
    </w:p>
    <w:p>
      <w:pPr>
        <w:pStyle w:val="0"/>
        <w:ind w:firstLine="540"/>
        <w:jc w:val="both"/>
      </w:pPr>
      <w:r>
        <w:rPr>
          <w:sz w:val="20"/>
        </w:rPr>
      </w:r>
    </w:p>
    <w:p>
      <w:pPr>
        <w:pStyle w:val="0"/>
        <w:ind w:firstLine="540"/>
        <w:jc w:val="both"/>
      </w:pPr>
      <w:r>
        <w:rPr>
          <w:sz w:val="20"/>
        </w:rPr>
        <w:t xml:space="preserve">Число пролеченных больных с ОКС в стационарах автономного округа за 2022 год - 3450 человек, из них с подъемом ST - 1128 человек, без подъема ST - 2322 человека. Число пролеченных больных с ИМ - 2073 человека, из них пролечены в РСЦ 1999 человек (96,4%), в ПСО 74 человека. Профильная госпитализация больных с ИМ - 99%.</w:t>
      </w:r>
    </w:p>
    <w:p>
      <w:pPr>
        <w:pStyle w:val="0"/>
        <w:spacing w:before="200" w:line-rule="auto"/>
        <w:ind w:firstLine="540"/>
        <w:jc w:val="both"/>
      </w:pPr>
      <w:r>
        <w:rPr>
          <w:sz w:val="20"/>
        </w:rPr>
        <w:t xml:space="preserve">Всего проведено тромболитической терапии (далее - ТЛТ) больным с ИМ с подъемом ST в 224 случаях, в том числе 130 (58%) на догоспитальном этапе. Доля догоспитального тромболизиса возросла на 15,5% (в 2021 году - 42,5%).</w:t>
      </w:r>
    </w:p>
    <w:p>
      <w:pPr>
        <w:pStyle w:val="0"/>
        <w:spacing w:before="200" w:line-rule="auto"/>
        <w:ind w:firstLine="540"/>
        <w:jc w:val="both"/>
      </w:pPr>
      <w:r>
        <w:rPr>
          <w:sz w:val="20"/>
        </w:rPr>
        <w:t xml:space="preserve">В связи с совершенствованием маршрутизации пациентов с ОКС в автономном округе удельный вес первичного ЧКВ стабильно высокий. За 2022 год выполнено 959 ЧКВ у 85,2% пациентов с ОКСпST. В 2022 году практически все муниципальные образования, имеющие время транспортировки до РСЦ более 120 мин., выполняли тромболизис в должном объеме.</w:t>
      </w:r>
    </w:p>
    <w:p>
      <w:pPr>
        <w:pStyle w:val="0"/>
        <w:jc w:val="right"/>
      </w:pPr>
      <w:r>
        <w:rPr>
          <w:sz w:val="20"/>
        </w:rPr>
      </w:r>
    </w:p>
    <w:p>
      <w:pPr>
        <w:pStyle w:val="0"/>
        <w:jc w:val="right"/>
      </w:pPr>
      <w:r>
        <w:rPr>
          <w:sz w:val="20"/>
        </w:rPr>
        <w:t xml:space="preserve">Таблица 42</w:t>
      </w:r>
    </w:p>
    <w:p>
      <w:pPr>
        <w:pStyle w:val="0"/>
        <w:jc w:val="right"/>
      </w:pPr>
      <w:r>
        <w:rPr>
          <w:sz w:val="20"/>
        </w:rPr>
      </w:r>
    </w:p>
    <w:p>
      <w:pPr>
        <w:pStyle w:val="0"/>
        <w:jc w:val="center"/>
      </w:pPr>
      <w:r>
        <w:rPr>
          <w:sz w:val="20"/>
        </w:rPr>
        <w:t xml:space="preserve">Число и доля больных с ОКС и инфарктом миокарда, пролеченных</w:t>
      </w:r>
    </w:p>
    <w:p>
      <w:pPr>
        <w:pStyle w:val="0"/>
        <w:jc w:val="center"/>
      </w:pPr>
      <w:r>
        <w:rPr>
          <w:sz w:val="20"/>
        </w:rPr>
        <w:t xml:space="preserve">на этапе ВМП в РСЦ, за 2020 - 2022 годы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739"/>
        <w:gridCol w:w="739"/>
        <w:gridCol w:w="739"/>
        <w:gridCol w:w="1159"/>
      </w:tblGrid>
      <w:tr>
        <w:tc>
          <w:tcPr>
            <w:tcW w:w="2948" w:type="dxa"/>
          </w:tcPr>
          <w:p>
            <w:pPr>
              <w:pStyle w:val="0"/>
              <w:jc w:val="center"/>
            </w:pPr>
            <w:r>
              <w:rPr>
                <w:sz w:val="20"/>
              </w:rPr>
              <w:t xml:space="preserve">Показатель</w:t>
            </w:r>
          </w:p>
        </w:tc>
        <w:tc>
          <w:tcPr>
            <w:tcW w:w="739" w:type="dxa"/>
          </w:tcPr>
          <w:p>
            <w:pPr>
              <w:pStyle w:val="0"/>
              <w:jc w:val="center"/>
            </w:pPr>
            <w:r>
              <w:rPr>
                <w:sz w:val="20"/>
              </w:rPr>
              <w:t xml:space="preserve">2020</w:t>
            </w:r>
          </w:p>
        </w:tc>
        <w:tc>
          <w:tcPr>
            <w:tcW w:w="739" w:type="dxa"/>
          </w:tcPr>
          <w:p>
            <w:pPr>
              <w:pStyle w:val="0"/>
              <w:jc w:val="center"/>
            </w:pPr>
            <w:r>
              <w:rPr>
                <w:sz w:val="20"/>
              </w:rPr>
              <w:t xml:space="preserve">2021</w:t>
            </w:r>
          </w:p>
        </w:tc>
        <w:tc>
          <w:tcPr>
            <w:tcW w:w="739" w:type="dxa"/>
          </w:tcPr>
          <w:p>
            <w:pPr>
              <w:pStyle w:val="0"/>
              <w:jc w:val="center"/>
            </w:pPr>
            <w:r>
              <w:rPr>
                <w:sz w:val="20"/>
              </w:rPr>
              <w:t xml:space="preserve">2022</w:t>
            </w:r>
          </w:p>
        </w:tc>
        <w:tc>
          <w:tcPr>
            <w:tcW w:w="1159" w:type="dxa"/>
          </w:tcPr>
          <w:p>
            <w:pPr>
              <w:pStyle w:val="0"/>
              <w:jc w:val="center"/>
            </w:pPr>
            <w:r>
              <w:rPr>
                <w:sz w:val="20"/>
              </w:rPr>
              <w:t xml:space="preserve">Динамика (%)</w:t>
            </w:r>
          </w:p>
        </w:tc>
      </w:tr>
      <w:tr>
        <w:tc>
          <w:tcPr>
            <w:tcW w:w="2948" w:type="dxa"/>
          </w:tcPr>
          <w:p>
            <w:pPr>
              <w:pStyle w:val="0"/>
            </w:pPr>
            <w:r>
              <w:rPr>
                <w:sz w:val="20"/>
              </w:rPr>
              <w:t xml:space="preserve">Всего ОКС</w:t>
            </w:r>
          </w:p>
        </w:tc>
        <w:tc>
          <w:tcPr>
            <w:tcW w:w="739" w:type="dxa"/>
          </w:tcPr>
          <w:p>
            <w:pPr>
              <w:pStyle w:val="0"/>
            </w:pPr>
            <w:r>
              <w:rPr>
                <w:sz w:val="20"/>
              </w:rPr>
              <w:t xml:space="preserve">3369</w:t>
            </w:r>
          </w:p>
        </w:tc>
        <w:tc>
          <w:tcPr>
            <w:tcW w:w="739" w:type="dxa"/>
          </w:tcPr>
          <w:p>
            <w:pPr>
              <w:pStyle w:val="0"/>
            </w:pPr>
            <w:r>
              <w:rPr>
                <w:sz w:val="20"/>
              </w:rPr>
              <w:t xml:space="preserve">3208</w:t>
            </w:r>
          </w:p>
        </w:tc>
        <w:tc>
          <w:tcPr>
            <w:tcW w:w="739" w:type="dxa"/>
          </w:tcPr>
          <w:p>
            <w:pPr>
              <w:pStyle w:val="0"/>
            </w:pPr>
            <w:r>
              <w:rPr>
                <w:sz w:val="20"/>
              </w:rPr>
              <w:t xml:space="preserve">3450</w:t>
            </w:r>
          </w:p>
        </w:tc>
        <w:tc>
          <w:tcPr>
            <w:tcW w:w="1159" w:type="dxa"/>
          </w:tcPr>
          <w:p>
            <w:pPr>
              <w:pStyle w:val="0"/>
            </w:pPr>
            <w:r>
              <w:rPr>
                <w:sz w:val="20"/>
              </w:rPr>
              <w:t xml:space="preserve">7,5</w:t>
            </w:r>
          </w:p>
        </w:tc>
      </w:tr>
      <w:tr>
        <w:tc>
          <w:tcPr>
            <w:tcW w:w="2948" w:type="dxa"/>
          </w:tcPr>
          <w:p>
            <w:pPr>
              <w:pStyle w:val="0"/>
            </w:pPr>
            <w:r>
              <w:rPr>
                <w:sz w:val="20"/>
              </w:rPr>
              <w:t xml:space="preserve">из них пролечены в РСЦ</w:t>
            </w:r>
          </w:p>
        </w:tc>
        <w:tc>
          <w:tcPr>
            <w:tcW w:w="739" w:type="dxa"/>
          </w:tcPr>
          <w:p>
            <w:pPr>
              <w:pStyle w:val="0"/>
            </w:pPr>
            <w:r>
              <w:rPr>
                <w:sz w:val="20"/>
              </w:rPr>
              <w:t xml:space="preserve">2913</w:t>
            </w:r>
          </w:p>
        </w:tc>
        <w:tc>
          <w:tcPr>
            <w:tcW w:w="739" w:type="dxa"/>
          </w:tcPr>
          <w:p>
            <w:pPr>
              <w:pStyle w:val="0"/>
            </w:pPr>
            <w:r>
              <w:rPr>
                <w:sz w:val="20"/>
              </w:rPr>
              <w:t xml:space="preserve">3068</w:t>
            </w:r>
          </w:p>
        </w:tc>
        <w:tc>
          <w:tcPr>
            <w:tcW w:w="739" w:type="dxa"/>
          </w:tcPr>
          <w:p>
            <w:pPr>
              <w:pStyle w:val="0"/>
            </w:pPr>
            <w:r>
              <w:rPr>
                <w:sz w:val="20"/>
              </w:rPr>
              <w:t xml:space="preserve">3285</w:t>
            </w:r>
          </w:p>
        </w:tc>
        <w:tc>
          <w:tcPr>
            <w:tcW w:w="1159" w:type="dxa"/>
          </w:tcPr>
          <w:p>
            <w:pPr>
              <w:pStyle w:val="0"/>
            </w:pPr>
            <w:r>
              <w:rPr>
                <w:sz w:val="20"/>
              </w:rPr>
              <w:t xml:space="preserve">7</w:t>
            </w:r>
          </w:p>
        </w:tc>
      </w:tr>
      <w:tr>
        <w:tc>
          <w:tcPr>
            <w:tcW w:w="2948" w:type="dxa"/>
          </w:tcPr>
          <w:p>
            <w:pPr>
              <w:pStyle w:val="0"/>
            </w:pPr>
            <w:r>
              <w:rPr>
                <w:sz w:val="20"/>
              </w:rPr>
              <w:t xml:space="preserve">доля пролеченных на этапе ВМП</w:t>
            </w:r>
          </w:p>
        </w:tc>
        <w:tc>
          <w:tcPr>
            <w:tcW w:w="739" w:type="dxa"/>
          </w:tcPr>
          <w:p>
            <w:pPr>
              <w:pStyle w:val="0"/>
            </w:pPr>
            <w:r>
              <w:rPr>
                <w:sz w:val="20"/>
              </w:rPr>
              <w:t xml:space="preserve">86,5%</w:t>
            </w:r>
          </w:p>
        </w:tc>
        <w:tc>
          <w:tcPr>
            <w:tcW w:w="739" w:type="dxa"/>
          </w:tcPr>
          <w:p>
            <w:pPr>
              <w:pStyle w:val="0"/>
            </w:pPr>
            <w:r>
              <w:rPr>
                <w:sz w:val="20"/>
              </w:rPr>
              <w:t xml:space="preserve">95,6%</w:t>
            </w:r>
          </w:p>
        </w:tc>
        <w:tc>
          <w:tcPr>
            <w:tcW w:w="739" w:type="dxa"/>
          </w:tcPr>
          <w:p>
            <w:pPr>
              <w:pStyle w:val="0"/>
            </w:pPr>
            <w:r>
              <w:rPr>
                <w:sz w:val="20"/>
              </w:rPr>
              <w:t xml:space="preserve">95,2%</w:t>
            </w:r>
          </w:p>
        </w:tc>
        <w:tc>
          <w:tcPr>
            <w:tcW w:w="1159" w:type="dxa"/>
          </w:tcPr>
          <w:p>
            <w:pPr>
              <w:pStyle w:val="0"/>
            </w:pPr>
            <w:r>
              <w:rPr>
                <w:sz w:val="20"/>
              </w:rPr>
              <w:t xml:space="preserve">-0,4</w:t>
            </w:r>
          </w:p>
        </w:tc>
      </w:tr>
      <w:tr>
        <w:tc>
          <w:tcPr>
            <w:tcW w:w="2948" w:type="dxa"/>
          </w:tcPr>
          <w:p>
            <w:pPr>
              <w:pStyle w:val="0"/>
            </w:pPr>
            <w:r>
              <w:rPr>
                <w:sz w:val="20"/>
              </w:rPr>
              <w:t xml:space="preserve">Всего ИМ</w:t>
            </w:r>
          </w:p>
        </w:tc>
        <w:tc>
          <w:tcPr>
            <w:tcW w:w="739" w:type="dxa"/>
          </w:tcPr>
          <w:p>
            <w:pPr>
              <w:pStyle w:val="0"/>
            </w:pPr>
            <w:r>
              <w:rPr>
                <w:sz w:val="20"/>
              </w:rPr>
              <w:t xml:space="preserve">1889</w:t>
            </w:r>
          </w:p>
        </w:tc>
        <w:tc>
          <w:tcPr>
            <w:tcW w:w="739" w:type="dxa"/>
          </w:tcPr>
          <w:p>
            <w:pPr>
              <w:pStyle w:val="0"/>
            </w:pPr>
            <w:r>
              <w:rPr>
                <w:sz w:val="20"/>
              </w:rPr>
              <w:t xml:space="preserve">1993</w:t>
            </w:r>
          </w:p>
        </w:tc>
        <w:tc>
          <w:tcPr>
            <w:tcW w:w="739" w:type="dxa"/>
          </w:tcPr>
          <w:p>
            <w:pPr>
              <w:pStyle w:val="0"/>
            </w:pPr>
            <w:r>
              <w:rPr>
                <w:sz w:val="20"/>
              </w:rPr>
              <w:t xml:space="preserve">2073</w:t>
            </w:r>
          </w:p>
        </w:tc>
        <w:tc>
          <w:tcPr>
            <w:tcW w:w="1159" w:type="dxa"/>
          </w:tcPr>
          <w:p>
            <w:pPr>
              <w:pStyle w:val="0"/>
            </w:pPr>
            <w:r>
              <w:rPr>
                <w:sz w:val="20"/>
              </w:rPr>
              <w:t xml:space="preserve">4</w:t>
            </w:r>
          </w:p>
        </w:tc>
      </w:tr>
      <w:tr>
        <w:tc>
          <w:tcPr>
            <w:tcW w:w="2948" w:type="dxa"/>
          </w:tcPr>
          <w:p>
            <w:pPr>
              <w:pStyle w:val="0"/>
            </w:pPr>
            <w:r>
              <w:rPr>
                <w:sz w:val="20"/>
              </w:rPr>
              <w:t xml:space="preserve">из них пролечены в РСЦ</w:t>
            </w:r>
          </w:p>
        </w:tc>
        <w:tc>
          <w:tcPr>
            <w:tcW w:w="739" w:type="dxa"/>
          </w:tcPr>
          <w:p>
            <w:pPr>
              <w:pStyle w:val="0"/>
            </w:pPr>
            <w:r>
              <w:rPr>
                <w:sz w:val="20"/>
              </w:rPr>
              <w:t xml:space="preserve">1701</w:t>
            </w:r>
          </w:p>
        </w:tc>
        <w:tc>
          <w:tcPr>
            <w:tcW w:w="739" w:type="dxa"/>
          </w:tcPr>
          <w:p>
            <w:pPr>
              <w:pStyle w:val="0"/>
            </w:pPr>
            <w:r>
              <w:rPr>
                <w:sz w:val="20"/>
              </w:rPr>
              <w:t xml:space="preserve">1869</w:t>
            </w:r>
          </w:p>
        </w:tc>
        <w:tc>
          <w:tcPr>
            <w:tcW w:w="739" w:type="dxa"/>
          </w:tcPr>
          <w:p>
            <w:pPr>
              <w:pStyle w:val="0"/>
            </w:pPr>
            <w:r>
              <w:rPr>
                <w:sz w:val="20"/>
              </w:rPr>
              <w:t xml:space="preserve">1999</w:t>
            </w:r>
          </w:p>
        </w:tc>
        <w:tc>
          <w:tcPr>
            <w:tcW w:w="1159" w:type="dxa"/>
          </w:tcPr>
          <w:p>
            <w:pPr>
              <w:pStyle w:val="0"/>
            </w:pPr>
            <w:r>
              <w:rPr>
                <w:sz w:val="20"/>
              </w:rPr>
              <w:t xml:space="preserve">7</w:t>
            </w:r>
          </w:p>
        </w:tc>
      </w:tr>
      <w:tr>
        <w:tc>
          <w:tcPr>
            <w:tcW w:w="2948" w:type="dxa"/>
          </w:tcPr>
          <w:p>
            <w:pPr>
              <w:pStyle w:val="0"/>
            </w:pPr>
            <w:r>
              <w:rPr>
                <w:sz w:val="20"/>
              </w:rPr>
              <w:t xml:space="preserve">доля пролеченных на этапе ВМП</w:t>
            </w:r>
          </w:p>
        </w:tc>
        <w:tc>
          <w:tcPr>
            <w:tcW w:w="739" w:type="dxa"/>
          </w:tcPr>
          <w:p>
            <w:pPr>
              <w:pStyle w:val="0"/>
            </w:pPr>
            <w:r>
              <w:rPr>
                <w:sz w:val="20"/>
              </w:rPr>
              <w:t xml:space="preserve">93,4%</w:t>
            </w:r>
          </w:p>
        </w:tc>
        <w:tc>
          <w:tcPr>
            <w:tcW w:w="739" w:type="dxa"/>
          </w:tcPr>
          <w:p>
            <w:pPr>
              <w:pStyle w:val="0"/>
            </w:pPr>
            <w:r>
              <w:rPr>
                <w:sz w:val="20"/>
              </w:rPr>
              <w:t xml:space="preserve">93,8%</w:t>
            </w:r>
          </w:p>
        </w:tc>
        <w:tc>
          <w:tcPr>
            <w:tcW w:w="739" w:type="dxa"/>
          </w:tcPr>
          <w:p>
            <w:pPr>
              <w:pStyle w:val="0"/>
            </w:pPr>
            <w:r>
              <w:rPr>
                <w:sz w:val="20"/>
              </w:rPr>
              <w:t xml:space="preserve">96,4%</w:t>
            </w:r>
          </w:p>
        </w:tc>
        <w:tc>
          <w:tcPr>
            <w:tcW w:w="1159" w:type="dxa"/>
          </w:tcPr>
          <w:p>
            <w:pPr>
              <w:pStyle w:val="0"/>
            </w:pPr>
            <w:r>
              <w:rPr>
                <w:sz w:val="20"/>
              </w:rPr>
              <w:t xml:space="preserve">2,6</w:t>
            </w:r>
          </w:p>
        </w:tc>
      </w:tr>
    </w:tbl>
    <w:p>
      <w:pPr>
        <w:pStyle w:val="0"/>
        <w:ind w:firstLine="540"/>
        <w:jc w:val="both"/>
      </w:pPr>
      <w:r>
        <w:rPr>
          <w:sz w:val="20"/>
        </w:rPr>
      </w:r>
    </w:p>
    <w:p>
      <w:pPr>
        <w:pStyle w:val="0"/>
        <w:ind w:firstLine="540"/>
        <w:jc w:val="both"/>
      </w:pPr>
      <w:r>
        <w:rPr>
          <w:sz w:val="20"/>
        </w:rPr>
        <w:t xml:space="preserve">В округе ежегодно повышается удельный вес пациентов с ОКС, доставленных на этап ВМП, за счет совершенствования маршрутизации. За 2022 год в стационарах округа пролечено 3450 пациентов с ОКС, что на 7,5% больше, чем в 2021 году, при этом доля пролеченных в РСЦ на этапе ВМП без значительной динамики, в 2022 году составила 95,2% (в 2021 году - 92,6%). Доля пролеченных в РСЦ на этапе ВМП пациентов с инфарктом миокарда в 2022 году составила 96,4% (+ 2,6% к 2021 года).</w:t>
      </w:r>
    </w:p>
    <w:p>
      <w:pPr>
        <w:pStyle w:val="0"/>
        <w:spacing w:before="200" w:line-rule="auto"/>
        <w:ind w:firstLine="540"/>
        <w:jc w:val="both"/>
      </w:pPr>
      <w:r>
        <w:rPr>
          <w:sz w:val="20"/>
        </w:rPr>
        <w:t xml:space="preserve">Из 997 пациентов с ОКС, доставленных в ПСО, 882 (88,5%) переведены в РСЦ на этап ВМП. В связи с утратой роли большинства ПСО как медицинских организаций для лечения больных с ОКС в 2021 году принято решение об их сокращении.</w:t>
      </w:r>
    </w:p>
    <w:p>
      <w:pPr>
        <w:pStyle w:val="0"/>
        <w:spacing w:before="200" w:line-rule="auto"/>
        <w:ind w:firstLine="540"/>
        <w:jc w:val="both"/>
      </w:pPr>
      <w:r>
        <w:rPr>
          <w:sz w:val="20"/>
        </w:rPr>
        <w:t xml:space="preserve">Число умерших больных с ОКС в стационарах составило 127 человек, все умерли от ИМ, в том числе умерших в первые 24 часа - 51 человек (40,2%). Летальность от инфаркта в целом по автономному округу 6,0%, что в 2 раза ниже, чем в среднем по РФ (13,2% за 2021 года), летальность в РСЦ 4,3% (в РФ 8,4% в 2021 году).</w:t>
      </w:r>
    </w:p>
    <w:p>
      <w:pPr>
        <w:pStyle w:val="0"/>
        <w:ind w:firstLine="540"/>
        <w:jc w:val="both"/>
      </w:pPr>
      <w:r>
        <w:rPr>
          <w:sz w:val="20"/>
        </w:rPr>
      </w:r>
    </w:p>
    <w:p>
      <w:pPr>
        <w:pStyle w:val="0"/>
        <w:jc w:val="right"/>
      </w:pPr>
      <w:r>
        <w:rPr>
          <w:sz w:val="20"/>
        </w:rPr>
        <w:t xml:space="preserve">Таблица 43</w:t>
      </w:r>
    </w:p>
    <w:p>
      <w:pPr>
        <w:pStyle w:val="0"/>
        <w:jc w:val="right"/>
      </w:pPr>
      <w:r>
        <w:rPr>
          <w:sz w:val="20"/>
        </w:rPr>
      </w:r>
    </w:p>
    <w:p>
      <w:pPr>
        <w:pStyle w:val="0"/>
        <w:jc w:val="center"/>
      </w:pPr>
      <w:r>
        <w:rPr>
          <w:sz w:val="20"/>
        </w:rPr>
        <w:t xml:space="preserve">Летальность в стационарах автономного округа от ИМ</w:t>
      </w:r>
    </w:p>
    <w:p>
      <w:pPr>
        <w:pStyle w:val="0"/>
        <w:jc w:val="center"/>
      </w:pPr>
      <w:r>
        <w:rPr>
          <w:sz w:val="20"/>
        </w:rPr>
        <w:t xml:space="preserve">за 2020 - 2022 годы (мониторинг программы "Югра-кор")</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739"/>
        <w:gridCol w:w="739"/>
        <w:gridCol w:w="739"/>
        <w:gridCol w:w="1928"/>
      </w:tblGrid>
      <w:tr>
        <w:tc>
          <w:tcPr>
            <w:tcW w:w="2948" w:type="dxa"/>
          </w:tcPr>
          <w:p>
            <w:pPr>
              <w:pStyle w:val="0"/>
              <w:jc w:val="center"/>
            </w:pPr>
            <w:r>
              <w:rPr>
                <w:sz w:val="20"/>
              </w:rPr>
              <w:t xml:space="preserve">Показатель</w:t>
            </w:r>
          </w:p>
        </w:tc>
        <w:tc>
          <w:tcPr>
            <w:tcW w:w="739" w:type="dxa"/>
          </w:tcPr>
          <w:p>
            <w:pPr>
              <w:pStyle w:val="0"/>
              <w:jc w:val="center"/>
            </w:pPr>
            <w:r>
              <w:rPr>
                <w:sz w:val="20"/>
              </w:rPr>
              <w:t xml:space="preserve">2020</w:t>
            </w:r>
          </w:p>
        </w:tc>
        <w:tc>
          <w:tcPr>
            <w:tcW w:w="739" w:type="dxa"/>
          </w:tcPr>
          <w:p>
            <w:pPr>
              <w:pStyle w:val="0"/>
              <w:jc w:val="center"/>
            </w:pPr>
            <w:r>
              <w:rPr>
                <w:sz w:val="20"/>
              </w:rPr>
              <w:t xml:space="preserve">2021</w:t>
            </w:r>
          </w:p>
        </w:tc>
        <w:tc>
          <w:tcPr>
            <w:tcW w:w="739" w:type="dxa"/>
          </w:tcPr>
          <w:p>
            <w:pPr>
              <w:pStyle w:val="0"/>
              <w:jc w:val="center"/>
            </w:pPr>
            <w:r>
              <w:rPr>
                <w:sz w:val="20"/>
              </w:rPr>
              <w:t xml:space="preserve">2022</w:t>
            </w:r>
          </w:p>
        </w:tc>
        <w:tc>
          <w:tcPr>
            <w:tcW w:w="1928" w:type="dxa"/>
          </w:tcPr>
          <w:p>
            <w:pPr>
              <w:pStyle w:val="0"/>
              <w:jc w:val="center"/>
            </w:pPr>
            <w:r>
              <w:rPr>
                <w:sz w:val="20"/>
              </w:rPr>
              <w:t xml:space="preserve">Динамика 2022/2021 (%)</w:t>
            </w:r>
          </w:p>
        </w:tc>
      </w:tr>
      <w:tr>
        <w:tc>
          <w:tcPr>
            <w:tcW w:w="2948" w:type="dxa"/>
          </w:tcPr>
          <w:p>
            <w:pPr>
              <w:pStyle w:val="0"/>
            </w:pPr>
            <w:r>
              <w:rPr>
                <w:sz w:val="20"/>
              </w:rPr>
              <w:t xml:space="preserve">ИМ в целом по автономному округу</w:t>
            </w:r>
          </w:p>
        </w:tc>
        <w:tc>
          <w:tcPr>
            <w:tcW w:w="739" w:type="dxa"/>
          </w:tcPr>
          <w:p>
            <w:pPr>
              <w:pStyle w:val="0"/>
            </w:pPr>
            <w:r>
              <w:rPr>
                <w:sz w:val="20"/>
              </w:rPr>
              <w:t xml:space="preserve">7,4%</w:t>
            </w:r>
          </w:p>
        </w:tc>
        <w:tc>
          <w:tcPr>
            <w:tcW w:w="739" w:type="dxa"/>
          </w:tcPr>
          <w:p>
            <w:pPr>
              <w:pStyle w:val="0"/>
            </w:pPr>
            <w:r>
              <w:rPr>
                <w:sz w:val="20"/>
              </w:rPr>
              <w:t xml:space="preserve">7,3%</w:t>
            </w:r>
          </w:p>
        </w:tc>
        <w:tc>
          <w:tcPr>
            <w:tcW w:w="739" w:type="dxa"/>
          </w:tcPr>
          <w:p>
            <w:pPr>
              <w:pStyle w:val="0"/>
            </w:pPr>
            <w:r>
              <w:rPr>
                <w:sz w:val="20"/>
              </w:rPr>
              <w:t xml:space="preserve">6,0%</w:t>
            </w:r>
          </w:p>
        </w:tc>
        <w:tc>
          <w:tcPr>
            <w:tcW w:w="1928" w:type="dxa"/>
          </w:tcPr>
          <w:p>
            <w:pPr>
              <w:pStyle w:val="0"/>
            </w:pPr>
            <w:r>
              <w:rPr>
                <w:sz w:val="20"/>
              </w:rPr>
              <w:t xml:space="preserve">-1,3</w:t>
            </w:r>
          </w:p>
        </w:tc>
      </w:tr>
      <w:tr>
        <w:tc>
          <w:tcPr>
            <w:tcW w:w="2948" w:type="dxa"/>
          </w:tcPr>
          <w:p>
            <w:pPr>
              <w:pStyle w:val="0"/>
            </w:pPr>
            <w:r>
              <w:rPr>
                <w:sz w:val="20"/>
              </w:rPr>
              <w:t xml:space="preserve">ИМ в ПСО</w:t>
            </w:r>
          </w:p>
        </w:tc>
        <w:tc>
          <w:tcPr>
            <w:tcW w:w="739" w:type="dxa"/>
          </w:tcPr>
          <w:p>
            <w:pPr>
              <w:pStyle w:val="0"/>
            </w:pPr>
            <w:r>
              <w:rPr>
                <w:sz w:val="20"/>
              </w:rPr>
              <w:t xml:space="preserve">30,9%</w:t>
            </w:r>
          </w:p>
        </w:tc>
        <w:tc>
          <w:tcPr>
            <w:tcW w:w="739" w:type="dxa"/>
          </w:tcPr>
          <w:p>
            <w:pPr>
              <w:pStyle w:val="0"/>
            </w:pPr>
            <w:r>
              <w:rPr>
                <w:sz w:val="20"/>
              </w:rPr>
              <w:t xml:space="preserve">34,3%</w:t>
            </w:r>
          </w:p>
        </w:tc>
        <w:tc>
          <w:tcPr>
            <w:tcW w:w="739" w:type="dxa"/>
          </w:tcPr>
          <w:p>
            <w:pPr>
              <w:pStyle w:val="0"/>
            </w:pPr>
            <w:r>
              <w:rPr>
                <w:sz w:val="20"/>
              </w:rPr>
              <w:t xml:space="preserve">43,9%</w:t>
            </w:r>
          </w:p>
        </w:tc>
        <w:tc>
          <w:tcPr>
            <w:tcW w:w="1928" w:type="dxa"/>
          </w:tcPr>
          <w:p>
            <w:pPr>
              <w:pStyle w:val="0"/>
            </w:pPr>
            <w:r>
              <w:rPr>
                <w:sz w:val="20"/>
              </w:rPr>
              <w:t xml:space="preserve">9,6</w:t>
            </w:r>
          </w:p>
        </w:tc>
      </w:tr>
      <w:tr>
        <w:tc>
          <w:tcPr>
            <w:tcW w:w="2948" w:type="dxa"/>
          </w:tcPr>
          <w:p>
            <w:pPr>
              <w:pStyle w:val="0"/>
            </w:pPr>
            <w:r>
              <w:rPr>
                <w:sz w:val="20"/>
              </w:rPr>
              <w:t xml:space="preserve">ИМ РСЦ</w:t>
            </w:r>
          </w:p>
        </w:tc>
        <w:tc>
          <w:tcPr>
            <w:tcW w:w="739" w:type="dxa"/>
          </w:tcPr>
          <w:p>
            <w:pPr>
              <w:pStyle w:val="0"/>
            </w:pPr>
            <w:r>
              <w:rPr>
                <w:sz w:val="20"/>
              </w:rPr>
              <w:t xml:space="preserve">4,8%</w:t>
            </w:r>
          </w:p>
        </w:tc>
        <w:tc>
          <w:tcPr>
            <w:tcW w:w="739" w:type="dxa"/>
          </w:tcPr>
          <w:p>
            <w:pPr>
              <w:pStyle w:val="0"/>
            </w:pPr>
            <w:r>
              <w:rPr>
                <w:sz w:val="20"/>
              </w:rPr>
              <w:t xml:space="preserve">5,5%</w:t>
            </w:r>
          </w:p>
        </w:tc>
        <w:tc>
          <w:tcPr>
            <w:tcW w:w="739" w:type="dxa"/>
          </w:tcPr>
          <w:p>
            <w:pPr>
              <w:pStyle w:val="0"/>
            </w:pPr>
            <w:r>
              <w:rPr>
                <w:sz w:val="20"/>
              </w:rPr>
              <w:t xml:space="preserve">4,3%</w:t>
            </w:r>
          </w:p>
        </w:tc>
        <w:tc>
          <w:tcPr>
            <w:tcW w:w="1928" w:type="dxa"/>
          </w:tcPr>
          <w:p>
            <w:pPr>
              <w:pStyle w:val="0"/>
            </w:pPr>
            <w:r>
              <w:rPr>
                <w:sz w:val="20"/>
              </w:rPr>
              <w:t xml:space="preserve">-1,2</w:t>
            </w:r>
          </w:p>
        </w:tc>
      </w:tr>
    </w:tbl>
    <w:p>
      <w:pPr>
        <w:pStyle w:val="0"/>
        <w:ind w:firstLine="540"/>
        <w:jc w:val="both"/>
      </w:pPr>
      <w:r>
        <w:rPr>
          <w:sz w:val="20"/>
        </w:rPr>
      </w:r>
    </w:p>
    <w:p>
      <w:pPr>
        <w:pStyle w:val="0"/>
        <w:ind w:firstLine="540"/>
        <w:jc w:val="both"/>
      </w:pPr>
      <w:r>
        <w:rPr>
          <w:sz w:val="20"/>
        </w:rPr>
        <w:t xml:space="preserve">Летальность от ИМ в целом по автономному округу и по РСЦ снижается. Повышение летальности в ПСО связано с тем, что к настоящему времени все пациенты с ОКС, не имеющие противопоказаний к инвазивному лечению, переводятся в РСЦ; остаются на лечении в ПСО лишь крайне тяжелые пациенты, по тяжести состояния или по тяжелой сопутствующей патологии не подлежащие переводу в РСЦ на этап ВМП.</w:t>
      </w:r>
    </w:p>
    <w:p>
      <w:pPr>
        <w:pStyle w:val="0"/>
        <w:ind w:firstLine="540"/>
        <w:jc w:val="both"/>
      </w:pPr>
      <w:r>
        <w:rPr>
          <w:sz w:val="20"/>
        </w:rPr>
      </w:r>
    </w:p>
    <w:p>
      <w:pPr>
        <w:pStyle w:val="0"/>
        <w:jc w:val="right"/>
      </w:pPr>
      <w:r>
        <w:rPr>
          <w:sz w:val="20"/>
        </w:rPr>
        <w:t xml:space="preserve">Таблица 44</w:t>
      </w:r>
    </w:p>
    <w:p>
      <w:pPr>
        <w:pStyle w:val="0"/>
        <w:jc w:val="right"/>
      </w:pPr>
      <w:r>
        <w:rPr>
          <w:sz w:val="20"/>
        </w:rPr>
      </w:r>
    </w:p>
    <w:p>
      <w:pPr>
        <w:pStyle w:val="0"/>
        <w:jc w:val="center"/>
      </w:pPr>
      <w:r>
        <w:rPr>
          <w:sz w:val="20"/>
        </w:rPr>
        <w:t xml:space="preserve">Показатели работы РСЦ за 2020 - 2022 годы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964"/>
        <w:gridCol w:w="964"/>
        <w:gridCol w:w="1077"/>
        <w:gridCol w:w="1587"/>
      </w:tblGrid>
      <w:tr>
        <w:tc>
          <w:tcPr>
            <w:tcW w:w="3515" w:type="dxa"/>
            <w:vMerge w:val="restart"/>
          </w:tcPr>
          <w:p>
            <w:pPr>
              <w:pStyle w:val="0"/>
              <w:jc w:val="center"/>
            </w:pPr>
            <w:r>
              <w:rPr>
                <w:sz w:val="20"/>
              </w:rPr>
              <w:t xml:space="preserve">Показатели</w:t>
            </w:r>
          </w:p>
        </w:tc>
        <w:tc>
          <w:tcPr>
            <w:gridSpan w:val="3"/>
            <w:tcW w:w="3005" w:type="dxa"/>
          </w:tcPr>
          <w:p>
            <w:pPr>
              <w:pStyle w:val="0"/>
              <w:jc w:val="center"/>
            </w:pPr>
            <w:r>
              <w:rPr>
                <w:sz w:val="20"/>
              </w:rPr>
              <w:t xml:space="preserve">Всего</w:t>
            </w:r>
          </w:p>
        </w:tc>
        <w:tc>
          <w:tcPr>
            <w:tcW w:w="1587" w:type="dxa"/>
            <w:vMerge w:val="restart"/>
          </w:tcPr>
          <w:p>
            <w:pPr>
              <w:pStyle w:val="0"/>
              <w:jc w:val="center"/>
            </w:pPr>
            <w:r>
              <w:rPr>
                <w:sz w:val="20"/>
              </w:rPr>
              <w:t xml:space="preserve">Динамика 2022/2021</w:t>
            </w:r>
          </w:p>
        </w:tc>
      </w:tr>
      <w:tr>
        <w:tc>
          <w:tcPr>
            <w:vMerge w:val="continue"/>
          </w:tcPr>
          <w:p/>
        </w:tc>
        <w:tc>
          <w:tcPr>
            <w:tcW w:w="964" w:type="dxa"/>
          </w:tcPr>
          <w:p>
            <w:pPr>
              <w:pStyle w:val="0"/>
              <w:jc w:val="center"/>
            </w:pPr>
            <w:r>
              <w:rPr>
                <w:sz w:val="20"/>
              </w:rPr>
              <w:t xml:space="preserve">2020</w:t>
            </w:r>
          </w:p>
        </w:tc>
        <w:tc>
          <w:tcPr>
            <w:tcW w:w="964" w:type="dxa"/>
          </w:tcPr>
          <w:p>
            <w:pPr>
              <w:pStyle w:val="0"/>
              <w:jc w:val="center"/>
            </w:pPr>
            <w:r>
              <w:rPr>
                <w:sz w:val="20"/>
              </w:rPr>
              <w:t xml:space="preserve">2021</w:t>
            </w:r>
          </w:p>
        </w:tc>
        <w:tc>
          <w:tcPr>
            <w:tcW w:w="1077" w:type="dxa"/>
          </w:tcPr>
          <w:p>
            <w:pPr>
              <w:pStyle w:val="0"/>
              <w:jc w:val="center"/>
            </w:pPr>
            <w:r>
              <w:rPr>
                <w:sz w:val="20"/>
              </w:rPr>
              <w:t xml:space="preserve">2022</w:t>
            </w:r>
          </w:p>
        </w:tc>
        <w:tc>
          <w:tcPr>
            <w:vMerge w:val="continue"/>
          </w:tcPr>
          <w:p/>
        </w:tc>
      </w:tr>
      <w:tr>
        <w:tc>
          <w:tcPr>
            <w:tcW w:w="3515" w:type="dxa"/>
          </w:tcPr>
          <w:p>
            <w:pPr>
              <w:pStyle w:val="0"/>
            </w:pPr>
            <w:r>
              <w:rPr>
                <w:sz w:val="20"/>
              </w:rPr>
              <w:t xml:space="preserve">Пролечено больных с ОКС</w:t>
            </w:r>
          </w:p>
        </w:tc>
        <w:tc>
          <w:tcPr>
            <w:tcW w:w="964" w:type="dxa"/>
          </w:tcPr>
          <w:p>
            <w:pPr>
              <w:pStyle w:val="0"/>
            </w:pPr>
            <w:r>
              <w:rPr>
                <w:sz w:val="20"/>
              </w:rPr>
              <w:t xml:space="preserve">2942</w:t>
            </w:r>
          </w:p>
        </w:tc>
        <w:tc>
          <w:tcPr>
            <w:tcW w:w="964" w:type="dxa"/>
          </w:tcPr>
          <w:p>
            <w:pPr>
              <w:pStyle w:val="0"/>
            </w:pPr>
            <w:r>
              <w:rPr>
                <w:sz w:val="20"/>
              </w:rPr>
              <w:t xml:space="preserve">3068</w:t>
            </w:r>
          </w:p>
        </w:tc>
        <w:tc>
          <w:tcPr>
            <w:tcW w:w="1077" w:type="dxa"/>
          </w:tcPr>
          <w:p>
            <w:pPr>
              <w:pStyle w:val="0"/>
            </w:pPr>
            <w:r>
              <w:rPr>
                <w:sz w:val="20"/>
              </w:rPr>
              <w:t xml:space="preserve">3285</w:t>
            </w:r>
          </w:p>
        </w:tc>
        <w:tc>
          <w:tcPr>
            <w:tcW w:w="1587" w:type="dxa"/>
          </w:tcPr>
          <w:p>
            <w:pPr>
              <w:pStyle w:val="0"/>
            </w:pPr>
            <w:r>
              <w:rPr>
                <w:sz w:val="20"/>
              </w:rPr>
              <w:t xml:space="preserve">7,1</w:t>
            </w:r>
          </w:p>
        </w:tc>
      </w:tr>
      <w:tr>
        <w:tc>
          <w:tcPr>
            <w:tcW w:w="3515" w:type="dxa"/>
          </w:tcPr>
          <w:p>
            <w:pPr>
              <w:pStyle w:val="0"/>
            </w:pPr>
            <w:r>
              <w:rPr>
                <w:sz w:val="20"/>
              </w:rPr>
              <w:t xml:space="preserve">в т.ч. с ИМ</w:t>
            </w:r>
          </w:p>
        </w:tc>
        <w:tc>
          <w:tcPr>
            <w:tcW w:w="964" w:type="dxa"/>
          </w:tcPr>
          <w:p>
            <w:pPr>
              <w:pStyle w:val="0"/>
            </w:pPr>
            <w:r>
              <w:rPr>
                <w:sz w:val="20"/>
              </w:rPr>
              <w:t xml:space="preserve">1708</w:t>
            </w:r>
          </w:p>
        </w:tc>
        <w:tc>
          <w:tcPr>
            <w:tcW w:w="964" w:type="dxa"/>
          </w:tcPr>
          <w:p>
            <w:pPr>
              <w:pStyle w:val="0"/>
            </w:pPr>
            <w:r>
              <w:rPr>
                <w:sz w:val="20"/>
              </w:rPr>
              <w:t xml:space="preserve">1869</w:t>
            </w:r>
          </w:p>
        </w:tc>
        <w:tc>
          <w:tcPr>
            <w:tcW w:w="1077" w:type="dxa"/>
          </w:tcPr>
          <w:p>
            <w:pPr>
              <w:pStyle w:val="0"/>
            </w:pPr>
            <w:r>
              <w:rPr>
                <w:sz w:val="20"/>
              </w:rPr>
              <w:t xml:space="preserve">1999</w:t>
            </w:r>
          </w:p>
        </w:tc>
        <w:tc>
          <w:tcPr>
            <w:tcW w:w="1587" w:type="dxa"/>
          </w:tcPr>
          <w:p>
            <w:pPr>
              <w:pStyle w:val="0"/>
            </w:pPr>
            <w:r>
              <w:rPr>
                <w:sz w:val="20"/>
              </w:rPr>
              <w:t xml:space="preserve">7,0</w:t>
            </w:r>
          </w:p>
        </w:tc>
      </w:tr>
      <w:tr>
        <w:tc>
          <w:tcPr>
            <w:tcW w:w="3515" w:type="dxa"/>
          </w:tcPr>
          <w:p>
            <w:pPr>
              <w:pStyle w:val="0"/>
            </w:pPr>
            <w:r>
              <w:rPr>
                <w:sz w:val="20"/>
              </w:rPr>
              <w:t xml:space="preserve">Выполнено коронароангиографий</w:t>
            </w:r>
          </w:p>
        </w:tc>
        <w:tc>
          <w:tcPr>
            <w:tcW w:w="964" w:type="dxa"/>
          </w:tcPr>
          <w:p>
            <w:pPr>
              <w:pStyle w:val="0"/>
            </w:pPr>
            <w:r>
              <w:rPr>
                <w:sz w:val="20"/>
              </w:rPr>
              <w:t xml:space="preserve">2809</w:t>
            </w:r>
          </w:p>
        </w:tc>
        <w:tc>
          <w:tcPr>
            <w:tcW w:w="964" w:type="dxa"/>
          </w:tcPr>
          <w:p>
            <w:pPr>
              <w:pStyle w:val="0"/>
            </w:pPr>
            <w:r>
              <w:rPr>
                <w:sz w:val="20"/>
              </w:rPr>
              <w:t xml:space="preserve">3007</w:t>
            </w:r>
          </w:p>
        </w:tc>
        <w:tc>
          <w:tcPr>
            <w:tcW w:w="1077" w:type="dxa"/>
          </w:tcPr>
          <w:p>
            <w:pPr>
              <w:pStyle w:val="0"/>
            </w:pPr>
            <w:r>
              <w:rPr>
                <w:sz w:val="20"/>
              </w:rPr>
              <w:t xml:space="preserve">3100</w:t>
            </w:r>
          </w:p>
        </w:tc>
        <w:tc>
          <w:tcPr>
            <w:tcW w:w="1587" w:type="dxa"/>
          </w:tcPr>
          <w:p>
            <w:pPr>
              <w:pStyle w:val="0"/>
            </w:pPr>
            <w:r>
              <w:rPr>
                <w:sz w:val="20"/>
              </w:rPr>
              <w:t xml:space="preserve">3,1</w:t>
            </w:r>
          </w:p>
        </w:tc>
      </w:tr>
      <w:tr>
        <w:tc>
          <w:tcPr>
            <w:tcW w:w="3515" w:type="dxa"/>
          </w:tcPr>
          <w:p>
            <w:pPr>
              <w:pStyle w:val="0"/>
            </w:pPr>
            <w:r>
              <w:rPr>
                <w:sz w:val="20"/>
              </w:rPr>
              <w:t xml:space="preserve">Выполнено чрескожных коронарных вмешательств</w:t>
            </w:r>
          </w:p>
        </w:tc>
        <w:tc>
          <w:tcPr>
            <w:tcW w:w="964" w:type="dxa"/>
          </w:tcPr>
          <w:p>
            <w:pPr>
              <w:pStyle w:val="0"/>
            </w:pPr>
            <w:r>
              <w:rPr>
                <w:sz w:val="20"/>
              </w:rPr>
              <w:t xml:space="preserve">2208</w:t>
            </w:r>
          </w:p>
        </w:tc>
        <w:tc>
          <w:tcPr>
            <w:tcW w:w="964" w:type="dxa"/>
          </w:tcPr>
          <w:p>
            <w:pPr>
              <w:pStyle w:val="0"/>
            </w:pPr>
            <w:r>
              <w:rPr>
                <w:sz w:val="20"/>
              </w:rPr>
              <w:t xml:space="preserve">2438</w:t>
            </w:r>
          </w:p>
        </w:tc>
        <w:tc>
          <w:tcPr>
            <w:tcW w:w="1077" w:type="dxa"/>
          </w:tcPr>
          <w:p>
            <w:pPr>
              <w:pStyle w:val="0"/>
            </w:pPr>
            <w:r>
              <w:rPr>
                <w:sz w:val="20"/>
              </w:rPr>
              <w:t xml:space="preserve">2488</w:t>
            </w:r>
          </w:p>
        </w:tc>
        <w:tc>
          <w:tcPr>
            <w:tcW w:w="1587" w:type="dxa"/>
          </w:tcPr>
          <w:p>
            <w:pPr>
              <w:pStyle w:val="0"/>
            </w:pPr>
            <w:r>
              <w:rPr>
                <w:sz w:val="20"/>
              </w:rPr>
              <w:t xml:space="preserve">2,1</w:t>
            </w:r>
          </w:p>
        </w:tc>
      </w:tr>
      <w:tr>
        <w:tc>
          <w:tcPr>
            <w:tcW w:w="3515" w:type="dxa"/>
          </w:tcPr>
          <w:p>
            <w:pPr>
              <w:pStyle w:val="0"/>
            </w:pPr>
            <w:r>
              <w:rPr>
                <w:sz w:val="20"/>
              </w:rPr>
              <w:t xml:space="preserve">ЧКВ при ИМ</w:t>
            </w:r>
          </w:p>
        </w:tc>
        <w:tc>
          <w:tcPr>
            <w:tcW w:w="964" w:type="dxa"/>
          </w:tcPr>
          <w:p>
            <w:pPr>
              <w:pStyle w:val="0"/>
            </w:pPr>
            <w:r>
              <w:rPr>
                <w:sz w:val="20"/>
              </w:rPr>
              <w:t xml:space="preserve">1517</w:t>
            </w:r>
          </w:p>
        </w:tc>
        <w:tc>
          <w:tcPr>
            <w:tcW w:w="964" w:type="dxa"/>
          </w:tcPr>
          <w:p>
            <w:pPr>
              <w:pStyle w:val="0"/>
            </w:pPr>
            <w:r>
              <w:rPr>
                <w:sz w:val="20"/>
              </w:rPr>
              <w:t xml:space="preserve">1636</w:t>
            </w:r>
          </w:p>
        </w:tc>
        <w:tc>
          <w:tcPr>
            <w:tcW w:w="1077" w:type="dxa"/>
          </w:tcPr>
          <w:p>
            <w:pPr>
              <w:pStyle w:val="0"/>
            </w:pPr>
            <w:r>
              <w:rPr>
                <w:sz w:val="20"/>
              </w:rPr>
              <w:t xml:space="preserve">1688</w:t>
            </w:r>
          </w:p>
        </w:tc>
        <w:tc>
          <w:tcPr>
            <w:tcW w:w="1587" w:type="dxa"/>
          </w:tcPr>
          <w:p>
            <w:pPr>
              <w:pStyle w:val="0"/>
            </w:pPr>
            <w:r>
              <w:rPr>
                <w:sz w:val="20"/>
              </w:rPr>
              <w:t xml:space="preserve">3,2</w:t>
            </w:r>
          </w:p>
        </w:tc>
      </w:tr>
      <w:tr>
        <w:tc>
          <w:tcPr>
            <w:tcW w:w="3515" w:type="dxa"/>
          </w:tcPr>
          <w:p>
            <w:pPr>
              <w:pStyle w:val="0"/>
            </w:pPr>
            <w:r>
              <w:rPr>
                <w:sz w:val="20"/>
              </w:rPr>
              <w:t xml:space="preserve">в т.ч. ЧКВ+тромболизис</w:t>
            </w:r>
          </w:p>
        </w:tc>
        <w:tc>
          <w:tcPr>
            <w:tcW w:w="964" w:type="dxa"/>
          </w:tcPr>
          <w:p>
            <w:pPr>
              <w:pStyle w:val="0"/>
            </w:pPr>
            <w:r>
              <w:rPr>
                <w:sz w:val="20"/>
              </w:rPr>
              <w:t xml:space="preserve">182</w:t>
            </w:r>
          </w:p>
        </w:tc>
        <w:tc>
          <w:tcPr>
            <w:tcW w:w="964" w:type="dxa"/>
          </w:tcPr>
          <w:p>
            <w:pPr>
              <w:pStyle w:val="0"/>
            </w:pPr>
            <w:r>
              <w:rPr>
                <w:sz w:val="20"/>
              </w:rPr>
              <w:t xml:space="preserve">171</w:t>
            </w:r>
          </w:p>
        </w:tc>
        <w:tc>
          <w:tcPr>
            <w:tcW w:w="1077" w:type="dxa"/>
          </w:tcPr>
          <w:p>
            <w:pPr>
              <w:pStyle w:val="0"/>
            </w:pPr>
            <w:r>
              <w:rPr>
                <w:sz w:val="20"/>
              </w:rPr>
              <w:t xml:space="preserve">207</w:t>
            </w:r>
          </w:p>
        </w:tc>
        <w:tc>
          <w:tcPr>
            <w:tcW w:w="1587" w:type="dxa"/>
          </w:tcPr>
          <w:p>
            <w:pPr>
              <w:pStyle w:val="0"/>
            </w:pPr>
            <w:r>
              <w:rPr>
                <w:sz w:val="20"/>
              </w:rPr>
              <w:t xml:space="preserve">21,1</w:t>
            </w:r>
          </w:p>
        </w:tc>
      </w:tr>
      <w:tr>
        <w:tc>
          <w:tcPr>
            <w:tcW w:w="3515" w:type="dxa"/>
          </w:tcPr>
          <w:p>
            <w:pPr>
              <w:pStyle w:val="0"/>
            </w:pPr>
            <w:r>
              <w:rPr>
                <w:sz w:val="20"/>
              </w:rPr>
              <w:t xml:space="preserve">АКШ</w:t>
            </w:r>
          </w:p>
        </w:tc>
        <w:tc>
          <w:tcPr>
            <w:tcW w:w="964" w:type="dxa"/>
          </w:tcPr>
          <w:p>
            <w:pPr>
              <w:pStyle w:val="0"/>
            </w:pPr>
            <w:r>
              <w:rPr>
                <w:sz w:val="20"/>
              </w:rPr>
              <w:t xml:space="preserve">109</w:t>
            </w:r>
          </w:p>
        </w:tc>
        <w:tc>
          <w:tcPr>
            <w:tcW w:w="964" w:type="dxa"/>
          </w:tcPr>
          <w:p>
            <w:pPr>
              <w:pStyle w:val="0"/>
            </w:pPr>
            <w:r>
              <w:rPr>
                <w:sz w:val="20"/>
              </w:rPr>
              <w:t xml:space="preserve">122</w:t>
            </w:r>
          </w:p>
        </w:tc>
        <w:tc>
          <w:tcPr>
            <w:tcW w:w="1077" w:type="dxa"/>
          </w:tcPr>
          <w:p>
            <w:pPr>
              <w:pStyle w:val="0"/>
            </w:pPr>
            <w:r>
              <w:rPr>
                <w:sz w:val="20"/>
              </w:rPr>
              <w:t xml:space="preserve">132</w:t>
            </w:r>
          </w:p>
        </w:tc>
        <w:tc>
          <w:tcPr>
            <w:tcW w:w="1587" w:type="dxa"/>
          </w:tcPr>
          <w:p>
            <w:pPr>
              <w:pStyle w:val="0"/>
            </w:pPr>
            <w:r>
              <w:rPr>
                <w:sz w:val="20"/>
              </w:rPr>
              <w:t xml:space="preserve">8,2</w:t>
            </w:r>
          </w:p>
        </w:tc>
      </w:tr>
    </w:tbl>
    <w:p>
      <w:pPr>
        <w:pStyle w:val="0"/>
        <w:ind w:firstLine="540"/>
        <w:jc w:val="both"/>
      </w:pPr>
      <w:r>
        <w:rPr>
          <w:sz w:val="20"/>
        </w:rPr>
      </w:r>
    </w:p>
    <w:p>
      <w:pPr>
        <w:pStyle w:val="0"/>
        <w:ind w:firstLine="540"/>
        <w:jc w:val="both"/>
      </w:pPr>
      <w:r>
        <w:rPr>
          <w:sz w:val="20"/>
        </w:rPr>
        <w:t xml:space="preserve">Больным с ОКС, пролеченным в РСЦ, в 2022 году выполнено 2488 ЧКВ, в т.ч. 207 ЧКВ после тромболизиса. Количество проведенных ЧКВ в динамике за 3 года увеличилось на 12,7%, в том числе ЧКВ больным с ИМ - на 11,3%.</w:t>
      </w:r>
    </w:p>
    <w:p>
      <w:pPr>
        <w:pStyle w:val="0"/>
        <w:spacing w:before="200" w:line-rule="auto"/>
        <w:ind w:firstLine="540"/>
        <w:jc w:val="both"/>
      </w:pPr>
      <w:r>
        <w:rPr>
          <w:sz w:val="20"/>
        </w:rPr>
        <w:t xml:space="preserve">Больным с ИМ ЧКВ выполнено в 84,4% случаях - 1688 пациентам из 1999. Выполнено 132 операции аортокоронарного шунтирования при ОКС. Таким образом, высокотехнологичную медицинскую помощь получили 2620 (79,8% от всех пролеченных с ОКС) больных, госпитализированных в РСЦ.</w:t>
      </w:r>
    </w:p>
    <w:p>
      <w:pPr>
        <w:pStyle w:val="0"/>
        <w:jc w:val="right"/>
      </w:pPr>
      <w:r>
        <w:rPr>
          <w:sz w:val="20"/>
        </w:rPr>
      </w:r>
    </w:p>
    <w:p>
      <w:pPr>
        <w:pStyle w:val="0"/>
        <w:jc w:val="right"/>
      </w:pPr>
      <w:r>
        <w:rPr>
          <w:sz w:val="20"/>
        </w:rPr>
        <w:t xml:space="preserve">Рисунок 17</w:t>
      </w:r>
    </w:p>
    <w:p>
      <w:pPr>
        <w:pStyle w:val="0"/>
        <w:jc w:val="right"/>
      </w:pPr>
      <w:r>
        <w:rPr>
          <w:sz w:val="20"/>
        </w:rPr>
      </w:r>
    </w:p>
    <w:p>
      <w:pPr>
        <w:pStyle w:val="0"/>
        <w:jc w:val="center"/>
      </w:pPr>
      <w:r>
        <w:rPr>
          <w:sz w:val="20"/>
        </w:rPr>
        <w:t xml:space="preserve">Число больных, пролеченных в РСЦ автономного округа</w:t>
      </w:r>
    </w:p>
    <w:p>
      <w:pPr>
        <w:pStyle w:val="0"/>
        <w:jc w:val="center"/>
      </w:pPr>
      <w:r>
        <w:rPr>
          <w:sz w:val="20"/>
        </w:rPr>
        <w:t xml:space="preserve">за 2020 - 2022 годы</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p>
      <w:pPr>
        <w:pStyle w:val="0"/>
        <w:jc w:val="center"/>
      </w:pPr>
      <w:r>
        <w:rPr>
          <w:position w:val="-121"/>
        </w:rPr>
        <w:drawing>
          <wp:inline distT="0" distB="0" distL="0" distR="0">
            <wp:extent cx="6577330" cy="1664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6577330" cy="1664335"/>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В 2022 году во всех РСЦ, кроме ОКБ, отмечается увеличение числа пролеченных больных с ОКС в сравнении с 2021 годом: в БУ "Окружной кардиологический диспансер "Центр диагностики и сердечно-сосудистой хирургии" - на 10,7% (+ 174 пациентов), в БУ "Няганская окружная больница" - на 12,7% (+ 47 пациентов), в БУ "Нижневартовская окружная клиническая больница" на 3,8% (+25 пациентов). В БУ "Окружная клиническая больница" число пациентов снизилось на 7% (-29 пациентов).</w:t>
      </w:r>
    </w:p>
    <w:p>
      <w:pPr>
        <w:pStyle w:val="0"/>
        <w:spacing w:before="200" w:line-rule="auto"/>
        <w:ind w:firstLine="540"/>
        <w:jc w:val="both"/>
      </w:pPr>
      <w:r>
        <w:rPr>
          <w:sz w:val="20"/>
        </w:rPr>
        <w:t xml:space="preserve">Доля пациентов с ОКС с подъемом ST, подвергшихся реперфузионной терапии, составляет 86,7% от числа всех ОКС с подъемом ST (в 2021 году - 90,6%, в 2020 году - 87,5%), в т.ч. ЧКВ - 85,2%, тромболизис - 19,9%. У 18,4% (207 пациентов) - фармакоинвазивная стратегия.</w:t>
      </w:r>
    </w:p>
    <w:p>
      <w:pPr>
        <w:pStyle w:val="0"/>
        <w:spacing w:before="200" w:line-rule="auto"/>
        <w:ind w:firstLine="540"/>
        <w:jc w:val="both"/>
      </w:pPr>
      <w:r>
        <w:rPr>
          <w:sz w:val="20"/>
        </w:rPr>
        <w:t xml:space="preserve">За 3 года на 9,7% возросла доля пациентов с ОКС без подъема ST, которым выполнено ЧКВ (с 58,1% в 2020 году до 67,8% в 2022 году).</w:t>
      </w:r>
    </w:p>
    <w:p>
      <w:pPr>
        <w:pStyle w:val="0"/>
        <w:jc w:val="right"/>
      </w:pPr>
      <w:r>
        <w:rPr>
          <w:sz w:val="20"/>
        </w:rPr>
      </w:r>
    </w:p>
    <w:p>
      <w:pPr>
        <w:pStyle w:val="0"/>
        <w:jc w:val="right"/>
      </w:pPr>
      <w:r>
        <w:rPr>
          <w:sz w:val="20"/>
        </w:rPr>
        <w:t xml:space="preserve">Таблица 45</w:t>
      </w:r>
    </w:p>
    <w:p>
      <w:pPr>
        <w:pStyle w:val="0"/>
        <w:jc w:val="right"/>
      </w:pPr>
      <w:r>
        <w:rPr>
          <w:sz w:val="20"/>
        </w:rPr>
      </w:r>
    </w:p>
    <w:p>
      <w:pPr>
        <w:pStyle w:val="0"/>
        <w:jc w:val="center"/>
      </w:pPr>
      <w:r>
        <w:rPr>
          <w:sz w:val="20"/>
        </w:rPr>
        <w:t xml:space="preserve">Показатели летальности в РСЦ у больных с ИМ</w:t>
      </w:r>
    </w:p>
    <w:p>
      <w:pPr>
        <w:pStyle w:val="0"/>
        <w:jc w:val="center"/>
      </w:pPr>
      <w:r>
        <w:rPr>
          <w:sz w:val="20"/>
        </w:rPr>
        <w:t xml:space="preserve">за 2020 - 2022 гг.</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99"/>
        <w:gridCol w:w="604"/>
        <w:gridCol w:w="604"/>
        <w:gridCol w:w="604"/>
        <w:gridCol w:w="604"/>
        <w:gridCol w:w="604"/>
        <w:gridCol w:w="604"/>
        <w:gridCol w:w="604"/>
        <w:gridCol w:w="604"/>
        <w:gridCol w:w="604"/>
        <w:gridCol w:w="604"/>
        <w:gridCol w:w="604"/>
        <w:gridCol w:w="604"/>
        <w:gridCol w:w="604"/>
        <w:gridCol w:w="604"/>
        <w:gridCol w:w="604"/>
        <w:gridCol w:w="1159"/>
      </w:tblGrid>
      <w:tr>
        <w:tc>
          <w:tcPr>
            <w:tcW w:w="1399" w:type="dxa"/>
          </w:tcPr>
          <w:p>
            <w:pPr>
              <w:pStyle w:val="0"/>
              <w:jc w:val="center"/>
            </w:pPr>
            <w:r>
              <w:rPr>
                <w:sz w:val="20"/>
              </w:rPr>
              <w:t xml:space="preserve">Показатель</w:t>
            </w:r>
          </w:p>
        </w:tc>
        <w:tc>
          <w:tcPr>
            <w:gridSpan w:val="3"/>
            <w:tcW w:w="1812" w:type="dxa"/>
          </w:tcPr>
          <w:p>
            <w:pPr>
              <w:pStyle w:val="0"/>
              <w:jc w:val="center"/>
            </w:pPr>
            <w:r>
              <w:rPr>
                <w:sz w:val="20"/>
              </w:rPr>
              <w:t xml:space="preserve">ОКД "ЦД и ССХ"</w:t>
            </w:r>
          </w:p>
        </w:tc>
        <w:tc>
          <w:tcPr>
            <w:gridSpan w:val="3"/>
            <w:tcW w:w="1812" w:type="dxa"/>
          </w:tcPr>
          <w:p>
            <w:pPr>
              <w:pStyle w:val="0"/>
              <w:jc w:val="center"/>
            </w:pPr>
            <w:r>
              <w:rPr>
                <w:sz w:val="20"/>
              </w:rPr>
              <w:t xml:space="preserve">ОКБ</w:t>
            </w:r>
          </w:p>
        </w:tc>
        <w:tc>
          <w:tcPr>
            <w:gridSpan w:val="3"/>
            <w:tcW w:w="1812" w:type="dxa"/>
          </w:tcPr>
          <w:p>
            <w:pPr>
              <w:pStyle w:val="0"/>
              <w:jc w:val="center"/>
            </w:pPr>
            <w:r>
              <w:rPr>
                <w:sz w:val="20"/>
              </w:rPr>
              <w:t xml:space="preserve">НОБ</w:t>
            </w:r>
          </w:p>
        </w:tc>
        <w:tc>
          <w:tcPr>
            <w:gridSpan w:val="3"/>
            <w:tcW w:w="1812" w:type="dxa"/>
          </w:tcPr>
          <w:p>
            <w:pPr>
              <w:pStyle w:val="0"/>
              <w:jc w:val="center"/>
            </w:pPr>
            <w:r>
              <w:rPr>
                <w:sz w:val="20"/>
              </w:rPr>
              <w:t xml:space="preserve">НОКБ</w:t>
            </w:r>
          </w:p>
        </w:tc>
        <w:tc>
          <w:tcPr>
            <w:gridSpan w:val="3"/>
            <w:tcW w:w="1812" w:type="dxa"/>
          </w:tcPr>
          <w:p>
            <w:pPr>
              <w:pStyle w:val="0"/>
              <w:jc w:val="center"/>
            </w:pPr>
            <w:r>
              <w:rPr>
                <w:sz w:val="20"/>
              </w:rPr>
              <w:t xml:space="preserve">Всего</w:t>
            </w:r>
          </w:p>
        </w:tc>
        <w:tc>
          <w:tcPr>
            <w:tcW w:w="1159" w:type="dxa"/>
            <w:vMerge w:val="restart"/>
          </w:tcPr>
          <w:p>
            <w:pPr>
              <w:pStyle w:val="0"/>
              <w:jc w:val="center"/>
            </w:pPr>
            <w:r>
              <w:rPr>
                <w:sz w:val="20"/>
              </w:rPr>
              <w:t xml:space="preserve">Динамика (%) 2022/</w:t>
            </w:r>
          </w:p>
          <w:p>
            <w:pPr>
              <w:pStyle w:val="0"/>
              <w:jc w:val="center"/>
            </w:pPr>
            <w:r>
              <w:rPr>
                <w:sz w:val="20"/>
              </w:rPr>
              <w:t xml:space="preserve">2021</w:t>
            </w:r>
          </w:p>
        </w:tc>
      </w:tr>
      <w:tr>
        <w:tc>
          <w:tcPr>
            <w:tcW w:w="1399" w:type="dxa"/>
          </w:tcPr>
          <w:p>
            <w:pPr>
              <w:pStyle w:val="0"/>
            </w:pPr>
            <w:r>
              <w:rPr>
                <w:sz w:val="20"/>
              </w:rPr>
            </w:r>
          </w:p>
        </w:tc>
        <w:tc>
          <w:tcPr>
            <w:tcW w:w="604" w:type="dxa"/>
          </w:tcPr>
          <w:p>
            <w:pPr>
              <w:pStyle w:val="0"/>
            </w:pPr>
            <w:r>
              <w:rPr>
                <w:sz w:val="20"/>
              </w:rPr>
              <w:t xml:space="preserve">2020</w:t>
            </w:r>
          </w:p>
        </w:tc>
        <w:tc>
          <w:tcPr>
            <w:tcW w:w="604" w:type="dxa"/>
          </w:tcPr>
          <w:p>
            <w:pPr>
              <w:pStyle w:val="0"/>
            </w:pPr>
            <w:r>
              <w:rPr>
                <w:sz w:val="20"/>
              </w:rPr>
              <w:t xml:space="preserve">2021</w:t>
            </w:r>
          </w:p>
        </w:tc>
        <w:tc>
          <w:tcPr>
            <w:tcW w:w="604" w:type="dxa"/>
          </w:tcPr>
          <w:p>
            <w:pPr>
              <w:pStyle w:val="0"/>
            </w:pPr>
            <w:r>
              <w:rPr>
                <w:sz w:val="20"/>
              </w:rPr>
              <w:t xml:space="preserve">2022</w:t>
            </w:r>
          </w:p>
        </w:tc>
        <w:tc>
          <w:tcPr>
            <w:tcW w:w="604" w:type="dxa"/>
          </w:tcPr>
          <w:p>
            <w:pPr>
              <w:pStyle w:val="0"/>
            </w:pPr>
            <w:r>
              <w:rPr>
                <w:sz w:val="20"/>
              </w:rPr>
              <w:t xml:space="preserve">2020</w:t>
            </w:r>
          </w:p>
        </w:tc>
        <w:tc>
          <w:tcPr>
            <w:tcW w:w="604" w:type="dxa"/>
          </w:tcPr>
          <w:p>
            <w:pPr>
              <w:pStyle w:val="0"/>
            </w:pPr>
            <w:r>
              <w:rPr>
                <w:sz w:val="20"/>
              </w:rPr>
              <w:t xml:space="preserve">2021</w:t>
            </w:r>
          </w:p>
        </w:tc>
        <w:tc>
          <w:tcPr>
            <w:tcW w:w="604" w:type="dxa"/>
          </w:tcPr>
          <w:p>
            <w:pPr>
              <w:pStyle w:val="0"/>
            </w:pPr>
            <w:r>
              <w:rPr>
                <w:sz w:val="20"/>
              </w:rPr>
              <w:t xml:space="preserve">2022</w:t>
            </w:r>
          </w:p>
        </w:tc>
        <w:tc>
          <w:tcPr>
            <w:tcW w:w="604" w:type="dxa"/>
          </w:tcPr>
          <w:p>
            <w:pPr>
              <w:pStyle w:val="0"/>
            </w:pPr>
            <w:r>
              <w:rPr>
                <w:sz w:val="20"/>
              </w:rPr>
              <w:t xml:space="preserve">2020</w:t>
            </w:r>
          </w:p>
        </w:tc>
        <w:tc>
          <w:tcPr>
            <w:tcW w:w="604" w:type="dxa"/>
          </w:tcPr>
          <w:p>
            <w:pPr>
              <w:pStyle w:val="0"/>
            </w:pPr>
            <w:r>
              <w:rPr>
                <w:sz w:val="20"/>
              </w:rPr>
              <w:t xml:space="preserve">2021</w:t>
            </w:r>
          </w:p>
        </w:tc>
        <w:tc>
          <w:tcPr>
            <w:tcW w:w="604" w:type="dxa"/>
          </w:tcPr>
          <w:p>
            <w:pPr>
              <w:pStyle w:val="0"/>
            </w:pPr>
            <w:r>
              <w:rPr>
                <w:sz w:val="20"/>
              </w:rPr>
              <w:t xml:space="preserve">2022</w:t>
            </w:r>
          </w:p>
        </w:tc>
        <w:tc>
          <w:tcPr>
            <w:tcW w:w="604" w:type="dxa"/>
          </w:tcPr>
          <w:p>
            <w:pPr>
              <w:pStyle w:val="0"/>
            </w:pPr>
            <w:r>
              <w:rPr>
                <w:sz w:val="20"/>
              </w:rPr>
              <w:t xml:space="preserve">2020</w:t>
            </w:r>
          </w:p>
        </w:tc>
        <w:tc>
          <w:tcPr>
            <w:tcW w:w="604" w:type="dxa"/>
          </w:tcPr>
          <w:p>
            <w:pPr>
              <w:pStyle w:val="0"/>
            </w:pPr>
            <w:r>
              <w:rPr>
                <w:sz w:val="20"/>
              </w:rPr>
              <w:t xml:space="preserve">2021</w:t>
            </w:r>
          </w:p>
        </w:tc>
        <w:tc>
          <w:tcPr>
            <w:tcW w:w="604" w:type="dxa"/>
          </w:tcPr>
          <w:p>
            <w:pPr>
              <w:pStyle w:val="0"/>
            </w:pPr>
            <w:r>
              <w:rPr>
                <w:sz w:val="20"/>
              </w:rPr>
              <w:t xml:space="preserve">2022</w:t>
            </w:r>
          </w:p>
        </w:tc>
        <w:tc>
          <w:tcPr>
            <w:tcW w:w="604" w:type="dxa"/>
          </w:tcPr>
          <w:p>
            <w:pPr>
              <w:pStyle w:val="0"/>
            </w:pPr>
            <w:r>
              <w:rPr>
                <w:sz w:val="20"/>
              </w:rPr>
              <w:t xml:space="preserve">2020</w:t>
            </w:r>
          </w:p>
        </w:tc>
        <w:tc>
          <w:tcPr>
            <w:tcW w:w="604" w:type="dxa"/>
          </w:tcPr>
          <w:p>
            <w:pPr>
              <w:pStyle w:val="0"/>
            </w:pPr>
            <w:r>
              <w:rPr>
                <w:sz w:val="20"/>
              </w:rPr>
              <w:t xml:space="preserve">2021</w:t>
            </w:r>
          </w:p>
        </w:tc>
        <w:tc>
          <w:tcPr>
            <w:tcW w:w="604" w:type="dxa"/>
          </w:tcPr>
          <w:p>
            <w:pPr>
              <w:pStyle w:val="0"/>
            </w:pPr>
            <w:r>
              <w:rPr>
                <w:sz w:val="20"/>
              </w:rPr>
              <w:t xml:space="preserve">2022</w:t>
            </w:r>
          </w:p>
        </w:tc>
        <w:tc>
          <w:tcPr>
            <w:vMerge w:val="continue"/>
          </w:tcPr>
          <w:p/>
        </w:tc>
      </w:tr>
      <w:tr>
        <w:tc>
          <w:tcPr>
            <w:tcW w:w="1399" w:type="dxa"/>
          </w:tcPr>
          <w:p>
            <w:pPr>
              <w:pStyle w:val="0"/>
            </w:pPr>
            <w:r>
              <w:rPr>
                <w:sz w:val="20"/>
              </w:rPr>
              <w:t xml:space="preserve">Пролечено больных с ИМ</w:t>
            </w:r>
          </w:p>
        </w:tc>
        <w:tc>
          <w:tcPr>
            <w:tcW w:w="604" w:type="dxa"/>
          </w:tcPr>
          <w:p>
            <w:pPr>
              <w:pStyle w:val="0"/>
            </w:pPr>
            <w:r>
              <w:rPr>
                <w:sz w:val="20"/>
              </w:rPr>
              <w:t xml:space="preserve">832</w:t>
            </w:r>
          </w:p>
        </w:tc>
        <w:tc>
          <w:tcPr>
            <w:tcW w:w="604" w:type="dxa"/>
          </w:tcPr>
          <w:p>
            <w:pPr>
              <w:pStyle w:val="0"/>
            </w:pPr>
            <w:r>
              <w:rPr>
                <w:sz w:val="20"/>
              </w:rPr>
              <w:t xml:space="preserve">919</w:t>
            </w:r>
          </w:p>
        </w:tc>
        <w:tc>
          <w:tcPr>
            <w:tcW w:w="604" w:type="dxa"/>
          </w:tcPr>
          <w:p>
            <w:pPr>
              <w:pStyle w:val="0"/>
            </w:pPr>
            <w:r>
              <w:rPr>
                <w:sz w:val="20"/>
              </w:rPr>
              <w:t xml:space="preserve">1077</w:t>
            </w:r>
          </w:p>
        </w:tc>
        <w:tc>
          <w:tcPr>
            <w:tcW w:w="604" w:type="dxa"/>
          </w:tcPr>
          <w:p>
            <w:pPr>
              <w:pStyle w:val="0"/>
            </w:pPr>
            <w:r>
              <w:rPr>
                <w:sz w:val="20"/>
              </w:rPr>
              <w:t xml:space="preserve">242</w:t>
            </w:r>
          </w:p>
        </w:tc>
        <w:tc>
          <w:tcPr>
            <w:tcW w:w="604" w:type="dxa"/>
          </w:tcPr>
          <w:p>
            <w:pPr>
              <w:pStyle w:val="0"/>
            </w:pPr>
            <w:r>
              <w:rPr>
                <w:sz w:val="20"/>
              </w:rPr>
              <w:t xml:space="preserve">266</w:t>
            </w:r>
          </w:p>
        </w:tc>
        <w:tc>
          <w:tcPr>
            <w:tcW w:w="604" w:type="dxa"/>
          </w:tcPr>
          <w:p>
            <w:pPr>
              <w:pStyle w:val="0"/>
            </w:pPr>
            <w:r>
              <w:rPr>
                <w:sz w:val="20"/>
              </w:rPr>
              <w:t xml:space="preserve">236</w:t>
            </w:r>
          </w:p>
        </w:tc>
        <w:tc>
          <w:tcPr>
            <w:tcW w:w="604" w:type="dxa"/>
          </w:tcPr>
          <w:p>
            <w:pPr>
              <w:pStyle w:val="0"/>
            </w:pPr>
            <w:r>
              <w:rPr>
                <w:sz w:val="20"/>
              </w:rPr>
              <w:t xml:space="preserve">225</w:t>
            </w:r>
          </w:p>
        </w:tc>
        <w:tc>
          <w:tcPr>
            <w:tcW w:w="604" w:type="dxa"/>
          </w:tcPr>
          <w:p>
            <w:pPr>
              <w:pStyle w:val="0"/>
            </w:pPr>
            <w:r>
              <w:rPr>
                <w:sz w:val="20"/>
              </w:rPr>
              <w:t xml:space="preserve">265</w:t>
            </w:r>
          </w:p>
        </w:tc>
        <w:tc>
          <w:tcPr>
            <w:tcW w:w="604" w:type="dxa"/>
          </w:tcPr>
          <w:p>
            <w:pPr>
              <w:pStyle w:val="0"/>
            </w:pPr>
            <w:r>
              <w:rPr>
                <w:sz w:val="20"/>
              </w:rPr>
              <w:t xml:space="preserve">265</w:t>
            </w:r>
          </w:p>
        </w:tc>
        <w:tc>
          <w:tcPr>
            <w:tcW w:w="604" w:type="dxa"/>
          </w:tcPr>
          <w:p>
            <w:pPr>
              <w:pStyle w:val="0"/>
            </w:pPr>
            <w:r>
              <w:rPr>
                <w:sz w:val="20"/>
              </w:rPr>
              <w:t xml:space="preserve">402</w:t>
            </w:r>
          </w:p>
        </w:tc>
        <w:tc>
          <w:tcPr>
            <w:tcW w:w="604" w:type="dxa"/>
          </w:tcPr>
          <w:p>
            <w:pPr>
              <w:pStyle w:val="0"/>
            </w:pPr>
            <w:r>
              <w:rPr>
                <w:sz w:val="20"/>
              </w:rPr>
              <w:t xml:space="preserve">419</w:t>
            </w:r>
          </w:p>
        </w:tc>
        <w:tc>
          <w:tcPr>
            <w:tcW w:w="604" w:type="dxa"/>
          </w:tcPr>
          <w:p>
            <w:pPr>
              <w:pStyle w:val="0"/>
            </w:pPr>
            <w:r>
              <w:rPr>
                <w:sz w:val="20"/>
              </w:rPr>
              <w:t xml:space="preserve">421</w:t>
            </w:r>
          </w:p>
        </w:tc>
        <w:tc>
          <w:tcPr>
            <w:tcW w:w="604" w:type="dxa"/>
          </w:tcPr>
          <w:p>
            <w:pPr>
              <w:pStyle w:val="0"/>
            </w:pPr>
            <w:r>
              <w:rPr>
                <w:sz w:val="20"/>
              </w:rPr>
              <w:t xml:space="preserve">1701</w:t>
            </w:r>
          </w:p>
        </w:tc>
        <w:tc>
          <w:tcPr>
            <w:tcW w:w="604" w:type="dxa"/>
          </w:tcPr>
          <w:p>
            <w:pPr>
              <w:pStyle w:val="0"/>
            </w:pPr>
            <w:r>
              <w:rPr>
                <w:sz w:val="20"/>
              </w:rPr>
              <w:t xml:space="preserve">1869</w:t>
            </w:r>
          </w:p>
        </w:tc>
        <w:tc>
          <w:tcPr>
            <w:tcW w:w="604" w:type="dxa"/>
          </w:tcPr>
          <w:p>
            <w:pPr>
              <w:pStyle w:val="0"/>
            </w:pPr>
            <w:r>
              <w:rPr>
                <w:sz w:val="20"/>
              </w:rPr>
              <w:t xml:space="preserve">1999</w:t>
            </w:r>
          </w:p>
        </w:tc>
        <w:tc>
          <w:tcPr>
            <w:tcW w:w="1159" w:type="dxa"/>
          </w:tcPr>
          <w:p>
            <w:pPr>
              <w:pStyle w:val="0"/>
            </w:pPr>
            <w:r>
              <w:rPr>
                <w:sz w:val="20"/>
              </w:rPr>
              <w:t xml:space="preserve">7,0</w:t>
            </w:r>
          </w:p>
        </w:tc>
      </w:tr>
      <w:tr>
        <w:tc>
          <w:tcPr>
            <w:tcW w:w="1399" w:type="dxa"/>
          </w:tcPr>
          <w:p>
            <w:pPr>
              <w:pStyle w:val="0"/>
            </w:pPr>
            <w:r>
              <w:rPr>
                <w:sz w:val="20"/>
              </w:rPr>
              <w:t xml:space="preserve">Умерло,</w:t>
            </w:r>
          </w:p>
        </w:tc>
        <w:tc>
          <w:tcPr>
            <w:tcW w:w="604" w:type="dxa"/>
          </w:tcPr>
          <w:p>
            <w:pPr>
              <w:pStyle w:val="0"/>
            </w:pPr>
            <w:r>
              <w:rPr>
                <w:sz w:val="20"/>
              </w:rPr>
              <w:t xml:space="preserve">47</w:t>
            </w:r>
          </w:p>
        </w:tc>
        <w:tc>
          <w:tcPr>
            <w:tcW w:w="604" w:type="dxa"/>
          </w:tcPr>
          <w:p>
            <w:pPr>
              <w:pStyle w:val="0"/>
            </w:pPr>
            <w:r>
              <w:rPr>
                <w:sz w:val="20"/>
              </w:rPr>
              <w:t xml:space="preserve">60</w:t>
            </w:r>
          </w:p>
        </w:tc>
        <w:tc>
          <w:tcPr>
            <w:tcW w:w="604" w:type="dxa"/>
          </w:tcPr>
          <w:p>
            <w:pPr>
              <w:pStyle w:val="0"/>
            </w:pPr>
            <w:r>
              <w:rPr>
                <w:sz w:val="20"/>
              </w:rPr>
              <w:t xml:space="preserve">45</w:t>
            </w:r>
          </w:p>
        </w:tc>
        <w:tc>
          <w:tcPr>
            <w:tcW w:w="604" w:type="dxa"/>
          </w:tcPr>
          <w:p>
            <w:pPr>
              <w:pStyle w:val="0"/>
            </w:pPr>
            <w:r>
              <w:rPr>
                <w:sz w:val="20"/>
              </w:rPr>
              <w:t xml:space="preserve">12</w:t>
            </w:r>
          </w:p>
        </w:tc>
        <w:tc>
          <w:tcPr>
            <w:tcW w:w="604" w:type="dxa"/>
          </w:tcPr>
          <w:p>
            <w:pPr>
              <w:pStyle w:val="0"/>
            </w:pPr>
            <w:r>
              <w:rPr>
                <w:sz w:val="20"/>
              </w:rPr>
              <w:t xml:space="preserve">11</w:t>
            </w:r>
          </w:p>
        </w:tc>
        <w:tc>
          <w:tcPr>
            <w:tcW w:w="604" w:type="dxa"/>
          </w:tcPr>
          <w:p>
            <w:pPr>
              <w:pStyle w:val="0"/>
            </w:pPr>
            <w:r>
              <w:rPr>
                <w:sz w:val="20"/>
              </w:rPr>
              <w:t xml:space="preserve">14</w:t>
            </w:r>
          </w:p>
        </w:tc>
        <w:tc>
          <w:tcPr>
            <w:tcW w:w="604" w:type="dxa"/>
          </w:tcPr>
          <w:p>
            <w:pPr>
              <w:pStyle w:val="0"/>
            </w:pPr>
            <w:r>
              <w:rPr>
                <w:sz w:val="20"/>
              </w:rPr>
              <w:t xml:space="preserve">12</w:t>
            </w:r>
          </w:p>
        </w:tc>
        <w:tc>
          <w:tcPr>
            <w:tcW w:w="604" w:type="dxa"/>
          </w:tcPr>
          <w:p>
            <w:pPr>
              <w:pStyle w:val="0"/>
            </w:pPr>
            <w:r>
              <w:rPr>
                <w:sz w:val="20"/>
              </w:rPr>
              <w:t xml:space="preserve">10</w:t>
            </w:r>
          </w:p>
        </w:tc>
        <w:tc>
          <w:tcPr>
            <w:tcW w:w="604" w:type="dxa"/>
          </w:tcPr>
          <w:p>
            <w:pPr>
              <w:pStyle w:val="0"/>
            </w:pPr>
            <w:r>
              <w:rPr>
                <w:sz w:val="20"/>
              </w:rPr>
              <w:t xml:space="preserve">12</w:t>
            </w:r>
          </w:p>
        </w:tc>
        <w:tc>
          <w:tcPr>
            <w:tcW w:w="604" w:type="dxa"/>
          </w:tcPr>
          <w:p>
            <w:pPr>
              <w:pStyle w:val="0"/>
            </w:pPr>
            <w:r>
              <w:rPr>
                <w:sz w:val="20"/>
              </w:rPr>
              <w:t xml:space="preserve">15</w:t>
            </w:r>
          </w:p>
        </w:tc>
        <w:tc>
          <w:tcPr>
            <w:tcW w:w="604" w:type="dxa"/>
          </w:tcPr>
          <w:p>
            <w:pPr>
              <w:pStyle w:val="0"/>
            </w:pPr>
            <w:r>
              <w:rPr>
                <w:sz w:val="20"/>
              </w:rPr>
              <w:t xml:space="preserve">21</w:t>
            </w:r>
          </w:p>
        </w:tc>
        <w:tc>
          <w:tcPr>
            <w:tcW w:w="604" w:type="dxa"/>
          </w:tcPr>
          <w:p>
            <w:pPr>
              <w:pStyle w:val="0"/>
            </w:pPr>
            <w:r>
              <w:rPr>
                <w:sz w:val="20"/>
              </w:rPr>
              <w:t xml:space="preserve">15</w:t>
            </w:r>
          </w:p>
        </w:tc>
        <w:tc>
          <w:tcPr>
            <w:tcW w:w="604" w:type="dxa"/>
          </w:tcPr>
          <w:p>
            <w:pPr>
              <w:pStyle w:val="0"/>
            </w:pPr>
            <w:r>
              <w:rPr>
                <w:sz w:val="20"/>
              </w:rPr>
              <w:t xml:space="preserve">82</w:t>
            </w:r>
          </w:p>
        </w:tc>
        <w:tc>
          <w:tcPr>
            <w:tcW w:w="604" w:type="dxa"/>
          </w:tcPr>
          <w:p>
            <w:pPr>
              <w:pStyle w:val="0"/>
            </w:pPr>
            <w:r>
              <w:rPr>
                <w:sz w:val="20"/>
              </w:rPr>
              <w:t xml:space="preserve">102</w:t>
            </w:r>
          </w:p>
        </w:tc>
        <w:tc>
          <w:tcPr>
            <w:tcW w:w="604" w:type="dxa"/>
          </w:tcPr>
          <w:p>
            <w:pPr>
              <w:pStyle w:val="0"/>
            </w:pPr>
            <w:r>
              <w:rPr>
                <w:sz w:val="20"/>
              </w:rPr>
              <w:t xml:space="preserve">86</w:t>
            </w:r>
          </w:p>
        </w:tc>
        <w:tc>
          <w:tcPr>
            <w:tcW w:w="1159" w:type="dxa"/>
          </w:tcPr>
          <w:p>
            <w:pPr>
              <w:pStyle w:val="0"/>
            </w:pPr>
            <w:r>
              <w:rPr>
                <w:sz w:val="20"/>
              </w:rPr>
              <w:t xml:space="preserve">-15,7</w:t>
            </w:r>
          </w:p>
        </w:tc>
      </w:tr>
      <w:tr>
        <w:tc>
          <w:tcPr>
            <w:tcW w:w="1399" w:type="dxa"/>
          </w:tcPr>
          <w:p>
            <w:pPr>
              <w:pStyle w:val="0"/>
            </w:pPr>
            <w:r>
              <w:rPr>
                <w:sz w:val="20"/>
              </w:rPr>
              <w:t xml:space="preserve">в т.ч. в первые сутки</w:t>
            </w:r>
          </w:p>
        </w:tc>
        <w:tc>
          <w:tcPr>
            <w:tcW w:w="604" w:type="dxa"/>
          </w:tcPr>
          <w:p>
            <w:pPr>
              <w:pStyle w:val="0"/>
            </w:pPr>
            <w:r>
              <w:rPr>
                <w:sz w:val="20"/>
              </w:rPr>
              <w:t xml:space="preserve">22</w:t>
            </w:r>
          </w:p>
        </w:tc>
        <w:tc>
          <w:tcPr>
            <w:tcW w:w="604" w:type="dxa"/>
          </w:tcPr>
          <w:p>
            <w:pPr>
              <w:pStyle w:val="0"/>
            </w:pPr>
            <w:r>
              <w:rPr>
                <w:sz w:val="20"/>
              </w:rPr>
              <w:t xml:space="preserve">21</w:t>
            </w:r>
          </w:p>
        </w:tc>
        <w:tc>
          <w:tcPr>
            <w:tcW w:w="604" w:type="dxa"/>
          </w:tcPr>
          <w:p>
            <w:pPr>
              <w:pStyle w:val="0"/>
            </w:pPr>
            <w:r>
              <w:rPr>
                <w:sz w:val="20"/>
              </w:rPr>
              <w:t xml:space="preserve">14</w:t>
            </w:r>
          </w:p>
        </w:tc>
        <w:tc>
          <w:tcPr>
            <w:tcW w:w="604" w:type="dxa"/>
          </w:tcPr>
          <w:p>
            <w:pPr>
              <w:pStyle w:val="0"/>
            </w:pPr>
            <w:r>
              <w:rPr>
                <w:sz w:val="20"/>
              </w:rPr>
              <w:t xml:space="preserve">5</w:t>
            </w:r>
          </w:p>
        </w:tc>
        <w:tc>
          <w:tcPr>
            <w:tcW w:w="604" w:type="dxa"/>
          </w:tcPr>
          <w:p>
            <w:pPr>
              <w:pStyle w:val="0"/>
            </w:pPr>
            <w:r>
              <w:rPr>
                <w:sz w:val="20"/>
              </w:rPr>
              <w:t xml:space="preserve">5</w:t>
            </w:r>
          </w:p>
        </w:tc>
        <w:tc>
          <w:tcPr>
            <w:tcW w:w="604" w:type="dxa"/>
          </w:tcPr>
          <w:p>
            <w:pPr>
              <w:pStyle w:val="0"/>
            </w:pPr>
            <w:r>
              <w:rPr>
                <w:sz w:val="20"/>
              </w:rPr>
              <w:t xml:space="preserve">2</w:t>
            </w:r>
          </w:p>
        </w:tc>
        <w:tc>
          <w:tcPr>
            <w:tcW w:w="604" w:type="dxa"/>
          </w:tcPr>
          <w:p>
            <w:pPr>
              <w:pStyle w:val="0"/>
            </w:pPr>
            <w:r>
              <w:rPr>
                <w:sz w:val="20"/>
              </w:rPr>
              <w:t xml:space="preserve">7</w:t>
            </w:r>
          </w:p>
        </w:tc>
        <w:tc>
          <w:tcPr>
            <w:tcW w:w="604" w:type="dxa"/>
          </w:tcPr>
          <w:p>
            <w:pPr>
              <w:pStyle w:val="0"/>
            </w:pPr>
            <w:r>
              <w:rPr>
                <w:sz w:val="20"/>
              </w:rPr>
              <w:t xml:space="preserve">6</w:t>
            </w:r>
          </w:p>
        </w:tc>
        <w:tc>
          <w:tcPr>
            <w:tcW w:w="604" w:type="dxa"/>
          </w:tcPr>
          <w:p>
            <w:pPr>
              <w:pStyle w:val="0"/>
            </w:pPr>
            <w:r>
              <w:rPr>
                <w:sz w:val="20"/>
              </w:rPr>
              <w:t xml:space="preserve">10</w:t>
            </w:r>
          </w:p>
        </w:tc>
        <w:tc>
          <w:tcPr>
            <w:tcW w:w="604" w:type="dxa"/>
          </w:tcPr>
          <w:p>
            <w:pPr>
              <w:pStyle w:val="0"/>
            </w:pPr>
            <w:r>
              <w:rPr>
                <w:sz w:val="20"/>
              </w:rPr>
              <w:t xml:space="preserve">6</w:t>
            </w:r>
          </w:p>
        </w:tc>
        <w:tc>
          <w:tcPr>
            <w:tcW w:w="604" w:type="dxa"/>
          </w:tcPr>
          <w:p>
            <w:pPr>
              <w:pStyle w:val="0"/>
            </w:pPr>
            <w:r>
              <w:rPr>
                <w:sz w:val="20"/>
              </w:rPr>
              <w:t xml:space="preserve">6</w:t>
            </w:r>
          </w:p>
        </w:tc>
        <w:tc>
          <w:tcPr>
            <w:tcW w:w="604" w:type="dxa"/>
          </w:tcPr>
          <w:p>
            <w:pPr>
              <w:pStyle w:val="0"/>
            </w:pPr>
            <w:r>
              <w:rPr>
                <w:sz w:val="20"/>
              </w:rPr>
              <w:t xml:space="preserve">4</w:t>
            </w:r>
          </w:p>
        </w:tc>
        <w:tc>
          <w:tcPr>
            <w:tcW w:w="604" w:type="dxa"/>
          </w:tcPr>
          <w:p>
            <w:pPr>
              <w:pStyle w:val="0"/>
            </w:pPr>
            <w:r>
              <w:rPr>
                <w:sz w:val="20"/>
              </w:rPr>
              <w:t xml:space="preserve">35</w:t>
            </w:r>
          </w:p>
        </w:tc>
        <w:tc>
          <w:tcPr>
            <w:tcW w:w="604" w:type="dxa"/>
          </w:tcPr>
          <w:p>
            <w:pPr>
              <w:pStyle w:val="0"/>
            </w:pPr>
            <w:r>
              <w:rPr>
                <w:sz w:val="20"/>
              </w:rPr>
              <w:t xml:space="preserve">38</w:t>
            </w:r>
          </w:p>
        </w:tc>
        <w:tc>
          <w:tcPr>
            <w:tcW w:w="604" w:type="dxa"/>
          </w:tcPr>
          <w:p>
            <w:pPr>
              <w:pStyle w:val="0"/>
            </w:pPr>
            <w:r>
              <w:rPr>
                <w:sz w:val="20"/>
              </w:rPr>
              <w:t xml:space="preserve">30</w:t>
            </w:r>
          </w:p>
        </w:tc>
        <w:tc>
          <w:tcPr>
            <w:tcW w:w="1159" w:type="dxa"/>
          </w:tcPr>
          <w:p>
            <w:pPr>
              <w:pStyle w:val="0"/>
            </w:pPr>
            <w:r>
              <w:rPr>
                <w:sz w:val="20"/>
              </w:rPr>
              <w:t xml:space="preserve">-21,1</w:t>
            </w:r>
          </w:p>
        </w:tc>
      </w:tr>
      <w:tr>
        <w:tc>
          <w:tcPr>
            <w:tcW w:w="1399" w:type="dxa"/>
          </w:tcPr>
          <w:p>
            <w:pPr>
              <w:pStyle w:val="0"/>
            </w:pPr>
            <w:r>
              <w:rPr>
                <w:sz w:val="20"/>
              </w:rPr>
              <w:t xml:space="preserve">Летальность (%)</w:t>
            </w:r>
          </w:p>
        </w:tc>
        <w:tc>
          <w:tcPr>
            <w:tcW w:w="604" w:type="dxa"/>
          </w:tcPr>
          <w:p>
            <w:pPr>
              <w:pStyle w:val="0"/>
            </w:pPr>
            <w:r>
              <w:rPr>
                <w:sz w:val="20"/>
              </w:rPr>
              <w:t xml:space="preserve">5,6</w:t>
            </w:r>
          </w:p>
        </w:tc>
        <w:tc>
          <w:tcPr>
            <w:tcW w:w="604" w:type="dxa"/>
          </w:tcPr>
          <w:p>
            <w:pPr>
              <w:pStyle w:val="0"/>
            </w:pPr>
            <w:r>
              <w:rPr>
                <w:sz w:val="20"/>
              </w:rPr>
              <w:t xml:space="preserve">6,5</w:t>
            </w:r>
          </w:p>
        </w:tc>
        <w:tc>
          <w:tcPr>
            <w:tcW w:w="604" w:type="dxa"/>
          </w:tcPr>
          <w:p>
            <w:pPr>
              <w:pStyle w:val="0"/>
            </w:pPr>
            <w:r>
              <w:rPr>
                <w:sz w:val="20"/>
              </w:rPr>
              <w:t xml:space="preserve">4,2</w:t>
            </w:r>
          </w:p>
        </w:tc>
        <w:tc>
          <w:tcPr>
            <w:tcW w:w="604" w:type="dxa"/>
          </w:tcPr>
          <w:p>
            <w:pPr>
              <w:pStyle w:val="0"/>
            </w:pPr>
            <w:r>
              <w:rPr>
                <w:sz w:val="20"/>
              </w:rPr>
              <w:t xml:space="preserve">5</w:t>
            </w:r>
          </w:p>
        </w:tc>
        <w:tc>
          <w:tcPr>
            <w:tcW w:w="604" w:type="dxa"/>
          </w:tcPr>
          <w:p>
            <w:pPr>
              <w:pStyle w:val="0"/>
            </w:pPr>
            <w:r>
              <w:rPr>
                <w:sz w:val="20"/>
              </w:rPr>
              <w:t xml:space="preserve">4,1</w:t>
            </w:r>
          </w:p>
        </w:tc>
        <w:tc>
          <w:tcPr>
            <w:tcW w:w="604" w:type="dxa"/>
          </w:tcPr>
          <w:p>
            <w:pPr>
              <w:pStyle w:val="0"/>
            </w:pPr>
            <w:r>
              <w:rPr>
                <w:sz w:val="20"/>
              </w:rPr>
              <w:t xml:space="preserve">5,9</w:t>
            </w:r>
          </w:p>
        </w:tc>
        <w:tc>
          <w:tcPr>
            <w:tcW w:w="604" w:type="dxa"/>
          </w:tcPr>
          <w:p>
            <w:pPr>
              <w:pStyle w:val="0"/>
            </w:pPr>
            <w:r>
              <w:rPr>
                <w:sz w:val="20"/>
              </w:rPr>
              <w:t xml:space="preserve">5,3</w:t>
            </w:r>
          </w:p>
        </w:tc>
        <w:tc>
          <w:tcPr>
            <w:tcW w:w="604" w:type="dxa"/>
          </w:tcPr>
          <w:p>
            <w:pPr>
              <w:pStyle w:val="0"/>
            </w:pPr>
            <w:r>
              <w:rPr>
                <w:sz w:val="20"/>
              </w:rPr>
              <w:t xml:space="preserve">3,8</w:t>
            </w:r>
          </w:p>
        </w:tc>
        <w:tc>
          <w:tcPr>
            <w:tcW w:w="604" w:type="dxa"/>
          </w:tcPr>
          <w:p>
            <w:pPr>
              <w:pStyle w:val="0"/>
            </w:pPr>
            <w:r>
              <w:rPr>
                <w:sz w:val="20"/>
              </w:rPr>
              <w:t xml:space="preserve">4,5</w:t>
            </w:r>
          </w:p>
        </w:tc>
        <w:tc>
          <w:tcPr>
            <w:tcW w:w="604" w:type="dxa"/>
          </w:tcPr>
          <w:p>
            <w:pPr>
              <w:pStyle w:val="0"/>
            </w:pPr>
            <w:r>
              <w:rPr>
                <w:sz w:val="20"/>
              </w:rPr>
              <w:t xml:space="preserve">3,7</w:t>
            </w:r>
          </w:p>
        </w:tc>
        <w:tc>
          <w:tcPr>
            <w:tcW w:w="604" w:type="dxa"/>
          </w:tcPr>
          <w:p>
            <w:pPr>
              <w:pStyle w:val="0"/>
            </w:pPr>
            <w:r>
              <w:rPr>
                <w:sz w:val="20"/>
              </w:rPr>
              <w:t xml:space="preserve">5,0</w:t>
            </w:r>
          </w:p>
        </w:tc>
        <w:tc>
          <w:tcPr>
            <w:tcW w:w="604" w:type="dxa"/>
          </w:tcPr>
          <w:p>
            <w:pPr>
              <w:pStyle w:val="0"/>
            </w:pPr>
            <w:r>
              <w:rPr>
                <w:sz w:val="20"/>
              </w:rPr>
              <w:t xml:space="preserve">3,6</w:t>
            </w:r>
          </w:p>
        </w:tc>
        <w:tc>
          <w:tcPr>
            <w:tcW w:w="604" w:type="dxa"/>
          </w:tcPr>
          <w:p>
            <w:pPr>
              <w:pStyle w:val="0"/>
            </w:pPr>
            <w:r>
              <w:rPr>
                <w:sz w:val="20"/>
              </w:rPr>
              <w:t xml:space="preserve">4,8</w:t>
            </w:r>
          </w:p>
        </w:tc>
        <w:tc>
          <w:tcPr>
            <w:tcW w:w="604" w:type="dxa"/>
          </w:tcPr>
          <w:p>
            <w:pPr>
              <w:pStyle w:val="0"/>
            </w:pPr>
            <w:r>
              <w:rPr>
                <w:sz w:val="20"/>
              </w:rPr>
              <w:t xml:space="preserve">5,5</w:t>
            </w:r>
          </w:p>
        </w:tc>
        <w:tc>
          <w:tcPr>
            <w:tcW w:w="604" w:type="dxa"/>
          </w:tcPr>
          <w:p>
            <w:pPr>
              <w:pStyle w:val="0"/>
            </w:pPr>
            <w:r>
              <w:rPr>
                <w:sz w:val="20"/>
              </w:rPr>
              <w:t xml:space="preserve">4,3</w:t>
            </w:r>
          </w:p>
        </w:tc>
        <w:tc>
          <w:tcPr>
            <w:tcW w:w="1159" w:type="dxa"/>
          </w:tcPr>
          <w:p>
            <w:pPr>
              <w:pStyle w:val="0"/>
            </w:pPr>
            <w:r>
              <w:rPr>
                <w:sz w:val="20"/>
              </w:rPr>
              <w:t xml:space="preserve">-1,2</w:t>
            </w:r>
          </w:p>
        </w:tc>
      </w:tr>
      <w:tr>
        <w:tc>
          <w:tcPr>
            <w:tcW w:w="1399" w:type="dxa"/>
          </w:tcPr>
          <w:p>
            <w:pPr>
              <w:pStyle w:val="0"/>
            </w:pPr>
            <w:r>
              <w:rPr>
                <w:sz w:val="20"/>
              </w:rPr>
              <w:t xml:space="preserve">в т.ч. досуточная</w:t>
            </w:r>
          </w:p>
        </w:tc>
        <w:tc>
          <w:tcPr>
            <w:tcW w:w="604" w:type="dxa"/>
          </w:tcPr>
          <w:p>
            <w:pPr>
              <w:pStyle w:val="0"/>
            </w:pPr>
            <w:r>
              <w:rPr>
                <w:sz w:val="20"/>
              </w:rPr>
              <w:t xml:space="preserve">46,8</w:t>
            </w:r>
          </w:p>
        </w:tc>
        <w:tc>
          <w:tcPr>
            <w:tcW w:w="604" w:type="dxa"/>
          </w:tcPr>
          <w:p>
            <w:pPr>
              <w:pStyle w:val="0"/>
            </w:pPr>
            <w:r>
              <w:rPr>
                <w:sz w:val="20"/>
              </w:rPr>
              <w:t xml:space="preserve">35</w:t>
            </w:r>
          </w:p>
        </w:tc>
        <w:tc>
          <w:tcPr>
            <w:tcW w:w="604" w:type="dxa"/>
          </w:tcPr>
          <w:p>
            <w:pPr>
              <w:pStyle w:val="0"/>
            </w:pPr>
            <w:r>
              <w:rPr>
                <w:sz w:val="20"/>
              </w:rPr>
              <w:t xml:space="preserve">31,1</w:t>
            </w:r>
          </w:p>
        </w:tc>
        <w:tc>
          <w:tcPr>
            <w:tcW w:w="604" w:type="dxa"/>
          </w:tcPr>
          <w:p>
            <w:pPr>
              <w:pStyle w:val="0"/>
            </w:pPr>
            <w:r>
              <w:rPr>
                <w:sz w:val="20"/>
              </w:rPr>
              <w:t xml:space="preserve">41,7</w:t>
            </w:r>
          </w:p>
        </w:tc>
        <w:tc>
          <w:tcPr>
            <w:tcW w:w="604" w:type="dxa"/>
          </w:tcPr>
          <w:p>
            <w:pPr>
              <w:pStyle w:val="0"/>
            </w:pPr>
            <w:r>
              <w:rPr>
                <w:sz w:val="20"/>
              </w:rPr>
              <w:t xml:space="preserve">45,5</w:t>
            </w:r>
          </w:p>
        </w:tc>
        <w:tc>
          <w:tcPr>
            <w:tcW w:w="604" w:type="dxa"/>
          </w:tcPr>
          <w:p>
            <w:pPr>
              <w:pStyle w:val="0"/>
            </w:pPr>
            <w:r>
              <w:rPr>
                <w:sz w:val="20"/>
              </w:rPr>
              <w:t xml:space="preserve">14,3</w:t>
            </w:r>
          </w:p>
        </w:tc>
        <w:tc>
          <w:tcPr>
            <w:tcW w:w="604" w:type="dxa"/>
          </w:tcPr>
          <w:p>
            <w:pPr>
              <w:pStyle w:val="0"/>
            </w:pPr>
            <w:r>
              <w:rPr>
                <w:sz w:val="20"/>
              </w:rPr>
              <w:t xml:space="preserve">58,3</w:t>
            </w:r>
          </w:p>
        </w:tc>
        <w:tc>
          <w:tcPr>
            <w:tcW w:w="604" w:type="dxa"/>
          </w:tcPr>
          <w:p>
            <w:pPr>
              <w:pStyle w:val="0"/>
            </w:pPr>
            <w:r>
              <w:rPr>
                <w:sz w:val="20"/>
              </w:rPr>
              <w:t xml:space="preserve">60</w:t>
            </w:r>
          </w:p>
        </w:tc>
        <w:tc>
          <w:tcPr>
            <w:tcW w:w="604" w:type="dxa"/>
          </w:tcPr>
          <w:p>
            <w:pPr>
              <w:pStyle w:val="0"/>
            </w:pPr>
            <w:r>
              <w:rPr>
                <w:sz w:val="20"/>
              </w:rPr>
              <w:t xml:space="preserve">83,3</w:t>
            </w:r>
          </w:p>
        </w:tc>
        <w:tc>
          <w:tcPr>
            <w:tcW w:w="604" w:type="dxa"/>
          </w:tcPr>
          <w:p>
            <w:pPr>
              <w:pStyle w:val="0"/>
            </w:pPr>
            <w:r>
              <w:rPr>
                <w:sz w:val="20"/>
              </w:rPr>
              <w:t xml:space="preserve">40</w:t>
            </w:r>
          </w:p>
        </w:tc>
        <w:tc>
          <w:tcPr>
            <w:tcW w:w="604" w:type="dxa"/>
          </w:tcPr>
          <w:p>
            <w:pPr>
              <w:pStyle w:val="0"/>
            </w:pPr>
            <w:r>
              <w:rPr>
                <w:sz w:val="20"/>
              </w:rPr>
              <w:t xml:space="preserve">28,6</w:t>
            </w:r>
          </w:p>
        </w:tc>
        <w:tc>
          <w:tcPr>
            <w:tcW w:w="604" w:type="dxa"/>
          </w:tcPr>
          <w:p>
            <w:pPr>
              <w:pStyle w:val="0"/>
            </w:pPr>
            <w:r>
              <w:rPr>
                <w:sz w:val="20"/>
              </w:rPr>
              <w:t xml:space="preserve">26,7</w:t>
            </w:r>
          </w:p>
        </w:tc>
        <w:tc>
          <w:tcPr>
            <w:tcW w:w="604" w:type="dxa"/>
          </w:tcPr>
          <w:p>
            <w:pPr>
              <w:pStyle w:val="0"/>
            </w:pPr>
            <w:r>
              <w:rPr>
                <w:sz w:val="20"/>
              </w:rPr>
              <w:t xml:space="preserve">42,7</w:t>
            </w:r>
          </w:p>
        </w:tc>
        <w:tc>
          <w:tcPr>
            <w:tcW w:w="604" w:type="dxa"/>
          </w:tcPr>
          <w:p>
            <w:pPr>
              <w:pStyle w:val="0"/>
            </w:pPr>
            <w:r>
              <w:rPr>
                <w:sz w:val="20"/>
              </w:rPr>
              <w:t xml:space="preserve">37,3</w:t>
            </w:r>
          </w:p>
        </w:tc>
        <w:tc>
          <w:tcPr>
            <w:tcW w:w="604" w:type="dxa"/>
          </w:tcPr>
          <w:p>
            <w:pPr>
              <w:pStyle w:val="0"/>
            </w:pPr>
            <w:r>
              <w:rPr>
                <w:sz w:val="20"/>
              </w:rPr>
              <w:t xml:space="preserve">34,9</w:t>
            </w:r>
          </w:p>
        </w:tc>
        <w:tc>
          <w:tcPr>
            <w:tcW w:w="1159" w:type="dxa"/>
          </w:tcPr>
          <w:p>
            <w:pPr>
              <w:pStyle w:val="0"/>
            </w:pPr>
            <w:r>
              <w:rPr>
                <w:sz w:val="20"/>
              </w:rPr>
              <w:t xml:space="preserve">-2,4</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За 2022 год в РСЦ умерли 86 пациентов с ОКС - все с ИМ. Летальность от ИМ в целом по РСЦ составила 4,3%, что на 1,2% ниже показателя 2021 года (5,5%).</w:t>
      </w:r>
    </w:p>
    <w:p>
      <w:pPr>
        <w:pStyle w:val="0"/>
        <w:spacing w:before="200" w:line-rule="auto"/>
        <w:ind w:firstLine="540"/>
        <w:jc w:val="both"/>
      </w:pPr>
      <w:r>
        <w:rPr>
          <w:sz w:val="20"/>
        </w:rPr>
        <w:t xml:space="preserve">Показатель досуточной летальности снизился на 2,4% (с 37,3% в 2021 году до 34,9% в 2022 году).</w:t>
      </w:r>
    </w:p>
    <w:p>
      <w:pPr>
        <w:pStyle w:val="0"/>
        <w:spacing w:before="200" w:line-rule="auto"/>
        <w:ind w:firstLine="540"/>
        <w:jc w:val="both"/>
      </w:pPr>
      <w:r>
        <w:rPr>
          <w:sz w:val="20"/>
        </w:rPr>
        <w:t xml:space="preserve">Каждый случай летальности от ИМ проанализирован, заключения комиссий по изучению летальных исходов представлены медицинскими организациями главному кардиологу Депздрава Югры. В случае обнаружения дефектов оказания медицинской помощи приняты управленческие решения.</w:t>
      </w:r>
    </w:p>
    <w:p>
      <w:pPr>
        <w:pStyle w:val="0"/>
        <w:ind w:firstLine="540"/>
        <w:jc w:val="both"/>
      </w:pPr>
      <w:r>
        <w:rPr>
          <w:sz w:val="20"/>
        </w:rPr>
      </w:r>
    </w:p>
    <w:p>
      <w:pPr>
        <w:pStyle w:val="2"/>
        <w:outlineLvl w:val="3"/>
        <w:jc w:val="center"/>
      </w:pPr>
      <w:r>
        <w:rPr>
          <w:sz w:val="20"/>
        </w:rPr>
        <w:t xml:space="preserve">Анализ использования медицинского оборудования</w:t>
      </w:r>
    </w:p>
    <w:p>
      <w:pPr>
        <w:pStyle w:val="0"/>
        <w:jc w:val="center"/>
      </w:pPr>
      <w:r>
        <w:rPr>
          <w:sz w:val="20"/>
        </w:rPr>
      </w:r>
    </w:p>
    <w:p>
      <w:pPr>
        <w:pStyle w:val="0"/>
        <w:ind w:firstLine="540"/>
        <w:jc w:val="both"/>
      </w:pPr>
      <w:r>
        <w:rPr>
          <w:sz w:val="20"/>
        </w:rPr>
        <w:t xml:space="preserve">Доля тяжелого оборудования, работающего в двухсменном режиме, составляет 31%, доля тяжелого оборудования, работающего в трехсменном режиме, - 38%.</w:t>
      </w:r>
    </w:p>
    <w:p>
      <w:pPr>
        <w:pStyle w:val="0"/>
        <w:spacing w:before="200" w:line-rule="auto"/>
        <w:ind w:firstLine="540"/>
        <w:jc w:val="both"/>
      </w:pPr>
      <w:r>
        <w:rPr>
          <w:sz w:val="20"/>
        </w:rPr>
        <w:t xml:space="preserve">В 2022 году приобретено и введено в эксплуатацию 6 единиц медоборудования для переоснащения 3 региональных сосудистых центров: в БУ "Окружной кардиологический диспансер "Центр диагностики и сердечно-сосудистой хирургии" - диагностический комплекс для ультразвуковых исследований сердца и сосудов (экспертного класса), ультразвуковой аппарат для исследования сердца и сосудов (передвижной), томограф магнитно-резонансный, в БУ "Окружная клиническая больница" - диагностический комплекс для ультразвуковых исследований сердца и сосудов (экспертного класса), в БУ "Няганская окружная больница" - диагностический комплекс для ультразвуковых исследований сердца и сосудов (экспертного класса), ультразвуковой аппарат для исследования сердца и сосудов (передвижной).</w:t>
      </w:r>
    </w:p>
    <w:p>
      <w:pPr>
        <w:pStyle w:val="0"/>
        <w:jc w:val="right"/>
      </w:pPr>
      <w:r>
        <w:rPr>
          <w:sz w:val="20"/>
        </w:rPr>
      </w:r>
    </w:p>
    <w:p>
      <w:pPr>
        <w:pStyle w:val="0"/>
        <w:jc w:val="right"/>
      </w:pPr>
      <w:r>
        <w:rPr>
          <w:sz w:val="20"/>
        </w:rPr>
        <w:t xml:space="preserve">Таблица 46</w:t>
      </w:r>
    </w:p>
    <w:p>
      <w:pPr>
        <w:pStyle w:val="0"/>
        <w:jc w:val="right"/>
      </w:pPr>
      <w:r>
        <w:rPr>
          <w:sz w:val="20"/>
        </w:rPr>
      </w:r>
    </w:p>
    <w:p>
      <w:pPr>
        <w:pStyle w:val="0"/>
        <w:jc w:val="center"/>
      </w:pPr>
      <w:r>
        <w:rPr>
          <w:sz w:val="20"/>
        </w:rPr>
        <w:t xml:space="preserve">Количество медицинского оборудования РСЦ и ПСО (ангиографы,</w:t>
      </w:r>
    </w:p>
    <w:p>
      <w:pPr>
        <w:pStyle w:val="0"/>
        <w:jc w:val="center"/>
      </w:pPr>
      <w:r>
        <w:rPr>
          <w:sz w:val="20"/>
        </w:rPr>
        <w:t xml:space="preserve">компьютерные и магниторезонансные томографы, ультразвуковые</w:t>
      </w:r>
    </w:p>
    <w:p>
      <w:pPr>
        <w:pStyle w:val="0"/>
        <w:jc w:val="center"/>
      </w:pPr>
      <w:r>
        <w:rPr>
          <w:sz w:val="20"/>
        </w:rPr>
        <w:t xml:space="preserve">аппараты для исследования сердца и сосудов) и план закупки</w:t>
      </w:r>
    </w:p>
    <w:p>
      <w:pPr>
        <w:pStyle w:val="0"/>
        <w:jc w:val="center"/>
      </w:pPr>
      <w:r>
        <w:rPr>
          <w:sz w:val="20"/>
        </w:rPr>
        <w:t xml:space="preserve">по региональному проекту "Борьба с сердечно-сосудистыми</w:t>
      </w:r>
    </w:p>
    <w:p>
      <w:pPr>
        <w:pStyle w:val="0"/>
        <w:jc w:val="center"/>
      </w:pPr>
      <w:r>
        <w:rPr>
          <w:sz w:val="20"/>
        </w:rPr>
        <w:t xml:space="preserve">заболеваниями"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99"/>
        <w:gridCol w:w="2599"/>
        <w:gridCol w:w="859"/>
        <w:gridCol w:w="1429"/>
        <w:gridCol w:w="859"/>
        <w:gridCol w:w="904"/>
      </w:tblGrid>
      <w:tr>
        <w:tc>
          <w:tcPr>
            <w:tcW w:w="2299" w:type="dxa"/>
            <w:vMerge w:val="restart"/>
          </w:tcPr>
          <w:p>
            <w:pPr>
              <w:pStyle w:val="0"/>
              <w:jc w:val="center"/>
            </w:pPr>
            <w:r>
              <w:rPr>
                <w:sz w:val="20"/>
              </w:rPr>
              <w:t xml:space="preserve">Наименование МО</w:t>
            </w:r>
          </w:p>
        </w:tc>
        <w:tc>
          <w:tcPr>
            <w:gridSpan w:val="3"/>
            <w:tcW w:w="4887" w:type="dxa"/>
          </w:tcPr>
          <w:p>
            <w:pPr>
              <w:pStyle w:val="0"/>
              <w:jc w:val="center"/>
            </w:pPr>
            <w:r>
              <w:rPr>
                <w:sz w:val="20"/>
              </w:rPr>
              <w:t xml:space="preserve">Факт</w:t>
            </w:r>
          </w:p>
        </w:tc>
        <w:tc>
          <w:tcPr>
            <w:gridSpan w:val="2"/>
            <w:tcW w:w="1763" w:type="dxa"/>
          </w:tcPr>
          <w:p>
            <w:pPr>
              <w:pStyle w:val="0"/>
              <w:jc w:val="center"/>
            </w:pPr>
            <w:r>
              <w:rPr>
                <w:sz w:val="20"/>
              </w:rPr>
              <w:t xml:space="preserve">Планируется приобрести</w:t>
            </w:r>
          </w:p>
        </w:tc>
      </w:tr>
      <w:tr>
        <w:tc>
          <w:tcPr>
            <w:vMerge w:val="continue"/>
          </w:tcPr>
          <w:p/>
        </w:tc>
        <w:tc>
          <w:tcPr>
            <w:tcW w:w="2599" w:type="dxa"/>
          </w:tcPr>
          <w:p>
            <w:pPr>
              <w:pStyle w:val="0"/>
              <w:jc w:val="center"/>
            </w:pPr>
            <w:r>
              <w:rPr>
                <w:sz w:val="20"/>
              </w:rPr>
              <w:t xml:space="preserve">Наименование</w:t>
            </w:r>
          </w:p>
        </w:tc>
        <w:tc>
          <w:tcPr>
            <w:tcW w:w="859" w:type="dxa"/>
          </w:tcPr>
          <w:p>
            <w:pPr>
              <w:pStyle w:val="0"/>
              <w:jc w:val="center"/>
            </w:pPr>
            <w:r>
              <w:rPr>
                <w:sz w:val="20"/>
              </w:rPr>
              <w:t xml:space="preserve">Кол-во</w:t>
            </w:r>
          </w:p>
          <w:p>
            <w:pPr>
              <w:pStyle w:val="0"/>
              <w:jc w:val="center"/>
            </w:pPr>
            <w:r>
              <w:rPr>
                <w:sz w:val="20"/>
              </w:rPr>
              <w:t xml:space="preserve">(по Ф30)</w:t>
            </w:r>
          </w:p>
        </w:tc>
        <w:tc>
          <w:tcPr>
            <w:tcW w:w="1429" w:type="dxa"/>
          </w:tcPr>
          <w:p>
            <w:pPr>
              <w:pStyle w:val="0"/>
              <w:jc w:val="center"/>
            </w:pPr>
            <w:r>
              <w:rPr>
                <w:sz w:val="20"/>
              </w:rPr>
              <w:t xml:space="preserve">Год ввода, % износа</w:t>
            </w:r>
          </w:p>
        </w:tc>
        <w:tc>
          <w:tcPr>
            <w:tcW w:w="859" w:type="dxa"/>
          </w:tcPr>
          <w:p>
            <w:pPr>
              <w:pStyle w:val="0"/>
              <w:jc w:val="center"/>
            </w:pPr>
            <w:r>
              <w:rPr>
                <w:sz w:val="20"/>
              </w:rPr>
              <w:t xml:space="preserve">Кол-во</w:t>
            </w:r>
          </w:p>
        </w:tc>
        <w:tc>
          <w:tcPr>
            <w:tcW w:w="904" w:type="dxa"/>
          </w:tcPr>
          <w:p>
            <w:pPr>
              <w:pStyle w:val="0"/>
              <w:jc w:val="center"/>
            </w:pPr>
            <w:r>
              <w:rPr>
                <w:sz w:val="20"/>
              </w:rPr>
              <w:t xml:space="preserve">Год закупки</w:t>
            </w:r>
          </w:p>
        </w:tc>
      </w:tr>
      <w:tr>
        <w:tc>
          <w:tcPr>
            <w:gridSpan w:val="6"/>
            <w:tcW w:w="8949" w:type="dxa"/>
          </w:tcPr>
          <w:p>
            <w:pPr>
              <w:pStyle w:val="0"/>
            </w:pPr>
            <w:r>
              <w:rPr>
                <w:sz w:val="20"/>
              </w:rPr>
              <w:t xml:space="preserve">РСЦ</w:t>
            </w:r>
          </w:p>
        </w:tc>
      </w:tr>
      <w:tr>
        <w:tc>
          <w:tcPr>
            <w:tcW w:w="2299" w:type="dxa"/>
            <w:vMerge w:val="restart"/>
          </w:tcPr>
          <w:p>
            <w:pPr>
              <w:pStyle w:val="0"/>
            </w:pPr>
            <w:r>
              <w:rPr>
                <w:sz w:val="20"/>
              </w:rPr>
              <w:t xml:space="preserve">БУ "Нижневартовская окружная клиническая больница"</w:t>
            </w:r>
          </w:p>
        </w:tc>
        <w:tc>
          <w:tcPr>
            <w:tcW w:w="2599" w:type="dxa"/>
          </w:tcPr>
          <w:p>
            <w:pPr>
              <w:pStyle w:val="0"/>
            </w:pPr>
            <w:r>
              <w:rPr>
                <w:sz w:val="20"/>
              </w:rPr>
              <w:t xml:space="preserve">Ангиографическая система</w:t>
            </w:r>
          </w:p>
        </w:tc>
        <w:tc>
          <w:tcPr>
            <w:tcW w:w="859" w:type="dxa"/>
          </w:tcPr>
          <w:p>
            <w:pPr>
              <w:pStyle w:val="0"/>
            </w:pPr>
            <w:r>
              <w:rPr>
                <w:sz w:val="20"/>
              </w:rPr>
              <w:t xml:space="preserve">1</w:t>
            </w:r>
          </w:p>
        </w:tc>
        <w:tc>
          <w:tcPr>
            <w:tcW w:w="1429" w:type="dxa"/>
          </w:tcPr>
          <w:p>
            <w:pPr>
              <w:pStyle w:val="0"/>
            </w:pPr>
            <w:r>
              <w:rPr>
                <w:sz w:val="20"/>
              </w:rPr>
              <w:t xml:space="preserve">2019 (42,75%)</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Компьютерный томограф</w:t>
            </w:r>
          </w:p>
        </w:tc>
        <w:tc>
          <w:tcPr>
            <w:tcW w:w="859" w:type="dxa"/>
          </w:tcPr>
          <w:p>
            <w:pPr>
              <w:pStyle w:val="0"/>
            </w:pPr>
            <w:r>
              <w:rPr>
                <w:sz w:val="20"/>
              </w:rPr>
              <w:t xml:space="preserve">1</w:t>
            </w:r>
          </w:p>
        </w:tc>
        <w:tc>
          <w:tcPr>
            <w:tcW w:w="1429" w:type="dxa"/>
          </w:tcPr>
          <w:p>
            <w:pPr>
              <w:pStyle w:val="0"/>
            </w:pPr>
            <w:r>
              <w:rPr>
                <w:sz w:val="20"/>
              </w:rPr>
              <w:t xml:space="preserve">2013 (100%)</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Магнитно-резонансный томограф</w:t>
            </w:r>
          </w:p>
        </w:tc>
        <w:tc>
          <w:tcPr>
            <w:tcW w:w="859" w:type="dxa"/>
          </w:tcPr>
          <w:p>
            <w:pPr>
              <w:pStyle w:val="0"/>
            </w:pPr>
            <w:r>
              <w:rPr>
                <w:sz w:val="20"/>
              </w:rPr>
              <w:t xml:space="preserve">1</w:t>
            </w:r>
          </w:p>
        </w:tc>
        <w:tc>
          <w:tcPr>
            <w:tcW w:w="1429" w:type="dxa"/>
          </w:tcPr>
          <w:p>
            <w:pPr>
              <w:pStyle w:val="0"/>
            </w:pPr>
            <w:r>
              <w:rPr>
                <w:sz w:val="20"/>
              </w:rPr>
              <w:t xml:space="preserve">2012 (100%)</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3</w:t>
            </w:r>
          </w:p>
        </w:tc>
        <w:tc>
          <w:tcPr>
            <w:tcW w:w="1429" w:type="dxa"/>
          </w:tcPr>
          <w:p>
            <w:pPr>
              <w:pStyle w:val="0"/>
            </w:pPr>
            <w:r>
              <w:rPr>
                <w:sz w:val="20"/>
              </w:rPr>
              <w:t xml:space="preserve">2010 - 1, 2018 - 1, 2020 - 1</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БУ "Няганская окружная больница"</w:t>
            </w:r>
          </w:p>
        </w:tc>
        <w:tc>
          <w:tcPr>
            <w:tcW w:w="2599" w:type="dxa"/>
          </w:tcPr>
          <w:p>
            <w:pPr>
              <w:pStyle w:val="0"/>
            </w:pPr>
            <w:r>
              <w:rPr>
                <w:sz w:val="20"/>
              </w:rPr>
              <w:t xml:space="preserve">Ангиографическая система</w:t>
            </w:r>
          </w:p>
        </w:tc>
        <w:tc>
          <w:tcPr>
            <w:tcW w:w="859" w:type="dxa"/>
          </w:tcPr>
          <w:p>
            <w:pPr>
              <w:pStyle w:val="0"/>
            </w:pPr>
            <w:r>
              <w:rPr>
                <w:sz w:val="20"/>
              </w:rPr>
              <w:t xml:space="preserve">2</w:t>
            </w:r>
          </w:p>
        </w:tc>
        <w:tc>
          <w:tcPr>
            <w:tcW w:w="1429" w:type="dxa"/>
          </w:tcPr>
          <w:p>
            <w:pPr>
              <w:pStyle w:val="0"/>
            </w:pPr>
            <w:r>
              <w:rPr>
                <w:sz w:val="20"/>
              </w:rPr>
              <w:t xml:space="preserve">2008(100%), 2020(28,5%),</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10</w:t>
            </w:r>
          </w:p>
        </w:tc>
        <w:tc>
          <w:tcPr>
            <w:tcW w:w="1429" w:type="dxa"/>
          </w:tcPr>
          <w:p>
            <w:pPr>
              <w:pStyle w:val="0"/>
            </w:pPr>
            <w:r>
              <w:rPr>
                <w:sz w:val="20"/>
              </w:rPr>
              <w:t xml:space="preserve">2004 - 1, 2007 - 3, 2013 - 1, 2015 - 2, 2016 - 1, 2019 - 1, 2022 - 1</w:t>
            </w:r>
          </w:p>
        </w:tc>
        <w:tc>
          <w:tcPr>
            <w:tcW w:w="859" w:type="dxa"/>
          </w:tcPr>
          <w:p>
            <w:pPr>
              <w:pStyle w:val="0"/>
            </w:pPr>
            <w:r>
              <w:rPr>
                <w:sz w:val="20"/>
              </w:rPr>
              <w:t xml:space="preserve">1</w:t>
            </w:r>
          </w:p>
        </w:tc>
        <w:tc>
          <w:tcPr>
            <w:tcW w:w="904" w:type="dxa"/>
          </w:tcPr>
          <w:p>
            <w:pPr>
              <w:pStyle w:val="0"/>
            </w:pPr>
            <w:r>
              <w:rPr>
                <w:sz w:val="20"/>
              </w:rPr>
              <w:t xml:space="preserve">2024</w:t>
            </w:r>
          </w:p>
        </w:tc>
      </w:tr>
      <w:tr>
        <w:tc>
          <w:tcPr>
            <w:vMerge w:val="continue"/>
          </w:tcPr>
          <w:p/>
        </w:tc>
        <w:tc>
          <w:tcPr>
            <w:tcW w:w="2599" w:type="dxa"/>
          </w:tcPr>
          <w:p>
            <w:pPr>
              <w:pStyle w:val="0"/>
            </w:pPr>
            <w:r>
              <w:rPr>
                <w:sz w:val="20"/>
              </w:rPr>
              <w:t xml:space="preserve">Ультразвуковой аппарат для исследования сердца и сосудов (передвижной)</w:t>
            </w:r>
          </w:p>
        </w:tc>
        <w:tc>
          <w:tcPr>
            <w:tcW w:w="859" w:type="dxa"/>
          </w:tcPr>
          <w:p>
            <w:pPr>
              <w:pStyle w:val="0"/>
            </w:pPr>
            <w:r>
              <w:rPr>
                <w:sz w:val="20"/>
              </w:rPr>
              <w:t xml:space="preserve">1</w:t>
            </w:r>
          </w:p>
        </w:tc>
        <w:tc>
          <w:tcPr>
            <w:tcW w:w="1429" w:type="dxa"/>
          </w:tcPr>
          <w:p>
            <w:pPr>
              <w:pStyle w:val="0"/>
            </w:pPr>
            <w:r>
              <w:rPr>
                <w:sz w:val="20"/>
              </w:rPr>
              <w:t xml:space="preserve">2022</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Компьютерный томограф</w:t>
            </w:r>
          </w:p>
        </w:tc>
        <w:tc>
          <w:tcPr>
            <w:tcW w:w="859" w:type="dxa"/>
          </w:tcPr>
          <w:p>
            <w:pPr>
              <w:pStyle w:val="0"/>
            </w:pPr>
            <w:r>
              <w:rPr>
                <w:sz w:val="20"/>
              </w:rPr>
              <w:t xml:space="preserve">1</w:t>
            </w:r>
          </w:p>
        </w:tc>
        <w:tc>
          <w:tcPr>
            <w:tcW w:w="1429" w:type="dxa"/>
          </w:tcPr>
          <w:p>
            <w:pPr>
              <w:pStyle w:val="0"/>
            </w:pPr>
            <w:r>
              <w:rPr>
                <w:sz w:val="20"/>
              </w:rPr>
              <w:t xml:space="preserve">2007 (100%)</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Магнитно-резонансный томограф</w:t>
            </w:r>
          </w:p>
        </w:tc>
        <w:tc>
          <w:tcPr>
            <w:tcW w:w="859" w:type="dxa"/>
          </w:tcPr>
          <w:p>
            <w:pPr>
              <w:pStyle w:val="0"/>
            </w:pPr>
            <w:r>
              <w:rPr>
                <w:sz w:val="20"/>
              </w:rPr>
              <w:t xml:space="preserve">1</w:t>
            </w:r>
          </w:p>
        </w:tc>
        <w:tc>
          <w:tcPr>
            <w:tcW w:w="1429" w:type="dxa"/>
          </w:tcPr>
          <w:p>
            <w:pPr>
              <w:pStyle w:val="0"/>
            </w:pPr>
            <w:r>
              <w:rPr>
                <w:sz w:val="20"/>
              </w:rPr>
              <w:t xml:space="preserve">2008 (100%)</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БУ "Окружной кардиологический диспансер "Центр диагностики и сердечно-сосудистой хирургии"</w:t>
            </w: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35</w:t>
            </w:r>
          </w:p>
        </w:tc>
        <w:tc>
          <w:tcPr>
            <w:tcW w:w="1429" w:type="dxa"/>
          </w:tcPr>
          <w:p>
            <w:pPr>
              <w:pStyle w:val="0"/>
            </w:pPr>
            <w:r>
              <w:rPr>
                <w:sz w:val="20"/>
              </w:rPr>
              <w:t xml:space="preserve">2003 - 1, 2006 - 1, 2007 - 3, 2008 - 2, 2011 - 1, 2013 - 7, 2014 - 6, 2015 - 1, 2016 - 4, 2018 - 1, 2019 - 1, 2020 - 6, 2022 - 1</w:t>
            </w:r>
          </w:p>
        </w:tc>
        <w:tc>
          <w:tcPr>
            <w:tcW w:w="859" w:type="dxa"/>
          </w:tcPr>
          <w:p>
            <w:pPr>
              <w:pStyle w:val="0"/>
            </w:pPr>
            <w:r>
              <w:rPr>
                <w:sz w:val="20"/>
              </w:rPr>
              <w:t xml:space="preserve">3</w:t>
            </w:r>
          </w:p>
        </w:tc>
        <w:tc>
          <w:tcPr>
            <w:tcW w:w="904" w:type="dxa"/>
          </w:tcPr>
          <w:p>
            <w:pPr>
              <w:pStyle w:val="0"/>
            </w:pPr>
            <w:r>
              <w:rPr>
                <w:sz w:val="20"/>
              </w:rPr>
              <w:t xml:space="preserve">2023 - 2024</w:t>
            </w:r>
          </w:p>
        </w:tc>
      </w:tr>
      <w:tr>
        <w:tc>
          <w:tcPr>
            <w:vMerge w:val="continue"/>
          </w:tcPr>
          <w:p/>
        </w:tc>
        <w:tc>
          <w:tcPr>
            <w:tcW w:w="2599" w:type="dxa"/>
          </w:tcPr>
          <w:p>
            <w:pPr>
              <w:pStyle w:val="0"/>
            </w:pPr>
            <w:r>
              <w:rPr>
                <w:sz w:val="20"/>
              </w:rPr>
              <w:t xml:space="preserve">Ультразвуковой аппарат для исследования сердца и сосудов (передвижной)</w:t>
            </w:r>
          </w:p>
        </w:tc>
        <w:tc>
          <w:tcPr>
            <w:tcW w:w="859" w:type="dxa"/>
          </w:tcPr>
          <w:p>
            <w:pPr>
              <w:pStyle w:val="0"/>
            </w:pPr>
            <w:r>
              <w:rPr>
                <w:sz w:val="20"/>
              </w:rPr>
              <w:t xml:space="preserve">1</w:t>
            </w:r>
          </w:p>
        </w:tc>
        <w:tc>
          <w:tcPr>
            <w:tcW w:w="1429" w:type="dxa"/>
          </w:tcPr>
          <w:p>
            <w:pPr>
              <w:pStyle w:val="0"/>
            </w:pPr>
            <w:r>
              <w:rPr>
                <w:sz w:val="20"/>
              </w:rPr>
              <w:t xml:space="preserve">2022</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Ангиографическая система</w:t>
            </w:r>
          </w:p>
        </w:tc>
        <w:tc>
          <w:tcPr>
            <w:tcW w:w="859" w:type="dxa"/>
          </w:tcPr>
          <w:p>
            <w:pPr>
              <w:pStyle w:val="0"/>
            </w:pPr>
            <w:r>
              <w:rPr>
                <w:sz w:val="20"/>
              </w:rPr>
              <w:t xml:space="preserve">4</w:t>
            </w:r>
          </w:p>
        </w:tc>
        <w:tc>
          <w:tcPr>
            <w:tcW w:w="1429" w:type="dxa"/>
          </w:tcPr>
          <w:p>
            <w:pPr>
              <w:pStyle w:val="0"/>
            </w:pPr>
            <w:r>
              <w:rPr>
                <w:sz w:val="20"/>
              </w:rPr>
              <w:t xml:space="preserve">2005(100%),</w:t>
            </w:r>
          </w:p>
          <w:p>
            <w:pPr>
              <w:pStyle w:val="0"/>
            </w:pPr>
            <w:r>
              <w:rPr>
                <w:sz w:val="20"/>
              </w:rPr>
              <w:t xml:space="preserve">2012(100%), 2017 - 2 (71,25%)</w:t>
            </w:r>
          </w:p>
        </w:tc>
        <w:tc>
          <w:tcPr>
            <w:tcW w:w="859" w:type="dxa"/>
          </w:tcPr>
          <w:p>
            <w:pPr>
              <w:pStyle w:val="0"/>
            </w:pPr>
            <w:r>
              <w:rPr>
                <w:sz w:val="20"/>
              </w:rPr>
              <w:t xml:space="preserve">1</w:t>
            </w:r>
          </w:p>
        </w:tc>
        <w:tc>
          <w:tcPr>
            <w:tcW w:w="904" w:type="dxa"/>
          </w:tcPr>
          <w:p>
            <w:pPr>
              <w:pStyle w:val="0"/>
            </w:pPr>
            <w:r>
              <w:rPr>
                <w:sz w:val="20"/>
              </w:rPr>
              <w:t xml:space="preserve">2024</w:t>
            </w:r>
          </w:p>
        </w:tc>
      </w:tr>
      <w:tr>
        <w:tc>
          <w:tcPr>
            <w:vMerge w:val="continue"/>
          </w:tcPr>
          <w:p/>
        </w:tc>
        <w:tc>
          <w:tcPr>
            <w:tcW w:w="2599" w:type="dxa"/>
          </w:tcPr>
          <w:p>
            <w:pPr>
              <w:pStyle w:val="0"/>
            </w:pPr>
            <w:r>
              <w:rPr>
                <w:sz w:val="20"/>
              </w:rPr>
              <w:t xml:space="preserve">Магнитно-резонансный томограф</w:t>
            </w:r>
          </w:p>
        </w:tc>
        <w:tc>
          <w:tcPr>
            <w:tcW w:w="859" w:type="dxa"/>
          </w:tcPr>
          <w:p>
            <w:pPr>
              <w:pStyle w:val="0"/>
            </w:pPr>
            <w:r>
              <w:rPr>
                <w:sz w:val="20"/>
              </w:rPr>
              <w:t xml:space="preserve">1</w:t>
            </w:r>
          </w:p>
        </w:tc>
        <w:tc>
          <w:tcPr>
            <w:tcW w:w="1429" w:type="dxa"/>
          </w:tcPr>
          <w:p>
            <w:pPr>
              <w:pStyle w:val="0"/>
            </w:pPr>
            <w:r>
              <w:rPr>
                <w:sz w:val="20"/>
              </w:rPr>
              <w:t xml:space="preserve">2020 (28,25%)</w:t>
            </w:r>
          </w:p>
        </w:tc>
        <w:tc>
          <w:tcPr>
            <w:tcW w:w="859" w:type="dxa"/>
          </w:tcPr>
          <w:p>
            <w:pPr>
              <w:pStyle w:val="0"/>
            </w:pPr>
            <w:r>
              <w:rPr>
                <w:sz w:val="20"/>
              </w:rPr>
              <w:t xml:space="preserve">1</w:t>
            </w:r>
          </w:p>
        </w:tc>
        <w:tc>
          <w:tcPr>
            <w:tcW w:w="904" w:type="dxa"/>
          </w:tcPr>
          <w:p>
            <w:pPr>
              <w:pStyle w:val="0"/>
            </w:pPr>
            <w:r>
              <w:rPr>
                <w:sz w:val="20"/>
              </w:rPr>
              <w:t xml:space="preserve">2023</w:t>
            </w:r>
          </w:p>
        </w:tc>
      </w:tr>
      <w:tr>
        <w:tc>
          <w:tcPr>
            <w:vMerge w:val="continue"/>
          </w:tcPr>
          <w:p/>
        </w:tc>
        <w:tc>
          <w:tcPr>
            <w:tcW w:w="2599" w:type="dxa"/>
          </w:tcPr>
          <w:p>
            <w:pPr>
              <w:pStyle w:val="0"/>
            </w:pPr>
            <w:r>
              <w:rPr>
                <w:sz w:val="20"/>
              </w:rPr>
              <w:t xml:space="preserve">Компьютерный томограф</w:t>
            </w:r>
          </w:p>
        </w:tc>
        <w:tc>
          <w:tcPr>
            <w:tcW w:w="859" w:type="dxa"/>
          </w:tcPr>
          <w:p>
            <w:pPr>
              <w:pStyle w:val="0"/>
            </w:pPr>
            <w:r>
              <w:rPr>
                <w:sz w:val="20"/>
              </w:rPr>
              <w:t xml:space="preserve">2</w:t>
            </w:r>
          </w:p>
        </w:tc>
        <w:tc>
          <w:tcPr>
            <w:tcW w:w="1429" w:type="dxa"/>
          </w:tcPr>
          <w:p>
            <w:pPr>
              <w:pStyle w:val="0"/>
            </w:pPr>
            <w:r>
              <w:rPr>
                <w:sz w:val="20"/>
              </w:rPr>
              <w:t xml:space="preserve">2011 (100%), 2019 (42,75%)</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БУ "Окружная клиническая больница"</w:t>
            </w:r>
          </w:p>
        </w:tc>
        <w:tc>
          <w:tcPr>
            <w:tcW w:w="2599" w:type="dxa"/>
          </w:tcPr>
          <w:p>
            <w:pPr>
              <w:pStyle w:val="0"/>
            </w:pPr>
            <w:r>
              <w:rPr>
                <w:sz w:val="20"/>
              </w:rPr>
              <w:t xml:space="preserve">Ангиографическая система</w:t>
            </w:r>
          </w:p>
        </w:tc>
        <w:tc>
          <w:tcPr>
            <w:tcW w:w="859" w:type="dxa"/>
          </w:tcPr>
          <w:p>
            <w:pPr>
              <w:pStyle w:val="0"/>
            </w:pPr>
            <w:r>
              <w:rPr>
                <w:sz w:val="20"/>
              </w:rPr>
              <w:t xml:space="preserve">3</w:t>
            </w:r>
          </w:p>
        </w:tc>
        <w:tc>
          <w:tcPr>
            <w:tcW w:w="1429" w:type="dxa"/>
          </w:tcPr>
          <w:p>
            <w:pPr>
              <w:pStyle w:val="0"/>
            </w:pPr>
            <w:r>
              <w:rPr>
                <w:sz w:val="20"/>
              </w:rPr>
              <w:t xml:space="preserve">2018(42%), 2012(100%),</w:t>
            </w:r>
          </w:p>
          <w:p>
            <w:pPr>
              <w:pStyle w:val="0"/>
            </w:pPr>
            <w:r>
              <w:rPr>
                <w:sz w:val="20"/>
              </w:rPr>
              <w:t xml:space="preserve">2019(28,6%)</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15</w:t>
            </w:r>
          </w:p>
        </w:tc>
        <w:tc>
          <w:tcPr>
            <w:tcW w:w="1429" w:type="dxa"/>
          </w:tcPr>
          <w:p>
            <w:pPr>
              <w:pStyle w:val="0"/>
            </w:pPr>
            <w:r>
              <w:rPr>
                <w:sz w:val="20"/>
              </w:rPr>
              <w:t xml:space="preserve">2006 - 2, 2007 - 1,</w:t>
            </w:r>
          </w:p>
          <w:p>
            <w:pPr>
              <w:pStyle w:val="0"/>
            </w:pPr>
            <w:r>
              <w:rPr>
                <w:sz w:val="20"/>
              </w:rPr>
              <w:t xml:space="preserve">2011 - 3, 2012 - 1,</w:t>
            </w:r>
          </w:p>
          <w:p>
            <w:pPr>
              <w:pStyle w:val="0"/>
            </w:pPr>
            <w:r>
              <w:rPr>
                <w:sz w:val="20"/>
              </w:rPr>
              <w:t xml:space="preserve">2013 - 4, 2014 - 1,</w:t>
            </w:r>
          </w:p>
          <w:p>
            <w:pPr>
              <w:pStyle w:val="0"/>
            </w:pPr>
            <w:r>
              <w:rPr>
                <w:sz w:val="20"/>
              </w:rPr>
              <w:t xml:space="preserve">2018 - 2, 2022 - 1,</w:t>
            </w:r>
          </w:p>
        </w:tc>
        <w:tc>
          <w:tcPr>
            <w:tcW w:w="859" w:type="dxa"/>
          </w:tcPr>
          <w:p>
            <w:pPr>
              <w:pStyle w:val="0"/>
            </w:pPr>
            <w:r>
              <w:rPr>
                <w:sz w:val="20"/>
              </w:rPr>
              <w:t xml:space="preserve">1</w:t>
            </w:r>
          </w:p>
        </w:tc>
        <w:tc>
          <w:tcPr>
            <w:tcW w:w="904" w:type="dxa"/>
          </w:tcPr>
          <w:p>
            <w:pPr>
              <w:pStyle w:val="0"/>
            </w:pPr>
            <w:r>
              <w:rPr>
                <w:sz w:val="20"/>
              </w:rPr>
              <w:t xml:space="preserve">2024</w:t>
            </w:r>
          </w:p>
        </w:tc>
      </w:tr>
      <w:tr>
        <w:tc>
          <w:tcPr>
            <w:vMerge w:val="continue"/>
          </w:tcPr>
          <w:p/>
        </w:tc>
        <w:tc>
          <w:tcPr>
            <w:tcW w:w="2599" w:type="dxa"/>
          </w:tcPr>
          <w:p>
            <w:pPr>
              <w:pStyle w:val="0"/>
            </w:pPr>
            <w:r>
              <w:rPr>
                <w:sz w:val="20"/>
              </w:rPr>
              <w:t xml:space="preserve">Компьютерный томограф</w:t>
            </w:r>
          </w:p>
        </w:tc>
        <w:tc>
          <w:tcPr>
            <w:tcW w:w="859" w:type="dxa"/>
          </w:tcPr>
          <w:p>
            <w:pPr>
              <w:pStyle w:val="0"/>
            </w:pPr>
            <w:r>
              <w:rPr>
                <w:sz w:val="20"/>
              </w:rPr>
              <w:t xml:space="preserve">4</w:t>
            </w:r>
          </w:p>
        </w:tc>
        <w:tc>
          <w:tcPr>
            <w:tcW w:w="1429" w:type="dxa"/>
          </w:tcPr>
          <w:p>
            <w:pPr>
              <w:pStyle w:val="0"/>
            </w:pPr>
            <w:r>
              <w:rPr>
                <w:sz w:val="20"/>
              </w:rPr>
              <w:t xml:space="preserve">2013(100%), 2014(100%), 2020 - 2 (28,5%)</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Магнитно-резонансный томограф</w:t>
            </w:r>
          </w:p>
        </w:tc>
        <w:tc>
          <w:tcPr>
            <w:tcW w:w="859" w:type="dxa"/>
          </w:tcPr>
          <w:p>
            <w:pPr>
              <w:pStyle w:val="0"/>
            </w:pPr>
            <w:r>
              <w:rPr>
                <w:sz w:val="20"/>
              </w:rPr>
              <w:t xml:space="preserve">4</w:t>
            </w:r>
          </w:p>
        </w:tc>
        <w:tc>
          <w:tcPr>
            <w:tcW w:w="1429" w:type="dxa"/>
          </w:tcPr>
          <w:p>
            <w:pPr>
              <w:pStyle w:val="0"/>
            </w:pPr>
            <w:r>
              <w:rPr>
                <w:sz w:val="20"/>
              </w:rPr>
              <w:t xml:space="preserve">2013(100%), 2014(100%), 2012 - 2 (100%)</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БУ "Сургутская клиническая травматологическая больница"</w:t>
            </w:r>
          </w:p>
        </w:tc>
        <w:tc>
          <w:tcPr>
            <w:tcW w:w="2599" w:type="dxa"/>
          </w:tcPr>
          <w:p>
            <w:pPr>
              <w:pStyle w:val="0"/>
            </w:pPr>
            <w:r>
              <w:rPr>
                <w:sz w:val="20"/>
              </w:rPr>
              <w:t xml:space="preserve">Компьютерный томограф</w:t>
            </w:r>
          </w:p>
        </w:tc>
        <w:tc>
          <w:tcPr>
            <w:tcW w:w="859" w:type="dxa"/>
          </w:tcPr>
          <w:p>
            <w:pPr>
              <w:pStyle w:val="0"/>
            </w:pPr>
            <w:r>
              <w:rPr>
                <w:sz w:val="20"/>
              </w:rPr>
              <w:t xml:space="preserve">2</w:t>
            </w:r>
          </w:p>
        </w:tc>
        <w:tc>
          <w:tcPr>
            <w:tcW w:w="1429" w:type="dxa"/>
          </w:tcPr>
          <w:p>
            <w:pPr>
              <w:pStyle w:val="0"/>
            </w:pPr>
            <w:r>
              <w:rPr>
                <w:sz w:val="20"/>
              </w:rPr>
              <w:t xml:space="preserve">2012 (100%), 2020 (28,5%)</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Ангиографическая система</w:t>
            </w:r>
          </w:p>
        </w:tc>
        <w:tc>
          <w:tcPr>
            <w:tcW w:w="859" w:type="dxa"/>
          </w:tcPr>
          <w:p>
            <w:pPr>
              <w:pStyle w:val="0"/>
            </w:pPr>
            <w:r>
              <w:rPr>
                <w:sz w:val="20"/>
              </w:rPr>
              <w:t xml:space="preserve">1</w:t>
            </w:r>
          </w:p>
        </w:tc>
        <w:tc>
          <w:tcPr>
            <w:tcW w:w="1429" w:type="dxa"/>
          </w:tcPr>
          <w:p>
            <w:pPr>
              <w:pStyle w:val="0"/>
            </w:pPr>
            <w:r>
              <w:rPr>
                <w:sz w:val="20"/>
              </w:rPr>
              <w:t xml:space="preserve">2020 (28,5%)</w:t>
            </w:r>
          </w:p>
        </w:tc>
        <w:tc>
          <w:tcPr>
            <w:tcW w:w="859" w:type="dxa"/>
          </w:tcPr>
          <w:p>
            <w:pPr>
              <w:pStyle w:val="0"/>
            </w:pPr>
            <w:r>
              <w:rPr>
                <w:sz w:val="20"/>
              </w:rPr>
            </w:r>
          </w:p>
        </w:tc>
        <w:tc>
          <w:tcPr>
            <w:tcW w:w="904" w:type="dxa"/>
          </w:tcPr>
          <w:p>
            <w:pPr>
              <w:pStyle w:val="0"/>
            </w:pPr>
            <w:r>
              <w:rPr>
                <w:sz w:val="20"/>
              </w:rPr>
            </w:r>
          </w:p>
        </w:tc>
      </w:tr>
      <w:tr>
        <w:tc>
          <w:tcPr>
            <w:gridSpan w:val="6"/>
            <w:tcW w:w="8949" w:type="dxa"/>
          </w:tcPr>
          <w:p>
            <w:pPr>
              <w:pStyle w:val="0"/>
            </w:pPr>
            <w:r>
              <w:rPr>
                <w:sz w:val="20"/>
              </w:rPr>
              <w:t xml:space="preserve">ПСО</w:t>
            </w:r>
          </w:p>
        </w:tc>
      </w:tr>
      <w:tr>
        <w:tc>
          <w:tcPr>
            <w:tcW w:w="2299" w:type="dxa"/>
          </w:tcPr>
          <w:p>
            <w:pPr>
              <w:pStyle w:val="0"/>
            </w:pPr>
            <w:r>
              <w:rPr>
                <w:sz w:val="20"/>
              </w:rPr>
              <w:t xml:space="preserve">БУ "Радужнинская городская больница"</w:t>
            </w:r>
          </w:p>
        </w:tc>
        <w:tc>
          <w:tcPr>
            <w:tcW w:w="2599" w:type="dxa"/>
          </w:tcPr>
          <w:p>
            <w:pPr>
              <w:pStyle w:val="0"/>
            </w:pPr>
            <w:r>
              <w:rPr>
                <w:sz w:val="20"/>
              </w:rPr>
              <w:t xml:space="preserve">Компьютерный томограф</w:t>
            </w:r>
          </w:p>
        </w:tc>
        <w:tc>
          <w:tcPr>
            <w:tcW w:w="859" w:type="dxa"/>
          </w:tcPr>
          <w:p>
            <w:pPr>
              <w:pStyle w:val="0"/>
            </w:pPr>
            <w:r>
              <w:rPr>
                <w:sz w:val="20"/>
              </w:rPr>
              <w:t xml:space="preserve">1</w:t>
            </w:r>
          </w:p>
        </w:tc>
        <w:tc>
          <w:tcPr>
            <w:tcW w:w="1429" w:type="dxa"/>
          </w:tcPr>
          <w:p>
            <w:pPr>
              <w:pStyle w:val="0"/>
            </w:pPr>
            <w:r>
              <w:rPr>
                <w:sz w:val="20"/>
              </w:rPr>
              <w:t xml:space="preserve">2013 (100%)</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БУ "Лангепасская городская больница"</w:t>
            </w:r>
          </w:p>
        </w:tc>
        <w:tc>
          <w:tcPr>
            <w:tcW w:w="2599" w:type="dxa"/>
          </w:tcPr>
          <w:p>
            <w:pPr>
              <w:pStyle w:val="0"/>
            </w:pPr>
            <w:r>
              <w:rPr>
                <w:sz w:val="20"/>
              </w:rPr>
              <w:t xml:space="preserve">Компьютерный томограф</w:t>
            </w:r>
          </w:p>
        </w:tc>
        <w:tc>
          <w:tcPr>
            <w:tcW w:w="859" w:type="dxa"/>
          </w:tcPr>
          <w:p>
            <w:pPr>
              <w:pStyle w:val="0"/>
            </w:pPr>
            <w:r>
              <w:rPr>
                <w:sz w:val="20"/>
              </w:rPr>
              <w:t xml:space="preserve">1</w:t>
            </w:r>
          </w:p>
        </w:tc>
        <w:tc>
          <w:tcPr>
            <w:tcW w:w="1429" w:type="dxa"/>
          </w:tcPr>
          <w:p>
            <w:pPr>
              <w:pStyle w:val="0"/>
            </w:pPr>
            <w:r>
              <w:rPr>
                <w:sz w:val="20"/>
              </w:rPr>
              <w:t xml:space="preserve">2019 (42,75%)</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3</w:t>
            </w:r>
          </w:p>
        </w:tc>
        <w:tc>
          <w:tcPr>
            <w:tcW w:w="1429" w:type="dxa"/>
          </w:tcPr>
          <w:p>
            <w:pPr>
              <w:pStyle w:val="0"/>
            </w:pPr>
            <w:r>
              <w:rPr>
                <w:sz w:val="20"/>
              </w:rPr>
              <w:t xml:space="preserve">2010, 2007, 2019</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"Нефтеюганская окружная клиническая больница имени В.И. Яцкив"</w:t>
            </w:r>
          </w:p>
        </w:tc>
        <w:tc>
          <w:tcPr>
            <w:tcW w:w="2599" w:type="dxa"/>
          </w:tcPr>
          <w:p>
            <w:pPr>
              <w:pStyle w:val="0"/>
            </w:pPr>
            <w:r>
              <w:rPr>
                <w:sz w:val="20"/>
              </w:rPr>
              <w:t xml:space="preserve">Компьютерный томограф</w:t>
            </w:r>
          </w:p>
        </w:tc>
        <w:tc>
          <w:tcPr>
            <w:tcW w:w="859" w:type="dxa"/>
          </w:tcPr>
          <w:p>
            <w:pPr>
              <w:pStyle w:val="0"/>
            </w:pPr>
            <w:r>
              <w:rPr>
                <w:sz w:val="20"/>
              </w:rPr>
              <w:t xml:space="preserve">2</w:t>
            </w:r>
          </w:p>
        </w:tc>
        <w:tc>
          <w:tcPr>
            <w:tcW w:w="1429" w:type="dxa"/>
          </w:tcPr>
          <w:p>
            <w:pPr>
              <w:pStyle w:val="0"/>
            </w:pPr>
            <w:r>
              <w:rPr>
                <w:sz w:val="20"/>
              </w:rPr>
              <w:t xml:space="preserve">2012(100%), 2019 (42,75%)</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2</w:t>
            </w:r>
          </w:p>
        </w:tc>
        <w:tc>
          <w:tcPr>
            <w:tcW w:w="1429" w:type="dxa"/>
          </w:tcPr>
          <w:p>
            <w:pPr>
              <w:pStyle w:val="0"/>
            </w:pPr>
            <w:r>
              <w:rPr>
                <w:sz w:val="20"/>
              </w:rPr>
              <w:t xml:space="preserve">2013, 2019</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БУ "Пыть-Яхская окружная клиническая больница"</w:t>
            </w:r>
          </w:p>
        </w:tc>
        <w:tc>
          <w:tcPr>
            <w:tcW w:w="2599" w:type="dxa"/>
          </w:tcPr>
          <w:p>
            <w:pPr>
              <w:pStyle w:val="0"/>
            </w:pPr>
            <w:r>
              <w:rPr>
                <w:sz w:val="20"/>
              </w:rPr>
              <w:t xml:space="preserve">Компьютерный томограф</w:t>
            </w:r>
          </w:p>
        </w:tc>
        <w:tc>
          <w:tcPr>
            <w:tcW w:w="859" w:type="dxa"/>
          </w:tcPr>
          <w:p>
            <w:pPr>
              <w:pStyle w:val="0"/>
            </w:pPr>
            <w:r>
              <w:rPr>
                <w:sz w:val="20"/>
              </w:rPr>
              <w:t xml:space="preserve">2</w:t>
            </w:r>
          </w:p>
        </w:tc>
        <w:tc>
          <w:tcPr>
            <w:tcW w:w="1429" w:type="dxa"/>
          </w:tcPr>
          <w:p>
            <w:pPr>
              <w:pStyle w:val="0"/>
            </w:pPr>
            <w:r>
              <w:rPr>
                <w:sz w:val="20"/>
              </w:rPr>
              <w:t xml:space="preserve">2013 (100%), 2020 (28,5%)</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4</w:t>
            </w:r>
          </w:p>
        </w:tc>
        <w:tc>
          <w:tcPr>
            <w:tcW w:w="1429" w:type="dxa"/>
          </w:tcPr>
          <w:p>
            <w:pPr>
              <w:pStyle w:val="0"/>
            </w:pPr>
            <w:r>
              <w:rPr>
                <w:sz w:val="20"/>
              </w:rPr>
              <w:t xml:space="preserve">2007, 2008, 2011 - 2</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БУ "Югорская городская больница"</w:t>
            </w: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5</w:t>
            </w:r>
          </w:p>
        </w:tc>
        <w:tc>
          <w:tcPr>
            <w:tcW w:w="1429" w:type="dxa"/>
          </w:tcPr>
          <w:p>
            <w:pPr>
              <w:pStyle w:val="0"/>
            </w:pPr>
            <w:r>
              <w:rPr>
                <w:sz w:val="20"/>
              </w:rPr>
              <w:t xml:space="preserve">2009 - 1, 2014 - 1, 2003 - 1, 2015 - 1, 2019 - 1</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Компьютерный томограф</w:t>
            </w:r>
          </w:p>
        </w:tc>
        <w:tc>
          <w:tcPr>
            <w:tcW w:w="859" w:type="dxa"/>
          </w:tcPr>
          <w:p>
            <w:pPr>
              <w:pStyle w:val="0"/>
            </w:pPr>
            <w:r>
              <w:rPr>
                <w:sz w:val="20"/>
              </w:rPr>
              <w:t xml:space="preserve">2</w:t>
            </w:r>
          </w:p>
        </w:tc>
        <w:tc>
          <w:tcPr>
            <w:tcW w:w="1429" w:type="dxa"/>
          </w:tcPr>
          <w:p>
            <w:pPr>
              <w:pStyle w:val="0"/>
            </w:pPr>
            <w:r>
              <w:rPr>
                <w:sz w:val="20"/>
              </w:rPr>
              <w:t xml:space="preserve">2012(100%), 2020(28,5%)</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БУ "Мегионская городская больница"</w:t>
            </w: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2</w:t>
            </w:r>
          </w:p>
        </w:tc>
        <w:tc>
          <w:tcPr>
            <w:tcW w:w="1429" w:type="dxa"/>
          </w:tcPr>
          <w:p>
            <w:pPr>
              <w:pStyle w:val="0"/>
            </w:pPr>
            <w:r>
              <w:rPr>
                <w:sz w:val="20"/>
              </w:rPr>
              <w:t xml:space="preserve">2014, 2019</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Компьютерный томограф</w:t>
            </w:r>
          </w:p>
        </w:tc>
        <w:tc>
          <w:tcPr>
            <w:tcW w:w="859" w:type="dxa"/>
          </w:tcPr>
          <w:p>
            <w:pPr>
              <w:pStyle w:val="0"/>
            </w:pPr>
            <w:r>
              <w:rPr>
                <w:sz w:val="20"/>
              </w:rPr>
              <w:t xml:space="preserve">1</w:t>
            </w:r>
          </w:p>
        </w:tc>
        <w:tc>
          <w:tcPr>
            <w:tcW w:w="1429" w:type="dxa"/>
          </w:tcPr>
          <w:p>
            <w:pPr>
              <w:pStyle w:val="0"/>
            </w:pPr>
            <w:r>
              <w:rPr>
                <w:sz w:val="20"/>
              </w:rPr>
              <w:t xml:space="preserve">2014(100%)</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БУ "Урайская городская клиническая больница"</w:t>
            </w: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5</w:t>
            </w:r>
          </w:p>
        </w:tc>
        <w:tc>
          <w:tcPr>
            <w:tcW w:w="1429" w:type="dxa"/>
          </w:tcPr>
          <w:p>
            <w:pPr>
              <w:pStyle w:val="0"/>
            </w:pPr>
            <w:r>
              <w:rPr>
                <w:sz w:val="20"/>
              </w:rPr>
              <w:t xml:space="preserve">2006 - 1, 2007 - 1, 2008 - 1, 2013 - 1, 2019 - 1</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Магнитно-резонансный томограф</w:t>
            </w:r>
          </w:p>
        </w:tc>
        <w:tc>
          <w:tcPr>
            <w:tcW w:w="859" w:type="dxa"/>
          </w:tcPr>
          <w:p>
            <w:pPr>
              <w:pStyle w:val="0"/>
            </w:pPr>
            <w:r>
              <w:rPr>
                <w:sz w:val="20"/>
              </w:rPr>
              <w:t xml:space="preserve">1</w:t>
            </w:r>
          </w:p>
        </w:tc>
        <w:tc>
          <w:tcPr>
            <w:tcW w:w="1429" w:type="dxa"/>
          </w:tcPr>
          <w:p>
            <w:pPr>
              <w:pStyle w:val="0"/>
            </w:pPr>
            <w:r>
              <w:rPr>
                <w:sz w:val="20"/>
              </w:rPr>
              <w:t xml:space="preserve">2020(28,5%)</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Компьютерный томограф</w:t>
            </w:r>
          </w:p>
        </w:tc>
        <w:tc>
          <w:tcPr>
            <w:tcW w:w="859" w:type="dxa"/>
          </w:tcPr>
          <w:p>
            <w:pPr>
              <w:pStyle w:val="0"/>
            </w:pPr>
            <w:r>
              <w:rPr>
                <w:sz w:val="20"/>
              </w:rPr>
              <w:t xml:space="preserve">1</w:t>
            </w:r>
          </w:p>
        </w:tc>
        <w:tc>
          <w:tcPr>
            <w:tcW w:w="1429" w:type="dxa"/>
          </w:tcPr>
          <w:p>
            <w:pPr>
              <w:pStyle w:val="0"/>
            </w:pPr>
            <w:r>
              <w:rPr>
                <w:sz w:val="20"/>
              </w:rPr>
              <w:t xml:space="preserve">2013(100%)</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БУ "Сургутская окружная клиническая больница"</w:t>
            </w:r>
          </w:p>
        </w:tc>
        <w:tc>
          <w:tcPr>
            <w:tcW w:w="2599" w:type="dxa"/>
          </w:tcPr>
          <w:p>
            <w:pPr>
              <w:pStyle w:val="0"/>
            </w:pPr>
            <w:r>
              <w:rPr>
                <w:sz w:val="20"/>
              </w:rPr>
              <w:t xml:space="preserve">Компьютерный томограф</w:t>
            </w:r>
          </w:p>
        </w:tc>
        <w:tc>
          <w:tcPr>
            <w:tcW w:w="859" w:type="dxa"/>
          </w:tcPr>
          <w:p>
            <w:pPr>
              <w:pStyle w:val="0"/>
            </w:pPr>
            <w:r>
              <w:rPr>
                <w:sz w:val="20"/>
              </w:rPr>
              <w:t xml:space="preserve">2</w:t>
            </w:r>
          </w:p>
        </w:tc>
        <w:tc>
          <w:tcPr>
            <w:tcW w:w="1429" w:type="dxa"/>
          </w:tcPr>
          <w:p>
            <w:pPr>
              <w:pStyle w:val="0"/>
            </w:pPr>
            <w:r>
              <w:rPr>
                <w:sz w:val="20"/>
              </w:rPr>
              <w:t xml:space="preserve">2011(100%), 2018(57%)</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19</w:t>
            </w:r>
          </w:p>
        </w:tc>
        <w:tc>
          <w:tcPr>
            <w:tcW w:w="1429" w:type="dxa"/>
          </w:tcPr>
          <w:p>
            <w:pPr>
              <w:pStyle w:val="0"/>
            </w:pPr>
            <w:r>
              <w:rPr>
                <w:sz w:val="20"/>
              </w:rPr>
              <w:t xml:space="preserve">2012 - 4, 2013 - 3, 2014 - 2, 2016 - 1, 2018 - 4, 2019 - 2, 2020 - 3</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БУ "Белоярская районная больница"</w:t>
            </w: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5</w:t>
            </w:r>
          </w:p>
        </w:tc>
        <w:tc>
          <w:tcPr>
            <w:tcW w:w="1429" w:type="dxa"/>
          </w:tcPr>
          <w:p>
            <w:pPr>
              <w:pStyle w:val="0"/>
            </w:pPr>
            <w:r>
              <w:rPr>
                <w:sz w:val="20"/>
              </w:rPr>
              <w:t xml:space="preserve">2019 - 1, 2020 - 4</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Компьютерный томограф</w:t>
            </w:r>
          </w:p>
        </w:tc>
        <w:tc>
          <w:tcPr>
            <w:tcW w:w="859" w:type="dxa"/>
          </w:tcPr>
          <w:p>
            <w:pPr>
              <w:pStyle w:val="0"/>
            </w:pPr>
            <w:r>
              <w:rPr>
                <w:sz w:val="20"/>
              </w:rPr>
              <w:t xml:space="preserve">1</w:t>
            </w:r>
          </w:p>
        </w:tc>
        <w:tc>
          <w:tcPr>
            <w:tcW w:w="1429" w:type="dxa"/>
          </w:tcPr>
          <w:p>
            <w:pPr>
              <w:pStyle w:val="0"/>
            </w:pPr>
            <w:r>
              <w:rPr>
                <w:sz w:val="20"/>
              </w:rPr>
              <w:t xml:space="preserve">2011 (100%)</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БУ "Когалымская городская больница"</w:t>
            </w: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5</w:t>
            </w:r>
          </w:p>
        </w:tc>
        <w:tc>
          <w:tcPr>
            <w:tcW w:w="1429" w:type="dxa"/>
          </w:tcPr>
          <w:p>
            <w:pPr>
              <w:pStyle w:val="0"/>
            </w:pPr>
            <w:r>
              <w:rPr>
                <w:sz w:val="20"/>
              </w:rPr>
              <w:t xml:space="preserve">2009 - 1, 2015 - 4, 2019 - 1</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Компьютерный томограф</w:t>
            </w:r>
          </w:p>
        </w:tc>
        <w:tc>
          <w:tcPr>
            <w:tcW w:w="859" w:type="dxa"/>
          </w:tcPr>
          <w:p>
            <w:pPr>
              <w:pStyle w:val="0"/>
            </w:pPr>
            <w:r>
              <w:rPr>
                <w:sz w:val="20"/>
              </w:rPr>
              <w:t xml:space="preserve">1</w:t>
            </w:r>
          </w:p>
        </w:tc>
        <w:tc>
          <w:tcPr>
            <w:tcW w:w="1429" w:type="dxa"/>
          </w:tcPr>
          <w:p>
            <w:pPr>
              <w:pStyle w:val="0"/>
            </w:pPr>
            <w:r>
              <w:rPr>
                <w:sz w:val="20"/>
              </w:rPr>
              <w:t xml:space="preserve">2013(100%)</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БУ "Березовская районная больница"</w:t>
            </w: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1</w:t>
            </w:r>
          </w:p>
        </w:tc>
        <w:tc>
          <w:tcPr>
            <w:tcW w:w="1429" w:type="dxa"/>
          </w:tcPr>
          <w:p>
            <w:pPr>
              <w:pStyle w:val="0"/>
            </w:pPr>
            <w:r>
              <w:rPr>
                <w:sz w:val="20"/>
              </w:rPr>
              <w:t xml:space="preserve">2014</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Компьютерный томограф</w:t>
            </w:r>
          </w:p>
        </w:tc>
        <w:tc>
          <w:tcPr>
            <w:tcW w:w="859" w:type="dxa"/>
          </w:tcPr>
          <w:p>
            <w:pPr>
              <w:pStyle w:val="0"/>
            </w:pPr>
            <w:r>
              <w:rPr>
                <w:sz w:val="20"/>
              </w:rPr>
              <w:t xml:space="preserve">1</w:t>
            </w:r>
          </w:p>
        </w:tc>
        <w:tc>
          <w:tcPr>
            <w:tcW w:w="1429" w:type="dxa"/>
          </w:tcPr>
          <w:p>
            <w:pPr>
              <w:pStyle w:val="0"/>
            </w:pPr>
            <w:r>
              <w:rPr>
                <w:sz w:val="20"/>
              </w:rPr>
              <w:t xml:space="preserve">2016(100%)</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БУ "Кондинская районная больница"</w:t>
            </w:r>
          </w:p>
        </w:tc>
        <w:tc>
          <w:tcPr>
            <w:tcW w:w="2599" w:type="dxa"/>
          </w:tcPr>
          <w:p>
            <w:pPr>
              <w:pStyle w:val="0"/>
            </w:pPr>
            <w:r>
              <w:rPr>
                <w:sz w:val="20"/>
              </w:rPr>
              <w:t xml:space="preserve">Компьютерный томограф</w:t>
            </w:r>
          </w:p>
        </w:tc>
        <w:tc>
          <w:tcPr>
            <w:tcW w:w="859" w:type="dxa"/>
          </w:tcPr>
          <w:p>
            <w:pPr>
              <w:pStyle w:val="0"/>
            </w:pPr>
            <w:r>
              <w:rPr>
                <w:sz w:val="20"/>
              </w:rPr>
              <w:t xml:space="preserve">1</w:t>
            </w:r>
          </w:p>
        </w:tc>
        <w:tc>
          <w:tcPr>
            <w:tcW w:w="1429" w:type="dxa"/>
          </w:tcPr>
          <w:p>
            <w:pPr>
              <w:pStyle w:val="0"/>
            </w:pPr>
            <w:r>
              <w:rPr>
                <w:sz w:val="20"/>
              </w:rPr>
              <w:t xml:space="preserve">2012(100%)</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7</w:t>
            </w:r>
          </w:p>
        </w:tc>
        <w:tc>
          <w:tcPr>
            <w:tcW w:w="1429" w:type="dxa"/>
          </w:tcPr>
          <w:p>
            <w:pPr>
              <w:pStyle w:val="0"/>
            </w:pPr>
            <w:r>
              <w:rPr>
                <w:sz w:val="20"/>
              </w:rPr>
              <w:t xml:space="preserve">2006, 2007, 2012, 2013, 2014, 2015, 2019</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АУ "Советская районная больница"</w:t>
            </w:r>
          </w:p>
        </w:tc>
        <w:tc>
          <w:tcPr>
            <w:tcW w:w="2599" w:type="dxa"/>
          </w:tcPr>
          <w:p>
            <w:pPr>
              <w:pStyle w:val="0"/>
            </w:pPr>
            <w:r>
              <w:rPr>
                <w:sz w:val="20"/>
              </w:rPr>
              <w:t xml:space="preserve">Компьютерный томограф</w:t>
            </w:r>
          </w:p>
        </w:tc>
        <w:tc>
          <w:tcPr>
            <w:tcW w:w="859" w:type="dxa"/>
          </w:tcPr>
          <w:p>
            <w:pPr>
              <w:pStyle w:val="0"/>
            </w:pPr>
            <w:r>
              <w:rPr>
                <w:sz w:val="20"/>
              </w:rPr>
              <w:t xml:space="preserve">1</w:t>
            </w:r>
          </w:p>
        </w:tc>
        <w:tc>
          <w:tcPr>
            <w:tcW w:w="1429" w:type="dxa"/>
          </w:tcPr>
          <w:p>
            <w:pPr>
              <w:pStyle w:val="0"/>
            </w:pPr>
            <w:r>
              <w:rPr>
                <w:sz w:val="20"/>
              </w:rPr>
              <w:t xml:space="preserve">2013 (100%)</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5</w:t>
            </w:r>
          </w:p>
        </w:tc>
        <w:tc>
          <w:tcPr>
            <w:tcW w:w="1429" w:type="dxa"/>
          </w:tcPr>
          <w:p>
            <w:pPr>
              <w:pStyle w:val="0"/>
            </w:pPr>
            <w:r>
              <w:rPr>
                <w:sz w:val="20"/>
              </w:rPr>
              <w:t xml:space="preserve">2012 - 2, 2013 - 1, 2014 - 2, 2019 - 1</w:t>
            </w:r>
          </w:p>
        </w:tc>
        <w:tc>
          <w:tcPr>
            <w:tcW w:w="859" w:type="dxa"/>
          </w:tcPr>
          <w:p>
            <w:pPr>
              <w:pStyle w:val="0"/>
            </w:pPr>
            <w:r>
              <w:rPr>
                <w:sz w:val="20"/>
              </w:rPr>
            </w:r>
          </w:p>
        </w:tc>
        <w:tc>
          <w:tcPr>
            <w:tcW w:w="904" w:type="dxa"/>
          </w:tcPr>
          <w:p>
            <w:pPr>
              <w:pStyle w:val="0"/>
            </w:pPr>
            <w:r>
              <w:rPr>
                <w:sz w:val="20"/>
              </w:rPr>
            </w:r>
          </w:p>
        </w:tc>
      </w:tr>
      <w:tr>
        <w:tc>
          <w:tcPr>
            <w:tcW w:w="2299" w:type="dxa"/>
            <w:vMerge w:val="restart"/>
          </w:tcPr>
          <w:p>
            <w:pPr>
              <w:pStyle w:val="0"/>
            </w:pPr>
            <w:r>
              <w:rPr>
                <w:sz w:val="20"/>
              </w:rPr>
              <w:t xml:space="preserve">БУ "Октябрьская районная больница"</w:t>
            </w:r>
          </w:p>
        </w:tc>
        <w:tc>
          <w:tcPr>
            <w:tcW w:w="2599" w:type="dxa"/>
          </w:tcPr>
          <w:p>
            <w:pPr>
              <w:pStyle w:val="0"/>
            </w:pPr>
            <w:r>
              <w:rPr>
                <w:sz w:val="20"/>
              </w:rPr>
              <w:t xml:space="preserve">Аппарат ультразвуковой для исследования сердца и сосудов</w:t>
            </w:r>
          </w:p>
        </w:tc>
        <w:tc>
          <w:tcPr>
            <w:tcW w:w="859" w:type="dxa"/>
          </w:tcPr>
          <w:p>
            <w:pPr>
              <w:pStyle w:val="0"/>
            </w:pPr>
            <w:r>
              <w:rPr>
                <w:sz w:val="20"/>
              </w:rPr>
              <w:t xml:space="preserve">3</w:t>
            </w:r>
          </w:p>
        </w:tc>
        <w:tc>
          <w:tcPr>
            <w:tcW w:w="1429" w:type="dxa"/>
          </w:tcPr>
          <w:p>
            <w:pPr>
              <w:pStyle w:val="0"/>
            </w:pPr>
            <w:r>
              <w:rPr>
                <w:sz w:val="20"/>
              </w:rPr>
              <w:t xml:space="preserve">2009, 2013, 2014</w:t>
            </w:r>
          </w:p>
        </w:tc>
        <w:tc>
          <w:tcPr>
            <w:tcW w:w="859" w:type="dxa"/>
          </w:tcPr>
          <w:p>
            <w:pPr>
              <w:pStyle w:val="0"/>
            </w:pPr>
            <w:r>
              <w:rPr>
                <w:sz w:val="20"/>
              </w:rPr>
            </w:r>
          </w:p>
        </w:tc>
        <w:tc>
          <w:tcPr>
            <w:tcW w:w="904" w:type="dxa"/>
          </w:tcPr>
          <w:p>
            <w:pPr>
              <w:pStyle w:val="0"/>
            </w:pPr>
            <w:r>
              <w:rPr>
                <w:sz w:val="20"/>
              </w:rPr>
            </w:r>
          </w:p>
        </w:tc>
      </w:tr>
      <w:tr>
        <w:tc>
          <w:tcPr>
            <w:vMerge w:val="continue"/>
          </w:tcPr>
          <w:p/>
        </w:tc>
        <w:tc>
          <w:tcPr>
            <w:tcW w:w="2599" w:type="dxa"/>
          </w:tcPr>
          <w:p>
            <w:pPr>
              <w:pStyle w:val="0"/>
            </w:pPr>
            <w:r>
              <w:rPr>
                <w:sz w:val="20"/>
              </w:rPr>
              <w:t xml:space="preserve">Компьютерный томограф</w:t>
            </w:r>
          </w:p>
        </w:tc>
        <w:tc>
          <w:tcPr>
            <w:tcW w:w="859" w:type="dxa"/>
          </w:tcPr>
          <w:p>
            <w:pPr>
              <w:pStyle w:val="0"/>
            </w:pPr>
            <w:r>
              <w:rPr>
                <w:sz w:val="20"/>
              </w:rPr>
              <w:t xml:space="preserve">1</w:t>
            </w:r>
          </w:p>
        </w:tc>
        <w:tc>
          <w:tcPr>
            <w:tcW w:w="1429" w:type="dxa"/>
          </w:tcPr>
          <w:p>
            <w:pPr>
              <w:pStyle w:val="0"/>
            </w:pPr>
            <w:r>
              <w:rPr>
                <w:sz w:val="20"/>
              </w:rPr>
              <w:t xml:space="preserve">2014(100%)</w:t>
            </w:r>
          </w:p>
        </w:tc>
        <w:tc>
          <w:tcPr>
            <w:tcW w:w="859" w:type="dxa"/>
          </w:tcPr>
          <w:p>
            <w:pPr>
              <w:pStyle w:val="0"/>
            </w:pPr>
            <w:r>
              <w:rPr>
                <w:sz w:val="20"/>
              </w:rPr>
            </w:r>
          </w:p>
        </w:tc>
        <w:tc>
          <w:tcPr>
            <w:tcW w:w="904" w:type="dxa"/>
          </w:tcPr>
          <w:p>
            <w:pPr>
              <w:pStyle w:val="0"/>
            </w:pPr>
            <w:r>
              <w:rPr>
                <w:sz w:val="20"/>
              </w:rPr>
            </w:r>
          </w:p>
        </w:tc>
      </w:tr>
    </w:tbl>
    <w:p>
      <w:pPr>
        <w:pStyle w:val="0"/>
        <w:ind w:firstLine="540"/>
        <w:jc w:val="both"/>
      </w:pPr>
      <w:r>
        <w:rPr>
          <w:sz w:val="20"/>
        </w:rPr>
      </w:r>
    </w:p>
    <w:p>
      <w:pPr>
        <w:pStyle w:val="0"/>
        <w:ind w:firstLine="540"/>
        <w:jc w:val="both"/>
      </w:pPr>
      <w:r>
        <w:rPr>
          <w:sz w:val="20"/>
        </w:rPr>
        <w:t xml:space="preserve">Высокотехнологичное медицинское оборудование эксплуатируется в полном объеме:</w:t>
      </w:r>
    </w:p>
    <w:p>
      <w:pPr>
        <w:pStyle w:val="0"/>
        <w:spacing w:before="200" w:line-rule="auto"/>
        <w:ind w:firstLine="540"/>
        <w:jc w:val="both"/>
      </w:pPr>
      <w:r>
        <w:rPr>
          <w:sz w:val="20"/>
        </w:rPr>
        <w:t xml:space="preserve">1. Магнитно-резонансные томографы, общее количество аппаратов - 8 ед., из них 6 ед. старше 8 лет (71,5%).</w:t>
      </w:r>
    </w:p>
    <w:p>
      <w:pPr>
        <w:pStyle w:val="0"/>
        <w:spacing w:before="200" w:line-rule="auto"/>
        <w:ind w:firstLine="540"/>
        <w:jc w:val="both"/>
      </w:pPr>
      <w:r>
        <w:rPr>
          <w:sz w:val="20"/>
        </w:rPr>
        <w:t xml:space="preserve">2. Компьютерные томографы, общее количество аппаратов - 24 ед., из них 18 ед. старше 8 лет 75%).</w:t>
      </w:r>
    </w:p>
    <w:p>
      <w:pPr>
        <w:pStyle w:val="0"/>
        <w:spacing w:before="200" w:line-rule="auto"/>
        <w:ind w:firstLine="540"/>
        <w:jc w:val="both"/>
      </w:pPr>
      <w:r>
        <w:rPr>
          <w:sz w:val="20"/>
        </w:rPr>
        <w:t xml:space="preserve">3. Ангиографические комплексы, общее количество аппаратов - 13 ед., из них 4 ед. старше 8 лет (36%).</w:t>
      </w:r>
    </w:p>
    <w:p>
      <w:pPr>
        <w:pStyle w:val="0"/>
        <w:spacing w:before="200" w:line-rule="auto"/>
        <w:ind w:firstLine="540"/>
        <w:jc w:val="both"/>
      </w:pPr>
      <w:r>
        <w:rPr>
          <w:sz w:val="20"/>
        </w:rPr>
        <w:t xml:space="preserve">Средняя по автономному округу нагрузка на 1 аппарат составила, по данным за 2022 год, 2,8 исследований и операций в сутки на 1 ангиографический комплекс (в 2021 г. - 3,0). Наибольшая нагрузка в БУ "Окружной кардиологический диспансер "Центр диагностики и сердечно-сосудистой хирургии" - 5,3 исследований и операций в сутки.</w:t>
      </w:r>
    </w:p>
    <w:p>
      <w:pPr>
        <w:pStyle w:val="0"/>
        <w:ind w:firstLine="540"/>
        <w:jc w:val="both"/>
      </w:pPr>
      <w:r>
        <w:rPr>
          <w:sz w:val="20"/>
        </w:rPr>
      </w:r>
    </w:p>
    <w:p>
      <w:pPr>
        <w:pStyle w:val="0"/>
        <w:jc w:val="right"/>
      </w:pPr>
      <w:r>
        <w:rPr>
          <w:sz w:val="20"/>
        </w:rPr>
        <w:t xml:space="preserve">Таблица 47</w:t>
      </w:r>
    </w:p>
    <w:p>
      <w:pPr>
        <w:pStyle w:val="0"/>
        <w:jc w:val="right"/>
      </w:pPr>
      <w:r>
        <w:rPr>
          <w:sz w:val="20"/>
        </w:rPr>
      </w:r>
    </w:p>
    <w:p>
      <w:pPr>
        <w:pStyle w:val="0"/>
        <w:jc w:val="center"/>
      </w:pPr>
      <w:r>
        <w:rPr>
          <w:sz w:val="20"/>
        </w:rPr>
        <w:t xml:space="preserve">Сведения о региональных сосудистых центрах и первичных</w:t>
      </w:r>
    </w:p>
    <w:p>
      <w:pPr>
        <w:pStyle w:val="0"/>
        <w:jc w:val="center"/>
      </w:pPr>
      <w:r>
        <w:rPr>
          <w:sz w:val="20"/>
        </w:rPr>
        <w:t xml:space="preserve">сосудистых отделениях, участвующих</w:t>
      </w:r>
    </w:p>
    <w:p>
      <w:pPr>
        <w:pStyle w:val="0"/>
        <w:jc w:val="center"/>
      </w:pPr>
      <w:r>
        <w:rPr>
          <w:sz w:val="20"/>
        </w:rPr>
        <w:t xml:space="preserve">в переоснащении/дооснащении медицинским оборудованием</w:t>
      </w:r>
    </w:p>
    <w:p>
      <w:pPr>
        <w:pStyle w:val="0"/>
        <w:jc w:val="center"/>
      </w:pPr>
      <w:r>
        <w:rPr>
          <w:sz w:val="20"/>
        </w:rPr>
        <w:t xml:space="preserve">в период с 2019 по 2024 год по программе "Борьба</w:t>
      </w:r>
    </w:p>
    <w:p>
      <w:pPr>
        <w:pStyle w:val="0"/>
        <w:jc w:val="center"/>
      </w:pPr>
      <w:r>
        <w:rPr>
          <w:sz w:val="20"/>
        </w:rPr>
        <w:t xml:space="preserve">с сердечно-сосудистыми заболеваниями"</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299"/>
        <w:gridCol w:w="1504"/>
        <w:gridCol w:w="617"/>
        <w:gridCol w:w="617"/>
        <w:gridCol w:w="604"/>
        <w:gridCol w:w="604"/>
        <w:gridCol w:w="604"/>
        <w:gridCol w:w="604"/>
        <w:gridCol w:w="1864"/>
        <w:gridCol w:w="1864"/>
        <w:gridCol w:w="1864"/>
      </w:tblGrid>
      <w:tr>
        <w:tc>
          <w:tcPr>
            <w:tcW w:w="454" w:type="dxa"/>
            <w:vMerge w:val="restart"/>
          </w:tcPr>
          <w:p>
            <w:pPr>
              <w:pStyle w:val="0"/>
              <w:jc w:val="center"/>
            </w:pPr>
            <w:r>
              <w:rPr>
                <w:sz w:val="20"/>
              </w:rPr>
              <w:t xml:space="preserve">N п/п</w:t>
            </w:r>
          </w:p>
        </w:tc>
        <w:tc>
          <w:tcPr>
            <w:tcW w:w="2299" w:type="dxa"/>
            <w:vMerge w:val="restart"/>
          </w:tcPr>
          <w:p>
            <w:pPr>
              <w:pStyle w:val="0"/>
              <w:jc w:val="center"/>
            </w:pPr>
            <w:r>
              <w:rPr>
                <w:sz w:val="20"/>
              </w:rPr>
              <w:t xml:space="preserve">Полное наименование медицинской организации</w:t>
            </w:r>
          </w:p>
        </w:tc>
        <w:tc>
          <w:tcPr>
            <w:tcW w:w="1504" w:type="dxa"/>
            <w:vMerge w:val="restart"/>
          </w:tcPr>
          <w:p>
            <w:pPr>
              <w:pStyle w:val="0"/>
              <w:jc w:val="center"/>
            </w:pPr>
            <w:r>
              <w:rPr>
                <w:sz w:val="20"/>
              </w:rPr>
              <w:t xml:space="preserve">Тип медицинской организации (ПСО/РСЦ)</w:t>
            </w:r>
          </w:p>
        </w:tc>
        <w:tc>
          <w:tcPr>
            <w:gridSpan w:val="2"/>
            <w:tcW w:w="1234" w:type="dxa"/>
          </w:tcPr>
          <w:p>
            <w:pPr>
              <w:pStyle w:val="0"/>
              <w:jc w:val="center"/>
            </w:pPr>
            <w:r>
              <w:rPr>
                <w:sz w:val="20"/>
              </w:rPr>
              <w:t xml:space="preserve">Факт оснащения (да/нет)</w:t>
            </w:r>
          </w:p>
        </w:tc>
        <w:tc>
          <w:tcPr>
            <w:gridSpan w:val="4"/>
            <w:tcW w:w="2416" w:type="dxa"/>
          </w:tcPr>
          <w:p>
            <w:pPr>
              <w:pStyle w:val="0"/>
              <w:jc w:val="center"/>
            </w:pPr>
            <w:r>
              <w:rPr>
                <w:sz w:val="20"/>
              </w:rPr>
              <w:t xml:space="preserve">План по оснащению (да/нет)</w:t>
            </w:r>
          </w:p>
        </w:tc>
        <w:tc>
          <w:tcPr>
            <w:tcW w:w="1864" w:type="dxa"/>
            <w:vMerge w:val="restart"/>
          </w:tcPr>
          <w:p>
            <w:pPr>
              <w:pStyle w:val="0"/>
              <w:jc w:val="center"/>
            </w:pPr>
            <w:r>
              <w:rPr>
                <w:sz w:val="20"/>
              </w:rPr>
              <w:t xml:space="preserve">Принадлежность к районам Крайнего Севера и местностям, приравненным к ним &lt;1&gt; (да)</w:t>
            </w:r>
          </w:p>
        </w:tc>
        <w:tc>
          <w:tcPr>
            <w:tcW w:w="1864" w:type="dxa"/>
            <w:vMerge w:val="restart"/>
          </w:tcPr>
          <w:p>
            <w:pPr>
              <w:pStyle w:val="0"/>
              <w:jc w:val="center"/>
            </w:pPr>
            <w:r>
              <w:rPr>
                <w:sz w:val="20"/>
              </w:rPr>
              <w:t xml:space="preserve">Принадлежность к территориям Арктической зоны &lt;2&gt; (да)</w:t>
            </w:r>
          </w:p>
        </w:tc>
        <w:tc>
          <w:tcPr>
            <w:tcW w:w="1864" w:type="dxa"/>
            <w:vMerge w:val="restart"/>
          </w:tcPr>
          <w:p>
            <w:pPr>
              <w:pStyle w:val="0"/>
              <w:jc w:val="center"/>
            </w:pPr>
            <w:r>
              <w:rPr>
                <w:sz w:val="20"/>
              </w:rPr>
              <w:t xml:space="preserve">Принадлежность к приграничным территориям Дальнего Востока &lt;3&gt; (да)</w:t>
            </w:r>
          </w:p>
        </w:tc>
      </w:tr>
      <w:tr>
        <w:tc>
          <w:tcPr>
            <w:vMerge w:val="continue"/>
          </w:tcPr>
          <w:p/>
        </w:tc>
        <w:tc>
          <w:tcPr>
            <w:vMerge w:val="continue"/>
          </w:tcPr>
          <w:p/>
        </w:tc>
        <w:tc>
          <w:tcPr>
            <w:vMerge w:val="continue"/>
          </w:tcPr>
          <w:p/>
        </w:tc>
        <w:tc>
          <w:tcPr>
            <w:tcW w:w="617" w:type="dxa"/>
          </w:tcPr>
          <w:p>
            <w:pPr>
              <w:pStyle w:val="0"/>
              <w:jc w:val="center"/>
            </w:pPr>
            <w:r>
              <w:rPr>
                <w:sz w:val="20"/>
              </w:rPr>
              <w:t xml:space="preserve">2019</w:t>
            </w:r>
          </w:p>
        </w:tc>
        <w:tc>
          <w:tcPr>
            <w:tcW w:w="617" w:type="dxa"/>
          </w:tcPr>
          <w:p>
            <w:pPr>
              <w:pStyle w:val="0"/>
              <w:jc w:val="center"/>
            </w:pPr>
            <w:r>
              <w:rPr>
                <w:sz w:val="20"/>
              </w:rPr>
              <w:t xml:space="preserve">2020</w:t>
            </w:r>
          </w:p>
        </w:tc>
        <w:tc>
          <w:tcPr>
            <w:tcW w:w="604" w:type="dxa"/>
          </w:tcPr>
          <w:p>
            <w:pPr>
              <w:pStyle w:val="0"/>
              <w:jc w:val="center"/>
            </w:pPr>
            <w:r>
              <w:rPr>
                <w:sz w:val="20"/>
              </w:rPr>
              <w:t xml:space="preserve">2021</w:t>
            </w:r>
          </w:p>
        </w:tc>
        <w:tc>
          <w:tcPr>
            <w:tcW w:w="604" w:type="dxa"/>
          </w:tcPr>
          <w:p>
            <w:pPr>
              <w:pStyle w:val="0"/>
              <w:jc w:val="center"/>
            </w:pPr>
            <w:r>
              <w:rPr>
                <w:sz w:val="20"/>
              </w:rPr>
              <w:t xml:space="preserve">2022</w:t>
            </w:r>
          </w:p>
        </w:tc>
        <w:tc>
          <w:tcPr>
            <w:tcW w:w="604" w:type="dxa"/>
          </w:tcPr>
          <w:p>
            <w:pPr>
              <w:pStyle w:val="0"/>
              <w:jc w:val="center"/>
            </w:pPr>
            <w:r>
              <w:rPr>
                <w:sz w:val="20"/>
              </w:rPr>
              <w:t xml:space="preserve">2023</w:t>
            </w:r>
          </w:p>
        </w:tc>
        <w:tc>
          <w:tcPr>
            <w:tcW w:w="604" w:type="dxa"/>
          </w:tcPr>
          <w:p>
            <w:pPr>
              <w:pStyle w:val="0"/>
              <w:jc w:val="center"/>
            </w:pPr>
            <w:r>
              <w:rPr>
                <w:sz w:val="20"/>
              </w:rPr>
              <w:t xml:space="preserve">2024</w:t>
            </w:r>
          </w:p>
        </w:tc>
        <w:tc>
          <w:tcPr>
            <w:vMerge w:val="continue"/>
          </w:tcPr>
          <w:p/>
        </w:tc>
        <w:tc>
          <w:tcPr>
            <w:vMerge w:val="continue"/>
          </w:tcPr>
          <w:p/>
        </w:tc>
        <w:tc>
          <w:tcPr>
            <w:vMerge w:val="continue"/>
          </w:tcPr>
          <w:p/>
        </w:tc>
      </w:tr>
      <w:tr>
        <w:tc>
          <w:tcPr>
            <w:tcW w:w="454" w:type="dxa"/>
          </w:tcPr>
          <w:p>
            <w:pPr>
              <w:pStyle w:val="0"/>
              <w:jc w:val="center"/>
            </w:pPr>
            <w:r>
              <w:rPr>
                <w:sz w:val="20"/>
              </w:rPr>
              <w:t xml:space="preserve">1</w:t>
            </w:r>
          </w:p>
        </w:tc>
        <w:tc>
          <w:tcPr>
            <w:tcW w:w="2299" w:type="dxa"/>
          </w:tcPr>
          <w:p>
            <w:pPr>
              <w:pStyle w:val="0"/>
              <w:jc w:val="center"/>
            </w:pPr>
            <w:r>
              <w:rPr>
                <w:sz w:val="20"/>
              </w:rPr>
              <w:t xml:space="preserve">2</w:t>
            </w:r>
          </w:p>
        </w:tc>
        <w:tc>
          <w:tcPr>
            <w:tcW w:w="1504" w:type="dxa"/>
          </w:tcPr>
          <w:p>
            <w:pPr>
              <w:pStyle w:val="0"/>
              <w:jc w:val="center"/>
            </w:pPr>
            <w:r>
              <w:rPr>
                <w:sz w:val="20"/>
              </w:rPr>
              <w:t xml:space="preserve">3</w:t>
            </w:r>
          </w:p>
        </w:tc>
        <w:tc>
          <w:tcPr>
            <w:tcW w:w="617" w:type="dxa"/>
          </w:tcPr>
          <w:p>
            <w:pPr>
              <w:pStyle w:val="0"/>
              <w:jc w:val="center"/>
            </w:pPr>
            <w:r>
              <w:rPr>
                <w:sz w:val="20"/>
              </w:rPr>
              <w:t xml:space="preserve">4</w:t>
            </w:r>
          </w:p>
        </w:tc>
        <w:tc>
          <w:tcPr>
            <w:tcW w:w="617" w:type="dxa"/>
          </w:tcPr>
          <w:p>
            <w:pPr>
              <w:pStyle w:val="0"/>
              <w:jc w:val="center"/>
            </w:pPr>
            <w:r>
              <w:rPr>
                <w:sz w:val="20"/>
              </w:rPr>
              <w:t xml:space="preserve">5</w:t>
            </w:r>
          </w:p>
        </w:tc>
        <w:tc>
          <w:tcPr>
            <w:tcW w:w="604" w:type="dxa"/>
          </w:tcPr>
          <w:p>
            <w:pPr>
              <w:pStyle w:val="0"/>
              <w:jc w:val="center"/>
            </w:pPr>
            <w:r>
              <w:rPr>
                <w:sz w:val="20"/>
              </w:rPr>
              <w:t xml:space="preserve">6</w:t>
            </w:r>
          </w:p>
        </w:tc>
        <w:tc>
          <w:tcPr>
            <w:tcW w:w="604" w:type="dxa"/>
          </w:tcPr>
          <w:p>
            <w:pPr>
              <w:pStyle w:val="0"/>
              <w:jc w:val="center"/>
            </w:pPr>
            <w:r>
              <w:rPr>
                <w:sz w:val="20"/>
              </w:rPr>
              <w:t xml:space="preserve">7</w:t>
            </w:r>
          </w:p>
        </w:tc>
        <w:tc>
          <w:tcPr>
            <w:tcW w:w="604" w:type="dxa"/>
          </w:tcPr>
          <w:p>
            <w:pPr>
              <w:pStyle w:val="0"/>
              <w:jc w:val="center"/>
            </w:pPr>
            <w:r>
              <w:rPr>
                <w:sz w:val="20"/>
              </w:rPr>
              <w:t xml:space="preserve">8</w:t>
            </w:r>
          </w:p>
        </w:tc>
        <w:tc>
          <w:tcPr>
            <w:tcW w:w="604" w:type="dxa"/>
          </w:tcPr>
          <w:p>
            <w:pPr>
              <w:pStyle w:val="0"/>
              <w:jc w:val="center"/>
            </w:pPr>
            <w:r>
              <w:rPr>
                <w:sz w:val="20"/>
              </w:rPr>
              <w:t xml:space="preserve">9</w:t>
            </w:r>
          </w:p>
        </w:tc>
        <w:tc>
          <w:tcPr>
            <w:tcW w:w="1864" w:type="dxa"/>
          </w:tcPr>
          <w:p>
            <w:pPr>
              <w:pStyle w:val="0"/>
              <w:jc w:val="center"/>
            </w:pPr>
            <w:r>
              <w:rPr>
                <w:sz w:val="20"/>
              </w:rPr>
              <w:t xml:space="preserve">10</w:t>
            </w:r>
          </w:p>
        </w:tc>
        <w:tc>
          <w:tcPr>
            <w:tcW w:w="1864" w:type="dxa"/>
          </w:tcPr>
          <w:p>
            <w:pPr>
              <w:pStyle w:val="0"/>
              <w:jc w:val="center"/>
            </w:pPr>
            <w:r>
              <w:rPr>
                <w:sz w:val="20"/>
              </w:rPr>
              <w:t xml:space="preserve">11</w:t>
            </w:r>
          </w:p>
        </w:tc>
        <w:tc>
          <w:tcPr>
            <w:tcW w:w="1864" w:type="dxa"/>
          </w:tcPr>
          <w:p>
            <w:pPr>
              <w:pStyle w:val="0"/>
              <w:jc w:val="center"/>
            </w:pPr>
            <w:r>
              <w:rPr>
                <w:sz w:val="20"/>
              </w:rPr>
              <w:t xml:space="preserve">12</w:t>
            </w:r>
          </w:p>
        </w:tc>
      </w:tr>
      <w:tr>
        <w:tc>
          <w:tcPr>
            <w:tcW w:w="454" w:type="dxa"/>
          </w:tcPr>
          <w:p>
            <w:pPr>
              <w:pStyle w:val="0"/>
            </w:pPr>
            <w:r>
              <w:rPr>
                <w:sz w:val="20"/>
              </w:rPr>
              <w:t xml:space="preserve">1</w:t>
            </w:r>
          </w:p>
        </w:tc>
        <w:tc>
          <w:tcPr>
            <w:tcW w:w="2299" w:type="dxa"/>
          </w:tcPr>
          <w:p>
            <w:pPr>
              <w:pStyle w:val="0"/>
            </w:pPr>
            <w:r>
              <w:rPr>
                <w:sz w:val="20"/>
              </w:rPr>
              <w:t xml:space="preserve">БУ "Нижневартовская окружная клиническая больница"</w:t>
            </w:r>
          </w:p>
        </w:tc>
        <w:tc>
          <w:tcPr>
            <w:tcW w:w="1504" w:type="dxa"/>
          </w:tcPr>
          <w:p>
            <w:pPr>
              <w:pStyle w:val="0"/>
            </w:pPr>
            <w:r>
              <w:rPr>
                <w:sz w:val="20"/>
              </w:rPr>
              <w:t xml:space="preserve">РСЦ</w:t>
            </w:r>
          </w:p>
        </w:tc>
        <w:tc>
          <w:tcPr>
            <w:tcW w:w="617" w:type="dxa"/>
          </w:tcPr>
          <w:p>
            <w:pPr>
              <w:pStyle w:val="0"/>
            </w:pPr>
            <w:r>
              <w:rPr>
                <w:sz w:val="20"/>
              </w:rPr>
            </w:r>
          </w:p>
        </w:tc>
        <w:tc>
          <w:tcPr>
            <w:tcW w:w="617" w:type="dxa"/>
          </w:tcPr>
          <w:p>
            <w:pPr>
              <w:pStyle w:val="0"/>
            </w:pPr>
            <w:r>
              <w:rPr>
                <w:sz w:val="20"/>
              </w:rPr>
              <w:t xml:space="preserve">да</w:t>
            </w:r>
          </w:p>
        </w:tc>
        <w:tc>
          <w:tcPr>
            <w:tcW w:w="604" w:type="dxa"/>
          </w:tcPr>
          <w:p>
            <w:pPr>
              <w:pStyle w:val="0"/>
            </w:pPr>
            <w:r>
              <w:rPr>
                <w:sz w:val="20"/>
              </w:rPr>
            </w:r>
          </w:p>
        </w:tc>
        <w:tc>
          <w:tcPr>
            <w:tcW w:w="604" w:type="dxa"/>
          </w:tcPr>
          <w:p>
            <w:pPr>
              <w:pStyle w:val="0"/>
            </w:pPr>
            <w:r>
              <w:rPr>
                <w:sz w:val="20"/>
              </w:rPr>
              <w:t xml:space="preserve">да</w:t>
            </w:r>
          </w:p>
        </w:tc>
        <w:tc>
          <w:tcPr>
            <w:tcW w:w="604" w:type="dxa"/>
          </w:tcPr>
          <w:p>
            <w:pPr>
              <w:pStyle w:val="0"/>
            </w:pPr>
            <w:r>
              <w:rPr>
                <w:sz w:val="20"/>
              </w:rPr>
            </w:r>
          </w:p>
        </w:tc>
        <w:tc>
          <w:tcPr>
            <w:tcW w:w="604" w:type="dxa"/>
          </w:tcPr>
          <w:p>
            <w:pPr>
              <w:pStyle w:val="0"/>
            </w:pPr>
            <w:r>
              <w:rPr>
                <w:sz w:val="20"/>
              </w:rPr>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2</w:t>
            </w:r>
          </w:p>
        </w:tc>
        <w:tc>
          <w:tcPr>
            <w:tcW w:w="2299" w:type="dxa"/>
          </w:tcPr>
          <w:p>
            <w:pPr>
              <w:pStyle w:val="0"/>
            </w:pPr>
            <w:r>
              <w:rPr>
                <w:sz w:val="20"/>
              </w:rPr>
              <w:t xml:space="preserve">БУ "Няганская окружная больница"</w:t>
            </w:r>
          </w:p>
        </w:tc>
        <w:tc>
          <w:tcPr>
            <w:tcW w:w="1504" w:type="dxa"/>
          </w:tcPr>
          <w:p>
            <w:pPr>
              <w:pStyle w:val="0"/>
            </w:pPr>
            <w:r>
              <w:rPr>
                <w:sz w:val="20"/>
              </w:rPr>
              <w:t xml:space="preserve">РСЦ</w:t>
            </w:r>
          </w:p>
        </w:tc>
        <w:tc>
          <w:tcPr>
            <w:tcW w:w="617" w:type="dxa"/>
          </w:tcPr>
          <w:p>
            <w:pPr>
              <w:pStyle w:val="0"/>
            </w:pPr>
            <w:r>
              <w:rPr>
                <w:sz w:val="20"/>
              </w:rPr>
            </w:r>
          </w:p>
        </w:tc>
        <w:tc>
          <w:tcPr>
            <w:tcW w:w="617" w:type="dxa"/>
          </w:tcPr>
          <w:p>
            <w:pPr>
              <w:pStyle w:val="0"/>
            </w:pPr>
            <w:r>
              <w:rPr>
                <w:sz w:val="20"/>
              </w:rPr>
              <w:t xml:space="preserve">да</w:t>
            </w:r>
          </w:p>
        </w:tc>
        <w:tc>
          <w:tcPr>
            <w:tcW w:w="604" w:type="dxa"/>
          </w:tcPr>
          <w:p>
            <w:pPr>
              <w:pStyle w:val="0"/>
            </w:pPr>
            <w:r>
              <w:rPr>
                <w:sz w:val="20"/>
              </w:rPr>
              <w:t xml:space="preserve">да</w:t>
            </w:r>
          </w:p>
        </w:tc>
        <w:tc>
          <w:tcPr>
            <w:tcW w:w="604" w:type="dxa"/>
          </w:tcPr>
          <w:p>
            <w:pPr>
              <w:pStyle w:val="0"/>
            </w:pPr>
            <w:r>
              <w:rPr>
                <w:sz w:val="20"/>
              </w:rPr>
              <w:t xml:space="preserve">да</w:t>
            </w:r>
          </w:p>
        </w:tc>
        <w:tc>
          <w:tcPr>
            <w:tcW w:w="604" w:type="dxa"/>
          </w:tcPr>
          <w:p>
            <w:pPr>
              <w:pStyle w:val="0"/>
            </w:pPr>
            <w:r>
              <w:rPr>
                <w:sz w:val="20"/>
              </w:rPr>
            </w:r>
          </w:p>
        </w:tc>
        <w:tc>
          <w:tcPr>
            <w:tcW w:w="604" w:type="dxa"/>
          </w:tcPr>
          <w:p>
            <w:pPr>
              <w:pStyle w:val="0"/>
            </w:pPr>
            <w:r>
              <w:rPr>
                <w:sz w:val="20"/>
              </w:rPr>
              <w:t xml:space="preserve">да</w:t>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3</w:t>
            </w:r>
          </w:p>
        </w:tc>
        <w:tc>
          <w:tcPr>
            <w:tcW w:w="2299" w:type="dxa"/>
          </w:tcPr>
          <w:p>
            <w:pPr>
              <w:pStyle w:val="0"/>
            </w:pPr>
            <w:r>
              <w:rPr>
                <w:sz w:val="20"/>
              </w:rPr>
              <w:t xml:space="preserve">БУ "Окружной кардиологический диспансер "Центр диагностики и сердечно-сосудистой хирургии"</w:t>
            </w:r>
          </w:p>
        </w:tc>
        <w:tc>
          <w:tcPr>
            <w:tcW w:w="1504" w:type="dxa"/>
          </w:tcPr>
          <w:p>
            <w:pPr>
              <w:pStyle w:val="0"/>
            </w:pPr>
            <w:r>
              <w:rPr>
                <w:sz w:val="20"/>
              </w:rPr>
              <w:t xml:space="preserve">РСЦ</w:t>
            </w:r>
          </w:p>
        </w:tc>
        <w:tc>
          <w:tcPr>
            <w:tcW w:w="617" w:type="dxa"/>
          </w:tcPr>
          <w:p>
            <w:pPr>
              <w:pStyle w:val="0"/>
            </w:pPr>
            <w:r>
              <w:rPr>
                <w:sz w:val="20"/>
              </w:rPr>
            </w:r>
          </w:p>
        </w:tc>
        <w:tc>
          <w:tcPr>
            <w:tcW w:w="617" w:type="dxa"/>
          </w:tcPr>
          <w:p>
            <w:pPr>
              <w:pStyle w:val="0"/>
            </w:pPr>
            <w:r>
              <w:rPr>
                <w:sz w:val="20"/>
              </w:rPr>
              <w:t xml:space="preserve">да</w:t>
            </w:r>
          </w:p>
        </w:tc>
        <w:tc>
          <w:tcPr>
            <w:tcW w:w="604" w:type="dxa"/>
          </w:tcPr>
          <w:p>
            <w:pPr>
              <w:pStyle w:val="0"/>
            </w:pPr>
            <w:r>
              <w:rPr>
                <w:sz w:val="20"/>
              </w:rPr>
              <w:t xml:space="preserve">да</w:t>
            </w:r>
          </w:p>
        </w:tc>
        <w:tc>
          <w:tcPr>
            <w:tcW w:w="604" w:type="dxa"/>
          </w:tcPr>
          <w:p>
            <w:pPr>
              <w:pStyle w:val="0"/>
            </w:pPr>
            <w:r>
              <w:rPr>
                <w:sz w:val="20"/>
              </w:rPr>
              <w:t xml:space="preserve">да</w:t>
            </w:r>
          </w:p>
        </w:tc>
        <w:tc>
          <w:tcPr>
            <w:tcW w:w="604" w:type="dxa"/>
          </w:tcPr>
          <w:p>
            <w:pPr>
              <w:pStyle w:val="0"/>
            </w:pPr>
            <w:r>
              <w:rPr>
                <w:sz w:val="20"/>
              </w:rPr>
              <w:t xml:space="preserve">да</w:t>
            </w:r>
          </w:p>
        </w:tc>
        <w:tc>
          <w:tcPr>
            <w:tcW w:w="604" w:type="dxa"/>
          </w:tcPr>
          <w:p>
            <w:pPr>
              <w:pStyle w:val="0"/>
            </w:pPr>
            <w:r>
              <w:rPr>
                <w:sz w:val="20"/>
              </w:rPr>
              <w:t xml:space="preserve">да</w:t>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4</w:t>
            </w:r>
          </w:p>
        </w:tc>
        <w:tc>
          <w:tcPr>
            <w:tcW w:w="2299" w:type="dxa"/>
          </w:tcPr>
          <w:p>
            <w:pPr>
              <w:pStyle w:val="0"/>
            </w:pPr>
            <w:r>
              <w:rPr>
                <w:sz w:val="20"/>
              </w:rPr>
              <w:t xml:space="preserve">БУ "Сургутская клиническая травматологическая больница"</w:t>
            </w:r>
          </w:p>
        </w:tc>
        <w:tc>
          <w:tcPr>
            <w:tcW w:w="1504" w:type="dxa"/>
          </w:tcPr>
          <w:p>
            <w:pPr>
              <w:pStyle w:val="0"/>
            </w:pPr>
            <w:r>
              <w:rPr>
                <w:sz w:val="20"/>
              </w:rPr>
              <w:t xml:space="preserve">РСЦ</w:t>
            </w:r>
          </w:p>
        </w:tc>
        <w:tc>
          <w:tcPr>
            <w:tcW w:w="617" w:type="dxa"/>
          </w:tcPr>
          <w:p>
            <w:pPr>
              <w:pStyle w:val="0"/>
            </w:pPr>
            <w:r>
              <w:rPr>
                <w:sz w:val="20"/>
              </w:rPr>
            </w:r>
          </w:p>
        </w:tc>
        <w:tc>
          <w:tcPr>
            <w:tcW w:w="617"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t xml:space="preserve">да</w:t>
            </w:r>
          </w:p>
        </w:tc>
        <w:tc>
          <w:tcPr>
            <w:tcW w:w="604" w:type="dxa"/>
          </w:tcPr>
          <w:p>
            <w:pPr>
              <w:pStyle w:val="0"/>
            </w:pPr>
            <w:r>
              <w:rPr>
                <w:sz w:val="20"/>
              </w:rPr>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5</w:t>
            </w:r>
          </w:p>
        </w:tc>
        <w:tc>
          <w:tcPr>
            <w:tcW w:w="2299" w:type="dxa"/>
          </w:tcPr>
          <w:p>
            <w:pPr>
              <w:pStyle w:val="0"/>
            </w:pPr>
            <w:r>
              <w:rPr>
                <w:sz w:val="20"/>
              </w:rPr>
              <w:t xml:space="preserve">БУ "Окружная клиническая больница"</w:t>
            </w:r>
          </w:p>
        </w:tc>
        <w:tc>
          <w:tcPr>
            <w:tcW w:w="1504" w:type="dxa"/>
          </w:tcPr>
          <w:p>
            <w:pPr>
              <w:pStyle w:val="0"/>
            </w:pPr>
            <w:r>
              <w:rPr>
                <w:sz w:val="20"/>
              </w:rPr>
              <w:t xml:space="preserve">РСЦ</w:t>
            </w:r>
          </w:p>
        </w:tc>
        <w:tc>
          <w:tcPr>
            <w:tcW w:w="617" w:type="dxa"/>
          </w:tcPr>
          <w:p>
            <w:pPr>
              <w:pStyle w:val="0"/>
            </w:pPr>
            <w:r>
              <w:rPr>
                <w:sz w:val="20"/>
              </w:rPr>
            </w:r>
          </w:p>
        </w:tc>
        <w:tc>
          <w:tcPr>
            <w:tcW w:w="617" w:type="dxa"/>
          </w:tcPr>
          <w:p>
            <w:pPr>
              <w:pStyle w:val="0"/>
            </w:pPr>
            <w:r>
              <w:rPr>
                <w:sz w:val="20"/>
              </w:rPr>
            </w:r>
          </w:p>
        </w:tc>
        <w:tc>
          <w:tcPr>
            <w:tcW w:w="604" w:type="dxa"/>
          </w:tcPr>
          <w:p>
            <w:pPr>
              <w:pStyle w:val="0"/>
            </w:pPr>
            <w:r>
              <w:rPr>
                <w:sz w:val="20"/>
              </w:rPr>
              <w:t xml:space="preserve">да</w:t>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t xml:space="preserve">да</w:t>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6</w:t>
            </w:r>
          </w:p>
        </w:tc>
        <w:tc>
          <w:tcPr>
            <w:tcW w:w="2299" w:type="dxa"/>
          </w:tcPr>
          <w:p>
            <w:pPr>
              <w:pStyle w:val="0"/>
            </w:pPr>
            <w:r>
              <w:rPr>
                <w:sz w:val="20"/>
              </w:rPr>
              <w:t xml:space="preserve">БУ "Лангепасская городская больница"</w:t>
            </w:r>
          </w:p>
        </w:tc>
        <w:tc>
          <w:tcPr>
            <w:tcW w:w="1504" w:type="dxa"/>
          </w:tcPr>
          <w:p>
            <w:pPr>
              <w:pStyle w:val="0"/>
            </w:pPr>
            <w:r>
              <w:rPr>
                <w:sz w:val="20"/>
              </w:rPr>
              <w:t xml:space="preserve">ПСО</w:t>
            </w:r>
          </w:p>
        </w:tc>
        <w:tc>
          <w:tcPr>
            <w:tcW w:w="617" w:type="dxa"/>
          </w:tcPr>
          <w:p>
            <w:pPr>
              <w:pStyle w:val="0"/>
            </w:pPr>
            <w:r>
              <w:rPr>
                <w:sz w:val="20"/>
              </w:rPr>
              <w:t xml:space="preserve">да</w:t>
            </w:r>
          </w:p>
        </w:tc>
        <w:tc>
          <w:tcPr>
            <w:tcW w:w="617"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7</w:t>
            </w:r>
          </w:p>
        </w:tc>
        <w:tc>
          <w:tcPr>
            <w:tcW w:w="2299" w:type="dxa"/>
          </w:tcPr>
          <w:p>
            <w:pPr>
              <w:pStyle w:val="0"/>
            </w:pPr>
            <w:r>
              <w:rPr>
                <w:sz w:val="20"/>
              </w:rPr>
              <w:t xml:space="preserve">БУ "Нижневартовская окружная клиническая больница"</w:t>
            </w:r>
          </w:p>
        </w:tc>
        <w:tc>
          <w:tcPr>
            <w:tcW w:w="1504" w:type="dxa"/>
          </w:tcPr>
          <w:p>
            <w:pPr>
              <w:pStyle w:val="0"/>
            </w:pPr>
            <w:r>
              <w:rPr>
                <w:sz w:val="20"/>
              </w:rPr>
              <w:t xml:space="preserve">ПСО</w:t>
            </w:r>
          </w:p>
        </w:tc>
        <w:tc>
          <w:tcPr>
            <w:tcW w:w="617" w:type="dxa"/>
          </w:tcPr>
          <w:p>
            <w:pPr>
              <w:pStyle w:val="0"/>
            </w:pPr>
            <w:r>
              <w:rPr>
                <w:sz w:val="20"/>
              </w:rPr>
            </w:r>
          </w:p>
        </w:tc>
        <w:tc>
          <w:tcPr>
            <w:tcW w:w="617"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8</w:t>
            </w:r>
          </w:p>
        </w:tc>
        <w:tc>
          <w:tcPr>
            <w:tcW w:w="2299" w:type="dxa"/>
          </w:tcPr>
          <w:p>
            <w:pPr>
              <w:pStyle w:val="0"/>
            </w:pPr>
            <w:r>
              <w:rPr>
                <w:sz w:val="20"/>
              </w:rPr>
              <w:t xml:space="preserve">БУ "Мегионская городская больница"</w:t>
            </w:r>
          </w:p>
        </w:tc>
        <w:tc>
          <w:tcPr>
            <w:tcW w:w="1504" w:type="dxa"/>
          </w:tcPr>
          <w:p>
            <w:pPr>
              <w:pStyle w:val="0"/>
            </w:pPr>
            <w:r>
              <w:rPr>
                <w:sz w:val="20"/>
              </w:rPr>
              <w:t xml:space="preserve">ПСО</w:t>
            </w:r>
          </w:p>
        </w:tc>
        <w:tc>
          <w:tcPr>
            <w:tcW w:w="617" w:type="dxa"/>
          </w:tcPr>
          <w:p>
            <w:pPr>
              <w:pStyle w:val="0"/>
            </w:pPr>
            <w:r>
              <w:rPr>
                <w:sz w:val="20"/>
              </w:rPr>
              <w:t xml:space="preserve">да</w:t>
            </w:r>
          </w:p>
        </w:tc>
        <w:tc>
          <w:tcPr>
            <w:tcW w:w="617"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9</w:t>
            </w:r>
          </w:p>
        </w:tc>
        <w:tc>
          <w:tcPr>
            <w:tcW w:w="2299" w:type="dxa"/>
          </w:tcPr>
          <w:p>
            <w:pPr>
              <w:pStyle w:val="0"/>
            </w:pPr>
            <w:r>
              <w:rPr>
                <w:sz w:val="20"/>
              </w:rPr>
              <w:t xml:space="preserve">БУ "Югорская городская больница"</w:t>
            </w:r>
          </w:p>
        </w:tc>
        <w:tc>
          <w:tcPr>
            <w:tcW w:w="1504" w:type="dxa"/>
          </w:tcPr>
          <w:p>
            <w:pPr>
              <w:pStyle w:val="0"/>
            </w:pPr>
            <w:r>
              <w:rPr>
                <w:sz w:val="20"/>
              </w:rPr>
              <w:t xml:space="preserve">ПСО</w:t>
            </w:r>
          </w:p>
        </w:tc>
        <w:tc>
          <w:tcPr>
            <w:tcW w:w="617" w:type="dxa"/>
          </w:tcPr>
          <w:p>
            <w:pPr>
              <w:pStyle w:val="0"/>
            </w:pPr>
            <w:r>
              <w:rPr>
                <w:sz w:val="20"/>
              </w:rPr>
              <w:t xml:space="preserve">да</w:t>
            </w:r>
          </w:p>
        </w:tc>
        <w:tc>
          <w:tcPr>
            <w:tcW w:w="617"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10</w:t>
            </w:r>
          </w:p>
        </w:tc>
        <w:tc>
          <w:tcPr>
            <w:tcW w:w="2299" w:type="dxa"/>
          </w:tcPr>
          <w:p>
            <w:pPr>
              <w:pStyle w:val="0"/>
            </w:pPr>
            <w:r>
              <w:rPr>
                <w:sz w:val="20"/>
              </w:rPr>
              <w:t xml:space="preserve">БУ "Урайская городская клиническая больница"</w:t>
            </w:r>
          </w:p>
        </w:tc>
        <w:tc>
          <w:tcPr>
            <w:tcW w:w="1504" w:type="dxa"/>
          </w:tcPr>
          <w:p>
            <w:pPr>
              <w:pStyle w:val="0"/>
            </w:pPr>
            <w:r>
              <w:rPr>
                <w:sz w:val="20"/>
              </w:rPr>
              <w:t xml:space="preserve">ПСО</w:t>
            </w:r>
          </w:p>
        </w:tc>
        <w:tc>
          <w:tcPr>
            <w:tcW w:w="617" w:type="dxa"/>
          </w:tcPr>
          <w:p>
            <w:pPr>
              <w:pStyle w:val="0"/>
            </w:pPr>
            <w:r>
              <w:rPr>
                <w:sz w:val="20"/>
              </w:rPr>
              <w:t xml:space="preserve">да</w:t>
            </w:r>
          </w:p>
        </w:tc>
        <w:tc>
          <w:tcPr>
            <w:tcW w:w="617"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11</w:t>
            </w:r>
          </w:p>
        </w:tc>
        <w:tc>
          <w:tcPr>
            <w:tcW w:w="2299" w:type="dxa"/>
          </w:tcPr>
          <w:p>
            <w:pPr>
              <w:pStyle w:val="0"/>
            </w:pPr>
            <w:r>
              <w:rPr>
                <w:sz w:val="20"/>
              </w:rPr>
              <w:t xml:space="preserve">БУ "Белоярская районная больница"</w:t>
            </w:r>
          </w:p>
        </w:tc>
        <w:tc>
          <w:tcPr>
            <w:tcW w:w="1504" w:type="dxa"/>
          </w:tcPr>
          <w:p>
            <w:pPr>
              <w:pStyle w:val="0"/>
            </w:pPr>
            <w:r>
              <w:rPr>
                <w:sz w:val="20"/>
              </w:rPr>
              <w:t xml:space="preserve">ПСО</w:t>
            </w:r>
          </w:p>
        </w:tc>
        <w:tc>
          <w:tcPr>
            <w:tcW w:w="617" w:type="dxa"/>
          </w:tcPr>
          <w:p>
            <w:pPr>
              <w:pStyle w:val="0"/>
            </w:pPr>
            <w:r>
              <w:rPr>
                <w:sz w:val="20"/>
              </w:rPr>
              <w:t xml:space="preserve">да</w:t>
            </w:r>
          </w:p>
        </w:tc>
        <w:tc>
          <w:tcPr>
            <w:tcW w:w="617"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12</w:t>
            </w:r>
          </w:p>
        </w:tc>
        <w:tc>
          <w:tcPr>
            <w:tcW w:w="2299" w:type="dxa"/>
          </w:tcPr>
          <w:p>
            <w:pPr>
              <w:pStyle w:val="0"/>
            </w:pPr>
            <w:r>
              <w:rPr>
                <w:sz w:val="20"/>
              </w:rPr>
              <w:t xml:space="preserve">БУ "Когалымская городская больница"</w:t>
            </w:r>
          </w:p>
        </w:tc>
        <w:tc>
          <w:tcPr>
            <w:tcW w:w="1504" w:type="dxa"/>
          </w:tcPr>
          <w:p>
            <w:pPr>
              <w:pStyle w:val="0"/>
            </w:pPr>
            <w:r>
              <w:rPr>
                <w:sz w:val="20"/>
              </w:rPr>
              <w:t xml:space="preserve">ПСО</w:t>
            </w:r>
          </w:p>
        </w:tc>
        <w:tc>
          <w:tcPr>
            <w:tcW w:w="617" w:type="dxa"/>
          </w:tcPr>
          <w:p>
            <w:pPr>
              <w:pStyle w:val="0"/>
            </w:pPr>
            <w:r>
              <w:rPr>
                <w:sz w:val="20"/>
              </w:rPr>
              <w:t xml:space="preserve">да</w:t>
            </w:r>
          </w:p>
        </w:tc>
        <w:tc>
          <w:tcPr>
            <w:tcW w:w="617"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13</w:t>
            </w:r>
          </w:p>
        </w:tc>
        <w:tc>
          <w:tcPr>
            <w:tcW w:w="2299" w:type="dxa"/>
          </w:tcPr>
          <w:p>
            <w:pPr>
              <w:pStyle w:val="0"/>
            </w:pPr>
            <w:r>
              <w:rPr>
                <w:sz w:val="20"/>
              </w:rPr>
              <w:t xml:space="preserve">БУ "Кондинская районная больница"</w:t>
            </w:r>
          </w:p>
        </w:tc>
        <w:tc>
          <w:tcPr>
            <w:tcW w:w="1504" w:type="dxa"/>
          </w:tcPr>
          <w:p>
            <w:pPr>
              <w:pStyle w:val="0"/>
            </w:pPr>
            <w:r>
              <w:rPr>
                <w:sz w:val="20"/>
              </w:rPr>
              <w:t xml:space="preserve">ПСО</w:t>
            </w:r>
          </w:p>
        </w:tc>
        <w:tc>
          <w:tcPr>
            <w:tcW w:w="617" w:type="dxa"/>
          </w:tcPr>
          <w:p>
            <w:pPr>
              <w:pStyle w:val="0"/>
            </w:pPr>
            <w:r>
              <w:rPr>
                <w:sz w:val="20"/>
              </w:rPr>
              <w:t xml:space="preserve">да</w:t>
            </w:r>
          </w:p>
        </w:tc>
        <w:tc>
          <w:tcPr>
            <w:tcW w:w="617"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14</w:t>
            </w:r>
          </w:p>
        </w:tc>
        <w:tc>
          <w:tcPr>
            <w:tcW w:w="2299" w:type="dxa"/>
          </w:tcPr>
          <w:p>
            <w:pPr>
              <w:pStyle w:val="0"/>
            </w:pPr>
            <w:r>
              <w:rPr>
                <w:sz w:val="20"/>
              </w:rPr>
              <w:t xml:space="preserve">АУ "Советская районная больница"</w:t>
            </w:r>
          </w:p>
        </w:tc>
        <w:tc>
          <w:tcPr>
            <w:tcW w:w="1504" w:type="dxa"/>
          </w:tcPr>
          <w:p>
            <w:pPr>
              <w:pStyle w:val="0"/>
            </w:pPr>
            <w:r>
              <w:rPr>
                <w:sz w:val="20"/>
              </w:rPr>
              <w:t xml:space="preserve">ПСО</w:t>
            </w:r>
          </w:p>
        </w:tc>
        <w:tc>
          <w:tcPr>
            <w:tcW w:w="617" w:type="dxa"/>
          </w:tcPr>
          <w:p>
            <w:pPr>
              <w:pStyle w:val="0"/>
            </w:pPr>
            <w:r>
              <w:rPr>
                <w:sz w:val="20"/>
              </w:rPr>
              <w:t xml:space="preserve">да</w:t>
            </w:r>
          </w:p>
        </w:tc>
        <w:tc>
          <w:tcPr>
            <w:tcW w:w="617"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15</w:t>
            </w:r>
          </w:p>
        </w:tc>
        <w:tc>
          <w:tcPr>
            <w:tcW w:w="2299" w:type="dxa"/>
          </w:tcPr>
          <w:p>
            <w:pPr>
              <w:pStyle w:val="0"/>
            </w:pPr>
            <w:r>
              <w:rPr>
                <w:sz w:val="20"/>
              </w:rPr>
              <w:t xml:space="preserve">БУ "Нефтеюганская окружная клиническая больница им. В.И. Яцкив"</w:t>
            </w:r>
          </w:p>
        </w:tc>
        <w:tc>
          <w:tcPr>
            <w:tcW w:w="1504" w:type="dxa"/>
          </w:tcPr>
          <w:p>
            <w:pPr>
              <w:pStyle w:val="0"/>
            </w:pPr>
            <w:r>
              <w:rPr>
                <w:sz w:val="20"/>
              </w:rPr>
              <w:t xml:space="preserve">ПСО</w:t>
            </w:r>
          </w:p>
        </w:tc>
        <w:tc>
          <w:tcPr>
            <w:tcW w:w="617" w:type="dxa"/>
          </w:tcPr>
          <w:p>
            <w:pPr>
              <w:pStyle w:val="0"/>
            </w:pPr>
            <w:r>
              <w:rPr>
                <w:sz w:val="20"/>
              </w:rPr>
              <w:t xml:space="preserve">да</w:t>
            </w:r>
          </w:p>
        </w:tc>
        <w:tc>
          <w:tcPr>
            <w:tcW w:w="617"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16</w:t>
            </w:r>
          </w:p>
        </w:tc>
        <w:tc>
          <w:tcPr>
            <w:tcW w:w="2299" w:type="dxa"/>
          </w:tcPr>
          <w:p>
            <w:pPr>
              <w:pStyle w:val="0"/>
            </w:pPr>
            <w:r>
              <w:rPr>
                <w:sz w:val="20"/>
              </w:rPr>
              <w:t xml:space="preserve">БУ "Лангепасская городская больница"</w:t>
            </w:r>
          </w:p>
        </w:tc>
        <w:tc>
          <w:tcPr>
            <w:tcW w:w="1504" w:type="dxa"/>
          </w:tcPr>
          <w:p>
            <w:pPr>
              <w:pStyle w:val="0"/>
            </w:pPr>
            <w:r>
              <w:rPr>
                <w:sz w:val="20"/>
              </w:rPr>
              <w:t xml:space="preserve">ПСО</w:t>
            </w:r>
          </w:p>
        </w:tc>
        <w:tc>
          <w:tcPr>
            <w:tcW w:w="617" w:type="dxa"/>
          </w:tcPr>
          <w:p>
            <w:pPr>
              <w:pStyle w:val="0"/>
            </w:pPr>
            <w:r>
              <w:rPr>
                <w:sz w:val="20"/>
              </w:rPr>
              <w:t xml:space="preserve">да</w:t>
            </w:r>
          </w:p>
        </w:tc>
        <w:tc>
          <w:tcPr>
            <w:tcW w:w="617"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17</w:t>
            </w:r>
          </w:p>
        </w:tc>
        <w:tc>
          <w:tcPr>
            <w:tcW w:w="2299" w:type="dxa"/>
          </w:tcPr>
          <w:p>
            <w:pPr>
              <w:pStyle w:val="0"/>
            </w:pPr>
            <w:r>
              <w:rPr>
                <w:sz w:val="20"/>
              </w:rPr>
              <w:t xml:space="preserve">БУ "Нижневартовская окружная клиническая больница"</w:t>
            </w:r>
          </w:p>
        </w:tc>
        <w:tc>
          <w:tcPr>
            <w:tcW w:w="1504" w:type="dxa"/>
          </w:tcPr>
          <w:p>
            <w:pPr>
              <w:pStyle w:val="0"/>
            </w:pPr>
            <w:r>
              <w:rPr>
                <w:sz w:val="20"/>
              </w:rPr>
              <w:t xml:space="preserve">ПСО</w:t>
            </w:r>
          </w:p>
        </w:tc>
        <w:tc>
          <w:tcPr>
            <w:tcW w:w="617" w:type="dxa"/>
          </w:tcPr>
          <w:p>
            <w:pPr>
              <w:pStyle w:val="0"/>
            </w:pPr>
            <w:r>
              <w:rPr>
                <w:sz w:val="20"/>
              </w:rPr>
            </w:r>
          </w:p>
        </w:tc>
        <w:tc>
          <w:tcPr>
            <w:tcW w:w="617"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tcW w:w="454" w:type="dxa"/>
          </w:tcPr>
          <w:p>
            <w:pPr>
              <w:pStyle w:val="0"/>
            </w:pPr>
            <w:r>
              <w:rPr>
                <w:sz w:val="20"/>
              </w:rPr>
              <w:t xml:space="preserve">18</w:t>
            </w:r>
          </w:p>
        </w:tc>
        <w:tc>
          <w:tcPr>
            <w:tcW w:w="2299" w:type="dxa"/>
          </w:tcPr>
          <w:p>
            <w:pPr>
              <w:pStyle w:val="0"/>
            </w:pPr>
            <w:r>
              <w:rPr>
                <w:sz w:val="20"/>
              </w:rPr>
              <w:t xml:space="preserve">БУ "Мегионская городская больница"</w:t>
            </w:r>
          </w:p>
        </w:tc>
        <w:tc>
          <w:tcPr>
            <w:tcW w:w="1504" w:type="dxa"/>
          </w:tcPr>
          <w:p>
            <w:pPr>
              <w:pStyle w:val="0"/>
            </w:pPr>
            <w:r>
              <w:rPr>
                <w:sz w:val="20"/>
              </w:rPr>
              <w:t xml:space="preserve">ПСО</w:t>
            </w:r>
          </w:p>
        </w:tc>
        <w:tc>
          <w:tcPr>
            <w:tcW w:w="617" w:type="dxa"/>
          </w:tcPr>
          <w:p>
            <w:pPr>
              <w:pStyle w:val="0"/>
            </w:pPr>
            <w:r>
              <w:rPr>
                <w:sz w:val="20"/>
              </w:rPr>
              <w:t xml:space="preserve">да</w:t>
            </w:r>
          </w:p>
        </w:tc>
        <w:tc>
          <w:tcPr>
            <w:tcW w:w="617"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604" w:type="dxa"/>
          </w:tcPr>
          <w:p>
            <w:pPr>
              <w:pStyle w:val="0"/>
            </w:pPr>
            <w:r>
              <w:rPr>
                <w:sz w:val="20"/>
              </w:rPr>
            </w:r>
          </w:p>
        </w:tc>
        <w:tc>
          <w:tcPr>
            <w:tcW w:w="1864" w:type="dxa"/>
          </w:tcPr>
          <w:p>
            <w:pPr>
              <w:pStyle w:val="0"/>
            </w:pPr>
            <w:r>
              <w:rPr>
                <w:sz w:val="20"/>
              </w:rPr>
              <w:t xml:space="preserve">да</w:t>
            </w:r>
          </w:p>
        </w:tc>
        <w:tc>
          <w:tcPr>
            <w:tcW w:w="1864" w:type="dxa"/>
          </w:tcPr>
          <w:p>
            <w:pPr>
              <w:pStyle w:val="0"/>
            </w:pPr>
            <w:r>
              <w:rPr>
                <w:sz w:val="20"/>
              </w:rPr>
            </w:r>
          </w:p>
        </w:tc>
        <w:tc>
          <w:tcPr>
            <w:tcW w:w="1864" w:type="dxa"/>
          </w:tcPr>
          <w:p>
            <w:pPr>
              <w:pStyle w:val="0"/>
            </w:pPr>
            <w:r>
              <w:rPr>
                <w:sz w:val="20"/>
              </w:rPr>
            </w:r>
          </w:p>
        </w:tc>
      </w:tr>
      <w:tr>
        <w:tc>
          <w:tcPr>
            <w:gridSpan w:val="3"/>
            <w:tcW w:w="4257" w:type="dxa"/>
          </w:tcPr>
          <w:p>
            <w:pPr>
              <w:pStyle w:val="0"/>
            </w:pPr>
            <w:r>
              <w:rPr>
                <w:sz w:val="20"/>
              </w:rPr>
              <w:t xml:space="preserve">Итого 2019 - 2024 гг &lt;4&gt;</w:t>
            </w:r>
          </w:p>
        </w:tc>
        <w:tc>
          <w:tcPr>
            <w:tcW w:w="617" w:type="dxa"/>
          </w:tcPr>
          <w:p>
            <w:pPr>
              <w:pStyle w:val="0"/>
            </w:pPr>
            <w:r>
              <w:rPr>
                <w:sz w:val="20"/>
              </w:rPr>
              <w:t xml:space="preserve">9</w:t>
            </w:r>
          </w:p>
        </w:tc>
        <w:tc>
          <w:tcPr>
            <w:tcW w:w="617" w:type="dxa"/>
          </w:tcPr>
          <w:p>
            <w:pPr>
              <w:pStyle w:val="0"/>
            </w:pPr>
            <w:r>
              <w:rPr>
                <w:sz w:val="20"/>
              </w:rPr>
              <w:t xml:space="preserve">3</w:t>
            </w:r>
          </w:p>
        </w:tc>
        <w:tc>
          <w:tcPr>
            <w:tcW w:w="604" w:type="dxa"/>
          </w:tcPr>
          <w:p>
            <w:pPr>
              <w:pStyle w:val="0"/>
            </w:pPr>
            <w:r>
              <w:rPr>
                <w:sz w:val="20"/>
              </w:rPr>
              <w:t xml:space="preserve">3</w:t>
            </w:r>
          </w:p>
        </w:tc>
        <w:tc>
          <w:tcPr>
            <w:tcW w:w="604" w:type="dxa"/>
          </w:tcPr>
          <w:p>
            <w:pPr>
              <w:pStyle w:val="0"/>
            </w:pPr>
            <w:r>
              <w:rPr>
                <w:sz w:val="20"/>
              </w:rPr>
              <w:t xml:space="preserve">3</w:t>
            </w:r>
          </w:p>
        </w:tc>
        <w:tc>
          <w:tcPr>
            <w:tcW w:w="604" w:type="dxa"/>
          </w:tcPr>
          <w:p>
            <w:pPr>
              <w:pStyle w:val="0"/>
            </w:pPr>
            <w:r>
              <w:rPr>
                <w:sz w:val="20"/>
              </w:rPr>
              <w:t xml:space="preserve">2</w:t>
            </w:r>
          </w:p>
        </w:tc>
        <w:tc>
          <w:tcPr>
            <w:tcW w:w="604" w:type="dxa"/>
          </w:tcPr>
          <w:p>
            <w:pPr>
              <w:pStyle w:val="0"/>
            </w:pPr>
            <w:r>
              <w:rPr>
                <w:sz w:val="20"/>
              </w:rPr>
              <w:t xml:space="preserve">3</w:t>
            </w:r>
          </w:p>
        </w:tc>
        <w:tc>
          <w:tcPr>
            <w:tcW w:w="1864" w:type="dxa"/>
          </w:tcPr>
          <w:p>
            <w:pPr>
              <w:pStyle w:val="0"/>
            </w:pPr>
            <w:r>
              <w:rPr>
                <w:sz w:val="20"/>
              </w:rPr>
            </w:r>
          </w:p>
        </w:tc>
        <w:tc>
          <w:tcPr>
            <w:tcW w:w="1864" w:type="dxa"/>
          </w:tcPr>
          <w:p>
            <w:pPr>
              <w:pStyle w:val="0"/>
            </w:pPr>
            <w:r>
              <w:rPr>
                <w:sz w:val="20"/>
              </w:rPr>
            </w:r>
          </w:p>
        </w:tc>
        <w:tc>
          <w:tcPr>
            <w:tcW w:w="1864" w:type="dxa"/>
          </w:tcPr>
          <w:p>
            <w:pPr>
              <w:pStyle w:val="0"/>
            </w:pPr>
            <w:r>
              <w:rPr>
                <w:sz w:val="20"/>
              </w:rPr>
            </w:r>
          </w:p>
        </w:tc>
      </w:tr>
    </w:tbl>
    <w:p>
      <w:pPr>
        <w:pStyle w:val="0"/>
        <w:jc w:val="right"/>
      </w:pPr>
      <w:r>
        <w:rPr>
          <w:sz w:val="20"/>
        </w:rPr>
      </w:r>
    </w:p>
    <w:p>
      <w:pPr>
        <w:pStyle w:val="0"/>
        <w:jc w:val="right"/>
      </w:pPr>
      <w:r>
        <w:rPr>
          <w:sz w:val="20"/>
        </w:rPr>
        <w:t xml:space="preserve">Таблица 48</w:t>
      </w:r>
    </w:p>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jc w:val="right"/>
      </w:pPr>
      <w:r>
        <w:rPr>
          <w:sz w:val="20"/>
        </w:rPr>
      </w:r>
    </w:p>
    <w:p>
      <w:pPr>
        <w:pStyle w:val="0"/>
        <w:jc w:val="center"/>
      </w:pPr>
      <w:r>
        <w:rPr>
          <w:sz w:val="20"/>
        </w:rPr>
        <w:t xml:space="preserve">Перечень медицинского оборудования, приобретаемого</w:t>
      </w:r>
    </w:p>
    <w:p>
      <w:pPr>
        <w:pStyle w:val="0"/>
        <w:jc w:val="center"/>
      </w:pPr>
      <w:r>
        <w:rPr>
          <w:sz w:val="20"/>
        </w:rPr>
        <w:t xml:space="preserve">в медицинские организации автономного округа по программе</w:t>
      </w:r>
    </w:p>
    <w:p>
      <w:pPr>
        <w:pStyle w:val="0"/>
        <w:jc w:val="center"/>
      </w:pPr>
      <w:r>
        <w:rPr>
          <w:sz w:val="20"/>
        </w:rPr>
        <w:t xml:space="preserve">"Борьба с сердечно-сосудистыми заболеваниями"</w:t>
      </w:r>
    </w:p>
    <w:p>
      <w:pPr>
        <w:pStyle w:val="0"/>
        <w:jc w:val="center"/>
      </w:pPr>
      <w:r>
        <w:rPr>
          <w:sz w:val="20"/>
        </w:rPr>
        <w:t xml:space="preserve">в 2020 - 2024 годы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4309"/>
        <w:gridCol w:w="2551"/>
        <w:gridCol w:w="1849"/>
      </w:tblGrid>
      <w:tr>
        <w:tc>
          <w:tcPr>
            <w:tcW w:w="340" w:type="dxa"/>
          </w:tcPr>
          <w:p>
            <w:pPr>
              <w:pStyle w:val="0"/>
              <w:jc w:val="center"/>
            </w:pPr>
            <w:r>
              <w:rPr>
                <w:sz w:val="20"/>
              </w:rPr>
              <w:t xml:space="preserve">N</w:t>
            </w:r>
          </w:p>
        </w:tc>
        <w:tc>
          <w:tcPr>
            <w:tcW w:w="4309" w:type="dxa"/>
          </w:tcPr>
          <w:p>
            <w:pPr>
              <w:pStyle w:val="0"/>
              <w:jc w:val="center"/>
            </w:pPr>
            <w:r>
              <w:rPr>
                <w:sz w:val="20"/>
              </w:rPr>
              <w:t xml:space="preserve">Наименование медицинского оборудования</w:t>
            </w:r>
          </w:p>
        </w:tc>
        <w:tc>
          <w:tcPr>
            <w:tcW w:w="2551" w:type="dxa"/>
          </w:tcPr>
          <w:p>
            <w:pPr>
              <w:pStyle w:val="0"/>
              <w:jc w:val="center"/>
            </w:pPr>
            <w:r>
              <w:rPr>
                <w:sz w:val="20"/>
              </w:rPr>
              <w:t xml:space="preserve">Наименование медицинской организации</w:t>
            </w:r>
          </w:p>
        </w:tc>
        <w:tc>
          <w:tcPr>
            <w:tcW w:w="1849" w:type="dxa"/>
          </w:tcPr>
          <w:p>
            <w:pPr>
              <w:pStyle w:val="0"/>
              <w:jc w:val="center"/>
            </w:pPr>
            <w:r>
              <w:rPr>
                <w:sz w:val="20"/>
              </w:rPr>
              <w:t xml:space="preserve">Источник</w:t>
            </w:r>
          </w:p>
          <w:p>
            <w:pPr>
              <w:pStyle w:val="0"/>
              <w:jc w:val="center"/>
            </w:pPr>
            <w:r>
              <w:rPr>
                <w:sz w:val="20"/>
              </w:rPr>
              <w:t xml:space="preserve">финансирования</w:t>
            </w:r>
          </w:p>
        </w:tc>
      </w:tr>
      <w:tr>
        <w:tc>
          <w:tcPr>
            <w:gridSpan w:val="4"/>
            <w:tcW w:w="9049" w:type="dxa"/>
          </w:tcPr>
          <w:p>
            <w:pPr>
              <w:pStyle w:val="0"/>
            </w:pPr>
            <w:r>
              <w:rPr>
                <w:sz w:val="20"/>
              </w:rPr>
              <w:t xml:space="preserve">2020 г.</w:t>
            </w:r>
          </w:p>
        </w:tc>
      </w:tr>
      <w:tr>
        <w:tc>
          <w:tcPr>
            <w:tcW w:w="340" w:type="dxa"/>
          </w:tcPr>
          <w:p>
            <w:pPr>
              <w:pStyle w:val="0"/>
            </w:pPr>
            <w:r>
              <w:rPr>
                <w:sz w:val="20"/>
              </w:rPr>
              <w:t xml:space="preserve">1</w:t>
            </w:r>
          </w:p>
        </w:tc>
        <w:tc>
          <w:tcPr>
            <w:tcW w:w="4309" w:type="dxa"/>
          </w:tcPr>
          <w:p>
            <w:pPr>
              <w:pStyle w:val="0"/>
            </w:pPr>
            <w:r>
              <w:rPr>
                <w:sz w:val="20"/>
              </w:rPr>
              <w:t xml:space="preserve">Ангиографический комплекс с интегрированным модулем для измерения гемодинамических показателей электрокардиограмма, инвазивное и неинвазивное давление, пульсоксиметрия)</w:t>
            </w:r>
          </w:p>
        </w:tc>
        <w:tc>
          <w:tcPr>
            <w:tcW w:w="2551" w:type="dxa"/>
          </w:tcPr>
          <w:p>
            <w:pPr>
              <w:pStyle w:val="0"/>
            </w:pPr>
            <w:r>
              <w:rPr>
                <w:sz w:val="20"/>
              </w:rPr>
              <w:t xml:space="preserve">БУ "Няганская окружная больница"</w:t>
            </w:r>
          </w:p>
        </w:tc>
        <w:tc>
          <w:tcPr>
            <w:tcW w:w="1849" w:type="dxa"/>
            <w:vMerge w:val="restart"/>
          </w:tcPr>
          <w:p>
            <w:pPr>
              <w:pStyle w:val="0"/>
            </w:pPr>
            <w:r>
              <w:rPr>
                <w:sz w:val="20"/>
              </w:rPr>
              <w:t xml:space="preserve">Федеральный бюджет</w:t>
            </w:r>
          </w:p>
        </w:tc>
      </w:tr>
      <w:tr>
        <w:tc>
          <w:tcPr>
            <w:tcW w:w="340" w:type="dxa"/>
          </w:tcPr>
          <w:p>
            <w:pPr>
              <w:pStyle w:val="0"/>
            </w:pPr>
            <w:r>
              <w:rPr>
                <w:sz w:val="20"/>
              </w:rPr>
              <w:t xml:space="preserve">2</w:t>
            </w:r>
          </w:p>
        </w:tc>
        <w:tc>
          <w:tcPr>
            <w:tcW w:w="4309" w:type="dxa"/>
          </w:tcPr>
          <w:p>
            <w:pPr>
              <w:pStyle w:val="0"/>
            </w:pPr>
            <w:r>
              <w:rPr>
                <w:sz w:val="20"/>
              </w:rPr>
              <w:t xml:space="preserve">Ультразвуковой аппарат для исследования сердца и сосудов (передвижной)</w:t>
            </w:r>
          </w:p>
        </w:tc>
        <w:tc>
          <w:tcPr>
            <w:tcW w:w="2551" w:type="dxa"/>
          </w:tcPr>
          <w:p>
            <w:pPr>
              <w:pStyle w:val="0"/>
            </w:pPr>
            <w:r>
              <w:rPr>
                <w:sz w:val="20"/>
              </w:rPr>
              <w:t xml:space="preserve">БУ "Окружной кардиологический диспансер "Центр диагностики и сердечно-сосудистой хирургии"</w:t>
            </w:r>
          </w:p>
        </w:tc>
        <w:tc>
          <w:tcPr>
            <w:vMerge w:val="continue"/>
          </w:tcPr>
          <w:p/>
        </w:tc>
      </w:tr>
      <w:tr>
        <w:tc>
          <w:tcPr>
            <w:tcW w:w="340" w:type="dxa"/>
          </w:tcPr>
          <w:p>
            <w:pPr>
              <w:pStyle w:val="0"/>
            </w:pPr>
            <w:r>
              <w:rPr>
                <w:sz w:val="20"/>
              </w:rPr>
              <w:t xml:space="preserve">3</w:t>
            </w:r>
          </w:p>
        </w:tc>
        <w:tc>
          <w:tcPr>
            <w:tcW w:w="4309" w:type="dxa"/>
          </w:tcPr>
          <w:p>
            <w:pPr>
              <w:pStyle w:val="0"/>
            </w:pPr>
            <w:r>
              <w:rPr>
                <w:sz w:val="20"/>
              </w:rPr>
              <w:t xml:space="preserve">Ультразвуковой аппарат для исследования сердца и сосудов (передвижной)</w:t>
            </w:r>
          </w:p>
        </w:tc>
        <w:tc>
          <w:tcPr>
            <w:tcW w:w="2551" w:type="dxa"/>
          </w:tcPr>
          <w:p>
            <w:pPr>
              <w:pStyle w:val="0"/>
            </w:pPr>
            <w:r>
              <w:rPr>
                <w:sz w:val="20"/>
              </w:rPr>
              <w:t xml:space="preserve">БУ "Нижневартовская окружная клиническая больница"</w:t>
            </w:r>
          </w:p>
        </w:tc>
        <w:tc>
          <w:tcPr>
            <w:vMerge w:val="continue"/>
          </w:tcPr>
          <w:p/>
        </w:tc>
      </w:tr>
      <w:tr>
        <w:tc>
          <w:tcPr>
            <w:tcW w:w="340" w:type="dxa"/>
          </w:tcPr>
          <w:p>
            <w:pPr>
              <w:pStyle w:val="0"/>
            </w:pPr>
            <w:r>
              <w:rPr>
                <w:sz w:val="20"/>
              </w:rPr>
              <w:t xml:space="preserve">4</w:t>
            </w:r>
          </w:p>
        </w:tc>
        <w:tc>
          <w:tcPr>
            <w:tcW w:w="4309" w:type="dxa"/>
          </w:tcPr>
          <w:p>
            <w:pPr>
              <w:pStyle w:val="0"/>
            </w:pPr>
            <w:r>
              <w:rPr>
                <w:sz w:val="20"/>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tcPr>
          <w:p>
            <w:pPr>
              <w:pStyle w:val="0"/>
            </w:pPr>
            <w:r>
              <w:rPr>
                <w:sz w:val="20"/>
              </w:rPr>
              <w:t xml:space="preserve">БУ "Окружной кардиологический диспансер "Центр диагностики и сердечно-сосудистой хирургии"</w:t>
            </w:r>
          </w:p>
        </w:tc>
        <w:tc>
          <w:tcPr>
            <w:tcW w:w="1849" w:type="dxa"/>
          </w:tcPr>
          <w:p>
            <w:pPr>
              <w:pStyle w:val="0"/>
            </w:pPr>
            <w:r>
              <w:rPr>
                <w:sz w:val="20"/>
              </w:rPr>
              <w:t xml:space="preserve">Региональный бюджет</w:t>
            </w:r>
          </w:p>
        </w:tc>
      </w:tr>
      <w:tr>
        <w:tc>
          <w:tcPr>
            <w:gridSpan w:val="4"/>
            <w:tcW w:w="9049" w:type="dxa"/>
          </w:tcPr>
          <w:p>
            <w:pPr>
              <w:pStyle w:val="0"/>
            </w:pPr>
            <w:r>
              <w:rPr>
                <w:sz w:val="20"/>
              </w:rPr>
              <w:t xml:space="preserve">2021 г.</w:t>
            </w:r>
          </w:p>
        </w:tc>
      </w:tr>
      <w:tr>
        <w:tc>
          <w:tcPr>
            <w:tcW w:w="340" w:type="dxa"/>
          </w:tcPr>
          <w:p>
            <w:pPr>
              <w:pStyle w:val="0"/>
            </w:pPr>
            <w:r>
              <w:rPr>
                <w:sz w:val="20"/>
              </w:rPr>
              <w:t xml:space="preserve">1</w:t>
            </w:r>
          </w:p>
        </w:tc>
        <w:tc>
          <w:tcPr>
            <w:tcW w:w="4309" w:type="dxa"/>
          </w:tcPr>
          <w:p>
            <w:pPr>
              <w:pStyle w:val="0"/>
            </w:pPr>
            <w:r>
              <w:rPr>
                <w:sz w:val="20"/>
              </w:rPr>
              <w:t xml:space="preserve">Ультразвуковой аппарат для исследования сердца и сосудов (передвижной)</w:t>
            </w:r>
          </w:p>
        </w:tc>
        <w:tc>
          <w:tcPr>
            <w:tcW w:w="2551" w:type="dxa"/>
          </w:tcPr>
          <w:p>
            <w:pPr>
              <w:pStyle w:val="0"/>
            </w:pPr>
            <w:r>
              <w:rPr>
                <w:sz w:val="20"/>
              </w:rPr>
              <w:t xml:space="preserve">БУ "Окружной кардиологический диспансер "Центр диагностики и сердечно-сосудистой хирургии"</w:t>
            </w:r>
          </w:p>
        </w:tc>
        <w:tc>
          <w:tcPr>
            <w:tcW w:w="1849" w:type="dxa"/>
            <w:vMerge w:val="restart"/>
          </w:tcPr>
          <w:p>
            <w:pPr>
              <w:pStyle w:val="0"/>
            </w:pPr>
            <w:r>
              <w:rPr>
                <w:sz w:val="20"/>
              </w:rPr>
              <w:t xml:space="preserve">Федеральный бюджет</w:t>
            </w:r>
          </w:p>
        </w:tc>
      </w:tr>
      <w:tr>
        <w:tc>
          <w:tcPr>
            <w:tcW w:w="340" w:type="dxa"/>
          </w:tcPr>
          <w:p>
            <w:pPr>
              <w:pStyle w:val="0"/>
            </w:pPr>
            <w:r>
              <w:rPr>
                <w:sz w:val="20"/>
              </w:rPr>
              <w:t xml:space="preserve">2</w:t>
            </w:r>
          </w:p>
        </w:tc>
        <w:tc>
          <w:tcPr>
            <w:tcW w:w="4309" w:type="dxa"/>
          </w:tcPr>
          <w:p>
            <w:pPr>
              <w:pStyle w:val="0"/>
            </w:pPr>
            <w:r>
              <w:rPr>
                <w:sz w:val="20"/>
              </w:rPr>
              <w:t xml:space="preserve">Ультразвуковой аппарат для исследования сердца и сосудов (передвижной)</w:t>
            </w:r>
          </w:p>
        </w:tc>
        <w:tc>
          <w:tcPr>
            <w:tcW w:w="2551" w:type="dxa"/>
          </w:tcPr>
          <w:p>
            <w:pPr>
              <w:pStyle w:val="0"/>
            </w:pPr>
            <w:r>
              <w:rPr>
                <w:sz w:val="20"/>
              </w:rPr>
              <w:t xml:space="preserve">БУ "Няганская окружная больница"</w:t>
            </w:r>
          </w:p>
        </w:tc>
        <w:tc>
          <w:tcPr>
            <w:vMerge w:val="continue"/>
          </w:tcPr>
          <w:p/>
        </w:tc>
      </w:tr>
      <w:tr>
        <w:tc>
          <w:tcPr>
            <w:tcW w:w="340" w:type="dxa"/>
          </w:tcPr>
          <w:p>
            <w:pPr>
              <w:pStyle w:val="0"/>
            </w:pPr>
            <w:r>
              <w:rPr>
                <w:sz w:val="20"/>
              </w:rPr>
              <w:t xml:space="preserve">3</w:t>
            </w:r>
          </w:p>
        </w:tc>
        <w:tc>
          <w:tcPr>
            <w:tcW w:w="4309" w:type="dxa"/>
          </w:tcPr>
          <w:p>
            <w:pPr>
              <w:pStyle w:val="0"/>
            </w:pPr>
            <w:r>
              <w:rPr>
                <w:sz w:val="20"/>
              </w:rPr>
              <w:t xml:space="preserve">Ультразвуковой аппарат для исследования сердца и сосудов (передвижной)</w:t>
            </w:r>
          </w:p>
        </w:tc>
        <w:tc>
          <w:tcPr>
            <w:tcW w:w="2551" w:type="dxa"/>
          </w:tcPr>
          <w:p>
            <w:pPr>
              <w:pStyle w:val="0"/>
            </w:pPr>
            <w:r>
              <w:rPr>
                <w:sz w:val="20"/>
              </w:rPr>
              <w:t xml:space="preserve">БУ "Окружная клиническая больница"</w:t>
            </w:r>
          </w:p>
        </w:tc>
        <w:tc>
          <w:tcPr>
            <w:vMerge w:val="continue"/>
          </w:tcPr>
          <w:p/>
        </w:tc>
      </w:tr>
      <w:tr>
        <w:tc>
          <w:tcPr>
            <w:tcW w:w="340" w:type="dxa"/>
          </w:tcPr>
          <w:p>
            <w:pPr>
              <w:pStyle w:val="0"/>
            </w:pPr>
            <w:r>
              <w:rPr>
                <w:sz w:val="20"/>
              </w:rPr>
              <w:t xml:space="preserve">4</w:t>
            </w:r>
          </w:p>
        </w:tc>
        <w:tc>
          <w:tcPr>
            <w:tcW w:w="4309" w:type="dxa"/>
          </w:tcPr>
          <w:p>
            <w:pPr>
              <w:pStyle w:val="0"/>
            </w:pPr>
            <w:r>
              <w:rPr>
                <w:sz w:val="20"/>
              </w:rPr>
              <w:t xml:space="preserve">Ангиографический комплекс с интегрированным модулем для измерения гемодинамических показателей (электрокардиограмма, инвазивное и неинвазивное давление, пульсоксиметрия)</w:t>
            </w:r>
          </w:p>
        </w:tc>
        <w:tc>
          <w:tcPr>
            <w:tcW w:w="2551" w:type="dxa"/>
          </w:tcPr>
          <w:p>
            <w:pPr>
              <w:pStyle w:val="0"/>
            </w:pPr>
            <w:r>
              <w:rPr>
                <w:sz w:val="20"/>
              </w:rPr>
              <w:t xml:space="preserve">БУ "Окружная клиническая больница"</w:t>
            </w:r>
          </w:p>
        </w:tc>
        <w:tc>
          <w:tcPr>
            <w:tcW w:w="1849" w:type="dxa"/>
          </w:tcPr>
          <w:p>
            <w:pPr>
              <w:pStyle w:val="0"/>
            </w:pPr>
            <w:r>
              <w:rPr>
                <w:sz w:val="20"/>
              </w:rPr>
              <w:t xml:space="preserve">Региональный бюджет</w:t>
            </w:r>
          </w:p>
        </w:tc>
      </w:tr>
      <w:tr>
        <w:tc>
          <w:tcPr>
            <w:gridSpan w:val="4"/>
            <w:tcW w:w="9049" w:type="dxa"/>
          </w:tcPr>
          <w:p>
            <w:pPr>
              <w:pStyle w:val="0"/>
            </w:pPr>
            <w:r>
              <w:rPr>
                <w:sz w:val="20"/>
              </w:rPr>
              <w:t xml:space="preserve">2022 г.</w:t>
            </w:r>
          </w:p>
        </w:tc>
      </w:tr>
      <w:tr>
        <w:tc>
          <w:tcPr>
            <w:tcW w:w="340" w:type="dxa"/>
          </w:tcPr>
          <w:p>
            <w:pPr>
              <w:pStyle w:val="0"/>
            </w:pPr>
            <w:r>
              <w:rPr>
                <w:sz w:val="20"/>
              </w:rPr>
              <w:t xml:space="preserve">1</w:t>
            </w:r>
          </w:p>
        </w:tc>
        <w:tc>
          <w:tcPr>
            <w:tcW w:w="4309" w:type="dxa"/>
          </w:tcPr>
          <w:p>
            <w:pPr>
              <w:pStyle w:val="0"/>
            </w:pPr>
            <w:r>
              <w:rPr>
                <w:sz w:val="20"/>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tcPr>
          <w:p>
            <w:pPr>
              <w:pStyle w:val="0"/>
            </w:pPr>
            <w:r>
              <w:rPr>
                <w:sz w:val="20"/>
              </w:rPr>
              <w:t xml:space="preserve">БУ "Окружной кардиологический диспансер "Центр диагностики и сердечно-сосудистой хирургии"</w:t>
            </w:r>
          </w:p>
        </w:tc>
        <w:tc>
          <w:tcPr>
            <w:tcW w:w="1849" w:type="dxa"/>
            <w:vMerge w:val="restart"/>
          </w:tcPr>
          <w:p>
            <w:pPr>
              <w:pStyle w:val="0"/>
            </w:pPr>
            <w:r>
              <w:rPr>
                <w:sz w:val="20"/>
              </w:rPr>
              <w:t xml:space="preserve">Федеральный бюджет</w:t>
            </w:r>
          </w:p>
        </w:tc>
      </w:tr>
      <w:tr>
        <w:tc>
          <w:tcPr>
            <w:tcW w:w="340" w:type="dxa"/>
          </w:tcPr>
          <w:p>
            <w:pPr>
              <w:pStyle w:val="0"/>
            </w:pPr>
            <w:r>
              <w:rPr>
                <w:sz w:val="20"/>
              </w:rPr>
              <w:t xml:space="preserve">2</w:t>
            </w:r>
          </w:p>
        </w:tc>
        <w:tc>
          <w:tcPr>
            <w:tcW w:w="4309" w:type="dxa"/>
          </w:tcPr>
          <w:p>
            <w:pPr>
              <w:pStyle w:val="0"/>
            </w:pPr>
            <w:r>
              <w:rPr>
                <w:sz w:val="20"/>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tcPr>
          <w:p>
            <w:pPr>
              <w:pStyle w:val="0"/>
            </w:pPr>
            <w:r>
              <w:rPr>
                <w:sz w:val="20"/>
              </w:rPr>
              <w:t xml:space="preserve">БУ "Няганская окружная больница"</w:t>
            </w:r>
          </w:p>
        </w:tc>
        <w:tc>
          <w:tcPr>
            <w:vMerge w:val="continue"/>
          </w:tcPr>
          <w:p/>
        </w:tc>
      </w:tr>
      <w:tr>
        <w:tc>
          <w:tcPr>
            <w:tcW w:w="340" w:type="dxa"/>
          </w:tcPr>
          <w:p>
            <w:pPr>
              <w:pStyle w:val="0"/>
            </w:pPr>
            <w:r>
              <w:rPr>
                <w:sz w:val="20"/>
              </w:rPr>
              <w:t xml:space="preserve">3</w:t>
            </w:r>
          </w:p>
        </w:tc>
        <w:tc>
          <w:tcPr>
            <w:tcW w:w="4309" w:type="dxa"/>
          </w:tcPr>
          <w:p>
            <w:pPr>
              <w:pStyle w:val="0"/>
            </w:pPr>
            <w:r>
              <w:rPr>
                <w:sz w:val="20"/>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tcPr>
          <w:p>
            <w:pPr>
              <w:pStyle w:val="0"/>
            </w:pPr>
            <w:r>
              <w:rPr>
                <w:sz w:val="20"/>
              </w:rPr>
              <w:t xml:space="preserve">БУ "Окружная клиническая больница"</w:t>
            </w:r>
          </w:p>
        </w:tc>
        <w:tc>
          <w:tcPr>
            <w:vMerge w:val="continue"/>
          </w:tcPr>
          <w:p/>
        </w:tc>
      </w:tr>
      <w:tr>
        <w:tc>
          <w:tcPr>
            <w:tcW w:w="340" w:type="dxa"/>
          </w:tcPr>
          <w:p>
            <w:pPr>
              <w:pStyle w:val="0"/>
            </w:pPr>
            <w:r>
              <w:rPr>
                <w:sz w:val="20"/>
              </w:rPr>
              <w:t xml:space="preserve">4</w:t>
            </w:r>
          </w:p>
        </w:tc>
        <w:tc>
          <w:tcPr>
            <w:tcW w:w="4309" w:type="dxa"/>
          </w:tcPr>
          <w:p>
            <w:pPr>
              <w:pStyle w:val="0"/>
            </w:pPr>
            <w:r>
              <w:rPr>
                <w:sz w:val="20"/>
              </w:rPr>
              <w:t xml:space="preserve">Томограф магнитно-резонансный от 1,5 Тл</w:t>
            </w:r>
          </w:p>
        </w:tc>
        <w:tc>
          <w:tcPr>
            <w:tcW w:w="2551" w:type="dxa"/>
            <w:vMerge w:val="restart"/>
          </w:tcPr>
          <w:p>
            <w:pPr>
              <w:pStyle w:val="0"/>
            </w:pPr>
            <w:r>
              <w:rPr>
                <w:sz w:val="20"/>
              </w:rPr>
              <w:t xml:space="preserve">БУ "Окружной кардиологический диспансер "Центр диагностики и сердечно-сосудистой хирургии"</w:t>
            </w:r>
          </w:p>
        </w:tc>
        <w:tc>
          <w:tcPr>
            <w:tcW w:w="1849" w:type="dxa"/>
            <w:vMerge w:val="restart"/>
          </w:tcPr>
          <w:p>
            <w:pPr>
              <w:pStyle w:val="0"/>
            </w:pPr>
            <w:r>
              <w:rPr>
                <w:sz w:val="20"/>
              </w:rPr>
              <w:t xml:space="preserve">Региональный бюджет</w:t>
            </w:r>
          </w:p>
        </w:tc>
      </w:tr>
      <w:tr>
        <w:tc>
          <w:tcPr>
            <w:tcW w:w="340" w:type="dxa"/>
          </w:tcPr>
          <w:p>
            <w:pPr>
              <w:pStyle w:val="0"/>
            </w:pPr>
            <w:r>
              <w:rPr>
                <w:sz w:val="20"/>
              </w:rPr>
              <w:t xml:space="preserve">5</w:t>
            </w:r>
          </w:p>
        </w:tc>
        <w:tc>
          <w:tcPr>
            <w:tcW w:w="4309" w:type="dxa"/>
          </w:tcPr>
          <w:p>
            <w:pPr>
              <w:pStyle w:val="0"/>
            </w:pPr>
            <w:r>
              <w:rPr>
                <w:sz w:val="20"/>
              </w:rPr>
              <w:t xml:space="preserve">Ультразвуковой аппарат для исследования сердца и сосудов (передвижной</w:t>
            </w:r>
          </w:p>
        </w:tc>
        <w:tc>
          <w:tcPr>
            <w:vMerge w:val="continue"/>
          </w:tcPr>
          <w:p/>
        </w:tc>
        <w:tc>
          <w:tcPr>
            <w:vMerge w:val="continue"/>
          </w:tcPr>
          <w:p/>
        </w:tc>
      </w:tr>
      <w:tr>
        <w:tc>
          <w:tcPr>
            <w:tcW w:w="340" w:type="dxa"/>
          </w:tcPr>
          <w:p>
            <w:pPr>
              <w:pStyle w:val="0"/>
            </w:pPr>
            <w:r>
              <w:rPr>
                <w:sz w:val="20"/>
              </w:rPr>
              <w:t xml:space="preserve">6</w:t>
            </w:r>
          </w:p>
        </w:tc>
        <w:tc>
          <w:tcPr>
            <w:tcW w:w="4309" w:type="dxa"/>
          </w:tcPr>
          <w:p>
            <w:pPr>
              <w:pStyle w:val="0"/>
            </w:pPr>
            <w:r>
              <w:rPr>
                <w:sz w:val="20"/>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tcPr>
          <w:p>
            <w:pPr>
              <w:pStyle w:val="0"/>
            </w:pPr>
            <w:r>
              <w:rPr>
                <w:sz w:val="20"/>
              </w:rPr>
              <w:t xml:space="preserve">БУ "Няганская окружная больница"</w:t>
            </w:r>
          </w:p>
        </w:tc>
        <w:tc>
          <w:tcPr>
            <w:vMerge w:val="continue"/>
          </w:tcPr>
          <w:p/>
        </w:tc>
      </w:tr>
      <w:tr>
        <w:tc>
          <w:tcPr>
            <w:gridSpan w:val="4"/>
            <w:tcW w:w="9049" w:type="dxa"/>
          </w:tcPr>
          <w:p>
            <w:pPr>
              <w:pStyle w:val="0"/>
            </w:pPr>
            <w:r>
              <w:rPr>
                <w:sz w:val="20"/>
              </w:rPr>
              <w:t xml:space="preserve">2023 г.</w:t>
            </w:r>
          </w:p>
        </w:tc>
      </w:tr>
      <w:tr>
        <w:tc>
          <w:tcPr>
            <w:tcW w:w="340" w:type="dxa"/>
          </w:tcPr>
          <w:p>
            <w:pPr>
              <w:pStyle w:val="0"/>
            </w:pPr>
            <w:r>
              <w:rPr>
                <w:sz w:val="20"/>
              </w:rPr>
              <w:t xml:space="preserve">1</w:t>
            </w:r>
          </w:p>
        </w:tc>
        <w:tc>
          <w:tcPr>
            <w:tcW w:w="4309" w:type="dxa"/>
          </w:tcPr>
          <w:p>
            <w:pPr>
              <w:pStyle w:val="0"/>
            </w:pPr>
            <w:r>
              <w:rPr>
                <w:sz w:val="20"/>
              </w:rPr>
              <w:t xml:space="preserve">Установка навигационная стереотаксическая в комплекте с принадлежностями, совместимая с микроскопом</w:t>
            </w:r>
          </w:p>
        </w:tc>
        <w:tc>
          <w:tcPr>
            <w:tcW w:w="2551" w:type="dxa"/>
          </w:tcPr>
          <w:p>
            <w:pPr>
              <w:pStyle w:val="0"/>
            </w:pPr>
            <w:r>
              <w:rPr>
                <w:sz w:val="20"/>
              </w:rPr>
              <w:t xml:space="preserve">БУ "Сургутская клиническая травматологическая больница"</w:t>
            </w:r>
          </w:p>
        </w:tc>
        <w:tc>
          <w:tcPr>
            <w:tcW w:w="1849" w:type="dxa"/>
          </w:tcPr>
          <w:p>
            <w:pPr>
              <w:pStyle w:val="0"/>
            </w:pPr>
            <w:r>
              <w:rPr>
                <w:sz w:val="20"/>
              </w:rPr>
              <w:t xml:space="preserve">Федеральный бюджет</w:t>
            </w:r>
          </w:p>
        </w:tc>
      </w:tr>
      <w:tr>
        <w:tc>
          <w:tcPr>
            <w:tcW w:w="340" w:type="dxa"/>
          </w:tcPr>
          <w:p>
            <w:pPr>
              <w:pStyle w:val="0"/>
            </w:pPr>
            <w:r>
              <w:rPr>
                <w:sz w:val="20"/>
              </w:rPr>
              <w:t xml:space="preserve">2</w:t>
            </w:r>
          </w:p>
        </w:tc>
        <w:tc>
          <w:tcPr>
            <w:tcW w:w="4309" w:type="dxa"/>
          </w:tcPr>
          <w:p>
            <w:pPr>
              <w:pStyle w:val="0"/>
            </w:pPr>
            <w:r>
              <w:rPr>
                <w:sz w:val="20"/>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vMerge w:val="restart"/>
          </w:tcPr>
          <w:p>
            <w:pPr>
              <w:pStyle w:val="0"/>
            </w:pPr>
            <w:r>
              <w:rPr>
                <w:sz w:val="20"/>
              </w:rPr>
              <w:t xml:space="preserve">БУ "Окружной кардиологический диспансер "Центр диагностики и сердечно-сосудистой хирургии"</w:t>
            </w:r>
          </w:p>
        </w:tc>
        <w:tc>
          <w:tcPr>
            <w:tcW w:w="1849" w:type="dxa"/>
            <w:vMerge w:val="restart"/>
          </w:tcPr>
          <w:p>
            <w:pPr>
              <w:pStyle w:val="0"/>
            </w:pPr>
            <w:r>
              <w:rPr>
                <w:sz w:val="20"/>
              </w:rPr>
              <w:t xml:space="preserve">Региональный бюджет</w:t>
            </w:r>
          </w:p>
        </w:tc>
      </w:tr>
      <w:tr>
        <w:tc>
          <w:tcPr>
            <w:tcW w:w="340" w:type="dxa"/>
          </w:tcPr>
          <w:p>
            <w:pPr>
              <w:pStyle w:val="0"/>
            </w:pPr>
            <w:r>
              <w:rPr>
                <w:sz w:val="20"/>
              </w:rPr>
              <w:t xml:space="preserve">3</w:t>
            </w:r>
          </w:p>
        </w:tc>
        <w:tc>
          <w:tcPr>
            <w:tcW w:w="4309" w:type="dxa"/>
          </w:tcPr>
          <w:p>
            <w:pPr>
              <w:pStyle w:val="0"/>
            </w:pPr>
            <w:r>
              <w:rPr>
                <w:sz w:val="20"/>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vMerge w:val="continue"/>
          </w:tcPr>
          <w:p/>
        </w:tc>
        <w:tc>
          <w:tcPr>
            <w:vMerge w:val="continue"/>
          </w:tcPr>
          <w:p/>
        </w:tc>
      </w:tr>
      <w:tr>
        <w:tc>
          <w:tcPr>
            <w:gridSpan w:val="4"/>
            <w:tcW w:w="9049" w:type="dxa"/>
          </w:tcPr>
          <w:p>
            <w:pPr>
              <w:pStyle w:val="0"/>
            </w:pPr>
            <w:r>
              <w:rPr>
                <w:sz w:val="20"/>
              </w:rPr>
              <w:t xml:space="preserve">2024 г.</w:t>
            </w:r>
          </w:p>
        </w:tc>
      </w:tr>
      <w:tr>
        <w:tc>
          <w:tcPr>
            <w:tcW w:w="340" w:type="dxa"/>
          </w:tcPr>
          <w:p>
            <w:pPr>
              <w:pStyle w:val="0"/>
            </w:pPr>
            <w:r>
              <w:rPr>
                <w:sz w:val="20"/>
              </w:rPr>
              <w:t xml:space="preserve">1</w:t>
            </w:r>
          </w:p>
        </w:tc>
        <w:tc>
          <w:tcPr>
            <w:tcW w:w="4309" w:type="dxa"/>
          </w:tcPr>
          <w:p>
            <w:pPr>
              <w:pStyle w:val="0"/>
            </w:pPr>
            <w:r>
              <w:rPr>
                <w:sz w:val="20"/>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tcPr>
          <w:p>
            <w:pPr>
              <w:pStyle w:val="0"/>
            </w:pPr>
            <w:r>
              <w:rPr>
                <w:sz w:val="20"/>
              </w:rPr>
              <w:t xml:space="preserve">БУ "Няганская окружная больница"</w:t>
            </w:r>
          </w:p>
        </w:tc>
        <w:tc>
          <w:tcPr>
            <w:tcW w:w="1849" w:type="dxa"/>
            <w:vMerge w:val="restart"/>
          </w:tcPr>
          <w:p>
            <w:pPr>
              <w:pStyle w:val="0"/>
            </w:pPr>
            <w:r>
              <w:rPr>
                <w:sz w:val="20"/>
              </w:rPr>
              <w:t xml:space="preserve">Федеральный бюджет</w:t>
            </w:r>
          </w:p>
        </w:tc>
      </w:tr>
      <w:tr>
        <w:tc>
          <w:tcPr>
            <w:tcW w:w="340" w:type="dxa"/>
          </w:tcPr>
          <w:p>
            <w:pPr>
              <w:pStyle w:val="0"/>
            </w:pPr>
            <w:r>
              <w:rPr>
                <w:sz w:val="20"/>
              </w:rPr>
              <w:t xml:space="preserve">2</w:t>
            </w:r>
          </w:p>
        </w:tc>
        <w:tc>
          <w:tcPr>
            <w:tcW w:w="4309" w:type="dxa"/>
          </w:tcPr>
          <w:p>
            <w:pPr>
              <w:pStyle w:val="0"/>
            </w:pPr>
            <w:r>
              <w:rPr>
                <w:sz w:val="20"/>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tcPr>
          <w:p>
            <w:pPr>
              <w:pStyle w:val="0"/>
            </w:pPr>
            <w:r>
              <w:rPr>
                <w:sz w:val="20"/>
              </w:rPr>
              <w:t xml:space="preserve">БУ "Окружной кардиологический диспансер "Центр диагностики и сердечно-сосудистой хирургии"</w:t>
            </w:r>
          </w:p>
        </w:tc>
        <w:tc>
          <w:tcPr>
            <w:vMerge w:val="continue"/>
          </w:tcPr>
          <w:p/>
        </w:tc>
      </w:tr>
      <w:tr>
        <w:tc>
          <w:tcPr>
            <w:tcW w:w="340" w:type="dxa"/>
          </w:tcPr>
          <w:p>
            <w:pPr>
              <w:pStyle w:val="0"/>
            </w:pPr>
            <w:r>
              <w:rPr>
                <w:sz w:val="20"/>
              </w:rPr>
              <w:t xml:space="preserve">3</w:t>
            </w:r>
          </w:p>
        </w:tc>
        <w:tc>
          <w:tcPr>
            <w:tcW w:w="4309" w:type="dxa"/>
          </w:tcPr>
          <w:p>
            <w:pPr>
              <w:pStyle w:val="0"/>
            </w:pPr>
            <w:r>
              <w:rPr>
                <w:sz w:val="20"/>
              </w:rPr>
              <w:t xml:space="preserve">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w:t>
            </w:r>
          </w:p>
        </w:tc>
        <w:tc>
          <w:tcPr>
            <w:tcW w:w="2551" w:type="dxa"/>
          </w:tcPr>
          <w:p>
            <w:pPr>
              <w:pStyle w:val="0"/>
            </w:pPr>
            <w:r>
              <w:rPr>
                <w:sz w:val="20"/>
              </w:rPr>
              <w:t xml:space="preserve">БУ "Окружная клиническая больница"</w:t>
            </w:r>
          </w:p>
        </w:tc>
        <w:tc>
          <w:tcPr>
            <w:vMerge w:val="continue"/>
          </w:tcPr>
          <w:p/>
        </w:tc>
      </w:tr>
      <w:tr>
        <w:tc>
          <w:tcPr>
            <w:tcW w:w="340" w:type="dxa"/>
          </w:tcPr>
          <w:p>
            <w:pPr>
              <w:pStyle w:val="0"/>
            </w:pPr>
            <w:r>
              <w:rPr>
                <w:sz w:val="20"/>
              </w:rPr>
              <w:t xml:space="preserve">4</w:t>
            </w:r>
          </w:p>
        </w:tc>
        <w:tc>
          <w:tcPr>
            <w:tcW w:w="4309" w:type="dxa"/>
          </w:tcPr>
          <w:p>
            <w:pPr>
              <w:pStyle w:val="0"/>
            </w:pPr>
            <w:r>
              <w:rPr>
                <w:sz w:val="20"/>
              </w:rPr>
              <w:t xml:space="preserve">Ангиографический комплекс с интегрированным модулем для измерения гемодинамических показателей (электрокардиограмма, инвазивное и неинвазивное давление, пульсоксиметрия)</w:t>
            </w:r>
          </w:p>
        </w:tc>
        <w:tc>
          <w:tcPr>
            <w:tcW w:w="2551" w:type="dxa"/>
          </w:tcPr>
          <w:p>
            <w:pPr>
              <w:pStyle w:val="0"/>
            </w:pPr>
            <w:r>
              <w:rPr>
                <w:sz w:val="20"/>
              </w:rPr>
              <w:t xml:space="preserve">БУ "Окружной кардиологический диспансер "Центр диагностики и сердечно-сосудистой хирургии"</w:t>
            </w:r>
          </w:p>
        </w:tc>
        <w:tc>
          <w:tcPr>
            <w:tcW w:w="1849" w:type="dxa"/>
          </w:tcPr>
          <w:p>
            <w:pPr>
              <w:pStyle w:val="0"/>
            </w:pPr>
            <w:r>
              <w:rPr>
                <w:sz w:val="20"/>
              </w:rPr>
              <w:t xml:space="preserve">Региональный бюджет</w:t>
            </w:r>
          </w:p>
        </w:tc>
      </w:tr>
    </w:tbl>
    <w:p>
      <w:pPr>
        <w:pStyle w:val="0"/>
        <w:ind w:firstLine="540"/>
        <w:jc w:val="both"/>
      </w:pPr>
      <w:r>
        <w:rPr>
          <w:sz w:val="20"/>
        </w:rPr>
      </w:r>
    </w:p>
    <w:p>
      <w:pPr>
        <w:pStyle w:val="2"/>
        <w:outlineLvl w:val="3"/>
        <w:ind w:firstLine="540"/>
        <w:jc w:val="both"/>
      </w:pPr>
      <w:r>
        <w:rPr>
          <w:sz w:val="20"/>
        </w:rPr>
        <w:t xml:space="preserve">1.5.1. Анализ деятельности каждой медицинской организации, участвующей в оказании стационарной помощи больным с ОНМК и/или ОКС, с оценкой необходимости оптимизации функционирования</w:t>
      </w:r>
    </w:p>
    <w:p>
      <w:pPr>
        <w:pStyle w:val="0"/>
        <w:jc w:val="center"/>
      </w:pPr>
      <w:r>
        <w:rPr>
          <w:sz w:val="20"/>
        </w:rPr>
      </w:r>
    </w:p>
    <w:p>
      <w:pPr>
        <w:pStyle w:val="2"/>
        <w:outlineLvl w:val="4"/>
        <w:jc w:val="center"/>
      </w:pPr>
      <w:r>
        <w:rPr>
          <w:sz w:val="20"/>
        </w:rPr>
        <w:t xml:space="preserve">БУ "Окружной кардиологический диспансер</w:t>
      </w:r>
    </w:p>
    <w:p>
      <w:pPr>
        <w:pStyle w:val="2"/>
        <w:jc w:val="center"/>
      </w:pPr>
      <w:r>
        <w:rPr>
          <w:sz w:val="20"/>
        </w:rPr>
        <w:t xml:space="preserve">"Центр диагностики и сердечно-сосудистой хирургии"</w:t>
      </w:r>
    </w:p>
    <w:p>
      <w:pPr>
        <w:pStyle w:val="0"/>
        <w:jc w:val="center"/>
      </w:pPr>
      <w:r>
        <w:rPr>
          <w:sz w:val="20"/>
        </w:rPr>
      </w:r>
    </w:p>
    <w:p>
      <w:pPr>
        <w:pStyle w:val="0"/>
        <w:ind w:firstLine="540"/>
        <w:jc w:val="both"/>
      </w:pPr>
      <w:r>
        <w:rPr>
          <w:sz w:val="20"/>
        </w:rPr>
        <w:t xml:space="preserve">Роль БУ "Окружной кардиологический диспансер "Центр диагностики и сердечно-сосудистой хирургии" - единственный в автономном округе кардиологический диспансер, является самым крупным лечебным, консультативно-диагностическим, руководящим организационно-методическим центром кардиологической службы автономного округа, выполняющим более 70% от окружного объема высокотехнологичных операций больным с заболеваниями сердечно-сосудистой системы.</w:t>
      </w:r>
    </w:p>
    <w:p>
      <w:pPr>
        <w:pStyle w:val="0"/>
        <w:spacing w:before="200" w:line-rule="auto"/>
        <w:ind w:firstLine="540"/>
        <w:jc w:val="both"/>
      </w:pPr>
      <w:r>
        <w:rPr>
          <w:sz w:val="20"/>
        </w:rPr>
        <w:t xml:space="preserve">В нем работают 4 главных специалиста Депздрава Югры: по кардиологии, сердечно-сосудистой хирургии, аритмологии, управлению сестринской деятельностью.</w:t>
      </w:r>
    </w:p>
    <w:p>
      <w:pPr>
        <w:pStyle w:val="0"/>
        <w:spacing w:before="200" w:line-rule="auto"/>
        <w:ind w:firstLine="540"/>
        <w:jc w:val="both"/>
      </w:pPr>
      <w:r>
        <w:rPr>
          <w:sz w:val="20"/>
        </w:rPr>
        <w:t xml:space="preserve">Основные функции БУ "Окружной кардиологический диспансер "Центр диагностики и сердечно-сосудистой хирургии":</w:t>
      </w:r>
    </w:p>
    <w:p>
      <w:pPr>
        <w:pStyle w:val="0"/>
        <w:spacing w:before="200" w:line-rule="auto"/>
        <w:ind w:firstLine="540"/>
        <w:jc w:val="both"/>
      </w:pPr>
      <w:r>
        <w:rPr>
          <w:sz w:val="20"/>
        </w:rPr>
        <w:t xml:space="preserve">оказание консультативной, диагностической и лечебной помощи больным с сердечно-сосудистыми заболеваниями, включая выездные формы работы и использование информационных технологий, в том числе телемедицины;</w:t>
      </w:r>
    </w:p>
    <w:p>
      <w:pPr>
        <w:pStyle w:val="0"/>
        <w:spacing w:before="200" w:line-rule="auto"/>
        <w:ind w:firstLine="540"/>
        <w:jc w:val="both"/>
      </w:pPr>
      <w:r>
        <w:rPr>
          <w:sz w:val="20"/>
        </w:rPr>
        <w:t xml:space="preserve">проведение организационно-методической работы в ходе первичной специализированной медико-санитарной помощи, осуществляемой в амбулаторных условиях, и специализированной, в том числе высокотехнологичной, медицинской помощи, оказываемой в стационарных условиях, включая взаимодействие с медицинскими организациями автономного округа, работа главных специалистов Депздрава Югры;</w:t>
      </w:r>
    </w:p>
    <w:p>
      <w:pPr>
        <w:pStyle w:val="0"/>
        <w:spacing w:before="200" w:line-rule="auto"/>
        <w:ind w:firstLine="540"/>
        <w:jc w:val="both"/>
      </w:pPr>
      <w:r>
        <w:rPr>
          <w:sz w:val="20"/>
        </w:rPr>
        <w:t xml:space="preserve">мониторинг и анализ основных медико-статистических показателей заболеваемости, смертности, летальности от сердечно-сосудистых заболеваний;</w:t>
      </w:r>
    </w:p>
    <w:p>
      <w:pPr>
        <w:pStyle w:val="0"/>
        <w:spacing w:before="200" w:line-rule="auto"/>
        <w:ind w:firstLine="540"/>
        <w:jc w:val="both"/>
      </w:pPr>
      <w:r>
        <w:rPr>
          <w:sz w:val="20"/>
        </w:rPr>
        <w:t xml:space="preserve">разработка мероприятий, направленных на устранение нарушений при исполнении порядков и стандартов оказания медицинской помощи больным с сердечно-сосудистыми заболеваниями;</w:t>
      </w:r>
    </w:p>
    <w:p>
      <w:pPr>
        <w:pStyle w:val="0"/>
        <w:spacing w:before="200" w:line-rule="auto"/>
        <w:ind w:firstLine="540"/>
        <w:jc w:val="both"/>
      </w:pPr>
      <w:r>
        <w:rPr>
          <w:sz w:val="20"/>
        </w:rPr>
        <w:t xml:space="preserve">организация и проведение мероприятий по первичной и вторичной профилактике сердечно-сосудистых заболеваний, сохранению и укреплению здоровья населения;</w:t>
      </w:r>
    </w:p>
    <w:p>
      <w:pPr>
        <w:pStyle w:val="0"/>
        <w:spacing w:before="200" w:line-rule="auto"/>
        <w:ind w:firstLine="540"/>
        <w:jc w:val="both"/>
      </w:pPr>
      <w:r>
        <w:rPr>
          <w:sz w:val="20"/>
        </w:rPr>
        <w:t xml:space="preserve">организация образовательной деятельности в ходе непрерывного медицинского образования.</w:t>
      </w:r>
    </w:p>
    <w:p>
      <w:pPr>
        <w:pStyle w:val="0"/>
        <w:spacing w:before="200" w:line-rule="auto"/>
        <w:ind w:firstLine="540"/>
        <w:jc w:val="both"/>
      </w:pPr>
      <w:r>
        <w:rPr>
          <w:sz w:val="20"/>
        </w:rPr>
        <w:t xml:space="preserve">В БУ "Окружной кардиологический диспансер "Центр диагностики и сердечно-сосудистой хирургии" выполняется весь спектр высокотехнологичных операций на сердце и сосудах (за исключением трансплантации сердца). Удельный вес в общем количестве выполненных в автономном округе операций аортокоронарного шунтирования (далее - АКШ) составляет 62,8%, доля в общем количестве выполненных в автономном округе ЧКВ при ИБС составляет 53,9%.</w:t>
      </w:r>
    </w:p>
    <w:p>
      <w:pPr>
        <w:pStyle w:val="0"/>
        <w:spacing w:before="200" w:line-rule="auto"/>
        <w:ind w:firstLine="540"/>
        <w:jc w:val="both"/>
      </w:pPr>
      <w:r>
        <w:rPr>
          <w:sz w:val="20"/>
        </w:rPr>
        <w:t xml:space="preserve">Статус - региональный сосудистый центр (только по ОКС).</w:t>
      </w:r>
    </w:p>
    <w:p>
      <w:pPr>
        <w:pStyle w:val="0"/>
        <w:spacing w:before="200" w:line-rule="auto"/>
        <w:ind w:firstLine="540"/>
        <w:jc w:val="both"/>
      </w:pPr>
      <w:r>
        <w:rPr>
          <w:sz w:val="20"/>
        </w:rPr>
        <w:t xml:space="preserve">Зона обслуживания - городские округа Сургут, Когалым, Нефтеюганск, Пыть-Ях; Сургутский, Нефтеюганский муниципальные районы.</w:t>
      </w:r>
    </w:p>
    <w:p>
      <w:pPr>
        <w:pStyle w:val="0"/>
        <w:spacing w:before="200" w:line-rule="auto"/>
        <w:ind w:firstLine="540"/>
        <w:jc w:val="both"/>
      </w:pPr>
      <w:r>
        <w:rPr>
          <w:sz w:val="20"/>
        </w:rPr>
        <w:t xml:space="preserve">Общее количество коек - 263, в т.ч.: кардиохирургические 61, кардиологические - 147, реанимационные - 30, отделение медицинской реабилитации - 25 коек, кардиологического дневного стационара - 15 (из них 5 мед. реабилитации).</w:t>
      </w:r>
    </w:p>
    <w:p>
      <w:pPr>
        <w:pStyle w:val="0"/>
        <w:spacing w:before="200" w:line-rule="auto"/>
        <w:ind w:firstLine="540"/>
        <w:jc w:val="both"/>
      </w:pPr>
      <w:r>
        <w:rPr>
          <w:sz w:val="20"/>
        </w:rPr>
        <w:t xml:space="preserve">Приказом Депздрава Югры от 29 марта 2021 года N 413 "О реструктуризации коечного фонда кардиологического профиля в специализированных медицинских организациях, осуществляющих деятельность в г. Сургут" с 1 апреля 2021 года дополнительно развернуты 20 кардиологических коек круглосуточного стационара за счет прекращения деятельности и закрытия 25 коек кардиологического отделения БУ "Сургутская окружная клиническая больница".</w:t>
      </w:r>
    </w:p>
    <w:p>
      <w:pPr>
        <w:pStyle w:val="0"/>
        <w:spacing w:before="200" w:line-rule="auto"/>
        <w:ind w:firstLine="540"/>
        <w:jc w:val="both"/>
      </w:pPr>
      <w:r>
        <w:rPr>
          <w:sz w:val="20"/>
        </w:rPr>
        <w:t xml:space="preserve">В учреждении 9 операционных залов, в том числе 5 кардиохирургических и 4 ренгтенхирургических операционных (1 гибридная).</w:t>
      </w:r>
    </w:p>
    <w:p>
      <w:pPr>
        <w:pStyle w:val="0"/>
        <w:spacing w:before="200" w:line-rule="auto"/>
        <w:ind w:firstLine="540"/>
        <w:jc w:val="both"/>
      </w:pPr>
      <w:r>
        <w:rPr>
          <w:sz w:val="20"/>
        </w:rPr>
        <w:t xml:space="preserve">Количество штатных должностей врачей-кардиологов, ведущих амбулаторный прием, - 22,5, физических лиц - 22.</w:t>
      </w:r>
    </w:p>
    <w:p>
      <w:pPr>
        <w:pStyle w:val="0"/>
        <w:spacing w:before="200" w:line-rule="auto"/>
        <w:ind w:firstLine="540"/>
        <w:jc w:val="both"/>
      </w:pPr>
      <w:r>
        <w:rPr>
          <w:sz w:val="20"/>
        </w:rPr>
        <w:t xml:space="preserve">Количество штатных должностей врачей-кардиологов, оказывающих медицинскую помощь в стационарных условиях, - 57, физических лиц - 37.</w:t>
      </w:r>
    </w:p>
    <w:p>
      <w:pPr>
        <w:pStyle w:val="0"/>
        <w:spacing w:before="200" w:line-rule="auto"/>
        <w:ind w:firstLine="540"/>
        <w:jc w:val="both"/>
      </w:pPr>
      <w:r>
        <w:rPr>
          <w:sz w:val="20"/>
        </w:rPr>
        <w:t xml:space="preserve">Количество штатных единиц специалистов по рентгенэндоваскулярной диагностике и лечению - 15,75, физических лиц - 10.</w:t>
      </w:r>
    </w:p>
    <w:p>
      <w:pPr>
        <w:pStyle w:val="0"/>
        <w:spacing w:before="200" w:line-rule="auto"/>
        <w:ind w:firstLine="540"/>
        <w:jc w:val="both"/>
      </w:pPr>
      <w:r>
        <w:rPr>
          <w:sz w:val="20"/>
        </w:rPr>
        <w:t xml:space="preserve">Учреждение укомплектовано врачами-кардиологами на 76%, врачами по рентгенэндоваскулярным методам диагностики и лечения - на 96,8%, врачами - анестезиологами-реаниматологами - на 70,5%.</w:t>
      </w:r>
    </w:p>
    <w:p>
      <w:pPr>
        <w:pStyle w:val="0"/>
        <w:spacing w:before="200" w:line-rule="auto"/>
        <w:ind w:firstLine="540"/>
        <w:jc w:val="both"/>
      </w:pPr>
      <w:r>
        <w:rPr>
          <w:sz w:val="20"/>
        </w:rPr>
        <w:t xml:space="preserve">Нагрузка на 1 ангиограф 6,7 исследований и операций в день.</w:t>
      </w:r>
    </w:p>
    <w:p>
      <w:pPr>
        <w:pStyle w:val="0"/>
        <w:spacing w:before="200" w:line-rule="auto"/>
        <w:ind w:firstLine="540"/>
        <w:jc w:val="both"/>
      </w:pPr>
      <w:r>
        <w:rPr>
          <w:sz w:val="20"/>
        </w:rPr>
        <w:t xml:space="preserve">Учреждение оснащено 4 ангиографическими установками (2005, 2012, и 2 аппарата 2017 года), 2 аппаратами КТ 2009 года (износ 100%) и 2019 года и 1 аппаратом МРТ 2020 года (1 новый аппарат на стадии монтажа), 36 аппаратами для УЗИ сосудов и ЭХО-КГ, в т.ч. 12 портативных, имеется 7 систем для проведения нагрузочных проб и 53 аппарата для программируемой ИВЛ, в т.ч. 7 транспортных.</w:t>
      </w:r>
    </w:p>
    <w:p>
      <w:pPr>
        <w:pStyle w:val="0"/>
        <w:spacing w:before="200" w:line-rule="auto"/>
        <w:ind w:firstLine="540"/>
        <w:jc w:val="both"/>
      </w:pPr>
      <w:r>
        <w:rPr>
          <w:sz w:val="20"/>
        </w:rPr>
        <w:t xml:space="preserve">Число пролеченных больных за 2022 год - 9062 человека, на 7,8% больше в сравнении с 2021 годом (8410 больных).</w:t>
      </w:r>
    </w:p>
    <w:p>
      <w:pPr>
        <w:pStyle w:val="0"/>
        <w:spacing w:before="200" w:line-rule="auto"/>
        <w:ind w:firstLine="540"/>
        <w:jc w:val="both"/>
      </w:pPr>
      <w:r>
        <w:rPr>
          <w:sz w:val="20"/>
        </w:rPr>
        <w:t xml:space="preserve">Количество прооперированных пациентов увеличилось на 6,5% и составило 4225 человек.</w:t>
      </w:r>
    </w:p>
    <w:p>
      <w:pPr>
        <w:pStyle w:val="0"/>
        <w:spacing w:before="200" w:line-rule="auto"/>
        <w:ind w:firstLine="540"/>
        <w:jc w:val="both"/>
      </w:pPr>
      <w:r>
        <w:rPr>
          <w:sz w:val="20"/>
        </w:rPr>
        <w:t xml:space="preserve">В 2022 году пролечено 1800 пациентов с ОКС, из них 1077 человек (59,8%) с ОИМ, выполнено 1405 ЧКВ, из них 934 (66,5%) - пациентам с ИМ.</w:t>
      </w:r>
    </w:p>
    <w:p>
      <w:pPr>
        <w:pStyle w:val="0"/>
        <w:spacing w:before="200" w:line-rule="auto"/>
        <w:ind w:firstLine="540"/>
        <w:jc w:val="both"/>
      </w:pPr>
      <w:r>
        <w:rPr>
          <w:sz w:val="20"/>
        </w:rPr>
        <w:t xml:space="preserve">Из 1800 пролеченных пациентов с ОКС 33% переведены из ПСО.</w:t>
      </w:r>
    </w:p>
    <w:p>
      <w:pPr>
        <w:pStyle w:val="0"/>
        <w:spacing w:before="200" w:line-rule="auto"/>
        <w:ind w:firstLine="540"/>
        <w:jc w:val="both"/>
      </w:pPr>
      <w:r>
        <w:rPr>
          <w:sz w:val="20"/>
        </w:rPr>
        <w:t xml:space="preserve">Летальность от ИМ составила 4,2%, ниже средней по РСЦ (4,3%).</w:t>
      </w:r>
    </w:p>
    <w:p>
      <w:pPr>
        <w:pStyle w:val="0"/>
        <w:spacing w:before="200" w:line-rule="auto"/>
        <w:ind w:firstLine="540"/>
        <w:jc w:val="both"/>
      </w:pPr>
      <w:r>
        <w:rPr>
          <w:sz w:val="20"/>
        </w:rPr>
        <w:t xml:space="preserve">Выполнено за 2021 год 4385 нагрузочных тестов, в т.ч. 4221 - в поликлинике, 164 - в стационаре.</w:t>
      </w:r>
    </w:p>
    <w:p>
      <w:pPr>
        <w:pStyle w:val="0"/>
        <w:spacing w:before="200" w:line-rule="auto"/>
        <w:ind w:firstLine="540"/>
        <w:jc w:val="both"/>
      </w:pPr>
      <w:r>
        <w:rPr>
          <w:sz w:val="20"/>
        </w:rPr>
        <w:t xml:space="preserve">С целью повышения доступности и качества медицинской помощи по профилю "медицинская реабилитация" открыто отделение ранней медицинской реабилитации в структуре круглосуточного стационара.</w:t>
      </w:r>
    </w:p>
    <w:p>
      <w:pPr>
        <w:pStyle w:val="0"/>
        <w:spacing w:before="200" w:line-rule="auto"/>
        <w:ind w:firstLine="540"/>
        <w:jc w:val="both"/>
      </w:pPr>
      <w:r>
        <w:rPr>
          <w:sz w:val="20"/>
        </w:rPr>
        <w:t xml:space="preserve">С апреля 2022 года на базе стационара открыто отделение медицинской реабилитации на 25 коек, за 9 месяцев в отделении прошли кардиореабилитацию 381 пациент, из них 72% после операций аортокоронарного шунтирования.</w:t>
      </w:r>
    </w:p>
    <w:p>
      <w:pPr>
        <w:pStyle w:val="0"/>
        <w:jc w:val="right"/>
      </w:pPr>
      <w:r>
        <w:rPr>
          <w:sz w:val="20"/>
        </w:rPr>
      </w:r>
    </w:p>
    <w:p>
      <w:pPr>
        <w:pStyle w:val="0"/>
        <w:jc w:val="right"/>
      </w:pPr>
      <w:r>
        <w:rPr>
          <w:sz w:val="20"/>
        </w:rPr>
        <w:t xml:space="preserve">Рисунок 18</w:t>
      </w:r>
    </w:p>
    <w:p>
      <w:pPr>
        <w:pStyle w:val="0"/>
        <w:jc w:val="right"/>
      </w:pPr>
      <w:r>
        <w:rPr>
          <w:sz w:val="20"/>
        </w:rPr>
      </w:r>
    </w:p>
    <w:p>
      <w:pPr>
        <w:pStyle w:val="0"/>
        <w:jc w:val="center"/>
      </w:pPr>
      <w:r>
        <w:rPr>
          <w:sz w:val="20"/>
        </w:rPr>
        <w:t xml:space="preserve">Маршрутизация пациентов с ОКС в зоне ответственности РСЦ N 1</w:t>
      </w:r>
    </w:p>
    <w:p>
      <w:pPr>
        <w:pStyle w:val="0"/>
        <w:jc w:val="center"/>
      </w:pPr>
      <w:r>
        <w:rPr>
          <w:sz w:val="20"/>
        </w:rPr>
      </w:r>
    </w:p>
    <w:p>
      <w:pPr>
        <w:pStyle w:val="0"/>
        <w:jc w:val="center"/>
      </w:pPr>
      <w:r>
        <w:rPr>
          <w:position w:val="-249"/>
        </w:rPr>
        <w:drawing>
          <wp:inline distT="0" distB="0" distL="0" distR="0">
            <wp:extent cx="6120130" cy="3297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6120130" cy="3297555"/>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Число обслуживаемого РСЦ N 1 населения составляет 648 446 человек. Обеспеченность койками РСЦ в зоне ответственности - 1,7 на 10 тыс. взрослого населения (средний по автономному округу показатель 1,6 на 10 тыс. нас.).</w:t>
      </w:r>
    </w:p>
    <w:p>
      <w:pPr>
        <w:pStyle w:val="0"/>
        <w:spacing w:before="200" w:line-rule="auto"/>
        <w:ind w:firstLine="540"/>
        <w:jc w:val="both"/>
      </w:pPr>
      <w:r>
        <w:rPr>
          <w:sz w:val="20"/>
        </w:rPr>
        <w:t xml:space="preserve">В 2017 году Депздравом Югры принято решение о целесообразности концентрации оказания специализированной, в том числе высокотехнологичной, медицинской помощи больным с болезнями системы кровообращения (БСК), жителям городского округа Сургут и Сургутского муниципального района в одном специализированном учреждении третьего уровня - БУ "Окружной кардиологический диспансер "Центр диагностики и сердечно-сосудистой хирургии". В результате поэтапного перенаправлении потока пациентов с БСК из БУ "Сургутская окружная клиническая больница" в БУ "Окружной кардиологический диспансер "Центр диагностики и сердечно-сосудистой хирургии" кардиологический коечный фонд БУ "Окружной кардиологический диспансер "Центр диагностики и сердечно-сосудистой хирургии" был увеличен с 90 (в 2017 году) до 147 коек (в 2022 году). В 2021 году прекращена деятельность кардиологического отделения БУ "Сургутская окружная клиническая больница" и передан весь объем плановой и экстренной специализированной медицинской помощи больным с БСК в БУ "Окружной кардиологический диспансер "Центр диагностики и сердечно-сосудистой хирургии", что повысило качество оказания медицинской помощи, облегчило отбор больных, нуждающихся в оказании ВМП и позволило осуществлять полный цикл лечения пациентов, включая предоперационную подготовку, хирургическое лечение и кардиореабилитацию.</w:t>
      </w:r>
    </w:p>
    <w:p>
      <w:pPr>
        <w:pStyle w:val="0"/>
        <w:spacing w:before="200" w:line-rule="auto"/>
        <w:ind w:firstLine="540"/>
        <w:jc w:val="both"/>
      </w:pPr>
      <w:r>
        <w:rPr>
          <w:sz w:val="20"/>
        </w:rPr>
        <w:t xml:space="preserve">В соответствии с алгоритмом маршрутизации к РСЦ N 1 относятся 4 ПСО, все из них имеют кардиологические койки: БУ "Нефтеюганская окружная клиническая больница" (35 коек), БУ "Пыть-Яхская окружная клиническая больница" (13 коек), БУ "Лангепасская городская больница" (5 коек), БУ "Когалымская городская больница" (15 коек).</w:t>
      </w:r>
    </w:p>
    <w:p>
      <w:pPr>
        <w:pStyle w:val="0"/>
        <w:ind w:firstLine="540"/>
        <w:jc w:val="both"/>
      </w:pPr>
      <w:r>
        <w:rPr>
          <w:sz w:val="20"/>
        </w:rPr>
      </w:r>
    </w:p>
    <w:p>
      <w:pPr>
        <w:pStyle w:val="0"/>
        <w:jc w:val="right"/>
      </w:pPr>
      <w:r>
        <w:rPr>
          <w:sz w:val="20"/>
        </w:rPr>
        <w:t xml:space="preserve">Таблица 49</w:t>
      </w:r>
    </w:p>
    <w:p>
      <w:pPr>
        <w:pStyle w:val="0"/>
        <w:jc w:val="right"/>
      </w:pPr>
      <w:r>
        <w:rPr>
          <w:sz w:val="20"/>
        </w:rPr>
      </w:r>
    </w:p>
    <w:p>
      <w:pPr>
        <w:pStyle w:val="0"/>
        <w:jc w:val="center"/>
      </w:pPr>
      <w:r>
        <w:rPr>
          <w:sz w:val="20"/>
        </w:rPr>
        <w:t xml:space="preserve">Показатели работы ПСО и МО зоны ответственности РСЦ N 1</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1249"/>
        <w:gridCol w:w="1369"/>
        <w:gridCol w:w="964"/>
        <w:gridCol w:w="1609"/>
        <w:gridCol w:w="1369"/>
      </w:tblGrid>
      <w:tr>
        <w:tc>
          <w:tcPr>
            <w:tcW w:w="2381" w:type="dxa"/>
          </w:tcPr>
          <w:p>
            <w:pPr>
              <w:pStyle w:val="0"/>
              <w:jc w:val="center"/>
            </w:pPr>
            <w:r>
              <w:rPr>
                <w:sz w:val="20"/>
              </w:rPr>
              <w:t xml:space="preserve">МО</w:t>
            </w:r>
          </w:p>
        </w:tc>
        <w:tc>
          <w:tcPr>
            <w:tcW w:w="1249" w:type="dxa"/>
          </w:tcPr>
          <w:p>
            <w:pPr>
              <w:pStyle w:val="0"/>
              <w:jc w:val="center"/>
            </w:pPr>
            <w:r>
              <w:rPr>
                <w:sz w:val="20"/>
              </w:rPr>
              <w:t xml:space="preserve">Поступили с ОКС</w:t>
            </w:r>
          </w:p>
        </w:tc>
        <w:tc>
          <w:tcPr>
            <w:tcW w:w="1369" w:type="dxa"/>
          </w:tcPr>
          <w:p>
            <w:pPr>
              <w:pStyle w:val="0"/>
              <w:jc w:val="center"/>
            </w:pPr>
            <w:r>
              <w:rPr>
                <w:sz w:val="20"/>
              </w:rPr>
              <w:t xml:space="preserve">Доставлены до 12 ч., %</w:t>
            </w:r>
          </w:p>
        </w:tc>
        <w:tc>
          <w:tcPr>
            <w:tcW w:w="964" w:type="dxa"/>
          </w:tcPr>
          <w:p>
            <w:pPr>
              <w:pStyle w:val="0"/>
              <w:jc w:val="center"/>
            </w:pPr>
            <w:r>
              <w:rPr>
                <w:sz w:val="20"/>
              </w:rPr>
              <w:t xml:space="preserve">ОКС пST, %</w:t>
            </w:r>
          </w:p>
        </w:tc>
        <w:tc>
          <w:tcPr>
            <w:tcW w:w="1609" w:type="dxa"/>
          </w:tcPr>
          <w:p>
            <w:pPr>
              <w:pStyle w:val="0"/>
              <w:jc w:val="center"/>
            </w:pPr>
            <w:r>
              <w:rPr>
                <w:sz w:val="20"/>
              </w:rPr>
              <w:t xml:space="preserve">ТЛТ/догоспит/</w:t>
            </w:r>
          </w:p>
          <w:p>
            <w:pPr>
              <w:pStyle w:val="0"/>
              <w:jc w:val="center"/>
            </w:pPr>
            <w:r>
              <w:rPr>
                <w:sz w:val="20"/>
              </w:rPr>
              <w:t xml:space="preserve">уд. вес, %</w:t>
            </w:r>
          </w:p>
        </w:tc>
        <w:tc>
          <w:tcPr>
            <w:tcW w:w="1369" w:type="dxa"/>
          </w:tcPr>
          <w:p>
            <w:pPr>
              <w:pStyle w:val="0"/>
              <w:jc w:val="center"/>
            </w:pPr>
            <w:r>
              <w:rPr>
                <w:sz w:val="20"/>
              </w:rPr>
              <w:t xml:space="preserve">Переведены в РСЦ / уд. вес, %</w:t>
            </w:r>
          </w:p>
        </w:tc>
      </w:tr>
      <w:tr>
        <w:tc>
          <w:tcPr>
            <w:tcW w:w="2381" w:type="dxa"/>
          </w:tcPr>
          <w:p>
            <w:pPr>
              <w:pStyle w:val="0"/>
            </w:pPr>
            <w:r>
              <w:rPr>
                <w:sz w:val="20"/>
              </w:rPr>
              <w:t xml:space="preserve">БУ "Нефтеюганская окружная клиническая больница им. В.И.Яцкив"</w:t>
            </w:r>
          </w:p>
        </w:tc>
        <w:tc>
          <w:tcPr>
            <w:tcW w:w="1249" w:type="dxa"/>
          </w:tcPr>
          <w:p>
            <w:pPr>
              <w:pStyle w:val="0"/>
            </w:pPr>
            <w:r>
              <w:rPr>
                <w:sz w:val="20"/>
              </w:rPr>
              <w:t xml:space="preserve">228</w:t>
            </w:r>
          </w:p>
        </w:tc>
        <w:tc>
          <w:tcPr>
            <w:tcW w:w="1369" w:type="dxa"/>
          </w:tcPr>
          <w:p>
            <w:pPr>
              <w:pStyle w:val="0"/>
            </w:pPr>
            <w:r>
              <w:rPr>
                <w:sz w:val="20"/>
              </w:rPr>
              <w:t xml:space="preserve">62/27,2</w:t>
            </w:r>
          </w:p>
        </w:tc>
        <w:tc>
          <w:tcPr>
            <w:tcW w:w="964" w:type="dxa"/>
          </w:tcPr>
          <w:p>
            <w:pPr>
              <w:pStyle w:val="0"/>
            </w:pPr>
            <w:r>
              <w:rPr>
                <w:sz w:val="20"/>
              </w:rPr>
              <w:t xml:space="preserve">50/21,9</w:t>
            </w:r>
          </w:p>
        </w:tc>
        <w:tc>
          <w:tcPr>
            <w:tcW w:w="1609" w:type="dxa"/>
          </w:tcPr>
          <w:p>
            <w:pPr>
              <w:pStyle w:val="0"/>
            </w:pPr>
            <w:r>
              <w:rPr>
                <w:sz w:val="20"/>
              </w:rPr>
              <w:t xml:space="preserve">3/0/4,8</w:t>
            </w:r>
          </w:p>
        </w:tc>
        <w:tc>
          <w:tcPr>
            <w:tcW w:w="1369" w:type="dxa"/>
          </w:tcPr>
          <w:p>
            <w:pPr>
              <w:pStyle w:val="0"/>
            </w:pPr>
            <w:r>
              <w:rPr>
                <w:sz w:val="20"/>
              </w:rPr>
              <w:t xml:space="preserve">201/88,2</w:t>
            </w:r>
          </w:p>
        </w:tc>
      </w:tr>
      <w:tr>
        <w:tc>
          <w:tcPr>
            <w:tcW w:w="2381" w:type="dxa"/>
          </w:tcPr>
          <w:p>
            <w:pPr>
              <w:pStyle w:val="0"/>
            </w:pPr>
            <w:r>
              <w:rPr>
                <w:sz w:val="20"/>
              </w:rPr>
              <w:t xml:space="preserve">БУ "Лангепасская городская больница"</w:t>
            </w:r>
          </w:p>
        </w:tc>
        <w:tc>
          <w:tcPr>
            <w:tcW w:w="1249" w:type="dxa"/>
          </w:tcPr>
          <w:p>
            <w:pPr>
              <w:pStyle w:val="0"/>
            </w:pPr>
            <w:r>
              <w:rPr>
                <w:sz w:val="20"/>
              </w:rPr>
              <w:t xml:space="preserve">41</w:t>
            </w:r>
          </w:p>
        </w:tc>
        <w:tc>
          <w:tcPr>
            <w:tcW w:w="1369" w:type="dxa"/>
          </w:tcPr>
          <w:p>
            <w:pPr>
              <w:pStyle w:val="0"/>
            </w:pPr>
            <w:r>
              <w:rPr>
                <w:sz w:val="20"/>
              </w:rPr>
              <w:t xml:space="preserve">15/36,6</w:t>
            </w:r>
          </w:p>
        </w:tc>
        <w:tc>
          <w:tcPr>
            <w:tcW w:w="964" w:type="dxa"/>
          </w:tcPr>
          <w:p>
            <w:pPr>
              <w:pStyle w:val="0"/>
            </w:pPr>
            <w:r>
              <w:rPr>
                <w:sz w:val="20"/>
              </w:rPr>
              <w:t xml:space="preserve">15/36,3</w:t>
            </w:r>
          </w:p>
        </w:tc>
        <w:tc>
          <w:tcPr>
            <w:tcW w:w="1609" w:type="dxa"/>
          </w:tcPr>
          <w:p>
            <w:pPr>
              <w:pStyle w:val="0"/>
            </w:pPr>
            <w:r>
              <w:rPr>
                <w:sz w:val="20"/>
              </w:rPr>
              <w:t xml:space="preserve">11/0/73,3</w:t>
            </w:r>
          </w:p>
        </w:tc>
        <w:tc>
          <w:tcPr>
            <w:tcW w:w="1369" w:type="dxa"/>
          </w:tcPr>
          <w:p>
            <w:pPr>
              <w:pStyle w:val="0"/>
            </w:pPr>
            <w:r>
              <w:rPr>
                <w:sz w:val="20"/>
              </w:rPr>
              <w:t xml:space="preserve">28 /68,3</w:t>
            </w:r>
          </w:p>
        </w:tc>
      </w:tr>
      <w:tr>
        <w:tc>
          <w:tcPr>
            <w:tcW w:w="2381" w:type="dxa"/>
          </w:tcPr>
          <w:p>
            <w:pPr>
              <w:pStyle w:val="0"/>
            </w:pPr>
            <w:r>
              <w:rPr>
                <w:sz w:val="20"/>
              </w:rPr>
              <w:t xml:space="preserve">БУ "Когалымская городская больница"</w:t>
            </w:r>
          </w:p>
        </w:tc>
        <w:tc>
          <w:tcPr>
            <w:tcW w:w="1249" w:type="dxa"/>
          </w:tcPr>
          <w:p>
            <w:pPr>
              <w:pStyle w:val="0"/>
            </w:pPr>
            <w:r>
              <w:rPr>
                <w:sz w:val="20"/>
              </w:rPr>
              <w:t xml:space="preserve">169</w:t>
            </w:r>
          </w:p>
        </w:tc>
        <w:tc>
          <w:tcPr>
            <w:tcW w:w="1369" w:type="dxa"/>
          </w:tcPr>
          <w:p>
            <w:pPr>
              <w:pStyle w:val="0"/>
            </w:pPr>
            <w:r>
              <w:rPr>
                <w:sz w:val="20"/>
              </w:rPr>
              <w:t xml:space="preserve">36/21,5</w:t>
            </w:r>
          </w:p>
        </w:tc>
        <w:tc>
          <w:tcPr>
            <w:tcW w:w="964" w:type="dxa"/>
          </w:tcPr>
          <w:p>
            <w:pPr>
              <w:pStyle w:val="0"/>
            </w:pPr>
            <w:r>
              <w:rPr>
                <w:sz w:val="20"/>
              </w:rPr>
              <w:t xml:space="preserve">36/21,3</w:t>
            </w:r>
          </w:p>
        </w:tc>
        <w:tc>
          <w:tcPr>
            <w:tcW w:w="1609" w:type="dxa"/>
          </w:tcPr>
          <w:p>
            <w:pPr>
              <w:pStyle w:val="0"/>
            </w:pPr>
            <w:r>
              <w:rPr>
                <w:sz w:val="20"/>
              </w:rPr>
              <w:t xml:space="preserve">36/12/33,3</w:t>
            </w:r>
          </w:p>
        </w:tc>
        <w:tc>
          <w:tcPr>
            <w:tcW w:w="1369" w:type="dxa"/>
          </w:tcPr>
          <w:p>
            <w:pPr>
              <w:pStyle w:val="0"/>
            </w:pPr>
            <w:r>
              <w:rPr>
                <w:sz w:val="20"/>
              </w:rPr>
              <w:t xml:space="preserve">119/70,4</w:t>
            </w:r>
          </w:p>
        </w:tc>
      </w:tr>
      <w:tr>
        <w:tc>
          <w:tcPr>
            <w:tcW w:w="2381" w:type="dxa"/>
          </w:tcPr>
          <w:p>
            <w:pPr>
              <w:pStyle w:val="0"/>
            </w:pPr>
            <w:r>
              <w:rPr>
                <w:sz w:val="20"/>
              </w:rPr>
              <w:t xml:space="preserve">БУ "Лянторская городская больница"</w:t>
            </w:r>
          </w:p>
        </w:tc>
        <w:tc>
          <w:tcPr>
            <w:tcW w:w="1249" w:type="dxa"/>
          </w:tcPr>
          <w:p>
            <w:pPr>
              <w:pStyle w:val="0"/>
            </w:pPr>
            <w:r>
              <w:rPr>
                <w:sz w:val="20"/>
              </w:rPr>
              <w:t xml:space="preserve">49</w:t>
            </w:r>
          </w:p>
        </w:tc>
        <w:tc>
          <w:tcPr>
            <w:tcW w:w="1369" w:type="dxa"/>
          </w:tcPr>
          <w:p>
            <w:pPr>
              <w:pStyle w:val="0"/>
            </w:pPr>
            <w:r>
              <w:rPr>
                <w:sz w:val="20"/>
              </w:rPr>
              <w:t xml:space="preserve">7/14,3</w:t>
            </w:r>
          </w:p>
        </w:tc>
        <w:tc>
          <w:tcPr>
            <w:tcW w:w="964" w:type="dxa"/>
          </w:tcPr>
          <w:p>
            <w:pPr>
              <w:pStyle w:val="0"/>
            </w:pPr>
            <w:r>
              <w:rPr>
                <w:sz w:val="20"/>
              </w:rPr>
              <w:t xml:space="preserve">7/14,3</w:t>
            </w:r>
          </w:p>
        </w:tc>
        <w:tc>
          <w:tcPr>
            <w:tcW w:w="1609" w:type="dxa"/>
          </w:tcPr>
          <w:p>
            <w:pPr>
              <w:pStyle w:val="0"/>
            </w:pPr>
            <w:r>
              <w:rPr>
                <w:sz w:val="20"/>
              </w:rPr>
              <w:t xml:space="preserve">6/6/85,7</w:t>
            </w:r>
          </w:p>
        </w:tc>
        <w:tc>
          <w:tcPr>
            <w:tcW w:w="1369" w:type="dxa"/>
          </w:tcPr>
          <w:p>
            <w:pPr>
              <w:pStyle w:val="0"/>
            </w:pPr>
            <w:r>
              <w:rPr>
                <w:sz w:val="20"/>
              </w:rPr>
              <w:t xml:space="preserve">47/95,9</w:t>
            </w:r>
          </w:p>
        </w:tc>
      </w:tr>
      <w:tr>
        <w:tc>
          <w:tcPr>
            <w:tcW w:w="2381" w:type="dxa"/>
          </w:tcPr>
          <w:p>
            <w:pPr>
              <w:pStyle w:val="0"/>
            </w:pPr>
            <w:r>
              <w:rPr>
                <w:sz w:val="20"/>
              </w:rPr>
              <w:t xml:space="preserve">БУ "Покачевская городская больница"</w:t>
            </w:r>
          </w:p>
        </w:tc>
        <w:tc>
          <w:tcPr>
            <w:tcW w:w="1249" w:type="dxa"/>
          </w:tcPr>
          <w:p>
            <w:pPr>
              <w:pStyle w:val="0"/>
            </w:pPr>
            <w:r>
              <w:rPr>
                <w:sz w:val="20"/>
              </w:rPr>
              <w:t xml:space="preserve">49</w:t>
            </w:r>
          </w:p>
        </w:tc>
        <w:tc>
          <w:tcPr>
            <w:tcW w:w="1369" w:type="dxa"/>
          </w:tcPr>
          <w:p>
            <w:pPr>
              <w:pStyle w:val="0"/>
            </w:pPr>
            <w:r>
              <w:rPr>
                <w:sz w:val="20"/>
              </w:rPr>
              <w:t xml:space="preserve">0/0</w:t>
            </w:r>
          </w:p>
        </w:tc>
        <w:tc>
          <w:tcPr>
            <w:tcW w:w="964" w:type="dxa"/>
          </w:tcPr>
          <w:p>
            <w:pPr>
              <w:pStyle w:val="0"/>
            </w:pPr>
            <w:r>
              <w:rPr>
                <w:sz w:val="20"/>
              </w:rPr>
              <w:t xml:space="preserve">13/26,5</w:t>
            </w:r>
          </w:p>
        </w:tc>
        <w:tc>
          <w:tcPr>
            <w:tcW w:w="1609" w:type="dxa"/>
          </w:tcPr>
          <w:p>
            <w:pPr>
              <w:pStyle w:val="0"/>
            </w:pPr>
            <w:r>
              <w:rPr>
                <w:sz w:val="20"/>
              </w:rPr>
              <w:t xml:space="preserve">9/0/69,2</w:t>
            </w:r>
          </w:p>
        </w:tc>
        <w:tc>
          <w:tcPr>
            <w:tcW w:w="1369" w:type="dxa"/>
          </w:tcPr>
          <w:p>
            <w:pPr>
              <w:pStyle w:val="0"/>
            </w:pPr>
            <w:r>
              <w:rPr>
                <w:sz w:val="20"/>
              </w:rPr>
              <w:t xml:space="preserve">49 /100</w:t>
            </w:r>
          </w:p>
        </w:tc>
      </w:tr>
      <w:tr>
        <w:tc>
          <w:tcPr>
            <w:tcW w:w="2381" w:type="dxa"/>
          </w:tcPr>
          <w:p>
            <w:pPr>
              <w:pStyle w:val="0"/>
            </w:pPr>
            <w:r>
              <w:rPr>
                <w:sz w:val="20"/>
              </w:rPr>
              <w:t xml:space="preserve">БУ "Пыть-Яхская городская больница"</w:t>
            </w:r>
          </w:p>
        </w:tc>
        <w:tc>
          <w:tcPr>
            <w:tcW w:w="1249" w:type="dxa"/>
          </w:tcPr>
          <w:p>
            <w:pPr>
              <w:pStyle w:val="0"/>
            </w:pPr>
            <w:r>
              <w:rPr>
                <w:sz w:val="20"/>
              </w:rPr>
              <w:t xml:space="preserve">118</w:t>
            </w:r>
          </w:p>
        </w:tc>
        <w:tc>
          <w:tcPr>
            <w:tcW w:w="1369" w:type="dxa"/>
          </w:tcPr>
          <w:p>
            <w:pPr>
              <w:pStyle w:val="0"/>
            </w:pPr>
            <w:r>
              <w:rPr>
                <w:sz w:val="20"/>
              </w:rPr>
              <w:t xml:space="preserve">33/28</w:t>
            </w:r>
          </w:p>
        </w:tc>
        <w:tc>
          <w:tcPr>
            <w:tcW w:w="964" w:type="dxa"/>
          </w:tcPr>
          <w:p>
            <w:pPr>
              <w:pStyle w:val="0"/>
            </w:pPr>
            <w:r>
              <w:rPr>
                <w:sz w:val="20"/>
              </w:rPr>
              <w:t xml:space="preserve">38/32,2</w:t>
            </w:r>
          </w:p>
        </w:tc>
        <w:tc>
          <w:tcPr>
            <w:tcW w:w="1609" w:type="dxa"/>
          </w:tcPr>
          <w:p>
            <w:pPr>
              <w:pStyle w:val="0"/>
            </w:pPr>
            <w:r>
              <w:rPr>
                <w:sz w:val="20"/>
              </w:rPr>
              <w:t xml:space="preserve">26/5/68,4</w:t>
            </w:r>
          </w:p>
        </w:tc>
        <w:tc>
          <w:tcPr>
            <w:tcW w:w="1369" w:type="dxa"/>
          </w:tcPr>
          <w:p>
            <w:pPr>
              <w:pStyle w:val="0"/>
            </w:pPr>
            <w:r>
              <w:rPr>
                <w:sz w:val="20"/>
              </w:rPr>
              <w:t xml:space="preserve">103/87,3</w:t>
            </w:r>
          </w:p>
        </w:tc>
      </w:tr>
      <w:tr>
        <w:tc>
          <w:tcPr>
            <w:tcW w:w="2381" w:type="dxa"/>
          </w:tcPr>
          <w:p>
            <w:pPr>
              <w:pStyle w:val="0"/>
            </w:pPr>
            <w:r>
              <w:rPr>
                <w:sz w:val="20"/>
              </w:rPr>
              <w:t xml:space="preserve">Итого по всем ПСО</w:t>
            </w:r>
          </w:p>
        </w:tc>
        <w:tc>
          <w:tcPr>
            <w:tcW w:w="1249" w:type="dxa"/>
          </w:tcPr>
          <w:p>
            <w:pPr>
              <w:pStyle w:val="0"/>
            </w:pPr>
            <w:r>
              <w:rPr>
                <w:sz w:val="20"/>
              </w:rPr>
              <w:t xml:space="preserve">654</w:t>
            </w:r>
          </w:p>
        </w:tc>
        <w:tc>
          <w:tcPr>
            <w:tcW w:w="1369" w:type="dxa"/>
          </w:tcPr>
          <w:p>
            <w:pPr>
              <w:pStyle w:val="0"/>
            </w:pPr>
            <w:r>
              <w:rPr>
                <w:sz w:val="20"/>
              </w:rPr>
              <w:t xml:space="preserve">134/23,8</w:t>
            </w:r>
          </w:p>
        </w:tc>
        <w:tc>
          <w:tcPr>
            <w:tcW w:w="964" w:type="dxa"/>
          </w:tcPr>
          <w:p>
            <w:pPr>
              <w:pStyle w:val="0"/>
            </w:pPr>
            <w:r>
              <w:rPr>
                <w:sz w:val="20"/>
              </w:rPr>
              <w:t xml:space="preserve">159/28,2</w:t>
            </w:r>
          </w:p>
        </w:tc>
        <w:tc>
          <w:tcPr>
            <w:tcW w:w="1609" w:type="dxa"/>
          </w:tcPr>
          <w:p>
            <w:pPr>
              <w:pStyle w:val="0"/>
            </w:pPr>
            <w:r>
              <w:rPr>
                <w:sz w:val="20"/>
              </w:rPr>
              <w:t xml:space="preserve">91/23/57,2</w:t>
            </w:r>
          </w:p>
        </w:tc>
        <w:tc>
          <w:tcPr>
            <w:tcW w:w="1369" w:type="dxa"/>
          </w:tcPr>
          <w:p>
            <w:pPr>
              <w:pStyle w:val="0"/>
            </w:pPr>
            <w:r>
              <w:rPr>
                <w:sz w:val="20"/>
              </w:rPr>
              <w:t xml:space="preserve">547/83,6</w:t>
            </w:r>
          </w:p>
        </w:tc>
      </w:tr>
    </w:tbl>
    <w:p>
      <w:pPr>
        <w:pStyle w:val="0"/>
        <w:ind w:firstLine="540"/>
        <w:jc w:val="both"/>
      </w:pPr>
      <w:r>
        <w:rPr>
          <w:sz w:val="20"/>
        </w:rPr>
      </w:r>
    </w:p>
    <w:p>
      <w:pPr>
        <w:pStyle w:val="0"/>
        <w:ind w:firstLine="540"/>
        <w:jc w:val="both"/>
      </w:pPr>
      <w:r>
        <w:rPr>
          <w:sz w:val="20"/>
        </w:rPr>
        <w:t xml:space="preserve">В динамике за 3 года (2020 - 2022 годы) число пациентов с ОКС, поступивших в ПСО зоны ответственности РСЦ N 1, сократилось с 728 до 654 человек (на 10,2%), в связи с тем, что пациентов бригады СМП напрямую доставляют в РСЦ, минуя ПСО.</w:t>
      </w:r>
    </w:p>
    <w:p>
      <w:pPr>
        <w:pStyle w:val="0"/>
        <w:spacing w:before="200" w:line-rule="auto"/>
        <w:ind w:firstLine="540"/>
        <w:jc w:val="both"/>
      </w:pPr>
      <w:r>
        <w:rPr>
          <w:sz w:val="20"/>
        </w:rPr>
        <w:t xml:space="preserve">Наименьший удельный вес доставленных пациентов с ОКС в срок до 12 ч. (14%) в городе Лянторе, в городе Покачи все пациенты были госпитализированы позже 12 часов от начала возникновения симптомов. Данный факт свидетельствует о недостаточной информационно-профилактической работе с населением, отсутствии настороженности у пациентов при возникновении болей в груди.</w:t>
      </w:r>
    </w:p>
    <w:p>
      <w:pPr>
        <w:pStyle w:val="0"/>
        <w:spacing w:before="200" w:line-rule="auto"/>
        <w:ind w:firstLine="540"/>
        <w:jc w:val="both"/>
      </w:pPr>
      <w:r>
        <w:rPr>
          <w:sz w:val="20"/>
        </w:rPr>
        <w:t xml:space="preserve">Учитывая расстояние от ПСО до РСЦ, в соответствии с утвержденными алгоритмами во всех ПСО, кроме города Нефтеюганска, должна быть применена фармакоинвазивная стратегия. Фактически удельный вес ТЛТ в медорганизациях зоны ответственности достаточен, учитывая прямую доставку в РСЦ пациентов города Нефтеюганска и часть пациентов города Пыть-Яха. В городах Лангепас, Покачи не проводится догоспитальный тромболизис, недостаточен удельный вес догоспитального ТЛТ в городах Пыть-Ях и Когалым.</w:t>
      </w:r>
    </w:p>
    <w:p>
      <w:pPr>
        <w:pStyle w:val="0"/>
        <w:spacing w:before="200" w:line-rule="auto"/>
        <w:ind w:firstLine="540"/>
        <w:jc w:val="both"/>
      </w:pPr>
      <w:r>
        <w:rPr>
          <w:sz w:val="20"/>
        </w:rPr>
        <w:t xml:space="preserve">Всего умерших в ПСО зоны ответственности РСЦ N 1 - 10 пациентов с ИМ, все случаи летальности проанализированы. Дефектов оказания медицинской помощи, способных оказать влияние на исход, не выявлено. Умершие по причине исходной тяжести состояния или в связи с тяжелой коморбидной патологией не подлежали переводу в РСЦ.</w:t>
      </w:r>
    </w:p>
    <w:p>
      <w:pPr>
        <w:pStyle w:val="0"/>
        <w:spacing w:before="200" w:line-rule="auto"/>
        <w:ind w:firstLine="540"/>
        <w:jc w:val="both"/>
      </w:pPr>
      <w:r>
        <w:rPr>
          <w:sz w:val="20"/>
        </w:rPr>
        <w:t xml:space="preserve">В сравнении с 2021 годом удельный вес переведенных в РСЦ не изменился (84,3% в 2021 году).</w:t>
      </w:r>
    </w:p>
    <w:p>
      <w:pPr>
        <w:pStyle w:val="0"/>
        <w:spacing w:before="200" w:line-rule="auto"/>
        <w:ind w:firstLine="540"/>
        <w:jc w:val="both"/>
      </w:pPr>
      <w:r>
        <w:rPr>
          <w:sz w:val="20"/>
        </w:rPr>
        <w:t xml:space="preserve">В РСЦ N 1 с апреля 2022 года открыто отделение реабилитации на 25 коек в составе стационара для проведения кардиореабилитации 2 этапа для пациентов, прооперированных в БУ "Окружной кардиологический диспансер "Центр диагностики и сердечно-сосудистой хирургии" (нуждаются не менее 680 пациентов ежегодно).</w:t>
      </w:r>
    </w:p>
    <w:p>
      <w:pPr>
        <w:pStyle w:val="0"/>
        <w:spacing w:before="200" w:line-rule="auto"/>
        <w:ind w:firstLine="540"/>
        <w:jc w:val="both"/>
      </w:pPr>
      <w:r>
        <w:rPr>
          <w:sz w:val="20"/>
        </w:rPr>
        <w:t xml:space="preserve">Кроме того, койки медицинской реабилитации имеются в БУ "Пыть-Яхская окружная клиническая больница" (5 коек), в БУ "Лангепасская городская больница" (20 коек). Жители города Нижневартовска направляются в БУ "Нижневартовская окружная клиническая больница" (15 реабилитационных коек).</w:t>
      </w:r>
    </w:p>
    <w:p>
      <w:pPr>
        <w:pStyle w:val="0"/>
        <w:spacing w:before="200" w:line-rule="auto"/>
        <w:ind w:firstLine="540"/>
        <w:jc w:val="both"/>
      </w:pPr>
      <w:r>
        <w:rPr>
          <w:sz w:val="20"/>
        </w:rPr>
        <w:t xml:space="preserve">В зоне ответственности РСЦ N 1 необходимо выполнение следующих мероприятий:</w:t>
      </w:r>
    </w:p>
    <w:p>
      <w:pPr>
        <w:pStyle w:val="0"/>
        <w:spacing w:before="200" w:line-rule="auto"/>
        <w:ind w:firstLine="540"/>
        <w:jc w:val="both"/>
      </w:pPr>
      <w:r>
        <w:rPr>
          <w:sz w:val="20"/>
        </w:rPr>
        <w:t xml:space="preserve">1. Активизация санпросветработы с населением с целью своевременного обращения за медицинской помощью.</w:t>
      </w:r>
    </w:p>
    <w:p>
      <w:pPr>
        <w:pStyle w:val="0"/>
        <w:spacing w:before="200" w:line-rule="auto"/>
        <w:ind w:firstLine="540"/>
        <w:jc w:val="both"/>
      </w:pPr>
      <w:r>
        <w:rPr>
          <w:sz w:val="20"/>
        </w:rPr>
        <w:t xml:space="preserve">2. Контроль качества оказания специализированной медицинской помощи с участием экспертов страховых медицинских организаций для исключения непрофильных госпитализаций, выполнения стандартов диагностики и лечения пациентов с ОКС в БУ "Когалымская городская больница".</w:t>
      </w:r>
    </w:p>
    <w:p>
      <w:pPr>
        <w:pStyle w:val="0"/>
        <w:spacing w:before="200" w:line-rule="auto"/>
        <w:ind w:firstLine="540"/>
        <w:jc w:val="both"/>
      </w:pPr>
      <w:r>
        <w:rPr>
          <w:sz w:val="20"/>
        </w:rPr>
        <w:t xml:space="preserve">3. Повышение удельного веса догоспитального тромболизиса при остром коронарном синдроме с подъемом сегмента ST (далее - SОКСпST) в городах Когалым, Лангепас, Покачи, Пыть-Ях.</w:t>
      </w:r>
    </w:p>
    <w:p>
      <w:pPr>
        <w:pStyle w:val="0"/>
        <w:jc w:val="center"/>
      </w:pPr>
      <w:r>
        <w:rPr>
          <w:sz w:val="20"/>
        </w:rPr>
      </w:r>
    </w:p>
    <w:p>
      <w:pPr>
        <w:pStyle w:val="2"/>
        <w:outlineLvl w:val="4"/>
        <w:jc w:val="center"/>
      </w:pPr>
      <w:r>
        <w:rPr>
          <w:sz w:val="20"/>
        </w:rPr>
        <w:t xml:space="preserve">БУ "Окружная клиническая больница"</w:t>
      </w:r>
    </w:p>
    <w:p>
      <w:pPr>
        <w:pStyle w:val="0"/>
        <w:jc w:val="center"/>
      </w:pPr>
      <w:r>
        <w:rPr>
          <w:sz w:val="20"/>
        </w:rPr>
      </w:r>
    </w:p>
    <w:p>
      <w:pPr>
        <w:pStyle w:val="0"/>
        <w:ind w:firstLine="540"/>
        <w:jc w:val="both"/>
      </w:pPr>
      <w:r>
        <w:rPr>
          <w:sz w:val="20"/>
        </w:rPr>
        <w:t xml:space="preserve">Статус - региональный сосудистый центр N 2</w:t>
      </w:r>
    </w:p>
    <w:p>
      <w:pPr>
        <w:pStyle w:val="0"/>
        <w:spacing w:before="200" w:line-rule="auto"/>
        <w:ind w:firstLine="540"/>
        <w:jc w:val="both"/>
      </w:pPr>
      <w:r>
        <w:rPr>
          <w:sz w:val="20"/>
        </w:rPr>
        <w:t xml:space="preserve">Зона обслуживания - городские округа Ханты-Мансийск, Урай; Ханты-Мансийский, Кондинский, Белоярский муниципальные районы.</w:t>
      </w:r>
    </w:p>
    <w:p>
      <w:pPr>
        <w:pStyle w:val="0"/>
        <w:spacing w:before="200" w:line-rule="auto"/>
        <w:ind w:firstLine="540"/>
        <w:jc w:val="both"/>
      </w:pPr>
      <w:r>
        <w:rPr>
          <w:sz w:val="20"/>
        </w:rPr>
        <w:t xml:space="preserve">Число обслуживаемого населения - 224909 человек.</w:t>
      </w:r>
    </w:p>
    <w:p>
      <w:pPr>
        <w:pStyle w:val="0"/>
        <w:spacing w:before="200" w:line-rule="auto"/>
        <w:ind w:firstLine="540"/>
        <w:jc w:val="both"/>
      </w:pPr>
      <w:r>
        <w:rPr>
          <w:sz w:val="20"/>
        </w:rPr>
        <w:t xml:space="preserve">Общее количество коек в БУ "Окружная клиническая больница" - 719, в т.ч.: кардиологические - 37, для больных острым коронарным синдромом - 16, неврологические - 38, в том числе для лечения ОНМК - 15 коек, ПИТ на 4 койки, реанимационные - 46, терапевтические - 23, реабилитационные койки для больных с заболеванием центральной нервной системы (далее - ЦНС) - 2.</w:t>
      </w:r>
    </w:p>
    <w:p>
      <w:pPr>
        <w:pStyle w:val="0"/>
        <w:spacing w:before="200" w:line-rule="auto"/>
        <w:ind w:firstLine="540"/>
        <w:jc w:val="both"/>
      </w:pPr>
      <w:r>
        <w:rPr>
          <w:sz w:val="20"/>
        </w:rPr>
        <w:t xml:space="preserve">БУ "Окружная клиническая больница" укомплектована врачами-кардиологами, ведущими амбулаторный прием, на 98%, а оказывающими медицинскую помощь в стационарных условиях - на 100%, неврологами в стационарных условиях - на 86,2% (1 невролог в декретном отпуске), неврологами в амбулаторных условиях - на 67%, нейрохирургами - на 58%, анестезиологами - реаниматологами - на 65%, терапевтами - на 89%, специалистами по рентгенэндоваскулярным диагностике и лечению - на 100%, нейрохирургами - на 86%, врачами ЛФК - на 67%, физиотерапевтами - на 42%, имеется 15 специалистов по ультразвуковой диагностике и 9 специалистов по функциональной диагностике.</w:t>
      </w:r>
    </w:p>
    <w:p>
      <w:pPr>
        <w:pStyle w:val="0"/>
        <w:spacing w:before="200" w:line-rule="auto"/>
        <w:ind w:firstLine="540"/>
        <w:jc w:val="both"/>
      </w:pPr>
      <w:r>
        <w:rPr>
          <w:sz w:val="20"/>
        </w:rPr>
        <w:t xml:space="preserve">Имеется оборудование для ультразвукового исследования сосудов (далее - УЗИ сосудов), транскраниальной допплерографии (далее - ТКДГ), эхокардиографии (далее - ЭХО-КГ) с возможностью круглосуточного проведения, в том числе проводится стресс-ЭХО-КГ, чреспищеводной эхокардиографии (далее - ЧПЭХО-КГ), суточного мониторирования ЭКГ и АД, тредмил, аппараты для программируемой искусственной вентиляции легких (далее - ИВЛ), дуплексного сканирования сосудов шеи, 3 ангиографические установки, 7 единиц тяжелого оборудования - 4 КТ и 3 МРТ, работающие в 2-сменном и 3-сменном режиме.</w:t>
      </w:r>
    </w:p>
    <w:p>
      <w:pPr>
        <w:pStyle w:val="0"/>
        <w:spacing w:before="200" w:line-rule="auto"/>
        <w:ind w:firstLine="540"/>
        <w:jc w:val="both"/>
      </w:pPr>
      <w:r>
        <w:rPr>
          <w:sz w:val="20"/>
        </w:rPr>
        <w:t xml:space="preserve">В 2022 году пролечены 386 пациентов с ОКС, из них 240 человек (62,2%) с ОИМ, выполнено 652 ЧКВ, из них 269 (41,3%) - пациентам с ОКС.</w:t>
      </w:r>
    </w:p>
    <w:p>
      <w:pPr>
        <w:pStyle w:val="0"/>
        <w:spacing w:before="200" w:line-rule="auto"/>
        <w:ind w:firstLine="540"/>
        <w:jc w:val="both"/>
      </w:pPr>
      <w:r>
        <w:rPr>
          <w:sz w:val="20"/>
        </w:rPr>
        <w:t xml:space="preserve">Удельный вес пациентов с ОКСпST, которым проведен догоспитальный тромболизис, составляет 36,6%.</w:t>
      </w:r>
    </w:p>
    <w:p>
      <w:pPr>
        <w:pStyle w:val="0"/>
        <w:spacing w:before="200" w:line-rule="auto"/>
        <w:ind w:firstLine="540"/>
        <w:jc w:val="both"/>
      </w:pPr>
      <w:r>
        <w:rPr>
          <w:sz w:val="20"/>
        </w:rPr>
        <w:t xml:space="preserve">Из 199 пролеченных пациентов с ОКС в ПСО 85,9% переведены в РСЦ. В 2022 году с ОНМК пролечены 247 пациентов, из них большая часть - 79,0% с инфарктом мозга - 195 пациентов.</w:t>
      </w:r>
    </w:p>
    <w:p>
      <w:pPr>
        <w:pStyle w:val="0"/>
        <w:spacing w:before="200" w:line-rule="auto"/>
        <w:ind w:firstLine="540"/>
        <w:jc w:val="both"/>
      </w:pPr>
      <w:r>
        <w:rPr>
          <w:sz w:val="20"/>
        </w:rPr>
        <w:t xml:space="preserve">В БУ "Окружная клиническая больница" проводится реперфузионное лечение ОНМК: тромболитическая терапия выполнена 25 пациентам (12,8%), эндоваскулярное лечение инсульта - тромбоэкстракция проведена 22 пациентам (11,3%).</w:t>
      </w:r>
    </w:p>
    <w:p>
      <w:pPr>
        <w:pStyle w:val="0"/>
        <w:jc w:val="right"/>
      </w:pPr>
      <w:r>
        <w:rPr>
          <w:sz w:val="20"/>
        </w:rPr>
      </w:r>
    </w:p>
    <w:p>
      <w:pPr>
        <w:pStyle w:val="0"/>
        <w:jc w:val="right"/>
      </w:pPr>
      <w:r>
        <w:rPr>
          <w:sz w:val="20"/>
        </w:rPr>
        <w:t xml:space="preserve">Таблица 50</w:t>
      </w:r>
    </w:p>
    <w:p>
      <w:pPr>
        <w:pStyle w:val="0"/>
        <w:jc w:val="right"/>
      </w:pPr>
      <w:r>
        <w:rPr>
          <w:sz w:val="20"/>
        </w:rPr>
      </w:r>
    </w:p>
    <w:p>
      <w:pPr>
        <w:pStyle w:val="0"/>
        <w:jc w:val="center"/>
      </w:pPr>
      <w:r>
        <w:rPr>
          <w:sz w:val="20"/>
        </w:rPr>
        <w:t xml:space="preserve">Приписные территории по ОНМК (2022 год)</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34"/>
        <w:gridCol w:w="784"/>
        <w:gridCol w:w="844"/>
        <w:gridCol w:w="994"/>
        <w:gridCol w:w="769"/>
        <w:gridCol w:w="1909"/>
        <w:gridCol w:w="979"/>
      </w:tblGrid>
      <w:tr>
        <w:tc>
          <w:tcPr>
            <w:tcW w:w="2134" w:type="dxa"/>
          </w:tcPr>
          <w:p>
            <w:pPr>
              <w:pStyle w:val="0"/>
              <w:jc w:val="center"/>
            </w:pPr>
            <w:r>
              <w:rPr>
                <w:sz w:val="20"/>
              </w:rPr>
            </w:r>
          </w:p>
        </w:tc>
        <w:tc>
          <w:tcPr>
            <w:tcW w:w="784" w:type="dxa"/>
          </w:tcPr>
          <w:p>
            <w:pPr>
              <w:pStyle w:val="0"/>
              <w:jc w:val="center"/>
            </w:pPr>
            <w:r>
              <w:rPr>
                <w:sz w:val="20"/>
              </w:rPr>
              <w:t xml:space="preserve">Койки ПСО</w:t>
            </w:r>
          </w:p>
        </w:tc>
        <w:tc>
          <w:tcPr>
            <w:tcW w:w="844" w:type="dxa"/>
          </w:tcPr>
          <w:p>
            <w:pPr>
              <w:pStyle w:val="0"/>
              <w:jc w:val="center"/>
            </w:pPr>
            <w:r>
              <w:rPr>
                <w:sz w:val="20"/>
              </w:rPr>
              <w:t xml:space="preserve">ОНМК</w:t>
            </w:r>
          </w:p>
        </w:tc>
        <w:tc>
          <w:tcPr>
            <w:tcW w:w="994" w:type="dxa"/>
          </w:tcPr>
          <w:p>
            <w:pPr>
              <w:pStyle w:val="0"/>
              <w:jc w:val="center"/>
            </w:pPr>
            <w:r>
              <w:rPr>
                <w:sz w:val="20"/>
              </w:rPr>
              <w:t xml:space="preserve">Инфаркт мозга</w:t>
            </w:r>
          </w:p>
        </w:tc>
        <w:tc>
          <w:tcPr>
            <w:tcW w:w="769" w:type="dxa"/>
          </w:tcPr>
          <w:p>
            <w:pPr>
              <w:pStyle w:val="0"/>
              <w:jc w:val="center"/>
            </w:pPr>
            <w:r>
              <w:rPr>
                <w:sz w:val="20"/>
              </w:rPr>
              <w:t xml:space="preserve">ТЛТ</w:t>
            </w:r>
          </w:p>
        </w:tc>
        <w:tc>
          <w:tcPr>
            <w:tcW w:w="1909" w:type="dxa"/>
          </w:tcPr>
          <w:p>
            <w:pPr>
              <w:pStyle w:val="0"/>
              <w:jc w:val="center"/>
            </w:pPr>
            <w:r>
              <w:rPr>
                <w:sz w:val="20"/>
              </w:rPr>
              <w:t xml:space="preserve">Геморрагический</w:t>
            </w:r>
          </w:p>
        </w:tc>
        <w:tc>
          <w:tcPr>
            <w:tcW w:w="979" w:type="dxa"/>
          </w:tcPr>
          <w:p>
            <w:pPr>
              <w:pStyle w:val="0"/>
              <w:jc w:val="center"/>
            </w:pPr>
            <w:r>
              <w:rPr>
                <w:sz w:val="20"/>
              </w:rPr>
              <w:t xml:space="preserve">Перевод в РСЦ</w:t>
            </w:r>
          </w:p>
        </w:tc>
      </w:tr>
      <w:tr>
        <w:tc>
          <w:tcPr>
            <w:tcW w:w="2134" w:type="dxa"/>
          </w:tcPr>
          <w:p>
            <w:pPr>
              <w:pStyle w:val="0"/>
            </w:pPr>
            <w:r>
              <w:rPr>
                <w:sz w:val="20"/>
              </w:rPr>
              <w:t xml:space="preserve">Белоярская РБ</w:t>
            </w:r>
          </w:p>
        </w:tc>
        <w:tc>
          <w:tcPr>
            <w:tcW w:w="784" w:type="dxa"/>
          </w:tcPr>
          <w:p>
            <w:pPr>
              <w:pStyle w:val="0"/>
            </w:pPr>
            <w:r>
              <w:rPr>
                <w:sz w:val="20"/>
              </w:rPr>
              <w:t xml:space="preserve">2</w:t>
            </w:r>
          </w:p>
        </w:tc>
        <w:tc>
          <w:tcPr>
            <w:tcW w:w="844" w:type="dxa"/>
          </w:tcPr>
          <w:p>
            <w:pPr>
              <w:pStyle w:val="0"/>
            </w:pPr>
            <w:r>
              <w:rPr>
                <w:sz w:val="20"/>
              </w:rPr>
              <w:t xml:space="preserve">19</w:t>
            </w:r>
          </w:p>
        </w:tc>
        <w:tc>
          <w:tcPr>
            <w:tcW w:w="994" w:type="dxa"/>
          </w:tcPr>
          <w:p>
            <w:pPr>
              <w:pStyle w:val="0"/>
            </w:pPr>
            <w:r>
              <w:rPr>
                <w:sz w:val="20"/>
              </w:rPr>
              <w:t xml:space="preserve">15</w:t>
            </w:r>
          </w:p>
        </w:tc>
        <w:tc>
          <w:tcPr>
            <w:tcW w:w="769" w:type="dxa"/>
          </w:tcPr>
          <w:p>
            <w:pPr>
              <w:pStyle w:val="0"/>
            </w:pPr>
            <w:r>
              <w:rPr>
                <w:sz w:val="20"/>
              </w:rPr>
              <w:t xml:space="preserve">2</w:t>
            </w:r>
          </w:p>
        </w:tc>
        <w:tc>
          <w:tcPr>
            <w:tcW w:w="1909" w:type="dxa"/>
          </w:tcPr>
          <w:p>
            <w:pPr>
              <w:pStyle w:val="0"/>
            </w:pPr>
            <w:r>
              <w:rPr>
                <w:sz w:val="20"/>
              </w:rPr>
              <w:t xml:space="preserve">4</w:t>
            </w:r>
          </w:p>
        </w:tc>
        <w:tc>
          <w:tcPr>
            <w:tcW w:w="979" w:type="dxa"/>
          </w:tcPr>
          <w:p>
            <w:pPr>
              <w:pStyle w:val="0"/>
            </w:pPr>
            <w:r>
              <w:rPr>
                <w:sz w:val="20"/>
              </w:rPr>
              <w:t xml:space="preserve">2</w:t>
            </w:r>
          </w:p>
        </w:tc>
      </w:tr>
      <w:tr>
        <w:tc>
          <w:tcPr>
            <w:tcW w:w="2134" w:type="dxa"/>
          </w:tcPr>
          <w:p>
            <w:pPr>
              <w:pStyle w:val="0"/>
            </w:pPr>
            <w:r>
              <w:rPr>
                <w:sz w:val="20"/>
              </w:rPr>
              <w:t xml:space="preserve">Урайская ГБ</w:t>
            </w:r>
          </w:p>
        </w:tc>
        <w:tc>
          <w:tcPr>
            <w:tcW w:w="784" w:type="dxa"/>
          </w:tcPr>
          <w:p>
            <w:pPr>
              <w:pStyle w:val="0"/>
            </w:pPr>
            <w:r>
              <w:rPr>
                <w:sz w:val="20"/>
              </w:rPr>
              <w:t xml:space="preserve">3</w:t>
            </w:r>
          </w:p>
        </w:tc>
        <w:tc>
          <w:tcPr>
            <w:tcW w:w="844" w:type="dxa"/>
          </w:tcPr>
          <w:p>
            <w:pPr>
              <w:pStyle w:val="0"/>
            </w:pPr>
            <w:r>
              <w:rPr>
                <w:sz w:val="20"/>
              </w:rPr>
              <w:t xml:space="preserve">117</w:t>
            </w:r>
          </w:p>
        </w:tc>
        <w:tc>
          <w:tcPr>
            <w:tcW w:w="994" w:type="dxa"/>
          </w:tcPr>
          <w:p>
            <w:pPr>
              <w:pStyle w:val="0"/>
            </w:pPr>
            <w:r>
              <w:rPr>
                <w:sz w:val="20"/>
              </w:rPr>
              <w:t xml:space="preserve">95</w:t>
            </w:r>
          </w:p>
        </w:tc>
        <w:tc>
          <w:tcPr>
            <w:tcW w:w="769" w:type="dxa"/>
          </w:tcPr>
          <w:p>
            <w:pPr>
              <w:pStyle w:val="0"/>
            </w:pPr>
            <w:r>
              <w:rPr>
                <w:sz w:val="20"/>
              </w:rPr>
              <w:t xml:space="preserve">6</w:t>
            </w:r>
          </w:p>
        </w:tc>
        <w:tc>
          <w:tcPr>
            <w:tcW w:w="1909" w:type="dxa"/>
          </w:tcPr>
          <w:p>
            <w:pPr>
              <w:pStyle w:val="0"/>
            </w:pPr>
            <w:r>
              <w:rPr>
                <w:sz w:val="20"/>
              </w:rPr>
              <w:t xml:space="preserve">22</w:t>
            </w:r>
          </w:p>
        </w:tc>
        <w:tc>
          <w:tcPr>
            <w:tcW w:w="979" w:type="dxa"/>
          </w:tcPr>
          <w:p>
            <w:pPr>
              <w:pStyle w:val="0"/>
            </w:pPr>
            <w:r>
              <w:rPr>
                <w:sz w:val="20"/>
              </w:rPr>
              <w:t xml:space="preserve">11</w:t>
            </w:r>
          </w:p>
        </w:tc>
      </w:tr>
      <w:tr>
        <w:tc>
          <w:tcPr>
            <w:tcW w:w="2134" w:type="dxa"/>
          </w:tcPr>
          <w:p>
            <w:pPr>
              <w:pStyle w:val="0"/>
            </w:pPr>
            <w:r>
              <w:rPr>
                <w:sz w:val="20"/>
              </w:rPr>
              <w:t xml:space="preserve">Кондинская РБ</w:t>
            </w:r>
          </w:p>
        </w:tc>
        <w:tc>
          <w:tcPr>
            <w:tcW w:w="784" w:type="dxa"/>
          </w:tcPr>
          <w:p>
            <w:pPr>
              <w:pStyle w:val="0"/>
            </w:pPr>
            <w:r>
              <w:rPr>
                <w:sz w:val="20"/>
              </w:rPr>
              <w:t xml:space="preserve">5</w:t>
            </w:r>
          </w:p>
        </w:tc>
        <w:tc>
          <w:tcPr>
            <w:tcW w:w="844" w:type="dxa"/>
          </w:tcPr>
          <w:p>
            <w:pPr>
              <w:pStyle w:val="0"/>
            </w:pPr>
            <w:r>
              <w:rPr>
                <w:sz w:val="20"/>
              </w:rPr>
              <w:t xml:space="preserve">74</w:t>
            </w:r>
          </w:p>
        </w:tc>
        <w:tc>
          <w:tcPr>
            <w:tcW w:w="994" w:type="dxa"/>
          </w:tcPr>
          <w:p>
            <w:pPr>
              <w:pStyle w:val="0"/>
            </w:pPr>
            <w:r>
              <w:rPr>
                <w:sz w:val="20"/>
              </w:rPr>
              <w:t xml:space="preserve">60</w:t>
            </w:r>
          </w:p>
        </w:tc>
        <w:tc>
          <w:tcPr>
            <w:tcW w:w="769" w:type="dxa"/>
          </w:tcPr>
          <w:p>
            <w:pPr>
              <w:pStyle w:val="0"/>
            </w:pPr>
            <w:r>
              <w:rPr>
                <w:sz w:val="20"/>
              </w:rPr>
              <w:t xml:space="preserve">2</w:t>
            </w:r>
          </w:p>
        </w:tc>
        <w:tc>
          <w:tcPr>
            <w:tcW w:w="1909" w:type="dxa"/>
          </w:tcPr>
          <w:p>
            <w:pPr>
              <w:pStyle w:val="0"/>
            </w:pPr>
            <w:r>
              <w:rPr>
                <w:sz w:val="20"/>
              </w:rPr>
              <w:t xml:space="preserve">14</w:t>
            </w:r>
          </w:p>
        </w:tc>
        <w:tc>
          <w:tcPr>
            <w:tcW w:w="979" w:type="dxa"/>
          </w:tcPr>
          <w:p>
            <w:pPr>
              <w:pStyle w:val="0"/>
            </w:pPr>
            <w:r>
              <w:rPr>
                <w:sz w:val="20"/>
              </w:rPr>
              <w:t xml:space="preserve">17</w:t>
            </w:r>
          </w:p>
        </w:tc>
      </w:tr>
      <w:tr>
        <w:tc>
          <w:tcPr>
            <w:tcW w:w="2134" w:type="dxa"/>
          </w:tcPr>
          <w:p>
            <w:pPr>
              <w:pStyle w:val="0"/>
            </w:pPr>
            <w:r>
              <w:rPr>
                <w:sz w:val="20"/>
              </w:rPr>
              <w:t xml:space="preserve">Ханты-Мансийская РБ</w:t>
            </w:r>
          </w:p>
        </w:tc>
        <w:tc>
          <w:tcPr>
            <w:tcW w:w="784" w:type="dxa"/>
          </w:tcPr>
          <w:p>
            <w:pPr>
              <w:pStyle w:val="0"/>
            </w:pPr>
            <w:r>
              <w:rPr>
                <w:sz w:val="20"/>
              </w:rPr>
              <w:t xml:space="preserve">0</w:t>
            </w:r>
          </w:p>
        </w:tc>
        <w:tc>
          <w:tcPr>
            <w:tcW w:w="844" w:type="dxa"/>
          </w:tcPr>
          <w:p>
            <w:pPr>
              <w:pStyle w:val="0"/>
            </w:pPr>
            <w:r>
              <w:rPr>
                <w:sz w:val="20"/>
              </w:rPr>
              <w:t xml:space="preserve">29</w:t>
            </w:r>
          </w:p>
        </w:tc>
        <w:tc>
          <w:tcPr>
            <w:tcW w:w="994" w:type="dxa"/>
          </w:tcPr>
          <w:p>
            <w:pPr>
              <w:pStyle w:val="0"/>
            </w:pPr>
            <w:r>
              <w:rPr>
                <w:sz w:val="20"/>
              </w:rPr>
              <w:t xml:space="preserve">26</w:t>
            </w:r>
          </w:p>
        </w:tc>
        <w:tc>
          <w:tcPr>
            <w:tcW w:w="769" w:type="dxa"/>
          </w:tcPr>
          <w:p>
            <w:pPr>
              <w:pStyle w:val="0"/>
            </w:pPr>
            <w:r>
              <w:rPr>
                <w:sz w:val="20"/>
              </w:rPr>
              <w:t xml:space="preserve">0</w:t>
            </w:r>
          </w:p>
        </w:tc>
        <w:tc>
          <w:tcPr>
            <w:tcW w:w="1909" w:type="dxa"/>
          </w:tcPr>
          <w:p>
            <w:pPr>
              <w:pStyle w:val="0"/>
            </w:pPr>
            <w:r>
              <w:rPr>
                <w:sz w:val="20"/>
              </w:rPr>
              <w:t xml:space="preserve">3</w:t>
            </w:r>
          </w:p>
        </w:tc>
        <w:tc>
          <w:tcPr>
            <w:tcW w:w="979" w:type="dxa"/>
          </w:tcPr>
          <w:p>
            <w:pPr>
              <w:pStyle w:val="0"/>
            </w:pPr>
            <w:r>
              <w:rPr>
                <w:sz w:val="20"/>
              </w:rPr>
              <w:t xml:space="preserve">29</w:t>
            </w:r>
          </w:p>
        </w:tc>
      </w:tr>
      <w:tr>
        <w:tc>
          <w:tcPr>
            <w:tcW w:w="2134" w:type="dxa"/>
          </w:tcPr>
          <w:p>
            <w:pPr>
              <w:pStyle w:val="0"/>
            </w:pPr>
            <w:r>
              <w:rPr>
                <w:sz w:val="20"/>
              </w:rPr>
              <w:t xml:space="preserve">Всего</w:t>
            </w:r>
          </w:p>
        </w:tc>
        <w:tc>
          <w:tcPr>
            <w:tcW w:w="784" w:type="dxa"/>
          </w:tcPr>
          <w:p>
            <w:pPr>
              <w:pStyle w:val="0"/>
            </w:pPr>
            <w:r>
              <w:rPr>
                <w:sz w:val="20"/>
              </w:rPr>
              <w:t xml:space="preserve">10</w:t>
            </w:r>
          </w:p>
        </w:tc>
        <w:tc>
          <w:tcPr>
            <w:tcW w:w="844" w:type="dxa"/>
          </w:tcPr>
          <w:p>
            <w:pPr>
              <w:pStyle w:val="0"/>
            </w:pPr>
            <w:r>
              <w:rPr>
                <w:sz w:val="20"/>
              </w:rPr>
              <w:t xml:space="preserve">239</w:t>
            </w:r>
          </w:p>
        </w:tc>
        <w:tc>
          <w:tcPr>
            <w:tcW w:w="994" w:type="dxa"/>
          </w:tcPr>
          <w:p>
            <w:pPr>
              <w:pStyle w:val="0"/>
            </w:pPr>
            <w:r>
              <w:rPr>
                <w:sz w:val="20"/>
              </w:rPr>
              <w:t xml:space="preserve">196 (82,0%)</w:t>
            </w:r>
          </w:p>
        </w:tc>
        <w:tc>
          <w:tcPr>
            <w:tcW w:w="769" w:type="dxa"/>
          </w:tcPr>
          <w:p>
            <w:pPr>
              <w:pStyle w:val="0"/>
            </w:pPr>
            <w:r>
              <w:rPr>
                <w:sz w:val="20"/>
              </w:rPr>
              <w:t xml:space="preserve">10 (5,1%)</w:t>
            </w:r>
          </w:p>
        </w:tc>
        <w:tc>
          <w:tcPr>
            <w:tcW w:w="1909" w:type="dxa"/>
          </w:tcPr>
          <w:p>
            <w:pPr>
              <w:pStyle w:val="0"/>
            </w:pPr>
            <w:r>
              <w:rPr>
                <w:sz w:val="20"/>
              </w:rPr>
              <w:t xml:space="preserve">43</w:t>
            </w:r>
          </w:p>
        </w:tc>
        <w:tc>
          <w:tcPr>
            <w:tcW w:w="979" w:type="dxa"/>
          </w:tcPr>
          <w:p>
            <w:pPr>
              <w:pStyle w:val="0"/>
            </w:pPr>
            <w:r>
              <w:rPr>
                <w:sz w:val="20"/>
              </w:rPr>
              <w:t xml:space="preserve">59 (24,7%)</w:t>
            </w:r>
          </w:p>
        </w:tc>
      </w:tr>
    </w:tbl>
    <w:p>
      <w:pPr>
        <w:pStyle w:val="0"/>
        <w:ind w:firstLine="540"/>
        <w:jc w:val="both"/>
      </w:pPr>
      <w:r>
        <w:rPr>
          <w:sz w:val="20"/>
        </w:rPr>
      </w:r>
    </w:p>
    <w:p>
      <w:pPr>
        <w:pStyle w:val="0"/>
        <w:ind w:firstLine="540"/>
        <w:jc w:val="both"/>
      </w:pPr>
      <w:r>
        <w:rPr>
          <w:sz w:val="20"/>
        </w:rPr>
        <w:t xml:space="preserve">В приписных территориях трех МО развернуто 10 коек ПСО для лечения ОНМК, пролечено 239 пациентов, из которых 59 (24,7%) переведено в РСЦ. Пролечено с инфарктом мозга 196 пациентов (82,0% от всех ОНМК). Всего выполнено 10 ТЛТ (5.1%), что не соответствует целевому показателю (7%).</w:t>
      </w:r>
    </w:p>
    <w:p>
      <w:pPr>
        <w:pStyle w:val="0"/>
        <w:spacing w:before="200" w:line-rule="auto"/>
        <w:ind w:firstLine="540"/>
        <w:jc w:val="both"/>
      </w:pPr>
      <w:r>
        <w:rPr>
          <w:sz w:val="20"/>
        </w:rPr>
        <w:t xml:space="preserve">В рентгенохирургическом отделении 3 рентгеноперационных, функционируют 2 рентгеноперационные, работает 9 рентгенохирургов.</w:t>
      </w:r>
    </w:p>
    <w:p>
      <w:pPr>
        <w:pStyle w:val="0"/>
        <w:spacing w:before="200" w:line-rule="auto"/>
        <w:ind w:firstLine="540"/>
        <w:jc w:val="both"/>
      </w:pPr>
      <w:r>
        <w:rPr>
          <w:sz w:val="20"/>
        </w:rPr>
        <w:t xml:space="preserve">Проблемой в работе РСЦ является отсутствие нейрореанимационного отделения, невозможность проведения ультразвуковой допплерографии (далее - УЗДГ) и ТКДГ в круглосуточном режиме.</w:t>
      </w:r>
    </w:p>
    <w:p>
      <w:pPr>
        <w:pStyle w:val="0"/>
        <w:spacing w:before="200" w:line-rule="auto"/>
        <w:ind w:firstLine="540"/>
        <w:jc w:val="both"/>
      </w:pPr>
      <w:r>
        <w:rPr>
          <w:sz w:val="20"/>
        </w:rPr>
        <w:t xml:space="preserve">Общая смертность от БСК на 100 тыс. населения в 2022 году составила 203,9; летальность от ИМ - 5,9%, от ОНМК - 9,7%</w:t>
      </w:r>
    </w:p>
    <w:p>
      <w:pPr>
        <w:pStyle w:val="0"/>
        <w:spacing w:before="200" w:line-rule="auto"/>
        <w:ind w:firstLine="540"/>
        <w:jc w:val="both"/>
      </w:pPr>
      <w:r>
        <w:rPr>
          <w:sz w:val="20"/>
        </w:rPr>
        <w:t xml:space="preserve">Обеспечена оптимальная маршрутизация пациентов с ОКС и ОНМК как внутри учреждения, так и при взаимодействии с медицинскими организациями зоны ответственности. Дефицит кардиологических коек нивелируется широким применением стационарозамещающих технологий - число амбулаторных коронарографий, выполняемых ежегодно, более 600.</w:t>
      </w:r>
    </w:p>
    <w:p>
      <w:pPr>
        <w:pStyle w:val="0"/>
        <w:spacing w:before="200" w:line-rule="auto"/>
        <w:ind w:firstLine="540"/>
        <w:jc w:val="both"/>
      </w:pPr>
      <w:r>
        <w:rPr>
          <w:sz w:val="20"/>
        </w:rPr>
        <w:t xml:space="preserve">Для устранения нарушения порядка запланировано открытие нейрореанимационного отделения, организационные меры по изменению режима работы отделения ультразвуковой диагностики.</w:t>
      </w:r>
    </w:p>
    <w:p>
      <w:pPr>
        <w:pStyle w:val="0"/>
        <w:jc w:val="right"/>
      </w:pPr>
      <w:r>
        <w:rPr>
          <w:sz w:val="20"/>
        </w:rPr>
      </w:r>
    </w:p>
    <w:p>
      <w:pPr>
        <w:pStyle w:val="0"/>
        <w:jc w:val="right"/>
      </w:pPr>
      <w:r>
        <w:rPr>
          <w:sz w:val="20"/>
        </w:rPr>
        <w:t xml:space="preserve">Рисунок 19</w:t>
      </w:r>
    </w:p>
    <w:p>
      <w:pPr>
        <w:pStyle w:val="0"/>
        <w:jc w:val="right"/>
      </w:pPr>
      <w:r>
        <w:rPr>
          <w:sz w:val="20"/>
        </w:rPr>
      </w:r>
    </w:p>
    <w:p>
      <w:pPr>
        <w:pStyle w:val="0"/>
        <w:jc w:val="center"/>
      </w:pPr>
      <w:r>
        <w:rPr>
          <w:sz w:val="20"/>
        </w:rPr>
        <w:t xml:space="preserve">Маршрутизация пациентов с ОКС в зоне ответственности РСЦ N 2</w:t>
      </w:r>
    </w:p>
    <w:p>
      <w:pPr>
        <w:pStyle w:val="0"/>
        <w:jc w:val="center"/>
      </w:pPr>
      <w:r>
        <w:rPr>
          <w:sz w:val="20"/>
        </w:rPr>
      </w:r>
    </w:p>
    <w:p>
      <w:pPr>
        <w:pStyle w:val="0"/>
        <w:jc w:val="center"/>
      </w:pPr>
      <w:r>
        <w:rPr>
          <w:position w:val="-235"/>
        </w:rPr>
        <w:drawing>
          <wp:inline distT="0" distB="0" distL="0" distR="0">
            <wp:extent cx="6150610" cy="3121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6150610" cy="3121025"/>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РСЦ N 2 располагает 37 кардиологическими койками.</w:t>
      </w:r>
    </w:p>
    <w:p>
      <w:pPr>
        <w:pStyle w:val="0"/>
        <w:spacing w:before="200" w:line-rule="auto"/>
        <w:ind w:firstLine="540"/>
        <w:jc w:val="both"/>
      </w:pPr>
      <w:r>
        <w:rPr>
          <w:sz w:val="20"/>
        </w:rPr>
        <w:t xml:space="preserve">В соответствии с алгоритмом маршрутизации к РСЦ N 2 относятся 4 ПСО, из них кардиологические койки имеет БУ "Урайская городская клиническая больница" (15 коек), БУ "Кондинская районная больница" (4 койки), терапевтические койки - БУ "Белоярская районная больница", п. Игрим Березовского района.</w:t>
      </w:r>
    </w:p>
    <w:p>
      <w:pPr>
        <w:pStyle w:val="0"/>
        <w:ind w:firstLine="540"/>
        <w:jc w:val="both"/>
      </w:pPr>
      <w:r>
        <w:rPr>
          <w:sz w:val="20"/>
        </w:rPr>
      </w:r>
    </w:p>
    <w:p>
      <w:pPr>
        <w:pStyle w:val="0"/>
        <w:jc w:val="right"/>
      </w:pPr>
      <w:r>
        <w:rPr>
          <w:sz w:val="20"/>
        </w:rPr>
        <w:t xml:space="preserve">Таблица 51</w:t>
      </w:r>
    </w:p>
    <w:p>
      <w:pPr>
        <w:pStyle w:val="0"/>
        <w:jc w:val="right"/>
      </w:pPr>
      <w:r>
        <w:rPr>
          <w:sz w:val="20"/>
        </w:rPr>
      </w:r>
    </w:p>
    <w:p>
      <w:pPr>
        <w:pStyle w:val="0"/>
        <w:jc w:val="center"/>
      </w:pPr>
      <w:r>
        <w:rPr>
          <w:sz w:val="20"/>
        </w:rPr>
        <w:t xml:space="preserve">Показатели работы ПСО зоны ответственности РСЦ N 2</w:t>
      </w:r>
    </w:p>
    <w:p>
      <w:pPr>
        <w:pStyle w:val="0"/>
        <w:jc w:val="center"/>
      </w:pPr>
      <w:r>
        <w:rPr>
          <w:sz w:val="20"/>
        </w:rPr>
        <w:t xml:space="preserve">(2022 год)</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694"/>
        <w:gridCol w:w="799"/>
        <w:gridCol w:w="1369"/>
        <w:gridCol w:w="1474"/>
        <w:gridCol w:w="1369"/>
      </w:tblGrid>
      <w:tr>
        <w:tc>
          <w:tcPr>
            <w:tcW w:w="2324" w:type="dxa"/>
          </w:tcPr>
          <w:p>
            <w:pPr>
              <w:pStyle w:val="0"/>
              <w:jc w:val="center"/>
            </w:pPr>
            <w:r>
              <w:rPr>
                <w:sz w:val="20"/>
              </w:rPr>
              <w:t xml:space="preserve">Приписная территория</w:t>
            </w:r>
          </w:p>
        </w:tc>
        <w:tc>
          <w:tcPr>
            <w:tcW w:w="694" w:type="dxa"/>
          </w:tcPr>
          <w:p>
            <w:pPr>
              <w:pStyle w:val="0"/>
              <w:jc w:val="center"/>
            </w:pPr>
            <w:r>
              <w:rPr>
                <w:sz w:val="20"/>
              </w:rPr>
              <w:t xml:space="preserve">Всего ОКС</w:t>
            </w:r>
          </w:p>
        </w:tc>
        <w:tc>
          <w:tcPr>
            <w:tcW w:w="799" w:type="dxa"/>
          </w:tcPr>
          <w:p>
            <w:pPr>
              <w:pStyle w:val="0"/>
              <w:jc w:val="center"/>
            </w:pPr>
            <w:r>
              <w:rPr>
                <w:sz w:val="20"/>
              </w:rPr>
              <w:t xml:space="preserve">ОКСП ST</w:t>
            </w:r>
          </w:p>
        </w:tc>
        <w:tc>
          <w:tcPr>
            <w:tcW w:w="1369" w:type="dxa"/>
          </w:tcPr>
          <w:p>
            <w:pPr>
              <w:pStyle w:val="0"/>
              <w:jc w:val="center"/>
            </w:pPr>
            <w:r>
              <w:rPr>
                <w:sz w:val="20"/>
              </w:rPr>
              <w:t xml:space="preserve">Доставлены в первые 12 ч.</w:t>
            </w:r>
          </w:p>
        </w:tc>
        <w:tc>
          <w:tcPr>
            <w:tcW w:w="1474" w:type="dxa"/>
          </w:tcPr>
          <w:p>
            <w:pPr>
              <w:pStyle w:val="0"/>
              <w:jc w:val="center"/>
            </w:pPr>
            <w:r>
              <w:rPr>
                <w:sz w:val="20"/>
              </w:rPr>
              <w:t xml:space="preserve">Тромболизис</w:t>
            </w:r>
          </w:p>
        </w:tc>
        <w:tc>
          <w:tcPr>
            <w:tcW w:w="1369" w:type="dxa"/>
          </w:tcPr>
          <w:p>
            <w:pPr>
              <w:pStyle w:val="0"/>
              <w:jc w:val="center"/>
            </w:pPr>
            <w:r>
              <w:rPr>
                <w:sz w:val="20"/>
              </w:rPr>
              <w:t xml:space="preserve">Переведены в РСЦ N 2</w:t>
            </w:r>
          </w:p>
        </w:tc>
      </w:tr>
      <w:tr>
        <w:tc>
          <w:tcPr>
            <w:tcW w:w="2324" w:type="dxa"/>
          </w:tcPr>
          <w:p>
            <w:pPr>
              <w:pStyle w:val="0"/>
            </w:pPr>
            <w:r>
              <w:rPr>
                <w:sz w:val="20"/>
              </w:rPr>
              <w:t xml:space="preserve">Урай</w:t>
            </w:r>
          </w:p>
        </w:tc>
        <w:tc>
          <w:tcPr>
            <w:tcW w:w="694" w:type="dxa"/>
          </w:tcPr>
          <w:p>
            <w:pPr>
              <w:pStyle w:val="0"/>
            </w:pPr>
            <w:r>
              <w:rPr>
                <w:sz w:val="20"/>
              </w:rPr>
              <w:t xml:space="preserve">67</w:t>
            </w:r>
          </w:p>
        </w:tc>
        <w:tc>
          <w:tcPr>
            <w:tcW w:w="799" w:type="dxa"/>
          </w:tcPr>
          <w:p>
            <w:pPr>
              <w:pStyle w:val="0"/>
            </w:pPr>
            <w:r>
              <w:rPr>
                <w:sz w:val="20"/>
              </w:rPr>
              <w:t xml:space="preserve">34</w:t>
            </w:r>
          </w:p>
        </w:tc>
        <w:tc>
          <w:tcPr>
            <w:tcW w:w="1369" w:type="dxa"/>
          </w:tcPr>
          <w:p>
            <w:pPr>
              <w:pStyle w:val="0"/>
            </w:pPr>
            <w:r>
              <w:rPr>
                <w:sz w:val="20"/>
              </w:rPr>
              <w:t xml:space="preserve">41</w:t>
            </w:r>
          </w:p>
        </w:tc>
        <w:tc>
          <w:tcPr>
            <w:tcW w:w="1474" w:type="dxa"/>
          </w:tcPr>
          <w:p>
            <w:pPr>
              <w:pStyle w:val="0"/>
            </w:pPr>
            <w:r>
              <w:rPr>
                <w:sz w:val="20"/>
              </w:rPr>
              <w:t xml:space="preserve">26</w:t>
            </w:r>
          </w:p>
        </w:tc>
        <w:tc>
          <w:tcPr>
            <w:tcW w:w="1369" w:type="dxa"/>
          </w:tcPr>
          <w:p>
            <w:pPr>
              <w:pStyle w:val="0"/>
            </w:pPr>
            <w:r>
              <w:rPr>
                <w:sz w:val="20"/>
              </w:rPr>
              <w:t xml:space="preserve">54</w:t>
            </w:r>
          </w:p>
        </w:tc>
      </w:tr>
      <w:tr>
        <w:tc>
          <w:tcPr>
            <w:tcW w:w="2324" w:type="dxa"/>
          </w:tcPr>
          <w:p>
            <w:pPr>
              <w:pStyle w:val="0"/>
            </w:pPr>
            <w:r>
              <w:rPr>
                <w:sz w:val="20"/>
              </w:rPr>
              <w:t xml:space="preserve">Ханты Мансийский район</w:t>
            </w:r>
          </w:p>
        </w:tc>
        <w:tc>
          <w:tcPr>
            <w:tcW w:w="694" w:type="dxa"/>
          </w:tcPr>
          <w:p>
            <w:pPr>
              <w:pStyle w:val="0"/>
            </w:pPr>
            <w:r>
              <w:rPr>
                <w:sz w:val="20"/>
              </w:rPr>
              <w:t xml:space="preserve">39</w:t>
            </w:r>
          </w:p>
        </w:tc>
        <w:tc>
          <w:tcPr>
            <w:tcW w:w="799" w:type="dxa"/>
          </w:tcPr>
          <w:p>
            <w:pPr>
              <w:pStyle w:val="0"/>
            </w:pPr>
            <w:r>
              <w:rPr>
                <w:sz w:val="20"/>
              </w:rPr>
              <w:t xml:space="preserve">8</w:t>
            </w:r>
          </w:p>
        </w:tc>
        <w:tc>
          <w:tcPr>
            <w:tcW w:w="1369" w:type="dxa"/>
          </w:tcPr>
          <w:p>
            <w:pPr>
              <w:pStyle w:val="0"/>
            </w:pPr>
            <w:r>
              <w:rPr>
                <w:sz w:val="20"/>
              </w:rPr>
              <w:t xml:space="preserve">39</w:t>
            </w:r>
          </w:p>
        </w:tc>
        <w:tc>
          <w:tcPr>
            <w:tcW w:w="1474" w:type="dxa"/>
          </w:tcPr>
          <w:p>
            <w:pPr>
              <w:pStyle w:val="0"/>
            </w:pPr>
            <w:r>
              <w:rPr>
                <w:sz w:val="20"/>
              </w:rPr>
              <w:t xml:space="preserve">4</w:t>
            </w:r>
          </w:p>
        </w:tc>
        <w:tc>
          <w:tcPr>
            <w:tcW w:w="1369" w:type="dxa"/>
          </w:tcPr>
          <w:p>
            <w:pPr>
              <w:pStyle w:val="0"/>
            </w:pPr>
            <w:r>
              <w:rPr>
                <w:sz w:val="20"/>
              </w:rPr>
              <w:t xml:space="preserve">35</w:t>
            </w:r>
          </w:p>
        </w:tc>
      </w:tr>
      <w:tr>
        <w:tc>
          <w:tcPr>
            <w:tcW w:w="2324" w:type="dxa"/>
          </w:tcPr>
          <w:p>
            <w:pPr>
              <w:pStyle w:val="0"/>
            </w:pPr>
            <w:r>
              <w:rPr>
                <w:sz w:val="20"/>
              </w:rPr>
              <w:t xml:space="preserve">Кондинский район</w:t>
            </w:r>
          </w:p>
        </w:tc>
        <w:tc>
          <w:tcPr>
            <w:tcW w:w="694" w:type="dxa"/>
          </w:tcPr>
          <w:p>
            <w:pPr>
              <w:pStyle w:val="0"/>
            </w:pPr>
            <w:r>
              <w:rPr>
                <w:sz w:val="20"/>
              </w:rPr>
              <w:t xml:space="preserve">47</w:t>
            </w:r>
          </w:p>
        </w:tc>
        <w:tc>
          <w:tcPr>
            <w:tcW w:w="799" w:type="dxa"/>
          </w:tcPr>
          <w:p>
            <w:pPr>
              <w:pStyle w:val="0"/>
            </w:pPr>
            <w:r>
              <w:rPr>
                <w:sz w:val="20"/>
              </w:rPr>
              <w:t xml:space="preserve">21</w:t>
            </w:r>
          </w:p>
        </w:tc>
        <w:tc>
          <w:tcPr>
            <w:tcW w:w="1369" w:type="dxa"/>
          </w:tcPr>
          <w:p>
            <w:pPr>
              <w:pStyle w:val="0"/>
            </w:pPr>
            <w:r>
              <w:rPr>
                <w:sz w:val="20"/>
              </w:rPr>
              <w:t xml:space="preserve">36</w:t>
            </w:r>
          </w:p>
        </w:tc>
        <w:tc>
          <w:tcPr>
            <w:tcW w:w="1474" w:type="dxa"/>
          </w:tcPr>
          <w:p>
            <w:pPr>
              <w:pStyle w:val="0"/>
            </w:pPr>
            <w:r>
              <w:rPr>
                <w:sz w:val="20"/>
              </w:rPr>
              <w:t xml:space="preserve">18</w:t>
            </w:r>
          </w:p>
        </w:tc>
        <w:tc>
          <w:tcPr>
            <w:tcW w:w="1369" w:type="dxa"/>
          </w:tcPr>
          <w:p>
            <w:pPr>
              <w:pStyle w:val="0"/>
            </w:pPr>
            <w:r>
              <w:rPr>
                <w:sz w:val="20"/>
              </w:rPr>
              <w:t xml:space="preserve">44</w:t>
            </w:r>
          </w:p>
        </w:tc>
      </w:tr>
      <w:tr>
        <w:tc>
          <w:tcPr>
            <w:tcW w:w="2324" w:type="dxa"/>
          </w:tcPr>
          <w:p>
            <w:pPr>
              <w:pStyle w:val="0"/>
            </w:pPr>
            <w:r>
              <w:rPr>
                <w:sz w:val="20"/>
              </w:rPr>
              <w:t xml:space="preserve">Белоярский район</w:t>
            </w:r>
          </w:p>
        </w:tc>
        <w:tc>
          <w:tcPr>
            <w:tcW w:w="694" w:type="dxa"/>
          </w:tcPr>
          <w:p>
            <w:pPr>
              <w:pStyle w:val="0"/>
            </w:pPr>
            <w:r>
              <w:rPr>
                <w:sz w:val="20"/>
              </w:rPr>
              <w:t xml:space="preserve">50</w:t>
            </w:r>
          </w:p>
        </w:tc>
        <w:tc>
          <w:tcPr>
            <w:tcW w:w="799" w:type="dxa"/>
          </w:tcPr>
          <w:p>
            <w:pPr>
              <w:pStyle w:val="0"/>
            </w:pPr>
            <w:r>
              <w:rPr>
                <w:sz w:val="20"/>
              </w:rPr>
              <w:t xml:space="preserve">10</w:t>
            </w:r>
          </w:p>
        </w:tc>
        <w:tc>
          <w:tcPr>
            <w:tcW w:w="1369" w:type="dxa"/>
          </w:tcPr>
          <w:p>
            <w:pPr>
              <w:pStyle w:val="0"/>
            </w:pPr>
            <w:r>
              <w:rPr>
                <w:sz w:val="20"/>
              </w:rPr>
              <w:t xml:space="preserve">6</w:t>
            </w:r>
          </w:p>
        </w:tc>
        <w:tc>
          <w:tcPr>
            <w:tcW w:w="1474" w:type="dxa"/>
          </w:tcPr>
          <w:p>
            <w:pPr>
              <w:pStyle w:val="0"/>
            </w:pPr>
            <w:r>
              <w:rPr>
                <w:sz w:val="20"/>
              </w:rPr>
              <w:t xml:space="preserve">6</w:t>
            </w:r>
          </w:p>
        </w:tc>
        <w:tc>
          <w:tcPr>
            <w:tcW w:w="1369" w:type="dxa"/>
          </w:tcPr>
          <w:p>
            <w:pPr>
              <w:pStyle w:val="0"/>
            </w:pPr>
            <w:r>
              <w:rPr>
                <w:sz w:val="20"/>
              </w:rPr>
              <w:t xml:space="preserve">34</w:t>
            </w:r>
          </w:p>
        </w:tc>
      </w:tr>
      <w:tr>
        <w:tc>
          <w:tcPr>
            <w:tcW w:w="2324" w:type="dxa"/>
          </w:tcPr>
          <w:p>
            <w:pPr>
              <w:pStyle w:val="0"/>
            </w:pPr>
            <w:r>
              <w:rPr>
                <w:sz w:val="20"/>
              </w:rPr>
              <w:t xml:space="preserve">Итого</w:t>
            </w:r>
          </w:p>
        </w:tc>
        <w:tc>
          <w:tcPr>
            <w:tcW w:w="694" w:type="dxa"/>
          </w:tcPr>
          <w:p>
            <w:pPr>
              <w:pStyle w:val="0"/>
            </w:pPr>
            <w:r>
              <w:rPr>
                <w:sz w:val="20"/>
              </w:rPr>
              <w:t xml:space="preserve">199</w:t>
            </w:r>
          </w:p>
        </w:tc>
        <w:tc>
          <w:tcPr>
            <w:tcW w:w="799" w:type="dxa"/>
          </w:tcPr>
          <w:p>
            <w:pPr>
              <w:pStyle w:val="0"/>
            </w:pPr>
            <w:r>
              <w:rPr>
                <w:sz w:val="20"/>
              </w:rPr>
              <w:t xml:space="preserve">65</w:t>
            </w:r>
          </w:p>
        </w:tc>
        <w:tc>
          <w:tcPr>
            <w:tcW w:w="1369" w:type="dxa"/>
          </w:tcPr>
          <w:p>
            <w:pPr>
              <w:pStyle w:val="0"/>
            </w:pPr>
            <w:r>
              <w:rPr>
                <w:sz w:val="20"/>
              </w:rPr>
              <w:t xml:space="preserve">83</w:t>
            </w:r>
          </w:p>
        </w:tc>
        <w:tc>
          <w:tcPr>
            <w:tcW w:w="1474" w:type="dxa"/>
          </w:tcPr>
          <w:p>
            <w:pPr>
              <w:pStyle w:val="0"/>
            </w:pPr>
            <w:r>
              <w:rPr>
                <w:sz w:val="20"/>
              </w:rPr>
            </w:r>
          </w:p>
        </w:tc>
        <w:tc>
          <w:tcPr>
            <w:tcW w:w="1369" w:type="dxa"/>
          </w:tcPr>
          <w:p>
            <w:pPr>
              <w:pStyle w:val="0"/>
            </w:pPr>
            <w:r>
              <w:rPr>
                <w:sz w:val="20"/>
              </w:rPr>
              <w:t xml:space="preserve">171 (85,9%</w:t>
            </w:r>
          </w:p>
        </w:tc>
      </w:tr>
    </w:tbl>
    <w:p>
      <w:pPr>
        <w:pStyle w:val="0"/>
        <w:ind w:firstLine="540"/>
        <w:jc w:val="both"/>
      </w:pPr>
      <w:r>
        <w:rPr>
          <w:sz w:val="20"/>
        </w:rPr>
      </w:r>
    </w:p>
    <w:p>
      <w:pPr>
        <w:pStyle w:val="0"/>
        <w:ind w:firstLine="540"/>
        <w:jc w:val="both"/>
      </w:pPr>
      <w:r>
        <w:rPr>
          <w:sz w:val="20"/>
        </w:rPr>
        <w:t xml:space="preserve">Продолжается процесс концентрации оказания медицинской помощи больным с ОКС в РСЦ. В динамике за 3 года (2020 - 2022 годы) число пациентов с ОКС, поступивших в ПСО зоны ответственности РСЦ N 2, увеличилось до 199 (+42 пациента в сравнении с 2020 годом), из них 171 (85,9%) переведен в РСЦ.</w:t>
      </w:r>
    </w:p>
    <w:p>
      <w:pPr>
        <w:pStyle w:val="0"/>
        <w:spacing w:before="200" w:line-rule="auto"/>
        <w:ind w:firstLine="540"/>
        <w:jc w:val="both"/>
      </w:pPr>
      <w:r>
        <w:rPr>
          <w:sz w:val="20"/>
        </w:rPr>
        <w:t xml:space="preserve">Удельный вес тромболитической терапии недостаточен: 41,22% от числа больных с ОКСпST. В Урае и Кондинском муниципальном районе проводится догоспитальный тромболизис (48,1%). В 2022 году проведено 4 тромболизиса в Ханты-Мансийском муниципальном районе (в 2021 году не проводился).</w:t>
      </w:r>
    </w:p>
    <w:p>
      <w:pPr>
        <w:pStyle w:val="0"/>
        <w:spacing w:before="200" w:line-rule="auto"/>
        <w:ind w:firstLine="540"/>
        <w:jc w:val="both"/>
      </w:pPr>
      <w:r>
        <w:rPr>
          <w:sz w:val="20"/>
        </w:rPr>
        <w:t xml:space="preserve">В РСЦ N 2 проблема недостаточной обеспеченности койками РСЦ населения зоны ответственности решается следующим образом: с целью разгрузки кардиологического коечного фонда активно применяется амбулаторная коронароангиография, в том числе и для населения отдаленных населенных пунктов автономного округа. В 2022 году проведено 641 КАГ амбулаторно (на 5% больше, чем в 2022 году), в том числе для жителей города Ханты-Мансийска - 289, для жителей отдаленных территорий автономного округа - 352.</w:t>
      </w:r>
    </w:p>
    <w:p>
      <w:pPr>
        <w:pStyle w:val="0"/>
        <w:spacing w:before="200" w:line-rule="auto"/>
        <w:ind w:firstLine="540"/>
        <w:jc w:val="both"/>
      </w:pPr>
      <w:r>
        <w:rPr>
          <w:sz w:val="20"/>
        </w:rPr>
        <w:t xml:space="preserve">Прооперированные пациенты, нуждающиеся в реабилитации 2 этапа, переводятся в БУ "Окружной клинический лечебно-реабилитационный центр".</w:t>
      </w:r>
    </w:p>
    <w:p>
      <w:pPr>
        <w:pStyle w:val="0"/>
        <w:spacing w:before="200" w:line-rule="auto"/>
        <w:ind w:firstLine="540"/>
        <w:jc w:val="both"/>
      </w:pPr>
      <w:r>
        <w:rPr>
          <w:sz w:val="20"/>
        </w:rPr>
        <w:t xml:space="preserve">За 2022 год по программе "Развитие здравоохранения" и Региональной программы "Борьба с сердечно-сосудистыми заболеваниями" медицинская организация получила систему ультразвуковой визуализации сердечно-сосудистой системы (стационарная, экспертного класса).</w:t>
      </w:r>
    </w:p>
    <w:p>
      <w:pPr>
        <w:pStyle w:val="0"/>
        <w:jc w:val="right"/>
      </w:pPr>
      <w:r>
        <w:rPr>
          <w:sz w:val="20"/>
        </w:rPr>
      </w:r>
    </w:p>
    <w:p>
      <w:pPr>
        <w:pStyle w:val="0"/>
        <w:jc w:val="right"/>
      </w:pPr>
      <w:r>
        <w:rPr>
          <w:sz w:val="20"/>
        </w:rPr>
        <w:t xml:space="preserve">Таблица 52</w:t>
      </w:r>
    </w:p>
    <w:p>
      <w:pPr>
        <w:pStyle w:val="0"/>
        <w:jc w:val="right"/>
      </w:pPr>
      <w:r>
        <w:rPr>
          <w:sz w:val="20"/>
        </w:rPr>
      </w:r>
    </w:p>
    <w:p>
      <w:pPr>
        <w:pStyle w:val="0"/>
        <w:jc w:val="center"/>
      </w:pPr>
      <w:r>
        <w:rPr>
          <w:sz w:val="20"/>
        </w:rPr>
        <w:t xml:space="preserve">Количество выездов врачебных бригад по автономному округу</w:t>
      </w:r>
    </w:p>
    <w:p>
      <w:pPr>
        <w:pStyle w:val="0"/>
        <w:jc w:val="center"/>
      </w:pPr>
      <w:r>
        <w:rPr>
          <w:sz w:val="20"/>
        </w:rPr>
        <w:t xml:space="preserve">с целью осмотра и отбора пациентов с БСК</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4"/>
        <w:gridCol w:w="1417"/>
        <w:gridCol w:w="2410"/>
        <w:gridCol w:w="2126"/>
      </w:tblGrid>
      <w:tr>
        <w:tc>
          <w:tcPr>
            <w:tcW w:w="3114" w:type="dxa"/>
          </w:tcPr>
          <w:p>
            <w:pPr>
              <w:pStyle w:val="0"/>
              <w:jc w:val="center"/>
            </w:pPr>
            <w:r>
              <w:rPr>
                <w:sz w:val="20"/>
              </w:rPr>
            </w:r>
          </w:p>
        </w:tc>
        <w:tc>
          <w:tcPr>
            <w:tcW w:w="1417" w:type="dxa"/>
          </w:tcPr>
          <w:p>
            <w:pPr>
              <w:pStyle w:val="0"/>
              <w:jc w:val="center"/>
            </w:pPr>
            <w:r>
              <w:rPr>
                <w:sz w:val="20"/>
              </w:rPr>
              <w:t xml:space="preserve">кол-во выездов</w:t>
            </w:r>
          </w:p>
        </w:tc>
        <w:tc>
          <w:tcPr>
            <w:tcW w:w="2410" w:type="dxa"/>
          </w:tcPr>
          <w:p>
            <w:pPr>
              <w:pStyle w:val="0"/>
              <w:jc w:val="center"/>
            </w:pPr>
            <w:r>
              <w:rPr>
                <w:sz w:val="20"/>
              </w:rPr>
              <w:t xml:space="preserve">консультировано больных</w:t>
            </w:r>
          </w:p>
        </w:tc>
        <w:tc>
          <w:tcPr>
            <w:tcW w:w="2126" w:type="dxa"/>
          </w:tcPr>
          <w:p>
            <w:pPr>
              <w:pStyle w:val="0"/>
              <w:jc w:val="center"/>
            </w:pPr>
            <w:r>
              <w:rPr>
                <w:sz w:val="20"/>
              </w:rPr>
              <w:t xml:space="preserve">направлено на госпитализацию</w:t>
            </w:r>
          </w:p>
        </w:tc>
      </w:tr>
      <w:tr>
        <w:tc>
          <w:tcPr>
            <w:tcW w:w="3114" w:type="dxa"/>
          </w:tcPr>
          <w:p>
            <w:pPr>
              <w:pStyle w:val="0"/>
              <w:jc w:val="center"/>
            </w:pPr>
            <w:r>
              <w:rPr>
                <w:sz w:val="20"/>
              </w:rPr>
            </w:r>
          </w:p>
        </w:tc>
        <w:tc>
          <w:tcPr>
            <w:tcW w:w="1417" w:type="dxa"/>
          </w:tcPr>
          <w:p>
            <w:pPr>
              <w:pStyle w:val="0"/>
              <w:jc w:val="center"/>
            </w:pPr>
            <w:r>
              <w:rPr>
                <w:sz w:val="20"/>
              </w:rPr>
              <w:t xml:space="preserve">2022</w:t>
            </w:r>
          </w:p>
        </w:tc>
        <w:tc>
          <w:tcPr>
            <w:tcW w:w="2410" w:type="dxa"/>
          </w:tcPr>
          <w:p>
            <w:pPr>
              <w:pStyle w:val="0"/>
              <w:jc w:val="center"/>
            </w:pPr>
            <w:r>
              <w:rPr>
                <w:sz w:val="20"/>
              </w:rPr>
              <w:t xml:space="preserve">2022</w:t>
            </w:r>
          </w:p>
        </w:tc>
        <w:tc>
          <w:tcPr>
            <w:tcW w:w="2126" w:type="dxa"/>
          </w:tcPr>
          <w:p>
            <w:pPr>
              <w:pStyle w:val="0"/>
              <w:jc w:val="center"/>
            </w:pPr>
            <w:r>
              <w:rPr>
                <w:sz w:val="20"/>
              </w:rPr>
              <w:t xml:space="preserve">2022</w:t>
            </w:r>
          </w:p>
        </w:tc>
      </w:tr>
      <w:tr>
        <w:tc>
          <w:tcPr>
            <w:tcW w:w="3114" w:type="dxa"/>
          </w:tcPr>
          <w:p>
            <w:pPr>
              <w:pStyle w:val="0"/>
            </w:pPr>
            <w:r>
              <w:rPr>
                <w:sz w:val="20"/>
              </w:rPr>
              <w:t xml:space="preserve">врач-кардиолог</w:t>
            </w:r>
          </w:p>
        </w:tc>
        <w:tc>
          <w:tcPr>
            <w:tcW w:w="1417" w:type="dxa"/>
          </w:tcPr>
          <w:p>
            <w:pPr>
              <w:pStyle w:val="0"/>
            </w:pPr>
            <w:r>
              <w:rPr>
                <w:sz w:val="20"/>
              </w:rPr>
              <w:t xml:space="preserve">11</w:t>
            </w:r>
          </w:p>
        </w:tc>
        <w:tc>
          <w:tcPr>
            <w:tcW w:w="2410" w:type="dxa"/>
          </w:tcPr>
          <w:p>
            <w:pPr>
              <w:pStyle w:val="0"/>
            </w:pPr>
            <w:r>
              <w:rPr>
                <w:sz w:val="20"/>
              </w:rPr>
              <w:t xml:space="preserve">144</w:t>
            </w:r>
          </w:p>
        </w:tc>
        <w:tc>
          <w:tcPr>
            <w:tcW w:w="2126" w:type="dxa"/>
          </w:tcPr>
          <w:p>
            <w:pPr>
              <w:pStyle w:val="0"/>
            </w:pPr>
            <w:r>
              <w:rPr>
                <w:sz w:val="20"/>
              </w:rPr>
              <w:t xml:space="preserve">43 (30%)</w:t>
            </w:r>
          </w:p>
        </w:tc>
      </w:tr>
      <w:tr>
        <w:tc>
          <w:tcPr>
            <w:tcW w:w="3114" w:type="dxa"/>
          </w:tcPr>
          <w:p>
            <w:pPr>
              <w:pStyle w:val="0"/>
            </w:pPr>
            <w:r>
              <w:rPr>
                <w:sz w:val="20"/>
              </w:rPr>
              <w:t xml:space="preserve">врач-кардиохирург</w:t>
            </w:r>
          </w:p>
        </w:tc>
        <w:tc>
          <w:tcPr>
            <w:tcW w:w="1417" w:type="dxa"/>
          </w:tcPr>
          <w:p>
            <w:pPr>
              <w:pStyle w:val="0"/>
            </w:pPr>
            <w:r>
              <w:rPr>
                <w:sz w:val="20"/>
              </w:rPr>
              <w:t xml:space="preserve">25</w:t>
            </w:r>
          </w:p>
        </w:tc>
        <w:tc>
          <w:tcPr>
            <w:tcW w:w="2410" w:type="dxa"/>
          </w:tcPr>
          <w:p>
            <w:pPr>
              <w:pStyle w:val="0"/>
            </w:pPr>
            <w:r>
              <w:rPr>
                <w:sz w:val="20"/>
              </w:rPr>
              <w:t xml:space="preserve">458</w:t>
            </w:r>
          </w:p>
        </w:tc>
        <w:tc>
          <w:tcPr>
            <w:tcW w:w="2126" w:type="dxa"/>
          </w:tcPr>
          <w:p>
            <w:pPr>
              <w:pStyle w:val="0"/>
            </w:pPr>
            <w:r>
              <w:rPr>
                <w:sz w:val="20"/>
              </w:rPr>
              <w:t xml:space="preserve">135 (29,5%)</w:t>
            </w:r>
          </w:p>
        </w:tc>
      </w:tr>
      <w:tr>
        <w:tc>
          <w:tcPr>
            <w:tcW w:w="3114" w:type="dxa"/>
          </w:tcPr>
          <w:p>
            <w:pPr>
              <w:pStyle w:val="0"/>
            </w:pPr>
            <w:r>
              <w:rPr>
                <w:sz w:val="20"/>
              </w:rPr>
              <w:t xml:space="preserve">врач-рентгенхирург</w:t>
            </w:r>
          </w:p>
        </w:tc>
        <w:tc>
          <w:tcPr>
            <w:tcW w:w="1417" w:type="dxa"/>
          </w:tcPr>
          <w:p>
            <w:pPr>
              <w:pStyle w:val="0"/>
            </w:pPr>
            <w:r>
              <w:rPr>
                <w:sz w:val="20"/>
              </w:rPr>
              <w:t xml:space="preserve">2</w:t>
            </w:r>
          </w:p>
        </w:tc>
        <w:tc>
          <w:tcPr>
            <w:tcW w:w="2410" w:type="dxa"/>
          </w:tcPr>
          <w:p>
            <w:pPr>
              <w:pStyle w:val="0"/>
            </w:pPr>
            <w:r>
              <w:rPr>
                <w:sz w:val="20"/>
              </w:rPr>
              <w:t xml:space="preserve">6</w:t>
            </w:r>
          </w:p>
        </w:tc>
        <w:tc>
          <w:tcPr>
            <w:tcW w:w="2126" w:type="dxa"/>
          </w:tcPr>
          <w:p>
            <w:pPr>
              <w:pStyle w:val="0"/>
            </w:pPr>
            <w:r>
              <w:rPr>
                <w:sz w:val="20"/>
              </w:rPr>
              <w:t xml:space="preserve">0</w:t>
            </w:r>
          </w:p>
        </w:tc>
      </w:tr>
      <w:tr>
        <w:tc>
          <w:tcPr>
            <w:tcW w:w="3114" w:type="dxa"/>
          </w:tcPr>
          <w:p>
            <w:pPr>
              <w:pStyle w:val="0"/>
            </w:pPr>
            <w:r>
              <w:rPr>
                <w:sz w:val="20"/>
              </w:rPr>
              <w:t xml:space="preserve">итого</w:t>
            </w:r>
          </w:p>
        </w:tc>
        <w:tc>
          <w:tcPr>
            <w:tcW w:w="1417" w:type="dxa"/>
          </w:tcPr>
          <w:p>
            <w:pPr>
              <w:pStyle w:val="0"/>
            </w:pPr>
            <w:r>
              <w:rPr>
                <w:sz w:val="20"/>
              </w:rPr>
              <w:t xml:space="preserve">38</w:t>
            </w:r>
          </w:p>
        </w:tc>
        <w:tc>
          <w:tcPr>
            <w:tcW w:w="2410" w:type="dxa"/>
          </w:tcPr>
          <w:p>
            <w:pPr>
              <w:pStyle w:val="0"/>
            </w:pPr>
            <w:r>
              <w:rPr>
                <w:sz w:val="20"/>
              </w:rPr>
              <w:t xml:space="preserve">608</w:t>
            </w:r>
          </w:p>
        </w:tc>
        <w:tc>
          <w:tcPr>
            <w:tcW w:w="2126" w:type="dxa"/>
          </w:tcPr>
          <w:p>
            <w:pPr>
              <w:pStyle w:val="0"/>
            </w:pPr>
            <w:r>
              <w:rPr>
                <w:sz w:val="20"/>
              </w:rPr>
              <w:t xml:space="preserve">178 (9,6%)</w:t>
            </w:r>
          </w:p>
        </w:tc>
      </w:tr>
    </w:tbl>
    <w:p>
      <w:pPr>
        <w:pStyle w:val="0"/>
        <w:ind w:firstLine="540"/>
        <w:jc w:val="both"/>
      </w:pPr>
      <w:r>
        <w:rPr>
          <w:sz w:val="20"/>
        </w:rPr>
      </w:r>
    </w:p>
    <w:p>
      <w:pPr>
        <w:pStyle w:val="0"/>
        <w:ind w:firstLine="540"/>
        <w:jc w:val="both"/>
      </w:pPr>
      <w:r>
        <w:rPr>
          <w:sz w:val="20"/>
        </w:rPr>
        <w:t xml:space="preserve">Количество телемедицинских консультаций - 58, из них с НМИЦ - 28.</w:t>
      </w:r>
    </w:p>
    <w:p>
      <w:pPr>
        <w:pStyle w:val="0"/>
        <w:spacing w:before="200" w:line-rule="auto"/>
        <w:ind w:firstLine="540"/>
        <w:jc w:val="both"/>
      </w:pPr>
      <w:r>
        <w:rPr>
          <w:sz w:val="20"/>
        </w:rPr>
        <w:t xml:space="preserve">В зоне ответственности РСЦ N 2 необходимо выполнение следующих мероприятий:</w:t>
      </w:r>
    </w:p>
    <w:p>
      <w:pPr>
        <w:pStyle w:val="0"/>
        <w:spacing w:before="200" w:line-rule="auto"/>
        <w:ind w:firstLine="540"/>
        <w:jc w:val="both"/>
      </w:pPr>
      <w:r>
        <w:rPr>
          <w:sz w:val="20"/>
        </w:rPr>
        <w:t xml:space="preserve">1) Повышение удельного веса тромболизиса при ОКСпST, в том числе догоспитального.</w:t>
      </w:r>
    </w:p>
    <w:p>
      <w:pPr>
        <w:pStyle w:val="0"/>
        <w:spacing w:before="200" w:line-rule="auto"/>
        <w:ind w:firstLine="540"/>
        <w:jc w:val="both"/>
      </w:pPr>
      <w:r>
        <w:rPr>
          <w:sz w:val="20"/>
        </w:rPr>
        <w:t xml:space="preserve">2) Контроль качества оказания специализированной медицинской помощи, выполнение клинических рекомендаций, протоколов диагностики и лечения пациентов с ОКС в ПСО.</w:t>
      </w:r>
    </w:p>
    <w:p>
      <w:pPr>
        <w:pStyle w:val="0"/>
        <w:spacing w:before="200" w:line-rule="auto"/>
        <w:ind w:firstLine="540"/>
        <w:jc w:val="both"/>
      </w:pPr>
      <w:r>
        <w:rPr>
          <w:sz w:val="20"/>
        </w:rPr>
        <w:t xml:space="preserve">3) Открытие в БУ "Окружная клиническая больница" кардиологического отделения для больных острым коронарным синдромом.</w:t>
      </w:r>
    </w:p>
    <w:p>
      <w:pPr>
        <w:pStyle w:val="0"/>
        <w:jc w:val="center"/>
      </w:pPr>
      <w:r>
        <w:rPr>
          <w:sz w:val="20"/>
        </w:rPr>
      </w:r>
    </w:p>
    <w:p>
      <w:pPr>
        <w:pStyle w:val="2"/>
        <w:outlineLvl w:val="4"/>
        <w:jc w:val="center"/>
      </w:pPr>
      <w:r>
        <w:rPr>
          <w:sz w:val="20"/>
        </w:rPr>
        <w:t xml:space="preserve">БУ "Няганская окружная больница", город Нягань</w:t>
      </w:r>
    </w:p>
    <w:p>
      <w:pPr>
        <w:pStyle w:val="0"/>
        <w:jc w:val="center"/>
      </w:pPr>
      <w:r>
        <w:rPr>
          <w:sz w:val="20"/>
        </w:rPr>
      </w:r>
    </w:p>
    <w:p>
      <w:pPr>
        <w:pStyle w:val="0"/>
        <w:ind w:firstLine="540"/>
        <w:jc w:val="both"/>
      </w:pPr>
      <w:r>
        <w:rPr>
          <w:sz w:val="20"/>
        </w:rPr>
        <w:t xml:space="preserve">Зона обслуживания - городские округа Нягань, Югорск; Советский, Октябрьский, Березовский муниципальные районы.</w:t>
      </w:r>
    </w:p>
    <w:p>
      <w:pPr>
        <w:pStyle w:val="0"/>
        <w:spacing w:before="200" w:line-rule="auto"/>
        <w:ind w:firstLine="540"/>
        <w:jc w:val="both"/>
      </w:pPr>
      <w:r>
        <w:rPr>
          <w:sz w:val="20"/>
        </w:rPr>
        <w:t xml:space="preserve">Общее количество коек - 543, в т.ч.: кардиологические - 30 (из них 10 коек для ОИМ), терапевтические - 57, неврологические - 36 (из них 10 коек для ОНМК), реанимационные - 24.</w:t>
      </w:r>
    </w:p>
    <w:p>
      <w:pPr>
        <w:pStyle w:val="0"/>
        <w:spacing w:before="200" w:line-rule="auto"/>
        <w:ind w:firstLine="540"/>
        <w:jc w:val="both"/>
      </w:pPr>
      <w:r>
        <w:rPr>
          <w:sz w:val="20"/>
        </w:rPr>
        <w:t xml:space="preserve">Количество штатных должностей врачей-кардиологов, оказывающих медицинскую помощь в стационарных условиях, - 6,0, занятых 5,75, физических лиц - 5.</w:t>
      </w:r>
    </w:p>
    <w:p>
      <w:pPr>
        <w:pStyle w:val="0"/>
        <w:spacing w:before="200" w:line-rule="auto"/>
        <w:ind w:firstLine="540"/>
        <w:jc w:val="both"/>
      </w:pPr>
      <w:r>
        <w:rPr>
          <w:sz w:val="20"/>
        </w:rPr>
        <w:t xml:space="preserve">БУ "Няганская окружная больница" укомплектована врачами-кардиологами на 83% от штатных единиц (на 87% от физ. лиц), неврологами - на 55% от штатных единиц (на 33% от физ. лиц), специалистами по рентгенэндоваскулярным диагностике и лечению - на 100% от штатных единиц (на 67% от физ. лиц), анестезиологами-реаниматологами - на 97% от штатных единиц (на 51,5% от физ. лиц), нейрохирургами - на 100% от штатных единиц (на 67% от физ. лиц), физиотерапевтами - на 100% от штатных единиц (на 80% от физ. лиц).</w:t>
      </w:r>
    </w:p>
    <w:p>
      <w:pPr>
        <w:pStyle w:val="0"/>
        <w:spacing w:before="200" w:line-rule="auto"/>
        <w:ind w:firstLine="540"/>
        <w:jc w:val="both"/>
      </w:pPr>
      <w:r>
        <w:rPr>
          <w:sz w:val="20"/>
        </w:rPr>
        <w:t xml:space="preserve">Имеется оборудование для УЗИ сосудов, ЭХО-КГ с возможностью круглосуточного проведения, для проведения нагрузочных проб, суточного мониторирования ЭКГ и АД, аппараты для программируемой ИВЛ, дуплексного сканирования сосудов шеи, 2 ангиографические установки, 3 единицы тяжелого оборудования - 2 КТ и МРТ, работающие в 2-сменном и 3-сменном режиме.</w:t>
      </w:r>
    </w:p>
    <w:p>
      <w:pPr>
        <w:pStyle w:val="0"/>
        <w:spacing w:before="200" w:line-rule="auto"/>
        <w:ind w:firstLine="540"/>
        <w:jc w:val="both"/>
      </w:pPr>
      <w:r>
        <w:rPr>
          <w:sz w:val="20"/>
        </w:rPr>
        <w:t xml:space="preserve">В кабинете рентгенохирургических методов диагностики и лечения (далее - РХМДиЛ) функционируют 2 рентгеноперационных, работают 3 рентгенхирурга (в ноябре 2020 года закуплена и введена в эксплуатацию вторая ангиографическая установка).</w:t>
      </w:r>
    </w:p>
    <w:p>
      <w:pPr>
        <w:pStyle w:val="0"/>
        <w:spacing w:before="200" w:line-rule="auto"/>
        <w:ind w:firstLine="540"/>
        <w:jc w:val="both"/>
      </w:pPr>
      <w:r>
        <w:rPr>
          <w:sz w:val="20"/>
        </w:rPr>
        <w:t xml:space="preserve">В III квартале 2022 года закуплено 2 ультразвуковых аппарата экспертного класса (согласно плану РП "Борьба с сердечно-сосудистыми заболеваниями).</w:t>
      </w:r>
    </w:p>
    <w:p>
      <w:pPr>
        <w:pStyle w:val="0"/>
        <w:spacing w:before="200" w:line-rule="auto"/>
        <w:ind w:firstLine="540"/>
        <w:jc w:val="both"/>
      </w:pPr>
      <w:r>
        <w:rPr>
          <w:sz w:val="20"/>
        </w:rPr>
        <w:t xml:space="preserve">Учреждение оснащено медицинской информационной системой, имеются кабинет, оборудование и персонал для проведения телемедицинской связи.</w:t>
      </w:r>
    </w:p>
    <w:p>
      <w:pPr>
        <w:pStyle w:val="0"/>
        <w:spacing w:before="200" w:line-rule="auto"/>
        <w:ind w:firstLine="540"/>
        <w:jc w:val="both"/>
      </w:pPr>
      <w:r>
        <w:rPr>
          <w:sz w:val="20"/>
        </w:rPr>
        <w:t xml:space="preserve">В 2022 году пролечены 418 пациентов с ОКС, из них 265 человек (63,4%) с ИМ.</w:t>
      </w:r>
    </w:p>
    <w:p>
      <w:pPr>
        <w:pStyle w:val="0"/>
        <w:spacing w:before="200" w:line-rule="auto"/>
        <w:ind w:firstLine="540"/>
        <w:jc w:val="both"/>
      </w:pPr>
      <w:r>
        <w:rPr>
          <w:sz w:val="20"/>
        </w:rPr>
        <w:t xml:space="preserve">Выполнено всего 381 ЧКВ, в том числе при ОКС - 261 (68,5% от общего количества ЧКВ), из них 210 пациентам с ИМ (80% от количества ЧКВ при ОКС).</w:t>
      </w:r>
    </w:p>
    <w:p>
      <w:pPr>
        <w:pStyle w:val="0"/>
        <w:spacing w:before="200" w:line-rule="auto"/>
        <w:ind w:firstLine="540"/>
        <w:jc w:val="both"/>
      </w:pPr>
      <w:r>
        <w:rPr>
          <w:sz w:val="20"/>
        </w:rPr>
        <w:t xml:space="preserve">Переведены из ПСО 53,8% от числа пролеченных ОКС (225 из 418).</w:t>
      </w:r>
    </w:p>
    <w:p>
      <w:pPr>
        <w:pStyle w:val="0"/>
        <w:spacing w:before="200" w:line-rule="auto"/>
        <w:ind w:firstLine="540"/>
        <w:jc w:val="both"/>
      </w:pPr>
      <w:r>
        <w:rPr>
          <w:sz w:val="20"/>
        </w:rPr>
        <w:t xml:space="preserve">В 2022 году с ОНМК пролечено 232 человека. Из них - 198 пациентов (85.3%) с инфарктом мозга, 39,6% (92 пациента) из пролеченных переведены с территорий зоны ответственности.</w:t>
      </w:r>
    </w:p>
    <w:p>
      <w:pPr>
        <w:pStyle w:val="0"/>
        <w:spacing w:before="200" w:line-rule="auto"/>
        <w:ind w:firstLine="540"/>
        <w:jc w:val="both"/>
      </w:pPr>
      <w:r>
        <w:rPr>
          <w:sz w:val="20"/>
        </w:rPr>
        <w:t xml:space="preserve">В БУ "Няганская окружная больница" проводится эндоваскулярное лечение инсульта: в 2022 году проведено тромбэкстракций 12 пациентам (5,2%) в острейшем периоде. ТЛТ при ОНМК выполнена 15 пациентам (6,5%)</w:t>
      </w:r>
    </w:p>
    <w:p>
      <w:pPr>
        <w:pStyle w:val="0"/>
        <w:spacing w:before="200" w:line-rule="auto"/>
        <w:ind w:firstLine="540"/>
        <w:jc w:val="both"/>
      </w:pPr>
      <w:r>
        <w:rPr>
          <w:sz w:val="20"/>
        </w:rPr>
        <w:t xml:space="preserve">Летальность в 2022 году от БСК составила 3,3%, ИМ - 4,5%, от ОНМК - 7,3%, показатели не превышают целевые значения.</w:t>
      </w:r>
    </w:p>
    <w:p>
      <w:pPr>
        <w:pStyle w:val="0"/>
        <w:spacing w:before="200" w:line-rule="auto"/>
        <w:ind w:firstLine="540"/>
        <w:jc w:val="both"/>
      </w:pPr>
      <w:r>
        <w:rPr>
          <w:sz w:val="20"/>
        </w:rPr>
        <w:t xml:space="preserve">Обеспечена оптимальная маршрутизация пациентов с ОКС и ОНМК как внутри учреждения, так и при взаимодействии с медицинскими организациями зоны ответственности.</w:t>
      </w:r>
    </w:p>
    <w:p>
      <w:pPr>
        <w:pStyle w:val="0"/>
        <w:spacing w:before="200" w:line-rule="auto"/>
        <w:ind w:firstLine="540"/>
        <w:jc w:val="both"/>
      </w:pPr>
      <w:r>
        <w:rPr>
          <w:sz w:val="20"/>
        </w:rPr>
        <w:t xml:space="preserve">С целью увеличения охвата пациентов с высоким риском смерти от БСК планируется внедрение амбулаторной коронарографии.</w:t>
      </w:r>
    </w:p>
    <w:p>
      <w:pPr>
        <w:pStyle w:val="0"/>
        <w:spacing w:before="200" w:line-rule="auto"/>
        <w:ind w:firstLine="540"/>
        <w:jc w:val="both"/>
      </w:pPr>
      <w:r>
        <w:rPr>
          <w:sz w:val="20"/>
        </w:rPr>
        <w:t xml:space="preserve">Проблемы: отсутствие коек для проведения кардиореабилитации, нейрореабилитации II этапа.</w:t>
      </w:r>
    </w:p>
    <w:p>
      <w:pPr>
        <w:pStyle w:val="0"/>
        <w:jc w:val="right"/>
      </w:pPr>
      <w:r>
        <w:rPr>
          <w:sz w:val="20"/>
        </w:rPr>
      </w:r>
    </w:p>
    <w:p>
      <w:pPr>
        <w:pStyle w:val="0"/>
        <w:jc w:val="right"/>
      </w:pPr>
      <w:r>
        <w:rPr>
          <w:sz w:val="20"/>
        </w:rPr>
        <w:t xml:space="preserve">Рисунок 20</w:t>
      </w:r>
    </w:p>
    <w:p>
      <w:pPr>
        <w:pStyle w:val="0"/>
        <w:jc w:val="right"/>
      </w:pPr>
      <w:r>
        <w:rPr>
          <w:sz w:val="20"/>
        </w:rPr>
      </w:r>
    </w:p>
    <w:p>
      <w:pPr>
        <w:pStyle w:val="0"/>
        <w:jc w:val="center"/>
      </w:pPr>
      <w:r>
        <w:rPr>
          <w:sz w:val="20"/>
        </w:rPr>
        <w:t xml:space="preserve">Маршрутизация пациентов с ОКС в зоне ответственности РСЦ N 3</w:t>
      </w:r>
    </w:p>
    <w:p>
      <w:pPr>
        <w:pStyle w:val="0"/>
        <w:ind w:firstLine="540"/>
        <w:jc w:val="both"/>
      </w:pPr>
      <w:r>
        <w:rPr>
          <w:sz w:val="20"/>
        </w:rPr>
      </w:r>
    </w:p>
    <w:p>
      <w:pPr>
        <w:pStyle w:val="0"/>
        <w:jc w:val="center"/>
      </w:pPr>
      <w:r>
        <w:rPr>
          <w:position w:val="-244"/>
        </w:rPr>
        <w:drawing>
          <wp:inline distT="0" distB="0" distL="0" distR="0">
            <wp:extent cx="6059170" cy="3230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6059170" cy="3230880"/>
                    </a:xfrm>
                    <a:prstGeom prst="rect">
                      <a:avLst/>
                    </a:prstGeom>
                    <a:noFill/>
                    <a:ln>
                      <a:noFill/>
                    </a:ln>
                  </pic:spPr>
                </pic:pic>
              </a:graphicData>
            </a:graphic>
          </wp:inline>
        </w:drawing>
      </w:r>
    </w:p>
    <w:p>
      <w:pPr>
        <w:pStyle w:val="0"/>
        <w:jc w:val="center"/>
      </w:pPr>
      <w:r>
        <w:rPr>
          <w:sz w:val="20"/>
        </w:rPr>
      </w:r>
    </w:p>
    <w:p>
      <w:pPr>
        <w:pStyle w:val="0"/>
        <w:jc w:val="right"/>
      </w:pPr>
      <w:r>
        <w:rPr>
          <w:sz w:val="20"/>
        </w:rPr>
        <w:t xml:space="preserve">Таблица 53</w:t>
      </w:r>
    </w:p>
    <w:p>
      <w:pPr>
        <w:pStyle w:val="0"/>
        <w:jc w:val="right"/>
      </w:pPr>
      <w:r>
        <w:rPr>
          <w:sz w:val="20"/>
        </w:rPr>
      </w:r>
    </w:p>
    <w:p>
      <w:pPr>
        <w:pStyle w:val="0"/>
        <w:jc w:val="center"/>
      </w:pPr>
      <w:r>
        <w:rPr>
          <w:sz w:val="20"/>
        </w:rPr>
        <w:t xml:space="preserve">Показатели работы медицинских организаций зоны</w:t>
      </w:r>
    </w:p>
    <w:p>
      <w:pPr>
        <w:pStyle w:val="0"/>
        <w:jc w:val="center"/>
      </w:pPr>
      <w:r>
        <w:rPr>
          <w:sz w:val="20"/>
        </w:rPr>
        <w:t xml:space="preserve">ответственности РСЦ N 3 (2022 год)</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59"/>
        <w:gridCol w:w="1249"/>
        <w:gridCol w:w="1369"/>
        <w:gridCol w:w="844"/>
        <w:gridCol w:w="2284"/>
        <w:gridCol w:w="1369"/>
      </w:tblGrid>
      <w:tr>
        <w:tc>
          <w:tcPr>
            <w:tcW w:w="1459" w:type="dxa"/>
          </w:tcPr>
          <w:p>
            <w:pPr>
              <w:pStyle w:val="0"/>
              <w:jc w:val="center"/>
            </w:pPr>
            <w:r>
              <w:rPr>
                <w:sz w:val="20"/>
              </w:rPr>
              <w:t xml:space="preserve">МО</w:t>
            </w:r>
          </w:p>
        </w:tc>
        <w:tc>
          <w:tcPr>
            <w:tcW w:w="1249" w:type="dxa"/>
          </w:tcPr>
          <w:p>
            <w:pPr>
              <w:pStyle w:val="0"/>
              <w:jc w:val="center"/>
            </w:pPr>
            <w:r>
              <w:rPr>
                <w:sz w:val="20"/>
              </w:rPr>
              <w:t xml:space="preserve">Поступили с ОКС</w:t>
            </w:r>
          </w:p>
        </w:tc>
        <w:tc>
          <w:tcPr>
            <w:tcW w:w="1369" w:type="dxa"/>
          </w:tcPr>
          <w:p>
            <w:pPr>
              <w:pStyle w:val="0"/>
              <w:jc w:val="center"/>
            </w:pPr>
            <w:r>
              <w:rPr>
                <w:sz w:val="20"/>
              </w:rPr>
              <w:t xml:space="preserve">Доставлены до 12 ч., %</w:t>
            </w:r>
          </w:p>
        </w:tc>
        <w:tc>
          <w:tcPr>
            <w:tcW w:w="844" w:type="dxa"/>
          </w:tcPr>
          <w:p>
            <w:pPr>
              <w:pStyle w:val="0"/>
              <w:jc w:val="center"/>
            </w:pPr>
            <w:r>
              <w:rPr>
                <w:sz w:val="20"/>
              </w:rPr>
              <w:t xml:space="preserve">ОКС пST, %</w:t>
            </w:r>
          </w:p>
        </w:tc>
        <w:tc>
          <w:tcPr>
            <w:tcW w:w="2284" w:type="dxa"/>
          </w:tcPr>
          <w:p>
            <w:pPr>
              <w:pStyle w:val="0"/>
              <w:jc w:val="center"/>
            </w:pPr>
            <w:r>
              <w:rPr>
                <w:sz w:val="20"/>
              </w:rPr>
              <w:t xml:space="preserve">ТЛТ/догоспит/уд. вес, %</w:t>
            </w:r>
          </w:p>
        </w:tc>
        <w:tc>
          <w:tcPr>
            <w:tcW w:w="1369" w:type="dxa"/>
          </w:tcPr>
          <w:p>
            <w:pPr>
              <w:pStyle w:val="0"/>
              <w:jc w:val="center"/>
            </w:pPr>
            <w:r>
              <w:rPr>
                <w:sz w:val="20"/>
              </w:rPr>
              <w:t xml:space="preserve">Переведены в РСЦ / уд. вес, %</w:t>
            </w:r>
          </w:p>
        </w:tc>
      </w:tr>
      <w:tr>
        <w:tc>
          <w:tcPr>
            <w:tcW w:w="1459" w:type="dxa"/>
          </w:tcPr>
          <w:p>
            <w:pPr>
              <w:pStyle w:val="0"/>
            </w:pPr>
            <w:r>
              <w:rPr>
                <w:sz w:val="20"/>
              </w:rPr>
              <w:t xml:space="preserve">БУ "Березовская районная больница"</w:t>
            </w:r>
          </w:p>
        </w:tc>
        <w:tc>
          <w:tcPr>
            <w:tcW w:w="1249" w:type="dxa"/>
          </w:tcPr>
          <w:p>
            <w:pPr>
              <w:pStyle w:val="0"/>
            </w:pPr>
            <w:r>
              <w:rPr>
                <w:sz w:val="20"/>
              </w:rPr>
              <w:t xml:space="preserve">8</w:t>
            </w:r>
          </w:p>
        </w:tc>
        <w:tc>
          <w:tcPr>
            <w:tcW w:w="1369" w:type="dxa"/>
          </w:tcPr>
          <w:p>
            <w:pPr>
              <w:pStyle w:val="0"/>
            </w:pPr>
            <w:r>
              <w:rPr>
                <w:sz w:val="20"/>
              </w:rPr>
              <w:t xml:space="preserve">6/75</w:t>
            </w:r>
          </w:p>
        </w:tc>
        <w:tc>
          <w:tcPr>
            <w:tcW w:w="844" w:type="dxa"/>
          </w:tcPr>
          <w:p>
            <w:pPr>
              <w:pStyle w:val="0"/>
            </w:pPr>
            <w:r>
              <w:rPr>
                <w:sz w:val="20"/>
              </w:rPr>
              <w:t xml:space="preserve">4/33</w:t>
            </w:r>
          </w:p>
        </w:tc>
        <w:tc>
          <w:tcPr>
            <w:tcW w:w="2284" w:type="dxa"/>
          </w:tcPr>
          <w:p>
            <w:pPr>
              <w:pStyle w:val="0"/>
            </w:pPr>
            <w:r>
              <w:rPr>
                <w:sz w:val="20"/>
              </w:rPr>
              <w:t xml:space="preserve">4/0/100</w:t>
            </w:r>
          </w:p>
        </w:tc>
        <w:tc>
          <w:tcPr>
            <w:tcW w:w="1369" w:type="dxa"/>
          </w:tcPr>
          <w:p>
            <w:pPr>
              <w:pStyle w:val="0"/>
            </w:pPr>
            <w:r>
              <w:rPr>
                <w:sz w:val="20"/>
              </w:rPr>
              <w:t xml:space="preserve">8/100</w:t>
            </w:r>
          </w:p>
        </w:tc>
      </w:tr>
      <w:tr>
        <w:tc>
          <w:tcPr>
            <w:tcW w:w="1459" w:type="dxa"/>
          </w:tcPr>
          <w:p>
            <w:pPr>
              <w:pStyle w:val="0"/>
            </w:pPr>
            <w:r>
              <w:rPr>
                <w:sz w:val="20"/>
              </w:rPr>
              <w:t xml:space="preserve">БУ "Игримская районная больница"</w:t>
            </w:r>
          </w:p>
        </w:tc>
        <w:tc>
          <w:tcPr>
            <w:tcW w:w="1249" w:type="dxa"/>
          </w:tcPr>
          <w:p>
            <w:pPr>
              <w:pStyle w:val="0"/>
            </w:pPr>
            <w:r>
              <w:rPr>
                <w:sz w:val="20"/>
              </w:rPr>
              <w:t xml:space="preserve">11</w:t>
            </w:r>
          </w:p>
        </w:tc>
        <w:tc>
          <w:tcPr>
            <w:tcW w:w="1369" w:type="dxa"/>
          </w:tcPr>
          <w:p>
            <w:pPr>
              <w:pStyle w:val="0"/>
            </w:pPr>
            <w:r>
              <w:rPr>
                <w:sz w:val="20"/>
              </w:rPr>
              <w:t xml:space="preserve">6/54.5</w:t>
            </w:r>
          </w:p>
        </w:tc>
        <w:tc>
          <w:tcPr>
            <w:tcW w:w="844" w:type="dxa"/>
          </w:tcPr>
          <w:p>
            <w:pPr>
              <w:pStyle w:val="0"/>
            </w:pPr>
            <w:r>
              <w:rPr>
                <w:sz w:val="20"/>
              </w:rPr>
              <w:t xml:space="preserve">6/45.5</w:t>
            </w:r>
          </w:p>
        </w:tc>
        <w:tc>
          <w:tcPr>
            <w:tcW w:w="2284" w:type="dxa"/>
          </w:tcPr>
          <w:p>
            <w:pPr>
              <w:pStyle w:val="0"/>
            </w:pPr>
            <w:r>
              <w:rPr>
                <w:sz w:val="20"/>
              </w:rPr>
              <w:t xml:space="preserve">2/0/33</w:t>
            </w:r>
          </w:p>
        </w:tc>
        <w:tc>
          <w:tcPr>
            <w:tcW w:w="1369" w:type="dxa"/>
          </w:tcPr>
          <w:p>
            <w:pPr>
              <w:pStyle w:val="0"/>
            </w:pPr>
            <w:r>
              <w:rPr>
                <w:sz w:val="20"/>
              </w:rPr>
              <w:t xml:space="preserve">9/81,8</w:t>
            </w:r>
          </w:p>
        </w:tc>
      </w:tr>
      <w:tr>
        <w:tc>
          <w:tcPr>
            <w:tcW w:w="1459" w:type="dxa"/>
          </w:tcPr>
          <w:p>
            <w:pPr>
              <w:pStyle w:val="0"/>
            </w:pPr>
            <w:r>
              <w:rPr>
                <w:sz w:val="20"/>
              </w:rPr>
              <w:t xml:space="preserve">БУ "Советская районная больница"</w:t>
            </w:r>
          </w:p>
        </w:tc>
        <w:tc>
          <w:tcPr>
            <w:tcW w:w="1249" w:type="dxa"/>
          </w:tcPr>
          <w:p>
            <w:pPr>
              <w:pStyle w:val="0"/>
            </w:pPr>
            <w:r>
              <w:rPr>
                <w:sz w:val="20"/>
              </w:rPr>
              <w:t xml:space="preserve">45</w:t>
            </w:r>
          </w:p>
        </w:tc>
        <w:tc>
          <w:tcPr>
            <w:tcW w:w="1369" w:type="dxa"/>
          </w:tcPr>
          <w:p>
            <w:pPr>
              <w:pStyle w:val="0"/>
            </w:pPr>
            <w:r>
              <w:rPr>
                <w:sz w:val="20"/>
              </w:rPr>
              <w:t xml:space="preserve">23/51</w:t>
            </w:r>
          </w:p>
        </w:tc>
        <w:tc>
          <w:tcPr>
            <w:tcW w:w="844" w:type="dxa"/>
          </w:tcPr>
          <w:p>
            <w:pPr>
              <w:pStyle w:val="0"/>
            </w:pPr>
            <w:r>
              <w:rPr>
                <w:sz w:val="20"/>
              </w:rPr>
              <w:t xml:space="preserve">16/35</w:t>
            </w:r>
          </w:p>
        </w:tc>
        <w:tc>
          <w:tcPr>
            <w:tcW w:w="2284" w:type="dxa"/>
          </w:tcPr>
          <w:p>
            <w:pPr>
              <w:pStyle w:val="0"/>
            </w:pPr>
            <w:r>
              <w:rPr>
                <w:sz w:val="20"/>
              </w:rPr>
              <w:t xml:space="preserve">11/0/68</w:t>
            </w:r>
          </w:p>
        </w:tc>
        <w:tc>
          <w:tcPr>
            <w:tcW w:w="1369" w:type="dxa"/>
          </w:tcPr>
          <w:p>
            <w:pPr>
              <w:pStyle w:val="0"/>
            </w:pPr>
            <w:r>
              <w:rPr>
                <w:sz w:val="20"/>
              </w:rPr>
              <w:t xml:space="preserve">41/91</w:t>
            </w:r>
          </w:p>
        </w:tc>
      </w:tr>
      <w:tr>
        <w:tc>
          <w:tcPr>
            <w:tcW w:w="1459" w:type="dxa"/>
          </w:tcPr>
          <w:p>
            <w:pPr>
              <w:pStyle w:val="0"/>
            </w:pPr>
            <w:r>
              <w:rPr>
                <w:sz w:val="20"/>
              </w:rPr>
              <w:t xml:space="preserve">БУ "Пионерская районная больница"</w:t>
            </w:r>
          </w:p>
        </w:tc>
        <w:tc>
          <w:tcPr>
            <w:tcW w:w="1249" w:type="dxa"/>
          </w:tcPr>
          <w:p>
            <w:pPr>
              <w:pStyle w:val="0"/>
            </w:pPr>
            <w:r>
              <w:rPr>
                <w:sz w:val="20"/>
              </w:rPr>
              <w:t xml:space="preserve">27</w:t>
            </w:r>
          </w:p>
        </w:tc>
        <w:tc>
          <w:tcPr>
            <w:tcW w:w="1369" w:type="dxa"/>
          </w:tcPr>
          <w:p>
            <w:pPr>
              <w:pStyle w:val="0"/>
            </w:pPr>
            <w:r>
              <w:rPr>
                <w:sz w:val="20"/>
              </w:rPr>
              <w:t xml:space="preserve">20/74</w:t>
            </w:r>
          </w:p>
        </w:tc>
        <w:tc>
          <w:tcPr>
            <w:tcW w:w="844" w:type="dxa"/>
          </w:tcPr>
          <w:p>
            <w:pPr>
              <w:pStyle w:val="0"/>
            </w:pPr>
            <w:r>
              <w:rPr>
                <w:sz w:val="20"/>
              </w:rPr>
              <w:t xml:space="preserve">12/44</w:t>
            </w:r>
          </w:p>
        </w:tc>
        <w:tc>
          <w:tcPr>
            <w:tcW w:w="2284" w:type="dxa"/>
          </w:tcPr>
          <w:p>
            <w:pPr>
              <w:pStyle w:val="0"/>
            </w:pPr>
            <w:r>
              <w:rPr>
                <w:sz w:val="20"/>
              </w:rPr>
              <w:t xml:space="preserve">10/0/83</w:t>
            </w:r>
          </w:p>
        </w:tc>
        <w:tc>
          <w:tcPr>
            <w:tcW w:w="1369" w:type="dxa"/>
          </w:tcPr>
          <w:p>
            <w:pPr>
              <w:pStyle w:val="0"/>
            </w:pPr>
            <w:r>
              <w:rPr>
                <w:sz w:val="20"/>
              </w:rPr>
              <w:t xml:space="preserve">27/100</w:t>
            </w:r>
          </w:p>
        </w:tc>
      </w:tr>
      <w:tr>
        <w:tc>
          <w:tcPr>
            <w:tcW w:w="1459" w:type="dxa"/>
          </w:tcPr>
          <w:p>
            <w:pPr>
              <w:pStyle w:val="0"/>
            </w:pPr>
            <w:r>
              <w:rPr>
                <w:sz w:val="20"/>
              </w:rPr>
              <w:t xml:space="preserve">БУ "Югорская городская больница"</w:t>
            </w:r>
          </w:p>
        </w:tc>
        <w:tc>
          <w:tcPr>
            <w:tcW w:w="1249" w:type="dxa"/>
          </w:tcPr>
          <w:p>
            <w:pPr>
              <w:pStyle w:val="0"/>
            </w:pPr>
            <w:r>
              <w:rPr>
                <w:sz w:val="20"/>
              </w:rPr>
              <w:t xml:space="preserve">88</w:t>
            </w:r>
          </w:p>
        </w:tc>
        <w:tc>
          <w:tcPr>
            <w:tcW w:w="1369" w:type="dxa"/>
          </w:tcPr>
          <w:p>
            <w:pPr>
              <w:pStyle w:val="0"/>
            </w:pPr>
            <w:r>
              <w:rPr>
                <w:sz w:val="20"/>
              </w:rPr>
              <w:t xml:space="preserve">53/60</w:t>
            </w:r>
          </w:p>
        </w:tc>
        <w:tc>
          <w:tcPr>
            <w:tcW w:w="844" w:type="dxa"/>
          </w:tcPr>
          <w:p>
            <w:pPr>
              <w:pStyle w:val="0"/>
            </w:pPr>
            <w:r>
              <w:rPr>
                <w:sz w:val="20"/>
              </w:rPr>
              <w:t xml:space="preserve">39/44,3</w:t>
            </w:r>
          </w:p>
        </w:tc>
        <w:tc>
          <w:tcPr>
            <w:tcW w:w="2284" w:type="dxa"/>
          </w:tcPr>
          <w:p>
            <w:pPr>
              <w:pStyle w:val="0"/>
            </w:pPr>
            <w:r>
              <w:rPr>
                <w:sz w:val="20"/>
              </w:rPr>
              <w:t xml:space="preserve">24/12/61,5</w:t>
            </w:r>
          </w:p>
        </w:tc>
        <w:tc>
          <w:tcPr>
            <w:tcW w:w="1369" w:type="dxa"/>
          </w:tcPr>
          <w:p>
            <w:pPr>
              <w:pStyle w:val="0"/>
            </w:pPr>
            <w:r>
              <w:rPr>
                <w:sz w:val="20"/>
              </w:rPr>
              <w:t xml:space="preserve">79/89</w:t>
            </w:r>
          </w:p>
        </w:tc>
      </w:tr>
      <w:tr>
        <w:tc>
          <w:tcPr>
            <w:tcW w:w="1459" w:type="dxa"/>
          </w:tcPr>
          <w:p>
            <w:pPr>
              <w:pStyle w:val="0"/>
            </w:pPr>
            <w:r>
              <w:rPr>
                <w:sz w:val="20"/>
              </w:rPr>
              <w:t xml:space="preserve">БУ "Октябрьская районная больница"</w:t>
            </w:r>
          </w:p>
        </w:tc>
        <w:tc>
          <w:tcPr>
            <w:tcW w:w="1249" w:type="dxa"/>
          </w:tcPr>
          <w:p>
            <w:pPr>
              <w:pStyle w:val="0"/>
            </w:pPr>
            <w:r>
              <w:rPr>
                <w:sz w:val="20"/>
              </w:rPr>
              <w:t xml:space="preserve">47</w:t>
            </w:r>
          </w:p>
        </w:tc>
        <w:tc>
          <w:tcPr>
            <w:tcW w:w="1369" w:type="dxa"/>
          </w:tcPr>
          <w:p>
            <w:pPr>
              <w:pStyle w:val="0"/>
            </w:pPr>
            <w:r>
              <w:rPr>
                <w:sz w:val="20"/>
              </w:rPr>
              <w:t xml:space="preserve">17/36.2</w:t>
            </w:r>
          </w:p>
        </w:tc>
        <w:tc>
          <w:tcPr>
            <w:tcW w:w="844" w:type="dxa"/>
          </w:tcPr>
          <w:p>
            <w:pPr>
              <w:pStyle w:val="0"/>
            </w:pPr>
            <w:r>
              <w:rPr>
                <w:sz w:val="20"/>
              </w:rPr>
              <w:t xml:space="preserve">20/42,5</w:t>
            </w:r>
          </w:p>
        </w:tc>
        <w:tc>
          <w:tcPr>
            <w:tcW w:w="2284" w:type="dxa"/>
          </w:tcPr>
          <w:p>
            <w:pPr>
              <w:pStyle w:val="0"/>
            </w:pPr>
            <w:r>
              <w:rPr>
                <w:sz w:val="20"/>
              </w:rPr>
              <w:t xml:space="preserve">3/1/15</w:t>
            </w:r>
          </w:p>
        </w:tc>
        <w:tc>
          <w:tcPr>
            <w:tcW w:w="1369" w:type="dxa"/>
          </w:tcPr>
          <w:p>
            <w:pPr>
              <w:pStyle w:val="0"/>
            </w:pPr>
            <w:r>
              <w:rPr>
                <w:sz w:val="20"/>
              </w:rPr>
              <w:t xml:space="preserve">45/95,7</w:t>
            </w:r>
          </w:p>
        </w:tc>
      </w:tr>
      <w:tr>
        <w:tc>
          <w:tcPr>
            <w:tcW w:w="1459" w:type="dxa"/>
          </w:tcPr>
          <w:p>
            <w:pPr>
              <w:pStyle w:val="0"/>
            </w:pPr>
            <w:r>
              <w:rPr>
                <w:sz w:val="20"/>
              </w:rPr>
              <w:t xml:space="preserve">Итого в группе</w:t>
            </w:r>
          </w:p>
        </w:tc>
        <w:tc>
          <w:tcPr>
            <w:tcW w:w="1249" w:type="dxa"/>
          </w:tcPr>
          <w:p>
            <w:pPr>
              <w:pStyle w:val="0"/>
            </w:pPr>
            <w:r>
              <w:rPr>
                <w:sz w:val="20"/>
              </w:rPr>
              <w:t xml:space="preserve">226</w:t>
            </w:r>
          </w:p>
        </w:tc>
        <w:tc>
          <w:tcPr>
            <w:tcW w:w="1369" w:type="dxa"/>
          </w:tcPr>
          <w:p>
            <w:pPr>
              <w:pStyle w:val="0"/>
            </w:pPr>
            <w:r>
              <w:rPr>
                <w:sz w:val="20"/>
              </w:rPr>
              <w:t xml:space="preserve">125/55.3</w:t>
            </w:r>
          </w:p>
        </w:tc>
        <w:tc>
          <w:tcPr>
            <w:tcW w:w="844" w:type="dxa"/>
          </w:tcPr>
          <w:p>
            <w:pPr>
              <w:pStyle w:val="0"/>
            </w:pPr>
            <w:r>
              <w:rPr>
                <w:sz w:val="20"/>
              </w:rPr>
              <w:t xml:space="preserve">97/42,9</w:t>
            </w:r>
          </w:p>
        </w:tc>
        <w:tc>
          <w:tcPr>
            <w:tcW w:w="2284" w:type="dxa"/>
          </w:tcPr>
          <w:p>
            <w:pPr>
              <w:pStyle w:val="0"/>
            </w:pPr>
            <w:r>
              <w:rPr>
                <w:sz w:val="20"/>
              </w:rPr>
              <w:t xml:space="preserve">56/57,7</w:t>
            </w:r>
          </w:p>
        </w:tc>
        <w:tc>
          <w:tcPr>
            <w:tcW w:w="1369" w:type="dxa"/>
          </w:tcPr>
          <w:p>
            <w:pPr>
              <w:pStyle w:val="0"/>
            </w:pPr>
            <w:r>
              <w:rPr>
                <w:sz w:val="20"/>
              </w:rPr>
              <w:t xml:space="preserve">209/92,5</w:t>
            </w:r>
          </w:p>
        </w:tc>
      </w:tr>
    </w:tbl>
    <w:p>
      <w:pPr>
        <w:pStyle w:val="0"/>
        <w:ind w:firstLine="540"/>
        <w:jc w:val="both"/>
      </w:pPr>
      <w:r>
        <w:rPr>
          <w:sz w:val="20"/>
        </w:rPr>
      </w:r>
    </w:p>
    <w:p>
      <w:pPr>
        <w:pStyle w:val="0"/>
        <w:ind w:firstLine="540"/>
        <w:jc w:val="both"/>
      </w:pPr>
      <w:r>
        <w:rPr>
          <w:sz w:val="20"/>
        </w:rPr>
        <w:t xml:space="preserve">РСЦ N 3 обслуживает территорию с числом населения 194 651 человек. Обеспеченность койками РСЦ в зоне ответственности - 1,4 на 10 тыс. взрослого населения (ниже среднего по автономному округу показателя).</w:t>
      </w:r>
    </w:p>
    <w:p>
      <w:pPr>
        <w:pStyle w:val="0"/>
        <w:spacing w:before="200" w:line-rule="auto"/>
        <w:ind w:firstLine="540"/>
        <w:jc w:val="both"/>
      </w:pPr>
      <w:r>
        <w:rPr>
          <w:sz w:val="20"/>
        </w:rPr>
        <w:t xml:space="preserve">В соответствии с алгоритмом маршрутизации к РСЦ N 3 относятся 3 ПСО, из них кардиологические койки имеет БУ "Октябрьская районная больница" - 1 койка, БУ "Югорская городская больница" - 2 койки, БУ "Советская районная больница" - 2 койки (Согласно приказу Депздрава Югры от 29 декабря 2021 года N 2174 "О совершенствовании оказания специализированной медицинской помощи пациентам с острым коронарным синдромом в медицинских организациях Ханты-Мансийского автономного округа - Югры").</w:t>
      </w:r>
    </w:p>
    <w:p>
      <w:pPr>
        <w:pStyle w:val="0"/>
        <w:spacing w:before="200" w:line-rule="auto"/>
        <w:ind w:firstLine="540"/>
        <w:jc w:val="both"/>
      </w:pPr>
      <w:r>
        <w:rPr>
          <w:sz w:val="20"/>
        </w:rPr>
        <w:t xml:space="preserve">В зоне ответственности РСЦ N 3 удельный вес доставленных пациентов с ОКС в срок до 12 ч. - 55,3%, низкий показатель в БУ "Октябрьский районная больница" (36,2%).</w:t>
      </w:r>
    </w:p>
    <w:p>
      <w:pPr>
        <w:pStyle w:val="0"/>
        <w:spacing w:before="200" w:line-rule="auto"/>
        <w:ind w:firstLine="540"/>
        <w:jc w:val="both"/>
      </w:pPr>
      <w:r>
        <w:rPr>
          <w:sz w:val="20"/>
        </w:rPr>
        <w:t xml:space="preserve">Учитывая расстояние от ПСО до РСЦ, в соответствии с утвержденными алгоритмами во всех ПСО должна быть применена фармакоинвазивная стратегия. Фактически удельный вес ТЛТ достаточен во всех медицинских организациях. В зоне РСЦ N 3 самый низкий охват ТЛТ от числа пациентов с ОКСпST в БУ "Октябрьская районная больница" (20%). Проведено 14 догоспитальных ТЛТ (БУ "Югорская городская больница" - 13, и БУ "Октябрьская районная больница" - 1).</w:t>
      </w:r>
    </w:p>
    <w:p>
      <w:pPr>
        <w:pStyle w:val="0"/>
        <w:spacing w:before="200" w:line-rule="auto"/>
        <w:ind w:firstLine="540"/>
        <w:jc w:val="both"/>
      </w:pPr>
      <w:r>
        <w:rPr>
          <w:sz w:val="20"/>
        </w:rPr>
        <w:t xml:space="preserve">Всего умерших в ПСО зоны ответственности РСЦ N 3 - 10 пациентов с ИМ.</w:t>
      </w:r>
    </w:p>
    <w:p>
      <w:pPr>
        <w:pStyle w:val="0"/>
        <w:spacing w:before="200" w:line-rule="auto"/>
        <w:ind w:firstLine="540"/>
        <w:jc w:val="both"/>
      </w:pPr>
      <w:r>
        <w:rPr>
          <w:sz w:val="20"/>
        </w:rPr>
        <w:t xml:space="preserve">Удельный вес переведенных в РСЦ повысился в сравнении с 2021 годом с 91% до 92,5%; фактически переводятся все пациенты с ОКС.</w:t>
      </w:r>
    </w:p>
    <w:p>
      <w:pPr>
        <w:pStyle w:val="0"/>
        <w:spacing w:before="200" w:line-rule="auto"/>
        <w:ind w:firstLine="540"/>
        <w:jc w:val="both"/>
      </w:pPr>
      <w:r>
        <w:rPr>
          <w:sz w:val="20"/>
        </w:rPr>
        <w:t xml:space="preserve">В зоне РСЦ N 3 проводится первый этап реабилитации для пациентов, перенесших ОКС, ОНМК (за 2022 год пациенты с ОКС - 404, с ОНМК - 222).</w:t>
      </w:r>
    </w:p>
    <w:p>
      <w:pPr>
        <w:pStyle w:val="0"/>
        <w:spacing w:before="200" w:line-rule="auto"/>
        <w:ind w:firstLine="540"/>
        <w:jc w:val="both"/>
      </w:pPr>
      <w:r>
        <w:rPr>
          <w:sz w:val="20"/>
        </w:rPr>
        <w:t xml:space="preserve">После выписки из стационара пациенты направляются в БУ "Урайская окружная больница медицинской реабилитации", которая находится на расстоянии более 400 км. За 2022 год кардиореабилитацию прошли 141 пациент. Нейрореабилитация осуществляется в БУ "Окружной клинический лечебно-реабилитационный центр", за 2022 год направлено 34 пациента.</w:t>
      </w:r>
    </w:p>
    <w:p>
      <w:pPr>
        <w:pStyle w:val="0"/>
        <w:spacing w:before="200" w:line-rule="auto"/>
        <w:ind w:firstLine="540"/>
        <w:jc w:val="both"/>
      </w:pPr>
      <w:r>
        <w:rPr>
          <w:sz w:val="20"/>
        </w:rPr>
        <w:t xml:space="preserve">В зоне ответственности РСЦ N 3 не налажено должное взаимодействие с медицинскими организациями зоны ответственности: не проводится на постоянной основе анализ показателей смертности, летальности от БСК в муниципальных образованиях, не организована регулярная выездная работа (в 2022 году организован 1 аудит медицинской помощи кардиологическим пациентам, результаты отправлены главному внештатному кардиологу).</w:t>
      </w:r>
    </w:p>
    <w:p>
      <w:pPr>
        <w:pStyle w:val="0"/>
        <w:spacing w:before="200" w:line-rule="auto"/>
        <w:ind w:firstLine="540"/>
        <w:jc w:val="both"/>
      </w:pPr>
      <w:r>
        <w:rPr>
          <w:sz w:val="20"/>
        </w:rPr>
        <w:t xml:space="preserve">В 2023 году запланировано:</w:t>
      </w:r>
    </w:p>
    <w:p>
      <w:pPr>
        <w:pStyle w:val="0"/>
        <w:spacing w:before="200" w:line-rule="auto"/>
        <w:ind w:firstLine="540"/>
        <w:jc w:val="both"/>
      </w:pPr>
      <w:r>
        <w:rPr>
          <w:sz w:val="20"/>
        </w:rPr>
        <w:t xml:space="preserve">1. Разработать и утвердить алгоритмы взаимодействия с медицинскими организациями зоны ответственности.</w:t>
      </w:r>
    </w:p>
    <w:p>
      <w:pPr>
        <w:pStyle w:val="0"/>
        <w:spacing w:before="200" w:line-rule="auto"/>
        <w:ind w:firstLine="540"/>
        <w:jc w:val="both"/>
      </w:pPr>
      <w:r>
        <w:rPr>
          <w:sz w:val="20"/>
        </w:rPr>
        <w:t xml:space="preserve">2. Повысить удельный вес тромболизиса при ОКСпST, в т.ч. догоспитального во всех медорганизациях зоны РСЦ N 3.</w:t>
      </w:r>
    </w:p>
    <w:p>
      <w:pPr>
        <w:pStyle w:val="0"/>
        <w:spacing w:before="200" w:line-rule="auto"/>
        <w:ind w:firstLine="540"/>
        <w:jc w:val="both"/>
      </w:pPr>
      <w:r>
        <w:rPr>
          <w:sz w:val="20"/>
        </w:rPr>
        <w:t xml:space="preserve">3. Контролировать качество оказания специализированной медицинской помощи с участием экспертов страховых медорганизаций во всех ПСО.</w:t>
      </w:r>
    </w:p>
    <w:p>
      <w:pPr>
        <w:pStyle w:val="0"/>
        <w:spacing w:before="200" w:line-rule="auto"/>
        <w:ind w:firstLine="540"/>
        <w:jc w:val="both"/>
      </w:pPr>
      <w:r>
        <w:rPr>
          <w:sz w:val="20"/>
        </w:rPr>
        <w:t xml:space="preserve">В РСЦ N 3 необходимо выполнение следующих мероприятий:</w:t>
      </w:r>
    </w:p>
    <w:p>
      <w:pPr>
        <w:pStyle w:val="0"/>
        <w:spacing w:before="200" w:line-rule="auto"/>
        <w:ind w:firstLine="540"/>
        <w:jc w:val="both"/>
      </w:pPr>
      <w:r>
        <w:rPr>
          <w:sz w:val="20"/>
        </w:rPr>
        <w:t xml:space="preserve">4. Организация проведения диагностической коронарографии в амбулаторных условиях.</w:t>
      </w:r>
    </w:p>
    <w:p>
      <w:pPr>
        <w:pStyle w:val="0"/>
        <w:spacing w:before="200" w:line-rule="auto"/>
        <w:ind w:firstLine="540"/>
        <w:jc w:val="both"/>
      </w:pPr>
      <w:r>
        <w:rPr>
          <w:sz w:val="20"/>
        </w:rPr>
        <w:t xml:space="preserve">5. Развернуть койки 2 этапа кардиореабилитации, нейрореабилитации в БУ "Няганская окружная больница".</w:t>
      </w:r>
    </w:p>
    <w:p>
      <w:pPr>
        <w:pStyle w:val="0"/>
        <w:jc w:val="center"/>
      </w:pPr>
      <w:r>
        <w:rPr>
          <w:sz w:val="20"/>
        </w:rPr>
      </w:r>
    </w:p>
    <w:p>
      <w:pPr>
        <w:pStyle w:val="2"/>
        <w:outlineLvl w:val="4"/>
        <w:jc w:val="center"/>
      </w:pPr>
      <w:r>
        <w:rPr>
          <w:sz w:val="20"/>
        </w:rPr>
        <w:t xml:space="preserve">БУ "Нижневартовская окружная клиническая больница"</w:t>
      </w:r>
    </w:p>
    <w:p>
      <w:pPr>
        <w:pStyle w:val="0"/>
        <w:jc w:val="center"/>
      </w:pPr>
      <w:r>
        <w:rPr>
          <w:sz w:val="20"/>
        </w:rPr>
      </w:r>
    </w:p>
    <w:p>
      <w:pPr>
        <w:pStyle w:val="0"/>
        <w:ind w:firstLine="540"/>
        <w:jc w:val="both"/>
      </w:pPr>
      <w:r>
        <w:rPr>
          <w:sz w:val="20"/>
        </w:rPr>
        <w:t xml:space="preserve">Статус - региональный сосудистый центр N 4.</w:t>
      </w:r>
    </w:p>
    <w:p>
      <w:pPr>
        <w:pStyle w:val="0"/>
        <w:spacing w:before="200" w:line-rule="auto"/>
        <w:ind w:firstLine="540"/>
        <w:jc w:val="both"/>
      </w:pPr>
      <w:r>
        <w:rPr>
          <w:sz w:val="20"/>
        </w:rPr>
        <w:t xml:space="preserve">Зона обслуживания - городские округа Нижневартовск, Мегион, Радужный, пгт. Излучинск, гп. Новоаганск.</w:t>
      </w:r>
    </w:p>
    <w:p>
      <w:pPr>
        <w:pStyle w:val="0"/>
        <w:spacing w:before="200" w:line-rule="auto"/>
        <w:ind w:firstLine="540"/>
        <w:jc w:val="both"/>
      </w:pPr>
      <w:r>
        <w:rPr>
          <w:sz w:val="20"/>
        </w:rPr>
        <w:t xml:space="preserve">Общее количество коек - 1135, в т.ч.: кардиологические - 108, неврологические - 80, реанимационные - 44.</w:t>
      </w:r>
    </w:p>
    <w:p>
      <w:pPr>
        <w:pStyle w:val="0"/>
        <w:spacing w:before="200" w:line-rule="auto"/>
        <w:ind w:firstLine="540"/>
        <w:jc w:val="both"/>
      </w:pPr>
      <w:r>
        <w:rPr>
          <w:sz w:val="20"/>
        </w:rPr>
        <w:t xml:space="preserve">Количество штатных должностей врачей-кардиологов, оказывающих медицинскую помощь в стационарных условиях, - 21,25, занятых - 20,35, физических лиц - 13.</w:t>
      </w:r>
    </w:p>
    <w:p>
      <w:pPr>
        <w:pStyle w:val="0"/>
        <w:spacing w:before="200" w:line-rule="auto"/>
        <w:ind w:firstLine="540"/>
        <w:jc w:val="both"/>
      </w:pPr>
      <w:r>
        <w:rPr>
          <w:sz w:val="20"/>
        </w:rPr>
        <w:t xml:space="preserve">БУ "Нижневартовская окружная клиническая больница" укомплектована врачами-кардиологами на 61%. Имеются 5 специалистов по рентгенэндоваскулярным диагностике и лечению и 29 анестезиологов-реаниматологов.</w:t>
      </w:r>
    </w:p>
    <w:p>
      <w:pPr>
        <w:pStyle w:val="0"/>
        <w:spacing w:before="200" w:line-rule="auto"/>
        <w:ind w:firstLine="540"/>
        <w:jc w:val="both"/>
      </w:pPr>
      <w:r>
        <w:rPr>
          <w:sz w:val="20"/>
        </w:rPr>
        <w:t xml:space="preserve">Имеется оборудование для УЗИ сосудов, ЭхоКГ с возможностью круглосуточного проведения, оборудованием для проведения нагрузочных проб, суточного мониторирования ЭКГ и АД, аппараты для программируемой ИВЛ, дуплексного сканирования сосудов шеи, 3 компьютерных томографа, 1 магниторезонансный томограф, 2 ангиографических комплекса.</w:t>
      </w:r>
    </w:p>
    <w:p>
      <w:pPr>
        <w:pStyle w:val="0"/>
        <w:spacing w:before="200" w:line-rule="auto"/>
        <w:ind w:firstLine="540"/>
        <w:jc w:val="both"/>
      </w:pPr>
      <w:r>
        <w:rPr>
          <w:sz w:val="20"/>
        </w:rPr>
        <w:t xml:space="preserve">Второй ангиографический комплекс был приобретен в 2020 году.</w:t>
      </w:r>
    </w:p>
    <w:p>
      <w:pPr>
        <w:pStyle w:val="0"/>
        <w:spacing w:before="200" w:line-rule="auto"/>
        <w:ind w:firstLine="540"/>
        <w:jc w:val="both"/>
      </w:pPr>
      <w:r>
        <w:rPr>
          <w:sz w:val="20"/>
        </w:rPr>
        <w:t xml:space="preserve">Учреждение оснащено медицинской информационной системой ПК Здравоохранение КОМТЕК, имеются кабинет, оборудование и персонал для проведения телемедицинской связи.</w:t>
      </w:r>
    </w:p>
    <w:p>
      <w:pPr>
        <w:pStyle w:val="0"/>
        <w:spacing w:before="200" w:line-rule="auto"/>
        <w:ind w:firstLine="540"/>
        <w:jc w:val="both"/>
      </w:pPr>
      <w:r>
        <w:rPr>
          <w:sz w:val="20"/>
        </w:rPr>
        <w:t xml:space="preserve">В 2022 году пролечено 683 пациента с ОКС, из них 421 человек (62%) с ИМ, выполнено 824 ЧКВ, из них 360 (44%) пациентам с ИМ.</w:t>
      </w:r>
    </w:p>
    <w:p>
      <w:pPr>
        <w:pStyle w:val="0"/>
        <w:spacing w:before="200" w:line-rule="auto"/>
        <w:ind w:firstLine="540"/>
        <w:jc w:val="both"/>
      </w:pPr>
      <w:r>
        <w:rPr>
          <w:sz w:val="20"/>
        </w:rPr>
        <w:t xml:space="preserve">Из 683 пролеченных пациентов с ОКС 180 (26,3%) переведены из ПСО.</w:t>
      </w:r>
    </w:p>
    <w:p>
      <w:pPr>
        <w:pStyle w:val="0"/>
        <w:spacing w:before="200" w:line-rule="auto"/>
        <w:ind w:firstLine="540"/>
        <w:jc w:val="both"/>
      </w:pPr>
      <w:r>
        <w:rPr>
          <w:sz w:val="20"/>
        </w:rPr>
        <w:t xml:space="preserve">Летальность от БСК в БУ "Нижневартовская окружная клиническая больница" за 2022 год составила 3,5%, от ИМ - 3,6%.</w:t>
      </w:r>
    </w:p>
    <w:p>
      <w:pPr>
        <w:pStyle w:val="0"/>
        <w:spacing w:before="200" w:line-rule="auto"/>
        <w:ind w:firstLine="540"/>
        <w:jc w:val="both"/>
      </w:pPr>
      <w:r>
        <w:rPr>
          <w:sz w:val="20"/>
        </w:rPr>
        <w:t xml:space="preserve">В 2023 году в городском округе планируется открытие объединенной окружной клинической больницы с 2 рентгеноперационными.</w:t>
      </w:r>
    </w:p>
    <w:p>
      <w:pPr>
        <w:pStyle w:val="0"/>
        <w:spacing w:before="200" w:line-rule="auto"/>
        <w:ind w:firstLine="540"/>
        <w:jc w:val="both"/>
      </w:pPr>
      <w:r>
        <w:rPr>
          <w:sz w:val="20"/>
        </w:rPr>
        <w:t xml:space="preserve">РСЦ N 4 обслуживает территорию с числом населения 479 811. Обеспеченность койками - 0,9 на 10 тыс. взрослого населения.</w:t>
      </w:r>
    </w:p>
    <w:p>
      <w:pPr>
        <w:pStyle w:val="0"/>
        <w:spacing w:before="200" w:line-rule="auto"/>
        <w:ind w:firstLine="540"/>
        <w:jc w:val="both"/>
      </w:pPr>
      <w:r>
        <w:rPr>
          <w:sz w:val="20"/>
        </w:rPr>
        <w:t xml:space="preserve">В 2022 году в соответствии с алгоритмом маршрутизации к РСЦ N 4 относились 2 ПСО, кардиологические койки имеют БУ "Мегионская городская больница" (15 коек), БУ "Радужнинская городская больница" (15 коек). Нижневартовская окружная больница N 2 с июня 2021 года вошла в состав БУ "Нижневартовская окружная клиническая больница", перепрофилировано 15 коек ПСО на койки РСЦ, госпитализация всех пациентов с сентября 2021 года осуществляется в РСЦ N 4.</w:t>
      </w:r>
    </w:p>
    <w:p>
      <w:pPr>
        <w:pStyle w:val="0"/>
        <w:ind w:firstLine="540"/>
        <w:jc w:val="both"/>
      </w:pPr>
      <w:r>
        <w:rPr>
          <w:sz w:val="20"/>
        </w:rPr>
      </w:r>
    </w:p>
    <w:p>
      <w:pPr>
        <w:pStyle w:val="0"/>
        <w:jc w:val="right"/>
      </w:pPr>
      <w:r>
        <w:rPr>
          <w:sz w:val="20"/>
        </w:rPr>
        <w:t xml:space="preserve">Рисунок 21</w:t>
      </w:r>
    </w:p>
    <w:p>
      <w:pPr>
        <w:pStyle w:val="0"/>
        <w:jc w:val="right"/>
      </w:pPr>
      <w:r>
        <w:rPr>
          <w:sz w:val="20"/>
        </w:rPr>
      </w:r>
    </w:p>
    <w:p>
      <w:pPr>
        <w:pStyle w:val="0"/>
        <w:jc w:val="center"/>
      </w:pPr>
      <w:r>
        <w:rPr>
          <w:sz w:val="20"/>
        </w:rPr>
        <w:t xml:space="preserve">Маршрутизация пациентов с ОКС в зоне ответственности РСЦ N 4</w:t>
      </w:r>
    </w:p>
    <w:p>
      <w:pPr>
        <w:pStyle w:val="0"/>
        <w:jc w:val="center"/>
      </w:pPr>
      <w:r>
        <w:rPr>
          <w:sz w:val="20"/>
        </w:rPr>
      </w:r>
    </w:p>
    <w:p>
      <w:pPr>
        <w:pStyle w:val="0"/>
        <w:jc w:val="center"/>
      </w:pPr>
      <w:r>
        <w:rPr>
          <w:position w:val="-247"/>
        </w:rPr>
        <w:drawing>
          <wp:inline distT="0" distB="0" distL="0" distR="0">
            <wp:extent cx="5717540" cy="3273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5717540" cy="3273425"/>
                    </a:xfrm>
                    <a:prstGeom prst="rect">
                      <a:avLst/>
                    </a:prstGeom>
                    <a:noFill/>
                    <a:ln>
                      <a:noFill/>
                    </a:ln>
                  </pic:spPr>
                </pic:pic>
              </a:graphicData>
            </a:graphic>
          </wp:inline>
        </w:drawing>
      </w:r>
    </w:p>
    <w:p>
      <w:pPr>
        <w:pStyle w:val="0"/>
        <w:jc w:val="center"/>
      </w:pPr>
      <w:r>
        <w:rPr>
          <w:sz w:val="20"/>
        </w:rPr>
      </w:r>
    </w:p>
    <w:p>
      <w:pPr>
        <w:pStyle w:val="0"/>
        <w:ind w:firstLine="540"/>
        <w:jc w:val="both"/>
      </w:pPr>
      <w:r>
        <w:rPr>
          <w:sz w:val="20"/>
        </w:rPr>
        <w:t xml:space="preserve">В зоне ответственности РСЦ N 4 наибольший удельный вес доставленных пациентов с ОКС в срок до 12 ч. от момента развития болевого синдрома - 83%.</w:t>
      </w:r>
    </w:p>
    <w:p>
      <w:pPr>
        <w:pStyle w:val="0"/>
        <w:spacing w:before="200" w:line-rule="auto"/>
        <w:ind w:firstLine="540"/>
        <w:jc w:val="both"/>
      </w:pPr>
      <w:r>
        <w:rPr>
          <w:sz w:val="20"/>
        </w:rPr>
        <w:t xml:space="preserve">Учитывая расстояние от ПСО до РСЦ, в соответствии с утвержденными алгоритмами фармакоинвазивная стратегия применяется в городе Радужный.</w:t>
      </w:r>
    </w:p>
    <w:p>
      <w:pPr>
        <w:pStyle w:val="0"/>
        <w:jc w:val="right"/>
      </w:pPr>
      <w:r>
        <w:rPr>
          <w:sz w:val="20"/>
        </w:rPr>
      </w:r>
    </w:p>
    <w:p>
      <w:pPr>
        <w:pStyle w:val="0"/>
        <w:jc w:val="right"/>
      </w:pPr>
      <w:r>
        <w:rPr>
          <w:sz w:val="20"/>
        </w:rPr>
        <w:t xml:space="preserve">Таблица 54</w:t>
      </w:r>
    </w:p>
    <w:p>
      <w:pPr>
        <w:pStyle w:val="0"/>
        <w:jc w:val="right"/>
      </w:pPr>
      <w:r>
        <w:rPr>
          <w:sz w:val="20"/>
        </w:rPr>
      </w:r>
    </w:p>
    <w:p>
      <w:pPr>
        <w:pStyle w:val="0"/>
        <w:jc w:val="center"/>
      </w:pPr>
      <w:r>
        <w:rPr>
          <w:sz w:val="20"/>
        </w:rPr>
        <w:t xml:space="preserve">Показатели работы ПСО зоны ответственности РСЦ N 4</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249"/>
        <w:gridCol w:w="1369"/>
        <w:gridCol w:w="1039"/>
        <w:gridCol w:w="1114"/>
        <w:gridCol w:w="1369"/>
      </w:tblGrid>
      <w:tr>
        <w:tc>
          <w:tcPr>
            <w:tcW w:w="2211" w:type="dxa"/>
          </w:tcPr>
          <w:p>
            <w:pPr>
              <w:pStyle w:val="0"/>
              <w:jc w:val="center"/>
            </w:pPr>
            <w:r>
              <w:rPr>
                <w:sz w:val="20"/>
              </w:rPr>
              <w:t xml:space="preserve">МО</w:t>
            </w:r>
          </w:p>
        </w:tc>
        <w:tc>
          <w:tcPr>
            <w:tcW w:w="1249" w:type="dxa"/>
          </w:tcPr>
          <w:p>
            <w:pPr>
              <w:pStyle w:val="0"/>
              <w:jc w:val="center"/>
            </w:pPr>
            <w:r>
              <w:rPr>
                <w:sz w:val="20"/>
              </w:rPr>
              <w:t xml:space="preserve">Поступили с ОКС</w:t>
            </w:r>
          </w:p>
        </w:tc>
        <w:tc>
          <w:tcPr>
            <w:tcW w:w="1369" w:type="dxa"/>
          </w:tcPr>
          <w:p>
            <w:pPr>
              <w:pStyle w:val="0"/>
              <w:jc w:val="center"/>
            </w:pPr>
            <w:r>
              <w:rPr>
                <w:sz w:val="20"/>
              </w:rPr>
              <w:t xml:space="preserve">Доставлены до 12 ч.</w:t>
            </w:r>
          </w:p>
        </w:tc>
        <w:tc>
          <w:tcPr>
            <w:tcW w:w="1039" w:type="dxa"/>
          </w:tcPr>
          <w:p>
            <w:pPr>
              <w:pStyle w:val="0"/>
              <w:jc w:val="center"/>
            </w:pPr>
            <w:r>
              <w:rPr>
                <w:sz w:val="20"/>
              </w:rPr>
              <w:t xml:space="preserve">ОКСпST</w:t>
            </w:r>
          </w:p>
        </w:tc>
        <w:tc>
          <w:tcPr>
            <w:tcW w:w="1114" w:type="dxa"/>
          </w:tcPr>
          <w:p>
            <w:pPr>
              <w:pStyle w:val="0"/>
              <w:jc w:val="center"/>
            </w:pPr>
            <w:r>
              <w:rPr>
                <w:sz w:val="20"/>
              </w:rPr>
              <w:t xml:space="preserve">ТЛТ/</w:t>
            </w:r>
          </w:p>
          <w:p>
            <w:pPr>
              <w:pStyle w:val="0"/>
              <w:jc w:val="center"/>
            </w:pPr>
            <w:r>
              <w:rPr>
                <w:sz w:val="20"/>
              </w:rPr>
              <w:t xml:space="preserve">догоспит.</w:t>
            </w:r>
          </w:p>
        </w:tc>
        <w:tc>
          <w:tcPr>
            <w:tcW w:w="1369" w:type="dxa"/>
          </w:tcPr>
          <w:p>
            <w:pPr>
              <w:pStyle w:val="0"/>
              <w:jc w:val="center"/>
            </w:pPr>
            <w:r>
              <w:rPr>
                <w:sz w:val="20"/>
              </w:rPr>
              <w:t xml:space="preserve">Переведены в РСЦ / уд. вес</w:t>
            </w:r>
          </w:p>
        </w:tc>
      </w:tr>
      <w:tr>
        <w:tc>
          <w:tcPr>
            <w:tcW w:w="2211" w:type="dxa"/>
          </w:tcPr>
          <w:p>
            <w:pPr>
              <w:pStyle w:val="0"/>
            </w:pPr>
            <w:r>
              <w:rPr>
                <w:sz w:val="20"/>
              </w:rPr>
              <w:t xml:space="preserve">БУ "Радужнинская городская больница"</w:t>
            </w:r>
          </w:p>
        </w:tc>
        <w:tc>
          <w:tcPr>
            <w:tcW w:w="1249" w:type="dxa"/>
          </w:tcPr>
          <w:p>
            <w:pPr>
              <w:pStyle w:val="0"/>
            </w:pPr>
            <w:r>
              <w:rPr>
                <w:sz w:val="20"/>
              </w:rPr>
              <w:t xml:space="preserve">73</w:t>
            </w:r>
          </w:p>
        </w:tc>
        <w:tc>
          <w:tcPr>
            <w:tcW w:w="1369" w:type="dxa"/>
          </w:tcPr>
          <w:p>
            <w:pPr>
              <w:pStyle w:val="0"/>
            </w:pPr>
            <w:r>
              <w:rPr>
                <w:sz w:val="20"/>
              </w:rPr>
              <w:t xml:space="preserve">54/74%</w:t>
            </w:r>
          </w:p>
        </w:tc>
        <w:tc>
          <w:tcPr>
            <w:tcW w:w="1039" w:type="dxa"/>
          </w:tcPr>
          <w:p>
            <w:pPr>
              <w:pStyle w:val="0"/>
            </w:pPr>
            <w:r>
              <w:rPr>
                <w:sz w:val="20"/>
              </w:rPr>
              <w:t xml:space="preserve">19</w:t>
            </w:r>
          </w:p>
        </w:tc>
        <w:tc>
          <w:tcPr>
            <w:tcW w:w="1114" w:type="dxa"/>
          </w:tcPr>
          <w:p>
            <w:pPr>
              <w:pStyle w:val="0"/>
            </w:pPr>
            <w:r>
              <w:rPr>
                <w:sz w:val="20"/>
              </w:rPr>
              <w:t xml:space="preserve">16/5</w:t>
            </w:r>
          </w:p>
        </w:tc>
        <w:tc>
          <w:tcPr>
            <w:tcW w:w="1369" w:type="dxa"/>
          </w:tcPr>
          <w:p>
            <w:pPr>
              <w:pStyle w:val="0"/>
            </w:pPr>
            <w:r>
              <w:rPr>
                <w:sz w:val="20"/>
              </w:rPr>
              <w:t xml:space="preserve">72/99%</w:t>
            </w:r>
          </w:p>
        </w:tc>
      </w:tr>
      <w:tr>
        <w:tc>
          <w:tcPr>
            <w:tcW w:w="2211" w:type="dxa"/>
          </w:tcPr>
          <w:p>
            <w:pPr>
              <w:pStyle w:val="0"/>
            </w:pPr>
            <w:r>
              <w:rPr>
                <w:sz w:val="20"/>
              </w:rPr>
              <w:t xml:space="preserve">БУ "Мегионская городская больница"</w:t>
            </w:r>
          </w:p>
        </w:tc>
        <w:tc>
          <w:tcPr>
            <w:tcW w:w="1249" w:type="dxa"/>
          </w:tcPr>
          <w:p>
            <w:pPr>
              <w:pStyle w:val="0"/>
            </w:pPr>
            <w:r>
              <w:rPr>
                <w:sz w:val="20"/>
              </w:rPr>
              <w:t xml:space="preserve">23</w:t>
            </w:r>
          </w:p>
        </w:tc>
        <w:tc>
          <w:tcPr>
            <w:tcW w:w="1369" w:type="dxa"/>
          </w:tcPr>
          <w:p>
            <w:pPr>
              <w:pStyle w:val="0"/>
            </w:pPr>
            <w:r>
              <w:rPr>
                <w:sz w:val="20"/>
              </w:rPr>
              <w:t xml:space="preserve">19/83%</w:t>
            </w:r>
          </w:p>
        </w:tc>
        <w:tc>
          <w:tcPr>
            <w:tcW w:w="1039" w:type="dxa"/>
          </w:tcPr>
          <w:p>
            <w:pPr>
              <w:pStyle w:val="0"/>
            </w:pPr>
            <w:r>
              <w:rPr>
                <w:sz w:val="20"/>
              </w:rPr>
              <w:t xml:space="preserve">4</w:t>
            </w:r>
          </w:p>
        </w:tc>
        <w:tc>
          <w:tcPr>
            <w:tcW w:w="1114" w:type="dxa"/>
          </w:tcPr>
          <w:p>
            <w:pPr>
              <w:pStyle w:val="0"/>
            </w:pPr>
            <w:r>
              <w:rPr>
                <w:sz w:val="20"/>
              </w:rPr>
              <w:t xml:space="preserve">3/1</w:t>
            </w:r>
          </w:p>
        </w:tc>
        <w:tc>
          <w:tcPr>
            <w:tcW w:w="1369" w:type="dxa"/>
          </w:tcPr>
          <w:p>
            <w:pPr>
              <w:pStyle w:val="0"/>
            </w:pPr>
            <w:r>
              <w:rPr>
                <w:sz w:val="20"/>
              </w:rPr>
              <w:t xml:space="preserve">23 /100%</w:t>
            </w:r>
          </w:p>
        </w:tc>
      </w:tr>
      <w:tr>
        <w:tc>
          <w:tcPr>
            <w:tcW w:w="2211" w:type="dxa"/>
          </w:tcPr>
          <w:p>
            <w:pPr>
              <w:pStyle w:val="0"/>
            </w:pPr>
            <w:r>
              <w:rPr>
                <w:sz w:val="20"/>
              </w:rPr>
              <w:t xml:space="preserve">Итого в группе</w:t>
            </w:r>
          </w:p>
        </w:tc>
        <w:tc>
          <w:tcPr>
            <w:tcW w:w="1249" w:type="dxa"/>
          </w:tcPr>
          <w:p>
            <w:pPr>
              <w:pStyle w:val="0"/>
            </w:pPr>
            <w:r>
              <w:rPr>
                <w:sz w:val="20"/>
              </w:rPr>
              <w:t xml:space="preserve">96</w:t>
            </w:r>
          </w:p>
        </w:tc>
        <w:tc>
          <w:tcPr>
            <w:tcW w:w="1369" w:type="dxa"/>
          </w:tcPr>
          <w:p>
            <w:pPr>
              <w:pStyle w:val="0"/>
            </w:pPr>
            <w:r>
              <w:rPr>
                <w:sz w:val="20"/>
              </w:rPr>
              <w:t xml:space="preserve">73/76%</w:t>
            </w:r>
          </w:p>
        </w:tc>
        <w:tc>
          <w:tcPr>
            <w:tcW w:w="1039" w:type="dxa"/>
          </w:tcPr>
          <w:p>
            <w:pPr>
              <w:pStyle w:val="0"/>
            </w:pPr>
            <w:r>
              <w:rPr>
                <w:sz w:val="20"/>
              </w:rPr>
              <w:t xml:space="preserve">23</w:t>
            </w:r>
          </w:p>
        </w:tc>
        <w:tc>
          <w:tcPr>
            <w:tcW w:w="1114" w:type="dxa"/>
          </w:tcPr>
          <w:p>
            <w:pPr>
              <w:pStyle w:val="0"/>
            </w:pPr>
            <w:r>
              <w:rPr>
                <w:sz w:val="20"/>
              </w:rPr>
              <w:t xml:space="preserve">19/6</w:t>
            </w:r>
          </w:p>
        </w:tc>
        <w:tc>
          <w:tcPr>
            <w:tcW w:w="1369" w:type="dxa"/>
          </w:tcPr>
          <w:p>
            <w:pPr>
              <w:pStyle w:val="0"/>
            </w:pPr>
            <w:r>
              <w:rPr>
                <w:sz w:val="20"/>
              </w:rPr>
              <w:t xml:space="preserve">95 /99%</w:t>
            </w:r>
          </w:p>
        </w:tc>
      </w:tr>
    </w:tbl>
    <w:p>
      <w:pPr>
        <w:pStyle w:val="0"/>
        <w:ind w:firstLine="540"/>
        <w:jc w:val="both"/>
      </w:pPr>
      <w:r>
        <w:rPr>
          <w:sz w:val="20"/>
        </w:rPr>
      </w:r>
    </w:p>
    <w:p>
      <w:pPr>
        <w:pStyle w:val="0"/>
        <w:ind w:firstLine="540"/>
        <w:jc w:val="both"/>
      </w:pPr>
      <w:r>
        <w:rPr>
          <w:sz w:val="20"/>
        </w:rPr>
        <w:t xml:space="preserve">Всего умерших в ПСО зоны ответственности РСЦ N 4 - 1 пациент с ИМ, случай летальности проанализирован. Дефектов оказания медицинской помощи, способных оказать влияние на исход, не выявлено.</w:t>
      </w:r>
    </w:p>
    <w:p>
      <w:pPr>
        <w:pStyle w:val="0"/>
        <w:spacing w:before="200" w:line-rule="auto"/>
        <w:ind w:firstLine="540"/>
        <w:jc w:val="both"/>
      </w:pPr>
      <w:r>
        <w:rPr>
          <w:sz w:val="20"/>
        </w:rPr>
        <w:t xml:space="preserve">Удельный вес переведенных в РСЦ - 99%, на 4% больше, чем в 2021 году (95%).</w:t>
      </w:r>
    </w:p>
    <w:p>
      <w:pPr>
        <w:pStyle w:val="0"/>
        <w:spacing w:before="200" w:line-rule="auto"/>
        <w:ind w:firstLine="540"/>
        <w:jc w:val="both"/>
      </w:pPr>
      <w:r>
        <w:rPr>
          <w:sz w:val="20"/>
        </w:rPr>
        <w:t xml:space="preserve">За 2022 год все пациенты проходят 1 этап кардиореабилитации в условиях РСЦ N 4, на 2 этап кардиореабилитации переведено 142 пациента. Пациенты, у которых отсутствуют показания для 2 (стационарного) этапа кардиореабилитации, направлены на амбулаторный этап (третий) кардиореабилитации.</w:t>
      </w:r>
    </w:p>
    <w:p>
      <w:pPr>
        <w:pStyle w:val="0"/>
        <w:spacing w:before="200" w:line-rule="auto"/>
        <w:ind w:firstLine="540"/>
        <w:jc w:val="both"/>
      </w:pPr>
      <w:r>
        <w:rPr>
          <w:sz w:val="20"/>
        </w:rPr>
        <w:t xml:space="preserve">Для улучшения качества оказания медицинской помощи пациентам по профилю "кардиология" внедрены в работу чек-листы, разработанные на основе клинических рекомендаций.</w:t>
      </w:r>
    </w:p>
    <w:p>
      <w:pPr>
        <w:pStyle w:val="0"/>
        <w:spacing w:before="200" w:line-rule="auto"/>
        <w:ind w:firstLine="540"/>
        <w:jc w:val="both"/>
      </w:pPr>
      <w:r>
        <w:rPr>
          <w:sz w:val="20"/>
        </w:rPr>
        <w:t xml:space="preserve">После выписки пациента из РСЦ N 4 выписной эпикриз передается в поликлинику посредством канала защищенной связи.</w:t>
      </w:r>
    </w:p>
    <w:p>
      <w:pPr>
        <w:pStyle w:val="0"/>
        <w:spacing w:before="200" w:line-rule="auto"/>
        <w:ind w:firstLine="540"/>
        <w:jc w:val="both"/>
      </w:pPr>
      <w:r>
        <w:rPr>
          <w:sz w:val="20"/>
        </w:rPr>
        <w:t xml:space="preserve">Для улучшения приверженности пациента к лечению, для снижения тромботических осложнения после ЧКВ, отработана выписка льготных лекарственных препаратов пациентам, перенесшим острый инфаркт миокарда, ЧКВ.</w:t>
      </w:r>
    </w:p>
    <w:p>
      <w:pPr>
        <w:pStyle w:val="0"/>
        <w:spacing w:before="200" w:line-rule="auto"/>
        <w:ind w:firstLine="540"/>
        <w:jc w:val="both"/>
      </w:pPr>
      <w:r>
        <w:rPr>
          <w:sz w:val="20"/>
        </w:rPr>
        <w:t xml:space="preserve">В зоне ответственности РСЦ N 4 необходимо:</w:t>
      </w:r>
    </w:p>
    <w:p>
      <w:pPr>
        <w:pStyle w:val="0"/>
        <w:spacing w:before="200" w:line-rule="auto"/>
        <w:ind w:firstLine="540"/>
        <w:jc w:val="both"/>
      </w:pPr>
      <w:r>
        <w:rPr>
          <w:sz w:val="20"/>
        </w:rPr>
        <w:t xml:space="preserve">1. Продолжить контроль качества оказания специализированной медицинской помощи пациентам с ОКС с участием экспертов страховых медорганизаций в медорганизациях зоны ответственности.</w:t>
      </w:r>
    </w:p>
    <w:p>
      <w:pPr>
        <w:pStyle w:val="0"/>
        <w:spacing w:before="200" w:line-rule="auto"/>
        <w:ind w:firstLine="540"/>
        <w:jc w:val="both"/>
      </w:pPr>
      <w:r>
        <w:rPr>
          <w:sz w:val="20"/>
        </w:rPr>
        <w:t xml:space="preserve">2. Повышать удельный вес догоспитального тромболизиса при ОКСпST в г. Радужный.</w:t>
      </w:r>
    </w:p>
    <w:p>
      <w:pPr>
        <w:pStyle w:val="0"/>
        <w:jc w:val="center"/>
      </w:pPr>
      <w:r>
        <w:rPr>
          <w:sz w:val="20"/>
        </w:rPr>
      </w:r>
    </w:p>
    <w:p>
      <w:pPr>
        <w:pStyle w:val="2"/>
        <w:outlineLvl w:val="4"/>
        <w:jc w:val="center"/>
      </w:pPr>
      <w:r>
        <w:rPr>
          <w:sz w:val="20"/>
        </w:rPr>
        <w:t xml:space="preserve">БУ "Сургутская клиническая травматологическая больница"</w:t>
      </w:r>
    </w:p>
    <w:p>
      <w:pPr>
        <w:pStyle w:val="0"/>
        <w:jc w:val="center"/>
      </w:pPr>
      <w:r>
        <w:rPr>
          <w:sz w:val="20"/>
        </w:rPr>
      </w:r>
    </w:p>
    <w:p>
      <w:pPr>
        <w:pStyle w:val="0"/>
        <w:ind w:firstLine="540"/>
        <w:jc w:val="both"/>
      </w:pPr>
      <w:r>
        <w:rPr>
          <w:sz w:val="20"/>
        </w:rPr>
        <w:t xml:space="preserve">Статус - региональный сосудистый центр для лечения пациентов с ОНМК.</w:t>
      </w:r>
    </w:p>
    <w:p>
      <w:pPr>
        <w:pStyle w:val="0"/>
        <w:spacing w:before="200" w:line-rule="auto"/>
        <w:ind w:firstLine="540"/>
        <w:jc w:val="both"/>
      </w:pPr>
      <w:r>
        <w:rPr>
          <w:sz w:val="20"/>
        </w:rPr>
        <w:t xml:space="preserve">Зона обслуживания: автономный округ при геморрагическом инсульте, включая оперативное лечение внутримозговых гематом, городских округов Сургут, Когалым, Пыть-Ях, Нефтеюганск; Сургутский, Нефтеюганский муниципальные районы - при ишемическом инсульте, включая выполнение эндоваскулярных операций.</w:t>
      </w:r>
    </w:p>
    <w:p>
      <w:pPr>
        <w:pStyle w:val="0"/>
        <w:spacing w:before="200" w:line-rule="auto"/>
        <w:ind w:firstLine="540"/>
        <w:jc w:val="both"/>
      </w:pPr>
      <w:r>
        <w:rPr>
          <w:sz w:val="20"/>
        </w:rPr>
        <w:t xml:space="preserve">Общее количество коек - 566, из них травматологических - 130, ортопедических - 115, нейрохирургических - 135, хирургических - 20, торакальной хирургии - 25, неврологических - 30, реанимационных - 46, реабилитационных - 57, онкологических - 3, паллиативных - 5.</w:t>
      </w:r>
    </w:p>
    <w:p>
      <w:pPr>
        <w:pStyle w:val="0"/>
        <w:spacing w:before="200" w:line-rule="auto"/>
        <w:ind w:firstLine="540"/>
        <w:jc w:val="both"/>
      </w:pPr>
      <w:r>
        <w:rPr>
          <w:sz w:val="20"/>
        </w:rPr>
        <w:t xml:space="preserve">Структура сосудистого центра:</w:t>
      </w:r>
    </w:p>
    <w:p>
      <w:pPr>
        <w:pStyle w:val="0"/>
        <w:spacing w:before="200" w:line-rule="auto"/>
        <w:ind w:firstLine="540"/>
        <w:jc w:val="both"/>
      </w:pPr>
      <w:r>
        <w:rPr>
          <w:sz w:val="20"/>
        </w:rPr>
        <w:t xml:space="preserve">неврологическое отделение для больных с ОНМК (первичное сосудистое отделение) на 30 коек,</w:t>
      </w:r>
    </w:p>
    <w:p>
      <w:pPr>
        <w:pStyle w:val="0"/>
        <w:spacing w:before="200" w:line-rule="auto"/>
        <w:ind w:firstLine="540"/>
        <w:jc w:val="both"/>
      </w:pPr>
      <w:r>
        <w:rPr>
          <w:sz w:val="20"/>
        </w:rPr>
        <w:t xml:space="preserve">нейрохирургическое отделение N 3 на 15 коек,</w:t>
      </w:r>
    </w:p>
    <w:p>
      <w:pPr>
        <w:pStyle w:val="0"/>
        <w:spacing w:before="200" w:line-rule="auto"/>
        <w:ind w:firstLine="540"/>
        <w:jc w:val="both"/>
      </w:pPr>
      <w:r>
        <w:rPr>
          <w:sz w:val="20"/>
        </w:rPr>
        <w:t xml:space="preserve">отделение анестезиологии и реанимации N 3 - 6 коек,</w:t>
      </w:r>
    </w:p>
    <w:p>
      <w:pPr>
        <w:pStyle w:val="0"/>
        <w:spacing w:before="200" w:line-rule="auto"/>
        <w:ind w:firstLine="540"/>
        <w:jc w:val="both"/>
      </w:pPr>
      <w:r>
        <w:rPr>
          <w:sz w:val="20"/>
        </w:rPr>
        <w:t xml:space="preserve">отделение рентгенхирургических методов диагностики и лечения,</w:t>
      </w:r>
    </w:p>
    <w:p>
      <w:pPr>
        <w:pStyle w:val="0"/>
        <w:spacing w:before="200" w:line-rule="auto"/>
        <w:ind w:firstLine="540"/>
        <w:jc w:val="both"/>
      </w:pPr>
      <w:r>
        <w:rPr>
          <w:sz w:val="20"/>
        </w:rPr>
        <w:t xml:space="preserve">операционный блок N 1</w:t>
      </w:r>
    </w:p>
    <w:p>
      <w:pPr>
        <w:pStyle w:val="0"/>
        <w:spacing w:before="200" w:line-rule="auto"/>
        <w:ind w:firstLine="540"/>
        <w:jc w:val="both"/>
      </w:pPr>
      <w:r>
        <w:rPr>
          <w:sz w:val="20"/>
        </w:rPr>
        <w:t xml:space="preserve">отделение лучевой диагностики, включая КТ и МРТ,</w:t>
      </w:r>
    </w:p>
    <w:p>
      <w:pPr>
        <w:pStyle w:val="0"/>
        <w:spacing w:before="200" w:line-rule="auto"/>
        <w:ind w:firstLine="540"/>
        <w:jc w:val="both"/>
      </w:pPr>
      <w:r>
        <w:rPr>
          <w:sz w:val="20"/>
        </w:rPr>
        <w:t xml:space="preserve">отделение функциональной и ультразвуковой диагностики,</w:t>
      </w:r>
    </w:p>
    <w:p>
      <w:pPr>
        <w:pStyle w:val="0"/>
        <w:spacing w:before="200" w:line-rule="auto"/>
        <w:ind w:firstLine="540"/>
        <w:jc w:val="both"/>
      </w:pPr>
      <w:r>
        <w:rPr>
          <w:sz w:val="20"/>
        </w:rPr>
        <w:t xml:space="preserve">клинико-диагностическая лаборатория,</w:t>
      </w:r>
    </w:p>
    <w:p>
      <w:pPr>
        <w:pStyle w:val="0"/>
        <w:spacing w:before="200" w:line-rule="auto"/>
        <w:ind w:firstLine="540"/>
        <w:jc w:val="both"/>
      </w:pPr>
      <w:r>
        <w:rPr>
          <w:sz w:val="20"/>
        </w:rPr>
        <w:t xml:space="preserve">отдел организации круглосуточной консультативно-диагностической помощи больным с ОНМК, в т. числе телефонной, телеконсультационной, выездной (выездные бригады врачей).</w:t>
      </w:r>
    </w:p>
    <w:p>
      <w:pPr>
        <w:pStyle w:val="0"/>
        <w:spacing w:before="200" w:line-rule="auto"/>
        <w:ind w:firstLine="540"/>
        <w:jc w:val="both"/>
      </w:pPr>
      <w:r>
        <w:rPr>
          <w:sz w:val="20"/>
        </w:rPr>
        <w:t xml:space="preserve">Все подразделения в составе регионального центра работают в круглосуточном режиме.</w:t>
      </w:r>
    </w:p>
    <w:p>
      <w:pPr>
        <w:pStyle w:val="0"/>
        <w:spacing w:before="200" w:line-rule="auto"/>
        <w:ind w:firstLine="540"/>
        <w:jc w:val="both"/>
      </w:pPr>
      <w:r>
        <w:rPr>
          <w:sz w:val="20"/>
        </w:rPr>
        <w:t xml:space="preserve">В больнице имеются дополнительно отделение анестезиологии и реанимации N 2 на 12 коек и отделение реанимации и интенсивной терапии на 15 коек, в которых осуществляется помощь больным нейрохирургического профиля. Реабилитация 2 этапа осуществляется в отделении нейрореабилитации на 45 коек. Больница имеет лицензию на оказание высокотехнологичной медицинской помощи по нейрохирургии и неврологии (нейрореабилитации). С 1 марта 2021 года в составе больницы функционирует отделение ранней медицинской реабилитации, 1 февраля 2022 года открыто амбулаторное отделение медицинской реабилитации для осуществления 3 этапа реабилитации.</w:t>
      </w:r>
    </w:p>
    <w:p>
      <w:pPr>
        <w:pStyle w:val="0"/>
        <w:spacing w:before="200" w:line-rule="auto"/>
        <w:ind w:firstLine="540"/>
        <w:jc w:val="both"/>
      </w:pPr>
      <w:r>
        <w:rPr>
          <w:sz w:val="20"/>
        </w:rPr>
        <w:t xml:space="preserve">БУ "Сургутская клиническая травматологическая больница" укомплектована неврологами - на 75,0%, нейрохирургами - на 57,3%, анестезиологами-реаниматологами - на 51,3%, специалистами по рентгенэндоваскулярным диагностике и лечению - на 100%, врачами ЛФК - на 75%, психологами - на 57,1%, физиотерапевтами - на 56,5%, инструкторами-методистами ЛФК - на 80,5%.</w:t>
      </w:r>
    </w:p>
    <w:p>
      <w:pPr>
        <w:pStyle w:val="0"/>
        <w:spacing w:before="200" w:line-rule="auto"/>
        <w:ind w:firstLine="540"/>
        <w:jc w:val="both"/>
      </w:pPr>
      <w:r>
        <w:rPr>
          <w:sz w:val="20"/>
        </w:rPr>
        <w:t xml:space="preserve">Имеется оборудование для УЗИ сосудов и ТКДГ, аппараты для программируемой ИВЛ, ангиографическая установка, 4 единицы тяжелого оборудования - 2 КТ и 2 МРТ, работающие в 3 - 4-сменном режиме.</w:t>
      </w:r>
    </w:p>
    <w:p>
      <w:pPr>
        <w:pStyle w:val="0"/>
        <w:spacing w:before="200" w:line-rule="auto"/>
        <w:ind w:firstLine="540"/>
        <w:jc w:val="both"/>
      </w:pPr>
      <w:r>
        <w:rPr>
          <w:sz w:val="20"/>
        </w:rPr>
        <w:t xml:space="preserve">В 2022 году с ОНМК пролечено 533 пациента, из них с инфарктом мозга 324, внутримозговым кровоизлиянием 129, субарахноидальным кровоизлиянием 80.</w:t>
      </w:r>
    </w:p>
    <w:p>
      <w:pPr>
        <w:pStyle w:val="0"/>
        <w:spacing w:before="200" w:line-rule="auto"/>
        <w:ind w:firstLine="540"/>
        <w:jc w:val="both"/>
      </w:pPr>
      <w:r>
        <w:rPr>
          <w:sz w:val="20"/>
        </w:rPr>
        <w:t xml:space="preserve">В 2021 году количество неврологических среднегодовых коек составило 71, из них для больных с ОНМК - 52 в связи эпидемиологической ситуацией и временным изменением маршрутизации больных.</w:t>
      </w:r>
    </w:p>
    <w:p>
      <w:pPr>
        <w:pStyle w:val="0"/>
        <w:spacing w:before="200" w:line-rule="auto"/>
        <w:ind w:firstLine="540"/>
        <w:jc w:val="both"/>
      </w:pPr>
      <w:r>
        <w:rPr>
          <w:sz w:val="20"/>
        </w:rPr>
        <w:t xml:space="preserve">Доля больных с ишемическим инсультом, которым выполнен системный тромболизис, - 17,6% (57 больных с выполненным тромболизисом).</w:t>
      </w:r>
    </w:p>
    <w:p>
      <w:pPr>
        <w:pStyle w:val="0"/>
        <w:spacing w:before="200" w:line-rule="auto"/>
        <w:ind w:firstLine="540"/>
        <w:jc w:val="both"/>
      </w:pPr>
      <w:r>
        <w:rPr>
          <w:sz w:val="20"/>
        </w:rPr>
        <w:t xml:space="preserve">В 2021 году в больнице проведено 157 рентгенэндоваскулярных вмешательств при патологии сосудов головного мозга, в т.ч. тромбэкстракций (72 процедуры), стентирований артерий позвоночных и сонных - 18, эндоваскулярных эмболизаций - 65, 83 операции на сосудах выполнена в ходе оказания высокотехнологичной помощи.</w:t>
      </w:r>
    </w:p>
    <w:p>
      <w:pPr>
        <w:pStyle w:val="0"/>
        <w:spacing w:before="200" w:line-rule="auto"/>
        <w:ind w:firstLine="540"/>
        <w:jc w:val="both"/>
      </w:pPr>
      <w:r>
        <w:rPr>
          <w:sz w:val="20"/>
        </w:rPr>
        <w:t xml:space="preserve">Летальность от ОНМК в 2021 году составила 9,8%.</w:t>
      </w:r>
    </w:p>
    <w:p>
      <w:pPr>
        <w:pStyle w:val="0"/>
        <w:spacing w:before="200" w:line-rule="auto"/>
        <w:ind w:firstLine="540"/>
        <w:jc w:val="both"/>
      </w:pPr>
      <w:r>
        <w:rPr>
          <w:sz w:val="20"/>
        </w:rPr>
        <w:t xml:space="preserve">В учреждении функционирует 1 рентгеноперационная, в 2020 году введен в действие новый ангиографический комплекс. К 2024 году необходимо открыть вторую рентгеноперационную, укомплектовать специалистами вакантные ставки.</w:t>
      </w:r>
    </w:p>
    <w:p>
      <w:pPr>
        <w:pStyle w:val="0"/>
        <w:ind w:firstLine="540"/>
        <w:jc w:val="both"/>
      </w:pPr>
      <w:r>
        <w:rPr>
          <w:sz w:val="20"/>
        </w:rPr>
      </w:r>
    </w:p>
    <w:p>
      <w:pPr>
        <w:pStyle w:val="2"/>
        <w:outlineLvl w:val="4"/>
        <w:jc w:val="center"/>
      </w:pPr>
      <w:r>
        <w:rPr>
          <w:sz w:val="20"/>
        </w:rPr>
        <w:t xml:space="preserve">БУ "Нефтеюганская окружная клиническая больница</w:t>
      </w:r>
    </w:p>
    <w:p>
      <w:pPr>
        <w:pStyle w:val="2"/>
        <w:jc w:val="center"/>
      </w:pPr>
      <w:r>
        <w:rPr>
          <w:sz w:val="20"/>
        </w:rPr>
        <w:t xml:space="preserve">им. В.И. Яцкив"</w:t>
      </w:r>
    </w:p>
    <w:p>
      <w:pPr>
        <w:pStyle w:val="0"/>
        <w:jc w:val="center"/>
      </w:pPr>
      <w:r>
        <w:rPr>
          <w:sz w:val="20"/>
        </w:rPr>
      </w:r>
    </w:p>
    <w:p>
      <w:pPr>
        <w:pStyle w:val="0"/>
        <w:ind w:firstLine="540"/>
        <w:jc w:val="both"/>
      </w:pPr>
      <w:r>
        <w:rPr>
          <w:sz w:val="20"/>
        </w:rPr>
        <w:t xml:space="preserve">Статус - первичное сосудистое отделение.</w:t>
      </w:r>
    </w:p>
    <w:p>
      <w:pPr>
        <w:pStyle w:val="0"/>
        <w:spacing w:before="200" w:line-rule="auto"/>
        <w:ind w:firstLine="540"/>
        <w:jc w:val="both"/>
      </w:pPr>
      <w:r>
        <w:rPr>
          <w:sz w:val="20"/>
        </w:rPr>
        <w:t xml:space="preserve">Зона обслуживания - городской округ Нефтеюганск, Нефтеюганский муниципальный район.</w:t>
      </w:r>
    </w:p>
    <w:p>
      <w:pPr>
        <w:pStyle w:val="0"/>
        <w:spacing w:before="200" w:line-rule="auto"/>
        <w:ind w:firstLine="540"/>
        <w:jc w:val="both"/>
      </w:pPr>
      <w:r>
        <w:rPr>
          <w:sz w:val="20"/>
        </w:rPr>
        <w:t xml:space="preserve">Зона обслуживания СМП: городской округ Нефтеюганск с радиусом обслуживания 40 км, Тюмень - Ханты-Мансийск - 719 - 745 км, подъезд к городу Сургуту 0 - 44 км, сельское поселение Сингапай - 15 км, село Чеускино - 30 км, сельское поселение Усть-Юган - 60 км, поселок Юганская Обь - 70 км, поселок Высокий Мыс - 40 км, сельское поселение Тундрино - 44 км.</w:t>
      </w:r>
    </w:p>
    <w:p>
      <w:pPr>
        <w:pStyle w:val="0"/>
        <w:spacing w:before="200" w:line-rule="auto"/>
        <w:ind w:firstLine="540"/>
        <w:jc w:val="both"/>
      </w:pPr>
      <w:r>
        <w:rPr>
          <w:sz w:val="20"/>
        </w:rPr>
        <w:t xml:space="preserve">Число прикрепленного населения - 128 933 человека.</w:t>
      </w:r>
    </w:p>
    <w:p>
      <w:pPr>
        <w:pStyle w:val="0"/>
        <w:spacing w:before="200" w:line-rule="auto"/>
        <w:ind w:firstLine="540"/>
        <w:jc w:val="both"/>
      </w:pPr>
      <w:r>
        <w:rPr>
          <w:sz w:val="20"/>
        </w:rPr>
        <w:t xml:space="preserve">Общее количество коек - 656, в т.ч.: кардиологические - 35, терапевтические - 30, неврологические - 55, реанимационные - 17 (2 - COVID-19).</w:t>
      </w:r>
    </w:p>
    <w:p>
      <w:pPr>
        <w:pStyle w:val="0"/>
        <w:spacing w:before="200" w:line-rule="auto"/>
        <w:ind w:firstLine="540"/>
        <w:jc w:val="both"/>
      </w:pPr>
      <w:r>
        <w:rPr>
          <w:sz w:val="20"/>
        </w:rPr>
        <w:t xml:space="preserve">БУ "Нефтеюганская окружная клиническая больница им. В.И. Яцкив" укомплектована врачами-кардиологами на 100%, терапевтами - на 97%, неврологами - на 89,3%, врачами по ультразвуковой диагностике - на 92,4%, по функциональной диагностике - на 100%, анестезиологами-реаниматологами - на 99,2%, физиотерапевтами - на 100%, врачами ЛФК - на 100%.</w:t>
      </w:r>
    </w:p>
    <w:p>
      <w:pPr>
        <w:pStyle w:val="0"/>
        <w:spacing w:before="200" w:line-rule="auto"/>
        <w:ind w:firstLine="540"/>
        <w:jc w:val="both"/>
      </w:pPr>
      <w:r>
        <w:rPr>
          <w:sz w:val="20"/>
        </w:rPr>
        <w:t xml:space="preserve">Имеется оборудование для УЗИ сосудов, ЭХО-КГ, суточного мониторирования ЭКГ, для проведения нагрузочных проб, 1 КТ, работающий в 2-сменном режиме.</w:t>
      </w:r>
    </w:p>
    <w:p>
      <w:pPr>
        <w:pStyle w:val="0"/>
        <w:spacing w:before="200" w:line-rule="auto"/>
        <w:ind w:firstLine="540"/>
        <w:jc w:val="both"/>
      </w:pPr>
      <w:r>
        <w:rPr>
          <w:sz w:val="20"/>
        </w:rPr>
        <w:t xml:space="preserve">Нет возможности круглосуточного проведения ЭХО-КГ.</w:t>
      </w:r>
    </w:p>
    <w:p>
      <w:pPr>
        <w:pStyle w:val="0"/>
        <w:spacing w:before="200" w:line-rule="auto"/>
        <w:ind w:firstLine="540"/>
        <w:jc w:val="both"/>
      </w:pPr>
      <w:r>
        <w:rPr>
          <w:sz w:val="20"/>
        </w:rPr>
        <w:t xml:space="preserve">Пациенты с ОКСпST доставляются в РСЦ N 1 с догоспитального этапа (время транспортировки около 60 мин.).</w:t>
      </w:r>
    </w:p>
    <w:p>
      <w:pPr>
        <w:pStyle w:val="0"/>
        <w:spacing w:before="200" w:line-rule="auto"/>
        <w:ind w:firstLine="540"/>
        <w:jc w:val="both"/>
      </w:pPr>
      <w:r>
        <w:rPr>
          <w:sz w:val="20"/>
        </w:rPr>
        <w:t xml:space="preserve">Из 229 доставленных пациентов с ОКС в 2022 году 95% переведены в РСЦ.</w:t>
      </w:r>
    </w:p>
    <w:p>
      <w:pPr>
        <w:pStyle w:val="0"/>
        <w:spacing w:before="200" w:line-rule="auto"/>
        <w:ind w:firstLine="540"/>
        <w:jc w:val="both"/>
      </w:pPr>
      <w:r>
        <w:rPr>
          <w:sz w:val="20"/>
        </w:rPr>
        <w:t xml:space="preserve">В 2022 году с ОНМК пролечено 218 пациентов, из них с инфарктом мозга 197, внутримозговым кровоизлиянием 20, субарахноидальным кровоизлиянием 1. ТЛТ проведена в 6 случаях. Переведено в РСЦ 7 пациентов.</w:t>
      </w:r>
    </w:p>
    <w:p>
      <w:pPr>
        <w:pStyle w:val="0"/>
        <w:spacing w:before="200" w:line-rule="auto"/>
        <w:ind w:firstLine="540"/>
        <w:jc w:val="both"/>
      </w:pPr>
      <w:r>
        <w:rPr>
          <w:sz w:val="20"/>
        </w:rPr>
        <w:t xml:space="preserve">Удельный вес больных с ГБ, пролеченных в стационаре, - 35,4% от общего числа пролеченных с БСК - 520 из 1470 пациентов.</w:t>
      </w:r>
    </w:p>
    <w:p>
      <w:pPr>
        <w:pStyle w:val="0"/>
        <w:spacing w:before="200" w:line-rule="auto"/>
        <w:ind w:firstLine="540"/>
        <w:jc w:val="both"/>
      </w:pPr>
      <w:r>
        <w:rPr>
          <w:sz w:val="20"/>
        </w:rPr>
        <w:t xml:space="preserve">Летальность от БСК - 4,3%, ИМ - 0, ОНМК - 16,4%.</w:t>
      </w:r>
    </w:p>
    <w:p>
      <w:pPr>
        <w:pStyle w:val="0"/>
        <w:ind w:firstLine="540"/>
        <w:jc w:val="both"/>
      </w:pPr>
      <w:r>
        <w:rPr>
          <w:sz w:val="20"/>
        </w:rPr>
      </w:r>
    </w:p>
    <w:p>
      <w:pPr>
        <w:pStyle w:val="2"/>
        <w:outlineLvl w:val="4"/>
        <w:jc w:val="center"/>
      </w:pPr>
      <w:r>
        <w:rPr>
          <w:sz w:val="20"/>
        </w:rPr>
        <w:t xml:space="preserve">БУ "Пыть-Яхская окружная клиническая больница"</w:t>
      </w:r>
    </w:p>
    <w:p>
      <w:pPr>
        <w:pStyle w:val="0"/>
        <w:jc w:val="center"/>
      </w:pPr>
      <w:r>
        <w:rPr>
          <w:sz w:val="20"/>
        </w:rPr>
      </w:r>
    </w:p>
    <w:p>
      <w:pPr>
        <w:pStyle w:val="0"/>
        <w:ind w:firstLine="540"/>
        <w:jc w:val="both"/>
      </w:pPr>
      <w:r>
        <w:rPr>
          <w:sz w:val="20"/>
        </w:rPr>
        <w:t xml:space="preserve">Статус - ПСО на базе терапевтического отделения на 63 койки. Зона обслуживания - город Пыть-Ях, сельское поселение Сентябрьский, поселки - Салым, Куть-Ях, Сивыс-Ях. Прикрепленное население - 39961 человек. Общее количество коек - 209, в т.ч.: кардиологические - 13, терапевтические - 25, неврологические - 15, неврологические для больных с острыми нарушениями мозгового кровообращения (далее - ОНМК) - 5, паллиативные - 5, реанимационные - 9.</w:t>
      </w:r>
    </w:p>
    <w:p>
      <w:pPr>
        <w:pStyle w:val="0"/>
        <w:spacing w:before="200" w:line-rule="auto"/>
        <w:ind w:firstLine="540"/>
        <w:jc w:val="both"/>
      </w:pPr>
      <w:r>
        <w:rPr>
          <w:sz w:val="20"/>
        </w:rPr>
        <w:t xml:space="preserve">БУ "Пыть-Яхская окружная клиническая больница" укомплектована врачами-кардиологами на 71%, терапевтами - на 86%, неврологами - на 83%, врачами по ультразвуковой диагностике - на 95%, по функциональной диагностике - на 68%, анестезиологами-реаниматологами - на 100%, физиотерапевтами - на 90%, врачами ЛФК - на 100%.</w:t>
      </w:r>
    </w:p>
    <w:p>
      <w:pPr>
        <w:pStyle w:val="0"/>
        <w:spacing w:before="200" w:line-rule="auto"/>
        <w:ind w:firstLine="540"/>
        <w:jc w:val="both"/>
      </w:pPr>
      <w:r>
        <w:rPr>
          <w:sz w:val="20"/>
        </w:rPr>
        <w:t xml:space="preserve">Имеется оборудование для УЗИ сосудов, ЭХО-КГ, суточного мониторирования ЭКГ, для проведения нагрузочных проб, 2 КТ работающих в 2-сменном режиме, имеется возможность круглосуточного проведения ЭХО-КГ.</w:t>
      </w:r>
    </w:p>
    <w:p>
      <w:pPr>
        <w:pStyle w:val="0"/>
        <w:spacing w:before="200" w:line-rule="auto"/>
        <w:ind w:firstLine="540"/>
        <w:jc w:val="both"/>
      </w:pPr>
      <w:r>
        <w:rPr>
          <w:sz w:val="20"/>
        </w:rPr>
        <w:t xml:space="preserve">Служба скорой медицинской помощи укомплектована врачами - на 66%, фельдшерами на 96%, оснащена необходимым оборудованием, 4 бригады оснащены автомобилями класса B. Все бригады укомплектованы 2 сотрудниками: выездной врач и фельдшер - 1 бригада, 2 фельдшерами - 3 бригады.</w:t>
      </w:r>
    </w:p>
    <w:p>
      <w:pPr>
        <w:pStyle w:val="0"/>
        <w:spacing w:before="200" w:line-rule="auto"/>
        <w:ind w:firstLine="540"/>
        <w:jc w:val="both"/>
      </w:pPr>
      <w:r>
        <w:rPr>
          <w:sz w:val="20"/>
        </w:rPr>
        <w:t xml:space="preserve">Удельный вес пациентов с ОКСпST, которым проведен тромболизис, составляет 68,4% (26 из 38). Из 118 поступивших пациентов с острым коронарным синдромом (далее - ОКС), 103 (87,3%) переведены в региональный сосудистый центр (далее - РСЦ) БУ "Окружной кардиологический диспансер "Центр диагностики и сердечно-сосудистой хирургии".</w:t>
      </w:r>
    </w:p>
    <w:p>
      <w:pPr>
        <w:pStyle w:val="0"/>
        <w:spacing w:before="200" w:line-rule="auto"/>
        <w:ind w:firstLine="540"/>
        <w:jc w:val="both"/>
      </w:pPr>
      <w:r>
        <w:rPr>
          <w:sz w:val="20"/>
        </w:rPr>
        <w:t xml:space="preserve">В 2022 году с ОНМК пролечено 120 пациентов, из них с инфарктом мозга 100; с геморрагическим инсультом - 20, из них с внутримозговым кровоизлиянием - 18, субарахноидальным кровоизлиянием - 2. Тромболизисная терапия проведена 4 пациентам (4,0%). Переведено в РСЦ 17 пациентов (14,2%).</w:t>
      </w:r>
    </w:p>
    <w:p>
      <w:pPr>
        <w:pStyle w:val="0"/>
        <w:spacing w:before="200" w:line-rule="auto"/>
        <w:ind w:firstLine="540"/>
        <w:jc w:val="both"/>
      </w:pPr>
      <w:r>
        <w:rPr>
          <w:sz w:val="20"/>
        </w:rPr>
        <w:t xml:space="preserve">В 2022 году в сравнении с 2021 годом повысился удельный вес больных с гипертонической болезнью, пролеченных в стационаре, с 28,4% (266 из 936 пациентов в 2021 году) до 29,9% (246 из 822 пациентов в 2022 году).</w:t>
      </w:r>
    </w:p>
    <w:p>
      <w:pPr>
        <w:pStyle w:val="0"/>
        <w:spacing w:before="200" w:line-rule="auto"/>
        <w:ind w:firstLine="540"/>
        <w:jc w:val="both"/>
      </w:pPr>
      <w:r>
        <w:rPr>
          <w:sz w:val="20"/>
        </w:rPr>
        <w:t xml:space="preserve">Летальность от общего числа пролеченных:</w:t>
      </w:r>
    </w:p>
    <w:p>
      <w:pPr>
        <w:pStyle w:val="0"/>
        <w:spacing w:before="200" w:line-rule="auto"/>
        <w:ind w:firstLine="540"/>
        <w:jc w:val="both"/>
      </w:pPr>
      <w:r>
        <w:rPr>
          <w:sz w:val="20"/>
        </w:rPr>
        <w:t xml:space="preserve">с болезнями системы кровообращения - 2,3%;</w:t>
      </w:r>
    </w:p>
    <w:p>
      <w:pPr>
        <w:pStyle w:val="0"/>
        <w:spacing w:before="200" w:line-rule="auto"/>
        <w:ind w:firstLine="540"/>
        <w:jc w:val="both"/>
      </w:pPr>
      <w:r>
        <w:rPr>
          <w:sz w:val="20"/>
        </w:rPr>
        <w:t xml:space="preserve">инфаркт миокарда - 60,0% (в ПСО остаются только крайне тяжелые пациенты);</w:t>
      </w:r>
    </w:p>
    <w:p>
      <w:pPr>
        <w:pStyle w:val="0"/>
        <w:spacing w:before="200" w:line-rule="auto"/>
        <w:ind w:firstLine="540"/>
        <w:jc w:val="both"/>
      </w:pPr>
      <w:r>
        <w:rPr>
          <w:sz w:val="20"/>
        </w:rPr>
        <w:t xml:space="preserve">от ОНМК - 5,8%.</w:t>
      </w:r>
    </w:p>
    <w:p>
      <w:pPr>
        <w:pStyle w:val="0"/>
        <w:spacing w:before="200" w:line-rule="auto"/>
        <w:ind w:firstLine="540"/>
        <w:jc w:val="both"/>
      </w:pPr>
      <w:r>
        <w:rPr>
          <w:sz w:val="20"/>
        </w:rPr>
        <w:t xml:space="preserve">С целью повышения качества оказания стационарной медицинской помощи больным с ОНМК и ОКС в БУ "Пыть-Яхская окружная клиническая больница":</w:t>
      </w:r>
    </w:p>
    <w:p>
      <w:pPr>
        <w:pStyle w:val="0"/>
        <w:spacing w:before="200" w:line-rule="auto"/>
        <w:ind w:firstLine="540"/>
        <w:jc w:val="both"/>
      </w:pPr>
      <w:r>
        <w:rPr>
          <w:sz w:val="20"/>
        </w:rPr>
        <w:t xml:space="preserve">организован круглосуточный кардиологический пост с января 2023 года;</w:t>
      </w:r>
    </w:p>
    <w:p>
      <w:pPr>
        <w:pStyle w:val="0"/>
        <w:spacing w:before="200" w:line-rule="auto"/>
        <w:ind w:firstLine="540"/>
        <w:jc w:val="both"/>
      </w:pPr>
      <w:r>
        <w:rPr>
          <w:sz w:val="20"/>
        </w:rPr>
        <w:t xml:space="preserve">планируется выделение неврологических коек в отдельное структурное подразделение.</w:t>
      </w:r>
    </w:p>
    <w:p>
      <w:pPr>
        <w:pStyle w:val="0"/>
        <w:jc w:val="center"/>
      </w:pPr>
      <w:r>
        <w:rPr>
          <w:sz w:val="20"/>
        </w:rPr>
      </w:r>
    </w:p>
    <w:p>
      <w:pPr>
        <w:pStyle w:val="2"/>
        <w:outlineLvl w:val="4"/>
        <w:jc w:val="center"/>
      </w:pPr>
      <w:r>
        <w:rPr>
          <w:sz w:val="20"/>
        </w:rPr>
        <w:t xml:space="preserve">БУ "Лангепасская городская больница"</w:t>
      </w:r>
    </w:p>
    <w:p>
      <w:pPr>
        <w:pStyle w:val="0"/>
        <w:jc w:val="center"/>
      </w:pPr>
      <w:r>
        <w:rPr>
          <w:sz w:val="20"/>
        </w:rPr>
      </w:r>
    </w:p>
    <w:p>
      <w:pPr>
        <w:pStyle w:val="0"/>
        <w:ind w:firstLine="540"/>
        <w:jc w:val="both"/>
      </w:pPr>
      <w:r>
        <w:rPr>
          <w:sz w:val="20"/>
        </w:rPr>
        <w:t xml:space="preserve">Статус - первичное сосудистое отделение.</w:t>
      </w:r>
    </w:p>
    <w:p>
      <w:pPr>
        <w:pStyle w:val="0"/>
        <w:spacing w:before="200" w:line-rule="auto"/>
        <w:ind w:firstLine="540"/>
        <w:jc w:val="both"/>
      </w:pPr>
      <w:r>
        <w:rPr>
          <w:sz w:val="20"/>
        </w:rPr>
        <w:t xml:space="preserve">Зона обслуживания - городской округ Лангепас, село Локосово.</w:t>
      </w:r>
    </w:p>
    <w:p>
      <w:pPr>
        <w:pStyle w:val="0"/>
        <w:spacing w:before="200" w:line-rule="auto"/>
        <w:ind w:firstLine="540"/>
        <w:jc w:val="both"/>
      </w:pPr>
      <w:r>
        <w:rPr>
          <w:sz w:val="20"/>
        </w:rPr>
        <w:t xml:space="preserve">Зона обслуживания СМП: городской округ Лангепас, село Локосово, поселок Аган, деревня Верне-Мысовая, трасса Сургут - Нижневартовск со 101 км по 155 км, автодорога Лангепас - Покачи до 35 км.</w:t>
      </w:r>
    </w:p>
    <w:p>
      <w:pPr>
        <w:pStyle w:val="0"/>
        <w:spacing w:before="200" w:line-rule="auto"/>
        <w:ind w:firstLine="540"/>
        <w:jc w:val="both"/>
      </w:pPr>
      <w:r>
        <w:rPr>
          <w:sz w:val="20"/>
        </w:rPr>
        <w:t xml:space="preserve">Численность населения - 45868 человека.</w:t>
      </w:r>
    </w:p>
    <w:p>
      <w:pPr>
        <w:pStyle w:val="0"/>
        <w:spacing w:before="200" w:line-rule="auto"/>
        <w:ind w:firstLine="540"/>
        <w:jc w:val="both"/>
      </w:pPr>
      <w:r>
        <w:rPr>
          <w:sz w:val="20"/>
        </w:rPr>
        <w:t xml:space="preserve">Общее количество коек 209, в т.ч.: кардиологические - 5, терапевтические - 35, неврологические - 20, реанимационные - 6.</w:t>
      </w:r>
    </w:p>
    <w:p>
      <w:pPr>
        <w:pStyle w:val="0"/>
        <w:spacing w:before="200" w:line-rule="auto"/>
        <w:ind w:firstLine="540"/>
        <w:jc w:val="both"/>
      </w:pPr>
      <w:r>
        <w:rPr>
          <w:sz w:val="20"/>
        </w:rPr>
        <w:t xml:space="preserve">БУ "Лангепасская городская больница" укомплектована врачами-кардиологами на 100%, терапевтами - на 100%, неврологами - на 100%, врачами по ультразвуковой диагностике - на 100%, по функциональной диагностике - на 100%, анестезиологами-реаниматологами - на 65%, врачами по физической и реабилитационной медицине - на 100%, врачами ЛФК - на 100%.</w:t>
      </w:r>
    </w:p>
    <w:p>
      <w:pPr>
        <w:pStyle w:val="0"/>
        <w:spacing w:before="200" w:line-rule="auto"/>
        <w:ind w:firstLine="540"/>
        <w:jc w:val="both"/>
      </w:pPr>
      <w:r>
        <w:rPr>
          <w:sz w:val="20"/>
        </w:rPr>
        <w:t xml:space="preserve">Имеется оборудование для УЗИ сосудов, ТКДГ, ЭХО-КГ, суточного мониторирования ЭКГ и АД, для проведения нагрузочных проб, велоэргометрии. Нет возможности круглосуточного проведения ЭХО-КГ. Аппарат КТ работает в круглосуточном режиме.</w:t>
      </w:r>
    </w:p>
    <w:p>
      <w:pPr>
        <w:pStyle w:val="0"/>
        <w:spacing w:before="200" w:line-rule="auto"/>
        <w:ind w:firstLine="540"/>
        <w:jc w:val="both"/>
      </w:pPr>
      <w:r>
        <w:rPr>
          <w:sz w:val="20"/>
        </w:rPr>
        <w:t xml:space="preserve">Служба скорой медицинской помощи укомплектована врачами - на 65%, фельдшерами на 100%, оснащена необходимым оборудованием. 4 бригады оснащены автомобилями класса В. Одна бригада укомплектованы 2 сотрудниками: выездной врач и фельдшер, 2 фельдшерами - нет.</w:t>
      </w:r>
    </w:p>
    <w:p>
      <w:pPr>
        <w:pStyle w:val="0"/>
        <w:spacing w:before="200" w:line-rule="auto"/>
        <w:ind w:firstLine="540"/>
        <w:jc w:val="both"/>
      </w:pPr>
      <w:r>
        <w:rPr>
          <w:sz w:val="20"/>
        </w:rPr>
        <w:t xml:space="preserve">Удельный вес пациентов с ОКСпST, которым проведен тромболизис, составляет 73,3%. Догоспитальный тромболизис не проводится.</w:t>
      </w:r>
    </w:p>
    <w:p>
      <w:pPr>
        <w:pStyle w:val="0"/>
        <w:spacing w:before="200" w:line-rule="auto"/>
        <w:ind w:firstLine="540"/>
        <w:jc w:val="both"/>
      </w:pPr>
      <w:r>
        <w:rPr>
          <w:sz w:val="20"/>
        </w:rPr>
        <w:t xml:space="preserve">Из 41 поступившего пациента с ОКС 27 (65,8%) переведены в РСЦ.</w:t>
      </w:r>
    </w:p>
    <w:p>
      <w:pPr>
        <w:pStyle w:val="0"/>
        <w:spacing w:before="200" w:line-rule="auto"/>
        <w:ind w:firstLine="540"/>
        <w:jc w:val="both"/>
      </w:pPr>
      <w:r>
        <w:rPr>
          <w:sz w:val="20"/>
        </w:rPr>
        <w:t xml:space="preserve">В 2022 году с ОНМК пролечено 42 пациента, из них с инфарктом мозга 39, внутримозговым кровоизлиянием 3, субарахноидальным кровоизлиянием 0. ТЛТ проведена 5 пациентам. Переведено в РСЦ 3 пациента (7,3%).</w:t>
      </w:r>
    </w:p>
    <w:p>
      <w:pPr>
        <w:pStyle w:val="0"/>
        <w:spacing w:before="200" w:line-rule="auto"/>
        <w:ind w:firstLine="540"/>
        <w:jc w:val="both"/>
      </w:pPr>
      <w:r>
        <w:rPr>
          <w:sz w:val="20"/>
        </w:rPr>
        <w:t xml:space="preserve">Летальность от БСК низкая - 1,1%, от ИМ - 3,8%, от ОНМК - 7,1%.</w:t>
      </w:r>
    </w:p>
    <w:p>
      <w:pPr>
        <w:pStyle w:val="0"/>
        <w:ind w:firstLine="540"/>
        <w:jc w:val="both"/>
      </w:pPr>
      <w:r>
        <w:rPr>
          <w:sz w:val="20"/>
        </w:rPr>
      </w:r>
    </w:p>
    <w:p>
      <w:pPr>
        <w:pStyle w:val="2"/>
        <w:outlineLvl w:val="4"/>
        <w:jc w:val="center"/>
      </w:pPr>
      <w:r>
        <w:rPr>
          <w:sz w:val="20"/>
        </w:rPr>
        <w:t xml:space="preserve">БУ "Когалымская городская больница"</w:t>
      </w:r>
    </w:p>
    <w:p>
      <w:pPr>
        <w:pStyle w:val="0"/>
        <w:jc w:val="center"/>
      </w:pPr>
      <w:r>
        <w:rPr>
          <w:sz w:val="20"/>
        </w:rPr>
      </w:r>
    </w:p>
    <w:p>
      <w:pPr>
        <w:pStyle w:val="0"/>
        <w:ind w:firstLine="540"/>
        <w:jc w:val="both"/>
      </w:pPr>
      <w:r>
        <w:rPr>
          <w:sz w:val="20"/>
        </w:rPr>
        <w:t xml:space="preserve">Статус - первичное сосудистое отделение.</w:t>
      </w:r>
    </w:p>
    <w:p>
      <w:pPr>
        <w:pStyle w:val="0"/>
        <w:spacing w:before="200" w:line-rule="auto"/>
        <w:ind w:firstLine="540"/>
        <w:jc w:val="both"/>
      </w:pPr>
      <w:r>
        <w:rPr>
          <w:sz w:val="20"/>
        </w:rPr>
        <w:t xml:space="preserve">Зона обслуживания - городской округ Когалым.</w:t>
      </w:r>
    </w:p>
    <w:p>
      <w:pPr>
        <w:pStyle w:val="0"/>
        <w:spacing w:before="200" w:line-rule="auto"/>
        <w:ind w:firstLine="540"/>
        <w:jc w:val="both"/>
      </w:pPr>
      <w:r>
        <w:rPr>
          <w:sz w:val="20"/>
        </w:rPr>
        <w:t xml:space="preserve">Зона обслуживания СМП: городской округ Когалым, Когалымские месторождения, трасса 1/2 в сторону города Сургута, 1/2 в сторону города Ноябрьска, 1/2 города Покачи.</w:t>
      </w:r>
    </w:p>
    <w:p>
      <w:pPr>
        <w:pStyle w:val="0"/>
        <w:spacing w:before="200" w:line-rule="auto"/>
        <w:ind w:firstLine="540"/>
        <w:jc w:val="both"/>
      </w:pPr>
      <w:r>
        <w:rPr>
          <w:sz w:val="20"/>
        </w:rPr>
        <w:t xml:space="preserve">Количество прикрепленного населения - 69405 человек: городское население - 69405.</w:t>
      </w:r>
    </w:p>
    <w:p>
      <w:pPr>
        <w:pStyle w:val="0"/>
        <w:spacing w:before="200" w:line-rule="auto"/>
        <w:ind w:firstLine="540"/>
        <w:jc w:val="both"/>
      </w:pPr>
      <w:r>
        <w:rPr>
          <w:sz w:val="20"/>
        </w:rPr>
        <w:t xml:space="preserve">Общее количество коек - 306, в т.ч.: терапевтические - 50 (35 терапевтические, 15 кардиологические), неврологические - 31, реанимационные - 6.</w:t>
      </w:r>
    </w:p>
    <w:p>
      <w:pPr>
        <w:pStyle w:val="0"/>
        <w:spacing w:before="200" w:line-rule="auto"/>
        <w:ind w:firstLine="540"/>
        <w:jc w:val="both"/>
      </w:pPr>
      <w:r>
        <w:rPr>
          <w:sz w:val="20"/>
        </w:rPr>
        <w:t xml:space="preserve">Количество штатных должностей врачей-кардиологов, ведущих амбулаторный прием, - 2, занятых - 2, физических лиц - 2.</w:t>
      </w:r>
    </w:p>
    <w:p>
      <w:pPr>
        <w:pStyle w:val="0"/>
        <w:spacing w:before="200" w:line-rule="auto"/>
        <w:ind w:firstLine="540"/>
        <w:jc w:val="both"/>
      </w:pPr>
      <w:r>
        <w:rPr>
          <w:sz w:val="20"/>
        </w:rPr>
        <w:t xml:space="preserve">Количество штатных должностей детских врачей-кардиологов, ведущих амбулаторный прием, - 0,5, занятых - 0,25, физических лиц - 1 (1 совместитель).</w:t>
      </w:r>
    </w:p>
    <w:p>
      <w:pPr>
        <w:pStyle w:val="0"/>
        <w:spacing w:before="200" w:line-rule="auto"/>
        <w:ind w:firstLine="540"/>
        <w:jc w:val="both"/>
      </w:pPr>
      <w:r>
        <w:rPr>
          <w:sz w:val="20"/>
        </w:rPr>
        <w:t xml:space="preserve">Количество штатных должностей врачей-кардиологов, оказывающих медицинскую помощь в стационарных условиях, - 1,5, занятых - 1,5, физических лиц - 2 (1 совместитель).</w:t>
      </w:r>
    </w:p>
    <w:p>
      <w:pPr>
        <w:pStyle w:val="0"/>
        <w:spacing w:before="200" w:line-rule="auto"/>
        <w:ind w:firstLine="540"/>
        <w:jc w:val="both"/>
      </w:pPr>
      <w:r>
        <w:rPr>
          <w:sz w:val="20"/>
        </w:rPr>
        <w:t xml:space="preserve">БУ "Когалымская городская больница" укомплектована врачами-кардиологами поликлиники на 100%, 1,5 ставки кардиолога стационара укомплектовано, терапевтами - на 79,1%, неврологами - на 61,8%, врачами по ультразвуковой диагностике - на 72,5%</w:t>
      </w:r>
    </w:p>
    <w:p>
      <w:pPr>
        <w:pStyle w:val="0"/>
        <w:spacing w:before="200" w:line-rule="auto"/>
        <w:ind w:firstLine="540"/>
        <w:jc w:val="both"/>
      </w:pPr>
      <w:r>
        <w:rPr>
          <w:sz w:val="20"/>
        </w:rPr>
        <w:t xml:space="preserve">Имеется оборудование для УЗИ сосудов, ТКДГ, ЭХО-КГ, суточного мониторирования ЭКГ, для проведения нагрузочных проб, имеется возможность круглосуточного проведения ЭХО-КГ, дуплексного сканирования сосудов шеи. Функционируют 2 аппарата КТ, один работает в круглосуточном режиме.</w:t>
      </w:r>
    </w:p>
    <w:p>
      <w:pPr>
        <w:pStyle w:val="0"/>
        <w:spacing w:before="200" w:line-rule="auto"/>
        <w:ind w:firstLine="540"/>
        <w:jc w:val="both"/>
      </w:pPr>
      <w:r>
        <w:rPr>
          <w:sz w:val="20"/>
        </w:rPr>
        <w:t xml:space="preserve">Служба скорой медицинской помощи укомплектована врачами - на 88,2%, фельдшерами на 97,4%. Оснащена необходимым оборудованием, 9 бригад оснащены автомобилями класса B. Все бригады укомплектованы 2 сотрудниками, из них врач и фельдшер - 5 бригад, в т.ч. 1 специализированная бригада (анестезиологии-реанимации).</w:t>
      </w:r>
    </w:p>
    <w:p>
      <w:pPr>
        <w:pStyle w:val="0"/>
        <w:spacing w:before="200" w:line-rule="auto"/>
        <w:ind w:firstLine="540"/>
        <w:jc w:val="both"/>
      </w:pPr>
      <w:r>
        <w:rPr>
          <w:sz w:val="20"/>
        </w:rPr>
        <w:t xml:space="preserve">Доля больных ОКСпST составляет 19,5% (33) от числа пациентов с ОКС.</w:t>
      </w:r>
    </w:p>
    <w:p>
      <w:pPr>
        <w:pStyle w:val="0"/>
        <w:spacing w:before="200" w:line-rule="auto"/>
        <w:ind w:firstLine="540"/>
        <w:jc w:val="both"/>
      </w:pPr>
      <w:r>
        <w:rPr>
          <w:sz w:val="20"/>
        </w:rPr>
        <w:t xml:space="preserve">Удельный вес пациентов с ОКСпST, которым проведен тромболизис, составляет 88%. Доля догоспитального тромболизиса 36%.</w:t>
      </w:r>
    </w:p>
    <w:p>
      <w:pPr>
        <w:pStyle w:val="0"/>
        <w:spacing w:before="200" w:line-rule="auto"/>
        <w:ind w:firstLine="540"/>
        <w:jc w:val="both"/>
      </w:pPr>
      <w:r>
        <w:rPr>
          <w:sz w:val="20"/>
        </w:rPr>
        <w:t xml:space="preserve">Из 169 поступивших пациентов с ОКС 119 (70,4%) переведены в РСЦ. В сравнении с 2021 годом удельный вес переведенных в РСЦ снизился на 7,6% (57% в 2020 году, 115 переведенных из 202 поступивших, 78% в 2021 году 181 из 232 поступивших).</w:t>
      </w:r>
    </w:p>
    <w:p>
      <w:pPr>
        <w:pStyle w:val="0"/>
        <w:spacing w:before="200" w:line-rule="auto"/>
        <w:ind w:firstLine="540"/>
        <w:jc w:val="both"/>
      </w:pPr>
      <w:r>
        <w:rPr>
          <w:sz w:val="20"/>
        </w:rPr>
        <w:t xml:space="preserve">В 2022 году с ОНМК госпитализировано 99 пациентов, из них с инфарктом мозга 86, внутримозговым кровоизлиянием 13, субарахноидальным кровоизлиянием 2. Переведено в РСЦ 7 пациентов.</w:t>
      </w:r>
    </w:p>
    <w:p>
      <w:pPr>
        <w:pStyle w:val="0"/>
        <w:spacing w:before="200" w:line-rule="auto"/>
        <w:ind w:firstLine="540"/>
        <w:jc w:val="both"/>
      </w:pPr>
      <w:r>
        <w:rPr>
          <w:sz w:val="20"/>
        </w:rPr>
        <w:t xml:space="preserve">В БУ "Когалымская городская больница" удельный вес пациентов с гипертонической болезнью среди пролеченных в стационаре - 23,4%.</w:t>
      </w:r>
    </w:p>
    <w:p>
      <w:pPr>
        <w:pStyle w:val="0"/>
        <w:spacing w:before="200" w:line-rule="auto"/>
        <w:ind w:firstLine="540"/>
        <w:jc w:val="both"/>
      </w:pPr>
      <w:r>
        <w:rPr>
          <w:sz w:val="20"/>
        </w:rPr>
        <w:t xml:space="preserve">Летальность от БСК - 3,86%, за счет хронических форм ССЗ, от ИМ - 3,3%, от ОНМК - 4,3%.</w:t>
      </w:r>
    </w:p>
    <w:p>
      <w:pPr>
        <w:pStyle w:val="0"/>
        <w:ind w:firstLine="540"/>
        <w:jc w:val="both"/>
      </w:pPr>
      <w:r>
        <w:rPr>
          <w:sz w:val="20"/>
        </w:rPr>
      </w:r>
    </w:p>
    <w:p>
      <w:pPr>
        <w:pStyle w:val="2"/>
        <w:outlineLvl w:val="4"/>
        <w:jc w:val="center"/>
      </w:pPr>
      <w:r>
        <w:rPr>
          <w:sz w:val="20"/>
        </w:rPr>
        <w:t xml:space="preserve">БУ "Белоярская районная больница"</w:t>
      </w:r>
    </w:p>
    <w:p>
      <w:pPr>
        <w:pStyle w:val="0"/>
        <w:jc w:val="center"/>
      </w:pPr>
      <w:r>
        <w:rPr>
          <w:sz w:val="20"/>
        </w:rPr>
      </w:r>
    </w:p>
    <w:p>
      <w:pPr>
        <w:pStyle w:val="0"/>
        <w:ind w:firstLine="540"/>
        <w:jc w:val="both"/>
      </w:pPr>
      <w:r>
        <w:rPr>
          <w:sz w:val="20"/>
        </w:rPr>
        <w:t xml:space="preserve">Статус - первичное сосудистое отделение.</w:t>
      </w:r>
    </w:p>
    <w:p>
      <w:pPr>
        <w:pStyle w:val="0"/>
        <w:spacing w:before="200" w:line-rule="auto"/>
        <w:ind w:firstLine="540"/>
        <w:jc w:val="both"/>
      </w:pPr>
      <w:r>
        <w:rPr>
          <w:sz w:val="20"/>
        </w:rPr>
        <w:t xml:space="preserve">Зона обслуживания - Белоярский муниципальный район. Зона обслуживания СМП: Город - 20 км. сельское поселение Верхнеказымский 90 км, сельское поселение Лыхма - 90 км, сельское поселение Казым - 40 км.</w:t>
      </w:r>
    </w:p>
    <w:p>
      <w:pPr>
        <w:pStyle w:val="0"/>
        <w:spacing w:before="200" w:line-rule="auto"/>
        <w:ind w:firstLine="540"/>
        <w:jc w:val="both"/>
      </w:pPr>
      <w:r>
        <w:rPr>
          <w:sz w:val="20"/>
        </w:rPr>
        <w:t xml:space="preserve">Количество прикрепленного населения - 26425 человека, в т.ч.: городское - 19195, сельское - 7230.</w:t>
      </w:r>
    </w:p>
    <w:p>
      <w:pPr>
        <w:pStyle w:val="0"/>
        <w:spacing w:before="200" w:line-rule="auto"/>
        <w:ind w:firstLine="540"/>
        <w:jc w:val="both"/>
      </w:pPr>
      <w:r>
        <w:rPr>
          <w:sz w:val="20"/>
        </w:rPr>
        <w:t xml:space="preserve">Общее количество коек - 203, в т.ч.: терапевтические - 27, неврологические - 20 (из них 3 для больных с острыми нарушениями мозгового кровообращения), реанимационные - 6, кардиологических коек нет.</w:t>
      </w:r>
    </w:p>
    <w:p>
      <w:pPr>
        <w:pStyle w:val="0"/>
        <w:spacing w:before="200" w:line-rule="auto"/>
        <w:ind w:firstLine="540"/>
        <w:jc w:val="both"/>
      </w:pPr>
      <w:r>
        <w:rPr>
          <w:sz w:val="20"/>
        </w:rPr>
        <w:t xml:space="preserve">БУ "Белоярская районная больница" укомплектована: врачами-кардиологами поликлиники на 100% (в настоящее время доктор в декретном отпуске), терапевтами - на 90%, неврологами - на 100%, врачами по ультразвуковой диагностике - на 75%, врачами по функциональной диагностике - на 70%, анестезиологами-реаниматологами - на 100%, физиотерапевтами - на 100%, врачами ЛФК - на 80%. В стационаре штатных должностей врачей-кардиологов нет.</w:t>
      </w:r>
    </w:p>
    <w:p>
      <w:pPr>
        <w:pStyle w:val="0"/>
        <w:spacing w:before="200" w:line-rule="auto"/>
        <w:ind w:firstLine="540"/>
        <w:jc w:val="both"/>
      </w:pPr>
      <w:r>
        <w:rPr>
          <w:sz w:val="20"/>
        </w:rPr>
        <w:t xml:space="preserve">Имеется оборудование для УЗИ сосудов, ТКДГ, ЭХО-КГ, суточного мониторирования ЭКГ и АД, ВЭМ для проведения нагрузочных тестов, имеется возможность круглосуточного проведения ЭХО-КГ, дуплексного сканирования сосудов шеи, имеется 2 единицы тяжелого оборудования - КТ, работающие круглосуточно.</w:t>
      </w:r>
    </w:p>
    <w:p>
      <w:pPr>
        <w:pStyle w:val="0"/>
        <w:spacing w:before="200" w:line-rule="auto"/>
        <w:ind w:firstLine="540"/>
        <w:jc w:val="both"/>
      </w:pPr>
      <w:r>
        <w:rPr>
          <w:sz w:val="20"/>
        </w:rPr>
        <w:t xml:space="preserve">Служба скорой медицинской помощи укомплектована врачами - на 52%, фельдшерами на 96%, оснащена необходимым оборудованием. Все бригады оснащены автомобилями класса В, укомплектованы 2-мя сотрудниками: выездной врач и фельдшер - 1, 2-мя фельдшерами - 1.</w:t>
      </w:r>
    </w:p>
    <w:p>
      <w:pPr>
        <w:pStyle w:val="0"/>
        <w:spacing w:before="200" w:line-rule="auto"/>
        <w:ind w:firstLine="540"/>
        <w:jc w:val="both"/>
      </w:pPr>
      <w:r>
        <w:rPr>
          <w:sz w:val="20"/>
        </w:rPr>
        <w:t xml:space="preserve">За 2022 год: пациентов с ОКСпST всего 10; в 6 случаях (60%) проведен тромболизис. Догоспитальный тромболизис не проводился.</w:t>
      </w:r>
    </w:p>
    <w:p>
      <w:pPr>
        <w:pStyle w:val="0"/>
        <w:spacing w:before="200" w:line-rule="auto"/>
        <w:ind w:firstLine="540"/>
        <w:jc w:val="both"/>
      </w:pPr>
      <w:r>
        <w:rPr>
          <w:sz w:val="20"/>
        </w:rPr>
        <w:t xml:space="preserve">Из 50 поступивших пациентов с ОКС 49 (98%) переведены в РСЦ.</w:t>
      </w:r>
    </w:p>
    <w:p>
      <w:pPr>
        <w:pStyle w:val="0"/>
        <w:spacing w:before="200" w:line-rule="auto"/>
        <w:ind w:firstLine="540"/>
        <w:jc w:val="both"/>
      </w:pPr>
      <w:r>
        <w:rPr>
          <w:sz w:val="20"/>
        </w:rPr>
        <w:t xml:space="preserve">В 2022 году с ОНМК госпитализировано 19 пациента, из них с инфарктом мозга 15, внутримозговым кровоизлиянием 4, субарахноидальным кровоизлиянием 0. ТЛТ проведена 2 пациентам. Переведены в РСЦ 2 пациента.</w:t>
      </w:r>
    </w:p>
    <w:p>
      <w:pPr>
        <w:pStyle w:val="0"/>
        <w:spacing w:before="200" w:line-rule="auto"/>
        <w:ind w:firstLine="540"/>
        <w:jc w:val="both"/>
      </w:pPr>
      <w:r>
        <w:rPr>
          <w:sz w:val="20"/>
        </w:rPr>
        <w:t xml:space="preserve">Летальность от ИМ в 2022 году составила 2%, от ОНМК - 10,2%.</w:t>
      </w:r>
    </w:p>
    <w:p>
      <w:pPr>
        <w:pStyle w:val="0"/>
        <w:ind w:firstLine="540"/>
        <w:jc w:val="both"/>
      </w:pPr>
      <w:r>
        <w:rPr>
          <w:sz w:val="20"/>
        </w:rPr>
      </w:r>
    </w:p>
    <w:p>
      <w:pPr>
        <w:pStyle w:val="2"/>
        <w:outlineLvl w:val="4"/>
        <w:jc w:val="center"/>
      </w:pPr>
      <w:r>
        <w:rPr>
          <w:sz w:val="20"/>
        </w:rPr>
        <w:t xml:space="preserve">БУ "Урайская городская клиническая больница"</w:t>
      </w:r>
    </w:p>
    <w:p>
      <w:pPr>
        <w:pStyle w:val="0"/>
        <w:jc w:val="center"/>
      </w:pPr>
      <w:r>
        <w:rPr>
          <w:sz w:val="20"/>
        </w:rPr>
      </w:r>
    </w:p>
    <w:p>
      <w:pPr>
        <w:pStyle w:val="0"/>
        <w:ind w:firstLine="540"/>
        <w:jc w:val="both"/>
      </w:pPr>
      <w:r>
        <w:rPr>
          <w:sz w:val="20"/>
        </w:rPr>
        <w:t xml:space="preserve">Статус - первичное сосудистой отделение.</w:t>
      </w:r>
    </w:p>
    <w:p>
      <w:pPr>
        <w:pStyle w:val="0"/>
        <w:spacing w:before="200" w:line-rule="auto"/>
        <w:ind w:firstLine="540"/>
        <w:jc w:val="both"/>
      </w:pPr>
      <w:r>
        <w:rPr>
          <w:sz w:val="20"/>
        </w:rPr>
        <w:t xml:space="preserve">Зона обслуживания - городской округ Урай.</w:t>
      </w:r>
    </w:p>
    <w:p>
      <w:pPr>
        <w:pStyle w:val="0"/>
        <w:spacing w:before="200" w:line-rule="auto"/>
        <w:ind w:firstLine="540"/>
        <w:jc w:val="both"/>
      </w:pPr>
      <w:r>
        <w:rPr>
          <w:sz w:val="20"/>
        </w:rPr>
        <w:t xml:space="preserve">Зона обслуживания СМП: город Урай - 7,8 км сельское поселение Мулымья - 17 км. деревня Ушья - 20 км, поселок Назарово - 38 км, село Чантырья - 45 км, село Шаим - 50 км, поселок Дальний - 47 км, сельское поселение Половинка - 25 км, 65 км трассы Урай - Советский, 65 км трассы Урай - Междуреченский.</w:t>
      </w:r>
    </w:p>
    <w:p>
      <w:pPr>
        <w:pStyle w:val="0"/>
        <w:spacing w:before="200" w:line-rule="auto"/>
        <w:ind w:firstLine="540"/>
        <w:jc w:val="both"/>
      </w:pPr>
      <w:r>
        <w:rPr>
          <w:sz w:val="20"/>
        </w:rPr>
        <w:t xml:space="preserve">Количество прикрепленного населения - 40347 человек.</w:t>
      </w:r>
    </w:p>
    <w:p>
      <w:pPr>
        <w:pStyle w:val="0"/>
        <w:spacing w:before="200" w:line-rule="auto"/>
        <w:ind w:firstLine="540"/>
        <w:jc w:val="both"/>
      </w:pPr>
      <w:r>
        <w:rPr>
          <w:sz w:val="20"/>
        </w:rPr>
        <w:t xml:space="preserve">Общее количество коек - 236, в т.ч.: кардиологические - 15 (в т.ч. 2 - для пациентов с ХСН), терапевтические - 18, неврологические - 13, реанимационные - 8 (в т.ч. 2 для ковидного госпиталя).</w:t>
      </w:r>
    </w:p>
    <w:p>
      <w:pPr>
        <w:pStyle w:val="0"/>
        <w:spacing w:before="200" w:line-rule="auto"/>
        <w:ind w:firstLine="540"/>
        <w:jc w:val="both"/>
      </w:pPr>
      <w:r>
        <w:rPr>
          <w:sz w:val="20"/>
        </w:rPr>
        <w:t xml:space="preserve">БУ "Урайская городская клиническая больница" укомплектовано врачами-кардиологами поликлиники на 100%, терапевтами - на 69,3%, неврологами - на 70%, анестезиологами-реаниматологами - на 60%, физиотерапевтами - на 57,1%.</w:t>
      </w:r>
    </w:p>
    <w:p>
      <w:pPr>
        <w:pStyle w:val="0"/>
        <w:spacing w:before="200" w:line-rule="auto"/>
        <w:ind w:firstLine="540"/>
        <w:jc w:val="both"/>
      </w:pPr>
      <w:r>
        <w:rPr>
          <w:sz w:val="20"/>
        </w:rPr>
        <w:t xml:space="preserve">В стационаре 1 штатная должность кардиолога не укомплектована физическим лицом.</w:t>
      </w:r>
    </w:p>
    <w:p>
      <w:pPr>
        <w:pStyle w:val="0"/>
        <w:spacing w:before="200" w:line-rule="auto"/>
        <w:ind w:firstLine="540"/>
        <w:jc w:val="both"/>
      </w:pPr>
      <w:r>
        <w:rPr>
          <w:sz w:val="20"/>
        </w:rPr>
        <w:t xml:space="preserve">Имеется оборудование для УЗИ сосудов, ТКДГ, ЭХО-КГ, суточного мониторирования ЭКГ и АД, для проведения нагрузочных проб, велоэргометрии. Есть возможность круглосуточного проведения ЭХО-КГ. 2 аппарата КТ работают в круглосуточном режиме. 1 аппарат МРТ - в односменном режиме.</w:t>
      </w:r>
    </w:p>
    <w:p>
      <w:pPr>
        <w:pStyle w:val="0"/>
        <w:spacing w:before="200" w:line-rule="auto"/>
        <w:ind w:firstLine="540"/>
        <w:jc w:val="both"/>
      </w:pPr>
      <w:r>
        <w:rPr>
          <w:sz w:val="20"/>
        </w:rPr>
        <w:t xml:space="preserve">Учреждение оснащено медицинской информационной системой КОМТЕК, имеется возможность удаленного консультирования пациентов, имеется кабинет и оборудование для телемедицинской связи.</w:t>
      </w:r>
    </w:p>
    <w:p>
      <w:pPr>
        <w:pStyle w:val="0"/>
        <w:spacing w:before="200" w:line-rule="auto"/>
        <w:ind w:firstLine="540"/>
        <w:jc w:val="both"/>
      </w:pPr>
      <w:r>
        <w:rPr>
          <w:sz w:val="20"/>
        </w:rPr>
        <w:t xml:space="preserve">Служба скорой медицинской помощи укомплектована врачами - на 64,5%, фельдшерами на 100%. Оснащена необходимым оборудованием. Все бригады оснащены автомобилями класса В, укомплектованы 2 сотрудниками: выездной врач и фельдшер - 1 круглосуточная бригада, 2 фельдшерами - 2.</w:t>
      </w:r>
    </w:p>
    <w:p>
      <w:pPr>
        <w:pStyle w:val="0"/>
        <w:spacing w:before="200" w:line-rule="auto"/>
        <w:ind w:firstLine="540"/>
        <w:jc w:val="both"/>
      </w:pPr>
      <w:r>
        <w:rPr>
          <w:sz w:val="20"/>
        </w:rPr>
        <w:t xml:space="preserve">Тромболизис выполняется всем пациентам с ОКСпST, имеющим показания.</w:t>
      </w:r>
    </w:p>
    <w:p>
      <w:pPr>
        <w:pStyle w:val="0"/>
        <w:spacing w:before="200" w:line-rule="auto"/>
        <w:ind w:firstLine="540"/>
        <w:jc w:val="both"/>
      </w:pPr>
      <w:r>
        <w:rPr>
          <w:sz w:val="20"/>
        </w:rPr>
        <w:t xml:space="preserve">Из 66 поступивших пациентов с ОКС 58 (87,9%) переведены в РСЦ.</w:t>
      </w:r>
    </w:p>
    <w:p>
      <w:pPr>
        <w:pStyle w:val="0"/>
        <w:spacing w:before="200" w:line-rule="auto"/>
        <w:ind w:firstLine="540"/>
        <w:jc w:val="both"/>
      </w:pPr>
      <w:r>
        <w:rPr>
          <w:sz w:val="20"/>
        </w:rPr>
        <w:t xml:space="preserve">В 2022 году с ОНМК госпитализировано 118 пациентов, из них с инфарктом мозга 95, внутримозговым кровоизлиянием 23. Переведены в РСЦ 11 пациентов (9,3%). Проведена процедура системного тромболизиса 6 пациентам - 6,3% от числа пациентов с инфарктом мозга.</w:t>
      </w:r>
    </w:p>
    <w:p>
      <w:pPr>
        <w:pStyle w:val="0"/>
        <w:spacing w:before="200" w:line-rule="auto"/>
        <w:ind w:firstLine="540"/>
        <w:jc w:val="both"/>
      </w:pPr>
      <w:r>
        <w:rPr>
          <w:sz w:val="20"/>
        </w:rPr>
        <w:t xml:space="preserve">Летальность от БСК 4,6% (-3,4% к 2021 года), от ИМ 60%, от ОНМК - 5,6% (- 6,0% к 2021 года). Высокая летальность у больных с инфарктом миокарда связана с высокой долей переведенных в РСЦ (87,9%). Высокий показатель летальности в 2022 году зафиксирован среди пациентов с хронической ИБС - 16% (8 из 50 пролеченных).</w:t>
      </w:r>
    </w:p>
    <w:p>
      <w:pPr>
        <w:pStyle w:val="0"/>
        <w:ind w:firstLine="540"/>
        <w:jc w:val="both"/>
      </w:pPr>
      <w:r>
        <w:rPr>
          <w:sz w:val="20"/>
        </w:rPr>
      </w:r>
    </w:p>
    <w:p>
      <w:pPr>
        <w:pStyle w:val="2"/>
        <w:outlineLvl w:val="4"/>
        <w:jc w:val="center"/>
      </w:pPr>
      <w:r>
        <w:rPr>
          <w:sz w:val="20"/>
        </w:rPr>
        <w:t xml:space="preserve">БУ "Кондинская районная больница"</w:t>
      </w:r>
    </w:p>
    <w:p>
      <w:pPr>
        <w:pStyle w:val="0"/>
        <w:jc w:val="center"/>
      </w:pPr>
      <w:r>
        <w:rPr>
          <w:sz w:val="20"/>
        </w:rPr>
      </w:r>
    </w:p>
    <w:p>
      <w:pPr>
        <w:pStyle w:val="0"/>
        <w:ind w:firstLine="540"/>
        <w:jc w:val="both"/>
      </w:pPr>
      <w:r>
        <w:rPr>
          <w:sz w:val="20"/>
        </w:rPr>
        <w:t xml:space="preserve">Статус - первичное сосудистое отделение.</w:t>
      </w:r>
    </w:p>
    <w:p>
      <w:pPr>
        <w:pStyle w:val="0"/>
        <w:spacing w:before="200" w:line-rule="auto"/>
        <w:ind w:firstLine="540"/>
        <w:jc w:val="both"/>
      </w:pPr>
      <w:r>
        <w:rPr>
          <w:sz w:val="20"/>
        </w:rPr>
        <w:t xml:space="preserve">Зона обслуживания - Кондинский муниципальный район.</w:t>
      </w:r>
    </w:p>
    <w:p>
      <w:pPr>
        <w:pStyle w:val="0"/>
        <w:spacing w:before="200" w:line-rule="auto"/>
        <w:ind w:firstLine="540"/>
        <w:jc w:val="both"/>
      </w:pPr>
      <w:r>
        <w:rPr>
          <w:sz w:val="20"/>
        </w:rPr>
        <w:t xml:space="preserve">Количество прикрепленного населения - 30819 человек, в т.ч.: городское население - 20886, сельское - 9933.</w:t>
      </w:r>
    </w:p>
    <w:p>
      <w:pPr>
        <w:pStyle w:val="0"/>
        <w:spacing w:before="200" w:line-rule="auto"/>
        <w:ind w:firstLine="540"/>
        <w:jc w:val="both"/>
      </w:pPr>
      <w:r>
        <w:rPr>
          <w:sz w:val="20"/>
        </w:rPr>
        <w:t xml:space="preserve">Общее количество коек - 200, в т.ч.: терапевтические - 41, неврологические - 15 (из них 3 для лечения ОНМК), реанимационные - 6.</w:t>
      </w:r>
    </w:p>
    <w:p>
      <w:pPr>
        <w:pStyle w:val="0"/>
        <w:spacing w:before="200" w:line-rule="auto"/>
        <w:ind w:firstLine="540"/>
        <w:jc w:val="both"/>
      </w:pPr>
      <w:r>
        <w:rPr>
          <w:sz w:val="20"/>
        </w:rPr>
        <w:t xml:space="preserve">БУ "Кондинская районная больница" укомплектована: врачами-кардиологами поликлиники на 88,8%, терапевтами - на 90,3%, неврологами - на 100%, врачами по ультразвуковой диагностике - на 53,3%, врачами по функциональной диагностике - на 85,7%, анестезиологами-реаниматологами - на 55,8%, физиотерапевтами - на 100%. В стационаре штатных должностей врачей-кардиологов 1,25, занятых 0,25.</w:t>
      </w:r>
    </w:p>
    <w:p>
      <w:pPr>
        <w:pStyle w:val="0"/>
        <w:spacing w:before="200" w:line-rule="auto"/>
        <w:ind w:firstLine="540"/>
        <w:jc w:val="both"/>
      </w:pPr>
      <w:r>
        <w:rPr>
          <w:sz w:val="20"/>
        </w:rPr>
        <w:t xml:space="preserve">Имеется оборудование для УЗИ сосудов, ТКДГ, ЭХО-КГ, суточного мониторирования ЭКГ и АД. Аппарат КТ работает в 2-сменном режиме.</w:t>
      </w:r>
    </w:p>
    <w:p>
      <w:pPr>
        <w:pStyle w:val="0"/>
        <w:spacing w:before="200" w:line-rule="auto"/>
        <w:ind w:firstLine="540"/>
        <w:jc w:val="both"/>
      </w:pPr>
      <w:r>
        <w:rPr>
          <w:sz w:val="20"/>
        </w:rPr>
        <w:t xml:space="preserve">Служба скорой медицинской помощи укомплектована фельдшерами на 95%, врачей - нет, оснащена необходимым оборудованием. Все бригады оснащены автомобилями класса В, укомплектованы 2-мя сотрудниками фельдшерами.</w:t>
      </w:r>
    </w:p>
    <w:p>
      <w:pPr>
        <w:pStyle w:val="0"/>
        <w:spacing w:before="200" w:line-rule="auto"/>
        <w:ind w:firstLine="540"/>
        <w:jc w:val="both"/>
      </w:pPr>
      <w:r>
        <w:rPr>
          <w:sz w:val="20"/>
        </w:rPr>
        <w:t xml:space="preserve">Удельный вес пациентов с ОКСпST, которым проведен тромболизис, достаточный и составляет 86%. Из 18 ТЛТ 13 проведены догоспитально.</w:t>
      </w:r>
    </w:p>
    <w:p>
      <w:pPr>
        <w:pStyle w:val="0"/>
        <w:spacing w:before="200" w:line-rule="auto"/>
        <w:ind w:firstLine="540"/>
        <w:jc w:val="both"/>
      </w:pPr>
      <w:r>
        <w:rPr>
          <w:sz w:val="20"/>
        </w:rPr>
        <w:t xml:space="preserve">Из 42 поступивших пациентов с ОКС 35 (83%) переведены в РСЦ.</w:t>
      </w:r>
    </w:p>
    <w:p>
      <w:pPr>
        <w:pStyle w:val="0"/>
        <w:spacing w:before="200" w:line-rule="auto"/>
        <w:ind w:firstLine="540"/>
        <w:jc w:val="both"/>
      </w:pPr>
      <w:r>
        <w:rPr>
          <w:sz w:val="20"/>
        </w:rPr>
        <w:t xml:space="preserve">В 2022 году с ОНМК госпитализировано 74 пациента, из них с инфарктом мозга 52, внутримозговым кровоизлиянием 12, субарахноидальным кровоизлиянием 2. ТЛТ проведена 2 пациентам. Переведены в РСЦ 14 пациентов (26,9%).</w:t>
      </w:r>
    </w:p>
    <w:p>
      <w:pPr>
        <w:pStyle w:val="0"/>
        <w:spacing w:before="200" w:line-rule="auto"/>
        <w:ind w:firstLine="540"/>
        <w:jc w:val="both"/>
      </w:pPr>
      <w:r>
        <w:rPr>
          <w:sz w:val="20"/>
        </w:rPr>
        <w:t xml:space="preserve">Из числа пролеченных больных с БСК 27,3% госпитализированы по поводу ГБ (132 пациента из 516).</w:t>
      </w:r>
    </w:p>
    <w:p>
      <w:pPr>
        <w:pStyle w:val="0"/>
        <w:spacing w:before="200" w:line-rule="auto"/>
        <w:ind w:firstLine="540"/>
        <w:jc w:val="both"/>
      </w:pPr>
      <w:r>
        <w:rPr>
          <w:sz w:val="20"/>
        </w:rPr>
        <w:t xml:space="preserve">Летальность от БСК 35,8%, за счет высокой летальности от хронических форм ССЗ, от ИМ - 2,6, от ОНМК - 25,6%. Летальность от ИБС - 28,2% и ЦВБ - 56,4%.</w:t>
      </w:r>
    </w:p>
    <w:p>
      <w:pPr>
        <w:pStyle w:val="0"/>
        <w:ind w:firstLine="540"/>
        <w:jc w:val="both"/>
      </w:pPr>
      <w:r>
        <w:rPr>
          <w:sz w:val="20"/>
        </w:rPr>
      </w:r>
    </w:p>
    <w:p>
      <w:pPr>
        <w:pStyle w:val="2"/>
        <w:outlineLvl w:val="4"/>
        <w:jc w:val="center"/>
      </w:pPr>
      <w:r>
        <w:rPr>
          <w:sz w:val="20"/>
        </w:rPr>
        <w:t xml:space="preserve">АУ "Советская районная больница"</w:t>
      </w:r>
    </w:p>
    <w:p>
      <w:pPr>
        <w:pStyle w:val="0"/>
        <w:jc w:val="center"/>
      </w:pPr>
      <w:r>
        <w:rPr>
          <w:sz w:val="20"/>
        </w:rPr>
      </w:r>
    </w:p>
    <w:p>
      <w:pPr>
        <w:pStyle w:val="0"/>
        <w:ind w:firstLine="540"/>
        <w:jc w:val="both"/>
      </w:pPr>
      <w:r>
        <w:rPr>
          <w:sz w:val="20"/>
        </w:rPr>
        <w:t xml:space="preserve">Статус - первичное сосудистое отделение.</w:t>
      </w:r>
    </w:p>
    <w:p>
      <w:pPr>
        <w:pStyle w:val="0"/>
        <w:spacing w:before="200" w:line-rule="auto"/>
        <w:ind w:firstLine="540"/>
        <w:jc w:val="both"/>
      </w:pPr>
      <w:r>
        <w:rPr>
          <w:sz w:val="20"/>
        </w:rPr>
        <w:t xml:space="preserve">Зона обслуживания - город Советский, городское поселение Агириш, городское поселение Зеленоборск, городское поселение Коммунистический.</w:t>
      </w:r>
    </w:p>
    <w:p>
      <w:pPr>
        <w:pStyle w:val="0"/>
        <w:spacing w:before="200" w:line-rule="auto"/>
        <w:ind w:firstLine="540"/>
        <w:jc w:val="both"/>
      </w:pPr>
      <w:r>
        <w:rPr>
          <w:sz w:val="20"/>
        </w:rPr>
        <w:t xml:space="preserve">Зона обслуживания СМП: город Советский, городское поселение Агириш, городские поселения Зеленоборск, Коммунистический.</w:t>
      </w:r>
    </w:p>
    <w:p>
      <w:pPr>
        <w:pStyle w:val="0"/>
        <w:spacing w:before="200" w:line-rule="auto"/>
        <w:ind w:firstLine="540"/>
        <w:jc w:val="both"/>
      </w:pPr>
      <w:r>
        <w:rPr>
          <w:sz w:val="20"/>
        </w:rPr>
        <w:t xml:space="preserve">Количество прикрепленного населения - 37015 человек, в т.ч.: городское - 37015, сельское - 0.</w:t>
      </w:r>
    </w:p>
    <w:p>
      <w:pPr>
        <w:pStyle w:val="0"/>
        <w:spacing w:before="200" w:line-rule="auto"/>
        <w:ind w:firstLine="540"/>
        <w:jc w:val="both"/>
      </w:pPr>
      <w:r>
        <w:rPr>
          <w:sz w:val="20"/>
        </w:rPr>
        <w:t xml:space="preserve">Общее количество коек - 157, в т.ч.: терапевтические - 18, кардиологические - 2, неврологические - 20, в том числе 5 для пациентов с ОНМК, реанимационные - 6.</w:t>
      </w:r>
    </w:p>
    <w:p>
      <w:pPr>
        <w:pStyle w:val="0"/>
        <w:spacing w:before="200" w:line-rule="auto"/>
        <w:ind w:firstLine="540"/>
        <w:jc w:val="both"/>
      </w:pPr>
      <w:r>
        <w:rPr>
          <w:sz w:val="20"/>
        </w:rPr>
        <w:t xml:space="preserve">АУ "Советская районная больница" укомплектована: врачами-кардиологами поликлиники на 89%, терапевтами - на 69%, неврологами - на 55%, анестезиологами-реаниматологами - на 83%, физиотерапевтами - на 100%. В стационаре штатных должностей врачей-кардиологов нет.</w:t>
      </w:r>
    </w:p>
    <w:p>
      <w:pPr>
        <w:pStyle w:val="0"/>
        <w:spacing w:before="200" w:line-rule="auto"/>
        <w:ind w:firstLine="540"/>
        <w:jc w:val="both"/>
      </w:pPr>
      <w:r>
        <w:rPr>
          <w:sz w:val="20"/>
        </w:rPr>
        <w:t xml:space="preserve">Имеется оборудование для УЗИ сосудов (ТКДГ, для дуплексного сканирования экстракраниальных сосудов), ЭХО-КГ, для проведения нагрузочных проб, велоэргометрии, оборудование для суточного мониторирования ЭКГ и АД. КТ работает в круглосуточном режиме. Есть возможность для круглосуточного проведения Эхо-КГ.</w:t>
      </w:r>
    </w:p>
    <w:p>
      <w:pPr>
        <w:pStyle w:val="0"/>
        <w:spacing w:before="200" w:line-rule="auto"/>
        <w:ind w:firstLine="540"/>
        <w:jc w:val="both"/>
      </w:pPr>
      <w:r>
        <w:rPr>
          <w:sz w:val="20"/>
        </w:rPr>
        <w:t xml:space="preserve">Служба скорой медицинской помощи укомплектована врачами на 50%, фельдшерами на 78%. Автомобилями класса В и С оснащены 5 бригад, укомплектованы 2 сотрудниками 2 бригады: выездной врач и фельдшер - 1, 2 фельдшерами - 1.</w:t>
      </w:r>
    </w:p>
    <w:p>
      <w:pPr>
        <w:pStyle w:val="0"/>
        <w:spacing w:before="200" w:line-rule="auto"/>
        <w:ind w:firstLine="540"/>
        <w:jc w:val="both"/>
      </w:pPr>
      <w:r>
        <w:rPr>
          <w:sz w:val="20"/>
        </w:rPr>
        <w:t xml:space="preserve">Удельный вес пациентов с ОКСпST, которым проведен тромболизис, составляет 68,8% (11 из 16). Не проводится догоспитальный тромболизис.</w:t>
      </w:r>
    </w:p>
    <w:p>
      <w:pPr>
        <w:pStyle w:val="0"/>
        <w:spacing w:before="200" w:line-rule="auto"/>
        <w:ind w:firstLine="540"/>
        <w:jc w:val="both"/>
      </w:pPr>
      <w:r>
        <w:rPr>
          <w:sz w:val="20"/>
        </w:rPr>
        <w:t xml:space="preserve">Из числа госпитализированных пациентов с ОКС проконсультированы в РСЦ 100% (45 пациентов), переведены в РСЦ 41 пациент (91%). В 2022 году с ОНМК госпитализированы 77 пациентов, из них с инфарктом мозга 59, внутримозговым кровоизлиянием 17, субарахноидальным кровоизлиянием 1. ТЛТ проведена 5 пациентам. Переведены в РСЦ 4 пациента.</w:t>
      </w:r>
    </w:p>
    <w:p>
      <w:pPr>
        <w:pStyle w:val="0"/>
        <w:spacing w:before="200" w:line-rule="auto"/>
        <w:ind w:firstLine="540"/>
        <w:jc w:val="both"/>
      </w:pPr>
      <w:r>
        <w:rPr>
          <w:sz w:val="20"/>
        </w:rPr>
        <w:t xml:space="preserve">Летальность от БСК в 2022 году составила 5,5%, от ИМ - 0%, от ОНМК - 14,1%. Летальность от ИБС - 11,1%, от ХИБС - 22,7%.</w:t>
      </w:r>
    </w:p>
    <w:p>
      <w:pPr>
        <w:pStyle w:val="0"/>
        <w:jc w:val="center"/>
      </w:pPr>
      <w:r>
        <w:rPr>
          <w:sz w:val="20"/>
        </w:rPr>
      </w:r>
    </w:p>
    <w:p>
      <w:pPr>
        <w:pStyle w:val="2"/>
        <w:outlineLvl w:val="4"/>
        <w:jc w:val="center"/>
      </w:pPr>
      <w:r>
        <w:rPr>
          <w:sz w:val="20"/>
        </w:rPr>
        <w:t xml:space="preserve">БУ "Октябрьская районная больница"</w:t>
      </w:r>
    </w:p>
    <w:p>
      <w:pPr>
        <w:pStyle w:val="0"/>
        <w:jc w:val="center"/>
      </w:pPr>
      <w:r>
        <w:rPr>
          <w:sz w:val="20"/>
        </w:rPr>
      </w:r>
    </w:p>
    <w:p>
      <w:pPr>
        <w:pStyle w:val="0"/>
        <w:ind w:firstLine="540"/>
        <w:jc w:val="both"/>
      </w:pPr>
      <w:r>
        <w:rPr>
          <w:sz w:val="20"/>
        </w:rPr>
        <w:t xml:space="preserve">Статус - первичное сосудистое отделение.</w:t>
      </w:r>
    </w:p>
    <w:p>
      <w:pPr>
        <w:pStyle w:val="0"/>
        <w:spacing w:before="200" w:line-rule="auto"/>
        <w:ind w:firstLine="540"/>
        <w:jc w:val="both"/>
      </w:pPr>
      <w:r>
        <w:rPr>
          <w:sz w:val="20"/>
        </w:rPr>
        <w:t xml:space="preserve">Зона обслуживания - поселок городского типа Октябрьское; поселок Кормужиханка, село Большой Камень, городское поселение Андра, городское поселение Приобье, сельское поселение Сергино, сельское поселение Унъюган, село Перегребное, деревня Чемаши, сельское поселение Шеркалы, сельское поселение Малый Атлым, село Заречный, поселок Комсомольский, село Большой Атлым, поселок Большие Леуши, сельское поселение Карымкары, поселок Горнореченск.</w:t>
      </w:r>
    </w:p>
    <w:p>
      <w:pPr>
        <w:pStyle w:val="0"/>
        <w:spacing w:before="200" w:line-rule="auto"/>
        <w:ind w:firstLine="540"/>
        <w:jc w:val="both"/>
      </w:pPr>
      <w:r>
        <w:rPr>
          <w:sz w:val="20"/>
        </w:rPr>
        <w:t xml:space="preserve">Зона обслуживания СМП: городское поселение Приобье - 32 км, 9098 чел., п. Ун-Юган - 20 км, 5044 чел., поселок городского типа Октябрьское - 35 км, 6084 чел., село Перегребное - 17 км, 3419 чел.</w:t>
      </w:r>
    </w:p>
    <w:p>
      <w:pPr>
        <w:pStyle w:val="0"/>
        <w:spacing w:before="200" w:line-rule="auto"/>
        <w:ind w:firstLine="540"/>
        <w:jc w:val="both"/>
      </w:pPr>
      <w:r>
        <w:rPr>
          <w:sz w:val="20"/>
        </w:rPr>
        <w:t xml:space="preserve">Количество прикрепленного населения - 27099 человек, в т.ч.: городское население - 13245 человек, сельское население - 13854 человека.</w:t>
      </w:r>
    </w:p>
    <w:p>
      <w:pPr>
        <w:pStyle w:val="0"/>
        <w:spacing w:before="200" w:line-rule="auto"/>
        <w:ind w:firstLine="540"/>
        <w:jc w:val="both"/>
      </w:pPr>
      <w:r>
        <w:rPr>
          <w:sz w:val="20"/>
        </w:rPr>
        <w:t xml:space="preserve">Общий коечный фонд БУ "Октябрьская районная больница", включающей в себя также 6 участковых больниц, насчитывает 188 коек, в т.ч.: 80 терапевтических, 4 реанимационных.</w:t>
      </w:r>
    </w:p>
    <w:p>
      <w:pPr>
        <w:pStyle w:val="0"/>
        <w:spacing w:before="200" w:line-rule="auto"/>
        <w:ind w:firstLine="540"/>
        <w:jc w:val="both"/>
      </w:pPr>
      <w:r>
        <w:rPr>
          <w:sz w:val="20"/>
        </w:rPr>
        <w:t xml:space="preserve">Коечный фонд БУ "Октябрьская районная больница" в поселке городского типа Октябрьское, на базе которой функционирует первичное сосудистое отделение, насчитывает 80 коек, в т.ч.: терапевтические - 20, кардиологические - 1, реанимационные - 2.</w:t>
      </w:r>
    </w:p>
    <w:p>
      <w:pPr>
        <w:pStyle w:val="0"/>
        <w:spacing w:before="200" w:line-rule="auto"/>
        <w:ind w:firstLine="540"/>
        <w:jc w:val="both"/>
      </w:pPr>
      <w:r>
        <w:rPr>
          <w:sz w:val="20"/>
        </w:rPr>
        <w:t xml:space="preserve">БУ "Октябрьская районная больница" укомплектована: врачами-терапевтами - на 80%, неврологами - на 89,0%, анестезиологами-реаниматологами - на 85%.</w:t>
      </w:r>
    </w:p>
    <w:p>
      <w:pPr>
        <w:pStyle w:val="0"/>
        <w:spacing w:before="200" w:line-rule="auto"/>
        <w:ind w:firstLine="540"/>
        <w:jc w:val="both"/>
      </w:pPr>
      <w:r>
        <w:rPr>
          <w:sz w:val="20"/>
        </w:rPr>
        <w:t xml:space="preserve">Имеется оборудование для УЗИ сосудов, ТКДГ, ЭХО-КГ, суточного мониторирования ЭКГ, АД, ВЭМ, для проведения нагрузочных проб.</w:t>
      </w:r>
    </w:p>
    <w:p>
      <w:pPr>
        <w:pStyle w:val="0"/>
        <w:spacing w:before="200" w:line-rule="auto"/>
        <w:ind w:firstLine="540"/>
        <w:jc w:val="both"/>
      </w:pPr>
      <w:r>
        <w:rPr>
          <w:sz w:val="20"/>
        </w:rPr>
        <w:t xml:space="preserve">Служба скорой медицинской помощи укомплектована 16 бригадами, оснащена необходимым оборудованием. Все бригады оснащены автомобилями класса В, укомплектованы 2 фельдшерами.</w:t>
      </w:r>
    </w:p>
    <w:p>
      <w:pPr>
        <w:pStyle w:val="0"/>
        <w:spacing w:before="200" w:line-rule="auto"/>
        <w:ind w:firstLine="540"/>
        <w:jc w:val="both"/>
      </w:pPr>
      <w:r>
        <w:rPr>
          <w:sz w:val="20"/>
        </w:rPr>
        <w:t xml:space="preserve">Нет возможности дистанционной передачи и расшифровки ЭКГ (для передачи используются мессенджеры WhatsApp, Viber).</w:t>
      </w:r>
    </w:p>
    <w:p>
      <w:pPr>
        <w:pStyle w:val="0"/>
        <w:spacing w:before="200" w:line-rule="auto"/>
        <w:ind w:firstLine="540"/>
        <w:jc w:val="both"/>
      </w:pPr>
      <w:r>
        <w:rPr>
          <w:sz w:val="20"/>
        </w:rPr>
        <w:t xml:space="preserve">Из 34 поступивших пациентов с ОКС 34 (100%) переведены в РСЦ.</w:t>
      </w:r>
    </w:p>
    <w:p>
      <w:pPr>
        <w:pStyle w:val="0"/>
        <w:spacing w:before="200" w:line-rule="auto"/>
        <w:ind w:firstLine="540"/>
        <w:jc w:val="both"/>
      </w:pPr>
      <w:r>
        <w:rPr>
          <w:sz w:val="20"/>
        </w:rPr>
        <w:t xml:space="preserve">Летальность от БСК в 2022 году составила 0,5%, от ИМ - 2, от ЦВБ - 2.</w:t>
      </w:r>
    </w:p>
    <w:p>
      <w:pPr>
        <w:pStyle w:val="0"/>
        <w:jc w:val="center"/>
      </w:pPr>
      <w:r>
        <w:rPr>
          <w:sz w:val="20"/>
        </w:rPr>
      </w:r>
    </w:p>
    <w:p>
      <w:pPr>
        <w:pStyle w:val="2"/>
        <w:outlineLvl w:val="4"/>
        <w:jc w:val="center"/>
      </w:pPr>
      <w:r>
        <w:rPr>
          <w:sz w:val="20"/>
        </w:rPr>
        <w:t xml:space="preserve">БУ "Мегионская городская больница"</w:t>
      </w:r>
    </w:p>
    <w:p>
      <w:pPr>
        <w:pStyle w:val="0"/>
        <w:jc w:val="center"/>
      </w:pPr>
      <w:r>
        <w:rPr>
          <w:sz w:val="20"/>
        </w:rPr>
      </w:r>
    </w:p>
    <w:p>
      <w:pPr>
        <w:pStyle w:val="0"/>
        <w:ind w:firstLine="540"/>
        <w:jc w:val="both"/>
      </w:pPr>
      <w:r>
        <w:rPr>
          <w:sz w:val="20"/>
        </w:rPr>
        <w:t xml:space="preserve">Статус - первичное сосудистое отделение.</w:t>
      </w:r>
    </w:p>
    <w:p>
      <w:pPr>
        <w:pStyle w:val="0"/>
        <w:spacing w:before="200" w:line-rule="auto"/>
        <w:ind w:firstLine="540"/>
        <w:jc w:val="both"/>
      </w:pPr>
      <w:r>
        <w:rPr>
          <w:sz w:val="20"/>
        </w:rPr>
        <w:t xml:space="preserve">Зона обслуживания СМП: город Мегион, поселок городского типа Высокий, сельское поселение Вата, сельское поселение Покур, автодорога Сургут - Нижневартовск 155 - 205 км.</w:t>
      </w:r>
    </w:p>
    <w:p>
      <w:pPr>
        <w:pStyle w:val="0"/>
        <w:spacing w:before="200" w:line-rule="auto"/>
        <w:ind w:firstLine="540"/>
        <w:jc w:val="both"/>
      </w:pPr>
      <w:r>
        <w:rPr>
          <w:sz w:val="20"/>
        </w:rPr>
        <w:t xml:space="preserve">Количество прикрепленного населения - 59 424 человека.</w:t>
      </w:r>
    </w:p>
    <w:p>
      <w:pPr>
        <w:pStyle w:val="0"/>
        <w:spacing w:before="200" w:line-rule="auto"/>
        <w:ind w:firstLine="540"/>
        <w:jc w:val="both"/>
      </w:pPr>
      <w:r>
        <w:rPr>
          <w:sz w:val="20"/>
        </w:rPr>
        <w:t xml:space="preserve">Общее количество коек - 296, в т.ч.: кардиологические - 15, терапевтические - 25, неврологические - 25, реанимационные - 12, инфекционные 35, из них COVID-19 - 16.</w:t>
      </w:r>
    </w:p>
    <w:p>
      <w:pPr>
        <w:pStyle w:val="0"/>
        <w:spacing w:before="200" w:line-rule="auto"/>
        <w:ind w:firstLine="540"/>
        <w:jc w:val="both"/>
      </w:pPr>
      <w:r>
        <w:rPr>
          <w:sz w:val="20"/>
        </w:rPr>
        <w:t xml:space="preserve">БУ "Мегионская городская больница" укомплектована: врачами-кардиологами стационара на 100%, амбулаторного звена - на 50%; неврологами - на 78,4%, анестезиологами-реаниматологами - на 45,2%, физиотерапевтами - на 57,1%, психологами - на 75%, инструкторами-методистами ЛФК - на 100%.</w:t>
      </w:r>
    </w:p>
    <w:p>
      <w:pPr>
        <w:pStyle w:val="0"/>
        <w:spacing w:before="200" w:line-rule="auto"/>
        <w:ind w:firstLine="540"/>
        <w:jc w:val="both"/>
      </w:pPr>
      <w:r>
        <w:rPr>
          <w:sz w:val="20"/>
        </w:rPr>
        <w:t xml:space="preserve">Имеется оборудование для УЗИ сосудов, ТКДГ, ЭХО-КГ, ВЭМ, суточного мониторирования ЭКГ, имеется возможность круглосуточного проведения ЭХО-КГ. Аппарат КТ работает в круглосуточном режиме. В стационаре нет оборудования для проведения нагрузочных тестов.</w:t>
      </w:r>
    </w:p>
    <w:p>
      <w:pPr>
        <w:pStyle w:val="0"/>
        <w:spacing w:before="200" w:line-rule="auto"/>
        <w:ind w:firstLine="540"/>
        <w:jc w:val="both"/>
      </w:pPr>
      <w:r>
        <w:rPr>
          <w:sz w:val="20"/>
        </w:rPr>
        <w:t xml:space="preserve">Служба скорой медицинской помощи укомплектована врачами на 26,6%, фельдшерами - на 78,5%. Оснащена необходимым оборудованием. Все бригады оснащены автомобилями класса В, укомплектованы 2 сотрудниками: выездной врач и фельдшер - 1 бригада, 2 фельдшерами - 4 бригады.</w:t>
      </w:r>
    </w:p>
    <w:p>
      <w:pPr>
        <w:pStyle w:val="0"/>
        <w:spacing w:before="200" w:line-rule="auto"/>
        <w:ind w:firstLine="540"/>
        <w:jc w:val="both"/>
      </w:pPr>
      <w:r>
        <w:rPr>
          <w:sz w:val="20"/>
        </w:rPr>
        <w:t xml:space="preserve">Из 23 поступивших пациентов с ОКС 22 (95,6%) переведены в РСЦ.</w:t>
      </w:r>
    </w:p>
    <w:p>
      <w:pPr>
        <w:pStyle w:val="0"/>
        <w:spacing w:before="200" w:line-rule="auto"/>
        <w:ind w:firstLine="540"/>
        <w:jc w:val="both"/>
      </w:pPr>
      <w:r>
        <w:rPr>
          <w:sz w:val="20"/>
        </w:rPr>
        <w:t xml:space="preserve">В 2022 году с ОНМК госпитализирован 91 пациент, из них с инфарктом мозга 77, внутримозговым кровоизлиянием 10, субарахноидальным кровоизлиянием 4. ТЛТ проведена 5 пациентам. Переведены в РСЦ 7 пациентов.</w:t>
      </w:r>
    </w:p>
    <w:p>
      <w:pPr>
        <w:pStyle w:val="0"/>
        <w:spacing w:before="200" w:line-rule="auto"/>
        <w:ind w:firstLine="540"/>
        <w:jc w:val="both"/>
      </w:pPr>
      <w:r>
        <w:rPr>
          <w:sz w:val="20"/>
        </w:rPr>
        <w:t xml:space="preserve">Летальность от БСК в 2022 году составила 3,3%, от ИМ - 0, от ОНМК - 5,9%. Высокую летальность от ИБС - 19,5% (средняя в автономном округе 3,8%), от ХИБС 44,1%, кардиомиопатий - 45,4%.</w:t>
      </w:r>
    </w:p>
    <w:p>
      <w:pPr>
        <w:pStyle w:val="0"/>
        <w:ind w:firstLine="540"/>
        <w:jc w:val="both"/>
      </w:pPr>
      <w:r>
        <w:rPr>
          <w:sz w:val="20"/>
        </w:rPr>
      </w:r>
    </w:p>
    <w:p>
      <w:pPr>
        <w:pStyle w:val="2"/>
        <w:outlineLvl w:val="4"/>
        <w:jc w:val="center"/>
      </w:pPr>
      <w:r>
        <w:rPr>
          <w:sz w:val="20"/>
        </w:rPr>
        <w:t xml:space="preserve">БУ "Радужнинская городская больница"</w:t>
      </w:r>
    </w:p>
    <w:p>
      <w:pPr>
        <w:pStyle w:val="0"/>
        <w:jc w:val="center"/>
      </w:pPr>
      <w:r>
        <w:rPr>
          <w:sz w:val="20"/>
        </w:rPr>
      </w:r>
    </w:p>
    <w:p>
      <w:pPr>
        <w:pStyle w:val="0"/>
        <w:ind w:firstLine="540"/>
        <w:jc w:val="both"/>
      </w:pPr>
      <w:r>
        <w:rPr>
          <w:sz w:val="20"/>
        </w:rPr>
        <w:t xml:space="preserve">Статус - первичное сосудистое отделение.</w:t>
      </w:r>
    </w:p>
    <w:p>
      <w:pPr>
        <w:pStyle w:val="0"/>
        <w:spacing w:before="200" w:line-rule="auto"/>
        <w:ind w:firstLine="540"/>
        <w:jc w:val="both"/>
      </w:pPr>
      <w:r>
        <w:rPr>
          <w:sz w:val="20"/>
        </w:rPr>
        <w:t xml:space="preserve">Зона обслуживания - городской округ Радужный.</w:t>
      </w:r>
    </w:p>
    <w:p>
      <w:pPr>
        <w:pStyle w:val="0"/>
        <w:spacing w:before="200" w:line-rule="auto"/>
        <w:ind w:firstLine="540"/>
        <w:jc w:val="both"/>
      </w:pPr>
      <w:r>
        <w:rPr>
          <w:sz w:val="20"/>
        </w:rPr>
        <w:t xml:space="preserve">Количество прикрепленного населения - 40 753 человека.</w:t>
      </w:r>
    </w:p>
    <w:p>
      <w:pPr>
        <w:pStyle w:val="0"/>
        <w:spacing w:before="200" w:line-rule="auto"/>
        <w:ind w:firstLine="540"/>
        <w:jc w:val="both"/>
      </w:pPr>
      <w:r>
        <w:rPr>
          <w:sz w:val="20"/>
        </w:rPr>
        <w:t xml:space="preserve">Общее количество коек - 255, в т.ч.: кардиологические - 25 (из них 10 перепрофилированы в резервный фонд COVID-19), терапевтические - 30 (из них 7 перепрофилированы в резервный фонд COVID-19), неврологические - 15, реанимационные - 7, инфекционные COVID-19 - 30.</w:t>
      </w:r>
    </w:p>
    <w:p>
      <w:pPr>
        <w:pStyle w:val="0"/>
        <w:spacing w:before="200" w:line-rule="auto"/>
        <w:ind w:firstLine="540"/>
        <w:jc w:val="both"/>
      </w:pPr>
      <w:r>
        <w:rPr>
          <w:sz w:val="20"/>
        </w:rPr>
        <w:t xml:space="preserve">Количество штатных должностей врачей-кардиологов, оказывающих медицинскую помощь в стационарных условиях, - 1,5, занятых - 0,5, физических лиц - 0.</w:t>
      </w:r>
    </w:p>
    <w:p>
      <w:pPr>
        <w:pStyle w:val="0"/>
        <w:spacing w:before="200" w:line-rule="auto"/>
        <w:ind w:firstLine="540"/>
        <w:jc w:val="both"/>
      </w:pPr>
      <w:r>
        <w:rPr>
          <w:sz w:val="20"/>
        </w:rPr>
        <w:t xml:space="preserve">Количество штатных должностей врачей-кардиологов, ведущих амбулаторный прием, - 1,0, занятых 1,0, физических лиц - 1.</w:t>
      </w:r>
    </w:p>
    <w:p>
      <w:pPr>
        <w:pStyle w:val="0"/>
        <w:spacing w:before="200" w:line-rule="auto"/>
        <w:ind w:firstLine="540"/>
        <w:jc w:val="both"/>
      </w:pPr>
      <w:r>
        <w:rPr>
          <w:sz w:val="20"/>
        </w:rPr>
        <w:t xml:space="preserve">БУ "Радужнинская городская больница" укомплектована врачами-кардиологами на 60%, терапевтами - на 89%, неврологами - 67%, анестезиологами-реаниматологами - на 93%. Укомплектованность специалистами УЗ-диагностики составляет 86%, функциональной диагностики - 83%.</w:t>
      </w:r>
    </w:p>
    <w:p>
      <w:pPr>
        <w:pStyle w:val="0"/>
        <w:spacing w:before="200" w:line-rule="auto"/>
        <w:ind w:firstLine="540"/>
        <w:jc w:val="both"/>
      </w:pPr>
      <w:r>
        <w:rPr>
          <w:sz w:val="20"/>
        </w:rPr>
        <w:t xml:space="preserve">Имеется оборудование для УЗИ сосудов, ТКДГ, ЭХО-КГ, суточного мониторирования ЭКГ, для проведения нагрузочных проб. Аппарат КТ работает в 2-сменном режиме.</w:t>
      </w:r>
    </w:p>
    <w:p>
      <w:pPr>
        <w:pStyle w:val="0"/>
        <w:spacing w:before="200" w:line-rule="auto"/>
        <w:ind w:firstLine="540"/>
        <w:jc w:val="both"/>
      </w:pPr>
      <w:r>
        <w:rPr>
          <w:sz w:val="20"/>
        </w:rPr>
        <w:t xml:space="preserve">Служба скорой медицинской помощи укомплектована врачами с учетом коэффициента совместительства - на 100%, фельдшерами на 100%. Оснащена необходимым оборудованием. Все бригады оснащены автомобилями класса В, укомплектованы 2 сотрудниками: выездной врач и фельдшер - 1 бригада, 2 фельдшерами - 3 бригады.</w:t>
      </w:r>
    </w:p>
    <w:p>
      <w:pPr>
        <w:pStyle w:val="0"/>
        <w:spacing w:before="200" w:line-rule="auto"/>
        <w:ind w:firstLine="540"/>
        <w:jc w:val="both"/>
      </w:pPr>
      <w:r>
        <w:rPr>
          <w:sz w:val="20"/>
        </w:rPr>
        <w:t xml:space="preserve">В 2022 году из 73 пролеченных пациентов с ОКС 72 (98%) переведены в РСЦ, удельный вес переведенных на этап ВМП достаточен, ТЛТ проводится в достаточном объеме (84% от числа ОКС пST), удельный вес догоспитального ТЛТ недостаточен (26,3%).</w:t>
      </w:r>
    </w:p>
    <w:p>
      <w:pPr>
        <w:pStyle w:val="0"/>
        <w:spacing w:before="200" w:line-rule="auto"/>
        <w:ind w:firstLine="540"/>
        <w:jc w:val="both"/>
      </w:pPr>
      <w:r>
        <w:rPr>
          <w:sz w:val="20"/>
        </w:rPr>
        <w:t xml:space="preserve">С ОНМК госпитализированы - 72 пациента, из них: с инфарктом мозга - 53, внутримозговым кровоизлиянием 5, субарахноидальным кровоизлиянием - 3, субарахноидальное кровоизлияние и внутримозговая гематома - 2, инсульт неуточненный как кровоизлияние или инфаркт - 14, ТЛТ - 1 пациент. Перевод в РСЦ в 93% случаев.</w:t>
      </w:r>
    </w:p>
    <w:p>
      <w:pPr>
        <w:pStyle w:val="0"/>
        <w:spacing w:before="200" w:line-rule="auto"/>
        <w:ind w:firstLine="540"/>
        <w:jc w:val="both"/>
      </w:pPr>
      <w:r>
        <w:rPr>
          <w:sz w:val="20"/>
        </w:rPr>
        <w:t xml:space="preserve">Смертность от БСК составила 234,1 на 100 тыс. населения, что ниже целевого показателя.</w:t>
      </w:r>
    </w:p>
    <w:p>
      <w:pPr>
        <w:pStyle w:val="0"/>
        <w:spacing w:before="200" w:line-rule="auto"/>
        <w:ind w:firstLine="540"/>
        <w:jc w:val="both"/>
      </w:pPr>
      <w:r>
        <w:rPr>
          <w:sz w:val="20"/>
        </w:rPr>
        <w:t xml:space="preserve">Летальность от БСК 4,2%, от ОНМК - 33,3%, от ИБС - 21,8%, ОИМ - 100%.</w:t>
      </w:r>
    </w:p>
    <w:p>
      <w:pPr>
        <w:pStyle w:val="0"/>
        <w:ind w:firstLine="540"/>
        <w:jc w:val="both"/>
      </w:pPr>
      <w:r>
        <w:rPr>
          <w:sz w:val="20"/>
        </w:rPr>
      </w:r>
    </w:p>
    <w:p>
      <w:pPr>
        <w:pStyle w:val="2"/>
        <w:outlineLvl w:val="4"/>
        <w:jc w:val="center"/>
      </w:pPr>
      <w:r>
        <w:rPr>
          <w:sz w:val="20"/>
        </w:rPr>
        <w:t xml:space="preserve">БУ "Югорская городская больница"</w:t>
      </w:r>
    </w:p>
    <w:p>
      <w:pPr>
        <w:pStyle w:val="0"/>
        <w:jc w:val="center"/>
      </w:pPr>
      <w:r>
        <w:rPr>
          <w:sz w:val="20"/>
        </w:rPr>
      </w:r>
    </w:p>
    <w:p>
      <w:pPr>
        <w:pStyle w:val="0"/>
        <w:ind w:firstLine="540"/>
        <w:jc w:val="both"/>
      </w:pPr>
      <w:r>
        <w:rPr>
          <w:sz w:val="20"/>
        </w:rPr>
        <w:t xml:space="preserve">Статус - первичное сосудистое отделение.</w:t>
      </w:r>
    </w:p>
    <w:p>
      <w:pPr>
        <w:pStyle w:val="0"/>
        <w:spacing w:before="200" w:line-rule="auto"/>
        <w:ind w:firstLine="540"/>
        <w:jc w:val="both"/>
      </w:pPr>
      <w:r>
        <w:rPr>
          <w:sz w:val="20"/>
        </w:rPr>
        <w:t xml:space="preserve">Зона обслуживания - городской округ Югорск. Зона обслуживания: городской округ Югорск. Радиус обслуживания 12 км, без учета прикрытия федеральных автодорог.</w:t>
      </w:r>
    </w:p>
    <w:p>
      <w:pPr>
        <w:pStyle w:val="0"/>
        <w:spacing w:before="200" w:line-rule="auto"/>
        <w:ind w:firstLine="540"/>
        <w:jc w:val="both"/>
      </w:pPr>
      <w:r>
        <w:rPr>
          <w:sz w:val="20"/>
        </w:rPr>
        <w:t xml:space="preserve">Количество прикрепленного населения - 38430 человек.</w:t>
      </w:r>
    </w:p>
    <w:p>
      <w:pPr>
        <w:pStyle w:val="0"/>
        <w:spacing w:before="200" w:line-rule="auto"/>
        <w:ind w:firstLine="540"/>
        <w:jc w:val="both"/>
      </w:pPr>
      <w:r>
        <w:rPr>
          <w:sz w:val="20"/>
        </w:rPr>
        <w:t xml:space="preserve">Общее количество коек - 217, в т.ч.: терапевтические - 31, неврологические - 22 (из них для больных с острыми нарушениями мозгового кровообращения - 5) реанимационные - 9 (из них интенсивной терапии для новорожденных - 3). Кардиологических коек - 2. Инфекционные - 30.</w:t>
      </w:r>
    </w:p>
    <w:p>
      <w:pPr>
        <w:pStyle w:val="0"/>
        <w:spacing w:before="200" w:line-rule="auto"/>
        <w:ind w:firstLine="540"/>
        <w:jc w:val="both"/>
      </w:pPr>
      <w:r>
        <w:rPr>
          <w:sz w:val="20"/>
        </w:rPr>
        <w:t xml:space="preserve">БУ "Югорская городская больница" укомплектована врачами-кардиологами поликлиники на 100%, терапевтами - на 78,4%, неврологами - на 60,6%, врачами по ультразвуковой диагностике - на 55,2%, по функциональной диагностике - на 66,7%, анестезиологами-реаниматологами - на 70%, физиотерапевтами - на 50%. В стационаре штатных должностей врачей-кардиологов нет, имеется переподготовка по кардиологии у заведующего отделением терапии.</w:t>
      </w:r>
    </w:p>
    <w:p>
      <w:pPr>
        <w:pStyle w:val="0"/>
        <w:spacing w:before="200" w:line-rule="auto"/>
        <w:ind w:firstLine="540"/>
        <w:jc w:val="both"/>
      </w:pPr>
      <w:r>
        <w:rPr>
          <w:sz w:val="20"/>
        </w:rPr>
        <w:t xml:space="preserve">Имеется оборудование для УЗИ сосудов, ТКДГ, ЭХО-КГ, суточного мониторирования ЭКГ, АД. Аппарат КТ работает в 2-сменном режиме.</w:t>
      </w:r>
    </w:p>
    <w:p>
      <w:pPr>
        <w:pStyle w:val="0"/>
        <w:spacing w:before="200" w:line-rule="auto"/>
        <w:ind w:firstLine="540"/>
        <w:jc w:val="both"/>
      </w:pPr>
      <w:r>
        <w:rPr>
          <w:sz w:val="20"/>
        </w:rPr>
        <w:t xml:space="preserve">Служба скорой медицинской помощи укомплектована врачами - на 74,1%, фельдшерами на 100%. Оснащена необходимым оборудованием. Все бригады оснащены автомобилями класса В, укомплектованы 2 сотрудниками: выездной врач и фельдшер - 1 бригада, 2 фельдшерами - 2 бригады. Нет возможности дистанционной передачи и расшифровки ЭКГ.</w:t>
      </w:r>
    </w:p>
    <w:p>
      <w:pPr>
        <w:pStyle w:val="0"/>
        <w:spacing w:before="200" w:line-rule="auto"/>
        <w:ind w:firstLine="540"/>
        <w:jc w:val="both"/>
      </w:pPr>
      <w:r>
        <w:rPr>
          <w:sz w:val="20"/>
        </w:rPr>
        <w:t xml:space="preserve">Удельный вес пациентов с ОКСпST, которым проведен тромболизис, составляет 95,0% (38 из 40). Догоспитальный тромболизис - 13 (34,2%).</w:t>
      </w:r>
    </w:p>
    <w:p>
      <w:pPr>
        <w:pStyle w:val="0"/>
        <w:spacing w:before="200" w:line-rule="auto"/>
        <w:ind w:firstLine="540"/>
        <w:jc w:val="both"/>
      </w:pPr>
      <w:r>
        <w:rPr>
          <w:sz w:val="20"/>
        </w:rPr>
        <w:t xml:space="preserve">Из 88 госпитализированных пациентов с ОКС 77 (87,5%) переведены в РСЦ.</w:t>
      </w:r>
    </w:p>
    <w:p>
      <w:pPr>
        <w:pStyle w:val="0"/>
        <w:spacing w:before="200" w:line-rule="auto"/>
        <w:ind w:firstLine="540"/>
        <w:jc w:val="both"/>
      </w:pPr>
      <w:r>
        <w:rPr>
          <w:sz w:val="20"/>
        </w:rPr>
        <w:t xml:space="preserve">В 2022 году с ОНМК госпитализированы 84 пациента, из них с инфарктом мозга 70, внутримозговым кровоизлиянием 11, субарахноидальное кровоизлияние - 3 чел. Переведено в РСЦ 6 пациентов.</w:t>
      </w:r>
    </w:p>
    <w:p>
      <w:pPr>
        <w:pStyle w:val="0"/>
        <w:spacing w:before="200" w:line-rule="auto"/>
        <w:ind w:firstLine="540"/>
        <w:jc w:val="both"/>
      </w:pPr>
      <w:r>
        <w:rPr>
          <w:sz w:val="20"/>
        </w:rPr>
        <w:t xml:space="preserve">Летальность от БСК - 4,5%, близка к среднеокружному показателю; от ИБС - 27,3%, выше средней по автономному округу (4,4%); летальность от ХИБС - 57,1%, от ИМ - 70,0%, от ОНМК - 7,7% (ниже средней по автономному округу).</w:t>
      </w:r>
    </w:p>
    <w:p>
      <w:pPr>
        <w:pStyle w:val="0"/>
        <w:ind w:firstLine="540"/>
        <w:jc w:val="both"/>
      </w:pPr>
      <w:r>
        <w:rPr>
          <w:sz w:val="20"/>
        </w:rPr>
      </w:r>
    </w:p>
    <w:p>
      <w:pPr>
        <w:pStyle w:val="2"/>
        <w:outlineLvl w:val="3"/>
        <w:ind w:firstLine="540"/>
        <w:jc w:val="both"/>
      </w:pPr>
      <w:r>
        <w:rPr>
          <w:sz w:val="20"/>
        </w:rPr>
        <w:t xml:space="preserve">1.5.2. Ведение в автономном округе баз данных регистров, реестров больных с сердечно-сосудистыми заболеваниями</w:t>
      </w:r>
    </w:p>
    <w:p>
      <w:pPr>
        <w:pStyle w:val="0"/>
        <w:ind w:firstLine="540"/>
        <w:jc w:val="both"/>
      </w:pPr>
      <w:r>
        <w:rPr>
          <w:sz w:val="20"/>
        </w:rPr>
      </w:r>
    </w:p>
    <w:p>
      <w:pPr>
        <w:pStyle w:val="0"/>
        <w:ind w:firstLine="540"/>
        <w:jc w:val="both"/>
      </w:pPr>
      <w:r>
        <w:rPr>
          <w:sz w:val="20"/>
        </w:rPr>
        <w:t xml:space="preserve">В 2022 году все 94 медицинские организации и 138 их территориально удаленных подразделений подключены к корпоративной сети передачи данных.</w:t>
      </w:r>
    </w:p>
    <w:p>
      <w:pPr>
        <w:pStyle w:val="0"/>
        <w:spacing w:before="200" w:line-rule="auto"/>
        <w:ind w:firstLine="540"/>
        <w:jc w:val="both"/>
      </w:pPr>
      <w:r>
        <w:rPr>
          <w:sz w:val="20"/>
        </w:rPr>
        <w:t xml:space="preserve">Для создания интегрированной электронной карты и объединения медицинских информационных систем в единое информационное пространство осуществляется выгрузка 17 типов первичных медицинских документов в региональную государственную информационную систему в сфере здравоохранения, 12 064 АРМ в 82 медицинских организациях подключены к МИС и ЗСПД, в 76 медицинских организациях функционирует сервис "Интернет-регистратура", интегрированный с личным кабинетом пациента "Мое здоровье" на Едином портале государственных услуг (далее - ЕПГУ). С использованием интернет-регистратуры, терминалов самозаписи, ЕПГУ, мобильного приложения "Электронный кабинет пациента" и контакт-центра Депздрава Югры на прием к врачу в 2022 году осуществлено более 2,5 млн записей.</w:t>
      </w:r>
    </w:p>
    <w:p>
      <w:pPr>
        <w:pStyle w:val="0"/>
        <w:spacing w:before="200" w:line-rule="auto"/>
        <w:ind w:firstLine="540"/>
        <w:jc w:val="both"/>
      </w:pPr>
      <w:r>
        <w:rPr>
          <w:sz w:val="20"/>
        </w:rPr>
        <w:t xml:space="preserve">Реализована возможность на портале "Электронная регистратура Югры" (https://er.dzhmao.ru/) записаться на прохождение вакцинации против новой коронавирусной инфекции.</w:t>
      </w:r>
    </w:p>
    <w:p>
      <w:pPr>
        <w:pStyle w:val="0"/>
        <w:spacing w:before="200" w:line-rule="auto"/>
        <w:ind w:firstLine="540"/>
        <w:jc w:val="both"/>
      </w:pPr>
      <w:r>
        <w:rPr>
          <w:sz w:val="20"/>
        </w:rPr>
        <w:t xml:space="preserve">В региональном центре обработки медицинских данных запущена региональная медицинская информационная система, которая является частью регионального сегмента Единой государственной информационной системы в сфере здравоохранения и позволяет работать медицинским организациям с единой электронной медицинской картой пациента. Всего за 2022 год в региональный центр обработки медицинских данных из медицинских организаций передано более 10 миллионов медицинских документов на 940 тысяч уникальных пациентов.</w:t>
      </w:r>
    </w:p>
    <w:p>
      <w:pPr>
        <w:pStyle w:val="0"/>
        <w:spacing w:before="200" w:line-rule="auto"/>
        <w:ind w:firstLine="540"/>
        <w:jc w:val="both"/>
      </w:pPr>
      <w:r>
        <w:rPr>
          <w:sz w:val="20"/>
        </w:rPr>
        <w:t xml:space="preserve">К Центральному архиву медицинских изображений в 2022 году подключено 45 единиц, таким образом, всего подключено 129 единиц диагностического оборудования, с которого осуществляется передача медицинских изображений. По итогам 2022 года в электронном виде в архив передано 579 315 результатов диагностических исследований.</w:t>
      </w:r>
    </w:p>
    <w:p>
      <w:pPr>
        <w:pStyle w:val="0"/>
        <w:spacing w:before="200" w:line-rule="auto"/>
        <w:ind w:firstLine="540"/>
        <w:jc w:val="both"/>
      </w:pPr>
      <w:r>
        <w:rPr>
          <w:sz w:val="20"/>
        </w:rPr>
        <w:t xml:space="preserve">В 60 организациях функционирует региональная Лабораторная информационная система, интегрированная с МИС. По итогам 2022 года в электронном виде в архив передано 264 144 результата диагностических исследований.</w:t>
      </w:r>
    </w:p>
    <w:p>
      <w:pPr>
        <w:pStyle w:val="0"/>
        <w:spacing w:before="200" w:line-rule="auto"/>
        <w:ind w:firstLine="540"/>
        <w:jc w:val="both"/>
      </w:pPr>
      <w:r>
        <w:rPr>
          <w:sz w:val="20"/>
        </w:rPr>
        <w:t xml:space="preserve">В автономном округе организовано ведение 5 региональных регистров:</w:t>
      </w:r>
    </w:p>
    <w:p>
      <w:pPr>
        <w:pStyle w:val="0"/>
        <w:spacing w:before="200" w:line-rule="auto"/>
        <w:ind w:firstLine="540"/>
        <w:jc w:val="both"/>
      </w:pPr>
      <w:r>
        <w:rPr>
          <w:sz w:val="20"/>
        </w:rPr>
        <w:t xml:space="preserve">1. Регистр пациентов с БСК высокого риска.</w:t>
      </w:r>
    </w:p>
    <w:p>
      <w:pPr>
        <w:pStyle w:val="0"/>
        <w:spacing w:before="200" w:line-rule="auto"/>
        <w:ind w:firstLine="540"/>
        <w:jc w:val="both"/>
      </w:pPr>
      <w:r>
        <w:rPr>
          <w:sz w:val="20"/>
        </w:rPr>
        <w:t xml:space="preserve">Всего региональных организаций-участников 39; регистр формируется МИАЦ из сводных данных медицинских информационных систем стационаров региона, данные о пролеченных пациентах из 4 РСЦ и взятых на диспансерный учет из 36 медорганизаций выгружаются автоматически.</w:t>
      </w:r>
    </w:p>
    <w:p>
      <w:pPr>
        <w:pStyle w:val="0"/>
        <w:spacing w:before="200" w:line-rule="auto"/>
        <w:ind w:firstLine="540"/>
        <w:jc w:val="both"/>
      </w:pPr>
      <w:r>
        <w:rPr>
          <w:sz w:val="20"/>
        </w:rPr>
        <w:t xml:space="preserve">По состоянию на 1 января 2023 года регистр содержал сведения о 13 363 пациентах, из них 11 712 пациентов (87,6% из числа взятых под диспансерное наблюдение) охвачены льготным лекарственным обеспечением.</w:t>
      </w:r>
    </w:p>
    <w:p>
      <w:pPr>
        <w:pStyle w:val="0"/>
        <w:spacing w:before="200" w:line-rule="auto"/>
        <w:ind w:firstLine="540"/>
        <w:jc w:val="both"/>
      </w:pPr>
      <w:r>
        <w:rPr>
          <w:sz w:val="20"/>
        </w:rPr>
        <w:t xml:space="preserve">2. Региональный регистр пациентов, получающих льготное лекарственное обеспечение для лечения сердечно-сосудистых заболеваний по профилю "кардиология" за счет средств регионального бюджета.</w:t>
      </w:r>
    </w:p>
    <w:p>
      <w:pPr>
        <w:pStyle w:val="0"/>
        <w:spacing w:before="200" w:line-rule="auto"/>
        <w:ind w:firstLine="540"/>
        <w:jc w:val="both"/>
      </w:pPr>
      <w:r>
        <w:rPr>
          <w:sz w:val="20"/>
        </w:rPr>
        <w:t xml:space="preserve">Ведение регистра осуществляется медицинскими организациями посредством МИС с последующей передачей данных в АИС ИСМЛП.</w:t>
      </w:r>
    </w:p>
    <w:p>
      <w:pPr>
        <w:pStyle w:val="0"/>
        <w:spacing w:before="200" w:line-rule="auto"/>
        <w:ind w:firstLine="540"/>
        <w:jc w:val="both"/>
      </w:pPr>
      <w:r>
        <w:rPr>
          <w:sz w:val="20"/>
        </w:rPr>
        <w:t xml:space="preserve">По состоянию на 01.01.2023 в регистр внесены данные о 132 455 лицах, имеющих право на льготное лекарственное обеспечение для лечения сердечно-сосудистых заболеваний по профилю "кардиология" за счет средств регионального бюджета.</w:t>
      </w:r>
    </w:p>
    <w:p>
      <w:pPr>
        <w:pStyle w:val="0"/>
        <w:spacing w:before="200" w:line-rule="auto"/>
        <w:ind w:firstLine="540"/>
        <w:jc w:val="both"/>
      </w:pPr>
      <w:r>
        <w:rPr>
          <w:sz w:val="20"/>
        </w:rPr>
        <w:t xml:space="preserve">В 2022 году число граждан, получивших льготное лекарственное обеспечение по льготам РЛО, составило 649 409 человек, из них 132 455 человек обеспечены по льготам БСК.</w:t>
      </w:r>
    </w:p>
    <w:p>
      <w:pPr>
        <w:pStyle w:val="0"/>
        <w:spacing w:before="200" w:line-rule="auto"/>
        <w:ind w:firstLine="540"/>
        <w:jc w:val="both"/>
      </w:pPr>
      <w:r>
        <w:rPr>
          <w:sz w:val="20"/>
        </w:rPr>
        <w:t xml:space="preserve">По количеству обеспеченных граждан по региональным льготам БСК на 2 месте - 20,4% от общего числа обеспеченных. На 1 месте - болезни эндокринной системы - 351 174 чел., 54%.</w:t>
      </w:r>
    </w:p>
    <w:p>
      <w:pPr>
        <w:pStyle w:val="0"/>
        <w:ind w:firstLine="540"/>
        <w:jc w:val="both"/>
      </w:pPr>
      <w:r>
        <w:rPr>
          <w:sz w:val="20"/>
        </w:rPr>
      </w:r>
    </w:p>
    <w:p>
      <w:pPr>
        <w:pStyle w:val="0"/>
        <w:jc w:val="right"/>
      </w:pPr>
      <w:r>
        <w:rPr>
          <w:sz w:val="20"/>
        </w:rPr>
        <w:t xml:space="preserve">Таблица 55</w:t>
      </w:r>
    </w:p>
    <w:p>
      <w:pPr>
        <w:pStyle w:val="0"/>
        <w:ind w:firstLine="540"/>
        <w:jc w:val="both"/>
      </w:pPr>
      <w:r>
        <w:rPr>
          <w:sz w:val="20"/>
        </w:rPr>
      </w:r>
    </w:p>
    <w:p>
      <w:pPr>
        <w:pStyle w:val="0"/>
        <w:jc w:val="center"/>
      </w:pPr>
      <w:r>
        <w:rPr>
          <w:sz w:val="20"/>
        </w:rPr>
        <w:t xml:space="preserve">Динамика обеспеченных льготников (РЛО)</w:t>
      </w:r>
    </w:p>
    <w:p>
      <w:pPr>
        <w:pStyle w:val="0"/>
        <w:jc w:val="center"/>
      </w:pPr>
      <w:r>
        <w:rPr>
          <w:sz w:val="20"/>
        </w:rPr>
        <w:t xml:space="preserve">2019 - 2022 годы, чел.</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844"/>
        <w:gridCol w:w="844"/>
        <w:gridCol w:w="844"/>
        <w:gridCol w:w="844"/>
        <w:gridCol w:w="1587"/>
      </w:tblGrid>
      <w:tr>
        <w:tc>
          <w:tcPr>
            <w:tcW w:w="3515" w:type="dxa"/>
          </w:tcPr>
          <w:p>
            <w:pPr>
              <w:pStyle w:val="0"/>
              <w:jc w:val="center"/>
            </w:pPr>
            <w:r>
              <w:rPr>
                <w:sz w:val="20"/>
              </w:rPr>
              <w:t xml:space="preserve">Льготы БСК</w:t>
            </w:r>
          </w:p>
        </w:tc>
        <w:tc>
          <w:tcPr>
            <w:tcW w:w="844" w:type="dxa"/>
          </w:tcPr>
          <w:p>
            <w:pPr>
              <w:pStyle w:val="0"/>
              <w:jc w:val="center"/>
            </w:pPr>
            <w:r>
              <w:rPr>
                <w:sz w:val="20"/>
              </w:rPr>
              <w:t xml:space="preserve">2019 г.</w:t>
            </w:r>
          </w:p>
        </w:tc>
        <w:tc>
          <w:tcPr>
            <w:tcW w:w="844" w:type="dxa"/>
          </w:tcPr>
          <w:p>
            <w:pPr>
              <w:pStyle w:val="0"/>
              <w:jc w:val="center"/>
            </w:pPr>
            <w:r>
              <w:rPr>
                <w:sz w:val="20"/>
              </w:rPr>
              <w:t xml:space="preserve">2020 г.</w:t>
            </w:r>
          </w:p>
        </w:tc>
        <w:tc>
          <w:tcPr>
            <w:tcW w:w="844" w:type="dxa"/>
          </w:tcPr>
          <w:p>
            <w:pPr>
              <w:pStyle w:val="0"/>
              <w:jc w:val="center"/>
            </w:pPr>
            <w:r>
              <w:rPr>
                <w:sz w:val="20"/>
              </w:rPr>
              <w:t xml:space="preserve">2021 г.</w:t>
            </w:r>
          </w:p>
        </w:tc>
        <w:tc>
          <w:tcPr>
            <w:tcW w:w="844" w:type="dxa"/>
          </w:tcPr>
          <w:p>
            <w:pPr>
              <w:pStyle w:val="0"/>
              <w:jc w:val="center"/>
            </w:pPr>
            <w:r>
              <w:rPr>
                <w:sz w:val="20"/>
              </w:rPr>
              <w:t xml:space="preserve">2022 г.</w:t>
            </w:r>
          </w:p>
        </w:tc>
        <w:tc>
          <w:tcPr>
            <w:tcW w:w="1587" w:type="dxa"/>
          </w:tcPr>
          <w:p>
            <w:pPr>
              <w:pStyle w:val="0"/>
              <w:jc w:val="center"/>
            </w:pPr>
            <w:r>
              <w:rPr>
                <w:sz w:val="20"/>
              </w:rPr>
              <w:t xml:space="preserve">Динамика 2022/2019 гг, %</w:t>
            </w:r>
          </w:p>
        </w:tc>
      </w:tr>
      <w:tr>
        <w:tc>
          <w:tcPr>
            <w:tcW w:w="3515" w:type="dxa"/>
          </w:tcPr>
          <w:p>
            <w:pPr>
              <w:pStyle w:val="0"/>
            </w:pPr>
            <w:r>
              <w:rPr>
                <w:sz w:val="20"/>
              </w:rPr>
              <w:t xml:space="preserve">516 (перенесенный ИМ)</w:t>
            </w:r>
          </w:p>
        </w:tc>
        <w:tc>
          <w:tcPr>
            <w:tcW w:w="844" w:type="dxa"/>
          </w:tcPr>
          <w:p>
            <w:pPr>
              <w:pStyle w:val="0"/>
            </w:pPr>
            <w:r>
              <w:rPr>
                <w:sz w:val="20"/>
              </w:rPr>
              <w:t xml:space="preserve">5446</w:t>
            </w:r>
          </w:p>
        </w:tc>
        <w:tc>
          <w:tcPr>
            <w:tcW w:w="844" w:type="dxa"/>
          </w:tcPr>
          <w:p>
            <w:pPr>
              <w:pStyle w:val="0"/>
            </w:pPr>
            <w:r>
              <w:rPr>
                <w:sz w:val="20"/>
              </w:rPr>
              <w:t xml:space="preserve">4882</w:t>
            </w:r>
          </w:p>
        </w:tc>
        <w:tc>
          <w:tcPr>
            <w:tcW w:w="844" w:type="dxa"/>
          </w:tcPr>
          <w:p>
            <w:pPr>
              <w:pStyle w:val="0"/>
            </w:pPr>
            <w:r>
              <w:rPr>
                <w:sz w:val="20"/>
              </w:rPr>
              <w:t xml:space="preserve">1040</w:t>
            </w:r>
          </w:p>
        </w:tc>
        <w:tc>
          <w:tcPr>
            <w:tcW w:w="844" w:type="dxa"/>
          </w:tcPr>
          <w:p>
            <w:pPr>
              <w:pStyle w:val="0"/>
            </w:pPr>
            <w:r>
              <w:rPr>
                <w:sz w:val="20"/>
              </w:rPr>
              <w:t xml:space="preserve">1372</w:t>
            </w:r>
          </w:p>
        </w:tc>
        <w:tc>
          <w:tcPr>
            <w:tcW w:w="1587" w:type="dxa"/>
          </w:tcPr>
          <w:p>
            <w:pPr>
              <w:pStyle w:val="0"/>
            </w:pPr>
            <w:r>
              <w:rPr>
                <w:sz w:val="20"/>
              </w:rPr>
              <w:t xml:space="preserve">-74,8</w:t>
            </w:r>
          </w:p>
        </w:tc>
      </w:tr>
      <w:tr>
        <w:tc>
          <w:tcPr>
            <w:tcW w:w="3515" w:type="dxa"/>
          </w:tcPr>
          <w:p>
            <w:pPr>
              <w:pStyle w:val="0"/>
            </w:pPr>
            <w:r>
              <w:rPr>
                <w:sz w:val="20"/>
              </w:rPr>
              <w:t xml:space="preserve">538 (протезы клапанов)</w:t>
            </w:r>
          </w:p>
        </w:tc>
        <w:tc>
          <w:tcPr>
            <w:tcW w:w="844" w:type="dxa"/>
          </w:tcPr>
          <w:p>
            <w:pPr>
              <w:pStyle w:val="0"/>
            </w:pPr>
            <w:r>
              <w:rPr>
                <w:sz w:val="20"/>
              </w:rPr>
              <w:t xml:space="preserve">122</w:t>
            </w:r>
          </w:p>
        </w:tc>
        <w:tc>
          <w:tcPr>
            <w:tcW w:w="844" w:type="dxa"/>
          </w:tcPr>
          <w:p>
            <w:pPr>
              <w:pStyle w:val="0"/>
            </w:pPr>
            <w:r>
              <w:rPr>
                <w:sz w:val="20"/>
              </w:rPr>
              <w:t xml:space="preserve">113</w:t>
            </w:r>
          </w:p>
        </w:tc>
        <w:tc>
          <w:tcPr>
            <w:tcW w:w="844" w:type="dxa"/>
          </w:tcPr>
          <w:p>
            <w:pPr>
              <w:pStyle w:val="0"/>
            </w:pPr>
            <w:r>
              <w:rPr>
                <w:sz w:val="20"/>
              </w:rPr>
              <w:t xml:space="preserve">106</w:t>
            </w:r>
          </w:p>
        </w:tc>
        <w:tc>
          <w:tcPr>
            <w:tcW w:w="844" w:type="dxa"/>
          </w:tcPr>
          <w:p>
            <w:pPr>
              <w:pStyle w:val="0"/>
            </w:pPr>
            <w:r>
              <w:rPr>
                <w:sz w:val="20"/>
              </w:rPr>
              <w:t xml:space="preserve">87</w:t>
            </w:r>
          </w:p>
        </w:tc>
        <w:tc>
          <w:tcPr>
            <w:tcW w:w="1587" w:type="dxa"/>
          </w:tcPr>
          <w:p>
            <w:pPr>
              <w:pStyle w:val="0"/>
            </w:pPr>
            <w:r>
              <w:rPr>
                <w:sz w:val="20"/>
              </w:rPr>
              <w:t xml:space="preserve">-28,7</w:t>
            </w:r>
          </w:p>
        </w:tc>
      </w:tr>
      <w:tr>
        <w:tc>
          <w:tcPr>
            <w:tcW w:w="3515" w:type="dxa"/>
          </w:tcPr>
          <w:p>
            <w:pPr>
              <w:pStyle w:val="0"/>
            </w:pPr>
            <w:r>
              <w:rPr>
                <w:sz w:val="20"/>
              </w:rPr>
              <w:t xml:space="preserve">540 (АГ)</w:t>
            </w:r>
          </w:p>
        </w:tc>
        <w:tc>
          <w:tcPr>
            <w:tcW w:w="844" w:type="dxa"/>
          </w:tcPr>
          <w:p>
            <w:pPr>
              <w:pStyle w:val="0"/>
            </w:pPr>
            <w:r>
              <w:rPr>
                <w:sz w:val="20"/>
              </w:rPr>
              <w:t xml:space="preserve">86750</w:t>
            </w:r>
          </w:p>
        </w:tc>
        <w:tc>
          <w:tcPr>
            <w:tcW w:w="844" w:type="dxa"/>
          </w:tcPr>
          <w:p>
            <w:pPr>
              <w:pStyle w:val="0"/>
            </w:pPr>
            <w:r>
              <w:rPr>
                <w:sz w:val="20"/>
              </w:rPr>
              <w:t xml:space="preserve">82912</w:t>
            </w:r>
          </w:p>
        </w:tc>
        <w:tc>
          <w:tcPr>
            <w:tcW w:w="844" w:type="dxa"/>
          </w:tcPr>
          <w:p>
            <w:pPr>
              <w:pStyle w:val="0"/>
            </w:pPr>
            <w:r>
              <w:rPr>
                <w:sz w:val="20"/>
              </w:rPr>
              <w:t xml:space="preserve">86078</w:t>
            </w:r>
          </w:p>
        </w:tc>
        <w:tc>
          <w:tcPr>
            <w:tcW w:w="844" w:type="dxa"/>
          </w:tcPr>
          <w:p>
            <w:pPr>
              <w:pStyle w:val="0"/>
            </w:pPr>
            <w:r>
              <w:rPr>
                <w:sz w:val="20"/>
              </w:rPr>
              <w:t xml:space="preserve">126789</w:t>
            </w:r>
          </w:p>
        </w:tc>
        <w:tc>
          <w:tcPr>
            <w:tcW w:w="1587" w:type="dxa"/>
          </w:tcPr>
          <w:p>
            <w:pPr>
              <w:pStyle w:val="0"/>
            </w:pPr>
            <w:r>
              <w:rPr>
                <w:sz w:val="20"/>
              </w:rPr>
              <w:t xml:space="preserve">46,2</w:t>
            </w:r>
          </w:p>
        </w:tc>
      </w:tr>
      <w:tr>
        <w:tc>
          <w:tcPr>
            <w:tcW w:w="3515" w:type="dxa"/>
          </w:tcPr>
          <w:p>
            <w:pPr>
              <w:pStyle w:val="0"/>
            </w:pPr>
            <w:r>
              <w:rPr>
                <w:sz w:val="20"/>
              </w:rPr>
              <w:t xml:space="preserve">551 (дети с ВПС-ЛАГ)</w:t>
            </w:r>
          </w:p>
        </w:tc>
        <w:tc>
          <w:tcPr>
            <w:tcW w:w="844" w:type="dxa"/>
          </w:tcPr>
          <w:p>
            <w:pPr>
              <w:pStyle w:val="0"/>
            </w:pPr>
            <w:r>
              <w:rPr>
                <w:sz w:val="20"/>
              </w:rPr>
              <w:t xml:space="preserve">16</w:t>
            </w:r>
          </w:p>
        </w:tc>
        <w:tc>
          <w:tcPr>
            <w:tcW w:w="844" w:type="dxa"/>
          </w:tcPr>
          <w:p>
            <w:pPr>
              <w:pStyle w:val="0"/>
            </w:pPr>
            <w:r>
              <w:rPr>
                <w:sz w:val="20"/>
              </w:rPr>
              <w:t xml:space="preserve">14</w:t>
            </w:r>
          </w:p>
        </w:tc>
        <w:tc>
          <w:tcPr>
            <w:tcW w:w="844" w:type="dxa"/>
          </w:tcPr>
          <w:p>
            <w:pPr>
              <w:pStyle w:val="0"/>
            </w:pPr>
            <w:r>
              <w:rPr>
                <w:sz w:val="20"/>
              </w:rPr>
              <w:t xml:space="preserve">18</w:t>
            </w:r>
          </w:p>
        </w:tc>
        <w:tc>
          <w:tcPr>
            <w:tcW w:w="844" w:type="dxa"/>
          </w:tcPr>
          <w:p>
            <w:pPr>
              <w:pStyle w:val="0"/>
            </w:pPr>
            <w:r>
              <w:rPr>
                <w:sz w:val="20"/>
              </w:rPr>
              <w:t xml:space="preserve">14</w:t>
            </w:r>
          </w:p>
        </w:tc>
        <w:tc>
          <w:tcPr>
            <w:tcW w:w="1587" w:type="dxa"/>
          </w:tcPr>
          <w:p>
            <w:pPr>
              <w:pStyle w:val="0"/>
            </w:pPr>
            <w:r>
              <w:rPr>
                <w:sz w:val="20"/>
              </w:rPr>
              <w:t xml:space="preserve">-12,5</w:t>
            </w:r>
          </w:p>
        </w:tc>
      </w:tr>
      <w:tr>
        <w:tc>
          <w:tcPr>
            <w:tcW w:w="3515" w:type="dxa"/>
          </w:tcPr>
          <w:p>
            <w:pPr>
              <w:pStyle w:val="0"/>
            </w:pPr>
            <w:r>
              <w:rPr>
                <w:sz w:val="20"/>
              </w:rPr>
              <w:t xml:space="preserve">552 (операции реваскуляризации)</w:t>
            </w:r>
          </w:p>
        </w:tc>
        <w:tc>
          <w:tcPr>
            <w:tcW w:w="844" w:type="dxa"/>
          </w:tcPr>
          <w:p>
            <w:pPr>
              <w:pStyle w:val="0"/>
            </w:pPr>
            <w:r>
              <w:rPr>
                <w:sz w:val="20"/>
              </w:rPr>
              <w:t xml:space="preserve">2597</w:t>
            </w:r>
          </w:p>
        </w:tc>
        <w:tc>
          <w:tcPr>
            <w:tcW w:w="844" w:type="dxa"/>
          </w:tcPr>
          <w:p>
            <w:pPr>
              <w:pStyle w:val="0"/>
            </w:pPr>
            <w:r>
              <w:rPr>
                <w:sz w:val="20"/>
              </w:rPr>
              <w:t xml:space="preserve">3843</w:t>
            </w:r>
          </w:p>
        </w:tc>
        <w:tc>
          <w:tcPr>
            <w:tcW w:w="844" w:type="dxa"/>
          </w:tcPr>
          <w:p>
            <w:pPr>
              <w:pStyle w:val="0"/>
            </w:pPr>
            <w:r>
              <w:rPr>
                <w:sz w:val="20"/>
              </w:rPr>
              <w:t xml:space="preserve">1347</w:t>
            </w:r>
          </w:p>
        </w:tc>
        <w:tc>
          <w:tcPr>
            <w:tcW w:w="844" w:type="dxa"/>
          </w:tcPr>
          <w:p>
            <w:pPr>
              <w:pStyle w:val="0"/>
            </w:pPr>
            <w:r>
              <w:rPr>
                <w:sz w:val="20"/>
              </w:rPr>
              <w:t xml:space="preserve">1225</w:t>
            </w:r>
          </w:p>
        </w:tc>
        <w:tc>
          <w:tcPr>
            <w:tcW w:w="1587" w:type="dxa"/>
          </w:tcPr>
          <w:p>
            <w:pPr>
              <w:pStyle w:val="0"/>
            </w:pPr>
            <w:r>
              <w:rPr>
                <w:sz w:val="20"/>
              </w:rPr>
              <w:t xml:space="preserve">-52,8</w:t>
            </w:r>
          </w:p>
        </w:tc>
      </w:tr>
      <w:tr>
        <w:tc>
          <w:tcPr>
            <w:tcW w:w="3515" w:type="dxa"/>
          </w:tcPr>
          <w:p>
            <w:pPr>
              <w:pStyle w:val="0"/>
            </w:pPr>
            <w:r>
              <w:rPr>
                <w:sz w:val="20"/>
              </w:rPr>
              <w:t xml:space="preserve">554 (ХСН)</w:t>
            </w:r>
          </w:p>
        </w:tc>
        <w:tc>
          <w:tcPr>
            <w:tcW w:w="844" w:type="dxa"/>
          </w:tcPr>
          <w:p>
            <w:pPr>
              <w:pStyle w:val="0"/>
            </w:pPr>
            <w:r>
              <w:rPr>
                <w:sz w:val="20"/>
              </w:rPr>
              <w:t xml:space="preserve">-</w:t>
            </w:r>
          </w:p>
        </w:tc>
        <w:tc>
          <w:tcPr>
            <w:tcW w:w="844" w:type="dxa"/>
          </w:tcPr>
          <w:p>
            <w:pPr>
              <w:pStyle w:val="0"/>
            </w:pPr>
            <w:r>
              <w:rPr>
                <w:sz w:val="20"/>
              </w:rPr>
              <w:t xml:space="preserve">-</w:t>
            </w:r>
          </w:p>
        </w:tc>
        <w:tc>
          <w:tcPr>
            <w:tcW w:w="844" w:type="dxa"/>
          </w:tcPr>
          <w:p>
            <w:pPr>
              <w:pStyle w:val="0"/>
            </w:pPr>
            <w:r>
              <w:rPr>
                <w:sz w:val="20"/>
              </w:rPr>
              <w:t xml:space="preserve">-</w:t>
            </w:r>
          </w:p>
        </w:tc>
        <w:tc>
          <w:tcPr>
            <w:tcW w:w="844" w:type="dxa"/>
          </w:tcPr>
          <w:p>
            <w:pPr>
              <w:pStyle w:val="0"/>
            </w:pPr>
            <w:r>
              <w:rPr>
                <w:sz w:val="20"/>
              </w:rPr>
              <w:t xml:space="preserve">2968</w:t>
            </w:r>
          </w:p>
        </w:tc>
        <w:tc>
          <w:tcPr>
            <w:tcW w:w="1587" w:type="dxa"/>
          </w:tcPr>
          <w:p>
            <w:pPr>
              <w:pStyle w:val="0"/>
            </w:pPr>
            <w:r>
              <w:rPr>
                <w:sz w:val="20"/>
              </w:rPr>
              <w:t xml:space="preserve">-</w:t>
            </w:r>
          </w:p>
        </w:tc>
      </w:tr>
      <w:tr>
        <w:tc>
          <w:tcPr>
            <w:tcW w:w="3515" w:type="dxa"/>
          </w:tcPr>
          <w:p>
            <w:pPr>
              <w:pStyle w:val="0"/>
            </w:pPr>
            <w:r>
              <w:rPr>
                <w:sz w:val="20"/>
              </w:rPr>
              <w:t xml:space="preserve">Льготы БСК всего</w:t>
            </w:r>
          </w:p>
        </w:tc>
        <w:tc>
          <w:tcPr>
            <w:tcW w:w="844" w:type="dxa"/>
          </w:tcPr>
          <w:p>
            <w:pPr>
              <w:pStyle w:val="0"/>
            </w:pPr>
            <w:r>
              <w:rPr>
                <w:sz w:val="20"/>
              </w:rPr>
              <w:t xml:space="preserve">94931</w:t>
            </w:r>
          </w:p>
        </w:tc>
        <w:tc>
          <w:tcPr>
            <w:tcW w:w="844" w:type="dxa"/>
          </w:tcPr>
          <w:p>
            <w:pPr>
              <w:pStyle w:val="0"/>
            </w:pPr>
            <w:r>
              <w:rPr>
                <w:sz w:val="20"/>
              </w:rPr>
              <w:t xml:space="preserve">91764</w:t>
            </w:r>
          </w:p>
        </w:tc>
        <w:tc>
          <w:tcPr>
            <w:tcW w:w="844" w:type="dxa"/>
          </w:tcPr>
          <w:p>
            <w:pPr>
              <w:pStyle w:val="0"/>
            </w:pPr>
            <w:r>
              <w:rPr>
                <w:sz w:val="20"/>
              </w:rPr>
              <w:t xml:space="preserve">88589</w:t>
            </w:r>
          </w:p>
        </w:tc>
        <w:tc>
          <w:tcPr>
            <w:tcW w:w="844" w:type="dxa"/>
          </w:tcPr>
          <w:p>
            <w:pPr>
              <w:pStyle w:val="0"/>
            </w:pPr>
            <w:r>
              <w:rPr>
                <w:sz w:val="20"/>
              </w:rPr>
              <w:t xml:space="preserve">132455</w:t>
            </w:r>
          </w:p>
        </w:tc>
        <w:tc>
          <w:tcPr>
            <w:tcW w:w="1587" w:type="dxa"/>
          </w:tcPr>
          <w:p>
            <w:pPr>
              <w:pStyle w:val="0"/>
            </w:pPr>
            <w:r>
              <w:rPr>
                <w:sz w:val="20"/>
              </w:rPr>
              <w:t xml:space="preserve">39,5</w:t>
            </w:r>
          </w:p>
        </w:tc>
      </w:tr>
      <w:tr>
        <w:tc>
          <w:tcPr>
            <w:tcW w:w="3515" w:type="dxa"/>
          </w:tcPr>
          <w:p>
            <w:pPr>
              <w:pStyle w:val="0"/>
            </w:pPr>
            <w:r>
              <w:rPr>
                <w:sz w:val="20"/>
              </w:rPr>
              <w:t xml:space="preserve">Всего льгот по РЛО</w:t>
            </w:r>
          </w:p>
        </w:tc>
        <w:tc>
          <w:tcPr>
            <w:tcW w:w="844" w:type="dxa"/>
          </w:tcPr>
          <w:p>
            <w:pPr>
              <w:pStyle w:val="0"/>
            </w:pPr>
            <w:r>
              <w:rPr>
                <w:sz w:val="20"/>
              </w:rPr>
              <w:t xml:space="preserve">585643</w:t>
            </w:r>
          </w:p>
        </w:tc>
        <w:tc>
          <w:tcPr>
            <w:tcW w:w="844" w:type="dxa"/>
          </w:tcPr>
          <w:p>
            <w:pPr>
              <w:pStyle w:val="0"/>
            </w:pPr>
            <w:r>
              <w:rPr>
                <w:sz w:val="20"/>
              </w:rPr>
              <w:t xml:space="preserve">545681</w:t>
            </w:r>
          </w:p>
        </w:tc>
        <w:tc>
          <w:tcPr>
            <w:tcW w:w="844" w:type="dxa"/>
          </w:tcPr>
          <w:p>
            <w:pPr>
              <w:pStyle w:val="0"/>
            </w:pPr>
            <w:r>
              <w:rPr>
                <w:sz w:val="20"/>
              </w:rPr>
              <w:t xml:space="preserve">576774</w:t>
            </w:r>
          </w:p>
        </w:tc>
        <w:tc>
          <w:tcPr>
            <w:tcW w:w="844" w:type="dxa"/>
          </w:tcPr>
          <w:p>
            <w:pPr>
              <w:pStyle w:val="0"/>
            </w:pPr>
            <w:r>
              <w:rPr>
                <w:sz w:val="20"/>
              </w:rPr>
              <w:t xml:space="preserve">649409</w:t>
            </w:r>
          </w:p>
        </w:tc>
        <w:tc>
          <w:tcPr>
            <w:tcW w:w="1587" w:type="dxa"/>
          </w:tcPr>
          <w:p>
            <w:pPr>
              <w:pStyle w:val="0"/>
            </w:pPr>
            <w:r>
              <w:rPr>
                <w:sz w:val="20"/>
              </w:rPr>
              <w:t xml:space="preserve">10,9</w:t>
            </w:r>
          </w:p>
        </w:tc>
      </w:tr>
      <w:tr>
        <w:tc>
          <w:tcPr>
            <w:tcW w:w="3515" w:type="dxa"/>
          </w:tcPr>
          <w:p>
            <w:pPr>
              <w:pStyle w:val="0"/>
            </w:pPr>
            <w:r>
              <w:rPr>
                <w:sz w:val="20"/>
              </w:rPr>
              <w:t xml:space="preserve">Доля БСК из всех льгот</w:t>
            </w:r>
          </w:p>
        </w:tc>
        <w:tc>
          <w:tcPr>
            <w:tcW w:w="844" w:type="dxa"/>
          </w:tcPr>
          <w:p>
            <w:pPr>
              <w:pStyle w:val="0"/>
            </w:pPr>
            <w:r>
              <w:rPr>
                <w:sz w:val="20"/>
              </w:rPr>
              <w:t xml:space="preserve">16,2%</w:t>
            </w:r>
          </w:p>
        </w:tc>
        <w:tc>
          <w:tcPr>
            <w:tcW w:w="844" w:type="dxa"/>
          </w:tcPr>
          <w:p>
            <w:pPr>
              <w:pStyle w:val="0"/>
            </w:pPr>
            <w:r>
              <w:rPr>
                <w:sz w:val="20"/>
              </w:rPr>
              <w:t xml:space="preserve">16,8%</w:t>
            </w:r>
          </w:p>
        </w:tc>
        <w:tc>
          <w:tcPr>
            <w:tcW w:w="844" w:type="dxa"/>
          </w:tcPr>
          <w:p>
            <w:pPr>
              <w:pStyle w:val="0"/>
            </w:pPr>
            <w:r>
              <w:rPr>
                <w:sz w:val="20"/>
              </w:rPr>
              <w:t xml:space="preserve">15,4%</w:t>
            </w:r>
          </w:p>
        </w:tc>
        <w:tc>
          <w:tcPr>
            <w:tcW w:w="844" w:type="dxa"/>
          </w:tcPr>
          <w:p>
            <w:pPr>
              <w:pStyle w:val="0"/>
            </w:pPr>
            <w:r>
              <w:rPr>
                <w:sz w:val="20"/>
              </w:rPr>
              <w:t xml:space="preserve">20,4%</w:t>
            </w:r>
          </w:p>
        </w:tc>
        <w:tc>
          <w:tcPr>
            <w:tcW w:w="1587" w:type="dxa"/>
          </w:tcPr>
          <w:p>
            <w:pPr>
              <w:pStyle w:val="0"/>
            </w:pPr>
            <w:r>
              <w:rPr>
                <w:sz w:val="20"/>
              </w:rPr>
              <w:t xml:space="preserve">4,2</w:t>
            </w:r>
          </w:p>
        </w:tc>
      </w:tr>
    </w:tbl>
    <w:p>
      <w:pPr>
        <w:pStyle w:val="0"/>
        <w:ind w:firstLine="540"/>
        <w:jc w:val="both"/>
      </w:pPr>
      <w:r>
        <w:rPr>
          <w:sz w:val="20"/>
        </w:rPr>
      </w:r>
    </w:p>
    <w:p>
      <w:pPr>
        <w:pStyle w:val="0"/>
        <w:ind w:firstLine="540"/>
        <w:jc w:val="both"/>
      </w:pPr>
      <w:r>
        <w:rPr>
          <w:sz w:val="20"/>
        </w:rPr>
        <w:t xml:space="preserve">Значительный рост числа льготников по БСК в 2022 году (в 1,5 раза, с 88589 человек в 2021 году до 132 455 человек в 2022 году) обусловлен:</w:t>
      </w:r>
    </w:p>
    <w:p>
      <w:pPr>
        <w:pStyle w:val="0"/>
        <w:spacing w:before="200" w:line-rule="auto"/>
        <w:ind w:firstLine="540"/>
        <w:jc w:val="both"/>
      </w:pPr>
      <w:r>
        <w:rPr>
          <w:sz w:val="20"/>
        </w:rPr>
        <w:t xml:space="preserve">1) расширением 540 льготы за счет внедрения бесплатного обеспечения лиц старше 50 лет (пенсионеров) гипотензивными препаратами, антикоагулянтами (апиксабан), антиагрегантами, мочегонными, нитратами, статинами;</w:t>
      </w:r>
    </w:p>
    <w:p>
      <w:pPr>
        <w:pStyle w:val="0"/>
        <w:spacing w:before="200" w:line-rule="auto"/>
        <w:ind w:firstLine="540"/>
        <w:jc w:val="both"/>
      </w:pPr>
      <w:r>
        <w:rPr>
          <w:sz w:val="20"/>
        </w:rPr>
        <w:t xml:space="preserve">2) появлением новой 554 льготы (ХСН).</w:t>
      </w:r>
    </w:p>
    <w:p>
      <w:pPr>
        <w:pStyle w:val="0"/>
        <w:spacing w:before="200" w:line-rule="auto"/>
        <w:ind w:firstLine="540"/>
        <w:jc w:val="both"/>
      </w:pPr>
      <w:r>
        <w:rPr>
          <w:sz w:val="20"/>
        </w:rPr>
        <w:t xml:space="preserve">3. Регистр пациентов с легочной гипертензией (ЛАГ).</w:t>
      </w:r>
    </w:p>
    <w:p>
      <w:pPr>
        <w:pStyle w:val="0"/>
        <w:spacing w:before="200" w:line-rule="auto"/>
        <w:ind w:firstLine="540"/>
        <w:jc w:val="both"/>
      </w:pPr>
      <w:r>
        <w:rPr>
          <w:sz w:val="20"/>
        </w:rPr>
        <w:t xml:space="preserve">В региональный регистр включена информация о 62 пациентах с ЛАГ, получающих ЛАГ-специфическую терапию (+6 в сравнении с 2021 годом), большинство - 35 (56,5%) - больные с ВПС, на втором месте - 19 (30,7%) - пациенты с идиопатической ЛАГ, 19 пациентов регистра - дети (30,6%).</w:t>
      </w:r>
    </w:p>
    <w:p>
      <w:pPr>
        <w:pStyle w:val="0"/>
        <w:jc w:val="right"/>
      </w:pPr>
      <w:r>
        <w:rPr>
          <w:sz w:val="20"/>
        </w:rPr>
      </w:r>
    </w:p>
    <w:p>
      <w:pPr>
        <w:pStyle w:val="0"/>
        <w:jc w:val="right"/>
      </w:pPr>
      <w:r>
        <w:rPr>
          <w:sz w:val="20"/>
        </w:rPr>
        <w:t xml:space="preserve">Таблица 56</w:t>
      </w:r>
    </w:p>
    <w:p>
      <w:pPr>
        <w:pStyle w:val="0"/>
        <w:jc w:val="right"/>
      </w:pPr>
      <w:r>
        <w:rPr>
          <w:sz w:val="20"/>
        </w:rPr>
      </w:r>
    </w:p>
    <w:p>
      <w:pPr>
        <w:pStyle w:val="0"/>
        <w:jc w:val="center"/>
      </w:pPr>
      <w:r>
        <w:rPr>
          <w:sz w:val="20"/>
        </w:rPr>
        <w:t xml:space="preserve">Структура регионального регистра ЛАГ</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69"/>
        <w:gridCol w:w="694"/>
        <w:gridCol w:w="844"/>
        <w:gridCol w:w="1159"/>
        <w:gridCol w:w="724"/>
        <w:gridCol w:w="1969"/>
        <w:gridCol w:w="1039"/>
        <w:gridCol w:w="1339"/>
        <w:gridCol w:w="1579"/>
        <w:gridCol w:w="1519"/>
        <w:gridCol w:w="1294"/>
      </w:tblGrid>
      <w:tr>
        <w:tc>
          <w:tcPr>
            <w:tcW w:w="1069" w:type="dxa"/>
            <w:vMerge w:val="restart"/>
          </w:tcPr>
          <w:p>
            <w:pPr>
              <w:pStyle w:val="0"/>
              <w:jc w:val="center"/>
            </w:pPr>
            <w:r>
              <w:rPr>
                <w:sz w:val="20"/>
              </w:rPr>
            </w:r>
          </w:p>
        </w:tc>
        <w:tc>
          <w:tcPr>
            <w:gridSpan w:val="5"/>
            <w:tcW w:w="5390" w:type="dxa"/>
          </w:tcPr>
          <w:p>
            <w:pPr>
              <w:pStyle w:val="0"/>
              <w:jc w:val="center"/>
            </w:pPr>
            <w:r>
              <w:rPr>
                <w:sz w:val="20"/>
              </w:rPr>
              <w:t xml:space="preserve">Число больных с ЛАГ</w:t>
            </w:r>
          </w:p>
        </w:tc>
        <w:tc>
          <w:tcPr>
            <w:gridSpan w:val="5"/>
            <w:tcW w:w="6770" w:type="dxa"/>
          </w:tcPr>
          <w:p>
            <w:pPr>
              <w:pStyle w:val="0"/>
              <w:jc w:val="center"/>
            </w:pPr>
            <w:r>
              <w:rPr>
                <w:sz w:val="20"/>
              </w:rPr>
              <w:t xml:space="preserve">Число больных, получающих ЛАГ - специфическую терапию</w:t>
            </w:r>
          </w:p>
        </w:tc>
      </w:tr>
      <w:tr>
        <w:tc>
          <w:tcPr>
            <w:vMerge w:val="continue"/>
          </w:tcPr>
          <w:p/>
        </w:tc>
        <w:tc>
          <w:tcPr>
            <w:tcW w:w="694" w:type="dxa"/>
          </w:tcPr>
          <w:p>
            <w:pPr>
              <w:pStyle w:val="0"/>
              <w:jc w:val="center"/>
            </w:pPr>
            <w:r>
              <w:rPr>
                <w:sz w:val="20"/>
              </w:rPr>
              <w:t xml:space="preserve">Всего ЛАГ</w:t>
            </w:r>
          </w:p>
        </w:tc>
        <w:tc>
          <w:tcPr>
            <w:tcW w:w="844" w:type="dxa"/>
          </w:tcPr>
          <w:p>
            <w:pPr>
              <w:pStyle w:val="0"/>
              <w:jc w:val="center"/>
            </w:pPr>
            <w:r>
              <w:rPr>
                <w:sz w:val="20"/>
              </w:rPr>
              <w:t xml:space="preserve">И-ЛАГ</w:t>
            </w:r>
          </w:p>
        </w:tc>
        <w:tc>
          <w:tcPr>
            <w:tcW w:w="1159" w:type="dxa"/>
          </w:tcPr>
          <w:p>
            <w:pPr>
              <w:pStyle w:val="0"/>
              <w:jc w:val="center"/>
            </w:pPr>
            <w:r>
              <w:rPr>
                <w:sz w:val="20"/>
              </w:rPr>
              <w:t xml:space="preserve">ЛАГ-ВПС</w:t>
            </w:r>
          </w:p>
        </w:tc>
        <w:tc>
          <w:tcPr>
            <w:tcW w:w="724" w:type="dxa"/>
          </w:tcPr>
          <w:p>
            <w:pPr>
              <w:pStyle w:val="0"/>
              <w:jc w:val="center"/>
            </w:pPr>
            <w:r>
              <w:rPr>
                <w:sz w:val="20"/>
              </w:rPr>
              <w:t xml:space="preserve">ХТЛГ</w:t>
            </w:r>
          </w:p>
        </w:tc>
        <w:tc>
          <w:tcPr>
            <w:tcW w:w="1969" w:type="dxa"/>
          </w:tcPr>
          <w:p>
            <w:pPr>
              <w:pStyle w:val="0"/>
              <w:jc w:val="center"/>
            </w:pPr>
            <w:r>
              <w:rPr>
                <w:sz w:val="20"/>
              </w:rPr>
              <w:t xml:space="preserve">Другие ассоциированные формы ЛАГ</w:t>
            </w:r>
          </w:p>
        </w:tc>
        <w:tc>
          <w:tcPr>
            <w:gridSpan w:val="2"/>
            <w:tcW w:w="2378" w:type="dxa"/>
          </w:tcPr>
          <w:p>
            <w:pPr>
              <w:pStyle w:val="0"/>
              <w:jc w:val="center"/>
            </w:pPr>
            <w:r>
              <w:rPr>
                <w:sz w:val="20"/>
              </w:rPr>
              <w:t xml:space="preserve">Блокаторы рецепторов эндотелина</w:t>
            </w:r>
          </w:p>
        </w:tc>
        <w:tc>
          <w:tcPr>
            <w:tcW w:w="1579" w:type="dxa"/>
          </w:tcPr>
          <w:p>
            <w:pPr>
              <w:pStyle w:val="0"/>
              <w:jc w:val="center"/>
            </w:pPr>
            <w:r>
              <w:rPr>
                <w:sz w:val="20"/>
              </w:rPr>
              <w:t xml:space="preserve">Ингибиторы ФДЭ-5 (силдена-фил)</w:t>
            </w:r>
          </w:p>
        </w:tc>
        <w:tc>
          <w:tcPr>
            <w:tcW w:w="1519" w:type="dxa"/>
          </w:tcPr>
          <w:p>
            <w:pPr>
              <w:pStyle w:val="0"/>
              <w:jc w:val="center"/>
            </w:pPr>
            <w:r>
              <w:rPr>
                <w:sz w:val="20"/>
              </w:rPr>
              <w:t xml:space="preserve">Стимуляторы рГЦ</w:t>
            </w:r>
          </w:p>
          <w:p>
            <w:pPr>
              <w:pStyle w:val="0"/>
              <w:jc w:val="center"/>
            </w:pPr>
            <w:r>
              <w:rPr>
                <w:sz w:val="20"/>
              </w:rPr>
              <w:t xml:space="preserve">(риоцигуат)</w:t>
            </w:r>
          </w:p>
        </w:tc>
        <w:tc>
          <w:tcPr>
            <w:tcW w:w="1294" w:type="dxa"/>
          </w:tcPr>
          <w:p>
            <w:pPr>
              <w:pStyle w:val="0"/>
              <w:jc w:val="center"/>
            </w:pPr>
            <w:r>
              <w:rPr>
                <w:sz w:val="20"/>
              </w:rPr>
              <w:t xml:space="preserve">Селексипаг</w:t>
            </w:r>
          </w:p>
        </w:tc>
      </w:tr>
      <w:tr>
        <w:tc>
          <w:tcPr>
            <w:tcW w:w="1069" w:type="dxa"/>
            <w:vMerge w:val="restart"/>
          </w:tcPr>
          <w:p>
            <w:pPr>
              <w:pStyle w:val="0"/>
            </w:pPr>
            <w:r>
              <w:rPr>
                <w:sz w:val="20"/>
              </w:rPr>
              <w:t xml:space="preserve">ВСЕГО</w:t>
            </w:r>
          </w:p>
        </w:tc>
        <w:tc>
          <w:tcPr>
            <w:tcW w:w="694" w:type="dxa"/>
            <w:vMerge w:val="restart"/>
          </w:tcPr>
          <w:p>
            <w:pPr>
              <w:pStyle w:val="0"/>
            </w:pPr>
            <w:r>
              <w:rPr>
                <w:sz w:val="20"/>
              </w:rPr>
              <w:t xml:space="preserve">62</w:t>
            </w:r>
          </w:p>
        </w:tc>
        <w:tc>
          <w:tcPr>
            <w:tcW w:w="844" w:type="dxa"/>
            <w:vMerge w:val="restart"/>
          </w:tcPr>
          <w:p>
            <w:pPr>
              <w:pStyle w:val="0"/>
            </w:pPr>
            <w:r>
              <w:rPr>
                <w:sz w:val="20"/>
              </w:rPr>
              <w:t xml:space="preserve">19</w:t>
            </w:r>
          </w:p>
        </w:tc>
        <w:tc>
          <w:tcPr>
            <w:tcW w:w="1159" w:type="dxa"/>
            <w:vMerge w:val="restart"/>
          </w:tcPr>
          <w:p>
            <w:pPr>
              <w:pStyle w:val="0"/>
            </w:pPr>
            <w:r>
              <w:rPr>
                <w:sz w:val="20"/>
              </w:rPr>
              <w:t xml:space="preserve">35</w:t>
            </w:r>
          </w:p>
        </w:tc>
        <w:tc>
          <w:tcPr>
            <w:tcW w:w="724" w:type="dxa"/>
            <w:vMerge w:val="restart"/>
          </w:tcPr>
          <w:p>
            <w:pPr>
              <w:pStyle w:val="0"/>
            </w:pPr>
            <w:r>
              <w:rPr>
                <w:sz w:val="20"/>
              </w:rPr>
              <w:t xml:space="preserve">5</w:t>
            </w:r>
          </w:p>
        </w:tc>
        <w:tc>
          <w:tcPr>
            <w:tcW w:w="1969" w:type="dxa"/>
            <w:vMerge w:val="restart"/>
          </w:tcPr>
          <w:p>
            <w:pPr>
              <w:pStyle w:val="0"/>
            </w:pPr>
            <w:r>
              <w:rPr>
                <w:sz w:val="20"/>
              </w:rPr>
              <w:t xml:space="preserve">3</w:t>
            </w:r>
          </w:p>
        </w:tc>
        <w:tc>
          <w:tcPr>
            <w:tcW w:w="1039" w:type="dxa"/>
          </w:tcPr>
          <w:p>
            <w:pPr>
              <w:pStyle w:val="0"/>
            </w:pPr>
            <w:r>
              <w:rPr>
                <w:sz w:val="20"/>
              </w:rPr>
              <w:t xml:space="preserve">бозентан</w:t>
            </w:r>
          </w:p>
        </w:tc>
        <w:tc>
          <w:tcPr>
            <w:tcW w:w="1339" w:type="dxa"/>
          </w:tcPr>
          <w:p>
            <w:pPr>
              <w:pStyle w:val="0"/>
            </w:pPr>
            <w:r>
              <w:rPr>
                <w:sz w:val="20"/>
              </w:rPr>
              <w:t xml:space="preserve">мацитентан</w:t>
            </w:r>
          </w:p>
        </w:tc>
        <w:tc>
          <w:tcPr>
            <w:tcW w:w="1579" w:type="dxa"/>
            <w:vMerge w:val="restart"/>
          </w:tcPr>
          <w:p>
            <w:pPr>
              <w:pStyle w:val="0"/>
            </w:pPr>
            <w:r>
              <w:rPr>
                <w:sz w:val="20"/>
              </w:rPr>
              <w:t xml:space="preserve">34</w:t>
            </w:r>
          </w:p>
        </w:tc>
        <w:tc>
          <w:tcPr>
            <w:tcW w:w="1519" w:type="dxa"/>
            <w:vMerge w:val="restart"/>
          </w:tcPr>
          <w:p>
            <w:pPr>
              <w:pStyle w:val="0"/>
            </w:pPr>
            <w:r>
              <w:rPr>
                <w:sz w:val="20"/>
              </w:rPr>
              <w:t xml:space="preserve">16</w:t>
            </w:r>
          </w:p>
        </w:tc>
        <w:tc>
          <w:tcPr>
            <w:tcW w:w="1294" w:type="dxa"/>
            <w:vMerge w:val="restart"/>
          </w:tcPr>
          <w:p>
            <w:pPr>
              <w:pStyle w:val="0"/>
            </w:pPr>
            <w:r>
              <w:rPr>
                <w:sz w:val="20"/>
              </w:rPr>
              <w:t xml:space="preserve">4</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1039" w:type="dxa"/>
          </w:tcPr>
          <w:p>
            <w:pPr>
              <w:pStyle w:val="0"/>
            </w:pPr>
            <w:r>
              <w:rPr>
                <w:sz w:val="20"/>
              </w:rPr>
              <w:t xml:space="preserve">18</w:t>
            </w:r>
          </w:p>
        </w:tc>
        <w:tc>
          <w:tcPr>
            <w:tcW w:w="1339" w:type="dxa"/>
          </w:tcPr>
          <w:p>
            <w:pPr>
              <w:pStyle w:val="0"/>
            </w:pPr>
            <w:r>
              <w:rPr>
                <w:sz w:val="20"/>
              </w:rPr>
              <w:t xml:space="preserve">22</w:t>
            </w:r>
          </w:p>
        </w:tc>
        <w:tc>
          <w:tcPr>
            <w:vMerge w:val="continue"/>
          </w:tcPr>
          <w:p/>
        </w:tc>
        <w:tc>
          <w:tcPr>
            <w:vMerge w:val="continue"/>
          </w:tcPr>
          <w:p/>
        </w:tc>
        <w:tc>
          <w:tcPr>
            <w:vMerge w:val="continue"/>
          </w:tcPr>
          <w:p/>
        </w:tc>
      </w:tr>
      <w:tr>
        <w:tc>
          <w:tcPr>
            <w:tcW w:w="1069" w:type="dxa"/>
          </w:tcPr>
          <w:p>
            <w:pPr>
              <w:pStyle w:val="0"/>
            </w:pPr>
            <w:r>
              <w:rPr>
                <w:sz w:val="20"/>
              </w:rPr>
              <w:t xml:space="preserve">из них дети</w:t>
            </w:r>
          </w:p>
        </w:tc>
        <w:tc>
          <w:tcPr>
            <w:tcW w:w="694" w:type="dxa"/>
          </w:tcPr>
          <w:p>
            <w:pPr>
              <w:pStyle w:val="0"/>
            </w:pPr>
            <w:r>
              <w:rPr>
                <w:sz w:val="20"/>
              </w:rPr>
              <w:t xml:space="preserve">19</w:t>
            </w:r>
          </w:p>
        </w:tc>
        <w:tc>
          <w:tcPr>
            <w:tcW w:w="844" w:type="dxa"/>
          </w:tcPr>
          <w:p>
            <w:pPr>
              <w:pStyle w:val="0"/>
            </w:pPr>
            <w:r>
              <w:rPr>
                <w:sz w:val="20"/>
              </w:rPr>
              <w:t xml:space="preserve">4</w:t>
            </w:r>
          </w:p>
        </w:tc>
        <w:tc>
          <w:tcPr>
            <w:tcW w:w="1159" w:type="dxa"/>
          </w:tcPr>
          <w:p>
            <w:pPr>
              <w:pStyle w:val="0"/>
            </w:pPr>
            <w:r>
              <w:rPr>
                <w:sz w:val="20"/>
              </w:rPr>
              <w:t xml:space="preserve">15</w:t>
            </w:r>
          </w:p>
        </w:tc>
        <w:tc>
          <w:tcPr>
            <w:tcW w:w="724" w:type="dxa"/>
          </w:tcPr>
          <w:p>
            <w:pPr>
              <w:pStyle w:val="0"/>
            </w:pPr>
            <w:r>
              <w:rPr>
                <w:sz w:val="20"/>
              </w:rPr>
            </w:r>
          </w:p>
        </w:tc>
        <w:tc>
          <w:tcPr>
            <w:tcW w:w="1969" w:type="dxa"/>
          </w:tcPr>
          <w:p>
            <w:pPr>
              <w:pStyle w:val="0"/>
            </w:pPr>
            <w:r>
              <w:rPr>
                <w:sz w:val="20"/>
              </w:rPr>
            </w:r>
          </w:p>
        </w:tc>
        <w:tc>
          <w:tcPr>
            <w:tcW w:w="1039" w:type="dxa"/>
          </w:tcPr>
          <w:p>
            <w:pPr>
              <w:pStyle w:val="0"/>
            </w:pPr>
            <w:r>
              <w:rPr>
                <w:sz w:val="20"/>
              </w:rPr>
              <w:t xml:space="preserve">11</w:t>
            </w:r>
          </w:p>
        </w:tc>
        <w:tc>
          <w:tcPr>
            <w:tcW w:w="1339" w:type="dxa"/>
          </w:tcPr>
          <w:p>
            <w:pPr>
              <w:pStyle w:val="0"/>
            </w:pPr>
            <w:r>
              <w:rPr>
                <w:sz w:val="20"/>
              </w:rPr>
              <w:t xml:space="preserve">2</w:t>
            </w:r>
          </w:p>
        </w:tc>
        <w:tc>
          <w:tcPr>
            <w:tcW w:w="1579" w:type="dxa"/>
          </w:tcPr>
          <w:p>
            <w:pPr>
              <w:pStyle w:val="0"/>
            </w:pPr>
            <w:r>
              <w:rPr>
                <w:sz w:val="20"/>
              </w:rPr>
              <w:t xml:space="preserve">14</w:t>
            </w:r>
          </w:p>
        </w:tc>
        <w:tc>
          <w:tcPr>
            <w:tcW w:w="1519" w:type="dxa"/>
          </w:tcPr>
          <w:p>
            <w:pPr>
              <w:pStyle w:val="0"/>
            </w:pPr>
            <w:r>
              <w:rPr>
                <w:sz w:val="20"/>
              </w:rPr>
            </w:r>
          </w:p>
        </w:tc>
        <w:tc>
          <w:tcPr>
            <w:tcW w:w="1294" w:type="dxa"/>
          </w:tcPr>
          <w:p>
            <w:pPr>
              <w:pStyle w:val="0"/>
            </w:pPr>
            <w:r>
              <w:rPr>
                <w:sz w:val="20"/>
              </w:rPr>
            </w:r>
          </w:p>
        </w:tc>
      </w:tr>
      <w:tr>
        <w:tc>
          <w:tcPr>
            <w:tcW w:w="1069" w:type="dxa"/>
          </w:tcPr>
          <w:p>
            <w:pPr>
              <w:pStyle w:val="0"/>
            </w:pPr>
            <w:r>
              <w:rPr>
                <w:sz w:val="20"/>
              </w:rPr>
              <w:t xml:space="preserve">из них взрослые</w:t>
            </w:r>
          </w:p>
        </w:tc>
        <w:tc>
          <w:tcPr>
            <w:tcW w:w="694" w:type="dxa"/>
          </w:tcPr>
          <w:p>
            <w:pPr>
              <w:pStyle w:val="0"/>
            </w:pPr>
            <w:r>
              <w:rPr>
                <w:sz w:val="20"/>
              </w:rPr>
              <w:t xml:space="preserve">43</w:t>
            </w:r>
          </w:p>
        </w:tc>
        <w:tc>
          <w:tcPr>
            <w:tcW w:w="844" w:type="dxa"/>
          </w:tcPr>
          <w:p>
            <w:pPr>
              <w:pStyle w:val="0"/>
            </w:pPr>
            <w:r>
              <w:rPr>
                <w:sz w:val="20"/>
              </w:rPr>
              <w:t xml:space="preserve">15</w:t>
            </w:r>
          </w:p>
        </w:tc>
        <w:tc>
          <w:tcPr>
            <w:tcW w:w="1159" w:type="dxa"/>
          </w:tcPr>
          <w:p>
            <w:pPr>
              <w:pStyle w:val="0"/>
            </w:pPr>
            <w:r>
              <w:rPr>
                <w:sz w:val="20"/>
              </w:rPr>
              <w:t xml:space="preserve">20</w:t>
            </w:r>
          </w:p>
        </w:tc>
        <w:tc>
          <w:tcPr>
            <w:tcW w:w="724" w:type="dxa"/>
          </w:tcPr>
          <w:p>
            <w:pPr>
              <w:pStyle w:val="0"/>
            </w:pPr>
            <w:r>
              <w:rPr>
                <w:sz w:val="20"/>
              </w:rPr>
              <w:t xml:space="preserve">5</w:t>
            </w:r>
          </w:p>
        </w:tc>
        <w:tc>
          <w:tcPr>
            <w:tcW w:w="1969" w:type="dxa"/>
          </w:tcPr>
          <w:p>
            <w:pPr>
              <w:pStyle w:val="0"/>
            </w:pPr>
            <w:r>
              <w:rPr>
                <w:sz w:val="20"/>
              </w:rPr>
              <w:t xml:space="preserve">3</w:t>
            </w:r>
          </w:p>
        </w:tc>
        <w:tc>
          <w:tcPr>
            <w:tcW w:w="1039" w:type="dxa"/>
          </w:tcPr>
          <w:p>
            <w:pPr>
              <w:pStyle w:val="0"/>
            </w:pPr>
            <w:r>
              <w:rPr>
                <w:sz w:val="20"/>
              </w:rPr>
              <w:t xml:space="preserve">7</w:t>
            </w:r>
          </w:p>
        </w:tc>
        <w:tc>
          <w:tcPr>
            <w:tcW w:w="1339" w:type="dxa"/>
          </w:tcPr>
          <w:p>
            <w:pPr>
              <w:pStyle w:val="0"/>
            </w:pPr>
            <w:r>
              <w:rPr>
                <w:sz w:val="20"/>
              </w:rPr>
              <w:t xml:space="preserve">20</w:t>
            </w:r>
          </w:p>
        </w:tc>
        <w:tc>
          <w:tcPr>
            <w:tcW w:w="1579" w:type="dxa"/>
          </w:tcPr>
          <w:p>
            <w:pPr>
              <w:pStyle w:val="0"/>
            </w:pPr>
            <w:r>
              <w:rPr>
                <w:sz w:val="20"/>
              </w:rPr>
              <w:t xml:space="preserve">20</w:t>
            </w:r>
          </w:p>
        </w:tc>
        <w:tc>
          <w:tcPr>
            <w:tcW w:w="1519" w:type="dxa"/>
          </w:tcPr>
          <w:p>
            <w:pPr>
              <w:pStyle w:val="0"/>
            </w:pPr>
            <w:r>
              <w:rPr>
                <w:sz w:val="20"/>
              </w:rPr>
              <w:t xml:space="preserve">16</w:t>
            </w:r>
          </w:p>
        </w:tc>
        <w:tc>
          <w:tcPr>
            <w:tcW w:w="1294" w:type="dxa"/>
          </w:tcPr>
          <w:p>
            <w:pPr>
              <w:pStyle w:val="0"/>
            </w:pPr>
            <w:r>
              <w:rPr>
                <w:sz w:val="20"/>
              </w:rPr>
              <w:t xml:space="preserve">4</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В настоящее время 28 пациентов (45%) получают комбинированную ЛАГ-специфическую терапию, 34 пациента (55%) - монотерапию.</w:t>
      </w:r>
    </w:p>
    <w:p>
      <w:pPr>
        <w:pStyle w:val="0"/>
        <w:spacing w:before="200" w:line-rule="auto"/>
        <w:ind w:firstLine="540"/>
        <w:jc w:val="both"/>
      </w:pPr>
      <w:r>
        <w:rPr>
          <w:sz w:val="20"/>
        </w:rPr>
        <w:t xml:space="preserve">4. Регистр больных с гиперхолестеринемией.</w:t>
      </w:r>
    </w:p>
    <w:p>
      <w:pPr>
        <w:pStyle w:val="0"/>
        <w:spacing w:before="200" w:line-rule="auto"/>
        <w:ind w:firstLine="540"/>
        <w:jc w:val="both"/>
      </w:pPr>
      <w:r>
        <w:rPr>
          <w:sz w:val="20"/>
        </w:rPr>
        <w:t xml:space="preserve">В Липидном центре, организованном на базе Центра управления рисками в БУ "Окружной кардиологический диспансер "Центр диагностики и сердечно-сосудистой хирургии", ведется 2 регистра пациентов с дислипидемиями: регистр пациентов с семейной гиперхолестеринемией содержит информацию о 60 пациентах; в регистр пациентов высокого риска включены 109 человек, нуждающихся в комбинированной липидснижающей терапии, включая ингибиторы PCSК9.</w:t>
      </w:r>
    </w:p>
    <w:p>
      <w:pPr>
        <w:pStyle w:val="0"/>
        <w:spacing w:before="200" w:line-rule="auto"/>
        <w:ind w:firstLine="540"/>
        <w:jc w:val="both"/>
      </w:pPr>
      <w:r>
        <w:rPr>
          <w:sz w:val="20"/>
        </w:rPr>
        <w:t xml:space="preserve">По состоянию на 01.01.2023 55 пациентов автономного округа обеспечиваются инновационными препаратами эволокумаб и алирокумаб, в том числе 50 за счет средств ОМС, по КСГ, в условиях дневного стационара.</w:t>
      </w:r>
    </w:p>
    <w:p>
      <w:pPr>
        <w:pStyle w:val="0"/>
        <w:spacing w:before="200" w:line-rule="auto"/>
        <w:ind w:firstLine="540"/>
        <w:jc w:val="both"/>
      </w:pPr>
      <w:r>
        <w:rPr>
          <w:sz w:val="20"/>
        </w:rPr>
        <w:t xml:space="preserve">5. Регистр пациентов с имплантированными устройствами</w:t>
      </w:r>
    </w:p>
    <w:p>
      <w:pPr>
        <w:pStyle w:val="0"/>
        <w:spacing w:before="200" w:line-rule="auto"/>
        <w:ind w:firstLine="540"/>
        <w:jc w:val="both"/>
      </w:pPr>
      <w:r>
        <w:rPr>
          <w:sz w:val="20"/>
        </w:rPr>
        <w:t xml:space="preserve">Региональный регистр применения медицинских изделий для лечения сердечно-сосудистых заболеваний по профилю "сердечно-сосудистая хирургия" (кардиостимуляторы, кардиовертеры-дефибрилляторы, ресинхронизирующие устройства). Ведение регистра осуществляется в кабинетах аритмологов поликлиник БУ "Окружной кардиологический диспансер "Центр диагностики и сердечно-сосудистой хирургии", г. Сургут, и БУ "Окружная клиническая больница", г. Ханты-Мансийск.</w:t>
      </w:r>
    </w:p>
    <w:p>
      <w:pPr>
        <w:pStyle w:val="0"/>
        <w:spacing w:before="200" w:line-rule="auto"/>
        <w:ind w:firstLine="540"/>
        <w:jc w:val="both"/>
      </w:pPr>
      <w:r>
        <w:rPr>
          <w:sz w:val="20"/>
        </w:rPr>
        <w:t xml:space="preserve">По состоянию на 1 января 2023 года в региональный регистр внесено: 3664 записи о применении медицинских изделий при сердечно-сосудистых заболеваниях, в т.ч. 3376 - БУ "Окружной кардиологический диспансер "Центр диагностики и сердечно-сосудистой хирургии" (92,5%), 288 - БУ "Окружная клиническая больница" (7,5%).</w:t>
      </w:r>
    </w:p>
    <w:p>
      <w:pPr>
        <w:pStyle w:val="0"/>
        <w:ind w:firstLine="540"/>
        <w:jc w:val="both"/>
      </w:pPr>
      <w:r>
        <w:rPr>
          <w:sz w:val="20"/>
        </w:rPr>
      </w:r>
    </w:p>
    <w:p>
      <w:pPr>
        <w:pStyle w:val="0"/>
        <w:outlineLvl w:val="3"/>
        <w:ind w:firstLine="540"/>
        <w:jc w:val="both"/>
      </w:pPr>
      <w:r>
        <w:rPr>
          <w:sz w:val="20"/>
        </w:rPr>
        <w:t xml:space="preserve">1.5.3. Реализация в автономном округе специализированных программ для больных с сердечно-сосудистыми заболеваниями</w:t>
      </w:r>
    </w:p>
    <w:p>
      <w:pPr>
        <w:pStyle w:val="0"/>
        <w:jc w:val="center"/>
      </w:pPr>
      <w:r>
        <w:rPr>
          <w:sz w:val="20"/>
        </w:rPr>
      </w:r>
    </w:p>
    <w:p>
      <w:pPr>
        <w:pStyle w:val="0"/>
        <w:outlineLvl w:val="3"/>
        <w:ind w:firstLine="540"/>
        <w:jc w:val="both"/>
      </w:pPr>
      <w:r>
        <w:rPr>
          <w:sz w:val="20"/>
        </w:rPr>
        <w:t xml:space="preserve">1.5.4. Работают 2 центра управления сердечно-сосудистыми рисками на базах БУ "Окружной кардиологический диспансер "Центр диагностики и сердечно-сосудистой хирургии" и БУ "Окружная клиническая больница". Центры осуществляют оказание в центрах 3 уровня и координацию оказания в зонах ответственности первичной специализированной медицинской помощи гражданам по следующим направлениям: нарушения липидного обмена, хроническая сердечная недостаточность, резистентная артериальная гипертензия, контроль антикоагулянтной терапии, диагностика одного дня для пациентов с высоким риском сердечно-сосудистых осложнений. Продолжается реализация запланированных мероприятий по каждому направлению работы.</w:t>
      </w:r>
    </w:p>
    <w:p>
      <w:pPr>
        <w:pStyle w:val="0"/>
        <w:spacing w:before="200" w:line-rule="auto"/>
        <w:ind w:firstLine="540"/>
        <w:jc w:val="both"/>
      </w:pPr>
      <w:r>
        <w:rPr>
          <w:sz w:val="20"/>
        </w:rPr>
        <w:t xml:space="preserve">Нарушения липидного обмена.</w:t>
      </w:r>
    </w:p>
    <w:p>
      <w:pPr>
        <w:pStyle w:val="0"/>
        <w:spacing w:before="200" w:line-rule="auto"/>
        <w:ind w:firstLine="540"/>
        <w:jc w:val="both"/>
      </w:pPr>
      <w:r>
        <w:rPr>
          <w:sz w:val="20"/>
        </w:rPr>
        <w:t xml:space="preserve">1. Создано 2 региональных регистра пациентов с дислипидемией, нуждающихся в наблюдении в кабинете нарушений липидного обмена; на 1 января 2023 года в регистрах состоят 169 пациентов.</w:t>
      </w:r>
    </w:p>
    <w:p>
      <w:pPr>
        <w:pStyle w:val="0"/>
        <w:spacing w:before="200" w:line-rule="auto"/>
        <w:ind w:firstLine="540"/>
        <w:jc w:val="both"/>
      </w:pPr>
      <w:r>
        <w:rPr>
          <w:sz w:val="20"/>
        </w:rPr>
        <w:t xml:space="preserve">2. С 2020 года в автономном округе начато обеспечение пациентов очень высокого риска ингибиторами PCSK9 (эволокумаб и алирокумаб):</w:t>
      </w:r>
    </w:p>
    <w:p>
      <w:pPr>
        <w:pStyle w:val="0"/>
        <w:spacing w:before="200" w:line-rule="auto"/>
        <w:ind w:firstLine="540"/>
        <w:jc w:val="both"/>
      </w:pPr>
      <w:r>
        <w:rPr>
          <w:sz w:val="20"/>
        </w:rPr>
        <w:t xml:space="preserve">1) пациенты, являющиеся инвалидами, обеспечиваются за счет федеральной льготы (ОНЛП); препарат постоянно получают 5 пациентов с гиперхолестеринемией, страдающих ИБС;</w:t>
      </w:r>
    </w:p>
    <w:p>
      <w:pPr>
        <w:pStyle w:val="0"/>
        <w:spacing w:before="200" w:line-rule="auto"/>
        <w:ind w:firstLine="540"/>
        <w:jc w:val="both"/>
      </w:pPr>
      <w:r>
        <w:rPr>
          <w:sz w:val="20"/>
        </w:rPr>
        <w:t xml:space="preserve">2) пациенты, не являющиеся инвалидами, обеспечиваются препаратами эволокумаб и алирокумаб путем оказания специализированной медицинской помощи в условиях дневного стационара за счет средств ОМС, по КСГ N 139 (ds36.004) - для дневного стационара; в настоящее время льготное лекарственное обеспечение через дневные стационары получают 50 пациентов.</w:t>
      </w:r>
    </w:p>
    <w:p>
      <w:pPr>
        <w:pStyle w:val="0"/>
        <w:spacing w:before="200" w:line-rule="auto"/>
        <w:ind w:firstLine="540"/>
        <w:jc w:val="both"/>
      </w:pPr>
      <w:r>
        <w:rPr>
          <w:sz w:val="20"/>
        </w:rPr>
        <w:t xml:space="preserve">3. Проконсультированы врачами липидологами БУ "Окружной кардиологический диспансер "Центр диагностики и сердечно-сосудистой хирургии" в 2022 году 4512 пациентов (в 1,8 раз больше, чем в 2021 году).</w:t>
      </w:r>
    </w:p>
    <w:p>
      <w:pPr>
        <w:pStyle w:val="0"/>
        <w:spacing w:before="200" w:line-rule="auto"/>
        <w:ind w:firstLine="540"/>
        <w:jc w:val="both"/>
      </w:pPr>
      <w:r>
        <w:rPr>
          <w:sz w:val="20"/>
        </w:rPr>
        <w:t xml:space="preserve">Хроническая сердечная недостаточность</w:t>
      </w:r>
    </w:p>
    <w:p>
      <w:pPr>
        <w:pStyle w:val="0"/>
        <w:spacing w:before="200" w:line-rule="auto"/>
        <w:ind w:firstLine="540"/>
        <w:jc w:val="both"/>
      </w:pPr>
      <w:r>
        <w:rPr>
          <w:sz w:val="20"/>
        </w:rPr>
        <w:t xml:space="preserve">1. По состоянию на 1 января 2023 года на Д-учете в поликлиниках округа состоят 4288 пациентов с основным диагнозом "хроническая сердечная недостаточность".</w:t>
      </w:r>
    </w:p>
    <w:p>
      <w:pPr>
        <w:pStyle w:val="0"/>
        <w:spacing w:before="200" w:line-rule="auto"/>
        <w:ind w:firstLine="540"/>
        <w:jc w:val="both"/>
      </w:pPr>
      <w:r>
        <w:rPr>
          <w:sz w:val="20"/>
        </w:rPr>
        <w:t xml:space="preserve">2. В БУ "Окружной кардиологический диспансер "Центр диагностики и сердечно-сосудистой хирургии" создана служба для оказания специализированной помощи пациентам с ХСН: кардиологическое отделение N 3 для лечения больных с ХСН, кабинет ХСН в поликлинике для лечения и Д-наблюдения пациентов, ведется регистр пациентов с ХСН. За 2022 год в стационаре БУ "Окружной кардиологический диспансер "Центр диагностики и сердечно-сосудистой хирургии" пролечено 1004 пациента с основным диагнозом ХСН (I50).</w:t>
      </w:r>
    </w:p>
    <w:p>
      <w:pPr>
        <w:pStyle w:val="0"/>
        <w:spacing w:before="200" w:line-rule="auto"/>
        <w:ind w:firstLine="540"/>
        <w:jc w:val="both"/>
      </w:pPr>
      <w:r>
        <w:rPr>
          <w:sz w:val="20"/>
        </w:rPr>
        <w:t xml:space="preserve">3. Издан приказ Депздрава Югры от 18 февраля 2022 года N 314 "О маршрутизации пациентов с хронической сердечной недостаточностью в Ханты-Мансийском автономном округе - Югре", в соответствии с которым создана система оказания медицинской помощи, включающая 4 Региональных центра, 12 Межрайонных центров и 21 амбулаторный кабинет ХСН. Утверждены алгоритмы маршрутизации и схемы терапии пациентов с ХСН. Внедряется единый региональный регистр пациентов с ХСН.</w:t>
      </w:r>
    </w:p>
    <w:p>
      <w:pPr>
        <w:pStyle w:val="0"/>
        <w:spacing w:before="200" w:line-rule="auto"/>
        <w:ind w:firstLine="540"/>
        <w:jc w:val="both"/>
      </w:pPr>
      <w:r>
        <w:rPr>
          <w:sz w:val="20"/>
        </w:rPr>
        <w:t xml:space="preserve">4. С 2021 года осуществляется льготное лекарственное обеспечение пациентов с ХСН инновационными лекарственными препаратами по федеральной льготе.</w:t>
      </w:r>
    </w:p>
    <w:p>
      <w:pPr>
        <w:pStyle w:val="0"/>
        <w:spacing w:before="200" w:line-rule="auto"/>
        <w:ind w:firstLine="540"/>
        <w:jc w:val="both"/>
      </w:pPr>
      <w:r>
        <w:rPr>
          <w:sz w:val="20"/>
        </w:rPr>
        <w:t xml:space="preserve">5. </w:t>
      </w:r>
      <w:hyperlink w:history="0" r:id="rId148" w:tooltip="Постановление Правительства ХМАО - Югры от 14.01.2022 N 2-п &quot;О внесении изменений в постановление Правительства Ханты-Мансийского автономного округа - Югры от 27 февраля 2010 года N 85-п &quot;Об обеспечении отдельных категорий граждан, проживающих в Ханты-Мансийском автономном округе - Югре, лекарственными препаратами, медицинскими изделиями и специализированными продуктами лечебного питания, отпускаемыми по рецептам врачей бесплатно или со скидкой, за счет средств бюджета автономного округа&quot; ------------ Утратил силу или отменен {КонсультантПлюс}">
        <w:r>
          <w:rPr>
            <w:sz w:val="20"/>
            <w:color w:val="0000ff"/>
          </w:rPr>
          <w:t xml:space="preserve">Постановлением</w:t>
        </w:r>
      </w:hyperlink>
      <w:r>
        <w:rPr>
          <w:sz w:val="20"/>
        </w:rPr>
        <w:t xml:space="preserve"> Правительства Ханты-Мансийского автономного округа - Югры от 14 января 2022 года N 2-п "О внесении изменений в постановление Правительства Ханты-Мансийского автономного округа - Югры от 27 февраля 2010 года N 85-п "Об обеспечении отдельных категорий граждан, проживающих в Ханты-Мансийском автономном округе - Югре, лекарственными препаратами, медицинскими изделиями и специализированными продуктами лечебного питания, отпускаемыми по рецептам врачей бесплатно или со скидкой, за счет средств бюджета автономного округа" внедрена новая категория льготы "хроническая сердечная недостаточность со сниженной фракцией выброса левого желудочка" (код 554), утвержден перечень лекарственных препаратов для льготного лекарственного обеспечения, включая бета-блокаторы, блокаторы РААС, диуретики, валсартан+сакубитрил, дапа- и эмпаглифлозин, антагонисты альдостерона, НОАК (ривароксабан, апиксабан, дабигатрана этексилат). По состоянию на 1 января 2023 года льготное лекарственное обеспечение по льготе РЛО получают 2988 пациентов.</w:t>
      </w:r>
    </w:p>
    <w:p>
      <w:pPr>
        <w:pStyle w:val="0"/>
        <w:spacing w:before="200" w:line-rule="auto"/>
        <w:ind w:firstLine="540"/>
        <w:jc w:val="both"/>
      </w:pPr>
      <w:r>
        <w:rPr>
          <w:sz w:val="20"/>
        </w:rPr>
        <w:t xml:space="preserve">С целью реализации новой льготы издан приказ Депздрава Югры от 20 января 2022 года N 83 "Об организации обеспечения в амбулаторных условиях лекарственными препаратами лиц, страдающих хронической сердечной недостаточностью со сниженной фракцией выброса левого желудочка в Ханты-Мансийском автономном округе - Югре".</w:t>
      </w:r>
    </w:p>
    <w:p>
      <w:pPr>
        <w:pStyle w:val="0"/>
        <w:spacing w:before="200" w:line-rule="auto"/>
        <w:ind w:firstLine="540"/>
        <w:jc w:val="both"/>
      </w:pPr>
      <w:r>
        <w:rPr>
          <w:sz w:val="20"/>
        </w:rPr>
        <w:t xml:space="preserve">6. По проекту "ХСН+сахарный диабет" обеспечение пациентов ингибиторами SGLT2 осуществляется за счет бюджета автономного округа по региональной льготе для пациентов с сахарным диабетом; ведется мониторинг обеспечения ингибиторами SGLT2 по региону в целом и в разрезе медорганизаций. За 2022 год число пациентов, обеспеченных SGLT2, возросло на 61,2%: с 5030 человек в 2021 году до 8109 человек в 2022 году. Количество пациентов, получающих препараты класса иНГЛТ-2, возросло с 398 человек в 2021 году до 1296 в 2022 году (рост в 3,2 раза).</w:t>
      </w:r>
    </w:p>
    <w:p>
      <w:pPr>
        <w:pStyle w:val="0"/>
        <w:ind w:firstLine="540"/>
        <w:jc w:val="both"/>
      </w:pPr>
      <w:r>
        <w:rPr>
          <w:sz w:val="20"/>
        </w:rPr>
      </w:r>
    </w:p>
    <w:p>
      <w:pPr>
        <w:pStyle w:val="2"/>
        <w:outlineLvl w:val="3"/>
        <w:ind w:firstLine="540"/>
        <w:jc w:val="both"/>
      </w:pPr>
      <w:r>
        <w:rPr>
          <w:sz w:val="20"/>
        </w:rPr>
        <w:t xml:space="preserve">1.5.5. Оценка организации и оказания медицинской помощи с применением телемедицинских технологий</w:t>
      </w:r>
    </w:p>
    <w:p>
      <w:pPr>
        <w:pStyle w:val="0"/>
        <w:ind w:firstLine="540"/>
        <w:jc w:val="both"/>
      </w:pPr>
      <w:r>
        <w:rPr>
          <w:sz w:val="20"/>
        </w:rPr>
      </w:r>
    </w:p>
    <w:p>
      <w:pPr>
        <w:pStyle w:val="0"/>
        <w:ind w:firstLine="540"/>
        <w:jc w:val="both"/>
      </w:pPr>
      <w:r>
        <w:rPr>
          <w:sz w:val="20"/>
        </w:rPr>
        <w:t xml:space="preserve">За 2022 год проведено 51 совещание в режиме видео-конференц-связи (ВКС) Депздрава Югры по вопросам реализации приоритетных задач здравоохранения автономного округа с участием всех руководителей медицинских организаций округа.</w:t>
      </w:r>
    </w:p>
    <w:p>
      <w:pPr>
        <w:pStyle w:val="0"/>
        <w:spacing w:before="200" w:line-rule="auto"/>
        <w:ind w:firstLine="540"/>
        <w:jc w:val="both"/>
      </w:pPr>
      <w:r>
        <w:rPr>
          <w:sz w:val="20"/>
        </w:rPr>
        <w:t xml:space="preserve">В режиме ВКС еженедельно проводится заседание проектного офиса Депздрава для информирования о промежуточных итогах исполнения регионального проекта "Борьба с сердечно-сосудистыми заболеваниями", текущих значениях целевых показателей, рисках недостижения целевых показателей, разрабатываются предложения по устранению имеющихся рисков.</w:t>
      </w:r>
    </w:p>
    <w:p>
      <w:pPr>
        <w:pStyle w:val="0"/>
        <w:spacing w:before="200" w:line-rule="auto"/>
        <w:ind w:firstLine="540"/>
        <w:jc w:val="both"/>
      </w:pPr>
      <w:r>
        <w:rPr>
          <w:sz w:val="20"/>
        </w:rPr>
        <w:t xml:space="preserve">За 2022 год проведено 29 образовательных мероприятий для более 600 врачей, оказывающих медицинскую помощь пациентам с БСК (научно-практические конференции, семинары, школы, телелекции).</w:t>
      </w:r>
    </w:p>
    <w:p>
      <w:pPr>
        <w:pStyle w:val="0"/>
        <w:spacing w:before="200" w:line-rule="auto"/>
        <w:ind w:firstLine="540"/>
        <w:jc w:val="both"/>
      </w:pPr>
      <w:r>
        <w:rPr>
          <w:sz w:val="20"/>
        </w:rPr>
        <w:t xml:space="preserve">Четырьмя ведущими учреждениями автономного округа проводится более 6000 дистанционных консультаций ежегодно как в плановом, так и в экстренном порядке, в режимах онлайн и офлайн, в том числе с использованием видео-конференц-связи и систем передачи видеоизображений.</w:t>
      </w:r>
    </w:p>
    <w:p>
      <w:pPr>
        <w:pStyle w:val="0"/>
        <w:jc w:val="center"/>
      </w:pPr>
      <w:r>
        <w:rPr>
          <w:sz w:val="20"/>
        </w:rPr>
      </w:r>
    </w:p>
    <w:p>
      <w:pPr>
        <w:pStyle w:val="2"/>
        <w:outlineLvl w:val="4"/>
        <w:jc w:val="center"/>
      </w:pPr>
      <w:r>
        <w:rPr>
          <w:sz w:val="20"/>
        </w:rPr>
        <w:t xml:space="preserve">Использование дистанционных и телемедицинских технологий</w:t>
      </w:r>
    </w:p>
    <w:p>
      <w:pPr>
        <w:pStyle w:val="2"/>
        <w:jc w:val="center"/>
      </w:pPr>
      <w:r>
        <w:rPr>
          <w:sz w:val="20"/>
        </w:rPr>
        <w:t xml:space="preserve">для повышения доступности и качества медицинской помощи</w:t>
      </w:r>
    </w:p>
    <w:p>
      <w:pPr>
        <w:pStyle w:val="2"/>
        <w:jc w:val="center"/>
      </w:pPr>
      <w:r>
        <w:rPr>
          <w:sz w:val="20"/>
        </w:rPr>
        <w:t xml:space="preserve">пациентам с ССЗ</w:t>
      </w:r>
    </w:p>
    <w:p>
      <w:pPr>
        <w:pStyle w:val="0"/>
        <w:jc w:val="center"/>
      </w:pPr>
      <w:r>
        <w:rPr>
          <w:sz w:val="20"/>
        </w:rPr>
      </w:r>
    </w:p>
    <w:p>
      <w:pPr>
        <w:pStyle w:val="0"/>
        <w:ind w:firstLine="540"/>
        <w:jc w:val="both"/>
      </w:pPr>
      <w:r>
        <w:rPr>
          <w:sz w:val="20"/>
        </w:rPr>
        <w:t xml:space="preserve">К Государственной региональной медицинской системе "Удаленное консультирование" подключено 76 удаленных медицинских пунктов, в ней задействовано более 2700 врачей. В 2022 году в системе проведено 31397 телемедицинских консультаций, в том числе 4430 по профилям "кардиология" и "сердечно-сосудистая хирургия" между учреждениями всех 3 уровней. Для обеспечения процессов дистанционного взаимодействия (проведения телемедицинских консультаций) с национальными медицинскими исследовательскими центрами (НМИЦ) Минздрава России к подсистеме "Телемедицинские консультации" ЕГИСЗ подключены 27 медицинских организаций.</w:t>
      </w:r>
    </w:p>
    <w:p>
      <w:pPr>
        <w:pStyle w:val="0"/>
        <w:spacing w:before="200" w:line-rule="auto"/>
        <w:ind w:firstLine="540"/>
        <w:jc w:val="both"/>
      </w:pPr>
      <w:r>
        <w:rPr>
          <w:sz w:val="20"/>
        </w:rPr>
        <w:t xml:space="preserve">В 2022 году в автономном округе проведено 3761 консультация с НМИЦ в федеральной телемедицинской системе, часть из них в режиме онлайн.</w:t>
      </w:r>
    </w:p>
    <w:p>
      <w:pPr>
        <w:pStyle w:val="0"/>
        <w:ind w:firstLine="540"/>
        <w:jc w:val="both"/>
      </w:pPr>
      <w:r>
        <w:rPr>
          <w:sz w:val="20"/>
        </w:rPr>
      </w:r>
    </w:p>
    <w:p>
      <w:pPr>
        <w:pStyle w:val="0"/>
        <w:jc w:val="right"/>
      </w:pPr>
      <w:r>
        <w:rPr>
          <w:sz w:val="20"/>
        </w:rPr>
        <w:t xml:space="preserve">Таблица 57</w:t>
      </w:r>
    </w:p>
    <w:p>
      <w:pPr>
        <w:pStyle w:val="0"/>
        <w:jc w:val="right"/>
      </w:pPr>
      <w:r>
        <w:rPr>
          <w:sz w:val="20"/>
        </w:rPr>
      </w:r>
    </w:p>
    <w:p>
      <w:pPr>
        <w:pStyle w:val="0"/>
        <w:jc w:val="center"/>
      </w:pPr>
      <w:r>
        <w:rPr>
          <w:sz w:val="20"/>
        </w:rPr>
        <w:t xml:space="preserve">Отчет о дистанционных консультациях пациентов с БСК</w:t>
      </w:r>
    </w:p>
    <w:p>
      <w:pPr>
        <w:pStyle w:val="0"/>
        <w:jc w:val="center"/>
      </w:pPr>
      <w:r>
        <w:rPr>
          <w:sz w:val="20"/>
        </w:rPr>
        <w:t xml:space="preserve">в региональной телемедицинской системе ЕГИСЗ за 2022 год</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061"/>
        <w:gridCol w:w="1191"/>
        <w:gridCol w:w="1587"/>
        <w:gridCol w:w="1474"/>
        <w:gridCol w:w="1309"/>
      </w:tblGrid>
      <w:tr>
        <w:tc>
          <w:tcPr>
            <w:tcW w:w="340" w:type="dxa"/>
            <w:vMerge w:val="restart"/>
          </w:tcPr>
          <w:p>
            <w:pPr>
              <w:pStyle w:val="0"/>
              <w:jc w:val="center"/>
            </w:pPr>
            <w:r>
              <w:rPr>
                <w:sz w:val="20"/>
              </w:rPr>
              <w:t xml:space="preserve">N</w:t>
            </w:r>
          </w:p>
        </w:tc>
        <w:tc>
          <w:tcPr>
            <w:tcW w:w="3061" w:type="dxa"/>
            <w:vMerge w:val="restart"/>
          </w:tcPr>
          <w:p>
            <w:pPr>
              <w:pStyle w:val="0"/>
              <w:jc w:val="center"/>
            </w:pPr>
            <w:r>
              <w:rPr>
                <w:sz w:val="20"/>
              </w:rPr>
              <w:t xml:space="preserve">Профиль</w:t>
            </w:r>
          </w:p>
        </w:tc>
        <w:tc>
          <w:tcPr>
            <w:gridSpan w:val="4"/>
            <w:tcW w:w="5561" w:type="dxa"/>
          </w:tcPr>
          <w:p>
            <w:pPr>
              <w:pStyle w:val="0"/>
              <w:jc w:val="center"/>
            </w:pPr>
            <w:r>
              <w:rPr>
                <w:sz w:val="20"/>
              </w:rPr>
              <w:t xml:space="preserve">Количество консультаций</w:t>
            </w:r>
          </w:p>
        </w:tc>
      </w:tr>
      <w:tr>
        <w:tc>
          <w:tcPr>
            <w:vMerge w:val="continue"/>
          </w:tcPr>
          <w:p/>
        </w:tc>
        <w:tc>
          <w:tcPr>
            <w:vMerge w:val="continue"/>
          </w:tcPr>
          <w:p/>
        </w:tc>
        <w:tc>
          <w:tcPr>
            <w:tcW w:w="1191" w:type="dxa"/>
            <w:vMerge w:val="restart"/>
          </w:tcPr>
          <w:p>
            <w:pPr>
              <w:pStyle w:val="0"/>
              <w:jc w:val="center"/>
            </w:pPr>
            <w:r>
              <w:rPr>
                <w:sz w:val="20"/>
              </w:rPr>
              <w:t xml:space="preserve">Всего</w:t>
            </w:r>
          </w:p>
        </w:tc>
        <w:tc>
          <w:tcPr>
            <w:gridSpan w:val="3"/>
            <w:tcW w:w="4370" w:type="dxa"/>
          </w:tcPr>
          <w:p>
            <w:pPr>
              <w:pStyle w:val="0"/>
              <w:jc w:val="center"/>
            </w:pPr>
            <w:r>
              <w:rPr>
                <w:sz w:val="20"/>
              </w:rPr>
              <w:t xml:space="preserve">Из них оказано</w:t>
            </w:r>
          </w:p>
        </w:tc>
      </w:tr>
      <w:tr>
        <w:tc>
          <w:tcPr>
            <w:vMerge w:val="continue"/>
          </w:tcPr>
          <w:p/>
        </w:tc>
        <w:tc>
          <w:tcPr>
            <w:vMerge w:val="continue"/>
          </w:tcPr>
          <w:p/>
        </w:tc>
        <w:tc>
          <w:tcPr>
            <w:vMerge w:val="continue"/>
          </w:tcPr>
          <w:p/>
        </w:tc>
        <w:tc>
          <w:tcPr>
            <w:tcW w:w="1587" w:type="dxa"/>
          </w:tcPr>
          <w:p>
            <w:pPr>
              <w:pStyle w:val="0"/>
              <w:jc w:val="center"/>
            </w:pPr>
            <w:r>
              <w:rPr>
                <w:sz w:val="20"/>
              </w:rPr>
              <w:t xml:space="preserve">плановые</w:t>
            </w:r>
          </w:p>
        </w:tc>
        <w:tc>
          <w:tcPr>
            <w:tcW w:w="1474" w:type="dxa"/>
          </w:tcPr>
          <w:p>
            <w:pPr>
              <w:pStyle w:val="0"/>
              <w:jc w:val="center"/>
            </w:pPr>
            <w:r>
              <w:rPr>
                <w:sz w:val="20"/>
              </w:rPr>
              <w:t xml:space="preserve">неотложные</w:t>
            </w:r>
          </w:p>
        </w:tc>
        <w:tc>
          <w:tcPr>
            <w:tcW w:w="1309" w:type="dxa"/>
          </w:tcPr>
          <w:p>
            <w:pPr>
              <w:pStyle w:val="0"/>
              <w:jc w:val="center"/>
            </w:pPr>
            <w:r>
              <w:rPr>
                <w:sz w:val="20"/>
              </w:rPr>
              <w:t xml:space="preserve">экстренные</w:t>
            </w:r>
          </w:p>
        </w:tc>
      </w:tr>
      <w:tr>
        <w:tc>
          <w:tcPr>
            <w:tcW w:w="340" w:type="dxa"/>
          </w:tcPr>
          <w:p>
            <w:pPr>
              <w:pStyle w:val="0"/>
            </w:pPr>
            <w:r>
              <w:rPr>
                <w:sz w:val="20"/>
              </w:rPr>
              <w:t xml:space="preserve">1.</w:t>
            </w:r>
          </w:p>
        </w:tc>
        <w:tc>
          <w:tcPr>
            <w:tcW w:w="3061" w:type="dxa"/>
          </w:tcPr>
          <w:p>
            <w:pPr>
              <w:pStyle w:val="0"/>
            </w:pPr>
            <w:r>
              <w:rPr>
                <w:sz w:val="20"/>
              </w:rPr>
              <w:t xml:space="preserve">Кардиология</w:t>
            </w:r>
          </w:p>
        </w:tc>
        <w:tc>
          <w:tcPr>
            <w:tcW w:w="1191" w:type="dxa"/>
          </w:tcPr>
          <w:p>
            <w:pPr>
              <w:pStyle w:val="0"/>
            </w:pPr>
            <w:r>
              <w:rPr>
                <w:sz w:val="20"/>
              </w:rPr>
              <w:t xml:space="preserve">2087</w:t>
            </w:r>
          </w:p>
        </w:tc>
        <w:tc>
          <w:tcPr>
            <w:tcW w:w="1587" w:type="dxa"/>
          </w:tcPr>
          <w:p>
            <w:pPr>
              <w:pStyle w:val="0"/>
            </w:pPr>
            <w:r>
              <w:rPr>
                <w:sz w:val="20"/>
              </w:rPr>
              <w:t xml:space="preserve">1754</w:t>
            </w:r>
          </w:p>
        </w:tc>
        <w:tc>
          <w:tcPr>
            <w:tcW w:w="1474" w:type="dxa"/>
          </w:tcPr>
          <w:p>
            <w:pPr>
              <w:pStyle w:val="0"/>
            </w:pPr>
            <w:r>
              <w:rPr>
                <w:sz w:val="20"/>
              </w:rPr>
              <w:t xml:space="preserve">108</w:t>
            </w:r>
          </w:p>
        </w:tc>
        <w:tc>
          <w:tcPr>
            <w:tcW w:w="1309" w:type="dxa"/>
          </w:tcPr>
          <w:p>
            <w:pPr>
              <w:pStyle w:val="0"/>
            </w:pPr>
            <w:r>
              <w:rPr>
                <w:sz w:val="20"/>
              </w:rPr>
              <w:t xml:space="preserve">225</w:t>
            </w:r>
          </w:p>
        </w:tc>
      </w:tr>
      <w:tr>
        <w:tc>
          <w:tcPr>
            <w:tcW w:w="340" w:type="dxa"/>
          </w:tcPr>
          <w:p>
            <w:pPr>
              <w:pStyle w:val="0"/>
            </w:pPr>
            <w:r>
              <w:rPr>
                <w:sz w:val="20"/>
              </w:rPr>
              <w:t xml:space="preserve">2.</w:t>
            </w:r>
          </w:p>
        </w:tc>
        <w:tc>
          <w:tcPr>
            <w:tcW w:w="3061" w:type="dxa"/>
          </w:tcPr>
          <w:p>
            <w:pPr>
              <w:pStyle w:val="0"/>
            </w:pPr>
            <w:r>
              <w:rPr>
                <w:sz w:val="20"/>
              </w:rPr>
              <w:t xml:space="preserve">Детская кардиология</w:t>
            </w:r>
          </w:p>
        </w:tc>
        <w:tc>
          <w:tcPr>
            <w:tcW w:w="1191" w:type="dxa"/>
          </w:tcPr>
          <w:p>
            <w:pPr>
              <w:pStyle w:val="0"/>
            </w:pPr>
            <w:r>
              <w:rPr>
                <w:sz w:val="20"/>
              </w:rPr>
              <w:t xml:space="preserve">610</w:t>
            </w:r>
          </w:p>
        </w:tc>
        <w:tc>
          <w:tcPr>
            <w:tcW w:w="1587" w:type="dxa"/>
          </w:tcPr>
          <w:p>
            <w:pPr>
              <w:pStyle w:val="0"/>
            </w:pPr>
            <w:r>
              <w:rPr>
                <w:sz w:val="20"/>
              </w:rPr>
              <w:t xml:space="preserve">543</w:t>
            </w:r>
          </w:p>
        </w:tc>
        <w:tc>
          <w:tcPr>
            <w:tcW w:w="1474" w:type="dxa"/>
          </w:tcPr>
          <w:p>
            <w:pPr>
              <w:pStyle w:val="0"/>
            </w:pPr>
            <w:r>
              <w:rPr>
                <w:sz w:val="20"/>
              </w:rPr>
              <w:t xml:space="preserve">29</w:t>
            </w:r>
          </w:p>
        </w:tc>
        <w:tc>
          <w:tcPr>
            <w:tcW w:w="1309" w:type="dxa"/>
          </w:tcPr>
          <w:p>
            <w:pPr>
              <w:pStyle w:val="0"/>
            </w:pPr>
            <w:r>
              <w:rPr>
                <w:sz w:val="20"/>
              </w:rPr>
              <w:t xml:space="preserve">38</w:t>
            </w:r>
          </w:p>
        </w:tc>
      </w:tr>
      <w:tr>
        <w:tc>
          <w:tcPr>
            <w:tcW w:w="340" w:type="dxa"/>
          </w:tcPr>
          <w:p>
            <w:pPr>
              <w:pStyle w:val="0"/>
            </w:pPr>
            <w:r>
              <w:rPr>
                <w:sz w:val="20"/>
              </w:rPr>
              <w:t xml:space="preserve">3.</w:t>
            </w:r>
          </w:p>
        </w:tc>
        <w:tc>
          <w:tcPr>
            <w:tcW w:w="3061" w:type="dxa"/>
          </w:tcPr>
          <w:p>
            <w:pPr>
              <w:pStyle w:val="0"/>
            </w:pPr>
            <w:r>
              <w:rPr>
                <w:sz w:val="20"/>
              </w:rPr>
              <w:t xml:space="preserve">Сердечно-сосудистая хирургия</w:t>
            </w:r>
          </w:p>
        </w:tc>
        <w:tc>
          <w:tcPr>
            <w:tcW w:w="1191" w:type="dxa"/>
          </w:tcPr>
          <w:p>
            <w:pPr>
              <w:pStyle w:val="0"/>
            </w:pPr>
            <w:r>
              <w:rPr>
                <w:sz w:val="20"/>
              </w:rPr>
              <w:t xml:space="preserve">672</w:t>
            </w:r>
          </w:p>
        </w:tc>
        <w:tc>
          <w:tcPr>
            <w:tcW w:w="1587" w:type="dxa"/>
          </w:tcPr>
          <w:p>
            <w:pPr>
              <w:pStyle w:val="0"/>
            </w:pPr>
            <w:r>
              <w:rPr>
                <w:sz w:val="20"/>
              </w:rPr>
              <w:t xml:space="preserve">583</w:t>
            </w:r>
          </w:p>
        </w:tc>
        <w:tc>
          <w:tcPr>
            <w:tcW w:w="1474" w:type="dxa"/>
          </w:tcPr>
          <w:p>
            <w:pPr>
              <w:pStyle w:val="0"/>
            </w:pPr>
            <w:r>
              <w:rPr>
                <w:sz w:val="20"/>
              </w:rPr>
              <w:t xml:space="preserve">24</w:t>
            </w:r>
          </w:p>
        </w:tc>
        <w:tc>
          <w:tcPr>
            <w:tcW w:w="1309" w:type="dxa"/>
          </w:tcPr>
          <w:p>
            <w:pPr>
              <w:pStyle w:val="0"/>
            </w:pPr>
            <w:r>
              <w:rPr>
                <w:sz w:val="20"/>
              </w:rPr>
              <w:t xml:space="preserve">65</w:t>
            </w:r>
          </w:p>
        </w:tc>
      </w:tr>
      <w:tr>
        <w:tc>
          <w:tcPr>
            <w:tcW w:w="340" w:type="dxa"/>
          </w:tcPr>
          <w:p>
            <w:pPr>
              <w:pStyle w:val="0"/>
            </w:pPr>
            <w:r>
              <w:rPr>
                <w:sz w:val="20"/>
              </w:rPr>
              <w:t xml:space="preserve">4.</w:t>
            </w:r>
          </w:p>
        </w:tc>
        <w:tc>
          <w:tcPr>
            <w:tcW w:w="3061" w:type="dxa"/>
          </w:tcPr>
          <w:p>
            <w:pPr>
              <w:pStyle w:val="0"/>
            </w:pPr>
            <w:r>
              <w:rPr>
                <w:sz w:val="20"/>
              </w:rPr>
              <w:t xml:space="preserve">Анестезиология и реаниматология</w:t>
            </w:r>
          </w:p>
        </w:tc>
        <w:tc>
          <w:tcPr>
            <w:tcW w:w="1191" w:type="dxa"/>
          </w:tcPr>
          <w:p>
            <w:pPr>
              <w:pStyle w:val="0"/>
            </w:pPr>
            <w:r>
              <w:rPr>
                <w:sz w:val="20"/>
              </w:rPr>
              <w:t xml:space="preserve">128</w:t>
            </w:r>
          </w:p>
        </w:tc>
        <w:tc>
          <w:tcPr>
            <w:tcW w:w="1587" w:type="dxa"/>
          </w:tcPr>
          <w:p>
            <w:pPr>
              <w:pStyle w:val="0"/>
            </w:pPr>
            <w:r>
              <w:rPr>
                <w:sz w:val="20"/>
              </w:rPr>
              <w:t xml:space="preserve">37</w:t>
            </w:r>
          </w:p>
        </w:tc>
        <w:tc>
          <w:tcPr>
            <w:tcW w:w="1474" w:type="dxa"/>
          </w:tcPr>
          <w:p>
            <w:pPr>
              <w:pStyle w:val="0"/>
            </w:pPr>
            <w:r>
              <w:rPr>
                <w:sz w:val="20"/>
              </w:rPr>
              <w:t xml:space="preserve">23</w:t>
            </w:r>
          </w:p>
        </w:tc>
        <w:tc>
          <w:tcPr>
            <w:tcW w:w="1309" w:type="dxa"/>
          </w:tcPr>
          <w:p>
            <w:pPr>
              <w:pStyle w:val="0"/>
            </w:pPr>
            <w:r>
              <w:rPr>
                <w:sz w:val="20"/>
              </w:rPr>
              <w:t xml:space="preserve">68</w:t>
            </w:r>
          </w:p>
        </w:tc>
      </w:tr>
      <w:tr>
        <w:tc>
          <w:tcPr>
            <w:tcW w:w="340" w:type="dxa"/>
          </w:tcPr>
          <w:p>
            <w:pPr>
              <w:pStyle w:val="0"/>
            </w:pPr>
            <w:r>
              <w:rPr>
                <w:sz w:val="20"/>
              </w:rPr>
            </w:r>
          </w:p>
        </w:tc>
        <w:tc>
          <w:tcPr>
            <w:tcW w:w="3061" w:type="dxa"/>
          </w:tcPr>
          <w:p>
            <w:pPr>
              <w:pStyle w:val="0"/>
            </w:pPr>
            <w:r>
              <w:rPr>
                <w:sz w:val="20"/>
              </w:rPr>
              <w:t xml:space="preserve">Итого</w:t>
            </w:r>
          </w:p>
        </w:tc>
        <w:tc>
          <w:tcPr>
            <w:tcW w:w="1191" w:type="dxa"/>
          </w:tcPr>
          <w:p>
            <w:pPr>
              <w:pStyle w:val="0"/>
            </w:pPr>
            <w:r>
              <w:rPr>
                <w:sz w:val="20"/>
              </w:rPr>
              <w:t xml:space="preserve">3497</w:t>
            </w:r>
          </w:p>
        </w:tc>
        <w:tc>
          <w:tcPr>
            <w:tcW w:w="1587" w:type="dxa"/>
          </w:tcPr>
          <w:p>
            <w:pPr>
              <w:pStyle w:val="0"/>
            </w:pPr>
            <w:r>
              <w:rPr>
                <w:sz w:val="20"/>
              </w:rPr>
              <w:t xml:space="preserve">2917</w:t>
            </w:r>
          </w:p>
        </w:tc>
        <w:tc>
          <w:tcPr>
            <w:tcW w:w="1474" w:type="dxa"/>
          </w:tcPr>
          <w:p>
            <w:pPr>
              <w:pStyle w:val="0"/>
            </w:pPr>
            <w:r>
              <w:rPr>
                <w:sz w:val="20"/>
              </w:rPr>
              <w:t xml:space="preserve">184</w:t>
            </w:r>
          </w:p>
        </w:tc>
        <w:tc>
          <w:tcPr>
            <w:tcW w:w="1309" w:type="dxa"/>
          </w:tcPr>
          <w:p>
            <w:pPr>
              <w:pStyle w:val="0"/>
            </w:pPr>
            <w:r>
              <w:rPr>
                <w:sz w:val="20"/>
              </w:rPr>
              <w:t xml:space="preserve">396</w:t>
            </w:r>
          </w:p>
        </w:tc>
      </w:tr>
    </w:tbl>
    <w:p>
      <w:pPr>
        <w:pStyle w:val="0"/>
        <w:ind w:firstLine="540"/>
        <w:jc w:val="both"/>
      </w:pPr>
      <w:r>
        <w:rPr>
          <w:sz w:val="20"/>
        </w:rPr>
      </w:r>
    </w:p>
    <w:p>
      <w:pPr>
        <w:pStyle w:val="0"/>
        <w:ind w:firstLine="540"/>
        <w:jc w:val="both"/>
      </w:pPr>
      <w:r>
        <w:rPr>
          <w:sz w:val="20"/>
        </w:rPr>
        <w:t xml:space="preserve">На федеральном уровне дистанционная консультативная работа с НМИЦ и федеральными медицинскими центрами выполняется через Федеральную телемедицинскую систему Минздрава РФ и заочное рассмотрение документов по электронной почте. За 2022 год проведено 304 телемедицинские консультации с федеральными медицинскими центрами РФ по профилям "кардиология" и "сердечно-сосудистая хирургия".</w:t>
      </w:r>
    </w:p>
    <w:p>
      <w:pPr>
        <w:pStyle w:val="0"/>
        <w:spacing w:before="200" w:line-rule="auto"/>
        <w:ind w:firstLine="540"/>
        <w:jc w:val="both"/>
      </w:pPr>
      <w:r>
        <w:rPr>
          <w:sz w:val="20"/>
        </w:rPr>
        <w:t xml:space="preserve">За 2022 год проведено 3497 телемедицинских консультаций, что на 33,8% больше, чем в 2021 году, из них в плановом порядке - 2917 (83,4%) телеконсультаций, в неотложном - 184 (5,3%), экстренных - 396 (11,3%).</w:t>
      </w:r>
    </w:p>
    <w:p>
      <w:pPr>
        <w:pStyle w:val="0"/>
        <w:spacing w:before="200" w:line-rule="auto"/>
        <w:ind w:firstLine="540"/>
        <w:jc w:val="both"/>
      </w:pPr>
      <w:r>
        <w:rPr>
          <w:sz w:val="20"/>
        </w:rPr>
        <w:t xml:space="preserve">С июня 2019 года внедрена практика проведения виртуальных. Всего за 2022 год состоялось 26 врачебных обходов пациентов с ОКС, находящихся в БУ "Окружной кардиологический диспансер "Центр диагностики и сердечно-сосудистой хирургии", с курирующим НМИЦ (НМИЦ кардиологии), рассмотрены истории болезней 38 пациентов.</w:t>
      </w:r>
    </w:p>
    <w:p>
      <w:pPr>
        <w:pStyle w:val="0"/>
        <w:spacing w:before="200" w:line-rule="auto"/>
        <w:ind w:firstLine="540"/>
        <w:jc w:val="both"/>
      </w:pPr>
      <w:r>
        <w:rPr>
          <w:sz w:val="20"/>
        </w:rPr>
        <w:t xml:space="preserve">С 2004 года на базе БУ "Окружной кардиологический диспансер "Центр диагностики и сердечно-сосудистой хирургии" функционирует система консультирования пациентов кардиологического и кардиохирургического профилей - кардиобюро.</w:t>
      </w:r>
    </w:p>
    <w:p>
      <w:pPr>
        <w:pStyle w:val="0"/>
        <w:spacing w:before="200" w:line-rule="auto"/>
        <w:ind w:firstLine="540"/>
        <w:jc w:val="both"/>
      </w:pPr>
      <w:r>
        <w:rPr>
          <w:sz w:val="20"/>
        </w:rPr>
        <w:t xml:space="preserve">Его работа распределена по группам в зависимости от нозологий:</w:t>
      </w:r>
    </w:p>
    <w:p>
      <w:pPr>
        <w:pStyle w:val="0"/>
        <w:spacing w:before="200" w:line-rule="auto"/>
        <w:ind w:firstLine="540"/>
        <w:jc w:val="both"/>
      </w:pPr>
      <w:r>
        <w:rPr>
          <w:sz w:val="20"/>
        </w:rPr>
        <w:t xml:space="preserve">группа 1 - врожденные пороки сердца у детей и пороки развития плода;</w:t>
      </w:r>
    </w:p>
    <w:p>
      <w:pPr>
        <w:pStyle w:val="0"/>
        <w:spacing w:before="200" w:line-rule="auto"/>
        <w:ind w:firstLine="540"/>
        <w:jc w:val="both"/>
      </w:pPr>
      <w:r>
        <w:rPr>
          <w:sz w:val="20"/>
        </w:rPr>
        <w:t xml:space="preserve">группа 2 - нарушения ритма и проводимости сердца у лиц всех возрастных категорий;</w:t>
      </w:r>
    </w:p>
    <w:p>
      <w:pPr>
        <w:pStyle w:val="0"/>
        <w:spacing w:before="200" w:line-rule="auto"/>
        <w:ind w:firstLine="540"/>
        <w:jc w:val="both"/>
      </w:pPr>
      <w:r>
        <w:rPr>
          <w:sz w:val="20"/>
        </w:rPr>
        <w:t xml:space="preserve">группа 3 - БСК, не требующие хирургической коррекции;</w:t>
      </w:r>
    </w:p>
    <w:p>
      <w:pPr>
        <w:pStyle w:val="0"/>
        <w:spacing w:before="200" w:line-rule="auto"/>
        <w:ind w:firstLine="540"/>
        <w:jc w:val="both"/>
      </w:pPr>
      <w:r>
        <w:rPr>
          <w:sz w:val="20"/>
        </w:rPr>
        <w:t xml:space="preserve">группа 4 - БСК кардиохирургического профиля.</w:t>
      </w:r>
    </w:p>
    <w:p>
      <w:pPr>
        <w:pStyle w:val="0"/>
        <w:spacing w:before="200" w:line-rule="auto"/>
        <w:ind w:firstLine="540"/>
        <w:jc w:val="both"/>
      </w:pPr>
      <w:r>
        <w:rPr>
          <w:sz w:val="20"/>
        </w:rPr>
        <w:t xml:space="preserve">В каждой группе разный состав врачей экспертов (4 - 5) из числа ведущих специалистов учреждения, председатель кардиобюро - главный внештатный кардиолог Депздрава Югры.</w:t>
      </w:r>
    </w:p>
    <w:p>
      <w:pPr>
        <w:pStyle w:val="0"/>
        <w:spacing w:before="200" w:line-rule="auto"/>
        <w:ind w:firstLine="540"/>
        <w:jc w:val="both"/>
      </w:pPr>
      <w:r>
        <w:rPr>
          <w:sz w:val="20"/>
        </w:rPr>
        <w:t xml:space="preserve">С 1 января 2021 года отдельно выделена 5 группа кардиобюро для консультирования пациентов с гиперхолестеринемией. Пациенты с семейной гиперлипидемией и сложными формами атеросклероза имеют высокий риск развития БСК, находятся на учете в регистре "Ренессанс" и требуют командного мультидисциплинарного подхода к лечению, что явилось основанием для выделения данной группы. В 2022 году 55 пациентов получали моноклональные антитела - ингибиторы PCSK9 для лечения гиперлипидемии (Эволокумаб, Алирокумаб).</w:t>
      </w:r>
    </w:p>
    <w:p>
      <w:pPr>
        <w:pStyle w:val="0"/>
        <w:ind w:firstLine="540"/>
        <w:jc w:val="both"/>
      </w:pPr>
      <w:r>
        <w:rPr>
          <w:sz w:val="20"/>
        </w:rPr>
      </w:r>
    </w:p>
    <w:p>
      <w:pPr>
        <w:pStyle w:val="0"/>
        <w:jc w:val="right"/>
      </w:pPr>
      <w:r>
        <w:rPr>
          <w:sz w:val="20"/>
        </w:rPr>
        <w:t xml:space="preserve">Таблица 58</w:t>
      </w:r>
    </w:p>
    <w:p>
      <w:pPr>
        <w:pStyle w:val="0"/>
        <w:jc w:val="right"/>
      </w:pPr>
      <w:r>
        <w:rPr>
          <w:sz w:val="20"/>
        </w:rPr>
      </w:r>
    </w:p>
    <w:p>
      <w:pPr>
        <w:pStyle w:val="0"/>
        <w:jc w:val="center"/>
      </w:pPr>
      <w:r>
        <w:rPr>
          <w:sz w:val="20"/>
        </w:rPr>
        <w:t xml:space="preserve">Структура проведенных консультаций кардиобюро и направлений</w:t>
      </w:r>
    </w:p>
    <w:p>
      <w:pPr>
        <w:pStyle w:val="0"/>
        <w:jc w:val="center"/>
      </w:pPr>
      <w:r>
        <w:rPr>
          <w:sz w:val="20"/>
        </w:rPr>
        <w:t xml:space="preserve">в Федеральные медицинские центры РФ за 2020 - 2022 годы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139"/>
        <w:gridCol w:w="1304"/>
        <w:gridCol w:w="1134"/>
        <w:gridCol w:w="1134"/>
        <w:gridCol w:w="1361"/>
      </w:tblGrid>
      <w:tr>
        <w:tc>
          <w:tcPr>
            <w:tcW w:w="4139" w:type="dxa"/>
          </w:tcPr>
          <w:p>
            <w:pPr>
              <w:pStyle w:val="0"/>
              <w:jc w:val="center"/>
            </w:pPr>
            <w:r>
              <w:rPr>
                <w:sz w:val="20"/>
              </w:rPr>
              <w:t xml:space="preserve">Показатель</w:t>
            </w:r>
          </w:p>
        </w:tc>
        <w:tc>
          <w:tcPr>
            <w:tcW w:w="1304" w:type="dxa"/>
          </w:tcPr>
          <w:p>
            <w:pPr>
              <w:pStyle w:val="0"/>
              <w:jc w:val="center"/>
            </w:pPr>
            <w:r>
              <w:rPr>
                <w:sz w:val="20"/>
              </w:rPr>
              <w:t xml:space="preserve">2020 г.</w:t>
            </w:r>
          </w:p>
        </w:tc>
        <w:tc>
          <w:tcPr>
            <w:tcW w:w="1134" w:type="dxa"/>
          </w:tcPr>
          <w:p>
            <w:pPr>
              <w:pStyle w:val="0"/>
              <w:jc w:val="center"/>
            </w:pPr>
            <w:r>
              <w:rPr>
                <w:sz w:val="20"/>
              </w:rPr>
              <w:t xml:space="preserve">2021 г.</w:t>
            </w:r>
          </w:p>
        </w:tc>
        <w:tc>
          <w:tcPr>
            <w:tcW w:w="1134" w:type="dxa"/>
          </w:tcPr>
          <w:p>
            <w:pPr>
              <w:pStyle w:val="0"/>
              <w:jc w:val="center"/>
            </w:pPr>
            <w:r>
              <w:rPr>
                <w:sz w:val="20"/>
              </w:rPr>
              <w:t xml:space="preserve">2022 г.</w:t>
            </w:r>
          </w:p>
        </w:tc>
        <w:tc>
          <w:tcPr>
            <w:tcW w:w="1361" w:type="dxa"/>
          </w:tcPr>
          <w:p>
            <w:pPr>
              <w:pStyle w:val="0"/>
              <w:jc w:val="center"/>
            </w:pPr>
            <w:r>
              <w:rPr>
                <w:sz w:val="20"/>
              </w:rPr>
              <w:t xml:space="preserve">Динамика 2022/2021</w:t>
            </w:r>
          </w:p>
        </w:tc>
      </w:tr>
      <w:tr>
        <w:tc>
          <w:tcPr>
            <w:tcW w:w="4139" w:type="dxa"/>
          </w:tcPr>
          <w:p>
            <w:pPr>
              <w:pStyle w:val="0"/>
            </w:pPr>
            <w:r>
              <w:rPr>
                <w:sz w:val="20"/>
              </w:rPr>
              <w:t xml:space="preserve">Проведено заседаний кардиобюро всего, в т.ч. по группам:</w:t>
            </w:r>
          </w:p>
        </w:tc>
        <w:tc>
          <w:tcPr>
            <w:tcW w:w="1304" w:type="dxa"/>
          </w:tcPr>
          <w:p>
            <w:pPr>
              <w:pStyle w:val="0"/>
            </w:pPr>
            <w:r>
              <w:rPr>
                <w:sz w:val="20"/>
              </w:rPr>
              <w:t xml:space="preserve">1542</w:t>
            </w:r>
          </w:p>
        </w:tc>
        <w:tc>
          <w:tcPr>
            <w:tcW w:w="1134" w:type="dxa"/>
          </w:tcPr>
          <w:p>
            <w:pPr>
              <w:pStyle w:val="0"/>
            </w:pPr>
            <w:r>
              <w:rPr>
                <w:sz w:val="20"/>
              </w:rPr>
              <w:t xml:space="preserve">1837</w:t>
            </w:r>
          </w:p>
        </w:tc>
        <w:tc>
          <w:tcPr>
            <w:tcW w:w="1134" w:type="dxa"/>
          </w:tcPr>
          <w:p>
            <w:pPr>
              <w:pStyle w:val="0"/>
            </w:pPr>
            <w:r>
              <w:rPr>
                <w:sz w:val="20"/>
              </w:rPr>
              <w:t xml:space="preserve">1385</w:t>
            </w:r>
          </w:p>
        </w:tc>
        <w:tc>
          <w:tcPr>
            <w:tcW w:w="1361" w:type="dxa"/>
          </w:tcPr>
          <w:p>
            <w:pPr>
              <w:pStyle w:val="0"/>
            </w:pPr>
            <w:r>
              <w:rPr>
                <w:sz w:val="20"/>
              </w:rPr>
              <w:t xml:space="preserve">-24,6%</w:t>
            </w:r>
          </w:p>
        </w:tc>
      </w:tr>
      <w:tr>
        <w:tc>
          <w:tcPr>
            <w:tcW w:w="4139" w:type="dxa"/>
          </w:tcPr>
          <w:p>
            <w:pPr>
              <w:pStyle w:val="0"/>
            </w:pPr>
            <w:r>
              <w:rPr>
                <w:sz w:val="20"/>
              </w:rPr>
              <w:t xml:space="preserve">1) 1 группа кардиобюро</w:t>
            </w:r>
          </w:p>
        </w:tc>
        <w:tc>
          <w:tcPr>
            <w:tcW w:w="1304" w:type="dxa"/>
          </w:tcPr>
          <w:p>
            <w:pPr>
              <w:pStyle w:val="0"/>
            </w:pPr>
            <w:r>
              <w:rPr>
                <w:sz w:val="20"/>
              </w:rPr>
              <w:t xml:space="preserve">513</w:t>
            </w:r>
          </w:p>
        </w:tc>
        <w:tc>
          <w:tcPr>
            <w:tcW w:w="1134" w:type="dxa"/>
          </w:tcPr>
          <w:p>
            <w:pPr>
              <w:pStyle w:val="0"/>
            </w:pPr>
            <w:r>
              <w:rPr>
                <w:sz w:val="20"/>
              </w:rPr>
              <w:t xml:space="preserve">522</w:t>
            </w:r>
          </w:p>
        </w:tc>
        <w:tc>
          <w:tcPr>
            <w:tcW w:w="1134" w:type="dxa"/>
          </w:tcPr>
          <w:p>
            <w:pPr>
              <w:pStyle w:val="0"/>
            </w:pPr>
            <w:r>
              <w:rPr>
                <w:sz w:val="20"/>
              </w:rPr>
              <w:t xml:space="preserve">471</w:t>
            </w:r>
          </w:p>
        </w:tc>
        <w:tc>
          <w:tcPr>
            <w:tcW w:w="1361" w:type="dxa"/>
          </w:tcPr>
          <w:p>
            <w:pPr>
              <w:pStyle w:val="0"/>
            </w:pPr>
            <w:r>
              <w:rPr>
                <w:sz w:val="20"/>
              </w:rPr>
              <w:t xml:space="preserve">-9,7%</w:t>
            </w:r>
          </w:p>
        </w:tc>
      </w:tr>
      <w:tr>
        <w:tc>
          <w:tcPr>
            <w:tcW w:w="4139" w:type="dxa"/>
          </w:tcPr>
          <w:p>
            <w:pPr>
              <w:pStyle w:val="0"/>
            </w:pPr>
            <w:r>
              <w:rPr>
                <w:sz w:val="20"/>
              </w:rPr>
              <w:t xml:space="preserve">2) 2 группа кардиобюро</w:t>
            </w:r>
          </w:p>
        </w:tc>
        <w:tc>
          <w:tcPr>
            <w:tcW w:w="1304" w:type="dxa"/>
          </w:tcPr>
          <w:p>
            <w:pPr>
              <w:pStyle w:val="0"/>
            </w:pPr>
            <w:r>
              <w:rPr>
                <w:sz w:val="20"/>
              </w:rPr>
              <w:t xml:space="preserve">352</w:t>
            </w:r>
          </w:p>
        </w:tc>
        <w:tc>
          <w:tcPr>
            <w:tcW w:w="1134" w:type="dxa"/>
          </w:tcPr>
          <w:p>
            <w:pPr>
              <w:pStyle w:val="0"/>
            </w:pPr>
            <w:r>
              <w:rPr>
                <w:sz w:val="20"/>
              </w:rPr>
              <w:t xml:space="preserve">502</w:t>
            </w:r>
          </w:p>
        </w:tc>
        <w:tc>
          <w:tcPr>
            <w:tcW w:w="1134" w:type="dxa"/>
          </w:tcPr>
          <w:p>
            <w:pPr>
              <w:pStyle w:val="0"/>
            </w:pPr>
            <w:r>
              <w:rPr>
                <w:sz w:val="20"/>
              </w:rPr>
              <w:t xml:space="preserve">458</w:t>
            </w:r>
          </w:p>
        </w:tc>
        <w:tc>
          <w:tcPr>
            <w:tcW w:w="1361" w:type="dxa"/>
          </w:tcPr>
          <w:p>
            <w:pPr>
              <w:pStyle w:val="0"/>
            </w:pPr>
            <w:r>
              <w:rPr>
                <w:sz w:val="20"/>
              </w:rPr>
              <w:t xml:space="preserve">-8,7%</w:t>
            </w:r>
          </w:p>
        </w:tc>
      </w:tr>
      <w:tr>
        <w:tc>
          <w:tcPr>
            <w:tcW w:w="4139" w:type="dxa"/>
          </w:tcPr>
          <w:p>
            <w:pPr>
              <w:pStyle w:val="0"/>
            </w:pPr>
            <w:r>
              <w:rPr>
                <w:sz w:val="20"/>
              </w:rPr>
              <w:t xml:space="preserve">3) 3 группа кардиобюро</w:t>
            </w:r>
          </w:p>
        </w:tc>
        <w:tc>
          <w:tcPr>
            <w:tcW w:w="1304" w:type="dxa"/>
          </w:tcPr>
          <w:p>
            <w:pPr>
              <w:pStyle w:val="0"/>
            </w:pPr>
            <w:r>
              <w:rPr>
                <w:sz w:val="20"/>
              </w:rPr>
              <w:t xml:space="preserve">167</w:t>
            </w:r>
          </w:p>
        </w:tc>
        <w:tc>
          <w:tcPr>
            <w:tcW w:w="1134" w:type="dxa"/>
          </w:tcPr>
          <w:p>
            <w:pPr>
              <w:pStyle w:val="0"/>
            </w:pPr>
            <w:r>
              <w:rPr>
                <w:sz w:val="20"/>
              </w:rPr>
              <w:t xml:space="preserve">333</w:t>
            </w:r>
          </w:p>
        </w:tc>
        <w:tc>
          <w:tcPr>
            <w:tcW w:w="1134" w:type="dxa"/>
          </w:tcPr>
          <w:p>
            <w:pPr>
              <w:pStyle w:val="0"/>
            </w:pPr>
            <w:r>
              <w:rPr>
                <w:sz w:val="20"/>
              </w:rPr>
              <w:t xml:space="preserve">225</w:t>
            </w:r>
          </w:p>
        </w:tc>
        <w:tc>
          <w:tcPr>
            <w:tcW w:w="1361" w:type="dxa"/>
          </w:tcPr>
          <w:p>
            <w:pPr>
              <w:pStyle w:val="0"/>
            </w:pPr>
            <w:r>
              <w:rPr>
                <w:sz w:val="20"/>
              </w:rPr>
              <w:t xml:space="preserve">-32,4%</w:t>
            </w:r>
          </w:p>
        </w:tc>
      </w:tr>
      <w:tr>
        <w:tc>
          <w:tcPr>
            <w:tcW w:w="4139" w:type="dxa"/>
          </w:tcPr>
          <w:p>
            <w:pPr>
              <w:pStyle w:val="0"/>
            </w:pPr>
            <w:r>
              <w:rPr>
                <w:sz w:val="20"/>
              </w:rPr>
              <w:t xml:space="preserve">4) 4 группа кардиобюро</w:t>
            </w:r>
          </w:p>
        </w:tc>
        <w:tc>
          <w:tcPr>
            <w:tcW w:w="1304" w:type="dxa"/>
          </w:tcPr>
          <w:p>
            <w:pPr>
              <w:pStyle w:val="0"/>
            </w:pPr>
            <w:r>
              <w:rPr>
                <w:sz w:val="20"/>
              </w:rPr>
              <w:t xml:space="preserve">510</w:t>
            </w:r>
          </w:p>
        </w:tc>
        <w:tc>
          <w:tcPr>
            <w:tcW w:w="1134" w:type="dxa"/>
          </w:tcPr>
          <w:p>
            <w:pPr>
              <w:pStyle w:val="0"/>
            </w:pPr>
            <w:r>
              <w:rPr>
                <w:sz w:val="20"/>
              </w:rPr>
              <w:t xml:space="preserve">449</w:t>
            </w:r>
          </w:p>
        </w:tc>
        <w:tc>
          <w:tcPr>
            <w:tcW w:w="1134" w:type="dxa"/>
          </w:tcPr>
          <w:p>
            <w:pPr>
              <w:pStyle w:val="0"/>
            </w:pPr>
            <w:r>
              <w:rPr>
                <w:sz w:val="20"/>
              </w:rPr>
              <w:t xml:space="preserve">179</w:t>
            </w:r>
          </w:p>
        </w:tc>
        <w:tc>
          <w:tcPr>
            <w:tcW w:w="1361" w:type="dxa"/>
          </w:tcPr>
          <w:p>
            <w:pPr>
              <w:pStyle w:val="0"/>
            </w:pPr>
            <w:r>
              <w:rPr>
                <w:sz w:val="20"/>
              </w:rPr>
              <w:t xml:space="preserve">-60,1%</w:t>
            </w:r>
          </w:p>
        </w:tc>
      </w:tr>
      <w:tr>
        <w:tc>
          <w:tcPr>
            <w:tcW w:w="4139" w:type="dxa"/>
          </w:tcPr>
          <w:p>
            <w:pPr>
              <w:pStyle w:val="0"/>
            </w:pPr>
            <w:r>
              <w:rPr>
                <w:sz w:val="20"/>
              </w:rPr>
              <w:t xml:space="preserve">5) 5 группа кардиобюро</w:t>
            </w:r>
          </w:p>
        </w:tc>
        <w:tc>
          <w:tcPr>
            <w:tcW w:w="1304" w:type="dxa"/>
          </w:tcPr>
          <w:p>
            <w:pPr>
              <w:pStyle w:val="0"/>
            </w:pPr>
            <w:r>
              <w:rPr>
                <w:sz w:val="20"/>
              </w:rPr>
              <w:t xml:space="preserve">0</w:t>
            </w:r>
          </w:p>
        </w:tc>
        <w:tc>
          <w:tcPr>
            <w:tcW w:w="1134" w:type="dxa"/>
          </w:tcPr>
          <w:p>
            <w:pPr>
              <w:pStyle w:val="0"/>
            </w:pPr>
            <w:r>
              <w:rPr>
                <w:sz w:val="20"/>
              </w:rPr>
              <w:t xml:space="preserve">31</w:t>
            </w:r>
          </w:p>
        </w:tc>
        <w:tc>
          <w:tcPr>
            <w:tcW w:w="1134" w:type="dxa"/>
          </w:tcPr>
          <w:p>
            <w:pPr>
              <w:pStyle w:val="0"/>
            </w:pPr>
            <w:r>
              <w:rPr>
                <w:sz w:val="20"/>
              </w:rPr>
              <w:t xml:space="preserve">24</w:t>
            </w:r>
          </w:p>
        </w:tc>
        <w:tc>
          <w:tcPr>
            <w:tcW w:w="1361" w:type="dxa"/>
          </w:tcPr>
          <w:p>
            <w:pPr>
              <w:pStyle w:val="0"/>
            </w:pPr>
            <w:r>
              <w:rPr>
                <w:sz w:val="20"/>
              </w:rPr>
              <w:t xml:space="preserve">-22,5%</w:t>
            </w:r>
          </w:p>
        </w:tc>
      </w:tr>
      <w:tr>
        <w:tc>
          <w:tcPr>
            <w:tcW w:w="4139" w:type="dxa"/>
          </w:tcPr>
          <w:p>
            <w:pPr>
              <w:pStyle w:val="0"/>
            </w:pPr>
            <w:r>
              <w:rPr>
                <w:sz w:val="20"/>
              </w:rPr>
              <w:t xml:space="preserve">6) 6 группа кардиобюро</w:t>
            </w:r>
          </w:p>
        </w:tc>
        <w:tc>
          <w:tcPr>
            <w:tcW w:w="1304" w:type="dxa"/>
          </w:tcPr>
          <w:p>
            <w:pPr>
              <w:pStyle w:val="0"/>
            </w:pPr>
            <w:r>
              <w:rPr>
                <w:sz w:val="20"/>
              </w:rPr>
              <w:t xml:space="preserve">0</w:t>
            </w:r>
          </w:p>
        </w:tc>
        <w:tc>
          <w:tcPr>
            <w:tcW w:w="1134" w:type="dxa"/>
          </w:tcPr>
          <w:p>
            <w:pPr>
              <w:pStyle w:val="0"/>
            </w:pPr>
            <w:r>
              <w:rPr>
                <w:sz w:val="20"/>
              </w:rPr>
              <w:t xml:space="preserve">0</w:t>
            </w:r>
          </w:p>
        </w:tc>
        <w:tc>
          <w:tcPr>
            <w:tcW w:w="1134" w:type="dxa"/>
          </w:tcPr>
          <w:p>
            <w:pPr>
              <w:pStyle w:val="0"/>
            </w:pPr>
            <w:r>
              <w:rPr>
                <w:sz w:val="20"/>
              </w:rPr>
              <w:t xml:space="preserve">28</w:t>
            </w:r>
          </w:p>
        </w:tc>
        <w:tc>
          <w:tcPr>
            <w:tcW w:w="1361" w:type="dxa"/>
          </w:tcPr>
          <w:p>
            <w:pPr>
              <w:pStyle w:val="0"/>
            </w:pPr>
            <w:r>
              <w:rPr>
                <w:sz w:val="20"/>
              </w:rPr>
              <w:t xml:space="preserve">-</w:t>
            </w:r>
          </w:p>
        </w:tc>
      </w:tr>
      <w:tr>
        <w:tc>
          <w:tcPr>
            <w:tcW w:w="4139" w:type="dxa"/>
          </w:tcPr>
          <w:p>
            <w:pPr>
              <w:pStyle w:val="0"/>
            </w:pPr>
            <w:r>
              <w:rPr>
                <w:sz w:val="20"/>
              </w:rPr>
              <w:t xml:space="preserve">Направлено в федеральные центры</w:t>
            </w:r>
          </w:p>
        </w:tc>
        <w:tc>
          <w:tcPr>
            <w:tcW w:w="1304" w:type="dxa"/>
          </w:tcPr>
          <w:p>
            <w:pPr>
              <w:pStyle w:val="0"/>
            </w:pPr>
            <w:r>
              <w:rPr>
                <w:sz w:val="20"/>
              </w:rPr>
              <w:t xml:space="preserve">60</w:t>
            </w:r>
          </w:p>
        </w:tc>
        <w:tc>
          <w:tcPr>
            <w:tcW w:w="1134" w:type="dxa"/>
          </w:tcPr>
          <w:p>
            <w:pPr>
              <w:pStyle w:val="0"/>
            </w:pPr>
            <w:r>
              <w:rPr>
                <w:sz w:val="20"/>
              </w:rPr>
              <w:t xml:space="preserve">90</w:t>
            </w:r>
          </w:p>
        </w:tc>
        <w:tc>
          <w:tcPr>
            <w:tcW w:w="1134" w:type="dxa"/>
          </w:tcPr>
          <w:p>
            <w:pPr>
              <w:pStyle w:val="0"/>
            </w:pPr>
            <w:r>
              <w:rPr>
                <w:sz w:val="20"/>
              </w:rPr>
              <w:t xml:space="preserve">92</w:t>
            </w:r>
          </w:p>
        </w:tc>
        <w:tc>
          <w:tcPr>
            <w:tcW w:w="1361" w:type="dxa"/>
          </w:tcPr>
          <w:p>
            <w:pPr>
              <w:pStyle w:val="0"/>
            </w:pPr>
            <w:r>
              <w:rPr>
                <w:sz w:val="20"/>
              </w:rPr>
              <w:t xml:space="preserve">2,2%</w:t>
            </w:r>
          </w:p>
        </w:tc>
      </w:tr>
    </w:tbl>
    <w:p>
      <w:pPr>
        <w:pStyle w:val="0"/>
        <w:ind w:firstLine="540"/>
        <w:jc w:val="both"/>
      </w:pPr>
      <w:r>
        <w:rPr>
          <w:sz w:val="20"/>
        </w:rPr>
      </w:r>
    </w:p>
    <w:p>
      <w:pPr>
        <w:pStyle w:val="0"/>
        <w:ind w:firstLine="540"/>
        <w:jc w:val="both"/>
      </w:pPr>
      <w:r>
        <w:rPr>
          <w:sz w:val="20"/>
        </w:rPr>
        <w:t xml:space="preserve">Всего за 2022 год через кардиобюро проведены консультации 1385 пациентов в очной и заочной форме. Лидирующую позицию по количеству консультаций занимает группа 1 (дети с ВПС) - 34% от общего числа консультаций и группа 2 (пациенты с нарушениями ритма) - 33% соответственно. При сопоставлении годовых показателей (2022/2021 гг.) отмечается снижение числа консультаций комиссии кардиобюро на 24,6% по причине возможности подготовки электронного ответа в реальном времени в региональной телемедицинской системе ЕГИСЗ.</w:t>
      </w:r>
    </w:p>
    <w:p>
      <w:pPr>
        <w:pStyle w:val="0"/>
        <w:spacing w:before="200" w:line-rule="auto"/>
        <w:ind w:firstLine="540"/>
        <w:jc w:val="both"/>
      </w:pPr>
      <w:r>
        <w:rPr>
          <w:sz w:val="20"/>
        </w:rPr>
        <w:t xml:space="preserve">За 2022 год в федеральные центры направлены на госпитализацию 92 пациента, из них детей 24 (26,1%), взрослых 68 (73,9%). В структуре нозологий по направлениям в федеральные медицинские центры преобладают врожденные пороки сердца и нарушения ритма и проводимости.</w:t>
      </w:r>
    </w:p>
    <w:p>
      <w:pPr>
        <w:pStyle w:val="0"/>
        <w:spacing w:before="200" w:line-rule="auto"/>
        <w:ind w:firstLine="540"/>
        <w:jc w:val="both"/>
      </w:pPr>
      <w:r>
        <w:rPr>
          <w:sz w:val="20"/>
        </w:rPr>
        <w:t xml:space="preserve">В мае и ноябре 2022 года с участием сотрудников федерального государственного бюджетного учреждения "Национальный медицинский исследовательский центр имени академика Е.Н. Мешалкина" Минздрава РФ и федерального государственного БУ "Национальный медицинский исследовательский центр кардиологии им. ак. Е.И. Чазова" Минздрава РФ проведены проверки оказания медицинской помощи в 8 медицинских организациях региона. В ходе проверки специалисты изучили статистику заболеваемости и смертности от ССЗ в автономном округе, маршрутизацию пациентов и схемы обследования и лечения пациентов с острыми и хроническими ССЗ, программные и нормативные документы в области охраны здоровья, развития информационной и телемедицинской систем, логистику и автоматизацию регионального здравоохранения. Особое внимание было уделено анализу мероприятий по достижению целевых показателей региональной программы "Борьба с сердечно-сосудистыми заболеваниями".</w:t>
      </w:r>
    </w:p>
    <w:p>
      <w:pPr>
        <w:pStyle w:val="0"/>
        <w:spacing w:before="200" w:line-rule="auto"/>
        <w:ind w:firstLine="540"/>
        <w:jc w:val="both"/>
      </w:pPr>
      <w:r>
        <w:rPr>
          <w:sz w:val="20"/>
        </w:rPr>
        <w:t xml:space="preserve">С учетом рекомендаций НМИЦ для снижения показателей смертности и летальности от БСК в регионе, с целью устранения дефектов оказания медицинской помощи пациентам с ССЗ, внедрения новых методов диагностики и лечения издан приказы Депздрава Югры "Об утверждении плана мероприятий ("дорожной карты") по совершенствованию оказания медицинской помощи по профилю "кардиология" в Ханты-Мансийском автономном округе - Югре" от 26 июля 2022 года N 1164 и от 9 декабря 2022 года N 1976.</w:t>
      </w:r>
    </w:p>
    <w:p>
      <w:pPr>
        <w:pStyle w:val="0"/>
        <w:ind w:firstLine="540"/>
        <w:jc w:val="both"/>
      </w:pPr>
      <w:r>
        <w:rPr>
          <w:sz w:val="20"/>
        </w:rPr>
      </w:r>
    </w:p>
    <w:p>
      <w:pPr>
        <w:pStyle w:val="2"/>
        <w:outlineLvl w:val="2"/>
        <w:ind w:firstLine="540"/>
        <w:jc w:val="both"/>
      </w:pPr>
      <w:r>
        <w:rPr>
          <w:sz w:val="20"/>
        </w:rPr>
        <w:t xml:space="preserve">1.6. Кадровый состав медицинских организаций (анализ за 2019 - 2022 годы)</w:t>
      </w:r>
    </w:p>
    <w:p>
      <w:pPr>
        <w:pStyle w:val="0"/>
        <w:jc w:val="center"/>
      </w:pPr>
      <w:r>
        <w:rPr>
          <w:sz w:val="20"/>
        </w:rPr>
      </w:r>
    </w:p>
    <w:p>
      <w:pPr>
        <w:pStyle w:val="0"/>
        <w:ind w:firstLine="540"/>
        <w:jc w:val="both"/>
      </w:pPr>
      <w:r>
        <w:rPr>
          <w:sz w:val="20"/>
        </w:rPr>
        <w:t xml:space="preserve">В 2022 году в медицинских организациях государственной системы здравоохранения автономного округа работали 8 669 врачей (в том числе 148 человек в медицинских организациях, осуществляющих медицинскую деятельность в автономном округе), что на 0,3% больше чем в 2021 году (в 2021 году - 8695, в 2020 году - 8 663; в 2019 году - 8 579), 22 207 специалистов среднего медицинского персонала (в том числе 284 человека в медицинских организациях, осуществляющих медицинскую деятельность в автономном округе) (в 2021 году - 22 422, в 2020 году - 22 642; в 2019 году - 22 934). Из их числа 1 271 человек без медицинского образования, занимающий должности средних медицинских работников.</w:t>
      </w:r>
    </w:p>
    <w:p>
      <w:pPr>
        <w:pStyle w:val="0"/>
        <w:spacing w:before="200" w:line-rule="auto"/>
        <w:ind w:firstLine="540"/>
        <w:jc w:val="both"/>
      </w:pPr>
      <w:r>
        <w:rPr>
          <w:sz w:val="20"/>
        </w:rPr>
        <w:t xml:space="preserve">Обеспеченность врачами составила 50,7 на 10 тыс. населения (в 2021 году - 51,1, в 2020 году - 51,5, РФ - 38,0, УрФО - 34,7; в 2019 году - 51,2, УрФО - 34,4, РФ - 37,6).</w:t>
      </w:r>
    </w:p>
    <w:p>
      <w:pPr>
        <w:pStyle w:val="0"/>
        <w:spacing w:before="200" w:line-rule="auto"/>
        <w:ind w:firstLine="540"/>
        <w:jc w:val="both"/>
      </w:pPr>
      <w:r>
        <w:rPr>
          <w:sz w:val="20"/>
        </w:rPr>
        <w:t xml:space="preserve">Обеспеченность врачами сельского населения - 20,7 на 10 тыс. населения (в 2021 году - 18,3, в 2020 году - 18,7, УрФО - 12,4, РФ - 14,0; в 2019 году - 19,1, УрФО - 12,8, РФ - 14,3).</w:t>
      </w:r>
    </w:p>
    <w:p>
      <w:pPr>
        <w:pStyle w:val="0"/>
        <w:spacing w:before="200" w:line-rule="auto"/>
        <w:ind w:firstLine="540"/>
        <w:jc w:val="both"/>
      </w:pPr>
      <w:r>
        <w:rPr>
          <w:sz w:val="20"/>
        </w:rPr>
        <w:t xml:space="preserve">Обеспеченность специалистами со средним медицинским образованием составила 129,8 на 10 тыс. населения (в 2021 году - 131,7, в 2020 году - 134,6, УрФО - 92,1, РФ - 85,3; в 2019 году - 136,9, УрФО - 92,4, РФ - 85,8).</w:t>
      </w:r>
    </w:p>
    <w:p>
      <w:pPr>
        <w:pStyle w:val="0"/>
        <w:spacing w:before="200" w:line-rule="auto"/>
        <w:ind w:firstLine="540"/>
        <w:jc w:val="both"/>
      </w:pPr>
      <w:r>
        <w:rPr>
          <w:sz w:val="20"/>
        </w:rPr>
        <w:t xml:space="preserve">Обеспеченность сельского населения специалистами со средним медицинским образованием составила 96,2 на 10 тыс. населения (в 2021 году - 87,4, в 2020 году - 87,0, УрФО - 57,7, РФ - 50,3; в 2019 году - 84,6, УрФО - 58,3, РФ - 51,7).</w:t>
      </w:r>
    </w:p>
    <w:p>
      <w:pPr>
        <w:pStyle w:val="0"/>
        <w:spacing w:before="200" w:line-rule="auto"/>
        <w:ind w:firstLine="540"/>
        <w:jc w:val="both"/>
      </w:pPr>
      <w:r>
        <w:rPr>
          <w:sz w:val="20"/>
        </w:rPr>
        <w:t xml:space="preserve">Соотношение врачей к специалистам со средним медицинским образованием составило 1:2,6 (в 2021 году - 1:2,6, в 2020 году - 1:2,6, УрФО - 1:2,6, РФ - 1:2,2; в 2019 году - 1:2,6, УрФО - 1:2,6, РФ - 1:2,2).</w:t>
      </w:r>
    </w:p>
    <w:p>
      <w:pPr>
        <w:pStyle w:val="0"/>
        <w:spacing w:before="200" w:line-rule="auto"/>
        <w:ind w:firstLine="540"/>
        <w:jc w:val="both"/>
      </w:pPr>
      <w:r>
        <w:rPr>
          <w:sz w:val="20"/>
        </w:rPr>
        <w:t xml:space="preserve">Сертификат специалиста и свидетельства об аккредитации имеют: 99,3% врачей (в 2021 году - 99,5, в 2020 году - 99,3%; в 2019 году - 99,2%); 99,8% средних медицинских работников, что на 0,2% меньше в сравнении с 2021 годом (в 2021 году - 100%, в 2020 году - 99,5%, в 2019 году - 99,3%).</w:t>
      </w:r>
    </w:p>
    <w:p>
      <w:pPr>
        <w:pStyle w:val="0"/>
        <w:spacing w:before="200" w:line-rule="auto"/>
        <w:ind w:firstLine="540"/>
        <w:jc w:val="both"/>
      </w:pPr>
      <w:r>
        <w:rPr>
          <w:sz w:val="20"/>
        </w:rPr>
        <w:t xml:space="preserve">В 2022 году укомплектованность врачами терапевтами составила 91% (92% - в 2021 году), из них участковыми терапевтами - 95,3% (94,5% - в 2021 году).</w:t>
      </w:r>
    </w:p>
    <w:p>
      <w:pPr>
        <w:pStyle w:val="0"/>
        <w:spacing w:before="200" w:line-rule="auto"/>
        <w:ind w:firstLine="540"/>
        <w:jc w:val="both"/>
      </w:pPr>
      <w:r>
        <w:rPr>
          <w:sz w:val="20"/>
        </w:rPr>
        <w:t xml:space="preserve">Показатели, достигнутые за 2022 год:</w:t>
      </w:r>
    </w:p>
    <w:p>
      <w:pPr>
        <w:pStyle w:val="0"/>
        <w:spacing w:before="200" w:line-rule="auto"/>
        <w:ind w:firstLine="540"/>
        <w:jc w:val="both"/>
      </w:pPr>
      <w:r>
        <w:rPr>
          <w:sz w:val="20"/>
        </w:rPr>
        <w:t xml:space="preserve">1.1. "Укомплектованность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врачами" - 88,5% (плановое значение 88,1%).</w:t>
      </w:r>
    </w:p>
    <w:p>
      <w:pPr>
        <w:pStyle w:val="0"/>
        <w:spacing w:before="200" w:line-rule="auto"/>
        <w:ind w:firstLine="540"/>
        <w:jc w:val="both"/>
      </w:pPr>
      <w:r>
        <w:rPr>
          <w:sz w:val="20"/>
        </w:rPr>
        <w:t xml:space="preserve">1.2. "Укомплектованность медицинских организаций, оказывающих медицинскую помощь в амбулаторных условиях (доля занятых физическими лицами должностей от общего количества должностей в медицинских учреждениях, оказывающих медицинскую помощь в амбулаторных условиях), средними медицинскими работниками" - 93,2% (план 91,4%).</w:t>
      </w:r>
    </w:p>
    <w:p>
      <w:pPr>
        <w:pStyle w:val="0"/>
        <w:spacing w:before="200" w:line-rule="auto"/>
        <w:ind w:firstLine="540"/>
        <w:jc w:val="both"/>
      </w:pPr>
      <w:r>
        <w:rPr>
          <w:sz w:val="20"/>
        </w:rPr>
        <w:t xml:space="preserve">1.3. "Укомплектованность фельдшерских пунктов, фельдшерско-акушерских пунктов, врачебных амбулаторий медицинскими работниками" - 96,6% (плановое значение - 94,1%).</w:t>
      </w:r>
    </w:p>
    <w:p>
      <w:pPr>
        <w:pStyle w:val="0"/>
        <w:spacing w:before="200" w:line-rule="auto"/>
        <w:ind w:firstLine="540"/>
        <w:jc w:val="both"/>
      </w:pPr>
      <w:r>
        <w:rPr>
          <w:sz w:val="20"/>
        </w:rPr>
        <w:t xml:space="preserve">1.4. "Число специалистов, участвующих в системе непрерывного образования медицинских работников, в том числе с использованием дистанционных образовательных технологий" - 30,458 тыс. человек (план 29,099 тыс.).</w:t>
      </w:r>
    </w:p>
    <w:p>
      <w:pPr>
        <w:pStyle w:val="0"/>
        <w:spacing w:before="200" w:line-rule="auto"/>
        <w:ind w:firstLine="540"/>
        <w:jc w:val="both"/>
      </w:pPr>
      <w:r>
        <w:rPr>
          <w:sz w:val="20"/>
        </w:rPr>
        <w:t xml:space="preserve">2. Показатели, не достигнутые за 2022 год:</w:t>
      </w:r>
    </w:p>
    <w:p>
      <w:pPr>
        <w:pStyle w:val="0"/>
        <w:spacing w:before="200" w:line-rule="auto"/>
        <w:ind w:firstLine="540"/>
        <w:jc w:val="both"/>
      </w:pPr>
      <w:r>
        <w:rPr>
          <w:sz w:val="20"/>
        </w:rPr>
        <w:t xml:space="preserve">2.1. "Обеспеченность населения врачами, работающими в государственных и муниципальных медицинских организациях" - 50,7 на 10 тыс. населения (плановое значение - 52,7 на 10 тыс.).</w:t>
      </w:r>
    </w:p>
    <w:p>
      <w:pPr>
        <w:pStyle w:val="0"/>
        <w:spacing w:before="200" w:line-rule="auto"/>
        <w:ind w:firstLine="540"/>
        <w:jc w:val="both"/>
      </w:pPr>
      <w:r>
        <w:rPr>
          <w:sz w:val="20"/>
        </w:rPr>
        <w:t xml:space="preserve">2.2. "Обеспеченность населения врачами, оказывающими первичную медико-санитарную помощь" - 29,6 на 10 тыс. населения (плановое значение - 30,9 на 10 тыс. населения).</w:t>
      </w:r>
    </w:p>
    <w:p>
      <w:pPr>
        <w:pStyle w:val="0"/>
        <w:spacing w:before="200" w:line-rule="auto"/>
        <w:ind w:firstLine="540"/>
        <w:jc w:val="both"/>
      </w:pPr>
      <w:r>
        <w:rPr>
          <w:sz w:val="20"/>
        </w:rPr>
        <w:t xml:space="preserve">2.3. "Обеспеченность медицинскими работниками, оказывающими скорую медицинскую помощь" - 8,8 на 10 тыс. населения (плановое значение - 9,8 на 10 тыс. населения).</w:t>
      </w:r>
    </w:p>
    <w:p>
      <w:pPr>
        <w:pStyle w:val="0"/>
        <w:spacing w:before="200" w:line-rule="auto"/>
        <w:ind w:firstLine="540"/>
        <w:jc w:val="both"/>
      </w:pPr>
      <w:r>
        <w:rPr>
          <w:sz w:val="20"/>
        </w:rPr>
        <w:t xml:space="preserve">2.4. Показатель "Обеспеченность населения врачами, оказывающими специализированную медицинскую помощь" - 19,0 на 10 тыс. населения (плановое значение - 20,0 на 10 тыс. населения).</w:t>
      </w:r>
    </w:p>
    <w:p>
      <w:pPr>
        <w:pStyle w:val="0"/>
        <w:spacing w:before="200" w:line-rule="auto"/>
        <w:ind w:firstLine="540"/>
        <w:jc w:val="both"/>
      </w:pPr>
      <w:r>
        <w:rPr>
          <w:sz w:val="20"/>
        </w:rPr>
        <w:t xml:space="preserve">2.5. "Обеспеченность населения средними медицинскими работниками, работающими в государственных и муниципальных медицинских организациях" - 129,8 на 10 тыс. населения (плановое значение на - 140,9 на 10 тыс. населения.</w:t>
      </w:r>
    </w:p>
    <w:p>
      <w:pPr>
        <w:pStyle w:val="0"/>
        <w:spacing w:before="200" w:line-rule="auto"/>
        <w:ind w:firstLine="540"/>
        <w:jc w:val="both"/>
      </w:pPr>
      <w:r>
        <w:rPr>
          <w:sz w:val="20"/>
        </w:rPr>
        <w:t xml:space="preserve">2.6. "Доля специалистов, допущенных к профессиональной деятельности через процедуру аккредитации, от общего количества работающих специалистов" - 26,3% (план - 42,4%).</w:t>
      </w:r>
    </w:p>
    <w:p>
      <w:pPr>
        <w:pStyle w:val="0"/>
        <w:spacing w:before="200" w:line-rule="auto"/>
        <w:ind w:firstLine="540"/>
        <w:jc w:val="both"/>
      </w:pPr>
      <w:r>
        <w:rPr>
          <w:sz w:val="20"/>
        </w:rPr>
        <w:t xml:space="preserve">3. Результаты, достигнутые за 2022 год:</w:t>
      </w:r>
    </w:p>
    <w:p>
      <w:pPr>
        <w:pStyle w:val="0"/>
        <w:spacing w:before="200" w:line-rule="auto"/>
        <w:ind w:firstLine="540"/>
        <w:jc w:val="both"/>
      </w:pPr>
      <w:r>
        <w:rPr>
          <w:sz w:val="20"/>
        </w:rPr>
        <w:t xml:space="preserve">3.1. "Число специалистов, участвующих в системе непрерывного образования медицинских работников, в том числе с использованием дистанционных образовательных технологий" - 30,458 тыс. человек (плановое значение - 29,099).</w:t>
      </w:r>
    </w:p>
    <w:p>
      <w:pPr>
        <w:pStyle w:val="0"/>
        <w:spacing w:before="200" w:line-rule="auto"/>
        <w:ind w:firstLine="540"/>
        <w:jc w:val="both"/>
      </w:pPr>
      <w:r>
        <w:rPr>
          <w:sz w:val="20"/>
        </w:rPr>
        <w:t xml:space="preserve">4. Результаты, не достигнутые за 2022 год:</w:t>
      </w:r>
    </w:p>
    <w:p>
      <w:pPr>
        <w:pStyle w:val="0"/>
        <w:spacing w:before="200" w:line-rule="auto"/>
        <w:ind w:firstLine="540"/>
        <w:jc w:val="both"/>
      </w:pPr>
      <w:r>
        <w:rPr>
          <w:sz w:val="20"/>
        </w:rPr>
        <w:t xml:space="preserve">4.1. "Увеличена численность врачей, работающих в государственных медицинских организациях" - 8,669 тыс. чел. (плановое значение - 8,931 тыс. чел).</w:t>
      </w:r>
    </w:p>
    <w:p>
      <w:pPr>
        <w:pStyle w:val="0"/>
        <w:spacing w:before="200" w:line-rule="auto"/>
        <w:ind w:firstLine="540"/>
        <w:jc w:val="both"/>
      </w:pPr>
      <w:r>
        <w:rPr>
          <w:sz w:val="20"/>
        </w:rPr>
        <w:t xml:space="preserve">Отрицательная динамика фактического количества врачей за 2022 год (8 669 чел.) к значению 2021 года (8 695 чел.) составляет 26 чел.</w:t>
      </w:r>
    </w:p>
    <w:p>
      <w:pPr>
        <w:pStyle w:val="0"/>
        <w:spacing w:before="200" w:line-rule="auto"/>
        <w:ind w:firstLine="540"/>
        <w:jc w:val="both"/>
      </w:pPr>
      <w:r>
        <w:rPr>
          <w:sz w:val="20"/>
        </w:rPr>
        <w:t xml:space="preserve">4.2. Результат "Увеличена численность средних медицинских работников, работающих в государственных медицинских организациях" - 22,207 тыс. чел. (план - 23,891 тыс. чел).</w:t>
      </w:r>
    </w:p>
    <w:p>
      <w:pPr>
        <w:pStyle w:val="0"/>
        <w:spacing w:before="200" w:line-rule="auto"/>
        <w:ind w:firstLine="540"/>
        <w:jc w:val="both"/>
      </w:pPr>
      <w:r>
        <w:rPr>
          <w:sz w:val="20"/>
        </w:rPr>
        <w:t xml:space="preserve">Отрицательная динамика фактического количества среднего медицинского персонала за 2022 год (22 207 чел.) к значению за 2021 год (22 422 чел.) составляет 215 чел.</w:t>
      </w:r>
    </w:p>
    <w:p>
      <w:pPr>
        <w:pStyle w:val="0"/>
        <w:spacing w:before="200" w:line-rule="auto"/>
        <w:ind w:firstLine="540"/>
        <w:jc w:val="both"/>
      </w:pPr>
      <w:r>
        <w:rPr>
          <w:sz w:val="20"/>
        </w:rPr>
        <w:t xml:space="preserve">4.3. "Аккредитованы и допущены к профессиональной деятельности специалисты" - 7,885 тыс. чел. (план - 14,824 тыс. чел).</w:t>
      </w:r>
    </w:p>
    <w:p>
      <w:pPr>
        <w:pStyle w:val="0"/>
        <w:spacing w:before="200" w:line-rule="auto"/>
        <w:ind w:firstLine="540"/>
        <w:jc w:val="both"/>
      </w:pPr>
      <w:r>
        <w:rPr>
          <w:sz w:val="20"/>
        </w:rPr>
        <w:t xml:space="preserve">5. Причины недостижения показателей и результатов:</w:t>
      </w:r>
    </w:p>
    <w:p>
      <w:pPr>
        <w:pStyle w:val="0"/>
        <w:spacing w:before="200" w:line-rule="auto"/>
        <w:ind w:firstLine="540"/>
        <w:jc w:val="both"/>
      </w:pPr>
      <w:r>
        <w:rPr>
          <w:sz w:val="20"/>
        </w:rPr>
        <w:t xml:space="preserve">5.1. Пандемия. Причиной увольнений среднего медицинского персонала стали не только высокие нагрузки, но и нежелание подвергаться риску заражения и стать источником заболевания для членов семьи, а также возросшее число уволившихся специалистов старшего возраста - более 50 лет - в связи с выходом на пенсию и по собственному желанию.</w:t>
      </w:r>
    </w:p>
    <w:p>
      <w:pPr>
        <w:pStyle w:val="0"/>
        <w:spacing w:before="200" w:line-rule="auto"/>
        <w:ind w:firstLine="540"/>
        <w:jc w:val="both"/>
      </w:pPr>
      <w:r>
        <w:rPr>
          <w:sz w:val="20"/>
        </w:rPr>
        <w:t xml:space="preserve">5.2. Рост населения. Ежегодно в автономном округе численность постоянного населения увеличивается в среднем на 10 - 12 тыс. чел., что при неизменной численности мед. работников означает снижение показателей обеспеченности врачами и средним медицинским персоналом в среднем на 1%.</w:t>
      </w:r>
    </w:p>
    <w:p>
      <w:pPr>
        <w:pStyle w:val="0"/>
        <w:spacing w:before="200" w:line-rule="auto"/>
        <w:ind w:firstLine="540"/>
        <w:jc w:val="both"/>
      </w:pPr>
      <w:r>
        <w:rPr>
          <w:sz w:val="20"/>
        </w:rPr>
        <w:t xml:space="preserve">5.3. Увеличивающийся отток медицинских работников из системы здравоохранения автономного округа в другие субъекты Российской Федерации, обеспечивающий равный уровень заработной платы при более благоприятных климатических условиях.</w:t>
      </w:r>
    </w:p>
    <w:p>
      <w:pPr>
        <w:pStyle w:val="0"/>
        <w:spacing w:before="200" w:line-rule="auto"/>
        <w:ind w:firstLine="540"/>
        <w:jc w:val="both"/>
      </w:pPr>
      <w:r>
        <w:rPr>
          <w:sz w:val="20"/>
        </w:rPr>
        <w:t xml:space="preserve">5.4. Дефицит специалистов узких профилей (дефицит отмечается в целом по Российской Федерации).</w:t>
      </w:r>
    </w:p>
    <w:p>
      <w:pPr>
        <w:pStyle w:val="0"/>
        <w:spacing w:before="200" w:line-rule="auto"/>
        <w:ind w:firstLine="540"/>
        <w:jc w:val="both"/>
      </w:pPr>
      <w:r>
        <w:rPr>
          <w:sz w:val="20"/>
        </w:rPr>
        <w:t xml:space="preserve">5.5. Утрата Ханты-Мансийским автономным округом - Югрой лидирующих позиций в оплате труда медицинских работников. Увеличивающийся отток медицинских работников из системы здравоохранения автономного округа в другие субъекты Российской Федерации, обеспечивающий равный уровень заработной платы при более благоприятных климатических условиях или более высоких социальных гарантиях.</w:t>
      </w:r>
    </w:p>
    <w:p>
      <w:pPr>
        <w:pStyle w:val="0"/>
        <w:spacing w:before="200" w:line-rule="auto"/>
        <w:ind w:firstLine="540"/>
        <w:jc w:val="both"/>
      </w:pPr>
      <w:r>
        <w:rPr>
          <w:sz w:val="20"/>
        </w:rPr>
        <w:t xml:space="preserve">5.6. Конкурирующие предложения со стороны иных субъектов Российской Федерации.</w:t>
      </w:r>
    </w:p>
    <w:p>
      <w:pPr>
        <w:pStyle w:val="0"/>
        <w:spacing w:before="200" w:line-rule="auto"/>
        <w:ind w:firstLine="540"/>
        <w:jc w:val="both"/>
      </w:pPr>
      <w:r>
        <w:rPr>
          <w:sz w:val="20"/>
        </w:rPr>
        <w:t xml:space="preserve">5.7. Высокая рыночная стоимость жилья в городских округах и муниципальных районах Ханты-Мансийского автономного округа - Югры.</w:t>
      </w:r>
    </w:p>
    <w:p>
      <w:pPr>
        <w:pStyle w:val="0"/>
        <w:ind w:firstLine="540"/>
        <w:jc w:val="both"/>
      </w:pPr>
      <w:r>
        <w:rPr>
          <w:sz w:val="20"/>
        </w:rPr>
      </w:r>
    </w:p>
    <w:p>
      <w:pPr>
        <w:pStyle w:val="0"/>
        <w:jc w:val="right"/>
      </w:pPr>
      <w:r>
        <w:rPr>
          <w:sz w:val="20"/>
        </w:rPr>
        <w:t xml:space="preserve">Таблица 59</w:t>
      </w:r>
    </w:p>
    <w:p>
      <w:pPr>
        <w:pStyle w:val="0"/>
        <w:jc w:val="right"/>
      </w:pPr>
      <w:r>
        <w:rPr>
          <w:sz w:val="20"/>
        </w:rPr>
      </w:r>
    </w:p>
    <w:p>
      <w:pPr>
        <w:pStyle w:val="0"/>
        <w:jc w:val="center"/>
      </w:pPr>
      <w:r>
        <w:rPr>
          <w:sz w:val="20"/>
        </w:rPr>
        <w:t xml:space="preserve">Кадровый состав стационаров и поликлиник, оказывающих</w:t>
      </w:r>
    </w:p>
    <w:p>
      <w:pPr>
        <w:pStyle w:val="0"/>
        <w:jc w:val="center"/>
      </w:pPr>
      <w:r>
        <w:rPr>
          <w:sz w:val="20"/>
        </w:rPr>
        <w:t xml:space="preserve">специализированную, в том числе высокотехнологичную,</w:t>
      </w:r>
    </w:p>
    <w:p>
      <w:pPr>
        <w:pStyle w:val="0"/>
        <w:jc w:val="center"/>
      </w:pPr>
      <w:r>
        <w:rPr>
          <w:sz w:val="20"/>
        </w:rPr>
        <w:t xml:space="preserve">медицинскую помощь, пациентам с болезнями системы</w:t>
      </w:r>
    </w:p>
    <w:p>
      <w:pPr>
        <w:pStyle w:val="0"/>
        <w:jc w:val="center"/>
      </w:pPr>
      <w:r>
        <w:rPr>
          <w:sz w:val="20"/>
        </w:rPr>
        <w:t xml:space="preserve">кровообращения за 2020 - 2022 годы</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9"/>
        <w:gridCol w:w="1309"/>
        <w:gridCol w:w="679"/>
        <w:gridCol w:w="2344"/>
        <w:gridCol w:w="1309"/>
        <w:gridCol w:w="679"/>
        <w:gridCol w:w="2344"/>
        <w:gridCol w:w="1309"/>
        <w:gridCol w:w="679"/>
        <w:gridCol w:w="2344"/>
        <w:gridCol w:w="1309"/>
        <w:gridCol w:w="679"/>
        <w:gridCol w:w="2344"/>
      </w:tblGrid>
      <w:tr>
        <w:tc>
          <w:tcPr>
            <w:tcW w:w="3409" w:type="dxa"/>
            <w:vMerge w:val="restart"/>
          </w:tcPr>
          <w:p>
            <w:pPr>
              <w:pStyle w:val="0"/>
              <w:jc w:val="center"/>
            </w:pPr>
            <w:r>
              <w:rPr>
                <w:sz w:val="20"/>
              </w:rPr>
              <w:t xml:space="preserve">Наименование должности</w:t>
            </w:r>
          </w:p>
        </w:tc>
        <w:tc>
          <w:tcPr>
            <w:gridSpan w:val="3"/>
            <w:tcW w:w="4332" w:type="dxa"/>
          </w:tcPr>
          <w:p>
            <w:pPr>
              <w:pStyle w:val="0"/>
              <w:jc w:val="center"/>
            </w:pPr>
            <w:r>
              <w:rPr>
                <w:sz w:val="20"/>
              </w:rPr>
              <w:t xml:space="preserve">2020 год</w:t>
            </w:r>
          </w:p>
        </w:tc>
        <w:tc>
          <w:tcPr>
            <w:gridSpan w:val="3"/>
            <w:tcW w:w="4332" w:type="dxa"/>
          </w:tcPr>
          <w:p>
            <w:pPr>
              <w:pStyle w:val="0"/>
              <w:jc w:val="center"/>
            </w:pPr>
            <w:r>
              <w:rPr>
                <w:sz w:val="20"/>
              </w:rPr>
              <w:t xml:space="preserve">2021 год</w:t>
            </w:r>
          </w:p>
        </w:tc>
        <w:tc>
          <w:tcPr>
            <w:gridSpan w:val="3"/>
            <w:tcW w:w="4332" w:type="dxa"/>
          </w:tcPr>
          <w:p>
            <w:pPr>
              <w:pStyle w:val="0"/>
              <w:jc w:val="center"/>
            </w:pPr>
            <w:r>
              <w:rPr>
                <w:sz w:val="20"/>
              </w:rPr>
              <w:t xml:space="preserve">2022 год</w:t>
            </w:r>
          </w:p>
        </w:tc>
        <w:tc>
          <w:tcPr>
            <w:gridSpan w:val="3"/>
            <w:tcW w:w="4332" w:type="dxa"/>
          </w:tcPr>
          <w:p>
            <w:pPr>
              <w:pStyle w:val="0"/>
              <w:jc w:val="center"/>
            </w:pPr>
            <w:r>
              <w:rPr>
                <w:sz w:val="20"/>
              </w:rPr>
              <w:t xml:space="preserve">Динамика 2022/2021</w:t>
            </w:r>
          </w:p>
        </w:tc>
      </w:tr>
      <w:tr>
        <w:tc>
          <w:tcPr>
            <w:vMerge w:val="continue"/>
          </w:tcPr>
          <w:p/>
        </w:tc>
        <w:tc>
          <w:tcPr>
            <w:tcW w:w="1309" w:type="dxa"/>
          </w:tcPr>
          <w:p>
            <w:pPr>
              <w:pStyle w:val="0"/>
              <w:jc w:val="center"/>
            </w:pPr>
            <w:r>
              <w:rPr>
                <w:sz w:val="20"/>
              </w:rPr>
              <w:t xml:space="preserve">Штатные должности, ед.</w:t>
            </w:r>
          </w:p>
        </w:tc>
        <w:tc>
          <w:tcPr>
            <w:tcW w:w="679" w:type="dxa"/>
          </w:tcPr>
          <w:p>
            <w:pPr>
              <w:pStyle w:val="0"/>
              <w:jc w:val="center"/>
            </w:pPr>
            <w:r>
              <w:rPr>
                <w:sz w:val="20"/>
              </w:rPr>
              <w:t xml:space="preserve">Физ. лица, чел.</w:t>
            </w:r>
          </w:p>
        </w:tc>
        <w:tc>
          <w:tcPr>
            <w:tcW w:w="2344" w:type="dxa"/>
          </w:tcPr>
          <w:p>
            <w:pPr>
              <w:pStyle w:val="0"/>
              <w:jc w:val="center"/>
            </w:pPr>
            <w:r>
              <w:rPr>
                <w:sz w:val="20"/>
              </w:rPr>
              <w:t xml:space="preserve">Укомплектованность, %</w:t>
            </w:r>
          </w:p>
        </w:tc>
        <w:tc>
          <w:tcPr>
            <w:tcW w:w="1309" w:type="dxa"/>
          </w:tcPr>
          <w:p>
            <w:pPr>
              <w:pStyle w:val="0"/>
              <w:jc w:val="center"/>
            </w:pPr>
            <w:r>
              <w:rPr>
                <w:sz w:val="20"/>
              </w:rPr>
              <w:t xml:space="preserve">Штатные должности, ед.</w:t>
            </w:r>
          </w:p>
        </w:tc>
        <w:tc>
          <w:tcPr>
            <w:tcW w:w="679" w:type="dxa"/>
          </w:tcPr>
          <w:p>
            <w:pPr>
              <w:pStyle w:val="0"/>
              <w:jc w:val="center"/>
            </w:pPr>
            <w:r>
              <w:rPr>
                <w:sz w:val="20"/>
              </w:rPr>
              <w:t xml:space="preserve">Физ. лица, чел.</w:t>
            </w:r>
          </w:p>
        </w:tc>
        <w:tc>
          <w:tcPr>
            <w:tcW w:w="2344" w:type="dxa"/>
          </w:tcPr>
          <w:p>
            <w:pPr>
              <w:pStyle w:val="0"/>
              <w:jc w:val="center"/>
            </w:pPr>
            <w:r>
              <w:rPr>
                <w:sz w:val="20"/>
              </w:rPr>
              <w:t xml:space="preserve">Укомплектованность, %</w:t>
            </w:r>
          </w:p>
        </w:tc>
        <w:tc>
          <w:tcPr>
            <w:tcW w:w="1309" w:type="dxa"/>
          </w:tcPr>
          <w:p>
            <w:pPr>
              <w:pStyle w:val="0"/>
              <w:jc w:val="center"/>
            </w:pPr>
            <w:r>
              <w:rPr>
                <w:sz w:val="20"/>
              </w:rPr>
              <w:t xml:space="preserve">Штатные должности, ед.</w:t>
            </w:r>
          </w:p>
        </w:tc>
        <w:tc>
          <w:tcPr>
            <w:tcW w:w="679" w:type="dxa"/>
          </w:tcPr>
          <w:p>
            <w:pPr>
              <w:pStyle w:val="0"/>
              <w:jc w:val="center"/>
            </w:pPr>
            <w:r>
              <w:rPr>
                <w:sz w:val="20"/>
              </w:rPr>
              <w:t xml:space="preserve">Физ. лица, чел.</w:t>
            </w:r>
          </w:p>
        </w:tc>
        <w:tc>
          <w:tcPr>
            <w:tcW w:w="2344" w:type="dxa"/>
          </w:tcPr>
          <w:p>
            <w:pPr>
              <w:pStyle w:val="0"/>
              <w:jc w:val="center"/>
            </w:pPr>
            <w:r>
              <w:rPr>
                <w:sz w:val="20"/>
              </w:rPr>
              <w:t xml:space="preserve">Укомплектованность, %</w:t>
            </w:r>
          </w:p>
        </w:tc>
        <w:tc>
          <w:tcPr>
            <w:tcW w:w="1309" w:type="dxa"/>
          </w:tcPr>
          <w:p>
            <w:pPr>
              <w:pStyle w:val="0"/>
              <w:jc w:val="center"/>
            </w:pPr>
            <w:r>
              <w:rPr>
                <w:sz w:val="20"/>
              </w:rPr>
              <w:t xml:space="preserve">Штатные должности, ед.</w:t>
            </w:r>
          </w:p>
        </w:tc>
        <w:tc>
          <w:tcPr>
            <w:tcW w:w="679" w:type="dxa"/>
          </w:tcPr>
          <w:p>
            <w:pPr>
              <w:pStyle w:val="0"/>
              <w:jc w:val="center"/>
            </w:pPr>
            <w:r>
              <w:rPr>
                <w:sz w:val="20"/>
              </w:rPr>
              <w:t xml:space="preserve">Физ. лица, чел.</w:t>
            </w:r>
          </w:p>
        </w:tc>
        <w:tc>
          <w:tcPr>
            <w:tcW w:w="2344" w:type="dxa"/>
          </w:tcPr>
          <w:p>
            <w:pPr>
              <w:pStyle w:val="0"/>
              <w:jc w:val="center"/>
            </w:pPr>
            <w:r>
              <w:rPr>
                <w:sz w:val="20"/>
              </w:rPr>
              <w:t xml:space="preserve">Укомплектованность, %</w:t>
            </w:r>
          </w:p>
        </w:tc>
      </w:tr>
      <w:tr>
        <w:tc>
          <w:tcPr>
            <w:tcW w:w="3409" w:type="dxa"/>
          </w:tcPr>
          <w:p>
            <w:pPr>
              <w:pStyle w:val="0"/>
            </w:pPr>
            <w:r>
              <w:rPr>
                <w:sz w:val="20"/>
              </w:rPr>
              <w:t xml:space="preserve">Врачи в стационаре, из них:</w:t>
            </w:r>
          </w:p>
        </w:tc>
        <w:tc>
          <w:tcPr>
            <w:tcW w:w="1309" w:type="dxa"/>
          </w:tcPr>
          <w:p>
            <w:pPr>
              <w:pStyle w:val="0"/>
            </w:pPr>
            <w:r>
              <w:rPr>
                <w:sz w:val="20"/>
              </w:rPr>
              <w:t xml:space="preserve">5399,25</w:t>
            </w:r>
          </w:p>
        </w:tc>
        <w:tc>
          <w:tcPr>
            <w:tcW w:w="679" w:type="dxa"/>
          </w:tcPr>
          <w:p>
            <w:pPr>
              <w:pStyle w:val="0"/>
            </w:pPr>
            <w:r>
              <w:rPr>
                <w:sz w:val="20"/>
              </w:rPr>
              <w:t xml:space="preserve">3199</w:t>
            </w:r>
          </w:p>
        </w:tc>
        <w:tc>
          <w:tcPr>
            <w:tcW w:w="2344" w:type="dxa"/>
          </w:tcPr>
          <w:p>
            <w:pPr>
              <w:pStyle w:val="0"/>
            </w:pPr>
            <w:r>
              <w:rPr>
                <w:sz w:val="20"/>
              </w:rPr>
              <w:t xml:space="preserve">59,2</w:t>
            </w:r>
          </w:p>
        </w:tc>
        <w:tc>
          <w:tcPr>
            <w:tcW w:w="1309" w:type="dxa"/>
          </w:tcPr>
          <w:p>
            <w:pPr>
              <w:pStyle w:val="0"/>
            </w:pPr>
            <w:r>
              <w:rPr>
                <w:sz w:val="20"/>
              </w:rPr>
              <w:t xml:space="preserve">5528,50</w:t>
            </w:r>
          </w:p>
        </w:tc>
        <w:tc>
          <w:tcPr>
            <w:tcW w:w="679" w:type="dxa"/>
          </w:tcPr>
          <w:p>
            <w:pPr>
              <w:pStyle w:val="0"/>
            </w:pPr>
            <w:r>
              <w:rPr>
                <w:sz w:val="20"/>
              </w:rPr>
              <w:t xml:space="preserve">3189</w:t>
            </w:r>
          </w:p>
        </w:tc>
        <w:tc>
          <w:tcPr>
            <w:tcW w:w="2344" w:type="dxa"/>
          </w:tcPr>
          <w:p>
            <w:pPr>
              <w:pStyle w:val="0"/>
            </w:pPr>
            <w:r>
              <w:rPr>
                <w:sz w:val="20"/>
              </w:rPr>
              <w:t xml:space="preserve">57,7</w:t>
            </w:r>
          </w:p>
        </w:tc>
        <w:tc>
          <w:tcPr>
            <w:tcW w:w="1309" w:type="dxa"/>
          </w:tcPr>
          <w:p>
            <w:pPr>
              <w:pStyle w:val="0"/>
            </w:pPr>
            <w:r>
              <w:rPr>
                <w:sz w:val="20"/>
              </w:rPr>
              <w:t xml:space="preserve">5130,25</w:t>
            </w:r>
          </w:p>
        </w:tc>
        <w:tc>
          <w:tcPr>
            <w:tcW w:w="679" w:type="dxa"/>
          </w:tcPr>
          <w:p>
            <w:pPr>
              <w:pStyle w:val="0"/>
            </w:pPr>
            <w:r>
              <w:rPr>
                <w:sz w:val="20"/>
              </w:rPr>
              <w:t xml:space="preserve">3207</w:t>
            </w:r>
          </w:p>
        </w:tc>
        <w:tc>
          <w:tcPr>
            <w:tcW w:w="2344" w:type="dxa"/>
          </w:tcPr>
          <w:p>
            <w:pPr>
              <w:pStyle w:val="0"/>
            </w:pPr>
            <w:r>
              <w:rPr>
                <w:sz w:val="20"/>
              </w:rPr>
              <w:t xml:space="preserve">62,5</w:t>
            </w:r>
          </w:p>
        </w:tc>
        <w:tc>
          <w:tcPr>
            <w:tcW w:w="1309" w:type="dxa"/>
          </w:tcPr>
          <w:p>
            <w:pPr>
              <w:pStyle w:val="0"/>
            </w:pPr>
            <w:r>
              <w:rPr>
                <w:sz w:val="20"/>
              </w:rPr>
              <w:t xml:space="preserve">-398,25</w:t>
            </w:r>
          </w:p>
        </w:tc>
        <w:tc>
          <w:tcPr>
            <w:tcW w:w="679" w:type="dxa"/>
          </w:tcPr>
          <w:p>
            <w:pPr>
              <w:pStyle w:val="0"/>
            </w:pPr>
            <w:r>
              <w:rPr>
                <w:sz w:val="20"/>
              </w:rPr>
              <w:t xml:space="preserve">18</w:t>
            </w:r>
          </w:p>
        </w:tc>
        <w:tc>
          <w:tcPr>
            <w:tcW w:w="2344" w:type="dxa"/>
          </w:tcPr>
          <w:p>
            <w:pPr>
              <w:pStyle w:val="0"/>
            </w:pPr>
            <w:r>
              <w:rPr>
                <w:sz w:val="20"/>
              </w:rPr>
              <w:t xml:space="preserve">5,6</w:t>
            </w:r>
          </w:p>
        </w:tc>
      </w:tr>
      <w:tr>
        <w:tc>
          <w:tcPr>
            <w:tcW w:w="3409" w:type="dxa"/>
          </w:tcPr>
          <w:p>
            <w:pPr>
              <w:pStyle w:val="0"/>
            </w:pPr>
            <w:r>
              <w:rPr>
                <w:sz w:val="20"/>
              </w:rPr>
              <w:t xml:space="preserve">Кардиологи</w:t>
            </w:r>
          </w:p>
        </w:tc>
        <w:tc>
          <w:tcPr>
            <w:tcW w:w="1309" w:type="dxa"/>
          </w:tcPr>
          <w:p>
            <w:pPr>
              <w:pStyle w:val="0"/>
            </w:pPr>
            <w:r>
              <w:rPr>
                <w:sz w:val="20"/>
              </w:rPr>
              <w:t xml:space="preserve">124,00</w:t>
            </w:r>
          </w:p>
        </w:tc>
        <w:tc>
          <w:tcPr>
            <w:tcW w:w="679" w:type="dxa"/>
          </w:tcPr>
          <w:p>
            <w:pPr>
              <w:pStyle w:val="0"/>
            </w:pPr>
            <w:r>
              <w:rPr>
                <w:sz w:val="20"/>
              </w:rPr>
              <w:t xml:space="preserve">87</w:t>
            </w:r>
          </w:p>
        </w:tc>
        <w:tc>
          <w:tcPr>
            <w:tcW w:w="2344" w:type="dxa"/>
          </w:tcPr>
          <w:p>
            <w:pPr>
              <w:pStyle w:val="0"/>
            </w:pPr>
            <w:r>
              <w:rPr>
                <w:sz w:val="20"/>
              </w:rPr>
              <w:t xml:space="preserve">70,2</w:t>
            </w:r>
          </w:p>
        </w:tc>
        <w:tc>
          <w:tcPr>
            <w:tcW w:w="1309" w:type="dxa"/>
          </w:tcPr>
          <w:p>
            <w:pPr>
              <w:pStyle w:val="0"/>
            </w:pPr>
            <w:r>
              <w:rPr>
                <w:sz w:val="20"/>
              </w:rPr>
              <w:t xml:space="preserve">130,75</w:t>
            </w:r>
          </w:p>
        </w:tc>
        <w:tc>
          <w:tcPr>
            <w:tcW w:w="679" w:type="dxa"/>
          </w:tcPr>
          <w:p>
            <w:pPr>
              <w:pStyle w:val="0"/>
            </w:pPr>
            <w:r>
              <w:rPr>
                <w:sz w:val="20"/>
              </w:rPr>
              <w:t xml:space="preserve">85</w:t>
            </w:r>
          </w:p>
        </w:tc>
        <w:tc>
          <w:tcPr>
            <w:tcW w:w="2344" w:type="dxa"/>
          </w:tcPr>
          <w:p>
            <w:pPr>
              <w:pStyle w:val="0"/>
            </w:pPr>
            <w:r>
              <w:rPr>
                <w:sz w:val="20"/>
              </w:rPr>
              <w:t xml:space="preserve">65,0</w:t>
            </w:r>
          </w:p>
        </w:tc>
        <w:tc>
          <w:tcPr>
            <w:tcW w:w="1309" w:type="dxa"/>
          </w:tcPr>
          <w:p>
            <w:pPr>
              <w:pStyle w:val="0"/>
            </w:pPr>
            <w:r>
              <w:rPr>
                <w:sz w:val="20"/>
              </w:rPr>
              <w:t xml:space="preserve">128</w:t>
            </w:r>
          </w:p>
        </w:tc>
        <w:tc>
          <w:tcPr>
            <w:tcW w:w="679" w:type="dxa"/>
          </w:tcPr>
          <w:p>
            <w:pPr>
              <w:pStyle w:val="0"/>
            </w:pPr>
            <w:r>
              <w:rPr>
                <w:sz w:val="20"/>
              </w:rPr>
              <w:t xml:space="preserve">86</w:t>
            </w:r>
          </w:p>
        </w:tc>
        <w:tc>
          <w:tcPr>
            <w:tcW w:w="2344" w:type="dxa"/>
          </w:tcPr>
          <w:p>
            <w:pPr>
              <w:pStyle w:val="0"/>
            </w:pPr>
            <w:r>
              <w:rPr>
                <w:sz w:val="20"/>
              </w:rPr>
              <w:t xml:space="preserve">67,2</w:t>
            </w:r>
          </w:p>
        </w:tc>
        <w:tc>
          <w:tcPr>
            <w:tcW w:w="1309" w:type="dxa"/>
          </w:tcPr>
          <w:p>
            <w:pPr>
              <w:pStyle w:val="0"/>
            </w:pPr>
            <w:r>
              <w:rPr>
                <w:sz w:val="20"/>
              </w:rPr>
              <w:t xml:space="preserve">2,2</w:t>
            </w:r>
          </w:p>
        </w:tc>
        <w:tc>
          <w:tcPr>
            <w:tcW w:w="679" w:type="dxa"/>
          </w:tcPr>
          <w:p>
            <w:pPr>
              <w:pStyle w:val="0"/>
            </w:pPr>
            <w:r>
              <w:rPr>
                <w:sz w:val="20"/>
              </w:rPr>
              <w:t xml:space="preserve">1</w:t>
            </w:r>
          </w:p>
        </w:tc>
        <w:tc>
          <w:tcPr>
            <w:tcW w:w="2344" w:type="dxa"/>
          </w:tcPr>
          <w:p>
            <w:pPr>
              <w:pStyle w:val="0"/>
            </w:pPr>
            <w:r>
              <w:rPr>
                <w:sz w:val="20"/>
              </w:rPr>
              <w:t xml:space="preserve">3,4</w:t>
            </w:r>
          </w:p>
        </w:tc>
      </w:tr>
      <w:tr>
        <w:tc>
          <w:tcPr>
            <w:tcW w:w="3409" w:type="dxa"/>
          </w:tcPr>
          <w:p>
            <w:pPr>
              <w:pStyle w:val="0"/>
            </w:pPr>
            <w:r>
              <w:rPr>
                <w:sz w:val="20"/>
              </w:rPr>
              <w:t xml:space="preserve">Неврологи</w:t>
            </w:r>
          </w:p>
        </w:tc>
        <w:tc>
          <w:tcPr>
            <w:tcW w:w="1309" w:type="dxa"/>
          </w:tcPr>
          <w:p>
            <w:pPr>
              <w:pStyle w:val="0"/>
            </w:pPr>
            <w:r>
              <w:rPr>
                <w:sz w:val="20"/>
              </w:rPr>
              <w:t xml:space="preserve">190,00</w:t>
            </w:r>
          </w:p>
        </w:tc>
        <w:tc>
          <w:tcPr>
            <w:tcW w:w="679" w:type="dxa"/>
          </w:tcPr>
          <w:p>
            <w:pPr>
              <w:pStyle w:val="0"/>
            </w:pPr>
            <w:r>
              <w:rPr>
                <w:sz w:val="20"/>
              </w:rPr>
              <w:t xml:space="preserve">160</w:t>
            </w:r>
          </w:p>
        </w:tc>
        <w:tc>
          <w:tcPr>
            <w:tcW w:w="2344" w:type="dxa"/>
          </w:tcPr>
          <w:p>
            <w:pPr>
              <w:pStyle w:val="0"/>
            </w:pPr>
            <w:r>
              <w:rPr>
                <w:sz w:val="20"/>
              </w:rPr>
              <w:t xml:space="preserve">84,2</w:t>
            </w:r>
          </w:p>
        </w:tc>
        <w:tc>
          <w:tcPr>
            <w:tcW w:w="1309" w:type="dxa"/>
          </w:tcPr>
          <w:p>
            <w:pPr>
              <w:pStyle w:val="0"/>
            </w:pPr>
            <w:r>
              <w:rPr>
                <w:sz w:val="20"/>
              </w:rPr>
              <w:t xml:space="preserve">192,25</w:t>
            </w:r>
          </w:p>
        </w:tc>
        <w:tc>
          <w:tcPr>
            <w:tcW w:w="679" w:type="dxa"/>
          </w:tcPr>
          <w:p>
            <w:pPr>
              <w:pStyle w:val="0"/>
            </w:pPr>
            <w:r>
              <w:rPr>
                <w:sz w:val="20"/>
              </w:rPr>
              <w:t xml:space="preserve">112</w:t>
            </w:r>
          </w:p>
        </w:tc>
        <w:tc>
          <w:tcPr>
            <w:tcW w:w="2344" w:type="dxa"/>
          </w:tcPr>
          <w:p>
            <w:pPr>
              <w:pStyle w:val="0"/>
            </w:pPr>
            <w:r>
              <w:rPr>
                <w:sz w:val="20"/>
              </w:rPr>
              <w:t xml:space="preserve">58,3</w:t>
            </w:r>
          </w:p>
        </w:tc>
        <w:tc>
          <w:tcPr>
            <w:tcW w:w="1309" w:type="dxa"/>
          </w:tcPr>
          <w:p>
            <w:pPr>
              <w:pStyle w:val="0"/>
            </w:pPr>
            <w:r>
              <w:rPr>
                <w:sz w:val="20"/>
              </w:rPr>
              <w:t xml:space="preserve">179,25</w:t>
            </w:r>
          </w:p>
        </w:tc>
        <w:tc>
          <w:tcPr>
            <w:tcW w:w="679" w:type="dxa"/>
          </w:tcPr>
          <w:p>
            <w:pPr>
              <w:pStyle w:val="0"/>
            </w:pPr>
            <w:r>
              <w:rPr>
                <w:sz w:val="20"/>
              </w:rPr>
              <w:t xml:space="preserve">112</w:t>
            </w:r>
          </w:p>
        </w:tc>
        <w:tc>
          <w:tcPr>
            <w:tcW w:w="2344" w:type="dxa"/>
          </w:tcPr>
          <w:p>
            <w:pPr>
              <w:pStyle w:val="0"/>
            </w:pPr>
            <w:r>
              <w:rPr>
                <w:sz w:val="20"/>
              </w:rPr>
              <w:t xml:space="preserve">62,5</w:t>
            </w:r>
          </w:p>
        </w:tc>
        <w:tc>
          <w:tcPr>
            <w:tcW w:w="1309" w:type="dxa"/>
          </w:tcPr>
          <w:p>
            <w:pPr>
              <w:pStyle w:val="0"/>
            </w:pPr>
            <w:r>
              <w:rPr>
                <w:sz w:val="20"/>
              </w:rPr>
              <w:t xml:space="preserve">-13,0</w:t>
            </w:r>
          </w:p>
        </w:tc>
        <w:tc>
          <w:tcPr>
            <w:tcW w:w="679" w:type="dxa"/>
          </w:tcPr>
          <w:p>
            <w:pPr>
              <w:pStyle w:val="0"/>
            </w:pPr>
            <w:r>
              <w:rPr>
                <w:sz w:val="20"/>
              </w:rPr>
              <w:t xml:space="preserve">0</w:t>
            </w:r>
          </w:p>
        </w:tc>
        <w:tc>
          <w:tcPr>
            <w:tcW w:w="2344" w:type="dxa"/>
          </w:tcPr>
          <w:p>
            <w:pPr>
              <w:pStyle w:val="0"/>
            </w:pPr>
            <w:r>
              <w:rPr>
                <w:sz w:val="20"/>
              </w:rPr>
              <w:t xml:space="preserve">7,2</w:t>
            </w:r>
          </w:p>
        </w:tc>
      </w:tr>
      <w:tr>
        <w:tc>
          <w:tcPr>
            <w:tcW w:w="3409" w:type="dxa"/>
          </w:tcPr>
          <w:p>
            <w:pPr>
              <w:pStyle w:val="0"/>
            </w:pPr>
            <w:r>
              <w:rPr>
                <w:sz w:val="20"/>
              </w:rPr>
              <w:t xml:space="preserve">Нейрохирурги</w:t>
            </w:r>
          </w:p>
        </w:tc>
        <w:tc>
          <w:tcPr>
            <w:tcW w:w="1309" w:type="dxa"/>
          </w:tcPr>
          <w:p>
            <w:pPr>
              <w:pStyle w:val="0"/>
            </w:pPr>
            <w:r>
              <w:rPr>
                <w:sz w:val="20"/>
              </w:rPr>
              <w:t xml:space="preserve">62,50</w:t>
            </w:r>
          </w:p>
        </w:tc>
        <w:tc>
          <w:tcPr>
            <w:tcW w:w="679" w:type="dxa"/>
          </w:tcPr>
          <w:p>
            <w:pPr>
              <w:pStyle w:val="0"/>
            </w:pPr>
            <w:r>
              <w:rPr>
                <w:sz w:val="20"/>
              </w:rPr>
              <w:t xml:space="preserve">35</w:t>
            </w:r>
          </w:p>
        </w:tc>
        <w:tc>
          <w:tcPr>
            <w:tcW w:w="2344" w:type="dxa"/>
          </w:tcPr>
          <w:p>
            <w:pPr>
              <w:pStyle w:val="0"/>
            </w:pPr>
            <w:r>
              <w:rPr>
                <w:sz w:val="20"/>
              </w:rPr>
              <w:t xml:space="preserve">56,0</w:t>
            </w:r>
          </w:p>
        </w:tc>
        <w:tc>
          <w:tcPr>
            <w:tcW w:w="1309" w:type="dxa"/>
          </w:tcPr>
          <w:p>
            <w:pPr>
              <w:pStyle w:val="0"/>
            </w:pPr>
            <w:r>
              <w:rPr>
                <w:sz w:val="20"/>
              </w:rPr>
              <w:t xml:space="preserve">59,75</w:t>
            </w:r>
          </w:p>
        </w:tc>
        <w:tc>
          <w:tcPr>
            <w:tcW w:w="679" w:type="dxa"/>
          </w:tcPr>
          <w:p>
            <w:pPr>
              <w:pStyle w:val="0"/>
            </w:pPr>
            <w:r>
              <w:rPr>
                <w:sz w:val="20"/>
              </w:rPr>
              <w:t xml:space="preserve">34</w:t>
            </w:r>
          </w:p>
        </w:tc>
        <w:tc>
          <w:tcPr>
            <w:tcW w:w="2344" w:type="dxa"/>
          </w:tcPr>
          <w:p>
            <w:pPr>
              <w:pStyle w:val="0"/>
            </w:pPr>
            <w:r>
              <w:rPr>
                <w:sz w:val="20"/>
              </w:rPr>
              <w:t xml:space="preserve">56,9</w:t>
            </w:r>
          </w:p>
        </w:tc>
        <w:tc>
          <w:tcPr>
            <w:tcW w:w="1309" w:type="dxa"/>
          </w:tcPr>
          <w:p>
            <w:pPr>
              <w:pStyle w:val="0"/>
            </w:pPr>
            <w:r>
              <w:rPr>
                <w:sz w:val="20"/>
              </w:rPr>
              <w:t xml:space="preserve">59,50</w:t>
            </w:r>
          </w:p>
        </w:tc>
        <w:tc>
          <w:tcPr>
            <w:tcW w:w="679" w:type="dxa"/>
          </w:tcPr>
          <w:p>
            <w:pPr>
              <w:pStyle w:val="0"/>
            </w:pPr>
            <w:r>
              <w:rPr>
                <w:sz w:val="20"/>
              </w:rPr>
              <w:t xml:space="preserve">35</w:t>
            </w:r>
          </w:p>
        </w:tc>
        <w:tc>
          <w:tcPr>
            <w:tcW w:w="2344" w:type="dxa"/>
          </w:tcPr>
          <w:p>
            <w:pPr>
              <w:pStyle w:val="0"/>
            </w:pPr>
            <w:r>
              <w:rPr>
                <w:sz w:val="20"/>
              </w:rPr>
              <w:t xml:space="preserve">58,8</w:t>
            </w:r>
          </w:p>
        </w:tc>
        <w:tc>
          <w:tcPr>
            <w:tcW w:w="1309" w:type="dxa"/>
          </w:tcPr>
          <w:p>
            <w:pPr>
              <w:pStyle w:val="0"/>
            </w:pPr>
            <w:r>
              <w:rPr>
                <w:sz w:val="20"/>
              </w:rPr>
              <w:t xml:space="preserve">-0,25</w:t>
            </w:r>
          </w:p>
        </w:tc>
        <w:tc>
          <w:tcPr>
            <w:tcW w:w="679" w:type="dxa"/>
          </w:tcPr>
          <w:p>
            <w:pPr>
              <w:pStyle w:val="0"/>
            </w:pPr>
            <w:r>
              <w:rPr>
                <w:sz w:val="20"/>
              </w:rPr>
              <w:t xml:space="preserve">1</w:t>
            </w:r>
          </w:p>
        </w:tc>
        <w:tc>
          <w:tcPr>
            <w:tcW w:w="2344" w:type="dxa"/>
          </w:tcPr>
          <w:p>
            <w:pPr>
              <w:pStyle w:val="0"/>
            </w:pPr>
            <w:r>
              <w:rPr>
                <w:sz w:val="20"/>
              </w:rPr>
              <w:t xml:space="preserve">3,3</w:t>
            </w:r>
          </w:p>
        </w:tc>
      </w:tr>
      <w:tr>
        <w:tc>
          <w:tcPr>
            <w:tcW w:w="3409" w:type="dxa"/>
          </w:tcPr>
          <w:p>
            <w:pPr>
              <w:pStyle w:val="0"/>
            </w:pPr>
            <w:r>
              <w:rPr>
                <w:sz w:val="20"/>
              </w:rPr>
              <w:t xml:space="preserve">Сердечно-сосудистые хирурги</w:t>
            </w:r>
          </w:p>
        </w:tc>
        <w:tc>
          <w:tcPr>
            <w:tcW w:w="1309" w:type="dxa"/>
          </w:tcPr>
          <w:p>
            <w:pPr>
              <w:pStyle w:val="0"/>
            </w:pPr>
            <w:r>
              <w:rPr>
                <w:sz w:val="20"/>
              </w:rPr>
              <w:t xml:space="preserve">53,25</w:t>
            </w:r>
          </w:p>
        </w:tc>
        <w:tc>
          <w:tcPr>
            <w:tcW w:w="679" w:type="dxa"/>
          </w:tcPr>
          <w:p>
            <w:pPr>
              <w:pStyle w:val="0"/>
            </w:pPr>
            <w:r>
              <w:rPr>
                <w:sz w:val="20"/>
              </w:rPr>
              <w:t xml:space="preserve">39</w:t>
            </w:r>
          </w:p>
        </w:tc>
        <w:tc>
          <w:tcPr>
            <w:tcW w:w="2344" w:type="dxa"/>
          </w:tcPr>
          <w:p>
            <w:pPr>
              <w:pStyle w:val="0"/>
            </w:pPr>
            <w:r>
              <w:rPr>
                <w:sz w:val="20"/>
              </w:rPr>
              <w:t xml:space="preserve">73,2</w:t>
            </w:r>
          </w:p>
        </w:tc>
        <w:tc>
          <w:tcPr>
            <w:tcW w:w="1309" w:type="dxa"/>
          </w:tcPr>
          <w:p>
            <w:pPr>
              <w:pStyle w:val="0"/>
            </w:pPr>
            <w:r>
              <w:rPr>
                <w:sz w:val="20"/>
              </w:rPr>
              <w:t xml:space="preserve">51,25</w:t>
            </w:r>
          </w:p>
        </w:tc>
        <w:tc>
          <w:tcPr>
            <w:tcW w:w="679" w:type="dxa"/>
          </w:tcPr>
          <w:p>
            <w:pPr>
              <w:pStyle w:val="0"/>
            </w:pPr>
            <w:r>
              <w:rPr>
                <w:sz w:val="20"/>
              </w:rPr>
              <w:t xml:space="preserve">36</w:t>
            </w:r>
          </w:p>
        </w:tc>
        <w:tc>
          <w:tcPr>
            <w:tcW w:w="2344" w:type="dxa"/>
          </w:tcPr>
          <w:p>
            <w:pPr>
              <w:pStyle w:val="0"/>
            </w:pPr>
            <w:r>
              <w:rPr>
                <w:sz w:val="20"/>
              </w:rPr>
              <w:t xml:space="preserve">70,2</w:t>
            </w:r>
          </w:p>
        </w:tc>
        <w:tc>
          <w:tcPr>
            <w:tcW w:w="1309" w:type="dxa"/>
          </w:tcPr>
          <w:p>
            <w:pPr>
              <w:pStyle w:val="0"/>
            </w:pPr>
            <w:r>
              <w:rPr>
                <w:sz w:val="20"/>
              </w:rPr>
              <w:t xml:space="preserve">53,5</w:t>
            </w:r>
          </w:p>
        </w:tc>
        <w:tc>
          <w:tcPr>
            <w:tcW w:w="679" w:type="dxa"/>
          </w:tcPr>
          <w:p>
            <w:pPr>
              <w:pStyle w:val="0"/>
            </w:pPr>
            <w:r>
              <w:rPr>
                <w:sz w:val="20"/>
              </w:rPr>
              <w:t xml:space="preserve">36</w:t>
            </w:r>
          </w:p>
        </w:tc>
        <w:tc>
          <w:tcPr>
            <w:tcW w:w="2344" w:type="dxa"/>
          </w:tcPr>
          <w:p>
            <w:pPr>
              <w:pStyle w:val="0"/>
            </w:pPr>
            <w:r>
              <w:rPr>
                <w:sz w:val="20"/>
              </w:rPr>
              <w:t xml:space="preserve">67,3</w:t>
            </w:r>
          </w:p>
        </w:tc>
        <w:tc>
          <w:tcPr>
            <w:tcW w:w="1309" w:type="dxa"/>
          </w:tcPr>
          <w:p>
            <w:pPr>
              <w:pStyle w:val="0"/>
            </w:pPr>
            <w:r>
              <w:rPr>
                <w:sz w:val="20"/>
              </w:rPr>
              <w:t xml:space="preserve">2,25</w:t>
            </w:r>
          </w:p>
        </w:tc>
        <w:tc>
          <w:tcPr>
            <w:tcW w:w="679" w:type="dxa"/>
          </w:tcPr>
          <w:p>
            <w:pPr>
              <w:pStyle w:val="0"/>
            </w:pPr>
            <w:r>
              <w:rPr>
                <w:sz w:val="20"/>
              </w:rPr>
              <w:t xml:space="preserve">0</w:t>
            </w:r>
          </w:p>
        </w:tc>
        <w:tc>
          <w:tcPr>
            <w:tcW w:w="2344" w:type="dxa"/>
          </w:tcPr>
          <w:p>
            <w:pPr>
              <w:pStyle w:val="0"/>
            </w:pPr>
            <w:r>
              <w:rPr>
                <w:sz w:val="20"/>
              </w:rPr>
              <w:t xml:space="preserve">-3,7</w:t>
            </w:r>
          </w:p>
        </w:tc>
      </w:tr>
      <w:tr>
        <w:tc>
          <w:tcPr>
            <w:tcW w:w="3409" w:type="dxa"/>
          </w:tcPr>
          <w:p>
            <w:pPr>
              <w:pStyle w:val="0"/>
            </w:pPr>
            <w:r>
              <w:rPr>
                <w:sz w:val="20"/>
              </w:rPr>
              <w:t xml:space="preserve">Анестезиологи-реаниматологи &lt;*&gt;</w:t>
            </w:r>
          </w:p>
        </w:tc>
        <w:tc>
          <w:tcPr>
            <w:tcW w:w="1309" w:type="dxa"/>
          </w:tcPr>
          <w:p>
            <w:pPr>
              <w:pStyle w:val="0"/>
            </w:pPr>
            <w:r>
              <w:rPr>
                <w:sz w:val="20"/>
              </w:rPr>
              <w:t xml:space="preserve">916,00</w:t>
            </w:r>
          </w:p>
        </w:tc>
        <w:tc>
          <w:tcPr>
            <w:tcW w:w="679" w:type="dxa"/>
          </w:tcPr>
          <w:p>
            <w:pPr>
              <w:pStyle w:val="0"/>
            </w:pPr>
            <w:r>
              <w:rPr>
                <w:sz w:val="20"/>
              </w:rPr>
              <w:t xml:space="preserve">504</w:t>
            </w:r>
          </w:p>
        </w:tc>
        <w:tc>
          <w:tcPr>
            <w:tcW w:w="2344" w:type="dxa"/>
          </w:tcPr>
          <w:p>
            <w:pPr>
              <w:pStyle w:val="0"/>
            </w:pPr>
            <w:r>
              <w:rPr>
                <w:sz w:val="20"/>
              </w:rPr>
              <w:t xml:space="preserve">55,0</w:t>
            </w:r>
          </w:p>
        </w:tc>
        <w:tc>
          <w:tcPr>
            <w:tcW w:w="1309" w:type="dxa"/>
          </w:tcPr>
          <w:p>
            <w:pPr>
              <w:pStyle w:val="0"/>
            </w:pPr>
            <w:r>
              <w:rPr>
                <w:sz w:val="20"/>
              </w:rPr>
              <w:t xml:space="preserve">920,00</w:t>
            </w:r>
          </w:p>
        </w:tc>
        <w:tc>
          <w:tcPr>
            <w:tcW w:w="679" w:type="dxa"/>
          </w:tcPr>
          <w:p>
            <w:pPr>
              <w:pStyle w:val="0"/>
            </w:pPr>
            <w:r>
              <w:rPr>
                <w:sz w:val="20"/>
              </w:rPr>
              <w:t xml:space="preserve">473</w:t>
            </w:r>
          </w:p>
        </w:tc>
        <w:tc>
          <w:tcPr>
            <w:tcW w:w="2344" w:type="dxa"/>
          </w:tcPr>
          <w:p>
            <w:pPr>
              <w:pStyle w:val="0"/>
            </w:pPr>
            <w:r>
              <w:rPr>
                <w:sz w:val="20"/>
              </w:rPr>
              <w:t xml:space="preserve">51,4</w:t>
            </w:r>
          </w:p>
        </w:tc>
        <w:tc>
          <w:tcPr>
            <w:tcW w:w="1309" w:type="dxa"/>
          </w:tcPr>
          <w:p>
            <w:pPr>
              <w:pStyle w:val="0"/>
            </w:pPr>
            <w:r>
              <w:rPr>
                <w:sz w:val="20"/>
              </w:rPr>
              <w:t xml:space="preserve">805</w:t>
            </w:r>
          </w:p>
        </w:tc>
        <w:tc>
          <w:tcPr>
            <w:tcW w:w="679" w:type="dxa"/>
          </w:tcPr>
          <w:p>
            <w:pPr>
              <w:pStyle w:val="0"/>
            </w:pPr>
            <w:r>
              <w:rPr>
                <w:sz w:val="20"/>
              </w:rPr>
              <w:t xml:space="preserve">471</w:t>
            </w:r>
          </w:p>
        </w:tc>
        <w:tc>
          <w:tcPr>
            <w:tcW w:w="2344" w:type="dxa"/>
          </w:tcPr>
          <w:p>
            <w:pPr>
              <w:pStyle w:val="0"/>
            </w:pPr>
            <w:r>
              <w:rPr>
                <w:sz w:val="20"/>
              </w:rPr>
              <w:t xml:space="preserve">58,5</w:t>
            </w:r>
          </w:p>
        </w:tc>
        <w:tc>
          <w:tcPr>
            <w:tcW w:w="1309" w:type="dxa"/>
          </w:tcPr>
          <w:p>
            <w:pPr>
              <w:pStyle w:val="0"/>
            </w:pPr>
            <w:r>
              <w:rPr>
                <w:sz w:val="20"/>
              </w:rPr>
              <w:t xml:space="preserve">-115</w:t>
            </w:r>
          </w:p>
        </w:tc>
        <w:tc>
          <w:tcPr>
            <w:tcW w:w="679" w:type="dxa"/>
          </w:tcPr>
          <w:p>
            <w:pPr>
              <w:pStyle w:val="0"/>
            </w:pPr>
            <w:r>
              <w:rPr>
                <w:sz w:val="20"/>
              </w:rPr>
              <w:t xml:space="preserve">-2</w:t>
            </w:r>
          </w:p>
        </w:tc>
        <w:tc>
          <w:tcPr>
            <w:tcW w:w="2344" w:type="dxa"/>
          </w:tcPr>
          <w:p>
            <w:pPr>
              <w:pStyle w:val="0"/>
            </w:pPr>
            <w:r>
              <w:rPr>
                <w:sz w:val="20"/>
              </w:rPr>
              <w:t xml:space="preserve">13,8</w:t>
            </w:r>
          </w:p>
        </w:tc>
      </w:tr>
      <w:tr>
        <w:tc>
          <w:tcPr>
            <w:tcW w:w="3409" w:type="dxa"/>
          </w:tcPr>
          <w:p>
            <w:pPr>
              <w:pStyle w:val="0"/>
            </w:pPr>
            <w:r>
              <w:rPr>
                <w:sz w:val="20"/>
              </w:rPr>
              <w:t xml:space="preserve">Врачи по ЛФК</w:t>
            </w:r>
          </w:p>
        </w:tc>
        <w:tc>
          <w:tcPr>
            <w:tcW w:w="1309" w:type="dxa"/>
          </w:tcPr>
          <w:p>
            <w:pPr>
              <w:pStyle w:val="0"/>
            </w:pPr>
            <w:r>
              <w:rPr>
                <w:sz w:val="20"/>
              </w:rPr>
              <w:t xml:space="preserve">19,75</w:t>
            </w:r>
          </w:p>
        </w:tc>
        <w:tc>
          <w:tcPr>
            <w:tcW w:w="679" w:type="dxa"/>
          </w:tcPr>
          <w:p>
            <w:pPr>
              <w:pStyle w:val="0"/>
            </w:pPr>
            <w:r>
              <w:rPr>
                <w:sz w:val="20"/>
              </w:rPr>
              <w:t xml:space="preserve">10</w:t>
            </w:r>
          </w:p>
        </w:tc>
        <w:tc>
          <w:tcPr>
            <w:tcW w:w="2344" w:type="dxa"/>
          </w:tcPr>
          <w:p>
            <w:pPr>
              <w:pStyle w:val="0"/>
            </w:pPr>
            <w:r>
              <w:rPr>
                <w:sz w:val="20"/>
              </w:rPr>
              <w:t xml:space="preserve">50,6</w:t>
            </w:r>
          </w:p>
        </w:tc>
        <w:tc>
          <w:tcPr>
            <w:tcW w:w="1309" w:type="dxa"/>
          </w:tcPr>
          <w:p>
            <w:pPr>
              <w:pStyle w:val="0"/>
            </w:pPr>
            <w:r>
              <w:rPr>
                <w:sz w:val="20"/>
              </w:rPr>
              <w:t xml:space="preserve">25,00</w:t>
            </w:r>
          </w:p>
        </w:tc>
        <w:tc>
          <w:tcPr>
            <w:tcW w:w="679" w:type="dxa"/>
          </w:tcPr>
          <w:p>
            <w:pPr>
              <w:pStyle w:val="0"/>
            </w:pPr>
            <w:r>
              <w:rPr>
                <w:sz w:val="20"/>
              </w:rPr>
              <w:t xml:space="preserve">14</w:t>
            </w:r>
          </w:p>
        </w:tc>
        <w:tc>
          <w:tcPr>
            <w:tcW w:w="2344" w:type="dxa"/>
          </w:tcPr>
          <w:p>
            <w:pPr>
              <w:pStyle w:val="0"/>
            </w:pPr>
            <w:r>
              <w:rPr>
                <w:sz w:val="20"/>
              </w:rPr>
              <w:t xml:space="preserve">56,0</w:t>
            </w:r>
          </w:p>
        </w:tc>
        <w:tc>
          <w:tcPr>
            <w:tcW w:w="1309" w:type="dxa"/>
          </w:tcPr>
          <w:p>
            <w:pPr>
              <w:pStyle w:val="0"/>
            </w:pPr>
            <w:r>
              <w:rPr>
                <w:sz w:val="20"/>
              </w:rPr>
              <w:t xml:space="preserve">17,75</w:t>
            </w:r>
          </w:p>
        </w:tc>
        <w:tc>
          <w:tcPr>
            <w:tcW w:w="679" w:type="dxa"/>
          </w:tcPr>
          <w:p>
            <w:pPr>
              <w:pStyle w:val="0"/>
            </w:pPr>
            <w:r>
              <w:rPr>
                <w:sz w:val="20"/>
              </w:rPr>
              <w:t xml:space="preserve">10</w:t>
            </w:r>
          </w:p>
        </w:tc>
        <w:tc>
          <w:tcPr>
            <w:tcW w:w="2344" w:type="dxa"/>
          </w:tcPr>
          <w:p>
            <w:pPr>
              <w:pStyle w:val="0"/>
            </w:pPr>
            <w:r>
              <w:rPr>
                <w:sz w:val="20"/>
              </w:rPr>
              <w:t xml:space="preserve">56,3</w:t>
            </w:r>
          </w:p>
        </w:tc>
        <w:tc>
          <w:tcPr>
            <w:tcW w:w="1309" w:type="dxa"/>
          </w:tcPr>
          <w:p>
            <w:pPr>
              <w:pStyle w:val="0"/>
            </w:pPr>
            <w:r>
              <w:rPr>
                <w:sz w:val="20"/>
              </w:rPr>
              <w:t xml:space="preserve">-7,25</w:t>
            </w:r>
          </w:p>
        </w:tc>
        <w:tc>
          <w:tcPr>
            <w:tcW w:w="679" w:type="dxa"/>
          </w:tcPr>
          <w:p>
            <w:pPr>
              <w:pStyle w:val="0"/>
            </w:pPr>
            <w:r>
              <w:rPr>
                <w:sz w:val="20"/>
              </w:rPr>
              <w:t xml:space="preserve">-4</w:t>
            </w:r>
          </w:p>
        </w:tc>
        <w:tc>
          <w:tcPr>
            <w:tcW w:w="2344" w:type="dxa"/>
          </w:tcPr>
          <w:p>
            <w:pPr>
              <w:pStyle w:val="0"/>
            </w:pPr>
            <w:r>
              <w:rPr>
                <w:sz w:val="20"/>
              </w:rPr>
              <w:t xml:space="preserve">0,5</w:t>
            </w:r>
          </w:p>
        </w:tc>
      </w:tr>
      <w:tr>
        <w:tc>
          <w:tcPr>
            <w:tcW w:w="3409" w:type="dxa"/>
          </w:tcPr>
          <w:p>
            <w:pPr>
              <w:pStyle w:val="0"/>
            </w:pPr>
            <w:r>
              <w:rPr>
                <w:sz w:val="20"/>
              </w:rPr>
              <w:t xml:space="preserve">Физиотерапевты</w:t>
            </w:r>
          </w:p>
        </w:tc>
        <w:tc>
          <w:tcPr>
            <w:tcW w:w="1309" w:type="dxa"/>
          </w:tcPr>
          <w:p>
            <w:pPr>
              <w:pStyle w:val="0"/>
            </w:pPr>
            <w:r>
              <w:rPr>
                <w:sz w:val="20"/>
              </w:rPr>
              <w:t xml:space="preserve">38,50</w:t>
            </w:r>
          </w:p>
        </w:tc>
        <w:tc>
          <w:tcPr>
            <w:tcW w:w="679" w:type="dxa"/>
          </w:tcPr>
          <w:p>
            <w:pPr>
              <w:pStyle w:val="0"/>
            </w:pPr>
            <w:r>
              <w:rPr>
                <w:sz w:val="20"/>
              </w:rPr>
              <w:t xml:space="preserve">23</w:t>
            </w:r>
          </w:p>
        </w:tc>
        <w:tc>
          <w:tcPr>
            <w:tcW w:w="2344" w:type="dxa"/>
          </w:tcPr>
          <w:p>
            <w:pPr>
              <w:pStyle w:val="0"/>
            </w:pPr>
            <w:r>
              <w:rPr>
                <w:sz w:val="20"/>
              </w:rPr>
              <w:t xml:space="preserve">59,7</w:t>
            </w:r>
          </w:p>
        </w:tc>
        <w:tc>
          <w:tcPr>
            <w:tcW w:w="1309" w:type="dxa"/>
          </w:tcPr>
          <w:p>
            <w:pPr>
              <w:pStyle w:val="0"/>
            </w:pPr>
            <w:r>
              <w:rPr>
                <w:sz w:val="20"/>
              </w:rPr>
              <w:t xml:space="preserve">45,50</w:t>
            </w:r>
          </w:p>
        </w:tc>
        <w:tc>
          <w:tcPr>
            <w:tcW w:w="679" w:type="dxa"/>
          </w:tcPr>
          <w:p>
            <w:pPr>
              <w:pStyle w:val="0"/>
            </w:pPr>
            <w:r>
              <w:rPr>
                <w:sz w:val="20"/>
              </w:rPr>
              <w:t xml:space="preserve">26</w:t>
            </w:r>
          </w:p>
        </w:tc>
        <w:tc>
          <w:tcPr>
            <w:tcW w:w="2344" w:type="dxa"/>
          </w:tcPr>
          <w:p>
            <w:pPr>
              <w:pStyle w:val="0"/>
            </w:pPr>
            <w:r>
              <w:rPr>
                <w:sz w:val="20"/>
              </w:rPr>
              <w:t xml:space="preserve">57,1</w:t>
            </w:r>
          </w:p>
        </w:tc>
        <w:tc>
          <w:tcPr>
            <w:tcW w:w="1309" w:type="dxa"/>
          </w:tcPr>
          <w:p>
            <w:pPr>
              <w:pStyle w:val="0"/>
            </w:pPr>
            <w:r>
              <w:rPr>
                <w:sz w:val="20"/>
              </w:rPr>
              <w:t xml:space="preserve">46,75</w:t>
            </w:r>
          </w:p>
        </w:tc>
        <w:tc>
          <w:tcPr>
            <w:tcW w:w="679" w:type="dxa"/>
          </w:tcPr>
          <w:p>
            <w:pPr>
              <w:pStyle w:val="0"/>
            </w:pPr>
            <w:r>
              <w:rPr>
                <w:sz w:val="20"/>
              </w:rPr>
              <w:t xml:space="preserve">25</w:t>
            </w:r>
          </w:p>
        </w:tc>
        <w:tc>
          <w:tcPr>
            <w:tcW w:w="2344" w:type="dxa"/>
          </w:tcPr>
          <w:p>
            <w:pPr>
              <w:pStyle w:val="0"/>
            </w:pPr>
            <w:r>
              <w:rPr>
                <w:sz w:val="20"/>
              </w:rPr>
              <w:t xml:space="preserve">53,5</w:t>
            </w:r>
          </w:p>
        </w:tc>
        <w:tc>
          <w:tcPr>
            <w:tcW w:w="1309" w:type="dxa"/>
          </w:tcPr>
          <w:p>
            <w:pPr>
              <w:pStyle w:val="0"/>
            </w:pPr>
            <w:r>
              <w:rPr>
                <w:sz w:val="20"/>
              </w:rPr>
              <w:t xml:space="preserve">1,25</w:t>
            </w:r>
          </w:p>
        </w:tc>
        <w:tc>
          <w:tcPr>
            <w:tcW w:w="679" w:type="dxa"/>
          </w:tcPr>
          <w:p>
            <w:pPr>
              <w:pStyle w:val="0"/>
            </w:pPr>
            <w:r>
              <w:rPr>
                <w:sz w:val="20"/>
              </w:rPr>
              <w:t xml:space="preserve">-1</w:t>
            </w:r>
          </w:p>
        </w:tc>
        <w:tc>
          <w:tcPr>
            <w:tcW w:w="2344" w:type="dxa"/>
          </w:tcPr>
          <w:p>
            <w:pPr>
              <w:pStyle w:val="0"/>
            </w:pPr>
            <w:r>
              <w:rPr>
                <w:sz w:val="20"/>
              </w:rPr>
              <w:t xml:space="preserve">-6,3</w:t>
            </w:r>
          </w:p>
        </w:tc>
      </w:tr>
      <w:tr>
        <w:tc>
          <w:tcPr>
            <w:tcW w:w="3409" w:type="dxa"/>
          </w:tcPr>
          <w:p>
            <w:pPr>
              <w:pStyle w:val="0"/>
            </w:pPr>
            <w:r>
              <w:rPr>
                <w:sz w:val="20"/>
              </w:rPr>
              <w:t xml:space="preserve">Врачи по рентгенэндоваскулярной диагностике и лечению</w:t>
            </w:r>
          </w:p>
        </w:tc>
        <w:tc>
          <w:tcPr>
            <w:tcW w:w="1309" w:type="dxa"/>
          </w:tcPr>
          <w:p>
            <w:pPr>
              <w:pStyle w:val="0"/>
            </w:pPr>
            <w:r>
              <w:rPr>
                <w:sz w:val="20"/>
              </w:rPr>
              <w:t xml:space="preserve">36,00</w:t>
            </w:r>
          </w:p>
        </w:tc>
        <w:tc>
          <w:tcPr>
            <w:tcW w:w="679" w:type="dxa"/>
          </w:tcPr>
          <w:p>
            <w:pPr>
              <w:pStyle w:val="0"/>
            </w:pPr>
            <w:r>
              <w:rPr>
                <w:sz w:val="20"/>
              </w:rPr>
              <w:t xml:space="preserve">23</w:t>
            </w:r>
          </w:p>
        </w:tc>
        <w:tc>
          <w:tcPr>
            <w:tcW w:w="2344" w:type="dxa"/>
          </w:tcPr>
          <w:p>
            <w:pPr>
              <w:pStyle w:val="0"/>
            </w:pPr>
            <w:r>
              <w:rPr>
                <w:sz w:val="20"/>
              </w:rPr>
              <w:t xml:space="preserve">63,9</w:t>
            </w:r>
          </w:p>
        </w:tc>
        <w:tc>
          <w:tcPr>
            <w:tcW w:w="1309" w:type="dxa"/>
          </w:tcPr>
          <w:p>
            <w:pPr>
              <w:pStyle w:val="0"/>
            </w:pPr>
            <w:r>
              <w:rPr>
                <w:sz w:val="20"/>
              </w:rPr>
              <w:t xml:space="preserve">41,50</w:t>
            </w:r>
          </w:p>
        </w:tc>
        <w:tc>
          <w:tcPr>
            <w:tcW w:w="679" w:type="dxa"/>
          </w:tcPr>
          <w:p>
            <w:pPr>
              <w:pStyle w:val="0"/>
            </w:pPr>
            <w:r>
              <w:rPr>
                <w:sz w:val="20"/>
              </w:rPr>
              <w:t xml:space="preserve">27</w:t>
            </w:r>
          </w:p>
        </w:tc>
        <w:tc>
          <w:tcPr>
            <w:tcW w:w="2344" w:type="dxa"/>
          </w:tcPr>
          <w:p>
            <w:pPr>
              <w:pStyle w:val="0"/>
            </w:pPr>
            <w:r>
              <w:rPr>
                <w:sz w:val="20"/>
              </w:rPr>
              <w:t xml:space="preserve">65,1</w:t>
            </w:r>
          </w:p>
        </w:tc>
        <w:tc>
          <w:tcPr>
            <w:tcW w:w="1309" w:type="dxa"/>
          </w:tcPr>
          <w:p>
            <w:pPr>
              <w:pStyle w:val="0"/>
            </w:pPr>
            <w:r>
              <w:rPr>
                <w:sz w:val="20"/>
              </w:rPr>
              <w:t xml:space="preserve">41</w:t>
            </w:r>
          </w:p>
        </w:tc>
        <w:tc>
          <w:tcPr>
            <w:tcW w:w="679" w:type="dxa"/>
          </w:tcPr>
          <w:p>
            <w:pPr>
              <w:pStyle w:val="0"/>
            </w:pPr>
            <w:r>
              <w:rPr>
                <w:sz w:val="20"/>
              </w:rPr>
              <w:t xml:space="preserve">29</w:t>
            </w:r>
          </w:p>
        </w:tc>
        <w:tc>
          <w:tcPr>
            <w:tcW w:w="2344" w:type="dxa"/>
          </w:tcPr>
          <w:p>
            <w:pPr>
              <w:pStyle w:val="0"/>
            </w:pPr>
            <w:r>
              <w:rPr>
                <w:sz w:val="20"/>
              </w:rPr>
              <w:t xml:space="preserve">70,7</w:t>
            </w:r>
          </w:p>
        </w:tc>
        <w:tc>
          <w:tcPr>
            <w:tcW w:w="1309" w:type="dxa"/>
          </w:tcPr>
          <w:p>
            <w:pPr>
              <w:pStyle w:val="0"/>
            </w:pPr>
            <w:r>
              <w:rPr>
                <w:sz w:val="20"/>
              </w:rPr>
              <w:t xml:space="preserve">-0,5</w:t>
            </w:r>
          </w:p>
        </w:tc>
        <w:tc>
          <w:tcPr>
            <w:tcW w:w="679" w:type="dxa"/>
          </w:tcPr>
          <w:p>
            <w:pPr>
              <w:pStyle w:val="0"/>
            </w:pPr>
            <w:r>
              <w:rPr>
                <w:sz w:val="20"/>
              </w:rPr>
              <w:t xml:space="preserve">2</w:t>
            </w:r>
          </w:p>
        </w:tc>
        <w:tc>
          <w:tcPr>
            <w:tcW w:w="2344" w:type="dxa"/>
          </w:tcPr>
          <w:p>
            <w:pPr>
              <w:pStyle w:val="0"/>
            </w:pPr>
            <w:r>
              <w:rPr>
                <w:sz w:val="20"/>
              </w:rPr>
              <w:t xml:space="preserve">8,6</w:t>
            </w:r>
          </w:p>
        </w:tc>
      </w:tr>
      <w:tr>
        <w:tc>
          <w:tcPr>
            <w:tcW w:w="3409" w:type="dxa"/>
          </w:tcPr>
          <w:p>
            <w:pPr>
              <w:pStyle w:val="0"/>
            </w:pPr>
            <w:r>
              <w:rPr>
                <w:sz w:val="20"/>
              </w:rPr>
              <w:t xml:space="preserve">Специалисты с ВНМО в стационаре</w:t>
            </w:r>
          </w:p>
        </w:tc>
        <w:tc>
          <w:tcPr>
            <w:tcW w:w="1309" w:type="dxa"/>
          </w:tcPr>
          <w:p>
            <w:pPr>
              <w:pStyle w:val="0"/>
            </w:pPr>
            <w:r>
              <w:rPr>
                <w:sz w:val="20"/>
              </w:rPr>
              <w:t xml:space="preserve">227,75</w:t>
            </w:r>
          </w:p>
        </w:tc>
        <w:tc>
          <w:tcPr>
            <w:tcW w:w="679" w:type="dxa"/>
          </w:tcPr>
          <w:p>
            <w:pPr>
              <w:pStyle w:val="0"/>
            </w:pPr>
            <w:r>
              <w:rPr>
                <w:sz w:val="20"/>
              </w:rPr>
              <w:t xml:space="preserve">174</w:t>
            </w:r>
          </w:p>
        </w:tc>
        <w:tc>
          <w:tcPr>
            <w:tcW w:w="2344" w:type="dxa"/>
          </w:tcPr>
          <w:p>
            <w:pPr>
              <w:pStyle w:val="0"/>
            </w:pPr>
            <w:r>
              <w:rPr>
                <w:sz w:val="20"/>
              </w:rPr>
              <w:t xml:space="preserve">76,4</w:t>
            </w:r>
          </w:p>
        </w:tc>
        <w:tc>
          <w:tcPr>
            <w:tcW w:w="1309" w:type="dxa"/>
          </w:tcPr>
          <w:p>
            <w:pPr>
              <w:pStyle w:val="0"/>
            </w:pPr>
            <w:r>
              <w:rPr>
                <w:sz w:val="20"/>
              </w:rPr>
              <w:t xml:space="preserve">253,50</w:t>
            </w:r>
          </w:p>
        </w:tc>
        <w:tc>
          <w:tcPr>
            <w:tcW w:w="679" w:type="dxa"/>
          </w:tcPr>
          <w:p>
            <w:pPr>
              <w:pStyle w:val="0"/>
            </w:pPr>
            <w:r>
              <w:rPr>
                <w:sz w:val="20"/>
              </w:rPr>
              <w:t xml:space="preserve">193</w:t>
            </w:r>
          </w:p>
        </w:tc>
        <w:tc>
          <w:tcPr>
            <w:tcW w:w="2344" w:type="dxa"/>
          </w:tcPr>
          <w:p>
            <w:pPr>
              <w:pStyle w:val="0"/>
            </w:pPr>
            <w:r>
              <w:rPr>
                <w:sz w:val="20"/>
              </w:rPr>
              <w:t xml:space="preserve">76,1</w:t>
            </w:r>
          </w:p>
        </w:tc>
        <w:tc>
          <w:tcPr>
            <w:tcW w:w="1309" w:type="dxa"/>
          </w:tcPr>
          <w:p>
            <w:pPr>
              <w:pStyle w:val="0"/>
            </w:pPr>
            <w:r>
              <w:rPr>
                <w:sz w:val="20"/>
              </w:rPr>
              <w:t xml:space="preserve">274</w:t>
            </w:r>
          </w:p>
        </w:tc>
        <w:tc>
          <w:tcPr>
            <w:tcW w:w="679" w:type="dxa"/>
          </w:tcPr>
          <w:p>
            <w:pPr>
              <w:pStyle w:val="0"/>
            </w:pPr>
            <w:r>
              <w:rPr>
                <w:sz w:val="20"/>
              </w:rPr>
              <w:t xml:space="preserve">212</w:t>
            </w:r>
          </w:p>
        </w:tc>
        <w:tc>
          <w:tcPr>
            <w:tcW w:w="2344" w:type="dxa"/>
          </w:tcPr>
          <w:p>
            <w:pPr>
              <w:pStyle w:val="0"/>
            </w:pPr>
            <w:r>
              <w:rPr>
                <w:sz w:val="20"/>
              </w:rPr>
              <w:t xml:space="preserve">77,4</w:t>
            </w:r>
          </w:p>
        </w:tc>
        <w:tc>
          <w:tcPr>
            <w:tcW w:w="1309" w:type="dxa"/>
          </w:tcPr>
          <w:p>
            <w:pPr>
              <w:pStyle w:val="0"/>
            </w:pPr>
            <w:r>
              <w:rPr>
                <w:sz w:val="20"/>
              </w:rPr>
              <w:t xml:space="preserve">20,2</w:t>
            </w:r>
          </w:p>
        </w:tc>
        <w:tc>
          <w:tcPr>
            <w:tcW w:w="679" w:type="dxa"/>
          </w:tcPr>
          <w:p>
            <w:pPr>
              <w:pStyle w:val="0"/>
            </w:pPr>
            <w:r>
              <w:rPr>
                <w:sz w:val="20"/>
              </w:rPr>
              <w:t xml:space="preserve">19</w:t>
            </w:r>
          </w:p>
        </w:tc>
        <w:tc>
          <w:tcPr>
            <w:tcW w:w="2344" w:type="dxa"/>
          </w:tcPr>
          <w:p>
            <w:pPr>
              <w:pStyle w:val="0"/>
            </w:pPr>
            <w:r>
              <w:rPr>
                <w:sz w:val="20"/>
              </w:rPr>
              <w:t xml:space="preserve">1,7</w:t>
            </w:r>
          </w:p>
        </w:tc>
      </w:tr>
      <w:tr>
        <w:tc>
          <w:tcPr>
            <w:tcW w:w="3409" w:type="dxa"/>
          </w:tcPr>
          <w:p>
            <w:pPr>
              <w:pStyle w:val="0"/>
            </w:pPr>
            <w:r>
              <w:rPr>
                <w:sz w:val="20"/>
              </w:rPr>
              <w:t xml:space="preserve">Логопеды</w:t>
            </w:r>
          </w:p>
        </w:tc>
        <w:tc>
          <w:tcPr>
            <w:tcW w:w="1309" w:type="dxa"/>
          </w:tcPr>
          <w:p>
            <w:pPr>
              <w:pStyle w:val="0"/>
            </w:pPr>
            <w:r>
              <w:rPr>
                <w:sz w:val="20"/>
              </w:rPr>
              <w:t xml:space="preserve">15,25</w:t>
            </w:r>
          </w:p>
        </w:tc>
        <w:tc>
          <w:tcPr>
            <w:tcW w:w="679" w:type="dxa"/>
          </w:tcPr>
          <w:p>
            <w:pPr>
              <w:pStyle w:val="0"/>
            </w:pPr>
            <w:r>
              <w:rPr>
                <w:sz w:val="20"/>
              </w:rPr>
              <w:t xml:space="preserve">12</w:t>
            </w:r>
          </w:p>
        </w:tc>
        <w:tc>
          <w:tcPr>
            <w:tcW w:w="2344" w:type="dxa"/>
          </w:tcPr>
          <w:p>
            <w:pPr>
              <w:pStyle w:val="0"/>
            </w:pPr>
            <w:r>
              <w:rPr>
                <w:sz w:val="20"/>
              </w:rPr>
              <w:t xml:space="preserve">78,7</w:t>
            </w:r>
          </w:p>
        </w:tc>
        <w:tc>
          <w:tcPr>
            <w:tcW w:w="1309" w:type="dxa"/>
          </w:tcPr>
          <w:p>
            <w:pPr>
              <w:pStyle w:val="0"/>
            </w:pPr>
            <w:r>
              <w:rPr>
                <w:sz w:val="20"/>
              </w:rPr>
              <w:t xml:space="preserve">14,50</w:t>
            </w:r>
          </w:p>
        </w:tc>
        <w:tc>
          <w:tcPr>
            <w:tcW w:w="679" w:type="dxa"/>
          </w:tcPr>
          <w:p>
            <w:pPr>
              <w:pStyle w:val="0"/>
            </w:pPr>
            <w:r>
              <w:rPr>
                <w:sz w:val="20"/>
              </w:rPr>
              <w:t xml:space="preserve">10</w:t>
            </w:r>
          </w:p>
        </w:tc>
        <w:tc>
          <w:tcPr>
            <w:tcW w:w="2344" w:type="dxa"/>
          </w:tcPr>
          <w:p>
            <w:pPr>
              <w:pStyle w:val="0"/>
            </w:pPr>
            <w:r>
              <w:rPr>
                <w:sz w:val="20"/>
              </w:rPr>
              <w:t xml:space="preserve">69,0</w:t>
            </w:r>
          </w:p>
        </w:tc>
        <w:tc>
          <w:tcPr>
            <w:tcW w:w="1309" w:type="dxa"/>
          </w:tcPr>
          <w:p>
            <w:pPr>
              <w:pStyle w:val="0"/>
            </w:pPr>
            <w:r>
              <w:rPr>
                <w:sz w:val="20"/>
              </w:rPr>
              <w:t xml:space="preserve">16,25</w:t>
            </w:r>
          </w:p>
        </w:tc>
        <w:tc>
          <w:tcPr>
            <w:tcW w:w="679" w:type="dxa"/>
          </w:tcPr>
          <w:p>
            <w:pPr>
              <w:pStyle w:val="0"/>
            </w:pPr>
            <w:r>
              <w:rPr>
                <w:sz w:val="20"/>
              </w:rPr>
              <w:t xml:space="preserve">11</w:t>
            </w:r>
          </w:p>
        </w:tc>
        <w:tc>
          <w:tcPr>
            <w:tcW w:w="2344" w:type="dxa"/>
          </w:tcPr>
          <w:p>
            <w:pPr>
              <w:pStyle w:val="0"/>
            </w:pPr>
            <w:r>
              <w:rPr>
                <w:sz w:val="20"/>
              </w:rPr>
              <w:t xml:space="preserve">67,7</w:t>
            </w:r>
          </w:p>
        </w:tc>
        <w:tc>
          <w:tcPr>
            <w:tcW w:w="1309" w:type="dxa"/>
          </w:tcPr>
          <w:p>
            <w:pPr>
              <w:pStyle w:val="0"/>
            </w:pPr>
            <w:r>
              <w:rPr>
                <w:sz w:val="20"/>
              </w:rPr>
              <w:t xml:space="preserve">1,75</w:t>
            </w:r>
          </w:p>
        </w:tc>
        <w:tc>
          <w:tcPr>
            <w:tcW w:w="679" w:type="dxa"/>
          </w:tcPr>
          <w:p>
            <w:pPr>
              <w:pStyle w:val="0"/>
            </w:pPr>
            <w:r>
              <w:rPr>
                <w:sz w:val="20"/>
              </w:rPr>
              <w:t xml:space="preserve">1</w:t>
            </w:r>
          </w:p>
        </w:tc>
        <w:tc>
          <w:tcPr>
            <w:tcW w:w="2344" w:type="dxa"/>
          </w:tcPr>
          <w:p>
            <w:pPr>
              <w:pStyle w:val="0"/>
            </w:pPr>
            <w:r>
              <w:rPr>
                <w:sz w:val="20"/>
              </w:rPr>
              <w:t xml:space="preserve">-1,9</w:t>
            </w:r>
          </w:p>
        </w:tc>
      </w:tr>
      <w:tr>
        <w:tc>
          <w:tcPr>
            <w:tcW w:w="3409" w:type="dxa"/>
          </w:tcPr>
          <w:p>
            <w:pPr>
              <w:pStyle w:val="0"/>
            </w:pPr>
            <w:r>
              <w:rPr>
                <w:sz w:val="20"/>
              </w:rPr>
              <w:t xml:space="preserve">Психологи</w:t>
            </w:r>
          </w:p>
        </w:tc>
        <w:tc>
          <w:tcPr>
            <w:tcW w:w="1309" w:type="dxa"/>
          </w:tcPr>
          <w:p>
            <w:pPr>
              <w:pStyle w:val="0"/>
            </w:pPr>
            <w:r>
              <w:rPr>
                <w:sz w:val="20"/>
              </w:rPr>
              <w:t xml:space="preserve">71,50</w:t>
            </w:r>
          </w:p>
        </w:tc>
        <w:tc>
          <w:tcPr>
            <w:tcW w:w="679" w:type="dxa"/>
          </w:tcPr>
          <w:p>
            <w:pPr>
              <w:pStyle w:val="0"/>
            </w:pPr>
            <w:r>
              <w:rPr>
                <w:sz w:val="20"/>
              </w:rPr>
              <w:t xml:space="preserve">59</w:t>
            </w:r>
          </w:p>
        </w:tc>
        <w:tc>
          <w:tcPr>
            <w:tcW w:w="2344" w:type="dxa"/>
          </w:tcPr>
          <w:p>
            <w:pPr>
              <w:pStyle w:val="0"/>
            </w:pPr>
            <w:r>
              <w:rPr>
                <w:sz w:val="20"/>
              </w:rPr>
              <w:t xml:space="preserve">82,5</w:t>
            </w:r>
          </w:p>
        </w:tc>
        <w:tc>
          <w:tcPr>
            <w:tcW w:w="1309" w:type="dxa"/>
          </w:tcPr>
          <w:p>
            <w:pPr>
              <w:pStyle w:val="0"/>
            </w:pPr>
            <w:r>
              <w:rPr>
                <w:sz w:val="20"/>
              </w:rPr>
              <w:t xml:space="preserve">69,75</w:t>
            </w:r>
          </w:p>
        </w:tc>
        <w:tc>
          <w:tcPr>
            <w:tcW w:w="679" w:type="dxa"/>
          </w:tcPr>
          <w:p>
            <w:pPr>
              <w:pStyle w:val="0"/>
            </w:pPr>
            <w:r>
              <w:rPr>
                <w:sz w:val="20"/>
              </w:rPr>
              <w:t xml:space="preserve">58</w:t>
            </w:r>
          </w:p>
        </w:tc>
        <w:tc>
          <w:tcPr>
            <w:tcW w:w="2344" w:type="dxa"/>
          </w:tcPr>
          <w:p>
            <w:pPr>
              <w:pStyle w:val="0"/>
            </w:pPr>
            <w:r>
              <w:rPr>
                <w:sz w:val="20"/>
              </w:rPr>
              <w:t xml:space="preserve">83,2</w:t>
            </w:r>
          </w:p>
        </w:tc>
        <w:tc>
          <w:tcPr>
            <w:tcW w:w="1309" w:type="dxa"/>
          </w:tcPr>
          <w:p>
            <w:pPr>
              <w:pStyle w:val="0"/>
            </w:pPr>
            <w:r>
              <w:rPr>
                <w:sz w:val="20"/>
              </w:rPr>
              <w:t xml:space="preserve">70,5</w:t>
            </w:r>
          </w:p>
        </w:tc>
        <w:tc>
          <w:tcPr>
            <w:tcW w:w="679" w:type="dxa"/>
          </w:tcPr>
          <w:p>
            <w:pPr>
              <w:pStyle w:val="0"/>
            </w:pPr>
            <w:r>
              <w:rPr>
                <w:sz w:val="20"/>
              </w:rPr>
              <w:t xml:space="preserve">59</w:t>
            </w:r>
          </w:p>
        </w:tc>
        <w:tc>
          <w:tcPr>
            <w:tcW w:w="2344" w:type="dxa"/>
          </w:tcPr>
          <w:p>
            <w:pPr>
              <w:pStyle w:val="0"/>
            </w:pPr>
            <w:r>
              <w:rPr>
                <w:sz w:val="20"/>
              </w:rPr>
              <w:t xml:space="preserve">83,7</w:t>
            </w:r>
          </w:p>
        </w:tc>
        <w:tc>
          <w:tcPr>
            <w:tcW w:w="1309" w:type="dxa"/>
          </w:tcPr>
          <w:p>
            <w:pPr>
              <w:pStyle w:val="0"/>
            </w:pPr>
            <w:r>
              <w:rPr>
                <w:sz w:val="20"/>
              </w:rPr>
              <w:t xml:space="preserve">0,75</w:t>
            </w:r>
          </w:p>
        </w:tc>
        <w:tc>
          <w:tcPr>
            <w:tcW w:w="679" w:type="dxa"/>
          </w:tcPr>
          <w:p>
            <w:pPr>
              <w:pStyle w:val="0"/>
            </w:pPr>
            <w:r>
              <w:rPr>
                <w:sz w:val="20"/>
              </w:rPr>
              <w:t xml:space="preserve">1</w:t>
            </w:r>
          </w:p>
        </w:tc>
        <w:tc>
          <w:tcPr>
            <w:tcW w:w="2344" w:type="dxa"/>
          </w:tcPr>
          <w:p>
            <w:pPr>
              <w:pStyle w:val="0"/>
            </w:pPr>
            <w:r>
              <w:rPr>
                <w:sz w:val="20"/>
              </w:rPr>
              <w:t xml:space="preserve">0,6</w:t>
            </w:r>
          </w:p>
        </w:tc>
      </w:tr>
      <w:tr>
        <w:tc>
          <w:tcPr>
            <w:tcW w:w="3409" w:type="dxa"/>
          </w:tcPr>
          <w:p>
            <w:pPr>
              <w:pStyle w:val="0"/>
            </w:pPr>
            <w:r>
              <w:rPr>
                <w:sz w:val="20"/>
              </w:rPr>
              <w:t xml:space="preserve">Инструкторы-методисты ЛФК</w:t>
            </w:r>
          </w:p>
        </w:tc>
        <w:tc>
          <w:tcPr>
            <w:tcW w:w="1309" w:type="dxa"/>
          </w:tcPr>
          <w:p>
            <w:pPr>
              <w:pStyle w:val="0"/>
            </w:pPr>
            <w:r>
              <w:rPr>
                <w:sz w:val="20"/>
              </w:rPr>
              <w:t xml:space="preserve">48,00</w:t>
            </w:r>
          </w:p>
        </w:tc>
        <w:tc>
          <w:tcPr>
            <w:tcW w:w="679" w:type="dxa"/>
          </w:tcPr>
          <w:p>
            <w:pPr>
              <w:pStyle w:val="0"/>
            </w:pPr>
            <w:r>
              <w:rPr>
                <w:sz w:val="20"/>
              </w:rPr>
              <w:t xml:space="preserve">44</w:t>
            </w:r>
          </w:p>
        </w:tc>
        <w:tc>
          <w:tcPr>
            <w:tcW w:w="2344" w:type="dxa"/>
          </w:tcPr>
          <w:p>
            <w:pPr>
              <w:pStyle w:val="0"/>
            </w:pPr>
            <w:r>
              <w:rPr>
                <w:sz w:val="20"/>
              </w:rPr>
              <w:t xml:space="preserve">91,7</w:t>
            </w:r>
          </w:p>
        </w:tc>
        <w:tc>
          <w:tcPr>
            <w:tcW w:w="1309" w:type="dxa"/>
          </w:tcPr>
          <w:p>
            <w:pPr>
              <w:pStyle w:val="0"/>
            </w:pPr>
            <w:r>
              <w:rPr>
                <w:sz w:val="20"/>
              </w:rPr>
              <w:t xml:space="preserve">76,00</w:t>
            </w:r>
          </w:p>
        </w:tc>
        <w:tc>
          <w:tcPr>
            <w:tcW w:w="679" w:type="dxa"/>
          </w:tcPr>
          <w:p>
            <w:pPr>
              <w:pStyle w:val="0"/>
            </w:pPr>
            <w:r>
              <w:rPr>
                <w:sz w:val="20"/>
              </w:rPr>
              <w:t xml:space="preserve">55</w:t>
            </w:r>
          </w:p>
        </w:tc>
        <w:tc>
          <w:tcPr>
            <w:tcW w:w="2344" w:type="dxa"/>
          </w:tcPr>
          <w:p>
            <w:pPr>
              <w:pStyle w:val="0"/>
            </w:pPr>
            <w:r>
              <w:rPr>
                <w:sz w:val="20"/>
              </w:rPr>
              <w:t xml:space="preserve">72,4</w:t>
            </w:r>
          </w:p>
        </w:tc>
        <w:tc>
          <w:tcPr>
            <w:tcW w:w="1309" w:type="dxa"/>
          </w:tcPr>
          <w:p>
            <w:pPr>
              <w:pStyle w:val="0"/>
            </w:pPr>
            <w:r>
              <w:rPr>
                <w:sz w:val="20"/>
              </w:rPr>
              <w:t xml:space="preserve">69,75</w:t>
            </w:r>
          </w:p>
        </w:tc>
        <w:tc>
          <w:tcPr>
            <w:tcW w:w="679" w:type="dxa"/>
          </w:tcPr>
          <w:p>
            <w:pPr>
              <w:pStyle w:val="0"/>
            </w:pPr>
            <w:r>
              <w:rPr>
                <w:sz w:val="20"/>
              </w:rPr>
              <w:t xml:space="preserve">59</w:t>
            </w:r>
          </w:p>
        </w:tc>
        <w:tc>
          <w:tcPr>
            <w:tcW w:w="2344" w:type="dxa"/>
          </w:tcPr>
          <w:p>
            <w:pPr>
              <w:pStyle w:val="0"/>
            </w:pPr>
            <w:r>
              <w:rPr>
                <w:sz w:val="20"/>
              </w:rPr>
              <w:t xml:space="preserve">84,6</w:t>
            </w:r>
          </w:p>
        </w:tc>
        <w:tc>
          <w:tcPr>
            <w:tcW w:w="1309" w:type="dxa"/>
          </w:tcPr>
          <w:p>
            <w:pPr>
              <w:pStyle w:val="0"/>
            </w:pPr>
            <w:r>
              <w:rPr>
                <w:sz w:val="20"/>
              </w:rPr>
              <w:t xml:space="preserve">-6,25</w:t>
            </w:r>
          </w:p>
        </w:tc>
        <w:tc>
          <w:tcPr>
            <w:tcW w:w="679" w:type="dxa"/>
          </w:tcPr>
          <w:p>
            <w:pPr>
              <w:pStyle w:val="0"/>
            </w:pPr>
            <w:r>
              <w:rPr>
                <w:sz w:val="20"/>
              </w:rPr>
              <w:t xml:space="preserve">4</w:t>
            </w:r>
          </w:p>
        </w:tc>
        <w:tc>
          <w:tcPr>
            <w:tcW w:w="2344" w:type="dxa"/>
          </w:tcPr>
          <w:p>
            <w:pPr>
              <w:pStyle w:val="0"/>
            </w:pPr>
            <w:r>
              <w:rPr>
                <w:sz w:val="20"/>
              </w:rPr>
              <w:t xml:space="preserve">16,8</w:t>
            </w:r>
          </w:p>
        </w:tc>
      </w:tr>
      <w:tr>
        <w:tc>
          <w:tcPr>
            <w:tcW w:w="3409" w:type="dxa"/>
          </w:tcPr>
          <w:p>
            <w:pPr>
              <w:pStyle w:val="0"/>
            </w:pPr>
            <w:r>
              <w:rPr>
                <w:sz w:val="20"/>
              </w:rPr>
              <w:t xml:space="preserve">Врачи в АПУ, из них:</w:t>
            </w:r>
          </w:p>
        </w:tc>
        <w:tc>
          <w:tcPr>
            <w:tcW w:w="1309" w:type="dxa"/>
          </w:tcPr>
          <w:p>
            <w:pPr>
              <w:pStyle w:val="0"/>
            </w:pPr>
            <w:r>
              <w:rPr>
                <w:sz w:val="20"/>
              </w:rPr>
              <w:t xml:space="preserve">7030,75</w:t>
            </w:r>
          </w:p>
        </w:tc>
        <w:tc>
          <w:tcPr>
            <w:tcW w:w="679" w:type="dxa"/>
          </w:tcPr>
          <w:p>
            <w:pPr>
              <w:pStyle w:val="0"/>
            </w:pPr>
            <w:r>
              <w:rPr>
                <w:sz w:val="20"/>
              </w:rPr>
              <w:t xml:space="preserve">5063</w:t>
            </w:r>
          </w:p>
        </w:tc>
        <w:tc>
          <w:tcPr>
            <w:tcW w:w="2344" w:type="dxa"/>
          </w:tcPr>
          <w:p>
            <w:pPr>
              <w:pStyle w:val="0"/>
            </w:pPr>
            <w:r>
              <w:rPr>
                <w:sz w:val="20"/>
              </w:rPr>
              <w:t xml:space="preserve">72,0</w:t>
            </w:r>
          </w:p>
        </w:tc>
        <w:tc>
          <w:tcPr>
            <w:tcW w:w="1309" w:type="dxa"/>
          </w:tcPr>
          <w:p>
            <w:pPr>
              <w:pStyle w:val="0"/>
            </w:pPr>
            <w:r>
              <w:rPr>
                <w:sz w:val="20"/>
              </w:rPr>
              <w:t xml:space="preserve">6956,00</w:t>
            </w:r>
          </w:p>
        </w:tc>
        <w:tc>
          <w:tcPr>
            <w:tcW w:w="679" w:type="dxa"/>
          </w:tcPr>
          <w:p>
            <w:pPr>
              <w:pStyle w:val="0"/>
            </w:pPr>
            <w:r>
              <w:rPr>
                <w:sz w:val="20"/>
              </w:rPr>
              <w:t xml:space="preserve">4945</w:t>
            </w:r>
          </w:p>
        </w:tc>
        <w:tc>
          <w:tcPr>
            <w:tcW w:w="2344" w:type="dxa"/>
          </w:tcPr>
          <w:p>
            <w:pPr>
              <w:pStyle w:val="0"/>
            </w:pPr>
            <w:r>
              <w:rPr>
                <w:sz w:val="20"/>
              </w:rPr>
              <w:t xml:space="preserve">71,1</w:t>
            </w:r>
          </w:p>
        </w:tc>
        <w:tc>
          <w:tcPr>
            <w:tcW w:w="1309" w:type="dxa"/>
          </w:tcPr>
          <w:p>
            <w:pPr>
              <w:pStyle w:val="0"/>
            </w:pPr>
            <w:r>
              <w:rPr>
                <w:sz w:val="20"/>
              </w:rPr>
              <w:t xml:space="preserve">6864,0</w:t>
            </w:r>
          </w:p>
        </w:tc>
        <w:tc>
          <w:tcPr>
            <w:tcW w:w="679" w:type="dxa"/>
          </w:tcPr>
          <w:p>
            <w:pPr>
              <w:pStyle w:val="0"/>
            </w:pPr>
            <w:r>
              <w:rPr>
                <w:sz w:val="20"/>
              </w:rPr>
              <w:t xml:space="preserve">4913</w:t>
            </w:r>
          </w:p>
        </w:tc>
        <w:tc>
          <w:tcPr>
            <w:tcW w:w="2344" w:type="dxa"/>
          </w:tcPr>
          <w:p>
            <w:pPr>
              <w:pStyle w:val="0"/>
            </w:pPr>
            <w:r>
              <w:rPr>
                <w:sz w:val="20"/>
              </w:rPr>
              <w:t xml:space="preserve">71,6</w:t>
            </w:r>
          </w:p>
        </w:tc>
        <w:tc>
          <w:tcPr>
            <w:tcW w:w="1309" w:type="dxa"/>
          </w:tcPr>
          <w:p>
            <w:pPr>
              <w:pStyle w:val="0"/>
            </w:pPr>
            <w:r>
              <w:rPr>
                <w:sz w:val="20"/>
              </w:rPr>
              <w:t xml:space="preserve">-92</w:t>
            </w:r>
          </w:p>
        </w:tc>
        <w:tc>
          <w:tcPr>
            <w:tcW w:w="679" w:type="dxa"/>
          </w:tcPr>
          <w:p>
            <w:pPr>
              <w:pStyle w:val="0"/>
            </w:pPr>
            <w:r>
              <w:rPr>
                <w:sz w:val="20"/>
              </w:rPr>
              <w:t xml:space="preserve">-32</w:t>
            </w:r>
          </w:p>
        </w:tc>
        <w:tc>
          <w:tcPr>
            <w:tcW w:w="2344" w:type="dxa"/>
          </w:tcPr>
          <w:p>
            <w:pPr>
              <w:pStyle w:val="0"/>
            </w:pPr>
            <w:r>
              <w:rPr>
                <w:sz w:val="20"/>
              </w:rPr>
              <w:t xml:space="preserve">0,7</w:t>
            </w:r>
          </w:p>
        </w:tc>
      </w:tr>
      <w:tr>
        <w:tc>
          <w:tcPr>
            <w:tcW w:w="3409" w:type="dxa"/>
          </w:tcPr>
          <w:p>
            <w:pPr>
              <w:pStyle w:val="0"/>
            </w:pPr>
            <w:r>
              <w:rPr>
                <w:sz w:val="20"/>
              </w:rPr>
              <w:t xml:space="preserve">Кардиологи в АПУ</w:t>
            </w:r>
          </w:p>
        </w:tc>
        <w:tc>
          <w:tcPr>
            <w:tcW w:w="1309" w:type="dxa"/>
          </w:tcPr>
          <w:p>
            <w:pPr>
              <w:pStyle w:val="0"/>
            </w:pPr>
            <w:r>
              <w:rPr>
                <w:sz w:val="20"/>
              </w:rPr>
              <w:t xml:space="preserve">96,50</w:t>
            </w:r>
          </w:p>
        </w:tc>
        <w:tc>
          <w:tcPr>
            <w:tcW w:w="679" w:type="dxa"/>
          </w:tcPr>
          <w:p>
            <w:pPr>
              <w:pStyle w:val="0"/>
            </w:pPr>
            <w:r>
              <w:rPr>
                <w:sz w:val="20"/>
              </w:rPr>
              <w:t xml:space="preserve">66</w:t>
            </w:r>
          </w:p>
        </w:tc>
        <w:tc>
          <w:tcPr>
            <w:tcW w:w="2344" w:type="dxa"/>
          </w:tcPr>
          <w:p>
            <w:pPr>
              <w:pStyle w:val="0"/>
            </w:pPr>
            <w:r>
              <w:rPr>
                <w:sz w:val="20"/>
              </w:rPr>
              <w:t xml:space="preserve">68,4</w:t>
            </w:r>
          </w:p>
        </w:tc>
        <w:tc>
          <w:tcPr>
            <w:tcW w:w="1309" w:type="dxa"/>
          </w:tcPr>
          <w:p>
            <w:pPr>
              <w:pStyle w:val="0"/>
            </w:pPr>
            <w:r>
              <w:rPr>
                <w:sz w:val="20"/>
              </w:rPr>
              <w:t xml:space="preserve">92,50</w:t>
            </w:r>
          </w:p>
        </w:tc>
        <w:tc>
          <w:tcPr>
            <w:tcW w:w="679" w:type="dxa"/>
          </w:tcPr>
          <w:p>
            <w:pPr>
              <w:pStyle w:val="0"/>
            </w:pPr>
            <w:r>
              <w:rPr>
                <w:sz w:val="20"/>
              </w:rPr>
              <w:t xml:space="preserve">69</w:t>
            </w:r>
          </w:p>
        </w:tc>
        <w:tc>
          <w:tcPr>
            <w:tcW w:w="2344" w:type="dxa"/>
          </w:tcPr>
          <w:p>
            <w:pPr>
              <w:pStyle w:val="0"/>
            </w:pPr>
            <w:r>
              <w:rPr>
                <w:sz w:val="20"/>
              </w:rPr>
              <w:t xml:space="preserve">74,6</w:t>
            </w:r>
          </w:p>
        </w:tc>
        <w:tc>
          <w:tcPr>
            <w:tcW w:w="1309" w:type="dxa"/>
          </w:tcPr>
          <w:p>
            <w:pPr>
              <w:pStyle w:val="0"/>
            </w:pPr>
            <w:r>
              <w:rPr>
                <w:sz w:val="20"/>
              </w:rPr>
              <w:t xml:space="preserve">96,25</w:t>
            </w:r>
          </w:p>
        </w:tc>
        <w:tc>
          <w:tcPr>
            <w:tcW w:w="679" w:type="dxa"/>
          </w:tcPr>
          <w:p>
            <w:pPr>
              <w:pStyle w:val="0"/>
            </w:pPr>
            <w:r>
              <w:rPr>
                <w:sz w:val="20"/>
              </w:rPr>
              <w:t xml:space="preserve">74</w:t>
            </w:r>
          </w:p>
        </w:tc>
        <w:tc>
          <w:tcPr>
            <w:tcW w:w="2344" w:type="dxa"/>
          </w:tcPr>
          <w:p>
            <w:pPr>
              <w:pStyle w:val="0"/>
            </w:pPr>
            <w:r>
              <w:rPr>
                <w:sz w:val="20"/>
              </w:rPr>
              <w:t xml:space="preserve">77</w:t>
            </w:r>
          </w:p>
        </w:tc>
        <w:tc>
          <w:tcPr>
            <w:tcW w:w="1309" w:type="dxa"/>
          </w:tcPr>
          <w:p>
            <w:pPr>
              <w:pStyle w:val="0"/>
            </w:pPr>
            <w:r>
              <w:rPr>
                <w:sz w:val="20"/>
              </w:rPr>
              <w:t xml:space="preserve">3,75</w:t>
            </w:r>
          </w:p>
        </w:tc>
        <w:tc>
          <w:tcPr>
            <w:tcW w:w="679" w:type="dxa"/>
          </w:tcPr>
          <w:p>
            <w:pPr>
              <w:pStyle w:val="0"/>
            </w:pPr>
            <w:r>
              <w:rPr>
                <w:sz w:val="20"/>
              </w:rPr>
              <w:t xml:space="preserve">5</w:t>
            </w:r>
          </w:p>
        </w:tc>
        <w:tc>
          <w:tcPr>
            <w:tcW w:w="2344" w:type="dxa"/>
          </w:tcPr>
          <w:p>
            <w:pPr>
              <w:pStyle w:val="0"/>
            </w:pPr>
            <w:r>
              <w:rPr>
                <w:sz w:val="20"/>
              </w:rPr>
              <w:t xml:space="preserve">3,2</w:t>
            </w:r>
          </w:p>
        </w:tc>
      </w:tr>
      <w:tr>
        <w:tc>
          <w:tcPr>
            <w:tcW w:w="3409" w:type="dxa"/>
          </w:tcPr>
          <w:p>
            <w:pPr>
              <w:pStyle w:val="0"/>
            </w:pPr>
            <w:r>
              <w:rPr>
                <w:sz w:val="20"/>
              </w:rPr>
              <w:t xml:space="preserve">Неврологи в АПУ</w:t>
            </w:r>
          </w:p>
        </w:tc>
        <w:tc>
          <w:tcPr>
            <w:tcW w:w="1309" w:type="dxa"/>
          </w:tcPr>
          <w:p>
            <w:pPr>
              <w:pStyle w:val="0"/>
            </w:pPr>
            <w:r>
              <w:rPr>
                <w:sz w:val="20"/>
              </w:rPr>
              <w:t xml:space="preserve">229,75</w:t>
            </w:r>
          </w:p>
        </w:tc>
        <w:tc>
          <w:tcPr>
            <w:tcW w:w="679" w:type="dxa"/>
          </w:tcPr>
          <w:p>
            <w:pPr>
              <w:pStyle w:val="0"/>
            </w:pPr>
            <w:r>
              <w:rPr>
                <w:sz w:val="20"/>
              </w:rPr>
              <w:t xml:space="preserve">160</w:t>
            </w:r>
          </w:p>
        </w:tc>
        <w:tc>
          <w:tcPr>
            <w:tcW w:w="2344" w:type="dxa"/>
          </w:tcPr>
          <w:p>
            <w:pPr>
              <w:pStyle w:val="0"/>
            </w:pPr>
            <w:r>
              <w:rPr>
                <w:sz w:val="20"/>
              </w:rPr>
              <w:t xml:space="preserve">69,6</w:t>
            </w:r>
          </w:p>
        </w:tc>
        <w:tc>
          <w:tcPr>
            <w:tcW w:w="1309" w:type="dxa"/>
          </w:tcPr>
          <w:p>
            <w:pPr>
              <w:pStyle w:val="0"/>
            </w:pPr>
            <w:r>
              <w:rPr>
                <w:sz w:val="20"/>
              </w:rPr>
              <w:t xml:space="preserve">218,50</w:t>
            </w:r>
          </w:p>
        </w:tc>
        <w:tc>
          <w:tcPr>
            <w:tcW w:w="679" w:type="dxa"/>
          </w:tcPr>
          <w:p>
            <w:pPr>
              <w:pStyle w:val="0"/>
            </w:pPr>
            <w:r>
              <w:rPr>
                <w:sz w:val="20"/>
              </w:rPr>
              <w:t xml:space="preserve">155</w:t>
            </w:r>
          </w:p>
        </w:tc>
        <w:tc>
          <w:tcPr>
            <w:tcW w:w="2344" w:type="dxa"/>
          </w:tcPr>
          <w:p>
            <w:pPr>
              <w:pStyle w:val="0"/>
            </w:pPr>
            <w:r>
              <w:rPr>
                <w:sz w:val="20"/>
              </w:rPr>
              <w:t xml:space="preserve">70,9</w:t>
            </w:r>
          </w:p>
        </w:tc>
        <w:tc>
          <w:tcPr>
            <w:tcW w:w="1309" w:type="dxa"/>
          </w:tcPr>
          <w:p>
            <w:pPr>
              <w:pStyle w:val="0"/>
            </w:pPr>
            <w:r>
              <w:rPr>
                <w:sz w:val="20"/>
              </w:rPr>
              <w:t xml:space="preserve">220,25</w:t>
            </w:r>
          </w:p>
        </w:tc>
        <w:tc>
          <w:tcPr>
            <w:tcW w:w="679" w:type="dxa"/>
          </w:tcPr>
          <w:p>
            <w:pPr>
              <w:pStyle w:val="0"/>
            </w:pPr>
            <w:r>
              <w:rPr>
                <w:sz w:val="20"/>
              </w:rPr>
              <w:t xml:space="preserve">155</w:t>
            </w:r>
          </w:p>
        </w:tc>
        <w:tc>
          <w:tcPr>
            <w:tcW w:w="2344" w:type="dxa"/>
          </w:tcPr>
          <w:p>
            <w:pPr>
              <w:pStyle w:val="0"/>
            </w:pPr>
            <w:r>
              <w:rPr>
                <w:sz w:val="20"/>
              </w:rPr>
              <w:t xml:space="preserve">70,4</w:t>
            </w:r>
          </w:p>
        </w:tc>
        <w:tc>
          <w:tcPr>
            <w:tcW w:w="1309" w:type="dxa"/>
          </w:tcPr>
          <w:p>
            <w:pPr>
              <w:pStyle w:val="0"/>
            </w:pPr>
            <w:r>
              <w:rPr>
                <w:sz w:val="20"/>
              </w:rPr>
              <w:t xml:space="preserve">1,75</w:t>
            </w:r>
          </w:p>
        </w:tc>
        <w:tc>
          <w:tcPr>
            <w:tcW w:w="679" w:type="dxa"/>
          </w:tcPr>
          <w:p>
            <w:pPr>
              <w:pStyle w:val="0"/>
            </w:pPr>
            <w:r>
              <w:rPr>
                <w:sz w:val="20"/>
              </w:rPr>
              <w:t xml:space="preserve">0</w:t>
            </w:r>
          </w:p>
        </w:tc>
        <w:tc>
          <w:tcPr>
            <w:tcW w:w="2344" w:type="dxa"/>
          </w:tcPr>
          <w:p>
            <w:pPr>
              <w:pStyle w:val="0"/>
            </w:pPr>
            <w:r>
              <w:rPr>
                <w:sz w:val="20"/>
              </w:rPr>
              <w:t xml:space="preserve">-0,7</w:t>
            </w:r>
          </w:p>
        </w:tc>
      </w:tr>
      <w:tr>
        <w:tc>
          <w:tcPr>
            <w:tcW w:w="3409" w:type="dxa"/>
          </w:tcPr>
          <w:p>
            <w:pPr>
              <w:pStyle w:val="0"/>
            </w:pPr>
            <w:r>
              <w:rPr>
                <w:sz w:val="20"/>
              </w:rPr>
              <w:t xml:space="preserve">Выездные врачи СМП</w:t>
            </w:r>
          </w:p>
        </w:tc>
        <w:tc>
          <w:tcPr>
            <w:tcW w:w="1309" w:type="dxa"/>
          </w:tcPr>
          <w:p>
            <w:pPr>
              <w:pStyle w:val="0"/>
            </w:pPr>
            <w:r>
              <w:rPr>
                <w:sz w:val="20"/>
              </w:rPr>
              <w:t xml:space="preserve">250,50</w:t>
            </w:r>
          </w:p>
        </w:tc>
        <w:tc>
          <w:tcPr>
            <w:tcW w:w="679" w:type="dxa"/>
          </w:tcPr>
          <w:p>
            <w:pPr>
              <w:pStyle w:val="0"/>
            </w:pPr>
            <w:r>
              <w:rPr>
                <w:sz w:val="20"/>
              </w:rPr>
              <w:t xml:space="preserve">143</w:t>
            </w:r>
          </w:p>
        </w:tc>
        <w:tc>
          <w:tcPr>
            <w:tcW w:w="2344" w:type="dxa"/>
          </w:tcPr>
          <w:p>
            <w:pPr>
              <w:pStyle w:val="0"/>
            </w:pPr>
            <w:r>
              <w:rPr>
                <w:sz w:val="20"/>
              </w:rPr>
              <w:t xml:space="preserve">57,1</w:t>
            </w:r>
          </w:p>
        </w:tc>
        <w:tc>
          <w:tcPr>
            <w:tcW w:w="1309" w:type="dxa"/>
          </w:tcPr>
          <w:p>
            <w:pPr>
              <w:pStyle w:val="0"/>
            </w:pPr>
            <w:r>
              <w:rPr>
                <w:sz w:val="20"/>
              </w:rPr>
              <w:t xml:space="preserve">248,50</w:t>
            </w:r>
          </w:p>
        </w:tc>
        <w:tc>
          <w:tcPr>
            <w:tcW w:w="679" w:type="dxa"/>
          </w:tcPr>
          <w:p>
            <w:pPr>
              <w:pStyle w:val="0"/>
            </w:pPr>
            <w:r>
              <w:rPr>
                <w:sz w:val="20"/>
              </w:rPr>
              <w:t xml:space="preserve">141</w:t>
            </w:r>
          </w:p>
        </w:tc>
        <w:tc>
          <w:tcPr>
            <w:tcW w:w="2344" w:type="dxa"/>
          </w:tcPr>
          <w:p>
            <w:pPr>
              <w:pStyle w:val="0"/>
            </w:pPr>
            <w:r>
              <w:rPr>
                <w:sz w:val="20"/>
              </w:rPr>
              <w:t xml:space="preserve">56,7</w:t>
            </w:r>
          </w:p>
        </w:tc>
        <w:tc>
          <w:tcPr>
            <w:tcW w:w="1309" w:type="dxa"/>
          </w:tcPr>
          <w:p>
            <w:pPr>
              <w:pStyle w:val="0"/>
            </w:pPr>
            <w:r>
              <w:rPr>
                <w:sz w:val="20"/>
              </w:rPr>
              <w:t xml:space="preserve">244,25</w:t>
            </w:r>
          </w:p>
        </w:tc>
        <w:tc>
          <w:tcPr>
            <w:tcW w:w="679" w:type="dxa"/>
          </w:tcPr>
          <w:p>
            <w:pPr>
              <w:pStyle w:val="0"/>
            </w:pPr>
            <w:r>
              <w:rPr>
                <w:sz w:val="20"/>
              </w:rPr>
              <w:t xml:space="preserve">124</w:t>
            </w:r>
          </w:p>
        </w:tc>
        <w:tc>
          <w:tcPr>
            <w:tcW w:w="2344" w:type="dxa"/>
          </w:tcPr>
          <w:p>
            <w:pPr>
              <w:pStyle w:val="0"/>
            </w:pPr>
            <w:r>
              <w:rPr>
                <w:sz w:val="20"/>
              </w:rPr>
              <w:t xml:space="preserve">50,8</w:t>
            </w:r>
          </w:p>
        </w:tc>
        <w:tc>
          <w:tcPr>
            <w:tcW w:w="1309" w:type="dxa"/>
          </w:tcPr>
          <w:p>
            <w:pPr>
              <w:pStyle w:val="0"/>
            </w:pPr>
            <w:r>
              <w:rPr>
                <w:sz w:val="20"/>
              </w:rPr>
              <w:t xml:space="preserve">-4,25</w:t>
            </w:r>
          </w:p>
        </w:tc>
        <w:tc>
          <w:tcPr>
            <w:tcW w:w="679" w:type="dxa"/>
          </w:tcPr>
          <w:p>
            <w:pPr>
              <w:pStyle w:val="0"/>
            </w:pPr>
            <w:r>
              <w:rPr>
                <w:sz w:val="20"/>
              </w:rPr>
              <w:t xml:space="preserve">-17</w:t>
            </w:r>
          </w:p>
        </w:tc>
        <w:tc>
          <w:tcPr>
            <w:tcW w:w="2344" w:type="dxa"/>
          </w:tcPr>
          <w:p>
            <w:pPr>
              <w:pStyle w:val="0"/>
            </w:pPr>
            <w:r>
              <w:rPr>
                <w:sz w:val="20"/>
              </w:rPr>
              <w:t xml:space="preserve">-10,4</w:t>
            </w:r>
          </w:p>
        </w:tc>
      </w:tr>
      <w:tr>
        <w:tc>
          <w:tcPr>
            <w:tcW w:w="3409" w:type="dxa"/>
          </w:tcPr>
          <w:p>
            <w:pPr>
              <w:pStyle w:val="0"/>
            </w:pPr>
            <w:r>
              <w:rPr>
                <w:sz w:val="20"/>
              </w:rPr>
              <w:t xml:space="preserve">Выездные фельдшеры СМП</w:t>
            </w:r>
          </w:p>
        </w:tc>
        <w:tc>
          <w:tcPr>
            <w:tcW w:w="1309" w:type="dxa"/>
          </w:tcPr>
          <w:p>
            <w:pPr>
              <w:pStyle w:val="0"/>
            </w:pPr>
            <w:r>
              <w:rPr>
                <w:sz w:val="20"/>
              </w:rPr>
              <w:t xml:space="preserve">1285,00</w:t>
            </w:r>
          </w:p>
        </w:tc>
        <w:tc>
          <w:tcPr>
            <w:tcW w:w="679" w:type="dxa"/>
          </w:tcPr>
          <w:p>
            <w:pPr>
              <w:pStyle w:val="0"/>
            </w:pPr>
            <w:r>
              <w:rPr>
                <w:sz w:val="20"/>
              </w:rPr>
              <w:t xml:space="preserve">1107</w:t>
            </w:r>
          </w:p>
        </w:tc>
        <w:tc>
          <w:tcPr>
            <w:tcW w:w="2344" w:type="dxa"/>
          </w:tcPr>
          <w:p>
            <w:pPr>
              <w:pStyle w:val="0"/>
            </w:pPr>
            <w:r>
              <w:rPr>
                <w:sz w:val="20"/>
              </w:rPr>
              <w:t xml:space="preserve">86,1</w:t>
            </w:r>
          </w:p>
        </w:tc>
        <w:tc>
          <w:tcPr>
            <w:tcW w:w="1309" w:type="dxa"/>
          </w:tcPr>
          <w:p>
            <w:pPr>
              <w:pStyle w:val="0"/>
            </w:pPr>
            <w:r>
              <w:rPr>
                <w:sz w:val="20"/>
              </w:rPr>
              <w:t xml:space="preserve">1373,75</w:t>
            </w:r>
          </w:p>
        </w:tc>
        <w:tc>
          <w:tcPr>
            <w:tcW w:w="679" w:type="dxa"/>
          </w:tcPr>
          <w:p>
            <w:pPr>
              <w:pStyle w:val="0"/>
            </w:pPr>
            <w:r>
              <w:rPr>
                <w:sz w:val="20"/>
              </w:rPr>
              <w:t xml:space="preserve">1178</w:t>
            </w:r>
          </w:p>
        </w:tc>
        <w:tc>
          <w:tcPr>
            <w:tcW w:w="2344" w:type="dxa"/>
          </w:tcPr>
          <w:p>
            <w:pPr>
              <w:pStyle w:val="0"/>
            </w:pPr>
            <w:r>
              <w:rPr>
                <w:sz w:val="20"/>
              </w:rPr>
              <w:t xml:space="preserve">85,8</w:t>
            </w:r>
          </w:p>
        </w:tc>
        <w:tc>
          <w:tcPr>
            <w:tcW w:w="1309" w:type="dxa"/>
          </w:tcPr>
          <w:p>
            <w:pPr>
              <w:pStyle w:val="0"/>
            </w:pPr>
            <w:r>
              <w:rPr>
                <w:sz w:val="20"/>
              </w:rPr>
              <w:t xml:space="preserve">1283,75</w:t>
            </w:r>
          </w:p>
        </w:tc>
        <w:tc>
          <w:tcPr>
            <w:tcW w:w="679" w:type="dxa"/>
          </w:tcPr>
          <w:p>
            <w:pPr>
              <w:pStyle w:val="0"/>
            </w:pPr>
            <w:r>
              <w:rPr>
                <w:sz w:val="20"/>
              </w:rPr>
              <w:t xml:space="preserve">1067</w:t>
            </w:r>
          </w:p>
        </w:tc>
        <w:tc>
          <w:tcPr>
            <w:tcW w:w="2344" w:type="dxa"/>
          </w:tcPr>
          <w:p>
            <w:pPr>
              <w:pStyle w:val="0"/>
            </w:pPr>
            <w:r>
              <w:rPr>
                <w:sz w:val="20"/>
              </w:rPr>
              <w:t xml:space="preserve">83,1</w:t>
            </w:r>
          </w:p>
        </w:tc>
        <w:tc>
          <w:tcPr>
            <w:tcW w:w="1309" w:type="dxa"/>
          </w:tcPr>
          <w:p>
            <w:pPr>
              <w:pStyle w:val="0"/>
            </w:pPr>
            <w:r>
              <w:rPr>
                <w:sz w:val="20"/>
              </w:rPr>
              <w:t xml:space="preserve">-90</w:t>
            </w:r>
          </w:p>
        </w:tc>
        <w:tc>
          <w:tcPr>
            <w:tcW w:w="679" w:type="dxa"/>
          </w:tcPr>
          <w:p>
            <w:pPr>
              <w:pStyle w:val="0"/>
            </w:pPr>
            <w:r>
              <w:rPr>
                <w:sz w:val="20"/>
              </w:rPr>
              <w:t xml:space="preserve">-111</w:t>
            </w:r>
          </w:p>
        </w:tc>
        <w:tc>
          <w:tcPr>
            <w:tcW w:w="2344" w:type="dxa"/>
          </w:tcPr>
          <w:p>
            <w:pPr>
              <w:pStyle w:val="0"/>
            </w:pPr>
            <w:r>
              <w:rPr>
                <w:sz w:val="20"/>
              </w:rPr>
              <w:t xml:space="preserve">-3,2</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В 2022 году число врачей-кардиологов увеличилось на 1 человека.</w:t>
      </w:r>
    </w:p>
    <w:p>
      <w:pPr>
        <w:pStyle w:val="0"/>
        <w:spacing w:before="200" w:line-rule="auto"/>
        <w:ind w:firstLine="540"/>
        <w:jc w:val="both"/>
      </w:pPr>
      <w:r>
        <w:rPr>
          <w:sz w:val="20"/>
        </w:rPr>
        <w:t xml:space="preserve">Показатель укомплектованности кардиологами (физ. лицами) в 2022 году составил 67,2%, что на 2,2% больше, чем в 2021 году. Более высокий в амбулаторно-поликлиническом звене - 76,9%, в стационаре - 67,2%. Укомплектованность увеличилась в сравнении с 2021 годом по поликлинике на 2,3%, по стационару на 2,2%.</w:t>
      </w:r>
    </w:p>
    <w:p>
      <w:pPr>
        <w:pStyle w:val="0"/>
        <w:spacing w:before="200" w:line-rule="auto"/>
        <w:ind w:firstLine="540"/>
        <w:jc w:val="both"/>
      </w:pPr>
      <w:r>
        <w:rPr>
          <w:sz w:val="20"/>
        </w:rPr>
        <w:t xml:space="preserve">Обеспеченность врачами-кардиологами в поликлинике - 0,4 на 10 тыс. населения, в стационаре - 0,5 на 10 тыс. населения, что соответствует нормативу. Коэффициент совместительства кардиологов 1,3. Численность населения на 1 кардиолога поликлиники - 24 853, что превышает нормативна 30% (1 кардиолог на 20 тыс. населения - </w:t>
      </w:r>
      <w:hyperlink w:history="0" r:id="rId149" w:tooltip="Приказ Минздрава России от 15.11.2012 N 918н (ред. от 21.02.2020) &quot;Об утверждении порядка оказания медицинской помощи больным с сердечно-сосудистыми заболеваниями&quot; (Зарегистрировано в Минюсте России 29.12.2012 N 26483) {КонсультантПлюс}">
        <w:r>
          <w:rPr>
            <w:sz w:val="20"/>
            <w:color w:val="0000ff"/>
          </w:rPr>
          <w:t xml:space="preserve">приказ</w:t>
        </w:r>
      </w:hyperlink>
      <w:r>
        <w:rPr>
          <w:sz w:val="20"/>
        </w:rPr>
        <w:t xml:space="preserve"> Минздрава России от 15 ноября 2012 года N 918н "Об утверждении порядка оказания медицинской помощи больным с сердечно-сосудистыми заболеваниями").</w:t>
      </w:r>
    </w:p>
    <w:p>
      <w:pPr>
        <w:pStyle w:val="0"/>
        <w:spacing w:before="200" w:line-rule="auto"/>
        <w:ind w:firstLine="540"/>
        <w:jc w:val="both"/>
      </w:pPr>
      <w:r>
        <w:rPr>
          <w:sz w:val="20"/>
        </w:rPr>
        <w:t xml:space="preserve">Категорию имеют 32% кардиологов, на 0,3% меньше в сравнении с показателем прошлого года, что связано с притоком молодых специалистов.</w:t>
      </w:r>
    </w:p>
    <w:p>
      <w:pPr>
        <w:pStyle w:val="0"/>
        <w:jc w:val="right"/>
      </w:pPr>
      <w:r>
        <w:rPr>
          <w:sz w:val="20"/>
        </w:rPr>
      </w:r>
    </w:p>
    <w:p>
      <w:pPr>
        <w:pStyle w:val="0"/>
        <w:jc w:val="right"/>
      </w:pPr>
      <w:r>
        <w:rPr>
          <w:sz w:val="20"/>
        </w:rPr>
        <w:t xml:space="preserve">Таблица 60</w:t>
      </w:r>
    </w:p>
    <w:p>
      <w:pPr>
        <w:pStyle w:val="0"/>
        <w:jc w:val="right"/>
      </w:pPr>
      <w:r>
        <w:rPr>
          <w:sz w:val="20"/>
        </w:rPr>
      </w:r>
    </w:p>
    <w:p>
      <w:pPr>
        <w:pStyle w:val="0"/>
        <w:jc w:val="center"/>
      </w:pPr>
      <w:r>
        <w:rPr>
          <w:sz w:val="20"/>
        </w:rPr>
        <w:t xml:space="preserve">Штаты и кадры кардиологической службы автономного округа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784"/>
        <w:gridCol w:w="784"/>
        <w:gridCol w:w="784"/>
        <w:gridCol w:w="784"/>
        <w:gridCol w:w="784"/>
        <w:gridCol w:w="1144"/>
      </w:tblGrid>
      <w:tr>
        <w:tc>
          <w:tcPr>
            <w:tcW w:w="3288" w:type="dxa"/>
          </w:tcPr>
          <w:p>
            <w:pPr>
              <w:pStyle w:val="0"/>
              <w:jc w:val="center"/>
            </w:pPr>
            <w:r>
              <w:rPr>
                <w:sz w:val="20"/>
              </w:rPr>
              <w:t xml:space="preserve">Показатель</w:t>
            </w:r>
          </w:p>
        </w:tc>
        <w:tc>
          <w:tcPr>
            <w:tcW w:w="784" w:type="dxa"/>
          </w:tcPr>
          <w:p>
            <w:pPr>
              <w:pStyle w:val="0"/>
              <w:jc w:val="center"/>
            </w:pPr>
            <w:r>
              <w:rPr>
                <w:sz w:val="20"/>
              </w:rPr>
              <w:t xml:space="preserve">2018</w:t>
            </w:r>
          </w:p>
        </w:tc>
        <w:tc>
          <w:tcPr>
            <w:tcW w:w="784" w:type="dxa"/>
          </w:tcPr>
          <w:p>
            <w:pPr>
              <w:pStyle w:val="0"/>
              <w:jc w:val="center"/>
            </w:pPr>
            <w:r>
              <w:rPr>
                <w:sz w:val="20"/>
              </w:rPr>
              <w:t xml:space="preserve">2019</w:t>
            </w:r>
          </w:p>
        </w:tc>
        <w:tc>
          <w:tcPr>
            <w:tcW w:w="784" w:type="dxa"/>
          </w:tcPr>
          <w:p>
            <w:pPr>
              <w:pStyle w:val="0"/>
              <w:jc w:val="center"/>
            </w:pPr>
            <w:r>
              <w:rPr>
                <w:sz w:val="20"/>
              </w:rPr>
              <w:t xml:space="preserve">2020</w:t>
            </w:r>
          </w:p>
        </w:tc>
        <w:tc>
          <w:tcPr>
            <w:tcW w:w="784" w:type="dxa"/>
          </w:tcPr>
          <w:p>
            <w:pPr>
              <w:pStyle w:val="0"/>
              <w:jc w:val="center"/>
            </w:pPr>
            <w:r>
              <w:rPr>
                <w:sz w:val="20"/>
              </w:rPr>
              <w:t xml:space="preserve">2021</w:t>
            </w:r>
          </w:p>
        </w:tc>
        <w:tc>
          <w:tcPr>
            <w:tcW w:w="784" w:type="dxa"/>
          </w:tcPr>
          <w:p>
            <w:pPr>
              <w:pStyle w:val="0"/>
              <w:jc w:val="center"/>
            </w:pPr>
            <w:r>
              <w:rPr>
                <w:sz w:val="20"/>
              </w:rPr>
              <w:t xml:space="preserve">2022</w:t>
            </w:r>
          </w:p>
        </w:tc>
        <w:tc>
          <w:tcPr>
            <w:tcW w:w="1144" w:type="dxa"/>
          </w:tcPr>
          <w:p>
            <w:pPr>
              <w:pStyle w:val="0"/>
              <w:jc w:val="center"/>
            </w:pPr>
            <w:r>
              <w:rPr>
                <w:sz w:val="20"/>
              </w:rPr>
              <w:t xml:space="preserve">2022/2021</w:t>
            </w:r>
          </w:p>
        </w:tc>
      </w:tr>
      <w:tr>
        <w:tc>
          <w:tcPr>
            <w:tcW w:w="3288" w:type="dxa"/>
          </w:tcPr>
          <w:p>
            <w:pPr>
              <w:pStyle w:val="0"/>
            </w:pPr>
            <w:r>
              <w:rPr>
                <w:sz w:val="20"/>
              </w:rPr>
              <w:t xml:space="preserve">Штатных должностей врачей кардиологов, ставок</w:t>
            </w:r>
          </w:p>
        </w:tc>
        <w:tc>
          <w:tcPr>
            <w:tcW w:w="784" w:type="dxa"/>
          </w:tcPr>
          <w:p>
            <w:pPr>
              <w:pStyle w:val="0"/>
            </w:pPr>
            <w:r>
              <w:rPr>
                <w:sz w:val="20"/>
              </w:rPr>
              <w:t xml:space="preserve">211,00</w:t>
            </w:r>
          </w:p>
        </w:tc>
        <w:tc>
          <w:tcPr>
            <w:tcW w:w="784" w:type="dxa"/>
          </w:tcPr>
          <w:p>
            <w:pPr>
              <w:pStyle w:val="0"/>
            </w:pPr>
            <w:r>
              <w:rPr>
                <w:sz w:val="20"/>
              </w:rPr>
              <w:t xml:space="preserve">215,25</w:t>
            </w:r>
          </w:p>
        </w:tc>
        <w:tc>
          <w:tcPr>
            <w:tcW w:w="784" w:type="dxa"/>
          </w:tcPr>
          <w:p>
            <w:pPr>
              <w:pStyle w:val="0"/>
            </w:pPr>
            <w:r>
              <w:rPr>
                <w:sz w:val="20"/>
              </w:rPr>
              <w:t xml:space="preserve">221,25</w:t>
            </w:r>
          </w:p>
        </w:tc>
        <w:tc>
          <w:tcPr>
            <w:tcW w:w="784" w:type="dxa"/>
          </w:tcPr>
          <w:p>
            <w:pPr>
              <w:pStyle w:val="0"/>
            </w:pPr>
            <w:r>
              <w:rPr>
                <w:sz w:val="20"/>
              </w:rPr>
              <w:t xml:space="preserve">224,75</w:t>
            </w:r>
          </w:p>
        </w:tc>
        <w:tc>
          <w:tcPr>
            <w:tcW w:w="784" w:type="dxa"/>
          </w:tcPr>
          <w:p>
            <w:pPr>
              <w:pStyle w:val="0"/>
            </w:pPr>
            <w:r>
              <w:rPr>
                <w:sz w:val="20"/>
              </w:rPr>
              <w:t xml:space="preserve">226,25</w:t>
            </w:r>
          </w:p>
        </w:tc>
        <w:tc>
          <w:tcPr>
            <w:tcW w:w="1144" w:type="dxa"/>
          </w:tcPr>
          <w:p>
            <w:pPr>
              <w:pStyle w:val="0"/>
            </w:pPr>
            <w:r>
              <w:rPr>
                <w:sz w:val="20"/>
              </w:rPr>
              <w:t xml:space="preserve">1,5</w:t>
            </w:r>
          </w:p>
        </w:tc>
      </w:tr>
      <w:tr>
        <w:tc>
          <w:tcPr>
            <w:tcW w:w="3288" w:type="dxa"/>
          </w:tcPr>
          <w:p>
            <w:pPr>
              <w:pStyle w:val="0"/>
            </w:pPr>
            <w:r>
              <w:rPr>
                <w:sz w:val="20"/>
              </w:rPr>
              <w:t xml:space="preserve">Физических лиц</w:t>
            </w:r>
          </w:p>
        </w:tc>
        <w:tc>
          <w:tcPr>
            <w:tcW w:w="784" w:type="dxa"/>
          </w:tcPr>
          <w:p>
            <w:pPr>
              <w:pStyle w:val="0"/>
            </w:pPr>
            <w:r>
              <w:rPr>
                <w:sz w:val="20"/>
              </w:rPr>
              <w:t xml:space="preserve">155</w:t>
            </w:r>
          </w:p>
        </w:tc>
        <w:tc>
          <w:tcPr>
            <w:tcW w:w="784" w:type="dxa"/>
          </w:tcPr>
          <w:p>
            <w:pPr>
              <w:pStyle w:val="0"/>
            </w:pPr>
            <w:r>
              <w:rPr>
                <w:sz w:val="20"/>
              </w:rPr>
              <w:t xml:space="preserve">161</w:t>
            </w:r>
          </w:p>
        </w:tc>
        <w:tc>
          <w:tcPr>
            <w:tcW w:w="784" w:type="dxa"/>
          </w:tcPr>
          <w:p>
            <w:pPr>
              <w:pStyle w:val="0"/>
            </w:pPr>
            <w:r>
              <w:rPr>
                <w:sz w:val="20"/>
              </w:rPr>
              <w:t xml:space="preserve">153</w:t>
            </w:r>
          </w:p>
        </w:tc>
        <w:tc>
          <w:tcPr>
            <w:tcW w:w="784" w:type="dxa"/>
          </w:tcPr>
          <w:p>
            <w:pPr>
              <w:pStyle w:val="0"/>
            </w:pPr>
            <w:r>
              <w:rPr>
                <w:sz w:val="20"/>
              </w:rPr>
              <w:t xml:space="preserve">154</w:t>
            </w:r>
          </w:p>
        </w:tc>
        <w:tc>
          <w:tcPr>
            <w:tcW w:w="784" w:type="dxa"/>
          </w:tcPr>
          <w:p>
            <w:pPr>
              <w:pStyle w:val="0"/>
            </w:pPr>
            <w:r>
              <w:rPr>
                <w:sz w:val="20"/>
              </w:rPr>
              <w:t xml:space="preserve">160</w:t>
            </w:r>
          </w:p>
        </w:tc>
        <w:tc>
          <w:tcPr>
            <w:tcW w:w="1144" w:type="dxa"/>
          </w:tcPr>
          <w:p>
            <w:pPr>
              <w:pStyle w:val="0"/>
            </w:pPr>
            <w:r>
              <w:rPr>
                <w:sz w:val="20"/>
              </w:rPr>
              <w:t xml:space="preserve">6</w:t>
            </w:r>
          </w:p>
        </w:tc>
      </w:tr>
      <w:tr>
        <w:tc>
          <w:tcPr>
            <w:tcW w:w="3288" w:type="dxa"/>
          </w:tcPr>
          <w:p>
            <w:pPr>
              <w:pStyle w:val="0"/>
            </w:pPr>
            <w:r>
              <w:rPr>
                <w:sz w:val="20"/>
              </w:rPr>
              <w:t xml:space="preserve">Укомплектованность</w:t>
            </w:r>
          </w:p>
        </w:tc>
        <w:tc>
          <w:tcPr>
            <w:tcW w:w="784" w:type="dxa"/>
          </w:tcPr>
          <w:p>
            <w:pPr>
              <w:pStyle w:val="0"/>
            </w:pPr>
            <w:r>
              <w:rPr>
                <w:sz w:val="20"/>
              </w:rPr>
              <w:t xml:space="preserve">90,3%</w:t>
            </w:r>
          </w:p>
        </w:tc>
        <w:tc>
          <w:tcPr>
            <w:tcW w:w="784" w:type="dxa"/>
          </w:tcPr>
          <w:p>
            <w:pPr>
              <w:pStyle w:val="0"/>
            </w:pPr>
            <w:r>
              <w:rPr>
                <w:sz w:val="20"/>
              </w:rPr>
              <w:t xml:space="preserve">92,4%</w:t>
            </w:r>
          </w:p>
        </w:tc>
        <w:tc>
          <w:tcPr>
            <w:tcW w:w="784" w:type="dxa"/>
          </w:tcPr>
          <w:p>
            <w:pPr>
              <w:pStyle w:val="0"/>
            </w:pPr>
            <w:r>
              <w:rPr>
                <w:sz w:val="20"/>
              </w:rPr>
              <w:t xml:space="preserve">89,0%</w:t>
            </w:r>
          </w:p>
        </w:tc>
        <w:tc>
          <w:tcPr>
            <w:tcW w:w="784" w:type="dxa"/>
          </w:tcPr>
          <w:p>
            <w:pPr>
              <w:pStyle w:val="0"/>
            </w:pPr>
            <w:r>
              <w:rPr>
                <w:sz w:val="20"/>
              </w:rPr>
              <w:t xml:space="preserve">88,8%</w:t>
            </w:r>
          </w:p>
        </w:tc>
        <w:tc>
          <w:tcPr>
            <w:tcW w:w="784" w:type="dxa"/>
          </w:tcPr>
          <w:p>
            <w:pPr>
              <w:pStyle w:val="0"/>
            </w:pPr>
            <w:r>
              <w:rPr>
                <w:sz w:val="20"/>
              </w:rPr>
              <w:t xml:space="preserve">83%</w:t>
            </w:r>
          </w:p>
        </w:tc>
        <w:tc>
          <w:tcPr>
            <w:tcW w:w="1144" w:type="dxa"/>
          </w:tcPr>
          <w:p>
            <w:pPr>
              <w:pStyle w:val="0"/>
            </w:pPr>
            <w:r>
              <w:rPr>
                <w:sz w:val="20"/>
              </w:rPr>
              <w:t xml:space="preserve">-5,8</w:t>
            </w:r>
          </w:p>
        </w:tc>
      </w:tr>
      <w:tr>
        <w:tc>
          <w:tcPr>
            <w:tcW w:w="3288" w:type="dxa"/>
          </w:tcPr>
          <w:p>
            <w:pPr>
              <w:pStyle w:val="0"/>
            </w:pPr>
            <w:r>
              <w:rPr>
                <w:sz w:val="20"/>
              </w:rPr>
              <w:t xml:space="preserve">Наличие сертификата</w:t>
            </w:r>
          </w:p>
        </w:tc>
        <w:tc>
          <w:tcPr>
            <w:tcW w:w="784" w:type="dxa"/>
          </w:tcPr>
          <w:p>
            <w:pPr>
              <w:pStyle w:val="0"/>
            </w:pPr>
            <w:r>
              <w:rPr>
                <w:sz w:val="20"/>
              </w:rPr>
              <w:t xml:space="preserve">90,3%</w:t>
            </w:r>
          </w:p>
        </w:tc>
        <w:tc>
          <w:tcPr>
            <w:tcW w:w="784" w:type="dxa"/>
          </w:tcPr>
          <w:p>
            <w:pPr>
              <w:pStyle w:val="0"/>
            </w:pPr>
            <w:r>
              <w:rPr>
                <w:sz w:val="20"/>
              </w:rPr>
              <w:t xml:space="preserve">92,4%</w:t>
            </w:r>
          </w:p>
        </w:tc>
        <w:tc>
          <w:tcPr>
            <w:tcW w:w="784" w:type="dxa"/>
          </w:tcPr>
          <w:p>
            <w:pPr>
              <w:pStyle w:val="0"/>
            </w:pPr>
            <w:r>
              <w:rPr>
                <w:sz w:val="20"/>
              </w:rPr>
              <w:t xml:space="preserve">89,0%</w:t>
            </w:r>
          </w:p>
        </w:tc>
        <w:tc>
          <w:tcPr>
            <w:tcW w:w="784" w:type="dxa"/>
          </w:tcPr>
          <w:p>
            <w:pPr>
              <w:pStyle w:val="0"/>
            </w:pPr>
            <w:r>
              <w:rPr>
                <w:sz w:val="20"/>
              </w:rPr>
              <w:t xml:space="preserve">100%</w:t>
            </w:r>
          </w:p>
        </w:tc>
        <w:tc>
          <w:tcPr>
            <w:tcW w:w="784" w:type="dxa"/>
          </w:tcPr>
          <w:p>
            <w:pPr>
              <w:pStyle w:val="0"/>
            </w:pPr>
            <w:r>
              <w:rPr>
                <w:sz w:val="20"/>
              </w:rPr>
              <w:t xml:space="preserve">100%</w:t>
            </w:r>
          </w:p>
        </w:tc>
        <w:tc>
          <w:tcPr>
            <w:tcW w:w="1144" w:type="dxa"/>
          </w:tcPr>
          <w:p>
            <w:pPr>
              <w:pStyle w:val="0"/>
            </w:pPr>
            <w:r>
              <w:rPr>
                <w:sz w:val="20"/>
              </w:rPr>
              <w:t xml:space="preserve">б/д</w:t>
            </w:r>
          </w:p>
        </w:tc>
      </w:tr>
      <w:tr>
        <w:tc>
          <w:tcPr>
            <w:tcW w:w="3288" w:type="dxa"/>
          </w:tcPr>
          <w:p>
            <w:pPr>
              <w:pStyle w:val="0"/>
            </w:pPr>
            <w:r>
              <w:rPr>
                <w:sz w:val="20"/>
              </w:rPr>
              <w:t xml:space="preserve">Наличие категории</w:t>
            </w:r>
          </w:p>
        </w:tc>
        <w:tc>
          <w:tcPr>
            <w:tcW w:w="784" w:type="dxa"/>
          </w:tcPr>
          <w:p>
            <w:pPr>
              <w:pStyle w:val="0"/>
            </w:pPr>
            <w:r>
              <w:rPr>
                <w:sz w:val="20"/>
              </w:rPr>
              <w:t xml:space="preserve">90,3%</w:t>
            </w:r>
          </w:p>
        </w:tc>
        <w:tc>
          <w:tcPr>
            <w:tcW w:w="784" w:type="dxa"/>
          </w:tcPr>
          <w:p>
            <w:pPr>
              <w:pStyle w:val="0"/>
            </w:pPr>
            <w:r>
              <w:rPr>
                <w:sz w:val="20"/>
              </w:rPr>
              <w:t xml:space="preserve">92,4%</w:t>
            </w:r>
          </w:p>
        </w:tc>
        <w:tc>
          <w:tcPr>
            <w:tcW w:w="784" w:type="dxa"/>
          </w:tcPr>
          <w:p>
            <w:pPr>
              <w:pStyle w:val="0"/>
            </w:pPr>
            <w:r>
              <w:rPr>
                <w:sz w:val="20"/>
              </w:rPr>
              <w:t xml:space="preserve">89,0%</w:t>
            </w:r>
          </w:p>
        </w:tc>
        <w:tc>
          <w:tcPr>
            <w:tcW w:w="784" w:type="dxa"/>
          </w:tcPr>
          <w:p>
            <w:pPr>
              <w:pStyle w:val="0"/>
            </w:pPr>
            <w:r>
              <w:rPr>
                <w:sz w:val="20"/>
              </w:rPr>
              <w:t xml:space="preserve">35,1%</w:t>
            </w:r>
          </w:p>
        </w:tc>
        <w:tc>
          <w:tcPr>
            <w:tcW w:w="784" w:type="dxa"/>
          </w:tcPr>
          <w:p>
            <w:pPr>
              <w:pStyle w:val="0"/>
            </w:pPr>
            <w:r>
              <w:rPr>
                <w:sz w:val="20"/>
              </w:rPr>
              <w:t xml:space="preserve">32%</w:t>
            </w:r>
          </w:p>
        </w:tc>
        <w:tc>
          <w:tcPr>
            <w:tcW w:w="1144" w:type="dxa"/>
          </w:tcPr>
          <w:p>
            <w:pPr>
              <w:pStyle w:val="0"/>
            </w:pPr>
            <w:r>
              <w:rPr>
                <w:sz w:val="20"/>
              </w:rPr>
              <w:t xml:space="preserve">-3,1</w:t>
            </w:r>
          </w:p>
        </w:tc>
      </w:tr>
    </w:tbl>
    <w:p>
      <w:pPr>
        <w:pStyle w:val="0"/>
        <w:ind w:firstLine="540"/>
        <w:jc w:val="both"/>
      </w:pPr>
      <w:r>
        <w:rPr>
          <w:sz w:val="20"/>
        </w:rPr>
      </w:r>
    </w:p>
    <w:p>
      <w:pPr>
        <w:pStyle w:val="0"/>
        <w:ind w:firstLine="540"/>
        <w:jc w:val="both"/>
      </w:pPr>
      <w:r>
        <w:rPr>
          <w:sz w:val="20"/>
        </w:rPr>
        <w:t xml:space="preserve">В медицинских организациях, оказывающих медицинскую помощь по профилю "кардиология" для оказания медицинской помощи в амбулаторных условиях, существует умеренный кадровый дефицит на 2022 год.</w:t>
      </w:r>
    </w:p>
    <w:p>
      <w:pPr>
        <w:pStyle w:val="0"/>
        <w:ind w:firstLine="540"/>
        <w:jc w:val="both"/>
      </w:pPr>
      <w:r>
        <w:rPr>
          <w:sz w:val="20"/>
        </w:rPr>
      </w:r>
    </w:p>
    <w:p>
      <w:pPr>
        <w:pStyle w:val="0"/>
        <w:jc w:val="right"/>
      </w:pPr>
      <w:r>
        <w:rPr>
          <w:sz w:val="20"/>
        </w:rPr>
        <w:t xml:space="preserve">Таблица 61</w:t>
      </w:r>
    </w:p>
    <w:p>
      <w:pPr>
        <w:pStyle w:val="0"/>
        <w:jc w:val="right"/>
      </w:pPr>
      <w:r>
        <w:rPr>
          <w:sz w:val="20"/>
        </w:rPr>
      </w:r>
    </w:p>
    <w:p>
      <w:pPr>
        <w:pStyle w:val="0"/>
        <w:jc w:val="center"/>
      </w:pPr>
      <w:r>
        <w:rPr>
          <w:sz w:val="20"/>
        </w:rPr>
        <w:t xml:space="preserve">Укомплектованность кардиологами и терапевтами в разрезе</w:t>
      </w:r>
    </w:p>
    <w:p>
      <w:pPr>
        <w:pStyle w:val="0"/>
        <w:jc w:val="center"/>
      </w:pPr>
      <w:r>
        <w:rPr>
          <w:sz w:val="20"/>
        </w:rPr>
        <w:t xml:space="preserve">муниципальных образований, 2022 год</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94"/>
        <w:gridCol w:w="1429"/>
        <w:gridCol w:w="1429"/>
        <w:gridCol w:w="1519"/>
        <w:gridCol w:w="1429"/>
        <w:gridCol w:w="1429"/>
        <w:gridCol w:w="1519"/>
      </w:tblGrid>
      <w:tr>
        <w:tc>
          <w:tcPr>
            <w:tcW w:w="2194" w:type="dxa"/>
            <w:vMerge w:val="restart"/>
          </w:tcPr>
          <w:p>
            <w:pPr>
              <w:pStyle w:val="0"/>
              <w:jc w:val="center"/>
            </w:pPr>
            <w:r>
              <w:rPr>
                <w:sz w:val="20"/>
              </w:rPr>
              <w:t xml:space="preserve">Наименование муниципальных районов, городских округов</w:t>
            </w:r>
          </w:p>
        </w:tc>
        <w:tc>
          <w:tcPr>
            <w:gridSpan w:val="3"/>
            <w:tcW w:w="4377" w:type="dxa"/>
          </w:tcPr>
          <w:p>
            <w:pPr>
              <w:pStyle w:val="0"/>
              <w:jc w:val="center"/>
            </w:pPr>
            <w:r>
              <w:rPr>
                <w:sz w:val="20"/>
              </w:rPr>
              <w:t xml:space="preserve">кардиологи</w:t>
            </w:r>
          </w:p>
        </w:tc>
        <w:tc>
          <w:tcPr>
            <w:gridSpan w:val="3"/>
            <w:tcW w:w="4377" w:type="dxa"/>
          </w:tcPr>
          <w:p>
            <w:pPr>
              <w:pStyle w:val="0"/>
              <w:jc w:val="center"/>
            </w:pPr>
            <w:r>
              <w:rPr>
                <w:sz w:val="20"/>
              </w:rPr>
              <w:t xml:space="preserve">терапевты всего</w:t>
            </w:r>
          </w:p>
        </w:tc>
      </w:tr>
      <w:tr>
        <w:tc>
          <w:tcPr>
            <w:vMerge w:val="continue"/>
          </w:tcPr>
          <w:p/>
        </w:tc>
        <w:tc>
          <w:tcPr>
            <w:tcW w:w="1429" w:type="dxa"/>
          </w:tcPr>
          <w:p>
            <w:pPr>
              <w:pStyle w:val="0"/>
              <w:jc w:val="center"/>
            </w:pPr>
            <w:r>
              <w:rPr>
                <w:sz w:val="20"/>
              </w:rPr>
              <w:t xml:space="preserve">число должностей в целом по организации штатных</w:t>
            </w:r>
          </w:p>
        </w:tc>
        <w:tc>
          <w:tcPr>
            <w:tcW w:w="1429" w:type="dxa"/>
          </w:tcPr>
          <w:p>
            <w:pPr>
              <w:pStyle w:val="0"/>
              <w:jc w:val="center"/>
            </w:pPr>
            <w:r>
              <w:rPr>
                <w:sz w:val="20"/>
              </w:rPr>
              <w:t xml:space="preserve">число должностей в целом по организации занятых</w:t>
            </w:r>
          </w:p>
        </w:tc>
        <w:tc>
          <w:tcPr>
            <w:tcW w:w="1519" w:type="dxa"/>
          </w:tcPr>
          <w:p>
            <w:pPr>
              <w:pStyle w:val="0"/>
              <w:jc w:val="center"/>
            </w:pPr>
            <w:r>
              <w:rPr>
                <w:sz w:val="20"/>
              </w:rPr>
              <w:t xml:space="preserve">из них в подраздел. оказывающих медпомощь в амб. условиях штатных</w:t>
            </w:r>
          </w:p>
        </w:tc>
        <w:tc>
          <w:tcPr>
            <w:tcW w:w="1429" w:type="dxa"/>
          </w:tcPr>
          <w:p>
            <w:pPr>
              <w:pStyle w:val="0"/>
              <w:jc w:val="center"/>
            </w:pPr>
            <w:r>
              <w:rPr>
                <w:sz w:val="20"/>
              </w:rPr>
              <w:t xml:space="preserve">число должностей в целом по организации штатных</w:t>
            </w:r>
          </w:p>
        </w:tc>
        <w:tc>
          <w:tcPr>
            <w:tcW w:w="1429" w:type="dxa"/>
          </w:tcPr>
          <w:p>
            <w:pPr>
              <w:pStyle w:val="0"/>
              <w:jc w:val="center"/>
            </w:pPr>
            <w:r>
              <w:rPr>
                <w:sz w:val="20"/>
              </w:rPr>
              <w:t xml:space="preserve">число должностей в целом по организации занятых</w:t>
            </w:r>
          </w:p>
        </w:tc>
        <w:tc>
          <w:tcPr>
            <w:tcW w:w="1519" w:type="dxa"/>
          </w:tcPr>
          <w:p>
            <w:pPr>
              <w:pStyle w:val="0"/>
              <w:jc w:val="center"/>
            </w:pPr>
            <w:r>
              <w:rPr>
                <w:sz w:val="20"/>
              </w:rPr>
              <w:t xml:space="preserve">из них в подраздел. оказывающих медпомощь в амб. условиях штатных</w:t>
            </w:r>
          </w:p>
        </w:tc>
      </w:tr>
      <w:tr>
        <w:tc>
          <w:tcPr>
            <w:tcW w:w="2194" w:type="dxa"/>
          </w:tcPr>
          <w:p>
            <w:pPr>
              <w:pStyle w:val="0"/>
            </w:pPr>
            <w:r>
              <w:rPr>
                <w:sz w:val="20"/>
              </w:rPr>
              <w:t xml:space="preserve">Белоярский</w:t>
            </w:r>
          </w:p>
        </w:tc>
        <w:tc>
          <w:tcPr>
            <w:tcW w:w="1429" w:type="dxa"/>
          </w:tcPr>
          <w:p>
            <w:pPr>
              <w:pStyle w:val="0"/>
            </w:pPr>
            <w:r>
              <w:rPr>
                <w:sz w:val="20"/>
              </w:rPr>
              <w:t xml:space="preserve">0,25</w:t>
            </w:r>
          </w:p>
        </w:tc>
        <w:tc>
          <w:tcPr>
            <w:tcW w:w="1429" w:type="dxa"/>
          </w:tcPr>
          <w:p>
            <w:pPr>
              <w:pStyle w:val="0"/>
            </w:pPr>
            <w:r>
              <w:rPr>
                <w:sz w:val="20"/>
              </w:rPr>
              <w:t xml:space="preserve">0,25</w:t>
            </w:r>
          </w:p>
        </w:tc>
        <w:tc>
          <w:tcPr>
            <w:tcW w:w="1519" w:type="dxa"/>
          </w:tcPr>
          <w:p>
            <w:pPr>
              <w:pStyle w:val="0"/>
            </w:pPr>
            <w:r>
              <w:rPr>
                <w:sz w:val="20"/>
              </w:rPr>
              <w:t xml:space="preserve">0,25</w:t>
            </w:r>
          </w:p>
        </w:tc>
        <w:tc>
          <w:tcPr>
            <w:tcW w:w="1429" w:type="dxa"/>
          </w:tcPr>
          <w:p>
            <w:pPr>
              <w:pStyle w:val="0"/>
            </w:pPr>
            <w:r>
              <w:rPr>
                <w:sz w:val="20"/>
              </w:rPr>
              <w:t xml:space="preserve">22,5</w:t>
            </w:r>
          </w:p>
        </w:tc>
        <w:tc>
          <w:tcPr>
            <w:tcW w:w="1429" w:type="dxa"/>
          </w:tcPr>
          <w:p>
            <w:pPr>
              <w:pStyle w:val="0"/>
            </w:pPr>
            <w:r>
              <w:rPr>
                <w:sz w:val="20"/>
              </w:rPr>
              <w:t xml:space="preserve">18,25</w:t>
            </w:r>
          </w:p>
        </w:tc>
        <w:tc>
          <w:tcPr>
            <w:tcW w:w="1519" w:type="dxa"/>
          </w:tcPr>
          <w:p>
            <w:pPr>
              <w:pStyle w:val="0"/>
            </w:pPr>
            <w:r>
              <w:rPr>
                <w:sz w:val="20"/>
              </w:rPr>
              <w:t xml:space="preserve">20,25</w:t>
            </w:r>
          </w:p>
        </w:tc>
      </w:tr>
      <w:tr>
        <w:tc>
          <w:tcPr>
            <w:tcW w:w="2194" w:type="dxa"/>
          </w:tcPr>
          <w:p>
            <w:pPr>
              <w:pStyle w:val="0"/>
            </w:pPr>
            <w:r>
              <w:rPr>
                <w:sz w:val="20"/>
              </w:rPr>
              <w:t xml:space="preserve">Березовский</w:t>
            </w:r>
          </w:p>
        </w:tc>
        <w:tc>
          <w:tcPr>
            <w:tcW w:w="1429" w:type="dxa"/>
          </w:tcPr>
          <w:p>
            <w:pPr>
              <w:pStyle w:val="0"/>
            </w:pPr>
            <w:r>
              <w:rPr>
                <w:sz w:val="20"/>
              </w:rPr>
              <w:t xml:space="preserve">2,5</w:t>
            </w:r>
          </w:p>
        </w:tc>
        <w:tc>
          <w:tcPr>
            <w:tcW w:w="1429" w:type="dxa"/>
          </w:tcPr>
          <w:p>
            <w:pPr>
              <w:pStyle w:val="0"/>
            </w:pPr>
            <w:r>
              <w:rPr>
                <w:sz w:val="20"/>
              </w:rPr>
              <w:t xml:space="preserve">2,5</w:t>
            </w:r>
          </w:p>
        </w:tc>
        <w:tc>
          <w:tcPr>
            <w:tcW w:w="1519" w:type="dxa"/>
          </w:tcPr>
          <w:p>
            <w:pPr>
              <w:pStyle w:val="0"/>
            </w:pPr>
            <w:r>
              <w:rPr>
                <w:sz w:val="20"/>
              </w:rPr>
              <w:t xml:space="preserve">1,25</w:t>
            </w:r>
          </w:p>
        </w:tc>
        <w:tc>
          <w:tcPr>
            <w:tcW w:w="1429" w:type="dxa"/>
          </w:tcPr>
          <w:p>
            <w:pPr>
              <w:pStyle w:val="0"/>
            </w:pPr>
            <w:r>
              <w:rPr>
                <w:sz w:val="20"/>
              </w:rPr>
              <w:t xml:space="preserve">18</w:t>
            </w:r>
          </w:p>
        </w:tc>
        <w:tc>
          <w:tcPr>
            <w:tcW w:w="1429" w:type="dxa"/>
          </w:tcPr>
          <w:p>
            <w:pPr>
              <w:pStyle w:val="0"/>
            </w:pPr>
            <w:r>
              <w:rPr>
                <w:sz w:val="20"/>
              </w:rPr>
              <w:t xml:space="preserve">13,5</w:t>
            </w:r>
          </w:p>
        </w:tc>
        <w:tc>
          <w:tcPr>
            <w:tcW w:w="1519" w:type="dxa"/>
          </w:tcPr>
          <w:p>
            <w:pPr>
              <w:pStyle w:val="0"/>
            </w:pPr>
            <w:r>
              <w:rPr>
                <w:sz w:val="20"/>
              </w:rPr>
              <w:t xml:space="preserve">11,25</w:t>
            </w:r>
          </w:p>
        </w:tc>
      </w:tr>
      <w:tr>
        <w:tc>
          <w:tcPr>
            <w:tcW w:w="2194" w:type="dxa"/>
          </w:tcPr>
          <w:p>
            <w:pPr>
              <w:pStyle w:val="0"/>
            </w:pPr>
            <w:r>
              <w:rPr>
                <w:sz w:val="20"/>
              </w:rPr>
              <w:t xml:space="preserve">Кондинский</w:t>
            </w:r>
          </w:p>
        </w:tc>
        <w:tc>
          <w:tcPr>
            <w:tcW w:w="1429" w:type="dxa"/>
          </w:tcPr>
          <w:p>
            <w:pPr>
              <w:pStyle w:val="0"/>
            </w:pPr>
            <w:r>
              <w:rPr>
                <w:sz w:val="20"/>
              </w:rPr>
              <w:t xml:space="preserve">3,75</w:t>
            </w:r>
          </w:p>
        </w:tc>
        <w:tc>
          <w:tcPr>
            <w:tcW w:w="1429" w:type="dxa"/>
          </w:tcPr>
          <w:p>
            <w:pPr>
              <w:pStyle w:val="0"/>
            </w:pPr>
            <w:r>
              <w:rPr>
                <w:sz w:val="20"/>
              </w:rPr>
              <w:t xml:space="preserve">2,5</w:t>
            </w:r>
          </w:p>
        </w:tc>
        <w:tc>
          <w:tcPr>
            <w:tcW w:w="1519" w:type="dxa"/>
          </w:tcPr>
          <w:p>
            <w:pPr>
              <w:pStyle w:val="0"/>
            </w:pPr>
            <w:r>
              <w:rPr>
                <w:sz w:val="20"/>
              </w:rPr>
              <w:t xml:space="preserve">2,5</w:t>
            </w:r>
          </w:p>
        </w:tc>
        <w:tc>
          <w:tcPr>
            <w:tcW w:w="1429" w:type="dxa"/>
          </w:tcPr>
          <w:p>
            <w:pPr>
              <w:pStyle w:val="0"/>
            </w:pPr>
            <w:r>
              <w:rPr>
                <w:sz w:val="20"/>
              </w:rPr>
              <w:t xml:space="preserve">25,5</w:t>
            </w:r>
          </w:p>
        </w:tc>
        <w:tc>
          <w:tcPr>
            <w:tcW w:w="1429" w:type="dxa"/>
          </w:tcPr>
          <w:p>
            <w:pPr>
              <w:pStyle w:val="0"/>
            </w:pPr>
            <w:r>
              <w:rPr>
                <w:sz w:val="20"/>
              </w:rPr>
              <w:t xml:space="preserve">17,75</w:t>
            </w:r>
          </w:p>
        </w:tc>
        <w:tc>
          <w:tcPr>
            <w:tcW w:w="1519" w:type="dxa"/>
          </w:tcPr>
          <w:p>
            <w:pPr>
              <w:pStyle w:val="0"/>
            </w:pPr>
            <w:r>
              <w:rPr>
                <w:sz w:val="20"/>
              </w:rPr>
              <w:t xml:space="preserve">23</w:t>
            </w:r>
          </w:p>
        </w:tc>
      </w:tr>
      <w:tr>
        <w:tc>
          <w:tcPr>
            <w:tcW w:w="2194" w:type="dxa"/>
          </w:tcPr>
          <w:p>
            <w:pPr>
              <w:pStyle w:val="0"/>
            </w:pPr>
            <w:r>
              <w:rPr>
                <w:sz w:val="20"/>
              </w:rPr>
              <w:t xml:space="preserve">Нефтеюганский</w:t>
            </w:r>
          </w:p>
        </w:tc>
        <w:tc>
          <w:tcPr>
            <w:tcW w:w="1429" w:type="dxa"/>
          </w:tcPr>
          <w:p>
            <w:pPr>
              <w:pStyle w:val="0"/>
            </w:pPr>
            <w:r>
              <w:rPr>
                <w:sz w:val="20"/>
              </w:rPr>
              <w:t xml:space="preserve">2,75</w:t>
            </w:r>
          </w:p>
        </w:tc>
        <w:tc>
          <w:tcPr>
            <w:tcW w:w="1429" w:type="dxa"/>
          </w:tcPr>
          <w:p>
            <w:pPr>
              <w:pStyle w:val="0"/>
            </w:pPr>
            <w:r>
              <w:rPr>
                <w:sz w:val="20"/>
              </w:rPr>
              <w:t xml:space="preserve">1,25</w:t>
            </w:r>
          </w:p>
        </w:tc>
        <w:tc>
          <w:tcPr>
            <w:tcW w:w="1519" w:type="dxa"/>
          </w:tcPr>
          <w:p>
            <w:pPr>
              <w:pStyle w:val="0"/>
            </w:pPr>
            <w:r>
              <w:rPr>
                <w:sz w:val="20"/>
              </w:rPr>
              <w:t xml:space="preserve">1,25</w:t>
            </w:r>
          </w:p>
        </w:tc>
        <w:tc>
          <w:tcPr>
            <w:tcW w:w="1429" w:type="dxa"/>
          </w:tcPr>
          <w:p>
            <w:pPr>
              <w:pStyle w:val="0"/>
            </w:pPr>
            <w:r>
              <w:rPr>
                <w:sz w:val="20"/>
              </w:rPr>
              <w:t xml:space="preserve">33</w:t>
            </w:r>
          </w:p>
        </w:tc>
        <w:tc>
          <w:tcPr>
            <w:tcW w:w="1429" w:type="dxa"/>
          </w:tcPr>
          <w:p>
            <w:pPr>
              <w:pStyle w:val="0"/>
            </w:pPr>
            <w:r>
              <w:rPr>
                <w:sz w:val="20"/>
              </w:rPr>
              <w:t xml:space="preserve">28</w:t>
            </w:r>
          </w:p>
        </w:tc>
        <w:tc>
          <w:tcPr>
            <w:tcW w:w="1519" w:type="dxa"/>
          </w:tcPr>
          <w:p>
            <w:pPr>
              <w:pStyle w:val="0"/>
            </w:pPr>
            <w:r>
              <w:rPr>
                <w:sz w:val="20"/>
              </w:rPr>
              <w:t xml:space="preserve">18,75</w:t>
            </w:r>
          </w:p>
        </w:tc>
      </w:tr>
      <w:tr>
        <w:tc>
          <w:tcPr>
            <w:tcW w:w="2194" w:type="dxa"/>
          </w:tcPr>
          <w:p>
            <w:pPr>
              <w:pStyle w:val="0"/>
            </w:pPr>
            <w:r>
              <w:rPr>
                <w:sz w:val="20"/>
              </w:rPr>
              <w:t xml:space="preserve">Нижневартовский</w:t>
            </w:r>
          </w:p>
        </w:tc>
        <w:tc>
          <w:tcPr>
            <w:tcW w:w="1429" w:type="dxa"/>
          </w:tcPr>
          <w:p>
            <w:pPr>
              <w:pStyle w:val="0"/>
            </w:pPr>
            <w:r>
              <w:rPr>
                <w:sz w:val="20"/>
              </w:rPr>
              <w:t xml:space="preserve">1,25</w:t>
            </w:r>
          </w:p>
        </w:tc>
        <w:tc>
          <w:tcPr>
            <w:tcW w:w="1429" w:type="dxa"/>
          </w:tcPr>
          <w:p>
            <w:pPr>
              <w:pStyle w:val="0"/>
            </w:pPr>
            <w:r>
              <w:rPr>
                <w:sz w:val="20"/>
              </w:rPr>
              <w:t xml:space="preserve">1</w:t>
            </w:r>
          </w:p>
        </w:tc>
        <w:tc>
          <w:tcPr>
            <w:tcW w:w="1519" w:type="dxa"/>
          </w:tcPr>
          <w:p>
            <w:pPr>
              <w:pStyle w:val="0"/>
            </w:pPr>
            <w:r>
              <w:rPr>
                <w:sz w:val="20"/>
              </w:rPr>
              <w:t xml:space="preserve">1,25</w:t>
            </w:r>
          </w:p>
        </w:tc>
        <w:tc>
          <w:tcPr>
            <w:tcW w:w="1429" w:type="dxa"/>
          </w:tcPr>
          <w:p>
            <w:pPr>
              <w:pStyle w:val="0"/>
            </w:pPr>
            <w:r>
              <w:rPr>
                <w:sz w:val="20"/>
              </w:rPr>
              <w:t xml:space="preserve">24,25</w:t>
            </w:r>
          </w:p>
        </w:tc>
        <w:tc>
          <w:tcPr>
            <w:tcW w:w="1429" w:type="dxa"/>
          </w:tcPr>
          <w:p>
            <w:pPr>
              <w:pStyle w:val="0"/>
            </w:pPr>
            <w:r>
              <w:rPr>
                <w:sz w:val="20"/>
              </w:rPr>
              <w:t xml:space="preserve">20</w:t>
            </w:r>
          </w:p>
        </w:tc>
        <w:tc>
          <w:tcPr>
            <w:tcW w:w="1519" w:type="dxa"/>
          </w:tcPr>
          <w:p>
            <w:pPr>
              <w:pStyle w:val="0"/>
            </w:pPr>
            <w:r>
              <w:rPr>
                <w:sz w:val="20"/>
              </w:rPr>
              <w:t xml:space="preserve">17,5</w:t>
            </w:r>
          </w:p>
        </w:tc>
      </w:tr>
      <w:tr>
        <w:tc>
          <w:tcPr>
            <w:tcW w:w="2194" w:type="dxa"/>
          </w:tcPr>
          <w:p>
            <w:pPr>
              <w:pStyle w:val="0"/>
            </w:pPr>
            <w:r>
              <w:rPr>
                <w:sz w:val="20"/>
              </w:rPr>
              <w:t xml:space="preserve">Октябрьский</w:t>
            </w:r>
          </w:p>
        </w:tc>
        <w:tc>
          <w:tcPr>
            <w:tcW w:w="1429" w:type="dxa"/>
          </w:tcPr>
          <w:p>
            <w:pPr>
              <w:pStyle w:val="0"/>
            </w:pPr>
            <w:r>
              <w:rPr>
                <w:sz w:val="20"/>
              </w:rPr>
              <w:t xml:space="preserve">2</w:t>
            </w:r>
          </w:p>
        </w:tc>
        <w:tc>
          <w:tcPr>
            <w:tcW w:w="1429" w:type="dxa"/>
          </w:tcPr>
          <w:p>
            <w:pPr>
              <w:pStyle w:val="0"/>
            </w:pPr>
            <w:r>
              <w:rPr>
                <w:sz w:val="20"/>
              </w:rPr>
              <w:t xml:space="preserve">1,25</w:t>
            </w:r>
          </w:p>
        </w:tc>
        <w:tc>
          <w:tcPr>
            <w:tcW w:w="1519" w:type="dxa"/>
          </w:tcPr>
          <w:p>
            <w:pPr>
              <w:pStyle w:val="0"/>
            </w:pPr>
            <w:r>
              <w:rPr>
                <w:sz w:val="20"/>
              </w:rPr>
              <w:t xml:space="preserve">2</w:t>
            </w:r>
          </w:p>
        </w:tc>
        <w:tc>
          <w:tcPr>
            <w:tcW w:w="1429" w:type="dxa"/>
          </w:tcPr>
          <w:p>
            <w:pPr>
              <w:pStyle w:val="0"/>
            </w:pPr>
            <w:r>
              <w:rPr>
                <w:sz w:val="20"/>
              </w:rPr>
              <w:t xml:space="preserve">19,75</w:t>
            </w:r>
          </w:p>
        </w:tc>
        <w:tc>
          <w:tcPr>
            <w:tcW w:w="1429" w:type="dxa"/>
          </w:tcPr>
          <w:p>
            <w:pPr>
              <w:pStyle w:val="0"/>
            </w:pPr>
            <w:r>
              <w:rPr>
                <w:sz w:val="20"/>
              </w:rPr>
              <w:t xml:space="preserve">15</w:t>
            </w:r>
          </w:p>
        </w:tc>
        <w:tc>
          <w:tcPr>
            <w:tcW w:w="1519" w:type="dxa"/>
          </w:tcPr>
          <w:p>
            <w:pPr>
              <w:pStyle w:val="0"/>
            </w:pPr>
            <w:r>
              <w:rPr>
                <w:sz w:val="20"/>
              </w:rPr>
              <w:t xml:space="preserve">14,25</w:t>
            </w:r>
          </w:p>
        </w:tc>
      </w:tr>
      <w:tr>
        <w:tc>
          <w:tcPr>
            <w:tcW w:w="2194" w:type="dxa"/>
          </w:tcPr>
          <w:p>
            <w:pPr>
              <w:pStyle w:val="0"/>
            </w:pPr>
            <w:r>
              <w:rPr>
                <w:sz w:val="20"/>
              </w:rPr>
              <w:t xml:space="preserve">Советский</w:t>
            </w:r>
          </w:p>
        </w:tc>
        <w:tc>
          <w:tcPr>
            <w:tcW w:w="1429" w:type="dxa"/>
          </w:tcPr>
          <w:p>
            <w:pPr>
              <w:pStyle w:val="0"/>
            </w:pPr>
            <w:r>
              <w:rPr>
                <w:sz w:val="20"/>
              </w:rPr>
              <w:t xml:space="preserve">3</w:t>
            </w:r>
          </w:p>
        </w:tc>
        <w:tc>
          <w:tcPr>
            <w:tcW w:w="1429" w:type="dxa"/>
          </w:tcPr>
          <w:p>
            <w:pPr>
              <w:pStyle w:val="0"/>
            </w:pPr>
            <w:r>
              <w:rPr>
                <w:sz w:val="20"/>
              </w:rPr>
              <w:t xml:space="preserve">1,75</w:t>
            </w:r>
          </w:p>
        </w:tc>
        <w:tc>
          <w:tcPr>
            <w:tcW w:w="1519" w:type="dxa"/>
          </w:tcPr>
          <w:p>
            <w:pPr>
              <w:pStyle w:val="0"/>
            </w:pPr>
            <w:r>
              <w:rPr>
                <w:sz w:val="20"/>
              </w:rPr>
              <w:t xml:space="preserve">2,75</w:t>
            </w:r>
          </w:p>
        </w:tc>
        <w:tc>
          <w:tcPr>
            <w:tcW w:w="1429" w:type="dxa"/>
          </w:tcPr>
          <w:p>
            <w:pPr>
              <w:pStyle w:val="0"/>
            </w:pPr>
            <w:r>
              <w:rPr>
                <w:sz w:val="20"/>
              </w:rPr>
              <w:t xml:space="preserve">55,25</w:t>
            </w:r>
          </w:p>
        </w:tc>
        <w:tc>
          <w:tcPr>
            <w:tcW w:w="1429" w:type="dxa"/>
          </w:tcPr>
          <w:p>
            <w:pPr>
              <w:pStyle w:val="0"/>
            </w:pPr>
            <w:r>
              <w:rPr>
                <w:sz w:val="20"/>
              </w:rPr>
              <w:t xml:space="preserve">45</w:t>
            </w:r>
          </w:p>
        </w:tc>
        <w:tc>
          <w:tcPr>
            <w:tcW w:w="1519" w:type="dxa"/>
          </w:tcPr>
          <w:p>
            <w:pPr>
              <w:pStyle w:val="0"/>
            </w:pPr>
            <w:r>
              <w:rPr>
                <w:sz w:val="20"/>
              </w:rPr>
              <w:t xml:space="preserve">32</w:t>
            </w:r>
          </w:p>
        </w:tc>
      </w:tr>
      <w:tr>
        <w:tc>
          <w:tcPr>
            <w:tcW w:w="2194" w:type="dxa"/>
          </w:tcPr>
          <w:p>
            <w:pPr>
              <w:pStyle w:val="0"/>
            </w:pPr>
            <w:r>
              <w:rPr>
                <w:sz w:val="20"/>
              </w:rPr>
              <w:t xml:space="preserve">Сургутский</w:t>
            </w:r>
          </w:p>
        </w:tc>
        <w:tc>
          <w:tcPr>
            <w:tcW w:w="1429" w:type="dxa"/>
          </w:tcPr>
          <w:p>
            <w:pPr>
              <w:pStyle w:val="0"/>
            </w:pPr>
            <w:r>
              <w:rPr>
                <w:sz w:val="20"/>
              </w:rPr>
              <w:t xml:space="preserve">2,25</w:t>
            </w:r>
          </w:p>
        </w:tc>
        <w:tc>
          <w:tcPr>
            <w:tcW w:w="1429" w:type="dxa"/>
          </w:tcPr>
          <w:p>
            <w:pPr>
              <w:pStyle w:val="0"/>
            </w:pPr>
            <w:r>
              <w:rPr>
                <w:sz w:val="20"/>
              </w:rPr>
              <w:t xml:space="preserve">2,25</w:t>
            </w:r>
          </w:p>
        </w:tc>
        <w:tc>
          <w:tcPr>
            <w:tcW w:w="1519" w:type="dxa"/>
          </w:tcPr>
          <w:p>
            <w:pPr>
              <w:pStyle w:val="0"/>
            </w:pPr>
            <w:r>
              <w:rPr>
                <w:sz w:val="20"/>
              </w:rPr>
              <w:t xml:space="preserve">2,25</w:t>
            </w:r>
          </w:p>
        </w:tc>
        <w:tc>
          <w:tcPr>
            <w:tcW w:w="1429" w:type="dxa"/>
          </w:tcPr>
          <w:p>
            <w:pPr>
              <w:pStyle w:val="0"/>
            </w:pPr>
            <w:r>
              <w:rPr>
                <w:sz w:val="20"/>
              </w:rPr>
              <w:t xml:space="preserve">67,5</w:t>
            </w:r>
          </w:p>
        </w:tc>
        <w:tc>
          <w:tcPr>
            <w:tcW w:w="1429" w:type="dxa"/>
          </w:tcPr>
          <w:p>
            <w:pPr>
              <w:pStyle w:val="0"/>
            </w:pPr>
            <w:r>
              <w:rPr>
                <w:sz w:val="20"/>
              </w:rPr>
              <w:t xml:space="preserve">63,5</w:t>
            </w:r>
          </w:p>
        </w:tc>
        <w:tc>
          <w:tcPr>
            <w:tcW w:w="1519" w:type="dxa"/>
          </w:tcPr>
          <w:p>
            <w:pPr>
              <w:pStyle w:val="0"/>
            </w:pPr>
            <w:r>
              <w:rPr>
                <w:sz w:val="20"/>
              </w:rPr>
              <w:t xml:space="preserve">58,75</w:t>
            </w:r>
          </w:p>
        </w:tc>
      </w:tr>
      <w:tr>
        <w:tc>
          <w:tcPr>
            <w:tcW w:w="2194" w:type="dxa"/>
          </w:tcPr>
          <w:p>
            <w:pPr>
              <w:pStyle w:val="0"/>
            </w:pPr>
            <w:r>
              <w:rPr>
                <w:sz w:val="20"/>
              </w:rPr>
              <w:t xml:space="preserve">Ханты-Мансийский</w:t>
            </w:r>
          </w:p>
        </w:tc>
        <w:tc>
          <w:tcPr>
            <w:tcW w:w="1429" w:type="dxa"/>
          </w:tcPr>
          <w:p>
            <w:pPr>
              <w:pStyle w:val="0"/>
            </w:pPr>
            <w:r>
              <w:rPr>
                <w:sz w:val="20"/>
              </w:rPr>
              <w:t xml:space="preserve">0,75</w:t>
            </w:r>
          </w:p>
        </w:tc>
        <w:tc>
          <w:tcPr>
            <w:tcW w:w="1429" w:type="dxa"/>
          </w:tcPr>
          <w:p>
            <w:pPr>
              <w:pStyle w:val="0"/>
            </w:pPr>
            <w:r>
              <w:rPr>
                <w:sz w:val="20"/>
              </w:rPr>
              <w:t xml:space="preserve">0,5</w:t>
            </w:r>
          </w:p>
        </w:tc>
        <w:tc>
          <w:tcPr>
            <w:tcW w:w="1519" w:type="dxa"/>
          </w:tcPr>
          <w:p>
            <w:pPr>
              <w:pStyle w:val="0"/>
            </w:pPr>
            <w:r>
              <w:rPr>
                <w:sz w:val="20"/>
              </w:rPr>
              <w:t xml:space="preserve">0,75</w:t>
            </w:r>
          </w:p>
        </w:tc>
        <w:tc>
          <w:tcPr>
            <w:tcW w:w="1429" w:type="dxa"/>
          </w:tcPr>
          <w:p>
            <w:pPr>
              <w:pStyle w:val="0"/>
            </w:pPr>
            <w:r>
              <w:rPr>
                <w:sz w:val="20"/>
              </w:rPr>
              <w:t xml:space="preserve">16,5</w:t>
            </w:r>
          </w:p>
        </w:tc>
        <w:tc>
          <w:tcPr>
            <w:tcW w:w="1429" w:type="dxa"/>
          </w:tcPr>
          <w:p>
            <w:pPr>
              <w:pStyle w:val="0"/>
            </w:pPr>
            <w:r>
              <w:rPr>
                <w:sz w:val="20"/>
              </w:rPr>
              <w:t xml:space="preserve">14,75</w:t>
            </w:r>
          </w:p>
        </w:tc>
        <w:tc>
          <w:tcPr>
            <w:tcW w:w="1519" w:type="dxa"/>
          </w:tcPr>
          <w:p>
            <w:pPr>
              <w:pStyle w:val="0"/>
            </w:pPr>
            <w:r>
              <w:rPr>
                <w:sz w:val="20"/>
              </w:rPr>
              <w:t xml:space="preserve">13,75</w:t>
            </w:r>
          </w:p>
        </w:tc>
      </w:tr>
      <w:tr>
        <w:tc>
          <w:tcPr>
            <w:tcW w:w="2194" w:type="dxa"/>
          </w:tcPr>
          <w:p>
            <w:pPr>
              <w:pStyle w:val="0"/>
            </w:pPr>
            <w:r>
              <w:rPr>
                <w:sz w:val="20"/>
              </w:rPr>
              <w:t xml:space="preserve">Когалым</w:t>
            </w:r>
          </w:p>
        </w:tc>
        <w:tc>
          <w:tcPr>
            <w:tcW w:w="1429" w:type="dxa"/>
          </w:tcPr>
          <w:p>
            <w:pPr>
              <w:pStyle w:val="0"/>
            </w:pPr>
            <w:r>
              <w:rPr>
                <w:sz w:val="20"/>
              </w:rPr>
              <w:t xml:space="preserve">3,5</w:t>
            </w:r>
          </w:p>
        </w:tc>
        <w:tc>
          <w:tcPr>
            <w:tcW w:w="1429" w:type="dxa"/>
          </w:tcPr>
          <w:p>
            <w:pPr>
              <w:pStyle w:val="0"/>
            </w:pPr>
            <w:r>
              <w:rPr>
                <w:sz w:val="20"/>
              </w:rPr>
              <w:t xml:space="preserve">3,5</w:t>
            </w:r>
          </w:p>
        </w:tc>
        <w:tc>
          <w:tcPr>
            <w:tcW w:w="1519" w:type="dxa"/>
          </w:tcPr>
          <w:p>
            <w:pPr>
              <w:pStyle w:val="0"/>
            </w:pPr>
            <w:r>
              <w:rPr>
                <w:sz w:val="20"/>
              </w:rPr>
              <w:t xml:space="preserve">2</w:t>
            </w:r>
          </w:p>
        </w:tc>
        <w:tc>
          <w:tcPr>
            <w:tcW w:w="1429" w:type="dxa"/>
          </w:tcPr>
          <w:p>
            <w:pPr>
              <w:pStyle w:val="0"/>
            </w:pPr>
            <w:r>
              <w:rPr>
                <w:sz w:val="20"/>
              </w:rPr>
              <w:t xml:space="preserve">43</w:t>
            </w:r>
          </w:p>
        </w:tc>
        <w:tc>
          <w:tcPr>
            <w:tcW w:w="1429" w:type="dxa"/>
          </w:tcPr>
          <w:p>
            <w:pPr>
              <w:pStyle w:val="0"/>
            </w:pPr>
            <w:r>
              <w:rPr>
                <w:sz w:val="20"/>
              </w:rPr>
              <w:t xml:space="preserve">34</w:t>
            </w:r>
          </w:p>
        </w:tc>
        <w:tc>
          <w:tcPr>
            <w:tcW w:w="1519" w:type="dxa"/>
          </w:tcPr>
          <w:p>
            <w:pPr>
              <w:pStyle w:val="0"/>
            </w:pPr>
            <w:r>
              <w:rPr>
                <w:sz w:val="20"/>
              </w:rPr>
              <w:t xml:space="preserve">39,5</w:t>
            </w:r>
          </w:p>
        </w:tc>
      </w:tr>
      <w:tr>
        <w:tc>
          <w:tcPr>
            <w:tcW w:w="2194" w:type="dxa"/>
          </w:tcPr>
          <w:p>
            <w:pPr>
              <w:pStyle w:val="0"/>
            </w:pPr>
            <w:r>
              <w:rPr>
                <w:sz w:val="20"/>
              </w:rPr>
              <w:t xml:space="preserve">Лангепас</w:t>
            </w:r>
          </w:p>
        </w:tc>
        <w:tc>
          <w:tcPr>
            <w:tcW w:w="1429" w:type="dxa"/>
          </w:tcPr>
          <w:p>
            <w:pPr>
              <w:pStyle w:val="0"/>
            </w:pPr>
            <w:r>
              <w:rPr>
                <w:sz w:val="20"/>
              </w:rPr>
              <w:t xml:space="preserve">2,25</w:t>
            </w:r>
          </w:p>
        </w:tc>
        <w:tc>
          <w:tcPr>
            <w:tcW w:w="1429" w:type="dxa"/>
          </w:tcPr>
          <w:p>
            <w:pPr>
              <w:pStyle w:val="0"/>
            </w:pPr>
            <w:r>
              <w:rPr>
                <w:sz w:val="20"/>
              </w:rPr>
              <w:t xml:space="preserve">1,25</w:t>
            </w:r>
          </w:p>
        </w:tc>
        <w:tc>
          <w:tcPr>
            <w:tcW w:w="1519" w:type="dxa"/>
          </w:tcPr>
          <w:p>
            <w:pPr>
              <w:pStyle w:val="0"/>
            </w:pPr>
            <w:r>
              <w:rPr>
                <w:sz w:val="20"/>
              </w:rPr>
              <w:t xml:space="preserve">1,75</w:t>
            </w:r>
          </w:p>
        </w:tc>
        <w:tc>
          <w:tcPr>
            <w:tcW w:w="1429" w:type="dxa"/>
          </w:tcPr>
          <w:p>
            <w:pPr>
              <w:pStyle w:val="0"/>
            </w:pPr>
            <w:r>
              <w:rPr>
                <w:sz w:val="20"/>
              </w:rPr>
              <w:t xml:space="preserve">45</w:t>
            </w:r>
          </w:p>
        </w:tc>
        <w:tc>
          <w:tcPr>
            <w:tcW w:w="1429" w:type="dxa"/>
          </w:tcPr>
          <w:p>
            <w:pPr>
              <w:pStyle w:val="0"/>
            </w:pPr>
            <w:r>
              <w:rPr>
                <w:sz w:val="20"/>
              </w:rPr>
              <w:t xml:space="preserve">41,75</w:t>
            </w:r>
          </w:p>
        </w:tc>
        <w:tc>
          <w:tcPr>
            <w:tcW w:w="1519" w:type="dxa"/>
          </w:tcPr>
          <w:p>
            <w:pPr>
              <w:pStyle w:val="0"/>
            </w:pPr>
            <w:r>
              <w:rPr>
                <w:sz w:val="20"/>
              </w:rPr>
              <w:t xml:space="preserve">33,5</w:t>
            </w:r>
          </w:p>
        </w:tc>
      </w:tr>
      <w:tr>
        <w:tc>
          <w:tcPr>
            <w:tcW w:w="2194" w:type="dxa"/>
          </w:tcPr>
          <w:p>
            <w:pPr>
              <w:pStyle w:val="0"/>
            </w:pPr>
            <w:r>
              <w:rPr>
                <w:sz w:val="20"/>
              </w:rPr>
              <w:t xml:space="preserve">Мегион</w:t>
            </w:r>
          </w:p>
        </w:tc>
        <w:tc>
          <w:tcPr>
            <w:tcW w:w="1429" w:type="dxa"/>
          </w:tcPr>
          <w:p>
            <w:pPr>
              <w:pStyle w:val="0"/>
            </w:pPr>
            <w:r>
              <w:rPr>
                <w:sz w:val="20"/>
              </w:rPr>
              <w:t xml:space="preserve">4,5</w:t>
            </w:r>
          </w:p>
        </w:tc>
        <w:tc>
          <w:tcPr>
            <w:tcW w:w="1429" w:type="dxa"/>
          </w:tcPr>
          <w:p>
            <w:pPr>
              <w:pStyle w:val="0"/>
            </w:pPr>
            <w:r>
              <w:rPr>
                <w:sz w:val="20"/>
              </w:rPr>
              <w:t xml:space="preserve">3</w:t>
            </w:r>
          </w:p>
        </w:tc>
        <w:tc>
          <w:tcPr>
            <w:tcW w:w="1519" w:type="dxa"/>
          </w:tcPr>
          <w:p>
            <w:pPr>
              <w:pStyle w:val="0"/>
            </w:pPr>
            <w:r>
              <w:rPr>
                <w:sz w:val="20"/>
              </w:rPr>
              <w:t xml:space="preserve">1,5</w:t>
            </w:r>
          </w:p>
        </w:tc>
        <w:tc>
          <w:tcPr>
            <w:tcW w:w="1429" w:type="dxa"/>
          </w:tcPr>
          <w:p>
            <w:pPr>
              <w:pStyle w:val="0"/>
            </w:pPr>
            <w:r>
              <w:rPr>
                <w:sz w:val="20"/>
              </w:rPr>
              <w:t xml:space="preserve">31,5</w:t>
            </w:r>
          </w:p>
        </w:tc>
        <w:tc>
          <w:tcPr>
            <w:tcW w:w="1429" w:type="dxa"/>
          </w:tcPr>
          <w:p>
            <w:pPr>
              <w:pStyle w:val="0"/>
            </w:pPr>
            <w:r>
              <w:rPr>
                <w:sz w:val="20"/>
              </w:rPr>
              <w:t xml:space="preserve">28,25</w:t>
            </w:r>
          </w:p>
        </w:tc>
        <w:tc>
          <w:tcPr>
            <w:tcW w:w="1519" w:type="dxa"/>
          </w:tcPr>
          <w:p>
            <w:pPr>
              <w:pStyle w:val="0"/>
            </w:pPr>
            <w:r>
              <w:rPr>
                <w:sz w:val="20"/>
              </w:rPr>
              <w:t xml:space="preserve">22,25</w:t>
            </w:r>
          </w:p>
        </w:tc>
      </w:tr>
      <w:tr>
        <w:tc>
          <w:tcPr>
            <w:tcW w:w="2194" w:type="dxa"/>
          </w:tcPr>
          <w:p>
            <w:pPr>
              <w:pStyle w:val="0"/>
            </w:pPr>
            <w:r>
              <w:rPr>
                <w:sz w:val="20"/>
              </w:rPr>
              <w:t xml:space="preserve">Нягань</w:t>
            </w:r>
          </w:p>
        </w:tc>
        <w:tc>
          <w:tcPr>
            <w:tcW w:w="1429" w:type="dxa"/>
          </w:tcPr>
          <w:p>
            <w:pPr>
              <w:pStyle w:val="0"/>
            </w:pPr>
            <w:r>
              <w:rPr>
                <w:sz w:val="20"/>
              </w:rPr>
              <w:t xml:space="preserve">9,75</w:t>
            </w:r>
          </w:p>
        </w:tc>
        <w:tc>
          <w:tcPr>
            <w:tcW w:w="1429" w:type="dxa"/>
          </w:tcPr>
          <w:p>
            <w:pPr>
              <w:pStyle w:val="0"/>
            </w:pPr>
            <w:r>
              <w:rPr>
                <w:sz w:val="20"/>
              </w:rPr>
              <w:t xml:space="preserve">8</w:t>
            </w:r>
          </w:p>
        </w:tc>
        <w:tc>
          <w:tcPr>
            <w:tcW w:w="1519" w:type="dxa"/>
          </w:tcPr>
          <w:p>
            <w:pPr>
              <w:pStyle w:val="0"/>
            </w:pPr>
            <w:r>
              <w:rPr>
                <w:sz w:val="20"/>
              </w:rPr>
              <w:t xml:space="preserve">3,75</w:t>
            </w:r>
          </w:p>
        </w:tc>
        <w:tc>
          <w:tcPr>
            <w:tcW w:w="1429" w:type="dxa"/>
          </w:tcPr>
          <w:p>
            <w:pPr>
              <w:pStyle w:val="0"/>
            </w:pPr>
            <w:r>
              <w:rPr>
                <w:sz w:val="20"/>
              </w:rPr>
              <w:t xml:space="preserve">55,25</w:t>
            </w:r>
          </w:p>
        </w:tc>
        <w:tc>
          <w:tcPr>
            <w:tcW w:w="1429" w:type="dxa"/>
          </w:tcPr>
          <w:p>
            <w:pPr>
              <w:pStyle w:val="0"/>
            </w:pPr>
            <w:r>
              <w:rPr>
                <w:sz w:val="20"/>
              </w:rPr>
              <w:t xml:space="preserve">47</w:t>
            </w:r>
          </w:p>
        </w:tc>
        <w:tc>
          <w:tcPr>
            <w:tcW w:w="1519" w:type="dxa"/>
          </w:tcPr>
          <w:p>
            <w:pPr>
              <w:pStyle w:val="0"/>
            </w:pPr>
            <w:r>
              <w:rPr>
                <w:sz w:val="20"/>
              </w:rPr>
              <w:t xml:space="preserve">35,25</w:t>
            </w:r>
          </w:p>
        </w:tc>
      </w:tr>
      <w:tr>
        <w:tc>
          <w:tcPr>
            <w:tcW w:w="2194" w:type="dxa"/>
          </w:tcPr>
          <w:p>
            <w:pPr>
              <w:pStyle w:val="0"/>
            </w:pPr>
            <w:r>
              <w:rPr>
                <w:sz w:val="20"/>
              </w:rPr>
              <w:t xml:space="preserve">Покачи</w:t>
            </w:r>
          </w:p>
        </w:tc>
        <w:tc>
          <w:tcPr>
            <w:tcW w:w="1429" w:type="dxa"/>
          </w:tcPr>
          <w:p>
            <w:pPr>
              <w:pStyle w:val="0"/>
            </w:pPr>
            <w:r>
              <w:rPr>
                <w:sz w:val="20"/>
              </w:rPr>
              <w:t xml:space="preserve">1,25</w:t>
            </w:r>
          </w:p>
        </w:tc>
        <w:tc>
          <w:tcPr>
            <w:tcW w:w="1429" w:type="dxa"/>
          </w:tcPr>
          <w:p>
            <w:pPr>
              <w:pStyle w:val="0"/>
            </w:pPr>
            <w:r>
              <w:rPr>
                <w:sz w:val="20"/>
              </w:rPr>
              <w:t xml:space="preserve">0</w:t>
            </w:r>
          </w:p>
        </w:tc>
        <w:tc>
          <w:tcPr>
            <w:tcW w:w="1519" w:type="dxa"/>
          </w:tcPr>
          <w:p>
            <w:pPr>
              <w:pStyle w:val="0"/>
            </w:pPr>
            <w:r>
              <w:rPr>
                <w:sz w:val="20"/>
              </w:rPr>
              <w:t xml:space="preserve">1</w:t>
            </w:r>
          </w:p>
        </w:tc>
        <w:tc>
          <w:tcPr>
            <w:tcW w:w="1429" w:type="dxa"/>
          </w:tcPr>
          <w:p>
            <w:pPr>
              <w:pStyle w:val="0"/>
            </w:pPr>
            <w:r>
              <w:rPr>
                <w:sz w:val="20"/>
              </w:rPr>
              <w:t xml:space="preserve">15,25</w:t>
            </w:r>
          </w:p>
        </w:tc>
        <w:tc>
          <w:tcPr>
            <w:tcW w:w="1429" w:type="dxa"/>
          </w:tcPr>
          <w:p>
            <w:pPr>
              <w:pStyle w:val="0"/>
            </w:pPr>
            <w:r>
              <w:rPr>
                <w:sz w:val="20"/>
              </w:rPr>
              <w:t xml:space="preserve">15</w:t>
            </w:r>
          </w:p>
        </w:tc>
        <w:tc>
          <w:tcPr>
            <w:tcW w:w="1519" w:type="dxa"/>
          </w:tcPr>
          <w:p>
            <w:pPr>
              <w:pStyle w:val="0"/>
            </w:pPr>
            <w:r>
              <w:rPr>
                <w:sz w:val="20"/>
              </w:rPr>
              <w:t xml:space="preserve">10</w:t>
            </w:r>
          </w:p>
        </w:tc>
      </w:tr>
      <w:tr>
        <w:tc>
          <w:tcPr>
            <w:tcW w:w="2194" w:type="dxa"/>
          </w:tcPr>
          <w:p>
            <w:pPr>
              <w:pStyle w:val="0"/>
            </w:pPr>
            <w:r>
              <w:rPr>
                <w:sz w:val="20"/>
              </w:rPr>
              <w:t xml:space="preserve">Пыть-Ях</w:t>
            </w:r>
          </w:p>
        </w:tc>
        <w:tc>
          <w:tcPr>
            <w:tcW w:w="1429" w:type="dxa"/>
          </w:tcPr>
          <w:p>
            <w:pPr>
              <w:pStyle w:val="0"/>
            </w:pPr>
            <w:r>
              <w:rPr>
                <w:sz w:val="20"/>
              </w:rPr>
              <w:t xml:space="preserve">4,25</w:t>
            </w:r>
          </w:p>
        </w:tc>
        <w:tc>
          <w:tcPr>
            <w:tcW w:w="1429" w:type="dxa"/>
          </w:tcPr>
          <w:p>
            <w:pPr>
              <w:pStyle w:val="0"/>
            </w:pPr>
            <w:r>
              <w:rPr>
                <w:sz w:val="20"/>
              </w:rPr>
              <w:t xml:space="preserve">3</w:t>
            </w:r>
          </w:p>
        </w:tc>
        <w:tc>
          <w:tcPr>
            <w:tcW w:w="1519" w:type="dxa"/>
          </w:tcPr>
          <w:p>
            <w:pPr>
              <w:pStyle w:val="0"/>
            </w:pPr>
            <w:r>
              <w:rPr>
                <w:sz w:val="20"/>
              </w:rPr>
              <w:t xml:space="preserve">1,25</w:t>
            </w:r>
          </w:p>
        </w:tc>
        <w:tc>
          <w:tcPr>
            <w:tcW w:w="1429" w:type="dxa"/>
          </w:tcPr>
          <w:p>
            <w:pPr>
              <w:pStyle w:val="0"/>
            </w:pPr>
            <w:r>
              <w:rPr>
                <w:sz w:val="20"/>
              </w:rPr>
              <w:t xml:space="preserve">43,5</w:t>
            </w:r>
          </w:p>
        </w:tc>
        <w:tc>
          <w:tcPr>
            <w:tcW w:w="1429" w:type="dxa"/>
          </w:tcPr>
          <w:p>
            <w:pPr>
              <w:pStyle w:val="0"/>
            </w:pPr>
            <w:r>
              <w:rPr>
                <w:sz w:val="20"/>
              </w:rPr>
              <w:t xml:space="preserve">37,5</w:t>
            </w:r>
          </w:p>
        </w:tc>
        <w:tc>
          <w:tcPr>
            <w:tcW w:w="1519" w:type="dxa"/>
          </w:tcPr>
          <w:p>
            <w:pPr>
              <w:pStyle w:val="0"/>
            </w:pPr>
            <w:r>
              <w:rPr>
                <w:sz w:val="20"/>
              </w:rPr>
              <w:t xml:space="preserve">33</w:t>
            </w:r>
          </w:p>
        </w:tc>
      </w:tr>
      <w:tr>
        <w:tc>
          <w:tcPr>
            <w:tcW w:w="2194" w:type="dxa"/>
          </w:tcPr>
          <w:p>
            <w:pPr>
              <w:pStyle w:val="0"/>
            </w:pPr>
            <w:r>
              <w:rPr>
                <w:sz w:val="20"/>
              </w:rPr>
              <w:t xml:space="preserve">Радужный</w:t>
            </w:r>
          </w:p>
        </w:tc>
        <w:tc>
          <w:tcPr>
            <w:tcW w:w="1429" w:type="dxa"/>
          </w:tcPr>
          <w:p>
            <w:pPr>
              <w:pStyle w:val="0"/>
            </w:pPr>
            <w:r>
              <w:rPr>
                <w:sz w:val="20"/>
              </w:rPr>
              <w:t xml:space="preserve">2,5</w:t>
            </w:r>
          </w:p>
        </w:tc>
        <w:tc>
          <w:tcPr>
            <w:tcW w:w="1429" w:type="dxa"/>
          </w:tcPr>
          <w:p>
            <w:pPr>
              <w:pStyle w:val="0"/>
            </w:pPr>
            <w:r>
              <w:rPr>
                <w:sz w:val="20"/>
              </w:rPr>
              <w:t xml:space="preserve">1,5</w:t>
            </w:r>
          </w:p>
        </w:tc>
        <w:tc>
          <w:tcPr>
            <w:tcW w:w="1519" w:type="dxa"/>
          </w:tcPr>
          <w:p>
            <w:pPr>
              <w:pStyle w:val="0"/>
            </w:pPr>
            <w:r>
              <w:rPr>
                <w:sz w:val="20"/>
              </w:rPr>
              <w:t xml:space="preserve">1</w:t>
            </w:r>
          </w:p>
        </w:tc>
        <w:tc>
          <w:tcPr>
            <w:tcW w:w="1429" w:type="dxa"/>
          </w:tcPr>
          <w:p>
            <w:pPr>
              <w:pStyle w:val="0"/>
            </w:pPr>
            <w:r>
              <w:rPr>
                <w:sz w:val="20"/>
              </w:rPr>
              <w:t xml:space="preserve">27</w:t>
            </w:r>
          </w:p>
        </w:tc>
        <w:tc>
          <w:tcPr>
            <w:tcW w:w="1429" w:type="dxa"/>
          </w:tcPr>
          <w:p>
            <w:pPr>
              <w:pStyle w:val="0"/>
            </w:pPr>
            <w:r>
              <w:rPr>
                <w:sz w:val="20"/>
              </w:rPr>
              <w:t xml:space="preserve">24</w:t>
            </w:r>
          </w:p>
        </w:tc>
        <w:tc>
          <w:tcPr>
            <w:tcW w:w="1519" w:type="dxa"/>
          </w:tcPr>
          <w:p>
            <w:pPr>
              <w:pStyle w:val="0"/>
            </w:pPr>
            <w:r>
              <w:rPr>
                <w:sz w:val="20"/>
              </w:rPr>
              <w:t xml:space="preserve">20</w:t>
            </w:r>
          </w:p>
        </w:tc>
      </w:tr>
      <w:tr>
        <w:tc>
          <w:tcPr>
            <w:tcW w:w="2194" w:type="dxa"/>
          </w:tcPr>
          <w:p>
            <w:pPr>
              <w:pStyle w:val="0"/>
            </w:pPr>
            <w:r>
              <w:rPr>
                <w:sz w:val="20"/>
              </w:rPr>
              <w:t xml:space="preserve">Урай</w:t>
            </w:r>
          </w:p>
        </w:tc>
        <w:tc>
          <w:tcPr>
            <w:tcW w:w="1429" w:type="dxa"/>
          </w:tcPr>
          <w:p>
            <w:pPr>
              <w:pStyle w:val="0"/>
            </w:pPr>
            <w:r>
              <w:rPr>
                <w:sz w:val="20"/>
              </w:rPr>
              <w:t xml:space="preserve">4,25</w:t>
            </w:r>
          </w:p>
        </w:tc>
        <w:tc>
          <w:tcPr>
            <w:tcW w:w="1429" w:type="dxa"/>
          </w:tcPr>
          <w:p>
            <w:pPr>
              <w:pStyle w:val="0"/>
            </w:pPr>
            <w:r>
              <w:rPr>
                <w:sz w:val="20"/>
              </w:rPr>
              <w:t xml:space="preserve">4,25</w:t>
            </w:r>
          </w:p>
        </w:tc>
        <w:tc>
          <w:tcPr>
            <w:tcW w:w="1519" w:type="dxa"/>
          </w:tcPr>
          <w:p>
            <w:pPr>
              <w:pStyle w:val="0"/>
            </w:pPr>
            <w:r>
              <w:rPr>
                <w:sz w:val="20"/>
              </w:rPr>
              <w:t xml:space="preserve">2</w:t>
            </w:r>
          </w:p>
        </w:tc>
        <w:tc>
          <w:tcPr>
            <w:tcW w:w="1429" w:type="dxa"/>
          </w:tcPr>
          <w:p>
            <w:pPr>
              <w:pStyle w:val="0"/>
            </w:pPr>
            <w:r>
              <w:rPr>
                <w:sz w:val="20"/>
              </w:rPr>
              <w:t xml:space="preserve">42</w:t>
            </w:r>
          </w:p>
        </w:tc>
        <w:tc>
          <w:tcPr>
            <w:tcW w:w="1429" w:type="dxa"/>
          </w:tcPr>
          <w:p>
            <w:pPr>
              <w:pStyle w:val="0"/>
            </w:pPr>
            <w:r>
              <w:rPr>
                <w:sz w:val="20"/>
              </w:rPr>
              <w:t xml:space="preserve">40</w:t>
            </w:r>
          </w:p>
        </w:tc>
        <w:tc>
          <w:tcPr>
            <w:tcW w:w="1519" w:type="dxa"/>
          </w:tcPr>
          <w:p>
            <w:pPr>
              <w:pStyle w:val="0"/>
            </w:pPr>
            <w:r>
              <w:rPr>
                <w:sz w:val="20"/>
              </w:rPr>
              <w:t xml:space="preserve">21</w:t>
            </w:r>
          </w:p>
        </w:tc>
      </w:tr>
      <w:tr>
        <w:tc>
          <w:tcPr>
            <w:tcW w:w="2194" w:type="dxa"/>
          </w:tcPr>
          <w:p>
            <w:pPr>
              <w:pStyle w:val="0"/>
            </w:pPr>
            <w:r>
              <w:rPr>
                <w:sz w:val="20"/>
              </w:rPr>
              <w:t xml:space="preserve">Югорск</w:t>
            </w:r>
          </w:p>
        </w:tc>
        <w:tc>
          <w:tcPr>
            <w:tcW w:w="1429" w:type="dxa"/>
          </w:tcPr>
          <w:p>
            <w:pPr>
              <w:pStyle w:val="0"/>
            </w:pPr>
            <w:r>
              <w:rPr>
                <w:sz w:val="20"/>
              </w:rPr>
              <w:t xml:space="preserve">2</w:t>
            </w:r>
          </w:p>
        </w:tc>
        <w:tc>
          <w:tcPr>
            <w:tcW w:w="1429" w:type="dxa"/>
          </w:tcPr>
          <w:p>
            <w:pPr>
              <w:pStyle w:val="0"/>
            </w:pPr>
            <w:r>
              <w:rPr>
                <w:sz w:val="20"/>
              </w:rPr>
              <w:t xml:space="preserve">2</w:t>
            </w:r>
          </w:p>
        </w:tc>
        <w:tc>
          <w:tcPr>
            <w:tcW w:w="1519" w:type="dxa"/>
          </w:tcPr>
          <w:p>
            <w:pPr>
              <w:pStyle w:val="0"/>
            </w:pPr>
            <w:r>
              <w:rPr>
                <w:sz w:val="20"/>
              </w:rPr>
              <w:t xml:space="preserve">2</w:t>
            </w:r>
          </w:p>
        </w:tc>
        <w:tc>
          <w:tcPr>
            <w:tcW w:w="1429" w:type="dxa"/>
          </w:tcPr>
          <w:p>
            <w:pPr>
              <w:pStyle w:val="0"/>
            </w:pPr>
            <w:r>
              <w:rPr>
                <w:sz w:val="20"/>
              </w:rPr>
              <w:t xml:space="preserve">25,5</w:t>
            </w:r>
          </w:p>
        </w:tc>
        <w:tc>
          <w:tcPr>
            <w:tcW w:w="1429" w:type="dxa"/>
          </w:tcPr>
          <w:p>
            <w:pPr>
              <w:pStyle w:val="0"/>
            </w:pPr>
            <w:r>
              <w:rPr>
                <w:sz w:val="20"/>
              </w:rPr>
              <w:t xml:space="preserve">23</w:t>
            </w:r>
          </w:p>
        </w:tc>
        <w:tc>
          <w:tcPr>
            <w:tcW w:w="1519" w:type="dxa"/>
          </w:tcPr>
          <w:p>
            <w:pPr>
              <w:pStyle w:val="0"/>
            </w:pPr>
            <w:r>
              <w:rPr>
                <w:sz w:val="20"/>
              </w:rPr>
              <w:t xml:space="preserve">22,25</w:t>
            </w:r>
          </w:p>
        </w:tc>
      </w:tr>
      <w:tr>
        <w:tc>
          <w:tcPr>
            <w:tcW w:w="2194" w:type="dxa"/>
          </w:tcPr>
          <w:p>
            <w:pPr>
              <w:pStyle w:val="0"/>
            </w:pPr>
            <w:r>
              <w:rPr>
                <w:sz w:val="20"/>
              </w:rPr>
              <w:t xml:space="preserve">Нефтеюганск</w:t>
            </w:r>
          </w:p>
        </w:tc>
        <w:tc>
          <w:tcPr>
            <w:tcW w:w="1429" w:type="dxa"/>
          </w:tcPr>
          <w:p>
            <w:pPr>
              <w:pStyle w:val="0"/>
            </w:pPr>
            <w:r>
              <w:rPr>
                <w:sz w:val="20"/>
              </w:rPr>
              <w:t xml:space="preserve">4,5</w:t>
            </w:r>
          </w:p>
        </w:tc>
        <w:tc>
          <w:tcPr>
            <w:tcW w:w="1429" w:type="dxa"/>
          </w:tcPr>
          <w:p>
            <w:pPr>
              <w:pStyle w:val="0"/>
            </w:pPr>
            <w:r>
              <w:rPr>
                <w:sz w:val="20"/>
              </w:rPr>
              <w:t xml:space="preserve">4,5</w:t>
            </w:r>
          </w:p>
        </w:tc>
        <w:tc>
          <w:tcPr>
            <w:tcW w:w="1519" w:type="dxa"/>
          </w:tcPr>
          <w:p>
            <w:pPr>
              <w:pStyle w:val="0"/>
            </w:pPr>
            <w:r>
              <w:rPr>
                <w:sz w:val="20"/>
              </w:rPr>
              <w:t xml:space="preserve">2</w:t>
            </w:r>
          </w:p>
        </w:tc>
        <w:tc>
          <w:tcPr>
            <w:tcW w:w="1429" w:type="dxa"/>
          </w:tcPr>
          <w:p>
            <w:pPr>
              <w:pStyle w:val="0"/>
            </w:pPr>
            <w:r>
              <w:rPr>
                <w:sz w:val="20"/>
              </w:rPr>
              <w:t xml:space="preserve">73,25</w:t>
            </w:r>
          </w:p>
        </w:tc>
        <w:tc>
          <w:tcPr>
            <w:tcW w:w="1429" w:type="dxa"/>
          </w:tcPr>
          <w:p>
            <w:pPr>
              <w:pStyle w:val="0"/>
            </w:pPr>
            <w:r>
              <w:rPr>
                <w:sz w:val="20"/>
              </w:rPr>
              <w:t xml:space="preserve">70,75</w:t>
            </w:r>
          </w:p>
        </w:tc>
        <w:tc>
          <w:tcPr>
            <w:tcW w:w="1519" w:type="dxa"/>
          </w:tcPr>
          <w:p>
            <w:pPr>
              <w:pStyle w:val="0"/>
            </w:pPr>
            <w:r>
              <w:rPr>
                <w:sz w:val="20"/>
              </w:rPr>
              <w:t xml:space="preserve">52,5</w:t>
            </w:r>
          </w:p>
        </w:tc>
      </w:tr>
      <w:tr>
        <w:tc>
          <w:tcPr>
            <w:tcW w:w="2194" w:type="dxa"/>
          </w:tcPr>
          <w:p>
            <w:pPr>
              <w:pStyle w:val="0"/>
            </w:pPr>
            <w:r>
              <w:rPr>
                <w:sz w:val="20"/>
              </w:rPr>
              <w:t xml:space="preserve">Нижневартовск</w:t>
            </w:r>
          </w:p>
        </w:tc>
        <w:tc>
          <w:tcPr>
            <w:tcW w:w="1429" w:type="dxa"/>
          </w:tcPr>
          <w:p>
            <w:pPr>
              <w:pStyle w:val="0"/>
            </w:pPr>
            <w:r>
              <w:rPr>
                <w:sz w:val="20"/>
              </w:rPr>
              <w:t xml:space="preserve">28,75</w:t>
            </w:r>
          </w:p>
        </w:tc>
        <w:tc>
          <w:tcPr>
            <w:tcW w:w="1429" w:type="dxa"/>
          </w:tcPr>
          <w:p>
            <w:pPr>
              <w:pStyle w:val="0"/>
            </w:pPr>
            <w:r>
              <w:rPr>
                <w:sz w:val="20"/>
              </w:rPr>
              <w:t xml:space="preserve">26</w:t>
            </w:r>
          </w:p>
        </w:tc>
        <w:tc>
          <w:tcPr>
            <w:tcW w:w="1519" w:type="dxa"/>
          </w:tcPr>
          <w:p>
            <w:pPr>
              <w:pStyle w:val="0"/>
            </w:pPr>
            <w:r>
              <w:rPr>
                <w:sz w:val="20"/>
              </w:rPr>
              <w:t xml:space="preserve">7</w:t>
            </w:r>
          </w:p>
        </w:tc>
        <w:tc>
          <w:tcPr>
            <w:tcW w:w="1429" w:type="dxa"/>
          </w:tcPr>
          <w:p>
            <w:pPr>
              <w:pStyle w:val="0"/>
            </w:pPr>
            <w:r>
              <w:rPr>
                <w:sz w:val="20"/>
              </w:rPr>
              <w:t xml:space="preserve">169,75</w:t>
            </w:r>
          </w:p>
        </w:tc>
        <w:tc>
          <w:tcPr>
            <w:tcW w:w="1429" w:type="dxa"/>
          </w:tcPr>
          <w:p>
            <w:pPr>
              <w:pStyle w:val="0"/>
            </w:pPr>
            <w:r>
              <w:rPr>
                <w:sz w:val="20"/>
              </w:rPr>
              <w:t xml:space="preserve">153,25</w:t>
            </w:r>
          </w:p>
        </w:tc>
        <w:tc>
          <w:tcPr>
            <w:tcW w:w="1519" w:type="dxa"/>
          </w:tcPr>
          <w:p>
            <w:pPr>
              <w:pStyle w:val="0"/>
            </w:pPr>
            <w:r>
              <w:rPr>
                <w:sz w:val="20"/>
              </w:rPr>
              <w:t xml:space="preserve">147,25</w:t>
            </w:r>
          </w:p>
        </w:tc>
      </w:tr>
      <w:tr>
        <w:tc>
          <w:tcPr>
            <w:tcW w:w="2194" w:type="dxa"/>
          </w:tcPr>
          <w:p>
            <w:pPr>
              <w:pStyle w:val="0"/>
            </w:pPr>
            <w:r>
              <w:rPr>
                <w:sz w:val="20"/>
              </w:rPr>
              <w:t xml:space="preserve">Сургут</w:t>
            </w:r>
          </w:p>
        </w:tc>
        <w:tc>
          <w:tcPr>
            <w:tcW w:w="1429" w:type="dxa"/>
          </w:tcPr>
          <w:p>
            <w:pPr>
              <w:pStyle w:val="0"/>
            </w:pPr>
            <w:r>
              <w:rPr>
                <w:sz w:val="20"/>
              </w:rPr>
              <w:t xml:space="preserve">105,5</w:t>
            </w:r>
          </w:p>
        </w:tc>
        <w:tc>
          <w:tcPr>
            <w:tcW w:w="1429" w:type="dxa"/>
          </w:tcPr>
          <w:p>
            <w:pPr>
              <w:pStyle w:val="0"/>
            </w:pPr>
            <w:r>
              <w:rPr>
                <w:sz w:val="20"/>
              </w:rPr>
              <w:t xml:space="preserve">83,5</w:t>
            </w:r>
          </w:p>
        </w:tc>
        <w:tc>
          <w:tcPr>
            <w:tcW w:w="1519" w:type="dxa"/>
          </w:tcPr>
          <w:p>
            <w:pPr>
              <w:pStyle w:val="0"/>
            </w:pPr>
            <w:r>
              <w:rPr>
                <w:sz w:val="20"/>
              </w:rPr>
              <w:t xml:space="preserve">36,25</w:t>
            </w:r>
          </w:p>
        </w:tc>
        <w:tc>
          <w:tcPr>
            <w:tcW w:w="1429" w:type="dxa"/>
          </w:tcPr>
          <w:p>
            <w:pPr>
              <w:pStyle w:val="0"/>
            </w:pPr>
            <w:r>
              <w:rPr>
                <w:sz w:val="20"/>
              </w:rPr>
              <w:t xml:space="preserve">271,5</w:t>
            </w:r>
          </w:p>
        </w:tc>
        <w:tc>
          <w:tcPr>
            <w:tcW w:w="1429" w:type="dxa"/>
          </w:tcPr>
          <w:p>
            <w:pPr>
              <w:pStyle w:val="0"/>
            </w:pPr>
            <w:r>
              <w:rPr>
                <w:sz w:val="20"/>
              </w:rPr>
              <w:t xml:space="preserve">253,5</w:t>
            </w:r>
          </w:p>
        </w:tc>
        <w:tc>
          <w:tcPr>
            <w:tcW w:w="1519" w:type="dxa"/>
          </w:tcPr>
          <w:p>
            <w:pPr>
              <w:pStyle w:val="0"/>
            </w:pPr>
            <w:r>
              <w:rPr>
                <w:sz w:val="20"/>
              </w:rPr>
              <w:t xml:space="preserve">226,75</w:t>
            </w:r>
          </w:p>
        </w:tc>
      </w:tr>
      <w:tr>
        <w:tc>
          <w:tcPr>
            <w:tcW w:w="2194" w:type="dxa"/>
          </w:tcPr>
          <w:p>
            <w:pPr>
              <w:pStyle w:val="0"/>
            </w:pPr>
            <w:r>
              <w:rPr>
                <w:sz w:val="20"/>
              </w:rPr>
              <w:t xml:space="preserve">Ханты-Мансийск</w:t>
            </w:r>
          </w:p>
        </w:tc>
        <w:tc>
          <w:tcPr>
            <w:tcW w:w="1429" w:type="dxa"/>
          </w:tcPr>
          <w:p>
            <w:pPr>
              <w:pStyle w:val="0"/>
            </w:pPr>
            <w:r>
              <w:rPr>
                <w:sz w:val="20"/>
              </w:rPr>
              <w:t xml:space="preserve">33</w:t>
            </w:r>
          </w:p>
        </w:tc>
        <w:tc>
          <w:tcPr>
            <w:tcW w:w="1429" w:type="dxa"/>
          </w:tcPr>
          <w:p>
            <w:pPr>
              <w:pStyle w:val="0"/>
            </w:pPr>
            <w:r>
              <w:rPr>
                <w:sz w:val="20"/>
              </w:rPr>
              <w:t xml:space="preserve">29,75</w:t>
            </w:r>
          </w:p>
        </w:tc>
        <w:tc>
          <w:tcPr>
            <w:tcW w:w="1519" w:type="dxa"/>
          </w:tcPr>
          <w:p>
            <w:pPr>
              <w:pStyle w:val="0"/>
            </w:pPr>
            <w:r>
              <w:rPr>
                <w:sz w:val="20"/>
              </w:rPr>
              <w:t xml:space="preserve">15</w:t>
            </w:r>
          </w:p>
        </w:tc>
        <w:tc>
          <w:tcPr>
            <w:tcW w:w="1429" w:type="dxa"/>
          </w:tcPr>
          <w:p>
            <w:pPr>
              <w:pStyle w:val="0"/>
            </w:pPr>
            <w:r>
              <w:rPr>
                <w:sz w:val="20"/>
              </w:rPr>
              <w:t xml:space="preserve">151,5</w:t>
            </w:r>
          </w:p>
        </w:tc>
        <w:tc>
          <w:tcPr>
            <w:tcW w:w="1429" w:type="dxa"/>
          </w:tcPr>
          <w:p>
            <w:pPr>
              <w:pStyle w:val="0"/>
            </w:pPr>
            <w:r>
              <w:rPr>
                <w:sz w:val="20"/>
              </w:rPr>
              <w:t xml:space="preserve">135</w:t>
            </w:r>
          </w:p>
        </w:tc>
        <w:tc>
          <w:tcPr>
            <w:tcW w:w="1519" w:type="dxa"/>
          </w:tcPr>
          <w:p>
            <w:pPr>
              <w:pStyle w:val="0"/>
            </w:pPr>
            <w:r>
              <w:rPr>
                <w:sz w:val="20"/>
              </w:rPr>
              <w:t xml:space="preserve">94,75</w:t>
            </w:r>
          </w:p>
        </w:tc>
      </w:tr>
      <w:tr>
        <w:tc>
          <w:tcPr>
            <w:tcW w:w="2194" w:type="dxa"/>
          </w:tcPr>
          <w:p>
            <w:pPr>
              <w:pStyle w:val="0"/>
            </w:pPr>
            <w:r>
              <w:rPr>
                <w:sz w:val="20"/>
              </w:rPr>
              <w:t xml:space="preserve">Всего</w:t>
            </w:r>
          </w:p>
        </w:tc>
        <w:tc>
          <w:tcPr>
            <w:tcW w:w="1429" w:type="dxa"/>
          </w:tcPr>
          <w:p>
            <w:pPr>
              <w:pStyle w:val="0"/>
            </w:pPr>
            <w:r>
              <w:rPr>
                <w:sz w:val="20"/>
              </w:rPr>
              <w:t xml:space="preserve">224,5</w:t>
            </w:r>
          </w:p>
        </w:tc>
        <w:tc>
          <w:tcPr>
            <w:tcW w:w="1429" w:type="dxa"/>
          </w:tcPr>
          <w:p>
            <w:pPr>
              <w:pStyle w:val="0"/>
            </w:pPr>
            <w:r>
              <w:rPr>
                <w:sz w:val="20"/>
              </w:rPr>
              <w:t xml:space="preserve">183,5</w:t>
            </w:r>
          </w:p>
        </w:tc>
        <w:tc>
          <w:tcPr>
            <w:tcW w:w="1519" w:type="dxa"/>
          </w:tcPr>
          <w:p>
            <w:pPr>
              <w:pStyle w:val="0"/>
            </w:pPr>
            <w:r>
              <w:rPr>
                <w:sz w:val="20"/>
              </w:rPr>
              <w:t xml:space="preserve">90,75</w:t>
            </w:r>
          </w:p>
        </w:tc>
        <w:tc>
          <w:tcPr>
            <w:tcW w:w="1429" w:type="dxa"/>
          </w:tcPr>
          <w:p>
            <w:pPr>
              <w:pStyle w:val="0"/>
            </w:pPr>
            <w:r>
              <w:rPr>
                <w:sz w:val="20"/>
              </w:rPr>
              <w:t xml:space="preserve">1276,25</w:t>
            </w:r>
          </w:p>
        </w:tc>
        <w:tc>
          <w:tcPr>
            <w:tcW w:w="1429" w:type="dxa"/>
          </w:tcPr>
          <w:p>
            <w:pPr>
              <w:pStyle w:val="0"/>
            </w:pPr>
            <w:r>
              <w:rPr>
                <w:sz w:val="20"/>
              </w:rPr>
              <w:t xml:space="preserve">1138,75</w:t>
            </w:r>
          </w:p>
        </w:tc>
        <w:tc>
          <w:tcPr>
            <w:tcW w:w="1519" w:type="dxa"/>
          </w:tcPr>
          <w:p>
            <w:pPr>
              <w:pStyle w:val="0"/>
            </w:pPr>
            <w:r>
              <w:rPr>
                <w:sz w:val="20"/>
              </w:rPr>
              <w:t xml:space="preserve">967,5</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Наименьшая укомплектованность штатных должностей занятыми должностями врачей-кардиологов отмечается в городском округе Покачи (0%), Нефтеюганском муниципальном районе (45,5%), городском округе Лангепас (55,6%), Советском муниципальном районе (58,3%), городском округе Радужный (60,0%), Октябрьском муниципальном районе (62,5%).</w:t>
      </w:r>
    </w:p>
    <w:p>
      <w:pPr>
        <w:pStyle w:val="0"/>
        <w:spacing w:before="200" w:line-rule="auto"/>
        <w:ind w:firstLine="540"/>
        <w:jc w:val="both"/>
      </w:pPr>
      <w:r>
        <w:rPr>
          <w:sz w:val="20"/>
        </w:rPr>
        <w:t xml:space="preserve">Наименьшая укомплектованность штатных должностей занятыми должностями врачей-терапевтов отмечается в Кондинском районе (69,6%), Березовском районе (75,0%), Октябрьском районе (75,9%), городе Когалым (79,1%), Белоярском районе (81,1%), Советском районе (81,4%).</w:t>
      </w:r>
    </w:p>
    <w:p>
      <w:pPr>
        <w:pStyle w:val="0"/>
        <w:spacing w:before="200" w:line-rule="auto"/>
        <w:ind w:firstLine="540"/>
        <w:jc w:val="both"/>
      </w:pPr>
      <w:r>
        <w:rPr>
          <w:sz w:val="20"/>
        </w:rPr>
        <w:t xml:space="preserve">В 2022 году в автономном округе имелось 69,5 штатных единиц врачей сердечно-сосудистых хирургов и 42 физических лица, из них 36 заняты в подразделениях, оказывающих медицинскую помощь в стационарных условиях, 6 - в амбулаторных.</w:t>
      </w:r>
    </w:p>
    <w:p>
      <w:pPr>
        <w:pStyle w:val="0"/>
        <w:spacing w:before="200" w:line-rule="auto"/>
        <w:ind w:firstLine="540"/>
        <w:jc w:val="both"/>
      </w:pPr>
      <w:r>
        <w:rPr>
          <w:sz w:val="20"/>
        </w:rPr>
        <w:t xml:space="preserve">Количество штатных единиц врачей по рентгенэндоваскулярным диагностике и лечению в 2022 году не изменилось в сравнении с 2021 годом и составило 41,5 штатных единицы, число физических лиц составило 29, что на 2 больше чем в 2021 году (27 физических лиц). Врачи по рентгенэндоваскулярным диагностике и лечению оказывают медицинскую помощь в стационарных условиях.</w:t>
      </w:r>
    </w:p>
    <w:p>
      <w:pPr>
        <w:pStyle w:val="0"/>
        <w:ind w:firstLine="540"/>
        <w:jc w:val="both"/>
      </w:pPr>
      <w:r>
        <w:rPr>
          <w:sz w:val="20"/>
        </w:rPr>
      </w:r>
    </w:p>
    <w:p>
      <w:pPr>
        <w:pStyle w:val="0"/>
        <w:jc w:val="right"/>
      </w:pPr>
      <w:r>
        <w:rPr>
          <w:sz w:val="20"/>
        </w:rPr>
        <w:t xml:space="preserve">Таблица 62</w:t>
      </w:r>
    </w:p>
    <w:p>
      <w:pPr>
        <w:pStyle w:val="0"/>
        <w:jc w:val="right"/>
      </w:pPr>
      <w:r>
        <w:rPr>
          <w:sz w:val="20"/>
        </w:rPr>
      </w:r>
    </w:p>
    <w:p>
      <w:pPr>
        <w:pStyle w:val="0"/>
        <w:jc w:val="center"/>
      </w:pPr>
      <w:r>
        <w:rPr>
          <w:sz w:val="20"/>
        </w:rPr>
        <w:t xml:space="preserve">Показатели кадрового обеспечения по состоянию на 31 декабря</w:t>
      </w:r>
    </w:p>
    <w:p>
      <w:pPr>
        <w:pStyle w:val="0"/>
        <w:jc w:val="center"/>
      </w:pPr>
      <w:r>
        <w:rPr>
          <w:sz w:val="20"/>
        </w:rPr>
        <w:t xml:space="preserve">2022 года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34"/>
        <w:gridCol w:w="1009"/>
        <w:gridCol w:w="934"/>
        <w:gridCol w:w="1009"/>
        <w:gridCol w:w="934"/>
        <w:gridCol w:w="1009"/>
        <w:gridCol w:w="934"/>
        <w:gridCol w:w="1324"/>
        <w:gridCol w:w="1804"/>
        <w:gridCol w:w="1804"/>
      </w:tblGrid>
      <w:tr>
        <w:tc>
          <w:tcPr>
            <w:tcW w:w="2734" w:type="dxa"/>
            <w:vMerge w:val="restart"/>
          </w:tcPr>
          <w:p>
            <w:pPr>
              <w:pStyle w:val="0"/>
              <w:jc w:val="center"/>
            </w:pPr>
            <w:r>
              <w:rPr>
                <w:sz w:val="20"/>
              </w:rPr>
              <w:t xml:space="preserve">Наименование должности (специальности)</w:t>
            </w:r>
          </w:p>
        </w:tc>
        <w:tc>
          <w:tcPr>
            <w:gridSpan w:val="2"/>
            <w:tcW w:w="1943" w:type="dxa"/>
            <w:vMerge w:val="restart"/>
          </w:tcPr>
          <w:p>
            <w:pPr>
              <w:pStyle w:val="0"/>
              <w:jc w:val="center"/>
            </w:pPr>
            <w:r>
              <w:rPr>
                <w:sz w:val="20"/>
              </w:rPr>
              <w:t xml:space="preserve">Число должностей в целом по организации, ед.</w:t>
            </w:r>
          </w:p>
        </w:tc>
        <w:tc>
          <w:tcPr>
            <w:gridSpan w:val="4"/>
            <w:tcW w:w="3886" w:type="dxa"/>
          </w:tcPr>
          <w:p>
            <w:pPr>
              <w:pStyle w:val="0"/>
              <w:jc w:val="center"/>
            </w:pPr>
            <w:r>
              <w:rPr>
                <w:sz w:val="20"/>
              </w:rPr>
              <w:t xml:space="preserve">из них:</w:t>
            </w:r>
          </w:p>
        </w:tc>
        <w:tc>
          <w:tcPr>
            <w:tcW w:w="1324" w:type="dxa"/>
            <w:vMerge w:val="restart"/>
          </w:tcPr>
          <w:p>
            <w:pPr>
              <w:pStyle w:val="0"/>
              <w:jc w:val="center"/>
            </w:pPr>
            <w:r>
              <w:rPr>
                <w:sz w:val="20"/>
              </w:rPr>
              <w:t xml:space="preserve">Число физ. лиц основных работников на занятых должностях</w:t>
            </w:r>
          </w:p>
        </w:tc>
        <w:tc>
          <w:tcPr>
            <w:gridSpan w:val="2"/>
            <w:tcW w:w="3608" w:type="dxa"/>
          </w:tcPr>
          <w:p>
            <w:pPr>
              <w:pStyle w:val="0"/>
              <w:jc w:val="center"/>
            </w:pPr>
            <w:r>
              <w:rPr>
                <w:sz w:val="20"/>
              </w:rPr>
              <w:t xml:space="preserve">из них:</w:t>
            </w:r>
          </w:p>
        </w:tc>
      </w:tr>
      <w:tr>
        <w:tc>
          <w:tcPr>
            <w:vMerge w:val="continue"/>
          </w:tcPr>
          <w:p/>
        </w:tc>
        <w:tc>
          <w:tcPr>
            <w:gridSpan w:val="2"/>
            <w:vMerge w:val="continue"/>
          </w:tcPr>
          <w:p/>
        </w:tc>
        <w:tc>
          <w:tcPr>
            <w:gridSpan w:val="2"/>
            <w:tcW w:w="1943" w:type="dxa"/>
          </w:tcPr>
          <w:p>
            <w:pPr>
              <w:pStyle w:val="0"/>
              <w:jc w:val="center"/>
            </w:pPr>
            <w:r>
              <w:rPr>
                <w:sz w:val="20"/>
              </w:rPr>
              <w:t xml:space="preserve">в подразделениях, оказывающих медицинскую помощь в амбулаторных условиях</w:t>
            </w:r>
          </w:p>
        </w:tc>
        <w:tc>
          <w:tcPr>
            <w:gridSpan w:val="2"/>
            <w:tcW w:w="1943" w:type="dxa"/>
          </w:tcPr>
          <w:p>
            <w:pPr>
              <w:pStyle w:val="0"/>
              <w:jc w:val="center"/>
            </w:pPr>
            <w:r>
              <w:rPr>
                <w:sz w:val="20"/>
              </w:rPr>
              <w:t xml:space="preserve">в подразделениях, оказывающих медицинскую помощь в стационарных условиях</w:t>
            </w:r>
          </w:p>
        </w:tc>
        <w:tc>
          <w:tcPr>
            <w:vMerge w:val="continue"/>
          </w:tcPr>
          <w:p/>
        </w:tc>
        <w:tc>
          <w:tcPr>
            <w:tcW w:w="1804" w:type="dxa"/>
          </w:tcPr>
          <w:p>
            <w:pPr>
              <w:pStyle w:val="0"/>
              <w:jc w:val="center"/>
            </w:pPr>
            <w:r>
              <w:rPr>
                <w:sz w:val="20"/>
              </w:rPr>
              <w:t xml:space="preserve">в подразделениях, оказывающих медицинскую помощь в амбулаторных условиях</w:t>
            </w:r>
          </w:p>
        </w:tc>
        <w:tc>
          <w:tcPr>
            <w:tcW w:w="1804" w:type="dxa"/>
          </w:tcPr>
          <w:p>
            <w:pPr>
              <w:pStyle w:val="0"/>
              <w:jc w:val="center"/>
            </w:pPr>
            <w:r>
              <w:rPr>
                <w:sz w:val="20"/>
              </w:rPr>
              <w:t xml:space="preserve">в подразделениях, оказывающих медицинскую помощь в стационарных условиях</w:t>
            </w:r>
          </w:p>
        </w:tc>
      </w:tr>
      <w:tr>
        <w:tc>
          <w:tcPr>
            <w:vMerge w:val="continue"/>
          </w:tcPr>
          <w:p/>
        </w:tc>
        <w:tc>
          <w:tcPr>
            <w:tcW w:w="1009" w:type="dxa"/>
          </w:tcPr>
          <w:p>
            <w:pPr>
              <w:pStyle w:val="0"/>
              <w:jc w:val="center"/>
            </w:pPr>
            <w:r>
              <w:rPr>
                <w:sz w:val="20"/>
              </w:rPr>
              <w:t xml:space="preserve">штатных</w:t>
            </w:r>
          </w:p>
        </w:tc>
        <w:tc>
          <w:tcPr>
            <w:tcW w:w="934" w:type="dxa"/>
          </w:tcPr>
          <w:p>
            <w:pPr>
              <w:pStyle w:val="0"/>
              <w:jc w:val="center"/>
            </w:pPr>
            <w:r>
              <w:rPr>
                <w:sz w:val="20"/>
              </w:rPr>
              <w:t xml:space="preserve">занятых</w:t>
            </w:r>
          </w:p>
        </w:tc>
        <w:tc>
          <w:tcPr>
            <w:tcW w:w="1009" w:type="dxa"/>
          </w:tcPr>
          <w:p>
            <w:pPr>
              <w:pStyle w:val="0"/>
              <w:jc w:val="center"/>
            </w:pPr>
            <w:r>
              <w:rPr>
                <w:sz w:val="20"/>
              </w:rPr>
              <w:t xml:space="preserve">штатных</w:t>
            </w:r>
          </w:p>
        </w:tc>
        <w:tc>
          <w:tcPr>
            <w:tcW w:w="934" w:type="dxa"/>
          </w:tcPr>
          <w:p>
            <w:pPr>
              <w:pStyle w:val="0"/>
              <w:jc w:val="center"/>
            </w:pPr>
            <w:r>
              <w:rPr>
                <w:sz w:val="20"/>
              </w:rPr>
              <w:t xml:space="preserve">занятых</w:t>
            </w:r>
          </w:p>
        </w:tc>
        <w:tc>
          <w:tcPr>
            <w:tcW w:w="1009" w:type="dxa"/>
          </w:tcPr>
          <w:p>
            <w:pPr>
              <w:pStyle w:val="0"/>
              <w:jc w:val="center"/>
            </w:pPr>
            <w:r>
              <w:rPr>
                <w:sz w:val="20"/>
              </w:rPr>
              <w:t xml:space="preserve">штатных</w:t>
            </w:r>
          </w:p>
        </w:tc>
        <w:tc>
          <w:tcPr>
            <w:tcW w:w="934" w:type="dxa"/>
          </w:tcPr>
          <w:p>
            <w:pPr>
              <w:pStyle w:val="0"/>
              <w:jc w:val="center"/>
            </w:pPr>
            <w:r>
              <w:rPr>
                <w:sz w:val="20"/>
              </w:rPr>
              <w:t xml:space="preserve">занятых</w:t>
            </w:r>
          </w:p>
        </w:tc>
        <w:tc>
          <w:tcPr>
            <w:tcW w:w="1324" w:type="dxa"/>
          </w:tcPr>
          <w:p>
            <w:pPr>
              <w:pStyle w:val="0"/>
              <w:jc w:val="center"/>
            </w:pPr>
            <w:r>
              <w:rPr>
                <w:sz w:val="20"/>
              </w:rPr>
            </w:r>
          </w:p>
        </w:tc>
        <w:tc>
          <w:tcPr>
            <w:tcW w:w="1804" w:type="dxa"/>
          </w:tcPr>
          <w:p>
            <w:pPr>
              <w:pStyle w:val="0"/>
              <w:jc w:val="center"/>
            </w:pPr>
            <w:r>
              <w:rPr>
                <w:sz w:val="20"/>
              </w:rPr>
            </w:r>
          </w:p>
        </w:tc>
        <w:tc>
          <w:tcPr>
            <w:tcW w:w="1804" w:type="dxa"/>
          </w:tcPr>
          <w:p>
            <w:pPr>
              <w:pStyle w:val="0"/>
              <w:jc w:val="center"/>
            </w:pPr>
            <w:r>
              <w:rPr>
                <w:sz w:val="20"/>
              </w:rPr>
            </w:r>
          </w:p>
        </w:tc>
      </w:tr>
      <w:tr>
        <w:tc>
          <w:tcPr>
            <w:tcW w:w="2734" w:type="dxa"/>
          </w:tcPr>
          <w:p>
            <w:pPr>
              <w:pStyle w:val="0"/>
            </w:pPr>
            <w:r>
              <w:rPr>
                <w:sz w:val="20"/>
              </w:rPr>
              <w:t xml:space="preserve">Врачи по рентгенэндоваскулярным диагностике и лечению</w:t>
            </w:r>
          </w:p>
        </w:tc>
        <w:tc>
          <w:tcPr>
            <w:tcW w:w="1009" w:type="dxa"/>
          </w:tcPr>
          <w:p>
            <w:pPr>
              <w:pStyle w:val="0"/>
            </w:pPr>
            <w:r>
              <w:rPr>
                <w:sz w:val="20"/>
              </w:rPr>
              <w:t xml:space="preserve">41,50</w:t>
            </w:r>
          </w:p>
        </w:tc>
        <w:tc>
          <w:tcPr>
            <w:tcW w:w="934" w:type="dxa"/>
          </w:tcPr>
          <w:p>
            <w:pPr>
              <w:pStyle w:val="0"/>
            </w:pPr>
            <w:r>
              <w:rPr>
                <w:sz w:val="20"/>
              </w:rPr>
              <w:t xml:space="preserve">40,0</w:t>
            </w:r>
          </w:p>
        </w:tc>
        <w:tc>
          <w:tcPr>
            <w:tcW w:w="1009" w:type="dxa"/>
          </w:tcPr>
          <w:p>
            <w:pPr>
              <w:pStyle w:val="0"/>
            </w:pPr>
            <w:r>
              <w:rPr>
                <w:sz w:val="20"/>
              </w:rPr>
              <w:t xml:space="preserve">0,00</w:t>
            </w:r>
          </w:p>
        </w:tc>
        <w:tc>
          <w:tcPr>
            <w:tcW w:w="934" w:type="dxa"/>
          </w:tcPr>
          <w:p>
            <w:pPr>
              <w:pStyle w:val="0"/>
            </w:pPr>
            <w:r>
              <w:rPr>
                <w:sz w:val="20"/>
              </w:rPr>
              <w:t xml:space="preserve">0,00</w:t>
            </w:r>
          </w:p>
        </w:tc>
        <w:tc>
          <w:tcPr>
            <w:tcW w:w="1009" w:type="dxa"/>
          </w:tcPr>
          <w:p>
            <w:pPr>
              <w:pStyle w:val="0"/>
            </w:pPr>
            <w:r>
              <w:rPr>
                <w:sz w:val="20"/>
              </w:rPr>
              <w:t xml:space="preserve">41,50</w:t>
            </w:r>
          </w:p>
        </w:tc>
        <w:tc>
          <w:tcPr>
            <w:tcW w:w="934" w:type="dxa"/>
          </w:tcPr>
          <w:p>
            <w:pPr>
              <w:pStyle w:val="0"/>
            </w:pPr>
            <w:r>
              <w:rPr>
                <w:sz w:val="20"/>
              </w:rPr>
              <w:t xml:space="preserve">40,0</w:t>
            </w:r>
          </w:p>
        </w:tc>
        <w:tc>
          <w:tcPr>
            <w:tcW w:w="1324" w:type="dxa"/>
          </w:tcPr>
          <w:p>
            <w:pPr>
              <w:pStyle w:val="0"/>
            </w:pPr>
            <w:r>
              <w:rPr>
                <w:sz w:val="20"/>
              </w:rPr>
              <w:t xml:space="preserve">29</w:t>
            </w:r>
          </w:p>
        </w:tc>
        <w:tc>
          <w:tcPr>
            <w:tcW w:w="1804" w:type="dxa"/>
          </w:tcPr>
          <w:p>
            <w:pPr>
              <w:pStyle w:val="0"/>
            </w:pPr>
            <w:r>
              <w:rPr>
                <w:sz w:val="20"/>
              </w:rPr>
              <w:t xml:space="preserve">0</w:t>
            </w:r>
          </w:p>
        </w:tc>
        <w:tc>
          <w:tcPr>
            <w:tcW w:w="1804" w:type="dxa"/>
          </w:tcPr>
          <w:p>
            <w:pPr>
              <w:pStyle w:val="0"/>
            </w:pPr>
            <w:r>
              <w:rPr>
                <w:sz w:val="20"/>
              </w:rPr>
              <w:t xml:space="preserve">29</w:t>
            </w:r>
          </w:p>
        </w:tc>
      </w:tr>
      <w:tr>
        <w:tc>
          <w:tcPr>
            <w:tcW w:w="2734" w:type="dxa"/>
          </w:tcPr>
          <w:p>
            <w:pPr>
              <w:pStyle w:val="0"/>
            </w:pPr>
            <w:r>
              <w:rPr>
                <w:sz w:val="20"/>
              </w:rPr>
              <w:t xml:space="preserve">Сердечно-сосудистые хирурги</w:t>
            </w:r>
          </w:p>
        </w:tc>
        <w:tc>
          <w:tcPr>
            <w:tcW w:w="1009" w:type="dxa"/>
          </w:tcPr>
          <w:p>
            <w:pPr>
              <w:pStyle w:val="0"/>
            </w:pPr>
            <w:r>
              <w:rPr>
                <w:sz w:val="20"/>
              </w:rPr>
              <w:t xml:space="preserve">69,5</w:t>
            </w:r>
          </w:p>
        </w:tc>
        <w:tc>
          <w:tcPr>
            <w:tcW w:w="934" w:type="dxa"/>
          </w:tcPr>
          <w:p>
            <w:pPr>
              <w:pStyle w:val="0"/>
            </w:pPr>
            <w:r>
              <w:rPr>
                <w:sz w:val="20"/>
              </w:rPr>
              <w:t xml:space="preserve">61,75</w:t>
            </w:r>
          </w:p>
        </w:tc>
        <w:tc>
          <w:tcPr>
            <w:tcW w:w="1009" w:type="dxa"/>
          </w:tcPr>
          <w:p>
            <w:pPr>
              <w:pStyle w:val="0"/>
            </w:pPr>
            <w:r>
              <w:rPr>
                <w:sz w:val="20"/>
              </w:rPr>
              <w:t xml:space="preserve">14,50</w:t>
            </w:r>
          </w:p>
        </w:tc>
        <w:tc>
          <w:tcPr>
            <w:tcW w:w="934" w:type="dxa"/>
          </w:tcPr>
          <w:p>
            <w:pPr>
              <w:pStyle w:val="0"/>
            </w:pPr>
            <w:r>
              <w:rPr>
                <w:sz w:val="20"/>
              </w:rPr>
              <w:t xml:space="preserve">11,50</w:t>
            </w:r>
          </w:p>
        </w:tc>
        <w:tc>
          <w:tcPr>
            <w:tcW w:w="1009" w:type="dxa"/>
          </w:tcPr>
          <w:p>
            <w:pPr>
              <w:pStyle w:val="0"/>
            </w:pPr>
            <w:r>
              <w:rPr>
                <w:sz w:val="20"/>
              </w:rPr>
              <w:t xml:space="preserve">53,50</w:t>
            </w:r>
          </w:p>
        </w:tc>
        <w:tc>
          <w:tcPr>
            <w:tcW w:w="934" w:type="dxa"/>
          </w:tcPr>
          <w:p>
            <w:pPr>
              <w:pStyle w:val="0"/>
            </w:pPr>
            <w:r>
              <w:rPr>
                <w:sz w:val="20"/>
              </w:rPr>
              <w:t xml:space="preserve">49,50</w:t>
            </w:r>
          </w:p>
        </w:tc>
        <w:tc>
          <w:tcPr>
            <w:tcW w:w="1324" w:type="dxa"/>
          </w:tcPr>
          <w:p>
            <w:pPr>
              <w:pStyle w:val="0"/>
            </w:pPr>
            <w:r>
              <w:rPr>
                <w:sz w:val="20"/>
              </w:rPr>
              <w:t xml:space="preserve">42</w:t>
            </w:r>
          </w:p>
        </w:tc>
        <w:tc>
          <w:tcPr>
            <w:tcW w:w="1804" w:type="dxa"/>
          </w:tcPr>
          <w:p>
            <w:pPr>
              <w:pStyle w:val="0"/>
            </w:pPr>
            <w:r>
              <w:rPr>
                <w:sz w:val="20"/>
              </w:rPr>
              <w:t xml:space="preserve">6</w:t>
            </w:r>
          </w:p>
        </w:tc>
        <w:tc>
          <w:tcPr>
            <w:tcW w:w="1804" w:type="dxa"/>
          </w:tcPr>
          <w:p>
            <w:pPr>
              <w:pStyle w:val="0"/>
            </w:pPr>
            <w:r>
              <w:rPr>
                <w:sz w:val="20"/>
              </w:rPr>
              <w:t xml:space="preserve">36</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Мероприятия, направленные на ликвидацию кадрового дефицита в медицинских организациях, оказывающих медицинскую помощь больным ССЗ, обеспечиваются в 2021 - 2024 году в соответствии с региональным проектом "Обеспечение медицинских организаций системы здравоохранения квалифицированными кадрами (Ханты-Мансийский автономный округ - Югра)".</w:t>
      </w:r>
    </w:p>
    <w:p>
      <w:pPr>
        <w:pStyle w:val="0"/>
        <w:spacing w:before="200" w:line-rule="auto"/>
        <w:ind w:firstLine="540"/>
        <w:jc w:val="both"/>
      </w:pPr>
      <w:r>
        <w:rPr>
          <w:sz w:val="20"/>
        </w:rPr>
        <w:t xml:space="preserve">Ежегодно в срок до 30 марта Депздрав Югры с целью достижения укомплектованности медицинских организаций и достижения результата обеспечивает расчет, согласование с Минздравом России и утверждение потребности в медицинских кадрах, в том числе оказывающих медицинскую помощь больным ССЗ.</w:t>
      </w:r>
    </w:p>
    <w:p>
      <w:pPr>
        <w:pStyle w:val="0"/>
        <w:ind w:firstLine="540"/>
        <w:jc w:val="both"/>
      </w:pPr>
      <w:r>
        <w:rPr>
          <w:sz w:val="20"/>
        </w:rPr>
      </w:r>
    </w:p>
    <w:p>
      <w:pPr>
        <w:pStyle w:val="2"/>
        <w:outlineLvl w:val="3"/>
        <w:jc w:val="center"/>
      </w:pPr>
      <w:r>
        <w:rPr>
          <w:sz w:val="20"/>
        </w:rPr>
        <w:t xml:space="preserve">Меры социальной поддержки медицинским работникам</w:t>
      </w:r>
    </w:p>
    <w:p>
      <w:pPr>
        <w:pStyle w:val="0"/>
        <w:jc w:val="center"/>
      </w:pPr>
      <w:r>
        <w:rPr>
          <w:sz w:val="20"/>
        </w:rPr>
      </w:r>
    </w:p>
    <w:p>
      <w:pPr>
        <w:pStyle w:val="0"/>
        <w:ind w:firstLine="540"/>
        <w:jc w:val="both"/>
      </w:pPr>
      <w:r>
        <w:rPr>
          <w:sz w:val="20"/>
        </w:rPr>
        <w:t xml:space="preserve">В Ханты-Мансийском автономном округе - Югре предусмотрены следующие меры социальной поддержки медицинских работников:</w:t>
      </w:r>
    </w:p>
    <w:p>
      <w:pPr>
        <w:pStyle w:val="0"/>
        <w:spacing w:before="200" w:line-rule="auto"/>
        <w:ind w:firstLine="540"/>
        <w:jc w:val="both"/>
      </w:pPr>
      <w:r>
        <w:rPr>
          <w:sz w:val="20"/>
        </w:rPr>
        <w:t xml:space="preserve">оплата стоимости переезда работника и членов его семьи в автономный округ в пределах территории Российской Федерации;</w:t>
      </w:r>
    </w:p>
    <w:p>
      <w:pPr>
        <w:pStyle w:val="0"/>
        <w:spacing w:before="200" w:line-rule="auto"/>
        <w:ind w:firstLine="540"/>
        <w:jc w:val="both"/>
      </w:pPr>
      <w:r>
        <w:rPr>
          <w:sz w:val="20"/>
        </w:rPr>
        <w:t xml:space="preserve">единовременное пособие в размере 2 должностных окладов и единовременное пособие на каждого прибывающего с ним члена его семьи в размере половины должностного оклада работника;</w:t>
      </w:r>
    </w:p>
    <w:p>
      <w:pPr>
        <w:pStyle w:val="0"/>
        <w:spacing w:before="200" w:line-rule="auto"/>
        <w:ind w:firstLine="540"/>
        <w:jc w:val="both"/>
      </w:pPr>
      <w:r>
        <w:rPr>
          <w:sz w:val="20"/>
        </w:rPr>
        <w:t xml:space="preserve">единовременная выплата на хозяйственное обустройство в размере 100 000 рублей молодым специалистам, принятым на работу в медицинские организации сельских населенных пунктов;</w:t>
      </w:r>
    </w:p>
    <w:p>
      <w:pPr>
        <w:pStyle w:val="0"/>
        <w:spacing w:before="200" w:line-rule="auto"/>
        <w:ind w:firstLine="540"/>
        <w:jc w:val="both"/>
      </w:pPr>
      <w:r>
        <w:rPr>
          <w:sz w:val="20"/>
        </w:rPr>
        <w:t xml:space="preserve">оплачиваемый отпуск продолжительностью 7 календарных дней для обустройства на новом месте;</w:t>
      </w:r>
    </w:p>
    <w:p>
      <w:pPr>
        <w:pStyle w:val="0"/>
        <w:spacing w:before="200" w:line-rule="auto"/>
        <w:ind w:firstLine="540"/>
        <w:jc w:val="both"/>
      </w:pPr>
      <w:r>
        <w:rPr>
          <w:sz w:val="20"/>
        </w:rPr>
        <w:t xml:space="preserve">процентная надбавка к заработной плате за работу в районах Крайнего Севера и приравненных к ним местностях до 50%;</w:t>
      </w:r>
    </w:p>
    <w:p>
      <w:pPr>
        <w:pStyle w:val="0"/>
        <w:spacing w:before="200" w:line-rule="auto"/>
        <w:ind w:firstLine="540"/>
        <w:jc w:val="both"/>
      </w:pPr>
      <w:r>
        <w:rPr>
          <w:sz w:val="20"/>
        </w:rPr>
        <w:t xml:space="preserve">компенсация расходов на оплату жилого помещения и коммунальных услуг в объеме 100% для медицинских работников, работающих в сельской местности;</w:t>
      </w:r>
    </w:p>
    <w:p>
      <w:pPr>
        <w:pStyle w:val="0"/>
        <w:spacing w:before="200" w:line-rule="auto"/>
        <w:ind w:firstLine="540"/>
        <w:jc w:val="both"/>
      </w:pPr>
      <w:r>
        <w:rPr>
          <w:sz w:val="20"/>
        </w:rPr>
        <w:t xml:space="preserve">предоставление служебных жилых помещений;</w:t>
      </w:r>
    </w:p>
    <w:p>
      <w:pPr>
        <w:pStyle w:val="0"/>
        <w:spacing w:before="200" w:line-rule="auto"/>
        <w:ind w:firstLine="540"/>
        <w:jc w:val="both"/>
      </w:pPr>
      <w:r>
        <w:rPr>
          <w:sz w:val="20"/>
        </w:rPr>
        <w:t xml:space="preserve">компенсация расходов по найму жилого помещения (срок предоставления компенсации - до 4 лет);</w:t>
      </w:r>
    </w:p>
    <w:p>
      <w:pPr>
        <w:pStyle w:val="0"/>
        <w:spacing w:before="200" w:line-rule="auto"/>
        <w:ind w:firstLine="540"/>
        <w:jc w:val="both"/>
      </w:pPr>
      <w:r>
        <w:rPr>
          <w:sz w:val="20"/>
        </w:rPr>
        <w:t xml:space="preserve">предоставление единовременной компенсационной выплаты медицинским работникам, имеющим высшее образование, прошедшим конкурсный отбор и прибывшим в города автономного округа с численностью населения свыше 50 тысяч человек из других субъектов Российской Федерации на работу по одной из востребованных должностей и заключившим договор о предоставлении единовременной компенсационной выплаты в размере 1 млн. рублей;</w:t>
      </w:r>
    </w:p>
    <w:p>
      <w:pPr>
        <w:pStyle w:val="0"/>
        <w:spacing w:before="200" w:line-rule="auto"/>
        <w:ind w:firstLine="540"/>
        <w:jc w:val="both"/>
      </w:pPr>
      <w:r>
        <w:rPr>
          <w:sz w:val="20"/>
        </w:rPr>
        <w:t xml:space="preserve">предоставление единовременных компенсационных выплат по программе "Земский доктор", "Земский фельдшер";</w:t>
      </w:r>
    </w:p>
    <w:p>
      <w:pPr>
        <w:pStyle w:val="0"/>
        <w:spacing w:before="200" w:line-rule="auto"/>
        <w:ind w:firstLine="540"/>
        <w:jc w:val="both"/>
      </w:pPr>
      <w:r>
        <w:rPr>
          <w:sz w:val="20"/>
        </w:rPr>
        <w:t xml:space="preserve">молодым специалистам не старше 35 лет на дату трудоустройства, в течение первых 3 лет непрерывной работы в медицинских организациях, находящихся в сельских населенных пунктах автономного округа, осуществляются денежные выплаты:</w:t>
      </w:r>
    </w:p>
    <w:p>
      <w:pPr>
        <w:pStyle w:val="0"/>
        <w:spacing w:before="200" w:line-rule="auto"/>
        <w:ind w:firstLine="540"/>
        <w:jc w:val="both"/>
      </w:pPr>
      <w:r>
        <w:rPr>
          <w:sz w:val="20"/>
        </w:rPr>
        <w:t xml:space="preserve">врачам (провизорам) в размере 3 000 рублей в месяц;</w:t>
      </w:r>
    </w:p>
    <w:p>
      <w:pPr>
        <w:pStyle w:val="0"/>
        <w:spacing w:before="200" w:line-rule="auto"/>
        <w:ind w:firstLine="540"/>
        <w:jc w:val="both"/>
      </w:pPr>
      <w:r>
        <w:rPr>
          <w:sz w:val="20"/>
        </w:rPr>
        <w:t xml:space="preserve">молодым специалистам из числа среднего медицинского (фармацевтического) персонала в размере 2 500 рублей в месяц.</w:t>
      </w:r>
    </w:p>
    <w:p>
      <w:pPr>
        <w:pStyle w:val="0"/>
        <w:spacing w:before="200" w:line-rule="auto"/>
        <w:ind w:firstLine="540"/>
        <w:jc w:val="both"/>
      </w:pPr>
      <w:r>
        <w:rPr>
          <w:sz w:val="20"/>
        </w:rPr>
        <w:t xml:space="preserve">С целью повышения престижа медицинских профессий в 2021 году награждены единовременным денежным поощрением победители окружных этапов Всероссийского конкурса врачей, Всероссийского конкурса "Лучший специалист со средним медицинским и фармацевтическим образованием" в размере 100 тыс. рублей 23 врача и 8 специалистов со средним медицинским образованием.</w:t>
      </w:r>
    </w:p>
    <w:p>
      <w:pPr>
        <w:pStyle w:val="0"/>
        <w:spacing w:before="200" w:line-rule="auto"/>
        <w:ind w:firstLine="540"/>
        <w:jc w:val="both"/>
      </w:pPr>
      <w:r>
        <w:rPr>
          <w:sz w:val="20"/>
        </w:rPr>
        <w:t xml:space="preserve">Организованы и действуют институты наставничества в медорганизациях для повышения мотивации молодых специалистов к профессиональному росту.</w:t>
      </w:r>
    </w:p>
    <w:p>
      <w:pPr>
        <w:pStyle w:val="0"/>
        <w:spacing w:before="200" w:line-rule="auto"/>
        <w:ind w:firstLine="540"/>
        <w:jc w:val="both"/>
      </w:pPr>
      <w:r>
        <w:rPr>
          <w:sz w:val="20"/>
        </w:rPr>
        <w:t xml:space="preserve">В 2022 году единовременные компенсационные выплаты из средств федерального бюджета и бюджета Ханты-Мансийского автономного округа - Югры по федеральным программам "Земский доктор" и "Земский фельдшер" предоставлены 90 медицинским работникам на сумму 134,5 млн. рублей (исполнение 100%), из них:</w:t>
      </w:r>
    </w:p>
    <w:p>
      <w:pPr>
        <w:pStyle w:val="0"/>
        <w:spacing w:before="200" w:line-rule="auto"/>
        <w:ind w:firstLine="540"/>
        <w:jc w:val="both"/>
      </w:pPr>
      <w:r>
        <w:rPr>
          <w:sz w:val="20"/>
        </w:rPr>
        <w:t xml:space="preserve">46 врачам (в размере 2 млн руб.) и 8 фельдшерам (в размере 1 млн руб.);</w:t>
      </w:r>
    </w:p>
    <w:p>
      <w:pPr>
        <w:pStyle w:val="0"/>
        <w:spacing w:before="200" w:line-rule="auto"/>
        <w:ind w:firstLine="540"/>
        <w:jc w:val="both"/>
      </w:pPr>
      <w:r>
        <w:rPr>
          <w:sz w:val="20"/>
        </w:rPr>
        <w:t xml:space="preserve">33 врачам (в размере 1 млн руб.) и 3 фельдшерам (в размере 0,5 млн руб.).</w:t>
      </w:r>
    </w:p>
    <w:p>
      <w:pPr>
        <w:pStyle w:val="0"/>
        <w:spacing w:before="200" w:line-rule="auto"/>
        <w:ind w:firstLine="540"/>
        <w:jc w:val="both"/>
      </w:pPr>
      <w:r>
        <w:rPr>
          <w:sz w:val="20"/>
        </w:rPr>
        <w:t xml:space="preserve">В 2022 году единовременные компенсационные выплаты из средств бюджета Ханты-Мансийского автономного округа - Югры при реализации окружной программы "Земский доктор" предоставлены 56 медицинским работникам (врачам) на сумму 56 млн рублей (исполнение 100%).</w:t>
      </w:r>
    </w:p>
    <w:p>
      <w:pPr>
        <w:pStyle w:val="0"/>
        <w:ind w:firstLine="540"/>
        <w:jc w:val="both"/>
      </w:pPr>
      <w:r>
        <w:rPr>
          <w:sz w:val="20"/>
        </w:rPr>
      </w:r>
    </w:p>
    <w:p>
      <w:pPr>
        <w:pStyle w:val="2"/>
        <w:outlineLvl w:val="3"/>
        <w:jc w:val="center"/>
      </w:pPr>
      <w:r>
        <w:rPr>
          <w:sz w:val="20"/>
        </w:rPr>
        <w:t xml:space="preserve">Подготовка (обучение) медицинских кадров</w:t>
      </w:r>
    </w:p>
    <w:p>
      <w:pPr>
        <w:pStyle w:val="0"/>
        <w:jc w:val="center"/>
      </w:pPr>
      <w:r>
        <w:rPr>
          <w:sz w:val="20"/>
        </w:rPr>
      </w:r>
    </w:p>
    <w:p>
      <w:pPr>
        <w:pStyle w:val="0"/>
        <w:ind w:firstLine="540"/>
        <w:jc w:val="both"/>
      </w:pPr>
      <w:r>
        <w:rPr>
          <w:sz w:val="20"/>
        </w:rPr>
        <w:t xml:space="preserve">Наибольший объем по подготовке врачебных кадров, в том числе оказывающих медицинскую помощь больным ССЗ, отводится региональным вузам, финансирование которых обеспечивается за счет средств регионального бюджета:</w:t>
      </w:r>
    </w:p>
    <w:p>
      <w:pPr>
        <w:pStyle w:val="0"/>
        <w:spacing w:before="200" w:line-rule="auto"/>
        <w:ind w:firstLine="540"/>
        <w:jc w:val="both"/>
      </w:pPr>
      <w:r>
        <w:rPr>
          <w:sz w:val="20"/>
        </w:rPr>
        <w:t xml:space="preserve">БУ ВО "Ханты-Мансийская государственная медицинская академия",</w:t>
      </w:r>
    </w:p>
    <w:p>
      <w:pPr>
        <w:pStyle w:val="0"/>
        <w:spacing w:before="200" w:line-rule="auto"/>
        <w:ind w:firstLine="540"/>
        <w:jc w:val="both"/>
      </w:pPr>
      <w:r>
        <w:rPr>
          <w:sz w:val="20"/>
        </w:rPr>
        <w:t xml:space="preserve">БУ ВО "Сургутский государственный университет. Медицинский институт".</w:t>
      </w:r>
    </w:p>
    <w:p>
      <w:pPr>
        <w:pStyle w:val="0"/>
        <w:spacing w:before="200" w:line-rule="auto"/>
        <w:ind w:firstLine="540"/>
        <w:jc w:val="both"/>
      </w:pPr>
      <w:r>
        <w:rPr>
          <w:sz w:val="20"/>
        </w:rPr>
        <w:t xml:space="preserve">Подготовка специалистов ведется по программам высшего образования по 2 направлениям специалитета: "Лечебное дело" и "Педиатрия", 40 направлениям аспирантуры и ординатуры.</w:t>
      </w:r>
    </w:p>
    <w:p>
      <w:pPr>
        <w:pStyle w:val="0"/>
        <w:spacing w:before="200" w:line-rule="auto"/>
        <w:ind w:firstLine="540"/>
        <w:jc w:val="both"/>
      </w:pPr>
      <w:r>
        <w:rPr>
          <w:sz w:val="20"/>
        </w:rPr>
        <w:t xml:space="preserve">Ежегодно с учетом потребности экономики автономного округа в квалифицированных медицинских кадрах устанавливаются объемы контрольных цифр приема и целевой подготовки за счет бюджетных ассигнований автономного округа.</w:t>
      </w:r>
    </w:p>
    <w:p>
      <w:pPr>
        <w:pStyle w:val="0"/>
        <w:spacing w:before="200" w:line-rule="auto"/>
        <w:ind w:firstLine="540"/>
        <w:jc w:val="both"/>
      </w:pPr>
      <w:r>
        <w:rPr>
          <w:sz w:val="20"/>
        </w:rPr>
        <w:t xml:space="preserve">Фактическое количество целевых мест по программам специалитета - 230 мест, по программам ординатуры - 190 мест.</w:t>
      </w:r>
    </w:p>
    <w:p>
      <w:pPr>
        <w:pStyle w:val="0"/>
        <w:spacing w:before="200" w:line-rule="auto"/>
        <w:ind w:firstLine="540"/>
        <w:jc w:val="both"/>
      </w:pPr>
      <w:r>
        <w:rPr>
          <w:sz w:val="20"/>
        </w:rPr>
        <w:t xml:space="preserve">Дополнительно подготовка врачебных кадров по целевой квоте осуществляется в образовательных учреждениях высшего образования федерального подчинения.</w:t>
      </w:r>
    </w:p>
    <w:p>
      <w:pPr>
        <w:pStyle w:val="0"/>
        <w:spacing w:before="200" w:line-rule="auto"/>
        <w:ind w:firstLine="540"/>
        <w:jc w:val="both"/>
      </w:pPr>
      <w:r>
        <w:rPr>
          <w:sz w:val="20"/>
        </w:rPr>
        <w:t xml:space="preserve">Во всех медицинских организациях, подведомственных Депздраву Югры, организовано внедрение непрерывного медицинского образования медицинскими работниками, в том числе оказывающими медицинскую помощь больным ССЗ, обеспечивается освоение интерактивных образовательных модулей на портале НМО (</w:t>
      </w:r>
      <w:r>
        <w:rPr>
          <w:sz w:val="20"/>
        </w:rPr>
        <w:t xml:space="preserve">edu.rosminzdrav.ru</w:t>
      </w:r>
      <w:r>
        <w:rPr>
          <w:sz w:val="20"/>
        </w:rPr>
        <w:t xml:space="preserve">).</w:t>
      </w:r>
    </w:p>
    <w:p>
      <w:pPr>
        <w:pStyle w:val="0"/>
        <w:ind w:firstLine="540"/>
        <w:jc w:val="both"/>
      </w:pPr>
      <w:r>
        <w:rPr>
          <w:sz w:val="20"/>
        </w:rPr>
      </w:r>
    </w:p>
    <w:p>
      <w:pPr>
        <w:pStyle w:val="2"/>
        <w:outlineLvl w:val="3"/>
        <w:jc w:val="center"/>
      </w:pPr>
      <w:r>
        <w:rPr>
          <w:sz w:val="20"/>
        </w:rPr>
        <w:t xml:space="preserve">Меры, направленные на ликвидацию кадрового дефицита</w:t>
      </w:r>
    </w:p>
    <w:p>
      <w:pPr>
        <w:pStyle w:val="0"/>
        <w:jc w:val="center"/>
      </w:pPr>
      <w:r>
        <w:rPr>
          <w:sz w:val="20"/>
        </w:rPr>
      </w:r>
    </w:p>
    <w:p>
      <w:pPr>
        <w:pStyle w:val="0"/>
        <w:ind w:firstLine="540"/>
        <w:jc w:val="both"/>
      </w:pPr>
      <w:r>
        <w:rPr>
          <w:sz w:val="20"/>
        </w:rPr>
        <w:t xml:space="preserve">Депздравом Югры совместно с Департаментом образования и молодежной политики Ханты-Мансийского автономного округа - Югры в 2019 году разработан и утвержден План мероприятий ("дорожная карта") по ликвидации кадрового дефицита и устранению кадровых дисбалансов в сфере здравоохранения на 2019 - 2022 годы, реализованы на постоянной основе мониторинги кадрового обеспечения.</w:t>
      </w:r>
    </w:p>
    <w:p>
      <w:pPr>
        <w:pStyle w:val="0"/>
        <w:spacing w:before="200" w:line-rule="auto"/>
        <w:ind w:firstLine="540"/>
        <w:jc w:val="both"/>
      </w:pPr>
      <w:r>
        <w:rPr>
          <w:sz w:val="20"/>
        </w:rPr>
        <w:t xml:space="preserve">На сайте Депздрава обеспечено размещение и ежеквартальная актуализация базы вакансий медицинских работников.</w:t>
      </w:r>
    </w:p>
    <w:p>
      <w:pPr>
        <w:pStyle w:val="0"/>
        <w:spacing w:before="200" w:line-rule="auto"/>
        <w:ind w:firstLine="540"/>
        <w:jc w:val="both"/>
      </w:pPr>
      <w:r>
        <w:rPr>
          <w:sz w:val="20"/>
        </w:rPr>
        <w:t xml:space="preserve">Согласно приказу Депздрава Югры от 7 февраля 2022 года N 210 "Об утверждении потребности во врачах и средних медицинских работниках в медицинских организациях, подведомственных Департаменту здравоохранения Ханты-Мансийского автономного округа - Югры, на 2022 год" рассчитана и утверждена потребность во врачах и средних медицинских работниках в медицинских организациях, участвующих в реализации федерального проекта "Борьба с сердечно-сосудистыми заболеваниями", на 2022 год (врач функциональной диагностики - 1, врач - анестезиолог-реаниматолог - 1, врач-кардиолог - 3, врач-клинический фармаколог - 1, врач-терапевт участковый - 8).</w:t>
      </w:r>
    </w:p>
    <w:p>
      <w:pPr>
        <w:pStyle w:val="0"/>
        <w:spacing w:before="200" w:line-rule="auto"/>
        <w:ind w:firstLine="540"/>
        <w:jc w:val="both"/>
      </w:pPr>
      <w:r>
        <w:rPr>
          <w:sz w:val="20"/>
        </w:rPr>
        <w:t xml:space="preserve">В медицинских организациях, подведомственных Депздраву Югры, в 2022 году обеспечена разработка (актуализация) и утверждение планов мероприятий (дорожной карты) в части укомплектования медицинских организаций квалифицированными кадрами на 2022 год, в том числе участвующих в реализации федерального проекта "Борьба с сердечно-сосудистыми заболеваниями".</w:t>
      </w:r>
    </w:p>
    <w:p>
      <w:pPr>
        <w:pStyle w:val="0"/>
        <w:ind w:firstLine="540"/>
        <w:jc w:val="both"/>
      </w:pPr>
      <w:r>
        <w:rPr>
          <w:sz w:val="20"/>
        </w:rPr>
      </w:r>
    </w:p>
    <w:p>
      <w:pPr>
        <w:pStyle w:val="2"/>
        <w:outlineLvl w:val="2"/>
        <w:ind w:firstLine="540"/>
        <w:jc w:val="both"/>
      </w:pPr>
      <w:r>
        <w:rPr>
          <w:sz w:val="20"/>
        </w:rPr>
        <w:t xml:space="preserve">1.7. Льготное лекарственное обеспечение лиц с высоким риском сердечно-сосудистых осложнений</w:t>
      </w:r>
    </w:p>
    <w:p>
      <w:pPr>
        <w:pStyle w:val="0"/>
        <w:jc w:val="center"/>
      </w:pPr>
      <w:r>
        <w:rPr>
          <w:sz w:val="20"/>
        </w:rPr>
      </w:r>
    </w:p>
    <w:p>
      <w:pPr>
        <w:pStyle w:val="0"/>
        <w:ind w:firstLine="540"/>
        <w:jc w:val="both"/>
      </w:pPr>
      <w:r>
        <w:rPr>
          <w:sz w:val="20"/>
        </w:rPr>
        <w:t xml:space="preserve">В реализации программ льготного лекарственного обеспечения участвует 56 медицинских организаций, в их числе 61 структурное подразделение (городские больницы, участковые больницы, поликлиники, амбулатории), выписку рецептов осуществляют 2 340 врачей и 95 фельдшеров, медикаменты отпускаются в 83 аптечных пунктах.</w:t>
      </w:r>
    </w:p>
    <w:p>
      <w:pPr>
        <w:pStyle w:val="0"/>
        <w:jc w:val="center"/>
      </w:pPr>
      <w:r>
        <w:rPr>
          <w:sz w:val="20"/>
        </w:rPr>
      </w:r>
    </w:p>
    <w:p>
      <w:pPr>
        <w:pStyle w:val="2"/>
        <w:outlineLvl w:val="3"/>
        <w:jc w:val="center"/>
      </w:pPr>
      <w:r>
        <w:rPr>
          <w:sz w:val="20"/>
        </w:rPr>
        <w:t xml:space="preserve">Программа ОНЛП</w:t>
      </w:r>
    </w:p>
    <w:p>
      <w:pPr>
        <w:pStyle w:val="0"/>
        <w:jc w:val="center"/>
      </w:pPr>
      <w:r>
        <w:rPr>
          <w:sz w:val="20"/>
        </w:rPr>
      </w:r>
    </w:p>
    <w:p>
      <w:pPr>
        <w:pStyle w:val="0"/>
        <w:ind w:firstLine="540"/>
        <w:jc w:val="both"/>
      </w:pPr>
      <w:r>
        <w:rPr>
          <w:sz w:val="20"/>
        </w:rPr>
        <w:t xml:space="preserve">На конец 2022 года в регистре граждан, имеющих право на получение государственной социальной помощи в виде набора социальных услуг и не отказавшихся от нее в части обеспечения необходимыми лекарственными препаратами, отпускаемыми по рецептам врачей (фельдшеров) (далее - Регистр ОНЛП), состояли 39 361 человек (в 2021 году - 37 375 человек), правом на лекарственное обеспечение из их числа воспользовались 20 418 человек, что составило 51,87% от числа зарегистрированных (в 2021 году - 20 836 человек, что составляло 55,75% от числа зарегистрированных).</w:t>
      </w:r>
    </w:p>
    <w:p>
      <w:pPr>
        <w:pStyle w:val="0"/>
        <w:spacing w:before="200" w:line-rule="auto"/>
        <w:ind w:firstLine="540"/>
        <w:jc w:val="both"/>
      </w:pPr>
      <w:r>
        <w:rPr>
          <w:sz w:val="20"/>
        </w:rPr>
        <w:t xml:space="preserve">На обеспечение отдельных категорий граждан по программе ОНЛП из федерального бюджета в 2022 году выделены средства в размере 551 288,0 тыс. рублей (в 2021 году - 514 227,0 тыс. рублей).</w:t>
      </w:r>
    </w:p>
    <w:p>
      <w:pPr>
        <w:pStyle w:val="0"/>
        <w:spacing w:before="200" w:line-rule="auto"/>
        <w:ind w:firstLine="540"/>
        <w:jc w:val="both"/>
      </w:pPr>
      <w:r>
        <w:rPr>
          <w:sz w:val="20"/>
        </w:rPr>
        <w:t xml:space="preserve">Выделенное финансирование составило только 33,28% в 2022 году (в 2021 году - 42,50%) от фактической потребности. В этой связи граждане из Регистра ОНЛП при наличии определенных заболеваний (сахарный диабет, бронхиальная астма, эпилепсия и т.д.) дополнительно обеспечиваются лекарственными препаратами за счет средств регионального бюджета. Так, в 2022 году на указанные нужды из бюджета автономного округа затрачено 1 105 489,96 тыс. рублей, обеспечены 14 735 человек (в 2021 - 742 960,95 тыс. рублей, обеспечены - 13 429 человек).</w:t>
      </w:r>
    </w:p>
    <w:p>
      <w:pPr>
        <w:pStyle w:val="0"/>
        <w:spacing w:before="200" w:line-rule="auto"/>
        <w:ind w:firstLine="540"/>
        <w:jc w:val="both"/>
      </w:pPr>
      <w:r>
        <w:rPr>
          <w:sz w:val="20"/>
        </w:rPr>
        <w:t xml:space="preserve">Средняя стоимость лечения 1 пациента в год за счет средств федерального бюджета составила 79 784,43 рубля (в 2021 году - 64 120,00 рублей), а средняя стоимость 1 рецепта - 3 047,04 рубля (в 2021 году - 2 598,90 рубля). На отсроченном обеспечении рецептов нет.</w:t>
      </w:r>
    </w:p>
    <w:p>
      <w:pPr>
        <w:pStyle w:val="0"/>
        <w:jc w:val="center"/>
      </w:pPr>
      <w:r>
        <w:rPr>
          <w:sz w:val="20"/>
        </w:rPr>
      </w:r>
    </w:p>
    <w:p>
      <w:pPr>
        <w:pStyle w:val="2"/>
        <w:outlineLvl w:val="3"/>
        <w:jc w:val="center"/>
      </w:pPr>
      <w:r>
        <w:rPr>
          <w:sz w:val="20"/>
        </w:rPr>
        <w:t xml:space="preserve">Программа РЛО</w:t>
      </w:r>
    </w:p>
    <w:p>
      <w:pPr>
        <w:pStyle w:val="0"/>
        <w:jc w:val="center"/>
      </w:pPr>
      <w:r>
        <w:rPr>
          <w:sz w:val="20"/>
        </w:rPr>
      </w:r>
    </w:p>
    <w:p>
      <w:pPr>
        <w:pStyle w:val="0"/>
        <w:ind w:firstLine="540"/>
        <w:jc w:val="both"/>
      </w:pPr>
      <w:r>
        <w:rPr>
          <w:sz w:val="20"/>
        </w:rPr>
        <w:t xml:space="preserve">Регистр граждан, проживающих в автономном округе, имеющих право на обеспечение лекарственными препаратами, изделиями медицинскими изделиями и специализированными продуктами лечебного питания, отпускаемыми по рецептам врачей бесплатно или с 50-процентной скидкой, за счет регионального бюджета ведут медицинские организации автономного округа, подведомственные Депздраву Югры (далее - Регистр РЛО).</w:t>
      </w:r>
    </w:p>
    <w:p>
      <w:pPr>
        <w:pStyle w:val="0"/>
        <w:spacing w:before="200" w:line-rule="auto"/>
        <w:ind w:firstLine="540"/>
        <w:jc w:val="both"/>
      </w:pPr>
      <w:r>
        <w:rPr>
          <w:sz w:val="20"/>
        </w:rPr>
        <w:t xml:space="preserve">На реализацию указанной программы в 2022 году из бюджета автономного округа направлены средства в размере 3 301 058,6 тыс. рублей (в 2021 году - 2 976 789,1 тыс. рублей).</w:t>
      </w:r>
    </w:p>
    <w:p>
      <w:pPr>
        <w:pStyle w:val="0"/>
        <w:spacing w:before="200" w:line-rule="auto"/>
        <w:ind w:firstLine="540"/>
        <w:jc w:val="both"/>
      </w:pPr>
      <w:r>
        <w:rPr>
          <w:sz w:val="20"/>
        </w:rPr>
        <w:t xml:space="preserve">В Регистре РЛО в 2022 году состояли 198 025 человек (в 2021 году - 179 901 человек), правом на лекарственное обеспечение воспользовались 152 091 человек, что составило 76,80% от числа граждан, включенных в Регистр РЛО (в 2021 году - 141 247 человек, что составило 78,50% от числа граждан, включенных в Регистр РЛО).</w:t>
      </w:r>
    </w:p>
    <w:p>
      <w:pPr>
        <w:pStyle w:val="0"/>
        <w:spacing w:before="200" w:line-rule="auto"/>
        <w:ind w:firstLine="540"/>
        <w:jc w:val="both"/>
      </w:pPr>
      <w:r>
        <w:rPr>
          <w:sz w:val="20"/>
        </w:rPr>
        <w:t xml:space="preserve">Средняя стоимость лечения 1 пациента в 2022 году составила 20 110,12 рублей (в 2021 году - 15 285,48 рубля), а средняя стоимость 1 рецепта 1 493,78 рубля (в 2021 году - 1 245,65 рубля). На отсроченном обеспечении рецептов нет.</w:t>
      </w:r>
    </w:p>
    <w:p>
      <w:pPr>
        <w:pStyle w:val="0"/>
        <w:spacing w:before="200" w:line-rule="auto"/>
        <w:ind w:firstLine="540"/>
        <w:jc w:val="both"/>
      </w:pPr>
      <w:r>
        <w:rPr>
          <w:sz w:val="20"/>
        </w:rPr>
        <w:t xml:space="preserve">В автономном округе в части модернизации системы лекарственного обеспечения граждан, расширен перечень категорий заболеваний и лекарственных препаратов, отпускаемых населению при амбулаторном лечении по рецептам врачей бесплатно, а также в соответствии с Перечнем групп населения, при амбулаторном лечении которых лекарственные средства отпускаются по рецептам врачей со скидкой, в соответствии с перечнем жизненно необходимых и важнейших лекарственных препаратов, утверждаемым Правительством Российской Федерации в соответствии с Федеральным </w:t>
      </w:r>
      <w:hyperlink w:history="0" r:id="rId150"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законом</w:t>
        </w:r>
      </w:hyperlink>
      <w:r>
        <w:rPr>
          <w:sz w:val="20"/>
        </w:rPr>
        <w:t xml:space="preserve"> от 12.04.2010 N 61-ФЗ "Об обращении лекарственных средств" (далее - Перечень групп населения). Так, дополнены новые категории заболеваний, отсутствующие в Перечне групп населения, которым предоставляются меры социальной поддержки в виде лекарственного обеспечения. С 2022 года обеспечиваются бесплатно за счет средств регионального бюджета лекарственными препаратами пациенты, страдающие хронической сердечной недостаточностью.</w:t>
      </w:r>
    </w:p>
    <w:p>
      <w:pPr>
        <w:pStyle w:val="0"/>
        <w:spacing w:before="200" w:line-rule="auto"/>
        <w:ind w:firstLine="540"/>
        <w:jc w:val="both"/>
      </w:pPr>
      <w:r>
        <w:rPr>
          <w:sz w:val="20"/>
        </w:rPr>
        <w:t xml:space="preserve">За счет средств регионального бюджета обеспечено в 2022 году больных сердечно-сосудистыми заболеваниями (категории 516, 552, 554, 540) 38 659 человек на сумму 99 093,64 тыс. руб.</w:t>
      </w:r>
    </w:p>
    <w:p>
      <w:pPr>
        <w:pStyle w:val="0"/>
        <w:jc w:val="center"/>
      </w:pPr>
      <w:r>
        <w:rPr>
          <w:sz w:val="20"/>
        </w:rPr>
      </w:r>
    </w:p>
    <w:p>
      <w:pPr>
        <w:pStyle w:val="2"/>
        <w:outlineLvl w:val="3"/>
        <w:jc w:val="center"/>
      </w:pPr>
      <w:r>
        <w:rPr>
          <w:sz w:val="20"/>
        </w:rPr>
        <w:t xml:space="preserve">Программа Кардиология</w:t>
      </w:r>
    </w:p>
    <w:p>
      <w:pPr>
        <w:pStyle w:val="0"/>
        <w:jc w:val="center"/>
      </w:pPr>
      <w:r>
        <w:rPr>
          <w:sz w:val="20"/>
        </w:rPr>
      </w:r>
    </w:p>
    <w:p>
      <w:pPr>
        <w:pStyle w:val="0"/>
        <w:ind w:firstLine="540"/>
        <w:jc w:val="both"/>
      </w:pPr>
      <w:r>
        <w:rPr>
          <w:sz w:val="20"/>
        </w:rPr>
        <w:t xml:space="preserve">Льготному лекарственному обеспечению подлежат лица, перенесшие ОНМК, ИМ, операции аортокоронарного шунтирования, ангиопластики коронарных артерий со стентированием и катетерной абляции, постоянно проживающие в автономном округе. Обеспечение лекарственными препаратами осуществляется бесплатно в соответствии с </w:t>
      </w:r>
      <w:hyperlink w:history="0" r:id="rId151" w:tooltip="Приказ Минздрава России от 29.09.2022 N 639н &quot;Об утверждении перечня лекарственных препаратов для медицинского применения в целях обеспечения в амбулаторных условиях лиц, находящихся под диспансерным наблюдением, которые перенесли острое нарушение мозгового кровообращения, инфаркт миокарда, а также которым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в течение 2 лет с даты постановки диагноза и (или {КонсультантПлюс}">
        <w:r>
          <w:rPr>
            <w:sz w:val="20"/>
            <w:color w:val="0000ff"/>
          </w:rPr>
          <w:t xml:space="preserve">перечнем</w:t>
        </w:r>
      </w:hyperlink>
      <w:r>
        <w:rPr>
          <w:sz w:val="20"/>
        </w:rPr>
        <w:t xml:space="preserve">, утвержденным приказом Минздрава России от 29 сентября 2022 года N 639н "Об утверждении перечня лекарственных препаратов для медицинского применения в целях обеспечения в амбулаторных условиях лиц, находящихся под диспансерным наблюдением,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в течение 2 лет с даты постановки диагноза и (или) выполнения хирургического вмешательства". Приказом Депздрава Югры от 21 января 2020 года N 58 создан единый региональный регистр пациентов с болезнями системы кровообращения, взятых под диспансерное наблюдение из числа лиц, перенесших острое нарушение мозгового кровообращения, ИМ,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Регистр создан МИАЦ на платформе региональной информационной системы "МедВедь". Наполнение регистра происходит автоматически путем выгрузки данных выписных эпикризов стационаров и форм диспансерного наблюдения поликлиник. Гражданам, внесенным в регистр, присваивается соответствующий код категории заболевания на основании занесенного в медицинскую документацию диагноза (901, 902, 903, 904).</w:t>
      </w:r>
    </w:p>
    <w:p>
      <w:pPr>
        <w:pStyle w:val="0"/>
        <w:spacing w:before="200" w:line-rule="auto"/>
        <w:ind w:firstLine="540"/>
        <w:jc w:val="both"/>
      </w:pPr>
      <w:r>
        <w:rPr>
          <w:sz w:val="20"/>
        </w:rPr>
        <w:t xml:space="preserve">В 2022 году в регистр внесено 13 727 пациентов. Закуплено в 2022 году лекарственных препаратов на сумму 75 715,56 тыс. руб. (99,99% от выделенного финансирования), лекарственными препаратами в амбулаторных условиях обеспечены 10 329 человек.</w:t>
      </w:r>
    </w:p>
    <w:p>
      <w:pPr>
        <w:pStyle w:val="0"/>
        <w:spacing w:before="200" w:line-rule="auto"/>
        <w:ind w:firstLine="540"/>
        <w:jc w:val="both"/>
      </w:pPr>
      <w:r>
        <w:rPr>
          <w:sz w:val="20"/>
        </w:rPr>
        <w:t xml:space="preserve">Охват льготным лекарственным обеспечением пациентов с болезнями системы кровообращения высокого риска, от общего числа состоящих на диспансерном учете составил 75,24%.</w:t>
      </w:r>
    </w:p>
    <w:p>
      <w:pPr>
        <w:pStyle w:val="0"/>
        <w:spacing w:before="200" w:line-rule="auto"/>
        <w:ind w:firstLine="540"/>
        <w:jc w:val="both"/>
      </w:pPr>
      <w:r>
        <w:rPr>
          <w:sz w:val="20"/>
        </w:rPr>
        <w:t xml:space="preserve">Механизм льготного лекарственного обеспечения разработан для осуществления преемственности в лечении пациентов высокого риска между поликлиникой и стационаром. На этапе стационарного лечения в день выписки пациента из РСЦ в поликлинику по месту жительства пациента направляется выписной эпикриз, а в Центр лекарственного мониторинга направляется информация с указанием льготных лекарственных препаратов, прием которых необходимо продолжить в амбулаторных условиях.</w:t>
      </w:r>
    </w:p>
    <w:p>
      <w:pPr>
        <w:pStyle w:val="0"/>
        <w:spacing w:before="200" w:line-rule="auto"/>
        <w:ind w:firstLine="540"/>
        <w:jc w:val="both"/>
      </w:pPr>
      <w:r>
        <w:rPr>
          <w:sz w:val="20"/>
        </w:rPr>
        <w:t xml:space="preserve">Приказом Депздрава Югры от 5 октября 2021 года N 1488 утвержден порядок лекарственного обеспечения пациентов высокого риска при выписке из РСЦ: в день выписки пациент получает льготные лекарственные препараты на срок 1 месяц с целью исключения перерывов в приеме препаратов.</w:t>
      </w:r>
    </w:p>
    <w:p>
      <w:pPr>
        <w:pStyle w:val="0"/>
        <w:ind w:firstLine="540"/>
        <w:jc w:val="both"/>
      </w:pPr>
      <w:r>
        <w:rPr>
          <w:sz w:val="20"/>
        </w:rPr>
      </w:r>
    </w:p>
    <w:p>
      <w:pPr>
        <w:pStyle w:val="0"/>
        <w:jc w:val="right"/>
      </w:pPr>
      <w:r>
        <w:rPr>
          <w:sz w:val="20"/>
        </w:rPr>
        <w:t xml:space="preserve">Таблица 63</w:t>
      </w:r>
    </w:p>
    <w:p>
      <w:pPr>
        <w:pStyle w:val="0"/>
        <w:jc w:val="right"/>
      </w:pPr>
      <w:r>
        <w:rPr>
          <w:sz w:val="20"/>
        </w:rPr>
      </w:r>
    </w:p>
    <w:p>
      <w:pPr>
        <w:pStyle w:val="0"/>
        <w:jc w:val="center"/>
      </w:pPr>
      <w:r>
        <w:rPr>
          <w:sz w:val="20"/>
        </w:rPr>
        <w:t xml:space="preserve">Охват ЛЛО из числа пациентов, состоящих на Д-учете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59"/>
        <w:gridCol w:w="1474"/>
        <w:gridCol w:w="1531"/>
        <w:gridCol w:w="907"/>
      </w:tblGrid>
      <w:tr>
        <w:tc>
          <w:tcPr>
            <w:tcW w:w="5159" w:type="dxa"/>
          </w:tcPr>
          <w:p>
            <w:pPr>
              <w:pStyle w:val="0"/>
              <w:jc w:val="center"/>
            </w:pPr>
            <w:r>
              <w:rPr>
                <w:sz w:val="20"/>
              </w:rPr>
              <w:t xml:space="preserve">Код</w:t>
            </w:r>
          </w:p>
        </w:tc>
        <w:tc>
          <w:tcPr>
            <w:tcW w:w="1474" w:type="dxa"/>
          </w:tcPr>
          <w:p>
            <w:pPr>
              <w:pStyle w:val="0"/>
              <w:jc w:val="center"/>
            </w:pPr>
            <w:r>
              <w:rPr>
                <w:sz w:val="20"/>
              </w:rPr>
              <w:t xml:space="preserve">Всего состоит</w:t>
            </w:r>
          </w:p>
        </w:tc>
        <w:tc>
          <w:tcPr>
            <w:tcW w:w="1531" w:type="dxa"/>
          </w:tcPr>
          <w:p>
            <w:pPr>
              <w:pStyle w:val="0"/>
              <w:jc w:val="center"/>
            </w:pPr>
            <w:r>
              <w:rPr>
                <w:sz w:val="20"/>
              </w:rPr>
              <w:t xml:space="preserve">Получили ЛЛО</w:t>
            </w:r>
          </w:p>
        </w:tc>
        <w:tc>
          <w:tcPr>
            <w:tcW w:w="907" w:type="dxa"/>
          </w:tcPr>
          <w:p>
            <w:pPr>
              <w:pStyle w:val="0"/>
              <w:jc w:val="center"/>
            </w:pPr>
            <w:r>
              <w:rPr>
                <w:sz w:val="20"/>
              </w:rPr>
              <w:t xml:space="preserve">%</w:t>
            </w:r>
          </w:p>
        </w:tc>
      </w:tr>
      <w:tr>
        <w:tc>
          <w:tcPr>
            <w:tcW w:w="5159" w:type="dxa"/>
          </w:tcPr>
          <w:p>
            <w:pPr>
              <w:pStyle w:val="0"/>
            </w:pPr>
            <w:r>
              <w:rPr>
                <w:sz w:val="20"/>
              </w:rPr>
              <w:t xml:space="preserve">901 состояние после операций на коронарных артериях: аортокоронарного шунтирования и баллонной вазодилятации и установки стента в сосуд</w:t>
            </w:r>
          </w:p>
        </w:tc>
        <w:tc>
          <w:tcPr>
            <w:tcW w:w="1474" w:type="dxa"/>
          </w:tcPr>
          <w:p>
            <w:pPr>
              <w:pStyle w:val="0"/>
            </w:pPr>
            <w:r>
              <w:rPr>
                <w:sz w:val="20"/>
              </w:rPr>
              <w:t xml:space="preserve">5626</w:t>
            </w:r>
          </w:p>
        </w:tc>
        <w:tc>
          <w:tcPr>
            <w:tcW w:w="1531" w:type="dxa"/>
          </w:tcPr>
          <w:p>
            <w:pPr>
              <w:pStyle w:val="0"/>
            </w:pPr>
            <w:r>
              <w:rPr>
                <w:sz w:val="20"/>
              </w:rPr>
              <w:t xml:space="preserve">4953</w:t>
            </w:r>
          </w:p>
        </w:tc>
        <w:tc>
          <w:tcPr>
            <w:tcW w:w="907" w:type="dxa"/>
          </w:tcPr>
          <w:p>
            <w:pPr>
              <w:pStyle w:val="0"/>
            </w:pPr>
            <w:r>
              <w:rPr>
                <w:sz w:val="20"/>
              </w:rPr>
              <w:t xml:space="preserve">79,5</w:t>
            </w:r>
          </w:p>
        </w:tc>
      </w:tr>
      <w:tr>
        <w:tc>
          <w:tcPr>
            <w:tcW w:w="5159" w:type="dxa"/>
          </w:tcPr>
          <w:p>
            <w:pPr>
              <w:pStyle w:val="0"/>
            </w:pPr>
            <w:r>
              <w:rPr>
                <w:sz w:val="20"/>
              </w:rPr>
              <w:t xml:space="preserve">902 состояние после перенесенного острого нарушения мозгового кровообращения</w:t>
            </w:r>
          </w:p>
        </w:tc>
        <w:tc>
          <w:tcPr>
            <w:tcW w:w="1474" w:type="dxa"/>
          </w:tcPr>
          <w:p>
            <w:pPr>
              <w:pStyle w:val="0"/>
            </w:pPr>
            <w:r>
              <w:rPr>
                <w:sz w:val="20"/>
              </w:rPr>
              <w:t xml:space="preserve">3281</w:t>
            </w:r>
          </w:p>
        </w:tc>
        <w:tc>
          <w:tcPr>
            <w:tcW w:w="1531" w:type="dxa"/>
          </w:tcPr>
          <w:p>
            <w:pPr>
              <w:pStyle w:val="0"/>
            </w:pPr>
            <w:r>
              <w:rPr>
                <w:sz w:val="20"/>
              </w:rPr>
              <w:t xml:space="preserve">2224</w:t>
            </w:r>
          </w:p>
        </w:tc>
        <w:tc>
          <w:tcPr>
            <w:tcW w:w="907" w:type="dxa"/>
          </w:tcPr>
          <w:p>
            <w:pPr>
              <w:pStyle w:val="0"/>
            </w:pPr>
            <w:r>
              <w:rPr>
                <w:sz w:val="20"/>
              </w:rPr>
              <w:t xml:space="preserve">67,8</w:t>
            </w:r>
          </w:p>
        </w:tc>
      </w:tr>
      <w:tr>
        <w:tc>
          <w:tcPr>
            <w:tcW w:w="5159" w:type="dxa"/>
          </w:tcPr>
          <w:p>
            <w:pPr>
              <w:pStyle w:val="0"/>
            </w:pPr>
            <w:r>
              <w:rPr>
                <w:sz w:val="20"/>
              </w:rPr>
              <w:t xml:space="preserve">903 состояние после катетерной абляции</w:t>
            </w:r>
          </w:p>
        </w:tc>
        <w:tc>
          <w:tcPr>
            <w:tcW w:w="1474" w:type="dxa"/>
          </w:tcPr>
          <w:p>
            <w:pPr>
              <w:pStyle w:val="0"/>
            </w:pPr>
            <w:r>
              <w:rPr>
                <w:sz w:val="20"/>
              </w:rPr>
              <w:t xml:space="preserve">1521</w:t>
            </w:r>
          </w:p>
        </w:tc>
        <w:tc>
          <w:tcPr>
            <w:tcW w:w="1531" w:type="dxa"/>
          </w:tcPr>
          <w:p>
            <w:pPr>
              <w:pStyle w:val="0"/>
            </w:pPr>
            <w:r>
              <w:rPr>
                <w:sz w:val="20"/>
              </w:rPr>
              <w:t xml:space="preserve">1033</w:t>
            </w:r>
          </w:p>
        </w:tc>
        <w:tc>
          <w:tcPr>
            <w:tcW w:w="907" w:type="dxa"/>
          </w:tcPr>
          <w:p>
            <w:pPr>
              <w:pStyle w:val="0"/>
            </w:pPr>
            <w:r>
              <w:rPr>
                <w:sz w:val="20"/>
              </w:rPr>
              <w:t xml:space="preserve">67,9</w:t>
            </w:r>
          </w:p>
        </w:tc>
      </w:tr>
      <w:tr>
        <w:tc>
          <w:tcPr>
            <w:tcW w:w="5159" w:type="dxa"/>
          </w:tcPr>
          <w:p>
            <w:pPr>
              <w:pStyle w:val="0"/>
            </w:pPr>
            <w:r>
              <w:rPr>
                <w:sz w:val="20"/>
              </w:rPr>
              <w:t xml:space="preserve">904 ИМ (первые 12 месяцев), постинфарктный кардиосклероз (12 месяцев после ИМ)</w:t>
            </w:r>
          </w:p>
        </w:tc>
        <w:tc>
          <w:tcPr>
            <w:tcW w:w="1474" w:type="dxa"/>
          </w:tcPr>
          <w:p>
            <w:pPr>
              <w:pStyle w:val="0"/>
            </w:pPr>
            <w:r>
              <w:rPr>
                <w:sz w:val="20"/>
              </w:rPr>
              <w:t xml:space="preserve">2803</w:t>
            </w:r>
          </w:p>
        </w:tc>
        <w:tc>
          <w:tcPr>
            <w:tcW w:w="1531" w:type="dxa"/>
          </w:tcPr>
          <w:p>
            <w:pPr>
              <w:pStyle w:val="0"/>
            </w:pPr>
            <w:r>
              <w:rPr>
                <w:sz w:val="20"/>
              </w:rPr>
              <w:t xml:space="preserve">2601</w:t>
            </w:r>
          </w:p>
        </w:tc>
        <w:tc>
          <w:tcPr>
            <w:tcW w:w="907" w:type="dxa"/>
          </w:tcPr>
          <w:p>
            <w:pPr>
              <w:pStyle w:val="0"/>
            </w:pPr>
            <w:r>
              <w:rPr>
                <w:sz w:val="20"/>
              </w:rPr>
              <w:t xml:space="preserve">92,8</w:t>
            </w:r>
          </w:p>
        </w:tc>
      </w:tr>
      <w:tr>
        <w:tc>
          <w:tcPr>
            <w:tcW w:w="5159" w:type="dxa"/>
          </w:tcPr>
          <w:p>
            <w:pPr>
              <w:pStyle w:val="0"/>
            </w:pPr>
            <w:r>
              <w:rPr>
                <w:sz w:val="20"/>
              </w:rPr>
              <w:t xml:space="preserve">всего</w:t>
            </w:r>
          </w:p>
        </w:tc>
        <w:tc>
          <w:tcPr>
            <w:tcW w:w="1474" w:type="dxa"/>
          </w:tcPr>
          <w:p>
            <w:pPr>
              <w:pStyle w:val="0"/>
            </w:pPr>
            <w:r>
              <w:rPr>
                <w:sz w:val="20"/>
              </w:rPr>
              <w:t xml:space="preserve">13727</w:t>
            </w:r>
          </w:p>
        </w:tc>
        <w:tc>
          <w:tcPr>
            <w:tcW w:w="1531" w:type="dxa"/>
          </w:tcPr>
          <w:p>
            <w:pPr>
              <w:pStyle w:val="0"/>
            </w:pPr>
            <w:r>
              <w:rPr>
                <w:sz w:val="20"/>
              </w:rPr>
              <w:t xml:space="preserve">10329</w:t>
            </w:r>
          </w:p>
        </w:tc>
        <w:tc>
          <w:tcPr>
            <w:tcW w:w="907" w:type="dxa"/>
          </w:tcPr>
          <w:p>
            <w:pPr>
              <w:pStyle w:val="0"/>
            </w:pPr>
            <w:r>
              <w:rPr>
                <w:sz w:val="20"/>
              </w:rPr>
              <w:t xml:space="preserve">75,2</w:t>
            </w:r>
          </w:p>
        </w:tc>
      </w:tr>
    </w:tbl>
    <w:p>
      <w:pPr>
        <w:pStyle w:val="0"/>
        <w:jc w:val="center"/>
      </w:pPr>
      <w:r>
        <w:rPr>
          <w:sz w:val="20"/>
        </w:rPr>
      </w:r>
    </w:p>
    <w:p>
      <w:pPr>
        <w:pStyle w:val="0"/>
        <w:ind w:firstLine="540"/>
        <w:jc w:val="both"/>
      </w:pPr>
      <w:r>
        <w:rPr>
          <w:sz w:val="20"/>
        </w:rPr>
        <w:t xml:space="preserve">В 2022 году обеспечено 10 329 человек по 111 658 рецептам на сумму 120 552,18 тыс. руб. (стоимость 1 рецепта - 1079,65 руб.).</w:t>
      </w:r>
    </w:p>
    <w:p>
      <w:pPr>
        <w:pStyle w:val="0"/>
        <w:spacing w:before="200" w:line-rule="auto"/>
        <w:ind w:firstLine="540"/>
        <w:jc w:val="both"/>
      </w:pPr>
      <w:r>
        <w:rPr>
          <w:sz w:val="20"/>
        </w:rPr>
        <w:t xml:space="preserve">Механизм контроля за нежелательными явлениями и за отсутствием лечебного эффекта лекарственных препаратов осуществляется следующим образом:</w:t>
      </w:r>
    </w:p>
    <w:p>
      <w:pPr>
        <w:pStyle w:val="0"/>
        <w:spacing w:before="200" w:line-rule="auto"/>
        <w:ind w:firstLine="540"/>
        <w:jc w:val="both"/>
      </w:pPr>
      <w:r>
        <w:rPr>
          <w:sz w:val="20"/>
        </w:rPr>
        <w:t xml:space="preserve">1. Лицо, установившее нежелательную лекарственную реакцию, оформляет карту извещения "о нежелательной реакции или отсутствии терапевтического эффекта лекарственного препарата" и передает ответственному лицу за фармаконадзор в медорганизации (ответственное лицо назначает приказом руководитель медорганизации).</w:t>
      </w:r>
    </w:p>
    <w:p>
      <w:pPr>
        <w:pStyle w:val="0"/>
        <w:spacing w:before="200" w:line-rule="auto"/>
        <w:ind w:firstLine="540"/>
        <w:jc w:val="both"/>
      </w:pPr>
      <w:r>
        <w:rPr>
          <w:sz w:val="20"/>
        </w:rPr>
        <w:t xml:space="preserve">2. Ответственное лицо за фармаконадзор посредством системы "АИС Фармаконадзор" регистрирует данный случай нежелательной лекарственной реакции или отсутствия терапевтического эффекта лекарственного препарата в Росздравнадзоре в сроки, установленные </w:t>
      </w:r>
      <w:hyperlink w:history="0" r:id="rId152" w:tooltip="Приказ Росздравнадзора от 15.02.2017 N 1071 (ред. от 16.07.2020) &quot;Об утверждении Порядка осуществления фармаконадзора&quot; (Зарегистрировано в Минюсте России 20.03.2017 N 46039) {КонсультантПлюс}">
        <w:r>
          <w:rPr>
            <w:sz w:val="20"/>
            <w:color w:val="0000ff"/>
          </w:rPr>
          <w:t xml:space="preserve">приказом</w:t>
        </w:r>
      </w:hyperlink>
      <w:r>
        <w:rPr>
          <w:sz w:val="20"/>
        </w:rPr>
        <w:t xml:space="preserve"> Росздравнадзора от 15 февраля 2017 года N 1071 "Об утверждении Порядка осуществления фармаконадзора".</w:t>
      </w:r>
    </w:p>
    <w:p>
      <w:pPr>
        <w:pStyle w:val="0"/>
        <w:spacing w:before="200" w:line-rule="auto"/>
        <w:ind w:firstLine="540"/>
        <w:jc w:val="both"/>
      </w:pPr>
      <w:r>
        <w:rPr>
          <w:sz w:val="20"/>
        </w:rPr>
        <w:t xml:space="preserve">За 2022 год в Федеральную службу по надзору в сфере здравоохранения передано 101 сообщение о случаях НПР.</w:t>
      </w:r>
    </w:p>
    <w:p>
      <w:pPr>
        <w:pStyle w:val="0"/>
        <w:ind w:firstLine="540"/>
        <w:jc w:val="both"/>
      </w:pPr>
      <w:r>
        <w:rPr>
          <w:sz w:val="20"/>
        </w:rPr>
      </w:r>
    </w:p>
    <w:p>
      <w:pPr>
        <w:pStyle w:val="2"/>
        <w:outlineLvl w:val="2"/>
        <w:ind w:firstLine="540"/>
        <w:jc w:val="both"/>
      </w:pPr>
      <w:r>
        <w:rPr>
          <w:sz w:val="20"/>
        </w:rPr>
        <w:t xml:space="preserve">1.8. Региональные документы, регламентирующие оказание помощи при болезнях системы кровообращения (БСК)</w:t>
      </w:r>
    </w:p>
    <w:p>
      <w:pPr>
        <w:pStyle w:val="0"/>
        <w:jc w:val="center"/>
      </w:pPr>
      <w:r>
        <w:rPr>
          <w:sz w:val="20"/>
        </w:rPr>
      </w:r>
    </w:p>
    <w:p>
      <w:pPr>
        <w:pStyle w:val="0"/>
        <w:ind w:firstLine="540"/>
        <w:jc w:val="both"/>
      </w:pPr>
      <w:r>
        <w:rPr>
          <w:sz w:val="20"/>
        </w:rPr>
        <w:t xml:space="preserve">1. </w:t>
      </w:r>
      <w:hyperlink w:history="0" r:id="rId153" w:tooltip="Постановление Правительства ХМАО - Югры от 09.02.2013 N 38-п (ред. от 22.12.2017) &quot;О плане мероприятий (&quot;Дорожной карте&quot;) &quot;Изменения в отраслях социальной сферы, направленные на повышение эффективности здравоохранения в Ханты-Мансийском автономном округе - Югре&quot; {КонсультантПлюс}">
        <w:r>
          <w:rPr>
            <w:sz w:val="20"/>
            <w:color w:val="0000ff"/>
          </w:rPr>
          <w:t xml:space="preserve">Постановление</w:t>
        </w:r>
      </w:hyperlink>
      <w:r>
        <w:rPr>
          <w:sz w:val="20"/>
        </w:rPr>
        <w:t xml:space="preserve"> Правительства автономного округа от 9 февраля 2013 года N 38-п "О плане мероприятий ("Дорожной карте") "Изменения в отраслях социальной сферы, направленные на повышение эффективности здравоохранения в Ханты-Мансийском автономном округе - Югре".</w:t>
      </w:r>
    </w:p>
    <w:p>
      <w:pPr>
        <w:pStyle w:val="0"/>
        <w:spacing w:before="200" w:line-rule="auto"/>
        <w:ind w:firstLine="540"/>
        <w:jc w:val="both"/>
      </w:pPr>
      <w:r>
        <w:rPr>
          <w:sz w:val="20"/>
        </w:rPr>
        <w:t xml:space="preserve">2. </w:t>
      </w:r>
      <w:hyperlink w:history="0" r:id="rId154" w:tooltip="Постановление Правительства ХМАО - Югры от 31.10.2021 N 467-п (ред. от 13.10.2023) &quot;О государственной программе Ханты-Мансийского автономного округа - Югры &quot;Современное здравоохранение&quot; (с изм. и доп., вступающими в силу с 22.10.2023) {КонсультантПлюс}">
        <w:r>
          <w:rPr>
            <w:sz w:val="20"/>
            <w:color w:val="0000ff"/>
          </w:rPr>
          <w:t xml:space="preserve">Постановление</w:t>
        </w:r>
      </w:hyperlink>
      <w:r>
        <w:rPr>
          <w:sz w:val="20"/>
        </w:rPr>
        <w:t xml:space="preserve"> Правительства автономного округа от 31 октября 2021 года N 467-п "О государственной программе Ханты-Мансийского автономного округа - Югры "Современное здравоохранение".</w:t>
      </w:r>
    </w:p>
    <w:p>
      <w:pPr>
        <w:pStyle w:val="0"/>
        <w:spacing w:before="200" w:line-rule="auto"/>
        <w:ind w:firstLine="540"/>
        <w:jc w:val="both"/>
      </w:pPr>
      <w:r>
        <w:rPr>
          <w:sz w:val="20"/>
        </w:rPr>
        <w:t xml:space="preserve">3. </w:t>
      </w:r>
      <w:hyperlink w:history="0" r:id="rId155" w:tooltip="Постановление Правительства ХМАО - Югры от 27.12.2021 N 594-п (ред. от 07.04.2023) &quot;О мерах по реализации государственной программы Ханты-Мансийского автономного округа - Югры &quot;Современное здравоохранение&quot; (вместе с &quot;Программой развития детского здравоохранения, включая создание современной инфраструктуры оказания медицинской помощи детям Ханты-Мансийского автономного округа - Югры&quot;, &quot;Региональной программой Ханты-Мансийского автономного округа - Югры &quot;Борьба с онкологическими заболеваниями&quot;, &quot;Региональной  ------------ Недействующая редакция {КонсультантПлюс}">
        <w:r>
          <w:rPr>
            <w:sz w:val="20"/>
            <w:color w:val="0000ff"/>
          </w:rPr>
          <w:t xml:space="preserve">Постановление</w:t>
        </w:r>
      </w:hyperlink>
      <w:r>
        <w:rPr>
          <w:sz w:val="20"/>
        </w:rPr>
        <w:t xml:space="preserve"> Правительства автономного округа от 27 декабря 2021 года N 594-п "О мерах по реализации государственной программы Ханты-Мансийского автономного округа - Югры "Современное здравоохранение".</w:t>
      </w:r>
    </w:p>
    <w:p>
      <w:pPr>
        <w:pStyle w:val="0"/>
        <w:spacing w:before="200" w:line-rule="auto"/>
        <w:ind w:firstLine="540"/>
        <w:jc w:val="both"/>
      </w:pPr>
      <w:r>
        <w:rPr>
          <w:sz w:val="20"/>
        </w:rPr>
        <w:t xml:space="preserve">4. </w:t>
      </w:r>
      <w:hyperlink w:history="0" r:id="rId156" w:tooltip="Постановление Правительства ХМАО - Югры от 30.12.2022 N 754-п (ред. от 28.09.2023) &quot;О Территориальной программе государственных гарантий бесплатного оказания гражданам медицинской помощи в Ханты-Мансийском автономном округе - Югре на 2023 год и на плановый период 2024 и 2025 годов&quot; {КонсультантПлюс}">
        <w:r>
          <w:rPr>
            <w:sz w:val="20"/>
            <w:color w:val="0000ff"/>
          </w:rPr>
          <w:t xml:space="preserve">Постановление</w:t>
        </w:r>
      </w:hyperlink>
      <w:r>
        <w:rPr>
          <w:sz w:val="20"/>
        </w:rPr>
        <w:t xml:space="preserve"> Правительства автономного округа от 30 декабря 2022 года 754-п "О Территориальной программе государственных гарантий бесплатного оказания гражданам медицинской помощи в Ханты-Мансийском автономном округе - Югре на 2023 год и на плановый период 2024 и 2025 годов".</w:t>
      </w:r>
    </w:p>
    <w:p>
      <w:pPr>
        <w:pStyle w:val="0"/>
        <w:spacing w:before="200" w:line-rule="auto"/>
        <w:ind w:firstLine="540"/>
        <w:jc w:val="both"/>
      </w:pPr>
      <w:r>
        <w:rPr>
          <w:sz w:val="20"/>
        </w:rPr>
        <w:t xml:space="preserve">5. Приказ Территориального фонда обязательного медицинского страхования автономного округа от 10 июля 2018 года N 525 "О Координационном совете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в Ханты-Мансийском автономном округе - Югре".</w:t>
      </w:r>
    </w:p>
    <w:p>
      <w:pPr>
        <w:pStyle w:val="0"/>
        <w:spacing w:before="200" w:line-rule="auto"/>
        <w:ind w:firstLine="540"/>
        <w:jc w:val="both"/>
      </w:pPr>
      <w:r>
        <w:rPr>
          <w:sz w:val="20"/>
        </w:rPr>
        <w:t xml:space="preserve">6. Приказ Депздрава Югры от 29 июня 2001 года N 157 "О порядке проведения диспансеризации кардиохирургических больных в округе".</w:t>
      </w:r>
    </w:p>
    <w:p>
      <w:pPr>
        <w:pStyle w:val="0"/>
        <w:spacing w:before="200" w:line-rule="auto"/>
        <w:ind w:firstLine="540"/>
        <w:jc w:val="both"/>
      </w:pPr>
      <w:r>
        <w:rPr>
          <w:sz w:val="20"/>
        </w:rPr>
        <w:t xml:space="preserve">7. Приказ Депздрава Югры от 1 июля 2015 года N 646 "Об организации мониторинга мероприятий по снижению смертности населения Ханты-Мансийского автономного округа - Югры".</w:t>
      </w:r>
    </w:p>
    <w:p>
      <w:pPr>
        <w:pStyle w:val="0"/>
        <w:spacing w:before="200" w:line-rule="auto"/>
        <w:ind w:firstLine="540"/>
        <w:jc w:val="both"/>
      </w:pPr>
      <w:r>
        <w:rPr>
          <w:sz w:val="20"/>
        </w:rPr>
        <w:t xml:space="preserve">8. Приказ Депздрава Югры от 15 сентября 2016 года N 967 "О совершенствовании телемедицинского консультирования пациентов Ханты-Мансийского автономного округа - Югры с нарушениями ритма сердца для отбора на оперативное лечение"</w:t>
      </w:r>
    </w:p>
    <w:p>
      <w:pPr>
        <w:pStyle w:val="0"/>
        <w:spacing w:before="200" w:line-rule="auto"/>
        <w:ind w:firstLine="540"/>
        <w:jc w:val="both"/>
      </w:pPr>
      <w:r>
        <w:rPr>
          <w:sz w:val="20"/>
        </w:rPr>
        <w:t xml:space="preserve">9. Приказ Депздрава Югры от 16 октября 2015 года N 1153 "Об организации кардиологических дистанционно-консультационных пунктов в медицинских организациях Ханты-Мансийского автономного округа - Югры".</w:t>
      </w:r>
    </w:p>
    <w:p>
      <w:pPr>
        <w:pStyle w:val="0"/>
        <w:spacing w:before="200" w:line-rule="auto"/>
        <w:ind w:firstLine="540"/>
        <w:jc w:val="both"/>
      </w:pPr>
      <w:r>
        <w:rPr>
          <w:sz w:val="20"/>
        </w:rPr>
        <w:t xml:space="preserve">10. Приказ Депздрава Югры от 24 мая 2017 года N 537 "Об оптимизации диагностики, лечения и лекарственного обеспечения пациентов с легочной артериальной гипертензией в Ханты-Мансийском автономном округе - Югре".</w:t>
      </w:r>
    </w:p>
    <w:p>
      <w:pPr>
        <w:pStyle w:val="0"/>
        <w:spacing w:before="200" w:line-rule="auto"/>
        <w:ind w:firstLine="540"/>
        <w:jc w:val="both"/>
      </w:pPr>
      <w:r>
        <w:rPr>
          <w:sz w:val="20"/>
        </w:rPr>
        <w:t xml:space="preserve">11. Приказ Депздрава Югры от 15 июня 2017 года N 623 "О совершенствовании медицинской помощи больным с острым нарушением мозгового кровообращения в Ханты-Мансийском автономном округе - Югре".</w:t>
      </w:r>
    </w:p>
    <w:p>
      <w:pPr>
        <w:pStyle w:val="0"/>
        <w:spacing w:before="200" w:line-rule="auto"/>
        <w:ind w:firstLine="540"/>
        <w:jc w:val="both"/>
      </w:pPr>
      <w:r>
        <w:rPr>
          <w:sz w:val="20"/>
        </w:rPr>
        <w:t xml:space="preserve">12. Приказ Депздрава Югры от 11 августа 2017 года N 829 "О работе формулярной комиссии Департамента здравоохранения Ханты-Мансийского автономного округа - Югры".</w:t>
      </w:r>
    </w:p>
    <w:p>
      <w:pPr>
        <w:pStyle w:val="0"/>
        <w:spacing w:before="200" w:line-rule="auto"/>
        <w:ind w:firstLine="540"/>
        <w:jc w:val="both"/>
      </w:pPr>
      <w:r>
        <w:rPr>
          <w:sz w:val="20"/>
        </w:rPr>
        <w:t xml:space="preserve">13. Приказ Депздрава Югры от 14 сентября 2017 года N 964 "О создании Комиссии по анализу причин смертности в Ханты-Мансийском автономном округе - Югре".</w:t>
      </w:r>
    </w:p>
    <w:p>
      <w:pPr>
        <w:pStyle w:val="0"/>
        <w:spacing w:before="200" w:line-rule="auto"/>
        <w:ind w:firstLine="540"/>
        <w:jc w:val="both"/>
      </w:pPr>
      <w:r>
        <w:rPr>
          <w:sz w:val="20"/>
        </w:rPr>
        <w:t xml:space="preserve">14. Приказ Депздрава Югры от 5 апреля 2019 года N 399 "О создании рабочей группы по разработке мероприятий, направленных на снижение смертности населения от сердечно-сосудистых заболеваний в рамках реализации регионального проекта Ханты-Мансийского автономного округа - Югры "Борьба с сердечно-сосудистыми заболеваниями".</w:t>
      </w:r>
    </w:p>
    <w:p>
      <w:pPr>
        <w:pStyle w:val="0"/>
        <w:spacing w:before="200" w:line-rule="auto"/>
        <w:ind w:firstLine="540"/>
        <w:jc w:val="both"/>
      </w:pPr>
      <w:r>
        <w:rPr>
          <w:sz w:val="20"/>
        </w:rPr>
        <w:t xml:space="preserve">15. Приказ Депздрава Югры от 6 мая 2019 года N 558 "Об организации проектной деятельности Департамента здравоохранения и медицинских организаций Ханты-Мансийского автономного округа - Югры при реализации региональных проектов, входящих в региональные портфели проектов "Здравоохранение" и "Демография".</w:t>
      </w:r>
    </w:p>
    <w:p>
      <w:pPr>
        <w:pStyle w:val="0"/>
        <w:spacing w:before="200" w:line-rule="auto"/>
        <w:ind w:firstLine="540"/>
        <w:jc w:val="both"/>
      </w:pPr>
      <w:r>
        <w:rPr>
          <w:sz w:val="20"/>
        </w:rPr>
        <w:t xml:space="preserve">16. Приказ Депздрава Югры от 30 сентября 2019 года N 1149 "О создании центра координации оказания медицинской помощи пациентам с болезнями системы кровообращения в Ханты-Мансийском автономном округе - Югре".</w:t>
      </w:r>
    </w:p>
    <w:p>
      <w:pPr>
        <w:pStyle w:val="0"/>
        <w:spacing w:before="200" w:line-rule="auto"/>
        <w:ind w:firstLine="540"/>
        <w:jc w:val="both"/>
      </w:pPr>
      <w:r>
        <w:rPr>
          <w:sz w:val="20"/>
        </w:rPr>
        <w:t xml:space="preserve">17. Приказ Депздрава Югры от 30 сентября 2019 года N 1157 "О совершенствовании оказания медицинской помощи пациентам с хронической сердечной недостаточностью на амбулаторном этапе".</w:t>
      </w:r>
    </w:p>
    <w:p>
      <w:pPr>
        <w:pStyle w:val="0"/>
        <w:spacing w:before="200" w:line-rule="auto"/>
        <w:ind w:firstLine="540"/>
        <w:jc w:val="both"/>
      </w:pPr>
      <w:r>
        <w:rPr>
          <w:sz w:val="20"/>
        </w:rPr>
        <w:t xml:space="preserve">18. Приказ Депздрава Югры от 1 ноября 2019 года N 1334 "Об организации окружного экспертного совета Департамента здравоохранения Ханты-Мансийского автономного округа - Югры и создании зональных экспертных комиссий при региональных сосудистых центрах по анализу случаев смертности населения от болезней системы кровообращения в Ханты-Мансийском автономном округе - Югре".</w:t>
      </w:r>
    </w:p>
    <w:p>
      <w:pPr>
        <w:pStyle w:val="0"/>
        <w:spacing w:before="200" w:line-rule="auto"/>
        <w:ind w:firstLine="540"/>
        <w:jc w:val="both"/>
      </w:pPr>
      <w:r>
        <w:rPr>
          <w:sz w:val="20"/>
        </w:rPr>
        <w:t xml:space="preserve">19. Приказ Депздрава Югры от 26 декабря 2019 года N 1624 "О маршрутизации пациентов с нарушениями ритма сердца при оказании медицинской помощи на территории г. Сургута и Сургутского района Ханты-Мансийского автономного округа - Югры".</w:t>
      </w:r>
    </w:p>
    <w:p>
      <w:pPr>
        <w:pStyle w:val="0"/>
        <w:spacing w:before="200" w:line-rule="auto"/>
        <w:ind w:firstLine="540"/>
        <w:jc w:val="both"/>
      </w:pPr>
      <w:r>
        <w:rPr>
          <w:sz w:val="20"/>
        </w:rPr>
        <w:t xml:space="preserve">20. Приказ Депздрава Югры от 27 декабря 2019 года N 1629 "Об оперативном мониторинге маршрутизации пациентов с острым коронарным синдромом и острым нарушением мозгового кровообращения в Ханты-Мансийском автономном округе - Югре".</w:t>
      </w:r>
    </w:p>
    <w:p>
      <w:pPr>
        <w:pStyle w:val="0"/>
        <w:spacing w:before="200" w:line-rule="auto"/>
        <w:ind w:firstLine="540"/>
        <w:jc w:val="both"/>
      </w:pPr>
      <w:r>
        <w:rPr>
          <w:sz w:val="20"/>
        </w:rPr>
        <w:t xml:space="preserve">21. Приказ Депздрава Югры от 21 января 2020 года N 58 "О создании единого регионального регистра пациентов с болезнями системы кровообращения в Ханты-Мансийском автономном округе - Югре".</w:t>
      </w:r>
    </w:p>
    <w:p>
      <w:pPr>
        <w:pStyle w:val="0"/>
        <w:spacing w:before="200" w:line-rule="auto"/>
        <w:ind w:firstLine="540"/>
        <w:jc w:val="both"/>
      </w:pPr>
      <w:r>
        <w:rPr>
          <w:sz w:val="20"/>
        </w:rPr>
        <w:t xml:space="preserve">22. </w:t>
      </w:r>
      <w:hyperlink w:history="0" r:id="rId157" w:tooltip="Приказ Департамента здравоохранения ХМАО - Югры от 04.02.2020 N 126 &quot;Об организации деятельности комиссии Департамента здравоохранения Ханты-Мансийского автономного округа - Югры по отбору пациентов для оказания специализированной, в том числе высокотехнологичной медицинской помощи&quot; (вместе с &quot;Положением о комиссии Департамента здравоохранения Ханты-Мансийского автономного округа - Югры по отбору пациентов для оказания специализированной, в том числе высокотехнологичной медицинской помощи&quot;, &quot;Регламентом нап {КонсультантПлюс}">
        <w:r>
          <w:rPr>
            <w:sz w:val="20"/>
            <w:color w:val="0000ff"/>
          </w:rPr>
          <w:t xml:space="preserve">Приказ</w:t>
        </w:r>
      </w:hyperlink>
      <w:r>
        <w:rPr>
          <w:sz w:val="20"/>
        </w:rPr>
        <w:t xml:space="preserve"> Депздрава Югры от 4 февраля 2020 года N 126 "Об организации деятельности комиссии Департамента здравоохранения Ханты-Мансийского автономного округа - Югры по отбору пациентов для оказания специализированной, в том числе высокотехнологичной медицинской помощи".</w:t>
      </w:r>
    </w:p>
    <w:p>
      <w:pPr>
        <w:pStyle w:val="0"/>
        <w:spacing w:before="200" w:line-rule="auto"/>
        <w:ind w:firstLine="540"/>
        <w:jc w:val="both"/>
      </w:pPr>
      <w:r>
        <w:rPr>
          <w:sz w:val="20"/>
        </w:rPr>
        <w:t xml:space="preserve">23. Приказ Депздрава Югры от 17 апреля 2020 года N 504 "О временных правилах оказания медицинской помощи пациентам с острым коронарным синдромом в период реализации мероприятий, направленных на недопущение распространения коронавирусной инфекции COVID-19 на территории Ханты-Мансийского автономного округа - Югры".</w:t>
      </w:r>
    </w:p>
    <w:p>
      <w:pPr>
        <w:pStyle w:val="0"/>
        <w:spacing w:before="200" w:line-rule="auto"/>
        <w:ind w:firstLine="540"/>
        <w:jc w:val="both"/>
      </w:pPr>
      <w:r>
        <w:rPr>
          <w:sz w:val="20"/>
        </w:rPr>
        <w:t xml:space="preserve">24. Приказ Депздрава Югры от 19 ноября 2020 года N 1664 "Об открытии Центров управления сердечно-сосудистыми рисками в Ханты-Мансийском автономном округе - Югре".</w:t>
      </w:r>
    </w:p>
    <w:p>
      <w:pPr>
        <w:pStyle w:val="0"/>
        <w:spacing w:before="200" w:line-rule="auto"/>
        <w:ind w:firstLine="540"/>
        <w:jc w:val="both"/>
      </w:pPr>
      <w:r>
        <w:rPr>
          <w:sz w:val="20"/>
        </w:rPr>
        <w:t xml:space="preserve">25. Приказ Депздрава Югры от 20 января 2021 года N 57 "О совершенствовании оказания медицинской помощи пациентам высокого сердечно-сосудистого риска в условиях распространения новой коронавирусной инфекции COVID-19 на территории Ханты-Мансийского автономного округа - Югры".</w:t>
      </w:r>
    </w:p>
    <w:p>
      <w:pPr>
        <w:pStyle w:val="0"/>
        <w:spacing w:before="200" w:line-rule="auto"/>
        <w:ind w:firstLine="540"/>
        <w:jc w:val="both"/>
      </w:pPr>
      <w:r>
        <w:rPr>
          <w:sz w:val="20"/>
        </w:rPr>
        <w:t xml:space="preserve">26. Приказ Депздрава Югры от 17 февраля 2021 года N 210 "О внесении изменений в приказ Департамента здравоохранения Ханты-Мансийского автономного округа - Югры от 15 июня 2017 года N 623 "О совершенствовании медицинской помощи больным с острым нарушением мозгового кровообращения в Ханты-Мансийском автономном округе - Югре".</w:t>
      </w:r>
    </w:p>
    <w:p>
      <w:pPr>
        <w:pStyle w:val="0"/>
        <w:spacing w:before="200" w:line-rule="auto"/>
        <w:ind w:firstLine="540"/>
        <w:jc w:val="both"/>
      </w:pPr>
      <w:r>
        <w:rPr>
          <w:sz w:val="20"/>
        </w:rPr>
        <w:t xml:space="preserve">27. Приказ Депздрава Югры от 19 марта 2021 года N 348 "Об утверждении алгоритма расширенного диспансерного наблюдения за взрослыми пациентами высокого сердечно-сосудистого риска на территории Ханты-Мансийского автономного округа - Югры".</w:t>
      </w:r>
    </w:p>
    <w:p>
      <w:pPr>
        <w:pStyle w:val="0"/>
        <w:spacing w:before="200" w:line-rule="auto"/>
        <w:ind w:firstLine="540"/>
        <w:jc w:val="both"/>
      </w:pPr>
      <w:r>
        <w:rPr>
          <w:sz w:val="20"/>
        </w:rPr>
        <w:t xml:space="preserve">28. Приказ Депздрава Югры от 6 мая 2021 года N 655 "Об организации оказания специализированной, в том числе высокотехнологичной, медицинской помощи взрослому населению Ханты-Мансийского автономного округа - Югры".</w:t>
      </w:r>
    </w:p>
    <w:p>
      <w:pPr>
        <w:pStyle w:val="0"/>
        <w:spacing w:before="200" w:line-rule="auto"/>
        <w:ind w:firstLine="540"/>
        <w:jc w:val="both"/>
      </w:pPr>
      <w:r>
        <w:rPr>
          <w:sz w:val="20"/>
        </w:rPr>
        <w:t xml:space="preserve">29. Приказ Депздрава Югры от 9 июля 2021 года N 1002 "Об организации оказания медицинской помощи по медицинской реабилитации взрослому населению Ханты-Мансийского автономного округа - Югры".</w:t>
      </w:r>
    </w:p>
    <w:p>
      <w:pPr>
        <w:pStyle w:val="0"/>
        <w:spacing w:before="200" w:line-rule="auto"/>
        <w:ind w:firstLine="540"/>
        <w:jc w:val="both"/>
      </w:pPr>
      <w:r>
        <w:rPr>
          <w:sz w:val="20"/>
        </w:rPr>
        <w:t xml:space="preserve">30. Приказ Депздрава Югры от 23 декабря 2021 года N 2106 "Об утверждении плана мероприятий ("дорожной карты") по совершенствованию оказания медицинской помощи по профилю "кардиология" в Ханты-Мансийском автономном округе - Югре".</w:t>
      </w:r>
    </w:p>
    <w:p>
      <w:pPr>
        <w:pStyle w:val="0"/>
        <w:spacing w:before="200" w:line-rule="auto"/>
        <w:ind w:firstLine="540"/>
        <w:jc w:val="both"/>
      </w:pPr>
      <w:r>
        <w:rPr>
          <w:sz w:val="20"/>
        </w:rPr>
        <w:t xml:space="preserve">31. Приказ Депздрава Югры от 29 декабря 2021 года N 2174 "О совершенствовании оказания специализированной медицинской помощи пациентам с острым коронарным синдромом в медицинских организациях Ханты-Мансийского автономного округа - Югры".</w:t>
      </w:r>
    </w:p>
    <w:p>
      <w:pPr>
        <w:pStyle w:val="0"/>
        <w:spacing w:before="200" w:line-rule="auto"/>
        <w:ind w:firstLine="540"/>
        <w:jc w:val="both"/>
      </w:pPr>
      <w:r>
        <w:rPr>
          <w:sz w:val="20"/>
        </w:rPr>
        <w:t xml:space="preserve">32. Приказ Депздрава Югры от 29 декабря 2021 года N 2169 "О внедрении и соблюдении клинических рекомендаций по ведению пациентов по профилю "кардиология" в медицинских организациях Ханты-Мансийского автономного округа - Югры".</w:t>
      </w:r>
    </w:p>
    <w:p>
      <w:pPr>
        <w:pStyle w:val="0"/>
        <w:spacing w:before="200" w:line-rule="auto"/>
        <w:ind w:firstLine="540"/>
        <w:jc w:val="both"/>
      </w:pPr>
      <w:r>
        <w:rPr>
          <w:sz w:val="20"/>
        </w:rPr>
        <w:t xml:space="preserve">33. Приказ Депздрава Югры от 20 января 2022 года N 83 "Об организации обеспечения в амбулаторных условиях лекарственными препаратами граждан, проживающих в Ханты-Мансийском автономном округе - Югре, страдающих хронической сердечной недостаточностью со сниженной фракцией выброса левого желудочка в Ханты-Мансийском автономном округе - Югре".</w:t>
      </w:r>
    </w:p>
    <w:p>
      <w:pPr>
        <w:pStyle w:val="0"/>
        <w:spacing w:before="200" w:line-rule="auto"/>
        <w:ind w:firstLine="540"/>
        <w:jc w:val="both"/>
      </w:pPr>
      <w:r>
        <w:rPr>
          <w:sz w:val="20"/>
        </w:rPr>
        <w:t xml:space="preserve">34. Приказ Депздрава Югры от 18 февраля 2022 года N 313 "О внесении регистра пациентов с хронической сердечной недостаточностью в единый региональный регистр пациентов с болезнями системы кровообращения".</w:t>
      </w:r>
    </w:p>
    <w:p>
      <w:pPr>
        <w:pStyle w:val="0"/>
        <w:spacing w:before="200" w:line-rule="auto"/>
        <w:ind w:firstLine="540"/>
        <w:jc w:val="both"/>
      </w:pPr>
      <w:r>
        <w:rPr>
          <w:sz w:val="20"/>
        </w:rPr>
        <w:t xml:space="preserve">35. Приказ Депздрава Югры от 18 февраля 2022 года N 314 "О маршрутизации пациентов с хронической сердечной недостаточностью в Ханты-Мансийском автономном округе - Югре".</w:t>
      </w:r>
    </w:p>
    <w:p>
      <w:pPr>
        <w:pStyle w:val="0"/>
        <w:spacing w:before="200" w:line-rule="auto"/>
        <w:ind w:firstLine="540"/>
        <w:jc w:val="both"/>
      </w:pPr>
      <w:r>
        <w:rPr>
          <w:sz w:val="20"/>
        </w:rPr>
        <w:t xml:space="preserve">36. Приказ Депздрава Югры от 19 августа 2022 года N 1294 "О внесении изменений в приказ Департамента здравоохранения Ханты-Мансийского автономного округа - Югры от 6 мая 2021 года N 655 "Об организации оказания специализированной, в том числе высокотехнологичной, медицинской помощи взрослому населению Ханты-Мансийского автономного округа - Югры".</w:t>
      </w:r>
    </w:p>
    <w:p>
      <w:pPr>
        <w:pStyle w:val="0"/>
        <w:spacing w:before="200" w:line-rule="auto"/>
        <w:ind w:firstLine="540"/>
        <w:jc w:val="both"/>
      </w:pPr>
      <w:r>
        <w:rPr>
          <w:sz w:val="20"/>
        </w:rPr>
        <w:t xml:space="preserve">37. Приказ Депздрава Югры от 23 ноября 2022 года N 1881 "Об организации обеспечения в амбулаторных условиях лекарственными препаратами лиц, перенесших острое нарушение мозгового кровообращения, инфаркта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в Ханты-Мансийском автономном округе - Югре".</w:t>
      </w:r>
    </w:p>
    <w:p>
      <w:pPr>
        <w:pStyle w:val="0"/>
        <w:spacing w:before="200" w:line-rule="auto"/>
        <w:ind w:firstLine="540"/>
        <w:jc w:val="both"/>
      </w:pPr>
      <w:r>
        <w:rPr>
          <w:sz w:val="20"/>
        </w:rPr>
        <w:t xml:space="preserve">38. Приказ Депздрава Югры от 9 декабря 2022 года N 1976 "Об утверждении плана мероприятий ("дорожной карты") по совершенствованию оказания медицинской помощи по профилю "кардиология" в Ханты-Мансийском автономном округе - Югре".</w:t>
      </w:r>
    </w:p>
    <w:p>
      <w:pPr>
        <w:pStyle w:val="0"/>
        <w:spacing w:before="200" w:line-rule="auto"/>
        <w:ind w:firstLine="540"/>
        <w:jc w:val="both"/>
      </w:pPr>
      <w:r>
        <w:rPr>
          <w:sz w:val="20"/>
        </w:rPr>
        <w:t xml:space="preserve">39. Приказ Депздрава Югры от 30 декабря 2022 года N 2130 "О проведении телемедицинских консультаций по профилю "сердечно-сосудистая хирургия" в Ханты-Мансийском автономном округе - Югре".</w:t>
      </w:r>
    </w:p>
    <w:p>
      <w:pPr>
        <w:pStyle w:val="0"/>
        <w:spacing w:before="200" w:line-rule="auto"/>
        <w:ind w:firstLine="540"/>
        <w:jc w:val="both"/>
      </w:pPr>
      <w:r>
        <w:rPr>
          <w:sz w:val="20"/>
        </w:rPr>
        <w:t xml:space="preserve">40. Приказ Депздрава Югры от 13 декабря 2022 года N 1995 "О внесении изменений в приказ Департамента здравоохранения Ханты-Мансийского автономного округа - Югры от 29 декабря 2021 года N 2174 "О совершенствовании оказания специализированной медицинской помощи пациентам с острым коронарным синдромом в медицинских организациях Ханты-Мансийского автономного округа - Югры".</w:t>
      </w:r>
    </w:p>
    <w:p>
      <w:pPr>
        <w:pStyle w:val="0"/>
        <w:spacing w:before="200" w:line-rule="auto"/>
        <w:ind w:firstLine="540"/>
        <w:jc w:val="both"/>
      </w:pPr>
      <w:r>
        <w:rPr>
          <w:sz w:val="20"/>
        </w:rPr>
        <w:t xml:space="preserve">41. Приказ Депздрава Югры от 30 декабря 2022 года N 2130 "О проведении телемедицинских консультаций по профилю "сердечно-сосудистая хирургия" в Ханты-Мансийском автономном округе - Югре".</w:t>
      </w:r>
    </w:p>
    <w:p>
      <w:pPr>
        <w:pStyle w:val="0"/>
        <w:ind w:firstLine="540"/>
        <w:jc w:val="both"/>
      </w:pPr>
      <w:r>
        <w:rPr>
          <w:sz w:val="20"/>
        </w:rPr>
      </w:r>
    </w:p>
    <w:p>
      <w:pPr>
        <w:pStyle w:val="2"/>
        <w:outlineLvl w:val="2"/>
        <w:ind w:firstLine="540"/>
        <w:jc w:val="both"/>
      </w:pPr>
      <w:r>
        <w:rPr>
          <w:sz w:val="20"/>
        </w:rPr>
        <w:t xml:space="preserve">1.9. Выводы</w:t>
      </w:r>
    </w:p>
    <w:p>
      <w:pPr>
        <w:pStyle w:val="0"/>
        <w:jc w:val="center"/>
      </w:pPr>
      <w:r>
        <w:rPr>
          <w:sz w:val="20"/>
        </w:rPr>
      </w:r>
    </w:p>
    <w:p>
      <w:pPr>
        <w:pStyle w:val="0"/>
        <w:ind w:firstLine="540"/>
        <w:jc w:val="both"/>
      </w:pPr>
      <w:r>
        <w:rPr>
          <w:sz w:val="20"/>
        </w:rPr>
        <w:t xml:space="preserve">Региональная система здравоохранения автономного округа по итогам работы в 2022 году обеспечила доступность, качество и преемственность оказания медицинской помощи при сердечно-сосудистых заболеваниях населению автономного округа.</w:t>
      </w:r>
    </w:p>
    <w:p>
      <w:pPr>
        <w:pStyle w:val="0"/>
        <w:spacing w:before="200" w:line-rule="auto"/>
        <w:ind w:firstLine="540"/>
        <w:jc w:val="both"/>
      </w:pPr>
      <w:r>
        <w:rPr>
          <w:sz w:val="20"/>
        </w:rPr>
        <w:t xml:space="preserve">По итогам работы в 2022 году автономный округ стабильно входит в пятерку субъектов Российской Федерации с самым низким уровнем смертности и летальности от болезней системы кровообращения включая инфаркт миокарда и острое нарушение мозгового кровообращения. Показатель смертности от БСК составил 255,2 на 100 тыс. населения, что на 10,7% ниже показателя 2021 года.</w:t>
      </w:r>
    </w:p>
    <w:p>
      <w:pPr>
        <w:pStyle w:val="0"/>
        <w:spacing w:before="200" w:line-rule="auto"/>
        <w:ind w:firstLine="540"/>
        <w:jc w:val="both"/>
      </w:pPr>
      <w:r>
        <w:rPr>
          <w:sz w:val="20"/>
        </w:rPr>
        <w:t xml:space="preserve">Снижение смертности БСК обусловлено:</w:t>
      </w:r>
    </w:p>
    <w:p>
      <w:pPr>
        <w:pStyle w:val="0"/>
        <w:spacing w:before="200" w:line-rule="auto"/>
        <w:ind w:firstLine="540"/>
        <w:jc w:val="both"/>
      </w:pPr>
      <w:r>
        <w:rPr>
          <w:sz w:val="20"/>
        </w:rPr>
        <w:t xml:space="preserve">снижением уровня заболеваемости коронавирусной инфекцией и, как следствие, снижением развития тяжелых сердечно-сосудистых заболеваний и их осложнений у больных на фоне ее течения и в отделенном периоде;</w:t>
      </w:r>
    </w:p>
    <w:p>
      <w:pPr>
        <w:pStyle w:val="0"/>
        <w:spacing w:before="200" w:line-rule="auto"/>
        <w:ind w:firstLine="540"/>
        <w:jc w:val="both"/>
      </w:pPr>
      <w:r>
        <w:rPr>
          <w:sz w:val="20"/>
        </w:rPr>
        <w:t xml:space="preserve">принятием административно-управленческих решений по совершенствованию оказания специализированной, в том числе высокотехнологичной, медицинской помощи по профилю "кардиология".</w:t>
      </w:r>
    </w:p>
    <w:p>
      <w:pPr>
        <w:pStyle w:val="0"/>
        <w:spacing w:before="200" w:line-rule="auto"/>
        <w:ind w:firstLine="540"/>
        <w:jc w:val="both"/>
      </w:pPr>
      <w:r>
        <w:rPr>
          <w:sz w:val="20"/>
        </w:rPr>
        <w:t xml:space="preserve">Положительные изменения в 2022 году в сравнении с 2021 годом:</w:t>
      </w:r>
    </w:p>
    <w:p>
      <w:pPr>
        <w:pStyle w:val="0"/>
        <w:spacing w:before="200" w:line-rule="auto"/>
        <w:ind w:firstLine="540"/>
        <w:jc w:val="both"/>
      </w:pPr>
      <w:r>
        <w:rPr>
          <w:sz w:val="20"/>
        </w:rPr>
        <w:t xml:space="preserve">увеличение доли больных с ИМ, пролеченных в региональных сосудистых центрах, с 93,8% до 96,4%;</w:t>
      </w:r>
    </w:p>
    <w:p>
      <w:pPr>
        <w:pStyle w:val="0"/>
        <w:spacing w:before="200" w:line-rule="auto"/>
        <w:ind w:firstLine="540"/>
        <w:jc w:val="both"/>
      </w:pPr>
      <w:r>
        <w:rPr>
          <w:sz w:val="20"/>
        </w:rPr>
        <w:t xml:space="preserve">снижение летальности от ИМ в стационарах округа с 7,3% до 6,0%; а в РСЦ - с 5,5% до 4,2%;</w:t>
      </w:r>
    </w:p>
    <w:p>
      <w:pPr>
        <w:pStyle w:val="0"/>
        <w:spacing w:before="200" w:line-rule="auto"/>
        <w:ind w:firstLine="540"/>
        <w:jc w:val="both"/>
      </w:pPr>
      <w:r>
        <w:rPr>
          <w:sz w:val="20"/>
        </w:rPr>
        <w:t xml:space="preserve">увеличение доли пациентов с ОКСпST, получивших ЧКВ, с 84,4% до 85,2%;</w:t>
      </w:r>
    </w:p>
    <w:p>
      <w:pPr>
        <w:pStyle w:val="0"/>
        <w:spacing w:before="200" w:line-rule="auto"/>
        <w:ind w:firstLine="540"/>
        <w:jc w:val="both"/>
      </w:pPr>
      <w:r>
        <w:rPr>
          <w:sz w:val="20"/>
        </w:rPr>
        <w:t xml:space="preserve">увеличение доли пациентов с ОКСбпST, получивших ЧКВ, с 58,1% до 67,8%;</w:t>
      </w:r>
    </w:p>
    <w:p>
      <w:pPr>
        <w:pStyle w:val="0"/>
        <w:spacing w:before="200" w:line-rule="auto"/>
        <w:ind w:firstLine="540"/>
        <w:jc w:val="both"/>
      </w:pPr>
      <w:r>
        <w:rPr>
          <w:sz w:val="20"/>
        </w:rPr>
        <w:t xml:space="preserve">увеличение числа впервые выявленных больных с БСК на 10,5%;</w:t>
      </w:r>
    </w:p>
    <w:p>
      <w:pPr>
        <w:pStyle w:val="0"/>
        <w:spacing w:before="200" w:line-rule="auto"/>
        <w:ind w:firstLine="540"/>
        <w:jc w:val="both"/>
      </w:pPr>
      <w:r>
        <w:rPr>
          <w:sz w:val="20"/>
        </w:rPr>
        <w:t xml:space="preserve">увеличение числа посещений врачей-кардиологов в автономном округе на 5,3%, функция врачебной должности увеличилась на 7,8%;</w:t>
      </w:r>
    </w:p>
    <w:p>
      <w:pPr>
        <w:pStyle w:val="0"/>
        <w:spacing w:before="200" w:line-rule="auto"/>
        <w:ind w:firstLine="540"/>
        <w:jc w:val="both"/>
      </w:pPr>
      <w:r>
        <w:rPr>
          <w:sz w:val="20"/>
        </w:rPr>
        <w:t xml:space="preserve">увеличение числа пациентов, прошедших диагностику одного дня в учреждениях 3 уровня, на 12,9% в сравнении с 2021 годом, из них каждый 7-й направлен на ВМП;</w:t>
      </w:r>
    </w:p>
    <w:p>
      <w:pPr>
        <w:pStyle w:val="0"/>
        <w:spacing w:before="200" w:line-rule="auto"/>
        <w:ind w:firstLine="540"/>
        <w:jc w:val="both"/>
      </w:pPr>
      <w:r>
        <w:rPr>
          <w:sz w:val="20"/>
        </w:rPr>
        <w:t xml:space="preserve">увеличение числа мест в дневных стационарах на 6,7%;</w:t>
      </w:r>
    </w:p>
    <w:p>
      <w:pPr>
        <w:pStyle w:val="0"/>
        <w:spacing w:before="200" w:line-rule="auto"/>
        <w:ind w:firstLine="540"/>
        <w:jc w:val="both"/>
      </w:pPr>
      <w:r>
        <w:rPr>
          <w:sz w:val="20"/>
        </w:rPr>
        <w:t xml:space="preserve">увеличение числа амбулаторных КАГ на 30,7%;</w:t>
      </w:r>
    </w:p>
    <w:p>
      <w:pPr>
        <w:pStyle w:val="0"/>
        <w:spacing w:before="200" w:line-rule="auto"/>
        <w:ind w:firstLine="540"/>
        <w:jc w:val="both"/>
      </w:pPr>
      <w:r>
        <w:rPr>
          <w:sz w:val="20"/>
        </w:rPr>
        <w:t xml:space="preserve">увеличение на 33,8% количества телемедицинских консультаций учреждениями 3 уровня медицинских организаций 1 - 2 уровня;</w:t>
      </w:r>
    </w:p>
    <w:p>
      <w:pPr>
        <w:pStyle w:val="0"/>
        <w:spacing w:before="200" w:line-rule="auto"/>
        <w:ind w:firstLine="540"/>
        <w:jc w:val="both"/>
      </w:pPr>
      <w:r>
        <w:rPr>
          <w:sz w:val="20"/>
        </w:rPr>
        <w:t xml:space="preserve">увеличение объемов высокотехнологичных вмешательств на сердце на 3,8%;</w:t>
      </w:r>
    </w:p>
    <w:p>
      <w:pPr>
        <w:pStyle w:val="0"/>
        <w:spacing w:before="200" w:line-rule="auto"/>
        <w:ind w:firstLine="540"/>
        <w:jc w:val="both"/>
      </w:pPr>
      <w:r>
        <w:rPr>
          <w:sz w:val="20"/>
        </w:rPr>
        <w:t xml:space="preserve">снижение показателей смертности среди трудоспособного населения: от всех причин на 12,8%, от БСК на 8,3%, ИБС на 18,5%, ЦВБ на 3,2%.</w:t>
      </w:r>
    </w:p>
    <w:p>
      <w:pPr>
        <w:pStyle w:val="0"/>
        <w:spacing w:before="200" w:line-rule="auto"/>
        <w:ind w:firstLine="540"/>
        <w:jc w:val="both"/>
      </w:pPr>
      <w:r>
        <w:rPr>
          <w:sz w:val="20"/>
        </w:rPr>
        <w:t xml:space="preserve">Для достижения целевых показателей регионального проекта необходимо направить усилия регионального здравоохранения на решение следующих задач:</w:t>
      </w:r>
    </w:p>
    <w:p>
      <w:pPr>
        <w:pStyle w:val="0"/>
        <w:spacing w:before="200" w:line-rule="auto"/>
        <w:ind w:firstLine="540"/>
        <w:jc w:val="both"/>
      </w:pPr>
      <w:r>
        <w:rPr>
          <w:sz w:val="20"/>
        </w:rPr>
        <w:t xml:space="preserve">1. Системный подход и контроль за исполнением целевых показателей и поставленных задач со стороны главных врачей медицинских организаций.</w:t>
      </w:r>
    </w:p>
    <w:p>
      <w:pPr>
        <w:pStyle w:val="0"/>
        <w:spacing w:before="200" w:line-rule="auto"/>
        <w:ind w:firstLine="540"/>
        <w:jc w:val="both"/>
      </w:pPr>
      <w:r>
        <w:rPr>
          <w:sz w:val="20"/>
        </w:rPr>
        <w:t xml:space="preserve">2. Повышение качества оказания медицинской помощи больным с ССЗ в первичном звене:</w:t>
      </w:r>
    </w:p>
    <w:p>
      <w:pPr>
        <w:pStyle w:val="0"/>
        <w:spacing w:before="200" w:line-rule="auto"/>
        <w:ind w:firstLine="540"/>
        <w:jc w:val="both"/>
      </w:pPr>
      <w:r>
        <w:rPr>
          <w:sz w:val="20"/>
        </w:rPr>
        <w:t xml:space="preserve">повышение охвата Д-наблюдением не менее 80% от числа зарегистрированных больных с БСК,</w:t>
      </w:r>
    </w:p>
    <w:p>
      <w:pPr>
        <w:pStyle w:val="0"/>
        <w:spacing w:before="200" w:line-rule="auto"/>
        <w:ind w:firstLine="540"/>
        <w:jc w:val="both"/>
      </w:pPr>
      <w:r>
        <w:rPr>
          <w:sz w:val="20"/>
        </w:rPr>
        <w:t xml:space="preserve">достижение целевых уровней АД, липидов крови не менее чем у 70% пациентов АГ, ИБС, с нарушениями липидного обмена;</w:t>
      </w:r>
    </w:p>
    <w:p>
      <w:pPr>
        <w:pStyle w:val="0"/>
        <w:spacing w:before="200" w:line-rule="auto"/>
        <w:ind w:firstLine="540"/>
        <w:jc w:val="both"/>
      </w:pPr>
      <w:r>
        <w:rPr>
          <w:sz w:val="20"/>
        </w:rPr>
        <w:t xml:space="preserve">увеличение числа проводимых нагрузочных тестов;</w:t>
      </w:r>
    </w:p>
    <w:p>
      <w:pPr>
        <w:pStyle w:val="0"/>
        <w:spacing w:before="200" w:line-rule="auto"/>
        <w:ind w:firstLine="540"/>
        <w:jc w:val="both"/>
      </w:pPr>
      <w:r>
        <w:rPr>
          <w:sz w:val="20"/>
        </w:rPr>
        <w:t xml:space="preserve">использование шкалы предтестовой вероятности ИБС;</w:t>
      </w:r>
    </w:p>
    <w:p>
      <w:pPr>
        <w:pStyle w:val="0"/>
        <w:spacing w:before="200" w:line-rule="auto"/>
        <w:ind w:firstLine="540"/>
        <w:jc w:val="both"/>
      </w:pPr>
      <w:r>
        <w:rPr>
          <w:sz w:val="20"/>
        </w:rPr>
        <w:t xml:space="preserve">увеличение охвата диспансеризацией и профилактическими осмотрами лиц, не посещавших медицинские организации 2 и более лет;</w:t>
      </w:r>
    </w:p>
    <w:p>
      <w:pPr>
        <w:pStyle w:val="0"/>
        <w:spacing w:before="200" w:line-rule="auto"/>
        <w:ind w:firstLine="540"/>
        <w:jc w:val="both"/>
      </w:pPr>
      <w:r>
        <w:rPr>
          <w:sz w:val="20"/>
        </w:rPr>
        <w:t xml:space="preserve">повышение качества выявления факторов риска ССЗ.</w:t>
      </w:r>
    </w:p>
    <w:p>
      <w:pPr>
        <w:pStyle w:val="0"/>
        <w:spacing w:before="200" w:line-rule="auto"/>
        <w:ind w:firstLine="540"/>
        <w:jc w:val="both"/>
      </w:pPr>
      <w:r>
        <w:rPr>
          <w:sz w:val="20"/>
        </w:rPr>
        <w:t xml:space="preserve">1. Обеспечение контроля качества диспансерного наблюдения за пациентами с БСК высокого риска: проведение ведомственного контроля качества в сфере обеспечения диспансерного наблюдения с участием главных специалистов Депздрава Югры по терапии и кардиологии.</w:t>
      </w:r>
    </w:p>
    <w:p>
      <w:pPr>
        <w:pStyle w:val="0"/>
        <w:spacing w:before="200" w:line-rule="auto"/>
        <w:ind w:firstLine="540"/>
        <w:jc w:val="both"/>
      </w:pPr>
      <w:r>
        <w:rPr>
          <w:sz w:val="20"/>
        </w:rPr>
        <w:t xml:space="preserve">1. Активизация и внедрение новых форм и методов работы центров здоровья, кабинетов медицинской профилактики, школ пациентов.</w:t>
      </w:r>
    </w:p>
    <w:p>
      <w:pPr>
        <w:pStyle w:val="0"/>
        <w:spacing w:before="200" w:line-rule="auto"/>
        <w:ind w:firstLine="540"/>
        <w:jc w:val="both"/>
      </w:pPr>
      <w:r>
        <w:rPr>
          <w:sz w:val="20"/>
        </w:rPr>
        <w:t xml:space="preserve">2. Совершенствование работы межрайонных центров и кабинетов по лечению больных с ХСН.</w:t>
      </w:r>
    </w:p>
    <w:p>
      <w:pPr>
        <w:pStyle w:val="0"/>
        <w:spacing w:before="200" w:line-rule="auto"/>
        <w:ind w:firstLine="540"/>
        <w:jc w:val="both"/>
      </w:pPr>
      <w:r>
        <w:rPr>
          <w:sz w:val="20"/>
        </w:rPr>
        <w:t xml:space="preserve">3. Создание регистра пациентов с ХСН.</w:t>
      </w:r>
    </w:p>
    <w:p>
      <w:pPr>
        <w:pStyle w:val="0"/>
        <w:spacing w:before="200" w:line-rule="auto"/>
        <w:ind w:firstLine="540"/>
        <w:jc w:val="both"/>
      </w:pPr>
      <w:r>
        <w:rPr>
          <w:sz w:val="20"/>
        </w:rPr>
        <w:t xml:space="preserve">4. Организация планирования, преемственности, учет услуг и оценка эффективности кардиореабилитации; обеспечение не менее 60% пациентов с ОНМК и 70% пациентов с ОКС мероприятиями по медицинской реабилитации.</w:t>
      </w:r>
    </w:p>
    <w:p>
      <w:pPr>
        <w:pStyle w:val="0"/>
        <w:spacing w:before="200" w:line-rule="auto"/>
        <w:ind w:firstLine="540"/>
        <w:jc w:val="both"/>
      </w:pPr>
      <w:r>
        <w:rPr>
          <w:sz w:val="20"/>
        </w:rPr>
        <w:t xml:space="preserve">5. Повсеместное внедрение клинических рекомендаций и протоколов лечения с учетом особенностей работы конкретной медицинской организации.</w:t>
      </w:r>
    </w:p>
    <w:p>
      <w:pPr>
        <w:pStyle w:val="0"/>
        <w:spacing w:before="200" w:line-rule="auto"/>
        <w:ind w:firstLine="540"/>
        <w:jc w:val="both"/>
      </w:pPr>
      <w:r>
        <w:rPr>
          <w:sz w:val="20"/>
        </w:rPr>
        <w:t xml:space="preserve">6. Обеспечение контроля интеграции данных первичной медицинской документации с вертикально-интегрированной медицинской информационной системой по профилю оказания медицинской помощи "сердечно-сосудистые заболевания".</w:t>
      </w:r>
    </w:p>
    <w:p>
      <w:pPr>
        <w:pStyle w:val="0"/>
        <w:spacing w:before="200" w:line-rule="auto"/>
        <w:ind w:firstLine="540"/>
        <w:jc w:val="both"/>
      </w:pPr>
      <w:r>
        <w:rPr>
          <w:sz w:val="20"/>
        </w:rPr>
        <w:t xml:space="preserve">Главным врачам медицинских организаций автономного округа обеспечить мониторинг показателей:</w:t>
      </w:r>
    </w:p>
    <w:p>
      <w:pPr>
        <w:pStyle w:val="0"/>
        <w:spacing w:before="200" w:line-rule="auto"/>
        <w:ind w:firstLine="540"/>
        <w:jc w:val="both"/>
      </w:pPr>
      <w:r>
        <w:rPr>
          <w:sz w:val="20"/>
        </w:rPr>
        <w:t xml:space="preserve">Общая смертность и смертность от БСК, в том числе с разбивкой по группам нозологий, достижение индивидуальных целевых показателей смертности и летальности, определенных Депздравом;</w:t>
      </w:r>
    </w:p>
    <w:p>
      <w:pPr>
        <w:pStyle w:val="0"/>
        <w:spacing w:before="200" w:line-rule="auto"/>
        <w:ind w:firstLine="540"/>
        <w:jc w:val="both"/>
      </w:pPr>
      <w:r>
        <w:rPr>
          <w:sz w:val="20"/>
        </w:rPr>
        <w:t xml:space="preserve">число/доля пациентов с БСК, охваченных диспансерным наблюдением, в том числе с ХСН, число/доля осмотренных из числа состоящих на Д-учете;</w:t>
      </w:r>
    </w:p>
    <w:p>
      <w:pPr>
        <w:pStyle w:val="0"/>
        <w:spacing w:before="200" w:line-rule="auto"/>
        <w:ind w:firstLine="540"/>
        <w:jc w:val="both"/>
      </w:pPr>
      <w:r>
        <w:rPr>
          <w:sz w:val="20"/>
        </w:rPr>
        <w:t xml:space="preserve">динамика числа впервые взятых на Д-учет пациентов с БСК;</w:t>
      </w:r>
    </w:p>
    <w:p>
      <w:pPr>
        <w:pStyle w:val="0"/>
        <w:spacing w:before="200" w:line-rule="auto"/>
        <w:ind w:firstLine="540"/>
        <w:jc w:val="both"/>
      </w:pPr>
      <w:r>
        <w:rPr>
          <w:sz w:val="20"/>
        </w:rPr>
        <w:t xml:space="preserve">контроль качества оказания медицинской помощи больным с БСК участковыми терапевтами, врачами общей практики в соответствии с клиническими рекомендациями;</w:t>
      </w:r>
    </w:p>
    <w:p>
      <w:pPr>
        <w:pStyle w:val="0"/>
        <w:spacing w:before="200" w:line-rule="auto"/>
        <w:ind w:firstLine="540"/>
        <w:jc w:val="both"/>
      </w:pPr>
      <w:r>
        <w:rPr>
          <w:sz w:val="20"/>
        </w:rPr>
        <w:t xml:space="preserve">контроль льготного лекарственного обеспечения пациентов с БСК;</w:t>
      </w:r>
    </w:p>
    <w:p>
      <w:pPr>
        <w:pStyle w:val="0"/>
        <w:spacing w:before="200" w:line-rule="auto"/>
        <w:ind w:firstLine="540"/>
        <w:jc w:val="both"/>
      </w:pPr>
      <w:r>
        <w:rPr>
          <w:sz w:val="20"/>
        </w:rPr>
        <w:t xml:space="preserve">контроль диспансерного наблюдения и сестринского патронажа пациентов с ХСН.</w:t>
      </w:r>
    </w:p>
    <w:p>
      <w:pPr>
        <w:pStyle w:val="0"/>
        <w:ind w:firstLine="540"/>
        <w:jc w:val="both"/>
      </w:pPr>
      <w:r>
        <w:rPr>
          <w:sz w:val="20"/>
        </w:rPr>
      </w:r>
    </w:p>
    <w:p>
      <w:pPr>
        <w:pStyle w:val="2"/>
        <w:outlineLvl w:val="1"/>
        <w:jc w:val="center"/>
      </w:pPr>
      <w:r>
        <w:rPr>
          <w:sz w:val="20"/>
        </w:rPr>
        <w:t xml:space="preserve">Раздел 2. ЦЕЛЬ, ПОКАЗАТЕЛИ И СРОКИ РЕАЛИЗАЦИИ РЕГИОНАЛЬНОЙ</w:t>
      </w:r>
    </w:p>
    <w:p>
      <w:pPr>
        <w:pStyle w:val="2"/>
        <w:jc w:val="center"/>
      </w:pPr>
      <w:r>
        <w:rPr>
          <w:sz w:val="20"/>
        </w:rPr>
        <w:t xml:space="preserve">ПРОГРАММЫ ПО БОРЬБЕ С СЕРДЕЧНО-СОСУДИСТЫМИ ЗАБОЛЕВАНИЯМИ</w:t>
      </w:r>
    </w:p>
    <w:p>
      <w:pPr>
        <w:pStyle w:val="0"/>
        <w:jc w:val="center"/>
      </w:pPr>
      <w:r>
        <w:rPr>
          <w:sz w:val="20"/>
        </w:rPr>
      </w:r>
    </w:p>
    <w:p>
      <w:pPr>
        <w:pStyle w:val="0"/>
        <w:ind w:firstLine="540"/>
        <w:jc w:val="both"/>
      </w:pPr>
      <w:r>
        <w:rPr>
          <w:sz w:val="20"/>
        </w:rPr>
        <w:t xml:space="preserve">Основная цель - снижение смертности от болезней системы кровообращения до 225,7 случаев на 100 тыс. населения к 2024 году. Для чего утверждены следующие целевые показатели.</w:t>
      </w:r>
    </w:p>
    <w:p>
      <w:pPr>
        <w:pStyle w:val="0"/>
        <w:jc w:val="right"/>
      </w:pPr>
      <w:r>
        <w:rPr>
          <w:sz w:val="20"/>
        </w:rPr>
      </w:r>
    </w:p>
    <w:p>
      <w:pPr>
        <w:pStyle w:val="0"/>
        <w:jc w:val="right"/>
      </w:pPr>
      <w:r>
        <w:rPr>
          <w:sz w:val="20"/>
        </w:rPr>
        <w:t xml:space="preserve">Таблица 64</w:t>
      </w:r>
    </w:p>
    <w:p>
      <w:pPr>
        <w:pStyle w:val="0"/>
        <w:jc w:val="right"/>
      </w:pPr>
      <w:r>
        <w:rPr>
          <w:sz w:val="20"/>
        </w:rPr>
      </w:r>
    </w:p>
    <w:bookmarkStart w:id="19394" w:name="P19394"/>
    <w:bookmarkEnd w:id="19394"/>
    <w:p>
      <w:pPr>
        <w:pStyle w:val="0"/>
        <w:jc w:val="center"/>
      </w:pPr>
      <w:r>
        <w:rPr>
          <w:sz w:val="20"/>
        </w:rPr>
        <w:t xml:space="preserve">Основные показатели региональной программы "Борьба</w:t>
      </w:r>
    </w:p>
    <w:p>
      <w:pPr>
        <w:pStyle w:val="0"/>
        <w:jc w:val="center"/>
      </w:pPr>
      <w:r>
        <w:rPr>
          <w:sz w:val="20"/>
        </w:rPr>
        <w:t xml:space="preserve">с сердечно-сосудистыми заболеваниями"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3345"/>
        <w:gridCol w:w="1204"/>
        <w:gridCol w:w="664"/>
        <w:gridCol w:w="604"/>
        <w:gridCol w:w="664"/>
        <w:gridCol w:w="664"/>
        <w:gridCol w:w="664"/>
        <w:gridCol w:w="664"/>
      </w:tblGrid>
      <w:tr>
        <w:tc>
          <w:tcPr>
            <w:tcW w:w="454" w:type="dxa"/>
            <w:vMerge w:val="restart"/>
          </w:tcPr>
          <w:p>
            <w:pPr>
              <w:pStyle w:val="0"/>
              <w:jc w:val="center"/>
            </w:pPr>
            <w:r>
              <w:rPr>
                <w:sz w:val="20"/>
              </w:rPr>
              <w:t xml:space="preserve">N п/п</w:t>
            </w:r>
          </w:p>
        </w:tc>
        <w:tc>
          <w:tcPr>
            <w:tcW w:w="3345" w:type="dxa"/>
            <w:vMerge w:val="restart"/>
          </w:tcPr>
          <w:p>
            <w:pPr>
              <w:pStyle w:val="0"/>
              <w:jc w:val="center"/>
            </w:pPr>
            <w:r>
              <w:rPr>
                <w:sz w:val="20"/>
              </w:rPr>
              <w:t xml:space="preserve">Наименование показателя</w:t>
            </w:r>
          </w:p>
        </w:tc>
        <w:tc>
          <w:tcPr>
            <w:tcW w:w="1204" w:type="dxa"/>
          </w:tcPr>
          <w:p>
            <w:pPr>
              <w:pStyle w:val="0"/>
              <w:jc w:val="center"/>
            </w:pPr>
            <w:r>
              <w:rPr>
                <w:sz w:val="20"/>
              </w:rPr>
              <w:t xml:space="preserve">Базовое значение</w:t>
            </w:r>
          </w:p>
        </w:tc>
        <w:tc>
          <w:tcPr>
            <w:gridSpan w:val="6"/>
            <w:tcW w:w="3924" w:type="dxa"/>
          </w:tcPr>
          <w:p>
            <w:pPr>
              <w:pStyle w:val="0"/>
              <w:jc w:val="center"/>
            </w:pPr>
            <w:r>
              <w:rPr>
                <w:sz w:val="20"/>
              </w:rPr>
              <w:t xml:space="preserve">Период, год</w:t>
            </w:r>
          </w:p>
        </w:tc>
      </w:tr>
      <w:tr>
        <w:tc>
          <w:tcPr>
            <w:vMerge w:val="continue"/>
          </w:tcPr>
          <w:p/>
        </w:tc>
        <w:tc>
          <w:tcPr>
            <w:vMerge w:val="continue"/>
          </w:tcPr>
          <w:p/>
        </w:tc>
        <w:tc>
          <w:tcPr>
            <w:tcW w:w="1204" w:type="dxa"/>
          </w:tcPr>
          <w:p>
            <w:pPr>
              <w:pStyle w:val="0"/>
              <w:jc w:val="center"/>
            </w:pPr>
            <w:r>
              <w:rPr>
                <w:sz w:val="20"/>
              </w:rPr>
              <w:t xml:space="preserve">31.12.2018</w:t>
            </w:r>
          </w:p>
        </w:tc>
        <w:tc>
          <w:tcPr>
            <w:tcW w:w="664" w:type="dxa"/>
          </w:tcPr>
          <w:p>
            <w:pPr>
              <w:pStyle w:val="0"/>
              <w:jc w:val="center"/>
            </w:pPr>
            <w:r>
              <w:rPr>
                <w:sz w:val="20"/>
              </w:rPr>
              <w:t xml:space="preserve">2019</w:t>
            </w:r>
          </w:p>
        </w:tc>
        <w:tc>
          <w:tcPr>
            <w:tcW w:w="604" w:type="dxa"/>
          </w:tcPr>
          <w:p>
            <w:pPr>
              <w:pStyle w:val="0"/>
              <w:jc w:val="center"/>
            </w:pPr>
            <w:r>
              <w:rPr>
                <w:sz w:val="20"/>
              </w:rPr>
              <w:t xml:space="preserve">2020</w:t>
            </w:r>
          </w:p>
        </w:tc>
        <w:tc>
          <w:tcPr>
            <w:tcW w:w="664" w:type="dxa"/>
          </w:tcPr>
          <w:p>
            <w:pPr>
              <w:pStyle w:val="0"/>
              <w:jc w:val="center"/>
            </w:pPr>
            <w:r>
              <w:rPr>
                <w:sz w:val="20"/>
              </w:rPr>
              <w:t xml:space="preserve">2021</w:t>
            </w:r>
          </w:p>
        </w:tc>
        <w:tc>
          <w:tcPr>
            <w:tcW w:w="664" w:type="dxa"/>
          </w:tcPr>
          <w:p>
            <w:pPr>
              <w:pStyle w:val="0"/>
              <w:jc w:val="center"/>
            </w:pPr>
            <w:r>
              <w:rPr>
                <w:sz w:val="20"/>
              </w:rPr>
              <w:t xml:space="preserve">2022</w:t>
            </w:r>
          </w:p>
        </w:tc>
        <w:tc>
          <w:tcPr>
            <w:tcW w:w="664" w:type="dxa"/>
          </w:tcPr>
          <w:p>
            <w:pPr>
              <w:pStyle w:val="0"/>
              <w:jc w:val="center"/>
            </w:pPr>
            <w:r>
              <w:rPr>
                <w:sz w:val="20"/>
              </w:rPr>
              <w:t xml:space="preserve">2023</w:t>
            </w:r>
          </w:p>
        </w:tc>
        <w:tc>
          <w:tcPr>
            <w:tcW w:w="664" w:type="dxa"/>
          </w:tcPr>
          <w:p>
            <w:pPr>
              <w:pStyle w:val="0"/>
              <w:jc w:val="center"/>
            </w:pPr>
            <w:r>
              <w:rPr>
                <w:sz w:val="20"/>
              </w:rPr>
              <w:t xml:space="preserve">2024</w:t>
            </w:r>
          </w:p>
        </w:tc>
      </w:tr>
      <w:tr>
        <w:tc>
          <w:tcPr>
            <w:tcW w:w="454" w:type="dxa"/>
          </w:tcPr>
          <w:p>
            <w:pPr>
              <w:pStyle w:val="0"/>
            </w:pPr>
            <w:r>
              <w:rPr>
                <w:sz w:val="20"/>
              </w:rPr>
              <w:t xml:space="preserve">1</w:t>
            </w:r>
          </w:p>
        </w:tc>
        <w:tc>
          <w:tcPr>
            <w:tcW w:w="3345" w:type="dxa"/>
          </w:tcPr>
          <w:p>
            <w:pPr>
              <w:pStyle w:val="0"/>
            </w:pPr>
            <w:r>
              <w:rPr>
                <w:sz w:val="20"/>
              </w:rPr>
              <w:t xml:space="preserve">Смертность от болезней системы кровообращения, на 100 тыс. населения</w:t>
            </w:r>
          </w:p>
        </w:tc>
        <w:tc>
          <w:tcPr>
            <w:tcW w:w="1204" w:type="dxa"/>
          </w:tcPr>
          <w:p>
            <w:pPr>
              <w:pStyle w:val="0"/>
            </w:pPr>
            <w:r>
              <w:rPr>
                <w:sz w:val="20"/>
              </w:rPr>
              <w:t xml:space="preserve">246,6</w:t>
            </w:r>
          </w:p>
        </w:tc>
        <w:tc>
          <w:tcPr>
            <w:tcW w:w="664" w:type="dxa"/>
          </w:tcPr>
          <w:p>
            <w:pPr>
              <w:pStyle w:val="0"/>
            </w:pPr>
            <w:r>
              <w:rPr>
                <w:sz w:val="20"/>
              </w:rPr>
              <w:t xml:space="preserve">249,2</w:t>
            </w:r>
          </w:p>
        </w:tc>
        <w:tc>
          <w:tcPr>
            <w:tcW w:w="604" w:type="dxa"/>
          </w:tcPr>
          <w:p>
            <w:pPr>
              <w:pStyle w:val="0"/>
            </w:pPr>
            <w:r>
              <w:rPr>
                <w:sz w:val="20"/>
              </w:rPr>
              <w:t xml:space="preserve">249</w:t>
            </w:r>
          </w:p>
        </w:tc>
        <w:tc>
          <w:tcPr>
            <w:tcW w:w="664" w:type="dxa"/>
          </w:tcPr>
          <w:p>
            <w:pPr>
              <w:pStyle w:val="0"/>
            </w:pPr>
            <w:r>
              <w:rPr>
                <w:sz w:val="20"/>
              </w:rPr>
              <w:t xml:space="preserve">245,5</w:t>
            </w:r>
          </w:p>
        </w:tc>
        <w:tc>
          <w:tcPr>
            <w:tcW w:w="664" w:type="dxa"/>
          </w:tcPr>
          <w:p>
            <w:pPr>
              <w:pStyle w:val="0"/>
            </w:pPr>
            <w:r>
              <w:rPr>
                <w:sz w:val="20"/>
              </w:rPr>
              <w:t xml:space="preserve">238,9</w:t>
            </w:r>
          </w:p>
        </w:tc>
        <w:tc>
          <w:tcPr>
            <w:tcW w:w="664" w:type="dxa"/>
          </w:tcPr>
          <w:p>
            <w:pPr>
              <w:pStyle w:val="0"/>
            </w:pPr>
            <w:r>
              <w:rPr>
                <w:sz w:val="20"/>
              </w:rPr>
              <w:t xml:space="preserve">232,3</w:t>
            </w:r>
          </w:p>
        </w:tc>
        <w:tc>
          <w:tcPr>
            <w:tcW w:w="664" w:type="dxa"/>
          </w:tcPr>
          <w:p>
            <w:pPr>
              <w:pStyle w:val="0"/>
            </w:pPr>
            <w:r>
              <w:rPr>
                <w:sz w:val="20"/>
              </w:rPr>
              <w:t xml:space="preserve">225,7</w:t>
            </w:r>
          </w:p>
        </w:tc>
      </w:tr>
      <w:tr>
        <w:tc>
          <w:tcPr>
            <w:tcW w:w="454" w:type="dxa"/>
          </w:tcPr>
          <w:p>
            <w:pPr>
              <w:pStyle w:val="0"/>
            </w:pPr>
            <w:r>
              <w:rPr>
                <w:sz w:val="20"/>
              </w:rPr>
              <w:t xml:space="preserve">2</w:t>
            </w:r>
          </w:p>
        </w:tc>
        <w:tc>
          <w:tcPr>
            <w:tcW w:w="3345" w:type="dxa"/>
          </w:tcPr>
          <w:p>
            <w:pPr>
              <w:pStyle w:val="0"/>
            </w:pPr>
            <w:r>
              <w:rPr>
                <w:sz w:val="20"/>
              </w:rPr>
              <w:t xml:space="preserve">Доля лиц с болезнями системы кровообращения, состоящих под диспансерным наблюдением, получивших в текущем году медицинские услуги в процессе диспансерного наблюдения от всех пациентов с болезнями системы кровообращения, состоящих под диспансерным наблюдением, %</w:t>
            </w:r>
          </w:p>
        </w:tc>
        <w:tc>
          <w:tcPr>
            <w:tcW w:w="1204" w:type="dxa"/>
          </w:tcPr>
          <w:p>
            <w:pPr>
              <w:pStyle w:val="0"/>
            </w:pPr>
            <w:r>
              <w:rPr>
                <w:sz w:val="20"/>
              </w:rPr>
            </w:r>
          </w:p>
        </w:tc>
        <w:tc>
          <w:tcPr>
            <w:tcW w:w="664" w:type="dxa"/>
          </w:tcPr>
          <w:p>
            <w:pPr>
              <w:pStyle w:val="0"/>
            </w:pPr>
            <w:r>
              <w:rPr>
                <w:sz w:val="20"/>
              </w:rPr>
            </w:r>
          </w:p>
        </w:tc>
        <w:tc>
          <w:tcPr>
            <w:tcW w:w="604" w:type="dxa"/>
          </w:tcPr>
          <w:p>
            <w:pPr>
              <w:pStyle w:val="0"/>
            </w:pPr>
            <w:r>
              <w:rPr>
                <w:sz w:val="20"/>
              </w:rPr>
            </w:r>
          </w:p>
        </w:tc>
        <w:tc>
          <w:tcPr>
            <w:tcW w:w="664" w:type="dxa"/>
          </w:tcPr>
          <w:p>
            <w:pPr>
              <w:pStyle w:val="0"/>
            </w:pPr>
            <w:r>
              <w:rPr>
                <w:sz w:val="20"/>
              </w:rPr>
              <w:t xml:space="preserve">50</w:t>
            </w:r>
          </w:p>
        </w:tc>
        <w:tc>
          <w:tcPr>
            <w:tcW w:w="664" w:type="dxa"/>
          </w:tcPr>
          <w:p>
            <w:pPr>
              <w:pStyle w:val="0"/>
            </w:pPr>
            <w:r>
              <w:rPr>
                <w:sz w:val="20"/>
              </w:rPr>
              <w:t xml:space="preserve">60</w:t>
            </w:r>
          </w:p>
        </w:tc>
        <w:tc>
          <w:tcPr>
            <w:tcW w:w="664" w:type="dxa"/>
          </w:tcPr>
          <w:p>
            <w:pPr>
              <w:pStyle w:val="0"/>
            </w:pPr>
            <w:r>
              <w:rPr>
                <w:sz w:val="20"/>
              </w:rPr>
              <w:t xml:space="preserve">70</w:t>
            </w:r>
          </w:p>
        </w:tc>
        <w:tc>
          <w:tcPr>
            <w:tcW w:w="664" w:type="dxa"/>
          </w:tcPr>
          <w:p>
            <w:pPr>
              <w:pStyle w:val="0"/>
            </w:pPr>
            <w:r>
              <w:rPr>
                <w:sz w:val="20"/>
              </w:rPr>
              <w:t xml:space="preserve">80</w:t>
            </w:r>
          </w:p>
        </w:tc>
      </w:tr>
      <w:tr>
        <w:tc>
          <w:tcPr>
            <w:tcW w:w="454" w:type="dxa"/>
          </w:tcPr>
          <w:p>
            <w:pPr>
              <w:pStyle w:val="0"/>
            </w:pPr>
            <w:r>
              <w:rPr>
                <w:sz w:val="20"/>
              </w:rPr>
              <w:t xml:space="preserve">3</w:t>
            </w:r>
          </w:p>
        </w:tc>
        <w:tc>
          <w:tcPr>
            <w:tcW w:w="3345" w:type="dxa"/>
          </w:tcPr>
          <w:p>
            <w:pPr>
              <w:pStyle w:val="0"/>
            </w:pPr>
            <w:r>
              <w:rPr>
                <w:sz w:val="20"/>
              </w:rPr>
              <w:t xml:space="preserve">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 %</w:t>
            </w:r>
          </w:p>
        </w:tc>
        <w:tc>
          <w:tcPr>
            <w:tcW w:w="1204" w:type="dxa"/>
          </w:tcPr>
          <w:p>
            <w:pPr>
              <w:pStyle w:val="0"/>
            </w:pPr>
            <w:r>
              <w:rPr>
                <w:sz w:val="20"/>
              </w:rPr>
            </w:r>
          </w:p>
        </w:tc>
        <w:tc>
          <w:tcPr>
            <w:tcW w:w="664" w:type="dxa"/>
          </w:tcPr>
          <w:p>
            <w:pPr>
              <w:pStyle w:val="0"/>
            </w:pPr>
            <w:r>
              <w:rPr>
                <w:sz w:val="20"/>
              </w:rPr>
            </w:r>
          </w:p>
        </w:tc>
        <w:tc>
          <w:tcPr>
            <w:tcW w:w="604" w:type="dxa"/>
          </w:tcPr>
          <w:p>
            <w:pPr>
              <w:pStyle w:val="0"/>
            </w:pPr>
            <w:r>
              <w:rPr>
                <w:sz w:val="20"/>
              </w:rPr>
              <w:t xml:space="preserve">50</w:t>
            </w:r>
          </w:p>
        </w:tc>
        <w:tc>
          <w:tcPr>
            <w:tcW w:w="664" w:type="dxa"/>
          </w:tcPr>
          <w:p>
            <w:pPr>
              <w:pStyle w:val="0"/>
            </w:pPr>
            <w:r>
              <w:rPr>
                <w:sz w:val="20"/>
              </w:rPr>
              <w:t xml:space="preserve">80</w:t>
            </w:r>
          </w:p>
        </w:tc>
        <w:tc>
          <w:tcPr>
            <w:tcW w:w="664" w:type="dxa"/>
          </w:tcPr>
          <w:p>
            <w:pPr>
              <w:pStyle w:val="0"/>
            </w:pPr>
            <w:r>
              <w:rPr>
                <w:sz w:val="20"/>
              </w:rPr>
              <w:t xml:space="preserve">85</w:t>
            </w:r>
          </w:p>
        </w:tc>
        <w:tc>
          <w:tcPr>
            <w:tcW w:w="664" w:type="dxa"/>
          </w:tcPr>
          <w:p>
            <w:pPr>
              <w:pStyle w:val="0"/>
            </w:pPr>
            <w:r>
              <w:rPr>
                <w:sz w:val="20"/>
              </w:rPr>
              <w:t xml:space="preserve">90</w:t>
            </w:r>
          </w:p>
        </w:tc>
        <w:tc>
          <w:tcPr>
            <w:tcW w:w="664" w:type="dxa"/>
          </w:tcPr>
          <w:p>
            <w:pPr>
              <w:pStyle w:val="0"/>
            </w:pPr>
            <w:r>
              <w:rPr>
                <w:sz w:val="20"/>
              </w:rPr>
              <w:t xml:space="preserve">90</w:t>
            </w:r>
          </w:p>
        </w:tc>
      </w:tr>
      <w:tr>
        <w:tc>
          <w:tcPr>
            <w:tcW w:w="454" w:type="dxa"/>
          </w:tcPr>
          <w:p>
            <w:pPr>
              <w:pStyle w:val="0"/>
            </w:pPr>
            <w:r>
              <w:rPr>
                <w:sz w:val="20"/>
              </w:rPr>
              <w:t xml:space="preserve">4</w:t>
            </w:r>
          </w:p>
        </w:tc>
        <w:tc>
          <w:tcPr>
            <w:tcW w:w="3345" w:type="dxa"/>
          </w:tcPr>
          <w:p>
            <w:pPr>
              <w:pStyle w:val="0"/>
            </w:pPr>
            <w:r>
              <w:rPr>
                <w:sz w:val="20"/>
              </w:rPr>
              <w:t xml:space="preserve">Количество рентгенэндоваскулярных вмешательств в лечебных целях, ед.</w:t>
            </w:r>
          </w:p>
        </w:tc>
        <w:tc>
          <w:tcPr>
            <w:tcW w:w="1204" w:type="dxa"/>
          </w:tcPr>
          <w:p>
            <w:pPr>
              <w:pStyle w:val="0"/>
            </w:pPr>
            <w:r>
              <w:rPr>
                <w:sz w:val="20"/>
              </w:rPr>
              <w:t xml:space="preserve">3429</w:t>
            </w:r>
          </w:p>
        </w:tc>
        <w:tc>
          <w:tcPr>
            <w:tcW w:w="664" w:type="dxa"/>
          </w:tcPr>
          <w:p>
            <w:pPr>
              <w:pStyle w:val="0"/>
            </w:pPr>
            <w:r>
              <w:rPr>
                <w:sz w:val="20"/>
              </w:rPr>
              <w:t xml:space="preserve">3554</w:t>
            </w:r>
          </w:p>
        </w:tc>
        <w:tc>
          <w:tcPr>
            <w:tcW w:w="604" w:type="dxa"/>
          </w:tcPr>
          <w:p>
            <w:pPr>
              <w:pStyle w:val="0"/>
            </w:pPr>
            <w:r>
              <w:rPr>
                <w:sz w:val="20"/>
              </w:rPr>
              <w:t xml:space="preserve">3433</w:t>
            </w:r>
          </w:p>
        </w:tc>
        <w:tc>
          <w:tcPr>
            <w:tcW w:w="664" w:type="dxa"/>
          </w:tcPr>
          <w:p>
            <w:pPr>
              <w:pStyle w:val="0"/>
            </w:pPr>
            <w:r>
              <w:rPr>
                <w:sz w:val="20"/>
              </w:rPr>
              <w:t xml:space="preserve">3654</w:t>
            </w:r>
          </w:p>
        </w:tc>
        <w:tc>
          <w:tcPr>
            <w:tcW w:w="664" w:type="dxa"/>
          </w:tcPr>
          <w:p>
            <w:pPr>
              <w:pStyle w:val="0"/>
            </w:pPr>
            <w:r>
              <w:rPr>
                <w:sz w:val="20"/>
              </w:rPr>
              <w:t xml:space="preserve">3704</w:t>
            </w:r>
          </w:p>
        </w:tc>
        <w:tc>
          <w:tcPr>
            <w:tcW w:w="664" w:type="dxa"/>
          </w:tcPr>
          <w:p>
            <w:pPr>
              <w:pStyle w:val="0"/>
            </w:pPr>
            <w:r>
              <w:rPr>
                <w:sz w:val="20"/>
              </w:rPr>
              <w:t xml:space="preserve">3363</w:t>
            </w:r>
          </w:p>
        </w:tc>
        <w:tc>
          <w:tcPr>
            <w:tcW w:w="664" w:type="dxa"/>
          </w:tcPr>
          <w:p>
            <w:pPr>
              <w:pStyle w:val="0"/>
            </w:pPr>
            <w:r>
              <w:rPr>
                <w:sz w:val="20"/>
              </w:rPr>
              <w:t xml:space="preserve">3388</w:t>
            </w:r>
          </w:p>
        </w:tc>
      </w:tr>
      <w:tr>
        <w:tc>
          <w:tcPr>
            <w:tcW w:w="454" w:type="dxa"/>
          </w:tcPr>
          <w:p>
            <w:pPr>
              <w:pStyle w:val="0"/>
            </w:pPr>
            <w:r>
              <w:rPr>
                <w:sz w:val="20"/>
              </w:rPr>
              <w:t xml:space="preserve">5</w:t>
            </w:r>
          </w:p>
        </w:tc>
        <w:tc>
          <w:tcPr>
            <w:tcW w:w="3345" w:type="dxa"/>
          </w:tcPr>
          <w:p>
            <w:pPr>
              <w:pStyle w:val="0"/>
            </w:pPr>
            <w:r>
              <w:rPr>
                <w:sz w:val="20"/>
              </w:rPr>
              <w:t xml:space="preserve">Больничная летальность от инфаркта миокарда, %</w:t>
            </w:r>
          </w:p>
        </w:tc>
        <w:tc>
          <w:tcPr>
            <w:tcW w:w="1204" w:type="dxa"/>
          </w:tcPr>
          <w:p>
            <w:pPr>
              <w:pStyle w:val="0"/>
            </w:pPr>
            <w:r>
              <w:rPr>
                <w:sz w:val="20"/>
              </w:rPr>
              <w:t xml:space="preserve">7,7</w:t>
            </w:r>
          </w:p>
        </w:tc>
        <w:tc>
          <w:tcPr>
            <w:tcW w:w="664" w:type="dxa"/>
          </w:tcPr>
          <w:p>
            <w:pPr>
              <w:pStyle w:val="0"/>
            </w:pPr>
            <w:r>
              <w:rPr>
                <w:sz w:val="20"/>
              </w:rPr>
              <w:t xml:space="preserve">7,5</w:t>
            </w:r>
          </w:p>
        </w:tc>
        <w:tc>
          <w:tcPr>
            <w:tcW w:w="604" w:type="dxa"/>
          </w:tcPr>
          <w:p>
            <w:pPr>
              <w:pStyle w:val="0"/>
            </w:pPr>
            <w:r>
              <w:rPr>
                <w:sz w:val="20"/>
              </w:rPr>
              <w:t xml:space="preserve">7,4</w:t>
            </w:r>
          </w:p>
        </w:tc>
        <w:tc>
          <w:tcPr>
            <w:tcW w:w="664" w:type="dxa"/>
          </w:tcPr>
          <w:p>
            <w:pPr>
              <w:pStyle w:val="0"/>
            </w:pPr>
            <w:r>
              <w:rPr>
                <w:sz w:val="20"/>
              </w:rPr>
              <w:t xml:space="preserve">7,3</w:t>
            </w:r>
          </w:p>
        </w:tc>
        <w:tc>
          <w:tcPr>
            <w:tcW w:w="664" w:type="dxa"/>
          </w:tcPr>
          <w:p>
            <w:pPr>
              <w:pStyle w:val="0"/>
            </w:pPr>
            <w:r>
              <w:rPr>
                <w:sz w:val="20"/>
              </w:rPr>
              <w:t xml:space="preserve">7,2</w:t>
            </w:r>
          </w:p>
        </w:tc>
        <w:tc>
          <w:tcPr>
            <w:tcW w:w="664" w:type="dxa"/>
          </w:tcPr>
          <w:p>
            <w:pPr>
              <w:pStyle w:val="0"/>
            </w:pPr>
            <w:r>
              <w:rPr>
                <w:sz w:val="20"/>
              </w:rPr>
              <w:t xml:space="preserve">7,3</w:t>
            </w:r>
          </w:p>
        </w:tc>
        <w:tc>
          <w:tcPr>
            <w:tcW w:w="664" w:type="dxa"/>
          </w:tcPr>
          <w:p>
            <w:pPr>
              <w:pStyle w:val="0"/>
            </w:pPr>
            <w:r>
              <w:rPr>
                <w:sz w:val="20"/>
              </w:rPr>
              <w:t xml:space="preserve">7,3</w:t>
            </w:r>
          </w:p>
        </w:tc>
      </w:tr>
      <w:tr>
        <w:tc>
          <w:tcPr>
            <w:tcW w:w="454" w:type="dxa"/>
          </w:tcPr>
          <w:p>
            <w:pPr>
              <w:pStyle w:val="0"/>
            </w:pPr>
            <w:r>
              <w:rPr>
                <w:sz w:val="20"/>
              </w:rPr>
              <w:t xml:space="preserve">6</w:t>
            </w:r>
          </w:p>
        </w:tc>
        <w:tc>
          <w:tcPr>
            <w:tcW w:w="3345" w:type="dxa"/>
          </w:tcPr>
          <w:p>
            <w:pPr>
              <w:pStyle w:val="0"/>
            </w:pPr>
            <w:r>
              <w:rPr>
                <w:sz w:val="20"/>
              </w:rPr>
              <w:t xml:space="preserve">Больничная летальность от острого нарушения мозгового кровообращения, %</w:t>
            </w:r>
          </w:p>
        </w:tc>
        <w:tc>
          <w:tcPr>
            <w:tcW w:w="1204" w:type="dxa"/>
          </w:tcPr>
          <w:p>
            <w:pPr>
              <w:pStyle w:val="0"/>
            </w:pPr>
            <w:r>
              <w:rPr>
                <w:sz w:val="20"/>
              </w:rPr>
              <w:t xml:space="preserve">10,2</w:t>
            </w:r>
          </w:p>
        </w:tc>
        <w:tc>
          <w:tcPr>
            <w:tcW w:w="664" w:type="dxa"/>
          </w:tcPr>
          <w:p>
            <w:pPr>
              <w:pStyle w:val="0"/>
            </w:pPr>
            <w:r>
              <w:rPr>
                <w:sz w:val="20"/>
              </w:rPr>
              <w:t xml:space="preserve">10</w:t>
            </w:r>
          </w:p>
        </w:tc>
        <w:tc>
          <w:tcPr>
            <w:tcW w:w="604" w:type="dxa"/>
          </w:tcPr>
          <w:p>
            <w:pPr>
              <w:pStyle w:val="0"/>
            </w:pPr>
            <w:r>
              <w:rPr>
                <w:sz w:val="20"/>
              </w:rPr>
              <w:t xml:space="preserve">10,4</w:t>
            </w:r>
          </w:p>
        </w:tc>
        <w:tc>
          <w:tcPr>
            <w:tcW w:w="664" w:type="dxa"/>
          </w:tcPr>
          <w:p>
            <w:pPr>
              <w:pStyle w:val="0"/>
            </w:pPr>
            <w:r>
              <w:rPr>
                <w:sz w:val="20"/>
              </w:rPr>
              <w:t xml:space="preserve">10,2</w:t>
            </w:r>
          </w:p>
        </w:tc>
        <w:tc>
          <w:tcPr>
            <w:tcW w:w="664" w:type="dxa"/>
          </w:tcPr>
          <w:p>
            <w:pPr>
              <w:pStyle w:val="0"/>
            </w:pPr>
            <w:r>
              <w:rPr>
                <w:sz w:val="20"/>
              </w:rPr>
              <w:t xml:space="preserve">10,1</w:t>
            </w:r>
          </w:p>
        </w:tc>
        <w:tc>
          <w:tcPr>
            <w:tcW w:w="664" w:type="dxa"/>
          </w:tcPr>
          <w:p>
            <w:pPr>
              <w:pStyle w:val="0"/>
            </w:pPr>
            <w:r>
              <w:rPr>
                <w:sz w:val="20"/>
              </w:rPr>
              <w:t xml:space="preserve">10,0</w:t>
            </w:r>
          </w:p>
        </w:tc>
        <w:tc>
          <w:tcPr>
            <w:tcW w:w="664" w:type="dxa"/>
          </w:tcPr>
          <w:p>
            <w:pPr>
              <w:pStyle w:val="0"/>
            </w:pPr>
            <w:r>
              <w:rPr>
                <w:sz w:val="20"/>
              </w:rPr>
              <w:t xml:space="preserve">9,9</w:t>
            </w:r>
          </w:p>
        </w:tc>
      </w:tr>
      <w:tr>
        <w:tc>
          <w:tcPr>
            <w:tcW w:w="454" w:type="dxa"/>
          </w:tcPr>
          <w:p>
            <w:pPr>
              <w:pStyle w:val="0"/>
            </w:pPr>
            <w:r>
              <w:rPr>
                <w:sz w:val="20"/>
              </w:rPr>
              <w:t xml:space="preserve">7</w:t>
            </w:r>
          </w:p>
        </w:tc>
        <w:tc>
          <w:tcPr>
            <w:tcW w:w="3345" w:type="dxa"/>
          </w:tcPr>
          <w:p>
            <w:pPr>
              <w:pStyle w:val="0"/>
            </w:pPr>
            <w:r>
              <w:rPr>
                <w:sz w:val="20"/>
              </w:rPr>
              <w:t xml:space="preserve">Летальность больных с болезнями системы кровообращения, состоящих под диспансерным наблюдением (умершие от БСК / число лиц с БСК, состоящих под диспансерным наблюдением), %</w:t>
            </w:r>
          </w:p>
        </w:tc>
        <w:tc>
          <w:tcPr>
            <w:tcW w:w="1204" w:type="dxa"/>
          </w:tcPr>
          <w:p>
            <w:pPr>
              <w:pStyle w:val="0"/>
            </w:pPr>
            <w:r>
              <w:rPr>
                <w:sz w:val="20"/>
              </w:rPr>
            </w:r>
          </w:p>
        </w:tc>
        <w:tc>
          <w:tcPr>
            <w:tcW w:w="664" w:type="dxa"/>
          </w:tcPr>
          <w:p>
            <w:pPr>
              <w:pStyle w:val="0"/>
            </w:pPr>
            <w:r>
              <w:rPr>
                <w:sz w:val="20"/>
              </w:rPr>
            </w:r>
          </w:p>
        </w:tc>
        <w:tc>
          <w:tcPr>
            <w:tcW w:w="604" w:type="dxa"/>
          </w:tcPr>
          <w:p>
            <w:pPr>
              <w:pStyle w:val="0"/>
            </w:pPr>
            <w:r>
              <w:rPr>
                <w:sz w:val="20"/>
              </w:rPr>
            </w:r>
          </w:p>
        </w:tc>
        <w:tc>
          <w:tcPr>
            <w:tcW w:w="664" w:type="dxa"/>
          </w:tcPr>
          <w:p>
            <w:pPr>
              <w:pStyle w:val="0"/>
            </w:pPr>
            <w:r>
              <w:rPr>
                <w:sz w:val="20"/>
              </w:rPr>
              <w:t xml:space="preserve">1,61</w:t>
            </w:r>
          </w:p>
        </w:tc>
        <w:tc>
          <w:tcPr>
            <w:tcW w:w="664" w:type="dxa"/>
          </w:tcPr>
          <w:p>
            <w:pPr>
              <w:pStyle w:val="0"/>
            </w:pPr>
            <w:r>
              <w:rPr>
                <w:sz w:val="20"/>
              </w:rPr>
              <w:t xml:space="preserve">1,56</w:t>
            </w:r>
          </w:p>
        </w:tc>
        <w:tc>
          <w:tcPr>
            <w:tcW w:w="664" w:type="dxa"/>
          </w:tcPr>
          <w:p>
            <w:pPr>
              <w:pStyle w:val="0"/>
            </w:pPr>
            <w:r>
              <w:rPr>
                <w:sz w:val="20"/>
              </w:rPr>
              <w:t xml:space="preserve">1,51</w:t>
            </w:r>
          </w:p>
        </w:tc>
        <w:tc>
          <w:tcPr>
            <w:tcW w:w="664" w:type="dxa"/>
          </w:tcPr>
          <w:p>
            <w:pPr>
              <w:pStyle w:val="0"/>
            </w:pPr>
            <w:r>
              <w:rPr>
                <w:sz w:val="20"/>
              </w:rPr>
              <w:t xml:space="preserve">1,47</w:t>
            </w:r>
          </w:p>
        </w:tc>
      </w:tr>
      <w:tr>
        <w:tc>
          <w:tcPr>
            <w:tcW w:w="454" w:type="dxa"/>
          </w:tcPr>
          <w:p>
            <w:pPr>
              <w:pStyle w:val="0"/>
            </w:pPr>
            <w:r>
              <w:rPr>
                <w:sz w:val="20"/>
              </w:rPr>
              <w:t xml:space="preserve">8</w:t>
            </w:r>
          </w:p>
        </w:tc>
        <w:tc>
          <w:tcPr>
            <w:tcW w:w="3345" w:type="dxa"/>
          </w:tcPr>
          <w:p>
            <w:pPr>
              <w:pStyle w:val="0"/>
            </w:pPr>
            <w:r>
              <w:rPr>
                <w:sz w:val="20"/>
              </w:rPr>
              <w:t xml:space="preserve">Смертность от инфаркта миокарда, на 100 тыс. населения</w:t>
            </w:r>
          </w:p>
        </w:tc>
        <w:tc>
          <w:tcPr>
            <w:tcW w:w="1204" w:type="dxa"/>
          </w:tcPr>
          <w:p>
            <w:pPr>
              <w:pStyle w:val="0"/>
            </w:pPr>
            <w:r>
              <w:rPr>
                <w:sz w:val="20"/>
              </w:rPr>
              <w:t xml:space="preserve">14,5</w:t>
            </w:r>
          </w:p>
        </w:tc>
        <w:tc>
          <w:tcPr>
            <w:tcW w:w="664" w:type="dxa"/>
          </w:tcPr>
          <w:p>
            <w:pPr>
              <w:pStyle w:val="0"/>
            </w:pPr>
            <w:r>
              <w:rPr>
                <w:sz w:val="20"/>
              </w:rPr>
              <w:t xml:space="preserve">13,4</w:t>
            </w:r>
          </w:p>
        </w:tc>
        <w:tc>
          <w:tcPr>
            <w:tcW w:w="604" w:type="dxa"/>
          </w:tcPr>
          <w:p>
            <w:pPr>
              <w:pStyle w:val="0"/>
            </w:pPr>
            <w:r>
              <w:rPr>
                <w:sz w:val="20"/>
              </w:rPr>
              <w:t xml:space="preserve">12,9</w:t>
            </w:r>
          </w:p>
        </w:tc>
        <w:tc>
          <w:tcPr>
            <w:tcW w:w="664" w:type="dxa"/>
          </w:tcPr>
          <w:p>
            <w:pPr>
              <w:pStyle w:val="0"/>
            </w:pPr>
            <w:r>
              <w:rPr>
                <w:sz w:val="20"/>
              </w:rPr>
              <w:t xml:space="preserve">12,4</w:t>
            </w:r>
          </w:p>
        </w:tc>
        <w:tc>
          <w:tcPr>
            <w:tcW w:w="664" w:type="dxa"/>
          </w:tcPr>
          <w:p>
            <w:pPr>
              <w:pStyle w:val="0"/>
            </w:pPr>
            <w:r>
              <w:rPr>
                <w:sz w:val="20"/>
              </w:rPr>
              <w:t xml:space="preserve">12</w:t>
            </w:r>
          </w:p>
        </w:tc>
        <w:tc>
          <w:tcPr>
            <w:tcW w:w="664" w:type="dxa"/>
          </w:tcPr>
          <w:p>
            <w:pPr>
              <w:pStyle w:val="0"/>
            </w:pPr>
            <w:r>
              <w:rPr>
                <w:sz w:val="20"/>
              </w:rPr>
              <w:t xml:space="preserve">11,5</w:t>
            </w:r>
          </w:p>
        </w:tc>
        <w:tc>
          <w:tcPr>
            <w:tcW w:w="664" w:type="dxa"/>
          </w:tcPr>
          <w:p>
            <w:pPr>
              <w:pStyle w:val="0"/>
            </w:pPr>
            <w:r>
              <w:rPr>
                <w:sz w:val="20"/>
              </w:rPr>
              <w:t xml:space="preserve">11,1</w:t>
            </w:r>
          </w:p>
        </w:tc>
      </w:tr>
      <w:tr>
        <w:tc>
          <w:tcPr>
            <w:tcW w:w="454" w:type="dxa"/>
          </w:tcPr>
          <w:p>
            <w:pPr>
              <w:pStyle w:val="0"/>
            </w:pPr>
            <w:r>
              <w:rPr>
                <w:sz w:val="20"/>
              </w:rPr>
              <w:t xml:space="preserve">9</w:t>
            </w:r>
          </w:p>
        </w:tc>
        <w:tc>
          <w:tcPr>
            <w:tcW w:w="3345" w:type="dxa"/>
          </w:tcPr>
          <w:p>
            <w:pPr>
              <w:pStyle w:val="0"/>
            </w:pPr>
            <w:r>
              <w:rPr>
                <w:sz w:val="20"/>
              </w:rPr>
              <w:t xml:space="preserve">Смертность от острого нарушения мозгового кровообращения, на 100 тыс. населения</w:t>
            </w:r>
          </w:p>
        </w:tc>
        <w:tc>
          <w:tcPr>
            <w:tcW w:w="1204" w:type="dxa"/>
          </w:tcPr>
          <w:p>
            <w:pPr>
              <w:pStyle w:val="0"/>
            </w:pPr>
            <w:r>
              <w:rPr>
                <w:sz w:val="20"/>
              </w:rPr>
              <w:t xml:space="preserve">28,4</w:t>
            </w:r>
          </w:p>
        </w:tc>
        <w:tc>
          <w:tcPr>
            <w:tcW w:w="664" w:type="dxa"/>
          </w:tcPr>
          <w:p>
            <w:pPr>
              <w:pStyle w:val="0"/>
            </w:pPr>
            <w:r>
              <w:rPr>
                <w:sz w:val="20"/>
              </w:rPr>
              <w:t xml:space="preserve">26,4</w:t>
            </w:r>
          </w:p>
        </w:tc>
        <w:tc>
          <w:tcPr>
            <w:tcW w:w="604" w:type="dxa"/>
          </w:tcPr>
          <w:p>
            <w:pPr>
              <w:pStyle w:val="0"/>
            </w:pPr>
            <w:r>
              <w:rPr>
                <w:sz w:val="20"/>
              </w:rPr>
              <w:t xml:space="preserve">25,4</w:t>
            </w:r>
          </w:p>
        </w:tc>
        <w:tc>
          <w:tcPr>
            <w:tcW w:w="664" w:type="dxa"/>
          </w:tcPr>
          <w:p>
            <w:pPr>
              <w:pStyle w:val="0"/>
            </w:pPr>
            <w:r>
              <w:rPr>
                <w:sz w:val="20"/>
              </w:rPr>
              <w:t xml:space="preserve">24,4</w:t>
            </w:r>
          </w:p>
        </w:tc>
        <w:tc>
          <w:tcPr>
            <w:tcW w:w="664" w:type="dxa"/>
          </w:tcPr>
          <w:p>
            <w:pPr>
              <w:pStyle w:val="0"/>
            </w:pPr>
            <w:r>
              <w:rPr>
                <w:sz w:val="20"/>
              </w:rPr>
              <w:t xml:space="preserve">23,5</w:t>
            </w:r>
          </w:p>
        </w:tc>
        <w:tc>
          <w:tcPr>
            <w:tcW w:w="664" w:type="dxa"/>
          </w:tcPr>
          <w:p>
            <w:pPr>
              <w:pStyle w:val="0"/>
            </w:pPr>
            <w:r>
              <w:rPr>
                <w:sz w:val="20"/>
              </w:rPr>
              <w:t xml:space="preserve">22,5</w:t>
            </w:r>
          </w:p>
        </w:tc>
        <w:tc>
          <w:tcPr>
            <w:tcW w:w="664" w:type="dxa"/>
          </w:tcPr>
          <w:p>
            <w:pPr>
              <w:pStyle w:val="0"/>
            </w:pPr>
            <w:r>
              <w:rPr>
                <w:sz w:val="20"/>
              </w:rPr>
              <w:t xml:space="preserve">21,8</w:t>
            </w:r>
          </w:p>
        </w:tc>
      </w:tr>
      <w:tr>
        <w:tc>
          <w:tcPr>
            <w:tcW w:w="454" w:type="dxa"/>
          </w:tcPr>
          <w:p>
            <w:pPr>
              <w:pStyle w:val="0"/>
            </w:pPr>
            <w:r>
              <w:rPr>
                <w:sz w:val="20"/>
              </w:rPr>
              <w:t xml:space="preserve">10</w:t>
            </w:r>
          </w:p>
        </w:tc>
        <w:tc>
          <w:tcPr>
            <w:tcW w:w="3345" w:type="dxa"/>
          </w:tcPr>
          <w:p>
            <w:pPr>
              <w:pStyle w:val="0"/>
            </w:pPr>
            <w:r>
              <w:rPr>
                <w:sz w:val="20"/>
              </w:rPr>
              <w:t xml:space="preserve">Смертность населения от ишемической болезни сердца, на 100 тыс. населения</w:t>
            </w:r>
          </w:p>
        </w:tc>
        <w:tc>
          <w:tcPr>
            <w:tcW w:w="1204" w:type="dxa"/>
          </w:tcPr>
          <w:p>
            <w:pPr>
              <w:pStyle w:val="0"/>
            </w:pPr>
            <w:r>
              <w:rPr>
                <w:sz w:val="20"/>
              </w:rPr>
            </w:r>
          </w:p>
        </w:tc>
        <w:tc>
          <w:tcPr>
            <w:tcW w:w="664" w:type="dxa"/>
          </w:tcPr>
          <w:p>
            <w:pPr>
              <w:pStyle w:val="0"/>
            </w:pPr>
            <w:r>
              <w:rPr>
                <w:sz w:val="20"/>
              </w:rPr>
            </w:r>
          </w:p>
        </w:tc>
        <w:tc>
          <w:tcPr>
            <w:tcW w:w="604" w:type="dxa"/>
          </w:tcPr>
          <w:p>
            <w:pPr>
              <w:pStyle w:val="0"/>
            </w:pPr>
            <w:r>
              <w:rPr>
                <w:sz w:val="20"/>
              </w:rPr>
            </w:r>
          </w:p>
        </w:tc>
        <w:tc>
          <w:tcPr>
            <w:tcW w:w="664" w:type="dxa"/>
          </w:tcPr>
          <w:p>
            <w:pPr>
              <w:pStyle w:val="0"/>
            </w:pPr>
            <w:r>
              <w:rPr>
                <w:sz w:val="20"/>
              </w:rPr>
              <w:t xml:space="preserve">141,4</w:t>
            </w:r>
          </w:p>
        </w:tc>
        <w:tc>
          <w:tcPr>
            <w:tcW w:w="664" w:type="dxa"/>
          </w:tcPr>
          <w:p>
            <w:pPr>
              <w:pStyle w:val="0"/>
            </w:pPr>
            <w:r>
              <w:rPr>
                <w:sz w:val="20"/>
              </w:rPr>
              <w:t xml:space="preserve">136,6</w:t>
            </w:r>
          </w:p>
        </w:tc>
        <w:tc>
          <w:tcPr>
            <w:tcW w:w="664" w:type="dxa"/>
          </w:tcPr>
          <w:p>
            <w:pPr>
              <w:pStyle w:val="0"/>
            </w:pPr>
            <w:r>
              <w:rPr>
                <w:sz w:val="20"/>
              </w:rPr>
              <w:t xml:space="preserve">131,8</w:t>
            </w:r>
          </w:p>
        </w:tc>
        <w:tc>
          <w:tcPr>
            <w:tcW w:w="664" w:type="dxa"/>
          </w:tcPr>
          <w:p>
            <w:pPr>
              <w:pStyle w:val="0"/>
            </w:pPr>
            <w:r>
              <w:rPr>
                <w:sz w:val="20"/>
              </w:rPr>
              <w:t xml:space="preserve">127</w:t>
            </w:r>
          </w:p>
        </w:tc>
      </w:tr>
      <w:tr>
        <w:tc>
          <w:tcPr>
            <w:tcW w:w="454" w:type="dxa"/>
          </w:tcPr>
          <w:p>
            <w:pPr>
              <w:pStyle w:val="0"/>
            </w:pPr>
            <w:r>
              <w:rPr>
                <w:sz w:val="20"/>
              </w:rPr>
              <w:t xml:space="preserve">11</w:t>
            </w:r>
          </w:p>
        </w:tc>
        <w:tc>
          <w:tcPr>
            <w:tcW w:w="3345" w:type="dxa"/>
          </w:tcPr>
          <w:p>
            <w:pPr>
              <w:pStyle w:val="0"/>
            </w:pPr>
            <w:r>
              <w:rPr>
                <w:sz w:val="20"/>
              </w:rPr>
              <w:t xml:space="preserve">Смертность населения от цереброваскулярных болезней, на 100 тыс. населения</w:t>
            </w:r>
          </w:p>
        </w:tc>
        <w:tc>
          <w:tcPr>
            <w:tcW w:w="1204" w:type="dxa"/>
          </w:tcPr>
          <w:p>
            <w:pPr>
              <w:pStyle w:val="0"/>
            </w:pPr>
            <w:r>
              <w:rPr>
                <w:sz w:val="20"/>
              </w:rPr>
            </w:r>
          </w:p>
        </w:tc>
        <w:tc>
          <w:tcPr>
            <w:tcW w:w="664" w:type="dxa"/>
          </w:tcPr>
          <w:p>
            <w:pPr>
              <w:pStyle w:val="0"/>
            </w:pPr>
            <w:r>
              <w:rPr>
                <w:sz w:val="20"/>
              </w:rPr>
            </w:r>
          </w:p>
        </w:tc>
        <w:tc>
          <w:tcPr>
            <w:tcW w:w="604" w:type="dxa"/>
          </w:tcPr>
          <w:p>
            <w:pPr>
              <w:pStyle w:val="0"/>
            </w:pPr>
            <w:r>
              <w:rPr>
                <w:sz w:val="20"/>
              </w:rPr>
            </w:r>
          </w:p>
        </w:tc>
        <w:tc>
          <w:tcPr>
            <w:tcW w:w="664" w:type="dxa"/>
          </w:tcPr>
          <w:p>
            <w:pPr>
              <w:pStyle w:val="0"/>
            </w:pPr>
            <w:r>
              <w:rPr>
                <w:sz w:val="20"/>
              </w:rPr>
              <w:t xml:space="preserve">44,4</w:t>
            </w:r>
          </w:p>
        </w:tc>
        <w:tc>
          <w:tcPr>
            <w:tcW w:w="664" w:type="dxa"/>
          </w:tcPr>
          <w:p>
            <w:pPr>
              <w:pStyle w:val="0"/>
            </w:pPr>
            <w:r>
              <w:rPr>
                <w:sz w:val="20"/>
              </w:rPr>
              <w:t xml:space="preserve">43,2</w:t>
            </w:r>
          </w:p>
        </w:tc>
        <w:tc>
          <w:tcPr>
            <w:tcW w:w="664" w:type="dxa"/>
          </w:tcPr>
          <w:p>
            <w:pPr>
              <w:pStyle w:val="0"/>
            </w:pPr>
            <w:r>
              <w:rPr>
                <w:sz w:val="20"/>
              </w:rPr>
              <w:t xml:space="preserve">42</w:t>
            </w:r>
          </w:p>
        </w:tc>
        <w:tc>
          <w:tcPr>
            <w:tcW w:w="664" w:type="dxa"/>
          </w:tcPr>
          <w:p>
            <w:pPr>
              <w:pStyle w:val="0"/>
            </w:pPr>
            <w:r>
              <w:rPr>
                <w:sz w:val="20"/>
              </w:rPr>
              <w:t xml:space="preserve">40,8</w:t>
            </w:r>
          </w:p>
        </w:tc>
      </w:tr>
      <w:tr>
        <w:tc>
          <w:tcPr>
            <w:tcW w:w="454" w:type="dxa"/>
          </w:tcPr>
          <w:p>
            <w:pPr>
              <w:pStyle w:val="0"/>
            </w:pPr>
            <w:r>
              <w:rPr>
                <w:sz w:val="20"/>
              </w:rPr>
              <w:t xml:space="preserve">12</w:t>
            </w:r>
          </w:p>
        </w:tc>
        <w:tc>
          <w:tcPr>
            <w:tcW w:w="3345" w:type="dxa"/>
          </w:tcPr>
          <w:p>
            <w:pPr>
              <w:pStyle w:val="0"/>
            </w:pPr>
            <w:r>
              <w:rPr>
                <w:sz w:val="20"/>
              </w:rPr>
              <w:t xml:space="preserve">Отношение числа рентгенэндоваскулярных вмешательств в лечебных целях к общему числу выбывших больных, перенесших острый коронарный синдром, %</w:t>
            </w:r>
          </w:p>
        </w:tc>
        <w:tc>
          <w:tcPr>
            <w:tcW w:w="1204" w:type="dxa"/>
          </w:tcPr>
          <w:p>
            <w:pPr>
              <w:pStyle w:val="0"/>
            </w:pPr>
            <w:r>
              <w:rPr>
                <w:sz w:val="20"/>
              </w:rPr>
              <w:t xml:space="preserve">68,5</w:t>
            </w:r>
          </w:p>
        </w:tc>
        <w:tc>
          <w:tcPr>
            <w:tcW w:w="664" w:type="dxa"/>
          </w:tcPr>
          <w:p>
            <w:pPr>
              <w:pStyle w:val="0"/>
            </w:pPr>
            <w:r>
              <w:rPr>
                <w:sz w:val="20"/>
              </w:rPr>
              <w:t xml:space="preserve">71</w:t>
            </w:r>
          </w:p>
        </w:tc>
        <w:tc>
          <w:tcPr>
            <w:tcW w:w="604" w:type="dxa"/>
          </w:tcPr>
          <w:p>
            <w:pPr>
              <w:pStyle w:val="0"/>
            </w:pPr>
            <w:r>
              <w:rPr>
                <w:sz w:val="20"/>
              </w:rPr>
              <w:t xml:space="preserve">72</w:t>
            </w:r>
          </w:p>
        </w:tc>
        <w:tc>
          <w:tcPr>
            <w:tcW w:w="664" w:type="dxa"/>
          </w:tcPr>
          <w:p>
            <w:pPr>
              <w:pStyle w:val="0"/>
            </w:pPr>
            <w:r>
              <w:rPr>
                <w:sz w:val="20"/>
              </w:rPr>
              <w:t xml:space="preserve">73</w:t>
            </w:r>
          </w:p>
        </w:tc>
        <w:tc>
          <w:tcPr>
            <w:tcW w:w="664" w:type="dxa"/>
          </w:tcPr>
          <w:p>
            <w:pPr>
              <w:pStyle w:val="0"/>
            </w:pPr>
            <w:r>
              <w:rPr>
                <w:sz w:val="20"/>
              </w:rPr>
              <w:t xml:space="preserve">74</w:t>
            </w:r>
          </w:p>
        </w:tc>
        <w:tc>
          <w:tcPr>
            <w:tcW w:w="664" w:type="dxa"/>
          </w:tcPr>
          <w:p>
            <w:pPr>
              <w:pStyle w:val="0"/>
            </w:pPr>
            <w:r>
              <w:rPr>
                <w:sz w:val="20"/>
              </w:rPr>
              <w:t xml:space="preserve">75</w:t>
            </w:r>
          </w:p>
        </w:tc>
        <w:tc>
          <w:tcPr>
            <w:tcW w:w="664" w:type="dxa"/>
          </w:tcPr>
          <w:p>
            <w:pPr>
              <w:pStyle w:val="0"/>
            </w:pPr>
            <w:r>
              <w:rPr>
                <w:sz w:val="20"/>
              </w:rPr>
              <w:t xml:space="preserve">76</w:t>
            </w:r>
          </w:p>
        </w:tc>
      </w:tr>
      <w:tr>
        <w:tc>
          <w:tcPr>
            <w:tcW w:w="454" w:type="dxa"/>
          </w:tcPr>
          <w:p>
            <w:pPr>
              <w:pStyle w:val="0"/>
            </w:pPr>
            <w:r>
              <w:rPr>
                <w:sz w:val="20"/>
              </w:rPr>
              <w:t xml:space="preserve">13</w:t>
            </w:r>
          </w:p>
        </w:tc>
        <w:tc>
          <w:tcPr>
            <w:tcW w:w="3345" w:type="dxa"/>
          </w:tcPr>
          <w:p>
            <w:pPr>
              <w:pStyle w:val="0"/>
            </w:pPr>
            <w:r>
              <w:rPr>
                <w:sz w:val="20"/>
              </w:rPr>
              <w:t xml:space="preserve">Доля профильных госпитализаций пациентов с острыми нарушениями мозгового кровообращения, доставленных автомобилями скорой медицинской помощи, %</w:t>
            </w:r>
          </w:p>
        </w:tc>
        <w:tc>
          <w:tcPr>
            <w:tcW w:w="1204" w:type="dxa"/>
          </w:tcPr>
          <w:p>
            <w:pPr>
              <w:pStyle w:val="0"/>
            </w:pPr>
            <w:r>
              <w:rPr>
                <w:sz w:val="20"/>
              </w:rPr>
              <w:t xml:space="preserve">82,4</w:t>
            </w:r>
          </w:p>
        </w:tc>
        <w:tc>
          <w:tcPr>
            <w:tcW w:w="664" w:type="dxa"/>
          </w:tcPr>
          <w:p>
            <w:pPr>
              <w:pStyle w:val="0"/>
            </w:pPr>
            <w:r>
              <w:rPr>
                <w:sz w:val="20"/>
              </w:rPr>
              <w:t xml:space="preserve">84,5</w:t>
            </w:r>
          </w:p>
        </w:tc>
        <w:tc>
          <w:tcPr>
            <w:tcW w:w="604" w:type="dxa"/>
          </w:tcPr>
          <w:p>
            <w:pPr>
              <w:pStyle w:val="0"/>
            </w:pPr>
            <w:r>
              <w:rPr>
                <w:sz w:val="20"/>
              </w:rPr>
              <w:t xml:space="preserve">86,6</w:t>
            </w:r>
          </w:p>
        </w:tc>
        <w:tc>
          <w:tcPr>
            <w:tcW w:w="664" w:type="dxa"/>
          </w:tcPr>
          <w:p>
            <w:pPr>
              <w:pStyle w:val="0"/>
            </w:pPr>
            <w:r>
              <w:rPr>
                <w:sz w:val="20"/>
              </w:rPr>
              <w:t xml:space="preserve">88,7</w:t>
            </w:r>
          </w:p>
        </w:tc>
        <w:tc>
          <w:tcPr>
            <w:tcW w:w="664" w:type="dxa"/>
          </w:tcPr>
          <w:p>
            <w:pPr>
              <w:pStyle w:val="0"/>
            </w:pPr>
            <w:r>
              <w:rPr>
                <w:sz w:val="20"/>
              </w:rPr>
              <w:t xml:space="preserve">90,8</w:t>
            </w:r>
          </w:p>
        </w:tc>
        <w:tc>
          <w:tcPr>
            <w:tcW w:w="664" w:type="dxa"/>
          </w:tcPr>
          <w:p>
            <w:pPr>
              <w:pStyle w:val="0"/>
            </w:pPr>
            <w:r>
              <w:rPr>
                <w:sz w:val="20"/>
              </w:rPr>
              <w:t xml:space="preserve">92,9</w:t>
            </w:r>
          </w:p>
        </w:tc>
        <w:tc>
          <w:tcPr>
            <w:tcW w:w="664" w:type="dxa"/>
          </w:tcPr>
          <w:p>
            <w:pPr>
              <w:pStyle w:val="0"/>
            </w:pPr>
            <w:r>
              <w:rPr>
                <w:sz w:val="20"/>
              </w:rPr>
              <w:t xml:space="preserve">95</w:t>
            </w:r>
          </w:p>
        </w:tc>
      </w:tr>
      <w:tr>
        <w:tc>
          <w:tcPr>
            <w:tcW w:w="454" w:type="dxa"/>
          </w:tcPr>
          <w:p>
            <w:pPr>
              <w:pStyle w:val="0"/>
            </w:pPr>
            <w:r>
              <w:rPr>
                <w:sz w:val="20"/>
              </w:rPr>
              <w:t xml:space="preserve">14</w:t>
            </w:r>
          </w:p>
        </w:tc>
        <w:tc>
          <w:tcPr>
            <w:tcW w:w="3345" w:type="dxa"/>
          </w:tcPr>
          <w:p>
            <w:pPr>
              <w:pStyle w:val="0"/>
            </w:pPr>
            <w:r>
              <w:rPr>
                <w:sz w:val="20"/>
              </w:rPr>
              <w:t xml:space="preserve">Охват диспансерным наблюдением лиц с болезнями системы кровообращения (число лиц с сердечно-сосудистыми заболеваниями, находящихся под диспансерным наблюдением/число лиц с сердечно-сосудистыми заболеваниями, подлежащих диспансерному наблюдению), %</w:t>
            </w:r>
          </w:p>
        </w:tc>
        <w:tc>
          <w:tcPr>
            <w:tcW w:w="1204" w:type="dxa"/>
          </w:tcPr>
          <w:p>
            <w:pPr>
              <w:pStyle w:val="0"/>
            </w:pPr>
            <w:r>
              <w:rPr>
                <w:sz w:val="20"/>
              </w:rPr>
              <w:t xml:space="preserve">-</w:t>
            </w:r>
          </w:p>
        </w:tc>
        <w:tc>
          <w:tcPr>
            <w:tcW w:w="664" w:type="dxa"/>
          </w:tcPr>
          <w:p>
            <w:pPr>
              <w:pStyle w:val="0"/>
            </w:pPr>
            <w:r>
              <w:rPr>
                <w:sz w:val="20"/>
              </w:rPr>
              <w:t xml:space="preserve">-</w:t>
            </w:r>
          </w:p>
        </w:tc>
        <w:tc>
          <w:tcPr>
            <w:tcW w:w="604" w:type="dxa"/>
          </w:tcPr>
          <w:p>
            <w:pPr>
              <w:pStyle w:val="0"/>
            </w:pPr>
            <w:r>
              <w:rPr>
                <w:sz w:val="20"/>
              </w:rPr>
              <w:t xml:space="preserve">-</w:t>
            </w:r>
          </w:p>
        </w:tc>
        <w:tc>
          <w:tcPr>
            <w:tcW w:w="664" w:type="dxa"/>
          </w:tcPr>
          <w:p>
            <w:pPr>
              <w:pStyle w:val="0"/>
            </w:pPr>
            <w:r>
              <w:rPr>
                <w:sz w:val="20"/>
              </w:rPr>
              <w:t xml:space="preserve">-</w:t>
            </w:r>
          </w:p>
        </w:tc>
        <w:tc>
          <w:tcPr>
            <w:tcW w:w="664" w:type="dxa"/>
          </w:tcPr>
          <w:p>
            <w:pPr>
              <w:pStyle w:val="0"/>
            </w:pPr>
            <w:r>
              <w:rPr>
                <w:sz w:val="20"/>
              </w:rPr>
              <w:t xml:space="preserve">-</w:t>
            </w:r>
          </w:p>
        </w:tc>
        <w:tc>
          <w:tcPr>
            <w:tcW w:w="664" w:type="dxa"/>
          </w:tcPr>
          <w:p>
            <w:pPr>
              <w:pStyle w:val="0"/>
            </w:pPr>
            <w:r>
              <w:rPr>
                <w:sz w:val="20"/>
              </w:rPr>
              <w:t xml:space="preserve">70</w:t>
            </w:r>
          </w:p>
        </w:tc>
        <w:tc>
          <w:tcPr>
            <w:tcW w:w="664" w:type="dxa"/>
          </w:tcPr>
          <w:p>
            <w:pPr>
              <w:pStyle w:val="0"/>
            </w:pPr>
            <w:r>
              <w:rPr>
                <w:sz w:val="20"/>
              </w:rPr>
              <w:t xml:space="preserve">70</w:t>
            </w:r>
          </w:p>
        </w:tc>
      </w:tr>
      <w:tr>
        <w:tc>
          <w:tcPr>
            <w:tcW w:w="454" w:type="dxa"/>
          </w:tcPr>
          <w:p>
            <w:pPr>
              <w:pStyle w:val="0"/>
            </w:pPr>
            <w:r>
              <w:rPr>
                <w:sz w:val="20"/>
              </w:rPr>
              <w:t xml:space="preserve">15</w:t>
            </w:r>
          </w:p>
        </w:tc>
        <w:tc>
          <w:tcPr>
            <w:tcW w:w="3345" w:type="dxa"/>
          </w:tcPr>
          <w:p>
            <w:pPr>
              <w:pStyle w:val="0"/>
            </w:pPr>
            <w:r>
              <w:rPr>
                <w:sz w:val="20"/>
              </w:rPr>
              <w:t xml:space="preserve">Доля лиц 18 лет и старше, у которых выявлены хронические сердечно-сосудистые заболевания (функциональные расстройства, иные состояния), состоявших под диспансерным наблюдением, %</w:t>
            </w:r>
          </w:p>
        </w:tc>
        <w:tc>
          <w:tcPr>
            <w:tcW w:w="1204" w:type="dxa"/>
          </w:tcPr>
          <w:p>
            <w:pPr>
              <w:pStyle w:val="0"/>
            </w:pPr>
            <w:r>
              <w:rPr>
                <w:sz w:val="20"/>
              </w:rPr>
              <w:t xml:space="preserve">-</w:t>
            </w:r>
          </w:p>
        </w:tc>
        <w:tc>
          <w:tcPr>
            <w:tcW w:w="664" w:type="dxa"/>
          </w:tcPr>
          <w:p>
            <w:pPr>
              <w:pStyle w:val="0"/>
            </w:pPr>
            <w:r>
              <w:rPr>
                <w:sz w:val="20"/>
              </w:rPr>
              <w:t xml:space="preserve">-</w:t>
            </w:r>
          </w:p>
        </w:tc>
        <w:tc>
          <w:tcPr>
            <w:tcW w:w="604" w:type="dxa"/>
          </w:tcPr>
          <w:p>
            <w:pPr>
              <w:pStyle w:val="0"/>
            </w:pPr>
            <w:r>
              <w:rPr>
                <w:sz w:val="20"/>
              </w:rPr>
              <w:t xml:space="preserve">-</w:t>
            </w:r>
          </w:p>
        </w:tc>
        <w:tc>
          <w:tcPr>
            <w:tcW w:w="664" w:type="dxa"/>
          </w:tcPr>
          <w:p>
            <w:pPr>
              <w:pStyle w:val="0"/>
            </w:pPr>
            <w:r>
              <w:rPr>
                <w:sz w:val="20"/>
              </w:rPr>
              <w:t xml:space="preserve">-</w:t>
            </w:r>
          </w:p>
        </w:tc>
        <w:tc>
          <w:tcPr>
            <w:tcW w:w="664" w:type="dxa"/>
          </w:tcPr>
          <w:p>
            <w:pPr>
              <w:pStyle w:val="0"/>
            </w:pPr>
            <w:r>
              <w:rPr>
                <w:sz w:val="20"/>
              </w:rPr>
              <w:t xml:space="preserve">-</w:t>
            </w:r>
          </w:p>
        </w:tc>
        <w:tc>
          <w:tcPr>
            <w:tcW w:w="664" w:type="dxa"/>
          </w:tcPr>
          <w:p>
            <w:pPr>
              <w:pStyle w:val="0"/>
            </w:pPr>
            <w:r>
              <w:rPr>
                <w:sz w:val="20"/>
              </w:rPr>
              <w:t xml:space="preserve">95,8</w:t>
            </w:r>
          </w:p>
        </w:tc>
        <w:tc>
          <w:tcPr>
            <w:tcW w:w="664" w:type="dxa"/>
          </w:tcPr>
          <w:p>
            <w:pPr>
              <w:pStyle w:val="0"/>
            </w:pPr>
            <w:r>
              <w:rPr>
                <w:sz w:val="20"/>
              </w:rPr>
              <w:t xml:space="preserve">95,8</w:t>
            </w:r>
          </w:p>
        </w:tc>
      </w:tr>
    </w:tbl>
    <w:p>
      <w:pPr>
        <w:pStyle w:val="0"/>
        <w:jc w:val="center"/>
      </w:pPr>
      <w:r>
        <w:rPr>
          <w:sz w:val="20"/>
        </w:rPr>
      </w:r>
    </w:p>
    <w:p>
      <w:pPr>
        <w:pStyle w:val="0"/>
        <w:ind w:firstLine="540"/>
        <w:jc w:val="both"/>
      </w:pPr>
      <w:r>
        <w:rPr>
          <w:sz w:val="20"/>
        </w:rPr>
        <w:t xml:space="preserve">По каждому показателю, представленному в </w:t>
      </w:r>
      <w:hyperlink w:history="0" w:anchor="P19394" w:tooltip="Основные показатели региональной программы &quot;Борьба">
        <w:r>
          <w:rPr>
            <w:sz w:val="20"/>
            <w:color w:val="0000ff"/>
          </w:rPr>
          <w:t xml:space="preserve">таблице</w:t>
        </w:r>
      </w:hyperlink>
      <w:r>
        <w:rPr>
          <w:sz w:val="20"/>
        </w:rPr>
        <w:t xml:space="preserve">, проведена декомпозиция по муниципальным образованиям автономного округа. Дополнительно к показателям, отраженным в </w:t>
      </w:r>
      <w:hyperlink w:history="0" w:anchor="P19394" w:tooltip="Основные показатели региональной программы &quot;Борьба">
        <w:r>
          <w:rPr>
            <w:sz w:val="20"/>
            <w:color w:val="0000ff"/>
          </w:rPr>
          <w:t xml:space="preserve">таблице</w:t>
        </w:r>
      </w:hyperlink>
      <w:r>
        <w:rPr>
          <w:sz w:val="20"/>
        </w:rPr>
        <w:t xml:space="preserve">, планируется анализировать:</w:t>
      </w:r>
    </w:p>
    <w:p>
      <w:pPr>
        <w:pStyle w:val="0"/>
        <w:spacing w:before="200" w:line-rule="auto"/>
        <w:ind w:firstLine="540"/>
        <w:jc w:val="both"/>
      </w:pPr>
      <w:r>
        <w:rPr>
          <w:sz w:val="20"/>
        </w:rPr>
        <w:t xml:space="preserve">уровень заболеваемости и показатель диспансерного наблюдения пациентов с сердечно-сосудистыми заболеваниями в разрезе нозологий;</w:t>
      </w:r>
    </w:p>
    <w:p>
      <w:pPr>
        <w:pStyle w:val="0"/>
        <w:spacing w:before="200" w:line-rule="auto"/>
        <w:ind w:firstLine="540"/>
        <w:jc w:val="both"/>
      </w:pPr>
      <w:r>
        <w:rPr>
          <w:sz w:val="20"/>
        </w:rPr>
        <w:t xml:space="preserve">частоту выявления пациентов высокого и очень высокого риска развития сердечно-сосудистыми заболеваниями и направления их на углубленное дообследование к профильному специалисту при прохождении диспансеризации;</w:t>
      </w:r>
    </w:p>
    <w:p>
      <w:pPr>
        <w:pStyle w:val="0"/>
        <w:spacing w:before="200" w:line-rule="auto"/>
        <w:ind w:firstLine="540"/>
        <w:jc w:val="both"/>
      </w:pPr>
      <w:r>
        <w:rPr>
          <w:sz w:val="20"/>
        </w:rPr>
        <w:t xml:space="preserve">оценку удовлетворенности качеством оказания медицинской помощи по каждому из муниципальных образований автономного округа;</w:t>
      </w:r>
    </w:p>
    <w:p>
      <w:pPr>
        <w:pStyle w:val="0"/>
        <w:spacing w:before="200" w:line-rule="auto"/>
        <w:ind w:firstLine="540"/>
        <w:jc w:val="both"/>
      </w:pPr>
      <w:r>
        <w:rPr>
          <w:sz w:val="20"/>
        </w:rPr>
        <w:t xml:space="preserve">количество тромболитических процедур, проведенных больным с ишемическим инсультом, %;</w:t>
      </w:r>
    </w:p>
    <w:p>
      <w:pPr>
        <w:pStyle w:val="0"/>
        <w:spacing w:before="200" w:line-rule="auto"/>
        <w:ind w:firstLine="540"/>
        <w:jc w:val="both"/>
      </w:pPr>
      <w:r>
        <w:rPr>
          <w:sz w:val="20"/>
        </w:rPr>
        <w:t xml:space="preserve">долю пациентов, включенных в медицинскую реабилитацию на первом этапе в региональном сосудистом центре и первичном сосудистом отделении;</w:t>
      </w:r>
    </w:p>
    <w:p>
      <w:pPr>
        <w:pStyle w:val="0"/>
        <w:spacing w:before="200" w:line-rule="auto"/>
        <w:ind w:firstLine="540"/>
        <w:jc w:val="both"/>
      </w:pPr>
      <w:r>
        <w:rPr>
          <w:sz w:val="20"/>
        </w:rPr>
        <w:t xml:space="preserve">долю пациентов, прошедших медицинскую реабилитацию на втором этапе, от общего числа пациентов, выписанных из региональных сосудистых центров и первичных сосудистых отделений;</w:t>
      </w:r>
    </w:p>
    <w:p>
      <w:pPr>
        <w:pStyle w:val="0"/>
        <w:spacing w:before="200" w:line-rule="auto"/>
        <w:ind w:firstLine="540"/>
        <w:jc w:val="both"/>
      </w:pPr>
      <w:r>
        <w:rPr>
          <w:sz w:val="20"/>
        </w:rPr>
        <w:t xml:space="preserve">долю пациентов, прошедших медицинскую реабилитацию на втором этапе, от общего числа пациентов, находящихся на диспансерном наблюдении по поводу сердечно-сосудистых заболеваний;</w:t>
      </w:r>
    </w:p>
    <w:p>
      <w:pPr>
        <w:pStyle w:val="0"/>
        <w:spacing w:before="200" w:line-rule="auto"/>
        <w:ind w:firstLine="540"/>
        <w:jc w:val="both"/>
      </w:pPr>
      <w:r>
        <w:rPr>
          <w:sz w:val="20"/>
        </w:rPr>
        <w:t xml:space="preserve">долю пациентов, прошедших медицинскую реабилитацию на третьем этапе, от общего числа пациентов, выписанных из региональных сосудистых центров и первичных сосудистых отделений;</w:t>
      </w:r>
    </w:p>
    <w:p>
      <w:pPr>
        <w:pStyle w:val="0"/>
        <w:spacing w:before="200" w:line-rule="auto"/>
        <w:ind w:firstLine="540"/>
        <w:jc w:val="both"/>
      </w:pPr>
      <w:r>
        <w:rPr>
          <w:sz w:val="20"/>
        </w:rPr>
        <w:t xml:space="preserve">долю пациентов, прошедших медицинскую реабилитацию на третьем этапе, от общего числа пациентов, находящихся на диспансерном наблюдении по поводу сердечно-сосудистых заболеваний;</w:t>
      </w:r>
    </w:p>
    <w:p>
      <w:pPr>
        <w:pStyle w:val="0"/>
        <w:spacing w:before="200" w:line-rule="auto"/>
        <w:ind w:firstLine="540"/>
        <w:jc w:val="both"/>
      </w:pPr>
      <w:r>
        <w:rPr>
          <w:sz w:val="20"/>
        </w:rPr>
        <w:t xml:space="preserve">долю пациентов, направленных на медико-социальную экспертизу.</w:t>
      </w:r>
    </w:p>
    <w:p>
      <w:pPr>
        <w:pStyle w:val="0"/>
        <w:ind w:firstLine="540"/>
        <w:jc w:val="both"/>
      </w:pPr>
      <w:r>
        <w:rPr>
          <w:sz w:val="20"/>
        </w:rPr>
      </w:r>
    </w:p>
    <w:p>
      <w:pPr>
        <w:pStyle w:val="2"/>
        <w:outlineLvl w:val="1"/>
        <w:jc w:val="center"/>
      </w:pPr>
      <w:r>
        <w:rPr>
          <w:sz w:val="20"/>
        </w:rPr>
        <w:t xml:space="preserve">Раздел 3. ЗАДАЧИ РЕГИОНАЛЬНОЙ ПРОГРАММЫ</w:t>
      </w:r>
    </w:p>
    <w:p>
      <w:pPr>
        <w:pStyle w:val="0"/>
        <w:ind w:firstLine="540"/>
        <w:jc w:val="both"/>
      </w:pPr>
      <w:r>
        <w:rPr>
          <w:sz w:val="20"/>
        </w:rPr>
      </w:r>
    </w:p>
    <w:p>
      <w:pPr>
        <w:pStyle w:val="0"/>
        <w:ind w:firstLine="540"/>
        <w:jc w:val="both"/>
      </w:pPr>
      <w:r>
        <w:rPr>
          <w:sz w:val="20"/>
        </w:rPr>
        <w:t xml:space="preserve">Внедрение и соблюдение клинических рекомендаций и протоколов ведения больных с ССЗ.</w:t>
      </w:r>
    </w:p>
    <w:p>
      <w:pPr>
        <w:pStyle w:val="0"/>
        <w:spacing w:before="200" w:line-rule="auto"/>
        <w:ind w:firstLine="540"/>
        <w:jc w:val="both"/>
      </w:pPr>
      <w:r>
        <w:rPr>
          <w:sz w:val="20"/>
        </w:rPr>
        <w:t xml:space="preserve">Совершенствование системы внутреннего контроля качества оказания медицинской помощи.</w:t>
      </w:r>
    </w:p>
    <w:p>
      <w:pPr>
        <w:pStyle w:val="0"/>
        <w:spacing w:before="200" w:line-rule="auto"/>
        <w:ind w:firstLine="540"/>
        <w:jc w:val="both"/>
      </w:pPr>
      <w:r>
        <w:rPr>
          <w:sz w:val="20"/>
        </w:rPr>
        <w:t xml:space="preserve">Совершенствование работы с факторами риска развития ССЗ.</w:t>
      </w:r>
    </w:p>
    <w:p>
      <w:pPr>
        <w:pStyle w:val="0"/>
        <w:spacing w:before="200" w:line-rule="auto"/>
        <w:ind w:firstLine="540"/>
        <w:jc w:val="both"/>
      </w:pPr>
      <w:r>
        <w:rPr>
          <w:sz w:val="20"/>
        </w:rPr>
        <w:t xml:space="preserve">Совершенствование системы оказания первичной медико-санитарной помощи при ССЗ.</w:t>
      </w:r>
    </w:p>
    <w:p>
      <w:pPr>
        <w:pStyle w:val="0"/>
        <w:spacing w:before="200" w:line-rule="auto"/>
        <w:ind w:firstLine="540"/>
        <w:jc w:val="both"/>
      </w:pPr>
      <w:r>
        <w:rPr>
          <w:sz w:val="20"/>
        </w:rPr>
        <w:t xml:space="preserve">Совершенствование вторичной профилактики ССЗ.</w:t>
      </w:r>
    </w:p>
    <w:p>
      <w:pPr>
        <w:pStyle w:val="0"/>
        <w:spacing w:before="200" w:line-rule="auto"/>
        <w:ind w:firstLine="540"/>
        <w:jc w:val="both"/>
      </w:pPr>
      <w:r>
        <w:rPr>
          <w:sz w:val="20"/>
        </w:rPr>
        <w:t xml:space="preserve">Разработка комплекса мер, направленных на совершенствование организации диспансерного наблюдения больных ССЗ.</w:t>
      </w:r>
    </w:p>
    <w:p>
      <w:pPr>
        <w:pStyle w:val="0"/>
        <w:spacing w:before="200" w:line-rule="auto"/>
        <w:ind w:firstLine="540"/>
        <w:jc w:val="both"/>
      </w:pPr>
      <w:r>
        <w:rPr>
          <w:sz w:val="20"/>
        </w:rPr>
        <w:t xml:space="preserve">Совершенствование оказания скорой медицинской помощи при БСК.</w:t>
      </w:r>
    </w:p>
    <w:p>
      <w:pPr>
        <w:pStyle w:val="0"/>
        <w:spacing w:before="200" w:line-rule="auto"/>
        <w:ind w:firstLine="540"/>
        <w:jc w:val="both"/>
      </w:pPr>
      <w:r>
        <w:rPr>
          <w:sz w:val="20"/>
        </w:rPr>
        <w:t xml:space="preserve">Развитие структуры специализированной, в том числе высокотехнологичной, медицинской помощи.</w:t>
      </w:r>
    </w:p>
    <w:p>
      <w:pPr>
        <w:pStyle w:val="0"/>
        <w:spacing w:before="200" w:line-rule="auto"/>
        <w:ind w:firstLine="540"/>
        <w:jc w:val="both"/>
      </w:pPr>
      <w:r>
        <w:rPr>
          <w:sz w:val="20"/>
        </w:rPr>
        <w:t xml:space="preserve">Развитие службы реабилитации пациентов с ССЗ.</w:t>
      </w:r>
    </w:p>
    <w:p>
      <w:pPr>
        <w:pStyle w:val="0"/>
        <w:spacing w:before="200" w:line-rule="auto"/>
        <w:ind w:firstLine="540"/>
        <w:jc w:val="both"/>
      </w:pPr>
      <w:r>
        <w:rPr>
          <w:sz w:val="20"/>
        </w:rPr>
        <w:t xml:space="preserve">Реализация стратегии по ликвидации кадрового дефицита и обеспечение системы оказания медицинской помощи больным ССЗ квалифицированными кадрами.</w:t>
      </w:r>
    </w:p>
    <w:p>
      <w:pPr>
        <w:pStyle w:val="0"/>
        <w:spacing w:before="200" w:line-rule="auto"/>
        <w:ind w:firstLine="540"/>
        <w:jc w:val="both"/>
      </w:pPr>
      <w:r>
        <w:rPr>
          <w:sz w:val="20"/>
        </w:rPr>
        <w:t xml:space="preserve">Организационно-методическое обеспечение качества оказания медицинской помощи.</w:t>
      </w:r>
    </w:p>
    <w:p>
      <w:pPr>
        <w:pStyle w:val="0"/>
        <w:ind w:firstLine="540"/>
        <w:jc w:val="both"/>
      </w:pPr>
      <w:r>
        <w:rPr>
          <w:sz w:val="20"/>
        </w:rPr>
      </w:r>
    </w:p>
    <w:p>
      <w:pPr>
        <w:pStyle w:val="2"/>
        <w:outlineLvl w:val="2"/>
        <w:jc w:val="center"/>
      </w:pPr>
      <w:r>
        <w:rPr>
          <w:sz w:val="20"/>
        </w:rPr>
        <w:t xml:space="preserve">Основные задачи региональной программы</w:t>
      </w:r>
    </w:p>
    <w:p>
      <w:pPr>
        <w:pStyle w:val="0"/>
        <w:jc w:val="center"/>
      </w:pPr>
      <w:r>
        <w:rPr>
          <w:sz w:val="20"/>
        </w:rPr>
      </w:r>
    </w:p>
    <w:p>
      <w:pPr>
        <w:pStyle w:val="0"/>
        <w:ind w:firstLine="540"/>
        <w:jc w:val="both"/>
      </w:pPr>
      <w:r>
        <w:rPr>
          <w:sz w:val="20"/>
        </w:rPr>
        <w:t xml:space="preserve">Внедрение новых эффективных технологий диагностики, лечения и профилактики БСК с увеличением объемов оказания медицинской помощи, реализацией программ мониторинга (региональные регистры) и льготного лекарственного обеспечения пациентов высокого риска повторных событий и неблагоприятного исхода.</w:t>
      </w:r>
    </w:p>
    <w:p>
      <w:pPr>
        <w:pStyle w:val="0"/>
        <w:spacing w:before="200" w:line-rule="auto"/>
        <w:ind w:firstLine="540"/>
        <w:jc w:val="both"/>
      </w:pPr>
      <w:r>
        <w:rPr>
          <w:sz w:val="20"/>
        </w:rPr>
        <w:t xml:space="preserve">Совершенствование материально-технической базы МО, оказывающих медицинскую помощь пациентам с БСК, в том числе переоснащение медицинским оборудованием МО в соответствии с Паспортом региональной программы.</w:t>
      </w:r>
    </w:p>
    <w:p>
      <w:pPr>
        <w:pStyle w:val="0"/>
        <w:spacing w:before="200" w:line-rule="auto"/>
        <w:ind w:firstLine="540"/>
        <w:jc w:val="both"/>
      </w:pPr>
      <w:r>
        <w:rPr>
          <w:sz w:val="20"/>
        </w:rPr>
        <w:t xml:space="preserve">Организация сбора достоверных статистических данных по заболеваемости, смертности, летальности и инвалидности по группе БСК (гипертоническая болезнь, ИМ, инсульт и др.), в том числе с использованием региональных информационных сервисов.</w:t>
      </w:r>
    </w:p>
    <w:p>
      <w:pPr>
        <w:pStyle w:val="0"/>
        <w:spacing w:before="200" w:line-rule="auto"/>
        <w:ind w:firstLine="540"/>
        <w:jc w:val="both"/>
      </w:pPr>
      <w:r>
        <w:rPr>
          <w:sz w:val="20"/>
        </w:rPr>
        <w:t xml:space="preserve">Повышение достоверности указания первоначальной причины смерти на основе рекомендаций российского общества патологоанатомов.</w:t>
      </w:r>
    </w:p>
    <w:p>
      <w:pPr>
        <w:pStyle w:val="0"/>
        <w:spacing w:before="200" w:line-rule="auto"/>
        <w:ind w:firstLine="540"/>
        <w:jc w:val="both"/>
      </w:pPr>
      <w:r>
        <w:rPr>
          <w:sz w:val="20"/>
        </w:rPr>
        <w:t xml:space="preserve">Обеспечение соответствия объемов реконструктивных вмешательств в территориальной программе ОМС показателям региональной программы.</w:t>
      </w:r>
    </w:p>
    <w:p>
      <w:pPr>
        <w:pStyle w:val="0"/>
        <w:spacing w:before="200" w:line-rule="auto"/>
        <w:ind w:firstLine="540"/>
        <w:jc w:val="both"/>
      </w:pPr>
      <w:r>
        <w:rPr>
          <w:sz w:val="20"/>
        </w:rPr>
        <w:t xml:space="preserve">Разработка плана интеграции медицинских информационных систем, лабораторных информационных систем, систем передачи и архивации изображений медицинских организаций в единую информационную систему субъекта Российской Федерации.</w:t>
      </w:r>
    </w:p>
    <w:p>
      <w:pPr>
        <w:pStyle w:val="0"/>
        <w:spacing w:before="200" w:line-rule="auto"/>
        <w:ind w:firstLine="540"/>
        <w:jc w:val="both"/>
      </w:pPr>
      <w:r>
        <w:rPr>
          <w:sz w:val="20"/>
        </w:rPr>
        <w:t xml:space="preserve">Разработка стратегии лечения и реабилитации при некоронарогенных заболеваниях миокарда. Разработка комплекса мер третичной профилактики БСК.</w:t>
      </w:r>
    </w:p>
    <w:p>
      <w:pPr>
        <w:pStyle w:val="0"/>
        <w:spacing w:before="200" w:line-rule="auto"/>
        <w:ind w:firstLine="540"/>
        <w:jc w:val="both"/>
      </w:pPr>
      <w:r>
        <w:rPr>
          <w:sz w:val="20"/>
        </w:rPr>
        <w:t xml:space="preserve">Разработка стратегии интеграции медицинских организаций частной формы собственности в структуру оказания специализированной, в том числе высокотехнологичной, медицинской помощи.</w:t>
      </w:r>
    </w:p>
    <w:p>
      <w:pPr>
        <w:pStyle w:val="0"/>
        <w:spacing w:before="200" w:line-rule="auto"/>
        <w:ind w:firstLine="540"/>
        <w:jc w:val="both"/>
      </w:pPr>
      <w:r>
        <w:rPr>
          <w:sz w:val="20"/>
        </w:rPr>
        <w:t xml:space="preserve">Разработка стратегии по развитию/усовершенствованию паллиативной помощи при БСК.</w:t>
      </w:r>
    </w:p>
    <w:p>
      <w:pPr>
        <w:pStyle w:val="0"/>
        <w:spacing w:before="200" w:line-rule="auto"/>
        <w:ind w:firstLine="540"/>
        <w:jc w:val="both"/>
      </w:pPr>
      <w:r>
        <w:rPr>
          <w:sz w:val="20"/>
        </w:rPr>
        <w:t xml:space="preserve">Создание на базе бюджетного учреждения Ханты-Мансийского автономного округа - Югры "Окружной кардиологический диспансер "Центр диагностики и сердечно-сосудистой хирургии" центра координации оказания медицинской помощи пациентам с болезнями системы кровообращения в Ханты-Мансийском автономном округе - Югре, осуществляющего контроль и организационно-методическое обеспечение исполнения региональной программы "Борьба с сердечно-сосудистыми заболеваниями".</w:t>
      </w:r>
    </w:p>
    <w:p>
      <w:pPr>
        <w:pStyle w:val="0"/>
        <w:ind w:firstLine="540"/>
        <w:jc w:val="both"/>
      </w:pPr>
      <w:r>
        <w:rPr>
          <w:sz w:val="20"/>
        </w:rPr>
      </w:r>
    </w:p>
    <w:p>
      <w:pPr>
        <w:pStyle w:val="2"/>
        <w:outlineLvl w:val="1"/>
        <w:jc w:val="center"/>
      </w:pPr>
      <w:r>
        <w:rPr>
          <w:sz w:val="20"/>
        </w:rPr>
        <w:t xml:space="preserve">Раздел 4. РЕАЛИЗАЦИЯ ПЛАНА МЕРОПРИЯТИЙ РЕГИОНАЛЬНОЙ</w:t>
      </w:r>
    </w:p>
    <w:p>
      <w:pPr>
        <w:pStyle w:val="2"/>
        <w:jc w:val="center"/>
      </w:pPr>
      <w:r>
        <w:rPr>
          <w:sz w:val="20"/>
        </w:rPr>
        <w:t xml:space="preserve">ПРОГРАММЫ (ОФИЦИАЛЬНО РАЗМЕЩЕН НА ПОРТАЛЕ ASMMS)</w:t>
      </w:r>
    </w:p>
    <w:p>
      <w:pPr>
        <w:pStyle w:val="0"/>
        <w:jc w:val="center"/>
      </w:pPr>
      <w:r>
        <w:rPr>
          <w:sz w:val="20"/>
        </w:rPr>
      </w:r>
    </w:p>
    <w:p>
      <w:pPr>
        <w:pStyle w:val="0"/>
        <w:jc w:val="center"/>
      </w:pPr>
      <w:r>
        <w:rPr>
          <w:sz w:val="20"/>
        </w:rPr>
        <w:t xml:space="preserve">Раздел 4. РЕАЛИЗАЦИЯ ПЛАНА МЕРОПРИЯТИЙ РЕГИОНАЛЬНОЙ</w:t>
      </w:r>
    </w:p>
    <w:p>
      <w:pPr>
        <w:pStyle w:val="0"/>
        <w:jc w:val="center"/>
      </w:pPr>
      <w:r>
        <w:rPr>
          <w:sz w:val="20"/>
        </w:rPr>
        <w:t xml:space="preserve">ПРОГРАММЫ (ОФИЦИАЛЬНО РАЗМЕЩЕН НА ПОРТАЛЕ ASMMS)</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4"/>
        <w:gridCol w:w="3724"/>
        <w:gridCol w:w="1309"/>
        <w:gridCol w:w="1309"/>
        <w:gridCol w:w="1894"/>
        <w:gridCol w:w="2344"/>
        <w:gridCol w:w="3799"/>
        <w:gridCol w:w="3874"/>
      </w:tblGrid>
      <w:tr>
        <w:tc>
          <w:tcPr>
            <w:tcW w:w="484" w:type="dxa"/>
          </w:tcPr>
          <w:p>
            <w:pPr>
              <w:pStyle w:val="0"/>
              <w:jc w:val="center"/>
            </w:pPr>
            <w:r>
              <w:rPr>
                <w:sz w:val="20"/>
              </w:rPr>
              <w:t xml:space="preserve">N п/п</w:t>
            </w:r>
          </w:p>
        </w:tc>
        <w:tc>
          <w:tcPr>
            <w:tcW w:w="3724" w:type="dxa"/>
          </w:tcPr>
          <w:p>
            <w:pPr>
              <w:pStyle w:val="0"/>
              <w:jc w:val="center"/>
            </w:pPr>
            <w:r>
              <w:rPr>
                <w:sz w:val="20"/>
              </w:rPr>
              <w:t xml:space="preserve">Наименование мероприятия</w:t>
            </w:r>
          </w:p>
        </w:tc>
        <w:tc>
          <w:tcPr>
            <w:tcW w:w="1309" w:type="dxa"/>
          </w:tcPr>
          <w:p>
            <w:pPr>
              <w:pStyle w:val="0"/>
              <w:jc w:val="center"/>
            </w:pPr>
            <w:r>
              <w:rPr>
                <w:sz w:val="20"/>
              </w:rPr>
              <w:t xml:space="preserve">Дата начала реализации</w:t>
            </w:r>
          </w:p>
        </w:tc>
        <w:tc>
          <w:tcPr>
            <w:tcW w:w="1309" w:type="dxa"/>
          </w:tcPr>
          <w:p>
            <w:pPr>
              <w:pStyle w:val="0"/>
              <w:jc w:val="center"/>
            </w:pPr>
            <w:r>
              <w:rPr>
                <w:sz w:val="20"/>
              </w:rPr>
              <w:t xml:space="preserve">Дата окончания реализации</w:t>
            </w:r>
          </w:p>
        </w:tc>
        <w:tc>
          <w:tcPr>
            <w:tcW w:w="1894" w:type="dxa"/>
          </w:tcPr>
          <w:p>
            <w:pPr>
              <w:pStyle w:val="0"/>
              <w:jc w:val="center"/>
            </w:pPr>
            <w:r>
              <w:rPr>
                <w:sz w:val="20"/>
              </w:rPr>
              <w:t xml:space="preserve">Регулярность</w:t>
            </w:r>
          </w:p>
        </w:tc>
        <w:tc>
          <w:tcPr>
            <w:tcW w:w="2344" w:type="dxa"/>
          </w:tcPr>
          <w:p>
            <w:pPr>
              <w:pStyle w:val="0"/>
              <w:jc w:val="center"/>
            </w:pPr>
            <w:r>
              <w:rPr>
                <w:sz w:val="20"/>
              </w:rPr>
              <w:t xml:space="preserve">Исполнитель</w:t>
            </w:r>
          </w:p>
        </w:tc>
        <w:tc>
          <w:tcPr>
            <w:tcW w:w="3799" w:type="dxa"/>
          </w:tcPr>
          <w:p>
            <w:pPr>
              <w:pStyle w:val="0"/>
              <w:jc w:val="center"/>
            </w:pPr>
            <w:r>
              <w:rPr>
                <w:sz w:val="20"/>
              </w:rPr>
              <w:t xml:space="preserve">Критерий исполнения</w:t>
            </w:r>
          </w:p>
        </w:tc>
        <w:tc>
          <w:tcPr>
            <w:tcW w:w="3874" w:type="dxa"/>
          </w:tcPr>
          <w:p>
            <w:pPr>
              <w:pStyle w:val="0"/>
              <w:jc w:val="center"/>
            </w:pPr>
            <w:r>
              <w:rPr>
                <w:sz w:val="20"/>
              </w:rPr>
              <w:t xml:space="preserve">Характеристика результата</w:t>
            </w:r>
          </w:p>
        </w:tc>
      </w:tr>
      <w:tr>
        <w:tc>
          <w:tcPr>
            <w:gridSpan w:val="8"/>
            <w:tcW w:w="18737" w:type="dxa"/>
          </w:tcPr>
          <w:p>
            <w:pPr>
              <w:pStyle w:val="0"/>
              <w:outlineLvl w:val="2"/>
            </w:pPr>
            <w:r>
              <w:rPr>
                <w:sz w:val="20"/>
              </w:rPr>
              <w:t xml:space="preserve">1. Мероприятия по внедрению и соблюдению клинических рекомендаций и протоколов ведения больных с сердечно-сосудистыми заболеваниями</w:t>
            </w:r>
          </w:p>
        </w:tc>
      </w:tr>
      <w:tr>
        <w:tc>
          <w:tcPr>
            <w:tcW w:w="484" w:type="dxa"/>
          </w:tcPr>
          <w:p>
            <w:pPr>
              <w:pStyle w:val="0"/>
            </w:pPr>
            <w:r>
              <w:rPr>
                <w:sz w:val="20"/>
              </w:rPr>
              <w:t xml:space="preserve">1</w:t>
            </w:r>
          </w:p>
        </w:tc>
        <w:tc>
          <w:tcPr>
            <w:tcW w:w="3724" w:type="dxa"/>
          </w:tcPr>
          <w:p>
            <w:pPr>
              <w:pStyle w:val="0"/>
            </w:pPr>
            <w:r>
              <w:rPr>
                <w:sz w:val="20"/>
              </w:rPr>
              <w:t xml:space="preserve">Пересмотр и актуализация нормативных документов медицинских организаций региона в соответствии с утвержденными клиническими рекомендациями</w:t>
            </w:r>
          </w:p>
        </w:tc>
        <w:tc>
          <w:tcPr>
            <w:tcW w:w="1309" w:type="dxa"/>
          </w:tcPr>
          <w:p>
            <w:pPr>
              <w:pStyle w:val="0"/>
            </w:pPr>
            <w:r>
              <w:rPr>
                <w:sz w:val="20"/>
              </w:rPr>
              <w:t xml:space="preserve">01.06.2023</w:t>
            </w:r>
          </w:p>
        </w:tc>
        <w:tc>
          <w:tcPr>
            <w:tcW w:w="1309" w:type="dxa"/>
          </w:tcPr>
          <w:p>
            <w:pPr>
              <w:pStyle w:val="0"/>
            </w:pPr>
            <w:r>
              <w:rPr>
                <w:sz w:val="20"/>
              </w:rPr>
              <w:t xml:space="preserve">31.12.2023</w:t>
            </w:r>
          </w:p>
        </w:tc>
        <w:tc>
          <w:tcPr>
            <w:tcW w:w="1894" w:type="dxa"/>
          </w:tcPr>
          <w:p>
            <w:pPr>
              <w:pStyle w:val="0"/>
            </w:pPr>
            <w:r>
              <w:rPr>
                <w:sz w:val="20"/>
              </w:rPr>
              <w:t xml:space="preserve">Разовое делимое</w:t>
            </w:r>
          </w:p>
        </w:tc>
        <w:tc>
          <w:tcPr>
            <w:tcW w:w="2344" w:type="dxa"/>
          </w:tcPr>
          <w:p>
            <w:pPr>
              <w:pStyle w:val="0"/>
            </w:pPr>
            <w:r>
              <w:rPr>
                <w:sz w:val="20"/>
              </w:rPr>
              <w:t xml:space="preserve">Заместитель директора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главные врачи медорганизаций (по согласованию)</w:t>
            </w:r>
          </w:p>
        </w:tc>
        <w:tc>
          <w:tcPr>
            <w:tcW w:w="3799" w:type="dxa"/>
          </w:tcPr>
          <w:p>
            <w:pPr>
              <w:pStyle w:val="0"/>
            </w:pPr>
            <w:r>
              <w:rPr>
                <w:sz w:val="20"/>
              </w:rPr>
              <w:t xml:space="preserve">В каждой медорганизации округа актуализирована нормативная база в соответствии с региональными нормативными документами и утвержденными клиническими рекомендациями</w:t>
            </w:r>
          </w:p>
        </w:tc>
        <w:tc>
          <w:tcPr>
            <w:tcW w:w="3874" w:type="dxa"/>
          </w:tcPr>
          <w:p>
            <w:pPr>
              <w:pStyle w:val="0"/>
            </w:pPr>
            <w:r>
              <w:rPr>
                <w:sz w:val="20"/>
              </w:rPr>
              <w:t xml:space="preserve">Пересмотрены и актуализированы следующие нормативные документы медицинских организаций региона в соответствии с утвержденными клиническими рекомендациями приказы о применении клинических рекомендаций; положения структурных подразделений и должностные инструкции сотрудников подразделений, приказы об организации врачебных комиссий, положения о проведении оценки своевременности оказания медицинской помощи, правильности выбора методов профилактики, диагностики и лечения</w:t>
            </w:r>
          </w:p>
        </w:tc>
      </w:tr>
      <w:tr>
        <w:tc>
          <w:tcPr>
            <w:tcW w:w="484" w:type="dxa"/>
          </w:tcPr>
          <w:p>
            <w:pPr>
              <w:pStyle w:val="0"/>
            </w:pPr>
            <w:r>
              <w:rPr>
                <w:sz w:val="20"/>
              </w:rPr>
              <w:t xml:space="preserve">2</w:t>
            </w:r>
          </w:p>
        </w:tc>
        <w:tc>
          <w:tcPr>
            <w:tcW w:w="3724" w:type="dxa"/>
          </w:tcPr>
          <w:p>
            <w:pPr>
              <w:pStyle w:val="0"/>
            </w:pPr>
            <w:r>
              <w:rPr>
                <w:sz w:val="20"/>
              </w:rPr>
              <w:t xml:space="preserve">Разработка и внедрение региональных протоколов ведения пациентов с сердечно-сосудистыми заболеваниями</w:t>
            </w:r>
          </w:p>
        </w:tc>
        <w:tc>
          <w:tcPr>
            <w:tcW w:w="1309" w:type="dxa"/>
          </w:tcPr>
          <w:p>
            <w:pPr>
              <w:pStyle w:val="0"/>
            </w:pPr>
            <w:r>
              <w:rPr>
                <w:sz w:val="20"/>
              </w:rPr>
              <w:t xml:space="preserve">01.06.2023</w:t>
            </w:r>
          </w:p>
        </w:tc>
        <w:tc>
          <w:tcPr>
            <w:tcW w:w="1309" w:type="dxa"/>
          </w:tcPr>
          <w:p>
            <w:pPr>
              <w:pStyle w:val="0"/>
            </w:pPr>
            <w:r>
              <w:rPr>
                <w:sz w:val="20"/>
              </w:rPr>
              <w:t xml:space="preserve">31.12.2023</w:t>
            </w:r>
          </w:p>
        </w:tc>
        <w:tc>
          <w:tcPr>
            <w:tcW w:w="1894" w:type="dxa"/>
          </w:tcPr>
          <w:p>
            <w:pPr>
              <w:pStyle w:val="0"/>
            </w:pPr>
            <w:r>
              <w:rPr>
                <w:sz w:val="20"/>
              </w:rPr>
              <w:t xml:space="preserve">Разовое делимое</w:t>
            </w:r>
          </w:p>
        </w:tc>
        <w:tc>
          <w:tcPr>
            <w:tcW w:w="2344" w:type="dxa"/>
          </w:tcPr>
          <w:p>
            <w:pPr>
              <w:pStyle w:val="0"/>
            </w:pPr>
            <w:r>
              <w:rPr>
                <w:sz w:val="20"/>
              </w:rPr>
              <w:t xml:space="preserve">Заместитель директора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Главный внештатный невролог Депздрава Югры (по согласованию)</w:t>
            </w:r>
          </w:p>
        </w:tc>
        <w:tc>
          <w:tcPr>
            <w:tcW w:w="3799" w:type="dxa"/>
          </w:tcPr>
          <w:p>
            <w:pPr>
              <w:pStyle w:val="0"/>
            </w:pPr>
            <w:r>
              <w:rPr>
                <w:sz w:val="20"/>
              </w:rPr>
              <w:t xml:space="preserve">Изданы приказы Депздрава Югры по внедрению региональных протоколов ведения пациентов с сердечно-сосудистыми заболеваниями</w:t>
            </w:r>
          </w:p>
        </w:tc>
        <w:tc>
          <w:tcPr>
            <w:tcW w:w="3874" w:type="dxa"/>
          </w:tcPr>
          <w:p>
            <w:pPr>
              <w:pStyle w:val="0"/>
            </w:pPr>
            <w:r>
              <w:rPr>
                <w:sz w:val="20"/>
              </w:rPr>
              <w:t xml:space="preserve">Депздравом Югры разработаны, утверждены и внедрены протоколы ведения пациентов с сердечно-сосудистыми заболеваниями: артериальная гипертония, ишемическая болезнь сердца, инфаркт миокарда, хроническая сердечная недостаточность, нарушения ритма сердца, транзиторная ишемическая атака, ишемический инсульт, геморрагический инсульт, хроническая ишемия головного мозга</w:t>
            </w:r>
          </w:p>
        </w:tc>
      </w:tr>
      <w:tr>
        <w:tc>
          <w:tcPr>
            <w:tcW w:w="484" w:type="dxa"/>
          </w:tcPr>
          <w:p>
            <w:pPr>
              <w:pStyle w:val="0"/>
            </w:pPr>
            <w:r>
              <w:rPr>
                <w:sz w:val="20"/>
              </w:rPr>
              <w:t xml:space="preserve">3</w:t>
            </w:r>
          </w:p>
        </w:tc>
        <w:tc>
          <w:tcPr>
            <w:tcW w:w="3724" w:type="dxa"/>
          </w:tcPr>
          <w:p>
            <w:pPr>
              <w:pStyle w:val="0"/>
            </w:pPr>
            <w:r>
              <w:rPr>
                <w:sz w:val="20"/>
              </w:rPr>
              <w:t xml:space="preserve">Внедрение в каждой медицинской организации протоколов ведения больных с сердечно-сосудистыми заболеваниями, обуславливающими высокую смертность в округе на основе соответствующих клинических рекомендаций по профилю, порядков оказания медицинской помощи, утвержденных приказами Министерства здравоохранения Российской Федерации от 15 ноября 2012 года </w:t>
            </w:r>
            <w:hyperlink w:history="0" r:id="rId158" w:tooltip="Приказ Минздрава России от 15.11.2012 N 918н (ред. от 21.02.2020) &quot;Об утверждении порядка оказания медицинской помощи больным с сердечно-сосудистыми заболеваниями&quot; (Зарегистрировано в Минюсте России 29.12.2012 N 26483) {КонсультантПлюс}">
              <w:r>
                <w:rPr>
                  <w:sz w:val="20"/>
                  <w:color w:val="0000ff"/>
                </w:rPr>
                <w:t xml:space="preserve">N 918н</w:t>
              </w:r>
            </w:hyperlink>
            <w:r>
              <w:rPr>
                <w:sz w:val="20"/>
              </w:rPr>
              <w:t xml:space="preserve"> "Об утверждении порядка оказания медицинской помощи больным с сердечно-сосудистыми заболеваниями", от 15 ноября 2012 года </w:t>
            </w:r>
            <w:hyperlink w:history="0" r:id="rId159" w:tooltip="Приказ Минздрава России от 15.11.2012 N 928н (ред. от 21.02.2020) &quot;Об утверждении Порядка оказания медицинской помощи больным с острыми нарушениями мозгового кровообращения&quot; (Зарегистрировано в Минюсте России 27.02.2013 N 27353) {КонсультантПлюс}">
              <w:r>
                <w:rPr>
                  <w:sz w:val="20"/>
                  <w:color w:val="0000ff"/>
                </w:rPr>
                <w:t xml:space="preserve">N 928н</w:t>
              </w:r>
            </w:hyperlink>
            <w:r>
              <w:rPr>
                <w:sz w:val="20"/>
              </w:rPr>
              <w:t xml:space="preserve"> "Об утверждении Порядка оказания медицинской помощи больным с острыми нарушениями мозгового кровообращения" и с учетом стандартов оказания медицинской помощи</w:t>
            </w:r>
          </w:p>
        </w:tc>
        <w:tc>
          <w:tcPr>
            <w:tcW w:w="1309" w:type="dxa"/>
          </w:tcPr>
          <w:p>
            <w:pPr>
              <w:pStyle w:val="0"/>
            </w:pPr>
            <w:r>
              <w:rPr>
                <w:sz w:val="20"/>
              </w:rPr>
              <w:t xml:space="preserve">01.06.2023</w:t>
            </w:r>
          </w:p>
        </w:tc>
        <w:tc>
          <w:tcPr>
            <w:tcW w:w="1309" w:type="dxa"/>
          </w:tcPr>
          <w:p>
            <w:pPr>
              <w:pStyle w:val="0"/>
            </w:pPr>
            <w:r>
              <w:rPr>
                <w:sz w:val="20"/>
              </w:rPr>
              <w:t xml:space="preserve">31.12.2023</w:t>
            </w:r>
          </w:p>
        </w:tc>
        <w:tc>
          <w:tcPr>
            <w:tcW w:w="1894" w:type="dxa"/>
          </w:tcPr>
          <w:p>
            <w:pPr>
              <w:pStyle w:val="0"/>
            </w:pPr>
            <w:r>
              <w:rPr>
                <w:sz w:val="20"/>
              </w:rPr>
              <w:t xml:space="preserve">Разовое делимое</w:t>
            </w:r>
          </w:p>
        </w:tc>
        <w:tc>
          <w:tcPr>
            <w:tcW w:w="2344" w:type="dxa"/>
          </w:tcPr>
          <w:p>
            <w:pPr>
              <w:pStyle w:val="0"/>
            </w:pPr>
            <w:r>
              <w:rPr>
                <w:sz w:val="20"/>
              </w:rPr>
              <w:t xml:space="preserve">Заместитель директора Депздрава Югры;</w:t>
            </w:r>
          </w:p>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Главные врачи медорганизаций (по согласованию)</w:t>
            </w:r>
          </w:p>
        </w:tc>
        <w:tc>
          <w:tcPr>
            <w:tcW w:w="3799" w:type="dxa"/>
          </w:tcPr>
          <w:p>
            <w:pPr>
              <w:pStyle w:val="0"/>
            </w:pPr>
            <w:r>
              <w:rPr>
                <w:sz w:val="20"/>
              </w:rPr>
              <w:t xml:space="preserve">Приказами главных врачей в каждой медорганизации утверждены протоколы ведения больных с основными сердечно-сосудистыми заболеваниями, включая маршрутизацию пациентов, адаптированную по каждой медорганизации</w:t>
            </w:r>
          </w:p>
        </w:tc>
        <w:tc>
          <w:tcPr>
            <w:tcW w:w="3874" w:type="dxa"/>
          </w:tcPr>
          <w:p>
            <w:pPr>
              <w:pStyle w:val="0"/>
            </w:pPr>
            <w:r>
              <w:rPr>
                <w:sz w:val="20"/>
              </w:rPr>
              <w:t xml:space="preserve">Утверждены протоколы ведения больных с сердечно-сосудистыми заболеваниями, обуславливающих смертность в округе (для амбулаторного звена, стационара, скорой медицинской помощи) в каждом учреждении здравоохранения. Разработана маршрутизация больных с заболеваниями сердечно-сосудистой системы, обуславливающих основной вклад в смертность населения округа, с адаптацией в каждой медицинской организации (приемное отделение, ПРИТ, отделение анестезиологии и реанимации, наблюдение дежурными врачами в выходные и праздничные дни)</w:t>
            </w:r>
          </w:p>
        </w:tc>
      </w:tr>
      <w:tr>
        <w:tc>
          <w:tcPr>
            <w:tcW w:w="484" w:type="dxa"/>
          </w:tcPr>
          <w:p>
            <w:pPr>
              <w:pStyle w:val="0"/>
            </w:pPr>
            <w:r>
              <w:rPr>
                <w:sz w:val="20"/>
              </w:rPr>
              <w:t xml:space="preserve">4</w:t>
            </w:r>
          </w:p>
        </w:tc>
        <w:tc>
          <w:tcPr>
            <w:tcW w:w="3724" w:type="dxa"/>
          </w:tcPr>
          <w:p>
            <w:pPr>
              <w:pStyle w:val="0"/>
            </w:pPr>
            <w:r>
              <w:rPr>
                <w:sz w:val="20"/>
              </w:rPr>
              <w:t xml:space="preserve">Формирование и предоставление образовательных программ по изучению клинических рекомендаций в медицинских организациях Ханты-Мансийского автономного округа - Югры</w:t>
            </w:r>
          </w:p>
        </w:tc>
        <w:tc>
          <w:tcPr>
            <w:tcW w:w="1309" w:type="dxa"/>
          </w:tcPr>
          <w:p>
            <w:pPr>
              <w:pStyle w:val="0"/>
            </w:pPr>
            <w:r>
              <w:rPr>
                <w:sz w:val="20"/>
              </w:rPr>
              <w:t xml:space="preserve">01.06.2023</w:t>
            </w:r>
          </w:p>
        </w:tc>
        <w:tc>
          <w:tcPr>
            <w:tcW w:w="1309" w:type="dxa"/>
          </w:tcPr>
          <w:p>
            <w:pPr>
              <w:pStyle w:val="0"/>
            </w:pPr>
            <w:r>
              <w:rPr>
                <w:sz w:val="20"/>
              </w:rPr>
              <w:t xml:space="preserve">31.12.2023</w:t>
            </w:r>
          </w:p>
        </w:tc>
        <w:tc>
          <w:tcPr>
            <w:tcW w:w="1894" w:type="dxa"/>
          </w:tcPr>
          <w:p>
            <w:pPr>
              <w:pStyle w:val="0"/>
            </w:pPr>
            <w:r>
              <w:rPr>
                <w:sz w:val="20"/>
              </w:rPr>
              <w:t xml:space="preserve">Разовое делимое</w:t>
            </w:r>
          </w:p>
        </w:tc>
        <w:tc>
          <w:tcPr>
            <w:tcW w:w="2344" w:type="dxa"/>
          </w:tcPr>
          <w:p>
            <w:pPr>
              <w:pStyle w:val="0"/>
            </w:pPr>
            <w:r>
              <w:rPr>
                <w:sz w:val="20"/>
              </w:rPr>
              <w:t xml:space="preserve">Заместитель директора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Директор медицинского института СурГУ (по согласованию)</w:t>
            </w:r>
          </w:p>
        </w:tc>
        <w:tc>
          <w:tcPr>
            <w:tcW w:w="3799" w:type="dxa"/>
          </w:tcPr>
          <w:p>
            <w:pPr>
              <w:pStyle w:val="0"/>
            </w:pPr>
            <w:r>
              <w:rPr>
                <w:sz w:val="20"/>
              </w:rPr>
              <w:t xml:space="preserve">Образовательные программы и информационные материалы по изучению клинических рекомендаций сформированы с участием медицинских ВУЗов региона и предоставлены в Депздрав Югры</w:t>
            </w:r>
          </w:p>
        </w:tc>
        <w:tc>
          <w:tcPr>
            <w:tcW w:w="3874" w:type="dxa"/>
          </w:tcPr>
          <w:p>
            <w:pPr>
              <w:pStyle w:val="0"/>
            </w:pPr>
            <w:r>
              <w:rPr>
                <w:sz w:val="20"/>
              </w:rPr>
              <w:t xml:space="preserve">Сформированы образовательные программы по изучению клинических рекомендаций в медицинских организациях автономного округа. Представлены информационные материалы для изучения клинических рекомендаций в медицинские организации автономного округа</w:t>
            </w:r>
          </w:p>
        </w:tc>
      </w:tr>
      <w:tr>
        <w:tc>
          <w:tcPr>
            <w:tcW w:w="484" w:type="dxa"/>
          </w:tcPr>
          <w:p>
            <w:pPr>
              <w:pStyle w:val="0"/>
            </w:pPr>
            <w:r>
              <w:rPr>
                <w:sz w:val="20"/>
              </w:rPr>
              <w:t xml:space="preserve">5</w:t>
            </w:r>
          </w:p>
        </w:tc>
        <w:tc>
          <w:tcPr>
            <w:tcW w:w="3724" w:type="dxa"/>
          </w:tcPr>
          <w:p>
            <w:pPr>
              <w:pStyle w:val="0"/>
            </w:pPr>
            <w:r>
              <w:rPr>
                <w:sz w:val="20"/>
              </w:rPr>
              <w:t xml:space="preserve">Проведение образовательных семинаров по изучению клинических рекомендаций по лечению больных с сердечно-сосудистыми заболеваниями в медицинских организациях автономного округа</w:t>
            </w:r>
          </w:p>
        </w:tc>
        <w:tc>
          <w:tcPr>
            <w:tcW w:w="1309" w:type="dxa"/>
          </w:tcPr>
          <w:p>
            <w:pPr>
              <w:pStyle w:val="0"/>
            </w:pPr>
            <w:r>
              <w:rPr>
                <w:sz w:val="20"/>
              </w:rPr>
              <w:t xml:space="preserve">01.06.2023</w:t>
            </w:r>
          </w:p>
        </w:tc>
        <w:tc>
          <w:tcPr>
            <w:tcW w:w="1309" w:type="dxa"/>
          </w:tcPr>
          <w:p>
            <w:pPr>
              <w:pStyle w:val="0"/>
            </w:pPr>
            <w:r>
              <w:rPr>
                <w:sz w:val="20"/>
              </w:rPr>
              <w:t xml:space="preserve">31.12.2023</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Заместитель директора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Главный внештатный специалист по терапии Депздрава Югры (по согласованию)</w:t>
            </w:r>
          </w:p>
        </w:tc>
        <w:tc>
          <w:tcPr>
            <w:tcW w:w="3799" w:type="dxa"/>
          </w:tcPr>
          <w:p>
            <w:pPr>
              <w:pStyle w:val="0"/>
            </w:pPr>
            <w:r>
              <w:rPr>
                <w:sz w:val="20"/>
              </w:rPr>
              <w:t xml:space="preserve">Согласно утвержденному Депздравом Югры плану, обучающие мероприятия по внедрению и соблюдению клинических рекомендаций прошли не менее 70 кардиологов, 100 терапевтов, 90 неврологов, 30 анестезиологов, 30 специалистов по медицинской реабилитации</w:t>
            </w:r>
          </w:p>
        </w:tc>
        <w:tc>
          <w:tcPr>
            <w:tcW w:w="3874" w:type="dxa"/>
          </w:tcPr>
          <w:p>
            <w:pPr>
              <w:pStyle w:val="0"/>
            </w:pPr>
            <w:r>
              <w:rPr>
                <w:sz w:val="20"/>
              </w:rPr>
              <w:t xml:space="preserve">1. Проведено 10 семинаров, 15 вебинаров, 8 научно-практических конференций по внедрению и соблюдению клинических рекомендаций и протоколов ведения больных с артериальной гипертонией, ишемической болезнью сердца, инфарктом миокарда, хронической сердечной недостаточностью, нарушениями ритма сердца, обучено 70 кардиологов, 100 терапевтов и врачей общей практики.</w:t>
            </w:r>
          </w:p>
          <w:p>
            <w:pPr>
              <w:pStyle w:val="0"/>
            </w:pPr>
            <w:r>
              <w:rPr>
                <w:sz w:val="20"/>
              </w:rPr>
              <w:t xml:space="preserve">2. Проведено 10 семинаров, 5 научно-практических конференций по внедрению и соблюдению клинических рекомендаций и протоколов ведения больных с инсультом, обучено 90 неврологов, 30 анестезиологов-реаниматологов.</w:t>
            </w:r>
          </w:p>
          <w:p>
            <w:pPr>
              <w:pStyle w:val="0"/>
            </w:pPr>
            <w:r>
              <w:rPr>
                <w:sz w:val="20"/>
              </w:rPr>
              <w:t xml:space="preserve">3. Проведено 5 семинаров, 5 вебинаров, 5 научно-практических конференций по внедрению и соблюдению клинических рекомендаций протоколов ведения больных по медицинской реабилитации больных с сердечно-сосудистыми заболеваниями, обучено 30 специалистов: врачей ЛФК, физиотерапевтов, инструкторов-методистов ЛФК, инструкторов ЛФК, логопедов, среднего медицинского персонала.</w:t>
            </w:r>
          </w:p>
        </w:tc>
      </w:tr>
      <w:tr>
        <w:tc>
          <w:tcPr>
            <w:tcW w:w="484" w:type="dxa"/>
          </w:tcPr>
          <w:p>
            <w:pPr>
              <w:pStyle w:val="0"/>
            </w:pPr>
            <w:r>
              <w:rPr>
                <w:sz w:val="20"/>
              </w:rPr>
              <w:t xml:space="preserve">6</w:t>
            </w:r>
          </w:p>
        </w:tc>
        <w:tc>
          <w:tcPr>
            <w:tcW w:w="3724" w:type="dxa"/>
          </w:tcPr>
          <w:p>
            <w:pPr>
              <w:pStyle w:val="0"/>
            </w:pPr>
            <w:r>
              <w:rPr>
                <w:sz w:val="20"/>
              </w:rPr>
              <w:t xml:space="preserve">Разработка и утверждение Перечня индикаторов проверки выполнения клинических рекомендаций по данным медицинской документации в каждой медицинской организации как на амбулаторном, так и на стационарном этапе</w:t>
            </w:r>
          </w:p>
        </w:tc>
        <w:tc>
          <w:tcPr>
            <w:tcW w:w="1309" w:type="dxa"/>
          </w:tcPr>
          <w:p>
            <w:pPr>
              <w:pStyle w:val="0"/>
            </w:pPr>
            <w:r>
              <w:rPr>
                <w:sz w:val="20"/>
              </w:rPr>
              <w:t xml:space="preserve">01.06.2023</w:t>
            </w:r>
          </w:p>
        </w:tc>
        <w:tc>
          <w:tcPr>
            <w:tcW w:w="1309" w:type="dxa"/>
          </w:tcPr>
          <w:p>
            <w:pPr>
              <w:pStyle w:val="0"/>
            </w:pPr>
            <w:r>
              <w:rPr>
                <w:sz w:val="20"/>
              </w:rPr>
              <w:t xml:space="preserve">31.12.2023</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 (по согласованию);</w:t>
            </w:r>
          </w:p>
          <w:p>
            <w:pPr>
              <w:pStyle w:val="0"/>
            </w:pPr>
            <w:r>
              <w:rPr>
                <w:sz w:val="20"/>
              </w:rPr>
              <w:t xml:space="preserve">Главный внештатный специалист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скорой медицинской помощи Депздрава Югры (по согласованию)</w:t>
            </w:r>
          </w:p>
        </w:tc>
        <w:tc>
          <w:tcPr>
            <w:tcW w:w="3799" w:type="dxa"/>
          </w:tcPr>
          <w:p>
            <w:pPr>
              <w:pStyle w:val="0"/>
            </w:pPr>
            <w:r>
              <w:rPr>
                <w:sz w:val="20"/>
              </w:rPr>
              <w:t xml:space="preserve">Ежеквартально с участием главных внештатных специалистов проводится проверка достижения утвержденных критериев в целом по округу и отдельно по каждой медорганизации, в случаях недостижения целевых показателей проводится анализ причин недостижения, принимаются управленческие решения, разрабатывается план мероприятий по их достижению.</w:t>
            </w:r>
          </w:p>
        </w:tc>
        <w:tc>
          <w:tcPr>
            <w:tcW w:w="3874" w:type="dxa"/>
          </w:tcPr>
          <w:p>
            <w:pPr>
              <w:pStyle w:val="0"/>
            </w:pPr>
            <w:r>
              <w:rPr>
                <w:sz w:val="20"/>
              </w:rPr>
              <w:t xml:space="preserve">Утвержден Перечень индикаторов проверки выполнения клинических рекомендаций по данным медицинской документации в каждой медицинской организации, в который включены помимо прочих следующие показатели:</w:t>
            </w:r>
          </w:p>
          <w:p>
            <w:pPr>
              <w:pStyle w:val="0"/>
            </w:pPr>
            <w:r>
              <w:rPr>
                <w:sz w:val="20"/>
              </w:rPr>
              <w:t xml:space="preserve">1. Во всех поликлиниках округа измерение артериального давления проводится всем пациентам старше 40 лет, обратившимся в поликлинику по любому поводу. При выявлении повышенных цифр артериального давления пациент направляется к участковому терапевту в плановом или неотложном порядке с учетом риска развития сердечно-сосудистых заболеваний и их осложнений согласно шкале SCORE.</w:t>
            </w:r>
          </w:p>
          <w:p>
            <w:pPr>
              <w:pStyle w:val="0"/>
            </w:pPr>
            <w:r>
              <w:rPr>
                <w:sz w:val="20"/>
              </w:rPr>
              <w:t xml:space="preserve">2. Обеспечен охват диспансерным наблюдением врачом-кардиологом поликлиники не менее 90% больных, перенесших острый коронарный синдром, реваскуляризацию, не менее чем в течение года.</w:t>
            </w:r>
          </w:p>
          <w:p>
            <w:pPr>
              <w:pStyle w:val="0"/>
            </w:pPr>
            <w:r>
              <w:rPr>
                <w:sz w:val="20"/>
              </w:rPr>
              <w:t xml:space="preserve">3. Обеспечен охват диспансерным наблюдением врачом-неврологом поликлиники не менее 80% больных, перенесших острое нарушение мозгового кровообращения в течение года.</w:t>
            </w:r>
          </w:p>
          <w:p>
            <w:pPr>
              <w:pStyle w:val="0"/>
            </w:pPr>
            <w:r>
              <w:rPr>
                <w:sz w:val="20"/>
              </w:rPr>
              <w:t xml:space="preserve">4. Повышен охват диспансерным наблюдением до 70% от числа зарегистрированных больных с болезнями системы кровообращения.</w:t>
            </w:r>
          </w:p>
          <w:p>
            <w:pPr>
              <w:pStyle w:val="0"/>
            </w:pPr>
            <w:r>
              <w:rPr>
                <w:sz w:val="20"/>
              </w:rPr>
              <w:t xml:space="preserve">5. Повышено число больных с сердечно-сосудистыми заболеваниями, состоящих на диспансерном учете на терапевтическом участке, до 500 человек.</w:t>
            </w:r>
          </w:p>
          <w:p>
            <w:pPr>
              <w:pStyle w:val="0"/>
            </w:pPr>
            <w:r>
              <w:rPr>
                <w:sz w:val="20"/>
              </w:rPr>
              <w:t xml:space="preserve">6. Обеспечено достижение целевого уровня артериального давления, холестерина липопротеидов низкой плотности не менее чем у 70% больных с артериальной гипертензией, ишемической болезнью сердца, нарушениями липидного обмена при диспансерном наблюдении.</w:t>
            </w:r>
          </w:p>
          <w:p>
            <w:pPr>
              <w:pStyle w:val="0"/>
            </w:pPr>
            <w:r>
              <w:rPr>
                <w:sz w:val="20"/>
              </w:rPr>
              <w:t xml:space="preserve">7. Обеспечено проведение исследований натрийуретического пептида и теста шестиминутной ходьбы не менее чем у 70% пациентов с хронической сердечной недостаточностью.</w:t>
            </w:r>
          </w:p>
          <w:p>
            <w:pPr>
              <w:pStyle w:val="0"/>
            </w:pPr>
            <w:r>
              <w:rPr>
                <w:sz w:val="20"/>
              </w:rPr>
              <w:t xml:space="preserve">8. Организовано проведение обследования пациентов, проживающих в отдаленных населенных пунктах округа при "Диагностике одного дня" и выездных форм работы в поликлиниках медицинских организациях 2-го и 3-го уровня.</w:t>
            </w:r>
          </w:p>
          <w:p>
            <w:pPr>
              <w:pStyle w:val="0"/>
            </w:pPr>
            <w:r>
              <w:rPr>
                <w:sz w:val="20"/>
              </w:rPr>
              <w:t xml:space="preserve">9. Повсеместное внедрение шкалы предтестовой вероятности ишемической болезни сердца с целью выявления ишемической болезни сердца в первичном звене. Улучшение доступности стресс-исследований с целью диагностики стабильной ишемической болезни сердца (велоэргометрия, тредмил-тест, стрессэхокардиография);</w:t>
            </w:r>
          </w:p>
          <w:p>
            <w:pPr>
              <w:pStyle w:val="0"/>
            </w:pPr>
            <w:r>
              <w:rPr>
                <w:sz w:val="20"/>
              </w:rPr>
              <w:t xml:space="preserve">10. Бесплатное лекарственное обеспечение на амбулаторном этапе в течение года получают не менее 80% больных, перенесших острый коронарный синдром, реваскуляризацию миокарда и другие кардиохирургические операции, острое нарушение мозгового кровообращения.</w:t>
            </w:r>
          </w:p>
          <w:p>
            <w:pPr>
              <w:pStyle w:val="0"/>
            </w:pPr>
            <w:r>
              <w:rPr>
                <w:sz w:val="20"/>
              </w:rPr>
              <w:t xml:space="preserve">11. Обеспечен график работы поликлиник 6 дней в неделю, включая прием врача кардиолога, невролога, все инструментальные методы обследования.</w:t>
            </w:r>
          </w:p>
          <w:p>
            <w:pPr>
              <w:pStyle w:val="0"/>
            </w:pPr>
            <w:r>
              <w:rPr>
                <w:sz w:val="20"/>
              </w:rPr>
              <w:t xml:space="preserve">12. Обеспечены кардиореабилитацией не менее 90% больных, перенесших острый коронарный синдром, кардиохирургические вмешательства, лечение по поводу декомпенсации хронической сердечной недостаточности.</w:t>
            </w:r>
          </w:p>
          <w:p>
            <w:pPr>
              <w:pStyle w:val="0"/>
            </w:pPr>
            <w:r>
              <w:rPr>
                <w:sz w:val="20"/>
              </w:rPr>
              <w:t xml:space="preserve">13. Обеспечены нейрореабилитацией не менее 70% больных, перенесших острое нарушение мозгового кровообращения, хирургические вмешательства на сосудах головного мозга.</w:t>
            </w:r>
          </w:p>
          <w:p>
            <w:pPr>
              <w:pStyle w:val="0"/>
            </w:pPr>
            <w:r>
              <w:rPr>
                <w:sz w:val="20"/>
              </w:rPr>
              <w:t xml:space="preserve">14. Маршрутизация в ПСО и РСЦ не менее 95% больных с ОКС</w:t>
            </w:r>
          </w:p>
          <w:p>
            <w:pPr>
              <w:pStyle w:val="0"/>
            </w:pPr>
            <w:r>
              <w:rPr>
                <w:sz w:val="20"/>
              </w:rPr>
              <w:t xml:space="preserve">15. Доля проведения ЧКВ после ТЛТ не менее 70% от всех случаев проведения ТЛТ.</w:t>
            </w:r>
          </w:p>
          <w:p>
            <w:pPr>
              <w:pStyle w:val="0"/>
            </w:pPr>
            <w:r>
              <w:rPr>
                <w:sz w:val="20"/>
              </w:rPr>
              <w:t xml:space="preserve">16. ЧКВ в первые 12 часов не менее чем у 75% больных с ОКСпST</w:t>
            </w:r>
          </w:p>
          <w:p>
            <w:pPr>
              <w:pStyle w:val="0"/>
            </w:pPr>
            <w:r>
              <w:rPr>
                <w:sz w:val="20"/>
              </w:rPr>
              <w:t xml:space="preserve">17. ЧКВ не менее чем у 60% больных с ОКСбпST.</w:t>
            </w:r>
          </w:p>
          <w:p>
            <w:pPr>
              <w:pStyle w:val="0"/>
            </w:pPr>
            <w:r>
              <w:rPr>
                <w:sz w:val="20"/>
              </w:rPr>
              <w:t xml:space="preserve">18. Интервал "постановка диагноза ОКСпST-ЧКВ" не более 120 минут, интервал "поступление больного в стационар-ЧКВ" не более 60 минут.</w:t>
            </w:r>
          </w:p>
          <w:p>
            <w:pPr>
              <w:pStyle w:val="0"/>
            </w:pPr>
            <w:r>
              <w:rPr>
                <w:sz w:val="20"/>
              </w:rPr>
              <w:t xml:space="preserve">19. Проведение КАГ в первые 2 часа после госпитализации в ЧКВ-центр не менее чем у 70% больных с ОКСбпST.</w:t>
            </w:r>
          </w:p>
          <w:p>
            <w:pPr>
              <w:pStyle w:val="0"/>
            </w:pPr>
            <w:r>
              <w:rPr>
                <w:sz w:val="20"/>
              </w:rPr>
              <w:t xml:space="preserve">20. Проведение КАГ в течение 24 ч. после госпитализации в ЧКВ-центр не менее чем у 80% больных с ОКСбпST и высоким риском осложнений.</w:t>
            </w:r>
          </w:p>
          <w:p>
            <w:pPr>
              <w:pStyle w:val="0"/>
            </w:pPr>
            <w:r>
              <w:rPr>
                <w:sz w:val="20"/>
              </w:rPr>
              <w:t xml:space="preserve">21. Обеспечена 90% профильная госпитализация больных с острым нарушением мозгового кровообращения в первичные сосудистые отделения, региональные сосудистые центры.</w:t>
            </w:r>
          </w:p>
          <w:p>
            <w:pPr>
              <w:pStyle w:val="0"/>
            </w:pPr>
            <w:r>
              <w:rPr>
                <w:sz w:val="20"/>
              </w:rPr>
              <w:t xml:space="preserve">22. Доля применения тромболитической терапии при ишемическом инсульте не менее 5% от всех случаев ишемического инсульта, с достижением показателя времени "от двери до иглы" не более 40 мин.</w:t>
            </w:r>
          </w:p>
          <w:p>
            <w:pPr>
              <w:pStyle w:val="0"/>
            </w:pPr>
            <w:r>
              <w:rPr>
                <w:sz w:val="20"/>
              </w:rPr>
              <w:t xml:space="preserve">24. Доля ангиохирургических и нейрохирургических операций у пациентов с геморрагическим инсультом не менее 10%</w:t>
            </w:r>
          </w:p>
        </w:tc>
      </w:tr>
      <w:tr>
        <w:tc>
          <w:tcPr>
            <w:tcW w:w="484" w:type="dxa"/>
          </w:tcPr>
          <w:p>
            <w:pPr>
              <w:pStyle w:val="0"/>
            </w:pPr>
            <w:r>
              <w:rPr>
                <w:sz w:val="20"/>
              </w:rPr>
              <w:t xml:space="preserve">7</w:t>
            </w:r>
          </w:p>
        </w:tc>
        <w:tc>
          <w:tcPr>
            <w:tcW w:w="3724" w:type="dxa"/>
          </w:tcPr>
          <w:p>
            <w:pPr>
              <w:pStyle w:val="0"/>
            </w:pPr>
            <w:r>
              <w:rPr>
                <w:sz w:val="20"/>
              </w:rPr>
              <w:t xml:space="preserve">Мониторинг выполнения клинических рекомендаций, утвержденных Министерством здравоохранения Российской Федерации, в пределах системы внутреннего контроля качества</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невролог Депздрава Югры (по согласованию); Директор ТФОМС Югры (по согласованию)</w:t>
            </w:r>
          </w:p>
        </w:tc>
        <w:tc>
          <w:tcPr>
            <w:tcW w:w="3799" w:type="dxa"/>
          </w:tcPr>
          <w:p>
            <w:pPr>
              <w:pStyle w:val="0"/>
            </w:pPr>
            <w:r>
              <w:rPr>
                <w:sz w:val="20"/>
              </w:rPr>
              <w:t xml:space="preserve">Улучшение качества оказываемой медицинской помощи больным с сердечно-сосудистыми заболеваниями</w:t>
            </w:r>
          </w:p>
        </w:tc>
        <w:tc>
          <w:tcPr>
            <w:tcW w:w="3874" w:type="dxa"/>
          </w:tcPr>
          <w:p>
            <w:pPr>
              <w:pStyle w:val="0"/>
            </w:pPr>
            <w:r>
              <w:rPr>
                <w:sz w:val="20"/>
              </w:rPr>
              <w:t xml:space="preserve">1. Проведение регулярного (не реже 1 раза в 6 мес.) мониторинга выполнения клинических рекомендаций, утвержденных Минздравом РФ и Депздравом Югры, под руководством главных специалистов Депздрава Югры.</w:t>
            </w:r>
          </w:p>
          <w:p>
            <w:pPr>
              <w:pStyle w:val="0"/>
            </w:pPr>
            <w:r>
              <w:rPr>
                <w:sz w:val="20"/>
              </w:rPr>
              <w:t xml:space="preserve">2. Регулярное (не реже 1 раза в мес.) проведение целевой экспертизы выполнения клинических рекомендаций территориальным фондом ОМС.</w:t>
            </w:r>
          </w:p>
          <w:p>
            <w:pPr>
              <w:pStyle w:val="0"/>
            </w:pPr>
            <w:r>
              <w:rPr>
                <w:sz w:val="20"/>
              </w:rPr>
              <w:t xml:space="preserve">3. Проведение аудита протоколов лечения по профилю ССЗ (протоколов ведения пациентов) на основе соответствующих клинических рекомендаций по профилю, порядка оказания медицинской помощи по профилю и с учетом стандарта медицинской помощи с последующим предоставлением отчета в Департамент здравоохранения ХМАО - Югры о проведении аудита</w:t>
            </w:r>
          </w:p>
        </w:tc>
      </w:tr>
      <w:tr>
        <w:tc>
          <w:tcPr>
            <w:tcW w:w="484" w:type="dxa"/>
          </w:tcPr>
          <w:p>
            <w:pPr>
              <w:pStyle w:val="0"/>
            </w:pPr>
            <w:r>
              <w:rPr>
                <w:sz w:val="20"/>
              </w:rPr>
              <w:t xml:space="preserve">8</w:t>
            </w:r>
          </w:p>
        </w:tc>
        <w:tc>
          <w:tcPr>
            <w:tcW w:w="3724" w:type="dxa"/>
          </w:tcPr>
          <w:p>
            <w:pPr>
              <w:pStyle w:val="0"/>
            </w:pPr>
            <w:r>
              <w:rPr>
                <w:sz w:val="20"/>
              </w:rPr>
              <w:t xml:space="preserve">Принятие административно-управленческих решений</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специалист кардиолог Депздрава Югры (по согласованию); Главный внештатный специалист невролог Депздрава Югры (по согласованию)</w:t>
            </w:r>
          </w:p>
        </w:tc>
        <w:tc>
          <w:tcPr>
            <w:tcW w:w="3799" w:type="dxa"/>
          </w:tcPr>
          <w:p>
            <w:pPr>
              <w:pStyle w:val="0"/>
            </w:pPr>
            <w:r>
              <w:rPr>
                <w:sz w:val="20"/>
              </w:rPr>
              <w:t xml:space="preserve">Главными внештатными специалистами ежеквартально формируются отчеты о соблюдении клинических рекомендаций и достижении целевых показателей по округу в целом и по отдельным медорганизациям, отчеты с предложениями по совершенствованию качества оказания медицинской помощи предоставляется в Депздрав Югры; результаты транслируются для руководителей медорганизаций при проведении совещаний Депздрава в режиме ВКС.</w:t>
            </w:r>
          </w:p>
        </w:tc>
        <w:tc>
          <w:tcPr>
            <w:tcW w:w="3874" w:type="dxa"/>
          </w:tcPr>
          <w:p>
            <w:pPr>
              <w:pStyle w:val="0"/>
            </w:pPr>
            <w:r>
              <w:rPr>
                <w:sz w:val="20"/>
              </w:rPr>
              <w:t xml:space="preserve">На основании отчетов по мониторингу выполнения критериев качества принимаются административно-управленческие решения: изменение режимов работы; изменение маршрутизации; коррекция коечного фонда</w:t>
            </w:r>
          </w:p>
        </w:tc>
      </w:tr>
      <w:tr>
        <w:tblPrEx>
          <w:tblBorders>
            <w:insideH w:val="nil"/>
          </w:tblBorders>
        </w:tblPrEx>
        <w:tc>
          <w:tcPr>
            <w:tcW w:w="484" w:type="dxa"/>
            <w:tcBorders>
              <w:bottom w:val="nil"/>
            </w:tcBorders>
          </w:tcPr>
          <w:p>
            <w:pPr>
              <w:pStyle w:val="0"/>
            </w:pPr>
            <w:r>
              <w:rPr>
                <w:sz w:val="20"/>
              </w:rPr>
              <w:t xml:space="preserve">8.1</w:t>
            </w:r>
          </w:p>
        </w:tc>
        <w:tc>
          <w:tcPr>
            <w:tcW w:w="3724" w:type="dxa"/>
            <w:tcBorders>
              <w:bottom w:val="nil"/>
            </w:tcBorders>
          </w:tcPr>
          <w:p>
            <w:pPr>
              <w:pStyle w:val="0"/>
            </w:pPr>
            <w:r>
              <w:rPr>
                <w:sz w:val="20"/>
              </w:rPr>
              <w:t xml:space="preserve">Утверждение "дорожной карты" по направлению онкологических пациентов на диагностику, лечение сердечно-сосудистых заболеваний</w:t>
            </w:r>
          </w:p>
        </w:tc>
        <w:tc>
          <w:tcPr>
            <w:tcW w:w="1309" w:type="dxa"/>
            <w:tcBorders>
              <w:bottom w:val="nil"/>
            </w:tcBorders>
          </w:tcPr>
          <w:p>
            <w:pPr>
              <w:pStyle w:val="0"/>
            </w:pPr>
            <w:r>
              <w:rPr>
                <w:sz w:val="20"/>
              </w:rPr>
              <w:t xml:space="preserve">01.11.2023</w:t>
            </w:r>
          </w:p>
        </w:tc>
        <w:tc>
          <w:tcPr>
            <w:tcW w:w="1309" w:type="dxa"/>
            <w:tcBorders>
              <w:bottom w:val="nil"/>
            </w:tcBorders>
          </w:tcPr>
          <w:p>
            <w:pPr>
              <w:pStyle w:val="0"/>
            </w:pPr>
            <w:r>
              <w:rPr>
                <w:sz w:val="20"/>
              </w:rPr>
              <w:t xml:space="preserve">01.06.2024</w:t>
            </w:r>
          </w:p>
        </w:tc>
        <w:tc>
          <w:tcPr>
            <w:tcW w:w="1894" w:type="dxa"/>
            <w:tcBorders>
              <w:bottom w:val="nil"/>
            </w:tcBorders>
          </w:tcPr>
          <w:p>
            <w:pPr>
              <w:pStyle w:val="0"/>
            </w:pPr>
            <w:r>
              <w:rPr>
                <w:sz w:val="20"/>
              </w:rPr>
              <w:t xml:space="preserve">Разовое делимое</w:t>
            </w:r>
          </w:p>
        </w:tc>
        <w:tc>
          <w:tcPr>
            <w:tcW w:w="2344" w:type="dxa"/>
            <w:tcBorders>
              <w:bottom w:val="nil"/>
            </w:tcBorders>
          </w:tcPr>
          <w:p>
            <w:pPr>
              <w:pStyle w:val="0"/>
            </w:pPr>
            <w:r>
              <w:rPr>
                <w:sz w:val="20"/>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кардиолог, онколог (по согласованию)</w:t>
            </w:r>
          </w:p>
        </w:tc>
        <w:tc>
          <w:tcPr>
            <w:tcW w:w="3799" w:type="dxa"/>
            <w:tcBorders>
              <w:bottom w:val="nil"/>
            </w:tcBorders>
          </w:tcPr>
          <w:p>
            <w:pPr>
              <w:pStyle w:val="0"/>
            </w:pPr>
            <w:r>
              <w:rPr>
                <w:sz w:val="20"/>
              </w:rPr>
              <w:t xml:space="preserve">В каждой медицинской организации автономного округа актуализирована нормативная правовая база в соответствии с региональными нормативными документами и клиническими рекомендациями</w:t>
            </w:r>
          </w:p>
        </w:tc>
        <w:tc>
          <w:tcPr>
            <w:tcW w:w="3874" w:type="dxa"/>
            <w:tcBorders>
              <w:bottom w:val="nil"/>
            </w:tcBorders>
          </w:tcPr>
          <w:p>
            <w:pPr>
              <w:pStyle w:val="0"/>
            </w:pPr>
            <w:r>
              <w:rPr>
                <w:sz w:val="20"/>
              </w:rPr>
              <w:t xml:space="preserve">Определен порядок взаимодействия амбулаторно-поликлинического звена и МО 3 уровня по маршрутизации онкологических пациентов на диагностику и лечение ССЗ.</w:t>
            </w:r>
          </w:p>
          <w:p>
            <w:pPr>
              <w:pStyle w:val="0"/>
            </w:pPr>
            <w:r>
              <w:rPr>
                <w:sz w:val="20"/>
              </w:rPr>
              <w:t xml:space="preserve">Обеспечена своевременная диагностика и регулярные лечебно-профилактические мероприятия для онкологических пациентов с диагностированными сердечно-сосудистыми заболеваниями</w:t>
            </w:r>
          </w:p>
        </w:tc>
      </w:tr>
      <w:tr>
        <w:tblPrEx>
          <w:tblBorders>
            <w:insideH w:val="nil"/>
          </w:tblBorders>
        </w:tblPrEx>
        <w:tc>
          <w:tcPr>
            <w:gridSpan w:val="8"/>
            <w:tcW w:w="18737" w:type="dxa"/>
            <w:tcBorders>
              <w:top w:val="nil"/>
            </w:tcBorders>
          </w:tcPr>
          <w:p>
            <w:pPr>
              <w:pStyle w:val="0"/>
              <w:jc w:val="both"/>
            </w:pPr>
            <w:r>
              <w:rPr>
                <w:sz w:val="20"/>
              </w:rPr>
              <w:t xml:space="preserve">(п. 8.1 введен </w:t>
            </w:r>
            <w:hyperlink w:history="0" r:id="rId160" w:tooltip="Постановление Правительства ХМАО - Югры от 27.10.2023 N 52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 от 27.10.2023 N 527-п)</w:t>
            </w:r>
          </w:p>
        </w:tc>
      </w:tr>
      <w:tr>
        <w:tblPrEx>
          <w:tblBorders>
            <w:insideH w:val="nil"/>
          </w:tblBorders>
        </w:tblPrEx>
        <w:tc>
          <w:tcPr>
            <w:tcW w:w="484" w:type="dxa"/>
            <w:tcBorders>
              <w:bottom w:val="nil"/>
            </w:tcBorders>
          </w:tcPr>
          <w:p>
            <w:pPr>
              <w:pStyle w:val="0"/>
            </w:pPr>
            <w:r>
              <w:rPr>
                <w:sz w:val="20"/>
              </w:rPr>
              <w:t xml:space="preserve">8.2</w:t>
            </w:r>
          </w:p>
        </w:tc>
        <w:tc>
          <w:tcPr>
            <w:tcW w:w="3724" w:type="dxa"/>
            <w:tcBorders>
              <w:bottom w:val="nil"/>
            </w:tcBorders>
          </w:tcPr>
          <w:p>
            <w:pPr>
              <w:pStyle w:val="0"/>
            </w:pPr>
            <w:r>
              <w:rPr>
                <w:sz w:val="20"/>
              </w:rPr>
              <w:t xml:space="preserve">Внедрение в практику региональных протоколов оказания медицинской помощи пациентам онкологического профиля с сердечно-сосудистыми заболеваниями</w:t>
            </w:r>
          </w:p>
        </w:tc>
        <w:tc>
          <w:tcPr>
            <w:tcW w:w="1309" w:type="dxa"/>
            <w:tcBorders>
              <w:bottom w:val="nil"/>
            </w:tcBorders>
          </w:tcPr>
          <w:p>
            <w:pPr>
              <w:pStyle w:val="0"/>
            </w:pPr>
            <w:r>
              <w:rPr>
                <w:sz w:val="20"/>
              </w:rPr>
              <w:t xml:space="preserve">01.11.2023</w:t>
            </w:r>
          </w:p>
        </w:tc>
        <w:tc>
          <w:tcPr>
            <w:tcW w:w="1309" w:type="dxa"/>
            <w:tcBorders>
              <w:bottom w:val="nil"/>
            </w:tcBorders>
          </w:tcPr>
          <w:p>
            <w:pPr>
              <w:pStyle w:val="0"/>
            </w:pPr>
            <w:r>
              <w:rPr>
                <w:sz w:val="20"/>
              </w:rPr>
              <w:t xml:space="preserve">31.12.2024</w:t>
            </w:r>
          </w:p>
        </w:tc>
        <w:tc>
          <w:tcPr>
            <w:tcW w:w="1894" w:type="dxa"/>
            <w:tcBorders>
              <w:bottom w:val="nil"/>
            </w:tcBorders>
          </w:tcPr>
          <w:p>
            <w:pPr>
              <w:pStyle w:val="0"/>
            </w:pPr>
            <w:r>
              <w:rPr>
                <w:sz w:val="20"/>
              </w:rPr>
              <w:t xml:space="preserve">Разовое делимое</w:t>
            </w:r>
          </w:p>
        </w:tc>
        <w:tc>
          <w:tcPr>
            <w:tcW w:w="2344" w:type="dxa"/>
            <w:tcBorders>
              <w:bottom w:val="nil"/>
            </w:tcBorders>
          </w:tcPr>
          <w:p>
            <w:pPr>
              <w:pStyle w:val="0"/>
            </w:pPr>
            <w:r>
              <w:rPr>
                <w:sz w:val="20"/>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кардиолог, онколог (по согласованию)</w:t>
            </w:r>
          </w:p>
        </w:tc>
        <w:tc>
          <w:tcPr>
            <w:tcW w:w="3799" w:type="dxa"/>
            <w:tcBorders>
              <w:bottom w:val="nil"/>
            </w:tcBorders>
          </w:tcPr>
          <w:p>
            <w:pPr>
              <w:pStyle w:val="0"/>
            </w:pPr>
            <w:r>
              <w:rPr>
                <w:sz w:val="20"/>
              </w:rPr>
              <w:t xml:space="preserve">Приказ Депздрава Югры по внедрению в практику региональных протоколов оказания медицинской помощи пациентам онкологического профиля с сердечно-сосудистыми заболеваниями</w:t>
            </w:r>
          </w:p>
        </w:tc>
        <w:tc>
          <w:tcPr>
            <w:tcW w:w="3874" w:type="dxa"/>
            <w:tcBorders>
              <w:bottom w:val="nil"/>
            </w:tcBorders>
          </w:tcPr>
          <w:p>
            <w:pPr>
              <w:pStyle w:val="0"/>
            </w:pPr>
            <w:r>
              <w:rPr>
                <w:sz w:val="20"/>
              </w:rPr>
              <w:t xml:space="preserve">Ведение онкологических пациентов с сердечно-сосудистыми заболеваниями в соответствии с региональными протоколами.</w:t>
            </w:r>
          </w:p>
          <w:p>
            <w:pPr>
              <w:pStyle w:val="0"/>
            </w:pPr>
            <w:r>
              <w:rPr>
                <w:sz w:val="20"/>
              </w:rPr>
              <w:t xml:space="preserve">Проведение аудита протоколов лечения по профилю ССЗ (протоколов ведения пациентов) на основе соответствующих клинических рекомендаций, порядков оказания медицинской помощи по профилю и с учетом стандартов медицинской помощи</w:t>
            </w:r>
          </w:p>
        </w:tc>
      </w:tr>
      <w:tr>
        <w:tblPrEx>
          <w:tblBorders>
            <w:insideH w:val="nil"/>
          </w:tblBorders>
        </w:tblPrEx>
        <w:tc>
          <w:tcPr>
            <w:gridSpan w:val="8"/>
            <w:tcW w:w="18737" w:type="dxa"/>
            <w:tcBorders>
              <w:top w:val="nil"/>
            </w:tcBorders>
          </w:tcPr>
          <w:p>
            <w:pPr>
              <w:pStyle w:val="0"/>
              <w:jc w:val="both"/>
            </w:pPr>
            <w:r>
              <w:rPr>
                <w:sz w:val="20"/>
              </w:rPr>
              <w:t xml:space="preserve">(п. 8.2 введен </w:t>
            </w:r>
            <w:hyperlink w:history="0" r:id="rId161" w:tooltip="Постановление Правительства ХМАО - Югры от 27.10.2023 N 52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 от 27.10.2023 N 527-п)</w:t>
            </w:r>
          </w:p>
        </w:tc>
      </w:tr>
      <w:tr>
        <w:tblPrEx>
          <w:tblBorders>
            <w:insideH w:val="nil"/>
          </w:tblBorders>
        </w:tblPrEx>
        <w:tc>
          <w:tcPr>
            <w:tcW w:w="484" w:type="dxa"/>
            <w:tcBorders>
              <w:bottom w:val="nil"/>
            </w:tcBorders>
          </w:tcPr>
          <w:p>
            <w:pPr>
              <w:pStyle w:val="0"/>
            </w:pPr>
            <w:r>
              <w:rPr>
                <w:sz w:val="20"/>
              </w:rPr>
              <w:t xml:space="preserve">8.3</w:t>
            </w:r>
          </w:p>
        </w:tc>
        <w:tc>
          <w:tcPr>
            <w:tcW w:w="3724" w:type="dxa"/>
            <w:tcBorders>
              <w:bottom w:val="nil"/>
            </w:tcBorders>
          </w:tcPr>
          <w:p>
            <w:pPr>
              <w:pStyle w:val="0"/>
            </w:pPr>
            <w:r>
              <w:rPr>
                <w:sz w:val="20"/>
              </w:rPr>
              <w:t xml:space="preserve">Внедрение в практику регионального протокола для отбора пациентов на гемодинамическую изоляцию ушка левого предсердия</w:t>
            </w:r>
          </w:p>
        </w:tc>
        <w:tc>
          <w:tcPr>
            <w:tcW w:w="1309" w:type="dxa"/>
            <w:tcBorders>
              <w:bottom w:val="nil"/>
            </w:tcBorders>
          </w:tcPr>
          <w:p>
            <w:pPr>
              <w:pStyle w:val="0"/>
            </w:pPr>
            <w:r>
              <w:rPr>
                <w:sz w:val="20"/>
              </w:rPr>
              <w:t xml:space="preserve">01.11.2023</w:t>
            </w:r>
          </w:p>
        </w:tc>
        <w:tc>
          <w:tcPr>
            <w:tcW w:w="1309" w:type="dxa"/>
            <w:tcBorders>
              <w:bottom w:val="nil"/>
            </w:tcBorders>
          </w:tcPr>
          <w:p>
            <w:pPr>
              <w:pStyle w:val="0"/>
            </w:pPr>
            <w:r>
              <w:rPr>
                <w:sz w:val="20"/>
              </w:rPr>
              <w:t xml:space="preserve">31.12.2024</w:t>
            </w:r>
          </w:p>
        </w:tc>
        <w:tc>
          <w:tcPr>
            <w:tcW w:w="1894" w:type="dxa"/>
            <w:tcBorders>
              <w:bottom w:val="nil"/>
            </w:tcBorders>
          </w:tcPr>
          <w:p>
            <w:pPr>
              <w:pStyle w:val="0"/>
            </w:pPr>
            <w:r>
              <w:rPr>
                <w:sz w:val="20"/>
              </w:rPr>
              <w:t xml:space="preserve">Разовое делимое</w:t>
            </w:r>
          </w:p>
        </w:tc>
        <w:tc>
          <w:tcPr>
            <w:tcW w:w="2344" w:type="dxa"/>
            <w:tcBorders>
              <w:bottom w:val="nil"/>
            </w:tcBorders>
          </w:tcPr>
          <w:p>
            <w:pPr>
              <w:pStyle w:val="0"/>
            </w:pPr>
            <w:r>
              <w:rPr>
                <w:sz w:val="20"/>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кардиолог, аритмолог (по согласованию)</w:t>
            </w:r>
          </w:p>
        </w:tc>
        <w:tc>
          <w:tcPr>
            <w:tcW w:w="3799" w:type="dxa"/>
            <w:tcBorders>
              <w:bottom w:val="nil"/>
            </w:tcBorders>
          </w:tcPr>
          <w:p>
            <w:pPr>
              <w:pStyle w:val="0"/>
            </w:pPr>
            <w:r>
              <w:rPr>
                <w:sz w:val="20"/>
              </w:rPr>
              <w:t xml:space="preserve">Приказ Депздрава Югры по внедрению регионального протокола для отбора пациентов на гемодинамическую изоляцию ушка левого предсердия по показаниям</w:t>
            </w:r>
          </w:p>
        </w:tc>
        <w:tc>
          <w:tcPr>
            <w:tcW w:w="3874" w:type="dxa"/>
            <w:tcBorders>
              <w:bottom w:val="nil"/>
            </w:tcBorders>
          </w:tcPr>
          <w:p>
            <w:pPr>
              <w:pStyle w:val="0"/>
            </w:pPr>
            <w:r>
              <w:rPr>
                <w:sz w:val="20"/>
              </w:rPr>
              <w:t xml:space="preserve">Отбор пациентов на гемодинамическую изоляцию ушка левого предсердия в соответствии с региональным протоколом</w:t>
            </w:r>
          </w:p>
        </w:tc>
      </w:tr>
      <w:tr>
        <w:tblPrEx>
          <w:tblBorders>
            <w:insideH w:val="nil"/>
          </w:tblBorders>
        </w:tblPrEx>
        <w:tc>
          <w:tcPr>
            <w:gridSpan w:val="8"/>
            <w:tcW w:w="18737" w:type="dxa"/>
            <w:tcBorders>
              <w:top w:val="nil"/>
            </w:tcBorders>
          </w:tcPr>
          <w:p>
            <w:pPr>
              <w:pStyle w:val="0"/>
              <w:jc w:val="both"/>
            </w:pPr>
            <w:r>
              <w:rPr>
                <w:sz w:val="20"/>
              </w:rPr>
              <w:t xml:space="preserve">(п. 8.3 введен </w:t>
            </w:r>
            <w:hyperlink w:history="0" r:id="rId162" w:tooltip="Постановление Правительства ХМАО - Югры от 27.10.2023 N 52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 от 27.10.2023 N 527-п)</w:t>
            </w:r>
          </w:p>
        </w:tc>
      </w:tr>
      <w:tr>
        <w:tc>
          <w:tcPr>
            <w:gridSpan w:val="8"/>
            <w:tcW w:w="18737" w:type="dxa"/>
          </w:tcPr>
          <w:p>
            <w:pPr>
              <w:pStyle w:val="0"/>
              <w:outlineLvl w:val="2"/>
            </w:pPr>
            <w:r>
              <w:rPr>
                <w:sz w:val="20"/>
              </w:rPr>
              <w:t xml:space="preserve">2. Мероприятия по организации внутреннего контроля качества оказания медицинской помощи</w:t>
            </w:r>
          </w:p>
        </w:tc>
      </w:tr>
      <w:tr>
        <w:tc>
          <w:tcPr>
            <w:tcW w:w="484" w:type="dxa"/>
          </w:tcPr>
          <w:p>
            <w:pPr>
              <w:pStyle w:val="0"/>
            </w:pPr>
            <w:r>
              <w:rPr>
                <w:sz w:val="20"/>
              </w:rPr>
              <w:t xml:space="preserve">9</w:t>
            </w:r>
          </w:p>
        </w:tc>
        <w:tc>
          <w:tcPr>
            <w:tcW w:w="3724" w:type="dxa"/>
          </w:tcPr>
          <w:p>
            <w:pPr>
              <w:pStyle w:val="0"/>
            </w:pPr>
            <w:r>
              <w:rPr>
                <w:sz w:val="20"/>
              </w:rPr>
              <w:t xml:space="preserve">Осуществление выездных проверок главными внештатными специалистами Депздрава Югры в медицинские организации округа</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 (по согласованию);</w:t>
            </w:r>
          </w:p>
          <w:p>
            <w:pPr>
              <w:pStyle w:val="0"/>
            </w:pPr>
            <w:r>
              <w:rPr>
                <w:sz w:val="20"/>
              </w:rPr>
              <w:t xml:space="preserve">Главный внештатный специалист кардиолог Депздрава Югры (по согласованию), главный внештатный специалист невролог Депздрава Югры (по согласованию); Руководители медорганизаций, имеющих в составе региональные сосудистые центры (по согласованию)</w:t>
            </w:r>
          </w:p>
        </w:tc>
        <w:tc>
          <w:tcPr>
            <w:tcW w:w="3799" w:type="dxa"/>
          </w:tcPr>
          <w:p>
            <w:pPr>
              <w:pStyle w:val="0"/>
            </w:pPr>
            <w:r>
              <w:rPr>
                <w:sz w:val="20"/>
              </w:rPr>
              <w:t xml:space="preserve">Отчеты о результатах выездных проверок предоставляются главными внештатными специалистами в Депздрав Югры ежеквартально</w:t>
            </w:r>
          </w:p>
        </w:tc>
        <w:tc>
          <w:tcPr>
            <w:tcW w:w="3874" w:type="dxa"/>
          </w:tcPr>
          <w:p>
            <w:pPr>
              <w:pStyle w:val="0"/>
            </w:pPr>
            <w:r>
              <w:rPr>
                <w:sz w:val="20"/>
              </w:rPr>
              <w:t xml:space="preserve">1. Ежеквартальные выездные проверки главными внештатными специалистами Депздрава Югры в медицинские организации округа.</w:t>
            </w:r>
          </w:p>
          <w:p>
            <w:pPr>
              <w:pStyle w:val="0"/>
            </w:pPr>
            <w:r>
              <w:rPr>
                <w:sz w:val="20"/>
              </w:rPr>
              <w:t xml:space="preserve">2. Регулярная выездная работа, в соответствии с утвержденным графиком, ответственных врачей региональных сосудистых центров в медицинские организации приписной территории для осуществления контроля качества оказания медицинской помощи больным с болезнями системы кровообращения, соблюдения стандартов, порядков, клинических рекомендаций</w:t>
            </w:r>
          </w:p>
        </w:tc>
      </w:tr>
      <w:tr>
        <w:tc>
          <w:tcPr>
            <w:tcW w:w="484" w:type="dxa"/>
          </w:tcPr>
          <w:p>
            <w:pPr>
              <w:pStyle w:val="0"/>
            </w:pPr>
            <w:r>
              <w:rPr>
                <w:sz w:val="20"/>
              </w:rPr>
              <w:t xml:space="preserve">10</w:t>
            </w:r>
          </w:p>
        </w:tc>
        <w:tc>
          <w:tcPr>
            <w:tcW w:w="3724" w:type="dxa"/>
          </w:tcPr>
          <w:p>
            <w:pPr>
              <w:pStyle w:val="0"/>
            </w:pPr>
            <w:r>
              <w:rPr>
                <w:sz w:val="20"/>
              </w:rPr>
              <w:t xml:space="preserve">Проведение анализа показателей смертности и летальности от сердечно-сосудистых заболеваний на комиссии по смертности Депздрава Югры с последующей трансляцией результатов в общую лечебную сеть</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Главный внештатный невролог Депздрава Югры (по согласованию)</w:t>
            </w:r>
          </w:p>
        </w:tc>
        <w:tc>
          <w:tcPr>
            <w:tcW w:w="3799" w:type="dxa"/>
          </w:tcPr>
          <w:p>
            <w:pPr>
              <w:pStyle w:val="0"/>
            </w:pPr>
            <w:r>
              <w:rPr>
                <w:sz w:val="20"/>
              </w:rPr>
              <w:t xml:space="preserve">График заседаний комиссии по смертности утверждается Депздравом Югры, протоколы заседаний комиссии направляются в медорганизации автономного округа, осуществляется строгий контроль принятых решений.</w:t>
            </w:r>
          </w:p>
        </w:tc>
        <w:tc>
          <w:tcPr>
            <w:tcW w:w="3874" w:type="dxa"/>
          </w:tcPr>
          <w:p>
            <w:pPr>
              <w:pStyle w:val="0"/>
            </w:pPr>
            <w:r>
              <w:rPr>
                <w:sz w:val="20"/>
              </w:rPr>
              <w:t xml:space="preserve">1.1. Ежеквартально на заседаниях комиссии по смертности Депздрава Югры проводится разбор показателей смертности от сердечно-сосудистых заболеваний, разбор случаев смерти при наличии дефектов оказания медицинской помощи, с трансляцией по видеоконференцсвязи в медицинские организации автономного округа.</w:t>
            </w:r>
          </w:p>
          <w:p>
            <w:pPr>
              <w:pStyle w:val="0"/>
            </w:pPr>
            <w:r>
              <w:rPr>
                <w:sz w:val="20"/>
              </w:rPr>
              <w:t xml:space="preserve">2. Анализ смертности проводят ответственные специалисты Депздрава Югры и главные внештатные специалисты кардиолог, невролог - на основании анализа статистических данных и плановых проверок в медицинских организациях автономного округа.</w:t>
            </w:r>
          </w:p>
          <w:p>
            <w:pPr>
              <w:pStyle w:val="0"/>
            </w:pPr>
            <w:r>
              <w:rPr>
                <w:sz w:val="20"/>
              </w:rPr>
              <w:t xml:space="preserve">3. Ежеквартально зональными экспертными комиссиями Региональных сосудистых центров проводятся совещания в режиме видеоконференцсвязи по разбору смертности и летальности от болезней системы кровообращения с медицинскими организациями приписной территории.</w:t>
            </w:r>
          </w:p>
        </w:tc>
      </w:tr>
      <w:tr>
        <w:tc>
          <w:tcPr>
            <w:tcW w:w="484" w:type="dxa"/>
          </w:tcPr>
          <w:p>
            <w:pPr>
              <w:pStyle w:val="0"/>
            </w:pPr>
            <w:r>
              <w:rPr>
                <w:sz w:val="20"/>
              </w:rPr>
              <w:t xml:space="preserve">11</w:t>
            </w:r>
          </w:p>
        </w:tc>
        <w:tc>
          <w:tcPr>
            <w:tcW w:w="3724" w:type="dxa"/>
          </w:tcPr>
          <w:p>
            <w:pPr>
              <w:pStyle w:val="0"/>
            </w:pPr>
            <w:r>
              <w:rPr>
                <w:sz w:val="20"/>
              </w:rPr>
              <w:t xml:space="preserve">Разбор запущенных случаев сердечно-сосудистых заболеваний на Экспертном Совете Депздрава Югры с формированием заключения и последующей трансляцией результатов в общую лечебную сеть</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Главный внештатный невролог Депздрава Югры (по согласованию)</w:t>
            </w:r>
          </w:p>
        </w:tc>
        <w:tc>
          <w:tcPr>
            <w:tcW w:w="3799" w:type="dxa"/>
          </w:tcPr>
          <w:p>
            <w:pPr>
              <w:pStyle w:val="0"/>
            </w:pPr>
            <w:r>
              <w:rPr>
                <w:sz w:val="20"/>
              </w:rPr>
              <w:t xml:space="preserve">На ежеквартальном заседании Экспертного Совета Депздрава Югры по разбору случаев дефектов оказания медицинской помощи пациентов с болезнями системы кровообращение разобрано не менее 20 клинических случаев.</w:t>
            </w:r>
          </w:p>
        </w:tc>
        <w:tc>
          <w:tcPr>
            <w:tcW w:w="3874" w:type="dxa"/>
          </w:tcPr>
          <w:p>
            <w:pPr>
              <w:pStyle w:val="0"/>
            </w:pPr>
            <w:r>
              <w:rPr>
                <w:sz w:val="20"/>
              </w:rPr>
              <w:t xml:space="preserve">Ежеквартально на Экспертном Совете Депздрава Югры по разбору случаев дефектов оказания медицинской помощи пациентам с болезнями системы кровообращения проводится разбор случаев дефектов оказания медицинской помощи с трансляцией по видеоконференцсвязи в медицинские организации автономного округа. Случаи для разбора представляют главные внештатные специалисты: кардиолог, невролог - на основании плановых проверок первичной медицинской документации в медицинских организациях автономного округа, в том числе по результатам выездных проверок и аудитов, а также по результатам целевых экспертиз, проведенных экспертами страховых медицинских организаций. Разобрано в течение года не менее 20 клинических случаев</w:t>
            </w:r>
          </w:p>
        </w:tc>
      </w:tr>
      <w:tr>
        <w:tc>
          <w:tcPr>
            <w:tcW w:w="484" w:type="dxa"/>
          </w:tcPr>
          <w:p>
            <w:pPr>
              <w:pStyle w:val="0"/>
            </w:pPr>
            <w:r>
              <w:rPr>
                <w:sz w:val="20"/>
              </w:rPr>
              <w:t xml:space="preserve">12</w:t>
            </w:r>
          </w:p>
        </w:tc>
        <w:tc>
          <w:tcPr>
            <w:tcW w:w="3724" w:type="dxa"/>
          </w:tcPr>
          <w:p>
            <w:pPr>
              <w:pStyle w:val="0"/>
            </w:pPr>
            <w:r>
              <w:rPr>
                <w:sz w:val="20"/>
              </w:rPr>
              <w:t xml:space="preserve">Проведение совещаний главных внештатных специалистов с медицинскими организациями автономного округа в режиме видеоконференцсвязи по вопросам оказания медицинской помощи по профилям "кардиология" и "неврология"</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Главный внештатный невролог Депздрава Югры (по согласованию)</w:t>
            </w:r>
          </w:p>
        </w:tc>
        <w:tc>
          <w:tcPr>
            <w:tcW w:w="3799" w:type="dxa"/>
          </w:tcPr>
          <w:p>
            <w:pPr>
              <w:pStyle w:val="0"/>
            </w:pPr>
            <w:r>
              <w:rPr>
                <w:sz w:val="20"/>
              </w:rPr>
              <w:t xml:space="preserve">Ежемесячно проводятся совещания с медицинскими организациями автономного округа в режиме видеоконференцсвязи по вопросам оказания медицинской помощи по профилям "кардиология" и "неврология", по итогам совещаний принимаются управленческие решения</w:t>
            </w:r>
          </w:p>
        </w:tc>
        <w:tc>
          <w:tcPr>
            <w:tcW w:w="3874" w:type="dxa"/>
          </w:tcPr>
          <w:p>
            <w:pPr>
              <w:pStyle w:val="0"/>
            </w:pPr>
            <w:r>
              <w:rPr>
                <w:sz w:val="20"/>
              </w:rPr>
              <w:t xml:space="preserve">Регулярно, не реже 1 раза в месяц проводятся совещания с медицинскими организациями автономного округа в режиме видеоконференцсвязи по вопросам оказания медицинской помощи по профилям "кардиология" и "неврология". Для ежедневного общения в режиме онлайн с целью оперативного решения рабочих вопросов созданы группы в мессенджерах</w:t>
            </w:r>
          </w:p>
        </w:tc>
      </w:tr>
      <w:tr>
        <w:tc>
          <w:tcPr>
            <w:tcW w:w="484" w:type="dxa"/>
          </w:tcPr>
          <w:p>
            <w:pPr>
              <w:pStyle w:val="0"/>
            </w:pPr>
            <w:r>
              <w:rPr>
                <w:sz w:val="20"/>
              </w:rPr>
              <w:t xml:space="preserve">13</w:t>
            </w:r>
          </w:p>
        </w:tc>
        <w:tc>
          <w:tcPr>
            <w:tcW w:w="3724" w:type="dxa"/>
          </w:tcPr>
          <w:p>
            <w:pPr>
              <w:pStyle w:val="0"/>
            </w:pPr>
            <w:r>
              <w:rPr>
                <w:sz w:val="20"/>
              </w:rPr>
              <w:t xml:space="preserve">Организация отчетности медицинских организаций перед Депздрава Югры о деятельности системы внутреннего контроля качества медицинской помощи пациентам с сердечно-сосудистыми заболеваниями на основе критериев качества медицинской помощи и клинических рекомендаций</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Главный внештатный невролог Депздрава Югры (по согласованию)</w:t>
            </w:r>
          </w:p>
        </w:tc>
        <w:tc>
          <w:tcPr>
            <w:tcW w:w="3799" w:type="dxa"/>
          </w:tcPr>
          <w:p>
            <w:pPr>
              <w:pStyle w:val="0"/>
            </w:pPr>
            <w:r>
              <w:rPr>
                <w:sz w:val="20"/>
              </w:rPr>
              <w:t xml:space="preserve">Критерий исполнения мероприятия: раз в 6 мес. предоставляются отчеты медицинских организаций перед Депздравом Югры о деятельности системы внутреннего контроля качества медицинской помощи пациентам с сердечно-сосудистыми заболеваниями на основе критериев качества медицинской помощи и клинических рекомендаций</w:t>
            </w:r>
          </w:p>
        </w:tc>
        <w:tc>
          <w:tcPr>
            <w:tcW w:w="3874" w:type="dxa"/>
          </w:tcPr>
          <w:p>
            <w:pPr>
              <w:pStyle w:val="0"/>
            </w:pPr>
            <w:r>
              <w:rPr>
                <w:sz w:val="20"/>
              </w:rPr>
              <w:t xml:space="preserve">С целью повышения качества медицинской помощи пациентам с сердечно-сосудистыми заболеваниями представляются не реже 1 раза в 6 мес. отчеты медицинских организаций перед Депздравом Югры о деятельности системы внутреннего контроля качества медицинской помощи пациентам с сердечно-сосудистыми заболеваниями на основе критериев качества медицинской помощи и клинических рекомендаций. Анализ отчетов, включая чек-листы, проводится под руководством главных внештатных специалистов Депздрава Югры</w:t>
            </w:r>
          </w:p>
        </w:tc>
      </w:tr>
      <w:tr>
        <w:tc>
          <w:tcPr>
            <w:tcW w:w="484" w:type="dxa"/>
          </w:tcPr>
          <w:p>
            <w:pPr>
              <w:pStyle w:val="0"/>
            </w:pPr>
            <w:r>
              <w:rPr>
                <w:sz w:val="20"/>
              </w:rPr>
              <w:t xml:space="preserve">14</w:t>
            </w:r>
          </w:p>
        </w:tc>
        <w:tc>
          <w:tcPr>
            <w:tcW w:w="3724" w:type="dxa"/>
          </w:tcPr>
          <w:p>
            <w:pPr>
              <w:pStyle w:val="0"/>
            </w:pPr>
            <w:r>
              <w:rPr>
                <w:sz w:val="20"/>
              </w:rPr>
              <w:t xml:space="preserve">Разработка и осуществление мероприятий по внедрению системы контроля качества медицинской помощи пациентам с сердечно-сосудистыми заболеваниями совместно с профильными национальными медицинскими исследовательскими центрами на основе критериев качества медицинской помощи и клинических рекомендаций, включающих, в том числе инновационные медицинские технологии.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Главные внештатные специалисты Депздрава Югры по кардиологии, неврологии, терапии и общей врачебной практике (по согласованию);</w:t>
            </w:r>
          </w:p>
          <w:p>
            <w:pPr>
              <w:pStyle w:val="0"/>
            </w:pPr>
            <w:r>
              <w:rPr>
                <w:sz w:val="20"/>
              </w:rPr>
              <w:t xml:space="preserve">Директор БУ "МИАЦ" (по согласованию)</w:t>
            </w:r>
          </w:p>
        </w:tc>
        <w:tc>
          <w:tcPr>
            <w:tcW w:w="3799" w:type="dxa"/>
          </w:tcPr>
          <w:p>
            <w:pPr>
              <w:pStyle w:val="0"/>
            </w:pPr>
            <w:r>
              <w:rPr>
                <w:sz w:val="20"/>
              </w:rPr>
              <w:t xml:space="preserve">Разработана и внедрена система контроля качества медицинской помощи пациентам с сердечно-сосудистыми заболеваниями с использованием цифровых технологий</w:t>
            </w:r>
          </w:p>
        </w:tc>
        <w:tc>
          <w:tcPr>
            <w:tcW w:w="3874" w:type="dxa"/>
          </w:tcPr>
          <w:p>
            <w:pPr>
              <w:pStyle w:val="0"/>
            </w:pPr>
            <w:r>
              <w:rPr>
                <w:sz w:val="20"/>
              </w:rPr>
              <w:t xml:space="preserve">1. Разработаны протоколы ведения пациентов по профилям "кардиология" и "неврология".</w:t>
            </w:r>
          </w:p>
          <w:p>
            <w:pPr>
              <w:pStyle w:val="0"/>
            </w:pPr>
            <w:r>
              <w:rPr>
                <w:sz w:val="20"/>
              </w:rPr>
              <w:t xml:space="preserve">2. Обеспечивается своевременное внедрение в практику медицинских организаций автономного округа новых методов диагностики, лечения и реабилитации сердечно-сосудистых заболеваний.</w:t>
            </w:r>
          </w:p>
          <w:p>
            <w:pPr>
              <w:pStyle w:val="0"/>
            </w:pPr>
            <w:r>
              <w:rPr>
                <w:sz w:val="20"/>
              </w:rPr>
              <w:t xml:space="preserve">3. Разработаны мероприятия по исключению необоснованной и непрофильной госпитализации.</w:t>
            </w:r>
          </w:p>
          <w:p>
            <w:pPr>
              <w:pStyle w:val="0"/>
            </w:pPr>
            <w:r>
              <w:rPr>
                <w:sz w:val="20"/>
              </w:rPr>
              <w:t xml:space="preserve">4. Обеспечен контроль кодирования ХСН в качестве основного заболевания</w:t>
            </w:r>
          </w:p>
        </w:tc>
      </w:tr>
      <w:tr>
        <w:tc>
          <w:tcPr>
            <w:tcW w:w="484" w:type="dxa"/>
          </w:tcPr>
          <w:p>
            <w:pPr>
              <w:pStyle w:val="0"/>
            </w:pPr>
            <w:r>
              <w:rPr>
                <w:sz w:val="20"/>
              </w:rPr>
              <w:t xml:space="preserve">15</w:t>
            </w:r>
          </w:p>
        </w:tc>
        <w:tc>
          <w:tcPr>
            <w:tcW w:w="3724" w:type="dxa"/>
          </w:tcPr>
          <w:p>
            <w:pPr>
              <w:pStyle w:val="0"/>
            </w:pPr>
            <w:r>
              <w:rPr>
                <w:sz w:val="20"/>
              </w:rPr>
              <w:t xml:space="preserve">Ведение регистров сердечно-сосудистых заболеваний с целью оценки соответствия оказываемой медицинской помощи современным клиническим рекомендациям</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Директор БУ "МИАЦ" (по согласованию)</w:t>
            </w:r>
          </w:p>
        </w:tc>
        <w:tc>
          <w:tcPr>
            <w:tcW w:w="3799" w:type="dxa"/>
          </w:tcPr>
          <w:p>
            <w:pPr>
              <w:pStyle w:val="0"/>
            </w:pPr>
            <w:r>
              <w:rPr>
                <w:sz w:val="20"/>
              </w:rPr>
              <w:t xml:space="preserve">В региональные регистры по профилю сердечно-сосудистых заболеваний внесено не менее 90% больных от общего числа пациентов, имеющих показания для внесения в регистр. Регулярно, с утвержденной для каждого регистра частотой, проводится анализ соответствия оказываемой медицинской помощи пациентам, внесенным в регистры, современным клиническим рекомендациям.</w:t>
            </w:r>
          </w:p>
        </w:tc>
        <w:tc>
          <w:tcPr>
            <w:tcW w:w="3874" w:type="dxa"/>
          </w:tcPr>
          <w:p>
            <w:pPr>
              <w:pStyle w:val="0"/>
            </w:pPr>
            <w:r>
              <w:rPr>
                <w:sz w:val="20"/>
              </w:rPr>
              <w:t xml:space="preserve">В автономном округе ведется 5 регистров по профилю сердечно-сосудистых заболеваний, все регионального значения:</w:t>
            </w:r>
          </w:p>
          <w:p>
            <w:pPr>
              <w:pStyle w:val="0"/>
            </w:pPr>
            <w:r>
              <w:rPr>
                <w:sz w:val="20"/>
              </w:rPr>
              <w:t xml:space="preserve">1) регистр пациентов с болезнями системы кровообращения высокого риска (перенесшие инфаркт миокарда, инсульт, операции реваскуляризации и катетерной абляции);</w:t>
            </w:r>
          </w:p>
          <w:p>
            <w:pPr>
              <w:pStyle w:val="0"/>
            </w:pPr>
            <w:r>
              <w:rPr>
                <w:sz w:val="20"/>
              </w:rPr>
              <w:t xml:space="preserve">2) регистр пациентов с легочной гипертензией;</w:t>
            </w:r>
          </w:p>
          <w:p>
            <w:pPr>
              <w:pStyle w:val="0"/>
            </w:pPr>
            <w:r>
              <w:rPr>
                <w:sz w:val="20"/>
              </w:rPr>
              <w:t xml:space="preserve">3) регистр пациентов с гиперлипидемией;</w:t>
            </w:r>
          </w:p>
          <w:p>
            <w:pPr>
              <w:pStyle w:val="0"/>
            </w:pPr>
            <w:r>
              <w:rPr>
                <w:sz w:val="20"/>
              </w:rPr>
              <w:t xml:space="preserve">4) регистр пациентов с имплантированными устройствами;</w:t>
            </w:r>
          </w:p>
          <w:p>
            <w:pPr>
              <w:pStyle w:val="0"/>
            </w:pPr>
            <w:r>
              <w:rPr>
                <w:sz w:val="20"/>
              </w:rPr>
              <w:t xml:space="preserve">5) регистр детей с врожденными пороками сердца.</w:t>
            </w:r>
          </w:p>
        </w:tc>
      </w:tr>
      <w:tr>
        <w:tc>
          <w:tcPr>
            <w:tcW w:w="484" w:type="dxa"/>
          </w:tcPr>
          <w:p>
            <w:pPr>
              <w:pStyle w:val="0"/>
            </w:pPr>
            <w:r>
              <w:rPr>
                <w:sz w:val="20"/>
              </w:rPr>
              <w:t xml:space="preserve">16</w:t>
            </w:r>
          </w:p>
        </w:tc>
        <w:tc>
          <w:tcPr>
            <w:tcW w:w="3724" w:type="dxa"/>
          </w:tcPr>
          <w:p>
            <w:pPr>
              <w:pStyle w:val="0"/>
            </w:pPr>
            <w:r>
              <w:rPr>
                <w:sz w:val="20"/>
              </w:rPr>
              <w:t xml:space="preserve">Ведение регистров сердечно-сосудистых заболеваний с целью оценки соответствия оказываемой медицинской помощи современным клиническим рекомендациям</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Главный внештатный специалист по терапии и общей врачебной практике Депздрава Югры (по согласованию)</w:t>
            </w:r>
          </w:p>
        </w:tc>
        <w:tc>
          <w:tcPr>
            <w:tcW w:w="3799" w:type="dxa"/>
          </w:tcPr>
          <w:p>
            <w:pPr>
              <w:pStyle w:val="0"/>
            </w:pPr>
            <w:r>
              <w:rPr>
                <w:sz w:val="20"/>
              </w:rPr>
              <w:t xml:space="preserve">В регистре пациентов с хронической сердечной недостаточностью состоит не менее 90% от числа пациентов с хронической сердечной недостаточностью, состоящих на диспансерном учете в поликлиниках с данным диагнозом. В регистре антикоагулянтной терапии состоит не менее 80% от числа пациентов высокого риска, получающих терапию антикоагулянтами.</w:t>
            </w:r>
          </w:p>
        </w:tc>
        <w:tc>
          <w:tcPr>
            <w:tcW w:w="3874" w:type="dxa"/>
          </w:tcPr>
          <w:p>
            <w:pPr>
              <w:pStyle w:val="0"/>
            </w:pPr>
            <w:r>
              <w:rPr>
                <w:sz w:val="20"/>
              </w:rPr>
              <w:t xml:space="preserve">В автономном округе сформирован регистр пациентов с хронической сердечной недостаточностью и регистр пациентов высокого риска, получающих терапию антикоагулянтами, созданные с целью развития и контроля данных направлений кардиологической службы округа.</w:t>
            </w:r>
          </w:p>
        </w:tc>
      </w:tr>
      <w:tr>
        <w:tc>
          <w:tcPr>
            <w:tcW w:w="484" w:type="dxa"/>
          </w:tcPr>
          <w:p>
            <w:pPr>
              <w:pStyle w:val="0"/>
            </w:pPr>
            <w:r>
              <w:rPr>
                <w:sz w:val="20"/>
              </w:rPr>
              <w:t xml:space="preserve">17</w:t>
            </w:r>
          </w:p>
        </w:tc>
        <w:tc>
          <w:tcPr>
            <w:tcW w:w="3724" w:type="dxa"/>
          </w:tcPr>
          <w:p>
            <w:pPr>
              <w:pStyle w:val="0"/>
            </w:pPr>
            <w:r>
              <w:rPr>
                <w:sz w:val="20"/>
              </w:rPr>
              <w:t xml:space="preserve">Утвержден перечень показателей результативности работы медицинской организации в части выявления и наблюдения граждан с высоким риском развития осложнений сердечно-сосудистых заболеваний:</w:t>
            </w:r>
          </w:p>
          <w:p>
            <w:pPr>
              <w:pStyle w:val="0"/>
            </w:pPr>
            <w:r>
              <w:rPr>
                <w:sz w:val="20"/>
              </w:rPr>
              <w:t xml:space="preserve">1. Общая смертность и смертность от БСК, в том числе с разбивкой по группам нозологий, достижение индивидуальных целевых показателей смертности, определенных Депздравом Югры.</w:t>
            </w:r>
          </w:p>
          <w:p>
            <w:pPr>
              <w:pStyle w:val="0"/>
            </w:pPr>
            <w:r>
              <w:rPr>
                <w:sz w:val="20"/>
              </w:rPr>
              <w:t xml:space="preserve">2. Число/доля состоящих на Д-учете у кардиолога/терапевта пациентов с БСК, в том числе с разбивкой по группам нозологий, полу, возрасту.</w:t>
            </w:r>
          </w:p>
          <w:p>
            <w:pPr>
              <w:pStyle w:val="0"/>
            </w:pPr>
            <w:r>
              <w:rPr>
                <w:sz w:val="20"/>
              </w:rPr>
              <w:t xml:space="preserve">3. Доля пациентов, достигших целевых показателей АД, ЧСС, липидов, МНО по данным регулярных выборочных проверок.</w:t>
            </w:r>
          </w:p>
          <w:p>
            <w:pPr>
              <w:pStyle w:val="0"/>
            </w:pPr>
            <w:r>
              <w:rPr>
                <w:sz w:val="20"/>
              </w:rPr>
              <w:t xml:space="preserve">4. Динамика выполнения нагрузочных тестов, ультразвуковых исследований сердца и сосудов, ТШХ, NTproBNP.</w:t>
            </w:r>
          </w:p>
          <w:p>
            <w:pPr>
              <w:pStyle w:val="0"/>
            </w:pPr>
            <w:r>
              <w:rPr>
                <w:sz w:val="20"/>
              </w:rPr>
              <w:t xml:space="preserve">5. Число переданных активов наблюдения пациентов с БСК, обратившихся за скорой медицинской помощью 2 и более раза в месяц, выписанных из стационаров, число и доля своевременно осмотренных пациентов из этих списков.</w:t>
            </w:r>
          </w:p>
          <w:p>
            <w:pPr>
              <w:pStyle w:val="0"/>
            </w:pPr>
            <w:r>
              <w:rPr>
                <w:sz w:val="20"/>
              </w:rPr>
              <w:t xml:space="preserve">6. Количество пациентов с БСК, направленных на госпитализацию, в т.ч. из числа состоящих на Д учете.</w:t>
            </w:r>
          </w:p>
          <w:p>
            <w:pPr>
              <w:pStyle w:val="0"/>
            </w:pPr>
            <w:r>
              <w:rPr>
                <w:sz w:val="20"/>
              </w:rPr>
              <w:t xml:space="preserve">7. Число осмотренных пациентов из числа состоящих на Д учете, в т.ч. консультированных дистанционно и на дому.</w:t>
            </w:r>
          </w:p>
          <w:p>
            <w:pPr>
              <w:pStyle w:val="0"/>
            </w:pPr>
            <w:r>
              <w:rPr>
                <w:sz w:val="20"/>
              </w:rPr>
              <w:t xml:space="preserve">8. Число пациентов с БСК, проконсультированных специалистами учреждений 3 уровня, в т.ч. при работе выездных бригад, при диагностике 1 дня, через систему телемедицинского консультирования.</w:t>
            </w:r>
          </w:p>
          <w:p>
            <w:pPr>
              <w:pStyle w:val="0"/>
            </w:pPr>
            <w:r>
              <w:rPr>
                <w:sz w:val="20"/>
              </w:rPr>
              <w:t xml:space="preserve">9. Число и доля пациентов высокого риска, охваченных льготным лекарственным обеспечением, по категориям льгот.</w:t>
            </w:r>
          </w:p>
          <w:p>
            <w:pPr>
              <w:pStyle w:val="0"/>
            </w:pPr>
            <w:r>
              <w:rPr>
                <w:sz w:val="20"/>
              </w:rPr>
              <w:t xml:space="preserve">10. Число пациентов с ХСН (I50) зарегистрированных и взятых на "Д" учет.</w:t>
            </w:r>
          </w:p>
          <w:p>
            <w:pPr>
              <w:pStyle w:val="0"/>
            </w:pPr>
            <w:r>
              <w:rPr>
                <w:sz w:val="20"/>
              </w:rPr>
              <w:t xml:space="preserve">11. Выводы по качеству оказания медицинской помощи больным с БСК участковыми терапевтами, врачами общей практики.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Главный внештатный специалист по терапии и общей врачебной практике Депздрава Югры (по согласованию)</w:t>
            </w:r>
          </w:p>
        </w:tc>
        <w:tc>
          <w:tcPr>
            <w:tcW w:w="3799" w:type="dxa"/>
          </w:tcPr>
          <w:p>
            <w:pPr>
              <w:pStyle w:val="0"/>
            </w:pPr>
            <w:r>
              <w:rPr>
                <w:sz w:val="20"/>
              </w:rPr>
              <w:t xml:space="preserve">Отчетные формы с показателями результативности работы медицинских организаций предоставляются ежемесячно с использованием региональной системы статистической отчетности, анализ проводится главными специалистами, на основе анализа принимаются управленческие решения.</w:t>
            </w:r>
          </w:p>
        </w:tc>
        <w:tc>
          <w:tcPr>
            <w:tcW w:w="3874" w:type="dxa"/>
          </w:tcPr>
          <w:p>
            <w:pPr>
              <w:pStyle w:val="0"/>
            </w:pPr>
            <w:r>
              <w:rPr>
                <w:sz w:val="20"/>
              </w:rPr>
              <w:t xml:space="preserve">В соответствии с утвержденным перечнем показателей результативности работы медицинской организации оценивается доступность и качество оказания медицинской помощи больным с БСК участковой службой медорганизаций. Анализ отчетов медорганизаций проводится главными внештатными специалистами, по итогам анализа вносятся предложения по устранению дефектов и совершенствованию работы медорганизаций</w:t>
            </w:r>
          </w:p>
        </w:tc>
      </w:tr>
      <w:tr>
        <w:tc>
          <w:tcPr>
            <w:gridSpan w:val="8"/>
            <w:tcW w:w="18737" w:type="dxa"/>
          </w:tcPr>
          <w:p>
            <w:pPr>
              <w:pStyle w:val="0"/>
              <w:outlineLvl w:val="2"/>
            </w:pPr>
            <w:r>
              <w:rPr>
                <w:sz w:val="20"/>
              </w:rPr>
              <w:t xml:space="preserve">3. Работа с факторами риска развития сердечно-сосудистых заболеваний</w:t>
            </w:r>
          </w:p>
        </w:tc>
      </w:tr>
      <w:tr>
        <w:tc>
          <w:tcPr>
            <w:tcW w:w="484" w:type="dxa"/>
          </w:tcPr>
          <w:p>
            <w:pPr>
              <w:pStyle w:val="0"/>
            </w:pPr>
            <w:r>
              <w:rPr>
                <w:sz w:val="20"/>
              </w:rPr>
              <w:t xml:space="preserve">18</w:t>
            </w:r>
          </w:p>
        </w:tc>
        <w:tc>
          <w:tcPr>
            <w:tcW w:w="3724" w:type="dxa"/>
          </w:tcPr>
          <w:p>
            <w:pPr>
              <w:pStyle w:val="0"/>
            </w:pPr>
            <w:r>
              <w:rPr>
                <w:sz w:val="20"/>
              </w:rPr>
              <w:t xml:space="preserve">Проведение мероприятий по профилактике и лечению факторов риска болезней системы кровообращения (артериальной гипертензии, курения, высокого уровня холестерина; сахарного диабета; употребления алкоголя; низкой физической активности; избыточной массы тела и ожирения), организация и проведение информационно-просветительских программ для населения с использованием средств массовой информации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0"/>
              </w:rPr>
              <w:t xml:space="preserve">Руководители Центров общественного здоровья и медицинской профилактики автономного округа (по согласованию)</w:t>
            </w:r>
          </w:p>
        </w:tc>
        <w:tc>
          <w:tcPr>
            <w:tcW w:w="3799" w:type="dxa"/>
          </w:tcPr>
          <w:p>
            <w:pPr>
              <w:pStyle w:val="0"/>
            </w:pPr>
            <w:r>
              <w:rPr>
                <w:sz w:val="20"/>
              </w:rPr>
              <w:t xml:space="preserve">Мероприятия по профилактике и лечению факторов риска проводятся регулярно, согласно планам, утвержденным Депздравом Югры и главными внештатными специалистами, итоги работы анализируются ежеквартально.</w:t>
            </w:r>
          </w:p>
        </w:tc>
        <w:tc>
          <w:tcPr>
            <w:tcW w:w="3874" w:type="dxa"/>
          </w:tcPr>
          <w:p>
            <w:pPr>
              <w:pStyle w:val="0"/>
            </w:pPr>
            <w:r>
              <w:rPr>
                <w:sz w:val="20"/>
              </w:rPr>
              <w:t xml:space="preserve">Система мероприятий по профилактике и лечению факторов риска сердечно-сосудистых заболеваний интегрирована с комплексом мероприятий регионального проекта "Формирование системы мотивации граждан к здоровому образу жизни, включая здоровое питание и отказ от вредных привычек" в национальном проекте "Демография".</w:t>
            </w:r>
          </w:p>
          <w:p>
            <w:pPr>
              <w:pStyle w:val="0"/>
            </w:pPr>
            <w:r>
              <w:rPr>
                <w:sz w:val="20"/>
              </w:rPr>
              <w:t xml:space="preserve">1. В 22 муниципалитетах внедрены региональные и муниципальные программы по укреплению общественного здоровья, снижению действия основных факторов риска неинфекционных заболеваний.</w:t>
            </w:r>
          </w:p>
          <w:p>
            <w:pPr>
              <w:pStyle w:val="0"/>
            </w:pPr>
            <w:r>
              <w:rPr>
                <w:sz w:val="20"/>
              </w:rPr>
              <w:t xml:space="preserve">2. Разработана и проведена информационно-коммуникационная кампания с использованием основных коммуникационных каналов для всех целевых аудиторий: телевизионные передачи ведущих каналов не реже 1 - 2 раз в неделю, публикации в сети Интернет (в том числе в социальных сетях медорганизаций), организована поддержка и развитие горячей линии и интернет-портала по вопросам здорового образа жизни.</w:t>
            </w:r>
          </w:p>
          <w:p>
            <w:pPr>
              <w:pStyle w:val="0"/>
            </w:pPr>
            <w:r>
              <w:rPr>
                <w:sz w:val="20"/>
              </w:rPr>
              <w:t xml:space="preserve">3. Регулярно проводятся открытые уроки по мотивированию школьников, родителей и учителей к ведению здорового образа жизни.</w:t>
            </w:r>
          </w:p>
          <w:p>
            <w:pPr>
              <w:pStyle w:val="0"/>
            </w:pPr>
            <w:r>
              <w:rPr>
                <w:sz w:val="20"/>
              </w:rPr>
              <w:t xml:space="preserve">4. В Окружном кардиологическом диспансере работает "Музей сердца", экскурсии проводятся 3 - 4 раза в месяц по графику: школьники проходят обучение правилам здорового образа жизни и обучаются основам сердечно-легочной реанимации по программе "Я могу спасти жизнь!".</w:t>
            </w:r>
          </w:p>
          <w:p>
            <w:pPr>
              <w:pStyle w:val="0"/>
            </w:pPr>
            <w:r>
              <w:rPr>
                <w:sz w:val="20"/>
              </w:rPr>
              <w:t xml:space="preserve">5. Опыт обучения основам сердечно-легочной реанимации при реализации программы "Я могу спасти жизнь!" распространен на все медорганизации автономного округа.</w:t>
            </w:r>
          </w:p>
        </w:tc>
      </w:tr>
      <w:tr>
        <w:tc>
          <w:tcPr>
            <w:tcW w:w="484" w:type="dxa"/>
          </w:tcPr>
          <w:p>
            <w:pPr>
              <w:pStyle w:val="0"/>
            </w:pPr>
            <w:r>
              <w:rPr>
                <w:sz w:val="20"/>
              </w:rPr>
              <w:t xml:space="preserve">19</w:t>
            </w:r>
          </w:p>
        </w:tc>
        <w:tc>
          <w:tcPr>
            <w:tcW w:w="3724" w:type="dxa"/>
          </w:tcPr>
          <w:p>
            <w:pPr>
              <w:pStyle w:val="0"/>
            </w:pPr>
            <w:r>
              <w:rPr>
                <w:sz w:val="20"/>
              </w:rPr>
              <w:t xml:space="preserve">Увеличение доли граждан, приверженных к здоровому образу жизни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0"/>
              </w:rPr>
              <w:t xml:space="preserve">Руководители центров общественного здоровья и медицинской профилактики (по согласованию)</w:t>
            </w:r>
          </w:p>
        </w:tc>
        <w:tc>
          <w:tcPr>
            <w:tcW w:w="3799" w:type="dxa"/>
          </w:tcPr>
          <w:p>
            <w:pPr>
              <w:pStyle w:val="0"/>
            </w:pPr>
            <w:r>
              <w:rPr>
                <w:sz w:val="20"/>
              </w:rPr>
              <w:t xml:space="preserve">Доля граждан, приверженных к здоровому образу жизни, повышена до 70%. Доля граждан, контролирующих артериальное давление, повышена до 55%. Доля граждан, информированных о симптомах инфаркта и инсульта, повышена до 95%. Доля граждан, контролирующих уровень глюкозы и холестерина, повышена до 45%</w:t>
            </w:r>
          </w:p>
        </w:tc>
        <w:tc>
          <w:tcPr>
            <w:tcW w:w="3874" w:type="dxa"/>
          </w:tcPr>
          <w:p>
            <w:pPr>
              <w:pStyle w:val="0"/>
            </w:pPr>
            <w:r>
              <w:rPr>
                <w:sz w:val="20"/>
              </w:rPr>
              <w:t xml:space="preserve">1. Сокращен текущий показатель распространенности курения среди взрослого населения: в поликлиниках автономного округа дополнительно открыто 6 кабинетов по отказу от курения, проводится консультирование пациентов, проходящих стационарное лечение, подготовлены информационные и методические материалы.</w:t>
            </w:r>
          </w:p>
          <w:p>
            <w:pPr>
              <w:pStyle w:val="0"/>
            </w:pPr>
            <w:r>
              <w:rPr>
                <w:sz w:val="20"/>
              </w:rPr>
              <w:t xml:space="preserve">2. Ограничено время продажи алкоголя в розничной сети (запрет на продажу алкоголя с 20:00 вечера до 08:00 утра).</w:t>
            </w:r>
          </w:p>
          <w:p>
            <w:pPr>
              <w:pStyle w:val="0"/>
            </w:pPr>
            <w:r>
              <w:rPr>
                <w:sz w:val="20"/>
              </w:rPr>
              <w:t xml:space="preserve">3. Повышена до 55% доля граждан, контролирующих свое артериальное давление, среди всех жителей автономного округа.</w:t>
            </w:r>
          </w:p>
          <w:p>
            <w:pPr>
              <w:pStyle w:val="0"/>
            </w:pPr>
            <w:r>
              <w:rPr>
                <w:sz w:val="20"/>
              </w:rPr>
              <w:t xml:space="preserve">4. Повышена до 95% информированность населения о симптомах острого нарушения мозгового кровообращения и острого коронарного синдрома, правилах действий больных и их окружающих при развитии неотложных состояний.</w:t>
            </w:r>
          </w:p>
          <w:p>
            <w:pPr>
              <w:pStyle w:val="0"/>
            </w:pPr>
            <w:r>
              <w:rPr>
                <w:sz w:val="20"/>
              </w:rPr>
              <w:t xml:space="preserve">5. Проводится приоритетная работа с лицами, родственники которых имели сердечно-сосудистые заболевания, особенно случаи инфарктов миокарда, нарушений мозгового кровообращения, внезапной смерти.</w:t>
            </w:r>
          </w:p>
          <w:p>
            <w:pPr>
              <w:pStyle w:val="0"/>
            </w:pPr>
            <w:r>
              <w:rPr>
                <w:sz w:val="20"/>
              </w:rPr>
              <w:t xml:space="preserve">6. До 45% повышена доля граждан, обращающихся в Центры общественного здоровья и контролирующих уровень глюкозы и липидов крови</w:t>
            </w:r>
          </w:p>
        </w:tc>
      </w:tr>
      <w:tr>
        <w:tc>
          <w:tcPr>
            <w:tcW w:w="484" w:type="dxa"/>
          </w:tcPr>
          <w:p>
            <w:pPr>
              <w:pStyle w:val="0"/>
            </w:pPr>
            <w:r>
              <w:rPr>
                <w:sz w:val="20"/>
              </w:rPr>
              <w:t xml:space="preserve">20</w:t>
            </w:r>
          </w:p>
        </w:tc>
        <w:tc>
          <w:tcPr>
            <w:tcW w:w="3724" w:type="dxa"/>
          </w:tcPr>
          <w:p>
            <w:pPr>
              <w:pStyle w:val="0"/>
            </w:pPr>
            <w:r>
              <w:rPr>
                <w:sz w:val="20"/>
              </w:rPr>
              <w:t xml:space="preserve">Создание и трансляция просветительских программ/передач для населения с использованием местных каналов телевидения, радио и сети Интернет</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0"/>
              </w:rPr>
              <w:t xml:space="preserve">Главный внештатный специалист по профилактической медицине Депздрава Югры (по согласованию)</w:t>
            </w:r>
          </w:p>
        </w:tc>
        <w:tc>
          <w:tcPr>
            <w:tcW w:w="3799" w:type="dxa"/>
          </w:tcPr>
          <w:p>
            <w:pPr>
              <w:pStyle w:val="0"/>
            </w:pPr>
            <w:r>
              <w:rPr>
                <w:sz w:val="20"/>
              </w:rPr>
              <w:t xml:space="preserve">Ежегодно создается и транслируется просветительских программ на телевидении и радио не менее 4 000, в интернет-изданиях не менее 3000, в социальных сетях медорганизаций не менее 2000</w:t>
            </w:r>
          </w:p>
        </w:tc>
        <w:tc>
          <w:tcPr>
            <w:tcW w:w="3874" w:type="dxa"/>
          </w:tcPr>
          <w:p>
            <w:pPr>
              <w:pStyle w:val="0"/>
            </w:pPr>
            <w:r>
              <w:rPr>
                <w:sz w:val="20"/>
              </w:rPr>
              <w:t xml:space="preserve">На телевидении и радио ежегодно транслируется не менее 4 000 сюжетов о факторах риска, симптомах хронических неинфекционных заболеваний, необходимости своевременного обращения к врачу. В интернет-изданиях ежегодно публикуется не менее 3000 сюжетов и сообщений профилактической направленности. В социальных сетях медорганизаций округа ежегодно размещается не менее 2000 информационных сообщений о факторах риска, симптомах сердечно-сосудистых заболеваний и их профилактике и лечении. Телерадиокомпанией "Югра" реализован проект, включающий 8 постановочных видеороликов, 8 аудиороликов, 4 макетов баннеров</w:t>
            </w:r>
          </w:p>
        </w:tc>
      </w:tr>
      <w:tr>
        <w:tc>
          <w:tcPr>
            <w:tcW w:w="484" w:type="dxa"/>
          </w:tcPr>
          <w:p>
            <w:pPr>
              <w:pStyle w:val="0"/>
            </w:pPr>
            <w:r>
              <w:rPr>
                <w:sz w:val="20"/>
              </w:rPr>
              <w:t xml:space="preserve">21</w:t>
            </w:r>
          </w:p>
        </w:tc>
        <w:tc>
          <w:tcPr>
            <w:tcW w:w="3724" w:type="dxa"/>
          </w:tcPr>
          <w:p>
            <w:pPr>
              <w:pStyle w:val="0"/>
            </w:pPr>
            <w:r>
              <w:rPr>
                <w:sz w:val="20"/>
              </w:rPr>
              <w:t xml:space="preserve">Публикация материалов в периодических изданиях соответствующей тематики.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0"/>
              </w:rPr>
              <w:t xml:space="preserve">Главный внештатный специалист по профилактической медицине Депздрава Югры (по согласованию)</w:t>
            </w:r>
          </w:p>
        </w:tc>
        <w:tc>
          <w:tcPr>
            <w:tcW w:w="3799" w:type="dxa"/>
          </w:tcPr>
          <w:p>
            <w:pPr>
              <w:pStyle w:val="0"/>
            </w:pPr>
            <w:r>
              <w:rPr>
                <w:sz w:val="20"/>
              </w:rPr>
              <w:t xml:space="preserve">В течение года опубликовано не менее 120 статей по пропаганде здорового образа жизни в местной печати, выпущено по 4 номера журнала "Регион здоровье", "Pro ЗДОРОВЬЕ"</w:t>
            </w:r>
          </w:p>
        </w:tc>
        <w:tc>
          <w:tcPr>
            <w:tcW w:w="3874" w:type="dxa"/>
          </w:tcPr>
          <w:p>
            <w:pPr>
              <w:pStyle w:val="0"/>
            </w:pPr>
            <w:r>
              <w:rPr>
                <w:sz w:val="20"/>
              </w:rPr>
              <w:t xml:space="preserve">С целью повышения приверженности населения к здоровому образу жизни в печатных средствах массовой информации ежегодно публикуется не менее 120 материалов о факторах риска, симптомах хронических неинфекционных заболеваний, необходимости своевременного обращения к врачу. Издаются 2 журнала для населения о здоровом образе жизни: "Регион здоровье", "Pro ЗДОРОВЬЕ", ежегодно выходит по 4 номера каждого журнала</w:t>
            </w:r>
          </w:p>
        </w:tc>
      </w:tr>
      <w:tr>
        <w:tc>
          <w:tcPr>
            <w:tcW w:w="484" w:type="dxa"/>
          </w:tcPr>
          <w:p>
            <w:pPr>
              <w:pStyle w:val="0"/>
            </w:pPr>
            <w:r>
              <w:rPr>
                <w:sz w:val="20"/>
              </w:rPr>
              <w:t xml:space="preserve">22</w:t>
            </w:r>
          </w:p>
        </w:tc>
        <w:tc>
          <w:tcPr>
            <w:tcW w:w="3724" w:type="dxa"/>
          </w:tcPr>
          <w:p>
            <w:pPr>
              <w:pStyle w:val="0"/>
            </w:pPr>
            <w:r>
              <w:rPr>
                <w:sz w:val="20"/>
              </w:rPr>
              <w:t xml:space="preserve">Обеспечение охвата населения автономного округа диспансеризацией и профилактическими осмотрами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0"/>
              </w:rPr>
              <w:t xml:space="preserve">главные врачи медорганизаций (по согласованию)</w:t>
            </w:r>
          </w:p>
        </w:tc>
        <w:tc>
          <w:tcPr>
            <w:tcW w:w="3799" w:type="dxa"/>
          </w:tcPr>
          <w:p>
            <w:pPr>
              <w:pStyle w:val="0"/>
            </w:pPr>
            <w:r>
              <w:rPr>
                <w:sz w:val="20"/>
              </w:rPr>
              <w:t xml:space="preserve">Обеспечен охват до 70% (1,2 млн. чел.) населения автономного округа профилактическими медицинским осмотрами. Обеспечен ежемесячный мониторинг охвата населения автономного округа диспансеризацией и профилактическими медицинским осмотрами. Внедрены механизмы контроля качества профилактических осмотров.</w:t>
            </w:r>
          </w:p>
        </w:tc>
        <w:tc>
          <w:tcPr>
            <w:tcW w:w="3874" w:type="dxa"/>
          </w:tcPr>
          <w:p>
            <w:pPr>
              <w:pStyle w:val="0"/>
            </w:pPr>
            <w:r>
              <w:rPr>
                <w:sz w:val="20"/>
              </w:rPr>
              <w:t xml:space="preserve">1. Обеспечен ежемесячный мониторинг охвата населения автономного округа диспансеризацией и профилактическими медицинским осмотрами. Результаты мониторинга по автономному округу в целом и в разрезе медорганизаций докладываются ежемесячно на совещании Депздрава Югры с руководителями медорганизаций в режиме ВКС.</w:t>
            </w:r>
          </w:p>
          <w:p>
            <w:pPr>
              <w:pStyle w:val="0"/>
            </w:pPr>
            <w:r>
              <w:rPr>
                <w:sz w:val="20"/>
              </w:rPr>
              <w:t xml:space="preserve">2. Выделяются группы риска на основе анкетирования при проведении профилактических осмотров.</w:t>
            </w:r>
          </w:p>
          <w:p>
            <w:pPr>
              <w:pStyle w:val="0"/>
            </w:pPr>
            <w:r>
              <w:rPr>
                <w:sz w:val="20"/>
              </w:rPr>
              <w:t xml:space="preserve">3. Разработаны и внедрены механизмы контроля качества профилактических осмотров.</w:t>
            </w:r>
          </w:p>
          <w:p>
            <w:pPr>
              <w:pStyle w:val="0"/>
            </w:pPr>
            <w:r>
              <w:rPr>
                <w:sz w:val="20"/>
              </w:rPr>
              <w:t xml:space="preserve">4. Проводится профилактика ССЗ в группах повышенного риска: лица с наследственной предрасположенностью к возникновению сердечно-сосудистых заболеваний, лица, злоупотребляющие табаком, имеющие избыточную массу тела, сахарный диабет, повышенный уровень холестерина, фибрилляцию предсердий, лица старше 50 лет.</w:t>
            </w:r>
          </w:p>
          <w:p>
            <w:pPr>
              <w:pStyle w:val="0"/>
            </w:pPr>
            <w:r>
              <w:rPr>
                <w:sz w:val="20"/>
              </w:rPr>
              <w:t xml:space="preserve">5. Разработан и внедрен алгоритм обследования лиц имеющих риск более 5 баллов по шкале Score, при диагностике 1 дня</w:t>
            </w:r>
          </w:p>
        </w:tc>
      </w:tr>
      <w:tr>
        <w:tc>
          <w:tcPr>
            <w:tcW w:w="484" w:type="dxa"/>
          </w:tcPr>
          <w:p>
            <w:pPr>
              <w:pStyle w:val="0"/>
            </w:pPr>
            <w:r>
              <w:rPr>
                <w:sz w:val="20"/>
              </w:rPr>
              <w:t xml:space="preserve">23</w:t>
            </w:r>
          </w:p>
        </w:tc>
        <w:tc>
          <w:tcPr>
            <w:tcW w:w="3724" w:type="dxa"/>
          </w:tcPr>
          <w:p>
            <w:pPr>
              <w:pStyle w:val="0"/>
            </w:pPr>
            <w:r>
              <w:rPr>
                <w:sz w:val="20"/>
              </w:rPr>
              <w:t xml:space="preserve">Проведение школ для пациентов в медицинских организациях округа</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 главные врачи МО (по согласованию)</w:t>
            </w:r>
          </w:p>
        </w:tc>
        <w:tc>
          <w:tcPr>
            <w:tcW w:w="3799" w:type="dxa"/>
          </w:tcPr>
          <w:p>
            <w:pPr>
              <w:pStyle w:val="0"/>
            </w:pPr>
            <w:r>
              <w:rPr>
                <w:sz w:val="20"/>
              </w:rPr>
              <w:t xml:space="preserve">Ежегодно в МО проводится не менее 300 школ здоровья для пациентов с БСК, в которых обучается не менее 50 тыс. человек. Организован ежемесячный мониторинг числа проведенных школ и количества обученных пациентов посредством региональной системы статистической отчетности. Повышена информированность населения о симптомах ОНМК и острого коронарного синдрома и правилах действий при развитии сердечно-сосудистых катастроф до 95%.</w:t>
            </w:r>
          </w:p>
        </w:tc>
        <w:tc>
          <w:tcPr>
            <w:tcW w:w="3874" w:type="dxa"/>
          </w:tcPr>
          <w:p>
            <w:pPr>
              <w:pStyle w:val="0"/>
            </w:pPr>
            <w:r>
              <w:rPr>
                <w:sz w:val="20"/>
              </w:rPr>
              <w:t xml:space="preserve">Во всех поликлиниках и стационарах автономного округа организованы школы пациентов: кардиошкола, школа больных с сердечной недостаточностью, школа для больных с артериальной гипертонией, школа для больных ИБС, школа для пациентов, перенесших инфаркт миокарда, школа атеротромбоза, школа активного долголетия, школа для родственников пациентов с сердечно-сосудистыми заболеваниями. Занятия организуются в удобное для пациентов время, включая выходные дни. Виртуальные школы здоровья размещены на сайтах медицинских организаций, сайтах центров профилактики и общественного здоровья.</w:t>
            </w:r>
          </w:p>
        </w:tc>
      </w:tr>
      <w:tr>
        <w:tc>
          <w:tcPr>
            <w:tcW w:w="484" w:type="dxa"/>
          </w:tcPr>
          <w:p>
            <w:pPr>
              <w:pStyle w:val="0"/>
            </w:pPr>
            <w:r>
              <w:rPr>
                <w:sz w:val="20"/>
              </w:rPr>
              <w:t xml:space="preserve">24</w:t>
            </w:r>
          </w:p>
        </w:tc>
        <w:tc>
          <w:tcPr>
            <w:tcW w:w="3724" w:type="dxa"/>
          </w:tcPr>
          <w:p>
            <w:pPr>
              <w:pStyle w:val="0"/>
            </w:pPr>
            <w:r>
              <w:rPr>
                <w:sz w:val="20"/>
              </w:rPr>
              <w:t xml:space="preserve">Регулярное проведение тематических акций, направленных на пропаганду здорового образа жизни и на раннее выявление факторов риска развития сердечно-сосудистых заболеваний</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0"/>
              </w:rPr>
              <w:t xml:space="preserve">Директор Департамента образования автономного округа</w:t>
            </w:r>
          </w:p>
        </w:tc>
        <w:tc>
          <w:tcPr>
            <w:tcW w:w="3799" w:type="dxa"/>
          </w:tcPr>
          <w:p>
            <w:pPr>
              <w:pStyle w:val="0"/>
            </w:pPr>
            <w:r>
              <w:rPr>
                <w:sz w:val="20"/>
              </w:rPr>
              <w:t xml:space="preserve">Увеличена доля граждан, приверженных к здоровому образу жизни до 70%. Организован мониторинг доли граждан, имеющих факторы риска: ожирение, курение, гиподинамия, злоупотребление алкоголем.</w:t>
            </w:r>
          </w:p>
        </w:tc>
        <w:tc>
          <w:tcPr>
            <w:tcW w:w="3874" w:type="dxa"/>
          </w:tcPr>
          <w:p>
            <w:pPr>
              <w:pStyle w:val="0"/>
            </w:pPr>
            <w:r>
              <w:rPr>
                <w:sz w:val="20"/>
              </w:rPr>
              <w:t xml:space="preserve">Реализована программа "Югра - территория здоровья". Создана среда, способствующая ведению гражданами здорового образа жизни, включая повышение физической активности, здоровое питание, защиту от табачного дыма и снижение потребления алкоголя. Регулярно, не менее 1 раза в квартал, в медорганизациях автономного округа проводятся массовые акции, с целью пропаганды здорового образа жизни и раннего выявления пациентов с факторами риска.</w:t>
            </w:r>
          </w:p>
        </w:tc>
      </w:tr>
      <w:tr>
        <w:tc>
          <w:tcPr>
            <w:tcW w:w="484" w:type="dxa"/>
          </w:tcPr>
          <w:p>
            <w:pPr>
              <w:pStyle w:val="0"/>
            </w:pPr>
            <w:r>
              <w:rPr>
                <w:sz w:val="20"/>
              </w:rPr>
              <w:t xml:space="preserve">25</w:t>
            </w:r>
          </w:p>
        </w:tc>
        <w:tc>
          <w:tcPr>
            <w:tcW w:w="3724" w:type="dxa"/>
          </w:tcPr>
          <w:p>
            <w:pPr>
              <w:pStyle w:val="0"/>
            </w:pPr>
            <w:r>
              <w:rPr>
                <w:sz w:val="20"/>
              </w:rPr>
              <w:t xml:space="preserve">Организация и проведение Всемирного дня борьбы с инсультом (29 октября)</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терапии и общей врачебной практике Депздрава Югры (по согласованию), главный внештатный невролог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В 22 муниципальных образованиях автономного округа проведены мероприятия Всемирного дня борьбы с инсультом</w:t>
            </w:r>
          </w:p>
        </w:tc>
        <w:tc>
          <w:tcPr>
            <w:tcW w:w="3874" w:type="dxa"/>
          </w:tcPr>
          <w:p>
            <w:pPr>
              <w:pStyle w:val="0"/>
            </w:pPr>
            <w:r>
              <w:rPr>
                <w:sz w:val="20"/>
              </w:rPr>
              <w:t xml:space="preserve">Проведен Всемирный день борьбы с инсультом в 22 муниципальных образованиях автономного округа</w:t>
            </w:r>
          </w:p>
        </w:tc>
      </w:tr>
      <w:tr>
        <w:tc>
          <w:tcPr>
            <w:tcW w:w="484" w:type="dxa"/>
          </w:tcPr>
          <w:p>
            <w:pPr>
              <w:pStyle w:val="0"/>
            </w:pPr>
            <w:r>
              <w:rPr>
                <w:sz w:val="20"/>
              </w:rPr>
              <w:t xml:space="preserve">26</w:t>
            </w:r>
          </w:p>
        </w:tc>
        <w:tc>
          <w:tcPr>
            <w:tcW w:w="3724" w:type="dxa"/>
          </w:tcPr>
          <w:p>
            <w:pPr>
              <w:pStyle w:val="0"/>
            </w:pPr>
            <w:r>
              <w:rPr>
                <w:sz w:val="20"/>
              </w:rPr>
              <w:t xml:space="preserve">Организация и проведение Дня сердца (29 сентября)</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В 22 муниципальных образованиях автономного округа организованы и проведены мероприятия, посвященные Всемирному дню сердца</w:t>
            </w:r>
          </w:p>
        </w:tc>
        <w:tc>
          <w:tcPr>
            <w:tcW w:w="3874" w:type="dxa"/>
          </w:tcPr>
          <w:p>
            <w:pPr>
              <w:pStyle w:val="0"/>
            </w:pPr>
            <w:r>
              <w:rPr>
                <w:sz w:val="20"/>
              </w:rPr>
              <w:t xml:space="preserve">Проведен День сердца в 22 муниципальных образованиях автономного округа, с целью снижения распространенности факторов риска развития сердечно-сосудистых заболеваний, их раннего выявления, повышения информированности населения о симптомах инфаркта миокарда и правилах действий при их возникновении</w:t>
            </w:r>
          </w:p>
        </w:tc>
      </w:tr>
      <w:tr>
        <w:tc>
          <w:tcPr>
            <w:tcW w:w="484" w:type="dxa"/>
          </w:tcPr>
          <w:p>
            <w:pPr>
              <w:pStyle w:val="0"/>
            </w:pPr>
            <w:r>
              <w:rPr>
                <w:sz w:val="20"/>
              </w:rPr>
              <w:t xml:space="preserve">27</w:t>
            </w:r>
          </w:p>
        </w:tc>
        <w:tc>
          <w:tcPr>
            <w:tcW w:w="3724" w:type="dxa"/>
          </w:tcPr>
          <w:p>
            <w:pPr>
              <w:pStyle w:val="0"/>
            </w:pPr>
            <w:r>
              <w:rPr>
                <w:sz w:val="20"/>
              </w:rPr>
              <w:t xml:space="preserve">Разработка и внедрение программы (продолжение внедрения) мероприятий по профилактике сердечно-сосудистых заболеваний в автономном округе с ориентиром на выявление и коррекцию основных факторов риска развития сердечно-сосудистых заболеваний с использованием имеющихся и расширением возможностей Центров здоровья и отделений медицинской профилактики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кардиолог Депздрава Югры (по согласованию), главный внештатный специалист невролог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0"/>
              </w:rPr>
              <w:t xml:space="preserve">Руководители отделений центра медицинской профилактики (по согласованию)</w:t>
            </w:r>
          </w:p>
        </w:tc>
        <w:tc>
          <w:tcPr>
            <w:tcW w:w="3799" w:type="dxa"/>
          </w:tcPr>
          <w:p>
            <w:pPr>
              <w:pStyle w:val="0"/>
            </w:pPr>
            <w:r>
              <w:rPr>
                <w:sz w:val="20"/>
              </w:rPr>
              <w:t xml:space="preserve">Во всех муниципалитетах автономного округа внедрены модельные региональные и муниципальные программы по укреплению общественного здоровья. Реализация программы мероприятий по снижению действия основных факторов риска неинфекционных заболеваний.</w:t>
            </w:r>
          </w:p>
        </w:tc>
        <w:tc>
          <w:tcPr>
            <w:tcW w:w="3874" w:type="dxa"/>
          </w:tcPr>
          <w:p>
            <w:pPr>
              <w:pStyle w:val="0"/>
            </w:pPr>
            <w:r>
              <w:rPr>
                <w:sz w:val="20"/>
              </w:rPr>
              <w:t xml:space="preserve">Система мероприятий по профилактике и лечению факторов риска ССЗ интегрирована с комплексом мероприятий регионального проекта "Формирование системы мотивации граждан к здоровому образу жизни, включая здоровое питание и отказ от вредных привычек" в пределах национального проекта "Демография". Внедрены все комплексные оздоровительные программы согласно региональному проекту. В 22 муниципалитетах автономного округа внедрены модельные региональные и муниципальные программы по укреплению общественного здоровья. В соответствии с данными программами реализованы программы мероприятий по снижению действия основных факторов риска неинфекционных заболеваний. Разработана и проведена информационно-коммуникационная кампания с использованием основных телекоммуникационных каналов для всех целевых аудиторий. Реализованы специальные проекты в традиционных СМИ (трансляция информации в телевизионных передачах ведущих каналов не реже 1 - 2 раз в неделю) и сети Интернет (в том числе в соц. сетях), организована поддержка и развитие горячей линии и интернет-портала по вопросам здорового образа жизни. Регулярное проведение открытых уроков по мотивированию школьников, родителей и учителей к ведению здорового образа жизни. В БУ "ОКД "ЦД и ССХ" в "Музее сердца" школьники проходят обучение правилам здорового образа жизни, а взрослые обучаются основам сердечно-легочной реанимации по программе "Я могу спасти жизнь". Не менее 3 - 4 раз в месяц в БУ "ОКД "ЦД и ССХ" школьники посещают "Музей сердца", не менее 2 - 3 раз месяц проводятся занятия по программе "Я могу спасти жизнь". Разработка и внедрение учебно-образовательного проекта "Я могу спасти жизнь!" на базе медицинских организаций автономного округа</w:t>
            </w:r>
          </w:p>
        </w:tc>
      </w:tr>
      <w:tr>
        <w:tc>
          <w:tcPr>
            <w:gridSpan w:val="8"/>
            <w:tcW w:w="18737" w:type="dxa"/>
          </w:tcPr>
          <w:p>
            <w:pPr>
              <w:pStyle w:val="0"/>
              <w:outlineLvl w:val="2"/>
            </w:pPr>
            <w:r>
              <w:rPr>
                <w:sz w:val="20"/>
              </w:rPr>
              <w:t xml:space="preserve">4. Комплекс мер, направленный на совершенствование системы оказания первичной медико-санитарной помощи при сердечно-сосудистых заболеваниях</w:t>
            </w:r>
          </w:p>
        </w:tc>
      </w:tr>
      <w:tr>
        <w:tc>
          <w:tcPr>
            <w:tcW w:w="484" w:type="dxa"/>
          </w:tcPr>
          <w:p>
            <w:pPr>
              <w:pStyle w:val="0"/>
            </w:pPr>
            <w:r>
              <w:rPr>
                <w:sz w:val="20"/>
              </w:rPr>
              <w:t xml:space="preserve">28</w:t>
            </w:r>
          </w:p>
        </w:tc>
        <w:tc>
          <w:tcPr>
            <w:tcW w:w="3724" w:type="dxa"/>
          </w:tcPr>
          <w:p>
            <w:pPr>
              <w:pStyle w:val="0"/>
            </w:pPr>
            <w:r>
              <w:rPr>
                <w:sz w:val="20"/>
              </w:rPr>
              <w:t xml:space="preserve">Повышение укомплектованности физическими лицами в подразделениях, оказывающих медицинскую помощь больным с сердечно-сосудистыми заболеваниями в амбулаторных условиях</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невролог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Повышена укомплектованность врачебных должностей и должностей среднего медицинского персонала физическими лицами в подразделениях, оказывающих медицинскую помощь больным с сердечно-сосудистыми заболеваниями в амбулаторных условиях ежегодно на 10%; итог - до 90% общей укомплектованности врачебных должностей и среднего медицинского персонала к 2024 г.</w:t>
            </w:r>
          </w:p>
        </w:tc>
        <w:tc>
          <w:tcPr>
            <w:tcW w:w="3874" w:type="dxa"/>
          </w:tcPr>
          <w:p>
            <w:pPr>
              <w:pStyle w:val="0"/>
            </w:pPr>
            <w:r>
              <w:rPr>
                <w:sz w:val="20"/>
              </w:rPr>
              <w:t xml:space="preserve">1. Ежегодно производится расчет прогнозной потребности во врачах и среднем медицинском персонале для государственных медицинских организаций автономного округа.</w:t>
            </w:r>
          </w:p>
          <w:p>
            <w:pPr>
              <w:pStyle w:val="0"/>
            </w:pPr>
            <w:r>
              <w:rPr>
                <w:sz w:val="20"/>
              </w:rPr>
              <w:t xml:space="preserve">2. На основе системы мер по привлечению и удержанию медицинских сотрудников при реализации регионального проекта "Медицинские кадры" повышена укомплектованность врачебных должностей физическими лицами в подразделениях, оказывающих медицинскую помощь больным с сердечно-сосудистыми заболеваниями в амбулаторных условиях (терапевты, кардиологи, неврологи, врачи общей практики) ежегодно на 10%.</w:t>
            </w:r>
          </w:p>
          <w:p>
            <w:pPr>
              <w:pStyle w:val="0"/>
            </w:pPr>
            <w:r>
              <w:rPr>
                <w:sz w:val="20"/>
              </w:rPr>
              <w:t xml:space="preserve">2. Повышена укомплектованность должностей среднего медицинского персонала физическими лицами в подразделениях, оказывающих медицинскую помощь больным с сердечно-сосудистыми заболеваниями в амбулаторных условиях) ежегодно на 10%</w:t>
            </w:r>
          </w:p>
        </w:tc>
      </w:tr>
      <w:tr>
        <w:tc>
          <w:tcPr>
            <w:tcW w:w="484" w:type="dxa"/>
          </w:tcPr>
          <w:p>
            <w:pPr>
              <w:pStyle w:val="0"/>
            </w:pPr>
            <w:r>
              <w:rPr>
                <w:sz w:val="20"/>
              </w:rPr>
              <w:t xml:space="preserve">29</w:t>
            </w:r>
          </w:p>
        </w:tc>
        <w:tc>
          <w:tcPr>
            <w:tcW w:w="3724" w:type="dxa"/>
          </w:tcPr>
          <w:p>
            <w:pPr>
              <w:pStyle w:val="0"/>
            </w:pPr>
            <w:r>
              <w:rPr>
                <w:sz w:val="20"/>
              </w:rPr>
              <w:t xml:space="preserve">Размещение доступной справочной информации в медицинских учреждениях о возможности пройти кардиоскрининг, скрининг на наличие факторов риска развития инсульта, диспансеризацию и другие виды профилактических осмотров</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Увеличена доля граждан, охваченных диспансерным наблюдением, до 80% от числа зарегистрированных пациентов с сердечно-сосудистыми заболеваниями. Увеличена доля граждан, охваченных периодическими профилактическими осмотрами до 70% от числа населения автономного округа к 2024 г.</w:t>
            </w:r>
          </w:p>
        </w:tc>
        <w:tc>
          <w:tcPr>
            <w:tcW w:w="3874" w:type="dxa"/>
          </w:tcPr>
          <w:p>
            <w:pPr>
              <w:pStyle w:val="0"/>
            </w:pPr>
            <w:r>
              <w:rPr>
                <w:sz w:val="20"/>
              </w:rPr>
              <w:t xml:space="preserve">1. Размещена доступная справочная информация о возможности пройти скрининг, диспансеризацию и профилактические осмотры с целью увеличения доли граждан, охваченных диспансерным наблюдением, увеличения количества граждан, прошедших периодический профилактический осмотр, а также для своевременного выявления и коррекции факторов риска сердечно-сосудистых заболеваний - на информационных стендах в МО, информационных экранах, терминалах для записи на прием к врачу, на сайтах МО.</w:t>
            </w:r>
          </w:p>
          <w:p>
            <w:pPr>
              <w:pStyle w:val="0"/>
            </w:pPr>
            <w:r>
              <w:rPr>
                <w:sz w:val="20"/>
              </w:rPr>
              <w:t xml:space="preserve">2. Путем размещения информационных материалов в печатных СМИ, теле-, радиоэфире и сети Интернет повышена информированность населения о симптомах острого нарушения мозгового кровообращения и острого коронарного синдрома</w:t>
            </w:r>
          </w:p>
        </w:tc>
      </w:tr>
      <w:tr>
        <w:tc>
          <w:tcPr>
            <w:tcW w:w="484" w:type="dxa"/>
          </w:tcPr>
          <w:p>
            <w:pPr>
              <w:pStyle w:val="0"/>
            </w:pPr>
            <w:r>
              <w:rPr>
                <w:sz w:val="20"/>
              </w:rPr>
              <w:t xml:space="preserve">30</w:t>
            </w:r>
          </w:p>
        </w:tc>
        <w:tc>
          <w:tcPr>
            <w:tcW w:w="3724" w:type="dxa"/>
          </w:tcPr>
          <w:p>
            <w:pPr>
              <w:pStyle w:val="0"/>
            </w:pPr>
            <w:r>
              <w:rPr>
                <w:sz w:val="20"/>
              </w:rPr>
              <w:t xml:space="preserve">Обеспечена профилактика сердечно-сосудистых заболеваний в группах повышенного риска.</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специалист по профилактической медицине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Выявляются лица группы риска развития сердечно-сосудистых заболеваний и их осложнений, путем анкетирования при проведении профилактических осмотров и диспансеризации. Внедрены мероприятия по профилактике сердечно-сосудистых заболеваний в группах повышенного риска, в том числе углубленное обследование в учреждениях III уровня, включая молекулярно-генетические методы. Организовано межведомственное взаимодействие в целях формирования ЗОЖ</w:t>
            </w:r>
          </w:p>
        </w:tc>
        <w:tc>
          <w:tcPr>
            <w:tcW w:w="3874" w:type="dxa"/>
          </w:tcPr>
          <w:p>
            <w:pPr>
              <w:pStyle w:val="0"/>
            </w:pPr>
            <w:r>
              <w:rPr>
                <w:sz w:val="20"/>
              </w:rPr>
              <w:t xml:space="preserve">Обеспечена профилактика сердечно-сосудистых заболеваний в группах повышенного риска: лица с наследственной предрасположенностью к возникновению сердечно-сосудистых заболеваний, лица, злоупотребляющие табаком и алкоголем, лица, имеющие избыточную массу тела, сахарный диабет, повышенный уровень холестерина, фибрилляцию предсердий, лица старше 50 лет. С целью формирования здорового образа жизни внедрены мероприятия по межведомственному взаимодействию с органами социальной защиты, пенсионного обеспечения, религиозными и иными организациями, волонтерским движением.</w:t>
            </w:r>
          </w:p>
        </w:tc>
      </w:tr>
      <w:tr>
        <w:tc>
          <w:tcPr>
            <w:tcW w:w="484" w:type="dxa"/>
          </w:tcPr>
          <w:p>
            <w:pPr>
              <w:pStyle w:val="0"/>
            </w:pPr>
            <w:r>
              <w:rPr>
                <w:sz w:val="20"/>
              </w:rPr>
              <w:t xml:space="preserve">31</w:t>
            </w:r>
          </w:p>
        </w:tc>
        <w:tc>
          <w:tcPr>
            <w:tcW w:w="3724" w:type="dxa"/>
          </w:tcPr>
          <w:p>
            <w:pPr>
              <w:pStyle w:val="0"/>
            </w:pPr>
            <w:r>
              <w:rPr>
                <w:sz w:val="20"/>
              </w:rPr>
              <w:t xml:space="preserve">Предоставление информационных материалов и проведение образовательных мероприятий в каждой медицинской организации для обучения участковых врачей, кардиологов и неврологов поликлиник, в том числе при проведении выездной работы по методам ранней диагностики сердечно-сосудистых заболеваний и современным возможностям проведения вторичной профилактики, включающим высокотехнологичную специализированную помощь</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невролог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Не реже 1 раза в месяц проводятся образовательные мероприятия врачей первичного звена. Не реже 1 раза в месяц в медорганизациях I - II уровней проводятся обучающие и организационно-методические мероприятия выездной работы учреждений III уровня</w:t>
            </w:r>
          </w:p>
        </w:tc>
        <w:tc>
          <w:tcPr>
            <w:tcW w:w="3874" w:type="dxa"/>
          </w:tcPr>
          <w:p>
            <w:pPr>
              <w:pStyle w:val="0"/>
            </w:pPr>
            <w:r>
              <w:rPr>
                <w:sz w:val="20"/>
              </w:rPr>
              <w:t xml:space="preserve">Согласно плану образовательных мероприятий, утвержденному Депздравом Югры, не реже 1 раза в месяц проводятся образовательные мероприятия для участковых врачей, кардиологов и неврологов поликлиник. Согласно плану выездной работы, не реже 1 раза в месяц проводятся выезды специалистов Региональных сосудистых центров, в том числе для проведения обучающих и организационно-методических мероприятий в медорганизациях зоны ответственности</w:t>
            </w:r>
          </w:p>
        </w:tc>
      </w:tr>
      <w:tr>
        <w:tc>
          <w:tcPr>
            <w:tcW w:w="484" w:type="dxa"/>
          </w:tcPr>
          <w:p>
            <w:pPr>
              <w:pStyle w:val="0"/>
            </w:pPr>
            <w:r>
              <w:rPr>
                <w:sz w:val="20"/>
              </w:rPr>
              <w:t xml:space="preserve">32</w:t>
            </w:r>
          </w:p>
        </w:tc>
        <w:tc>
          <w:tcPr>
            <w:tcW w:w="3724" w:type="dxa"/>
          </w:tcPr>
          <w:p>
            <w:pPr>
              <w:pStyle w:val="0"/>
            </w:pPr>
            <w:r>
              <w:rPr>
                <w:sz w:val="20"/>
              </w:rPr>
              <w:t xml:space="preserve">Внедрение региональной модели оказания медицинской помощи больным с хронической сердечной недостаточностью, гиперлипидемией, резистентной гипертонией, получающих терапию антикоагулянтами.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Разовое делимое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При работе Центров управления рисками разработана и внедрена региональная модель оказания медицинской помощи больным высокого риска, включающая пациентов с хронической сердечной недостаточностью, гиперлипидемией, резистентной гипертонией, получающих терапию антикоагулянтами.</w:t>
            </w:r>
          </w:p>
        </w:tc>
        <w:tc>
          <w:tcPr>
            <w:tcW w:w="3874" w:type="dxa"/>
          </w:tcPr>
          <w:p>
            <w:pPr>
              <w:pStyle w:val="0"/>
            </w:pPr>
            <w:r>
              <w:rPr>
                <w:sz w:val="20"/>
              </w:rPr>
              <w:t xml:space="preserve">1. Разработан порядок организации амбулаторно-поликлинической помощи больным высокого риска: с хронической сердечной недостаточностью, гиперлипидемией, резистентной гипертонией, получающих терапию антикоагулянтами.</w:t>
            </w:r>
          </w:p>
          <w:p>
            <w:pPr>
              <w:pStyle w:val="0"/>
            </w:pPr>
            <w:r>
              <w:rPr>
                <w:sz w:val="20"/>
              </w:rPr>
              <w:t xml:space="preserve">2. Определен порядок взаимодействия амбулаторно-поликлинического звена и стационарного этапа по маршрутизации пациентов.</w:t>
            </w:r>
          </w:p>
          <w:p>
            <w:pPr>
              <w:pStyle w:val="0"/>
            </w:pPr>
            <w:r>
              <w:rPr>
                <w:sz w:val="20"/>
              </w:rPr>
              <w:t xml:space="preserve">3. Определен порядок маршрутизации пациентов между медорганизациями округа и Центрами управления рисками.</w:t>
            </w:r>
          </w:p>
          <w:p>
            <w:pPr>
              <w:pStyle w:val="0"/>
            </w:pPr>
            <w:r>
              <w:rPr>
                <w:sz w:val="20"/>
              </w:rPr>
              <w:t xml:space="preserve">4. Осуществлен мониторинг работы структур (Центры и кабинеты управления рисками) в медорганизациях округа</w:t>
            </w:r>
          </w:p>
        </w:tc>
      </w:tr>
      <w:tr>
        <w:tc>
          <w:tcPr>
            <w:tcW w:w="484" w:type="dxa"/>
          </w:tcPr>
          <w:p>
            <w:pPr>
              <w:pStyle w:val="0"/>
            </w:pPr>
            <w:r>
              <w:rPr>
                <w:sz w:val="20"/>
              </w:rPr>
              <w:t xml:space="preserve">33</w:t>
            </w:r>
          </w:p>
        </w:tc>
        <w:tc>
          <w:tcPr>
            <w:tcW w:w="3724" w:type="dxa"/>
          </w:tcPr>
          <w:p>
            <w:pPr>
              <w:pStyle w:val="0"/>
            </w:pPr>
            <w:r>
              <w:rPr>
                <w:sz w:val="20"/>
              </w:rPr>
              <w:t xml:space="preserve">Проведение лабораторных и инструментальных исследований в соответствии со стандартами оказания медицинской помощи и клиническими рекомендациями пациентам с сердечно-сосудистыми заболеваниями в амбулаторном звене</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Динамика числа проведенных лабораторных и инструментальных исследований в каждой медорганизации анализируется главными специалистами ежегодно, по результатам годового отчета. Соблюдение порядков, стандартов, клинических рекомендаций проверяется курирующими медорганизациями III уровня ежемесячно, во время плановых выездных проверок.</w:t>
            </w:r>
          </w:p>
        </w:tc>
        <w:tc>
          <w:tcPr>
            <w:tcW w:w="3874" w:type="dxa"/>
          </w:tcPr>
          <w:p>
            <w:pPr>
              <w:pStyle w:val="0"/>
            </w:pPr>
            <w:r>
              <w:rPr>
                <w:sz w:val="20"/>
              </w:rPr>
              <w:t xml:space="preserve">В соответствии с порядками и стандартами оказания первичной медико-санитарной помощи пациентам с ССЗ пациентам в поликлиниках и стационарах проводятся определение липидного спектра крови, нагрузочные тесты для диагностики ИБС (тредмил, велоэргометрия, стресс-эхокардиография), холтеровское мониторирование ЭКГ, суточное мониторирование АД, тесты шестиминутной ходьбы и определение содержания в крови натрийуретического пептида для диагностики ХСН, ультразвуковые исследования сердца и сосудов, внедрена шкала предтестовой вероятности ИБС.</w:t>
            </w:r>
          </w:p>
        </w:tc>
      </w:tr>
      <w:tr>
        <w:tc>
          <w:tcPr>
            <w:gridSpan w:val="8"/>
            <w:tcW w:w="18737" w:type="dxa"/>
          </w:tcPr>
          <w:p>
            <w:pPr>
              <w:pStyle w:val="0"/>
              <w:outlineLvl w:val="2"/>
            </w:pPr>
            <w:r>
              <w:rPr>
                <w:sz w:val="20"/>
              </w:rPr>
              <w:t xml:space="preserve">5. Мероприятия по вторичной профилактике сердечно-сосудистых заболеваний</w:t>
            </w:r>
          </w:p>
        </w:tc>
      </w:tr>
      <w:tr>
        <w:tc>
          <w:tcPr>
            <w:tcW w:w="484" w:type="dxa"/>
          </w:tcPr>
          <w:p>
            <w:pPr>
              <w:pStyle w:val="0"/>
            </w:pPr>
            <w:r>
              <w:rPr>
                <w:sz w:val="20"/>
              </w:rPr>
              <w:t xml:space="preserve">34</w:t>
            </w:r>
          </w:p>
        </w:tc>
        <w:tc>
          <w:tcPr>
            <w:tcW w:w="3724" w:type="dxa"/>
          </w:tcPr>
          <w:p>
            <w:pPr>
              <w:pStyle w:val="0"/>
            </w:pPr>
            <w:r>
              <w:rPr>
                <w:sz w:val="20"/>
              </w:rPr>
              <w:t xml:space="preserve">Регулярное проведение образовательных мероприятий для участковых врачей, кардиологов и неврологов поликлиник</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невролог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Регулярно проводятся образовательные мероприятия для участковых врачей, кардиологов и неврологов поликлиник, включая очные и заочные (в режиме ВКС), выездные формы (курсы повышения квалификации, стажировки на рабочих местах).</w:t>
            </w:r>
          </w:p>
        </w:tc>
        <w:tc>
          <w:tcPr>
            <w:tcW w:w="3874" w:type="dxa"/>
          </w:tcPr>
          <w:p>
            <w:pPr>
              <w:pStyle w:val="0"/>
            </w:pPr>
            <w:r>
              <w:rPr>
                <w:sz w:val="20"/>
              </w:rPr>
              <w:t xml:space="preserve">1. Не реже 1 раза в месяц проводятся региональные семинары для участковых врачей, кардиологов и неврологов поликлиник, в том числе в режиме ВКС и при проведении выездной работы.</w:t>
            </w:r>
          </w:p>
          <w:p>
            <w:pPr>
              <w:pStyle w:val="0"/>
            </w:pPr>
            <w:r>
              <w:rPr>
                <w:sz w:val="20"/>
              </w:rPr>
              <w:t xml:space="preserve">2. Регулярно проводится обучение (стажировка) медицинского персонала, участвующего во внедрении и применении новых методов диагностики, лечения и профилактики, на базе НМИЦ и ВУЗов, других региональных центров, имеющих позитивный опыт работы по необходимому направлению.</w:t>
            </w:r>
          </w:p>
          <w:p>
            <w:pPr>
              <w:pStyle w:val="0"/>
            </w:pPr>
            <w:r>
              <w:rPr>
                <w:sz w:val="20"/>
              </w:rPr>
              <w:t xml:space="preserve">3. С целью повышения квалификации персонала проводится разбор сложных случаев сердечно-сосудистых заболеваний на экспертном совете Депздрава Югры с трансляцией результатов в общую лечебную сеть.</w:t>
            </w:r>
          </w:p>
        </w:tc>
      </w:tr>
      <w:tr>
        <w:tc>
          <w:tcPr>
            <w:tcW w:w="484" w:type="dxa"/>
          </w:tcPr>
          <w:p>
            <w:pPr>
              <w:pStyle w:val="0"/>
            </w:pPr>
            <w:r>
              <w:rPr>
                <w:sz w:val="20"/>
              </w:rPr>
              <w:t xml:space="preserve">35</w:t>
            </w:r>
          </w:p>
        </w:tc>
        <w:tc>
          <w:tcPr>
            <w:tcW w:w="3724" w:type="dxa"/>
          </w:tcPr>
          <w:p>
            <w:pPr>
              <w:pStyle w:val="0"/>
            </w:pPr>
            <w:r>
              <w:rPr>
                <w:sz w:val="20"/>
              </w:rPr>
              <w:t xml:space="preserve">Обеспечение профильности госпитализации пациентов с сердечно-сосудистыми заболеваниями и преемственности оказания медицинской помощи между медорганизациями различного уровня, между поликлиникой и стационаром.</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Главные врачи медорганизаций, имеющих в составе РСЦ (по согласованию); Главные врачи МО (по согласованию)</w:t>
            </w:r>
          </w:p>
        </w:tc>
        <w:tc>
          <w:tcPr>
            <w:tcW w:w="3799" w:type="dxa"/>
          </w:tcPr>
          <w:p>
            <w:pPr>
              <w:pStyle w:val="0"/>
            </w:pPr>
            <w:r>
              <w:rPr>
                <w:sz w:val="20"/>
              </w:rPr>
              <w:t xml:space="preserve">Обеспечена 95% профильность и обоснованность госпитализаций пациентов с кардиологической и ангионеврологической патологией. Строго контролируется преемственность стационарной и амбулаторной медицинской помощи, раннее выявление больных с признаками ОНМК и ОКС и направление их в соответствующие медицинские организации. Выписные эпикризы пациентов в день выписки в 100% случаев передаются в медицинские организации по месту жительства пациентов.</w:t>
            </w:r>
          </w:p>
        </w:tc>
        <w:tc>
          <w:tcPr>
            <w:tcW w:w="3874" w:type="dxa"/>
          </w:tcPr>
          <w:p>
            <w:pPr>
              <w:pStyle w:val="0"/>
            </w:pPr>
            <w:r>
              <w:rPr>
                <w:sz w:val="20"/>
              </w:rPr>
              <w:t xml:space="preserve">Обеспечен ежедневный контроль профильности и обоснованности экстренных и неотложных госпитализаций пациентов с сердечно-сосудистыми заболеваниями, посредством единой региональной системы диспетчеризации. Строго контролируется преемственность стационарной и амбулаторной медицинской помощи, раннее выявление больных с признаками ОНМК и ОКС и направление их в соответствующие медицинские организации, контроль осуществляется ежедневно, в зонах ответственности учреждениями III уровня. Выписные эпикризы пациентов, перенесших ОКС И ОНМК в 100% случаев передаются в медицинские организации по месту жительства пациентов</w:t>
            </w:r>
          </w:p>
        </w:tc>
      </w:tr>
      <w:tr>
        <w:tc>
          <w:tcPr>
            <w:tcW w:w="484" w:type="dxa"/>
          </w:tcPr>
          <w:p>
            <w:pPr>
              <w:pStyle w:val="0"/>
            </w:pPr>
            <w:r>
              <w:rPr>
                <w:sz w:val="20"/>
              </w:rPr>
              <w:t xml:space="preserve">36</w:t>
            </w:r>
          </w:p>
        </w:tc>
        <w:tc>
          <w:tcPr>
            <w:tcW w:w="3724" w:type="dxa"/>
          </w:tcPr>
          <w:p>
            <w:pPr>
              <w:pStyle w:val="0"/>
            </w:pPr>
            <w:r>
              <w:rPr>
                <w:sz w:val="20"/>
              </w:rPr>
              <w:t xml:space="preserve">Реализация мероприятий по вторичной профилактике осложнений при сердечно-сосудистых заболеваниях</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специалист по терапии и общей врачебной практике Депздрава Югры (по согласованию), главный внештатный невролог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1. Диспансерным наблюдением охвачены не менее 70% от числа зарегистрированных больных с болезнями системы кровообращения.</w:t>
            </w:r>
          </w:p>
          <w:p>
            <w:pPr>
              <w:pStyle w:val="0"/>
            </w:pPr>
            <w:r>
              <w:rPr>
                <w:sz w:val="20"/>
              </w:rPr>
              <w:t xml:space="preserve">2. Число больных с сердечно-сосудистыми заболеваниями, состоящих на "Д" учете на терапевтическом участке, увеличено до 500 человек.</w:t>
            </w:r>
          </w:p>
          <w:p>
            <w:pPr>
              <w:pStyle w:val="0"/>
            </w:pPr>
            <w:r>
              <w:rPr>
                <w:sz w:val="20"/>
              </w:rPr>
              <w:t xml:space="preserve">3. Обеспечено оптимальной медикаментозной терапией не менее 70% больных с сердечно-сосудистыми заболеваниями, состоящих на "Д" учете</w:t>
            </w:r>
          </w:p>
        </w:tc>
        <w:tc>
          <w:tcPr>
            <w:tcW w:w="3874" w:type="dxa"/>
          </w:tcPr>
          <w:p>
            <w:pPr>
              <w:pStyle w:val="0"/>
            </w:pPr>
            <w:r>
              <w:rPr>
                <w:sz w:val="20"/>
              </w:rPr>
              <w:t xml:space="preserve">1. Обеспечена своевременная диагностика и регулярные лечебно-профилактические мероприятия для пациентов с диагностированными сердечно-сосудистыми заболеваниями.</w:t>
            </w:r>
          </w:p>
          <w:p>
            <w:pPr>
              <w:pStyle w:val="0"/>
            </w:pPr>
            <w:r>
              <w:rPr>
                <w:sz w:val="20"/>
              </w:rPr>
              <w:t xml:space="preserve">2. Не менее 70% от числа зарегистрированных больных с БСК охвачены "Д" наблюдением; увеличено число больных с ССЗ, состоящих на "Д"-учете на терапевтическом участке, до 500 человек.</w:t>
            </w:r>
          </w:p>
          <w:p>
            <w:pPr>
              <w:pStyle w:val="0"/>
            </w:pPr>
            <w:r>
              <w:rPr>
                <w:sz w:val="20"/>
              </w:rPr>
              <w:t xml:space="preserve">3. Обеспечено оптимальной медикаментозной терапией не менее 70% больных с артериальной гипертензией, нарушениями липидного обмена при диспансерном наблюдении врачами-терапевтами участковыми с достижением целевых уровней артериального давления и холестерина в соответствии с клиническими рекомендациями.</w:t>
            </w:r>
          </w:p>
          <w:p>
            <w:pPr>
              <w:pStyle w:val="0"/>
            </w:pPr>
            <w:r>
              <w:rPr>
                <w:sz w:val="20"/>
              </w:rPr>
              <w:t xml:space="preserve">4. Обеспечено оптимальной медикаментозной терапией, в том числе по действующим льготам, не менее 70% больных с хроническими формами ИБС, ХСН, заболеваниями миокарда, сложными нарушениями сердечного ритма в соответствии с клиническими рекомендациями при диспансерном наблюдении кардиологами и врачами-терапевтами участковыми; назначение необходимой антигипертензивной, антиагрегантной/антикоагулянтной, гиполипидемической терапии всем пациентам, перенесшим ОНМК</w:t>
            </w:r>
          </w:p>
        </w:tc>
      </w:tr>
      <w:tr>
        <w:tc>
          <w:tcPr>
            <w:gridSpan w:val="8"/>
            <w:tcW w:w="18737" w:type="dxa"/>
          </w:tcPr>
          <w:p>
            <w:pPr>
              <w:pStyle w:val="0"/>
              <w:outlineLvl w:val="2"/>
            </w:pPr>
            <w:r>
              <w:rPr>
                <w:sz w:val="20"/>
              </w:rPr>
              <w:t xml:space="preserve">6. Комплекс мер, направленный на совершенствование организации диспансерного наблюдения больных сердечно-сосудистыми заболеваниями</w:t>
            </w:r>
          </w:p>
        </w:tc>
      </w:tr>
      <w:tr>
        <w:tc>
          <w:tcPr>
            <w:tcW w:w="484" w:type="dxa"/>
          </w:tcPr>
          <w:p>
            <w:pPr>
              <w:pStyle w:val="0"/>
            </w:pPr>
            <w:r>
              <w:rPr>
                <w:sz w:val="20"/>
              </w:rPr>
              <w:t xml:space="preserve">37</w:t>
            </w:r>
          </w:p>
        </w:tc>
        <w:tc>
          <w:tcPr>
            <w:tcW w:w="3724" w:type="dxa"/>
          </w:tcPr>
          <w:p>
            <w:pPr>
              <w:pStyle w:val="0"/>
            </w:pPr>
            <w:r>
              <w:rPr>
                <w:sz w:val="20"/>
              </w:rPr>
              <w:t xml:space="preserve">Организация диспансерного наблюдения для всех групп больных с сердечно-сосудистыми заболеваниями с обеспечением преемственности стационарного и амбулаторного этапов</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1. В автономном округе доработан информационный контур в части преемственности данных стационарного и амбулаторного звена медицинской помощи больным с сердечно-сосудистыми заболеваниями.</w:t>
            </w:r>
          </w:p>
          <w:p>
            <w:pPr>
              <w:pStyle w:val="0"/>
            </w:pPr>
            <w:r>
              <w:rPr>
                <w:sz w:val="20"/>
              </w:rPr>
              <w:t xml:space="preserve">2. Разработаны меры по увеличению доли пациентов, охваченных диспансерным наблюдением.</w:t>
            </w:r>
          </w:p>
          <w:p>
            <w:pPr>
              <w:pStyle w:val="0"/>
            </w:pPr>
            <w:r>
              <w:rPr>
                <w:sz w:val="20"/>
              </w:rPr>
              <w:t xml:space="preserve">3. Разработаны системы учета пациентов, выписанных из стационара, которым необходимо диспансерное наблюдение и льготное лекарственное обеспечение.</w:t>
            </w:r>
          </w:p>
        </w:tc>
        <w:tc>
          <w:tcPr>
            <w:tcW w:w="3874" w:type="dxa"/>
          </w:tcPr>
          <w:p>
            <w:pPr>
              <w:pStyle w:val="0"/>
            </w:pPr>
            <w:r>
              <w:rPr>
                <w:sz w:val="20"/>
              </w:rPr>
              <w:t xml:space="preserve">1. В автономном округе доработан информационный контур в части преемственности данных стационарного и амбулаторного звена медицинской помощи больным с сердечно-сосудистыми заболеваниями, создан единый региональный регистр, доступный для работы специалистам стационаров и поликлиник, формируемый автоматически из медицинских информационных систем.</w:t>
            </w:r>
          </w:p>
          <w:p>
            <w:pPr>
              <w:pStyle w:val="0"/>
            </w:pPr>
            <w:r>
              <w:rPr>
                <w:sz w:val="20"/>
              </w:rPr>
              <w:t xml:space="preserve">2. Обеспечена информированность пациентов о необходимости диспансерного наблюдения, созданы школы пациентов по нозологиям в стационарах и поликлиниках.</w:t>
            </w:r>
          </w:p>
          <w:p>
            <w:pPr>
              <w:pStyle w:val="0"/>
            </w:pPr>
            <w:r>
              <w:rPr>
                <w:sz w:val="20"/>
              </w:rPr>
              <w:t xml:space="preserve">3. Разработаны меры по увеличению доли пациентов, охваченных диспансерным наблюдением.</w:t>
            </w:r>
          </w:p>
          <w:p>
            <w:pPr>
              <w:pStyle w:val="0"/>
            </w:pPr>
            <w:r>
              <w:rPr>
                <w:sz w:val="20"/>
              </w:rPr>
              <w:t xml:space="preserve">4. Разработаны системы учета пациентов, выписанных из стационара, которым необходимо диспансерное наблюдение и льготное лекарственное обеспечение: информация о выписанных пациентах поступает в поликлинику в день выписки</w:t>
            </w:r>
          </w:p>
        </w:tc>
      </w:tr>
      <w:tr>
        <w:tc>
          <w:tcPr>
            <w:tcW w:w="484" w:type="dxa"/>
          </w:tcPr>
          <w:p>
            <w:pPr>
              <w:pStyle w:val="0"/>
            </w:pPr>
            <w:r>
              <w:rPr>
                <w:sz w:val="20"/>
              </w:rPr>
              <w:t xml:space="preserve">38</w:t>
            </w:r>
          </w:p>
        </w:tc>
        <w:tc>
          <w:tcPr>
            <w:tcW w:w="3724" w:type="dxa"/>
          </w:tcPr>
          <w:p>
            <w:pPr>
              <w:pStyle w:val="0"/>
            </w:pPr>
            <w:r>
              <w:rPr>
                <w:sz w:val="20"/>
              </w:rPr>
              <w:t xml:space="preserve">Проведение диспансерного наблюдения больных с сердечно-сосудистыми заболеваниями в соответствии с действующим </w:t>
            </w:r>
            <w:hyperlink w:history="0" r:id="rId163" w:tooltip="Приказ Минздрава России от 15.03.2022 N 168н &quot;Об утверждении порядка проведения диспансерного наблюдения за взрослыми&quot; (Зарегистрировано в Минюсте России 21.04.2022 N 68288) {КонсультантПлюс}">
              <w:r>
                <w:rPr>
                  <w:sz w:val="20"/>
                  <w:color w:val="0000ff"/>
                </w:rPr>
                <w:t xml:space="preserve">Порядком</w:t>
              </w:r>
            </w:hyperlink>
            <w:r>
              <w:rPr>
                <w:sz w:val="20"/>
              </w:rPr>
              <w:t xml:space="preserve"> проведения диспансерного наблюдения за взрослыми, утвержденным приказом Минздрава России от 15 марта 2022 года N 168н</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Медицинскими организациями, оказывающими первичную медико-санитарную помощь территориально-прикрепленному населению, проводится ежемесячная сверка списков лиц с болезнями системы кровообращения, состоящих в регистре застрахованных в системе обязательного медицинского страхования, и количества лиц с болезнями системы кровообращения застрахованных в системе ОМС, получивших медицинские услуги при диспансерном наблюдении на информационном портале ТФОМС Югры</w:t>
            </w:r>
          </w:p>
        </w:tc>
        <w:tc>
          <w:tcPr>
            <w:tcW w:w="3874" w:type="dxa"/>
          </w:tcPr>
          <w:p>
            <w:pPr>
              <w:pStyle w:val="0"/>
            </w:pPr>
            <w:r>
              <w:rPr>
                <w:sz w:val="20"/>
              </w:rPr>
              <w:t xml:space="preserve">Доля медицинских организаций, оказывающих первичную медико-санитарную помощь территориально-прикрепленному населению, проводящих своевременную актуализацию списков лиц с болезнями системы кровообращения, подлежащих диспансерному наблюдению совместно с ТФОМС Югры 2023 г. - 100%, 2024 г. - 100%"</w:t>
            </w:r>
          </w:p>
        </w:tc>
      </w:tr>
      <w:tr>
        <w:tc>
          <w:tcPr>
            <w:tcW w:w="484" w:type="dxa"/>
          </w:tcPr>
          <w:p>
            <w:pPr>
              <w:pStyle w:val="0"/>
            </w:pPr>
            <w:r>
              <w:rPr>
                <w:sz w:val="20"/>
              </w:rPr>
              <w:t xml:space="preserve">39</w:t>
            </w:r>
          </w:p>
        </w:tc>
        <w:tc>
          <w:tcPr>
            <w:tcW w:w="3724" w:type="dxa"/>
          </w:tcPr>
          <w:p>
            <w:pPr>
              <w:pStyle w:val="0"/>
            </w:pPr>
            <w:r>
              <w:rPr>
                <w:sz w:val="20"/>
              </w:rPr>
              <w:t xml:space="preserve">Осуществление контроля качества за диспансерным наблюдением больных с сердечно-сосудистыми заболеваниями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Начальник управления организации медицинской помощи Депздрава Югры; 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1. Проводится контроль количества пациентов, охваченных диспансерным наблюдением.</w:t>
            </w:r>
          </w:p>
          <w:p>
            <w:pPr>
              <w:pStyle w:val="0"/>
            </w:pPr>
            <w:r>
              <w:rPr>
                <w:sz w:val="20"/>
              </w:rPr>
              <w:t xml:space="preserve">2. Налажен многоуровневый контроль качества проведения диспансерного наблюдения больных с сердечно-сосудистыми заболеваниями.</w:t>
            </w:r>
          </w:p>
          <w:p>
            <w:pPr>
              <w:pStyle w:val="0"/>
            </w:pPr>
            <w:r>
              <w:rPr>
                <w:sz w:val="20"/>
              </w:rPr>
              <w:t xml:space="preserve">3. Регулярно (ежегодно) расширяются программы льготного лекарственного обеспечения пациентов с сердечно-сосудистыми заболеваниями.</w:t>
            </w:r>
          </w:p>
        </w:tc>
        <w:tc>
          <w:tcPr>
            <w:tcW w:w="3874" w:type="dxa"/>
          </w:tcPr>
          <w:p>
            <w:pPr>
              <w:pStyle w:val="0"/>
            </w:pPr>
            <w:r>
              <w:rPr>
                <w:sz w:val="20"/>
              </w:rPr>
              <w:t xml:space="preserve">1. Ежегодно главными специалистами проводится контроль динамики числа и доли пациентов, охваченных диспансерным наблюдением.</w:t>
            </w:r>
          </w:p>
          <w:p>
            <w:pPr>
              <w:pStyle w:val="0"/>
            </w:pPr>
            <w:r>
              <w:rPr>
                <w:sz w:val="20"/>
              </w:rPr>
              <w:t xml:space="preserve">2. Контроль качества за диспансерным наблюдением больных с БСК проводится: специалистами курирующих Федеральных Центров при проведении выездных проверок, главными внештатными специалистами при проведении плановых выездных проверок, специалистами медорганизаций III уровня при выездах в медорганизации зоны ответственности.</w:t>
            </w:r>
          </w:p>
          <w:p>
            <w:pPr>
              <w:pStyle w:val="0"/>
            </w:pPr>
            <w:r>
              <w:rPr>
                <w:sz w:val="20"/>
              </w:rPr>
              <w:t xml:space="preserve">3. Регулярно расширяются программы льготного лекарственного обеспечения пациентов с сердечно-сосудистыми заболеваниями высокого риска, не реже 1 раза в год главными специалистами предоставляются предложения в Депздрав Югры по внесению изменений в перечни лекарственных препаратов, которыми граждане автономного округа обеспечиваются бесплатно или со скидкой, за счет бюджета округа</w:t>
            </w:r>
          </w:p>
        </w:tc>
      </w:tr>
      <w:tr>
        <w:tc>
          <w:tcPr>
            <w:tcW w:w="484" w:type="dxa"/>
          </w:tcPr>
          <w:p>
            <w:pPr>
              <w:pStyle w:val="0"/>
            </w:pPr>
            <w:r>
              <w:rPr>
                <w:sz w:val="20"/>
              </w:rPr>
              <w:t xml:space="preserve">40</w:t>
            </w:r>
          </w:p>
        </w:tc>
        <w:tc>
          <w:tcPr>
            <w:tcW w:w="3724" w:type="dxa"/>
          </w:tcPr>
          <w:p>
            <w:pPr>
              <w:pStyle w:val="0"/>
            </w:pPr>
            <w:r>
              <w:rPr>
                <w:sz w:val="20"/>
              </w:rPr>
              <w:t xml:space="preserve">Организация проведения диспансерного наблюдения в поликлиниках с целью увеличения доли охваченных диспансеризацией пациентов кардиологического профиля</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1. Не менее 90% пациентов, перенесших инфаркт миокарда и операции реваскуляризации, охвачены диспансерным наблюдением.</w:t>
            </w:r>
          </w:p>
          <w:p>
            <w:pPr>
              <w:pStyle w:val="0"/>
            </w:pPr>
            <w:r>
              <w:rPr>
                <w:sz w:val="20"/>
              </w:rPr>
              <w:t xml:space="preserve">2. Полнота охвата больных с ишемической болезнью сердца диспансерным наблюдением не менее 80%.</w:t>
            </w:r>
          </w:p>
          <w:p>
            <w:pPr>
              <w:pStyle w:val="0"/>
            </w:pPr>
            <w:r>
              <w:rPr>
                <w:sz w:val="20"/>
              </w:rPr>
              <w:t xml:space="preserve">3. Доля больных с ишемической болезнью сердца, находящихся на диспансерном наблюдении, которые прошли обучение в школах пациентов - не менее 30%.</w:t>
            </w:r>
          </w:p>
          <w:p>
            <w:pPr>
              <w:pStyle w:val="0"/>
            </w:pPr>
            <w:r>
              <w:rPr>
                <w:sz w:val="20"/>
              </w:rPr>
              <w:t xml:space="preserve">4. Внедрены специализированные программы ведения больных хронической сердечно-сосудистой патологией высокого риска.</w:t>
            </w:r>
          </w:p>
        </w:tc>
        <w:tc>
          <w:tcPr>
            <w:tcW w:w="3874" w:type="dxa"/>
          </w:tcPr>
          <w:p>
            <w:pPr>
              <w:pStyle w:val="0"/>
            </w:pPr>
            <w:r>
              <w:rPr>
                <w:sz w:val="20"/>
              </w:rPr>
              <w:t xml:space="preserve">1. Не менее 90% пациентов, перенесших инфаркт миокарда и операции реваскуляризации, охвачены диспансерным наблюдением в поликлиниках.</w:t>
            </w:r>
          </w:p>
          <w:p>
            <w:pPr>
              <w:pStyle w:val="0"/>
            </w:pPr>
            <w:r>
              <w:rPr>
                <w:sz w:val="20"/>
              </w:rPr>
              <w:t xml:space="preserve">2. Полнота охвата больных с ишемической болезнью сердца диспансерным наблюдением не менее 80% от числа зарегистрированных больных с данным заболеванием.</w:t>
            </w:r>
          </w:p>
          <w:p>
            <w:pPr>
              <w:pStyle w:val="0"/>
            </w:pPr>
            <w:r>
              <w:rPr>
                <w:sz w:val="20"/>
              </w:rPr>
              <w:t xml:space="preserve">3. Число больных, состоящих на диспансерном учете по поводу ишемической болезни сердца (МКБ-10: I20-I25) в поликлиниках автономного округа, не менее 40 000 человек.</w:t>
            </w:r>
          </w:p>
          <w:p>
            <w:pPr>
              <w:pStyle w:val="0"/>
            </w:pPr>
            <w:r>
              <w:rPr>
                <w:sz w:val="20"/>
              </w:rPr>
              <w:t xml:space="preserve">4. Доля больных с ишемической болезнью сердца, находящихся на диспансерном наблюдении, которые прошли обучение в школах пациентов - не менее 30%.</w:t>
            </w:r>
          </w:p>
          <w:p>
            <w:pPr>
              <w:pStyle w:val="0"/>
            </w:pPr>
            <w:r>
              <w:rPr>
                <w:sz w:val="20"/>
              </w:rPr>
              <w:t xml:space="preserve">5. Актуализированы Паспорта участков с целью инвентаризации структуры населения и выделения категорий (групп) граждан, планирования профилактических и лечебно-диагностических мероприятий.</w:t>
            </w:r>
          </w:p>
          <w:p>
            <w:pPr>
              <w:pStyle w:val="0"/>
            </w:pPr>
            <w:r>
              <w:rPr>
                <w:sz w:val="20"/>
              </w:rPr>
              <w:t xml:space="preserve">6. Разработан и утвержден перечень показателей результативности работы МО в части выявления и наблюдения граждан с факторами риска развития ССЗ.</w:t>
            </w:r>
          </w:p>
          <w:p>
            <w:pPr>
              <w:pStyle w:val="0"/>
            </w:pPr>
            <w:r>
              <w:rPr>
                <w:sz w:val="20"/>
              </w:rPr>
              <w:t xml:space="preserve">7. Применяются индикаторные показатели при планировании оказания медицинской помощи в амбулаторных условиях, оценки и анализа результатов деятельности, реализации механизма стимулирования на качественное добросовестное исполнение регионального проекта.</w:t>
            </w:r>
          </w:p>
          <w:p>
            <w:pPr>
              <w:pStyle w:val="0"/>
            </w:pPr>
            <w:r>
              <w:rPr>
                <w:sz w:val="20"/>
              </w:rPr>
              <w:t xml:space="preserve">7. Внедрены специализированные программы ведения больных хронической сердечно-сосудистой патологией высокого риска: программы для больных хронической сердечной недостаточностью, кабинеты антикоагулянтной терапии, липидные кабинеты.</w:t>
            </w:r>
          </w:p>
        </w:tc>
      </w:tr>
      <w:tr>
        <w:tc>
          <w:tcPr>
            <w:tcW w:w="484" w:type="dxa"/>
          </w:tcPr>
          <w:p>
            <w:pPr>
              <w:pStyle w:val="0"/>
            </w:pPr>
            <w:r>
              <w:rPr>
                <w:sz w:val="20"/>
              </w:rPr>
              <w:t xml:space="preserve">41</w:t>
            </w:r>
          </w:p>
        </w:tc>
        <w:tc>
          <w:tcPr>
            <w:tcW w:w="3724" w:type="dxa"/>
          </w:tcPr>
          <w:p>
            <w:pPr>
              <w:pStyle w:val="0"/>
            </w:pPr>
            <w:r>
              <w:rPr>
                <w:sz w:val="20"/>
              </w:rPr>
              <w:t xml:space="preserve">Организация и проведение диспансерного наблюдения в поликлиниках пациентов с цереброваскулярными заболеваниями, в том числе перенесших острое нарушение мозгового кровообращения.</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1. Не менее 90% пациентов, перенесших острое нарушение мозгового кровообращения, охвачены диспансерным наблюдением в поликлиниках.</w:t>
            </w:r>
          </w:p>
          <w:p>
            <w:pPr>
              <w:pStyle w:val="0"/>
            </w:pPr>
            <w:r>
              <w:rPr>
                <w:sz w:val="20"/>
              </w:rPr>
              <w:t xml:space="preserve">2. Доля больных с цереброваскулярными болезнями, находящихся на диспансерном наблюдении, которые прошли обучение в школах пациентов - не менее 30%.</w:t>
            </w:r>
          </w:p>
          <w:p>
            <w:pPr>
              <w:pStyle w:val="0"/>
            </w:pPr>
            <w:r>
              <w:rPr>
                <w:sz w:val="20"/>
              </w:rPr>
              <w:t xml:space="preserve">3. Доля пациентов, перенесших острое нарушение мозгового кровообращения, получающих льготное лекарственное обеспечение в течение года, не менее 80%.</w:t>
            </w:r>
          </w:p>
        </w:tc>
        <w:tc>
          <w:tcPr>
            <w:tcW w:w="3874" w:type="dxa"/>
          </w:tcPr>
          <w:p>
            <w:pPr>
              <w:pStyle w:val="0"/>
            </w:pPr>
            <w:r>
              <w:rPr>
                <w:sz w:val="20"/>
              </w:rPr>
              <w:t xml:space="preserve">1. Не менее 90% пациентов, перенесших острое нарушение мозгового кровообращения охвачены диспансерным наблюдением в поликлиниках.</w:t>
            </w:r>
          </w:p>
          <w:p>
            <w:pPr>
              <w:pStyle w:val="0"/>
            </w:pPr>
            <w:r>
              <w:rPr>
                <w:sz w:val="20"/>
              </w:rPr>
              <w:t xml:space="preserve">2. Доля больных с цереброваскулярными болезнями, находящихся на диспансерном наблюдении, которые прошли обучение в школах пациентов - не менее 30%.</w:t>
            </w:r>
          </w:p>
          <w:p>
            <w:pPr>
              <w:pStyle w:val="0"/>
            </w:pPr>
            <w:r>
              <w:rPr>
                <w:sz w:val="20"/>
              </w:rPr>
              <w:t xml:space="preserve">3. Доля пациентов, перенесших острое нарушение мозгового кровообращения, получающих льготное лекарственное обеспечение в течение года, не менее 80%.</w:t>
            </w:r>
          </w:p>
          <w:p>
            <w:pPr>
              <w:pStyle w:val="0"/>
            </w:pPr>
            <w:r>
              <w:rPr>
                <w:sz w:val="20"/>
              </w:rPr>
              <w:t xml:space="preserve">4. Разработан и утвержден перечень показателей результативности работы медицинской организации в части выявления и наблюдения граждан с факторами риска развития ОНМК</w:t>
            </w:r>
          </w:p>
        </w:tc>
      </w:tr>
      <w:tr>
        <w:tc>
          <w:tcPr>
            <w:gridSpan w:val="8"/>
            <w:tcW w:w="18737" w:type="dxa"/>
          </w:tcPr>
          <w:p>
            <w:pPr>
              <w:pStyle w:val="0"/>
              <w:outlineLvl w:val="2"/>
            </w:pPr>
            <w:r>
              <w:rPr>
                <w:sz w:val="20"/>
              </w:rPr>
              <w:t xml:space="preserve">7. Комплекс мер, направленный на совершенствование оказания скорой медицинской помощи при болезнях системы кровообращения</w:t>
            </w:r>
          </w:p>
        </w:tc>
      </w:tr>
      <w:tr>
        <w:tc>
          <w:tcPr>
            <w:tcW w:w="484" w:type="dxa"/>
          </w:tcPr>
          <w:p>
            <w:pPr>
              <w:pStyle w:val="0"/>
            </w:pPr>
            <w:r>
              <w:rPr>
                <w:sz w:val="20"/>
              </w:rPr>
              <w:t xml:space="preserve">42</w:t>
            </w:r>
          </w:p>
        </w:tc>
        <w:tc>
          <w:tcPr>
            <w:tcW w:w="3724" w:type="dxa"/>
          </w:tcPr>
          <w:p>
            <w:pPr>
              <w:pStyle w:val="0"/>
            </w:pPr>
            <w:r>
              <w:rPr>
                <w:sz w:val="20"/>
              </w:rPr>
              <w:t xml:space="preserve">Обеспечение укомплектованности бригад скорой медицинской помощи врачом и фельдшером или двумя фельдшерами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специалист по скорой медицинской помощи Депздрава Югры (по согласованию)</w:t>
            </w:r>
          </w:p>
        </w:tc>
        <w:tc>
          <w:tcPr>
            <w:tcW w:w="3799" w:type="dxa"/>
          </w:tcPr>
          <w:p>
            <w:pPr>
              <w:pStyle w:val="0"/>
            </w:pPr>
            <w:r>
              <w:rPr>
                <w:sz w:val="20"/>
              </w:rPr>
              <w:t xml:space="preserve">Обеспечена 100% укомплектованность бригад скорой медицинской помощи врачом и фельдшером или двумя фельдшерами, обеспечена возможность дистанционной расшифровки ЭКГ.</w:t>
            </w:r>
          </w:p>
        </w:tc>
        <w:tc>
          <w:tcPr>
            <w:tcW w:w="3874" w:type="dxa"/>
          </w:tcPr>
          <w:p>
            <w:pPr>
              <w:pStyle w:val="0"/>
            </w:pPr>
            <w:r>
              <w:rPr>
                <w:sz w:val="20"/>
              </w:rPr>
              <w:t xml:space="preserve">Обеспечено увеличение укомплектованности бригад скорой медицинской помощи врачом и фельдшером или двумя фельдшерами (ежегодно не менее 5% от исходного) с достижением целевого показателя 100% к 2024 году. При отсутствии возможности квалифицированной расшифровки электрокардиограммы (ЭКГ) сотрудниками бригад СМП обеспечена возможность дистанционной расшифровки ЭКГ</w:t>
            </w:r>
          </w:p>
        </w:tc>
      </w:tr>
      <w:tr>
        <w:tc>
          <w:tcPr>
            <w:tcW w:w="484" w:type="dxa"/>
          </w:tcPr>
          <w:p>
            <w:pPr>
              <w:pStyle w:val="0"/>
            </w:pPr>
            <w:r>
              <w:rPr>
                <w:sz w:val="20"/>
              </w:rPr>
              <w:t xml:space="preserve">43</w:t>
            </w:r>
          </w:p>
        </w:tc>
        <w:tc>
          <w:tcPr>
            <w:tcW w:w="3724" w:type="dxa"/>
          </w:tcPr>
          <w:p>
            <w:pPr>
              <w:pStyle w:val="0"/>
            </w:pPr>
            <w:r>
              <w:rPr>
                <w:sz w:val="20"/>
              </w:rPr>
              <w:t xml:space="preserve">Реорганизация приемных отделений многопрофильных стационаров, принимающих пациентов по экстренным показаниям в соответствии с </w:t>
            </w:r>
            <w:hyperlink w:history="0" r:id="rId164" w:tooltip="Приказ Минздрава России от 20.06.2013 N 388н (ред. от 21.02.2020) &quot;Об утверждении Порядка оказания скорой, в том числе скорой специализированной, медицинской помощи&quot; (Зарегистрировано в Минюсте России 16.08.2013 N 29422) {КонсультантПлюс}">
              <w:r>
                <w:rPr>
                  <w:sz w:val="20"/>
                  <w:color w:val="0000ff"/>
                </w:rPr>
                <w:t xml:space="preserve">приказом</w:t>
              </w:r>
            </w:hyperlink>
            <w:r>
              <w:rPr>
                <w:sz w:val="20"/>
              </w:rPr>
              <w:t xml:space="preserve"> Минздрава России от 20 июня 2013 года N 388н "Об утверждении Порядка оказания скорой, в том числе скорой специализированной медицинской помощи</w:t>
            </w:r>
          </w:p>
        </w:tc>
        <w:tc>
          <w:tcPr>
            <w:tcW w:w="1309" w:type="dxa"/>
          </w:tcPr>
          <w:p>
            <w:pPr>
              <w:pStyle w:val="0"/>
            </w:pPr>
            <w:r>
              <w:rPr>
                <w:sz w:val="20"/>
              </w:rPr>
              <w:t xml:space="preserve">01.06.2023</w:t>
            </w:r>
          </w:p>
        </w:tc>
        <w:tc>
          <w:tcPr>
            <w:tcW w:w="1309" w:type="dxa"/>
          </w:tcPr>
          <w:p>
            <w:pPr>
              <w:pStyle w:val="0"/>
            </w:pPr>
            <w:r>
              <w:rPr>
                <w:sz w:val="20"/>
              </w:rPr>
              <w:t xml:space="preserve">31.12.2023</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специалист по скорой медицинской помощи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Реорганизованы приемные отделения многопрофильных стационаров. Организованы стационарные отделения скорой медицинской помощи на базах крупных многопрофильных медицинских организаций.</w:t>
            </w:r>
          </w:p>
        </w:tc>
        <w:tc>
          <w:tcPr>
            <w:tcW w:w="3874" w:type="dxa"/>
          </w:tcPr>
          <w:p>
            <w:pPr>
              <w:pStyle w:val="0"/>
            </w:pPr>
            <w:r>
              <w:rPr>
                <w:sz w:val="20"/>
              </w:rPr>
              <w:t xml:space="preserve">В целях повышения доступности и качества оказания экстренной и неотложной медицинской помощи пациентам с сердечно-сосудистыми заболеваниями:</w:t>
            </w:r>
          </w:p>
          <w:p>
            <w:pPr>
              <w:pStyle w:val="0"/>
            </w:pPr>
            <w:r>
              <w:rPr>
                <w:sz w:val="20"/>
              </w:rPr>
              <w:t xml:space="preserve">1. Реорганизованы приемные отделения многопрофильных стационаров, принимающих пациентов по экстренным показаниям в соответствии с </w:t>
            </w:r>
            <w:hyperlink w:history="0" r:id="rId165" w:tooltip="Приказ Минздрава России от 20.06.2013 N 388н (ред. от 21.02.2020) &quot;Об утверждении Порядка оказания скорой, в том числе скорой специализированной, медицинской помощи&quot; (Зарегистрировано в Минюсте России 16.08.2013 N 29422) {КонсультантПлюс}">
              <w:r>
                <w:rPr>
                  <w:sz w:val="20"/>
                  <w:color w:val="0000ff"/>
                </w:rPr>
                <w:t xml:space="preserve">приказом</w:t>
              </w:r>
            </w:hyperlink>
            <w:r>
              <w:rPr>
                <w:sz w:val="20"/>
              </w:rPr>
              <w:t xml:space="preserve"> Минздрава России от 20 июня 2013 года N 388н "Об утверждении Порядка оказания скорой, в том числе скорой специализированной, медицинской помощи";</w:t>
            </w:r>
          </w:p>
          <w:p>
            <w:pPr>
              <w:pStyle w:val="0"/>
            </w:pPr>
            <w:r>
              <w:rPr>
                <w:sz w:val="20"/>
              </w:rPr>
              <w:t xml:space="preserve">2. Организованы стационарные отделения СМП на базах крупных многопрофильных медицинских организаций.</w:t>
            </w:r>
          </w:p>
        </w:tc>
      </w:tr>
      <w:tr>
        <w:tc>
          <w:tcPr>
            <w:tcW w:w="484" w:type="dxa"/>
          </w:tcPr>
          <w:p>
            <w:pPr>
              <w:pStyle w:val="0"/>
            </w:pPr>
            <w:r>
              <w:rPr>
                <w:sz w:val="20"/>
              </w:rPr>
              <w:t xml:space="preserve">44</w:t>
            </w:r>
          </w:p>
        </w:tc>
        <w:tc>
          <w:tcPr>
            <w:tcW w:w="3724" w:type="dxa"/>
          </w:tcPr>
          <w:p>
            <w:pPr>
              <w:pStyle w:val="0"/>
            </w:pPr>
            <w:r>
              <w:rPr>
                <w:sz w:val="20"/>
              </w:rPr>
              <w:t xml:space="preserve">Внесение изменений в порядок маршрутизации пациентов с сердечно-сосудистыми заболеваниями в автономном округе</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невролог Депздрава Югры (по согласованию);</w:t>
            </w:r>
          </w:p>
          <w:p>
            <w:pPr>
              <w:pStyle w:val="0"/>
            </w:pPr>
            <w:r>
              <w:rPr>
                <w:sz w:val="20"/>
              </w:rPr>
              <w:t xml:space="preserve">Главный внештатный специалист по скорой медицинской помощи Депздрава Югры (по согласованию)</w:t>
            </w:r>
          </w:p>
        </w:tc>
        <w:tc>
          <w:tcPr>
            <w:tcW w:w="3799" w:type="dxa"/>
          </w:tcPr>
          <w:p>
            <w:pPr>
              <w:pStyle w:val="0"/>
            </w:pPr>
            <w:r>
              <w:rPr>
                <w:sz w:val="20"/>
              </w:rPr>
              <w:t xml:space="preserve">Ежегодно вносятся изменения в маршрутизацию пациентов с сердечно-сосудистыми заболеваниями в автономном округе с учетом доступности и оснащенности специализированных центров, а также с учетом эпидобстановки.</w:t>
            </w:r>
          </w:p>
        </w:tc>
        <w:tc>
          <w:tcPr>
            <w:tcW w:w="3874" w:type="dxa"/>
          </w:tcPr>
          <w:p>
            <w:pPr>
              <w:pStyle w:val="0"/>
            </w:pPr>
            <w:r>
              <w:rPr>
                <w:sz w:val="20"/>
              </w:rPr>
              <w:t xml:space="preserve">1. Внесены изменения в порядок маршрутизации пациентов с сердечно-сосудистыми заболеваниями города Сургута и Сургутского района.</w:t>
            </w:r>
          </w:p>
          <w:p>
            <w:pPr>
              <w:pStyle w:val="0"/>
            </w:pPr>
            <w:r>
              <w:rPr>
                <w:sz w:val="20"/>
              </w:rPr>
              <w:t xml:space="preserve">2. Ежегодная актуализация и внесение изменений в маршрутизацию пациентов с сердечно-сосудистыми заболеваниями в автономном округе с учетом доступности и оснащенности специализированных центров с целью достижения показателей регионального проекта, а также с учетом меняющейся эпидобстановки.</w:t>
            </w:r>
          </w:p>
        </w:tc>
      </w:tr>
      <w:tr>
        <w:tc>
          <w:tcPr>
            <w:tcW w:w="484" w:type="dxa"/>
          </w:tcPr>
          <w:p>
            <w:pPr>
              <w:pStyle w:val="0"/>
            </w:pPr>
            <w:r>
              <w:rPr>
                <w:sz w:val="20"/>
              </w:rPr>
              <w:t xml:space="preserve">45</w:t>
            </w:r>
          </w:p>
        </w:tc>
        <w:tc>
          <w:tcPr>
            <w:tcW w:w="3724" w:type="dxa"/>
          </w:tcPr>
          <w:p>
            <w:pPr>
              <w:pStyle w:val="0"/>
            </w:pPr>
            <w:r>
              <w:rPr>
                <w:sz w:val="20"/>
              </w:rPr>
              <w:t xml:space="preserve">Реализация комплекса мер, направленных на обеспечение достижения целевых показателей оказания медицинской помощи на догоспитальном этапе</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Главный внештатный специалист по скорой медицинской помощи Депздрава Югры (по согласованию)</w:t>
            </w:r>
          </w:p>
        </w:tc>
        <w:tc>
          <w:tcPr>
            <w:tcW w:w="3799" w:type="dxa"/>
          </w:tcPr>
          <w:p>
            <w:pPr>
              <w:pStyle w:val="0"/>
            </w:pPr>
            <w:r>
              <w:rPr>
                <w:sz w:val="20"/>
              </w:rPr>
              <w:t xml:space="preserve">Достигнуты целевые показатели оказания медицинской помощи на догоспитальном этапе</w:t>
            </w:r>
          </w:p>
        </w:tc>
        <w:tc>
          <w:tcPr>
            <w:tcW w:w="3874" w:type="dxa"/>
          </w:tcPr>
          <w:p>
            <w:pPr>
              <w:pStyle w:val="0"/>
            </w:pPr>
            <w:r>
              <w:rPr>
                <w:sz w:val="20"/>
              </w:rPr>
              <w:t xml:space="preserve">Обеспечено достижение указанных в клинических рекомендациях показателей на догоспитальном этапе:</w:t>
            </w:r>
          </w:p>
          <w:p>
            <w:pPr>
              <w:pStyle w:val="0"/>
            </w:pPr>
            <w:r>
              <w:rPr>
                <w:sz w:val="20"/>
              </w:rPr>
              <w:t xml:space="preserve">a. доля обращений граждан ранее 2 часов от начала симптомов ОКС не менее 25% от общего числа обращений;</w:t>
            </w:r>
          </w:p>
          <w:p>
            <w:pPr>
              <w:pStyle w:val="0"/>
            </w:pPr>
            <w:r>
              <w:rPr>
                <w:sz w:val="20"/>
              </w:rPr>
              <w:t xml:space="preserve">b. соблюдение интервала "вызов - прибытие скорой медицинской помощи" не более 20 минут;</w:t>
            </w:r>
          </w:p>
          <w:p>
            <w:pPr>
              <w:pStyle w:val="0"/>
            </w:pPr>
            <w:r>
              <w:rPr>
                <w:sz w:val="20"/>
              </w:rPr>
              <w:t xml:space="preserve">c. соблюдение интервала "первый медицинский контакт - регистрация ЭКГ" не более 10 минут;</w:t>
            </w:r>
          </w:p>
          <w:p>
            <w:pPr>
              <w:pStyle w:val="0"/>
            </w:pPr>
            <w:r>
              <w:rPr>
                <w:sz w:val="20"/>
              </w:rPr>
              <w:t xml:space="preserve">d. соблюдение интервала "постановка диагноза ОКС с подъемом сегмента ST (ОКСпST) (регистрация и расшифровка ЭКГ) - тромболитическая терапия (ТЛТ)" не более 10 мин.;</w:t>
            </w:r>
          </w:p>
          <w:p>
            <w:pPr>
              <w:pStyle w:val="0"/>
            </w:pPr>
            <w:r>
              <w:rPr>
                <w:sz w:val="20"/>
              </w:rPr>
              <w:t xml:space="preserve">e. доля проведения реперфузионной тактики при ОКСпST не менее 85% от всех случаев ОКСпST;</w:t>
            </w:r>
          </w:p>
          <w:p>
            <w:pPr>
              <w:pStyle w:val="0"/>
            </w:pPr>
            <w:r>
              <w:rPr>
                <w:sz w:val="20"/>
              </w:rPr>
              <w:t xml:space="preserve">f. доля больных с ОКС, госпитализированных в профильные специализированные отделения: не менее 95% от всех случаев ОКС</w:t>
            </w:r>
          </w:p>
        </w:tc>
      </w:tr>
      <w:tr>
        <w:tc>
          <w:tcPr>
            <w:tcW w:w="484" w:type="dxa"/>
          </w:tcPr>
          <w:p>
            <w:pPr>
              <w:pStyle w:val="0"/>
            </w:pPr>
            <w:r>
              <w:rPr>
                <w:sz w:val="20"/>
              </w:rPr>
              <w:t xml:space="preserve">46</w:t>
            </w:r>
          </w:p>
        </w:tc>
        <w:tc>
          <w:tcPr>
            <w:tcW w:w="3724" w:type="dxa"/>
          </w:tcPr>
          <w:p>
            <w:pPr>
              <w:pStyle w:val="0"/>
            </w:pPr>
            <w:r>
              <w:rPr>
                <w:sz w:val="20"/>
              </w:rPr>
              <w:t xml:space="preserve">Усовершенствована организация службы скорой медицинской помощи: организована работа единой центральной диспетчерской службы, обеспечены приоритетные выезды скорой медицинской помощи при остром коронарном синдроме, остром нарушении мозгового кровообращения</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невролог Депздрава Югры (по согласованию);</w:t>
            </w:r>
          </w:p>
          <w:p>
            <w:pPr>
              <w:pStyle w:val="0"/>
            </w:pPr>
            <w:r>
              <w:rPr>
                <w:sz w:val="20"/>
              </w:rPr>
              <w:t xml:space="preserve">Главный внештатный специалист по скорой медицинской помощи Депздрава Югры (по согласованию)</w:t>
            </w:r>
          </w:p>
        </w:tc>
        <w:tc>
          <w:tcPr>
            <w:tcW w:w="3799" w:type="dxa"/>
          </w:tcPr>
          <w:p>
            <w:pPr>
              <w:pStyle w:val="0"/>
            </w:pPr>
            <w:r>
              <w:rPr>
                <w:sz w:val="20"/>
              </w:rPr>
              <w:t xml:space="preserve">Проводится ежедневный мониторинг обоснованности и профильности госпитализации пациентов с БСК. В 80% случаев обеспечены приоритетные выезды скорой медицинской помощи при остром коронарном синдроме, остром нарушении мозгового кровообращения</w:t>
            </w:r>
          </w:p>
        </w:tc>
        <w:tc>
          <w:tcPr>
            <w:tcW w:w="3874" w:type="dxa"/>
          </w:tcPr>
          <w:p>
            <w:pPr>
              <w:pStyle w:val="0"/>
            </w:pPr>
            <w:r>
              <w:rPr>
                <w:sz w:val="20"/>
              </w:rPr>
              <w:t xml:space="preserve">Усовершенствована организация службы скорой медицинской помощи:</w:t>
            </w:r>
          </w:p>
          <w:p>
            <w:pPr>
              <w:pStyle w:val="0"/>
            </w:pPr>
            <w:r>
              <w:rPr>
                <w:sz w:val="20"/>
              </w:rPr>
              <w:t xml:space="preserve">1. с целью сокращения сроков медицинской эвакуации организована работа единой центральной диспетчерской службы (ЕЦДС);</w:t>
            </w:r>
          </w:p>
          <w:p>
            <w:pPr>
              <w:pStyle w:val="0"/>
            </w:pPr>
            <w:r>
              <w:rPr>
                <w:sz w:val="20"/>
              </w:rPr>
              <w:t xml:space="preserve">2. посредством ЕЦДС проводится ежедневный мониторинг обоснованности и профильности госпитализации, в т.ч. воздушными судами, пациентов с БСК в профильные медицинские организации, минуя промежуточную госпитализацию;</w:t>
            </w:r>
          </w:p>
          <w:p>
            <w:pPr>
              <w:pStyle w:val="0"/>
            </w:pPr>
            <w:r>
              <w:rPr>
                <w:sz w:val="20"/>
              </w:rPr>
              <w:t xml:space="preserve">3. в 80% случаев обеспечены приоритетные выезды скорой медицинской помощи при остром коронарном синдроме, остром нарушении мозгового кровообращения, первоочередная транспортировка данных групп пациентов с предварительным информированием принимающего стационара</w:t>
            </w:r>
          </w:p>
        </w:tc>
      </w:tr>
      <w:tr>
        <w:tc>
          <w:tcPr>
            <w:tcW w:w="484" w:type="dxa"/>
          </w:tcPr>
          <w:p>
            <w:pPr>
              <w:pStyle w:val="0"/>
            </w:pPr>
            <w:r>
              <w:rPr>
                <w:sz w:val="20"/>
              </w:rPr>
              <w:t xml:space="preserve">47</w:t>
            </w:r>
          </w:p>
        </w:tc>
        <w:tc>
          <w:tcPr>
            <w:tcW w:w="3724" w:type="dxa"/>
          </w:tcPr>
          <w:p>
            <w:pPr>
              <w:pStyle w:val="0"/>
            </w:pPr>
            <w:r>
              <w:rPr>
                <w:sz w:val="20"/>
              </w:rPr>
              <w:t xml:space="preserve">Обеспечение обучения диспетчеров и выездного персонала скорой медицинской помощи методикам диагностики и лечения инсульта и инфаркта миокарда.</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специалист по скорой медицинской помощи Депздрава Югры (по согласованию);</w:t>
            </w:r>
          </w:p>
          <w:p>
            <w:pPr>
              <w:pStyle w:val="0"/>
            </w:pPr>
            <w:r>
              <w:rPr>
                <w:sz w:val="20"/>
              </w:rPr>
              <w:t xml:space="preserve">Директор Мединститута СурГУ, ректор Ханты-Мансийской Медицинской академии (по согласованию)</w:t>
            </w:r>
          </w:p>
        </w:tc>
        <w:tc>
          <w:tcPr>
            <w:tcW w:w="3799" w:type="dxa"/>
          </w:tcPr>
          <w:p>
            <w:pPr>
              <w:pStyle w:val="0"/>
            </w:pPr>
            <w:r>
              <w:rPr>
                <w:sz w:val="20"/>
              </w:rPr>
              <w:t xml:space="preserve">Согласно плану, не реже 1 раза в квартал проводится повышение квалификации персонала скорой медицинской помощи: циклы повышения квалификации, семинары, вебинары, мастер-классы, обучение на портале НМО с тестированием знаний, занятия в симуляционном центре</w:t>
            </w:r>
          </w:p>
        </w:tc>
        <w:tc>
          <w:tcPr>
            <w:tcW w:w="3874" w:type="dxa"/>
          </w:tcPr>
          <w:p>
            <w:pPr>
              <w:pStyle w:val="0"/>
            </w:pPr>
            <w:r>
              <w:rPr>
                <w:sz w:val="20"/>
              </w:rPr>
              <w:t xml:space="preserve">Согласно плану обучающих мероприятий для персонала скорой медицинской помощи:</w:t>
            </w:r>
          </w:p>
          <w:p>
            <w:pPr>
              <w:pStyle w:val="0"/>
            </w:pPr>
            <w:r>
              <w:rPr>
                <w:sz w:val="20"/>
              </w:rPr>
              <w:t xml:space="preserve">1. Обеспечено обучение диспетчеров и выездного персонала скорой медицинской помощи методикам диагностики инсульта и инфаркта миокарда не реже 1 раза в 6 месяцев, включая краткосрочные тематические усовершенствования на базах учреждений среднего и высшего медицинского образования.</w:t>
            </w:r>
          </w:p>
          <w:p>
            <w:pPr>
              <w:pStyle w:val="0"/>
            </w:pPr>
            <w:r>
              <w:rPr>
                <w:sz w:val="20"/>
              </w:rPr>
              <w:t xml:space="preserve">2. Обучение врачей и фельдшеров СМП по актуальным вопросам диагностики и лечения больных с сердечно-сосудистыми заболеваниями (семинары, вебинары, мастер-классы) проводится не реже 1 раза в квартал в режиме ВКС.</w:t>
            </w:r>
          </w:p>
          <w:p>
            <w:pPr>
              <w:pStyle w:val="0"/>
            </w:pPr>
            <w:r>
              <w:rPr>
                <w:sz w:val="20"/>
              </w:rPr>
              <w:t xml:space="preserve">3. Персонал СМП не реже 1 раза в 6 месяцев проходит обучение на портале НМО, с тестированием усвоенных знаний и навыков.</w:t>
            </w:r>
          </w:p>
          <w:p>
            <w:pPr>
              <w:pStyle w:val="0"/>
            </w:pPr>
            <w:r>
              <w:rPr>
                <w:sz w:val="20"/>
              </w:rPr>
              <w:t xml:space="preserve">4. Согласно плану проводятся занятия в симуляционном центре СурГУ</w:t>
            </w:r>
          </w:p>
        </w:tc>
      </w:tr>
      <w:tr>
        <w:tc>
          <w:tcPr>
            <w:gridSpan w:val="8"/>
            <w:tcW w:w="18737" w:type="dxa"/>
          </w:tcPr>
          <w:p>
            <w:pPr>
              <w:pStyle w:val="0"/>
              <w:outlineLvl w:val="2"/>
            </w:pPr>
            <w:r>
              <w:rPr>
                <w:sz w:val="20"/>
              </w:rPr>
              <w:t xml:space="preserve">8. Развитие структуры специализированной, в том числе высокотехнологичной медицинской помощи</w:t>
            </w:r>
          </w:p>
        </w:tc>
      </w:tr>
      <w:tr>
        <w:tc>
          <w:tcPr>
            <w:tcW w:w="484" w:type="dxa"/>
          </w:tcPr>
          <w:p>
            <w:pPr>
              <w:pStyle w:val="0"/>
            </w:pPr>
            <w:r>
              <w:rPr>
                <w:sz w:val="20"/>
              </w:rPr>
              <w:t xml:space="preserve">48</w:t>
            </w:r>
          </w:p>
        </w:tc>
        <w:tc>
          <w:tcPr>
            <w:tcW w:w="3724" w:type="dxa"/>
          </w:tcPr>
          <w:p>
            <w:pPr>
              <w:pStyle w:val="0"/>
            </w:pPr>
            <w:r>
              <w:rPr>
                <w:sz w:val="20"/>
              </w:rPr>
              <w:t xml:space="preserve">Осуществление реализации мероприятий по переоснащению/дооснащению медицинским оборудованием региональных сосудистых центров и первичных сосудистых отделений</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Разовое делимое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главные врачи медицинских организаций (по согласованию)</w:t>
            </w:r>
          </w:p>
        </w:tc>
        <w:tc>
          <w:tcPr>
            <w:tcW w:w="3799" w:type="dxa"/>
          </w:tcPr>
          <w:p>
            <w:pPr>
              <w:pStyle w:val="0"/>
            </w:pPr>
            <w:r>
              <w:rPr>
                <w:sz w:val="20"/>
              </w:rPr>
              <w:t xml:space="preserve">На еженедельных заседаниях Проектного офиса Депздрава Югры проводится анализ исполнения результатов и контрольных точек реализации мероприятий по переоснащению/дооснащению медицинским оборудованием региональных сосудистых центров и первичных сосудистых отделений. Ежемесячно отчет о достижении результатов мероприятий направляется Депздравом в Департамент управления проектами автономного округа и Координационный центр реализации федерального проекта "Борьба с сердечно-сосудистыми заболеваниями"</w:t>
            </w:r>
          </w:p>
        </w:tc>
        <w:tc>
          <w:tcPr>
            <w:tcW w:w="3874" w:type="dxa"/>
          </w:tcPr>
          <w:p>
            <w:pPr>
              <w:pStyle w:val="0"/>
            </w:pPr>
            <w:r>
              <w:rPr>
                <w:sz w:val="20"/>
              </w:rPr>
              <w:t xml:space="preserve">Переоснащение/дооснащение медицинским оборудованием региональных сосудистых центров и первичных сосудистых отделений осуществлено в соответствии с "Дорожной картой", также на основании календарного плана регионального проекта "Борьба с сердечно-сосудистыми заболеваниями". К работе привлечены главные внештатные специалисты, а также кардиологи, неврологи, сердечно-сосудистых хирурги, рентгенэндоваскулярные хирурги медорганизаций, соблюдены условия непрерывности и доступности лечебного процесса в автономном округе. Регулярно предоставляются отчеты об исполнении контрольных точек и достижении результатов проекта в Департамент управления проектами автономного округа и Координационный центр реализации федерального проекта "Борьба с сердечно-сосудистыми заболеваниями".</w:t>
            </w:r>
          </w:p>
        </w:tc>
      </w:tr>
      <w:tr>
        <w:tc>
          <w:tcPr>
            <w:tcW w:w="484" w:type="dxa"/>
          </w:tcPr>
          <w:p>
            <w:pPr>
              <w:pStyle w:val="0"/>
            </w:pPr>
            <w:r>
              <w:rPr>
                <w:sz w:val="20"/>
              </w:rPr>
              <w:t xml:space="preserve">49</w:t>
            </w:r>
          </w:p>
        </w:tc>
        <w:tc>
          <w:tcPr>
            <w:tcW w:w="3724" w:type="dxa"/>
          </w:tcPr>
          <w:p>
            <w:pPr>
              <w:pStyle w:val="0"/>
            </w:pPr>
            <w:r>
              <w:rPr>
                <w:sz w:val="20"/>
              </w:rPr>
              <w:t xml:space="preserve">Организация и обеспечение реализации мероприятий по переоснащению/дооснащению медицинским оборудованием региональных сосудистых центров и первичных сосудистых отделений, включая мероприятия по подготовке в медицинских организациях, предусматриваемых к оснащению медицинским оборудованием, помещений для установки необходимого медицинского оборудования с учетом требований безопасности в соответствии с законодательством Российской Федерации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Разовое делимое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100% исполнение мероприятий по переоснащению/дооснащению медицинским оборудованием региональных сосудистых центров и первичных сосудистых отделений к 2024 г.</w:t>
            </w:r>
          </w:p>
        </w:tc>
        <w:tc>
          <w:tcPr>
            <w:tcW w:w="3874" w:type="dxa"/>
          </w:tcPr>
          <w:p>
            <w:pPr>
              <w:pStyle w:val="0"/>
            </w:pPr>
            <w:r>
              <w:rPr>
                <w:sz w:val="20"/>
              </w:rPr>
              <w:t xml:space="preserve">В целях повышения качества и создания условий для оказания специализированной, в том числе высокотехнологичной медицинской помощи больным с ССЗ в соответствии с клиническими рекомендациями в 2019 - 2024 гг. в автономном округе переоснащены/дооснащены медицинским оборудованием из следующего перечня: магнитно-резонансный томограф; компьютерный томограф; ангиографическая система; аппарат ультразвуковой для исследования сердца и сосудов 5 Региональных сосудистых центров:</w:t>
            </w:r>
          </w:p>
          <w:p>
            <w:pPr>
              <w:pStyle w:val="0"/>
            </w:pPr>
            <w:r>
              <w:rPr>
                <w:sz w:val="20"/>
              </w:rPr>
              <w:t xml:space="preserve">1) БУ "Окружной кардиологический диспансер "Центр диагностики и сердечно-сосудистой хирургии". Срок исполнения 01.01.2020 - 31.12.2024;</w:t>
            </w:r>
          </w:p>
          <w:p>
            <w:pPr>
              <w:pStyle w:val="0"/>
            </w:pPr>
            <w:r>
              <w:rPr>
                <w:sz w:val="20"/>
              </w:rPr>
              <w:t xml:space="preserve">2) БУ "Окружная клиническая больница". Срок исполнения 01.01.2020 - 31.12.2024;</w:t>
            </w:r>
          </w:p>
          <w:p>
            <w:pPr>
              <w:pStyle w:val="0"/>
            </w:pPr>
            <w:r>
              <w:rPr>
                <w:sz w:val="20"/>
              </w:rPr>
              <w:t xml:space="preserve">3) БУ "Няганская окружная больница". Срок исполнения 01.01.2020 - 31.12.2022;</w:t>
            </w:r>
          </w:p>
          <w:p>
            <w:pPr>
              <w:pStyle w:val="0"/>
            </w:pPr>
            <w:r>
              <w:rPr>
                <w:sz w:val="20"/>
              </w:rPr>
              <w:t xml:space="preserve">4) БУ "Нижневартовская окружная клиническая больница". Срок исполнения 01.01.2020 - 31.12.2023;</w:t>
            </w:r>
          </w:p>
          <w:p>
            <w:pPr>
              <w:pStyle w:val="0"/>
            </w:pPr>
            <w:r>
              <w:rPr>
                <w:sz w:val="20"/>
              </w:rPr>
              <w:t xml:space="preserve">5) БУ "Сургутская клиническая травматологическая больница". Срок исполнения 01.01.2020 - 31.12.2023.</w:t>
            </w:r>
          </w:p>
          <w:p>
            <w:pPr>
              <w:pStyle w:val="0"/>
            </w:pPr>
            <w:r>
              <w:rPr>
                <w:sz w:val="20"/>
              </w:rPr>
              <w:t xml:space="preserve">В 2019 - 2024 гг. в Югре будут переоснащены/дооснащены медицинским оборудованием из следующего перечня: компьютерный томограф; аппарат ультразвуковой для исследования сердца и сосудов 10 первичных сосудистых отделений:</w:t>
            </w:r>
          </w:p>
          <w:p>
            <w:pPr>
              <w:pStyle w:val="0"/>
            </w:pPr>
            <w:r>
              <w:rPr>
                <w:sz w:val="20"/>
              </w:rPr>
              <w:t xml:space="preserve">1) БУ "Урайская городская клиническая больница". Срок исполнения 01.01.2019 - 31.12.2019;</w:t>
            </w:r>
          </w:p>
          <w:p>
            <w:pPr>
              <w:pStyle w:val="0"/>
            </w:pPr>
            <w:r>
              <w:rPr>
                <w:sz w:val="20"/>
              </w:rPr>
              <w:t xml:space="preserve">2) БУ "Лангепасская городская больница". Срок исполнения 01.01.2019 - 31.12.2019;</w:t>
            </w:r>
          </w:p>
          <w:p>
            <w:pPr>
              <w:pStyle w:val="0"/>
            </w:pPr>
            <w:r>
              <w:rPr>
                <w:sz w:val="20"/>
              </w:rPr>
              <w:t xml:space="preserve">3) БУ "Нефтеюганская окружная клиническая больница им. В.И. Яцкив". Срок исполнения 01.01.2019 - 31.12.2019.</w:t>
            </w:r>
          </w:p>
          <w:p>
            <w:pPr>
              <w:pStyle w:val="0"/>
            </w:pPr>
            <w:r>
              <w:rPr>
                <w:sz w:val="20"/>
              </w:rPr>
              <w:t xml:space="preserve">4) БУ "Мегионская городская больница N 1". Срок исполнения 01.01.2019 - 31.12.2019;</w:t>
            </w:r>
          </w:p>
          <w:p>
            <w:pPr>
              <w:pStyle w:val="0"/>
            </w:pPr>
            <w:r>
              <w:rPr>
                <w:sz w:val="20"/>
              </w:rPr>
              <w:t xml:space="preserve">5) БУ "Югорская городская больница". Срок исполнения 01.01.2019 - 31.12.2019;</w:t>
            </w:r>
          </w:p>
          <w:p>
            <w:pPr>
              <w:pStyle w:val="0"/>
            </w:pPr>
            <w:r>
              <w:rPr>
                <w:sz w:val="20"/>
              </w:rPr>
              <w:t xml:space="preserve">6) БУ "Белоярская районная больница". Срок исполнения 01.01.2019 - 31.12.2019;</w:t>
            </w:r>
          </w:p>
          <w:p>
            <w:pPr>
              <w:pStyle w:val="0"/>
            </w:pPr>
            <w:r>
              <w:rPr>
                <w:sz w:val="20"/>
              </w:rPr>
              <w:t xml:space="preserve">7) БУ "Когалымская городская больница". Срок исполнения 01.01.2019 - 31.12.2019;</w:t>
            </w:r>
          </w:p>
          <w:p>
            <w:pPr>
              <w:pStyle w:val="0"/>
            </w:pPr>
            <w:r>
              <w:rPr>
                <w:sz w:val="20"/>
              </w:rPr>
              <w:t xml:space="preserve">8) БУ "Кондинская районная больница". Срок исполнения 01.01.2019 - 31.12.2019;</w:t>
            </w:r>
          </w:p>
          <w:p>
            <w:pPr>
              <w:pStyle w:val="0"/>
            </w:pPr>
            <w:r>
              <w:rPr>
                <w:sz w:val="20"/>
              </w:rPr>
              <w:t xml:space="preserve">9) АУ "Советская районная больница". Срок исполнения 01.01.2019 - 31.12.2019;</w:t>
            </w:r>
          </w:p>
          <w:p>
            <w:pPr>
              <w:pStyle w:val="0"/>
            </w:pPr>
            <w:r>
              <w:rPr>
                <w:sz w:val="20"/>
              </w:rPr>
              <w:t xml:space="preserve">10) БУ "Нижневартовская окружная больница N 2". Срок исполнения 01.01.2024 - 31.12.2024</w:t>
            </w:r>
          </w:p>
        </w:tc>
      </w:tr>
      <w:tr>
        <w:tc>
          <w:tcPr>
            <w:tcW w:w="484" w:type="dxa"/>
          </w:tcPr>
          <w:p>
            <w:pPr>
              <w:pStyle w:val="0"/>
            </w:pPr>
            <w:r>
              <w:rPr>
                <w:sz w:val="20"/>
              </w:rPr>
              <w:t xml:space="preserve">50</w:t>
            </w:r>
          </w:p>
        </w:tc>
        <w:tc>
          <w:tcPr>
            <w:tcW w:w="3724" w:type="dxa"/>
          </w:tcPr>
          <w:p>
            <w:pPr>
              <w:pStyle w:val="0"/>
            </w:pPr>
            <w:r>
              <w:rPr>
                <w:sz w:val="20"/>
              </w:rPr>
              <w:t xml:space="preserve">Обеспечение доли профильной госпитализации в кардиологические отделения с ПРИТ или отделения хирургического лечения сложных нарушений ритма сердца и электрокардиостимуляции больных со сложными нарушениями сердечного ритма. Рост числа имплантированных устройств на 100 тысяч населения.</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Главный внештатный аритмолог Депздрава Югры (по согласованию)</w:t>
            </w:r>
          </w:p>
        </w:tc>
        <w:tc>
          <w:tcPr>
            <w:tcW w:w="3799" w:type="dxa"/>
          </w:tcPr>
          <w:p>
            <w:pPr>
              <w:pStyle w:val="0"/>
            </w:pPr>
            <w:r>
              <w:rPr>
                <w:sz w:val="20"/>
              </w:rPr>
              <w:t xml:space="preserve">Не менее 95% случаев профильной госпитализации в кардиологические отделения с ПРИТ или отделения хирургического лечения сложных нарушений ритма сердца и электрокардиостимуляции больных со сложными нарушениями сердечного ритма. Ежегодный рост не менее чем на 5% количества операций катетерной абляции, имплантации кардиостимуляторов, кардиовертеров-дефибрилляторов, ресинхронизирующих устройств.</w:t>
            </w:r>
          </w:p>
        </w:tc>
        <w:tc>
          <w:tcPr>
            <w:tcW w:w="3874" w:type="dxa"/>
          </w:tcPr>
          <w:p>
            <w:pPr>
              <w:pStyle w:val="0"/>
            </w:pPr>
            <w:r>
              <w:rPr>
                <w:sz w:val="20"/>
              </w:rPr>
              <w:t xml:space="preserve">Обеспечена доля профильной госпитализации в кардиологические отделения с ПРИТ или в отделения хирургического лечения сложных нарушений ритма сердца и электрокардиостимуляции больных со сложными нарушениями сердечного ритма: не менее чем в 95% случаев. Обеспечено ежегодное увеличение числа имплантаций кардиостимуляторов, кардиовертеров-дефибрилляторов, ресинхронизирующих устройств, операций катетерной абляции</w:t>
            </w:r>
          </w:p>
        </w:tc>
      </w:tr>
      <w:tr>
        <w:tc>
          <w:tcPr>
            <w:tcW w:w="484" w:type="dxa"/>
          </w:tcPr>
          <w:p>
            <w:pPr>
              <w:pStyle w:val="0"/>
            </w:pPr>
            <w:r>
              <w:rPr>
                <w:sz w:val="20"/>
              </w:rPr>
              <w:t xml:space="preserve">51</w:t>
            </w:r>
          </w:p>
        </w:tc>
        <w:tc>
          <w:tcPr>
            <w:tcW w:w="3724" w:type="dxa"/>
          </w:tcPr>
          <w:p>
            <w:pPr>
              <w:pStyle w:val="0"/>
            </w:pPr>
            <w:r>
              <w:rPr>
                <w:sz w:val="20"/>
              </w:rPr>
              <w:t xml:space="preserve">Актуализация схем и порядков маршрутизации пациентов с другими острыми кардиологическими состояниями (кроме ОКС и ОНМК), хроническими формами болезней системы кровообращения, в том числе при оказании высокотехнологичной помощи.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главные врачи медорганизаций, на базах которых развернуты РСЦ (по согласованию)</w:t>
            </w:r>
          </w:p>
        </w:tc>
        <w:tc>
          <w:tcPr>
            <w:tcW w:w="3799" w:type="dxa"/>
          </w:tcPr>
          <w:p>
            <w:pPr>
              <w:pStyle w:val="0"/>
            </w:pPr>
            <w:r>
              <w:rPr>
                <w:sz w:val="20"/>
              </w:rPr>
              <w:t xml:space="preserve">Разработаны и внедрены схемы и порядки маршрутизации пациентов с острыми (кроме ОКС и ОНМК) и хроническими заболеваниями сердечно-сосудистой системы, определены приоритетные направления развития ВМП на основе региональных особенностей и потребностей автономного округа.</w:t>
            </w:r>
          </w:p>
        </w:tc>
        <w:tc>
          <w:tcPr>
            <w:tcW w:w="3874" w:type="dxa"/>
          </w:tcPr>
          <w:p>
            <w:pPr>
              <w:pStyle w:val="0"/>
            </w:pPr>
            <w:r>
              <w:rPr>
                <w:sz w:val="20"/>
              </w:rPr>
              <w:t xml:space="preserve">С целью динамичного решения актуальных задач оказания специализированной медицинской помощи:</w:t>
            </w:r>
          </w:p>
          <w:p>
            <w:pPr>
              <w:pStyle w:val="0"/>
            </w:pPr>
            <w:r>
              <w:rPr>
                <w:sz w:val="20"/>
              </w:rPr>
              <w:t xml:space="preserve">1. Актуализация и обновление схем и порядков маршрутизации пациентов с другими острыми кардиологическими состояниями (кроме ОКС и ОНМК), хроническими формами болезней системы кровообращения.</w:t>
            </w:r>
          </w:p>
          <w:p>
            <w:pPr>
              <w:pStyle w:val="0"/>
            </w:pPr>
            <w:r>
              <w:rPr>
                <w:sz w:val="20"/>
              </w:rPr>
              <w:t xml:space="preserve">2. Создание и развитие центров критических состояний на базах РСЦ.</w:t>
            </w:r>
          </w:p>
          <w:p>
            <w:pPr>
              <w:pStyle w:val="0"/>
            </w:pPr>
            <w:r>
              <w:rPr>
                <w:sz w:val="20"/>
              </w:rPr>
              <w:t xml:space="preserve">3. Определение приоритетов в развитии профилей ВМП в автономном округе на основе анализа структуры заболеваемости и смертности, потребности в различных вмешательствах</w:t>
            </w:r>
          </w:p>
        </w:tc>
      </w:tr>
      <w:tr>
        <w:tc>
          <w:tcPr>
            <w:tcW w:w="484" w:type="dxa"/>
          </w:tcPr>
          <w:p>
            <w:pPr>
              <w:pStyle w:val="0"/>
            </w:pPr>
            <w:r>
              <w:rPr>
                <w:sz w:val="20"/>
              </w:rPr>
              <w:t xml:space="preserve">52</w:t>
            </w:r>
          </w:p>
        </w:tc>
        <w:tc>
          <w:tcPr>
            <w:tcW w:w="3724" w:type="dxa"/>
          </w:tcPr>
          <w:p>
            <w:pPr>
              <w:pStyle w:val="0"/>
            </w:pPr>
            <w:r>
              <w:rPr>
                <w:sz w:val="20"/>
              </w:rPr>
              <w:t xml:space="preserve">Обеспечение достижения указанных в клинических рекомендациях показателей на госпитальном этапе лечения острого коронарного синдрома</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главные врачи медорганизаций, на базах которых развернуты РСЦ (по согласованию)</w:t>
            </w:r>
          </w:p>
        </w:tc>
        <w:tc>
          <w:tcPr>
            <w:tcW w:w="3799" w:type="dxa"/>
          </w:tcPr>
          <w:p>
            <w:pPr>
              <w:pStyle w:val="0"/>
            </w:pPr>
            <w:r>
              <w:rPr>
                <w:sz w:val="20"/>
              </w:rPr>
              <w:t xml:space="preserve">Обеспечено достижение целевых показателей на госпитальном этапе лечения острого коронарного синдрома, на основании ежемесячного мониторинга данных показателей и принятии управленческих решений в случае их недостижения.</w:t>
            </w:r>
          </w:p>
        </w:tc>
        <w:tc>
          <w:tcPr>
            <w:tcW w:w="3874" w:type="dxa"/>
          </w:tcPr>
          <w:p>
            <w:pPr>
              <w:pStyle w:val="0"/>
            </w:pPr>
            <w:r>
              <w:rPr>
                <w:sz w:val="20"/>
              </w:rPr>
              <w:t xml:space="preserve">Обеспечено достижение указанных в клинических рекомендациях показателей на госпитальном этапе лечения острого коронарного синдрома:</w:t>
            </w:r>
          </w:p>
          <w:p>
            <w:pPr>
              <w:pStyle w:val="0"/>
            </w:pPr>
            <w:r>
              <w:rPr>
                <w:sz w:val="20"/>
              </w:rPr>
              <w:t xml:space="preserve">1. Интервал "диагноз ОКСпST - ЧКВ" (в зоне прямой доставки): не более 120 мин.;</w:t>
            </w:r>
          </w:p>
          <w:p>
            <w:pPr>
              <w:pStyle w:val="0"/>
            </w:pPr>
            <w:r>
              <w:rPr>
                <w:sz w:val="20"/>
              </w:rPr>
              <w:t xml:space="preserve">2. Интервал "поступление больного в стационар ОКСпST - ЧКВ": не более 60 мин.;</w:t>
            </w:r>
          </w:p>
          <w:p>
            <w:pPr>
              <w:pStyle w:val="0"/>
            </w:pPr>
            <w:r>
              <w:rPr>
                <w:sz w:val="20"/>
              </w:rPr>
              <w:t xml:space="preserve">3. Доля проведения реперфузионной тактики при ОКСпST: не менее 85% от всех случаев ОКСпST;</w:t>
            </w:r>
          </w:p>
          <w:p>
            <w:pPr>
              <w:pStyle w:val="0"/>
            </w:pPr>
            <w:r>
              <w:rPr>
                <w:sz w:val="20"/>
              </w:rPr>
              <w:t xml:space="preserve">4. Доля первичных ЧКВ при ОКСпST: не менее 80% от всех случаев ОКСпST;</w:t>
            </w:r>
          </w:p>
          <w:p>
            <w:pPr>
              <w:pStyle w:val="0"/>
            </w:pPr>
            <w:r>
              <w:rPr>
                <w:sz w:val="20"/>
              </w:rPr>
              <w:t xml:space="preserve">5. Доля ЧКВ после тромболизиса при ОКСпST: не менее 70% от всех случаев тромболизиса при ОКСпST;</w:t>
            </w:r>
          </w:p>
          <w:p>
            <w:pPr>
              <w:pStyle w:val="0"/>
            </w:pPr>
            <w:r>
              <w:rPr>
                <w:sz w:val="20"/>
              </w:rPr>
              <w:t xml:space="preserve">6. Перевод из ПСО и кардиологических отделений в ЧКВ-центры для реваскуляризации в течение не более 2 ч. всех поступивших больных с ОКСпST и не менее 80% поступивших больных с ОКСбпST с высоким и средним риском осложнений;</w:t>
            </w:r>
          </w:p>
          <w:p>
            <w:pPr>
              <w:pStyle w:val="0"/>
            </w:pPr>
            <w:r>
              <w:rPr>
                <w:sz w:val="20"/>
              </w:rPr>
              <w:t xml:space="preserve">7. Доля больных с ОКСбпST, подвергнутых ЧКВ: не менее 50% от всех случаев ОКСбпST;</w:t>
            </w:r>
          </w:p>
          <w:p>
            <w:pPr>
              <w:pStyle w:val="0"/>
            </w:pPr>
            <w:r>
              <w:rPr>
                <w:sz w:val="20"/>
              </w:rPr>
              <w:t xml:space="preserve">8. Доля применяемых в лечении ОКС интракоронарных стентов с лекарственным покрытием: в 100% случаев применения интракоронарных стентов.</w:t>
            </w:r>
          </w:p>
        </w:tc>
      </w:tr>
      <w:tr>
        <w:tc>
          <w:tcPr>
            <w:gridSpan w:val="8"/>
            <w:tcW w:w="18737" w:type="dxa"/>
          </w:tcPr>
          <w:p>
            <w:pPr>
              <w:pStyle w:val="0"/>
              <w:outlineLvl w:val="2"/>
            </w:pPr>
            <w:r>
              <w:rPr>
                <w:sz w:val="20"/>
              </w:rPr>
              <w:t xml:space="preserve">9. Медицинская реабилитация</w:t>
            </w:r>
          </w:p>
        </w:tc>
      </w:tr>
      <w:tr>
        <w:tc>
          <w:tcPr>
            <w:tcW w:w="484" w:type="dxa"/>
          </w:tcPr>
          <w:p>
            <w:pPr>
              <w:pStyle w:val="0"/>
            </w:pPr>
            <w:r>
              <w:rPr>
                <w:sz w:val="20"/>
              </w:rPr>
              <w:t xml:space="preserve">53</w:t>
            </w:r>
          </w:p>
        </w:tc>
        <w:tc>
          <w:tcPr>
            <w:tcW w:w="3724" w:type="dxa"/>
          </w:tcPr>
          <w:p>
            <w:pPr>
              <w:pStyle w:val="0"/>
            </w:pPr>
            <w:r>
              <w:rPr>
                <w:sz w:val="20"/>
              </w:rPr>
              <w:t xml:space="preserve">Открытие отделений ранней медицинской реабилитации в медицинских организациях, в структуре которых функционируют региональные сосудистые центры, первичные сосудистые отделения и специализированные отделения по профилю 1</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медицинской реабилитации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Организованы отделения ранней медицинской реабилитации: В 2022 году - 2 отделение в БУ "Окружной кардиологический диспансер "Центр диагностики и сердечно-сосудистой хирургии"; БУ "Окружная клиническая больница", в 2023 году - 4 отделения: в БУ "Нижневартовская окружная клиническая больница", БУ "Нижневартовская окружная клиническая детская больница", БУ "Сургутская окружная клиническая больница", БУ "Сургутский окружной клинический центр охраны материнства и детства"; В 2024 году - 1 отделение: в БУ "Нефтеюганская окружная клиническая больница им. В.И. Яцкив"</w:t>
            </w:r>
          </w:p>
        </w:tc>
        <w:tc>
          <w:tcPr>
            <w:tcW w:w="3874" w:type="dxa"/>
          </w:tcPr>
          <w:p>
            <w:pPr>
              <w:pStyle w:val="0"/>
            </w:pPr>
            <w:r>
              <w:rPr>
                <w:sz w:val="20"/>
              </w:rPr>
              <w:t xml:space="preserve">В целях осуществления пациентам с ССЗ первого этапа медицинской реабилитации открыты отделения ранней медицинской реабилитации в медицинских организациях, в структуре которых функционируют региональные сосудистые центры, первичные сосудистые отделения и специализированные отделения по профилю</w:t>
            </w:r>
          </w:p>
        </w:tc>
      </w:tr>
      <w:tr>
        <w:tc>
          <w:tcPr>
            <w:tcW w:w="484" w:type="dxa"/>
          </w:tcPr>
          <w:p>
            <w:pPr>
              <w:pStyle w:val="0"/>
            </w:pPr>
            <w:r>
              <w:rPr>
                <w:sz w:val="20"/>
              </w:rPr>
              <w:t xml:space="preserve">54</w:t>
            </w:r>
          </w:p>
        </w:tc>
        <w:tc>
          <w:tcPr>
            <w:tcW w:w="3724" w:type="dxa"/>
          </w:tcPr>
          <w:p>
            <w:pPr>
              <w:pStyle w:val="0"/>
            </w:pPr>
            <w:r>
              <w:rPr>
                <w:sz w:val="20"/>
              </w:rPr>
              <w:t xml:space="preserve">Разработка и внедрение плана мероприятий по включению пациентов с ССЗ в мероприятия ранней медицинской реабилитации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Главные внештатные специалисты Депздрава Югры: кардиолог, невролог, по медицинской реабилитации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Доля пациентов, которым осуществляются мероприятия ранней медицинской реабилитации не позднее 72 часов от поступления в стационар, составляет не менее 70% пациентов от числа поступивших при ОКС и не менее 60% пациентов от числа поступивших при ОНМК</w:t>
            </w:r>
          </w:p>
        </w:tc>
        <w:tc>
          <w:tcPr>
            <w:tcW w:w="3874" w:type="dxa"/>
          </w:tcPr>
          <w:p>
            <w:pPr>
              <w:pStyle w:val="0"/>
            </w:pPr>
            <w:r>
              <w:rPr>
                <w:sz w:val="20"/>
              </w:rPr>
              <w:t xml:space="preserve">Разработан и внедрен план мероприятий по включению пациентов с ССЗ в мероприятия ранней медицинской реабилитации</w:t>
            </w:r>
          </w:p>
        </w:tc>
      </w:tr>
      <w:tr>
        <w:tc>
          <w:tcPr>
            <w:tcW w:w="484" w:type="dxa"/>
          </w:tcPr>
          <w:p>
            <w:pPr>
              <w:pStyle w:val="0"/>
            </w:pPr>
            <w:r>
              <w:rPr>
                <w:sz w:val="20"/>
              </w:rPr>
              <w:t xml:space="preserve">55</w:t>
            </w:r>
          </w:p>
        </w:tc>
        <w:tc>
          <w:tcPr>
            <w:tcW w:w="3724" w:type="dxa"/>
          </w:tcPr>
          <w:p>
            <w:pPr>
              <w:pStyle w:val="0"/>
            </w:pPr>
            <w:r>
              <w:rPr>
                <w:sz w:val="20"/>
              </w:rPr>
              <w:t xml:space="preserve">Обеспечение проведения оценки нутритивного статуса и диагностики наличия дисфагии у пациентов с ОНМК в первые 24 часа от поступления в стационар</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невролог Депздрава Югры (по согласованию), Главный внештатный специалист по медицинской реабилитации Депздрава Югры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Всем пациентам с ОНМК в первые 24 часа от поступления в стационар проводится оценка нутритивного статуса и диагностика наличия дисфагии. 1 раз в квартал выборка 100 карт, - не менее 80% без замечаний.</w:t>
            </w:r>
          </w:p>
        </w:tc>
        <w:tc>
          <w:tcPr>
            <w:tcW w:w="3874" w:type="dxa"/>
          </w:tcPr>
          <w:p>
            <w:pPr>
              <w:pStyle w:val="0"/>
            </w:pPr>
            <w:r>
              <w:rPr>
                <w:sz w:val="20"/>
              </w:rPr>
              <w:t xml:space="preserve">Проведение оценки нутритивного статуса и диагностика наличия дисфагии у пациентов с ОНМК в 100% случаев</w:t>
            </w:r>
          </w:p>
        </w:tc>
      </w:tr>
      <w:tr>
        <w:tblPrEx>
          <w:tblBorders>
            <w:insideH w:val="nil"/>
          </w:tblBorders>
        </w:tblPrEx>
        <w:tc>
          <w:tcPr>
            <w:tcW w:w="484" w:type="dxa"/>
            <w:tcBorders>
              <w:bottom w:val="nil"/>
            </w:tcBorders>
          </w:tcPr>
          <w:p>
            <w:pPr>
              <w:pStyle w:val="0"/>
            </w:pPr>
            <w:r>
              <w:rPr>
                <w:sz w:val="20"/>
              </w:rPr>
              <w:t xml:space="preserve">55.1</w:t>
            </w:r>
          </w:p>
        </w:tc>
        <w:tc>
          <w:tcPr>
            <w:tcW w:w="3724" w:type="dxa"/>
            <w:tcBorders>
              <w:bottom w:val="nil"/>
            </w:tcBorders>
          </w:tcPr>
          <w:p>
            <w:pPr>
              <w:pStyle w:val="0"/>
            </w:pPr>
            <w:r>
              <w:rPr>
                <w:sz w:val="20"/>
              </w:rPr>
              <w:t xml:space="preserve">Внедрение в практику маршрутизации пациентов с фибрилляцией предсердий на диагностику и оперативное лечение. Ведение соответствующих статистических отчетов, регистров</w:t>
            </w:r>
          </w:p>
        </w:tc>
        <w:tc>
          <w:tcPr>
            <w:tcW w:w="1309" w:type="dxa"/>
            <w:tcBorders>
              <w:bottom w:val="nil"/>
            </w:tcBorders>
          </w:tcPr>
          <w:p>
            <w:pPr>
              <w:pStyle w:val="0"/>
            </w:pPr>
            <w:r>
              <w:rPr>
                <w:sz w:val="20"/>
              </w:rPr>
              <w:t xml:space="preserve">01.01.2024</w:t>
            </w:r>
          </w:p>
        </w:tc>
        <w:tc>
          <w:tcPr>
            <w:tcW w:w="1309" w:type="dxa"/>
            <w:tcBorders>
              <w:bottom w:val="nil"/>
            </w:tcBorders>
          </w:tcPr>
          <w:p>
            <w:pPr>
              <w:pStyle w:val="0"/>
            </w:pPr>
            <w:r>
              <w:rPr>
                <w:sz w:val="20"/>
              </w:rPr>
              <w:t xml:space="preserve">31.12.2024</w:t>
            </w:r>
          </w:p>
        </w:tc>
        <w:tc>
          <w:tcPr>
            <w:tcW w:w="1894" w:type="dxa"/>
            <w:tcBorders>
              <w:bottom w:val="nil"/>
            </w:tcBorders>
          </w:tcPr>
          <w:p>
            <w:pPr>
              <w:pStyle w:val="0"/>
            </w:pPr>
            <w:r>
              <w:rPr>
                <w:sz w:val="20"/>
              </w:rPr>
              <w:t xml:space="preserve">Регулярное (ежеквартальное)</w:t>
            </w:r>
          </w:p>
        </w:tc>
        <w:tc>
          <w:tcPr>
            <w:tcW w:w="2344" w:type="dxa"/>
            <w:tcBorders>
              <w:bottom w:val="nil"/>
            </w:tcBorders>
          </w:tcPr>
          <w:p>
            <w:pPr>
              <w:pStyle w:val="0"/>
            </w:pPr>
            <w:r>
              <w:rPr>
                <w:sz w:val="20"/>
              </w:rPr>
              <w:t xml:space="preserve">Заместитель директора Депздрава Югры, начальник управления организации медицинской помощи Депздрава Югры; главные внештатные специалисты Депздрава Югры: кардиолог, аритмолог (по согласованию)</w:t>
            </w:r>
          </w:p>
        </w:tc>
        <w:tc>
          <w:tcPr>
            <w:tcW w:w="3799" w:type="dxa"/>
            <w:tcBorders>
              <w:bottom w:val="nil"/>
            </w:tcBorders>
          </w:tcPr>
          <w:p>
            <w:pPr>
              <w:pStyle w:val="0"/>
            </w:pPr>
            <w:r>
              <w:rPr>
                <w:sz w:val="20"/>
              </w:rPr>
              <w:t xml:space="preserve">В каждой медицинской организации автономного округа актуализирована нормативная правовая база в соответствии с региональными нормативными документами и клиническими рекомендациями, разработаны единые формы отчетов и регистров</w:t>
            </w:r>
          </w:p>
        </w:tc>
        <w:tc>
          <w:tcPr>
            <w:tcW w:w="3874" w:type="dxa"/>
            <w:tcBorders>
              <w:bottom w:val="nil"/>
            </w:tcBorders>
          </w:tcPr>
          <w:p>
            <w:pPr>
              <w:pStyle w:val="0"/>
            </w:pPr>
            <w:r>
              <w:rPr>
                <w:sz w:val="20"/>
              </w:rPr>
              <w:t xml:space="preserve">Внедрена маршрутизация больных с фибрилляцией предсердий в МО 3 уровня. Сформирован регистр пациентов с фибрилляцией предсердий. Проводится ежемесячный мониторинг числа прооперированных пациентов с фибрилляцией предсердий</w:t>
            </w:r>
          </w:p>
        </w:tc>
      </w:tr>
      <w:tr>
        <w:tblPrEx>
          <w:tblBorders>
            <w:insideH w:val="nil"/>
          </w:tblBorders>
        </w:tblPrEx>
        <w:tc>
          <w:tcPr>
            <w:gridSpan w:val="8"/>
            <w:tcW w:w="18737" w:type="dxa"/>
            <w:tcBorders>
              <w:top w:val="nil"/>
            </w:tcBorders>
          </w:tcPr>
          <w:p>
            <w:pPr>
              <w:pStyle w:val="0"/>
              <w:jc w:val="both"/>
            </w:pPr>
            <w:r>
              <w:rPr>
                <w:sz w:val="20"/>
              </w:rPr>
              <w:t xml:space="preserve">(п. 55.1 введен </w:t>
            </w:r>
            <w:hyperlink w:history="0" r:id="rId166" w:tooltip="Постановление Правительства ХМАО - Югры от 27.10.2023 N 527-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 от 27.10.2023 N 527-п)</w:t>
            </w:r>
          </w:p>
        </w:tc>
      </w:tr>
      <w:tr>
        <w:tc>
          <w:tcPr>
            <w:tcW w:w="484" w:type="dxa"/>
          </w:tcPr>
          <w:p>
            <w:pPr>
              <w:pStyle w:val="0"/>
            </w:pPr>
            <w:r>
              <w:rPr>
                <w:sz w:val="20"/>
              </w:rPr>
              <w:t xml:space="preserve">56</w:t>
            </w:r>
          </w:p>
        </w:tc>
        <w:tc>
          <w:tcPr>
            <w:tcW w:w="3724" w:type="dxa"/>
          </w:tcPr>
          <w:p>
            <w:pPr>
              <w:pStyle w:val="0"/>
            </w:pPr>
            <w:r>
              <w:rPr>
                <w:sz w:val="20"/>
              </w:rPr>
              <w:t xml:space="preserve">Обеспечение проведения мероприятий по ранней мобилизации и вертикализации пациентов с ССЗ</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 главный внештатный невролог Депздрава Югры (по согласованию);</w:t>
            </w:r>
          </w:p>
          <w:p>
            <w:pPr>
              <w:pStyle w:val="0"/>
            </w:pPr>
            <w:r>
              <w:rPr>
                <w:sz w:val="20"/>
              </w:rPr>
              <w:t xml:space="preserve">главные врачи медорганизаций (по согласованию)</w:t>
            </w:r>
          </w:p>
        </w:tc>
        <w:tc>
          <w:tcPr>
            <w:tcW w:w="3799" w:type="dxa"/>
          </w:tcPr>
          <w:p>
            <w:pPr>
              <w:pStyle w:val="0"/>
            </w:pPr>
            <w:r>
              <w:rPr>
                <w:sz w:val="20"/>
              </w:rPr>
              <w:t xml:space="preserve">Всем пациентам проводятся мероприятия по ранней мобилизации и вертикализации в сочетании с ранней оценкой (диагностикой) нарушения функций; факторов риска проведения реабилитационных мероприятий;</w:t>
            </w:r>
          </w:p>
          <w:p>
            <w:pPr>
              <w:pStyle w:val="0"/>
            </w:pPr>
            <w:r>
              <w:rPr>
                <w:sz w:val="20"/>
              </w:rPr>
              <w:t xml:space="preserve">факторов, ограничивающих проведение реабилитационных мероприятий;</w:t>
            </w:r>
          </w:p>
          <w:p>
            <w:pPr>
              <w:pStyle w:val="0"/>
            </w:pPr>
            <w:r>
              <w:rPr>
                <w:sz w:val="20"/>
              </w:rPr>
              <w:t xml:space="preserve">морфологических параметров и функциональных резервов организма;</w:t>
            </w:r>
          </w:p>
          <w:p>
            <w:pPr>
              <w:pStyle w:val="0"/>
            </w:pPr>
            <w:r>
              <w:rPr>
                <w:sz w:val="20"/>
              </w:rPr>
              <w:t xml:space="preserve">1 раз в квартал выборка 100 карт, - не менее 65% без замечаний.</w:t>
            </w:r>
          </w:p>
        </w:tc>
        <w:tc>
          <w:tcPr>
            <w:tcW w:w="3874" w:type="dxa"/>
          </w:tcPr>
          <w:p>
            <w:pPr>
              <w:pStyle w:val="0"/>
            </w:pPr>
            <w:r>
              <w:rPr>
                <w:sz w:val="20"/>
              </w:rPr>
              <w:t xml:space="preserve">Проведение мероприятий по ранней мобилизации и вертикализации пациентов с ССЗ в 100% случаев</w:t>
            </w:r>
          </w:p>
        </w:tc>
      </w:tr>
      <w:tr>
        <w:tc>
          <w:tcPr>
            <w:tcW w:w="484" w:type="dxa"/>
          </w:tcPr>
          <w:p>
            <w:pPr>
              <w:pStyle w:val="0"/>
            </w:pPr>
            <w:r>
              <w:rPr>
                <w:sz w:val="20"/>
              </w:rPr>
              <w:t xml:space="preserve">57</w:t>
            </w:r>
          </w:p>
        </w:tc>
        <w:tc>
          <w:tcPr>
            <w:tcW w:w="3724" w:type="dxa"/>
          </w:tcPr>
          <w:p>
            <w:pPr>
              <w:pStyle w:val="0"/>
            </w:pPr>
            <w:r>
              <w:rPr>
                <w:sz w:val="20"/>
              </w:rPr>
              <w:t xml:space="preserve">Перераспределение коечного фонда региона для оказания медицинской помощи по медицинской реабилитации пациентам с ССЗ на всех этапах, развитие медицинской реабилитации на амбулаторном этапе</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p>
            <w:pPr>
              <w:pStyle w:val="0"/>
            </w:pPr>
            <w:r>
              <w:rPr>
                <w:sz w:val="20"/>
              </w:rPr>
              <w:t xml:space="preserve">Главный внештатный специалист по медицинской реабилитации Депздрава Югры (по согласованию)</w:t>
            </w:r>
          </w:p>
        </w:tc>
        <w:tc>
          <w:tcPr>
            <w:tcW w:w="3799" w:type="dxa"/>
          </w:tcPr>
          <w:p>
            <w:pPr>
              <w:pStyle w:val="0"/>
            </w:pPr>
            <w:r>
              <w:rPr>
                <w:sz w:val="20"/>
              </w:rPr>
              <w:t xml:space="preserve">На основе анализа функциональных исходов при оказании СМП и ВМП пациентам ССЗ с использованием Шкалы реабилитационной маршрутизации (ШРМ), анализа перспектив изменения маршрутизации, проводится перераспределение коечного фонда для осуществления всех этапов реабилитации пациентам с ССЗ (БУ "Окружной кардиологический диспансер "Центр диагностики и сердечно-сосудистой хирургии", БУ "Нижневартовская окружная клиническая больница", БУ "Няганская окружная больница", БУ "Нефтеюганская окружная больница им. Яцкив"). Реабилитационный коечный фонд приведен в соответствие со сложившейся потребностью за счет дополнительного открытия, перепрофилирования существующего коечного фонда)</w:t>
            </w:r>
          </w:p>
        </w:tc>
        <w:tc>
          <w:tcPr>
            <w:tcW w:w="3874" w:type="dxa"/>
          </w:tcPr>
          <w:p>
            <w:pPr>
              <w:pStyle w:val="0"/>
            </w:pPr>
            <w:r>
              <w:rPr>
                <w:sz w:val="20"/>
              </w:rPr>
              <w:t xml:space="preserve">В регионе сформирована трехэтапная система медицинской реабилитации пациентов с ССЗ</w:t>
            </w:r>
          </w:p>
        </w:tc>
      </w:tr>
      <w:tr>
        <w:tc>
          <w:tcPr>
            <w:tcW w:w="484" w:type="dxa"/>
          </w:tcPr>
          <w:p>
            <w:pPr>
              <w:pStyle w:val="0"/>
            </w:pPr>
            <w:r>
              <w:rPr>
                <w:sz w:val="20"/>
              </w:rPr>
              <w:t xml:space="preserve">58</w:t>
            </w:r>
          </w:p>
        </w:tc>
        <w:tc>
          <w:tcPr>
            <w:tcW w:w="3724" w:type="dxa"/>
          </w:tcPr>
          <w:p>
            <w:pPr>
              <w:pStyle w:val="0"/>
            </w:pPr>
            <w:r>
              <w:rPr>
                <w:sz w:val="20"/>
              </w:rPr>
              <w:t xml:space="preserve">Разработка и внедрение плана мероприятий по направлению на второй этап медицинской реабилитации пациентов, закончивших лечение в отделении для пациентов с ОНМК и в отделении для пациентов с ОКС.</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Главные внештатные специалисты Депздрава Югры: кардиолог, невролог, по медицинской реабилитации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не менее 35% пациентов от общего числа закончивших лечение в отделении для пациентов с ОНМК и не менее 25% пациентов от общего числа закончивших лечение в отделении для пациентов с ОКС и имеющих оценку по ШРМ 4 - 5 - 6 баллов направляются на второй этап медицинской реабилитации; 1 раз в квартал выборка 100 карт из отделения для пациентов с ОНМК и 100 карт из отделения для пациентов с ОКС - не менее 80% без замечаний.</w:t>
            </w:r>
          </w:p>
        </w:tc>
        <w:tc>
          <w:tcPr>
            <w:tcW w:w="3874" w:type="dxa"/>
          </w:tcPr>
          <w:p>
            <w:pPr>
              <w:pStyle w:val="0"/>
            </w:pPr>
            <w:r>
              <w:rPr>
                <w:sz w:val="20"/>
              </w:rPr>
              <w:t xml:space="preserve">Реализован механизм своевременного направления на второй этап медицинской реабилитации пациентов, закончивших лечение в отделении для пациентов с ОНМК и отделении для пациентов с ОКС, с оценкой по ШРМ 4 - 5 - 6 баллов</w:t>
            </w:r>
          </w:p>
        </w:tc>
      </w:tr>
      <w:tr>
        <w:tc>
          <w:tcPr>
            <w:tcW w:w="484" w:type="dxa"/>
          </w:tcPr>
          <w:p>
            <w:pPr>
              <w:pStyle w:val="0"/>
            </w:pPr>
            <w:r>
              <w:rPr>
                <w:sz w:val="20"/>
              </w:rPr>
              <w:t xml:space="preserve">59</w:t>
            </w:r>
          </w:p>
        </w:tc>
        <w:tc>
          <w:tcPr>
            <w:tcW w:w="3724" w:type="dxa"/>
          </w:tcPr>
          <w:p>
            <w:pPr>
              <w:pStyle w:val="0"/>
            </w:pPr>
            <w:r>
              <w:rPr>
                <w:sz w:val="20"/>
              </w:rPr>
              <w:t xml:space="preserve">Разработка и внедрение плана мероприятий по направлению на третий этап медицинской реабилитации пациентов, закончивших лечение в отделении для пациентов с ОНМК и в отделении для пациентов с ОКС.</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Главные внештатные специалисты Депздрава Югры: кардиолог, невролог, по медицинской реабилитации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не менее 45% пациентов от общего числа закончивших лечение в отделении для пациентов с ОНМК и не менее 55% пациентов от общего числа закончивших лечение в отделении для пациентов с ОКС и имеющих оценку по ШРМ 2 - 3 балла направляются на третий этап медицинской реабилитации; 1 раз в квартал выборка 100 карт из отделения для пациентов с ОНМК и 100 карт из отделения для пациентов с ОКС - не менее 65% без замечаний.</w:t>
            </w:r>
          </w:p>
        </w:tc>
        <w:tc>
          <w:tcPr>
            <w:tcW w:w="3874" w:type="dxa"/>
          </w:tcPr>
          <w:p>
            <w:pPr>
              <w:pStyle w:val="0"/>
            </w:pPr>
            <w:r>
              <w:rPr>
                <w:sz w:val="20"/>
              </w:rPr>
              <w:t xml:space="preserve">Реализован механизм своевременного направления на третий этап медицинской реабилитации пациентов, закончивших лечение в отделении для пациентов с ОНМК и отделении для пациентов с ОКС, с оценкой по ШРМ 2 - 3 балла.</w:t>
            </w:r>
          </w:p>
        </w:tc>
      </w:tr>
      <w:tr>
        <w:tc>
          <w:tcPr>
            <w:tcW w:w="484" w:type="dxa"/>
          </w:tcPr>
          <w:p>
            <w:pPr>
              <w:pStyle w:val="0"/>
            </w:pPr>
            <w:r>
              <w:rPr>
                <w:sz w:val="20"/>
              </w:rPr>
              <w:t xml:space="preserve">60</w:t>
            </w:r>
          </w:p>
        </w:tc>
        <w:tc>
          <w:tcPr>
            <w:tcW w:w="3724" w:type="dxa"/>
          </w:tcPr>
          <w:p>
            <w:pPr>
              <w:pStyle w:val="0"/>
            </w:pPr>
            <w:r>
              <w:rPr>
                <w:sz w:val="20"/>
              </w:rPr>
              <w:t xml:space="preserve">Обеспечение направления и проведение мероприятий по медицинской реабилитации в полном объеме в специализированных медицинских организациях пациентам с учетом оценки тяжести их состояния по ШРМ и с соблюдением этапности, непрерывности, преемственности и обоснованности проведения медицинской реабилитации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Главные внештатные специалисты Депздрава Югры: кардиолог, невролог, по медицинской реабилитации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не менее 70%, пациентам, перенесшим ОКС, кардиохирургические вмешательства, лечение по поводу декомпенсации ХСН, и не менее 60% пациентам, перенесшим ОНМК, соответственно, осуществляются мероприятия медицинской реабилитации 2 и/или 3 этапов.</w:t>
            </w:r>
          </w:p>
        </w:tc>
        <w:tc>
          <w:tcPr>
            <w:tcW w:w="3874" w:type="dxa"/>
          </w:tcPr>
          <w:p>
            <w:pPr>
              <w:pStyle w:val="0"/>
            </w:pPr>
            <w:r>
              <w:rPr>
                <w:sz w:val="20"/>
              </w:rPr>
              <w:t xml:space="preserve">В автономном округе осуществляется оказание всех трех этапов медицинской реабилитации пациентам с ССЗ, в том числе с использованием ресурсов федеральных и национальных исследовательских медицинских центров по медицинской реабилитации и профильных медицинских организаций других субъектов; внедрены механизмы мониторинга и контроля соблюдения этапности, непрерывности, преемственности и обоснованности проведения медицинской реабилитации</w:t>
            </w:r>
          </w:p>
        </w:tc>
      </w:tr>
      <w:tr>
        <w:tc>
          <w:tcPr>
            <w:tcW w:w="484" w:type="dxa"/>
          </w:tcPr>
          <w:p>
            <w:pPr>
              <w:pStyle w:val="0"/>
            </w:pPr>
            <w:r>
              <w:rPr>
                <w:sz w:val="20"/>
              </w:rPr>
              <w:t xml:space="preserve">61</w:t>
            </w:r>
          </w:p>
        </w:tc>
        <w:tc>
          <w:tcPr>
            <w:tcW w:w="3724" w:type="dxa"/>
          </w:tcPr>
          <w:p>
            <w:pPr>
              <w:pStyle w:val="0"/>
            </w:pPr>
            <w:r>
              <w:rPr>
                <w:sz w:val="20"/>
              </w:rPr>
              <w:t xml:space="preserve">Обеспечение своевременного направления пациентов для оказания паллиативной медицинской помощи, помощи по гериатрии и для проведения санаторно-курортного лечения в соответствии с действующим законодательством</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Главные внештатные специалисты Депздрава Югры:</w:t>
            </w:r>
          </w:p>
          <w:p>
            <w:pPr>
              <w:pStyle w:val="0"/>
            </w:pPr>
            <w:r>
              <w:rPr>
                <w:sz w:val="20"/>
              </w:rPr>
              <w:t xml:space="preserve">кардиолог, невролог, терапевт, по медицинской реабилитации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Наличие алгоритма направления пациентов, перенесших ОКС и ОНМК, при отсутствии реабилитационного потенциала, для оказания паллиативной медицинской помощи; наличие алгоритмов маршрутизации пациентов, перенесших ОКС и ОНМК, для оказания медицинской помощи по гериатрии и для проведения санаторно-курортного лечения</w:t>
            </w:r>
          </w:p>
        </w:tc>
        <w:tc>
          <w:tcPr>
            <w:tcW w:w="3874" w:type="dxa"/>
          </w:tcPr>
          <w:p>
            <w:pPr>
              <w:pStyle w:val="0"/>
            </w:pPr>
            <w:r>
              <w:rPr>
                <w:sz w:val="20"/>
              </w:rPr>
              <w:t xml:space="preserve">В регионе организовано своевременное направление пациентов для оказания паллиативной медицинской помощи, помощи по гериатрии и для проведения санаторно-курортного лечения в соответствии с действующим законодательством</w:t>
            </w:r>
          </w:p>
        </w:tc>
      </w:tr>
      <w:tr>
        <w:tc>
          <w:tcPr>
            <w:tcW w:w="484" w:type="dxa"/>
          </w:tcPr>
          <w:p>
            <w:pPr>
              <w:pStyle w:val="0"/>
            </w:pPr>
            <w:r>
              <w:rPr>
                <w:sz w:val="20"/>
              </w:rPr>
              <w:t xml:space="preserve">62</w:t>
            </w:r>
          </w:p>
        </w:tc>
        <w:tc>
          <w:tcPr>
            <w:tcW w:w="3724" w:type="dxa"/>
          </w:tcPr>
          <w:p>
            <w:pPr>
              <w:pStyle w:val="0"/>
            </w:pPr>
            <w:r>
              <w:rPr>
                <w:sz w:val="20"/>
              </w:rPr>
              <w:t xml:space="preserve">Реализация мероприятий по оснащению и дооснащению оборудованием по медицинской реабилитации РСЦ и ПСО, отделений медицинской реабилитации медицинских организаций, включенных в приказ по маршрутизации в процессе медицинской реабилитации субъекта</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Главные внештатные специалисты Депздрава Югры:</w:t>
            </w:r>
          </w:p>
          <w:p>
            <w:pPr>
              <w:pStyle w:val="0"/>
            </w:pPr>
            <w:r>
              <w:rPr>
                <w:sz w:val="20"/>
              </w:rPr>
              <w:t xml:space="preserve">кардиолог, невролог, терапевт, по медицинской реабилитации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Оснащены/переоснащены оборудованием по медицинской реабилитации отделения медицинской реабилитации медицинских организаций, включенных в приказ по маршрутизации в процессе медицинской реабилитации субъекта, включая:</w:t>
            </w:r>
          </w:p>
          <w:p>
            <w:pPr>
              <w:pStyle w:val="0"/>
            </w:pPr>
            <w:r>
              <w:rPr>
                <w:sz w:val="20"/>
              </w:rPr>
              <w:t xml:space="preserve">в 2022 г. - 3 МО (БУ ХМАО - Югры "Окружной кардиологический диспансер "Центр диагностики и сердечно-сосудистой хирургии", БУ ХМАО - Югры "Сургутская клиническая травматологическая больница", БУ ХМАО - Югры "Лангепасская городская больница",</w:t>
            </w:r>
          </w:p>
          <w:p>
            <w:pPr>
              <w:pStyle w:val="0"/>
            </w:pPr>
            <w:r>
              <w:rPr>
                <w:sz w:val="20"/>
              </w:rPr>
              <w:t xml:space="preserve">в 2023 г. - 2 МО (БУ ХМАО - Югры "Окружной клинический лечебно-реабилитационный центр", БУ ХМАО - Югры "Сургутская окружная клиническая больница");</w:t>
            </w:r>
          </w:p>
          <w:p>
            <w:pPr>
              <w:pStyle w:val="0"/>
            </w:pPr>
            <w:r>
              <w:rPr>
                <w:sz w:val="20"/>
              </w:rPr>
              <w:t xml:space="preserve">в 2024 г. - 2 МО (БУ ХМАО - Югры "Окружная клиническая больница", БУ ХМАО - Югры "Урайская окружная больница медицинской реабилитации")</w:t>
            </w:r>
          </w:p>
        </w:tc>
        <w:tc>
          <w:tcPr>
            <w:tcW w:w="3874" w:type="dxa"/>
          </w:tcPr>
          <w:p>
            <w:pPr>
              <w:pStyle w:val="0"/>
            </w:pPr>
            <w:r>
              <w:rPr>
                <w:sz w:val="20"/>
              </w:rPr>
              <w:t xml:space="preserve">Выделено финансирование и организовано оснащение/дооснащение медицинских организаций медицинским оборудованием в соответствии с Порядком организации медицинской реабилитации взрослых согласно плану мероприятий органа исполнительной власти субъекта Российской Федерации в сфере охраны здоровья по оснащению/ переоснащению на 2022 - 2024 гг.</w:t>
            </w:r>
          </w:p>
        </w:tc>
      </w:tr>
      <w:tr>
        <w:tc>
          <w:tcPr>
            <w:tcW w:w="484" w:type="dxa"/>
          </w:tcPr>
          <w:p>
            <w:pPr>
              <w:pStyle w:val="0"/>
            </w:pPr>
            <w:r>
              <w:rPr>
                <w:sz w:val="20"/>
              </w:rPr>
              <w:t xml:space="preserve">63</w:t>
            </w:r>
          </w:p>
        </w:tc>
        <w:tc>
          <w:tcPr>
            <w:tcW w:w="3724" w:type="dxa"/>
          </w:tcPr>
          <w:p>
            <w:pPr>
              <w:pStyle w:val="0"/>
            </w:pPr>
            <w:r>
              <w:rPr>
                <w:sz w:val="20"/>
              </w:rPr>
              <w:t xml:space="preserve">Расширение штатного расписания и подготовка (обучение) кадров с учетом масштабов и направлений реабилитации (врач физической и реабилитационной медицины, диетолог, фониатр, медицинский психолог, медицинский логопед, специалист по физической реабилитации, специалист по эргореабилитации, медицинская сестра по реабилитации), кардиолог, сердечно-сосудистый хирург, анестезиолог-реаниматолог</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Главные внештатные специалисты Депздрава Югры:</w:t>
            </w:r>
          </w:p>
          <w:p>
            <w:pPr>
              <w:pStyle w:val="0"/>
            </w:pPr>
            <w:r>
              <w:rPr>
                <w:sz w:val="20"/>
              </w:rPr>
              <w:t xml:space="preserve">кардиолог, невролог, терапевт, по медицинской реабилитации (по согласованию);</w:t>
            </w:r>
          </w:p>
          <w:p>
            <w:pPr>
              <w:pStyle w:val="0"/>
            </w:pPr>
            <w:r>
              <w:rPr>
                <w:sz w:val="20"/>
              </w:rPr>
              <w:t xml:space="preserve">директор Мединститута СурГУ, ректор Ханты-Мансийской медакадемии (по согласованию) главные врачи МО (по согласованию)</w:t>
            </w:r>
          </w:p>
        </w:tc>
        <w:tc>
          <w:tcPr>
            <w:tcW w:w="3799" w:type="dxa"/>
          </w:tcPr>
          <w:p>
            <w:pPr>
              <w:pStyle w:val="0"/>
            </w:pPr>
            <w:r>
              <w:rPr>
                <w:sz w:val="20"/>
              </w:rPr>
              <w:t xml:space="preserve">Врачи прошли первичную профессиональную переподготовку по специальности "Физическая и реабилитационная медицина" от числа запланированных в отчетном году:</w:t>
            </w:r>
          </w:p>
          <w:p>
            <w:pPr>
              <w:pStyle w:val="0"/>
            </w:pPr>
            <w:r>
              <w:rPr>
                <w:sz w:val="20"/>
              </w:rPr>
              <w:t xml:space="preserve">2022 году - не менее 55%;</w:t>
            </w:r>
          </w:p>
          <w:p>
            <w:pPr>
              <w:pStyle w:val="0"/>
            </w:pPr>
            <w:r>
              <w:rPr>
                <w:sz w:val="20"/>
              </w:rPr>
              <w:t xml:space="preserve">2023 году - не менее 65%;</w:t>
            </w:r>
          </w:p>
          <w:p>
            <w:pPr>
              <w:pStyle w:val="0"/>
            </w:pPr>
            <w:r>
              <w:rPr>
                <w:sz w:val="20"/>
              </w:rPr>
              <w:t xml:space="preserve">2024 году - не менее 70% Специалисты с высшим немедицинским образованием прошли профессиональную переподготовку по специальности "Специалист по физической реабилитации", "Медицинский логопед", "Медицинский психолог", "Специалист по эргореабилитации" в:</w:t>
            </w:r>
          </w:p>
          <w:p>
            <w:pPr>
              <w:pStyle w:val="0"/>
            </w:pPr>
            <w:r>
              <w:rPr>
                <w:sz w:val="20"/>
              </w:rPr>
              <w:t xml:space="preserve">2022 году - не менее 55% по каждой специальности);</w:t>
            </w:r>
          </w:p>
          <w:p>
            <w:pPr>
              <w:pStyle w:val="0"/>
            </w:pPr>
            <w:r>
              <w:rPr>
                <w:sz w:val="20"/>
              </w:rPr>
              <w:t xml:space="preserve">2023 году - не менее 65%;</w:t>
            </w:r>
          </w:p>
          <w:p>
            <w:pPr>
              <w:pStyle w:val="0"/>
            </w:pPr>
            <w:r>
              <w:rPr>
                <w:sz w:val="20"/>
              </w:rPr>
              <w:t xml:space="preserve">2024 году - не менее 70%</w:t>
            </w:r>
          </w:p>
        </w:tc>
        <w:tc>
          <w:tcPr>
            <w:tcW w:w="3874" w:type="dxa"/>
          </w:tcPr>
          <w:p>
            <w:pPr>
              <w:pStyle w:val="0"/>
            </w:pPr>
            <w:r>
              <w:rPr>
                <w:sz w:val="20"/>
              </w:rPr>
              <w:t xml:space="preserve">Обеспечена подготовка необходимого числа специалистов МДРК в регионе с учетом числа отделений медицинской реабилитации на каждом из 3 этапов к 01.09.2023</w:t>
            </w:r>
          </w:p>
        </w:tc>
      </w:tr>
      <w:tr>
        <w:tc>
          <w:tcPr>
            <w:tcW w:w="484" w:type="dxa"/>
          </w:tcPr>
          <w:p>
            <w:pPr>
              <w:pStyle w:val="0"/>
            </w:pPr>
            <w:r>
              <w:rPr>
                <w:sz w:val="20"/>
              </w:rPr>
              <w:t xml:space="preserve">64</w:t>
            </w:r>
          </w:p>
        </w:tc>
        <w:tc>
          <w:tcPr>
            <w:tcW w:w="3724" w:type="dxa"/>
          </w:tcPr>
          <w:p>
            <w:pPr>
              <w:pStyle w:val="0"/>
            </w:pPr>
            <w:r>
              <w:rPr>
                <w:sz w:val="20"/>
              </w:rPr>
              <w:t xml:space="preserve">Повышение компетенции врачей-специалистов субъекта Российской Федерации (кардиологов, врачей-терапевтов первичного звена, врачей общей практики неврологов, нейрохирургов, рентгенэндоваскулярных хирургов, специалистов мультидисциплинарных реабилитационных команд, и др.), задействованных в направлении пациентов на медицинскую реабилитацию и в осуществлении мероприятий медицинской реабилитации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Главные внештатные специалисты Депздрава Югры: кардиолог, невролог, терапевт, по медицинской реабилитации (по согласованию);</w:t>
            </w:r>
          </w:p>
          <w:p>
            <w:pPr>
              <w:pStyle w:val="0"/>
            </w:pPr>
            <w:r>
              <w:rPr>
                <w:sz w:val="20"/>
              </w:rPr>
              <w:t xml:space="preserve">главные врачи МО (по согласованию)</w:t>
            </w:r>
          </w:p>
        </w:tc>
        <w:tc>
          <w:tcPr>
            <w:tcW w:w="3799" w:type="dxa"/>
          </w:tcPr>
          <w:p>
            <w:pPr>
              <w:pStyle w:val="0"/>
            </w:pPr>
            <w:r>
              <w:rPr>
                <w:sz w:val="20"/>
              </w:rPr>
              <w:t xml:space="preserve">Доля специалистов, принимающих участие в проводимых профильными НМИЦ, Союзом реабилитологов России и профильными сообществами научно-практических мероприятиях из числа сотрудников, осуществляющих медицинскую реабилитацию, составила в:</w:t>
            </w:r>
          </w:p>
          <w:p>
            <w:pPr>
              <w:pStyle w:val="0"/>
            </w:pPr>
            <w:r>
              <w:rPr>
                <w:sz w:val="20"/>
              </w:rPr>
              <w:t xml:space="preserve">2022 году - не менее 20%;</w:t>
            </w:r>
          </w:p>
          <w:p>
            <w:pPr>
              <w:pStyle w:val="0"/>
            </w:pPr>
            <w:r>
              <w:rPr>
                <w:sz w:val="20"/>
              </w:rPr>
              <w:t xml:space="preserve">2023 году - не менее 35%;</w:t>
            </w:r>
          </w:p>
          <w:p>
            <w:pPr>
              <w:pStyle w:val="0"/>
            </w:pPr>
            <w:r>
              <w:rPr>
                <w:sz w:val="20"/>
              </w:rPr>
              <w:t xml:space="preserve">2024 году - не менее 65%</w:t>
            </w:r>
          </w:p>
        </w:tc>
        <w:tc>
          <w:tcPr>
            <w:tcW w:w="3874" w:type="dxa"/>
          </w:tcPr>
          <w:p>
            <w:pPr>
              <w:pStyle w:val="0"/>
            </w:pPr>
            <w:r>
              <w:rPr>
                <w:sz w:val="20"/>
              </w:rPr>
              <w:t xml:space="preserve">Специалисты, осуществляющие медицинскую реабилитацию, регулярно участвуют в научно-практических мероприятиях по медицинской реабилитации, проводимых профильными НМИЦ, Союзом реабилитологов России и профессиональными профильными сообществами</w:t>
            </w:r>
          </w:p>
        </w:tc>
      </w:tr>
      <w:tr>
        <w:tc>
          <w:tcPr>
            <w:gridSpan w:val="8"/>
            <w:tcW w:w="18737" w:type="dxa"/>
          </w:tcPr>
          <w:p>
            <w:pPr>
              <w:pStyle w:val="0"/>
              <w:outlineLvl w:val="2"/>
            </w:pPr>
            <w:r>
              <w:rPr>
                <w:sz w:val="20"/>
              </w:rPr>
              <w:t xml:space="preserve">10. Кадровое обеспечение системы оказания медицинской помощи больным сердечно-сосудистыми заболеваниями</w:t>
            </w:r>
          </w:p>
        </w:tc>
      </w:tr>
      <w:tr>
        <w:tc>
          <w:tcPr>
            <w:tcW w:w="484" w:type="dxa"/>
          </w:tcPr>
          <w:p>
            <w:pPr>
              <w:pStyle w:val="0"/>
            </w:pPr>
            <w:r>
              <w:rPr>
                <w:sz w:val="20"/>
              </w:rPr>
              <w:t xml:space="preserve">65</w:t>
            </w:r>
          </w:p>
        </w:tc>
        <w:tc>
          <w:tcPr>
            <w:tcW w:w="3724" w:type="dxa"/>
          </w:tcPr>
          <w:p>
            <w:pPr>
              <w:pStyle w:val="0"/>
            </w:pPr>
            <w:r>
              <w:rPr>
                <w:sz w:val="20"/>
              </w:rPr>
              <w:t xml:space="preserve">Ежегодное определение реальной потребности автономного округа в медицинских кадрах в разрезе каждой медицинской организации и каждой медицинской специальности с учетом специфики автономного округа с формированием контрольных цифр приема на целевое обучение в медицинские ВУЗы. Медицинские учреждения обеспечены высококвалифицированными кадрами, в соответствии с порядками оказания медицинской помощи.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Заместители директора Депздрава Югры;</w:t>
            </w:r>
          </w:p>
          <w:p>
            <w:pPr>
              <w:pStyle w:val="0"/>
            </w:pPr>
            <w:r>
              <w:rPr>
                <w:sz w:val="20"/>
              </w:rPr>
              <w:t xml:space="preserve">Главный внештатный специалист по терапии и общей врачебной практике Депздрава Югры (по согласованию), главный внештатный кардиолог Депздрава Югры (по согласованию), главный внештатный невролог Депздрава Югры (по согласованию);</w:t>
            </w:r>
          </w:p>
          <w:p>
            <w:pPr>
              <w:pStyle w:val="0"/>
            </w:pPr>
            <w:r>
              <w:rPr>
                <w:sz w:val="20"/>
              </w:rPr>
              <w:t xml:space="preserve">директор Департамента образования автономного округа</w:t>
            </w:r>
          </w:p>
        </w:tc>
        <w:tc>
          <w:tcPr>
            <w:tcW w:w="3799" w:type="dxa"/>
          </w:tcPr>
          <w:p>
            <w:pPr>
              <w:pStyle w:val="0"/>
            </w:pPr>
            <w:r>
              <w:rPr>
                <w:sz w:val="20"/>
              </w:rPr>
              <w:t xml:space="preserve">К 2024 году: обеспечена 100% укомплектованность профильными специалистами ПСО, РСЦ, в том числе анестезиологами-реаниматологами, врачами по рентгенэндоваскулярной диагностике и лечению, в соответствии с приказами Министерства здравоохранения Российской Федерации от 15 ноября 2012 года </w:t>
            </w:r>
            <w:hyperlink w:history="0" r:id="rId167" w:tooltip="Приказ Минздрава России от 15.11.2012 N 918н (ред. от 21.02.2020) &quot;Об утверждении порядка оказания медицинской помощи больным с сердечно-сосудистыми заболеваниями&quot; (Зарегистрировано в Минюсте России 29.12.2012 N 26483) {КонсультантПлюс}">
              <w:r>
                <w:rPr>
                  <w:sz w:val="20"/>
                  <w:color w:val="0000ff"/>
                </w:rPr>
                <w:t xml:space="preserve">N 918н</w:t>
              </w:r>
            </w:hyperlink>
            <w:r>
              <w:rPr>
                <w:sz w:val="20"/>
              </w:rPr>
              <w:t xml:space="preserve"> "Об утверждении порядка оказания медицинской помощи больным с сердечно-сосудистыми заболеваниями", от 15 ноября 2012 года </w:t>
            </w:r>
            <w:hyperlink w:history="0" r:id="rId168" w:tooltip="Приказ Минздрава России от 15.11.2012 N 928н (ред. от 21.02.2020) &quot;Об утверждении Порядка оказания медицинской помощи больным с острыми нарушениями мозгового кровообращения&quot; (Зарегистрировано в Минюсте России 27.02.2013 N 27353) {КонсультантПлюс}">
              <w:r>
                <w:rPr>
                  <w:sz w:val="20"/>
                  <w:color w:val="0000ff"/>
                </w:rPr>
                <w:t xml:space="preserve">N 928н</w:t>
              </w:r>
            </w:hyperlink>
            <w:r>
              <w:rPr>
                <w:sz w:val="20"/>
              </w:rPr>
              <w:t xml:space="preserve"> "Об утверждении Порядка оказания медицинской помощи больным с острыми нарушениями мозгового кровообращения"; планомерно повышена укомплектованность врачебных должностей физическими лицами в подразделениях, оказывающих медицинскую помощь больным с сердечно-сосудистыми заболеваниями в амбулаторных условиях (терапевты, кардиологи, врачи общей практики) до 90%; планомерно повышена укомплектованность должностей среднего медицинского персонала физическими лицами в подразделениях, оказывающих медицинскую помощь больным с сердечно-сосудистыми заболеваниями в амбулаторных условиях) до 90%</w:t>
            </w:r>
          </w:p>
        </w:tc>
        <w:tc>
          <w:tcPr>
            <w:tcW w:w="3874" w:type="dxa"/>
          </w:tcPr>
          <w:p>
            <w:pPr>
              <w:pStyle w:val="0"/>
            </w:pPr>
            <w:r>
              <w:rPr>
                <w:sz w:val="20"/>
              </w:rPr>
              <w:t xml:space="preserve">Ежегодно определяется потребность автономного округа в медицинских кадрах в разрезе профилей (врачи-кардиологи, неврологи, терапевта, врачи общей врачебной практики, анестезиологи-реаниматологи, физиотерапевты, инструкторы ЛФК и др.) и каждой медицинской организации. На основании потребности формируются контрольные цифры приема на целевое обучение в медицинские вузы субъекта.</w:t>
            </w:r>
          </w:p>
          <w:p>
            <w:pPr>
              <w:pStyle w:val="0"/>
            </w:pPr>
            <w:r>
              <w:rPr>
                <w:sz w:val="20"/>
              </w:rPr>
              <w:t xml:space="preserve">Медицинские учреждения автономного округа обеспечены высококвалифицированными кадрами при рациональном использовании финансовых средств. Реализуется система мер социальной поддержки медицинских работников, участвующих в оказании медицинской помощи больным с сердечно-сосудистыми заболеваниями в автономном округе</w:t>
            </w:r>
          </w:p>
        </w:tc>
      </w:tr>
      <w:tr>
        <w:tc>
          <w:tcPr>
            <w:tcW w:w="484" w:type="dxa"/>
          </w:tcPr>
          <w:p>
            <w:pPr>
              <w:pStyle w:val="0"/>
            </w:pPr>
            <w:r>
              <w:rPr>
                <w:sz w:val="20"/>
              </w:rPr>
              <w:t xml:space="preserve">66</w:t>
            </w:r>
          </w:p>
        </w:tc>
        <w:tc>
          <w:tcPr>
            <w:tcW w:w="3724" w:type="dxa"/>
          </w:tcPr>
          <w:p>
            <w:pPr>
              <w:pStyle w:val="0"/>
            </w:pPr>
            <w:r>
              <w:rPr>
                <w:sz w:val="20"/>
              </w:rPr>
              <w:t xml:space="preserve">Разработка системы мер по привлечению и удержанию медицинских работников.</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Заместители директора Депздрава Югры; главные внештатные специалисты Депздрава Югры:</w:t>
            </w:r>
          </w:p>
          <w:p>
            <w:pPr>
              <w:pStyle w:val="0"/>
            </w:pPr>
            <w:r>
              <w:rPr>
                <w:sz w:val="20"/>
              </w:rPr>
              <w:t xml:space="preserve">по кардиологии, неврологии, терапии, сердечно-сосудистой хирургии (по согласованию);</w:t>
            </w:r>
          </w:p>
          <w:p>
            <w:pPr>
              <w:pStyle w:val="0"/>
            </w:pPr>
            <w:r>
              <w:rPr>
                <w:sz w:val="20"/>
              </w:rPr>
              <w:t xml:space="preserve">главные врачи МО автономного округа (по согласованию)</w:t>
            </w:r>
          </w:p>
        </w:tc>
        <w:tc>
          <w:tcPr>
            <w:tcW w:w="3799" w:type="dxa"/>
          </w:tcPr>
          <w:p>
            <w:pPr>
              <w:pStyle w:val="0"/>
            </w:pPr>
            <w:r>
              <w:rPr>
                <w:sz w:val="20"/>
              </w:rPr>
              <w:t xml:space="preserve">1. В результате планомерной работы по привлечению и удержанию медицинских работников ликвидирован кадровый дефицит в медорганизациях автономного округа, оказывающих медицинскую помощь больным с сердечно-сосудистыми заболеваниями.</w:t>
            </w:r>
          </w:p>
          <w:p>
            <w:pPr>
              <w:pStyle w:val="0"/>
            </w:pPr>
            <w:r>
              <w:rPr>
                <w:sz w:val="20"/>
              </w:rPr>
              <w:t xml:space="preserve">2. Главные врачи медорганизаций несут персональную ответственность за полноту и своевременность исполнения мер по повышению заработной платы медицинских работников</w:t>
            </w:r>
          </w:p>
        </w:tc>
        <w:tc>
          <w:tcPr>
            <w:tcW w:w="3874" w:type="dxa"/>
          </w:tcPr>
          <w:p>
            <w:pPr>
              <w:pStyle w:val="0"/>
            </w:pPr>
            <w:r>
              <w:rPr>
                <w:sz w:val="20"/>
              </w:rPr>
              <w:t xml:space="preserve">Разработана система мер по привлечению и удержанию медицинских сотрудников в ходе реализации регионального проекта "Медицинские кадры". Согласно утвержденному плану исполняются мероприятия по повышению заработной платы медицинских сотрудников</w:t>
            </w:r>
          </w:p>
        </w:tc>
      </w:tr>
      <w:tr>
        <w:tc>
          <w:tcPr>
            <w:tcW w:w="484" w:type="dxa"/>
          </w:tcPr>
          <w:p>
            <w:pPr>
              <w:pStyle w:val="0"/>
            </w:pPr>
            <w:r>
              <w:rPr>
                <w:sz w:val="20"/>
              </w:rPr>
              <w:t xml:space="preserve">67</w:t>
            </w:r>
          </w:p>
        </w:tc>
        <w:tc>
          <w:tcPr>
            <w:tcW w:w="3724" w:type="dxa"/>
          </w:tcPr>
          <w:p>
            <w:pPr>
              <w:pStyle w:val="0"/>
            </w:pPr>
            <w:r>
              <w:rPr>
                <w:sz w:val="20"/>
              </w:rPr>
              <w:t xml:space="preserve">Участие медицинских работников в ежегодных конкурсах профессионального мастерства</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Департамента Депздрава Югры, начальник управления организации медицинской помощи Депздрава Югры</w:t>
            </w:r>
          </w:p>
        </w:tc>
        <w:tc>
          <w:tcPr>
            <w:tcW w:w="3799" w:type="dxa"/>
          </w:tcPr>
          <w:p>
            <w:pPr>
              <w:pStyle w:val="0"/>
            </w:pPr>
            <w:r>
              <w:rPr>
                <w:sz w:val="20"/>
              </w:rPr>
              <w:t xml:space="preserve">Ежегодно врачи и средний медицинский персонал, занявшие призовые места в ежегодных конкурсах профессионального мастерства в регионе, получают денежные премии, а победители направляются для участия во всероссийских конкурсах</w:t>
            </w:r>
          </w:p>
        </w:tc>
        <w:tc>
          <w:tcPr>
            <w:tcW w:w="3874" w:type="dxa"/>
          </w:tcPr>
          <w:p>
            <w:pPr>
              <w:pStyle w:val="0"/>
            </w:pPr>
            <w:r>
              <w:rPr>
                <w:sz w:val="20"/>
              </w:rPr>
              <w:t xml:space="preserve">Поощрение сотрудников, занявших призовые места в ежегодных конкурсах профессионального мастерства, от Депздрава Югры</w:t>
            </w:r>
          </w:p>
        </w:tc>
      </w:tr>
      <w:tr>
        <w:tc>
          <w:tcPr>
            <w:tcW w:w="484" w:type="dxa"/>
          </w:tcPr>
          <w:p>
            <w:pPr>
              <w:pStyle w:val="0"/>
            </w:pPr>
            <w:r>
              <w:rPr>
                <w:sz w:val="20"/>
              </w:rPr>
              <w:t xml:space="preserve">68</w:t>
            </w:r>
          </w:p>
        </w:tc>
        <w:tc>
          <w:tcPr>
            <w:tcW w:w="3724" w:type="dxa"/>
          </w:tcPr>
          <w:p>
            <w:pPr>
              <w:pStyle w:val="0"/>
            </w:pPr>
            <w:r>
              <w:rPr>
                <w:sz w:val="20"/>
              </w:rPr>
              <w:t xml:space="preserve">Организация совместных с профильными национальными медицинскими исследовательскими центрами и профильными высшими учебными заведениями автономного округа программ мероприятий, направленных на повышение квалификации специалистов, участвующих в оказании медицинской помощи пациентам с сердечно-сосудистыми заболеваниями</w:t>
            </w:r>
          </w:p>
        </w:tc>
        <w:tc>
          <w:tcPr>
            <w:tcW w:w="1309" w:type="dxa"/>
          </w:tcPr>
          <w:p>
            <w:pPr>
              <w:pStyle w:val="0"/>
            </w:pPr>
            <w:r>
              <w:rPr>
                <w:sz w:val="20"/>
              </w:rPr>
              <w:t xml:space="preserve">01.06.2023</w:t>
            </w:r>
          </w:p>
        </w:tc>
        <w:tc>
          <w:tcPr>
            <w:tcW w:w="1309" w:type="dxa"/>
          </w:tcPr>
          <w:p>
            <w:pPr>
              <w:pStyle w:val="0"/>
            </w:pPr>
            <w:r>
              <w:rPr>
                <w:sz w:val="20"/>
              </w:rPr>
              <w:t xml:space="preserve">31.07.2024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Заместители директора Депздрава Югры, начальник управления организации медицинской помощи Депздрава Югры;</w:t>
            </w:r>
          </w:p>
          <w:p>
            <w:pPr>
              <w:pStyle w:val="0"/>
            </w:pPr>
            <w:r>
              <w:rPr>
                <w:sz w:val="20"/>
              </w:rPr>
              <w:t xml:space="preserve">главные внештатные специалисты Депздрава Югры по терапии и общей врачебной практике, кардиолог, невролог (по согласованию);</w:t>
            </w:r>
          </w:p>
          <w:p>
            <w:pPr>
              <w:pStyle w:val="0"/>
            </w:pPr>
            <w:r>
              <w:rPr>
                <w:sz w:val="20"/>
              </w:rPr>
              <w:t xml:space="preserve">Директор медицинского института СурГУ, ректор Ханты-Мансийской медакадемии (по согласованию)</w:t>
            </w:r>
          </w:p>
        </w:tc>
        <w:tc>
          <w:tcPr>
            <w:tcW w:w="3799" w:type="dxa"/>
          </w:tcPr>
          <w:p>
            <w:pPr>
              <w:pStyle w:val="0"/>
            </w:pPr>
            <w:r>
              <w:rPr>
                <w:sz w:val="20"/>
              </w:rPr>
              <w:t xml:space="preserve">1. Не менее 90% врачей-специалистов, участвующих в оказании помощи пациентам с ССЗ, вовлечены в систему непрерывного медицинского образования с тестированием полученных знаний.</w:t>
            </w:r>
          </w:p>
          <w:p>
            <w:pPr>
              <w:pStyle w:val="0"/>
            </w:pPr>
            <w:r>
              <w:rPr>
                <w:sz w:val="20"/>
              </w:rPr>
              <w:t xml:space="preserve">2. Регулярно согласно плану проводятся мастер-классы, стажировки на рабочем месте, программы повышения квалификации, семинары с использованием дистанционных технологий для специалистов всех медицинских организаций всех уровней оказания медицинской помощи</w:t>
            </w:r>
          </w:p>
        </w:tc>
        <w:tc>
          <w:tcPr>
            <w:tcW w:w="3874" w:type="dxa"/>
          </w:tcPr>
          <w:p>
            <w:pPr>
              <w:pStyle w:val="0"/>
            </w:pPr>
            <w:r>
              <w:rPr>
                <w:sz w:val="20"/>
              </w:rPr>
              <w:t xml:space="preserve">Внедрена процедура аккредитации специалистов. Организован регулярный контроль за объемом и качеством непрерывного медицинского образования (в том числе путем тестирования) не менее 90% врачей специалистов, участвующих в оказании помощи пациентам с ССЗ. Совместно с профильными НМИЦ на регулярной основе проводятся мастер-классы, показательные операции, стажировки на рабочем месте, программы повышения квалификации, семинары с использованием дистанционных технологий. В медицинских организациях 3 уровня для специалистов, работающих в медицинских организациях 2 и 1 уровней, проводятся стажировки на рабочем месте, программы повышения квалификации, семинары с использованием дистанционных технологий</w:t>
            </w:r>
          </w:p>
        </w:tc>
      </w:tr>
      <w:tr>
        <w:tc>
          <w:tcPr>
            <w:tcW w:w="484" w:type="dxa"/>
          </w:tcPr>
          <w:p>
            <w:pPr>
              <w:pStyle w:val="0"/>
            </w:pPr>
            <w:r>
              <w:rPr>
                <w:sz w:val="20"/>
              </w:rPr>
              <w:t xml:space="preserve">69</w:t>
            </w:r>
          </w:p>
        </w:tc>
        <w:tc>
          <w:tcPr>
            <w:tcW w:w="3724" w:type="dxa"/>
          </w:tcPr>
          <w:p>
            <w:pPr>
              <w:pStyle w:val="0"/>
            </w:pPr>
            <w:r>
              <w:rPr>
                <w:sz w:val="20"/>
              </w:rPr>
              <w:t xml:space="preserve">Проведение совместно с профильными национальными медицинскими исследовательскими центрами образовательных семинаров с привлечением специалистов медицинских организаций автономного округа</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w:t>
            </w:r>
          </w:p>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невролог Депздрава Югры (по согласованию), главный внештатный специалист по терапии и общей врачебной практике Депздрава Югры (по согласованию)</w:t>
            </w:r>
          </w:p>
        </w:tc>
        <w:tc>
          <w:tcPr>
            <w:tcW w:w="3799" w:type="dxa"/>
          </w:tcPr>
          <w:p>
            <w:pPr>
              <w:pStyle w:val="0"/>
            </w:pPr>
            <w:r>
              <w:rPr>
                <w:sz w:val="20"/>
              </w:rPr>
              <w:t xml:space="preserve">Количество проведенных семинаров в очном режиме - не менее 2 в год, количество участников каждого семинара - не менее 50 человек. Каждый врач автономного округа принимает участие не менее чем в 2 семинарах в месяц в дистанционной форме</w:t>
            </w:r>
          </w:p>
        </w:tc>
        <w:tc>
          <w:tcPr>
            <w:tcW w:w="3874" w:type="dxa"/>
          </w:tcPr>
          <w:p>
            <w:pPr>
              <w:pStyle w:val="0"/>
            </w:pPr>
            <w:r>
              <w:rPr>
                <w:sz w:val="20"/>
              </w:rPr>
              <w:t xml:space="preserve">Проведено не менее 2 семинаров в год в очном режиме с числом участников каждого семинара не менее 50 человек.</w:t>
            </w:r>
          </w:p>
          <w:p>
            <w:pPr>
              <w:pStyle w:val="0"/>
            </w:pPr>
            <w:r>
              <w:rPr>
                <w:sz w:val="20"/>
              </w:rPr>
              <w:t xml:space="preserve">Семинары и вебинары в дистанционном режиме проводятся ежедневно с участием ведущих специалистов НМИЦ. Каждый врач автономного округа принимает участие не менее чем в 2 семинарах в месяц</w:t>
            </w:r>
          </w:p>
        </w:tc>
      </w:tr>
      <w:tr>
        <w:tc>
          <w:tcPr>
            <w:gridSpan w:val="8"/>
            <w:tcW w:w="18737" w:type="dxa"/>
          </w:tcPr>
          <w:p>
            <w:pPr>
              <w:pStyle w:val="0"/>
              <w:outlineLvl w:val="2"/>
            </w:pPr>
            <w:r>
              <w:rPr>
                <w:sz w:val="20"/>
              </w:rPr>
              <w:t xml:space="preserve">11. Организационно-методическое обеспечение качества оказания медицинской помощи</w:t>
            </w:r>
          </w:p>
        </w:tc>
      </w:tr>
      <w:tr>
        <w:tc>
          <w:tcPr>
            <w:tcW w:w="484" w:type="dxa"/>
          </w:tcPr>
          <w:p>
            <w:pPr>
              <w:pStyle w:val="0"/>
            </w:pPr>
            <w:r>
              <w:rPr>
                <w:sz w:val="20"/>
              </w:rPr>
              <w:t xml:space="preserve">70</w:t>
            </w:r>
          </w:p>
        </w:tc>
        <w:tc>
          <w:tcPr>
            <w:tcW w:w="3724" w:type="dxa"/>
          </w:tcPr>
          <w:p>
            <w:pPr>
              <w:pStyle w:val="0"/>
            </w:pPr>
            <w:r>
              <w:rPr>
                <w:sz w:val="20"/>
              </w:rPr>
              <w:t xml:space="preserve">Обеспечение доступности телемедицинских и цифровых технологий с целью создания единого цифрового контура, внедрения системы контроля качества медицинской помощи пациентам с ССЗ на основе критериев качества медицинской помощи и клинических рекомендаций.</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Главные внештатные специалисты Депздрава Югры по кардиологии, неврологии, терапии (по согласованию);</w:t>
            </w:r>
          </w:p>
          <w:p>
            <w:pPr>
              <w:pStyle w:val="0"/>
            </w:pPr>
            <w:r>
              <w:rPr>
                <w:sz w:val="20"/>
              </w:rPr>
              <w:t xml:space="preserve">Директор БУ "МИАЦ" (по согласованию)</w:t>
            </w:r>
          </w:p>
        </w:tc>
        <w:tc>
          <w:tcPr>
            <w:tcW w:w="3799" w:type="dxa"/>
          </w:tcPr>
          <w:p>
            <w:pPr>
              <w:pStyle w:val="0"/>
            </w:pPr>
            <w:r>
              <w:rPr>
                <w:sz w:val="20"/>
              </w:rPr>
              <w:t xml:space="preserve">Во всех медорганизациях автономного округа обеспечена доступность информационных технологий, позволяющих на основе интеграции баз данных проводить эпидемиологический мониторинг, осуществлять планирование и управление потоками пациентов, обмен медицинскими данными региональных архивов и PACS-архива между медорганизациями. Внедрена вертикально-интегрированная медицинская информационная система</w:t>
            </w:r>
          </w:p>
        </w:tc>
        <w:tc>
          <w:tcPr>
            <w:tcW w:w="3874" w:type="dxa"/>
          </w:tcPr>
          <w:p>
            <w:pPr>
              <w:pStyle w:val="0"/>
            </w:pPr>
            <w:r>
              <w:rPr>
                <w:sz w:val="20"/>
              </w:rPr>
              <w:t xml:space="preserve">Создан и функционирует единый цифровой контур, позволяющий осуществлять:</w:t>
            </w:r>
          </w:p>
          <w:p>
            <w:pPr>
              <w:pStyle w:val="0"/>
            </w:pPr>
            <w:r>
              <w:rPr>
                <w:sz w:val="20"/>
              </w:rPr>
              <w:t xml:space="preserve">эпидемиологический мониторинг, планирование и управление потоками пациентов, быструю и безопасную передачу медицинских данных региональных архивов и PACS-архива, в том числе для проведения телемедицинских консультаций, оценку качества медицинской помощи пациентам с ССЗ на основе критериев качества медицинской помощи и клинических рекомендаций. Внедрена вертикально-интегрированная медицинская информационная система "ССЗ"</w:t>
            </w:r>
          </w:p>
        </w:tc>
      </w:tr>
      <w:tr>
        <w:tc>
          <w:tcPr>
            <w:tcW w:w="484" w:type="dxa"/>
          </w:tcPr>
          <w:p>
            <w:pPr>
              <w:pStyle w:val="0"/>
            </w:pPr>
            <w:r>
              <w:rPr>
                <w:sz w:val="20"/>
              </w:rPr>
              <w:t xml:space="preserve">71</w:t>
            </w:r>
          </w:p>
        </w:tc>
        <w:tc>
          <w:tcPr>
            <w:tcW w:w="3724" w:type="dxa"/>
          </w:tcPr>
          <w:p>
            <w:pPr>
              <w:pStyle w:val="0"/>
            </w:pPr>
            <w:r>
              <w:rPr>
                <w:sz w:val="20"/>
              </w:rPr>
              <w:t xml:space="preserve">Автоматизация деятельности медорганизаций, оказывающих медицинскую помощь больным с сердечно-сосудистыми заболеваниями: интеграция в МИС модуля поддержки принятия врачебных решений, основанного на клинических рекомендациях.</w:t>
            </w:r>
          </w:p>
        </w:tc>
        <w:tc>
          <w:tcPr>
            <w:tcW w:w="1309" w:type="dxa"/>
          </w:tcPr>
          <w:p>
            <w:pPr>
              <w:pStyle w:val="0"/>
            </w:pPr>
            <w:r>
              <w:rPr>
                <w:sz w:val="20"/>
              </w:rPr>
              <w:t xml:space="preserve">01.07.2023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Главный внештатный специалист по кардиологии Депздрава Югры; Директор БУ "МИАЦ"</w:t>
            </w:r>
          </w:p>
        </w:tc>
        <w:tc>
          <w:tcPr>
            <w:tcW w:w="3799" w:type="dxa"/>
          </w:tcPr>
          <w:p>
            <w:pPr>
              <w:pStyle w:val="0"/>
            </w:pPr>
            <w:r>
              <w:rPr>
                <w:sz w:val="20"/>
              </w:rPr>
              <w:t xml:space="preserve">Во всех медорганизациях автономного округа внедрена система поддержки врачебных решений</w:t>
            </w:r>
          </w:p>
        </w:tc>
        <w:tc>
          <w:tcPr>
            <w:tcW w:w="3874" w:type="dxa"/>
          </w:tcPr>
          <w:p>
            <w:pPr>
              <w:pStyle w:val="0"/>
            </w:pPr>
            <w:r>
              <w:rPr>
                <w:sz w:val="20"/>
              </w:rPr>
              <w:t xml:space="preserve">Осуществлена интеграция в МИС медорганизаций системы поддержки врачебных решений, созданной на основе клинических рекомендаций</w:t>
            </w:r>
          </w:p>
        </w:tc>
      </w:tr>
      <w:tr>
        <w:tblPrEx>
          <w:tblBorders>
            <w:insideH w:val="nil"/>
          </w:tblBorders>
        </w:tblPrEx>
        <w:tc>
          <w:tcPr>
            <w:gridSpan w:val="8"/>
            <w:tcW w:w="18737" w:type="dxa"/>
            <w:tcBorders>
              <w:bottom w:val="nil"/>
            </w:tcBorders>
          </w:tcPr>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484" w:type="dxa"/>
            <w:tcBorders>
              <w:top w:val="nil"/>
            </w:tcBorders>
          </w:tcPr>
          <w:p>
            <w:pPr>
              <w:pStyle w:val="0"/>
            </w:pPr>
            <w:r>
              <w:rPr>
                <w:sz w:val="20"/>
              </w:rPr>
              <w:t xml:space="preserve">721</w:t>
            </w:r>
          </w:p>
        </w:tc>
        <w:tc>
          <w:tcPr>
            <w:tcW w:w="3724" w:type="dxa"/>
            <w:tcBorders>
              <w:top w:val="nil"/>
            </w:tcBorders>
          </w:tcPr>
          <w:p>
            <w:pPr>
              <w:pStyle w:val="0"/>
            </w:pPr>
            <w:r>
              <w:rPr>
                <w:sz w:val="20"/>
              </w:rPr>
              <w:t xml:space="preserve">Проведение выездного аудита медицинских организаций с высокими показателями смертности и летальности от БСК, с целью разработки мероприятий по повышению качества оказания медицинской помощи.</w:t>
            </w:r>
          </w:p>
        </w:tc>
        <w:tc>
          <w:tcPr>
            <w:tcW w:w="1309" w:type="dxa"/>
            <w:tcBorders>
              <w:top w:val="nil"/>
            </w:tcBorders>
          </w:tcPr>
          <w:p>
            <w:pPr>
              <w:pStyle w:val="0"/>
            </w:pPr>
            <w:r>
              <w:rPr>
                <w:sz w:val="20"/>
              </w:rPr>
              <w:t xml:space="preserve">01.07.2023</w:t>
            </w:r>
          </w:p>
        </w:tc>
        <w:tc>
          <w:tcPr>
            <w:tcW w:w="1309" w:type="dxa"/>
            <w:tcBorders>
              <w:top w:val="nil"/>
            </w:tcBorders>
          </w:tcPr>
          <w:p>
            <w:pPr>
              <w:pStyle w:val="0"/>
            </w:pPr>
            <w:r>
              <w:rPr>
                <w:sz w:val="20"/>
              </w:rPr>
              <w:t xml:space="preserve">31.12.2024</w:t>
            </w:r>
          </w:p>
        </w:tc>
        <w:tc>
          <w:tcPr>
            <w:tcW w:w="1894" w:type="dxa"/>
            <w:tcBorders>
              <w:top w:val="nil"/>
            </w:tcBorders>
          </w:tcPr>
          <w:p>
            <w:pPr>
              <w:pStyle w:val="0"/>
            </w:pPr>
            <w:r>
              <w:rPr>
                <w:sz w:val="20"/>
              </w:rPr>
              <w:t xml:space="preserve">Регулярное (ежегодное)</w:t>
            </w:r>
          </w:p>
        </w:tc>
        <w:tc>
          <w:tcPr>
            <w:tcW w:w="2344" w:type="dxa"/>
            <w:tcBorders>
              <w:top w:val="nil"/>
            </w:tcBorders>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специалист по кардиологии Депздрава Югры (по согласованию), главный внештатный специалист по неврологии Депздрава Югры (по согласованию), главный внештатный специалист по терапии Депздрава Югры (по согласованию)</w:t>
            </w:r>
          </w:p>
        </w:tc>
        <w:tc>
          <w:tcPr>
            <w:tcW w:w="3799" w:type="dxa"/>
            <w:tcBorders>
              <w:top w:val="nil"/>
            </w:tcBorders>
          </w:tcPr>
          <w:p>
            <w:pPr>
              <w:pStyle w:val="0"/>
            </w:pPr>
            <w:r>
              <w:rPr>
                <w:sz w:val="20"/>
              </w:rPr>
              <w:t xml:space="preserve">В медорганизациях автономного округа разработаны меры по достижению индивидуальных целевых показателей региональной программы "Борьба с сердечно-сосудистыми заболеваниями"</w:t>
            </w:r>
          </w:p>
        </w:tc>
        <w:tc>
          <w:tcPr>
            <w:tcW w:w="3874" w:type="dxa"/>
            <w:tcBorders>
              <w:top w:val="nil"/>
            </w:tcBorders>
          </w:tcPr>
          <w:p>
            <w:pPr>
              <w:pStyle w:val="0"/>
            </w:pPr>
            <w:r>
              <w:rPr>
                <w:sz w:val="20"/>
              </w:rPr>
              <w:t xml:space="preserve">Осуществляются регулярные выезды главных специалистов Депздрава Югры в медорганизации для проведения проверок качества и безопасности оказания медицинской помощи, разработки мер по совершенствованию оказания помощи и достижению целевых показателей</w:t>
            </w:r>
          </w:p>
        </w:tc>
      </w:tr>
      <w:tr>
        <w:tc>
          <w:tcPr>
            <w:gridSpan w:val="8"/>
            <w:tcW w:w="18737" w:type="dxa"/>
          </w:tcPr>
          <w:p>
            <w:pPr>
              <w:pStyle w:val="0"/>
              <w:outlineLvl w:val="2"/>
            </w:pPr>
            <w:r>
              <w:rPr>
                <w:sz w:val="20"/>
              </w:rPr>
              <w:t xml:space="preserve">12. Другие мероприятия</w:t>
            </w:r>
          </w:p>
        </w:tc>
      </w:tr>
      <w:tr>
        <w:tc>
          <w:tcPr>
            <w:tcW w:w="484" w:type="dxa"/>
          </w:tcPr>
          <w:p>
            <w:pPr>
              <w:pStyle w:val="0"/>
            </w:pPr>
            <w:r>
              <w:rPr>
                <w:sz w:val="20"/>
              </w:rPr>
              <w:t xml:space="preserve">73</w:t>
            </w:r>
          </w:p>
        </w:tc>
        <w:tc>
          <w:tcPr>
            <w:tcW w:w="3724" w:type="dxa"/>
          </w:tcPr>
          <w:p>
            <w:pPr>
              <w:pStyle w:val="0"/>
            </w:pPr>
            <w:r>
              <w:rPr>
                <w:sz w:val="20"/>
              </w:rPr>
              <w:t xml:space="preserve">Организация и обеспечение функционирования телемедицинского центра консультаций с целью повышения эффективности оказания медицинской помощи пациентам с ССЗ и улучшения результатов их лечения.</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невролог Депздрава Югры (по согласованию), главные внештатные специалисты Депздрава Югры (по согласованию);</w:t>
            </w:r>
          </w:p>
          <w:p>
            <w:pPr>
              <w:pStyle w:val="0"/>
            </w:pPr>
            <w:r>
              <w:rPr>
                <w:sz w:val="20"/>
              </w:rPr>
              <w:t xml:space="preserve">директор БУ "МИАЦ" (по согласованию)</w:t>
            </w:r>
          </w:p>
        </w:tc>
        <w:tc>
          <w:tcPr>
            <w:tcW w:w="3799" w:type="dxa"/>
          </w:tcPr>
          <w:p>
            <w:pPr>
              <w:pStyle w:val="0"/>
            </w:pPr>
            <w:r>
              <w:rPr>
                <w:sz w:val="20"/>
              </w:rPr>
              <w:t xml:space="preserve">Внедрена вертикально-интегрированная медицинская информационная система "ССЗ";</w:t>
            </w:r>
          </w:p>
          <w:p>
            <w:pPr>
              <w:pStyle w:val="0"/>
            </w:pPr>
            <w:r>
              <w:rPr>
                <w:sz w:val="20"/>
              </w:rPr>
              <w:t xml:space="preserve">обеспечено функционирование телемедицинского центра консультаций;</w:t>
            </w:r>
          </w:p>
          <w:p>
            <w:pPr>
              <w:pStyle w:val="0"/>
            </w:pPr>
            <w:r>
              <w:rPr>
                <w:sz w:val="20"/>
              </w:rPr>
              <w:t xml:space="preserve">телемедицинские консультации пациентов с ССЗ в профильных НМИЦ и в учреждениях 3 уровня проводятся регулярно (ежедневно), результаты оформляются в виде протоколов и вносятся в медицинские карты пациентов</w:t>
            </w:r>
          </w:p>
        </w:tc>
        <w:tc>
          <w:tcPr>
            <w:tcW w:w="3874" w:type="dxa"/>
          </w:tcPr>
          <w:p>
            <w:pPr>
              <w:pStyle w:val="0"/>
            </w:pPr>
            <w:r>
              <w:rPr>
                <w:sz w:val="20"/>
              </w:rPr>
              <w:t xml:space="preserve">Критерий исполнения мероприятия:</w:t>
            </w:r>
          </w:p>
          <w:p>
            <w:pPr>
              <w:pStyle w:val="0"/>
            </w:pPr>
            <w:r>
              <w:rPr>
                <w:sz w:val="20"/>
              </w:rPr>
              <w:t xml:space="preserve">внедрена вертикально-интегрированная медицинская информационная система "ССЗ";</w:t>
            </w:r>
          </w:p>
          <w:p>
            <w:pPr>
              <w:pStyle w:val="0"/>
            </w:pPr>
            <w:r>
              <w:rPr>
                <w:sz w:val="20"/>
              </w:rPr>
              <w:t xml:space="preserve">обеспечено функционирование телемедицинского центра консультаций;</w:t>
            </w:r>
          </w:p>
          <w:p>
            <w:pPr>
              <w:pStyle w:val="0"/>
            </w:pPr>
            <w:r>
              <w:rPr>
                <w:sz w:val="20"/>
              </w:rPr>
              <w:t xml:space="preserve">телемедицинские консультации пациентов с ССЗ в профильных НМИЦ и в учреждениях 3 уровня проводятся регулярно (ежедневно), результаты оформляются в виде протоколов и вносятся в медицинские карты пациентов.</w:t>
            </w:r>
          </w:p>
          <w:p>
            <w:pPr>
              <w:pStyle w:val="0"/>
            </w:pPr>
            <w:r>
              <w:rPr>
                <w:sz w:val="20"/>
              </w:rPr>
              <w:t xml:space="preserve">Характеристика результата:</w:t>
            </w:r>
          </w:p>
          <w:p>
            <w:pPr>
              <w:pStyle w:val="0"/>
            </w:pPr>
            <w:r>
              <w:rPr>
                <w:sz w:val="20"/>
              </w:rPr>
              <w:t xml:space="preserve">организованы и оборудованы телемедицинские центры на базе БУ "Окружной кардиологический диспансер "Центр диагностики и сердечно-сосудистой хирургии" и БУ "Окружная клиническая больница".</w:t>
            </w:r>
          </w:p>
          <w:p>
            <w:pPr>
              <w:pStyle w:val="0"/>
            </w:pPr>
            <w:r>
              <w:rPr>
                <w:sz w:val="20"/>
              </w:rPr>
              <w:t xml:space="preserve">Не реже 2 раз в месяц проводятся научно-практические мероприятия (школы, конференции, разборы клинических случаев, показательные операции, виртуальные обходы) с участием медицинских организаций автономного округа в режиме видео-конференц-связи. На регулярной основе (по потребности) проводятся телемедицинские консультации больных, находящихся на лечении в учреждениях 3 уровня, с профильными НМИЦ, консультации больных, находящихся на лечении в кардиологических, неврологических и терапевтических отделениях медицинских организаций 1 и 2 уровней, с медицинскими организациями 3 уровня;</w:t>
            </w:r>
          </w:p>
          <w:p>
            <w:pPr>
              <w:pStyle w:val="0"/>
            </w:pPr>
            <w:r>
              <w:rPr>
                <w:sz w:val="20"/>
              </w:rPr>
              <w:t xml:space="preserve">организационно-методическая работа РСЦ с ПСО:</w:t>
            </w:r>
          </w:p>
          <w:p>
            <w:pPr>
              <w:pStyle w:val="0"/>
            </w:pPr>
            <w:r>
              <w:rPr>
                <w:sz w:val="20"/>
              </w:rPr>
              <w:t xml:space="preserve">еженедельно проводятся совещания в режиме видео-конференц-связи с приписными территориями (регулярный контроль количества ОКС и ОНМК, госпитализации в ПСО и РСЦ, соблюдение сроков консультаций с РСЦ, охват инвазивным лечением). Ежеквартально проводятся совещания в режиме видео-конференц-связи с приписными территориями по разбору смертности и летальности от БСК с медицинскими организациями приписной территории</w:t>
            </w:r>
          </w:p>
        </w:tc>
      </w:tr>
      <w:tr>
        <w:tc>
          <w:tcPr>
            <w:tcW w:w="484" w:type="dxa"/>
          </w:tcPr>
          <w:p>
            <w:pPr>
              <w:pStyle w:val="0"/>
            </w:pPr>
            <w:r>
              <w:rPr>
                <w:sz w:val="20"/>
              </w:rPr>
              <w:t xml:space="preserve">74</w:t>
            </w:r>
          </w:p>
        </w:tc>
        <w:tc>
          <w:tcPr>
            <w:tcW w:w="3724" w:type="dxa"/>
          </w:tcPr>
          <w:p>
            <w:pPr>
              <w:pStyle w:val="0"/>
            </w:pPr>
            <w:r>
              <w:rPr>
                <w:sz w:val="20"/>
              </w:rPr>
              <w:t xml:space="preserve">Совместно с профильными национальными медицинскими исследовательскими центрами разработаны и реализованы планы проведения консультаций/консилиумов пациентов с ССЗ, в том числе с применением телемедицинских технологий</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(ежеквартальное)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невролог Депздрава Югры (по согласованию);</w:t>
            </w:r>
          </w:p>
          <w:p>
            <w:pPr>
              <w:pStyle w:val="0"/>
            </w:pPr>
            <w:r>
              <w:rPr>
                <w:sz w:val="20"/>
              </w:rPr>
              <w:t xml:space="preserve">директор БУ "МИАЦ" (по согласованию)</w:t>
            </w:r>
          </w:p>
        </w:tc>
        <w:tc>
          <w:tcPr>
            <w:tcW w:w="3799" w:type="dxa"/>
          </w:tcPr>
          <w:p>
            <w:pPr>
              <w:pStyle w:val="0"/>
            </w:pPr>
            <w:r>
              <w:rPr>
                <w:sz w:val="20"/>
              </w:rPr>
              <w:t xml:space="preserve">Совместно с профильными НМИЦ ежегодно утверждаются планы и протоколы проведения совместных консультаций, консилиумов, виртуальных обходов, операций, мастер-классов</w:t>
            </w:r>
          </w:p>
        </w:tc>
        <w:tc>
          <w:tcPr>
            <w:tcW w:w="3874" w:type="dxa"/>
          </w:tcPr>
          <w:p>
            <w:pPr>
              <w:pStyle w:val="0"/>
            </w:pPr>
            <w:r>
              <w:rPr>
                <w:sz w:val="20"/>
              </w:rPr>
              <w:t xml:space="preserve">Совместно с профильными НМИЦ разработаны и адаптированы для медицинских организаций автономного округа протоколы проведения совместных консультации/консилиумов. Разработан и реализуется план проведения консультаций/консилиумов пациентов с ССЗ специалистами профильных НМИЦ. Решен вопрос о создании тарифов на проведение телемедицинских консультаций в системе ОМС</w:t>
            </w:r>
          </w:p>
        </w:tc>
      </w:tr>
      <w:tr>
        <w:tc>
          <w:tcPr>
            <w:tcW w:w="484" w:type="dxa"/>
          </w:tcPr>
          <w:p>
            <w:pPr>
              <w:pStyle w:val="0"/>
            </w:pPr>
            <w:r>
              <w:rPr>
                <w:sz w:val="20"/>
              </w:rPr>
              <w:t xml:space="preserve">75</w:t>
            </w:r>
          </w:p>
        </w:tc>
        <w:tc>
          <w:tcPr>
            <w:tcW w:w="3724" w:type="dxa"/>
          </w:tcPr>
          <w:p>
            <w:pPr>
              <w:pStyle w:val="0"/>
            </w:pPr>
            <w:r>
              <w:rPr>
                <w:sz w:val="20"/>
              </w:rPr>
              <w:t xml:space="preserve">Совместно с профильным национальным медицинским исследовательским центром проводятся консультации пациентов с сердечно-сосудистыми заболеваниями с привлечением специалистов медицинских организаций автономного округа по кардиологии и неврологии</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w:t>
            </w:r>
          </w:p>
          <w:p>
            <w:pPr>
              <w:pStyle w:val="0"/>
            </w:pPr>
            <w:r>
              <w:rPr>
                <w:sz w:val="20"/>
              </w:rPr>
              <w:t xml:space="preserve">Главный внештатный сердечно-сосудистый хирург Депздрава Югры (по согласованию)</w:t>
            </w:r>
          </w:p>
        </w:tc>
        <w:tc>
          <w:tcPr>
            <w:tcW w:w="3799" w:type="dxa"/>
          </w:tcPr>
          <w:p>
            <w:pPr>
              <w:pStyle w:val="0"/>
            </w:pPr>
            <w:r>
              <w:rPr>
                <w:sz w:val="20"/>
              </w:rPr>
              <w:t xml:space="preserve">Согласно утвержденному плану, ежегодно проводится не менее 120 телемедицинских консультаций пациентов с ССЗ профильными НМИЦ, не менее 50 виртуальных обходов, не менее 2 показательных операций и мастер-классов.</w:t>
            </w:r>
          </w:p>
        </w:tc>
        <w:tc>
          <w:tcPr>
            <w:tcW w:w="3874" w:type="dxa"/>
          </w:tcPr>
          <w:p>
            <w:pPr>
              <w:pStyle w:val="0"/>
            </w:pPr>
            <w:r>
              <w:rPr>
                <w:sz w:val="20"/>
              </w:rPr>
              <w:t xml:space="preserve">Ежегодно проводится не менее 120 консультаций пациентов с профильными национальными медицинскими исследовательскими центрами, не менее 50 виртуальных обходов. В план сотрудничества включены показательные операции, мастер-классы, выезды специалистов НМИЦ в медорганизации 2 - 3 уровней</w:t>
            </w:r>
          </w:p>
        </w:tc>
      </w:tr>
      <w:tr>
        <w:tc>
          <w:tcPr>
            <w:tcW w:w="484" w:type="dxa"/>
          </w:tcPr>
          <w:p>
            <w:pPr>
              <w:pStyle w:val="0"/>
            </w:pPr>
            <w:r>
              <w:rPr>
                <w:sz w:val="20"/>
              </w:rPr>
              <w:t xml:space="preserve">76</w:t>
            </w:r>
          </w:p>
        </w:tc>
        <w:tc>
          <w:tcPr>
            <w:tcW w:w="3724" w:type="dxa"/>
          </w:tcPr>
          <w:p>
            <w:pPr>
              <w:pStyle w:val="0"/>
            </w:pPr>
            <w:r>
              <w:rPr>
                <w:sz w:val="20"/>
              </w:rPr>
              <w:t xml:space="preserve">Обеспечение внедрения новых методов профилактики, диагностики, лечения и реабилитации</w:t>
            </w:r>
          </w:p>
        </w:tc>
        <w:tc>
          <w:tcPr>
            <w:tcW w:w="1309" w:type="dxa"/>
          </w:tcPr>
          <w:p>
            <w:pPr>
              <w:pStyle w:val="0"/>
            </w:pPr>
            <w:r>
              <w:rPr>
                <w:sz w:val="20"/>
              </w:rPr>
              <w:t xml:space="preserve">01.06.2023</w:t>
            </w:r>
          </w:p>
        </w:tc>
        <w:tc>
          <w:tcPr>
            <w:tcW w:w="1309" w:type="dxa"/>
          </w:tcPr>
          <w:p>
            <w:pPr>
              <w:pStyle w:val="0"/>
            </w:pPr>
            <w:r>
              <w:rPr>
                <w:sz w:val="20"/>
              </w:rPr>
              <w:t xml:space="preserve">01.07.2024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w:t>
            </w:r>
          </w:p>
          <w:p>
            <w:pPr>
              <w:pStyle w:val="0"/>
            </w:pPr>
            <w:r>
              <w:rPr>
                <w:sz w:val="20"/>
              </w:rPr>
              <w:t xml:space="preserve">Главный внештатный кардиолог Депздрава Югры (по согласованию), главный внештатный сердечно-сосудистый хирург Депздрава Югры (по согласованию);</w:t>
            </w:r>
          </w:p>
          <w:p>
            <w:pPr>
              <w:pStyle w:val="0"/>
            </w:pPr>
            <w:r>
              <w:rPr>
                <w:sz w:val="20"/>
              </w:rPr>
              <w:t xml:space="preserve">директор Мединститута СурГУ, ректор Ханты-Мансийской медакадемии (по согласованию)</w:t>
            </w:r>
          </w:p>
        </w:tc>
        <w:tc>
          <w:tcPr>
            <w:tcW w:w="3799" w:type="dxa"/>
          </w:tcPr>
          <w:p>
            <w:pPr>
              <w:pStyle w:val="0"/>
            </w:pPr>
            <w:r>
              <w:rPr>
                <w:sz w:val="20"/>
              </w:rPr>
              <w:t xml:space="preserve">Ежегодно внедряются в практическую деятельность медорганизаций округа не менее 10 новых методов профилактики, диагностики, лечения и реабилитации пациентов с сердечно-сосудистыми заболеваниями</w:t>
            </w:r>
          </w:p>
        </w:tc>
        <w:tc>
          <w:tcPr>
            <w:tcW w:w="3874" w:type="dxa"/>
          </w:tcPr>
          <w:p>
            <w:pPr>
              <w:pStyle w:val="0"/>
            </w:pPr>
            <w:r>
              <w:rPr>
                <w:sz w:val="20"/>
              </w:rPr>
              <w:t xml:space="preserve">Обеспечено внедрение, в практическую деятельность медорганизаций автономного округа новых методов профилактики, диагностики, лечения и реабилитации пациентов с сердечно-сосудистыми заболеваниями под руководством профильных НМИЦ, с использованием накопленного опыта ведущих федеральных центров РФ, на основании научно-практических разработок обучающихся и сотрудников медицинских вузов автономного округа, с предоставлением в Депздрав Югры отчетов о внедрении</w:t>
            </w:r>
          </w:p>
        </w:tc>
      </w:tr>
      <w:tr>
        <w:tc>
          <w:tcPr>
            <w:tcW w:w="484" w:type="dxa"/>
          </w:tcPr>
          <w:p>
            <w:pPr>
              <w:pStyle w:val="0"/>
            </w:pPr>
            <w:r>
              <w:rPr>
                <w:sz w:val="20"/>
              </w:rPr>
              <w:t xml:space="preserve">77</w:t>
            </w:r>
          </w:p>
        </w:tc>
        <w:tc>
          <w:tcPr>
            <w:tcW w:w="3724" w:type="dxa"/>
          </w:tcPr>
          <w:p>
            <w:pPr>
              <w:pStyle w:val="0"/>
            </w:pPr>
            <w:r>
              <w:rPr>
                <w:sz w:val="20"/>
              </w:rPr>
              <w:t xml:space="preserve">Обеспечение мониторинга, планирования и управления потоками пациентов при оказании медицинской помощи пациентам с сердечно-сосудистыми заболеваниями</w:t>
            </w:r>
          </w:p>
        </w:tc>
        <w:tc>
          <w:tcPr>
            <w:tcW w:w="1309" w:type="dxa"/>
          </w:tcPr>
          <w:p>
            <w:pPr>
              <w:pStyle w:val="0"/>
            </w:pPr>
            <w:r>
              <w:rPr>
                <w:sz w:val="20"/>
              </w:rPr>
              <w:t xml:space="preserve">01.06.2023</w:t>
            </w:r>
          </w:p>
        </w:tc>
        <w:tc>
          <w:tcPr>
            <w:tcW w:w="1309" w:type="dxa"/>
          </w:tcPr>
          <w:p>
            <w:pPr>
              <w:pStyle w:val="0"/>
            </w:pPr>
            <w:r>
              <w:rPr>
                <w:sz w:val="20"/>
              </w:rPr>
              <w:t xml:space="preserve">01.07.2024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 директор БУ "МИАЦ" (по согласованию);</w:t>
            </w:r>
          </w:p>
          <w:p>
            <w:pPr>
              <w:pStyle w:val="0"/>
            </w:pPr>
            <w:r>
              <w:rPr>
                <w:sz w:val="20"/>
              </w:rPr>
              <w:t xml:space="preserve">директор ТФОМС (по согласованию)</w:t>
            </w:r>
          </w:p>
        </w:tc>
        <w:tc>
          <w:tcPr>
            <w:tcW w:w="3799" w:type="dxa"/>
          </w:tcPr>
          <w:p>
            <w:pPr>
              <w:pStyle w:val="0"/>
            </w:pPr>
            <w:r>
              <w:rPr>
                <w:sz w:val="20"/>
              </w:rPr>
              <w:t xml:space="preserve">При взаимодействии Депздрава Югры, БУ "МИАЦ" и ТФОМС Югры обеспечен мониторинг, планирование и управление потоками пациентов при оказании медицинской помощи пациентам с сердечно-сосудистыми заболеваниями, проводится анализ качества оказания медицинской помощи</w:t>
            </w:r>
          </w:p>
        </w:tc>
        <w:tc>
          <w:tcPr>
            <w:tcW w:w="3874" w:type="dxa"/>
          </w:tcPr>
          <w:p>
            <w:pPr>
              <w:pStyle w:val="0"/>
            </w:pPr>
            <w:r>
              <w:rPr>
                <w:sz w:val="20"/>
              </w:rPr>
              <w:t xml:space="preserve">Благодаря единому региональному регистру пациентов с болезнями системы кровообращения, а также единой централизованной системе диспетчеризации обеспечен ежедневный мониторинг, планирование и управление потоками пациентов при оказании медицинской помощи пациентам с ССЗ, проводится анализ качества оказания медицинской помощи пациентам с ССЗ, на основе анализа принимаются управленческие решения</w:t>
            </w:r>
          </w:p>
        </w:tc>
      </w:tr>
      <w:tr>
        <w:tc>
          <w:tcPr>
            <w:tcW w:w="484" w:type="dxa"/>
          </w:tcPr>
          <w:p>
            <w:pPr>
              <w:pStyle w:val="0"/>
            </w:pPr>
            <w:r>
              <w:rPr>
                <w:sz w:val="20"/>
              </w:rPr>
              <w:t xml:space="preserve">78</w:t>
            </w:r>
          </w:p>
        </w:tc>
        <w:tc>
          <w:tcPr>
            <w:tcW w:w="3724" w:type="dxa"/>
          </w:tcPr>
          <w:p>
            <w:pPr>
              <w:pStyle w:val="0"/>
            </w:pPr>
            <w:r>
              <w:rPr>
                <w:sz w:val="20"/>
              </w:rPr>
              <w:t xml:space="preserve">Создание региональной интегрированной электронной медицинской карты с возможностью интеграции различных медицинских информационных систем в единое информационное пространство</w:t>
            </w:r>
          </w:p>
        </w:tc>
        <w:tc>
          <w:tcPr>
            <w:tcW w:w="1309" w:type="dxa"/>
          </w:tcPr>
          <w:p>
            <w:pPr>
              <w:pStyle w:val="0"/>
            </w:pPr>
            <w:r>
              <w:rPr>
                <w:sz w:val="20"/>
              </w:rPr>
              <w:t xml:space="preserve">01.06.2023</w:t>
            </w:r>
          </w:p>
        </w:tc>
        <w:tc>
          <w:tcPr>
            <w:tcW w:w="1309" w:type="dxa"/>
          </w:tcPr>
          <w:p>
            <w:pPr>
              <w:pStyle w:val="0"/>
            </w:pPr>
            <w:r>
              <w:rPr>
                <w:sz w:val="20"/>
              </w:rPr>
              <w:t xml:space="preserve">31.12.2024</w:t>
            </w:r>
          </w:p>
        </w:tc>
        <w:tc>
          <w:tcPr>
            <w:tcW w:w="1894" w:type="dxa"/>
          </w:tcPr>
          <w:p>
            <w:pPr>
              <w:pStyle w:val="0"/>
            </w:pPr>
            <w:r>
              <w:rPr>
                <w:sz w:val="20"/>
              </w:rPr>
              <w:t xml:space="preserve">Регулярное (ежегодное)</w:t>
            </w:r>
          </w:p>
        </w:tc>
        <w:tc>
          <w:tcPr>
            <w:tcW w:w="2344" w:type="dxa"/>
          </w:tcPr>
          <w:p>
            <w:pPr>
              <w:pStyle w:val="0"/>
            </w:pPr>
            <w:r>
              <w:rPr>
                <w:sz w:val="20"/>
              </w:rPr>
              <w:t xml:space="preserve">Заместитель директора Депздрава Югры, начальник управления организации медицинской помощи Депздрава Югры; директор БУ "МИАЦ" (по согласованию)</w:t>
            </w:r>
          </w:p>
        </w:tc>
        <w:tc>
          <w:tcPr>
            <w:tcW w:w="3799" w:type="dxa"/>
          </w:tcPr>
          <w:p>
            <w:pPr>
              <w:pStyle w:val="0"/>
            </w:pPr>
            <w:r>
              <w:rPr>
                <w:sz w:val="20"/>
              </w:rPr>
              <w:t xml:space="preserve">Внедрена региональная интегрированная электронная медицинская карта с возможностью интеграции различных медицинских информационных систем в единое информационное пространство</w:t>
            </w:r>
          </w:p>
        </w:tc>
        <w:tc>
          <w:tcPr>
            <w:tcW w:w="3874" w:type="dxa"/>
          </w:tcPr>
          <w:p>
            <w:pPr>
              <w:pStyle w:val="0"/>
            </w:pPr>
            <w:r>
              <w:rPr>
                <w:sz w:val="20"/>
              </w:rPr>
              <w:t xml:space="preserve">С целью повышения качества и преемственности оказания медицинской помощи пациентам с сердечно-сосудистыми заболеваниями создана региональная интегрированная электронная медицинская карта с возможностью интеграции различных медицинских информационных систем в единое информационное пространство</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2"/>
        <w:outlineLvl w:val="1"/>
        <w:jc w:val="center"/>
      </w:pPr>
      <w:r>
        <w:rPr>
          <w:sz w:val="20"/>
        </w:rPr>
        <w:t xml:space="preserve">Раздел 5. РЕЗУЛЬТАТЫ РЕГИОНАЛЬНОЙ ПРОГРАММЫ</w:t>
      </w:r>
    </w:p>
    <w:p>
      <w:pPr>
        <w:pStyle w:val="0"/>
        <w:jc w:val="center"/>
      </w:pPr>
      <w:r>
        <w:rPr>
          <w:sz w:val="20"/>
        </w:rPr>
      </w:r>
    </w:p>
    <w:p>
      <w:pPr>
        <w:pStyle w:val="0"/>
        <w:ind w:firstLine="540"/>
        <w:jc w:val="both"/>
      </w:pPr>
      <w:r>
        <w:rPr>
          <w:sz w:val="20"/>
        </w:rPr>
        <w:t xml:space="preserve">В 2022 году достигнуты значения всех запланированных показателей региональной программы "Борьба с сердечно-сосудистыми заболеваниями":</w:t>
      </w:r>
    </w:p>
    <w:p>
      <w:pPr>
        <w:pStyle w:val="0"/>
        <w:spacing w:before="200" w:line-rule="auto"/>
        <w:ind w:firstLine="540"/>
        <w:jc w:val="both"/>
      </w:pPr>
      <w:r>
        <w:rPr>
          <w:sz w:val="20"/>
        </w:rPr>
        <w:t xml:space="preserve">"Больничная летальность от инфаркта миокарда" - 6,2%, целевой показатель - 7,3%, исполнение 115,1%;</w:t>
      </w:r>
    </w:p>
    <w:p>
      <w:pPr>
        <w:pStyle w:val="0"/>
        <w:spacing w:before="200" w:line-rule="auto"/>
        <w:ind w:firstLine="540"/>
        <w:jc w:val="both"/>
      </w:pPr>
      <w:r>
        <w:rPr>
          <w:sz w:val="20"/>
        </w:rPr>
        <w:t xml:space="preserve">"Больничная летальность от острого нарушения мозгового кровообращения" - 8,9%, целевой показатель - 10,1%, исполнение 119,9%;</w:t>
      </w:r>
    </w:p>
    <w:p>
      <w:pPr>
        <w:pStyle w:val="0"/>
        <w:spacing w:before="200" w:line-rule="auto"/>
        <w:ind w:firstLine="540"/>
        <w:jc w:val="both"/>
      </w:pPr>
      <w:r>
        <w:rPr>
          <w:sz w:val="20"/>
        </w:rPr>
        <w:t xml:space="preserve">"Летальность больных с болезнями системы кровообращения, среди лиц с болезнями системы кровообращения, состоящих под диспансерным наблюдением" - 1,0%, при целевом значении 1,56%, исполнение 135,9%;</w:t>
      </w:r>
    </w:p>
    <w:p>
      <w:pPr>
        <w:pStyle w:val="0"/>
        <w:spacing w:before="200" w:line-rule="auto"/>
        <w:ind w:firstLine="540"/>
        <w:jc w:val="both"/>
      </w:pPr>
      <w:r>
        <w:rPr>
          <w:sz w:val="20"/>
        </w:rPr>
        <w:t xml:space="preserve">"Доля лиц с болезнями системы кровообращения, состоящих под диспансерным наблюдением, получивших в текущем году медицинские услуги при диспансерном наблюдении от всех пациентов с болезнями системы кровообращения, состоящих под диспансерным наблюдением" - 67,1%, целевой показатель - 60,0%, исполнение 111,8%;</w:t>
      </w:r>
    </w:p>
    <w:p>
      <w:pPr>
        <w:pStyle w:val="0"/>
        <w:spacing w:before="200" w:line-rule="auto"/>
        <w:ind w:firstLine="540"/>
        <w:jc w:val="both"/>
      </w:pPr>
      <w:r>
        <w:rPr>
          <w:sz w:val="20"/>
        </w:rPr>
        <w:t xml:space="preserve">"Доля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 - 87,6%, целевой показатель - 85,0%, исполнение 103,1%;</w:t>
      </w:r>
    </w:p>
    <w:p>
      <w:pPr>
        <w:pStyle w:val="0"/>
        <w:spacing w:before="200" w:line-rule="auto"/>
        <w:ind w:firstLine="540"/>
        <w:jc w:val="both"/>
      </w:pPr>
      <w:r>
        <w:rPr>
          <w:sz w:val="20"/>
        </w:rPr>
        <w:t xml:space="preserve">"Количество рентгенэндоваскулярных вмешательств в лечебных целях" - 4043 ед., целевой показатель - 3 337 ед., исполнение 121,6%.</w:t>
      </w:r>
    </w:p>
    <w:p>
      <w:pPr>
        <w:pStyle w:val="0"/>
        <w:spacing w:before="200" w:line-rule="auto"/>
        <w:ind w:firstLine="540"/>
        <w:jc w:val="both"/>
      </w:pPr>
      <w:r>
        <w:rPr>
          <w:sz w:val="20"/>
        </w:rPr>
        <w:t xml:space="preserve">При выполнении мероприятия "Переоснащение региональных сосудистых центров и первичных сосудистых отделений, в том числе оборудованием для ранней медицинской реабилитации" в 2022 году оснащено 3 региональных сосудистых центра:</w:t>
      </w:r>
    </w:p>
    <w:p>
      <w:pPr>
        <w:pStyle w:val="0"/>
        <w:spacing w:before="200" w:line-rule="auto"/>
        <w:ind w:firstLine="540"/>
        <w:jc w:val="both"/>
      </w:pPr>
      <w:r>
        <w:rPr>
          <w:sz w:val="20"/>
        </w:rPr>
        <w:t xml:space="preserve">БУ "Окружной кардиологический диспансер "Центр диагностики и сердечно-сосудистой хирургии" - диагностический комплекс для ультразвуковых исследований сердца и сосудов (экспертного класса), ультразвуковой аппарат для исследования сердца и сосудов (передвижной), томограф магнитно-резонансный,</w:t>
      </w:r>
    </w:p>
    <w:p>
      <w:pPr>
        <w:pStyle w:val="0"/>
        <w:spacing w:before="200" w:line-rule="auto"/>
        <w:ind w:firstLine="540"/>
        <w:jc w:val="both"/>
      </w:pPr>
      <w:r>
        <w:rPr>
          <w:sz w:val="20"/>
        </w:rPr>
        <w:t xml:space="preserve">БУ "Окружная клиническая больница" - диагностический комплекс для ультразвуковых исследований сердца и сосудов (экспертного класса),</w:t>
      </w:r>
    </w:p>
    <w:p>
      <w:pPr>
        <w:pStyle w:val="0"/>
        <w:spacing w:before="200" w:line-rule="auto"/>
        <w:ind w:firstLine="540"/>
        <w:jc w:val="both"/>
      </w:pPr>
      <w:r>
        <w:rPr>
          <w:sz w:val="20"/>
        </w:rPr>
        <w:t xml:space="preserve">БУ "Няганская окружная больница" - диагностический комплекс для ультразвуковых исследований сердца и сосудов (экспертного класса), ультразвуковой аппарат для исследования сердца и сосудов (передвижной).</w:t>
      </w:r>
    </w:p>
    <w:p>
      <w:pPr>
        <w:pStyle w:val="0"/>
        <w:spacing w:before="200" w:line-rule="auto"/>
        <w:ind w:firstLine="540"/>
        <w:jc w:val="both"/>
      </w:pPr>
      <w:r>
        <w:rPr>
          <w:sz w:val="20"/>
        </w:rPr>
        <w:t xml:space="preserve">Кассовое исполнение по региональному проекту "Борьба с сердечно-сосудистыми заболеваниями" за 2022 год составило 176 273,7 тыс. рублей, в том числе из федерального бюджета - 104 070,5 тыс. рублей, из бюджета автономного округа - 72 203,2 тыс. рублей. Закуплено лекарственных препаратов на сумму 75 715,6 тыс. руб.</w:t>
      </w:r>
    </w:p>
    <w:p>
      <w:pPr>
        <w:pStyle w:val="0"/>
        <w:spacing w:before="200" w:line-rule="auto"/>
        <w:ind w:firstLine="540"/>
        <w:jc w:val="both"/>
      </w:pPr>
      <w:r>
        <w:rPr>
          <w:sz w:val="20"/>
        </w:rPr>
        <w:t xml:space="preserve">За время реализации программы с 01.01.2020 обслужено рецептов - 216 078 шт., количество пациентов, получивших препараты за время реализации проекта, - 14 507 чел. (14,9 рецепта на 1 пациента) на сумму 230 421,4 тыс. руб. (87% от объема финансирования 2020 - 2022 гг. - 264 851,4 тыс. руб.), стоимость 1 рецепта - 1 066,4 руб., из них:</w:t>
      </w:r>
    </w:p>
    <w:p>
      <w:pPr>
        <w:pStyle w:val="0"/>
        <w:spacing w:before="200" w:line-rule="auto"/>
        <w:ind w:firstLine="540"/>
        <w:jc w:val="both"/>
      </w:pPr>
      <w:r>
        <w:rPr>
          <w:sz w:val="20"/>
        </w:rPr>
        <w:t xml:space="preserve">за период с 01.01.2021 по 29.12.2022 - 186 925 рецептов для 12 348 человек (15,1 рецепта на 1 пациента) на сумму 201 980,0 тыс. руб. (стоимость 1 рецепта - 1 080,5 руб.).</w:t>
      </w:r>
    </w:p>
    <w:p>
      <w:pPr>
        <w:pStyle w:val="0"/>
        <w:spacing w:before="200" w:line-rule="auto"/>
        <w:ind w:firstLine="540"/>
        <w:jc w:val="both"/>
      </w:pPr>
      <w:r>
        <w:rPr>
          <w:sz w:val="20"/>
        </w:rPr>
        <w:t xml:space="preserve">за период с 01.01.2022 по 29.12.2022 - 112 084 рецептов для 9 433 человек (11,8 рецептов на 1 пациента), на сумму 119 396,7 тыс. руб. (стоимость 1 рецепта - 1065,2 руб.).</w:t>
      </w:r>
    </w:p>
    <w:p>
      <w:pPr>
        <w:pStyle w:val="0"/>
        <w:spacing w:before="200" w:line-rule="auto"/>
        <w:ind w:firstLine="540"/>
        <w:jc w:val="both"/>
      </w:pPr>
      <w:r>
        <w:rPr>
          <w:sz w:val="20"/>
        </w:rPr>
        <w:t xml:space="preserve">На регулярной основе работают координационные и совещательные органы:</w:t>
      </w:r>
    </w:p>
    <w:p>
      <w:pPr>
        <w:pStyle w:val="0"/>
        <w:spacing w:before="200" w:line-rule="auto"/>
        <w:ind w:firstLine="540"/>
        <w:jc w:val="both"/>
      </w:pPr>
      <w:r>
        <w:rPr>
          <w:sz w:val="20"/>
        </w:rPr>
        <w:t xml:space="preserve">Коллегия Депздрав Югры,</w:t>
      </w:r>
    </w:p>
    <w:p>
      <w:pPr>
        <w:pStyle w:val="0"/>
        <w:spacing w:before="200" w:line-rule="auto"/>
        <w:ind w:firstLine="540"/>
        <w:jc w:val="both"/>
      </w:pPr>
      <w:r>
        <w:rPr>
          <w:sz w:val="20"/>
        </w:rPr>
        <w:t xml:space="preserve">Комиссия Депздрав Югры по отбору пациентов для оказания высокотехнологичной медицинской помощи,</w:t>
      </w:r>
    </w:p>
    <w:p>
      <w:pPr>
        <w:pStyle w:val="0"/>
        <w:spacing w:before="200" w:line-rule="auto"/>
        <w:ind w:firstLine="540"/>
        <w:jc w:val="both"/>
      </w:pPr>
      <w:r>
        <w:rPr>
          <w:sz w:val="20"/>
        </w:rPr>
        <w:t xml:space="preserve">Координационный Совет при Правительстве автономного округа по реализации социальной политики в отношении граждан старшего поколения и ветеранов,</w:t>
      </w:r>
    </w:p>
    <w:p>
      <w:pPr>
        <w:pStyle w:val="0"/>
        <w:spacing w:before="200" w:line-rule="auto"/>
        <w:ind w:firstLine="540"/>
        <w:jc w:val="both"/>
      </w:pPr>
      <w:r>
        <w:rPr>
          <w:sz w:val="20"/>
        </w:rPr>
        <w:t xml:space="preserve">Формулярная комиссия Депздрав Югры,</w:t>
      </w:r>
    </w:p>
    <w:p>
      <w:pPr>
        <w:pStyle w:val="0"/>
        <w:spacing w:before="200" w:line-rule="auto"/>
        <w:ind w:firstLine="540"/>
        <w:jc w:val="both"/>
      </w:pPr>
      <w:r>
        <w:rPr>
          <w:sz w:val="20"/>
        </w:rPr>
        <w:t xml:space="preserve">Межведомственная комиссия автономного округа по реализации мер, направленных на снижение смертности населения автономного округа.</w:t>
      </w:r>
    </w:p>
    <w:p>
      <w:pPr>
        <w:pStyle w:val="0"/>
        <w:spacing w:before="200" w:line-rule="auto"/>
        <w:ind w:firstLine="540"/>
        <w:jc w:val="both"/>
      </w:pPr>
      <w:r>
        <w:rPr>
          <w:sz w:val="20"/>
        </w:rPr>
        <w:t xml:space="preserve">Исполнение мероприятий программы позволит достичь к 2024 году:</w:t>
      </w:r>
    </w:p>
    <w:p>
      <w:pPr>
        <w:pStyle w:val="0"/>
        <w:spacing w:before="200" w:line-rule="auto"/>
        <w:ind w:firstLine="540"/>
        <w:jc w:val="both"/>
      </w:pPr>
      <w:r>
        <w:rPr>
          <w:sz w:val="20"/>
        </w:rPr>
        <w:t xml:space="preserve">снижения уровня смертности от болезней системы кровообращения до 225,7 на 100 тыс. населения;</w:t>
      </w:r>
    </w:p>
    <w:p>
      <w:pPr>
        <w:pStyle w:val="0"/>
        <w:spacing w:before="200" w:line-rule="auto"/>
        <w:ind w:firstLine="540"/>
        <w:jc w:val="both"/>
      </w:pPr>
      <w:r>
        <w:rPr>
          <w:sz w:val="20"/>
        </w:rPr>
        <w:t xml:space="preserve">снижения уровня смертности от инфаркта миокарда до 11,1 на 100 тыс. населения;</w:t>
      </w:r>
    </w:p>
    <w:p>
      <w:pPr>
        <w:pStyle w:val="0"/>
        <w:spacing w:before="200" w:line-rule="auto"/>
        <w:ind w:firstLine="540"/>
        <w:jc w:val="both"/>
      </w:pPr>
      <w:r>
        <w:rPr>
          <w:sz w:val="20"/>
        </w:rPr>
        <w:t xml:space="preserve">снижения смертности от нарушения мозгового кровообращения до 21,8 на 100 тыс. населения;</w:t>
      </w:r>
    </w:p>
    <w:p>
      <w:pPr>
        <w:pStyle w:val="0"/>
        <w:spacing w:before="200" w:line-rule="auto"/>
        <w:ind w:firstLine="540"/>
        <w:jc w:val="both"/>
      </w:pPr>
      <w:r>
        <w:rPr>
          <w:sz w:val="20"/>
        </w:rPr>
        <w:t xml:space="preserve">снижение смертности населения от ишемической болезни сердца до 127,0 на 100 тыс. населения;</w:t>
      </w:r>
    </w:p>
    <w:p>
      <w:pPr>
        <w:pStyle w:val="0"/>
        <w:spacing w:before="200" w:line-rule="auto"/>
        <w:ind w:firstLine="540"/>
        <w:jc w:val="both"/>
      </w:pPr>
      <w:r>
        <w:rPr>
          <w:sz w:val="20"/>
        </w:rPr>
        <w:t xml:space="preserve">снижение смертности населения от цереброваскулярных болезней до 40,8 на 100 тыс. населения;</w:t>
      </w:r>
    </w:p>
    <w:p>
      <w:pPr>
        <w:pStyle w:val="0"/>
        <w:spacing w:before="200" w:line-rule="auto"/>
        <w:ind w:firstLine="540"/>
        <w:jc w:val="both"/>
      </w:pPr>
      <w:r>
        <w:rPr>
          <w:sz w:val="20"/>
        </w:rPr>
        <w:t xml:space="preserve">снижение больничной летальности от ИМ, до 7,3%;</w:t>
      </w:r>
    </w:p>
    <w:p>
      <w:pPr>
        <w:pStyle w:val="0"/>
        <w:spacing w:before="200" w:line-rule="auto"/>
        <w:ind w:firstLine="540"/>
        <w:jc w:val="both"/>
      </w:pPr>
      <w:r>
        <w:rPr>
          <w:sz w:val="20"/>
        </w:rPr>
        <w:t xml:space="preserve">снижения больничной летальности от острого нарушения мозгового кровообращения до 9,9%;</w:t>
      </w:r>
    </w:p>
    <w:p>
      <w:pPr>
        <w:pStyle w:val="0"/>
        <w:spacing w:before="200" w:line-rule="auto"/>
        <w:ind w:firstLine="540"/>
        <w:jc w:val="both"/>
      </w:pPr>
      <w:r>
        <w:rPr>
          <w:sz w:val="20"/>
        </w:rPr>
        <w:t xml:space="preserve">увеличение отношение числа рентгенэндоваскулярных вмешательств в лечебных целях к общему числу выбывших больных, перенесших ОКС, до 76,0%;</w:t>
      </w:r>
    </w:p>
    <w:p>
      <w:pPr>
        <w:pStyle w:val="0"/>
        <w:spacing w:before="200" w:line-rule="auto"/>
        <w:ind w:firstLine="540"/>
        <w:jc w:val="both"/>
      </w:pPr>
      <w:r>
        <w:rPr>
          <w:sz w:val="20"/>
        </w:rPr>
        <w:t xml:space="preserve">повышение числа рентгенэндоваскулярных вмешательств в лечебных целях до 3388 ед.;</w:t>
      </w:r>
    </w:p>
    <w:p>
      <w:pPr>
        <w:pStyle w:val="0"/>
        <w:spacing w:before="200" w:line-rule="auto"/>
        <w:ind w:firstLine="540"/>
        <w:jc w:val="both"/>
      </w:pPr>
      <w:r>
        <w:rPr>
          <w:sz w:val="20"/>
        </w:rPr>
        <w:t xml:space="preserve">снижение летальности больных с болезнями системы кровообращения, состоящих под диспансерным наблюдением до 1,47%;</w:t>
      </w:r>
    </w:p>
    <w:p>
      <w:pPr>
        <w:pStyle w:val="0"/>
        <w:spacing w:before="200" w:line-rule="auto"/>
        <w:ind w:firstLine="540"/>
        <w:jc w:val="both"/>
      </w:pPr>
      <w:r>
        <w:rPr>
          <w:sz w:val="20"/>
        </w:rPr>
        <w:t xml:space="preserve">повышение доли профильных госпитализаций пациентов с ОНМК, доставленных автомобилями скорой медицинской помощи, до 95%;</w:t>
      </w:r>
    </w:p>
    <w:p>
      <w:pPr>
        <w:pStyle w:val="0"/>
        <w:spacing w:before="200" w:line-rule="auto"/>
        <w:ind w:firstLine="540"/>
        <w:jc w:val="both"/>
      </w:pPr>
      <w:r>
        <w:rPr>
          <w:sz w:val="20"/>
        </w:rPr>
        <w:t xml:space="preserve">увеличение доли лиц, которые перенесли ОНМК, ИМ, а также которым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условиях, до 90%;</w:t>
      </w:r>
    </w:p>
    <w:p>
      <w:pPr>
        <w:pStyle w:val="0"/>
        <w:spacing w:before="200" w:line-rule="auto"/>
        <w:ind w:firstLine="540"/>
        <w:jc w:val="both"/>
      </w:pPr>
      <w:r>
        <w:rPr>
          <w:sz w:val="20"/>
        </w:rPr>
        <w:t xml:space="preserve">увеличение доли лиц с болезнями системы кровообращения, состоящих под диспансерным наблюдением, получивших в текущем году медицинские услуги в процессе диспансерного наблюдения от всех пациентов с болезнями системы кровообращения, состоящих под диспансерным наблюдением, до 80%.</w:t>
      </w:r>
    </w:p>
    <w:p>
      <w:pPr>
        <w:pStyle w:val="0"/>
        <w:spacing w:before="200" w:line-rule="auto"/>
        <w:ind w:firstLine="540"/>
        <w:jc w:val="both"/>
      </w:pPr>
      <w:r>
        <w:rPr>
          <w:sz w:val="20"/>
        </w:rPr>
        <w:t xml:space="preserve">Дополнительно будут достигнуты к 2024 году следующие результаты.</w:t>
      </w:r>
    </w:p>
    <w:p>
      <w:pPr>
        <w:pStyle w:val="0"/>
        <w:spacing w:before="200" w:line-rule="auto"/>
        <w:ind w:firstLine="540"/>
        <w:jc w:val="both"/>
      </w:pPr>
      <w:r>
        <w:rPr>
          <w:sz w:val="20"/>
        </w:rPr>
        <w:t xml:space="preserve">Обращаемость за медицинской помощью при симптомах острых сердечно-сосудистыми заболеваниями в течение 30 минут не менее чем в 70% случаев.</w:t>
      </w:r>
    </w:p>
    <w:p>
      <w:pPr>
        <w:pStyle w:val="0"/>
        <w:spacing w:before="200" w:line-rule="auto"/>
        <w:ind w:firstLine="540"/>
        <w:jc w:val="both"/>
      </w:pPr>
      <w:r>
        <w:rPr>
          <w:sz w:val="20"/>
        </w:rPr>
        <w:t xml:space="preserve">Обеспечение не менее 95% охвата диспансерным наблюдением лиц с высоким риском сердечно-сосудистых осложнений.</w:t>
      </w:r>
    </w:p>
    <w:p>
      <w:pPr>
        <w:pStyle w:val="0"/>
        <w:spacing w:before="200" w:line-rule="auto"/>
        <w:ind w:firstLine="540"/>
        <w:jc w:val="both"/>
      </w:pPr>
      <w:r>
        <w:rPr>
          <w:sz w:val="20"/>
        </w:rPr>
        <w:t xml:space="preserve">Обеспечение мероприятиями по медицинской реабилитации первого этапа не позднее 72 часов от поступления в стационар не менее 60% пациентов с ОНМК и 70% пациентов с ОКС, мероприятиями второго этапа медицинской реабилитации не менее 35% пациентов с ОНМК и 25% пациентов с ОКС, мероприятиями второго и третьего этапов медицинской реабилитации не менее 70% пациентов, перенесших ОКС, кардиохирургические вмешательства, лечение по поводу декомпенсации ХСН, и не менее 60% пациентов, перенесших ОНМК.</w:t>
      </w:r>
    </w:p>
    <w:p>
      <w:pPr>
        <w:pStyle w:val="0"/>
        <w:ind w:firstLine="540"/>
        <w:jc w:val="both"/>
      </w:pPr>
      <w:r>
        <w:rPr>
          <w:sz w:val="20"/>
        </w:rPr>
      </w:r>
    </w:p>
    <w:p>
      <w:pPr>
        <w:pStyle w:val="0"/>
        <w:jc w:val="right"/>
      </w:pPr>
      <w:r>
        <w:rPr>
          <w:sz w:val="20"/>
        </w:rPr>
        <w:t xml:space="preserve">Таблица 65</w:t>
      </w:r>
    </w:p>
    <w:p>
      <w:pPr>
        <w:pStyle w:val="0"/>
        <w:jc w:val="right"/>
      </w:pPr>
      <w:r>
        <w:rPr>
          <w:sz w:val="20"/>
        </w:rPr>
      </w:r>
    </w:p>
    <w:p>
      <w:pPr>
        <w:pStyle w:val="0"/>
        <w:jc w:val="center"/>
      </w:pPr>
      <w:r>
        <w:rPr>
          <w:sz w:val="20"/>
        </w:rPr>
        <w:t xml:space="preserve">Перспективы достижения целевых показателей по снижению</w:t>
      </w:r>
    </w:p>
    <w:p>
      <w:pPr>
        <w:pStyle w:val="0"/>
        <w:jc w:val="center"/>
      </w:pPr>
      <w:r>
        <w:rPr>
          <w:sz w:val="20"/>
        </w:rPr>
        <w:t xml:space="preserve">смертности от болезней системы кровообращения в автономном</w:t>
      </w:r>
    </w:p>
    <w:p>
      <w:pPr>
        <w:pStyle w:val="0"/>
        <w:jc w:val="center"/>
      </w:pPr>
      <w:r>
        <w:rPr>
          <w:sz w:val="20"/>
        </w:rPr>
        <w:t xml:space="preserve">округе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2"/>
        <w:gridCol w:w="1020"/>
        <w:gridCol w:w="907"/>
        <w:gridCol w:w="1020"/>
        <w:gridCol w:w="1077"/>
        <w:gridCol w:w="794"/>
        <w:gridCol w:w="794"/>
      </w:tblGrid>
      <w:tr>
        <w:tc>
          <w:tcPr>
            <w:tcW w:w="3402" w:type="dxa"/>
          </w:tcPr>
          <w:p>
            <w:pPr>
              <w:pStyle w:val="0"/>
              <w:jc w:val="center"/>
            </w:pPr>
            <w:r>
              <w:rPr>
                <w:sz w:val="20"/>
              </w:rPr>
              <w:t xml:space="preserve">Показатель</w:t>
            </w:r>
          </w:p>
        </w:tc>
        <w:tc>
          <w:tcPr>
            <w:tcW w:w="1020" w:type="dxa"/>
          </w:tcPr>
          <w:p>
            <w:pPr>
              <w:pStyle w:val="0"/>
              <w:jc w:val="center"/>
            </w:pPr>
            <w:r>
              <w:rPr>
                <w:sz w:val="20"/>
              </w:rPr>
              <w:t xml:space="preserve">2019</w:t>
            </w:r>
          </w:p>
        </w:tc>
        <w:tc>
          <w:tcPr>
            <w:tcW w:w="907" w:type="dxa"/>
          </w:tcPr>
          <w:p>
            <w:pPr>
              <w:pStyle w:val="0"/>
              <w:jc w:val="center"/>
            </w:pPr>
            <w:r>
              <w:rPr>
                <w:sz w:val="20"/>
              </w:rPr>
              <w:t xml:space="preserve">2020</w:t>
            </w:r>
          </w:p>
        </w:tc>
        <w:tc>
          <w:tcPr>
            <w:tcW w:w="1020" w:type="dxa"/>
          </w:tcPr>
          <w:p>
            <w:pPr>
              <w:pStyle w:val="0"/>
              <w:jc w:val="center"/>
            </w:pPr>
            <w:r>
              <w:rPr>
                <w:sz w:val="20"/>
              </w:rPr>
              <w:t xml:space="preserve">2021</w:t>
            </w:r>
          </w:p>
        </w:tc>
        <w:tc>
          <w:tcPr>
            <w:tcW w:w="1077" w:type="dxa"/>
          </w:tcPr>
          <w:p>
            <w:pPr>
              <w:pStyle w:val="0"/>
              <w:jc w:val="center"/>
            </w:pPr>
            <w:r>
              <w:rPr>
                <w:sz w:val="20"/>
              </w:rPr>
              <w:t xml:space="preserve">2022</w:t>
            </w:r>
          </w:p>
        </w:tc>
        <w:tc>
          <w:tcPr>
            <w:tcW w:w="794" w:type="dxa"/>
          </w:tcPr>
          <w:p>
            <w:pPr>
              <w:pStyle w:val="0"/>
              <w:jc w:val="center"/>
            </w:pPr>
            <w:r>
              <w:rPr>
                <w:sz w:val="20"/>
              </w:rPr>
              <w:t xml:space="preserve">2023</w:t>
            </w:r>
          </w:p>
        </w:tc>
        <w:tc>
          <w:tcPr>
            <w:tcW w:w="794" w:type="dxa"/>
          </w:tcPr>
          <w:p>
            <w:pPr>
              <w:pStyle w:val="0"/>
              <w:jc w:val="center"/>
            </w:pPr>
            <w:r>
              <w:rPr>
                <w:sz w:val="20"/>
              </w:rPr>
              <w:t xml:space="preserve">2024</w:t>
            </w:r>
          </w:p>
        </w:tc>
      </w:tr>
      <w:tr>
        <w:tc>
          <w:tcPr>
            <w:tcW w:w="3402" w:type="dxa"/>
          </w:tcPr>
          <w:p>
            <w:pPr>
              <w:pStyle w:val="0"/>
            </w:pPr>
            <w:r>
              <w:rPr>
                <w:sz w:val="20"/>
              </w:rPr>
              <w:t xml:space="preserve">Совершенствование помощи при ОКС</w:t>
            </w:r>
          </w:p>
        </w:tc>
        <w:tc>
          <w:tcPr>
            <w:tcW w:w="1020" w:type="dxa"/>
          </w:tcPr>
          <w:p>
            <w:pPr>
              <w:pStyle w:val="0"/>
            </w:pPr>
            <w:r>
              <w:rPr>
                <w:sz w:val="20"/>
              </w:rPr>
              <w:t xml:space="preserve">+++</w:t>
            </w:r>
          </w:p>
        </w:tc>
        <w:tc>
          <w:tcPr>
            <w:tcW w:w="907" w:type="dxa"/>
          </w:tcPr>
          <w:p>
            <w:pPr>
              <w:pStyle w:val="0"/>
            </w:pPr>
            <w:r>
              <w:rPr>
                <w:sz w:val="20"/>
              </w:rPr>
              <w:t xml:space="preserve">+++</w:t>
            </w:r>
          </w:p>
        </w:tc>
        <w:tc>
          <w:tcPr>
            <w:tcW w:w="1020" w:type="dxa"/>
          </w:tcPr>
          <w:p>
            <w:pPr>
              <w:pStyle w:val="0"/>
            </w:pPr>
            <w:r>
              <w:rPr>
                <w:sz w:val="20"/>
              </w:rPr>
              <w:t xml:space="preserve">++</w:t>
            </w:r>
          </w:p>
        </w:tc>
        <w:tc>
          <w:tcPr>
            <w:tcW w:w="1077" w:type="dxa"/>
          </w:tcPr>
          <w:p>
            <w:pPr>
              <w:pStyle w:val="0"/>
            </w:pPr>
            <w:r>
              <w:rPr>
                <w:sz w:val="20"/>
              </w:rPr>
              <w:t xml:space="preserve">++</w:t>
            </w:r>
          </w:p>
        </w:tc>
        <w:tc>
          <w:tcPr>
            <w:tcW w:w="794" w:type="dxa"/>
          </w:tcPr>
          <w:p>
            <w:pPr>
              <w:pStyle w:val="0"/>
            </w:pPr>
            <w:r>
              <w:rPr>
                <w:sz w:val="20"/>
              </w:rPr>
              <w:t xml:space="preserve">++</w:t>
            </w:r>
          </w:p>
        </w:tc>
        <w:tc>
          <w:tcPr>
            <w:tcW w:w="794" w:type="dxa"/>
          </w:tcPr>
          <w:p>
            <w:pPr>
              <w:pStyle w:val="0"/>
            </w:pPr>
            <w:r>
              <w:rPr>
                <w:sz w:val="20"/>
              </w:rPr>
              <w:t xml:space="preserve">++</w:t>
            </w:r>
          </w:p>
        </w:tc>
      </w:tr>
      <w:tr>
        <w:tc>
          <w:tcPr>
            <w:tcW w:w="3402" w:type="dxa"/>
          </w:tcPr>
          <w:p>
            <w:pPr>
              <w:pStyle w:val="0"/>
            </w:pPr>
            <w:r>
              <w:rPr>
                <w:sz w:val="20"/>
              </w:rPr>
              <w:t xml:space="preserve">Профилактика и реабилитация</w:t>
            </w:r>
          </w:p>
        </w:tc>
        <w:tc>
          <w:tcPr>
            <w:tcW w:w="1020" w:type="dxa"/>
          </w:tcPr>
          <w:p>
            <w:pPr>
              <w:pStyle w:val="0"/>
            </w:pPr>
            <w:r>
              <w:rPr>
                <w:sz w:val="20"/>
              </w:rPr>
              <w:t xml:space="preserve">++</w:t>
            </w:r>
          </w:p>
        </w:tc>
        <w:tc>
          <w:tcPr>
            <w:tcW w:w="907" w:type="dxa"/>
          </w:tcPr>
          <w:p>
            <w:pPr>
              <w:pStyle w:val="0"/>
            </w:pPr>
            <w:r>
              <w:rPr>
                <w:sz w:val="20"/>
              </w:rPr>
              <w:t xml:space="preserve">++</w:t>
            </w:r>
          </w:p>
        </w:tc>
        <w:tc>
          <w:tcPr>
            <w:tcW w:w="1020" w:type="dxa"/>
          </w:tcPr>
          <w:p>
            <w:pPr>
              <w:pStyle w:val="0"/>
            </w:pPr>
            <w:r>
              <w:rPr>
                <w:sz w:val="20"/>
              </w:rPr>
              <w:t xml:space="preserve">++</w:t>
            </w:r>
          </w:p>
        </w:tc>
        <w:tc>
          <w:tcPr>
            <w:tcW w:w="1077" w:type="dxa"/>
          </w:tcPr>
          <w:p>
            <w:pPr>
              <w:pStyle w:val="0"/>
            </w:pPr>
            <w:r>
              <w:rPr>
                <w:sz w:val="20"/>
              </w:rPr>
              <w:t xml:space="preserve">+++</w:t>
            </w:r>
          </w:p>
        </w:tc>
        <w:tc>
          <w:tcPr>
            <w:tcW w:w="794" w:type="dxa"/>
          </w:tcPr>
          <w:p>
            <w:pPr>
              <w:pStyle w:val="0"/>
            </w:pPr>
            <w:r>
              <w:rPr>
                <w:sz w:val="20"/>
              </w:rPr>
              <w:t xml:space="preserve">+++</w:t>
            </w:r>
          </w:p>
        </w:tc>
        <w:tc>
          <w:tcPr>
            <w:tcW w:w="794" w:type="dxa"/>
          </w:tcPr>
          <w:p>
            <w:pPr>
              <w:pStyle w:val="0"/>
            </w:pPr>
            <w:r>
              <w:rPr>
                <w:sz w:val="20"/>
              </w:rPr>
              <w:t xml:space="preserve">+++</w:t>
            </w:r>
          </w:p>
        </w:tc>
      </w:tr>
      <w:tr>
        <w:tc>
          <w:tcPr>
            <w:tcW w:w="3402" w:type="dxa"/>
          </w:tcPr>
          <w:p>
            <w:pPr>
              <w:pStyle w:val="0"/>
            </w:pPr>
            <w:r>
              <w:rPr>
                <w:sz w:val="20"/>
              </w:rPr>
              <w:t xml:space="preserve">Совершенствование помощи при ОНМК</w:t>
            </w:r>
          </w:p>
        </w:tc>
        <w:tc>
          <w:tcPr>
            <w:tcW w:w="1020" w:type="dxa"/>
          </w:tcPr>
          <w:p>
            <w:pPr>
              <w:pStyle w:val="0"/>
            </w:pPr>
            <w:r>
              <w:rPr>
                <w:sz w:val="20"/>
              </w:rPr>
              <w:t xml:space="preserve">++</w:t>
            </w:r>
          </w:p>
        </w:tc>
        <w:tc>
          <w:tcPr>
            <w:tcW w:w="907" w:type="dxa"/>
          </w:tcPr>
          <w:p>
            <w:pPr>
              <w:pStyle w:val="0"/>
            </w:pPr>
            <w:r>
              <w:rPr>
                <w:sz w:val="20"/>
              </w:rPr>
              <w:t xml:space="preserve">++</w:t>
            </w:r>
          </w:p>
        </w:tc>
        <w:tc>
          <w:tcPr>
            <w:tcW w:w="1020" w:type="dxa"/>
          </w:tcPr>
          <w:p>
            <w:pPr>
              <w:pStyle w:val="0"/>
            </w:pPr>
            <w:r>
              <w:rPr>
                <w:sz w:val="20"/>
              </w:rPr>
              <w:t xml:space="preserve">++</w:t>
            </w:r>
          </w:p>
        </w:tc>
        <w:tc>
          <w:tcPr>
            <w:tcW w:w="1077" w:type="dxa"/>
          </w:tcPr>
          <w:p>
            <w:pPr>
              <w:pStyle w:val="0"/>
            </w:pPr>
            <w:r>
              <w:rPr>
                <w:sz w:val="20"/>
              </w:rPr>
              <w:t xml:space="preserve">++</w:t>
            </w:r>
          </w:p>
        </w:tc>
        <w:tc>
          <w:tcPr>
            <w:tcW w:w="794" w:type="dxa"/>
          </w:tcPr>
          <w:p>
            <w:pPr>
              <w:pStyle w:val="0"/>
            </w:pPr>
            <w:r>
              <w:rPr>
                <w:sz w:val="20"/>
              </w:rPr>
              <w:t xml:space="preserve">++</w:t>
            </w:r>
          </w:p>
        </w:tc>
        <w:tc>
          <w:tcPr>
            <w:tcW w:w="794" w:type="dxa"/>
          </w:tcPr>
          <w:p>
            <w:pPr>
              <w:pStyle w:val="0"/>
            </w:pPr>
            <w:r>
              <w:rPr>
                <w:sz w:val="20"/>
              </w:rPr>
              <w:t xml:space="preserve">++</w:t>
            </w:r>
          </w:p>
        </w:tc>
      </w:tr>
      <w:tr>
        <w:tc>
          <w:tcPr>
            <w:tcW w:w="3402" w:type="dxa"/>
          </w:tcPr>
          <w:p>
            <w:pPr>
              <w:pStyle w:val="0"/>
            </w:pPr>
            <w:r>
              <w:rPr>
                <w:sz w:val="20"/>
              </w:rPr>
              <w:t xml:space="preserve">Обучение персонала, аудит качества</w:t>
            </w:r>
          </w:p>
        </w:tc>
        <w:tc>
          <w:tcPr>
            <w:tcW w:w="1020" w:type="dxa"/>
          </w:tcPr>
          <w:p>
            <w:pPr>
              <w:pStyle w:val="0"/>
            </w:pPr>
            <w:r>
              <w:rPr>
                <w:sz w:val="20"/>
              </w:rPr>
              <w:t xml:space="preserve">+++</w:t>
            </w:r>
          </w:p>
        </w:tc>
        <w:tc>
          <w:tcPr>
            <w:tcW w:w="907" w:type="dxa"/>
          </w:tcPr>
          <w:p>
            <w:pPr>
              <w:pStyle w:val="0"/>
            </w:pPr>
            <w:r>
              <w:rPr>
                <w:sz w:val="20"/>
              </w:rPr>
              <w:t xml:space="preserve">+++</w:t>
            </w:r>
          </w:p>
        </w:tc>
        <w:tc>
          <w:tcPr>
            <w:tcW w:w="1020" w:type="dxa"/>
          </w:tcPr>
          <w:p>
            <w:pPr>
              <w:pStyle w:val="0"/>
            </w:pPr>
            <w:r>
              <w:rPr>
                <w:sz w:val="20"/>
              </w:rPr>
              <w:t xml:space="preserve">+++</w:t>
            </w:r>
          </w:p>
        </w:tc>
        <w:tc>
          <w:tcPr>
            <w:tcW w:w="1077" w:type="dxa"/>
          </w:tcPr>
          <w:p>
            <w:pPr>
              <w:pStyle w:val="0"/>
            </w:pPr>
            <w:r>
              <w:rPr>
                <w:sz w:val="20"/>
              </w:rPr>
              <w:t xml:space="preserve">+++</w:t>
            </w:r>
          </w:p>
        </w:tc>
        <w:tc>
          <w:tcPr>
            <w:tcW w:w="794" w:type="dxa"/>
          </w:tcPr>
          <w:p>
            <w:pPr>
              <w:pStyle w:val="0"/>
            </w:pPr>
            <w:r>
              <w:rPr>
                <w:sz w:val="20"/>
              </w:rPr>
              <w:t xml:space="preserve">+++</w:t>
            </w:r>
          </w:p>
        </w:tc>
        <w:tc>
          <w:tcPr>
            <w:tcW w:w="794" w:type="dxa"/>
          </w:tcPr>
          <w:p>
            <w:pPr>
              <w:pStyle w:val="0"/>
            </w:pPr>
            <w:r>
              <w:rPr>
                <w:sz w:val="20"/>
              </w:rPr>
              <w:t xml:space="preserve">+++</w:t>
            </w:r>
          </w:p>
        </w:tc>
      </w:tr>
      <w:tr>
        <w:tc>
          <w:tcPr>
            <w:tcW w:w="3402" w:type="dxa"/>
          </w:tcPr>
          <w:p>
            <w:pPr>
              <w:pStyle w:val="0"/>
            </w:pPr>
            <w:r>
              <w:rPr>
                <w:sz w:val="20"/>
              </w:rPr>
              <w:t xml:space="preserve">Повышение качества и доступности первичной помощи</w:t>
            </w:r>
          </w:p>
        </w:tc>
        <w:tc>
          <w:tcPr>
            <w:tcW w:w="1020" w:type="dxa"/>
          </w:tcPr>
          <w:p>
            <w:pPr>
              <w:pStyle w:val="0"/>
            </w:pPr>
            <w:r>
              <w:rPr>
                <w:sz w:val="20"/>
              </w:rPr>
              <w:t xml:space="preserve">+++</w:t>
            </w:r>
          </w:p>
        </w:tc>
        <w:tc>
          <w:tcPr>
            <w:tcW w:w="907" w:type="dxa"/>
          </w:tcPr>
          <w:p>
            <w:pPr>
              <w:pStyle w:val="0"/>
            </w:pPr>
            <w:r>
              <w:rPr>
                <w:sz w:val="20"/>
              </w:rPr>
              <w:t xml:space="preserve">+++</w:t>
            </w:r>
          </w:p>
        </w:tc>
        <w:tc>
          <w:tcPr>
            <w:tcW w:w="1020" w:type="dxa"/>
          </w:tcPr>
          <w:p>
            <w:pPr>
              <w:pStyle w:val="0"/>
            </w:pPr>
            <w:r>
              <w:rPr>
                <w:sz w:val="20"/>
              </w:rPr>
              <w:t xml:space="preserve">+++</w:t>
            </w:r>
          </w:p>
        </w:tc>
        <w:tc>
          <w:tcPr>
            <w:tcW w:w="1077" w:type="dxa"/>
          </w:tcPr>
          <w:p>
            <w:pPr>
              <w:pStyle w:val="0"/>
            </w:pPr>
            <w:r>
              <w:rPr>
                <w:sz w:val="20"/>
              </w:rPr>
              <w:t xml:space="preserve">++</w:t>
            </w:r>
          </w:p>
        </w:tc>
        <w:tc>
          <w:tcPr>
            <w:tcW w:w="794" w:type="dxa"/>
          </w:tcPr>
          <w:p>
            <w:pPr>
              <w:pStyle w:val="0"/>
            </w:pPr>
            <w:r>
              <w:rPr>
                <w:sz w:val="20"/>
              </w:rPr>
              <w:t xml:space="preserve">++</w:t>
            </w:r>
          </w:p>
        </w:tc>
        <w:tc>
          <w:tcPr>
            <w:tcW w:w="794" w:type="dxa"/>
          </w:tcPr>
          <w:p>
            <w:pPr>
              <w:pStyle w:val="0"/>
            </w:pPr>
            <w:r>
              <w:rPr>
                <w:sz w:val="20"/>
              </w:rPr>
              <w:t xml:space="preserve">++</w:t>
            </w:r>
          </w:p>
        </w:tc>
      </w:tr>
      <w:tr>
        <w:tc>
          <w:tcPr>
            <w:tcW w:w="3402" w:type="dxa"/>
          </w:tcPr>
          <w:p>
            <w:pPr>
              <w:pStyle w:val="0"/>
            </w:pPr>
            <w:r>
              <w:rPr>
                <w:sz w:val="20"/>
              </w:rPr>
              <w:t xml:space="preserve">Льготное лекарственное обеспечение в течение 12 месяцев</w:t>
            </w:r>
          </w:p>
        </w:tc>
        <w:tc>
          <w:tcPr>
            <w:tcW w:w="1020" w:type="dxa"/>
          </w:tcPr>
          <w:p>
            <w:pPr>
              <w:pStyle w:val="0"/>
            </w:pPr>
            <w:r>
              <w:rPr>
                <w:sz w:val="20"/>
              </w:rPr>
              <w:t xml:space="preserve">+</w:t>
            </w:r>
          </w:p>
        </w:tc>
        <w:tc>
          <w:tcPr>
            <w:tcW w:w="907" w:type="dxa"/>
          </w:tcPr>
          <w:p>
            <w:pPr>
              <w:pStyle w:val="0"/>
            </w:pPr>
            <w:r>
              <w:rPr>
                <w:sz w:val="20"/>
              </w:rPr>
              <w:t xml:space="preserve">++</w:t>
            </w:r>
          </w:p>
        </w:tc>
        <w:tc>
          <w:tcPr>
            <w:tcW w:w="1020" w:type="dxa"/>
          </w:tcPr>
          <w:p>
            <w:pPr>
              <w:pStyle w:val="0"/>
            </w:pPr>
            <w:r>
              <w:rPr>
                <w:sz w:val="20"/>
              </w:rPr>
              <w:t xml:space="preserve">++</w:t>
            </w:r>
          </w:p>
        </w:tc>
        <w:tc>
          <w:tcPr>
            <w:tcW w:w="1077" w:type="dxa"/>
          </w:tcPr>
          <w:p>
            <w:pPr>
              <w:pStyle w:val="0"/>
            </w:pPr>
            <w:r>
              <w:rPr>
                <w:sz w:val="20"/>
              </w:rPr>
              <w:t xml:space="preserve">++</w:t>
            </w:r>
          </w:p>
        </w:tc>
        <w:tc>
          <w:tcPr>
            <w:tcW w:w="794" w:type="dxa"/>
          </w:tcPr>
          <w:p>
            <w:pPr>
              <w:pStyle w:val="0"/>
            </w:pPr>
            <w:r>
              <w:rPr>
                <w:sz w:val="20"/>
              </w:rPr>
              <w:t xml:space="preserve">++</w:t>
            </w:r>
          </w:p>
        </w:tc>
        <w:tc>
          <w:tcPr>
            <w:tcW w:w="794" w:type="dxa"/>
          </w:tcPr>
          <w:p>
            <w:pPr>
              <w:pStyle w:val="0"/>
            </w:pPr>
            <w:r>
              <w:rPr>
                <w:sz w:val="20"/>
              </w:rPr>
              <w:t xml:space="preserve">++</w:t>
            </w:r>
          </w:p>
        </w:tc>
      </w:tr>
      <w:tr>
        <w:tc>
          <w:tcPr>
            <w:tcW w:w="3402" w:type="dxa"/>
          </w:tcPr>
          <w:p>
            <w:pPr>
              <w:pStyle w:val="0"/>
            </w:pPr>
            <w:r>
              <w:rPr>
                <w:sz w:val="20"/>
              </w:rPr>
              <w:t xml:space="preserve">Выявление и наблюдение групп высокого риска</w:t>
            </w:r>
          </w:p>
        </w:tc>
        <w:tc>
          <w:tcPr>
            <w:tcW w:w="1020" w:type="dxa"/>
          </w:tcPr>
          <w:p>
            <w:pPr>
              <w:pStyle w:val="0"/>
            </w:pPr>
            <w:r>
              <w:rPr>
                <w:sz w:val="20"/>
              </w:rPr>
              <w:t xml:space="preserve">+</w:t>
            </w:r>
          </w:p>
        </w:tc>
        <w:tc>
          <w:tcPr>
            <w:tcW w:w="907" w:type="dxa"/>
          </w:tcPr>
          <w:p>
            <w:pPr>
              <w:pStyle w:val="0"/>
            </w:pPr>
            <w:r>
              <w:rPr>
                <w:sz w:val="20"/>
              </w:rPr>
              <w:t xml:space="preserve">++</w:t>
            </w:r>
          </w:p>
        </w:tc>
        <w:tc>
          <w:tcPr>
            <w:tcW w:w="1020" w:type="dxa"/>
          </w:tcPr>
          <w:p>
            <w:pPr>
              <w:pStyle w:val="0"/>
            </w:pPr>
            <w:r>
              <w:rPr>
                <w:sz w:val="20"/>
              </w:rPr>
              <w:t xml:space="preserve">++</w:t>
            </w:r>
          </w:p>
        </w:tc>
        <w:tc>
          <w:tcPr>
            <w:tcW w:w="1077" w:type="dxa"/>
          </w:tcPr>
          <w:p>
            <w:pPr>
              <w:pStyle w:val="0"/>
            </w:pPr>
            <w:r>
              <w:rPr>
                <w:sz w:val="20"/>
              </w:rPr>
              <w:t xml:space="preserve">+++</w:t>
            </w:r>
          </w:p>
        </w:tc>
        <w:tc>
          <w:tcPr>
            <w:tcW w:w="794" w:type="dxa"/>
          </w:tcPr>
          <w:p>
            <w:pPr>
              <w:pStyle w:val="0"/>
            </w:pPr>
            <w:r>
              <w:rPr>
                <w:sz w:val="20"/>
              </w:rPr>
              <w:t xml:space="preserve">+++</w:t>
            </w:r>
          </w:p>
        </w:tc>
        <w:tc>
          <w:tcPr>
            <w:tcW w:w="794" w:type="dxa"/>
          </w:tcPr>
          <w:p>
            <w:pPr>
              <w:pStyle w:val="0"/>
            </w:pPr>
            <w:r>
              <w:rPr>
                <w:sz w:val="20"/>
              </w:rPr>
              <w:t xml:space="preserve">+++</w:t>
            </w:r>
          </w:p>
        </w:tc>
      </w:tr>
      <w:tr>
        <w:tc>
          <w:tcPr>
            <w:tcW w:w="3402" w:type="dxa"/>
          </w:tcPr>
          <w:p>
            <w:pPr>
              <w:pStyle w:val="0"/>
            </w:pPr>
            <w:r>
              <w:rPr>
                <w:sz w:val="20"/>
              </w:rPr>
              <w:t xml:space="preserve">Программа ХСН</w:t>
            </w:r>
          </w:p>
        </w:tc>
        <w:tc>
          <w:tcPr>
            <w:tcW w:w="1020" w:type="dxa"/>
          </w:tcPr>
          <w:p>
            <w:pPr>
              <w:pStyle w:val="0"/>
            </w:pPr>
            <w:r>
              <w:rPr>
                <w:sz w:val="20"/>
              </w:rPr>
              <w:t xml:space="preserve">+</w:t>
            </w:r>
          </w:p>
        </w:tc>
        <w:tc>
          <w:tcPr>
            <w:tcW w:w="907" w:type="dxa"/>
          </w:tcPr>
          <w:p>
            <w:pPr>
              <w:pStyle w:val="0"/>
            </w:pPr>
            <w:r>
              <w:rPr>
                <w:sz w:val="20"/>
              </w:rPr>
              <w:t xml:space="preserve">+</w:t>
            </w:r>
          </w:p>
        </w:tc>
        <w:tc>
          <w:tcPr>
            <w:tcW w:w="1020" w:type="dxa"/>
          </w:tcPr>
          <w:p>
            <w:pPr>
              <w:pStyle w:val="0"/>
            </w:pPr>
            <w:r>
              <w:rPr>
                <w:sz w:val="20"/>
              </w:rPr>
              <w:t xml:space="preserve">++</w:t>
            </w:r>
          </w:p>
        </w:tc>
        <w:tc>
          <w:tcPr>
            <w:tcW w:w="1077" w:type="dxa"/>
          </w:tcPr>
          <w:p>
            <w:pPr>
              <w:pStyle w:val="0"/>
            </w:pPr>
            <w:r>
              <w:rPr>
                <w:sz w:val="20"/>
              </w:rPr>
              <w:t xml:space="preserve">+++</w:t>
            </w:r>
          </w:p>
        </w:tc>
        <w:tc>
          <w:tcPr>
            <w:tcW w:w="794" w:type="dxa"/>
          </w:tcPr>
          <w:p>
            <w:pPr>
              <w:pStyle w:val="0"/>
            </w:pPr>
            <w:r>
              <w:rPr>
                <w:sz w:val="20"/>
              </w:rPr>
              <w:t xml:space="preserve">+++</w:t>
            </w:r>
          </w:p>
        </w:tc>
        <w:tc>
          <w:tcPr>
            <w:tcW w:w="794" w:type="dxa"/>
          </w:tcPr>
          <w:p>
            <w:pPr>
              <w:pStyle w:val="0"/>
            </w:pPr>
            <w:r>
              <w:rPr>
                <w:sz w:val="20"/>
              </w:rPr>
              <w:t xml:space="preserve">+++</w:t>
            </w:r>
          </w:p>
        </w:tc>
      </w:tr>
      <w:tr>
        <w:tc>
          <w:tcPr>
            <w:tcW w:w="3402" w:type="dxa"/>
          </w:tcPr>
          <w:p>
            <w:pPr>
              <w:pStyle w:val="0"/>
            </w:pPr>
            <w:r>
              <w:rPr>
                <w:sz w:val="20"/>
              </w:rPr>
              <w:t xml:space="preserve">Внедрение новых технологий</w:t>
            </w:r>
          </w:p>
        </w:tc>
        <w:tc>
          <w:tcPr>
            <w:tcW w:w="1020" w:type="dxa"/>
          </w:tcPr>
          <w:p>
            <w:pPr>
              <w:pStyle w:val="0"/>
            </w:pPr>
            <w:r>
              <w:rPr>
                <w:sz w:val="20"/>
              </w:rPr>
              <w:t xml:space="preserve">++</w:t>
            </w:r>
          </w:p>
        </w:tc>
        <w:tc>
          <w:tcPr>
            <w:tcW w:w="907" w:type="dxa"/>
          </w:tcPr>
          <w:p>
            <w:pPr>
              <w:pStyle w:val="0"/>
            </w:pPr>
            <w:r>
              <w:rPr>
                <w:sz w:val="20"/>
              </w:rPr>
              <w:t xml:space="preserve">++</w:t>
            </w:r>
          </w:p>
        </w:tc>
        <w:tc>
          <w:tcPr>
            <w:tcW w:w="1020" w:type="dxa"/>
          </w:tcPr>
          <w:p>
            <w:pPr>
              <w:pStyle w:val="0"/>
            </w:pPr>
            <w:r>
              <w:rPr>
                <w:sz w:val="20"/>
              </w:rPr>
              <w:t xml:space="preserve">+++</w:t>
            </w:r>
          </w:p>
        </w:tc>
        <w:tc>
          <w:tcPr>
            <w:tcW w:w="1077" w:type="dxa"/>
          </w:tcPr>
          <w:p>
            <w:pPr>
              <w:pStyle w:val="0"/>
            </w:pPr>
            <w:r>
              <w:rPr>
                <w:sz w:val="20"/>
              </w:rPr>
              <w:t xml:space="preserve">+++</w:t>
            </w:r>
          </w:p>
        </w:tc>
        <w:tc>
          <w:tcPr>
            <w:tcW w:w="794" w:type="dxa"/>
          </w:tcPr>
          <w:p>
            <w:pPr>
              <w:pStyle w:val="0"/>
            </w:pPr>
            <w:r>
              <w:rPr>
                <w:sz w:val="20"/>
              </w:rPr>
              <w:t xml:space="preserve">+++</w:t>
            </w:r>
          </w:p>
        </w:tc>
        <w:tc>
          <w:tcPr>
            <w:tcW w:w="794" w:type="dxa"/>
          </w:tcPr>
          <w:p>
            <w:pPr>
              <w:pStyle w:val="0"/>
            </w:pPr>
            <w:r>
              <w:rPr>
                <w:sz w:val="20"/>
              </w:rPr>
              <w:t xml:space="preserve">+++</w:t>
            </w:r>
          </w:p>
        </w:tc>
      </w:tr>
      <w:tr>
        <w:tc>
          <w:tcPr>
            <w:tcW w:w="3402" w:type="dxa"/>
          </w:tcPr>
          <w:p>
            <w:pPr>
              <w:pStyle w:val="0"/>
            </w:pPr>
            <w:r>
              <w:rPr>
                <w:sz w:val="20"/>
              </w:rPr>
              <w:t xml:space="preserve">Разработка новых программ</w:t>
            </w:r>
          </w:p>
        </w:tc>
        <w:tc>
          <w:tcPr>
            <w:tcW w:w="1020" w:type="dxa"/>
          </w:tcPr>
          <w:p>
            <w:pPr>
              <w:pStyle w:val="0"/>
            </w:pPr>
            <w:r>
              <w:rPr>
                <w:sz w:val="20"/>
              </w:rPr>
              <w:t xml:space="preserve">++</w:t>
            </w:r>
          </w:p>
        </w:tc>
        <w:tc>
          <w:tcPr>
            <w:tcW w:w="907" w:type="dxa"/>
          </w:tcPr>
          <w:p>
            <w:pPr>
              <w:pStyle w:val="0"/>
            </w:pPr>
            <w:r>
              <w:rPr>
                <w:sz w:val="20"/>
              </w:rPr>
              <w:t xml:space="preserve">++</w:t>
            </w:r>
          </w:p>
        </w:tc>
        <w:tc>
          <w:tcPr>
            <w:tcW w:w="1020" w:type="dxa"/>
          </w:tcPr>
          <w:p>
            <w:pPr>
              <w:pStyle w:val="0"/>
            </w:pPr>
            <w:r>
              <w:rPr>
                <w:sz w:val="20"/>
              </w:rPr>
              <w:t xml:space="preserve">++</w:t>
            </w:r>
          </w:p>
        </w:tc>
        <w:tc>
          <w:tcPr>
            <w:tcW w:w="1077" w:type="dxa"/>
          </w:tcPr>
          <w:p>
            <w:pPr>
              <w:pStyle w:val="0"/>
            </w:pPr>
            <w:r>
              <w:rPr>
                <w:sz w:val="20"/>
              </w:rPr>
              <w:t xml:space="preserve">+++</w:t>
            </w:r>
          </w:p>
        </w:tc>
        <w:tc>
          <w:tcPr>
            <w:tcW w:w="794" w:type="dxa"/>
          </w:tcPr>
          <w:p>
            <w:pPr>
              <w:pStyle w:val="0"/>
            </w:pPr>
            <w:r>
              <w:rPr>
                <w:sz w:val="20"/>
              </w:rPr>
              <w:t xml:space="preserve">+++</w:t>
            </w:r>
          </w:p>
        </w:tc>
        <w:tc>
          <w:tcPr>
            <w:tcW w:w="794" w:type="dxa"/>
          </w:tcPr>
          <w:p>
            <w:pPr>
              <w:pStyle w:val="0"/>
            </w:pPr>
            <w:r>
              <w:rPr>
                <w:sz w:val="20"/>
              </w:rPr>
              <w:t xml:space="preserve">++</w:t>
            </w:r>
          </w:p>
        </w:tc>
      </w:tr>
    </w:tbl>
    <w:p>
      <w:pPr>
        <w:pStyle w:val="0"/>
        <w:jc w:val="right"/>
      </w:pPr>
      <w:r>
        <w:rPr>
          <w:sz w:val="20"/>
        </w:rPr>
      </w:r>
    </w:p>
    <w:p>
      <w:pPr>
        <w:pStyle w:val="0"/>
        <w:jc w:val="right"/>
      </w:pPr>
      <w:r>
        <w:rPr>
          <w:sz w:val="20"/>
        </w:rPr>
        <w:t xml:space="preserve">Рисунок 22</w:t>
      </w:r>
    </w:p>
    <w:p>
      <w:pPr>
        <w:pStyle w:val="0"/>
        <w:jc w:val="right"/>
      </w:pPr>
      <w:r>
        <w:rPr>
          <w:sz w:val="20"/>
        </w:rPr>
      </w:r>
    </w:p>
    <w:p>
      <w:pPr>
        <w:pStyle w:val="0"/>
        <w:jc w:val="center"/>
      </w:pPr>
      <w:r>
        <w:rPr>
          <w:sz w:val="20"/>
        </w:rPr>
        <w:t xml:space="preserve">Число предотвращенных смертей за период реализации программы</w:t>
      </w:r>
    </w:p>
    <w:p>
      <w:pPr>
        <w:pStyle w:val="0"/>
        <w:jc w:val="right"/>
      </w:pPr>
      <w:r>
        <w:rPr>
          <w:sz w:val="20"/>
        </w:rPr>
      </w:r>
    </w:p>
    <w:p>
      <w:pPr>
        <w:pStyle w:val="0"/>
        <w:jc w:val="center"/>
      </w:pPr>
      <w:r>
        <w:rPr>
          <w:position w:val="-94"/>
        </w:rPr>
        <w:drawing>
          <wp:inline distT="0" distB="0" distL="0" distR="0">
            <wp:extent cx="5266690" cy="1329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5266690" cy="1329055"/>
                    </a:xfrm>
                    <a:prstGeom prst="rect">
                      <a:avLst/>
                    </a:prstGeom>
                    <a:noFill/>
                    <a:ln>
                      <a:noFill/>
                    </a:ln>
                  </pic:spPr>
                </pic:pic>
              </a:graphicData>
            </a:graphic>
          </wp:inline>
        </w:drawing>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5</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pPr>
      <w:r>
        <w:rPr>
          <w:sz w:val="20"/>
        </w:rPr>
      </w:r>
    </w:p>
    <w:bookmarkStart w:id="20732" w:name="P20732"/>
    <w:bookmarkEnd w:id="20732"/>
    <w:p>
      <w:pPr>
        <w:pStyle w:val="2"/>
        <w:jc w:val="center"/>
      </w:pPr>
      <w:r>
        <w:rPr>
          <w:sz w:val="20"/>
        </w:rPr>
        <w:t xml:space="preserve">ПРОГРАММА</w:t>
      </w:r>
    </w:p>
    <w:p>
      <w:pPr>
        <w:pStyle w:val="2"/>
        <w:jc w:val="center"/>
      </w:pPr>
      <w:r>
        <w:rPr>
          <w:sz w:val="20"/>
        </w:rPr>
        <w:t xml:space="preserve">ХАНТЫ-МАНСИЙСКОГО АВТОНОМНОГО ОКРУГА - ЮГРЫ "РАЗВИТИЕ</w:t>
      </w:r>
    </w:p>
    <w:p>
      <w:pPr>
        <w:pStyle w:val="2"/>
        <w:jc w:val="center"/>
      </w:pPr>
      <w:r>
        <w:rPr>
          <w:sz w:val="20"/>
        </w:rPr>
        <w:t xml:space="preserve">СИСТЕМЫ ОКАЗАНИЯ ПАЛЛИАТИВНОЙ МЕДИЦИНСКОЙ ПОМОЩИ"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70" w:tooltip="Постановление Правительства ХМАО - Югры от 23.12.2022 N 69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постановления</w:t>
              </w:r>
            </w:hyperlink>
            <w:r>
              <w:rPr>
                <w:sz w:val="20"/>
                <w:color w:val="392c69"/>
              </w:rPr>
              <w:t xml:space="preserve"> Правительства ХМАО - Югры от 23.12.2022 N 692-п)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2"/>
        <w:outlineLvl w:val="1"/>
        <w:jc w:val="center"/>
      </w:pPr>
      <w:r>
        <w:rPr>
          <w:sz w:val="20"/>
        </w:rPr>
        <w:t xml:space="preserve">Раздел I. ВВЕДЕНИЕ</w:t>
      </w:r>
    </w:p>
    <w:p>
      <w:pPr>
        <w:pStyle w:val="0"/>
        <w:ind w:firstLine="540"/>
        <w:jc w:val="both"/>
      </w:pPr>
      <w:r>
        <w:rPr>
          <w:sz w:val="20"/>
        </w:rPr>
      </w:r>
    </w:p>
    <w:p>
      <w:pPr>
        <w:pStyle w:val="0"/>
        <w:ind w:firstLine="540"/>
        <w:jc w:val="both"/>
      </w:pPr>
      <w:r>
        <w:rPr>
          <w:sz w:val="20"/>
        </w:rPr>
        <w:t xml:space="preserve">Программа Ханты-Мансийского автономного округа - Югры "Развитие системы оказания паллиативной медицинской помощи" (далее - Региональная программа, автономный округ) разработана в соответствии со </w:t>
      </w:r>
      <w:hyperlink w:history="0" r:id="rId171"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статьей 36</w:t>
        </w:r>
      </w:hyperlink>
      <w:r>
        <w:rPr>
          <w:sz w:val="20"/>
        </w:rPr>
        <w:t xml:space="preserve"> Федерального закона от 21 ноября 2011 года N 323-ФЗ "Об основах охраны здоровья граждан в Российской Федерации" (далее - Федеральный закон N 323-ФЗ), </w:t>
      </w:r>
      <w:hyperlink w:history="0" r:id="rId172"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приказом</w:t>
        </w:r>
      </w:hyperlink>
      <w:r>
        <w:rPr>
          <w:sz w:val="20"/>
        </w:rPr>
        <w:t xml:space="preserve"> Министерства здравоохранения Российской Федерации (далее - Минздрав России), Министерства труда и социальной защиты Российской Федерации от 31 мая 2019 года N 345н/372н "Об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w:t>
      </w:r>
    </w:p>
    <w:p>
      <w:pPr>
        <w:pStyle w:val="0"/>
        <w:spacing w:before="200" w:line-rule="auto"/>
        <w:ind w:firstLine="540"/>
        <w:jc w:val="both"/>
      </w:pPr>
      <w:r>
        <w:rPr>
          <w:sz w:val="20"/>
        </w:rPr>
        <w:t xml:space="preserve">Региональная программа направлена на совершенствование системы паллиативной медицинской помощи (далее - ПМП) в медицинских организациях автономного округа.</w:t>
      </w:r>
    </w:p>
    <w:p>
      <w:pPr>
        <w:pStyle w:val="0"/>
        <w:ind w:firstLine="540"/>
        <w:jc w:val="both"/>
      </w:pPr>
      <w:r>
        <w:rPr>
          <w:sz w:val="20"/>
        </w:rPr>
      </w:r>
    </w:p>
    <w:p>
      <w:pPr>
        <w:pStyle w:val="2"/>
        <w:outlineLvl w:val="2"/>
        <w:jc w:val="center"/>
      </w:pPr>
      <w:r>
        <w:rPr>
          <w:sz w:val="20"/>
        </w:rPr>
        <w:t xml:space="preserve">1.1. Цель и задачи Региональной программы</w:t>
      </w:r>
    </w:p>
    <w:p>
      <w:pPr>
        <w:pStyle w:val="0"/>
        <w:ind w:firstLine="540"/>
        <w:jc w:val="both"/>
      </w:pPr>
      <w:r>
        <w:rPr>
          <w:sz w:val="20"/>
        </w:rPr>
      </w:r>
    </w:p>
    <w:p>
      <w:pPr>
        <w:pStyle w:val="0"/>
        <w:ind w:firstLine="540"/>
        <w:jc w:val="both"/>
      </w:pPr>
      <w:r>
        <w:rPr>
          <w:sz w:val="20"/>
        </w:rPr>
        <w:t xml:space="preserve">Цель Региональной программы:</w:t>
      </w:r>
    </w:p>
    <w:p>
      <w:pPr>
        <w:pStyle w:val="0"/>
        <w:spacing w:before="200" w:line-rule="auto"/>
        <w:ind w:firstLine="540"/>
        <w:jc w:val="both"/>
      </w:pPr>
      <w:r>
        <w:rPr>
          <w:sz w:val="20"/>
        </w:rPr>
        <w:t xml:space="preserve">улучшение качества жизни неизлечимо больных граждан, повышение доступности и качества оказания ПМП, в том числе за счет полного охвата адекватным обезболиванием пациентов с хроническим болевым синдромом.</w:t>
      </w:r>
    </w:p>
    <w:p>
      <w:pPr>
        <w:pStyle w:val="0"/>
        <w:spacing w:before="200" w:line-rule="auto"/>
        <w:ind w:firstLine="540"/>
        <w:jc w:val="both"/>
      </w:pPr>
      <w:r>
        <w:rPr>
          <w:sz w:val="20"/>
        </w:rPr>
        <w:t xml:space="preserve">Задачи Региональной программы:</w:t>
      </w:r>
    </w:p>
    <w:p>
      <w:pPr>
        <w:pStyle w:val="0"/>
        <w:spacing w:before="200" w:line-rule="auto"/>
        <w:ind w:firstLine="540"/>
        <w:jc w:val="both"/>
      </w:pPr>
      <w:r>
        <w:rPr>
          <w:sz w:val="20"/>
        </w:rPr>
        <w:t xml:space="preserve">совершенствование нормативного правового регулирования организации оказания ПМП;</w:t>
      </w:r>
    </w:p>
    <w:p>
      <w:pPr>
        <w:pStyle w:val="0"/>
        <w:spacing w:before="200" w:line-rule="auto"/>
        <w:ind w:firstLine="540"/>
        <w:jc w:val="both"/>
      </w:pPr>
      <w:r>
        <w:rPr>
          <w:sz w:val="20"/>
        </w:rPr>
        <w:t xml:space="preserve">укрепление и развитие материально-технической базы медицинских организаций, оказывающих ПМП;</w:t>
      </w:r>
    </w:p>
    <w:p>
      <w:pPr>
        <w:pStyle w:val="0"/>
        <w:spacing w:before="200" w:line-rule="auto"/>
        <w:ind w:firstLine="540"/>
        <w:jc w:val="both"/>
      </w:pPr>
      <w:r>
        <w:rPr>
          <w:sz w:val="20"/>
        </w:rPr>
        <w:t xml:space="preserve">повышение доступности лекарственного обеспечения пациентов, нуждающихся в оказании ПМП, в том числе наркотическими и психотропными лекарственными препаратами;</w:t>
      </w:r>
    </w:p>
    <w:p>
      <w:pPr>
        <w:pStyle w:val="0"/>
        <w:spacing w:before="200" w:line-rule="auto"/>
        <w:ind w:firstLine="540"/>
        <w:jc w:val="both"/>
      </w:pPr>
      <w:r>
        <w:rPr>
          <w:sz w:val="20"/>
        </w:rPr>
        <w:t xml:space="preserve">обеспечение пациентов медицинскими изделиями, в том числе предоставляемыми для использования на дому;</w:t>
      </w:r>
    </w:p>
    <w:p>
      <w:pPr>
        <w:pStyle w:val="0"/>
        <w:spacing w:before="200" w:line-rule="auto"/>
        <w:ind w:firstLine="540"/>
        <w:jc w:val="both"/>
      </w:pPr>
      <w:r>
        <w:rPr>
          <w:sz w:val="20"/>
        </w:rPr>
        <w:t xml:space="preserve">внедрение информационных технологий в работу служб ПМП, развитие практики применения телемедицинских технологий, в том числе дистанционного консультирования "врач-врач", "врач-пациент", на всех этапах оказания медицинской помощи;</w:t>
      </w:r>
    </w:p>
    <w:p>
      <w:pPr>
        <w:pStyle w:val="0"/>
        <w:spacing w:before="200" w:line-rule="auto"/>
        <w:ind w:firstLine="540"/>
        <w:jc w:val="both"/>
      </w:pPr>
      <w:r>
        <w:rPr>
          <w:sz w:val="20"/>
        </w:rPr>
        <w:t xml:space="preserve">укомплектование медицинскими кадрами (врачами, средним и младшим медицинским персоналом);</w:t>
      </w:r>
    </w:p>
    <w:p>
      <w:pPr>
        <w:pStyle w:val="0"/>
        <w:spacing w:before="200" w:line-rule="auto"/>
        <w:ind w:firstLine="540"/>
        <w:jc w:val="both"/>
      </w:pPr>
      <w:r>
        <w:rPr>
          <w:sz w:val="20"/>
        </w:rPr>
        <w:t xml:space="preserve">организация профессиональной подготовки медицинских специалистов по вопросам оказания ПМП;</w:t>
      </w:r>
    </w:p>
    <w:p>
      <w:pPr>
        <w:pStyle w:val="0"/>
        <w:spacing w:before="200" w:line-rule="auto"/>
        <w:ind w:firstLine="540"/>
        <w:jc w:val="both"/>
      </w:pPr>
      <w:r>
        <w:rPr>
          <w:sz w:val="20"/>
        </w:rPr>
        <w:t xml:space="preserve">внедрение в практику и оказание медицинской помощи пациентов на основе клинических рекомендаций и протоколов ведения пациентов, нуждающихся в ПМП;</w:t>
      </w:r>
    </w:p>
    <w:p>
      <w:pPr>
        <w:pStyle w:val="0"/>
        <w:spacing w:before="200" w:line-rule="auto"/>
        <w:ind w:firstLine="540"/>
        <w:jc w:val="both"/>
      </w:pPr>
      <w:r>
        <w:rPr>
          <w:sz w:val="20"/>
        </w:rPr>
        <w:t xml:space="preserve">обеспечение мультидисциплинарного подхода при оказании ПМП и обеспечение преемственности в работе, в том числе в ходе межведомственного взаимодействия;</w:t>
      </w:r>
    </w:p>
    <w:p>
      <w:pPr>
        <w:pStyle w:val="0"/>
        <w:spacing w:before="200" w:line-rule="auto"/>
        <w:ind w:firstLine="540"/>
        <w:jc w:val="both"/>
      </w:pPr>
      <w:r>
        <w:rPr>
          <w:sz w:val="20"/>
        </w:rPr>
        <w:t xml:space="preserve">развитие службы психологической помощи нуждающимся в ПМП и членам их семей;</w:t>
      </w:r>
    </w:p>
    <w:p>
      <w:pPr>
        <w:pStyle w:val="0"/>
        <w:spacing w:before="200" w:line-rule="auto"/>
        <w:ind w:firstLine="540"/>
        <w:jc w:val="both"/>
      </w:pPr>
      <w:r>
        <w:rPr>
          <w:sz w:val="20"/>
        </w:rPr>
        <w:t xml:space="preserve">консультирование родственников пациентов, нуждающихся в оказании ПМП, обучение их навыкам ухода за тяжелобольными;</w:t>
      </w:r>
    </w:p>
    <w:p>
      <w:pPr>
        <w:pStyle w:val="0"/>
        <w:spacing w:before="200" w:line-rule="auto"/>
        <w:ind w:firstLine="540"/>
        <w:jc w:val="both"/>
      </w:pPr>
      <w:r>
        <w:rPr>
          <w:sz w:val="20"/>
        </w:rPr>
        <w:t xml:space="preserve">формирование системы контроля качества оказания ПМП.</w:t>
      </w:r>
    </w:p>
    <w:p>
      <w:pPr>
        <w:pStyle w:val="0"/>
        <w:ind w:firstLine="540"/>
        <w:jc w:val="both"/>
      </w:pPr>
      <w:r>
        <w:rPr>
          <w:sz w:val="20"/>
        </w:rPr>
      </w:r>
    </w:p>
    <w:p>
      <w:pPr>
        <w:pStyle w:val="2"/>
        <w:outlineLvl w:val="2"/>
        <w:jc w:val="center"/>
      </w:pPr>
      <w:r>
        <w:rPr>
          <w:sz w:val="20"/>
        </w:rPr>
        <w:t xml:space="preserve">1.2. Основные целевые показатели эффективности реализации</w:t>
      </w:r>
    </w:p>
    <w:p>
      <w:pPr>
        <w:pStyle w:val="2"/>
        <w:jc w:val="center"/>
      </w:pPr>
      <w:r>
        <w:rPr>
          <w:sz w:val="20"/>
        </w:rPr>
        <w:t xml:space="preserve">Региональной программы</w:t>
      </w:r>
    </w:p>
    <w:p>
      <w:pPr>
        <w:pStyle w:val="0"/>
        <w:jc w:val="center"/>
      </w:pPr>
      <w:r>
        <w:rPr>
          <w:sz w:val="20"/>
        </w:rPr>
      </w:r>
    </w:p>
    <w:p>
      <w:pPr>
        <w:pStyle w:val="0"/>
        <w:outlineLvl w:val="3"/>
        <w:jc w:val="right"/>
      </w:pPr>
      <w:r>
        <w:rPr>
          <w:sz w:val="20"/>
        </w:rPr>
        <w:t xml:space="preserve">Таблица 1</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3912"/>
        <w:gridCol w:w="1474"/>
        <w:gridCol w:w="850"/>
        <w:gridCol w:w="794"/>
        <w:gridCol w:w="794"/>
        <w:gridCol w:w="604"/>
      </w:tblGrid>
      <w:tr>
        <w:tc>
          <w:tcPr>
            <w:tcW w:w="454" w:type="dxa"/>
            <w:vMerge w:val="restart"/>
          </w:tcPr>
          <w:p>
            <w:pPr>
              <w:pStyle w:val="0"/>
              <w:jc w:val="center"/>
            </w:pPr>
            <w:r>
              <w:rPr>
                <w:sz w:val="20"/>
              </w:rPr>
              <w:t xml:space="preserve">N</w:t>
            </w:r>
          </w:p>
          <w:p>
            <w:pPr>
              <w:pStyle w:val="0"/>
              <w:jc w:val="center"/>
            </w:pPr>
            <w:r>
              <w:rPr>
                <w:sz w:val="20"/>
              </w:rPr>
              <w:t xml:space="preserve">п/п</w:t>
            </w:r>
          </w:p>
        </w:tc>
        <w:tc>
          <w:tcPr>
            <w:tcW w:w="3912" w:type="dxa"/>
            <w:vMerge w:val="restart"/>
          </w:tcPr>
          <w:p>
            <w:pPr>
              <w:pStyle w:val="0"/>
              <w:jc w:val="center"/>
            </w:pPr>
            <w:r>
              <w:rPr>
                <w:sz w:val="20"/>
              </w:rPr>
              <w:t xml:space="preserve">Показатель</w:t>
            </w:r>
          </w:p>
        </w:tc>
        <w:tc>
          <w:tcPr>
            <w:tcW w:w="1474" w:type="dxa"/>
            <w:vMerge w:val="restart"/>
          </w:tcPr>
          <w:p>
            <w:pPr>
              <w:pStyle w:val="0"/>
              <w:jc w:val="center"/>
            </w:pPr>
            <w:r>
              <w:rPr>
                <w:sz w:val="20"/>
              </w:rPr>
              <w:t xml:space="preserve">Базовое значение</w:t>
            </w:r>
          </w:p>
        </w:tc>
        <w:tc>
          <w:tcPr>
            <w:gridSpan w:val="4"/>
            <w:tcW w:w="3042" w:type="dxa"/>
          </w:tcPr>
          <w:p>
            <w:pPr>
              <w:pStyle w:val="0"/>
              <w:jc w:val="center"/>
            </w:pPr>
            <w:r>
              <w:rPr>
                <w:sz w:val="20"/>
              </w:rPr>
              <w:t xml:space="preserve">Период, год</w:t>
            </w:r>
          </w:p>
        </w:tc>
      </w:tr>
      <w:tr>
        <w:tc>
          <w:tcPr>
            <w:vMerge w:val="continue"/>
          </w:tcPr>
          <w:p/>
        </w:tc>
        <w:tc>
          <w:tcPr>
            <w:vMerge w:val="continue"/>
          </w:tcPr>
          <w:p/>
        </w:tc>
        <w:tc>
          <w:tcPr>
            <w:vMerge w:val="continue"/>
          </w:tcPr>
          <w:p/>
        </w:tc>
        <w:tc>
          <w:tcPr>
            <w:tcW w:w="850" w:type="dxa"/>
          </w:tcPr>
          <w:p>
            <w:pPr>
              <w:pStyle w:val="0"/>
              <w:jc w:val="center"/>
            </w:pPr>
            <w:r>
              <w:rPr>
                <w:sz w:val="20"/>
              </w:rPr>
              <w:t xml:space="preserve">2022</w:t>
            </w:r>
          </w:p>
        </w:tc>
        <w:tc>
          <w:tcPr>
            <w:tcW w:w="794" w:type="dxa"/>
          </w:tcPr>
          <w:p>
            <w:pPr>
              <w:pStyle w:val="0"/>
              <w:jc w:val="center"/>
            </w:pPr>
            <w:r>
              <w:rPr>
                <w:sz w:val="20"/>
              </w:rPr>
              <w:t xml:space="preserve">2023</w:t>
            </w:r>
          </w:p>
        </w:tc>
        <w:tc>
          <w:tcPr>
            <w:tcW w:w="794" w:type="dxa"/>
          </w:tcPr>
          <w:p>
            <w:pPr>
              <w:pStyle w:val="0"/>
              <w:jc w:val="center"/>
            </w:pPr>
            <w:r>
              <w:rPr>
                <w:sz w:val="20"/>
              </w:rPr>
              <w:t xml:space="preserve">2024</w:t>
            </w:r>
          </w:p>
        </w:tc>
        <w:tc>
          <w:tcPr>
            <w:tcW w:w="604" w:type="dxa"/>
          </w:tcPr>
          <w:p>
            <w:pPr>
              <w:pStyle w:val="0"/>
              <w:jc w:val="center"/>
            </w:pPr>
            <w:r>
              <w:rPr>
                <w:sz w:val="20"/>
              </w:rPr>
              <w:t xml:space="preserve">2025</w:t>
            </w:r>
          </w:p>
        </w:tc>
      </w:tr>
      <w:tr>
        <w:tc>
          <w:tcPr>
            <w:tcW w:w="454" w:type="dxa"/>
          </w:tcPr>
          <w:p>
            <w:pPr>
              <w:pStyle w:val="0"/>
            </w:pPr>
            <w:r>
              <w:rPr>
                <w:sz w:val="20"/>
              </w:rPr>
              <w:t xml:space="preserve">1</w:t>
            </w:r>
          </w:p>
        </w:tc>
        <w:tc>
          <w:tcPr>
            <w:tcW w:w="3912" w:type="dxa"/>
          </w:tcPr>
          <w:p>
            <w:pPr>
              <w:pStyle w:val="0"/>
            </w:pPr>
            <w:r>
              <w:rPr>
                <w:sz w:val="20"/>
              </w:rPr>
              <w:t xml:space="preserve">Доля пациентов, получивших ПМП, в общем количестве пациентов, нуждающихся в ней, %</w:t>
            </w:r>
          </w:p>
        </w:tc>
        <w:tc>
          <w:tcPr>
            <w:tcW w:w="1474" w:type="dxa"/>
          </w:tcPr>
          <w:p>
            <w:pPr>
              <w:pStyle w:val="0"/>
            </w:pPr>
            <w:r>
              <w:rPr>
                <w:sz w:val="20"/>
              </w:rPr>
              <w:t xml:space="preserve">78,64</w:t>
            </w:r>
          </w:p>
        </w:tc>
        <w:tc>
          <w:tcPr>
            <w:tcW w:w="850" w:type="dxa"/>
          </w:tcPr>
          <w:p>
            <w:pPr>
              <w:pStyle w:val="0"/>
            </w:pPr>
            <w:r>
              <w:rPr>
                <w:sz w:val="20"/>
              </w:rPr>
              <w:t xml:space="preserve">79</w:t>
            </w:r>
          </w:p>
        </w:tc>
        <w:tc>
          <w:tcPr>
            <w:tcW w:w="794" w:type="dxa"/>
          </w:tcPr>
          <w:p>
            <w:pPr>
              <w:pStyle w:val="0"/>
            </w:pPr>
            <w:r>
              <w:rPr>
                <w:sz w:val="20"/>
              </w:rPr>
              <w:t xml:space="preserve">79</w:t>
            </w:r>
          </w:p>
        </w:tc>
        <w:tc>
          <w:tcPr>
            <w:tcW w:w="794" w:type="dxa"/>
          </w:tcPr>
          <w:p>
            <w:pPr>
              <w:pStyle w:val="0"/>
            </w:pPr>
            <w:r>
              <w:rPr>
                <w:sz w:val="20"/>
              </w:rPr>
              <w:t xml:space="preserve">80</w:t>
            </w:r>
          </w:p>
        </w:tc>
        <w:tc>
          <w:tcPr>
            <w:tcW w:w="604" w:type="dxa"/>
          </w:tcPr>
          <w:p>
            <w:pPr>
              <w:pStyle w:val="0"/>
            </w:pPr>
            <w:r>
              <w:rPr>
                <w:sz w:val="20"/>
              </w:rPr>
              <w:t xml:space="preserve">80</w:t>
            </w:r>
          </w:p>
        </w:tc>
      </w:tr>
      <w:tr>
        <w:tc>
          <w:tcPr>
            <w:tcW w:w="454" w:type="dxa"/>
            <w:vMerge w:val="restart"/>
          </w:tcPr>
          <w:p>
            <w:pPr>
              <w:pStyle w:val="0"/>
            </w:pPr>
            <w:r>
              <w:rPr>
                <w:sz w:val="20"/>
              </w:rPr>
              <w:t xml:space="preserve">2</w:t>
            </w:r>
          </w:p>
        </w:tc>
        <w:tc>
          <w:tcPr>
            <w:tcW w:w="3912" w:type="dxa"/>
          </w:tcPr>
          <w:p>
            <w:pPr>
              <w:pStyle w:val="0"/>
            </w:pPr>
            <w:r>
              <w:rPr>
                <w:sz w:val="20"/>
              </w:rPr>
              <w:t xml:space="preserve">Обеспеченность паллиативными койками на 10 000 населения из них:</w:t>
            </w:r>
          </w:p>
        </w:tc>
        <w:tc>
          <w:tcPr>
            <w:tcW w:w="1474" w:type="dxa"/>
          </w:tcPr>
          <w:p>
            <w:pPr>
              <w:pStyle w:val="0"/>
            </w:pPr>
            <w:r>
              <w:rPr>
                <w:sz w:val="20"/>
              </w:rPr>
              <w:t xml:space="preserve">1,83</w:t>
            </w:r>
          </w:p>
        </w:tc>
        <w:tc>
          <w:tcPr>
            <w:tcW w:w="850" w:type="dxa"/>
          </w:tcPr>
          <w:p>
            <w:pPr>
              <w:pStyle w:val="0"/>
            </w:pPr>
            <w:r>
              <w:rPr>
                <w:sz w:val="20"/>
              </w:rPr>
              <w:t xml:space="preserve">1,83</w:t>
            </w:r>
          </w:p>
        </w:tc>
        <w:tc>
          <w:tcPr>
            <w:tcW w:w="794" w:type="dxa"/>
          </w:tcPr>
          <w:p>
            <w:pPr>
              <w:pStyle w:val="0"/>
            </w:pPr>
            <w:r>
              <w:rPr>
                <w:sz w:val="20"/>
              </w:rPr>
              <w:t xml:space="preserve">1,83</w:t>
            </w:r>
          </w:p>
        </w:tc>
        <w:tc>
          <w:tcPr>
            <w:tcW w:w="794" w:type="dxa"/>
          </w:tcPr>
          <w:p>
            <w:pPr>
              <w:pStyle w:val="0"/>
            </w:pPr>
            <w:r>
              <w:rPr>
                <w:sz w:val="20"/>
              </w:rPr>
              <w:t xml:space="preserve">1,9</w:t>
            </w:r>
          </w:p>
        </w:tc>
        <w:tc>
          <w:tcPr>
            <w:tcW w:w="604" w:type="dxa"/>
          </w:tcPr>
          <w:p>
            <w:pPr>
              <w:pStyle w:val="0"/>
            </w:pPr>
            <w:r>
              <w:rPr>
                <w:sz w:val="20"/>
              </w:rPr>
              <w:t xml:space="preserve">1,9</w:t>
            </w:r>
          </w:p>
        </w:tc>
      </w:tr>
      <w:tr>
        <w:tc>
          <w:tcPr>
            <w:vMerge w:val="continue"/>
          </w:tcPr>
          <w:p/>
        </w:tc>
        <w:tc>
          <w:tcPr>
            <w:tcW w:w="3912" w:type="dxa"/>
          </w:tcPr>
          <w:p>
            <w:pPr>
              <w:pStyle w:val="0"/>
            </w:pPr>
            <w:r>
              <w:rPr>
                <w:sz w:val="20"/>
              </w:rPr>
              <w:t xml:space="preserve">число коек на 10 000 взрослых</w:t>
            </w:r>
          </w:p>
        </w:tc>
        <w:tc>
          <w:tcPr>
            <w:tcW w:w="1474" w:type="dxa"/>
          </w:tcPr>
          <w:p>
            <w:pPr>
              <w:pStyle w:val="0"/>
            </w:pPr>
            <w:r>
              <w:rPr>
                <w:sz w:val="20"/>
              </w:rPr>
              <w:t xml:space="preserve">2,25</w:t>
            </w:r>
          </w:p>
        </w:tc>
        <w:tc>
          <w:tcPr>
            <w:tcW w:w="850" w:type="dxa"/>
          </w:tcPr>
          <w:p>
            <w:pPr>
              <w:pStyle w:val="0"/>
            </w:pPr>
            <w:r>
              <w:rPr>
                <w:sz w:val="20"/>
              </w:rPr>
              <w:t xml:space="preserve">2,25</w:t>
            </w:r>
          </w:p>
        </w:tc>
        <w:tc>
          <w:tcPr>
            <w:tcW w:w="794" w:type="dxa"/>
          </w:tcPr>
          <w:p>
            <w:pPr>
              <w:pStyle w:val="0"/>
            </w:pPr>
            <w:r>
              <w:rPr>
                <w:sz w:val="20"/>
              </w:rPr>
              <w:t xml:space="preserve">2,5</w:t>
            </w:r>
          </w:p>
        </w:tc>
        <w:tc>
          <w:tcPr>
            <w:tcW w:w="794" w:type="dxa"/>
          </w:tcPr>
          <w:p>
            <w:pPr>
              <w:pStyle w:val="0"/>
            </w:pPr>
            <w:r>
              <w:rPr>
                <w:sz w:val="20"/>
              </w:rPr>
              <w:t xml:space="preserve">2,3</w:t>
            </w:r>
          </w:p>
        </w:tc>
        <w:tc>
          <w:tcPr>
            <w:tcW w:w="604" w:type="dxa"/>
          </w:tcPr>
          <w:p>
            <w:pPr>
              <w:pStyle w:val="0"/>
            </w:pPr>
            <w:r>
              <w:rPr>
                <w:sz w:val="20"/>
              </w:rPr>
              <w:t xml:space="preserve">2,3</w:t>
            </w:r>
          </w:p>
        </w:tc>
      </w:tr>
      <w:tr>
        <w:tc>
          <w:tcPr>
            <w:vMerge w:val="continue"/>
          </w:tcPr>
          <w:p/>
        </w:tc>
        <w:tc>
          <w:tcPr>
            <w:tcW w:w="3912" w:type="dxa"/>
          </w:tcPr>
          <w:p>
            <w:pPr>
              <w:pStyle w:val="0"/>
            </w:pPr>
            <w:r>
              <w:rPr>
                <w:sz w:val="20"/>
              </w:rPr>
              <w:t xml:space="preserve">число коек на 10 000 детей</w:t>
            </w:r>
          </w:p>
        </w:tc>
        <w:tc>
          <w:tcPr>
            <w:tcW w:w="1474" w:type="dxa"/>
          </w:tcPr>
          <w:p>
            <w:pPr>
              <w:pStyle w:val="0"/>
            </w:pPr>
            <w:r>
              <w:rPr>
                <w:sz w:val="20"/>
              </w:rPr>
              <w:t xml:space="preserve">0,58</w:t>
            </w:r>
          </w:p>
        </w:tc>
        <w:tc>
          <w:tcPr>
            <w:tcW w:w="850" w:type="dxa"/>
          </w:tcPr>
          <w:p>
            <w:pPr>
              <w:pStyle w:val="0"/>
            </w:pPr>
            <w:r>
              <w:rPr>
                <w:sz w:val="20"/>
              </w:rPr>
              <w:t xml:space="preserve">0,58</w:t>
            </w:r>
          </w:p>
        </w:tc>
        <w:tc>
          <w:tcPr>
            <w:tcW w:w="794" w:type="dxa"/>
          </w:tcPr>
          <w:p>
            <w:pPr>
              <w:pStyle w:val="0"/>
            </w:pPr>
            <w:r>
              <w:rPr>
                <w:sz w:val="20"/>
              </w:rPr>
              <w:t xml:space="preserve">0,7</w:t>
            </w:r>
          </w:p>
        </w:tc>
        <w:tc>
          <w:tcPr>
            <w:tcW w:w="794" w:type="dxa"/>
          </w:tcPr>
          <w:p>
            <w:pPr>
              <w:pStyle w:val="0"/>
            </w:pPr>
            <w:r>
              <w:rPr>
                <w:sz w:val="20"/>
              </w:rPr>
              <w:t xml:space="preserve">0,9</w:t>
            </w:r>
          </w:p>
        </w:tc>
        <w:tc>
          <w:tcPr>
            <w:tcW w:w="604" w:type="dxa"/>
          </w:tcPr>
          <w:p>
            <w:pPr>
              <w:pStyle w:val="0"/>
            </w:pPr>
            <w:r>
              <w:rPr>
                <w:sz w:val="20"/>
              </w:rPr>
              <w:t xml:space="preserve">1,0</w:t>
            </w:r>
          </w:p>
        </w:tc>
      </w:tr>
      <w:tr>
        <w:tc>
          <w:tcPr>
            <w:vMerge w:val="continue"/>
          </w:tcPr>
          <w:p/>
        </w:tc>
        <w:tc>
          <w:tcPr>
            <w:tcW w:w="3912" w:type="dxa"/>
          </w:tcPr>
          <w:p>
            <w:pPr>
              <w:pStyle w:val="0"/>
            </w:pPr>
            <w:r>
              <w:rPr>
                <w:sz w:val="20"/>
              </w:rPr>
              <w:t xml:space="preserve">Число коек сестринского ухода на 10 000 взрослых</w:t>
            </w:r>
          </w:p>
        </w:tc>
        <w:tc>
          <w:tcPr>
            <w:tcW w:w="1474" w:type="dxa"/>
          </w:tcPr>
          <w:p>
            <w:pPr>
              <w:pStyle w:val="0"/>
            </w:pPr>
            <w:r>
              <w:rPr>
                <w:sz w:val="20"/>
              </w:rPr>
              <w:t xml:space="preserve">0</w:t>
            </w:r>
          </w:p>
        </w:tc>
        <w:tc>
          <w:tcPr>
            <w:tcW w:w="850" w:type="dxa"/>
          </w:tcPr>
          <w:p>
            <w:pPr>
              <w:pStyle w:val="0"/>
            </w:pPr>
            <w:r>
              <w:rPr>
                <w:sz w:val="20"/>
              </w:rPr>
              <w:t xml:space="preserve">0</w:t>
            </w:r>
          </w:p>
        </w:tc>
        <w:tc>
          <w:tcPr>
            <w:tcW w:w="794" w:type="dxa"/>
          </w:tcPr>
          <w:p>
            <w:pPr>
              <w:pStyle w:val="0"/>
            </w:pPr>
            <w:r>
              <w:rPr>
                <w:sz w:val="20"/>
              </w:rPr>
              <w:t xml:space="preserve">0</w:t>
            </w:r>
          </w:p>
        </w:tc>
        <w:tc>
          <w:tcPr>
            <w:tcW w:w="794" w:type="dxa"/>
          </w:tcPr>
          <w:p>
            <w:pPr>
              <w:pStyle w:val="0"/>
            </w:pPr>
            <w:r>
              <w:rPr>
                <w:sz w:val="20"/>
              </w:rPr>
              <w:t xml:space="preserve">0,12</w:t>
            </w:r>
          </w:p>
        </w:tc>
        <w:tc>
          <w:tcPr>
            <w:tcW w:w="604" w:type="dxa"/>
          </w:tcPr>
          <w:p>
            <w:pPr>
              <w:pStyle w:val="0"/>
            </w:pPr>
            <w:r>
              <w:rPr>
                <w:sz w:val="20"/>
              </w:rPr>
              <w:t xml:space="preserve">0,12</w:t>
            </w:r>
          </w:p>
        </w:tc>
      </w:tr>
      <w:tr>
        <w:tc>
          <w:tcPr>
            <w:tcW w:w="454" w:type="dxa"/>
            <w:vMerge w:val="restart"/>
          </w:tcPr>
          <w:p>
            <w:pPr>
              <w:pStyle w:val="0"/>
            </w:pPr>
            <w:r>
              <w:rPr>
                <w:sz w:val="20"/>
              </w:rPr>
              <w:t xml:space="preserve">3</w:t>
            </w:r>
          </w:p>
        </w:tc>
        <w:tc>
          <w:tcPr>
            <w:tcW w:w="3912" w:type="dxa"/>
          </w:tcPr>
          <w:p>
            <w:pPr>
              <w:pStyle w:val="0"/>
            </w:pPr>
            <w:r>
              <w:rPr>
                <w:sz w:val="20"/>
              </w:rPr>
              <w:t xml:space="preserve">Обеспеченность выездными патронажными бригадами ПМП, ед., в том числе:</w:t>
            </w:r>
          </w:p>
        </w:tc>
        <w:tc>
          <w:tcPr>
            <w:tcW w:w="1474" w:type="dxa"/>
          </w:tcPr>
          <w:p>
            <w:pPr>
              <w:pStyle w:val="0"/>
            </w:pPr>
            <w:r>
              <w:rPr>
                <w:sz w:val="20"/>
              </w:rPr>
              <w:t xml:space="preserve">-</w:t>
            </w:r>
          </w:p>
        </w:tc>
        <w:tc>
          <w:tcPr>
            <w:tcW w:w="850" w:type="dxa"/>
          </w:tcPr>
          <w:p>
            <w:pPr>
              <w:pStyle w:val="0"/>
            </w:pPr>
            <w:r>
              <w:rPr>
                <w:sz w:val="20"/>
              </w:rPr>
              <w:t xml:space="preserve">-</w:t>
            </w:r>
          </w:p>
        </w:tc>
        <w:tc>
          <w:tcPr>
            <w:tcW w:w="794" w:type="dxa"/>
          </w:tcPr>
          <w:p>
            <w:pPr>
              <w:pStyle w:val="0"/>
            </w:pPr>
            <w:r>
              <w:rPr>
                <w:sz w:val="20"/>
              </w:rPr>
              <w:t xml:space="preserve">-</w:t>
            </w:r>
          </w:p>
        </w:tc>
        <w:tc>
          <w:tcPr>
            <w:tcW w:w="794" w:type="dxa"/>
          </w:tcPr>
          <w:p>
            <w:pPr>
              <w:pStyle w:val="0"/>
            </w:pPr>
            <w:r>
              <w:rPr>
                <w:sz w:val="20"/>
              </w:rPr>
              <w:t xml:space="preserve">-</w:t>
            </w:r>
          </w:p>
        </w:tc>
        <w:tc>
          <w:tcPr>
            <w:tcW w:w="604" w:type="dxa"/>
          </w:tcPr>
          <w:p>
            <w:pPr>
              <w:pStyle w:val="0"/>
            </w:pPr>
            <w:r>
              <w:rPr>
                <w:sz w:val="20"/>
              </w:rPr>
              <w:t xml:space="preserve">-</w:t>
            </w:r>
          </w:p>
        </w:tc>
      </w:tr>
      <w:tr>
        <w:tc>
          <w:tcPr>
            <w:vMerge w:val="continue"/>
          </w:tcPr>
          <w:p/>
        </w:tc>
        <w:tc>
          <w:tcPr>
            <w:tcW w:w="3912" w:type="dxa"/>
          </w:tcPr>
          <w:p>
            <w:pPr>
              <w:pStyle w:val="0"/>
            </w:pPr>
            <w:r>
              <w:rPr>
                <w:sz w:val="20"/>
              </w:rPr>
              <w:t xml:space="preserve">для взрослых, на 100 000,0 населения</w:t>
            </w:r>
          </w:p>
        </w:tc>
        <w:tc>
          <w:tcPr>
            <w:tcW w:w="1474" w:type="dxa"/>
          </w:tcPr>
          <w:p>
            <w:pPr>
              <w:pStyle w:val="0"/>
            </w:pPr>
            <w:r>
              <w:rPr>
                <w:sz w:val="20"/>
              </w:rPr>
              <w:t xml:space="preserve">0</w:t>
            </w:r>
          </w:p>
        </w:tc>
        <w:tc>
          <w:tcPr>
            <w:tcW w:w="850" w:type="dxa"/>
          </w:tcPr>
          <w:p>
            <w:pPr>
              <w:pStyle w:val="0"/>
            </w:pPr>
            <w:r>
              <w:rPr>
                <w:sz w:val="20"/>
              </w:rPr>
              <w:t xml:space="preserve">0,08</w:t>
            </w:r>
          </w:p>
        </w:tc>
        <w:tc>
          <w:tcPr>
            <w:tcW w:w="794" w:type="dxa"/>
          </w:tcPr>
          <w:p>
            <w:pPr>
              <w:pStyle w:val="0"/>
            </w:pPr>
            <w:r>
              <w:rPr>
                <w:sz w:val="20"/>
              </w:rPr>
              <w:t xml:space="preserve">0,16</w:t>
            </w:r>
          </w:p>
        </w:tc>
        <w:tc>
          <w:tcPr>
            <w:tcW w:w="794" w:type="dxa"/>
          </w:tcPr>
          <w:p>
            <w:pPr>
              <w:pStyle w:val="0"/>
            </w:pPr>
            <w:r>
              <w:rPr>
                <w:sz w:val="20"/>
              </w:rPr>
              <w:t xml:space="preserve">0,6</w:t>
            </w:r>
          </w:p>
        </w:tc>
        <w:tc>
          <w:tcPr>
            <w:tcW w:w="604" w:type="dxa"/>
          </w:tcPr>
          <w:p>
            <w:pPr>
              <w:pStyle w:val="0"/>
            </w:pPr>
            <w:r>
              <w:rPr>
                <w:sz w:val="20"/>
              </w:rPr>
              <w:t xml:space="preserve">0,6</w:t>
            </w:r>
          </w:p>
        </w:tc>
      </w:tr>
      <w:tr>
        <w:tc>
          <w:tcPr>
            <w:vMerge w:val="continue"/>
          </w:tcPr>
          <w:p/>
        </w:tc>
        <w:tc>
          <w:tcPr>
            <w:tcW w:w="3912" w:type="dxa"/>
          </w:tcPr>
          <w:p>
            <w:pPr>
              <w:pStyle w:val="0"/>
            </w:pPr>
            <w:r>
              <w:rPr>
                <w:sz w:val="20"/>
              </w:rPr>
              <w:t xml:space="preserve">для детей, на 50 000 населения</w:t>
            </w:r>
          </w:p>
        </w:tc>
        <w:tc>
          <w:tcPr>
            <w:tcW w:w="1474" w:type="dxa"/>
          </w:tcPr>
          <w:p>
            <w:pPr>
              <w:pStyle w:val="0"/>
            </w:pPr>
            <w:r>
              <w:rPr>
                <w:sz w:val="20"/>
              </w:rPr>
              <w:t xml:space="preserve">0,2</w:t>
            </w:r>
          </w:p>
        </w:tc>
        <w:tc>
          <w:tcPr>
            <w:tcW w:w="850" w:type="dxa"/>
          </w:tcPr>
          <w:p>
            <w:pPr>
              <w:pStyle w:val="0"/>
            </w:pPr>
            <w:r>
              <w:rPr>
                <w:sz w:val="20"/>
              </w:rPr>
              <w:t xml:space="preserve">0,5</w:t>
            </w:r>
          </w:p>
        </w:tc>
        <w:tc>
          <w:tcPr>
            <w:tcW w:w="794" w:type="dxa"/>
          </w:tcPr>
          <w:p>
            <w:pPr>
              <w:pStyle w:val="0"/>
            </w:pPr>
            <w:r>
              <w:rPr>
                <w:sz w:val="20"/>
              </w:rPr>
              <w:t xml:space="preserve">0,5</w:t>
            </w:r>
          </w:p>
        </w:tc>
        <w:tc>
          <w:tcPr>
            <w:tcW w:w="794" w:type="dxa"/>
          </w:tcPr>
          <w:p>
            <w:pPr>
              <w:pStyle w:val="0"/>
            </w:pPr>
            <w:r>
              <w:rPr>
                <w:sz w:val="20"/>
              </w:rPr>
              <w:t xml:space="preserve">0,5</w:t>
            </w:r>
          </w:p>
        </w:tc>
        <w:tc>
          <w:tcPr>
            <w:tcW w:w="604" w:type="dxa"/>
          </w:tcPr>
          <w:p>
            <w:pPr>
              <w:pStyle w:val="0"/>
            </w:pPr>
            <w:r>
              <w:rPr>
                <w:sz w:val="20"/>
              </w:rPr>
              <w:t xml:space="preserve">0,5</w:t>
            </w:r>
          </w:p>
        </w:tc>
      </w:tr>
      <w:tr>
        <w:tc>
          <w:tcPr>
            <w:tcW w:w="454" w:type="dxa"/>
            <w:vMerge w:val="restart"/>
          </w:tcPr>
          <w:p>
            <w:pPr>
              <w:pStyle w:val="0"/>
            </w:pPr>
            <w:r>
              <w:rPr>
                <w:sz w:val="20"/>
              </w:rPr>
              <w:t xml:space="preserve">4</w:t>
            </w:r>
          </w:p>
        </w:tc>
        <w:tc>
          <w:tcPr>
            <w:tcW w:w="3912" w:type="dxa"/>
          </w:tcPr>
          <w:p>
            <w:pPr>
              <w:pStyle w:val="0"/>
            </w:pPr>
            <w:r>
              <w:rPr>
                <w:sz w:val="20"/>
              </w:rPr>
              <w:t xml:space="preserve">Объем заявленной потребности в лекарственных препаратах, содержащих наркотические средства и психотропные вещества (60-дневный курс обезболивания), %:</w:t>
            </w:r>
          </w:p>
        </w:tc>
        <w:tc>
          <w:tcPr>
            <w:tcW w:w="1474" w:type="dxa"/>
          </w:tcPr>
          <w:p>
            <w:pPr>
              <w:pStyle w:val="0"/>
            </w:pPr>
            <w:r>
              <w:rPr>
                <w:sz w:val="20"/>
              </w:rPr>
              <w:t xml:space="preserve">-</w:t>
            </w:r>
          </w:p>
        </w:tc>
        <w:tc>
          <w:tcPr>
            <w:tcW w:w="850" w:type="dxa"/>
          </w:tcPr>
          <w:p>
            <w:pPr>
              <w:pStyle w:val="0"/>
            </w:pPr>
            <w:r>
              <w:rPr>
                <w:sz w:val="20"/>
              </w:rPr>
              <w:t xml:space="preserve">-</w:t>
            </w:r>
          </w:p>
        </w:tc>
        <w:tc>
          <w:tcPr>
            <w:tcW w:w="794" w:type="dxa"/>
          </w:tcPr>
          <w:p>
            <w:pPr>
              <w:pStyle w:val="0"/>
            </w:pPr>
            <w:r>
              <w:rPr>
                <w:sz w:val="20"/>
              </w:rPr>
              <w:t xml:space="preserve">-</w:t>
            </w:r>
          </w:p>
        </w:tc>
        <w:tc>
          <w:tcPr>
            <w:tcW w:w="794" w:type="dxa"/>
          </w:tcPr>
          <w:p>
            <w:pPr>
              <w:pStyle w:val="0"/>
            </w:pPr>
            <w:r>
              <w:rPr>
                <w:sz w:val="20"/>
              </w:rPr>
              <w:t xml:space="preserve">-</w:t>
            </w:r>
          </w:p>
        </w:tc>
        <w:tc>
          <w:tcPr>
            <w:tcW w:w="604" w:type="dxa"/>
          </w:tcPr>
          <w:p>
            <w:pPr>
              <w:pStyle w:val="0"/>
            </w:pPr>
            <w:r>
              <w:rPr>
                <w:sz w:val="20"/>
              </w:rPr>
              <w:t xml:space="preserve">-</w:t>
            </w:r>
          </w:p>
        </w:tc>
      </w:tr>
      <w:tr>
        <w:tc>
          <w:tcPr>
            <w:vMerge w:val="continue"/>
          </w:tcPr>
          <w:p/>
        </w:tc>
        <w:tc>
          <w:tcPr>
            <w:tcW w:w="3912" w:type="dxa"/>
          </w:tcPr>
          <w:p>
            <w:pPr>
              <w:pStyle w:val="0"/>
            </w:pPr>
            <w:r>
              <w:rPr>
                <w:sz w:val="20"/>
              </w:rPr>
              <w:t xml:space="preserve">в инвазивных лекарственных формах</w:t>
            </w:r>
          </w:p>
        </w:tc>
        <w:tc>
          <w:tcPr>
            <w:tcW w:w="1474" w:type="dxa"/>
          </w:tcPr>
          <w:p>
            <w:pPr>
              <w:pStyle w:val="0"/>
            </w:pPr>
            <w:r>
              <w:rPr>
                <w:sz w:val="20"/>
              </w:rPr>
              <w:t xml:space="preserve">90</w:t>
            </w:r>
          </w:p>
        </w:tc>
        <w:tc>
          <w:tcPr>
            <w:tcW w:w="850" w:type="dxa"/>
          </w:tcPr>
          <w:p>
            <w:pPr>
              <w:pStyle w:val="0"/>
            </w:pPr>
            <w:r>
              <w:rPr>
                <w:sz w:val="20"/>
              </w:rPr>
              <w:t xml:space="preserve">95</w:t>
            </w:r>
          </w:p>
        </w:tc>
        <w:tc>
          <w:tcPr>
            <w:tcW w:w="794" w:type="dxa"/>
          </w:tcPr>
          <w:p>
            <w:pPr>
              <w:pStyle w:val="0"/>
            </w:pPr>
            <w:r>
              <w:rPr>
                <w:sz w:val="20"/>
              </w:rPr>
              <w:t xml:space="preserve">95</w:t>
            </w:r>
          </w:p>
        </w:tc>
        <w:tc>
          <w:tcPr>
            <w:tcW w:w="794" w:type="dxa"/>
          </w:tcPr>
          <w:p>
            <w:pPr>
              <w:pStyle w:val="0"/>
            </w:pPr>
            <w:r>
              <w:rPr>
                <w:sz w:val="20"/>
              </w:rPr>
              <w:t xml:space="preserve">95</w:t>
            </w:r>
          </w:p>
        </w:tc>
        <w:tc>
          <w:tcPr>
            <w:tcW w:w="604" w:type="dxa"/>
          </w:tcPr>
          <w:p>
            <w:pPr>
              <w:pStyle w:val="0"/>
            </w:pPr>
            <w:r>
              <w:rPr>
                <w:sz w:val="20"/>
              </w:rPr>
              <w:t xml:space="preserve">95</w:t>
            </w:r>
          </w:p>
        </w:tc>
      </w:tr>
      <w:tr>
        <w:tc>
          <w:tcPr>
            <w:vMerge w:val="continue"/>
          </w:tcPr>
          <w:p/>
        </w:tc>
        <w:tc>
          <w:tcPr>
            <w:tcW w:w="3912" w:type="dxa"/>
          </w:tcPr>
          <w:p>
            <w:pPr>
              <w:pStyle w:val="0"/>
            </w:pPr>
            <w:r>
              <w:rPr>
                <w:sz w:val="20"/>
              </w:rPr>
              <w:t xml:space="preserve">в неинвазивных лекарственных формах короткого действия</w:t>
            </w:r>
          </w:p>
        </w:tc>
        <w:tc>
          <w:tcPr>
            <w:tcW w:w="1474" w:type="dxa"/>
          </w:tcPr>
          <w:p>
            <w:pPr>
              <w:pStyle w:val="0"/>
            </w:pPr>
            <w:r>
              <w:rPr>
                <w:sz w:val="20"/>
              </w:rPr>
              <w:t xml:space="preserve">1,0</w:t>
            </w:r>
          </w:p>
        </w:tc>
        <w:tc>
          <w:tcPr>
            <w:tcW w:w="850" w:type="dxa"/>
          </w:tcPr>
          <w:p>
            <w:pPr>
              <w:pStyle w:val="0"/>
            </w:pPr>
            <w:r>
              <w:rPr>
                <w:sz w:val="20"/>
              </w:rPr>
              <w:t xml:space="preserve">1,0</w:t>
            </w:r>
          </w:p>
        </w:tc>
        <w:tc>
          <w:tcPr>
            <w:tcW w:w="794" w:type="dxa"/>
          </w:tcPr>
          <w:p>
            <w:pPr>
              <w:pStyle w:val="0"/>
            </w:pPr>
            <w:r>
              <w:rPr>
                <w:sz w:val="20"/>
              </w:rPr>
              <w:t xml:space="preserve">70</w:t>
            </w:r>
          </w:p>
        </w:tc>
        <w:tc>
          <w:tcPr>
            <w:tcW w:w="794" w:type="dxa"/>
          </w:tcPr>
          <w:p>
            <w:pPr>
              <w:pStyle w:val="0"/>
            </w:pPr>
            <w:r>
              <w:rPr>
                <w:sz w:val="20"/>
              </w:rPr>
              <w:t xml:space="preserve">90</w:t>
            </w:r>
          </w:p>
        </w:tc>
        <w:tc>
          <w:tcPr>
            <w:tcW w:w="604" w:type="dxa"/>
          </w:tcPr>
          <w:p>
            <w:pPr>
              <w:pStyle w:val="0"/>
            </w:pPr>
            <w:r>
              <w:rPr>
                <w:sz w:val="20"/>
              </w:rPr>
              <w:t xml:space="preserve">90</w:t>
            </w:r>
          </w:p>
        </w:tc>
      </w:tr>
      <w:tr>
        <w:tc>
          <w:tcPr>
            <w:vMerge w:val="continue"/>
          </w:tcPr>
          <w:p/>
        </w:tc>
        <w:tc>
          <w:tcPr>
            <w:tcW w:w="3912" w:type="dxa"/>
          </w:tcPr>
          <w:p>
            <w:pPr>
              <w:pStyle w:val="0"/>
            </w:pPr>
            <w:r>
              <w:rPr>
                <w:sz w:val="20"/>
              </w:rPr>
              <w:t xml:space="preserve">в неинвазивных лекарственных формах пролонгированного действия</w:t>
            </w:r>
          </w:p>
        </w:tc>
        <w:tc>
          <w:tcPr>
            <w:tcW w:w="1474" w:type="dxa"/>
          </w:tcPr>
          <w:p>
            <w:pPr>
              <w:pStyle w:val="0"/>
            </w:pPr>
            <w:r>
              <w:rPr>
                <w:sz w:val="20"/>
              </w:rPr>
              <w:t xml:space="preserve">83</w:t>
            </w:r>
          </w:p>
        </w:tc>
        <w:tc>
          <w:tcPr>
            <w:tcW w:w="850" w:type="dxa"/>
          </w:tcPr>
          <w:p>
            <w:pPr>
              <w:pStyle w:val="0"/>
            </w:pPr>
            <w:r>
              <w:rPr>
                <w:sz w:val="20"/>
              </w:rPr>
              <w:t xml:space="preserve">83</w:t>
            </w:r>
          </w:p>
        </w:tc>
        <w:tc>
          <w:tcPr>
            <w:tcW w:w="794" w:type="dxa"/>
          </w:tcPr>
          <w:p>
            <w:pPr>
              <w:pStyle w:val="0"/>
            </w:pPr>
            <w:r>
              <w:rPr>
                <w:sz w:val="20"/>
              </w:rPr>
              <w:t xml:space="preserve">85</w:t>
            </w:r>
          </w:p>
        </w:tc>
        <w:tc>
          <w:tcPr>
            <w:tcW w:w="794" w:type="dxa"/>
          </w:tcPr>
          <w:p>
            <w:pPr>
              <w:pStyle w:val="0"/>
            </w:pPr>
            <w:r>
              <w:rPr>
                <w:sz w:val="20"/>
              </w:rPr>
              <w:t xml:space="preserve">90</w:t>
            </w:r>
          </w:p>
        </w:tc>
        <w:tc>
          <w:tcPr>
            <w:tcW w:w="604" w:type="dxa"/>
          </w:tcPr>
          <w:p>
            <w:pPr>
              <w:pStyle w:val="0"/>
            </w:pPr>
            <w:r>
              <w:rPr>
                <w:sz w:val="20"/>
              </w:rPr>
              <w:t xml:space="preserve">95</w:t>
            </w:r>
          </w:p>
        </w:tc>
      </w:tr>
      <w:tr>
        <w:tc>
          <w:tcPr>
            <w:tcW w:w="454" w:type="dxa"/>
            <w:vMerge w:val="restart"/>
          </w:tcPr>
          <w:p>
            <w:pPr>
              <w:pStyle w:val="0"/>
            </w:pPr>
            <w:r>
              <w:rPr>
                <w:sz w:val="20"/>
              </w:rPr>
              <w:t xml:space="preserve">5</w:t>
            </w:r>
          </w:p>
        </w:tc>
        <w:tc>
          <w:tcPr>
            <w:tcW w:w="3912" w:type="dxa"/>
          </w:tcPr>
          <w:p>
            <w:pPr>
              <w:pStyle w:val="0"/>
            </w:pPr>
            <w:r>
              <w:rPr>
                <w:sz w:val="20"/>
              </w:rPr>
              <w:t xml:space="preserve">Полнота выборки лекарственных препаратов, содержащих наркотические средства и психотропные вещества, в пределах заявленных потребностей в соответствии с планом распределения наркотических средств и психотропных веществ, %:</w:t>
            </w:r>
          </w:p>
        </w:tc>
        <w:tc>
          <w:tcPr>
            <w:tcW w:w="1474" w:type="dxa"/>
          </w:tcPr>
          <w:p>
            <w:pPr>
              <w:pStyle w:val="0"/>
            </w:pPr>
            <w:r>
              <w:rPr>
                <w:sz w:val="20"/>
              </w:rPr>
              <w:t xml:space="preserve">-</w:t>
            </w:r>
          </w:p>
        </w:tc>
        <w:tc>
          <w:tcPr>
            <w:tcW w:w="850" w:type="dxa"/>
          </w:tcPr>
          <w:p>
            <w:pPr>
              <w:pStyle w:val="0"/>
            </w:pPr>
            <w:r>
              <w:rPr>
                <w:sz w:val="20"/>
              </w:rPr>
              <w:t xml:space="preserve">-</w:t>
            </w:r>
          </w:p>
        </w:tc>
        <w:tc>
          <w:tcPr>
            <w:tcW w:w="794" w:type="dxa"/>
          </w:tcPr>
          <w:p>
            <w:pPr>
              <w:pStyle w:val="0"/>
            </w:pPr>
            <w:r>
              <w:rPr>
                <w:sz w:val="20"/>
              </w:rPr>
              <w:t xml:space="preserve">-</w:t>
            </w:r>
          </w:p>
        </w:tc>
        <w:tc>
          <w:tcPr>
            <w:tcW w:w="794" w:type="dxa"/>
          </w:tcPr>
          <w:p>
            <w:pPr>
              <w:pStyle w:val="0"/>
            </w:pPr>
            <w:r>
              <w:rPr>
                <w:sz w:val="20"/>
              </w:rPr>
              <w:t xml:space="preserve">-</w:t>
            </w:r>
          </w:p>
        </w:tc>
        <w:tc>
          <w:tcPr>
            <w:tcW w:w="604" w:type="dxa"/>
          </w:tcPr>
          <w:p>
            <w:pPr>
              <w:pStyle w:val="0"/>
            </w:pPr>
            <w:r>
              <w:rPr>
                <w:sz w:val="20"/>
              </w:rPr>
              <w:t xml:space="preserve">-</w:t>
            </w:r>
          </w:p>
        </w:tc>
      </w:tr>
      <w:tr>
        <w:tc>
          <w:tcPr>
            <w:vMerge w:val="continue"/>
          </w:tcPr>
          <w:p/>
        </w:tc>
        <w:tc>
          <w:tcPr>
            <w:tcW w:w="3912" w:type="dxa"/>
          </w:tcPr>
          <w:p>
            <w:pPr>
              <w:pStyle w:val="0"/>
            </w:pPr>
            <w:r>
              <w:rPr>
                <w:sz w:val="20"/>
              </w:rPr>
              <w:t xml:space="preserve">в инвазивных лекарственных формах</w:t>
            </w:r>
          </w:p>
        </w:tc>
        <w:tc>
          <w:tcPr>
            <w:tcW w:w="1474" w:type="dxa"/>
          </w:tcPr>
          <w:p>
            <w:pPr>
              <w:pStyle w:val="0"/>
            </w:pPr>
            <w:r>
              <w:rPr>
                <w:sz w:val="20"/>
              </w:rPr>
              <w:t xml:space="preserve">100</w:t>
            </w:r>
          </w:p>
        </w:tc>
        <w:tc>
          <w:tcPr>
            <w:tcW w:w="850" w:type="dxa"/>
          </w:tcPr>
          <w:p>
            <w:pPr>
              <w:pStyle w:val="0"/>
            </w:pPr>
            <w:r>
              <w:rPr>
                <w:sz w:val="20"/>
              </w:rPr>
              <w:t xml:space="preserve">100</w:t>
            </w:r>
          </w:p>
        </w:tc>
        <w:tc>
          <w:tcPr>
            <w:tcW w:w="794" w:type="dxa"/>
          </w:tcPr>
          <w:p>
            <w:pPr>
              <w:pStyle w:val="0"/>
            </w:pPr>
            <w:r>
              <w:rPr>
                <w:sz w:val="20"/>
              </w:rPr>
              <w:t xml:space="preserve">100</w:t>
            </w:r>
          </w:p>
        </w:tc>
        <w:tc>
          <w:tcPr>
            <w:tcW w:w="794" w:type="dxa"/>
          </w:tcPr>
          <w:p>
            <w:pPr>
              <w:pStyle w:val="0"/>
            </w:pPr>
            <w:r>
              <w:rPr>
                <w:sz w:val="20"/>
              </w:rPr>
              <w:t xml:space="preserve">100</w:t>
            </w:r>
          </w:p>
        </w:tc>
        <w:tc>
          <w:tcPr>
            <w:tcW w:w="604" w:type="dxa"/>
          </w:tcPr>
          <w:p>
            <w:pPr>
              <w:pStyle w:val="0"/>
            </w:pPr>
            <w:r>
              <w:rPr>
                <w:sz w:val="20"/>
              </w:rPr>
              <w:t xml:space="preserve">100</w:t>
            </w:r>
          </w:p>
        </w:tc>
      </w:tr>
      <w:tr>
        <w:tc>
          <w:tcPr>
            <w:vMerge w:val="continue"/>
          </w:tcPr>
          <w:p/>
        </w:tc>
        <w:tc>
          <w:tcPr>
            <w:tcW w:w="3912" w:type="dxa"/>
          </w:tcPr>
          <w:p>
            <w:pPr>
              <w:pStyle w:val="0"/>
            </w:pPr>
            <w:r>
              <w:rPr>
                <w:sz w:val="20"/>
              </w:rPr>
              <w:t xml:space="preserve">в неинвазивных лекарственных формах короткого действия</w:t>
            </w:r>
          </w:p>
        </w:tc>
        <w:tc>
          <w:tcPr>
            <w:tcW w:w="1474" w:type="dxa"/>
          </w:tcPr>
          <w:p>
            <w:pPr>
              <w:pStyle w:val="0"/>
            </w:pPr>
            <w:r>
              <w:rPr>
                <w:sz w:val="20"/>
              </w:rPr>
              <w:t xml:space="preserve">0</w:t>
            </w:r>
          </w:p>
        </w:tc>
        <w:tc>
          <w:tcPr>
            <w:tcW w:w="850" w:type="dxa"/>
          </w:tcPr>
          <w:p>
            <w:pPr>
              <w:pStyle w:val="0"/>
            </w:pPr>
            <w:r>
              <w:rPr>
                <w:sz w:val="20"/>
              </w:rPr>
              <w:t xml:space="preserve">0</w:t>
            </w:r>
          </w:p>
        </w:tc>
        <w:tc>
          <w:tcPr>
            <w:tcW w:w="794" w:type="dxa"/>
          </w:tcPr>
          <w:p>
            <w:pPr>
              <w:pStyle w:val="0"/>
            </w:pPr>
            <w:r>
              <w:rPr>
                <w:sz w:val="20"/>
              </w:rPr>
              <w:t xml:space="preserve">70</w:t>
            </w:r>
          </w:p>
        </w:tc>
        <w:tc>
          <w:tcPr>
            <w:tcW w:w="794" w:type="dxa"/>
          </w:tcPr>
          <w:p>
            <w:pPr>
              <w:pStyle w:val="0"/>
            </w:pPr>
            <w:r>
              <w:rPr>
                <w:sz w:val="20"/>
              </w:rPr>
              <w:t xml:space="preserve">80</w:t>
            </w:r>
          </w:p>
        </w:tc>
        <w:tc>
          <w:tcPr>
            <w:tcW w:w="604" w:type="dxa"/>
          </w:tcPr>
          <w:p>
            <w:pPr>
              <w:pStyle w:val="0"/>
            </w:pPr>
            <w:r>
              <w:rPr>
                <w:sz w:val="20"/>
              </w:rPr>
              <w:t xml:space="preserve">80</w:t>
            </w:r>
          </w:p>
        </w:tc>
      </w:tr>
      <w:tr>
        <w:tc>
          <w:tcPr>
            <w:vMerge w:val="continue"/>
          </w:tcPr>
          <w:p/>
        </w:tc>
        <w:tc>
          <w:tcPr>
            <w:tcW w:w="3912" w:type="dxa"/>
          </w:tcPr>
          <w:p>
            <w:pPr>
              <w:pStyle w:val="0"/>
            </w:pPr>
            <w:r>
              <w:rPr>
                <w:sz w:val="20"/>
              </w:rPr>
              <w:t xml:space="preserve">в неинвазивных лекарственных формах пролонгированного действия</w:t>
            </w:r>
          </w:p>
        </w:tc>
        <w:tc>
          <w:tcPr>
            <w:tcW w:w="1474" w:type="dxa"/>
          </w:tcPr>
          <w:p>
            <w:pPr>
              <w:pStyle w:val="0"/>
            </w:pPr>
            <w:r>
              <w:rPr>
                <w:sz w:val="20"/>
              </w:rPr>
              <w:t xml:space="preserve">80</w:t>
            </w:r>
          </w:p>
        </w:tc>
        <w:tc>
          <w:tcPr>
            <w:tcW w:w="850" w:type="dxa"/>
          </w:tcPr>
          <w:p>
            <w:pPr>
              <w:pStyle w:val="0"/>
            </w:pPr>
            <w:r>
              <w:rPr>
                <w:sz w:val="20"/>
              </w:rPr>
              <w:t xml:space="preserve">80</w:t>
            </w:r>
          </w:p>
        </w:tc>
        <w:tc>
          <w:tcPr>
            <w:tcW w:w="794" w:type="dxa"/>
          </w:tcPr>
          <w:p>
            <w:pPr>
              <w:pStyle w:val="0"/>
            </w:pPr>
            <w:r>
              <w:rPr>
                <w:sz w:val="20"/>
              </w:rPr>
              <w:t xml:space="preserve">85</w:t>
            </w:r>
          </w:p>
        </w:tc>
        <w:tc>
          <w:tcPr>
            <w:tcW w:w="794" w:type="dxa"/>
          </w:tcPr>
          <w:p>
            <w:pPr>
              <w:pStyle w:val="0"/>
            </w:pPr>
            <w:r>
              <w:rPr>
                <w:sz w:val="20"/>
              </w:rPr>
              <w:t xml:space="preserve">90</w:t>
            </w:r>
          </w:p>
        </w:tc>
        <w:tc>
          <w:tcPr>
            <w:tcW w:w="604" w:type="dxa"/>
          </w:tcPr>
          <w:p>
            <w:pPr>
              <w:pStyle w:val="0"/>
            </w:pPr>
            <w:r>
              <w:rPr>
                <w:sz w:val="20"/>
              </w:rPr>
              <w:t xml:space="preserve">90</w:t>
            </w:r>
          </w:p>
        </w:tc>
      </w:tr>
      <w:tr>
        <w:tc>
          <w:tcPr>
            <w:tcW w:w="454" w:type="dxa"/>
          </w:tcPr>
          <w:p>
            <w:pPr>
              <w:pStyle w:val="0"/>
            </w:pPr>
            <w:r>
              <w:rPr>
                <w:sz w:val="20"/>
              </w:rPr>
              <w:t xml:space="preserve">6</w:t>
            </w:r>
          </w:p>
        </w:tc>
        <w:tc>
          <w:tcPr>
            <w:tcW w:w="3912" w:type="dxa"/>
          </w:tcPr>
          <w:p>
            <w:pPr>
              <w:pStyle w:val="0"/>
            </w:pPr>
            <w:r>
              <w:rPr>
                <w:sz w:val="20"/>
              </w:rPr>
              <w:t xml:space="preserve">Число врачей (физических лиц на занятых должностях) в медицинских организациях и структурных подразделениях, оказывающих паллиативную специализированную медицинскую помощь, чел.</w:t>
            </w:r>
          </w:p>
        </w:tc>
        <w:tc>
          <w:tcPr>
            <w:tcW w:w="1474" w:type="dxa"/>
          </w:tcPr>
          <w:p>
            <w:pPr>
              <w:pStyle w:val="0"/>
            </w:pPr>
            <w:r>
              <w:rPr>
                <w:sz w:val="20"/>
              </w:rPr>
              <w:t xml:space="preserve">7</w:t>
            </w:r>
          </w:p>
        </w:tc>
        <w:tc>
          <w:tcPr>
            <w:tcW w:w="850" w:type="dxa"/>
          </w:tcPr>
          <w:p>
            <w:pPr>
              <w:pStyle w:val="0"/>
            </w:pPr>
            <w:r>
              <w:rPr>
                <w:sz w:val="20"/>
              </w:rPr>
              <w:t xml:space="preserve">7</w:t>
            </w:r>
          </w:p>
        </w:tc>
        <w:tc>
          <w:tcPr>
            <w:tcW w:w="794" w:type="dxa"/>
          </w:tcPr>
          <w:p>
            <w:pPr>
              <w:pStyle w:val="0"/>
            </w:pPr>
            <w:r>
              <w:rPr>
                <w:sz w:val="20"/>
              </w:rPr>
              <w:t xml:space="preserve">7</w:t>
            </w:r>
          </w:p>
        </w:tc>
        <w:tc>
          <w:tcPr>
            <w:tcW w:w="794" w:type="dxa"/>
          </w:tcPr>
          <w:p>
            <w:pPr>
              <w:pStyle w:val="0"/>
            </w:pPr>
            <w:r>
              <w:rPr>
                <w:sz w:val="20"/>
              </w:rPr>
              <w:t xml:space="preserve">12</w:t>
            </w:r>
          </w:p>
        </w:tc>
        <w:tc>
          <w:tcPr>
            <w:tcW w:w="604" w:type="dxa"/>
          </w:tcPr>
          <w:p>
            <w:pPr>
              <w:pStyle w:val="0"/>
            </w:pPr>
            <w:r>
              <w:rPr>
                <w:sz w:val="20"/>
              </w:rPr>
              <w:t xml:space="preserve">12</w:t>
            </w:r>
          </w:p>
        </w:tc>
      </w:tr>
      <w:tr>
        <w:tc>
          <w:tcPr>
            <w:tcW w:w="454" w:type="dxa"/>
          </w:tcPr>
          <w:p>
            <w:pPr>
              <w:pStyle w:val="0"/>
            </w:pPr>
            <w:r>
              <w:rPr>
                <w:sz w:val="20"/>
              </w:rPr>
              <w:t xml:space="preserve">7</w:t>
            </w:r>
          </w:p>
        </w:tc>
        <w:tc>
          <w:tcPr>
            <w:tcW w:w="3912" w:type="dxa"/>
          </w:tcPr>
          <w:p>
            <w:pPr>
              <w:pStyle w:val="0"/>
            </w:pPr>
            <w:r>
              <w:rPr>
                <w:sz w:val="20"/>
              </w:rPr>
              <w:t xml:space="preserve">Доля пациентов, переведенных из структурных подразделений медицинских организаций, оказывающих ПМП в стационарных условиях, в организации социального обслуживания от общего числа пациентов, обеспеченных ПМП, %</w:t>
            </w:r>
          </w:p>
        </w:tc>
        <w:tc>
          <w:tcPr>
            <w:tcW w:w="1474" w:type="dxa"/>
          </w:tcPr>
          <w:p>
            <w:pPr>
              <w:pStyle w:val="0"/>
            </w:pPr>
            <w:r>
              <w:rPr>
                <w:sz w:val="20"/>
              </w:rPr>
              <w:t xml:space="preserve">1,46</w:t>
            </w:r>
          </w:p>
        </w:tc>
        <w:tc>
          <w:tcPr>
            <w:tcW w:w="850" w:type="dxa"/>
          </w:tcPr>
          <w:p>
            <w:pPr>
              <w:pStyle w:val="0"/>
            </w:pPr>
            <w:r>
              <w:rPr>
                <w:sz w:val="20"/>
              </w:rPr>
              <w:t xml:space="preserve">2</w:t>
            </w:r>
          </w:p>
        </w:tc>
        <w:tc>
          <w:tcPr>
            <w:tcW w:w="794" w:type="dxa"/>
          </w:tcPr>
          <w:p>
            <w:pPr>
              <w:pStyle w:val="0"/>
            </w:pPr>
            <w:r>
              <w:rPr>
                <w:sz w:val="20"/>
              </w:rPr>
              <w:t xml:space="preserve">2</w:t>
            </w:r>
          </w:p>
        </w:tc>
        <w:tc>
          <w:tcPr>
            <w:tcW w:w="794" w:type="dxa"/>
          </w:tcPr>
          <w:p>
            <w:pPr>
              <w:pStyle w:val="0"/>
            </w:pPr>
            <w:r>
              <w:rPr>
                <w:sz w:val="20"/>
              </w:rPr>
              <w:t xml:space="preserve">2</w:t>
            </w:r>
          </w:p>
        </w:tc>
        <w:tc>
          <w:tcPr>
            <w:tcW w:w="604" w:type="dxa"/>
          </w:tcPr>
          <w:p>
            <w:pPr>
              <w:pStyle w:val="0"/>
            </w:pPr>
            <w:r>
              <w:rPr>
                <w:sz w:val="20"/>
              </w:rPr>
              <w:t xml:space="preserve">2</w:t>
            </w:r>
          </w:p>
        </w:tc>
      </w:tr>
      <w:tr>
        <w:tc>
          <w:tcPr>
            <w:tcW w:w="454" w:type="dxa"/>
          </w:tcPr>
          <w:p>
            <w:pPr>
              <w:pStyle w:val="0"/>
            </w:pPr>
            <w:r>
              <w:rPr>
                <w:sz w:val="20"/>
              </w:rPr>
              <w:t xml:space="preserve">8</w:t>
            </w:r>
          </w:p>
        </w:tc>
        <w:tc>
          <w:tcPr>
            <w:tcW w:w="3912" w:type="dxa"/>
          </w:tcPr>
          <w:p>
            <w:pPr>
              <w:pStyle w:val="0"/>
            </w:pPr>
            <w:r>
              <w:rPr>
                <w:sz w:val="20"/>
              </w:rPr>
              <w:t xml:space="preserve">Число некоммерческих организаций, осуществляющих свою деятельность в сфере охраны здоровья, которые получили меры государственной поддержки, в том числе в форме субсидии из бюджета автономного округа, на оказание услуг, предусматривающих медико-социальное сопровождение лиц, нуждающихся в ПМП, включая организацию оказания ПМП и содействие в ее получении</w:t>
            </w:r>
          </w:p>
        </w:tc>
        <w:tc>
          <w:tcPr>
            <w:tcW w:w="1474" w:type="dxa"/>
          </w:tcPr>
          <w:p>
            <w:pPr>
              <w:pStyle w:val="0"/>
            </w:pPr>
            <w:r>
              <w:rPr>
                <w:sz w:val="20"/>
              </w:rPr>
              <w:t xml:space="preserve">1</w:t>
            </w:r>
          </w:p>
        </w:tc>
        <w:tc>
          <w:tcPr>
            <w:tcW w:w="850" w:type="dxa"/>
          </w:tcPr>
          <w:p>
            <w:pPr>
              <w:pStyle w:val="0"/>
            </w:pPr>
            <w:r>
              <w:rPr>
                <w:sz w:val="20"/>
              </w:rPr>
              <w:t xml:space="preserve">1</w:t>
            </w:r>
          </w:p>
        </w:tc>
        <w:tc>
          <w:tcPr>
            <w:tcW w:w="794" w:type="dxa"/>
          </w:tcPr>
          <w:p>
            <w:pPr>
              <w:pStyle w:val="0"/>
            </w:pPr>
            <w:r>
              <w:rPr>
                <w:sz w:val="20"/>
              </w:rPr>
              <w:t xml:space="preserve">1</w:t>
            </w:r>
          </w:p>
        </w:tc>
        <w:tc>
          <w:tcPr>
            <w:tcW w:w="794" w:type="dxa"/>
          </w:tcPr>
          <w:p>
            <w:pPr>
              <w:pStyle w:val="0"/>
            </w:pPr>
            <w:r>
              <w:rPr>
                <w:sz w:val="20"/>
              </w:rPr>
              <w:t xml:space="preserve">1</w:t>
            </w:r>
          </w:p>
        </w:tc>
        <w:tc>
          <w:tcPr>
            <w:tcW w:w="604" w:type="dxa"/>
          </w:tcPr>
          <w:p>
            <w:pPr>
              <w:pStyle w:val="0"/>
            </w:pPr>
            <w:r>
              <w:rPr>
                <w:sz w:val="20"/>
              </w:rPr>
              <w:t xml:space="preserve">1</w:t>
            </w:r>
          </w:p>
        </w:tc>
      </w:tr>
    </w:tbl>
    <w:p>
      <w:pPr>
        <w:pStyle w:val="0"/>
        <w:ind w:firstLine="540"/>
        <w:jc w:val="both"/>
      </w:pPr>
      <w:r>
        <w:rPr>
          <w:sz w:val="20"/>
        </w:rPr>
      </w:r>
    </w:p>
    <w:p>
      <w:pPr>
        <w:pStyle w:val="2"/>
        <w:outlineLvl w:val="2"/>
        <w:jc w:val="center"/>
      </w:pPr>
      <w:r>
        <w:rPr>
          <w:sz w:val="20"/>
        </w:rPr>
        <w:t xml:space="preserve">1.3. Перечень правовых актов Департамента здравоохранения</w:t>
      </w:r>
    </w:p>
    <w:p>
      <w:pPr>
        <w:pStyle w:val="2"/>
        <w:jc w:val="center"/>
      </w:pPr>
      <w:r>
        <w:rPr>
          <w:sz w:val="20"/>
        </w:rPr>
        <w:t xml:space="preserve">автономного округа, регламентирующих оказание ПМП</w:t>
      </w:r>
    </w:p>
    <w:p>
      <w:pPr>
        <w:pStyle w:val="2"/>
        <w:jc w:val="center"/>
      </w:pPr>
      <w:r>
        <w:rPr>
          <w:sz w:val="20"/>
        </w:rPr>
        <w:t xml:space="preserve">в автономном округе</w:t>
      </w:r>
    </w:p>
    <w:p>
      <w:pPr>
        <w:pStyle w:val="0"/>
        <w:jc w:val="center"/>
      </w:pPr>
      <w:r>
        <w:rPr>
          <w:sz w:val="20"/>
        </w:rPr>
      </w:r>
    </w:p>
    <w:p>
      <w:pPr>
        <w:pStyle w:val="0"/>
        <w:outlineLvl w:val="3"/>
        <w:jc w:val="right"/>
      </w:pPr>
      <w:r>
        <w:rPr>
          <w:sz w:val="20"/>
        </w:rPr>
        <w:t xml:space="preserve">Таблица 2</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3628"/>
        <w:gridCol w:w="4932"/>
      </w:tblGrid>
      <w:tr>
        <w:tc>
          <w:tcPr>
            <w:tcW w:w="454" w:type="dxa"/>
          </w:tcPr>
          <w:p>
            <w:pPr>
              <w:pStyle w:val="0"/>
              <w:jc w:val="center"/>
            </w:pPr>
            <w:r>
              <w:rPr>
                <w:sz w:val="20"/>
              </w:rPr>
              <w:t xml:space="preserve">N п/п</w:t>
            </w:r>
          </w:p>
        </w:tc>
        <w:tc>
          <w:tcPr>
            <w:tcW w:w="3628" w:type="dxa"/>
          </w:tcPr>
          <w:p>
            <w:pPr>
              <w:pStyle w:val="0"/>
              <w:jc w:val="center"/>
            </w:pPr>
            <w:r>
              <w:rPr>
                <w:sz w:val="20"/>
              </w:rPr>
              <w:t xml:space="preserve">Наименование</w:t>
            </w:r>
          </w:p>
        </w:tc>
        <w:tc>
          <w:tcPr>
            <w:tcW w:w="4932" w:type="dxa"/>
          </w:tcPr>
          <w:p>
            <w:pPr>
              <w:pStyle w:val="0"/>
              <w:jc w:val="center"/>
            </w:pPr>
            <w:r>
              <w:rPr>
                <w:sz w:val="20"/>
              </w:rPr>
              <w:t xml:space="preserve">Основное содержание</w:t>
            </w:r>
          </w:p>
        </w:tc>
      </w:tr>
      <w:tr>
        <w:tc>
          <w:tcPr>
            <w:tcW w:w="454" w:type="dxa"/>
          </w:tcPr>
          <w:p>
            <w:pPr>
              <w:pStyle w:val="0"/>
            </w:pPr>
            <w:r>
              <w:rPr>
                <w:sz w:val="20"/>
              </w:rPr>
              <w:t xml:space="preserve">1</w:t>
            </w:r>
          </w:p>
        </w:tc>
        <w:tc>
          <w:tcPr>
            <w:tcW w:w="3628" w:type="dxa"/>
          </w:tcPr>
          <w:p>
            <w:pPr>
              <w:pStyle w:val="0"/>
            </w:pPr>
            <w:r>
              <w:rPr>
                <w:sz w:val="20"/>
              </w:rPr>
              <w:t xml:space="preserve">Приказ Депздрава Югры от 22 мая 2014 года N 371 "О совершенствовании оказания обезболивающей терапии, нуждающимся пациентам, при оказании им медицинской помощи в Ханты-Мансийском автономном округе - Югры"</w:t>
            </w:r>
          </w:p>
        </w:tc>
        <w:tc>
          <w:tcPr>
            <w:tcW w:w="4932" w:type="dxa"/>
          </w:tcPr>
          <w:p>
            <w:pPr>
              <w:pStyle w:val="0"/>
            </w:pPr>
            <w:r>
              <w:rPr>
                <w:sz w:val="20"/>
              </w:rPr>
              <w:t xml:space="preserve">Конкретизация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pPr>
              <w:pStyle w:val="0"/>
            </w:pPr>
            <w:r>
              <w:rPr>
                <w:sz w:val="20"/>
              </w:rPr>
              <w:t xml:space="preserve">проведение обучения врачей-специалистов и лечащих врачей, оказывающих медицинскую помощь в амбулаторных условиях, методам обезболивания, принципам подбора наркотических лекарственных препаратов при различных видах боли и возможности их использования самими пациентами или родственниками, особенностям оказания обезболивания инкурабельным онкобольным;</w:t>
            </w:r>
          </w:p>
          <w:p>
            <w:pPr>
              <w:pStyle w:val="0"/>
            </w:pPr>
            <w:r>
              <w:rPr>
                <w:sz w:val="20"/>
              </w:rPr>
              <w:t xml:space="preserve">обеспечение наличия неинвазивных лекарственных форм наркотических препаратов для обезболивания пациентов при оказании им медицинской помощи</w:t>
            </w:r>
          </w:p>
        </w:tc>
      </w:tr>
      <w:tr>
        <w:tc>
          <w:tcPr>
            <w:tcW w:w="454" w:type="dxa"/>
          </w:tcPr>
          <w:p>
            <w:pPr>
              <w:pStyle w:val="0"/>
            </w:pPr>
            <w:r>
              <w:rPr>
                <w:sz w:val="20"/>
              </w:rPr>
              <w:t xml:space="preserve">2</w:t>
            </w:r>
          </w:p>
        </w:tc>
        <w:tc>
          <w:tcPr>
            <w:tcW w:w="3628" w:type="dxa"/>
          </w:tcPr>
          <w:p>
            <w:pPr>
              <w:pStyle w:val="0"/>
            </w:pPr>
            <w:r>
              <w:rPr>
                <w:sz w:val="20"/>
              </w:rPr>
              <w:t xml:space="preserve">Приказ Депздрава Югры от 5 мая 2022 года N 762 "Об организации оказания медицинской помощи при злокачественных новообразованиях в Ханты-Мансийском автономном округе - Югре"</w:t>
            </w:r>
          </w:p>
        </w:tc>
        <w:tc>
          <w:tcPr>
            <w:tcW w:w="4932" w:type="dxa"/>
          </w:tcPr>
          <w:p>
            <w:pPr>
              <w:pStyle w:val="0"/>
            </w:pPr>
            <w:r>
              <w:rPr>
                <w:sz w:val="20"/>
              </w:rPr>
              <w:t xml:space="preserve">Утверждены:</w:t>
            </w:r>
          </w:p>
          <w:p>
            <w:pPr>
              <w:pStyle w:val="0"/>
            </w:pPr>
            <w:r>
              <w:rPr>
                <w:sz w:val="20"/>
              </w:rPr>
              <w:t xml:space="preserve">алгоритм действий при подозрении или выявлении злокачественного новообразования в медицинских организациях автономного округа;</w:t>
            </w:r>
          </w:p>
          <w:p>
            <w:pPr>
              <w:pStyle w:val="0"/>
            </w:pPr>
            <w:r>
              <w:rPr>
                <w:sz w:val="20"/>
              </w:rPr>
              <w:t xml:space="preserve">перечень региональных онкологических центров, обеспечивающих оказание медицинской помощи по профилю "онкология" по медицинским зонам;</w:t>
            </w:r>
          </w:p>
          <w:p>
            <w:pPr>
              <w:pStyle w:val="0"/>
            </w:pPr>
            <w:r>
              <w:rPr>
                <w:sz w:val="20"/>
              </w:rPr>
              <w:t xml:space="preserve">объемы мероприятий по выявлению злокачественных новообразований и оказанию медицинской помощи пациентам при подозрении на злокачественное новообразование в медицинских организациях автономного округа</w:t>
            </w:r>
          </w:p>
          <w:p>
            <w:pPr>
              <w:pStyle w:val="0"/>
            </w:pPr>
            <w:r>
              <w:rPr>
                <w:sz w:val="20"/>
              </w:rPr>
              <w:t xml:space="preserve">маршрутизация при направлении на ПМП</w:t>
            </w:r>
          </w:p>
        </w:tc>
      </w:tr>
      <w:tr>
        <w:tc>
          <w:tcPr>
            <w:tcW w:w="454" w:type="dxa"/>
          </w:tcPr>
          <w:p>
            <w:pPr>
              <w:pStyle w:val="0"/>
            </w:pPr>
            <w:r>
              <w:rPr>
                <w:sz w:val="20"/>
              </w:rPr>
              <w:t xml:space="preserve">3</w:t>
            </w:r>
          </w:p>
        </w:tc>
        <w:tc>
          <w:tcPr>
            <w:tcW w:w="3628" w:type="dxa"/>
          </w:tcPr>
          <w:p>
            <w:pPr>
              <w:pStyle w:val="0"/>
            </w:pPr>
            <w:r>
              <w:rPr>
                <w:sz w:val="20"/>
              </w:rPr>
              <w:t xml:space="preserve">Приказ Депздрава Югры от 5 мая 2017 года N 475 "Об усовершенствовании работы постоянно действующей школы для обучения лиц, осуществляющих уход за тяжелобольными людьми"</w:t>
            </w:r>
          </w:p>
        </w:tc>
        <w:tc>
          <w:tcPr>
            <w:tcW w:w="4932" w:type="dxa"/>
          </w:tcPr>
          <w:p>
            <w:pPr>
              <w:pStyle w:val="0"/>
            </w:pPr>
            <w:r>
              <w:rPr>
                <w:sz w:val="20"/>
              </w:rPr>
              <w:t xml:space="preserve">Обновлены учебные программы "Школа для обучения лиц, осуществляющих уход за тяжелобольными людьми" и дидактические материалы для медицинских организаций по обучению населения навыкам ухода за тяжелобольными людьми</w:t>
            </w:r>
          </w:p>
        </w:tc>
      </w:tr>
      <w:tr>
        <w:tc>
          <w:tcPr>
            <w:tcW w:w="454" w:type="dxa"/>
          </w:tcPr>
          <w:p>
            <w:pPr>
              <w:pStyle w:val="0"/>
            </w:pPr>
            <w:r>
              <w:rPr>
                <w:sz w:val="20"/>
              </w:rPr>
              <w:t xml:space="preserve">4</w:t>
            </w:r>
          </w:p>
        </w:tc>
        <w:tc>
          <w:tcPr>
            <w:tcW w:w="3628" w:type="dxa"/>
          </w:tcPr>
          <w:p>
            <w:pPr>
              <w:pStyle w:val="0"/>
            </w:pPr>
            <w:r>
              <w:rPr>
                <w:sz w:val="20"/>
              </w:rPr>
              <w:t xml:space="preserve">Приказ Депздрава Югры от 7 июня 2022 года N 920 "Об организации оказания паллиативной медицинской помощи взрослому населению на территории Ханты-Мансийского автономного округа - Югры"</w:t>
            </w:r>
          </w:p>
        </w:tc>
        <w:tc>
          <w:tcPr>
            <w:tcW w:w="4932" w:type="dxa"/>
          </w:tcPr>
          <w:p>
            <w:pPr>
              <w:pStyle w:val="0"/>
            </w:pPr>
            <w:r>
              <w:rPr>
                <w:sz w:val="20"/>
              </w:rPr>
              <w:t xml:space="preserve">Утверждены положения о координационном центре ПМП, положение об отделении выездной патронажной ПМП взрослым, перечень медицинских организаций для оказания ПМП в амбулаторных и стационарных условиях, установлены принципы транспортировки и сопровождения пациентов, нуждающихся в оказании стационарной ПМП, для госпитализации и при выписке</w:t>
            </w:r>
          </w:p>
        </w:tc>
      </w:tr>
      <w:tr>
        <w:tc>
          <w:tcPr>
            <w:tcW w:w="454" w:type="dxa"/>
          </w:tcPr>
          <w:p>
            <w:pPr>
              <w:pStyle w:val="0"/>
            </w:pPr>
            <w:r>
              <w:rPr>
                <w:sz w:val="20"/>
              </w:rPr>
              <w:t xml:space="preserve">5</w:t>
            </w:r>
          </w:p>
        </w:tc>
        <w:tc>
          <w:tcPr>
            <w:tcW w:w="3628" w:type="dxa"/>
          </w:tcPr>
          <w:p>
            <w:pPr>
              <w:pStyle w:val="0"/>
            </w:pPr>
            <w:r>
              <w:rPr>
                <w:sz w:val="20"/>
              </w:rPr>
              <w:t xml:space="preserve">Приказ Депздрава Югры от 19 июля 2022 года N 1125 "О реорганизации коечного фонда по профилю "паллиативные" для взрослых в медицинских организациях на территории Ханты-Мансийского автономного округа - Югры"</w:t>
            </w:r>
          </w:p>
        </w:tc>
        <w:tc>
          <w:tcPr>
            <w:tcW w:w="4932" w:type="dxa"/>
          </w:tcPr>
          <w:p>
            <w:pPr>
              <w:pStyle w:val="0"/>
            </w:pPr>
            <w:r>
              <w:rPr>
                <w:sz w:val="20"/>
              </w:rPr>
              <w:t xml:space="preserve">Утверждена схема распределения коечного фонда по профилю "паллиативные" для взрослых в медицинских организациях на территории автономного округа</w:t>
            </w:r>
          </w:p>
        </w:tc>
      </w:tr>
      <w:tr>
        <w:tc>
          <w:tcPr>
            <w:tcW w:w="454" w:type="dxa"/>
          </w:tcPr>
          <w:p>
            <w:pPr>
              <w:pStyle w:val="0"/>
            </w:pPr>
            <w:r>
              <w:rPr>
                <w:sz w:val="20"/>
              </w:rPr>
              <w:t xml:space="preserve">6</w:t>
            </w:r>
          </w:p>
        </w:tc>
        <w:tc>
          <w:tcPr>
            <w:tcW w:w="3628" w:type="dxa"/>
          </w:tcPr>
          <w:p>
            <w:pPr>
              <w:pStyle w:val="0"/>
            </w:pPr>
            <w:r>
              <w:rPr>
                <w:sz w:val="20"/>
              </w:rPr>
              <w:t xml:space="preserve">Приказ Депздрава Югры от 19 декабря 2019 года N 1572 "Об организации паллиативной медицинской помощи несовершеннолетним в Ханты-Мансийском автономном округе - Югре"</w:t>
            </w:r>
          </w:p>
        </w:tc>
        <w:tc>
          <w:tcPr>
            <w:tcW w:w="4932" w:type="dxa"/>
          </w:tcPr>
          <w:p>
            <w:pPr>
              <w:pStyle w:val="0"/>
            </w:pPr>
            <w:r>
              <w:rPr>
                <w:sz w:val="20"/>
              </w:rPr>
              <w:t xml:space="preserve">Утверждены:</w:t>
            </w:r>
          </w:p>
          <w:p>
            <w:pPr>
              <w:pStyle w:val="0"/>
            </w:pPr>
            <w:r>
              <w:rPr>
                <w:sz w:val="20"/>
              </w:rPr>
              <w:t xml:space="preserve">1. Перечень медицинских организаций автономного округа, обеспечивающих оказание ПМП несовершеннолетним.</w:t>
            </w:r>
          </w:p>
          <w:p>
            <w:pPr>
              <w:pStyle w:val="0"/>
            </w:pPr>
            <w:r>
              <w:rPr>
                <w:sz w:val="20"/>
              </w:rPr>
              <w:t xml:space="preserve">2. Регламент оказания ПМП несовершеннолетним в амбулаторных условиях в автономном округе.</w:t>
            </w:r>
          </w:p>
          <w:p>
            <w:pPr>
              <w:pStyle w:val="0"/>
            </w:pPr>
            <w:r>
              <w:rPr>
                <w:sz w:val="20"/>
              </w:rPr>
              <w:t xml:space="preserve">3. Регламент деятельности отделения выездной патронажной ПМП несовершеннолетним в автономном округе.</w:t>
            </w:r>
          </w:p>
          <w:p>
            <w:pPr>
              <w:pStyle w:val="0"/>
            </w:pPr>
            <w:r>
              <w:rPr>
                <w:sz w:val="20"/>
              </w:rPr>
              <w:t xml:space="preserve">4. Регламент оказания ПМП несовершеннолетним в условиях стационара в автономном округе.</w:t>
            </w:r>
          </w:p>
          <w:p>
            <w:pPr>
              <w:pStyle w:val="0"/>
            </w:pPr>
            <w:r>
              <w:rPr>
                <w:sz w:val="20"/>
              </w:rPr>
              <w:t xml:space="preserve">5. Регламент проведения искусственной вентиляции легких несовершеннолетним на дому в автономном округе.</w:t>
            </w:r>
          </w:p>
          <w:p>
            <w:pPr>
              <w:pStyle w:val="0"/>
            </w:pPr>
            <w:r>
              <w:rPr>
                <w:sz w:val="20"/>
              </w:rPr>
              <w:t xml:space="preserve">6. Основные группы состояний, заболеваний у несовершеннолетних, обусловливающих потребность в ПМП</w:t>
            </w:r>
          </w:p>
        </w:tc>
      </w:tr>
      <w:tr>
        <w:tc>
          <w:tcPr>
            <w:tcW w:w="454" w:type="dxa"/>
          </w:tcPr>
          <w:p>
            <w:pPr>
              <w:pStyle w:val="0"/>
            </w:pPr>
            <w:r>
              <w:rPr>
                <w:sz w:val="20"/>
              </w:rPr>
              <w:t xml:space="preserve">7</w:t>
            </w:r>
          </w:p>
        </w:tc>
        <w:tc>
          <w:tcPr>
            <w:tcW w:w="3628" w:type="dxa"/>
          </w:tcPr>
          <w:p>
            <w:pPr>
              <w:pStyle w:val="0"/>
            </w:pPr>
            <w:hyperlink w:history="0" r:id="rId173" w:tooltip="Приказ Департамента здравоохранения ХМАО - Югры N 1384 Департамента социального развития ХМАО - Югры N 1248-р от 01.10.2020 &quot;Об организации взаимодействия медицинских организаций и организаций социального обслуживания при оказании паллиативной медицинской помощи гражданам, в том числе несовершеннолетним, в Ханты-Мансийском автономном округе - Югре&quot; {КонсультантПлюс}">
              <w:r>
                <w:rPr>
                  <w:sz w:val="20"/>
                  <w:color w:val="0000ff"/>
                </w:rPr>
                <w:t xml:space="preserve">Приказ</w:t>
              </w:r>
            </w:hyperlink>
            <w:r>
              <w:rPr>
                <w:sz w:val="20"/>
              </w:rPr>
              <w:t xml:space="preserve"> Депздрава Югры, Депсоцразвития Югры от 1 октября 2020 года N 1384/1248-р "Об организации взаимодействия медицинских организаций и организаций социального обслуживания при оказании паллиативной медицинской помощи гражданам, в том числе несовершеннолетним, в Ханты-Мансийском автономном округе - Югре"</w:t>
            </w:r>
          </w:p>
        </w:tc>
        <w:tc>
          <w:tcPr>
            <w:tcW w:w="4932" w:type="dxa"/>
          </w:tcPr>
          <w:p>
            <w:pPr>
              <w:pStyle w:val="0"/>
            </w:pPr>
            <w:r>
              <w:rPr>
                <w:sz w:val="20"/>
              </w:rPr>
              <w:t xml:space="preserve">Утвержден перечень медицинских организаций, оказывающих гражданам ПМП, организаций социального обслуживания автономного округа, предоставляющих социальные услуги гражданам, в том числе несовершеннолетним, нуждающимся в ПМП (в разрезе муниципальных образований автономного округа)</w:t>
            </w:r>
          </w:p>
        </w:tc>
      </w:tr>
      <w:tr>
        <w:tc>
          <w:tcPr>
            <w:tcW w:w="454" w:type="dxa"/>
          </w:tcPr>
          <w:p>
            <w:pPr>
              <w:pStyle w:val="0"/>
            </w:pPr>
            <w:r>
              <w:rPr>
                <w:sz w:val="20"/>
              </w:rPr>
              <w:t xml:space="preserve">8</w:t>
            </w:r>
          </w:p>
        </w:tc>
        <w:tc>
          <w:tcPr>
            <w:tcW w:w="3628" w:type="dxa"/>
          </w:tcPr>
          <w:p>
            <w:pPr>
              <w:pStyle w:val="0"/>
            </w:pPr>
            <w:r>
              <w:rPr>
                <w:sz w:val="20"/>
              </w:rPr>
              <w:t xml:space="preserve">Приказ Депздрава Югры от 25 ноября 2021 года N 1899 "Об организации обеспечения взрослых и несовершеннолетних, нуждающихся в паллиативной медицинской помощи медицинскими изделиями, предназначенными для поддержания функций органов и систем организма человека, предоставляемых для использования на дому, в Ханты-Мансийском автономном округе - Югре"</w:t>
            </w:r>
          </w:p>
        </w:tc>
        <w:tc>
          <w:tcPr>
            <w:tcW w:w="4932" w:type="dxa"/>
          </w:tcPr>
          <w:p>
            <w:pPr>
              <w:pStyle w:val="0"/>
            </w:pPr>
            <w:r>
              <w:rPr>
                <w:sz w:val="20"/>
              </w:rPr>
              <w:t xml:space="preserve">Утвержден перечень медицинских организаций автономного округа, ответственных за обеспечение пациентов, нуждающихся в ПМП, медицинскими изделиями, предназначенными для поддержания функций органов и систем организма человека, предоставляемых для использования на дому, форма заявки на обеспечение медицинскими изделиями, предназначенными для поддержания функций органов и систем организма человека, предоставляемыми для использования на дому</w:t>
            </w:r>
          </w:p>
        </w:tc>
      </w:tr>
      <w:tr>
        <w:tc>
          <w:tcPr>
            <w:tcW w:w="454" w:type="dxa"/>
          </w:tcPr>
          <w:p>
            <w:pPr>
              <w:pStyle w:val="0"/>
            </w:pPr>
            <w:r>
              <w:rPr>
                <w:sz w:val="20"/>
              </w:rPr>
              <w:t xml:space="preserve">9</w:t>
            </w:r>
          </w:p>
        </w:tc>
        <w:tc>
          <w:tcPr>
            <w:tcW w:w="3628" w:type="dxa"/>
          </w:tcPr>
          <w:p>
            <w:pPr>
              <w:pStyle w:val="0"/>
            </w:pPr>
            <w:r>
              <w:rPr>
                <w:sz w:val="20"/>
              </w:rPr>
              <w:t xml:space="preserve">Приказ Депздрава Югры от 24 сентября 2021 года N 1415 "Об организации работы Центра паллиативной медицинской помощи детям в Ханты-Мансийском автономном округе - Югре"</w:t>
            </w:r>
          </w:p>
        </w:tc>
        <w:tc>
          <w:tcPr>
            <w:tcW w:w="4932" w:type="dxa"/>
          </w:tcPr>
          <w:p>
            <w:pPr>
              <w:pStyle w:val="0"/>
            </w:pPr>
            <w:r>
              <w:rPr>
                <w:sz w:val="20"/>
              </w:rPr>
              <w:t xml:space="preserve">На базе БУ "Нижневартовская окружная клиническая детская больница" создан Центр паллиативной медицинской помощи детям, запас медицинских изделий, предназначенных для поддержания функций органов и систем организма человека, предоставляемых для использования на дому, в целях обеспечения вновь выявленных детей, нуждающихся в обеспечении медицинскими изделиями на дому</w:t>
            </w:r>
          </w:p>
        </w:tc>
      </w:tr>
      <w:tr>
        <w:tc>
          <w:tcPr>
            <w:tcW w:w="454" w:type="dxa"/>
          </w:tcPr>
          <w:p>
            <w:pPr>
              <w:pStyle w:val="0"/>
            </w:pPr>
            <w:r>
              <w:rPr>
                <w:sz w:val="20"/>
              </w:rPr>
              <w:t xml:space="preserve">10</w:t>
            </w:r>
          </w:p>
        </w:tc>
        <w:tc>
          <w:tcPr>
            <w:tcW w:w="3628" w:type="dxa"/>
          </w:tcPr>
          <w:p>
            <w:pPr>
              <w:pStyle w:val="0"/>
            </w:pPr>
            <w:r>
              <w:rPr>
                <w:sz w:val="20"/>
              </w:rPr>
              <w:t xml:space="preserve">Приказ Депздрава Югры от 22 декабря 2021 года N 2098 "О совершенствовании организации оказания паллиативной медицинской помощи несовершеннолетним в Ханты-Мансийском автономном округе - Югре"</w:t>
            </w:r>
          </w:p>
        </w:tc>
        <w:tc>
          <w:tcPr>
            <w:tcW w:w="4932" w:type="dxa"/>
          </w:tcPr>
          <w:p>
            <w:pPr>
              <w:pStyle w:val="0"/>
            </w:pPr>
            <w:r>
              <w:rPr>
                <w:sz w:val="20"/>
              </w:rPr>
              <w:t xml:space="preserve">Регламентировано заполнение регистра ПМП детям, взаимодействие с ФКУ "Главное бюро медико-социальной экспертизы", проведение сверки с БУ автономного округа "Медицинский информационно-аналитический центр"</w:t>
            </w:r>
          </w:p>
        </w:tc>
      </w:tr>
      <w:tr>
        <w:tc>
          <w:tcPr>
            <w:tcW w:w="454" w:type="dxa"/>
          </w:tcPr>
          <w:p>
            <w:pPr>
              <w:pStyle w:val="0"/>
            </w:pPr>
            <w:r>
              <w:rPr>
                <w:sz w:val="20"/>
              </w:rPr>
              <w:t xml:space="preserve">11</w:t>
            </w:r>
          </w:p>
        </w:tc>
        <w:tc>
          <w:tcPr>
            <w:tcW w:w="3628" w:type="dxa"/>
          </w:tcPr>
          <w:p>
            <w:pPr>
              <w:pStyle w:val="0"/>
            </w:pPr>
            <w:r>
              <w:rPr>
                <w:sz w:val="20"/>
              </w:rPr>
              <w:t xml:space="preserve">Приказ Депздрава Югры от 1 апреля 2022 года N 575 "Об организации работы отделений выездной патронажной паллиативной медицинской помощи детям на базе медицинских организаций Ханты-Мансийского автономного округа - Югры"</w:t>
            </w:r>
          </w:p>
        </w:tc>
        <w:tc>
          <w:tcPr>
            <w:tcW w:w="4932" w:type="dxa"/>
          </w:tcPr>
          <w:p>
            <w:pPr>
              <w:pStyle w:val="0"/>
            </w:pPr>
            <w:r>
              <w:rPr>
                <w:sz w:val="20"/>
              </w:rPr>
              <w:t xml:space="preserve">Регламентировано создание 2 отделений выездной паллиативной помощи детям на базе БУ автономного округа "Нефтеюганская окружная клиническая больница им. В.И. Яцкив", "Урайская городская больница" с целью охвата всего детского населения автономного округа специализированной ПМП</w:t>
            </w:r>
          </w:p>
        </w:tc>
      </w:tr>
    </w:tbl>
    <w:p>
      <w:pPr>
        <w:pStyle w:val="0"/>
        <w:ind w:firstLine="540"/>
        <w:jc w:val="both"/>
      </w:pPr>
      <w:r>
        <w:rPr>
          <w:sz w:val="20"/>
        </w:rPr>
      </w:r>
    </w:p>
    <w:p>
      <w:pPr>
        <w:pStyle w:val="2"/>
        <w:outlineLvl w:val="1"/>
        <w:jc w:val="center"/>
      </w:pPr>
      <w:r>
        <w:rPr>
          <w:sz w:val="20"/>
        </w:rPr>
        <w:t xml:space="preserve">Раздел II. СТАТИСТИЧЕСКИЕ ДАННЫЕ</w:t>
      </w:r>
    </w:p>
    <w:p>
      <w:pPr>
        <w:pStyle w:val="0"/>
        <w:ind w:firstLine="540"/>
        <w:jc w:val="both"/>
      </w:pPr>
      <w:r>
        <w:rPr>
          <w:sz w:val="20"/>
        </w:rPr>
      </w:r>
    </w:p>
    <w:p>
      <w:pPr>
        <w:pStyle w:val="2"/>
        <w:outlineLvl w:val="2"/>
        <w:jc w:val="center"/>
      </w:pPr>
      <w:r>
        <w:rPr>
          <w:sz w:val="20"/>
        </w:rPr>
        <w:t xml:space="preserve">2.1. Статистические показатели</w:t>
      </w:r>
    </w:p>
    <w:p>
      <w:pPr>
        <w:pStyle w:val="0"/>
        <w:jc w:val="center"/>
      </w:pPr>
      <w:r>
        <w:rPr>
          <w:sz w:val="20"/>
        </w:rPr>
      </w:r>
    </w:p>
    <w:p>
      <w:pPr>
        <w:pStyle w:val="0"/>
        <w:outlineLvl w:val="3"/>
        <w:jc w:val="right"/>
      </w:pPr>
      <w:r>
        <w:rPr>
          <w:sz w:val="20"/>
        </w:rPr>
        <w:t xml:space="preserve">Таблица 3</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5216"/>
        <w:gridCol w:w="3005"/>
      </w:tblGrid>
      <w:tr>
        <w:tc>
          <w:tcPr>
            <w:tcW w:w="454" w:type="dxa"/>
            <w:vMerge w:val="restart"/>
          </w:tcPr>
          <w:p>
            <w:pPr>
              <w:pStyle w:val="0"/>
              <w:jc w:val="center"/>
            </w:pPr>
            <w:r>
              <w:rPr>
                <w:sz w:val="20"/>
              </w:rPr>
              <w:t xml:space="preserve">N</w:t>
            </w:r>
          </w:p>
          <w:p>
            <w:pPr>
              <w:pStyle w:val="0"/>
              <w:jc w:val="center"/>
            </w:pPr>
            <w:r>
              <w:rPr>
                <w:sz w:val="20"/>
              </w:rPr>
              <w:t xml:space="preserve">п/п</w:t>
            </w:r>
          </w:p>
        </w:tc>
        <w:tc>
          <w:tcPr>
            <w:tcW w:w="5216" w:type="dxa"/>
            <w:vMerge w:val="restart"/>
          </w:tcPr>
          <w:p>
            <w:pPr>
              <w:pStyle w:val="0"/>
              <w:jc w:val="center"/>
            </w:pPr>
            <w:r>
              <w:rPr>
                <w:sz w:val="20"/>
              </w:rPr>
              <w:t xml:space="preserve">Показатель</w:t>
            </w:r>
          </w:p>
        </w:tc>
        <w:tc>
          <w:tcPr>
            <w:tcW w:w="3005" w:type="dxa"/>
          </w:tcPr>
          <w:p>
            <w:pPr>
              <w:pStyle w:val="0"/>
              <w:jc w:val="center"/>
            </w:pPr>
            <w:r>
              <w:rPr>
                <w:sz w:val="20"/>
              </w:rPr>
              <w:t xml:space="preserve">Значение</w:t>
            </w:r>
          </w:p>
        </w:tc>
      </w:tr>
      <w:tr>
        <w:tc>
          <w:tcPr>
            <w:vMerge w:val="continue"/>
          </w:tcPr>
          <w:p/>
        </w:tc>
        <w:tc>
          <w:tcPr>
            <w:vMerge w:val="continue"/>
          </w:tcPr>
          <w:p/>
        </w:tc>
        <w:tc>
          <w:tcPr>
            <w:tcW w:w="3005" w:type="dxa"/>
          </w:tcPr>
          <w:p>
            <w:pPr>
              <w:pStyle w:val="0"/>
              <w:jc w:val="center"/>
            </w:pPr>
            <w:r>
              <w:rPr>
                <w:sz w:val="20"/>
              </w:rPr>
              <w:t xml:space="preserve">Автономный округ</w:t>
            </w:r>
          </w:p>
        </w:tc>
      </w:tr>
      <w:tr>
        <w:tc>
          <w:tcPr>
            <w:tcW w:w="454" w:type="dxa"/>
          </w:tcPr>
          <w:p>
            <w:pPr>
              <w:pStyle w:val="0"/>
            </w:pPr>
            <w:r>
              <w:rPr>
                <w:sz w:val="20"/>
              </w:rPr>
              <w:t xml:space="preserve">1</w:t>
            </w:r>
          </w:p>
        </w:tc>
        <w:tc>
          <w:tcPr>
            <w:tcW w:w="5216" w:type="dxa"/>
          </w:tcPr>
          <w:p>
            <w:pPr>
              <w:pStyle w:val="0"/>
            </w:pPr>
            <w:r>
              <w:rPr>
                <w:sz w:val="20"/>
              </w:rPr>
              <w:t xml:space="preserve">Площадь автономного округа, тыс. кв. км</w:t>
            </w:r>
          </w:p>
        </w:tc>
        <w:tc>
          <w:tcPr>
            <w:tcW w:w="3005" w:type="dxa"/>
          </w:tcPr>
          <w:p>
            <w:pPr>
              <w:pStyle w:val="0"/>
            </w:pPr>
            <w:r>
              <w:rPr>
                <w:sz w:val="20"/>
              </w:rPr>
              <w:t xml:space="preserve">534,8</w:t>
            </w:r>
          </w:p>
        </w:tc>
      </w:tr>
      <w:tr>
        <w:tc>
          <w:tcPr>
            <w:tcW w:w="454" w:type="dxa"/>
          </w:tcPr>
          <w:p>
            <w:pPr>
              <w:pStyle w:val="0"/>
            </w:pPr>
            <w:r>
              <w:rPr>
                <w:sz w:val="20"/>
              </w:rPr>
              <w:t xml:space="preserve">2</w:t>
            </w:r>
          </w:p>
        </w:tc>
        <w:tc>
          <w:tcPr>
            <w:tcW w:w="5216" w:type="dxa"/>
          </w:tcPr>
          <w:p>
            <w:pPr>
              <w:pStyle w:val="0"/>
            </w:pPr>
            <w:r>
              <w:rPr>
                <w:sz w:val="20"/>
              </w:rPr>
              <w:t xml:space="preserve">Административный центр</w:t>
            </w:r>
          </w:p>
        </w:tc>
        <w:tc>
          <w:tcPr>
            <w:tcW w:w="3005" w:type="dxa"/>
          </w:tcPr>
          <w:p>
            <w:pPr>
              <w:pStyle w:val="0"/>
            </w:pPr>
            <w:r>
              <w:rPr>
                <w:sz w:val="20"/>
              </w:rPr>
              <w:t xml:space="preserve">г. Ханты-Мансийск</w:t>
            </w:r>
          </w:p>
        </w:tc>
      </w:tr>
      <w:tr>
        <w:tc>
          <w:tcPr>
            <w:tcW w:w="454" w:type="dxa"/>
          </w:tcPr>
          <w:p>
            <w:pPr>
              <w:pStyle w:val="0"/>
            </w:pPr>
            <w:r>
              <w:rPr>
                <w:sz w:val="20"/>
              </w:rPr>
              <w:t xml:space="preserve">3</w:t>
            </w:r>
          </w:p>
        </w:tc>
        <w:tc>
          <w:tcPr>
            <w:tcW w:w="5216" w:type="dxa"/>
          </w:tcPr>
          <w:p>
            <w:pPr>
              <w:pStyle w:val="0"/>
            </w:pPr>
            <w:r>
              <w:rPr>
                <w:sz w:val="20"/>
              </w:rPr>
              <w:t xml:space="preserve">Население автономного округа, тыс. чел., в т.ч.</w:t>
            </w:r>
          </w:p>
        </w:tc>
        <w:tc>
          <w:tcPr>
            <w:tcW w:w="3005" w:type="dxa"/>
          </w:tcPr>
          <w:p>
            <w:pPr>
              <w:pStyle w:val="0"/>
            </w:pPr>
            <w:r>
              <w:rPr>
                <w:sz w:val="20"/>
              </w:rPr>
              <w:t xml:space="preserve">1702,240</w:t>
            </w:r>
          </w:p>
        </w:tc>
      </w:tr>
      <w:tr>
        <w:tc>
          <w:tcPr>
            <w:tcW w:w="454" w:type="dxa"/>
          </w:tcPr>
          <w:p>
            <w:pPr>
              <w:pStyle w:val="0"/>
            </w:pPr>
            <w:r>
              <w:rPr>
                <w:sz w:val="20"/>
              </w:rPr>
              <w:t xml:space="preserve">3.1</w:t>
            </w:r>
          </w:p>
        </w:tc>
        <w:tc>
          <w:tcPr>
            <w:tcW w:w="5216" w:type="dxa"/>
          </w:tcPr>
          <w:p>
            <w:pPr>
              <w:pStyle w:val="0"/>
            </w:pPr>
            <w:r>
              <w:rPr>
                <w:sz w:val="20"/>
              </w:rPr>
              <w:t xml:space="preserve">Городское, тыс. чел.</w:t>
            </w:r>
          </w:p>
        </w:tc>
        <w:tc>
          <w:tcPr>
            <w:tcW w:w="3005" w:type="dxa"/>
          </w:tcPr>
          <w:p>
            <w:pPr>
              <w:pStyle w:val="0"/>
            </w:pPr>
            <w:r>
              <w:rPr>
                <w:sz w:val="20"/>
              </w:rPr>
              <w:t xml:space="preserve">1578,390</w:t>
            </w:r>
          </w:p>
        </w:tc>
      </w:tr>
      <w:tr>
        <w:tc>
          <w:tcPr>
            <w:tcW w:w="454" w:type="dxa"/>
          </w:tcPr>
          <w:p>
            <w:pPr>
              <w:pStyle w:val="0"/>
            </w:pPr>
            <w:r>
              <w:rPr>
                <w:sz w:val="20"/>
              </w:rPr>
              <w:t xml:space="preserve">3.2</w:t>
            </w:r>
          </w:p>
        </w:tc>
        <w:tc>
          <w:tcPr>
            <w:tcW w:w="5216" w:type="dxa"/>
          </w:tcPr>
          <w:p>
            <w:pPr>
              <w:pStyle w:val="0"/>
            </w:pPr>
            <w:r>
              <w:rPr>
                <w:sz w:val="20"/>
              </w:rPr>
              <w:t xml:space="preserve">Сельское, тыс. чел.</w:t>
            </w:r>
          </w:p>
        </w:tc>
        <w:tc>
          <w:tcPr>
            <w:tcW w:w="3005" w:type="dxa"/>
          </w:tcPr>
          <w:p>
            <w:pPr>
              <w:pStyle w:val="0"/>
            </w:pPr>
            <w:r>
              <w:rPr>
                <w:sz w:val="20"/>
              </w:rPr>
              <w:t xml:space="preserve">123,850</w:t>
            </w:r>
          </w:p>
        </w:tc>
      </w:tr>
      <w:tr>
        <w:tc>
          <w:tcPr>
            <w:tcW w:w="454" w:type="dxa"/>
          </w:tcPr>
          <w:p>
            <w:pPr>
              <w:pStyle w:val="0"/>
            </w:pPr>
            <w:r>
              <w:rPr>
                <w:sz w:val="20"/>
              </w:rPr>
              <w:t xml:space="preserve">4</w:t>
            </w:r>
          </w:p>
        </w:tc>
        <w:tc>
          <w:tcPr>
            <w:tcW w:w="5216" w:type="dxa"/>
          </w:tcPr>
          <w:p>
            <w:pPr>
              <w:pStyle w:val="0"/>
            </w:pPr>
            <w:r>
              <w:rPr>
                <w:sz w:val="20"/>
              </w:rPr>
              <w:t xml:space="preserve">Плотность населения, человек на 1 км</w:t>
            </w:r>
          </w:p>
        </w:tc>
        <w:tc>
          <w:tcPr>
            <w:tcW w:w="3005" w:type="dxa"/>
          </w:tcPr>
          <w:p>
            <w:pPr>
              <w:pStyle w:val="0"/>
            </w:pPr>
            <w:r>
              <w:rPr>
                <w:sz w:val="20"/>
              </w:rPr>
              <w:t xml:space="preserve">3,2</w:t>
            </w:r>
          </w:p>
        </w:tc>
      </w:tr>
      <w:tr>
        <w:tc>
          <w:tcPr>
            <w:tcW w:w="454" w:type="dxa"/>
          </w:tcPr>
          <w:p>
            <w:pPr>
              <w:pStyle w:val="0"/>
            </w:pPr>
            <w:r>
              <w:rPr>
                <w:sz w:val="20"/>
              </w:rPr>
              <w:t xml:space="preserve">5</w:t>
            </w:r>
          </w:p>
        </w:tc>
        <w:tc>
          <w:tcPr>
            <w:tcW w:w="5216" w:type="dxa"/>
          </w:tcPr>
          <w:p>
            <w:pPr>
              <w:pStyle w:val="0"/>
            </w:pPr>
            <w:r>
              <w:rPr>
                <w:sz w:val="20"/>
              </w:rPr>
              <w:t xml:space="preserve">Количество административно-территориальных единиц</w:t>
            </w:r>
          </w:p>
        </w:tc>
        <w:tc>
          <w:tcPr>
            <w:tcW w:w="3005" w:type="dxa"/>
          </w:tcPr>
          <w:p>
            <w:pPr>
              <w:pStyle w:val="0"/>
            </w:pPr>
            <w:r>
              <w:rPr>
                <w:sz w:val="20"/>
              </w:rPr>
              <w:t xml:space="preserve">22</w:t>
            </w:r>
          </w:p>
        </w:tc>
      </w:tr>
    </w:tbl>
    <w:p>
      <w:pPr>
        <w:pStyle w:val="0"/>
        <w:jc w:val="right"/>
      </w:pPr>
      <w:r>
        <w:rPr>
          <w:sz w:val="20"/>
        </w:rPr>
      </w:r>
    </w:p>
    <w:p>
      <w:pPr>
        <w:pStyle w:val="2"/>
        <w:outlineLvl w:val="3"/>
        <w:jc w:val="center"/>
      </w:pPr>
      <w:r>
        <w:rPr>
          <w:sz w:val="20"/>
        </w:rPr>
        <w:t xml:space="preserve">Показатели рождаемости и смертности</w:t>
      </w:r>
    </w:p>
    <w:p>
      <w:pPr>
        <w:pStyle w:val="0"/>
        <w:jc w:val="center"/>
      </w:pPr>
      <w:r>
        <w:rPr>
          <w:sz w:val="20"/>
        </w:rPr>
      </w:r>
    </w:p>
    <w:p>
      <w:pPr>
        <w:pStyle w:val="0"/>
        <w:jc w:val="right"/>
      </w:pPr>
      <w:r>
        <w:rPr>
          <w:sz w:val="20"/>
        </w:rPr>
        <w:t xml:space="preserve">Таблица 4</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604"/>
        <w:gridCol w:w="3231"/>
        <w:gridCol w:w="1204"/>
        <w:gridCol w:w="1474"/>
      </w:tblGrid>
      <w:tr>
        <w:tc>
          <w:tcPr>
            <w:tcW w:w="1984" w:type="dxa"/>
          </w:tcPr>
          <w:p>
            <w:pPr>
              <w:pStyle w:val="0"/>
              <w:jc w:val="center"/>
            </w:pPr>
            <w:r>
              <w:rPr>
                <w:sz w:val="20"/>
              </w:rPr>
              <w:t xml:space="preserve">Показатель</w:t>
            </w:r>
          </w:p>
        </w:tc>
        <w:tc>
          <w:tcPr>
            <w:gridSpan w:val="2"/>
            <w:tcW w:w="3835" w:type="dxa"/>
          </w:tcPr>
          <w:p>
            <w:pPr>
              <w:pStyle w:val="0"/>
              <w:jc w:val="center"/>
            </w:pPr>
            <w:r>
              <w:rPr>
                <w:sz w:val="20"/>
              </w:rPr>
              <w:t xml:space="preserve">Период</w:t>
            </w:r>
          </w:p>
        </w:tc>
        <w:tc>
          <w:tcPr>
            <w:tcW w:w="1204" w:type="dxa"/>
          </w:tcPr>
          <w:p>
            <w:pPr>
              <w:pStyle w:val="0"/>
              <w:jc w:val="center"/>
            </w:pPr>
            <w:r>
              <w:rPr>
                <w:sz w:val="20"/>
              </w:rPr>
              <w:t xml:space="preserve">Единица измерения</w:t>
            </w:r>
          </w:p>
        </w:tc>
        <w:tc>
          <w:tcPr>
            <w:tcW w:w="1474" w:type="dxa"/>
          </w:tcPr>
          <w:p>
            <w:pPr>
              <w:pStyle w:val="0"/>
              <w:jc w:val="center"/>
            </w:pPr>
            <w:r>
              <w:rPr>
                <w:sz w:val="20"/>
              </w:rPr>
              <w:t xml:space="preserve">Автономный округ, всего</w:t>
            </w:r>
          </w:p>
        </w:tc>
      </w:tr>
      <w:tr>
        <w:tc>
          <w:tcPr>
            <w:tcW w:w="1984" w:type="dxa"/>
          </w:tcPr>
          <w:p>
            <w:pPr>
              <w:pStyle w:val="0"/>
            </w:pPr>
            <w:r>
              <w:rPr>
                <w:sz w:val="20"/>
              </w:rPr>
              <w:t xml:space="preserve">Рождаемость</w:t>
            </w:r>
          </w:p>
        </w:tc>
        <w:tc>
          <w:tcPr>
            <w:gridSpan w:val="2"/>
            <w:tcW w:w="3835" w:type="dxa"/>
          </w:tcPr>
          <w:p>
            <w:pPr>
              <w:pStyle w:val="0"/>
            </w:pPr>
            <w:r>
              <w:rPr>
                <w:sz w:val="20"/>
              </w:rPr>
              <w:t xml:space="preserve">2021 год</w:t>
            </w:r>
          </w:p>
        </w:tc>
        <w:tc>
          <w:tcPr>
            <w:tcW w:w="1204" w:type="dxa"/>
          </w:tcPr>
          <w:p>
            <w:pPr>
              <w:pStyle w:val="0"/>
            </w:pPr>
            <w:r>
              <w:rPr>
                <w:sz w:val="20"/>
              </w:rPr>
              <w:t xml:space="preserve">Чел.</w:t>
            </w:r>
          </w:p>
        </w:tc>
        <w:tc>
          <w:tcPr>
            <w:tcW w:w="1474" w:type="dxa"/>
          </w:tcPr>
          <w:p>
            <w:pPr>
              <w:pStyle w:val="0"/>
            </w:pPr>
            <w:r>
              <w:rPr>
                <w:sz w:val="20"/>
              </w:rPr>
              <w:t xml:space="preserve">19683</w:t>
            </w:r>
          </w:p>
        </w:tc>
      </w:tr>
      <w:tr>
        <w:tc>
          <w:tcPr>
            <w:tcW w:w="1984" w:type="dxa"/>
            <w:vMerge w:val="restart"/>
          </w:tcPr>
          <w:p>
            <w:pPr>
              <w:pStyle w:val="0"/>
            </w:pPr>
            <w:r>
              <w:rPr>
                <w:sz w:val="20"/>
              </w:rPr>
              <w:t xml:space="preserve">Смертность</w:t>
            </w:r>
          </w:p>
        </w:tc>
        <w:tc>
          <w:tcPr>
            <w:tcW w:w="604" w:type="dxa"/>
            <w:vMerge w:val="restart"/>
          </w:tcPr>
          <w:p>
            <w:pPr>
              <w:pStyle w:val="0"/>
            </w:pPr>
            <w:r>
              <w:rPr>
                <w:sz w:val="20"/>
              </w:rPr>
              <w:t xml:space="preserve">2021 год</w:t>
            </w:r>
          </w:p>
        </w:tc>
        <w:tc>
          <w:tcPr>
            <w:tcW w:w="3231" w:type="dxa"/>
          </w:tcPr>
          <w:p>
            <w:pPr>
              <w:pStyle w:val="0"/>
            </w:pPr>
            <w:r>
              <w:rPr>
                <w:sz w:val="20"/>
              </w:rPr>
              <w:t xml:space="preserve">всего</w:t>
            </w:r>
          </w:p>
        </w:tc>
        <w:tc>
          <w:tcPr>
            <w:tcW w:w="1204" w:type="dxa"/>
          </w:tcPr>
          <w:p>
            <w:pPr>
              <w:pStyle w:val="0"/>
            </w:pPr>
            <w:r>
              <w:rPr>
                <w:sz w:val="20"/>
              </w:rPr>
              <w:t xml:space="preserve">чел.</w:t>
            </w:r>
          </w:p>
        </w:tc>
        <w:tc>
          <w:tcPr>
            <w:tcW w:w="1474" w:type="dxa"/>
          </w:tcPr>
          <w:p>
            <w:pPr>
              <w:pStyle w:val="0"/>
            </w:pPr>
            <w:r>
              <w:rPr>
                <w:sz w:val="20"/>
              </w:rPr>
              <w:t xml:space="preserve">14429</w:t>
            </w:r>
          </w:p>
        </w:tc>
      </w:tr>
      <w:tr>
        <w:tc>
          <w:tcPr>
            <w:vMerge w:val="continue"/>
          </w:tcPr>
          <w:p/>
        </w:tc>
        <w:tc>
          <w:tcPr>
            <w:vMerge w:val="continue"/>
          </w:tcPr>
          <w:p/>
        </w:tc>
        <w:tc>
          <w:tcPr>
            <w:tcW w:w="3231" w:type="dxa"/>
          </w:tcPr>
          <w:p>
            <w:pPr>
              <w:pStyle w:val="0"/>
            </w:pPr>
            <w:r>
              <w:rPr>
                <w:sz w:val="20"/>
              </w:rPr>
              <w:t xml:space="preserve">из них 0 - 17 лет включительно</w:t>
            </w:r>
          </w:p>
        </w:tc>
        <w:tc>
          <w:tcPr>
            <w:tcW w:w="1204" w:type="dxa"/>
          </w:tcPr>
          <w:p>
            <w:pPr>
              <w:pStyle w:val="0"/>
            </w:pPr>
            <w:r>
              <w:rPr>
                <w:sz w:val="20"/>
              </w:rPr>
              <w:t xml:space="preserve">чел.</w:t>
            </w:r>
          </w:p>
        </w:tc>
        <w:tc>
          <w:tcPr>
            <w:tcW w:w="1474" w:type="dxa"/>
          </w:tcPr>
          <w:p>
            <w:pPr>
              <w:pStyle w:val="0"/>
            </w:pPr>
            <w:r>
              <w:rPr>
                <w:sz w:val="20"/>
              </w:rPr>
              <w:t xml:space="preserve">153</w:t>
            </w:r>
          </w:p>
        </w:tc>
      </w:tr>
      <w:tr>
        <w:tc>
          <w:tcPr>
            <w:vMerge w:val="continue"/>
          </w:tcPr>
          <w:p/>
        </w:tc>
        <w:tc>
          <w:tcPr>
            <w:vMerge w:val="continue"/>
          </w:tcPr>
          <w:p/>
        </w:tc>
        <w:tc>
          <w:tcPr>
            <w:tcW w:w="3231" w:type="dxa"/>
          </w:tcPr>
          <w:p>
            <w:pPr>
              <w:pStyle w:val="0"/>
            </w:pPr>
            <w:r>
              <w:rPr>
                <w:sz w:val="20"/>
              </w:rPr>
              <w:t xml:space="preserve">из них старше трудоспособного возраста</w:t>
            </w:r>
          </w:p>
        </w:tc>
        <w:tc>
          <w:tcPr>
            <w:tcW w:w="1204" w:type="dxa"/>
          </w:tcPr>
          <w:p>
            <w:pPr>
              <w:pStyle w:val="0"/>
            </w:pPr>
            <w:r>
              <w:rPr>
                <w:sz w:val="20"/>
              </w:rPr>
              <w:t xml:space="preserve">чел.</w:t>
            </w:r>
          </w:p>
        </w:tc>
        <w:tc>
          <w:tcPr>
            <w:tcW w:w="1474" w:type="dxa"/>
          </w:tcPr>
          <w:p>
            <w:pPr>
              <w:pStyle w:val="0"/>
            </w:pPr>
            <w:r>
              <w:rPr>
                <w:sz w:val="20"/>
              </w:rPr>
              <w:t xml:space="preserve">9859</w:t>
            </w:r>
          </w:p>
        </w:tc>
      </w:tr>
    </w:tbl>
    <w:p>
      <w:pPr>
        <w:pStyle w:val="0"/>
        <w:ind w:firstLine="540"/>
        <w:jc w:val="both"/>
      </w:pPr>
      <w:r>
        <w:rPr>
          <w:sz w:val="20"/>
        </w:rPr>
      </w:r>
    </w:p>
    <w:p>
      <w:pPr>
        <w:pStyle w:val="2"/>
        <w:outlineLvl w:val="3"/>
        <w:jc w:val="center"/>
      </w:pPr>
      <w:r>
        <w:rPr>
          <w:sz w:val="20"/>
        </w:rPr>
        <w:t xml:space="preserve">Финансово-экономические показатели</w:t>
      </w:r>
    </w:p>
    <w:p>
      <w:pPr>
        <w:pStyle w:val="0"/>
        <w:jc w:val="center"/>
      </w:pPr>
      <w:r>
        <w:rPr>
          <w:sz w:val="20"/>
        </w:rPr>
      </w:r>
    </w:p>
    <w:p>
      <w:pPr>
        <w:pStyle w:val="0"/>
        <w:jc w:val="right"/>
      </w:pPr>
      <w:r>
        <w:rPr>
          <w:sz w:val="20"/>
        </w:rPr>
        <w:t xml:space="preserve">Таблица 5</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2329"/>
        <w:gridCol w:w="1264"/>
        <w:gridCol w:w="1264"/>
        <w:gridCol w:w="1264"/>
        <w:gridCol w:w="1264"/>
        <w:gridCol w:w="1264"/>
      </w:tblGrid>
      <w:tr>
        <w:tc>
          <w:tcPr>
            <w:tcW w:w="604" w:type="dxa"/>
            <w:vMerge w:val="restart"/>
          </w:tcPr>
          <w:p>
            <w:pPr>
              <w:pStyle w:val="0"/>
              <w:jc w:val="center"/>
            </w:pPr>
            <w:r>
              <w:rPr>
                <w:sz w:val="20"/>
              </w:rPr>
              <w:t xml:space="preserve">N п/п</w:t>
            </w:r>
          </w:p>
        </w:tc>
        <w:tc>
          <w:tcPr>
            <w:tcW w:w="2329" w:type="dxa"/>
            <w:vMerge w:val="restart"/>
          </w:tcPr>
          <w:p>
            <w:pPr>
              <w:pStyle w:val="0"/>
              <w:jc w:val="center"/>
            </w:pPr>
            <w:r>
              <w:rPr>
                <w:sz w:val="20"/>
              </w:rPr>
              <w:t xml:space="preserve">Показатель</w:t>
            </w:r>
          </w:p>
        </w:tc>
        <w:tc>
          <w:tcPr>
            <w:gridSpan w:val="5"/>
            <w:tcW w:w="6320" w:type="dxa"/>
          </w:tcPr>
          <w:p>
            <w:pPr>
              <w:pStyle w:val="0"/>
              <w:jc w:val="center"/>
            </w:pPr>
            <w:r>
              <w:rPr>
                <w:sz w:val="20"/>
              </w:rPr>
              <w:t xml:space="preserve">Значение, тыс. руб.</w:t>
            </w:r>
          </w:p>
        </w:tc>
      </w:tr>
      <w:tr>
        <w:tc>
          <w:tcPr>
            <w:vMerge w:val="continue"/>
          </w:tcPr>
          <w:p/>
        </w:tc>
        <w:tc>
          <w:tcPr>
            <w:vMerge w:val="continue"/>
          </w:tcPr>
          <w:p/>
        </w:tc>
        <w:tc>
          <w:tcPr>
            <w:tcW w:w="1264" w:type="dxa"/>
          </w:tcPr>
          <w:p>
            <w:pPr>
              <w:pStyle w:val="0"/>
              <w:jc w:val="center"/>
            </w:pPr>
            <w:r>
              <w:rPr>
                <w:sz w:val="20"/>
              </w:rPr>
              <w:t xml:space="preserve">2021 год (факт)</w:t>
            </w:r>
          </w:p>
        </w:tc>
        <w:tc>
          <w:tcPr>
            <w:tcW w:w="1264" w:type="dxa"/>
          </w:tcPr>
          <w:p>
            <w:pPr>
              <w:pStyle w:val="0"/>
              <w:jc w:val="center"/>
            </w:pPr>
            <w:r>
              <w:rPr>
                <w:sz w:val="20"/>
              </w:rPr>
              <w:t xml:space="preserve">2022 год</w:t>
            </w:r>
          </w:p>
        </w:tc>
        <w:tc>
          <w:tcPr>
            <w:tcW w:w="1264" w:type="dxa"/>
          </w:tcPr>
          <w:p>
            <w:pPr>
              <w:pStyle w:val="0"/>
              <w:jc w:val="center"/>
            </w:pPr>
            <w:r>
              <w:rPr>
                <w:sz w:val="20"/>
              </w:rPr>
              <w:t xml:space="preserve">2023 год</w:t>
            </w:r>
          </w:p>
        </w:tc>
        <w:tc>
          <w:tcPr>
            <w:tcW w:w="1264" w:type="dxa"/>
          </w:tcPr>
          <w:p>
            <w:pPr>
              <w:pStyle w:val="0"/>
              <w:jc w:val="center"/>
            </w:pPr>
            <w:r>
              <w:rPr>
                <w:sz w:val="20"/>
              </w:rPr>
              <w:t xml:space="preserve">2024 год</w:t>
            </w:r>
          </w:p>
        </w:tc>
        <w:tc>
          <w:tcPr>
            <w:tcW w:w="1264" w:type="dxa"/>
          </w:tcPr>
          <w:p>
            <w:pPr>
              <w:pStyle w:val="0"/>
              <w:jc w:val="center"/>
            </w:pPr>
            <w:r>
              <w:rPr>
                <w:sz w:val="20"/>
              </w:rPr>
              <w:t xml:space="preserve">2025 год</w:t>
            </w:r>
          </w:p>
        </w:tc>
      </w:tr>
      <w:tr>
        <w:tc>
          <w:tcPr>
            <w:tcW w:w="604" w:type="dxa"/>
          </w:tcPr>
          <w:p>
            <w:pPr>
              <w:pStyle w:val="0"/>
            </w:pPr>
            <w:r>
              <w:rPr>
                <w:sz w:val="20"/>
              </w:rPr>
              <w:t xml:space="preserve">1</w:t>
            </w:r>
          </w:p>
        </w:tc>
        <w:tc>
          <w:tcPr>
            <w:tcW w:w="2329" w:type="dxa"/>
          </w:tcPr>
          <w:p>
            <w:pPr>
              <w:pStyle w:val="0"/>
            </w:pPr>
            <w:r>
              <w:rPr>
                <w:sz w:val="20"/>
              </w:rPr>
              <w:t xml:space="preserve">Расходы на здравоохранение (0900)</w:t>
            </w:r>
          </w:p>
        </w:tc>
        <w:tc>
          <w:tcPr>
            <w:tcW w:w="1264" w:type="dxa"/>
          </w:tcPr>
          <w:p>
            <w:pPr>
              <w:pStyle w:val="0"/>
            </w:pPr>
            <w:r>
              <w:rPr>
                <w:sz w:val="20"/>
              </w:rPr>
              <w:t xml:space="preserve">56043114,0</w:t>
            </w:r>
          </w:p>
        </w:tc>
        <w:tc>
          <w:tcPr>
            <w:tcW w:w="1264" w:type="dxa"/>
          </w:tcPr>
          <w:p>
            <w:pPr>
              <w:pStyle w:val="0"/>
            </w:pPr>
            <w:r>
              <w:rPr>
                <w:sz w:val="20"/>
              </w:rPr>
              <w:t xml:space="preserve">58880430,8</w:t>
            </w:r>
          </w:p>
        </w:tc>
        <w:tc>
          <w:tcPr>
            <w:tcW w:w="1264" w:type="dxa"/>
          </w:tcPr>
          <w:p>
            <w:pPr>
              <w:pStyle w:val="0"/>
            </w:pPr>
            <w:r>
              <w:rPr>
                <w:sz w:val="20"/>
              </w:rPr>
              <w:t xml:space="preserve">53698561,6</w:t>
            </w:r>
          </w:p>
        </w:tc>
        <w:tc>
          <w:tcPr>
            <w:tcW w:w="1264" w:type="dxa"/>
          </w:tcPr>
          <w:p>
            <w:pPr>
              <w:pStyle w:val="0"/>
            </w:pPr>
            <w:r>
              <w:rPr>
                <w:sz w:val="20"/>
              </w:rPr>
              <w:t xml:space="preserve">54828718,7</w:t>
            </w:r>
          </w:p>
        </w:tc>
        <w:tc>
          <w:tcPr>
            <w:tcW w:w="1264" w:type="dxa"/>
          </w:tcPr>
          <w:p>
            <w:pPr>
              <w:pStyle w:val="0"/>
            </w:pPr>
            <w:r>
              <w:rPr>
                <w:sz w:val="20"/>
              </w:rPr>
              <w:t xml:space="preserve">49347492,1</w:t>
            </w:r>
          </w:p>
        </w:tc>
      </w:tr>
      <w:tr>
        <w:tc>
          <w:tcPr>
            <w:tcW w:w="604" w:type="dxa"/>
          </w:tcPr>
          <w:p>
            <w:pPr>
              <w:pStyle w:val="0"/>
            </w:pPr>
            <w:r>
              <w:rPr>
                <w:sz w:val="20"/>
              </w:rPr>
              <w:t xml:space="preserve">2</w:t>
            </w:r>
          </w:p>
        </w:tc>
        <w:tc>
          <w:tcPr>
            <w:tcW w:w="2329" w:type="dxa"/>
          </w:tcPr>
          <w:p>
            <w:pPr>
              <w:pStyle w:val="0"/>
            </w:pPr>
            <w:r>
              <w:rPr>
                <w:sz w:val="20"/>
              </w:rPr>
              <w:t xml:space="preserve">Расходы на ПМП (консолидированный бюджет) всего, в т.ч.:</w:t>
            </w:r>
          </w:p>
        </w:tc>
        <w:tc>
          <w:tcPr>
            <w:tcW w:w="1264" w:type="dxa"/>
          </w:tcPr>
          <w:p>
            <w:pPr>
              <w:pStyle w:val="0"/>
            </w:pPr>
            <w:r>
              <w:rPr>
                <w:sz w:val="20"/>
              </w:rPr>
              <w:t xml:space="preserve">565270,4</w:t>
            </w:r>
          </w:p>
        </w:tc>
        <w:tc>
          <w:tcPr>
            <w:tcW w:w="1264" w:type="dxa"/>
          </w:tcPr>
          <w:p>
            <w:pPr>
              <w:pStyle w:val="0"/>
            </w:pPr>
            <w:r>
              <w:rPr>
                <w:sz w:val="20"/>
              </w:rPr>
              <w:t xml:space="preserve">624956,9</w:t>
            </w:r>
          </w:p>
        </w:tc>
        <w:tc>
          <w:tcPr>
            <w:tcW w:w="1264" w:type="dxa"/>
          </w:tcPr>
          <w:p>
            <w:pPr>
              <w:pStyle w:val="0"/>
            </w:pPr>
            <w:r>
              <w:rPr>
                <w:sz w:val="20"/>
              </w:rPr>
              <w:t xml:space="preserve">631125,1</w:t>
            </w:r>
          </w:p>
        </w:tc>
        <w:tc>
          <w:tcPr>
            <w:tcW w:w="1264" w:type="dxa"/>
          </w:tcPr>
          <w:p>
            <w:pPr>
              <w:pStyle w:val="0"/>
            </w:pPr>
            <w:r>
              <w:rPr>
                <w:sz w:val="20"/>
              </w:rPr>
              <w:t xml:space="preserve">633053,4</w:t>
            </w:r>
          </w:p>
        </w:tc>
        <w:tc>
          <w:tcPr>
            <w:tcW w:w="1264" w:type="dxa"/>
          </w:tcPr>
          <w:p>
            <w:pPr>
              <w:pStyle w:val="0"/>
            </w:pPr>
            <w:r>
              <w:rPr>
                <w:sz w:val="20"/>
              </w:rPr>
              <w:t xml:space="preserve">633117,6</w:t>
            </w:r>
          </w:p>
        </w:tc>
      </w:tr>
      <w:tr>
        <w:tc>
          <w:tcPr>
            <w:tcW w:w="604" w:type="dxa"/>
          </w:tcPr>
          <w:p>
            <w:pPr>
              <w:pStyle w:val="0"/>
            </w:pPr>
            <w:r>
              <w:rPr>
                <w:sz w:val="20"/>
              </w:rPr>
              <w:t xml:space="preserve">2.1</w:t>
            </w:r>
          </w:p>
        </w:tc>
        <w:tc>
          <w:tcPr>
            <w:tcW w:w="2329" w:type="dxa"/>
          </w:tcPr>
          <w:p>
            <w:pPr>
              <w:pStyle w:val="0"/>
            </w:pPr>
            <w:r>
              <w:rPr>
                <w:sz w:val="20"/>
              </w:rPr>
              <w:t xml:space="preserve">на оказание медицинских услуг ПМП в амбулаторных условиях, в том числе на дому (0902, КВР 614, 624, 631), включая:</w:t>
            </w:r>
          </w:p>
        </w:tc>
        <w:tc>
          <w:tcPr>
            <w:tcW w:w="1264" w:type="dxa"/>
          </w:tcPr>
          <w:p>
            <w:pPr>
              <w:pStyle w:val="0"/>
            </w:pPr>
            <w:r>
              <w:rPr>
                <w:sz w:val="20"/>
              </w:rPr>
              <w:t xml:space="preserve">30394,2</w:t>
            </w:r>
          </w:p>
        </w:tc>
        <w:tc>
          <w:tcPr>
            <w:tcW w:w="1264" w:type="dxa"/>
          </w:tcPr>
          <w:p>
            <w:pPr>
              <w:pStyle w:val="0"/>
            </w:pPr>
            <w:r>
              <w:rPr>
                <w:sz w:val="20"/>
              </w:rPr>
              <w:t xml:space="preserve">44936,2</w:t>
            </w:r>
          </w:p>
        </w:tc>
        <w:tc>
          <w:tcPr>
            <w:tcW w:w="1264" w:type="dxa"/>
          </w:tcPr>
          <w:p>
            <w:pPr>
              <w:pStyle w:val="0"/>
            </w:pPr>
            <w:r>
              <w:rPr>
                <w:sz w:val="20"/>
              </w:rPr>
              <w:t xml:space="preserve">52814,2</w:t>
            </w:r>
          </w:p>
        </w:tc>
        <w:tc>
          <w:tcPr>
            <w:tcW w:w="1264" w:type="dxa"/>
          </w:tcPr>
          <w:p>
            <w:pPr>
              <w:pStyle w:val="0"/>
            </w:pPr>
            <w:r>
              <w:rPr>
                <w:sz w:val="20"/>
              </w:rPr>
              <w:t xml:space="preserve">52814,2</w:t>
            </w:r>
          </w:p>
        </w:tc>
        <w:tc>
          <w:tcPr>
            <w:tcW w:w="1264" w:type="dxa"/>
          </w:tcPr>
          <w:p>
            <w:pPr>
              <w:pStyle w:val="0"/>
            </w:pPr>
            <w:r>
              <w:rPr>
                <w:sz w:val="20"/>
              </w:rPr>
              <w:t xml:space="preserve">52814,2</w:t>
            </w:r>
          </w:p>
        </w:tc>
      </w:tr>
      <w:tr>
        <w:tc>
          <w:tcPr>
            <w:tcW w:w="604" w:type="dxa"/>
          </w:tcPr>
          <w:p>
            <w:pPr>
              <w:pStyle w:val="0"/>
            </w:pPr>
            <w:r>
              <w:rPr>
                <w:sz w:val="20"/>
              </w:rPr>
              <w:t xml:space="preserve">2.1.1</w:t>
            </w:r>
          </w:p>
        </w:tc>
        <w:tc>
          <w:tcPr>
            <w:tcW w:w="2329" w:type="dxa"/>
          </w:tcPr>
          <w:p>
            <w:pPr>
              <w:pStyle w:val="0"/>
            </w:pPr>
            <w:r>
              <w:rPr>
                <w:sz w:val="20"/>
              </w:rPr>
              <w:t xml:space="preserve">безвозмездные перечисления некоммерческим организациям и физическим лицам - производителям товаров, работ и услуг на производство</w:t>
            </w:r>
          </w:p>
        </w:tc>
        <w:tc>
          <w:tcPr>
            <w:tcW w:w="1264" w:type="dxa"/>
          </w:tcPr>
          <w:p>
            <w:pPr>
              <w:pStyle w:val="0"/>
            </w:pPr>
            <w:r>
              <w:rPr>
                <w:sz w:val="20"/>
              </w:rPr>
              <w:t xml:space="preserve">727,0</w:t>
            </w:r>
          </w:p>
        </w:tc>
        <w:tc>
          <w:tcPr>
            <w:tcW w:w="1264" w:type="dxa"/>
          </w:tcPr>
          <w:p>
            <w:pPr>
              <w:pStyle w:val="0"/>
            </w:pPr>
            <w:r>
              <w:rPr>
                <w:sz w:val="20"/>
              </w:rPr>
              <w:t xml:space="preserve">875,00</w:t>
            </w:r>
          </w:p>
        </w:tc>
        <w:tc>
          <w:tcPr>
            <w:tcW w:w="1264" w:type="dxa"/>
          </w:tcPr>
          <w:p>
            <w:pPr>
              <w:pStyle w:val="0"/>
            </w:pPr>
            <w:r>
              <w:rPr>
                <w:sz w:val="20"/>
              </w:rPr>
              <w:t xml:space="preserve">875,00</w:t>
            </w:r>
          </w:p>
        </w:tc>
        <w:tc>
          <w:tcPr>
            <w:tcW w:w="1264" w:type="dxa"/>
          </w:tcPr>
          <w:p>
            <w:pPr>
              <w:pStyle w:val="0"/>
            </w:pPr>
            <w:r>
              <w:rPr>
                <w:sz w:val="20"/>
              </w:rPr>
              <w:t xml:space="preserve">875,00</w:t>
            </w:r>
          </w:p>
        </w:tc>
        <w:tc>
          <w:tcPr>
            <w:tcW w:w="1264" w:type="dxa"/>
          </w:tcPr>
          <w:p>
            <w:pPr>
              <w:pStyle w:val="0"/>
            </w:pPr>
            <w:r>
              <w:rPr>
                <w:sz w:val="20"/>
              </w:rPr>
              <w:t xml:space="preserve">875,00</w:t>
            </w:r>
          </w:p>
        </w:tc>
      </w:tr>
      <w:tr>
        <w:tc>
          <w:tcPr>
            <w:tcW w:w="604" w:type="dxa"/>
          </w:tcPr>
          <w:p>
            <w:pPr>
              <w:pStyle w:val="0"/>
            </w:pPr>
            <w:r>
              <w:rPr>
                <w:sz w:val="20"/>
              </w:rPr>
              <w:t xml:space="preserve">2.2.</w:t>
            </w:r>
          </w:p>
        </w:tc>
        <w:tc>
          <w:tcPr>
            <w:tcW w:w="2329" w:type="dxa"/>
          </w:tcPr>
          <w:p>
            <w:pPr>
              <w:pStyle w:val="0"/>
            </w:pPr>
            <w:r>
              <w:rPr>
                <w:sz w:val="20"/>
              </w:rPr>
              <w:t xml:space="preserve">на оказание медицинских услуг ПМП в стационарных условиях (0901, КВР 614, 624, 631), в том числе:</w:t>
            </w:r>
          </w:p>
        </w:tc>
        <w:tc>
          <w:tcPr>
            <w:tcW w:w="1264" w:type="dxa"/>
          </w:tcPr>
          <w:p>
            <w:pPr>
              <w:pStyle w:val="0"/>
            </w:pPr>
            <w:r>
              <w:rPr>
                <w:sz w:val="20"/>
              </w:rPr>
              <w:t xml:space="preserve">497795,2</w:t>
            </w:r>
          </w:p>
        </w:tc>
        <w:tc>
          <w:tcPr>
            <w:tcW w:w="1264" w:type="dxa"/>
          </w:tcPr>
          <w:p>
            <w:pPr>
              <w:pStyle w:val="0"/>
            </w:pPr>
            <w:r>
              <w:rPr>
                <w:sz w:val="20"/>
              </w:rPr>
              <w:t xml:space="preserve">527941,8</w:t>
            </w:r>
          </w:p>
        </w:tc>
        <w:tc>
          <w:tcPr>
            <w:tcW w:w="1264" w:type="dxa"/>
          </w:tcPr>
          <w:p>
            <w:pPr>
              <w:pStyle w:val="0"/>
            </w:pPr>
            <w:r>
              <w:rPr>
                <w:sz w:val="20"/>
              </w:rPr>
              <w:t xml:space="preserve">534862,8</w:t>
            </w:r>
          </w:p>
        </w:tc>
        <w:tc>
          <w:tcPr>
            <w:tcW w:w="1264" w:type="dxa"/>
          </w:tcPr>
          <w:p>
            <w:pPr>
              <w:pStyle w:val="0"/>
            </w:pPr>
            <w:r>
              <w:rPr>
                <w:sz w:val="20"/>
              </w:rPr>
              <w:t xml:space="preserve">534862,80</w:t>
            </w:r>
          </w:p>
        </w:tc>
        <w:tc>
          <w:tcPr>
            <w:tcW w:w="1264" w:type="dxa"/>
          </w:tcPr>
          <w:p>
            <w:pPr>
              <w:pStyle w:val="0"/>
            </w:pPr>
            <w:r>
              <w:rPr>
                <w:sz w:val="20"/>
              </w:rPr>
              <w:t xml:space="preserve">534862,80</w:t>
            </w:r>
          </w:p>
        </w:tc>
      </w:tr>
      <w:tr>
        <w:tc>
          <w:tcPr>
            <w:tcW w:w="604" w:type="dxa"/>
          </w:tcPr>
          <w:p>
            <w:pPr>
              <w:pStyle w:val="0"/>
            </w:pPr>
            <w:r>
              <w:rPr>
                <w:sz w:val="20"/>
              </w:rPr>
              <w:t xml:space="preserve">2.2.1</w:t>
            </w:r>
          </w:p>
        </w:tc>
        <w:tc>
          <w:tcPr>
            <w:tcW w:w="2329" w:type="dxa"/>
          </w:tcPr>
          <w:p>
            <w:pPr>
              <w:pStyle w:val="0"/>
            </w:pPr>
            <w:r>
              <w:rPr>
                <w:sz w:val="20"/>
              </w:rPr>
              <w:t xml:space="preserve">безвозмездные перечисления некоммерческим организациям и физическим лицам - производителям товаров, работ и услуг на производство</w:t>
            </w:r>
          </w:p>
        </w:tc>
        <w:tc>
          <w:tcPr>
            <w:tcW w:w="1264" w:type="dxa"/>
          </w:tcPr>
          <w:p>
            <w:pPr>
              <w:pStyle w:val="0"/>
            </w:pPr>
            <w:r>
              <w:rPr>
                <w:sz w:val="20"/>
              </w:rPr>
              <w:t xml:space="preserve">140844,9</w:t>
            </w:r>
          </w:p>
        </w:tc>
        <w:tc>
          <w:tcPr>
            <w:tcW w:w="1264" w:type="dxa"/>
          </w:tcPr>
          <w:p>
            <w:pPr>
              <w:pStyle w:val="0"/>
            </w:pPr>
            <w:r>
              <w:rPr>
                <w:sz w:val="20"/>
              </w:rPr>
              <w:t xml:space="preserve">149855,2</w:t>
            </w:r>
          </w:p>
        </w:tc>
        <w:tc>
          <w:tcPr>
            <w:tcW w:w="1264" w:type="dxa"/>
          </w:tcPr>
          <w:p>
            <w:pPr>
              <w:pStyle w:val="0"/>
            </w:pPr>
            <w:r>
              <w:rPr>
                <w:sz w:val="20"/>
              </w:rPr>
              <w:t xml:space="preserve">151227,80</w:t>
            </w:r>
          </w:p>
        </w:tc>
        <w:tc>
          <w:tcPr>
            <w:tcW w:w="1264" w:type="dxa"/>
          </w:tcPr>
          <w:p>
            <w:pPr>
              <w:pStyle w:val="0"/>
            </w:pPr>
            <w:r>
              <w:rPr>
                <w:sz w:val="20"/>
              </w:rPr>
              <w:t xml:space="preserve">151227,80</w:t>
            </w:r>
          </w:p>
        </w:tc>
        <w:tc>
          <w:tcPr>
            <w:tcW w:w="1264" w:type="dxa"/>
          </w:tcPr>
          <w:p>
            <w:pPr>
              <w:pStyle w:val="0"/>
            </w:pPr>
            <w:r>
              <w:rPr>
                <w:sz w:val="20"/>
              </w:rPr>
              <w:t xml:space="preserve">151227,80</w:t>
            </w:r>
          </w:p>
        </w:tc>
      </w:tr>
      <w:tr>
        <w:tc>
          <w:tcPr>
            <w:tcW w:w="604" w:type="dxa"/>
          </w:tcPr>
          <w:p>
            <w:pPr>
              <w:pStyle w:val="0"/>
            </w:pPr>
            <w:r>
              <w:rPr>
                <w:sz w:val="20"/>
              </w:rPr>
              <w:t xml:space="preserve">2.3</w:t>
            </w:r>
          </w:p>
        </w:tc>
        <w:tc>
          <w:tcPr>
            <w:tcW w:w="2329" w:type="dxa"/>
          </w:tcPr>
          <w:p>
            <w:pPr>
              <w:pStyle w:val="0"/>
            </w:pPr>
            <w:r>
              <w:rPr>
                <w:sz w:val="20"/>
              </w:rPr>
              <w:t xml:space="preserve">на оказание медицинских услуг ПМП в условиях дневного стационара (0903)</w:t>
            </w:r>
          </w:p>
        </w:tc>
        <w:tc>
          <w:tcPr>
            <w:tcW w:w="1264" w:type="dxa"/>
          </w:tcPr>
          <w:p>
            <w:pPr>
              <w:pStyle w:val="0"/>
            </w:pPr>
            <w:r>
              <w:rPr>
                <w:sz w:val="20"/>
              </w:rPr>
              <w:t xml:space="preserve">0,00</w:t>
            </w:r>
          </w:p>
        </w:tc>
        <w:tc>
          <w:tcPr>
            <w:tcW w:w="1264" w:type="dxa"/>
          </w:tcPr>
          <w:p>
            <w:pPr>
              <w:pStyle w:val="0"/>
            </w:pPr>
            <w:r>
              <w:rPr>
                <w:sz w:val="20"/>
              </w:rPr>
              <w:t xml:space="preserve">0,00</w:t>
            </w:r>
          </w:p>
        </w:tc>
        <w:tc>
          <w:tcPr>
            <w:tcW w:w="1264" w:type="dxa"/>
          </w:tcPr>
          <w:p>
            <w:pPr>
              <w:pStyle w:val="0"/>
            </w:pPr>
            <w:r>
              <w:rPr>
                <w:sz w:val="20"/>
              </w:rPr>
              <w:t xml:space="preserve">0,00</w:t>
            </w:r>
          </w:p>
        </w:tc>
        <w:tc>
          <w:tcPr>
            <w:tcW w:w="1264" w:type="dxa"/>
          </w:tcPr>
          <w:p>
            <w:pPr>
              <w:pStyle w:val="0"/>
            </w:pPr>
            <w:r>
              <w:rPr>
                <w:sz w:val="20"/>
              </w:rPr>
              <w:t xml:space="preserve">0,00</w:t>
            </w:r>
          </w:p>
        </w:tc>
        <w:tc>
          <w:tcPr>
            <w:tcW w:w="1264" w:type="dxa"/>
          </w:tcPr>
          <w:p>
            <w:pPr>
              <w:pStyle w:val="0"/>
            </w:pPr>
            <w:r>
              <w:rPr>
                <w:sz w:val="20"/>
              </w:rPr>
              <w:t xml:space="preserve">0,00</w:t>
            </w:r>
          </w:p>
        </w:tc>
      </w:tr>
      <w:tr>
        <w:tc>
          <w:tcPr>
            <w:tcW w:w="604" w:type="dxa"/>
          </w:tcPr>
          <w:p>
            <w:pPr>
              <w:pStyle w:val="0"/>
            </w:pPr>
            <w:r>
              <w:rPr>
                <w:sz w:val="20"/>
              </w:rPr>
              <w:t xml:space="preserve">2.4</w:t>
            </w:r>
          </w:p>
        </w:tc>
        <w:tc>
          <w:tcPr>
            <w:tcW w:w="2329" w:type="dxa"/>
          </w:tcPr>
          <w:p>
            <w:pPr>
              <w:pStyle w:val="0"/>
            </w:pPr>
            <w:r>
              <w:rPr>
                <w:sz w:val="20"/>
              </w:rPr>
              <w:t xml:space="preserve">иные расходы на ПМП (0909)</w:t>
            </w:r>
          </w:p>
        </w:tc>
        <w:tc>
          <w:tcPr>
            <w:tcW w:w="1264" w:type="dxa"/>
          </w:tcPr>
          <w:p>
            <w:pPr>
              <w:pStyle w:val="0"/>
            </w:pPr>
            <w:r>
              <w:rPr>
                <w:sz w:val="20"/>
              </w:rPr>
              <w:t xml:space="preserve">1150,0</w:t>
            </w:r>
          </w:p>
        </w:tc>
        <w:tc>
          <w:tcPr>
            <w:tcW w:w="1264" w:type="dxa"/>
          </w:tcPr>
          <w:p>
            <w:pPr>
              <w:pStyle w:val="0"/>
            </w:pPr>
            <w:r>
              <w:rPr>
                <w:sz w:val="20"/>
              </w:rPr>
              <w:t xml:space="preserve">300,0</w:t>
            </w:r>
          </w:p>
        </w:tc>
        <w:tc>
          <w:tcPr>
            <w:tcW w:w="1264" w:type="dxa"/>
          </w:tcPr>
          <w:p>
            <w:pPr>
              <w:pStyle w:val="0"/>
            </w:pPr>
            <w:r>
              <w:rPr>
                <w:sz w:val="20"/>
              </w:rPr>
              <w:t xml:space="preserve">43448,1</w:t>
            </w:r>
          </w:p>
        </w:tc>
        <w:tc>
          <w:tcPr>
            <w:tcW w:w="1264" w:type="dxa"/>
          </w:tcPr>
          <w:p>
            <w:pPr>
              <w:pStyle w:val="0"/>
            </w:pPr>
            <w:r>
              <w:rPr>
                <w:sz w:val="20"/>
              </w:rPr>
              <w:t xml:space="preserve">45376,4</w:t>
            </w:r>
          </w:p>
        </w:tc>
        <w:tc>
          <w:tcPr>
            <w:tcW w:w="1264" w:type="dxa"/>
          </w:tcPr>
          <w:p>
            <w:pPr>
              <w:pStyle w:val="0"/>
            </w:pPr>
            <w:r>
              <w:rPr>
                <w:sz w:val="20"/>
              </w:rPr>
              <w:t xml:space="preserve">45440,6</w:t>
            </w:r>
          </w:p>
        </w:tc>
      </w:tr>
      <w:tr>
        <w:tc>
          <w:tcPr>
            <w:tcW w:w="604" w:type="dxa"/>
          </w:tcPr>
          <w:p>
            <w:pPr>
              <w:pStyle w:val="0"/>
            </w:pPr>
            <w:r>
              <w:rPr>
                <w:sz w:val="20"/>
              </w:rPr>
              <w:t xml:space="preserve">2.5</w:t>
            </w:r>
          </w:p>
        </w:tc>
        <w:tc>
          <w:tcPr>
            <w:tcW w:w="2329" w:type="dxa"/>
          </w:tcPr>
          <w:p>
            <w:pPr>
              <w:pStyle w:val="0"/>
            </w:pPr>
            <w:r>
              <w:rPr>
                <w:sz w:val="20"/>
              </w:rPr>
              <w:t xml:space="preserve">субсидия в целях развития ПМП (КВР 612, 622)</w:t>
            </w:r>
          </w:p>
        </w:tc>
        <w:tc>
          <w:tcPr>
            <w:tcW w:w="1264" w:type="dxa"/>
          </w:tcPr>
          <w:p>
            <w:pPr>
              <w:pStyle w:val="0"/>
            </w:pPr>
            <w:r>
              <w:rPr>
                <w:sz w:val="20"/>
              </w:rPr>
              <w:t xml:space="preserve">35931,0</w:t>
            </w:r>
          </w:p>
        </w:tc>
        <w:tc>
          <w:tcPr>
            <w:tcW w:w="1264" w:type="dxa"/>
          </w:tcPr>
          <w:p>
            <w:pPr>
              <w:pStyle w:val="0"/>
            </w:pPr>
            <w:r>
              <w:rPr>
                <w:sz w:val="20"/>
              </w:rPr>
              <w:t xml:space="preserve">51778,9</w:t>
            </w:r>
          </w:p>
        </w:tc>
        <w:tc>
          <w:tcPr>
            <w:tcW w:w="1264" w:type="dxa"/>
          </w:tcPr>
          <w:p>
            <w:pPr>
              <w:pStyle w:val="0"/>
            </w:pPr>
            <w:r>
              <w:rPr>
                <w:sz w:val="20"/>
              </w:rPr>
              <w:t xml:space="preserve">0,00</w:t>
            </w:r>
          </w:p>
        </w:tc>
        <w:tc>
          <w:tcPr>
            <w:tcW w:w="1264" w:type="dxa"/>
          </w:tcPr>
          <w:p>
            <w:pPr>
              <w:pStyle w:val="0"/>
            </w:pPr>
            <w:r>
              <w:rPr>
                <w:sz w:val="20"/>
              </w:rPr>
              <w:t xml:space="preserve">0,00</w:t>
            </w:r>
          </w:p>
        </w:tc>
        <w:tc>
          <w:tcPr>
            <w:tcW w:w="1264" w:type="dxa"/>
          </w:tcPr>
          <w:p>
            <w:pPr>
              <w:pStyle w:val="0"/>
            </w:pPr>
            <w:r>
              <w:rPr>
                <w:sz w:val="20"/>
              </w:rPr>
              <w:t xml:space="preserve">0,00</w:t>
            </w:r>
          </w:p>
        </w:tc>
      </w:tr>
    </w:tbl>
    <w:p>
      <w:pPr>
        <w:pStyle w:val="0"/>
        <w:jc w:val="center"/>
      </w:pPr>
      <w:r>
        <w:rPr>
          <w:sz w:val="20"/>
        </w:rPr>
      </w:r>
    </w:p>
    <w:p>
      <w:pPr>
        <w:pStyle w:val="2"/>
        <w:outlineLvl w:val="2"/>
        <w:jc w:val="center"/>
      </w:pPr>
      <w:r>
        <w:rPr>
          <w:sz w:val="20"/>
        </w:rPr>
        <w:t xml:space="preserve">2.2. Анализ текущего состояния системы оказания ПМП</w:t>
      </w:r>
    </w:p>
    <w:p>
      <w:pPr>
        <w:pStyle w:val="0"/>
        <w:ind w:firstLine="540"/>
        <w:jc w:val="both"/>
      </w:pPr>
      <w:r>
        <w:rPr>
          <w:sz w:val="20"/>
        </w:rPr>
      </w:r>
    </w:p>
    <w:p>
      <w:pPr>
        <w:pStyle w:val="2"/>
        <w:outlineLvl w:val="3"/>
        <w:jc w:val="center"/>
      </w:pPr>
      <w:r>
        <w:rPr>
          <w:sz w:val="20"/>
        </w:rPr>
        <w:t xml:space="preserve">2.2.1. Оценка потребности населения в паллиативной</w:t>
      </w:r>
    </w:p>
    <w:p>
      <w:pPr>
        <w:pStyle w:val="2"/>
        <w:jc w:val="center"/>
      </w:pPr>
      <w:r>
        <w:rPr>
          <w:sz w:val="20"/>
        </w:rPr>
        <w:t xml:space="preserve">медицинской помощи</w:t>
      </w:r>
    </w:p>
    <w:p>
      <w:pPr>
        <w:pStyle w:val="0"/>
        <w:ind w:firstLine="540"/>
        <w:jc w:val="both"/>
      </w:pPr>
      <w:r>
        <w:rPr>
          <w:sz w:val="20"/>
        </w:rPr>
      </w:r>
    </w:p>
    <w:p>
      <w:pPr>
        <w:pStyle w:val="0"/>
        <w:ind w:firstLine="540"/>
        <w:jc w:val="both"/>
      </w:pPr>
      <w:r>
        <w:rPr>
          <w:sz w:val="20"/>
        </w:rPr>
        <w:t xml:space="preserve">В автономном округе в соответствии с инструкцией по заполнению мониторинга оказания ПМП расчетное число пациентов, нуждавшихся в ПМП в 2021 году, составило 8 572. По данным медицинских организаций, показания к оказанию ПМП установлены 6 266 пациентам. ПМП получили 100% пациентов.</w:t>
      </w:r>
    </w:p>
    <w:p>
      <w:pPr>
        <w:pStyle w:val="0"/>
        <w:spacing w:before="200" w:line-rule="auto"/>
        <w:ind w:firstLine="540"/>
        <w:jc w:val="both"/>
      </w:pPr>
      <w:r>
        <w:rPr>
          <w:sz w:val="20"/>
        </w:rPr>
        <w:t xml:space="preserve">По состоянию на 1 января 2022 года расчетная потребность в оказании ПМП составила 9 545 пациентов. На 1 октября 2022 года, по данным медицинских организаций, необходимость в оказании ПМП установлена 4 756 пациентам. Каждому из них медицинская помощь оказана в полном объеме.</w:t>
      </w:r>
    </w:p>
    <w:p>
      <w:pPr>
        <w:pStyle w:val="0"/>
        <w:spacing w:before="200" w:line-rule="auto"/>
        <w:ind w:firstLine="540"/>
        <w:jc w:val="both"/>
      </w:pPr>
      <w:r>
        <w:rPr>
          <w:sz w:val="20"/>
        </w:rPr>
        <w:t xml:space="preserve">В период 2019 - 2021 годов в регионе наблюдались следующие показатели демографического процесса:</w:t>
      </w:r>
    </w:p>
    <w:p>
      <w:pPr>
        <w:pStyle w:val="0"/>
        <w:spacing w:before="200" w:line-rule="auto"/>
        <w:ind w:firstLine="540"/>
        <w:jc w:val="both"/>
      </w:pPr>
      <w:r>
        <w:rPr>
          <w:sz w:val="20"/>
        </w:rPr>
        <w:t xml:space="preserve">зарегистрирован низкий показатель смертности населения (6,0, 7,6, 8,5 соответственно);</w:t>
      </w:r>
    </w:p>
    <w:p>
      <w:pPr>
        <w:pStyle w:val="0"/>
        <w:spacing w:before="200" w:line-rule="auto"/>
        <w:ind w:firstLine="540"/>
        <w:jc w:val="both"/>
      </w:pPr>
      <w:r>
        <w:rPr>
          <w:sz w:val="20"/>
        </w:rPr>
        <w:t xml:space="preserve">снижена рождаемость (12,4; 12,3, 11,7 соответственно);</w:t>
      </w:r>
    </w:p>
    <w:p>
      <w:pPr>
        <w:pStyle w:val="0"/>
        <w:spacing w:before="200" w:line-rule="auto"/>
        <w:ind w:firstLine="540"/>
        <w:jc w:val="both"/>
      </w:pPr>
      <w:r>
        <w:rPr>
          <w:sz w:val="20"/>
        </w:rPr>
        <w:t xml:space="preserve">увеличен средний возраст населения (34,4; 34,7; 34,9 соответственно);</w:t>
      </w:r>
    </w:p>
    <w:p>
      <w:pPr>
        <w:pStyle w:val="0"/>
        <w:spacing w:before="200" w:line-rule="auto"/>
        <w:ind w:firstLine="540"/>
        <w:jc w:val="both"/>
      </w:pPr>
      <w:r>
        <w:rPr>
          <w:sz w:val="20"/>
        </w:rPr>
        <w:t xml:space="preserve">выросла доля населения старше трудоспособного возраста с 16,0% до 16,9%, в том числе за счет миграции возрастного населения из других регионов, и, как следствие, увеличился показатель смертности населения от онкологических заболеваний и болезней системы кровообращения.</w:t>
      </w:r>
    </w:p>
    <w:p>
      <w:pPr>
        <w:pStyle w:val="0"/>
        <w:spacing w:before="200" w:line-rule="auto"/>
        <w:ind w:firstLine="540"/>
        <w:jc w:val="both"/>
      </w:pPr>
      <w:r>
        <w:rPr>
          <w:sz w:val="20"/>
        </w:rPr>
        <w:t xml:space="preserve">В автономном округе на протяжении 10 лет регистрируется низкий уровень младенческой смертности: варьирует в пределах от 3,6 на 1000 родившихся живыми в 2019 году до 3,9 в 2021 году, максимальное значение - 5,5 в 2013 году. По состоянию на 1 декабря 2022 года данный показатель составляет - 3,0.</w:t>
      </w:r>
    </w:p>
    <w:p>
      <w:pPr>
        <w:pStyle w:val="0"/>
        <w:spacing w:before="200" w:line-rule="auto"/>
        <w:ind w:firstLine="540"/>
        <w:jc w:val="both"/>
      </w:pPr>
      <w:r>
        <w:rPr>
          <w:sz w:val="20"/>
        </w:rPr>
        <w:t xml:space="preserve">В 2021 году в структуре причин смертности детей до 1 года, нуждающихся в оказании ПМП, преобладают множественные врожденные аномалии и пороки развития, заболевания нервной системы.</w:t>
      </w:r>
    </w:p>
    <w:p>
      <w:pPr>
        <w:pStyle w:val="0"/>
        <w:spacing w:before="200" w:line-rule="auto"/>
        <w:ind w:firstLine="540"/>
        <w:jc w:val="both"/>
      </w:pPr>
      <w:r>
        <w:rPr>
          <w:sz w:val="20"/>
        </w:rPr>
        <w:t xml:space="preserve">Ниже среднероссийского показателя в автономном округе зарегистрирован уровень смертности детей от 0 до 4 лет включительно (в 2021 году - 4,8 на 1000 родившихся живыми), а также смертности детей от 0 до 17 лет включительно (в 2021 году - 35,7 на 100000 населения соответствующего возраста).</w:t>
      </w:r>
    </w:p>
    <w:p>
      <w:pPr>
        <w:pStyle w:val="0"/>
        <w:spacing w:before="200" w:line-rule="auto"/>
        <w:ind w:firstLine="540"/>
        <w:jc w:val="both"/>
      </w:pPr>
      <w:r>
        <w:rPr>
          <w:sz w:val="20"/>
        </w:rPr>
        <w:t xml:space="preserve">В структуре причин смертности детей от 0 до 4 лет в 2021 году ведущими являются болезни перинатального периода 42,1%, врожденные пороки развития - 16,8%, травмы и отравления, симптомы, признаки и отклонения от нормы - по 11,6%.</w:t>
      </w:r>
    </w:p>
    <w:p>
      <w:pPr>
        <w:pStyle w:val="0"/>
        <w:spacing w:before="200" w:line-rule="auto"/>
        <w:ind w:firstLine="540"/>
        <w:jc w:val="both"/>
      </w:pPr>
      <w:r>
        <w:rPr>
          <w:sz w:val="20"/>
        </w:rPr>
        <w:t xml:space="preserve">В структуре причин смертности детей от 0 до 17 лет включительно в 2021 году на первое место выходят болезни перинатального периода - 26,1%, внешние причины смерти - 24,8%, врожденные аномалии - 11,1% болезни нервной системы - 10,5%. В структуре смерти детей от 0 до 17 лет дети от 0 до 4 лет составляют 62,1%.</w:t>
      </w:r>
    </w:p>
    <w:p>
      <w:pPr>
        <w:pStyle w:val="0"/>
        <w:spacing w:before="200" w:line-rule="auto"/>
        <w:ind w:firstLine="540"/>
        <w:jc w:val="both"/>
      </w:pPr>
      <w:r>
        <w:rPr>
          <w:sz w:val="20"/>
        </w:rPr>
        <w:t xml:space="preserve">В структуре общей смертности от неизлечимых прогрессирующих заболеваний ведущее место занимает смертность от сердечно-сосудистых заболеваний (4 772 человека), на втором месте - от онкологических заболеваний (2 231 человек), на третьем месте - от болезней эндокринной системы (358 человек), на четвертом месте - от цирроза печени (322 человека). Большую часть умерших составляют жители городов старше трудоспособного возраста.</w:t>
      </w:r>
    </w:p>
    <w:p>
      <w:pPr>
        <w:pStyle w:val="0"/>
        <w:spacing w:before="200" w:line-rule="auto"/>
        <w:ind w:firstLine="540"/>
        <w:jc w:val="both"/>
      </w:pPr>
      <w:r>
        <w:rPr>
          <w:sz w:val="20"/>
        </w:rPr>
        <w:t xml:space="preserve">В структуре смертности детей от 0 до 17 лет от неизлечимых прогрессирующих заболеваний ведущее место занимают смертность от злокачественных новообразований (4 человека), неврологических заболеваний (4 человека) и врожденных пороков развития (2 человека).</w:t>
      </w:r>
    </w:p>
    <w:p>
      <w:pPr>
        <w:pStyle w:val="0"/>
        <w:ind w:firstLine="540"/>
        <w:jc w:val="both"/>
      </w:pPr>
      <w:r>
        <w:rPr>
          <w:sz w:val="20"/>
        </w:rPr>
      </w:r>
    </w:p>
    <w:p>
      <w:pPr>
        <w:pStyle w:val="2"/>
        <w:outlineLvl w:val="3"/>
        <w:jc w:val="center"/>
      </w:pPr>
      <w:r>
        <w:rPr>
          <w:sz w:val="20"/>
        </w:rPr>
        <w:t xml:space="preserve">2.2.2. Инфраструктура оказания ПМП</w:t>
      </w:r>
    </w:p>
    <w:p>
      <w:pPr>
        <w:pStyle w:val="0"/>
        <w:ind w:firstLine="540"/>
        <w:jc w:val="both"/>
      </w:pPr>
      <w:r>
        <w:rPr>
          <w:sz w:val="20"/>
        </w:rPr>
      </w:r>
    </w:p>
    <w:p>
      <w:pPr>
        <w:pStyle w:val="0"/>
        <w:ind w:firstLine="540"/>
        <w:jc w:val="both"/>
      </w:pPr>
      <w:r>
        <w:rPr>
          <w:sz w:val="20"/>
        </w:rPr>
        <w:t xml:space="preserve">В 2022 году в амбулаторных условиях ПМП населению оказывают 36 медицинских организаций автономного округа, в которых организована работа:</w:t>
      </w:r>
    </w:p>
    <w:p>
      <w:pPr>
        <w:pStyle w:val="0"/>
        <w:spacing w:before="200" w:line-rule="auto"/>
        <w:ind w:firstLine="540"/>
        <w:jc w:val="both"/>
      </w:pPr>
      <w:r>
        <w:rPr>
          <w:sz w:val="20"/>
        </w:rPr>
        <w:t xml:space="preserve">32 кабинетов ПМП взрослому населению;</w:t>
      </w:r>
    </w:p>
    <w:p>
      <w:pPr>
        <w:pStyle w:val="0"/>
        <w:spacing w:before="200" w:line-rule="auto"/>
        <w:ind w:firstLine="540"/>
        <w:jc w:val="both"/>
      </w:pPr>
      <w:r>
        <w:rPr>
          <w:sz w:val="20"/>
        </w:rPr>
        <w:t xml:space="preserve">4 отделений выездной патронажной паллиативной медицинской помощи детям;</w:t>
      </w:r>
    </w:p>
    <w:p>
      <w:pPr>
        <w:pStyle w:val="0"/>
        <w:spacing w:before="200" w:line-rule="auto"/>
        <w:ind w:firstLine="540"/>
        <w:jc w:val="both"/>
      </w:pPr>
      <w:r>
        <w:rPr>
          <w:sz w:val="20"/>
        </w:rPr>
        <w:t xml:space="preserve">1 отделения выездной патронажной паллиативной медицинской помощи взрослым.</w:t>
      </w:r>
    </w:p>
    <w:p>
      <w:pPr>
        <w:pStyle w:val="0"/>
        <w:spacing w:before="200" w:line-rule="auto"/>
        <w:ind w:firstLine="540"/>
        <w:jc w:val="both"/>
      </w:pPr>
      <w:r>
        <w:rPr>
          <w:sz w:val="20"/>
        </w:rPr>
        <w:t xml:space="preserve">В стационарных условиях ПМП оказывает 31 медицинская организация.</w:t>
      </w:r>
    </w:p>
    <w:p>
      <w:pPr>
        <w:pStyle w:val="0"/>
        <w:jc w:val="center"/>
      </w:pPr>
      <w:r>
        <w:rPr>
          <w:sz w:val="20"/>
        </w:rPr>
      </w:r>
    </w:p>
    <w:p>
      <w:pPr>
        <w:pStyle w:val="2"/>
        <w:outlineLvl w:val="4"/>
        <w:jc w:val="center"/>
      </w:pPr>
      <w:r>
        <w:rPr>
          <w:sz w:val="20"/>
        </w:rPr>
        <w:t xml:space="preserve">2.2.2.1. Организация ПМП детям</w:t>
      </w:r>
    </w:p>
    <w:p>
      <w:pPr>
        <w:pStyle w:val="0"/>
        <w:jc w:val="center"/>
      </w:pPr>
      <w:r>
        <w:rPr>
          <w:sz w:val="20"/>
        </w:rPr>
      </w:r>
    </w:p>
    <w:p>
      <w:pPr>
        <w:pStyle w:val="0"/>
        <w:ind w:firstLine="540"/>
        <w:jc w:val="both"/>
      </w:pPr>
      <w:r>
        <w:rPr>
          <w:sz w:val="20"/>
        </w:rPr>
        <w:t xml:space="preserve">В амбулаторных условиях паллиативную медицинскую помощь детям оказывают сотрудники 4 отделений выездной патронажной паллиативной медицинской помощи детям: 1 отделение в БУ "Нижневартовская окружная клиническая детская больница" (с 2018 года), 1 - в БУ "Сургутская городская клиническая больница" (с 2020 года), с сентября 2022 года организованы еще 2 выездные патронажные бригады на базе БУ "Нефтеюганская окружная клиническая больница им. В.И.Яцкив", БУ "Урайская городская клиническая больница".</w:t>
      </w:r>
    </w:p>
    <w:p>
      <w:pPr>
        <w:pStyle w:val="0"/>
        <w:spacing w:before="200" w:line-rule="auto"/>
        <w:ind w:firstLine="540"/>
        <w:jc w:val="both"/>
      </w:pPr>
      <w:r>
        <w:rPr>
          <w:sz w:val="20"/>
        </w:rPr>
        <w:t xml:space="preserve">Ежегодно сотрудниками отделений выполняется около 2 470 посещений, в том числе посещения к пациентам, находящимся на искусственной вентиляции легких в домашних условиях, к пациентам в течение 48 часов с момента постановки на учет. В составе мультидисциплинарной команды отделения выездной патронажной ПМП детям участвует врач по ПМП, социальный работник, медицинский психолог, медицинские сестры (в том числе медицинская сестра по массажу).</w:t>
      </w:r>
    </w:p>
    <w:p>
      <w:pPr>
        <w:pStyle w:val="0"/>
        <w:spacing w:before="200" w:line-rule="auto"/>
        <w:ind w:firstLine="540"/>
        <w:jc w:val="both"/>
      </w:pPr>
      <w:r>
        <w:rPr>
          <w:sz w:val="20"/>
        </w:rPr>
        <w:t xml:space="preserve">Врачи-специалисты (врач-оториноларинголог, врач-анестезиолог-реаниматолог, врач-невролог, врач функциональной диагностики, врач-хирург детский, врач-онколог детский) привлекаются по мере необходимости для ведения и лечения паллиативных пациентов.</w:t>
      </w:r>
    </w:p>
    <w:p>
      <w:pPr>
        <w:pStyle w:val="0"/>
        <w:spacing w:before="200" w:line-rule="auto"/>
        <w:ind w:firstLine="540"/>
        <w:jc w:val="both"/>
      </w:pPr>
      <w:r>
        <w:rPr>
          <w:sz w:val="20"/>
        </w:rPr>
        <w:t xml:space="preserve">Медицинский персонал отделения выездной патронажной ПМП обеспечивает динамическое наблюдение за детьми, нуждающимися в оказании паллиативной специализированной медицинской помощи на дому, по медицинским показаниям организует госпитализацию в медицинскую организацию, оказывающую паллиативную специализированную медицинскую помощь в стационарных условиях, назначает с целью обезболивания наркотические средства, психотропные вещества.</w:t>
      </w:r>
    </w:p>
    <w:p>
      <w:pPr>
        <w:pStyle w:val="0"/>
        <w:spacing w:before="200" w:line-rule="auto"/>
        <w:ind w:firstLine="540"/>
        <w:jc w:val="both"/>
      </w:pPr>
      <w:r>
        <w:rPr>
          <w:sz w:val="20"/>
        </w:rPr>
        <w:t xml:space="preserve">Сотрудники отделения взаимодействуют с организациями социального обслуживания, общественными объединениями, некоммерческими организациями, осуществляющими свою деятельность в сфере охраны здоровья детей.</w:t>
      </w:r>
    </w:p>
    <w:p>
      <w:pPr>
        <w:pStyle w:val="0"/>
        <w:spacing w:before="200" w:line-rule="auto"/>
        <w:ind w:firstLine="540"/>
        <w:jc w:val="both"/>
      </w:pPr>
      <w:r>
        <w:rPr>
          <w:sz w:val="20"/>
        </w:rPr>
        <w:t xml:space="preserve">Осуществляется взаимодействие с двумя религиозными конфессиями: православной и мусульманской; привлечены члены сестричества Православного Храма города Нижневартовска, 9 благотворительных организаций.</w:t>
      </w:r>
    </w:p>
    <w:p>
      <w:pPr>
        <w:pStyle w:val="0"/>
        <w:spacing w:before="200" w:line-rule="auto"/>
        <w:ind w:firstLine="540"/>
        <w:jc w:val="both"/>
      </w:pPr>
      <w:r>
        <w:rPr>
          <w:sz w:val="20"/>
        </w:rPr>
        <w:t xml:space="preserve">Специализированная ПМП детям в стационарных условиях организована на базе 3 медицинских организаций: БУ "Нижневартовская окружная клиническая детская больница" (5 коек), БУ "Мегионская городская больница" (10 коек), БУ "Сургутская городская клиническая больница" (10 коек).</w:t>
      </w:r>
    </w:p>
    <w:p>
      <w:pPr>
        <w:pStyle w:val="0"/>
        <w:spacing w:before="200" w:line-rule="auto"/>
        <w:ind w:firstLine="540"/>
        <w:jc w:val="both"/>
      </w:pPr>
      <w:r>
        <w:rPr>
          <w:sz w:val="20"/>
        </w:rPr>
        <w:t xml:space="preserve">Обеспеченность койками составляет 0,58 на 10 тыс. детского населения. В 2023 году планируется увеличение коечного фонда на 5 коек, обеспеченность койками составит 0,7 на 10 тыс. В возрасте 0 - 17 лет включительно (428 145 детей) развернуто 25 паллиативных коек, что полностью обеспечит потребность в оказании специализированной ПМП детям в 2023 году.</w:t>
      </w:r>
    </w:p>
    <w:p>
      <w:pPr>
        <w:pStyle w:val="0"/>
        <w:spacing w:before="200" w:line-rule="auto"/>
        <w:ind w:firstLine="540"/>
        <w:jc w:val="both"/>
      </w:pPr>
      <w:r>
        <w:rPr>
          <w:sz w:val="20"/>
        </w:rPr>
        <w:t xml:space="preserve">На показатели работы койки существенное влияние оказывают дети, нуждающиеся в длительной респираторной поддержке и находящиеся на искусственной вентиляции легких. Они занимают до 70% коечного фонда (14 - 17 человек), отмечается тенденция к увеличению их количества.</w:t>
      </w:r>
    </w:p>
    <w:p>
      <w:pPr>
        <w:pStyle w:val="0"/>
        <w:spacing w:before="200" w:line-rule="auto"/>
        <w:ind w:firstLine="540"/>
        <w:jc w:val="both"/>
      </w:pPr>
      <w:r>
        <w:rPr>
          <w:sz w:val="20"/>
        </w:rPr>
        <w:t xml:space="preserve">В отделениях ПМП детям проводится коррекция фармакотерапии болевого синдрома с индивидуальным подбором доз наркотических лекарственных препаратов, коррекция противосудорожной терапии, проводится профилактика и лечение хронических ран, уход за дренажами и стомами, кормление, включая парентеральное питание, обучение родителей навыкам ухода за тяжелобольными детьми. В течение 2 - 3 месяцев проводится обучение родителей ребенка, подлежащего переводу на домашнюю искусственную вентиляцию легких.</w:t>
      </w:r>
    </w:p>
    <w:p>
      <w:pPr>
        <w:pStyle w:val="0"/>
        <w:spacing w:before="200" w:line-rule="auto"/>
        <w:ind w:firstLine="540"/>
        <w:jc w:val="both"/>
      </w:pPr>
      <w:r>
        <w:rPr>
          <w:sz w:val="20"/>
        </w:rPr>
        <w:t xml:space="preserve">С 2017 года в автономном округе реализуется пилотный проект Минздрава России "Искусственная вентиляция легких в домашних условиях".</w:t>
      </w:r>
    </w:p>
    <w:p>
      <w:pPr>
        <w:pStyle w:val="0"/>
        <w:spacing w:before="200" w:line-rule="auto"/>
        <w:ind w:firstLine="540"/>
        <w:jc w:val="both"/>
      </w:pPr>
      <w:r>
        <w:rPr>
          <w:sz w:val="20"/>
        </w:rPr>
        <w:t xml:space="preserve">В 2021 году 2 пациента находились на домашней искусственной вентиляции легких, на 1 октября 2022 года - 4 пациента.</w:t>
      </w:r>
    </w:p>
    <w:p>
      <w:pPr>
        <w:pStyle w:val="0"/>
        <w:spacing w:before="200" w:line-rule="auto"/>
        <w:ind w:firstLine="540"/>
        <w:jc w:val="both"/>
      </w:pPr>
      <w:r>
        <w:rPr>
          <w:sz w:val="20"/>
        </w:rPr>
        <w:t xml:space="preserve">Ежегодно проводится дооснащение медицинским оборудованием отделений выездной патронажной ПМП детям и отделений стационара на базе БУ Сургутская городская клиническая больница", БУ "Мегионская городская больница", БУ "Нижневартовская окружная клиническая детская больница".</w:t>
      </w:r>
    </w:p>
    <w:p>
      <w:pPr>
        <w:pStyle w:val="0"/>
        <w:spacing w:before="200" w:line-rule="auto"/>
        <w:ind w:firstLine="540"/>
        <w:jc w:val="both"/>
      </w:pPr>
      <w:r>
        <w:rPr>
          <w:sz w:val="20"/>
        </w:rPr>
        <w:t xml:space="preserve">Проводятся очные и в режиме видео-конференц-связи консилиумы для паллиативных детей с целью оперативного решения вопросов по обеспечению медицинскими изделиями, по назначению энтерального питания, по лекарственной коррекции. Из БУ "Нижневартовская окружная клиническая детская больница" привлекаются специалисты: невролог, травматолог-ортопед, гастроэнтеролог, врач-педиатр, главные внештатные специалисты, детский хирург.</w:t>
      </w:r>
    </w:p>
    <w:p>
      <w:pPr>
        <w:pStyle w:val="0"/>
        <w:spacing w:before="200" w:line-rule="auto"/>
        <w:ind w:firstLine="540"/>
        <w:jc w:val="both"/>
      </w:pPr>
      <w:r>
        <w:rPr>
          <w:sz w:val="20"/>
        </w:rPr>
        <w:t xml:space="preserve">Медицинские организации, оказывающие ПМП детям, взаимодействуют с родственниками и иными членами семьи пациента или законным представителем, лицами, осуществляющими уход за пациентом, добровольцами (волонтерами), а также организациями социального обслуживания, религиозными организациями и организациями, указанными в </w:t>
      </w:r>
      <w:hyperlink w:history="0" r:id="rId174"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части 2 статьи 6</w:t>
        </w:r>
      </w:hyperlink>
      <w:r>
        <w:rPr>
          <w:sz w:val="20"/>
        </w:rPr>
        <w:t xml:space="preserve"> Федерального закона N 323-ФЗ, в том числе в целях предоставления такому пациенту социальных услуг, мер социальной защиты (поддержки) в соответствии с законодательством Российской Федерации, мер психологической поддержки и духовной помощи.</w:t>
      </w:r>
    </w:p>
    <w:p>
      <w:pPr>
        <w:pStyle w:val="0"/>
        <w:ind w:firstLine="540"/>
        <w:jc w:val="both"/>
      </w:pPr>
      <w:r>
        <w:rPr>
          <w:sz w:val="20"/>
        </w:rPr>
      </w:r>
    </w:p>
    <w:p>
      <w:pPr>
        <w:pStyle w:val="2"/>
        <w:outlineLvl w:val="4"/>
        <w:jc w:val="center"/>
      </w:pPr>
      <w:r>
        <w:rPr>
          <w:sz w:val="20"/>
        </w:rPr>
        <w:t xml:space="preserve">2.2.2.2. Организация ПМП взрослым</w:t>
      </w:r>
    </w:p>
    <w:p>
      <w:pPr>
        <w:pStyle w:val="0"/>
        <w:ind w:firstLine="540"/>
        <w:jc w:val="both"/>
      </w:pPr>
      <w:r>
        <w:rPr>
          <w:sz w:val="20"/>
        </w:rPr>
      </w:r>
    </w:p>
    <w:p>
      <w:pPr>
        <w:pStyle w:val="0"/>
        <w:ind w:firstLine="540"/>
        <w:jc w:val="both"/>
      </w:pPr>
      <w:r>
        <w:rPr>
          <w:sz w:val="20"/>
        </w:rPr>
        <w:t xml:space="preserve">В амбулаторных условиях ПМП взрослому населению оказывают 32 медицинские организации автономного округа, где открыты 32 кабинета ПМП взрослому населению.</w:t>
      </w:r>
    </w:p>
    <w:p>
      <w:pPr>
        <w:pStyle w:val="0"/>
        <w:spacing w:before="200" w:line-rule="auto"/>
        <w:ind w:firstLine="540"/>
        <w:jc w:val="both"/>
      </w:pPr>
      <w:r>
        <w:rPr>
          <w:sz w:val="20"/>
        </w:rPr>
        <w:t xml:space="preserve">Во всех медицинских организациях назначен врач, ответственный за организацию оказания ПМП взрослому населению. В амбулаторных условиях (кабинет) и на дому работают медицинские работники, прошедшие обучение по оказанию ПМП, во взаимодействии с врачами-специалистами по профилю основного заболевания пациента и другими врачами-специалистами.</w:t>
      </w:r>
    </w:p>
    <w:p>
      <w:pPr>
        <w:pStyle w:val="0"/>
        <w:spacing w:before="200" w:line-rule="auto"/>
        <w:ind w:firstLine="540"/>
        <w:jc w:val="both"/>
      </w:pPr>
      <w:r>
        <w:rPr>
          <w:sz w:val="20"/>
        </w:rPr>
        <w:t xml:space="preserve">В 2022 году в г. Нижневартовске создана выездная патронажная бригада по оказанию ПМП взрослым. По состоянию на 1 декабря 2022 года осуществлено 414 выездов к 167 пациентам.</w:t>
      </w:r>
    </w:p>
    <w:p>
      <w:pPr>
        <w:pStyle w:val="0"/>
        <w:spacing w:before="200" w:line-rule="auto"/>
        <w:ind w:firstLine="540"/>
        <w:jc w:val="both"/>
      </w:pPr>
      <w:r>
        <w:rPr>
          <w:sz w:val="20"/>
        </w:rPr>
        <w:t xml:space="preserve">ПМП в стационарных условиях в автономном округе организована в 28 медицинских организациях, имеющих лицензию на оказание ПМП. По состоянию на 1 декабря 2022 года коечный фонд для оказания ПМП составил 294:</w:t>
      </w:r>
    </w:p>
    <w:p>
      <w:pPr>
        <w:pStyle w:val="0"/>
        <w:spacing w:before="200" w:line-rule="auto"/>
        <w:ind w:firstLine="540"/>
        <w:jc w:val="both"/>
      </w:pPr>
      <w:r>
        <w:rPr>
          <w:sz w:val="20"/>
        </w:rPr>
        <w:t xml:space="preserve">93 койки - в Ассоциации медико-социальной помощи "Наджа-Альянс" (с 1 февраля 2019 года), г. Сургут;</w:t>
      </w:r>
    </w:p>
    <w:p>
      <w:pPr>
        <w:pStyle w:val="0"/>
        <w:spacing w:before="200" w:line-rule="auto"/>
        <w:ind w:firstLine="540"/>
        <w:jc w:val="both"/>
      </w:pPr>
      <w:r>
        <w:rPr>
          <w:sz w:val="20"/>
        </w:rPr>
        <w:t xml:space="preserve">30 коек - в БУ "Нижневартовская окружная больница", г. Нижневартовск;</w:t>
      </w:r>
    </w:p>
    <w:p>
      <w:pPr>
        <w:pStyle w:val="0"/>
        <w:spacing w:before="200" w:line-rule="auto"/>
        <w:ind w:firstLine="540"/>
        <w:jc w:val="both"/>
      </w:pPr>
      <w:r>
        <w:rPr>
          <w:sz w:val="20"/>
        </w:rPr>
        <w:t xml:space="preserve">25 коек - в БУ "Пионерская районная больница", пгт. Пионерский;</w:t>
      </w:r>
    </w:p>
    <w:p>
      <w:pPr>
        <w:pStyle w:val="0"/>
        <w:spacing w:before="200" w:line-rule="auto"/>
        <w:ind w:firstLine="540"/>
        <w:jc w:val="both"/>
      </w:pPr>
      <w:r>
        <w:rPr>
          <w:sz w:val="20"/>
        </w:rPr>
        <w:t xml:space="preserve">20 коек - в БУ "Мегионская городская больница", г. Мегион;</w:t>
      </w:r>
    </w:p>
    <w:p>
      <w:pPr>
        <w:pStyle w:val="0"/>
        <w:spacing w:before="200" w:line-rule="auto"/>
        <w:ind w:firstLine="540"/>
        <w:jc w:val="both"/>
      </w:pPr>
      <w:r>
        <w:rPr>
          <w:sz w:val="20"/>
        </w:rPr>
        <w:t xml:space="preserve">15 коек - в БУ "Лангепасская городская больница", г. Лангепас;</w:t>
      </w:r>
    </w:p>
    <w:p>
      <w:pPr>
        <w:pStyle w:val="0"/>
        <w:spacing w:before="200" w:line-rule="auto"/>
        <w:ind w:firstLine="540"/>
        <w:jc w:val="both"/>
      </w:pPr>
      <w:r>
        <w:rPr>
          <w:sz w:val="20"/>
        </w:rPr>
        <w:t xml:space="preserve">по 10 коек - в БУ "Нефтеюганская окружная клиническая больница имени В.И. Яцкив", г. Нефтеюганск; БУ "Няганская окружная больница", г. Нягань;</w:t>
      </w:r>
    </w:p>
    <w:p>
      <w:pPr>
        <w:pStyle w:val="0"/>
        <w:spacing w:before="200" w:line-rule="auto"/>
        <w:ind w:firstLine="540"/>
        <w:jc w:val="both"/>
      </w:pPr>
      <w:r>
        <w:rPr>
          <w:sz w:val="20"/>
        </w:rPr>
        <w:t xml:space="preserve">по 7 коек - в БУ "Окружная клиническая больница", г. Ханты-Мансийск; БУ "Октябрьская районная больница", пгт. Октябрьское, БУ "Когалымская городская больница", г. Когалым, БУ "Урайская городская клиническая больница", г. Урай;</w:t>
      </w:r>
    </w:p>
    <w:p>
      <w:pPr>
        <w:pStyle w:val="0"/>
        <w:spacing w:before="200" w:line-rule="auto"/>
        <w:ind w:firstLine="540"/>
        <w:jc w:val="both"/>
      </w:pPr>
      <w:r>
        <w:rPr>
          <w:sz w:val="20"/>
        </w:rPr>
        <w:t xml:space="preserve">по 5 коек - в БУ "Сургутская окружная клиническая больница", БУ "Сургутская клиническая травматологическая больница" г. Сургут; БУ "Нижневартовская районная больница", п. Излучинск; БУ "Ханты-Мансийская районная больница", Ханты-Мансийский район; БУ "Нефтеюганская районная больница", пгт. Пойковский, БУ "Кондинская районная больница" пгт. Междуреченский; БУ "Лянторская городская больница", г. Лянтор; БУ "Пыть-Яхская окружная клиническая больница", г. Пыть-Ях; БУ "Радужнинская городская больница", г. Радужный;</w:t>
      </w:r>
    </w:p>
    <w:p>
      <w:pPr>
        <w:pStyle w:val="0"/>
        <w:spacing w:before="200" w:line-rule="auto"/>
        <w:ind w:firstLine="540"/>
        <w:jc w:val="both"/>
      </w:pPr>
      <w:r>
        <w:rPr>
          <w:sz w:val="20"/>
        </w:rPr>
        <w:t xml:space="preserve">по 3 койки - в БУ "Белоярская районная больница", Белоярский район; БУ "Покачевская городская больница", г. Покачи; БУ "Советская районная больница" Советский район;</w:t>
      </w:r>
    </w:p>
    <w:p>
      <w:pPr>
        <w:pStyle w:val="0"/>
        <w:spacing w:before="200" w:line-rule="auto"/>
        <w:ind w:firstLine="540"/>
        <w:jc w:val="both"/>
      </w:pPr>
      <w:r>
        <w:rPr>
          <w:sz w:val="20"/>
        </w:rPr>
        <w:t xml:space="preserve">по 2 койки - в БУ "Новоаганская районная больница", пгт. Новоаганск; БУ "Сургутская городская клиническая больница", г. Сургут; в БУ "Игримская районная больница", пгт. Игрим; БУ "Березовская районная больница", пгт. Березово;</w:t>
      </w:r>
    </w:p>
    <w:p>
      <w:pPr>
        <w:pStyle w:val="0"/>
        <w:spacing w:before="200" w:line-rule="auto"/>
        <w:ind w:firstLine="540"/>
        <w:jc w:val="both"/>
      </w:pPr>
      <w:r>
        <w:rPr>
          <w:sz w:val="20"/>
        </w:rPr>
        <w:t xml:space="preserve">1 койка - в БУ "Федоровская городская больница", п. Федоровский.</w:t>
      </w:r>
    </w:p>
    <w:p>
      <w:pPr>
        <w:pStyle w:val="0"/>
        <w:spacing w:before="200" w:line-rule="auto"/>
        <w:ind w:firstLine="540"/>
        <w:jc w:val="both"/>
      </w:pPr>
      <w:r>
        <w:rPr>
          <w:sz w:val="20"/>
        </w:rPr>
        <w:t xml:space="preserve">По состоянию на 1 декабря 2022 года целевой показатель обеспеченности койками для оказания ПМП взрослым (на 100 тыс. взрослого населения) составил 22,2.</w:t>
      </w:r>
    </w:p>
    <w:p>
      <w:pPr>
        <w:pStyle w:val="0"/>
        <w:spacing w:before="200" w:line-rule="auto"/>
        <w:ind w:firstLine="540"/>
        <w:jc w:val="both"/>
      </w:pPr>
      <w:r>
        <w:rPr>
          <w:sz w:val="20"/>
        </w:rPr>
        <w:t xml:space="preserve">Средняя занятость койки (взрослое население) в году составляет 316 дней, средняя длительность пребывания больного на койке - 26,7 дней, оборот койки - 11,9, летальность - 34,9%. Коечный фонд в настоящее время удовлетворяет потребность взрослого населения автономного округа в данном виде медицинской помощи.</w:t>
      </w:r>
    </w:p>
    <w:p>
      <w:pPr>
        <w:pStyle w:val="0"/>
        <w:spacing w:before="200" w:line-rule="auto"/>
        <w:ind w:firstLine="540"/>
        <w:jc w:val="both"/>
      </w:pPr>
      <w:r>
        <w:rPr>
          <w:sz w:val="20"/>
        </w:rPr>
        <w:t xml:space="preserve">Общее количество пациентов, имеющих статус паллиативного больного, получивших ПМП в 2021 году, составило 6 266 человек, умерло 1 264 человек.</w:t>
      </w:r>
    </w:p>
    <w:p>
      <w:pPr>
        <w:pStyle w:val="0"/>
        <w:spacing w:before="200" w:line-rule="auto"/>
        <w:ind w:firstLine="540"/>
        <w:jc w:val="both"/>
      </w:pPr>
      <w:r>
        <w:rPr>
          <w:sz w:val="20"/>
        </w:rPr>
        <w:t xml:space="preserve">Среди получивших паллиативную помощь в 2021 году первое место занимают пациенты с неврологическими заболеваниями - 1 926 человек (30,7%), терапевтическими заболеваниями 1 860 (29,6%), онкологическими заболеваниями - 1 813 человек (28.9%).</w:t>
      </w:r>
    </w:p>
    <w:p>
      <w:pPr>
        <w:pStyle w:val="0"/>
        <w:spacing w:before="200" w:line-rule="auto"/>
        <w:ind w:firstLine="540"/>
        <w:jc w:val="both"/>
      </w:pPr>
      <w:r>
        <w:rPr>
          <w:sz w:val="20"/>
        </w:rPr>
        <w:t xml:space="preserve">По состоянию на 1 декабря 2022 года первое место занимают пациенты с неврологическими заболеваниями - 1 565 человек (32,9%), терапевтическими заболеваниями 1 367 (28,7%), онкологическими заболеваниями - 1 327 человек (27,9%).</w:t>
      </w:r>
    </w:p>
    <w:p>
      <w:pPr>
        <w:pStyle w:val="0"/>
        <w:spacing w:before="200" w:line-rule="auto"/>
        <w:ind w:firstLine="540"/>
        <w:jc w:val="both"/>
      </w:pPr>
      <w:r>
        <w:rPr>
          <w:sz w:val="20"/>
        </w:rPr>
        <w:t xml:space="preserve">В соответствии с планом реализации Региональной программы к декабрю 2024 года планируется:</w:t>
      </w:r>
    </w:p>
    <w:p>
      <w:pPr>
        <w:pStyle w:val="0"/>
        <w:spacing w:before="200" w:line-rule="auto"/>
        <w:ind w:firstLine="540"/>
        <w:jc w:val="both"/>
      </w:pPr>
      <w:r>
        <w:rPr>
          <w:sz w:val="20"/>
        </w:rPr>
        <w:t xml:space="preserve">в крупных городах автономного округа (Сургут, Нефтеюганск, Нижневартовск, Ханты-Мансийск) создание выездных патронажных бригад по оказанию паллиативной помощи взрослым;</w:t>
      </w:r>
    </w:p>
    <w:p>
      <w:pPr>
        <w:pStyle w:val="0"/>
        <w:spacing w:before="200" w:line-rule="auto"/>
        <w:ind w:firstLine="540"/>
        <w:jc w:val="both"/>
      </w:pPr>
      <w:r>
        <w:rPr>
          <w:sz w:val="20"/>
        </w:rPr>
        <w:t xml:space="preserve">создание респираторного центра для взрослых.</w:t>
      </w:r>
    </w:p>
    <w:p>
      <w:pPr>
        <w:pStyle w:val="0"/>
        <w:jc w:val="center"/>
      </w:pPr>
      <w:r>
        <w:rPr>
          <w:sz w:val="20"/>
        </w:rPr>
      </w:r>
    </w:p>
    <w:p>
      <w:pPr>
        <w:pStyle w:val="2"/>
        <w:outlineLvl w:val="3"/>
        <w:jc w:val="center"/>
      </w:pPr>
      <w:r>
        <w:rPr>
          <w:sz w:val="20"/>
        </w:rPr>
        <w:t xml:space="preserve">2.2.3. Кадровое обеспечение структурных подразделений</w:t>
      </w:r>
    </w:p>
    <w:p>
      <w:pPr>
        <w:pStyle w:val="2"/>
        <w:jc w:val="center"/>
      </w:pPr>
      <w:r>
        <w:rPr>
          <w:sz w:val="20"/>
        </w:rPr>
        <w:t xml:space="preserve">медицинских организаций, оказывающих ПМП</w:t>
      </w:r>
    </w:p>
    <w:p>
      <w:pPr>
        <w:pStyle w:val="0"/>
        <w:ind w:firstLine="540"/>
        <w:jc w:val="both"/>
      </w:pPr>
      <w:r>
        <w:rPr>
          <w:sz w:val="20"/>
        </w:rPr>
      </w:r>
    </w:p>
    <w:p>
      <w:pPr>
        <w:pStyle w:val="0"/>
        <w:ind w:firstLine="540"/>
        <w:jc w:val="both"/>
      </w:pPr>
      <w:r>
        <w:rPr>
          <w:sz w:val="20"/>
        </w:rPr>
        <w:t xml:space="preserve">Укомплектованность врачебным персоналом по ПМП по состоянию на 1 января 2022 года в автономном округе - 77,7%, всего ставок 24,75, занято ставок 19,25; физических лиц - 7, совместители - 12,25.</w:t>
      </w:r>
    </w:p>
    <w:p>
      <w:pPr>
        <w:pStyle w:val="0"/>
        <w:spacing w:before="200" w:line-rule="auto"/>
        <w:ind w:firstLine="540"/>
        <w:jc w:val="both"/>
      </w:pPr>
      <w:r>
        <w:rPr>
          <w:sz w:val="20"/>
        </w:rPr>
        <w:t xml:space="preserve">В соответствии с планом реализации Региональной программы к декабрю 2024 года планируется укомплектовать физическими лицами до 12 единиц.</w:t>
      </w:r>
    </w:p>
    <w:p>
      <w:pPr>
        <w:pStyle w:val="0"/>
        <w:jc w:val="center"/>
      </w:pPr>
      <w:r>
        <w:rPr>
          <w:sz w:val="20"/>
        </w:rPr>
      </w:r>
    </w:p>
    <w:p>
      <w:pPr>
        <w:pStyle w:val="2"/>
        <w:outlineLvl w:val="3"/>
        <w:jc w:val="center"/>
      </w:pPr>
      <w:r>
        <w:rPr>
          <w:sz w:val="20"/>
        </w:rPr>
        <w:t xml:space="preserve">2.2.4. Распределение бюджетных ассигнований, выделенных</w:t>
      </w:r>
    </w:p>
    <w:p>
      <w:pPr>
        <w:pStyle w:val="2"/>
        <w:jc w:val="center"/>
      </w:pPr>
      <w:r>
        <w:rPr>
          <w:sz w:val="20"/>
        </w:rPr>
        <w:t xml:space="preserve">из федерального бюджета бюджету Ханты-Мансийского</w:t>
      </w:r>
    </w:p>
    <w:p>
      <w:pPr>
        <w:pStyle w:val="2"/>
        <w:jc w:val="center"/>
      </w:pPr>
      <w:r>
        <w:rPr>
          <w:sz w:val="20"/>
        </w:rPr>
        <w:t xml:space="preserve">автономного округа - Югры в целях развития ПМП</w:t>
      </w:r>
    </w:p>
    <w:p>
      <w:pPr>
        <w:pStyle w:val="0"/>
        <w:jc w:val="center"/>
      </w:pPr>
      <w:r>
        <w:rPr>
          <w:sz w:val="20"/>
        </w:rPr>
      </w:r>
    </w:p>
    <w:p>
      <w:pPr>
        <w:pStyle w:val="0"/>
        <w:ind w:firstLine="540"/>
        <w:jc w:val="both"/>
      </w:pPr>
      <w:r>
        <w:rPr>
          <w:sz w:val="20"/>
        </w:rPr>
        <w:t xml:space="preserve">В 2021 году выделено 28 175 700,0 рублей для оказания паллиативной медицинской помощи взрослому и детскому населению, приобретено 272 единицы медицинского оборудования для оказания ПМП взрослому и детскому населению, из них:</w:t>
      </w:r>
    </w:p>
    <w:p>
      <w:pPr>
        <w:pStyle w:val="0"/>
        <w:spacing w:before="200" w:line-rule="auto"/>
        <w:ind w:firstLine="540"/>
        <w:jc w:val="both"/>
      </w:pPr>
      <w:r>
        <w:rPr>
          <w:sz w:val="20"/>
        </w:rPr>
        <w:t xml:space="preserve">174 единицы медицинского оборудования для обеспечения оказания ПМП в амбулаторных условиях, в том числе на дому (26 единиц для обеспечения взрослого населения, 148 единиц для детей), на сумму 13 087 850,0 рублей;</w:t>
      </w:r>
    </w:p>
    <w:p>
      <w:pPr>
        <w:pStyle w:val="0"/>
        <w:spacing w:before="200" w:line-rule="auto"/>
        <w:ind w:firstLine="540"/>
        <w:jc w:val="both"/>
      </w:pPr>
      <w:r>
        <w:rPr>
          <w:sz w:val="20"/>
        </w:rPr>
        <w:t xml:space="preserve">98 единиц медицинского оборудования для обеспечения оказания ПМП в стационарных условиях (36 единиц для обеспечения взрослого населения, 62 единицы для обеспечения детей) - 13 087 850,0 рублей;</w:t>
      </w:r>
    </w:p>
    <w:p>
      <w:pPr>
        <w:pStyle w:val="0"/>
        <w:spacing w:before="200" w:line-rule="auto"/>
        <w:ind w:firstLine="540"/>
        <w:jc w:val="both"/>
      </w:pPr>
      <w:r>
        <w:rPr>
          <w:sz w:val="20"/>
        </w:rPr>
        <w:t xml:space="preserve">296 упаковок лекарственных препаратов, содержащих наркотические средства и психотропные вещества, для обеспечения отделений ПМП взрослым и детям - 1 150 000,0 рублей;</w:t>
      </w:r>
    </w:p>
    <w:p>
      <w:pPr>
        <w:pStyle w:val="0"/>
        <w:spacing w:before="200" w:line-rule="auto"/>
        <w:ind w:firstLine="540"/>
        <w:jc w:val="both"/>
      </w:pPr>
      <w:r>
        <w:rPr>
          <w:sz w:val="20"/>
        </w:rPr>
        <w:t xml:space="preserve">1 автомобиль для работы отделения выездной патронажной ПМП несовершеннолетним на базе БУ "Нижневартовская окружная клиническая детская больница" - 850 000,0 рублей.</w:t>
      </w:r>
    </w:p>
    <w:p>
      <w:pPr>
        <w:pStyle w:val="0"/>
        <w:spacing w:before="200" w:line-rule="auto"/>
        <w:ind w:firstLine="540"/>
        <w:jc w:val="both"/>
      </w:pPr>
      <w:r>
        <w:rPr>
          <w:sz w:val="20"/>
        </w:rPr>
        <w:t xml:space="preserve">В 2022 году выделено 30 531 600,0 рублей, приобретено 228 единиц медицинского оборудования для оказания ПМП взрослому и детскому населению, из них:</w:t>
      </w:r>
    </w:p>
    <w:p>
      <w:pPr>
        <w:pStyle w:val="0"/>
        <w:spacing w:before="200" w:line-rule="auto"/>
        <w:ind w:firstLine="540"/>
        <w:jc w:val="both"/>
      </w:pPr>
      <w:r>
        <w:rPr>
          <w:sz w:val="20"/>
        </w:rPr>
        <w:t xml:space="preserve">153 единицы медицинского оборудования для обеспечения оказания ПМП в амбулаторных условиях, в том числе на дому 27 единиц для взрослого населения, 126 единиц для детей, на сумму 12 092 700,0 рублей;</w:t>
      </w:r>
    </w:p>
    <w:p>
      <w:pPr>
        <w:pStyle w:val="0"/>
        <w:spacing w:before="200" w:line-rule="auto"/>
        <w:ind w:firstLine="540"/>
        <w:jc w:val="both"/>
      </w:pPr>
      <w:r>
        <w:rPr>
          <w:sz w:val="20"/>
        </w:rPr>
        <w:t xml:space="preserve">75 единиц медицинского оборудования для обеспечения оказания ПМП в стационарных условиях (68 единиц для взрослого населения, 7 единиц для детей) - 18 138 900,0 рублей;</w:t>
      </w:r>
    </w:p>
    <w:p>
      <w:pPr>
        <w:pStyle w:val="0"/>
        <w:spacing w:before="200" w:line-rule="auto"/>
        <w:ind w:firstLine="540"/>
        <w:jc w:val="both"/>
      </w:pPr>
      <w:r>
        <w:rPr>
          <w:sz w:val="20"/>
        </w:rPr>
        <w:t xml:space="preserve">361 упаковка лекарственных препаратов, содержащих наркотические средства и психотропные вещества, для обеспечения отделений ПМП взрослым и детям - 300 000,0 рублей.</w:t>
      </w:r>
    </w:p>
    <w:p>
      <w:pPr>
        <w:pStyle w:val="0"/>
        <w:ind w:firstLine="540"/>
        <w:jc w:val="both"/>
      </w:pPr>
      <w:r>
        <w:rPr>
          <w:sz w:val="20"/>
        </w:rPr>
      </w:r>
    </w:p>
    <w:p>
      <w:pPr>
        <w:pStyle w:val="2"/>
        <w:outlineLvl w:val="3"/>
        <w:jc w:val="center"/>
      </w:pPr>
      <w:r>
        <w:rPr>
          <w:sz w:val="20"/>
        </w:rPr>
        <w:t xml:space="preserve">2.2.5. Доступность лекарственных препаратов в лечении</w:t>
      </w:r>
    </w:p>
    <w:p>
      <w:pPr>
        <w:pStyle w:val="2"/>
        <w:jc w:val="center"/>
      </w:pPr>
      <w:r>
        <w:rPr>
          <w:sz w:val="20"/>
        </w:rPr>
        <w:t xml:space="preserve">болевого синдрома при оказании ПМП</w:t>
      </w:r>
    </w:p>
    <w:p>
      <w:pPr>
        <w:pStyle w:val="0"/>
        <w:ind w:firstLine="540"/>
        <w:jc w:val="both"/>
      </w:pPr>
      <w:r>
        <w:rPr>
          <w:sz w:val="20"/>
        </w:rPr>
      </w:r>
    </w:p>
    <w:p>
      <w:pPr>
        <w:pStyle w:val="0"/>
        <w:ind w:firstLine="540"/>
        <w:jc w:val="both"/>
      </w:pPr>
      <w:r>
        <w:rPr>
          <w:sz w:val="20"/>
        </w:rPr>
        <w:t xml:space="preserve">Информация об оказании ПМП и лечении хронического болевого синдрома размещена на стендах медицинских организаций и официальных сайтах:</w:t>
      </w:r>
    </w:p>
    <w:p>
      <w:pPr>
        <w:pStyle w:val="0"/>
        <w:spacing w:before="200" w:line-rule="auto"/>
        <w:ind w:firstLine="540"/>
        <w:jc w:val="both"/>
      </w:pPr>
      <w:r>
        <w:rPr>
          <w:sz w:val="20"/>
        </w:rPr>
        <w:t xml:space="preserve">список телефонов горячей линии по вопросам обезболивания и оказания паллиативной медицинской помощи;</w:t>
      </w:r>
    </w:p>
    <w:p>
      <w:pPr>
        <w:pStyle w:val="0"/>
        <w:spacing w:before="200" w:line-rule="auto"/>
        <w:ind w:firstLine="540"/>
        <w:jc w:val="both"/>
      </w:pPr>
      <w:r>
        <w:rPr>
          <w:sz w:val="20"/>
        </w:rPr>
        <w:t xml:space="preserve">порядок действий граждан при возникновении проблем по вопросам проведения обезболивания в автономном округе;</w:t>
      </w:r>
    </w:p>
    <w:p>
      <w:pPr>
        <w:pStyle w:val="0"/>
        <w:spacing w:before="200" w:line-rule="auto"/>
        <w:ind w:firstLine="540"/>
        <w:jc w:val="both"/>
      </w:pPr>
      <w:r>
        <w:rPr>
          <w:sz w:val="20"/>
        </w:rPr>
        <w:t xml:space="preserve">памятка для граждан по обезболиванию.</w:t>
      </w:r>
    </w:p>
    <w:p>
      <w:pPr>
        <w:pStyle w:val="0"/>
        <w:spacing w:before="200" w:line-rule="auto"/>
        <w:ind w:firstLine="540"/>
        <w:jc w:val="both"/>
      </w:pPr>
      <w:r>
        <w:rPr>
          <w:sz w:val="20"/>
        </w:rPr>
        <w:t xml:space="preserve">В медицинских организациях внедрен протокол контроля уровня боли у пациентов, получающих анальгетическую терапию в амбулаторных и стационарных условиях.</w:t>
      </w:r>
    </w:p>
    <w:p>
      <w:pPr>
        <w:pStyle w:val="0"/>
        <w:spacing w:before="200" w:line-rule="auto"/>
        <w:ind w:firstLine="540"/>
        <w:jc w:val="both"/>
      </w:pPr>
      <w:r>
        <w:rPr>
          <w:sz w:val="20"/>
        </w:rPr>
        <w:t xml:space="preserve">Протокол включает в себя 3 основных принципа: оценку боли, измерение боли и купирование боли. Для оценки интенсивности боли и эффективности лечения применяются специальные шкалы у детей и взрослых для регистрации локализации болевых ощущений, время появления боли, характер и тип боли, длительность болевого синдрома (при движении и в покое). Как у детей, так и у взрослых используются субъективные методы оценки боли с помощью шкал: это делает сам пациент или врач, медсестра, лицо, осуществляющее уход. Протокол включает в себя идентификацию типа боли (ноцицептивная, нейропатическая, диссоциативная, смешанная), оценку интенсивности (слабая, умеренная, сильная), продолжительности (острая или хроническая), устанавливается локализация, определяется эффективность лечения. Оценку боли проводит врач или медицинская сестра при каждом визите и осмотре пациента: раздельно, при движении и в состоянии покоя, что фиксируется в первичной медицинской документации.</w:t>
      </w:r>
    </w:p>
    <w:p>
      <w:pPr>
        <w:pStyle w:val="0"/>
        <w:spacing w:before="200" w:line-rule="auto"/>
        <w:ind w:firstLine="540"/>
        <w:jc w:val="both"/>
      </w:pPr>
      <w:r>
        <w:rPr>
          <w:sz w:val="20"/>
        </w:rPr>
        <w:t xml:space="preserve">Взрослые пациенты самостоятельно обращаются в кабинет ПМП по месту жительства, в круглосуточный стационар или по телефону горячей линии по вопросам оказания анальгезирующей терапии.</w:t>
      </w:r>
    </w:p>
    <w:p>
      <w:pPr>
        <w:pStyle w:val="0"/>
        <w:spacing w:before="200" w:line-rule="auto"/>
        <w:ind w:firstLine="540"/>
        <w:jc w:val="both"/>
      </w:pPr>
      <w:r>
        <w:rPr>
          <w:sz w:val="20"/>
        </w:rPr>
        <w:t xml:space="preserve">При выписке пациента из медицинской организации, оказывающей паллиативную специализированную медицинскую помощь в стационарных условиях, выдается выписка из медицинской карты стационарного больного, в которой указываются рекомендации по дальнейшему наблюдению, лечению, в том числе по организации респираторной поддержки и ухода в амбулаторных условиях (на дому). Выписка направляется в медицинскую организацию, оказывающую первичную медико-санитарную помощь, по месту жительства (фактического пребывания) пациента и медицинскую организацию, оказывающую паллиативную специализированную медицинскую помощь в амбулаторных условиях.</w:t>
      </w:r>
    </w:p>
    <w:p>
      <w:pPr>
        <w:pStyle w:val="0"/>
        <w:spacing w:before="200" w:line-rule="auto"/>
        <w:ind w:firstLine="540"/>
        <w:jc w:val="both"/>
      </w:pPr>
      <w:r>
        <w:rPr>
          <w:sz w:val="20"/>
        </w:rPr>
        <w:t xml:space="preserve">В течение 2 рабочих дней после выписки пациента медицинская организация, получившая информацию о нем, организует его первичный осмотр и дальнейшее наблюдение.</w:t>
      </w:r>
    </w:p>
    <w:p>
      <w:pPr>
        <w:pStyle w:val="0"/>
        <w:spacing w:before="200" w:line-rule="auto"/>
        <w:ind w:firstLine="540"/>
        <w:jc w:val="both"/>
      </w:pPr>
      <w:r>
        <w:rPr>
          <w:sz w:val="20"/>
        </w:rPr>
        <w:t xml:space="preserve">В отдельных случаях для полного удовлетворения потребности в обезболивании наркотические лекарственные препараты выдаются пациенту одновременно с выпиской из истории болезни на срок приема до 5 дней.</w:t>
      </w:r>
    </w:p>
    <w:p>
      <w:pPr>
        <w:pStyle w:val="0"/>
        <w:spacing w:before="200" w:line-rule="auto"/>
        <w:ind w:firstLine="540"/>
        <w:jc w:val="both"/>
      </w:pPr>
      <w:r>
        <w:rPr>
          <w:sz w:val="20"/>
        </w:rPr>
        <w:t xml:space="preserve">С мая 2014 года в автономном округе организована работа телефона горячей линии по вопросам льготного лекарственного обеспечения (далее - Горячая линия), работает ежедневно, круглосуточно, информация о ней размещена на сайтах Депздрава Югры и подведомственных медицинских организациях. Граждане сообщают о проблемах, возникающих при получении необходимых обезболивающих препаратов. Информация обо всех обращениях казенное учреждение автономного округа "Центр лекарственного мониторинга" и контакт-центр БУ "Медицинский информационно-аналитический центр" направляют в Депздрав Югры.</w:t>
      </w:r>
    </w:p>
    <w:p>
      <w:pPr>
        <w:pStyle w:val="0"/>
        <w:ind w:firstLine="540"/>
        <w:jc w:val="both"/>
      </w:pPr>
      <w:r>
        <w:rPr>
          <w:sz w:val="20"/>
        </w:rPr>
      </w:r>
    </w:p>
    <w:p>
      <w:pPr>
        <w:pStyle w:val="2"/>
        <w:outlineLvl w:val="3"/>
        <w:jc w:val="center"/>
      </w:pPr>
      <w:r>
        <w:rPr>
          <w:sz w:val="20"/>
        </w:rPr>
        <w:t xml:space="preserve">2.2.6. Взаимодействие медицинских организаций, оказывающих</w:t>
      </w:r>
    </w:p>
    <w:p>
      <w:pPr>
        <w:pStyle w:val="2"/>
        <w:jc w:val="center"/>
      </w:pPr>
      <w:r>
        <w:rPr>
          <w:sz w:val="20"/>
        </w:rPr>
        <w:t xml:space="preserve">паллиативную медицинскую помощь, с организациями социального</w:t>
      </w:r>
    </w:p>
    <w:p>
      <w:pPr>
        <w:pStyle w:val="2"/>
        <w:jc w:val="center"/>
      </w:pPr>
      <w:r>
        <w:rPr>
          <w:sz w:val="20"/>
        </w:rPr>
        <w:t xml:space="preserve">обслуживания</w:t>
      </w:r>
    </w:p>
    <w:p>
      <w:pPr>
        <w:pStyle w:val="0"/>
        <w:jc w:val="center"/>
      </w:pPr>
      <w:r>
        <w:rPr>
          <w:sz w:val="20"/>
        </w:rPr>
      </w:r>
    </w:p>
    <w:p>
      <w:pPr>
        <w:pStyle w:val="0"/>
        <w:ind w:firstLine="540"/>
        <w:jc w:val="both"/>
      </w:pPr>
      <w:r>
        <w:rPr>
          <w:sz w:val="20"/>
        </w:rPr>
        <w:t xml:space="preserve">В автономном округе взаимодействие медицинских организаций, организаций социального обслуживания, общественных организаций и иных некоммерческих организаций, осуществляющих свою деятельность в сфере охраны здоровья граждан при оказании гражданам ПМП, утверждено совместным приказом.</w:t>
      </w:r>
    </w:p>
    <w:p>
      <w:pPr>
        <w:pStyle w:val="0"/>
        <w:spacing w:before="200" w:line-rule="auto"/>
        <w:ind w:firstLine="540"/>
        <w:jc w:val="both"/>
      </w:pPr>
      <w:r>
        <w:rPr>
          <w:sz w:val="20"/>
        </w:rPr>
        <w:t xml:space="preserve">Целями взаимодействия являются:</w:t>
      </w:r>
    </w:p>
    <w:p>
      <w:pPr>
        <w:pStyle w:val="0"/>
        <w:spacing w:before="200" w:line-rule="auto"/>
        <w:ind w:firstLine="540"/>
        <w:jc w:val="both"/>
      </w:pPr>
      <w:r>
        <w:rPr>
          <w:sz w:val="20"/>
        </w:rPr>
        <w:t xml:space="preserve">организация предоставления пациентам, получающим ПМП, социальных услуг, мер социальной защиты (поддержки), мер психологической поддержки;</w:t>
      </w:r>
    </w:p>
    <w:p>
      <w:pPr>
        <w:pStyle w:val="0"/>
        <w:spacing w:before="200" w:line-rule="auto"/>
        <w:ind w:firstLine="540"/>
        <w:jc w:val="both"/>
      </w:pPr>
      <w:r>
        <w:rPr>
          <w:sz w:val="20"/>
        </w:rPr>
        <w:t xml:space="preserve">организация оказания ПМП нуждающимся в ней гражданам, получающим социальные услуги в форме социального обслуживания на дому, в полустационарной форме или в стационарной форме.</w:t>
      </w:r>
    </w:p>
    <w:p>
      <w:pPr>
        <w:pStyle w:val="0"/>
        <w:spacing w:before="200" w:line-rule="auto"/>
        <w:ind w:firstLine="540"/>
        <w:jc w:val="both"/>
      </w:pPr>
      <w:r>
        <w:rPr>
          <w:sz w:val="20"/>
        </w:rPr>
        <w:t xml:space="preserve">Медицинская организация, в которой принято решение об оказании ПМП пациенту, в целях организации социального обслуживания осуществляет:</w:t>
      </w:r>
    </w:p>
    <w:p>
      <w:pPr>
        <w:pStyle w:val="0"/>
        <w:spacing w:before="200" w:line-rule="auto"/>
        <w:ind w:firstLine="540"/>
        <w:jc w:val="both"/>
      </w:pPr>
      <w:r>
        <w:rPr>
          <w:sz w:val="20"/>
        </w:rPr>
        <w:t xml:space="preserve">информирование пациентов, их законных представителей, родственников, лиц, осуществляющих уход, о перечне социальных услуг, предоставляемых в автономном округе, порядке и условиях их предоставления, адресах и контактных телефонах уполномоченной организации в сфере социального обслуживания, организующих предоставление указанных социальных услуг;</w:t>
      </w:r>
    </w:p>
    <w:p>
      <w:pPr>
        <w:pStyle w:val="0"/>
        <w:spacing w:before="200" w:line-rule="auto"/>
        <w:ind w:firstLine="540"/>
        <w:jc w:val="both"/>
      </w:pPr>
      <w:r>
        <w:rPr>
          <w:sz w:val="20"/>
        </w:rPr>
        <w:t xml:space="preserve">направление обращения о предоставлении социального обслуживания в уполномоченную организацию о необходимости предоставления социального обслуживания пациенту, полностью или частично утратившему способность либо возможность осуществлять самообслуживание, самостоятельно передвигаться, обеспечивать основные жизненные потребности, при наличии согласия законного представителя недееспособного пациента;</w:t>
      </w:r>
    </w:p>
    <w:p>
      <w:pPr>
        <w:pStyle w:val="0"/>
        <w:spacing w:before="200" w:line-rule="auto"/>
        <w:ind w:firstLine="540"/>
        <w:jc w:val="both"/>
      </w:pPr>
      <w:r>
        <w:rPr>
          <w:sz w:val="20"/>
        </w:rPr>
        <w:t xml:space="preserve">направление в уполномоченную организацию информации о необходимости предоставления недееспособному пациенту социального обслуживания при наличии согласия его законного представителя.</w:t>
      </w:r>
    </w:p>
    <w:p>
      <w:pPr>
        <w:pStyle w:val="0"/>
        <w:spacing w:before="200" w:line-rule="auto"/>
        <w:ind w:firstLine="540"/>
        <w:jc w:val="both"/>
      </w:pPr>
      <w:r>
        <w:rPr>
          <w:sz w:val="20"/>
        </w:rPr>
        <w:t xml:space="preserve">В медицинских организациях автономного округа организованы и функционируют "Школа ухода за тяжелобольными", где медицинский персонал обучает родственников навыкам ухода за инкурабельными больными (как на базе медицинских организаций, так и на дому).</w:t>
      </w:r>
    </w:p>
    <w:p>
      <w:pPr>
        <w:pStyle w:val="0"/>
        <w:spacing w:before="200" w:line-rule="auto"/>
        <w:ind w:firstLine="540"/>
        <w:jc w:val="both"/>
      </w:pPr>
      <w:r>
        <w:rPr>
          <w:sz w:val="20"/>
        </w:rPr>
        <w:t xml:space="preserve">Разработан регистр ПМП, что обеспечит совершенную систему учета пациентов, нуждающихся в ПМП, позволит осуществлять мониторинг оказания пациенту ПМП, начиная с момента признания его имеющим медицинские показания к оказанию ПМП до момента его смерти, содержит в том числе сведения о назначении ему наркотических и психотропных лекарственных препаратов, о наличии у пациента медицинских показаний к обеспечению медицинскими изделиями.</w:t>
      </w:r>
    </w:p>
    <w:p>
      <w:pPr>
        <w:pStyle w:val="0"/>
        <w:jc w:val="center"/>
      </w:pPr>
      <w:r>
        <w:rPr>
          <w:sz w:val="20"/>
        </w:rPr>
      </w:r>
    </w:p>
    <w:p>
      <w:pPr>
        <w:pStyle w:val="2"/>
        <w:outlineLvl w:val="3"/>
        <w:jc w:val="center"/>
      </w:pPr>
      <w:r>
        <w:rPr>
          <w:sz w:val="20"/>
        </w:rPr>
        <w:t xml:space="preserve">2.2.7. Возможности реализации Региональной программы</w:t>
      </w:r>
    </w:p>
    <w:p>
      <w:pPr>
        <w:pStyle w:val="0"/>
        <w:ind w:firstLine="540"/>
        <w:jc w:val="both"/>
      </w:pPr>
      <w:r>
        <w:rPr>
          <w:sz w:val="20"/>
        </w:rPr>
      </w:r>
    </w:p>
    <w:p>
      <w:pPr>
        <w:pStyle w:val="0"/>
        <w:ind w:firstLine="540"/>
        <w:jc w:val="both"/>
      </w:pPr>
      <w:r>
        <w:rPr>
          <w:sz w:val="20"/>
        </w:rPr>
        <w:t xml:space="preserve">Управление процессом реализации Региональной программы по результатам мониторинга показателей системы учета лиц, нуждающихся в ПМП, в том числе обезболивании.</w:t>
      </w:r>
    </w:p>
    <w:p>
      <w:pPr>
        <w:pStyle w:val="0"/>
        <w:spacing w:before="200" w:line-rule="auto"/>
        <w:ind w:firstLine="540"/>
        <w:jc w:val="both"/>
      </w:pPr>
      <w:r>
        <w:rPr>
          <w:sz w:val="20"/>
        </w:rPr>
        <w:t xml:space="preserve">Повышение эффективности использования финансовых средств бюджетной системы автономного округа и субсидий, выделенных из федерального бюджета.</w:t>
      </w:r>
    </w:p>
    <w:p>
      <w:pPr>
        <w:pStyle w:val="0"/>
        <w:spacing w:before="200" w:line-rule="auto"/>
        <w:ind w:firstLine="540"/>
        <w:jc w:val="both"/>
      </w:pPr>
      <w:r>
        <w:rPr>
          <w:sz w:val="20"/>
        </w:rPr>
        <w:t xml:space="preserve">Осуществление плана мероприятий по реализации Региональной программы.</w:t>
      </w:r>
    </w:p>
    <w:p>
      <w:pPr>
        <w:pStyle w:val="0"/>
        <w:ind w:firstLine="540"/>
        <w:jc w:val="both"/>
      </w:pPr>
      <w:r>
        <w:rPr>
          <w:sz w:val="20"/>
        </w:rPr>
      </w:r>
    </w:p>
    <w:p>
      <w:pPr>
        <w:pStyle w:val="2"/>
        <w:outlineLvl w:val="4"/>
        <w:jc w:val="center"/>
      </w:pPr>
      <w:r>
        <w:rPr>
          <w:sz w:val="20"/>
        </w:rPr>
        <w:t xml:space="preserve">План мероприятий по реализации Региональной программы</w:t>
      </w:r>
    </w:p>
    <w:p>
      <w:pPr>
        <w:pStyle w:val="0"/>
        <w:jc w:val="center"/>
      </w:pPr>
      <w:r>
        <w:rPr>
          <w:sz w:val="20"/>
        </w:rPr>
      </w:r>
    </w:p>
    <w:p>
      <w:pPr>
        <w:pStyle w:val="0"/>
        <w:jc w:val="right"/>
      </w:pPr>
      <w:r>
        <w:rPr>
          <w:sz w:val="20"/>
        </w:rPr>
        <w:t xml:space="preserve">Таблица 6</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4"/>
        <w:gridCol w:w="2674"/>
        <w:gridCol w:w="829"/>
        <w:gridCol w:w="1204"/>
        <w:gridCol w:w="1744"/>
        <w:gridCol w:w="2224"/>
      </w:tblGrid>
      <w:tr>
        <w:tc>
          <w:tcPr>
            <w:tcW w:w="484" w:type="dxa"/>
            <w:vMerge w:val="restart"/>
          </w:tcPr>
          <w:p>
            <w:pPr>
              <w:pStyle w:val="0"/>
              <w:jc w:val="center"/>
            </w:pPr>
            <w:r>
              <w:rPr>
                <w:sz w:val="20"/>
              </w:rPr>
              <w:t xml:space="preserve">N п/п</w:t>
            </w:r>
          </w:p>
        </w:tc>
        <w:tc>
          <w:tcPr>
            <w:tcW w:w="2674" w:type="dxa"/>
            <w:vMerge w:val="restart"/>
          </w:tcPr>
          <w:p>
            <w:pPr>
              <w:pStyle w:val="0"/>
              <w:jc w:val="center"/>
            </w:pPr>
            <w:r>
              <w:rPr>
                <w:sz w:val="20"/>
              </w:rPr>
              <w:t xml:space="preserve">Наименование мероприятия, контрольной точки</w:t>
            </w:r>
          </w:p>
        </w:tc>
        <w:tc>
          <w:tcPr>
            <w:gridSpan w:val="2"/>
            <w:tcW w:w="2033" w:type="dxa"/>
          </w:tcPr>
          <w:p>
            <w:pPr>
              <w:pStyle w:val="0"/>
              <w:jc w:val="center"/>
            </w:pPr>
            <w:r>
              <w:rPr>
                <w:sz w:val="20"/>
              </w:rPr>
              <w:t xml:space="preserve">Сроки реализации</w:t>
            </w:r>
          </w:p>
        </w:tc>
        <w:tc>
          <w:tcPr>
            <w:tcW w:w="1744" w:type="dxa"/>
          </w:tcPr>
          <w:p>
            <w:pPr>
              <w:pStyle w:val="0"/>
              <w:jc w:val="center"/>
            </w:pPr>
            <w:r>
              <w:rPr>
                <w:sz w:val="20"/>
              </w:rPr>
              <w:t xml:space="preserve">Ответственный исполнитель</w:t>
            </w:r>
          </w:p>
        </w:tc>
        <w:tc>
          <w:tcPr>
            <w:tcW w:w="2224" w:type="dxa"/>
          </w:tcPr>
          <w:p>
            <w:pPr>
              <w:pStyle w:val="0"/>
              <w:jc w:val="center"/>
            </w:pPr>
            <w:r>
              <w:rPr>
                <w:sz w:val="20"/>
              </w:rPr>
              <w:t xml:space="preserve">Результат</w:t>
            </w:r>
          </w:p>
        </w:tc>
      </w:tr>
      <w:tr>
        <w:tc>
          <w:tcPr>
            <w:vMerge w:val="continue"/>
          </w:tcPr>
          <w:p/>
        </w:tc>
        <w:tc>
          <w:tcPr>
            <w:vMerge w:val="continue"/>
          </w:tcPr>
          <w:p/>
        </w:tc>
        <w:tc>
          <w:tcPr>
            <w:tcW w:w="829" w:type="dxa"/>
          </w:tcPr>
          <w:p>
            <w:pPr>
              <w:pStyle w:val="0"/>
              <w:jc w:val="center"/>
            </w:pPr>
            <w:r>
              <w:rPr>
                <w:sz w:val="20"/>
              </w:rPr>
              <w:t xml:space="preserve">начало</w:t>
            </w:r>
          </w:p>
        </w:tc>
        <w:tc>
          <w:tcPr>
            <w:tcW w:w="1204" w:type="dxa"/>
          </w:tcPr>
          <w:p>
            <w:pPr>
              <w:pStyle w:val="0"/>
              <w:jc w:val="center"/>
            </w:pPr>
            <w:r>
              <w:rPr>
                <w:sz w:val="20"/>
              </w:rPr>
              <w:t xml:space="preserve">окончание</w:t>
            </w:r>
          </w:p>
        </w:tc>
        <w:tc>
          <w:tcPr>
            <w:tcW w:w="1744" w:type="dxa"/>
          </w:tcPr>
          <w:p>
            <w:pPr>
              <w:pStyle w:val="0"/>
              <w:jc w:val="center"/>
            </w:pPr>
            <w:r>
              <w:rPr>
                <w:sz w:val="20"/>
              </w:rPr>
            </w:r>
          </w:p>
        </w:tc>
        <w:tc>
          <w:tcPr>
            <w:tcW w:w="2224" w:type="dxa"/>
          </w:tcPr>
          <w:p>
            <w:pPr>
              <w:pStyle w:val="0"/>
              <w:jc w:val="center"/>
            </w:pPr>
            <w:r>
              <w:rPr>
                <w:sz w:val="20"/>
              </w:rPr>
            </w:r>
          </w:p>
        </w:tc>
      </w:tr>
      <w:tr>
        <w:tc>
          <w:tcPr>
            <w:gridSpan w:val="6"/>
            <w:tcW w:w="9159" w:type="dxa"/>
          </w:tcPr>
          <w:p>
            <w:pPr>
              <w:pStyle w:val="0"/>
            </w:pPr>
            <w:r>
              <w:rPr>
                <w:sz w:val="20"/>
              </w:rPr>
              <w:t xml:space="preserve">1. Мероприятия по совершенствованию инфраструктуры оказания ПМП</w:t>
            </w:r>
          </w:p>
        </w:tc>
      </w:tr>
      <w:tr>
        <w:tc>
          <w:tcPr>
            <w:tcW w:w="484" w:type="dxa"/>
          </w:tcPr>
          <w:p>
            <w:pPr>
              <w:pStyle w:val="0"/>
            </w:pPr>
            <w:r>
              <w:rPr>
                <w:sz w:val="20"/>
              </w:rPr>
              <w:t xml:space="preserve">1.1.</w:t>
            </w:r>
          </w:p>
        </w:tc>
        <w:tc>
          <w:tcPr>
            <w:tcW w:w="2674" w:type="dxa"/>
          </w:tcPr>
          <w:p>
            <w:pPr>
              <w:pStyle w:val="0"/>
            </w:pPr>
            <w:r>
              <w:rPr>
                <w:sz w:val="20"/>
              </w:rPr>
              <w:t xml:space="preserve">Создание отделений выездной патронажной ПМП (из расчета 1 бригада на 100 000 взрослого населения)</w:t>
            </w:r>
          </w:p>
        </w:tc>
        <w:tc>
          <w:tcPr>
            <w:tcW w:w="829" w:type="dxa"/>
          </w:tcPr>
          <w:p>
            <w:pPr>
              <w:pStyle w:val="0"/>
            </w:pPr>
            <w:r>
              <w:rPr>
                <w:sz w:val="20"/>
              </w:rPr>
              <w:t xml:space="preserve">1 января 2023 года</w:t>
            </w:r>
          </w:p>
        </w:tc>
        <w:tc>
          <w:tcPr>
            <w:tcW w:w="1204" w:type="dxa"/>
          </w:tcPr>
          <w:p>
            <w:pPr>
              <w:pStyle w:val="0"/>
            </w:pPr>
            <w:r>
              <w:rPr>
                <w:sz w:val="20"/>
              </w:rPr>
              <w:t xml:space="preserve">31 декабря 2024 года</w:t>
            </w:r>
          </w:p>
        </w:tc>
        <w:tc>
          <w:tcPr>
            <w:tcW w:w="1744" w:type="dxa"/>
          </w:tcPr>
          <w:p>
            <w:pPr>
              <w:pStyle w:val="0"/>
            </w:pPr>
            <w:r>
              <w:rPr>
                <w:sz w:val="20"/>
              </w:rPr>
              <w:t xml:space="preserve">Депздрав Югры</w:t>
            </w:r>
          </w:p>
        </w:tc>
        <w:tc>
          <w:tcPr>
            <w:tcW w:w="2224" w:type="dxa"/>
          </w:tcPr>
          <w:p>
            <w:pPr>
              <w:pStyle w:val="0"/>
            </w:pPr>
            <w:r>
              <w:rPr>
                <w:sz w:val="20"/>
              </w:rPr>
              <w:t xml:space="preserve">К окончанию 2024 года в автономном округе функционирует 6 выездных патронажных бригад на 100000 взрослого населения</w:t>
            </w:r>
          </w:p>
        </w:tc>
      </w:tr>
      <w:tr>
        <w:tc>
          <w:tcPr>
            <w:tcW w:w="484" w:type="dxa"/>
          </w:tcPr>
          <w:p>
            <w:pPr>
              <w:pStyle w:val="0"/>
            </w:pPr>
            <w:r>
              <w:rPr>
                <w:sz w:val="20"/>
              </w:rPr>
              <w:t xml:space="preserve">1.2.</w:t>
            </w:r>
          </w:p>
        </w:tc>
        <w:tc>
          <w:tcPr>
            <w:tcW w:w="2674" w:type="dxa"/>
          </w:tcPr>
          <w:p>
            <w:pPr>
              <w:pStyle w:val="0"/>
            </w:pPr>
            <w:r>
              <w:rPr>
                <w:sz w:val="20"/>
              </w:rPr>
              <w:t xml:space="preserve">Создание отделений выездной патронажной ПМП (из расчета 1 бригада на 50 000 детского городского населения)</w:t>
            </w:r>
          </w:p>
        </w:tc>
        <w:tc>
          <w:tcPr>
            <w:tcW w:w="829" w:type="dxa"/>
          </w:tcPr>
          <w:p>
            <w:pPr>
              <w:pStyle w:val="0"/>
            </w:pPr>
            <w:r>
              <w:rPr>
                <w:sz w:val="20"/>
              </w:rPr>
              <w:t xml:space="preserve">1 января 2023 года</w:t>
            </w:r>
          </w:p>
        </w:tc>
        <w:tc>
          <w:tcPr>
            <w:tcW w:w="1204" w:type="dxa"/>
          </w:tcPr>
          <w:p>
            <w:pPr>
              <w:pStyle w:val="0"/>
            </w:pPr>
            <w:r>
              <w:rPr>
                <w:sz w:val="20"/>
              </w:rPr>
              <w:t xml:space="preserve">31 декабря 2024 года</w:t>
            </w:r>
          </w:p>
        </w:tc>
        <w:tc>
          <w:tcPr>
            <w:tcW w:w="1744" w:type="dxa"/>
          </w:tcPr>
          <w:p>
            <w:pPr>
              <w:pStyle w:val="0"/>
            </w:pPr>
            <w:r>
              <w:rPr>
                <w:sz w:val="20"/>
              </w:rPr>
              <w:t xml:space="preserve">Депздрав Югры</w:t>
            </w:r>
          </w:p>
        </w:tc>
        <w:tc>
          <w:tcPr>
            <w:tcW w:w="2224" w:type="dxa"/>
          </w:tcPr>
          <w:p>
            <w:pPr>
              <w:pStyle w:val="0"/>
            </w:pPr>
            <w:r>
              <w:rPr>
                <w:sz w:val="20"/>
              </w:rPr>
              <w:t xml:space="preserve">К окончанию 2024 года в автономном округе функционирует 4 выездные патронажные бригады на 50000 детского городского населения</w:t>
            </w:r>
          </w:p>
        </w:tc>
      </w:tr>
      <w:tr>
        <w:tc>
          <w:tcPr>
            <w:tcW w:w="484" w:type="dxa"/>
          </w:tcPr>
          <w:p>
            <w:pPr>
              <w:pStyle w:val="0"/>
            </w:pPr>
            <w:r>
              <w:rPr>
                <w:sz w:val="20"/>
              </w:rPr>
              <w:t xml:space="preserve">1.3.</w:t>
            </w:r>
          </w:p>
        </w:tc>
        <w:tc>
          <w:tcPr>
            <w:tcW w:w="2674" w:type="dxa"/>
          </w:tcPr>
          <w:p>
            <w:pPr>
              <w:pStyle w:val="0"/>
            </w:pPr>
            <w:r>
              <w:rPr>
                <w:sz w:val="20"/>
              </w:rPr>
              <w:t xml:space="preserve">Создание респираторного центра</w:t>
            </w:r>
          </w:p>
        </w:tc>
        <w:tc>
          <w:tcPr>
            <w:tcW w:w="829" w:type="dxa"/>
          </w:tcPr>
          <w:p>
            <w:pPr>
              <w:pStyle w:val="0"/>
            </w:pPr>
            <w:r>
              <w:rPr>
                <w:sz w:val="20"/>
              </w:rPr>
              <w:t xml:space="preserve">1 января 2024 года</w:t>
            </w:r>
          </w:p>
        </w:tc>
        <w:tc>
          <w:tcPr>
            <w:tcW w:w="1204" w:type="dxa"/>
          </w:tcPr>
          <w:p>
            <w:pPr>
              <w:pStyle w:val="0"/>
            </w:pPr>
            <w:r>
              <w:rPr>
                <w:sz w:val="20"/>
              </w:rPr>
              <w:t xml:space="preserve">31 декабря 2024 года</w:t>
            </w:r>
          </w:p>
        </w:tc>
        <w:tc>
          <w:tcPr>
            <w:tcW w:w="1744" w:type="dxa"/>
          </w:tcPr>
          <w:p>
            <w:pPr>
              <w:pStyle w:val="0"/>
            </w:pPr>
            <w:r>
              <w:rPr>
                <w:sz w:val="20"/>
              </w:rPr>
              <w:t xml:space="preserve">Депздрав Югры</w:t>
            </w:r>
          </w:p>
        </w:tc>
        <w:tc>
          <w:tcPr>
            <w:tcW w:w="2224" w:type="dxa"/>
          </w:tcPr>
          <w:p>
            <w:pPr>
              <w:pStyle w:val="0"/>
            </w:pPr>
            <w:r>
              <w:rPr>
                <w:sz w:val="20"/>
              </w:rPr>
              <w:t xml:space="preserve">К окончанию 2024 года в автономном округе функционирует респираторный центр</w:t>
            </w:r>
          </w:p>
        </w:tc>
      </w:tr>
      <w:tr>
        <w:tc>
          <w:tcPr>
            <w:gridSpan w:val="6"/>
            <w:tcW w:w="9159" w:type="dxa"/>
          </w:tcPr>
          <w:p>
            <w:pPr>
              <w:pStyle w:val="0"/>
            </w:pPr>
            <w:r>
              <w:rPr>
                <w:sz w:val="20"/>
              </w:rPr>
              <w:t xml:space="preserve">2. Мероприятия по кадровому обеспечению медицинских организаций, оказывающих паллиативную медицинскую помощь</w:t>
            </w:r>
          </w:p>
        </w:tc>
      </w:tr>
      <w:tr>
        <w:tc>
          <w:tcPr>
            <w:tcW w:w="484" w:type="dxa"/>
          </w:tcPr>
          <w:p>
            <w:pPr>
              <w:pStyle w:val="0"/>
            </w:pPr>
            <w:r>
              <w:rPr>
                <w:sz w:val="20"/>
              </w:rPr>
              <w:t xml:space="preserve">2.1.</w:t>
            </w:r>
          </w:p>
        </w:tc>
        <w:tc>
          <w:tcPr>
            <w:tcW w:w="2674" w:type="dxa"/>
          </w:tcPr>
          <w:p>
            <w:pPr>
              <w:pStyle w:val="0"/>
            </w:pPr>
            <w:r>
              <w:rPr>
                <w:sz w:val="20"/>
              </w:rPr>
              <w:t xml:space="preserve">Обучение персонала фельдшерско-акушерских пунктов (далее - ФАП) и врачей общей практики (далее - ВОП) ПМП, применению наркотических лекарственных препаратов и психотропных лекарственных препаратов</w:t>
            </w:r>
          </w:p>
        </w:tc>
        <w:tc>
          <w:tcPr>
            <w:tcW w:w="829" w:type="dxa"/>
          </w:tcPr>
          <w:p>
            <w:pPr>
              <w:pStyle w:val="0"/>
            </w:pPr>
            <w:r>
              <w:rPr>
                <w:sz w:val="20"/>
              </w:rPr>
              <w:t xml:space="preserve">1 января 2023 года</w:t>
            </w:r>
          </w:p>
        </w:tc>
        <w:tc>
          <w:tcPr>
            <w:tcW w:w="1204" w:type="dxa"/>
          </w:tcPr>
          <w:p>
            <w:pPr>
              <w:pStyle w:val="0"/>
            </w:pPr>
            <w:r>
              <w:rPr>
                <w:sz w:val="20"/>
              </w:rPr>
              <w:t xml:space="preserve">31 декабря 2024 года</w:t>
            </w:r>
          </w:p>
        </w:tc>
        <w:tc>
          <w:tcPr>
            <w:tcW w:w="1744" w:type="dxa"/>
          </w:tcPr>
          <w:p>
            <w:pPr>
              <w:pStyle w:val="0"/>
            </w:pPr>
            <w:r>
              <w:rPr>
                <w:sz w:val="20"/>
              </w:rPr>
              <w:t xml:space="preserve">Депздрав Югры</w:t>
            </w:r>
          </w:p>
        </w:tc>
        <w:tc>
          <w:tcPr>
            <w:tcW w:w="2224" w:type="dxa"/>
          </w:tcPr>
          <w:p>
            <w:pPr>
              <w:pStyle w:val="0"/>
            </w:pPr>
            <w:r>
              <w:rPr>
                <w:sz w:val="20"/>
              </w:rPr>
              <w:t xml:space="preserve">К окончанию 2024 года:</w:t>
            </w:r>
          </w:p>
          <w:p>
            <w:pPr>
              <w:pStyle w:val="0"/>
            </w:pPr>
            <w:r>
              <w:rPr>
                <w:sz w:val="20"/>
              </w:rPr>
              <w:t xml:space="preserve">обучено 75% персонала ФАП;</w:t>
            </w:r>
          </w:p>
          <w:p>
            <w:pPr>
              <w:pStyle w:val="0"/>
            </w:pPr>
            <w:r>
              <w:rPr>
                <w:sz w:val="20"/>
              </w:rPr>
              <w:t xml:space="preserve">обучено 75% персонала ВОП</w:t>
            </w:r>
          </w:p>
        </w:tc>
      </w:tr>
      <w:tr>
        <w:tc>
          <w:tcPr>
            <w:tcW w:w="484" w:type="dxa"/>
          </w:tcPr>
          <w:p>
            <w:pPr>
              <w:pStyle w:val="0"/>
            </w:pPr>
            <w:r>
              <w:rPr>
                <w:sz w:val="20"/>
              </w:rPr>
              <w:t xml:space="preserve">2.2.</w:t>
            </w:r>
          </w:p>
        </w:tc>
        <w:tc>
          <w:tcPr>
            <w:tcW w:w="2674" w:type="dxa"/>
          </w:tcPr>
          <w:p>
            <w:pPr>
              <w:pStyle w:val="0"/>
            </w:pPr>
            <w:r>
              <w:rPr>
                <w:sz w:val="20"/>
              </w:rPr>
              <w:t xml:space="preserve">Укомплектование кадрами медицинских организаций, оказывающих специализированную ПМП</w:t>
            </w:r>
          </w:p>
        </w:tc>
        <w:tc>
          <w:tcPr>
            <w:tcW w:w="829" w:type="dxa"/>
          </w:tcPr>
          <w:p>
            <w:pPr>
              <w:pStyle w:val="0"/>
            </w:pPr>
            <w:r>
              <w:rPr>
                <w:sz w:val="20"/>
              </w:rPr>
              <w:t xml:space="preserve">1 января 2023 года</w:t>
            </w:r>
          </w:p>
        </w:tc>
        <w:tc>
          <w:tcPr>
            <w:tcW w:w="1204" w:type="dxa"/>
          </w:tcPr>
          <w:p>
            <w:pPr>
              <w:pStyle w:val="0"/>
            </w:pPr>
            <w:r>
              <w:rPr>
                <w:sz w:val="20"/>
              </w:rPr>
              <w:t xml:space="preserve">31 декабря 2024 года</w:t>
            </w:r>
          </w:p>
        </w:tc>
        <w:tc>
          <w:tcPr>
            <w:tcW w:w="1744" w:type="dxa"/>
          </w:tcPr>
          <w:p>
            <w:pPr>
              <w:pStyle w:val="0"/>
            </w:pPr>
            <w:r>
              <w:rPr>
                <w:sz w:val="20"/>
              </w:rPr>
              <w:t xml:space="preserve">Депздрав Югры</w:t>
            </w:r>
          </w:p>
        </w:tc>
        <w:tc>
          <w:tcPr>
            <w:tcW w:w="2224" w:type="dxa"/>
          </w:tcPr>
          <w:p>
            <w:pPr>
              <w:pStyle w:val="0"/>
            </w:pPr>
            <w:r>
              <w:rPr>
                <w:sz w:val="20"/>
              </w:rPr>
              <w:t xml:space="preserve">К окончанию 2024 года 100% укомплектованность кадрами медицинских организаций, оказывающих ПМП</w:t>
            </w:r>
          </w:p>
        </w:tc>
      </w:tr>
      <w:tr>
        <w:tc>
          <w:tcPr>
            <w:gridSpan w:val="6"/>
            <w:tcW w:w="9159" w:type="dxa"/>
          </w:tcPr>
          <w:p>
            <w:pPr>
              <w:pStyle w:val="0"/>
            </w:pPr>
            <w:r>
              <w:rPr>
                <w:sz w:val="20"/>
              </w:rPr>
              <w:t xml:space="preserve">3. Мероприятия по повышению качества и доступности обезболивания, в том числе повышение доступности лекарственных препаратов для лечения болевого синдрома</w:t>
            </w:r>
          </w:p>
        </w:tc>
      </w:tr>
      <w:tr>
        <w:tc>
          <w:tcPr>
            <w:tcW w:w="484" w:type="dxa"/>
          </w:tcPr>
          <w:p>
            <w:pPr>
              <w:pStyle w:val="0"/>
            </w:pPr>
            <w:r>
              <w:rPr>
                <w:sz w:val="20"/>
              </w:rPr>
              <w:t xml:space="preserve">3.1.</w:t>
            </w:r>
          </w:p>
        </w:tc>
        <w:tc>
          <w:tcPr>
            <w:tcW w:w="2674" w:type="dxa"/>
          </w:tcPr>
          <w:p>
            <w:pPr>
              <w:pStyle w:val="0"/>
            </w:pPr>
            <w:r>
              <w:rPr>
                <w:sz w:val="20"/>
              </w:rPr>
              <w:t xml:space="preserve">Обеспечение наличия в автономном округе аптечных организаций (в том числе в структуре медицинских организаций), осуществляющих изготовление неинвазивных форм наркотических и психотропных лекарственных препаратов</w:t>
            </w:r>
          </w:p>
        </w:tc>
        <w:tc>
          <w:tcPr>
            <w:tcW w:w="829" w:type="dxa"/>
          </w:tcPr>
          <w:p>
            <w:pPr>
              <w:pStyle w:val="0"/>
            </w:pPr>
            <w:r>
              <w:rPr>
                <w:sz w:val="20"/>
              </w:rPr>
              <w:t xml:space="preserve">1 января 2023 года</w:t>
            </w:r>
          </w:p>
        </w:tc>
        <w:tc>
          <w:tcPr>
            <w:tcW w:w="1204" w:type="dxa"/>
          </w:tcPr>
          <w:p>
            <w:pPr>
              <w:pStyle w:val="0"/>
            </w:pPr>
            <w:r>
              <w:rPr>
                <w:sz w:val="20"/>
              </w:rPr>
              <w:t xml:space="preserve">31 декабря 2024 года</w:t>
            </w:r>
          </w:p>
        </w:tc>
        <w:tc>
          <w:tcPr>
            <w:tcW w:w="1744" w:type="dxa"/>
          </w:tcPr>
          <w:p>
            <w:pPr>
              <w:pStyle w:val="0"/>
            </w:pPr>
            <w:r>
              <w:rPr>
                <w:sz w:val="20"/>
              </w:rPr>
              <w:t xml:space="preserve">Депздрав Югры</w:t>
            </w:r>
          </w:p>
        </w:tc>
        <w:tc>
          <w:tcPr>
            <w:tcW w:w="2224" w:type="dxa"/>
          </w:tcPr>
          <w:p>
            <w:pPr>
              <w:pStyle w:val="0"/>
            </w:pPr>
            <w:r>
              <w:rPr>
                <w:sz w:val="20"/>
              </w:rPr>
              <w:t xml:space="preserve">К окончанию 2024 года функционирует не менее 2 аптечных организаций, осуществляющих изготовление наркотических и психотропных лекарственных препаратов</w:t>
            </w:r>
          </w:p>
        </w:tc>
      </w:tr>
      <w:tr>
        <w:tc>
          <w:tcPr>
            <w:tcW w:w="484" w:type="dxa"/>
          </w:tcPr>
          <w:p>
            <w:pPr>
              <w:pStyle w:val="0"/>
            </w:pPr>
            <w:r>
              <w:rPr>
                <w:sz w:val="20"/>
              </w:rPr>
              <w:t xml:space="preserve">3.2.</w:t>
            </w:r>
          </w:p>
        </w:tc>
        <w:tc>
          <w:tcPr>
            <w:tcW w:w="2674" w:type="dxa"/>
          </w:tcPr>
          <w:p>
            <w:pPr>
              <w:pStyle w:val="0"/>
            </w:pPr>
            <w:r>
              <w:rPr>
                <w:sz w:val="20"/>
              </w:rPr>
              <w:t xml:space="preserve">Создание в каждом муниципальном образовании автономного округа точки отпуска (в аптечных или медицинских организациях) физическим лицам наркотических и психотропных лекарственных препаратов, имеющих соответствующие лицензии</w:t>
            </w:r>
          </w:p>
        </w:tc>
        <w:tc>
          <w:tcPr>
            <w:tcW w:w="829" w:type="dxa"/>
          </w:tcPr>
          <w:p>
            <w:pPr>
              <w:pStyle w:val="0"/>
            </w:pPr>
            <w:r>
              <w:rPr>
                <w:sz w:val="20"/>
              </w:rPr>
              <w:t xml:space="preserve">1 января 2023 года</w:t>
            </w:r>
          </w:p>
        </w:tc>
        <w:tc>
          <w:tcPr>
            <w:tcW w:w="1204" w:type="dxa"/>
          </w:tcPr>
          <w:p>
            <w:pPr>
              <w:pStyle w:val="0"/>
            </w:pPr>
            <w:r>
              <w:rPr>
                <w:sz w:val="20"/>
              </w:rPr>
              <w:t xml:space="preserve">31 декабря 2024 года</w:t>
            </w:r>
          </w:p>
        </w:tc>
        <w:tc>
          <w:tcPr>
            <w:tcW w:w="1744" w:type="dxa"/>
          </w:tcPr>
          <w:p>
            <w:pPr>
              <w:pStyle w:val="0"/>
            </w:pPr>
            <w:r>
              <w:rPr>
                <w:sz w:val="20"/>
              </w:rPr>
              <w:t xml:space="preserve">Депздрав Югры</w:t>
            </w:r>
          </w:p>
        </w:tc>
        <w:tc>
          <w:tcPr>
            <w:tcW w:w="2224" w:type="dxa"/>
          </w:tcPr>
          <w:p>
            <w:pPr>
              <w:pStyle w:val="0"/>
            </w:pPr>
            <w:r>
              <w:rPr>
                <w:sz w:val="20"/>
              </w:rPr>
              <w:t xml:space="preserve">К окончанию 2024 года организовано не менее 36 точек отпуска наркотических и психотропных лекарственных препаратов, имеющих соответствующие лицензии, предусмотренные законодательством Российской Федерации</w:t>
            </w:r>
          </w:p>
        </w:tc>
      </w:tr>
      <w:tr>
        <w:tc>
          <w:tcPr>
            <w:tcW w:w="484" w:type="dxa"/>
          </w:tcPr>
          <w:p>
            <w:pPr>
              <w:pStyle w:val="0"/>
            </w:pPr>
            <w:r>
              <w:rPr>
                <w:sz w:val="20"/>
              </w:rPr>
              <w:t xml:space="preserve">3.3.</w:t>
            </w:r>
          </w:p>
        </w:tc>
        <w:tc>
          <w:tcPr>
            <w:tcW w:w="2674" w:type="dxa"/>
          </w:tcPr>
          <w:p>
            <w:pPr>
              <w:pStyle w:val="0"/>
            </w:pPr>
            <w:r>
              <w:rPr>
                <w:sz w:val="20"/>
              </w:rPr>
              <w:t xml:space="preserve">Обеспечение 100% выборки от заявленных объемов наркотических и психотропных лекарственных препаратов в соответствии с заявленной потребностью равномерно в течение года</w:t>
            </w:r>
          </w:p>
        </w:tc>
        <w:tc>
          <w:tcPr>
            <w:tcW w:w="829" w:type="dxa"/>
          </w:tcPr>
          <w:p>
            <w:pPr>
              <w:pStyle w:val="0"/>
            </w:pPr>
            <w:r>
              <w:rPr>
                <w:sz w:val="20"/>
              </w:rPr>
              <w:t xml:space="preserve">1 января 2023 года</w:t>
            </w:r>
          </w:p>
        </w:tc>
        <w:tc>
          <w:tcPr>
            <w:tcW w:w="1204" w:type="dxa"/>
          </w:tcPr>
          <w:p>
            <w:pPr>
              <w:pStyle w:val="0"/>
            </w:pPr>
            <w:r>
              <w:rPr>
                <w:sz w:val="20"/>
              </w:rPr>
              <w:t xml:space="preserve">31 декабря 2024 года</w:t>
            </w:r>
          </w:p>
        </w:tc>
        <w:tc>
          <w:tcPr>
            <w:tcW w:w="1744" w:type="dxa"/>
          </w:tcPr>
          <w:p>
            <w:pPr>
              <w:pStyle w:val="0"/>
            </w:pPr>
            <w:r>
              <w:rPr>
                <w:sz w:val="20"/>
              </w:rPr>
              <w:t xml:space="preserve">Депздрав Югры</w:t>
            </w:r>
          </w:p>
        </w:tc>
        <w:tc>
          <w:tcPr>
            <w:tcW w:w="2224" w:type="dxa"/>
          </w:tcPr>
          <w:p>
            <w:pPr>
              <w:pStyle w:val="0"/>
            </w:pPr>
            <w:r>
              <w:rPr>
                <w:sz w:val="20"/>
              </w:rPr>
              <w:t xml:space="preserve">К окончанию 2024 года ежегодное обеспечение 100% выборки наркотических и психотропных лекарственных препаратов в соответствии с заявленной потребностью в течение года</w:t>
            </w:r>
          </w:p>
        </w:tc>
      </w:tr>
      <w:tr>
        <w:tc>
          <w:tcPr>
            <w:tcW w:w="484" w:type="dxa"/>
          </w:tcPr>
          <w:p>
            <w:pPr>
              <w:pStyle w:val="0"/>
            </w:pPr>
            <w:r>
              <w:rPr>
                <w:sz w:val="20"/>
              </w:rPr>
              <w:t xml:space="preserve">3.4.</w:t>
            </w:r>
          </w:p>
        </w:tc>
        <w:tc>
          <w:tcPr>
            <w:tcW w:w="2674" w:type="dxa"/>
          </w:tcPr>
          <w:p>
            <w:pPr>
              <w:pStyle w:val="0"/>
            </w:pPr>
            <w:r>
              <w:rPr>
                <w:sz w:val="20"/>
              </w:rPr>
              <w:t xml:space="preserve">Создание в медицинских организациях, оказывающих ПМП, системы контроля эффективности лечения болевого синдрома</w:t>
            </w:r>
          </w:p>
        </w:tc>
        <w:tc>
          <w:tcPr>
            <w:tcW w:w="829" w:type="dxa"/>
          </w:tcPr>
          <w:p>
            <w:pPr>
              <w:pStyle w:val="0"/>
            </w:pPr>
            <w:r>
              <w:rPr>
                <w:sz w:val="20"/>
              </w:rPr>
              <w:t xml:space="preserve">1 января 2023 года</w:t>
            </w:r>
          </w:p>
        </w:tc>
        <w:tc>
          <w:tcPr>
            <w:tcW w:w="1204" w:type="dxa"/>
          </w:tcPr>
          <w:p>
            <w:pPr>
              <w:pStyle w:val="0"/>
            </w:pPr>
            <w:r>
              <w:rPr>
                <w:sz w:val="20"/>
              </w:rPr>
              <w:t xml:space="preserve">31 декабря 2024 года</w:t>
            </w:r>
          </w:p>
        </w:tc>
        <w:tc>
          <w:tcPr>
            <w:tcW w:w="1744" w:type="dxa"/>
          </w:tcPr>
          <w:p>
            <w:pPr>
              <w:pStyle w:val="0"/>
            </w:pPr>
            <w:r>
              <w:rPr>
                <w:sz w:val="20"/>
              </w:rPr>
              <w:t xml:space="preserve">Депздрав Югры</w:t>
            </w:r>
          </w:p>
        </w:tc>
        <w:tc>
          <w:tcPr>
            <w:tcW w:w="2224" w:type="dxa"/>
          </w:tcPr>
          <w:p>
            <w:pPr>
              <w:pStyle w:val="0"/>
            </w:pPr>
            <w:r>
              <w:rPr>
                <w:sz w:val="20"/>
              </w:rPr>
              <w:t xml:space="preserve">К 2024 году в автономном округе функционирует система контроля эффективности лечения болевого синдрома</w:t>
            </w:r>
          </w:p>
        </w:tc>
      </w:tr>
      <w:tr>
        <w:tc>
          <w:tcPr>
            <w:tcW w:w="484" w:type="dxa"/>
          </w:tcPr>
          <w:p>
            <w:pPr>
              <w:pStyle w:val="0"/>
            </w:pPr>
            <w:r>
              <w:rPr>
                <w:sz w:val="20"/>
              </w:rPr>
              <w:t xml:space="preserve">3.5.</w:t>
            </w:r>
          </w:p>
        </w:tc>
        <w:tc>
          <w:tcPr>
            <w:tcW w:w="2674" w:type="dxa"/>
          </w:tcPr>
          <w:p>
            <w:pPr>
              <w:pStyle w:val="0"/>
            </w:pPr>
            <w:r>
              <w:rPr>
                <w:sz w:val="20"/>
              </w:rPr>
              <w:t xml:space="preserve">Создание протоколов применения современных способов анальгетической терапии с расширением возможностей интервенционного лечения, продленных регионарных и системных методик, расширение способов доставки анальгетика</w:t>
            </w:r>
          </w:p>
        </w:tc>
        <w:tc>
          <w:tcPr>
            <w:tcW w:w="829" w:type="dxa"/>
          </w:tcPr>
          <w:p>
            <w:pPr>
              <w:pStyle w:val="0"/>
            </w:pPr>
            <w:r>
              <w:rPr>
                <w:sz w:val="20"/>
              </w:rPr>
              <w:t xml:space="preserve">1 января 2023 года</w:t>
            </w:r>
          </w:p>
        </w:tc>
        <w:tc>
          <w:tcPr>
            <w:tcW w:w="1204" w:type="dxa"/>
          </w:tcPr>
          <w:p>
            <w:pPr>
              <w:pStyle w:val="0"/>
            </w:pPr>
            <w:r>
              <w:rPr>
                <w:sz w:val="20"/>
              </w:rPr>
              <w:t xml:space="preserve">31 декабря 2024 года</w:t>
            </w:r>
          </w:p>
        </w:tc>
        <w:tc>
          <w:tcPr>
            <w:tcW w:w="1744" w:type="dxa"/>
          </w:tcPr>
          <w:p>
            <w:pPr>
              <w:pStyle w:val="0"/>
            </w:pPr>
            <w:r>
              <w:rPr>
                <w:sz w:val="20"/>
              </w:rPr>
              <w:t xml:space="preserve">Депздрав Югры</w:t>
            </w:r>
          </w:p>
        </w:tc>
        <w:tc>
          <w:tcPr>
            <w:tcW w:w="2224" w:type="dxa"/>
          </w:tcPr>
          <w:p>
            <w:pPr>
              <w:pStyle w:val="0"/>
            </w:pPr>
            <w:r>
              <w:rPr>
                <w:sz w:val="20"/>
              </w:rPr>
              <w:t xml:space="preserve">К 2024 году утверждены и внедрены соответствующие правовые акты Депздрава Югры</w:t>
            </w:r>
          </w:p>
        </w:tc>
      </w:tr>
      <w:tr>
        <w:tc>
          <w:tcPr>
            <w:tcW w:w="484" w:type="dxa"/>
          </w:tcPr>
          <w:p>
            <w:pPr>
              <w:pStyle w:val="0"/>
            </w:pPr>
            <w:r>
              <w:rPr>
                <w:sz w:val="20"/>
              </w:rPr>
              <w:t xml:space="preserve">3.6.</w:t>
            </w:r>
          </w:p>
        </w:tc>
        <w:tc>
          <w:tcPr>
            <w:tcW w:w="2674" w:type="dxa"/>
          </w:tcPr>
          <w:p>
            <w:pPr>
              <w:pStyle w:val="0"/>
            </w:pPr>
            <w:r>
              <w:rPr>
                <w:sz w:val="20"/>
              </w:rPr>
              <w:t xml:space="preserve">Создание в каждой медицинской организации автономного округа, оказывающей ПМП, протоколов оценки побочных эффектов применения опиоидных анальгетиков и их снижения</w:t>
            </w:r>
          </w:p>
        </w:tc>
        <w:tc>
          <w:tcPr>
            <w:tcW w:w="829" w:type="dxa"/>
          </w:tcPr>
          <w:p>
            <w:pPr>
              <w:pStyle w:val="0"/>
            </w:pPr>
            <w:r>
              <w:rPr>
                <w:sz w:val="20"/>
              </w:rPr>
              <w:t xml:space="preserve">1 января 2023 года</w:t>
            </w:r>
          </w:p>
        </w:tc>
        <w:tc>
          <w:tcPr>
            <w:tcW w:w="1204" w:type="dxa"/>
          </w:tcPr>
          <w:p>
            <w:pPr>
              <w:pStyle w:val="0"/>
            </w:pPr>
            <w:r>
              <w:rPr>
                <w:sz w:val="20"/>
              </w:rPr>
              <w:t xml:space="preserve">31 декабря 2024 года</w:t>
            </w:r>
          </w:p>
        </w:tc>
        <w:tc>
          <w:tcPr>
            <w:tcW w:w="1744" w:type="dxa"/>
          </w:tcPr>
          <w:p>
            <w:pPr>
              <w:pStyle w:val="0"/>
            </w:pPr>
            <w:r>
              <w:rPr>
                <w:sz w:val="20"/>
              </w:rPr>
              <w:t xml:space="preserve">Депздрав Югры</w:t>
            </w:r>
          </w:p>
        </w:tc>
        <w:tc>
          <w:tcPr>
            <w:tcW w:w="2224" w:type="dxa"/>
          </w:tcPr>
          <w:p>
            <w:pPr>
              <w:pStyle w:val="0"/>
            </w:pPr>
            <w:r>
              <w:rPr>
                <w:sz w:val="20"/>
              </w:rPr>
              <w:t xml:space="preserve">Утверждены и внедрены соответствующие правовые акты Депздрава Югры</w:t>
            </w:r>
          </w:p>
        </w:tc>
      </w:tr>
      <w:tr>
        <w:tc>
          <w:tcPr>
            <w:gridSpan w:val="6"/>
            <w:tcW w:w="9159" w:type="dxa"/>
          </w:tcPr>
          <w:p>
            <w:pPr>
              <w:pStyle w:val="0"/>
            </w:pPr>
            <w:r>
              <w:rPr>
                <w:sz w:val="20"/>
              </w:rPr>
              <w:t xml:space="preserve">4. Мероприятия по совершенствованию внутреннего контроля качества оказания ПМП</w:t>
            </w:r>
          </w:p>
        </w:tc>
      </w:tr>
      <w:tr>
        <w:tc>
          <w:tcPr>
            <w:tcW w:w="484" w:type="dxa"/>
          </w:tcPr>
          <w:p>
            <w:pPr>
              <w:pStyle w:val="0"/>
            </w:pPr>
            <w:r>
              <w:rPr>
                <w:sz w:val="20"/>
              </w:rPr>
              <w:t xml:space="preserve">4.1.</w:t>
            </w:r>
          </w:p>
        </w:tc>
        <w:tc>
          <w:tcPr>
            <w:tcW w:w="2674" w:type="dxa"/>
          </w:tcPr>
          <w:p>
            <w:pPr>
              <w:pStyle w:val="0"/>
            </w:pPr>
            <w:r>
              <w:rPr>
                <w:sz w:val="20"/>
              </w:rPr>
              <w:t xml:space="preserve">Создание системы внутреннего контроля качества медицинской помощи пациентам при оказании ПМП на основе критериев качества медицинской помощи и клинических рекомендаций</w:t>
            </w:r>
          </w:p>
        </w:tc>
        <w:tc>
          <w:tcPr>
            <w:tcW w:w="829" w:type="dxa"/>
          </w:tcPr>
          <w:p>
            <w:pPr>
              <w:pStyle w:val="0"/>
            </w:pPr>
            <w:r>
              <w:rPr>
                <w:sz w:val="20"/>
              </w:rPr>
              <w:t xml:space="preserve">1 января 2023 года</w:t>
            </w:r>
          </w:p>
        </w:tc>
        <w:tc>
          <w:tcPr>
            <w:tcW w:w="1204" w:type="dxa"/>
          </w:tcPr>
          <w:p>
            <w:pPr>
              <w:pStyle w:val="0"/>
            </w:pPr>
            <w:r>
              <w:rPr>
                <w:sz w:val="20"/>
              </w:rPr>
              <w:t xml:space="preserve">31 декабря 2024 года</w:t>
            </w:r>
          </w:p>
        </w:tc>
        <w:tc>
          <w:tcPr>
            <w:tcW w:w="1744" w:type="dxa"/>
          </w:tcPr>
          <w:p>
            <w:pPr>
              <w:pStyle w:val="0"/>
            </w:pPr>
            <w:r>
              <w:rPr>
                <w:sz w:val="20"/>
              </w:rPr>
              <w:t xml:space="preserve">Депздрав Югры</w:t>
            </w:r>
          </w:p>
        </w:tc>
        <w:tc>
          <w:tcPr>
            <w:tcW w:w="2224" w:type="dxa"/>
          </w:tcPr>
          <w:p>
            <w:pPr>
              <w:pStyle w:val="0"/>
            </w:pPr>
            <w:r>
              <w:rPr>
                <w:sz w:val="20"/>
              </w:rPr>
              <w:t xml:space="preserve">К 2024 году система внутреннего контроля качества, основанная на клинических рекомендациях, функционирует во всех медицинский организациях, оказывающих ПМП</w:t>
            </w:r>
          </w:p>
        </w:tc>
      </w:tr>
    </w:tbl>
    <w:p>
      <w:pPr>
        <w:pStyle w:val="0"/>
        <w:jc w:val="right"/>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6</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pPr>
      <w:r>
        <w:rPr>
          <w:sz w:val="20"/>
        </w:rPr>
      </w:r>
    </w:p>
    <w:bookmarkStart w:id="21316" w:name="P21316"/>
    <w:bookmarkEnd w:id="21316"/>
    <w:p>
      <w:pPr>
        <w:pStyle w:val="2"/>
        <w:jc w:val="center"/>
      </w:pPr>
      <w:r>
        <w:rPr>
          <w:sz w:val="20"/>
        </w:rPr>
        <w:t xml:space="preserve">ПРОГРАММА</w:t>
      </w:r>
    </w:p>
    <w:p>
      <w:pPr>
        <w:pStyle w:val="2"/>
        <w:jc w:val="center"/>
      </w:pPr>
      <w:r>
        <w:rPr>
          <w:sz w:val="20"/>
        </w:rPr>
        <w:t xml:space="preserve">ХАНТЫ-МАНСИЙСКОГО АВТОНОМНОГО ОКРУГА - ЮГРЫ "РАЗВИТИЕ</w:t>
      </w:r>
    </w:p>
    <w:p>
      <w:pPr>
        <w:pStyle w:val="2"/>
        <w:jc w:val="center"/>
      </w:pPr>
      <w:r>
        <w:rPr>
          <w:sz w:val="20"/>
        </w:rPr>
        <w:t xml:space="preserve">СИСТЕМЫ ОКАЗАНИЯ ГЕРИАТРИЧЕСКОЙ МЕДИЦИНСКОЙ ПОМОЩИ"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75" w:tooltip="Постановление Правительства ХМАО - Югры от 11.08.2023 N 398-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постановления</w:t>
              </w:r>
            </w:hyperlink>
            <w:r>
              <w:rPr>
                <w:sz w:val="20"/>
                <w:color w:val="392c69"/>
              </w:rPr>
              <w:t xml:space="preserve"> Правительства ХМАО - Югры от 11.08.2023 N 398-п)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2"/>
        <w:outlineLvl w:val="1"/>
        <w:jc w:val="center"/>
      </w:pPr>
      <w:r>
        <w:rPr>
          <w:sz w:val="20"/>
        </w:rPr>
        <w:t xml:space="preserve">Раздел I. ВВЕДЕНИЕ</w:t>
      </w:r>
    </w:p>
    <w:p>
      <w:pPr>
        <w:pStyle w:val="0"/>
        <w:jc w:val="center"/>
      </w:pPr>
      <w:r>
        <w:rPr>
          <w:sz w:val="20"/>
        </w:rPr>
      </w:r>
    </w:p>
    <w:p>
      <w:pPr>
        <w:pStyle w:val="0"/>
        <w:ind w:firstLine="540"/>
        <w:jc w:val="both"/>
      </w:pPr>
      <w:r>
        <w:rPr>
          <w:sz w:val="20"/>
        </w:rPr>
        <w:t xml:space="preserve">Программа Ханты-Мансийского автономного округа - Югры "Развитие системы оказания гериатрической медицинской помощи" (далее - Региональная программа, автономный округ) разработана в соответствии со </w:t>
      </w:r>
      <w:hyperlink w:history="0" r:id="rId176"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статьей 36</w:t>
        </w:r>
      </w:hyperlink>
      <w:r>
        <w:rPr>
          <w:sz w:val="20"/>
        </w:rPr>
        <w:t xml:space="preserve"> Федерального закона от 21 ноября 2011 года N 323-ФЗ "Об основах охраны здоровья граждан в Российской Федерации", </w:t>
      </w:r>
      <w:hyperlink w:history="0" r:id="rId177" w:tooltip="Приказ Минздрава России от 29.01.2016 N 38н (ред. от 21.02.2020) &quot;Об утверждении Порядка оказания медицинской помощи по профилю &quot;гериатрия&quot; (Зарегистрировано в Минюсте России 14.03.2016 N 41405) {КонсультантПлюс}">
        <w:r>
          <w:rPr>
            <w:sz w:val="20"/>
            <w:color w:val="0000ff"/>
          </w:rPr>
          <w:t xml:space="preserve">приказом</w:t>
        </w:r>
      </w:hyperlink>
      <w:r>
        <w:rPr>
          <w:sz w:val="20"/>
        </w:rPr>
        <w:t xml:space="preserve"> Министерства здравоохранения Российской Федерации (далее - Минздрав России) от 29 января 2016 года N 38н "Об утверждении Порядка оказания медицинской помощи по профилю "гериатрия", </w:t>
      </w:r>
      <w:hyperlink w:history="0" r:id="rId178" w:tooltip="Приказ Минтруда России от 12.04.2019 N 242 &quot;Об утверждении рекомендаций по повышению эффективности мероприятий региональных программ, направленных на укрепление здоровья, увеличение периода активного долголетия и продолжительности здоровой жизни граждан старшего поколения&quot; {КонсультантПлюс}">
        <w:r>
          <w:rPr>
            <w:sz w:val="20"/>
            <w:color w:val="0000ff"/>
          </w:rPr>
          <w:t xml:space="preserve">приказом</w:t>
        </w:r>
      </w:hyperlink>
      <w:r>
        <w:rPr>
          <w:sz w:val="20"/>
        </w:rPr>
        <w:t xml:space="preserve"> Министерства труда и социальной защиты Российской Федерации от 12 апреля 2019 года N 242 "Об утверждении рекомендаций по повышению эффективности мероприятий региональных программ, направленных на укрепление здоровья, увеличение периода активного долголетия и продолжительности здоровой жизни граждан старшего поколения".</w:t>
      </w:r>
    </w:p>
    <w:p>
      <w:pPr>
        <w:pStyle w:val="0"/>
        <w:spacing w:before="200" w:line-rule="auto"/>
        <w:ind w:firstLine="540"/>
        <w:jc w:val="both"/>
      </w:pPr>
      <w:r>
        <w:rPr>
          <w:sz w:val="20"/>
        </w:rPr>
        <w:t xml:space="preserve">Региональная программа направлена на совершенствование системы охраны здоровья граждан старшего поколения, включая развитие гериатрической медицинской помощи (далее - ГМП), в целях укрепления здоровья, увеличения периода активного долголетия и продолжительности здоровой жизни граждан старшего поколения.</w:t>
      </w:r>
    </w:p>
    <w:p>
      <w:pPr>
        <w:pStyle w:val="0"/>
        <w:ind w:firstLine="540"/>
        <w:jc w:val="both"/>
      </w:pPr>
      <w:r>
        <w:rPr>
          <w:sz w:val="20"/>
        </w:rPr>
      </w:r>
    </w:p>
    <w:p>
      <w:pPr>
        <w:pStyle w:val="2"/>
        <w:outlineLvl w:val="2"/>
        <w:jc w:val="center"/>
      </w:pPr>
      <w:r>
        <w:rPr>
          <w:sz w:val="20"/>
        </w:rPr>
        <w:t xml:space="preserve">1.1. Цель и задачи Региональной программы</w:t>
      </w:r>
    </w:p>
    <w:p>
      <w:pPr>
        <w:pStyle w:val="0"/>
        <w:ind w:firstLine="540"/>
        <w:jc w:val="both"/>
      </w:pPr>
      <w:r>
        <w:rPr>
          <w:sz w:val="20"/>
        </w:rPr>
      </w:r>
    </w:p>
    <w:p>
      <w:pPr>
        <w:pStyle w:val="0"/>
        <w:ind w:firstLine="540"/>
        <w:jc w:val="both"/>
      </w:pPr>
      <w:r>
        <w:rPr>
          <w:sz w:val="20"/>
        </w:rPr>
        <w:t xml:space="preserve">Целью Региональной программы является повышение доступности и качества оказания ГМП, а также рост удовлетворенности пациентов уровнем оказания ГМП.</w:t>
      </w:r>
    </w:p>
    <w:p>
      <w:pPr>
        <w:pStyle w:val="0"/>
        <w:spacing w:before="200" w:line-rule="auto"/>
        <w:ind w:firstLine="540"/>
        <w:jc w:val="both"/>
      </w:pPr>
      <w:r>
        <w:rPr>
          <w:sz w:val="20"/>
        </w:rPr>
        <w:t xml:space="preserve">Задачи Региональной программы:</w:t>
      </w:r>
    </w:p>
    <w:p>
      <w:pPr>
        <w:pStyle w:val="0"/>
        <w:spacing w:before="200" w:line-rule="auto"/>
        <w:ind w:firstLine="540"/>
        <w:jc w:val="both"/>
      </w:pPr>
      <w:r>
        <w:rPr>
          <w:sz w:val="20"/>
        </w:rPr>
        <w:t xml:space="preserve">совершенствование нормативно-правового регулирования организации оказания ГМП в автономном округе;</w:t>
      </w:r>
    </w:p>
    <w:p>
      <w:pPr>
        <w:pStyle w:val="0"/>
        <w:spacing w:before="200" w:line-rule="auto"/>
        <w:ind w:firstLine="540"/>
        <w:jc w:val="both"/>
      </w:pPr>
      <w:r>
        <w:rPr>
          <w:sz w:val="20"/>
        </w:rPr>
        <w:t xml:space="preserve">укрепление и развитие материально-технической базы действующих структурных подразделений медицинских организаций, оказывающих ГМП;</w:t>
      </w:r>
    </w:p>
    <w:p>
      <w:pPr>
        <w:pStyle w:val="0"/>
        <w:spacing w:before="200" w:line-rule="auto"/>
        <w:ind w:firstLine="540"/>
        <w:jc w:val="both"/>
      </w:pPr>
      <w:r>
        <w:rPr>
          <w:sz w:val="20"/>
        </w:rPr>
        <w:t xml:space="preserve">развитие и совершенствование медицинской помощи пациентам, нуждающимся в ГМП в амбулаторных условиях, в том числе на дому, в условиях круглосуточного стационара, обеспечение преемственности и мультидисциплинарного подхода в оказании ГМП;</w:t>
      </w:r>
    </w:p>
    <w:p>
      <w:pPr>
        <w:pStyle w:val="0"/>
        <w:spacing w:before="200" w:line-rule="auto"/>
        <w:ind w:firstLine="540"/>
        <w:jc w:val="both"/>
      </w:pPr>
      <w:r>
        <w:rPr>
          <w:sz w:val="20"/>
        </w:rPr>
        <w:t xml:space="preserve">обеспечение исполнения врачами-специалистами, средним медицинским персоналом клинических рекомендаций и протоколов ведения пациентов, нуждающихся в ГМП, установленных в рубрикаторе клинических рекомендаций, размещенном на сайте http://cr.rosmiNzdrav.ru;</w:t>
      </w:r>
    </w:p>
    <w:p>
      <w:pPr>
        <w:pStyle w:val="0"/>
        <w:spacing w:before="200" w:line-rule="auto"/>
        <w:ind w:firstLine="540"/>
        <w:jc w:val="both"/>
      </w:pPr>
      <w:r>
        <w:rPr>
          <w:sz w:val="20"/>
        </w:rPr>
        <w:t xml:space="preserve">формирование системы внешнего и внутреннего контроля качества оказания ГМП;</w:t>
      </w:r>
    </w:p>
    <w:p>
      <w:pPr>
        <w:pStyle w:val="0"/>
        <w:spacing w:before="200" w:line-rule="auto"/>
        <w:ind w:firstLine="540"/>
        <w:jc w:val="both"/>
      </w:pPr>
      <w:r>
        <w:rPr>
          <w:sz w:val="20"/>
        </w:rPr>
        <w:t xml:space="preserve">внедрение информационных технологий в работу служб ГМП и их интеграция в систему медицинских организаций автономного округа;</w:t>
      </w:r>
    </w:p>
    <w:p>
      <w:pPr>
        <w:pStyle w:val="0"/>
        <w:spacing w:before="200" w:line-rule="auto"/>
        <w:ind w:firstLine="540"/>
        <w:jc w:val="both"/>
      </w:pPr>
      <w:r>
        <w:rPr>
          <w:sz w:val="20"/>
        </w:rPr>
        <w:t xml:space="preserve">внедрение и развитие практики применения телемедицинских технологий, разработка алгоритма дистанционного консультирования "врач-врач" на всех этапах оказания медицинской помощи;</w:t>
      </w:r>
    </w:p>
    <w:p>
      <w:pPr>
        <w:pStyle w:val="0"/>
        <w:spacing w:before="200" w:line-rule="auto"/>
        <w:ind w:firstLine="540"/>
        <w:jc w:val="both"/>
      </w:pPr>
      <w:r>
        <w:rPr>
          <w:sz w:val="20"/>
        </w:rPr>
        <w:t xml:space="preserve">обеспечение укомплектованности врачами, средним и младшим медицинским персоналом, прошедшим обучение по оказанию ГМП, медицинских организаций автономного округа и их структурных подразделений, оказывающих ГМП;</w:t>
      </w:r>
    </w:p>
    <w:p>
      <w:pPr>
        <w:pStyle w:val="0"/>
        <w:spacing w:before="200" w:line-rule="auto"/>
        <w:ind w:firstLine="540"/>
        <w:jc w:val="both"/>
      </w:pPr>
      <w:r>
        <w:rPr>
          <w:sz w:val="20"/>
        </w:rPr>
        <w:t xml:space="preserve">обеспечение граждан старшего поколения профилактическими осмотрами и диспансеризацией.</w:t>
      </w:r>
    </w:p>
    <w:p>
      <w:pPr>
        <w:pStyle w:val="0"/>
        <w:ind w:firstLine="540"/>
        <w:jc w:val="both"/>
      </w:pPr>
      <w:r>
        <w:rPr>
          <w:sz w:val="20"/>
        </w:rPr>
      </w:r>
    </w:p>
    <w:p>
      <w:pPr>
        <w:pStyle w:val="2"/>
        <w:outlineLvl w:val="2"/>
        <w:jc w:val="center"/>
      </w:pPr>
      <w:r>
        <w:rPr>
          <w:sz w:val="20"/>
        </w:rPr>
        <w:t xml:space="preserve">1.2. Основные целевые показатели эффективности реализации</w:t>
      </w:r>
    </w:p>
    <w:p>
      <w:pPr>
        <w:pStyle w:val="2"/>
        <w:jc w:val="center"/>
      </w:pPr>
      <w:r>
        <w:rPr>
          <w:sz w:val="20"/>
        </w:rPr>
        <w:t xml:space="preserve">Региональной программы</w:t>
      </w:r>
    </w:p>
    <w:p>
      <w:pPr>
        <w:pStyle w:val="0"/>
        <w:ind w:firstLine="540"/>
        <w:jc w:val="both"/>
      </w:pPr>
      <w:r>
        <w:rPr>
          <w:sz w:val="20"/>
        </w:rPr>
      </w:r>
    </w:p>
    <w:p>
      <w:pPr>
        <w:pStyle w:val="0"/>
        <w:ind w:firstLine="540"/>
        <w:jc w:val="both"/>
      </w:pPr>
      <w:r>
        <w:rPr>
          <w:sz w:val="20"/>
        </w:rPr>
        <w:t xml:space="preserve">В основе Региональной программы базируются основные направления федерального проекта "Старшее поколение" национального проекта "Демография".</w:t>
      </w:r>
    </w:p>
    <w:p>
      <w:pPr>
        <w:pStyle w:val="0"/>
        <w:ind w:firstLine="540"/>
        <w:jc w:val="both"/>
      </w:pPr>
      <w:r>
        <w:rPr>
          <w:sz w:val="20"/>
        </w:rPr>
      </w:r>
    </w:p>
    <w:p>
      <w:pPr>
        <w:pStyle w:val="0"/>
        <w:jc w:val="right"/>
      </w:pPr>
      <w:r>
        <w:rPr>
          <w:sz w:val="20"/>
        </w:rPr>
        <w:t xml:space="preserve">Таблица 1</w:t>
      </w:r>
    </w:p>
    <w:p>
      <w:pPr>
        <w:pStyle w:val="0"/>
        <w:jc w:val="center"/>
      </w:pPr>
      <w:r>
        <w:rPr>
          <w:sz w:val="20"/>
        </w:rPr>
      </w:r>
    </w:p>
    <w:p>
      <w:pPr>
        <w:pStyle w:val="0"/>
        <w:jc w:val="center"/>
      </w:pPr>
      <w:r>
        <w:rPr>
          <w:sz w:val="20"/>
        </w:rPr>
        <w:t xml:space="preserve">Целевые показатели эффективности реализации</w:t>
      </w:r>
    </w:p>
    <w:p>
      <w:pPr>
        <w:pStyle w:val="0"/>
        <w:jc w:val="center"/>
      </w:pPr>
      <w:r>
        <w:rPr>
          <w:sz w:val="20"/>
        </w:rPr>
        <w:t xml:space="preserve">Региональной программы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8"/>
        <w:gridCol w:w="5216"/>
        <w:gridCol w:w="1276"/>
        <w:gridCol w:w="1040"/>
        <w:gridCol w:w="945"/>
      </w:tblGrid>
      <w:tr>
        <w:tc>
          <w:tcPr>
            <w:tcW w:w="568" w:type="dxa"/>
            <w:vMerge w:val="restart"/>
          </w:tcPr>
          <w:p>
            <w:pPr>
              <w:pStyle w:val="0"/>
              <w:jc w:val="center"/>
            </w:pPr>
            <w:r>
              <w:rPr>
                <w:sz w:val="20"/>
              </w:rPr>
              <w:t xml:space="preserve">N</w:t>
            </w:r>
          </w:p>
        </w:tc>
        <w:tc>
          <w:tcPr>
            <w:tcW w:w="5216" w:type="dxa"/>
            <w:vMerge w:val="restart"/>
          </w:tcPr>
          <w:p>
            <w:pPr>
              <w:pStyle w:val="0"/>
              <w:jc w:val="center"/>
            </w:pPr>
            <w:r>
              <w:rPr>
                <w:sz w:val="20"/>
              </w:rPr>
              <w:t xml:space="preserve">Наименование показателя</w:t>
            </w:r>
          </w:p>
        </w:tc>
        <w:tc>
          <w:tcPr>
            <w:tcW w:w="1276" w:type="dxa"/>
            <w:vMerge w:val="restart"/>
          </w:tcPr>
          <w:p>
            <w:pPr>
              <w:pStyle w:val="0"/>
              <w:jc w:val="center"/>
            </w:pPr>
            <w:r>
              <w:rPr>
                <w:sz w:val="20"/>
              </w:rPr>
              <w:t xml:space="preserve">Базовое значение</w:t>
            </w:r>
          </w:p>
          <w:p>
            <w:pPr>
              <w:pStyle w:val="0"/>
              <w:jc w:val="center"/>
            </w:pPr>
            <w:r>
              <w:rPr>
                <w:sz w:val="20"/>
              </w:rPr>
              <w:t xml:space="preserve">(2022 год)</w:t>
            </w:r>
          </w:p>
        </w:tc>
        <w:tc>
          <w:tcPr>
            <w:gridSpan w:val="2"/>
            <w:tcW w:w="1985" w:type="dxa"/>
          </w:tcPr>
          <w:p>
            <w:pPr>
              <w:pStyle w:val="0"/>
              <w:jc w:val="center"/>
            </w:pPr>
            <w:r>
              <w:rPr>
                <w:sz w:val="20"/>
              </w:rPr>
              <w:t xml:space="preserve">Период, год</w:t>
            </w:r>
          </w:p>
        </w:tc>
      </w:tr>
      <w:tr>
        <w:tc>
          <w:tcPr>
            <w:vMerge w:val="continue"/>
          </w:tcPr>
          <w:p/>
        </w:tc>
        <w:tc>
          <w:tcPr>
            <w:vMerge w:val="continue"/>
          </w:tcPr>
          <w:p/>
        </w:tc>
        <w:tc>
          <w:tcPr>
            <w:vMerge w:val="continue"/>
          </w:tcPr>
          <w:p/>
        </w:tc>
        <w:tc>
          <w:tcPr>
            <w:tcW w:w="1040" w:type="dxa"/>
          </w:tcPr>
          <w:p>
            <w:pPr>
              <w:pStyle w:val="0"/>
              <w:jc w:val="center"/>
            </w:pPr>
            <w:r>
              <w:rPr>
                <w:sz w:val="20"/>
              </w:rPr>
              <w:t xml:space="preserve">2023</w:t>
            </w:r>
          </w:p>
        </w:tc>
        <w:tc>
          <w:tcPr>
            <w:tcW w:w="945" w:type="dxa"/>
          </w:tcPr>
          <w:p>
            <w:pPr>
              <w:pStyle w:val="0"/>
              <w:jc w:val="center"/>
            </w:pPr>
            <w:r>
              <w:rPr>
                <w:sz w:val="20"/>
              </w:rPr>
              <w:t xml:space="preserve">2024</w:t>
            </w:r>
          </w:p>
        </w:tc>
      </w:tr>
      <w:tr>
        <w:tc>
          <w:tcPr>
            <w:tcW w:w="568" w:type="dxa"/>
          </w:tcPr>
          <w:p>
            <w:pPr>
              <w:pStyle w:val="0"/>
            </w:pPr>
            <w:r>
              <w:rPr>
                <w:sz w:val="20"/>
              </w:rPr>
              <w:t xml:space="preserve">1.</w:t>
            </w:r>
          </w:p>
        </w:tc>
        <w:tc>
          <w:tcPr>
            <w:tcW w:w="5216" w:type="dxa"/>
          </w:tcPr>
          <w:p>
            <w:pPr>
              <w:pStyle w:val="0"/>
            </w:pPr>
            <w:r>
              <w:rPr>
                <w:sz w:val="20"/>
              </w:rPr>
              <w:t xml:space="preserve">Охват граждан старше трудоспособного возраста профилактическими осмотрами, включая диспансеризацию, от общего числа граждан старше трудоспособного возраста на начало отчетного года, %</w:t>
            </w:r>
          </w:p>
        </w:tc>
        <w:tc>
          <w:tcPr>
            <w:tcW w:w="1276" w:type="dxa"/>
          </w:tcPr>
          <w:p>
            <w:pPr>
              <w:pStyle w:val="0"/>
            </w:pPr>
            <w:r>
              <w:rPr>
                <w:sz w:val="20"/>
              </w:rPr>
              <w:t xml:space="preserve">54,5</w:t>
            </w:r>
          </w:p>
        </w:tc>
        <w:tc>
          <w:tcPr>
            <w:tcW w:w="1040" w:type="dxa"/>
          </w:tcPr>
          <w:p>
            <w:pPr>
              <w:pStyle w:val="0"/>
            </w:pPr>
            <w:r>
              <w:rPr>
                <w:sz w:val="20"/>
              </w:rPr>
              <w:t xml:space="preserve">65,3</w:t>
            </w:r>
          </w:p>
        </w:tc>
        <w:tc>
          <w:tcPr>
            <w:tcW w:w="945" w:type="dxa"/>
          </w:tcPr>
          <w:p>
            <w:pPr>
              <w:pStyle w:val="0"/>
            </w:pPr>
            <w:r>
              <w:rPr>
                <w:sz w:val="20"/>
              </w:rPr>
              <w:t xml:space="preserve">70,0</w:t>
            </w:r>
          </w:p>
        </w:tc>
      </w:tr>
      <w:tr>
        <w:tc>
          <w:tcPr>
            <w:tcW w:w="568" w:type="dxa"/>
          </w:tcPr>
          <w:p>
            <w:pPr>
              <w:pStyle w:val="0"/>
            </w:pPr>
            <w:r>
              <w:rPr>
                <w:sz w:val="20"/>
              </w:rPr>
              <w:t xml:space="preserve">2.</w:t>
            </w:r>
          </w:p>
        </w:tc>
        <w:tc>
          <w:tcPr>
            <w:tcW w:w="5216" w:type="dxa"/>
          </w:tcPr>
          <w:p>
            <w:pPr>
              <w:pStyle w:val="0"/>
            </w:pPr>
            <w:r>
              <w:rPr>
                <w:sz w:val="20"/>
              </w:rPr>
              <w:t xml:space="preserve">Доля граждан старше трудоспособного возраста, у которых выявлены заболевания и патологические состояния, находящихся под диспансерным наблюдением, от общего числа граждан старше трудоспособного возраста, у которых выявлены заболевания и патологические состояния с начала отчетного года по конец отчетного периода, %</w:t>
            </w:r>
          </w:p>
        </w:tc>
        <w:tc>
          <w:tcPr>
            <w:tcW w:w="1276" w:type="dxa"/>
          </w:tcPr>
          <w:p>
            <w:pPr>
              <w:pStyle w:val="0"/>
            </w:pPr>
            <w:r>
              <w:rPr>
                <w:sz w:val="20"/>
              </w:rPr>
              <w:t xml:space="preserve">83,1</w:t>
            </w:r>
          </w:p>
        </w:tc>
        <w:tc>
          <w:tcPr>
            <w:tcW w:w="1040" w:type="dxa"/>
          </w:tcPr>
          <w:p>
            <w:pPr>
              <w:pStyle w:val="0"/>
            </w:pPr>
            <w:r>
              <w:rPr>
                <w:sz w:val="20"/>
              </w:rPr>
              <w:t xml:space="preserve">80,0</w:t>
            </w:r>
          </w:p>
        </w:tc>
        <w:tc>
          <w:tcPr>
            <w:tcW w:w="945" w:type="dxa"/>
          </w:tcPr>
          <w:p>
            <w:pPr>
              <w:pStyle w:val="0"/>
            </w:pPr>
            <w:r>
              <w:rPr>
                <w:sz w:val="20"/>
              </w:rPr>
              <w:t xml:space="preserve">90,0</w:t>
            </w:r>
          </w:p>
        </w:tc>
      </w:tr>
      <w:tr>
        <w:tc>
          <w:tcPr>
            <w:tcW w:w="568" w:type="dxa"/>
          </w:tcPr>
          <w:p>
            <w:pPr>
              <w:pStyle w:val="0"/>
            </w:pPr>
            <w:r>
              <w:rPr>
                <w:sz w:val="20"/>
              </w:rPr>
              <w:t xml:space="preserve">3.</w:t>
            </w:r>
          </w:p>
        </w:tc>
        <w:tc>
          <w:tcPr>
            <w:tcW w:w="5216" w:type="dxa"/>
          </w:tcPr>
          <w:p>
            <w:pPr>
              <w:pStyle w:val="0"/>
            </w:pPr>
            <w:r>
              <w:rPr>
                <w:sz w:val="20"/>
              </w:rPr>
              <w:t xml:space="preserve">Уровень госпитализации на геронтологические койки лиц старше 60 лет на 10 тыс. населения соответствующего возраста от общего числа граждан старше 60 лет на начало отчетного года, условная единица</w:t>
            </w:r>
          </w:p>
        </w:tc>
        <w:tc>
          <w:tcPr>
            <w:tcW w:w="1276" w:type="dxa"/>
          </w:tcPr>
          <w:p>
            <w:pPr>
              <w:pStyle w:val="0"/>
            </w:pPr>
            <w:r>
              <w:rPr>
                <w:sz w:val="20"/>
              </w:rPr>
              <w:t xml:space="preserve">62,8</w:t>
            </w:r>
          </w:p>
        </w:tc>
        <w:tc>
          <w:tcPr>
            <w:tcW w:w="1040" w:type="dxa"/>
          </w:tcPr>
          <w:p>
            <w:pPr>
              <w:pStyle w:val="0"/>
            </w:pPr>
            <w:r>
              <w:rPr>
                <w:sz w:val="20"/>
              </w:rPr>
              <w:t xml:space="preserve">43,0</w:t>
            </w:r>
          </w:p>
        </w:tc>
        <w:tc>
          <w:tcPr>
            <w:tcW w:w="945" w:type="dxa"/>
          </w:tcPr>
          <w:p>
            <w:pPr>
              <w:pStyle w:val="0"/>
            </w:pPr>
            <w:r>
              <w:rPr>
                <w:sz w:val="20"/>
              </w:rPr>
              <w:t xml:space="preserve">43,0</w:t>
            </w:r>
          </w:p>
        </w:tc>
      </w:tr>
      <w:tr>
        <w:tc>
          <w:tcPr>
            <w:tcW w:w="568" w:type="dxa"/>
          </w:tcPr>
          <w:p>
            <w:pPr>
              <w:pStyle w:val="0"/>
            </w:pPr>
            <w:r>
              <w:rPr>
                <w:sz w:val="20"/>
              </w:rPr>
              <w:t xml:space="preserve">4.</w:t>
            </w:r>
          </w:p>
        </w:tc>
        <w:tc>
          <w:tcPr>
            <w:tcW w:w="5216" w:type="dxa"/>
          </w:tcPr>
          <w:p>
            <w:pPr>
              <w:pStyle w:val="0"/>
            </w:pPr>
            <w:r>
              <w:rPr>
                <w:sz w:val="20"/>
              </w:rPr>
              <w:t xml:space="preserve">Доля граждан старше трудоспособного возраста из групп риска, проживающих в организациях социального обслуживания, прошедших вакцинацию от пневмококковой инфекции, от общего числа граждан старше трудоспособного возраста из группы риска, проживающих в организациях социального обслуживания, %</w:t>
            </w:r>
          </w:p>
        </w:tc>
        <w:tc>
          <w:tcPr>
            <w:tcW w:w="1276" w:type="dxa"/>
          </w:tcPr>
          <w:p>
            <w:pPr>
              <w:pStyle w:val="0"/>
            </w:pPr>
            <w:r>
              <w:rPr>
                <w:sz w:val="20"/>
              </w:rPr>
              <w:t xml:space="preserve">95,5</w:t>
            </w:r>
          </w:p>
        </w:tc>
        <w:tc>
          <w:tcPr>
            <w:tcW w:w="1040" w:type="dxa"/>
          </w:tcPr>
          <w:p>
            <w:pPr>
              <w:pStyle w:val="0"/>
            </w:pPr>
            <w:r>
              <w:rPr>
                <w:sz w:val="20"/>
              </w:rPr>
              <w:t xml:space="preserve">95</w:t>
            </w:r>
          </w:p>
        </w:tc>
        <w:tc>
          <w:tcPr>
            <w:tcW w:w="945" w:type="dxa"/>
          </w:tcPr>
          <w:p>
            <w:pPr>
              <w:pStyle w:val="0"/>
            </w:pPr>
            <w:r>
              <w:rPr>
                <w:sz w:val="20"/>
              </w:rPr>
              <w:t xml:space="preserve">95</w:t>
            </w:r>
          </w:p>
        </w:tc>
      </w:tr>
    </w:tbl>
    <w:p>
      <w:pPr>
        <w:pStyle w:val="0"/>
        <w:ind w:firstLine="540"/>
        <w:jc w:val="both"/>
      </w:pPr>
      <w:r>
        <w:rPr>
          <w:sz w:val="20"/>
        </w:rPr>
      </w:r>
    </w:p>
    <w:p>
      <w:pPr>
        <w:pStyle w:val="2"/>
        <w:outlineLvl w:val="1"/>
        <w:jc w:val="center"/>
      </w:pPr>
      <w:r>
        <w:rPr>
          <w:sz w:val="20"/>
        </w:rPr>
        <w:t xml:space="preserve">Раздел II. СТАТИСТИЧЕСКИЕ ДАННЫЕ</w:t>
      </w:r>
    </w:p>
    <w:p>
      <w:pPr>
        <w:pStyle w:val="0"/>
        <w:jc w:val="center"/>
      </w:pPr>
      <w:r>
        <w:rPr>
          <w:sz w:val="20"/>
        </w:rPr>
      </w:r>
    </w:p>
    <w:p>
      <w:pPr>
        <w:pStyle w:val="2"/>
        <w:outlineLvl w:val="2"/>
        <w:jc w:val="center"/>
      </w:pPr>
      <w:r>
        <w:rPr>
          <w:sz w:val="20"/>
        </w:rPr>
        <w:t xml:space="preserve">2.1. Анализ демографической ситуации в автономном округе</w:t>
      </w:r>
    </w:p>
    <w:p>
      <w:pPr>
        <w:pStyle w:val="0"/>
        <w:ind w:firstLine="540"/>
        <w:jc w:val="both"/>
      </w:pPr>
      <w:r>
        <w:rPr>
          <w:sz w:val="20"/>
        </w:rPr>
      </w:r>
    </w:p>
    <w:p>
      <w:pPr>
        <w:pStyle w:val="0"/>
        <w:ind w:firstLine="540"/>
        <w:jc w:val="both"/>
      </w:pPr>
      <w:r>
        <w:rPr>
          <w:sz w:val="20"/>
        </w:rPr>
        <w:t xml:space="preserve">По данным Федеральной службы государственной статистики (далее - Росстат), на 1 января 2023 года численность населения автономного округа составила 1 730 353 человека, в том числе старше трудоспособного возраста - 292 541 человек (16,9% от общего числа населения автономного округа).</w:t>
      </w:r>
    </w:p>
    <w:p>
      <w:pPr>
        <w:pStyle w:val="0"/>
        <w:spacing w:before="200" w:line-rule="auto"/>
        <w:ind w:firstLine="540"/>
        <w:jc w:val="both"/>
      </w:pPr>
      <w:r>
        <w:rPr>
          <w:sz w:val="20"/>
        </w:rPr>
        <w:t xml:space="preserve">За 3 года численность населения автономного округа увеличилась на 42,7 тыс. человек или на 2,5%, что обусловлено как миграционным, так и положительным естественным приростом. В 2022 году абсолютное число естественного прироста +7 904 человека (2021 год - 5 254 человека, 2020 год - 7 739 человек). Показатель естественного прироста составил 4,5 на 1 тыс. населения (2021 год - 3,1 на 1 тыс. населения, 2020 год - 4,7 на 1 тыс. населения).</w:t>
      </w:r>
    </w:p>
    <w:p>
      <w:pPr>
        <w:pStyle w:val="0"/>
        <w:spacing w:before="200" w:line-rule="auto"/>
        <w:ind w:firstLine="540"/>
        <w:jc w:val="both"/>
      </w:pPr>
      <w:r>
        <w:rPr>
          <w:sz w:val="20"/>
        </w:rPr>
        <w:t xml:space="preserve">Из всех субъектов Российской Федерации автономный округ занимает 11-е место по показателю рождаемости и 5-е место по показателю смертности от всех причин.</w:t>
      </w:r>
    </w:p>
    <w:p>
      <w:pPr>
        <w:pStyle w:val="0"/>
        <w:spacing w:before="200" w:line-rule="auto"/>
        <w:ind w:firstLine="540"/>
        <w:jc w:val="both"/>
      </w:pPr>
      <w:r>
        <w:rPr>
          <w:sz w:val="20"/>
        </w:rPr>
        <w:t xml:space="preserve">В автономном округе, как и в большинстве регионов Российской Федерации (далее - РФ), на протяжении 2020 - 2022 годов зарегистрировано снижение показателя рождаемости на 10,6%. В 2022 году в регионе родился 18 991 ребенок (2021 год - 19 683 ребенка, 2020 год - 20 598 детей). Показатель рождаемости в 2022 году составил 11,0 на 1 тыс. населения (2021 год - 11,6 на 1 тыс. населения, 2020 год - 12,3 на 1 тыс. населения).</w:t>
      </w:r>
    </w:p>
    <w:p>
      <w:pPr>
        <w:pStyle w:val="0"/>
        <w:ind w:firstLine="540"/>
        <w:jc w:val="both"/>
      </w:pPr>
      <w:r>
        <w:rPr>
          <w:sz w:val="20"/>
        </w:rPr>
      </w:r>
    </w:p>
    <w:p>
      <w:pPr>
        <w:pStyle w:val="0"/>
        <w:jc w:val="right"/>
      </w:pPr>
      <w:r>
        <w:rPr>
          <w:sz w:val="20"/>
        </w:rPr>
        <w:t xml:space="preserve">Таблица 2</w:t>
      </w:r>
    </w:p>
    <w:p>
      <w:pPr>
        <w:pStyle w:val="0"/>
        <w:jc w:val="center"/>
      </w:pPr>
      <w:r>
        <w:rPr>
          <w:sz w:val="20"/>
        </w:rPr>
      </w:r>
    </w:p>
    <w:p>
      <w:pPr>
        <w:pStyle w:val="0"/>
        <w:jc w:val="center"/>
      </w:pPr>
      <w:r>
        <w:rPr>
          <w:sz w:val="20"/>
        </w:rPr>
        <w:t xml:space="preserve">Показатели смертности в Российской Федерации, Уральском</w:t>
      </w:r>
    </w:p>
    <w:p>
      <w:pPr>
        <w:pStyle w:val="0"/>
        <w:jc w:val="center"/>
      </w:pPr>
      <w:r>
        <w:rPr>
          <w:sz w:val="20"/>
        </w:rPr>
        <w:t xml:space="preserve">федеральном округе, автономном округе за 2020 - 2022 годы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72"/>
        <w:gridCol w:w="1871"/>
        <w:gridCol w:w="1871"/>
        <w:gridCol w:w="1757"/>
      </w:tblGrid>
      <w:tr>
        <w:tc>
          <w:tcPr>
            <w:tcW w:w="3572" w:type="dxa"/>
            <w:vMerge w:val="restart"/>
          </w:tcPr>
          <w:p>
            <w:pPr>
              <w:pStyle w:val="0"/>
              <w:jc w:val="center"/>
            </w:pPr>
            <w:r>
              <w:rPr>
                <w:sz w:val="20"/>
              </w:rPr>
              <w:t xml:space="preserve">Территория</w:t>
            </w:r>
          </w:p>
        </w:tc>
        <w:tc>
          <w:tcPr>
            <w:gridSpan w:val="3"/>
            <w:tcW w:w="5499" w:type="dxa"/>
          </w:tcPr>
          <w:p>
            <w:pPr>
              <w:pStyle w:val="0"/>
              <w:jc w:val="center"/>
            </w:pPr>
            <w:r>
              <w:rPr>
                <w:sz w:val="20"/>
              </w:rPr>
              <w:t xml:space="preserve">Число умерших на 1 тыс. населения</w:t>
            </w:r>
          </w:p>
        </w:tc>
      </w:tr>
      <w:tr>
        <w:tc>
          <w:tcPr>
            <w:vMerge w:val="continue"/>
          </w:tcPr>
          <w:p/>
        </w:tc>
        <w:tc>
          <w:tcPr>
            <w:tcW w:w="1871" w:type="dxa"/>
          </w:tcPr>
          <w:p>
            <w:pPr>
              <w:pStyle w:val="0"/>
              <w:jc w:val="center"/>
            </w:pPr>
            <w:r>
              <w:rPr>
                <w:sz w:val="20"/>
              </w:rPr>
              <w:t xml:space="preserve">2020 год</w:t>
            </w:r>
          </w:p>
        </w:tc>
        <w:tc>
          <w:tcPr>
            <w:tcW w:w="1871" w:type="dxa"/>
          </w:tcPr>
          <w:p>
            <w:pPr>
              <w:pStyle w:val="0"/>
              <w:jc w:val="center"/>
            </w:pPr>
            <w:r>
              <w:rPr>
                <w:sz w:val="20"/>
              </w:rPr>
              <w:t xml:space="preserve">2021 год</w:t>
            </w:r>
          </w:p>
        </w:tc>
        <w:tc>
          <w:tcPr>
            <w:tcW w:w="1757" w:type="dxa"/>
          </w:tcPr>
          <w:p>
            <w:pPr>
              <w:pStyle w:val="0"/>
              <w:jc w:val="center"/>
            </w:pPr>
            <w:r>
              <w:rPr>
                <w:sz w:val="20"/>
              </w:rPr>
              <w:t xml:space="preserve">2022 год</w:t>
            </w:r>
          </w:p>
        </w:tc>
      </w:tr>
      <w:tr>
        <w:tc>
          <w:tcPr>
            <w:tcW w:w="3572" w:type="dxa"/>
          </w:tcPr>
          <w:p>
            <w:pPr>
              <w:pStyle w:val="0"/>
            </w:pPr>
            <w:r>
              <w:rPr>
                <w:sz w:val="20"/>
              </w:rPr>
              <w:t xml:space="preserve">Российская Федерация</w:t>
            </w:r>
          </w:p>
        </w:tc>
        <w:tc>
          <w:tcPr>
            <w:tcW w:w="1871" w:type="dxa"/>
          </w:tcPr>
          <w:p>
            <w:pPr>
              <w:pStyle w:val="0"/>
            </w:pPr>
            <w:r>
              <w:rPr>
                <w:sz w:val="20"/>
              </w:rPr>
              <w:t xml:space="preserve">14,5</w:t>
            </w:r>
          </w:p>
        </w:tc>
        <w:tc>
          <w:tcPr>
            <w:tcW w:w="1871" w:type="dxa"/>
          </w:tcPr>
          <w:p>
            <w:pPr>
              <w:pStyle w:val="0"/>
            </w:pPr>
            <w:r>
              <w:rPr>
                <w:sz w:val="20"/>
              </w:rPr>
              <w:t xml:space="preserve">16,8</w:t>
            </w:r>
          </w:p>
        </w:tc>
        <w:tc>
          <w:tcPr>
            <w:tcW w:w="1757" w:type="dxa"/>
          </w:tcPr>
          <w:p>
            <w:pPr>
              <w:pStyle w:val="0"/>
            </w:pPr>
            <w:r>
              <w:rPr>
                <w:sz w:val="20"/>
              </w:rPr>
              <w:t xml:space="preserve">13,1</w:t>
            </w:r>
          </w:p>
        </w:tc>
      </w:tr>
      <w:tr>
        <w:tc>
          <w:tcPr>
            <w:tcW w:w="3572" w:type="dxa"/>
          </w:tcPr>
          <w:p>
            <w:pPr>
              <w:pStyle w:val="0"/>
            </w:pPr>
            <w:r>
              <w:rPr>
                <w:sz w:val="20"/>
              </w:rPr>
              <w:t xml:space="preserve">Уральский федеральный округ</w:t>
            </w:r>
          </w:p>
        </w:tc>
        <w:tc>
          <w:tcPr>
            <w:tcW w:w="1871" w:type="dxa"/>
          </w:tcPr>
          <w:p>
            <w:pPr>
              <w:pStyle w:val="0"/>
            </w:pPr>
            <w:r>
              <w:rPr>
                <w:sz w:val="20"/>
              </w:rPr>
              <w:t xml:space="preserve">13,9</w:t>
            </w:r>
          </w:p>
        </w:tc>
        <w:tc>
          <w:tcPr>
            <w:tcW w:w="1871" w:type="dxa"/>
          </w:tcPr>
          <w:p>
            <w:pPr>
              <w:pStyle w:val="0"/>
            </w:pPr>
            <w:r>
              <w:rPr>
                <w:sz w:val="20"/>
              </w:rPr>
              <w:t xml:space="preserve">15,7</w:t>
            </w:r>
          </w:p>
        </w:tc>
        <w:tc>
          <w:tcPr>
            <w:tcW w:w="1757" w:type="dxa"/>
          </w:tcPr>
          <w:p>
            <w:pPr>
              <w:pStyle w:val="0"/>
            </w:pPr>
            <w:r>
              <w:rPr>
                <w:sz w:val="20"/>
              </w:rPr>
              <w:t xml:space="preserve">12,1</w:t>
            </w:r>
          </w:p>
        </w:tc>
      </w:tr>
      <w:tr>
        <w:tc>
          <w:tcPr>
            <w:tcW w:w="3572" w:type="dxa"/>
          </w:tcPr>
          <w:p>
            <w:pPr>
              <w:pStyle w:val="0"/>
            </w:pPr>
            <w:r>
              <w:rPr>
                <w:sz w:val="20"/>
              </w:rPr>
              <w:t xml:space="preserve">Автономный округ</w:t>
            </w:r>
          </w:p>
        </w:tc>
        <w:tc>
          <w:tcPr>
            <w:tcW w:w="1871" w:type="dxa"/>
          </w:tcPr>
          <w:p>
            <w:pPr>
              <w:pStyle w:val="0"/>
            </w:pPr>
            <w:r>
              <w:rPr>
                <w:sz w:val="20"/>
              </w:rPr>
              <w:t xml:space="preserve">7,6</w:t>
            </w:r>
          </w:p>
        </w:tc>
        <w:tc>
          <w:tcPr>
            <w:tcW w:w="1871" w:type="dxa"/>
          </w:tcPr>
          <w:p>
            <w:pPr>
              <w:pStyle w:val="0"/>
            </w:pPr>
            <w:r>
              <w:rPr>
                <w:sz w:val="20"/>
              </w:rPr>
              <w:t xml:space="preserve">8,5</w:t>
            </w:r>
          </w:p>
        </w:tc>
        <w:tc>
          <w:tcPr>
            <w:tcW w:w="1757" w:type="dxa"/>
          </w:tcPr>
          <w:p>
            <w:pPr>
              <w:pStyle w:val="0"/>
            </w:pPr>
            <w:r>
              <w:rPr>
                <w:sz w:val="20"/>
              </w:rPr>
              <w:t xml:space="preserve">6,5</w:t>
            </w:r>
          </w:p>
        </w:tc>
      </w:tr>
    </w:tbl>
    <w:p>
      <w:pPr>
        <w:pStyle w:val="0"/>
        <w:ind w:firstLine="540"/>
        <w:jc w:val="both"/>
      </w:pPr>
      <w:r>
        <w:rPr>
          <w:sz w:val="20"/>
        </w:rPr>
      </w:r>
    </w:p>
    <w:p>
      <w:pPr>
        <w:pStyle w:val="0"/>
        <w:ind w:firstLine="540"/>
        <w:jc w:val="both"/>
      </w:pPr>
      <w:r>
        <w:rPr>
          <w:sz w:val="20"/>
        </w:rPr>
        <w:t xml:space="preserve">Уровень показателя смертности в автономном округе в 2 раза ниже уровня по Российской Федерации и Уральскому федеральному округу (далее - УФО).</w:t>
      </w:r>
    </w:p>
    <w:p>
      <w:pPr>
        <w:pStyle w:val="0"/>
        <w:spacing w:before="200" w:line-rule="auto"/>
        <w:ind w:firstLine="540"/>
        <w:jc w:val="both"/>
      </w:pPr>
      <w:r>
        <w:rPr>
          <w:sz w:val="20"/>
        </w:rPr>
        <w:t xml:space="preserve">Ведущими классами заболеваний в структуре общей смертности в 2022 году, как и в предыдущие годы, являются болезни системы кровообращения (39,3%), новообразования (19,5%), внешние причины (7,9%). На смертность от новой коронавирусной инфекции, вызванной COVID-19, приходится 5,7% в структуре общей смертности.</w:t>
      </w:r>
    </w:p>
    <w:p>
      <w:pPr>
        <w:pStyle w:val="0"/>
        <w:ind w:firstLine="540"/>
        <w:jc w:val="both"/>
      </w:pPr>
      <w:r>
        <w:rPr>
          <w:sz w:val="20"/>
        </w:rPr>
      </w:r>
    </w:p>
    <w:p>
      <w:pPr>
        <w:pStyle w:val="0"/>
        <w:jc w:val="right"/>
      </w:pPr>
      <w:r>
        <w:rPr>
          <w:sz w:val="20"/>
        </w:rPr>
        <w:t xml:space="preserve">Таблица 3</w:t>
      </w:r>
    </w:p>
    <w:p>
      <w:pPr>
        <w:pStyle w:val="0"/>
        <w:jc w:val="center"/>
      </w:pPr>
      <w:r>
        <w:rPr>
          <w:sz w:val="20"/>
        </w:rPr>
      </w:r>
    </w:p>
    <w:p>
      <w:pPr>
        <w:pStyle w:val="0"/>
        <w:jc w:val="center"/>
      </w:pPr>
      <w:r>
        <w:rPr>
          <w:sz w:val="20"/>
        </w:rPr>
        <w:t xml:space="preserve">Смертность в возрасте старше трудоспособного возраста</w:t>
      </w:r>
    </w:p>
    <w:p>
      <w:pPr>
        <w:pStyle w:val="0"/>
        <w:jc w:val="center"/>
      </w:pPr>
      <w:r>
        <w:rPr>
          <w:sz w:val="20"/>
        </w:rPr>
        <w:t xml:space="preserve">по классам заболеваний на 100 000 населения соответствующего</w:t>
      </w:r>
    </w:p>
    <w:p>
      <w:pPr>
        <w:pStyle w:val="0"/>
        <w:jc w:val="center"/>
      </w:pPr>
      <w:r>
        <w:rPr>
          <w:sz w:val="20"/>
        </w:rPr>
        <w:t xml:space="preserve">возраста и пола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2"/>
        <w:gridCol w:w="964"/>
        <w:gridCol w:w="964"/>
        <w:gridCol w:w="964"/>
        <w:gridCol w:w="1247"/>
        <w:gridCol w:w="1191"/>
      </w:tblGrid>
      <w:tr>
        <w:tc>
          <w:tcPr>
            <w:tcW w:w="3742" w:type="dxa"/>
          </w:tcPr>
          <w:p>
            <w:pPr>
              <w:pStyle w:val="0"/>
              <w:jc w:val="center"/>
            </w:pPr>
            <w:r>
              <w:rPr>
                <w:sz w:val="20"/>
              </w:rPr>
              <w:t xml:space="preserve">Название классов</w:t>
            </w:r>
          </w:p>
        </w:tc>
        <w:tc>
          <w:tcPr>
            <w:tcW w:w="964" w:type="dxa"/>
          </w:tcPr>
          <w:p>
            <w:pPr>
              <w:pStyle w:val="0"/>
              <w:jc w:val="center"/>
            </w:pPr>
            <w:r>
              <w:rPr>
                <w:sz w:val="20"/>
              </w:rPr>
              <w:t xml:space="preserve">2020 год</w:t>
            </w:r>
          </w:p>
        </w:tc>
        <w:tc>
          <w:tcPr>
            <w:tcW w:w="964" w:type="dxa"/>
          </w:tcPr>
          <w:p>
            <w:pPr>
              <w:pStyle w:val="0"/>
              <w:jc w:val="center"/>
            </w:pPr>
            <w:r>
              <w:rPr>
                <w:sz w:val="20"/>
              </w:rPr>
              <w:t xml:space="preserve">2021 год</w:t>
            </w:r>
          </w:p>
        </w:tc>
        <w:tc>
          <w:tcPr>
            <w:tcW w:w="964" w:type="dxa"/>
          </w:tcPr>
          <w:p>
            <w:pPr>
              <w:pStyle w:val="0"/>
              <w:jc w:val="center"/>
            </w:pPr>
            <w:r>
              <w:rPr>
                <w:sz w:val="20"/>
              </w:rPr>
              <w:t xml:space="preserve">2022 год</w:t>
            </w:r>
          </w:p>
        </w:tc>
        <w:tc>
          <w:tcPr>
            <w:tcW w:w="1247" w:type="dxa"/>
          </w:tcPr>
          <w:p>
            <w:pPr>
              <w:pStyle w:val="0"/>
              <w:jc w:val="center"/>
            </w:pPr>
            <w:r>
              <w:rPr>
                <w:sz w:val="20"/>
              </w:rPr>
              <w:t xml:space="preserve">Удельный вес в 2022 году по классам</w:t>
            </w:r>
          </w:p>
        </w:tc>
        <w:tc>
          <w:tcPr>
            <w:tcW w:w="1191" w:type="dxa"/>
          </w:tcPr>
          <w:p>
            <w:pPr>
              <w:pStyle w:val="0"/>
              <w:jc w:val="center"/>
            </w:pPr>
            <w:r>
              <w:rPr>
                <w:sz w:val="20"/>
              </w:rPr>
              <w:t xml:space="preserve">Темп прироста/убыли к 2020 году в % (+/-)</w:t>
            </w:r>
          </w:p>
        </w:tc>
      </w:tr>
      <w:tr>
        <w:tc>
          <w:tcPr>
            <w:tcW w:w="3742" w:type="dxa"/>
          </w:tcPr>
          <w:p>
            <w:pPr>
              <w:pStyle w:val="0"/>
            </w:pPr>
            <w:r>
              <w:rPr>
                <w:sz w:val="20"/>
              </w:rPr>
              <w:t xml:space="preserve">От всех причин</w:t>
            </w:r>
          </w:p>
        </w:tc>
        <w:tc>
          <w:tcPr>
            <w:tcW w:w="964" w:type="dxa"/>
          </w:tcPr>
          <w:p>
            <w:pPr>
              <w:pStyle w:val="0"/>
            </w:pPr>
            <w:r>
              <w:rPr>
                <w:sz w:val="20"/>
              </w:rPr>
              <w:t xml:space="preserve">3053,5</w:t>
            </w:r>
          </w:p>
        </w:tc>
        <w:tc>
          <w:tcPr>
            <w:tcW w:w="964" w:type="dxa"/>
          </w:tcPr>
          <w:p>
            <w:pPr>
              <w:pStyle w:val="0"/>
            </w:pPr>
            <w:r>
              <w:rPr>
                <w:sz w:val="20"/>
              </w:rPr>
              <w:t xml:space="preserve">3423,3</w:t>
            </w:r>
          </w:p>
        </w:tc>
        <w:tc>
          <w:tcPr>
            <w:tcW w:w="964" w:type="dxa"/>
          </w:tcPr>
          <w:p>
            <w:pPr>
              <w:pStyle w:val="0"/>
            </w:pPr>
            <w:r>
              <w:rPr>
                <w:sz w:val="20"/>
              </w:rPr>
              <w:t xml:space="preserve">2527,7</w:t>
            </w:r>
          </w:p>
        </w:tc>
        <w:tc>
          <w:tcPr>
            <w:tcW w:w="1247" w:type="dxa"/>
          </w:tcPr>
          <w:p>
            <w:pPr>
              <w:pStyle w:val="0"/>
            </w:pPr>
            <w:r>
              <w:rPr>
                <w:sz w:val="20"/>
              </w:rPr>
              <w:t xml:space="preserve">100,0%</w:t>
            </w:r>
          </w:p>
        </w:tc>
        <w:tc>
          <w:tcPr>
            <w:tcW w:w="1191" w:type="dxa"/>
          </w:tcPr>
          <w:p>
            <w:pPr>
              <w:pStyle w:val="0"/>
            </w:pPr>
            <w:r>
              <w:rPr>
                <w:sz w:val="20"/>
              </w:rPr>
              <w:t xml:space="preserve">-17,2</w:t>
            </w:r>
          </w:p>
        </w:tc>
      </w:tr>
      <w:tr>
        <w:tblPrEx>
          <w:tblBorders>
            <w:insideH w:val="nil"/>
          </w:tblBorders>
        </w:tblPrEx>
        <w:tc>
          <w:tcPr>
            <w:tcW w:w="3742" w:type="dxa"/>
            <w:tcBorders>
              <w:bottom w:val="nil"/>
            </w:tcBorders>
          </w:tcPr>
          <w:p>
            <w:pPr>
              <w:pStyle w:val="0"/>
            </w:pPr>
            <w:r>
              <w:rPr>
                <w:sz w:val="20"/>
              </w:rPr>
              <w:t xml:space="preserve">Некоторые инфекционные и паразитарные болезни</w:t>
            </w:r>
          </w:p>
        </w:tc>
        <w:tc>
          <w:tcPr>
            <w:tcW w:w="964" w:type="dxa"/>
            <w:tcBorders>
              <w:bottom w:val="nil"/>
            </w:tcBorders>
          </w:tcPr>
          <w:p>
            <w:pPr>
              <w:pStyle w:val="0"/>
            </w:pPr>
            <w:r>
              <w:rPr>
                <w:sz w:val="20"/>
              </w:rPr>
              <w:t xml:space="preserve">23,5</w:t>
            </w:r>
          </w:p>
        </w:tc>
        <w:tc>
          <w:tcPr>
            <w:tcW w:w="964" w:type="dxa"/>
            <w:tcBorders>
              <w:bottom w:val="nil"/>
            </w:tcBorders>
          </w:tcPr>
          <w:p>
            <w:pPr>
              <w:pStyle w:val="0"/>
            </w:pPr>
            <w:r>
              <w:rPr>
                <w:sz w:val="20"/>
              </w:rPr>
              <w:t xml:space="preserve">14,3</w:t>
            </w:r>
          </w:p>
        </w:tc>
        <w:tc>
          <w:tcPr>
            <w:tcW w:w="964" w:type="dxa"/>
            <w:tcBorders>
              <w:bottom w:val="nil"/>
            </w:tcBorders>
          </w:tcPr>
          <w:p>
            <w:pPr>
              <w:pStyle w:val="0"/>
            </w:pPr>
            <w:r>
              <w:rPr>
                <w:sz w:val="20"/>
              </w:rPr>
              <w:t xml:space="preserve">17,2</w:t>
            </w:r>
          </w:p>
        </w:tc>
        <w:tc>
          <w:tcPr>
            <w:tcW w:w="1247" w:type="dxa"/>
            <w:tcBorders>
              <w:bottom w:val="nil"/>
            </w:tcBorders>
          </w:tcPr>
          <w:p>
            <w:pPr>
              <w:pStyle w:val="0"/>
            </w:pPr>
            <w:r>
              <w:rPr>
                <w:sz w:val="20"/>
              </w:rPr>
              <w:t xml:space="preserve">0,7%</w:t>
            </w:r>
          </w:p>
        </w:tc>
        <w:tc>
          <w:tcPr>
            <w:tcW w:w="1191" w:type="dxa"/>
            <w:tcBorders>
              <w:bottom w:val="nil"/>
            </w:tcBorders>
          </w:tcPr>
          <w:p>
            <w:pPr>
              <w:pStyle w:val="0"/>
            </w:pPr>
            <w:r>
              <w:rPr>
                <w:sz w:val="20"/>
              </w:rPr>
              <w:t xml:space="preserve">-26,7</w:t>
            </w:r>
          </w:p>
        </w:tc>
      </w:tr>
      <w:tr>
        <w:tblPrEx>
          <w:tblBorders>
            <w:insideH w:val="nil"/>
          </w:tblBorders>
        </w:tblPrEx>
        <w:tc>
          <w:tcPr>
            <w:tcW w:w="3742" w:type="dxa"/>
            <w:tcBorders>
              <w:top w:val="nil"/>
            </w:tcBorders>
          </w:tcPr>
          <w:p>
            <w:pPr>
              <w:pStyle w:val="0"/>
            </w:pPr>
            <w:r>
              <w:rPr>
                <w:sz w:val="20"/>
              </w:rPr>
              <w:t xml:space="preserve">из них: туберкулез</w:t>
            </w:r>
          </w:p>
        </w:tc>
        <w:tc>
          <w:tcPr>
            <w:tcW w:w="964" w:type="dxa"/>
            <w:tcBorders>
              <w:top w:val="nil"/>
            </w:tcBorders>
          </w:tcPr>
          <w:p>
            <w:pPr>
              <w:pStyle w:val="0"/>
            </w:pPr>
            <w:r>
              <w:rPr>
                <w:sz w:val="20"/>
              </w:rPr>
              <w:t xml:space="preserve">5,5</w:t>
            </w:r>
          </w:p>
        </w:tc>
        <w:tc>
          <w:tcPr>
            <w:tcW w:w="964" w:type="dxa"/>
            <w:tcBorders>
              <w:top w:val="nil"/>
            </w:tcBorders>
          </w:tcPr>
          <w:p>
            <w:pPr>
              <w:pStyle w:val="0"/>
            </w:pPr>
            <w:r>
              <w:rPr>
                <w:sz w:val="20"/>
              </w:rPr>
              <w:t xml:space="preserve">2,8</w:t>
            </w:r>
          </w:p>
        </w:tc>
        <w:tc>
          <w:tcPr>
            <w:tcW w:w="964" w:type="dxa"/>
            <w:tcBorders>
              <w:top w:val="nil"/>
            </w:tcBorders>
          </w:tcPr>
          <w:p>
            <w:pPr>
              <w:pStyle w:val="0"/>
            </w:pPr>
            <w:r>
              <w:rPr>
                <w:sz w:val="20"/>
              </w:rPr>
              <w:t xml:space="preserve">3,6</w:t>
            </w:r>
          </w:p>
        </w:tc>
        <w:tc>
          <w:tcPr>
            <w:tcW w:w="1247" w:type="dxa"/>
            <w:tcBorders>
              <w:top w:val="nil"/>
            </w:tcBorders>
          </w:tcPr>
          <w:p>
            <w:pPr>
              <w:pStyle w:val="0"/>
            </w:pPr>
            <w:r>
              <w:rPr>
                <w:sz w:val="20"/>
              </w:rPr>
            </w:r>
          </w:p>
        </w:tc>
        <w:tc>
          <w:tcPr>
            <w:tcW w:w="1191" w:type="dxa"/>
            <w:tcBorders>
              <w:top w:val="nil"/>
            </w:tcBorders>
          </w:tcPr>
          <w:p>
            <w:pPr>
              <w:pStyle w:val="0"/>
            </w:pPr>
            <w:r>
              <w:rPr>
                <w:sz w:val="20"/>
              </w:rPr>
              <w:t xml:space="preserve">-34,8</w:t>
            </w:r>
          </w:p>
        </w:tc>
      </w:tr>
      <w:tr>
        <w:tblPrEx>
          <w:tblBorders>
            <w:insideH w:val="nil"/>
          </w:tblBorders>
        </w:tblPrEx>
        <w:tc>
          <w:tcPr>
            <w:tcW w:w="3742" w:type="dxa"/>
            <w:tcBorders>
              <w:bottom w:val="nil"/>
            </w:tcBorders>
          </w:tcPr>
          <w:p>
            <w:pPr>
              <w:pStyle w:val="0"/>
            </w:pPr>
            <w:r>
              <w:rPr>
                <w:sz w:val="20"/>
              </w:rPr>
              <w:t xml:space="preserve">Новообразования</w:t>
            </w:r>
          </w:p>
        </w:tc>
        <w:tc>
          <w:tcPr>
            <w:tcW w:w="964" w:type="dxa"/>
            <w:tcBorders>
              <w:bottom w:val="nil"/>
            </w:tcBorders>
          </w:tcPr>
          <w:p>
            <w:pPr>
              <w:pStyle w:val="0"/>
            </w:pPr>
            <w:r>
              <w:rPr>
                <w:sz w:val="20"/>
              </w:rPr>
              <w:t xml:space="preserve">523,2</w:t>
            </w:r>
          </w:p>
        </w:tc>
        <w:tc>
          <w:tcPr>
            <w:tcW w:w="964" w:type="dxa"/>
            <w:tcBorders>
              <w:bottom w:val="nil"/>
            </w:tcBorders>
          </w:tcPr>
          <w:p>
            <w:pPr>
              <w:pStyle w:val="0"/>
            </w:pPr>
            <w:r>
              <w:rPr>
                <w:sz w:val="20"/>
              </w:rPr>
              <w:t xml:space="preserve">562,3</w:t>
            </w:r>
          </w:p>
        </w:tc>
        <w:tc>
          <w:tcPr>
            <w:tcW w:w="964" w:type="dxa"/>
            <w:tcBorders>
              <w:bottom w:val="nil"/>
            </w:tcBorders>
          </w:tcPr>
          <w:p>
            <w:pPr>
              <w:pStyle w:val="0"/>
            </w:pPr>
            <w:r>
              <w:rPr>
                <w:sz w:val="20"/>
              </w:rPr>
              <w:t xml:space="preserve">553,2</w:t>
            </w:r>
          </w:p>
        </w:tc>
        <w:tc>
          <w:tcPr>
            <w:tcW w:w="1247" w:type="dxa"/>
            <w:tcBorders>
              <w:bottom w:val="nil"/>
            </w:tcBorders>
          </w:tcPr>
          <w:p>
            <w:pPr>
              <w:pStyle w:val="0"/>
            </w:pPr>
            <w:r>
              <w:rPr>
                <w:sz w:val="20"/>
              </w:rPr>
              <w:t xml:space="preserve">21,9%</w:t>
            </w:r>
          </w:p>
        </w:tc>
        <w:tc>
          <w:tcPr>
            <w:tcW w:w="1191" w:type="dxa"/>
            <w:tcBorders>
              <w:bottom w:val="nil"/>
            </w:tcBorders>
          </w:tcPr>
          <w:p>
            <w:pPr>
              <w:pStyle w:val="0"/>
            </w:pPr>
            <w:r>
              <w:rPr>
                <w:sz w:val="20"/>
              </w:rPr>
              <w:t xml:space="preserve">5,7</w:t>
            </w:r>
          </w:p>
        </w:tc>
      </w:tr>
      <w:tr>
        <w:tblPrEx>
          <w:tblBorders>
            <w:insideH w:val="nil"/>
          </w:tblBorders>
        </w:tblPrEx>
        <w:tc>
          <w:tcPr>
            <w:tcW w:w="3742" w:type="dxa"/>
            <w:tcBorders>
              <w:top w:val="nil"/>
            </w:tcBorders>
          </w:tcPr>
          <w:p>
            <w:pPr>
              <w:pStyle w:val="0"/>
            </w:pPr>
            <w:r>
              <w:rPr>
                <w:sz w:val="20"/>
              </w:rPr>
              <w:t xml:space="preserve">из них: злокачественные</w:t>
            </w:r>
          </w:p>
        </w:tc>
        <w:tc>
          <w:tcPr>
            <w:tcW w:w="964" w:type="dxa"/>
            <w:tcBorders>
              <w:top w:val="nil"/>
            </w:tcBorders>
          </w:tcPr>
          <w:p>
            <w:pPr>
              <w:pStyle w:val="0"/>
            </w:pPr>
            <w:r>
              <w:rPr>
                <w:sz w:val="20"/>
              </w:rPr>
              <w:t xml:space="preserve">514,0</w:t>
            </w:r>
          </w:p>
        </w:tc>
        <w:tc>
          <w:tcPr>
            <w:tcW w:w="964" w:type="dxa"/>
            <w:tcBorders>
              <w:top w:val="nil"/>
            </w:tcBorders>
          </w:tcPr>
          <w:p>
            <w:pPr>
              <w:pStyle w:val="0"/>
            </w:pPr>
            <w:r>
              <w:rPr>
                <w:sz w:val="20"/>
              </w:rPr>
              <w:t xml:space="preserve">553,2</w:t>
            </w:r>
          </w:p>
        </w:tc>
        <w:tc>
          <w:tcPr>
            <w:tcW w:w="964" w:type="dxa"/>
            <w:tcBorders>
              <w:top w:val="nil"/>
            </w:tcBorders>
          </w:tcPr>
          <w:p>
            <w:pPr>
              <w:pStyle w:val="0"/>
            </w:pPr>
            <w:r>
              <w:rPr>
                <w:sz w:val="20"/>
              </w:rPr>
              <w:t xml:space="preserve">549,9</w:t>
            </w:r>
          </w:p>
        </w:tc>
        <w:tc>
          <w:tcPr>
            <w:tcW w:w="1247" w:type="dxa"/>
            <w:tcBorders>
              <w:top w:val="nil"/>
            </w:tcBorders>
          </w:tcPr>
          <w:p>
            <w:pPr>
              <w:pStyle w:val="0"/>
            </w:pPr>
            <w:r>
              <w:rPr>
                <w:sz w:val="20"/>
              </w:rPr>
            </w:r>
          </w:p>
        </w:tc>
        <w:tc>
          <w:tcPr>
            <w:tcW w:w="1191" w:type="dxa"/>
            <w:tcBorders>
              <w:top w:val="nil"/>
            </w:tcBorders>
          </w:tcPr>
          <w:p>
            <w:pPr>
              <w:pStyle w:val="0"/>
            </w:pPr>
            <w:r>
              <w:rPr>
                <w:sz w:val="20"/>
              </w:rPr>
              <w:t xml:space="preserve">7,0</w:t>
            </w:r>
          </w:p>
        </w:tc>
      </w:tr>
      <w:tr>
        <w:tblPrEx>
          <w:tblBorders>
            <w:insideH w:val="nil"/>
          </w:tblBorders>
        </w:tblPrEx>
        <w:tc>
          <w:tcPr>
            <w:tcW w:w="3742" w:type="dxa"/>
            <w:tcBorders>
              <w:bottom w:val="nil"/>
            </w:tcBorders>
          </w:tcPr>
          <w:p>
            <w:pPr>
              <w:pStyle w:val="0"/>
            </w:pPr>
            <w:r>
              <w:rPr>
                <w:sz w:val="20"/>
              </w:rPr>
              <w:t xml:space="preserve">Болезни системы кровообращения</w:t>
            </w:r>
          </w:p>
        </w:tc>
        <w:tc>
          <w:tcPr>
            <w:tcW w:w="964" w:type="dxa"/>
            <w:tcBorders>
              <w:bottom w:val="nil"/>
            </w:tcBorders>
          </w:tcPr>
          <w:p>
            <w:pPr>
              <w:pStyle w:val="0"/>
            </w:pPr>
            <w:r>
              <w:rPr>
                <w:sz w:val="20"/>
              </w:rPr>
              <w:t xml:space="preserve">1168,2</w:t>
            </w:r>
          </w:p>
        </w:tc>
        <w:tc>
          <w:tcPr>
            <w:tcW w:w="964" w:type="dxa"/>
            <w:tcBorders>
              <w:bottom w:val="nil"/>
            </w:tcBorders>
          </w:tcPr>
          <w:p>
            <w:pPr>
              <w:pStyle w:val="0"/>
            </w:pPr>
            <w:r>
              <w:rPr>
                <w:sz w:val="20"/>
              </w:rPr>
              <w:t xml:space="preserve">1155,0</w:t>
            </w:r>
          </w:p>
        </w:tc>
        <w:tc>
          <w:tcPr>
            <w:tcW w:w="964" w:type="dxa"/>
            <w:tcBorders>
              <w:bottom w:val="nil"/>
            </w:tcBorders>
          </w:tcPr>
          <w:p>
            <w:pPr>
              <w:pStyle w:val="0"/>
            </w:pPr>
            <w:r>
              <w:rPr>
                <w:sz w:val="20"/>
              </w:rPr>
              <w:t xml:space="preserve">1078,7</w:t>
            </w:r>
          </w:p>
        </w:tc>
        <w:tc>
          <w:tcPr>
            <w:tcW w:w="1247" w:type="dxa"/>
            <w:tcBorders>
              <w:bottom w:val="nil"/>
            </w:tcBorders>
          </w:tcPr>
          <w:p>
            <w:pPr>
              <w:pStyle w:val="0"/>
            </w:pPr>
            <w:r>
              <w:rPr>
                <w:sz w:val="20"/>
              </w:rPr>
              <w:t xml:space="preserve">42,7%</w:t>
            </w:r>
          </w:p>
        </w:tc>
        <w:tc>
          <w:tcPr>
            <w:tcW w:w="1191" w:type="dxa"/>
            <w:tcBorders>
              <w:bottom w:val="nil"/>
            </w:tcBorders>
          </w:tcPr>
          <w:p>
            <w:pPr>
              <w:pStyle w:val="0"/>
            </w:pPr>
            <w:r>
              <w:rPr>
                <w:sz w:val="20"/>
              </w:rPr>
              <w:t xml:space="preserve">-7,7</w:t>
            </w:r>
          </w:p>
        </w:tc>
      </w:tr>
      <w:tr>
        <w:tblPrEx>
          <w:tblBorders>
            <w:insideH w:val="nil"/>
          </w:tblBorders>
        </w:tblPrEx>
        <w:tc>
          <w:tcPr>
            <w:tcW w:w="3742" w:type="dxa"/>
            <w:tcBorders>
              <w:top w:val="nil"/>
              <w:bottom w:val="nil"/>
            </w:tcBorders>
          </w:tcPr>
          <w:p>
            <w:pPr>
              <w:pStyle w:val="0"/>
            </w:pPr>
            <w:r>
              <w:rPr>
                <w:sz w:val="20"/>
              </w:rPr>
              <w:t xml:space="preserve">из них: ишемические болезни сердца</w:t>
            </w:r>
          </w:p>
        </w:tc>
        <w:tc>
          <w:tcPr>
            <w:tcW w:w="964" w:type="dxa"/>
            <w:tcBorders>
              <w:top w:val="nil"/>
              <w:bottom w:val="nil"/>
            </w:tcBorders>
          </w:tcPr>
          <w:p>
            <w:pPr>
              <w:pStyle w:val="0"/>
            </w:pPr>
            <w:r>
              <w:rPr>
                <w:sz w:val="20"/>
              </w:rPr>
              <w:t xml:space="preserve">775,8</w:t>
            </w:r>
          </w:p>
        </w:tc>
        <w:tc>
          <w:tcPr>
            <w:tcW w:w="964" w:type="dxa"/>
            <w:tcBorders>
              <w:top w:val="nil"/>
              <w:bottom w:val="nil"/>
            </w:tcBorders>
          </w:tcPr>
          <w:p>
            <w:pPr>
              <w:pStyle w:val="0"/>
            </w:pPr>
            <w:r>
              <w:rPr>
                <w:sz w:val="20"/>
              </w:rPr>
              <w:t xml:space="preserve">753,7</w:t>
            </w:r>
          </w:p>
        </w:tc>
        <w:tc>
          <w:tcPr>
            <w:tcW w:w="964" w:type="dxa"/>
            <w:tcBorders>
              <w:top w:val="nil"/>
              <w:bottom w:val="nil"/>
            </w:tcBorders>
          </w:tcPr>
          <w:p>
            <w:pPr>
              <w:pStyle w:val="0"/>
            </w:pPr>
            <w:r>
              <w:rPr>
                <w:sz w:val="20"/>
              </w:rPr>
              <w:t xml:space="preserve">694,5</w:t>
            </w:r>
          </w:p>
        </w:tc>
        <w:tc>
          <w:tcPr>
            <w:tcW w:w="1247" w:type="dxa"/>
            <w:tcBorders>
              <w:top w:val="nil"/>
              <w:bottom w:val="nil"/>
            </w:tcBorders>
          </w:tcPr>
          <w:p>
            <w:pPr>
              <w:pStyle w:val="0"/>
            </w:pPr>
            <w:r>
              <w:rPr>
                <w:sz w:val="20"/>
              </w:rPr>
            </w:r>
          </w:p>
        </w:tc>
        <w:tc>
          <w:tcPr>
            <w:tcW w:w="1191" w:type="dxa"/>
            <w:tcBorders>
              <w:top w:val="nil"/>
              <w:bottom w:val="nil"/>
            </w:tcBorders>
          </w:tcPr>
          <w:p>
            <w:pPr>
              <w:pStyle w:val="0"/>
            </w:pPr>
            <w:r>
              <w:rPr>
                <w:sz w:val="20"/>
              </w:rPr>
              <w:t xml:space="preserve">-10,5</w:t>
            </w:r>
          </w:p>
        </w:tc>
      </w:tr>
      <w:tr>
        <w:tblPrEx>
          <w:tblBorders>
            <w:insideH w:val="nil"/>
          </w:tblBorders>
        </w:tblPrEx>
        <w:tc>
          <w:tcPr>
            <w:tcW w:w="3742" w:type="dxa"/>
            <w:tcBorders>
              <w:top w:val="nil"/>
            </w:tcBorders>
          </w:tcPr>
          <w:p>
            <w:pPr>
              <w:pStyle w:val="0"/>
            </w:pPr>
            <w:r>
              <w:rPr>
                <w:sz w:val="20"/>
              </w:rPr>
              <w:t xml:space="preserve">цереброваскулярные болезни</w:t>
            </w:r>
          </w:p>
        </w:tc>
        <w:tc>
          <w:tcPr>
            <w:tcW w:w="964" w:type="dxa"/>
            <w:tcBorders>
              <w:top w:val="nil"/>
            </w:tcBorders>
          </w:tcPr>
          <w:p>
            <w:pPr>
              <w:pStyle w:val="0"/>
            </w:pPr>
            <w:r>
              <w:rPr>
                <w:sz w:val="20"/>
              </w:rPr>
              <w:t xml:space="preserve">208,2</w:t>
            </w:r>
          </w:p>
        </w:tc>
        <w:tc>
          <w:tcPr>
            <w:tcW w:w="964" w:type="dxa"/>
            <w:tcBorders>
              <w:top w:val="nil"/>
            </w:tcBorders>
          </w:tcPr>
          <w:p>
            <w:pPr>
              <w:pStyle w:val="0"/>
            </w:pPr>
            <w:r>
              <w:rPr>
                <w:sz w:val="20"/>
              </w:rPr>
              <w:t xml:space="preserve">190,0</w:t>
            </w:r>
          </w:p>
        </w:tc>
        <w:tc>
          <w:tcPr>
            <w:tcW w:w="964" w:type="dxa"/>
            <w:tcBorders>
              <w:top w:val="nil"/>
            </w:tcBorders>
          </w:tcPr>
          <w:p>
            <w:pPr>
              <w:pStyle w:val="0"/>
            </w:pPr>
            <w:r>
              <w:rPr>
                <w:sz w:val="20"/>
              </w:rPr>
              <w:t xml:space="preserve">171,8</w:t>
            </w:r>
          </w:p>
        </w:tc>
        <w:tc>
          <w:tcPr>
            <w:tcW w:w="1247" w:type="dxa"/>
            <w:tcBorders>
              <w:top w:val="nil"/>
            </w:tcBorders>
          </w:tcPr>
          <w:p>
            <w:pPr>
              <w:pStyle w:val="0"/>
            </w:pPr>
            <w:r>
              <w:rPr>
                <w:sz w:val="20"/>
              </w:rPr>
            </w:r>
          </w:p>
        </w:tc>
        <w:tc>
          <w:tcPr>
            <w:tcW w:w="1191" w:type="dxa"/>
            <w:tcBorders>
              <w:top w:val="nil"/>
            </w:tcBorders>
          </w:tcPr>
          <w:p>
            <w:pPr>
              <w:pStyle w:val="0"/>
            </w:pPr>
            <w:r>
              <w:rPr>
                <w:sz w:val="20"/>
              </w:rPr>
              <w:t xml:space="preserve">-17,5</w:t>
            </w:r>
          </w:p>
        </w:tc>
      </w:tr>
      <w:tr>
        <w:tc>
          <w:tcPr>
            <w:tcW w:w="3742" w:type="dxa"/>
          </w:tcPr>
          <w:p>
            <w:pPr>
              <w:pStyle w:val="0"/>
            </w:pPr>
            <w:r>
              <w:rPr>
                <w:sz w:val="20"/>
              </w:rPr>
              <w:t xml:space="preserve">Болезни органов дыхания</w:t>
            </w:r>
          </w:p>
        </w:tc>
        <w:tc>
          <w:tcPr>
            <w:tcW w:w="964" w:type="dxa"/>
          </w:tcPr>
          <w:p>
            <w:pPr>
              <w:pStyle w:val="0"/>
            </w:pPr>
            <w:r>
              <w:rPr>
                <w:sz w:val="20"/>
              </w:rPr>
              <w:t xml:space="preserve">255,9</w:t>
            </w:r>
          </w:p>
        </w:tc>
        <w:tc>
          <w:tcPr>
            <w:tcW w:w="964" w:type="dxa"/>
          </w:tcPr>
          <w:p>
            <w:pPr>
              <w:pStyle w:val="0"/>
            </w:pPr>
            <w:r>
              <w:rPr>
                <w:sz w:val="20"/>
              </w:rPr>
              <w:t xml:space="preserve">210,6</w:t>
            </w:r>
          </w:p>
        </w:tc>
        <w:tc>
          <w:tcPr>
            <w:tcW w:w="964" w:type="dxa"/>
          </w:tcPr>
          <w:p>
            <w:pPr>
              <w:pStyle w:val="0"/>
            </w:pPr>
            <w:r>
              <w:rPr>
                <w:sz w:val="20"/>
              </w:rPr>
              <w:t xml:space="preserve">98,3</w:t>
            </w:r>
          </w:p>
        </w:tc>
        <w:tc>
          <w:tcPr>
            <w:tcW w:w="1247" w:type="dxa"/>
          </w:tcPr>
          <w:p>
            <w:pPr>
              <w:pStyle w:val="0"/>
            </w:pPr>
            <w:r>
              <w:rPr>
                <w:sz w:val="20"/>
              </w:rPr>
              <w:t xml:space="preserve">3,9%</w:t>
            </w:r>
          </w:p>
        </w:tc>
        <w:tc>
          <w:tcPr>
            <w:tcW w:w="1191" w:type="dxa"/>
          </w:tcPr>
          <w:p>
            <w:pPr>
              <w:pStyle w:val="0"/>
            </w:pPr>
            <w:r>
              <w:rPr>
                <w:sz w:val="20"/>
              </w:rPr>
              <w:t xml:space="preserve">-61,6</w:t>
            </w:r>
          </w:p>
        </w:tc>
      </w:tr>
      <w:tr>
        <w:tc>
          <w:tcPr>
            <w:tcW w:w="3742" w:type="dxa"/>
          </w:tcPr>
          <w:p>
            <w:pPr>
              <w:pStyle w:val="0"/>
            </w:pPr>
            <w:r>
              <w:rPr>
                <w:sz w:val="20"/>
              </w:rPr>
              <w:t xml:space="preserve">Болезни органов пищеварения</w:t>
            </w:r>
          </w:p>
        </w:tc>
        <w:tc>
          <w:tcPr>
            <w:tcW w:w="964" w:type="dxa"/>
          </w:tcPr>
          <w:p>
            <w:pPr>
              <w:pStyle w:val="0"/>
            </w:pPr>
            <w:r>
              <w:rPr>
                <w:sz w:val="20"/>
              </w:rPr>
              <w:t xml:space="preserve">141,0</w:t>
            </w:r>
          </w:p>
        </w:tc>
        <w:tc>
          <w:tcPr>
            <w:tcW w:w="964" w:type="dxa"/>
          </w:tcPr>
          <w:p>
            <w:pPr>
              <w:pStyle w:val="0"/>
            </w:pPr>
            <w:r>
              <w:rPr>
                <w:sz w:val="20"/>
              </w:rPr>
              <w:t xml:space="preserve">126,0</w:t>
            </w:r>
          </w:p>
        </w:tc>
        <w:tc>
          <w:tcPr>
            <w:tcW w:w="964" w:type="dxa"/>
          </w:tcPr>
          <w:p>
            <w:pPr>
              <w:pStyle w:val="0"/>
            </w:pPr>
            <w:r>
              <w:rPr>
                <w:sz w:val="20"/>
              </w:rPr>
              <w:t xml:space="preserve">117,3</w:t>
            </w:r>
          </w:p>
        </w:tc>
        <w:tc>
          <w:tcPr>
            <w:tcW w:w="1247" w:type="dxa"/>
          </w:tcPr>
          <w:p>
            <w:pPr>
              <w:pStyle w:val="0"/>
            </w:pPr>
            <w:r>
              <w:rPr>
                <w:sz w:val="20"/>
              </w:rPr>
              <w:t xml:space="preserve">4,6%</w:t>
            </w:r>
          </w:p>
        </w:tc>
        <w:tc>
          <w:tcPr>
            <w:tcW w:w="1191" w:type="dxa"/>
          </w:tcPr>
          <w:p>
            <w:pPr>
              <w:pStyle w:val="0"/>
            </w:pPr>
            <w:r>
              <w:rPr>
                <w:sz w:val="20"/>
              </w:rPr>
              <w:t xml:space="preserve">-16,8</w:t>
            </w:r>
          </w:p>
        </w:tc>
      </w:tr>
      <w:tr>
        <w:tc>
          <w:tcPr>
            <w:tcW w:w="3742" w:type="dxa"/>
          </w:tcPr>
          <w:p>
            <w:pPr>
              <w:pStyle w:val="0"/>
            </w:pPr>
            <w:r>
              <w:rPr>
                <w:sz w:val="20"/>
              </w:rPr>
              <w:t xml:space="preserve">Травмы, отравления и некоторые другие последствия воздействия внешних причин</w:t>
            </w:r>
          </w:p>
        </w:tc>
        <w:tc>
          <w:tcPr>
            <w:tcW w:w="964" w:type="dxa"/>
          </w:tcPr>
          <w:p>
            <w:pPr>
              <w:pStyle w:val="0"/>
            </w:pPr>
            <w:r>
              <w:rPr>
                <w:sz w:val="20"/>
              </w:rPr>
              <w:t xml:space="preserve">116,8</w:t>
            </w:r>
          </w:p>
        </w:tc>
        <w:tc>
          <w:tcPr>
            <w:tcW w:w="964" w:type="dxa"/>
          </w:tcPr>
          <w:p>
            <w:pPr>
              <w:pStyle w:val="0"/>
            </w:pPr>
            <w:r>
              <w:rPr>
                <w:sz w:val="20"/>
              </w:rPr>
              <w:t xml:space="preserve">83,3</w:t>
            </w:r>
          </w:p>
        </w:tc>
        <w:tc>
          <w:tcPr>
            <w:tcW w:w="964" w:type="dxa"/>
          </w:tcPr>
          <w:p>
            <w:pPr>
              <w:pStyle w:val="0"/>
            </w:pPr>
            <w:r>
              <w:rPr>
                <w:sz w:val="20"/>
              </w:rPr>
              <w:t xml:space="preserve">56,3</w:t>
            </w:r>
          </w:p>
        </w:tc>
        <w:tc>
          <w:tcPr>
            <w:tcW w:w="1247" w:type="dxa"/>
          </w:tcPr>
          <w:p>
            <w:pPr>
              <w:pStyle w:val="0"/>
            </w:pPr>
            <w:r>
              <w:rPr>
                <w:sz w:val="20"/>
              </w:rPr>
              <w:t xml:space="preserve">2,2</w:t>
            </w:r>
          </w:p>
        </w:tc>
        <w:tc>
          <w:tcPr>
            <w:tcW w:w="1191" w:type="dxa"/>
          </w:tcPr>
          <w:p>
            <w:pPr>
              <w:pStyle w:val="0"/>
            </w:pPr>
            <w:r>
              <w:rPr>
                <w:sz w:val="20"/>
              </w:rPr>
              <w:t xml:space="preserve">-51,8</w:t>
            </w:r>
          </w:p>
        </w:tc>
      </w:tr>
      <w:tr>
        <w:tc>
          <w:tcPr>
            <w:tcW w:w="3742" w:type="dxa"/>
          </w:tcPr>
          <w:p>
            <w:pPr>
              <w:pStyle w:val="0"/>
            </w:pPr>
            <w:r>
              <w:rPr>
                <w:sz w:val="20"/>
              </w:rPr>
              <w:t xml:space="preserve">COVID-19</w:t>
            </w:r>
          </w:p>
        </w:tc>
        <w:tc>
          <w:tcPr>
            <w:tcW w:w="964" w:type="dxa"/>
          </w:tcPr>
          <w:p>
            <w:pPr>
              <w:pStyle w:val="0"/>
            </w:pPr>
            <w:r>
              <w:rPr>
                <w:sz w:val="20"/>
              </w:rPr>
              <w:t xml:space="preserve">267,7</w:t>
            </w:r>
          </w:p>
        </w:tc>
        <w:tc>
          <w:tcPr>
            <w:tcW w:w="964" w:type="dxa"/>
          </w:tcPr>
          <w:p>
            <w:pPr>
              <w:pStyle w:val="0"/>
            </w:pPr>
            <w:r>
              <w:rPr>
                <w:sz w:val="20"/>
              </w:rPr>
              <w:t xml:space="preserve">830,3</w:t>
            </w:r>
          </w:p>
        </w:tc>
        <w:tc>
          <w:tcPr>
            <w:tcW w:w="964" w:type="dxa"/>
          </w:tcPr>
          <w:p>
            <w:pPr>
              <w:pStyle w:val="0"/>
            </w:pPr>
            <w:r>
              <w:rPr>
                <w:sz w:val="20"/>
              </w:rPr>
              <w:t xml:space="preserve">196,6</w:t>
            </w:r>
          </w:p>
        </w:tc>
        <w:tc>
          <w:tcPr>
            <w:tcW w:w="1247" w:type="dxa"/>
          </w:tcPr>
          <w:p>
            <w:pPr>
              <w:pStyle w:val="0"/>
            </w:pPr>
            <w:r>
              <w:rPr>
                <w:sz w:val="20"/>
              </w:rPr>
              <w:t xml:space="preserve">7,8%</w:t>
            </w:r>
          </w:p>
        </w:tc>
        <w:tc>
          <w:tcPr>
            <w:tcW w:w="1191" w:type="dxa"/>
          </w:tcPr>
          <w:p>
            <w:pPr>
              <w:pStyle w:val="0"/>
            </w:pPr>
            <w:r>
              <w:rPr>
                <w:sz w:val="20"/>
              </w:rPr>
              <w:t xml:space="preserve">-26,6</w:t>
            </w:r>
          </w:p>
        </w:tc>
      </w:tr>
      <w:tr>
        <w:tc>
          <w:tcPr>
            <w:tcW w:w="3742" w:type="dxa"/>
          </w:tcPr>
          <w:p>
            <w:pPr>
              <w:pStyle w:val="0"/>
            </w:pPr>
            <w:r>
              <w:rPr>
                <w:sz w:val="20"/>
              </w:rPr>
              <w:t xml:space="preserve">Прочие классы заболеваний</w:t>
            </w:r>
          </w:p>
        </w:tc>
        <w:tc>
          <w:tcPr>
            <w:tcW w:w="964" w:type="dxa"/>
          </w:tcPr>
          <w:p>
            <w:pPr>
              <w:pStyle w:val="0"/>
            </w:pPr>
            <w:r>
              <w:rPr>
                <w:sz w:val="20"/>
              </w:rPr>
              <w:t xml:space="preserve">824,9</w:t>
            </w:r>
          </w:p>
        </w:tc>
        <w:tc>
          <w:tcPr>
            <w:tcW w:w="964" w:type="dxa"/>
          </w:tcPr>
          <w:p>
            <w:pPr>
              <w:pStyle w:val="0"/>
            </w:pPr>
            <w:r>
              <w:rPr>
                <w:sz w:val="20"/>
              </w:rPr>
              <w:t xml:space="preserve">1271,8</w:t>
            </w:r>
          </w:p>
        </w:tc>
        <w:tc>
          <w:tcPr>
            <w:tcW w:w="964" w:type="dxa"/>
          </w:tcPr>
          <w:p>
            <w:pPr>
              <w:pStyle w:val="0"/>
            </w:pPr>
            <w:r>
              <w:rPr>
                <w:sz w:val="20"/>
              </w:rPr>
              <w:t xml:space="preserve">410,0</w:t>
            </w:r>
          </w:p>
        </w:tc>
        <w:tc>
          <w:tcPr>
            <w:tcW w:w="1247" w:type="dxa"/>
          </w:tcPr>
          <w:p>
            <w:pPr>
              <w:pStyle w:val="0"/>
            </w:pPr>
            <w:r>
              <w:rPr>
                <w:sz w:val="20"/>
              </w:rPr>
              <w:t xml:space="preserve">16,2%</w:t>
            </w:r>
          </w:p>
        </w:tc>
        <w:tc>
          <w:tcPr>
            <w:tcW w:w="1191" w:type="dxa"/>
          </w:tcPr>
          <w:p>
            <w:pPr>
              <w:pStyle w:val="0"/>
            </w:pPr>
            <w:r>
              <w:rPr>
                <w:sz w:val="20"/>
              </w:rPr>
              <w:t xml:space="preserve">-50,3</w:t>
            </w:r>
          </w:p>
        </w:tc>
      </w:tr>
    </w:tbl>
    <w:p>
      <w:pPr>
        <w:pStyle w:val="0"/>
        <w:jc w:val="right"/>
      </w:pPr>
      <w:r>
        <w:rPr>
          <w:sz w:val="20"/>
        </w:rPr>
      </w:r>
    </w:p>
    <w:p>
      <w:pPr>
        <w:pStyle w:val="0"/>
        <w:ind w:firstLine="540"/>
        <w:jc w:val="both"/>
      </w:pPr>
      <w:r>
        <w:rPr>
          <w:sz w:val="20"/>
        </w:rPr>
        <w:t xml:space="preserve">За 2022 год смертность населения в возрасте старше трудоспособного возраста в автономном округе уменьшилась на 17,2% и составила 2527,7 на 100 тыс. населения соответствующего возраста.</w:t>
      </w:r>
    </w:p>
    <w:p>
      <w:pPr>
        <w:pStyle w:val="0"/>
        <w:spacing w:before="200" w:line-rule="auto"/>
        <w:ind w:firstLine="540"/>
        <w:jc w:val="both"/>
      </w:pPr>
      <w:r>
        <w:rPr>
          <w:sz w:val="20"/>
        </w:rPr>
        <w:t xml:space="preserve">Ведущими классами заболеваний в структуре общей смертности в возрасте старше трудоспособного возраста в 2022 году являются болезни системы кровообращения (42,7%), новообразования (21,9%), новая коронавирусная инфекция, вызванная COVID-19 (7,8%), и болезни органов пищеварения (4,6%).</w:t>
      </w:r>
    </w:p>
    <w:p>
      <w:pPr>
        <w:pStyle w:val="0"/>
        <w:ind w:firstLine="540"/>
        <w:jc w:val="both"/>
      </w:pPr>
      <w:r>
        <w:rPr>
          <w:sz w:val="20"/>
        </w:rPr>
      </w:r>
    </w:p>
    <w:p>
      <w:pPr>
        <w:pStyle w:val="2"/>
        <w:outlineLvl w:val="2"/>
        <w:jc w:val="center"/>
      </w:pPr>
      <w:r>
        <w:rPr>
          <w:sz w:val="20"/>
        </w:rPr>
        <w:t xml:space="preserve">2.2. Первичная и общая заболеваемость населения</w:t>
      </w:r>
    </w:p>
    <w:p>
      <w:pPr>
        <w:pStyle w:val="0"/>
        <w:ind w:firstLine="540"/>
        <w:jc w:val="both"/>
      </w:pPr>
      <w:r>
        <w:rPr>
          <w:sz w:val="20"/>
        </w:rPr>
      </w:r>
    </w:p>
    <w:p>
      <w:pPr>
        <w:pStyle w:val="0"/>
        <w:ind w:firstLine="540"/>
        <w:jc w:val="both"/>
      </w:pPr>
      <w:r>
        <w:rPr>
          <w:sz w:val="20"/>
        </w:rPr>
        <w:t xml:space="preserve">В 2022 году показатель общей заболеваемости населения автономного округа </w:t>
      </w:r>
      <w:hyperlink w:history="0" w:anchor="P21515" w:tooltip="Общая заболеваемость населения автономного округа">
        <w:r>
          <w:rPr>
            <w:sz w:val="20"/>
            <w:color w:val="0000ff"/>
          </w:rPr>
          <w:t xml:space="preserve">(таблица 4)</w:t>
        </w:r>
      </w:hyperlink>
      <w:r>
        <w:rPr>
          <w:sz w:val="20"/>
        </w:rPr>
        <w:t xml:space="preserve"> увеличился по всем классам болезней на 4,3% и составил 1 890,6 на 1 тыс. населения (в 2021 году - 1 813,1; по УФО - 1 728,0; по РФ - 1 677,1 на 1 тыс. населения).</w:t>
      </w:r>
    </w:p>
    <w:p>
      <w:pPr>
        <w:pStyle w:val="0"/>
        <w:spacing w:before="200" w:line-rule="auto"/>
        <w:ind w:firstLine="540"/>
        <w:jc w:val="both"/>
      </w:pPr>
      <w:r>
        <w:rPr>
          <w:sz w:val="20"/>
        </w:rPr>
        <w:t xml:space="preserve">Увеличение общей и первичной заболеваемости обусловлено снятием большинства ограничительных мер по деятельности амбулаторно-поликлинических медицинских организаций в связи с распространением новая коронавирусная инфекция, вызванная COVID-19 и, как следствие, увеличением количества обращений населения за получением медицинской помощи.</w:t>
      </w:r>
    </w:p>
    <w:p>
      <w:pPr>
        <w:pStyle w:val="0"/>
        <w:jc w:val="right"/>
      </w:pPr>
      <w:r>
        <w:rPr>
          <w:sz w:val="20"/>
        </w:rPr>
      </w:r>
    </w:p>
    <w:p>
      <w:pPr>
        <w:pStyle w:val="0"/>
        <w:jc w:val="right"/>
      </w:pPr>
      <w:r>
        <w:rPr>
          <w:sz w:val="20"/>
        </w:rPr>
        <w:t xml:space="preserve">Таблица 4</w:t>
      </w:r>
    </w:p>
    <w:p>
      <w:pPr>
        <w:pStyle w:val="0"/>
        <w:jc w:val="right"/>
      </w:pPr>
      <w:r>
        <w:rPr>
          <w:sz w:val="20"/>
        </w:rPr>
      </w:r>
    </w:p>
    <w:bookmarkStart w:id="21515" w:name="P21515"/>
    <w:bookmarkEnd w:id="21515"/>
    <w:p>
      <w:pPr>
        <w:pStyle w:val="0"/>
        <w:jc w:val="center"/>
      </w:pPr>
      <w:r>
        <w:rPr>
          <w:sz w:val="20"/>
        </w:rPr>
        <w:t xml:space="preserve">Общая заболеваемость населения автономного округа</w:t>
      </w:r>
    </w:p>
    <w:p>
      <w:pPr>
        <w:pStyle w:val="0"/>
        <w:jc w:val="center"/>
      </w:pPr>
      <w:r>
        <w:rPr>
          <w:sz w:val="20"/>
        </w:rPr>
        <w:t xml:space="preserve">(на 1 тыс. человек)</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79"/>
        <w:gridCol w:w="1020"/>
        <w:gridCol w:w="1020"/>
        <w:gridCol w:w="1020"/>
        <w:gridCol w:w="1531"/>
      </w:tblGrid>
      <w:tr>
        <w:tc>
          <w:tcPr>
            <w:tcW w:w="4479" w:type="dxa"/>
          </w:tcPr>
          <w:p>
            <w:pPr>
              <w:pStyle w:val="0"/>
              <w:jc w:val="center"/>
            </w:pPr>
            <w:r>
              <w:rPr>
                <w:sz w:val="20"/>
              </w:rPr>
              <w:t xml:space="preserve">Классы болезней МКБ-10</w:t>
            </w:r>
          </w:p>
        </w:tc>
        <w:tc>
          <w:tcPr>
            <w:tcW w:w="1020" w:type="dxa"/>
          </w:tcPr>
          <w:p>
            <w:pPr>
              <w:pStyle w:val="0"/>
              <w:jc w:val="center"/>
            </w:pPr>
            <w:r>
              <w:rPr>
                <w:sz w:val="20"/>
              </w:rPr>
              <w:t xml:space="preserve">2020 год</w:t>
            </w:r>
          </w:p>
        </w:tc>
        <w:tc>
          <w:tcPr>
            <w:tcW w:w="1020" w:type="dxa"/>
          </w:tcPr>
          <w:p>
            <w:pPr>
              <w:pStyle w:val="0"/>
              <w:jc w:val="center"/>
            </w:pPr>
            <w:r>
              <w:rPr>
                <w:sz w:val="20"/>
              </w:rPr>
              <w:t xml:space="preserve">2021 год</w:t>
            </w:r>
          </w:p>
        </w:tc>
        <w:tc>
          <w:tcPr>
            <w:tcW w:w="1020" w:type="dxa"/>
          </w:tcPr>
          <w:p>
            <w:pPr>
              <w:pStyle w:val="0"/>
              <w:jc w:val="center"/>
            </w:pPr>
            <w:r>
              <w:rPr>
                <w:sz w:val="20"/>
              </w:rPr>
              <w:t xml:space="preserve">2022 год</w:t>
            </w:r>
          </w:p>
        </w:tc>
        <w:tc>
          <w:tcPr>
            <w:tcW w:w="1531" w:type="dxa"/>
          </w:tcPr>
          <w:p>
            <w:pPr>
              <w:pStyle w:val="0"/>
              <w:jc w:val="center"/>
            </w:pPr>
            <w:r>
              <w:rPr>
                <w:sz w:val="20"/>
              </w:rPr>
              <w:t xml:space="preserve">Темп прироста/</w:t>
            </w:r>
          </w:p>
          <w:p>
            <w:pPr>
              <w:pStyle w:val="0"/>
              <w:jc w:val="center"/>
            </w:pPr>
            <w:r>
              <w:rPr>
                <w:sz w:val="20"/>
              </w:rPr>
              <w:t xml:space="preserve">убыли к 2021 году, %</w:t>
            </w:r>
          </w:p>
        </w:tc>
      </w:tr>
      <w:tr>
        <w:tc>
          <w:tcPr>
            <w:tcW w:w="4479" w:type="dxa"/>
          </w:tcPr>
          <w:p>
            <w:pPr>
              <w:pStyle w:val="0"/>
            </w:pPr>
            <w:r>
              <w:rPr>
                <w:sz w:val="20"/>
              </w:rPr>
              <w:t xml:space="preserve">Всего</w:t>
            </w:r>
          </w:p>
        </w:tc>
        <w:tc>
          <w:tcPr>
            <w:tcW w:w="1020" w:type="dxa"/>
          </w:tcPr>
          <w:p>
            <w:pPr>
              <w:pStyle w:val="0"/>
            </w:pPr>
            <w:r>
              <w:rPr>
                <w:sz w:val="20"/>
              </w:rPr>
              <w:t xml:space="preserve">1676,5</w:t>
            </w:r>
          </w:p>
        </w:tc>
        <w:tc>
          <w:tcPr>
            <w:tcW w:w="1020" w:type="dxa"/>
          </w:tcPr>
          <w:p>
            <w:pPr>
              <w:pStyle w:val="0"/>
            </w:pPr>
            <w:r>
              <w:rPr>
                <w:sz w:val="20"/>
              </w:rPr>
              <w:t xml:space="preserve">1813,1</w:t>
            </w:r>
          </w:p>
        </w:tc>
        <w:tc>
          <w:tcPr>
            <w:tcW w:w="1020" w:type="dxa"/>
          </w:tcPr>
          <w:p>
            <w:pPr>
              <w:pStyle w:val="0"/>
            </w:pPr>
            <w:r>
              <w:rPr>
                <w:sz w:val="20"/>
              </w:rPr>
              <w:t xml:space="preserve">1890,6</w:t>
            </w:r>
          </w:p>
        </w:tc>
        <w:tc>
          <w:tcPr>
            <w:tcW w:w="1531" w:type="dxa"/>
          </w:tcPr>
          <w:p>
            <w:pPr>
              <w:pStyle w:val="0"/>
            </w:pPr>
            <w:r>
              <w:rPr>
                <w:sz w:val="20"/>
              </w:rPr>
              <w:t xml:space="preserve">4,3</w:t>
            </w:r>
          </w:p>
        </w:tc>
      </w:tr>
      <w:tr>
        <w:tc>
          <w:tcPr>
            <w:tcW w:w="4479" w:type="dxa"/>
          </w:tcPr>
          <w:p>
            <w:pPr>
              <w:pStyle w:val="0"/>
            </w:pPr>
            <w:r>
              <w:rPr>
                <w:sz w:val="20"/>
              </w:rPr>
              <w:t xml:space="preserve">Инфекционные и паразитарные болезни</w:t>
            </w:r>
          </w:p>
        </w:tc>
        <w:tc>
          <w:tcPr>
            <w:tcW w:w="1020" w:type="dxa"/>
          </w:tcPr>
          <w:p>
            <w:pPr>
              <w:pStyle w:val="0"/>
            </w:pPr>
            <w:r>
              <w:rPr>
                <w:sz w:val="20"/>
              </w:rPr>
              <w:t xml:space="preserve">70,5</w:t>
            </w:r>
          </w:p>
        </w:tc>
        <w:tc>
          <w:tcPr>
            <w:tcW w:w="1020" w:type="dxa"/>
          </w:tcPr>
          <w:p>
            <w:pPr>
              <w:pStyle w:val="0"/>
            </w:pPr>
            <w:r>
              <w:rPr>
                <w:sz w:val="20"/>
              </w:rPr>
              <w:t xml:space="preserve">76,7</w:t>
            </w:r>
          </w:p>
        </w:tc>
        <w:tc>
          <w:tcPr>
            <w:tcW w:w="1020" w:type="dxa"/>
          </w:tcPr>
          <w:p>
            <w:pPr>
              <w:pStyle w:val="0"/>
            </w:pPr>
            <w:r>
              <w:rPr>
                <w:sz w:val="20"/>
              </w:rPr>
              <w:t xml:space="preserve">74,5</w:t>
            </w:r>
          </w:p>
        </w:tc>
        <w:tc>
          <w:tcPr>
            <w:tcW w:w="1531" w:type="dxa"/>
          </w:tcPr>
          <w:p>
            <w:pPr>
              <w:pStyle w:val="0"/>
            </w:pPr>
            <w:r>
              <w:rPr>
                <w:sz w:val="20"/>
              </w:rPr>
              <w:t xml:space="preserve">-2,9</w:t>
            </w:r>
          </w:p>
        </w:tc>
      </w:tr>
      <w:tr>
        <w:tc>
          <w:tcPr>
            <w:tcW w:w="4479" w:type="dxa"/>
          </w:tcPr>
          <w:p>
            <w:pPr>
              <w:pStyle w:val="0"/>
            </w:pPr>
            <w:r>
              <w:rPr>
                <w:sz w:val="20"/>
              </w:rPr>
              <w:t xml:space="preserve">Новообразования</w:t>
            </w:r>
          </w:p>
        </w:tc>
        <w:tc>
          <w:tcPr>
            <w:tcW w:w="1020" w:type="dxa"/>
          </w:tcPr>
          <w:p>
            <w:pPr>
              <w:pStyle w:val="0"/>
            </w:pPr>
            <w:r>
              <w:rPr>
                <w:sz w:val="20"/>
              </w:rPr>
              <w:t xml:space="preserve">47,5</w:t>
            </w:r>
          </w:p>
        </w:tc>
        <w:tc>
          <w:tcPr>
            <w:tcW w:w="1020" w:type="dxa"/>
          </w:tcPr>
          <w:p>
            <w:pPr>
              <w:pStyle w:val="0"/>
            </w:pPr>
            <w:r>
              <w:rPr>
                <w:sz w:val="20"/>
              </w:rPr>
              <w:t xml:space="preserve">50,4</w:t>
            </w:r>
          </w:p>
        </w:tc>
        <w:tc>
          <w:tcPr>
            <w:tcW w:w="1020" w:type="dxa"/>
          </w:tcPr>
          <w:p>
            <w:pPr>
              <w:pStyle w:val="0"/>
            </w:pPr>
            <w:r>
              <w:rPr>
                <w:sz w:val="20"/>
              </w:rPr>
              <w:t xml:space="preserve">43,1</w:t>
            </w:r>
          </w:p>
        </w:tc>
        <w:tc>
          <w:tcPr>
            <w:tcW w:w="1531" w:type="dxa"/>
          </w:tcPr>
          <w:p>
            <w:pPr>
              <w:pStyle w:val="0"/>
            </w:pPr>
            <w:r>
              <w:rPr>
                <w:sz w:val="20"/>
              </w:rPr>
              <w:t xml:space="preserve">-14,5</w:t>
            </w:r>
          </w:p>
        </w:tc>
      </w:tr>
      <w:tr>
        <w:tc>
          <w:tcPr>
            <w:tcW w:w="4479" w:type="dxa"/>
          </w:tcPr>
          <w:p>
            <w:pPr>
              <w:pStyle w:val="0"/>
            </w:pPr>
            <w:r>
              <w:rPr>
                <w:sz w:val="20"/>
              </w:rPr>
              <w:t xml:space="preserve">Болезни крови и кроветворных органов и отдельные нарушения, вовлекающие иммунный механизм</w:t>
            </w:r>
          </w:p>
        </w:tc>
        <w:tc>
          <w:tcPr>
            <w:tcW w:w="1020" w:type="dxa"/>
          </w:tcPr>
          <w:p>
            <w:pPr>
              <w:pStyle w:val="0"/>
            </w:pPr>
            <w:r>
              <w:rPr>
                <w:sz w:val="20"/>
              </w:rPr>
              <w:t xml:space="preserve">13</w:t>
            </w:r>
          </w:p>
        </w:tc>
        <w:tc>
          <w:tcPr>
            <w:tcW w:w="1020" w:type="dxa"/>
          </w:tcPr>
          <w:p>
            <w:pPr>
              <w:pStyle w:val="0"/>
            </w:pPr>
            <w:r>
              <w:rPr>
                <w:sz w:val="20"/>
              </w:rPr>
              <w:t xml:space="preserve">14,3</w:t>
            </w:r>
          </w:p>
        </w:tc>
        <w:tc>
          <w:tcPr>
            <w:tcW w:w="1020" w:type="dxa"/>
          </w:tcPr>
          <w:p>
            <w:pPr>
              <w:pStyle w:val="0"/>
            </w:pPr>
            <w:r>
              <w:rPr>
                <w:sz w:val="20"/>
              </w:rPr>
              <w:t xml:space="preserve">16,4</w:t>
            </w:r>
          </w:p>
        </w:tc>
        <w:tc>
          <w:tcPr>
            <w:tcW w:w="1531" w:type="dxa"/>
          </w:tcPr>
          <w:p>
            <w:pPr>
              <w:pStyle w:val="0"/>
            </w:pPr>
            <w:r>
              <w:rPr>
                <w:sz w:val="20"/>
              </w:rPr>
              <w:t xml:space="preserve">14,7</w:t>
            </w:r>
          </w:p>
        </w:tc>
      </w:tr>
      <w:tr>
        <w:tc>
          <w:tcPr>
            <w:tcW w:w="4479" w:type="dxa"/>
          </w:tcPr>
          <w:p>
            <w:pPr>
              <w:pStyle w:val="0"/>
            </w:pPr>
            <w:r>
              <w:rPr>
                <w:sz w:val="20"/>
              </w:rPr>
              <w:t xml:space="preserve">Болезни эндокринной системы, расстройства питания, нарушение обмена веществ</w:t>
            </w:r>
          </w:p>
        </w:tc>
        <w:tc>
          <w:tcPr>
            <w:tcW w:w="1020" w:type="dxa"/>
          </w:tcPr>
          <w:p>
            <w:pPr>
              <w:pStyle w:val="0"/>
            </w:pPr>
            <w:r>
              <w:rPr>
                <w:sz w:val="20"/>
              </w:rPr>
              <w:t xml:space="preserve">94</w:t>
            </w:r>
          </w:p>
        </w:tc>
        <w:tc>
          <w:tcPr>
            <w:tcW w:w="1020" w:type="dxa"/>
          </w:tcPr>
          <w:p>
            <w:pPr>
              <w:pStyle w:val="0"/>
            </w:pPr>
            <w:r>
              <w:rPr>
                <w:sz w:val="20"/>
              </w:rPr>
              <w:t xml:space="preserve">105,7</w:t>
            </w:r>
          </w:p>
        </w:tc>
        <w:tc>
          <w:tcPr>
            <w:tcW w:w="1020" w:type="dxa"/>
          </w:tcPr>
          <w:p>
            <w:pPr>
              <w:pStyle w:val="0"/>
            </w:pPr>
            <w:r>
              <w:rPr>
                <w:sz w:val="20"/>
              </w:rPr>
              <w:t xml:space="preserve">120,2</w:t>
            </w:r>
          </w:p>
        </w:tc>
        <w:tc>
          <w:tcPr>
            <w:tcW w:w="1531" w:type="dxa"/>
          </w:tcPr>
          <w:p>
            <w:pPr>
              <w:pStyle w:val="0"/>
            </w:pPr>
            <w:r>
              <w:rPr>
                <w:sz w:val="20"/>
              </w:rPr>
              <w:t xml:space="preserve">13,7</w:t>
            </w:r>
          </w:p>
        </w:tc>
      </w:tr>
      <w:tr>
        <w:tc>
          <w:tcPr>
            <w:tcW w:w="4479" w:type="dxa"/>
          </w:tcPr>
          <w:p>
            <w:pPr>
              <w:pStyle w:val="0"/>
            </w:pPr>
            <w:r>
              <w:rPr>
                <w:sz w:val="20"/>
              </w:rPr>
              <w:t xml:space="preserve">Психические расстройства и расстройства поведения</w:t>
            </w:r>
          </w:p>
        </w:tc>
        <w:tc>
          <w:tcPr>
            <w:tcW w:w="1020" w:type="dxa"/>
          </w:tcPr>
          <w:p>
            <w:pPr>
              <w:pStyle w:val="0"/>
            </w:pPr>
            <w:r>
              <w:rPr>
                <w:sz w:val="20"/>
              </w:rPr>
              <w:t xml:space="preserve">28,3</w:t>
            </w:r>
          </w:p>
        </w:tc>
        <w:tc>
          <w:tcPr>
            <w:tcW w:w="1020" w:type="dxa"/>
          </w:tcPr>
          <w:p>
            <w:pPr>
              <w:pStyle w:val="0"/>
            </w:pPr>
            <w:r>
              <w:rPr>
                <w:sz w:val="20"/>
              </w:rPr>
              <w:t xml:space="preserve">27,9</w:t>
            </w:r>
          </w:p>
        </w:tc>
        <w:tc>
          <w:tcPr>
            <w:tcW w:w="1020" w:type="dxa"/>
          </w:tcPr>
          <w:p>
            <w:pPr>
              <w:pStyle w:val="0"/>
            </w:pPr>
            <w:r>
              <w:rPr>
                <w:sz w:val="20"/>
              </w:rPr>
              <w:t xml:space="preserve">27,8</w:t>
            </w:r>
          </w:p>
        </w:tc>
        <w:tc>
          <w:tcPr>
            <w:tcW w:w="1531" w:type="dxa"/>
          </w:tcPr>
          <w:p>
            <w:pPr>
              <w:pStyle w:val="0"/>
            </w:pPr>
            <w:r>
              <w:rPr>
                <w:sz w:val="20"/>
              </w:rPr>
              <w:t xml:space="preserve">-0,4</w:t>
            </w:r>
          </w:p>
        </w:tc>
      </w:tr>
      <w:tr>
        <w:tc>
          <w:tcPr>
            <w:tcW w:w="4479" w:type="dxa"/>
          </w:tcPr>
          <w:p>
            <w:pPr>
              <w:pStyle w:val="0"/>
            </w:pPr>
            <w:r>
              <w:rPr>
                <w:sz w:val="20"/>
              </w:rPr>
              <w:t xml:space="preserve">Болезни нервной системы</w:t>
            </w:r>
          </w:p>
        </w:tc>
        <w:tc>
          <w:tcPr>
            <w:tcW w:w="1020" w:type="dxa"/>
          </w:tcPr>
          <w:p>
            <w:pPr>
              <w:pStyle w:val="0"/>
            </w:pPr>
            <w:r>
              <w:rPr>
                <w:sz w:val="20"/>
              </w:rPr>
              <w:t xml:space="preserve">51,3</w:t>
            </w:r>
          </w:p>
        </w:tc>
        <w:tc>
          <w:tcPr>
            <w:tcW w:w="1020" w:type="dxa"/>
          </w:tcPr>
          <w:p>
            <w:pPr>
              <w:pStyle w:val="0"/>
            </w:pPr>
            <w:r>
              <w:rPr>
                <w:sz w:val="20"/>
              </w:rPr>
              <w:t xml:space="preserve">53,8</w:t>
            </w:r>
          </w:p>
        </w:tc>
        <w:tc>
          <w:tcPr>
            <w:tcW w:w="1020" w:type="dxa"/>
          </w:tcPr>
          <w:p>
            <w:pPr>
              <w:pStyle w:val="0"/>
            </w:pPr>
            <w:r>
              <w:rPr>
                <w:sz w:val="20"/>
              </w:rPr>
              <w:t xml:space="preserve">59,5</w:t>
            </w:r>
          </w:p>
        </w:tc>
        <w:tc>
          <w:tcPr>
            <w:tcW w:w="1531" w:type="dxa"/>
          </w:tcPr>
          <w:p>
            <w:pPr>
              <w:pStyle w:val="0"/>
            </w:pPr>
            <w:r>
              <w:rPr>
                <w:sz w:val="20"/>
              </w:rPr>
              <w:t xml:space="preserve">10,6</w:t>
            </w:r>
          </w:p>
        </w:tc>
      </w:tr>
      <w:tr>
        <w:tc>
          <w:tcPr>
            <w:tcW w:w="4479" w:type="dxa"/>
          </w:tcPr>
          <w:p>
            <w:pPr>
              <w:pStyle w:val="0"/>
            </w:pPr>
            <w:r>
              <w:rPr>
                <w:sz w:val="20"/>
              </w:rPr>
              <w:t xml:space="preserve">Болезни глаза и его придаточного аппарата</w:t>
            </w:r>
          </w:p>
        </w:tc>
        <w:tc>
          <w:tcPr>
            <w:tcW w:w="1020" w:type="dxa"/>
          </w:tcPr>
          <w:p>
            <w:pPr>
              <w:pStyle w:val="0"/>
            </w:pPr>
            <w:r>
              <w:rPr>
                <w:sz w:val="20"/>
              </w:rPr>
              <w:t xml:space="preserve">78,9</w:t>
            </w:r>
          </w:p>
        </w:tc>
        <w:tc>
          <w:tcPr>
            <w:tcW w:w="1020" w:type="dxa"/>
          </w:tcPr>
          <w:p>
            <w:pPr>
              <w:pStyle w:val="0"/>
            </w:pPr>
            <w:r>
              <w:rPr>
                <w:sz w:val="20"/>
              </w:rPr>
              <w:t xml:space="preserve">88,1</w:t>
            </w:r>
          </w:p>
        </w:tc>
        <w:tc>
          <w:tcPr>
            <w:tcW w:w="1020" w:type="dxa"/>
          </w:tcPr>
          <w:p>
            <w:pPr>
              <w:pStyle w:val="0"/>
            </w:pPr>
            <w:r>
              <w:rPr>
                <w:sz w:val="20"/>
              </w:rPr>
              <w:t xml:space="preserve">91,7</w:t>
            </w:r>
          </w:p>
        </w:tc>
        <w:tc>
          <w:tcPr>
            <w:tcW w:w="1531" w:type="dxa"/>
          </w:tcPr>
          <w:p>
            <w:pPr>
              <w:pStyle w:val="0"/>
            </w:pPr>
            <w:r>
              <w:rPr>
                <w:sz w:val="20"/>
              </w:rPr>
              <w:t xml:space="preserve">4,1</w:t>
            </w:r>
          </w:p>
        </w:tc>
      </w:tr>
      <w:tr>
        <w:tc>
          <w:tcPr>
            <w:tcW w:w="4479" w:type="dxa"/>
          </w:tcPr>
          <w:p>
            <w:pPr>
              <w:pStyle w:val="0"/>
            </w:pPr>
            <w:r>
              <w:rPr>
                <w:sz w:val="20"/>
              </w:rPr>
              <w:t xml:space="preserve">Болезни уха и сосцевидного отростка</w:t>
            </w:r>
          </w:p>
        </w:tc>
        <w:tc>
          <w:tcPr>
            <w:tcW w:w="1020" w:type="dxa"/>
          </w:tcPr>
          <w:p>
            <w:pPr>
              <w:pStyle w:val="0"/>
            </w:pPr>
            <w:r>
              <w:rPr>
                <w:sz w:val="20"/>
              </w:rPr>
              <w:t xml:space="preserve">27,9</w:t>
            </w:r>
          </w:p>
        </w:tc>
        <w:tc>
          <w:tcPr>
            <w:tcW w:w="1020" w:type="dxa"/>
          </w:tcPr>
          <w:p>
            <w:pPr>
              <w:pStyle w:val="0"/>
            </w:pPr>
            <w:r>
              <w:rPr>
                <w:sz w:val="20"/>
              </w:rPr>
              <w:t xml:space="preserve">32</w:t>
            </w:r>
          </w:p>
        </w:tc>
        <w:tc>
          <w:tcPr>
            <w:tcW w:w="1020" w:type="dxa"/>
          </w:tcPr>
          <w:p>
            <w:pPr>
              <w:pStyle w:val="0"/>
            </w:pPr>
            <w:r>
              <w:rPr>
                <w:sz w:val="20"/>
              </w:rPr>
              <w:t xml:space="preserve">36,7</w:t>
            </w:r>
          </w:p>
        </w:tc>
        <w:tc>
          <w:tcPr>
            <w:tcW w:w="1531" w:type="dxa"/>
          </w:tcPr>
          <w:p>
            <w:pPr>
              <w:pStyle w:val="0"/>
            </w:pPr>
            <w:r>
              <w:rPr>
                <w:sz w:val="20"/>
              </w:rPr>
              <w:t xml:space="preserve">14,7</w:t>
            </w:r>
          </w:p>
        </w:tc>
      </w:tr>
      <w:tr>
        <w:tc>
          <w:tcPr>
            <w:tcW w:w="4479" w:type="dxa"/>
          </w:tcPr>
          <w:p>
            <w:pPr>
              <w:pStyle w:val="0"/>
            </w:pPr>
            <w:r>
              <w:rPr>
                <w:sz w:val="20"/>
              </w:rPr>
              <w:t xml:space="preserve">Болезни системы кровообращения</w:t>
            </w:r>
          </w:p>
        </w:tc>
        <w:tc>
          <w:tcPr>
            <w:tcW w:w="1020" w:type="dxa"/>
          </w:tcPr>
          <w:p>
            <w:pPr>
              <w:pStyle w:val="0"/>
            </w:pPr>
            <w:r>
              <w:rPr>
                <w:sz w:val="20"/>
              </w:rPr>
              <w:t xml:space="preserve">176,3</w:t>
            </w:r>
          </w:p>
        </w:tc>
        <w:tc>
          <w:tcPr>
            <w:tcW w:w="1020" w:type="dxa"/>
          </w:tcPr>
          <w:p>
            <w:pPr>
              <w:pStyle w:val="0"/>
            </w:pPr>
            <w:r>
              <w:rPr>
                <w:sz w:val="20"/>
              </w:rPr>
              <w:t xml:space="preserve">187,3</w:t>
            </w:r>
          </w:p>
        </w:tc>
        <w:tc>
          <w:tcPr>
            <w:tcW w:w="1020" w:type="dxa"/>
          </w:tcPr>
          <w:p>
            <w:pPr>
              <w:pStyle w:val="0"/>
            </w:pPr>
            <w:r>
              <w:rPr>
                <w:sz w:val="20"/>
              </w:rPr>
              <w:t xml:space="preserve">202,3</w:t>
            </w:r>
          </w:p>
        </w:tc>
        <w:tc>
          <w:tcPr>
            <w:tcW w:w="1531" w:type="dxa"/>
          </w:tcPr>
          <w:p>
            <w:pPr>
              <w:pStyle w:val="0"/>
            </w:pPr>
            <w:r>
              <w:rPr>
                <w:sz w:val="20"/>
              </w:rPr>
              <w:t xml:space="preserve">8,0</w:t>
            </w:r>
          </w:p>
        </w:tc>
      </w:tr>
      <w:tr>
        <w:tc>
          <w:tcPr>
            <w:tcW w:w="4479" w:type="dxa"/>
          </w:tcPr>
          <w:p>
            <w:pPr>
              <w:pStyle w:val="0"/>
            </w:pPr>
            <w:r>
              <w:rPr>
                <w:sz w:val="20"/>
              </w:rPr>
              <w:t xml:space="preserve">Болезни органов дыхания (включая грипп, ОРВИ)</w:t>
            </w:r>
          </w:p>
        </w:tc>
        <w:tc>
          <w:tcPr>
            <w:tcW w:w="1020" w:type="dxa"/>
          </w:tcPr>
          <w:p>
            <w:pPr>
              <w:pStyle w:val="0"/>
            </w:pPr>
            <w:r>
              <w:rPr>
                <w:sz w:val="20"/>
              </w:rPr>
              <w:t xml:space="preserve">485,8</w:t>
            </w:r>
          </w:p>
        </w:tc>
        <w:tc>
          <w:tcPr>
            <w:tcW w:w="1020" w:type="dxa"/>
          </w:tcPr>
          <w:p>
            <w:pPr>
              <w:pStyle w:val="0"/>
            </w:pPr>
            <w:r>
              <w:rPr>
                <w:sz w:val="20"/>
              </w:rPr>
              <w:t xml:space="preserve">533,5</w:t>
            </w:r>
          </w:p>
        </w:tc>
        <w:tc>
          <w:tcPr>
            <w:tcW w:w="1020" w:type="dxa"/>
          </w:tcPr>
          <w:p>
            <w:pPr>
              <w:pStyle w:val="0"/>
            </w:pPr>
            <w:r>
              <w:rPr>
                <w:sz w:val="20"/>
              </w:rPr>
              <w:t xml:space="preserve">539,4</w:t>
            </w:r>
          </w:p>
        </w:tc>
        <w:tc>
          <w:tcPr>
            <w:tcW w:w="1531" w:type="dxa"/>
          </w:tcPr>
          <w:p>
            <w:pPr>
              <w:pStyle w:val="0"/>
            </w:pPr>
            <w:r>
              <w:rPr>
                <w:sz w:val="20"/>
              </w:rPr>
              <w:t xml:space="preserve">1,1</w:t>
            </w:r>
          </w:p>
        </w:tc>
      </w:tr>
      <w:tr>
        <w:tc>
          <w:tcPr>
            <w:tcW w:w="4479" w:type="dxa"/>
          </w:tcPr>
          <w:p>
            <w:pPr>
              <w:pStyle w:val="0"/>
            </w:pPr>
            <w:r>
              <w:rPr>
                <w:sz w:val="20"/>
              </w:rPr>
              <w:t xml:space="preserve">Болезни органов пищеварения</w:t>
            </w:r>
          </w:p>
        </w:tc>
        <w:tc>
          <w:tcPr>
            <w:tcW w:w="1020" w:type="dxa"/>
          </w:tcPr>
          <w:p>
            <w:pPr>
              <w:pStyle w:val="0"/>
            </w:pPr>
            <w:r>
              <w:rPr>
                <w:sz w:val="20"/>
              </w:rPr>
              <w:t xml:space="preserve">103,6</w:t>
            </w:r>
          </w:p>
        </w:tc>
        <w:tc>
          <w:tcPr>
            <w:tcW w:w="1020" w:type="dxa"/>
          </w:tcPr>
          <w:p>
            <w:pPr>
              <w:pStyle w:val="0"/>
            </w:pPr>
            <w:r>
              <w:rPr>
                <w:sz w:val="20"/>
              </w:rPr>
              <w:t xml:space="preserve">109,9</w:t>
            </w:r>
          </w:p>
        </w:tc>
        <w:tc>
          <w:tcPr>
            <w:tcW w:w="1020" w:type="dxa"/>
          </w:tcPr>
          <w:p>
            <w:pPr>
              <w:pStyle w:val="0"/>
            </w:pPr>
            <w:r>
              <w:rPr>
                <w:sz w:val="20"/>
              </w:rPr>
              <w:t xml:space="preserve">110,9</w:t>
            </w:r>
          </w:p>
        </w:tc>
        <w:tc>
          <w:tcPr>
            <w:tcW w:w="1531" w:type="dxa"/>
          </w:tcPr>
          <w:p>
            <w:pPr>
              <w:pStyle w:val="0"/>
            </w:pPr>
            <w:r>
              <w:rPr>
                <w:sz w:val="20"/>
              </w:rPr>
              <w:t xml:space="preserve">0,9</w:t>
            </w:r>
          </w:p>
        </w:tc>
      </w:tr>
      <w:tr>
        <w:tc>
          <w:tcPr>
            <w:tcW w:w="4479" w:type="dxa"/>
          </w:tcPr>
          <w:p>
            <w:pPr>
              <w:pStyle w:val="0"/>
            </w:pPr>
            <w:r>
              <w:rPr>
                <w:sz w:val="20"/>
              </w:rPr>
              <w:t xml:space="preserve">Болезни кожи и подкожной клетчатки</w:t>
            </w:r>
          </w:p>
        </w:tc>
        <w:tc>
          <w:tcPr>
            <w:tcW w:w="1020" w:type="dxa"/>
          </w:tcPr>
          <w:p>
            <w:pPr>
              <w:pStyle w:val="0"/>
            </w:pPr>
            <w:r>
              <w:rPr>
                <w:sz w:val="20"/>
              </w:rPr>
              <w:t xml:space="preserve">65,4</w:t>
            </w:r>
          </w:p>
        </w:tc>
        <w:tc>
          <w:tcPr>
            <w:tcW w:w="1020" w:type="dxa"/>
          </w:tcPr>
          <w:p>
            <w:pPr>
              <w:pStyle w:val="0"/>
            </w:pPr>
            <w:r>
              <w:rPr>
                <w:sz w:val="20"/>
              </w:rPr>
              <w:t xml:space="preserve">69,9</w:t>
            </w:r>
          </w:p>
        </w:tc>
        <w:tc>
          <w:tcPr>
            <w:tcW w:w="1020" w:type="dxa"/>
          </w:tcPr>
          <w:p>
            <w:pPr>
              <w:pStyle w:val="0"/>
            </w:pPr>
            <w:r>
              <w:rPr>
                <w:sz w:val="20"/>
              </w:rPr>
              <w:t xml:space="preserve">69,4</w:t>
            </w:r>
          </w:p>
        </w:tc>
        <w:tc>
          <w:tcPr>
            <w:tcW w:w="1531" w:type="dxa"/>
          </w:tcPr>
          <w:p>
            <w:pPr>
              <w:pStyle w:val="0"/>
            </w:pPr>
            <w:r>
              <w:rPr>
                <w:sz w:val="20"/>
              </w:rPr>
              <w:t xml:space="preserve">-0,7</w:t>
            </w:r>
          </w:p>
        </w:tc>
      </w:tr>
      <w:tr>
        <w:tc>
          <w:tcPr>
            <w:tcW w:w="4479" w:type="dxa"/>
          </w:tcPr>
          <w:p>
            <w:pPr>
              <w:pStyle w:val="0"/>
            </w:pPr>
            <w:r>
              <w:rPr>
                <w:sz w:val="20"/>
              </w:rPr>
              <w:t xml:space="preserve">Болезни костно-мышечной системы и соединительной ткани</w:t>
            </w:r>
          </w:p>
        </w:tc>
        <w:tc>
          <w:tcPr>
            <w:tcW w:w="1020" w:type="dxa"/>
          </w:tcPr>
          <w:p>
            <w:pPr>
              <w:pStyle w:val="0"/>
            </w:pPr>
            <w:r>
              <w:rPr>
                <w:sz w:val="20"/>
              </w:rPr>
              <w:t xml:space="preserve">138,2</w:t>
            </w:r>
          </w:p>
        </w:tc>
        <w:tc>
          <w:tcPr>
            <w:tcW w:w="1020" w:type="dxa"/>
          </w:tcPr>
          <w:p>
            <w:pPr>
              <w:pStyle w:val="0"/>
            </w:pPr>
            <w:r>
              <w:rPr>
                <w:sz w:val="20"/>
              </w:rPr>
              <w:t xml:space="preserve">135,6</w:t>
            </w:r>
          </w:p>
        </w:tc>
        <w:tc>
          <w:tcPr>
            <w:tcW w:w="1020" w:type="dxa"/>
          </w:tcPr>
          <w:p>
            <w:pPr>
              <w:pStyle w:val="0"/>
            </w:pPr>
            <w:r>
              <w:rPr>
                <w:sz w:val="20"/>
              </w:rPr>
              <w:t xml:space="preserve">149,0</w:t>
            </w:r>
          </w:p>
        </w:tc>
        <w:tc>
          <w:tcPr>
            <w:tcW w:w="1531" w:type="dxa"/>
          </w:tcPr>
          <w:p>
            <w:pPr>
              <w:pStyle w:val="0"/>
            </w:pPr>
            <w:r>
              <w:rPr>
                <w:sz w:val="20"/>
              </w:rPr>
              <w:t xml:space="preserve">9,9</w:t>
            </w:r>
          </w:p>
        </w:tc>
      </w:tr>
      <w:tr>
        <w:tc>
          <w:tcPr>
            <w:tcW w:w="4479" w:type="dxa"/>
          </w:tcPr>
          <w:p>
            <w:pPr>
              <w:pStyle w:val="0"/>
            </w:pPr>
            <w:r>
              <w:rPr>
                <w:sz w:val="20"/>
              </w:rPr>
              <w:t xml:space="preserve">Болезни мочеполовой системы</w:t>
            </w:r>
          </w:p>
        </w:tc>
        <w:tc>
          <w:tcPr>
            <w:tcW w:w="1020" w:type="dxa"/>
          </w:tcPr>
          <w:p>
            <w:pPr>
              <w:pStyle w:val="0"/>
            </w:pPr>
            <w:r>
              <w:rPr>
                <w:sz w:val="20"/>
              </w:rPr>
              <w:t xml:space="preserve">126,7</w:t>
            </w:r>
          </w:p>
        </w:tc>
        <w:tc>
          <w:tcPr>
            <w:tcW w:w="1020" w:type="dxa"/>
          </w:tcPr>
          <w:p>
            <w:pPr>
              <w:pStyle w:val="0"/>
            </w:pPr>
            <w:r>
              <w:rPr>
                <w:sz w:val="20"/>
              </w:rPr>
              <w:t xml:space="preserve">135,7</w:t>
            </w:r>
          </w:p>
        </w:tc>
        <w:tc>
          <w:tcPr>
            <w:tcW w:w="1020" w:type="dxa"/>
          </w:tcPr>
          <w:p>
            <w:pPr>
              <w:pStyle w:val="0"/>
            </w:pPr>
            <w:r>
              <w:rPr>
                <w:sz w:val="20"/>
              </w:rPr>
              <w:t xml:space="preserve">126,9</w:t>
            </w:r>
          </w:p>
        </w:tc>
        <w:tc>
          <w:tcPr>
            <w:tcW w:w="1531" w:type="dxa"/>
          </w:tcPr>
          <w:p>
            <w:pPr>
              <w:pStyle w:val="0"/>
            </w:pPr>
            <w:r>
              <w:rPr>
                <w:sz w:val="20"/>
              </w:rPr>
              <w:t xml:space="preserve">-6,5</w:t>
            </w:r>
          </w:p>
        </w:tc>
      </w:tr>
      <w:tr>
        <w:tc>
          <w:tcPr>
            <w:tcW w:w="4479" w:type="dxa"/>
          </w:tcPr>
          <w:p>
            <w:pPr>
              <w:pStyle w:val="0"/>
            </w:pPr>
            <w:r>
              <w:rPr>
                <w:sz w:val="20"/>
              </w:rPr>
              <w:t xml:space="preserve">Врожденные аномалии (пороки развития), деформации и хромосомные нарушения</w:t>
            </w:r>
          </w:p>
        </w:tc>
        <w:tc>
          <w:tcPr>
            <w:tcW w:w="1020" w:type="dxa"/>
          </w:tcPr>
          <w:p>
            <w:pPr>
              <w:pStyle w:val="0"/>
            </w:pPr>
            <w:r>
              <w:rPr>
                <w:sz w:val="20"/>
              </w:rPr>
              <w:t xml:space="preserve">9,2</w:t>
            </w:r>
          </w:p>
        </w:tc>
        <w:tc>
          <w:tcPr>
            <w:tcW w:w="1020" w:type="dxa"/>
          </w:tcPr>
          <w:p>
            <w:pPr>
              <w:pStyle w:val="0"/>
            </w:pPr>
            <w:r>
              <w:rPr>
                <w:sz w:val="20"/>
              </w:rPr>
              <w:t xml:space="preserve">10,5</w:t>
            </w:r>
          </w:p>
        </w:tc>
        <w:tc>
          <w:tcPr>
            <w:tcW w:w="1020" w:type="dxa"/>
          </w:tcPr>
          <w:p>
            <w:pPr>
              <w:pStyle w:val="0"/>
            </w:pPr>
            <w:r>
              <w:rPr>
                <w:sz w:val="20"/>
              </w:rPr>
              <w:t xml:space="preserve">10,2</w:t>
            </w:r>
          </w:p>
        </w:tc>
        <w:tc>
          <w:tcPr>
            <w:tcW w:w="1531" w:type="dxa"/>
          </w:tcPr>
          <w:p>
            <w:pPr>
              <w:pStyle w:val="0"/>
            </w:pPr>
            <w:r>
              <w:rPr>
                <w:sz w:val="20"/>
              </w:rPr>
              <w:t xml:space="preserve">-2,9</w:t>
            </w:r>
          </w:p>
        </w:tc>
      </w:tr>
      <w:tr>
        <w:tc>
          <w:tcPr>
            <w:tcW w:w="4479" w:type="dxa"/>
          </w:tcPr>
          <w:p>
            <w:pPr>
              <w:pStyle w:val="0"/>
            </w:pPr>
            <w:r>
              <w:rPr>
                <w:sz w:val="20"/>
              </w:rPr>
              <w:t xml:space="preserve">Травмы, отравления и некоторые другие последствия воздействия внешних причин</w:t>
            </w:r>
          </w:p>
        </w:tc>
        <w:tc>
          <w:tcPr>
            <w:tcW w:w="1020" w:type="dxa"/>
          </w:tcPr>
          <w:p>
            <w:pPr>
              <w:pStyle w:val="0"/>
            </w:pPr>
            <w:r>
              <w:rPr>
                <w:sz w:val="20"/>
              </w:rPr>
              <w:t xml:space="preserve">87,1</w:t>
            </w:r>
          </w:p>
        </w:tc>
        <w:tc>
          <w:tcPr>
            <w:tcW w:w="1020" w:type="dxa"/>
          </w:tcPr>
          <w:p>
            <w:pPr>
              <w:pStyle w:val="0"/>
            </w:pPr>
            <w:r>
              <w:rPr>
                <w:sz w:val="20"/>
              </w:rPr>
              <w:t xml:space="preserve">83,6</w:t>
            </w:r>
          </w:p>
        </w:tc>
        <w:tc>
          <w:tcPr>
            <w:tcW w:w="1020" w:type="dxa"/>
          </w:tcPr>
          <w:p>
            <w:pPr>
              <w:pStyle w:val="0"/>
            </w:pPr>
            <w:r>
              <w:rPr>
                <w:sz w:val="20"/>
              </w:rPr>
              <w:t xml:space="preserve">94,6</w:t>
            </w:r>
          </w:p>
        </w:tc>
        <w:tc>
          <w:tcPr>
            <w:tcW w:w="1531" w:type="dxa"/>
          </w:tcPr>
          <w:p>
            <w:pPr>
              <w:pStyle w:val="0"/>
            </w:pPr>
            <w:r>
              <w:rPr>
                <w:sz w:val="20"/>
              </w:rPr>
              <w:t xml:space="preserve">13,2</w:t>
            </w:r>
          </w:p>
        </w:tc>
      </w:tr>
      <w:tr>
        <w:tc>
          <w:tcPr>
            <w:tcW w:w="4479" w:type="dxa"/>
          </w:tcPr>
          <w:p>
            <w:pPr>
              <w:pStyle w:val="0"/>
            </w:pPr>
            <w:r>
              <w:rPr>
                <w:sz w:val="20"/>
              </w:rPr>
              <w:t xml:space="preserve">Новая коронавирусная инфекция</w:t>
            </w:r>
          </w:p>
        </w:tc>
        <w:tc>
          <w:tcPr>
            <w:tcW w:w="1020" w:type="dxa"/>
          </w:tcPr>
          <w:p>
            <w:pPr>
              <w:pStyle w:val="0"/>
            </w:pPr>
            <w:r>
              <w:rPr>
                <w:sz w:val="20"/>
              </w:rPr>
              <w:t xml:space="preserve">58</w:t>
            </w:r>
          </w:p>
        </w:tc>
        <w:tc>
          <w:tcPr>
            <w:tcW w:w="1020" w:type="dxa"/>
          </w:tcPr>
          <w:p>
            <w:pPr>
              <w:pStyle w:val="0"/>
            </w:pPr>
            <w:r>
              <w:rPr>
                <w:sz w:val="20"/>
              </w:rPr>
              <w:t xml:space="preserve">105,2</w:t>
            </w:r>
          </w:p>
        </w:tc>
        <w:tc>
          <w:tcPr>
            <w:tcW w:w="1020" w:type="dxa"/>
          </w:tcPr>
          <w:p>
            <w:pPr>
              <w:pStyle w:val="0"/>
            </w:pPr>
            <w:r>
              <w:rPr>
                <w:sz w:val="20"/>
              </w:rPr>
              <w:t xml:space="preserve">97,9</w:t>
            </w:r>
          </w:p>
        </w:tc>
        <w:tc>
          <w:tcPr>
            <w:tcW w:w="1531" w:type="dxa"/>
          </w:tcPr>
          <w:p>
            <w:pPr>
              <w:pStyle w:val="0"/>
            </w:pPr>
            <w:r>
              <w:rPr>
                <w:sz w:val="20"/>
              </w:rPr>
              <w:t xml:space="preserve">-6,9</w:t>
            </w:r>
          </w:p>
        </w:tc>
      </w:tr>
    </w:tbl>
    <w:p>
      <w:pPr>
        <w:pStyle w:val="0"/>
        <w:ind w:firstLine="540"/>
        <w:jc w:val="both"/>
      </w:pPr>
      <w:r>
        <w:rPr>
          <w:sz w:val="20"/>
        </w:rPr>
      </w:r>
    </w:p>
    <w:p>
      <w:pPr>
        <w:pStyle w:val="0"/>
        <w:ind w:firstLine="540"/>
        <w:jc w:val="both"/>
      </w:pPr>
      <w:r>
        <w:rPr>
          <w:sz w:val="20"/>
        </w:rPr>
        <w:t xml:space="preserve">В структуре общей заболеваемости населения автономного округа по убыванию распределились классы заболеваний: болезни органов дыхания (28,5%), системы кровообращения (10,7%), болезни костно-мышечной и соединительной ткани (7,9%), болезни мочеполовой системы (6,7%), болезни эндокринной системы расстройства питания, нарушение обмена веществ (6,4%), болезни органов пищеварения (5,9%), новая коронавирусная инфекция COVID-19 (5,2%), травмы и отравления (5,0%), болезни глаза и его придаточного аппарата (4,8%), инфекционные и паразитарные болезни (3,9%), болезни кожи и подкожной клетчатки (3,7%), болезни нервной системы (3,1%), новообразования (2,3%).</w:t>
      </w:r>
    </w:p>
    <w:p>
      <w:pPr>
        <w:pStyle w:val="0"/>
        <w:jc w:val="right"/>
      </w:pPr>
      <w:r>
        <w:rPr>
          <w:sz w:val="20"/>
        </w:rPr>
      </w:r>
    </w:p>
    <w:p>
      <w:pPr>
        <w:pStyle w:val="0"/>
        <w:jc w:val="right"/>
      </w:pPr>
      <w:r>
        <w:rPr>
          <w:sz w:val="20"/>
        </w:rPr>
        <w:t xml:space="preserve">Таблица 5</w:t>
      </w:r>
    </w:p>
    <w:p>
      <w:pPr>
        <w:pStyle w:val="0"/>
        <w:jc w:val="center"/>
      </w:pPr>
      <w:r>
        <w:rPr>
          <w:sz w:val="20"/>
        </w:rPr>
      </w:r>
    </w:p>
    <w:bookmarkStart w:id="21619" w:name="P21619"/>
    <w:bookmarkEnd w:id="21619"/>
    <w:p>
      <w:pPr>
        <w:pStyle w:val="0"/>
        <w:jc w:val="center"/>
      </w:pPr>
      <w:r>
        <w:rPr>
          <w:sz w:val="20"/>
        </w:rPr>
        <w:t xml:space="preserve">Первичная заболеваемость населения автономного округа</w:t>
      </w:r>
    </w:p>
    <w:p>
      <w:pPr>
        <w:pStyle w:val="0"/>
        <w:jc w:val="center"/>
      </w:pPr>
      <w:r>
        <w:rPr>
          <w:sz w:val="20"/>
        </w:rPr>
        <w:t xml:space="preserve">(на 1 тыс. человек)</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79"/>
        <w:gridCol w:w="1020"/>
        <w:gridCol w:w="1020"/>
        <w:gridCol w:w="1020"/>
        <w:gridCol w:w="1531"/>
      </w:tblGrid>
      <w:tr>
        <w:tc>
          <w:tcPr>
            <w:tcW w:w="4479" w:type="dxa"/>
          </w:tcPr>
          <w:p>
            <w:pPr>
              <w:pStyle w:val="0"/>
              <w:jc w:val="center"/>
            </w:pPr>
            <w:r>
              <w:rPr>
                <w:sz w:val="20"/>
              </w:rPr>
              <w:t xml:space="preserve">Классы болезней МКБ-10</w:t>
            </w:r>
          </w:p>
        </w:tc>
        <w:tc>
          <w:tcPr>
            <w:tcW w:w="1020" w:type="dxa"/>
          </w:tcPr>
          <w:p>
            <w:pPr>
              <w:pStyle w:val="0"/>
              <w:jc w:val="center"/>
            </w:pPr>
            <w:r>
              <w:rPr>
                <w:sz w:val="20"/>
              </w:rPr>
              <w:t xml:space="preserve">2020 год</w:t>
            </w:r>
          </w:p>
        </w:tc>
        <w:tc>
          <w:tcPr>
            <w:tcW w:w="1020" w:type="dxa"/>
          </w:tcPr>
          <w:p>
            <w:pPr>
              <w:pStyle w:val="0"/>
              <w:jc w:val="center"/>
            </w:pPr>
            <w:r>
              <w:rPr>
                <w:sz w:val="20"/>
              </w:rPr>
              <w:t xml:space="preserve">2021 год</w:t>
            </w:r>
          </w:p>
        </w:tc>
        <w:tc>
          <w:tcPr>
            <w:tcW w:w="1020" w:type="dxa"/>
          </w:tcPr>
          <w:p>
            <w:pPr>
              <w:pStyle w:val="0"/>
              <w:jc w:val="center"/>
            </w:pPr>
            <w:r>
              <w:rPr>
                <w:sz w:val="20"/>
              </w:rPr>
              <w:t xml:space="preserve">2022 год</w:t>
            </w:r>
          </w:p>
        </w:tc>
        <w:tc>
          <w:tcPr>
            <w:tcW w:w="1531" w:type="dxa"/>
          </w:tcPr>
          <w:p>
            <w:pPr>
              <w:pStyle w:val="0"/>
              <w:jc w:val="center"/>
            </w:pPr>
            <w:r>
              <w:rPr>
                <w:sz w:val="20"/>
              </w:rPr>
              <w:t xml:space="preserve">Темп прироста/</w:t>
            </w:r>
          </w:p>
          <w:p>
            <w:pPr>
              <w:pStyle w:val="0"/>
              <w:jc w:val="center"/>
            </w:pPr>
            <w:r>
              <w:rPr>
                <w:sz w:val="20"/>
              </w:rPr>
              <w:t xml:space="preserve">убыли к 2021 году, %</w:t>
            </w:r>
          </w:p>
        </w:tc>
      </w:tr>
      <w:tr>
        <w:tc>
          <w:tcPr>
            <w:tcW w:w="4479" w:type="dxa"/>
          </w:tcPr>
          <w:p>
            <w:pPr>
              <w:pStyle w:val="0"/>
            </w:pPr>
            <w:r>
              <w:rPr>
                <w:sz w:val="20"/>
              </w:rPr>
              <w:t xml:space="preserve">Всего</w:t>
            </w:r>
          </w:p>
        </w:tc>
        <w:tc>
          <w:tcPr>
            <w:tcW w:w="1020" w:type="dxa"/>
          </w:tcPr>
          <w:p>
            <w:pPr>
              <w:pStyle w:val="0"/>
            </w:pPr>
            <w:r>
              <w:rPr>
                <w:sz w:val="20"/>
              </w:rPr>
              <w:t xml:space="preserve">845,7</w:t>
            </w:r>
          </w:p>
        </w:tc>
        <w:tc>
          <w:tcPr>
            <w:tcW w:w="1020" w:type="dxa"/>
          </w:tcPr>
          <w:p>
            <w:pPr>
              <w:pStyle w:val="0"/>
            </w:pPr>
            <w:r>
              <w:rPr>
                <w:sz w:val="20"/>
              </w:rPr>
              <w:t xml:space="preserve">931,2</w:t>
            </w:r>
          </w:p>
        </w:tc>
        <w:tc>
          <w:tcPr>
            <w:tcW w:w="1020" w:type="dxa"/>
          </w:tcPr>
          <w:p>
            <w:pPr>
              <w:pStyle w:val="0"/>
            </w:pPr>
            <w:r>
              <w:rPr>
                <w:sz w:val="20"/>
              </w:rPr>
              <w:t xml:space="preserve">965,9</w:t>
            </w:r>
          </w:p>
        </w:tc>
        <w:tc>
          <w:tcPr>
            <w:tcW w:w="1531" w:type="dxa"/>
          </w:tcPr>
          <w:p>
            <w:pPr>
              <w:pStyle w:val="0"/>
            </w:pPr>
            <w:r>
              <w:rPr>
                <w:sz w:val="20"/>
              </w:rPr>
              <w:t xml:space="preserve">3,7</w:t>
            </w:r>
          </w:p>
        </w:tc>
      </w:tr>
      <w:tr>
        <w:tc>
          <w:tcPr>
            <w:tcW w:w="4479" w:type="dxa"/>
          </w:tcPr>
          <w:p>
            <w:pPr>
              <w:pStyle w:val="0"/>
            </w:pPr>
            <w:r>
              <w:rPr>
                <w:sz w:val="20"/>
              </w:rPr>
              <w:t xml:space="preserve">Инфекционные и паразитарные болезни</w:t>
            </w:r>
          </w:p>
        </w:tc>
        <w:tc>
          <w:tcPr>
            <w:tcW w:w="1020" w:type="dxa"/>
          </w:tcPr>
          <w:p>
            <w:pPr>
              <w:pStyle w:val="0"/>
            </w:pPr>
            <w:r>
              <w:rPr>
                <w:sz w:val="20"/>
              </w:rPr>
              <w:t xml:space="preserve">24,9</w:t>
            </w:r>
          </w:p>
        </w:tc>
        <w:tc>
          <w:tcPr>
            <w:tcW w:w="1020" w:type="dxa"/>
          </w:tcPr>
          <w:p>
            <w:pPr>
              <w:pStyle w:val="0"/>
            </w:pPr>
            <w:r>
              <w:rPr>
                <w:sz w:val="20"/>
              </w:rPr>
              <w:t xml:space="preserve">27,9</w:t>
            </w:r>
          </w:p>
        </w:tc>
        <w:tc>
          <w:tcPr>
            <w:tcW w:w="1020" w:type="dxa"/>
          </w:tcPr>
          <w:p>
            <w:pPr>
              <w:pStyle w:val="0"/>
            </w:pPr>
            <w:r>
              <w:rPr>
                <w:sz w:val="20"/>
              </w:rPr>
              <w:t xml:space="preserve">28,8</w:t>
            </w:r>
          </w:p>
        </w:tc>
        <w:tc>
          <w:tcPr>
            <w:tcW w:w="1531" w:type="dxa"/>
          </w:tcPr>
          <w:p>
            <w:pPr>
              <w:pStyle w:val="0"/>
            </w:pPr>
            <w:r>
              <w:rPr>
                <w:sz w:val="20"/>
              </w:rPr>
              <w:t xml:space="preserve">3,2</w:t>
            </w:r>
          </w:p>
        </w:tc>
      </w:tr>
      <w:tr>
        <w:tc>
          <w:tcPr>
            <w:tcW w:w="4479" w:type="dxa"/>
          </w:tcPr>
          <w:p>
            <w:pPr>
              <w:pStyle w:val="0"/>
            </w:pPr>
            <w:r>
              <w:rPr>
                <w:sz w:val="20"/>
              </w:rPr>
              <w:t xml:space="preserve">Новообразования</w:t>
            </w:r>
          </w:p>
        </w:tc>
        <w:tc>
          <w:tcPr>
            <w:tcW w:w="1020" w:type="dxa"/>
          </w:tcPr>
          <w:p>
            <w:pPr>
              <w:pStyle w:val="0"/>
            </w:pPr>
            <w:r>
              <w:rPr>
                <w:sz w:val="20"/>
              </w:rPr>
              <w:t xml:space="preserve">8,4</w:t>
            </w:r>
          </w:p>
        </w:tc>
        <w:tc>
          <w:tcPr>
            <w:tcW w:w="1020" w:type="dxa"/>
          </w:tcPr>
          <w:p>
            <w:pPr>
              <w:pStyle w:val="0"/>
            </w:pPr>
            <w:r>
              <w:rPr>
                <w:sz w:val="20"/>
              </w:rPr>
              <w:t xml:space="preserve">9,7</w:t>
            </w:r>
          </w:p>
        </w:tc>
        <w:tc>
          <w:tcPr>
            <w:tcW w:w="1020" w:type="dxa"/>
          </w:tcPr>
          <w:p>
            <w:pPr>
              <w:pStyle w:val="0"/>
            </w:pPr>
            <w:r>
              <w:rPr>
                <w:sz w:val="20"/>
              </w:rPr>
              <w:t xml:space="preserve">9,8</w:t>
            </w:r>
          </w:p>
        </w:tc>
        <w:tc>
          <w:tcPr>
            <w:tcW w:w="1531" w:type="dxa"/>
          </w:tcPr>
          <w:p>
            <w:pPr>
              <w:pStyle w:val="0"/>
            </w:pPr>
            <w:r>
              <w:rPr>
                <w:sz w:val="20"/>
              </w:rPr>
              <w:t xml:space="preserve">1,0</w:t>
            </w:r>
          </w:p>
        </w:tc>
      </w:tr>
      <w:tr>
        <w:tc>
          <w:tcPr>
            <w:tcW w:w="4479" w:type="dxa"/>
          </w:tcPr>
          <w:p>
            <w:pPr>
              <w:pStyle w:val="0"/>
            </w:pPr>
            <w:r>
              <w:rPr>
                <w:sz w:val="20"/>
              </w:rPr>
              <w:t xml:space="preserve">Болезни крови и кроветворных органов и отдельные нарушения, вовлекающие иммунный механизм</w:t>
            </w:r>
          </w:p>
        </w:tc>
        <w:tc>
          <w:tcPr>
            <w:tcW w:w="1020" w:type="dxa"/>
          </w:tcPr>
          <w:p>
            <w:pPr>
              <w:pStyle w:val="0"/>
            </w:pPr>
            <w:r>
              <w:rPr>
                <w:sz w:val="20"/>
              </w:rPr>
              <w:t xml:space="preserve">2,7</w:t>
            </w:r>
          </w:p>
        </w:tc>
        <w:tc>
          <w:tcPr>
            <w:tcW w:w="1020" w:type="dxa"/>
          </w:tcPr>
          <w:p>
            <w:pPr>
              <w:pStyle w:val="0"/>
            </w:pPr>
            <w:r>
              <w:rPr>
                <w:sz w:val="20"/>
              </w:rPr>
              <w:t xml:space="preserve">3,2</w:t>
            </w:r>
          </w:p>
        </w:tc>
        <w:tc>
          <w:tcPr>
            <w:tcW w:w="1020" w:type="dxa"/>
          </w:tcPr>
          <w:p>
            <w:pPr>
              <w:pStyle w:val="0"/>
            </w:pPr>
            <w:r>
              <w:rPr>
                <w:sz w:val="20"/>
              </w:rPr>
              <w:t xml:space="preserve">3,8</w:t>
            </w:r>
          </w:p>
        </w:tc>
        <w:tc>
          <w:tcPr>
            <w:tcW w:w="1531" w:type="dxa"/>
          </w:tcPr>
          <w:p>
            <w:pPr>
              <w:pStyle w:val="0"/>
            </w:pPr>
            <w:r>
              <w:rPr>
                <w:sz w:val="20"/>
              </w:rPr>
              <w:t xml:space="preserve">18,8</w:t>
            </w:r>
          </w:p>
        </w:tc>
      </w:tr>
      <w:tr>
        <w:tc>
          <w:tcPr>
            <w:tcW w:w="4479" w:type="dxa"/>
          </w:tcPr>
          <w:p>
            <w:pPr>
              <w:pStyle w:val="0"/>
            </w:pPr>
            <w:r>
              <w:rPr>
                <w:sz w:val="20"/>
              </w:rPr>
              <w:t xml:space="preserve">Болезни эндокринной системы, расстройства питания, нарушение обмена веществ</w:t>
            </w:r>
          </w:p>
        </w:tc>
        <w:tc>
          <w:tcPr>
            <w:tcW w:w="1020" w:type="dxa"/>
          </w:tcPr>
          <w:p>
            <w:pPr>
              <w:pStyle w:val="0"/>
            </w:pPr>
            <w:r>
              <w:rPr>
                <w:sz w:val="20"/>
              </w:rPr>
              <w:t xml:space="preserve">12,5</w:t>
            </w:r>
          </w:p>
        </w:tc>
        <w:tc>
          <w:tcPr>
            <w:tcW w:w="1020" w:type="dxa"/>
          </w:tcPr>
          <w:p>
            <w:pPr>
              <w:pStyle w:val="0"/>
            </w:pPr>
            <w:r>
              <w:rPr>
                <w:sz w:val="20"/>
              </w:rPr>
              <w:t xml:space="preserve">13,6</w:t>
            </w:r>
          </w:p>
        </w:tc>
        <w:tc>
          <w:tcPr>
            <w:tcW w:w="1020" w:type="dxa"/>
          </w:tcPr>
          <w:p>
            <w:pPr>
              <w:pStyle w:val="0"/>
            </w:pPr>
            <w:r>
              <w:rPr>
                <w:sz w:val="20"/>
              </w:rPr>
              <w:t xml:space="preserve">15,6</w:t>
            </w:r>
          </w:p>
        </w:tc>
        <w:tc>
          <w:tcPr>
            <w:tcW w:w="1531" w:type="dxa"/>
          </w:tcPr>
          <w:p>
            <w:pPr>
              <w:pStyle w:val="0"/>
            </w:pPr>
            <w:r>
              <w:rPr>
                <w:sz w:val="20"/>
              </w:rPr>
              <w:t xml:space="preserve">14,7</w:t>
            </w:r>
          </w:p>
        </w:tc>
      </w:tr>
      <w:tr>
        <w:tc>
          <w:tcPr>
            <w:tcW w:w="4479" w:type="dxa"/>
          </w:tcPr>
          <w:p>
            <w:pPr>
              <w:pStyle w:val="0"/>
            </w:pPr>
            <w:r>
              <w:rPr>
                <w:sz w:val="20"/>
              </w:rPr>
              <w:t xml:space="preserve">Психические расстройства и расстройства поведения</w:t>
            </w:r>
          </w:p>
        </w:tc>
        <w:tc>
          <w:tcPr>
            <w:tcW w:w="1020" w:type="dxa"/>
          </w:tcPr>
          <w:p>
            <w:pPr>
              <w:pStyle w:val="0"/>
            </w:pPr>
            <w:r>
              <w:rPr>
                <w:sz w:val="20"/>
              </w:rPr>
              <w:t xml:space="preserve">2,4</w:t>
            </w:r>
          </w:p>
        </w:tc>
        <w:tc>
          <w:tcPr>
            <w:tcW w:w="1020" w:type="dxa"/>
          </w:tcPr>
          <w:p>
            <w:pPr>
              <w:pStyle w:val="0"/>
            </w:pPr>
            <w:r>
              <w:rPr>
                <w:sz w:val="20"/>
              </w:rPr>
              <w:t xml:space="preserve">2,7</w:t>
            </w:r>
          </w:p>
        </w:tc>
        <w:tc>
          <w:tcPr>
            <w:tcW w:w="1020" w:type="dxa"/>
          </w:tcPr>
          <w:p>
            <w:pPr>
              <w:pStyle w:val="0"/>
            </w:pPr>
            <w:r>
              <w:rPr>
                <w:sz w:val="20"/>
              </w:rPr>
              <w:t xml:space="preserve">3,3</w:t>
            </w:r>
          </w:p>
        </w:tc>
        <w:tc>
          <w:tcPr>
            <w:tcW w:w="1531" w:type="dxa"/>
          </w:tcPr>
          <w:p>
            <w:pPr>
              <w:pStyle w:val="0"/>
            </w:pPr>
            <w:r>
              <w:rPr>
                <w:sz w:val="20"/>
              </w:rPr>
              <w:t xml:space="preserve">22,2</w:t>
            </w:r>
          </w:p>
        </w:tc>
      </w:tr>
      <w:tr>
        <w:tc>
          <w:tcPr>
            <w:tcW w:w="4479" w:type="dxa"/>
          </w:tcPr>
          <w:p>
            <w:pPr>
              <w:pStyle w:val="0"/>
            </w:pPr>
            <w:r>
              <w:rPr>
                <w:sz w:val="20"/>
              </w:rPr>
              <w:t xml:space="preserve">Болезни нервной системы</w:t>
            </w:r>
          </w:p>
        </w:tc>
        <w:tc>
          <w:tcPr>
            <w:tcW w:w="1020" w:type="dxa"/>
          </w:tcPr>
          <w:p>
            <w:pPr>
              <w:pStyle w:val="0"/>
            </w:pPr>
            <w:r>
              <w:rPr>
                <w:sz w:val="20"/>
              </w:rPr>
              <w:t xml:space="preserve">12,5</w:t>
            </w:r>
          </w:p>
        </w:tc>
        <w:tc>
          <w:tcPr>
            <w:tcW w:w="1020" w:type="dxa"/>
          </w:tcPr>
          <w:p>
            <w:pPr>
              <w:pStyle w:val="0"/>
            </w:pPr>
            <w:r>
              <w:rPr>
                <w:sz w:val="20"/>
              </w:rPr>
              <w:t xml:space="preserve">12,3</w:t>
            </w:r>
          </w:p>
        </w:tc>
        <w:tc>
          <w:tcPr>
            <w:tcW w:w="1020" w:type="dxa"/>
          </w:tcPr>
          <w:p>
            <w:pPr>
              <w:pStyle w:val="0"/>
            </w:pPr>
            <w:r>
              <w:rPr>
                <w:sz w:val="20"/>
              </w:rPr>
              <w:t xml:space="preserve">12,2</w:t>
            </w:r>
          </w:p>
        </w:tc>
        <w:tc>
          <w:tcPr>
            <w:tcW w:w="1531" w:type="dxa"/>
          </w:tcPr>
          <w:p>
            <w:pPr>
              <w:pStyle w:val="0"/>
            </w:pPr>
            <w:r>
              <w:rPr>
                <w:sz w:val="20"/>
              </w:rPr>
              <w:t xml:space="preserve">-0,8</w:t>
            </w:r>
          </w:p>
        </w:tc>
      </w:tr>
      <w:tr>
        <w:tc>
          <w:tcPr>
            <w:tcW w:w="4479" w:type="dxa"/>
          </w:tcPr>
          <w:p>
            <w:pPr>
              <w:pStyle w:val="0"/>
            </w:pPr>
            <w:r>
              <w:rPr>
                <w:sz w:val="20"/>
              </w:rPr>
              <w:t xml:space="preserve">Болезни глаза и его придаточного аппарата</w:t>
            </w:r>
          </w:p>
        </w:tc>
        <w:tc>
          <w:tcPr>
            <w:tcW w:w="1020" w:type="dxa"/>
          </w:tcPr>
          <w:p>
            <w:pPr>
              <w:pStyle w:val="0"/>
            </w:pPr>
            <w:r>
              <w:rPr>
                <w:sz w:val="20"/>
              </w:rPr>
              <w:t xml:space="preserve">19,7</w:t>
            </w:r>
          </w:p>
        </w:tc>
        <w:tc>
          <w:tcPr>
            <w:tcW w:w="1020" w:type="dxa"/>
          </w:tcPr>
          <w:p>
            <w:pPr>
              <w:pStyle w:val="0"/>
            </w:pPr>
            <w:r>
              <w:rPr>
                <w:sz w:val="20"/>
              </w:rPr>
              <w:t xml:space="preserve">19,4</w:t>
            </w:r>
          </w:p>
        </w:tc>
        <w:tc>
          <w:tcPr>
            <w:tcW w:w="1020" w:type="dxa"/>
          </w:tcPr>
          <w:p>
            <w:pPr>
              <w:pStyle w:val="0"/>
            </w:pPr>
            <w:r>
              <w:rPr>
                <w:sz w:val="20"/>
              </w:rPr>
              <w:t xml:space="preserve">18,6</w:t>
            </w:r>
          </w:p>
        </w:tc>
        <w:tc>
          <w:tcPr>
            <w:tcW w:w="1531" w:type="dxa"/>
          </w:tcPr>
          <w:p>
            <w:pPr>
              <w:pStyle w:val="0"/>
            </w:pPr>
            <w:r>
              <w:rPr>
                <w:sz w:val="20"/>
              </w:rPr>
              <w:t xml:space="preserve">-4,1</w:t>
            </w:r>
          </w:p>
        </w:tc>
      </w:tr>
      <w:tr>
        <w:tc>
          <w:tcPr>
            <w:tcW w:w="4479" w:type="dxa"/>
          </w:tcPr>
          <w:p>
            <w:pPr>
              <w:pStyle w:val="0"/>
            </w:pPr>
            <w:r>
              <w:rPr>
                <w:sz w:val="20"/>
              </w:rPr>
              <w:t xml:space="preserve">Болезни уха и сосцевидного отростка</w:t>
            </w:r>
          </w:p>
        </w:tc>
        <w:tc>
          <w:tcPr>
            <w:tcW w:w="1020" w:type="dxa"/>
          </w:tcPr>
          <w:p>
            <w:pPr>
              <w:pStyle w:val="0"/>
            </w:pPr>
            <w:r>
              <w:rPr>
                <w:sz w:val="20"/>
              </w:rPr>
              <w:t xml:space="preserve">17,6</w:t>
            </w:r>
          </w:p>
        </w:tc>
        <w:tc>
          <w:tcPr>
            <w:tcW w:w="1020" w:type="dxa"/>
          </w:tcPr>
          <w:p>
            <w:pPr>
              <w:pStyle w:val="0"/>
            </w:pPr>
            <w:r>
              <w:rPr>
                <w:sz w:val="20"/>
              </w:rPr>
              <w:t xml:space="preserve">19,5</w:t>
            </w:r>
          </w:p>
        </w:tc>
        <w:tc>
          <w:tcPr>
            <w:tcW w:w="1020" w:type="dxa"/>
          </w:tcPr>
          <w:p>
            <w:pPr>
              <w:pStyle w:val="0"/>
            </w:pPr>
            <w:r>
              <w:rPr>
                <w:sz w:val="20"/>
              </w:rPr>
              <w:t xml:space="preserve">22,2</w:t>
            </w:r>
          </w:p>
        </w:tc>
        <w:tc>
          <w:tcPr>
            <w:tcW w:w="1531" w:type="dxa"/>
          </w:tcPr>
          <w:p>
            <w:pPr>
              <w:pStyle w:val="0"/>
            </w:pPr>
            <w:r>
              <w:rPr>
                <w:sz w:val="20"/>
              </w:rPr>
              <w:t xml:space="preserve">13,8</w:t>
            </w:r>
          </w:p>
        </w:tc>
      </w:tr>
      <w:tr>
        <w:tc>
          <w:tcPr>
            <w:tcW w:w="4479" w:type="dxa"/>
          </w:tcPr>
          <w:p>
            <w:pPr>
              <w:pStyle w:val="0"/>
            </w:pPr>
            <w:r>
              <w:rPr>
                <w:sz w:val="20"/>
              </w:rPr>
              <w:t xml:space="preserve">Болезни системы кровообращения</w:t>
            </w:r>
          </w:p>
        </w:tc>
        <w:tc>
          <w:tcPr>
            <w:tcW w:w="1020" w:type="dxa"/>
          </w:tcPr>
          <w:p>
            <w:pPr>
              <w:pStyle w:val="0"/>
            </w:pPr>
            <w:r>
              <w:rPr>
                <w:sz w:val="20"/>
              </w:rPr>
              <w:t xml:space="preserve">16,8</w:t>
            </w:r>
          </w:p>
        </w:tc>
        <w:tc>
          <w:tcPr>
            <w:tcW w:w="1020" w:type="dxa"/>
          </w:tcPr>
          <w:p>
            <w:pPr>
              <w:pStyle w:val="0"/>
            </w:pPr>
            <w:r>
              <w:rPr>
                <w:sz w:val="20"/>
              </w:rPr>
              <w:t xml:space="preserve">19,3</w:t>
            </w:r>
          </w:p>
        </w:tc>
        <w:tc>
          <w:tcPr>
            <w:tcW w:w="1020" w:type="dxa"/>
          </w:tcPr>
          <w:p>
            <w:pPr>
              <w:pStyle w:val="0"/>
            </w:pPr>
            <w:r>
              <w:rPr>
                <w:sz w:val="20"/>
              </w:rPr>
              <w:t xml:space="preserve">21,5</w:t>
            </w:r>
          </w:p>
        </w:tc>
        <w:tc>
          <w:tcPr>
            <w:tcW w:w="1531" w:type="dxa"/>
          </w:tcPr>
          <w:p>
            <w:pPr>
              <w:pStyle w:val="0"/>
            </w:pPr>
            <w:r>
              <w:rPr>
                <w:sz w:val="20"/>
              </w:rPr>
              <w:t xml:space="preserve">11,4</w:t>
            </w:r>
          </w:p>
        </w:tc>
      </w:tr>
      <w:tr>
        <w:tc>
          <w:tcPr>
            <w:tcW w:w="4479" w:type="dxa"/>
          </w:tcPr>
          <w:p>
            <w:pPr>
              <w:pStyle w:val="0"/>
            </w:pPr>
            <w:r>
              <w:rPr>
                <w:sz w:val="20"/>
              </w:rPr>
              <w:t xml:space="preserve">Болезни органов дыхания (включая грипп, ОРВИ)</w:t>
            </w:r>
          </w:p>
        </w:tc>
        <w:tc>
          <w:tcPr>
            <w:tcW w:w="1020" w:type="dxa"/>
          </w:tcPr>
          <w:p>
            <w:pPr>
              <w:pStyle w:val="0"/>
            </w:pPr>
            <w:r>
              <w:rPr>
                <w:sz w:val="20"/>
              </w:rPr>
              <w:t xml:space="preserve">433,5</w:t>
            </w:r>
          </w:p>
        </w:tc>
        <w:tc>
          <w:tcPr>
            <w:tcW w:w="1020" w:type="dxa"/>
          </w:tcPr>
          <w:p>
            <w:pPr>
              <w:pStyle w:val="0"/>
            </w:pPr>
            <w:r>
              <w:rPr>
                <w:sz w:val="20"/>
              </w:rPr>
              <w:t xml:space="preserve">484,1</w:t>
            </w:r>
          </w:p>
        </w:tc>
        <w:tc>
          <w:tcPr>
            <w:tcW w:w="1020" w:type="dxa"/>
          </w:tcPr>
          <w:p>
            <w:pPr>
              <w:pStyle w:val="0"/>
            </w:pPr>
            <w:r>
              <w:rPr>
                <w:sz w:val="20"/>
              </w:rPr>
              <w:t xml:space="preserve">485,7</w:t>
            </w:r>
          </w:p>
        </w:tc>
        <w:tc>
          <w:tcPr>
            <w:tcW w:w="1531" w:type="dxa"/>
          </w:tcPr>
          <w:p>
            <w:pPr>
              <w:pStyle w:val="0"/>
            </w:pPr>
            <w:r>
              <w:rPr>
                <w:sz w:val="20"/>
              </w:rPr>
              <w:t xml:space="preserve">0,3</w:t>
            </w:r>
          </w:p>
        </w:tc>
      </w:tr>
      <w:tr>
        <w:tc>
          <w:tcPr>
            <w:tcW w:w="4479" w:type="dxa"/>
          </w:tcPr>
          <w:p>
            <w:pPr>
              <w:pStyle w:val="0"/>
            </w:pPr>
            <w:r>
              <w:rPr>
                <w:sz w:val="20"/>
              </w:rPr>
              <w:t xml:space="preserve">Болезни органов пищеварения</w:t>
            </w:r>
          </w:p>
        </w:tc>
        <w:tc>
          <w:tcPr>
            <w:tcW w:w="1020" w:type="dxa"/>
          </w:tcPr>
          <w:p>
            <w:pPr>
              <w:pStyle w:val="0"/>
            </w:pPr>
            <w:r>
              <w:rPr>
                <w:sz w:val="20"/>
              </w:rPr>
              <w:t xml:space="preserve">27,3</w:t>
            </w:r>
          </w:p>
        </w:tc>
        <w:tc>
          <w:tcPr>
            <w:tcW w:w="1020" w:type="dxa"/>
          </w:tcPr>
          <w:p>
            <w:pPr>
              <w:pStyle w:val="0"/>
            </w:pPr>
            <w:r>
              <w:rPr>
                <w:sz w:val="20"/>
              </w:rPr>
              <w:t xml:space="preserve">26,6</w:t>
            </w:r>
          </w:p>
        </w:tc>
        <w:tc>
          <w:tcPr>
            <w:tcW w:w="1020" w:type="dxa"/>
          </w:tcPr>
          <w:p>
            <w:pPr>
              <w:pStyle w:val="0"/>
            </w:pPr>
            <w:r>
              <w:rPr>
                <w:sz w:val="20"/>
              </w:rPr>
              <w:t xml:space="preserve">25,9</w:t>
            </w:r>
          </w:p>
        </w:tc>
        <w:tc>
          <w:tcPr>
            <w:tcW w:w="1531" w:type="dxa"/>
          </w:tcPr>
          <w:p>
            <w:pPr>
              <w:pStyle w:val="0"/>
            </w:pPr>
            <w:r>
              <w:rPr>
                <w:sz w:val="20"/>
              </w:rPr>
              <w:t xml:space="preserve">-2,6</w:t>
            </w:r>
          </w:p>
        </w:tc>
      </w:tr>
      <w:tr>
        <w:tc>
          <w:tcPr>
            <w:tcW w:w="4479" w:type="dxa"/>
          </w:tcPr>
          <w:p>
            <w:pPr>
              <w:pStyle w:val="0"/>
            </w:pPr>
            <w:r>
              <w:rPr>
                <w:sz w:val="20"/>
              </w:rPr>
              <w:t xml:space="preserve">Болезни кожи и подкожной клетчатки</w:t>
            </w:r>
          </w:p>
        </w:tc>
        <w:tc>
          <w:tcPr>
            <w:tcW w:w="1020" w:type="dxa"/>
          </w:tcPr>
          <w:p>
            <w:pPr>
              <w:pStyle w:val="0"/>
            </w:pPr>
            <w:r>
              <w:rPr>
                <w:sz w:val="20"/>
              </w:rPr>
              <w:t xml:space="preserve">42,2</w:t>
            </w:r>
          </w:p>
        </w:tc>
        <w:tc>
          <w:tcPr>
            <w:tcW w:w="1020" w:type="dxa"/>
          </w:tcPr>
          <w:p>
            <w:pPr>
              <w:pStyle w:val="0"/>
            </w:pPr>
            <w:r>
              <w:rPr>
                <w:sz w:val="20"/>
              </w:rPr>
              <w:t xml:space="preserve">41,7</w:t>
            </w:r>
          </w:p>
        </w:tc>
        <w:tc>
          <w:tcPr>
            <w:tcW w:w="1020" w:type="dxa"/>
          </w:tcPr>
          <w:p>
            <w:pPr>
              <w:pStyle w:val="0"/>
            </w:pPr>
            <w:r>
              <w:rPr>
                <w:sz w:val="20"/>
              </w:rPr>
              <w:t xml:space="preserve">41,6</w:t>
            </w:r>
          </w:p>
        </w:tc>
        <w:tc>
          <w:tcPr>
            <w:tcW w:w="1531" w:type="dxa"/>
          </w:tcPr>
          <w:p>
            <w:pPr>
              <w:pStyle w:val="0"/>
            </w:pPr>
            <w:r>
              <w:rPr>
                <w:sz w:val="20"/>
              </w:rPr>
              <w:t xml:space="preserve">-0,2</w:t>
            </w:r>
          </w:p>
        </w:tc>
      </w:tr>
      <w:tr>
        <w:tc>
          <w:tcPr>
            <w:tcW w:w="4479" w:type="dxa"/>
          </w:tcPr>
          <w:p>
            <w:pPr>
              <w:pStyle w:val="0"/>
            </w:pPr>
            <w:r>
              <w:rPr>
                <w:sz w:val="20"/>
              </w:rPr>
              <w:t xml:space="preserve">Болезни костно-мышечной системы и соединительной ткани</w:t>
            </w:r>
          </w:p>
        </w:tc>
        <w:tc>
          <w:tcPr>
            <w:tcW w:w="1020" w:type="dxa"/>
          </w:tcPr>
          <w:p>
            <w:pPr>
              <w:pStyle w:val="0"/>
            </w:pPr>
            <w:r>
              <w:rPr>
                <w:sz w:val="20"/>
              </w:rPr>
              <w:t xml:space="preserve">24</w:t>
            </w:r>
          </w:p>
        </w:tc>
        <w:tc>
          <w:tcPr>
            <w:tcW w:w="1020" w:type="dxa"/>
          </w:tcPr>
          <w:p>
            <w:pPr>
              <w:pStyle w:val="0"/>
            </w:pPr>
            <w:r>
              <w:rPr>
                <w:sz w:val="20"/>
              </w:rPr>
              <w:t xml:space="preserve">27,7</w:t>
            </w:r>
          </w:p>
        </w:tc>
        <w:tc>
          <w:tcPr>
            <w:tcW w:w="1020" w:type="dxa"/>
          </w:tcPr>
          <w:p>
            <w:pPr>
              <w:pStyle w:val="0"/>
            </w:pPr>
            <w:r>
              <w:rPr>
                <w:sz w:val="20"/>
              </w:rPr>
              <w:t xml:space="preserve">28,0</w:t>
            </w:r>
          </w:p>
        </w:tc>
        <w:tc>
          <w:tcPr>
            <w:tcW w:w="1531" w:type="dxa"/>
          </w:tcPr>
          <w:p>
            <w:pPr>
              <w:pStyle w:val="0"/>
            </w:pPr>
            <w:r>
              <w:rPr>
                <w:sz w:val="20"/>
              </w:rPr>
              <w:t xml:space="preserve">1,1</w:t>
            </w:r>
          </w:p>
        </w:tc>
      </w:tr>
      <w:tr>
        <w:tc>
          <w:tcPr>
            <w:tcW w:w="4479" w:type="dxa"/>
          </w:tcPr>
          <w:p>
            <w:pPr>
              <w:pStyle w:val="0"/>
            </w:pPr>
            <w:r>
              <w:rPr>
                <w:sz w:val="20"/>
              </w:rPr>
              <w:t xml:space="preserve">Болезни мочеполовой системы</w:t>
            </w:r>
          </w:p>
        </w:tc>
        <w:tc>
          <w:tcPr>
            <w:tcW w:w="1020" w:type="dxa"/>
          </w:tcPr>
          <w:p>
            <w:pPr>
              <w:pStyle w:val="0"/>
            </w:pPr>
            <w:r>
              <w:rPr>
                <w:sz w:val="20"/>
              </w:rPr>
              <w:t xml:space="preserve">40,1</w:t>
            </w:r>
          </w:p>
        </w:tc>
        <w:tc>
          <w:tcPr>
            <w:tcW w:w="1020" w:type="dxa"/>
          </w:tcPr>
          <w:p>
            <w:pPr>
              <w:pStyle w:val="0"/>
            </w:pPr>
            <w:r>
              <w:rPr>
                <w:sz w:val="20"/>
              </w:rPr>
              <w:t xml:space="preserve">41,1</w:t>
            </w:r>
          </w:p>
        </w:tc>
        <w:tc>
          <w:tcPr>
            <w:tcW w:w="1020" w:type="dxa"/>
          </w:tcPr>
          <w:p>
            <w:pPr>
              <w:pStyle w:val="0"/>
            </w:pPr>
            <w:r>
              <w:rPr>
                <w:sz w:val="20"/>
              </w:rPr>
              <w:t xml:space="preserve">39,2</w:t>
            </w:r>
          </w:p>
        </w:tc>
        <w:tc>
          <w:tcPr>
            <w:tcW w:w="1531" w:type="dxa"/>
          </w:tcPr>
          <w:p>
            <w:pPr>
              <w:pStyle w:val="0"/>
            </w:pPr>
            <w:r>
              <w:rPr>
                <w:sz w:val="20"/>
              </w:rPr>
              <w:t xml:space="preserve">-4,6</w:t>
            </w:r>
          </w:p>
        </w:tc>
      </w:tr>
      <w:tr>
        <w:tc>
          <w:tcPr>
            <w:tcW w:w="4479" w:type="dxa"/>
          </w:tcPr>
          <w:p>
            <w:pPr>
              <w:pStyle w:val="0"/>
            </w:pPr>
            <w:r>
              <w:rPr>
                <w:sz w:val="20"/>
              </w:rPr>
              <w:t xml:space="preserve">Врожденные аномалии (пороки развития), деформации и хромосомные нарушения</w:t>
            </w:r>
          </w:p>
        </w:tc>
        <w:tc>
          <w:tcPr>
            <w:tcW w:w="1020" w:type="dxa"/>
          </w:tcPr>
          <w:p>
            <w:pPr>
              <w:pStyle w:val="0"/>
            </w:pPr>
            <w:r>
              <w:rPr>
                <w:sz w:val="20"/>
              </w:rPr>
              <w:t xml:space="preserve">1,3</w:t>
            </w:r>
          </w:p>
        </w:tc>
        <w:tc>
          <w:tcPr>
            <w:tcW w:w="1020" w:type="dxa"/>
          </w:tcPr>
          <w:p>
            <w:pPr>
              <w:pStyle w:val="0"/>
            </w:pPr>
            <w:r>
              <w:rPr>
                <w:sz w:val="20"/>
              </w:rPr>
              <w:t xml:space="preserve">1,4</w:t>
            </w:r>
          </w:p>
        </w:tc>
        <w:tc>
          <w:tcPr>
            <w:tcW w:w="1020" w:type="dxa"/>
          </w:tcPr>
          <w:p>
            <w:pPr>
              <w:pStyle w:val="0"/>
            </w:pPr>
            <w:r>
              <w:rPr>
                <w:sz w:val="20"/>
              </w:rPr>
              <w:t xml:space="preserve">1,2</w:t>
            </w:r>
          </w:p>
        </w:tc>
        <w:tc>
          <w:tcPr>
            <w:tcW w:w="1531" w:type="dxa"/>
          </w:tcPr>
          <w:p>
            <w:pPr>
              <w:pStyle w:val="0"/>
            </w:pPr>
            <w:r>
              <w:rPr>
                <w:sz w:val="20"/>
              </w:rPr>
              <w:t xml:space="preserve">-14,3</w:t>
            </w:r>
          </w:p>
        </w:tc>
      </w:tr>
      <w:tr>
        <w:tc>
          <w:tcPr>
            <w:tcW w:w="4479" w:type="dxa"/>
          </w:tcPr>
          <w:p>
            <w:pPr>
              <w:pStyle w:val="0"/>
            </w:pPr>
            <w:r>
              <w:rPr>
                <w:sz w:val="20"/>
              </w:rPr>
              <w:t xml:space="preserve">Травмы, отравления и некоторые другие последствия воздействия внешних причин</w:t>
            </w:r>
          </w:p>
        </w:tc>
        <w:tc>
          <w:tcPr>
            <w:tcW w:w="1020" w:type="dxa"/>
          </w:tcPr>
          <w:p>
            <w:pPr>
              <w:pStyle w:val="0"/>
            </w:pPr>
            <w:r>
              <w:rPr>
                <w:sz w:val="20"/>
              </w:rPr>
              <w:t xml:space="preserve">86,9</w:t>
            </w:r>
          </w:p>
        </w:tc>
        <w:tc>
          <w:tcPr>
            <w:tcW w:w="1020" w:type="dxa"/>
          </w:tcPr>
          <w:p>
            <w:pPr>
              <w:pStyle w:val="0"/>
            </w:pPr>
            <w:r>
              <w:rPr>
                <w:sz w:val="20"/>
              </w:rPr>
              <w:t xml:space="preserve">83,6</w:t>
            </w:r>
          </w:p>
        </w:tc>
        <w:tc>
          <w:tcPr>
            <w:tcW w:w="1020" w:type="dxa"/>
          </w:tcPr>
          <w:p>
            <w:pPr>
              <w:pStyle w:val="0"/>
            </w:pPr>
            <w:r>
              <w:rPr>
                <w:sz w:val="20"/>
              </w:rPr>
              <w:t xml:space="preserve">94,6</w:t>
            </w:r>
          </w:p>
        </w:tc>
        <w:tc>
          <w:tcPr>
            <w:tcW w:w="1531" w:type="dxa"/>
          </w:tcPr>
          <w:p>
            <w:pPr>
              <w:pStyle w:val="0"/>
            </w:pPr>
            <w:r>
              <w:rPr>
                <w:sz w:val="20"/>
              </w:rPr>
              <w:t xml:space="preserve">13,2</w:t>
            </w:r>
          </w:p>
        </w:tc>
      </w:tr>
      <w:tr>
        <w:tc>
          <w:tcPr>
            <w:tcW w:w="4479" w:type="dxa"/>
          </w:tcPr>
          <w:p>
            <w:pPr>
              <w:pStyle w:val="0"/>
            </w:pPr>
            <w:r>
              <w:rPr>
                <w:sz w:val="20"/>
              </w:rPr>
              <w:t xml:space="preserve">Новая коронавирусная инфекция</w:t>
            </w:r>
          </w:p>
        </w:tc>
        <w:tc>
          <w:tcPr>
            <w:tcW w:w="1020" w:type="dxa"/>
          </w:tcPr>
          <w:p>
            <w:pPr>
              <w:pStyle w:val="0"/>
            </w:pPr>
            <w:r>
              <w:rPr>
                <w:sz w:val="20"/>
              </w:rPr>
              <w:t xml:space="preserve">58,0</w:t>
            </w:r>
          </w:p>
        </w:tc>
        <w:tc>
          <w:tcPr>
            <w:tcW w:w="1020" w:type="dxa"/>
          </w:tcPr>
          <w:p>
            <w:pPr>
              <w:pStyle w:val="0"/>
            </w:pPr>
            <w:r>
              <w:rPr>
                <w:sz w:val="20"/>
              </w:rPr>
              <w:t xml:space="preserve">105,2</w:t>
            </w:r>
          </w:p>
        </w:tc>
        <w:tc>
          <w:tcPr>
            <w:tcW w:w="1020" w:type="dxa"/>
          </w:tcPr>
          <w:p>
            <w:pPr>
              <w:pStyle w:val="0"/>
            </w:pPr>
            <w:r>
              <w:rPr>
                <w:sz w:val="20"/>
              </w:rPr>
              <w:t xml:space="preserve">97,9</w:t>
            </w:r>
          </w:p>
        </w:tc>
        <w:tc>
          <w:tcPr>
            <w:tcW w:w="1531" w:type="dxa"/>
          </w:tcPr>
          <w:p>
            <w:pPr>
              <w:pStyle w:val="0"/>
            </w:pPr>
            <w:r>
              <w:rPr>
                <w:sz w:val="20"/>
              </w:rPr>
              <w:t xml:space="preserve">-6,9</w:t>
            </w:r>
          </w:p>
        </w:tc>
      </w:tr>
    </w:tbl>
    <w:p>
      <w:pPr>
        <w:pStyle w:val="0"/>
        <w:ind w:firstLine="540"/>
        <w:jc w:val="both"/>
      </w:pPr>
      <w:r>
        <w:rPr>
          <w:sz w:val="20"/>
        </w:rPr>
      </w:r>
    </w:p>
    <w:p>
      <w:pPr>
        <w:pStyle w:val="0"/>
        <w:ind w:firstLine="540"/>
        <w:jc w:val="both"/>
      </w:pPr>
      <w:r>
        <w:rPr>
          <w:sz w:val="20"/>
        </w:rPr>
        <w:t xml:space="preserve">Показатель первичной заболеваемости населения автономного округа </w:t>
      </w:r>
      <w:hyperlink w:history="0" w:anchor="P21619" w:tooltip="Первичная заболеваемость населения автономного округа">
        <w:r>
          <w:rPr>
            <w:sz w:val="20"/>
            <w:color w:val="0000ff"/>
          </w:rPr>
          <w:t xml:space="preserve">(таблица 5)</w:t>
        </w:r>
      </w:hyperlink>
      <w:r>
        <w:rPr>
          <w:sz w:val="20"/>
        </w:rPr>
        <w:t xml:space="preserve"> повысился на 3,7% (с 931,2 на 1 тыс. населения в 2021 году до 965,9 в 2022 году), по УФО - 943,41, по РФ - 855,31 на 1 тыс. населения.</w:t>
      </w:r>
    </w:p>
    <w:p>
      <w:pPr>
        <w:pStyle w:val="0"/>
        <w:spacing w:before="200" w:line-rule="auto"/>
        <w:ind w:firstLine="540"/>
        <w:jc w:val="both"/>
      </w:pPr>
      <w:r>
        <w:rPr>
          <w:sz w:val="20"/>
        </w:rPr>
        <w:t xml:space="preserve">В структуре первичной заболеваемости населения автономного округа по убыванию распределились классы заболеваний: болезни органов дыхания (50,3%), новая коронавирусная инфекция, вызванная COVID-19 (10,1%), травмы, отравления и некоторые другие последствия воздействия внешних причин (9,8%), болезни кожи и подкожной клетчатки (4,3%), болезни мочеполовой системы (4,1%), инфекционные и паразитарные болезни (3,0%), болезни костно-мышечной и соединительной ткани и инфекционные и паразитарные болезни (2,9%), болезни органов пищеварения (2,7%), болезни уха и сосцевидного отростка (2,3%), болезни системы кровообращения (2,2%).</w:t>
      </w:r>
    </w:p>
    <w:p>
      <w:pPr>
        <w:pStyle w:val="0"/>
        <w:ind w:firstLine="540"/>
        <w:jc w:val="both"/>
      </w:pPr>
      <w:r>
        <w:rPr>
          <w:sz w:val="20"/>
        </w:rPr>
      </w:r>
    </w:p>
    <w:p>
      <w:pPr>
        <w:pStyle w:val="2"/>
        <w:outlineLvl w:val="1"/>
        <w:jc w:val="center"/>
      </w:pPr>
      <w:r>
        <w:rPr>
          <w:sz w:val="20"/>
        </w:rPr>
        <w:t xml:space="preserve">Раздел III. АНАЛИЗ ТЕКУЩЕГО СОСТОЯНИЯ СИСТЕМЫ ОКАЗАНИЯ ГМП</w:t>
      </w:r>
    </w:p>
    <w:p>
      <w:pPr>
        <w:pStyle w:val="2"/>
        <w:jc w:val="center"/>
      </w:pPr>
      <w:r>
        <w:rPr>
          <w:sz w:val="20"/>
        </w:rPr>
        <w:t xml:space="preserve">В АВТОНОМНОМ ОКРУГЕ</w:t>
      </w:r>
    </w:p>
    <w:p>
      <w:pPr>
        <w:pStyle w:val="0"/>
        <w:jc w:val="center"/>
      </w:pPr>
      <w:r>
        <w:rPr>
          <w:sz w:val="20"/>
        </w:rPr>
      </w:r>
    </w:p>
    <w:p>
      <w:pPr>
        <w:pStyle w:val="2"/>
        <w:outlineLvl w:val="2"/>
        <w:jc w:val="center"/>
      </w:pPr>
      <w:r>
        <w:rPr>
          <w:sz w:val="20"/>
        </w:rPr>
        <w:t xml:space="preserve">3.1. Анализ оказания медицинской помощи гражданам 60 лет</w:t>
      </w:r>
    </w:p>
    <w:p>
      <w:pPr>
        <w:pStyle w:val="2"/>
        <w:jc w:val="center"/>
      </w:pPr>
      <w:r>
        <w:rPr>
          <w:sz w:val="20"/>
        </w:rPr>
        <w:t xml:space="preserve">и старше</w:t>
      </w:r>
    </w:p>
    <w:p>
      <w:pPr>
        <w:pStyle w:val="0"/>
        <w:ind w:firstLine="540"/>
        <w:jc w:val="both"/>
      </w:pPr>
      <w:r>
        <w:rPr>
          <w:sz w:val="20"/>
        </w:rPr>
      </w:r>
    </w:p>
    <w:p>
      <w:pPr>
        <w:pStyle w:val="0"/>
        <w:ind w:firstLine="540"/>
        <w:jc w:val="both"/>
      </w:pPr>
      <w:r>
        <w:rPr>
          <w:sz w:val="20"/>
        </w:rPr>
        <w:t xml:space="preserve">В автономном округе ГМП оказывается в виде первичной медико-санитарной помощи и специализированной медицинской помощи.</w:t>
      </w:r>
    </w:p>
    <w:p>
      <w:pPr>
        <w:pStyle w:val="0"/>
        <w:spacing w:before="200" w:line-rule="auto"/>
        <w:ind w:firstLine="540"/>
        <w:jc w:val="both"/>
      </w:pPr>
      <w:r>
        <w:rPr>
          <w:sz w:val="20"/>
        </w:rPr>
        <w:t xml:space="preserve">Первичная ГМП оказывается в амбулаторных условиях в гериатрических кабинетах, в том числе на дому при вызове медицинского работника, и включает комплексную гериатрическую оценку пациента с формированием долгосрочного индивидуального плана проведения профилактических, лечебных и реабилитационных мероприятий, а также плана социальной и психологической адаптации.</w:t>
      </w:r>
    </w:p>
    <w:p>
      <w:pPr>
        <w:pStyle w:val="0"/>
        <w:spacing w:before="200" w:line-rule="auto"/>
        <w:ind w:firstLine="540"/>
        <w:jc w:val="both"/>
      </w:pPr>
      <w:r>
        <w:rPr>
          <w:sz w:val="20"/>
        </w:rPr>
        <w:t xml:space="preserve">Специализированная ГМП оказывается в стационарных условиях на геронтологических койках и в гериатрических отделениях медицинских организаций, оказывающих медицинскую помощь в стационарных условиях, включает диагностику и лечение заболеваний, гериатрических синдромов у пациентов со старческой астенией, комплексное применение лекарственной и немедикаментозной терапии, разработку плана по использованию средств и методов, адаптирующих окружающую среду к функциональным возможностям пациента и (или) функциональные возможности пациента к окружающей среде с использованием в том числе средств передвижения, протезирования и ортезирования, коррекции сенсорных дефицитов, а также медицинскую реабилитацию.</w:t>
      </w:r>
    </w:p>
    <w:p>
      <w:pPr>
        <w:pStyle w:val="0"/>
        <w:spacing w:before="200" w:line-rule="auto"/>
        <w:ind w:firstLine="540"/>
        <w:jc w:val="both"/>
      </w:pPr>
      <w:r>
        <w:rPr>
          <w:sz w:val="20"/>
        </w:rPr>
        <w:t xml:space="preserve">В медицинских организациях ГМП оказывается при взаимодействии врача-гериатра с врачами-терапевтами участковыми, врачами общей практики (семейными врачами), врачами медицинской реабилитации, врачами лечебной физкультуры, врачами-физиотерапевтами, иными врачами-специалистами в целях оказания медицинской помощи по соответствующему профилю, включая своевременную диагностику и оценку риска развития осложнений, связанных с основным и сопутствующими заболеваниями, а также проводимыми реабилитационными мероприятиями, с работниками, имеющими высшее немедицинское образование (логопедами, медицинскими психологами, инструкторами-методистами по лечебной физкультуре), в целях оценки и коррекции психоэмоционального состояния, нарушений коммуникативной сферы, ограничения физической активности, коррекции нарушений бытовых и профессиональных навыков.</w:t>
      </w:r>
    </w:p>
    <w:p>
      <w:pPr>
        <w:pStyle w:val="0"/>
        <w:spacing w:before="200" w:line-rule="auto"/>
        <w:ind w:firstLine="540"/>
        <w:jc w:val="both"/>
      </w:pPr>
      <w:r>
        <w:rPr>
          <w:sz w:val="20"/>
        </w:rPr>
        <w:t xml:space="preserve">На текущий момент в автономном округе ГМП в амбулаторных условиях оказывают 13 медицинских организаций автономного округа в соответствии с табелем оснащения и штатными нормативами организованы и функционируют 13 гериатрических кабинетов (в 2021 году - 9 кабинетов, в 2020 году - 6 кабинетов).</w:t>
      </w:r>
    </w:p>
    <w:p>
      <w:pPr>
        <w:pStyle w:val="0"/>
        <w:spacing w:before="200" w:line-rule="auto"/>
        <w:ind w:firstLine="540"/>
        <w:jc w:val="both"/>
      </w:pPr>
      <w:r>
        <w:rPr>
          <w:sz w:val="20"/>
        </w:rPr>
        <w:t xml:space="preserve">В 2023 году планируется открытие 1 кабинета на базе бюджетного учреждения автономного округа (далее - БУ) "Нефтеюганская окружная клиническая больница имени В.И. Яцкив".</w:t>
      </w:r>
    </w:p>
    <w:p>
      <w:pPr>
        <w:pStyle w:val="0"/>
        <w:spacing w:before="200" w:line-rule="auto"/>
        <w:ind w:firstLine="540"/>
        <w:jc w:val="both"/>
      </w:pPr>
      <w:r>
        <w:rPr>
          <w:sz w:val="20"/>
        </w:rPr>
        <w:t xml:space="preserve">Стационарная ГМП в автономном округе представлена 5 медицинскими организациями, имеющими лицензию на оказание ГМП, коечный фонд составляет 80 единиц.</w:t>
      </w:r>
    </w:p>
    <w:p>
      <w:pPr>
        <w:pStyle w:val="0"/>
        <w:spacing w:before="200" w:line-rule="auto"/>
        <w:ind w:firstLine="540"/>
        <w:jc w:val="both"/>
      </w:pPr>
      <w:r>
        <w:rPr>
          <w:sz w:val="20"/>
        </w:rPr>
        <w:t xml:space="preserve">При этом в 3 медицинских организациях автономного округа созданы гериатрические отделения (в БУ "Мегионская городская больница" - на 25 коек, в БУ "Пионерская районная больница" - на 25 коек, в БУ "Сургутская окружная клиническая больница" - на 20 коек; в 2 медицинских организациях геронтологические койки развернуты в терапевтических отделениях (в БУ "Окружная клиническая больница" - 5 коек, в БУ "Советская районная больница" - 5 коек).</w:t>
      </w:r>
    </w:p>
    <w:p>
      <w:pPr>
        <w:pStyle w:val="0"/>
        <w:spacing w:before="200" w:line-rule="auto"/>
        <w:ind w:firstLine="540"/>
        <w:jc w:val="both"/>
      </w:pPr>
      <w:r>
        <w:rPr>
          <w:sz w:val="20"/>
        </w:rPr>
        <w:t xml:space="preserve">Также в 2020 году в целях совершенствования организации оказания медицинской помощи по профилю "гериатрия" на базе БУ "Сургутская окружная клиническая больница" создан региональный гериатрический центр.</w:t>
      </w:r>
    </w:p>
    <w:p>
      <w:pPr>
        <w:pStyle w:val="0"/>
        <w:spacing w:before="200" w:line-rule="auto"/>
        <w:ind w:firstLine="540"/>
        <w:jc w:val="both"/>
      </w:pPr>
      <w:r>
        <w:rPr>
          <w:sz w:val="20"/>
        </w:rPr>
        <w:t xml:space="preserve">По итогам 2022 года число посещений врача-гериатра составило 8 396, из них 8 139 посещений по поводу заболеваний, посещений врачами-гериатрами на дому - 305 (в 2021 году число посещений врача-гериатра - 6 783, из них 6 280 посещений по поводу заболеваний, посещений врачами-гериатрами на дому - 122, в 2020 году - 5 494, из них 4 590 посещений по поводу заболеваний, посещений врачами-гериатрами на дому - 544). В 2022 году число посещений врача-гериатра выросло на 23,8%.</w:t>
      </w:r>
    </w:p>
    <w:p>
      <w:pPr>
        <w:pStyle w:val="0"/>
        <w:spacing w:before="200" w:line-rule="auto"/>
        <w:ind w:firstLine="540"/>
        <w:jc w:val="both"/>
      </w:pPr>
      <w:r>
        <w:rPr>
          <w:sz w:val="20"/>
        </w:rPr>
        <w:t xml:space="preserve">В 2022 году 1 604 гражданина старше 60 лет пролечены на геронтологических койках, уровень их госпитализации составил 62,8 (в 2021 году - 1 275 граждан, 53,1 соответственно, в 2020 году - 1 027 граждан, 46,2 соответственно). Показатель "уровень госпитализации на геронтологические койки граждан старше 60 лет" с 2020 года увеличился на 35,9%.</w:t>
      </w:r>
    </w:p>
    <w:p>
      <w:pPr>
        <w:pStyle w:val="0"/>
        <w:spacing w:before="200" w:line-rule="auto"/>
        <w:ind w:firstLine="540"/>
        <w:jc w:val="both"/>
      </w:pPr>
      <w:r>
        <w:rPr>
          <w:sz w:val="20"/>
        </w:rPr>
        <w:t xml:space="preserve">В целях профилактики и раннего выявления хронических неинфекционных заболеваний, являющихся основной причиной инвалидизации и преждевременной смертности населения, проводятся профилактические медицинские осмотры и диспансеризация граждан, в том числе старше трудоспособного возраста.</w:t>
      </w:r>
    </w:p>
    <w:p>
      <w:pPr>
        <w:pStyle w:val="0"/>
        <w:spacing w:before="200" w:line-rule="auto"/>
        <w:ind w:firstLine="540"/>
        <w:jc w:val="both"/>
      </w:pPr>
      <w:r>
        <w:rPr>
          <w:sz w:val="20"/>
        </w:rPr>
        <w:t xml:space="preserve">Проведение профилактических медицинских осмотров и диспансеризации, в том числе лиц старше трудоспособного возраста, регламентировано </w:t>
      </w:r>
      <w:hyperlink w:history="0" r:id="rId179" w:tooltip="Приказ Минздрава России от 27.04.2021 N 404н (ред. от 28.09.2023) &quot;Об утверждении Порядка проведения профилактического медицинского осмотра и диспансеризации определенных групп взрослого населения&quot; (Зарегистрировано в Минюсте России 30.06.2021 N 64042) {КонсультантПлюс}">
        <w:r>
          <w:rPr>
            <w:sz w:val="20"/>
            <w:color w:val="0000ff"/>
          </w:rPr>
          <w:t xml:space="preserve">приказом</w:t>
        </w:r>
      </w:hyperlink>
      <w:r>
        <w:rPr>
          <w:sz w:val="20"/>
        </w:rPr>
        <w:t xml:space="preserve"> Минздрава России от 27 апреля 2021 года N 404н "Об утверждении Порядка проведения профилактического медицинского осмотра и диспансеризации определенных групп взрослого населения".</w:t>
      </w:r>
    </w:p>
    <w:p>
      <w:pPr>
        <w:pStyle w:val="0"/>
        <w:spacing w:before="200" w:line-rule="auto"/>
        <w:ind w:firstLine="540"/>
        <w:jc w:val="both"/>
      </w:pPr>
      <w:r>
        <w:rPr>
          <w:sz w:val="20"/>
        </w:rPr>
        <w:t xml:space="preserve">В автономном округе порядок проведения профилактических осмотров и диспансеризации определен приказом Департамента здравоохранения автономного округа (далее - Депздрав Югры) от 17 ноября 2022 года N 1844 "О проведении диспансеризации, в том числе углубленной диспансеризации граждан, перенесших COVID-19, и профилактических медицинских осмотров взрослого населения и несовершеннолетних на территории Ханты-Мансийского автономного округа - Югры в 2023 году". Всего в проведении профилактических медицинских осмотров и диспансеризации взрослого населения в 2023 году задействовано 38 медицинских организаций, где обеспечены условия ее проведения: изменен режим работы, обеспечена работа специалистов в вечернее время и в субботние дни, имеется возможность записи на прием в электронной форме с использованием Единого портала государственных и муниципальных услуг в удобное время.</w:t>
      </w:r>
    </w:p>
    <w:p>
      <w:pPr>
        <w:pStyle w:val="0"/>
        <w:spacing w:before="200" w:line-rule="auto"/>
        <w:ind w:firstLine="540"/>
        <w:jc w:val="both"/>
      </w:pPr>
      <w:r>
        <w:rPr>
          <w:sz w:val="20"/>
        </w:rPr>
        <w:t xml:space="preserve">В целях активного привлечения граждан к прохождению диспансеризации предусмотрено проведение подворовых обходов, вовлечение работодателей, применение иных технологий с учетом особенностей обслуживаемой территории.</w:t>
      </w:r>
    </w:p>
    <w:p>
      <w:pPr>
        <w:pStyle w:val="0"/>
        <w:spacing w:before="200" w:line-rule="auto"/>
        <w:ind w:firstLine="540"/>
        <w:jc w:val="both"/>
      </w:pPr>
      <w:r>
        <w:rPr>
          <w:sz w:val="20"/>
        </w:rPr>
        <w:t xml:space="preserve">В 2022 году 146 990 граждан старше трудоспособного возраста охвачены профилактическими осмотрами, включая диспансеризацию, что составляет 54,5% от общего количества обслуживаемого населения старше трудоспособного возраста в автономном округе (в 2021 году - 82 531 гражданин, что составляет 29,6% от общего количества обслуживаемого населения старше трудоспособного возраста; в 2020 году - 64 708 граждан, что составляет 22,4% от общего количества обслуживаемого населения старше трудоспособного возраста). За последний год показатель "охват граждан старше трудоспособного возраста профилактическими осмотрами, включая диспансеризацию" вырос на 84,1%.</w:t>
      </w:r>
    </w:p>
    <w:p>
      <w:pPr>
        <w:pStyle w:val="0"/>
        <w:spacing w:before="200" w:line-rule="auto"/>
        <w:ind w:firstLine="540"/>
        <w:jc w:val="both"/>
      </w:pPr>
      <w:r>
        <w:rPr>
          <w:sz w:val="20"/>
        </w:rPr>
        <w:t xml:space="preserve">В 2022 году у 216 839 граждан старше трудоспособного возраста выявлены заболевания и патологические состояния, из них 180 191 человек находится под диспансерным наблюдением, что составляет 83,1% (в 2021 году - у 236 335 граждан старше трудоспособного возраста выявлены заболевания и патологические состояния, из них 180 841 человек находился под диспансерным наблюдением, что составляет 76,5%; в 2020 году - у 238 871 гражданина, из них 170 778 человек находились под диспансерным наблюдением, что составляет 71,5%). Показатель "доля лиц старше трудоспособного возраста, у которых выявлены заболевания и патологические состояния, находящиеся под диспансерным наблюдением" увеличился на 8,6%.</w:t>
      </w:r>
    </w:p>
    <w:p>
      <w:pPr>
        <w:pStyle w:val="0"/>
        <w:spacing w:before="200" w:line-rule="auto"/>
        <w:ind w:firstLine="540"/>
        <w:jc w:val="both"/>
      </w:pPr>
      <w:r>
        <w:rPr>
          <w:sz w:val="20"/>
        </w:rPr>
        <w:t xml:space="preserve">При реализации регионального проекта "Старшее поколение" закуплены 9 автотранспортных средств для осуществления доставки лиц старше 65 лет, проживающих в сельской местности, в медицинские организации автономного округа для проведения диспансеризации.</w:t>
      </w:r>
    </w:p>
    <w:p>
      <w:pPr>
        <w:pStyle w:val="0"/>
        <w:spacing w:before="200" w:line-rule="auto"/>
        <w:ind w:firstLine="540"/>
        <w:jc w:val="both"/>
      </w:pPr>
      <w:r>
        <w:rPr>
          <w:sz w:val="20"/>
        </w:rPr>
        <w:t xml:space="preserve">Совместными приказами Департамента социального развития автономного округа (далее - Депсоцразвития Югры) и Депздрава Югры от 29 марта 2019 года N 297р/363, от 24 июля 2019 года N 678-р/877 утверждены регламент межведомственного взаимодействия Депсоцразвития Югры и Депздрава Югры по вопросам доставки лиц старше 65 лет, проживающих в сельской местности, в медицинские организации автономного округа, в том числе для проведения дополнительных скринингов на выявление отдельных социально значимых неинфекционных заболеваний; порядок доставки лиц старше 65 лет, проживающих в сельской местности, в медицинские организации автономного округа.</w:t>
      </w:r>
    </w:p>
    <w:p>
      <w:pPr>
        <w:pStyle w:val="0"/>
        <w:spacing w:before="200" w:line-rule="auto"/>
        <w:ind w:firstLine="540"/>
        <w:jc w:val="both"/>
      </w:pPr>
      <w:r>
        <w:rPr>
          <w:sz w:val="20"/>
        </w:rPr>
        <w:t xml:space="preserve">Межведомственное взаимодействие при оказании комплексной медико-психолого-социальной помощи гражданам, в том числе пожилого возраста, в автономном округе осуществляется согласно совместному приказу Депсоцразвития Югры и Депздрава Югры от 29 сентября 2016 года N 643-р/1037 "Об организации деятельности мультидисциплинарных бригад" (далее - Приказ N 643-р/1037).</w:t>
      </w:r>
    </w:p>
    <w:p>
      <w:pPr>
        <w:pStyle w:val="0"/>
        <w:spacing w:before="200" w:line-rule="auto"/>
        <w:ind w:firstLine="540"/>
        <w:jc w:val="both"/>
      </w:pPr>
      <w:r>
        <w:rPr>
          <w:sz w:val="20"/>
        </w:rPr>
        <w:t xml:space="preserve">В соответствии с Приказом N 643-р/1037 41 мультидисциплинарная бригада создана по территориальному принципу при учреждениях социального обслуживания населения автономного округа на основании заключенного с медицинскими организациями автономного округа соглашения. В ее состав включены сотрудники обоих ведомств: специалист по социальной работе, психолог, инструктор по адаптивной физкультуре, инструктор по лечебной физкультуре, медицинская сестра по массажу, специалист по реабилитации инвалидов, медицинская сестра участковая, врач терапевт участковый. В медицинских организациях автономного округа назначены ответственные лица за деятельность мультидисциплинарных бригад. Ежемесячно медицинские организации автономного округа актуализируют списки граждан, нуждающихся в оказании комплексной медико-психолого-социальной помощи.</w:t>
      </w:r>
    </w:p>
    <w:p>
      <w:pPr>
        <w:pStyle w:val="0"/>
        <w:spacing w:before="200" w:line-rule="auto"/>
        <w:ind w:firstLine="540"/>
        <w:jc w:val="both"/>
      </w:pPr>
      <w:r>
        <w:rPr>
          <w:sz w:val="20"/>
        </w:rPr>
        <w:t xml:space="preserve">В условиях межведомственного взаимодействия в целях определения уровня зависимости граждан пожилого возраста от посторонней помощи и создания условий для наиболее полного и своевременного удовлетворения их потребности в социальных и медицинских услугах совместными приказами Депсоцразвития Югры и Депздрава Югры от 15 августа 2019 года N 745-р/965, от 29 августа 2019 года N 857-р/1013 утверждены порядок выявления граждан пожилого возраста, нуждающихся в предоставлении социальных и медицинских услуг, перечень критериев оценки обстоятельств, ухудшающих условия жизнедеятельности граждан, для организации оказания социальных услуг.</w:t>
      </w:r>
    </w:p>
    <w:p>
      <w:pPr>
        <w:pStyle w:val="0"/>
        <w:spacing w:before="200" w:line-rule="auto"/>
        <w:ind w:firstLine="540"/>
        <w:jc w:val="both"/>
      </w:pPr>
      <w:r>
        <w:rPr>
          <w:sz w:val="20"/>
        </w:rPr>
        <w:t xml:space="preserve">С целью организации работы по проведению вакцинации против пневмококковой инфекции граждан старше трудоспособного возраста, проживающих в организациях социального обслуживания, Депздравом Югры и Депсоцразвитием Югры издан совместный приказ от 23 мая 2019 года N 488-р/639 "О регламенте межведомственного взаимодействия Департамента социального развития Ханты-Мансийского автономного округа - Югры и Департамента здравоохранения Ханты-Мансийского автономного округа - Югры по проведению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Ханты-Мансийского автономного округа - Югры".</w:t>
      </w:r>
    </w:p>
    <w:p>
      <w:pPr>
        <w:pStyle w:val="0"/>
        <w:spacing w:before="200" w:line-rule="auto"/>
        <w:ind w:firstLine="540"/>
        <w:jc w:val="both"/>
      </w:pPr>
      <w:r>
        <w:rPr>
          <w:sz w:val="20"/>
        </w:rPr>
        <w:t xml:space="preserve">В 2020 году 1 169 граждан старше трудоспособного возраста из групп риска, проживающих в организациях социального обслуживания автономного округа, прошли вакцинацию против пневмококковой инфекции, охват составил 99,8% от общего количества указанной категории граждан (1 171 человек), в 2021 году 1 122 таких гражданина, охват составил 95,2% от общего количества указанной категории граждан (1 179 человек), в 2022 году 1 120 таких граждан, охват составил 96% от общего количества указанной категории граждан (1 167 человек).</w:t>
      </w:r>
    </w:p>
    <w:p>
      <w:pPr>
        <w:pStyle w:val="0"/>
        <w:spacing w:before="200" w:line-rule="auto"/>
        <w:ind w:firstLine="540"/>
        <w:jc w:val="both"/>
      </w:pPr>
      <w:r>
        <w:rPr>
          <w:sz w:val="20"/>
        </w:rPr>
        <w:t xml:space="preserve">За последние 3 года охват вакцинацией против пневмококковой инфекции граждан старше трудоспособного возраста из групп риска, проживающих в организациях социального обслуживания автономного округа, выше 95%.</w:t>
      </w:r>
    </w:p>
    <w:p>
      <w:pPr>
        <w:pStyle w:val="0"/>
        <w:ind w:firstLine="540"/>
        <w:jc w:val="both"/>
      </w:pPr>
      <w:r>
        <w:rPr>
          <w:sz w:val="20"/>
        </w:rPr>
      </w:r>
    </w:p>
    <w:p>
      <w:pPr>
        <w:pStyle w:val="2"/>
        <w:outlineLvl w:val="2"/>
        <w:jc w:val="center"/>
      </w:pPr>
      <w:r>
        <w:rPr>
          <w:sz w:val="20"/>
        </w:rPr>
        <w:t xml:space="preserve">3.2. Анализ социального статуса и условий проживания граждан</w:t>
      </w:r>
    </w:p>
    <w:p>
      <w:pPr>
        <w:pStyle w:val="2"/>
        <w:jc w:val="center"/>
      </w:pPr>
      <w:r>
        <w:rPr>
          <w:sz w:val="20"/>
        </w:rPr>
        <w:t xml:space="preserve">60 лет и старше в контексте доступности медицинской помощи</w:t>
      </w:r>
    </w:p>
    <w:p>
      <w:pPr>
        <w:pStyle w:val="0"/>
        <w:ind w:firstLine="540"/>
        <w:jc w:val="both"/>
      </w:pPr>
      <w:r>
        <w:rPr>
          <w:sz w:val="20"/>
        </w:rPr>
      </w:r>
    </w:p>
    <w:p>
      <w:pPr>
        <w:pStyle w:val="0"/>
        <w:ind w:firstLine="540"/>
        <w:jc w:val="both"/>
      </w:pPr>
      <w:r>
        <w:rPr>
          <w:sz w:val="20"/>
        </w:rPr>
        <w:t xml:space="preserve">В автономном округе отмечается низкая доля сельского населения (7,8% по сравнению с 25,2% в РФ), соответственно низкая доля сельского населения старших возрастных групп (8,06%).</w:t>
      </w:r>
    </w:p>
    <w:p>
      <w:pPr>
        <w:pStyle w:val="0"/>
        <w:spacing w:before="200" w:line-rule="auto"/>
        <w:ind w:firstLine="540"/>
        <w:jc w:val="both"/>
      </w:pPr>
      <w:r>
        <w:rPr>
          <w:sz w:val="20"/>
        </w:rPr>
        <w:t xml:space="preserve">Критерии доступности медицинской помощи для граждан в том числе старше трудоспособного возраста, проживающих как в городах, так и в сельской местности, утверждены Территориальной программой государственных гарантий бесплатного оказания гражданам медицинской помощи в автономном округе, где определены сроки ожидания медицинской помощи в плановой форме, сроки ожидания медицинской помощи в стационарных условиях, а также проведения отдельных диагностических обследований и консультаций врачей-специалистов.</w:t>
      </w:r>
    </w:p>
    <w:p>
      <w:pPr>
        <w:pStyle w:val="0"/>
        <w:spacing w:before="200" w:line-rule="auto"/>
        <w:ind w:firstLine="540"/>
        <w:jc w:val="both"/>
      </w:pPr>
      <w:r>
        <w:rPr>
          <w:sz w:val="20"/>
        </w:rPr>
        <w:t xml:space="preserve">С целью улучшения основных показателей здоровья населения, повышения доступности и качества медицинской помощи выстроена трехуровневая система оказания медицинской помощи: районный (городской), межмуниципальный (зональный) и региональный.</w:t>
      </w:r>
    </w:p>
    <w:p>
      <w:pPr>
        <w:pStyle w:val="0"/>
        <w:spacing w:before="200" w:line-rule="auto"/>
        <w:ind w:firstLine="540"/>
        <w:jc w:val="both"/>
      </w:pPr>
      <w:r>
        <w:rPr>
          <w:sz w:val="20"/>
        </w:rPr>
        <w:t xml:space="preserve">Первый уровень обеспечивает население первичной, в том числе первичной специализированной медико-санитарной помощью, представлен фельдшерско-акушерскими пунктами, врачебными амбулаториями, участковыми больницами, оказывающими первичную медико-санитарную помощь. Фельдшерско-акушерские пункты организованы во всех сельских населенных пунктах с численностью, соответствующей федеральным нормативам.</w:t>
      </w:r>
    </w:p>
    <w:p>
      <w:pPr>
        <w:pStyle w:val="0"/>
        <w:spacing w:before="200" w:line-rule="auto"/>
        <w:ind w:firstLine="540"/>
        <w:jc w:val="both"/>
      </w:pPr>
      <w:r>
        <w:rPr>
          <w:sz w:val="20"/>
        </w:rPr>
        <w:t xml:space="preserve">Второй уровень (межмуниципальный) для оказания первичной специализированной медико-санитарной помощи, представлен межмуниципальными медицинскими центрами, позволяющими удовлетворить потребность населения в консультациях "узких" врачей-специалистов, расширить спектр диагностических процедур.</w:t>
      </w:r>
    </w:p>
    <w:p>
      <w:pPr>
        <w:pStyle w:val="0"/>
        <w:spacing w:before="200" w:line-rule="auto"/>
        <w:ind w:firstLine="540"/>
        <w:jc w:val="both"/>
      </w:pPr>
      <w:r>
        <w:rPr>
          <w:sz w:val="20"/>
        </w:rPr>
        <w:t xml:space="preserve">Третий уровень (региональный) для оказания специализированной, в том числе высокотехнологичной, медицинской помощи.</w:t>
      </w:r>
    </w:p>
    <w:p>
      <w:pPr>
        <w:pStyle w:val="0"/>
        <w:spacing w:before="200" w:line-rule="auto"/>
        <w:ind w:firstLine="540"/>
        <w:jc w:val="both"/>
      </w:pPr>
      <w:r>
        <w:rPr>
          <w:sz w:val="20"/>
        </w:rPr>
        <w:t xml:space="preserve">Возможность получения первичной медико-санитарной помощи жителям небольших поселений, в которых нет врача, а зачастую и среднего медицинского персонала, решается с помощью выездных медицинских мобильных бригад, а также сосредоточения "узких" специалистов, диагностического оборудования в межмуниципальных консультативно-диагностических центрах.</w:t>
      </w:r>
    </w:p>
    <w:p>
      <w:pPr>
        <w:pStyle w:val="0"/>
        <w:spacing w:before="200" w:line-rule="auto"/>
        <w:ind w:firstLine="540"/>
        <w:jc w:val="both"/>
      </w:pPr>
      <w:r>
        <w:rPr>
          <w:sz w:val="20"/>
        </w:rPr>
        <w:t xml:space="preserve">Во всех муниципальных образованиях автономного округа функционируют выездные врачебно-фельдшерские бригады для оказания первичной медико-санитарной помощи жителям сельских и отдаленных территорий. Выезды осуществляются в соответствии с ежегодно утверждаемым планом-графиком, с учетом транспортной доступности, особенностей быта населения, праздников, времени сбора дикоросов, а также результатов, проведенных в предыдущие годы осмотров.</w:t>
      </w:r>
    </w:p>
    <w:p>
      <w:pPr>
        <w:pStyle w:val="0"/>
        <w:spacing w:before="200" w:line-rule="auto"/>
        <w:ind w:firstLine="540"/>
        <w:jc w:val="both"/>
      </w:pPr>
      <w:r>
        <w:rPr>
          <w:sz w:val="20"/>
        </w:rPr>
        <w:t xml:space="preserve">Таким образом, в автономном округе создана система первичной медико-санитарной помощи, обеспечивающая максимальную доступность с сохранением качественных показателей при оказании медицинской помощи, в том числе с соблюдением преемственности с медицинскими организациями, оказывающими специализированную медицинскую помощь.</w:t>
      </w:r>
    </w:p>
    <w:p>
      <w:pPr>
        <w:pStyle w:val="0"/>
        <w:ind w:firstLine="540"/>
        <w:jc w:val="both"/>
      </w:pPr>
      <w:r>
        <w:rPr>
          <w:sz w:val="20"/>
        </w:rPr>
      </w:r>
    </w:p>
    <w:p>
      <w:pPr>
        <w:pStyle w:val="2"/>
        <w:outlineLvl w:val="2"/>
        <w:jc w:val="center"/>
      </w:pPr>
      <w:r>
        <w:rPr>
          <w:sz w:val="20"/>
        </w:rPr>
        <w:t xml:space="preserve">3.3. Анализ структуры финансовых затрат медицинской помощи</w:t>
      </w:r>
    </w:p>
    <w:p>
      <w:pPr>
        <w:pStyle w:val="2"/>
        <w:jc w:val="center"/>
      </w:pPr>
      <w:r>
        <w:rPr>
          <w:sz w:val="20"/>
        </w:rPr>
        <w:t xml:space="preserve">гражданам 60 лет и старше</w:t>
      </w:r>
    </w:p>
    <w:p>
      <w:pPr>
        <w:pStyle w:val="0"/>
        <w:ind w:firstLine="540"/>
        <w:jc w:val="both"/>
      </w:pPr>
      <w:r>
        <w:rPr>
          <w:sz w:val="20"/>
        </w:rPr>
      </w:r>
    </w:p>
    <w:p>
      <w:pPr>
        <w:pStyle w:val="0"/>
        <w:ind w:firstLine="540"/>
        <w:jc w:val="both"/>
      </w:pPr>
      <w:r>
        <w:rPr>
          <w:sz w:val="20"/>
        </w:rPr>
        <w:t xml:space="preserve">Финансовое обеспечение медицинской помощи в амбулаторных и стационарных условиях, в том числе на дому при вызове медицинского работника, осуществляется за счет обязательного медицинского страхования, согласно ежегодно утверждаемой Территориальной программе государственных гарантий бесплатного оказания гражданам медицинской помощи в автономном округе.</w:t>
      </w:r>
    </w:p>
    <w:p>
      <w:pPr>
        <w:pStyle w:val="0"/>
        <w:spacing w:before="200" w:line-rule="auto"/>
        <w:ind w:firstLine="540"/>
        <w:jc w:val="both"/>
      </w:pPr>
      <w:r>
        <w:rPr>
          <w:sz w:val="20"/>
        </w:rPr>
        <w:t xml:space="preserve">Оплата медицинской помощи производится по тарифам, утвержденным Тарифным соглашением в системе обязательного медицинского страхования автономного округа: в амбулаторных условиях за посещение, за обращение; в стационарных условиях - за 1 случай госпитализации с учетом применения базовой ставки, коэффициента затратоемкости и поправочных коэффициентов. Коэффициент затратоемкости в 2022 году по КСГ st38.001 "Старческая астения" составил 1,50.</w:t>
      </w:r>
    </w:p>
    <w:p>
      <w:pPr>
        <w:pStyle w:val="0"/>
        <w:spacing w:before="200" w:line-rule="auto"/>
        <w:ind w:firstLine="540"/>
        <w:jc w:val="both"/>
      </w:pPr>
      <w:r>
        <w:rPr>
          <w:sz w:val="20"/>
        </w:rPr>
        <w:t xml:space="preserve">При реализации федерального проекта "Старшее поколение" заключено финансовое соглашение между Минздравом России и Депздравом Югры о предоставлении иного межбюджетного трансферта из федерального бюджета бюджету субъекта Российской Федерации в целях софинансирования расходных обязательств субъекта Российской Федерации, возникающих при проведении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от 23 декабря 2022 года N 056-17-2022-092/1.</w:t>
      </w:r>
    </w:p>
    <w:p>
      <w:pPr>
        <w:pStyle w:val="0"/>
        <w:spacing w:before="200" w:line-rule="auto"/>
        <w:ind w:firstLine="540"/>
        <w:jc w:val="both"/>
      </w:pPr>
      <w:r>
        <w:rPr>
          <w:sz w:val="20"/>
        </w:rPr>
        <w:t xml:space="preserve">В 2023 году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за счет средств федерального бюджета осуществлен закуп 45 доз вакцины на сумму 76 200,00 рублей (в 2022 году - 63 дозы вакцины на сумму 89 500,00 рублей, в 2021 году - 13 доз вакцины на сумму 18 299,97 рубля).</w:t>
      </w:r>
    </w:p>
    <w:p>
      <w:pPr>
        <w:pStyle w:val="0"/>
        <w:ind w:firstLine="540"/>
        <w:jc w:val="both"/>
      </w:pPr>
      <w:r>
        <w:rPr>
          <w:sz w:val="20"/>
        </w:rPr>
      </w:r>
    </w:p>
    <w:p>
      <w:pPr>
        <w:pStyle w:val="2"/>
        <w:outlineLvl w:val="2"/>
        <w:jc w:val="center"/>
      </w:pPr>
      <w:r>
        <w:rPr>
          <w:sz w:val="20"/>
        </w:rPr>
        <w:t xml:space="preserve">3.4. Выделение приоритетных задач</w:t>
      </w:r>
    </w:p>
    <w:p>
      <w:pPr>
        <w:pStyle w:val="0"/>
        <w:ind w:firstLine="540"/>
        <w:jc w:val="both"/>
      </w:pPr>
      <w:r>
        <w:rPr>
          <w:sz w:val="20"/>
        </w:rPr>
      </w:r>
    </w:p>
    <w:p>
      <w:pPr>
        <w:pStyle w:val="0"/>
        <w:ind w:firstLine="540"/>
        <w:jc w:val="both"/>
      </w:pPr>
      <w:r>
        <w:rPr>
          <w:sz w:val="20"/>
        </w:rPr>
        <w:t xml:space="preserve">Учитывая прогнозную численность населения старше трудоспособного возраста автономного округа, спрос на медицинские услуги среди указанной категории лиц будет ежегодно расти, в связи с чем возникла необходимость разработки и внедрения в автономном округе более эффективных технологий работы с гражданами пожилого возраста с целью увеличения продолжительности жизни и улучшения ее качества.</w:t>
      </w:r>
    </w:p>
    <w:p>
      <w:pPr>
        <w:pStyle w:val="0"/>
        <w:spacing w:before="200" w:line-rule="auto"/>
        <w:ind w:firstLine="540"/>
        <w:jc w:val="both"/>
      </w:pPr>
      <w:r>
        <w:rPr>
          <w:sz w:val="20"/>
        </w:rPr>
        <w:t xml:space="preserve">Одним из актуальных направлений Региональной программы является совершенствование медицинской помощи гражданам старшего поколения на основе мониторинга состояния их здоровья, проводимого при профилактических осмотрах (не реже 1 раза в год), а также диспансерного наблюдения лиц старше трудоспособного возраста.</w:t>
      </w:r>
    </w:p>
    <w:p>
      <w:pPr>
        <w:pStyle w:val="0"/>
        <w:spacing w:before="200" w:line-rule="auto"/>
        <w:ind w:firstLine="540"/>
        <w:jc w:val="both"/>
      </w:pPr>
      <w:r>
        <w:rPr>
          <w:sz w:val="20"/>
        </w:rPr>
        <w:t xml:space="preserve">К концу 2024 года не менее 70% лиц старше трудоспособного возраста будут охвачены профилактическими осмотрами, включая диспансеризацию, и 90% лиц данной категории, у которых выявлены заболевания и патологические состояния, будут находиться под диспансерным наблюдением.</w:t>
      </w:r>
    </w:p>
    <w:p>
      <w:pPr>
        <w:pStyle w:val="0"/>
        <w:spacing w:before="200" w:line-rule="auto"/>
        <w:ind w:firstLine="540"/>
        <w:jc w:val="both"/>
      </w:pPr>
      <w:r>
        <w:rPr>
          <w:sz w:val="20"/>
        </w:rPr>
        <w:t xml:space="preserve">Учитывая актуальность проблемы заболеваемости пневмонией и смертности от нее для лиц пожилого возраста с хроническими заболеваниями за счет наличия у них дополнительных фоновых факторов риска, повышающих восприимчивость к инфекции и ухудшающих прогноз, организована вакцинация против пневмококковой инфекции граждан старше трудоспособного возраста из групп риска. К концу 2024 года охват граждан, проживающих в организациях социального обслуживания, вакцинацией составит 95%.</w:t>
      </w:r>
    </w:p>
    <w:p>
      <w:pPr>
        <w:pStyle w:val="0"/>
        <w:ind w:firstLine="540"/>
        <w:jc w:val="both"/>
      </w:pPr>
      <w:r>
        <w:rPr>
          <w:sz w:val="20"/>
        </w:rPr>
      </w:r>
    </w:p>
    <w:p>
      <w:pPr>
        <w:pStyle w:val="2"/>
        <w:outlineLvl w:val="1"/>
        <w:jc w:val="center"/>
      </w:pPr>
      <w:r>
        <w:rPr>
          <w:sz w:val="20"/>
        </w:rPr>
        <w:t xml:space="preserve">Раздел IV. ОРГАНИЗАЦИОННЫЕ МЕРОПРИЯТИЯ</w:t>
      </w:r>
    </w:p>
    <w:p>
      <w:pPr>
        <w:pStyle w:val="0"/>
        <w:jc w:val="center"/>
      </w:pPr>
      <w:r>
        <w:rPr>
          <w:sz w:val="20"/>
        </w:rPr>
      </w:r>
    </w:p>
    <w:p>
      <w:pPr>
        <w:pStyle w:val="2"/>
        <w:outlineLvl w:val="2"/>
        <w:jc w:val="center"/>
      </w:pPr>
      <w:r>
        <w:rPr>
          <w:sz w:val="20"/>
        </w:rPr>
        <w:t xml:space="preserve">4.1. План мероприятий по реализации Региональной программы</w:t>
      </w:r>
    </w:p>
    <w:p>
      <w:pPr>
        <w:pStyle w:val="0"/>
        <w:jc w:val="center"/>
      </w:pPr>
      <w:r>
        <w:rPr>
          <w:sz w:val="20"/>
        </w:rPr>
      </w:r>
    </w:p>
    <w:p>
      <w:pPr>
        <w:pStyle w:val="0"/>
        <w:jc w:val="right"/>
      </w:pPr>
      <w:r>
        <w:rPr>
          <w:sz w:val="20"/>
        </w:rPr>
        <w:t xml:space="preserve">Таблица 6</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2324"/>
        <w:gridCol w:w="1304"/>
        <w:gridCol w:w="1474"/>
        <w:gridCol w:w="3290"/>
      </w:tblGrid>
      <w:tr>
        <w:tc>
          <w:tcPr>
            <w:tcW w:w="680" w:type="dxa"/>
          </w:tcPr>
          <w:p>
            <w:pPr>
              <w:pStyle w:val="0"/>
              <w:jc w:val="center"/>
            </w:pPr>
            <w:r>
              <w:rPr>
                <w:sz w:val="20"/>
              </w:rPr>
              <w:t xml:space="preserve">N п/п</w:t>
            </w:r>
          </w:p>
        </w:tc>
        <w:tc>
          <w:tcPr>
            <w:tcW w:w="2324" w:type="dxa"/>
          </w:tcPr>
          <w:p>
            <w:pPr>
              <w:pStyle w:val="0"/>
              <w:jc w:val="center"/>
            </w:pPr>
            <w:r>
              <w:rPr>
                <w:sz w:val="20"/>
              </w:rPr>
              <w:t xml:space="preserve">Наименование мероприятия, контрольной точки</w:t>
            </w:r>
          </w:p>
        </w:tc>
        <w:tc>
          <w:tcPr>
            <w:tcW w:w="1304" w:type="dxa"/>
          </w:tcPr>
          <w:p>
            <w:pPr>
              <w:pStyle w:val="0"/>
              <w:jc w:val="center"/>
            </w:pPr>
            <w:r>
              <w:rPr>
                <w:sz w:val="20"/>
              </w:rPr>
              <w:t xml:space="preserve">Сроки реализации проекта</w:t>
            </w:r>
          </w:p>
        </w:tc>
        <w:tc>
          <w:tcPr>
            <w:tcW w:w="1474" w:type="dxa"/>
          </w:tcPr>
          <w:p>
            <w:pPr>
              <w:pStyle w:val="0"/>
              <w:jc w:val="center"/>
            </w:pPr>
            <w:r>
              <w:rPr>
                <w:sz w:val="20"/>
              </w:rPr>
              <w:t xml:space="preserve">Ответственный исполнитель</w:t>
            </w:r>
          </w:p>
        </w:tc>
        <w:tc>
          <w:tcPr>
            <w:tcW w:w="3290" w:type="dxa"/>
          </w:tcPr>
          <w:p>
            <w:pPr>
              <w:pStyle w:val="0"/>
              <w:jc w:val="center"/>
            </w:pPr>
            <w:r>
              <w:rPr>
                <w:sz w:val="20"/>
              </w:rPr>
              <w:t xml:space="preserve">Характеристика результата</w:t>
            </w:r>
          </w:p>
        </w:tc>
      </w:tr>
      <w:tr>
        <w:tc>
          <w:tcPr>
            <w:gridSpan w:val="5"/>
            <w:tcW w:w="9072" w:type="dxa"/>
          </w:tcPr>
          <w:p>
            <w:pPr>
              <w:pStyle w:val="0"/>
            </w:pPr>
            <w:r>
              <w:rPr>
                <w:sz w:val="20"/>
              </w:rPr>
              <w:t xml:space="preserve">1. Мероприятия по реализации профилактических программ</w:t>
            </w:r>
          </w:p>
        </w:tc>
      </w:tr>
      <w:tr>
        <w:tc>
          <w:tcPr>
            <w:tcW w:w="680" w:type="dxa"/>
          </w:tcPr>
          <w:p>
            <w:pPr>
              <w:pStyle w:val="0"/>
            </w:pPr>
            <w:r>
              <w:rPr>
                <w:sz w:val="20"/>
              </w:rPr>
              <w:t xml:space="preserve">1.1.</w:t>
            </w:r>
          </w:p>
        </w:tc>
        <w:tc>
          <w:tcPr>
            <w:tcW w:w="2324" w:type="dxa"/>
          </w:tcPr>
          <w:p>
            <w:pPr>
              <w:pStyle w:val="0"/>
            </w:pPr>
            <w:r>
              <w:rPr>
                <w:sz w:val="20"/>
              </w:rPr>
              <w:t xml:space="preserve">Осуществление профилактических осмотров и диспансеризации граждан старше трудоспособного возраста</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Не менее 70% лиц старше трудоспособного возраста охвачены профилактическими осмотрами и диспансеризацией к концу 2024 года:</w:t>
            </w:r>
          </w:p>
          <w:p>
            <w:pPr>
              <w:pStyle w:val="0"/>
            </w:pPr>
            <w:r>
              <w:rPr>
                <w:sz w:val="20"/>
              </w:rPr>
              <w:t xml:space="preserve">в 2023 году - не менее 65,3%;</w:t>
            </w:r>
          </w:p>
          <w:p>
            <w:pPr>
              <w:pStyle w:val="0"/>
            </w:pPr>
            <w:r>
              <w:rPr>
                <w:sz w:val="20"/>
              </w:rPr>
              <w:t xml:space="preserve">в 2024 году - не менее 70,0%</w:t>
            </w:r>
          </w:p>
        </w:tc>
      </w:tr>
      <w:tr>
        <w:tc>
          <w:tcPr>
            <w:tcW w:w="680" w:type="dxa"/>
          </w:tcPr>
          <w:p>
            <w:pPr>
              <w:pStyle w:val="0"/>
            </w:pPr>
            <w:r>
              <w:rPr>
                <w:sz w:val="20"/>
              </w:rPr>
              <w:t xml:space="preserve">1.2.</w:t>
            </w:r>
          </w:p>
        </w:tc>
        <w:tc>
          <w:tcPr>
            <w:tcW w:w="2324" w:type="dxa"/>
          </w:tcPr>
          <w:p>
            <w:pPr>
              <w:pStyle w:val="0"/>
            </w:pPr>
            <w:r>
              <w:rPr>
                <w:sz w:val="20"/>
              </w:rPr>
              <w:t xml:space="preserve">Осуществление диспансерного наблюдения лиц старше трудоспособного возраста, у которых выявлены заболевания и патологические состояния</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Не менее 90% лиц старше трудоспособного возраста, у которых выявлены заболевания и патологические состояния, находятся под диспансерным наблюдением к концу 2024 года:</w:t>
            </w:r>
          </w:p>
          <w:p>
            <w:pPr>
              <w:pStyle w:val="0"/>
            </w:pPr>
            <w:r>
              <w:rPr>
                <w:sz w:val="20"/>
              </w:rPr>
              <w:t xml:space="preserve">в 2023 году - не менее 80,0%;</w:t>
            </w:r>
          </w:p>
          <w:p>
            <w:pPr>
              <w:pStyle w:val="0"/>
            </w:pPr>
            <w:r>
              <w:rPr>
                <w:sz w:val="20"/>
              </w:rPr>
              <w:t xml:space="preserve">в 2024 году - не менее 90,0%</w:t>
            </w:r>
          </w:p>
        </w:tc>
      </w:tr>
      <w:tr>
        <w:tc>
          <w:tcPr>
            <w:tcW w:w="680" w:type="dxa"/>
          </w:tcPr>
          <w:p>
            <w:pPr>
              <w:pStyle w:val="0"/>
            </w:pPr>
            <w:r>
              <w:rPr>
                <w:sz w:val="20"/>
              </w:rPr>
              <w:t xml:space="preserve">1.3.</w:t>
            </w:r>
          </w:p>
        </w:tc>
        <w:tc>
          <w:tcPr>
            <w:tcW w:w="2324" w:type="dxa"/>
          </w:tcPr>
          <w:p>
            <w:pPr>
              <w:pStyle w:val="0"/>
            </w:pPr>
            <w:r>
              <w:rPr>
                <w:sz w:val="20"/>
              </w:rPr>
              <w:t xml:space="preserve">Проведение вакцинации против пневмококковой инфекции лиц старше трудоспособного возраста из групп риска, проживающих в организациях социального обслуживания (далее - ОСО)</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p>
            <w:pPr>
              <w:pStyle w:val="0"/>
            </w:pPr>
            <w:r>
              <w:rPr>
                <w:sz w:val="20"/>
              </w:rPr>
              <w:t xml:space="preserve">Депсоцразвития Югры</w:t>
            </w:r>
          </w:p>
        </w:tc>
        <w:tc>
          <w:tcPr>
            <w:tcW w:w="3290" w:type="dxa"/>
          </w:tcPr>
          <w:p>
            <w:pPr>
              <w:pStyle w:val="0"/>
            </w:pPr>
            <w:r>
              <w:rPr>
                <w:sz w:val="20"/>
              </w:rPr>
              <w:t xml:space="preserve">Ежегодное поддержание охвата иммунизацией против пневмококковой инфекции не менее 95% лиц старше трудоспособного возраста из групп риска, проживающих в ОСО</w:t>
            </w:r>
          </w:p>
        </w:tc>
      </w:tr>
      <w:tr>
        <w:tc>
          <w:tcPr>
            <w:tcW w:w="680" w:type="dxa"/>
          </w:tcPr>
          <w:p>
            <w:pPr>
              <w:pStyle w:val="0"/>
            </w:pPr>
            <w:r>
              <w:rPr>
                <w:sz w:val="20"/>
              </w:rPr>
              <w:t xml:space="preserve">1.3.1.</w:t>
            </w:r>
          </w:p>
        </w:tc>
        <w:tc>
          <w:tcPr>
            <w:tcW w:w="2324" w:type="dxa"/>
          </w:tcPr>
          <w:p>
            <w:pPr>
              <w:pStyle w:val="0"/>
            </w:pPr>
            <w:r>
              <w:rPr>
                <w:sz w:val="20"/>
              </w:rPr>
              <w:t xml:space="preserve">Утверждение плана-графика проведения вакцинации лиц старше трудоспособного возраста из групп риска, проживающих в ОСО</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p>
            <w:pPr>
              <w:pStyle w:val="0"/>
            </w:pPr>
            <w:r>
              <w:rPr>
                <w:sz w:val="20"/>
              </w:rPr>
              <w:t xml:space="preserve">Депсоцразвития Югры</w:t>
            </w:r>
          </w:p>
        </w:tc>
        <w:tc>
          <w:tcPr>
            <w:tcW w:w="3290" w:type="dxa"/>
          </w:tcPr>
          <w:p>
            <w:pPr>
              <w:pStyle w:val="0"/>
            </w:pPr>
            <w:r>
              <w:rPr>
                <w:sz w:val="20"/>
              </w:rPr>
              <w:t xml:space="preserve">Ежегодное планирование работы по иммунизации против пневмококковой инфекции лиц старше трудоспособного возраста из групп риска, проживающих в ОСО</w:t>
            </w:r>
          </w:p>
        </w:tc>
      </w:tr>
      <w:tr>
        <w:tc>
          <w:tcPr>
            <w:tcW w:w="680" w:type="dxa"/>
          </w:tcPr>
          <w:p>
            <w:pPr>
              <w:pStyle w:val="0"/>
            </w:pPr>
            <w:r>
              <w:rPr>
                <w:sz w:val="20"/>
              </w:rPr>
              <w:t xml:space="preserve">1.3.2.</w:t>
            </w:r>
          </w:p>
        </w:tc>
        <w:tc>
          <w:tcPr>
            <w:tcW w:w="2324" w:type="dxa"/>
          </w:tcPr>
          <w:p>
            <w:pPr>
              <w:pStyle w:val="0"/>
            </w:pPr>
            <w:r>
              <w:rPr>
                <w:sz w:val="20"/>
              </w:rPr>
              <w:t xml:space="preserve">Заключение соглашений с Минздравом России о предоставлении межбюджетного трансферта из федерального бюджета бюджету автономного округа на расходные обязательства по приобретению вакцины против пневмококковой инфекции</w:t>
            </w:r>
          </w:p>
        </w:tc>
        <w:tc>
          <w:tcPr>
            <w:tcW w:w="1304" w:type="dxa"/>
          </w:tcPr>
          <w:p>
            <w:pPr>
              <w:pStyle w:val="0"/>
            </w:pPr>
            <w:r>
              <w:rPr>
                <w:sz w:val="20"/>
              </w:rPr>
              <w:t xml:space="preserve">15 февраля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Ежегодное предоставление межбюджетного трансферта из федерального бюджета бюджету автономного округа на расходные обязательства по приобретению вакцины против пневмококковой инфекции в целях вакцинации лиц старше трудоспособного возраста из групп риска, проживающих в ОСО</w:t>
            </w:r>
          </w:p>
        </w:tc>
      </w:tr>
      <w:tr>
        <w:tc>
          <w:tcPr>
            <w:tcW w:w="680" w:type="dxa"/>
          </w:tcPr>
          <w:p>
            <w:pPr>
              <w:pStyle w:val="0"/>
            </w:pPr>
            <w:r>
              <w:rPr>
                <w:sz w:val="20"/>
              </w:rPr>
              <w:t xml:space="preserve">1.3.3.</w:t>
            </w:r>
          </w:p>
        </w:tc>
        <w:tc>
          <w:tcPr>
            <w:tcW w:w="2324" w:type="dxa"/>
          </w:tcPr>
          <w:p>
            <w:pPr>
              <w:pStyle w:val="0"/>
            </w:pPr>
            <w:r>
              <w:rPr>
                <w:sz w:val="20"/>
              </w:rPr>
              <w:t xml:space="preserve">Проведение конкурсных процедур по закупке вакцины против пневмококковой инфекции</w:t>
            </w:r>
          </w:p>
        </w:tc>
        <w:tc>
          <w:tcPr>
            <w:tcW w:w="1304" w:type="dxa"/>
          </w:tcPr>
          <w:p>
            <w:pPr>
              <w:pStyle w:val="0"/>
            </w:pPr>
            <w:r>
              <w:rPr>
                <w:sz w:val="20"/>
              </w:rPr>
              <w:t xml:space="preserve">1 июня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Ежегодное осуществление закупки вакцины против пневмококковой инфекции в медицинские организации</w:t>
            </w:r>
          </w:p>
        </w:tc>
      </w:tr>
      <w:tr>
        <w:tc>
          <w:tcPr>
            <w:gridSpan w:val="5"/>
            <w:tcW w:w="9072" w:type="dxa"/>
          </w:tcPr>
          <w:p>
            <w:pPr>
              <w:pStyle w:val="0"/>
            </w:pPr>
            <w:r>
              <w:rPr>
                <w:sz w:val="20"/>
              </w:rPr>
              <w:t xml:space="preserve">2. Мероприятия по совершенствованию инфраструктуры оказания ГМП</w:t>
            </w:r>
          </w:p>
        </w:tc>
      </w:tr>
      <w:tr>
        <w:tc>
          <w:tcPr>
            <w:tcW w:w="680" w:type="dxa"/>
          </w:tcPr>
          <w:p>
            <w:pPr>
              <w:pStyle w:val="0"/>
            </w:pPr>
            <w:r>
              <w:rPr>
                <w:sz w:val="20"/>
              </w:rPr>
              <w:t xml:space="preserve">2.1.</w:t>
            </w:r>
          </w:p>
        </w:tc>
        <w:tc>
          <w:tcPr>
            <w:tcW w:w="2324" w:type="dxa"/>
          </w:tcPr>
          <w:p>
            <w:pPr>
              <w:pStyle w:val="0"/>
            </w:pPr>
            <w:r>
              <w:rPr>
                <w:sz w:val="20"/>
              </w:rPr>
              <w:t xml:space="preserve">Функционирование гериатрических отделений и гериатрического центра на базе медицинских организаций автономного округа</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Повышение доступности и качества оказания медицинской помощи по профилю "гериатрия" в стационарных условиях:</w:t>
            </w:r>
          </w:p>
          <w:p>
            <w:pPr>
              <w:pStyle w:val="0"/>
            </w:pPr>
            <w:r>
              <w:rPr>
                <w:sz w:val="20"/>
              </w:rPr>
              <w:t xml:space="preserve">к концу 2023 года - 3 гериатрических отделения и 1 гериатрический центр, количество пролеченных пациентов не менее 1200;</w:t>
            </w:r>
          </w:p>
          <w:p>
            <w:pPr>
              <w:pStyle w:val="0"/>
            </w:pPr>
            <w:r>
              <w:rPr>
                <w:sz w:val="20"/>
              </w:rPr>
              <w:t xml:space="preserve">к концу 2024 года - 3 гериатрических отделения и 1 гериатрический центр, количество пролеченных пациентов не менее 1800</w:t>
            </w:r>
          </w:p>
        </w:tc>
      </w:tr>
      <w:tr>
        <w:tc>
          <w:tcPr>
            <w:tcW w:w="680" w:type="dxa"/>
          </w:tcPr>
          <w:p>
            <w:pPr>
              <w:pStyle w:val="0"/>
            </w:pPr>
            <w:r>
              <w:rPr>
                <w:sz w:val="20"/>
              </w:rPr>
              <w:t xml:space="preserve">2.2.</w:t>
            </w:r>
          </w:p>
        </w:tc>
        <w:tc>
          <w:tcPr>
            <w:tcW w:w="2324" w:type="dxa"/>
          </w:tcPr>
          <w:p>
            <w:pPr>
              <w:pStyle w:val="0"/>
            </w:pPr>
            <w:r>
              <w:rPr>
                <w:sz w:val="20"/>
              </w:rPr>
              <w:t xml:space="preserve">Открытие 1 гериатрического кабинета на базе бюджетного учреждения автономного округа "Нефтеюганская окружная больница имени В.И. Яцкив"</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Повышение доступности и качества оказания медицинской помощи по профилю "гериатрия" в амбулаторных условиях:</w:t>
            </w:r>
          </w:p>
          <w:p>
            <w:pPr>
              <w:pStyle w:val="0"/>
            </w:pPr>
            <w:r>
              <w:rPr>
                <w:sz w:val="20"/>
              </w:rPr>
              <w:t xml:space="preserve">к концу 2024 года функционирует 14 гериатрических кабинетов</w:t>
            </w:r>
          </w:p>
        </w:tc>
      </w:tr>
      <w:tr>
        <w:tc>
          <w:tcPr>
            <w:gridSpan w:val="5"/>
            <w:tcW w:w="9072" w:type="dxa"/>
          </w:tcPr>
          <w:p>
            <w:pPr>
              <w:pStyle w:val="0"/>
            </w:pPr>
            <w:r>
              <w:rPr>
                <w:sz w:val="20"/>
              </w:rPr>
              <w:t xml:space="preserve">3. Мероприятия по повышению качества и доступности оказания медицинской помощи гражданам старше трудоспособного возраста</w:t>
            </w:r>
          </w:p>
        </w:tc>
      </w:tr>
      <w:tr>
        <w:tc>
          <w:tcPr>
            <w:tcW w:w="680" w:type="dxa"/>
          </w:tcPr>
          <w:p>
            <w:pPr>
              <w:pStyle w:val="0"/>
            </w:pPr>
            <w:r>
              <w:rPr>
                <w:sz w:val="20"/>
              </w:rPr>
              <w:t xml:space="preserve">3.1.</w:t>
            </w:r>
          </w:p>
        </w:tc>
        <w:tc>
          <w:tcPr>
            <w:tcW w:w="2324" w:type="dxa"/>
          </w:tcPr>
          <w:p>
            <w:pPr>
              <w:pStyle w:val="0"/>
            </w:pPr>
            <w:r>
              <w:rPr>
                <w:sz w:val="20"/>
              </w:rPr>
              <w:t xml:space="preserve">Совершенствование маршрутизации пациентов при оказании ГМП</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Повышение доступности и качества оказания медицинской помощи гражданам старше трудоспособного возраста</w:t>
            </w:r>
          </w:p>
        </w:tc>
      </w:tr>
      <w:tr>
        <w:tc>
          <w:tcPr>
            <w:tcW w:w="680" w:type="dxa"/>
          </w:tcPr>
          <w:p>
            <w:pPr>
              <w:pStyle w:val="0"/>
            </w:pPr>
            <w:r>
              <w:rPr>
                <w:sz w:val="20"/>
              </w:rPr>
              <w:t xml:space="preserve">3.2.</w:t>
            </w:r>
          </w:p>
        </w:tc>
        <w:tc>
          <w:tcPr>
            <w:tcW w:w="2324" w:type="dxa"/>
          </w:tcPr>
          <w:p>
            <w:pPr>
              <w:pStyle w:val="0"/>
            </w:pPr>
            <w:r>
              <w:rPr>
                <w:sz w:val="20"/>
              </w:rPr>
              <w:t xml:space="preserve">Увеличение количества пролеченных пациентов на геронтологических койках</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Ежегодное поддержание уровня госпитализации на геронтологические койки лиц старше 60 лет на 10 тыс. населения соответствующего возраста не менее 43</w:t>
            </w:r>
          </w:p>
        </w:tc>
      </w:tr>
      <w:tr>
        <w:tc>
          <w:tcPr>
            <w:tcW w:w="680" w:type="dxa"/>
          </w:tcPr>
          <w:p>
            <w:pPr>
              <w:pStyle w:val="0"/>
            </w:pPr>
            <w:r>
              <w:rPr>
                <w:sz w:val="20"/>
              </w:rPr>
              <w:t xml:space="preserve">3.3.</w:t>
            </w:r>
          </w:p>
        </w:tc>
        <w:tc>
          <w:tcPr>
            <w:tcW w:w="2324" w:type="dxa"/>
          </w:tcPr>
          <w:p>
            <w:pPr>
              <w:pStyle w:val="0"/>
            </w:pPr>
            <w:r>
              <w:rPr>
                <w:sz w:val="20"/>
              </w:rPr>
              <w:t xml:space="preserve">Мониторинг потребности автономного округа в медицинских кадрах в разрезе каждой медицинской организации с учетом реальной потребности автономного округа в медицинских кадрах, участвующих в оказании ГМП</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Определение потребности в профессиональной переподготовке врачей по специальности "Гериатрия" в медицинских организациях, участвующих в оказании ГМП</w:t>
            </w:r>
          </w:p>
        </w:tc>
      </w:tr>
      <w:tr>
        <w:tc>
          <w:tcPr>
            <w:tcW w:w="680" w:type="dxa"/>
          </w:tcPr>
          <w:p>
            <w:pPr>
              <w:pStyle w:val="0"/>
            </w:pPr>
            <w:r>
              <w:rPr>
                <w:sz w:val="20"/>
              </w:rPr>
              <w:t xml:space="preserve">3.4.</w:t>
            </w:r>
          </w:p>
        </w:tc>
        <w:tc>
          <w:tcPr>
            <w:tcW w:w="2324" w:type="dxa"/>
          </w:tcPr>
          <w:p>
            <w:pPr>
              <w:pStyle w:val="0"/>
            </w:pPr>
            <w:r>
              <w:rPr>
                <w:sz w:val="20"/>
              </w:rPr>
              <w:t xml:space="preserve">Подготовка врачей-гериатров, повышение квалификации по гериатрии</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Обеспечение не менее 10 врачей-гериатров к концу 2024 года</w:t>
            </w:r>
          </w:p>
        </w:tc>
      </w:tr>
      <w:tr>
        <w:tc>
          <w:tcPr>
            <w:tcW w:w="680" w:type="dxa"/>
          </w:tcPr>
          <w:p>
            <w:pPr>
              <w:pStyle w:val="0"/>
            </w:pPr>
            <w:r>
              <w:rPr>
                <w:sz w:val="20"/>
              </w:rPr>
              <w:t xml:space="preserve">3.5.</w:t>
            </w:r>
          </w:p>
        </w:tc>
        <w:tc>
          <w:tcPr>
            <w:tcW w:w="2324" w:type="dxa"/>
          </w:tcPr>
          <w:p>
            <w:pPr>
              <w:pStyle w:val="0"/>
            </w:pPr>
            <w:r>
              <w:rPr>
                <w:sz w:val="20"/>
              </w:rPr>
              <w:t xml:space="preserve">Обучение врачей-специалистов, среднего медицинского персонала особенностям диагностики и лечения пациентов старше трудоспособного возраста</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Повышение доступности и качества оказания медицинской помощи гражданам старше трудоспособного возраста</w:t>
            </w:r>
          </w:p>
        </w:tc>
      </w:tr>
      <w:tr>
        <w:tc>
          <w:tcPr>
            <w:tcW w:w="680" w:type="dxa"/>
          </w:tcPr>
          <w:p>
            <w:pPr>
              <w:pStyle w:val="0"/>
            </w:pPr>
            <w:r>
              <w:rPr>
                <w:sz w:val="20"/>
              </w:rPr>
              <w:t xml:space="preserve">3.6.</w:t>
            </w:r>
          </w:p>
        </w:tc>
        <w:tc>
          <w:tcPr>
            <w:tcW w:w="2324" w:type="dxa"/>
          </w:tcPr>
          <w:p>
            <w:pPr>
              <w:pStyle w:val="0"/>
            </w:pPr>
            <w:r>
              <w:rPr>
                <w:sz w:val="20"/>
              </w:rPr>
              <w:t xml:space="preserve">Внедрение в практику клинических рекомендаций, разработанных Минздравом России, по ведению 6 наиболее распространенных заболеваний, связанных с возрастом</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0"/>
              </w:rPr>
              <w:t xml:space="preserve">3.7.</w:t>
            </w:r>
          </w:p>
        </w:tc>
        <w:tc>
          <w:tcPr>
            <w:tcW w:w="2324" w:type="dxa"/>
          </w:tcPr>
          <w:p>
            <w:pPr>
              <w:pStyle w:val="0"/>
            </w:pPr>
            <w:r>
              <w:rPr>
                <w:sz w:val="20"/>
              </w:rPr>
              <w:t xml:space="preserve">Внедрение системы внутреннего контроля качества медицинской помощи пациентам при оказании ГМП на основе критериев качества медицинской помощи и клинических рекомендаций</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0"/>
              </w:rPr>
              <w:t xml:space="preserve">3.8.</w:t>
            </w:r>
          </w:p>
        </w:tc>
        <w:tc>
          <w:tcPr>
            <w:tcW w:w="2324" w:type="dxa"/>
          </w:tcPr>
          <w:p>
            <w:pPr>
              <w:pStyle w:val="0"/>
            </w:pPr>
            <w:r>
              <w:rPr>
                <w:sz w:val="20"/>
              </w:rPr>
              <w:t xml:space="preserve">Обеспечение возможности оказания телемедицинских консультаций для медицинских организаций, оказывающих ГМП</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Повышение эффективности оказания ГМП пациентам и улучшение результатов их лечения</w:t>
            </w:r>
          </w:p>
        </w:tc>
      </w:tr>
      <w:tr>
        <w:tc>
          <w:tcPr>
            <w:tcW w:w="680" w:type="dxa"/>
          </w:tcPr>
          <w:p>
            <w:pPr>
              <w:pStyle w:val="0"/>
            </w:pPr>
            <w:r>
              <w:rPr>
                <w:sz w:val="20"/>
              </w:rPr>
              <w:t xml:space="preserve">3.9.</w:t>
            </w:r>
          </w:p>
        </w:tc>
        <w:tc>
          <w:tcPr>
            <w:tcW w:w="2324" w:type="dxa"/>
          </w:tcPr>
          <w:p>
            <w:pPr>
              <w:pStyle w:val="0"/>
            </w:pPr>
            <w:r>
              <w:rPr>
                <w:sz w:val="20"/>
              </w:rPr>
              <w:t xml:space="preserve">Обеспечение оказания высокотехнологичной медицинской помощи пациентам старше трудоспособного возраста в объеме не ниже 2018 года</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Обеспечение потребности населения старше трудоспособного возраста автономного округа в высокотехнологичной медицинской помощи</w:t>
            </w:r>
          </w:p>
        </w:tc>
      </w:tr>
      <w:tr>
        <w:tc>
          <w:tcPr>
            <w:gridSpan w:val="5"/>
            <w:tcW w:w="9072" w:type="dxa"/>
          </w:tcPr>
          <w:p>
            <w:pPr>
              <w:pStyle w:val="0"/>
            </w:pPr>
            <w:r>
              <w:rPr>
                <w:sz w:val="20"/>
              </w:rPr>
              <w:t xml:space="preserve">4. Мероприятия по реализации межведомственных и междисциплинарных программ для граждан пожилого и старческого возраста</w:t>
            </w:r>
          </w:p>
        </w:tc>
      </w:tr>
      <w:tr>
        <w:tc>
          <w:tcPr>
            <w:tcW w:w="680" w:type="dxa"/>
          </w:tcPr>
          <w:p>
            <w:pPr>
              <w:pStyle w:val="0"/>
            </w:pPr>
            <w:r>
              <w:rPr>
                <w:sz w:val="20"/>
              </w:rPr>
              <w:t xml:space="preserve">4.1.</w:t>
            </w:r>
          </w:p>
        </w:tc>
        <w:tc>
          <w:tcPr>
            <w:tcW w:w="2324" w:type="dxa"/>
          </w:tcPr>
          <w:p>
            <w:pPr>
              <w:pStyle w:val="0"/>
            </w:pPr>
            <w:r>
              <w:rPr>
                <w:sz w:val="20"/>
              </w:rPr>
              <w:t xml:space="preserve">Внедрение комплекса мер, направленных на профилактику и раннее выявление когнитивных нарушений у лиц пожилого и старческого возраста</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0"/>
              </w:rPr>
              <w:t xml:space="preserve">4.2.</w:t>
            </w:r>
          </w:p>
        </w:tc>
        <w:tc>
          <w:tcPr>
            <w:tcW w:w="2324" w:type="dxa"/>
          </w:tcPr>
          <w:p>
            <w:pPr>
              <w:pStyle w:val="0"/>
            </w:pPr>
            <w:r>
              <w:rPr>
                <w:sz w:val="20"/>
              </w:rPr>
              <w:t xml:space="preserve">Внедрение комплекса мер, направленных на профилактику падений и переломов</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0"/>
              </w:rPr>
              <w:t xml:space="preserve">4.3.</w:t>
            </w:r>
          </w:p>
        </w:tc>
        <w:tc>
          <w:tcPr>
            <w:tcW w:w="2324" w:type="dxa"/>
          </w:tcPr>
          <w:p>
            <w:pPr>
              <w:pStyle w:val="0"/>
            </w:pPr>
            <w:r>
              <w:rPr>
                <w:sz w:val="20"/>
              </w:rPr>
              <w:t xml:space="preserve">Внедрение комплекса мер, направленных на профилактику и выявление жестокого обращения с гражданами пожилого и старческого возраста</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0"/>
              </w:rPr>
              <w:t xml:space="preserve">4.4.</w:t>
            </w:r>
          </w:p>
        </w:tc>
        <w:tc>
          <w:tcPr>
            <w:tcW w:w="2324" w:type="dxa"/>
          </w:tcPr>
          <w:p>
            <w:pPr>
              <w:pStyle w:val="0"/>
            </w:pPr>
            <w:r>
              <w:rPr>
                <w:sz w:val="20"/>
              </w:rPr>
              <w:t xml:space="preserve">Внедрение комплекса мер, направленных на борьбу с эйджизмом (дискриминацией пожилых)</w:t>
            </w:r>
          </w:p>
        </w:tc>
        <w:tc>
          <w:tcPr>
            <w:tcW w:w="1304" w:type="dxa"/>
          </w:tcPr>
          <w:p>
            <w:pPr>
              <w:pStyle w:val="0"/>
            </w:pPr>
            <w:r>
              <w:rPr>
                <w:sz w:val="20"/>
              </w:rPr>
              <w:t xml:space="preserve">1 декабря 2024 года</w:t>
            </w:r>
          </w:p>
        </w:tc>
        <w:tc>
          <w:tcPr>
            <w:tcW w:w="1474" w:type="dxa"/>
          </w:tcPr>
          <w:p>
            <w:pPr>
              <w:pStyle w:val="0"/>
            </w:pPr>
            <w:r>
              <w:rPr>
                <w:sz w:val="20"/>
              </w:rPr>
              <w:t xml:space="preserve">Депздрав Югры</w:t>
            </w:r>
          </w:p>
        </w:tc>
        <w:tc>
          <w:tcPr>
            <w:tcW w:w="3290" w:type="dxa"/>
          </w:tcPr>
          <w:p>
            <w:pPr>
              <w:pStyle w:val="0"/>
            </w:pPr>
            <w:r>
              <w:rPr>
                <w:sz w:val="20"/>
              </w:rPr>
              <w:t xml:space="preserve">Повышение качества оказания медицинской помощи гражданам старше трудоспособного возраста</w:t>
            </w:r>
          </w:p>
        </w:tc>
      </w:tr>
      <w:tr>
        <w:tc>
          <w:tcPr>
            <w:tcW w:w="680" w:type="dxa"/>
          </w:tcPr>
          <w:p>
            <w:pPr>
              <w:pStyle w:val="0"/>
            </w:pPr>
            <w:r>
              <w:rPr>
                <w:sz w:val="20"/>
              </w:rPr>
              <w:t xml:space="preserve">4.5.</w:t>
            </w:r>
          </w:p>
        </w:tc>
        <w:tc>
          <w:tcPr>
            <w:tcW w:w="2324" w:type="dxa"/>
          </w:tcPr>
          <w:p>
            <w:pPr>
              <w:pStyle w:val="0"/>
            </w:pPr>
            <w:r>
              <w:rPr>
                <w:sz w:val="20"/>
              </w:rPr>
              <w:t xml:space="preserve">Разработка проекта регионального плана мероприятий ("дорожной карты") по созданию системы долговременного ухода в соответствии с утвержденными Минтрудом России требованиями к межведомственным региональным планам мероприятий ("дорожным картам") по созданию системы долговременного ухода</w:t>
            </w:r>
          </w:p>
        </w:tc>
        <w:tc>
          <w:tcPr>
            <w:tcW w:w="1304" w:type="dxa"/>
          </w:tcPr>
          <w:p>
            <w:pPr>
              <w:pStyle w:val="0"/>
            </w:pPr>
            <w:r>
              <w:rPr>
                <w:sz w:val="20"/>
              </w:rPr>
              <w:t xml:space="preserve">1 декабря 2023 года</w:t>
            </w:r>
          </w:p>
        </w:tc>
        <w:tc>
          <w:tcPr>
            <w:tcW w:w="1474" w:type="dxa"/>
          </w:tcPr>
          <w:p>
            <w:pPr>
              <w:pStyle w:val="0"/>
            </w:pPr>
            <w:r>
              <w:rPr>
                <w:sz w:val="20"/>
              </w:rPr>
              <w:t xml:space="preserve">Депсоцразвития Югры,</w:t>
            </w:r>
          </w:p>
          <w:p>
            <w:pPr>
              <w:pStyle w:val="0"/>
            </w:pPr>
            <w:r>
              <w:rPr>
                <w:sz w:val="20"/>
              </w:rPr>
              <w:t xml:space="preserve">Депздрав Югры</w:t>
            </w:r>
          </w:p>
        </w:tc>
        <w:tc>
          <w:tcPr>
            <w:tcW w:w="3290" w:type="dxa"/>
          </w:tcPr>
          <w:p>
            <w:pPr>
              <w:pStyle w:val="0"/>
            </w:pPr>
            <w:r>
              <w:rPr>
                <w:sz w:val="20"/>
              </w:rPr>
              <w:t xml:space="preserve">Создание системы долговременного ухода за гражданами пожилого и старческого возраста на основе межведомственного взаимодействия</w:t>
            </w:r>
          </w:p>
        </w:tc>
      </w:tr>
    </w:tbl>
    <w:p>
      <w:pPr>
        <w:pStyle w:val="0"/>
        <w:ind w:firstLine="540"/>
        <w:jc w:val="both"/>
      </w:pPr>
      <w:r>
        <w:rPr>
          <w:sz w:val="20"/>
        </w:rPr>
      </w:r>
    </w:p>
    <w:p>
      <w:pPr>
        <w:pStyle w:val="2"/>
        <w:outlineLvl w:val="2"/>
        <w:jc w:val="center"/>
      </w:pPr>
      <w:r>
        <w:rPr>
          <w:sz w:val="20"/>
        </w:rPr>
        <w:t xml:space="preserve">4.2. Ожидаемые результаты Региональной программы</w:t>
      </w:r>
    </w:p>
    <w:p>
      <w:pPr>
        <w:pStyle w:val="0"/>
        <w:ind w:firstLine="540"/>
        <w:jc w:val="both"/>
      </w:pPr>
      <w:r>
        <w:rPr>
          <w:sz w:val="20"/>
        </w:rPr>
      </w:r>
    </w:p>
    <w:p>
      <w:pPr>
        <w:pStyle w:val="0"/>
        <w:ind w:firstLine="540"/>
        <w:jc w:val="both"/>
      </w:pPr>
      <w:r>
        <w:rPr>
          <w:sz w:val="20"/>
        </w:rPr>
        <w:t xml:space="preserve">Исполнение мероприятий Региональной программы позволит достичь к 2024 году следующих результатов:</w:t>
      </w:r>
    </w:p>
    <w:p>
      <w:pPr>
        <w:pStyle w:val="0"/>
        <w:spacing w:before="200" w:line-rule="auto"/>
        <w:ind w:firstLine="540"/>
        <w:jc w:val="both"/>
      </w:pPr>
      <w:r>
        <w:rPr>
          <w:sz w:val="20"/>
        </w:rPr>
        <w:t xml:space="preserve">совершенствование инфраструктуры гериатрической службы в автономном округе;</w:t>
      </w:r>
    </w:p>
    <w:p>
      <w:pPr>
        <w:pStyle w:val="0"/>
        <w:spacing w:before="200" w:line-rule="auto"/>
        <w:ind w:firstLine="540"/>
        <w:jc w:val="both"/>
      </w:pPr>
      <w:r>
        <w:rPr>
          <w:sz w:val="20"/>
        </w:rPr>
        <w:t xml:space="preserve">обеспечение высококвалифицированными кадрами медицинских учреждений автономного округа, оказывающих ГМП;</w:t>
      </w:r>
    </w:p>
    <w:p>
      <w:pPr>
        <w:pStyle w:val="0"/>
        <w:spacing w:before="200" w:line-rule="auto"/>
        <w:ind w:firstLine="540"/>
        <w:jc w:val="both"/>
      </w:pPr>
      <w:r>
        <w:rPr>
          <w:sz w:val="20"/>
        </w:rPr>
        <w:t xml:space="preserve">обеспечение уровня госпитализации на геронтологические койки не менее 43 лиц старше 60 лет на 10 тыс. населения соответствующего возраста;</w:t>
      </w:r>
    </w:p>
    <w:p>
      <w:pPr>
        <w:pStyle w:val="0"/>
        <w:spacing w:before="200" w:line-rule="auto"/>
        <w:ind w:firstLine="540"/>
        <w:jc w:val="both"/>
      </w:pPr>
      <w:r>
        <w:rPr>
          <w:sz w:val="20"/>
        </w:rPr>
        <w:t xml:space="preserve">обеспечение охвата граждан старше трудоспособного возраста профилактическими осмотрами, включая диспансеризацию, не менее 70,0%;</w:t>
      </w:r>
    </w:p>
    <w:p>
      <w:pPr>
        <w:pStyle w:val="0"/>
        <w:spacing w:before="200" w:line-rule="auto"/>
        <w:ind w:firstLine="540"/>
        <w:jc w:val="both"/>
      </w:pPr>
      <w:r>
        <w:rPr>
          <w:sz w:val="20"/>
        </w:rPr>
        <w:t xml:space="preserve">обеспечение диспансерным наблюдением не менее 90% граждан старше трудоспособного возраста, у которых выявлены заболевания и патологические состояния;</w:t>
      </w:r>
    </w:p>
    <w:p>
      <w:pPr>
        <w:pStyle w:val="0"/>
        <w:spacing w:before="200" w:line-rule="auto"/>
        <w:ind w:firstLine="540"/>
        <w:jc w:val="both"/>
      </w:pPr>
      <w:r>
        <w:rPr>
          <w:sz w:val="20"/>
        </w:rPr>
        <w:t xml:space="preserve">обеспечение вакцинацией от пневмококковой инфекции не менее 95% граждан старше трудоспособного возраста из групп риска, проживающих в организациях социального обслуживания;</w:t>
      </w:r>
    </w:p>
    <w:p>
      <w:pPr>
        <w:pStyle w:val="0"/>
        <w:spacing w:before="200" w:line-rule="auto"/>
        <w:ind w:firstLine="540"/>
        <w:jc w:val="both"/>
      </w:pPr>
      <w:r>
        <w:rPr>
          <w:sz w:val="20"/>
        </w:rPr>
        <w:t xml:space="preserve">внедрение комплексов мер, направленных на профилактику и раннее выявление когнитивных нарушений у лиц пожилого и старческого возраста, профилактику падений и переломов, профилактику и выявление жестокого обращения с гражданами пожилого и старческого возраста, борьбу с эйджизмом (дискриминацией пожилых);</w:t>
      </w:r>
    </w:p>
    <w:p>
      <w:pPr>
        <w:pStyle w:val="0"/>
        <w:spacing w:before="200" w:line-rule="auto"/>
        <w:ind w:firstLine="540"/>
        <w:jc w:val="both"/>
      </w:pPr>
      <w:r>
        <w:rPr>
          <w:sz w:val="20"/>
        </w:rPr>
        <w:t xml:space="preserve">создание системы долговременного ухода за гражданами пожилого и старческого возраста на основе межведомственного взаимодействия.</w:t>
      </w: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7</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pPr>
      <w:r>
        <w:rPr>
          <w:sz w:val="20"/>
        </w:rPr>
      </w:r>
    </w:p>
    <w:bookmarkStart w:id="21940" w:name="P21940"/>
    <w:bookmarkEnd w:id="21940"/>
    <w:p>
      <w:pPr>
        <w:pStyle w:val="2"/>
        <w:jc w:val="center"/>
      </w:pPr>
      <w:r>
        <w:rPr>
          <w:sz w:val="20"/>
        </w:rPr>
        <w:t xml:space="preserve">ПРОГРАММА</w:t>
      </w:r>
    </w:p>
    <w:p>
      <w:pPr>
        <w:pStyle w:val="2"/>
        <w:jc w:val="center"/>
      </w:pPr>
      <w:r>
        <w:rPr>
          <w:sz w:val="20"/>
        </w:rPr>
        <w:t xml:space="preserve">УКРЕПЛЕНИЯ ОБЩЕСТВЕННОГО ЗДОРОВЬЯ В ХАНТЫ-МАНСИЙСКОМ</w:t>
      </w:r>
    </w:p>
    <w:p>
      <w:pPr>
        <w:pStyle w:val="2"/>
        <w:jc w:val="center"/>
      </w:pPr>
      <w:r>
        <w:rPr>
          <w:sz w:val="20"/>
        </w:rPr>
        <w:t xml:space="preserve">АВТОНОМНОМ ОКРУГЕ - ЮГРЕ "ПРОФИЛАКТИКА ЗАБОЛЕВАНИЙ</w:t>
      </w:r>
    </w:p>
    <w:p>
      <w:pPr>
        <w:pStyle w:val="2"/>
        <w:jc w:val="center"/>
      </w:pPr>
      <w:r>
        <w:rPr>
          <w:sz w:val="20"/>
        </w:rPr>
        <w:t xml:space="preserve">И ФОРМИРОВАНИЕ ЗДОРОВОГО ОБРАЗА ЖИЗНИ" ("ЗДОРОВАЯ ЮГРА")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80" w:tooltip="Постановление Правительства ХМАО - Югры от 07.10.2022 N 502-п &quot;О внесении изменений в приложение 7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постановления</w:t>
              </w:r>
            </w:hyperlink>
            <w:r>
              <w:rPr>
                <w:sz w:val="20"/>
                <w:color w:val="392c69"/>
              </w:rPr>
              <w:t xml:space="preserve"> Правительства ХМАО - Югры от 07.10.2022 N 502-п)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pPr>
      <w:r>
        <w:rPr>
          <w:sz w:val="20"/>
        </w:rPr>
      </w:r>
    </w:p>
    <w:p>
      <w:pPr>
        <w:pStyle w:val="2"/>
        <w:outlineLvl w:val="1"/>
        <w:jc w:val="center"/>
      </w:pPr>
      <w:r>
        <w:rPr>
          <w:sz w:val="20"/>
        </w:rPr>
        <w:t xml:space="preserve">Раздел I. ВВЕДЕНИЕ</w:t>
      </w:r>
    </w:p>
    <w:p>
      <w:pPr>
        <w:pStyle w:val="0"/>
        <w:ind w:firstLine="540"/>
        <w:jc w:val="both"/>
      </w:pPr>
      <w:r>
        <w:rPr>
          <w:sz w:val="20"/>
        </w:rPr>
      </w:r>
    </w:p>
    <w:p>
      <w:pPr>
        <w:pStyle w:val="2"/>
        <w:outlineLvl w:val="2"/>
        <w:ind w:firstLine="540"/>
        <w:jc w:val="both"/>
      </w:pPr>
      <w:r>
        <w:rPr>
          <w:sz w:val="20"/>
        </w:rPr>
        <w:t xml:space="preserve">1.1. Характеристика</w:t>
      </w:r>
    </w:p>
    <w:p>
      <w:pPr>
        <w:pStyle w:val="0"/>
        <w:spacing w:before="200" w:line-rule="auto"/>
        <w:ind w:firstLine="540"/>
        <w:jc w:val="both"/>
      </w:pPr>
      <w:r>
        <w:rPr>
          <w:sz w:val="20"/>
        </w:rPr>
        <w:t xml:space="preserve">Программа укрепления общественного здоровья в Ханты-Мансийском автономном округе - Югре "Профилактика заболеваний и формирование здорового образа жизни" ("Здоровая Югра") (далее - Региональная программа, автономный округ) создана во исполнение плана мероприятий регионального проекта "Формирование системы мотивации граждан к здоровому образу жизни", обеспечивающего достижение целей, результатов и показателей федерального проекта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 входящего в состав национального проекта "Демография", утвержденного президиумом Совета при Президенте Российской Федерации по стратегическому развитию и приоритетным проектам (протокол от 24 декабря 2018 года N 16).</w:t>
      </w:r>
    </w:p>
    <w:p>
      <w:pPr>
        <w:pStyle w:val="0"/>
        <w:spacing w:before="200" w:line-rule="auto"/>
        <w:ind w:firstLine="540"/>
        <w:jc w:val="both"/>
      </w:pPr>
      <w:r>
        <w:rPr>
          <w:sz w:val="20"/>
        </w:rPr>
        <w:t xml:space="preserve">Региональная программа предусматривает межведомственный принцип реализации за счет усилий исполнительных органов государственной власти автономного округа и направлена на профилактику заболеваний и формирование здорового образа жизни населения автономного округа, в том числе за счет создания условий для ведения здорового образа жизни.</w:t>
      </w:r>
    </w:p>
    <w:p>
      <w:pPr>
        <w:pStyle w:val="2"/>
        <w:spacing w:before="200" w:line-rule="auto"/>
        <w:outlineLvl w:val="2"/>
        <w:ind w:firstLine="540"/>
        <w:jc w:val="both"/>
      </w:pPr>
      <w:r>
        <w:rPr>
          <w:sz w:val="20"/>
        </w:rPr>
        <w:t xml:space="preserve">1.2. Глоссарий</w:t>
      </w:r>
    </w:p>
    <w:p>
      <w:pPr>
        <w:pStyle w:val="0"/>
        <w:spacing w:before="200" w:line-rule="auto"/>
        <w:ind w:firstLine="540"/>
        <w:jc w:val="both"/>
      </w:pPr>
      <w:r>
        <w:rPr>
          <w:sz w:val="20"/>
        </w:rPr>
        <w:t xml:space="preserve">Детерминанты здоровья - факторы, влияющие на здоровье.</w:t>
      </w:r>
    </w:p>
    <w:p>
      <w:pPr>
        <w:pStyle w:val="0"/>
        <w:spacing w:before="200" w:line-rule="auto"/>
        <w:ind w:firstLine="540"/>
        <w:jc w:val="both"/>
      </w:pPr>
      <w:r>
        <w:rPr>
          <w:sz w:val="20"/>
        </w:rPr>
        <w:t xml:space="preserve">Индекс - отношение показателей одинаковой размерности при их сопоставлении.</w:t>
      </w:r>
    </w:p>
    <w:p>
      <w:pPr>
        <w:pStyle w:val="0"/>
        <w:spacing w:before="200" w:line-rule="auto"/>
        <w:ind w:firstLine="540"/>
        <w:jc w:val="both"/>
      </w:pPr>
      <w:r>
        <w:rPr>
          <w:sz w:val="20"/>
        </w:rPr>
        <w:t xml:space="preserve">Общественное здоровье - наука о предотвращении заболеваний и продлении жизни путем комплексных организационных воздействий на массовом и индивидуальном уровне.</w:t>
      </w:r>
    </w:p>
    <w:p>
      <w:pPr>
        <w:pStyle w:val="0"/>
        <w:spacing w:before="200" w:line-rule="auto"/>
        <w:ind w:firstLine="540"/>
        <w:jc w:val="both"/>
      </w:pPr>
      <w:r>
        <w:rPr>
          <w:sz w:val="20"/>
        </w:rPr>
        <w:t xml:space="preserve">Ожидаемая продолжительность жизни при рождении (далее - ОПЖ) - показатель, рассчитываемый на основе таблиц смертности и показывающий, какой будет продолжительность жизни у граждан, родившихся в конкретном году, при условии, если на протяжении их жизни люди будут умирать с той частотой, которая отмечалась в соответствующих возрастах на год их рождения. Иными словами, сколько в среднем проживут люди, родившиеся в конкретном году, если на протяжении их жизни уровень смертности в каждой возрастной группе останется прежним, как на год их рождения. Как правило, при использовании термина "продолжительность жизни" подразумевается ОПЖ.</w:t>
      </w:r>
    </w:p>
    <w:p>
      <w:pPr>
        <w:pStyle w:val="0"/>
        <w:spacing w:before="200" w:line-rule="auto"/>
        <w:ind w:firstLine="540"/>
        <w:jc w:val="both"/>
      </w:pPr>
      <w:r>
        <w:rPr>
          <w:sz w:val="20"/>
        </w:rPr>
        <w:t xml:space="preserve">Эффективность - отношение результата к затраченным ресурсам.</w:t>
      </w:r>
    </w:p>
    <w:p>
      <w:pPr>
        <w:pStyle w:val="0"/>
        <w:ind w:firstLine="540"/>
        <w:jc w:val="both"/>
      </w:pPr>
      <w:r>
        <w:rPr>
          <w:sz w:val="20"/>
        </w:rPr>
      </w:r>
    </w:p>
    <w:p>
      <w:pPr>
        <w:pStyle w:val="2"/>
        <w:outlineLvl w:val="1"/>
        <w:jc w:val="center"/>
      </w:pPr>
      <w:r>
        <w:rPr>
          <w:sz w:val="20"/>
        </w:rPr>
        <w:t xml:space="preserve">Раздел II. ПАСПОРТ РЕГИОНАЛЬНОЙ ПРОГРАММЫ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5896"/>
      </w:tblGrid>
      <w:tr>
        <w:tc>
          <w:tcPr>
            <w:tcW w:w="3061" w:type="dxa"/>
          </w:tcPr>
          <w:p>
            <w:pPr>
              <w:pStyle w:val="0"/>
            </w:pPr>
            <w:r>
              <w:rPr>
                <w:sz w:val="20"/>
              </w:rPr>
              <w:t xml:space="preserve">Наименование региональной программы</w:t>
            </w:r>
          </w:p>
        </w:tc>
        <w:tc>
          <w:tcPr>
            <w:tcW w:w="5896" w:type="dxa"/>
          </w:tcPr>
          <w:p>
            <w:pPr>
              <w:pStyle w:val="0"/>
            </w:pPr>
            <w:r>
              <w:rPr>
                <w:sz w:val="20"/>
              </w:rPr>
              <w:t xml:space="preserve">Программа укрепления общественного здоровья в Ханты-Мансийском автономном округе - Югре "Профилактика заболеваний и формирование здорового образа жизни" ("Здоровая Югра")</w:t>
            </w:r>
          </w:p>
        </w:tc>
      </w:tr>
      <w:tr>
        <w:tc>
          <w:tcPr>
            <w:tcW w:w="3061" w:type="dxa"/>
          </w:tcPr>
          <w:p>
            <w:pPr>
              <w:pStyle w:val="0"/>
            </w:pPr>
            <w:r>
              <w:rPr>
                <w:sz w:val="20"/>
              </w:rPr>
              <w:t xml:space="preserve">Ответственный исполнитель региональной программы</w:t>
            </w:r>
          </w:p>
        </w:tc>
        <w:tc>
          <w:tcPr>
            <w:tcW w:w="5896" w:type="dxa"/>
          </w:tcPr>
          <w:p>
            <w:pPr>
              <w:pStyle w:val="0"/>
            </w:pPr>
            <w:r>
              <w:rPr>
                <w:sz w:val="20"/>
              </w:rPr>
              <w:t xml:space="preserve">Департамент здравоохранения Ханты-Мансийского автономного округа - Югры (далее - Депздрав Югры)</w:t>
            </w:r>
          </w:p>
        </w:tc>
      </w:tr>
      <w:tr>
        <w:tc>
          <w:tcPr>
            <w:tcW w:w="3061" w:type="dxa"/>
          </w:tcPr>
          <w:p>
            <w:pPr>
              <w:pStyle w:val="0"/>
            </w:pPr>
            <w:r>
              <w:rPr>
                <w:sz w:val="20"/>
              </w:rPr>
              <w:t xml:space="preserve">Цель региональной программы</w:t>
            </w:r>
          </w:p>
        </w:tc>
        <w:tc>
          <w:tcPr>
            <w:tcW w:w="5896" w:type="dxa"/>
          </w:tcPr>
          <w:p>
            <w:pPr>
              <w:pStyle w:val="0"/>
            </w:pPr>
            <w:r>
              <w:rPr>
                <w:sz w:val="20"/>
              </w:rPr>
              <w:t xml:space="preserve">Улучшение качества и продолжительности жизни граждан путем профилактики заболеваний, а также создания условий для ведения здорового образа жизни</w:t>
            </w:r>
          </w:p>
        </w:tc>
      </w:tr>
      <w:tr>
        <w:tc>
          <w:tcPr>
            <w:tcW w:w="3061" w:type="dxa"/>
          </w:tcPr>
          <w:p>
            <w:pPr>
              <w:pStyle w:val="0"/>
            </w:pPr>
            <w:r>
              <w:rPr>
                <w:sz w:val="20"/>
              </w:rPr>
              <w:t xml:space="preserve">Задачи региональной программы</w:t>
            </w:r>
          </w:p>
        </w:tc>
        <w:tc>
          <w:tcPr>
            <w:tcW w:w="5896" w:type="dxa"/>
          </w:tcPr>
          <w:p>
            <w:pPr>
              <w:pStyle w:val="0"/>
            </w:pPr>
            <w:r>
              <w:rPr>
                <w:sz w:val="20"/>
              </w:rPr>
              <w:t xml:space="preserve">1. Снижение смертности населения Ханты-Мансийского автономного округа - Югры от неинфекционных заболеваний, включая сердечно-сосудистые и онкологические заболевания, а также снижение смертности населения в трудоспособном возрасте.</w:t>
            </w:r>
          </w:p>
          <w:p>
            <w:pPr>
              <w:pStyle w:val="0"/>
            </w:pPr>
            <w:r>
              <w:rPr>
                <w:sz w:val="20"/>
              </w:rPr>
              <w:t xml:space="preserve">2. Информирование граждан о факторах риска развития заболеваний, мерах для профилактики заболеваний, а также повышение мотивации граждан к ведению здорового образа жизни за счет реализации информационно-коммуникационной кампании в СМИ, а также реализации массовых мероприятий (акций, спортивных мероприятий, флеш-мобов и др.).</w:t>
            </w:r>
          </w:p>
          <w:p>
            <w:pPr>
              <w:pStyle w:val="0"/>
            </w:pPr>
            <w:r>
              <w:rPr>
                <w:sz w:val="20"/>
              </w:rPr>
              <w:t xml:space="preserve">3. Привлечение волонтерских объединений и общественных организаций для профилактики заболеваний и укреплению здоровья.</w:t>
            </w:r>
          </w:p>
          <w:p>
            <w:pPr>
              <w:pStyle w:val="0"/>
            </w:pPr>
            <w:r>
              <w:rPr>
                <w:sz w:val="20"/>
              </w:rPr>
              <w:t xml:space="preserve">4. Снижение распространенности курения табака и злоупотребления алкоголем среди населения Ханты-Мансийского автономного округа - Югры как фактора риска развития заболеваний.</w:t>
            </w:r>
          </w:p>
          <w:p>
            <w:pPr>
              <w:pStyle w:val="0"/>
            </w:pPr>
            <w:r>
              <w:rPr>
                <w:sz w:val="20"/>
              </w:rPr>
              <w:t xml:space="preserve">5. Проведение диспансеризации и профилактического медицинского осмотра.</w:t>
            </w:r>
          </w:p>
          <w:p>
            <w:pPr>
              <w:pStyle w:val="0"/>
            </w:pPr>
            <w:r>
              <w:rPr>
                <w:sz w:val="20"/>
              </w:rPr>
              <w:t xml:space="preserve">6. Привлечение граждан к занятиям физической культурой и спортом.</w:t>
            </w:r>
          </w:p>
          <w:p>
            <w:pPr>
              <w:pStyle w:val="0"/>
            </w:pPr>
            <w:r>
              <w:rPr>
                <w:sz w:val="20"/>
              </w:rPr>
              <w:t xml:space="preserve">7. Снижение уровня предраковых и онкологических заболеваний слизистой оболочки рта.</w:t>
            </w:r>
          </w:p>
          <w:p>
            <w:pPr>
              <w:pStyle w:val="0"/>
            </w:pPr>
            <w:r>
              <w:rPr>
                <w:sz w:val="20"/>
              </w:rPr>
              <w:t xml:space="preserve">8. Снижение уровня стоматологической заболеваемости у детей и подростков, уменьшение количества осложнений.</w:t>
            </w:r>
          </w:p>
          <w:p>
            <w:pPr>
              <w:pStyle w:val="0"/>
            </w:pPr>
            <w:r>
              <w:rPr>
                <w:sz w:val="20"/>
              </w:rPr>
              <w:t xml:space="preserve">9. Повышение информированности граждан о факторах риска развития стоматологических заболеваний, мерах их профилактики, а также повышение мотивации граждан к рациональной гигиене полости рта и рациональному питанию.</w:t>
            </w:r>
          </w:p>
          <w:p>
            <w:pPr>
              <w:pStyle w:val="0"/>
            </w:pPr>
            <w:r>
              <w:rPr>
                <w:sz w:val="20"/>
              </w:rPr>
              <w:t xml:space="preserve">10. Профилактика заболеваний репродуктивной сферы у мужчин.</w:t>
            </w:r>
          </w:p>
          <w:p>
            <w:pPr>
              <w:pStyle w:val="0"/>
            </w:pPr>
            <w:r>
              <w:rPr>
                <w:sz w:val="20"/>
              </w:rPr>
              <w:t xml:space="preserve">11. Методическое сопровождение и мониторинг реализации муниципальных программ укрепления общественного здоровья в муниципальных образованиях Ханты-Мансийского автономного</w:t>
            </w:r>
          </w:p>
          <w:p>
            <w:pPr>
              <w:pStyle w:val="0"/>
            </w:pPr>
            <w:r>
              <w:rPr>
                <w:sz w:val="20"/>
              </w:rPr>
              <w:t xml:space="preserve">округа - Югры.</w:t>
            </w:r>
          </w:p>
          <w:p>
            <w:pPr>
              <w:pStyle w:val="0"/>
            </w:pPr>
            <w:r>
              <w:rPr>
                <w:sz w:val="20"/>
              </w:rPr>
              <w:t xml:space="preserve">12. Методическое сопровождение разработки и внедрения корпоративных программ укрепления здоровья работников в организациях на территории Ханты-Мансийского автономного округа - Югры</w:t>
            </w:r>
          </w:p>
        </w:tc>
      </w:tr>
      <w:tr>
        <w:tc>
          <w:tcPr>
            <w:tcW w:w="3061" w:type="dxa"/>
          </w:tcPr>
          <w:p>
            <w:pPr>
              <w:pStyle w:val="0"/>
            </w:pPr>
            <w:r>
              <w:rPr>
                <w:sz w:val="20"/>
              </w:rPr>
              <w:t xml:space="preserve">Портфели проектов, проекты автономного округа, входящие в состав региональной программы, в том числе направленные на реализацию национальных проектов (программ) Российской Федерации</w:t>
            </w:r>
          </w:p>
        </w:tc>
        <w:tc>
          <w:tcPr>
            <w:tcW w:w="5896" w:type="dxa"/>
          </w:tcPr>
          <w:p>
            <w:pPr>
              <w:pStyle w:val="0"/>
            </w:pPr>
            <w:r>
              <w:rPr>
                <w:sz w:val="20"/>
              </w:rPr>
              <w:t xml:space="preserve">Региональный проект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 входящий в портфель проектов "Демография"</w:t>
            </w:r>
          </w:p>
        </w:tc>
      </w:tr>
      <w:tr>
        <w:tc>
          <w:tcPr>
            <w:tcW w:w="3061" w:type="dxa"/>
          </w:tcPr>
          <w:p>
            <w:pPr>
              <w:pStyle w:val="0"/>
            </w:pPr>
            <w:r>
              <w:rPr>
                <w:sz w:val="20"/>
              </w:rPr>
              <w:t xml:space="preserve">Целевые показатели региональной программы</w:t>
            </w:r>
          </w:p>
        </w:tc>
        <w:tc>
          <w:tcPr>
            <w:tcW w:w="5896" w:type="dxa"/>
          </w:tcPr>
          <w:p>
            <w:pPr>
              <w:pStyle w:val="0"/>
            </w:pPr>
            <w:r>
              <w:rPr>
                <w:sz w:val="20"/>
              </w:rPr>
              <w:t xml:space="preserve">1. Розничные продажи алкогольной продукции на душу населения (в литрах этанола):</w:t>
            </w:r>
          </w:p>
          <w:p>
            <w:pPr>
              <w:pStyle w:val="0"/>
            </w:pPr>
            <w:r>
              <w:rPr>
                <w:sz w:val="20"/>
              </w:rPr>
              <w:t xml:space="preserve">в 2022 году - 7,8;</w:t>
            </w:r>
          </w:p>
          <w:p>
            <w:pPr>
              <w:pStyle w:val="0"/>
            </w:pPr>
            <w:r>
              <w:rPr>
                <w:sz w:val="20"/>
              </w:rPr>
              <w:t xml:space="preserve">в 2023 году - 7,7;</w:t>
            </w:r>
          </w:p>
          <w:p>
            <w:pPr>
              <w:pStyle w:val="0"/>
            </w:pPr>
            <w:r>
              <w:rPr>
                <w:sz w:val="20"/>
              </w:rPr>
              <w:t xml:space="preserve">в 2024 году - 7,6.</w:t>
            </w:r>
          </w:p>
          <w:p>
            <w:pPr>
              <w:pStyle w:val="0"/>
            </w:pPr>
            <w:r>
              <w:rPr>
                <w:sz w:val="20"/>
              </w:rPr>
              <w:t xml:space="preserve">2. Темпы прироста первичной заболеваемости ожирением (процент)</w:t>
            </w:r>
          </w:p>
          <w:p>
            <w:pPr>
              <w:pStyle w:val="0"/>
            </w:pPr>
            <w:r>
              <w:rPr>
                <w:sz w:val="20"/>
              </w:rPr>
              <w:t xml:space="preserve">в 2022 году - 6,3;</w:t>
            </w:r>
          </w:p>
          <w:p>
            <w:pPr>
              <w:pStyle w:val="0"/>
            </w:pPr>
            <w:r>
              <w:rPr>
                <w:sz w:val="20"/>
              </w:rPr>
              <w:t xml:space="preserve">в 2023 году - 5,6;</w:t>
            </w:r>
          </w:p>
          <w:p>
            <w:pPr>
              <w:pStyle w:val="0"/>
            </w:pPr>
            <w:r>
              <w:rPr>
                <w:sz w:val="20"/>
              </w:rPr>
              <w:t xml:space="preserve">в 2024 году - 4,7</w:t>
            </w:r>
          </w:p>
        </w:tc>
      </w:tr>
      <w:tr>
        <w:tc>
          <w:tcPr>
            <w:tcW w:w="3061" w:type="dxa"/>
          </w:tcPr>
          <w:p>
            <w:pPr>
              <w:pStyle w:val="0"/>
            </w:pPr>
            <w:r>
              <w:rPr>
                <w:sz w:val="20"/>
              </w:rPr>
              <w:t xml:space="preserve">Сроки реализации региональной программы</w:t>
            </w:r>
          </w:p>
        </w:tc>
        <w:tc>
          <w:tcPr>
            <w:tcW w:w="5896" w:type="dxa"/>
          </w:tcPr>
          <w:p>
            <w:pPr>
              <w:pStyle w:val="0"/>
            </w:pPr>
            <w:r>
              <w:rPr>
                <w:sz w:val="20"/>
              </w:rPr>
              <w:t xml:space="preserve">2022 - 2024 годы</w:t>
            </w:r>
          </w:p>
        </w:tc>
      </w:tr>
      <w:tr>
        <w:tc>
          <w:tcPr>
            <w:tcW w:w="3061" w:type="dxa"/>
          </w:tcPr>
          <w:p>
            <w:pPr>
              <w:pStyle w:val="0"/>
            </w:pPr>
            <w:r>
              <w:rPr>
                <w:sz w:val="20"/>
              </w:rPr>
              <w:t xml:space="preserve">Параметры финансового обеспечения региональной программы</w:t>
            </w:r>
          </w:p>
        </w:tc>
        <w:tc>
          <w:tcPr>
            <w:tcW w:w="5896" w:type="dxa"/>
          </w:tcPr>
          <w:p>
            <w:pPr>
              <w:pStyle w:val="0"/>
            </w:pPr>
            <w:r>
              <w:rPr>
                <w:sz w:val="20"/>
              </w:rPr>
              <w:t xml:space="preserve">0,00 тыс. рублей </w:t>
            </w:r>
            <w:hyperlink w:history="0" w:anchor="P21998" w:tooltip="&lt;*&gt; Финансирование мероприятий региональной программы не предусмотрено в связи с тем, что расходы по этому направлению производятся за счет текущего финансирования медицинских организаций.">
              <w:r>
                <w:rPr>
                  <w:sz w:val="20"/>
                  <w:color w:val="0000ff"/>
                </w:rPr>
                <w:t xml:space="preserve">&lt;*&gt;</w:t>
              </w:r>
            </w:hyperlink>
          </w:p>
        </w:tc>
      </w:tr>
    </w:tbl>
    <w:p>
      <w:pPr>
        <w:pStyle w:val="0"/>
        <w:ind w:firstLine="540"/>
        <w:jc w:val="both"/>
      </w:pPr>
      <w:r>
        <w:rPr>
          <w:sz w:val="20"/>
        </w:rPr>
      </w:r>
    </w:p>
    <w:p>
      <w:pPr>
        <w:pStyle w:val="0"/>
        <w:ind w:firstLine="540"/>
        <w:jc w:val="both"/>
      </w:pPr>
      <w:r>
        <w:rPr>
          <w:sz w:val="20"/>
        </w:rPr>
        <w:t xml:space="preserve">--------------------------------</w:t>
      </w:r>
    </w:p>
    <w:bookmarkStart w:id="21998" w:name="P21998"/>
    <w:bookmarkEnd w:id="21998"/>
    <w:p>
      <w:pPr>
        <w:pStyle w:val="0"/>
        <w:spacing w:before="200" w:line-rule="auto"/>
        <w:ind w:firstLine="540"/>
        <w:jc w:val="both"/>
      </w:pPr>
      <w:r>
        <w:rPr>
          <w:sz w:val="20"/>
        </w:rPr>
        <w:t xml:space="preserve">&lt;*&gt; Финансирование мероприятий региональной программы не предусмотрено в связи с тем, что расходы по этому направлению производятся за счет текущего финансирования медицинских организаций.</w:t>
      </w:r>
    </w:p>
    <w:p>
      <w:pPr>
        <w:pStyle w:val="0"/>
        <w:ind w:firstLine="540"/>
        <w:jc w:val="both"/>
      </w:pPr>
      <w:r>
        <w:rPr>
          <w:sz w:val="20"/>
        </w:rPr>
      </w:r>
    </w:p>
    <w:p>
      <w:pPr>
        <w:pStyle w:val="2"/>
        <w:outlineLvl w:val="1"/>
        <w:jc w:val="center"/>
      </w:pPr>
      <w:r>
        <w:rPr>
          <w:sz w:val="20"/>
        </w:rPr>
        <w:t xml:space="preserve">Раздел III. ОБЩАЯ ХАРАКТЕРИСТИКА</w:t>
      </w:r>
    </w:p>
    <w:p>
      <w:pPr>
        <w:pStyle w:val="0"/>
        <w:ind w:firstLine="540"/>
        <w:jc w:val="both"/>
      </w:pPr>
      <w:r>
        <w:rPr>
          <w:sz w:val="20"/>
        </w:rPr>
      </w:r>
    </w:p>
    <w:p>
      <w:pPr>
        <w:pStyle w:val="2"/>
        <w:outlineLvl w:val="2"/>
        <w:ind w:firstLine="540"/>
        <w:jc w:val="both"/>
      </w:pPr>
      <w:r>
        <w:rPr>
          <w:sz w:val="20"/>
        </w:rPr>
        <w:t xml:space="preserve">3.1. Географические характеристики</w:t>
      </w:r>
    </w:p>
    <w:p>
      <w:pPr>
        <w:pStyle w:val="0"/>
        <w:spacing w:before="200" w:line-rule="auto"/>
        <w:ind w:firstLine="540"/>
        <w:jc w:val="both"/>
      </w:pPr>
      <w:r>
        <w:rPr>
          <w:sz w:val="20"/>
        </w:rPr>
        <w:t xml:space="preserve">Территория автономного округа расположена в центральной части Западно-Сибирской равнины. Протяженность территории автономного округа с запада на восток составляет около 1400 км от Уральских гор до Обско-Енисейского водораздела. С севера на юг 900 км. Граница территории автономного округа имеет общую протяженность 4733 км.</w:t>
      </w:r>
    </w:p>
    <w:p>
      <w:pPr>
        <w:pStyle w:val="0"/>
        <w:spacing w:before="200" w:line-rule="auto"/>
        <w:ind w:firstLine="540"/>
        <w:jc w:val="both"/>
      </w:pPr>
      <w:r>
        <w:rPr>
          <w:sz w:val="20"/>
        </w:rPr>
        <w:t xml:space="preserve">Крайняя северная точка расположена у истоков р. Хулга в Березовском районе, крайняя южная - вблизи поселка городского типа Куминский, крайняя западная - в горах Северного Урала у истоков р. Северная Сосьва, крайняя восточная - у истоков р. Вах. На севере округ граничит с Ямало-Ненецким автономный округом, на северо-западе - с Республикой Коми, на юго-западе - со Свердловской областью, на юге - с Тобольским и Уватским районами Тюменской области, на юго-востоке и востоке - с Томской областью и Красноярским краем. Территория Белоярского и Березовского районов относится к районам Крайнего Севера, остальная территория автономного округа приравнена к районом Крайнего Севера.</w:t>
      </w:r>
    </w:p>
    <w:p>
      <w:pPr>
        <w:pStyle w:val="0"/>
        <w:spacing w:before="200" w:line-rule="auto"/>
        <w:ind w:firstLine="540"/>
        <w:jc w:val="both"/>
      </w:pPr>
      <w:r>
        <w:rPr>
          <w:sz w:val="20"/>
        </w:rPr>
        <w:t xml:space="preserve">Автономный округ включает в себя территории городов окружного значения: Белоярский, Когалым с поселком Ортъягун, Лангепас, Мегион с поселком городского типа Высокий, Нефтеюганск, Нижневартовск, Нягань, Покачи, Пыть-Ях, Радужный, Сургут, Урай, Ханты-Мансийск, Югорск, территории Белоярского, Березовского, Кондинского, Нефтеюганского, Нижневартовского, Октябрьского, Советского, Сургутского и Ханты-Мансийского районов.</w:t>
      </w:r>
    </w:p>
    <w:p>
      <w:pPr>
        <w:pStyle w:val="0"/>
        <w:spacing w:before="200" w:line-rule="auto"/>
        <w:ind w:firstLine="540"/>
        <w:jc w:val="both"/>
      </w:pPr>
      <w:r>
        <w:rPr>
          <w:sz w:val="20"/>
        </w:rPr>
        <w:t xml:space="preserve">Автономный округ граничит одновременно с шестью субъектами Российской Федерации. Расположен в зоне таежных лесов и болот. Рельеф региона разнообразен: на его территории есть равнины, предгорья и горы. Высшие точки - гора Народная (1895 м) на Приполярном Урале и гора Педы (1010 м) на Северном Урале.</w:t>
      </w:r>
    </w:p>
    <w:p>
      <w:pPr>
        <w:pStyle w:val="2"/>
        <w:spacing w:before="200" w:line-rule="auto"/>
        <w:outlineLvl w:val="2"/>
        <w:ind w:firstLine="540"/>
        <w:jc w:val="both"/>
      </w:pPr>
      <w:r>
        <w:rPr>
          <w:sz w:val="20"/>
        </w:rPr>
        <w:t xml:space="preserve">3.2. Территориальная организация</w:t>
      </w:r>
    </w:p>
    <w:p>
      <w:pPr>
        <w:pStyle w:val="0"/>
        <w:spacing w:before="200" w:line-rule="auto"/>
        <w:ind w:firstLine="540"/>
        <w:jc w:val="both"/>
      </w:pPr>
      <w:r>
        <w:rPr>
          <w:sz w:val="20"/>
        </w:rPr>
        <w:t xml:space="preserve">На территории автономного округа создано 9 муниципальных районов, 13 городских округов, 26 городских и 57 сельских поселений, расположено 195 населенных пунктов:</w:t>
      </w:r>
    </w:p>
    <w:p>
      <w:pPr>
        <w:pStyle w:val="0"/>
        <w:spacing w:before="200" w:line-rule="auto"/>
        <w:ind w:firstLine="540"/>
        <w:jc w:val="both"/>
      </w:pPr>
      <w:r>
        <w:rPr>
          <w:sz w:val="20"/>
        </w:rPr>
        <w:t xml:space="preserve">16 городов (из них 14 наделены статусом "город окружного значения"),</w:t>
      </w:r>
    </w:p>
    <w:p>
      <w:pPr>
        <w:pStyle w:val="0"/>
        <w:spacing w:before="200" w:line-rule="auto"/>
        <w:ind w:firstLine="540"/>
        <w:jc w:val="both"/>
      </w:pPr>
      <w:r>
        <w:rPr>
          <w:sz w:val="20"/>
        </w:rPr>
        <w:t xml:space="preserve">24 поселка городского типа,</w:t>
      </w:r>
    </w:p>
    <w:p>
      <w:pPr>
        <w:pStyle w:val="0"/>
        <w:spacing w:before="200" w:line-rule="auto"/>
        <w:ind w:firstLine="540"/>
        <w:jc w:val="both"/>
      </w:pPr>
      <w:r>
        <w:rPr>
          <w:sz w:val="20"/>
        </w:rPr>
        <w:t xml:space="preserve">58 поселков,</w:t>
      </w:r>
    </w:p>
    <w:p>
      <w:pPr>
        <w:pStyle w:val="0"/>
        <w:spacing w:before="200" w:line-rule="auto"/>
        <w:ind w:firstLine="540"/>
        <w:jc w:val="both"/>
      </w:pPr>
      <w:r>
        <w:rPr>
          <w:sz w:val="20"/>
        </w:rPr>
        <w:t xml:space="preserve">45 сел,</w:t>
      </w:r>
    </w:p>
    <w:p>
      <w:pPr>
        <w:pStyle w:val="0"/>
        <w:spacing w:before="200" w:line-rule="auto"/>
        <w:ind w:firstLine="540"/>
        <w:jc w:val="both"/>
      </w:pPr>
      <w:r>
        <w:rPr>
          <w:sz w:val="20"/>
        </w:rPr>
        <w:t xml:space="preserve">52 деревни.</w:t>
      </w:r>
    </w:p>
    <w:p>
      <w:pPr>
        <w:pStyle w:val="2"/>
        <w:spacing w:before="200" w:line-rule="auto"/>
        <w:outlineLvl w:val="2"/>
        <w:ind w:firstLine="540"/>
        <w:jc w:val="both"/>
      </w:pPr>
      <w:r>
        <w:rPr>
          <w:sz w:val="20"/>
        </w:rPr>
        <w:t xml:space="preserve">3.3. Климатические характеристики</w:t>
      </w:r>
    </w:p>
    <w:p>
      <w:pPr>
        <w:pStyle w:val="0"/>
        <w:spacing w:before="200" w:line-rule="auto"/>
        <w:ind w:firstLine="540"/>
        <w:jc w:val="both"/>
      </w:pPr>
      <w:r>
        <w:rPr>
          <w:sz w:val="20"/>
        </w:rPr>
        <w:t xml:space="preserve">Климат автономного округа умеренный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устанавливаются на несколько недель при температуре воздуха ниже минус 30 градусов. Лето короткое и теплое.</w:t>
      </w:r>
    </w:p>
    <w:p>
      <w:pPr>
        <w:pStyle w:val="2"/>
        <w:spacing w:before="200" w:line-rule="auto"/>
        <w:outlineLvl w:val="2"/>
        <w:ind w:firstLine="540"/>
        <w:jc w:val="both"/>
      </w:pPr>
      <w:r>
        <w:rPr>
          <w:sz w:val="20"/>
        </w:rPr>
        <w:t xml:space="preserve">3.4. Демографические характеристики</w:t>
      </w:r>
    </w:p>
    <w:p>
      <w:pPr>
        <w:pStyle w:val="0"/>
        <w:spacing w:before="200" w:line-rule="auto"/>
        <w:ind w:firstLine="540"/>
        <w:jc w:val="both"/>
      </w:pPr>
      <w:r>
        <w:rPr>
          <w:sz w:val="20"/>
        </w:rPr>
        <w:t xml:space="preserve">Население автономного округа имеет невысокую плотность и составляет около 3,16 человек на квадратный километр (сведения за 2020 год). Это, в свою очередь, усложняет оказание медицинской помощи населению, проживающему в отдаленных и труднодоступных местностях.</w:t>
      </w:r>
    </w:p>
    <w:p>
      <w:pPr>
        <w:pStyle w:val="0"/>
        <w:spacing w:before="200" w:line-rule="auto"/>
        <w:ind w:firstLine="540"/>
        <w:jc w:val="both"/>
      </w:pPr>
      <w:r>
        <w:rPr>
          <w:sz w:val="20"/>
        </w:rPr>
        <w:t xml:space="preserve">Согласно данным Росстата в автономном округе, по состоянию на 1 января 2021 года общая численность населения составляла 1 687 654 человек, в том числе 124 634 человек сельского населения. Таким образом, основное население автономного округа - 92,6% проживает в городах. На 1 января 2021 года общая численность населения моложе трудоспособного возраста - 386 633 человек, населения в трудоспособном возрасте - 1 021 945 человек, старше трудоспособного возраста - 279 076 человек.</w:t>
      </w:r>
    </w:p>
    <w:p>
      <w:pPr>
        <w:pStyle w:val="0"/>
        <w:spacing w:before="200" w:line-rule="auto"/>
        <w:ind w:firstLine="540"/>
        <w:jc w:val="both"/>
      </w:pPr>
      <w:r>
        <w:rPr>
          <w:sz w:val="20"/>
        </w:rPr>
        <w:t xml:space="preserve">Численность населения автономного округа имеет тенденцию к увеличению. Динамика изменения численности населения за период с 2018 года показывает прирост на 1,4% или на 23,9 тыс. чел. За период с 2000 года численность автономного округа увеличилась на 17,5%. Среди населения трудоспособного возраста (мужчины 16-60 лет, женщины 16 - 55 лет) прирост составил 5,0%.</w:t>
      </w:r>
    </w:p>
    <w:p>
      <w:pPr>
        <w:pStyle w:val="0"/>
        <w:spacing w:before="200" w:line-rule="auto"/>
        <w:ind w:firstLine="540"/>
        <w:jc w:val="both"/>
      </w:pPr>
      <w:r>
        <w:rPr>
          <w:sz w:val="20"/>
        </w:rPr>
        <w:t xml:space="preserve">Рост численности населения обусловлен как миграционным, так и естественным приростом. Показатель естественного прироста в 2020 году составил 4,7 на 1 тыс. населения.</w:t>
      </w:r>
    </w:p>
    <w:p>
      <w:pPr>
        <w:pStyle w:val="0"/>
        <w:spacing w:before="200" w:line-rule="auto"/>
        <w:ind w:firstLine="540"/>
        <w:jc w:val="both"/>
      </w:pPr>
      <w:r>
        <w:rPr>
          <w:sz w:val="20"/>
        </w:rPr>
        <w:t xml:space="preserve">Для автономного округа характерна стабильная медико-демографическая ситуация, высокий коэффициент рождаемости (12,3) при низком показателе смертности населения (7,6).</w:t>
      </w:r>
    </w:p>
    <w:p>
      <w:pPr>
        <w:pStyle w:val="0"/>
        <w:spacing w:before="200" w:line-rule="auto"/>
        <w:ind w:firstLine="540"/>
        <w:jc w:val="both"/>
      </w:pPr>
      <w:r>
        <w:rPr>
          <w:sz w:val="20"/>
        </w:rPr>
        <w:t xml:space="preserve">В автономном округе 125 756 человек проживают в отдаленных районах (определенных </w:t>
      </w:r>
      <w:hyperlink w:history="0" r:id="rId181" w:tooltip="Закон ХМАО - Югры от 31.12.2004 N 101-оз (ред. от 24.09.2020) &quot;О перечнях труднодоступных и отдаленных местностей и территорий компактного проживания коренных малочисленных народов Севера в Ханты-Мансийском автономном округе - Югре, применяемых при проведении выборов&quot; (принят Думой Ханты-Мансийского автономного округа - Югры 25.12.2004) {КонсультантПлюс}">
        <w:r>
          <w:rPr>
            <w:sz w:val="20"/>
            <w:color w:val="0000ff"/>
          </w:rPr>
          <w:t xml:space="preserve">Законом</w:t>
        </w:r>
      </w:hyperlink>
      <w:r>
        <w:rPr>
          <w:sz w:val="20"/>
        </w:rPr>
        <w:t xml:space="preserve"> Ханты-Мансийского автономного округа - Югры от 31 декабря 2004 года N 101-оз "О перечнях труднодоступных и отдаленных местностей и территорий компактного проживания коренных малочисленных народов Севера в Ханты-Мансийском автономном округе - Югре, применяемых при проведении выборов"). Распределение населения в городских округах и муниципальных районах указано в </w:t>
      </w:r>
      <w:hyperlink w:history="0" w:anchor="P22033" w:tooltip="Численность населения в городских округах и муниципальных">
        <w:r>
          <w:rPr>
            <w:sz w:val="20"/>
            <w:color w:val="0000ff"/>
          </w:rPr>
          <w:t xml:space="preserve">таблице 1</w:t>
        </w:r>
      </w:hyperlink>
      <w:r>
        <w:rPr>
          <w:sz w:val="20"/>
        </w:rPr>
        <w:t xml:space="preserve">.</w:t>
      </w:r>
    </w:p>
    <w:p>
      <w:pPr>
        <w:pStyle w:val="0"/>
        <w:ind w:firstLine="540"/>
        <w:jc w:val="both"/>
      </w:pPr>
      <w:r>
        <w:rPr>
          <w:sz w:val="20"/>
        </w:rPr>
      </w:r>
    </w:p>
    <w:p>
      <w:pPr>
        <w:pStyle w:val="0"/>
        <w:outlineLvl w:val="3"/>
        <w:jc w:val="right"/>
      </w:pPr>
      <w:r>
        <w:rPr>
          <w:sz w:val="20"/>
        </w:rPr>
        <w:t xml:space="preserve">Рисунок 1</w:t>
      </w:r>
    </w:p>
    <w:p>
      <w:pPr>
        <w:pStyle w:val="0"/>
        <w:ind w:firstLine="540"/>
        <w:jc w:val="both"/>
      </w:pPr>
      <w:r>
        <w:rPr>
          <w:sz w:val="20"/>
        </w:rPr>
      </w:r>
    </w:p>
    <w:p>
      <w:pPr>
        <w:pStyle w:val="2"/>
        <w:jc w:val="center"/>
      </w:pPr>
      <w:r>
        <w:rPr>
          <w:sz w:val="20"/>
        </w:rPr>
        <w:t xml:space="preserve">Численность населения автономного округа по муниципальным</w:t>
      </w:r>
    </w:p>
    <w:p>
      <w:pPr>
        <w:pStyle w:val="2"/>
        <w:jc w:val="center"/>
      </w:pPr>
      <w:r>
        <w:rPr>
          <w:sz w:val="20"/>
        </w:rPr>
        <w:t xml:space="preserve">образованиям (всего - 1687654 человек)</w:t>
      </w:r>
    </w:p>
    <w:p>
      <w:pPr>
        <w:pStyle w:val="0"/>
        <w:jc w:val="center"/>
      </w:pPr>
      <w:r>
        <w:rPr>
          <w:sz w:val="20"/>
        </w:rPr>
      </w:r>
    </w:p>
    <w:p>
      <w:pPr>
        <w:pStyle w:val="0"/>
        <w:jc w:val="center"/>
      </w:pPr>
      <w:r>
        <w:rPr>
          <w:position w:val="-243"/>
        </w:rPr>
        <w:drawing>
          <wp:inline distT="0" distB="0" distL="0" distR="0">
            <wp:extent cx="5278755" cy="3218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5278755" cy="3218180"/>
                    </a:xfrm>
                    <a:prstGeom prst="rect">
                      <a:avLst/>
                    </a:prstGeom>
                    <a:noFill/>
                    <a:ln>
                      <a:noFill/>
                    </a:ln>
                  </pic:spPr>
                </pic:pic>
              </a:graphicData>
            </a:graphic>
          </wp:inline>
        </w:drawing>
      </w:r>
    </w:p>
    <w:p>
      <w:pPr>
        <w:pStyle w:val="0"/>
        <w:ind w:firstLine="540"/>
        <w:jc w:val="both"/>
      </w:pPr>
      <w:r>
        <w:rPr>
          <w:sz w:val="20"/>
        </w:rPr>
      </w:r>
    </w:p>
    <w:p>
      <w:pPr>
        <w:pStyle w:val="0"/>
        <w:outlineLvl w:val="3"/>
        <w:jc w:val="right"/>
      </w:pPr>
      <w:r>
        <w:rPr>
          <w:sz w:val="20"/>
        </w:rPr>
        <w:t xml:space="preserve">Таблица 1</w:t>
      </w:r>
    </w:p>
    <w:p>
      <w:pPr>
        <w:pStyle w:val="0"/>
        <w:jc w:val="right"/>
      </w:pPr>
      <w:r>
        <w:rPr>
          <w:sz w:val="20"/>
        </w:rPr>
      </w:r>
    </w:p>
    <w:bookmarkStart w:id="22033" w:name="P22033"/>
    <w:bookmarkEnd w:id="22033"/>
    <w:p>
      <w:pPr>
        <w:pStyle w:val="2"/>
        <w:jc w:val="center"/>
      </w:pPr>
      <w:r>
        <w:rPr>
          <w:sz w:val="20"/>
        </w:rPr>
        <w:t xml:space="preserve">Численность населения в городских округах и муниципальных</w:t>
      </w:r>
    </w:p>
    <w:p>
      <w:pPr>
        <w:pStyle w:val="2"/>
        <w:jc w:val="center"/>
      </w:pPr>
      <w:r>
        <w:rPr>
          <w:sz w:val="20"/>
        </w:rPr>
        <w:t xml:space="preserve">районах на 1 января 2021 года (по данным Федеральной службы</w:t>
      </w:r>
    </w:p>
    <w:p>
      <w:pPr>
        <w:pStyle w:val="2"/>
        <w:jc w:val="center"/>
      </w:pPr>
      <w:r>
        <w:rPr>
          <w:sz w:val="20"/>
        </w:rPr>
        <w:t xml:space="preserve">государственной статистики)</w:t>
      </w:r>
    </w:p>
    <w:p>
      <w:pPr>
        <w:pStyle w:val="0"/>
        <w:jc w:val="center"/>
      </w:pPr>
      <w:r>
        <w:rPr>
          <w:sz w:val="20"/>
        </w:rPr>
      </w:r>
    </w:p>
    <w:p>
      <w:pPr>
        <w:pStyle w:val="0"/>
        <w:jc w:val="right"/>
      </w:pPr>
      <w:r>
        <w:rPr>
          <w:sz w:val="20"/>
        </w:rPr>
        <w:t xml:space="preserve">на начало года, человек</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0"/>
        <w:gridCol w:w="993"/>
        <w:gridCol w:w="1275"/>
        <w:gridCol w:w="1134"/>
        <w:gridCol w:w="1134"/>
        <w:gridCol w:w="1593"/>
      </w:tblGrid>
      <w:tr>
        <w:tc>
          <w:tcPr>
            <w:tcW w:w="2830" w:type="dxa"/>
            <w:vMerge w:val="restart"/>
          </w:tcPr>
          <w:p>
            <w:pPr>
              <w:pStyle w:val="0"/>
              <w:jc w:val="center"/>
            </w:pPr>
            <w:r>
              <w:rPr>
                <w:sz w:val="20"/>
              </w:rPr>
            </w:r>
          </w:p>
        </w:tc>
        <w:tc>
          <w:tcPr>
            <w:tcW w:w="993" w:type="dxa"/>
            <w:vMerge w:val="restart"/>
          </w:tcPr>
          <w:p>
            <w:pPr>
              <w:pStyle w:val="0"/>
              <w:jc w:val="center"/>
            </w:pPr>
            <w:r>
              <w:rPr>
                <w:sz w:val="20"/>
              </w:rPr>
              <w:t xml:space="preserve">Всего</w:t>
            </w:r>
          </w:p>
        </w:tc>
        <w:tc>
          <w:tcPr>
            <w:gridSpan w:val="2"/>
            <w:tcW w:w="2409" w:type="dxa"/>
          </w:tcPr>
          <w:p>
            <w:pPr>
              <w:pStyle w:val="0"/>
              <w:jc w:val="center"/>
            </w:pPr>
            <w:r>
              <w:rPr>
                <w:sz w:val="20"/>
              </w:rPr>
              <w:t xml:space="preserve">в том числе</w:t>
            </w:r>
          </w:p>
        </w:tc>
        <w:tc>
          <w:tcPr>
            <w:gridSpan w:val="2"/>
            <w:tcW w:w="2727" w:type="dxa"/>
          </w:tcPr>
          <w:p>
            <w:pPr>
              <w:pStyle w:val="0"/>
              <w:jc w:val="center"/>
            </w:pPr>
            <w:r>
              <w:rPr>
                <w:sz w:val="20"/>
              </w:rPr>
              <w:t xml:space="preserve">в том числе</w:t>
            </w:r>
          </w:p>
        </w:tc>
      </w:tr>
      <w:tr>
        <w:tc>
          <w:tcPr>
            <w:vMerge w:val="continue"/>
          </w:tcPr>
          <w:p/>
        </w:tc>
        <w:tc>
          <w:tcPr>
            <w:vMerge w:val="continue"/>
          </w:tcPr>
          <w:p/>
        </w:tc>
        <w:tc>
          <w:tcPr>
            <w:tcW w:w="1275" w:type="dxa"/>
          </w:tcPr>
          <w:p>
            <w:pPr>
              <w:pStyle w:val="0"/>
              <w:jc w:val="center"/>
            </w:pPr>
            <w:r>
              <w:rPr>
                <w:sz w:val="20"/>
              </w:rPr>
              <w:t xml:space="preserve">городское</w:t>
            </w:r>
          </w:p>
        </w:tc>
        <w:tc>
          <w:tcPr>
            <w:tcW w:w="1134" w:type="dxa"/>
          </w:tcPr>
          <w:p>
            <w:pPr>
              <w:pStyle w:val="0"/>
              <w:jc w:val="center"/>
            </w:pPr>
            <w:r>
              <w:rPr>
                <w:sz w:val="20"/>
              </w:rPr>
              <w:t xml:space="preserve">сельское</w:t>
            </w:r>
          </w:p>
        </w:tc>
        <w:tc>
          <w:tcPr>
            <w:tcW w:w="1134" w:type="dxa"/>
          </w:tcPr>
          <w:p>
            <w:pPr>
              <w:pStyle w:val="0"/>
              <w:jc w:val="center"/>
            </w:pPr>
            <w:r>
              <w:rPr>
                <w:sz w:val="20"/>
              </w:rPr>
              <w:t xml:space="preserve">взрослые</w:t>
            </w:r>
          </w:p>
        </w:tc>
        <w:tc>
          <w:tcPr>
            <w:tcW w:w="1593" w:type="dxa"/>
          </w:tcPr>
          <w:p>
            <w:pPr>
              <w:pStyle w:val="0"/>
              <w:jc w:val="center"/>
            </w:pPr>
            <w:r>
              <w:rPr>
                <w:sz w:val="20"/>
              </w:rPr>
              <w:t xml:space="preserve">дети 0 - 17 лет</w:t>
            </w:r>
          </w:p>
        </w:tc>
      </w:tr>
      <w:tr>
        <w:tc>
          <w:tcPr>
            <w:tcW w:w="2830" w:type="dxa"/>
          </w:tcPr>
          <w:p>
            <w:pPr>
              <w:pStyle w:val="0"/>
            </w:pPr>
            <w:r>
              <w:rPr>
                <w:sz w:val="20"/>
              </w:rPr>
              <w:t xml:space="preserve">Ханты-Мансийский автономный округ - Югра, всего</w:t>
            </w:r>
          </w:p>
        </w:tc>
        <w:tc>
          <w:tcPr>
            <w:tcW w:w="993" w:type="dxa"/>
          </w:tcPr>
          <w:p>
            <w:pPr>
              <w:pStyle w:val="0"/>
            </w:pPr>
            <w:r>
              <w:rPr>
                <w:sz w:val="20"/>
              </w:rPr>
              <w:t xml:space="preserve">1687654</w:t>
            </w:r>
          </w:p>
        </w:tc>
        <w:tc>
          <w:tcPr>
            <w:tcW w:w="1275" w:type="dxa"/>
          </w:tcPr>
          <w:p>
            <w:pPr>
              <w:pStyle w:val="0"/>
            </w:pPr>
            <w:r>
              <w:rPr>
                <w:sz w:val="20"/>
              </w:rPr>
              <w:t xml:space="preserve">1563020</w:t>
            </w:r>
          </w:p>
        </w:tc>
        <w:tc>
          <w:tcPr>
            <w:tcW w:w="1134" w:type="dxa"/>
          </w:tcPr>
          <w:p>
            <w:pPr>
              <w:pStyle w:val="0"/>
            </w:pPr>
            <w:r>
              <w:rPr>
                <w:sz w:val="20"/>
              </w:rPr>
              <w:t xml:space="preserve">124634</w:t>
            </w:r>
          </w:p>
        </w:tc>
        <w:tc>
          <w:tcPr>
            <w:tcW w:w="1134" w:type="dxa"/>
          </w:tcPr>
          <w:p>
            <w:pPr>
              <w:pStyle w:val="0"/>
            </w:pPr>
            <w:r>
              <w:rPr>
                <w:sz w:val="20"/>
              </w:rPr>
              <w:t xml:space="preserve">1259591</w:t>
            </w:r>
          </w:p>
        </w:tc>
        <w:tc>
          <w:tcPr>
            <w:tcW w:w="1593" w:type="dxa"/>
          </w:tcPr>
          <w:p>
            <w:pPr>
              <w:pStyle w:val="0"/>
            </w:pPr>
            <w:r>
              <w:rPr>
                <w:sz w:val="20"/>
              </w:rPr>
              <w:t xml:space="preserve">428063</w:t>
            </w:r>
          </w:p>
        </w:tc>
      </w:tr>
      <w:tr>
        <w:tc>
          <w:tcPr>
            <w:tcW w:w="2830" w:type="dxa"/>
          </w:tcPr>
          <w:p>
            <w:pPr>
              <w:pStyle w:val="0"/>
            </w:pPr>
            <w:r>
              <w:rPr>
                <w:sz w:val="20"/>
              </w:rPr>
              <w:t xml:space="preserve">в том числе:</w:t>
            </w:r>
          </w:p>
        </w:tc>
        <w:tc>
          <w:tcPr>
            <w:tcW w:w="993" w:type="dxa"/>
          </w:tcPr>
          <w:p>
            <w:pPr>
              <w:pStyle w:val="0"/>
            </w:pPr>
            <w:r>
              <w:rPr>
                <w:sz w:val="20"/>
              </w:rPr>
            </w:r>
          </w:p>
        </w:tc>
        <w:tc>
          <w:tcPr>
            <w:tcW w:w="1275" w:type="dxa"/>
          </w:tcPr>
          <w:p>
            <w:pPr>
              <w:pStyle w:val="0"/>
            </w:pPr>
            <w:r>
              <w:rPr>
                <w:sz w:val="20"/>
              </w:rPr>
            </w:r>
          </w:p>
        </w:tc>
        <w:tc>
          <w:tcPr>
            <w:tcW w:w="1134" w:type="dxa"/>
          </w:tcPr>
          <w:p>
            <w:pPr>
              <w:pStyle w:val="0"/>
            </w:pPr>
            <w:r>
              <w:rPr>
                <w:sz w:val="20"/>
              </w:rPr>
            </w:r>
          </w:p>
        </w:tc>
        <w:tc>
          <w:tcPr>
            <w:tcW w:w="1134" w:type="dxa"/>
          </w:tcPr>
          <w:p>
            <w:pPr>
              <w:pStyle w:val="0"/>
            </w:pPr>
            <w:r>
              <w:rPr>
                <w:sz w:val="20"/>
              </w:rPr>
            </w:r>
          </w:p>
        </w:tc>
        <w:tc>
          <w:tcPr>
            <w:tcW w:w="1593" w:type="dxa"/>
          </w:tcPr>
          <w:p>
            <w:pPr>
              <w:pStyle w:val="0"/>
            </w:pPr>
            <w:r>
              <w:rPr>
                <w:sz w:val="20"/>
              </w:rPr>
            </w:r>
          </w:p>
        </w:tc>
      </w:tr>
      <w:tr>
        <w:tc>
          <w:tcPr>
            <w:tcW w:w="2830" w:type="dxa"/>
          </w:tcPr>
          <w:p>
            <w:pPr>
              <w:pStyle w:val="0"/>
            </w:pPr>
            <w:r>
              <w:rPr>
                <w:sz w:val="20"/>
              </w:rPr>
              <w:t xml:space="preserve">городские округа:</w:t>
            </w:r>
          </w:p>
        </w:tc>
        <w:tc>
          <w:tcPr>
            <w:tcW w:w="993" w:type="dxa"/>
          </w:tcPr>
          <w:p>
            <w:pPr>
              <w:pStyle w:val="0"/>
            </w:pPr>
            <w:r>
              <w:rPr>
                <w:sz w:val="20"/>
              </w:rPr>
            </w:r>
          </w:p>
        </w:tc>
        <w:tc>
          <w:tcPr>
            <w:tcW w:w="1275" w:type="dxa"/>
          </w:tcPr>
          <w:p>
            <w:pPr>
              <w:pStyle w:val="0"/>
            </w:pPr>
            <w:r>
              <w:rPr>
                <w:sz w:val="20"/>
              </w:rPr>
            </w:r>
          </w:p>
        </w:tc>
        <w:tc>
          <w:tcPr>
            <w:tcW w:w="1134" w:type="dxa"/>
          </w:tcPr>
          <w:p>
            <w:pPr>
              <w:pStyle w:val="0"/>
            </w:pPr>
            <w:r>
              <w:rPr>
                <w:sz w:val="20"/>
              </w:rPr>
            </w:r>
          </w:p>
        </w:tc>
        <w:tc>
          <w:tcPr>
            <w:tcW w:w="1134" w:type="dxa"/>
          </w:tcPr>
          <w:p>
            <w:pPr>
              <w:pStyle w:val="0"/>
            </w:pPr>
            <w:r>
              <w:rPr>
                <w:sz w:val="20"/>
              </w:rPr>
            </w:r>
          </w:p>
        </w:tc>
        <w:tc>
          <w:tcPr>
            <w:tcW w:w="1593" w:type="dxa"/>
          </w:tcPr>
          <w:p>
            <w:pPr>
              <w:pStyle w:val="0"/>
            </w:pPr>
            <w:r>
              <w:rPr>
                <w:sz w:val="20"/>
              </w:rPr>
            </w:r>
          </w:p>
        </w:tc>
      </w:tr>
      <w:tr>
        <w:tc>
          <w:tcPr>
            <w:tcW w:w="2830" w:type="dxa"/>
          </w:tcPr>
          <w:p>
            <w:pPr>
              <w:pStyle w:val="0"/>
            </w:pPr>
            <w:r>
              <w:rPr>
                <w:sz w:val="20"/>
              </w:rPr>
              <w:t xml:space="preserve">Ханты-Мансийск</w:t>
            </w:r>
          </w:p>
        </w:tc>
        <w:tc>
          <w:tcPr>
            <w:tcW w:w="993" w:type="dxa"/>
          </w:tcPr>
          <w:p>
            <w:pPr>
              <w:pStyle w:val="0"/>
            </w:pPr>
            <w:r>
              <w:rPr>
                <w:sz w:val="20"/>
              </w:rPr>
              <w:t xml:space="preserve">101466</w:t>
            </w:r>
          </w:p>
        </w:tc>
        <w:tc>
          <w:tcPr>
            <w:tcW w:w="1275" w:type="dxa"/>
          </w:tcPr>
          <w:p>
            <w:pPr>
              <w:pStyle w:val="0"/>
            </w:pPr>
            <w:r>
              <w:rPr>
                <w:sz w:val="20"/>
              </w:rPr>
              <w:t xml:space="preserve">101466</w:t>
            </w:r>
          </w:p>
        </w:tc>
        <w:tc>
          <w:tcPr>
            <w:tcW w:w="1134" w:type="dxa"/>
          </w:tcPr>
          <w:p>
            <w:pPr>
              <w:pStyle w:val="0"/>
            </w:pPr>
            <w:r>
              <w:rPr>
                <w:sz w:val="20"/>
              </w:rPr>
              <w:t xml:space="preserve">0</w:t>
            </w:r>
          </w:p>
        </w:tc>
        <w:tc>
          <w:tcPr>
            <w:tcW w:w="1134" w:type="dxa"/>
          </w:tcPr>
          <w:p>
            <w:pPr>
              <w:pStyle w:val="0"/>
            </w:pPr>
            <w:r>
              <w:rPr>
                <w:sz w:val="20"/>
              </w:rPr>
              <w:t xml:space="preserve">77095</w:t>
            </w:r>
          </w:p>
        </w:tc>
        <w:tc>
          <w:tcPr>
            <w:tcW w:w="1593" w:type="dxa"/>
          </w:tcPr>
          <w:p>
            <w:pPr>
              <w:pStyle w:val="0"/>
            </w:pPr>
            <w:r>
              <w:rPr>
                <w:sz w:val="20"/>
              </w:rPr>
              <w:t xml:space="preserve">24371</w:t>
            </w:r>
          </w:p>
        </w:tc>
      </w:tr>
      <w:tr>
        <w:tc>
          <w:tcPr>
            <w:tcW w:w="2830" w:type="dxa"/>
          </w:tcPr>
          <w:p>
            <w:pPr>
              <w:pStyle w:val="0"/>
            </w:pPr>
            <w:r>
              <w:rPr>
                <w:sz w:val="20"/>
              </w:rPr>
              <w:t xml:space="preserve">Когалым</w:t>
            </w:r>
          </w:p>
        </w:tc>
        <w:tc>
          <w:tcPr>
            <w:tcW w:w="993" w:type="dxa"/>
          </w:tcPr>
          <w:p>
            <w:pPr>
              <w:pStyle w:val="0"/>
            </w:pPr>
            <w:r>
              <w:rPr>
                <w:sz w:val="20"/>
              </w:rPr>
              <w:t xml:space="preserve">67872</w:t>
            </w:r>
          </w:p>
        </w:tc>
        <w:tc>
          <w:tcPr>
            <w:tcW w:w="1275" w:type="dxa"/>
          </w:tcPr>
          <w:p>
            <w:pPr>
              <w:pStyle w:val="0"/>
            </w:pPr>
            <w:r>
              <w:rPr>
                <w:sz w:val="20"/>
              </w:rPr>
              <w:t xml:space="preserve">67727</w:t>
            </w:r>
          </w:p>
        </w:tc>
        <w:tc>
          <w:tcPr>
            <w:tcW w:w="1134" w:type="dxa"/>
          </w:tcPr>
          <w:p>
            <w:pPr>
              <w:pStyle w:val="0"/>
            </w:pPr>
            <w:r>
              <w:rPr>
                <w:sz w:val="20"/>
              </w:rPr>
              <w:t xml:space="preserve">145</w:t>
            </w:r>
          </w:p>
        </w:tc>
        <w:tc>
          <w:tcPr>
            <w:tcW w:w="1134" w:type="dxa"/>
          </w:tcPr>
          <w:p>
            <w:pPr>
              <w:pStyle w:val="0"/>
            </w:pPr>
            <w:r>
              <w:rPr>
                <w:sz w:val="20"/>
              </w:rPr>
              <w:t xml:space="preserve">50903</w:t>
            </w:r>
          </w:p>
        </w:tc>
        <w:tc>
          <w:tcPr>
            <w:tcW w:w="1593" w:type="dxa"/>
          </w:tcPr>
          <w:p>
            <w:pPr>
              <w:pStyle w:val="0"/>
            </w:pPr>
            <w:r>
              <w:rPr>
                <w:sz w:val="20"/>
              </w:rPr>
              <w:t xml:space="preserve">16969</w:t>
            </w:r>
          </w:p>
        </w:tc>
      </w:tr>
      <w:tr>
        <w:tc>
          <w:tcPr>
            <w:tcW w:w="2830" w:type="dxa"/>
          </w:tcPr>
          <w:p>
            <w:pPr>
              <w:pStyle w:val="0"/>
            </w:pPr>
            <w:r>
              <w:rPr>
                <w:sz w:val="20"/>
              </w:rPr>
              <w:t xml:space="preserve">Лангепас</w:t>
            </w:r>
          </w:p>
        </w:tc>
        <w:tc>
          <w:tcPr>
            <w:tcW w:w="993" w:type="dxa"/>
          </w:tcPr>
          <w:p>
            <w:pPr>
              <w:pStyle w:val="0"/>
            </w:pPr>
            <w:r>
              <w:rPr>
                <w:sz w:val="20"/>
              </w:rPr>
              <w:t xml:space="preserve">45868</w:t>
            </w:r>
          </w:p>
        </w:tc>
        <w:tc>
          <w:tcPr>
            <w:tcW w:w="1275" w:type="dxa"/>
          </w:tcPr>
          <w:p>
            <w:pPr>
              <w:pStyle w:val="0"/>
            </w:pPr>
            <w:r>
              <w:rPr>
                <w:sz w:val="20"/>
              </w:rPr>
              <w:t xml:space="preserve">44646</w:t>
            </w:r>
          </w:p>
        </w:tc>
        <w:tc>
          <w:tcPr>
            <w:tcW w:w="1134" w:type="dxa"/>
          </w:tcPr>
          <w:p>
            <w:pPr>
              <w:pStyle w:val="0"/>
            </w:pPr>
            <w:r>
              <w:rPr>
                <w:sz w:val="20"/>
              </w:rPr>
              <w:t xml:space="preserve">1222</w:t>
            </w:r>
          </w:p>
        </w:tc>
        <w:tc>
          <w:tcPr>
            <w:tcW w:w="1134" w:type="dxa"/>
          </w:tcPr>
          <w:p>
            <w:pPr>
              <w:pStyle w:val="0"/>
            </w:pPr>
            <w:r>
              <w:rPr>
                <w:sz w:val="20"/>
              </w:rPr>
              <w:t xml:space="preserve">34793</w:t>
            </w:r>
          </w:p>
        </w:tc>
        <w:tc>
          <w:tcPr>
            <w:tcW w:w="1593" w:type="dxa"/>
          </w:tcPr>
          <w:p>
            <w:pPr>
              <w:pStyle w:val="0"/>
            </w:pPr>
            <w:r>
              <w:rPr>
                <w:sz w:val="20"/>
              </w:rPr>
              <w:t xml:space="preserve">11075</w:t>
            </w:r>
          </w:p>
        </w:tc>
      </w:tr>
      <w:tr>
        <w:tc>
          <w:tcPr>
            <w:tcW w:w="2830" w:type="dxa"/>
          </w:tcPr>
          <w:p>
            <w:pPr>
              <w:pStyle w:val="0"/>
            </w:pPr>
            <w:r>
              <w:rPr>
                <w:sz w:val="20"/>
              </w:rPr>
              <w:t xml:space="preserve">Мегион</w:t>
            </w:r>
          </w:p>
        </w:tc>
        <w:tc>
          <w:tcPr>
            <w:tcW w:w="993" w:type="dxa"/>
          </w:tcPr>
          <w:p>
            <w:pPr>
              <w:pStyle w:val="0"/>
            </w:pPr>
            <w:r>
              <w:rPr>
                <w:sz w:val="20"/>
              </w:rPr>
              <w:t xml:space="preserve">53450</w:t>
            </w:r>
          </w:p>
        </w:tc>
        <w:tc>
          <w:tcPr>
            <w:tcW w:w="1275" w:type="dxa"/>
          </w:tcPr>
          <w:p>
            <w:pPr>
              <w:pStyle w:val="0"/>
            </w:pPr>
            <w:r>
              <w:rPr>
                <w:sz w:val="20"/>
              </w:rPr>
              <w:t xml:space="preserve">53450</w:t>
            </w:r>
          </w:p>
        </w:tc>
        <w:tc>
          <w:tcPr>
            <w:tcW w:w="1134" w:type="dxa"/>
          </w:tcPr>
          <w:p>
            <w:pPr>
              <w:pStyle w:val="0"/>
            </w:pPr>
            <w:r>
              <w:rPr>
                <w:sz w:val="20"/>
              </w:rPr>
              <w:t xml:space="preserve">0</w:t>
            </w:r>
          </w:p>
        </w:tc>
        <w:tc>
          <w:tcPr>
            <w:tcW w:w="1134" w:type="dxa"/>
          </w:tcPr>
          <w:p>
            <w:pPr>
              <w:pStyle w:val="0"/>
            </w:pPr>
            <w:r>
              <w:rPr>
                <w:sz w:val="20"/>
              </w:rPr>
              <w:t xml:space="preserve">39428</w:t>
            </w:r>
          </w:p>
        </w:tc>
        <w:tc>
          <w:tcPr>
            <w:tcW w:w="1593" w:type="dxa"/>
          </w:tcPr>
          <w:p>
            <w:pPr>
              <w:pStyle w:val="0"/>
            </w:pPr>
            <w:r>
              <w:rPr>
                <w:sz w:val="20"/>
              </w:rPr>
              <w:t xml:space="preserve">14022</w:t>
            </w:r>
          </w:p>
        </w:tc>
      </w:tr>
      <w:tr>
        <w:tc>
          <w:tcPr>
            <w:tcW w:w="2830" w:type="dxa"/>
          </w:tcPr>
          <w:p>
            <w:pPr>
              <w:pStyle w:val="0"/>
            </w:pPr>
            <w:r>
              <w:rPr>
                <w:sz w:val="20"/>
              </w:rPr>
              <w:t xml:space="preserve">Нефтеюганск</w:t>
            </w:r>
          </w:p>
        </w:tc>
        <w:tc>
          <w:tcPr>
            <w:tcW w:w="993" w:type="dxa"/>
          </w:tcPr>
          <w:p>
            <w:pPr>
              <w:pStyle w:val="0"/>
            </w:pPr>
            <w:r>
              <w:rPr>
                <w:sz w:val="20"/>
              </w:rPr>
              <w:t xml:space="preserve">127255</w:t>
            </w:r>
          </w:p>
        </w:tc>
        <w:tc>
          <w:tcPr>
            <w:tcW w:w="1275" w:type="dxa"/>
          </w:tcPr>
          <w:p>
            <w:pPr>
              <w:pStyle w:val="0"/>
            </w:pPr>
            <w:r>
              <w:rPr>
                <w:sz w:val="20"/>
              </w:rPr>
              <w:t xml:space="preserve">127255</w:t>
            </w:r>
          </w:p>
        </w:tc>
        <w:tc>
          <w:tcPr>
            <w:tcW w:w="1134" w:type="dxa"/>
          </w:tcPr>
          <w:p>
            <w:pPr>
              <w:pStyle w:val="0"/>
            </w:pPr>
            <w:r>
              <w:rPr>
                <w:sz w:val="20"/>
              </w:rPr>
              <w:t xml:space="preserve">0</w:t>
            </w:r>
          </w:p>
        </w:tc>
        <w:tc>
          <w:tcPr>
            <w:tcW w:w="1134" w:type="dxa"/>
          </w:tcPr>
          <w:p>
            <w:pPr>
              <w:pStyle w:val="0"/>
            </w:pPr>
            <w:r>
              <w:rPr>
                <w:sz w:val="20"/>
              </w:rPr>
              <w:t xml:space="preserve">96714</w:t>
            </w:r>
          </w:p>
        </w:tc>
        <w:tc>
          <w:tcPr>
            <w:tcW w:w="1593" w:type="dxa"/>
          </w:tcPr>
          <w:p>
            <w:pPr>
              <w:pStyle w:val="0"/>
            </w:pPr>
            <w:r>
              <w:rPr>
                <w:sz w:val="20"/>
              </w:rPr>
              <w:t xml:space="preserve">30541</w:t>
            </w:r>
          </w:p>
        </w:tc>
      </w:tr>
      <w:tr>
        <w:tc>
          <w:tcPr>
            <w:tcW w:w="2830" w:type="dxa"/>
          </w:tcPr>
          <w:p>
            <w:pPr>
              <w:pStyle w:val="0"/>
            </w:pPr>
            <w:r>
              <w:rPr>
                <w:sz w:val="20"/>
              </w:rPr>
              <w:t xml:space="preserve">Нижневартовск</w:t>
            </w:r>
          </w:p>
        </w:tc>
        <w:tc>
          <w:tcPr>
            <w:tcW w:w="993" w:type="dxa"/>
          </w:tcPr>
          <w:p>
            <w:pPr>
              <w:pStyle w:val="0"/>
            </w:pPr>
            <w:r>
              <w:rPr>
                <w:sz w:val="20"/>
              </w:rPr>
              <w:t xml:space="preserve">277668</w:t>
            </w:r>
          </w:p>
        </w:tc>
        <w:tc>
          <w:tcPr>
            <w:tcW w:w="1275" w:type="dxa"/>
          </w:tcPr>
          <w:p>
            <w:pPr>
              <w:pStyle w:val="0"/>
            </w:pPr>
            <w:r>
              <w:rPr>
                <w:sz w:val="20"/>
              </w:rPr>
              <w:t xml:space="preserve">277668</w:t>
            </w:r>
          </w:p>
        </w:tc>
        <w:tc>
          <w:tcPr>
            <w:tcW w:w="1134" w:type="dxa"/>
          </w:tcPr>
          <w:p>
            <w:pPr>
              <w:pStyle w:val="0"/>
            </w:pPr>
            <w:r>
              <w:rPr>
                <w:sz w:val="20"/>
              </w:rPr>
              <w:t xml:space="preserve">0</w:t>
            </w:r>
          </w:p>
        </w:tc>
        <w:tc>
          <w:tcPr>
            <w:tcW w:w="1134" w:type="dxa"/>
          </w:tcPr>
          <w:p>
            <w:pPr>
              <w:pStyle w:val="0"/>
            </w:pPr>
            <w:r>
              <w:rPr>
                <w:sz w:val="20"/>
              </w:rPr>
              <w:t xml:space="preserve">208709</w:t>
            </w:r>
          </w:p>
        </w:tc>
        <w:tc>
          <w:tcPr>
            <w:tcW w:w="1593" w:type="dxa"/>
          </w:tcPr>
          <w:p>
            <w:pPr>
              <w:pStyle w:val="0"/>
            </w:pPr>
            <w:r>
              <w:rPr>
                <w:sz w:val="20"/>
              </w:rPr>
              <w:t xml:space="preserve">68959</w:t>
            </w:r>
          </w:p>
        </w:tc>
      </w:tr>
      <w:tr>
        <w:tc>
          <w:tcPr>
            <w:tcW w:w="2830" w:type="dxa"/>
          </w:tcPr>
          <w:p>
            <w:pPr>
              <w:pStyle w:val="0"/>
            </w:pPr>
            <w:r>
              <w:rPr>
                <w:sz w:val="20"/>
              </w:rPr>
              <w:t xml:space="preserve">Нягань</w:t>
            </w:r>
          </w:p>
        </w:tc>
        <w:tc>
          <w:tcPr>
            <w:tcW w:w="993" w:type="dxa"/>
          </w:tcPr>
          <w:p>
            <w:pPr>
              <w:pStyle w:val="0"/>
            </w:pPr>
            <w:r>
              <w:rPr>
                <w:sz w:val="20"/>
              </w:rPr>
              <w:t xml:space="preserve">62670</w:t>
            </w:r>
          </w:p>
        </w:tc>
        <w:tc>
          <w:tcPr>
            <w:tcW w:w="1275" w:type="dxa"/>
          </w:tcPr>
          <w:p>
            <w:pPr>
              <w:pStyle w:val="0"/>
            </w:pPr>
            <w:r>
              <w:rPr>
                <w:sz w:val="20"/>
              </w:rPr>
              <w:t xml:space="preserve">62056</w:t>
            </w:r>
          </w:p>
        </w:tc>
        <w:tc>
          <w:tcPr>
            <w:tcW w:w="1134" w:type="dxa"/>
          </w:tcPr>
          <w:p>
            <w:pPr>
              <w:pStyle w:val="0"/>
            </w:pPr>
            <w:r>
              <w:rPr>
                <w:sz w:val="20"/>
              </w:rPr>
              <w:t xml:space="preserve">614</w:t>
            </w:r>
          </w:p>
        </w:tc>
        <w:tc>
          <w:tcPr>
            <w:tcW w:w="1134" w:type="dxa"/>
          </w:tcPr>
          <w:p>
            <w:pPr>
              <w:pStyle w:val="0"/>
            </w:pPr>
            <w:r>
              <w:rPr>
                <w:sz w:val="20"/>
              </w:rPr>
              <w:t xml:space="preserve">46094</w:t>
            </w:r>
          </w:p>
        </w:tc>
        <w:tc>
          <w:tcPr>
            <w:tcW w:w="1593" w:type="dxa"/>
          </w:tcPr>
          <w:p>
            <w:pPr>
              <w:pStyle w:val="0"/>
            </w:pPr>
            <w:r>
              <w:rPr>
                <w:sz w:val="20"/>
              </w:rPr>
              <w:t xml:space="preserve">16576</w:t>
            </w:r>
          </w:p>
        </w:tc>
      </w:tr>
      <w:tr>
        <w:tc>
          <w:tcPr>
            <w:tcW w:w="2830" w:type="dxa"/>
          </w:tcPr>
          <w:p>
            <w:pPr>
              <w:pStyle w:val="0"/>
            </w:pPr>
            <w:r>
              <w:rPr>
                <w:sz w:val="20"/>
              </w:rPr>
              <w:t xml:space="preserve">Покачи</w:t>
            </w:r>
          </w:p>
        </w:tc>
        <w:tc>
          <w:tcPr>
            <w:tcW w:w="993" w:type="dxa"/>
          </w:tcPr>
          <w:p>
            <w:pPr>
              <w:pStyle w:val="0"/>
            </w:pPr>
            <w:r>
              <w:rPr>
                <w:sz w:val="20"/>
              </w:rPr>
              <w:t xml:space="preserve">18074</w:t>
            </w:r>
          </w:p>
        </w:tc>
        <w:tc>
          <w:tcPr>
            <w:tcW w:w="1275" w:type="dxa"/>
          </w:tcPr>
          <w:p>
            <w:pPr>
              <w:pStyle w:val="0"/>
            </w:pPr>
            <w:r>
              <w:rPr>
                <w:sz w:val="20"/>
              </w:rPr>
              <w:t xml:space="preserve">18074</w:t>
            </w:r>
          </w:p>
        </w:tc>
        <w:tc>
          <w:tcPr>
            <w:tcW w:w="1134" w:type="dxa"/>
          </w:tcPr>
          <w:p>
            <w:pPr>
              <w:pStyle w:val="0"/>
            </w:pPr>
            <w:r>
              <w:rPr>
                <w:sz w:val="20"/>
              </w:rPr>
              <w:t xml:space="preserve">0</w:t>
            </w:r>
          </w:p>
        </w:tc>
        <w:tc>
          <w:tcPr>
            <w:tcW w:w="1134" w:type="dxa"/>
          </w:tcPr>
          <w:p>
            <w:pPr>
              <w:pStyle w:val="0"/>
            </w:pPr>
            <w:r>
              <w:rPr>
                <w:sz w:val="20"/>
              </w:rPr>
              <w:t xml:space="preserve">13217</w:t>
            </w:r>
          </w:p>
        </w:tc>
        <w:tc>
          <w:tcPr>
            <w:tcW w:w="1593" w:type="dxa"/>
          </w:tcPr>
          <w:p>
            <w:pPr>
              <w:pStyle w:val="0"/>
            </w:pPr>
            <w:r>
              <w:rPr>
                <w:sz w:val="20"/>
              </w:rPr>
              <w:t xml:space="preserve">4857</w:t>
            </w:r>
          </w:p>
        </w:tc>
      </w:tr>
      <w:tr>
        <w:tc>
          <w:tcPr>
            <w:tcW w:w="2830" w:type="dxa"/>
          </w:tcPr>
          <w:p>
            <w:pPr>
              <w:pStyle w:val="0"/>
            </w:pPr>
            <w:r>
              <w:rPr>
                <w:sz w:val="20"/>
              </w:rPr>
              <w:t xml:space="preserve">Пыть-Ях</w:t>
            </w:r>
          </w:p>
        </w:tc>
        <w:tc>
          <w:tcPr>
            <w:tcW w:w="993" w:type="dxa"/>
          </w:tcPr>
          <w:p>
            <w:pPr>
              <w:pStyle w:val="0"/>
            </w:pPr>
            <w:r>
              <w:rPr>
                <w:sz w:val="20"/>
              </w:rPr>
              <w:t xml:space="preserve">39570</w:t>
            </w:r>
          </w:p>
        </w:tc>
        <w:tc>
          <w:tcPr>
            <w:tcW w:w="1275" w:type="dxa"/>
          </w:tcPr>
          <w:p>
            <w:pPr>
              <w:pStyle w:val="0"/>
            </w:pPr>
            <w:r>
              <w:rPr>
                <w:sz w:val="20"/>
              </w:rPr>
              <w:t xml:space="preserve">39570</w:t>
            </w:r>
          </w:p>
        </w:tc>
        <w:tc>
          <w:tcPr>
            <w:tcW w:w="1134" w:type="dxa"/>
          </w:tcPr>
          <w:p>
            <w:pPr>
              <w:pStyle w:val="0"/>
            </w:pPr>
            <w:r>
              <w:rPr>
                <w:sz w:val="20"/>
              </w:rPr>
              <w:t xml:space="preserve">0</w:t>
            </w:r>
          </w:p>
        </w:tc>
        <w:tc>
          <w:tcPr>
            <w:tcW w:w="1134" w:type="dxa"/>
          </w:tcPr>
          <w:p>
            <w:pPr>
              <w:pStyle w:val="0"/>
            </w:pPr>
            <w:r>
              <w:rPr>
                <w:sz w:val="20"/>
              </w:rPr>
              <w:t xml:space="preserve">28961</w:t>
            </w:r>
          </w:p>
        </w:tc>
        <w:tc>
          <w:tcPr>
            <w:tcW w:w="1593" w:type="dxa"/>
          </w:tcPr>
          <w:p>
            <w:pPr>
              <w:pStyle w:val="0"/>
            </w:pPr>
            <w:r>
              <w:rPr>
                <w:sz w:val="20"/>
              </w:rPr>
              <w:t xml:space="preserve">10609</w:t>
            </w:r>
          </w:p>
        </w:tc>
      </w:tr>
      <w:tr>
        <w:tc>
          <w:tcPr>
            <w:tcW w:w="2830" w:type="dxa"/>
          </w:tcPr>
          <w:p>
            <w:pPr>
              <w:pStyle w:val="0"/>
            </w:pPr>
            <w:r>
              <w:rPr>
                <w:sz w:val="20"/>
              </w:rPr>
              <w:t xml:space="preserve">Радужный</w:t>
            </w:r>
          </w:p>
        </w:tc>
        <w:tc>
          <w:tcPr>
            <w:tcW w:w="993" w:type="dxa"/>
          </w:tcPr>
          <w:p>
            <w:pPr>
              <w:pStyle w:val="0"/>
            </w:pPr>
            <w:r>
              <w:rPr>
                <w:sz w:val="20"/>
              </w:rPr>
              <w:t xml:space="preserve">43666</w:t>
            </w:r>
          </w:p>
        </w:tc>
        <w:tc>
          <w:tcPr>
            <w:tcW w:w="1275" w:type="dxa"/>
          </w:tcPr>
          <w:p>
            <w:pPr>
              <w:pStyle w:val="0"/>
            </w:pPr>
            <w:r>
              <w:rPr>
                <w:sz w:val="20"/>
              </w:rPr>
              <w:t xml:space="preserve">43666</w:t>
            </w:r>
          </w:p>
        </w:tc>
        <w:tc>
          <w:tcPr>
            <w:tcW w:w="1134" w:type="dxa"/>
          </w:tcPr>
          <w:p>
            <w:pPr>
              <w:pStyle w:val="0"/>
            </w:pPr>
            <w:r>
              <w:rPr>
                <w:sz w:val="20"/>
              </w:rPr>
              <w:t xml:space="preserve">0</w:t>
            </w:r>
          </w:p>
        </w:tc>
        <w:tc>
          <w:tcPr>
            <w:tcW w:w="1134" w:type="dxa"/>
          </w:tcPr>
          <w:p>
            <w:pPr>
              <w:pStyle w:val="0"/>
            </w:pPr>
            <w:r>
              <w:rPr>
                <w:sz w:val="20"/>
              </w:rPr>
              <w:t xml:space="preserve">31824</w:t>
            </w:r>
          </w:p>
        </w:tc>
        <w:tc>
          <w:tcPr>
            <w:tcW w:w="1593" w:type="dxa"/>
          </w:tcPr>
          <w:p>
            <w:pPr>
              <w:pStyle w:val="0"/>
            </w:pPr>
            <w:r>
              <w:rPr>
                <w:sz w:val="20"/>
              </w:rPr>
              <w:t xml:space="preserve">11842</w:t>
            </w:r>
          </w:p>
        </w:tc>
      </w:tr>
      <w:tr>
        <w:tc>
          <w:tcPr>
            <w:tcW w:w="2830" w:type="dxa"/>
          </w:tcPr>
          <w:p>
            <w:pPr>
              <w:pStyle w:val="0"/>
            </w:pPr>
            <w:r>
              <w:rPr>
                <w:sz w:val="20"/>
              </w:rPr>
              <w:t xml:space="preserve">Сургут</w:t>
            </w:r>
          </w:p>
        </w:tc>
        <w:tc>
          <w:tcPr>
            <w:tcW w:w="993" w:type="dxa"/>
          </w:tcPr>
          <w:p>
            <w:pPr>
              <w:pStyle w:val="0"/>
            </w:pPr>
            <w:r>
              <w:rPr>
                <w:sz w:val="20"/>
              </w:rPr>
              <w:t xml:space="preserve">380632</w:t>
            </w:r>
          </w:p>
        </w:tc>
        <w:tc>
          <w:tcPr>
            <w:tcW w:w="1275" w:type="dxa"/>
          </w:tcPr>
          <w:p>
            <w:pPr>
              <w:pStyle w:val="0"/>
            </w:pPr>
            <w:r>
              <w:rPr>
                <w:sz w:val="20"/>
              </w:rPr>
              <w:t xml:space="preserve">380632</w:t>
            </w:r>
          </w:p>
        </w:tc>
        <w:tc>
          <w:tcPr>
            <w:tcW w:w="1134" w:type="dxa"/>
          </w:tcPr>
          <w:p>
            <w:pPr>
              <w:pStyle w:val="0"/>
            </w:pPr>
            <w:r>
              <w:rPr>
                <w:sz w:val="20"/>
              </w:rPr>
              <w:t xml:space="preserve">0</w:t>
            </w:r>
          </w:p>
        </w:tc>
        <w:tc>
          <w:tcPr>
            <w:tcW w:w="1134" w:type="dxa"/>
          </w:tcPr>
          <w:p>
            <w:pPr>
              <w:pStyle w:val="0"/>
            </w:pPr>
            <w:r>
              <w:rPr>
                <w:sz w:val="20"/>
              </w:rPr>
              <w:t xml:space="preserve">281894</w:t>
            </w:r>
          </w:p>
        </w:tc>
        <w:tc>
          <w:tcPr>
            <w:tcW w:w="1593" w:type="dxa"/>
          </w:tcPr>
          <w:p>
            <w:pPr>
              <w:pStyle w:val="0"/>
            </w:pPr>
            <w:r>
              <w:rPr>
                <w:sz w:val="20"/>
              </w:rPr>
              <w:t xml:space="preserve">98738</w:t>
            </w:r>
          </w:p>
        </w:tc>
      </w:tr>
      <w:tr>
        <w:tc>
          <w:tcPr>
            <w:tcW w:w="2830" w:type="dxa"/>
          </w:tcPr>
          <w:p>
            <w:pPr>
              <w:pStyle w:val="0"/>
            </w:pPr>
            <w:r>
              <w:rPr>
                <w:sz w:val="20"/>
              </w:rPr>
              <w:t xml:space="preserve">Урай</w:t>
            </w:r>
          </w:p>
        </w:tc>
        <w:tc>
          <w:tcPr>
            <w:tcW w:w="993" w:type="dxa"/>
          </w:tcPr>
          <w:p>
            <w:pPr>
              <w:pStyle w:val="0"/>
            </w:pPr>
            <w:r>
              <w:rPr>
                <w:sz w:val="20"/>
              </w:rPr>
              <w:t xml:space="preserve">40537</w:t>
            </w:r>
          </w:p>
        </w:tc>
        <w:tc>
          <w:tcPr>
            <w:tcW w:w="1275" w:type="dxa"/>
          </w:tcPr>
          <w:p>
            <w:pPr>
              <w:pStyle w:val="0"/>
            </w:pPr>
            <w:r>
              <w:rPr>
                <w:sz w:val="20"/>
              </w:rPr>
              <w:t xml:space="preserve">40537</w:t>
            </w:r>
          </w:p>
        </w:tc>
        <w:tc>
          <w:tcPr>
            <w:tcW w:w="1134" w:type="dxa"/>
          </w:tcPr>
          <w:p>
            <w:pPr>
              <w:pStyle w:val="0"/>
            </w:pPr>
            <w:r>
              <w:rPr>
                <w:sz w:val="20"/>
              </w:rPr>
              <w:t xml:space="preserve">0</w:t>
            </w:r>
          </w:p>
        </w:tc>
        <w:tc>
          <w:tcPr>
            <w:tcW w:w="1134" w:type="dxa"/>
          </w:tcPr>
          <w:p>
            <w:pPr>
              <w:pStyle w:val="0"/>
            </w:pPr>
            <w:r>
              <w:rPr>
                <w:sz w:val="20"/>
              </w:rPr>
              <w:t xml:space="preserve">29904</w:t>
            </w:r>
          </w:p>
        </w:tc>
        <w:tc>
          <w:tcPr>
            <w:tcW w:w="1593" w:type="dxa"/>
          </w:tcPr>
          <w:p>
            <w:pPr>
              <w:pStyle w:val="0"/>
            </w:pPr>
            <w:r>
              <w:rPr>
                <w:sz w:val="20"/>
              </w:rPr>
              <w:t xml:space="preserve">10633</w:t>
            </w:r>
          </w:p>
        </w:tc>
      </w:tr>
      <w:tr>
        <w:tc>
          <w:tcPr>
            <w:tcW w:w="2830" w:type="dxa"/>
          </w:tcPr>
          <w:p>
            <w:pPr>
              <w:pStyle w:val="0"/>
            </w:pPr>
            <w:r>
              <w:rPr>
                <w:sz w:val="20"/>
              </w:rPr>
              <w:t xml:space="preserve">Югорск</w:t>
            </w:r>
          </w:p>
        </w:tc>
        <w:tc>
          <w:tcPr>
            <w:tcW w:w="993" w:type="dxa"/>
          </w:tcPr>
          <w:p>
            <w:pPr>
              <w:pStyle w:val="0"/>
            </w:pPr>
            <w:r>
              <w:rPr>
                <w:sz w:val="20"/>
              </w:rPr>
              <w:t xml:space="preserve">37966</w:t>
            </w:r>
          </w:p>
        </w:tc>
        <w:tc>
          <w:tcPr>
            <w:tcW w:w="1275" w:type="dxa"/>
          </w:tcPr>
          <w:p>
            <w:pPr>
              <w:pStyle w:val="0"/>
            </w:pPr>
            <w:r>
              <w:rPr>
                <w:sz w:val="20"/>
              </w:rPr>
              <w:t xml:space="preserve">37966</w:t>
            </w:r>
          </w:p>
        </w:tc>
        <w:tc>
          <w:tcPr>
            <w:tcW w:w="1134" w:type="dxa"/>
          </w:tcPr>
          <w:p>
            <w:pPr>
              <w:pStyle w:val="0"/>
            </w:pPr>
            <w:r>
              <w:rPr>
                <w:sz w:val="20"/>
              </w:rPr>
              <w:t xml:space="preserve">0</w:t>
            </w:r>
          </w:p>
        </w:tc>
        <w:tc>
          <w:tcPr>
            <w:tcW w:w="1134" w:type="dxa"/>
          </w:tcPr>
          <w:p>
            <w:pPr>
              <w:pStyle w:val="0"/>
            </w:pPr>
            <w:r>
              <w:rPr>
                <w:sz w:val="20"/>
              </w:rPr>
              <w:t xml:space="preserve">28300</w:t>
            </w:r>
          </w:p>
        </w:tc>
        <w:tc>
          <w:tcPr>
            <w:tcW w:w="1593" w:type="dxa"/>
          </w:tcPr>
          <w:p>
            <w:pPr>
              <w:pStyle w:val="0"/>
            </w:pPr>
            <w:r>
              <w:rPr>
                <w:sz w:val="20"/>
              </w:rPr>
              <w:t xml:space="preserve">9666</w:t>
            </w:r>
          </w:p>
        </w:tc>
      </w:tr>
      <w:tr>
        <w:tc>
          <w:tcPr>
            <w:tcW w:w="2830" w:type="dxa"/>
          </w:tcPr>
          <w:p>
            <w:pPr>
              <w:pStyle w:val="0"/>
            </w:pPr>
            <w:r>
              <w:rPr>
                <w:sz w:val="20"/>
              </w:rPr>
              <w:t xml:space="preserve">муниципальные районы:</w:t>
            </w:r>
          </w:p>
        </w:tc>
        <w:tc>
          <w:tcPr>
            <w:tcW w:w="993" w:type="dxa"/>
          </w:tcPr>
          <w:p>
            <w:pPr>
              <w:pStyle w:val="0"/>
            </w:pPr>
            <w:r>
              <w:rPr>
                <w:sz w:val="20"/>
              </w:rPr>
            </w:r>
          </w:p>
        </w:tc>
        <w:tc>
          <w:tcPr>
            <w:tcW w:w="1275" w:type="dxa"/>
          </w:tcPr>
          <w:p>
            <w:pPr>
              <w:pStyle w:val="0"/>
            </w:pPr>
            <w:r>
              <w:rPr>
                <w:sz w:val="20"/>
              </w:rPr>
            </w:r>
          </w:p>
        </w:tc>
        <w:tc>
          <w:tcPr>
            <w:tcW w:w="1134" w:type="dxa"/>
          </w:tcPr>
          <w:p>
            <w:pPr>
              <w:pStyle w:val="0"/>
            </w:pPr>
            <w:r>
              <w:rPr>
                <w:sz w:val="20"/>
              </w:rPr>
            </w:r>
          </w:p>
        </w:tc>
        <w:tc>
          <w:tcPr>
            <w:tcW w:w="1134" w:type="dxa"/>
          </w:tcPr>
          <w:p>
            <w:pPr>
              <w:pStyle w:val="0"/>
            </w:pPr>
            <w:r>
              <w:rPr>
                <w:sz w:val="20"/>
              </w:rPr>
            </w:r>
          </w:p>
        </w:tc>
        <w:tc>
          <w:tcPr>
            <w:tcW w:w="1593" w:type="dxa"/>
          </w:tcPr>
          <w:p>
            <w:pPr>
              <w:pStyle w:val="0"/>
            </w:pPr>
            <w:r>
              <w:rPr>
                <w:sz w:val="20"/>
              </w:rPr>
            </w:r>
          </w:p>
        </w:tc>
      </w:tr>
      <w:tr>
        <w:tc>
          <w:tcPr>
            <w:tcW w:w="2830" w:type="dxa"/>
          </w:tcPr>
          <w:p>
            <w:pPr>
              <w:pStyle w:val="0"/>
            </w:pPr>
            <w:r>
              <w:rPr>
                <w:sz w:val="20"/>
              </w:rPr>
              <w:t xml:space="preserve">Белоярский</w:t>
            </w:r>
          </w:p>
        </w:tc>
        <w:tc>
          <w:tcPr>
            <w:tcW w:w="993" w:type="dxa"/>
          </w:tcPr>
          <w:p>
            <w:pPr>
              <w:pStyle w:val="0"/>
            </w:pPr>
            <w:r>
              <w:rPr>
                <w:sz w:val="20"/>
              </w:rPr>
              <w:t xml:space="preserve">28401</w:t>
            </w:r>
          </w:p>
        </w:tc>
        <w:tc>
          <w:tcPr>
            <w:tcW w:w="1275" w:type="dxa"/>
          </w:tcPr>
          <w:p>
            <w:pPr>
              <w:pStyle w:val="0"/>
            </w:pPr>
            <w:r>
              <w:rPr>
                <w:sz w:val="20"/>
              </w:rPr>
              <w:t xml:space="preserve">19622</w:t>
            </w:r>
          </w:p>
        </w:tc>
        <w:tc>
          <w:tcPr>
            <w:tcW w:w="1134" w:type="dxa"/>
          </w:tcPr>
          <w:p>
            <w:pPr>
              <w:pStyle w:val="0"/>
            </w:pPr>
            <w:r>
              <w:rPr>
                <w:sz w:val="20"/>
              </w:rPr>
              <w:t xml:space="preserve">8779</w:t>
            </w:r>
          </w:p>
        </w:tc>
        <w:tc>
          <w:tcPr>
            <w:tcW w:w="1134" w:type="dxa"/>
          </w:tcPr>
          <w:p>
            <w:pPr>
              <w:pStyle w:val="0"/>
            </w:pPr>
            <w:r>
              <w:rPr>
                <w:sz w:val="20"/>
              </w:rPr>
              <w:t xml:space="preserve">21291</w:t>
            </w:r>
          </w:p>
        </w:tc>
        <w:tc>
          <w:tcPr>
            <w:tcW w:w="1593" w:type="dxa"/>
          </w:tcPr>
          <w:p>
            <w:pPr>
              <w:pStyle w:val="0"/>
            </w:pPr>
            <w:r>
              <w:rPr>
                <w:sz w:val="20"/>
              </w:rPr>
              <w:t xml:space="preserve">7110</w:t>
            </w:r>
          </w:p>
        </w:tc>
      </w:tr>
      <w:tr>
        <w:tc>
          <w:tcPr>
            <w:tcW w:w="2830" w:type="dxa"/>
          </w:tcPr>
          <w:p>
            <w:pPr>
              <w:pStyle w:val="0"/>
            </w:pPr>
            <w:r>
              <w:rPr>
                <w:sz w:val="20"/>
              </w:rPr>
              <w:t xml:space="preserve">Березовский</w:t>
            </w:r>
          </w:p>
        </w:tc>
        <w:tc>
          <w:tcPr>
            <w:tcW w:w="993" w:type="dxa"/>
          </w:tcPr>
          <w:p>
            <w:pPr>
              <w:pStyle w:val="0"/>
            </w:pPr>
            <w:r>
              <w:rPr>
                <w:sz w:val="20"/>
              </w:rPr>
              <w:t xml:space="preserve">22166</w:t>
            </w:r>
          </w:p>
        </w:tc>
        <w:tc>
          <w:tcPr>
            <w:tcW w:w="1275" w:type="dxa"/>
          </w:tcPr>
          <w:p>
            <w:pPr>
              <w:pStyle w:val="0"/>
            </w:pPr>
            <w:r>
              <w:rPr>
                <w:sz w:val="20"/>
              </w:rPr>
              <w:t xml:space="preserve">13983</w:t>
            </w:r>
          </w:p>
        </w:tc>
        <w:tc>
          <w:tcPr>
            <w:tcW w:w="1134" w:type="dxa"/>
          </w:tcPr>
          <w:p>
            <w:pPr>
              <w:pStyle w:val="0"/>
            </w:pPr>
            <w:r>
              <w:rPr>
                <w:sz w:val="20"/>
              </w:rPr>
              <w:t xml:space="preserve">8183</w:t>
            </w:r>
          </w:p>
        </w:tc>
        <w:tc>
          <w:tcPr>
            <w:tcW w:w="1134" w:type="dxa"/>
          </w:tcPr>
          <w:p>
            <w:pPr>
              <w:pStyle w:val="0"/>
            </w:pPr>
            <w:r>
              <w:rPr>
                <w:sz w:val="20"/>
              </w:rPr>
              <w:t xml:space="preserve">15955</w:t>
            </w:r>
          </w:p>
        </w:tc>
        <w:tc>
          <w:tcPr>
            <w:tcW w:w="1593" w:type="dxa"/>
          </w:tcPr>
          <w:p>
            <w:pPr>
              <w:pStyle w:val="0"/>
            </w:pPr>
            <w:r>
              <w:rPr>
                <w:sz w:val="20"/>
              </w:rPr>
              <w:t xml:space="preserve">6211</w:t>
            </w:r>
          </w:p>
        </w:tc>
      </w:tr>
      <w:tr>
        <w:tc>
          <w:tcPr>
            <w:tcW w:w="2830" w:type="dxa"/>
          </w:tcPr>
          <w:p>
            <w:pPr>
              <w:pStyle w:val="0"/>
            </w:pPr>
            <w:r>
              <w:rPr>
                <w:sz w:val="20"/>
              </w:rPr>
              <w:t xml:space="preserve">Кондинский</w:t>
            </w:r>
          </w:p>
        </w:tc>
        <w:tc>
          <w:tcPr>
            <w:tcW w:w="993" w:type="dxa"/>
          </w:tcPr>
          <w:p>
            <w:pPr>
              <w:pStyle w:val="0"/>
            </w:pPr>
            <w:r>
              <w:rPr>
                <w:sz w:val="20"/>
              </w:rPr>
              <w:t xml:space="preserve">30760</w:t>
            </w:r>
          </w:p>
        </w:tc>
        <w:tc>
          <w:tcPr>
            <w:tcW w:w="1275" w:type="dxa"/>
          </w:tcPr>
          <w:p>
            <w:pPr>
              <w:pStyle w:val="0"/>
            </w:pPr>
            <w:r>
              <w:rPr>
                <w:sz w:val="20"/>
              </w:rPr>
              <w:t xml:space="preserve">21494</w:t>
            </w:r>
          </w:p>
        </w:tc>
        <w:tc>
          <w:tcPr>
            <w:tcW w:w="1134" w:type="dxa"/>
          </w:tcPr>
          <w:p>
            <w:pPr>
              <w:pStyle w:val="0"/>
            </w:pPr>
            <w:r>
              <w:rPr>
                <w:sz w:val="20"/>
              </w:rPr>
              <w:t xml:space="preserve">9266</w:t>
            </w:r>
          </w:p>
        </w:tc>
        <w:tc>
          <w:tcPr>
            <w:tcW w:w="1134" w:type="dxa"/>
          </w:tcPr>
          <w:p>
            <w:pPr>
              <w:pStyle w:val="0"/>
            </w:pPr>
            <w:r>
              <w:rPr>
                <w:sz w:val="20"/>
              </w:rPr>
              <w:t xml:space="preserve">22883</w:t>
            </w:r>
          </w:p>
        </w:tc>
        <w:tc>
          <w:tcPr>
            <w:tcW w:w="1593" w:type="dxa"/>
          </w:tcPr>
          <w:p>
            <w:pPr>
              <w:pStyle w:val="0"/>
            </w:pPr>
            <w:r>
              <w:rPr>
                <w:sz w:val="20"/>
              </w:rPr>
              <w:t xml:space="preserve">7877</w:t>
            </w:r>
          </w:p>
        </w:tc>
      </w:tr>
      <w:tr>
        <w:tc>
          <w:tcPr>
            <w:tcW w:w="2830" w:type="dxa"/>
          </w:tcPr>
          <w:p>
            <w:pPr>
              <w:pStyle w:val="0"/>
            </w:pPr>
            <w:r>
              <w:rPr>
                <w:sz w:val="20"/>
              </w:rPr>
              <w:t xml:space="preserve">Нефтеюганский</w:t>
            </w:r>
          </w:p>
        </w:tc>
        <w:tc>
          <w:tcPr>
            <w:tcW w:w="993" w:type="dxa"/>
          </w:tcPr>
          <w:p>
            <w:pPr>
              <w:pStyle w:val="0"/>
            </w:pPr>
            <w:r>
              <w:rPr>
                <w:sz w:val="20"/>
              </w:rPr>
              <w:t xml:space="preserve">44664</w:t>
            </w:r>
          </w:p>
        </w:tc>
        <w:tc>
          <w:tcPr>
            <w:tcW w:w="1275" w:type="dxa"/>
          </w:tcPr>
          <w:p>
            <w:pPr>
              <w:pStyle w:val="0"/>
            </w:pPr>
            <w:r>
              <w:rPr>
                <w:sz w:val="20"/>
              </w:rPr>
              <w:t xml:space="preserve">26328</w:t>
            </w:r>
          </w:p>
        </w:tc>
        <w:tc>
          <w:tcPr>
            <w:tcW w:w="1134" w:type="dxa"/>
          </w:tcPr>
          <w:p>
            <w:pPr>
              <w:pStyle w:val="0"/>
            </w:pPr>
            <w:r>
              <w:rPr>
                <w:sz w:val="20"/>
              </w:rPr>
              <w:t xml:space="preserve">18336</w:t>
            </w:r>
          </w:p>
        </w:tc>
        <w:tc>
          <w:tcPr>
            <w:tcW w:w="1134" w:type="dxa"/>
          </w:tcPr>
          <w:p>
            <w:pPr>
              <w:pStyle w:val="0"/>
            </w:pPr>
            <w:r>
              <w:rPr>
                <w:sz w:val="20"/>
              </w:rPr>
              <w:t xml:space="preserve">34220</w:t>
            </w:r>
          </w:p>
        </w:tc>
        <w:tc>
          <w:tcPr>
            <w:tcW w:w="1593" w:type="dxa"/>
          </w:tcPr>
          <w:p>
            <w:pPr>
              <w:pStyle w:val="0"/>
            </w:pPr>
            <w:r>
              <w:rPr>
                <w:sz w:val="20"/>
              </w:rPr>
              <w:t xml:space="preserve">10444</w:t>
            </w:r>
          </w:p>
        </w:tc>
      </w:tr>
      <w:tr>
        <w:tc>
          <w:tcPr>
            <w:tcW w:w="2830" w:type="dxa"/>
          </w:tcPr>
          <w:p>
            <w:pPr>
              <w:pStyle w:val="0"/>
            </w:pPr>
            <w:r>
              <w:rPr>
                <w:sz w:val="20"/>
              </w:rPr>
              <w:t xml:space="preserve">Нижневартовский</w:t>
            </w:r>
          </w:p>
        </w:tc>
        <w:tc>
          <w:tcPr>
            <w:tcW w:w="993" w:type="dxa"/>
          </w:tcPr>
          <w:p>
            <w:pPr>
              <w:pStyle w:val="0"/>
            </w:pPr>
            <w:r>
              <w:rPr>
                <w:sz w:val="20"/>
              </w:rPr>
              <w:t xml:space="preserve">35993</w:t>
            </w:r>
          </w:p>
        </w:tc>
        <w:tc>
          <w:tcPr>
            <w:tcW w:w="1275" w:type="dxa"/>
          </w:tcPr>
          <w:p>
            <w:pPr>
              <w:pStyle w:val="0"/>
            </w:pPr>
            <w:r>
              <w:rPr>
                <w:sz w:val="20"/>
              </w:rPr>
              <w:t xml:space="preserve">29405</w:t>
            </w:r>
          </w:p>
        </w:tc>
        <w:tc>
          <w:tcPr>
            <w:tcW w:w="1134" w:type="dxa"/>
          </w:tcPr>
          <w:p>
            <w:pPr>
              <w:pStyle w:val="0"/>
            </w:pPr>
            <w:r>
              <w:rPr>
                <w:sz w:val="20"/>
              </w:rPr>
              <w:t xml:space="preserve">6588</w:t>
            </w:r>
          </w:p>
        </w:tc>
        <w:tc>
          <w:tcPr>
            <w:tcW w:w="1134" w:type="dxa"/>
          </w:tcPr>
          <w:p>
            <w:pPr>
              <w:pStyle w:val="0"/>
            </w:pPr>
            <w:r>
              <w:rPr>
                <w:sz w:val="20"/>
              </w:rPr>
              <w:t xml:space="preserve">28101</w:t>
            </w:r>
          </w:p>
        </w:tc>
        <w:tc>
          <w:tcPr>
            <w:tcW w:w="1593" w:type="dxa"/>
          </w:tcPr>
          <w:p>
            <w:pPr>
              <w:pStyle w:val="0"/>
            </w:pPr>
            <w:r>
              <w:rPr>
                <w:sz w:val="20"/>
              </w:rPr>
              <w:t xml:space="preserve">7892</w:t>
            </w:r>
          </w:p>
        </w:tc>
      </w:tr>
      <w:tr>
        <w:tc>
          <w:tcPr>
            <w:tcW w:w="2830" w:type="dxa"/>
          </w:tcPr>
          <w:p>
            <w:pPr>
              <w:pStyle w:val="0"/>
            </w:pPr>
            <w:r>
              <w:rPr>
                <w:sz w:val="20"/>
              </w:rPr>
              <w:t xml:space="preserve">Октябрьский</w:t>
            </w:r>
          </w:p>
        </w:tc>
        <w:tc>
          <w:tcPr>
            <w:tcW w:w="993" w:type="dxa"/>
          </w:tcPr>
          <w:p>
            <w:pPr>
              <w:pStyle w:val="0"/>
            </w:pPr>
            <w:r>
              <w:rPr>
                <w:sz w:val="20"/>
              </w:rPr>
              <w:t xml:space="preserve">24086</w:t>
            </w:r>
          </w:p>
        </w:tc>
        <w:tc>
          <w:tcPr>
            <w:tcW w:w="1275" w:type="dxa"/>
          </w:tcPr>
          <w:p>
            <w:pPr>
              <w:pStyle w:val="0"/>
            </w:pPr>
            <w:r>
              <w:rPr>
                <w:sz w:val="20"/>
              </w:rPr>
              <w:t xml:space="preserve">10983</w:t>
            </w:r>
          </w:p>
        </w:tc>
        <w:tc>
          <w:tcPr>
            <w:tcW w:w="1134" w:type="dxa"/>
          </w:tcPr>
          <w:p>
            <w:pPr>
              <w:pStyle w:val="0"/>
            </w:pPr>
            <w:r>
              <w:rPr>
                <w:sz w:val="20"/>
              </w:rPr>
              <w:t xml:space="preserve">13103</w:t>
            </w:r>
          </w:p>
        </w:tc>
        <w:tc>
          <w:tcPr>
            <w:tcW w:w="1134" w:type="dxa"/>
          </w:tcPr>
          <w:p>
            <w:pPr>
              <w:pStyle w:val="0"/>
            </w:pPr>
            <w:r>
              <w:rPr>
                <w:sz w:val="20"/>
              </w:rPr>
              <w:t xml:space="preserve">17631</w:t>
            </w:r>
          </w:p>
        </w:tc>
        <w:tc>
          <w:tcPr>
            <w:tcW w:w="1593" w:type="dxa"/>
          </w:tcPr>
          <w:p>
            <w:pPr>
              <w:pStyle w:val="0"/>
            </w:pPr>
            <w:r>
              <w:rPr>
                <w:sz w:val="20"/>
              </w:rPr>
              <w:t xml:space="preserve">6455</w:t>
            </w:r>
          </w:p>
        </w:tc>
      </w:tr>
      <w:tr>
        <w:tc>
          <w:tcPr>
            <w:tcW w:w="2830" w:type="dxa"/>
          </w:tcPr>
          <w:p>
            <w:pPr>
              <w:pStyle w:val="0"/>
            </w:pPr>
            <w:r>
              <w:rPr>
                <w:sz w:val="20"/>
              </w:rPr>
              <w:t xml:space="preserve">Советский</w:t>
            </w:r>
          </w:p>
        </w:tc>
        <w:tc>
          <w:tcPr>
            <w:tcW w:w="993" w:type="dxa"/>
          </w:tcPr>
          <w:p>
            <w:pPr>
              <w:pStyle w:val="0"/>
            </w:pPr>
            <w:r>
              <w:rPr>
                <w:sz w:val="20"/>
              </w:rPr>
              <w:t xml:space="preserve">47620</w:t>
            </w:r>
          </w:p>
        </w:tc>
        <w:tc>
          <w:tcPr>
            <w:tcW w:w="1275" w:type="dxa"/>
          </w:tcPr>
          <w:p>
            <w:pPr>
              <w:pStyle w:val="0"/>
            </w:pPr>
            <w:r>
              <w:rPr>
                <w:sz w:val="20"/>
              </w:rPr>
              <w:t xml:space="preserve">44582</w:t>
            </w:r>
          </w:p>
        </w:tc>
        <w:tc>
          <w:tcPr>
            <w:tcW w:w="1134" w:type="dxa"/>
          </w:tcPr>
          <w:p>
            <w:pPr>
              <w:pStyle w:val="0"/>
            </w:pPr>
            <w:r>
              <w:rPr>
                <w:sz w:val="20"/>
              </w:rPr>
              <w:t xml:space="preserve">3038</w:t>
            </w:r>
          </w:p>
        </w:tc>
        <w:tc>
          <w:tcPr>
            <w:tcW w:w="1134" w:type="dxa"/>
          </w:tcPr>
          <w:p>
            <w:pPr>
              <w:pStyle w:val="0"/>
            </w:pPr>
            <w:r>
              <w:rPr>
                <w:sz w:val="20"/>
              </w:rPr>
              <w:t xml:space="preserve">35832</w:t>
            </w:r>
          </w:p>
        </w:tc>
        <w:tc>
          <w:tcPr>
            <w:tcW w:w="1593" w:type="dxa"/>
          </w:tcPr>
          <w:p>
            <w:pPr>
              <w:pStyle w:val="0"/>
            </w:pPr>
            <w:r>
              <w:rPr>
                <w:sz w:val="20"/>
              </w:rPr>
              <w:t xml:space="preserve">11788</w:t>
            </w:r>
          </w:p>
        </w:tc>
      </w:tr>
      <w:tr>
        <w:tc>
          <w:tcPr>
            <w:tcW w:w="2830" w:type="dxa"/>
          </w:tcPr>
          <w:p>
            <w:pPr>
              <w:pStyle w:val="0"/>
            </w:pPr>
            <w:r>
              <w:rPr>
                <w:sz w:val="20"/>
              </w:rPr>
              <w:t xml:space="preserve">Сургутский</w:t>
            </w:r>
          </w:p>
        </w:tc>
        <w:tc>
          <w:tcPr>
            <w:tcW w:w="993" w:type="dxa"/>
          </w:tcPr>
          <w:p>
            <w:pPr>
              <w:pStyle w:val="0"/>
            </w:pPr>
            <w:r>
              <w:rPr>
                <w:sz w:val="20"/>
              </w:rPr>
              <w:t xml:space="preserve">124485</w:t>
            </w:r>
          </w:p>
        </w:tc>
        <w:tc>
          <w:tcPr>
            <w:tcW w:w="1275" w:type="dxa"/>
          </w:tcPr>
          <w:p>
            <w:pPr>
              <w:pStyle w:val="0"/>
            </w:pPr>
            <w:r>
              <w:rPr>
                <w:sz w:val="20"/>
              </w:rPr>
              <w:t xml:space="preserve">88203</w:t>
            </w:r>
          </w:p>
        </w:tc>
        <w:tc>
          <w:tcPr>
            <w:tcW w:w="1134" w:type="dxa"/>
          </w:tcPr>
          <w:p>
            <w:pPr>
              <w:pStyle w:val="0"/>
            </w:pPr>
            <w:r>
              <w:rPr>
                <w:sz w:val="20"/>
              </w:rPr>
              <w:t xml:space="preserve">36282</w:t>
            </w:r>
          </w:p>
        </w:tc>
        <w:tc>
          <w:tcPr>
            <w:tcW w:w="1134" w:type="dxa"/>
          </w:tcPr>
          <w:p>
            <w:pPr>
              <w:pStyle w:val="0"/>
            </w:pPr>
            <w:r>
              <w:rPr>
                <w:sz w:val="20"/>
              </w:rPr>
              <w:t xml:space="preserve">88449</w:t>
            </w:r>
          </w:p>
        </w:tc>
        <w:tc>
          <w:tcPr>
            <w:tcW w:w="1593" w:type="dxa"/>
          </w:tcPr>
          <w:p>
            <w:pPr>
              <w:pStyle w:val="0"/>
            </w:pPr>
            <w:r>
              <w:rPr>
                <w:sz w:val="20"/>
              </w:rPr>
              <w:t xml:space="preserve">36036</w:t>
            </w:r>
          </w:p>
        </w:tc>
      </w:tr>
      <w:tr>
        <w:tc>
          <w:tcPr>
            <w:tcW w:w="2830" w:type="dxa"/>
          </w:tcPr>
          <w:p>
            <w:pPr>
              <w:pStyle w:val="0"/>
            </w:pPr>
            <w:r>
              <w:rPr>
                <w:sz w:val="20"/>
              </w:rPr>
              <w:t xml:space="preserve">Ханты-Мансийский</w:t>
            </w:r>
          </w:p>
        </w:tc>
        <w:tc>
          <w:tcPr>
            <w:tcW w:w="993" w:type="dxa"/>
          </w:tcPr>
          <w:p>
            <w:pPr>
              <w:pStyle w:val="0"/>
            </w:pPr>
            <w:r>
              <w:rPr>
                <w:sz w:val="20"/>
              </w:rPr>
              <w:t xml:space="preserve">19807</w:t>
            </w:r>
          </w:p>
        </w:tc>
        <w:tc>
          <w:tcPr>
            <w:tcW w:w="1275" w:type="dxa"/>
          </w:tcPr>
          <w:p>
            <w:pPr>
              <w:pStyle w:val="0"/>
            </w:pPr>
            <w:r>
              <w:rPr>
                <w:sz w:val="20"/>
              </w:rPr>
              <w:t xml:space="preserve">0</w:t>
            </w:r>
          </w:p>
        </w:tc>
        <w:tc>
          <w:tcPr>
            <w:tcW w:w="1134" w:type="dxa"/>
          </w:tcPr>
          <w:p>
            <w:pPr>
              <w:pStyle w:val="0"/>
            </w:pPr>
            <w:r>
              <w:rPr>
                <w:sz w:val="20"/>
              </w:rPr>
              <w:t xml:space="preserve">19807</w:t>
            </w:r>
          </w:p>
        </w:tc>
        <w:tc>
          <w:tcPr>
            <w:tcW w:w="1134" w:type="dxa"/>
          </w:tcPr>
          <w:p>
            <w:pPr>
              <w:pStyle w:val="0"/>
            </w:pPr>
            <w:r>
              <w:rPr>
                <w:sz w:val="20"/>
              </w:rPr>
              <w:t xml:space="preserve">15216</w:t>
            </w:r>
          </w:p>
        </w:tc>
        <w:tc>
          <w:tcPr>
            <w:tcW w:w="1593" w:type="dxa"/>
          </w:tcPr>
          <w:p>
            <w:pPr>
              <w:pStyle w:val="0"/>
            </w:pPr>
            <w:r>
              <w:rPr>
                <w:sz w:val="20"/>
              </w:rPr>
              <w:t xml:space="preserve">4591</w:t>
            </w:r>
          </w:p>
        </w:tc>
      </w:tr>
    </w:tbl>
    <w:p>
      <w:pPr>
        <w:pStyle w:val="0"/>
        <w:ind w:firstLine="540"/>
        <w:jc w:val="both"/>
      </w:pPr>
      <w:r>
        <w:rPr>
          <w:sz w:val="20"/>
        </w:rPr>
      </w:r>
    </w:p>
    <w:p>
      <w:pPr>
        <w:pStyle w:val="0"/>
        <w:ind w:firstLine="540"/>
        <w:jc w:val="both"/>
      </w:pPr>
      <w:r>
        <w:rPr>
          <w:sz w:val="20"/>
        </w:rPr>
        <w:t xml:space="preserve">Следует отметить и неблагоприятные тенденции последнего десятилетия - снижение рождаемости и рост численности граждан пожилого возраста. Автономный округ лидирует среди Российских регионов по темпу прироста населения старше трудоспособного возраста: в 2020 году прирост составил 5,34% (2-е место после Ингушетии), при этом среднероссийский показатель составляет 2,34%. Удельный вес населения старше трудоспособного возраста в автономном округе - 16,2%, при этом в 2016 году он составлял 14,8%. Данная тенденция оказывает неблагоприятное влияние на показатели смертности населения (см. </w:t>
      </w:r>
      <w:hyperlink w:history="0" w:anchor="P22207" w:tooltip="Демографические процессы в структуре населения автономного">
        <w:r>
          <w:rPr>
            <w:sz w:val="20"/>
            <w:color w:val="0000ff"/>
          </w:rPr>
          <w:t xml:space="preserve">таблицу 2</w:t>
        </w:r>
      </w:hyperlink>
      <w:r>
        <w:rPr>
          <w:sz w:val="20"/>
        </w:rPr>
        <w:t xml:space="preserve"> и </w:t>
      </w:r>
      <w:hyperlink w:history="0" w:anchor="P22263" w:tooltip="Доля лиц старше трудоспособного возраста (в % от общей">
        <w:r>
          <w:rPr>
            <w:sz w:val="20"/>
            <w:color w:val="0000ff"/>
          </w:rPr>
          <w:t xml:space="preserve">3</w:t>
        </w:r>
      </w:hyperlink>
      <w:r>
        <w:rPr>
          <w:sz w:val="20"/>
        </w:rPr>
        <w:t xml:space="preserve">).</w:t>
      </w:r>
    </w:p>
    <w:p>
      <w:pPr>
        <w:pStyle w:val="0"/>
        <w:ind w:firstLine="540"/>
        <w:jc w:val="both"/>
      </w:pPr>
      <w:r>
        <w:rPr>
          <w:sz w:val="20"/>
        </w:rPr>
      </w:r>
    </w:p>
    <w:p>
      <w:pPr>
        <w:pStyle w:val="0"/>
        <w:outlineLvl w:val="3"/>
        <w:jc w:val="right"/>
      </w:pPr>
      <w:r>
        <w:rPr>
          <w:sz w:val="20"/>
        </w:rPr>
        <w:t xml:space="preserve">Таблица 2</w:t>
      </w:r>
    </w:p>
    <w:p>
      <w:pPr>
        <w:pStyle w:val="0"/>
        <w:jc w:val="right"/>
      </w:pPr>
      <w:r>
        <w:rPr>
          <w:sz w:val="20"/>
        </w:rPr>
      </w:r>
    </w:p>
    <w:bookmarkStart w:id="22207" w:name="P22207"/>
    <w:bookmarkEnd w:id="22207"/>
    <w:p>
      <w:pPr>
        <w:pStyle w:val="2"/>
        <w:jc w:val="center"/>
      </w:pPr>
      <w:r>
        <w:rPr>
          <w:sz w:val="20"/>
        </w:rPr>
        <w:t xml:space="preserve">Демографические процессы в структуре населения автономного</w:t>
      </w:r>
    </w:p>
    <w:p>
      <w:pPr>
        <w:pStyle w:val="2"/>
        <w:jc w:val="center"/>
      </w:pPr>
      <w:r>
        <w:rPr>
          <w:sz w:val="20"/>
        </w:rPr>
        <w:t xml:space="preserve">округа в динамике за 5 лет (по данным Федеральной службы</w:t>
      </w:r>
    </w:p>
    <w:p>
      <w:pPr>
        <w:pStyle w:val="2"/>
        <w:jc w:val="center"/>
      </w:pPr>
      <w:r>
        <w:rPr>
          <w:sz w:val="20"/>
        </w:rPr>
        <w:t xml:space="preserve">государственной статистики)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55"/>
        <w:gridCol w:w="784"/>
        <w:gridCol w:w="784"/>
        <w:gridCol w:w="784"/>
        <w:gridCol w:w="784"/>
        <w:gridCol w:w="784"/>
        <w:gridCol w:w="1247"/>
      </w:tblGrid>
      <w:tr>
        <w:tc>
          <w:tcPr>
            <w:tcW w:w="3855" w:type="dxa"/>
          </w:tcPr>
          <w:p>
            <w:pPr>
              <w:pStyle w:val="0"/>
              <w:jc w:val="center"/>
            </w:pPr>
            <w:r>
              <w:rPr>
                <w:sz w:val="20"/>
              </w:rPr>
              <w:t xml:space="preserve">Показатели</w:t>
            </w:r>
          </w:p>
        </w:tc>
        <w:tc>
          <w:tcPr>
            <w:tcW w:w="784" w:type="dxa"/>
          </w:tcPr>
          <w:p>
            <w:pPr>
              <w:pStyle w:val="0"/>
              <w:jc w:val="center"/>
            </w:pPr>
            <w:r>
              <w:rPr>
                <w:sz w:val="20"/>
              </w:rPr>
              <w:t xml:space="preserve">2016</w:t>
            </w:r>
          </w:p>
        </w:tc>
        <w:tc>
          <w:tcPr>
            <w:tcW w:w="784" w:type="dxa"/>
          </w:tcPr>
          <w:p>
            <w:pPr>
              <w:pStyle w:val="0"/>
              <w:jc w:val="center"/>
            </w:pPr>
            <w:r>
              <w:rPr>
                <w:sz w:val="20"/>
              </w:rPr>
              <w:t xml:space="preserve">2017</w:t>
            </w:r>
          </w:p>
        </w:tc>
        <w:tc>
          <w:tcPr>
            <w:tcW w:w="784" w:type="dxa"/>
          </w:tcPr>
          <w:p>
            <w:pPr>
              <w:pStyle w:val="0"/>
              <w:jc w:val="center"/>
            </w:pPr>
            <w:r>
              <w:rPr>
                <w:sz w:val="20"/>
              </w:rPr>
              <w:t xml:space="preserve">2018</w:t>
            </w:r>
          </w:p>
        </w:tc>
        <w:tc>
          <w:tcPr>
            <w:tcW w:w="784" w:type="dxa"/>
          </w:tcPr>
          <w:p>
            <w:pPr>
              <w:pStyle w:val="0"/>
              <w:jc w:val="center"/>
            </w:pPr>
            <w:r>
              <w:rPr>
                <w:sz w:val="20"/>
              </w:rPr>
              <w:t xml:space="preserve">2019</w:t>
            </w:r>
          </w:p>
        </w:tc>
        <w:tc>
          <w:tcPr>
            <w:tcW w:w="784" w:type="dxa"/>
          </w:tcPr>
          <w:p>
            <w:pPr>
              <w:pStyle w:val="0"/>
              <w:jc w:val="center"/>
            </w:pPr>
            <w:r>
              <w:rPr>
                <w:sz w:val="20"/>
              </w:rPr>
              <w:t xml:space="preserve">2020</w:t>
            </w:r>
          </w:p>
        </w:tc>
        <w:tc>
          <w:tcPr>
            <w:tcW w:w="1247" w:type="dxa"/>
          </w:tcPr>
          <w:p>
            <w:pPr>
              <w:pStyle w:val="0"/>
              <w:jc w:val="center"/>
            </w:pPr>
            <w:r>
              <w:rPr>
                <w:sz w:val="20"/>
              </w:rPr>
              <w:t xml:space="preserve">Динамика 2016 - 2020, %</w:t>
            </w:r>
          </w:p>
        </w:tc>
      </w:tr>
      <w:tr>
        <w:tc>
          <w:tcPr>
            <w:tcW w:w="3855" w:type="dxa"/>
          </w:tcPr>
          <w:p>
            <w:pPr>
              <w:pStyle w:val="0"/>
            </w:pPr>
            <w:r>
              <w:rPr>
                <w:sz w:val="20"/>
              </w:rPr>
              <w:t xml:space="preserve">Население на 1 января (тыс. человек)</w:t>
            </w:r>
          </w:p>
        </w:tc>
        <w:tc>
          <w:tcPr>
            <w:tcW w:w="784" w:type="dxa"/>
          </w:tcPr>
          <w:p>
            <w:pPr>
              <w:pStyle w:val="0"/>
            </w:pPr>
            <w:r>
              <w:rPr>
                <w:sz w:val="20"/>
              </w:rPr>
              <w:t xml:space="preserve">1646,1</w:t>
            </w:r>
          </w:p>
        </w:tc>
        <w:tc>
          <w:tcPr>
            <w:tcW w:w="784" w:type="dxa"/>
          </w:tcPr>
          <w:p>
            <w:pPr>
              <w:pStyle w:val="0"/>
            </w:pPr>
            <w:r>
              <w:rPr>
                <w:sz w:val="20"/>
              </w:rPr>
              <w:t xml:space="preserve">1655,1</w:t>
            </w:r>
          </w:p>
        </w:tc>
        <w:tc>
          <w:tcPr>
            <w:tcW w:w="784" w:type="dxa"/>
          </w:tcPr>
          <w:p>
            <w:pPr>
              <w:pStyle w:val="0"/>
            </w:pPr>
            <w:r>
              <w:rPr>
                <w:sz w:val="20"/>
              </w:rPr>
              <w:t xml:space="preserve">1663,8</w:t>
            </w:r>
          </w:p>
        </w:tc>
        <w:tc>
          <w:tcPr>
            <w:tcW w:w="784" w:type="dxa"/>
          </w:tcPr>
          <w:p>
            <w:pPr>
              <w:pStyle w:val="0"/>
            </w:pPr>
            <w:r>
              <w:rPr>
                <w:sz w:val="20"/>
              </w:rPr>
              <w:t xml:space="preserve">1674,7</w:t>
            </w:r>
          </w:p>
        </w:tc>
        <w:tc>
          <w:tcPr>
            <w:tcW w:w="784" w:type="dxa"/>
          </w:tcPr>
          <w:p>
            <w:pPr>
              <w:pStyle w:val="0"/>
            </w:pPr>
            <w:r>
              <w:rPr>
                <w:sz w:val="20"/>
              </w:rPr>
              <w:t xml:space="preserve">1687,7</w:t>
            </w:r>
          </w:p>
        </w:tc>
        <w:tc>
          <w:tcPr>
            <w:tcW w:w="1247" w:type="dxa"/>
          </w:tcPr>
          <w:p>
            <w:pPr>
              <w:pStyle w:val="0"/>
            </w:pPr>
            <w:r>
              <w:rPr>
                <w:sz w:val="20"/>
              </w:rPr>
              <w:t xml:space="preserve">+2,5%</w:t>
            </w:r>
          </w:p>
        </w:tc>
      </w:tr>
      <w:tr>
        <w:tc>
          <w:tcPr>
            <w:tcW w:w="3855" w:type="dxa"/>
          </w:tcPr>
          <w:p>
            <w:pPr>
              <w:pStyle w:val="0"/>
            </w:pPr>
            <w:r>
              <w:rPr>
                <w:sz w:val="20"/>
              </w:rPr>
              <w:t xml:space="preserve">Число родившихся, человек на 1000 населения</w:t>
            </w:r>
          </w:p>
        </w:tc>
        <w:tc>
          <w:tcPr>
            <w:tcW w:w="784" w:type="dxa"/>
          </w:tcPr>
          <w:p>
            <w:pPr>
              <w:pStyle w:val="0"/>
            </w:pPr>
            <w:r>
              <w:rPr>
                <w:sz w:val="20"/>
              </w:rPr>
              <w:t xml:space="preserve">15,7</w:t>
            </w:r>
          </w:p>
        </w:tc>
        <w:tc>
          <w:tcPr>
            <w:tcW w:w="784" w:type="dxa"/>
          </w:tcPr>
          <w:p>
            <w:pPr>
              <w:pStyle w:val="0"/>
            </w:pPr>
            <w:r>
              <w:rPr>
                <w:sz w:val="20"/>
              </w:rPr>
              <w:t xml:space="preserve">14,1</w:t>
            </w:r>
          </w:p>
        </w:tc>
        <w:tc>
          <w:tcPr>
            <w:tcW w:w="784" w:type="dxa"/>
          </w:tcPr>
          <w:p>
            <w:pPr>
              <w:pStyle w:val="0"/>
            </w:pPr>
            <w:r>
              <w:rPr>
                <w:sz w:val="20"/>
              </w:rPr>
              <w:t xml:space="preserve">13,6</w:t>
            </w:r>
          </w:p>
        </w:tc>
        <w:tc>
          <w:tcPr>
            <w:tcW w:w="784" w:type="dxa"/>
          </w:tcPr>
          <w:p>
            <w:pPr>
              <w:pStyle w:val="0"/>
            </w:pPr>
            <w:r>
              <w:rPr>
                <w:sz w:val="20"/>
              </w:rPr>
              <w:t xml:space="preserve">12,4</w:t>
            </w:r>
          </w:p>
        </w:tc>
        <w:tc>
          <w:tcPr>
            <w:tcW w:w="784" w:type="dxa"/>
          </w:tcPr>
          <w:p>
            <w:pPr>
              <w:pStyle w:val="0"/>
            </w:pPr>
            <w:r>
              <w:rPr>
                <w:sz w:val="20"/>
              </w:rPr>
              <w:t xml:space="preserve">12,3</w:t>
            </w:r>
          </w:p>
        </w:tc>
        <w:tc>
          <w:tcPr>
            <w:tcW w:w="1247" w:type="dxa"/>
          </w:tcPr>
          <w:p>
            <w:pPr>
              <w:pStyle w:val="0"/>
            </w:pPr>
            <w:r>
              <w:rPr>
                <w:sz w:val="20"/>
              </w:rPr>
              <w:t xml:space="preserve">-21,7%</w:t>
            </w:r>
          </w:p>
        </w:tc>
      </w:tr>
      <w:tr>
        <w:tc>
          <w:tcPr>
            <w:tcW w:w="3855" w:type="dxa"/>
          </w:tcPr>
          <w:p>
            <w:pPr>
              <w:pStyle w:val="0"/>
            </w:pPr>
            <w:r>
              <w:rPr>
                <w:sz w:val="20"/>
              </w:rPr>
              <w:t xml:space="preserve">Число умерших, человек на 1000 населения</w:t>
            </w:r>
          </w:p>
        </w:tc>
        <w:tc>
          <w:tcPr>
            <w:tcW w:w="784" w:type="dxa"/>
          </w:tcPr>
          <w:p>
            <w:pPr>
              <w:pStyle w:val="0"/>
            </w:pPr>
            <w:r>
              <w:rPr>
                <w:sz w:val="20"/>
              </w:rPr>
              <w:t xml:space="preserve">6,2</w:t>
            </w:r>
          </w:p>
        </w:tc>
        <w:tc>
          <w:tcPr>
            <w:tcW w:w="784" w:type="dxa"/>
          </w:tcPr>
          <w:p>
            <w:pPr>
              <w:pStyle w:val="0"/>
            </w:pPr>
            <w:r>
              <w:rPr>
                <w:sz w:val="20"/>
              </w:rPr>
              <w:t xml:space="preserve">6,2</w:t>
            </w:r>
          </w:p>
        </w:tc>
        <w:tc>
          <w:tcPr>
            <w:tcW w:w="784" w:type="dxa"/>
          </w:tcPr>
          <w:p>
            <w:pPr>
              <w:pStyle w:val="0"/>
            </w:pPr>
            <w:r>
              <w:rPr>
                <w:sz w:val="20"/>
              </w:rPr>
              <w:t xml:space="preserve">6,3</w:t>
            </w:r>
          </w:p>
        </w:tc>
        <w:tc>
          <w:tcPr>
            <w:tcW w:w="784" w:type="dxa"/>
          </w:tcPr>
          <w:p>
            <w:pPr>
              <w:pStyle w:val="0"/>
            </w:pPr>
            <w:r>
              <w:rPr>
                <w:sz w:val="20"/>
              </w:rPr>
              <w:t xml:space="preserve">6,0</w:t>
            </w:r>
          </w:p>
        </w:tc>
        <w:tc>
          <w:tcPr>
            <w:tcW w:w="784" w:type="dxa"/>
          </w:tcPr>
          <w:p>
            <w:pPr>
              <w:pStyle w:val="0"/>
            </w:pPr>
            <w:r>
              <w:rPr>
                <w:sz w:val="20"/>
              </w:rPr>
              <w:t xml:space="preserve">7,6</w:t>
            </w:r>
          </w:p>
        </w:tc>
        <w:tc>
          <w:tcPr>
            <w:tcW w:w="1247" w:type="dxa"/>
          </w:tcPr>
          <w:p>
            <w:pPr>
              <w:pStyle w:val="0"/>
            </w:pPr>
            <w:r>
              <w:rPr>
                <w:sz w:val="20"/>
              </w:rPr>
              <w:t xml:space="preserve">+22,6%</w:t>
            </w:r>
          </w:p>
        </w:tc>
      </w:tr>
      <w:tr>
        <w:tc>
          <w:tcPr>
            <w:tcW w:w="3855" w:type="dxa"/>
          </w:tcPr>
          <w:p>
            <w:pPr>
              <w:pStyle w:val="0"/>
            </w:pPr>
            <w:r>
              <w:rPr>
                <w:sz w:val="20"/>
              </w:rPr>
              <w:t xml:space="preserve">Естественный прирост, человек на 1000 населения</w:t>
            </w:r>
          </w:p>
        </w:tc>
        <w:tc>
          <w:tcPr>
            <w:tcW w:w="784" w:type="dxa"/>
          </w:tcPr>
          <w:p>
            <w:pPr>
              <w:pStyle w:val="0"/>
            </w:pPr>
            <w:r>
              <w:rPr>
                <w:sz w:val="20"/>
              </w:rPr>
              <w:t xml:space="preserve">9,5</w:t>
            </w:r>
          </w:p>
        </w:tc>
        <w:tc>
          <w:tcPr>
            <w:tcW w:w="784" w:type="dxa"/>
          </w:tcPr>
          <w:p>
            <w:pPr>
              <w:pStyle w:val="0"/>
            </w:pPr>
            <w:r>
              <w:rPr>
                <w:sz w:val="20"/>
              </w:rPr>
              <w:t xml:space="preserve">7,9</w:t>
            </w:r>
          </w:p>
        </w:tc>
        <w:tc>
          <w:tcPr>
            <w:tcW w:w="784" w:type="dxa"/>
          </w:tcPr>
          <w:p>
            <w:pPr>
              <w:pStyle w:val="0"/>
            </w:pPr>
            <w:r>
              <w:rPr>
                <w:sz w:val="20"/>
              </w:rPr>
              <w:t xml:space="preserve">7,3</w:t>
            </w:r>
          </w:p>
        </w:tc>
        <w:tc>
          <w:tcPr>
            <w:tcW w:w="784" w:type="dxa"/>
          </w:tcPr>
          <w:p>
            <w:pPr>
              <w:pStyle w:val="0"/>
            </w:pPr>
            <w:r>
              <w:rPr>
                <w:sz w:val="20"/>
              </w:rPr>
              <w:t xml:space="preserve">6,4</w:t>
            </w:r>
          </w:p>
        </w:tc>
        <w:tc>
          <w:tcPr>
            <w:tcW w:w="784" w:type="dxa"/>
          </w:tcPr>
          <w:p>
            <w:pPr>
              <w:pStyle w:val="0"/>
            </w:pPr>
            <w:r>
              <w:rPr>
                <w:sz w:val="20"/>
              </w:rPr>
              <w:t xml:space="preserve">4,7</w:t>
            </w:r>
          </w:p>
        </w:tc>
        <w:tc>
          <w:tcPr>
            <w:tcW w:w="1247" w:type="dxa"/>
          </w:tcPr>
          <w:p>
            <w:pPr>
              <w:pStyle w:val="0"/>
            </w:pPr>
            <w:r>
              <w:rPr>
                <w:sz w:val="20"/>
              </w:rPr>
              <w:t xml:space="preserve">-50,5%</w:t>
            </w:r>
          </w:p>
        </w:tc>
      </w:tr>
      <w:tr>
        <w:tc>
          <w:tcPr>
            <w:tcW w:w="3855" w:type="dxa"/>
          </w:tcPr>
          <w:p>
            <w:pPr>
              <w:pStyle w:val="0"/>
            </w:pPr>
            <w:r>
              <w:rPr>
                <w:sz w:val="20"/>
              </w:rPr>
              <w:t xml:space="preserve">Число умерших в трудоспособном возрасте, человек на 100 тыс. нас.</w:t>
            </w:r>
          </w:p>
        </w:tc>
        <w:tc>
          <w:tcPr>
            <w:tcW w:w="784" w:type="dxa"/>
          </w:tcPr>
          <w:p>
            <w:pPr>
              <w:pStyle w:val="0"/>
            </w:pPr>
            <w:r>
              <w:rPr>
                <w:sz w:val="20"/>
              </w:rPr>
              <w:t xml:space="preserve">407,1</w:t>
            </w:r>
          </w:p>
        </w:tc>
        <w:tc>
          <w:tcPr>
            <w:tcW w:w="784" w:type="dxa"/>
          </w:tcPr>
          <w:p>
            <w:pPr>
              <w:pStyle w:val="0"/>
            </w:pPr>
            <w:r>
              <w:rPr>
                <w:sz w:val="20"/>
              </w:rPr>
              <w:t xml:space="preserve">394,1</w:t>
            </w:r>
          </w:p>
        </w:tc>
        <w:tc>
          <w:tcPr>
            <w:tcW w:w="784" w:type="dxa"/>
          </w:tcPr>
          <w:p>
            <w:pPr>
              <w:pStyle w:val="0"/>
            </w:pPr>
            <w:r>
              <w:rPr>
                <w:sz w:val="20"/>
              </w:rPr>
              <w:t xml:space="preserve">379,4</w:t>
            </w:r>
          </w:p>
        </w:tc>
        <w:tc>
          <w:tcPr>
            <w:tcW w:w="784" w:type="dxa"/>
          </w:tcPr>
          <w:p>
            <w:pPr>
              <w:pStyle w:val="0"/>
            </w:pPr>
            <w:r>
              <w:rPr>
                <w:sz w:val="20"/>
              </w:rPr>
              <w:t xml:space="preserve">362,7</w:t>
            </w:r>
          </w:p>
        </w:tc>
        <w:tc>
          <w:tcPr>
            <w:tcW w:w="784" w:type="dxa"/>
          </w:tcPr>
          <w:p>
            <w:pPr>
              <w:pStyle w:val="0"/>
            </w:pPr>
            <w:r>
              <w:rPr>
                <w:sz w:val="20"/>
              </w:rPr>
              <w:t xml:space="preserve">432,1</w:t>
            </w:r>
          </w:p>
        </w:tc>
        <w:tc>
          <w:tcPr>
            <w:tcW w:w="1247" w:type="dxa"/>
          </w:tcPr>
          <w:p>
            <w:pPr>
              <w:pStyle w:val="0"/>
            </w:pPr>
            <w:r>
              <w:rPr>
                <w:sz w:val="20"/>
              </w:rPr>
              <w:t xml:space="preserve">+6,14%</w:t>
            </w:r>
          </w:p>
        </w:tc>
      </w:tr>
      <w:tr>
        <w:tc>
          <w:tcPr>
            <w:tcW w:w="3855" w:type="dxa"/>
          </w:tcPr>
          <w:p>
            <w:pPr>
              <w:pStyle w:val="0"/>
            </w:pPr>
            <w:r>
              <w:rPr>
                <w:sz w:val="20"/>
              </w:rPr>
              <w:t xml:space="preserve">Ожидаемая продолжительность жизни при рождении, лет</w:t>
            </w:r>
          </w:p>
        </w:tc>
        <w:tc>
          <w:tcPr>
            <w:tcW w:w="784" w:type="dxa"/>
          </w:tcPr>
          <w:p>
            <w:pPr>
              <w:pStyle w:val="0"/>
            </w:pPr>
            <w:r>
              <w:rPr>
                <w:sz w:val="20"/>
              </w:rPr>
              <w:t xml:space="preserve">73,50</w:t>
            </w:r>
          </w:p>
        </w:tc>
        <w:tc>
          <w:tcPr>
            <w:tcW w:w="784" w:type="dxa"/>
          </w:tcPr>
          <w:p>
            <w:pPr>
              <w:pStyle w:val="0"/>
            </w:pPr>
            <w:r>
              <w:rPr>
                <w:sz w:val="20"/>
              </w:rPr>
              <w:t xml:space="preserve">73,87</w:t>
            </w:r>
          </w:p>
        </w:tc>
        <w:tc>
          <w:tcPr>
            <w:tcW w:w="784" w:type="dxa"/>
          </w:tcPr>
          <w:p>
            <w:pPr>
              <w:pStyle w:val="0"/>
            </w:pPr>
            <w:r>
              <w:rPr>
                <w:sz w:val="20"/>
              </w:rPr>
              <w:t xml:space="preserve">74,28</w:t>
            </w:r>
          </w:p>
        </w:tc>
        <w:tc>
          <w:tcPr>
            <w:tcW w:w="784" w:type="dxa"/>
          </w:tcPr>
          <w:p>
            <w:pPr>
              <w:pStyle w:val="0"/>
            </w:pPr>
            <w:r>
              <w:rPr>
                <w:sz w:val="20"/>
              </w:rPr>
              <w:t xml:space="preserve">75,04</w:t>
            </w:r>
          </w:p>
        </w:tc>
        <w:tc>
          <w:tcPr>
            <w:tcW w:w="784" w:type="dxa"/>
          </w:tcPr>
          <w:p>
            <w:pPr>
              <w:pStyle w:val="0"/>
            </w:pPr>
            <w:r>
              <w:rPr>
                <w:sz w:val="20"/>
              </w:rPr>
              <w:t xml:space="preserve">72,87</w:t>
            </w:r>
          </w:p>
        </w:tc>
        <w:tc>
          <w:tcPr>
            <w:tcW w:w="1247" w:type="dxa"/>
          </w:tcPr>
          <w:p>
            <w:pPr>
              <w:pStyle w:val="0"/>
            </w:pPr>
            <w:r>
              <w:rPr>
                <w:sz w:val="20"/>
              </w:rPr>
              <w:t xml:space="preserve">-0,86%</w:t>
            </w:r>
          </w:p>
        </w:tc>
      </w:tr>
    </w:tbl>
    <w:p>
      <w:pPr>
        <w:pStyle w:val="0"/>
        <w:ind w:firstLine="540"/>
        <w:jc w:val="both"/>
      </w:pPr>
      <w:r>
        <w:rPr>
          <w:sz w:val="20"/>
        </w:rPr>
      </w:r>
    </w:p>
    <w:p>
      <w:pPr>
        <w:pStyle w:val="0"/>
        <w:outlineLvl w:val="3"/>
        <w:jc w:val="right"/>
      </w:pPr>
      <w:r>
        <w:rPr>
          <w:sz w:val="20"/>
        </w:rPr>
        <w:t xml:space="preserve">Таблица 3</w:t>
      </w:r>
    </w:p>
    <w:p>
      <w:pPr>
        <w:pStyle w:val="0"/>
        <w:jc w:val="right"/>
      </w:pPr>
      <w:r>
        <w:rPr>
          <w:sz w:val="20"/>
        </w:rPr>
      </w:r>
    </w:p>
    <w:bookmarkStart w:id="22263" w:name="P22263"/>
    <w:bookmarkEnd w:id="22263"/>
    <w:p>
      <w:pPr>
        <w:pStyle w:val="2"/>
        <w:jc w:val="center"/>
      </w:pPr>
      <w:r>
        <w:rPr>
          <w:sz w:val="20"/>
        </w:rPr>
        <w:t xml:space="preserve">Доля лиц старше трудоспособного возраста (в % от общей</w:t>
      </w:r>
    </w:p>
    <w:p>
      <w:pPr>
        <w:pStyle w:val="2"/>
        <w:jc w:val="center"/>
      </w:pPr>
      <w:r>
        <w:rPr>
          <w:sz w:val="20"/>
        </w:rPr>
        <w:t xml:space="preserve">численности населения автономного округа)</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6"/>
        <w:gridCol w:w="1292"/>
        <w:gridCol w:w="1158"/>
        <w:gridCol w:w="1081"/>
        <w:gridCol w:w="1264"/>
        <w:gridCol w:w="1191"/>
      </w:tblGrid>
      <w:tr>
        <w:tc>
          <w:tcPr>
            <w:tcW w:w="3066" w:type="dxa"/>
          </w:tcPr>
          <w:p>
            <w:pPr>
              <w:pStyle w:val="0"/>
            </w:pPr>
            <w:r>
              <w:rPr>
                <w:sz w:val="20"/>
              </w:rPr>
            </w:r>
          </w:p>
        </w:tc>
        <w:tc>
          <w:tcPr>
            <w:tcW w:w="1292" w:type="dxa"/>
          </w:tcPr>
          <w:p>
            <w:pPr>
              <w:pStyle w:val="0"/>
              <w:jc w:val="center"/>
            </w:pPr>
            <w:r>
              <w:rPr>
                <w:sz w:val="20"/>
              </w:rPr>
              <w:t xml:space="preserve">2016</w:t>
            </w:r>
          </w:p>
        </w:tc>
        <w:tc>
          <w:tcPr>
            <w:tcW w:w="1158" w:type="dxa"/>
          </w:tcPr>
          <w:p>
            <w:pPr>
              <w:pStyle w:val="0"/>
              <w:jc w:val="center"/>
            </w:pPr>
            <w:r>
              <w:rPr>
                <w:sz w:val="20"/>
              </w:rPr>
              <w:t xml:space="preserve">2017</w:t>
            </w:r>
          </w:p>
        </w:tc>
        <w:tc>
          <w:tcPr>
            <w:tcW w:w="1081" w:type="dxa"/>
          </w:tcPr>
          <w:p>
            <w:pPr>
              <w:pStyle w:val="0"/>
              <w:jc w:val="center"/>
            </w:pPr>
            <w:r>
              <w:rPr>
                <w:sz w:val="20"/>
              </w:rPr>
              <w:t xml:space="preserve">2018</w:t>
            </w:r>
          </w:p>
        </w:tc>
        <w:tc>
          <w:tcPr>
            <w:tcW w:w="1264" w:type="dxa"/>
          </w:tcPr>
          <w:p>
            <w:pPr>
              <w:pStyle w:val="0"/>
              <w:jc w:val="center"/>
            </w:pPr>
            <w:r>
              <w:rPr>
                <w:sz w:val="20"/>
              </w:rPr>
              <w:t xml:space="preserve">2019</w:t>
            </w:r>
          </w:p>
        </w:tc>
        <w:tc>
          <w:tcPr>
            <w:tcW w:w="1191" w:type="dxa"/>
          </w:tcPr>
          <w:p>
            <w:pPr>
              <w:pStyle w:val="0"/>
              <w:jc w:val="center"/>
            </w:pPr>
            <w:r>
              <w:rPr>
                <w:sz w:val="20"/>
              </w:rPr>
              <w:t xml:space="preserve">2020</w:t>
            </w:r>
          </w:p>
        </w:tc>
      </w:tr>
      <w:tr>
        <w:tc>
          <w:tcPr>
            <w:tcW w:w="3066" w:type="dxa"/>
          </w:tcPr>
          <w:p>
            <w:pPr>
              <w:pStyle w:val="0"/>
            </w:pPr>
            <w:r>
              <w:rPr>
                <w:sz w:val="20"/>
              </w:rPr>
              <w:t xml:space="preserve">Ханты-Мансийский автономный округ - Югра</w:t>
            </w:r>
          </w:p>
        </w:tc>
        <w:tc>
          <w:tcPr>
            <w:tcW w:w="1292" w:type="dxa"/>
          </w:tcPr>
          <w:p>
            <w:pPr>
              <w:pStyle w:val="0"/>
            </w:pPr>
            <w:r>
              <w:rPr>
                <w:sz w:val="20"/>
              </w:rPr>
              <w:t xml:space="preserve">14,8</w:t>
            </w:r>
          </w:p>
        </w:tc>
        <w:tc>
          <w:tcPr>
            <w:tcW w:w="1158" w:type="dxa"/>
          </w:tcPr>
          <w:p>
            <w:pPr>
              <w:pStyle w:val="0"/>
            </w:pPr>
            <w:r>
              <w:rPr>
                <w:sz w:val="20"/>
              </w:rPr>
              <w:t xml:space="preserve">15,8</w:t>
            </w:r>
          </w:p>
        </w:tc>
        <w:tc>
          <w:tcPr>
            <w:tcW w:w="1081" w:type="dxa"/>
          </w:tcPr>
          <w:p>
            <w:pPr>
              <w:pStyle w:val="0"/>
            </w:pPr>
            <w:r>
              <w:rPr>
                <w:sz w:val="20"/>
              </w:rPr>
              <w:t xml:space="preserve">16,0</w:t>
            </w:r>
          </w:p>
        </w:tc>
        <w:tc>
          <w:tcPr>
            <w:tcW w:w="1264" w:type="dxa"/>
          </w:tcPr>
          <w:p>
            <w:pPr>
              <w:pStyle w:val="0"/>
            </w:pPr>
            <w:r>
              <w:rPr>
                <w:sz w:val="20"/>
              </w:rPr>
              <w:t xml:space="preserve">16,4</w:t>
            </w:r>
          </w:p>
        </w:tc>
        <w:tc>
          <w:tcPr>
            <w:tcW w:w="1191" w:type="dxa"/>
          </w:tcPr>
          <w:p>
            <w:pPr>
              <w:pStyle w:val="0"/>
            </w:pPr>
            <w:r>
              <w:rPr>
                <w:sz w:val="20"/>
              </w:rPr>
              <w:t xml:space="preserve">16,2</w:t>
            </w:r>
          </w:p>
        </w:tc>
      </w:tr>
    </w:tbl>
    <w:p>
      <w:pPr>
        <w:pStyle w:val="0"/>
        <w:ind w:firstLine="540"/>
        <w:jc w:val="both"/>
      </w:pPr>
      <w:r>
        <w:rPr>
          <w:sz w:val="20"/>
        </w:rPr>
      </w:r>
    </w:p>
    <w:p>
      <w:pPr>
        <w:pStyle w:val="2"/>
        <w:outlineLvl w:val="2"/>
        <w:ind w:firstLine="540"/>
        <w:jc w:val="both"/>
      </w:pPr>
      <w:r>
        <w:rPr>
          <w:sz w:val="20"/>
        </w:rPr>
        <w:t xml:space="preserve">3.5. Здоровье населения</w:t>
      </w:r>
    </w:p>
    <w:p>
      <w:pPr>
        <w:pStyle w:val="0"/>
        <w:spacing w:before="200" w:line-rule="auto"/>
        <w:ind w:firstLine="540"/>
        <w:jc w:val="both"/>
      </w:pPr>
      <w:r>
        <w:rPr>
          <w:sz w:val="20"/>
        </w:rPr>
        <w:t xml:space="preserve">Ведущими классами заболеваний в структуре общей смертности в 2020 году, как и в предыдущие годы, являются болезни системы кровообращения (БСК) - 36,0%, новообразования - 16,0%, внешние причины - 9,6%. Смертность от болезней органов дыхания в совокупности со смертностью от новой коронавирусной инфекции составляет 7% в структуре общей смертности.</w:t>
      </w:r>
    </w:p>
    <w:p>
      <w:pPr>
        <w:pStyle w:val="0"/>
        <w:ind w:firstLine="540"/>
        <w:jc w:val="both"/>
      </w:pPr>
      <w:r>
        <w:rPr>
          <w:sz w:val="20"/>
        </w:rPr>
      </w:r>
    </w:p>
    <w:p>
      <w:pPr>
        <w:pStyle w:val="0"/>
        <w:outlineLvl w:val="3"/>
        <w:jc w:val="right"/>
      </w:pPr>
      <w:r>
        <w:rPr>
          <w:sz w:val="20"/>
        </w:rPr>
        <w:t xml:space="preserve">Таблица 4</w:t>
      </w:r>
    </w:p>
    <w:p>
      <w:pPr>
        <w:pStyle w:val="0"/>
        <w:jc w:val="right"/>
      </w:pPr>
      <w:r>
        <w:rPr>
          <w:sz w:val="20"/>
        </w:rPr>
      </w:r>
    </w:p>
    <w:p>
      <w:pPr>
        <w:pStyle w:val="2"/>
        <w:jc w:val="center"/>
      </w:pPr>
      <w:r>
        <w:rPr>
          <w:sz w:val="20"/>
        </w:rPr>
        <w:t xml:space="preserve">Смертность населения по основным классам заболеваний (по</w:t>
      </w:r>
    </w:p>
    <w:p>
      <w:pPr>
        <w:pStyle w:val="2"/>
        <w:jc w:val="center"/>
      </w:pPr>
      <w:r>
        <w:rPr>
          <w:sz w:val="20"/>
        </w:rPr>
        <w:t xml:space="preserve">данным Федеральной службы государственной статистики)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89"/>
        <w:gridCol w:w="1527"/>
        <w:gridCol w:w="1386"/>
        <w:gridCol w:w="1134"/>
      </w:tblGrid>
      <w:tr>
        <w:tc>
          <w:tcPr>
            <w:tcW w:w="4989" w:type="dxa"/>
          </w:tcPr>
          <w:p>
            <w:pPr>
              <w:pStyle w:val="0"/>
              <w:jc w:val="center"/>
            </w:pPr>
            <w:r>
              <w:rPr>
                <w:sz w:val="20"/>
              </w:rPr>
              <w:t xml:space="preserve">Название классов</w:t>
            </w:r>
          </w:p>
        </w:tc>
        <w:tc>
          <w:tcPr>
            <w:tcW w:w="1527" w:type="dxa"/>
          </w:tcPr>
          <w:p>
            <w:pPr>
              <w:pStyle w:val="0"/>
              <w:jc w:val="center"/>
            </w:pPr>
            <w:r>
              <w:rPr>
                <w:sz w:val="20"/>
              </w:rPr>
              <w:t xml:space="preserve">2019</w:t>
            </w:r>
          </w:p>
        </w:tc>
        <w:tc>
          <w:tcPr>
            <w:tcW w:w="1386" w:type="dxa"/>
          </w:tcPr>
          <w:p>
            <w:pPr>
              <w:pStyle w:val="0"/>
              <w:jc w:val="center"/>
            </w:pPr>
            <w:r>
              <w:rPr>
                <w:sz w:val="20"/>
              </w:rPr>
              <w:t xml:space="preserve">2020</w:t>
            </w:r>
          </w:p>
        </w:tc>
        <w:tc>
          <w:tcPr>
            <w:tcW w:w="1134" w:type="dxa"/>
          </w:tcPr>
          <w:p>
            <w:pPr>
              <w:pStyle w:val="0"/>
              <w:jc w:val="center"/>
            </w:pPr>
            <w:r>
              <w:rPr>
                <w:sz w:val="20"/>
              </w:rPr>
              <w:t xml:space="preserve">Динамика</w:t>
            </w:r>
          </w:p>
        </w:tc>
      </w:tr>
      <w:tr>
        <w:tc>
          <w:tcPr>
            <w:tcW w:w="4989" w:type="dxa"/>
          </w:tcPr>
          <w:p>
            <w:pPr>
              <w:pStyle w:val="0"/>
            </w:pPr>
            <w:r>
              <w:rPr>
                <w:sz w:val="20"/>
              </w:rPr>
              <w:t xml:space="preserve">Некоторые инфекционные и паразитарные болезни</w:t>
            </w:r>
          </w:p>
        </w:tc>
        <w:tc>
          <w:tcPr>
            <w:tcW w:w="1527" w:type="dxa"/>
          </w:tcPr>
          <w:p>
            <w:pPr>
              <w:pStyle w:val="0"/>
            </w:pPr>
            <w:r>
              <w:rPr>
                <w:sz w:val="20"/>
              </w:rPr>
              <w:t xml:space="preserve">457</w:t>
            </w:r>
          </w:p>
        </w:tc>
        <w:tc>
          <w:tcPr>
            <w:tcW w:w="1386" w:type="dxa"/>
          </w:tcPr>
          <w:p>
            <w:pPr>
              <w:pStyle w:val="0"/>
            </w:pPr>
            <w:r>
              <w:rPr>
                <w:sz w:val="20"/>
              </w:rPr>
              <w:t xml:space="preserve">495</w:t>
            </w:r>
          </w:p>
        </w:tc>
        <w:tc>
          <w:tcPr>
            <w:tcW w:w="1134" w:type="dxa"/>
          </w:tcPr>
          <w:p>
            <w:pPr>
              <w:pStyle w:val="0"/>
            </w:pPr>
            <w:r>
              <w:rPr>
                <w:sz w:val="20"/>
              </w:rPr>
              <w:t xml:space="preserve">+38</w:t>
            </w:r>
          </w:p>
        </w:tc>
      </w:tr>
      <w:tr>
        <w:tc>
          <w:tcPr>
            <w:tcW w:w="4989" w:type="dxa"/>
          </w:tcPr>
          <w:p>
            <w:pPr>
              <w:pStyle w:val="0"/>
            </w:pPr>
            <w:r>
              <w:rPr>
                <w:sz w:val="20"/>
              </w:rPr>
              <w:t xml:space="preserve">туберкулез</w:t>
            </w:r>
          </w:p>
        </w:tc>
        <w:tc>
          <w:tcPr>
            <w:tcW w:w="1527" w:type="dxa"/>
          </w:tcPr>
          <w:p>
            <w:pPr>
              <w:pStyle w:val="0"/>
            </w:pPr>
            <w:r>
              <w:rPr>
                <w:sz w:val="20"/>
              </w:rPr>
              <w:t xml:space="preserve">33</w:t>
            </w:r>
          </w:p>
        </w:tc>
        <w:tc>
          <w:tcPr>
            <w:tcW w:w="1386" w:type="dxa"/>
          </w:tcPr>
          <w:p>
            <w:pPr>
              <w:pStyle w:val="0"/>
            </w:pPr>
            <w:r>
              <w:rPr>
                <w:sz w:val="20"/>
              </w:rPr>
              <w:t xml:space="preserve">40</w:t>
            </w:r>
          </w:p>
        </w:tc>
        <w:tc>
          <w:tcPr>
            <w:tcW w:w="1134" w:type="dxa"/>
          </w:tcPr>
          <w:p>
            <w:pPr>
              <w:pStyle w:val="0"/>
            </w:pPr>
            <w:r>
              <w:rPr>
                <w:sz w:val="20"/>
              </w:rPr>
              <w:t xml:space="preserve">+7</w:t>
            </w:r>
          </w:p>
        </w:tc>
      </w:tr>
      <w:tr>
        <w:tc>
          <w:tcPr>
            <w:tcW w:w="4989" w:type="dxa"/>
          </w:tcPr>
          <w:p>
            <w:pPr>
              <w:pStyle w:val="0"/>
            </w:pPr>
            <w:r>
              <w:rPr>
                <w:sz w:val="20"/>
              </w:rPr>
              <w:t xml:space="preserve">ВИЧ</w:t>
            </w:r>
          </w:p>
        </w:tc>
        <w:tc>
          <w:tcPr>
            <w:tcW w:w="1527" w:type="dxa"/>
          </w:tcPr>
          <w:p>
            <w:pPr>
              <w:pStyle w:val="0"/>
            </w:pPr>
            <w:r>
              <w:rPr>
                <w:sz w:val="20"/>
              </w:rPr>
              <w:t xml:space="preserve">353</w:t>
            </w:r>
          </w:p>
        </w:tc>
        <w:tc>
          <w:tcPr>
            <w:tcW w:w="1386" w:type="dxa"/>
          </w:tcPr>
          <w:p>
            <w:pPr>
              <w:pStyle w:val="0"/>
            </w:pPr>
            <w:r>
              <w:rPr>
                <w:sz w:val="20"/>
              </w:rPr>
              <w:t xml:space="preserve">366</w:t>
            </w:r>
          </w:p>
        </w:tc>
        <w:tc>
          <w:tcPr>
            <w:tcW w:w="1134" w:type="dxa"/>
          </w:tcPr>
          <w:p>
            <w:pPr>
              <w:pStyle w:val="0"/>
            </w:pPr>
            <w:r>
              <w:rPr>
                <w:sz w:val="20"/>
              </w:rPr>
              <w:t xml:space="preserve">+13</w:t>
            </w:r>
          </w:p>
        </w:tc>
      </w:tr>
      <w:tr>
        <w:tc>
          <w:tcPr>
            <w:tcW w:w="4989" w:type="dxa"/>
          </w:tcPr>
          <w:p>
            <w:pPr>
              <w:pStyle w:val="0"/>
            </w:pPr>
            <w:r>
              <w:rPr>
                <w:sz w:val="20"/>
              </w:rPr>
              <w:t xml:space="preserve">Новообразования</w:t>
            </w:r>
          </w:p>
        </w:tc>
        <w:tc>
          <w:tcPr>
            <w:tcW w:w="1527" w:type="dxa"/>
          </w:tcPr>
          <w:p>
            <w:pPr>
              <w:pStyle w:val="0"/>
            </w:pPr>
            <w:r>
              <w:rPr>
                <w:sz w:val="20"/>
              </w:rPr>
              <w:t xml:space="preserve">1840</w:t>
            </w:r>
          </w:p>
        </w:tc>
        <w:tc>
          <w:tcPr>
            <w:tcW w:w="1386" w:type="dxa"/>
          </w:tcPr>
          <w:p>
            <w:pPr>
              <w:pStyle w:val="0"/>
            </w:pPr>
            <w:r>
              <w:rPr>
                <w:sz w:val="20"/>
              </w:rPr>
              <w:t xml:space="preserve">2050</w:t>
            </w:r>
          </w:p>
        </w:tc>
        <w:tc>
          <w:tcPr>
            <w:tcW w:w="1134" w:type="dxa"/>
          </w:tcPr>
          <w:p>
            <w:pPr>
              <w:pStyle w:val="0"/>
            </w:pPr>
            <w:r>
              <w:rPr>
                <w:sz w:val="20"/>
              </w:rPr>
              <w:t xml:space="preserve">+210</w:t>
            </w:r>
          </w:p>
        </w:tc>
      </w:tr>
      <w:tr>
        <w:tc>
          <w:tcPr>
            <w:tcW w:w="4989" w:type="dxa"/>
          </w:tcPr>
          <w:p>
            <w:pPr>
              <w:pStyle w:val="0"/>
            </w:pPr>
            <w:r>
              <w:rPr>
                <w:sz w:val="20"/>
              </w:rPr>
              <w:t xml:space="preserve">из них: злокачественные</w:t>
            </w:r>
          </w:p>
        </w:tc>
        <w:tc>
          <w:tcPr>
            <w:tcW w:w="1527" w:type="dxa"/>
          </w:tcPr>
          <w:p>
            <w:pPr>
              <w:pStyle w:val="0"/>
            </w:pPr>
            <w:r>
              <w:rPr>
                <w:sz w:val="20"/>
              </w:rPr>
              <w:t xml:space="preserve">1804</w:t>
            </w:r>
          </w:p>
        </w:tc>
        <w:tc>
          <w:tcPr>
            <w:tcW w:w="1386" w:type="dxa"/>
          </w:tcPr>
          <w:p>
            <w:pPr>
              <w:pStyle w:val="0"/>
            </w:pPr>
            <w:r>
              <w:rPr>
                <w:sz w:val="20"/>
              </w:rPr>
              <w:t xml:space="preserve">2020</w:t>
            </w:r>
          </w:p>
        </w:tc>
        <w:tc>
          <w:tcPr>
            <w:tcW w:w="1134" w:type="dxa"/>
          </w:tcPr>
          <w:p>
            <w:pPr>
              <w:pStyle w:val="0"/>
            </w:pPr>
            <w:r>
              <w:rPr>
                <w:sz w:val="20"/>
              </w:rPr>
              <w:t xml:space="preserve">+216</w:t>
            </w:r>
          </w:p>
        </w:tc>
      </w:tr>
      <w:tr>
        <w:tc>
          <w:tcPr>
            <w:tcW w:w="4989" w:type="dxa"/>
          </w:tcPr>
          <w:p>
            <w:pPr>
              <w:pStyle w:val="0"/>
            </w:pPr>
            <w:r>
              <w:rPr>
                <w:sz w:val="20"/>
              </w:rPr>
              <w:t xml:space="preserve">БСК</w:t>
            </w:r>
          </w:p>
        </w:tc>
        <w:tc>
          <w:tcPr>
            <w:tcW w:w="1527" w:type="dxa"/>
          </w:tcPr>
          <w:p>
            <w:pPr>
              <w:pStyle w:val="0"/>
            </w:pPr>
            <w:r>
              <w:rPr>
                <w:sz w:val="20"/>
              </w:rPr>
              <w:t xml:space="preserve">3969</w:t>
            </w:r>
          </w:p>
        </w:tc>
        <w:tc>
          <w:tcPr>
            <w:tcW w:w="1386" w:type="dxa"/>
          </w:tcPr>
          <w:p>
            <w:pPr>
              <w:pStyle w:val="0"/>
            </w:pPr>
            <w:r>
              <w:rPr>
                <w:sz w:val="20"/>
              </w:rPr>
              <w:t xml:space="preserve">4612</w:t>
            </w:r>
          </w:p>
        </w:tc>
        <w:tc>
          <w:tcPr>
            <w:tcW w:w="1134" w:type="dxa"/>
          </w:tcPr>
          <w:p>
            <w:pPr>
              <w:pStyle w:val="0"/>
            </w:pPr>
            <w:r>
              <w:rPr>
                <w:sz w:val="20"/>
              </w:rPr>
              <w:t xml:space="preserve">+643</w:t>
            </w:r>
          </w:p>
        </w:tc>
      </w:tr>
      <w:tr>
        <w:tc>
          <w:tcPr>
            <w:tcW w:w="4989" w:type="dxa"/>
          </w:tcPr>
          <w:p>
            <w:pPr>
              <w:pStyle w:val="0"/>
            </w:pPr>
            <w:r>
              <w:rPr>
                <w:sz w:val="20"/>
              </w:rPr>
              <w:t xml:space="preserve">из них Ишемическая болезнь сердца (далее - ИБС)</w:t>
            </w:r>
          </w:p>
        </w:tc>
        <w:tc>
          <w:tcPr>
            <w:tcW w:w="1527" w:type="dxa"/>
          </w:tcPr>
          <w:p>
            <w:pPr>
              <w:pStyle w:val="0"/>
            </w:pPr>
            <w:r>
              <w:rPr>
                <w:sz w:val="20"/>
              </w:rPr>
              <w:t xml:space="preserve">2303</w:t>
            </w:r>
          </w:p>
        </w:tc>
        <w:tc>
          <w:tcPr>
            <w:tcW w:w="1386" w:type="dxa"/>
          </w:tcPr>
          <w:p>
            <w:pPr>
              <w:pStyle w:val="0"/>
            </w:pPr>
            <w:r>
              <w:rPr>
                <w:sz w:val="20"/>
              </w:rPr>
              <w:t xml:space="preserve">2613</w:t>
            </w:r>
          </w:p>
        </w:tc>
        <w:tc>
          <w:tcPr>
            <w:tcW w:w="1134" w:type="dxa"/>
          </w:tcPr>
          <w:p>
            <w:pPr>
              <w:pStyle w:val="0"/>
            </w:pPr>
            <w:r>
              <w:rPr>
                <w:sz w:val="20"/>
              </w:rPr>
              <w:t xml:space="preserve">+310</w:t>
            </w:r>
          </w:p>
        </w:tc>
      </w:tr>
      <w:tr>
        <w:tc>
          <w:tcPr>
            <w:tcW w:w="4989" w:type="dxa"/>
          </w:tcPr>
          <w:p>
            <w:pPr>
              <w:pStyle w:val="0"/>
            </w:pPr>
            <w:r>
              <w:rPr>
                <w:sz w:val="20"/>
              </w:rPr>
              <w:t xml:space="preserve">из них: инфаркт миокарда (далее - также ИМ)</w:t>
            </w:r>
          </w:p>
        </w:tc>
        <w:tc>
          <w:tcPr>
            <w:tcW w:w="1527" w:type="dxa"/>
          </w:tcPr>
          <w:p>
            <w:pPr>
              <w:pStyle w:val="0"/>
            </w:pPr>
            <w:r>
              <w:rPr>
                <w:sz w:val="20"/>
              </w:rPr>
              <w:t xml:space="preserve">220</w:t>
            </w:r>
          </w:p>
        </w:tc>
        <w:tc>
          <w:tcPr>
            <w:tcW w:w="1386" w:type="dxa"/>
          </w:tcPr>
          <w:p>
            <w:pPr>
              <w:pStyle w:val="0"/>
            </w:pPr>
            <w:r>
              <w:rPr>
                <w:sz w:val="20"/>
              </w:rPr>
              <w:t xml:space="preserve">211</w:t>
            </w:r>
          </w:p>
        </w:tc>
        <w:tc>
          <w:tcPr>
            <w:tcW w:w="1134" w:type="dxa"/>
          </w:tcPr>
          <w:p>
            <w:pPr>
              <w:pStyle w:val="0"/>
            </w:pPr>
            <w:r>
              <w:rPr>
                <w:sz w:val="20"/>
              </w:rPr>
              <w:t xml:space="preserve">-9</w:t>
            </w:r>
          </w:p>
        </w:tc>
      </w:tr>
      <w:tr>
        <w:tc>
          <w:tcPr>
            <w:tcW w:w="4989" w:type="dxa"/>
          </w:tcPr>
          <w:p>
            <w:pPr>
              <w:pStyle w:val="0"/>
            </w:pPr>
            <w:r>
              <w:rPr>
                <w:sz w:val="20"/>
              </w:rPr>
              <w:t xml:space="preserve">Цереброваскулярные болезни (далее - также ЦВБ)</w:t>
            </w:r>
          </w:p>
        </w:tc>
        <w:tc>
          <w:tcPr>
            <w:tcW w:w="1527" w:type="dxa"/>
          </w:tcPr>
          <w:p>
            <w:pPr>
              <w:pStyle w:val="0"/>
            </w:pPr>
            <w:r>
              <w:rPr>
                <w:sz w:val="20"/>
              </w:rPr>
              <w:t xml:space="preserve">717</w:t>
            </w:r>
          </w:p>
        </w:tc>
        <w:tc>
          <w:tcPr>
            <w:tcW w:w="1386" w:type="dxa"/>
          </w:tcPr>
          <w:p>
            <w:pPr>
              <w:pStyle w:val="0"/>
            </w:pPr>
            <w:r>
              <w:rPr>
                <w:sz w:val="20"/>
              </w:rPr>
              <w:t xml:space="preserve">740</w:t>
            </w:r>
          </w:p>
        </w:tc>
        <w:tc>
          <w:tcPr>
            <w:tcW w:w="1134" w:type="dxa"/>
          </w:tcPr>
          <w:p>
            <w:pPr>
              <w:pStyle w:val="0"/>
            </w:pPr>
            <w:r>
              <w:rPr>
                <w:sz w:val="20"/>
              </w:rPr>
              <w:t xml:space="preserve">+23</w:t>
            </w:r>
          </w:p>
        </w:tc>
      </w:tr>
      <w:tr>
        <w:tc>
          <w:tcPr>
            <w:tcW w:w="4989" w:type="dxa"/>
          </w:tcPr>
          <w:p>
            <w:pPr>
              <w:pStyle w:val="0"/>
            </w:pPr>
            <w:r>
              <w:rPr>
                <w:sz w:val="20"/>
              </w:rPr>
              <w:t xml:space="preserve">из них: острое нарушение мозгового кровообращения</w:t>
            </w:r>
          </w:p>
        </w:tc>
        <w:tc>
          <w:tcPr>
            <w:tcW w:w="1527" w:type="dxa"/>
          </w:tcPr>
          <w:p>
            <w:pPr>
              <w:pStyle w:val="0"/>
            </w:pPr>
            <w:r>
              <w:rPr>
                <w:sz w:val="20"/>
              </w:rPr>
              <w:t xml:space="preserve">414</w:t>
            </w:r>
          </w:p>
        </w:tc>
        <w:tc>
          <w:tcPr>
            <w:tcW w:w="1386" w:type="dxa"/>
          </w:tcPr>
          <w:p>
            <w:pPr>
              <w:pStyle w:val="0"/>
            </w:pPr>
            <w:r>
              <w:rPr>
                <w:sz w:val="20"/>
              </w:rPr>
              <w:t xml:space="preserve">420</w:t>
            </w:r>
          </w:p>
        </w:tc>
        <w:tc>
          <w:tcPr>
            <w:tcW w:w="1134" w:type="dxa"/>
          </w:tcPr>
          <w:p>
            <w:pPr>
              <w:pStyle w:val="0"/>
            </w:pPr>
            <w:r>
              <w:rPr>
                <w:sz w:val="20"/>
              </w:rPr>
              <w:t xml:space="preserve">+6</w:t>
            </w:r>
          </w:p>
        </w:tc>
      </w:tr>
      <w:tr>
        <w:tc>
          <w:tcPr>
            <w:tcW w:w="4989" w:type="dxa"/>
          </w:tcPr>
          <w:p>
            <w:pPr>
              <w:pStyle w:val="0"/>
            </w:pPr>
            <w:r>
              <w:rPr>
                <w:sz w:val="20"/>
              </w:rPr>
              <w:t xml:space="preserve">Болезни органов дыхания</w:t>
            </w:r>
          </w:p>
        </w:tc>
        <w:tc>
          <w:tcPr>
            <w:tcW w:w="1527" w:type="dxa"/>
          </w:tcPr>
          <w:p>
            <w:pPr>
              <w:pStyle w:val="0"/>
            </w:pPr>
            <w:r>
              <w:rPr>
                <w:sz w:val="20"/>
              </w:rPr>
              <w:t xml:space="preserve">330</w:t>
            </w:r>
          </w:p>
        </w:tc>
        <w:tc>
          <w:tcPr>
            <w:tcW w:w="1386" w:type="dxa"/>
          </w:tcPr>
          <w:p>
            <w:pPr>
              <w:pStyle w:val="0"/>
            </w:pPr>
            <w:r>
              <w:rPr>
                <w:sz w:val="20"/>
              </w:rPr>
              <w:t xml:space="preserve">913</w:t>
            </w:r>
          </w:p>
        </w:tc>
        <w:tc>
          <w:tcPr>
            <w:tcW w:w="1134" w:type="dxa"/>
          </w:tcPr>
          <w:p>
            <w:pPr>
              <w:pStyle w:val="0"/>
            </w:pPr>
            <w:r>
              <w:rPr>
                <w:sz w:val="20"/>
              </w:rPr>
              <w:t xml:space="preserve">+583</w:t>
            </w:r>
          </w:p>
        </w:tc>
      </w:tr>
      <w:tr>
        <w:tc>
          <w:tcPr>
            <w:tcW w:w="4989" w:type="dxa"/>
          </w:tcPr>
          <w:p>
            <w:pPr>
              <w:pStyle w:val="0"/>
            </w:pPr>
            <w:r>
              <w:rPr>
                <w:sz w:val="20"/>
              </w:rPr>
              <w:t xml:space="preserve">из них: пневмония</w:t>
            </w:r>
          </w:p>
        </w:tc>
        <w:tc>
          <w:tcPr>
            <w:tcW w:w="1527" w:type="dxa"/>
          </w:tcPr>
          <w:p>
            <w:pPr>
              <w:pStyle w:val="0"/>
            </w:pPr>
            <w:r>
              <w:rPr>
                <w:sz w:val="20"/>
              </w:rPr>
              <w:t xml:space="preserve">123</w:t>
            </w:r>
          </w:p>
        </w:tc>
        <w:tc>
          <w:tcPr>
            <w:tcW w:w="1386" w:type="dxa"/>
          </w:tcPr>
          <w:p>
            <w:pPr>
              <w:pStyle w:val="0"/>
            </w:pPr>
            <w:r>
              <w:rPr>
                <w:sz w:val="20"/>
              </w:rPr>
              <w:t xml:space="preserve">709</w:t>
            </w:r>
          </w:p>
        </w:tc>
        <w:tc>
          <w:tcPr>
            <w:tcW w:w="1134" w:type="dxa"/>
          </w:tcPr>
          <w:p>
            <w:pPr>
              <w:pStyle w:val="0"/>
            </w:pPr>
            <w:r>
              <w:rPr>
                <w:sz w:val="20"/>
              </w:rPr>
              <w:t xml:space="preserve">+586</w:t>
            </w:r>
          </w:p>
        </w:tc>
      </w:tr>
      <w:tr>
        <w:tc>
          <w:tcPr>
            <w:tcW w:w="4989" w:type="dxa"/>
          </w:tcPr>
          <w:p>
            <w:pPr>
              <w:pStyle w:val="0"/>
            </w:pPr>
            <w:r>
              <w:rPr>
                <w:sz w:val="20"/>
              </w:rPr>
              <w:t xml:space="preserve">Болезни нервной системы</w:t>
            </w:r>
          </w:p>
        </w:tc>
        <w:tc>
          <w:tcPr>
            <w:tcW w:w="1527" w:type="dxa"/>
          </w:tcPr>
          <w:p>
            <w:pPr>
              <w:pStyle w:val="0"/>
            </w:pPr>
            <w:r>
              <w:rPr>
                <w:sz w:val="20"/>
              </w:rPr>
              <w:t xml:space="preserve">367</w:t>
            </w:r>
          </w:p>
        </w:tc>
        <w:tc>
          <w:tcPr>
            <w:tcW w:w="1386" w:type="dxa"/>
          </w:tcPr>
          <w:p>
            <w:pPr>
              <w:pStyle w:val="0"/>
            </w:pPr>
            <w:r>
              <w:rPr>
                <w:sz w:val="20"/>
              </w:rPr>
              <w:t xml:space="preserve">477</w:t>
            </w:r>
          </w:p>
        </w:tc>
        <w:tc>
          <w:tcPr>
            <w:tcW w:w="1134" w:type="dxa"/>
          </w:tcPr>
          <w:p>
            <w:pPr>
              <w:pStyle w:val="0"/>
            </w:pPr>
            <w:r>
              <w:rPr>
                <w:sz w:val="20"/>
              </w:rPr>
              <w:t xml:space="preserve">+110</w:t>
            </w:r>
          </w:p>
        </w:tc>
      </w:tr>
      <w:tr>
        <w:tc>
          <w:tcPr>
            <w:tcW w:w="4989" w:type="dxa"/>
          </w:tcPr>
          <w:p>
            <w:pPr>
              <w:pStyle w:val="0"/>
            </w:pPr>
            <w:r>
              <w:rPr>
                <w:sz w:val="20"/>
              </w:rPr>
              <w:t xml:space="preserve">Болезни эндокринной системы</w:t>
            </w:r>
          </w:p>
        </w:tc>
        <w:tc>
          <w:tcPr>
            <w:tcW w:w="1527" w:type="dxa"/>
          </w:tcPr>
          <w:p>
            <w:pPr>
              <w:pStyle w:val="0"/>
            </w:pPr>
            <w:r>
              <w:rPr>
                <w:sz w:val="20"/>
              </w:rPr>
              <w:t xml:space="preserve">387</w:t>
            </w:r>
          </w:p>
        </w:tc>
        <w:tc>
          <w:tcPr>
            <w:tcW w:w="1386" w:type="dxa"/>
          </w:tcPr>
          <w:p>
            <w:pPr>
              <w:pStyle w:val="0"/>
            </w:pPr>
            <w:r>
              <w:rPr>
                <w:sz w:val="20"/>
              </w:rPr>
              <w:t xml:space="preserve">456</w:t>
            </w:r>
          </w:p>
        </w:tc>
        <w:tc>
          <w:tcPr>
            <w:tcW w:w="1134" w:type="dxa"/>
          </w:tcPr>
          <w:p>
            <w:pPr>
              <w:pStyle w:val="0"/>
            </w:pPr>
            <w:r>
              <w:rPr>
                <w:sz w:val="20"/>
              </w:rPr>
              <w:t xml:space="preserve">+69</w:t>
            </w:r>
          </w:p>
        </w:tc>
      </w:tr>
      <w:tr>
        <w:tc>
          <w:tcPr>
            <w:tcW w:w="4989" w:type="dxa"/>
          </w:tcPr>
          <w:p>
            <w:pPr>
              <w:pStyle w:val="0"/>
            </w:pPr>
            <w:r>
              <w:rPr>
                <w:sz w:val="20"/>
              </w:rPr>
              <w:t xml:space="preserve">Болезни органов пищеварения</w:t>
            </w:r>
          </w:p>
        </w:tc>
        <w:tc>
          <w:tcPr>
            <w:tcW w:w="1527" w:type="dxa"/>
          </w:tcPr>
          <w:p>
            <w:pPr>
              <w:pStyle w:val="0"/>
            </w:pPr>
            <w:r>
              <w:rPr>
                <w:sz w:val="20"/>
              </w:rPr>
              <w:t xml:space="preserve">655</w:t>
            </w:r>
          </w:p>
        </w:tc>
        <w:tc>
          <w:tcPr>
            <w:tcW w:w="1386" w:type="dxa"/>
          </w:tcPr>
          <w:p>
            <w:pPr>
              <w:pStyle w:val="0"/>
            </w:pPr>
            <w:r>
              <w:rPr>
                <w:sz w:val="20"/>
              </w:rPr>
              <w:t xml:space="preserve">744</w:t>
            </w:r>
          </w:p>
        </w:tc>
        <w:tc>
          <w:tcPr>
            <w:tcW w:w="1134" w:type="dxa"/>
          </w:tcPr>
          <w:p>
            <w:pPr>
              <w:pStyle w:val="0"/>
            </w:pPr>
            <w:r>
              <w:rPr>
                <w:sz w:val="20"/>
              </w:rPr>
              <w:t xml:space="preserve">+89</w:t>
            </w:r>
          </w:p>
        </w:tc>
      </w:tr>
      <w:tr>
        <w:tc>
          <w:tcPr>
            <w:tcW w:w="4989" w:type="dxa"/>
          </w:tcPr>
          <w:p>
            <w:pPr>
              <w:pStyle w:val="0"/>
            </w:pPr>
            <w:r>
              <w:rPr>
                <w:sz w:val="20"/>
              </w:rPr>
              <w:t xml:space="preserve">Травмы, отравления (внешние причины)</w:t>
            </w:r>
          </w:p>
        </w:tc>
        <w:tc>
          <w:tcPr>
            <w:tcW w:w="1527" w:type="dxa"/>
          </w:tcPr>
          <w:p>
            <w:pPr>
              <w:pStyle w:val="0"/>
            </w:pPr>
            <w:r>
              <w:rPr>
                <w:sz w:val="20"/>
              </w:rPr>
              <w:t xml:space="preserve">1221</w:t>
            </w:r>
          </w:p>
        </w:tc>
        <w:tc>
          <w:tcPr>
            <w:tcW w:w="1386" w:type="dxa"/>
          </w:tcPr>
          <w:p>
            <w:pPr>
              <w:pStyle w:val="0"/>
            </w:pPr>
            <w:r>
              <w:rPr>
                <w:sz w:val="20"/>
              </w:rPr>
              <w:t xml:space="preserve">1231</w:t>
            </w:r>
          </w:p>
        </w:tc>
        <w:tc>
          <w:tcPr>
            <w:tcW w:w="1134" w:type="dxa"/>
          </w:tcPr>
          <w:p>
            <w:pPr>
              <w:pStyle w:val="0"/>
            </w:pPr>
            <w:r>
              <w:rPr>
                <w:sz w:val="20"/>
              </w:rPr>
              <w:t xml:space="preserve">+10</w:t>
            </w:r>
          </w:p>
        </w:tc>
      </w:tr>
      <w:tr>
        <w:tc>
          <w:tcPr>
            <w:tcW w:w="4989" w:type="dxa"/>
          </w:tcPr>
          <w:p>
            <w:pPr>
              <w:pStyle w:val="0"/>
            </w:pPr>
            <w:r>
              <w:rPr>
                <w:sz w:val="20"/>
              </w:rPr>
              <w:t xml:space="preserve">Новая коронавирусная инфекция, вызванная COVID-19</w:t>
            </w:r>
          </w:p>
        </w:tc>
        <w:tc>
          <w:tcPr>
            <w:tcW w:w="1527" w:type="dxa"/>
          </w:tcPr>
          <w:p>
            <w:pPr>
              <w:pStyle w:val="0"/>
            </w:pPr>
            <w:r>
              <w:rPr>
                <w:sz w:val="20"/>
              </w:rPr>
              <w:t xml:space="preserve">Х</w:t>
            </w:r>
          </w:p>
        </w:tc>
        <w:tc>
          <w:tcPr>
            <w:tcW w:w="1386" w:type="dxa"/>
          </w:tcPr>
          <w:p>
            <w:pPr>
              <w:pStyle w:val="0"/>
            </w:pPr>
            <w:r>
              <w:rPr>
                <w:sz w:val="20"/>
              </w:rPr>
              <w:t xml:space="preserve">850</w:t>
            </w:r>
          </w:p>
        </w:tc>
        <w:tc>
          <w:tcPr>
            <w:tcW w:w="1134" w:type="dxa"/>
          </w:tcPr>
          <w:p>
            <w:pPr>
              <w:pStyle w:val="0"/>
            </w:pPr>
            <w:r>
              <w:rPr>
                <w:sz w:val="20"/>
              </w:rPr>
              <w:t xml:space="preserve">+850</w:t>
            </w:r>
          </w:p>
        </w:tc>
      </w:tr>
      <w:tr>
        <w:tc>
          <w:tcPr>
            <w:tcW w:w="4989" w:type="dxa"/>
          </w:tcPr>
          <w:p>
            <w:pPr>
              <w:pStyle w:val="0"/>
            </w:pPr>
            <w:r>
              <w:rPr>
                <w:sz w:val="20"/>
              </w:rPr>
              <w:t xml:space="preserve">Итого</w:t>
            </w:r>
          </w:p>
        </w:tc>
        <w:tc>
          <w:tcPr>
            <w:tcW w:w="1527" w:type="dxa"/>
          </w:tcPr>
          <w:p>
            <w:pPr>
              <w:pStyle w:val="0"/>
            </w:pPr>
            <w:r>
              <w:rPr>
                <w:sz w:val="20"/>
              </w:rPr>
              <w:t xml:space="preserve">10112</w:t>
            </w:r>
          </w:p>
        </w:tc>
        <w:tc>
          <w:tcPr>
            <w:tcW w:w="1386" w:type="dxa"/>
          </w:tcPr>
          <w:p>
            <w:pPr>
              <w:pStyle w:val="0"/>
            </w:pPr>
            <w:r>
              <w:rPr>
                <w:sz w:val="20"/>
              </w:rPr>
              <w:t xml:space="preserve">12794</w:t>
            </w:r>
          </w:p>
        </w:tc>
        <w:tc>
          <w:tcPr>
            <w:tcW w:w="1134" w:type="dxa"/>
          </w:tcPr>
          <w:p>
            <w:pPr>
              <w:pStyle w:val="0"/>
            </w:pPr>
            <w:r>
              <w:rPr>
                <w:sz w:val="20"/>
              </w:rPr>
              <w:t xml:space="preserve">+2682</w:t>
            </w:r>
          </w:p>
        </w:tc>
      </w:tr>
    </w:tbl>
    <w:p>
      <w:pPr>
        <w:pStyle w:val="0"/>
        <w:ind w:firstLine="540"/>
        <w:jc w:val="both"/>
      </w:pPr>
      <w:r>
        <w:rPr>
          <w:sz w:val="20"/>
        </w:rPr>
      </w:r>
    </w:p>
    <w:p>
      <w:pPr>
        <w:pStyle w:val="0"/>
        <w:ind w:firstLine="540"/>
        <w:jc w:val="both"/>
      </w:pPr>
      <w:r>
        <w:rPr>
          <w:sz w:val="20"/>
        </w:rPr>
        <w:t xml:space="preserve">По итогам 2020 года, несмотря на неблагоприятную эпидемиологическую ситуацию, вызванной пандемией новой коронавирусной инфекции, вызванной COVID-19 года автономный округ по-прежнему входит в пятерку субъектов РФ с самым низким уровнем смертности от БСК.</w:t>
      </w:r>
    </w:p>
    <w:p>
      <w:pPr>
        <w:pStyle w:val="0"/>
        <w:spacing w:before="200" w:line-rule="auto"/>
        <w:ind w:firstLine="540"/>
        <w:jc w:val="both"/>
      </w:pPr>
      <w:r>
        <w:rPr>
          <w:sz w:val="20"/>
        </w:rPr>
        <w:t xml:space="preserve">По итогам 2020 года смертность от БСК в автономном округе составила 274,3 на 100 тыс. населения, что 2,4 раза ниже чем в Российской Федерации (далее - РФ) (648 на 100 тыс. населения).</w:t>
      </w:r>
    </w:p>
    <w:p>
      <w:pPr>
        <w:pStyle w:val="0"/>
        <w:spacing w:before="200" w:line-rule="auto"/>
        <w:ind w:firstLine="540"/>
        <w:jc w:val="both"/>
      </w:pPr>
      <w:r>
        <w:rPr>
          <w:sz w:val="20"/>
        </w:rPr>
        <w:t xml:space="preserve">Важно отметить, что стандартизованный показатель смертности от БСК в автономном округе - 398,8 на 100 тыс. населения, что лишь на 15% ниже аналогичного показателя по РФ.</w:t>
      </w:r>
    </w:p>
    <w:p>
      <w:pPr>
        <w:pStyle w:val="0"/>
        <w:spacing w:before="200" w:line-rule="auto"/>
        <w:ind w:firstLine="540"/>
        <w:jc w:val="both"/>
      </w:pPr>
      <w:r>
        <w:rPr>
          <w:sz w:val="20"/>
        </w:rPr>
        <w:t xml:space="preserve">В структуре смертности от болезней системы кровообращения за 2020 год в сравнении с 2019 годом отмечается увеличение числа умерших от ишемической болезни сердца на 390 человек и снижение числа умерших от инфаркта миокарда на 9 человек.</w:t>
      </w:r>
    </w:p>
    <w:p>
      <w:pPr>
        <w:pStyle w:val="0"/>
        <w:spacing w:before="200" w:line-rule="auto"/>
        <w:ind w:firstLine="540"/>
        <w:jc w:val="both"/>
      </w:pPr>
      <w:r>
        <w:rPr>
          <w:sz w:val="20"/>
        </w:rPr>
        <w:t xml:space="preserve">Сравнение динамики изменения показателей смертности населения от основных причин по автономному округу представлена на </w:t>
      </w:r>
      <w:hyperlink w:history="0" w:anchor="P22372" w:tooltip="Динамика смертности по основным нозологическим формам">
        <w:r>
          <w:rPr>
            <w:sz w:val="20"/>
            <w:color w:val="0000ff"/>
          </w:rPr>
          <w:t xml:space="preserve">рисунке 2</w:t>
        </w:r>
      </w:hyperlink>
      <w:r>
        <w:rPr>
          <w:sz w:val="20"/>
        </w:rPr>
        <w:t xml:space="preserve">, по муниципальным образованиям в </w:t>
      </w:r>
      <w:hyperlink w:history="0" w:anchor="P22380" w:tooltip="Показатели смертности от болезней системы кровообращения">
        <w:r>
          <w:rPr>
            <w:sz w:val="20"/>
            <w:color w:val="0000ff"/>
          </w:rPr>
          <w:t xml:space="preserve">таблице 5</w:t>
        </w:r>
      </w:hyperlink>
      <w:r>
        <w:rPr>
          <w:sz w:val="20"/>
        </w:rPr>
        <w:t xml:space="preserve">.</w:t>
      </w:r>
    </w:p>
    <w:p>
      <w:pPr>
        <w:pStyle w:val="0"/>
        <w:ind w:firstLine="540"/>
        <w:jc w:val="both"/>
      </w:pPr>
      <w:r>
        <w:rPr>
          <w:sz w:val="20"/>
        </w:rPr>
      </w:r>
    </w:p>
    <w:p>
      <w:pPr>
        <w:pStyle w:val="0"/>
        <w:outlineLvl w:val="3"/>
        <w:jc w:val="right"/>
      </w:pPr>
      <w:r>
        <w:rPr>
          <w:sz w:val="20"/>
        </w:rPr>
        <w:t xml:space="preserve">Рисунок 2</w:t>
      </w:r>
    </w:p>
    <w:p>
      <w:pPr>
        <w:pStyle w:val="0"/>
        <w:jc w:val="right"/>
      </w:pPr>
      <w:r>
        <w:rPr>
          <w:sz w:val="20"/>
        </w:rPr>
      </w:r>
    </w:p>
    <w:bookmarkStart w:id="22372" w:name="P22372"/>
    <w:bookmarkEnd w:id="22372"/>
    <w:p>
      <w:pPr>
        <w:pStyle w:val="2"/>
        <w:jc w:val="center"/>
      </w:pPr>
      <w:r>
        <w:rPr>
          <w:sz w:val="20"/>
        </w:rPr>
        <w:t xml:space="preserve">Динамика смертности по основным нозологическим формам</w:t>
      </w:r>
    </w:p>
    <w:p>
      <w:pPr>
        <w:pStyle w:val="2"/>
        <w:jc w:val="center"/>
      </w:pPr>
      <w:r>
        <w:rPr>
          <w:sz w:val="20"/>
        </w:rPr>
        <w:t xml:space="preserve">в автономном округе за 2018 - 2020 годы (на 100 тыс.</w:t>
      </w:r>
    </w:p>
    <w:p>
      <w:pPr>
        <w:pStyle w:val="2"/>
        <w:jc w:val="center"/>
      </w:pPr>
      <w:r>
        <w:rPr>
          <w:sz w:val="20"/>
        </w:rPr>
        <w:t xml:space="preserve">населения)</w:t>
      </w:r>
    </w:p>
    <w:p>
      <w:pPr>
        <w:pStyle w:val="0"/>
        <w:ind w:firstLine="540"/>
        <w:jc w:val="both"/>
      </w:pPr>
      <w:r>
        <w:rPr>
          <w:sz w:val="20"/>
        </w:rPr>
      </w:r>
    </w:p>
    <w:p>
      <w:pPr>
        <w:pStyle w:val="0"/>
        <w:jc w:val="center"/>
      </w:pPr>
      <w:r>
        <w:rPr>
          <w:position w:val="-183"/>
        </w:rPr>
        <w:drawing>
          <wp:inline distT="0" distB="0" distL="0" distR="0">
            <wp:extent cx="438848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4388485" cy="2456180"/>
                    </a:xfrm>
                    <a:prstGeom prst="rect">
                      <a:avLst/>
                    </a:prstGeom>
                    <a:noFill/>
                    <a:ln>
                      <a:noFill/>
                    </a:ln>
                  </pic:spPr>
                </pic:pic>
              </a:graphicData>
            </a:graphic>
          </wp:inline>
        </w:drawing>
      </w:r>
    </w:p>
    <w:p>
      <w:pPr>
        <w:pStyle w:val="0"/>
        <w:ind w:firstLine="540"/>
        <w:jc w:val="both"/>
      </w:pPr>
      <w:r>
        <w:rPr>
          <w:sz w:val="20"/>
        </w:rPr>
      </w:r>
    </w:p>
    <w:p>
      <w:pPr>
        <w:pStyle w:val="0"/>
        <w:outlineLvl w:val="3"/>
        <w:jc w:val="right"/>
      </w:pPr>
      <w:r>
        <w:rPr>
          <w:sz w:val="20"/>
        </w:rPr>
        <w:t xml:space="preserve">Таблица 5</w:t>
      </w:r>
    </w:p>
    <w:p>
      <w:pPr>
        <w:pStyle w:val="0"/>
        <w:jc w:val="right"/>
      </w:pPr>
      <w:r>
        <w:rPr>
          <w:sz w:val="20"/>
        </w:rPr>
      </w:r>
    </w:p>
    <w:bookmarkStart w:id="22380" w:name="P22380"/>
    <w:bookmarkEnd w:id="22380"/>
    <w:p>
      <w:pPr>
        <w:pStyle w:val="2"/>
        <w:jc w:val="center"/>
      </w:pPr>
      <w:r>
        <w:rPr>
          <w:sz w:val="20"/>
        </w:rPr>
        <w:t xml:space="preserve">Показатели смертности от болезней системы кровообращения</w:t>
      </w:r>
    </w:p>
    <w:p>
      <w:pPr>
        <w:pStyle w:val="2"/>
        <w:jc w:val="center"/>
      </w:pPr>
      <w:r>
        <w:rPr>
          <w:sz w:val="20"/>
        </w:rPr>
        <w:t xml:space="preserve">на 100 тыс. населения в разрезе муниципальных образований</w:t>
      </w:r>
    </w:p>
    <w:p>
      <w:pPr>
        <w:pStyle w:val="2"/>
        <w:jc w:val="center"/>
      </w:pPr>
      <w:r>
        <w:rPr>
          <w:sz w:val="20"/>
        </w:rPr>
        <w:t xml:space="preserve">за 2018 - 2020 годы (Медицинский информационно-аналитической</w:t>
      </w:r>
    </w:p>
    <w:p>
      <w:pPr>
        <w:pStyle w:val="2"/>
        <w:jc w:val="center"/>
      </w:pPr>
      <w:r>
        <w:rPr>
          <w:sz w:val="20"/>
        </w:rPr>
        <w:t xml:space="preserve">центр)</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850"/>
        <w:gridCol w:w="851"/>
        <w:gridCol w:w="850"/>
        <w:gridCol w:w="851"/>
        <w:gridCol w:w="710"/>
        <w:gridCol w:w="849"/>
        <w:gridCol w:w="994"/>
        <w:gridCol w:w="849"/>
      </w:tblGrid>
      <w:tr>
        <w:tc>
          <w:tcPr>
            <w:tcW w:w="2268" w:type="dxa"/>
            <w:vMerge w:val="restart"/>
          </w:tcPr>
          <w:p>
            <w:pPr>
              <w:pStyle w:val="0"/>
              <w:jc w:val="center"/>
            </w:pPr>
            <w:r>
              <w:rPr>
                <w:sz w:val="20"/>
              </w:rPr>
              <w:t xml:space="preserve">Наименование муниципальных районов, городских округов</w:t>
            </w:r>
          </w:p>
        </w:tc>
        <w:tc>
          <w:tcPr>
            <w:gridSpan w:val="2"/>
            <w:tcW w:w="1701" w:type="dxa"/>
          </w:tcPr>
          <w:p>
            <w:pPr>
              <w:pStyle w:val="0"/>
              <w:jc w:val="center"/>
            </w:pPr>
            <w:r>
              <w:rPr>
                <w:sz w:val="20"/>
              </w:rPr>
              <w:t xml:space="preserve">2018</w:t>
            </w:r>
          </w:p>
        </w:tc>
        <w:tc>
          <w:tcPr>
            <w:gridSpan w:val="2"/>
            <w:tcW w:w="1701" w:type="dxa"/>
          </w:tcPr>
          <w:p>
            <w:pPr>
              <w:pStyle w:val="0"/>
              <w:jc w:val="center"/>
            </w:pPr>
            <w:r>
              <w:rPr>
                <w:sz w:val="20"/>
              </w:rPr>
              <w:t xml:space="preserve">2019</w:t>
            </w:r>
          </w:p>
        </w:tc>
        <w:tc>
          <w:tcPr>
            <w:gridSpan w:val="2"/>
            <w:tcW w:w="1559" w:type="dxa"/>
          </w:tcPr>
          <w:p>
            <w:pPr>
              <w:pStyle w:val="0"/>
              <w:jc w:val="center"/>
            </w:pPr>
            <w:r>
              <w:rPr>
                <w:sz w:val="20"/>
              </w:rPr>
              <w:t xml:space="preserve">2020</w:t>
            </w:r>
          </w:p>
        </w:tc>
        <w:tc>
          <w:tcPr>
            <w:gridSpan w:val="2"/>
            <w:tcW w:w="1843" w:type="dxa"/>
          </w:tcPr>
          <w:p>
            <w:pPr>
              <w:pStyle w:val="0"/>
              <w:jc w:val="center"/>
            </w:pPr>
            <w:r>
              <w:rPr>
                <w:sz w:val="20"/>
              </w:rPr>
              <w:t xml:space="preserve">Динамика 2020/2018</w:t>
            </w:r>
          </w:p>
        </w:tc>
      </w:tr>
      <w:tr>
        <w:tc>
          <w:tcPr>
            <w:vMerge w:val="continue"/>
          </w:tcPr>
          <w:p/>
        </w:tc>
        <w:tc>
          <w:tcPr>
            <w:tcW w:w="850" w:type="dxa"/>
          </w:tcPr>
          <w:p>
            <w:pPr>
              <w:pStyle w:val="0"/>
              <w:jc w:val="center"/>
            </w:pPr>
            <w:r>
              <w:rPr>
                <w:sz w:val="20"/>
              </w:rPr>
              <w:t xml:space="preserve">абсолютный показатель</w:t>
            </w:r>
          </w:p>
        </w:tc>
        <w:tc>
          <w:tcPr>
            <w:tcW w:w="851" w:type="dxa"/>
          </w:tcPr>
          <w:p>
            <w:pPr>
              <w:pStyle w:val="0"/>
              <w:jc w:val="center"/>
            </w:pPr>
            <w:r>
              <w:rPr>
                <w:sz w:val="20"/>
              </w:rPr>
              <w:t xml:space="preserve">на 100 тыс. населения</w:t>
            </w:r>
          </w:p>
        </w:tc>
        <w:tc>
          <w:tcPr>
            <w:tcW w:w="850" w:type="dxa"/>
          </w:tcPr>
          <w:p>
            <w:pPr>
              <w:pStyle w:val="0"/>
              <w:jc w:val="center"/>
            </w:pPr>
            <w:r>
              <w:rPr>
                <w:sz w:val="20"/>
              </w:rPr>
              <w:t xml:space="preserve">абсолютный показатель</w:t>
            </w:r>
          </w:p>
        </w:tc>
        <w:tc>
          <w:tcPr>
            <w:tcW w:w="851" w:type="dxa"/>
          </w:tcPr>
          <w:p>
            <w:pPr>
              <w:pStyle w:val="0"/>
              <w:jc w:val="center"/>
            </w:pPr>
            <w:r>
              <w:rPr>
                <w:sz w:val="20"/>
              </w:rPr>
              <w:t xml:space="preserve">на 100 тыс. населения</w:t>
            </w:r>
          </w:p>
        </w:tc>
        <w:tc>
          <w:tcPr>
            <w:tcW w:w="710" w:type="dxa"/>
          </w:tcPr>
          <w:p>
            <w:pPr>
              <w:pStyle w:val="0"/>
              <w:jc w:val="center"/>
            </w:pPr>
            <w:r>
              <w:rPr>
                <w:sz w:val="20"/>
              </w:rPr>
              <w:t xml:space="preserve">абсолютный показатель</w:t>
            </w:r>
          </w:p>
        </w:tc>
        <w:tc>
          <w:tcPr>
            <w:tcW w:w="849" w:type="dxa"/>
          </w:tcPr>
          <w:p>
            <w:pPr>
              <w:pStyle w:val="0"/>
              <w:jc w:val="center"/>
            </w:pPr>
            <w:r>
              <w:rPr>
                <w:sz w:val="20"/>
              </w:rPr>
              <w:t xml:space="preserve">на 100 тыс. населения.</w:t>
            </w:r>
          </w:p>
        </w:tc>
        <w:tc>
          <w:tcPr>
            <w:tcW w:w="994" w:type="dxa"/>
          </w:tcPr>
          <w:p>
            <w:pPr>
              <w:pStyle w:val="0"/>
              <w:jc w:val="center"/>
            </w:pPr>
            <w:r>
              <w:rPr>
                <w:sz w:val="20"/>
              </w:rPr>
              <w:t xml:space="preserve">абсолютный показатель</w:t>
            </w:r>
          </w:p>
        </w:tc>
        <w:tc>
          <w:tcPr>
            <w:tcW w:w="849" w:type="dxa"/>
          </w:tcPr>
          <w:p>
            <w:pPr>
              <w:pStyle w:val="0"/>
              <w:jc w:val="center"/>
            </w:pPr>
            <w:r>
              <w:rPr>
                <w:sz w:val="20"/>
              </w:rPr>
              <w:t xml:space="preserve">%</w:t>
            </w:r>
          </w:p>
        </w:tc>
      </w:tr>
      <w:tr>
        <w:tc>
          <w:tcPr>
            <w:tcW w:w="2268" w:type="dxa"/>
          </w:tcPr>
          <w:p>
            <w:pPr>
              <w:pStyle w:val="0"/>
            </w:pPr>
            <w:r>
              <w:rPr>
                <w:sz w:val="20"/>
              </w:rPr>
              <w:t xml:space="preserve">муниципальные районы:</w:t>
            </w:r>
          </w:p>
        </w:tc>
        <w:tc>
          <w:tcPr>
            <w:tcW w:w="850" w:type="dxa"/>
          </w:tcPr>
          <w:p>
            <w:pPr>
              <w:pStyle w:val="0"/>
            </w:pPr>
            <w:r>
              <w:rPr>
                <w:sz w:val="20"/>
              </w:rPr>
            </w:r>
          </w:p>
        </w:tc>
        <w:tc>
          <w:tcPr>
            <w:tcW w:w="851" w:type="dxa"/>
          </w:tcPr>
          <w:p>
            <w:pPr>
              <w:pStyle w:val="0"/>
            </w:pPr>
            <w:r>
              <w:rPr>
                <w:sz w:val="20"/>
              </w:rPr>
            </w:r>
          </w:p>
        </w:tc>
        <w:tc>
          <w:tcPr>
            <w:tcW w:w="850" w:type="dxa"/>
          </w:tcPr>
          <w:p>
            <w:pPr>
              <w:pStyle w:val="0"/>
            </w:pPr>
            <w:r>
              <w:rPr>
                <w:sz w:val="20"/>
              </w:rPr>
            </w:r>
          </w:p>
        </w:tc>
        <w:tc>
          <w:tcPr>
            <w:tcW w:w="851" w:type="dxa"/>
          </w:tcPr>
          <w:p>
            <w:pPr>
              <w:pStyle w:val="0"/>
            </w:pPr>
            <w:r>
              <w:rPr>
                <w:sz w:val="20"/>
              </w:rPr>
            </w:r>
          </w:p>
        </w:tc>
        <w:tc>
          <w:tcPr>
            <w:tcW w:w="710" w:type="dxa"/>
          </w:tcPr>
          <w:p>
            <w:pPr>
              <w:pStyle w:val="0"/>
            </w:pPr>
            <w:r>
              <w:rPr>
                <w:sz w:val="20"/>
              </w:rPr>
            </w:r>
          </w:p>
        </w:tc>
        <w:tc>
          <w:tcPr>
            <w:tcW w:w="849" w:type="dxa"/>
          </w:tcPr>
          <w:p>
            <w:pPr>
              <w:pStyle w:val="0"/>
            </w:pPr>
            <w:r>
              <w:rPr>
                <w:sz w:val="20"/>
              </w:rPr>
            </w:r>
          </w:p>
        </w:tc>
        <w:tc>
          <w:tcPr>
            <w:tcW w:w="994" w:type="dxa"/>
          </w:tcPr>
          <w:p>
            <w:pPr>
              <w:pStyle w:val="0"/>
            </w:pPr>
            <w:r>
              <w:rPr>
                <w:sz w:val="20"/>
              </w:rPr>
            </w:r>
          </w:p>
        </w:tc>
        <w:tc>
          <w:tcPr>
            <w:tcW w:w="849" w:type="dxa"/>
          </w:tcPr>
          <w:p>
            <w:pPr>
              <w:pStyle w:val="0"/>
            </w:pPr>
            <w:r>
              <w:rPr>
                <w:sz w:val="20"/>
              </w:rPr>
            </w:r>
          </w:p>
        </w:tc>
      </w:tr>
      <w:tr>
        <w:tc>
          <w:tcPr>
            <w:tcW w:w="2268" w:type="dxa"/>
          </w:tcPr>
          <w:p>
            <w:pPr>
              <w:pStyle w:val="0"/>
            </w:pPr>
            <w:r>
              <w:rPr>
                <w:sz w:val="20"/>
              </w:rPr>
              <w:t xml:space="preserve">Белоярский</w:t>
            </w:r>
          </w:p>
        </w:tc>
        <w:tc>
          <w:tcPr>
            <w:tcW w:w="850" w:type="dxa"/>
          </w:tcPr>
          <w:p>
            <w:pPr>
              <w:pStyle w:val="0"/>
            </w:pPr>
            <w:r>
              <w:rPr>
                <w:sz w:val="20"/>
              </w:rPr>
              <w:t xml:space="preserve">100</w:t>
            </w:r>
          </w:p>
        </w:tc>
        <w:tc>
          <w:tcPr>
            <w:tcW w:w="851" w:type="dxa"/>
          </w:tcPr>
          <w:p>
            <w:pPr>
              <w:pStyle w:val="0"/>
            </w:pPr>
            <w:r>
              <w:rPr>
                <w:sz w:val="20"/>
              </w:rPr>
              <w:t xml:space="preserve">346,4</w:t>
            </w:r>
          </w:p>
        </w:tc>
        <w:tc>
          <w:tcPr>
            <w:tcW w:w="850" w:type="dxa"/>
          </w:tcPr>
          <w:p>
            <w:pPr>
              <w:pStyle w:val="0"/>
            </w:pPr>
            <w:r>
              <w:rPr>
                <w:sz w:val="20"/>
              </w:rPr>
              <w:t xml:space="preserve">63</w:t>
            </w:r>
          </w:p>
        </w:tc>
        <w:tc>
          <w:tcPr>
            <w:tcW w:w="851" w:type="dxa"/>
          </w:tcPr>
          <w:p>
            <w:pPr>
              <w:pStyle w:val="0"/>
            </w:pPr>
            <w:r>
              <w:rPr>
                <w:sz w:val="20"/>
              </w:rPr>
              <w:t xml:space="preserve">240,6</w:t>
            </w:r>
          </w:p>
        </w:tc>
        <w:tc>
          <w:tcPr>
            <w:tcW w:w="710" w:type="dxa"/>
          </w:tcPr>
          <w:p>
            <w:pPr>
              <w:pStyle w:val="0"/>
            </w:pPr>
            <w:r>
              <w:rPr>
                <w:sz w:val="20"/>
              </w:rPr>
              <w:t xml:space="preserve">94</w:t>
            </w:r>
          </w:p>
        </w:tc>
        <w:tc>
          <w:tcPr>
            <w:tcW w:w="849" w:type="dxa"/>
          </w:tcPr>
          <w:p>
            <w:pPr>
              <w:pStyle w:val="0"/>
            </w:pPr>
            <w:r>
              <w:rPr>
                <w:sz w:val="20"/>
              </w:rPr>
              <w:t xml:space="preserve">331</w:t>
            </w:r>
          </w:p>
        </w:tc>
        <w:tc>
          <w:tcPr>
            <w:tcW w:w="994" w:type="dxa"/>
          </w:tcPr>
          <w:p>
            <w:pPr>
              <w:pStyle w:val="0"/>
            </w:pPr>
            <w:r>
              <w:rPr>
                <w:sz w:val="20"/>
              </w:rPr>
              <w:t xml:space="preserve">-6</w:t>
            </w:r>
          </w:p>
        </w:tc>
        <w:tc>
          <w:tcPr>
            <w:tcW w:w="849" w:type="dxa"/>
          </w:tcPr>
          <w:p>
            <w:pPr>
              <w:pStyle w:val="0"/>
            </w:pPr>
            <w:r>
              <w:rPr>
                <w:sz w:val="20"/>
              </w:rPr>
              <w:t xml:space="preserve">-4,4</w:t>
            </w:r>
          </w:p>
        </w:tc>
      </w:tr>
      <w:tr>
        <w:tc>
          <w:tcPr>
            <w:tcW w:w="2268" w:type="dxa"/>
          </w:tcPr>
          <w:p>
            <w:pPr>
              <w:pStyle w:val="0"/>
            </w:pPr>
            <w:r>
              <w:rPr>
                <w:sz w:val="20"/>
              </w:rPr>
              <w:t xml:space="preserve">Березовский</w:t>
            </w:r>
          </w:p>
        </w:tc>
        <w:tc>
          <w:tcPr>
            <w:tcW w:w="850" w:type="dxa"/>
          </w:tcPr>
          <w:p>
            <w:pPr>
              <w:pStyle w:val="0"/>
            </w:pPr>
            <w:r>
              <w:rPr>
                <w:sz w:val="20"/>
              </w:rPr>
              <w:t xml:space="preserve">78</w:t>
            </w:r>
          </w:p>
        </w:tc>
        <w:tc>
          <w:tcPr>
            <w:tcW w:w="851" w:type="dxa"/>
          </w:tcPr>
          <w:p>
            <w:pPr>
              <w:pStyle w:val="0"/>
            </w:pPr>
            <w:r>
              <w:rPr>
                <w:sz w:val="20"/>
              </w:rPr>
              <w:t xml:space="preserve">342,0</w:t>
            </w:r>
          </w:p>
        </w:tc>
        <w:tc>
          <w:tcPr>
            <w:tcW w:w="850" w:type="dxa"/>
          </w:tcPr>
          <w:p>
            <w:pPr>
              <w:pStyle w:val="0"/>
            </w:pPr>
            <w:r>
              <w:rPr>
                <w:sz w:val="20"/>
              </w:rPr>
              <w:t xml:space="preserve">80</w:t>
            </w:r>
          </w:p>
        </w:tc>
        <w:tc>
          <w:tcPr>
            <w:tcW w:w="851" w:type="dxa"/>
          </w:tcPr>
          <w:p>
            <w:pPr>
              <w:pStyle w:val="0"/>
            </w:pPr>
            <w:r>
              <w:rPr>
                <w:sz w:val="20"/>
              </w:rPr>
              <w:t xml:space="preserve">383,2</w:t>
            </w:r>
          </w:p>
        </w:tc>
        <w:tc>
          <w:tcPr>
            <w:tcW w:w="710" w:type="dxa"/>
          </w:tcPr>
          <w:p>
            <w:pPr>
              <w:pStyle w:val="0"/>
            </w:pPr>
            <w:r>
              <w:rPr>
                <w:sz w:val="20"/>
              </w:rPr>
              <w:t xml:space="preserve">104</w:t>
            </w:r>
          </w:p>
        </w:tc>
        <w:tc>
          <w:tcPr>
            <w:tcW w:w="849" w:type="dxa"/>
          </w:tcPr>
          <w:p>
            <w:pPr>
              <w:pStyle w:val="0"/>
            </w:pPr>
            <w:r>
              <w:rPr>
                <w:sz w:val="20"/>
              </w:rPr>
              <w:t xml:space="preserve">469,2</w:t>
            </w:r>
          </w:p>
        </w:tc>
        <w:tc>
          <w:tcPr>
            <w:tcW w:w="994" w:type="dxa"/>
          </w:tcPr>
          <w:p>
            <w:pPr>
              <w:pStyle w:val="0"/>
            </w:pPr>
            <w:r>
              <w:rPr>
                <w:sz w:val="20"/>
              </w:rPr>
              <w:t xml:space="preserve">26</w:t>
            </w:r>
          </w:p>
        </w:tc>
        <w:tc>
          <w:tcPr>
            <w:tcW w:w="849" w:type="dxa"/>
          </w:tcPr>
          <w:p>
            <w:pPr>
              <w:pStyle w:val="0"/>
            </w:pPr>
            <w:r>
              <w:rPr>
                <w:sz w:val="20"/>
              </w:rPr>
              <w:t xml:space="preserve">37,2</w:t>
            </w:r>
          </w:p>
        </w:tc>
      </w:tr>
      <w:tr>
        <w:tc>
          <w:tcPr>
            <w:tcW w:w="2268" w:type="dxa"/>
          </w:tcPr>
          <w:p>
            <w:pPr>
              <w:pStyle w:val="0"/>
            </w:pPr>
            <w:r>
              <w:rPr>
                <w:sz w:val="20"/>
              </w:rPr>
              <w:t xml:space="preserve">Кондинский</w:t>
            </w:r>
          </w:p>
        </w:tc>
        <w:tc>
          <w:tcPr>
            <w:tcW w:w="850" w:type="dxa"/>
          </w:tcPr>
          <w:p>
            <w:pPr>
              <w:pStyle w:val="0"/>
            </w:pPr>
            <w:r>
              <w:rPr>
                <w:sz w:val="20"/>
              </w:rPr>
              <w:t xml:space="preserve">141</w:t>
            </w:r>
          </w:p>
        </w:tc>
        <w:tc>
          <w:tcPr>
            <w:tcW w:w="851" w:type="dxa"/>
          </w:tcPr>
          <w:p>
            <w:pPr>
              <w:pStyle w:val="0"/>
            </w:pPr>
            <w:r>
              <w:rPr>
                <w:sz w:val="20"/>
              </w:rPr>
              <w:t xml:space="preserve">453,1</w:t>
            </w:r>
          </w:p>
        </w:tc>
        <w:tc>
          <w:tcPr>
            <w:tcW w:w="850" w:type="dxa"/>
          </w:tcPr>
          <w:p>
            <w:pPr>
              <w:pStyle w:val="0"/>
            </w:pPr>
            <w:r>
              <w:rPr>
                <w:sz w:val="20"/>
              </w:rPr>
              <w:t xml:space="preserve">145</w:t>
            </w:r>
          </w:p>
        </w:tc>
        <w:tc>
          <w:tcPr>
            <w:tcW w:w="851" w:type="dxa"/>
          </w:tcPr>
          <w:p>
            <w:pPr>
              <w:pStyle w:val="0"/>
            </w:pPr>
            <w:r>
              <w:rPr>
                <w:sz w:val="20"/>
              </w:rPr>
              <w:t xml:space="preserve">489,0</w:t>
            </w:r>
          </w:p>
        </w:tc>
        <w:tc>
          <w:tcPr>
            <w:tcW w:w="710" w:type="dxa"/>
          </w:tcPr>
          <w:p>
            <w:pPr>
              <w:pStyle w:val="0"/>
            </w:pPr>
            <w:r>
              <w:rPr>
                <w:sz w:val="20"/>
              </w:rPr>
              <w:t xml:space="preserve">159</w:t>
            </w:r>
          </w:p>
        </w:tc>
        <w:tc>
          <w:tcPr>
            <w:tcW w:w="849" w:type="dxa"/>
          </w:tcPr>
          <w:p>
            <w:pPr>
              <w:pStyle w:val="0"/>
            </w:pPr>
            <w:r>
              <w:rPr>
                <w:sz w:val="20"/>
              </w:rPr>
              <w:t xml:space="preserve">516,9</w:t>
            </w:r>
          </w:p>
        </w:tc>
        <w:tc>
          <w:tcPr>
            <w:tcW w:w="994" w:type="dxa"/>
          </w:tcPr>
          <w:p>
            <w:pPr>
              <w:pStyle w:val="0"/>
            </w:pPr>
            <w:r>
              <w:rPr>
                <w:sz w:val="20"/>
              </w:rPr>
              <w:t xml:space="preserve">18</w:t>
            </w:r>
          </w:p>
        </w:tc>
        <w:tc>
          <w:tcPr>
            <w:tcW w:w="849" w:type="dxa"/>
          </w:tcPr>
          <w:p>
            <w:pPr>
              <w:pStyle w:val="0"/>
            </w:pPr>
            <w:r>
              <w:rPr>
                <w:sz w:val="20"/>
              </w:rPr>
              <w:t xml:space="preserve">14,1</w:t>
            </w:r>
          </w:p>
        </w:tc>
      </w:tr>
      <w:tr>
        <w:tc>
          <w:tcPr>
            <w:tcW w:w="2268" w:type="dxa"/>
          </w:tcPr>
          <w:p>
            <w:pPr>
              <w:pStyle w:val="0"/>
            </w:pPr>
            <w:r>
              <w:rPr>
                <w:sz w:val="20"/>
              </w:rPr>
              <w:t xml:space="preserve">Нефтеюганский</w:t>
            </w:r>
          </w:p>
        </w:tc>
        <w:tc>
          <w:tcPr>
            <w:tcW w:w="850" w:type="dxa"/>
          </w:tcPr>
          <w:p>
            <w:pPr>
              <w:pStyle w:val="0"/>
            </w:pPr>
            <w:r>
              <w:rPr>
                <w:sz w:val="20"/>
              </w:rPr>
              <w:t xml:space="preserve">94</w:t>
            </w:r>
          </w:p>
        </w:tc>
        <w:tc>
          <w:tcPr>
            <w:tcW w:w="851" w:type="dxa"/>
          </w:tcPr>
          <w:p>
            <w:pPr>
              <w:pStyle w:val="0"/>
            </w:pPr>
            <w:r>
              <w:rPr>
                <w:sz w:val="20"/>
              </w:rPr>
              <w:t xml:space="preserve">206,0</w:t>
            </w:r>
          </w:p>
        </w:tc>
        <w:tc>
          <w:tcPr>
            <w:tcW w:w="850" w:type="dxa"/>
          </w:tcPr>
          <w:p>
            <w:pPr>
              <w:pStyle w:val="0"/>
            </w:pPr>
            <w:r>
              <w:rPr>
                <w:sz w:val="20"/>
              </w:rPr>
              <w:t xml:space="preserve">74</w:t>
            </w:r>
          </w:p>
        </w:tc>
        <w:tc>
          <w:tcPr>
            <w:tcW w:w="851" w:type="dxa"/>
          </w:tcPr>
          <w:p>
            <w:pPr>
              <w:pStyle w:val="0"/>
            </w:pPr>
            <w:r>
              <w:rPr>
                <w:sz w:val="20"/>
              </w:rPr>
              <w:t xml:space="preserve">178,6</w:t>
            </w:r>
          </w:p>
        </w:tc>
        <w:tc>
          <w:tcPr>
            <w:tcW w:w="710" w:type="dxa"/>
          </w:tcPr>
          <w:p>
            <w:pPr>
              <w:pStyle w:val="0"/>
            </w:pPr>
            <w:r>
              <w:rPr>
                <w:sz w:val="20"/>
              </w:rPr>
              <w:t xml:space="preserve">104</w:t>
            </w:r>
          </w:p>
        </w:tc>
        <w:tc>
          <w:tcPr>
            <w:tcW w:w="849" w:type="dxa"/>
          </w:tcPr>
          <w:p>
            <w:pPr>
              <w:pStyle w:val="0"/>
            </w:pPr>
            <w:r>
              <w:rPr>
                <w:sz w:val="20"/>
              </w:rPr>
              <w:t xml:space="preserve">232,8</w:t>
            </w:r>
          </w:p>
        </w:tc>
        <w:tc>
          <w:tcPr>
            <w:tcW w:w="994" w:type="dxa"/>
          </w:tcPr>
          <w:p>
            <w:pPr>
              <w:pStyle w:val="0"/>
            </w:pPr>
            <w:r>
              <w:rPr>
                <w:sz w:val="20"/>
              </w:rPr>
              <w:t xml:space="preserve">10</w:t>
            </w:r>
          </w:p>
        </w:tc>
        <w:tc>
          <w:tcPr>
            <w:tcW w:w="849" w:type="dxa"/>
          </w:tcPr>
          <w:p>
            <w:pPr>
              <w:pStyle w:val="0"/>
            </w:pPr>
            <w:r>
              <w:rPr>
                <w:sz w:val="20"/>
              </w:rPr>
              <w:t xml:space="preserve">13,0</w:t>
            </w:r>
          </w:p>
        </w:tc>
      </w:tr>
      <w:tr>
        <w:tc>
          <w:tcPr>
            <w:tcW w:w="2268" w:type="dxa"/>
          </w:tcPr>
          <w:p>
            <w:pPr>
              <w:pStyle w:val="0"/>
            </w:pPr>
            <w:r>
              <w:rPr>
                <w:sz w:val="20"/>
              </w:rPr>
              <w:t xml:space="preserve">Нижневартовский</w:t>
            </w:r>
          </w:p>
        </w:tc>
        <w:tc>
          <w:tcPr>
            <w:tcW w:w="850" w:type="dxa"/>
          </w:tcPr>
          <w:p>
            <w:pPr>
              <w:pStyle w:val="0"/>
            </w:pPr>
            <w:r>
              <w:rPr>
                <w:sz w:val="20"/>
              </w:rPr>
              <w:t xml:space="preserve">83</w:t>
            </w:r>
          </w:p>
        </w:tc>
        <w:tc>
          <w:tcPr>
            <w:tcW w:w="851" w:type="dxa"/>
          </w:tcPr>
          <w:p>
            <w:pPr>
              <w:pStyle w:val="0"/>
            </w:pPr>
            <w:r>
              <w:rPr>
                <w:sz w:val="20"/>
              </w:rPr>
              <w:t xml:space="preserve">226,0</w:t>
            </w:r>
          </w:p>
        </w:tc>
        <w:tc>
          <w:tcPr>
            <w:tcW w:w="850" w:type="dxa"/>
          </w:tcPr>
          <w:p>
            <w:pPr>
              <w:pStyle w:val="0"/>
            </w:pPr>
            <w:r>
              <w:rPr>
                <w:sz w:val="20"/>
              </w:rPr>
              <w:t xml:space="preserve">47</w:t>
            </w:r>
          </w:p>
        </w:tc>
        <w:tc>
          <w:tcPr>
            <w:tcW w:w="851" w:type="dxa"/>
          </w:tcPr>
          <w:p>
            <w:pPr>
              <w:pStyle w:val="0"/>
            </w:pPr>
            <w:r>
              <w:rPr>
                <w:sz w:val="20"/>
              </w:rPr>
              <w:t xml:space="preserve">147,0</w:t>
            </w:r>
          </w:p>
        </w:tc>
        <w:tc>
          <w:tcPr>
            <w:tcW w:w="710" w:type="dxa"/>
          </w:tcPr>
          <w:p>
            <w:pPr>
              <w:pStyle w:val="0"/>
            </w:pPr>
            <w:r>
              <w:rPr>
                <w:sz w:val="20"/>
              </w:rPr>
              <w:t xml:space="preserve">54</w:t>
            </w:r>
          </w:p>
        </w:tc>
        <w:tc>
          <w:tcPr>
            <w:tcW w:w="849" w:type="dxa"/>
          </w:tcPr>
          <w:p>
            <w:pPr>
              <w:pStyle w:val="0"/>
            </w:pPr>
            <w:r>
              <w:rPr>
                <w:sz w:val="20"/>
              </w:rPr>
              <w:t xml:space="preserve">150</w:t>
            </w:r>
          </w:p>
        </w:tc>
        <w:tc>
          <w:tcPr>
            <w:tcW w:w="994" w:type="dxa"/>
          </w:tcPr>
          <w:p>
            <w:pPr>
              <w:pStyle w:val="0"/>
            </w:pPr>
            <w:r>
              <w:rPr>
                <w:sz w:val="20"/>
              </w:rPr>
              <w:t xml:space="preserve">-29</w:t>
            </w:r>
          </w:p>
        </w:tc>
        <w:tc>
          <w:tcPr>
            <w:tcW w:w="849" w:type="dxa"/>
          </w:tcPr>
          <w:p>
            <w:pPr>
              <w:pStyle w:val="0"/>
            </w:pPr>
            <w:r>
              <w:rPr>
                <w:sz w:val="20"/>
              </w:rPr>
              <w:t xml:space="preserve">-33,6</w:t>
            </w:r>
          </w:p>
        </w:tc>
      </w:tr>
      <w:tr>
        <w:tc>
          <w:tcPr>
            <w:tcW w:w="2268" w:type="dxa"/>
          </w:tcPr>
          <w:p>
            <w:pPr>
              <w:pStyle w:val="0"/>
            </w:pPr>
            <w:r>
              <w:rPr>
                <w:sz w:val="20"/>
              </w:rPr>
              <w:t xml:space="preserve">Октябрьский</w:t>
            </w:r>
          </w:p>
        </w:tc>
        <w:tc>
          <w:tcPr>
            <w:tcW w:w="850" w:type="dxa"/>
          </w:tcPr>
          <w:p>
            <w:pPr>
              <w:pStyle w:val="0"/>
            </w:pPr>
            <w:r>
              <w:rPr>
                <w:sz w:val="20"/>
              </w:rPr>
              <w:t xml:space="preserve">106</w:t>
            </w:r>
          </w:p>
        </w:tc>
        <w:tc>
          <w:tcPr>
            <w:tcW w:w="851" w:type="dxa"/>
          </w:tcPr>
          <w:p>
            <w:pPr>
              <w:pStyle w:val="0"/>
            </w:pPr>
            <w:r>
              <w:rPr>
                <w:sz w:val="20"/>
              </w:rPr>
              <w:t xml:space="preserve">430,7</w:t>
            </w:r>
          </w:p>
        </w:tc>
        <w:tc>
          <w:tcPr>
            <w:tcW w:w="850" w:type="dxa"/>
          </w:tcPr>
          <w:p>
            <w:pPr>
              <w:pStyle w:val="0"/>
            </w:pPr>
            <w:r>
              <w:rPr>
                <w:sz w:val="20"/>
              </w:rPr>
              <w:t xml:space="preserve">87</w:t>
            </w:r>
          </w:p>
        </w:tc>
        <w:tc>
          <w:tcPr>
            <w:tcW w:w="851" w:type="dxa"/>
          </w:tcPr>
          <w:p>
            <w:pPr>
              <w:pStyle w:val="0"/>
            </w:pPr>
            <w:r>
              <w:rPr>
                <w:sz w:val="20"/>
              </w:rPr>
              <w:t xml:space="preserve">326,8</w:t>
            </w:r>
          </w:p>
        </w:tc>
        <w:tc>
          <w:tcPr>
            <w:tcW w:w="710" w:type="dxa"/>
          </w:tcPr>
          <w:p>
            <w:pPr>
              <w:pStyle w:val="0"/>
            </w:pPr>
            <w:r>
              <w:rPr>
                <w:sz w:val="20"/>
              </w:rPr>
              <w:t xml:space="preserve">111</w:t>
            </w:r>
          </w:p>
        </w:tc>
        <w:tc>
          <w:tcPr>
            <w:tcW w:w="849" w:type="dxa"/>
          </w:tcPr>
          <w:p>
            <w:pPr>
              <w:pStyle w:val="0"/>
            </w:pPr>
            <w:r>
              <w:rPr>
                <w:sz w:val="20"/>
              </w:rPr>
              <w:t xml:space="preserve">393,7</w:t>
            </w:r>
          </w:p>
        </w:tc>
        <w:tc>
          <w:tcPr>
            <w:tcW w:w="994" w:type="dxa"/>
          </w:tcPr>
          <w:p>
            <w:pPr>
              <w:pStyle w:val="0"/>
            </w:pPr>
            <w:r>
              <w:rPr>
                <w:sz w:val="20"/>
              </w:rPr>
              <w:t xml:space="preserve">5</w:t>
            </w:r>
          </w:p>
        </w:tc>
        <w:tc>
          <w:tcPr>
            <w:tcW w:w="849" w:type="dxa"/>
          </w:tcPr>
          <w:p>
            <w:pPr>
              <w:pStyle w:val="0"/>
            </w:pPr>
            <w:r>
              <w:rPr>
                <w:sz w:val="20"/>
              </w:rPr>
              <w:t xml:space="preserve">-8,6</w:t>
            </w:r>
          </w:p>
        </w:tc>
      </w:tr>
      <w:tr>
        <w:tc>
          <w:tcPr>
            <w:tcW w:w="2268" w:type="dxa"/>
          </w:tcPr>
          <w:p>
            <w:pPr>
              <w:pStyle w:val="0"/>
            </w:pPr>
            <w:r>
              <w:rPr>
                <w:sz w:val="20"/>
              </w:rPr>
              <w:t xml:space="preserve">Советский</w:t>
            </w:r>
          </w:p>
        </w:tc>
        <w:tc>
          <w:tcPr>
            <w:tcW w:w="850" w:type="dxa"/>
          </w:tcPr>
          <w:p>
            <w:pPr>
              <w:pStyle w:val="0"/>
            </w:pPr>
            <w:r>
              <w:rPr>
                <w:sz w:val="20"/>
              </w:rPr>
              <w:t xml:space="preserve">217</w:t>
            </w:r>
          </w:p>
        </w:tc>
        <w:tc>
          <w:tcPr>
            <w:tcW w:w="851" w:type="dxa"/>
          </w:tcPr>
          <w:p>
            <w:pPr>
              <w:pStyle w:val="0"/>
            </w:pPr>
            <w:r>
              <w:rPr>
                <w:sz w:val="20"/>
              </w:rPr>
              <w:t xml:space="preserve">444,6</w:t>
            </w:r>
          </w:p>
        </w:tc>
        <w:tc>
          <w:tcPr>
            <w:tcW w:w="850" w:type="dxa"/>
          </w:tcPr>
          <w:p>
            <w:pPr>
              <w:pStyle w:val="0"/>
            </w:pPr>
            <w:r>
              <w:rPr>
                <w:sz w:val="20"/>
              </w:rPr>
              <w:t xml:space="preserve">179</w:t>
            </w:r>
          </w:p>
        </w:tc>
        <w:tc>
          <w:tcPr>
            <w:tcW w:w="851" w:type="dxa"/>
          </w:tcPr>
          <w:p>
            <w:pPr>
              <w:pStyle w:val="0"/>
            </w:pPr>
            <w:r>
              <w:rPr>
                <w:sz w:val="20"/>
              </w:rPr>
              <w:t xml:space="preserve">383,0</w:t>
            </w:r>
          </w:p>
        </w:tc>
        <w:tc>
          <w:tcPr>
            <w:tcW w:w="710" w:type="dxa"/>
          </w:tcPr>
          <w:p>
            <w:pPr>
              <w:pStyle w:val="0"/>
            </w:pPr>
            <w:r>
              <w:rPr>
                <w:sz w:val="20"/>
              </w:rPr>
              <w:t xml:space="preserve">165</w:t>
            </w:r>
          </w:p>
        </w:tc>
        <w:tc>
          <w:tcPr>
            <w:tcW w:w="849" w:type="dxa"/>
          </w:tcPr>
          <w:p>
            <w:pPr>
              <w:pStyle w:val="0"/>
            </w:pPr>
            <w:r>
              <w:rPr>
                <w:sz w:val="20"/>
              </w:rPr>
              <w:t xml:space="preserve">346,5</w:t>
            </w:r>
          </w:p>
        </w:tc>
        <w:tc>
          <w:tcPr>
            <w:tcW w:w="994" w:type="dxa"/>
          </w:tcPr>
          <w:p>
            <w:pPr>
              <w:pStyle w:val="0"/>
            </w:pPr>
            <w:r>
              <w:rPr>
                <w:sz w:val="20"/>
              </w:rPr>
              <w:t xml:space="preserve">-52</w:t>
            </w:r>
          </w:p>
        </w:tc>
        <w:tc>
          <w:tcPr>
            <w:tcW w:w="849" w:type="dxa"/>
          </w:tcPr>
          <w:p>
            <w:pPr>
              <w:pStyle w:val="0"/>
            </w:pPr>
            <w:r>
              <w:rPr>
                <w:sz w:val="20"/>
              </w:rPr>
              <w:t xml:space="preserve">-22,1</w:t>
            </w:r>
          </w:p>
        </w:tc>
      </w:tr>
      <w:tr>
        <w:tc>
          <w:tcPr>
            <w:tcW w:w="2268" w:type="dxa"/>
          </w:tcPr>
          <w:p>
            <w:pPr>
              <w:pStyle w:val="0"/>
            </w:pPr>
            <w:r>
              <w:rPr>
                <w:sz w:val="20"/>
              </w:rPr>
              <w:t xml:space="preserve">Сургутский</w:t>
            </w:r>
          </w:p>
        </w:tc>
        <w:tc>
          <w:tcPr>
            <w:tcW w:w="850" w:type="dxa"/>
          </w:tcPr>
          <w:p>
            <w:pPr>
              <w:pStyle w:val="0"/>
            </w:pPr>
            <w:r>
              <w:rPr>
                <w:sz w:val="20"/>
              </w:rPr>
              <w:t xml:space="preserve">215</w:t>
            </w:r>
          </w:p>
        </w:tc>
        <w:tc>
          <w:tcPr>
            <w:tcW w:w="851" w:type="dxa"/>
          </w:tcPr>
          <w:p>
            <w:pPr>
              <w:pStyle w:val="0"/>
            </w:pPr>
            <w:r>
              <w:rPr>
                <w:sz w:val="20"/>
              </w:rPr>
              <w:t xml:space="preserve">173,9</w:t>
            </w:r>
          </w:p>
        </w:tc>
        <w:tc>
          <w:tcPr>
            <w:tcW w:w="850" w:type="dxa"/>
          </w:tcPr>
          <w:p>
            <w:pPr>
              <w:pStyle w:val="0"/>
            </w:pPr>
            <w:r>
              <w:rPr>
                <w:sz w:val="20"/>
              </w:rPr>
              <w:t xml:space="preserve">175</w:t>
            </w:r>
          </w:p>
        </w:tc>
        <w:tc>
          <w:tcPr>
            <w:tcW w:w="851" w:type="dxa"/>
          </w:tcPr>
          <w:p>
            <w:pPr>
              <w:pStyle w:val="0"/>
            </w:pPr>
            <w:r>
              <w:rPr>
                <w:sz w:val="20"/>
              </w:rPr>
              <w:t xml:space="preserve">146,3</w:t>
            </w:r>
          </w:p>
        </w:tc>
        <w:tc>
          <w:tcPr>
            <w:tcW w:w="710" w:type="dxa"/>
          </w:tcPr>
          <w:p>
            <w:pPr>
              <w:pStyle w:val="0"/>
            </w:pPr>
            <w:r>
              <w:rPr>
                <w:sz w:val="20"/>
              </w:rPr>
              <w:t xml:space="preserve">171</w:t>
            </w:r>
          </w:p>
        </w:tc>
        <w:tc>
          <w:tcPr>
            <w:tcW w:w="849" w:type="dxa"/>
          </w:tcPr>
          <w:p>
            <w:pPr>
              <w:pStyle w:val="0"/>
            </w:pPr>
            <w:r>
              <w:rPr>
                <w:sz w:val="20"/>
              </w:rPr>
              <w:t xml:space="preserve">136</w:t>
            </w:r>
          </w:p>
        </w:tc>
        <w:tc>
          <w:tcPr>
            <w:tcW w:w="994" w:type="dxa"/>
          </w:tcPr>
          <w:p>
            <w:pPr>
              <w:pStyle w:val="0"/>
            </w:pPr>
            <w:r>
              <w:rPr>
                <w:sz w:val="20"/>
              </w:rPr>
              <w:t xml:space="preserve">-44</w:t>
            </w:r>
          </w:p>
        </w:tc>
        <w:tc>
          <w:tcPr>
            <w:tcW w:w="849" w:type="dxa"/>
          </w:tcPr>
          <w:p>
            <w:pPr>
              <w:pStyle w:val="0"/>
            </w:pPr>
            <w:r>
              <w:rPr>
                <w:sz w:val="20"/>
              </w:rPr>
              <w:t xml:space="preserve">-21,8</w:t>
            </w:r>
          </w:p>
        </w:tc>
      </w:tr>
      <w:tr>
        <w:tc>
          <w:tcPr>
            <w:tcW w:w="2268" w:type="dxa"/>
          </w:tcPr>
          <w:p>
            <w:pPr>
              <w:pStyle w:val="0"/>
            </w:pPr>
            <w:r>
              <w:rPr>
                <w:sz w:val="20"/>
              </w:rPr>
              <w:t xml:space="preserve">Ханты-Мансийский</w:t>
            </w:r>
          </w:p>
        </w:tc>
        <w:tc>
          <w:tcPr>
            <w:tcW w:w="850" w:type="dxa"/>
          </w:tcPr>
          <w:p>
            <w:pPr>
              <w:pStyle w:val="0"/>
            </w:pPr>
            <w:r>
              <w:rPr>
                <w:sz w:val="20"/>
              </w:rPr>
              <w:t xml:space="preserve">45</w:t>
            </w:r>
          </w:p>
        </w:tc>
        <w:tc>
          <w:tcPr>
            <w:tcW w:w="851" w:type="dxa"/>
          </w:tcPr>
          <w:p>
            <w:pPr>
              <w:pStyle w:val="0"/>
            </w:pPr>
            <w:r>
              <w:rPr>
                <w:sz w:val="20"/>
              </w:rPr>
              <w:t xml:space="preserve">226,6</w:t>
            </w:r>
          </w:p>
        </w:tc>
        <w:tc>
          <w:tcPr>
            <w:tcW w:w="850" w:type="dxa"/>
          </w:tcPr>
          <w:p>
            <w:pPr>
              <w:pStyle w:val="0"/>
            </w:pPr>
            <w:r>
              <w:rPr>
                <w:sz w:val="20"/>
              </w:rPr>
              <w:t xml:space="preserve">30</w:t>
            </w:r>
          </w:p>
        </w:tc>
        <w:tc>
          <w:tcPr>
            <w:tcW w:w="851" w:type="dxa"/>
          </w:tcPr>
          <w:p>
            <w:pPr>
              <w:pStyle w:val="0"/>
            </w:pPr>
            <w:r>
              <w:rPr>
                <w:sz w:val="20"/>
              </w:rPr>
              <w:t xml:space="preserve">179,8</w:t>
            </w:r>
          </w:p>
        </w:tc>
        <w:tc>
          <w:tcPr>
            <w:tcW w:w="710" w:type="dxa"/>
          </w:tcPr>
          <w:p>
            <w:pPr>
              <w:pStyle w:val="0"/>
            </w:pPr>
            <w:r>
              <w:rPr>
                <w:sz w:val="20"/>
              </w:rPr>
              <w:t xml:space="preserve">45</w:t>
            </w:r>
          </w:p>
        </w:tc>
        <w:tc>
          <w:tcPr>
            <w:tcW w:w="849" w:type="dxa"/>
          </w:tcPr>
          <w:p>
            <w:pPr>
              <w:pStyle w:val="0"/>
            </w:pPr>
            <w:r>
              <w:rPr>
                <w:sz w:val="20"/>
              </w:rPr>
              <w:t xml:space="preserve">227,2</w:t>
            </w:r>
          </w:p>
        </w:tc>
        <w:tc>
          <w:tcPr>
            <w:tcW w:w="994" w:type="dxa"/>
          </w:tcPr>
          <w:p>
            <w:pPr>
              <w:pStyle w:val="0"/>
            </w:pPr>
            <w:r>
              <w:rPr>
                <w:sz w:val="20"/>
              </w:rPr>
              <w:t xml:space="preserve">0</w:t>
            </w:r>
          </w:p>
        </w:tc>
        <w:tc>
          <w:tcPr>
            <w:tcW w:w="849" w:type="dxa"/>
          </w:tcPr>
          <w:p>
            <w:pPr>
              <w:pStyle w:val="0"/>
            </w:pPr>
            <w:r>
              <w:rPr>
                <w:sz w:val="20"/>
              </w:rPr>
              <w:t xml:space="preserve">0,3</w:t>
            </w:r>
          </w:p>
        </w:tc>
      </w:tr>
      <w:tr>
        <w:tc>
          <w:tcPr>
            <w:tcW w:w="2268" w:type="dxa"/>
          </w:tcPr>
          <w:p>
            <w:pPr>
              <w:pStyle w:val="0"/>
            </w:pPr>
            <w:r>
              <w:rPr>
                <w:sz w:val="20"/>
              </w:rPr>
              <w:t xml:space="preserve">городские округа:</w:t>
            </w:r>
          </w:p>
        </w:tc>
        <w:tc>
          <w:tcPr>
            <w:tcW w:w="850" w:type="dxa"/>
          </w:tcPr>
          <w:p>
            <w:pPr>
              <w:pStyle w:val="0"/>
            </w:pPr>
            <w:r>
              <w:rPr>
                <w:sz w:val="20"/>
              </w:rPr>
            </w:r>
          </w:p>
        </w:tc>
        <w:tc>
          <w:tcPr>
            <w:tcW w:w="851" w:type="dxa"/>
          </w:tcPr>
          <w:p>
            <w:pPr>
              <w:pStyle w:val="0"/>
            </w:pPr>
            <w:r>
              <w:rPr>
                <w:sz w:val="20"/>
              </w:rPr>
            </w:r>
          </w:p>
        </w:tc>
        <w:tc>
          <w:tcPr>
            <w:tcW w:w="850" w:type="dxa"/>
          </w:tcPr>
          <w:p>
            <w:pPr>
              <w:pStyle w:val="0"/>
            </w:pPr>
            <w:r>
              <w:rPr>
                <w:sz w:val="20"/>
              </w:rPr>
            </w:r>
          </w:p>
        </w:tc>
        <w:tc>
          <w:tcPr>
            <w:tcW w:w="851" w:type="dxa"/>
          </w:tcPr>
          <w:p>
            <w:pPr>
              <w:pStyle w:val="0"/>
            </w:pPr>
            <w:r>
              <w:rPr>
                <w:sz w:val="20"/>
              </w:rPr>
            </w:r>
          </w:p>
        </w:tc>
        <w:tc>
          <w:tcPr>
            <w:tcW w:w="710" w:type="dxa"/>
          </w:tcPr>
          <w:p>
            <w:pPr>
              <w:pStyle w:val="0"/>
            </w:pPr>
            <w:r>
              <w:rPr>
                <w:sz w:val="20"/>
              </w:rPr>
            </w:r>
          </w:p>
        </w:tc>
        <w:tc>
          <w:tcPr>
            <w:tcW w:w="849" w:type="dxa"/>
          </w:tcPr>
          <w:p>
            <w:pPr>
              <w:pStyle w:val="0"/>
            </w:pPr>
            <w:r>
              <w:rPr>
                <w:sz w:val="20"/>
              </w:rPr>
            </w:r>
          </w:p>
        </w:tc>
        <w:tc>
          <w:tcPr>
            <w:tcW w:w="994" w:type="dxa"/>
          </w:tcPr>
          <w:p>
            <w:pPr>
              <w:pStyle w:val="0"/>
            </w:pPr>
            <w:r>
              <w:rPr>
                <w:sz w:val="20"/>
              </w:rPr>
            </w:r>
          </w:p>
        </w:tc>
        <w:tc>
          <w:tcPr>
            <w:tcW w:w="849" w:type="dxa"/>
          </w:tcPr>
          <w:p>
            <w:pPr>
              <w:pStyle w:val="0"/>
            </w:pPr>
            <w:r>
              <w:rPr>
                <w:sz w:val="20"/>
              </w:rPr>
            </w:r>
          </w:p>
        </w:tc>
      </w:tr>
      <w:tr>
        <w:tc>
          <w:tcPr>
            <w:tcW w:w="2268" w:type="dxa"/>
          </w:tcPr>
          <w:p>
            <w:pPr>
              <w:pStyle w:val="0"/>
            </w:pPr>
            <w:r>
              <w:rPr>
                <w:sz w:val="20"/>
              </w:rPr>
              <w:t xml:space="preserve">Когалым</w:t>
            </w:r>
          </w:p>
        </w:tc>
        <w:tc>
          <w:tcPr>
            <w:tcW w:w="850" w:type="dxa"/>
          </w:tcPr>
          <w:p>
            <w:pPr>
              <w:pStyle w:val="0"/>
            </w:pPr>
            <w:r>
              <w:rPr>
                <w:sz w:val="20"/>
              </w:rPr>
              <w:t xml:space="preserve">124</w:t>
            </w:r>
          </w:p>
        </w:tc>
        <w:tc>
          <w:tcPr>
            <w:tcW w:w="851" w:type="dxa"/>
          </w:tcPr>
          <w:p>
            <w:pPr>
              <w:pStyle w:val="0"/>
            </w:pPr>
            <w:r>
              <w:rPr>
                <w:sz w:val="20"/>
              </w:rPr>
              <w:t xml:space="preserve">185,9</w:t>
            </w:r>
          </w:p>
        </w:tc>
        <w:tc>
          <w:tcPr>
            <w:tcW w:w="850" w:type="dxa"/>
          </w:tcPr>
          <w:p>
            <w:pPr>
              <w:pStyle w:val="0"/>
            </w:pPr>
            <w:r>
              <w:rPr>
                <w:sz w:val="20"/>
              </w:rPr>
              <w:t xml:space="preserve">113</w:t>
            </w:r>
          </w:p>
        </w:tc>
        <w:tc>
          <w:tcPr>
            <w:tcW w:w="851" w:type="dxa"/>
          </w:tcPr>
          <w:p>
            <w:pPr>
              <w:pStyle w:val="0"/>
            </w:pPr>
            <w:r>
              <w:rPr>
                <w:sz w:val="20"/>
              </w:rPr>
              <w:t xml:space="preserve">178,6</w:t>
            </w:r>
          </w:p>
        </w:tc>
        <w:tc>
          <w:tcPr>
            <w:tcW w:w="710" w:type="dxa"/>
          </w:tcPr>
          <w:p>
            <w:pPr>
              <w:pStyle w:val="0"/>
            </w:pPr>
            <w:r>
              <w:rPr>
                <w:sz w:val="20"/>
              </w:rPr>
              <w:t xml:space="preserve">140</w:t>
            </w:r>
          </w:p>
        </w:tc>
        <w:tc>
          <w:tcPr>
            <w:tcW w:w="849" w:type="dxa"/>
          </w:tcPr>
          <w:p>
            <w:pPr>
              <w:pStyle w:val="0"/>
            </w:pPr>
            <w:r>
              <w:rPr>
                <w:sz w:val="20"/>
              </w:rPr>
              <w:t xml:space="preserve">206,3</w:t>
            </w:r>
          </w:p>
        </w:tc>
        <w:tc>
          <w:tcPr>
            <w:tcW w:w="994" w:type="dxa"/>
          </w:tcPr>
          <w:p>
            <w:pPr>
              <w:pStyle w:val="0"/>
            </w:pPr>
            <w:r>
              <w:rPr>
                <w:sz w:val="20"/>
              </w:rPr>
              <w:t xml:space="preserve">16</w:t>
            </w:r>
          </w:p>
        </w:tc>
        <w:tc>
          <w:tcPr>
            <w:tcW w:w="849" w:type="dxa"/>
          </w:tcPr>
          <w:p>
            <w:pPr>
              <w:pStyle w:val="0"/>
            </w:pPr>
            <w:r>
              <w:rPr>
                <w:sz w:val="20"/>
              </w:rPr>
              <w:t xml:space="preserve">11,0</w:t>
            </w:r>
          </w:p>
        </w:tc>
      </w:tr>
      <w:tr>
        <w:tc>
          <w:tcPr>
            <w:tcW w:w="2268" w:type="dxa"/>
          </w:tcPr>
          <w:p>
            <w:pPr>
              <w:pStyle w:val="0"/>
            </w:pPr>
            <w:r>
              <w:rPr>
                <w:sz w:val="20"/>
              </w:rPr>
              <w:t xml:space="preserve">Лангепас</w:t>
            </w:r>
          </w:p>
        </w:tc>
        <w:tc>
          <w:tcPr>
            <w:tcW w:w="850" w:type="dxa"/>
          </w:tcPr>
          <w:p>
            <w:pPr>
              <w:pStyle w:val="0"/>
            </w:pPr>
            <w:r>
              <w:rPr>
                <w:sz w:val="20"/>
              </w:rPr>
              <w:t xml:space="preserve">59</w:t>
            </w:r>
          </w:p>
        </w:tc>
        <w:tc>
          <w:tcPr>
            <w:tcW w:w="851" w:type="dxa"/>
          </w:tcPr>
          <w:p>
            <w:pPr>
              <w:pStyle w:val="0"/>
            </w:pPr>
            <w:r>
              <w:rPr>
                <w:sz w:val="20"/>
              </w:rPr>
              <w:t xml:space="preserve">130,0</w:t>
            </w:r>
          </w:p>
        </w:tc>
        <w:tc>
          <w:tcPr>
            <w:tcW w:w="850" w:type="dxa"/>
          </w:tcPr>
          <w:p>
            <w:pPr>
              <w:pStyle w:val="0"/>
            </w:pPr>
            <w:r>
              <w:rPr>
                <w:sz w:val="20"/>
              </w:rPr>
              <w:t xml:space="preserve">52</w:t>
            </w:r>
          </w:p>
        </w:tc>
        <w:tc>
          <w:tcPr>
            <w:tcW w:w="851" w:type="dxa"/>
          </w:tcPr>
          <w:p>
            <w:pPr>
              <w:pStyle w:val="0"/>
            </w:pPr>
            <w:r>
              <w:rPr>
                <w:sz w:val="20"/>
              </w:rPr>
              <w:t xml:space="preserve">130,8</w:t>
            </w:r>
          </w:p>
        </w:tc>
        <w:tc>
          <w:tcPr>
            <w:tcW w:w="710" w:type="dxa"/>
          </w:tcPr>
          <w:p>
            <w:pPr>
              <w:pStyle w:val="0"/>
            </w:pPr>
            <w:r>
              <w:rPr>
                <w:sz w:val="20"/>
              </w:rPr>
              <w:t xml:space="preserve">80</w:t>
            </w:r>
          </w:p>
        </w:tc>
        <w:tc>
          <w:tcPr>
            <w:tcW w:w="849" w:type="dxa"/>
          </w:tcPr>
          <w:p>
            <w:pPr>
              <w:pStyle w:val="0"/>
            </w:pPr>
            <w:r>
              <w:rPr>
                <w:sz w:val="20"/>
              </w:rPr>
              <w:t xml:space="preserve">179,2</w:t>
            </w:r>
          </w:p>
        </w:tc>
        <w:tc>
          <w:tcPr>
            <w:tcW w:w="994" w:type="dxa"/>
          </w:tcPr>
          <w:p>
            <w:pPr>
              <w:pStyle w:val="0"/>
            </w:pPr>
            <w:r>
              <w:rPr>
                <w:sz w:val="20"/>
              </w:rPr>
              <w:t xml:space="preserve">21</w:t>
            </w:r>
          </w:p>
        </w:tc>
        <w:tc>
          <w:tcPr>
            <w:tcW w:w="849" w:type="dxa"/>
          </w:tcPr>
          <w:p>
            <w:pPr>
              <w:pStyle w:val="0"/>
            </w:pPr>
            <w:r>
              <w:rPr>
                <w:sz w:val="20"/>
              </w:rPr>
              <w:t xml:space="preserve">37,8</w:t>
            </w:r>
          </w:p>
        </w:tc>
      </w:tr>
      <w:tr>
        <w:tc>
          <w:tcPr>
            <w:tcW w:w="2268" w:type="dxa"/>
          </w:tcPr>
          <w:p>
            <w:pPr>
              <w:pStyle w:val="0"/>
            </w:pPr>
            <w:r>
              <w:rPr>
                <w:sz w:val="20"/>
              </w:rPr>
              <w:t xml:space="preserve">Мегион</w:t>
            </w:r>
          </w:p>
        </w:tc>
        <w:tc>
          <w:tcPr>
            <w:tcW w:w="850" w:type="dxa"/>
          </w:tcPr>
          <w:p>
            <w:pPr>
              <w:pStyle w:val="0"/>
            </w:pPr>
            <w:r>
              <w:rPr>
                <w:sz w:val="20"/>
              </w:rPr>
              <w:t xml:space="preserve">154</w:t>
            </w:r>
          </w:p>
        </w:tc>
        <w:tc>
          <w:tcPr>
            <w:tcW w:w="851" w:type="dxa"/>
          </w:tcPr>
          <w:p>
            <w:pPr>
              <w:pStyle w:val="0"/>
            </w:pPr>
            <w:r>
              <w:rPr>
                <w:sz w:val="20"/>
              </w:rPr>
              <w:t xml:space="preserve">280,2</w:t>
            </w:r>
          </w:p>
        </w:tc>
        <w:tc>
          <w:tcPr>
            <w:tcW w:w="850" w:type="dxa"/>
          </w:tcPr>
          <w:p>
            <w:pPr>
              <w:pStyle w:val="0"/>
            </w:pPr>
            <w:r>
              <w:rPr>
                <w:sz w:val="20"/>
              </w:rPr>
              <w:t xml:space="preserve">123</w:t>
            </w:r>
          </w:p>
        </w:tc>
        <w:tc>
          <w:tcPr>
            <w:tcW w:w="851" w:type="dxa"/>
          </w:tcPr>
          <w:p>
            <w:pPr>
              <w:pStyle w:val="0"/>
            </w:pPr>
            <w:r>
              <w:rPr>
                <w:sz w:val="20"/>
              </w:rPr>
              <w:t xml:space="preserve">237</w:t>
            </w:r>
          </w:p>
        </w:tc>
        <w:tc>
          <w:tcPr>
            <w:tcW w:w="710" w:type="dxa"/>
          </w:tcPr>
          <w:p>
            <w:pPr>
              <w:pStyle w:val="0"/>
            </w:pPr>
            <w:r>
              <w:rPr>
                <w:sz w:val="20"/>
              </w:rPr>
              <w:t xml:space="preserve">220</w:t>
            </w:r>
          </w:p>
        </w:tc>
        <w:tc>
          <w:tcPr>
            <w:tcW w:w="849" w:type="dxa"/>
          </w:tcPr>
          <w:p>
            <w:pPr>
              <w:pStyle w:val="0"/>
            </w:pPr>
            <w:r>
              <w:rPr>
                <w:sz w:val="20"/>
              </w:rPr>
              <w:t xml:space="preserve">411,6</w:t>
            </w:r>
          </w:p>
        </w:tc>
        <w:tc>
          <w:tcPr>
            <w:tcW w:w="994" w:type="dxa"/>
          </w:tcPr>
          <w:p>
            <w:pPr>
              <w:pStyle w:val="0"/>
            </w:pPr>
            <w:r>
              <w:rPr>
                <w:sz w:val="20"/>
              </w:rPr>
              <w:t xml:space="preserve">66</w:t>
            </w:r>
          </w:p>
        </w:tc>
        <w:tc>
          <w:tcPr>
            <w:tcW w:w="849" w:type="dxa"/>
          </w:tcPr>
          <w:p>
            <w:pPr>
              <w:pStyle w:val="0"/>
            </w:pPr>
            <w:r>
              <w:rPr>
                <w:sz w:val="20"/>
              </w:rPr>
              <w:t xml:space="preserve">46,9</w:t>
            </w:r>
          </w:p>
        </w:tc>
      </w:tr>
      <w:tr>
        <w:tc>
          <w:tcPr>
            <w:tcW w:w="2268" w:type="dxa"/>
          </w:tcPr>
          <w:p>
            <w:pPr>
              <w:pStyle w:val="0"/>
            </w:pPr>
            <w:r>
              <w:rPr>
                <w:sz w:val="20"/>
              </w:rPr>
              <w:t xml:space="preserve">Нягань</w:t>
            </w:r>
          </w:p>
        </w:tc>
        <w:tc>
          <w:tcPr>
            <w:tcW w:w="850" w:type="dxa"/>
          </w:tcPr>
          <w:p>
            <w:pPr>
              <w:pStyle w:val="0"/>
            </w:pPr>
            <w:r>
              <w:rPr>
                <w:sz w:val="20"/>
              </w:rPr>
              <w:t xml:space="preserve">146</w:t>
            </w:r>
          </w:p>
        </w:tc>
        <w:tc>
          <w:tcPr>
            <w:tcW w:w="851" w:type="dxa"/>
          </w:tcPr>
          <w:p>
            <w:pPr>
              <w:pStyle w:val="0"/>
            </w:pPr>
            <w:r>
              <w:rPr>
                <w:sz w:val="20"/>
              </w:rPr>
              <w:t xml:space="preserve">236,4</w:t>
            </w:r>
          </w:p>
        </w:tc>
        <w:tc>
          <w:tcPr>
            <w:tcW w:w="850" w:type="dxa"/>
          </w:tcPr>
          <w:p>
            <w:pPr>
              <w:pStyle w:val="0"/>
            </w:pPr>
            <w:r>
              <w:rPr>
                <w:sz w:val="20"/>
              </w:rPr>
              <w:t xml:space="preserve">148</w:t>
            </w:r>
          </w:p>
        </w:tc>
        <w:tc>
          <w:tcPr>
            <w:tcW w:w="851" w:type="dxa"/>
          </w:tcPr>
          <w:p>
            <w:pPr>
              <w:pStyle w:val="0"/>
            </w:pPr>
            <w:r>
              <w:rPr>
                <w:sz w:val="20"/>
              </w:rPr>
              <w:t xml:space="preserve">264,3</w:t>
            </w:r>
          </w:p>
        </w:tc>
        <w:tc>
          <w:tcPr>
            <w:tcW w:w="710" w:type="dxa"/>
          </w:tcPr>
          <w:p>
            <w:pPr>
              <w:pStyle w:val="0"/>
            </w:pPr>
            <w:r>
              <w:rPr>
                <w:sz w:val="20"/>
              </w:rPr>
              <w:t xml:space="preserve">149</w:t>
            </w:r>
          </w:p>
        </w:tc>
        <w:tc>
          <w:tcPr>
            <w:tcW w:w="849" w:type="dxa"/>
          </w:tcPr>
          <w:p>
            <w:pPr>
              <w:pStyle w:val="0"/>
            </w:pPr>
            <w:r>
              <w:rPr>
                <w:sz w:val="20"/>
              </w:rPr>
              <w:t xml:space="preserve">254,4</w:t>
            </w:r>
          </w:p>
        </w:tc>
        <w:tc>
          <w:tcPr>
            <w:tcW w:w="994" w:type="dxa"/>
          </w:tcPr>
          <w:p>
            <w:pPr>
              <w:pStyle w:val="0"/>
            </w:pPr>
            <w:r>
              <w:rPr>
                <w:sz w:val="20"/>
              </w:rPr>
              <w:t xml:space="preserve">3</w:t>
            </w:r>
          </w:p>
        </w:tc>
        <w:tc>
          <w:tcPr>
            <w:tcW w:w="849" w:type="dxa"/>
          </w:tcPr>
          <w:p>
            <w:pPr>
              <w:pStyle w:val="0"/>
            </w:pPr>
            <w:r>
              <w:rPr>
                <w:sz w:val="20"/>
              </w:rPr>
              <w:t xml:space="preserve">7,6</w:t>
            </w:r>
          </w:p>
        </w:tc>
      </w:tr>
      <w:tr>
        <w:tc>
          <w:tcPr>
            <w:tcW w:w="2268" w:type="dxa"/>
          </w:tcPr>
          <w:p>
            <w:pPr>
              <w:pStyle w:val="0"/>
            </w:pPr>
            <w:r>
              <w:rPr>
                <w:sz w:val="20"/>
              </w:rPr>
              <w:t xml:space="preserve">Покачи</w:t>
            </w:r>
          </w:p>
        </w:tc>
        <w:tc>
          <w:tcPr>
            <w:tcW w:w="850" w:type="dxa"/>
          </w:tcPr>
          <w:p>
            <w:pPr>
              <w:pStyle w:val="0"/>
            </w:pPr>
            <w:r>
              <w:rPr>
                <w:sz w:val="20"/>
              </w:rPr>
              <w:t xml:space="preserve">13</w:t>
            </w:r>
          </w:p>
        </w:tc>
        <w:tc>
          <w:tcPr>
            <w:tcW w:w="851" w:type="dxa"/>
          </w:tcPr>
          <w:p>
            <w:pPr>
              <w:pStyle w:val="0"/>
            </w:pPr>
            <w:r>
              <w:rPr>
                <w:sz w:val="20"/>
              </w:rPr>
              <w:t xml:space="preserve">72,7</w:t>
            </w:r>
          </w:p>
        </w:tc>
        <w:tc>
          <w:tcPr>
            <w:tcW w:w="850" w:type="dxa"/>
          </w:tcPr>
          <w:p>
            <w:pPr>
              <w:pStyle w:val="0"/>
            </w:pPr>
            <w:r>
              <w:rPr>
                <w:sz w:val="20"/>
              </w:rPr>
              <w:t xml:space="preserve">20</w:t>
            </w:r>
          </w:p>
        </w:tc>
        <w:tc>
          <w:tcPr>
            <w:tcW w:w="851" w:type="dxa"/>
          </w:tcPr>
          <w:p>
            <w:pPr>
              <w:pStyle w:val="0"/>
            </w:pPr>
            <w:r>
              <w:rPr>
                <w:sz w:val="20"/>
              </w:rPr>
              <w:t xml:space="preserve">111,5</w:t>
            </w:r>
          </w:p>
        </w:tc>
        <w:tc>
          <w:tcPr>
            <w:tcW w:w="710" w:type="dxa"/>
          </w:tcPr>
          <w:p>
            <w:pPr>
              <w:pStyle w:val="0"/>
            </w:pPr>
            <w:r>
              <w:rPr>
                <w:sz w:val="20"/>
              </w:rPr>
              <w:t xml:space="preserve">27</w:t>
            </w:r>
          </w:p>
        </w:tc>
        <w:tc>
          <w:tcPr>
            <w:tcW w:w="849" w:type="dxa"/>
          </w:tcPr>
          <w:p>
            <w:pPr>
              <w:pStyle w:val="0"/>
            </w:pPr>
            <w:r>
              <w:rPr>
                <w:sz w:val="20"/>
              </w:rPr>
              <w:t xml:space="preserve">149,4</w:t>
            </w:r>
          </w:p>
        </w:tc>
        <w:tc>
          <w:tcPr>
            <w:tcW w:w="994" w:type="dxa"/>
          </w:tcPr>
          <w:p>
            <w:pPr>
              <w:pStyle w:val="0"/>
            </w:pPr>
            <w:r>
              <w:rPr>
                <w:sz w:val="20"/>
              </w:rPr>
              <w:t xml:space="preserve">14</w:t>
            </w:r>
          </w:p>
        </w:tc>
        <w:tc>
          <w:tcPr>
            <w:tcW w:w="849" w:type="dxa"/>
          </w:tcPr>
          <w:p>
            <w:pPr>
              <w:pStyle w:val="0"/>
            </w:pPr>
            <w:r>
              <w:rPr>
                <w:sz w:val="20"/>
              </w:rPr>
              <w:t xml:space="preserve">105,5</w:t>
            </w:r>
          </w:p>
        </w:tc>
      </w:tr>
      <w:tr>
        <w:tc>
          <w:tcPr>
            <w:tcW w:w="2268" w:type="dxa"/>
          </w:tcPr>
          <w:p>
            <w:pPr>
              <w:pStyle w:val="0"/>
            </w:pPr>
            <w:r>
              <w:rPr>
                <w:sz w:val="20"/>
              </w:rPr>
              <w:t xml:space="preserve">Пыть-Ях</w:t>
            </w:r>
          </w:p>
        </w:tc>
        <w:tc>
          <w:tcPr>
            <w:tcW w:w="850" w:type="dxa"/>
          </w:tcPr>
          <w:p>
            <w:pPr>
              <w:pStyle w:val="0"/>
            </w:pPr>
            <w:r>
              <w:rPr>
                <w:sz w:val="20"/>
              </w:rPr>
              <w:t xml:space="preserve">95</w:t>
            </w:r>
          </w:p>
        </w:tc>
        <w:tc>
          <w:tcPr>
            <w:tcW w:w="851" w:type="dxa"/>
          </w:tcPr>
          <w:p>
            <w:pPr>
              <w:pStyle w:val="0"/>
            </w:pPr>
            <w:r>
              <w:rPr>
                <w:sz w:val="20"/>
              </w:rPr>
              <w:t xml:space="preserve">231,8</w:t>
            </w:r>
          </w:p>
        </w:tc>
        <w:tc>
          <w:tcPr>
            <w:tcW w:w="850" w:type="dxa"/>
          </w:tcPr>
          <w:p>
            <w:pPr>
              <w:pStyle w:val="0"/>
            </w:pPr>
            <w:r>
              <w:rPr>
                <w:sz w:val="20"/>
              </w:rPr>
              <w:t xml:space="preserve">87</w:t>
            </w:r>
          </w:p>
        </w:tc>
        <w:tc>
          <w:tcPr>
            <w:tcW w:w="851" w:type="dxa"/>
          </w:tcPr>
          <w:p>
            <w:pPr>
              <w:pStyle w:val="0"/>
            </w:pPr>
            <w:r>
              <w:rPr>
                <w:sz w:val="20"/>
              </w:rPr>
              <w:t xml:space="preserve">232,1</w:t>
            </w:r>
          </w:p>
        </w:tc>
        <w:tc>
          <w:tcPr>
            <w:tcW w:w="710" w:type="dxa"/>
          </w:tcPr>
          <w:p>
            <w:pPr>
              <w:pStyle w:val="0"/>
            </w:pPr>
            <w:r>
              <w:rPr>
                <w:sz w:val="20"/>
              </w:rPr>
              <w:t xml:space="preserve">123</w:t>
            </w:r>
          </w:p>
        </w:tc>
        <w:tc>
          <w:tcPr>
            <w:tcW w:w="849" w:type="dxa"/>
          </w:tcPr>
          <w:p>
            <w:pPr>
              <w:pStyle w:val="0"/>
            </w:pPr>
            <w:r>
              <w:rPr>
                <w:sz w:val="20"/>
              </w:rPr>
              <w:t xml:space="preserve">310,8</w:t>
            </w:r>
          </w:p>
        </w:tc>
        <w:tc>
          <w:tcPr>
            <w:tcW w:w="994" w:type="dxa"/>
          </w:tcPr>
          <w:p>
            <w:pPr>
              <w:pStyle w:val="0"/>
            </w:pPr>
            <w:r>
              <w:rPr>
                <w:sz w:val="20"/>
              </w:rPr>
              <w:t xml:space="preserve">28</w:t>
            </w:r>
          </w:p>
        </w:tc>
        <w:tc>
          <w:tcPr>
            <w:tcW w:w="849" w:type="dxa"/>
          </w:tcPr>
          <w:p>
            <w:pPr>
              <w:pStyle w:val="0"/>
            </w:pPr>
            <w:r>
              <w:rPr>
                <w:sz w:val="20"/>
              </w:rPr>
              <w:t xml:space="preserve">34,1</w:t>
            </w:r>
          </w:p>
        </w:tc>
      </w:tr>
      <w:tr>
        <w:tc>
          <w:tcPr>
            <w:tcW w:w="2268" w:type="dxa"/>
          </w:tcPr>
          <w:p>
            <w:pPr>
              <w:pStyle w:val="0"/>
            </w:pPr>
            <w:r>
              <w:rPr>
                <w:sz w:val="20"/>
              </w:rPr>
              <w:t xml:space="preserve">Радужный</w:t>
            </w:r>
          </w:p>
        </w:tc>
        <w:tc>
          <w:tcPr>
            <w:tcW w:w="850" w:type="dxa"/>
          </w:tcPr>
          <w:p>
            <w:pPr>
              <w:pStyle w:val="0"/>
            </w:pPr>
            <w:r>
              <w:rPr>
                <w:sz w:val="20"/>
              </w:rPr>
              <w:t xml:space="preserve">90</w:t>
            </w:r>
          </w:p>
        </w:tc>
        <w:tc>
          <w:tcPr>
            <w:tcW w:w="851" w:type="dxa"/>
          </w:tcPr>
          <w:p>
            <w:pPr>
              <w:pStyle w:val="0"/>
            </w:pPr>
            <w:r>
              <w:rPr>
                <w:sz w:val="20"/>
              </w:rPr>
              <w:t xml:space="preserve">207,8</w:t>
            </w:r>
          </w:p>
        </w:tc>
        <w:tc>
          <w:tcPr>
            <w:tcW w:w="850" w:type="dxa"/>
          </w:tcPr>
          <w:p>
            <w:pPr>
              <w:pStyle w:val="0"/>
            </w:pPr>
            <w:r>
              <w:rPr>
                <w:sz w:val="20"/>
              </w:rPr>
              <w:t xml:space="preserve">76</w:t>
            </w:r>
          </w:p>
        </w:tc>
        <w:tc>
          <w:tcPr>
            <w:tcW w:w="851" w:type="dxa"/>
          </w:tcPr>
          <w:p>
            <w:pPr>
              <w:pStyle w:val="0"/>
            </w:pPr>
            <w:r>
              <w:rPr>
                <w:sz w:val="20"/>
              </w:rPr>
              <w:t xml:space="preserve">188,0</w:t>
            </w:r>
          </w:p>
        </w:tc>
        <w:tc>
          <w:tcPr>
            <w:tcW w:w="710" w:type="dxa"/>
          </w:tcPr>
          <w:p>
            <w:pPr>
              <w:pStyle w:val="0"/>
            </w:pPr>
            <w:r>
              <w:rPr>
                <w:sz w:val="20"/>
              </w:rPr>
              <w:t xml:space="preserve">98</w:t>
            </w:r>
          </w:p>
        </w:tc>
        <w:tc>
          <w:tcPr>
            <w:tcW w:w="849" w:type="dxa"/>
          </w:tcPr>
          <w:p>
            <w:pPr>
              <w:pStyle w:val="0"/>
            </w:pPr>
            <w:r>
              <w:rPr>
                <w:sz w:val="20"/>
              </w:rPr>
              <w:t xml:space="preserve">224,4</w:t>
            </w:r>
          </w:p>
        </w:tc>
        <w:tc>
          <w:tcPr>
            <w:tcW w:w="994" w:type="dxa"/>
          </w:tcPr>
          <w:p>
            <w:pPr>
              <w:pStyle w:val="0"/>
            </w:pPr>
            <w:r>
              <w:rPr>
                <w:sz w:val="20"/>
              </w:rPr>
              <w:t xml:space="preserve">8</w:t>
            </w:r>
          </w:p>
        </w:tc>
        <w:tc>
          <w:tcPr>
            <w:tcW w:w="849" w:type="dxa"/>
          </w:tcPr>
          <w:p>
            <w:pPr>
              <w:pStyle w:val="0"/>
            </w:pPr>
            <w:r>
              <w:rPr>
                <w:sz w:val="20"/>
              </w:rPr>
              <w:t xml:space="preserve">8,0</w:t>
            </w:r>
          </w:p>
        </w:tc>
      </w:tr>
      <w:tr>
        <w:tc>
          <w:tcPr>
            <w:tcW w:w="2268" w:type="dxa"/>
          </w:tcPr>
          <w:p>
            <w:pPr>
              <w:pStyle w:val="0"/>
            </w:pPr>
            <w:r>
              <w:rPr>
                <w:sz w:val="20"/>
              </w:rPr>
              <w:t xml:space="preserve">Урай</w:t>
            </w:r>
          </w:p>
        </w:tc>
        <w:tc>
          <w:tcPr>
            <w:tcW w:w="850" w:type="dxa"/>
          </w:tcPr>
          <w:p>
            <w:pPr>
              <w:pStyle w:val="0"/>
            </w:pPr>
            <w:r>
              <w:rPr>
                <w:sz w:val="20"/>
              </w:rPr>
              <w:t xml:space="preserve">111</w:t>
            </w:r>
          </w:p>
        </w:tc>
        <w:tc>
          <w:tcPr>
            <w:tcW w:w="851" w:type="dxa"/>
          </w:tcPr>
          <w:p>
            <w:pPr>
              <w:pStyle w:val="0"/>
            </w:pPr>
            <w:r>
              <w:rPr>
                <w:sz w:val="20"/>
              </w:rPr>
              <w:t xml:space="preserve">274,0</w:t>
            </w:r>
          </w:p>
        </w:tc>
        <w:tc>
          <w:tcPr>
            <w:tcW w:w="850" w:type="dxa"/>
          </w:tcPr>
          <w:p>
            <w:pPr>
              <w:pStyle w:val="0"/>
            </w:pPr>
            <w:r>
              <w:rPr>
                <w:sz w:val="20"/>
              </w:rPr>
              <w:t xml:space="preserve">128</w:t>
            </w:r>
          </w:p>
        </w:tc>
        <w:tc>
          <w:tcPr>
            <w:tcW w:w="851" w:type="dxa"/>
          </w:tcPr>
          <w:p>
            <w:pPr>
              <w:pStyle w:val="0"/>
            </w:pPr>
            <w:r>
              <w:rPr>
                <w:sz w:val="20"/>
              </w:rPr>
              <w:t xml:space="preserve">331,8</w:t>
            </w:r>
          </w:p>
        </w:tc>
        <w:tc>
          <w:tcPr>
            <w:tcW w:w="710" w:type="dxa"/>
          </w:tcPr>
          <w:p>
            <w:pPr>
              <w:pStyle w:val="0"/>
            </w:pPr>
            <w:r>
              <w:rPr>
                <w:sz w:val="20"/>
              </w:rPr>
              <w:t xml:space="preserve">126</w:t>
            </w:r>
          </w:p>
        </w:tc>
        <w:tc>
          <w:tcPr>
            <w:tcW w:w="849" w:type="dxa"/>
          </w:tcPr>
          <w:p>
            <w:pPr>
              <w:pStyle w:val="0"/>
            </w:pPr>
            <w:r>
              <w:rPr>
                <w:sz w:val="20"/>
              </w:rPr>
              <w:t xml:space="preserve">310,8</w:t>
            </w:r>
          </w:p>
        </w:tc>
        <w:tc>
          <w:tcPr>
            <w:tcW w:w="994" w:type="dxa"/>
          </w:tcPr>
          <w:p>
            <w:pPr>
              <w:pStyle w:val="0"/>
            </w:pPr>
            <w:r>
              <w:rPr>
                <w:sz w:val="20"/>
              </w:rPr>
              <w:t xml:space="preserve">15</w:t>
            </w:r>
          </w:p>
        </w:tc>
        <w:tc>
          <w:tcPr>
            <w:tcW w:w="849" w:type="dxa"/>
          </w:tcPr>
          <w:p>
            <w:pPr>
              <w:pStyle w:val="0"/>
            </w:pPr>
            <w:r>
              <w:rPr>
                <w:sz w:val="20"/>
              </w:rPr>
              <w:t xml:space="preserve">13,4</w:t>
            </w:r>
          </w:p>
        </w:tc>
      </w:tr>
      <w:tr>
        <w:tc>
          <w:tcPr>
            <w:tcW w:w="2268" w:type="dxa"/>
          </w:tcPr>
          <w:p>
            <w:pPr>
              <w:pStyle w:val="0"/>
            </w:pPr>
            <w:r>
              <w:rPr>
                <w:sz w:val="20"/>
              </w:rPr>
              <w:t xml:space="preserve">Югорск</w:t>
            </w:r>
          </w:p>
        </w:tc>
        <w:tc>
          <w:tcPr>
            <w:tcW w:w="850" w:type="dxa"/>
          </w:tcPr>
          <w:p>
            <w:pPr>
              <w:pStyle w:val="0"/>
            </w:pPr>
            <w:r>
              <w:rPr>
                <w:sz w:val="20"/>
              </w:rPr>
              <w:t xml:space="preserve">98</w:t>
            </w:r>
          </w:p>
        </w:tc>
        <w:tc>
          <w:tcPr>
            <w:tcW w:w="851" w:type="dxa"/>
          </w:tcPr>
          <w:p>
            <w:pPr>
              <w:pStyle w:val="0"/>
            </w:pPr>
            <w:r>
              <w:rPr>
                <w:sz w:val="20"/>
              </w:rPr>
              <w:t xml:space="preserve">257,5</w:t>
            </w:r>
          </w:p>
        </w:tc>
        <w:tc>
          <w:tcPr>
            <w:tcW w:w="850" w:type="dxa"/>
          </w:tcPr>
          <w:p>
            <w:pPr>
              <w:pStyle w:val="0"/>
            </w:pPr>
            <w:r>
              <w:rPr>
                <w:sz w:val="20"/>
              </w:rPr>
              <w:t xml:space="preserve">91</w:t>
            </w:r>
          </w:p>
        </w:tc>
        <w:tc>
          <w:tcPr>
            <w:tcW w:w="851" w:type="dxa"/>
          </w:tcPr>
          <w:p>
            <w:pPr>
              <w:pStyle w:val="0"/>
            </w:pPr>
            <w:r>
              <w:rPr>
                <w:sz w:val="20"/>
              </w:rPr>
              <w:t xml:space="preserve">259,2</w:t>
            </w:r>
          </w:p>
        </w:tc>
        <w:tc>
          <w:tcPr>
            <w:tcW w:w="710" w:type="dxa"/>
          </w:tcPr>
          <w:p>
            <w:pPr>
              <w:pStyle w:val="0"/>
            </w:pPr>
            <w:r>
              <w:rPr>
                <w:sz w:val="20"/>
              </w:rPr>
              <w:t xml:space="preserve">89</w:t>
            </w:r>
          </w:p>
        </w:tc>
        <w:tc>
          <w:tcPr>
            <w:tcW w:w="849" w:type="dxa"/>
          </w:tcPr>
          <w:p>
            <w:pPr>
              <w:pStyle w:val="0"/>
            </w:pPr>
            <w:r>
              <w:rPr>
                <w:sz w:val="20"/>
              </w:rPr>
              <w:t xml:space="preserve">234,4</w:t>
            </w:r>
          </w:p>
        </w:tc>
        <w:tc>
          <w:tcPr>
            <w:tcW w:w="994" w:type="dxa"/>
          </w:tcPr>
          <w:p>
            <w:pPr>
              <w:pStyle w:val="0"/>
            </w:pPr>
            <w:r>
              <w:rPr>
                <w:sz w:val="20"/>
              </w:rPr>
              <w:t xml:space="preserve">-9</w:t>
            </w:r>
          </w:p>
        </w:tc>
        <w:tc>
          <w:tcPr>
            <w:tcW w:w="849" w:type="dxa"/>
          </w:tcPr>
          <w:p>
            <w:pPr>
              <w:pStyle w:val="0"/>
            </w:pPr>
            <w:r>
              <w:rPr>
                <w:sz w:val="20"/>
              </w:rPr>
              <w:t xml:space="preserve">-9,0</w:t>
            </w:r>
          </w:p>
        </w:tc>
      </w:tr>
      <w:tr>
        <w:tc>
          <w:tcPr>
            <w:tcW w:w="2268" w:type="dxa"/>
          </w:tcPr>
          <w:p>
            <w:pPr>
              <w:pStyle w:val="0"/>
            </w:pPr>
            <w:r>
              <w:rPr>
                <w:sz w:val="20"/>
              </w:rPr>
              <w:t xml:space="preserve">Нефтеюганск</w:t>
            </w:r>
          </w:p>
        </w:tc>
        <w:tc>
          <w:tcPr>
            <w:tcW w:w="850" w:type="dxa"/>
          </w:tcPr>
          <w:p>
            <w:pPr>
              <w:pStyle w:val="0"/>
            </w:pPr>
            <w:r>
              <w:rPr>
                <w:sz w:val="20"/>
              </w:rPr>
              <w:t xml:space="preserve">318</w:t>
            </w:r>
          </w:p>
        </w:tc>
        <w:tc>
          <w:tcPr>
            <w:tcW w:w="851" w:type="dxa"/>
          </w:tcPr>
          <w:p>
            <w:pPr>
              <w:pStyle w:val="0"/>
            </w:pPr>
            <w:r>
              <w:rPr>
                <w:sz w:val="20"/>
              </w:rPr>
              <w:t xml:space="preserve">248,9</w:t>
            </w:r>
          </w:p>
        </w:tc>
        <w:tc>
          <w:tcPr>
            <w:tcW w:w="850" w:type="dxa"/>
          </w:tcPr>
          <w:p>
            <w:pPr>
              <w:pStyle w:val="0"/>
            </w:pPr>
            <w:r>
              <w:rPr>
                <w:sz w:val="20"/>
              </w:rPr>
              <w:t xml:space="preserve">315</w:t>
            </w:r>
          </w:p>
        </w:tc>
        <w:tc>
          <w:tcPr>
            <w:tcW w:w="851" w:type="dxa"/>
          </w:tcPr>
          <w:p>
            <w:pPr>
              <w:pStyle w:val="0"/>
            </w:pPr>
            <w:r>
              <w:rPr>
                <w:sz w:val="20"/>
              </w:rPr>
              <w:t xml:space="preserve">253,6</w:t>
            </w:r>
          </w:p>
        </w:tc>
        <w:tc>
          <w:tcPr>
            <w:tcW w:w="710" w:type="dxa"/>
          </w:tcPr>
          <w:p>
            <w:pPr>
              <w:pStyle w:val="0"/>
            </w:pPr>
            <w:r>
              <w:rPr>
                <w:sz w:val="20"/>
              </w:rPr>
              <w:t xml:space="preserve">418</w:t>
            </w:r>
          </w:p>
        </w:tc>
        <w:tc>
          <w:tcPr>
            <w:tcW w:w="849" w:type="dxa"/>
          </w:tcPr>
          <w:p>
            <w:pPr>
              <w:pStyle w:val="0"/>
            </w:pPr>
            <w:r>
              <w:rPr>
                <w:sz w:val="20"/>
              </w:rPr>
              <w:t xml:space="preserve">328,5</w:t>
            </w:r>
          </w:p>
        </w:tc>
        <w:tc>
          <w:tcPr>
            <w:tcW w:w="994" w:type="dxa"/>
          </w:tcPr>
          <w:p>
            <w:pPr>
              <w:pStyle w:val="0"/>
            </w:pPr>
            <w:r>
              <w:rPr>
                <w:sz w:val="20"/>
              </w:rPr>
              <w:t xml:space="preserve">100</w:t>
            </w:r>
          </w:p>
        </w:tc>
        <w:tc>
          <w:tcPr>
            <w:tcW w:w="849" w:type="dxa"/>
          </w:tcPr>
          <w:p>
            <w:pPr>
              <w:pStyle w:val="0"/>
            </w:pPr>
            <w:r>
              <w:rPr>
                <w:sz w:val="20"/>
              </w:rPr>
              <w:t xml:space="preserve">32,0</w:t>
            </w:r>
          </w:p>
        </w:tc>
      </w:tr>
      <w:tr>
        <w:tc>
          <w:tcPr>
            <w:tcW w:w="2268" w:type="dxa"/>
          </w:tcPr>
          <w:p>
            <w:pPr>
              <w:pStyle w:val="0"/>
            </w:pPr>
            <w:r>
              <w:rPr>
                <w:sz w:val="20"/>
              </w:rPr>
              <w:t xml:space="preserve">Нижневартовск</w:t>
            </w:r>
          </w:p>
        </w:tc>
        <w:tc>
          <w:tcPr>
            <w:tcW w:w="850" w:type="dxa"/>
          </w:tcPr>
          <w:p>
            <w:pPr>
              <w:pStyle w:val="0"/>
            </w:pPr>
            <w:r>
              <w:rPr>
                <w:sz w:val="20"/>
              </w:rPr>
              <w:t xml:space="preserve">660</w:t>
            </w:r>
          </w:p>
        </w:tc>
        <w:tc>
          <w:tcPr>
            <w:tcW w:w="851" w:type="dxa"/>
          </w:tcPr>
          <w:p>
            <w:pPr>
              <w:pStyle w:val="0"/>
            </w:pPr>
            <w:r>
              <w:rPr>
                <w:sz w:val="20"/>
              </w:rPr>
              <w:t xml:space="preserve">238,5</w:t>
            </w:r>
          </w:p>
        </w:tc>
        <w:tc>
          <w:tcPr>
            <w:tcW w:w="850" w:type="dxa"/>
          </w:tcPr>
          <w:p>
            <w:pPr>
              <w:pStyle w:val="0"/>
            </w:pPr>
            <w:r>
              <w:rPr>
                <w:sz w:val="20"/>
              </w:rPr>
              <w:t xml:space="preserve">647</w:t>
            </w:r>
          </w:p>
        </w:tc>
        <w:tc>
          <w:tcPr>
            <w:tcW w:w="851" w:type="dxa"/>
          </w:tcPr>
          <w:p>
            <w:pPr>
              <w:pStyle w:val="0"/>
            </w:pPr>
            <w:r>
              <w:rPr>
                <w:sz w:val="20"/>
              </w:rPr>
              <w:t xml:space="preserve">237,3</w:t>
            </w:r>
          </w:p>
        </w:tc>
        <w:tc>
          <w:tcPr>
            <w:tcW w:w="710" w:type="dxa"/>
          </w:tcPr>
          <w:p>
            <w:pPr>
              <w:pStyle w:val="0"/>
            </w:pPr>
            <w:r>
              <w:rPr>
                <w:sz w:val="20"/>
              </w:rPr>
              <w:t xml:space="preserve">816</w:t>
            </w:r>
          </w:p>
        </w:tc>
        <w:tc>
          <w:tcPr>
            <w:tcW w:w="849" w:type="dxa"/>
          </w:tcPr>
          <w:p>
            <w:pPr>
              <w:pStyle w:val="0"/>
            </w:pPr>
            <w:r>
              <w:rPr>
                <w:sz w:val="20"/>
              </w:rPr>
              <w:t xml:space="preserve">293,9</w:t>
            </w:r>
          </w:p>
        </w:tc>
        <w:tc>
          <w:tcPr>
            <w:tcW w:w="994" w:type="dxa"/>
          </w:tcPr>
          <w:p>
            <w:pPr>
              <w:pStyle w:val="0"/>
            </w:pPr>
            <w:r>
              <w:rPr>
                <w:sz w:val="20"/>
              </w:rPr>
              <w:t xml:space="preserve">156</w:t>
            </w:r>
          </w:p>
        </w:tc>
        <w:tc>
          <w:tcPr>
            <w:tcW w:w="849" w:type="dxa"/>
          </w:tcPr>
          <w:p>
            <w:pPr>
              <w:pStyle w:val="0"/>
            </w:pPr>
            <w:r>
              <w:rPr>
                <w:sz w:val="20"/>
              </w:rPr>
              <w:t xml:space="preserve">23,2</w:t>
            </w:r>
          </w:p>
        </w:tc>
      </w:tr>
      <w:tr>
        <w:tc>
          <w:tcPr>
            <w:tcW w:w="2268" w:type="dxa"/>
          </w:tcPr>
          <w:p>
            <w:pPr>
              <w:pStyle w:val="0"/>
            </w:pPr>
            <w:r>
              <w:rPr>
                <w:sz w:val="20"/>
              </w:rPr>
              <w:t xml:space="preserve">Сургут</w:t>
            </w:r>
          </w:p>
        </w:tc>
        <w:tc>
          <w:tcPr>
            <w:tcW w:w="850" w:type="dxa"/>
          </w:tcPr>
          <w:p>
            <w:pPr>
              <w:pStyle w:val="0"/>
            </w:pPr>
            <w:r>
              <w:rPr>
                <w:sz w:val="20"/>
              </w:rPr>
              <w:t xml:space="preserve">1097</w:t>
            </w:r>
          </w:p>
        </w:tc>
        <w:tc>
          <w:tcPr>
            <w:tcW w:w="851" w:type="dxa"/>
          </w:tcPr>
          <w:p>
            <w:pPr>
              <w:pStyle w:val="0"/>
            </w:pPr>
            <w:r>
              <w:rPr>
                <w:sz w:val="20"/>
              </w:rPr>
              <w:t xml:space="preserve">295,6</w:t>
            </w:r>
          </w:p>
        </w:tc>
        <w:tc>
          <w:tcPr>
            <w:tcW w:w="850" w:type="dxa"/>
          </w:tcPr>
          <w:p>
            <w:pPr>
              <w:pStyle w:val="0"/>
            </w:pPr>
            <w:r>
              <w:rPr>
                <w:sz w:val="20"/>
              </w:rPr>
              <w:t xml:space="preserve">1115</w:t>
            </w:r>
          </w:p>
        </w:tc>
        <w:tc>
          <w:tcPr>
            <w:tcW w:w="851" w:type="dxa"/>
          </w:tcPr>
          <w:p>
            <w:pPr>
              <w:pStyle w:val="0"/>
            </w:pPr>
            <w:r>
              <w:rPr>
                <w:sz w:val="20"/>
              </w:rPr>
              <w:t xml:space="preserve">303,5</w:t>
            </w:r>
          </w:p>
        </w:tc>
        <w:tc>
          <w:tcPr>
            <w:tcW w:w="710" w:type="dxa"/>
          </w:tcPr>
          <w:p>
            <w:pPr>
              <w:pStyle w:val="0"/>
            </w:pPr>
            <w:r>
              <w:rPr>
                <w:sz w:val="20"/>
              </w:rPr>
              <w:t xml:space="preserve">1367</w:t>
            </w:r>
          </w:p>
        </w:tc>
        <w:tc>
          <w:tcPr>
            <w:tcW w:w="849" w:type="dxa"/>
          </w:tcPr>
          <w:p>
            <w:pPr>
              <w:pStyle w:val="0"/>
            </w:pPr>
            <w:r>
              <w:rPr>
                <w:sz w:val="20"/>
              </w:rPr>
              <w:t xml:space="preserve">359,1</w:t>
            </w:r>
          </w:p>
        </w:tc>
        <w:tc>
          <w:tcPr>
            <w:tcW w:w="994" w:type="dxa"/>
          </w:tcPr>
          <w:p>
            <w:pPr>
              <w:pStyle w:val="0"/>
            </w:pPr>
            <w:r>
              <w:rPr>
                <w:sz w:val="20"/>
              </w:rPr>
              <w:t xml:space="preserve">270</w:t>
            </w:r>
          </w:p>
        </w:tc>
        <w:tc>
          <w:tcPr>
            <w:tcW w:w="849" w:type="dxa"/>
          </w:tcPr>
          <w:p>
            <w:pPr>
              <w:pStyle w:val="0"/>
            </w:pPr>
            <w:r>
              <w:rPr>
                <w:sz w:val="20"/>
              </w:rPr>
              <w:t xml:space="preserve">21,5</w:t>
            </w:r>
          </w:p>
        </w:tc>
      </w:tr>
      <w:tr>
        <w:tc>
          <w:tcPr>
            <w:tcW w:w="2268" w:type="dxa"/>
          </w:tcPr>
          <w:p>
            <w:pPr>
              <w:pStyle w:val="0"/>
            </w:pPr>
            <w:r>
              <w:rPr>
                <w:sz w:val="20"/>
              </w:rPr>
              <w:t xml:space="preserve">Ханты-Мансийск</w:t>
            </w:r>
          </w:p>
        </w:tc>
        <w:tc>
          <w:tcPr>
            <w:tcW w:w="850" w:type="dxa"/>
          </w:tcPr>
          <w:p>
            <w:pPr>
              <w:pStyle w:val="0"/>
            </w:pPr>
            <w:r>
              <w:rPr>
                <w:sz w:val="20"/>
              </w:rPr>
              <w:t xml:space="preserve">191</w:t>
            </w:r>
          </w:p>
        </w:tc>
        <w:tc>
          <w:tcPr>
            <w:tcW w:w="851" w:type="dxa"/>
          </w:tcPr>
          <w:p>
            <w:pPr>
              <w:pStyle w:val="0"/>
            </w:pPr>
            <w:r>
              <w:rPr>
                <w:sz w:val="20"/>
              </w:rPr>
              <w:t xml:space="preserve">193,7</w:t>
            </w:r>
          </w:p>
        </w:tc>
        <w:tc>
          <w:tcPr>
            <w:tcW w:w="850" w:type="dxa"/>
          </w:tcPr>
          <w:p>
            <w:pPr>
              <w:pStyle w:val="0"/>
            </w:pPr>
            <w:r>
              <w:rPr>
                <w:sz w:val="20"/>
              </w:rPr>
              <w:t xml:space="preserve">174</w:t>
            </w:r>
          </w:p>
        </w:tc>
        <w:tc>
          <w:tcPr>
            <w:tcW w:w="851" w:type="dxa"/>
          </w:tcPr>
          <w:p>
            <w:pPr>
              <w:pStyle w:val="0"/>
            </w:pPr>
            <w:r>
              <w:rPr>
                <w:sz w:val="20"/>
              </w:rPr>
              <w:t xml:space="preserve">181,9</w:t>
            </w:r>
          </w:p>
        </w:tc>
        <w:tc>
          <w:tcPr>
            <w:tcW w:w="710" w:type="dxa"/>
          </w:tcPr>
          <w:p>
            <w:pPr>
              <w:pStyle w:val="0"/>
            </w:pPr>
            <w:r>
              <w:rPr>
                <w:sz w:val="20"/>
              </w:rPr>
              <w:t xml:space="preserve">236</w:t>
            </w:r>
          </w:p>
        </w:tc>
        <w:tc>
          <w:tcPr>
            <w:tcW w:w="849" w:type="dxa"/>
          </w:tcPr>
          <w:p>
            <w:pPr>
              <w:pStyle w:val="0"/>
            </w:pPr>
            <w:r>
              <w:rPr>
                <w:sz w:val="20"/>
              </w:rPr>
              <w:t xml:space="preserve">232,6</w:t>
            </w:r>
          </w:p>
        </w:tc>
        <w:tc>
          <w:tcPr>
            <w:tcW w:w="994" w:type="dxa"/>
          </w:tcPr>
          <w:p>
            <w:pPr>
              <w:pStyle w:val="0"/>
            </w:pPr>
            <w:r>
              <w:rPr>
                <w:sz w:val="20"/>
              </w:rPr>
              <w:t xml:space="preserve">45</w:t>
            </w:r>
          </w:p>
        </w:tc>
        <w:tc>
          <w:tcPr>
            <w:tcW w:w="849" w:type="dxa"/>
          </w:tcPr>
          <w:p>
            <w:pPr>
              <w:pStyle w:val="0"/>
            </w:pPr>
            <w:r>
              <w:rPr>
                <w:sz w:val="20"/>
              </w:rPr>
              <w:t xml:space="preserve">20,1</w:t>
            </w:r>
          </w:p>
        </w:tc>
      </w:tr>
      <w:tr>
        <w:tc>
          <w:tcPr>
            <w:tcW w:w="2268" w:type="dxa"/>
          </w:tcPr>
          <w:p>
            <w:pPr>
              <w:pStyle w:val="0"/>
            </w:pPr>
            <w:r>
              <w:rPr>
                <w:sz w:val="20"/>
              </w:rPr>
              <w:t xml:space="preserve">Всего по автономному округу</w:t>
            </w:r>
          </w:p>
        </w:tc>
        <w:tc>
          <w:tcPr>
            <w:tcW w:w="850" w:type="dxa"/>
          </w:tcPr>
          <w:p>
            <w:pPr>
              <w:pStyle w:val="0"/>
            </w:pPr>
            <w:r>
              <w:rPr>
                <w:sz w:val="20"/>
              </w:rPr>
              <w:t xml:space="preserve">4235</w:t>
            </w:r>
          </w:p>
        </w:tc>
        <w:tc>
          <w:tcPr>
            <w:tcW w:w="851" w:type="dxa"/>
          </w:tcPr>
          <w:p>
            <w:pPr>
              <w:pStyle w:val="0"/>
            </w:pPr>
            <w:r>
              <w:rPr>
                <w:sz w:val="20"/>
              </w:rPr>
              <w:t xml:space="preserve">254,9</w:t>
            </w:r>
          </w:p>
        </w:tc>
        <w:tc>
          <w:tcPr>
            <w:tcW w:w="850" w:type="dxa"/>
          </w:tcPr>
          <w:p>
            <w:pPr>
              <w:pStyle w:val="0"/>
            </w:pPr>
            <w:r>
              <w:rPr>
                <w:sz w:val="20"/>
              </w:rPr>
              <w:t xml:space="preserve">3969</w:t>
            </w:r>
          </w:p>
        </w:tc>
        <w:tc>
          <w:tcPr>
            <w:tcW w:w="851" w:type="dxa"/>
          </w:tcPr>
          <w:p>
            <w:pPr>
              <w:pStyle w:val="0"/>
            </w:pPr>
            <w:r>
              <w:rPr>
                <w:sz w:val="20"/>
              </w:rPr>
              <w:t xml:space="preserve">237,7</w:t>
            </w:r>
          </w:p>
        </w:tc>
        <w:tc>
          <w:tcPr>
            <w:tcW w:w="710" w:type="dxa"/>
          </w:tcPr>
          <w:p>
            <w:pPr>
              <w:pStyle w:val="0"/>
            </w:pPr>
            <w:r>
              <w:rPr>
                <w:sz w:val="20"/>
              </w:rPr>
              <w:t xml:space="preserve">4612</w:t>
            </w:r>
          </w:p>
        </w:tc>
        <w:tc>
          <w:tcPr>
            <w:tcW w:w="849" w:type="dxa"/>
          </w:tcPr>
          <w:p>
            <w:pPr>
              <w:pStyle w:val="0"/>
            </w:pPr>
            <w:r>
              <w:rPr>
                <w:sz w:val="20"/>
              </w:rPr>
              <w:t xml:space="preserve">274,3</w:t>
            </w:r>
          </w:p>
        </w:tc>
        <w:tc>
          <w:tcPr>
            <w:tcW w:w="994" w:type="dxa"/>
          </w:tcPr>
          <w:p>
            <w:pPr>
              <w:pStyle w:val="0"/>
            </w:pPr>
            <w:r>
              <w:rPr>
                <w:sz w:val="20"/>
              </w:rPr>
              <w:t xml:space="preserve">377</w:t>
            </w:r>
          </w:p>
        </w:tc>
        <w:tc>
          <w:tcPr>
            <w:tcW w:w="849" w:type="dxa"/>
          </w:tcPr>
          <w:p>
            <w:pPr>
              <w:pStyle w:val="0"/>
            </w:pPr>
            <w:r>
              <w:rPr>
                <w:sz w:val="20"/>
              </w:rPr>
              <w:t xml:space="preserve">7,6</w:t>
            </w:r>
          </w:p>
        </w:tc>
      </w:tr>
    </w:tbl>
    <w:p>
      <w:pPr>
        <w:pStyle w:val="0"/>
        <w:ind w:firstLine="540"/>
        <w:jc w:val="both"/>
      </w:pPr>
      <w:r>
        <w:rPr>
          <w:sz w:val="20"/>
        </w:rPr>
      </w:r>
    </w:p>
    <w:p>
      <w:pPr>
        <w:pStyle w:val="0"/>
        <w:ind w:firstLine="540"/>
        <w:jc w:val="both"/>
      </w:pPr>
      <w:r>
        <w:rPr>
          <w:sz w:val="20"/>
        </w:rPr>
        <w:t xml:space="preserve">Второй ведущей причиной смертности в автономном округе, равно как и в Российской Федерации, остается смертность от злокачественных новообразований.</w:t>
      </w:r>
    </w:p>
    <w:p>
      <w:pPr>
        <w:pStyle w:val="0"/>
        <w:spacing w:before="200" w:line-rule="auto"/>
        <w:ind w:firstLine="540"/>
        <w:jc w:val="both"/>
      </w:pPr>
      <w:r>
        <w:rPr>
          <w:sz w:val="20"/>
        </w:rPr>
        <w:t xml:space="preserve">Анализ динамики показателей смертности от злокачественных новообразований за десятилетний период представлен на </w:t>
      </w:r>
      <w:hyperlink w:history="0" w:anchor="P22629" w:tooltip="Динамика смертности в автономном округе за период">
        <w:r>
          <w:rPr>
            <w:sz w:val="20"/>
            <w:color w:val="0000ff"/>
          </w:rPr>
          <w:t xml:space="preserve">таблице 6</w:t>
        </w:r>
      </w:hyperlink>
      <w:r>
        <w:rPr>
          <w:sz w:val="20"/>
        </w:rPr>
        <w:t xml:space="preserve">.</w:t>
      </w:r>
    </w:p>
    <w:p>
      <w:pPr>
        <w:pStyle w:val="0"/>
        <w:ind w:firstLine="540"/>
        <w:jc w:val="both"/>
      </w:pPr>
      <w:r>
        <w:rPr>
          <w:sz w:val="20"/>
        </w:rPr>
      </w:r>
    </w:p>
    <w:p>
      <w:pPr>
        <w:pStyle w:val="0"/>
        <w:outlineLvl w:val="3"/>
        <w:jc w:val="right"/>
      </w:pPr>
      <w:r>
        <w:rPr>
          <w:sz w:val="20"/>
        </w:rPr>
        <w:t xml:space="preserve">Таблица 6</w:t>
      </w:r>
    </w:p>
    <w:p>
      <w:pPr>
        <w:pStyle w:val="0"/>
        <w:jc w:val="right"/>
      </w:pPr>
      <w:r>
        <w:rPr>
          <w:sz w:val="20"/>
        </w:rPr>
      </w:r>
    </w:p>
    <w:bookmarkStart w:id="22629" w:name="P22629"/>
    <w:bookmarkEnd w:id="22629"/>
    <w:p>
      <w:pPr>
        <w:pStyle w:val="2"/>
        <w:jc w:val="center"/>
      </w:pPr>
      <w:r>
        <w:rPr>
          <w:sz w:val="20"/>
        </w:rPr>
        <w:t xml:space="preserve">Динамика смертности в автономном округе за период</w:t>
      </w:r>
    </w:p>
    <w:p>
      <w:pPr>
        <w:pStyle w:val="2"/>
        <w:jc w:val="center"/>
      </w:pPr>
      <w:r>
        <w:rPr>
          <w:sz w:val="20"/>
        </w:rPr>
        <w:t xml:space="preserve">2011 - 2020 годы от злокачественных новообразований (на 100</w:t>
      </w:r>
    </w:p>
    <w:p>
      <w:pPr>
        <w:pStyle w:val="2"/>
        <w:jc w:val="center"/>
      </w:pPr>
      <w:r>
        <w:rPr>
          <w:sz w:val="20"/>
        </w:rPr>
        <w:t xml:space="preserve">тыс. населения) (грубый показатель)</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664"/>
        <w:gridCol w:w="664"/>
        <w:gridCol w:w="664"/>
        <w:gridCol w:w="664"/>
        <w:gridCol w:w="664"/>
        <w:gridCol w:w="664"/>
        <w:gridCol w:w="664"/>
        <w:gridCol w:w="664"/>
        <w:gridCol w:w="664"/>
        <w:gridCol w:w="664"/>
      </w:tblGrid>
      <w:tr>
        <w:tc>
          <w:tcPr>
            <w:tcW w:w="2324" w:type="dxa"/>
          </w:tcPr>
          <w:p>
            <w:pPr>
              <w:pStyle w:val="0"/>
            </w:pPr>
            <w:r>
              <w:rPr>
                <w:sz w:val="20"/>
              </w:rPr>
            </w:r>
          </w:p>
        </w:tc>
        <w:tc>
          <w:tcPr>
            <w:tcW w:w="664" w:type="dxa"/>
          </w:tcPr>
          <w:p>
            <w:pPr>
              <w:pStyle w:val="0"/>
            </w:pPr>
            <w:r>
              <w:rPr>
                <w:sz w:val="20"/>
              </w:rPr>
              <w:t xml:space="preserve">2011</w:t>
            </w:r>
          </w:p>
        </w:tc>
        <w:tc>
          <w:tcPr>
            <w:tcW w:w="664" w:type="dxa"/>
          </w:tcPr>
          <w:p>
            <w:pPr>
              <w:pStyle w:val="0"/>
            </w:pPr>
            <w:r>
              <w:rPr>
                <w:sz w:val="20"/>
              </w:rPr>
              <w:t xml:space="preserve">2012</w:t>
            </w:r>
          </w:p>
        </w:tc>
        <w:tc>
          <w:tcPr>
            <w:tcW w:w="664" w:type="dxa"/>
          </w:tcPr>
          <w:p>
            <w:pPr>
              <w:pStyle w:val="0"/>
            </w:pPr>
            <w:r>
              <w:rPr>
                <w:sz w:val="20"/>
              </w:rPr>
              <w:t xml:space="preserve">2013</w:t>
            </w:r>
          </w:p>
        </w:tc>
        <w:tc>
          <w:tcPr>
            <w:tcW w:w="664" w:type="dxa"/>
          </w:tcPr>
          <w:p>
            <w:pPr>
              <w:pStyle w:val="0"/>
            </w:pPr>
            <w:r>
              <w:rPr>
                <w:sz w:val="20"/>
              </w:rPr>
              <w:t xml:space="preserve">2014</w:t>
            </w:r>
          </w:p>
        </w:tc>
        <w:tc>
          <w:tcPr>
            <w:tcW w:w="664" w:type="dxa"/>
          </w:tcPr>
          <w:p>
            <w:pPr>
              <w:pStyle w:val="0"/>
            </w:pPr>
            <w:r>
              <w:rPr>
                <w:sz w:val="20"/>
              </w:rPr>
              <w:t xml:space="preserve">2015</w:t>
            </w:r>
          </w:p>
        </w:tc>
        <w:tc>
          <w:tcPr>
            <w:tcW w:w="664" w:type="dxa"/>
          </w:tcPr>
          <w:p>
            <w:pPr>
              <w:pStyle w:val="0"/>
            </w:pPr>
            <w:r>
              <w:rPr>
                <w:sz w:val="20"/>
              </w:rPr>
              <w:t xml:space="preserve">2016</w:t>
            </w:r>
          </w:p>
        </w:tc>
        <w:tc>
          <w:tcPr>
            <w:tcW w:w="664" w:type="dxa"/>
          </w:tcPr>
          <w:p>
            <w:pPr>
              <w:pStyle w:val="0"/>
            </w:pPr>
            <w:r>
              <w:rPr>
                <w:sz w:val="20"/>
              </w:rPr>
              <w:t xml:space="preserve">2017</w:t>
            </w:r>
          </w:p>
        </w:tc>
        <w:tc>
          <w:tcPr>
            <w:tcW w:w="664" w:type="dxa"/>
          </w:tcPr>
          <w:p>
            <w:pPr>
              <w:pStyle w:val="0"/>
            </w:pPr>
            <w:r>
              <w:rPr>
                <w:sz w:val="20"/>
              </w:rPr>
              <w:t xml:space="preserve">2018</w:t>
            </w:r>
          </w:p>
        </w:tc>
        <w:tc>
          <w:tcPr>
            <w:tcW w:w="664" w:type="dxa"/>
          </w:tcPr>
          <w:p>
            <w:pPr>
              <w:pStyle w:val="0"/>
            </w:pPr>
            <w:r>
              <w:rPr>
                <w:sz w:val="20"/>
              </w:rPr>
              <w:t xml:space="preserve">2019</w:t>
            </w:r>
          </w:p>
        </w:tc>
        <w:tc>
          <w:tcPr>
            <w:tcW w:w="664" w:type="dxa"/>
          </w:tcPr>
          <w:p>
            <w:pPr>
              <w:pStyle w:val="0"/>
            </w:pPr>
            <w:r>
              <w:rPr>
                <w:sz w:val="20"/>
              </w:rPr>
              <w:t xml:space="preserve">2020</w:t>
            </w:r>
          </w:p>
        </w:tc>
      </w:tr>
      <w:tr>
        <w:tc>
          <w:tcPr>
            <w:tcW w:w="2324" w:type="dxa"/>
          </w:tcPr>
          <w:p>
            <w:pPr>
              <w:pStyle w:val="0"/>
            </w:pPr>
            <w:r>
              <w:rPr>
                <w:sz w:val="20"/>
              </w:rPr>
              <w:t xml:space="preserve">Абсолютное число</w:t>
            </w:r>
          </w:p>
        </w:tc>
        <w:tc>
          <w:tcPr>
            <w:tcW w:w="664" w:type="dxa"/>
          </w:tcPr>
          <w:p>
            <w:pPr>
              <w:pStyle w:val="0"/>
            </w:pPr>
            <w:r>
              <w:rPr>
                <w:sz w:val="20"/>
              </w:rPr>
              <w:t xml:space="preserve">1681</w:t>
            </w:r>
          </w:p>
        </w:tc>
        <w:tc>
          <w:tcPr>
            <w:tcW w:w="664" w:type="dxa"/>
          </w:tcPr>
          <w:p>
            <w:pPr>
              <w:pStyle w:val="0"/>
            </w:pPr>
            <w:r>
              <w:rPr>
                <w:sz w:val="20"/>
              </w:rPr>
              <w:t xml:space="preserve">1748</w:t>
            </w:r>
          </w:p>
        </w:tc>
        <w:tc>
          <w:tcPr>
            <w:tcW w:w="664" w:type="dxa"/>
          </w:tcPr>
          <w:p>
            <w:pPr>
              <w:pStyle w:val="0"/>
            </w:pPr>
            <w:r>
              <w:rPr>
                <w:sz w:val="20"/>
              </w:rPr>
              <w:t xml:space="preserve">1769</w:t>
            </w:r>
          </w:p>
        </w:tc>
        <w:tc>
          <w:tcPr>
            <w:tcW w:w="664" w:type="dxa"/>
          </w:tcPr>
          <w:p>
            <w:pPr>
              <w:pStyle w:val="0"/>
            </w:pPr>
            <w:r>
              <w:rPr>
                <w:sz w:val="20"/>
              </w:rPr>
              <w:t xml:space="preserve">1768</w:t>
            </w:r>
          </w:p>
        </w:tc>
        <w:tc>
          <w:tcPr>
            <w:tcW w:w="664" w:type="dxa"/>
          </w:tcPr>
          <w:p>
            <w:pPr>
              <w:pStyle w:val="0"/>
            </w:pPr>
            <w:r>
              <w:rPr>
                <w:sz w:val="20"/>
              </w:rPr>
              <w:t xml:space="preserve">1751</w:t>
            </w:r>
          </w:p>
        </w:tc>
        <w:tc>
          <w:tcPr>
            <w:tcW w:w="664" w:type="dxa"/>
          </w:tcPr>
          <w:p>
            <w:pPr>
              <w:pStyle w:val="0"/>
            </w:pPr>
            <w:r>
              <w:rPr>
                <w:sz w:val="20"/>
              </w:rPr>
              <w:t xml:space="preserve">1772</w:t>
            </w:r>
          </w:p>
        </w:tc>
        <w:tc>
          <w:tcPr>
            <w:tcW w:w="664" w:type="dxa"/>
          </w:tcPr>
          <w:p>
            <w:pPr>
              <w:pStyle w:val="0"/>
            </w:pPr>
            <w:r>
              <w:rPr>
                <w:sz w:val="20"/>
              </w:rPr>
              <w:t xml:space="preserve">1792</w:t>
            </w:r>
          </w:p>
        </w:tc>
        <w:tc>
          <w:tcPr>
            <w:tcW w:w="664" w:type="dxa"/>
          </w:tcPr>
          <w:p>
            <w:pPr>
              <w:pStyle w:val="0"/>
            </w:pPr>
            <w:r>
              <w:rPr>
                <w:sz w:val="20"/>
              </w:rPr>
              <w:t xml:space="preserve">1954</w:t>
            </w:r>
          </w:p>
        </w:tc>
        <w:tc>
          <w:tcPr>
            <w:tcW w:w="664" w:type="dxa"/>
          </w:tcPr>
          <w:p>
            <w:pPr>
              <w:pStyle w:val="0"/>
            </w:pPr>
            <w:r>
              <w:rPr>
                <w:sz w:val="20"/>
              </w:rPr>
              <w:t xml:space="preserve">1792</w:t>
            </w:r>
          </w:p>
        </w:tc>
        <w:tc>
          <w:tcPr>
            <w:tcW w:w="664" w:type="dxa"/>
          </w:tcPr>
          <w:p>
            <w:pPr>
              <w:pStyle w:val="0"/>
            </w:pPr>
            <w:r>
              <w:rPr>
                <w:sz w:val="20"/>
              </w:rPr>
              <w:t xml:space="preserve">2022</w:t>
            </w:r>
          </w:p>
        </w:tc>
      </w:tr>
      <w:tr>
        <w:tc>
          <w:tcPr>
            <w:tcW w:w="2324" w:type="dxa"/>
          </w:tcPr>
          <w:p>
            <w:pPr>
              <w:pStyle w:val="0"/>
            </w:pPr>
            <w:r>
              <w:rPr>
                <w:sz w:val="20"/>
              </w:rPr>
              <w:t xml:space="preserve">На 100 тыс. населения</w:t>
            </w:r>
          </w:p>
        </w:tc>
        <w:tc>
          <w:tcPr>
            <w:tcW w:w="664" w:type="dxa"/>
          </w:tcPr>
          <w:p>
            <w:pPr>
              <w:pStyle w:val="0"/>
            </w:pPr>
            <w:r>
              <w:rPr>
                <w:sz w:val="20"/>
              </w:rPr>
              <w:t xml:space="preserve">108,5</w:t>
            </w:r>
          </w:p>
        </w:tc>
        <w:tc>
          <w:tcPr>
            <w:tcW w:w="664" w:type="dxa"/>
          </w:tcPr>
          <w:p>
            <w:pPr>
              <w:pStyle w:val="0"/>
            </w:pPr>
            <w:r>
              <w:rPr>
                <w:sz w:val="20"/>
              </w:rPr>
              <w:t xml:space="preserve">111,2</w:t>
            </w:r>
          </w:p>
        </w:tc>
        <w:tc>
          <w:tcPr>
            <w:tcW w:w="664" w:type="dxa"/>
          </w:tcPr>
          <w:p>
            <w:pPr>
              <w:pStyle w:val="0"/>
            </w:pPr>
            <w:r>
              <w:rPr>
                <w:sz w:val="20"/>
              </w:rPr>
              <w:t xml:space="preserve">111,8</w:t>
            </w:r>
          </w:p>
        </w:tc>
        <w:tc>
          <w:tcPr>
            <w:tcW w:w="664" w:type="dxa"/>
          </w:tcPr>
          <w:p>
            <w:pPr>
              <w:pStyle w:val="0"/>
            </w:pPr>
            <w:r>
              <w:rPr>
                <w:sz w:val="20"/>
              </w:rPr>
              <w:t xml:space="preserve">110,2</w:t>
            </w:r>
          </w:p>
        </w:tc>
        <w:tc>
          <w:tcPr>
            <w:tcW w:w="664" w:type="dxa"/>
          </w:tcPr>
          <w:p>
            <w:pPr>
              <w:pStyle w:val="0"/>
            </w:pPr>
            <w:r>
              <w:rPr>
                <w:sz w:val="20"/>
              </w:rPr>
              <w:t xml:space="preserve">108,1</w:t>
            </w:r>
          </w:p>
        </w:tc>
        <w:tc>
          <w:tcPr>
            <w:tcW w:w="664" w:type="dxa"/>
          </w:tcPr>
          <w:p>
            <w:pPr>
              <w:pStyle w:val="0"/>
            </w:pPr>
            <w:r>
              <w:rPr>
                <w:sz w:val="20"/>
              </w:rPr>
              <w:t xml:space="preserve">108,3</w:t>
            </w:r>
          </w:p>
        </w:tc>
        <w:tc>
          <w:tcPr>
            <w:tcW w:w="664" w:type="dxa"/>
          </w:tcPr>
          <w:p>
            <w:pPr>
              <w:pStyle w:val="0"/>
            </w:pPr>
            <w:r>
              <w:rPr>
                <w:sz w:val="20"/>
              </w:rPr>
              <w:t xml:space="preserve">108,3</w:t>
            </w:r>
          </w:p>
        </w:tc>
        <w:tc>
          <w:tcPr>
            <w:tcW w:w="664" w:type="dxa"/>
          </w:tcPr>
          <w:p>
            <w:pPr>
              <w:pStyle w:val="0"/>
            </w:pPr>
            <w:r>
              <w:rPr>
                <w:sz w:val="20"/>
              </w:rPr>
              <w:t xml:space="preserve">117,7</w:t>
            </w:r>
          </w:p>
        </w:tc>
        <w:tc>
          <w:tcPr>
            <w:tcW w:w="664" w:type="dxa"/>
          </w:tcPr>
          <w:p>
            <w:pPr>
              <w:pStyle w:val="0"/>
            </w:pPr>
            <w:r>
              <w:rPr>
                <w:sz w:val="20"/>
              </w:rPr>
              <w:t xml:space="preserve">107,4</w:t>
            </w:r>
          </w:p>
        </w:tc>
        <w:tc>
          <w:tcPr>
            <w:tcW w:w="664" w:type="dxa"/>
          </w:tcPr>
          <w:p>
            <w:pPr>
              <w:pStyle w:val="0"/>
            </w:pPr>
            <w:r>
              <w:rPr>
                <w:sz w:val="20"/>
              </w:rPr>
              <w:t xml:space="preserve">120,3</w:t>
            </w:r>
          </w:p>
        </w:tc>
      </w:tr>
    </w:tbl>
    <w:p>
      <w:pPr>
        <w:pStyle w:val="0"/>
        <w:ind w:firstLine="540"/>
        <w:jc w:val="both"/>
      </w:pPr>
      <w:r>
        <w:rPr>
          <w:sz w:val="20"/>
        </w:rPr>
      </w:r>
    </w:p>
    <w:p>
      <w:pPr>
        <w:pStyle w:val="0"/>
        <w:ind w:firstLine="540"/>
        <w:jc w:val="both"/>
      </w:pPr>
      <w:r>
        <w:rPr>
          <w:sz w:val="20"/>
        </w:rPr>
        <w:t xml:space="preserve">В автономном округе за десятилетний период с 2011 по 2020 годы наблюдается тенденция к увеличению числа смертей в абсолютных значениях от злокачественных новообразований. Количество смертей в 2020 году на 341 больше, чем в 2011 году, негативная тенденция прослеживается и при оценке показателя смертности на 100 тыс. населения +11,8 на 100 тыс. населения. Смертность от злокачественных новообразований в 2020 году составила 120,3 на 100 тыс. населения, это на 12% выше, чем в 2019 году - 107,4 на 100 тыс. населения и вызвано избыточной смертностью, связанной с распространением новой коронавирусной инфекции, вызванной COVID-19.</w:t>
      </w:r>
    </w:p>
    <w:p>
      <w:pPr>
        <w:pStyle w:val="0"/>
        <w:spacing w:before="200" w:line-rule="auto"/>
        <w:ind w:firstLine="540"/>
        <w:jc w:val="both"/>
      </w:pPr>
      <w:r>
        <w:rPr>
          <w:sz w:val="20"/>
        </w:rPr>
        <w:t xml:space="preserve">На фоне увеличения смертности от злокачественных заболеваний снижается показатель одногодичной летальности до 21,0% (в сравнении с 2019 годом наблюдается снижение на 7,4%, с 2011 годом - 10,6%).</w:t>
      </w:r>
    </w:p>
    <w:p>
      <w:pPr>
        <w:pStyle w:val="0"/>
        <w:spacing w:before="200" w:line-rule="auto"/>
        <w:ind w:firstLine="540"/>
        <w:jc w:val="both"/>
      </w:pPr>
      <w:r>
        <w:rPr>
          <w:sz w:val="20"/>
        </w:rPr>
        <w:t xml:space="preserve">Таким образом рост смертности в 2020 году был обусловлен в том числе за счет пациентов с установленным диагнозом и получивших лечение в предыдущие годы и умерших в результате прогрессирования заболевания или невозможности проведения специального лечения из-за наличия противопоказаний.</w:t>
      </w:r>
    </w:p>
    <w:p>
      <w:pPr>
        <w:pStyle w:val="0"/>
        <w:spacing w:before="200" w:line-rule="auto"/>
        <w:ind w:firstLine="540"/>
        <w:jc w:val="both"/>
      </w:pPr>
      <w:r>
        <w:rPr>
          <w:sz w:val="20"/>
        </w:rPr>
        <w:t xml:space="preserve">Стандартизованный показатель смертности от злокачественных новообразований в автономном округе в 2019 году составил 90,45 на 100 тыс. населения, что 31,65 тыс. населения ниже чем 2011 году. (см. </w:t>
      </w:r>
      <w:hyperlink w:history="0" w:anchor="P22674" w:tooltip="Динамика смертности от злокачественных новообразований">
        <w:r>
          <w:rPr>
            <w:sz w:val="20"/>
            <w:color w:val="0000ff"/>
          </w:rPr>
          <w:t xml:space="preserve">таблицу 7</w:t>
        </w:r>
      </w:hyperlink>
      <w:r>
        <w:rPr>
          <w:sz w:val="20"/>
        </w:rPr>
        <w:t xml:space="preserve">).</w:t>
      </w:r>
    </w:p>
    <w:p>
      <w:pPr>
        <w:pStyle w:val="0"/>
        <w:ind w:firstLine="540"/>
        <w:jc w:val="both"/>
      </w:pPr>
      <w:r>
        <w:rPr>
          <w:sz w:val="20"/>
        </w:rPr>
      </w:r>
    </w:p>
    <w:p>
      <w:pPr>
        <w:pStyle w:val="0"/>
        <w:outlineLvl w:val="3"/>
        <w:jc w:val="right"/>
      </w:pPr>
      <w:r>
        <w:rPr>
          <w:sz w:val="20"/>
        </w:rPr>
        <w:t xml:space="preserve">Таблица 7</w:t>
      </w:r>
    </w:p>
    <w:p>
      <w:pPr>
        <w:pStyle w:val="0"/>
        <w:jc w:val="right"/>
      </w:pPr>
      <w:r>
        <w:rPr>
          <w:sz w:val="20"/>
        </w:rPr>
      </w:r>
    </w:p>
    <w:bookmarkStart w:id="22674" w:name="P22674"/>
    <w:bookmarkEnd w:id="22674"/>
    <w:p>
      <w:pPr>
        <w:pStyle w:val="2"/>
        <w:jc w:val="center"/>
      </w:pPr>
      <w:r>
        <w:rPr>
          <w:sz w:val="20"/>
        </w:rPr>
        <w:t xml:space="preserve">Динамика смертности от злокачественных новообразований</w:t>
      </w:r>
    </w:p>
    <w:p>
      <w:pPr>
        <w:pStyle w:val="2"/>
        <w:jc w:val="center"/>
      </w:pPr>
      <w:r>
        <w:rPr>
          <w:sz w:val="20"/>
        </w:rPr>
        <w:t xml:space="preserve">в автономном округе с 2011 по 2020 годы на 100 тыс.</w:t>
      </w:r>
    </w:p>
    <w:p>
      <w:pPr>
        <w:pStyle w:val="2"/>
        <w:jc w:val="center"/>
      </w:pPr>
      <w:r>
        <w:rPr>
          <w:sz w:val="20"/>
        </w:rPr>
        <w:t xml:space="preserve">населения (стандартизованный)</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13"/>
        <w:gridCol w:w="761"/>
        <w:gridCol w:w="708"/>
        <w:gridCol w:w="709"/>
        <w:gridCol w:w="851"/>
        <w:gridCol w:w="850"/>
        <w:gridCol w:w="851"/>
        <w:gridCol w:w="708"/>
        <w:gridCol w:w="851"/>
        <w:gridCol w:w="664"/>
        <w:gridCol w:w="664"/>
      </w:tblGrid>
      <w:tr>
        <w:tc>
          <w:tcPr>
            <w:tcW w:w="1413" w:type="dxa"/>
          </w:tcPr>
          <w:p>
            <w:pPr>
              <w:pStyle w:val="0"/>
              <w:jc w:val="center"/>
            </w:pPr>
            <w:r>
              <w:rPr>
                <w:sz w:val="20"/>
              </w:rPr>
              <w:t xml:space="preserve">Год</w:t>
            </w:r>
          </w:p>
        </w:tc>
        <w:tc>
          <w:tcPr>
            <w:tcW w:w="761" w:type="dxa"/>
          </w:tcPr>
          <w:p>
            <w:pPr>
              <w:pStyle w:val="0"/>
              <w:jc w:val="center"/>
            </w:pPr>
            <w:r>
              <w:rPr>
                <w:sz w:val="20"/>
              </w:rPr>
              <w:t xml:space="preserve">2011</w:t>
            </w:r>
          </w:p>
        </w:tc>
        <w:tc>
          <w:tcPr>
            <w:tcW w:w="708" w:type="dxa"/>
          </w:tcPr>
          <w:p>
            <w:pPr>
              <w:pStyle w:val="0"/>
              <w:jc w:val="center"/>
            </w:pPr>
            <w:r>
              <w:rPr>
                <w:sz w:val="20"/>
              </w:rPr>
              <w:t xml:space="preserve">2012</w:t>
            </w:r>
          </w:p>
        </w:tc>
        <w:tc>
          <w:tcPr>
            <w:tcW w:w="709" w:type="dxa"/>
          </w:tcPr>
          <w:p>
            <w:pPr>
              <w:pStyle w:val="0"/>
              <w:jc w:val="center"/>
            </w:pPr>
            <w:r>
              <w:rPr>
                <w:sz w:val="20"/>
              </w:rPr>
              <w:t xml:space="preserve">2013</w:t>
            </w:r>
          </w:p>
        </w:tc>
        <w:tc>
          <w:tcPr>
            <w:tcW w:w="851" w:type="dxa"/>
          </w:tcPr>
          <w:p>
            <w:pPr>
              <w:pStyle w:val="0"/>
              <w:jc w:val="center"/>
            </w:pPr>
            <w:r>
              <w:rPr>
                <w:sz w:val="20"/>
              </w:rPr>
              <w:t xml:space="preserve">2014</w:t>
            </w:r>
          </w:p>
        </w:tc>
        <w:tc>
          <w:tcPr>
            <w:tcW w:w="850" w:type="dxa"/>
          </w:tcPr>
          <w:p>
            <w:pPr>
              <w:pStyle w:val="0"/>
              <w:jc w:val="center"/>
            </w:pPr>
            <w:r>
              <w:rPr>
                <w:sz w:val="20"/>
              </w:rPr>
              <w:t xml:space="preserve">2015</w:t>
            </w:r>
          </w:p>
        </w:tc>
        <w:tc>
          <w:tcPr>
            <w:tcW w:w="851" w:type="dxa"/>
          </w:tcPr>
          <w:p>
            <w:pPr>
              <w:pStyle w:val="0"/>
              <w:jc w:val="center"/>
            </w:pPr>
            <w:r>
              <w:rPr>
                <w:sz w:val="20"/>
              </w:rPr>
              <w:t xml:space="preserve">2016</w:t>
            </w:r>
          </w:p>
        </w:tc>
        <w:tc>
          <w:tcPr>
            <w:tcW w:w="708" w:type="dxa"/>
          </w:tcPr>
          <w:p>
            <w:pPr>
              <w:pStyle w:val="0"/>
              <w:jc w:val="center"/>
            </w:pPr>
            <w:r>
              <w:rPr>
                <w:sz w:val="20"/>
              </w:rPr>
              <w:t xml:space="preserve">2017</w:t>
            </w:r>
          </w:p>
        </w:tc>
        <w:tc>
          <w:tcPr>
            <w:tcW w:w="851" w:type="dxa"/>
          </w:tcPr>
          <w:p>
            <w:pPr>
              <w:pStyle w:val="0"/>
              <w:jc w:val="center"/>
            </w:pPr>
            <w:r>
              <w:rPr>
                <w:sz w:val="20"/>
              </w:rPr>
              <w:t xml:space="preserve">2018</w:t>
            </w:r>
          </w:p>
        </w:tc>
        <w:tc>
          <w:tcPr>
            <w:tcW w:w="664" w:type="dxa"/>
          </w:tcPr>
          <w:p>
            <w:pPr>
              <w:pStyle w:val="0"/>
              <w:jc w:val="center"/>
            </w:pPr>
            <w:r>
              <w:rPr>
                <w:sz w:val="20"/>
              </w:rPr>
              <w:t xml:space="preserve">2019</w:t>
            </w:r>
          </w:p>
        </w:tc>
        <w:tc>
          <w:tcPr>
            <w:tcW w:w="664" w:type="dxa"/>
          </w:tcPr>
          <w:p>
            <w:pPr>
              <w:pStyle w:val="0"/>
              <w:jc w:val="center"/>
            </w:pPr>
            <w:r>
              <w:rPr>
                <w:sz w:val="20"/>
              </w:rPr>
              <w:t xml:space="preserve">2020</w:t>
            </w:r>
          </w:p>
        </w:tc>
      </w:tr>
      <w:tr>
        <w:tc>
          <w:tcPr>
            <w:tcW w:w="1413" w:type="dxa"/>
          </w:tcPr>
          <w:p>
            <w:pPr>
              <w:pStyle w:val="0"/>
            </w:pPr>
            <w:r>
              <w:rPr>
                <w:sz w:val="20"/>
              </w:rPr>
              <w:t xml:space="preserve">Смертность</w:t>
            </w:r>
          </w:p>
        </w:tc>
        <w:tc>
          <w:tcPr>
            <w:tcW w:w="761" w:type="dxa"/>
          </w:tcPr>
          <w:p>
            <w:pPr>
              <w:pStyle w:val="0"/>
            </w:pPr>
            <w:r>
              <w:rPr>
                <w:sz w:val="20"/>
              </w:rPr>
              <w:t xml:space="preserve">122,1</w:t>
            </w:r>
          </w:p>
        </w:tc>
        <w:tc>
          <w:tcPr>
            <w:tcW w:w="708" w:type="dxa"/>
          </w:tcPr>
          <w:p>
            <w:pPr>
              <w:pStyle w:val="0"/>
            </w:pPr>
            <w:r>
              <w:rPr>
                <w:sz w:val="20"/>
              </w:rPr>
              <w:t xml:space="preserve">117,4</w:t>
            </w:r>
          </w:p>
        </w:tc>
        <w:tc>
          <w:tcPr>
            <w:tcW w:w="709" w:type="dxa"/>
          </w:tcPr>
          <w:p>
            <w:pPr>
              <w:pStyle w:val="0"/>
            </w:pPr>
            <w:r>
              <w:rPr>
                <w:sz w:val="20"/>
              </w:rPr>
              <w:t xml:space="preserve">116,9</w:t>
            </w:r>
          </w:p>
        </w:tc>
        <w:tc>
          <w:tcPr>
            <w:tcW w:w="851" w:type="dxa"/>
          </w:tcPr>
          <w:p>
            <w:pPr>
              <w:pStyle w:val="0"/>
            </w:pPr>
            <w:r>
              <w:rPr>
                <w:sz w:val="20"/>
              </w:rPr>
              <w:t xml:space="preserve">119,2</w:t>
            </w:r>
          </w:p>
        </w:tc>
        <w:tc>
          <w:tcPr>
            <w:tcW w:w="850" w:type="dxa"/>
          </w:tcPr>
          <w:p>
            <w:pPr>
              <w:pStyle w:val="0"/>
            </w:pPr>
            <w:r>
              <w:rPr>
                <w:sz w:val="20"/>
              </w:rPr>
              <w:t xml:space="preserve">107,7</w:t>
            </w:r>
          </w:p>
        </w:tc>
        <w:tc>
          <w:tcPr>
            <w:tcW w:w="851" w:type="dxa"/>
          </w:tcPr>
          <w:p>
            <w:pPr>
              <w:pStyle w:val="0"/>
            </w:pPr>
            <w:r>
              <w:rPr>
                <w:sz w:val="20"/>
              </w:rPr>
              <w:t xml:space="preserve">102,1</w:t>
            </w:r>
          </w:p>
        </w:tc>
        <w:tc>
          <w:tcPr>
            <w:tcW w:w="708" w:type="dxa"/>
          </w:tcPr>
          <w:p>
            <w:pPr>
              <w:pStyle w:val="0"/>
            </w:pPr>
            <w:r>
              <w:rPr>
                <w:sz w:val="20"/>
              </w:rPr>
              <w:t xml:space="preserve">98,15</w:t>
            </w:r>
          </w:p>
        </w:tc>
        <w:tc>
          <w:tcPr>
            <w:tcW w:w="851" w:type="dxa"/>
          </w:tcPr>
          <w:p>
            <w:pPr>
              <w:pStyle w:val="0"/>
            </w:pPr>
            <w:r>
              <w:rPr>
                <w:sz w:val="20"/>
              </w:rPr>
              <w:t xml:space="preserve">105,79</w:t>
            </w:r>
          </w:p>
        </w:tc>
        <w:tc>
          <w:tcPr>
            <w:tcW w:w="664" w:type="dxa"/>
          </w:tcPr>
          <w:p>
            <w:pPr>
              <w:pStyle w:val="0"/>
            </w:pPr>
            <w:r>
              <w:rPr>
                <w:sz w:val="20"/>
              </w:rPr>
              <w:t xml:space="preserve">90,45</w:t>
            </w:r>
          </w:p>
        </w:tc>
        <w:tc>
          <w:tcPr>
            <w:tcW w:w="664" w:type="dxa"/>
          </w:tcPr>
          <w:p>
            <w:pPr>
              <w:pStyle w:val="0"/>
            </w:pPr>
            <w:r>
              <w:rPr>
                <w:sz w:val="20"/>
              </w:rPr>
              <w:t xml:space="preserve">н/д</w:t>
            </w:r>
          </w:p>
        </w:tc>
      </w:tr>
    </w:tbl>
    <w:p>
      <w:pPr>
        <w:pStyle w:val="0"/>
        <w:ind w:firstLine="540"/>
        <w:jc w:val="both"/>
      </w:pPr>
      <w:r>
        <w:rPr>
          <w:sz w:val="20"/>
        </w:rPr>
      </w:r>
    </w:p>
    <w:p>
      <w:pPr>
        <w:pStyle w:val="0"/>
        <w:ind w:firstLine="540"/>
        <w:jc w:val="both"/>
      </w:pPr>
      <w:r>
        <w:rPr>
          <w:sz w:val="20"/>
        </w:rPr>
        <w:t xml:space="preserve">Таким образом, несмотря на сохраняющуюся тенденцию в автономном округе к увеличению численности старших возрастных групп, неблагоприятная ситуация по увеличению смертности населения от злокачественных новообразований прослеживается только в показателе смертности на 100 тыс. населения, но продолжает снижаться в пересчете на показатель, стандартизованный по возрасту.</w:t>
      </w:r>
    </w:p>
    <w:p>
      <w:pPr>
        <w:pStyle w:val="0"/>
        <w:spacing w:before="200" w:line-rule="auto"/>
        <w:ind w:firstLine="540"/>
        <w:jc w:val="both"/>
      </w:pPr>
      <w:r>
        <w:rPr>
          <w:sz w:val="20"/>
        </w:rPr>
        <w:t xml:space="preserve">В разрезе муниципальных образований в 2020 году высокая смертность (выше уровня по РФ - 199,0 на 100 тыс. населения) наблюдалась в Октябрьском муниципальном районе - 235,8 на 100 тыс. населения, Ханты-Мансийском муниципальном районе - 228,4 на 100 тыс. населения, при этом большинство муниципальных образований, как и округ в целом имеют более низкую смертность от злокачественных новообразований, чем по РФ.</w:t>
      </w:r>
    </w:p>
    <w:p>
      <w:pPr>
        <w:pStyle w:val="0"/>
        <w:jc w:val="right"/>
      </w:pPr>
      <w:r>
        <w:rPr>
          <w:sz w:val="20"/>
        </w:rPr>
      </w:r>
    </w:p>
    <w:p>
      <w:pPr>
        <w:pStyle w:val="0"/>
        <w:outlineLvl w:val="3"/>
        <w:jc w:val="right"/>
      </w:pPr>
      <w:r>
        <w:rPr>
          <w:sz w:val="20"/>
        </w:rPr>
        <w:t xml:space="preserve">Таблица 8</w:t>
      </w:r>
    </w:p>
    <w:p>
      <w:pPr>
        <w:pStyle w:val="0"/>
        <w:jc w:val="right"/>
      </w:pPr>
      <w:r>
        <w:rPr>
          <w:sz w:val="20"/>
        </w:rPr>
      </w:r>
    </w:p>
    <w:p>
      <w:pPr>
        <w:pStyle w:val="2"/>
        <w:jc w:val="center"/>
      </w:pPr>
      <w:r>
        <w:rPr>
          <w:sz w:val="20"/>
        </w:rPr>
        <w:t xml:space="preserve">Смертность от злокачественных новообразований в автономном</w:t>
      </w:r>
    </w:p>
    <w:p>
      <w:pPr>
        <w:pStyle w:val="2"/>
        <w:jc w:val="center"/>
      </w:pPr>
      <w:r>
        <w:rPr>
          <w:sz w:val="20"/>
        </w:rPr>
        <w:t xml:space="preserve">округе по муниципальным образованиям за 2018 - 2020 годы (на</w:t>
      </w:r>
    </w:p>
    <w:p>
      <w:pPr>
        <w:pStyle w:val="2"/>
        <w:jc w:val="center"/>
      </w:pPr>
      <w:r>
        <w:rPr>
          <w:sz w:val="20"/>
        </w:rPr>
        <w:t xml:space="preserve">100 тыс. населения)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66"/>
        <w:gridCol w:w="1000"/>
        <w:gridCol w:w="1005"/>
        <w:gridCol w:w="1000"/>
      </w:tblGrid>
      <w:tr>
        <w:tc>
          <w:tcPr>
            <w:tcW w:w="6066" w:type="dxa"/>
          </w:tcPr>
          <w:p>
            <w:pPr>
              <w:pStyle w:val="0"/>
              <w:jc w:val="center"/>
            </w:pPr>
            <w:r>
              <w:rPr>
                <w:sz w:val="20"/>
              </w:rPr>
            </w:r>
          </w:p>
        </w:tc>
        <w:tc>
          <w:tcPr>
            <w:tcW w:w="1000" w:type="dxa"/>
          </w:tcPr>
          <w:p>
            <w:pPr>
              <w:pStyle w:val="0"/>
              <w:jc w:val="center"/>
            </w:pPr>
            <w:r>
              <w:rPr>
                <w:sz w:val="20"/>
              </w:rPr>
              <w:t xml:space="preserve">2018</w:t>
            </w:r>
          </w:p>
        </w:tc>
        <w:tc>
          <w:tcPr>
            <w:tcW w:w="1005" w:type="dxa"/>
          </w:tcPr>
          <w:p>
            <w:pPr>
              <w:pStyle w:val="0"/>
              <w:jc w:val="center"/>
            </w:pPr>
            <w:r>
              <w:rPr>
                <w:sz w:val="20"/>
              </w:rPr>
              <w:t xml:space="preserve">2019</w:t>
            </w:r>
          </w:p>
        </w:tc>
        <w:tc>
          <w:tcPr>
            <w:tcW w:w="1000" w:type="dxa"/>
          </w:tcPr>
          <w:p>
            <w:pPr>
              <w:pStyle w:val="0"/>
              <w:jc w:val="center"/>
            </w:pPr>
            <w:r>
              <w:rPr>
                <w:sz w:val="20"/>
              </w:rPr>
              <w:t xml:space="preserve">2020</w:t>
            </w:r>
          </w:p>
        </w:tc>
      </w:tr>
      <w:tr>
        <w:tc>
          <w:tcPr>
            <w:tcW w:w="6066" w:type="dxa"/>
          </w:tcPr>
          <w:p>
            <w:pPr>
              <w:pStyle w:val="0"/>
            </w:pPr>
            <w:r>
              <w:rPr>
                <w:sz w:val="20"/>
              </w:rPr>
              <w:t xml:space="preserve">муниципальные районы:</w:t>
            </w:r>
          </w:p>
        </w:tc>
        <w:tc>
          <w:tcPr>
            <w:tcW w:w="1000" w:type="dxa"/>
          </w:tcPr>
          <w:p>
            <w:pPr>
              <w:pStyle w:val="0"/>
            </w:pPr>
            <w:r>
              <w:rPr>
                <w:sz w:val="20"/>
              </w:rPr>
            </w:r>
          </w:p>
        </w:tc>
        <w:tc>
          <w:tcPr>
            <w:tcW w:w="1005" w:type="dxa"/>
          </w:tcPr>
          <w:p>
            <w:pPr>
              <w:pStyle w:val="0"/>
            </w:pPr>
            <w:r>
              <w:rPr>
                <w:sz w:val="20"/>
              </w:rPr>
            </w:r>
          </w:p>
        </w:tc>
        <w:tc>
          <w:tcPr>
            <w:tcW w:w="1000" w:type="dxa"/>
          </w:tcPr>
          <w:p>
            <w:pPr>
              <w:pStyle w:val="0"/>
            </w:pPr>
            <w:r>
              <w:rPr>
                <w:sz w:val="20"/>
              </w:rPr>
            </w:r>
          </w:p>
        </w:tc>
      </w:tr>
      <w:tr>
        <w:tc>
          <w:tcPr>
            <w:tcW w:w="6066" w:type="dxa"/>
          </w:tcPr>
          <w:p>
            <w:pPr>
              <w:pStyle w:val="0"/>
            </w:pPr>
            <w:r>
              <w:rPr>
                <w:sz w:val="20"/>
              </w:rPr>
              <w:t xml:space="preserve">Белоярский</w:t>
            </w:r>
          </w:p>
        </w:tc>
        <w:tc>
          <w:tcPr>
            <w:tcW w:w="1000" w:type="dxa"/>
          </w:tcPr>
          <w:p>
            <w:pPr>
              <w:pStyle w:val="0"/>
            </w:pPr>
            <w:r>
              <w:rPr>
                <w:sz w:val="20"/>
              </w:rPr>
              <w:t xml:space="preserve">125,5</w:t>
            </w:r>
          </w:p>
        </w:tc>
        <w:tc>
          <w:tcPr>
            <w:tcW w:w="1005" w:type="dxa"/>
          </w:tcPr>
          <w:p>
            <w:pPr>
              <w:pStyle w:val="0"/>
            </w:pPr>
            <w:r>
              <w:rPr>
                <w:sz w:val="20"/>
              </w:rPr>
              <w:t xml:space="preserve">102,0</w:t>
            </w:r>
          </w:p>
        </w:tc>
        <w:tc>
          <w:tcPr>
            <w:tcW w:w="1000" w:type="dxa"/>
          </w:tcPr>
          <w:p>
            <w:pPr>
              <w:pStyle w:val="0"/>
            </w:pPr>
            <w:r>
              <w:rPr>
                <w:sz w:val="20"/>
              </w:rPr>
              <w:t xml:space="preserve">91,0</w:t>
            </w:r>
          </w:p>
        </w:tc>
      </w:tr>
      <w:tr>
        <w:tc>
          <w:tcPr>
            <w:tcW w:w="6066" w:type="dxa"/>
          </w:tcPr>
          <w:p>
            <w:pPr>
              <w:pStyle w:val="0"/>
            </w:pPr>
            <w:r>
              <w:rPr>
                <w:sz w:val="20"/>
              </w:rPr>
              <w:t xml:space="preserve">Березовский</w:t>
            </w:r>
          </w:p>
        </w:tc>
        <w:tc>
          <w:tcPr>
            <w:tcW w:w="1000" w:type="dxa"/>
          </w:tcPr>
          <w:p>
            <w:pPr>
              <w:pStyle w:val="0"/>
            </w:pPr>
            <w:r>
              <w:rPr>
                <w:sz w:val="20"/>
              </w:rPr>
              <w:t xml:space="preserve">218,4</w:t>
            </w:r>
          </w:p>
        </w:tc>
        <w:tc>
          <w:tcPr>
            <w:tcW w:w="1005" w:type="dxa"/>
          </w:tcPr>
          <w:p>
            <w:pPr>
              <w:pStyle w:val="0"/>
            </w:pPr>
            <w:r>
              <w:rPr>
                <w:sz w:val="20"/>
              </w:rPr>
              <w:t xml:space="preserve">193,6</w:t>
            </w:r>
          </w:p>
        </w:tc>
        <w:tc>
          <w:tcPr>
            <w:tcW w:w="1000" w:type="dxa"/>
          </w:tcPr>
          <w:p>
            <w:pPr>
              <w:pStyle w:val="0"/>
            </w:pPr>
            <w:r>
              <w:rPr>
                <w:sz w:val="20"/>
              </w:rPr>
              <w:t xml:space="preserve">157,5</w:t>
            </w:r>
          </w:p>
        </w:tc>
      </w:tr>
      <w:tr>
        <w:tc>
          <w:tcPr>
            <w:tcW w:w="6066" w:type="dxa"/>
          </w:tcPr>
          <w:p>
            <w:pPr>
              <w:pStyle w:val="0"/>
            </w:pPr>
            <w:r>
              <w:rPr>
                <w:sz w:val="20"/>
              </w:rPr>
              <w:t xml:space="preserve">Кондинский</w:t>
            </w:r>
          </w:p>
        </w:tc>
        <w:tc>
          <w:tcPr>
            <w:tcW w:w="1000" w:type="dxa"/>
          </w:tcPr>
          <w:p>
            <w:pPr>
              <w:pStyle w:val="0"/>
            </w:pPr>
            <w:r>
              <w:rPr>
                <w:sz w:val="20"/>
              </w:rPr>
              <w:t xml:space="preserve">223,4</w:t>
            </w:r>
          </w:p>
        </w:tc>
        <w:tc>
          <w:tcPr>
            <w:tcW w:w="1005" w:type="dxa"/>
          </w:tcPr>
          <w:p>
            <w:pPr>
              <w:pStyle w:val="0"/>
            </w:pPr>
            <w:r>
              <w:rPr>
                <w:sz w:val="20"/>
              </w:rPr>
              <w:t xml:space="preserve">191,8</w:t>
            </w:r>
          </w:p>
        </w:tc>
        <w:tc>
          <w:tcPr>
            <w:tcW w:w="1000" w:type="dxa"/>
          </w:tcPr>
          <w:p>
            <w:pPr>
              <w:pStyle w:val="0"/>
            </w:pPr>
            <w:r>
              <w:rPr>
                <w:sz w:val="20"/>
              </w:rPr>
              <w:t xml:space="preserve">179,4</w:t>
            </w:r>
          </w:p>
        </w:tc>
      </w:tr>
      <w:tr>
        <w:tc>
          <w:tcPr>
            <w:tcW w:w="6066" w:type="dxa"/>
          </w:tcPr>
          <w:p>
            <w:pPr>
              <w:pStyle w:val="0"/>
            </w:pPr>
            <w:r>
              <w:rPr>
                <w:sz w:val="20"/>
              </w:rPr>
              <w:t xml:space="preserve">Нефтеюганский</w:t>
            </w:r>
          </w:p>
        </w:tc>
        <w:tc>
          <w:tcPr>
            <w:tcW w:w="1000" w:type="dxa"/>
          </w:tcPr>
          <w:p>
            <w:pPr>
              <w:pStyle w:val="0"/>
            </w:pPr>
            <w:r>
              <w:rPr>
                <w:sz w:val="20"/>
              </w:rPr>
              <w:t xml:space="preserve">64,7</w:t>
            </w:r>
          </w:p>
        </w:tc>
        <w:tc>
          <w:tcPr>
            <w:tcW w:w="1005" w:type="dxa"/>
          </w:tcPr>
          <w:p>
            <w:pPr>
              <w:pStyle w:val="0"/>
            </w:pPr>
            <w:r>
              <w:rPr>
                <w:sz w:val="20"/>
              </w:rPr>
              <w:t xml:space="preserve">82,9</w:t>
            </w:r>
          </w:p>
        </w:tc>
        <w:tc>
          <w:tcPr>
            <w:tcW w:w="1000" w:type="dxa"/>
          </w:tcPr>
          <w:p>
            <w:pPr>
              <w:pStyle w:val="0"/>
            </w:pPr>
            <w:r>
              <w:rPr>
                <w:sz w:val="20"/>
              </w:rPr>
              <w:t xml:space="preserve">111,5</w:t>
            </w:r>
          </w:p>
        </w:tc>
      </w:tr>
      <w:tr>
        <w:tc>
          <w:tcPr>
            <w:tcW w:w="6066" w:type="dxa"/>
          </w:tcPr>
          <w:p>
            <w:pPr>
              <w:pStyle w:val="0"/>
            </w:pPr>
            <w:r>
              <w:rPr>
                <w:sz w:val="20"/>
              </w:rPr>
              <w:t xml:space="preserve">Нижневартовский</w:t>
            </w:r>
          </w:p>
        </w:tc>
        <w:tc>
          <w:tcPr>
            <w:tcW w:w="1000" w:type="dxa"/>
          </w:tcPr>
          <w:p>
            <w:pPr>
              <w:pStyle w:val="0"/>
            </w:pPr>
            <w:r>
              <w:rPr>
                <w:sz w:val="20"/>
              </w:rPr>
              <w:t xml:space="preserve">110,9</w:t>
            </w:r>
          </w:p>
        </w:tc>
        <w:tc>
          <w:tcPr>
            <w:tcW w:w="1005" w:type="dxa"/>
          </w:tcPr>
          <w:p>
            <w:pPr>
              <w:pStyle w:val="0"/>
            </w:pPr>
            <w:r>
              <w:rPr>
                <w:sz w:val="20"/>
              </w:rPr>
              <w:t xml:space="preserve">80,6</w:t>
            </w:r>
          </w:p>
        </w:tc>
        <w:tc>
          <w:tcPr>
            <w:tcW w:w="1000" w:type="dxa"/>
          </w:tcPr>
          <w:p>
            <w:pPr>
              <w:pStyle w:val="0"/>
            </w:pPr>
            <w:r>
              <w:rPr>
                <w:sz w:val="20"/>
              </w:rPr>
              <w:t xml:space="preserve">96,9</w:t>
            </w:r>
          </w:p>
        </w:tc>
      </w:tr>
      <w:tr>
        <w:tc>
          <w:tcPr>
            <w:tcW w:w="6066" w:type="dxa"/>
          </w:tcPr>
          <w:p>
            <w:pPr>
              <w:pStyle w:val="0"/>
            </w:pPr>
            <w:r>
              <w:rPr>
                <w:sz w:val="20"/>
              </w:rPr>
              <w:t xml:space="preserve">Октябрьский</w:t>
            </w:r>
          </w:p>
        </w:tc>
        <w:tc>
          <w:tcPr>
            <w:tcW w:w="1000" w:type="dxa"/>
          </w:tcPr>
          <w:p>
            <w:pPr>
              <w:pStyle w:val="0"/>
            </w:pPr>
            <w:r>
              <w:rPr>
                <w:sz w:val="20"/>
              </w:rPr>
              <w:t xml:space="preserve">275,9</w:t>
            </w:r>
          </w:p>
        </w:tc>
        <w:tc>
          <w:tcPr>
            <w:tcW w:w="1005" w:type="dxa"/>
          </w:tcPr>
          <w:p>
            <w:pPr>
              <w:pStyle w:val="0"/>
            </w:pPr>
            <w:r>
              <w:rPr>
                <w:sz w:val="20"/>
              </w:rPr>
              <w:t xml:space="preserve">223,6</w:t>
            </w:r>
          </w:p>
        </w:tc>
        <w:tc>
          <w:tcPr>
            <w:tcW w:w="1000" w:type="dxa"/>
          </w:tcPr>
          <w:p>
            <w:pPr>
              <w:pStyle w:val="0"/>
            </w:pPr>
            <w:r>
              <w:rPr>
                <w:sz w:val="20"/>
              </w:rPr>
              <w:t xml:space="preserve">235,8</w:t>
            </w:r>
          </w:p>
        </w:tc>
      </w:tr>
      <w:tr>
        <w:tc>
          <w:tcPr>
            <w:tcW w:w="6066" w:type="dxa"/>
          </w:tcPr>
          <w:p>
            <w:pPr>
              <w:pStyle w:val="0"/>
            </w:pPr>
            <w:r>
              <w:rPr>
                <w:sz w:val="20"/>
              </w:rPr>
              <w:t xml:space="preserve">Советский</w:t>
            </w:r>
          </w:p>
        </w:tc>
        <w:tc>
          <w:tcPr>
            <w:tcW w:w="1000" w:type="dxa"/>
          </w:tcPr>
          <w:p>
            <w:pPr>
              <w:pStyle w:val="0"/>
            </w:pPr>
            <w:r>
              <w:rPr>
                <w:sz w:val="20"/>
              </w:rPr>
              <w:t xml:space="preserve">157,3</w:t>
            </w:r>
          </w:p>
        </w:tc>
        <w:tc>
          <w:tcPr>
            <w:tcW w:w="1005" w:type="dxa"/>
          </w:tcPr>
          <w:p>
            <w:pPr>
              <w:pStyle w:val="0"/>
            </w:pPr>
            <w:r>
              <w:rPr>
                <w:sz w:val="20"/>
              </w:rPr>
              <w:t xml:space="preserve">152,4</w:t>
            </w:r>
          </w:p>
        </w:tc>
        <w:tc>
          <w:tcPr>
            <w:tcW w:w="1000" w:type="dxa"/>
          </w:tcPr>
          <w:p>
            <w:pPr>
              <w:pStyle w:val="0"/>
            </w:pPr>
            <w:r>
              <w:rPr>
                <w:sz w:val="20"/>
              </w:rPr>
              <w:t xml:space="preserve">143,2</w:t>
            </w:r>
          </w:p>
        </w:tc>
      </w:tr>
      <w:tr>
        <w:tc>
          <w:tcPr>
            <w:tcW w:w="6066" w:type="dxa"/>
          </w:tcPr>
          <w:p>
            <w:pPr>
              <w:pStyle w:val="0"/>
            </w:pPr>
            <w:r>
              <w:rPr>
                <w:sz w:val="20"/>
              </w:rPr>
              <w:t xml:space="preserve">Сургутский</w:t>
            </w:r>
          </w:p>
        </w:tc>
        <w:tc>
          <w:tcPr>
            <w:tcW w:w="1000" w:type="dxa"/>
          </w:tcPr>
          <w:p>
            <w:pPr>
              <w:pStyle w:val="0"/>
            </w:pPr>
            <w:r>
              <w:rPr>
                <w:sz w:val="20"/>
              </w:rPr>
              <w:t xml:space="preserve">90,9</w:t>
            </w:r>
          </w:p>
        </w:tc>
        <w:tc>
          <w:tcPr>
            <w:tcW w:w="1005" w:type="dxa"/>
          </w:tcPr>
          <w:p>
            <w:pPr>
              <w:pStyle w:val="0"/>
            </w:pPr>
            <w:r>
              <w:rPr>
                <w:sz w:val="20"/>
              </w:rPr>
              <w:t xml:space="preserve">71,0</w:t>
            </w:r>
          </w:p>
        </w:tc>
        <w:tc>
          <w:tcPr>
            <w:tcW w:w="1000" w:type="dxa"/>
          </w:tcPr>
          <w:p>
            <w:pPr>
              <w:pStyle w:val="0"/>
            </w:pPr>
            <w:r>
              <w:rPr>
                <w:sz w:val="20"/>
              </w:rPr>
              <w:t xml:space="preserve">107,6</w:t>
            </w:r>
          </w:p>
        </w:tc>
      </w:tr>
      <w:tr>
        <w:tc>
          <w:tcPr>
            <w:tcW w:w="6066" w:type="dxa"/>
          </w:tcPr>
          <w:p>
            <w:pPr>
              <w:pStyle w:val="0"/>
            </w:pPr>
            <w:r>
              <w:rPr>
                <w:sz w:val="20"/>
              </w:rPr>
              <w:t xml:space="preserve">Ханты-Мансийский</w:t>
            </w:r>
          </w:p>
        </w:tc>
        <w:tc>
          <w:tcPr>
            <w:tcW w:w="1000" w:type="dxa"/>
          </w:tcPr>
          <w:p>
            <w:pPr>
              <w:pStyle w:val="0"/>
            </w:pPr>
            <w:r>
              <w:rPr>
                <w:sz w:val="20"/>
              </w:rPr>
              <w:t xml:space="preserve">224,8</w:t>
            </w:r>
          </w:p>
        </w:tc>
        <w:tc>
          <w:tcPr>
            <w:tcW w:w="1005" w:type="dxa"/>
          </w:tcPr>
          <w:p>
            <w:pPr>
              <w:pStyle w:val="0"/>
            </w:pPr>
            <w:r>
              <w:rPr>
                <w:sz w:val="20"/>
              </w:rPr>
              <w:t xml:space="preserve">211,0</w:t>
            </w:r>
          </w:p>
        </w:tc>
        <w:tc>
          <w:tcPr>
            <w:tcW w:w="1000" w:type="dxa"/>
          </w:tcPr>
          <w:p>
            <w:pPr>
              <w:pStyle w:val="0"/>
            </w:pPr>
            <w:r>
              <w:rPr>
                <w:sz w:val="20"/>
              </w:rPr>
              <w:t xml:space="preserve">228,4</w:t>
            </w:r>
          </w:p>
        </w:tc>
      </w:tr>
      <w:tr>
        <w:tc>
          <w:tcPr>
            <w:tcW w:w="6066" w:type="dxa"/>
          </w:tcPr>
          <w:p>
            <w:pPr>
              <w:pStyle w:val="0"/>
            </w:pPr>
            <w:r>
              <w:rPr>
                <w:sz w:val="20"/>
              </w:rPr>
              <w:t xml:space="preserve">городские округа:</w:t>
            </w:r>
          </w:p>
        </w:tc>
        <w:tc>
          <w:tcPr>
            <w:tcW w:w="1000" w:type="dxa"/>
          </w:tcPr>
          <w:p>
            <w:pPr>
              <w:pStyle w:val="0"/>
            </w:pPr>
            <w:r>
              <w:rPr>
                <w:sz w:val="20"/>
              </w:rPr>
            </w:r>
          </w:p>
        </w:tc>
        <w:tc>
          <w:tcPr>
            <w:tcW w:w="1005" w:type="dxa"/>
          </w:tcPr>
          <w:p>
            <w:pPr>
              <w:pStyle w:val="0"/>
            </w:pPr>
            <w:r>
              <w:rPr>
                <w:sz w:val="20"/>
              </w:rPr>
            </w:r>
          </w:p>
        </w:tc>
        <w:tc>
          <w:tcPr>
            <w:tcW w:w="1000" w:type="dxa"/>
          </w:tcPr>
          <w:p>
            <w:pPr>
              <w:pStyle w:val="0"/>
            </w:pPr>
            <w:r>
              <w:rPr>
                <w:sz w:val="20"/>
              </w:rPr>
            </w:r>
          </w:p>
        </w:tc>
      </w:tr>
      <w:tr>
        <w:tc>
          <w:tcPr>
            <w:tcW w:w="6066" w:type="dxa"/>
          </w:tcPr>
          <w:p>
            <w:pPr>
              <w:pStyle w:val="0"/>
            </w:pPr>
            <w:r>
              <w:rPr>
                <w:sz w:val="20"/>
              </w:rPr>
              <w:t xml:space="preserve">Когалым</w:t>
            </w:r>
          </w:p>
        </w:tc>
        <w:tc>
          <w:tcPr>
            <w:tcW w:w="1000" w:type="dxa"/>
          </w:tcPr>
          <w:p>
            <w:pPr>
              <w:pStyle w:val="0"/>
            </w:pPr>
            <w:r>
              <w:rPr>
                <w:sz w:val="20"/>
              </w:rPr>
              <w:t xml:space="preserve">72,1</w:t>
            </w:r>
          </w:p>
        </w:tc>
        <w:tc>
          <w:tcPr>
            <w:tcW w:w="1005" w:type="dxa"/>
          </w:tcPr>
          <w:p>
            <w:pPr>
              <w:pStyle w:val="0"/>
            </w:pPr>
            <w:r>
              <w:rPr>
                <w:sz w:val="20"/>
              </w:rPr>
              <w:t xml:space="preserve">54,9</w:t>
            </w:r>
          </w:p>
        </w:tc>
        <w:tc>
          <w:tcPr>
            <w:tcW w:w="1000" w:type="dxa"/>
          </w:tcPr>
          <w:p>
            <w:pPr>
              <w:pStyle w:val="0"/>
            </w:pPr>
            <w:r>
              <w:rPr>
                <w:sz w:val="20"/>
              </w:rPr>
              <w:t xml:space="preserve">80,5</w:t>
            </w:r>
          </w:p>
        </w:tc>
      </w:tr>
      <w:tr>
        <w:tc>
          <w:tcPr>
            <w:tcW w:w="6066" w:type="dxa"/>
          </w:tcPr>
          <w:p>
            <w:pPr>
              <w:pStyle w:val="0"/>
            </w:pPr>
            <w:r>
              <w:rPr>
                <w:sz w:val="20"/>
              </w:rPr>
              <w:t xml:space="preserve">Лангепас</w:t>
            </w:r>
          </w:p>
        </w:tc>
        <w:tc>
          <w:tcPr>
            <w:tcW w:w="1000" w:type="dxa"/>
          </w:tcPr>
          <w:p>
            <w:pPr>
              <w:pStyle w:val="0"/>
            </w:pPr>
            <w:r>
              <w:rPr>
                <w:sz w:val="20"/>
              </w:rPr>
              <w:t xml:space="preserve">96,6</w:t>
            </w:r>
          </w:p>
        </w:tc>
        <w:tc>
          <w:tcPr>
            <w:tcW w:w="1005" w:type="dxa"/>
          </w:tcPr>
          <w:p>
            <w:pPr>
              <w:pStyle w:val="0"/>
            </w:pPr>
            <w:r>
              <w:rPr>
                <w:sz w:val="20"/>
              </w:rPr>
              <w:t xml:space="preserve">91,6</w:t>
            </w:r>
          </w:p>
        </w:tc>
        <w:tc>
          <w:tcPr>
            <w:tcW w:w="1000" w:type="dxa"/>
          </w:tcPr>
          <w:p>
            <w:pPr>
              <w:pStyle w:val="0"/>
            </w:pPr>
            <w:r>
              <w:rPr>
                <w:sz w:val="20"/>
              </w:rPr>
              <w:t xml:space="preserve">80,0</w:t>
            </w:r>
          </w:p>
        </w:tc>
      </w:tr>
      <w:tr>
        <w:tc>
          <w:tcPr>
            <w:tcW w:w="6066" w:type="dxa"/>
          </w:tcPr>
          <w:p>
            <w:pPr>
              <w:pStyle w:val="0"/>
            </w:pPr>
            <w:r>
              <w:rPr>
                <w:sz w:val="20"/>
              </w:rPr>
              <w:t xml:space="preserve">Мегион</w:t>
            </w:r>
          </w:p>
        </w:tc>
        <w:tc>
          <w:tcPr>
            <w:tcW w:w="1000" w:type="dxa"/>
          </w:tcPr>
          <w:p>
            <w:pPr>
              <w:pStyle w:val="0"/>
            </w:pPr>
            <w:r>
              <w:rPr>
                <w:sz w:val="20"/>
              </w:rPr>
              <w:t xml:space="preserve">124,9</w:t>
            </w:r>
          </w:p>
        </w:tc>
        <w:tc>
          <w:tcPr>
            <w:tcW w:w="1005" w:type="dxa"/>
          </w:tcPr>
          <w:p>
            <w:pPr>
              <w:pStyle w:val="0"/>
            </w:pPr>
            <w:r>
              <w:rPr>
                <w:sz w:val="20"/>
              </w:rPr>
              <w:t xml:space="preserve">131,9</w:t>
            </w:r>
          </w:p>
        </w:tc>
        <w:tc>
          <w:tcPr>
            <w:tcW w:w="1000" w:type="dxa"/>
          </w:tcPr>
          <w:p>
            <w:pPr>
              <w:pStyle w:val="0"/>
            </w:pPr>
            <w:r>
              <w:rPr>
                <w:sz w:val="20"/>
              </w:rPr>
              <w:t xml:space="preserve">139,0</w:t>
            </w:r>
          </w:p>
        </w:tc>
      </w:tr>
      <w:tr>
        <w:tc>
          <w:tcPr>
            <w:tcW w:w="6066" w:type="dxa"/>
          </w:tcPr>
          <w:p>
            <w:pPr>
              <w:pStyle w:val="0"/>
            </w:pPr>
            <w:r>
              <w:rPr>
                <w:sz w:val="20"/>
              </w:rPr>
              <w:t xml:space="preserve">Нягань</w:t>
            </w:r>
          </w:p>
        </w:tc>
        <w:tc>
          <w:tcPr>
            <w:tcW w:w="1000" w:type="dxa"/>
          </w:tcPr>
          <w:p>
            <w:pPr>
              <w:pStyle w:val="0"/>
            </w:pPr>
            <w:r>
              <w:rPr>
                <w:sz w:val="20"/>
              </w:rPr>
              <w:t xml:space="preserve">175,3</w:t>
            </w:r>
          </w:p>
        </w:tc>
        <w:tc>
          <w:tcPr>
            <w:tcW w:w="1005" w:type="dxa"/>
          </w:tcPr>
          <w:p>
            <w:pPr>
              <w:pStyle w:val="0"/>
            </w:pPr>
            <w:r>
              <w:rPr>
                <w:sz w:val="20"/>
              </w:rPr>
              <w:t xml:space="preserve">145,5</w:t>
            </w:r>
          </w:p>
        </w:tc>
        <w:tc>
          <w:tcPr>
            <w:tcW w:w="1000" w:type="dxa"/>
          </w:tcPr>
          <w:p>
            <w:pPr>
              <w:pStyle w:val="0"/>
            </w:pPr>
            <w:r>
              <w:rPr>
                <w:sz w:val="20"/>
              </w:rPr>
              <w:t xml:space="preserve">147,2</w:t>
            </w:r>
          </w:p>
        </w:tc>
      </w:tr>
      <w:tr>
        <w:tc>
          <w:tcPr>
            <w:tcW w:w="6066" w:type="dxa"/>
          </w:tcPr>
          <w:p>
            <w:pPr>
              <w:pStyle w:val="0"/>
            </w:pPr>
            <w:r>
              <w:rPr>
                <w:sz w:val="20"/>
              </w:rPr>
              <w:t xml:space="preserve">Покачи</w:t>
            </w:r>
          </w:p>
        </w:tc>
        <w:tc>
          <w:tcPr>
            <w:tcW w:w="1000" w:type="dxa"/>
          </w:tcPr>
          <w:p>
            <w:pPr>
              <w:pStyle w:val="0"/>
            </w:pPr>
            <w:r>
              <w:rPr>
                <w:sz w:val="20"/>
              </w:rPr>
              <w:t xml:space="preserve">44,6</w:t>
            </w:r>
          </w:p>
        </w:tc>
        <w:tc>
          <w:tcPr>
            <w:tcW w:w="1005" w:type="dxa"/>
          </w:tcPr>
          <w:p>
            <w:pPr>
              <w:pStyle w:val="0"/>
            </w:pPr>
            <w:r>
              <w:rPr>
                <w:sz w:val="20"/>
              </w:rPr>
              <w:t xml:space="preserve">83,2</w:t>
            </w:r>
          </w:p>
        </w:tc>
        <w:tc>
          <w:tcPr>
            <w:tcW w:w="1000" w:type="dxa"/>
          </w:tcPr>
          <w:p>
            <w:pPr>
              <w:pStyle w:val="0"/>
            </w:pPr>
            <w:r>
              <w:rPr>
                <w:sz w:val="20"/>
              </w:rPr>
              <w:t xml:space="preserve">143,3</w:t>
            </w:r>
          </w:p>
        </w:tc>
      </w:tr>
      <w:tr>
        <w:tc>
          <w:tcPr>
            <w:tcW w:w="6066" w:type="dxa"/>
          </w:tcPr>
          <w:p>
            <w:pPr>
              <w:pStyle w:val="0"/>
            </w:pPr>
            <w:r>
              <w:rPr>
                <w:sz w:val="20"/>
              </w:rPr>
              <w:t xml:space="preserve">Пыть-Ях</w:t>
            </w:r>
          </w:p>
        </w:tc>
        <w:tc>
          <w:tcPr>
            <w:tcW w:w="1000" w:type="dxa"/>
          </w:tcPr>
          <w:p>
            <w:pPr>
              <w:pStyle w:val="0"/>
            </w:pPr>
            <w:r>
              <w:rPr>
                <w:sz w:val="20"/>
              </w:rPr>
              <w:t xml:space="preserve">134,8</w:t>
            </w:r>
          </w:p>
        </w:tc>
        <w:tc>
          <w:tcPr>
            <w:tcW w:w="1005" w:type="dxa"/>
          </w:tcPr>
          <w:p>
            <w:pPr>
              <w:pStyle w:val="0"/>
            </w:pPr>
            <w:r>
              <w:rPr>
                <w:sz w:val="20"/>
              </w:rPr>
              <w:t xml:space="preserve">113,4</w:t>
            </w:r>
          </w:p>
        </w:tc>
        <w:tc>
          <w:tcPr>
            <w:tcW w:w="1000" w:type="dxa"/>
          </w:tcPr>
          <w:p>
            <w:pPr>
              <w:pStyle w:val="0"/>
            </w:pPr>
            <w:r>
              <w:rPr>
                <w:sz w:val="20"/>
              </w:rPr>
              <w:t xml:space="preserve">121,5</w:t>
            </w:r>
          </w:p>
        </w:tc>
      </w:tr>
      <w:tr>
        <w:tc>
          <w:tcPr>
            <w:tcW w:w="6066" w:type="dxa"/>
          </w:tcPr>
          <w:p>
            <w:pPr>
              <w:pStyle w:val="0"/>
            </w:pPr>
            <w:r>
              <w:rPr>
                <w:sz w:val="20"/>
              </w:rPr>
              <w:t xml:space="preserve">Радужный</w:t>
            </w:r>
          </w:p>
        </w:tc>
        <w:tc>
          <w:tcPr>
            <w:tcW w:w="1000" w:type="dxa"/>
          </w:tcPr>
          <w:p>
            <w:pPr>
              <w:pStyle w:val="0"/>
            </w:pPr>
            <w:r>
              <w:rPr>
                <w:sz w:val="20"/>
              </w:rPr>
              <w:t xml:space="preserve">91,7</w:t>
            </w:r>
          </w:p>
        </w:tc>
        <w:tc>
          <w:tcPr>
            <w:tcW w:w="1005" w:type="dxa"/>
          </w:tcPr>
          <w:p>
            <w:pPr>
              <w:pStyle w:val="0"/>
            </w:pPr>
            <w:r>
              <w:rPr>
                <w:sz w:val="20"/>
              </w:rPr>
              <w:t xml:space="preserve">100,7</w:t>
            </w:r>
          </w:p>
        </w:tc>
        <w:tc>
          <w:tcPr>
            <w:tcW w:w="1000" w:type="dxa"/>
          </w:tcPr>
          <w:p>
            <w:pPr>
              <w:pStyle w:val="0"/>
            </w:pPr>
            <w:r>
              <w:rPr>
                <w:sz w:val="20"/>
              </w:rPr>
              <w:t xml:space="preserve">95,7</w:t>
            </w:r>
          </w:p>
        </w:tc>
      </w:tr>
      <w:tr>
        <w:tc>
          <w:tcPr>
            <w:tcW w:w="6066" w:type="dxa"/>
          </w:tcPr>
          <w:p>
            <w:pPr>
              <w:pStyle w:val="0"/>
            </w:pPr>
            <w:r>
              <w:rPr>
                <w:sz w:val="20"/>
              </w:rPr>
              <w:t xml:space="preserve">Урай</w:t>
            </w:r>
          </w:p>
        </w:tc>
        <w:tc>
          <w:tcPr>
            <w:tcW w:w="1000" w:type="dxa"/>
          </w:tcPr>
          <w:p>
            <w:pPr>
              <w:pStyle w:val="0"/>
            </w:pPr>
            <w:r>
              <w:rPr>
                <w:sz w:val="20"/>
              </w:rPr>
              <w:t xml:space="preserve">193,1</w:t>
            </w:r>
          </w:p>
        </w:tc>
        <w:tc>
          <w:tcPr>
            <w:tcW w:w="1005" w:type="dxa"/>
          </w:tcPr>
          <w:p>
            <w:pPr>
              <w:pStyle w:val="0"/>
            </w:pPr>
            <w:r>
              <w:rPr>
                <w:sz w:val="20"/>
              </w:rPr>
              <w:t xml:space="preserve">126,2</w:t>
            </w:r>
          </w:p>
        </w:tc>
        <w:tc>
          <w:tcPr>
            <w:tcW w:w="1000" w:type="dxa"/>
          </w:tcPr>
          <w:p>
            <w:pPr>
              <w:pStyle w:val="0"/>
            </w:pPr>
            <w:r>
              <w:rPr>
                <w:sz w:val="20"/>
              </w:rPr>
              <w:t xml:space="preserve">179,7</w:t>
            </w:r>
          </w:p>
        </w:tc>
      </w:tr>
      <w:tr>
        <w:tc>
          <w:tcPr>
            <w:tcW w:w="6066" w:type="dxa"/>
          </w:tcPr>
          <w:p>
            <w:pPr>
              <w:pStyle w:val="0"/>
            </w:pPr>
            <w:r>
              <w:rPr>
                <w:sz w:val="20"/>
              </w:rPr>
              <w:t xml:space="preserve">Югорск</w:t>
            </w:r>
          </w:p>
        </w:tc>
        <w:tc>
          <w:tcPr>
            <w:tcW w:w="1000" w:type="dxa"/>
          </w:tcPr>
          <w:p>
            <w:pPr>
              <w:pStyle w:val="0"/>
            </w:pPr>
            <w:r>
              <w:rPr>
                <w:sz w:val="20"/>
              </w:rPr>
              <w:t xml:space="preserve">165,7</w:t>
            </w:r>
          </w:p>
        </w:tc>
        <w:tc>
          <w:tcPr>
            <w:tcW w:w="1005" w:type="dxa"/>
          </w:tcPr>
          <w:p>
            <w:pPr>
              <w:pStyle w:val="0"/>
            </w:pPr>
            <w:r>
              <w:rPr>
                <w:sz w:val="20"/>
              </w:rPr>
              <w:t xml:space="preserve">116,7</w:t>
            </w:r>
          </w:p>
        </w:tc>
        <w:tc>
          <w:tcPr>
            <w:tcW w:w="1000" w:type="dxa"/>
          </w:tcPr>
          <w:p>
            <w:pPr>
              <w:pStyle w:val="0"/>
            </w:pPr>
            <w:r>
              <w:rPr>
                <w:sz w:val="20"/>
              </w:rPr>
              <w:t xml:space="preserve">115,0</w:t>
            </w:r>
          </w:p>
        </w:tc>
      </w:tr>
      <w:tr>
        <w:tc>
          <w:tcPr>
            <w:tcW w:w="6066" w:type="dxa"/>
          </w:tcPr>
          <w:p>
            <w:pPr>
              <w:pStyle w:val="0"/>
            </w:pPr>
            <w:r>
              <w:rPr>
                <w:sz w:val="20"/>
              </w:rPr>
              <w:t xml:space="preserve">Нефтеюганск</w:t>
            </w:r>
          </w:p>
        </w:tc>
        <w:tc>
          <w:tcPr>
            <w:tcW w:w="1000" w:type="dxa"/>
          </w:tcPr>
          <w:p>
            <w:pPr>
              <w:pStyle w:val="0"/>
            </w:pPr>
            <w:r>
              <w:rPr>
                <w:sz w:val="20"/>
              </w:rPr>
              <w:t xml:space="preserve">110,7</w:t>
            </w:r>
          </w:p>
        </w:tc>
        <w:tc>
          <w:tcPr>
            <w:tcW w:w="1005" w:type="dxa"/>
          </w:tcPr>
          <w:p>
            <w:pPr>
              <w:pStyle w:val="0"/>
            </w:pPr>
            <w:r>
              <w:rPr>
                <w:sz w:val="20"/>
              </w:rPr>
              <w:t xml:space="preserve">99,6</w:t>
            </w:r>
          </w:p>
        </w:tc>
        <w:tc>
          <w:tcPr>
            <w:tcW w:w="1000" w:type="dxa"/>
          </w:tcPr>
          <w:p>
            <w:pPr>
              <w:pStyle w:val="0"/>
            </w:pPr>
            <w:r>
              <w:rPr>
                <w:sz w:val="20"/>
              </w:rPr>
              <w:t xml:space="preserve">112,8</w:t>
            </w:r>
          </w:p>
        </w:tc>
      </w:tr>
      <w:tr>
        <w:tc>
          <w:tcPr>
            <w:tcW w:w="6066" w:type="dxa"/>
          </w:tcPr>
          <w:p>
            <w:pPr>
              <w:pStyle w:val="0"/>
            </w:pPr>
            <w:r>
              <w:rPr>
                <w:sz w:val="20"/>
              </w:rPr>
              <w:t xml:space="preserve">Нижневартовск</w:t>
            </w:r>
          </w:p>
        </w:tc>
        <w:tc>
          <w:tcPr>
            <w:tcW w:w="1000" w:type="dxa"/>
          </w:tcPr>
          <w:p>
            <w:pPr>
              <w:pStyle w:val="0"/>
            </w:pPr>
            <w:r>
              <w:rPr>
                <w:sz w:val="20"/>
              </w:rPr>
              <w:t xml:space="preserve">110,5</w:t>
            </w:r>
          </w:p>
        </w:tc>
        <w:tc>
          <w:tcPr>
            <w:tcW w:w="1005" w:type="dxa"/>
          </w:tcPr>
          <w:p>
            <w:pPr>
              <w:pStyle w:val="0"/>
            </w:pPr>
            <w:r>
              <w:rPr>
                <w:sz w:val="20"/>
              </w:rPr>
              <w:t xml:space="preserve">106,8</w:t>
            </w:r>
          </w:p>
        </w:tc>
        <w:tc>
          <w:tcPr>
            <w:tcW w:w="1000" w:type="dxa"/>
          </w:tcPr>
          <w:p>
            <w:pPr>
              <w:pStyle w:val="0"/>
            </w:pPr>
            <w:r>
              <w:rPr>
                <w:sz w:val="20"/>
              </w:rPr>
              <w:t xml:space="preserve">117,2</w:t>
            </w:r>
          </w:p>
        </w:tc>
      </w:tr>
      <w:tr>
        <w:tc>
          <w:tcPr>
            <w:tcW w:w="6066" w:type="dxa"/>
          </w:tcPr>
          <w:p>
            <w:pPr>
              <w:pStyle w:val="0"/>
            </w:pPr>
            <w:r>
              <w:rPr>
                <w:sz w:val="20"/>
              </w:rPr>
              <w:t xml:space="preserve">Сургут</w:t>
            </w:r>
          </w:p>
        </w:tc>
        <w:tc>
          <w:tcPr>
            <w:tcW w:w="1000" w:type="dxa"/>
          </w:tcPr>
          <w:p>
            <w:pPr>
              <w:pStyle w:val="0"/>
            </w:pPr>
            <w:r>
              <w:rPr>
                <w:sz w:val="20"/>
              </w:rPr>
              <w:t xml:space="preserve">108,9</w:t>
            </w:r>
          </w:p>
        </w:tc>
        <w:tc>
          <w:tcPr>
            <w:tcW w:w="1005" w:type="dxa"/>
          </w:tcPr>
          <w:p>
            <w:pPr>
              <w:pStyle w:val="0"/>
            </w:pPr>
            <w:r>
              <w:rPr>
                <w:sz w:val="20"/>
              </w:rPr>
              <w:t xml:space="preserve">102,6</w:t>
            </w:r>
          </w:p>
        </w:tc>
        <w:tc>
          <w:tcPr>
            <w:tcW w:w="1000" w:type="dxa"/>
          </w:tcPr>
          <w:p>
            <w:pPr>
              <w:pStyle w:val="0"/>
            </w:pPr>
            <w:r>
              <w:rPr>
                <w:sz w:val="20"/>
              </w:rPr>
              <w:t xml:space="preserve">118,8</w:t>
            </w:r>
          </w:p>
        </w:tc>
      </w:tr>
      <w:tr>
        <w:tc>
          <w:tcPr>
            <w:tcW w:w="6066" w:type="dxa"/>
          </w:tcPr>
          <w:p>
            <w:pPr>
              <w:pStyle w:val="0"/>
            </w:pPr>
            <w:r>
              <w:rPr>
                <w:sz w:val="20"/>
              </w:rPr>
              <w:t xml:space="preserve">Ханты-Мансийск</w:t>
            </w:r>
          </w:p>
        </w:tc>
        <w:tc>
          <w:tcPr>
            <w:tcW w:w="1000" w:type="dxa"/>
          </w:tcPr>
          <w:p>
            <w:pPr>
              <w:pStyle w:val="0"/>
            </w:pPr>
            <w:r>
              <w:rPr>
                <w:sz w:val="20"/>
              </w:rPr>
              <w:t xml:space="preserve">121,3</w:t>
            </w:r>
          </w:p>
        </w:tc>
        <w:tc>
          <w:tcPr>
            <w:tcW w:w="1005" w:type="dxa"/>
          </w:tcPr>
          <w:p>
            <w:pPr>
              <w:pStyle w:val="0"/>
            </w:pPr>
            <w:r>
              <w:rPr>
                <w:sz w:val="20"/>
              </w:rPr>
              <w:t xml:space="preserve">87,6</w:t>
            </w:r>
          </w:p>
        </w:tc>
        <w:tc>
          <w:tcPr>
            <w:tcW w:w="1000" w:type="dxa"/>
          </w:tcPr>
          <w:p>
            <w:pPr>
              <w:pStyle w:val="0"/>
            </w:pPr>
            <w:r>
              <w:rPr>
                <w:sz w:val="20"/>
              </w:rPr>
              <w:t xml:space="preserve">105,6</w:t>
            </w:r>
          </w:p>
        </w:tc>
      </w:tr>
      <w:tr>
        <w:tc>
          <w:tcPr>
            <w:tcW w:w="6066" w:type="dxa"/>
          </w:tcPr>
          <w:p>
            <w:pPr>
              <w:pStyle w:val="0"/>
            </w:pPr>
            <w:r>
              <w:rPr>
                <w:sz w:val="20"/>
              </w:rPr>
              <w:t xml:space="preserve">Ханты-Мансийский автономный округ - Югра</w:t>
            </w:r>
          </w:p>
        </w:tc>
        <w:tc>
          <w:tcPr>
            <w:tcW w:w="1000" w:type="dxa"/>
          </w:tcPr>
          <w:p>
            <w:pPr>
              <w:pStyle w:val="0"/>
            </w:pPr>
            <w:r>
              <w:rPr>
                <w:sz w:val="20"/>
              </w:rPr>
              <w:t xml:space="preserve">120,5</w:t>
            </w:r>
          </w:p>
        </w:tc>
        <w:tc>
          <w:tcPr>
            <w:tcW w:w="1005" w:type="dxa"/>
          </w:tcPr>
          <w:p>
            <w:pPr>
              <w:pStyle w:val="0"/>
            </w:pPr>
            <w:r>
              <w:rPr>
                <w:sz w:val="20"/>
              </w:rPr>
              <w:t xml:space="preserve">107,4</w:t>
            </w:r>
          </w:p>
        </w:tc>
        <w:tc>
          <w:tcPr>
            <w:tcW w:w="1000" w:type="dxa"/>
          </w:tcPr>
          <w:p>
            <w:pPr>
              <w:pStyle w:val="0"/>
            </w:pPr>
            <w:r>
              <w:rPr>
                <w:sz w:val="20"/>
              </w:rPr>
              <w:t xml:space="preserve">120,7</w:t>
            </w:r>
          </w:p>
        </w:tc>
      </w:tr>
      <w:tr>
        <w:tc>
          <w:tcPr>
            <w:tcW w:w="6066" w:type="dxa"/>
          </w:tcPr>
          <w:p>
            <w:pPr>
              <w:pStyle w:val="0"/>
            </w:pPr>
            <w:r>
              <w:rPr>
                <w:sz w:val="20"/>
              </w:rPr>
              <w:t xml:space="preserve">РФ</w:t>
            </w:r>
          </w:p>
        </w:tc>
        <w:tc>
          <w:tcPr>
            <w:tcW w:w="1000" w:type="dxa"/>
          </w:tcPr>
          <w:p>
            <w:pPr>
              <w:pStyle w:val="0"/>
            </w:pPr>
            <w:r>
              <w:rPr>
                <w:sz w:val="20"/>
              </w:rPr>
              <w:t xml:space="preserve">200,0</w:t>
            </w:r>
          </w:p>
        </w:tc>
        <w:tc>
          <w:tcPr>
            <w:tcW w:w="1005" w:type="dxa"/>
          </w:tcPr>
          <w:p>
            <w:pPr>
              <w:pStyle w:val="0"/>
            </w:pPr>
            <w:r>
              <w:rPr>
                <w:sz w:val="20"/>
              </w:rPr>
              <w:t xml:space="preserve">200,6</w:t>
            </w:r>
          </w:p>
        </w:tc>
        <w:tc>
          <w:tcPr>
            <w:tcW w:w="1000" w:type="dxa"/>
          </w:tcPr>
          <w:p>
            <w:pPr>
              <w:pStyle w:val="0"/>
            </w:pPr>
            <w:r>
              <w:rPr>
                <w:sz w:val="20"/>
              </w:rPr>
              <w:t xml:space="preserve">199,0</w:t>
            </w:r>
          </w:p>
        </w:tc>
      </w:tr>
    </w:tbl>
    <w:p>
      <w:pPr>
        <w:pStyle w:val="0"/>
        <w:ind w:firstLine="540"/>
        <w:jc w:val="both"/>
      </w:pPr>
      <w:r>
        <w:rPr>
          <w:sz w:val="20"/>
        </w:rPr>
      </w:r>
    </w:p>
    <w:p>
      <w:pPr>
        <w:pStyle w:val="0"/>
        <w:ind w:firstLine="540"/>
        <w:jc w:val="both"/>
      </w:pPr>
      <w:r>
        <w:rPr>
          <w:sz w:val="20"/>
        </w:rPr>
        <w:t xml:space="preserve">В тройку главных причин смерти в автономном округе, как и во всей России, входит смертность от внешних причин. Среди которых лидирующую позицию занимает смертность в результате дорожно-транспортных происшествий (ДТП). Большая территория автономного округа при относительно небольшой плотности населения определяет значительную протяженность дорог, соединяющих города и сельские поселения. При этом тяжесть ДТП в России существенно выше на дорогах за пределами населенных пунктов. В этой связи данный показатель в автономном округе ранее превышал среднероссийские значения, при этом за последние годы наметился тренд на снижение смертности населения в результате ДТП.</w:t>
      </w:r>
    </w:p>
    <w:p>
      <w:pPr>
        <w:pStyle w:val="0"/>
        <w:spacing w:before="200" w:line-rule="auto"/>
        <w:ind w:firstLine="540"/>
        <w:jc w:val="both"/>
      </w:pPr>
      <w:r>
        <w:rPr>
          <w:sz w:val="20"/>
        </w:rPr>
        <w:t xml:space="preserve">Вклад отдельных муниципальных образований в смертность от ДТП за период с 2018 по 2020 год представлена на </w:t>
      </w:r>
      <w:hyperlink w:history="0" w:anchor="P22938" w:tooltip="Смертность населения автономного округа в результате ДТП">
        <w:r>
          <w:rPr>
            <w:sz w:val="20"/>
            <w:color w:val="0000ff"/>
          </w:rPr>
          <w:t xml:space="preserve">рисунке 3</w:t>
        </w:r>
      </w:hyperlink>
      <w:r>
        <w:rPr>
          <w:sz w:val="20"/>
        </w:rPr>
        <w:t xml:space="preserve">.</w:t>
      </w:r>
    </w:p>
    <w:p>
      <w:pPr>
        <w:pStyle w:val="0"/>
        <w:ind w:firstLine="540"/>
        <w:jc w:val="both"/>
      </w:pPr>
      <w:r>
        <w:rPr>
          <w:sz w:val="20"/>
        </w:rPr>
      </w:r>
    </w:p>
    <w:p>
      <w:pPr>
        <w:pStyle w:val="0"/>
        <w:outlineLvl w:val="3"/>
        <w:jc w:val="right"/>
      </w:pPr>
      <w:r>
        <w:rPr>
          <w:sz w:val="20"/>
        </w:rPr>
        <w:t xml:space="preserve">Таблица 9</w:t>
      </w:r>
    </w:p>
    <w:p>
      <w:pPr>
        <w:pStyle w:val="0"/>
        <w:ind w:firstLine="540"/>
        <w:jc w:val="both"/>
      </w:pPr>
      <w:r>
        <w:rPr>
          <w:sz w:val="20"/>
        </w:rPr>
      </w:r>
    </w:p>
    <w:p>
      <w:pPr>
        <w:pStyle w:val="2"/>
        <w:jc w:val="center"/>
      </w:pPr>
      <w:r>
        <w:rPr>
          <w:sz w:val="20"/>
        </w:rPr>
        <w:t xml:space="preserve">Смертность от ДТП в автономном округе по муниципальным</w:t>
      </w:r>
    </w:p>
    <w:p>
      <w:pPr>
        <w:pStyle w:val="2"/>
        <w:jc w:val="center"/>
      </w:pPr>
      <w:r>
        <w:rPr>
          <w:sz w:val="20"/>
        </w:rPr>
        <w:t xml:space="preserve">образованиям за 2018 - 2020 годы (на 100 тыс. населения)</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66"/>
        <w:gridCol w:w="1000"/>
        <w:gridCol w:w="1005"/>
        <w:gridCol w:w="1000"/>
      </w:tblGrid>
      <w:tr>
        <w:tc>
          <w:tcPr>
            <w:tcW w:w="6066" w:type="dxa"/>
          </w:tcPr>
          <w:p>
            <w:pPr>
              <w:pStyle w:val="0"/>
              <w:jc w:val="center"/>
            </w:pPr>
            <w:r>
              <w:rPr>
                <w:sz w:val="20"/>
              </w:rPr>
            </w:r>
          </w:p>
        </w:tc>
        <w:tc>
          <w:tcPr>
            <w:tcW w:w="1000" w:type="dxa"/>
          </w:tcPr>
          <w:p>
            <w:pPr>
              <w:pStyle w:val="0"/>
              <w:jc w:val="center"/>
            </w:pPr>
            <w:r>
              <w:rPr>
                <w:sz w:val="20"/>
              </w:rPr>
              <w:t xml:space="preserve">2018</w:t>
            </w:r>
          </w:p>
        </w:tc>
        <w:tc>
          <w:tcPr>
            <w:tcW w:w="1005" w:type="dxa"/>
          </w:tcPr>
          <w:p>
            <w:pPr>
              <w:pStyle w:val="0"/>
              <w:jc w:val="center"/>
            </w:pPr>
            <w:r>
              <w:rPr>
                <w:sz w:val="20"/>
              </w:rPr>
              <w:t xml:space="preserve">2019</w:t>
            </w:r>
          </w:p>
        </w:tc>
        <w:tc>
          <w:tcPr>
            <w:tcW w:w="1000" w:type="dxa"/>
          </w:tcPr>
          <w:p>
            <w:pPr>
              <w:pStyle w:val="0"/>
              <w:jc w:val="center"/>
            </w:pPr>
            <w:r>
              <w:rPr>
                <w:sz w:val="20"/>
              </w:rPr>
              <w:t xml:space="preserve">2020</w:t>
            </w:r>
          </w:p>
        </w:tc>
      </w:tr>
      <w:tr>
        <w:tc>
          <w:tcPr>
            <w:tcW w:w="6066" w:type="dxa"/>
          </w:tcPr>
          <w:p>
            <w:pPr>
              <w:pStyle w:val="0"/>
            </w:pPr>
            <w:r>
              <w:rPr>
                <w:sz w:val="20"/>
              </w:rPr>
              <w:t xml:space="preserve">муниципальные районы:</w:t>
            </w:r>
          </w:p>
        </w:tc>
        <w:tc>
          <w:tcPr>
            <w:tcW w:w="1000" w:type="dxa"/>
          </w:tcPr>
          <w:p>
            <w:pPr>
              <w:pStyle w:val="0"/>
            </w:pPr>
            <w:r>
              <w:rPr>
                <w:sz w:val="20"/>
              </w:rPr>
            </w:r>
          </w:p>
        </w:tc>
        <w:tc>
          <w:tcPr>
            <w:tcW w:w="1005" w:type="dxa"/>
          </w:tcPr>
          <w:p>
            <w:pPr>
              <w:pStyle w:val="0"/>
            </w:pPr>
            <w:r>
              <w:rPr>
                <w:sz w:val="20"/>
              </w:rPr>
            </w:r>
          </w:p>
        </w:tc>
        <w:tc>
          <w:tcPr>
            <w:tcW w:w="1000" w:type="dxa"/>
          </w:tcPr>
          <w:p>
            <w:pPr>
              <w:pStyle w:val="0"/>
            </w:pPr>
            <w:r>
              <w:rPr>
                <w:sz w:val="20"/>
              </w:rPr>
            </w:r>
          </w:p>
        </w:tc>
      </w:tr>
      <w:tr>
        <w:tc>
          <w:tcPr>
            <w:tcW w:w="6066" w:type="dxa"/>
          </w:tcPr>
          <w:p>
            <w:pPr>
              <w:pStyle w:val="0"/>
            </w:pPr>
            <w:r>
              <w:rPr>
                <w:sz w:val="20"/>
              </w:rPr>
              <w:t xml:space="preserve">Белоярский</w:t>
            </w:r>
          </w:p>
        </w:tc>
        <w:tc>
          <w:tcPr>
            <w:tcW w:w="1000" w:type="dxa"/>
          </w:tcPr>
          <w:p>
            <w:pPr>
              <w:pStyle w:val="0"/>
            </w:pPr>
            <w:r>
              <w:rPr>
                <w:sz w:val="20"/>
              </w:rPr>
              <w:t xml:space="preserve">3,5</w:t>
            </w:r>
          </w:p>
        </w:tc>
        <w:tc>
          <w:tcPr>
            <w:tcW w:w="1005" w:type="dxa"/>
          </w:tcPr>
          <w:p>
            <w:pPr>
              <w:pStyle w:val="0"/>
            </w:pPr>
            <w:r>
              <w:rPr>
                <w:sz w:val="20"/>
              </w:rPr>
              <w:t xml:space="preserve">10,6</w:t>
            </w:r>
          </w:p>
        </w:tc>
        <w:tc>
          <w:tcPr>
            <w:tcW w:w="1000" w:type="dxa"/>
          </w:tcPr>
          <w:p>
            <w:pPr>
              <w:pStyle w:val="0"/>
            </w:pPr>
            <w:r>
              <w:rPr>
                <w:sz w:val="20"/>
              </w:rPr>
              <w:t xml:space="preserve">3,5</w:t>
            </w:r>
          </w:p>
        </w:tc>
      </w:tr>
      <w:tr>
        <w:tc>
          <w:tcPr>
            <w:tcW w:w="6066" w:type="dxa"/>
          </w:tcPr>
          <w:p>
            <w:pPr>
              <w:pStyle w:val="0"/>
            </w:pPr>
            <w:r>
              <w:rPr>
                <w:sz w:val="20"/>
              </w:rPr>
              <w:t xml:space="preserve">Березовский</w:t>
            </w:r>
          </w:p>
        </w:tc>
        <w:tc>
          <w:tcPr>
            <w:tcW w:w="1000" w:type="dxa"/>
          </w:tcPr>
          <w:p>
            <w:pPr>
              <w:pStyle w:val="0"/>
            </w:pPr>
            <w:r>
              <w:rPr>
                <w:sz w:val="20"/>
              </w:rPr>
              <w:t xml:space="preserve">3,1</w:t>
            </w:r>
          </w:p>
        </w:tc>
        <w:tc>
          <w:tcPr>
            <w:tcW w:w="1005" w:type="dxa"/>
          </w:tcPr>
          <w:p>
            <w:pPr>
              <w:pStyle w:val="0"/>
            </w:pPr>
            <w:r>
              <w:rPr>
                <w:sz w:val="20"/>
              </w:rPr>
              <w:t xml:space="preserve">4,5</w:t>
            </w:r>
          </w:p>
        </w:tc>
        <w:tc>
          <w:tcPr>
            <w:tcW w:w="1000" w:type="dxa"/>
          </w:tcPr>
          <w:p>
            <w:pPr>
              <w:pStyle w:val="0"/>
            </w:pPr>
            <w:r>
              <w:rPr>
                <w:sz w:val="20"/>
              </w:rPr>
              <w:t xml:space="preserve">0,0</w:t>
            </w:r>
          </w:p>
        </w:tc>
      </w:tr>
      <w:tr>
        <w:tc>
          <w:tcPr>
            <w:tcW w:w="6066" w:type="dxa"/>
          </w:tcPr>
          <w:p>
            <w:pPr>
              <w:pStyle w:val="0"/>
            </w:pPr>
            <w:r>
              <w:rPr>
                <w:sz w:val="20"/>
              </w:rPr>
              <w:t xml:space="preserve">Кондинский</w:t>
            </w:r>
          </w:p>
        </w:tc>
        <w:tc>
          <w:tcPr>
            <w:tcW w:w="1000" w:type="dxa"/>
          </w:tcPr>
          <w:p>
            <w:pPr>
              <w:pStyle w:val="0"/>
            </w:pPr>
            <w:r>
              <w:rPr>
                <w:sz w:val="20"/>
              </w:rPr>
              <w:t xml:space="preserve">3,2</w:t>
            </w:r>
          </w:p>
        </w:tc>
        <w:tc>
          <w:tcPr>
            <w:tcW w:w="1005" w:type="dxa"/>
          </w:tcPr>
          <w:p>
            <w:pPr>
              <w:pStyle w:val="0"/>
            </w:pPr>
            <w:r>
              <w:rPr>
                <w:sz w:val="20"/>
              </w:rPr>
              <w:t xml:space="preserve">16,3</w:t>
            </w:r>
          </w:p>
        </w:tc>
        <w:tc>
          <w:tcPr>
            <w:tcW w:w="1000" w:type="dxa"/>
          </w:tcPr>
          <w:p>
            <w:pPr>
              <w:pStyle w:val="0"/>
            </w:pPr>
            <w:r>
              <w:rPr>
                <w:sz w:val="20"/>
              </w:rPr>
              <w:t xml:space="preserve">6,5</w:t>
            </w:r>
          </w:p>
        </w:tc>
      </w:tr>
      <w:tr>
        <w:tc>
          <w:tcPr>
            <w:tcW w:w="6066" w:type="dxa"/>
          </w:tcPr>
          <w:p>
            <w:pPr>
              <w:pStyle w:val="0"/>
            </w:pPr>
            <w:r>
              <w:rPr>
                <w:sz w:val="20"/>
              </w:rPr>
              <w:t xml:space="preserve">Нефтеюганский</w:t>
            </w:r>
          </w:p>
        </w:tc>
        <w:tc>
          <w:tcPr>
            <w:tcW w:w="1000" w:type="dxa"/>
          </w:tcPr>
          <w:p>
            <w:pPr>
              <w:pStyle w:val="0"/>
            </w:pPr>
            <w:r>
              <w:rPr>
                <w:sz w:val="20"/>
              </w:rPr>
              <w:t xml:space="preserve">29,0</w:t>
            </w:r>
          </w:p>
        </w:tc>
        <w:tc>
          <w:tcPr>
            <w:tcW w:w="1005" w:type="dxa"/>
          </w:tcPr>
          <w:p>
            <w:pPr>
              <w:pStyle w:val="0"/>
            </w:pPr>
            <w:r>
              <w:rPr>
                <w:sz w:val="20"/>
              </w:rPr>
              <w:t xml:space="preserve">24,7</w:t>
            </w:r>
          </w:p>
        </w:tc>
        <w:tc>
          <w:tcPr>
            <w:tcW w:w="1000" w:type="dxa"/>
          </w:tcPr>
          <w:p>
            <w:pPr>
              <w:pStyle w:val="0"/>
            </w:pPr>
            <w:r>
              <w:rPr>
                <w:sz w:val="20"/>
              </w:rPr>
              <w:t xml:space="preserve">8,9</w:t>
            </w:r>
          </w:p>
        </w:tc>
      </w:tr>
      <w:tr>
        <w:tc>
          <w:tcPr>
            <w:tcW w:w="6066" w:type="dxa"/>
          </w:tcPr>
          <w:p>
            <w:pPr>
              <w:pStyle w:val="0"/>
            </w:pPr>
            <w:r>
              <w:rPr>
                <w:sz w:val="20"/>
              </w:rPr>
              <w:t xml:space="preserve">Нижневартовский</w:t>
            </w:r>
          </w:p>
        </w:tc>
        <w:tc>
          <w:tcPr>
            <w:tcW w:w="1000" w:type="dxa"/>
          </w:tcPr>
          <w:p>
            <w:pPr>
              <w:pStyle w:val="0"/>
            </w:pPr>
            <w:r>
              <w:rPr>
                <w:sz w:val="20"/>
              </w:rPr>
              <w:t xml:space="preserve">5,5</w:t>
            </w:r>
          </w:p>
        </w:tc>
        <w:tc>
          <w:tcPr>
            <w:tcW w:w="1005" w:type="dxa"/>
          </w:tcPr>
          <w:p>
            <w:pPr>
              <w:pStyle w:val="0"/>
            </w:pPr>
            <w:r>
              <w:rPr>
                <w:sz w:val="20"/>
              </w:rPr>
              <w:t xml:space="preserve">2,8</w:t>
            </w:r>
          </w:p>
        </w:tc>
        <w:tc>
          <w:tcPr>
            <w:tcW w:w="1000" w:type="dxa"/>
          </w:tcPr>
          <w:p>
            <w:pPr>
              <w:pStyle w:val="0"/>
            </w:pPr>
            <w:r>
              <w:rPr>
                <w:sz w:val="20"/>
              </w:rPr>
              <w:t xml:space="preserve">5,5</w:t>
            </w:r>
          </w:p>
        </w:tc>
      </w:tr>
      <w:tr>
        <w:tc>
          <w:tcPr>
            <w:tcW w:w="6066" w:type="dxa"/>
          </w:tcPr>
          <w:p>
            <w:pPr>
              <w:pStyle w:val="0"/>
            </w:pPr>
            <w:r>
              <w:rPr>
                <w:sz w:val="20"/>
              </w:rPr>
              <w:t xml:space="preserve">Октябрьский</w:t>
            </w:r>
          </w:p>
        </w:tc>
        <w:tc>
          <w:tcPr>
            <w:tcW w:w="1000" w:type="dxa"/>
          </w:tcPr>
          <w:p>
            <w:pPr>
              <w:pStyle w:val="0"/>
            </w:pPr>
            <w:r>
              <w:rPr>
                <w:sz w:val="20"/>
              </w:rPr>
              <w:t xml:space="preserve">14,1</w:t>
            </w:r>
          </w:p>
        </w:tc>
        <w:tc>
          <w:tcPr>
            <w:tcW w:w="1005" w:type="dxa"/>
          </w:tcPr>
          <w:p>
            <w:pPr>
              <w:pStyle w:val="0"/>
            </w:pPr>
            <w:r>
              <w:rPr>
                <w:sz w:val="20"/>
              </w:rPr>
              <w:t xml:space="preserve">14,2</w:t>
            </w:r>
          </w:p>
        </w:tc>
        <w:tc>
          <w:tcPr>
            <w:tcW w:w="1000" w:type="dxa"/>
          </w:tcPr>
          <w:p>
            <w:pPr>
              <w:pStyle w:val="0"/>
            </w:pPr>
            <w:r>
              <w:rPr>
                <w:sz w:val="20"/>
              </w:rPr>
              <w:t xml:space="preserve">16,5</w:t>
            </w:r>
          </w:p>
        </w:tc>
      </w:tr>
      <w:tr>
        <w:tc>
          <w:tcPr>
            <w:tcW w:w="6066" w:type="dxa"/>
          </w:tcPr>
          <w:p>
            <w:pPr>
              <w:pStyle w:val="0"/>
            </w:pPr>
            <w:r>
              <w:rPr>
                <w:sz w:val="20"/>
              </w:rPr>
              <w:t xml:space="preserve">Советский</w:t>
            </w:r>
          </w:p>
        </w:tc>
        <w:tc>
          <w:tcPr>
            <w:tcW w:w="1000" w:type="dxa"/>
          </w:tcPr>
          <w:p>
            <w:pPr>
              <w:pStyle w:val="0"/>
            </w:pPr>
            <w:r>
              <w:rPr>
                <w:sz w:val="20"/>
              </w:rPr>
              <w:t xml:space="preserve">10,4</w:t>
            </w:r>
          </w:p>
        </w:tc>
        <w:tc>
          <w:tcPr>
            <w:tcW w:w="1005" w:type="dxa"/>
          </w:tcPr>
          <w:p>
            <w:pPr>
              <w:pStyle w:val="0"/>
            </w:pPr>
            <w:r>
              <w:rPr>
                <w:sz w:val="20"/>
              </w:rPr>
              <w:t xml:space="preserve">12,5</w:t>
            </w:r>
          </w:p>
        </w:tc>
        <w:tc>
          <w:tcPr>
            <w:tcW w:w="1000" w:type="dxa"/>
          </w:tcPr>
          <w:p>
            <w:pPr>
              <w:pStyle w:val="0"/>
            </w:pPr>
            <w:r>
              <w:rPr>
                <w:sz w:val="20"/>
              </w:rPr>
              <w:t xml:space="preserve">8,4</w:t>
            </w:r>
          </w:p>
        </w:tc>
      </w:tr>
      <w:tr>
        <w:tc>
          <w:tcPr>
            <w:tcW w:w="6066" w:type="dxa"/>
          </w:tcPr>
          <w:p>
            <w:pPr>
              <w:pStyle w:val="0"/>
            </w:pPr>
            <w:r>
              <w:rPr>
                <w:sz w:val="20"/>
              </w:rPr>
              <w:t xml:space="preserve">Сургутский</w:t>
            </w:r>
          </w:p>
        </w:tc>
        <w:tc>
          <w:tcPr>
            <w:tcW w:w="1000" w:type="dxa"/>
          </w:tcPr>
          <w:p>
            <w:pPr>
              <w:pStyle w:val="0"/>
            </w:pPr>
            <w:r>
              <w:rPr>
                <w:sz w:val="20"/>
              </w:rPr>
              <w:t xml:space="preserve">8,8</w:t>
            </w:r>
          </w:p>
        </w:tc>
        <w:tc>
          <w:tcPr>
            <w:tcW w:w="1005" w:type="dxa"/>
          </w:tcPr>
          <w:p>
            <w:pPr>
              <w:pStyle w:val="0"/>
            </w:pPr>
            <w:r>
              <w:rPr>
                <w:sz w:val="20"/>
              </w:rPr>
              <w:t xml:space="preserve">11,2</w:t>
            </w:r>
          </w:p>
        </w:tc>
        <w:tc>
          <w:tcPr>
            <w:tcW w:w="1000" w:type="dxa"/>
          </w:tcPr>
          <w:p>
            <w:pPr>
              <w:pStyle w:val="0"/>
            </w:pPr>
            <w:r>
              <w:rPr>
                <w:sz w:val="20"/>
              </w:rPr>
              <w:t xml:space="preserve">11,2</w:t>
            </w:r>
          </w:p>
        </w:tc>
      </w:tr>
      <w:tr>
        <w:tc>
          <w:tcPr>
            <w:tcW w:w="6066" w:type="dxa"/>
          </w:tcPr>
          <w:p>
            <w:pPr>
              <w:pStyle w:val="0"/>
            </w:pPr>
            <w:r>
              <w:rPr>
                <w:sz w:val="20"/>
              </w:rPr>
              <w:t xml:space="preserve">Ханты-Мансийский</w:t>
            </w:r>
          </w:p>
        </w:tc>
        <w:tc>
          <w:tcPr>
            <w:tcW w:w="1000" w:type="dxa"/>
          </w:tcPr>
          <w:p>
            <w:pPr>
              <w:pStyle w:val="0"/>
            </w:pPr>
            <w:r>
              <w:rPr>
                <w:sz w:val="20"/>
              </w:rPr>
              <w:t xml:space="preserve">15,0</w:t>
            </w:r>
          </w:p>
        </w:tc>
        <w:tc>
          <w:tcPr>
            <w:tcW w:w="1005" w:type="dxa"/>
          </w:tcPr>
          <w:p>
            <w:pPr>
              <w:pStyle w:val="0"/>
            </w:pPr>
            <w:r>
              <w:rPr>
                <w:sz w:val="20"/>
              </w:rPr>
              <w:t xml:space="preserve">5,0</w:t>
            </w:r>
          </w:p>
        </w:tc>
        <w:tc>
          <w:tcPr>
            <w:tcW w:w="1000" w:type="dxa"/>
          </w:tcPr>
          <w:p>
            <w:pPr>
              <w:pStyle w:val="0"/>
            </w:pPr>
            <w:r>
              <w:rPr>
                <w:sz w:val="20"/>
              </w:rPr>
              <w:t xml:space="preserve">5,1</w:t>
            </w:r>
          </w:p>
        </w:tc>
      </w:tr>
      <w:tr>
        <w:tc>
          <w:tcPr>
            <w:tcW w:w="6066" w:type="dxa"/>
          </w:tcPr>
          <w:p>
            <w:pPr>
              <w:pStyle w:val="0"/>
            </w:pPr>
            <w:r>
              <w:rPr>
                <w:sz w:val="20"/>
              </w:rPr>
              <w:t xml:space="preserve">городские округа:</w:t>
            </w:r>
          </w:p>
        </w:tc>
        <w:tc>
          <w:tcPr>
            <w:tcW w:w="1000" w:type="dxa"/>
          </w:tcPr>
          <w:p>
            <w:pPr>
              <w:pStyle w:val="0"/>
            </w:pPr>
            <w:r>
              <w:rPr>
                <w:sz w:val="20"/>
              </w:rPr>
            </w:r>
          </w:p>
        </w:tc>
        <w:tc>
          <w:tcPr>
            <w:tcW w:w="1005" w:type="dxa"/>
          </w:tcPr>
          <w:p>
            <w:pPr>
              <w:pStyle w:val="0"/>
            </w:pPr>
            <w:r>
              <w:rPr>
                <w:sz w:val="20"/>
              </w:rPr>
            </w:r>
          </w:p>
        </w:tc>
        <w:tc>
          <w:tcPr>
            <w:tcW w:w="1000" w:type="dxa"/>
          </w:tcPr>
          <w:p>
            <w:pPr>
              <w:pStyle w:val="0"/>
            </w:pPr>
            <w:r>
              <w:rPr>
                <w:sz w:val="20"/>
              </w:rPr>
            </w:r>
          </w:p>
        </w:tc>
      </w:tr>
      <w:tr>
        <w:tc>
          <w:tcPr>
            <w:tcW w:w="6066" w:type="dxa"/>
          </w:tcPr>
          <w:p>
            <w:pPr>
              <w:pStyle w:val="0"/>
            </w:pPr>
            <w:r>
              <w:rPr>
                <w:sz w:val="20"/>
              </w:rPr>
              <w:t xml:space="preserve">Когалым</w:t>
            </w:r>
          </w:p>
        </w:tc>
        <w:tc>
          <w:tcPr>
            <w:tcW w:w="1000" w:type="dxa"/>
          </w:tcPr>
          <w:p>
            <w:pPr>
              <w:pStyle w:val="0"/>
            </w:pPr>
            <w:r>
              <w:rPr>
                <w:sz w:val="20"/>
              </w:rPr>
              <w:t xml:space="preserve">13,5</w:t>
            </w:r>
          </w:p>
        </w:tc>
        <w:tc>
          <w:tcPr>
            <w:tcW w:w="1005" w:type="dxa"/>
          </w:tcPr>
          <w:p>
            <w:pPr>
              <w:pStyle w:val="0"/>
            </w:pPr>
            <w:r>
              <w:rPr>
                <w:sz w:val="20"/>
              </w:rPr>
              <w:t xml:space="preserve">3,0</w:t>
            </w:r>
          </w:p>
        </w:tc>
        <w:tc>
          <w:tcPr>
            <w:tcW w:w="1000" w:type="dxa"/>
          </w:tcPr>
          <w:p>
            <w:pPr>
              <w:pStyle w:val="0"/>
            </w:pPr>
            <w:r>
              <w:rPr>
                <w:sz w:val="20"/>
              </w:rPr>
              <w:t xml:space="preserve">7,3</w:t>
            </w:r>
          </w:p>
        </w:tc>
      </w:tr>
      <w:tr>
        <w:tc>
          <w:tcPr>
            <w:tcW w:w="6066" w:type="dxa"/>
          </w:tcPr>
          <w:p>
            <w:pPr>
              <w:pStyle w:val="0"/>
            </w:pPr>
            <w:r>
              <w:rPr>
                <w:sz w:val="20"/>
              </w:rPr>
              <w:t xml:space="preserve">Лангепас</w:t>
            </w:r>
          </w:p>
        </w:tc>
        <w:tc>
          <w:tcPr>
            <w:tcW w:w="1000" w:type="dxa"/>
          </w:tcPr>
          <w:p>
            <w:pPr>
              <w:pStyle w:val="0"/>
            </w:pPr>
            <w:r>
              <w:rPr>
                <w:sz w:val="20"/>
              </w:rPr>
              <w:t xml:space="preserve">4,5</w:t>
            </w:r>
          </w:p>
        </w:tc>
        <w:tc>
          <w:tcPr>
            <w:tcW w:w="1005" w:type="dxa"/>
          </w:tcPr>
          <w:p>
            <w:pPr>
              <w:pStyle w:val="0"/>
            </w:pPr>
            <w:r>
              <w:rPr>
                <w:sz w:val="20"/>
              </w:rPr>
              <w:t xml:space="preserve">4,5</w:t>
            </w:r>
          </w:p>
        </w:tc>
        <w:tc>
          <w:tcPr>
            <w:tcW w:w="1000" w:type="dxa"/>
          </w:tcPr>
          <w:p>
            <w:pPr>
              <w:pStyle w:val="0"/>
            </w:pPr>
            <w:r>
              <w:rPr>
                <w:sz w:val="20"/>
              </w:rPr>
              <w:t xml:space="preserve">6,5</w:t>
            </w:r>
          </w:p>
        </w:tc>
      </w:tr>
      <w:tr>
        <w:tc>
          <w:tcPr>
            <w:tcW w:w="6066" w:type="dxa"/>
          </w:tcPr>
          <w:p>
            <w:pPr>
              <w:pStyle w:val="0"/>
            </w:pPr>
            <w:r>
              <w:rPr>
                <w:sz w:val="20"/>
              </w:rPr>
              <w:t xml:space="preserve">Мегион</w:t>
            </w:r>
          </w:p>
        </w:tc>
        <w:tc>
          <w:tcPr>
            <w:tcW w:w="1000" w:type="dxa"/>
          </w:tcPr>
          <w:p>
            <w:pPr>
              <w:pStyle w:val="0"/>
            </w:pPr>
            <w:r>
              <w:rPr>
                <w:sz w:val="20"/>
              </w:rPr>
              <w:t xml:space="preserve">11,0</w:t>
            </w:r>
          </w:p>
        </w:tc>
        <w:tc>
          <w:tcPr>
            <w:tcW w:w="1005" w:type="dxa"/>
          </w:tcPr>
          <w:p>
            <w:pPr>
              <w:pStyle w:val="0"/>
            </w:pPr>
            <w:r>
              <w:rPr>
                <w:sz w:val="20"/>
              </w:rPr>
              <w:t xml:space="preserve">13,0</w:t>
            </w:r>
          </w:p>
        </w:tc>
        <w:tc>
          <w:tcPr>
            <w:tcW w:w="1000" w:type="dxa"/>
          </w:tcPr>
          <w:p>
            <w:pPr>
              <w:pStyle w:val="0"/>
            </w:pPr>
            <w:r>
              <w:rPr>
                <w:sz w:val="20"/>
              </w:rPr>
              <w:t xml:space="preserve">11,3</w:t>
            </w:r>
          </w:p>
        </w:tc>
      </w:tr>
      <w:tr>
        <w:tc>
          <w:tcPr>
            <w:tcW w:w="6066" w:type="dxa"/>
          </w:tcPr>
          <w:p>
            <w:pPr>
              <w:pStyle w:val="0"/>
            </w:pPr>
            <w:r>
              <w:rPr>
                <w:sz w:val="20"/>
              </w:rPr>
              <w:t xml:space="preserve">Нягань</w:t>
            </w:r>
          </w:p>
        </w:tc>
        <w:tc>
          <w:tcPr>
            <w:tcW w:w="1000" w:type="dxa"/>
          </w:tcPr>
          <w:p>
            <w:pPr>
              <w:pStyle w:val="0"/>
            </w:pPr>
            <w:r>
              <w:rPr>
                <w:sz w:val="20"/>
              </w:rPr>
              <w:t xml:space="preserve">6,9</w:t>
            </w:r>
          </w:p>
        </w:tc>
        <w:tc>
          <w:tcPr>
            <w:tcW w:w="1005" w:type="dxa"/>
          </w:tcPr>
          <w:p>
            <w:pPr>
              <w:pStyle w:val="0"/>
            </w:pPr>
            <w:r>
              <w:rPr>
                <w:sz w:val="20"/>
              </w:rPr>
              <w:t xml:space="preserve">15,4</w:t>
            </w:r>
          </w:p>
        </w:tc>
        <w:tc>
          <w:tcPr>
            <w:tcW w:w="1000" w:type="dxa"/>
          </w:tcPr>
          <w:p>
            <w:pPr>
              <w:pStyle w:val="0"/>
            </w:pPr>
            <w:r>
              <w:rPr>
                <w:sz w:val="20"/>
              </w:rPr>
              <w:t xml:space="preserve">3,2</w:t>
            </w:r>
          </w:p>
        </w:tc>
      </w:tr>
      <w:tr>
        <w:tc>
          <w:tcPr>
            <w:tcW w:w="6066" w:type="dxa"/>
          </w:tcPr>
          <w:p>
            <w:pPr>
              <w:pStyle w:val="0"/>
            </w:pPr>
            <w:r>
              <w:rPr>
                <w:sz w:val="20"/>
              </w:rPr>
              <w:t xml:space="preserve">Покачи</w:t>
            </w:r>
          </w:p>
        </w:tc>
        <w:tc>
          <w:tcPr>
            <w:tcW w:w="1000" w:type="dxa"/>
          </w:tcPr>
          <w:p>
            <w:pPr>
              <w:pStyle w:val="0"/>
            </w:pPr>
            <w:r>
              <w:rPr>
                <w:sz w:val="20"/>
              </w:rPr>
              <w:t xml:space="preserve">11,2</w:t>
            </w:r>
          </w:p>
        </w:tc>
        <w:tc>
          <w:tcPr>
            <w:tcW w:w="1005" w:type="dxa"/>
          </w:tcPr>
          <w:p>
            <w:pPr>
              <w:pStyle w:val="0"/>
            </w:pPr>
            <w:r>
              <w:rPr>
                <w:sz w:val="20"/>
              </w:rPr>
              <w:t xml:space="preserve">5,5</w:t>
            </w:r>
          </w:p>
        </w:tc>
        <w:tc>
          <w:tcPr>
            <w:tcW w:w="1000" w:type="dxa"/>
          </w:tcPr>
          <w:p>
            <w:pPr>
              <w:pStyle w:val="0"/>
            </w:pPr>
            <w:r>
              <w:rPr>
                <w:sz w:val="20"/>
              </w:rPr>
              <w:t xml:space="preserve">44,1</w:t>
            </w:r>
          </w:p>
        </w:tc>
      </w:tr>
      <w:tr>
        <w:tc>
          <w:tcPr>
            <w:tcW w:w="6066" w:type="dxa"/>
          </w:tcPr>
          <w:p>
            <w:pPr>
              <w:pStyle w:val="0"/>
            </w:pPr>
            <w:r>
              <w:rPr>
                <w:sz w:val="20"/>
              </w:rPr>
              <w:t xml:space="preserve">Пыть-Ях</w:t>
            </w:r>
          </w:p>
        </w:tc>
        <w:tc>
          <w:tcPr>
            <w:tcW w:w="1000" w:type="dxa"/>
          </w:tcPr>
          <w:p>
            <w:pPr>
              <w:pStyle w:val="0"/>
            </w:pPr>
            <w:r>
              <w:rPr>
                <w:sz w:val="20"/>
              </w:rPr>
              <w:t xml:space="preserve">0</w:t>
            </w:r>
          </w:p>
        </w:tc>
        <w:tc>
          <w:tcPr>
            <w:tcW w:w="1005" w:type="dxa"/>
          </w:tcPr>
          <w:p>
            <w:pPr>
              <w:pStyle w:val="0"/>
            </w:pPr>
            <w:r>
              <w:rPr>
                <w:sz w:val="20"/>
              </w:rPr>
              <w:t xml:space="preserve">15,1</w:t>
            </w:r>
          </w:p>
        </w:tc>
        <w:tc>
          <w:tcPr>
            <w:tcW w:w="1000" w:type="dxa"/>
          </w:tcPr>
          <w:p>
            <w:pPr>
              <w:pStyle w:val="0"/>
            </w:pPr>
            <w:r>
              <w:rPr>
                <w:sz w:val="20"/>
              </w:rPr>
              <w:t xml:space="preserve">38,0</w:t>
            </w:r>
          </w:p>
        </w:tc>
      </w:tr>
      <w:tr>
        <w:tc>
          <w:tcPr>
            <w:tcW w:w="6066" w:type="dxa"/>
          </w:tcPr>
          <w:p>
            <w:pPr>
              <w:pStyle w:val="0"/>
            </w:pPr>
            <w:r>
              <w:rPr>
                <w:sz w:val="20"/>
              </w:rPr>
              <w:t xml:space="preserve">Радужный</w:t>
            </w:r>
          </w:p>
        </w:tc>
        <w:tc>
          <w:tcPr>
            <w:tcW w:w="1000" w:type="dxa"/>
          </w:tcPr>
          <w:p>
            <w:pPr>
              <w:pStyle w:val="0"/>
            </w:pPr>
            <w:r>
              <w:rPr>
                <w:sz w:val="20"/>
              </w:rPr>
              <w:t xml:space="preserve">6,9</w:t>
            </w:r>
          </w:p>
        </w:tc>
        <w:tc>
          <w:tcPr>
            <w:tcW w:w="1005" w:type="dxa"/>
          </w:tcPr>
          <w:p>
            <w:pPr>
              <w:pStyle w:val="0"/>
            </w:pPr>
            <w:r>
              <w:rPr>
                <w:sz w:val="20"/>
              </w:rPr>
              <w:t xml:space="preserve">13,7</w:t>
            </w:r>
          </w:p>
        </w:tc>
        <w:tc>
          <w:tcPr>
            <w:tcW w:w="1000" w:type="dxa"/>
          </w:tcPr>
          <w:p>
            <w:pPr>
              <w:pStyle w:val="0"/>
            </w:pPr>
            <w:r>
              <w:rPr>
                <w:sz w:val="20"/>
              </w:rPr>
              <w:t xml:space="preserve">2,3</w:t>
            </w:r>
          </w:p>
        </w:tc>
      </w:tr>
      <w:tr>
        <w:tc>
          <w:tcPr>
            <w:tcW w:w="6066" w:type="dxa"/>
          </w:tcPr>
          <w:p>
            <w:pPr>
              <w:pStyle w:val="0"/>
            </w:pPr>
            <w:r>
              <w:rPr>
                <w:sz w:val="20"/>
              </w:rPr>
              <w:t xml:space="preserve">Урай</w:t>
            </w:r>
          </w:p>
        </w:tc>
        <w:tc>
          <w:tcPr>
            <w:tcW w:w="1000" w:type="dxa"/>
          </w:tcPr>
          <w:p>
            <w:pPr>
              <w:pStyle w:val="0"/>
            </w:pPr>
            <w:r>
              <w:rPr>
                <w:sz w:val="20"/>
              </w:rPr>
              <w:t xml:space="preserve">9,9</w:t>
            </w:r>
          </w:p>
        </w:tc>
        <w:tc>
          <w:tcPr>
            <w:tcW w:w="1005" w:type="dxa"/>
          </w:tcPr>
          <w:p>
            <w:pPr>
              <w:pStyle w:val="0"/>
            </w:pPr>
            <w:r>
              <w:rPr>
                <w:sz w:val="20"/>
              </w:rPr>
              <w:t xml:space="preserve">9,9</w:t>
            </w:r>
          </w:p>
        </w:tc>
        <w:tc>
          <w:tcPr>
            <w:tcW w:w="1000" w:type="dxa"/>
          </w:tcPr>
          <w:p>
            <w:pPr>
              <w:pStyle w:val="0"/>
            </w:pPr>
            <w:r>
              <w:rPr>
                <w:sz w:val="20"/>
              </w:rPr>
              <w:t xml:space="preserve">7,4</w:t>
            </w:r>
          </w:p>
        </w:tc>
      </w:tr>
      <w:tr>
        <w:tc>
          <w:tcPr>
            <w:tcW w:w="6066" w:type="dxa"/>
          </w:tcPr>
          <w:p>
            <w:pPr>
              <w:pStyle w:val="0"/>
            </w:pPr>
            <w:r>
              <w:rPr>
                <w:sz w:val="20"/>
              </w:rPr>
              <w:t xml:space="preserve">Югорск</w:t>
            </w:r>
          </w:p>
        </w:tc>
        <w:tc>
          <w:tcPr>
            <w:tcW w:w="1000" w:type="dxa"/>
          </w:tcPr>
          <w:p>
            <w:pPr>
              <w:pStyle w:val="0"/>
            </w:pPr>
            <w:r>
              <w:rPr>
                <w:sz w:val="20"/>
              </w:rPr>
              <w:t xml:space="preserve">0</w:t>
            </w:r>
          </w:p>
        </w:tc>
        <w:tc>
          <w:tcPr>
            <w:tcW w:w="1005" w:type="dxa"/>
          </w:tcPr>
          <w:p>
            <w:pPr>
              <w:pStyle w:val="0"/>
            </w:pPr>
            <w:r>
              <w:rPr>
                <w:sz w:val="20"/>
              </w:rPr>
              <w:t xml:space="preserve">2,7</w:t>
            </w:r>
          </w:p>
        </w:tc>
        <w:tc>
          <w:tcPr>
            <w:tcW w:w="1000" w:type="dxa"/>
          </w:tcPr>
          <w:p>
            <w:pPr>
              <w:pStyle w:val="0"/>
            </w:pPr>
            <w:r>
              <w:rPr>
                <w:sz w:val="20"/>
              </w:rPr>
              <w:t xml:space="preserve">0,0</w:t>
            </w:r>
          </w:p>
        </w:tc>
      </w:tr>
      <w:tr>
        <w:tc>
          <w:tcPr>
            <w:tcW w:w="6066" w:type="dxa"/>
          </w:tcPr>
          <w:p>
            <w:pPr>
              <w:pStyle w:val="0"/>
            </w:pPr>
            <w:r>
              <w:rPr>
                <w:sz w:val="20"/>
              </w:rPr>
              <w:t xml:space="preserve">Нефтеюганск</w:t>
            </w:r>
          </w:p>
        </w:tc>
        <w:tc>
          <w:tcPr>
            <w:tcW w:w="1000" w:type="dxa"/>
          </w:tcPr>
          <w:p>
            <w:pPr>
              <w:pStyle w:val="0"/>
            </w:pPr>
            <w:r>
              <w:rPr>
                <w:sz w:val="20"/>
              </w:rPr>
              <w:t xml:space="preserve">21,2</w:t>
            </w:r>
          </w:p>
        </w:tc>
        <w:tc>
          <w:tcPr>
            <w:tcW w:w="1005" w:type="dxa"/>
          </w:tcPr>
          <w:p>
            <w:pPr>
              <w:pStyle w:val="0"/>
            </w:pPr>
            <w:r>
              <w:rPr>
                <w:sz w:val="20"/>
              </w:rPr>
              <w:t xml:space="preserve">12,6</w:t>
            </w:r>
          </w:p>
        </w:tc>
        <w:tc>
          <w:tcPr>
            <w:tcW w:w="1000" w:type="dxa"/>
          </w:tcPr>
          <w:p>
            <w:pPr>
              <w:pStyle w:val="0"/>
            </w:pPr>
            <w:r>
              <w:rPr>
                <w:sz w:val="20"/>
              </w:rPr>
              <w:t xml:space="preserve">11,7</w:t>
            </w:r>
          </w:p>
        </w:tc>
      </w:tr>
      <w:tr>
        <w:tc>
          <w:tcPr>
            <w:tcW w:w="6066" w:type="dxa"/>
          </w:tcPr>
          <w:p>
            <w:pPr>
              <w:pStyle w:val="0"/>
            </w:pPr>
            <w:r>
              <w:rPr>
                <w:sz w:val="20"/>
              </w:rPr>
              <w:t xml:space="preserve">Нижневартовск</w:t>
            </w:r>
          </w:p>
        </w:tc>
        <w:tc>
          <w:tcPr>
            <w:tcW w:w="1000" w:type="dxa"/>
          </w:tcPr>
          <w:p>
            <w:pPr>
              <w:pStyle w:val="0"/>
            </w:pPr>
            <w:r>
              <w:rPr>
                <w:sz w:val="20"/>
              </w:rPr>
              <w:t xml:space="preserve">5,8</w:t>
            </w:r>
          </w:p>
        </w:tc>
        <w:tc>
          <w:tcPr>
            <w:tcW w:w="1005" w:type="dxa"/>
          </w:tcPr>
          <w:p>
            <w:pPr>
              <w:pStyle w:val="0"/>
            </w:pPr>
            <w:r>
              <w:rPr>
                <w:sz w:val="20"/>
              </w:rPr>
              <w:t xml:space="preserve">4,7</w:t>
            </w:r>
          </w:p>
        </w:tc>
        <w:tc>
          <w:tcPr>
            <w:tcW w:w="1000" w:type="dxa"/>
          </w:tcPr>
          <w:p>
            <w:pPr>
              <w:pStyle w:val="0"/>
            </w:pPr>
            <w:r>
              <w:rPr>
                <w:sz w:val="20"/>
              </w:rPr>
              <w:t xml:space="preserve">7,9</w:t>
            </w:r>
          </w:p>
        </w:tc>
      </w:tr>
      <w:tr>
        <w:tc>
          <w:tcPr>
            <w:tcW w:w="6066" w:type="dxa"/>
          </w:tcPr>
          <w:p>
            <w:pPr>
              <w:pStyle w:val="0"/>
            </w:pPr>
            <w:r>
              <w:rPr>
                <w:sz w:val="20"/>
              </w:rPr>
              <w:t xml:space="preserve">Сургут</w:t>
            </w:r>
          </w:p>
        </w:tc>
        <w:tc>
          <w:tcPr>
            <w:tcW w:w="1000" w:type="dxa"/>
          </w:tcPr>
          <w:p>
            <w:pPr>
              <w:pStyle w:val="0"/>
            </w:pPr>
            <w:r>
              <w:rPr>
                <w:sz w:val="20"/>
              </w:rPr>
              <w:t xml:space="preserve">7,0</w:t>
            </w:r>
          </w:p>
        </w:tc>
        <w:tc>
          <w:tcPr>
            <w:tcW w:w="1005" w:type="dxa"/>
          </w:tcPr>
          <w:p>
            <w:pPr>
              <w:pStyle w:val="0"/>
            </w:pPr>
            <w:r>
              <w:rPr>
                <w:sz w:val="20"/>
              </w:rPr>
              <w:t xml:space="preserve">8,7</w:t>
            </w:r>
          </w:p>
        </w:tc>
        <w:tc>
          <w:tcPr>
            <w:tcW w:w="1000" w:type="dxa"/>
          </w:tcPr>
          <w:p>
            <w:pPr>
              <w:pStyle w:val="0"/>
            </w:pPr>
            <w:r>
              <w:rPr>
                <w:sz w:val="20"/>
              </w:rPr>
              <w:t xml:space="preserve">9,1</w:t>
            </w:r>
          </w:p>
        </w:tc>
      </w:tr>
      <w:tr>
        <w:tc>
          <w:tcPr>
            <w:tcW w:w="6066" w:type="dxa"/>
          </w:tcPr>
          <w:p>
            <w:pPr>
              <w:pStyle w:val="0"/>
            </w:pPr>
            <w:r>
              <w:rPr>
                <w:sz w:val="20"/>
              </w:rPr>
              <w:t xml:space="preserve">Ханты-Мансийск</w:t>
            </w:r>
          </w:p>
        </w:tc>
        <w:tc>
          <w:tcPr>
            <w:tcW w:w="1000" w:type="dxa"/>
          </w:tcPr>
          <w:p>
            <w:pPr>
              <w:pStyle w:val="0"/>
            </w:pPr>
            <w:r>
              <w:rPr>
                <w:sz w:val="20"/>
              </w:rPr>
              <w:t xml:space="preserve">5,1</w:t>
            </w:r>
          </w:p>
        </w:tc>
        <w:tc>
          <w:tcPr>
            <w:tcW w:w="1005" w:type="dxa"/>
          </w:tcPr>
          <w:p>
            <w:pPr>
              <w:pStyle w:val="0"/>
            </w:pPr>
            <w:r>
              <w:rPr>
                <w:sz w:val="20"/>
              </w:rPr>
              <w:t xml:space="preserve">9,0</w:t>
            </w:r>
          </w:p>
        </w:tc>
        <w:tc>
          <w:tcPr>
            <w:tcW w:w="1000" w:type="dxa"/>
          </w:tcPr>
          <w:p>
            <w:pPr>
              <w:pStyle w:val="0"/>
            </w:pPr>
            <w:r>
              <w:rPr>
                <w:sz w:val="20"/>
              </w:rPr>
              <w:t xml:space="preserve">5,9</w:t>
            </w:r>
          </w:p>
        </w:tc>
      </w:tr>
      <w:tr>
        <w:tc>
          <w:tcPr>
            <w:tcW w:w="6066" w:type="dxa"/>
          </w:tcPr>
          <w:p>
            <w:pPr>
              <w:pStyle w:val="0"/>
            </w:pPr>
            <w:r>
              <w:rPr>
                <w:sz w:val="20"/>
              </w:rPr>
              <w:t xml:space="preserve">Ханты-Мансийский автономный округ - Югра</w:t>
            </w:r>
          </w:p>
        </w:tc>
        <w:tc>
          <w:tcPr>
            <w:tcW w:w="1000" w:type="dxa"/>
          </w:tcPr>
          <w:p>
            <w:pPr>
              <w:pStyle w:val="0"/>
            </w:pPr>
            <w:r>
              <w:rPr>
                <w:sz w:val="20"/>
              </w:rPr>
              <w:t xml:space="preserve">8,9</w:t>
            </w:r>
          </w:p>
        </w:tc>
        <w:tc>
          <w:tcPr>
            <w:tcW w:w="1005" w:type="dxa"/>
          </w:tcPr>
          <w:p>
            <w:pPr>
              <w:pStyle w:val="0"/>
            </w:pPr>
            <w:r>
              <w:rPr>
                <w:sz w:val="20"/>
              </w:rPr>
              <w:t xml:space="preserve">9,3</w:t>
            </w:r>
          </w:p>
        </w:tc>
        <w:tc>
          <w:tcPr>
            <w:tcW w:w="1000" w:type="dxa"/>
          </w:tcPr>
          <w:p>
            <w:pPr>
              <w:pStyle w:val="0"/>
            </w:pPr>
            <w:r>
              <w:rPr>
                <w:sz w:val="20"/>
              </w:rPr>
              <w:t xml:space="preserve">9,1</w:t>
            </w:r>
          </w:p>
        </w:tc>
      </w:tr>
      <w:tr>
        <w:tc>
          <w:tcPr>
            <w:tcW w:w="6066" w:type="dxa"/>
          </w:tcPr>
          <w:p>
            <w:pPr>
              <w:pStyle w:val="0"/>
            </w:pPr>
            <w:r>
              <w:rPr>
                <w:sz w:val="20"/>
              </w:rPr>
              <w:t xml:space="preserve">РФ</w:t>
            </w:r>
          </w:p>
        </w:tc>
        <w:tc>
          <w:tcPr>
            <w:tcW w:w="1000" w:type="dxa"/>
          </w:tcPr>
          <w:p>
            <w:pPr>
              <w:pStyle w:val="0"/>
            </w:pPr>
            <w:r>
              <w:rPr>
                <w:sz w:val="20"/>
              </w:rPr>
              <w:t xml:space="preserve">9,7</w:t>
            </w:r>
          </w:p>
        </w:tc>
        <w:tc>
          <w:tcPr>
            <w:tcW w:w="1005" w:type="dxa"/>
          </w:tcPr>
          <w:p>
            <w:pPr>
              <w:pStyle w:val="0"/>
            </w:pPr>
            <w:r>
              <w:rPr>
                <w:sz w:val="20"/>
              </w:rPr>
              <w:t xml:space="preserve">9,2</w:t>
            </w:r>
          </w:p>
        </w:tc>
        <w:tc>
          <w:tcPr>
            <w:tcW w:w="1000" w:type="dxa"/>
          </w:tcPr>
          <w:p>
            <w:pPr>
              <w:pStyle w:val="0"/>
            </w:pPr>
            <w:r>
              <w:rPr>
                <w:sz w:val="20"/>
              </w:rPr>
              <w:t xml:space="preserve">9,5</w:t>
            </w:r>
          </w:p>
        </w:tc>
      </w:tr>
    </w:tbl>
    <w:p>
      <w:pPr>
        <w:pStyle w:val="0"/>
        <w:ind w:firstLine="540"/>
        <w:jc w:val="both"/>
      </w:pPr>
      <w:r>
        <w:rPr>
          <w:sz w:val="20"/>
        </w:rPr>
      </w:r>
    </w:p>
    <w:p>
      <w:pPr>
        <w:pStyle w:val="0"/>
        <w:outlineLvl w:val="3"/>
        <w:jc w:val="right"/>
      </w:pPr>
      <w:r>
        <w:rPr>
          <w:sz w:val="20"/>
        </w:rPr>
        <w:t xml:space="preserve">Рисунок 3</w:t>
      </w:r>
    </w:p>
    <w:p>
      <w:pPr>
        <w:pStyle w:val="0"/>
        <w:ind w:firstLine="540"/>
        <w:jc w:val="both"/>
      </w:pPr>
      <w:r>
        <w:rPr>
          <w:sz w:val="20"/>
        </w:rPr>
      </w:r>
    </w:p>
    <w:bookmarkStart w:id="22938" w:name="P22938"/>
    <w:bookmarkEnd w:id="22938"/>
    <w:p>
      <w:pPr>
        <w:pStyle w:val="2"/>
        <w:jc w:val="center"/>
      </w:pPr>
      <w:r>
        <w:rPr>
          <w:sz w:val="20"/>
        </w:rPr>
        <w:t xml:space="preserve">Смертность населения автономного округа в результате ДТП</w:t>
      </w:r>
    </w:p>
    <w:p>
      <w:pPr>
        <w:pStyle w:val="2"/>
        <w:jc w:val="center"/>
      </w:pPr>
      <w:r>
        <w:rPr>
          <w:sz w:val="20"/>
        </w:rPr>
        <w:t xml:space="preserve">за 2018 - 2020 годы (на 100 тыс. населения)</w:t>
      </w:r>
    </w:p>
    <w:p>
      <w:pPr>
        <w:pStyle w:val="0"/>
        <w:jc w:val="center"/>
      </w:pPr>
      <w:r>
        <w:rPr>
          <w:sz w:val="20"/>
        </w:rPr>
      </w:r>
    </w:p>
    <w:p>
      <w:pPr>
        <w:pStyle w:val="0"/>
        <w:jc w:val="center"/>
      </w:pPr>
      <w:r>
        <w:rPr>
          <w:position w:val="-215"/>
        </w:rPr>
        <w:drawing>
          <wp:inline distT="0" distB="0" distL="0" distR="0">
            <wp:extent cx="6098540" cy="2862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6098540" cy="286258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Принимая во внимание тот факт, что ведется сравнение муниципальных образований, имеющих небольшую численность населения, оценку данных следует проводить весьма осторожно. В особенности для небольших городских округов (Покачи, Югорск, Урай и др.) и всех муниципальных районов, за исключением Сургутского муниципального района. Сравнение их между собой, а также более населенными пунктами (городскими округами Сургут и Нижневартовск) в некоторой степени не показательно, так как численность этих территорий не превышает 50, а то и 25 тысяч человек. Это значит, что для превышения среднероссийского значения в 8,8 на 100 тыс. человек в этих территориях за прошедший период достаточно 4 и 2 смертей в результате ДТП соответственно. Так, по этой же причине в городском округе Покачи смертность в результате ДТП за 2019 год - 5,5 (в абсолютных числах - 1 смерть), а в 2020 году - 44,1 (8 смертей).</w:t>
      </w:r>
    </w:p>
    <w:p>
      <w:pPr>
        <w:pStyle w:val="2"/>
        <w:spacing w:before="200" w:line-rule="auto"/>
        <w:outlineLvl w:val="2"/>
        <w:ind w:firstLine="540"/>
        <w:jc w:val="both"/>
      </w:pPr>
      <w:r>
        <w:rPr>
          <w:sz w:val="20"/>
        </w:rPr>
        <w:t xml:space="preserve">3.6. Здоровье трудоспособного населения</w:t>
      </w:r>
    </w:p>
    <w:p>
      <w:pPr>
        <w:pStyle w:val="0"/>
        <w:spacing w:before="200" w:line-rule="auto"/>
        <w:ind w:firstLine="540"/>
        <w:jc w:val="both"/>
      </w:pPr>
      <w:r>
        <w:rPr>
          <w:sz w:val="20"/>
        </w:rPr>
        <w:t xml:space="preserve">Одна из важных проблем здравоохранения автономного округа - высокая смертность трудоспособного населения, особенно мужского. Кроме того, выполнение задачи по увеличению общей продолжительности жизни в значительной мере зависит от снижения смертности населения в трудоспособном возрасте.</w:t>
      </w:r>
    </w:p>
    <w:p>
      <w:pPr>
        <w:pStyle w:val="0"/>
        <w:spacing w:before="200" w:line-rule="auto"/>
        <w:ind w:firstLine="540"/>
        <w:jc w:val="both"/>
      </w:pPr>
      <w:r>
        <w:rPr>
          <w:sz w:val="20"/>
        </w:rPr>
        <w:t xml:space="preserve">Здоровье трудоспособного населения обеспечивает экономическую безопасность автономного округа и Российской Федерации. Работающее население обеспечивает пополнение бюджета, а также обеспечивает пенсионное обеспечение населения старше трудоспособного возраста и берет на себя обязательства воспитанию и содержанию детского населения.</w:t>
      </w:r>
    </w:p>
    <w:p>
      <w:pPr>
        <w:pStyle w:val="0"/>
        <w:spacing w:before="200" w:line-rule="auto"/>
        <w:ind w:firstLine="540"/>
        <w:jc w:val="both"/>
      </w:pPr>
      <w:r>
        <w:rPr>
          <w:sz w:val="20"/>
        </w:rPr>
        <w:t xml:space="preserve">Снижение смертности трудоспособного населения на сегодняшний день становится наиболее актуально по причине двух наиболее существенных факторов. Первый связан с общей тенденцией по увеличению средней продолжительности жизни, в том числе в связи с развитием медицины и охраны здоровья, что приводит к увеличению числа лиц старше пенсионного возраста. Второй фактор - это сокращение числа лиц трудоспособного возраста по причине "демографической ямы" - сокращение числа рождений в период активных политических, экономических и социальных реформ конца XX - начала XXI века.</w:t>
      </w:r>
    </w:p>
    <w:p>
      <w:pPr>
        <w:pStyle w:val="0"/>
        <w:spacing w:before="200" w:line-rule="auto"/>
        <w:ind w:firstLine="540"/>
        <w:jc w:val="both"/>
      </w:pPr>
      <w:r>
        <w:rPr>
          <w:sz w:val="20"/>
        </w:rPr>
        <w:t xml:space="preserve">В </w:t>
      </w:r>
      <w:hyperlink w:history="0" w:anchor="P22952" w:tooltip="Общая смертность в трудоспособном возрасте по классам">
        <w:r>
          <w:rPr>
            <w:sz w:val="20"/>
            <w:color w:val="0000ff"/>
          </w:rPr>
          <w:t xml:space="preserve">таблицах 10</w:t>
        </w:r>
      </w:hyperlink>
      <w:r>
        <w:rPr>
          <w:sz w:val="20"/>
        </w:rPr>
        <w:t xml:space="preserve"> - </w:t>
      </w:r>
      <w:hyperlink w:history="0" w:anchor="P23586" w:tooltip="Общая смертность в трудоспособном возрасте в абсолютных">
        <w:r>
          <w:rPr>
            <w:sz w:val="20"/>
            <w:color w:val="0000ff"/>
          </w:rPr>
          <w:t xml:space="preserve">13</w:t>
        </w:r>
      </w:hyperlink>
      <w:r>
        <w:rPr>
          <w:sz w:val="20"/>
        </w:rPr>
        <w:t xml:space="preserve"> отражены данные Росстата по общей смертности в трудоспособном возрасте по классам заболеваний на 100 тыс. населения среди мужчин и женщин вместе, а также по отдельности для мужчин и для женщин трудоспособного возраста.</w:t>
      </w:r>
    </w:p>
    <w:p>
      <w:pPr>
        <w:pStyle w:val="0"/>
        <w:ind w:firstLine="540"/>
        <w:jc w:val="both"/>
      </w:pPr>
      <w:r>
        <w:rPr>
          <w:sz w:val="20"/>
        </w:rPr>
      </w:r>
    </w:p>
    <w:p>
      <w:pPr>
        <w:pStyle w:val="0"/>
        <w:outlineLvl w:val="3"/>
        <w:jc w:val="right"/>
      </w:pPr>
      <w:r>
        <w:rPr>
          <w:sz w:val="20"/>
        </w:rPr>
        <w:t xml:space="preserve">Таблица 10</w:t>
      </w:r>
    </w:p>
    <w:p>
      <w:pPr>
        <w:pStyle w:val="0"/>
        <w:ind w:firstLine="540"/>
        <w:jc w:val="both"/>
      </w:pPr>
      <w:r>
        <w:rPr>
          <w:sz w:val="20"/>
        </w:rPr>
      </w:r>
    </w:p>
    <w:bookmarkStart w:id="22952" w:name="P22952"/>
    <w:bookmarkEnd w:id="22952"/>
    <w:p>
      <w:pPr>
        <w:pStyle w:val="2"/>
        <w:jc w:val="center"/>
      </w:pPr>
      <w:r>
        <w:rPr>
          <w:sz w:val="20"/>
        </w:rPr>
        <w:t xml:space="preserve">Общая смертность в трудоспособном возрасте по классам</w:t>
      </w:r>
    </w:p>
    <w:p>
      <w:pPr>
        <w:pStyle w:val="2"/>
        <w:jc w:val="center"/>
      </w:pPr>
      <w:r>
        <w:rPr>
          <w:sz w:val="20"/>
        </w:rPr>
        <w:t xml:space="preserve">заболеваний на 100 000 населения соответствующего возраста</w:t>
      </w:r>
    </w:p>
    <w:p>
      <w:pPr>
        <w:pStyle w:val="2"/>
        <w:jc w:val="center"/>
      </w:pPr>
      <w:r>
        <w:rPr>
          <w:sz w:val="20"/>
        </w:rPr>
        <w:t xml:space="preserve">и пола</w:t>
      </w:r>
    </w:p>
    <w:p>
      <w:pPr>
        <w:pStyle w:val="2"/>
        <w:jc w:val="center"/>
      </w:pPr>
      <w:r>
        <w:rPr>
          <w:sz w:val="20"/>
        </w:rPr>
        <w:t xml:space="preserve">Оба пола: Мужчины &lt;*&gt; 16 - 60 лет и женщины 16 - 55</w:t>
      </w:r>
    </w:p>
    <w:p>
      <w:pPr>
        <w:pStyle w:val="2"/>
        <w:jc w:val="center"/>
      </w:pPr>
      <w:r>
        <w:rPr>
          <w:sz w:val="20"/>
        </w:rPr>
        <w:t xml:space="preserve">лет с 2020 &lt;*&gt; года</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539"/>
        <w:gridCol w:w="1020"/>
        <w:gridCol w:w="1134"/>
        <w:gridCol w:w="1247"/>
        <w:gridCol w:w="964"/>
        <w:gridCol w:w="1020"/>
        <w:gridCol w:w="992"/>
        <w:gridCol w:w="1056"/>
        <w:gridCol w:w="992"/>
        <w:gridCol w:w="907"/>
      </w:tblGrid>
      <w:tr>
        <w:tblPrEx>
          <w:tblBorders>
            <w:insideH w:val="single" w:sz="4"/>
          </w:tblBorders>
        </w:tblPrEx>
        <w:tc>
          <w:tcPr>
            <w:tcW w:w="3539" w:type="dxa"/>
            <w:tcBorders>
              <w:top w:val="single" w:sz="4"/>
              <w:bottom w:val="single" w:sz="4"/>
            </w:tcBorders>
          </w:tcPr>
          <w:p>
            <w:pPr>
              <w:pStyle w:val="0"/>
              <w:jc w:val="center"/>
            </w:pPr>
            <w:r>
              <w:rPr>
                <w:sz w:val="20"/>
              </w:rPr>
              <w:t xml:space="preserve">Название классов</w:t>
            </w:r>
          </w:p>
        </w:tc>
        <w:tc>
          <w:tcPr>
            <w:tcW w:w="1020" w:type="dxa"/>
            <w:tcBorders>
              <w:top w:val="single" w:sz="4"/>
              <w:bottom w:val="single" w:sz="4"/>
            </w:tcBorders>
          </w:tcPr>
          <w:p>
            <w:pPr>
              <w:pStyle w:val="0"/>
              <w:jc w:val="center"/>
            </w:pPr>
            <w:r>
              <w:rPr>
                <w:sz w:val="20"/>
              </w:rPr>
              <w:t xml:space="preserve">По Ханты-Мансийскому автономному округу - Югре 2018 год</w:t>
            </w:r>
          </w:p>
        </w:tc>
        <w:tc>
          <w:tcPr>
            <w:tcW w:w="1134" w:type="dxa"/>
            <w:tcBorders>
              <w:top w:val="single" w:sz="4"/>
              <w:bottom w:val="single" w:sz="4"/>
            </w:tcBorders>
          </w:tcPr>
          <w:p>
            <w:pPr>
              <w:pStyle w:val="0"/>
              <w:jc w:val="center"/>
            </w:pPr>
            <w:r>
              <w:rPr>
                <w:sz w:val="20"/>
              </w:rPr>
              <w:t xml:space="preserve">по Ханты-Мансийскому автономному округу - Югре 2019 год</w:t>
            </w:r>
          </w:p>
        </w:tc>
        <w:tc>
          <w:tcPr>
            <w:tcW w:w="1247" w:type="dxa"/>
            <w:tcBorders>
              <w:top w:val="single" w:sz="4"/>
              <w:bottom w:val="single" w:sz="4"/>
            </w:tcBorders>
          </w:tcPr>
          <w:p>
            <w:pPr>
              <w:pStyle w:val="0"/>
              <w:jc w:val="center"/>
            </w:pPr>
            <w:r>
              <w:rPr>
                <w:sz w:val="20"/>
              </w:rPr>
              <w:t xml:space="preserve">По Ханты-Мансийскому автономному округу - Югре </w:t>
            </w:r>
            <w:hyperlink w:history="0" w:anchor="P23160" w:tooltip="&lt;*&gt; С учетом изменения возрастного периода трудоспособности с 2020 года.">
              <w:r>
                <w:rPr>
                  <w:sz w:val="20"/>
                  <w:color w:val="0000ff"/>
                </w:rPr>
                <w:t xml:space="preserve">&lt;*&gt;</w:t>
              </w:r>
            </w:hyperlink>
            <w:r>
              <w:rPr>
                <w:sz w:val="20"/>
              </w:rPr>
              <w:t xml:space="preserve"> 2020 год</w:t>
            </w:r>
          </w:p>
        </w:tc>
        <w:tc>
          <w:tcPr>
            <w:tcW w:w="964" w:type="dxa"/>
            <w:tcBorders>
              <w:top w:val="single" w:sz="4"/>
              <w:bottom w:val="single" w:sz="4"/>
            </w:tcBorders>
          </w:tcPr>
          <w:p>
            <w:pPr>
              <w:pStyle w:val="0"/>
              <w:jc w:val="center"/>
            </w:pPr>
            <w:r>
              <w:rPr>
                <w:sz w:val="20"/>
              </w:rPr>
              <w:t xml:space="preserve">Удельный вес в 2020 по классам, %</w:t>
            </w:r>
          </w:p>
        </w:tc>
        <w:tc>
          <w:tcPr>
            <w:tcW w:w="1020" w:type="dxa"/>
            <w:tcBorders>
              <w:top w:val="single" w:sz="4"/>
              <w:bottom w:val="single" w:sz="4"/>
            </w:tcBorders>
          </w:tcPr>
          <w:p>
            <w:pPr>
              <w:pStyle w:val="0"/>
              <w:jc w:val="center"/>
            </w:pPr>
            <w:r>
              <w:rPr>
                <w:sz w:val="20"/>
              </w:rPr>
              <w:t xml:space="preserve">Темп прироста 2018 - 2020 в % (+/-)</w:t>
            </w:r>
          </w:p>
        </w:tc>
        <w:tc>
          <w:tcPr>
            <w:tcW w:w="992" w:type="dxa"/>
            <w:tcBorders>
              <w:top w:val="single" w:sz="4"/>
              <w:bottom w:val="single" w:sz="4"/>
            </w:tcBorders>
          </w:tcPr>
          <w:p>
            <w:pPr>
              <w:pStyle w:val="0"/>
              <w:jc w:val="center"/>
            </w:pPr>
            <w:r>
              <w:rPr>
                <w:sz w:val="20"/>
              </w:rPr>
              <w:t xml:space="preserve">По Уральскому федеральному округу 2019 год</w:t>
            </w:r>
          </w:p>
        </w:tc>
        <w:tc>
          <w:tcPr>
            <w:tcW w:w="1056" w:type="dxa"/>
            <w:tcBorders>
              <w:top w:val="single" w:sz="4"/>
              <w:bottom w:val="single" w:sz="4"/>
            </w:tcBorders>
          </w:tcPr>
          <w:p>
            <w:pPr>
              <w:pStyle w:val="0"/>
              <w:jc w:val="center"/>
            </w:pPr>
            <w:r>
              <w:rPr>
                <w:sz w:val="20"/>
              </w:rPr>
              <w:t xml:space="preserve">Удельный вес по классам, %</w:t>
            </w:r>
          </w:p>
        </w:tc>
        <w:tc>
          <w:tcPr>
            <w:tcW w:w="992" w:type="dxa"/>
            <w:tcBorders>
              <w:top w:val="single" w:sz="4"/>
              <w:bottom w:val="single" w:sz="4"/>
            </w:tcBorders>
          </w:tcPr>
          <w:p>
            <w:pPr>
              <w:pStyle w:val="0"/>
              <w:jc w:val="center"/>
            </w:pPr>
            <w:r>
              <w:rPr>
                <w:sz w:val="20"/>
              </w:rPr>
              <w:t xml:space="preserve">по России 2019 год</w:t>
            </w:r>
          </w:p>
        </w:tc>
        <w:tc>
          <w:tcPr>
            <w:tcW w:w="907" w:type="dxa"/>
            <w:tcBorders>
              <w:top w:val="single" w:sz="4"/>
              <w:bottom w:val="single" w:sz="4"/>
            </w:tcBorders>
          </w:tcPr>
          <w:p>
            <w:pPr>
              <w:pStyle w:val="0"/>
              <w:jc w:val="center"/>
            </w:pPr>
            <w:r>
              <w:rPr>
                <w:sz w:val="20"/>
              </w:rPr>
              <w:t xml:space="preserve">Удельный вес по классам, %</w:t>
            </w:r>
          </w:p>
        </w:tc>
      </w:tr>
      <w:tr>
        <w:tblPrEx>
          <w:tblBorders>
            <w:insideH w:val="single" w:sz="4"/>
          </w:tblBorders>
        </w:tblPrEx>
        <w:tc>
          <w:tcPr>
            <w:tcW w:w="3539" w:type="dxa"/>
            <w:tcBorders>
              <w:top w:val="single" w:sz="4"/>
              <w:bottom w:val="single" w:sz="4"/>
            </w:tcBorders>
          </w:tcPr>
          <w:p>
            <w:pPr>
              <w:pStyle w:val="0"/>
            </w:pPr>
            <w:r>
              <w:rPr>
                <w:sz w:val="20"/>
              </w:rPr>
              <w:t xml:space="preserve">От всех причин</w:t>
            </w:r>
          </w:p>
        </w:tc>
        <w:tc>
          <w:tcPr>
            <w:tcW w:w="1020" w:type="dxa"/>
            <w:tcBorders>
              <w:top w:val="single" w:sz="4"/>
              <w:bottom w:val="single" w:sz="4"/>
            </w:tcBorders>
          </w:tcPr>
          <w:p>
            <w:pPr>
              <w:pStyle w:val="0"/>
            </w:pPr>
            <w:r>
              <w:rPr>
                <w:sz w:val="20"/>
              </w:rPr>
              <w:t xml:space="preserve">379,4</w:t>
            </w:r>
          </w:p>
        </w:tc>
        <w:tc>
          <w:tcPr>
            <w:tcW w:w="1134" w:type="dxa"/>
            <w:tcBorders>
              <w:top w:val="single" w:sz="4"/>
              <w:bottom w:val="single" w:sz="4"/>
            </w:tcBorders>
          </w:tcPr>
          <w:p>
            <w:pPr>
              <w:pStyle w:val="0"/>
            </w:pPr>
            <w:r>
              <w:rPr>
                <w:sz w:val="20"/>
              </w:rPr>
              <w:t xml:space="preserve">362,7</w:t>
            </w:r>
          </w:p>
        </w:tc>
        <w:tc>
          <w:tcPr>
            <w:tcW w:w="1247" w:type="dxa"/>
            <w:tcBorders>
              <w:top w:val="single" w:sz="4"/>
              <w:bottom w:val="single" w:sz="4"/>
            </w:tcBorders>
          </w:tcPr>
          <w:p>
            <w:pPr>
              <w:pStyle w:val="0"/>
            </w:pPr>
            <w:r>
              <w:rPr>
                <w:sz w:val="20"/>
              </w:rPr>
              <w:t xml:space="preserve">432,1</w:t>
            </w:r>
          </w:p>
        </w:tc>
        <w:tc>
          <w:tcPr>
            <w:tcW w:w="964" w:type="dxa"/>
            <w:tcBorders>
              <w:top w:val="single" w:sz="4"/>
              <w:bottom w:val="single" w:sz="4"/>
            </w:tcBorders>
          </w:tcPr>
          <w:p>
            <w:pPr>
              <w:pStyle w:val="0"/>
            </w:pPr>
            <w:r>
              <w:rPr>
                <w:sz w:val="20"/>
              </w:rPr>
              <w:t xml:space="preserve">100,0</w:t>
            </w:r>
          </w:p>
        </w:tc>
        <w:tc>
          <w:tcPr>
            <w:tcW w:w="1020" w:type="dxa"/>
            <w:tcBorders>
              <w:top w:val="single" w:sz="4"/>
              <w:bottom w:val="single" w:sz="4"/>
            </w:tcBorders>
          </w:tcPr>
          <w:p>
            <w:pPr>
              <w:pStyle w:val="0"/>
            </w:pPr>
            <w:r>
              <w:rPr>
                <w:sz w:val="20"/>
              </w:rPr>
              <w:t xml:space="preserve">+13,9</w:t>
            </w:r>
          </w:p>
        </w:tc>
        <w:tc>
          <w:tcPr>
            <w:tcW w:w="992" w:type="dxa"/>
            <w:tcBorders>
              <w:top w:val="single" w:sz="4"/>
              <w:bottom w:val="single" w:sz="4"/>
            </w:tcBorders>
          </w:tcPr>
          <w:p>
            <w:pPr>
              <w:pStyle w:val="0"/>
            </w:pPr>
            <w:r>
              <w:rPr>
                <w:sz w:val="20"/>
              </w:rPr>
              <w:t xml:space="preserve">503,1</w:t>
            </w:r>
          </w:p>
        </w:tc>
        <w:tc>
          <w:tcPr>
            <w:tcW w:w="1056" w:type="dxa"/>
            <w:tcBorders>
              <w:top w:val="single" w:sz="4"/>
              <w:bottom w:val="single" w:sz="4"/>
            </w:tcBorders>
          </w:tcPr>
          <w:p>
            <w:pPr>
              <w:pStyle w:val="0"/>
            </w:pPr>
            <w:r>
              <w:rPr>
                <w:sz w:val="20"/>
              </w:rPr>
              <w:t xml:space="preserve">100,0</w:t>
            </w:r>
          </w:p>
        </w:tc>
        <w:tc>
          <w:tcPr>
            <w:tcW w:w="992" w:type="dxa"/>
            <w:tcBorders>
              <w:top w:val="single" w:sz="4"/>
              <w:bottom w:val="single" w:sz="4"/>
            </w:tcBorders>
          </w:tcPr>
          <w:p>
            <w:pPr>
              <w:pStyle w:val="0"/>
            </w:pPr>
            <w:r>
              <w:rPr>
                <w:sz w:val="20"/>
              </w:rPr>
              <w:t xml:space="preserve">470,0</w:t>
            </w:r>
          </w:p>
        </w:tc>
        <w:tc>
          <w:tcPr>
            <w:tcW w:w="907" w:type="dxa"/>
            <w:tcBorders>
              <w:top w:val="single" w:sz="4"/>
              <w:bottom w:val="single" w:sz="4"/>
            </w:tcBorders>
          </w:tcPr>
          <w:p>
            <w:pPr>
              <w:pStyle w:val="0"/>
            </w:pPr>
            <w:r>
              <w:rPr>
                <w:sz w:val="20"/>
              </w:rPr>
              <w:t xml:space="preserve">100,0</w:t>
            </w:r>
          </w:p>
        </w:tc>
      </w:tr>
      <w:tr>
        <w:tc>
          <w:tcPr>
            <w:tcW w:w="3539" w:type="dxa"/>
            <w:tcBorders>
              <w:top w:val="single" w:sz="4"/>
              <w:bottom w:val="nil"/>
            </w:tcBorders>
          </w:tcPr>
          <w:p>
            <w:pPr>
              <w:pStyle w:val="0"/>
            </w:pPr>
            <w:r>
              <w:rPr>
                <w:sz w:val="20"/>
              </w:rPr>
              <w:t xml:space="preserve">Некоторые инфекционные и паразитарные болезни,</w:t>
            </w:r>
          </w:p>
        </w:tc>
        <w:tc>
          <w:tcPr>
            <w:tcW w:w="1020" w:type="dxa"/>
            <w:tcBorders>
              <w:top w:val="single" w:sz="4"/>
              <w:bottom w:val="nil"/>
            </w:tcBorders>
          </w:tcPr>
          <w:p>
            <w:pPr>
              <w:pStyle w:val="0"/>
            </w:pPr>
            <w:r>
              <w:rPr>
                <w:sz w:val="20"/>
              </w:rPr>
              <w:t xml:space="preserve">42,4</w:t>
            </w:r>
          </w:p>
        </w:tc>
        <w:tc>
          <w:tcPr>
            <w:tcW w:w="1134" w:type="dxa"/>
            <w:tcBorders>
              <w:top w:val="single" w:sz="4"/>
              <w:bottom w:val="nil"/>
            </w:tcBorders>
          </w:tcPr>
          <w:p>
            <w:pPr>
              <w:pStyle w:val="0"/>
            </w:pPr>
            <w:r>
              <w:rPr>
                <w:sz w:val="20"/>
              </w:rPr>
              <w:t xml:space="preserve">39,9</w:t>
            </w:r>
          </w:p>
        </w:tc>
        <w:tc>
          <w:tcPr>
            <w:tcW w:w="1247" w:type="dxa"/>
            <w:tcBorders>
              <w:top w:val="single" w:sz="4"/>
              <w:bottom w:val="nil"/>
            </w:tcBorders>
          </w:tcPr>
          <w:p>
            <w:pPr>
              <w:pStyle w:val="0"/>
            </w:pPr>
            <w:r>
              <w:rPr>
                <w:sz w:val="20"/>
              </w:rPr>
              <w:t xml:space="preserve">41,3</w:t>
            </w:r>
          </w:p>
        </w:tc>
        <w:tc>
          <w:tcPr>
            <w:tcW w:w="964" w:type="dxa"/>
            <w:tcBorders>
              <w:top w:val="single" w:sz="4"/>
              <w:bottom w:val="nil"/>
            </w:tcBorders>
          </w:tcPr>
          <w:p>
            <w:pPr>
              <w:pStyle w:val="0"/>
            </w:pPr>
            <w:r>
              <w:rPr>
                <w:sz w:val="20"/>
              </w:rPr>
              <w:t xml:space="preserve">9,5</w:t>
            </w:r>
          </w:p>
        </w:tc>
        <w:tc>
          <w:tcPr>
            <w:tcW w:w="1020" w:type="dxa"/>
            <w:tcBorders>
              <w:top w:val="single" w:sz="4"/>
              <w:bottom w:val="nil"/>
            </w:tcBorders>
          </w:tcPr>
          <w:p>
            <w:pPr>
              <w:pStyle w:val="0"/>
            </w:pPr>
            <w:r>
              <w:rPr>
                <w:sz w:val="20"/>
              </w:rPr>
              <w:t xml:space="preserve">-2,6</w:t>
            </w:r>
          </w:p>
        </w:tc>
        <w:tc>
          <w:tcPr>
            <w:tcW w:w="992" w:type="dxa"/>
            <w:tcBorders>
              <w:top w:val="single" w:sz="4"/>
              <w:bottom w:val="nil"/>
            </w:tcBorders>
          </w:tcPr>
          <w:p>
            <w:pPr>
              <w:pStyle w:val="0"/>
            </w:pPr>
            <w:r>
              <w:rPr>
                <w:sz w:val="20"/>
              </w:rPr>
              <w:t xml:space="preserve">62,5</w:t>
            </w:r>
          </w:p>
        </w:tc>
        <w:tc>
          <w:tcPr>
            <w:tcW w:w="1056" w:type="dxa"/>
            <w:tcBorders>
              <w:top w:val="single" w:sz="4"/>
              <w:bottom w:val="nil"/>
            </w:tcBorders>
          </w:tcPr>
          <w:p>
            <w:pPr>
              <w:pStyle w:val="0"/>
            </w:pPr>
            <w:r>
              <w:rPr>
                <w:sz w:val="20"/>
              </w:rPr>
              <w:t xml:space="preserve">12,4</w:t>
            </w:r>
          </w:p>
        </w:tc>
        <w:tc>
          <w:tcPr>
            <w:tcW w:w="992" w:type="dxa"/>
            <w:tcBorders>
              <w:top w:val="single" w:sz="4"/>
              <w:bottom w:val="nil"/>
            </w:tcBorders>
          </w:tcPr>
          <w:p>
            <w:pPr>
              <w:pStyle w:val="0"/>
            </w:pPr>
            <w:r>
              <w:rPr>
                <w:sz w:val="20"/>
              </w:rPr>
              <w:t xml:space="preserve">33,6</w:t>
            </w:r>
          </w:p>
        </w:tc>
        <w:tc>
          <w:tcPr>
            <w:tcW w:w="907" w:type="dxa"/>
            <w:tcBorders>
              <w:top w:val="single" w:sz="4"/>
              <w:bottom w:val="nil"/>
            </w:tcBorders>
          </w:tcPr>
          <w:p>
            <w:pPr>
              <w:pStyle w:val="0"/>
            </w:pPr>
            <w:r>
              <w:rPr>
                <w:sz w:val="20"/>
              </w:rPr>
              <w:t xml:space="preserve">7,1</w:t>
            </w:r>
          </w:p>
        </w:tc>
      </w:tr>
      <w:tr>
        <w:tc>
          <w:tcPr>
            <w:tcW w:w="3539" w:type="dxa"/>
            <w:tcBorders>
              <w:top w:val="nil"/>
              <w:bottom w:val="single" w:sz="4"/>
            </w:tcBorders>
          </w:tcPr>
          <w:p>
            <w:pPr>
              <w:pStyle w:val="0"/>
            </w:pPr>
            <w:r>
              <w:rPr>
                <w:sz w:val="20"/>
              </w:rPr>
              <w:t xml:space="preserve">из них: туберкулез</w:t>
            </w:r>
          </w:p>
        </w:tc>
        <w:tc>
          <w:tcPr>
            <w:tcW w:w="1020" w:type="dxa"/>
            <w:tcBorders>
              <w:top w:val="nil"/>
              <w:bottom w:val="single" w:sz="4"/>
            </w:tcBorders>
          </w:tcPr>
          <w:p>
            <w:pPr>
              <w:pStyle w:val="0"/>
            </w:pPr>
            <w:r>
              <w:rPr>
                <w:sz w:val="20"/>
              </w:rPr>
              <w:t xml:space="preserve">2,7</w:t>
            </w:r>
          </w:p>
        </w:tc>
        <w:tc>
          <w:tcPr>
            <w:tcW w:w="1134" w:type="dxa"/>
            <w:tcBorders>
              <w:top w:val="nil"/>
              <w:bottom w:val="single" w:sz="4"/>
            </w:tcBorders>
          </w:tcPr>
          <w:p>
            <w:pPr>
              <w:pStyle w:val="0"/>
            </w:pPr>
            <w:r>
              <w:rPr>
                <w:sz w:val="20"/>
              </w:rPr>
              <w:t xml:space="preserve">2,6</w:t>
            </w:r>
          </w:p>
        </w:tc>
        <w:tc>
          <w:tcPr>
            <w:tcW w:w="1247" w:type="dxa"/>
            <w:tcBorders>
              <w:top w:val="nil"/>
              <w:bottom w:val="single" w:sz="4"/>
            </w:tcBorders>
          </w:tcPr>
          <w:p>
            <w:pPr>
              <w:pStyle w:val="0"/>
            </w:pPr>
            <w:r>
              <w:rPr>
                <w:sz w:val="20"/>
              </w:rPr>
              <w:t xml:space="preserve">2,3</w:t>
            </w:r>
          </w:p>
        </w:tc>
        <w:tc>
          <w:tcPr>
            <w:tcW w:w="964" w:type="dxa"/>
            <w:tcBorders>
              <w:top w:val="nil"/>
              <w:bottom w:val="single" w:sz="4"/>
            </w:tcBorders>
          </w:tcPr>
          <w:p>
            <w:pPr>
              <w:pStyle w:val="0"/>
            </w:pPr>
            <w:r>
              <w:rPr>
                <w:sz w:val="20"/>
              </w:rPr>
            </w:r>
          </w:p>
        </w:tc>
        <w:tc>
          <w:tcPr>
            <w:tcW w:w="1020" w:type="dxa"/>
            <w:tcBorders>
              <w:top w:val="nil"/>
              <w:bottom w:val="single" w:sz="4"/>
            </w:tcBorders>
          </w:tcPr>
          <w:p>
            <w:pPr>
              <w:pStyle w:val="0"/>
            </w:pPr>
            <w:r>
              <w:rPr>
                <w:sz w:val="20"/>
              </w:rPr>
              <w:t xml:space="preserve">-14,8</w:t>
            </w:r>
          </w:p>
        </w:tc>
        <w:tc>
          <w:tcPr>
            <w:tcW w:w="992" w:type="dxa"/>
            <w:tcBorders>
              <w:top w:val="nil"/>
              <w:bottom w:val="single" w:sz="4"/>
            </w:tcBorders>
          </w:tcPr>
          <w:p>
            <w:pPr>
              <w:pStyle w:val="0"/>
            </w:pPr>
            <w:r>
              <w:rPr>
                <w:sz w:val="20"/>
              </w:rPr>
              <w:t xml:space="preserve">8,5</w:t>
            </w:r>
          </w:p>
        </w:tc>
        <w:tc>
          <w:tcPr>
            <w:tcW w:w="1056" w:type="dxa"/>
            <w:tcBorders>
              <w:top w:val="nil"/>
              <w:bottom w:val="single" w:sz="4"/>
            </w:tcBorders>
          </w:tcPr>
          <w:p>
            <w:pPr>
              <w:pStyle w:val="0"/>
            </w:pPr>
            <w:r>
              <w:rPr>
                <w:sz w:val="20"/>
              </w:rPr>
            </w:r>
          </w:p>
        </w:tc>
        <w:tc>
          <w:tcPr>
            <w:tcW w:w="992" w:type="dxa"/>
            <w:tcBorders>
              <w:top w:val="nil"/>
              <w:bottom w:val="single" w:sz="4"/>
            </w:tcBorders>
          </w:tcPr>
          <w:p>
            <w:pPr>
              <w:pStyle w:val="0"/>
            </w:pPr>
            <w:r>
              <w:rPr>
                <w:sz w:val="20"/>
              </w:rPr>
              <w:t xml:space="preserve">6,6</w:t>
            </w:r>
          </w:p>
        </w:tc>
        <w:tc>
          <w:tcPr>
            <w:tcW w:w="907" w:type="dxa"/>
            <w:tcBorders>
              <w:top w:val="nil"/>
              <w:bottom w:val="single" w:sz="4"/>
            </w:tcBorders>
          </w:tcPr>
          <w:p>
            <w:pPr>
              <w:pStyle w:val="0"/>
            </w:pPr>
            <w:r>
              <w:rPr>
                <w:sz w:val="20"/>
              </w:rPr>
            </w:r>
          </w:p>
        </w:tc>
      </w:tr>
      <w:tr>
        <w:tc>
          <w:tcPr>
            <w:tcW w:w="3539" w:type="dxa"/>
            <w:tcBorders>
              <w:top w:val="single" w:sz="4"/>
              <w:bottom w:val="nil"/>
            </w:tcBorders>
          </w:tcPr>
          <w:p>
            <w:pPr>
              <w:pStyle w:val="0"/>
            </w:pPr>
            <w:r>
              <w:rPr>
                <w:sz w:val="20"/>
              </w:rPr>
              <w:t xml:space="preserve">Новообразования,</w:t>
            </w:r>
          </w:p>
        </w:tc>
        <w:tc>
          <w:tcPr>
            <w:tcW w:w="1020" w:type="dxa"/>
            <w:tcBorders>
              <w:top w:val="single" w:sz="4"/>
              <w:bottom w:val="nil"/>
            </w:tcBorders>
          </w:tcPr>
          <w:p>
            <w:pPr>
              <w:pStyle w:val="0"/>
            </w:pPr>
            <w:r>
              <w:rPr>
                <w:sz w:val="20"/>
              </w:rPr>
              <w:t xml:space="preserve">61,5</w:t>
            </w:r>
          </w:p>
        </w:tc>
        <w:tc>
          <w:tcPr>
            <w:tcW w:w="1134" w:type="dxa"/>
            <w:tcBorders>
              <w:top w:val="single" w:sz="4"/>
              <w:bottom w:val="nil"/>
            </w:tcBorders>
          </w:tcPr>
          <w:p>
            <w:pPr>
              <w:pStyle w:val="0"/>
            </w:pPr>
            <w:r>
              <w:rPr>
                <w:sz w:val="20"/>
              </w:rPr>
              <w:t xml:space="preserve">52,9</w:t>
            </w:r>
          </w:p>
        </w:tc>
        <w:tc>
          <w:tcPr>
            <w:tcW w:w="1247" w:type="dxa"/>
            <w:tcBorders>
              <w:top w:val="single" w:sz="4"/>
              <w:bottom w:val="nil"/>
            </w:tcBorders>
          </w:tcPr>
          <w:p>
            <w:pPr>
              <w:pStyle w:val="0"/>
            </w:pPr>
            <w:r>
              <w:rPr>
                <w:sz w:val="20"/>
              </w:rPr>
              <w:t xml:space="preserve">61,7</w:t>
            </w:r>
          </w:p>
        </w:tc>
        <w:tc>
          <w:tcPr>
            <w:tcW w:w="964" w:type="dxa"/>
            <w:tcBorders>
              <w:top w:val="single" w:sz="4"/>
              <w:bottom w:val="nil"/>
            </w:tcBorders>
          </w:tcPr>
          <w:p>
            <w:pPr>
              <w:pStyle w:val="0"/>
            </w:pPr>
            <w:r>
              <w:rPr>
                <w:sz w:val="20"/>
              </w:rPr>
              <w:t xml:space="preserve">14,3</w:t>
            </w:r>
          </w:p>
        </w:tc>
        <w:tc>
          <w:tcPr>
            <w:tcW w:w="1020" w:type="dxa"/>
            <w:tcBorders>
              <w:top w:val="single" w:sz="4"/>
              <w:bottom w:val="nil"/>
            </w:tcBorders>
          </w:tcPr>
          <w:p>
            <w:pPr>
              <w:pStyle w:val="0"/>
            </w:pPr>
            <w:r>
              <w:rPr>
                <w:sz w:val="20"/>
              </w:rPr>
              <w:t xml:space="preserve">+0,3</w:t>
            </w:r>
          </w:p>
        </w:tc>
        <w:tc>
          <w:tcPr>
            <w:tcW w:w="992" w:type="dxa"/>
            <w:tcBorders>
              <w:top w:val="single" w:sz="4"/>
              <w:bottom w:val="nil"/>
            </w:tcBorders>
          </w:tcPr>
          <w:p>
            <w:pPr>
              <w:pStyle w:val="0"/>
            </w:pPr>
            <w:r>
              <w:rPr>
                <w:sz w:val="20"/>
              </w:rPr>
              <w:t xml:space="preserve">71,6</w:t>
            </w:r>
          </w:p>
        </w:tc>
        <w:tc>
          <w:tcPr>
            <w:tcW w:w="1056" w:type="dxa"/>
            <w:tcBorders>
              <w:top w:val="single" w:sz="4"/>
              <w:bottom w:val="nil"/>
            </w:tcBorders>
          </w:tcPr>
          <w:p>
            <w:pPr>
              <w:pStyle w:val="0"/>
            </w:pPr>
            <w:r>
              <w:rPr>
                <w:sz w:val="20"/>
              </w:rPr>
              <w:t xml:space="preserve">14,2</w:t>
            </w:r>
          </w:p>
        </w:tc>
        <w:tc>
          <w:tcPr>
            <w:tcW w:w="992" w:type="dxa"/>
            <w:tcBorders>
              <w:top w:val="single" w:sz="4"/>
              <w:bottom w:val="nil"/>
            </w:tcBorders>
          </w:tcPr>
          <w:p>
            <w:pPr>
              <w:pStyle w:val="0"/>
            </w:pPr>
            <w:r>
              <w:rPr>
                <w:sz w:val="20"/>
              </w:rPr>
              <w:t xml:space="preserve">71,3</w:t>
            </w:r>
          </w:p>
        </w:tc>
        <w:tc>
          <w:tcPr>
            <w:tcW w:w="907" w:type="dxa"/>
            <w:tcBorders>
              <w:top w:val="single" w:sz="4"/>
              <w:bottom w:val="nil"/>
            </w:tcBorders>
          </w:tcPr>
          <w:p>
            <w:pPr>
              <w:pStyle w:val="0"/>
            </w:pPr>
            <w:r>
              <w:rPr>
                <w:sz w:val="20"/>
              </w:rPr>
              <w:t xml:space="preserve">15,2</w:t>
            </w:r>
          </w:p>
        </w:tc>
      </w:tr>
      <w:tr>
        <w:tc>
          <w:tcPr>
            <w:tcW w:w="3539" w:type="dxa"/>
            <w:tcBorders>
              <w:top w:val="nil"/>
              <w:bottom w:val="single" w:sz="4"/>
            </w:tcBorders>
          </w:tcPr>
          <w:p>
            <w:pPr>
              <w:pStyle w:val="0"/>
            </w:pPr>
            <w:r>
              <w:rPr>
                <w:sz w:val="20"/>
              </w:rPr>
              <w:t xml:space="preserve">из них: злокачественные</w:t>
            </w:r>
          </w:p>
        </w:tc>
        <w:tc>
          <w:tcPr>
            <w:tcW w:w="1020" w:type="dxa"/>
            <w:tcBorders>
              <w:top w:val="nil"/>
              <w:bottom w:val="single" w:sz="4"/>
            </w:tcBorders>
          </w:tcPr>
          <w:p>
            <w:pPr>
              <w:pStyle w:val="0"/>
            </w:pPr>
            <w:r>
              <w:rPr>
                <w:sz w:val="20"/>
              </w:rPr>
              <w:t xml:space="preserve">61,0</w:t>
            </w:r>
          </w:p>
        </w:tc>
        <w:tc>
          <w:tcPr>
            <w:tcW w:w="1134" w:type="dxa"/>
            <w:tcBorders>
              <w:top w:val="nil"/>
              <w:bottom w:val="single" w:sz="4"/>
            </w:tcBorders>
          </w:tcPr>
          <w:p>
            <w:pPr>
              <w:pStyle w:val="0"/>
            </w:pPr>
            <w:r>
              <w:rPr>
                <w:sz w:val="20"/>
              </w:rPr>
              <w:t xml:space="preserve">51,8</w:t>
            </w:r>
          </w:p>
        </w:tc>
        <w:tc>
          <w:tcPr>
            <w:tcW w:w="1247" w:type="dxa"/>
            <w:tcBorders>
              <w:top w:val="nil"/>
              <w:bottom w:val="single" w:sz="4"/>
            </w:tcBorders>
          </w:tcPr>
          <w:p>
            <w:pPr>
              <w:pStyle w:val="0"/>
            </w:pPr>
            <w:r>
              <w:rPr>
                <w:sz w:val="20"/>
              </w:rPr>
              <w:t xml:space="preserve">61,3</w:t>
            </w:r>
          </w:p>
        </w:tc>
        <w:tc>
          <w:tcPr>
            <w:tcW w:w="964" w:type="dxa"/>
            <w:tcBorders>
              <w:top w:val="nil"/>
              <w:bottom w:val="single" w:sz="4"/>
            </w:tcBorders>
          </w:tcPr>
          <w:p>
            <w:pPr>
              <w:pStyle w:val="0"/>
            </w:pPr>
            <w:r>
              <w:rPr>
                <w:sz w:val="20"/>
              </w:rPr>
            </w:r>
          </w:p>
        </w:tc>
        <w:tc>
          <w:tcPr>
            <w:tcW w:w="1020" w:type="dxa"/>
            <w:tcBorders>
              <w:top w:val="nil"/>
              <w:bottom w:val="single" w:sz="4"/>
            </w:tcBorders>
          </w:tcPr>
          <w:p>
            <w:pPr>
              <w:pStyle w:val="0"/>
            </w:pPr>
            <w:r>
              <w:rPr>
                <w:sz w:val="20"/>
              </w:rPr>
              <w:t xml:space="preserve">+0,5</w:t>
            </w:r>
          </w:p>
        </w:tc>
        <w:tc>
          <w:tcPr>
            <w:tcW w:w="992" w:type="dxa"/>
            <w:tcBorders>
              <w:top w:val="nil"/>
              <w:bottom w:val="single" w:sz="4"/>
            </w:tcBorders>
          </w:tcPr>
          <w:p>
            <w:pPr>
              <w:pStyle w:val="0"/>
            </w:pPr>
            <w:r>
              <w:rPr>
                <w:sz w:val="20"/>
              </w:rPr>
              <w:t xml:space="preserve">70,8</w:t>
            </w:r>
          </w:p>
        </w:tc>
        <w:tc>
          <w:tcPr>
            <w:tcW w:w="1056" w:type="dxa"/>
            <w:tcBorders>
              <w:top w:val="nil"/>
              <w:bottom w:val="single" w:sz="4"/>
            </w:tcBorders>
          </w:tcPr>
          <w:p>
            <w:pPr>
              <w:pStyle w:val="0"/>
            </w:pPr>
            <w:r>
              <w:rPr>
                <w:sz w:val="20"/>
              </w:rPr>
            </w:r>
          </w:p>
        </w:tc>
        <w:tc>
          <w:tcPr>
            <w:tcW w:w="992" w:type="dxa"/>
            <w:tcBorders>
              <w:top w:val="nil"/>
              <w:bottom w:val="single" w:sz="4"/>
            </w:tcBorders>
          </w:tcPr>
          <w:p>
            <w:pPr>
              <w:pStyle w:val="0"/>
            </w:pPr>
            <w:r>
              <w:rPr>
                <w:sz w:val="20"/>
              </w:rPr>
              <w:t xml:space="preserve">70,4</w:t>
            </w:r>
          </w:p>
        </w:tc>
        <w:tc>
          <w:tcPr>
            <w:tcW w:w="907" w:type="dxa"/>
            <w:tcBorders>
              <w:top w:val="nil"/>
              <w:bottom w:val="single" w:sz="4"/>
            </w:tcBorders>
          </w:tcPr>
          <w:p>
            <w:pPr>
              <w:pStyle w:val="0"/>
            </w:pPr>
            <w:r>
              <w:rPr>
                <w:sz w:val="20"/>
              </w:rPr>
            </w:r>
          </w:p>
        </w:tc>
      </w:tr>
      <w:tr>
        <w:tc>
          <w:tcPr>
            <w:tcW w:w="3539" w:type="dxa"/>
            <w:tcBorders>
              <w:top w:val="single" w:sz="4"/>
              <w:bottom w:val="nil"/>
            </w:tcBorders>
          </w:tcPr>
          <w:p>
            <w:pPr>
              <w:pStyle w:val="0"/>
            </w:pPr>
            <w:r>
              <w:rPr>
                <w:sz w:val="20"/>
              </w:rPr>
              <w:t xml:space="preserve">Болезни системы кровообращения,</w:t>
            </w:r>
          </w:p>
        </w:tc>
        <w:tc>
          <w:tcPr>
            <w:tcW w:w="1020" w:type="dxa"/>
            <w:tcBorders>
              <w:top w:val="single" w:sz="4"/>
              <w:bottom w:val="nil"/>
            </w:tcBorders>
          </w:tcPr>
          <w:p>
            <w:pPr>
              <w:pStyle w:val="0"/>
            </w:pPr>
            <w:r>
              <w:rPr>
                <w:sz w:val="20"/>
              </w:rPr>
              <w:t xml:space="preserve">115,4</w:t>
            </w:r>
          </w:p>
        </w:tc>
        <w:tc>
          <w:tcPr>
            <w:tcW w:w="1134" w:type="dxa"/>
            <w:tcBorders>
              <w:top w:val="single" w:sz="4"/>
              <w:bottom w:val="nil"/>
            </w:tcBorders>
          </w:tcPr>
          <w:p>
            <w:pPr>
              <w:pStyle w:val="0"/>
            </w:pPr>
            <w:r>
              <w:rPr>
                <w:sz w:val="20"/>
              </w:rPr>
              <w:t xml:space="preserve">105,6</w:t>
            </w:r>
          </w:p>
        </w:tc>
        <w:tc>
          <w:tcPr>
            <w:tcW w:w="1247" w:type="dxa"/>
            <w:tcBorders>
              <w:top w:val="single" w:sz="4"/>
              <w:bottom w:val="nil"/>
            </w:tcBorders>
          </w:tcPr>
          <w:p>
            <w:pPr>
              <w:pStyle w:val="0"/>
            </w:pPr>
            <w:r>
              <w:rPr>
                <w:sz w:val="20"/>
              </w:rPr>
              <w:t xml:space="preserve">123,6</w:t>
            </w:r>
          </w:p>
        </w:tc>
        <w:tc>
          <w:tcPr>
            <w:tcW w:w="964" w:type="dxa"/>
            <w:tcBorders>
              <w:top w:val="single" w:sz="4"/>
              <w:bottom w:val="nil"/>
            </w:tcBorders>
          </w:tcPr>
          <w:p>
            <w:pPr>
              <w:pStyle w:val="0"/>
            </w:pPr>
            <w:r>
              <w:rPr>
                <w:sz w:val="20"/>
              </w:rPr>
              <w:t xml:space="preserve">28,6</w:t>
            </w:r>
          </w:p>
        </w:tc>
        <w:tc>
          <w:tcPr>
            <w:tcW w:w="1020" w:type="dxa"/>
            <w:tcBorders>
              <w:top w:val="single" w:sz="4"/>
              <w:bottom w:val="nil"/>
            </w:tcBorders>
          </w:tcPr>
          <w:p>
            <w:pPr>
              <w:pStyle w:val="0"/>
            </w:pPr>
            <w:r>
              <w:rPr>
                <w:sz w:val="20"/>
              </w:rPr>
              <w:t xml:space="preserve">+7,1</w:t>
            </w:r>
          </w:p>
        </w:tc>
        <w:tc>
          <w:tcPr>
            <w:tcW w:w="992" w:type="dxa"/>
            <w:tcBorders>
              <w:top w:val="single" w:sz="4"/>
              <w:bottom w:val="nil"/>
            </w:tcBorders>
          </w:tcPr>
          <w:p>
            <w:pPr>
              <w:pStyle w:val="0"/>
            </w:pPr>
            <w:r>
              <w:rPr>
                <w:sz w:val="20"/>
              </w:rPr>
              <w:t xml:space="preserve">142,3</w:t>
            </w:r>
          </w:p>
        </w:tc>
        <w:tc>
          <w:tcPr>
            <w:tcW w:w="1056" w:type="dxa"/>
            <w:tcBorders>
              <w:top w:val="single" w:sz="4"/>
              <w:bottom w:val="nil"/>
            </w:tcBorders>
          </w:tcPr>
          <w:p>
            <w:pPr>
              <w:pStyle w:val="0"/>
            </w:pPr>
            <w:r>
              <w:rPr>
                <w:sz w:val="20"/>
              </w:rPr>
              <w:t xml:space="preserve">28,3</w:t>
            </w:r>
          </w:p>
        </w:tc>
        <w:tc>
          <w:tcPr>
            <w:tcW w:w="992" w:type="dxa"/>
            <w:tcBorders>
              <w:top w:val="single" w:sz="4"/>
              <w:bottom w:val="nil"/>
            </w:tcBorders>
          </w:tcPr>
          <w:p>
            <w:pPr>
              <w:pStyle w:val="0"/>
            </w:pPr>
            <w:r>
              <w:rPr>
                <w:sz w:val="20"/>
              </w:rPr>
              <w:t xml:space="preserve">141,8</w:t>
            </w:r>
          </w:p>
        </w:tc>
        <w:tc>
          <w:tcPr>
            <w:tcW w:w="907" w:type="dxa"/>
            <w:tcBorders>
              <w:top w:val="single" w:sz="4"/>
              <w:bottom w:val="nil"/>
            </w:tcBorders>
          </w:tcPr>
          <w:p>
            <w:pPr>
              <w:pStyle w:val="0"/>
            </w:pPr>
            <w:r>
              <w:rPr>
                <w:sz w:val="20"/>
              </w:rPr>
              <w:t xml:space="preserve">30,2</w:t>
            </w:r>
          </w:p>
        </w:tc>
      </w:tr>
      <w:tr>
        <w:tc>
          <w:tcPr>
            <w:tcW w:w="3539" w:type="dxa"/>
            <w:tcBorders>
              <w:top w:val="nil"/>
              <w:bottom w:val="nil"/>
            </w:tcBorders>
          </w:tcPr>
          <w:p>
            <w:pPr>
              <w:pStyle w:val="0"/>
            </w:pPr>
            <w:r>
              <w:rPr>
                <w:sz w:val="20"/>
              </w:rPr>
              <w:t xml:space="preserve">из них: ишемические болезни сердца</w:t>
            </w:r>
          </w:p>
        </w:tc>
        <w:tc>
          <w:tcPr>
            <w:tcW w:w="1020" w:type="dxa"/>
            <w:tcBorders>
              <w:top w:val="nil"/>
              <w:bottom w:val="nil"/>
            </w:tcBorders>
          </w:tcPr>
          <w:p>
            <w:pPr>
              <w:pStyle w:val="0"/>
            </w:pPr>
            <w:r>
              <w:rPr>
                <w:sz w:val="20"/>
              </w:rPr>
              <w:t xml:space="preserve">56,1</w:t>
            </w:r>
          </w:p>
        </w:tc>
        <w:tc>
          <w:tcPr>
            <w:tcW w:w="1134" w:type="dxa"/>
            <w:tcBorders>
              <w:top w:val="nil"/>
              <w:bottom w:val="nil"/>
            </w:tcBorders>
          </w:tcPr>
          <w:p>
            <w:pPr>
              <w:pStyle w:val="0"/>
            </w:pPr>
            <w:r>
              <w:rPr>
                <w:sz w:val="20"/>
              </w:rPr>
              <w:t xml:space="preserve">41,7</w:t>
            </w:r>
          </w:p>
        </w:tc>
        <w:tc>
          <w:tcPr>
            <w:tcW w:w="1247" w:type="dxa"/>
            <w:tcBorders>
              <w:top w:val="nil"/>
              <w:bottom w:val="nil"/>
            </w:tcBorders>
          </w:tcPr>
          <w:p>
            <w:pPr>
              <w:pStyle w:val="0"/>
            </w:pPr>
            <w:r>
              <w:rPr>
                <w:sz w:val="20"/>
              </w:rPr>
              <w:t xml:space="preserve">50,2</w:t>
            </w:r>
          </w:p>
        </w:tc>
        <w:tc>
          <w:tcPr>
            <w:tcW w:w="964"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-10,5</w:t>
            </w:r>
          </w:p>
        </w:tc>
        <w:tc>
          <w:tcPr>
            <w:tcW w:w="992" w:type="dxa"/>
            <w:tcBorders>
              <w:top w:val="nil"/>
              <w:bottom w:val="nil"/>
            </w:tcBorders>
          </w:tcPr>
          <w:p>
            <w:pPr>
              <w:pStyle w:val="0"/>
            </w:pPr>
            <w:r>
              <w:rPr>
                <w:sz w:val="20"/>
              </w:rPr>
              <w:t xml:space="preserve">56,2</w:t>
            </w:r>
          </w:p>
        </w:tc>
        <w:tc>
          <w:tcPr>
            <w:tcW w:w="1056" w:type="dxa"/>
            <w:tcBorders>
              <w:top w:val="nil"/>
              <w:bottom w:val="nil"/>
            </w:tcBorders>
          </w:tcPr>
          <w:p>
            <w:pPr>
              <w:pStyle w:val="0"/>
            </w:pPr>
            <w:r>
              <w:rPr>
                <w:sz w:val="20"/>
              </w:rPr>
            </w:r>
          </w:p>
        </w:tc>
        <w:tc>
          <w:tcPr>
            <w:tcW w:w="992" w:type="dxa"/>
            <w:tcBorders>
              <w:top w:val="nil"/>
              <w:bottom w:val="nil"/>
            </w:tcBorders>
          </w:tcPr>
          <w:p>
            <w:pPr>
              <w:pStyle w:val="0"/>
            </w:pPr>
            <w:r>
              <w:rPr>
                <w:sz w:val="20"/>
              </w:rPr>
              <w:t xml:space="preserve">62,0</w:t>
            </w:r>
          </w:p>
        </w:tc>
        <w:tc>
          <w:tcPr>
            <w:tcW w:w="907" w:type="dxa"/>
            <w:tcBorders>
              <w:top w:val="nil"/>
              <w:bottom w:val="nil"/>
            </w:tcBorders>
          </w:tcPr>
          <w:p>
            <w:pPr>
              <w:pStyle w:val="0"/>
            </w:pPr>
            <w:r>
              <w:rPr>
                <w:sz w:val="20"/>
              </w:rPr>
            </w:r>
          </w:p>
        </w:tc>
      </w:tr>
      <w:tr>
        <w:tc>
          <w:tcPr>
            <w:tcW w:w="3539" w:type="dxa"/>
            <w:tcBorders>
              <w:top w:val="nil"/>
              <w:bottom w:val="single" w:sz="4"/>
            </w:tcBorders>
          </w:tcPr>
          <w:p>
            <w:pPr>
              <w:pStyle w:val="0"/>
            </w:pPr>
            <w:r>
              <w:rPr>
                <w:sz w:val="20"/>
              </w:rPr>
              <w:t xml:space="preserve">цереброваскулярные болезни</w:t>
            </w:r>
          </w:p>
        </w:tc>
        <w:tc>
          <w:tcPr>
            <w:tcW w:w="1020" w:type="dxa"/>
            <w:tcBorders>
              <w:top w:val="nil"/>
              <w:bottom w:val="single" w:sz="4"/>
            </w:tcBorders>
          </w:tcPr>
          <w:p>
            <w:pPr>
              <w:pStyle w:val="0"/>
            </w:pPr>
            <w:r>
              <w:rPr>
                <w:sz w:val="20"/>
              </w:rPr>
              <w:t xml:space="preserve">17,2</w:t>
            </w:r>
          </w:p>
        </w:tc>
        <w:tc>
          <w:tcPr>
            <w:tcW w:w="1134" w:type="dxa"/>
            <w:tcBorders>
              <w:top w:val="nil"/>
              <w:bottom w:val="single" w:sz="4"/>
            </w:tcBorders>
          </w:tcPr>
          <w:p>
            <w:pPr>
              <w:pStyle w:val="0"/>
            </w:pPr>
            <w:r>
              <w:rPr>
                <w:sz w:val="20"/>
              </w:rPr>
              <w:t xml:space="preserve">16,7</w:t>
            </w:r>
          </w:p>
        </w:tc>
        <w:tc>
          <w:tcPr>
            <w:tcW w:w="1247" w:type="dxa"/>
            <w:tcBorders>
              <w:top w:val="nil"/>
              <w:bottom w:val="single" w:sz="4"/>
            </w:tcBorders>
          </w:tcPr>
          <w:p>
            <w:pPr>
              <w:pStyle w:val="0"/>
            </w:pPr>
            <w:r>
              <w:rPr>
                <w:sz w:val="20"/>
              </w:rPr>
              <w:t xml:space="preserve">16,3</w:t>
            </w:r>
          </w:p>
        </w:tc>
        <w:tc>
          <w:tcPr>
            <w:tcW w:w="964" w:type="dxa"/>
            <w:tcBorders>
              <w:top w:val="nil"/>
              <w:bottom w:val="single" w:sz="4"/>
            </w:tcBorders>
          </w:tcPr>
          <w:p>
            <w:pPr>
              <w:pStyle w:val="0"/>
            </w:pPr>
            <w:r>
              <w:rPr>
                <w:sz w:val="20"/>
              </w:rPr>
            </w:r>
          </w:p>
        </w:tc>
        <w:tc>
          <w:tcPr>
            <w:tcW w:w="1020" w:type="dxa"/>
            <w:tcBorders>
              <w:top w:val="nil"/>
              <w:bottom w:val="single" w:sz="4"/>
            </w:tcBorders>
          </w:tcPr>
          <w:p>
            <w:pPr>
              <w:pStyle w:val="0"/>
            </w:pPr>
            <w:r>
              <w:rPr>
                <w:sz w:val="20"/>
              </w:rPr>
              <w:t xml:space="preserve">-5,2</w:t>
            </w:r>
          </w:p>
        </w:tc>
        <w:tc>
          <w:tcPr>
            <w:tcW w:w="992" w:type="dxa"/>
            <w:tcBorders>
              <w:top w:val="nil"/>
              <w:bottom w:val="single" w:sz="4"/>
            </w:tcBorders>
          </w:tcPr>
          <w:p>
            <w:pPr>
              <w:pStyle w:val="0"/>
            </w:pPr>
            <w:r>
              <w:rPr>
                <w:sz w:val="20"/>
              </w:rPr>
              <w:t xml:space="preserve">25,8</w:t>
            </w:r>
          </w:p>
        </w:tc>
        <w:tc>
          <w:tcPr>
            <w:tcW w:w="1056" w:type="dxa"/>
            <w:tcBorders>
              <w:top w:val="nil"/>
              <w:bottom w:val="single" w:sz="4"/>
            </w:tcBorders>
          </w:tcPr>
          <w:p>
            <w:pPr>
              <w:pStyle w:val="0"/>
            </w:pPr>
            <w:r>
              <w:rPr>
                <w:sz w:val="20"/>
              </w:rPr>
            </w:r>
          </w:p>
        </w:tc>
        <w:tc>
          <w:tcPr>
            <w:tcW w:w="992" w:type="dxa"/>
            <w:tcBorders>
              <w:top w:val="nil"/>
              <w:bottom w:val="single" w:sz="4"/>
            </w:tcBorders>
          </w:tcPr>
          <w:p>
            <w:pPr>
              <w:pStyle w:val="0"/>
            </w:pPr>
            <w:r>
              <w:rPr>
                <w:sz w:val="20"/>
              </w:rPr>
              <w:t xml:space="preserve">28,0</w:t>
            </w:r>
          </w:p>
        </w:tc>
        <w:tc>
          <w:tcPr>
            <w:tcW w:w="907" w:type="dxa"/>
            <w:tcBorders>
              <w:top w:val="nil"/>
              <w:bottom w:val="single" w:sz="4"/>
            </w:tcBorders>
          </w:tcPr>
          <w:p>
            <w:pPr>
              <w:pStyle w:val="0"/>
            </w:pPr>
            <w:r>
              <w:rPr>
                <w:sz w:val="20"/>
              </w:rPr>
            </w:r>
          </w:p>
        </w:tc>
      </w:tr>
      <w:tr>
        <w:tblPrEx>
          <w:tblBorders>
            <w:insideH w:val="single" w:sz="4"/>
          </w:tblBorders>
        </w:tblPrEx>
        <w:tc>
          <w:tcPr>
            <w:tcW w:w="3539" w:type="dxa"/>
            <w:tcBorders>
              <w:top w:val="single" w:sz="4"/>
              <w:bottom w:val="single" w:sz="4"/>
            </w:tcBorders>
          </w:tcPr>
          <w:p>
            <w:pPr>
              <w:pStyle w:val="0"/>
            </w:pPr>
            <w:r>
              <w:rPr>
                <w:sz w:val="20"/>
              </w:rPr>
              <w:t xml:space="preserve">Болезни органов дыхания</w:t>
            </w:r>
          </w:p>
        </w:tc>
        <w:tc>
          <w:tcPr>
            <w:tcW w:w="1020" w:type="dxa"/>
            <w:tcBorders>
              <w:top w:val="single" w:sz="4"/>
              <w:bottom w:val="single" w:sz="4"/>
            </w:tcBorders>
          </w:tcPr>
          <w:p>
            <w:pPr>
              <w:pStyle w:val="0"/>
            </w:pPr>
            <w:r>
              <w:rPr>
                <w:sz w:val="20"/>
              </w:rPr>
              <w:t xml:space="preserve">8,6</w:t>
            </w:r>
          </w:p>
        </w:tc>
        <w:tc>
          <w:tcPr>
            <w:tcW w:w="1134" w:type="dxa"/>
            <w:tcBorders>
              <w:top w:val="single" w:sz="4"/>
              <w:bottom w:val="single" w:sz="4"/>
            </w:tcBorders>
          </w:tcPr>
          <w:p>
            <w:pPr>
              <w:pStyle w:val="0"/>
            </w:pPr>
            <w:r>
              <w:rPr>
                <w:sz w:val="20"/>
              </w:rPr>
              <w:t xml:space="preserve">9,2</w:t>
            </w:r>
          </w:p>
        </w:tc>
        <w:tc>
          <w:tcPr>
            <w:tcW w:w="1247" w:type="dxa"/>
            <w:tcBorders>
              <w:top w:val="single" w:sz="4"/>
              <w:bottom w:val="single" w:sz="4"/>
            </w:tcBorders>
          </w:tcPr>
          <w:p>
            <w:pPr>
              <w:pStyle w:val="0"/>
            </w:pPr>
            <w:r>
              <w:rPr>
                <w:sz w:val="20"/>
              </w:rPr>
              <w:t xml:space="preserve">20,1</w:t>
            </w:r>
          </w:p>
        </w:tc>
        <w:tc>
          <w:tcPr>
            <w:tcW w:w="964" w:type="dxa"/>
            <w:tcBorders>
              <w:top w:val="single" w:sz="4"/>
              <w:bottom w:val="single" w:sz="4"/>
            </w:tcBorders>
          </w:tcPr>
          <w:p>
            <w:pPr>
              <w:pStyle w:val="0"/>
            </w:pPr>
            <w:r>
              <w:rPr>
                <w:sz w:val="20"/>
              </w:rPr>
              <w:t xml:space="preserve">4,6</w:t>
            </w:r>
          </w:p>
        </w:tc>
        <w:tc>
          <w:tcPr>
            <w:tcW w:w="1020" w:type="dxa"/>
            <w:tcBorders>
              <w:top w:val="single" w:sz="4"/>
              <w:bottom w:val="single" w:sz="4"/>
            </w:tcBorders>
          </w:tcPr>
          <w:p>
            <w:pPr>
              <w:pStyle w:val="0"/>
            </w:pPr>
            <w:r>
              <w:rPr>
                <w:sz w:val="20"/>
              </w:rPr>
              <w:t xml:space="preserve">+133,7</w:t>
            </w:r>
          </w:p>
        </w:tc>
        <w:tc>
          <w:tcPr>
            <w:tcW w:w="992" w:type="dxa"/>
            <w:tcBorders>
              <w:top w:val="single" w:sz="4"/>
              <w:bottom w:val="single" w:sz="4"/>
            </w:tcBorders>
          </w:tcPr>
          <w:p>
            <w:pPr>
              <w:pStyle w:val="0"/>
            </w:pPr>
            <w:r>
              <w:rPr>
                <w:sz w:val="20"/>
              </w:rPr>
              <w:t xml:space="preserve">13,6</w:t>
            </w:r>
          </w:p>
        </w:tc>
        <w:tc>
          <w:tcPr>
            <w:tcW w:w="1056" w:type="dxa"/>
            <w:tcBorders>
              <w:top w:val="single" w:sz="4"/>
              <w:bottom w:val="single" w:sz="4"/>
            </w:tcBorders>
          </w:tcPr>
          <w:p>
            <w:pPr>
              <w:pStyle w:val="0"/>
            </w:pPr>
            <w:r>
              <w:rPr>
                <w:sz w:val="20"/>
              </w:rPr>
              <w:t xml:space="preserve">2,7</w:t>
            </w:r>
          </w:p>
        </w:tc>
        <w:tc>
          <w:tcPr>
            <w:tcW w:w="992" w:type="dxa"/>
            <w:tcBorders>
              <w:top w:val="single" w:sz="4"/>
              <w:bottom w:val="single" w:sz="4"/>
            </w:tcBorders>
          </w:tcPr>
          <w:p>
            <w:pPr>
              <w:pStyle w:val="0"/>
            </w:pPr>
            <w:r>
              <w:rPr>
                <w:sz w:val="20"/>
              </w:rPr>
              <w:t xml:space="preserve">17,2</w:t>
            </w:r>
          </w:p>
        </w:tc>
        <w:tc>
          <w:tcPr>
            <w:tcW w:w="907" w:type="dxa"/>
            <w:tcBorders>
              <w:top w:val="single" w:sz="4"/>
              <w:bottom w:val="single" w:sz="4"/>
            </w:tcBorders>
          </w:tcPr>
          <w:p>
            <w:pPr>
              <w:pStyle w:val="0"/>
            </w:pPr>
            <w:r>
              <w:rPr>
                <w:sz w:val="20"/>
              </w:rPr>
              <w:t xml:space="preserve">3,7</w:t>
            </w:r>
          </w:p>
        </w:tc>
      </w:tr>
      <w:tr>
        <w:tblPrEx>
          <w:tblBorders>
            <w:insideH w:val="single" w:sz="4"/>
          </w:tblBorders>
        </w:tblPrEx>
        <w:tc>
          <w:tcPr>
            <w:tcW w:w="3539" w:type="dxa"/>
            <w:tcBorders>
              <w:top w:val="single" w:sz="4"/>
              <w:bottom w:val="single" w:sz="4"/>
            </w:tcBorders>
          </w:tcPr>
          <w:p>
            <w:pPr>
              <w:pStyle w:val="0"/>
            </w:pPr>
            <w:r>
              <w:rPr>
                <w:sz w:val="20"/>
              </w:rPr>
              <w:t xml:space="preserve">Болезни органов пищеварения</w:t>
            </w:r>
          </w:p>
        </w:tc>
        <w:tc>
          <w:tcPr>
            <w:tcW w:w="1020" w:type="dxa"/>
            <w:tcBorders>
              <w:top w:val="single" w:sz="4"/>
              <w:bottom w:val="single" w:sz="4"/>
            </w:tcBorders>
          </w:tcPr>
          <w:p>
            <w:pPr>
              <w:pStyle w:val="0"/>
            </w:pPr>
            <w:r>
              <w:rPr>
                <w:sz w:val="20"/>
              </w:rPr>
              <w:t xml:space="preserve">30,8</w:t>
            </w:r>
          </w:p>
        </w:tc>
        <w:tc>
          <w:tcPr>
            <w:tcW w:w="1134" w:type="dxa"/>
            <w:tcBorders>
              <w:top w:val="single" w:sz="4"/>
              <w:bottom w:val="single" w:sz="4"/>
            </w:tcBorders>
          </w:tcPr>
          <w:p>
            <w:pPr>
              <w:pStyle w:val="0"/>
            </w:pPr>
            <w:r>
              <w:rPr>
                <w:sz w:val="20"/>
              </w:rPr>
              <w:t xml:space="preserve">30,2</w:t>
            </w:r>
          </w:p>
        </w:tc>
        <w:tc>
          <w:tcPr>
            <w:tcW w:w="1247" w:type="dxa"/>
            <w:tcBorders>
              <w:top w:val="single" w:sz="4"/>
              <w:bottom w:val="single" w:sz="4"/>
            </w:tcBorders>
          </w:tcPr>
          <w:p>
            <w:pPr>
              <w:pStyle w:val="0"/>
            </w:pPr>
            <w:r>
              <w:rPr>
                <w:sz w:val="20"/>
              </w:rPr>
              <w:t xml:space="preserve">35,3</w:t>
            </w:r>
          </w:p>
        </w:tc>
        <w:tc>
          <w:tcPr>
            <w:tcW w:w="964" w:type="dxa"/>
            <w:tcBorders>
              <w:top w:val="single" w:sz="4"/>
              <w:bottom w:val="single" w:sz="4"/>
            </w:tcBorders>
          </w:tcPr>
          <w:p>
            <w:pPr>
              <w:pStyle w:val="0"/>
            </w:pPr>
            <w:r>
              <w:rPr>
                <w:sz w:val="20"/>
              </w:rPr>
              <w:t xml:space="preserve">8,2</w:t>
            </w:r>
          </w:p>
        </w:tc>
        <w:tc>
          <w:tcPr>
            <w:tcW w:w="1020" w:type="dxa"/>
            <w:tcBorders>
              <w:top w:val="single" w:sz="4"/>
              <w:bottom w:val="single" w:sz="4"/>
            </w:tcBorders>
          </w:tcPr>
          <w:p>
            <w:pPr>
              <w:pStyle w:val="0"/>
            </w:pPr>
            <w:r>
              <w:rPr>
                <w:sz w:val="20"/>
              </w:rPr>
              <w:t xml:space="preserve">+14,6</w:t>
            </w:r>
          </w:p>
        </w:tc>
        <w:tc>
          <w:tcPr>
            <w:tcW w:w="992" w:type="dxa"/>
            <w:tcBorders>
              <w:top w:val="single" w:sz="4"/>
              <w:bottom w:val="single" w:sz="4"/>
            </w:tcBorders>
          </w:tcPr>
          <w:p>
            <w:pPr>
              <w:pStyle w:val="0"/>
            </w:pPr>
            <w:r>
              <w:rPr>
                <w:sz w:val="20"/>
              </w:rPr>
              <w:t xml:space="preserve">44,4</w:t>
            </w:r>
          </w:p>
        </w:tc>
        <w:tc>
          <w:tcPr>
            <w:tcW w:w="1056" w:type="dxa"/>
            <w:tcBorders>
              <w:top w:val="single" w:sz="4"/>
              <w:bottom w:val="single" w:sz="4"/>
            </w:tcBorders>
          </w:tcPr>
          <w:p>
            <w:pPr>
              <w:pStyle w:val="0"/>
            </w:pPr>
            <w:r>
              <w:rPr>
                <w:sz w:val="20"/>
              </w:rPr>
              <w:t xml:space="preserve">8,8</w:t>
            </w:r>
          </w:p>
        </w:tc>
        <w:tc>
          <w:tcPr>
            <w:tcW w:w="992" w:type="dxa"/>
            <w:tcBorders>
              <w:top w:val="single" w:sz="4"/>
              <w:bottom w:val="single" w:sz="4"/>
            </w:tcBorders>
          </w:tcPr>
          <w:p>
            <w:pPr>
              <w:pStyle w:val="0"/>
            </w:pPr>
            <w:r>
              <w:rPr>
                <w:sz w:val="20"/>
              </w:rPr>
              <w:t xml:space="preserve">45,9</w:t>
            </w:r>
          </w:p>
        </w:tc>
        <w:tc>
          <w:tcPr>
            <w:tcW w:w="907" w:type="dxa"/>
            <w:tcBorders>
              <w:top w:val="single" w:sz="4"/>
              <w:bottom w:val="single" w:sz="4"/>
            </w:tcBorders>
          </w:tcPr>
          <w:p>
            <w:pPr>
              <w:pStyle w:val="0"/>
            </w:pPr>
            <w:r>
              <w:rPr>
                <w:sz w:val="20"/>
              </w:rPr>
              <w:t xml:space="preserve">9,8</w:t>
            </w:r>
          </w:p>
        </w:tc>
      </w:tr>
      <w:tr>
        <w:tc>
          <w:tcPr>
            <w:tcW w:w="3539" w:type="dxa"/>
            <w:tcBorders>
              <w:top w:val="single" w:sz="4"/>
              <w:bottom w:val="nil"/>
            </w:tcBorders>
          </w:tcPr>
          <w:p>
            <w:pPr>
              <w:pStyle w:val="0"/>
            </w:pPr>
            <w:r>
              <w:rPr>
                <w:sz w:val="20"/>
              </w:rPr>
              <w:t xml:space="preserve">Травмы, отравления и некоторые другие последствия воздействия внешних причин</w:t>
            </w:r>
          </w:p>
        </w:tc>
        <w:tc>
          <w:tcPr>
            <w:tcW w:w="1020" w:type="dxa"/>
            <w:tcBorders>
              <w:top w:val="single" w:sz="4"/>
              <w:bottom w:val="nil"/>
            </w:tcBorders>
          </w:tcPr>
          <w:p>
            <w:pPr>
              <w:pStyle w:val="0"/>
            </w:pPr>
            <w:r>
              <w:rPr>
                <w:sz w:val="20"/>
              </w:rPr>
              <w:t xml:space="preserve">88,8</w:t>
            </w:r>
          </w:p>
        </w:tc>
        <w:tc>
          <w:tcPr>
            <w:tcW w:w="1134" w:type="dxa"/>
            <w:tcBorders>
              <w:top w:val="single" w:sz="4"/>
              <w:bottom w:val="nil"/>
            </w:tcBorders>
          </w:tcPr>
          <w:p>
            <w:pPr>
              <w:pStyle w:val="0"/>
            </w:pPr>
            <w:r>
              <w:rPr>
                <w:sz w:val="20"/>
              </w:rPr>
              <w:t xml:space="preserve">91,5</w:t>
            </w:r>
          </w:p>
        </w:tc>
        <w:tc>
          <w:tcPr>
            <w:tcW w:w="1247" w:type="dxa"/>
            <w:tcBorders>
              <w:top w:val="single" w:sz="4"/>
              <w:bottom w:val="nil"/>
            </w:tcBorders>
          </w:tcPr>
          <w:p>
            <w:pPr>
              <w:pStyle w:val="0"/>
            </w:pPr>
            <w:r>
              <w:rPr>
                <w:sz w:val="20"/>
              </w:rPr>
              <w:t xml:space="preserve">88,0</w:t>
            </w:r>
          </w:p>
        </w:tc>
        <w:tc>
          <w:tcPr>
            <w:tcW w:w="964" w:type="dxa"/>
            <w:tcBorders>
              <w:top w:val="single" w:sz="4"/>
              <w:bottom w:val="nil"/>
            </w:tcBorders>
          </w:tcPr>
          <w:p>
            <w:pPr>
              <w:pStyle w:val="0"/>
            </w:pPr>
            <w:r>
              <w:rPr>
                <w:sz w:val="20"/>
              </w:rPr>
              <w:t xml:space="preserve">20,4</w:t>
            </w:r>
          </w:p>
        </w:tc>
        <w:tc>
          <w:tcPr>
            <w:tcW w:w="1020" w:type="dxa"/>
            <w:tcBorders>
              <w:top w:val="single" w:sz="4"/>
              <w:bottom w:val="nil"/>
            </w:tcBorders>
          </w:tcPr>
          <w:p>
            <w:pPr>
              <w:pStyle w:val="0"/>
            </w:pPr>
            <w:r>
              <w:rPr>
                <w:sz w:val="20"/>
              </w:rPr>
              <w:t xml:space="preserve">-0,9</w:t>
            </w:r>
          </w:p>
        </w:tc>
        <w:tc>
          <w:tcPr>
            <w:tcW w:w="992" w:type="dxa"/>
            <w:tcBorders>
              <w:top w:val="single" w:sz="4"/>
              <w:bottom w:val="nil"/>
            </w:tcBorders>
          </w:tcPr>
          <w:p>
            <w:pPr>
              <w:pStyle w:val="0"/>
            </w:pPr>
            <w:r>
              <w:rPr>
                <w:sz w:val="20"/>
              </w:rPr>
              <w:t xml:space="preserve">128,5</w:t>
            </w:r>
          </w:p>
        </w:tc>
        <w:tc>
          <w:tcPr>
            <w:tcW w:w="1056" w:type="dxa"/>
            <w:tcBorders>
              <w:top w:val="single" w:sz="4"/>
              <w:bottom w:val="nil"/>
            </w:tcBorders>
          </w:tcPr>
          <w:p>
            <w:pPr>
              <w:pStyle w:val="0"/>
            </w:pPr>
            <w:r>
              <w:rPr>
                <w:sz w:val="20"/>
              </w:rPr>
              <w:t xml:space="preserve">25,5</w:t>
            </w:r>
          </w:p>
        </w:tc>
        <w:tc>
          <w:tcPr>
            <w:tcW w:w="992" w:type="dxa"/>
            <w:tcBorders>
              <w:top w:val="single" w:sz="4"/>
              <w:bottom w:val="nil"/>
            </w:tcBorders>
          </w:tcPr>
          <w:p>
            <w:pPr>
              <w:pStyle w:val="0"/>
            </w:pPr>
            <w:r>
              <w:rPr>
                <w:sz w:val="20"/>
              </w:rPr>
              <w:t xml:space="preserve">110,7</w:t>
            </w:r>
          </w:p>
        </w:tc>
        <w:tc>
          <w:tcPr>
            <w:tcW w:w="907" w:type="dxa"/>
            <w:tcBorders>
              <w:top w:val="single" w:sz="4"/>
              <w:bottom w:val="nil"/>
            </w:tcBorders>
          </w:tcPr>
          <w:p>
            <w:pPr>
              <w:pStyle w:val="0"/>
            </w:pPr>
            <w:r>
              <w:rPr>
                <w:sz w:val="20"/>
              </w:rPr>
              <w:t xml:space="preserve">23,6</w:t>
            </w:r>
          </w:p>
        </w:tc>
      </w:tr>
      <w:tr>
        <w:tc>
          <w:tcPr>
            <w:tcW w:w="3539" w:type="dxa"/>
            <w:tcBorders>
              <w:top w:val="nil"/>
              <w:bottom w:val="nil"/>
            </w:tcBorders>
          </w:tcPr>
          <w:p>
            <w:pPr>
              <w:pStyle w:val="0"/>
            </w:pPr>
            <w:r>
              <w:rPr>
                <w:sz w:val="20"/>
              </w:rPr>
              <w:t xml:space="preserve">из них: транспортные всех видов</w:t>
            </w:r>
          </w:p>
        </w:tc>
        <w:tc>
          <w:tcPr>
            <w:tcW w:w="1020" w:type="dxa"/>
            <w:tcBorders>
              <w:top w:val="nil"/>
              <w:bottom w:val="nil"/>
            </w:tcBorders>
          </w:tcPr>
          <w:p>
            <w:pPr>
              <w:pStyle w:val="0"/>
            </w:pPr>
            <w:r>
              <w:rPr>
                <w:sz w:val="20"/>
              </w:rPr>
              <w:t xml:space="preserve">13,2</w:t>
            </w:r>
          </w:p>
        </w:tc>
        <w:tc>
          <w:tcPr>
            <w:tcW w:w="1134" w:type="dxa"/>
            <w:tcBorders>
              <w:top w:val="nil"/>
              <w:bottom w:val="nil"/>
            </w:tcBorders>
          </w:tcPr>
          <w:p>
            <w:pPr>
              <w:pStyle w:val="0"/>
            </w:pPr>
            <w:r>
              <w:rPr>
                <w:sz w:val="20"/>
              </w:rPr>
              <w:t xml:space="preserve">16,1</w:t>
            </w:r>
          </w:p>
        </w:tc>
        <w:tc>
          <w:tcPr>
            <w:tcW w:w="1247" w:type="dxa"/>
            <w:tcBorders>
              <w:top w:val="nil"/>
              <w:bottom w:val="nil"/>
            </w:tcBorders>
          </w:tcPr>
          <w:p>
            <w:pPr>
              <w:pStyle w:val="0"/>
            </w:pPr>
            <w:r>
              <w:rPr>
                <w:sz w:val="20"/>
              </w:rPr>
              <w:t xml:space="preserve">12,7</w:t>
            </w:r>
          </w:p>
        </w:tc>
        <w:tc>
          <w:tcPr>
            <w:tcW w:w="964"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-3,8</w:t>
            </w:r>
          </w:p>
        </w:tc>
        <w:tc>
          <w:tcPr>
            <w:tcW w:w="992" w:type="dxa"/>
            <w:tcBorders>
              <w:top w:val="nil"/>
              <w:bottom w:val="nil"/>
            </w:tcBorders>
          </w:tcPr>
          <w:p>
            <w:pPr>
              <w:pStyle w:val="0"/>
            </w:pPr>
            <w:r>
              <w:rPr>
                <w:sz w:val="20"/>
              </w:rPr>
              <w:t xml:space="preserve">15,3</w:t>
            </w:r>
          </w:p>
        </w:tc>
        <w:tc>
          <w:tcPr>
            <w:tcW w:w="1056" w:type="dxa"/>
            <w:tcBorders>
              <w:top w:val="nil"/>
              <w:bottom w:val="nil"/>
            </w:tcBorders>
          </w:tcPr>
          <w:p>
            <w:pPr>
              <w:pStyle w:val="0"/>
            </w:pPr>
            <w:r>
              <w:rPr>
                <w:sz w:val="20"/>
              </w:rPr>
            </w:r>
          </w:p>
        </w:tc>
        <w:tc>
          <w:tcPr>
            <w:tcW w:w="992" w:type="dxa"/>
            <w:tcBorders>
              <w:top w:val="nil"/>
              <w:bottom w:val="nil"/>
            </w:tcBorders>
          </w:tcPr>
          <w:p>
            <w:pPr>
              <w:pStyle w:val="0"/>
            </w:pPr>
            <w:r>
              <w:rPr>
                <w:sz w:val="20"/>
              </w:rPr>
              <w:t xml:space="preserve">16,2</w:t>
            </w:r>
          </w:p>
        </w:tc>
        <w:tc>
          <w:tcPr>
            <w:tcW w:w="907" w:type="dxa"/>
            <w:tcBorders>
              <w:top w:val="nil"/>
              <w:bottom w:val="nil"/>
            </w:tcBorders>
          </w:tcPr>
          <w:p>
            <w:pPr>
              <w:pStyle w:val="0"/>
            </w:pPr>
            <w:r>
              <w:rPr>
                <w:sz w:val="20"/>
              </w:rPr>
            </w:r>
          </w:p>
        </w:tc>
      </w:tr>
      <w:tr>
        <w:tc>
          <w:tcPr>
            <w:tcW w:w="3539" w:type="dxa"/>
            <w:tcBorders>
              <w:top w:val="nil"/>
              <w:bottom w:val="nil"/>
            </w:tcBorders>
          </w:tcPr>
          <w:p>
            <w:pPr>
              <w:pStyle w:val="0"/>
            </w:pPr>
            <w:r>
              <w:rPr>
                <w:sz w:val="20"/>
              </w:rPr>
              <w:t xml:space="preserve">из них: от ДТП</w:t>
            </w:r>
          </w:p>
        </w:tc>
        <w:tc>
          <w:tcPr>
            <w:tcW w:w="1020" w:type="dxa"/>
            <w:tcBorders>
              <w:top w:val="nil"/>
              <w:bottom w:val="nil"/>
            </w:tcBorders>
          </w:tcPr>
          <w:p>
            <w:pPr>
              <w:pStyle w:val="0"/>
            </w:pPr>
            <w:r>
              <w:rPr>
                <w:sz w:val="20"/>
              </w:rPr>
              <w:t xml:space="preserve">12,0</w:t>
            </w:r>
          </w:p>
        </w:tc>
        <w:tc>
          <w:tcPr>
            <w:tcW w:w="1134" w:type="dxa"/>
            <w:tcBorders>
              <w:top w:val="nil"/>
              <w:bottom w:val="nil"/>
            </w:tcBorders>
          </w:tcPr>
          <w:p>
            <w:pPr>
              <w:pStyle w:val="0"/>
            </w:pPr>
            <w:r>
              <w:rPr>
                <w:sz w:val="20"/>
              </w:rPr>
              <w:t xml:space="preserve">13,9</w:t>
            </w:r>
          </w:p>
        </w:tc>
        <w:tc>
          <w:tcPr>
            <w:tcW w:w="1247" w:type="dxa"/>
            <w:tcBorders>
              <w:top w:val="nil"/>
              <w:bottom w:val="nil"/>
            </w:tcBorders>
          </w:tcPr>
          <w:p>
            <w:pPr>
              <w:pStyle w:val="0"/>
            </w:pPr>
            <w:r>
              <w:rPr>
                <w:sz w:val="20"/>
              </w:rPr>
              <w:t xml:space="preserve">11,6</w:t>
            </w:r>
          </w:p>
        </w:tc>
        <w:tc>
          <w:tcPr>
            <w:tcW w:w="964"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-3,3</w:t>
            </w:r>
          </w:p>
        </w:tc>
        <w:tc>
          <w:tcPr>
            <w:tcW w:w="992" w:type="dxa"/>
            <w:tcBorders>
              <w:top w:val="nil"/>
              <w:bottom w:val="nil"/>
            </w:tcBorders>
          </w:tcPr>
          <w:p>
            <w:pPr>
              <w:pStyle w:val="0"/>
            </w:pPr>
            <w:r>
              <w:rPr>
                <w:sz w:val="20"/>
              </w:rPr>
              <w:t xml:space="preserve">12,8</w:t>
            </w:r>
          </w:p>
        </w:tc>
        <w:tc>
          <w:tcPr>
            <w:tcW w:w="1056" w:type="dxa"/>
            <w:tcBorders>
              <w:top w:val="nil"/>
              <w:bottom w:val="nil"/>
            </w:tcBorders>
          </w:tcPr>
          <w:p>
            <w:pPr>
              <w:pStyle w:val="0"/>
            </w:pPr>
            <w:r>
              <w:rPr>
                <w:sz w:val="20"/>
              </w:rPr>
            </w:r>
          </w:p>
        </w:tc>
        <w:tc>
          <w:tcPr>
            <w:tcW w:w="992" w:type="dxa"/>
            <w:tcBorders>
              <w:top w:val="nil"/>
              <w:bottom w:val="nil"/>
            </w:tcBorders>
          </w:tcPr>
          <w:p>
            <w:pPr>
              <w:pStyle w:val="0"/>
            </w:pPr>
            <w:r>
              <w:rPr>
                <w:sz w:val="20"/>
              </w:rPr>
              <w:t xml:space="preserve">12,3</w:t>
            </w:r>
          </w:p>
        </w:tc>
        <w:tc>
          <w:tcPr>
            <w:tcW w:w="907" w:type="dxa"/>
            <w:tcBorders>
              <w:top w:val="nil"/>
              <w:bottom w:val="nil"/>
            </w:tcBorders>
          </w:tcPr>
          <w:p>
            <w:pPr>
              <w:pStyle w:val="0"/>
            </w:pPr>
            <w:r>
              <w:rPr>
                <w:sz w:val="20"/>
              </w:rPr>
            </w:r>
          </w:p>
        </w:tc>
      </w:tr>
      <w:tr>
        <w:tc>
          <w:tcPr>
            <w:tcW w:w="3539" w:type="dxa"/>
            <w:tcBorders>
              <w:top w:val="nil"/>
              <w:bottom w:val="nil"/>
            </w:tcBorders>
          </w:tcPr>
          <w:p>
            <w:pPr>
              <w:pStyle w:val="0"/>
            </w:pPr>
            <w:r>
              <w:rPr>
                <w:sz w:val="20"/>
              </w:rPr>
              <w:t xml:space="preserve">случайные отравления алкоголем</w:t>
            </w:r>
          </w:p>
        </w:tc>
        <w:tc>
          <w:tcPr>
            <w:tcW w:w="1020" w:type="dxa"/>
            <w:tcBorders>
              <w:top w:val="nil"/>
              <w:bottom w:val="nil"/>
            </w:tcBorders>
          </w:tcPr>
          <w:p>
            <w:pPr>
              <w:pStyle w:val="0"/>
            </w:pPr>
            <w:r>
              <w:rPr>
                <w:sz w:val="20"/>
              </w:rPr>
              <w:t xml:space="preserve">5,8</w:t>
            </w:r>
          </w:p>
        </w:tc>
        <w:tc>
          <w:tcPr>
            <w:tcW w:w="1134" w:type="dxa"/>
            <w:tcBorders>
              <w:top w:val="nil"/>
              <w:bottom w:val="nil"/>
            </w:tcBorders>
          </w:tcPr>
          <w:p>
            <w:pPr>
              <w:pStyle w:val="0"/>
            </w:pPr>
            <w:r>
              <w:rPr>
                <w:sz w:val="20"/>
              </w:rPr>
              <w:t xml:space="preserve">6,6</w:t>
            </w:r>
          </w:p>
        </w:tc>
        <w:tc>
          <w:tcPr>
            <w:tcW w:w="1247" w:type="dxa"/>
            <w:tcBorders>
              <w:top w:val="nil"/>
              <w:bottom w:val="nil"/>
            </w:tcBorders>
          </w:tcPr>
          <w:p>
            <w:pPr>
              <w:pStyle w:val="0"/>
            </w:pPr>
            <w:r>
              <w:rPr>
                <w:sz w:val="20"/>
              </w:rPr>
              <w:t xml:space="preserve">5,1</w:t>
            </w:r>
          </w:p>
        </w:tc>
        <w:tc>
          <w:tcPr>
            <w:tcW w:w="964"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-12,1</w:t>
            </w:r>
          </w:p>
        </w:tc>
        <w:tc>
          <w:tcPr>
            <w:tcW w:w="992" w:type="dxa"/>
            <w:tcBorders>
              <w:top w:val="nil"/>
              <w:bottom w:val="nil"/>
            </w:tcBorders>
          </w:tcPr>
          <w:p>
            <w:pPr>
              <w:pStyle w:val="0"/>
            </w:pPr>
            <w:r>
              <w:rPr>
                <w:sz w:val="20"/>
              </w:rPr>
              <w:t xml:space="preserve">12,5</w:t>
            </w:r>
          </w:p>
        </w:tc>
        <w:tc>
          <w:tcPr>
            <w:tcW w:w="1056" w:type="dxa"/>
            <w:tcBorders>
              <w:top w:val="nil"/>
              <w:bottom w:val="nil"/>
            </w:tcBorders>
          </w:tcPr>
          <w:p>
            <w:pPr>
              <w:pStyle w:val="0"/>
            </w:pPr>
            <w:r>
              <w:rPr>
                <w:sz w:val="20"/>
              </w:rPr>
            </w:r>
          </w:p>
        </w:tc>
        <w:tc>
          <w:tcPr>
            <w:tcW w:w="992" w:type="dxa"/>
            <w:tcBorders>
              <w:top w:val="nil"/>
              <w:bottom w:val="nil"/>
            </w:tcBorders>
          </w:tcPr>
          <w:p>
            <w:pPr>
              <w:pStyle w:val="0"/>
            </w:pPr>
            <w:r>
              <w:rPr>
                <w:sz w:val="20"/>
              </w:rPr>
              <w:t xml:space="preserve">8,6</w:t>
            </w:r>
          </w:p>
        </w:tc>
        <w:tc>
          <w:tcPr>
            <w:tcW w:w="907" w:type="dxa"/>
            <w:tcBorders>
              <w:top w:val="nil"/>
              <w:bottom w:val="nil"/>
            </w:tcBorders>
          </w:tcPr>
          <w:p>
            <w:pPr>
              <w:pStyle w:val="0"/>
            </w:pPr>
            <w:r>
              <w:rPr>
                <w:sz w:val="20"/>
              </w:rPr>
            </w:r>
          </w:p>
        </w:tc>
      </w:tr>
      <w:tr>
        <w:tc>
          <w:tcPr>
            <w:tcW w:w="3539" w:type="dxa"/>
            <w:tcBorders>
              <w:top w:val="nil"/>
              <w:bottom w:val="nil"/>
            </w:tcBorders>
          </w:tcPr>
          <w:p>
            <w:pPr>
              <w:pStyle w:val="0"/>
            </w:pPr>
            <w:r>
              <w:rPr>
                <w:sz w:val="20"/>
              </w:rPr>
              <w:t xml:space="preserve">самоубийства</w:t>
            </w:r>
          </w:p>
        </w:tc>
        <w:tc>
          <w:tcPr>
            <w:tcW w:w="1020" w:type="dxa"/>
            <w:tcBorders>
              <w:top w:val="nil"/>
              <w:bottom w:val="nil"/>
            </w:tcBorders>
          </w:tcPr>
          <w:p>
            <w:pPr>
              <w:pStyle w:val="0"/>
            </w:pPr>
            <w:r>
              <w:rPr>
                <w:sz w:val="20"/>
              </w:rPr>
              <w:t xml:space="preserve">11,1</w:t>
            </w:r>
          </w:p>
        </w:tc>
        <w:tc>
          <w:tcPr>
            <w:tcW w:w="1134" w:type="dxa"/>
            <w:tcBorders>
              <w:top w:val="nil"/>
              <w:bottom w:val="nil"/>
            </w:tcBorders>
          </w:tcPr>
          <w:p>
            <w:pPr>
              <w:pStyle w:val="0"/>
            </w:pPr>
            <w:r>
              <w:rPr>
                <w:sz w:val="20"/>
              </w:rPr>
              <w:t xml:space="preserve">9,1</w:t>
            </w:r>
          </w:p>
        </w:tc>
        <w:tc>
          <w:tcPr>
            <w:tcW w:w="1247" w:type="dxa"/>
            <w:tcBorders>
              <w:top w:val="nil"/>
              <w:bottom w:val="nil"/>
            </w:tcBorders>
          </w:tcPr>
          <w:p>
            <w:pPr>
              <w:pStyle w:val="0"/>
            </w:pPr>
            <w:r>
              <w:rPr>
                <w:sz w:val="20"/>
              </w:rPr>
              <w:t xml:space="preserve">10,0</w:t>
            </w:r>
          </w:p>
        </w:tc>
        <w:tc>
          <w:tcPr>
            <w:tcW w:w="964"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-9,9</w:t>
            </w:r>
          </w:p>
        </w:tc>
        <w:tc>
          <w:tcPr>
            <w:tcW w:w="992" w:type="dxa"/>
            <w:tcBorders>
              <w:top w:val="nil"/>
              <w:bottom w:val="nil"/>
            </w:tcBorders>
          </w:tcPr>
          <w:p>
            <w:pPr>
              <w:pStyle w:val="0"/>
            </w:pPr>
            <w:r>
              <w:rPr>
                <w:sz w:val="20"/>
              </w:rPr>
              <w:t xml:space="preserve">16,9</w:t>
            </w:r>
          </w:p>
        </w:tc>
        <w:tc>
          <w:tcPr>
            <w:tcW w:w="1056" w:type="dxa"/>
            <w:tcBorders>
              <w:top w:val="nil"/>
              <w:bottom w:val="nil"/>
            </w:tcBorders>
          </w:tcPr>
          <w:p>
            <w:pPr>
              <w:pStyle w:val="0"/>
            </w:pPr>
            <w:r>
              <w:rPr>
                <w:sz w:val="20"/>
              </w:rPr>
            </w:r>
          </w:p>
        </w:tc>
        <w:tc>
          <w:tcPr>
            <w:tcW w:w="992" w:type="dxa"/>
            <w:tcBorders>
              <w:top w:val="nil"/>
              <w:bottom w:val="nil"/>
            </w:tcBorders>
          </w:tcPr>
          <w:p>
            <w:pPr>
              <w:pStyle w:val="0"/>
            </w:pPr>
            <w:r>
              <w:rPr>
                <w:sz w:val="20"/>
              </w:rPr>
              <w:t xml:space="preserve">14,9</w:t>
            </w:r>
          </w:p>
        </w:tc>
        <w:tc>
          <w:tcPr>
            <w:tcW w:w="907" w:type="dxa"/>
            <w:tcBorders>
              <w:top w:val="nil"/>
              <w:bottom w:val="nil"/>
            </w:tcBorders>
          </w:tcPr>
          <w:p>
            <w:pPr>
              <w:pStyle w:val="0"/>
            </w:pPr>
            <w:r>
              <w:rPr>
                <w:sz w:val="20"/>
              </w:rPr>
            </w:r>
          </w:p>
        </w:tc>
      </w:tr>
      <w:tr>
        <w:tc>
          <w:tcPr>
            <w:tcW w:w="3539" w:type="dxa"/>
            <w:tcBorders>
              <w:top w:val="nil"/>
              <w:bottom w:val="nil"/>
            </w:tcBorders>
          </w:tcPr>
          <w:p>
            <w:pPr>
              <w:pStyle w:val="0"/>
            </w:pPr>
            <w:r>
              <w:rPr>
                <w:sz w:val="20"/>
              </w:rPr>
              <w:t xml:space="preserve">убийства</w:t>
            </w:r>
          </w:p>
        </w:tc>
        <w:tc>
          <w:tcPr>
            <w:tcW w:w="1020" w:type="dxa"/>
            <w:tcBorders>
              <w:top w:val="nil"/>
              <w:bottom w:val="nil"/>
            </w:tcBorders>
          </w:tcPr>
          <w:p>
            <w:pPr>
              <w:pStyle w:val="0"/>
            </w:pPr>
            <w:r>
              <w:rPr>
                <w:sz w:val="20"/>
              </w:rPr>
              <w:t xml:space="preserve">5,9</w:t>
            </w:r>
          </w:p>
        </w:tc>
        <w:tc>
          <w:tcPr>
            <w:tcW w:w="1134" w:type="dxa"/>
            <w:tcBorders>
              <w:top w:val="nil"/>
              <w:bottom w:val="nil"/>
            </w:tcBorders>
          </w:tcPr>
          <w:p>
            <w:pPr>
              <w:pStyle w:val="0"/>
            </w:pPr>
            <w:r>
              <w:rPr>
                <w:sz w:val="20"/>
              </w:rPr>
              <w:t xml:space="preserve">4,9</w:t>
            </w:r>
          </w:p>
        </w:tc>
        <w:tc>
          <w:tcPr>
            <w:tcW w:w="1247" w:type="dxa"/>
            <w:tcBorders>
              <w:top w:val="nil"/>
              <w:bottom w:val="nil"/>
            </w:tcBorders>
          </w:tcPr>
          <w:p>
            <w:pPr>
              <w:pStyle w:val="0"/>
            </w:pPr>
            <w:r>
              <w:rPr>
                <w:sz w:val="20"/>
              </w:rPr>
              <w:t xml:space="preserve">5,0</w:t>
            </w:r>
          </w:p>
        </w:tc>
        <w:tc>
          <w:tcPr>
            <w:tcW w:w="964"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-15,3</w:t>
            </w:r>
          </w:p>
        </w:tc>
        <w:tc>
          <w:tcPr>
            <w:tcW w:w="992" w:type="dxa"/>
            <w:tcBorders>
              <w:top w:val="nil"/>
              <w:bottom w:val="nil"/>
            </w:tcBorders>
          </w:tcPr>
          <w:p>
            <w:pPr>
              <w:pStyle w:val="0"/>
            </w:pPr>
            <w:r>
              <w:rPr>
                <w:sz w:val="20"/>
              </w:rPr>
              <w:t xml:space="preserve">9,0</w:t>
            </w:r>
          </w:p>
        </w:tc>
        <w:tc>
          <w:tcPr>
            <w:tcW w:w="1056" w:type="dxa"/>
            <w:tcBorders>
              <w:top w:val="nil"/>
              <w:bottom w:val="nil"/>
            </w:tcBorders>
          </w:tcPr>
          <w:p>
            <w:pPr>
              <w:pStyle w:val="0"/>
            </w:pPr>
            <w:r>
              <w:rPr>
                <w:sz w:val="20"/>
              </w:rPr>
            </w:r>
          </w:p>
        </w:tc>
        <w:tc>
          <w:tcPr>
            <w:tcW w:w="992" w:type="dxa"/>
            <w:tcBorders>
              <w:top w:val="nil"/>
              <w:bottom w:val="nil"/>
            </w:tcBorders>
          </w:tcPr>
          <w:p>
            <w:pPr>
              <w:pStyle w:val="0"/>
            </w:pPr>
            <w:r>
              <w:rPr>
                <w:sz w:val="20"/>
              </w:rPr>
              <w:t xml:space="preserve">7,2</w:t>
            </w:r>
          </w:p>
        </w:tc>
        <w:tc>
          <w:tcPr>
            <w:tcW w:w="907" w:type="dxa"/>
            <w:tcBorders>
              <w:top w:val="nil"/>
              <w:bottom w:val="nil"/>
            </w:tcBorders>
          </w:tcPr>
          <w:p>
            <w:pPr>
              <w:pStyle w:val="0"/>
            </w:pPr>
            <w:r>
              <w:rPr>
                <w:sz w:val="20"/>
              </w:rPr>
            </w:r>
          </w:p>
        </w:tc>
      </w:tr>
      <w:tr>
        <w:tc>
          <w:tcPr>
            <w:tcW w:w="3539" w:type="dxa"/>
            <w:tcBorders>
              <w:top w:val="nil"/>
              <w:bottom w:val="single" w:sz="4"/>
            </w:tcBorders>
          </w:tcPr>
          <w:p>
            <w:pPr>
              <w:pStyle w:val="0"/>
            </w:pPr>
            <w:r>
              <w:rPr>
                <w:sz w:val="20"/>
              </w:rPr>
              <w:t xml:space="preserve">воздействие алкоголем с неопределенными намерениями</w:t>
            </w:r>
          </w:p>
        </w:tc>
        <w:tc>
          <w:tcPr>
            <w:tcW w:w="1020" w:type="dxa"/>
            <w:tcBorders>
              <w:top w:val="nil"/>
              <w:bottom w:val="single" w:sz="4"/>
            </w:tcBorders>
          </w:tcPr>
          <w:p>
            <w:pPr>
              <w:pStyle w:val="0"/>
            </w:pPr>
            <w:r>
              <w:rPr>
                <w:sz w:val="20"/>
              </w:rPr>
              <w:t xml:space="preserve">5,3</w:t>
            </w:r>
          </w:p>
        </w:tc>
        <w:tc>
          <w:tcPr>
            <w:tcW w:w="1134" w:type="dxa"/>
            <w:tcBorders>
              <w:top w:val="nil"/>
              <w:bottom w:val="single" w:sz="4"/>
            </w:tcBorders>
          </w:tcPr>
          <w:p>
            <w:pPr>
              <w:pStyle w:val="0"/>
            </w:pPr>
            <w:r>
              <w:rPr>
                <w:sz w:val="20"/>
              </w:rPr>
              <w:t xml:space="preserve">4,1</w:t>
            </w:r>
          </w:p>
        </w:tc>
        <w:tc>
          <w:tcPr>
            <w:tcW w:w="1247" w:type="dxa"/>
            <w:tcBorders>
              <w:top w:val="nil"/>
              <w:bottom w:val="single" w:sz="4"/>
            </w:tcBorders>
          </w:tcPr>
          <w:p>
            <w:pPr>
              <w:pStyle w:val="0"/>
            </w:pPr>
            <w:r>
              <w:rPr>
                <w:sz w:val="20"/>
              </w:rPr>
              <w:t xml:space="preserve">6,7</w:t>
            </w:r>
          </w:p>
        </w:tc>
        <w:tc>
          <w:tcPr>
            <w:tcW w:w="964" w:type="dxa"/>
            <w:tcBorders>
              <w:top w:val="nil"/>
              <w:bottom w:val="single" w:sz="4"/>
            </w:tcBorders>
          </w:tcPr>
          <w:p>
            <w:pPr>
              <w:pStyle w:val="0"/>
            </w:pPr>
            <w:r>
              <w:rPr>
                <w:sz w:val="20"/>
              </w:rPr>
            </w:r>
          </w:p>
        </w:tc>
        <w:tc>
          <w:tcPr>
            <w:tcW w:w="1020" w:type="dxa"/>
            <w:tcBorders>
              <w:top w:val="nil"/>
              <w:bottom w:val="single" w:sz="4"/>
            </w:tcBorders>
          </w:tcPr>
          <w:p>
            <w:pPr>
              <w:pStyle w:val="0"/>
            </w:pPr>
            <w:r>
              <w:rPr>
                <w:sz w:val="20"/>
              </w:rPr>
              <w:t xml:space="preserve">+26,4</w:t>
            </w:r>
          </w:p>
        </w:tc>
        <w:tc>
          <w:tcPr>
            <w:tcW w:w="992" w:type="dxa"/>
            <w:tcBorders>
              <w:top w:val="nil"/>
              <w:bottom w:val="single" w:sz="4"/>
            </w:tcBorders>
          </w:tcPr>
          <w:p>
            <w:pPr>
              <w:pStyle w:val="0"/>
            </w:pPr>
            <w:r>
              <w:rPr>
                <w:sz w:val="20"/>
              </w:rPr>
              <w:t xml:space="preserve">3,6</w:t>
            </w:r>
          </w:p>
        </w:tc>
        <w:tc>
          <w:tcPr>
            <w:tcW w:w="1056" w:type="dxa"/>
            <w:tcBorders>
              <w:top w:val="nil"/>
              <w:bottom w:val="single" w:sz="4"/>
            </w:tcBorders>
          </w:tcPr>
          <w:p>
            <w:pPr>
              <w:pStyle w:val="0"/>
            </w:pPr>
            <w:r>
              <w:rPr>
                <w:sz w:val="20"/>
              </w:rPr>
            </w:r>
          </w:p>
        </w:tc>
        <w:tc>
          <w:tcPr>
            <w:tcW w:w="992" w:type="dxa"/>
            <w:tcBorders>
              <w:top w:val="nil"/>
              <w:bottom w:val="single" w:sz="4"/>
            </w:tcBorders>
          </w:tcPr>
          <w:p>
            <w:pPr>
              <w:pStyle w:val="0"/>
            </w:pPr>
            <w:r>
              <w:rPr>
                <w:sz w:val="20"/>
              </w:rPr>
              <w:t xml:space="preserve">2,4</w:t>
            </w:r>
          </w:p>
        </w:tc>
        <w:tc>
          <w:tcPr>
            <w:tcW w:w="907" w:type="dxa"/>
            <w:tcBorders>
              <w:top w:val="nil"/>
              <w:bottom w:val="single" w:sz="4"/>
            </w:tcBorders>
          </w:tcPr>
          <w:p>
            <w:pPr>
              <w:pStyle w:val="0"/>
            </w:pPr>
            <w:r>
              <w:rPr>
                <w:sz w:val="20"/>
              </w:rPr>
            </w:r>
          </w:p>
        </w:tc>
      </w:tr>
      <w:tr>
        <w:tblPrEx>
          <w:tblBorders>
            <w:insideH w:val="single" w:sz="4"/>
          </w:tblBorders>
        </w:tblPrEx>
        <w:tc>
          <w:tcPr>
            <w:tcW w:w="3539" w:type="dxa"/>
            <w:tcBorders>
              <w:top w:val="single" w:sz="4"/>
              <w:bottom w:val="single" w:sz="4"/>
            </w:tcBorders>
          </w:tcPr>
          <w:p>
            <w:pPr>
              <w:pStyle w:val="0"/>
            </w:pPr>
            <w:r>
              <w:rPr>
                <w:sz w:val="20"/>
              </w:rPr>
              <w:t xml:space="preserve">COVID-19</w:t>
            </w:r>
          </w:p>
        </w:tc>
        <w:tc>
          <w:tcPr>
            <w:tcW w:w="1020" w:type="dxa"/>
            <w:tcBorders>
              <w:top w:val="single" w:sz="4"/>
              <w:bottom w:val="single" w:sz="4"/>
            </w:tcBorders>
          </w:tcPr>
          <w:p>
            <w:pPr>
              <w:pStyle w:val="0"/>
            </w:pPr>
            <w:r>
              <w:rPr>
                <w:sz w:val="20"/>
              </w:rPr>
              <w:t xml:space="preserve">х</w:t>
            </w:r>
          </w:p>
        </w:tc>
        <w:tc>
          <w:tcPr>
            <w:tcW w:w="1134" w:type="dxa"/>
            <w:tcBorders>
              <w:top w:val="single" w:sz="4"/>
              <w:bottom w:val="single" w:sz="4"/>
            </w:tcBorders>
          </w:tcPr>
          <w:p>
            <w:pPr>
              <w:pStyle w:val="0"/>
            </w:pPr>
            <w:r>
              <w:rPr>
                <w:sz w:val="20"/>
              </w:rPr>
              <w:t xml:space="preserve">х</w:t>
            </w:r>
          </w:p>
        </w:tc>
        <w:tc>
          <w:tcPr>
            <w:tcW w:w="1247" w:type="dxa"/>
            <w:tcBorders>
              <w:top w:val="single" w:sz="4"/>
              <w:bottom w:val="single" w:sz="4"/>
            </w:tcBorders>
          </w:tcPr>
          <w:p>
            <w:pPr>
              <w:pStyle w:val="0"/>
            </w:pPr>
            <w:r>
              <w:rPr>
                <w:sz w:val="20"/>
              </w:rPr>
              <w:t xml:space="preserve">19,7</w:t>
            </w:r>
          </w:p>
        </w:tc>
        <w:tc>
          <w:tcPr>
            <w:tcW w:w="964" w:type="dxa"/>
            <w:tcBorders>
              <w:top w:val="single" w:sz="4"/>
              <w:bottom w:val="single" w:sz="4"/>
            </w:tcBorders>
          </w:tcPr>
          <w:p>
            <w:pPr>
              <w:pStyle w:val="0"/>
            </w:pPr>
            <w:r>
              <w:rPr>
                <w:sz w:val="20"/>
              </w:rPr>
              <w:t xml:space="preserve">4,6</w:t>
            </w:r>
          </w:p>
        </w:tc>
        <w:tc>
          <w:tcPr>
            <w:tcW w:w="1020" w:type="dxa"/>
            <w:tcBorders>
              <w:top w:val="single" w:sz="4"/>
              <w:bottom w:val="single" w:sz="4"/>
            </w:tcBorders>
          </w:tcPr>
          <w:p>
            <w:pPr>
              <w:pStyle w:val="0"/>
            </w:pPr>
            <w:r>
              <w:rPr>
                <w:sz w:val="20"/>
              </w:rPr>
              <w:t xml:space="preserve">0</w:t>
            </w:r>
          </w:p>
        </w:tc>
        <w:tc>
          <w:tcPr>
            <w:tcW w:w="992" w:type="dxa"/>
            <w:tcBorders>
              <w:top w:val="single" w:sz="4"/>
              <w:bottom w:val="single" w:sz="4"/>
            </w:tcBorders>
          </w:tcPr>
          <w:p>
            <w:pPr>
              <w:pStyle w:val="0"/>
            </w:pPr>
            <w:r>
              <w:rPr>
                <w:sz w:val="20"/>
              </w:rPr>
              <w:t xml:space="preserve">х</w:t>
            </w:r>
          </w:p>
        </w:tc>
        <w:tc>
          <w:tcPr>
            <w:tcW w:w="1056" w:type="dxa"/>
            <w:tcBorders>
              <w:top w:val="single" w:sz="4"/>
              <w:bottom w:val="single" w:sz="4"/>
            </w:tcBorders>
          </w:tcPr>
          <w:p>
            <w:pPr>
              <w:pStyle w:val="0"/>
            </w:pPr>
            <w:r>
              <w:rPr>
                <w:sz w:val="20"/>
              </w:rPr>
            </w:r>
          </w:p>
        </w:tc>
        <w:tc>
          <w:tcPr>
            <w:tcW w:w="992" w:type="dxa"/>
            <w:tcBorders>
              <w:top w:val="single" w:sz="4"/>
              <w:bottom w:val="single" w:sz="4"/>
            </w:tcBorders>
          </w:tcPr>
          <w:p>
            <w:pPr>
              <w:pStyle w:val="0"/>
            </w:pPr>
            <w:r>
              <w:rPr>
                <w:sz w:val="20"/>
              </w:rPr>
              <w:t xml:space="preserve">х</w:t>
            </w:r>
          </w:p>
        </w:tc>
        <w:tc>
          <w:tcPr>
            <w:tcW w:w="907" w:type="dxa"/>
            <w:tcBorders>
              <w:top w:val="single" w:sz="4"/>
              <w:bottom w:val="single" w:sz="4"/>
            </w:tcBorders>
          </w:tcPr>
          <w:p>
            <w:pPr>
              <w:pStyle w:val="0"/>
            </w:pPr>
            <w:r>
              <w:rPr>
                <w:sz w:val="20"/>
              </w:rPr>
            </w:r>
          </w:p>
        </w:tc>
      </w:tr>
      <w:tr>
        <w:tblPrEx>
          <w:tblBorders>
            <w:insideH w:val="single" w:sz="4"/>
          </w:tblBorders>
        </w:tblPrEx>
        <w:tc>
          <w:tcPr>
            <w:tcW w:w="3539" w:type="dxa"/>
            <w:tcBorders>
              <w:top w:val="single" w:sz="4"/>
              <w:bottom w:val="single" w:sz="4"/>
            </w:tcBorders>
          </w:tcPr>
          <w:p>
            <w:pPr>
              <w:pStyle w:val="0"/>
            </w:pPr>
            <w:r>
              <w:rPr>
                <w:sz w:val="20"/>
              </w:rPr>
              <w:t xml:space="preserve">Прочие классы заболеваний</w:t>
            </w:r>
          </w:p>
        </w:tc>
        <w:tc>
          <w:tcPr>
            <w:tcW w:w="1020" w:type="dxa"/>
            <w:tcBorders>
              <w:top w:val="single" w:sz="4"/>
              <w:bottom w:val="single" w:sz="4"/>
            </w:tcBorders>
          </w:tcPr>
          <w:p>
            <w:pPr>
              <w:pStyle w:val="0"/>
            </w:pPr>
            <w:r>
              <w:rPr>
                <w:sz w:val="20"/>
              </w:rPr>
              <w:t xml:space="preserve">31,9</w:t>
            </w:r>
          </w:p>
        </w:tc>
        <w:tc>
          <w:tcPr>
            <w:tcW w:w="1134" w:type="dxa"/>
            <w:tcBorders>
              <w:top w:val="single" w:sz="4"/>
              <w:bottom w:val="single" w:sz="4"/>
            </w:tcBorders>
          </w:tcPr>
          <w:p>
            <w:pPr>
              <w:pStyle w:val="0"/>
            </w:pPr>
            <w:r>
              <w:rPr>
                <w:sz w:val="20"/>
              </w:rPr>
              <w:t xml:space="preserve">33,4</w:t>
            </w:r>
          </w:p>
        </w:tc>
        <w:tc>
          <w:tcPr>
            <w:tcW w:w="1247" w:type="dxa"/>
            <w:tcBorders>
              <w:top w:val="single" w:sz="4"/>
              <w:bottom w:val="single" w:sz="4"/>
            </w:tcBorders>
          </w:tcPr>
          <w:p>
            <w:pPr>
              <w:pStyle w:val="0"/>
            </w:pPr>
            <w:r>
              <w:rPr>
                <w:sz w:val="20"/>
              </w:rPr>
              <w:t xml:space="preserve">42,4</w:t>
            </w:r>
          </w:p>
        </w:tc>
        <w:tc>
          <w:tcPr>
            <w:tcW w:w="964" w:type="dxa"/>
            <w:tcBorders>
              <w:top w:val="single" w:sz="4"/>
              <w:bottom w:val="single" w:sz="4"/>
            </w:tcBorders>
          </w:tcPr>
          <w:p>
            <w:pPr>
              <w:pStyle w:val="0"/>
            </w:pPr>
            <w:r>
              <w:rPr>
                <w:sz w:val="20"/>
              </w:rPr>
              <w:t xml:space="preserve">9,8</w:t>
            </w:r>
          </w:p>
        </w:tc>
        <w:tc>
          <w:tcPr>
            <w:tcW w:w="1020" w:type="dxa"/>
            <w:tcBorders>
              <w:top w:val="single" w:sz="4"/>
              <w:bottom w:val="single" w:sz="4"/>
            </w:tcBorders>
          </w:tcPr>
          <w:p>
            <w:pPr>
              <w:pStyle w:val="0"/>
            </w:pPr>
            <w:r>
              <w:rPr>
                <w:sz w:val="20"/>
              </w:rPr>
              <w:t xml:space="preserve">94,6</w:t>
            </w:r>
          </w:p>
        </w:tc>
        <w:tc>
          <w:tcPr>
            <w:tcW w:w="992" w:type="dxa"/>
            <w:tcBorders>
              <w:top w:val="single" w:sz="4"/>
              <w:bottom w:val="single" w:sz="4"/>
            </w:tcBorders>
          </w:tcPr>
          <w:p>
            <w:pPr>
              <w:pStyle w:val="0"/>
            </w:pPr>
            <w:r>
              <w:rPr>
                <w:sz w:val="20"/>
              </w:rPr>
              <w:t xml:space="preserve">40,2</w:t>
            </w:r>
          </w:p>
        </w:tc>
        <w:tc>
          <w:tcPr>
            <w:tcW w:w="1056" w:type="dxa"/>
            <w:tcBorders>
              <w:top w:val="single" w:sz="4"/>
              <w:bottom w:val="single" w:sz="4"/>
            </w:tcBorders>
          </w:tcPr>
          <w:p>
            <w:pPr>
              <w:pStyle w:val="0"/>
            </w:pPr>
            <w:r>
              <w:rPr>
                <w:sz w:val="20"/>
              </w:rPr>
              <w:t xml:space="preserve">8,0</w:t>
            </w:r>
          </w:p>
        </w:tc>
        <w:tc>
          <w:tcPr>
            <w:tcW w:w="992" w:type="dxa"/>
            <w:tcBorders>
              <w:top w:val="single" w:sz="4"/>
              <w:bottom w:val="single" w:sz="4"/>
            </w:tcBorders>
          </w:tcPr>
          <w:p>
            <w:pPr>
              <w:pStyle w:val="0"/>
            </w:pPr>
            <w:r>
              <w:rPr>
                <w:sz w:val="20"/>
              </w:rPr>
              <w:t xml:space="preserve">49,5</w:t>
            </w:r>
          </w:p>
        </w:tc>
        <w:tc>
          <w:tcPr>
            <w:tcW w:w="907" w:type="dxa"/>
            <w:tcBorders>
              <w:top w:val="single" w:sz="4"/>
              <w:bottom w:val="single" w:sz="4"/>
            </w:tcBorders>
          </w:tcPr>
          <w:p>
            <w:pPr>
              <w:pStyle w:val="0"/>
            </w:pPr>
            <w:r>
              <w:rPr>
                <w:sz w:val="20"/>
              </w:rPr>
              <w:t xml:space="preserve">10,4</w:t>
            </w:r>
          </w:p>
        </w:tc>
      </w:tr>
    </w:tbl>
    <w:p>
      <w:pPr>
        <w:pStyle w:val="0"/>
        <w:ind w:firstLine="540"/>
        <w:jc w:val="both"/>
      </w:pPr>
      <w:r>
        <w:rPr>
          <w:sz w:val="20"/>
        </w:rPr>
      </w:r>
    </w:p>
    <w:p>
      <w:pPr>
        <w:pStyle w:val="0"/>
        <w:ind w:firstLine="540"/>
        <w:jc w:val="both"/>
      </w:pPr>
      <w:r>
        <w:rPr>
          <w:sz w:val="20"/>
        </w:rPr>
        <w:t xml:space="preserve">--------------------------------</w:t>
      </w:r>
    </w:p>
    <w:bookmarkStart w:id="23160" w:name="P23160"/>
    <w:bookmarkEnd w:id="23160"/>
    <w:p>
      <w:pPr>
        <w:pStyle w:val="0"/>
        <w:spacing w:before="200" w:line-rule="auto"/>
        <w:ind w:firstLine="540"/>
        <w:jc w:val="both"/>
      </w:pPr>
      <w:r>
        <w:rPr>
          <w:sz w:val="20"/>
        </w:rPr>
        <w:t xml:space="preserve">&lt;*&gt; С учетом изменения возрастного периода трудоспособности с 2020 года.</w:t>
      </w:r>
    </w:p>
    <w:p>
      <w:pPr>
        <w:pStyle w:val="0"/>
        <w:ind w:firstLine="540"/>
        <w:jc w:val="both"/>
      </w:pPr>
      <w:r>
        <w:rPr>
          <w:sz w:val="20"/>
        </w:rPr>
      </w:r>
    </w:p>
    <w:p>
      <w:pPr>
        <w:pStyle w:val="0"/>
        <w:outlineLvl w:val="3"/>
        <w:jc w:val="right"/>
      </w:pPr>
      <w:r>
        <w:rPr>
          <w:sz w:val="20"/>
        </w:rPr>
        <w:t xml:space="preserve">Таблица 11</w:t>
      </w:r>
    </w:p>
    <w:p>
      <w:pPr>
        <w:pStyle w:val="0"/>
        <w:jc w:val="right"/>
      </w:pPr>
      <w:r>
        <w:rPr>
          <w:sz w:val="20"/>
        </w:rPr>
      </w:r>
    </w:p>
    <w:bookmarkStart w:id="23164" w:name="P23164"/>
    <w:bookmarkEnd w:id="23164"/>
    <w:p>
      <w:pPr>
        <w:pStyle w:val="2"/>
        <w:jc w:val="center"/>
      </w:pPr>
      <w:r>
        <w:rPr>
          <w:sz w:val="20"/>
        </w:rPr>
        <w:t xml:space="preserve">Общая смертность в трудоспособном возрасте по классам</w:t>
      </w:r>
    </w:p>
    <w:p>
      <w:pPr>
        <w:pStyle w:val="2"/>
        <w:jc w:val="center"/>
      </w:pPr>
      <w:r>
        <w:rPr>
          <w:sz w:val="20"/>
        </w:rPr>
        <w:t xml:space="preserve">заболеваний на 100 000 населения соответствующего возраста</w:t>
      </w:r>
    </w:p>
    <w:p>
      <w:pPr>
        <w:pStyle w:val="2"/>
        <w:jc w:val="center"/>
      </w:pPr>
      <w:r>
        <w:rPr>
          <w:sz w:val="20"/>
        </w:rPr>
        <w:t xml:space="preserve">и пола</w:t>
      </w:r>
    </w:p>
    <w:p>
      <w:pPr>
        <w:pStyle w:val="2"/>
        <w:jc w:val="center"/>
      </w:pPr>
      <w:r>
        <w:rPr>
          <w:sz w:val="20"/>
        </w:rPr>
        <w:t xml:space="preserve">Мужчины &lt;*&gt; 16 - 60 лет с 2020 &lt;*&gt; года</w:t>
      </w:r>
    </w:p>
    <w:p>
      <w:pPr>
        <w:pStyle w:val="0"/>
        <w:jc w:val="center"/>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345"/>
        <w:gridCol w:w="1205"/>
        <w:gridCol w:w="1077"/>
        <w:gridCol w:w="1120"/>
        <w:gridCol w:w="964"/>
        <w:gridCol w:w="1020"/>
        <w:gridCol w:w="992"/>
        <w:gridCol w:w="964"/>
        <w:gridCol w:w="1134"/>
        <w:gridCol w:w="907"/>
      </w:tblGrid>
      <w:tr>
        <w:tblPrEx>
          <w:tblBorders>
            <w:insideH w:val="single" w:sz="4"/>
          </w:tblBorders>
        </w:tblPrEx>
        <w:tc>
          <w:tcPr>
            <w:tcW w:w="3345" w:type="dxa"/>
            <w:tcBorders>
              <w:top w:val="single" w:sz="4"/>
              <w:bottom w:val="single" w:sz="4"/>
            </w:tcBorders>
          </w:tcPr>
          <w:p>
            <w:pPr>
              <w:pStyle w:val="0"/>
              <w:jc w:val="center"/>
            </w:pPr>
            <w:r>
              <w:rPr>
                <w:sz w:val="20"/>
              </w:rPr>
              <w:t xml:space="preserve">Название классов</w:t>
            </w:r>
          </w:p>
        </w:tc>
        <w:tc>
          <w:tcPr>
            <w:tcW w:w="1205" w:type="dxa"/>
            <w:tcBorders>
              <w:top w:val="single" w:sz="4"/>
              <w:bottom w:val="single" w:sz="4"/>
            </w:tcBorders>
          </w:tcPr>
          <w:p>
            <w:pPr>
              <w:pStyle w:val="0"/>
              <w:jc w:val="center"/>
            </w:pPr>
            <w:r>
              <w:rPr>
                <w:sz w:val="20"/>
              </w:rPr>
              <w:t xml:space="preserve">По Ханты-Мансийскому автономному округу - Югре 2018 год</w:t>
            </w:r>
          </w:p>
        </w:tc>
        <w:tc>
          <w:tcPr>
            <w:tcW w:w="1077" w:type="dxa"/>
            <w:tcBorders>
              <w:top w:val="single" w:sz="4"/>
              <w:bottom w:val="single" w:sz="4"/>
            </w:tcBorders>
          </w:tcPr>
          <w:p>
            <w:pPr>
              <w:pStyle w:val="0"/>
              <w:jc w:val="center"/>
            </w:pPr>
            <w:r>
              <w:rPr>
                <w:sz w:val="20"/>
              </w:rPr>
              <w:t xml:space="preserve">По Ханты-Мансийскому автономному округу - Югре 2019 год</w:t>
            </w:r>
          </w:p>
        </w:tc>
        <w:tc>
          <w:tcPr>
            <w:tcW w:w="1120" w:type="dxa"/>
            <w:tcBorders>
              <w:top w:val="single" w:sz="4"/>
              <w:bottom w:val="single" w:sz="4"/>
            </w:tcBorders>
          </w:tcPr>
          <w:p>
            <w:pPr>
              <w:pStyle w:val="0"/>
              <w:jc w:val="center"/>
            </w:pPr>
            <w:r>
              <w:rPr>
                <w:sz w:val="20"/>
              </w:rPr>
              <w:t xml:space="preserve">По Ханты-Мансийскому автономному округу - Югре </w:t>
            </w:r>
            <w:hyperlink w:history="0" w:anchor="P23371" w:tooltip="&lt;*&gt; С учетом изменения возрастного периода трудоспособности с 2020 года.">
              <w:r>
                <w:rPr>
                  <w:sz w:val="20"/>
                  <w:color w:val="0000ff"/>
                </w:rPr>
                <w:t xml:space="preserve">&lt;*&gt;</w:t>
              </w:r>
            </w:hyperlink>
            <w:r>
              <w:rPr>
                <w:sz w:val="20"/>
              </w:rPr>
              <w:t xml:space="preserve"> 2020 год</w:t>
            </w:r>
          </w:p>
        </w:tc>
        <w:tc>
          <w:tcPr>
            <w:tcW w:w="964" w:type="dxa"/>
            <w:tcBorders>
              <w:top w:val="single" w:sz="4"/>
              <w:bottom w:val="single" w:sz="4"/>
            </w:tcBorders>
          </w:tcPr>
          <w:p>
            <w:pPr>
              <w:pStyle w:val="0"/>
              <w:jc w:val="center"/>
            </w:pPr>
            <w:r>
              <w:rPr>
                <w:sz w:val="20"/>
              </w:rPr>
              <w:t xml:space="preserve">Удельный вес в 2020 по классам, %</w:t>
            </w:r>
          </w:p>
        </w:tc>
        <w:tc>
          <w:tcPr>
            <w:tcW w:w="1020" w:type="dxa"/>
            <w:tcBorders>
              <w:top w:val="single" w:sz="4"/>
              <w:bottom w:val="single" w:sz="4"/>
            </w:tcBorders>
          </w:tcPr>
          <w:p>
            <w:pPr>
              <w:pStyle w:val="0"/>
              <w:jc w:val="center"/>
            </w:pPr>
            <w:r>
              <w:rPr>
                <w:sz w:val="20"/>
              </w:rPr>
              <w:t xml:space="preserve">Темп прироста 2018 - 2020 в % (+/-)</w:t>
            </w:r>
          </w:p>
        </w:tc>
        <w:tc>
          <w:tcPr>
            <w:tcW w:w="992" w:type="dxa"/>
            <w:tcBorders>
              <w:top w:val="single" w:sz="4"/>
              <w:bottom w:val="single" w:sz="4"/>
            </w:tcBorders>
          </w:tcPr>
          <w:p>
            <w:pPr>
              <w:pStyle w:val="0"/>
              <w:jc w:val="center"/>
            </w:pPr>
            <w:r>
              <w:rPr>
                <w:sz w:val="20"/>
              </w:rPr>
              <w:t xml:space="preserve">по Уральскому федеральному округу 2019 год</w:t>
            </w:r>
          </w:p>
        </w:tc>
        <w:tc>
          <w:tcPr>
            <w:tcW w:w="964" w:type="dxa"/>
            <w:tcBorders>
              <w:top w:val="single" w:sz="4"/>
              <w:bottom w:val="single" w:sz="4"/>
            </w:tcBorders>
          </w:tcPr>
          <w:p>
            <w:pPr>
              <w:pStyle w:val="0"/>
              <w:jc w:val="center"/>
            </w:pPr>
            <w:r>
              <w:rPr>
                <w:sz w:val="20"/>
              </w:rPr>
              <w:t xml:space="preserve">Удельный вес по классам, %</w:t>
            </w:r>
          </w:p>
        </w:tc>
        <w:tc>
          <w:tcPr>
            <w:tcW w:w="1134" w:type="dxa"/>
            <w:tcBorders>
              <w:top w:val="single" w:sz="4"/>
              <w:bottom w:val="single" w:sz="4"/>
            </w:tcBorders>
          </w:tcPr>
          <w:p>
            <w:pPr>
              <w:pStyle w:val="0"/>
              <w:jc w:val="center"/>
            </w:pPr>
            <w:r>
              <w:rPr>
                <w:sz w:val="20"/>
              </w:rPr>
              <w:t xml:space="preserve">по России 2019 год</w:t>
            </w:r>
          </w:p>
        </w:tc>
        <w:tc>
          <w:tcPr>
            <w:tcW w:w="907" w:type="dxa"/>
            <w:tcBorders>
              <w:top w:val="single" w:sz="4"/>
              <w:bottom w:val="single" w:sz="4"/>
            </w:tcBorders>
          </w:tcPr>
          <w:p>
            <w:pPr>
              <w:pStyle w:val="0"/>
              <w:jc w:val="center"/>
            </w:pPr>
            <w:r>
              <w:rPr>
                <w:sz w:val="20"/>
              </w:rPr>
              <w:t xml:space="preserve">Удельный вес по классам, %</w:t>
            </w:r>
          </w:p>
        </w:tc>
      </w:tr>
      <w:tr>
        <w:tblPrEx>
          <w:tblBorders>
            <w:insideH w:val="single" w:sz="4"/>
          </w:tblBorders>
        </w:tblPrEx>
        <w:tc>
          <w:tcPr>
            <w:tcW w:w="3345" w:type="dxa"/>
            <w:tcBorders>
              <w:top w:val="single" w:sz="4"/>
              <w:bottom w:val="single" w:sz="4"/>
            </w:tcBorders>
          </w:tcPr>
          <w:p>
            <w:pPr>
              <w:pStyle w:val="0"/>
            </w:pPr>
            <w:r>
              <w:rPr>
                <w:sz w:val="20"/>
              </w:rPr>
              <w:t xml:space="preserve">От всех причин</w:t>
            </w:r>
          </w:p>
        </w:tc>
        <w:tc>
          <w:tcPr>
            <w:tcW w:w="1205" w:type="dxa"/>
            <w:tcBorders>
              <w:top w:val="single" w:sz="4"/>
              <w:bottom w:val="single" w:sz="4"/>
            </w:tcBorders>
          </w:tcPr>
          <w:p>
            <w:pPr>
              <w:pStyle w:val="0"/>
            </w:pPr>
            <w:r>
              <w:rPr>
                <w:sz w:val="20"/>
              </w:rPr>
              <w:t xml:space="preserve">570,8</w:t>
            </w:r>
          </w:p>
        </w:tc>
        <w:tc>
          <w:tcPr>
            <w:tcW w:w="1077" w:type="dxa"/>
            <w:tcBorders>
              <w:top w:val="single" w:sz="4"/>
              <w:bottom w:val="single" w:sz="4"/>
            </w:tcBorders>
          </w:tcPr>
          <w:p>
            <w:pPr>
              <w:pStyle w:val="0"/>
            </w:pPr>
            <w:r>
              <w:rPr>
                <w:sz w:val="20"/>
              </w:rPr>
              <w:t xml:space="preserve">552,6</w:t>
            </w:r>
          </w:p>
        </w:tc>
        <w:tc>
          <w:tcPr>
            <w:tcW w:w="1120" w:type="dxa"/>
            <w:tcBorders>
              <w:top w:val="single" w:sz="4"/>
              <w:bottom w:val="single" w:sz="4"/>
            </w:tcBorders>
          </w:tcPr>
          <w:p>
            <w:pPr>
              <w:pStyle w:val="0"/>
            </w:pPr>
            <w:r>
              <w:rPr>
                <w:sz w:val="20"/>
              </w:rPr>
              <w:t xml:space="preserve">649,1</w:t>
            </w:r>
          </w:p>
        </w:tc>
        <w:tc>
          <w:tcPr>
            <w:tcW w:w="964" w:type="dxa"/>
            <w:tcBorders>
              <w:top w:val="single" w:sz="4"/>
              <w:bottom w:val="single" w:sz="4"/>
            </w:tcBorders>
          </w:tcPr>
          <w:p>
            <w:pPr>
              <w:pStyle w:val="0"/>
            </w:pPr>
            <w:r>
              <w:rPr>
                <w:sz w:val="20"/>
              </w:rPr>
              <w:t xml:space="preserve">100,0</w:t>
            </w:r>
          </w:p>
        </w:tc>
        <w:tc>
          <w:tcPr>
            <w:tcW w:w="1020" w:type="dxa"/>
            <w:tcBorders>
              <w:top w:val="single" w:sz="4"/>
              <w:bottom w:val="single" w:sz="4"/>
            </w:tcBorders>
          </w:tcPr>
          <w:p>
            <w:pPr>
              <w:pStyle w:val="0"/>
            </w:pPr>
            <w:r>
              <w:rPr>
                <w:sz w:val="20"/>
              </w:rPr>
              <w:t xml:space="preserve">+13,7</w:t>
            </w:r>
          </w:p>
        </w:tc>
        <w:tc>
          <w:tcPr>
            <w:tcW w:w="992" w:type="dxa"/>
            <w:tcBorders>
              <w:top w:val="single" w:sz="4"/>
              <w:bottom w:val="single" w:sz="4"/>
            </w:tcBorders>
          </w:tcPr>
          <w:p>
            <w:pPr>
              <w:pStyle w:val="0"/>
            </w:pPr>
            <w:r>
              <w:rPr>
                <w:sz w:val="20"/>
              </w:rPr>
              <w:t xml:space="preserve">756,5</w:t>
            </w:r>
          </w:p>
        </w:tc>
        <w:tc>
          <w:tcPr>
            <w:tcW w:w="964" w:type="dxa"/>
            <w:tcBorders>
              <w:top w:val="single" w:sz="4"/>
              <w:bottom w:val="single" w:sz="4"/>
            </w:tcBorders>
          </w:tcPr>
          <w:p>
            <w:pPr>
              <w:pStyle w:val="0"/>
            </w:pPr>
            <w:r>
              <w:rPr>
                <w:sz w:val="20"/>
              </w:rPr>
              <w:t xml:space="preserve">100,0</w:t>
            </w:r>
          </w:p>
        </w:tc>
        <w:tc>
          <w:tcPr>
            <w:tcW w:w="1134" w:type="dxa"/>
            <w:tcBorders>
              <w:top w:val="single" w:sz="4"/>
              <w:bottom w:val="single" w:sz="4"/>
            </w:tcBorders>
          </w:tcPr>
          <w:p>
            <w:pPr>
              <w:pStyle w:val="0"/>
            </w:pPr>
            <w:r>
              <w:rPr>
                <w:sz w:val="20"/>
              </w:rPr>
              <w:t xml:space="preserve">709,0</w:t>
            </w:r>
          </w:p>
        </w:tc>
        <w:tc>
          <w:tcPr>
            <w:tcW w:w="907" w:type="dxa"/>
            <w:tcBorders>
              <w:top w:val="single" w:sz="4"/>
              <w:bottom w:val="single" w:sz="4"/>
            </w:tcBorders>
          </w:tcPr>
          <w:p>
            <w:pPr>
              <w:pStyle w:val="0"/>
            </w:pPr>
            <w:r>
              <w:rPr>
                <w:sz w:val="20"/>
              </w:rPr>
              <w:t xml:space="preserve">100,0</w:t>
            </w:r>
          </w:p>
        </w:tc>
      </w:tr>
      <w:tr>
        <w:tc>
          <w:tcPr>
            <w:tcW w:w="3345" w:type="dxa"/>
            <w:tcBorders>
              <w:top w:val="single" w:sz="4"/>
              <w:bottom w:val="nil"/>
            </w:tcBorders>
          </w:tcPr>
          <w:p>
            <w:pPr>
              <w:pStyle w:val="0"/>
            </w:pPr>
            <w:r>
              <w:rPr>
                <w:sz w:val="20"/>
              </w:rPr>
              <w:t xml:space="preserve">Некоторые инфекционные и паразитарные болезни,</w:t>
            </w:r>
          </w:p>
        </w:tc>
        <w:tc>
          <w:tcPr>
            <w:tcW w:w="1205" w:type="dxa"/>
            <w:tcBorders>
              <w:top w:val="single" w:sz="4"/>
              <w:bottom w:val="nil"/>
            </w:tcBorders>
          </w:tcPr>
          <w:p>
            <w:pPr>
              <w:pStyle w:val="0"/>
            </w:pPr>
            <w:r>
              <w:rPr>
                <w:sz w:val="20"/>
              </w:rPr>
              <w:t xml:space="preserve">53,8</w:t>
            </w:r>
          </w:p>
        </w:tc>
        <w:tc>
          <w:tcPr>
            <w:tcW w:w="1077" w:type="dxa"/>
            <w:tcBorders>
              <w:top w:val="single" w:sz="4"/>
              <w:bottom w:val="nil"/>
            </w:tcBorders>
          </w:tcPr>
          <w:p>
            <w:pPr>
              <w:pStyle w:val="0"/>
            </w:pPr>
            <w:r>
              <w:rPr>
                <w:sz w:val="20"/>
              </w:rPr>
              <w:t xml:space="preserve">55,7</w:t>
            </w:r>
          </w:p>
        </w:tc>
        <w:tc>
          <w:tcPr>
            <w:tcW w:w="1120" w:type="dxa"/>
            <w:tcBorders>
              <w:top w:val="single" w:sz="4"/>
              <w:bottom w:val="nil"/>
            </w:tcBorders>
          </w:tcPr>
          <w:p>
            <w:pPr>
              <w:pStyle w:val="0"/>
            </w:pPr>
            <w:r>
              <w:rPr>
                <w:sz w:val="20"/>
              </w:rPr>
              <w:t xml:space="preserve">55,7</w:t>
            </w:r>
          </w:p>
        </w:tc>
        <w:tc>
          <w:tcPr>
            <w:tcW w:w="964" w:type="dxa"/>
            <w:tcBorders>
              <w:top w:val="single" w:sz="4"/>
              <w:bottom w:val="nil"/>
            </w:tcBorders>
          </w:tcPr>
          <w:p>
            <w:pPr>
              <w:pStyle w:val="0"/>
            </w:pPr>
            <w:r>
              <w:rPr>
                <w:sz w:val="20"/>
              </w:rPr>
              <w:t xml:space="preserve">8,6</w:t>
            </w:r>
          </w:p>
        </w:tc>
        <w:tc>
          <w:tcPr>
            <w:tcW w:w="1020" w:type="dxa"/>
            <w:tcBorders>
              <w:top w:val="single" w:sz="4"/>
              <w:bottom w:val="nil"/>
            </w:tcBorders>
          </w:tcPr>
          <w:p>
            <w:pPr>
              <w:pStyle w:val="0"/>
            </w:pPr>
            <w:r>
              <w:rPr>
                <w:sz w:val="20"/>
              </w:rPr>
              <w:t xml:space="preserve">+3,5</w:t>
            </w:r>
          </w:p>
        </w:tc>
        <w:tc>
          <w:tcPr>
            <w:tcW w:w="992" w:type="dxa"/>
            <w:tcBorders>
              <w:top w:val="single" w:sz="4"/>
              <w:bottom w:val="nil"/>
            </w:tcBorders>
          </w:tcPr>
          <w:p>
            <w:pPr>
              <w:pStyle w:val="0"/>
            </w:pPr>
            <w:r>
              <w:rPr>
                <w:sz w:val="20"/>
              </w:rPr>
              <w:t xml:space="preserve">84,3</w:t>
            </w:r>
          </w:p>
        </w:tc>
        <w:tc>
          <w:tcPr>
            <w:tcW w:w="964" w:type="dxa"/>
            <w:tcBorders>
              <w:top w:val="single" w:sz="4"/>
              <w:bottom w:val="nil"/>
            </w:tcBorders>
          </w:tcPr>
          <w:p>
            <w:pPr>
              <w:pStyle w:val="0"/>
            </w:pPr>
            <w:r>
              <w:rPr>
                <w:sz w:val="20"/>
              </w:rPr>
              <w:t xml:space="preserve">11,1</w:t>
            </w:r>
          </w:p>
        </w:tc>
        <w:tc>
          <w:tcPr>
            <w:tcW w:w="1134" w:type="dxa"/>
            <w:tcBorders>
              <w:top w:val="single" w:sz="4"/>
              <w:bottom w:val="nil"/>
            </w:tcBorders>
          </w:tcPr>
          <w:p>
            <w:pPr>
              <w:pStyle w:val="0"/>
            </w:pPr>
            <w:r>
              <w:rPr>
                <w:sz w:val="20"/>
              </w:rPr>
              <w:t xml:space="preserve">45,6</w:t>
            </w:r>
          </w:p>
        </w:tc>
        <w:tc>
          <w:tcPr>
            <w:tcW w:w="907" w:type="dxa"/>
            <w:tcBorders>
              <w:top w:val="single" w:sz="4"/>
              <w:bottom w:val="nil"/>
            </w:tcBorders>
          </w:tcPr>
          <w:p>
            <w:pPr>
              <w:pStyle w:val="0"/>
            </w:pPr>
            <w:r>
              <w:rPr>
                <w:sz w:val="20"/>
              </w:rPr>
              <w:t xml:space="preserve">6,4</w:t>
            </w:r>
          </w:p>
        </w:tc>
      </w:tr>
      <w:tr>
        <w:tc>
          <w:tcPr>
            <w:tcW w:w="3345" w:type="dxa"/>
            <w:tcBorders>
              <w:top w:val="nil"/>
              <w:bottom w:val="single" w:sz="4"/>
            </w:tcBorders>
          </w:tcPr>
          <w:p>
            <w:pPr>
              <w:pStyle w:val="0"/>
            </w:pPr>
            <w:r>
              <w:rPr>
                <w:sz w:val="20"/>
              </w:rPr>
              <w:t xml:space="preserve">из них: туберкулез</w:t>
            </w:r>
          </w:p>
        </w:tc>
        <w:tc>
          <w:tcPr>
            <w:tcW w:w="1205" w:type="dxa"/>
            <w:tcBorders>
              <w:top w:val="nil"/>
              <w:bottom w:val="single" w:sz="4"/>
            </w:tcBorders>
          </w:tcPr>
          <w:p>
            <w:pPr>
              <w:pStyle w:val="0"/>
            </w:pPr>
            <w:r>
              <w:rPr>
                <w:sz w:val="20"/>
              </w:rPr>
              <w:t xml:space="preserve">4,7</w:t>
            </w:r>
          </w:p>
        </w:tc>
        <w:tc>
          <w:tcPr>
            <w:tcW w:w="1077" w:type="dxa"/>
            <w:tcBorders>
              <w:top w:val="nil"/>
              <w:bottom w:val="single" w:sz="4"/>
            </w:tcBorders>
          </w:tcPr>
          <w:p>
            <w:pPr>
              <w:pStyle w:val="0"/>
            </w:pPr>
            <w:r>
              <w:rPr>
                <w:sz w:val="20"/>
              </w:rPr>
              <w:t xml:space="preserve">3,4</w:t>
            </w:r>
          </w:p>
        </w:tc>
        <w:tc>
          <w:tcPr>
            <w:tcW w:w="1120" w:type="dxa"/>
            <w:tcBorders>
              <w:top w:val="nil"/>
              <w:bottom w:val="single" w:sz="4"/>
            </w:tcBorders>
          </w:tcPr>
          <w:p>
            <w:pPr>
              <w:pStyle w:val="0"/>
            </w:pPr>
            <w:r>
              <w:rPr>
                <w:sz w:val="20"/>
              </w:rPr>
              <w:t xml:space="preserve">4,1</w:t>
            </w:r>
          </w:p>
        </w:tc>
        <w:tc>
          <w:tcPr>
            <w:tcW w:w="964" w:type="dxa"/>
            <w:tcBorders>
              <w:top w:val="nil"/>
              <w:bottom w:val="single" w:sz="4"/>
            </w:tcBorders>
          </w:tcPr>
          <w:p>
            <w:pPr>
              <w:pStyle w:val="0"/>
            </w:pPr>
            <w:r>
              <w:rPr>
                <w:sz w:val="20"/>
              </w:rPr>
            </w:r>
          </w:p>
        </w:tc>
        <w:tc>
          <w:tcPr>
            <w:tcW w:w="1020" w:type="dxa"/>
            <w:tcBorders>
              <w:top w:val="nil"/>
              <w:bottom w:val="single" w:sz="4"/>
            </w:tcBorders>
          </w:tcPr>
          <w:p>
            <w:pPr>
              <w:pStyle w:val="0"/>
            </w:pPr>
            <w:r>
              <w:rPr>
                <w:sz w:val="20"/>
              </w:rPr>
              <w:t xml:space="preserve">-12,8</w:t>
            </w:r>
          </w:p>
        </w:tc>
        <w:tc>
          <w:tcPr>
            <w:tcW w:w="992" w:type="dxa"/>
            <w:tcBorders>
              <w:top w:val="nil"/>
              <w:bottom w:val="single" w:sz="4"/>
            </w:tcBorders>
          </w:tcPr>
          <w:p>
            <w:pPr>
              <w:pStyle w:val="0"/>
            </w:pPr>
            <w:r>
              <w:rPr>
                <w:sz w:val="20"/>
              </w:rPr>
              <w:t xml:space="preserve">13,5</w:t>
            </w:r>
          </w:p>
        </w:tc>
        <w:tc>
          <w:tcPr>
            <w:tcW w:w="964"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t xml:space="preserve">10,1</w:t>
            </w:r>
          </w:p>
        </w:tc>
        <w:tc>
          <w:tcPr>
            <w:tcW w:w="907" w:type="dxa"/>
            <w:tcBorders>
              <w:top w:val="nil"/>
              <w:bottom w:val="single" w:sz="4"/>
            </w:tcBorders>
          </w:tcPr>
          <w:p>
            <w:pPr>
              <w:pStyle w:val="0"/>
            </w:pPr>
            <w:r>
              <w:rPr>
                <w:sz w:val="20"/>
              </w:rPr>
            </w:r>
          </w:p>
        </w:tc>
      </w:tr>
      <w:tr>
        <w:tc>
          <w:tcPr>
            <w:tcW w:w="3345" w:type="dxa"/>
            <w:tcBorders>
              <w:top w:val="single" w:sz="4"/>
              <w:bottom w:val="nil"/>
            </w:tcBorders>
          </w:tcPr>
          <w:p>
            <w:pPr>
              <w:pStyle w:val="0"/>
            </w:pPr>
            <w:r>
              <w:rPr>
                <w:sz w:val="20"/>
              </w:rPr>
              <w:t xml:space="preserve">Новообразования,</w:t>
            </w:r>
          </w:p>
        </w:tc>
        <w:tc>
          <w:tcPr>
            <w:tcW w:w="1205" w:type="dxa"/>
            <w:tcBorders>
              <w:top w:val="single" w:sz="4"/>
              <w:bottom w:val="nil"/>
            </w:tcBorders>
          </w:tcPr>
          <w:p>
            <w:pPr>
              <w:pStyle w:val="0"/>
            </w:pPr>
            <w:r>
              <w:rPr>
                <w:sz w:val="20"/>
              </w:rPr>
              <w:t xml:space="preserve">85,3</w:t>
            </w:r>
          </w:p>
        </w:tc>
        <w:tc>
          <w:tcPr>
            <w:tcW w:w="1077" w:type="dxa"/>
            <w:tcBorders>
              <w:top w:val="single" w:sz="4"/>
              <w:bottom w:val="nil"/>
            </w:tcBorders>
          </w:tcPr>
          <w:p>
            <w:pPr>
              <w:pStyle w:val="0"/>
            </w:pPr>
            <w:r>
              <w:rPr>
                <w:sz w:val="20"/>
              </w:rPr>
              <w:t xml:space="preserve">70,7</w:t>
            </w:r>
          </w:p>
        </w:tc>
        <w:tc>
          <w:tcPr>
            <w:tcW w:w="1120" w:type="dxa"/>
            <w:tcBorders>
              <w:top w:val="single" w:sz="4"/>
              <w:bottom w:val="nil"/>
            </w:tcBorders>
          </w:tcPr>
          <w:p>
            <w:pPr>
              <w:pStyle w:val="0"/>
            </w:pPr>
            <w:r>
              <w:rPr>
                <w:sz w:val="20"/>
              </w:rPr>
              <w:t xml:space="preserve">82,0</w:t>
            </w:r>
          </w:p>
        </w:tc>
        <w:tc>
          <w:tcPr>
            <w:tcW w:w="964" w:type="dxa"/>
            <w:tcBorders>
              <w:top w:val="single" w:sz="4"/>
              <w:bottom w:val="nil"/>
            </w:tcBorders>
          </w:tcPr>
          <w:p>
            <w:pPr>
              <w:pStyle w:val="0"/>
            </w:pPr>
            <w:r>
              <w:rPr>
                <w:sz w:val="20"/>
              </w:rPr>
              <w:t xml:space="preserve">12,6</w:t>
            </w:r>
          </w:p>
        </w:tc>
        <w:tc>
          <w:tcPr>
            <w:tcW w:w="1020" w:type="dxa"/>
            <w:tcBorders>
              <w:top w:val="single" w:sz="4"/>
              <w:bottom w:val="nil"/>
            </w:tcBorders>
          </w:tcPr>
          <w:p>
            <w:pPr>
              <w:pStyle w:val="0"/>
            </w:pPr>
            <w:r>
              <w:rPr>
                <w:sz w:val="20"/>
              </w:rPr>
              <w:t xml:space="preserve">-3,9</w:t>
            </w:r>
          </w:p>
        </w:tc>
        <w:tc>
          <w:tcPr>
            <w:tcW w:w="992" w:type="dxa"/>
            <w:tcBorders>
              <w:top w:val="single" w:sz="4"/>
              <w:bottom w:val="nil"/>
            </w:tcBorders>
          </w:tcPr>
          <w:p>
            <w:pPr>
              <w:pStyle w:val="0"/>
            </w:pPr>
            <w:r>
              <w:rPr>
                <w:sz w:val="20"/>
              </w:rPr>
              <w:t xml:space="preserve">91,2</w:t>
            </w:r>
          </w:p>
        </w:tc>
        <w:tc>
          <w:tcPr>
            <w:tcW w:w="964" w:type="dxa"/>
            <w:tcBorders>
              <w:top w:val="single" w:sz="4"/>
              <w:bottom w:val="nil"/>
            </w:tcBorders>
          </w:tcPr>
          <w:p>
            <w:pPr>
              <w:pStyle w:val="0"/>
            </w:pPr>
            <w:r>
              <w:rPr>
                <w:sz w:val="20"/>
              </w:rPr>
              <w:t xml:space="preserve">12,1</w:t>
            </w:r>
          </w:p>
        </w:tc>
        <w:tc>
          <w:tcPr>
            <w:tcW w:w="1134" w:type="dxa"/>
            <w:tcBorders>
              <w:top w:val="single" w:sz="4"/>
              <w:bottom w:val="nil"/>
            </w:tcBorders>
          </w:tcPr>
          <w:p>
            <w:pPr>
              <w:pStyle w:val="0"/>
            </w:pPr>
            <w:r>
              <w:rPr>
                <w:sz w:val="20"/>
              </w:rPr>
              <w:t xml:space="preserve">91,9</w:t>
            </w:r>
          </w:p>
        </w:tc>
        <w:tc>
          <w:tcPr>
            <w:tcW w:w="907" w:type="dxa"/>
            <w:tcBorders>
              <w:top w:val="single" w:sz="4"/>
              <w:bottom w:val="nil"/>
            </w:tcBorders>
          </w:tcPr>
          <w:p>
            <w:pPr>
              <w:pStyle w:val="0"/>
            </w:pPr>
            <w:r>
              <w:rPr>
                <w:sz w:val="20"/>
              </w:rPr>
              <w:t xml:space="preserve">13,0</w:t>
            </w:r>
          </w:p>
        </w:tc>
      </w:tr>
      <w:tr>
        <w:tc>
          <w:tcPr>
            <w:tcW w:w="3345" w:type="dxa"/>
            <w:tcBorders>
              <w:top w:val="nil"/>
              <w:bottom w:val="single" w:sz="4"/>
            </w:tcBorders>
          </w:tcPr>
          <w:p>
            <w:pPr>
              <w:pStyle w:val="0"/>
            </w:pPr>
            <w:r>
              <w:rPr>
                <w:sz w:val="20"/>
              </w:rPr>
              <w:t xml:space="preserve">из них: злокачественные</w:t>
            </w:r>
          </w:p>
        </w:tc>
        <w:tc>
          <w:tcPr>
            <w:tcW w:w="1205" w:type="dxa"/>
            <w:tcBorders>
              <w:top w:val="nil"/>
              <w:bottom w:val="single" w:sz="4"/>
            </w:tcBorders>
          </w:tcPr>
          <w:p>
            <w:pPr>
              <w:pStyle w:val="0"/>
            </w:pPr>
            <w:r>
              <w:rPr>
                <w:sz w:val="20"/>
              </w:rPr>
              <w:t xml:space="preserve">84,7</w:t>
            </w:r>
          </w:p>
        </w:tc>
        <w:tc>
          <w:tcPr>
            <w:tcW w:w="1077" w:type="dxa"/>
            <w:tcBorders>
              <w:top w:val="nil"/>
              <w:bottom w:val="single" w:sz="4"/>
            </w:tcBorders>
          </w:tcPr>
          <w:p>
            <w:pPr>
              <w:pStyle w:val="0"/>
            </w:pPr>
            <w:r>
              <w:rPr>
                <w:sz w:val="20"/>
              </w:rPr>
              <w:t xml:space="preserve">69,4</w:t>
            </w:r>
          </w:p>
        </w:tc>
        <w:tc>
          <w:tcPr>
            <w:tcW w:w="1120" w:type="dxa"/>
            <w:tcBorders>
              <w:top w:val="nil"/>
              <w:bottom w:val="single" w:sz="4"/>
            </w:tcBorders>
          </w:tcPr>
          <w:p>
            <w:pPr>
              <w:pStyle w:val="0"/>
            </w:pPr>
            <w:r>
              <w:rPr>
                <w:sz w:val="20"/>
              </w:rPr>
              <w:t xml:space="preserve">81,6</w:t>
            </w:r>
          </w:p>
        </w:tc>
        <w:tc>
          <w:tcPr>
            <w:tcW w:w="964" w:type="dxa"/>
            <w:tcBorders>
              <w:top w:val="nil"/>
              <w:bottom w:val="single" w:sz="4"/>
            </w:tcBorders>
          </w:tcPr>
          <w:p>
            <w:pPr>
              <w:pStyle w:val="0"/>
            </w:pPr>
            <w:r>
              <w:rPr>
                <w:sz w:val="20"/>
              </w:rPr>
            </w:r>
          </w:p>
        </w:tc>
        <w:tc>
          <w:tcPr>
            <w:tcW w:w="1020" w:type="dxa"/>
            <w:tcBorders>
              <w:top w:val="nil"/>
              <w:bottom w:val="single" w:sz="4"/>
            </w:tcBorders>
          </w:tcPr>
          <w:p>
            <w:pPr>
              <w:pStyle w:val="0"/>
            </w:pPr>
            <w:r>
              <w:rPr>
                <w:sz w:val="20"/>
              </w:rPr>
              <w:t xml:space="preserve">-3,7</w:t>
            </w:r>
          </w:p>
        </w:tc>
        <w:tc>
          <w:tcPr>
            <w:tcW w:w="992" w:type="dxa"/>
            <w:tcBorders>
              <w:top w:val="nil"/>
              <w:bottom w:val="single" w:sz="4"/>
            </w:tcBorders>
          </w:tcPr>
          <w:p>
            <w:pPr>
              <w:pStyle w:val="0"/>
            </w:pPr>
            <w:r>
              <w:rPr>
                <w:sz w:val="20"/>
              </w:rPr>
              <w:t xml:space="preserve">90,7</w:t>
            </w:r>
          </w:p>
        </w:tc>
        <w:tc>
          <w:tcPr>
            <w:tcW w:w="964"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t xml:space="preserve">90,9</w:t>
            </w:r>
          </w:p>
        </w:tc>
        <w:tc>
          <w:tcPr>
            <w:tcW w:w="907" w:type="dxa"/>
            <w:tcBorders>
              <w:top w:val="nil"/>
              <w:bottom w:val="single" w:sz="4"/>
            </w:tcBorders>
          </w:tcPr>
          <w:p>
            <w:pPr>
              <w:pStyle w:val="0"/>
            </w:pPr>
            <w:r>
              <w:rPr>
                <w:sz w:val="20"/>
              </w:rPr>
            </w:r>
          </w:p>
        </w:tc>
      </w:tr>
      <w:tr>
        <w:tc>
          <w:tcPr>
            <w:tcW w:w="3345" w:type="dxa"/>
            <w:tcBorders>
              <w:top w:val="single" w:sz="4"/>
              <w:bottom w:val="nil"/>
            </w:tcBorders>
          </w:tcPr>
          <w:p>
            <w:pPr>
              <w:pStyle w:val="0"/>
            </w:pPr>
            <w:r>
              <w:rPr>
                <w:sz w:val="20"/>
              </w:rPr>
              <w:t xml:space="preserve">Болезни системы кровообращения,</w:t>
            </w:r>
          </w:p>
        </w:tc>
        <w:tc>
          <w:tcPr>
            <w:tcW w:w="1205" w:type="dxa"/>
            <w:tcBorders>
              <w:top w:val="single" w:sz="4"/>
              <w:bottom w:val="nil"/>
            </w:tcBorders>
          </w:tcPr>
          <w:p>
            <w:pPr>
              <w:pStyle w:val="0"/>
            </w:pPr>
            <w:r>
              <w:rPr>
                <w:sz w:val="20"/>
              </w:rPr>
              <w:t xml:space="preserve">187,9</w:t>
            </w:r>
          </w:p>
        </w:tc>
        <w:tc>
          <w:tcPr>
            <w:tcW w:w="1077" w:type="dxa"/>
            <w:tcBorders>
              <w:top w:val="single" w:sz="4"/>
              <w:bottom w:val="nil"/>
            </w:tcBorders>
          </w:tcPr>
          <w:p>
            <w:pPr>
              <w:pStyle w:val="0"/>
            </w:pPr>
            <w:r>
              <w:rPr>
                <w:sz w:val="20"/>
              </w:rPr>
              <w:t xml:space="preserve">174,5</w:t>
            </w:r>
          </w:p>
        </w:tc>
        <w:tc>
          <w:tcPr>
            <w:tcW w:w="1120" w:type="dxa"/>
            <w:tcBorders>
              <w:top w:val="single" w:sz="4"/>
              <w:bottom w:val="nil"/>
            </w:tcBorders>
          </w:tcPr>
          <w:p>
            <w:pPr>
              <w:pStyle w:val="0"/>
            </w:pPr>
            <w:r>
              <w:rPr>
                <w:sz w:val="20"/>
              </w:rPr>
              <w:t xml:space="preserve">200,2</w:t>
            </w:r>
          </w:p>
        </w:tc>
        <w:tc>
          <w:tcPr>
            <w:tcW w:w="964" w:type="dxa"/>
            <w:tcBorders>
              <w:top w:val="single" w:sz="4"/>
              <w:bottom w:val="nil"/>
            </w:tcBorders>
          </w:tcPr>
          <w:p>
            <w:pPr>
              <w:pStyle w:val="0"/>
            </w:pPr>
            <w:r>
              <w:rPr>
                <w:sz w:val="20"/>
              </w:rPr>
              <w:t xml:space="preserve">30,8</w:t>
            </w:r>
          </w:p>
        </w:tc>
        <w:tc>
          <w:tcPr>
            <w:tcW w:w="1020" w:type="dxa"/>
            <w:tcBorders>
              <w:top w:val="single" w:sz="4"/>
              <w:bottom w:val="nil"/>
            </w:tcBorders>
          </w:tcPr>
          <w:p>
            <w:pPr>
              <w:pStyle w:val="0"/>
            </w:pPr>
            <w:r>
              <w:rPr>
                <w:sz w:val="20"/>
              </w:rPr>
              <w:t xml:space="preserve">+6,5</w:t>
            </w:r>
          </w:p>
        </w:tc>
        <w:tc>
          <w:tcPr>
            <w:tcW w:w="992" w:type="dxa"/>
            <w:tcBorders>
              <w:top w:val="single" w:sz="4"/>
              <w:bottom w:val="nil"/>
            </w:tcBorders>
          </w:tcPr>
          <w:p>
            <w:pPr>
              <w:pStyle w:val="0"/>
            </w:pPr>
            <w:r>
              <w:rPr>
                <w:sz w:val="20"/>
              </w:rPr>
              <w:t xml:space="preserve">228,5</w:t>
            </w:r>
          </w:p>
        </w:tc>
        <w:tc>
          <w:tcPr>
            <w:tcW w:w="964" w:type="dxa"/>
            <w:tcBorders>
              <w:top w:val="single" w:sz="4"/>
              <w:bottom w:val="nil"/>
            </w:tcBorders>
          </w:tcPr>
          <w:p>
            <w:pPr>
              <w:pStyle w:val="0"/>
            </w:pPr>
            <w:r>
              <w:rPr>
                <w:sz w:val="20"/>
              </w:rPr>
              <w:t xml:space="preserve">30,2</w:t>
            </w:r>
          </w:p>
        </w:tc>
        <w:tc>
          <w:tcPr>
            <w:tcW w:w="1134" w:type="dxa"/>
            <w:tcBorders>
              <w:top w:val="single" w:sz="4"/>
              <w:bottom w:val="nil"/>
            </w:tcBorders>
          </w:tcPr>
          <w:p>
            <w:pPr>
              <w:pStyle w:val="0"/>
            </w:pPr>
            <w:r>
              <w:rPr>
                <w:sz w:val="20"/>
              </w:rPr>
              <w:t xml:space="preserve">227,3</w:t>
            </w:r>
          </w:p>
        </w:tc>
        <w:tc>
          <w:tcPr>
            <w:tcW w:w="907" w:type="dxa"/>
            <w:tcBorders>
              <w:top w:val="single" w:sz="4"/>
              <w:bottom w:val="nil"/>
            </w:tcBorders>
          </w:tcPr>
          <w:p>
            <w:pPr>
              <w:pStyle w:val="0"/>
            </w:pPr>
            <w:r>
              <w:rPr>
                <w:sz w:val="20"/>
              </w:rPr>
              <w:t xml:space="preserve">32,1</w:t>
            </w:r>
          </w:p>
        </w:tc>
      </w:tr>
      <w:tr>
        <w:tc>
          <w:tcPr>
            <w:tcW w:w="3345" w:type="dxa"/>
            <w:tcBorders>
              <w:top w:val="nil"/>
              <w:bottom w:val="nil"/>
            </w:tcBorders>
          </w:tcPr>
          <w:p>
            <w:pPr>
              <w:pStyle w:val="0"/>
            </w:pPr>
            <w:r>
              <w:rPr>
                <w:sz w:val="20"/>
              </w:rPr>
              <w:t xml:space="preserve">из них: ишемические болезни сердца</w:t>
            </w:r>
          </w:p>
        </w:tc>
        <w:tc>
          <w:tcPr>
            <w:tcW w:w="1205" w:type="dxa"/>
            <w:tcBorders>
              <w:top w:val="nil"/>
              <w:bottom w:val="nil"/>
            </w:tcBorders>
          </w:tcPr>
          <w:p>
            <w:pPr>
              <w:pStyle w:val="0"/>
            </w:pPr>
            <w:r>
              <w:rPr>
                <w:sz w:val="20"/>
              </w:rPr>
              <w:t xml:space="preserve">98,7</w:t>
            </w:r>
          </w:p>
        </w:tc>
        <w:tc>
          <w:tcPr>
            <w:tcW w:w="1077" w:type="dxa"/>
            <w:tcBorders>
              <w:top w:val="nil"/>
              <w:bottom w:val="nil"/>
            </w:tcBorders>
          </w:tcPr>
          <w:p>
            <w:pPr>
              <w:pStyle w:val="0"/>
            </w:pPr>
            <w:r>
              <w:rPr>
                <w:sz w:val="20"/>
              </w:rPr>
              <w:t xml:space="preserve">74,1</w:t>
            </w:r>
          </w:p>
        </w:tc>
        <w:tc>
          <w:tcPr>
            <w:tcW w:w="1120" w:type="dxa"/>
            <w:tcBorders>
              <w:top w:val="nil"/>
              <w:bottom w:val="nil"/>
            </w:tcBorders>
          </w:tcPr>
          <w:p>
            <w:pPr>
              <w:pStyle w:val="0"/>
            </w:pPr>
            <w:r>
              <w:rPr>
                <w:sz w:val="20"/>
              </w:rPr>
              <w:t xml:space="preserve">87,8</w:t>
            </w:r>
          </w:p>
        </w:tc>
        <w:tc>
          <w:tcPr>
            <w:tcW w:w="964"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-11,0</w:t>
            </w:r>
          </w:p>
        </w:tc>
        <w:tc>
          <w:tcPr>
            <w:tcW w:w="992" w:type="dxa"/>
            <w:tcBorders>
              <w:top w:val="nil"/>
              <w:bottom w:val="nil"/>
            </w:tcBorders>
          </w:tcPr>
          <w:p>
            <w:pPr>
              <w:pStyle w:val="0"/>
            </w:pPr>
            <w:r>
              <w:rPr>
                <w:sz w:val="20"/>
              </w:rPr>
              <w:t xml:space="preserve">97,5</w:t>
            </w:r>
          </w:p>
        </w:tc>
        <w:tc>
          <w:tcPr>
            <w:tcW w:w="964" w:type="dxa"/>
            <w:tcBorders>
              <w:top w:val="nil"/>
              <w:bottom w:val="nil"/>
            </w:tcBorders>
          </w:tcPr>
          <w:p>
            <w:pPr>
              <w:pStyle w:val="0"/>
            </w:pPr>
            <w:r>
              <w:rPr>
                <w:sz w:val="20"/>
              </w:rPr>
            </w:r>
          </w:p>
        </w:tc>
        <w:tc>
          <w:tcPr>
            <w:tcW w:w="1134" w:type="dxa"/>
            <w:tcBorders>
              <w:top w:val="nil"/>
              <w:bottom w:val="nil"/>
            </w:tcBorders>
          </w:tcPr>
          <w:p>
            <w:pPr>
              <w:pStyle w:val="0"/>
            </w:pPr>
            <w:r>
              <w:rPr>
                <w:sz w:val="20"/>
              </w:rPr>
              <w:t xml:space="preserve">105,0</w:t>
            </w:r>
          </w:p>
        </w:tc>
        <w:tc>
          <w:tcPr>
            <w:tcW w:w="907" w:type="dxa"/>
            <w:tcBorders>
              <w:top w:val="nil"/>
              <w:bottom w:val="nil"/>
            </w:tcBorders>
          </w:tcPr>
          <w:p>
            <w:pPr>
              <w:pStyle w:val="0"/>
            </w:pPr>
            <w:r>
              <w:rPr>
                <w:sz w:val="20"/>
              </w:rPr>
            </w:r>
          </w:p>
        </w:tc>
      </w:tr>
      <w:tr>
        <w:tc>
          <w:tcPr>
            <w:tcW w:w="3345" w:type="dxa"/>
            <w:tcBorders>
              <w:top w:val="nil"/>
              <w:bottom w:val="single" w:sz="4"/>
            </w:tcBorders>
          </w:tcPr>
          <w:p>
            <w:pPr>
              <w:pStyle w:val="0"/>
            </w:pPr>
            <w:r>
              <w:rPr>
                <w:sz w:val="20"/>
              </w:rPr>
              <w:t xml:space="preserve">цереброваскулярные болезни</w:t>
            </w:r>
          </w:p>
        </w:tc>
        <w:tc>
          <w:tcPr>
            <w:tcW w:w="1205" w:type="dxa"/>
            <w:tcBorders>
              <w:top w:val="nil"/>
              <w:bottom w:val="single" w:sz="4"/>
            </w:tcBorders>
          </w:tcPr>
          <w:p>
            <w:pPr>
              <w:pStyle w:val="0"/>
            </w:pPr>
            <w:r>
              <w:rPr>
                <w:sz w:val="20"/>
              </w:rPr>
              <w:t xml:space="preserve">25,1</w:t>
            </w:r>
          </w:p>
        </w:tc>
        <w:tc>
          <w:tcPr>
            <w:tcW w:w="1077" w:type="dxa"/>
            <w:tcBorders>
              <w:top w:val="nil"/>
              <w:bottom w:val="single" w:sz="4"/>
            </w:tcBorders>
          </w:tcPr>
          <w:p>
            <w:pPr>
              <w:pStyle w:val="0"/>
            </w:pPr>
            <w:r>
              <w:rPr>
                <w:sz w:val="20"/>
              </w:rPr>
              <w:t xml:space="preserve">27,5</w:t>
            </w:r>
          </w:p>
        </w:tc>
        <w:tc>
          <w:tcPr>
            <w:tcW w:w="1120" w:type="dxa"/>
            <w:tcBorders>
              <w:top w:val="nil"/>
              <w:bottom w:val="single" w:sz="4"/>
            </w:tcBorders>
          </w:tcPr>
          <w:p>
            <w:pPr>
              <w:pStyle w:val="0"/>
            </w:pPr>
            <w:r>
              <w:rPr>
                <w:sz w:val="20"/>
              </w:rPr>
              <w:t xml:space="preserve">25,5</w:t>
            </w:r>
          </w:p>
        </w:tc>
        <w:tc>
          <w:tcPr>
            <w:tcW w:w="964" w:type="dxa"/>
            <w:tcBorders>
              <w:top w:val="nil"/>
              <w:bottom w:val="single" w:sz="4"/>
            </w:tcBorders>
          </w:tcPr>
          <w:p>
            <w:pPr>
              <w:pStyle w:val="0"/>
            </w:pPr>
            <w:r>
              <w:rPr>
                <w:sz w:val="20"/>
              </w:rPr>
            </w:r>
          </w:p>
        </w:tc>
        <w:tc>
          <w:tcPr>
            <w:tcW w:w="1020" w:type="dxa"/>
            <w:tcBorders>
              <w:top w:val="nil"/>
              <w:bottom w:val="single" w:sz="4"/>
            </w:tcBorders>
          </w:tcPr>
          <w:p>
            <w:pPr>
              <w:pStyle w:val="0"/>
            </w:pPr>
            <w:r>
              <w:rPr>
                <w:sz w:val="20"/>
              </w:rPr>
              <w:t xml:space="preserve">+1,6</w:t>
            </w:r>
          </w:p>
        </w:tc>
        <w:tc>
          <w:tcPr>
            <w:tcW w:w="992" w:type="dxa"/>
            <w:tcBorders>
              <w:top w:val="nil"/>
              <w:bottom w:val="single" w:sz="4"/>
            </w:tcBorders>
          </w:tcPr>
          <w:p>
            <w:pPr>
              <w:pStyle w:val="0"/>
            </w:pPr>
            <w:r>
              <w:rPr>
                <w:sz w:val="20"/>
              </w:rPr>
              <w:t xml:space="preserve">38,5</w:t>
            </w:r>
          </w:p>
        </w:tc>
        <w:tc>
          <w:tcPr>
            <w:tcW w:w="964"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t xml:space="preserve">42,3</w:t>
            </w:r>
          </w:p>
        </w:tc>
        <w:tc>
          <w:tcPr>
            <w:tcW w:w="907" w:type="dxa"/>
            <w:tcBorders>
              <w:top w:val="nil"/>
              <w:bottom w:val="single" w:sz="4"/>
            </w:tcBorders>
          </w:tcPr>
          <w:p>
            <w:pPr>
              <w:pStyle w:val="0"/>
            </w:pPr>
            <w:r>
              <w:rPr>
                <w:sz w:val="20"/>
              </w:rPr>
            </w:r>
          </w:p>
        </w:tc>
      </w:tr>
      <w:tr>
        <w:tblPrEx>
          <w:tblBorders>
            <w:insideH w:val="single" w:sz="4"/>
          </w:tblBorders>
        </w:tblPrEx>
        <w:tc>
          <w:tcPr>
            <w:tcW w:w="3345" w:type="dxa"/>
            <w:tcBorders>
              <w:top w:val="single" w:sz="4"/>
              <w:bottom w:val="single" w:sz="4"/>
            </w:tcBorders>
          </w:tcPr>
          <w:p>
            <w:pPr>
              <w:pStyle w:val="0"/>
            </w:pPr>
            <w:r>
              <w:rPr>
                <w:sz w:val="20"/>
              </w:rPr>
              <w:t xml:space="preserve">Болезни органов дыхания</w:t>
            </w:r>
          </w:p>
        </w:tc>
        <w:tc>
          <w:tcPr>
            <w:tcW w:w="1205" w:type="dxa"/>
            <w:tcBorders>
              <w:top w:val="single" w:sz="4"/>
              <w:bottom w:val="single" w:sz="4"/>
            </w:tcBorders>
          </w:tcPr>
          <w:p>
            <w:pPr>
              <w:pStyle w:val="0"/>
            </w:pPr>
            <w:r>
              <w:rPr>
                <w:sz w:val="20"/>
              </w:rPr>
              <w:t xml:space="preserve">14,0</w:t>
            </w:r>
          </w:p>
        </w:tc>
        <w:tc>
          <w:tcPr>
            <w:tcW w:w="1077" w:type="dxa"/>
            <w:tcBorders>
              <w:top w:val="single" w:sz="4"/>
              <w:bottom w:val="single" w:sz="4"/>
            </w:tcBorders>
          </w:tcPr>
          <w:p>
            <w:pPr>
              <w:pStyle w:val="0"/>
            </w:pPr>
            <w:r>
              <w:rPr>
                <w:sz w:val="20"/>
              </w:rPr>
              <w:t xml:space="preserve">14,0</w:t>
            </w:r>
          </w:p>
        </w:tc>
        <w:tc>
          <w:tcPr>
            <w:tcW w:w="1120" w:type="dxa"/>
            <w:tcBorders>
              <w:top w:val="single" w:sz="4"/>
              <w:bottom w:val="single" w:sz="4"/>
            </w:tcBorders>
          </w:tcPr>
          <w:p>
            <w:pPr>
              <w:pStyle w:val="0"/>
            </w:pPr>
            <w:r>
              <w:rPr>
                <w:sz w:val="20"/>
              </w:rPr>
              <w:t xml:space="preserve">30,8</w:t>
            </w:r>
          </w:p>
        </w:tc>
        <w:tc>
          <w:tcPr>
            <w:tcW w:w="964" w:type="dxa"/>
            <w:tcBorders>
              <w:top w:val="single" w:sz="4"/>
              <w:bottom w:val="single" w:sz="4"/>
            </w:tcBorders>
          </w:tcPr>
          <w:p>
            <w:pPr>
              <w:pStyle w:val="0"/>
            </w:pPr>
            <w:r>
              <w:rPr>
                <w:sz w:val="20"/>
              </w:rPr>
              <w:t xml:space="preserve">4,7</w:t>
            </w:r>
          </w:p>
        </w:tc>
        <w:tc>
          <w:tcPr>
            <w:tcW w:w="1020" w:type="dxa"/>
            <w:tcBorders>
              <w:top w:val="single" w:sz="4"/>
              <w:bottom w:val="single" w:sz="4"/>
            </w:tcBorders>
          </w:tcPr>
          <w:p>
            <w:pPr>
              <w:pStyle w:val="0"/>
            </w:pPr>
            <w:r>
              <w:rPr>
                <w:sz w:val="20"/>
              </w:rPr>
              <w:t xml:space="preserve">+120,0</w:t>
            </w:r>
          </w:p>
        </w:tc>
        <w:tc>
          <w:tcPr>
            <w:tcW w:w="992" w:type="dxa"/>
            <w:tcBorders>
              <w:top w:val="single" w:sz="4"/>
              <w:bottom w:val="single" w:sz="4"/>
            </w:tcBorders>
          </w:tcPr>
          <w:p>
            <w:pPr>
              <w:pStyle w:val="0"/>
            </w:pPr>
            <w:r>
              <w:rPr>
                <w:sz w:val="20"/>
              </w:rPr>
              <w:t xml:space="preserve">21,3</w:t>
            </w:r>
          </w:p>
        </w:tc>
        <w:tc>
          <w:tcPr>
            <w:tcW w:w="964" w:type="dxa"/>
            <w:tcBorders>
              <w:top w:val="single" w:sz="4"/>
              <w:bottom w:val="single" w:sz="4"/>
            </w:tcBorders>
          </w:tcPr>
          <w:p>
            <w:pPr>
              <w:pStyle w:val="0"/>
            </w:pPr>
            <w:r>
              <w:rPr>
                <w:sz w:val="20"/>
              </w:rPr>
              <w:t xml:space="preserve">2,8</w:t>
            </w:r>
          </w:p>
        </w:tc>
        <w:tc>
          <w:tcPr>
            <w:tcW w:w="1134" w:type="dxa"/>
            <w:tcBorders>
              <w:top w:val="single" w:sz="4"/>
              <w:bottom w:val="single" w:sz="4"/>
            </w:tcBorders>
          </w:tcPr>
          <w:p>
            <w:pPr>
              <w:pStyle w:val="0"/>
            </w:pPr>
            <w:r>
              <w:rPr>
                <w:sz w:val="20"/>
              </w:rPr>
              <w:t xml:space="preserve">27,1</w:t>
            </w:r>
          </w:p>
        </w:tc>
        <w:tc>
          <w:tcPr>
            <w:tcW w:w="907" w:type="dxa"/>
            <w:tcBorders>
              <w:top w:val="single" w:sz="4"/>
              <w:bottom w:val="single" w:sz="4"/>
            </w:tcBorders>
          </w:tcPr>
          <w:p>
            <w:pPr>
              <w:pStyle w:val="0"/>
            </w:pPr>
            <w:r>
              <w:rPr>
                <w:sz w:val="20"/>
              </w:rPr>
              <w:t xml:space="preserve">3,8</w:t>
            </w:r>
          </w:p>
        </w:tc>
      </w:tr>
      <w:tr>
        <w:tblPrEx>
          <w:tblBorders>
            <w:insideH w:val="single" w:sz="4"/>
          </w:tblBorders>
        </w:tblPrEx>
        <w:tc>
          <w:tcPr>
            <w:tcW w:w="3345" w:type="dxa"/>
            <w:tcBorders>
              <w:top w:val="single" w:sz="4"/>
              <w:bottom w:val="single" w:sz="4"/>
            </w:tcBorders>
          </w:tcPr>
          <w:p>
            <w:pPr>
              <w:pStyle w:val="0"/>
            </w:pPr>
            <w:r>
              <w:rPr>
                <w:sz w:val="20"/>
              </w:rPr>
              <w:t xml:space="preserve">Болезни органов пищеварения</w:t>
            </w:r>
          </w:p>
        </w:tc>
        <w:tc>
          <w:tcPr>
            <w:tcW w:w="1205" w:type="dxa"/>
            <w:tcBorders>
              <w:top w:val="single" w:sz="4"/>
              <w:bottom w:val="single" w:sz="4"/>
            </w:tcBorders>
          </w:tcPr>
          <w:p>
            <w:pPr>
              <w:pStyle w:val="0"/>
            </w:pPr>
            <w:r>
              <w:rPr>
                <w:sz w:val="20"/>
              </w:rPr>
              <w:t xml:space="preserve">43,6</w:t>
            </w:r>
          </w:p>
        </w:tc>
        <w:tc>
          <w:tcPr>
            <w:tcW w:w="1077" w:type="dxa"/>
            <w:tcBorders>
              <w:top w:val="single" w:sz="4"/>
              <w:bottom w:val="single" w:sz="4"/>
            </w:tcBorders>
          </w:tcPr>
          <w:p>
            <w:pPr>
              <w:pStyle w:val="0"/>
            </w:pPr>
            <w:r>
              <w:rPr>
                <w:sz w:val="20"/>
              </w:rPr>
              <w:t xml:space="preserve">39,8</w:t>
            </w:r>
          </w:p>
        </w:tc>
        <w:tc>
          <w:tcPr>
            <w:tcW w:w="1120" w:type="dxa"/>
            <w:tcBorders>
              <w:top w:val="single" w:sz="4"/>
              <w:bottom w:val="single" w:sz="4"/>
            </w:tcBorders>
          </w:tcPr>
          <w:p>
            <w:pPr>
              <w:pStyle w:val="0"/>
            </w:pPr>
            <w:r>
              <w:rPr>
                <w:sz w:val="20"/>
              </w:rPr>
              <w:t xml:space="preserve">46,0</w:t>
            </w:r>
          </w:p>
        </w:tc>
        <w:tc>
          <w:tcPr>
            <w:tcW w:w="964" w:type="dxa"/>
            <w:tcBorders>
              <w:top w:val="single" w:sz="4"/>
              <w:bottom w:val="single" w:sz="4"/>
            </w:tcBorders>
          </w:tcPr>
          <w:p>
            <w:pPr>
              <w:pStyle w:val="0"/>
            </w:pPr>
            <w:r>
              <w:rPr>
                <w:sz w:val="20"/>
              </w:rPr>
              <w:t xml:space="preserve">7,1</w:t>
            </w:r>
          </w:p>
        </w:tc>
        <w:tc>
          <w:tcPr>
            <w:tcW w:w="1020" w:type="dxa"/>
            <w:tcBorders>
              <w:top w:val="single" w:sz="4"/>
              <w:bottom w:val="single" w:sz="4"/>
            </w:tcBorders>
          </w:tcPr>
          <w:p>
            <w:pPr>
              <w:pStyle w:val="0"/>
            </w:pPr>
            <w:r>
              <w:rPr>
                <w:sz w:val="20"/>
              </w:rPr>
              <w:t xml:space="preserve">+5,5</w:t>
            </w:r>
          </w:p>
        </w:tc>
        <w:tc>
          <w:tcPr>
            <w:tcW w:w="992" w:type="dxa"/>
            <w:tcBorders>
              <w:top w:val="single" w:sz="4"/>
              <w:bottom w:val="single" w:sz="4"/>
            </w:tcBorders>
          </w:tcPr>
          <w:p>
            <w:pPr>
              <w:pStyle w:val="0"/>
            </w:pPr>
            <w:r>
              <w:rPr>
                <w:sz w:val="20"/>
              </w:rPr>
              <w:t xml:space="preserve">61,0</w:t>
            </w:r>
          </w:p>
        </w:tc>
        <w:tc>
          <w:tcPr>
            <w:tcW w:w="964" w:type="dxa"/>
            <w:tcBorders>
              <w:top w:val="single" w:sz="4"/>
              <w:bottom w:val="single" w:sz="4"/>
            </w:tcBorders>
          </w:tcPr>
          <w:p>
            <w:pPr>
              <w:pStyle w:val="0"/>
            </w:pPr>
            <w:r>
              <w:rPr>
                <w:sz w:val="20"/>
              </w:rPr>
              <w:t xml:space="preserve">8,1</w:t>
            </w:r>
          </w:p>
        </w:tc>
        <w:tc>
          <w:tcPr>
            <w:tcW w:w="1134" w:type="dxa"/>
            <w:tcBorders>
              <w:top w:val="single" w:sz="4"/>
              <w:bottom w:val="single" w:sz="4"/>
            </w:tcBorders>
          </w:tcPr>
          <w:p>
            <w:pPr>
              <w:pStyle w:val="0"/>
            </w:pPr>
            <w:r>
              <w:rPr>
                <w:sz w:val="20"/>
              </w:rPr>
              <w:t xml:space="preserve">63,9</w:t>
            </w:r>
          </w:p>
        </w:tc>
        <w:tc>
          <w:tcPr>
            <w:tcW w:w="907" w:type="dxa"/>
            <w:tcBorders>
              <w:top w:val="single" w:sz="4"/>
              <w:bottom w:val="single" w:sz="4"/>
            </w:tcBorders>
          </w:tcPr>
          <w:p>
            <w:pPr>
              <w:pStyle w:val="0"/>
            </w:pPr>
            <w:r>
              <w:rPr>
                <w:sz w:val="20"/>
              </w:rPr>
              <w:t xml:space="preserve">9,0</w:t>
            </w:r>
          </w:p>
        </w:tc>
      </w:tr>
      <w:tr>
        <w:tc>
          <w:tcPr>
            <w:tcW w:w="3345" w:type="dxa"/>
            <w:tcBorders>
              <w:top w:val="single" w:sz="4"/>
              <w:bottom w:val="nil"/>
            </w:tcBorders>
          </w:tcPr>
          <w:p>
            <w:pPr>
              <w:pStyle w:val="0"/>
            </w:pPr>
            <w:r>
              <w:rPr>
                <w:sz w:val="20"/>
              </w:rPr>
              <w:t xml:space="preserve">Травмы, отравления и некоторые другие последствия воздействия внешних причин,</w:t>
            </w:r>
          </w:p>
        </w:tc>
        <w:tc>
          <w:tcPr>
            <w:tcW w:w="1205" w:type="dxa"/>
            <w:tcBorders>
              <w:top w:val="single" w:sz="4"/>
              <w:bottom w:val="nil"/>
            </w:tcBorders>
          </w:tcPr>
          <w:p>
            <w:pPr>
              <w:pStyle w:val="0"/>
            </w:pPr>
            <w:r>
              <w:rPr>
                <w:sz w:val="20"/>
              </w:rPr>
              <w:t xml:space="preserve">139,6</w:t>
            </w:r>
          </w:p>
        </w:tc>
        <w:tc>
          <w:tcPr>
            <w:tcW w:w="1077" w:type="dxa"/>
            <w:tcBorders>
              <w:top w:val="single" w:sz="4"/>
              <w:bottom w:val="nil"/>
            </w:tcBorders>
          </w:tcPr>
          <w:p>
            <w:pPr>
              <w:pStyle w:val="0"/>
            </w:pPr>
            <w:r>
              <w:rPr>
                <w:sz w:val="20"/>
              </w:rPr>
              <w:t xml:space="preserve">146,7</w:t>
            </w:r>
          </w:p>
        </w:tc>
        <w:tc>
          <w:tcPr>
            <w:tcW w:w="1120" w:type="dxa"/>
            <w:tcBorders>
              <w:top w:val="single" w:sz="4"/>
              <w:bottom w:val="nil"/>
            </w:tcBorders>
          </w:tcPr>
          <w:p>
            <w:pPr>
              <w:pStyle w:val="0"/>
            </w:pPr>
            <w:r>
              <w:rPr>
                <w:sz w:val="20"/>
              </w:rPr>
              <w:t xml:space="preserve">144,4</w:t>
            </w:r>
          </w:p>
        </w:tc>
        <w:tc>
          <w:tcPr>
            <w:tcW w:w="964" w:type="dxa"/>
            <w:tcBorders>
              <w:top w:val="single" w:sz="4"/>
              <w:bottom w:val="nil"/>
            </w:tcBorders>
          </w:tcPr>
          <w:p>
            <w:pPr>
              <w:pStyle w:val="0"/>
            </w:pPr>
            <w:r>
              <w:rPr>
                <w:sz w:val="20"/>
              </w:rPr>
              <w:t xml:space="preserve">22,3</w:t>
            </w:r>
          </w:p>
        </w:tc>
        <w:tc>
          <w:tcPr>
            <w:tcW w:w="1020" w:type="dxa"/>
            <w:tcBorders>
              <w:top w:val="single" w:sz="4"/>
              <w:bottom w:val="nil"/>
            </w:tcBorders>
          </w:tcPr>
          <w:p>
            <w:pPr>
              <w:pStyle w:val="0"/>
            </w:pPr>
            <w:r>
              <w:rPr>
                <w:sz w:val="20"/>
              </w:rPr>
              <w:t xml:space="preserve">+3,4</w:t>
            </w:r>
          </w:p>
        </w:tc>
        <w:tc>
          <w:tcPr>
            <w:tcW w:w="992" w:type="dxa"/>
            <w:tcBorders>
              <w:top w:val="single" w:sz="4"/>
              <w:bottom w:val="nil"/>
            </w:tcBorders>
          </w:tcPr>
          <w:p>
            <w:pPr>
              <w:pStyle w:val="0"/>
            </w:pPr>
            <w:r>
              <w:rPr>
                <w:sz w:val="20"/>
              </w:rPr>
              <w:t xml:space="preserve">210,9</w:t>
            </w:r>
          </w:p>
        </w:tc>
        <w:tc>
          <w:tcPr>
            <w:tcW w:w="964" w:type="dxa"/>
            <w:tcBorders>
              <w:top w:val="single" w:sz="4"/>
              <w:bottom w:val="nil"/>
            </w:tcBorders>
          </w:tcPr>
          <w:p>
            <w:pPr>
              <w:pStyle w:val="0"/>
            </w:pPr>
            <w:r>
              <w:rPr>
                <w:sz w:val="20"/>
              </w:rPr>
              <w:t xml:space="preserve">27,9</w:t>
            </w:r>
          </w:p>
        </w:tc>
        <w:tc>
          <w:tcPr>
            <w:tcW w:w="1134" w:type="dxa"/>
            <w:tcBorders>
              <w:top w:val="single" w:sz="4"/>
              <w:bottom w:val="nil"/>
            </w:tcBorders>
          </w:tcPr>
          <w:p>
            <w:pPr>
              <w:pStyle w:val="0"/>
            </w:pPr>
            <w:r>
              <w:rPr>
                <w:sz w:val="20"/>
              </w:rPr>
              <w:t xml:space="preserve">179,5</w:t>
            </w:r>
          </w:p>
        </w:tc>
        <w:tc>
          <w:tcPr>
            <w:tcW w:w="907" w:type="dxa"/>
            <w:tcBorders>
              <w:top w:val="single" w:sz="4"/>
              <w:bottom w:val="nil"/>
            </w:tcBorders>
          </w:tcPr>
          <w:p>
            <w:pPr>
              <w:pStyle w:val="0"/>
            </w:pPr>
            <w:r>
              <w:rPr>
                <w:sz w:val="20"/>
              </w:rPr>
              <w:t xml:space="preserve">25,3</w:t>
            </w:r>
          </w:p>
        </w:tc>
      </w:tr>
      <w:tr>
        <w:tc>
          <w:tcPr>
            <w:tcW w:w="3345" w:type="dxa"/>
            <w:tcBorders>
              <w:top w:val="nil"/>
              <w:bottom w:val="nil"/>
            </w:tcBorders>
          </w:tcPr>
          <w:p>
            <w:pPr>
              <w:pStyle w:val="0"/>
            </w:pPr>
            <w:r>
              <w:rPr>
                <w:sz w:val="20"/>
              </w:rPr>
              <w:t xml:space="preserve">из них: транспортные всех видов</w:t>
            </w:r>
          </w:p>
        </w:tc>
        <w:tc>
          <w:tcPr>
            <w:tcW w:w="1205" w:type="dxa"/>
            <w:tcBorders>
              <w:top w:val="nil"/>
              <w:bottom w:val="nil"/>
            </w:tcBorders>
          </w:tcPr>
          <w:p>
            <w:pPr>
              <w:pStyle w:val="0"/>
            </w:pPr>
            <w:r>
              <w:rPr>
                <w:sz w:val="20"/>
              </w:rPr>
              <w:t xml:space="preserve">19,4</w:t>
            </w:r>
          </w:p>
        </w:tc>
        <w:tc>
          <w:tcPr>
            <w:tcW w:w="1077" w:type="dxa"/>
            <w:tcBorders>
              <w:top w:val="nil"/>
              <w:bottom w:val="nil"/>
            </w:tcBorders>
          </w:tcPr>
          <w:p>
            <w:pPr>
              <w:pStyle w:val="0"/>
            </w:pPr>
            <w:r>
              <w:rPr>
                <w:sz w:val="20"/>
              </w:rPr>
              <w:t xml:space="preserve">24,4</w:t>
            </w:r>
          </w:p>
        </w:tc>
        <w:tc>
          <w:tcPr>
            <w:tcW w:w="1120" w:type="dxa"/>
            <w:tcBorders>
              <w:top w:val="nil"/>
              <w:bottom w:val="nil"/>
            </w:tcBorders>
          </w:tcPr>
          <w:p>
            <w:pPr>
              <w:pStyle w:val="0"/>
            </w:pPr>
            <w:r>
              <w:rPr>
                <w:sz w:val="20"/>
              </w:rPr>
              <w:t xml:space="preserve">19,6</w:t>
            </w:r>
          </w:p>
        </w:tc>
        <w:tc>
          <w:tcPr>
            <w:tcW w:w="964"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+1,0</w:t>
            </w:r>
          </w:p>
        </w:tc>
        <w:tc>
          <w:tcPr>
            <w:tcW w:w="992" w:type="dxa"/>
            <w:tcBorders>
              <w:top w:val="nil"/>
              <w:bottom w:val="nil"/>
            </w:tcBorders>
          </w:tcPr>
          <w:p>
            <w:pPr>
              <w:pStyle w:val="0"/>
            </w:pPr>
            <w:r>
              <w:rPr>
                <w:sz w:val="20"/>
              </w:rPr>
              <w:t xml:space="preserve">23,1</w:t>
            </w:r>
          </w:p>
        </w:tc>
        <w:tc>
          <w:tcPr>
            <w:tcW w:w="964" w:type="dxa"/>
            <w:tcBorders>
              <w:top w:val="nil"/>
              <w:bottom w:val="nil"/>
            </w:tcBorders>
          </w:tcPr>
          <w:p>
            <w:pPr>
              <w:pStyle w:val="0"/>
            </w:pPr>
            <w:r>
              <w:rPr>
                <w:sz w:val="20"/>
              </w:rPr>
            </w:r>
          </w:p>
        </w:tc>
        <w:tc>
          <w:tcPr>
            <w:tcW w:w="1134" w:type="dxa"/>
            <w:tcBorders>
              <w:top w:val="nil"/>
              <w:bottom w:val="nil"/>
            </w:tcBorders>
          </w:tcPr>
          <w:p>
            <w:pPr>
              <w:pStyle w:val="0"/>
            </w:pPr>
            <w:r>
              <w:rPr>
                <w:sz w:val="20"/>
              </w:rPr>
              <w:t xml:space="preserve">24,6</w:t>
            </w:r>
          </w:p>
        </w:tc>
        <w:tc>
          <w:tcPr>
            <w:tcW w:w="907" w:type="dxa"/>
            <w:tcBorders>
              <w:top w:val="nil"/>
              <w:bottom w:val="nil"/>
            </w:tcBorders>
          </w:tcPr>
          <w:p>
            <w:pPr>
              <w:pStyle w:val="0"/>
            </w:pPr>
            <w:r>
              <w:rPr>
                <w:sz w:val="20"/>
              </w:rPr>
            </w:r>
          </w:p>
        </w:tc>
      </w:tr>
      <w:tr>
        <w:tc>
          <w:tcPr>
            <w:tcW w:w="3345" w:type="dxa"/>
            <w:tcBorders>
              <w:top w:val="nil"/>
              <w:bottom w:val="nil"/>
            </w:tcBorders>
          </w:tcPr>
          <w:p>
            <w:pPr>
              <w:pStyle w:val="0"/>
            </w:pPr>
            <w:r>
              <w:rPr>
                <w:sz w:val="20"/>
              </w:rPr>
              <w:t xml:space="preserve">из них: от ДТП</w:t>
            </w:r>
          </w:p>
        </w:tc>
        <w:tc>
          <w:tcPr>
            <w:tcW w:w="1205" w:type="dxa"/>
            <w:tcBorders>
              <w:top w:val="nil"/>
              <w:bottom w:val="nil"/>
            </w:tcBorders>
          </w:tcPr>
          <w:p>
            <w:pPr>
              <w:pStyle w:val="0"/>
            </w:pPr>
            <w:r>
              <w:rPr>
                <w:sz w:val="20"/>
              </w:rPr>
              <w:t xml:space="preserve">17,5</w:t>
            </w:r>
          </w:p>
        </w:tc>
        <w:tc>
          <w:tcPr>
            <w:tcW w:w="1077" w:type="dxa"/>
            <w:tcBorders>
              <w:top w:val="nil"/>
              <w:bottom w:val="nil"/>
            </w:tcBorders>
          </w:tcPr>
          <w:p>
            <w:pPr>
              <w:pStyle w:val="0"/>
            </w:pPr>
            <w:r>
              <w:rPr>
                <w:sz w:val="20"/>
              </w:rPr>
              <w:t xml:space="preserve">21,4</w:t>
            </w:r>
          </w:p>
        </w:tc>
        <w:tc>
          <w:tcPr>
            <w:tcW w:w="1120" w:type="dxa"/>
            <w:tcBorders>
              <w:top w:val="nil"/>
              <w:bottom w:val="nil"/>
            </w:tcBorders>
          </w:tcPr>
          <w:p>
            <w:pPr>
              <w:pStyle w:val="0"/>
            </w:pPr>
            <w:r>
              <w:rPr>
                <w:sz w:val="20"/>
              </w:rPr>
              <w:t xml:space="preserve">18,1</w:t>
            </w:r>
          </w:p>
        </w:tc>
        <w:tc>
          <w:tcPr>
            <w:tcW w:w="964"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+3,4</w:t>
            </w:r>
          </w:p>
        </w:tc>
        <w:tc>
          <w:tcPr>
            <w:tcW w:w="992" w:type="dxa"/>
            <w:tcBorders>
              <w:top w:val="nil"/>
              <w:bottom w:val="nil"/>
            </w:tcBorders>
          </w:tcPr>
          <w:p>
            <w:pPr>
              <w:pStyle w:val="0"/>
            </w:pPr>
            <w:r>
              <w:rPr>
                <w:sz w:val="20"/>
              </w:rPr>
              <w:t xml:space="preserve">19,1</w:t>
            </w:r>
          </w:p>
        </w:tc>
        <w:tc>
          <w:tcPr>
            <w:tcW w:w="964" w:type="dxa"/>
            <w:tcBorders>
              <w:top w:val="nil"/>
              <w:bottom w:val="nil"/>
            </w:tcBorders>
          </w:tcPr>
          <w:p>
            <w:pPr>
              <w:pStyle w:val="0"/>
            </w:pPr>
            <w:r>
              <w:rPr>
                <w:sz w:val="20"/>
              </w:rPr>
            </w:r>
          </w:p>
        </w:tc>
        <w:tc>
          <w:tcPr>
            <w:tcW w:w="1134" w:type="dxa"/>
            <w:tcBorders>
              <w:top w:val="nil"/>
              <w:bottom w:val="nil"/>
            </w:tcBorders>
          </w:tcPr>
          <w:p>
            <w:pPr>
              <w:pStyle w:val="0"/>
            </w:pPr>
            <w:r>
              <w:rPr>
                <w:sz w:val="20"/>
              </w:rPr>
              <w:t xml:space="preserve">18,7</w:t>
            </w:r>
          </w:p>
        </w:tc>
        <w:tc>
          <w:tcPr>
            <w:tcW w:w="907" w:type="dxa"/>
            <w:tcBorders>
              <w:top w:val="nil"/>
              <w:bottom w:val="nil"/>
            </w:tcBorders>
          </w:tcPr>
          <w:p>
            <w:pPr>
              <w:pStyle w:val="0"/>
            </w:pPr>
            <w:r>
              <w:rPr>
                <w:sz w:val="20"/>
              </w:rPr>
            </w:r>
          </w:p>
        </w:tc>
      </w:tr>
      <w:tr>
        <w:tc>
          <w:tcPr>
            <w:tcW w:w="3345" w:type="dxa"/>
            <w:tcBorders>
              <w:top w:val="nil"/>
              <w:bottom w:val="nil"/>
            </w:tcBorders>
          </w:tcPr>
          <w:p>
            <w:pPr>
              <w:pStyle w:val="0"/>
            </w:pPr>
            <w:r>
              <w:rPr>
                <w:sz w:val="20"/>
              </w:rPr>
              <w:t xml:space="preserve">случайные отравления алкоголем</w:t>
            </w:r>
          </w:p>
        </w:tc>
        <w:tc>
          <w:tcPr>
            <w:tcW w:w="1205" w:type="dxa"/>
            <w:tcBorders>
              <w:top w:val="nil"/>
              <w:bottom w:val="nil"/>
            </w:tcBorders>
          </w:tcPr>
          <w:p>
            <w:pPr>
              <w:pStyle w:val="0"/>
            </w:pPr>
            <w:r>
              <w:rPr>
                <w:sz w:val="20"/>
              </w:rPr>
              <w:t xml:space="preserve">8,7</w:t>
            </w:r>
          </w:p>
        </w:tc>
        <w:tc>
          <w:tcPr>
            <w:tcW w:w="1077" w:type="dxa"/>
            <w:tcBorders>
              <w:top w:val="nil"/>
              <w:bottom w:val="nil"/>
            </w:tcBorders>
          </w:tcPr>
          <w:p>
            <w:pPr>
              <w:pStyle w:val="0"/>
            </w:pPr>
            <w:r>
              <w:rPr>
                <w:sz w:val="20"/>
              </w:rPr>
              <w:t xml:space="preserve">10,2</w:t>
            </w:r>
          </w:p>
        </w:tc>
        <w:tc>
          <w:tcPr>
            <w:tcW w:w="1120" w:type="dxa"/>
            <w:tcBorders>
              <w:top w:val="nil"/>
              <w:bottom w:val="nil"/>
            </w:tcBorders>
          </w:tcPr>
          <w:p>
            <w:pPr>
              <w:pStyle w:val="0"/>
            </w:pPr>
            <w:r>
              <w:rPr>
                <w:sz w:val="20"/>
              </w:rPr>
              <w:t xml:space="preserve">8,4</w:t>
            </w:r>
          </w:p>
        </w:tc>
        <w:tc>
          <w:tcPr>
            <w:tcW w:w="964"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-3,4</w:t>
            </w:r>
          </w:p>
        </w:tc>
        <w:tc>
          <w:tcPr>
            <w:tcW w:w="992" w:type="dxa"/>
            <w:tcBorders>
              <w:top w:val="nil"/>
              <w:bottom w:val="nil"/>
            </w:tcBorders>
          </w:tcPr>
          <w:p>
            <w:pPr>
              <w:pStyle w:val="0"/>
            </w:pPr>
            <w:r>
              <w:rPr>
                <w:sz w:val="20"/>
              </w:rPr>
              <w:t xml:space="preserve">19,7</w:t>
            </w:r>
          </w:p>
        </w:tc>
        <w:tc>
          <w:tcPr>
            <w:tcW w:w="964" w:type="dxa"/>
            <w:tcBorders>
              <w:top w:val="nil"/>
              <w:bottom w:val="nil"/>
            </w:tcBorders>
          </w:tcPr>
          <w:p>
            <w:pPr>
              <w:pStyle w:val="0"/>
            </w:pPr>
            <w:r>
              <w:rPr>
                <w:sz w:val="20"/>
              </w:rPr>
            </w:r>
          </w:p>
        </w:tc>
        <w:tc>
          <w:tcPr>
            <w:tcW w:w="1134" w:type="dxa"/>
            <w:tcBorders>
              <w:top w:val="nil"/>
              <w:bottom w:val="nil"/>
            </w:tcBorders>
          </w:tcPr>
          <w:p>
            <w:pPr>
              <w:pStyle w:val="0"/>
            </w:pPr>
            <w:r>
              <w:rPr>
                <w:sz w:val="20"/>
              </w:rPr>
              <w:t xml:space="preserve">12,8</w:t>
            </w:r>
          </w:p>
        </w:tc>
        <w:tc>
          <w:tcPr>
            <w:tcW w:w="907" w:type="dxa"/>
            <w:tcBorders>
              <w:top w:val="nil"/>
              <w:bottom w:val="nil"/>
            </w:tcBorders>
          </w:tcPr>
          <w:p>
            <w:pPr>
              <w:pStyle w:val="0"/>
            </w:pPr>
            <w:r>
              <w:rPr>
                <w:sz w:val="20"/>
              </w:rPr>
            </w:r>
          </w:p>
        </w:tc>
      </w:tr>
      <w:tr>
        <w:tc>
          <w:tcPr>
            <w:tcW w:w="3345" w:type="dxa"/>
            <w:tcBorders>
              <w:top w:val="nil"/>
              <w:bottom w:val="nil"/>
            </w:tcBorders>
          </w:tcPr>
          <w:p>
            <w:pPr>
              <w:pStyle w:val="0"/>
            </w:pPr>
            <w:r>
              <w:rPr>
                <w:sz w:val="20"/>
              </w:rPr>
              <w:t xml:space="preserve">самоубийства</w:t>
            </w:r>
          </w:p>
        </w:tc>
        <w:tc>
          <w:tcPr>
            <w:tcW w:w="1205" w:type="dxa"/>
            <w:tcBorders>
              <w:top w:val="nil"/>
              <w:bottom w:val="nil"/>
            </w:tcBorders>
          </w:tcPr>
          <w:p>
            <w:pPr>
              <w:pStyle w:val="0"/>
            </w:pPr>
            <w:r>
              <w:rPr>
                <w:sz w:val="20"/>
              </w:rPr>
              <w:t xml:space="preserve">17,5</w:t>
            </w:r>
          </w:p>
        </w:tc>
        <w:tc>
          <w:tcPr>
            <w:tcW w:w="1077" w:type="dxa"/>
            <w:tcBorders>
              <w:top w:val="nil"/>
              <w:bottom w:val="nil"/>
            </w:tcBorders>
          </w:tcPr>
          <w:p>
            <w:pPr>
              <w:pStyle w:val="0"/>
            </w:pPr>
            <w:r>
              <w:rPr>
                <w:sz w:val="20"/>
              </w:rPr>
              <w:t xml:space="preserve">15,7</w:t>
            </w:r>
          </w:p>
        </w:tc>
        <w:tc>
          <w:tcPr>
            <w:tcW w:w="1120" w:type="dxa"/>
            <w:tcBorders>
              <w:top w:val="nil"/>
              <w:bottom w:val="nil"/>
            </w:tcBorders>
          </w:tcPr>
          <w:p>
            <w:pPr>
              <w:pStyle w:val="0"/>
            </w:pPr>
            <w:r>
              <w:rPr>
                <w:sz w:val="20"/>
              </w:rPr>
              <w:t xml:space="preserve">17,3</w:t>
            </w:r>
          </w:p>
        </w:tc>
        <w:tc>
          <w:tcPr>
            <w:tcW w:w="964"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-1,1</w:t>
            </w:r>
          </w:p>
        </w:tc>
        <w:tc>
          <w:tcPr>
            <w:tcW w:w="992" w:type="dxa"/>
            <w:tcBorders>
              <w:top w:val="nil"/>
              <w:bottom w:val="nil"/>
            </w:tcBorders>
          </w:tcPr>
          <w:p>
            <w:pPr>
              <w:pStyle w:val="0"/>
            </w:pPr>
            <w:r>
              <w:rPr>
                <w:sz w:val="20"/>
              </w:rPr>
              <w:t xml:space="preserve">28,8</w:t>
            </w:r>
          </w:p>
        </w:tc>
        <w:tc>
          <w:tcPr>
            <w:tcW w:w="964" w:type="dxa"/>
            <w:tcBorders>
              <w:top w:val="nil"/>
              <w:bottom w:val="nil"/>
            </w:tcBorders>
          </w:tcPr>
          <w:p>
            <w:pPr>
              <w:pStyle w:val="0"/>
            </w:pPr>
            <w:r>
              <w:rPr>
                <w:sz w:val="20"/>
              </w:rPr>
            </w:r>
          </w:p>
        </w:tc>
        <w:tc>
          <w:tcPr>
            <w:tcW w:w="1134" w:type="dxa"/>
            <w:tcBorders>
              <w:top w:val="nil"/>
              <w:bottom w:val="nil"/>
            </w:tcBorders>
          </w:tcPr>
          <w:p>
            <w:pPr>
              <w:pStyle w:val="0"/>
            </w:pPr>
            <w:r>
              <w:rPr>
                <w:sz w:val="20"/>
              </w:rPr>
              <w:t xml:space="preserve">24,9</w:t>
            </w:r>
          </w:p>
        </w:tc>
        <w:tc>
          <w:tcPr>
            <w:tcW w:w="907" w:type="dxa"/>
            <w:tcBorders>
              <w:top w:val="nil"/>
              <w:bottom w:val="nil"/>
            </w:tcBorders>
          </w:tcPr>
          <w:p>
            <w:pPr>
              <w:pStyle w:val="0"/>
            </w:pPr>
            <w:r>
              <w:rPr>
                <w:sz w:val="20"/>
              </w:rPr>
            </w:r>
          </w:p>
        </w:tc>
      </w:tr>
      <w:tr>
        <w:tc>
          <w:tcPr>
            <w:tcW w:w="3345" w:type="dxa"/>
            <w:tcBorders>
              <w:top w:val="nil"/>
              <w:bottom w:val="nil"/>
            </w:tcBorders>
          </w:tcPr>
          <w:p>
            <w:pPr>
              <w:pStyle w:val="0"/>
            </w:pPr>
            <w:r>
              <w:rPr>
                <w:sz w:val="20"/>
              </w:rPr>
              <w:t xml:space="preserve">убийства</w:t>
            </w:r>
          </w:p>
        </w:tc>
        <w:tc>
          <w:tcPr>
            <w:tcW w:w="1205" w:type="dxa"/>
            <w:tcBorders>
              <w:top w:val="nil"/>
              <w:bottom w:val="nil"/>
            </w:tcBorders>
          </w:tcPr>
          <w:p>
            <w:pPr>
              <w:pStyle w:val="0"/>
            </w:pPr>
            <w:r>
              <w:rPr>
                <w:sz w:val="20"/>
              </w:rPr>
              <w:t xml:space="preserve">8,3</w:t>
            </w:r>
          </w:p>
        </w:tc>
        <w:tc>
          <w:tcPr>
            <w:tcW w:w="1077" w:type="dxa"/>
            <w:tcBorders>
              <w:top w:val="nil"/>
              <w:bottom w:val="nil"/>
            </w:tcBorders>
          </w:tcPr>
          <w:p>
            <w:pPr>
              <w:pStyle w:val="0"/>
            </w:pPr>
            <w:r>
              <w:rPr>
                <w:sz w:val="20"/>
              </w:rPr>
              <w:t xml:space="preserve">8,3</w:t>
            </w:r>
          </w:p>
        </w:tc>
        <w:tc>
          <w:tcPr>
            <w:tcW w:w="1120" w:type="dxa"/>
            <w:tcBorders>
              <w:top w:val="nil"/>
              <w:bottom w:val="nil"/>
            </w:tcBorders>
          </w:tcPr>
          <w:p>
            <w:pPr>
              <w:pStyle w:val="0"/>
            </w:pPr>
            <w:r>
              <w:rPr>
                <w:sz w:val="20"/>
              </w:rPr>
              <w:t xml:space="preserve">8,6</w:t>
            </w:r>
          </w:p>
        </w:tc>
        <w:tc>
          <w:tcPr>
            <w:tcW w:w="964"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+3,6</w:t>
            </w:r>
          </w:p>
        </w:tc>
        <w:tc>
          <w:tcPr>
            <w:tcW w:w="992" w:type="dxa"/>
            <w:tcBorders>
              <w:top w:val="nil"/>
              <w:bottom w:val="nil"/>
            </w:tcBorders>
          </w:tcPr>
          <w:p>
            <w:pPr>
              <w:pStyle w:val="0"/>
            </w:pPr>
            <w:r>
              <w:rPr>
                <w:sz w:val="20"/>
              </w:rPr>
              <w:t xml:space="preserve">14,1</w:t>
            </w:r>
          </w:p>
        </w:tc>
        <w:tc>
          <w:tcPr>
            <w:tcW w:w="964" w:type="dxa"/>
            <w:tcBorders>
              <w:top w:val="nil"/>
              <w:bottom w:val="nil"/>
            </w:tcBorders>
          </w:tcPr>
          <w:p>
            <w:pPr>
              <w:pStyle w:val="0"/>
            </w:pPr>
            <w:r>
              <w:rPr>
                <w:sz w:val="20"/>
              </w:rPr>
            </w:r>
          </w:p>
        </w:tc>
        <w:tc>
          <w:tcPr>
            <w:tcW w:w="1134" w:type="dxa"/>
            <w:tcBorders>
              <w:top w:val="nil"/>
              <w:bottom w:val="nil"/>
            </w:tcBorders>
          </w:tcPr>
          <w:p>
            <w:pPr>
              <w:pStyle w:val="0"/>
            </w:pPr>
            <w:r>
              <w:rPr>
                <w:sz w:val="20"/>
              </w:rPr>
              <w:t xml:space="preserve">11,0</w:t>
            </w:r>
          </w:p>
        </w:tc>
        <w:tc>
          <w:tcPr>
            <w:tcW w:w="907" w:type="dxa"/>
            <w:tcBorders>
              <w:top w:val="nil"/>
              <w:bottom w:val="nil"/>
            </w:tcBorders>
          </w:tcPr>
          <w:p>
            <w:pPr>
              <w:pStyle w:val="0"/>
            </w:pPr>
            <w:r>
              <w:rPr>
                <w:sz w:val="20"/>
              </w:rPr>
            </w:r>
          </w:p>
        </w:tc>
      </w:tr>
      <w:tr>
        <w:tc>
          <w:tcPr>
            <w:tcW w:w="3345" w:type="dxa"/>
            <w:tcBorders>
              <w:top w:val="nil"/>
              <w:bottom w:val="single" w:sz="4"/>
            </w:tcBorders>
          </w:tcPr>
          <w:p>
            <w:pPr>
              <w:pStyle w:val="0"/>
            </w:pPr>
            <w:r>
              <w:rPr>
                <w:sz w:val="20"/>
              </w:rPr>
              <w:t xml:space="preserve">воздействие алкоголем с неопределенными намерениями</w:t>
            </w:r>
          </w:p>
        </w:tc>
        <w:tc>
          <w:tcPr>
            <w:tcW w:w="1205" w:type="dxa"/>
            <w:tcBorders>
              <w:top w:val="nil"/>
              <w:bottom w:val="single" w:sz="4"/>
            </w:tcBorders>
          </w:tcPr>
          <w:p>
            <w:pPr>
              <w:pStyle w:val="0"/>
            </w:pPr>
            <w:r>
              <w:rPr>
                <w:sz w:val="20"/>
              </w:rPr>
              <w:t xml:space="preserve">8,5</w:t>
            </w:r>
          </w:p>
        </w:tc>
        <w:tc>
          <w:tcPr>
            <w:tcW w:w="1077" w:type="dxa"/>
            <w:tcBorders>
              <w:top w:val="nil"/>
              <w:bottom w:val="single" w:sz="4"/>
            </w:tcBorders>
          </w:tcPr>
          <w:p>
            <w:pPr>
              <w:pStyle w:val="0"/>
            </w:pPr>
            <w:r>
              <w:rPr>
                <w:sz w:val="20"/>
              </w:rPr>
              <w:t xml:space="preserve">5,5</w:t>
            </w:r>
          </w:p>
        </w:tc>
        <w:tc>
          <w:tcPr>
            <w:tcW w:w="1120" w:type="dxa"/>
            <w:tcBorders>
              <w:top w:val="nil"/>
              <w:bottom w:val="single" w:sz="4"/>
            </w:tcBorders>
          </w:tcPr>
          <w:p>
            <w:pPr>
              <w:pStyle w:val="0"/>
            </w:pPr>
            <w:r>
              <w:rPr>
                <w:sz w:val="20"/>
              </w:rPr>
              <w:t xml:space="preserve">11,2</w:t>
            </w:r>
          </w:p>
        </w:tc>
        <w:tc>
          <w:tcPr>
            <w:tcW w:w="964" w:type="dxa"/>
            <w:tcBorders>
              <w:top w:val="nil"/>
              <w:bottom w:val="single" w:sz="4"/>
            </w:tcBorders>
          </w:tcPr>
          <w:p>
            <w:pPr>
              <w:pStyle w:val="0"/>
            </w:pPr>
            <w:r>
              <w:rPr>
                <w:sz w:val="20"/>
              </w:rPr>
            </w:r>
          </w:p>
        </w:tc>
        <w:tc>
          <w:tcPr>
            <w:tcW w:w="1020" w:type="dxa"/>
            <w:tcBorders>
              <w:top w:val="nil"/>
              <w:bottom w:val="single" w:sz="4"/>
            </w:tcBorders>
          </w:tcPr>
          <w:p>
            <w:pPr>
              <w:pStyle w:val="0"/>
            </w:pPr>
            <w:r>
              <w:rPr>
                <w:sz w:val="20"/>
              </w:rPr>
              <w:t xml:space="preserve">+31,8</w:t>
            </w:r>
          </w:p>
        </w:tc>
        <w:tc>
          <w:tcPr>
            <w:tcW w:w="992" w:type="dxa"/>
            <w:tcBorders>
              <w:top w:val="nil"/>
              <w:bottom w:val="single" w:sz="4"/>
            </w:tcBorders>
          </w:tcPr>
          <w:p>
            <w:pPr>
              <w:pStyle w:val="0"/>
            </w:pPr>
            <w:r>
              <w:rPr>
                <w:sz w:val="20"/>
              </w:rPr>
              <w:t xml:space="preserve">6,0</w:t>
            </w:r>
          </w:p>
        </w:tc>
        <w:tc>
          <w:tcPr>
            <w:tcW w:w="964" w:type="dxa"/>
            <w:tcBorders>
              <w:top w:val="nil"/>
              <w:bottom w:val="single" w:sz="4"/>
            </w:tcBorders>
          </w:tcPr>
          <w:p>
            <w:pPr>
              <w:pStyle w:val="0"/>
            </w:pPr>
            <w:r>
              <w:rPr>
                <w:sz w:val="20"/>
              </w:rPr>
            </w:r>
          </w:p>
        </w:tc>
        <w:tc>
          <w:tcPr>
            <w:tcW w:w="1134" w:type="dxa"/>
            <w:tcBorders>
              <w:top w:val="nil"/>
              <w:bottom w:val="single" w:sz="4"/>
            </w:tcBorders>
          </w:tcPr>
          <w:p>
            <w:pPr>
              <w:pStyle w:val="0"/>
            </w:pPr>
            <w:r>
              <w:rPr>
                <w:sz w:val="20"/>
              </w:rPr>
              <w:t xml:space="preserve">4,0</w:t>
            </w:r>
          </w:p>
        </w:tc>
        <w:tc>
          <w:tcPr>
            <w:tcW w:w="907" w:type="dxa"/>
            <w:tcBorders>
              <w:top w:val="nil"/>
              <w:bottom w:val="single" w:sz="4"/>
            </w:tcBorders>
          </w:tcPr>
          <w:p>
            <w:pPr>
              <w:pStyle w:val="0"/>
            </w:pPr>
            <w:r>
              <w:rPr>
                <w:sz w:val="20"/>
              </w:rPr>
            </w:r>
          </w:p>
        </w:tc>
      </w:tr>
      <w:tr>
        <w:tblPrEx>
          <w:tblBorders>
            <w:insideH w:val="single" w:sz="4"/>
          </w:tblBorders>
        </w:tblPrEx>
        <w:tc>
          <w:tcPr>
            <w:tcW w:w="3345" w:type="dxa"/>
            <w:tcBorders>
              <w:top w:val="single" w:sz="4"/>
              <w:bottom w:val="single" w:sz="4"/>
            </w:tcBorders>
          </w:tcPr>
          <w:p>
            <w:pPr>
              <w:pStyle w:val="0"/>
            </w:pPr>
            <w:r>
              <w:rPr>
                <w:sz w:val="20"/>
              </w:rPr>
              <w:t xml:space="preserve">COVID-19</w:t>
            </w:r>
          </w:p>
        </w:tc>
        <w:tc>
          <w:tcPr>
            <w:tcW w:w="1205" w:type="dxa"/>
            <w:tcBorders>
              <w:top w:val="single" w:sz="4"/>
              <w:bottom w:val="single" w:sz="4"/>
            </w:tcBorders>
          </w:tcPr>
          <w:p>
            <w:pPr>
              <w:pStyle w:val="0"/>
            </w:pPr>
            <w:r>
              <w:rPr>
                <w:sz w:val="20"/>
              </w:rPr>
              <w:t xml:space="preserve">х</w:t>
            </w:r>
          </w:p>
        </w:tc>
        <w:tc>
          <w:tcPr>
            <w:tcW w:w="1077" w:type="dxa"/>
            <w:tcBorders>
              <w:top w:val="single" w:sz="4"/>
              <w:bottom w:val="single" w:sz="4"/>
            </w:tcBorders>
          </w:tcPr>
          <w:p>
            <w:pPr>
              <w:pStyle w:val="0"/>
            </w:pPr>
            <w:r>
              <w:rPr>
                <w:sz w:val="20"/>
              </w:rPr>
              <w:t xml:space="preserve">х</w:t>
            </w:r>
          </w:p>
        </w:tc>
        <w:tc>
          <w:tcPr>
            <w:tcW w:w="1120" w:type="dxa"/>
            <w:tcBorders>
              <w:top w:val="single" w:sz="4"/>
              <w:bottom w:val="single" w:sz="4"/>
            </w:tcBorders>
          </w:tcPr>
          <w:p>
            <w:pPr>
              <w:pStyle w:val="0"/>
            </w:pPr>
            <w:r>
              <w:rPr>
                <w:sz w:val="20"/>
              </w:rPr>
              <w:t xml:space="preserve">27,0</w:t>
            </w:r>
          </w:p>
        </w:tc>
        <w:tc>
          <w:tcPr>
            <w:tcW w:w="964" w:type="dxa"/>
            <w:tcBorders>
              <w:top w:val="single" w:sz="4"/>
              <w:bottom w:val="single" w:sz="4"/>
            </w:tcBorders>
          </w:tcPr>
          <w:p>
            <w:pPr>
              <w:pStyle w:val="0"/>
            </w:pPr>
            <w:r>
              <w:rPr>
                <w:sz w:val="20"/>
              </w:rPr>
              <w:t xml:space="preserve">4,2</w:t>
            </w:r>
          </w:p>
        </w:tc>
        <w:tc>
          <w:tcPr>
            <w:tcW w:w="1020" w:type="dxa"/>
            <w:tcBorders>
              <w:top w:val="single" w:sz="4"/>
              <w:bottom w:val="single" w:sz="4"/>
            </w:tcBorders>
          </w:tcPr>
          <w:p>
            <w:pPr>
              <w:pStyle w:val="0"/>
            </w:pPr>
            <w:r>
              <w:rPr>
                <w:sz w:val="20"/>
              </w:rPr>
            </w:r>
          </w:p>
        </w:tc>
        <w:tc>
          <w:tcPr>
            <w:tcW w:w="992" w:type="dxa"/>
            <w:tcBorders>
              <w:top w:val="single" w:sz="4"/>
              <w:bottom w:val="single" w:sz="4"/>
            </w:tcBorders>
          </w:tcPr>
          <w:p>
            <w:pPr>
              <w:pStyle w:val="0"/>
            </w:pPr>
            <w:r>
              <w:rPr>
                <w:sz w:val="20"/>
              </w:rPr>
              <w:t xml:space="preserve">х</w:t>
            </w:r>
          </w:p>
        </w:tc>
        <w:tc>
          <w:tcPr>
            <w:tcW w:w="964" w:type="dxa"/>
            <w:tcBorders>
              <w:top w:val="single" w:sz="4"/>
              <w:bottom w:val="single" w:sz="4"/>
            </w:tcBorders>
          </w:tcPr>
          <w:p>
            <w:pPr>
              <w:pStyle w:val="0"/>
            </w:pPr>
            <w:r>
              <w:rPr>
                <w:sz w:val="20"/>
              </w:rPr>
            </w:r>
          </w:p>
        </w:tc>
        <w:tc>
          <w:tcPr>
            <w:tcW w:w="1134" w:type="dxa"/>
            <w:tcBorders>
              <w:top w:val="single" w:sz="4"/>
              <w:bottom w:val="single" w:sz="4"/>
            </w:tcBorders>
          </w:tcPr>
          <w:p>
            <w:pPr>
              <w:pStyle w:val="0"/>
            </w:pPr>
            <w:r>
              <w:rPr>
                <w:sz w:val="20"/>
              </w:rPr>
              <w:t xml:space="preserve">х</w:t>
            </w:r>
          </w:p>
        </w:tc>
        <w:tc>
          <w:tcPr>
            <w:tcW w:w="907" w:type="dxa"/>
            <w:tcBorders>
              <w:top w:val="single" w:sz="4"/>
              <w:bottom w:val="single" w:sz="4"/>
            </w:tcBorders>
          </w:tcPr>
          <w:p>
            <w:pPr>
              <w:pStyle w:val="0"/>
            </w:pPr>
            <w:r>
              <w:rPr>
                <w:sz w:val="20"/>
              </w:rPr>
            </w:r>
          </w:p>
        </w:tc>
      </w:tr>
      <w:tr>
        <w:tblPrEx>
          <w:tblBorders>
            <w:insideH w:val="single" w:sz="4"/>
          </w:tblBorders>
        </w:tblPrEx>
        <w:tc>
          <w:tcPr>
            <w:tcW w:w="3345" w:type="dxa"/>
            <w:tcBorders>
              <w:top w:val="single" w:sz="4"/>
              <w:bottom w:val="single" w:sz="4"/>
            </w:tcBorders>
          </w:tcPr>
          <w:p>
            <w:pPr>
              <w:pStyle w:val="0"/>
            </w:pPr>
            <w:r>
              <w:rPr>
                <w:sz w:val="20"/>
              </w:rPr>
              <w:t xml:space="preserve">Прочие классы заболеваний</w:t>
            </w:r>
          </w:p>
        </w:tc>
        <w:tc>
          <w:tcPr>
            <w:tcW w:w="1205" w:type="dxa"/>
            <w:tcBorders>
              <w:top w:val="single" w:sz="4"/>
              <w:bottom w:val="single" w:sz="4"/>
            </w:tcBorders>
          </w:tcPr>
          <w:p>
            <w:pPr>
              <w:pStyle w:val="0"/>
            </w:pPr>
            <w:r>
              <w:rPr>
                <w:sz w:val="20"/>
              </w:rPr>
              <w:t xml:space="preserve">46,6</w:t>
            </w:r>
          </w:p>
        </w:tc>
        <w:tc>
          <w:tcPr>
            <w:tcW w:w="1077" w:type="dxa"/>
            <w:tcBorders>
              <w:top w:val="single" w:sz="4"/>
              <w:bottom w:val="single" w:sz="4"/>
            </w:tcBorders>
          </w:tcPr>
          <w:p>
            <w:pPr>
              <w:pStyle w:val="0"/>
            </w:pPr>
            <w:r>
              <w:rPr>
                <w:sz w:val="20"/>
              </w:rPr>
              <w:t xml:space="preserve">51,2</w:t>
            </w:r>
          </w:p>
        </w:tc>
        <w:tc>
          <w:tcPr>
            <w:tcW w:w="1120" w:type="dxa"/>
            <w:tcBorders>
              <w:top w:val="single" w:sz="4"/>
              <w:bottom w:val="single" w:sz="4"/>
            </w:tcBorders>
          </w:tcPr>
          <w:p>
            <w:pPr>
              <w:pStyle w:val="0"/>
            </w:pPr>
            <w:r>
              <w:rPr>
                <w:sz w:val="20"/>
              </w:rPr>
              <w:t xml:space="preserve">63,0</w:t>
            </w:r>
          </w:p>
        </w:tc>
        <w:tc>
          <w:tcPr>
            <w:tcW w:w="964" w:type="dxa"/>
            <w:tcBorders>
              <w:top w:val="single" w:sz="4"/>
              <w:bottom w:val="single" w:sz="4"/>
            </w:tcBorders>
          </w:tcPr>
          <w:p>
            <w:pPr>
              <w:pStyle w:val="0"/>
            </w:pPr>
            <w:r>
              <w:rPr>
                <w:sz w:val="20"/>
              </w:rPr>
              <w:t xml:space="preserve">9,7</w:t>
            </w:r>
          </w:p>
        </w:tc>
        <w:tc>
          <w:tcPr>
            <w:tcW w:w="1020" w:type="dxa"/>
            <w:tcBorders>
              <w:top w:val="single" w:sz="4"/>
              <w:bottom w:val="single" w:sz="4"/>
            </w:tcBorders>
          </w:tcPr>
          <w:p>
            <w:pPr>
              <w:pStyle w:val="0"/>
            </w:pPr>
            <w:r>
              <w:rPr>
                <w:sz w:val="20"/>
              </w:rPr>
              <w:t xml:space="preserve">+93,1</w:t>
            </w:r>
          </w:p>
        </w:tc>
        <w:tc>
          <w:tcPr>
            <w:tcW w:w="992" w:type="dxa"/>
            <w:tcBorders>
              <w:top w:val="single" w:sz="4"/>
              <w:bottom w:val="single" w:sz="4"/>
            </w:tcBorders>
          </w:tcPr>
          <w:p>
            <w:pPr>
              <w:pStyle w:val="0"/>
            </w:pPr>
            <w:r>
              <w:rPr>
                <w:sz w:val="20"/>
              </w:rPr>
              <w:t xml:space="preserve">59,3</w:t>
            </w:r>
          </w:p>
        </w:tc>
        <w:tc>
          <w:tcPr>
            <w:tcW w:w="964" w:type="dxa"/>
            <w:tcBorders>
              <w:top w:val="single" w:sz="4"/>
              <w:bottom w:val="single" w:sz="4"/>
            </w:tcBorders>
          </w:tcPr>
          <w:p>
            <w:pPr>
              <w:pStyle w:val="0"/>
            </w:pPr>
            <w:r>
              <w:rPr>
                <w:sz w:val="20"/>
              </w:rPr>
              <w:t xml:space="preserve">7,8</w:t>
            </w:r>
          </w:p>
        </w:tc>
        <w:tc>
          <w:tcPr>
            <w:tcW w:w="1134" w:type="dxa"/>
            <w:tcBorders>
              <w:top w:val="single" w:sz="4"/>
              <w:bottom w:val="single" w:sz="4"/>
            </w:tcBorders>
          </w:tcPr>
          <w:p>
            <w:pPr>
              <w:pStyle w:val="0"/>
            </w:pPr>
            <w:r>
              <w:rPr>
                <w:sz w:val="20"/>
              </w:rPr>
              <w:t xml:space="preserve">73,7</w:t>
            </w:r>
          </w:p>
        </w:tc>
        <w:tc>
          <w:tcPr>
            <w:tcW w:w="907" w:type="dxa"/>
            <w:tcBorders>
              <w:top w:val="single" w:sz="4"/>
              <w:bottom w:val="single" w:sz="4"/>
            </w:tcBorders>
          </w:tcPr>
          <w:p>
            <w:pPr>
              <w:pStyle w:val="0"/>
            </w:pPr>
            <w:r>
              <w:rPr>
                <w:sz w:val="20"/>
              </w:rPr>
              <w:t xml:space="preserve">10,4</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23371" w:name="P23371"/>
    <w:bookmarkEnd w:id="23371"/>
    <w:p>
      <w:pPr>
        <w:pStyle w:val="0"/>
        <w:spacing w:before="200" w:line-rule="auto"/>
        <w:ind w:firstLine="540"/>
        <w:jc w:val="both"/>
      </w:pPr>
      <w:r>
        <w:rPr>
          <w:sz w:val="20"/>
        </w:rPr>
        <w:t xml:space="preserve">&lt;*&gt; С учетом изменения возрастного периода трудоспособности с 2020 года.</w:t>
      </w:r>
    </w:p>
    <w:p>
      <w:pPr>
        <w:pStyle w:val="0"/>
        <w:ind w:firstLine="540"/>
        <w:jc w:val="both"/>
      </w:pPr>
      <w:r>
        <w:rPr>
          <w:sz w:val="20"/>
        </w:rPr>
      </w:r>
    </w:p>
    <w:p>
      <w:pPr>
        <w:pStyle w:val="0"/>
        <w:outlineLvl w:val="3"/>
        <w:jc w:val="right"/>
      </w:pPr>
      <w:r>
        <w:rPr>
          <w:sz w:val="20"/>
        </w:rPr>
        <w:t xml:space="preserve">Таблица 12</w:t>
      </w:r>
    </w:p>
    <w:p>
      <w:pPr>
        <w:pStyle w:val="0"/>
        <w:jc w:val="right"/>
      </w:pPr>
      <w:r>
        <w:rPr>
          <w:sz w:val="20"/>
        </w:rPr>
      </w:r>
    </w:p>
    <w:p>
      <w:pPr>
        <w:pStyle w:val="2"/>
        <w:jc w:val="center"/>
      </w:pPr>
      <w:r>
        <w:rPr>
          <w:sz w:val="20"/>
        </w:rPr>
        <w:t xml:space="preserve">Общая смертность в трудоспособном возрасте по классам</w:t>
      </w:r>
    </w:p>
    <w:p>
      <w:pPr>
        <w:pStyle w:val="2"/>
        <w:jc w:val="center"/>
      </w:pPr>
      <w:r>
        <w:rPr>
          <w:sz w:val="20"/>
        </w:rPr>
        <w:t xml:space="preserve">заболеваний на 100 000 населения соответствующего возраста</w:t>
      </w:r>
    </w:p>
    <w:p>
      <w:pPr>
        <w:pStyle w:val="2"/>
        <w:jc w:val="center"/>
      </w:pPr>
      <w:r>
        <w:rPr>
          <w:sz w:val="20"/>
        </w:rPr>
        <w:t xml:space="preserve">и пола</w:t>
      </w:r>
    </w:p>
    <w:p>
      <w:pPr>
        <w:pStyle w:val="2"/>
        <w:jc w:val="center"/>
      </w:pPr>
      <w:r>
        <w:rPr>
          <w:sz w:val="20"/>
        </w:rPr>
        <w:t xml:space="preserve">Женщины &lt;*&gt; 16 - 55 лет с 2020 &lt;*&gt; года</w:t>
      </w:r>
    </w:p>
    <w:p>
      <w:pPr>
        <w:pStyle w:val="0"/>
        <w:jc w:val="center"/>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231"/>
        <w:gridCol w:w="964"/>
        <w:gridCol w:w="964"/>
        <w:gridCol w:w="1120"/>
        <w:gridCol w:w="1020"/>
        <w:gridCol w:w="1020"/>
        <w:gridCol w:w="992"/>
        <w:gridCol w:w="850"/>
        <w:gridCol w:w="992"/>
        <w:gridCol w:w="850"/>
      </w:tblGrid>
      <w:tr>
        <w:tblPrEx>
          <w:tblBorders>
            <w:insideH w:val="single" w:sz="4"/>
          </w:tblBorders>
        </w:tblPrEx>
        <w:tc>
          <w:tcPr>
            <w:tcW w:w="3231" w:type="dxa"/>
            <w:tcBorders>
              <w:top w:val="single" w:sz="4"/>
              <w:bottom w:val="single" w:sz="4"/>
            </w:tcBorders>
          </w:tcPr>
          <w:p>
            <w:pPr>
              <w:pStyle w:val="0"/>
              <w:jc w:val="center"/>
            </w:pPr>
            <w:r>
              <w:rPr>
                <w:sz w:val="20"/>
              </w:rPr>
              <w:t xml:space="preserve">Название классов</w:t>
            </w:r>
          </w:p>
        </w:tc>
        <w:tc>
          <w:tcPr>
            <w:tcW w:w="964" w:type="dxa"/>
            <w:tcBorders>
              <w:top w:val="single" w:sz="4"/>
              <w:bottom w:val="single" w:sz="4"/>
            </w:tcBorders>
          </w:tcPr>
          <w:p>
            <w:pPr>
              <w:pStyle w:val="0"/>
              <w:jc w:val="center"/>
            </w:pPr>
            <w:r>
              <w:rPr>
                <w:sz w:val="20"/>
              </w:rPr>
              <w:t xml:space="preserve">По Ханты-Мансийскому автономному округу - Югре 2018 год</w:t>
            </w:r>
          </w:p>
        </w:tc>
        <w:tc>
          <w:tcPr>
            <w:tcW w:w="964" w:type="dxa"/>
            <w:tcBorders>
              <w:top w:val="single" w:sz="4"/>
              <w:bottom w:val="single" w:sz="4"/>
            </w:tcBorders>
          </w:tcPr>
          <w:p>
            <w:pPr>
              <w:pStyle w:val="0"/>
              <w:jc w:val="center"/>
            </w:pPr>
            <w:r>
              <w:rPr>
                <w:sz w:val="20"/>
              </w:rPr>
              <w:t xml:space="preserve">По Ханты-Мансийскому автономному округу - Югре 2019 год</w:t>
            </w:r>
          </w:p>
        </w:tc>
        <w:tc>
          <w:tcPr>
            <w:tcW w:w="1120" w:type="dxa"/>
            <w:tcBorders>
              <w:top w:val="single" w:sz="4"/>
              <w:bottom w:val="single" w:sz="4"/>
            </w:tcBorders>
          </w:tcPr>
          <w:p>
            <w:pPr>
              <w:pStyle w:val="0"/>
              <w:jc w:val="center"/>
            </w:pPr>
            <w:r>
              <w:rPr>
                <w:sz w:val="20"/>
              </w:rPr>
              <w:t xml:space="preserve">По Ханты-Мансийскому автономному округу - Югре </w:t>
            </w:r>
            <w:hyperlink w:history="0" w:anchor="P23582" w:tooltip="&lt;*&gt; С учетом изменения возрастного периода трудоспособности с 2020 года.">
              <w:r>
                <w:rPr>
                  <w:sz w:val="20"/>
                  <w:color w:val="0000ff"/>
                </w:rPr>
                <w:t xml:space="preserve">&lt;*&gt;</w:t>
              </w:r>
            </w:hyperlink>
            <w:r>
              <w:rPr>
                <w:sz w:val="20"/>
              </w:rPr>
              <w:t xml:space="preserve"> 2020 год</w:t>
            </w:r>
          </w:p>
        </w:tc>
        <w:tc>
          <w:tcPr>
            <w:tcW w:w="1020" w:type="dxa"/>
            <w:tcBorders>
              <w:top w:val="single" w:sz="4"/>
              <w:bottom w:val="single" w:sz="4"/>
            </w:tcBorders>
          </w:tcPr>
          <w:p>
            <w:pPr>
              <w:pStyle w:val="0"/>
              <w:jc w:val="center"/>
            </w:pPr>
            <w:r>
              <w:rPr>
                <w:sz w:val="20"/>
              </w:rPr>
              <w:t xml:space="preserve">Удельный вес в 2020 по классам, %</w:t>
            </w:r>
          </w:p>
        </w:tc>
        <w:tc>
          <w:tcPr>
            <w:tcW w:w="1020" w:type="dxa"/>
            <w:tcBorders>
              <w:top w:val="single" w:sz="4"/>
              <w:bottom w:val="single" w:sz="4"/>
            </w:tcBorders>
          </w:tcPr>
          <w:p>
            <w:pPr>
              <w:pStyle w:val="0"/>
              <w:jc w:val="center"/>
            </w:pPr>
            <w:r>
              <w:rPr>
                <w:sz w:val="20"/>
              </w:rPr>
              <w:t xml:space="preserve">Темп прироста 2018 - 2020 в % (+/-)</w:t>
            </w:r>
          </w:p>
        </w:tc>
        <w:tc>
          <w:tcPr>
            <w:tcW w:w="992" w:type="dxa"/>
            <w:tcBorders>
              <w:top w:val="single" w:sz="4"/>
              <w:bottom w:val="single" w:sz="4"/>
            </w:tcBorders>
          </w:tcPr>
          <w:p>
            <w:pPr>
              <w:pStyle w:val="0"/>
              <w:jc w:val="center"/>
            </w:pPr>
            <w:r>
              <w:rPr>
                <w:sz w:val="20"/>
              </w:rPr>
              <w:t xml:space="preserve">по Уральскому федеральному округу 2019 год</w:t>
            </w:r>
          </w:p>
        </w:tc>
        <w:tc>
          <w:tcPr>
            <w:tcW w:w="850" w:type="dxa"/>
            <w:tcBorders>
              <w:top w:val="single" w:sz="4"/>
              <w:bottom w:val="single" w:sz="4"/>
            </w:tcBorders>
          </w:tcPr>
          <w:p>
            <w:pPr>
              <w:pStyle w:val="0"/>
              <w:jc w:val="center"/>
            </w:pPr>
            <w:r>
              <w:rPr>
                <w:sz w:val="20"/>
              </w:rPr>
              <w:t xml:space="preserve">Удельный вес по классам, %</w:t>
            </w:r>
          </w:p>
        </w:tc>
        <w:tc>
          <w:tcPr>
            <w:tcW w:w="992" w:type="dxa"/>
            <w:tcBorders>
              <w:top w:val="single" w:sz="4"/>
              <w:bottom w:val="single" w:sz="4"/>
            </w:tcBorders>
          </w:tcPr>
          <w:p>
            <w:pPr>
              <w:pStyle w:val="0"/>
              <w:jc w:val="center"/>
            </w:pPr>
            <w:r>
              <w:rPr>
                <w:sz w:val="20"/>
              </w:rPr>
              <w:t xml:space="preserve">по России 2019 год</w:t>
            </w:r>
          </w:p>
        </w:tc>
        <w:tc>
          <w:tcPr>
            <w:tcW w:w="850" w:type="dxa"/>
            <w:tcBorders>
              <w:top w:val="single" w:sz="4"/>
              <w:bottom w:val="single" w:sz="4"/>
            </w:tcBorders>
          </w:tcPr>
          <w:p>
            <w:pPr>
              <w:pStyle w:val="0"/>
              <w:jc w:val="center"/>
            </w:pPr>
            <w:r>
              <w:rPr>
                <w:sz w:val="20"/>
              </w:rPr>
              <w:t xml:space="preserve">Удельный вес по классам, %</w:t>
            </w:r>
          </w:p>
        </w:tc>
      </w:tr>
      <w:tr>
        <w:tblPrEx>
          <w:tblBorders>
            <w:insideH w:val="single" w:sz="4"/>
          </w:tblBorders>
        </w:tblPrEx>
        <w:tc>
          <w:tcPr>
            <w:tcW w:w="3231" w:type="dxa"/>
            <w:tcBorders>
              <w:top w:val="single" w:sz="4"/>
              <w:bottom w:val="single" w:sz="4"/>
            </w:tcBorders>
          </w:tcPr>
          <w:p>
            <w:pPr>
              <w:pStyle w:val="0"/>
            </w:pPr>
            <w:r>
              <w:rPr>
                <w:sz w:val="20"/>
              </w:rPr>
              <w:t xml:space="preserve">От всех причин</w:t>
            </w:r>
          </w:p>
        </w:tc>
        <w:tc>
          <w:tcPr>
            <w:tcW w:w="964" w:type="dxa"/>
            <w:tcBorders>
              <w:top w:val="single" w:sz="4"/>
              <w:bottom w:val="single" w:sz="4"/>
            </w:tcBorders>
          </w:tcPr>
          <w:p>
            <w:pPr>
              <w:pStyle w:val="0"/>
            </w:pPr>
            <w:r>
              <w:rPr>
                <w:sz w:val="20"/>
              </w:rPr>
              <w:t xml:space="preserve">167,2</w:t>
            </w:r>
          </w:p>
        </w:tc>
        <w:tc>
          <w:tcPr>
            <w:tcW w:w="964" w:type="dxa"/>
            <w:tcBorders>
              <w:top w:val="single" w:sz="4"/>
              <w:bottom w:val="single" w:sz="4"/>
            </w:tcBorders>
          </w:tcPr>
          <w:p>
            <w:pPr>
              <w:pStyle w:val="0"/>
            </w:pPr>
            <w:r>
              <w:rPr>
                <w:sz w:val="20"/>
              </w:rPr>
              <w:t xml:space="preserve">152,1</w:t>
            </w:r>
          </w:p>
        </w:tc>
        <w:tc>
          <w:tcPr>
            <w:tcW w:w="1120" w:type="dxa"/>
            <w:tcBorders>
              <w:top w:val="single" w:sz="4"/>
              <w:bottom w:val="single" w:sz="4"/>
            </w:tcBorders>
          </w:tcPr>
          <w:p>
            <w:pPr>
              <w:pStyle w:val="0"/>
            </w:pPr>
            <w:r>
              <w:rPr>
                <w:sz w:val="20"/>
              </w:rPr>
              <w:t xml:space="preserve">192,5</w:t>
            </w:r>
          </w:p>
        </w:tc>
        <w:tc>
          <w:tcPr>
            <w:tcW w:w="1020" w:type="dxa"/>
            <w:tcBorders>
              <w:top w:val="single" w:sz="4"/>
              <w:bottom w:val="single" w:sz="4"/>
            </w:tcBorders>
          </w:tcPr>
          <w:p>
            <w:pPr>
              <w:pStyle w:val="0"/>
            </w:pPr>
            <w:r>
              <w:rPr>
                <w:sz w:val="20"/>
              </w:rPr>
              <w:t xml:space="preserve">100,0</w:t>
            </w:r>
          </w:p>
        </w:tc>
        <w:tc>
          <w:tcPr>
            <w:tcW w:w="1020" w:type="dxa"/>
            <w:tcBorders>
              <w:top w:val="single" w:sz="4"/>
              <w:bottom w:val="single" w:sz="4"/>
            </w:tcBorders>
          </w:tcPr>
          <w:p>
            <w:pPr>
              <w:pStyle w:val="0"/>
            </w:pPr>
            <w:r>
              <w:rPr>
                <w:sz w:val="20"/>
              </w:rPr>
              <w:t xml:space="preserve">+15,1</w:t>
            </w:r>
          </w:p>
        </w:tc>
        <w:tc>
          <w:tcPr>
            <w:tcW w:w="992" w:type="dxa"/>
            <w:tcBorders>
              <w:top w:val="single" w:sz="4"/>
              <w:bottom w:val="single" w:sz="4"/>
            </w:tcBorders>
          </w:tcPr>
          <w:p>
            <w:pPr>
              <w:pStyle w:val="0"/>
            </w:pPr>
            <w:r>
              <w:rPr>
                <w:sz w:val="20"/>
              </w:rPr>
              <w:t xml:space="preserve">226,6</w:t>
            </w:r>
          </w:p>
        </w:tc>
        <w:tc>
          <w:tcPr>
            <w:tcW w:w="850" w:type="dxa"/>
            <w:tcBorders>
              <w:top w:val="single" w:sz="4"/>
              <w:bottom w:val="single" w:sz="4"/>
            </w:tcBorders>
          </w:tcPr>
          <w:p>
            <w:pPr>
              <w:pStyle w:val="0"/>
            </w:pPr>
            <w:r>
              <w:rPr>
                <w:sz w:val="20"/>
              </w:rPr>
              <w:t xml:space="preserve">100,0</w:t>
            </w:r>
          </w:p>
        </w:tc>
        <w:tc>
          <w:tcPr>
            <w:tcW w:w="992" w:type="dxa"/>
            <w:tcBorders>
              <w:top w:val="single" w:sz="4"/>
              <w:bottom w:val="single" w:sz="4"/>
            </w:tcBorders>
          </w:tcPr>
          <w:p>
            <w:pPr>
              <w:pStyle w:val="0"/>
            </w:pPr>
            <w:r>
              <w:rPr>
                <w:sz w:val="20"/>
              </w:rPr>
              <w:t xml:space="preserve">207,6</w:t>
            </w:r>
          </w:p>
        </w:tc>
        <w:tc>
          <w:tcPr>
            <w:tcW w:w="850" w:type="dxa"/>
            <w:tcBorders>
              <w:top w:val="single" w:sz="4"/>
              <w:bottom w:val="single" w:sz="4"/>
            </w:tcBorders>
          </w:tcPr>
          <w:p>
            <w:pPr>
              <w:pStyle w:val="0"/>
            </w:pPr>
            <w:r>
              <w:rPr>
                <w:sz w:val="20"/>
              </w:rPr>
              <w:t xml:space="preserve">100,0</w:t>
            </w:r>
          </w:p>
        </w:tc>
      </w:tr>
      <w:tr>
        <w:tc>
          <w:tcPr>
            <w:tcW w:w="3231" w:type="dxa"/>
            <w:tcBorders>
              <w:top w:val="single" w:sz="4"/>
              <w:bottom w:val="nil"/>
            </w:tcBorders>
          </w:tcPr>
          <w:p>
            <w:pPr>
              <w:pStyle w:val="0"/>
            </w:pPr>
            <w:r>
              <w:rPr>
                <w:sz w:val="20"/>
              </w:rPr>
              <w:t xml:space="preserve">Некоторые инфекционные и паразитарные болезни</w:t>
            </w:r>
          </w:p>
        </w:tc>
        <w:tc>
          <w:tcPr>
            <w:tcW w:w="964" w:type="dxa"/>
            <w:tcBorders>
              <w:top w:val="single" w:sz="4"/>
              <w:bottom w:val="nil"/>
            </w:tcBorders>
          </w:tcPr>
          <w:p>
            <w:pPr>
              <w:pStyle w:val="0"/>
            </w:pPr>
            <w:r>
              <w:rPr>
                <w:sz w:val="20"/>
              </w:rPr>
              <w:t xml:space="preserve">29,7</w:t>
            </w:r>
          </w:p>
        </w:tc>
        <w:tc>
          <w:tcPr>
            <w:tcW w:w="964" w:type="dxa"/>
            <w:tcBorders>
              <w:top w:val="single" w:sz="4"/>
              <w:bottom w:val="nil"/>
            </w:tcBorders>
          </w:tcPr>
          <w:p>
            <w:pPr>
              <w:pStyle w:val="0"/>
            </w:pPr>
            <w:r>
              <w:rPr>
                <w:sz w:val="20"/>
              </w:rPr>
              <w:t xml:space="preserve">22,3</w:t>
            </w:r>
          </w:p>
        </w:tc>
        <w:tc>
          <w:tcPr>
            <w:tcW w:w="1120" w:type="dxa"/>
            <w:tcBorders>
              <w:top w:val="single" w:sz="4"/>
              <w:bottom w:val="nil"/>
            </w:tcBorders>
          </w:tcPr>
          <w:p>
            <w:pPr>
              <w:pStyle w:val="0"/>
            </w:pPr>
            <w:r>
              <w:rPr>
                <w:sz w:val="20"/>
              </w:rPr>
              <w:t xml:space="preserve">25,3</w:t>
            </w:r>
          </w:p>
        </w:tc>
        <w:tc>
          <w:tcPr>
            <w:tcW w:w="1020" w:type="dxa"/>
            <w:tcBorders>
              <w:top w:val="single" w:sz="4"/>
              <w:bottom w:val="nil"/>
            </w:tcBorders>
          </w:tcPr>
          <w:p>
            <w:pPr>
              <w:pStyle w:val="0"/>
            </w:pPr>
            <w:r>
              <w:rPr>
                <w:sz w:val="20"/>
              </w:rPr>
              <w:t xml:space="preserve">13,1</w:t>
            </w:r>
          </w:p>
        </w:tc>
        <w:tc>
          <w:tcPr>
            <w:tcW w:w="1020" w:type="dxa"/>
            <w:tcBorders>
              <w:top w:val="single" w:sz="4"/>
              <w:bottom w:val="nil"/>
            </w:tcBorders>
          </w:tcPr>
          <w:p>
            <w:pPr>
              <w:pStyle w:val="0"/>
            </w:pPr>
            <w:r>
              <w:rPr>
                <w:sz w:val="20"/>
              </w:rPr>
              <w:t xml:space="preserve">-14,8</w:t>
            </w:r>
          </w:p>
        </w:tc>
        <w:tc>
          <w:tcPr>
            <w:tcW w:w="992" w:type="dxa"/>
            <w:tcBorders>
              <w:top w:val="single" w:sz="4"/>
              <w:bottom w:val="nil"/>
            </w:tcBorders>
          </w:tcPr>
          <w:p>
            <w:pPr>
              <w:pStyle w:val="0"/>
            </w:pPr>
            <w:r>
              <w:rPr>
                <w:sz w:val="20"/>
              </w:rPr>
              <w:t xml:space="preserve">38,7</w:t>
            </w:r>
          </w:p>
        </w:tc>
        <w:tc>
          <w:tcPr>
            <w:tcW w:w="850" w:type="dxa"/>
            <w:tcBorders>
              <w:top w:val="single" w:sz="4"/>
              <w:bottom w:val="nil"/>
            </w:tcBorders>
          </w:tcPr>
          <w:p>
            <w:pPr>
              <w:pStyle w:val="0"/>
            </w:pPr>
            <w:r>
              <w:rPr>
                <w:sz w:val="20"/>
              </w:rPr>
              <w:t xml:space="preserve">17,1</w:t>
            </w:r>
          </w:p>
        </w:tc>
        <w:tc>
          <w:tcPr>
            <w:tcW w:w="992" w:type="dxa"/>
            <w:tcBorders>
              <w:top w:val="single" w:sz="4"/>
              <w:bottom w:val="nil"/>
            </w:tcBorders>
          </w:tcPr>
          <w:p>
            <w:pPr>
              <w:pStyle w:val="0"/>
            </w:pPr>
            <w:r>
              <w:rPr>
                <w:sz w:val="20"/>
              </w:rPr>
              <w:t xml:space="preserve">20,3</w:t>
            </w:r>
          </w:p>
        </w:tc>
        <w:tc>
          <w:tcPr>
            <w:tcW w:w="850" w:type="dxa"/>
            <w:tcBorders>
              <w:top w:val="single" w:sz="4"/>
              <w:bottom w:val="nil"/>
            </w:tcBorders>
          </w:tcPr>
          <w:p>
            <w:pPr>
              <w:pStyle w:val="0"/>
            </w:pPr>
            <w:r>
              <w:rPr>
                <w:sz w:val="20"/>
              </w:rPr>
              <w:t xml:space="preserve">9,8</w:t>
            </w:r>
          </w:p>
        </w:tc>
      </w:tr>
      <w:tr>
        <w:tc>
          <w:tcPr>
            <w:tcW w:w="3231" w:type="dxa"/>
            <w:tcBorders>
              <w:top w:val="nil"/>
              <w:bottom w:val="single" w:sz="4"/>
            </w:tcBorders>
          </w:tcPr>
          <w:p>
            <w:pPr>
              <w:pStyle w:val="0"/>
            </w:pPr>
            <w:r>
              <w:rPr>
                <w:sz w:val="20"/>
              </w:rPr>
              <w:t xml:space="preserve">из них: туберкулез</w:t>
            </w:r>
          </w:p>
        </w:tc>
        <w:tc>
          <w:tcPr>
            <w:tcW w:w="964" w:type="dxa"/>
            <w:tcBorders>
              <w:top w:val="nil"/>
              <w:bottom w:val="single" w:sz="4"/>
            </w:tcBorders>
          </w:tcPr>
          <w:p>
            <w:pPr>
              <w:pStyle w:val="0"/>
            </w:pPr>
            <w:r>
              <w:rPr>
                <w:sz w:val="20"/>
              </w:rPr>
              <w:t xml:space="preserve">0,4</w:t>
            </w:r>
          </w:p>
        </w:tc>
        <w:tc>
          <w:tcPr>
            <w:tcW w:w="964" w:type="dxa"/>
            <w:tcBorders>
              <w:top w:val="nil"/>
              <w:bottom w:val="single" w:sz="4"/>
            </w:tcBorders>
          </w:tcPr>
          <w:p>
            <w:pPr>
              <w:pStyle w:val="0"/>
            </w:pPr>
            <w:r>
              <w:rPr>
                <w:sz w:val="20"/>
              </w:rPr>
              <w:t xml:space="preserve">1,7</w:t>
            </w:r>
          </w:p>
        </w:tc>
        <w:tc>
          <w:tcPr>
            <w:tcW w:w="1120" w:type="dxa"/>
            <w:tcBorders>
              <w:top w:val="nil"/>
              <w:bottom w:val="single" w:sz="4"/>
            </w:tcBorders>
          </w:tcPr>
          <w:p>
            <w:pPr>
              <w:pStyle w:val="0"/>
            </w:pPr>
            <w:r>
              <w:rPr>
                <w:sz w:val="20"/>
              </w:rPr>
              <w:t xml:space="preserve">0,4</w:t>
            </w:r>
          </w:p>
        </w:tc>
        <w:tc>
          <w:tcPr>
            <w:tcW w:w="1020" w:type="dxa"/>
            <w:tcBorders>
              <w:top w:val="nil"/>
              <w:bottom w:val="single" w:sz="4"/>
            </w:tcBorders>
          </w:tcPr>
          <w:p>
            <w:pPr>
              <w:pStyle w:val="0"/>
            </w:pPr>
            <w:r>
              <w:rPr>
                <w:sz w:val="20"/>
              </w:rPr>
            </w:r>
          </w:p>
        </w:tc>
        <w:tc>
          <w:tcPr>
            <w:tcW w:w="1020" w:type="dxa"/>
            <w:tcBorders>
              <w:top w:val="nil"/>
              <w:bottom w:val="single" w:sz="4"/>
            </w:tcBorders>
          </w:tcPr>
          <w:p>
            <w:pPr>
              <w:pStyle w:val="0"/>
            </w:pPr>
            <w:r>
              <w:rPr>
                <w:sz w:val="20"/>
              </w:rPr>
              <w:t xml:space="preserve">0,0</w:t>
            </w:r>
          </w:p>
        </w:tc>
        <w:tc>
          <w:tcPr>
            <w:tcW w:w="992" w:type="dxa"/>
            <w:tcBorders>
              <w:top w:val="nil"/>
              <w:bottom w:val="single" w:sz="4"/>
            </w:tcBorders>
          </w:tcPr>
          <w:p>
            <w:pPr>
              <w:pStyle w:val="0"/>
            </w:pPr>
            <w:r>
              <w:rPr>
                <w:sz w:val="20"/>
              </w:rPr>
              <w:t xml:space="preserve">3,1</w:t>
            </w:r>
          </w:p>
        </w:tc>
        <w:tc>
          <w:tcPr>
            <w:tcW w:w="850" w:type="dxa"/>
            <w:tcBorders>
              <w:top w:val="nil"/>
              <w:bottom w:val="single" w:sz="4"/>
            </w:tcBorders>
          </w:tcPr>
          <w:p>
            <w:pPr>
              <w:pStyle w:val="0"/>
            </w:pPr>
            <w:r>
              <w:rPr>
                <w:sz w:val="20"/>
              </w:rPr>
            </w:r>
          </w:p>
        </w:tc>
        <w:tc>
          <w:tcPr>
            <w:tcW w:w="992" w:type="dxa"/>
            <w:tcBorders>
              <w:top w:val="nil"/>
              <w:bottom w:val="single" w:sz="4"/>
            </w:tcBorders>
          </w:tcPr>
          <w:p>
            <w:pPr>
              <w:pStyle w:val="0"/>
            </w:pPr>
            <w:r>
              <w:rPr>
                <w:sz w:val="20"/>
              </w:rPr>
              <w:t xml:space="preserve">2,4</w:t>
            </w:r>
          </w:p>
        </w:tc>
        <w:tc>
          <w:tcPr>
            <w:tcW w:w="850" w:type="dxa"/>
            <w:tcBorders>
              <w:top w:val="nil"/>
              <w:bottom w:val="single" w:sz="4"/>
            </w:tcBorders>
          </w:tcPr>
          <w:p>
            <w:pPr>
              <w:pStyle w:val="0"/>
            </w:pPr>
            <w:r>
              <w:rPr>
                <w:sz w:val="20"/>
              </w:rPr>
            </w:r>
          </w:p>
        </w:tc>
      </w:tr>
      <w:tr>
        <w:tc>
          <w:tcPr>
            <w:tcW w:w="3231" w:type="dxa"/>
            <w:tcBorders>
              <w:top w:val="single" w:sz="4"/>
              <w:bottom w:val="nil"/>
            </w:tcBorders>
          </w:tcPr>
          <w:p>
            <w:pPr>
              <w:pStyle w:val="0"/>
            </w:pPr>
            <w:r>
              <w:rPr>
                <w:sz w:val="20"/>
              </w:rPr>
              <w:t xml:space="preserve">Новообразования</w:t>
            </w:r>
          </w:p>
        </w:tc>
        <w:tc>
          <w:tcPr>
            <w:tcW w:w="964" w:type="dxa"/>
            <w:tcBorders>
              <w:top w:val="single" w:sz="4"/>
              <w:bottom w:val="nil"/>
            </w:tcBorders>
          </w:tcPr>
          <w:p>
            <w:pPr>
              <w:pStyle w:val="0"/>
            </w:pPr>
            <w:r>
              <w:rPr>
                <w:sz w:val="20"/>
              </w:rPr>
              <w:t xml:space="preserve">35,1</w:t>
            </w:r>
          </w:p>
        </w:tc>
        <w:tc>
          <w:tcPr>
            <w:tcW w:w="964" w:type="dxa"/>
            <w:tcBorders>
              <w:top w:val="single" w:sz="4"/>
              <w:bottom w:val="nil"/>
            </w:tcBorders>
          </w:tcPr>
          <w:p>
            <w:pPr>
              <w:pStyle w:val="0"/>
            </w:pPr>
            <w:r>
              <w:rPr>
                <w:sz w:val="20"/>
              </w:rPr>
              <w:t xml:space="preserve">33,2</w:t>
            </w:r>
          </w:p>
        </w:tc>
        <w:tc>
          <w:tcPr>
            <w:tcW w:w="1120" w:type="dxa"/>
            <w:tcBorders>
              <w:top w:val="single" w:sz="4"/>
              <w:bottom w:val="nil"/>
            </w:tcBorders>
          </w:tcPr>
          <w:p>
            <w:pPr>
              <w:pStyle w:val="0"/>
            </w:pPr>
            <w:r>
              <w:rPr>
                <w:sz w:val="20"/>
              </w:rPr>
              <w:t xml:space="preserve">39,3</w:t>
            </w:r>
          </w:p>
        </w:tc>
        <w:tc>
          <w:tcPr>
            <w:tcW w:w="1020" w:type="dxa"/>
            <w:tcBorders>
              <w:top w:val="single" w:sz="4"/>
              <w:bottom w:val="nil"/>
            </w:tcBorders>
          </w:tcPr>
          <w:p>
            <w:pPr>
              <w:pStyle w:val="0"/>
            </w:pPr>
            <w:r>
              <w:rPr>
                <w:sz w:val="20"/>
              </w:rPr>
              <w:t xml:space="preserve">20,4</w:t>
            </w:r>
          </w:p>
        </w:tc>
        <w:tc>
          <w:tcPr>
            <w:tcW w:w="1020" w:type="dxa"/>
            <w:tcBorders>
              <w:top w:val="single" w:sz="4"/>
              <w:bottom w:val="nil"/>
            </w:tcBorders>
          </w:tcPr>
          <w:p>
            <w:pPr>
              <w:pStyle w:val="0"/>
            </w:pPr>
            <w:r>
              <w:rPr>
                <w:sz w:val="20"/>
              </w:rPr>
              <w:t xml:space="preserve">+12,0</w:t>
            </w:r>
          </w:p>
        </w:tc>
        <w:tc>
          <w:tcPr>
            <w:tcW w:w="992" w:type="dxa"/>
            <w:tcBorders>
              <w:top w:val="single" w:sz="4"/>
              <w:bottom w:val="nil"/>
            </w:tcBorders>
          </w:tcPr>
          <w:p>
            <w:pPr>
              <w:pStyle w:val="0"/>
            </w:pPr>
            <w:r>
              <w:rPr>
                <w:sz w:val="20"/>
              </w:rPr>
              <w:t xml:space="preserve">50,1</w:t>
            </w:r>
          </w:p>
        </w:tc>
        <w:tc>
          <w:tcPr>
            <w:tcW w:w="850" w:type="dxa"/>
            <w:tcBorders>
              <w:top w:val="single" w:sz="4"/>
              <w:bottom w:val="nil"/>
            </w:tcBorders>
          </w:tcPr>
          <w:p>
            <w:pPr>
              <w:pStyle w:val="0"/>
            </w:pPr>
            <w:r>
              <w:rPr>
                <w:sz w:val="20"/>
              </w:rPr>
              <w:t xml:space="preserve">22,1</w:t>
            </w:r>
          </w:p>
        </w:tc>
        <w:tc>
          <w:tcPr>
            <w:tcW w:w="992" w:type="dxa"/>
            <w:tcBorders>
              <w:top w:val="single" w:sz="4"/>
              <w:bottom w:val="nil"/>
            </w:tcBorders>
          </w:tcPr>
          <w:p>
            <w:pPr>
              <w:pStyle w:val="0"/>
            </w:pPr>
            <w:r>
              <w:rPr>
                <w:sz w:val="20"/>
              </w:rPr>
              <w:t xml:space="preserve">48,7</w:t>
            </w:r>
          </w:p>
        </w:tc>
        <w:tc>
          <w:tcPr>
            <w:tcW w:w="850" w:type="dxa"/>
            <w:tcBorders>
              <w:top w:val="single" w:sz="4"/>
              <w:bottom w:val="nil"/>
            </w:tcBorders>
          </w:tcPr>
          <w:p>
            <w:pPr>
              <w:pStyle w:val="0"/>
            </w:pPr>
            <w:r>
              <w:rPr>
                <w:sz w:val="20"/>
              </w:rPr>
              <w:t xml:space="preserve">23,5</w:t>
            </w:r>
          </w:p>
        </w:tc>
      </w:tr>
      <w:tr>
        <w:tc>
          <w:tcPr>
            <w:tcW w:w="3231" w:type="dxa"/>
            <w:tcBorders>
              <w:top w:val="nil"/>
              <w:bottom w:val="single" w:sz="4"/>
            </w:tcBorders>
          </w:tcPr>
          <w:p>
            <w:pPr>
              <w:pStyle w:val="0"/>
            </w:pPr>
            <w:r>
              <w:rPr>
                <w:sz w:val="20"/>
              </w:rPr>
              <w:t xml:space="preserve">из них: злокачественные</w:t>
            </w:r>
          </w:p>
        </w:tc>
        <w:tc>
          <w:tcPr>
            <w:tcW w:w="964" w:type="dxa"/>
            <w:tcBorders>
              <w:top w:val="nil"/>
              <w:bottom w:val="single" w:sz="4"/>
            </w:tcBorders>
          </w:tcPr>
          <w:p>
            <w:pPr>
              <w:pStyle w:val="0"/>
            </w:pPr>
            <w:r>
              <w:rPr>
                <w:sz w:val="20"/>
              </w:rPr>
              <w:t xml:space="preserve">34,7</w:t>
            </w:r>
          </w:p>
        </w:tc>
        <w:tc>
          <w:tcPr>
            <w:tcW w:w="964" w:type="dxa"/>
            <w:tcBorders>
              <w:top w:val="nil"/>
              <w:bottom w:val="single" w:sz="4"/>
            </w:tcBorders>
          </w:tcPr>
          <w:p>
            <w:pPr>
              <w:pStyle w:val="0"/>
            </w:pPr>
            <w:r>
              <w:rPr>
                <w:sz w:val="20"/>
              </w:rPr>
              <w:t xml:space="preserve">32,4</w:t>
            </w:r>
          </w:p>
        </w:tc>
        <w:tc>
          <w:tcPr>
            <w:tcW w:w="1120" w:type="dxa"/>
            <w:tcBorders>
              <w:top w:val="nil"/>
              <w:bottom w:val="single" w:sz="4"/>
            </w:tcBorders>
          </w:tcPr>
          <w:p>
            <w:pPr>
              <w:pStyle w:val="0"/>
            </w:pPr>
            <w:r>
              <w:rPr>
                <w:sz w:val="20"/>
              </w:rPr>
              <w:t xml:space="preserve">38,9</w:t>
            </w:r>
          </w:p>
        </w:tc>
        <w:tc>
          <w:tcPr>
            <w:tcW w:w="1020" w:type="dxa"/>
            <w:tcBorders>
              <w:top w:val="nil"/>
              <w:bottom w:val="single" w:sz="4"/>
            </w:tcBorders>
          </w:tcPr>
          <w:p>
            <w:pPr>
              <w:pStyle w:val="0"/>
            </w:pPr>
            <w:r>
              <w:rPr>
                <w:sz w:val="20"/>
              </w:rPr>
            </w:r>
          </w:p>
        </w:tc>
        <w:tc>
          <w:tcPr>
            <w:tcW w:w="1020" w:type="dxa"/>
            <w:tcBorders>
              <w:top w:val="nil"/>
              <w:bottom w:val="single" w:sz="4"/>
            </w:tcBorders>
          </w:tcPr>
          <w:p>
            <w:pPr>
              <w:pStyle w:val="0"/>
            </w:pPr>
            <w:r>
              <w:rPr>
                <w:sz w:val="20"/>
              </w:rPr>
              <w:t xml:space="preserve">+12,1</w:t>
            </w:r>
          </w:p>
        </w:tc>
        <w:tc>
          <w:tcPr>
            <w:tcW w:w="992" w:type="dxa"/>
            <w:tcBorders>
              <w:top w:val="nil"/>
              <w:bottom w:val="single" w:sz="4"/>
            </w:tcBorders>
          </w:tcPr>
          <w:p>
            <w:pPr>
              <w:pStyle w:val="0"/>
            </w:pPr>
            <w:r>
              <w:rPr>
                <w:sz w:val="20"/>
              </w:rPr>
              <w:t xml:space="preserve">49,0</w:t>
            </w:r>
          </w:p>
        </w:tc>
        <w:tc>
          <w:tcPr>
            <w:tcW w:w="850" w:type="dxa"/>
            <w:tcBorders>
              <w:top w:val="nil"/>
              <w:bottom w:val="single" w:sz="4"/>
            </w:tcBorders>
          </w:tcPr>
          <w:p>
            <w:pPr>
              <w:pStyle w:val="0"/>
            </w:pPr>
            <w:r>
              <w:rPr>
                <w:sz w:val="20"/>
              </w:rPr>
            </w:r>
          </w:p>
        </w:tc>
        <w:tc>
          <w:tcPr>
            <w:tcW w:w="992" w:type="dxa"/>
            <w:tcBorders>
              <w:top w:val="nil"/>
              <w:bottom w:val="single" w:sz="4"/>
            </w:tcBorders>
          </w:tcPr>
          <w:p>
            <w:pPr>
              <w:pStyle w:val="0"/>
            </w:pPr>
            <w:r>
              <w:rPr>
                <w:sz w:val="20"/>
              </w:rPr>
              <w:t xml:space="preserve">47,9</w:t>
            </w:r>
          </w:p>
        </w:tc>
        <w:tc>
          <w:tcPr>
            <w:tcW w:w="850" w:type="dxa"/>
            <w:tcBorders>
              <w:top w:val="nil"/>
              <w:bottom w:val="single" w:sz="4"/>
            </w:tcBorders>
          </w:tcPr>
          <w:p>
            <w:pPr>
              <w:pStyle w:val="0"/>
            </w:pPr>
            <w:r>
              <w:rPr>
                <w:sz w:val="20"/>
              </w:rPr>
            </w:r>
          </w:p>
        </w:tc>
      </w:tr>
      <w:tr>
        <w:tc>
          <w:tcPr>
            <w:tcW w:w="3231" w:type="dxa"/>
            <w:tcBorders>
              <w:top w:val="single" w:sz="4"/>
              <w:bottom w:val="nil"/>
            </w:tcBorders>
          </w:tcPr>
          <w:p>
            <w:pPr>
              <w:pStyle w:val="0"/>
            </w:pPr>
            <w:r>
              <w:rPr>
                <w:sz w:val="20"/>
              </w:rPr>
              <w:t xml:space="preserve">Болезни системы кровообращения</w:t>
            </w:r>
          </w:p>
        </w:tc>
        <w:tc>
          <w:tcPr>
            <w:tcW w:w="964" w:type="dxa"/>
            <w:tcBorders>
              <w:top w:val="single" w:sz="4"/>
              <w:bottom w:val="nil"/>
            </w:tcBorders>
          </w:tcPr>
          <w:p>
            <w:pPr>
              <w:pStyle w:val="0"/>
            </w:pPr>
            <w:r>
              <w:rPr>
                <w:sz w:val="20"/>
              </w:rPr>
              <w:t xml:space="preserve">34,9</w:t>
            </w:r>
          </w:p>
        </w:tc>
        <w:tc>
          <w:tcPr>
            <w:tcW w:w="964" w:type="dxa"/>
            <w:tcBorders>
              <w:top w:val="single" w:sz="4"/>
              <w:bottom w:val="nil"/>
            </w:tcBorders>
          </w:tcPr>
          <w:p>
            <w:pPr>
              <w:pStyle w:val="0"/>
            </w:pPr>
            <w:r>
              <w:rPr>
                <w:sz w:val="20"/>
              </w:rPr>
              <w:t xml:space="preserve">29,2</w:t>
            </w:r>
          </w:p>
        </w:tc>
        <w:tc>
          <w:tcPr>
            <w:tcW w:w="1120" w:type="dxa"/>
            <w:tcBorders>
              <w:top w:val="single" w:sz="4"/>
              <w:bottom w:val="nil"/>
            </w:tcBorders>
          </w:tcPr>
          <w:p>
            <w:pPr>
              <w:pStyle w:val="0"/>
            </w:pPr>
            <w:r>
              <w:rPr>
                <w:sz w:val="20"/>
              </w:rPr>
              <w:t xml:space="preserve">39,1</w:t>
            </w:r>
          </w:p>
        </w:tc>
        <w:tc>
          <w:tcPr>
            <w:tcW w:w="1020" w:type="dxa"/>
            <w:tcBorders>
              <w:top w:val="single" w:sz="4"/>
              <w:bottom w:val="nil"/>
            </w:tcBorders>
          </w:tcPr>
          <w:p>
            <w:pPr>
              <w:pStyle w:val="0"/>
            </w:pPr>
            <w:r>
              <w:rPr>
                <w:sz w:val="20"/>
              </w:rPr>
              <w:t xml:space="preserve">20,3</w:t>
            </w:r>
          </w:p>
        </w:tc>
        <w:tc>
          <w:tcPr>
            <w:tcW w:w="1020" w:type="dxa"/>
            <w:tcBorders>
              <w:top w:val="single" w:sz="4"/>
              <w:bottom w:val="nil"/>
            </w:tcBorders>
          </w:tcPr>
          <w:p>
            <w:pPr>
              <w:pStyle w:val="0"/>
            </w:pPr>
            <w:r>
              <w:rPr>
                <w:sz w:val="20"/>
              </w:rPr>
              <w:t xml:space="preserve">+12,0</w:t>
            </w:r>
          </w:p>
        </w:tc>
        <w:tc>
          <w:tcPr>
            <w:tcW w:w="992" w:type="dxa"/>
            <w:tcBorders>
              <w:top w:val="single" w:sz="4"/>
              <w:bottom w:val="nil"/>
            </w:tcBorders>
          </w:tcPr>
          <w:p>
            <w:pPr>
              <w:pStyle w:val="0"/>
            </w:pPr>
            <w:r>
              <w:rPr>
                <w:sz w:val="20"/>
              </w:rPr>
              <w:t xml:space="preserve">48,2</w:t>
            </w:r>
          </w:p>
        </w:tc>
        <w:tc>
          <w:tcPr>
            <w:tcW w:w="850" w:type="dxa"/>
            <w:tcBorders>
              <w:top w:val="single" w:sz="4"/>
              <w:bottom w:val="nil"/>
            </w:tcBorders>
          </w:tcPr>
          <w:p>
            <w:pPr>
              <w:pStyle w:val="0"/>
            </w:pPr>
            <w:r>
              <w:rPr>
                <w:sz w:val="20"/>
              </w:rPr>
              <w:t xml:space="preserve">21,3</w:t>
            </w:r>
          </w:p>
        </w:tc>
        <w:tc>
          <w:tcPr>
            <w:tcW w:w="992" w:type="dxa"/>
            <w:tcBorders>
              <w:top w:val="single" w:sz="4"/>
              <w:bottom w:val="nil"/>
            </w:tcBorders>
          </w:tcPr>
          <w:p>
            <w:pPr>
              <w:pStyle w:val="0"/>
            </w:pPr>
            <w:r>
              <w:rPr>
                <w:sz w:val="20"/>
              </w:rPr>
              <w:t xml:space="preserve">47,8</w:t>
            </w:r>
          </w:p>
        </w:tc>
        <w:tc>
          <w:tcPr>
            <w:tcW w:w="850" w:type="dxa"/>
            <w:tcBorders>
              <w:top w:val="single" w:sz="4"/>
              <w:bottom w:val="nil"/>
            </w:tcBorders>
          </w:tcPr>
          <w:p>
            <w:pPr>
              <w:pStyle w:val="0"/>
            </w:pPr>
            <w:r>
              <w:rPr>
                <w:sz w:val="20"/>
              </w:rPr>
              <w:t xml:space="preserve">23,0</w:t>
            </w:r>
          </w:p>
        </w:tc>
      </w:tr>
      <w:tr>
        <w:tc>
          <w:tcPr>
            <w:tcW w:w="3231" w:type="dxa"/>
            <w:tcBorders>
              <w:top w:val="nil"/>
              <w:bottom w:val="nil"/>
            </w:tcBorders>
          </w:tcPr>
          <w:p>
            <w:pPr>
              <w:pStyle w:val="0"/>
            </w:pPr>
            <w:r>
              <w:rPr>
                <w:sz w:val="20"/>
              </w:rPr>
              <w:t xml:space="preserve">из них: ишемические болезни сердца</w:t>
            </w:r>
          </w:p>
        </w:tc>
        <w:tc>
          <w:tcPr>
            <w:tcW w:w="964" w:type="dxa"/>
            <w:tcBorders>
              <w:top w:val="nil"/>
              <w:bottom w:val="nil"/>
            </w:tcBorders>
          </w:tcPr>
          <w:p>
            <w:pPr>
              <w:pStyle w:val="0"/>
            </w:pPr>
            <w:r>
              <w:rPr>
                <w:sz w:val="20"/>
              </w:rPr>
              <w:t xml:space="preserve">9,0</w:t>
            </w:r>
          </w:p>
        </w:tc>
        <w:tc>
          <w:tcPr>
            <w:tcW w:w="964" w:type="dxa"/>
            <w:tcBorders>
              <w:top w:val="nil"/>
              <w:bottom w:val="nil"/>
            </w:tcBorders>
          </w:tcPr>
          <w:p>
            <w:pPr>
              <w:pStyle w:val="0"/>
            </w:pPr>
            <w:r>
              <w:rPr>
                <w:sz w:val="20"/>
              </w:rPr>
              <w:t xml:space="preserve">5,9</w:t>
            </w:r>
          </w:p>
        </w:tc>
        <w:tc>
          <w:tcPr>
            <w:tcW w:w="1120" w:type="dxa"/>
            <w:tcBorders>
              <w:top w:val="nil"/>
              <w:bottom w:val="nil"/>
            </w:tcBorders>
          </w:tcPr>
          <w:p>
            <w:pPr>
              <w:pStyle w:val="0"/>
            </w:pPr>
            <w:r>
              <w:rPr>
                <w:sz w:val="20"/>
              </w:rPr>
              <w:t xml:space="preserve">8,7</w:t>
            </w:r>
          </w:p>
        </w:tc>
        <w:tc>
          <w:tcPr>
            <w:tcW w:w="1020"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-3,3</w:t>
            </w:r>
          </w:p>
        </w:tc>
        <w:tc>
          <w:tcPr>
            <w:tcW w:w="992" w:type="dxa"/>
            <w:tcBorders>
              <w:top w:val="nil"/>
              <w:bottom w:val="nil"/>
            </w:tcBorders>
          </w:tcPr>
          <w:p>
            <w:pPr>
              <w:pStyle w:val="0"/>
            </w:pPr>
            <w:r>
              <w:rPr>
                <w:sz w:val="20"/>
              </w:rPr>
              <w:t xml:space="preserve">11,0</w:t>
            </w:r>
          </w:p>
        </w:tc>
        <w:tc>
          <w:tcPr>
            <w:tcW w:w="850" w:type="dxa"/>
            <w:tcBorders>
              <w:top w:val="nil"/>
              <w:bottom w:val="nil"/>
            </w:tcBorders>
          </w:tcPr>
          <w:p>
            <w:pPr>
              <w:pStyle w:val="0"/>
            </w:pPr>
            <w:r>
              <w:rPr>
                <w:sz w:val="20"/>
              </w:rPr>
            </w:r>
          </w:p>
        </w:tc>
        <w:tc>
          <w:tcPr>
            <w:tcW w:w="992" w:type="dxa"/>
            <w:tcBorders>
              <w:top w:val="nil"/>
              <w:bottom w:val="nil"/>
            </w:tcBorders>
          </w:tcPr>
          <w:p>
            <w:pPr>
              <w:pStyle w:val="0"/>
            </w:pPr>
            <w:r>
              <w:rPr>
                <w:sz w:val="20"/>
              </w:rPr>
              <w:t xml:space="preserve">13,4</w:t>
            </w:r>
          </w:p>
        </w:tc>
        <w:tc>
          <w:tcPr>
            <w:tcW w:w="850" w:type="dxa"/>
            <w:tcBorders>
              <w:top w:val="nil"/>
              <w:bottom w:val="nil"/>
            </w:tcBorders>
          </w:tcPr>
          <w:p>
            <w:pPr>
              <w:pStyle w:val="0"/>
            </w:pPr>
            <w:r>
              <w:rPr>
                <w:sz w:val="20"/>
              </w:rPr>
            </w:r>
          </w:p>
        </w:tc>
      </w:tr>
      <w:tr>
        <w:tc>
          <w:tcPr>
            <w:tcW w:w="3231" w:type="dxa"/>
            <w:tcBorders>
              <w:top w:val="nil"/>
              <w:bottom w:val="single" w:sz="4"/>
            </w:tcBorders>
          </w:tcPr>
          <w:p>
            <w:pPr>
              <w:pStyle w:val="0"/>
            </w:pPr>
            <w:r>
              <w:rPr>
                <w:sz w:val="20"/>
              </w:rPr>
              <w:t xml:space="preserve">цереброваскулярные болезни</w:t>
            </w:r>
          </w:p>
        </w:tc>
        <w:tc>
          <w:tcPr>
            <w:tcW w:w="964" w:type="dxa"/>
            <w:tcBorders>
              <w:top w:val="nil"/>
              <w:bottom w:val="single" w:sz="4"/>
            </w:tcBorders>
          </w:tcPr>
          <w:p>
            <w:pPr>
              <w:pStyle w:val="0"/>
            </w:pPr>
            <w:r>
              <w:rPr>
                <w:sz w:val="20"/>
              </w:rPr>
              <w:t xml:space="preserve">8,4</w:t>
            </w:r>
          </w:p>
        </w:tc>
        <w:tc>
          <w:tcPr>
            <w:tcW w:w="964" w:type="dxa"/>
            <w:tcBorders>
              <w:top w:val="nil"/>
              <w:bottom w:val="single" w:sz="4"/>
            </w:tcBorders>
          </w:tcPr>
          <w:p>
            <w:pPr>
              <w:pStyle w:val="0"/>
            </w:pPr>
            <w:r>
              <w:rPr>
                <w:sz w:val="20"/>
              </w:rPr>
              <w:t xml:space="preserve">4,8</w:t>
            </w:r>
          </w:p>
        </w:tc>
        <w:tc>
          <w:tcPr>
            <w:tcW w:w="1120" w:type="dxa"/>
            <w:tcBorders>
              <w:top w:val="nil"/>
              <w:bottom w:val="single" w:sz="4"/>
            </w:tcBorders>
          </w:tcPr>
          <w:p>
            <w:pPr>
              <w:pStyle w:val="0"/>
            </w:pPr>
            <w:r>
              <w:rPr>
                <w:sz w:val="20"/>
              </w:rPr>
              <w:t xml:space="preserve">6,2</w:t>
            </w:r>
          </w:p>
        </w:tc>
        <w:tc>
          <w:tcPr>
            <w:tcW w:w="1020" w:type="dxa"/>
            <w:tcBorders>
              <w:top w:val="nil"/>
              <w:bottom w:val="single" w:sz="4"/>
            </w:tcBorders>
          </w:tcPr>
          <w:p>
            <w:pPr>
              <w:pStyle w:val="0"/>
            </w:pPr>
            <w:r>
              <w:rPr>
                <w:sz w:val="20"/>
              </w:rPr>
            </w:r>
          </w:p>
        </w:tc>
        <w:tc>
          <w:tcPr>
            <w:tcW w:w="1020" w:type="dxa"/>
            <w:tcBorders>
              <w:top w:val="nil"/>
              <w:bottom w:val="single" w:sz="4"/>
            </w:tcBorders>
          </w:tcPr>
          <w:p>
            <w:pPr>
              <w:pStyle w:val="0"/>
            </w:pPr>
            <w:r>
              <w:rPr>
                <w:sz w:val="20"/>
              </w:rPr>
              <w:t xml:space="preserve">-26,2</w:t>
            </w:r>
          </w:p>
        </w:tc>
        <w:tc>
          <w:tcPr>
            <w:tcW w:w="992" w:type="dxa"/>
            <w:tcBorders>
              <w:top w:val="nil"/>
              <w:bottom w:val="single" w:sz="4"/>
            </w:tcBorders>
          </w:tcPr>
          <w:p>
            <w:pPr>
              <w:pStyle w:val="0"/>
            </w:pPr>
            <w:r>
              <w:rPr>
                <w:sz w:val="20"/>
              </w:rPr>
              <w:t xml:space="preserve">11,2</w:t>
            </w:r>
          </w:p>
        </w:tc>
        <w:tc>
          <w:tcPr>
            <w:tcW w:w="850" w:type="dxa"/>
            <w:tcBorders>
              <w:top w:val="nil"/>
              <w:bottom w:val="single" w:sz="4"/>
            </w:tcBorders>
          </w:tcPr>
          <w:p>
            <w:pPr>
              <w:pStyle w:val="0"/>
            </w:pPr>
            <w:r>
              <w:rPr>
                <w:sz w:val="20"/>
              </w:rPr>
            </w:r>
          </w:p>
        </w:tc>
        <w:tc>
          <w:tcPr>
            <w:tcW w:w="992" w:type="dxa"/>
            <w:tcBorders>
              <w:top w:val="nil"/>
              <w:bottom w:val="single" w:sz="4"/>
            </w:tcBorders>
          </w:tcPr>
          <w:p>
            <w:pPr>
              <w:pStyle w:val="0"/>
            </w:pPr>
            <w:r>
              <w:rPr>
                <w:sz w:val="20"/>
              </w:rPr>
              <w:t xml:space="preserve">11,6</w:t>
            </w:r>
          </w:p>
        </w:tc>
        <w:tc>
          <w:tcPr>
            <w:tcW w:w="850" w:type="dxa"/>
            <w:tcBorders>
              <w:top w:val="nil"/>
              <w:bottom w:val="single" w:sz="4"/>
            </w:tcBorders>
          </w:tcPr>
          <w:p>
            <w:pPr>
              <w:pStyle w:val="0"/>
            </w:pPr>
            <w:r>
              <w:rPr>
                <w:sz w:val="20"/>
              </w:rPr>
            </w:r>
          </w:p>
        </w:tc>
      </w:tr>
      <w:tr>
        <w:tblPrEx>
          <w:tblBorders>
            <w:insideH w:val="single" w:sz="4"/>
          </w:tblBorders>
        </w:tblPrEx>
        <w:tc>
          <w:tcPr>
            <w:tcW w:w="3231" w:type="dxa"/>
            <w:tcBorders>
              <w:top w:val="single" w:sz="4"/>
              <w:bottom w:val="single" w:sz="4"/>
            </w:tcBorders>
          </w:tcPr>
          <w:p>
            <w:pPr>
              <w:pStyle w:val="0"/>
            </w:pPr>
            <w:r>
              <w:rPr>
                <w:sz w:val="20"/>
              </w:rPr>
              <w:t xml:space="preserve">Болезни органов дыхания</w:t>
            </w:r>
          </w:p>
        </w:tc>
        <w:tc>
          <w:tcPr>
            <w:tcW w:w="964" w:type="dxa"/>
            <w:tcBorders>
              <w:top w:val="single" w:sz="4"/>
              <w:bottom w:val="single" w:sz="4"/>
            </w:tcBorders>
          </w:tcPr>
          <w:p>
            <w:pPr>
              <w:pStyle w:val="0"/>
            </w:pPr>
            <w:r>
              <w:rPr>
                <w:sz w:val="20"/>
              </w:rPr>
              <w:t xml:space="preserve">2,7</w:t>
            </w:r>
          </w:p>
        </w:tc>
        <w:tc>
          <w:tcPr>
            <w:tcW w:w="964" w:type="dxa"/>
            <w:tcBorders>
              <w:top w:val="single" w:sz="4"/>
              <w:bottom w:val="single" w:sz="4"/>
            </w:tcBorders>
          </w:tcPr>
          <w:p>
            <w:pPr>
              <w:pStyle w:val="0"/>
            </w:pPr>
            <w:r>
              <w:rPr>
                <w:sz w:val="20"/>
              </w:rPr>
              <w:t xml:space="preserve">3,8</w:t>
            </w:r>
          </w:p>
        </w:tc>
        <w:tc>
          <w:tcPr>
            <w:tcW w:w="1120" w:type="dxa"/>
            <w:tcBorders>
              <w:top w:val="single" w:sz="4"/>
              <w:bottom w:val="single" w:sz="4"/>
            </w:tcBorders>
          </w:tcPr>
          <w:p>
            <w:pPr>
              <w:pStyle w:val="0"/>
            </w:pPr>
            <w:r>
              <w:rPr>
                <w:sz w:val="20"/>
              </w:rPr>
              <w:t xml:space="preserve">8,2</w:t>
            </w:r>
          </w:p>
        </w:tc>
        <w:tc>
          <w:tcPr>
            <w:tcW w:w="1020" w:type="dxa"/>
            <w:tcBorders>
              <w:top w:val="single" w:sz="4"/>
              <w:bottom w:val="single" w:sz="4"/>
            </w:tcBorders>
          </w:tcPr>
          <w:p>
            <w:pPr>
              <w:pStyle w:val="0"/>
            </w:pPr>
            <w:r>
              <w:rPr>
                <w:sz w:val="20"/>
              </w:rPr>
              <w:t xml:space="preserve">4,3</w:t>
            </w:r>
          </w:p>
        </w:tc>
        <w:tc>
          <w:tcPr>
            <w:tcW w:w="1020" w:type="dxa"/>
            <w:tcBorders>
              <w:top w:val="single" w:sz="4"/>
              <w:bottom w:val="single" w:sz="4"/>
            </w:tcBorders>
          </w:tcPr>
          <w:p>
            <w:pPr>
              <w:pStyle w:val="0"/>
            </w:pPr>
            <w:r>
              <w:rPr>
                <w:sz w:val="20"/>
              </w:rPr>
              <w:t xml:space="preserve">+203,7</w:t>
            </w:r>
          </w:p>
        </w:tc>
        <w:tc>
          <w:tcPr>
            <w:tcW w:w="992" w:type="dxa"/>
            <w:tcBorders>
              <w:top w:val="single" w:sz="4"/>
              <w:bottom w:val="single" w:sz="4"/>
            </w:tcBorders>
          </w:tcPr>
          <w:p>
            <w:pPr>
              <w:pStyle w:val="0"/>
            </w:pPr>
            <w:r>
              <w:rPr>
                <w:sz w:val="20"/>
              </w:rPr>
              <w:t xml:space="preserve">5,1</w:t>
            </w:r>
          </w:p>
        </w:tc>
        <w:tc>
          <w:tcPr>
            <w:tcW w:w="850" w:type="dxa"/>
            <w:tcBorders>
              <w:top w:val="single" w:sz="4"/>
              <w:bottom w:val="single" w:sz="4"/>
            </w:tcBorders>
          </w:tcPr>
          <w:p>
            <w:pPr>
              <w:pStyle w:val="0"/>
            </w:pPr>
            <w:r>
              <w:rPr>
                <w:sz w:val="20"/>
              </w:rPr>
              <w:t xml:space="preserve">2,2</w:t>
            </w:r>
          </w:p>
        </w:tc>
        <w:tc>
          <w:tcPr>
            <w:tcW w:w="992" w:type="dxa"/>
            <w:tcBorders>
              <w:top w:val="single" w:sz="4"/>
              <w:bottom w:val="single" w:sz="4"/>
            </w:tcBorders>
          </w:tcPr>
          <w:p>
            <w:pPr>
              <w:pStyle w:val="0"/>
            </w:pPr>
            <w:r>
              <w:rPr>
                <w:sz w:val="20"/>
              </w:rPr>
              <w:t xml:space="preserve">6,3</w:t>
            </w:r>
          </w:p>
        </w:tc>
        <w:tc>
          <w:tcPr>
            <w:tcW w:w="850" w:type="dxa"/>
            <w:tcBorders>
              <w:top w:val="single" w:sz="4"/>
              <w:bottom w:val="single" w:sz="4"/>
            </w:tcBorders>
          </w:tcPr>
          <w:p>
            <w:pPr>
              <w:pStyle w:val="0"/>
            </w:pPr>
            <w:r>
              <w:rPr>
                <w:sz w:val="20"/>
              </w:rPr>
              <w:t xml:space="preserve">3,0</w:t>
            </w:r>
          </w:p>
        </w:tc>
      </w:tr>
      <w:tr>
        <w:tblPrEx>
          <w:tblBorders>
            <w:insideH w:val="single" w:sz="4"/>
          </w:tblBorders>
        </w:tblPrEx>
        <w:tc>
          <w:tcPr>
            <w:tcW w:w="3231" w:type="dxa"/>
            <w:tcBorders>
              <w:top w:val="single" w:sz="4"/>
              <w:bottom w:val="single" w:sz="4"/>
            </w:tcBorders>
          </w:tcPr>
          <w:p>
            <w:pPr>
              <w:pStyle w:val="0"/>
            </w:pPr>
            <w:r>
              <w:rPr>
                <w:sz w:val="20"/>
              </w:rPr>
              <w:t xml:space="preserve">Болезни органов пищеварения</w:t>
            </w:r>
          </w:p>
        </w:tc>
        <w:tc>
          <w:tcPr>
            <w:tcW w:w="964" w:type="dxa"/>
            <w:tcBorders>
              <w:top w:val="single" w:sz="4"/>
              <w:bottom w:val="single" w:sz="4"/>
            </w:tcBorders>
          </w:tcPr>
          <w:p>
            <w:pPr>
              <w:pStyle w:val="0"/>
            </w:pPr>
            <w:r>
              <w:rPr>
                <w:sz w:val="20"/>
              </w:rPr>
              <w:t xml:space="preserve">16,7</w:t>
            </w:r>
          </w:p>
        </w:tc>
        <w:tc>
          <w:tcPr>
            <w:tcW w:w="964" w:type="dxa"/>
            <w:tcBorders>
              <w:top w:val="single" w:sz="4"/>
              <w:bottom w:val="single" w:sz="4"/>
            </w:tcBorders>
          </w:tcPr>
          <w:p>
            <w:pPr>
              <w:pStyle w:val="0"/>
            </w:pPr>
            <w:r>
              <w:rPr>
                <w:sz w:val="20"/>
              </w:rPr>
              <w:t xml:space="preserve">19,5</w:t>
            </w:r>
          </w:p>
        </w:tc>
        <w:tc>
          <w:tcPr>
            <w:tcW w:w="1120" w:type="dxa"/>
            <w:tcBorders>
              <w:top w:val="single" w:sz="4"/>
              <w:bottom w:val="single" w:sz="4"/>
            </w:tcBorders>
          </w:tcPr>
          <w:p>
            <w:pPr>
              <w:pStyle w:val="0"/>
            </w:pPr>
            <w:r>
              <w:rPr>
                <w:sz w:val="20"/>
              </w:rPr>
              <w:t xml:space="preserve">23,5</w:t>
            </w:r>
          </w:p>
        </w:tc>
        <w:tc>
          <w:tcPr>
            <w:tcW w:w="1020" w:type="dxa"/>
            <w:tcBorders>
              <w:top w:val="single" w:sz="4"/>
              <w:bottom w:val="single" w:sz="4"/>
            </w:tcBorders>
          </w:tcPr>
          <w:p>
            <w:pPr>
              <w:pStyle w:val="0"/>
            </w:pPr>
            <w:r>
              <w:rPr>
                <w:sz w:val="20"/>
              </w:rPr>
              <w:t xml:space="preserve">12,2</w:t>
            </w:r>
          </w:p>
        </w:tc>
        <w:tc>
          <w:tcPr>
            <w:tcW w:w="1020" w:type="dxa"/>
            <w:tcBorders>
              <w:top w:val="single" w:sz="4"/>
              <w:bottom w:val="single" w:sz="4"/>
            </w:tcBorders>
          </w:tcPr>
          <w:p>
            <w:pPr>
              <w:pStyle w:val="0"/>
            </w:pPr>
            <w:r>
              <w:rPr>
                <w:sz w:val="20"/>
              </w:rPr>
              <w:t xml:space="preserve">+40,7</w:t>
            </w:r>
          </w:p>
        </w:tc>
        <w:tc>
          <w:tcPr>
            <w:tcW w:w="992" w:type="dxa"/>
            <w:tcBorders>
              <w:top w:val="single" w:sz="4"/>
              <w:bottom w:val="single" w:sz="4"/>
            </w:tcBorders>
          </w:tcPr>
          <w:p>
            <w:pPr>
              <w:pStyle w:val="0"/>
            </w:pPr>
            <w:r>
              <w:rPr>
                <w:sz w:val="20"/>
              </w:rPr>
              <w:t xml:space="preserve">26,4</w:t>
            </w:r>
          </w:p>
        </w:tc>
        <w:tc>
          <w:tcPr>
            <w:tcW w:w="850" w:type="dxa"/>
            <w:tcBorders>
              <w:top w:val="single" w:sz="4"/>
              <w:bottom w:val="single" w:sz="4"/>
            </w:tcBorders>
          </w:tcPr>
          <w:p>
            <w:pPr>
              <w:pStyle w:val="0"/>
            </w:pPr>
            <w:r>
              <w:rPr>
                <w:sz w:val="20"/>
              </w:rPr>
              <w:t xml:space="preserve">11,6</w:t>
            </w:r>
          </w:p>
        </w:tc>
        <w:tc>
          <w:tcPr>
            <w:tcW w:w="992" w:type="dxa"/>
            <w:tcBorders>
              <w:top w:val="single" w:sz="4"/>
              <w:bottom w:val="single" w:sz="4"/>
            </w:tcBorders>
          </w:tcPr>
          <w:p>
            <w:pPr>
              <w:pStyle w:val="0"/>
            </w:pPr>
            <w:r>
              <w:rPr>
                <w:sz w:val="20"/>
              </w:rPr>
              <w:t xml:space="preserve">26,1</w:t>
            </w:r>
          </w:p>
        </w:tc>
        <w:tc>
          <w:tcPr>
            <w:tcW w:w="850" w:type="dxa"/>
            <w:tcBorders>
              <w:top w:val="single" w:sz="4"/>
              <w:bottom w:val="single" w:sz="4"/>
            </w:tcBorders>
          </w:tcPr>
          <w:p>
            <w:pPr>
              <w:pStyle w:val="0"/>
            </w:pPr>
            <w:r>
              <w:rPr>
                <w:sz w:val="20"/>
              </w:rPr>
              <w:t xml:space="preserve">12,6</w:t>
            </w:r>
          </w:p>
        </w:tc>
      </w:tr>
      <w:tr>
        <w:tc>
          <w:tcPr>
            <w:tcW w:w="3231" w:type="dxa"/>
            <w:tcBorders>
              <w:top w:val="single" w:sz="4"/>
              <w:bottom w:val="nil"/>
            </w:tcBorders>
          </w:tcPr>
          <w:p>
            <w:pPr>
              <w:pStyle w:val="0"/>
            </w:pPr>
            <w:r>
              <w:rPr>
                <w:sz w:val="20"/>
              </w:rPr>
              <w:t xml:space="preserve">Травмы, отравления и некоторые другие последствия воздействия внешних причин</w:t>
            </w:r>
          </w:p>
        </w:tc>
        <w:tc>
          <w:tcPr>
            <w:tcW w:w="964" w:type="dxa"/>
            <w:tcBorders>
              <w:top w:val="single" w:sz="4"/>
              <w:bottom w:val="nil"/>
            </w:tcBorders>
          </w:tcPr>
          <w:p>
            <w:pPr>
              <w:pStyle w:val="0"/>
            </w:pPr>
            <w:r>
              <w:rPr>
                <w:sz w:val="20"/>
              </w:rPr>
              <w:t xml:space="preserve">32,4</w:t>
            </w:r>
          </w:p>
        </w:tc>
        <w:tc>
          <w:tcPr>
            <w:tcW w:w="964" w:type="dxa"/>
            <w:tcBorders>
              <w:top w:val="single" w:sz="4"/>
              <w:bottom w:val="nil"/>
            </w:tcBorders>
          </w:tcPr>
          <w:p>
            <w:pPr>
              <w:pStyle w:val="0"/>
            </w:pPr>
            <w:r>
              <w:rPr>
                <w:sz w:val="20"/>
              </w:rPr>
              <w:t xml:space="preserve">30,2</w:t>
            </w:r>
          </w:p>
        </w:tc>
        <w:tc>
          <w:tcPr>
            <w:tcW w:w="1120" w:type="dxa"/>
            <w:tcBorders>
              <w:top w:val="single" w:sz="4"/>
              <w:bottom w:val="nil"/>
            </w:tcBorders>
          </w:tcPr>
          <w:p>
            <w:pPr>
              <w:pStyle w:val="0"/>
            </w:pPr>
            <w:r>
              <w:rPr>
                <w:sz w:val="20"/>
              </w:rPr>
              <w:t xml:space="preserve">25,7</w:t>
            </w:r>
          </w:p>
        </w:tc>
        <w:tc>
          <w:tcPr>
            <w:tcW w:w="1020" w:type="dxa"/>
            <w:tcBorders>
              <w:top w:val="single" w:sz="4"/>
              <w:bottom w:val="nil"/>
            </w:tcBorders>
          </w:tcPr>
          <w:p>
            <w:pPr>
              <w:pStyle w:val="0"/>
            </w:pPr>
            <w:r>
              <w:rPr>
                <w:sz w:val="20"/>
              </w:rPr>
              <w:t xml:space="preserve">13,4</w:t>
            </w:r>
          </w:p>
        </w:tc>
        <w:tc>
          <w:tcPr>
            <w:tcW w:w="1020" w:type="dxa"/>
            <w:tcBorders>
              <w:top w:val="single" w:sz="4"/>
              <w:bottom w:val="nil"/>
            </w:tcBorders>
          </w:tcPr>
          <w:p>
            <w:pPr>
              <w:pStyle w:val="0"/>
            </w:pPr>
            <w:r>
              <w:rPr>
                <w:sz w:val="20"/>
              </w:rPr>
              <w:t xml:space="preserve">-20,7</w:t>
            </w:r>
          </w:p>
        </w:tc>
        <w:tc>
          <w:tcPr>
            <w:tcW w:w="992" w:type="dxa"/>
            <w:tcBorders>
              <w:top w:val="single" w:sz="4"/>
              <w:bottom w:val="nil"/>
            </w:tcBorders>
          </w:tcPr>
          <w:p>
            <w:pPr>
              <w:pStyle w:val="0"/>
            </w:pPr>
            <w:r>
              <w:rPr>
                <w:sz w:val="20"/>
              </w:rPr>
              <w:t xml:space="preserve">38,7</w:t>
            </w:r>
          </w:p>
        </w:tc>
        <w:tc>
          <w:tcPr>
            <w:tcW w:w="850" w:type="dxa"/>
            <w:tcBorders>
              <w:top w:val="single" w:sz="4"/>
              <w:bottom w:val="nil"/>
            </w:tcBorders>
          </w:tcPr>
          <w:p>
            <w:pPr>
              <w:pStyle w:val="0"/>
            </w:pPr>
            <w:r>
              <w:rPr>
                <w:sz w:val="20"/>
              </w:rPr>
              <w:t xml:space="preserve">17,1</w:t>
            </w:r>
          </w:p>
        </w:tc>
        <w:tc>
          <w:tcPr>
            <w:tcW w:w="992" w:type="dxa"/>
            <w:tcBorders>
              <w:top w:val="single" w:sz="4"/>
              <w:bottom w:val="nil"/>
            </w:tcBorders>
          </w:tcPr>
          <w:p>
            <w:pPr>
              <w:pStyle w:val="0"/>
            </w:pPr>
            <w:r>
              <w:rPr>
                <w:sz w:val="20"/>
              </w:rPr>
              <w:t xml:space="preserve">35,1</w:t>
            </w:r>
          </w:p>
        </w:tc>
        <w:tc>
          <w:tcPr>
            <w:tcW w:w="850" w:type="dxa"/>
            <w:tcBorders>
              <w:top w:val="single" w:sz="4"/>
              <w:bottom w:val="nil"/>
            </w:tcBorders>
          </w:tcPr>
          <w:p>
            <w:pPr>
              <w:pStyle w:val="0"/>
            </w:pPr>
            <w:r>
              <w:rPr>
                <w:sz w:val="20"/>
              </w:rPr>
              <w:t xml:space="preserve">16,9</w:t>
            </w:r>
          </w:p>
        </w:tc>
      </w:tr>
      <w:tr>
        <w:tc>
          <w:tcPr>
            <w:tcW w:w="3231" w:type="dxa"/>
            <w:tcBorders>
              <w:top w:val="nil"/>
              <w:bottom w:val="nil"/>
            </w:tcBorders>
          </w:tcPr>
          <w:p>
            <w:pPr>
              <w:pStyle w:val="0"/>
            </w:pPr>
            <w:r>
              <w:rPr>
                <w:sz w:val="20"/>
              </w:rPr>
              <w:t xml:space="preserve">из них: транспортные всех видов</w:t>
            </w:r>
          </w:p>
        </w:tc>
        <w:tc>
          <w:tcPr>
            <w:tcW w:w="964" w:type="dxa"/>
            <w:tcBorders>
              <w:top w:val="nil"/>
              <w:bottom w:val="nil"/>
            </w:tcBorders>
          </w:tcPr>
          <w:p>
            <w:pPr>
              <w:pStyle w:val="0"/>
            </w:pPr>
            <w:r>
              <w:rPr>
                <w:sz w:val="20"/>
              </w:rPr>
              <w:t xml:space="preserve">6,3</w:t>
            </w:r>
          </w:p>
        </w:tc>
        <w:tc>
          <w:tcPr>
            <w:tcW w:w="964" w:type="dxa"/>
            <w:tcBorders>
              <w:top w:val="nil"/>
              <w:bottom w:val="nil"/>
            </w:tcBorders>
          </w:tcPr>
          <w:p>
            <w:pPr>
              <w:pStyle w:val="0"/>
            </w:pPr>
            <w:r>
              <w:rPr>
                <w:sz w:val="20"/>
              </w:rPr>
              <w:t xml:space="preserve">6,9</w:t>
            </w:r>
          </w:p>
        </w:tc>
        <w:tc>
          <w:tcPr>
            <w:tcW w:w="1120" w:type="dxa"/>
            <w:tcBorders>
              <w:top w:val="nil"/>
              <w:bottom w:val="nil"/>
            </w:tcBorders>
          </w:tcPr>
          <w:p>
            <w:pPr>
              <w:pStyle w:val="0"/>
            </w:pPr>
            <w:r>
              <w:rPr>
                <w:sz w:val="20"/>
              </w:rPr>
              <w:t xml:space="preserve">5,1</w:t>
            </w:r>
          </w:p>
        </w:tc>
        <w:tc>
          <w:tcPr>
            <w:tcW w:w="1020"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-19,0</w:t>
            </w:r>
          </w:p>
        </w:tc>
        <w:tc>
          <w:tcPr>
            <w:tcW w:w="992" w:type="dxa"/>
            <w:tcBorders>
              <w:top w:val="nil"/>
              <w:bottom w:val="nil"/>
            </w:tcBorders>
          </w:tcPr>
          <w:p>
            <w:pPr>
              <w:pStyle w:val="0"/>
            </w:pPr>
            <w:r>
              <w:rPr>
                <w:sz w:val="20"/>
              </w:rPr>
              <w:t xml:space="preserve">7,1</w:t>
            </w:r>
          </w:p>
        </w:tc>
        <w:tc>
          <w:tcPr>
            <w:tcW w:w="850" w:type="dxa"/>
            <w:tcBorders>
              <w:top w:val="nil"/>
              <w:bottom w:val="nil"/>
            </w:tcBorders>
          </w:tcPr>
          <w:p>
            <w:pPr>
              <w:pStyle w:val="0"/>
            </w:pPr>
            <w:r>
              <w:rPr>
                <w:sz w:val="20"/>
              </w:rPr>
            </w:r>
          </w:p>
        </w:tc>
        <w:tc>
          <w:tcPr>
            <w:tcW w:w="992" w:type="dxa"/>
            <w:tcBorders>
              <w:top w:val="nil"/>
              <w:bottom w:val="nil"/>
            </w:tcBorders>
          </w:tcPr>
          <w:p>
            <w:pPr>
              <w:pStyle w:val="0"/>
            </w:pPr>
            <w:r>
              <w:rPr>
                <w:sz w:val="20"/>
              </w:rPr>
              <w:t xml:space="preserve">6,6</w:t>
            </w:r>
          </w:p>
        </w:tc>
        <w:tc>
          <w:tcPr>
            <w:tcW w:w="850" w:type="dxa"/>
            <w:tcBorders>
              <w:top w:val="nil"/>
              <w:bottom w:val="nil"/>
            </w:tcBorders>
          </w:tcPr>
          <w:p>
            <w:pPr>
              <w:pStyle w:val="0"/>
            </w:pPr>
            <w:r>
              <w:rPr>
                <w:sz w:val="20"/>
              </w:rPr>
            </w:r>
          </w:p>
        </w:tc>
      </w:tr>
      <w:tr>
        <w:tc>
          <w:tcPr>
            <w:tcW w:w="3231" w:type="dxa"/>
            <w:tcBorders>
              <w:top w:val="nil"/>
              <w:bottom w:val="nil"/>
            </w:tcBorders>
          </w:tcPr>
          <w:p>
            <w:pPr>
              <w:pStyle w:val="0"/>
            </w:pPr>
            <w:r>
              <w:rPr>
                <w:sz w:val="20"/>
              </w:rPr>
              <w:t xml:space="preserve">из них: от ДТП</w:t>
            </w:r>
          </w:p>
        </w:tc>
        <w:tc>
          <w:tcPr>
            <w:tcW w:w="964" w:type="dxa"/>
            <w:tcBorders>
              <w:top w:val="nil"/>
              <w:bottom w:val="nil"/>
            </w:tcBorders>
          </w:tcPr>
          <w:p>
            <w:pPr>
              <w:pStyle w:val="0"/>
            </w:pPr>
            <w:r>
              <w:rPr>
                <w:sz w:val="20"/>
              </w:rPr>
              <w:t xml:space="preserve">5,9</w:t>
            </w:r>
          </w:p>
        </w:tc>
        <w:tc>
          <w:tcPr>
            <w:tcW w:w="964" w:type="dxa"/>
            <w:tcBorders>
              <w:top w:val="nil"/>
              <w:bottom w:val="nil"/>
            </w:tcBorders>
          </w:tcPr>
          <w:p>
            <w:pPr>
              <w:pStyle w:val="0"/>
            </w:pPr>
            <w:r>
              <w:rPr>
                <w:sz w:val="20"/>
              </w:rPr>
              <w:t xml:space="preserve">5,7</w:t>
            </w:r>
          </w:p>
        </w:tc>
        <w:tc>
          <w:tcPr>
            <w:tcW w:w="1120" w:type="dxa"/>
            <w:tcBorders>
              <w:top w:val="nil"/>
              <w:bottom w:val="nil"/>
            </w:tcBorders>
          </w:tcPr>
          <w:p>
            <w:pPr>
              <w:pStyle w:val="0"/>
            </w:pPr>
            <w:r>
              <w:rPr>
                <w:sz w:val="20"/>
              </w:rPr>
              <w:t xml:space="preserve">4,5</w:t>
            </w:r>
          </w:p>
        </w:tc>
        <w:tc>
          <w:tcPr>
            <w:tcW w:w="1020"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-23,7</w:t>
            </w:r>
          </w:p>
        </w:tc>
        <w:tc>
          <w:tcPr>
            <w:tcW w:w="992" w:type="dxa"/>
            <w:tcBorders>
              <w:top w:val="nil"/>
              <w:bottom w:val="nil"/>
            </w:tcBorders>
          </w:tcPr>
          <w:p>
            <w:pPr>
              <w:pStyle w:val="0"/>
            </w:pPr>
            <w:r>
              <w:rPr>
                <w:sz w:val="20"/>
              </w:rPr>
              <w:t xml:space="preserve">6,0</w:t>
            </w:r>
          </w:p>
        </w:tc>
        <w:tc>
          <w:tcPr>
            <w:tcW w:w="850" w:type="dxa"/>
            <w:tcBorders>
              <w:top w:val="nil"/>
              <w:bottom w:val="nil"/>
            </w:tcBorders>
          </w:tcPr>
          <w:p>
            <w:pPr>
              <w:pStyle w:val="0"/>
            </w:pPr>
            <w:r>
              <w:rPr>
                <w:sz w:val="20"/>
              </w:rPr>
            </w:r>
          </w:p>
        </w:tc>
        <w:tc>
          <w:tcPr>
            <w:tcW w:w="992" w:type="dxa"/>
            <w:tcBorders>
              <w:top w:val="nil"/>
              <w:bottom w:val="nil"/>
            </w:tcBorders>
          </w:tcPr>
          <w:p>
            <w:pPr>
              <w:pStyle w:val="0"/>
            </w:pPr>
            <w:r>
              <w:rPr>
                <w:sz w:val="20"/>
              </w:rPr>
              <w:t xml:space="preserve">5,3</w:t>
            </w:r>
          </w:p>
        </w:tc>
        <w:tc>
          <w:tcPr>
            <w:tcW w:w="850" w:type="dxa"/>
            <w:tcBorders>
              <w:top w:val="nil"/>
              <w:bottom w:val="nil"/>
            </w:tcBorders>
          </w:tcPr>
          <w:p>
            <w:pPr>
              <w:pStyle w:val="0"/>
            </w:pPr>
            <w:r>
              <w:rPr>
                <w:sz w:val="20"/>
              </w:rPr>
            </w:r>
          </w:p>
        </w:tc>
      </w:tr>
      <w:tr>
        <w:tc>
          <w:tcPr>
            <w:tcW w:w="3231" w:type="dxa"/>
            <w:tcBorders>
              <w:top w:val="nil"/>
              <w:bottom w:val="nil"/>
            </w:tcBorders>
          </w:tcPr>
          <w:p>
            <w:pPr>
              <w:pStyle w:val="0"/>
            </w:pPr>
            <w:r>
              <w:rPr>
                <w:sz w:val="20"/>
              </w:rPr>
              <w:t xml:space="preserve">случайные отравления алкоголем</w:t>
            </w:r>
          </w:p>
        </w:tc>
        <w:tc>
          <w:tcPr>
            <w:tcW w:w="964" w:type="dxa"/>
            <w:tcBorders>
              <w:top w:val="nil"/>
              <w:bottom w:val="nil"/>
            </w:tcBorders>
          </w:tcPr>
          <w:p>
            <w:pPr>
              <w:pStyle w:val="0"/>
            </w:pPr>
            <w:r>
              <w:rPr>
                <w:sz w:val="20"/>
              </w:rPr>
              <w:t xml:space="preserve">2,5</w:t>
            </w:r>
          </w:p>
        </w:tc>
        <w:tc>
          <w:tcPr>
            <w:tcW w:w="964" w:type="dxa"/>
            <w:tcBorders>
              <w:top w:val="nil"/>
              <w:bottom w:val="nil"/>
            </w:tcBorders>
          </w:tcPr>
          <w:p>
            <w:pPr>
              <w:pStyle w:val="0"/>
            </w:pPr>
            <w:r>
              <w:rPr>
                <w:sz w:val="20"/>
              </w:rPr>
              <w:t xml:space="preserve">2,5</w:t>
            </w:r>
          </w:p>
        </w:tc>
        <w:tc>
          <w:tcPr>
            <w:tcW w:w="1120" w:type="dxa"/>
            <w:tcBorders>
              <w:top w:val="nil"/>
              <w:bottom w:val="nil"/>
            </w:tcBorders>
          </w:tcPr>
          <w:p>
            <w:pPr>
              <w:pStyle w:val="0"/>
            </w:pPr>
            <w:r>
              <w:rPr>
                <w:sz w:val="20"/>
              </w:rPr>
              <w:t xml:space="preserve">1,4</w:t>
            </w:r>
          </w:p>
        </w:tc>
        <w:tc>
          <w:tcPr>
            <w:tcW w:w="1020"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-44,0</w:t>
            </w:r>
          </w:p>
        </w:tc>
        <w:tc>
          <w:tcPr>
            <w:tcW w:w="992" w:type="dxa"/>
            <w:tcBorders>
              <w:top w:val="nil"/>
              <w:bottom w:val="nil"/>
            </w:tcBorders>
          </w:tcPr>
          <w:p>
            <w:pPr>
              <w:pStyle w:val="0"/>
            </w:pPr>
            <w:r>
              <w:rPr>
                <w:sz w:val="20"/>
              </w:rPr>
              <w:t xml:space="preserve">3,2</w:t>
            </w:r>
          </w:p>
        </w:tc>
        <w:tc>
          <w:tcPr>
            <w:tcW w:w="850" w:type="dxa"/>
            <w:tcBorders>
              <w:top w:val="nil"/>
              <w:bottom w:val="nil"/>
            </w:tcBorders>
          </w:tcPr>
          <w:p>
            <w:pPr>
              <w:pStyle w:val="0"/>
            </w:pPr>
            <w:r>
              <w:rPr>
                <w:sz w:val="20"/>
              </w:rPr>
            </w:r>
          </w:p>
        </w:tc>
        <w:tc>
          <w:tcPr>
            <w:tcW w:w="992" w:type="dxa"/>
            <w:tcBorders>
              <w:top w:val="nil"/>
              <w:bottom w:val="nil"/>
            </w:tcBorders>
          </w:tcPr>
          <w:p>
            <w:pPr>
              <w:pStyle w:val="0"/>
            </w:pPr>
            <w:r>
              <w:rPr>
                <w:sz w:val="20"/>
              </w:rPr>
              <w:t xml:space="preserve">2,4</w:t>
            </w:r>
          </w:p>
        </w:tc>
        <w:tc>
          <w:tcPr>
            <w:tcW w:w="850" w:type="dxa"/>
            <w:tcBorders>
              <w:top w:val="nil"/>
              <w:bottom w:val="nil"/>
            </w:tcBorders>
          </w:tcPr>
          <w:p>
            <w:pPr>
              <w:pStyle w:val="0"/>
            </w:pPr>
            <w:r>
              <w:rPr>
                <w:sz w:val="20"/>
              </w:rPr>
            </w:r>
          </w:p>
        </w:tc>
      </w:tr>
      <w:tr>
        <w:tc>
          <w:tcPr>
            <w:tcW w:w="3231" w:type="dxa"/>
            <w:tcBorders>
              <w:top w:val="nil"/>
              <w:bottom w:val="nil"/>
            </w:tcBorders>
          </w:tcPr>
          <w:p>
            <w:pPr>
              <w:pStyle w:val="0"/>
            </w:pPr>
            <w:r>
              <w:rPr>
                <w:sz w:val="20"/>
              </w:rPr>
              <w:t xml:space="preserve">самоубийства</w:t>
            </w:r>
          </w:p>
        </w:tc>
        <w:tc>
          <w:tcPr>
            <w:tcW w:w="964" w:type="dxa"/>
            <w:tcBorders>
              <w:top w:val="nil"/>
              <w:bottom w:val="nil"/>
            </w:tcBorders>
          </w:tcPr>
          <w:p>
            <w:pPr>
              <w:pStyle w:val="0"/>
            </w:pPr>
            <w:r>
              <w:rPr>
                <w:sz w:val="20"/>
              </w:rPr>
              <w:t xml:space="preserve">4,0</w:t>
            </w:r>
          </w:p>
        </w:tc>
        <w:tc>
          <w:tcPr>
            <w:tcW w:w="964" w:type="dxa"/>
            <w:tcBorders>
              <w:top w:val="nil"/>
              <w:bottom w:val="nil"/>
            </w:tcBorders>
          </w:tcPr>
          <w:p>
            <w:pPr>
              <w:pStyle w:val="0"/>
            </w:pPr>
            <w:r>
              <w:rPr>
                <w:sz w:val="20"/>
              </w:rPr>
              <w:t xml:space="preserve">1,7</w:t>
            </w:r>
          </w:p>
        </w:tc>
        <w:tc>
          <w:tcPr>
            <w:tcW w:w="1120" w:type="dxa"/>
            <w:tcBorders>
              <w:top w:val="nil"/>
              <w:bottom w:val="nil"/>
            </w:tcBorders>
          </w:tcPr>
          <w:p>
            <w:pPr>
              <w:pStyle w:val="0"/>
            </w:pPr>
            <w:r>
              <w:rPr>
                <w:sz w:val="20"/>
              </w:rPr>
              <w:t xml:space="preserve">1,9</w:t>
            </w:r>
          </w:p>
        </w:tc>
        <w:tc>
          <w:tcPr>
            <w:tcW w:w="1020"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-52,5</w:t>
            </w:r>
          </w:p>
        </w:tc>
        <w:tc>
          <w:tcPr>
            <w:tcW w:w="992" w:type="dxa"/>
            <w:tcBorders>
              <w:top w:val="nil"/>
              <w:bottom w:val="nil"/>
            </w:tcBorders>
          </w:tcPr>
          <w:p>
            <w:pPr>
              <w:pStyle w:val="0"/>
            </w:pPr>
            <w:r>
              <w:rPr>
                <w:sz w:val="20"/>
              </w:rPr>
              <w:t xml:space="preserve">3,8</w:t>
            </w:r>
          </w:p>
        </w:tc>
        <w:tc>
          <w:tcPr>
            <w:tcW w:w="850" w:type="dxa"/>
            <w:tcBorders>
              <w:top w:val="nil"/>
              <w:bottom w:val="nil"/>
            </w:tcBorders>
          </w:tcPr>
          <w:p>
            <w:pPr>
              <w:pStyle w:val="0"/>
            </w:pPr>
            <w:r>
              <w:rPr>
                <w:sz w:val="20"/>
              </w:rPr>
            </w:r>
          </w:p>
        </w:tc>
        <w:tc>
          <w:tcPr>
            <w:tcW w:w="992" w:type="dxa"/>
            <w:tcBorders>
              <w:top w:val="nil"/>
              <w:bottom w:val="nil"/>
            </w:tcBorders>
          </w:tcPr>
          <w:p>
            <w:pPr>
              <w:pStyle w:val="0"/>
            </w:pPr>
            <w:r>
              <w:rPr>
                <w:sz w:val="20"/>
              </w:rPr>
              <w:t xml:space="preserve">3,6</w:t>
            </w:r>
          </w:p>
        </w:tc>
        <w:tc>
          <w:tcPr>
            <w:tcW w:w="850" w:type="dxa"/>
            <w:tcBorders>
              <w:top w:val="nil"/>
              <w:bottom w:val="nil"/>
            </w:tcBorders>
          </w:tcPr>
          <w:p>
            <w:pPr>
              <w:pStyle w:val="0"/>
            </w:pPr>
            <w:r>
              <w:rPr>
                <w:sz w:val="20"/>
              </w:rPr>
            </w:r>
          </w:p>
        </w:tc>
      </w:tr>
      <w:tr>
        <w:tc>
          <w:tcPr>
            <w:tcW w:w="3231" w:type="dxa"/>
            <w:tcBorders>
              <w:top w:val="nil"/>
              <w:bottom w:val="nil"/>
            </w:tcBorders>
          </w:tcPr>
          <w:p>
            <w:pPr>
              <w:pStyle w:val="0"/>
            </w:pPr>
            <w:r>
              <w:rPr>
                <w:sz w:val="20"/>
              </w:rPr>
              <w:t xml:space="preserve">убийства</w:t>
            </w:r>
          </w:p>
        </w:tc>
        <w:tc>
          <w:tcPr>
            <w:tcW w:w="964" w:type="dxa"/>
            <w:tcBorders>
              <w:top w:val="nil"/>
              <w:bottom w:val="nil"/>
            </w:tcBorders>
          </w:tcPr>
          <w:p>
            <w:pPr>
              <w:pStyle w:val="0"/>
            </w:pPr>
            <w:r>
              <w:rPr>
                <w:sz w:val="20"/>
              </w:rPr>
              <w:t xml:space="preserve">3,1</w:t>
            </w:r>
          </w:p>
        </w:tc>
        <w:tc>
          <w:tcPr>
            <w:tcW w:w="964" w:type="dxa"/>
            <w:tcBorders>
              <w:top w:val="nil"/>
              <w:bottom w:val="nil"/>
            </w:tcBorders>
          </w:tcPr>
          <w:p>
            <w:pPr>
              <w:pStyle w:val="0"/>
            </w:pPr>
            <w:r>
              <w:rPr>
                <w:sz w:val="20"/>
              </w:rPr>
              <w:t xml:space="preserve">1,1</w:t>
            </w:r>
          </w:p>
        </w:tc>
        <w:tc>
          <w:tcPr>
            <w:tcW w:w="1120" w:type="dxa"/>
            <w:tcBorders>
              <w:top w:val="nil"/>
              <w:bottom w:val="nil"/>
            </w:tcBorders>
          </w:tcPr>
          <w:p>
            <w:pPr>
              <w:pStyle w:val="0"/>
            </w:pPr>
            <w:r>
              <w:rPr>
                <w:sz w:val="20"/>
              </w:rPr>
              <w:t xml:space="preserve">1,0</w:t>
            </w:r>
          </w:p>
        </w:tc>
        <w:tc>
          <w:tcPr>
            <w:tcW w:w="1020" w:type="dxa"/>
            <w:tcBorders>
              <w:top w:val="nil"/>
              <w:bottom w:val="nil"/>
            </w:tcBorders>
          </w:tcPr>
          <w:p>
            <w:pPr>
              <w:pStyle w:val="0"/>
            </w:pPr>
            <w:r>
              <w:rPr>
                <w:sz w:val="20"/>
              </w:rPr>
            </w:r>
          </w:p>
        </w:tc>
        <w:tc>
          <w:tcPr>
            <w:tcW w:w="1020" w:type="dxa"/>
            <w:tcBorders>
              <w:top w:val="nil"/>
              <w:bottom w:val="nil"/>
            </w:tcBorders>
          </w:tcPr>
          <w:p>
            <w:pPr>
              <w:pStyle w:val="0"/>
            </w:pPr>
            <w:r>
              <w:rPr>
                <w:sz w:val="20"/>
              </w:rPr>
              <w:t xml:space="preserve">-67,7</w:t>
            </w:r>
          </w:p>
        </w:tc>
        <w:tc>
          <w:tcPr>
            <w:tcW w:w="992" w:type="dxa"/>
            <w:tcBorders>
              <w:top w:val="nil"/>
              <w:bottom w:val="nil"/>
            </w:tcBorders>
          </w:tcPr>
          <w:p>
            <w:pPr>
              <w:pStyle w:val="0"/>
            </w:pPr>
            <w:r>
              <w:rPr>
                <w:sz w:val="20"/>
              </w:rPr>
              <w:t xml:space="preserve">3,5</w:t>
            </w:r>
          </w:p>
        </w:tc>
        <w:tc>
          <w:tcPr>
            <w:tcW w:w="850" w:type="dxa"/>
            <w:tcBorders>
              <w:top w:val="nil"/>
              <w:bottom w:val="nil"/>
            </w:tcBorders>
          </w:tcPr>
          <w:p>
            <w:pPr>
              <w:pStyle w:val="0"/>
            </w:pPr>
            <w:r>
              <w:rPr>
                <w:sz w:val="20"/>
              </w:rPr>
            </w:r>
          </w:p>
        </w:tc>
        <w:tc>
          <w:tcPr>
            <w:tcW w:w="992" w:type="dxa"/>
            <w:tcBorders>
              <w:top w:val="nil"/>
              <w:bottom w:val="nil"/>
            </w:tcBorders>
          </w:tcPr>
          <w:p>
            <w:pPr>
              <w:pStyle w:val="0"/>
            </w:pPr>
            <w:r>
              <w:rPr>
                <w:sz w:val="20"/>
              </w:rPr>
              <w:t xml:space="preserve">2,9</w:t>
            </w:r>
          </w:p>
        </w:tc>
        <w:tc>
          <w:tcPr>
            <w:tcW w:w="850" w:type="dxa"/>
            <w:tcBorders>
              <w:top w:val="nil"/>
              <w:bottom w:val="nil"/>
            </w:tcBorders>
          </w:tcPr>
          <w:p>
            <w:pPr>
              <w:pStyle w:val="0"/>
            </w:pPr>
            <w:r>
              <w:rPr>
                <w:sz w:val="20"/>
              </w:rPr>
            </w:r>
          </w:p>
        </w:tc>
      </w:tr>
      <w:tr>
        <w:tc>
          <w:tcPr>
            <w:tcW w:w="3231" w:type="dxa"/>
            <w:tcBorders>
              <w:top w:val="nil"/>
              <w:bottom w:val="single" w:sz="4"/>
            </w:tcBorders>
          </w:tcPr>
          <w:p>
            <w:pPr>
              <w:pStyle w:val="0"/>
            </w:pPr>
            <w:r>
              <w:rPr>
                <w:sz w:val="20"/>
              </w:rPr>
              <w:t xml:space="preserve">воздействие алкоголем с неопределенными намерениями</w:t>
            </w:r>
          </w:p>
        </w:tc>
        <w:tc>
          <w:tcPr>
            <w:tcW w:w="964" w:type="dxa"/>
            <w:tcBorders>
              <w:top w:val="nil"/>
              <w:bottom w:val="single" w:sz="4"/>
            </w:tcBorders>
          </w:tcPr>
          <w:p>
            <w:pPr>
              <w:pStyle w:val="0"/>
            </w:pPr>
            <w:r>
              <w:rPr>
                <w:sz w:val="20"/>
              </w:rPr>
              <w:t xml:space="preserve">1,7</w:t>
            </w:r>
          </w:p>
        </w:tc>
        <w:tc>
          <w:tcPr>
            <w:tcW w:w="964" w:type="dxa"/>
            <w:tcBorders>
              <w:top w:val="nil"/>
              <w:bottom w:val="single" w:sz="4"/>
            </w:tcBorders>
          </w:tcPr>
          <w:p>
            <w:pPr>
              <w:pStyle w:val="0"/>
            </w:pPr>
            <w:r>
              <w:rPr>
                <w:sz w:val="20"/>
              </w:rPr>
              <w:t xml:space="preserve">2,5</w:t>
            </w:r>
          </w:p>
        </w:tc>
        <w:tc>
          <w:tcPr>
            <w:tcW w:w="1120" w:type="dxa"/>
            <w:tcBorders>
              <w:top w:val="nil"/>
              <w:bottom w:val="single" w:sz="4"/>
            </w:tcBorders>
          </w:tcPr>
          <w:p>
            <w:pPr>
              <w:pStyle w:val="0"/>
            </w:pPr>
            <w:r>
              <w:rPr>
                <w:sz w:val="20"/>
              </w:rPr>
              <w:t xml:space="preserve">1,6</w:t>
            </w:r>
          </w:p>
        </w:tc>
        <w:tc>
          <w:tcPr>
            <w:tcW w:w="1020" w:type="dxa"/>
            <w:tcBorders>
              <w:top w:val="nil"/>
              <w:bottom w:val="single" w:sz="4"/>
            </w:tcBorders>
          </w:tcPr>
          <w:p>
            <w:pPr>
              <w:pStyle w:val="0"/>
            </w:pPr>
            <w:r>
              <w:rPr>
                <w:sz w:val="20"/>
              </w:rPr>
            </w:r>
          </w:p>
        </w:tc>
        <w:tc>
          <w:tcPr>
            <w:tcW w:w="1020" w:type="dxa"/>
            <w:tcBorders>
              <w:top w:val="nil"/>
              <w:bottom w:val="single" w:sz="4"/>
            </w:tcBorders>
          </w:tcPr>
          <w:p>
            <w:pPr>
              <w:pStyle w:val="0"/>
            </w:pPr>
            <w:r>
              <w:rPr>
                <w:sz w:val="20"/>
              </w:rPr>
              <w:t xml:space="preserve">-5,9</w:t>
            </w:r>
          </w:p>
        </w:tc>
        <w:tc>
          <w:tcPr>
            <w:tcW w:w="992" w:type="dxa"/>
            <w:tcBorders>
              <w:top w:val="nil"/>
              <w:bottom w:val="single" w:sz="4"/>
            </w:tcBorders>
          </w:tcPr>
          <w:p>
            <w:pPr>
              <w:pStyle w:val="0"/>
            </w:pPr>
            <w:r>
              <w:rPr>
                <w:sz w:val="20"/>
              </w:rPr>
              <w:t xml:space="preserve">1,0</w:t>
            </w:r>
          </w:p>
        </w:tc>
        <w:tc>
          <w:tcPr>
            <w:tcW w:w="850" w:type="dxa"/>
            <w:tcBorders>
              <w:top w:val="nil"/>
              <w:bottom w:val="single" w:sz="4"/>
            </w:tcBorders>
          </w:tcPr>
          <w:p>
            <w:pPr>
              <w:pStyle w:val="0"/>
            </w:pPr>
            <w:r>
              <w:rPr>
                <w:sz w:val="20"/>
              </w:rPr>
            </w:r>
          </w:p>
        </w:tc>
        <w:tc>
          <w:tcPr>
            <w:tcW w:w="992" w:type="dxa"/>
            <w:tcBorders>
              <w:top w:val="nil"/>
              <w:bottom w:val="single" w:sz="4"/>
            </w:tcBorders>
          </w:tcPr>
          <w:p>
            <w:pPr>
              <w:pStyle w:val="0"/>
            </w:pPr>
            <w:r>
              <w:rPr>
                <w:sz w:val="20"/>
              </w:rPr>
              <w:t xml:space="preserve">0,7</w:t>
            </w:r>
          </w:p>
        </w:tc>
        <w:tc>
          <w:tcPr>
            <w:tcW w:w="850" w:type="dxa"/>
            <w:tcBorders>
              <w:top w:val="nil"/>
              <w:bottom w:val="single" w:sz="4"/>
            </w:tcBorders>
          </w:tcPr>
          <w:p>
            <w:pPr>
              <w:pStyle w:val="0"/>
            </w:pPr>
            <w:r>
              <w:rPr>
                <w:sz w:val="20"/>
              </w:rPr>
            </w:r>
          </w:p>
        </w:tc>
      </w:tr>
      <w:tr>
        <w:tblPrEx>
          <w:tblBorders>
            <w:insideH w:val="single" w:sz="4"/>
          </w:tblBorders>
        </w:tblPrEx>
        <w:tc>
          <w:tcPr>
            <w:tcW w:w="3231" w:type="dxa"/>
            <w:tcBorders>
              <w:top w:val="single" w:sz="4"/>
              <w:bottom w:val="single" w:sz="4"/>
            </w:tcBorders>
          </w:tcPr>
          <w:p>
            <w:pPr>
              <w:pStyle w:val="0"/>
            </w:pPr>
            <w:r>
              <w:rPr>
                <w:sz w:val="20"/>
              </w:rPr>
              <w:t xml:space="preserve">COVID-19</w:t>
            </w:r>
          </w:p>
        </w:tc>
        <w:tc>
          <w:tcPr>
            <w:tcW w:w="964" w:type="dxa"/>
            <w:tcBorders>
              <w:top w:val="single" w:sz="4"/>
              <w:bottom w:val="single" w:sz="4"/>
            </w:tcBorders>
          </w:tcPr>
          <w:p>
            <w:pPr>
              <w:pStyle w:val="0"/>
            </w:pPr>
            <w:r>
              <w:rPr>
                <w:sz w:val="20"/>
              </w:rPr>
              <w:t xml:space="preserve">х</w:t>
            </w:r>
          </w:p>
        </w:tc>
        <w:tc>
          <w:tcPr>
            <w:tcW w:w="964" w:type="dxa"/>
            <w:tcBorders>
              <w:top w:val="single" w:sz="4"/>
              <w:bottom w:val="single" w:sz="4"/>
            </w:tcBorders>
          </w:tcPr>
          <w:p>
            <w:pPr>
              <w:pStyle w:val="0"/>
            </w:pPr>
            <w:r>
              <w:rPr>
                <w:sz w:val="20"/>
              </w:rPr>
              <w:t xml:space="preserve">х</w:t>
            </w:r>
          </w:p>
        </w:tc>
        <w:tc>
          <w:tcPr>
            <w:tcW w:w="1120" w:type="dxa"/>
            <w:tcBorders>
              <w:top w:val="single" w:sz="4"/>
              <w:bottom w:val="single" w:sz="4"/>
            </w:tcBorders>
          </w:tcPr>
          <w:p>
            <w:pPr>
              <w:pStyle w:val="0"/>
            </w:pPr>
            <w:r>
              <w:rPr>
                <w:sz w:val="20"/>
              </w:rPr>
              <w:t xml:space="preserve">11,5</w:t>
            </w:r>
          </w:p>
        </w:tc>
        <w:tc>
          <w:tcPr>
            <w:tcW w:w="1020" w:type="dxa"/>
            <w:tcBorders>
              <w:top w:val="single" w:sz="4"/>
              <w:bottom w:val="single" w:sz="4"/>
            </w:tcBorders>
          </w:tcPr>
          <w:p>
            <w:pPr>
              <w:pStyle w:val="0"/>
            </w:pPr>
            <w:r>
              <w:rPr>
                <w:sz w:val="20"/>
              </w:rPr>
              <w:t xml:space="preserve">6,0</w:t>
            </w:r>
          </w:p>
        </w:tc>
        <w:tc>
          <w:tcPr>
            <w:tcW w:w="1020" w:type="dxa"/>
            <w:tcBorders>
              <w:top w:val="single" w:sz="4"/>
              <w:bottom w:val="single" w:sz="4"/>
            </w:tcBorders>
          </w:tcPr>
          <w:p>
            <w:pPr>
              <w:pStyle w:val="0"/>
            </w:pPr>
            <w:r>
              <w:rPr>
                <w:sz w:val="20"/>
              </w:rPr>
            </w:r>
          </w:p>
        </w:tc>
        <w:tc>
          <w:tcPr>
            <w:tcW w:w="992" w:type="dxa"/>
            <w:tcBorders>
              <w:top w:val="single" w:sz="4"/>
              <w:bottom w:val="single" w:sz="4"/>
            </w:tcBorders>
          </w:tcPr>
          <w:p>
            <w:pPr>
              <w:pStyle w:val="0"/>
            </w:pPr>
            <w:r>
              <w:rPr>
                <w:sz w:val="20"/>
              </w:rPr>
              <w:t xml:space="preserve">х</w:t>
            </w:r>
          </w:p>
        </w:tc>
        <w:tc>
          <w:tcPr>
            <w:tcW w:w="850" w:type="dxa"/>
            <w:tcBorders>
              <w:top w:val="single" w:sz="4"/>
              <w:bottom w:val="single" w:sz="4"/>
            </w:tcBorders>
          </w:tcPr>
          <w:p>
            <w:pPr>
              <w:pStyle w:val="0"/>
            </w:pPr>
            <w:r>
              <w:rPr>
                <w:sz w:val="20"/>
              </w:rPr>
            </w:r>
          </w:p>
        </w:tc>
        <w:tc>
          <w:tcPr>
            <w:tcW w:w="992" w:type="dxa"/>
            <w:tcBorders>
              <w:top w:val="single" w:sz="4"/>
              <w:bottom w:val="single" w:sz="4"/>
            </w:tcBorders>
          </w:tcPr>
          <w:p>
            <w:pPr>
              <w:pStyle w:val="0"/>
            </w:pPr>
            <w:r>
              <w:rPr>
                <w:sz w:val="20"/>
              </w:rPr>
              <w:t xml:space="preserve">х</w:t>
            </w:r>
          </w:p>
        </w:tc>
        <w:tc>
          <w:tcPr>
            <w:tcW w:w="850" w:type="dxa"/>
            <w:tcBorders>
              <w:top w:val="single" w:sz="4"/>
              <w:bottom w:val="single" w:sz="4"/>
            </w:tcBorders>
          </w:tcPr>
          <w:p>
            <w:pPr>
              <w:pStyle w:val="0"/>
            </w:pPr>
            <w:r>
              <w:rPr>
                <w:sz w:val="20"/>
              </w:rPr>
            </w:r>
          </w:p>
        </w:tc>
      </w:tr>
      <w:tr>
        <w:tblPrEx>
          <w:tblBorders>
            <w:insideH w:val="single" w:sz="4"/>
          </w:tblBorders>
        </w:tblPrEx>
        <w:tc>
          <w:tcPr>
            <w:tcW w:w="3231" w:type="dxa"/>
            <w:tcBorders>
              <w:top w:val="single" w:sz="4"/>
              <w:bottom w:val="single" w:sz="4"/>
            </w:tcBorders>
          </w:tcPr>
          <w:p>
            <w:pPr>
              <w:pStyle w:val="0"/>
            </w:pPr>
            <w:r>
              <w:rPr>
                <w:sz w:val="20"/>
              </w:rPr>
              <w:t xml:space="preserve">Прочие классы заболеваний</w:t>
            </w:r>
          </w:p>
        </w:tc>
        <w:tc>
          <w:tcPr>
            <w:tcW w:w="964" w:type="dxa"/>
            <w:tcBorders>
              <w:top w:val="single" w:sz="4"/>
              <w:bottom w:val="single" w:sz="4"/>
            </w:tcBorders>
          </w:tcPr>
          <w:p>
            <w:pPr>
              <w:pStyle w:val="0"/>
            </w:pPr>
            <w:r>
              <w:rPr>
                <w:sz w:val="20"/>
              </w:rPr>
              <w:t xml:space="preserve">15,7</w:t>
            </w:r>
          </w:p>
        </w:tc>
        <w:tc>
          <w:tcPr>
            <w:tcW w:w="964" w:type="dxa"/>
            <w:tcBorders>
              <w:top w:val="single" w:sz="4"/>
              <w:bottom w:val="single" w:sz="4"/>
            </w:tcBorders>
          </w:tcPr>
          <w:p>
            <w:pPr>
              <w:pStyle w:val="0"/>
            </w:pPr>
            <w:r>
              <w:rPr>
                <w:sz w:val="20"/>
              </w:rPr>
              <w:t xml:space="preserve">13,9</w:t>
            </w:r>
          </w:p>
        </w:tc>
        <w:tc>
          <w:tcPr>
            <w:tcW w:w="1120" w:type="dxa"/>
            <w:tcBorders>
              <w:top w:val="single" w:sz="4"/>
              <w:bottom w:val="single" w:sz="4"/>
            </w:tcBorders>
          </w:tcPr>
          <w:p>
            <w:pPr>
              <w:pStyle w:val="0"/>
            </w:pPr>
            <w:r>
              <w:rPr>
                <w:sz w:val="20"/>
              </w:rPr>
              <w:t xml:space="preserve">19,9</w:t>
            </w:r>
          </w:p>
        </w:tc>
        <w:tc>
          <w:tcPr>
            <w:tcW w:w="1020" w:type="dxa"/>
            <w:tcBorders>
              <w:top w:val="single" w:sz="4"/>
              <w:bottom w:val="single" w:sz="4"/>
            </w:tcBorders>
          </w:tcPr>
          <w:p>
            <w:pPr>
              <w:pStyle w:val="0"/>
            </w:pPr>
            <w:r>
              <w:rPr>
                <w:sz w:val="20"/>
              </w:rPr>
              <w:t xml:space="preserve">10,3</w:t>
            </w:r>
          </w:p>
        </w:tc>
        <w:tc>
          <w:tcPr>
            <w:tcW w:w="1020" w:type="dxa"/>
            <w:tcBorders>
              <w:top w:val="single" w:sz="4"/>
              <w:bottom w:val="single" w:sz="4"/>
            </w:tcBorders>
          </w:tcPr>
          <w:p>
            <w:pPr>
              <w:pStyle w:val="0"/>
            </w:pPr>
            <w:r>
              <w:rPr>
                <w:sz w:val="20"/>
              </w:rPr>
              <w:t xml:space="preserve">+100,0</w:t>
            </w:r>
          </w:p>
        </w:tc>
        <w:tc>
          <w:tcPr>
            <w:tcW w:w="992" w:type="dxa"/>
            <w:tcBorders>
              <w:top w:val="single" w:sz="4"/>
              <w:bottom w:val="single" w:sz="4"/>
            </w:tcBorders>
          </w:tcPr>
          <w:p>
            <w:pPr>
              <w:pStyle w:val="0"/>
            </w:pPr>
            <w:r>
              <w:rPr>
                <w:sz w:val="20"/>
              </w:rPr>
              <w:t xml:space="preserve">19,4</w:t>
            </w:r>
          </w:p>
        </w:tc>
        <w:tc>
          <w:tcPr>
            <w:tcW w:w="850" w:type="dxa"/>
            <w:tcBorders>
              <w:top w:val="single" w:sz="4"/>
              <w:bottom w:val="single" w:sz="4"/>
            </w:tcBorders>
          </w:tcPr>
          <w:p>
            <w:pPr>
              <w:pStyle w:val="0"/>
            </w:pPr>
            <w:r>
              <w:rPr>
                <w:sz w:val="20"/>
              </w:rPr>
              <w:t xml:space="preserve">8,6</w:t>
            </w:r>
          </w:p>
        </w:tc>
        <w:tc>
          <w:tcPr>
            <w:tcW w:w="992" w:type="dxa"/>
            <w:tcBorders>
              <w:top w:val="single" w:sz="4"/>
              <w:bottom w:val="single" w:sz="4"/>
            </w:tcBorders>
          </w:tcPr>
          <w:p>
            <w:pPr>
              <w:pStyle w:val="0"/>
            </w:pPr>
            <w:r>
              <w:rPr>
                <w:sz w:val="20"/>
              </w:rPr>
              <w:t xml:space="preserve">23,3</w:t>
            </w:r>
          </w:p>
        </w:tc>
        <w:tc>
          <w:tcPr>
            <w:tcW w:w="850" w:type="dxa"/>
            <w:tcBorders>
              <w:top w:val="single" w:sz="4"/>
              <w:bottom w:val="single" w:sz="4"/>
            </w:tcBorders>
          </w:tcPr>
          <w:p>
            <w:pPr>
              <w:pStyle w:val="0"/>
            </w:pPr>
            <w:r>
              <w:rPr>
                <w:sz w:val="20"/>
              </w:rPr>
              <w:t xml:space="preserve">11,2</w:t>
            </w:r>
          </w:p>
        </w:tc>
      </w:tr>
    </w:tbl>
    <w:p>
      <w:pPr>
        <w:pStyle w:val="0"/>
        <w:ind w:firstLine="540"/>
        <w:jc w:val="both"/>
      </w:pPr>
      <w:r>
        <w:rPr>
          <w:sz w:val="20"/>
        </w:rPr>
      </w:r>
    </w:p>
    <w:p>
      <w:pPr>
        <w:pStyle w:val="0"/>
        <w:ind w:firstLine="540"/>
        <w:jc w:val="both"/>
      </w:pPr>
      <w:r>
        <w:rPr>
          <w:sz w:val="20"/>
        </w:rPr>
        <w:t xml:space="preserve">--------------------------------</w:t>
      </w:r>
    </w:p>
    <w:bookmarkStart w:id="23582" w:name="P23582"/>
    <w:bookmarkEnd w:id="23582"/>
    <w:p>
      <w:pPr>
        <w:pStyle w:val="0"/>
        <w:spacing w:before="200" w:line-rule="auto"/>
        <w:ind w:firstLine="540"/>
        <w:jc w:val="both"/>
      </w:pPr>
      <w:r>
        <w:rPr>
          <w:sz w:val="20"/>
        </w:rPr>
        <w:t xml:space="preserve">&lt;*&gt; С учетом изменения возрастного периода трудоспособности с 2020 года.</w:t>
      </w:r>
    </w:p>
    <w:p>
      <w:pPr>
        <w:pStyle w:val="0"/>
        <w:ind w:firstLine="540"/>
        <w:jc w:val="both"/>
      </w:pPr>
      <w:r>
        <w:rPr>
          <w:sz w:val="20"/>
        </w:rPr>
      </w:r>
    </w:p>
    <w:p>
      <w:pPr>
        <w:pStyle w:val="0"/>
        <w:outlineLvl w:val="3"/>
        <w:jc w:val="right"/>
      </w:pPr>
      <w:r>
        <w:rPr>
          <w:sz w:val="20"/>
        </w:rPr>
        <w:t xml:space="preserve">Таблица 13</w:t>
      </w:r>
    </w:p>
    <w:p>
      <w:pPr>
        <w:pStyle w:val="0"/>
        <w:jc w:val="right"/>
      </w:pPr>
      <w:r>
        <w:rPr>
          <w:sz w:val="20"/>
        </w:rPr>
      </w:r>
    </w:p>
    <w:bookmarkStart w:id="23586" w:name="P23586"/>
    <w:bookmarkEnd w:id="23586"/>
    <w:p>
      <w:pPr>
        <w:pStyle w:val="2"/>
        <w:jc w:val="center"/>
      </w:pPr>
      <w:r>
        <w:rPr>
          <w:sz w:val="20"/>
        </w:rPr>
        <w:t xml:space="preserve">Общая смертность в трудоспособном возрасте в абсолютных</w:t>
      </w:r>
    </w:p>
    <w:p>
      <w:pPr>
        <w:pStyle w:val="2"/>
        <w:jc w:val="center"/>
      </w:pPr>
      <w:r>
        <w:rPr>
          <w:sz w:val="20"/>
        </w:rPr>
        <w:t xml:space="preserve">числах в автономном округе мужчины 16 - 60 лет, женщины</w:t>
      </w:r>
    </w:p>
    <w:p>
      <w:pPr>
        <w:pStyle w:val="2"/>
        <w:jc w:val="center"/>
      </w:pPr>
      <w:r>
        <w:rPr>
          <w:sz w:val="20"/>
        </w:rPr>
        <w:t xml:space="preserve">16 - 55 лет</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5"/>
        <w:gridCol w:w="851"/>
        <w:gridCol w:w="1180"/>
        <w:gridCol w:w="804"/>
        <w:gridCol w:w="1182"/>
        <w:gridCol w:w="945"/>
        <w:gridCol w:w="1134"/>
        <w:gridCol w:w="1134"/>
        <w:gridCol w:w="1180"/>
      </w:tblGrid>
      <w:tr>
        <w:tc>
          <w:tcPr>
            <w:tcW w:w="1985" w:type="dxa"/>
          </w:tcPr>
          <w:p>
            <w:pPr>
              <w:pStyle w:val="0"/>
              <w:jc w:val="center"/>
            </w:pPr>
            <w:r>
              <w:rPr>
                <w:sz w:val="20"/>
              </w:rPr>
            </w:r>
          </w:p>
        </w:tc>
        <w:tc>
          <w:tcPr>
            <w:tcW w:w="851" w:type="dxa"/>
          </w:tcPr>
          <w:p>
            <w:pPr>
              <w:pStyle w:val="0"/>
              <w:jc w:val="center"/>
            </w:pPr>
            <w:r>
              <w:rPr>
                <w:sz w:val="20"/>
              </w:rPr>
              <w:t xml:space="preserve">2018</w:t>
            </w:r>
          </w:p>
        </w:tc>
        <w:tc>
          <w:tcPr>
            <w:tcW w:w="1180" w:type="dxa"/>
          </w:tcPr>
          <w:p>
            <w:pPr>
              <w:pStyle w:val="0"/>
              <w:jc w:val="center"/>
            </w:pPr>
            <w:r>
              <w:rPr>
                <w:sz w:val="20"/>
              </w:rPr>
              <w:t xml:space="preserve">Удельный вес смертей, %</w:t>
            </w:r>
          </w:p>
        </w:tc>
        <w:tc>
          <w:tcPr>
            <w:tcW w:w="804" w:type="dxa"/>
          </w:tcPr>
          <w:p>
            <w:pPr>
              <w:pStyle w:val="0"/>
              <w:jc w:val="center"/>
            </w:pPr>
            <w:r>
              <w:rPr>
                <w:sz w:val="20"/>
              </w:rPr>
              <w:t xml:space="preserve">2019</w:t>
            </w:r>
          </w:p>
        </w:tc>
        <w:tc>
          <w:tcPr>
            <w:tcW w:w="1182" w:type="dxa"/>
          </w:tcPr>
          <w:p>
            <w:pPr>
              <w:pStyle w:val="0"/>
              <w:jc w:val="center"/>
            </w:pPr>
            <w:r>
              <w:rPr>
                <w:sz w:val="20"/>
              </w:rPr>
              <w:t xml:space="preserve">Удельный вес смертей, %</w:t>
            </w:r>
          </w:p>
        </w:tc>
        <w:tc>
          <w:tcPr>
            <w:tcW w:w="945" w:type="dxa"/>
          </w:tcPr>
          <w:p>
            <w:pPr>
              <w:pStyle w:val="0"/>
              <w:jc w:val="center"/>
            </w:pPr>
            <w:r>
              <w:rPr>
                <w:sz w:val="20"/>
              </w:rPr>
              <w:t xml:space="preserve">2020 </w:t>
            </w:r>
            <w:hyperlink w:history="0" w:anchor="P23637" w:tooltip="&lt;*&gt; С учетом изменения возрастного периода трудоспособности с 2020 года.">
              <w:r>
                <w:rPr>
                  <w:sz w:val="20"/>
                  <w:color w:val="0000ff"/>
                </w:rPr>
                <w:t xml:space="preserve">&lt;*&gt;</w:t>
              </w:r>
            </w:hyperlink>
          </w:p>
        </w:tc>
        <w:tc>
          <w:tcPr>
            <w:tcW w:w="1134" w:type="dxa"/>
          </w:tcPr>
          <w:p>
            <w:pPr>
              <w:pStyle w:val="0"/>
              <w:jc w:val="center"/>
            </w:pPr>
            <w:r>
              <w:rPr>
                <w:sz w:val="20"/>
              </w:rPr>
              <w:t xml:space="preserve">Удельный вес смертей, %</w:t>
            </w:r>
          </w:p>
        </w:tc>
        <w:tc>
          <w:tcPr>
            <w:tcW w:w="1134" w:type="dxa"/>
          </w:tcPr>
          <w:p>
            <w:pPr>
              <w:pStyle w:val="0"/>
              <w:jc w:val="center"/>
            </w:pPr>
            <w:r>
              <w:rPr>
                <w:sz w:val="20"/>
              </w:rPr>
              <w:t xml:space="preserve">Разность 2018 - 2020</w:t>
            </w:r>
          </w:p>
        </w:tc>
        <w:tc>
          <w:tcPr>
            <w:tcW w:w="1180" w:type="dxa"/>
          </w:tcPr>
          <w:p>
            <w:pPr>
              <w:pStyle w:val="0"/>
              <w:jc w:val="center"/>
            </w:pPr>
            <w:r>
              <w:rPr>
                <w:sz w:val="20"/>
              </w:rPr>
              <w:t xml:space="preserve">Удельный вес избыточных смертей, %</w:t>
            </w:r>
          </w:p>
        </w:tc>
      </w:tr>
      <w:tr>
        <w:tc>
          <w:tcPr>
            <w:tcW w:w="1985" w:type="dxa"/>
          </w:tcPr>
          <w:p>
            <w:pPr>
              <w:pStyle w:val="0"/>
            </w:pPr>
            <w:r>
              <w:rPr>
                <w:sz w:val="20"/>
              </w:rPr>
              <w:t xml:space="preserve">Оба пола</w:t>
            </w:r>
          </w:p>
        </w:tc>
        <w:tc>
          <w:tcPr>
            <w:tcW w:w="851" w:type="dxa"/>
          </w:tcPr>
          <w:p>
            <w:pPr>
              <w:pStyle w:val="0"/>
            </w:pPr>
            <w:r>
              <w:rPr>
                <w:sz w:val="20"/>
              </w:rPr>
              <w:t xml:space="preserve">3824</w:t>
            </w:r>
          </w:p>
        </w:tc>
        <w:tc>
          <w:tcPr>
            <w:tcW w:w="1180" w:type="dxa"/>
          </w:tcPr>
          <w:p>
            <w:pPr>
              <w:pStyle w:val="0"/>
            </w:pPr>
            <w:r>
              <w:rPr>
                <w:sz w:val="20"/>
              </w:rPr>
              <w:t xml:space="preserve">100,0</w:t>
            </w:r>
          </w:p>
        </w:tc>
        <w:tc>
          <w:tcPr>
            <w:tcW w:w="804" w:type="dxa"/>
          </w:tcPr>
          <w:p>
            <w:pPr>
              <w:pStyle w:val="0"/>
            </w:pPr>
            <w:r>
              <w:rPr>
                <w:sz w:val="20"/>
              </w:rPr>
              <w:t xml:space="preserve">3613</w:t>
            </w:r>
          </w:p>
        </w:tc>
        <w:tc>
          <w:tcPr>
            <w:tcW w:w="1182" w:type="dxa"/>
          </w:tcPr>
          <w:p>
            <w:pPr>
              <w:pStyle w:val="0"/>
            </w:pPr>
            <w:r>
              <w:rPr>
                <w:sz w:val="20"/>
              </w:rPr>
              <w:t xml:space="preserve">100,0</w:t>
            </w:r>
          </w:p>
        </w:tc>
        <w:tc>
          <w:tcPr>
            <w:tcW w:w="945" w:type="dxa"/>
          </w:tcPr>
          <w:p>
            <w:pPr>
              <w:pStyle w:val="0"/>
            </w:pPr>
            <w:r>
              <w:rPr>
                <w:sz w:val="20"/>
              </w:rPr>
              <w:t xml:space="preserve">4418</w:t>
            </w:r>
          </w:p>
        </w:tc>
        <w:tc>
          <w:tcPr>
            <w:tcW w:w="1134" w:type="dxa"/>
          </w:tcPr>
          <w:p>
            <w:pPr>
              <w:pStyle w:val="0"/>
            </w:pPr>
            <w:r>
              <w:rPr>
                <w:sz w:val="20"/>
              </w:rPr>
              <w:t xml:space="preserve">100,0</w:t>
            </w:r>
          </w:p>
        </w:tc>
        <w:tc>
          <w:tcPr>
            <w:tcW w:w="1134" w:type="dxa"/>
          </w:tcPr>
          <w:p>
            <w:pPr>
              <w:pStyle w:val="0"/>
            </w:pPr>
            <w:r>
              <w:rPr>
                <w:sz w:val="20"/>
              </w:rPr>
              <w:t xml:space="preserve">+594</w:t>
            </w:r>
          </w:p>
        </w:tc>
        <w:tc>
          <w:tcPr>
            <w:tcW w:w="1180" w:type="dxa"/>
          </w:tcPr>
          <w:p>
            <w:pPr>
              <w:pStyle w:val="0"/>
            </w:pPr>
            <w:r>
              <w:rPr>
                <w:sz w:val="20"/>
              </w:rPr>
              <w:t xml:space="preserve">100,0</w:t>
            </w:r>
          </w:p>
        </w:tc>
      </w:tr>
      <w:tr>
        <w:tc>
          <w:tcPr>
            <w:tcW w:w="1985" w:type="dxa"/>
          </w:tcPr>
          <w:p>
            <w:pPr>
              <w:pStyle w:val="0"/>
            </w:pPr>
            <w:r>
              <w:rPr>
                <w:sz w:val="20"/>
              </w:rPr>
              <w:t xml:space="preserve">Мужчины</w:t>
            </w:r>
          </w:p>
        </w:tc>
        <w:tc>
          <w:tcPr>
            <w:tcW w:w="851" w:type="dxa"/>
          </w:tcPr>
          <w:p>
            <w:pPr>
              <w:pStyle w:val="0"/>
            </w:pPr>
            <w:r>
              <w:rPr>
                <w:sz w:val="20"/>
              </w:rPr>
              <w:t xml:space="preserve">3025</w:t>
            </w:r>
          </w:p>
        </w:tc>
        <w:tc>
          <w:tcPr>
            <w:tcW w:w="1180" w:type="dxa"/>
          </w:tcPr>
          <w:p>
            <w:pPr>
              <w:pStyle w:val="0"/>
            </w:pPr>
            <w:r>
              <w:rPr>
                <w:sz w:val="20"/>
              </w:rPr>
              <w:t xml:space="preserve">79,1</w:t>
            </w:r>
          </w:p>
        </w:tc>
        <w:tc>
          <w:tcPr>
            <w:tcW w:w="804" w:type="dxa"/>
          </w:tcPr>
          <w:p>
            <w:pPr>
              <w:pStyle w:val="0"/>
            </w:pPr>
            <w:r>
              <w:rPr>
                <w:sz w:val="20"/>
              </w:rPr>
              <w:t xml:space="preserve">2908</w:t>
            </w:r>
          </w:p>
        </w:tc>
        <w:tc>
          <w:tcPr>
            <w:tcW w:w="1182" w:type="dxa"/>
          </w:tcPr>
          <w:p>
            <w:pPr>
              <w:pStyle w:val="0"/>
            </w:pPr>
            <w:r>
              <w:rPr>
                <w:sz w:val="20"/>
              </w:rPr>
              <w:t xml:space="preserve">80,5</w:t>
            </w:r>
          </w:p>
        </w:tc>
        <w:tc>
          <w:tcPr>
            <w:tcW w:w="945" w:type="dxa"/>
          </w:tcPr>
          <w:p>
            <w:pPr>
              <w:pStyle w:val="0"/>
            </w:pPr>
            <w:r>
              <w:rPr>
                <w:sz w:val="20"/>
              </w:rPr>
              <w:t xml:space="preserve">3483</w:t>
            </w:r>
          </w:p>
        </w:tc>
        <w:tc>
          <w:tcPr>
            <w:tcW w:w="1134" w:type="dxa"/>
          </w:tcPr>
          <w:p>
            <w:pPr>
              <w:pStyle w:val="0"/>
            </w:pPr>
            <w:r>
              <w:rPr>
                <w:sz w:val="20"/>
              </w:rPr>
              <w:t xml:space="preserve">78,8</w:t>
            </w:r>
          </w:p>
        </w:tc>
        <w:tc>
          <w:tcPr>
            <w:tcW w:w="1134" w:type="dxa"/>
          </w:tcPr>
          <w:p>
            <w:pPr>
              <w:pStyle w:val="0"/>
            </w:pPr>
            <w:r>
              <w:rPr>
                <w:sz w:val="20"/>
              </w:rPr>
              <w:t xml:space="preserve">+458</w:t>
            </w:r>
          </w:p>
        </w:tc>
        <w:tc>
          <w:tcPr>
            <w:tcW w:w="1180" w:type="dxa"/>
          </w:tcPr>
          <w:p>
            <w:pPr>
              <w:pStyle w:val="0"/>
            </w:pPr>
            <w:r>
              <w:rPr>
                <w:sz w:val="20"/>
              </w:rPr>
              <w:t xml:space="preserve">77,1</w:t>
            </w:r>
          </w:p>
        </w:tc>
      </w:tr>
      <w:tr>
        <w:tc>
          <w:tcPr>
            <w:tcW w:w="1985" w:type="dxa"/>
          </w:tcPr>
          <w:p>
            <w:pPr>
              <w:pStyle w:val="0"/>
            </w:pPr>
            <w:r>
              <w:rPr>
                <w:sz w:val="20"/>
              </w:rPr>
              <w:t xml:space="preserve">Женщины</w:t>
            </w:r>
          </w:p>
        </w:tc>
        <w:tc>
          <w:tcPr>
            <w:tcW w:w="851" w:type="dxa"/>
          </w:tcPr>
          <w:p>
            <w:pPr>
              <w:pStyle w:val="0"/>
            </w:pPr>
            <w:r>
              <w:rPr>
                <w:sz w:val="20"/>
              </w:rPr>
              <w:t xml:space="preserve">799</w:t>
            </w:r>
          </w:p>
        </w:tc>
        <w:tc>
          <w:tcPr>
            <w:tcW w:w="1180" w:type="dxa"/>
          </w:tcPr>
          <w:p>
            <w:pPr>
              <w:pStyle w:val="0"/>
            </w:pPr>
            <w:r>
              <w:rPr>
                <w:sz w:val="20"/>
              </w:rPr>
              <w:t xml:space="preserve">20,9</w:t>
            </w:r>
          </w:p>
        </w:tc>
        <w:tc>
          <w:tcPr>
            <w:tcW w:w="804" w:type="dxa"/>
          </w:tcPr>
          <w:p>
            <w:pPr>
              <w:pStyle w:val="0"/>
            </w:pPr>
            <w:r>
              <w:rPr>
                <w:sz w:val="20"/>
              </w:rPr>
              <w:t xml:space="preserve">705</w:t>
            </w:r>
          </w:p>
        </w:tc>
        <w:tc>
          <w:tcPr>
            <w:tcW w:w="1182" w:type="dxa"/>
          </w:tcPr>
          <w:p>
            <w:pPr>
              <w:pStyle w:val="0"/>
            </w:pPr>
            <w:r>
              <w:rPr>
                <w:sz w:val="20"/>
              </w:rPr>
              <w:t xml:space="preserve">19,5</w:t>
            </w:r>
          </w:p>
        </w:tc>
        <w:tc>
          <w:tcPr>
            <w:tcW w:w="945" w:type="dxa"/>
          </w:tcPr>
          <w:p>
            <w:pPr>
              <w:pStyle w:val="0"/>
            </w:pPr>
            <w:r>
              <w:rPr>
                <w:sz w:val="20"/>
              </w:rPr>
              <w:t xml:space="preserve">935</w:t>
            </w:r>
          </w:p>
        </w:tc>
        <w:tc>
          <w:tcPr>
            <w:tcW w:w="1134" w:type="dxa"/>
          </w:tcPr>
          <w:p>
            <w:pPr>
              <w:pStyle w:val="0"/>
            </w:pPr>
            <w:r>
              <w:rPr>
                <w:sz w:val="20"/>
              </w:rPr>
              <w:t xml:space="preserve">21,2</w:t>
            </w:r>
          </w:p>
        </w:tc>
        <w:tc>
          <w:tcPr>
            <w:tcW w:w="1134" w:type="dxa"/>
          </w:tcPr>
          <w:p>
            <w:pPr>
              <w:pStyle w:val="0"/>
            </w:pPr>
            <w:r>
              <w:rPr>
                <w:sz w:val="20"/>
              </w:rPr>
              <w:t xml:space="preserve">+136</w:t>
            </w:r>
          </w:p>
        </w:tc>
        <w:tc>
          <w:tcPr>
            <w:tcW w:w="1180" w:type="dxa"/>
          </w:tcPr>
          <w:p>
            <w:pPr>
              <w:pStyle w:val="0"/>
            </w:pPr>
            <w:r>
              <w:rPr>
                <w:sz w:val="20"/>
              </w:rPr>
              <w:t xml:space="preserve">22,9</w:t>
            </w:r>
          </w:p>
        </w:tc>
      </w:tr>
      <w:tr>
        <w:tc>
          <w:tcPr>
            <w:tcW w:w="1985" w:type="dxa"/>
          </w:tcPr>
          <w:p>
            <w:pPr>
              <w:pStyle w:val="0"/>
            </w:pPr>
            <w:r>
              <w:rPr>
                <w:sz w:val="20"/>
              </w:rPr>
              <w:t xml:space="preserve">М &gt; Ж, разы</w:t>
            </w:r>
          </w:p>
        </w:tc>
        <w:tc>
          <w:tcPr>
            <w:tcW w:w="851" w:type="dxa"/>
          </w:tcPr>
          <w:p>
            <w:pPr>
              <w:pStyle w:val="0"/>
            </w:pPr>
            <w:r>
              <w:rPr>
                <w:sz w:val="20"/>
              </w:rPr>
              <w:t xml:space="preserve">3,78</w:t>
            </w:r>
          </w:p>
        </w:tc>
        <w:tc>
          <w:tcPr>
            <w:tcW w:w="1180" w:type="dxa"/>
          </w:tcPr>
          <w:p>
            <w:pPr>
              <w:pStyle w:val="0"/>
            </w:pPr>
            <w:r>
              <w:rPr>
                <w:sz w:val="20"/>
              </w:rPr>
              <w:t xml:space="preserve">х</w:t>
            </w:r>
          </w:p>
        </w:tc>
        <w:tc>
          <w:tcPr>
            <w:tcW w:w="804" w:type="dxa"/>
          </w:tcPr>
          <w:p>
            <w:pPr>
              <w:pStyle w:val="0"/>
            </w:pPr>
            <w:r>
              <w:rPr>
                <w:sz w:val="20"/>
              </w:rPr>
              <w:t xml:space="preserve">4,12</w:t>
            </w:r>
          </w:p>
        </w:tc>
        <w:tc>
          <w:tcPr>
            <w:tcW w:w="1182" w:type="dxa"/>
          </w:tcPr>
          <w:p>
            <w:pPr>
              <w:pStyle w:val="0"/>
            </w:pPr>
            <w:r>
              <w:rPr>
                <w:sz w:val="20"/>
              </w:rPr>
              <w:t xml:space="preserve">х</w:t>
            </w:r>
          </w:p>
        </w:tc>
        <w:tc>
          <w:tcPr>
            <w:tcW w:w="945" w:type="dxa"/>
          </w:tcPr>
          <w:p>
            <w:pPr>
              <w:pStyle w:val="0"/>
            </w:pPr>
            <w:r>
              <w:rPr>
                <w:sz w:val="20"/>
              </w:rPr>
              <w:t xml:space="preserve">3,73</w:t>
            </w:r>
          </w:p>
        </w:tc>
        <w:tc>
          <w:tcPr>
            <w:tcW w:w="1134" w:type="dxa"/>
          </w:tcPr>
          <w:p>
            <w:pPr>
              <w:pStyle w:val="0"/>
            </w:pPr>
            <w:r>
              <w:rPr>
                <w:sz w:val="20"/>
              </w:rPr>
              <w:t xml:space="preserve">х</w:t>
            </w:r>
          </w:p>
        </w:tc>
        <w:tc>
          <w:tcPr>
            <w:tcW w:w="1134" w:type="dxa"/>
          </w:tcPr>
          <w:p>
            <w:pPr>
              <w:pStyle w:val="0"/>
            </w:pPr>
            <w:r>
              <w:rPr>
                <w:sz w:val="20"/>
              </w:rPr>
              <w:t xml:space="preserve">х</w:t>
            </w:r>
          </w:p>
        </w:tc>
        <w:tc>
          <w:tcPr>
            <w:tcW w:w="1180" w:type="dxa"/>
          </w:tcPr>
          <w:p>
            <w:pPr>
              <w:pStyle w:val="0"/>
            </w:pPr>
            <w:r>
              <w:rPr>
                <w:sz w:val="20"/>
              </w:rPr>
              <w:t xml:space="preserve">х</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23637" w:name="P23637"/>
    <w:bookmarkEnd w:id="23637"/>
    <w:p>
      <w:pPr>
        <w:pStyle w:val="0"/>
        <w:spacing w:before="200" w:line-rule="auto"/>
        <w:ind w:firstLine="540"/>
        <w:jc w:val="both"/>
      </w:pPr>
      <w:r>
        <w:rPr>
          <w:sz w:val="20"/>
        </w:rPr>
        <w:t xml:space="preserve">&lt;*&gt; С учетом изменения возрастного периода трудоспособности с 2020 года.</w:t>
      </w:r>
    </w:p>
    <w:p>
      <w:pPr>
        <w:pStyle w:val="0"/>
        <w:ind w:firstLine="540"/>
        <w:jc w:val="both"/>
      </w:pPr>
      <w:r>
        <w:rPr>
          <w:sz w:val="20"/>
        </w:rPr>
      </w:r>
    </w:p>
    <w:p>
      <w:pPr>
        <w:pStyle w:val="0"/>
        <w:ind w:firstLine="540"/>
        <w:jc w:val="both"/>
      </w:pPr>
      <w:r>
        <w:rPr>
          <w:sz w:val="20"/>
        </w:rPr>
        <w:t xml:space="preserve">В 2020 году значительное влияние на избыточную смертность оказала новая коронавирусная инфекция COVID-19, всего 4,6% от всех причин, у мужчин 4,2% и у женщин 6,0%.</w:t>
      </w:r>
    </w:p>
    <w:p>
      <w:pPr>
        <w:pStyle w:val="0"/>
        <w:spacing w:before="200" w:line-rule="auto"/>
        <w:ind w:firstLine="540"/>
        <w:jc w:val="both"/>
      </w:pPr>
      <w:r>
        <w:rPr>
          <w:sz w:val="20"/>
        </w:rPr>
        <w:t xml:space="preserve">При сравнении по половому признаку число смертей в трудоспособном возрасте в 2018 году у мужчин составляло 79,1%, женщин - 20,9%, в 2020 году соответственно 78,8% и 21,2%. При общем увеличении числа смертей, доля смертей среди женского населения увеличилась.</w:t>
      </w:r>
    </w:p>
    <w:p>
      <w:pPr>
        <w:pStyle w:val="0"/>
        <w:spacing w:before="200" w:line-rule="auto"/>
        <w:ind w:firstLine="540"/>
        <w:jc w:val="both"/>
      </w:pPr>
      <w:r>
        <w:rPr>
          <w:sz w:val="20"/>
        </w:rPr>
        <w:t xml:space="preserve">В 2018 году число умерших мужчин было больше, чем женщин в 3,78 раза, в 2019 году - в 4,12 раза и в 2020 году - больше в 3,73 раза, что свидетельствует о большем числе избыточных смертей у мужчин.</w:t>
      </w:r>
    </w:p>
    <w:p>
      <w:pPr>
        <w:pStyle w:val="0"/>
        <w:spacing w:before="200" w:line-rule="auto"/>
        <w:ind w:firstLine="540"/>
        <w:jc w:val="both"/>
      </w:pPr>
      <w:r>
        <w:rPr>
          <w:sz w:val="20"/>
        </w:rPr>
        <w:t xml:space="preserve">Соотношение удельного веса избыточных смертей мужчин и избыточных смертей женщин составляет 77,1/ 22,9 (2,6 раза).</w:t>
      </w:r>
    </w:p>
    <w:p>
      <w:pPr>
        <w:pStyle w:val="0"/>
        <w:spacing w:before="200" w:line-rule="auto"/>
        <w:ind w:firstLine="540"/>
        <w:jc w:val="both"/>
      </w:pPr>
      <w:r>
        <w:rPr>
          <w:sz w:val="20"/>
        </w:rPr>
        <w:t xml:space="preserve">Несомненно, на этом показателе сказывается возраст трудоспособности, который у женщин короче на 5 лет.</w:t>
      </w:r>
    </w:p>
    <w:p>
      <w:pPr>
        <w:pStyle w:val="0"/>
        <w:spacing w:before="200" w:line-rule="auto"/>
        <w:ind w:firstLine="540"/>
        <w:jc w:val="both"/>
      </w:pPr>
      <w:r>
        <w:rPr>
          <w:sz w:val="20"/>
        </w:rPr>
        <w:t xml:space="preserve">Свой вклад в прирост смертности в 2020 году внесла новая коронавирусная инфекция COVID-19. В обозначенном возрасте число смертей от нее составило 201 (в том числе мужчин 145 и женщин 56 - соотношение 2,6 раза). Остальной прирост смертей 393 (разность между 594 и 201) объясняется перенесенной новой коронавирусной инфекцией COVID-19 в анамнезе.</w:t>
      </w:r>
    </w:p>
    <w:p>
      <w:pPr>
        <w:pStyle w:val="0"/>
        <w:spacing w:before="200" w:line-rule="auto"/>
        <w:ind w:firstLine="540"/>
        <w:jc w:val="both"/>
      </w:pPr>
      <w:r>
        <w:rPr>
          <w:sz w:val="20"/>
        </w:rPr>
        <w:t xml:space="preserve">Увеличение общей смертности на 100 тыс. населения в указанном выше возрасте составило +13,9%, у мужчин +13,7%, у женщин +15,1%. Исходя из данных по общей смертности в трудоспособном возрасте по классам заболеваний на 100 000 населения соответствующего возраста и пола, представленных в </w:t>
      </w:r>
      <w:hyperlink w:history="0" w:anchor="P22952" w:tooltip="Общая смертность в трудоспособном возрасте по классам">
        <w:r>
          <w:rPr>
            <w:sz w:val="20"/>
            <w:color w:val="0000ff"/>
          </w:rPr>
          <w:t xml:space="preserve">таблицах 10</w:t>
        </w:r>
      </w:hyperlink>
      <w:r>
        <w:rPr>
          <w:sz w:val="20"/>
        </w:rPr>
        <w:t xml:space="preserve"> и </w:t>
      </w:r>
      <w:hyperlink w:history="0" w:anchor="P23164" w:tooltip="Общая смертность в трудоспособном возрасте по классам">
        <w:r>
          <w:rPr>
            <w:sz w:val="20"/>
            <w:color w:val="0000ff"/>
          </w:rPr>
          <w:t xml:space="preserve">11</w:t>
        </w:r>
      </w:hyperlink>
      <w:r>
        <w:rPr>
          <w:sz w:val="20"/>
        </w:rPr>
        <w:t xml:space="preserve"> (оба пола и мужская смертность), следует, что в автономном округе, Уральском федеральном округе (далее - УрФО), РФ на первом месте смертность от БСК, на втором - от внешних причин, на третьем - от новообразований.</w:t>
      </w:r>
    </w:p>
    <w:p>
      <w:pPr>
        <w:pStyle w:val="0"/>
        <w:spacing w:before="200" w:line-rule="auto"/>
        <w:ind w:firstLine="540"/>
        <w:jc w:val="both"/>
      </w:pPr>
      <w:r>
        <w:rPr>
          <w:sz w:val="20"/>
        </w:rPr>
        <w:t xml:space="preserve">У женщин смертность по классам заболеваний выглядит следующим образом: на первом месте - смертность от новообразований, на втором - смертность от БСК, на третьем - от внешних причин.</w:t>
      </w:r>
    </w:p>
    <w:p>
      <w:pPr>
        <w:pStyle w:val="0"/>
        <w:spacing w:before="200" w:line-rule="auto"/>
        <w:ind w:firstLine="540"/>
        <w:jc w:val="both"/>
      </w:pPr>
      <w:r>
        <w:rPr>
          <w:sz w:val="20"/>
        </w:rPr>
        <w:t xml:space="preserve">Удельный вес смертности по классам заболеваний дает понять какому направлению необходимо уделять больше внимания.</w:t>
      </w:r>
    </w:p>
    <w:p>
      <w:pPr>
        <w:pStyle w:val="0"/>
        <w:spacing w:before="200" w:line-rule="auto"/>
        <w:ind w:firstLine="540"/>
        <w:jc w:val="both"/>
      </w:pPr>
      <w:r>
        <w:rPr>
          <w:sz w:val="20"/>
        </w:rPr>
        <w:t xml:space="preserve">Примерно каждый третий мужчина умирает от БСК как в автономном округе, так и в УрФО и в РФ. Каждая пятая женщина в автономном округе и УрФО умирает от БСК, в РФ - каждая четвертая.</w:t>
      </w:r>
    </w:p>
    <w:p>
      <w:pPr>
        <w:pStyle w:val="0"/>
        <w:spacing w:before="200" w:line-rule="auto"/>
        <w:ind w:firstLine="540"/>
        <w:jc w:val="both"/>
      </w:pPr>
      <w:r>
        <w:rPr>
          <w:sz w:val="20"/>
        </w:rPr>
        <w:t xml:space="preserve">Смертность от новообразований у мужчин - каждый восьмой случай, у женщин каждый четвертый - пятый.</w:t>
      </w:r>
    </w:p>
    <w:p>
      <w:pPr>
        <w:pStyle w:val="0"/>
        <w:spacing w:before="200" w:line-rule="auto"/>
        <w:ind w:firstLine="540"/>
        <w:jc w:val="both"/>
      </w:pPr>
      <w:r>
        <w:rPr>
          <w:sz w:val="20"/>
        </w:rPr>
        <w:t xml:space="preserve">Отдельно выделяется в структуре смертности смертность от внешних причин - на втором месте у мужчин и на третьем у женщин, при этом смертность у мужчин превышает в 5,6 раза (м - 144,4 и ж - 25,7), по УрФО и по РФ превышает соответственно в 5 раз.</w:t>
      </w:r>
    </w:p>
    <w:p>
      <w:pPr>
        <w:pStyle w:val="0"/>
        <w:spacing w:before="200" w:line-rule="auto"/>
        <w:ind w:firstLine="540"/>
        <w:jc w:val="both"/>
      </w:pPr>
      <w:r>
        <w:rPr>
          <w:sz w:val="20"/>
        </w:rPr>
        <w:t xml:space="preserve">В пользу лучшего, благополучного и достойного проживания в автономном округе говорит тот факт, что смертность от самоубийств, убийств и отравлений алкоголем, в автономном округе много меньше, чем в УрФО и РФ. (Ситуация по смертности от внешних причин характерна и для мужчин, и для женщин).</w:t>
      </w:r>
    </w:p>
    <w:p>
      <w:pPr>
        <w:pStyle w:val="0"/>
        <w:ind w:firstLine="540"/>
        <w:jc w:val="both"/>
      </w:pPr>
      <w:r>
        <w:rPr>
          <w:sz w:val="20"/>
        </w:rPr>
      </w:r>
    </w:p>
    <w:p>
      <w:pPr>
        <w:pStyle w:val="0"/>
        <w:outlineLvl w:val="3"/>
        <w:jc w:val="right"/>
      </w:pPr>
      <w:r>
        <w:rPr>
          <w:sz w:val="20"/>
        </w:rPr>
        <w:t xml:space="preserve">Таблица 14</w:t>
      </w:r>
    </w:p>
    <w:p>
      <w:pPr>
        <w:pStyle w:val="0"/>
        <w:jc w:val="right"/>
      </w:pPr>
      <w:r>
        <w:rPr>
          <w:sz w:val="20"/>
        </w:rPr>
      </w:r>
    </w:p>
    <w:p>
      <w:pPr>
        <w:pStyle w:val="2"/>
        <w:jc w:val="center"/>
      </w:pPr>
      <w:r>
        <w:rPr>
          <w:sz w:val="20"/>
        </w:rPr>
        <w:t xml:space="preserve">Расчет случая причины от всего в Трудоспособном возрасте</w:t>
      </w:r>
    </w:p>
    <w:p>
      <w:pPr>
        <w:pStyle w:val="2"/>
        <w:jc w:val="center"/>
      </w:pPr>
      <w:r>
        <w:rPr>
          <w:sz w:val="20"/>
        </w:rPr>
        <w:t xml:space="preserve">2020 год Югра и 2019 УрФО и РФ Мужчины 16 - 60 лет, Женщины</w:t>
      </w:r>
    </w:p>
    <w:p>
      <w:pPr>
        <w:pStyle w:val="2"/>
        <w:jc w:val="center"/>
      </w:pPr>
      <w:r>
        <w:rPr>
          <w:sz w:val="20"/>
        </w:rPr>
        <w:t xml:space="preserve">16 - 55 года</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32"/>
        <w:gridCol w:w="1191"/>
        <w:gridCol w:w="869"/>
        <w:gridCol w:w="756"/>
        <w:gridCol w:w="1020"/>
        <w:gridCol w:w="869"/>
        <w:gridCol w:w="756"/>
        <w:gridCol w:w="1121"/>
        <w:gridCol w:w="709"/>
        <w:gridCol w:w="850"/>
      </w:tblGrid>
      <w:tr>
        <w:tc>
          <w:tcPr>
            <w:tcW w:w="2032" w:type="dxa"/>
          </w:tcPr>
          <w:p>
            <w:pPr>
              <w:pStyle w:val="0"/>
              <w:jc w:val="center"/>
            </w:pPr>
            <w:r>
              <w:rPr>
                <w:sz w:val="20"/>
              </w:rPr>
            </w:r>
          </w:p>
        </w:tc>
        <w:tc>
          <w:tcPr>
            <w:gridSpan w:val="3"/>
            <w:tcW w:w="2816" w:type="dxa"/>
          </w:tcPr>
          <w:p>
            <w:pPr>
              <w:pStyle w:val="0"/>
              <w:jc w:val="center"/>
            </w:pPr>
            <w:r>
              <w:rPr>
                <w:sz w:val="20"/>
              </w:rPr>
              <w:t xml:space="preserve">Оба пола</w:t>
            </w:r>
          </w:p>
        </w:tc>
        <w:tc>
          <w:tcPr>
            <w:gridSpan w:val="3"/>
            <w:tcW w:w="2645" w:type="dxa"/>
          </w:tcPr>
          <w:p>
            <w:pPr>
              <w:pStyle w:val="0"/>
              <w:jc w:val="center"/>
            </w:pPr>
            <w:r>
              <w:rPr>
                <w:sz w:val="20"/>
              </w:rPr>
              <w:t xml:space="preserve">Мужчины</w:t>
            </w:r>
          </w:p>
        </w:tc>
        <w:tc>
          <w:tcPr>
            <w:gridSpan w:val="3"/>
            <w:tcW w:w="2680" w:type="dxa"/>
          </w:tcPr>
          <w:p>
            <w:pPr>
              <w:pStyle w:val="0"/>
              <w:jc w:val="center"/>
            </w:pPr>
            <w:r>
              <w:rPr>
                <w:sz w:val="20"/>
              </w:rPr>
              <w:t xml:space="preserve">Женщины</w:t>
            </w:r>
          </w:p>
        </w:tc>
      </w:tr>
      <w:tr>
        <w:tc>
          <w:tcPr>
            <w:tcW w:w="2032" w:type="dxa"/>
          </w:tcPr>
          <w:p>
            <w:pPr>
              <w:pStyle w:val="0"/>
              <w:jc w:val="center"/>
            </w:pPr>
            <w:r>
              <w:rPr>
                <w:sz w:val="20"/>
              </w:rPr>
            </w:r>
          </w:p>
        </w:tc>
        <w:tc>
          <w:tcPr>
            <w:tcW w:w="1191" w:type="dxa"/>
          </w:tcPr>
          <w:p>
            <w:pPr>
              <w:pStyle w:val="0"/>
              <w:jc w:val="center"/>
            </w:pPr>
            <w:r>
              <w:rPr>
                <w:sz w:val="20"/>
              </w:rPr>
              <w:t xml:space="preserve">автономный округ</w:t>
            </w:r>
          </w:p>
        </w:tc>
        <w:tc>
          <w:tcPr>
            <w:tcW w:w="869" w:type="dxa"/>
          </w:tcPr>
          <w:p>
            <w:pPr>
              <w:pStyle w:val="0"/>
              <w:jc w:val="center"/>
            </w:pPr>
            <w:r>
              <w:rPr>
                <w:sz w:val="20"/>
              </w:rPr>
              <w:t xml:space="preserve">УрФО</w:t>
            </w:r>
          </w:p>
        </w:tc>
        <w:tc>
          <w:tcPr>
            <w:tcW w:w="756" w:type="dxa"/>
          </w:tcPr>
          <w:p>
            <w:pPr>
              <w:pStyle w:val="0"/>
              <w:jc w:val="center"/>
            </w:pPr>
            <w:r>
              <w:rPr>
                <w:sz w:val="20"/>
              </w:rPr>
              <w:t xml:space="preserve">РФ</w:t>
            </w:r>
          </w:p>
        </w:tc>
        <w:tc>
          <w:tcPr>
            <w:tcW w:w="1020" w:type="dxa"/>
          </w:tcPr>
          <w:p>
            <w:pPr>
              <w:pStyle w:val="0"/>
              <w:jc w:val="center"/>
            </w:pPr>
            <w:r>
              <w:rPr>
                <w:sz w:val="20"/>
              </w:rPr>
              <w:t xml:space="preserve">автономный округ</w:t>
            </w:r>
          </w:p>
        </w:tc>
        <w:tc>
          <w:tcPr>
            <w:tcW w:w="869" w:type="dxa"/>
          </w:tcPr>
          <w:p>
            <w:pPr>
              <w:pStyle w:val="0"/>
              <w:jc w:val="center"/>
            </w:pPr>
            <w:r>
              <w:rPr>
                <w:sz w:val="20"/>
              </w:rPr>
              <w:t xml:space="preserve">УрФО</w:t>
            </w:r>
          </w:p>
        </w:tc>
        <w:tc>
          <w:tcPr>
            <w:tcW w:w="756" w:type="dxa"/>
          </w:tcPr>
          <w:p>
            <w:pPr>
              <w:pStyle w:val="0"/>
              <w:jc w:val="center"/>
            </w:pPr>
            <w:r>
              <w:rPr>
                <w:sz w:val="20"/>
              </w:rPr>
              <w:t xml:space="preserve">РФ</w:t>
            </w:r>
          </w:p>
        </w:tc>
        <w:tc>
          <w:tcPr>
            <w:tcW w:w="1121" w:type="dxa"/>
          </w:tcPr>
          <w:p>
            <w:pPr>
              <w:pStyle w:val="0"/>
              <w:jc w:val="center"/>
            </w:pPr>
            <w:r>
              <w:rPr>
                <w:sz w:val="20"/>
              </w:rPr>
              <w:t xml:space="preserve">автономный округ</w:t>
            </w:r>
          </w:p>
        </w:tc>
        <w:tc>
          <w:tcPr>
            <w:tcW w:w="709" w:type="dxa"/>
          </w:tcPr>
          <w:p>
            <w:pPr>
              <w:pStyle w:val="0"/>
              <w:jc w:val="center"/>
            </w:pPr>
            <w:r>
              <w:rPr>
                <w:sz w:val="20"/>
              </w:rPr>
              <w:t xml:space="preserve">УрФО</w:t>
            </w:r>
          </w:p>
        </w:tc>
        <w:tc>
          <w:tcPr>
            <w:tcW w:w="850" w:type="dxa"/>
          </w:tcPr>
          <w:p>
            <w:pPr>
              <w:pStyle w:val="0"/>
              <w:jc w:val="center"/>
            </w:pPr>
            <w:r>
              <w:rPr>
                <w:sz w:val="20"/>
              </w:rPr>
              <w:t xml:space="preserve">РФ</w:t>
            </w:r>
          </w:p>
        </w:tc>
      </w:tr>
      <w:tr>
        <w:tc>
          <w:tcPr>
            <w:tcW w:w="2032" w:type="dxa"/>
          </w:tcPr>
          <w:p>
            <w:pPr>
              <w:pStyle w:val="0"/>
            </w:pPr>
            <w:r>
              <w:rPr>
                <w:sz w:val="20"/>
              </w:rPr>
              <w:t xml:space="preserve">Общая смертность</w:t>
            </w:r>
          </w:p>
        </w:tc>
        <w:tc>
          <w:tcPr>
            <w:tcW w:w="1191" w:type="dxa"/>
          </w:tcPr>
          <w:p>
            <w:pPr>
              <w:pStyle w:val="0"/>
            </w:pPr>
            <w:r>
              <w:rPr>
                <w:sz w:val="20"/>
              </w:rPr>
              <w:t xml:space="preserve">432,1</w:t>
            </w:r>
          </w:p>
        </w:tc>
        <w:tc>
          <w:tcPr>
            <w:tcW w:w="869" w:type="dxa"/>
          </w:tcPr>
          <w:p>
            <w:pPr>
              <w:pStyle w:val="0"/>
            </w:pPr>
            <w:r>
              <w:rPr>
                <w:sz w:val="20"/>
              </w:rPr>
              <w:t xml:space="preserve">501,7</w:t>
            </w:r>
          </w:p>
        </w:tc>
        <w:tc>
          <w:tcPr>
            <w:tcW w:w="756" w:type="dxa"/>
          </w:tcPr>
          <w:p>
            <w:pPr>
              <w:pStyle w:val="0"/>
            </w:pPr>
            <w:r>
              <w:rPr>
                <w:sz w:val="20"/>
              </w:rPr>
              <w:t xml:space="preserve">466,9</w:t>
            </w:r>
          </w:p>
        </w:tc>
        <w:tc>
          <w:tcPr>
            <w:tcW w:w="1020" w:type="dxa"/>
          </w:tcPr>
          <w:p>
            <w:pPr>
              <w:pStyle w:val="0"/>
            </w:pPr>
            <w:r>
              <w:rPr>
                <w:sz w:val="20"/>
              </w:rPr>
              <w:t xml:space="preserve">649,1</w:t>
            </w:r>
          </w:p>
        </w:tc>
        <w:tc>
          <w:tcPr>
            <w:tcW w:w="869" w:type="dxa"/>
          </w:tcPr>
          <w:p>
            <w:pPr>
              <w:pStyle w:val="0"/>
            </w:pPr>
            <w:r>
              <w:rPr>
                <w:sz w:val="20"/>
              </w:rPr>
              <w:t xml:space="preserve">752,8</w:t>
            </w:r>
          </w:p>
        </w:tc>
        <w:tc>
          <w:tcPr>
            <w:tcW w:w="756" w:type="dxa"/>
          </w:tcPr>
          <w:p>
            <w:pPr>
              <w:pStyle w:val="0"/>
            </w:pPr>
            <w:r>
              <w:rPr>
                <w:sz w:val="20"/>
              </w:rPr>
              <w:t xml:space="preserve">704,0</w:t>
            </w:r>
          </w:p>
        </w:tc>
        <w:tc>
          <w:tcPr>
            <w:tcW w:w="1121" w:type="dxa"/>
          </w:tcPr>
          <w:p>
            <w:pPr>
              <w:pStyle w:val="0"/>
            </w:pPr>
            <w:r>
              <w:rPr>
                <w:sz w:val="20"/>
              </w:rPr>
              <w:t xml:space="preserve">192,5</w:t>
            </w:r>
          </w:p>
        </w:tc>
        <w:tc>
          <w:tcPr>
            <w:tcW w:w="709" w:type="dxa"/>
          </w:tcPr>
          <w:p>
            <w:pPr>
              <w:pStyle w:val="0"/>
            </w:pPr>
            <w:r>
              <w:rPr>
                <w:sz w:val="20"/>
              </w:rPr>
              <w:t xml:space="preserve">227,6</w:t>
            </w:r>
          </w:p>
        </w:tc>
        <w:tc>
          <w:tcPr>
            <w:tcW w:w="850" w:type="dxa"/>
          </w:tcPr>
          <w:p>
            <w:pPr>
              <w:pStyle w:val="0"/>
            </w:pPr>
            <w:r>
              <w:rPr>
                <w:sz w:val="20"/>
              </w:rPr>
              <w:t xml:space="preserve">206,6</w:t>
            </w:r>
          </w:p>
        </w:tc>
      </w:tr>
      <w:tr>
        <w:tc>
          <w:tcPr>
            <w:tcW w:w="2032" w:type="dxa"/>
          </w:tcPr>
          <w:p>
            <w:pPr>
              <w:pStyle w:val="0"/>
            </w:pPr>
            <w:r>
              <w:rPr>
                <w:sz w:val="20"/>
              </w:rPr>
              <w:t xml:space="preserve">От БСК</w:t>
            </w:r>
          </w:p>
        </w:tc>
        <w:tc>
          <w:tcPr>
            <w:tcW w:w="1191" w:type="dxa"/>
          </w:tcPr>
          <w:p>
            <w:pPr>
              <w:pStyle w:val="0"/>
            </w:pPr>
            <w:r>
              <w:rPr>
                <w:sz w:val="20"/>
              </w:rPr>
              <w:t xml:space="preserve">123,6</w:t>
            </w:r>
          </w:p>
        </w:tc>
        <w:tc>
          <w:tcPr>
            <w:tcW w:w="869" w:type="dxa"/>
          </w:tcPr>
          <w:p>
            <w:pPr>
              <w:pStyle w:val="0"/>
            </w:pPr>
            <w:r>
              <w:rPr>
                <w:sz w:val="20"/>
              </w:rPr>
              <w:t xml:space="preserve">142,4</w:t>
            </w:r>
          </w:p>
        </w:tc>
        <w:tc>
          <w:tcPr>
            <w:tcW w:w="756" w:type="dxa"/>
          </w:tcPr>
          <w:p>
            <w:pPr>
              <w:pStyle w:val="0"/>
            </w:pPr>
            <w:r>
              <w:rPr>
                <w:sz w:val="20"/>
              </w:rPr>
              <w:t xml:space="preserve">140,4</w:t>
            </w:r>
          </w:p>
        </w:tc>
        <w:tc>
          <w:tcPr>
            <w:tcW w:w="1020" w:type="dxa"/>
          </w:tcPr>
          <w:p>
            <w:pPr>
              <w:pStyle w:val="0"/>
            </w:pPr>
            <w:r>
              <w:rPr>
                <w:sz w:val="20"/>
              </w:rPr>
              <w:t xml:space="preserve">200,2</w:t>
            </w:r>
          </w:p>
        </w:tc>
        <w:tc>
          <w:tcPr>
            <w:tcW w:w="869" w:type="dxa"/>
          </w:tcPr>
          <w:p>
            <w:pPr>
              <w:pStyle w:val="0"/>
            </w:pPr>
            <w:r>
              <w:rPr>
                <w:sz w:val="20"/>
              </w:rPr>
              <w:t xml:space="preserve">128,6</w:t>
            </w:r>
          </w:p>
        </w:tc>
        <w:tc>
          <w:tcPr>
            <w:tcW w:w="756" w:type="dxa"/>
          </w:tcPr>
          <w:p>
            <w:pPr>
              <w:pStyle w:val="0"/>
            </w:pPr>
            <w:r>
              <w:rPr>
                <w:sz w:val="20"/>
              </w:rPr>
              <w:t xml:space="preserve">225,4</w:t>
            </w:r>
          </w:p>
        </w:tc>
        <w:tc>
          <w:tcPr>
            <w:tcW w:w="1121" w:type="dxa"/>
          </w:tcPr>
          <w:p>
            <w:pPr>
              <w:pStyle w:val="0"/>
            </w:pPr>
            <w:r>
              <w:rPr>
                <w:sz w:val="20"/>
              </w:rPr>
              <w:t xml:space="preserve">39,1</w:t>
            </w:r>
          </w:p>
        </w:tc>
        <w:tc>
          <w:tcPr>
            <w:tcW w:w="709" w:type="dxa"/>
          </w:tcPr>
          <w:p>
            <w:pPr>
              <w:pStyle w:val="0"/>
            </w:pPr>
            <w:r>
              <w:rPr>
                <w:sz w:val="20"/>
              </w:rPr>
              <w:t xml:space="preserve">48,3</w:t>
            </w:r>
          </w:p>
        </w:tc>
        <w:tc>
          <w:tcPr>
            <w:tcW w:w="850" w:type="dxa"/>
          </w:tcPr>
          <w:p>
            <w:pPr>
              <w:pStyle w:val="0"/>
            </w:pPr>
            <w:r>
              <w:rPr>
                <w:sz w:val="20"/>
              </w:rPr>
              <w:t xml:space="preserve">47,1</w:t>
            </w:r>
          </w:p>
        </w:tc>
      </w:tr>
      <w:tr>
        <w:tc>
          <w:tcPr>
            <w:tcW w:w="2032" w:type="dxa"/>
          </w:tcPr>
          <w:p>
            <w:pPr>
              <w:pStyle w:val="0"/>
            </w:pPr>
            <w:r>
              <w:rPr>
                <w:sz w:val="20"/>
              </w:rPr>
              <w:t xml:space="preserve">Примерно каждый случай</w:t>
            </w:r>
          </w:p>
        </w:tc>
        <w:tc>
          <w:tcPr>
            <w:tcW w:w="1191" w:type="dxa"/>
          </w:tcPr>
          <w:p>
            <w:pPr>
              <w:pStyle w:val="0"/>
            </w:pPr>
            <w:r>
              <w:rPr>
                <w:sz w:val="20"/>
              </w:rPr>
              <w:t xml:space="preserve">3,5</w:t>
            </w:r>
          </w:p>
        </w:tc>
        <w:tc>
          <w:tcPr>
            <w:tcW w:w="869" w:type="dxa"/>
          </w:tcPr>
          <w:p>
            <w:pPr>
              <w:pStyle w:val="0"/>
            </w:pPr>
            <w:r>
              <w:rPr>
                <w:sz w:val="20"/>
              </w:rPr>
              <w:t xml:space="preserve">3,5</w:t>
            </w:r>
          </w:p>
        </w:tc>
        <w:tc>
          <w:tcPr>
            <w:tcW w:w="756" w:type="dxa"/>
          </w:tcPr>
          <w:p>
            <w:pPr>
              <w:pStyle w:val="0"/>
            </w:pPr>
            <w:r>
              <w:rPr>
                <w:sz w:val="20"/>
              </w:rPr>
              <w:t xml:space="preserve">3,3</w:t>
            </w:r>
          </w:p>
        </w:tc>
        <w:tc>
          <w:tcPr>
            <w:tcW w:w="1020" w:type="dxa"/>
          </w:tcPr>
          <w:p>
            <w:pPr>
              <w:pStyle w:val="0"/>
            </w:pPr>
            <w:r>
              <w:rPr>
                <w:sz w:val="20"/>
              </w:rPr>
              <w:t xml:space="preserve">3,2</w:t>
            </w:r>
          </w:p>
        </w:tc>
        <w:tc>
          <w:tcPr>
            <w:tcW w:w="869" w:type="dxa"/>
          </w:tcPr>
          <w:p>
            <w:pPr>
              <w:pStyle w:val="0"/>
            </w:pPr>
            <w:r>
              <w:rPr>
                <w:sz w:val="20"/>
              </w:rPr>
              <w:t xml:space="preserve">3,3</w:t>
            </w:r>
          </w:p>
        </w:tc>
        <w:tc>
          <w:tcPr>
            <w:tcW w:w="756" w:type="dxa"/>
          </w:tcPr>
          <w:p>
            <w:pPr>
              <w:pStyle w:val="0"/>
            </w:pPr>
            <w:r>
              <w:rPr>
                <w:sz w:val="20"/>
              </w:rPr>
              <w:t xml:space="preserve">3,1</w:t>
            </w:r>
          </w:p>
        </w:tc>
        <w:tc>
          <w:tcPr>
            <w:tcW w:w="1121" w:type="dxa"/>
          </w:tcPr>
          <w:p>
            <w:pPr>
              <w:pStyle w:val="0"/>
            </w:pPr>
            <w:r>
              <w:rPr>
                <w:sz w:val="20"/>
              </w:rPr>
              <w:t xml:space="preserve">4,9</w:t>
            </w:r>
          </w:p>
        </w:tc>
        <w:tc>
          <w:tcPr>
            <w:tcW w:w="709" w:type="dxa"/>
          </w:tcPr>
          <w:p>
            <w:pPr>
              <w:pStyle w:val="0"/>
            </w:pPr>
            <w:r>
              <w:rPr>
                <w:sz w:val="20"/>
              </w:rPr>
              <w:t xml:space="preserve">4,7</w:t>
            </w:r>
          </w:p>
        </w:tc>
        <w:tc>
          <w:tcPr>
            <w:tcW w:w="850" w:type="dxa"/>
          </w:tcPr>
          <w:p>
            <w:pPr>
              <w:pStyle w:val="0"/>
            </w:pPr>
            <w:r>
              <w:rPr>
                <w:sz w:val="20"/>
              </w:rPr>
              <w:t xml:space="preserve">4,4</w:t>
            </w:r>
          </w:p>
        </w:tc>
      </w:tr>
      <w:tr>
        <w:tc>
          <w:tcPr>
            <w:tcW w:w="2032" w:type="dxa"/>
          </w:tcPr>
          <w:p>
            <w:pPr>
              <w:pStyle w:val="0"/>
            </w:pPr>
            <w:r>
              <w:rPr>
                <w:sz w:val="20"/>
              </w:rPr>
              <w:t xml:space="preserve">От Новообразований</w:t>
            </w:r>
          </w:p>
        </w:tc>
        <w:tc>
          <w:tcPr>
            <w:tcW w:w="1191" w:type="dxa"/>
          </w:tcPr>
          <w:p>
            <w:pPr>
              <w:pStyle w:val="0"/>
            </w:pPr>
            <w:r>
              <w:rPr>
                <w:sz w:val="20"/>
              </w:rPr>
              <w:t xml:space="preserve">61,7</w:t>
            </w:r>
          </w:p>
        </w:tc>
        <w:tc>
          <w:tcPr>
            <w:tcW w:w="869" w:type="dxa"/>
          </w:tcPr>
          <w:p>
            <w:pPr>
              <w:pStyle w:val="0"/>
            </w:pPr>
            <w:r>
              <w:rPr>
                <w:sz w:val="20"/>
              </w:rPr>
              <w:t xml:space="preserve">71,6</w:t>
            </w:r>
          </w:p>
        </w:tc>
        <w:tc>
          <w:tcPr>
            <w:tcW w:w="756" w:type="dxa"/>
          </w:tcPr>
          <w:p>
            <w:pPr>
              <w:pStyle w:val="0"/>
            </w:pPr>
            <w:r>
              <w:rPr>
                <w:sz w:val="20"/>
              </w:rPr>
              <w:t xml:space="preserve">70,7</w:t>
            </w:r>
          </w:p>
        </w:tc>
        <w:tc>
          <w:tcPr>
            <w:tcW w:w="1020" w:type="dxa"/>
          </w:tcPr>
          <w:p>
            <w:pPr>
              <w:pStyle w:val="0"/>
            </w:pPr>
            <w:r>
              <w:rPr>
                <w:sz w:val="20"/>
              </w:rPr>
              <w:t xml:space="preserve">82,0</w:t>
            </w:r>
          </w:p>
        </w:tc>
        <w:tc>
          <w:tcPr>
            <w:tcW w:w="869" w:type="dxa"/>
          </w:tcPr>
          <w:p>
            <w:pPr>
              <w:pStyle w:val="0"/>
            </w:pPr>
            <w:r>
              <w:rPr>
                <w:sz w:val="20"/>
              </w:rPr>
              <w:t xml:space="preserve">91,2</w:t>
            </w:r>
          </w:p>
        </w:tc>
        <w:tc>
          <w:tcPr>
            <w:tcW w:w="756" w:type="dxa"/>
          </w:tcPr>
          <w:p>
            <w:pPr>
              <w:pStyle w:val="0"/>
            </w:pPr>
            <w:r>
              <w:rPr>
                <w:sz w:val="20"/>
              </w:rPr>
              <w:t xml:space="preserve">91,0</w:t>
            </w:r>
          </w:p>
        </w:tc>
        <w:tc>
          <w:tcPr>
            <w:tcW w:w="1121" w:type="dxa"/>
          </w:tcPr>
          <w:p>
            <w:pPr>
              <w:pStyle w:val="0"/>
            </w:pPr>
            <w:r>
              <w:rPr>
                <w:sz w:val="20"/>
              </w:rPr>
              <w:t xml:space="preserve">39,3</w:t>
            </w:r>
          </w:p>
        </w:tc>
        <w:tc>
          <w:tcPr>
            <w:tcW w:w="709" w:type="dxa"/>
          </w:tcPr>
          <w:p>
            <w:pPr>
              <w:pStyle w:val="0"/>
            </w:pPr>
            <w:r>
              <w:rPr>
                <w:sz w:val="20"/>
              </w:rPr>
              <w:t xml:space="preserve">50,1</w:t>
            </w:r>
          </w:p>
        </w:tc>
        <w:tc>
          <w:tcPr>
            <w:tcW w:w="850" w:type="dxa"/>
          </w:tcPr>
          <w:p>
            <w:pPr>
              <w:pStyle w:val="0"/>
            </w:pPr>
            <w:r>
              <w:rPr>
                <w:sz w:val="20"/>
              </w:rPr>
              <w:t xml:space="preserve">48,4</w:t>
            </w:r>
          </w:p>
        </w:tc>
      </w:tr>
      <w:tr>
        <w:tc>
          <w:tcPr>
            <w:tcW w:w="2032" w:type="dxa"/>
          </w:tcPr>
          <w:p>
            <w:pPr>
              <w:pStyle w:val="0"/>
            </w:pPr>
            <w:r>
              <w:rPr>
                <w:sz w:val="20"/>
              </w:rPr>
              <w:t xml:space="preserve">Примерно каждый случай</w:t>
            </w:r>
          </w:p>
        </w:tc>
        <w:tc>
          <w:tcPr>
            <w:tcW w:w="1191" w:type="dxa"/>
          </w:tcPr>
          <w:p>
            <w:pPr>
              <w:pStyle w:val="0"/>
            </w:pPr>
            <w:r>
              <w:rPr>
                <w:sz w:val="20"/>
              </w:rPr>
              <w:t xml:space="preserve">7,0</w:t>
            </w:r>
          </w:p>
        </w:tc>
        <w:tc>
          <w:tcPr>
            <w:tcW w:w="869" w:type="dxa"/>
          </w:tcPr>
          <w:p>
            <w:pPr>
              <w:pStyle w:val="0"/>
            </w:pPr>
            <w:r>
              <w:rPr>
                <w:sz w:val="20"/>
              </w:rPr>
              <w:t xml:space="preserve">7,0</w:t>
            </w:r>
          </w:p>
        </w:tc>
        <w:tc>
          <w:tcPr>
            <w:tcW w:w="756" w:type="dxa"/>
          </w:tcPr>
          <w:p>
            <w:pPr>
              <w:pStyle w:val="0"/>
            </w:pPr>
            <w:r>
              <w:rPr>
                <w:sz w:val="20"/>
              </w:rPr>
              <w:t xml:space="preserve">6,6</w:t>
            </w:r>
          </w:p>
        </w:tc>
        <w:tc>
          <w:tcPr>
            <w:tcW w:w="1020" w:type="dxa"/>
          </w:tcPr>
          <w:p>
            <w:pPr>
              <w:pStyle w:val="0"/>
            </w:pPr>
            <w:r>
              <w:rPr>
                <w:sz w:val="20"/>
              </w:rPr>
              <w:t xml:space="preserve">7,9</w:t>
            </w:r>
          </w:p>
        </w:tc>
        <w:tc>
          <w:tcPr>
            <w:tcW w:w="869" w:type="dxa"/>
          </w:tcPr>
          <w:p>
            <w:pPr>
              <w:pStyle w:val="0"/>
            </w:pPr>
            <w:r>
              <w:rPr>
                <w:sz w:val="20"/>
              </w:rPr>
              <w:t xml:space="preserve">8,3</w:t>
            </w:r>
          </w:p>
        </w:tc>
        <w:tc>
          <w:tcPr>
            <w:tcW w:w="756" w:type="dxa"/>
          </w:tcPr>
          <w:p>
            <w:pPr>
              <w:pStyle w:val="0"/>
            </w:pPr>
            <w:r>
              <w:rPr>
                <w:sz w:val="20"/>
              </w:rPr>
              <w:t xml:space="preserve">7,7</w:t>
            </w:r>
          </w:p>
        </w:tc>
        <w:tc>
          <w:tcPr>
            <w:tcW w:w="1121" w:type="dxa"/>
          </w:tcPr>
          <w:p>
            <w:pPr>
              <w:pStyle w:val="0"/>
            </w:pPr>
            <w:r>
              <w:rPr>
                <w:sz w:val="20"/>
              </w:rPr>
              <w:t xml:space="preserve">4,9</w:t>
            </w:r>
          </w:p>
        </w:tc>
        <w:tc>
          <w:tcPr>
            <w:tcW w:w="709" w:type="dxa"/>
          </w:tcPr>
          <w:p>
            <w:pPr>
              <w:pStyle w:val="0"/>
            </w:pPr>
            <w:r>
              <w:rPr>
                <w:sz w:val="20"/>
              </w:rPr>
              <w:t xml:space="preserve">4,5</w:t>
            </w:r>
          </w:p>
        </w:tc>
        <w:tc>
          <w:tcPr>
            <w:tcW w:w="850" w:type="dxa"/>
          </w:tcPr>
          <w:p>
            <w:pPr>
              <w:pStyle w:val="0"/>
            </w:pPr>
            <w:r>
              <w:rPr>
                <w:sz w:val="20"/>
              </w:rPr>
              <w:t xml:space="preserve">4,3</w:t>
            </w:r>
          </w:p>
        </w:tc>
      </w:tr>
      <w:tr>
        <w:tc>
          <w:tcPr>
            <w:tcW w:w="2032" w:type="dxa"/>
          </w:tcPr>
          <w:p>
            <w:pPr>
              <w:pStyle w:val="0"/>
            </w:pPr>
            <w:r>
              <w:rPr>
                <w:sz w:val="20"/>
              </w:rPr>
              <w:t xml:space="preserve">Внешние причины</w:t>
            </w:r>
          </w:p>
        </w:tc>
        <w:tc>
          <w:tcPr>
            <w:tcW w:w="1191" w:type="dxa"/>
          </w:tcPr>
          <w:p>
            <w:pPr>
              <w:pStyle w:val="0"/>
            </w:pPr>
            <w:r>
              <w:rPr>
                <w:sz w:val="20"/>
              </w:rPr>
              <w:t xml:space="preserve">88,0</w:t>
            </w:r>
          </w:p>
        </w:tc>
        <w:tc>
          <w:tcPr>
            <w:tcW w:w="869" w:type="dxa"/>
          </w:tcPr>
          <w:p>
            <w:pPr>
              <w:pStyle w:val="0"/>
            </w:pPr>
            <w:r>
              <w:rPr>
                <w:sz w:val="20"/>
              </w:rPr>
              <w:t xml:space="preserve">127,3</w:t>
            </w:r>
          </w:p>
        </w:tc>
        <w:tc>
          <w:tcPr>
            <w:tcW w:w="756" w:type="dxa"/>
          </w:tcPr>
          <w:p>
            <w:pPr>
              <w:pStyle w:val="0"/>
            </w:pPr>
            <w:r>
              <w:rPr>
                <w:sz w:val="20"/>
              </w:rPr>
              <w:t xml:space="preserve">108,1</w:t>
            </w:r>
          </w:p>
        </w:tc>
        <w:tc>
          <w:tcPr>
            <w:tcW w:w="1020" w:type="dxa"/>
          </w:tcPr>
          <w:p>
            <w:pPr>
              <w:pStyle w:val="0"/>
            </w:pPr>
            <w:r>
              <w:rPr>
                <w:sz w:val="20"/>
              </w:rPr>
              <w:t xml:space="preserve">144,4</w:t>
            </w:r>
          </w:p>
        </w:tc>
        <w:tc>
          <w:tcPr>
            <w:tcW w:w="869" w:type="dxa"/>
          </w:tcPr>
          <w:p>
            <w:pPr>
              <w:pStyle w:val="0"/>
            </w:pPr>
            <w:r>
              <w:rPr>
                <w:sz w:val="20"/>
              </w:rPr>
              <w:t xml:space="preserve">208,3</w:t>
            </w:r>
          </w:p>
        </w:tc>
        <w:tc>
          <w:tcPr>
            <w:tcW w:w="756" w:type="dxa"/>
          </w:tcPr>
          <w:p>
            <w:pPr>
              <w:pStyle w:val="0"/>
            </w:pPr>
            <w:r>
              <w:rPr>
                <w:sz w:val="20"/>
              </w:rPr>
              <w:t xml:space="preserve">175,3</w:t>
            </w:r>
          </w:p>
        </w:tc>
        <w:tc>
          <w:tcPr>
            <w:tcW w:w="1121" w:type="dxa"/>
          </w:tcPr>
          <w:p>
            <w:pPr>
              <w:pStyle w:val="0"/>
            </w:pPr>
            <w:r>
              <w:rPr>
                <w:sz w:val="20"/>
              </w:rPr>
              <w:t xml:space="preserve">25,7</w:t>
            </w:r>
          </w:p>
        </w:tc>
        <w:tc>
          <w:tcPr>
            <w:tcW w:w="709" w:type="dxa"/>
          </w:tcPr>
          <w:p>
            <w:pPr>
              <w:pStyle w:val="0"/>
            </w:pPr>
            <w:r>
              <w:rPr>
                <w:sz w:val="20"/>
              </w:rPr>
              <w:t xml:space="preserve">39,0</w:t>
            </w:r>
          </w:p>
        </w:tc>
        <w:tc>
          <w:tcPr>
            <w:tcW w:w="850" w:type="dxa"/>
          </w:tcPr>
          <w:p>
            <w:pPr>
              <w:pStyle w:val="0"/>
            </w:pPr>
            <w:r>
              <w:rPr>
                <w:sz w:val="20"/>
              </w:rPr>
              <w:t xml:space="preserve">34,4</w:t>
            </w:r>
          </w:p>
        </w:tc>
      </w:tr>
      <w:tr>
        <w:tc>
          <w:tcPr>
            <w:tcW w:w="2032" w:type="dxa"/>
          </w:tcPr>
          <w:p>
            <w:pPr>
              <w:pStyle w:val="0"/>
            </w:pPr>
            <w:r>
              <w:rPr>
                <w:sz w:val="20"/>
              </w:rPr>
              <w:t xml:space="preserve">Примерно каждый случай</w:t>
            </w:r>
          </w:p>
        </w:tc>
        <w:tc>
          <w:tcPr>
            <w:tcW w:w="1191" w:type="dxa"/>
          </w:tcPr>
          <w:p>
            <w:pPr>
              <w:pStyle w:val="0"/>
            </w:pPr>
            <w:r>
              <w:rPr>
                <w:sz w:val="20"/>
              </w:rPr>
              <w:t xml:space="preserve">4,9</w:t>
            </w:r>
          </w:p>
        </w:tc>
        <w:tc>
          <w:tcPr>
            <w:tcW w:w="869" w:type="dxa"/>
          </w:tcPr>
          <w:p>
            <w:pPr>
              <w:pStyle w:val="0"/>
            </w:pPr>
            <w:r>
              <w:rPr>
                <w:sz w:val="20"/>
              </w:rPr>
              <w:t xml:space="preserve">3,9</w:t>
            </w:r>
          </w:p>
        </w:tc>
        <w:tc>
          <w:tcPr>
            <w:tcW w:w="756" w:type="dxa"/>
          </w:tcPr>
          <w:p>
            <w:pPr>
              <w:pStyle w:val="0"/>
            </w:pPr>
            <w:r>
              <w:rPr>
                <w:sz w:val="20"/>
              </w:rPr>
              <w:t xml:space="preserve">4,3</w:t>
            </w:r>
          </w:p>
        </w:tc>
        <w:tc>
          <w:tcPr>
            <w:tcW w:w="1020" w:type="dxa"/>
          </w:tcPr>
          <w:p>
            <w:pPr>
              <w:pStyle w:val="0"/>
            </w:pPr>
            <w:r>
              <w:rPr>
                <w:sz w:val="20"/>
              </w:rPr>
              <w:t xml:space="preserve">4,5</w:t>
            </w:r>
          </w:p>
        </w:tc>
        <w:tc>
          <w:tcPr>
            <w:tcW w:w="869" w:type="dxa"/>
          </w:tcPr>
          <w:p>
            <w:pPr>
              <w:pStyle w:val="0"/>
            </w:pPr>
            <w:r>
              <w:rPr>
                <w:sz w:val="20"/>
              </w:rPr>
              <w:t xml:space="preserve">3,6</w:t>
            </w:r>
          </w:p>
        </w:tc>
        <w:tc>
          <w:tcPr>
            <w:tcW w:w="756" w:type="dxa"/>
          </w:tcPr>
          <w:p>
            <w:pPr>
              <w:pStyle w:val="0"/>
            </w:pPr>
            <w:r>
              <w:rPr>
                <w:sz w:val="20"/>
              </w:rPr>
              <w:t xml:space="preserve">4,0</w:t>
            </w:r>
          </w:p>
        </w:tc>
        <w:tc>
          <w:tcPr>
            <w:tcW w:w="1121" w:type="dxa"/>
          </w:tcPr>
          <w:p>
            <w:pPr>
              <w:pStyle w:val="0"/>
            </w:pPr>
            <w:r>
              <w:rPr>
                <w:sz w:val="20"/>
              </w:rPr>
              <w:t xml:space="preserve">7,5</w:t>
            </w:r>
          </w:p>
        </w:tc>
        <w:tc>
          <w:tcPr>
            <w:tcW w:w="709" w:type="dxa"/>
          </w:tcPr>
          <w:p>
            <w:pPr>
              <w:pStyle w:val="0"/>
            </w:pPr>
            <w:r>
              <w:rPr>
                <w:sz w:val="20"/>
              </w:rPr>
              <w:t xml:space="preserve">5,8</w:t>
            </w:r>
          </w:p>
        </w:tc>
        <w:tc>
          <w:tcPr>
            <w:tcW w:w="850" w:type="dxa"/>
          </w:tcPr>
          <w:p>
            <w:pPr>
              <w:pStyle w:val="0"/>
            </w:pPr>
            <w:r>
              <w:rPr>
                <w:sz w:val="20"/>
              </w:rPr>
              <w:t xml:space="preserve">6,0</w:t>
            </w:r>
          </w:p>
        </w:tc>
      </w:tr>
    </w:tbl>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С учетом изменения возрастного периода трудоспособности с 2020 года.</w:t>
      </w:r>
    </w:p>
    <w:p>
      <w:pPr>
        <w:pStyle w:val="0"/>
        <w:ind w:firstLine="540"/>
        <w:jc w:val="both"/>
      </w:pPr>
      <w:r>
        <w:rPr>
          <w:sz w:val="20"/>
        </w:rPr>
      </w:r>
    </w:p>
    <w:p>
      <w:pPr>
        <w:pStyle w:val="0"/>
        <w:ind w:firstLine="540"/>
        <w:jc w:val="both"/>
      </w:pPr>
      <w:r>
        <w:rPr>
          <w:sz w:val="20"/>
        </w:rPr>
        <w:t xml:space="preserve">На примере смертности у женщин более выделяются причины заболеваний, смертность от внешних причин у них меньше в 5 раз, чем у мужчин. На смертность от внешних причин здравоохранение влияет в меньшей степени. Соотношение смертей от внешних причин у мужчин и женщин следующее: автономный округ - 144,4/25,7 (5,6 раза); УрФО - 208,3/39,0 (5,3 раза); РФ - 175,3/34,4 (5,1 раза).</w:t>
      </w:r>
    </w:p>
    <w:p>
      <w:pPr>
        <w:pStyle w:val="2"/>
        <w:spacing w:before="200" w:line-rule="auto"/>
        <w:outlineLvl w:val="2"/>
        <w:ind w:firstLine="540"/>
        <w:jc w:val="both"/>
      </w:pPr>
      <w:r>
        <w:rPr>
          <w:sz w:val="20"/>
        </w:rPr>
        <w:t xml:space="preserve">3.7. Распространенность табакокурения</w:t>
      </w:r>
    </w:p>
    <w:p>
      <w:pPr>
        <w:pStyle w:val="0"/>
        <w:spacing w:before="200" w:line-rule="auto"/>
        <w:ind w:firstLine="540"/>
        <w:jc w:val="both"/>
      </w:pPr>
      <w:r>
        <w:rPr>
          <w:sz w:val="20"/>
        </w:rPr>
        <w:t xml:space="preserve">Курение табака является одним из основных факторов риска развития неинфекционных заболеваний. БУ "Центр общественного здоровья и медицинской профилактики" на постоянной основе проводит ежегодные социологические исследования среди населения автономного округа старше 18 лет.</w:t>
      </w:r>
    </w:p>
    <w:p>
      <w:pPr>
        <w:pStyle w:val="0"/>
        <w:spacing w:before="200" w:line-rule="auto"/>
        <w:ind w:firstLine="540"/>
        <w:jc w:val="both"/>
      </w:pPr>
      <w:r>
        <w:rPr>
          <w:sz w:val="20"/>
        </w:rPr>
        <w:t xml:space="preserve">За период с 2019 по 2020 год количество курящих респондентов увеличилось на 1,3% (см. </w:t>
      </w:r>
      <w:hyperlink w:history="0" w:anchor="P23754" w:tooltip="Ответ на вопрос &quot;курите ли Вы?&quot;">
        <w:r>
          <w:rPr>
            <w:sz w:val="20"/>
            <w:color w:val="0000ff"/>
          </w:rPr>
          <w:t xml:space="preserve">таблицу 15</w:t>
        </w:r>
      </w:hyperlink>
      <w:r>
        <w:rPr>
          <w:sz w:val="20"/>
        </w:rPr>
        <w:t xml:space="preserve">).</w:t>
      </w:r>
    </w:p>
    <w:p>
      <w:pPr>
        <w:pStyle w:val="0"/>
        <w:ind w:firstLine="540"/>
        <w:jc w:val="both"/>
      </w:pPr>
      <w:r>
        <w:rPr>
          <w:sz w:val="20"/>
        </w:rPr>
      </w:r>
    </w:p>
    <w:p>
      <w:pPr>
        <w:pStyle w:val="0"/>
        <w:outlineLvl w:val="3"/>
        <w:jc w:val="right"/>
      </w:pPr>
      <w:r>
        <w:rPr>
          <w:sz w:val="20"/>
        </w:rPr>
        <w:t xml:space="preserve">Таблица 15</w:t>
      </w:r>
    </w:p>
    <w:p>
      <w:pPr>
        <w:pStyle w:val="0"/>
        <w:jc w:val="right"/>
      </w:pPr>
      <w:r>
        <w:rPr>
          <w:sz w:val="20"/>
        </w:rPr>
      </w:r>
    </w:p>
    <w:bookmarkStart w:id="23754" w:name="P23754"/>
    <w:bookmarkEnd w:id="23754"/>
    <w:p>
      <w:pPr>
        <w:pStyle w:val="2"/>
        <w:jc w:val="center"/>
      </w:pPr>
      <w:r>
        <w:rPr>
          <w:sz w:val="20"/>
        </w:rPr>
        <w:t xml:space="preserve">Ответ на вопрос "курите ли Вы?"</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77"/>
        <w:gridCol w:w="2281"/>
        <w:gridCol w:w="2281"/>
        <w:gridCol w:w="2281"/>
      </w:tblGrid>
      <w:tr>
        <w:tc>
          <w:tcPr>
            <w:tcW w:w="2177" w:type="dxa"/>
          </w:tcPr>
          <w:p>
            <w:pPr>
              <w:pStyle w:val="0"/>
            </w:pPr>
            <w:r>
              <w:rPr>
                <w:sz w:val="20"/>
              </w:rPr>
            </w:r>
          </w:p>
        </w:tc>
        <w:tc>
          <w:tcPr>
            <w:tcW w:w="2281" w:type="dxa"/>
          </w:tcPr>
          <w:p>
            <w:pPr>
              <w:pStyle w:val="0"/>
              <w:jc w:val="center"/>
            </w:pPr>
            <w:r>
              <w:rPr>
                <w:sz w:val="20"/>
              </w:rPr>
              <w:t xml:space="preserve">2019</w:t>
            </w:r>
          </w:p>
        </w:tc>
        <w:tc>
          <w:tcPr>
            <w:tcW w:w="2281" w:type="dxa"/>
          </w:tcPr>
          <w:p>
            <w:pPr>
              <w:pStyle w:val="0"/>
              <w:jc w:val="center"/>
            </w:pPr>
            <w:r>
              <w:rPr>
                <w:sz w:val="20"/>
              </w:rPr>
              <w:t xml:space="preserve">2020</w:t>
            </w:r>
          </w:p>
        </w:tc>
        <w:tc>
          <w:tcPr>
            <w:tcW w:w="2281" w:type="dxa"/>
          </w:tcPr>
          <w:p>
            <w:pPr>
              <w:pStyle w:val="0"/>
              <w:jc w:val="center"/>
            </w:pPr>
            <w:r>
              <w:rPr>
                <w:sz w:val="20"/>
              </w:rPr>
              <w:t xml:space="preserve">2021</w:t>
            </w:r>
          </w:p>
        </w:tc>
      </w:tr>
      <w:tr>
        <w:tc>
          <w:tcPr>
            <w:tcW w:w="2177" w:type="dxa"/>
          </w:tcPr>
          <w:p>
            <w:pPr>
              <w:pStyle w:val="0"/>
            </w:pPr>
            <w:r>
              <w:rPr>
                <w:sz w:val="20"/>
              </w:rPr>
              <w:t xml:space="preserve">Да, %</w:t>
            </w:r>
          </w:p>
        </w:tc>
        <w:tc>
          <w:tcPr>
            <w:tcW w:w="2281" w:type="dxa"/>
          </w:tcPr>
          <w:p>
            <w:pPr>
              <w:pStyle w:val="0"/>
            </w:pPr>
            <w:r>
              <w:rPr>
                <w:sz w:val="20"/>
              </w:rPr>
              <w:t xml:space="preserve">31,1</w:t>
            </w:r>
          </w:p>
        </w:tc>
        <w:tc>
          <w:tcPr>
            <w:tcW w:w="2281" w:type="dxa"/>
          </w:tcPr>
          <w:p>
            <w:pPr>
              <w:pStyle w:val="0"/>
            </w:pPr>
            <w:r>
              <w:rPr>
                <w:sz w:val="20"/>
              </w:rPr>
              <w:t xml:space="preserve">31,2</w:t>
            </w:r>
          </w:p>
        </w:tc>
        <w:tc>
          <w:tcPr>
            <w:tcW w:w="2281" w:type="dxa"/>
          </w:tcPr>
          <w:p>
            <w:pPr>
              <w:pStyle w:val="0"/>
            </w:pPr>
            <w:r>
              <w:rPr>
                <w:sz w:val="20"/>
              </w:rPr>
              <w:t xml:space="preserve">31,4</w:t>
            </w:r>
          </w:p>
        </w:tc>
      </w:tr>
    </w:tbl>
    <w:p>
      <w:pPr>
        <w:pStyle w:val="0"/>
        <w:ind w:firstLine="540"/>
        <w:jc w:val="both"/>
      </w:pPr>
      <w:r>
        <w:rPr>
          <w:sz w:val="20"/>
        </w:rPr>
      </w:r>
    </w:p>
    <w:p>
      <w:pPr>
        <w:pStyle w:val="0"/>
        <w:ind w:firstLine="540"/>
        <w:jc w:val="both"/>
      </w:pPr>
      <w:r>
        <w:rPr>
          <w:sz w:val="20"/>
        </w:rPr>
        <w:t xml:space="preserve">В сравнении с 2019 годом количество курящих респондентов в 2021 году увеличилось на 0,3%, таким образом, наблюдается плавная тенденция к росту курящих людей.</w:t>
      </w:r>
    </w:p>
    <w:p>
      <w:pPr>
        <w:pStyle w:val="0"/>
        <w:spacing w:before="200" w:line-rule="auto"/>
        <w:ind w:firstLine="540"/>
        <w:jc w:val="both"/>
      </w:pPr>
      <w:r>
        <w:rPr>
          <w:sz w:val="20"/>
        </w:rPr>
        <w:t xml:space="preserve">Если говорить о курении в разрезе пола, то стоит указать на незначительное снижение числа курильщиков среди мужчин по отношению к 2019 году и повышению числа курящих женщин. В отношении 2020 года, количество курящих мужчин увеличилось на 8%, а количество курящих женщин снизилось на 7,4% (см. </w:t>
      </w:r>
      <w:hyperlink w:history="0" w:anchor="P23770" w:tooltip="Курение в разрезе пола респондентов">
        <w:r>
          <w:rPr>
            <w:sz w:val="20"/>
            <w:color w:val="0000ff"/>
          </w:rPr>
          <w:t xml:space="preserve">таблицу 16</w:t>
        </w:r>
      </w:hyperlink>
      <w:r>
        <w:rPr>
          <w:sz w:val="20"/>
        </w:rPr>
        <w:t xml:space="preserve">).</w:t>
      </w:r>
    </w:p>
    <w:p>
      <w:pPr>
        <w:pStyle w:val="0"/>
        <w:ind w:firstLine="540"/>
        <w:jc w:val="both"/>
      </w:pPr>
      <w:r>
        <w:rPr>
          <w:sz w:val="20"/>
        </w:rPr>
      </w:r>
    </w:p>
    <w:p>
      <w:pPr>
        <w:pStyle w:val="0"/>
        <w:outlineLvl w:val="3"/>
        <w:jc w:val="right"/>
      </w:pPr>
      <w:r>
        <w:rPr>
          <w:sz w:val="20"/>
        </w:rPr>
        <w:t xml:space="preserve">Таблица 16</w:t>
      </w:r>
    </w:p>
    <w:p>
      <w:pPr>
        <w:pStyle w:val="0"/>
        <w:jc w:val="right"/>
      </w:pPr>
      <w:r>
        <w:rPr>
          <w:sz w:val="20"/>
        </w:rPr>
      </w:r>
    </w:p>
    <w:bookmarkStart w:id="23770" w:name="P23770"/>
    <w:bookmarkEnd w:id="23770"/>
    <w:p>
      <w:pPr>
        <w:pStyle w:val="2"/>
        <w:jc w:val="center"/>
      </w:pPr>
      <w:r>
        <w:rPr>
          <w:sz w:val="20"/>
        </w:rPr>
        <w:t xml:space="preserve">Курение в разрезе пола респондентов</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78"/>
        <w:gridCol w:w="2117"/>
        <w:gridCol w:w="2268"/>
        <w:gridCol w:w="2324"/>
      </w:tblGrid>
      <w:tr>
        <w:tc>
          <w:tcPr>
            <w:tcW w:w="2278" w:type="dxa"/>
          </w:tcPr>
          <w:p>
            <w:pPr>
              <w:pStyle w:val="0"/>
              <w:jc w:val="center"/>
            </w:pPr>
            <w:r>
              <w:rPr>
                <w:sz w:val="20"/>
              </w:rPr>
              <w:t xml:space="preserve">Пол</w:t>
            </w:r>
          </w:p>
        </w:tc>
        <w:tc>
          <w:tcPr>
            <w:tcW w:w="2117" w:type="dxa"/>
          </w:tcPr>
          <w:p>
            <w:pPr>
              <w:pStyle w:val="0"/>
              <w:jc w:val="center"/>
            </w:pPr>
            <w:r>
              <w:rPr>
                <w:sz w:val="20"/>
              </w:rPr>
              <w:t xml:space="preserve">2019</w:t>
            </w:r>
          </w:p>
        </w:tc>
        <w:tc>
          <w:tcPr>
            <w:tcW w:w="2268" w:type="dxa"/>
          </w:tcPr>
          <w:p>
            <w:pPr>
              <w:pStyle w:val="0"/>
              <w:jc w:val="center"/>
            </w:pPr>
            <w:r>
              <w:rPr>
                <w:sz w:val="20"/>
              </w:rPr>
              <w:t xml:space="preserve">2020</w:t>
            </w:r>
          </w:p>
        </w:tc>
        <w:tc>
          <w:tcPr>
            <w:tcW w:w="2324" w:type="dxa"/>
          </w:tcPr>
          <w:p>
            <w:pPr>
              <w:pStyle w:val="0"/>
              <w:jc w:val="center"/>
            </w:pPr>
            <w:r>
              <w:rPr>
                <w:sz w:val="20"/>
              </w:rPr>
              <w:t xml:space="preserve">2021</w:t>
            </w:r>
          </w:p>
        </w:tc>
      </w:tr>
      <w:tr>
        <w:tc>
          <w:tcPr>
            <w:tcW w:w="2278" w:type="dxa"/>
          </w:tcPr>
          <w:p>
            <w:pPr>
              <w:pStyle w:val="0"/>
            </w:pPr>
            <w:r>
              <w:rPr>
                <w:sz w:val="20"/>
              </w:rPr>
              <w:t xml:space="preserve">Мужчины, %</w:t>
            </w:r>
          </w:p>
        </w:tc>
        <w:tc>
          <w:tcPr>
            <w:tcW w:w="2117" w:type="dxa"/>
          </w:tcPr>
          <w:p>
            <w:pPr>
              <w:pStyle w:val="0"/>
            </w:pPr>
            <w:r>
              <w:rPr>
                <w:sz w:val="20"/>
              </w:rPr>
              <w:t xml:space="preserve">40,7</w:t>
            </w:r>
          </w:p>
        </w:tc>
        <w:tc>
          <w:tcPr>
            <w:tcW w:w="2268" w:type="dxa"/>
          </w:tcPr>
          <w:p>
            <w:pPr>
              <w:pStyle w:val="0"/>
            </w:pPr>
            <w:r>
              <w:rPr>
                <w:sz w:val="20"/>
              </w:rPr>
              <w:t xml:space="preserve">31,4</w:t>
            </w:r>
          </w:p>
        </w:tc>
        <w:tc>
          <w:tcPr>
            <w:tcW w:w="2324" w:type="dxa"/>
          </w:tcPr>
          <w:p>
            <w:pPr>
              <w:pStyle w:val="0"/>
            </w:pPr>
            <w:r>
              <w:rPr>
                <w:sz w:val="20"/>
              </w:rPr>
              <w:t xml:space="preserve">39,4</w:t>
            </w:r>
          </w:p>
        </w:tc>
      </w:tr>
      <w:tr>
        <w:tc>
          <w:tcPr>
            <w:tcW w:w="2278" w:type="dxa"/>
          </w:tcPr>
          <w:p>
            <w:pPr>
              <w:pStyle w:val="0"/>
            </w:pPr>
            <w:r>
              <w:rPr>
                <w:sz w:val="20"/>
              </w:rPr>
              <w:t xml:space="preserve">Женщины, %</w:t>
            </w:r>
          </w:p>
        </w:tc>
        <w:tc>
          <w:tcPr>
            <w:tcW w:w="2117" w:type="dxa"/>
          </w:tcPr>
          <w:p>
            <w:pPr>
              <w:pStyle w:val="0"/>
            </w:pPr>
            <w:r>
              <w:rPr>
                <w:sz w:val="20"/>
              </w:rPr>
              <w:t xml:space="preserve">21,6</w:t>
            </w:r>
          </w:p>
        </w:tc>
        <w:tc>
          <w:tcPr>
            <w:tcW w:w="2268" w:type="dxa"/>
          </w:tcPr>
          <w:p>
            <w:pPr>
              <w:pStyle w:val="0"/>
            </w:pPr>
            <w:r>
              <w:rPr>
                <w:sz w:val="20"/>
              </w:rPr>
              <w:t xml:space="preserve">30,9</w:t>
            </w:r>
          </w:p>
        </w:tc>
        <w:tc>
          <w:tcPr>
            <w:tcW w:w="2324" w:type="dxa"/>
          </w:tcPr>
          <w:p>
            <w:pPr>
              <w:pStyle w:val="0"/>
            </w:pPr>
            <w:r>
              <w:rPr>
                <w:sz w:val="20"/>
              </w:rPr>
              <w:t xml:space="preserve">23,5</w:t>
            </w:r>
          </w:p>
        </w:tc>
      </w:tr>
    </w:tbl>
    <w:p>
      <w:pPr>
        <w:pStyle w:val="0"/>
        <w:ind w:firstLine="540"/>
        <w:jc w:val="both"/>
      </w:pPr>
      <w:r>
        <w:rPr>
          <w:sz w:val="20"/>
        </w:rPr>
      </w:r>
    </w:p>
    <w:p>
      <w:pPr>
        <w:pStyle w:val="0"/>
        <w:ind w:firstLine="540"/>
        <w:jc w:val="both"/>
      </w:pPr>
      <w:r>
        <w:rPr>
          <w:sz w:val="20"/>
        </w:rPr>
        <w:t xml:space="preserve">По сравнению с предыдущими годами, выросло количество длительно курящих людей, на 15% по отношению к 2019 году и на 13,9% по отношению к 2020 году. При этом снизилось число респондентов, курящих менее 2 лет (см. </w:t>
      </w:r>
      <w:hyperlink w:history="0" w:anchor="P23790" w:tooltip="Продолжительность употребления сигарет и табака">
        <w:r>
          <w:rPr>
            <w:sz w:val="20"/>
            <w:color w:val="0000ff"/>
          </w:rPr>
          <w:t xml:space="preserve">таблицу 17</w:t>
        </w:r>
      </w:hyperlink>
      <w:r>
        <w:rPr>
          <w:sz w:val="20"/>
        </w:rPr>
        <w:t xml:space="preserve">).</w:t>
      </w:r>
    </w:p>
    <w:p>
      <w:pPr>
        <w:pStyle w:val="0"/>
        <w:spacing w:before="200" w:line-rule="auto"/>
        <w:ind w:firstLine="540"/>
        <w:jc w:val="both"/>
      </w:pPr>
      <w:r>
        <w:rPr>
          <w:sz w:val="20"/>
        </w:rPr>
        <w:t xml:space="preserve">Таким образом, можно сделать вывод о благоприятном тренде на уменьшение числа лиц, впервые пробующих сигареты и начинающих курить, а также что основная масса курящего населения начала курить более 10 лет назад.</w:t>
      </w:r>
    </w:p>
    <w:p>
      <w:pPr>
        <w:pStyle w:val="0"/>
        <w:ind w:firstLine="540"/>
        <w:jc w:val="both"/>
      </w:pPr>
      <w:r>
        <w:rPr>
          <w:sz w:val="20"/>
        </w:rPr>
      </w:r>
    </w:p>
    <w:p>
      <w:pPr>
        <w:pStyle w:val="0"/>
        <w:outlineLvl w:val="3"/>
        <w:jc w:val="right"/>
      </w:pPr>
      <w:r>
        <w:rPr>
          <w:sz w:val="20"/>
        </w:rPr>
        <w:t xml:space="preserve">Таблица 17</w:t>
      </w:r>
    </w:p>
    <w:p>
      <w:pPr>
        <w:pStyle w:val="0"/>
        <w:ind w:firstLine="540"/>
        <w:jc w:val="both"/>
      </w:pPr>
      <w:r>
        <w:rPr>
          <w:sz w:val="20"/>
        </w:rPr>
      </w:r>
    </w:p>
    <w:bookmarkStart w:id="23790" w:name="P23790"/>
    <w:bookmarkEnd w:id="23790"/>
    <w:p>
      <w:pPr>
        <w:pStyle w:val="2"/>
        <w:jc w:val="center"/>
      </w:pPr>
      <w:r>
        <w:rPr>
          <w:sz w:val="20"/>
        </w:rPr>
        <w:t xml:space="preserve">Продолжительность употребления сигарет и табака</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79"/>
        <w:gridCol w:w="2276"/>
        <w:gridCol w:w="2383"/>
        <w:gridCol w:w="2041"/>
      </w:tblGrid>
      <w:tr>
        <w:tc>
          <w:tcPr>
            <w:tcW w:w="2279" w:type="dxa"/>
          </w:tcPr>
          <w:p>
            <w:pPr>
              <w:pStyle w:val="0"/>
              <w:jc w:val="center"/>
            </w:pPr>
            <w:r>
              <w:rPr>
                <w:sz w:val="20"/>
              </w:rPr>
              <w:t xml:space="preserve">Количество лет</w:t>
            </w:r>
          </w:p>
        </w:tc>
        <w:tc>
          <w:tcPr>
            <w:tcW w:w="2276" w:type="dxa"/>
          </w:tcPr>
          <w:p>
            <w:pPr>
              <w:pStyle w:val="0"/>
              <w:jc w:val="center"/>
            </w:pPr>
            <w:r>
              <w:rPr>
                <w:sz w:val="20"/>
              </w:rPr>
              <w:t xml:space="preserve">2019 год</w:t>
            </w:r>
          </w:p>
        </w:tc>
        <w:tc>
          <w:tcPr>
            <w:tcW w:w="2383" w:type="dxa"/>
          </w:tcPr>
          <w:p>
            <w:pPr>
              <w:pStyle w:val="0"/>
              <w:jc w:val="center"/>
            </w:pPr>
            <w:r>
              <w:rPr>
                <w:sz w:val="20"/>
              </w:rPr>
              <w:t xml:space="preserve">2020 год</w:t>
            </w:r>
          </w:p>
        </w:tc>
        <w:tc>
          <w:tcPr>
            <w:tcW w:w="2041" w:type="dxa"/>
          </w:tcPr>
          <w:p>
            <w:pPr>
              <w:pStyle w:val="0"/>
              <w:jc w:val="center"/>
            </w:pPr>
            <w:r>
              <w:rPr>
                <w:sz w:val="20"/>
              </w:rPr>
              <w:t xml:space="preserve">2021 год</w:t>
            </w:r>
          </w:p>
        </w:tc>
      </w:tr>
      <w:tr>
        <w:tc>
          <w:tcPr>
            <w:tcW w:w="2279" w:type="dxa"/>
          </w:tcPr>
          <w:p>
            <w:pPr>
              <w:pStyle w:val="0"/>
            </w:pPr>
            <w:r>
              <w:rPr>
                <w:sz w:val="20"/>
              </w:rPr>
              <w:t xml:space="preserve">Более 10 лет, %</w:t>
            </w:r>
          </w:p>
        </w:tc>
        <w:tc>
          <w:tcPr>
            <w:tcW w:w="2276" w:type="dxa"/>
          </w:tcPr>
          <w:p>
            <w:pPr>
              <w:pStyle w:val="0"/>
            </w:pPr>
            <w:r>
              <w:rPr>
                <w:sz w:val="20"/>
              </w:rPr>
              <w:t xml:space="preserve">45,9</w:t>
            </w:r>
          </w:p>
        </w:tc>
        <w:tc>
          <w:tcPr>
            <w:tcW w:w="2383" w:type="dxa"/>
          </w:tcPr>
          <w:p>
            <w:pPr>
              <w:pStyle w:val="0"/>
            </w:pPr>
            <w:r>
              <w:rPr>
                <w:sz w:val="20"/>
              </w:rPr>
              <w:t xml:space="preserve">47</w:t>
            </w:r>
          </w:p>
        </w:tc>
        <w:tc>
          <w:tcPr>
            <w:tcW w:w="2041" w:type="dxa"/>
          </w:tcPr>
          <w:p>
            <w:pPr>
              <w:pStyle w:val="0"/>
            </w:pPr>
            <w:r>
              <w:rPr>
                <w:sz w:val="20"/>
              </w:rPr>
              <w:t xml:space="preserve">60,9</w:t>
            </w:r>
          </w:p>
        </w:tc>
      </w:tr>
      <w:tr>
        <w:tc>
          <w:tcPr>
            <w:tcW w:w="2279" w:type="dxa"/>
          </w:tcPr>
          <w:p>
            <w:pPr>
              <w:pStyle w:val="0"/>
            </w:pPr>
            <w:r>
              <w:rPr>
                <w:sz w:val="20"/>
              </w:rPr>
              <w:t xml:space="preserve">5 - 10 лет, %</w:t>
            </w:r>
          </w:p>
        </w:tc>
        <w:tc>
          <w:tcPr>
            <w:tcW w:w="2276" w:type="dxa"/>
          </w:tcPr>
          <w:p>
            <w:pPr>
              <w:pStyle w:val="0"/>
            </w:pPr>
            <w:r>
              <w:rPr>
                <w:sz w:val="20"/>
              </w:rPr>
              <w:t xml:space="preserve">24,8</w:t>
            </w:r>
          </w:p>
        </w:tc>
        <w:tc>
          <w:tcPr>
            <w:tcW w:w="2383" w:type="dxa"/>
          </w:tcPr>
          <w:p>
            <w:pPr>
              <w:pStyle w:val="0"/>
            </w:pPr>
            <w:r>
              <w:rPr>
                <w:sz w:val="20"/>
              </w:rPr>
              <w:t xml:space="preserve">20,7</w:t>
            </w:r>
          </w:p>
        </w:tc>
        <w:tc>
          <w:tcPr>
            <w:tcW w:w="2041" w:type="dxa"/>
          </w:tcPr>
          <w:p>
            <w:pPr>
              <w:pStyle w:val="0"/>
            </w:pPr>
            <w:r>
              <w:rPr>
                <w:sz w:val="20"/>
              </w:rPr>
              <w:t xml:space="preserve">21,3</w:t>
            </w:r>
          </w:p>
        </w:tc>
      </w:tr>
      <w:tr>
        <w:tc>
          <w:tcPr>
            <w:tcW w:w="2279" w:type="dxa"/>
          </w:tcPr>
          <w:p>
            <w:pPr>
              <w:pStyle w:val="0"/>
            </w:pPr>
            <w:r>
              <w:rPr>
                <w:sz w:val="20"/>
              </w:rPr>
              <w:t xml:space="preserve">3 - 4 года, %</w:t>
            </w:r>
          </w:p>
        </w:tc>
        <w:tc>
          <w:tcPr>
            <w:tcW w:w="2276" w:type="dxa"/>
          </w:tcPr>
          <w:p>
            <w:pPr>
              <w:pStyle w:val="0"/>
            </w:pPr>
            <w:r>
              <w:rPr>
                <w:sz w:val="20"/>
              </w:rPr>
              <w:t xml:space="preserve">13,8</w:t>
            </w:r>
          </w:p>
        </w:tc>
        <w:tc>
          <w:tcPr>
            <w:tcW w:w="2383" w:type="dxa"/>
          </w:tcPr>
          <w:p>
            <w:pPr>
              <w:pStyle w:val="0"/>
            </w:pPr>
            <w:r>
              <w:rPr>
                <w:sz w:val="20"/>
              </w:rPr>
              <w:t xml:space="preserve">16,5</w:t>
            </w:r>
          </w:p>
        </w:tc>
        <w:tc>
          <w:tcPr>
            <w:tcW w:w="2041" w:type="dxa"/>
          </w:tcPr>
          <w:p>
            <w:pPr>
              <w:pStyle w:val="0"/>
            </w:pPr>
            <w:r>
              <w:rPr>
                <w:sz w:val="20"/>
              </w:rPr>
              <w:t xml:space="preserve">9,1</w:t>
            </w:r>
          </w:p>
        </w:tc>
      </w:tr>
      <w:tr>
        <w:tc>
          <w:tcPr>
            <w:tcW w:w="2279" w:type="dxa"/>
          </w:tcPr>
          <w:p>
            <w:pPr>
              <w:pStyle w:val="0"/>
            </w:pPr>
            <w:r>
              <w:rPr>
                <w:sz w:val="20"/>
              </w:rPr>
              <w:t xml:space="preserve">1 - 2 года, %</w:t>
            </w:r>
          </w:p>
        </w:tc>
        <w:tc>
          <w:tcPr>
            <w:tcW w:w="2276" w:type="dxa"/>
          </w:tcPr>
          <w:p>
            <w:pPr>
              <w:pStyle w:val="0"/>
            </w:pPr>
            <w:r>
              <w:rPr>
                <w:sz w:val="20"/>
              </w:rPr>
              <w:t xml:space="preserve">9,1</w:t>
            </w:r>
          </w:p>
        </w:tc>
        <w:tc>
          <w:tcPr>
            <w:tcW w:w="2383" w:type="dxa"/>
          </w:tcPr>
          <w:p>
            <w:pPr>
              <w:pStyle w:val="0"/>
            </w:pPr>
            <w:r>
              <w:rPr>
                <w:sz w:val="20"/>
              </w:rPr>
              <w:t xml:space="preserve">9,8</w:t>
            </w:r>
          </w:p>
        </w:tc>
        <w:tc>
          <w:tcPr>
            <w:tcW w:w="2041" w:type="dxa"/>
          </w:tcPr>
          <w:p>
            <w:pPr>
              <w:pStyle w:val="0"/>
            </w:pPr>
            <w:r>
              <w:rPr>
                <w:sz w:val="20"/>
              </w:rPr>
              <w:t xml:space="preserve">6,1</w:t>
            </w:r>
          </w:p>
        </w:tc>
      </w:tr>
      <w:tr>
        <w:tc>
          <w:tcPr>
            <w:tcW w:w="2279" w:type="dxa"/>
          </w:tcPr>
          <w:p>
            <w:pPr>
              <w:pStyle w:val="0"/>
            </w:pPr>
            <w:r>
              <w:rPr>
                <w:sz w:val="20"/>
              </w:rPr>
              <w:t xml:space="preserve">Менее 1 года, %</w:t>
            </w:r>
          </w:p>
        </w:tc>
        <w:tc>
          <w:tcPr>
            <w:tcW w:w="2276" w:type="dxa"/>
          </w:tcPr>
          <w:p>
            <w:pPr>
              <w:pStyle w:val="0"/>
            </w:pPr>
            <w:r>
              <w:rPr>
                <w:sz w:val="20"/>
              </w:rPr>
              <w:t xml:space="preserve">6,4</w:t>
            </w:r>
          </w:p>
        </w:tc>
        <w:tc>
          <w:tcPr>
            <w:tcW w:w="2383" w:type="dxa"/>
          </w:tcPr>
          <w:p>
            <w:pPr>
              <w:pStyle w:val="0"/>
            </w:pPr>
            <w:r>
              <w:rPr>
                <w:sz w:val="20"/>
              </w:rPr>
              <w:t xml:space="preserve">6,0</w:t>
            </w:r>
          </w:p>
        </w:tc>
        <w:tc>
          <w:tcPr>
            <w:tcW w:w="2041" w:type="dxa"/>
          </w:tcPr>
          <w:p>
            <w:pPr>
              <w:pStyle w:val="0"/>
            </w:pPr>
            <w:r>
              <w:rPr>
                <w:sz w:val="20"/>
              </w:rPr>
              <w:t xml:space="preserve">2,6</w:t>
            </w:r>
          </w:p>
        </w:tc>
      </w:tr>
    </w:tbl>
    <w:p>
      <w:pPr>
        <w:pStyle w:val="0"/>
        <w:ind w:firstLine="540"/>
        <w:jc w:val="both"/>
      </w:pPr>
      <w:r>
        <w:rPr>
          <w:sz w:val="20"/>
        </w:rPr>
      </w:r>
    </w:p>
    <w:p>
      <w:pPr>
        <w:pStyle w:val="0"/>
        <w:ind w:firstLine="540"/>
        <w:jc w:val="both"/>
      </w:pPr>
      <w:r>
        <w:rPr>
          <w:sz w:val="20"/>
        </w:rPr>
        <w:t xml:space="preserve">Количество выкуриваемых сигарет в день, не претерпело значимого изменения, все показатели разнятся в среднем на 2 - 3%. По-прежнему большинство респондентов выкуривают в день не более 1 пачки сигарет (см. </w:t>
      </w:r>
      <w:hyperlink w:history="0" w:anchor="P23821" w:tooltip="Количество сигарет, выкуриваемых в день">
        <w:r>
          <w:rPr>
            <w:sz w:val="20"/>
            <w:color w:val="0000ff"/>
          </w:rPr>
          <w:t xml:space="preserve">Таблицу 18</w:t>
        </w:r>
      </w:hyperlink>
      <w:r>
        <w:rPr>
          <w:sz w:val="20"/>
        </w:rPr>
        <w:t xml:space="preserve">).</w:t>
      </w:r>
    </w:p>
    <w:p>
      <w:pPr>
        <w:pStyle w:val="0"/>
        <w:ind w:firstLine="540"/>
        <w:jc w:val="both"/>
      </w:pPr>
      <w:r>
        <w:rPr>
          <w:sz w:val="20"/>
        </w:rPr>
      </w:r>
    </w:p>
    <w:p>
      <w:pPr>
        <w:pStyle w:val="0"/>
        <w:outlineLvl w:val="3"/>
        <w:jc w:val="right"/>
      </w:pPr>
      <w:r>
        <w:rPr>
          <w:sz w:val="20"/>
        </w:rPr>
        <w:t xml:space="preserve">Таблица 18</w:t>
      </w:r>
    </w:p>
    <w:p>
      <w:pPr>
        <w:pStyle w:val="0"/>
        <w:jc w:val="right"/>
      </w:pPr>
      <w:r>
        <w:rPr>
          <w:sz w:val="20"/>
        </w:rPr>
      </w:r>
    </w:p>
    <w:bookmarkStart w:id="23821" w:name="P23821"/>
    <w:bookmarkEnd w:id="23821"/>
    <w:p>
      <w:pPr>
        <w:pStyle w:val="2"/>
        <w:jc w:val="center"/>
      </w:pPr>
      <w:r>
        <w:rPr>
          <w:sz w:val="20"/>
        </w:rPr>
        <w:t xml:space="preserve">Количество сигарет, выкуриваемых в день</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84"/>
        <w:gridCol w:w="2286"/>
        <w:gridCol w:w="2393"/>
        <w:gridCol w:w="2098"/>
      </w:tblGrid>
      <w:tr>
        <w:tc>
          <w:tcPr>
            <w:tcW w:w="2284" w:type="dxa"/>
          </w:tcPr>
          <w:p>
            <w:pPr>
              <w:pStyle w:val="0"/>
              <w:jc w:val="center"/>
            </w:pPr>
            <w:r>
              <w:rPr>
                <w:sz w:val="20"/>
              </w:rPr>
              <w:t xml:space="preserve">Количество сигарет</w:t>
            </w:r>
          </w:p>
        </w:tc>
        <w:tc>
          <w:tcPr>
            <w:tcW w:w="2286" w:type="dxa"/>
          </w:tcPr>
          <w:p>
            <w:pPr>
              <w:pStyle w:val="0"/>
              <w:jc w:val="center"/>
            </w:pPr>
            <w:r>
              <w:rPr>
                <w:sz w:val="20"/>
              </w:rPr>
              <w:t xml:space="preserve">2019 год</w:t>
            </w:r>
          </w:p>
        </w:tc>
        <w:tc>
          <w:tcPr>
            <w:tcW w:w="2393" w:type="dxa"/>
          </w:tcPr>
          <w:p>
            <w:pPr>
              <w:pStyle w:val="0"/>
              <w:jc w:val="center"/>
            </w:pPr>
            <w:r>
              <w:rPr>
                <w:sz w:val="20"/>
              </w:rPr>
              <w:t xml:space="preserve">2020 год</w:t>
            </w:r>
          </w:p>
        </w:tc>
        <w:tc>
          <w:tcPr>
            <w:tcW w:w="2098" w:type="dxa"/>
          </w:tcPr>
          <w:p>
            <w:pPr>
              <w:pStyle w:val="0"/>
              <w:jc w:val="center"/>
            </w:pPr>
            <w:r>
              <w:rPr>
                <w:sz w:val="20"/>
              </w:rPr>
              <w:t xml:space="preserve">2021 год</w:t>
            </w:r>
          </w:p>
        </w:tc>
      </w:tr>
      <w:tr>
        <w:tc>
          <w:tcPr>
            <w:tcW w:w="2284" w:type="dxa"/>
          </w:tcPr>
          <w:p>
            <w:pPr>
              <w:pStyle w:val="0"/>
            </w:pPr>
            <w:r>
              <w:rPr>
                <w:sz w:val="20"/>
              </w:rPr>
              <w:t xml:space="preserve">1 - 10, %</w:t>
            </w:r>
          </w:p>
        </w:tc>
        <w:tc>
          <w:tcPr>
            <w:tcW w:w="2286" w:type="dxa"/>
          </w:tcPr>
          <w:p>
            <w:pPr>
              <w:pStyle w:val="0"/>
            </w:pPr>
            <w:r>
              <w:rPr>
                <w:sz w:val="20"/>
              </w:rPr>
              <w:t xml:space="preserve">48,8</w:t>
            </w:r>
          </w:p>
        </w:tc>
        <w:tc>
          <w:tcPr>
            <w:tcW w:w="2393" w:type="dxa"/>
          </w:tcPr>
          <w:p>
            <w:pPr>
              <w:pStyle w:val="0"/>
            </w:pPr>
            <w:r>
              <w:rPr>
                <w:sz w:val="20"/>
              </w:rPr>
              <w:t xml:space="preserve">47</w:t>
            </w:r>
          </w:p>
        </w:tc>
        <w:tc>
          <w:tcPr>
            <w:tcW w:w="2098" w:type="dxa"/>
          </w:tcPr>
          <w:p>
            <w:pPr>
              <w:pStyle w:val="0"/>
            </w:pPr>
            <w:r>
              <w:rPr>
                <w:sz w:val="20"/>
              </w:rPr>
              <w:t xml:space="preserve">51,4</w:t>
            </w:r>
          </w:p>
        </w:tc>
      </w:tr>
      <w:tr>
        <w:tc>
          <w:tcPr>
            <w:tcW w:w="2284" w:type="dxa"/>
          </w:tcPr>
          <w:p>
            <w:pPr>
              <w:pStyle w:val="0"/>
            </w:pPr>
            <w:r>
              <w:rPr>
                <w:sz w:val="20"/>
              </w:rPr>
              <w:t xml:space="preserve">11 - 20, %</w:t>
            </w:r>
          </w:p>
        </w:tc>
        <w:tc>
          <w:tcPr>
            <w:tcW w:w="2286" w:type="dxa"/>
          </w:tcPr>
          <w:p>
            <w:pPr>
              <w:pStyle w:val="0"/>
            </w:pPr>
            <w:r>
              <w:rPr>
                <w:sz w:val="20"/>
              </w:rPr>
              <w:t xml:space="preserve">37,2</w:t>
            </w:r>
          </w:p>
        </w:tc>
        <w:tc>
          <w:tcPr>
            <w:tcW w:w="2393" w:type="dxa"/>
          </w:tcPr>
          <w:p>
            <w:pPr>
              <w:pStyle w:val="0"/>
            </w:pPr>
            <w:r>
              <w:rPr>
                <w:sz w:val="20"/>
              </w:rPr>
              <w:t xml:space="preserve">38,5</w:t>
            </w:r>
          </w:p>
        </w:tc>
        <w:tc>
          <w:tcPr>
            <w:tcW w:w="2098" w:type="dxa"/>
          </w:tcPr>
          <w:p>
            <w:pPr>
              <w:pStyle w:val="0"/>
            </w:pPr>
            <w:r>
              <w:rPr>
                <w:sz w:val="20"/>
              </w:rPr>
              <w:t xml:space="preserve">36,1</w:t>
            </w:r>
          </w:p>
        </w:tc>
      </w:tr>
      <w:tr>
        <w:tc>
          <w:tcPr>
            <w:tcW w:w="2284" w:type="dxa"/>
          </w:tcPr>
          <w:p>
            <w:pPr>
              <w:pStyle w:val="0"/>
            </w:pPr>
            <w:r>
              <w:rPr>
                <w:sz w:val="20"/>
              </w:rPr>
              <w:t xml:space="preserve">21 - 30, %</w:t>
            </w:r>
          </w:p>
        </w:tc>
        <w:tc>
          <w:tcPr>
            <w:tcW w:w="2286" w:type="dxa"/>
          </w:tcPr>
          <w:p>
            <w:pPr>
              <w:pStyle w:val="0"/>
            </w:pPr>
            <w:r>
              <w:rPr>
                <w:sz w:val="20"/>
              </w:rPr>
              <w:t xml:space="preserve">8,5</w:t>
            </w:r>
          </w:p>
        </w:tc>
        <w:tc>
          <w:tcPr>
            <w:tcW w:w="2393" w:type="dxa"/>
          </w:tcPr>
          <w:p>
            <w:pPr>
              <w:pStyle w:val="0"/>
            </w:pPr>
            <w:r>
              <w:rPr>
                <w:sz w:val="20"/>
              </w:rPr>
              <w:t xml:space="preserve">11,7</w:t>
            </w:r>
          </w:p>
        </w:tc>
        <w:tc>
          <w:tcPr>
            <w:tcW w:w="2098" w:type="dxa"/>
          </w:tcPr>
          <w:p>
            <w:pPr>
              <w:pStyle w:val="0"/>
            </w:pPr>
            <w:r>
              <w:rPr>
                <w:sz w:val="20"/>
              </w:rPr>
              <w:t xml:space="preserve">8,7</w:t>
            </w:r>
          </w:p>
        </w:tc>
      </w:tr>
      <w:tr>
        <w:tc>
          <w:tcPr>
            <w:tcW w:w="2284" w:type="dxa"/>
          </w:tcPr>
          <w:p>
            <w:pPr>
              <w:pStyle w:val="0"/>
            </w:pPr>
            <w:r>
              <w:rPr>
                <w:sz w:val="20"/>
              </w:rPr>
              <w:t xml:space="preserve">Более 30, %</w:t>
            </w:r>
          </w:p>
        </w:tc>
        <w:tc>
          <w:tcPr>
            <w:tcW w:w="2286" w:type="dxa"/>
          </w:tcPr>
          <w:p>
            <w:pPr>
              <w:pStyle w:val="0"/>
            </w:pPr>
            <w:r>
              <w:rPr>
                <w:sz w:val="20"/>
              </w:rPr>
              <w:t xml:space="preserve">5,5</w:t>
            </w:r>
          </w:p>
        </w:tc>
        <w:tc>
          <w:tcPr>
            <w:tcW w:w="2393" w:type="dxa"/>
          </w:tcPr>
          <w:p>
            <w:pPr>
              <w:pStyle w:val="0"/>
            </w:pPr>
            <w:r>
              <w:rPr>
                <w:sz w:val="20"/>
              </w:rPr>
              <w:t xml:space="preserve">2,8</w:t>
            </w:r>
          </w:p>
        </w:tc>
        <w:tc>
          <w:tcPr>
            <w:tcW w:w="2098" w:type="dxa"/>
          </w:tcPr>
          <w:p>
            <w:pPr>
              <w:pStyle w:val="0"/>
            </w:pPr>
            <w:r>
              <w:rPr>
                <w:sz w:val="20"/>
              </w:rPr>
              <w:t xml:space="preserve">3,8</w:t>
            </w:r>
          </w:p>
        </w:tc>
      </w:tr>
    </w:tbl>
    <w:p>
      <w:pPr>
        <w:pStyle w:val="0"/>
        <w:ind w:firstLine="540"/>
        <w:jc w:val="both"/>
      </w:pPr>
      <w:r>
        <w:rPr>
          <w:sz w:val="20"/>
        </w:rPr>
      </w:r>
    </w:p>
    <w:p>
      <w:pPr>
        <w:pStyle w:val="2"/>
        <w:outlineLvl w:val="2"/>
        <w:ind w:firstLine="540"/>
        <w:jc w:val="both"/>
      </w:pPr>
      <w:r>
        <w:rPr>
          <w:sz w:val="20"/>
        </w:rPr>
        <w:t xml:space="preserve">3.8. Координация и реализация профилактической работы</w:t>
      </w:r>
    </w:p>
    <w:p>
      <w:pPr>
        <w:pStyle w:val="0"/>
        <w:spacing w:before="200" w:line-rule="auto"/>
        <w:ind w:firstLine="540"/>
        <w:jc w:val="both"/>
      </w:pPr>
      <w:r>
        <w:rPr>
          <w:sz w:val="20"/>
        </w:rPr>
        <w:t xml:space="preserve">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городских округах Сургут, Нижневартовск и Нефтеюганск, 15 центров здоровья (в том числе 4 центра здоровья для детского населения).</w:t>
      </w:r>
    </w:p>
    <w:p>
      <w:pPr>
        <w:pStyle w:val="0"/>
        <w:spacing w:before="200" w:line-rule="auto"/>
        <w:ind w:firstLine="540"/>
        <w:jc w:val="both"/>
      </w:pPr>
      <w:r>
        <w:rPr>
          <w:sz w:val="20"/>
        </w:rPr>
        <w:t xml:space="preserve">Для обеспечения жителей отдаленных сельских поселений профилактическими медицинскими услугами работают 3 мобильных центра здоровья в городских округах Сургут, Лянтор, Нижневартовск.</w:t>
      </w:r>
    </w:p>
    <w:p>
      <w:pPr>
        <w:pStyle w:val="0"/>
        <w:spacing w:before="200" w:line-rule="auto"/>
        <w:ind w:firstLine="540"/>
        <w:jc w:val="both"/>
      </w:pPr>
      <w:r>
        <w:rPr>
          <w:sz w:val="20"/>
        </w:rPr>
        <w:t xml:space="preserve">В 2020 году в действующие центры здоровья обратилось 25 620 человека (из них 4 175 человек детей), признано здоровыми 8 129 человек (из них 1 612 детей), выявлены факторы риска развития хронических неинфекционных заболеваний у 17 491 человек (из них 2 563 детей), всем обратившимся назначены индивидуальные планы оздоровления, 2 111 человек направлены к специалистам в медицинские организации для дополнительного обследования и лечения (из них 602 ребенка).</w:t>
      </w:r>
    </w:p>
    <w:p>
      <w:pPr>
        <w:pStyle w:val="0"/>
        <w:spacing w:before="200" w:line-rule="auto"/>
        <w:ind w:firstLine="540"/>
        <w:jc w:val="both"/>
      </w:pPr>
      <w:r>
        <w:rPr>
          <w:sz w:val="20"/>
        </w:rPr>
        <w:t xml:space="preserve">Кроме того, в медицинских организациях округа функционирует 23 отделения, 32 кабинета медицинской профилактики и 26 кабинетов медицинской помощи при отказе от курения.</w:t>
      </w:r>
    </w:p>
    <w:p>
      <w:pPr>
        <w:pStyle w:val="0"/>
        <w:spacing w:before="200" w:line-rule="auto"/>
        <w:ind w:firstLine="540"/>
        <w:jc w:val="both"/>
      </w:pPr>
      <w:r>
        <w:rPr>
          <w:sz w:val="20"/>
        </w:rPr>
        <w:t xml:space="preserve">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pPr>
        <w:pStyle w:val="0"/>
        <w:spacing w:before="200" w:line-rule="auto"/>
        <w:ind w:firstLine="540"/>
        <w:jc w:val="both"/>
      </w:pPr>
      <w:r>
        <w:rPr>
          <w:sz w:val="20"/>
        </w:rPr>
        <w:t xml:space="preserve">Плотность информационного поля по освещению реализации мероприятий по вопросам охраны здоровья граждан за 2020 год составляет 71,3 информационных повода на 10 тысяч населения.</w:t>
      </w:r>
    </w:p>
    <w:p>
      <w:pPr>
        <w:pStyle w:val="0"/>
        <w:spacing w:before="200" w:line-rule="auto"/>
        <w:ind w:firstLine="540"/>
        <w:jc w:val="both"/>
      </w:pPr>
      <w:r>
        <w:rPr>
          <w:sz w:val="20"/>
        </w:rPr>
        <w:t xml:space="preserve">Для того, чтобы отслеживать результаты информационно-коммуникационной кампании, проверять актуальность публикуемых данных и анализировать качество проводимой работы на официальном сайте Центра общественного здоровья и медицинской профилактики (http://cmphmao.ru) функционирует система оперативного мониторинга средств массовой информации (далее - СМИ). В каждой медицинской организации назначен информационный уполномоченный, который ежедневно заполняет отчет о размещенных материалах в СМИ.</w:t>
      </w:r>
    </w:p>
    <w:p>
      <w:pPr>
        <w:pStyle w:val="0"/>
        <w:spacing w:before="200" w:line-rule="auto"/>
        <w:ind w:firstLine="540"/>
        <w:jc w:val="both"/>
      </w:pPr>
      <w:r>
        <w:rPr>
          <w:sz w:val="20"/>
        </w:rPr>
        <w:t xml:space="preserve">Согласно мониторингу информационного сопровождения деятельности системы здравоохранения автономного округа в 2020 году наиболее популярными направлениями являются:</w:t>
      </w:r>
    </w:p>
    <w:p>
      <w:pPr>
        <w:pStyle w:val="0"/>
        <w:spacing w:before="200" w:line-rule="auto"/>
        <w:ind w:firstLine="540"/>
        <w:jc w:val="both"/>
      </w:pPr>
      <w:r>
        <w:rPr>
          <w:sz w:val="20"/>
        </w:rPr>
        <w:t xml:space="preserve">медицинская профилактика неинфекционных заболеваний и формирование здорового образа жизни, в том числе у детей (9 286);</w:t>
      </w:r>
    </w:p>
    <w:p>
      <w:pPr>
        <w:pStyle w:val="0"/>
        <w:spacing w:before="200" w:line-rule="auto"/>
        <w:ind w:firstLine="540"/>
        <w:jc w:val="both"/>
      </w:pPr>
      <w:r>
        <w:rPr>
          <w:sz w:val="20"/>
        </w:rPr>
        <w:t xml:space="preserve">профилактика развития зависимостей, включая сокращение потребления табака, алкоголя, наркотических средств и психоактивных веществ, в том числе у детей (2 079).</w:t>
      </w:r>
    </w:p>
    <w:p>
      <w:pPr>
        <w:pStyle w:val="0"/>
        <w:spacing w:before="200" w:line-rule="auto"/>
        <w:ind w:firstLine="540"/>
        <w:jc w:val="both"/>
      </w:pPr>
      <w:r>
        <w:rPr>
          <w:sz w:val="20"/>
        </w:rPr>
        <w:t xml:space="preserve">Таким образом, консолидированное число информационных сообщений и информационных материалов для населения в печатных СМИ, теле- и радиоэфире, а также информационно-коммуникационной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составляет 11365 информационных сообщений.</w:t>
      </w:r>
    </w:p>
    <w:p>
      <w:pPr>
        <w:pStyle w:val="0"/>
        <w:spacing w:before="200" w:line-rule="auto"/>
        <w:ind w:firstLine="540"/>
        <w:jc w:val="both"/>
      </w:pPr>
      <w:r>
        <w:rPr>
          <w:sz w:val="20"/>
        </w:rPr>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и Департамента здравоохранения автономного округа.</w:t>
      </w:r>
    </w:p>
    <w:p>
      <w:pPr>
        <w:pStyle w:val="0"/>
        <w:spacing w:before="200" w:line-rule="auto"/>
        <w:ind w:firstLine="540"/>
        <w:jc w:val="both"/>
      </w:pPr>
      <w:r>
        <w:rPr>
          <w:sz w:val="20"/>
        </w:rPr>
        <w:t xml:space="preserve">В качестве площадки для взаимодействия с населением особое внимание уделяется социальным медиа: медицинские организации имеют 222 официальные публичные страницы в социальных сетях, из них: ВКонтакте - 78, Одноклассники - 34, Твиттер - 11, Фэйсбук - 29, Инстаграм - 70. На указанных площадках регулярно размещается информация в виде инфографики, статей, видео.</w:t>
      </w:r>
    </w:p>
    <w:p>
      <w:pPr>
        <w:pStyle w:val="0"/>
        <w:spacing w:before="200" w:line-rule="auto"/>
        <w:ind w:firstLine="540"/>
        <w:jc w:val="both"/>
      </w:pPr>
      <w:r>
        <w:rPr>
          <w:sz w:val="20"/>
        </w:rPr>
        <w:t xml:space="preserve">Одной из самых популярных площадок в системе здравоохранения служит группа "Послушайте, доктор. ХМАО" в социальной сети "ВКонтакте". Ежедневно группу посещают более 700 человек. В проекте задействованы 72 медицинские организации региона.</w:t>
      </w:r>
    </w:p>
    <w:p>
      <w:pPr>
        <w:pStyle w:val="0"/>
        <w:spacing w:before="200" w:line-rule="auto"/>
        <w:ind w:firstLine="540"/>
        <w:jc w:val="both"/>
      </w:pPr>
      <w:r>
        <w:rPr>
          <w:sz w:val="20"/>
        </w:rPr>
        <w:t xml:space="preserve">Центр общественного здоровья и медицинской профилактики в 2020 году реализовано создание уникального концептуального контента, направленного на профилактику онкологических и сердечно-сосудистых заболеваний. Исполнителем по изготовлению информационных материалов является автономное учреждение Ханты-Мансийского автономного округа - Югры "Окружная телерадиокомпания "Югра".</w:t>
      </w:r>
    </w:p>
    <w:p>
      <w:pPr>
        <w:pStyle w:val="0"/>
        <w:spacing w:before="200" w:line-rule="auto"/>
        <w:ind w:firstLine="540"/>
        <w:jc w:val="both"/>
      </w:pPr>
      <w:r>
        <w:rPr>
          <w:sz w:val="20"/>
        </w:rPr>
        <w:t xml:space="preserve">Проект включает в себя производство 8 постановочных видеороликов хронометражем не менее 60 секунд каждый, 8 аудиороликов хронометражем до 30 секунд каждый, разработку 8 макетов баннеров.</w:t>
      </w:r>
    </w:p>
    <w:p>
      <w:pPr>
        <w:pStyle w:val="0"/>
        <w:spacing w:before="200" w:line-rule="auto"/>
        <w:ind w:firstLine="540"/>
        <w:jc w:val="both"/>
      </w:pPr>
      <w:r>
        <w:rPr>
          <w:sz w:val="20"/>
        </w:rPr>
        <w:t xml:space="preserve">Центр общественного здоровья и медицинской профилактики имеет постоянную рубрику в ведущем окружном периодическом издании "Новости Югры".</w:t>
      </w:r>
    </w:p>
    <w:p>
      <w:pPr>
        <w:pStyle w:val="0"/>
        <w:spacing w:before="200" w:line-rule="auto"/>
        <w:ind w:firstLine="540"/>
        <w:jc w:val="both"/>
      </w:pPr>
      <w:r>
        <w:rPr>
          <w:sz w:val="20"/>
        </w:rPr>
        <w:t xml:space="preserve">Ежегодно Центр общественного здоровья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2018 году напечатано 33 наименования, общим тиражом 832 000 экземпляров, в 2019 году - 26 наименований полиграфической продукции, общим тиражом 992 218 экземпляров. В 2020 году по заказу Центра общественного здоровья и медицинской профилактики напечатано 27 наименований полиграфической продукции общим тиражом 576 700 экземпляров: брошюра "Профилактика сердечно-сосудистых заболеваний" (50 000 экз.), брошюра "Первая помощь при неотложных состояниях сердечно-сосудистой системы" (30 300 экз.), лифлет "Профилактика описторхоза" (20 300 экз.), листовка "Опасно грипп" (50 300 экз.), листовка "Профилактика детского травматизма зимой" (10 000 экз.), листовка "Важно! Прививки!" (50 300 экз.), листовка "6 шагов диагностики инсульта" (10 000 экз.), листовка "Диспансеризация" (50 000 экз.), лифлет "Стресс и здоровье" (20 000 экз.), листовка "Первая медицинская помощь при переохлаждениях, отморожениях, обморожениях" (5 000 экз.), лифлет "Энергетические напитки - история еще одного обмана" (5 000 экз.), лифлет "Нехимические зависимости - иллюзия реальности" (5 000 экз.), лифлет "Осторожно, электронные сигареты!" (15 000 экз.), лифлет "Бросай курить самостоятельно" (20 000 экз.), брошюра "Правила разумного питания" (20 000 экз.), плакат "Избыточная масса тела, ожирение" (1 000 экз.), лифлет "Физическая активность - это может каждый" (10 000 экз.), плакат "Физическая активность" (500 экз.), брошюра "Тебе жить! Выбирай жизнь! Профилактика онкологических заболеваний" (50 000 экз.), листовка "Злоупотребление алкоголем" (10 000 экз.), листовка "Сахарный диабет" (50 000 экз.), листовка "Анкета для выявления риска сахарного диабета" (50 000 экз.), листовка "Ротавирус" (7 000 экз.), листовка "Энтеровирус" (7 000 экз.), листовка "Йододефицитные заболевания и их профилактика" (10 000 экз.), брошюра "Острые отравления. Оказание первой помощи при отравлении." (10 000 экз.), лифлет "Что такое "Соль"?" (10 000 экз.).</w:t>
      </w:r>
    </w:p>
    <w:p>
      <w:pPr>
        <w:pStyle w:val="0"/>
        <w:spacing w:before="200" w:line-rule="auto"/>
        <w:ind w:firstLine="540"/>
        <w:jc w:val="both"/>
      </w:pPr>
      <w:r>
        <w:rPr>
          <w:sz w:val="20"/>
        </w:rPr>
        <w:t xml:space="preserve">Масштабные коммуникационные кампании, направленные на формирование здорового образа жизни, организуются ежегодно на территории автономного округа в рамках профилактических месячников. Тематика и сроки проведения которых устанавливаются приказом Департамента здравоохранения автономного округа (2018 год: "Мы можем я могу!" "Раковые заболевания можно предотвратить", "Время быть здоровым!", "Здоровые дети - здоровое будущее", "Это гепатит. Знайте о нем. Защищайтесь от него", "Движение кладовая жизни", "Здоровое сердце - богатство, дорожите им"; 2019 год - "Месячник борьбы с онкологическими заболеваниями", "Месячник укрепления иммунитета", "Месячник здорового образа жизни", "Месячник борьбы с артериальной гипертонией", "Месячник борьбы с наркоманией", "Берегись! Инфекция", "Месячник физической активности", "Месячник по профилактике заболеваний сердца", "Месячник борьбы с инсультом", "Месячник борьбы с сахарным диабетом", 2020 год - "Месячник профилактики острых респираторных заболеваний", "Месячник профилактики онкологических заболеваний", "Месячник профилактики краевой патологии", "Месячник пропаганды здорового образа жизни", "Месячник профилактики развития зависимостей", "Месячник профилактики детского травматизма", "Месячник профилактики кишечных инфекций",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профилактики хронических болезней нижних дыхательных путей"). В рамках месячников, подведомственные департаменту здравоохранения автономного округа медицинские организации проводят лекции и беседы, размещают материалы в средствах массовой информации, проводят киновидеодемонстрации, демонстрируют видеоролики, размещают средства наглядной агитации в стенах своего учреждения.</w:t>
      </w:r>
    </w:p>
    <w:p>
      <w:pPr>
        <w:pStyle w:val="0"/>
        <w:spacing w:before="200" w:line-rule="auto"/>
        <w:ind w:firstLine="540"/>
        <w:jc w:val="both"/>
      </w:pPr>
      <w:r>
        <w:rPr>
          <w:sz w:val="20"/>
        </w:rPr>
        <w:t xml:space="preserve">Уже традиционными стали такие мероприятия, как "Время быть здоровым", "За здоровый образ жизни", "Бросай болеть - вставай на лыжи", "Здоровая мама, здоровый малыш", "31 мая - Всемирный день без табака", "Югра за здоровый образ жизни", "Всемирный День Здоровья" и другие.</w:t>
      </w:r>
    </w:p>
    <w:p>
      <w:pPr>
        <w:pStyle w:val="0"/>
        <w:spacing w:before="200" w:line-rule="auto"/>
        <w:ind w:firstLine="540"/>
        <w:jc w:val="both"/>
      </w:pPr>
      <w:r>
        <w:rPr>
          <w:sz w:val="20"/>
        </w:rPr>
        <w:t xml:space="preserve">Например, ежегодные акции "Югра за здоровый образ жизни", "Всемирный день здоровья" проводятся на территории автономного округа с 2013 года. Они включают в себя брендирование, организацию фестивалей на городских площадях крупных муниципальных образований с участием профессиональных творческих коллективов, оповещение населения посредством средств массовой информации с привлечением популярных блогеров, распространение печатной и сувенирной продукции. Особенностью акций является то, что они проводятся одновременно в нескольких городах Югры и являются позитивным примером межведомственного сотрудничества администраций муниципальных образований, профильных департаментов, предприятий разных сфер. В прошедшем году, учитывая эпидемиологическую ситуацию, связанную с распространением новой коронавирусной инфекции, большинство мероприятий проводилось в онлайн формате.</w:t>
      </w:r>
    </w:p>
    <w:p>
      <w:pPr>
        <w:pStyle w:val="0"/>
        <w:spacing w:before="200" w:line-rule="auto"/>
        <w:ind w:firstLine="540"/>
        <w:jc w:val="both"/>
      </w:pPr>
      <w:r>
        <w:rPr>
          <w:sz w:val="20"/>
        </w:rPr>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автономного округа.</w:t>
      </w:r>
    </w:p>
    <w:p>
      <w:pPr>
        <w:pStyle w:val="0"/>
        <w:spacing w:before="200" w:line-rule="auto"/>
        <w:ind w:firstLine="540"/>
        <w:jc w:val="both"/>
      </w:pPr>
      <w:r>
        <w:rPr>
          <w:sz w:val="20"/>
        </w:rPr>
        <w:t xml:space="preserve">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2020 году в мероприятиях и акциях, посвященных популяризации здорового образа жизни, приняли участие 2 605 добровольцев.</w:t>
      </w:r>
    </w:p>
    <w:p>
      <w:pPr>
        <w:pStyle w:val="0"/>
        <w:spacing w:before="200" w:line-rule="auto"/>
        <w:ind w:firstLine="540"/>
        <w:jc w:val="both"/>
      </w:pPr>
      <w:r>
        <w:rPr>
          <w:sz w:val="20"/>
        </w:rPr>
        <w:t xml:space="preserve">Координатором деятельности добровольцев при медицинских организациях в регионе является Центр общественного здоровья медицинской профилактики. В его курацию входит региональное отделение Всероссийского общественного движения "Волонтеры-медики" в автономном округе.</w:t>
      </w:r>
    </w:p>
    <w:p>
      <w:pPr>
        <w:pStyle w:val="0"/>
        <w:spacing w:before="200" w:line-rule="auto"/>
        <w:ind w:firstLine="540"/>
        <w:jc w:val="both"/>
      </w:pPr>
      <w:r>
        <w:rPr>
          <w:sz w:val="20"/>
        </w:rPr>
        <w:t xml:space="preserve">Ежегодно при участии волонтеров проводится более 200 мероприятий в 68 медицинских организациях автономного округа. Так, за 2020 год при участии 2 605 волонтеров проведено 278 мероприятий, направленных на популяризацию здорового образа жизни. В профилактических и информационных акциях приняли участие 22 785 югорчан.</w:t>
      </w:r>
    </w:p>
    <w:p>
      <w:pPr>
        <w:pStyle w:val="0"/>
        <w:spacing w:before="200" w:line-rule="auto"/>
        <w:ind w:firstLine="540"/>
        <w:jc w:val="both"/>
      </w:pPr>
      <w:r>
        <w:rPr>
          <w:sz w:val="20"/>
        </w:rPr>
        <w:t xml:space="preserve">Добровольцы принимают участие в подготовке и проведении различных мероприятий. Необходимо отметить, что сами волонтеры, выбирая данный вид служения обществу, приобщаются к здоровому образу жизни, формируют гражданскую позицию в вопросах здоровьесбережения, знакомятся с активными и деятельными людьми автономного округа, передают сверстникам приобретенные знания по принципу "равный - равному".</w:t>
      </w:r>
    </w:p>
    <w:p>
      <w:pPr>
        <w:pStyle w:val="0"/>
        <w:spacing w:before="200" w:line-rule="auto"/>
        <w:ind w:firstLine="540"/>
        <w:jc w:val="both"/>
      </w:pPr>
      <w:r>
        <w:rPr>
          <w:sz w:val="20"/>
        </w:rPr>
        <w:t xml:space="preserve">В 2020 году особое место в работе волонтеров-медиков Ханты-Мансийского регионального отделения заняла Всероссийская акция взаимопомощи в период пандемии #МыВместе (далее - Акция).</w:t>
      </w:r>
    </w:p>
    <w:p>
      <w:pPr>
        <w:pStyle w:val="0"/>
        <w:spacing w:before="200" w:line-rule="auto"/>
        <w:ind w:firstLine="540"/>
        <w:jc w:val="both"/>
      </w:pPr>
      <w:r>
        <w:rPr>
          <w:sz w:val="20"/>
        </w:rPr>
        <w:t xml:space="preserve">В период с 17 марта по 1 августа 2020 года волонтеры-медики не только занимались бесконтактной и безопасной доставкой продуктов, лекарств и товаров первой необходимости, но и оказывали помощь в аэропортах и железнодорожных вокзалах, осуществляя регистрацию граждан, проводя термометрию. Волонтеры-медики работали и продолжают работу в "красной зоне" инфекционного отделения бюджетного учреждения Ханты-Мансийского автономного округа - Югры "Окружная клиническая больница" в городе Ханты-Мансийск, работают в колл-центре Регионального координационного центра, взаимодействуя с социальной службой по вопросам доставки нуждающимся людям в ходе проведения акций "Коробка Добра", "Тележка Добра".</w:t>
      </w:r>
    </w:p>
    <w:p>
      <w:pPr>
        <w:pStyle w:val="0"/>
        <w:spacing w:before="200" w:line-rule="auto"/>
        <w:ind w:firstLine="540"/>
        <w:jc w:val="both"/>
      </w:pPr>
      <w:r>
        <w:rPr>
          <w:sz w:val="20"/>
        </w:rPr>
        <w:t xml:space="preserve">В период с 17 марта по 1 августа 2020 на сайте dobro.ru зарегистрировано 734 человека, из них 223 - волонтеры-медики автономного округа, прочие - представители волонтерских объединений округа, а также неравнодушные жители региона, прошедшие обучение, инструктаж, также ставшие волонтерами акции взаимопомощи в период пандемии #МыВместе.</w:t>
      </w:r>
    </w:p>
    <w:p>
      <w:pPr>
        <w:pStyle w:val="0"/>
        <w:spacing w:before="200" w:line-rule="auto"/>
        <w:ind w:firstLine="540"/>
        <w:jc w:val="both"/>
      </w:pPr>
      <w:r>
        <w:rPr>
          <w:sz w:val="20"/>
        </w:rPr>
        <w:t xml:space="preserve">С 1 августа по 7 октября 2020 года работа в рамках Акции выполнялась волонтерами адресно, всего выполнено 36 заявок.</w:t>
      </w:r>
    </w:p>
    <w:p>
      <w:pPr>
        <w:pStyle w:val="0"/>
        <w:spacing w:before="200" w:line-rule="auto"/>
        <w:ind w:firstLine="540"/>
        <w:jc w:val="both"/>
      </w:pPr>
      <w:r>
        <w:rPr>
          <w:sz w:val="20"/>
        </w:rPr>
        <w:t xml:space="preserve">С 7 октября по настоящее время работа регионального волонтерского штаба Всероссийской акции взаимопомощи #МыВместе в автономном округе стала активнее и поменяла формат. Волонтерами-медиками проводится работа по доставке продуктов и лекарственных препаратов, волонтеры с медицинским образованием и студенты-медики оказывают посильную помощь в медицинских организациях автономного округа, принимают участие в оказании психологической помощи, оказывают помощь в колл-центрах при поликлиниках и занимаются автоволонтерством.</w:t>
      </w:r>
    </w:p>
    <w:p>
      <w:pPr>
        <w:pStyle w:val="0"/>
        <w:spacing w:before="200" w:line-rule="auto"/>
        <w:ind w:firstLine="540"/>
        <w:jc w:val="both"/>
      </w:pPr>
      <w:r>
        <w:rPr>
          <w:sz w:val="20"/>
        </w:rPr>
        <w:t xml:space="preserve">Всего волонтерами-медиками за период пандемии коронавирусной инфекции адресно отработано более 150 тысяч заявок от людей, находящихся в самоизоляции.</w:t>
      </w:r>
    </w:p>
    <w:p>
      <w:pPr>
        <w:pStyle w:val="0"/>
        <w:spacing w:before="200" w:line-rule="auto"/>
        <w:ind w:firstLine="540"/>
        <w:jc w:val="both"/>
      </w:pPr>
      <w:r>
        <w:rPr>
          <w:sz w:val="20"/>
        </w:rPr>
        <w:t xml:space="preserve">Последние три года добровольцы в числе помощников по проведению конкурса, направленного на формирование здорового образа жизни, среди обучающихся общеобразовательных учреждений города Ханты-Мансийска - "Здоровый класс". Его организатором выступает Центр общественного здоровья и медицинской профилактики. В рамках конкурса проводятся различные мероприятия профилактической направленности.</w:t>
      </w:r>
    </w:p>
    <w:p>
      <w:pPr>
        <w:pStyle w:val="2"/>
        <w:spacing w:before="200" w:line-rule="auto"/>
        <w:outlineLvl w:val="2"/>
        <w:ind w:firstLine="540"/>
        <w:jc w:val="both"/>
      </w:pPr>
      <w:r>
        <w:rPr>
          <w:sz w:val="20"/>
        </w:rPr>
        <w:t xml:space="preserve">3.9. Итоги проведения диспансеризации отдельных групп взрослого населения</w:t>
      </w:r>
    </w:p>
    <w:p>
      <w:pPr>
        <w:pStyle w:val="0"/>
        <w:spacing w:before="200" w:line-rule="auto"/>
        <w:ind w:firstLine="540"/>
        <w:jc w:val="both"/>
      </w:pPr>
      <w:r>
        <w:rPr>
          <w:sz w:val="20"/>
        </w:rPr>
        <w:t xml:space="preserve">Для обеспечения проведения Всероссийской диспансеризации взрослого населения Департаментом здравоохранения автономного округа ежегодно издается приказ "О проведении диспансеризации и профилактических медицинских осмотров взрослого населения и несовершеннолетних на территории Ханты-Мансийского автономного округа - Югры".</w:t>
      </w:r>
    </w:p>
    <w:p>
      <w:pPr>
        <w:pStyle w:val="0"/>
        <w:spacing w:before="200" w:line-rule="auto"/>
        <w:ind w:firstLine="540"/>
        <w:jc w:val="both"/>
      </w:pPr>
      <w:r>
        <w:rPr>
          <w:sz w:val="20"/>
        </w:rPr>
        <w:t xml:space="preserve">Для обеспечения своевременности, качества и надлежащего охвата всех категорий граждан, подлежащих проведению мероприятий профилактической направленности, специалисты Центра общественного здоровья и медицинской профилактики осуществляют планирование и подготовку проектов документов, регламентирующих проведение диспансеризации и профилактических осмотров, а также мониторинг проведения указанных профилактических мероприятий.</w:t>
      </w:r>
    </w:p>
    <w:p>
      <w:pPr>
        <w:pStyle w:val="0"/>
        <w:spacing w:before="200" w:line-rule="auto"/>
        <w:ind w:firstLine="540"/>
        <w:jc w:val="both"/>
      </w:pPr>
      <w:r>
        <w:rPr>
          <w:sz w:val="20"/>
        </w:rPr>
        <w:t xml:space="preserve">Во всех медицинских организациях автономного округа созданы условия для проведения профилактических медицинских осмотров и диспансеризации гражданам, подлежащим проведению профилактических мероприятий. Для обеспечения реализации указанной задачи под контролем специалистов Центра общественного здоровья и медицинской профилактики актуализируются списки граждан, подлежащих профилактическим медицинским осмотрам и ежемесячные планы-графики профилактических мероприятий с учетом плановых объемов.</w:t>
      </w:r>
    </w:p>
    <w:p>
      <w:pPr>
        <w:pStyle w:val="0"/>
        <w:spacing w:before="200" w:line-rule="auto"/>
        <w:ind w:firstLine="540"/>
        <w:jc w:val="both"/>
      </w:pPr>
      <w:r>
        <w:rPr>
          <w:sz w:val="20"/>
        </w:rPr>
        <w:t xml:space="preserve">Центр общественного здоровья и медицинской профилактики выступает куратором проведения профилактических медицинских осмотров и диспансеризации определенных групп взрослого населения в автономном округе, специалисты оказывают методическую поддержку медицинским организациям - участникам.</w:t>
      </w:r>
    </w:p>
    <w:p>
      <w:pPr>
        <w:pStyle w:val="0"/>
        <w:spacing w:before="200" w:line-rule="auto"/>
        <w:ind w:firstLine="540"/>
        <w:jc w:val="both"/>
      </w:pPr>
      <w:r>
        <w:rPr>
          <w:sz w:val="20"/>
        </w:rPr>
        <w:t xml:space="preserve">В автономном округе в 2020 году в проведении диспансеризации определенных групп взрослого населения приняли участие 35 медицинских организаций (в 2019 году - 37; в 2018 году - 36). Профилактическими мероприятиями были охвачены - в 2020 году 174 479 человек (в 2019 году - 257 357 человек, в 2018 году - 236 033 человек), исполнение плана в этом периоде полностью было выполнено. Профилактическими медицинскими осмотрами взрослого населения в 2020 году были охвачены 42 024 человека (в 2019 году - 72 103 человек, в 2018 году - 64 690 человек), что обеспечило полное выполнение запланированного объема профилактических медицинских осмотров.</w:t>
      </w:r>
    </w:p>
    <w:p>
      <w:pPr>
        <w:pStyle w:val="0"/>
        <w:spacing w:before="200" w:line-rule="auto"/>
        <w:ind w:firstLine="540"/>
        <w:jc w:val="both"/>
      </w:pPr>
      <w:r>
        <w:rPr>
          <w:sz w:val="20"/>
        </w:rPr>
        <w:t xml:space="preserve">Уменьшение количества лиц, охваченных в 2020 году профилактическими мероприятиями обусловлено возникновением пандемии новой коронавирусной инфекции, вызванной COVID-19.</w:t>
      </w:r>
    </w:p>
    <w:p>
      <w:pPr>
        <w:pStyle w:val="0"/>
        <w:spacing w:before="200" w:line-rule="auto"/>
        <w:ind w:firstLine="540"/>
        <w:jc w:val="both"/>
      </w:pPr>
      <w:r>
        <w:rPr>
          <w:sz w:val="20"/>
        </w:rPr>
        <w:t xml:space="preserve">Возрастная структура лиц, прошедших диспансеризацию:</w:t>
      </w:r>
    </w:p>
    <w:p>
      <w:pPr>
        <w:pStyle w:val="0"/>
        <w:spacing w:before="200" w:line-rule="auto"/>
        <w:ind w:firstLine="540"/>
        <w:jc w:val="both"/>
      </w:pPr>
      <w:r>
        <w:rPr>
          <w:sz w:val="20"/>
        </w:rPr>
        <w:t xml:space="preserve">21 - 36 лет - 19,9% (34 741 человек), в 2019 году - 25% (64 777 человек), в 2018 году - 37,8% (89 208 человек).</w:t>
      </w:r>
    </w:p>
    <w:p>
      <w:pPr>
        <w:pStyle w:val="0"/>
        <w:spacing w:before="200" w:line-rule="auto"/>
        <w:ind w:firstLine="540"/>
        <w:jc w:val="both"/>
      </w:pPr>
      <w:r>
        <w:rPr>
          <w:sz w:val="20"/>
        </w:rPr>
        <w:t xml:space="preserve">39 - 60 лет - в 2020 году составила 56% (97 726 человек), в 2019 году - 51% (131 579 человек), в 2018 году - 46,5% (109 854 человек);</w:t>
      </w:r>
    </w:p>
    <w:p>
      <w:pPr>
        <w:pStyle w:val="0"/>
        <w:spacing w:before="200" w:line-rule="auto"/>
        <w:ind w:firstLine="540"/>
        <w:jc w:val="both"/>
      </w:pPr>
      <w:r>
        <w:rPr>
          <w:sz w:val="20"/>
        </w:rPr>
        <w:t xml:space="preserve">старше 60 лет - 24,1% (42 012 человек), в 2019 году - 24% (61 001 человек), в 2018 году - 15,7% (36 917 человек).</w:t>
      </w:r>
    </w:p>
    <w:p>
      <w:pPr>
        <w:pStyle w:val="0"/>
        <w:spacing w:before="200" w:line-rule="auto"/>
        <w:ind w:firstLine="540"/>
        <w:jc w:val="both"/>
      </w:pPr>
      <w:r>
        <w:rPr>
          <w:sz w:val="20"/>
        </w:rPr>
        <w:t xml:space="preserve">Половозрастная структура населения, прошедшего диспансеризацию в автономном округе, аналогична структуре по РФ. Из числа прошедших I этап диспансеризации:</w:t>
      </w:r>
    </w:p>
    <w:p>
      <w:pPr>
        <w:pStyle w:val="0"/>
        <w:spacing w:before="200" w:line-rule="auto"/>
        <w:ind w:firstLine="540"/>
        <w:jc w:val="both"/>
      </w:pPr>
      <w:r>
        <w:rPr>
          <w:sz w:val="20"/>
        </w:rPr>
        <w:t xml:space="preserve">женщин - в 2020 году - 59,0% (102 089 человек), в 2019 году - 59,3% (152 603 человека), в 2018 году - 57,2% (135 004 человека);</w:t>
      </w:r>
    </w:p>
    <w:p>
      <w:pPr>
        <w:pStyle w:val="0"/>
        <w:spacing w:before="200" w:line-rule="auto"/>
        <w:ind w:firstLine="540"/>
        <w:jc w:val="both"/>
      </w:pPr>
      <w:r>
        <w:rPr>
          <w:sz w:val="20"/>
        </w:rPr>
        <w:t xml:space="preserve">мужчин - в 2020 году - 41,0% (71 362 человека), в 2019 году - 40,7% (104 754 человека), в 2018 году - 42,8% (101 029 человек).</w:t>
      </w:r>
    </w:p>
    <w:p>
      <w:pPr>
        <w:pStyle w:val="0"/>
        <w:spacing w:before="200" w:line-rule="auto"/>
        <w:ind w:firstLine="540"/>
        <w:jc w:val="both"/>
      </w:pPr>
      <w:r>
        <w:rPr>
          <w:sz w:val="20"/>
        </w:rPr>
        <w:t xml:space="preserve">Социальную структуру населения, прошедшего диспансеризацию, составили:</w:t>
      </w:r>
    </w:p>
    <w:p>
      <w:pPr>
        <w:pStyle w:val="0"/>
        <w:spacing w:before="200" w:line-rule="auto"/>
        <w:ind w:firstLine="540"/>
        <w:jc w:val="both"/>
      </w:pPr>
      <w:r>
        <w:rPr>
          <w:sz w:val="20"/>
        </w:rPr>
        <w:t xml:space="preserve">работающие граждане: в 2020 году - 67,3% (117 417 человек), в 2019 году - 67,5% (173 686 человек), в 2018 году - 70,2% (165 673 человека);</w:t>
      </w:r>
    </w:p>
    <w:p>
      <w:pPr>
        <w:pStyle w:val="0"/>
        <w:spacing w:before="200" w:line-rule="auto"/>
        <w:ind w:firstLine="540"/>
        <w:jc w:val="both"/>
      </w:pPr>
      <w:r>
        <w:rPr>
          <w:sz w:val="20"/>
        </w:rPr>
        <w:t xml:space="preserve">неработающие: в 2020 году - 30,5% (53 201 человек), в 2019 году - 31,2% (80 229 человек), в 2018 году - 28,1% (66 276 человек);</w:t>
      </w:r>
    </w:p>
    <w:p>
      <w:pPr>
        <w:pStyle w:val="0"/>
        <w:spacing w:before="200" w:line-rule="auto"/>
        <w:ind w:firstLine="540"/>
        <w:jc w:val="both"/>
      </w:pPr>
      <w:r>
        <w:rPr>
          <w:sz w:val="20"/>
        </w:rPr>
        <w:t xml:space="preserve">обучающиеся в образовательных организациях по очной форме обучения: в 2020 году - 2,2% (3 861 человек), в 2019 году - 1,3% (3 442 человека), в 2018 году - 1,7% (4 084 человека).</w:t>
      </w:r>
    </w:p>
    <w:p>
      <w:pPr>
        <w:pStyle w:val="0"/>
        <w:spacing w:before="200" w:line-rule="auto"/>
        <w:ind w:firstLine="540"/>
        <w:jc w:val="both"/>
      </w:pPr>
      <w:r>
        <w:rPr>
          <w:sz w:val="20"/>
        </w:rPr>
        <w:t xml:space="preserve">Из числа лиц, прошедших диспансеризацию:</w:t>
      </w:r>
    </w:p>
    <w:p>
      <w:pPr>
        <w:pStyle w:val="0"/>
        <w:spacing w:before="200" w:line-rule="auto"/>
        <w:ind w:firstLine="540"/>
        <w:jc w:val="both"/>
      </w:pPr>
      <w:r>
        <w:rPr>
          <w:sz w:val="20"/>
        </w:rPr>
        <w:t xml:space="preserve">к I группе состояния здоровья отнесены: в 2020 году - 40 520 человек (23,2%), в 2019 году - 69 869 человек (27%), в 2018 году - 88 739 человек (37,6%);</w:t>
      </w:r>
    </w:p>
    <w:p>
      <w:pPr>
        <w:pStyle w:val="0"/>
        <w:spacing w:before="200" w:line-rule="auto"/>
        <w:ind w:firstLine="540"/>
        <w:jc w:val="both"/>
      </w:pPr>
      <w:r>
        <w:rPr>
          <w:sz w:val="20"/>
        </w:rPr>
        <w:t xml:space="preserve">ко II группе: в 2020 году - 24 776 человек (14,2%), в 2019 году - 37 087 (15%), в 2018 году - 38 334 (16,2%);</w:t>
      </w:r>
    </w:p>
    <w:p>
      <w:pPr>
        <w:pStyle w:val="0"/>
        <w:spacing w:before="200" w:line-rule="auto"/>
        <w:ind w:firstLine="540"/>
        <w:jc w:val="both"/>
      </w:pPr>
      <w:r>
        <w:rPr>
          <w:sz w:val="20"/>
        </w:rPr>
        <w:t xml:space="preserve">к III группе "а": в 2020 году - 84 267 человек (48,3%), в 2019 году - 119 037 (46%), в 2018 году - 83 065 (35,2%);</w:t>
      </w:r>
    </w:p>
    <w:p>
      <w:pPr>
        <w:pStyle w:val="0"/>
        <w:spacing w:before="200" w:line-rule="auto"/>
        <w:ind w:firstLine="540"/>
        <w:jc w:val="both"/>
      </w:pPr>
      <w:r>
        <w:rPr>
          <w:sz w:val="20"/>
        </w:rPr>
        <w:t xml:space="preserve">к III группе "б"; в 2020 году - 24 916 человек (14,3%), в 2019 году - 31 364 (12%), в 2018 году - 25 895 (11%).</w:t>
      </w:r>
    </w:p>
    <w:p>
      <w:pPr>
        <w:pStyle w:val="0"/>
        <w:spacing w:before="200" w:line-rule="auto"/>
        <w:ind w:firstLine="540"/>
        <w:jc w:val="both"/>
      </w:pPr>
      <w:r>
        <w:rPr>
          <w:sz w:val="20"/>
        </w:rPr>
        <w:t xml:space="preserve">Число граждан, направленных на второй этап диспансеризации, составило: в 2020 году - 59 132 человека (33,9%), в 2019 году - 84 636 человек (33%), в 2018 году - 67 121 (28,4%), от прошедших первый этап диспансеризации, из них завершенных случаев: в 2020 году - 36 828 человек (61,4%), в 2019 году - 68 073 (80,4%), в 2018 году - 49 300 (73,4%), от направленных на второй этап.</w:t>
      </w:r>
    </w:p>
    <w:p>
      <w:pPr>
        <w:pStyle w:val="0"/>
        <w:spacing w:before="200" w:line-rule="auto"/>
        <w:ind w:firstLine="540"/>
        <w:jc w:val="both"/>
      </w:pPr>
      <w:r>
        <w:rPr>
          <w:sz w:val="20"/>
        </w:rPr>
        <w:t xml:space="preserve">По результатам диспансеризации определенных групп взрослого населения впервые выявлено: в 2020 году - 12 396 заболеваний, в 2019 году - 18 130 заболеваний, в 2018 году - 12 908 заболеваний; установлено диспансерное наблюдение: в 2020 году - в 5 413 случаях, в 2019 году - в 7 742 случаях, в 2018 году - в 5 664 случаях.</w:t>
      </w:r>
    </w:p>
    <w:p>
      <w:pPr>
        <w:pStyle w:val="0"/>
        <w:spacing w:before="200" w:line-rule="auto"/>
        <w:ind w:firstLine="540"/>
        <w:jc w:val="both"/>
      </w:pPr>
      <w:r>
        <w:rPr>
          <w:sz w:val="20"/>
        </w:rPr>
        <w:t xml:space="preserve">Наиболее часто выявлялись следующие классы заболеваний:</w:t>
      </w:r>
    </w:p>
    <w:p>
      <w:pPr>
        <w:pStyle w:val="0"/>
        <w:spacing w:before="200" w:line-rule="auto"/>
        <w:ind w:firstLine="540"/>
        <w:jc w:val="both"/>
      </w:pPr>
      <w:r>
        <w:rPr>
          <w:sz w:val="20"/>
        </w:rPr>
        <w:t xml:space="preserve">болезни эндокринной системы, расстройства питания и нарушения обмена веществ: в 2020 году - 36,6%, в 2019 году - 35,0%, в 2018 году - 35,1%;</w:t>
      </w:r>
    </w:p>
    <w:p>
      <w:pPr>
        <w:pStyle w:val="0"/>
        <w:spacing w:before="200" w:line-rule="auto"/>
        <w:ind w:firstLine="540"/>
        <w:jc w:val="both"/>
      </w:pPr>
      <w:r>
        <w:rPr>
          <w:sz w:val="20"/>
        </w:rPr>
        <w:t xml:space="preserve">болезни системы кровообращения: в 2020 году - 18,5%, в 2019 году - 20,1%, в 2018 году - 20,5%;</w:t>
      </w:r>
    </w:p>
    <w:p>
      <w:pPr>
        <w:pStyle w:val="0"/>
        <w:spacing w:before="200" w:line-rule="auto"/>
        <w:ind w:firstLine="540"/>
        <w:jc w:val="both"/>
      </w:pPr>
      <w:r>
        <w:rPr>
          <w:sz w:val="20"/>
        </w:rPr>
        <w:t xml:space="preserve">болезни мочеполовой системы: в 2020 году - 15,8%, в 2019 году - 17,1%, в 2018 году - 16,8%.</w:t>
      </w:r>
    </w:p>
    <w:p>
      <w:pPr>
        <w:pStyle w:val="0"/>
        <w:spacing w:before="200" w:line-rule="auto"/>
        <w:ind w:firstLine="540"/>
        <w:jc w:val="both"/>
      </w:pPr>
      <w:r>
        <w:rPr>
          <w:sz w:val="20"/>
        </w:rPr>
        <w:t xml:space="preserve">От числа лиц, полностью завершивших диспансеризацию, высокий и очень высокий абсолютный суммарный риск тяжелых сердечно-сосудистых осложнений обнаружили в 2020 году - 21 878 человек (12,5%), в 2019 году - 26 330 человек (10,2%), в 2018 году - 16 180 человек (7,1%).</w:t>
      </w:r>
    </w:p>
    <w:p>
      <w:pPr>
        <w:pStyle w:val="0"/>
        <w:spacing w:before="200" w:line-rule="auto"/>
        <w:ind w:firstLine="540"/>
        <w:jc w:val="both"/>
      </w:pPr>
      <w:r>
        <w:rPr>
          <w:sz w:val="20"/>
        </w:rPr>
        <w:t xml:space="preserve">По результатам диспансеризации:</w:t>
      </w:r>
    </w:p>
    <w:p>
      <w:pPr>
        <w:pStyle w:val="0"/>
        <w:spacing w:before="200" w:line-rule="auto"/>
        <w:ind w:firstLine="540"/>
        <w:jc w:val="both"/>
      </w:pPr>
      <w:r>
        <w:rPr>
          <w:sz w:val="20"/>
        </w:rPr>
        <w:t xml:space="preserve">назначено лечение: в 2020 году - 32 637 лицам (18,7%), в 2019 году - 179 лицам (21,4%), в 2018 году - 39 954 лицам (16,9%);</w:t>
      </w:r>
    </w:p>
    <w:p>
      <w:pPr>
        <w:pStyle w:val="0"/>
        <w:spacing w:before="200" w:line-rule="auto"/>
        <w:ind w:firstLine="540"/>
        <w:jc w:val="both"/>
      </w:pPr>
      <w:r>
        <w:rPr>
          <w:sz w:val="20"/>
        </w:rPr>
        <w:t xml:space="preserve">на дополнительное диагностическое исследование, не входящее в объем диспансеризации, направлены: в 2020 году - 4 267 человек (2,4%), в 2019 году - 9 884 человека (3,8%), в 2018 году - 8 799 человек (3,7%);</w:t>
      </w:r>
    </w:p>
    <w:p>
      <w:pPr>
        <w:pStyle w:val="0"/>
        <w:spacing w:before="200" w:line-rule="auto"/>
        <w:ind w:firstLine="540"/>
        <w:jc w:val="both"/>
      </w:pPr>
      <w:r>
        <w:rPr>
          <w:sz w:val="20"/>
        </w:rPr>
        <w:t xml:space="preserve">для получения специализированной, в том числе ВМП, направлены: в 2020 году - 1 411 пациентов (0,8%), в 2019 году - 1 393 пациента, в 2018 году - 300 пациентов (0,13%);</w:t>
      </w:r>
    </w:p>
    <w:p>
      <w:pPr>
        <w:pStyle w:val="0"/>
        <w:spacing w:before="200" w:line-rule="auto"/>
        <w:ind w:firstLine="540"/>
        <w:jc w:val="both"/>
      </w:pPr>
      <w:r>
        <w:rPr>
          <w:sz w:val="20"/>
        </w:rPr>
        <w:t xml:space="preserve">на санаторно-курортное лечение направлено: в 2020 году - 4 836 пациентов (2,8%), в 2019 году - 6 656 пациентов (2,6%), в 2018 году - 5 609 пациентов (2,4%).</w:t>
      </w:r>
    </w:p>
    <w:p>
      <w:pPr>
        <w:pStyle w:val="0"/>
        <w:ind w:firstLine="540"/>
        <w:jc w:val="both"/>
      </w:pPr>
      <w:r>
        <w:rPr>
          <w:sz w:val="20"/>
        </w:rPr>
      </w:r>
    </w:p>
    <w:p>
      <w:pPr>
        <w:pStyle w:val="2"/>
        <w:outlineLvl w:val="2"/>
        <w:ind w:firstLine="540"/>
        <w:jc w:val="both"/>
      </w:pPr>
      <w:r>
        <w:rPr>
          <w:sz w:val="20"/>
        </w:rPr>
        <w:t xml:space="preserve">3.10. Заболевания репродуктивной сферы у мужчин</w:t>
      </w:r>
    </w:p>
    <w:p>
      <w:pPr>
        <w:pStyle w:val="0"/>
        <w:spacing w:before="200" w:line-rule="auto"/>
        <w:ind w:firstLine="540"/>
        <w:jc w:val="both"/>
      </w:pPr>
      <w:r>
        <w:rPr>
          <w:sz w:val="20"/>
        </w:rPr>
        <w:t xml:space="preserve">Репродуктивное здоровье - это психическая, физиологическая и социальная готовность каждого человека к продолжению рода. Основа репродуктивного здоровья - отсутствие заболеваний, которые влияют на деторождение.</w:t>
      </w:r>
    </w:p>
    <w:p>
      <w:pPr>
        <w:pStyle w:val="0"/>
        <w:spacing w:before="200" w:line-rule="auto"/>
        <w:ind w:firstLine="540"/>
        <w:jc w:val="both"/>
      </w:pPr>
      <w:r>
        <w:rPr>
          <w:sz w:val="20"/>
        </w:rPr>
        <w:t xml:space="preserve">Для сохранения репродуктивного здоровья каждому человеку с самого детства необходимо прививать правила, которые касаются контрацепции, ответственного подхода к планированию семьи и продолжению рода.</w:t>
      </w:r>
    </w:p>
    <w:p>
      <w:pPr>
        <w:pStyle w:val="0"/>
        <w:spacing w:before="200" w:line-rule="auto"/>
        <w:ind w:firstLine="540"/>
        <w:jc w:val="both"/>
      </w:pPr>
      <w:r>
        <w:rPr>
          <w:sz w:val="20"/>
        </w:rPr>
        <w:t xml:space="preserve">К болезням репродуктивной сферы у мужчин, по котором ведется мониторинг на основании отчетов медицинских организаций по форме федерального статистического наблюдения N 12 "Сведения о числе заболеваний, зарегистрированных у пациентов, проживающих в районе обслуживания медицинской организации", относятся болезни предстательной железы и мужское бесплодие. Согласно сведениям медицинских организаций, за период с 2018 по 2020 годы в медицинских организациях автономного округа наблюдается вариабельность количества больных, кому впервые в жизни установлен диагноз заболевания предстательной железы и "мужское бесплодие" (см. </w:t>
      </w:r>
      <w:hyperlink w:history="0" w:anchor="P23921" w:tooltip="Первичная заболеваемость болезнями репродуктивной сферы">
        <w:r>
          <w:rPr>
            <w:sz w:val="20"/>
            <w:color w:val="0000ff"/>
          </w:rPr>
          <w:t xml:space="preserve">таблицу 19</w:t>
        </w:r>
      </w:hyperlink>
      <w:r>
        <w:rPr>
          <w:sz w:val="20"/>
        </w:rPr>
        <w:t xml:space="preserve">).</w:t>
      </w:r>
    </w:p>
    <w:p>
      <w:pPr>
        <w:pStyle w:val="0"/>
        <w:ind w:firstLine="540"/>
        <w:jc w:val="both"/>
      </w:pPr>
      <w:r>
        <w:rPr>
          <w:sz w:val="20"/>
        </w:rPr>
      </w:r>
    </w:p>
    <w:p>
      <w:pPr>
        <w:pStyle w:val="0"/>
        <w:outlineLvl w:val="3"/>
        <w:jc w:val="right"/>
      </w:pPr>
      <w:r>
        <w:rPr>
          <w:sz w:val="20"/>
        </w:rPr>
        <w:t xml:space="preserve">Таблица 19</w:t>
      </w:r>
    </w:p>
    <w:p>
      <w:pPr>
        <w:pStyle w:val="0"/>
        <w:ind w:firstLine="540"/>
        <w:jc w:val="both"/>
      </w:pPr>
      <w:r>
        <w:rPr>
          <w:sz w:val="20"/>
        </w:rPr>
      </w:r>
    </w:p>
    <w:bookmarkStart w:id="23921" w:name="P23921"/>
    <w:bookmarkEnd w:id="23921"/>
    <w:p>
      <w:pPr>
        <w:pStyle w:val="2"/>
        <w:jc w:val="center"/>
      </w:pPr>
      <w:r>
        <w:rPr>
          <w:sz w:val="20"/>
        </w:rPr>
        <w:t xml:space="preserve">Первичная заболеваемость болезнями репродуктивной сферы</w:t>
      </w:r>
    </w:p>
    <w:p>
      <w:pPr>
        <w:pStyle w:val="2"/>
        <w:jc w:val="center"/>
      </w:pPr>
      <w:r>
        <w:rPr>
          <w:sz w:val="20"/>
        </w:rPr>
        <w:t xml:space="preserve">у мужчин (количество больных с впервые в жизни установленным</w:t>
      </w:r>
    </w:p>
    <w:p>
      <w:pPr>
        <w:pStyle w:val="2"/>
        <w:jc w:val="center"/>
      </w:pPr>
      <w:r>
        <w:rPr>
          <w:sz w:val="20"/>
        </w:rPr>
        <w:t xml:space="preserve">диагнозом)</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744"/>
        <w:gridCol w:w="1304"/>
        <w:gridCol w:w="1484"/>
        <w:gridCol w:w="1484"/>
      </w:tblGrid>
      <w:tr>
        <w:tc>
          <w:tcPr>
            <w:tcW w:w="4744" w:type="dxa"/>
            <w:vAlign w:val="center"/>
          </w:tcPr>
          <w:p>
            <w:pPr>
              <w:pStyle w:val="0"/>
            </w:pPr>
            <w:r>
              <w:rPr>
                <w:sz w:val="20"/>
              </w:rPr>
            </w:r>
          </w:p>
        </w:tc>
        <w:tc>
          <w:tcPr>
            <w:tcW w:w="1304" w:type="dxa"/>
            <w:vAlign w:val="center"/>
          </w:tcPr>
          <w:p>
            <w:pPr>
              <w:pStyle w:val="0"/>
              <w:jc w:val="center"/>
            </w:pPr>
            <w:r>
              <w:rPr>
                <w:sz w:val="20"/>
              </w:rPr>
              <w:t xml:space="preserve">2018 год</w:t>
            </w:r>
          </w:p>
        </w:tc>
        <w:tc>
          <w:tcPr>
            <w:tcW w:w="1484" w:type="dxa"/>
            <w:vAlign w:val="center"/>
          </w:tcPr>
          <w:p>
            <w:pPr>
              <w:pStyle w:val="0"/>
              <w:jc w:val="center"/>
            </w:pPr>
            <w:r>
              <w:rPr>
                <w:sz w:val="20"/>
              </w:rPr>
              <w:t xml:space="preserve">2019 год</w:t>
            </w:r>
          </w:p>
        </w:tc>
        <w:tc>
          <w:tcPr>
            <w:tcW w:w="1484" w:type="dxa"/>
            <w:vAlign w:val="center"/>
          </w:tcPr>
          <w:p>
            <w:pPr>
              <w:pStyle w:val="0"/>
              <w:jc w:val="center"/>
            </w:pPr>
            <w:r>
              <w:rPr>
                <w:sz w:val="20"/>
              </w:rPr>
              <w:t xml:space="preserve">2020 год</w:t>
            </w:r>
          </w:p>
        </w:tc>
      </w:tr>
      <w:tr>
        <w:tc>
          <w:tcPr>
            <w:tcW w:w="4744" w:type="dxa"/>
            <w:vAlign w:val="center"/>
          </w:tcPr>
          <w:p>
            <w:pPr>
              <w:pStyle w:val="0"/>
            </w:pPr>
            <w:r>
              <w:rPr>
                <w:sz w:val="20"/>
              </w:rPr>
              <w:t xml:space="preserve">Болезни предстательной железы (код МКБ-10 N 40 - N 42) </w:t>
            </w:r>
            <w:hyperlink w:history="0" w:anchor="P23939" w:tooltip="&lt;*&gt; Включены коды N 40 &quot;гиперплазия предстательной железы&quot;, N 41 &quot;воспалительные болезни предстательной железы&quot;, N 42 &quot;другие болезни предстательной железы&quot;.">
              <w:r>
                <w:rPr>
                  <w:sz w:val="20"/>
                  <w:color w:val="0000ff"/>
                </w:rPr>
                <w:t xml:space="preserve">&lt;*&gt;</w:t>
              </w:r>
            </w:hyperlink>
          </w:p>
        </w:tc>
        <w:tc>
          <w:tcPr>
            <w:tcW w:w="1304" w:type="dxa"/>
            <w:vAlign w:val="center"/>
          </w:tcPr>
          <w:p>
            <w:pPr>
              <w:pStyle w:val="0"/>
              <w:jc w:val="center"/>
            </w:pPr>
            <w:r>
              <w:rPr>
                <w:sz w:val="20"/>
              </w:rPr>
              <w:t xml:space="preserve">4214</w:t>
            </w:r>
          </w:p>
        </w:tc>
        <w:tc>
          <w:tcPr>
            <w:tcW w:w="1484" w:type="dxa"/>
            <w:vAlign w:val="center"/>
          </w:tcPr>
          <w:p>
            <w:pPr>
              <w:pStyle w:val="0"/>
              <w:jc w:val="center"/>
            </w:pPr>
            <w:r>
              <w:rPr>
                <w:sz w:val="20"/>
              </w:rPr>
              <w:t xml:space="preserve">4530</w:t>
            </w:r>
          </w:p>
        </w:tc>
        <w:tc>
          <w:tcPr>
            <w:tcW w:w="1484" w:type="dxa"/>
            <w:vAlign w:val="center"/>
          </w:tcPr>
          <w:p>
            <w:pPr>
              <w:pStyle w:val="0"/>
              <w:jc w:val="center"/>
            </w:pPr>
            <w:r>
              <w:rPr>
                <w:sz w:val="20"/>
              </w:rPr>
              <w:t xml:space="preserve">3080</w:t>
            </w:r>
          </w:p>
        </w:tc>
      </w:tr>
      <w:tr>
        <w:tc>
          <w:tcPr>
            <w:tcW w:w="4744" w:type="dxa"/>
            <w:vAlign w:val="center"/>
          </w:tcPr>
          <w:p>
            <w:pPr>
              <w:pStyle w:val="0"/>
            </w:pPr>
            <w:r>
              <w:rPr>
                <w:sz w:val="20"/>
              </w:rPr>
              <w:t xml:space="preserve">Мужское бесплодие (код МКБ-10 N 46)</w:t>
            </w:r>
          </w:p>
        </w:tc>
        <w:tc>
          <w:tcPr>
            <w:tcW w:w="1304" w:type="dxa"/>
            <w:vAlign w:val="center"/>
          </w:tcPr>
          <w:p>
            <w:pPr>
              <w:pStyle w:val="0"/>
              <w:jc w:val="center"/>
            </w:pPr>
            <w:r>
              <w:rPr>
                <w:sz w:val="20"/>
              </w:rPr>
              <w:t xml:space="preserve">395</w:t>
            </w:r>
          </w:p>
        </w:tc>
        <w:tc>
          <w:tcPr>
            <w:tcW w:w="1484" w:type="dxa"/>
            <w:vAlign w:val="center"/>
          </w:tcPr>
          <w:p>
            <w:pPr>
              <w:pStyle w:val="0"/>
              <w:jc w:val="center"/>
            </w:pPr>
            <w:r>
              <w:rPr>
                <w:sz w:val="20"/>
              </w:rPr>
              <w:t xml:space="preserve">631</w:t>
            </w:r>
          </w:p>
        </w:tc>
        <w:tc>
          <w:tcPr>
            <w:tcW w:w="1484" w:type="dxa"/>
            <w:vAlign w:val="center"/>
          </w:tcPr>
          <w:p>
            <w:pPr>
              <w:pStyle w:val="0"/>
              <w:jc w:val="center"/>
            </w:pPr>
            <w:r>
              <w:rPr>
                <w:sz w:val="20"/>
              </w:rPr>
              <w:t xml:space="preserve">382</w:t>
            </w:r>
          </w:p>
        </w:tc>
      </w:tr>
    </w:tbl>
    <w:p>
      <w:pPr>
        <w:pStyle w:val="0"/>
        <w:ind w:firstLine="540"/>
        <w:jc w:val="both"/>
      </w:pPr>
      <w:r>
        <w:rPr>
          <w:sz w:val="20"/>
        </w:rPr>
      </w:r>
    </w:p>
    <w:p>
      <w:pPr>
        <w:pStyle w:val="0"/>
        <w:ind w:firstLine="540"/>
        <w:jc w:val="both"/>
      </w:pPr>
      <w:r>
        <w:rPr>
          <w:sz w:val="20"/>
        </w:rPr>
        <w:t xml:space="preserve">--------------------------------</w:t>
      </w:r>
    </w:p>
    <w:bookmarkStart w:id="23939" w:name="P23939"/>
    <w:bookmarkEnd w:id="23939"/>
    <w:p>
      <w:pPr>
        <w:pStyle w:val="0"/>
        <w:spacing w:before="200" w:line-rule="auto"/>
        <w:ind w:firstLine="540"/>
        <w:jc w:val="both"/>
      </w:pPr>
      <w:r>
        <w:rPr>
          <w:sz w:val="20"/>
        </w:rPr>
        <w:t xml:space="preserve">&lt;*&gt; Включены коды N 40 "гиперплазия предстательной железы", N 41 "воспалительные болезни предстательной железы", N 42 "другие болезни предстательной железы".</w:t>
      </w:r>
    </w:p>
    <w:p>
      <w:pPr>
        <w:pStyle w:val="0"/>
        <w:ind w:firstLine="540"/>
        <w:jc w:val="both"/>
      </w:pPr>
      <w:r>
        <w:rPr>
          <w:sz w:val="20"/>
        </w:rPr>
      </w:r>
    </w:p>
    <w:p>
      <w:pPr>
        <w:pStyle w:val="2"/>
        <w:outlineLvl w:val="1"/>
        <w:jc w:val="center"/>
      </w:pPr>
      <w:r>
        <w:rPr>
          <w:sz w:val="20"/>
        </w:rPr>
        <w:t xml:space="preserve">Раздел IV. ПЛАН МЕРОПРИЯТИЙ</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4309"/>
        <w:gridCol w:w="3227"/>
        <w:gridCol w:w="3155"/>
      </w:tblGrid>
      <w:tr>
        <w:tc>
          <w:tcPr>
            <w:tcW w:w="567" w:type="dxa"/>
          </w:tcPr>
          <w:p>
            <w:pPr>
              <w:pStyle w:val="0"/>
              <w:jc w:val="center"/>
            </w:pPr>
            <w:r>
              <w:rPr>
                <w:sz w:val="20"/>
              </w:rPr>
              <w:t xml:space="preserve">N п/п</w:t>
            </w:r>
          </w:p>
        </w:tc>
        <w:tc>
          <w:tcPr>
            <w:tcW w:w="4309" w:type="dxa"/>
          </w:tcPr>
          <w:p>
            <w:pPr>
              <w:pStyle w:val="0"/>
              <w:jc w:val="center"/>
            </w:pPr>
            <w:r>
              <w:rPr>
                <w:sz w:val="20"/>
              </w:rPr>
              <w:t xml:space="preserve">Наименование мероприятия и форма проведения</w:t>
            </w:r>
          </w:p>
        </w:tc>
        <w:tc>
          <w:tcPr>
            <w:tcW w:w="3227" w:type="dxa"/>
          </w:tcPr>
          <w:p>
            <w:pPr>
              <w:pStyle w:val="0"/>
              <w:jc w:val="center"/>
            </w:pPr>
            <w:r>
              <w:rPr>
                <w:sz w:val="20"/>
              </w:rPr>
              <w:t xml:space="preserve">Срок исполнения</w:t>
            </w:r>
          </w:p>
        </w:tc>
        <w:tc>
          <w:tcPr>
            <w:tcW w:w="3155" w:type="dxa"/>
          </w:tcPr>
          <w:p>
            <w:pPr>
              <w:pStyle w:val="0"/>
              <w:jc w:val="center"/>
            </w:pPr>
            <w:r>
              <w:rPr>
                <w:sz w:val="20"/>
              </w:rPr>
              <w:t xml:space="preserve">Ответственный исполнитель</w:t>
            </w:r>
          </w:p>
        </w:tc>
      </w:tr>
      <w:tr>
        <w:tc>
          <w:tcPr>
            <w:gridSpan w:val="4"/>
            <w:tcW w:w="11258" w:type="dxa"/>
          </w:tcPr>
          <w:p>
            <w:pPr>
              <w:pStyle w:val="0"/>
              <w:outlineLvl w:val="2"/>
              <w:jc w:val="center"/>
            </w:pPr>
            <w:r>
              <w:rPr>
                <w:sz w:val="20"/>
              </w:rPr>
              <w:t xml:space="preserve">Мероприятия, реализуемые Департаментом здравоохранения автономного округа и подведомственными медицинскими организациями</w:t>
            </w:r>
          </w:p>
        </w:tc>
      </w:tr>
      <w:tr>
        <w:tc>
          <w:tcPr>
            <w:tcW w:w="567" w:type="dxa"/>
          </w:tcPr>
          <w:p>
            <w:pPr>
              <w:pStyle w:val="0"/>
            </w:pPr>
            <w:r>
              <w:rPr>
                <w:sz w:val="20"/>
              </w:rPr>
              <w:t xml:space="preserve">1.</w:t>
            </w:r>
          </w:p>
        </w:tc>
        <w:tc>
          <w:tcPr>
            <w:tcW w:w="4309" w:type="dxa"/>
          </w:tcPr>
          <w:p>
            <w:pPr>
              <w:pStyle w:val="0"/>
            </w:pPr>
            <w:r>
              <w:rPr>
                <w:sz w:val="20"/>
              </w:rPr>
              <w:t xml:space="preserve">Обеспечение функционирования Центра общественного здоровья и медицинской профилактики</w:t>
            </w:r>
          </w:p>
        </w:tc>
        <w:tc>
          <w:tcPr>
            <w:tcW w:w="3227" w:type="dxa"/>
          </w:tcPr>
          <w:p>
            <w:pPr>
              <w:pStyle w:val="0"/>
            </w:pPr>
            <w:r>
              <w:rPr>
                <w:sz w:val="20"/>
              </w:rPr>
              <w:t xml:space="preserve">до 31 декабря 2024 года</w:t>
            </w:r>
          </w:p>
        </w:tc>
        <w:tc>
          <w:tcPr>
            <w:tcW w:w="3155" w:type="dxa"/>
          </w:tcPr>
          <w:p>
            <w:pPr>
              <w:pStyle w:val="0"/>
            </w:pPr>
            <w:r>
              <w:rPr>
                <w:sz w:val="20"/>
              </w:rPr>
              <w:t xml:space="preserve">Депздрав Югры</w:t>
            </w:r>
          </w:p>
        </w:tc>
      </w:tr>
      <w:tr>
        <w:tc>
          <w:tcPr>
            <w:tcW w:w="567" w:type="dxa"/>
          </w:tcPr>
          <w:p>
            <w:pPr>
              <w:pStyle w:val="0"/>
            </w:pPr>
            <w:r>
              <w:rPr>
                <w:sz w:val="20"/>
              </w:rPr>
              <w:t xml:space="preserve">2.</w:t>
            </w:r>
          </w:p>
        </w:tc>
        <w:tc>
          <w:tcPr>
            <w:tcW w:w="4309" w:type="dxa"/>
          </w:tcPr>
          <w:p>
            <w:pPr>
              <w:pStyle w:val="0"/>
            </w:pPr>
            <w:r>
              <w:rPr>
                <w:sz w:val="20"/>
              </w:rPr>
              <w:t xml:space="preserve">Методическое сопровождение реализации муниципальных программ укрепления здоровья во всех 22 муниципальных образованиях в 2024 году</w:t>
            </w:r>
          </w:p>
        </w:tc>
        <w:tc>
          <w:tcPr>
            <w:tcW w:w="3227" w:type="dxa"/>
          </w:tcPr>
          <w:p>
            <w:pPr>
              <w:pStyle w:val="0"/>
            </w:pPr>
            <w:r>
              <w:rPr>
                <w:sz w:val="20"/>
              </w:rPr>
              <w:t xml:space="preserve">до 31 декабря 2022 года</w:t>
            </w:r>
          </w:p>
          <w:p>
            <w:pPr>
              <w:pStyle w:val="0"/>
            </w:pPr>
            <w:r>
              <w:rPr>
                <w:sz w:val="20"/>
              </w:rPr>
              <w:t xml:space="preserve">до 31 декабря 2023 года</w:t>
            </w:r>
          </w:p>
          <w:p>
            <w:pPr>
              <w:pStyle w:val="0"/>
            </w:pPr>
            <w:r>
              <w:rPr>
                <w:sz w:val="20"/>
              </w:rPr>
              <w:t xml:space="preserve">до 31 декабря 2024 года</w:t>
            </w:r>
          </w:p>
        </w:tc>
        <w:tc>
          <w:tcPr>
            <w:tcW w:w="3155" w:type="dxa"/>
          </w:tcPr>
          <w:p>
            <w:pPr>
              <w:pStyle w:val="0"/>
            </w:pPr>
            <w:r>
              <w:rPr>
                <w:sz w:val="20"/>
              </w:rPr>
              <w:t xml:space="preserve">Депздрав Югры</w:t>
            </w:r>
          </w:p>
        </w:tc>
      </w:tr>
      <w:tr>
        <w:tc>
          <w:tcPr>
            <w:tcW w:w="567" w:type="dxa"/>
          </w:tcPr>
          <w:p>
            <w:pPr>
              <w:pStyle w:val="0"/>
            </w:pPr>
            <w:r>
              <w:rPr>
                <w:sz w:val="20"/>
              </w:rPr>
              <w:t xml:space="preserve">3.</w:t>
            </w:r>
          </w:p>
        </w:tc>
        <w:tc>
          <w:tcPr>
            <w:tcW w:w="4309" w:type="dxa"/>
          </w:tcPr>
          <w:p>
            <w:pPr>
              <w:pStyle w:val="0"/>
            </w:pPr>
            <w:r>
              <w:rPr>
                <w:sz w:val="20"/>
              </w:rPr>
              <w:t xml:space="preserve">Ежегодное размещение по 4000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w:t>
            </w:r>
          </w:p>
        </w:tc>
        <w:tc>
          <w:tcPr>
            <w:tcW w:w="3227" w:type="dxa"/>
          </w:tcPr>
          <w:p>
            <w:pPr>
              <w:pStyle w:val="0"/>
            </w:pPr>
            <w:r>
              <w:rPr>
                <w:sz w:val="20"/>
              </w:rPr>
              <w:t xml:space="preserve">до 31 декабря 2022 года</w:t>
            </w:r>
          </w:p>
          <w:p>
            <w:pPr>
              <w:pStyle w:val="0"/>
            </w:pPr>
            <w:r>
              <w:rPr>
                <w:sz w:val="20"/>
              </w:rPr>
              <w:t xml:space="preserve">до 31 декабря 2023 года</w:t>
            </w:r>
          </w:p>
          <w:p>
            <w:pPr>
              <w:pStyle w:val="0"/>
            </w:pPr>
            <w:r>
              <w:rPr>
                <w:sz w:val="20"/>
              </w:rPr>
              <w:t xml:space="preserve">до 31 декабря 2024 года</w:t>
            </w:r>
          </w:p>
        </w:tc>
        <w:tc>
          <w:tcPr>
            <w:tcW w:w="3155" w:type="dxa"/>
          </w:tcPr>
          <w:p>
            <w:pPr>
              <w:pStyle w:val="0"/>
            </w:pPr>
            <w:r>
              <w:rPr>
                <w:sz w:val="20"/>
              </w:rPr>
              <w:t xml:space="preserve">БУ "Центр общественного здоровья и медицинской профилактики" (по согласованию), Депздрав Югры</w:t>
            </w:r>
          </w:p>
        </w:tc>
      </w:tr>
      <w:tr>
        <w:tc>
          <w:tcPr>
            <w:tcW w:w="567" w:type="dxa"/>
          </w:tcPr>
          <w:p>
            <w:pPr>
              <w:pStyle w:val="0"/>
            </w:pPr>
            <w:r>
              <w:rPr>
                <w:sz w:val="20"/>
              </w:rPr>
              <w:t xml:space="preserve">4.</w:t>
            </w:r>
          </w:p>
        </w:tc>
        <w:tc>
          <w:tcPr>
            <w:tcW w:w="4309" w:type="dxa"/>
          </w:tcPr>
          <w:p>
            <w:pPr>
              <w:pStyle w:val="0"/>
            </w:pPr>
            <w:r>
              <w:rPr>
                <w:sz w:val="20"/>
              </w:rPr>
              <w:t xml:space="preserve">Издание региональных журналов "Регион здоровья" и "ProЗдоровье"; изготовление и распространение информационной печатной продукции для населения в виде брошюр, буклетов, листовок, лифлетов, плакатов</w:t>
            </w:r>
          </w:p>
        </w:tc>
        <w:tc>
          <w:tcPr>
            <w:tcW w:w="3227" w:type="dxa"/>
          </w:tcPr>
          <w:p>
            <w:pPr>
              <w:pStyle w:val="0"/>
            </w:pPr>
            <w:r>
              <w:rPr>
                <w:sz w:val="20"/>
              </w:rPr>
              <w:t xml:space="preserve">до 31 декабря 2022 года</w:t>
            </w:r>
          </w:p>
          <w:p>
            <w:pPr>
              <w:pStyle w:val="0"/>
            </w:pPr>
            <w:r>
              <w:rPr>
                <w:sz w:val="20"/>
              </w:rPr>
              <w:t xml:space="preserve">до 31 декабря 2023 года</w:t>
            </w:r>
          </w:p>
          <w:p>
            <w:pPr>
              <w:pStyle w:val="0"/>
            </w:pPr>
            <w:r>
              <w:rPr>
                <w:sz w:val="20"/>
              </w:rPr>
              <w:t xml:space="preserve">до 31 декабря 2024 года</w:t>
            </w:r>
          </w:p>
        </w:tc>
        <w:tc>
          <w:tcPr>
            <w:tcW w:w="3155" w:type="dxa"/>
          </w:tcPr>
          <w:p>
            <w:pPr>
              <w:pStyle w:val="0"/>
            </w:pPr>
            <w:r>
              <w:rPr>
                <w:sz w:val="20"/>
              </w:rPr>
              <w:t xml:space="preserve">БУ "Центр общественного здоровья и медицинской профилактики" (по согласованию), Депздрав Югры</w:t>
            </w:r>
          </w:p>
        </w:tc>
      </w:tr>
      <w:tr>
        <w:tc>
          <w:tcPr>
            <w:tcW w:w="567" w:type="dxa"/>
          </w:tcPr>
          <w:p>
            <w:pPr>
              <w:pStyle w:val="0"/>
            </w:pPr>
            <w:r>
              <w:rPr>
                <w:sz w:val="20"/>
              </w:rPr>
              <w:t xml:space="preserve">5.</w:t>
            </w:r>
          </w:p>
        </w:tc>
        <w:tc>
          <w:tcPr>
            <w:tcW w:w="4309" w:type="dxa"/>
          </w:tcPr>
          <w:p>
            <w:pPr>
              <w:pStyle w:val="0"/>
            </w:pPr>
            <w:r>
              <w:rPr>
                <w:sz w:val="20"/>
              </w:rPr>
              <w:t xml:space="preserve">Выполнение работ (услуг) по профилактике неинфекционных заболеваний (в том числе сердечно-сосудистых и онкологических заболеваний), формированию здорового образа жизни и санитарно-гигиеническому просвещению населения силами волонтерских объединений и общественных организаций</w:t>
            </w:r>
          </w:p>
        </w:tc>
        <w:tc>
          <w:tcPr>
            <w:tcW w:w="3227" w:type="dxa"/>
          </w:tcPr>
          <w:p>
            <w:pPr>
              <w:pStyle w:val="0"/>
            </w:pPr>
            <w:r>
              <w:rPr>
                <w:sz w:val="20"/>
              </w:rPr>
              <w:t xml:space="preserve">до 31 декабря 2022 года</w:t>
            </w:r>
          </w:p>
          <w:p>
            <w:pPr>
              <w:pStyle w:val="0"/>
            </w:pPr>
            <w:r>
              <w:rPr>
                <w:sz w:val="20"/>
              </w:rPr>
              <w:t xml:space="preserve">до 31 декабря 2023 года</w:t>
            </w:r>
          </w:p>
          <w:p>
            <w:pPr>
              <w:pStyle w:val="0"/>
            </w:pPr>
            <w:r>
              <w:rPr>
                <w:sz w:val="20"/>
              </w:rPr>
              <w:t xml:space="preserve">до 31 декабря 2024 года</w:t>
            </w:r>
          </w:p>
        </w:tc>
        <w:tc>
          <w:tcPr>
            <w:tcW w:w="3155" w:type="dxa"/>
          </w:tcPr>
          <w:p>
            <w:pPr>
              <w:pStyle w:val="0"/>
            </w:pPr>
            <w:r>
              <w:rPr>
                <w:sz w:val="20"/>
              </w:rPr>
              <w:t xml:space="preserve">Депздрав Югры</w:t>
            </w:r>
          </w:p>
        </w:tc>
      </w:tr>
      <w:tr>
        <w:tc>
          <w:tcPr>
            <w:tcW w:w="567" w:type="dxa"/>
          </w:tcPr>
          <w:p>
            <w:pPr>
              <w:pStyle w:val="0"/>
            </w:pPr>
            <w:r>
              <w:rPr>
                <w:sz w:val="20"/>
              </w:rPr>
              <w:t xml:space="preserve">6.</w:t>
            </w:r>
          </w:p>
        </w:tc>
        <w:tc>
          <w:tcPr>
            <w:tcW w:w="4309" w:type="dxa"/>
          </w:tcPr>
          <w:p>
            <w:pPr>
              <w:pStyle w:val="0"/>
            </w:pPr>
            <w:r>
              <w:rPr>
                <w:sz w:val="20"/>
              </w:rPr>
              <w:t xml:space="preserve">Оказание медицинской помощи населению по прекращению потребления табака и потребления никотинсодержащей продукции в медицинских организациях автономного округа в соответствии с приказом Департамента здравоохранения от 27 сентября 2021 года N 1423 "Об организации оказания медицинской помощи населению Ханты-Мансийского автономного округа - Югры по прекращению потребления табака и потребления никотинсодержащей продукции"</w:t>
            </w:r>
          </w:p>
        </w:tc>
        <w:tc>
          <w:tcPr>
            <w:tcW w:w="3227" w:type="dxa"/>
          </w:tcPr>
          <w:p>
            <w:pPr>
              <w:pStyle w:val="0"/>
            </w:pPr>
            <w:r>
              <w:rPr>
                <w:sz w:val="20"/>
              </w:rPr>
              <w:t xml:space="preserve">до 31 декабря 2024 года</w:t>
            </w:r>
          </w:p>
        </w:tc>
        <w:tc>
          <w:tcPr>
            <w:tcW w:w="3155" w:type="dxa"/>
          </w:tcPr>
          <w:p>
            <w:pPr>
              <w:pStyle w:val="0"/>
            </w:pPr>
            <w:r>
              <w:rPr>
                <w:sz w:val="20"/>
              </w:rPr>
              <w:t xml:space="preserve">Медицинские организации автономного округа (по согласованию)</w:t>
            </w:r>
          </w:p>
        </w:tc>
      </w:tr>
      <w:tr>
        <w:tc>
          <w:tcPr>
            <w:tcW w:w="567" w:type="dxa"/>
          </w:tcPr>
          <w:p>
            <w:pPr>
              <w:pStyle w:val="0"/>
            </w:pPr>
            <w:r>
              <w:rPr>
                <w:sz w:val="20"/>
              </w:rPr>
              <w:t xml:space="preserve">7.</w:t>
            </w:r>
          </w:p>
        </w:tc>
        <w:tc>
          <w:tcPr>
            <w:tcW w:w="4309" w:type="dxa"/>
          </w:tcPr>
          <w:p>
            <w:pPr>
              <w:pStyle w:val="0"/>
            </w:pPr>
            <w:r>
              <w:rPr>
                <w:sz w:val="20"/>
              </w:rPr>
              <w:t xml:space="preserve">Выявление курения табака как фактора риска развития хронических неинфекционных заболеваний у пациентов медицинских организаций в ходе проведения диспансеризации, профилактического медицинского осмотра, а также при проведении других лечебных и профилактических мероприятий в медицинских организациях, с обязательной отметкой в первичной медицинской документации о факте курения табака, проведения краткого мотивационного консультирования и направления в кабинет медицинской помощи при отказе от курения либо в отделение (кабинет) медицинской профилактики или центр здоровья</w:t>
            </w:r>
          </w:p>
        </w:tc>
        <w:tc>
          <w:tcPr>
            <w:tcW w:w="3227" w:type="dxa"/>
          </w:tcPr>
          <w:p>
            <w:pPr>
              <w:pStyle w:val="0"/>
            </w:pPr>
            <w:r>
              <w:rPr>
                <w:sz w:val="20"/>
              </w:rPr>
              <w:t xml:space="preserve">до 31 декабря 2024 года</w:t>
            </w:r>
          </w:p>
        </w:tc>
        <w:tc>
          <w:tcPr>
            <w:tcW w:w="3155" w:type="dxa"/>
          </w:tcPr>
          <w:p>
            <w:pPr>
              <w:pStyle w:val="0"/>
            </w:pPr>
            <w:r>
              <w:rPr>
                <w:sz w:val="20"/>
              </w:rPr>
              <w:t xml:space="preserve">Медицинские организации автономного округа (по согласованию)</w:t>
            </w:r>
          </w:p>
        </w:tc>
      </w:tr>
      <w:tr>
        <w:tc>
          <w:tcPr>
            <w:tcW w:w="567" w:type="dxa"/>
          </w:tcPr>
          <w:p>
            <w:pPr>
              <w:pStyle w:val="0"/>
            </w:pPr>
            <w:r>
              <w:rPr>
                <w:sz w:val="20"/>
              </w:rPr>
              <w:t xml:space="preserve">8.</w:t>
            </w:r>
          </w:p>
        </w:tc>
        <w:tc>
          <w:tcPr>
            <w:tcW w:w="4309" w:type="dxa"/>
          </w:tcPr>
          <w:p>
            <w:pPr>
              <w:pStyle w:val="0"/>
            </w:pPr>
            <w:r>
              <w:rPr>
                <w:sz w:val="20"/>
              </w:rPr>
              <w:t xml:space="preserve">Проведение массовых мероприятий (акций, флеш-мобов, лекций и т.д.), приуроченных к Всемирному дню без табака (31 мая)</w:t>
            </w:r>
          </w:p>
        </w:tc>
        <w:tc>
          <w:tcPr>
            <w:tcW w:w="3227" w:type="dxa"/>
          </w:tcPr>
          <w:p>
            <w:pPr>
              <w:pStyle w:val="0"/>
            </w:pPr>
            <w:r>
              <w:rPr>
                <w:sz w:val="20"/>
              </w:rPr>
              <w:t xml:space="preserve">21 мая 2022 года - 10 июня 2022 года,</w:t>
            </w:r>
          </w:p>
          <w:p>
            <w:pPr>
              <w:pStyle w:val="0"/>
            </w:pPr>
            <w:r>
              <w:rPr>
                <w:sz w:val="20"/>
              </w:rPr>
              <w:t xml:space="preserve">21 мая 2023 года - 10 июня 2023 года,</w:t>
            </w:r>
          </w:p>
          <w:p>
            <w:pPr>
              <w:pStyle w:val="0"/>
            </w:pPr>
            <w:r>
              <w:rPr>
                <w:sz w:val="20"/>
              </w:rPr>
              <w:t xml:space="preserve">21 мая 2024 года - 10 июня 2024 года</w:t>
            </w:r>
          </w:p>
        </w:tc>
        <w:tc>
          <w:tcPr>
            <w:tcW w:w="3155" w:type="dxa"/>
          </w:tcPr>
          <w:p>
            <w:pPr>
              <w:pStyle w:val="0"/>
            </w:pPr>
            <w:r>
              <w:rPr>
                <w:sz w:val="20"/>
              </w:rPr>
              <w:t xml:space="preserve">Медицинские организации автономного округа (по согласованию)</w:t>
            </w:r>
          </w:p>
        </w:tc>
      </w:tr>
      <w:tr>
        <w:tc>
          <w:tcPr>
            <w:tcW w:w="567" w:type="dxa"/>
          </w:tcPr>
          <w:p>
            <w:pPr>
              <w:pStyle w:val="0"/>
            </w:pPr>
            <w:r>
              <w:rPr>
                <w:sz w:val="20"/>
              </w:rPr>
              <w:t xml:space="preserve">9.</w:t>
            </w:r>
          </w:p>
        </w:tc>
        <w:tc>
          <w:tcPr>
            <w:tcW w:w="4309" w:type="dxa"/>
          </w:tcPr>
          <w:p>
            <w:pPr>
              <w:pStyle w:val="0"/>
            </w:pPr>
            <w:r>
              <w:rPr>
                <w:sz w:val="20"/>
              </w:rPr>
              <w:t xml:space="preserve">Проведение массовых мероприятий (акций, флеш-мобов, лекций и т.д.), приуроченных к международному дню отказа от курения (третий четверг ноября, символ - бирюзовая ленточка)</w:t>
            </w:r>
          </w:p>
        </w:tc>
        <w:tc>
          <w:tcPr>
            <w:tcW w:w="3227" w:type="dxa"/>
          </w:tcPr>
          <w:p>
            <w:pPr>
              <w:pStyle w:val="0"/>
            </w:pPr>
            <w:r>
              <w:rPr>
                <w:sz w:val="20"/>
              </w:rPr>
              <w:t xml:space="preserve">11 ноября 2022 года - 20 ноября 2022 года,</w:t>
            </w:r>
          </w:p>
          <w:p>
            <w:pPr>
              <w:pStyle w:val="0"/>
            </w:pPr>
            <w:r>
              <w:rPr>
                <w:sz w:val="20"/>
              </w:rPr>
              <w:t xml:space="preserve">11 ноября 2023 года - 20 ноября 2023 года,</w:t>
            </w:r>
          </w:p>
          <w:p>
            <w:pPr>
              <w:pStyle w:val="0"/>
            </w:pPr>
            <w:r>
              <w:rPr>
                <w:sz w:val="20"/>
              </w:rPr>
              <w:t xml:space="preserve">11 ноября 2024 года - 20 ноября 2024 года</w:t>
            </w:r>
          </w:p>
        </w:tc>
        <w:tc>
          <w:tcPr>
            <w:tcW w:w="3155" w:type="dxa"/>
          </w:tcPr>
          <w:p>
            <w:pPr>
              <w:pStyle w:val="0"/>
            </w:pPr>
            <w:r>
              <w:rPr>
                <w:sz w:val="20"/>
              </w:rPr>
              <w:t xml:space="preserve">Медицинские организации автономного округа (по согласованию)</w:t>
            </w:r>
          </w:p>
        </w:tc>
      </w:tr>
      <w:tr>
        <w:tc>
          <w:tcPr>
            <w:tcW w:w="567" w:type="dxa"/>
          </w:tcPr>
          <w:p>
            <w:pPr>
              <w:pStyle w:val="0"/>
            </w:pPr>
            <w:r>
              <w:rPr>
                <w:sz w:val="20"/>
              </w:rPr>
              <w:t xml:space="preserve">10.</w:t>
            </w:r>
          </w:p>
        </w:tc>
        <w:tc>
          <w:tcPr>
            <w:tcW w:w="4309" w:type="dxa"/>
          </w:tcPr>
          <w:p>
            <w:pPr>
              <w:pStyle w:val="0"/>
            </w:pPr>
            <w:r>
              <w:rPr>
                <w:sz w:val="20"/>
              </w:rPr>
              <w:t xml:space="preserve">Издание и распространение среди пациентов печатной продукции по профилактике курения табака и иных форм потребления никотина</w:t>
            </w:r>
          </w:p>
        </w:tc>
        <w:tc>
          <w:tcPr>
            <w:tcW w:w="3227" w:type="dxa"/>
          </w:tcPr>
          <w:p>
            <w:pPr>
              <w:pStyle w:val="0"/>
            </w:pPr>
            <w:r>
              <w:rPr>
                <w:sz w:val="20"/>
              </w:rPr>
              <w:t xml:space="preserve">до 31 декабря 2024 год</w:t>
            </w:r>
          </w:p>
        </w:tc>
        <w:tc>
          <w:tcPr>
            <w:tcW w:w="3155" w:type="dxa"/>
          </w:tcPr>
          <w:p>
            <w:pPr>
              <w:pStyle w:val="0"/>
            </w:pPr>
            <w:r>
              <w:rPr>
                <w:sz w:val="20"/>
              </w:rPr>
              <w:t xml:space="preserve">БУ "Центр общественного здоровья и медицинской профилактики", медицинские организации автономного округа (по согласованию)</w:t>
            </w:r>
          </w:p>
        </w:tc>
      </w:tr>
      <w:tr>
        <w:tc>
          <w:tcPr>
            <w:tcW w:w="567" w:type="dxa"/>
          </w:tcPr>
          <w:p>
            <w:pPr>
              <w:pStyle w:val="0"/>
            </w:pPr>
            <w:r>
              <w:rPr>
                <w:sz w:val="20"/>
              </w:rPr>
              <w:t xml:space="preserve">11.</w:t>
            </w:r>
          </w:p>
        </w:tc>
        <w:tc>
          <w:tcPr>
            <w:tcW w:w="4309" w:type="dxa"/>
          </w:tcPr>
          <w:p>
            <w:pPr>
              <w:pStyle w:val="0"/>
            </w:pPr>
            <w:r>
              <w:rPr>
                <w:sz w:val="20"/>
              </w:rPr>
              <w:t xml:space="preserve">Обеспечение территорий медицинских организаций свободными от табачного дыма в соответствии с Федеральным </w:t>
            </w:r>
            <w:hyperlink w:history="0" r:id="rId18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законом</w:t>
              </w:r>
            </w:hyperlink>
            <w:r>
              <w:rPr>
                <w:sz w:val="20"/>
              </w:rPr>
              <w:t xml:space="preserve"> от 23 февраля 2013 года N 15-ФЗ "Об охране здоровья граждан от воздействия окружающего табачного дыма и последствий потребления табака".</w:t>
            </w:r>
          </w:p>
        </w:tc>
        <w:tc>
          <w:tcPr>
            <w:tcW w:w="3227" w:type="dxa"/>
          </w:tcPr>
          <w:p>
            <w:pPr>
              <w:pStyle w:val="0"/>
            </w:pPr>
            <w:r>
              <w:rPr>
                <w:sz w:val="20"/>
              </w:rPr>
              <w:t xml:space="preserve">до 31 декабря 2024 года</w:t>
            </w:r>
          </w:p>
        </w:tc>
        <w:tc>
          <w:tcPr>
            <w:tcW w:w="3155" w:type="dxa"/>
          </w:tcPr>
          <w:p>
            <w:pPr>
              <w:pStyle w:val="0"/>
            </w:pPr>
            <w:r>
              <w:rPr>
                <w:sz w:val="20"/>
              </w:rPr>
              <w:t xml:space="preserve">Медицинские организации автономного округа (по согласованию)</w:t>
            </w:r>
          </w:p>
        </w:tc>
      </w:tr>
      <w:tr>
        <w:tc>
          <w:tcPr>
            <w:tcW w:w="567" w:type="dxa"/>
          </w:tcPr>
          <w:p>
            <w:pPr>
              <w:pStyle w:val="0"/>
            </w:pPr>
            <w:r>
              <w:rPr>
                <w:sz w:val="20"/>
              </w:rPr>
              <w:t xml:space="preserve">12.</w:t>
            </w:r>
          </w:p>
        </w:tc>
        <w:tc>
          <w:tcPr>
            <w:tcW w:w="4309" w:type="dxa"/>
          </w:tcPr>
          <w:p>
            <w:pPr>
              <w:pStyle w:val="0"/>
            </w:pPr>
            <w:r>
              <w:rPr>
                <w:sz w:val="20"/>
              </w:rPr>
              <w:t xml:space="preserve">Проведение информационной кампании посредством официальных ресурсов медицинских организаций Ханты-Мансийского автономного округа - Югры: сайт организации, социальные сети, информационные стенды, электронные средства (экраны и телевизоры) в стенах учреждения</w:t>
            </w:r>
          </w:p>
        </w:tc>
        <w:tc>
          <w:tcPr>
            <w:tcW w:w="3227" w:type="dxa"/>
          </w:tcPr>
          <w:p>
            <w:pPr>
              <w:pStyle w:val="0"/>
            </w:pPr>
            <w:r>
              <w:rPr>
                <w:sz w:val="20"/>
              </w:rPr>
              <w:t xml:space="preserve">до 31 декабря 2024 года</w:t>
            </w:r>
          </w:p>
        </w:tc>
        <w:tc>
          <w:tcPr>
            <w:tcW w:w="3155" w:type="dxa"/>
          </w:tcPr>
          <w:p>
            <w:pPr>
              <w:pStyle w:val="0"/>
            </w:pPr>
            <w:r>
              <w:rPr>
                <w:sz w:val="20"/>
              </w:rPr>
              <w:t xml:space="preserve">БУ "Центр общественного здоровья и медицинской профилактики", медицинские организации автономного округа (по согласованию)</w:t>
            </w:r>
          </w:p>
        </w:tc>
      </w:tr>
      <w:tr>
        <w:tc>
          <w:tcPr>
            <w:tcW w:w="567" w:type="dxa"/>
          </w:tcPr>
          <w:p>
            <w:pPr>
              <w:pStyle w:val="0"/>
            </w:pPr>
            <w:r>
              <w:rPr>
                <w:sz w:val="20"/>
              </w:rPr>
              <w:t xml:space="preserve">13.</w:t>
            </w:r>
          </w:p>
        </w:tc>
        <w:tc>
          <w:tcPr>
            <w:tcW w:w="4309" w:type="dxa"/>
          </w:tcPr>
          <w:p>
            <w:pPr>
              <w:pStyle w:val="0"/>
            </w:pPr>
            <w:r>
              <w:rPr>
                <w:sz w:val="20"/>
              </w:rPr>
              <w:t xml:space="preserve">Взаимодействие со средствами массовой информации (рассылка пресс-/пост-релизов, организация специальных мероприятий)</w:t>
            </w:r>
          </w:p>
        </w:tc>
        <w:tc>
          <w:tcPr>
            <w:tcW w:w="3227" w:type="dxa"/>
          </w:tcPr>
          <w:p>
            <w:pPr>
              <w:pStyle w:val="0"/>
            </w:pPr>
            <w:r>
              <w:rPr>
                <w:sz w:val="20"/>
              </w:rPr>
              <w:t xml:space="preserve">до 31 декабря 2024 года</w:t>
            </w:r>
          </w:p>
        </w:tc>
        <w:tc>
          <w:tcPr>
            <w:tcW w:w="3155" w:type="dxa"/>
          </w:tcPr>
          <w:p>
            <w:pPr>
              <w:pStyle w:val="0"/>
            </w:pPr>
            <w:r>
              <w:rPr>
                <w:sz w:val="20"/>
              </w:rPr>
              <w:t xml:space="preserve">БУ "Центр общественного здоровья и медицинской профилактики", медицинские организации автономного округа (по согласованию)</w:t>
            </w:r>
          </w:p>
        </w:tc>
      </w:tr>
      <w:tr>
        <w:tc>
          <w:tcPr>
            <w:tcW w:w="567" w:type="dxa"/>
          </w:tcPr>
          <w:p>
            <w:pPr>
              <w:pStyle w:val="0"/>
            </w:pPr>
            <w:r>
              <w:rPr>
                <w:sz w:val="20"/>
              </w:rPr>
              <w:t xml:space="preserve">14.</w:t>
            </w:r>
          </w:p>
        </w:tc>
        <w:tc>
          <w:tcPr>
            <w:tcW w:w="4309" w:type="dxa"/>
          </w:tcPr>
          <w:p>
            <w:pPr>
              <w:pStyle w:val="0"/>
            </w:pPr>
            <w:r>
              <w:rPr>
                <w:sz w:val="20"/>
              </w:rPr>
              <w:t xml:space="preserve">Работа с участием волонтеров-медиков по противодействию употребления табака и иной никотинсодержащей продукции школьниками</w:t>
            </w:r>
          </w:p>
        </w:tc>
        <w:tc>
          <w:tcPr>
            <w:tcW w:w="3227" w:type="dxa"/>
          </w:tcPr>
          <w:p>
            <w:pPr>
              <w:pStyle w:val="0"/>
            </w:pPr>
            <w:r>
              <w:rPr>
                <w:sz w:val="20"/>
              </w:rPr>
              <w:t xml:space="preserve">до 31 декабря 2024 года</w:t>
            </w:r>
          </w:p>
        </w:tc>
        <w:tc>
          <w:tcPr>
            <w:tcW w:w="3155" w:type="dxa"/>
          </w:tcPr>
          <w:p>
            <w:pPr>
              <w:pStyle w:val="0"/>
            </w:pPr>
            <w:r>
              <w:rPr>
                <w:sz w:val="20"/>
              </w:rPr>
              <w:t xml:space="preserve">БУ "Центр общественного здоровья и медицинской профилактики", медицинские организации автономного округа (по согласованию)</w:t>
            </w:r>
          </w:p>
        </w:tc>
      </w:tr>
      <w:tr>
        <w:tc>
          <w:tcPr>
            <w:tcW w:w="567" w:type="dxa"/>
          </w:tcPr>
          <w:p>
            <w:pPr>
              <w:pStyle w:val="0"/>
            </w:pPr>
            <w:r>
              <w:rPr>
                <w:sz w:val="20"/>
              </w:rPr>
              <w:t xml:space="preserve">15.</w:t>
            </w:r>
          </w:p>
        </w:tc>
        <w:tc>
          <w:tcPr>
            <w:tcW w:w="4309" w:type="dxa"/>
          </w:tcPr>
          <w:p>
            <w:pPr>
              <w:pStyle w:val="0"/>
            </w:pPr>
            <w:r>
              <w:rPr>
                <w:sz w:val="20"/>
              </w:rPr>
              <w:t xml:space="preserve">Обеспечение целевого охвата граждан диспансеризацией и профилактическими медицинскими осмотрами в соответствии с утвержденным планом</w:t>
            </w:r>
          </w:p>
        </w:tc>
        <w:tc>
          <w:tcPr>
            <w:tcW w:w="3227" w:type="dxa"/>
          </w:tcPr>
          <w:p>
            <w:pPr>
              <w:pStyle w:val="0"/>
            </w:pPr>
            <w:r>
              <w:rPr>
                <w:sz w:val="20"/>
              </w:rPr>
              <w:t xml:space="preserve">до 31 декабря 2024 года</w:t>
            </w:r>
          </w:p>
        </w:tc>
        <w:tc>
          <w:tcPr>
            <w:tcW w:w="3155" w:type="dxa"/>
          </w:tcPr>
          <w:p>
            <w:pPr>
              <w:pStyle w:val="0"/>
            </w:pPr>
            <w:r>
              <w:rPr>
                <w:sz w:val="20"/>
              </w:rPr>
              <w:t xml:space="preserve">Медицинские организации автономного округа (по согласованию)</w:t>
            </w:r>
          </w:p>
        </w:tc>
      </w:tr>
      <w:tr>
        <w:tc>
          <w:tcPr>
            <w:gridSpan w:val="4"/>
            <w:tcW w:w="11258" w:type="dxa"/>
          </w:tcPr>
          <w:p>
            <w:pPr>
              <w:pStyle w:val="0"/>
              <w:outlineLvl w:val="2"/>
              <w:jc w:val="center"/>
            </w:pPr>
            <w:r>
              <w:rPr>
                <w:sz w:val="20"/>
              </w:rPr>
              <w:t xml:space="preserve">Мероприятия, направленные на первичную профилактику заболеваний полости рта</w:t>
            </w:r>
          </w:p>
        </w:tc>
      </w:tr>
      <w:tr>
        <w:tc>
          <w:tcPr>
            <w:tcW w:w="567" w:type="dxa"/>
          </w:tcPr>
          <w:p>
            <w:pPr>
              <w:pStyle w:val="0"/>
            </w:pPr>
            <w:r>
              <w:rPr>
                <w:sz w:val="20"/>
              </w:rPr>
              <w:t xml:space="preserve">16.</w:t>
            </w:r>
          </w:p>
        </w:tc>
        <w:tc>
          <w:tcPr>
            <w:tcW w:w="4309" w:type="dxa"/>
          </w:tcPr>
          <w:p>
            <w:pPr>
              <w:pStyle w:val="0"/>
            </w:pPr>
            <w:r>
              <w:rPr>
                <w:sz w:val="20"/>
              </w:rPr>
              <w:t xml:space="preserve">Обеспечение целевого охвата детей профилактическими стоматологическими осмотрами</w:t>
            </w:r>
          </w:p>
        </w:tc>
        <w:tc>
          <w:tcPr>
            <w:tcW w:w="3227" w:type="dxa"/>
          </w:tcPr>
          <w:p>
            <w:pPr>
              <w:pStyle w:val="0"/>
            </w:pPr>
            <w:r>
              <w:rPr>
                <w:sz w:val="20"/>
              </w:rPr>
              <w:t xml:space="preserve">до 31 декабря 2024 года</w:t>
            </w:r>
          </w:p>
        </w:tc>
        <w:tc>
          <w:tcPr>
            <w:tcW w:w="3155" w:type="dxa"/>
          </w:tcPr>
          <w:p>
            <w:pPr>
              <w:pStyle w:val="0"/>
            </w:pPr>
            <w:r>
              <w:rPr>
                <w:sz w:val="20"/>
              </w:rPr>
              <w:t xml:space="preserve">Медицинские организации автономного округа, оказывающие стоматологическую помощь детям школьного возраста (по согласованию)</w:t>
            </w:r>
          </w:p>
        </w:tc>
      </w:tr>
      <w:tr>
        <w:tc>
          <w:tcPr>
            <w:tcW w:w="567" w:type="dxa"/>
          </w:tcPr>
          <w:p>
            <w:pPr>
              <w:pStyle w:val="0"/>
            </w:pPr>
            <w:r>
              <w:rPr>
                <w:sz w:val="20"/>
              </w:rPr>
              <w:t xml:space="preserve">17.</w:t>
            </w:r>
          </w:p>
        </w:tc>
        <w:tc>
          <w:tcPr>
            <w:tcW w:w="4309" w:type="dxa"/>
          </w:tcPr>
          <w:p>
            <w:pPr>
              <w:pStyle w:val="0"/>
            </w:pPr>
            <w:r>
              <w:rPr>
                <w:sz w:val="20"/>
              </w:rPr>
              <w:t xml:space="preserve">Стоматологическое просвещение родителей, учителей, детей о значении гигиены полости рта, правильном питании, о необходимости лечения зубов на ранних стадиях заболевания, в том числе с проведением уроков гигиены полости рта</w:t>
            </w:r>
          </w:p>
        </w:tc>
        <w:tc>
          <w:tcPr>
            <w:tcW w:w="3227" w:type="dxa"/>
          </w:tcPr>
          <w:p>
            <w:pPr>
              <w:pStyle w:val="0"/>
            </w:pPr>
            <w:r>
              <w:rPr>
                <w:sz w:val="20"/>
              </w:rPr>
              <w:t xml:space="preserve">до 31 декабря 2024 года</w:t>
            </w:r>
          </w:p>
        </w:tc>
        <w:tc>
          <w:tcPr>
            <w:tcW w:w="3155" w:type="dxa"/>
          </w:tcPr>
          <w:p>
            <w:pPr>
              <w:pStyle w:val="0"/>
            </w:pPr>
            <w:r>
              <w:rPr>
                <w:sz w:val="20"/>
              </w:rPr>
              <w:t xml:space="preserve">Медицинские организации автономного округа, оказывающие стоматологическую помощь детям школьного возраста (по согласованию), БУ "Центр общественного здоровья и медицинской профилактики"</w:t>
            </w:r>
          </w:p>
        </w:tc>
      </w:tr>
      <w:tr>
        <w:tc>
          <w:tcPr>
            <w:tcW w:w="567" w:type="dxa"/>
          </w:tcPr>
          <w:p>
            <w:pPr>
              <w:pStyle w:val="0"/>
            </w:pPr>
            <w:r>
              <w:rPr>
                <w:sz w:val="20"/>
              </w:rPr>
              <w:t xml:space="preserve">18.</w:t>
            </w:r>
          </w:p>
        </w:tc>
        <w:tc>
          <w:tcPr>
            <w:tcW w:w="4309" w:type="dxa"/>
          </w:tcPr>
          <w:p>
            <w:pPr>
              <w:pStyle w:val="0"/>
            </w:pPr>
            <w:r>
              <w:rPr>
                <w:sz w:val="20"/>
              </w:rPr>
              <w:t xml:space="preserve">Открытие школьных стоматологических кабинетов</w:t>
            </w:r>
          </w:p>
        </w:tc>
        <w:tc>
          <w:tcPr>
            <w:tcW w:w="3227" w:type="dxa"/>
          </w:tcPr>
          <w:p>
            <w:pPr>
              <w:pStyle w:val="0"/>
            </w:pPr>
            <w:r>
              <w:rPr>
                <w:sz w:val="20"/>
              </w:rPr>
              <w:t xml:space="preserve">до 31 декабря 2024 года</w:t>
            </w:r>
          </w:p>
        </w:tc>
        <w:tc>
          <w:tcPr>
            <w:tcW w:w="3155" w:type="dxa"/>
          </w:tcPr>
          <w:p>
            <w:pPr>
              <w:pStyle w:val="0"/>
            </w:pPr>
            <w:r>
              <w:rPr>
                <w:sz w:val="20"/>
              </w:rPr>
              <w:t xml:space="preserve">Медицинские организации автономного округа, оказывающие стоматологическую помощь детям школьного возраста (по согласованию)</w:t>
            </w:r>
          </w:p>
        </w:tc>
      </w:tr>
      <w:tr>
        <w:tc>
          <w:tcPr>
            <w:tcW w:w="567" w:type="dxa"/>
          </w:tcPr>
          <w:p>
            <w:pPr>
              <w:pStyle w:val="0"/>
            </w:pPr>
            <w:r>
              <w:rPr>
                <w:sz w:val="20"/>
              </w:rPr>
              <w:t xml:space="preserve">19.</w:t>
            </w:r>
          </w:p>
        </w:tc>
        <w:tc>
          <w:tcPr>
            <w:tcW w:w="4309" w:type="dxa"/>
          </w:tcPr>
          <w:p>
            <w:pPr>
              <w:pStyle w:val="0"/>
            </w:pPr>
            <w:r>
              <w:rPr>
                <w:sz w:val="20"/>
              </w:rPr>
              <w:t xml:space="preserve">Выявление факторов риска развития онкопатологии в полости рта, множественного кариеса и осложненных форм кариеса с обязательной отметкой в первичной медицинской документации о факте курения табака, проведения краткого мотивационного консультирования</w:t>
            </w:r>
          </w:p>
        </w:tc>
        <w:tc>
          <w:tcPr>
            <w:tcW w:w="3227" w:type="dxa"/>
          </w:tcPr>
          <w:p>
            <w:pPr>
              <w:pStyle w:val="0"/>
            </w:pPr>
            <w:r>
              <w:rPr>
                <w:sz w:val="20"/>
              </w:rPr>
              <w:t xml:space="preserve">до 31 декабря 2024 года</w:t>
            </w:r>
          </w:p>
        </w:tc>
        <w:tc>
          <w:tcPr>
            <w:tcW w:w="3155" w:type="dxa"/>
          </w:tcPr>
          <w:p>
            <w:pPr>
              <w:pStyle w:val="0"/>
            </w:pPr>
            <w:r>
              <w:rPr>
                <w:sz w:val="20"/>
              </w:rPr>
              <w:t xml:space="preserve">Медицинские организации автономного округа (по согласованию)</w:t>
            </w:r>
          </w:p>
        </w:tc>
      </w:tr>
      <w:tr>
        <w:tc>
          <w:tcPr>
            <w:tcW w:w="567" w:type="dxa"/>
          </w:tcPr>
          <w:p>
            <w:pPr>
              <w:pStyle w:val="0"/>
            </w:pPr>
            <w:r>
              <w:rPr>
                <w:sz w:val="20"/>
              </w:rPr>
              <w:t xml:space="preserve">20.</w:t>
            </w:r>
          </w:p>
        </w:tc>
        <w:tc>
          <w:tcPr>
            <w:tcW w:w="4309" w:type="dxa"/>
          </w:tcPr>
          <w:p>
            <w:pPr>
              <w:pStyle w:val="0"/>
            </w:pPr>
            <w:r>
              <w:rPr>
                <w:sz w:val="20"/>
              </w:rPr>
              <w:t xml:space="preserve">Проведении массовых мероприятий (акций, флеш-мобов, лекций и т.д.), приуроченных к Всемирному дню стоматолога</w:t>
            </w:r>
          </w:p>
        </w:tc>
        <w:tc>
          <w:tcPr>
            <w:tcW w:w="3227" w:type="dxa"/>
          </w:tcPr>
          <w:p>
            <w:pPr>
              <w:pStyle w:val="0"/>
            </w:pPr>
            <w:r>
              <w:rPr>
                <w:sz w:val="20"/>
              </w:rPr>
              <w:t xml:space="preserve">8 февраля 2022 года - 11 февраля 2022 года,</w:t>
            </w:r>
          </w:p>
          <w:p>
            <w:pPr>
              <w:pStyle w:val="0"/>
            </w:pPr>
            <w:r>
              <w:rPr>
                <w:sz w:val="20"/>
              </w:rPr>
              <w:t xml:space="preserve">8 февраля 2023 года - 11 февраля 2023 года,</w:t>
            </w:r>
          </w:p>
          <w:p>
            <w:pPr>
              <w:pStyle w:val="0"/>
            </w:pPr>
            <w:r>
              <w:rPr>
                <w:sz w:val="20"/>
              </w:rPr>
              <w:t xml:space="preserve">8 февраля 2024 года - 11 февраля 2024 года</w:t>
            </w:r>
          </w:p>
        </w:tc>
        <w:tc>
          <w:tcPr>
            <w:tcW w:w="3155" w:type="dxa"/>
          </w:tcPr>
          <w:p>
            <w:pPr>
              <w:pStyle w:val="0"/>
            </w:pPr>
            <w:r>
              <w:rPr>
                <w:sz w:val="20"/>
              </w:rPr>
              <w:t xml:space="preserve">Медицинские организации автономного округа (по согласованию)</w:t>
            </w:r>
          </w:p>
        </w:tc>
      </w:tr>
      <w:tr>
        <w:tc>
          <w:tcPr>
            <w:tcW w:w="567" w:type="dxa"/>
          </w:tcPr>
          <w:p>
            <w:pPr>
              <w:pStyle w:val="0"/>
            </w:pPr>
            <w:r>
              <w:rPr>
                <w:sz w:val="20"/>
              </w:rPr>
              <w:t xml:space="preserve">21.</w:t>
            </w:r>
          </w:p>
        </w:tc>
        <w:tc>
          <w:tcPr>
            <w:tcW w:w="4309" w:type="dxa"/>
          </w:tcPr>
          <w:p>
            <w:pPr>
              <w:pStyle w:val="0"/>
            </w:pPr>
            <w:r>
              <w:rPr>
                <w:sz w:val="20"/>
              </w:rPr>
              <w:t xml:space="preserve">Проведение массовых мероприятий (акций, флеш-мобов, лекций и т.д.), приуроченных к Всемирному дню здоровья полости рта</w:t>
            </w:r>
          </w:p>
        </w:tc>
        <w:tc>
          <w:tcPr>
            <w:tcW w:w="3227" w:type="dxa"/>
          </w:tcPr>
          <w:p>
            <w:pPr>
              <w:pStyle w:val="0"/>
            </w:pPr>
            <w:r>
              <w:rPr>
                <w:sz w:val="20"/>
              </w:rPr>
              <w:t xml:space="preserve">15 марта 2022 года - 22 марта 2022 года,</w:t>
            </w:r>
          </w:p>
          <w:p>
            <w:pPr>
              <w:pStyle w:val="0"/>
            </w:pPr>
            <w:r>
              <w:rPr>
                <w:sz w:val="20"/>
              </w:rPr>
              <w:t xml:space="preserve">15 марта 2023 года - 22 марта 2023 года,</w:t>
            </w:r>
          </w:p>
          <w:p>
            <w:pPr>
              <w:pStyle w:val="0"/>
            </w:pPr>
            <w:r>
              <w:rPr>
                <w:sz w:val="20"/>
              </w:rPr>
              <w:t xml:space="preserve">15 марта 2024 года - 22 марта 2024 года</w:t>
            </w:r>
          </w:p>
        </w:tc>
        <w:tc>
          <w:tcPr>
            <w:tcW w:w="3155" w:type="dxa"/>
          </w:tcPr>
          <w:p>
            <w:pPr>
              <w:pStyle w:val="0"/>
            </w:pPr>
            <w:r>
              <w:rPr>
                <w:sz w:val="20"/>
              </w:rPr>
              <w:t xml:space="preserve">Медицинские организации автономного округа (по согласованию)</w:t>
            </w:r>
          </w:p>
        </w:tc>
      </w:tr>
      <w:tr>
        <w:tc>
          <w:tcPr>
            <w:tcW w:w="567" w:type="dxa"/>
          </w:tcPr>
          <w:p>
            <w:pPr>
              <w:pStyle w:val="0"/>
            </w:pPr>
            <w:r>
              <w:rPr>
                <w:sz w:val="20"/>
              </w:rPr>
              <w:t xml:space="preserve">22.</w:t>
            </w:r>
          </w:p>
        </w:tc>
        <w:tc>
          <w:tcPr>
            <w:tcW w:w="4309" w:type="dxa"/>
          </w:tcPr>
          <w:p>
            <w:pPr>
              <w:pStyle w:val="0"/>
            </w:pPr>
            <w:r>
              <w:rPr>
                <w:sz w:val="20"/>
              </w:rPr>
              <w:t xml:space="preserve">Издание и распространение среди детей школьного возраста печатной продукции по рациональной гигиене полости рта и рациональному питанию, а также изготовление по данным темам видеороликов, их трансляция на телевидении, инфоматах медицинских организаций, образовательных учреждений</w:t>
            </w:r>
          </w:p>
        </w:tc>
        <w:tc>
          <w:tcPr>
            <w:tcW w:w="3227" w:type="dxa"/>
          </w:tcPr>
          <w:p>
            <w:pPr>
              <w:pStyle w:val="0"/>
            </w:pPr>
            <w:r>
              <w:rPr>
                <w:sz w:val="20"/>
              </w:rPr>
              <w:t xml:space="preserve">до 31 декабря 2024 год</w:t>
            </w:r>
          </w:p>
        </w:tc>
        <w:tc>
          <w:tcPr>
            <w:tcW w:w="3155" w:type="dxa"/>
          </w:tcPr>
          <w:p>
            <w:pPr>
              <w:pStyle w:val="0"/>
            </w:pPr>
            <w:r>
              <w:rPr>
                <w:sz w:val="20"/>
              </w:rPr>
              <w:t xml:space="preserve">БУ "Центр общественного здоровья и медицинской профилактики", медицинские организации автономного округа (по согласованию)</w:t>
            </w:r>
          </w:p>
        </w:tc>
      </w:tr>
      <w:tr>
        <w:tc>
          <w:tcPr>
            <w:tcW w:w="567" w:type="dxa"/>
          </w:tcPr>
          <w:p>
            <w:pPr>
              <w:pStyle w:val="0"/>
            </w:pPr>
            <w:r>
              <w:rPr>
                <w:sz w:val="20"/>
              </w:rPr>
              <w:t xml:space="preserve">23.</w:t>
            </w:r>
          </w:p>
        </w:tc>
        <w:tc>
          <w:tcPr>
            <w:tcW w:w="4309" w:type="dxa"/>
          </w:tcPr>
          <w:p>
            <w:pPr>
              <w:pStyle w:val="0"/>
            </w:pPr>
            <w:r>
              <w:rPr>
                <w:sz w:val="20"/>
              </w:rPr>
              <w:t xml:space="preserve">Проведение информационной кампании посредством официальных ресурсов медицинских организаций автономного округа: сайты медицинских организации, социальные сети, информационные стенды, электронные средства (экраны и телевизоры) в стенах учреждений</w:t>
            </w:r>
          </w:p>
        </w:tc>
        <w:tc>
          <w:tcPr>
            <w:tcW w:w="3227" w:type="dxa"/>
          </w:tcPr>
          <w:p>
            <w:pPr>
              <w:pStyle w:val="0"/>
            </w:pPr>
            <w:r>
              <w:rPr>
                <w:sz w:val="20"/>
              </w:rPr>
              <w:t xml:space="preserve">до 31 декабря 2024 года</w:t>
            </w:r>
          </w:p>
        </w:tc>
        <w:tc>
          <w:tcPr>
            <w:tcW w:w="3155" w:type="dxa"/>
          </w:tcPr>
          <w:p>
            <w:pPr>
              <w:pStyle w:val="0"/>
            </w:pPr>
            <w:r>
              <w:rPr>
                <w:sz w:val="20"/>
              </w:rPr>
              <w:t xml:space="preserve">Медицинские организации (по согласованию)</w:t>
            </w:r>
          </w:p>
        </w:tc>
      </w:tr>
      <w:tr>
        <w:tc>
          <w:tcPr>
            <w:tcW w:w="567" w:type="dxa"/>
          </w:tcPr>
          <w:p>
            <w:pPr>
              <w:pStyle w:val="0"/>
            </w:pPr>
            <w:r>
              <w:rPr>
                <w:sz w:val="20"/>
              </w:rPr>
              <w:t xml:space="preserve">24.</w:t>
            </w:r>
          </w:p>
        </w:tc>
        <w:tc>
          <w:tcPr>
            <w:tcW w:w="4309" w:type="dxa"/>
          </w:tcPr>
          <w:p>
            <w:pPr>
              <w:pStyle w:val="0"/>
            </w:pPr>
            <w:r>
              <w:rPr>
                <w:sz w:val="20"/>
              </w:rPr>
              <w:t xml:space="preserve">Взаимодействие со средствами массовой информации (рассылка пресс/пост-релизов, организация специальных мероприятий)</w:t>
            </w:r>
          </w:p>
        </w:tc>
        <w:tc>
          <w:tcPr>
            <w:tcW w:w="3227" w:type="dxa"/>
          </w:tcPr>
          <w:p>
            <w:pPr>
              <w:pStyle w:val="0"/>
            </w:pPr>
            <w:r>
              <w:rPr>
                <w:sz w:val="20"/>
              </w:rPr>
              <w:t xml:space="preserve">до 31 декабря 2024 года</w:t>
            </w:r>
          </w:p>
        </w:tc>
        <w:tc>
          <w:tcPr>
            <w:tcW w:w="3155" w:type="dxa"/>
          </w:tcPr>
          <w:p>
            <w:pPr>
              <w:pStyle w:val="0"/>
            </w:pPr>
            <w:r>
              <w:rPr>
                <w:sz w:val="20"/>
              </w:rPr>
              <w:t xml:space="preserve">Медицинские организации (по согласованию)</w:t>
            </w:r>
          </w:p>
        </w:tc>
      </w:tr>
      <w:tr>
        <w:tc>
          <w:tcPr>
            <w:gridSpan w:val="4"/>
            <w:tcW w:w="11258" w:type="dxa"/>
          </w:tcPr>
          <w:p>
            <w:pPr>
              <w:pStyle w:val="0"/>
              <w:outlineLvl w:val="2"/>
              <w:jc w:val="center"/>
            </w:pPr>
            <w:r>
              <w:rPr>
                <w:sz w:val="20"/>
              </w:rPr>
              <w:t xml:space="preserve">Мероприятия, направленные на профилактику заболеваний репродуктивной сферы у мужчин</w:t>
            </w:r>
          </w:p>
        </w:tc>
      </w:tr>
      <w:tr>
        <w:tc>
          <w:tcPr>
            <w:tcW w:w="567" w:type="dxa"/>
          </w:tcPr>
          <w:p>
            <w:pPr>
              <w:pStyle w:val="0"/>
            </w:pPr>
            <w:r>
              <w:rPr>
                <w:sz w:val="20"/>
              </w:rPr>
              <w:t xml:space="preserve">25.</w:t>
            </w:r>
          </w:p>
        </w:tc>
        <w:tc>
          <w:tcPr>
            <w:tcW w:w="4309" w:type="dxa"/>
          </w:tcPr>
          <w:p>
            <w:pPr>
              <w:pStyle w:val="0"/>
            </w:pPr>
            <w:r>
              <w:rPr>
                <w:sz w:val="20"/>
              </w:rPr>
              <w:t xml:space="preserve">Проведение информационной кампании, формирующей позитивное репродуктивное поведение и пропагандирующей семейные ценности посредством официальных ресурсов медицинских организаций автономного округа: сайты организации, социальные сети, информационные стенды, электронные средства (экраны и телевизоры) в стенах учреждений</w:t>
            </w:r>
          </w:p>
        </w:tc>
        <w:tc>
          <w:tcPr>
            <w:tcW w:w="3227" w:type="dxa"/>
          </w:tcPr>
          <w:p>
            <w:pPr>
              <w:pStyle w:val="0"/>
            </w:pPr>
            <w:r>
              <w:rPr>
                <w:sz w:val="20"/>
              </w:rPr>
              <w:t xml:space="preserve">до 31 декабря 2024 года</w:t>
            </w:r>
          </w:p>
        </w:tc>
        <w:tc>
          <w:tcPr>
            <w:tcW w:w="3155" w:type="dxa"/>
          </w:tcPr>
          <w:p>
            <w:pPr>
              <w:pStyle w:val="0"/>
            </w:pPr>
            <w:r>
              <w:rPr>
                <w:sz w:val="20"/>
              </w:rPr>
              <w:t xml:space="preserve">Медицинские организации (по согласованию)</w:t>
            </w:r>
          </w:p>
        </w:tc>
      </w:tr>
      <w:tr>
        <w:tc>
          <w:tcPr>
            <w:tcW w:w="567" w:type="dxa"/>
          </w:tcPr>
          <w:p>
            <w:pPr>
              <w:pStyle w:val="0"/>
            </w:pPr>
            <w:r>
              <w:rPr>
                <w:sz w:val="20"/>
              </w:rPr>
              <w:t xml:space="preserve">26.</w:t>
            </w:r>
          </w:p>
        </w:tc>
        <w:tc>
          <w:tcPr>
            <w:tcW w:w="4309" w:type="dxa"/>
          </w:tcPr>
          <w:p>
            <w:pPr>
              <w:pStyle w:val="0"/>
            </w:pPr>
            <w:r>
              <w:rPr>
                <w:sz w:val="20"/>
              </w:rPr>
              <w:t xml:space="preserve">Проведение дней открытых дверей в медицинских организациях с целью ранней диагностики и превентивной коррекции нарушений мужской половой сферы: консультации врачей-урологов, врачей-андрологов, тематические лекции, беседы и обучающие мероприятия</w:t>
            </w:r>
          </w:p>
        </w:tc>
        <w:tc>
          <w:tcPr>
            <w:tcW w:w="3227" w:type="dxa"/>
          </w:tcPr>
          <w:p>
            <w:pPr>
              <w:pStyle w:val="0"/>
            </w:pPr>
            <w:r>
              <w:rPr>
                <w:sz w:val="20"/>
              </w:rPr>
              <w:t xml:space="preserve">до 31 декабря 2024 года</w:t>
            </w:r>
          </w:p>
        </w:tc>
        <w:tc>
          <w:tcPr>
            <w:tcW w:w="3155" w:type="dxa"/>
          </w:tcPr>
          <w:p>
            <w:pPr>
              <w:pStyle w:val="0"/>
            </w:pPr>
            <w:r>
              <w:rPr>
                <w:sz w:val="20"/>
              </w:rPr>
              <w:t xml:space="preserve">Медицинские организации (по согласованию)</w:t>
            </w:r>
          </w:p>
        </w:tc>
      </w:tr>
      <w:tr>
        <w:tc>
          <w:tcPr>
            <w:gridSpan w:val="4"/>
            <w:tcW w:w="11258" w:type="dxa"/>
          </w:tcPr>
          <w:p>
            <w:pPr>
              <w:pStyle w:val="0"/>
              <w:outlineLvl w:val="2"/>
              <w:jc w:val="center"/>
            </w:pPr>
            <w:r>
              <w:rPr>
                <w:sz w:val="20"/>
              </w:rPr>
              <w:t xml:space="preserve">Мероприятия, направленные на профилактику заболеваний и формирование здорового образа жизни среди работников организаций в автономном округе</w:t>
            </w:r>
          </w:p>
        </w:tc>
      </w:tr>
      <w:tr>
        <w:tc>
          <w:tcPr>
            <w:tcW w:w="567" w:type="dxa"/>
          </w:tcPr>
          <w:p>
            <w:pPr>
              <w:pStyle w:val="0"/>
            </w:pPr>
            <w:r>
              <w:rPr>
                <w:sz w:val="20"/>
              </w:rPr>
              <w:t xml:space="preserve">27.</w:t>
            </w:r>
          </w:p>
        </w:tc>
        <w:tc>
          <w:tcPr>
            <w:tcW w:w="4309" w:type="dxa"/>
          </w:tcPr>
          <w:p>
            <w:pPr>
              <w:pStyle w:val="0"/>
            </w:pPr>
            <w:r>
              <w:rPr>
                <w:sz w:val="20"/>
              </w:rPr>
              <w:t xml:space="preserve">Методическое обеспечение разработки и внедрения корпоративных программ, содержащих наилучшие практики по укреплению здоровья работников по основным направлениям: рациональное питание, физическая активность, профилактика табакокурения и злоупотребления алкоголем, профилактика стрессов, профилактика производственного травматизма</w:t>
            </w:r>
          </w:p>
        </w:tc>
        <w:tc>
          <w:tcPr>
            <w:tcW w:w="3227" w:type="dxa"/>
          </w:tcPr>
          <w:p>
            <w:pPr>
              <w:pStyle w:val="0"/>
            </w:pPr>
            <w:r>
              <w:rPr>
                <w:sz w:val="20"/>
              </w:rPr>
              <w:t xml:space="preserve">до 31 декабря 2024 года</w:t>
            </w:r>
          </w:p>
        </w:tc>
        <w:tc>
          <w:tcPr>
            <w:tcW w:w="3155" w:type="dxa"/>
          </w:tcPr>
          <w:p>
            <w:pPr>
              <w:pStyle w:val="0"/>
            </w:pPr>
            <w:r>
              <w:rPr>
                <w:sz w:val="20"/>
              </w:rPr>
              <w:t xml:space="preserve">БУ "Центр общественного здоровья и медицинской профилактики" Медицинские организации (по согласованию)</w:t>
            </w:r>
          </w:p>
        </w:tc>
      </w:tr>
      <w:tr>
        <w:tblPrEx>
          <w:tblBorders>
            <w:insideH w:val="nil"/>
          </w:tblBorders>
        </w:tblPrEx>
        <w:tc>
          <w:tcPr>
            <w:gridSpan w:val="4"/>
            <w:tcW w:w="11258" w:type="dxa"/>
            <w:tcBorders>
              <w:bottom w:val="nil"/>
            </w:tcBorders>
          </w:tcPr>
          <w:p>
            <w:pPr>
              <w:pStyle w:val="0"/>
              <w:outlineLvl w:val="2"/>
              <w:jc w:val="center"/>
            </w:pPr>
            <w:r>
              <w:rPr>
                <w:sz w:val="20"/>
              </w:rPr>
              <w:t xml:space="preserve">Мероприятия по профилактике злоупотребления алкогольной продукцией и оказание помощи населению, страдающему от последствий, связанных с употреблением алкоголя</w:t>
            </w:r>
          </w:p>
        </w:tc>
      </w:tr>
      <w:tr>
        <w:tblPrEx>
          <w:tblBorders>
            <w:insideH w:val="nil"/>
          </w:tblBorders>
        </w:tblPrEx>
        <w:tc>
          <w:tcPr>
            <w:gridSpan w:val="4"/>
            <w:tcW w:w="11258" w:type="dxa"/>
            <w:tcBorders>
              <w:top w:val="nil"/>
            </w:tcBorders>
          </w:tcPr>
          <w:p>
            <w:pPr>
              <w:pStyle w:val="0"/>
              <w:jc w:val="center"/>
            </w:pPr>
            <w:r>
              <w:rPr>
                <w:sz w:val="20"/>
              </w:rPr>
              <w:t xml:space="preserve">(введен </w:t>
            </w:r>
            <w:hyperlink w:history="0" r:id="rId186" w:tooltip="Постановление Правительства ХМАО - Югры от 07.10.2022 N 502-п &quot;О внесении изменений в приложение 7 к постановлению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rPr>
              <w:t xml:space="preserve"> Правительства ХМАО - Югры</w:t>
            </w:r>
          </w:p>
          <w:p>
            <w:pPr>
              <w:pStyle w:val="0"/>
              <w:jc w:val="center"/>
            </w:pPr>
            <w:r>
              <w:rPr>
                <w:sz w:val="20"/>
              </w:rPr>
              <w:t xml:space="preserve">от 07.10.2022 N 502-п)</w:t>
            </w:r>
          </w:p>
        </w:tc>
      </w:tr>
      <w:tr>
        <w:tc>
          <w:tcPr>
            <w:tcW w:w="567" w:type="dxa"/>
          </w:tcPr>
          <w:p>
            <w:pPr>
              <w:pStyle w:val="0"/>
            </w:pPr>
            <w:r>
              <w:rPr>
                <w:sz w:val="20"/>
              </w:rPr>
              <w:t xml:space="preserve">28.</w:t>
            </w:r>
          </w:p>
        </w:tc>
        <w:tc>
          <w:tcPr>
            <w:tcW w:w="4309" w:type="dxa"/>
          </w:tcPr>
          <w:p>
            <w:pPr>
              <w:pStyle w:val="0"/>
            </w:pPr>
            <w:r>
              <w:rPr>
                <w:sz w:val="20"/>
              </w:rPr>
              <w:t xml:space="preserve">Проведение массовых мероприятий (акций, флеш-мобов, лекций и т.д.), приуроченных к Всероссийскому дню трезвости и борьбы с алкоголизмом (11 сентября)</w:t>
            </w:r>
          </w:p>
        </w:tc>
        <w:tc>
          <w:tcPr>
            <w:tcW w:w="3227" w:type="dxa"/>
          </w:tcPr>
          <w:p>
            <w:pPr>
              <w:pStyle w:val="0"/>
            </w:pPr>
            <w:r>
              <w:rPr>
                <w:sz w:val="20"/>
              </w:rPr>
              <w:t xml:space="preserve">1 сентября 2023 года -</w:t>
            </w:r>
          </w:p>
          <w:p>
            <w:pPr>
              <w:pStyle w:val="0"/>
            </w:pPr>
            <w:r>
              <w:rPr>
                <w:sz w:val="20"/>
              </w:rPr>
              <w:t xml:space="preserve">20 сентября 2023 года,</w:t>
            </w:r>
          </w:p>
          <w:p>
            <w:pPr>
              <w:pStyle w:val="0"/>
            </w:pPr>
            <w:r>
              <w:rPr>
                <w:sz w:val="20"/>
              </w:rPr>
              <w:t xml:space="preserve">1 сентября 2024 года -</w:t>
            </w:r>
          </w:p>
          <w:p>
            <w:pPr>
              <w:pStyle w:val="0"/>
            </w:pPr>
            <w:r>
              <w:rPr>
                <w:sz w:val="20"/>
              </w:rPr>
              <w:t xml:space="preserve">20 сентября 2024 года</w:t>
            </w:r>
          </w:p>
        </w:tc>
        <w:tc>
          <w:tcPr>
            <w:tcW w:w="3155" w:type="dxa"/>
          </w:tcPr>
          <w:p>
            <w:pPr>
              <w:pStyle w:val="0"/>
            </w:pPr>
            <w:r>
              <w:rPr>
                <w:sz w:val="20"/>
              </w:rPr>
              <w:t xml:space="preserve">медицинские организации автономного округа</w:t>
            </w:r>
          </w:p>
          <w:p>
            <w:pPr>
              <w:pStyle w:val="0"/>
            </w:pPr>
            <w:r>
              <w:rPr>
                <w:sz w:val="20"/>
              </w:rPr>
              <w:t xml:space="preserve">(по согласованию)</w:t>
            </w:r>
          </w:p>
        </w:tc>
      </w:tr>
      <w:tr>
        <w:tc>
          <w:tcPr>
            <w:tcW w:w="567" w:type="dxa"/>
          </w:tcPr>
          <w:p>
            <w:pPr>
              <w:pStyle w:val="0"/>
            </w:pPr>
            <w:r>
              <w:rPr>
                <w:sz w:val="20"/>
              </w:rPr>
              <w:t xml:space="preserve">29.</w:t>
            </w:r>
          </w:p>
        </w:tc>
        <w:tc>
          <w:tcPr>
            <w:tcW w:w="4309" w:type="dxa"/>
          </w:tcPr>
          <w:p>
            <w:pPr>
              <w:pStyle w:val="0"/>
            </w:pPr>
            <w:r>
              <w:rPr>
                <w:sz w:val="20"/>
              </w:rPr>
              <w:t xml:space="preserve">Проведение массовых мероприятий (акций, флеш-мобов, лекций и т.д.), приуроченных к Международному дню борьбы с наркоманией (26 июня)</w:t>
            </w:r>
          </w:p>
        </w:tc>
        <w:tc>
          <w:tcPr>
            <w:tcW w:w="3227" w:type="dxa"/>
          </w:tcPr>
          <w:p>
            <w:pPr>
              <w:pStyle w:val="0"/>
            </w:pPr>
            <w:r>
              <w:rPr>
                <w:sz w:val="20"/>
              </w:rPr>
              <w:t xml:space="preserve">15 июня 2023 года -</w:t>
            </w:r>
          </w:p>
          <w:p>
            <w:pPr>
              <w:pStyle w:val="0"/>
            </w:pPr>
            <w:r>
              <w:rPr>
                <w:sz w:val="20"/>
              </w:rPr>
              <w:t xml:space="preserve">5 августа 2023 года,</w:t>
            </w:r>
          </w:p>
          <w:p>
            <w:pPr>
              <w:pStyle w:val="0"/>
            </w:pPr>
            <w:r>
              <w:rPr>
                <w:sz w:val="20"/>
              </w:rPr>
              <w:t xml:space="preserve">15 июня 2024 года -</w:t>
            </w:r>
          </w:p>
          <w:p>
            <w:pPr>
              <w:pStyle w:val="0"/>
            </w:pPr>
            <w:r>
              <w:rPr>
                <w:sz w:val="20"/>
              </w:rPr>
              <w:t xml:space="preserve">5 августа 2024 года</w:t>
            </w:r>
          </w:p>
        </w:tc>
        <w:tc>
          <w:tcPr>
            <w:tcW w:w="3155" w:type="dxa"/>
          </w:tcPr>
          <w:p>
            <w:pPr>
              <w:pStyle w:val="0"/>
            </w:pPr>
            <w:r>
              <w:rPr>
                <w:sz w:val="20"/>
              </w:rPr>
              <w:t xml:space="preserve">медицинские организации автономного округа</w:t>
            </w:r>
          </w:p>
          <w:p>
            <w:pPr>
              <w:pStyle w:val="0"/>
            </w:pPr>
            <w:r>
              <w:rPr>
                <w:sz w:val="20"/>
              </w:rPr>
              <w:t xml:space="preserve">(по согласованию)</w:t>
            </w:r>
          </w:p>
        </w:tc>
      </w:tr>
      <w:tr>
        <w:tc>
          <w:tcPr>
            <w:tcW w:w="567" w:type="dxa"/>
          </w:tcPr>
          <w:p>
            <w:pPr>
              <w:pStyle w:val="0"/>
            </w:pPr>
            <w:r>
              <w:rPr>
                <w:sz w:val="20"/>
              </w:rPr>
              <w:t xml:space="preserve">30.</w:t>
            </w:r>
          </w:p>
        </w:tc>
        <w:tc>
          <w:tcPr>
            <w:tcW w:w="4309" w:type="dxa"/>
          </w:tcPr>
          <w:p>
            <w:pPr>
              <w:pStyle w:val="0"/>
            </w:pPr>
            <w:r>
              <w:rPr>
                <w:sz w:val="20"/>
              </w:rPr>
              <w:t xml:space="preserve">Проведение информационной кампании и массовой работы с населением по профилактике злоупотребления алкогольной продукцией в форматах лекций, бесед, публикаций в средствах массовой коммуникации (телевидении, радиовещании, печатных и интернет-изданиях), кинодемонстраций, проката видеороликов и аудиороликов, размещения наглядных средств агитации, распространение печатной продукции, проведения массовых мероприятий</w:t>
            </w:r>
          </w:p>
        </w:tc>
        <w:tc>
          <w:tcPr>
            <w:tcW w:w="3227" w:type="dxa"/>
          </w:tcPr>
          <w:p>
            <w:pPr>
              <w:pStyle w:val="0"/>
            </w:pPr>
            <w:r>
              <w:rPr>
                <w:sz w:val="20"/>
              </w:rPr>
              <w:t xml:space="preserve">до 31 декабря 2024 года</w:t>
            </w:r>
          </w:p>
        </w:tc>
        <w:tc>
          <w:tcPr>
            <w:tcW w:w="3155" w:type="dxa"/>
          </w:tcPr>
          <w:p>
            <w:pPr>
              <w:pStyle w:val="0"/>
            </w:pPr>
            <w:r>
              <w:rPr>
                <w:sz w:val="20"/>
              </w:rPr>
              <w:t xml:space="preserve">медицинские организации автономного округа</w:t>
            </w:r>
          </w:p>
          <w:p>
            <w:pPr>
              <w:pStyle w:val="0"/>
            </w:pPr>
            <w:r>
              <w:rPr>
                <w:sz w:val="20"/>
              </w:rPr>
              <w:t xml:space="preserve">(по согласованию)</w:t>
            </w:r>
          </w:p>
        </w:tc>
      </w:tr>
      <w:tr>
        <w:tc>
          <w:tcPr>
            <w:tcW w:w="567" w:type="dxa"/>
          </w:tcPr>
          <w:p>
            <w:pPr>
              <w:pStyle w:val="0"/>
            </w:pPr>
            <w:r>
              <w:rPr>
                <w:sz w:val="20"/>
              </w:rPr>
              <w:t xml:space="preserve">31.</w:t>
            </w:r>
          </w:p>
        </w:tc>
        <w:tc>
          <w:tcPr>
            <w:tcW w:w="4309" w:type="dxa"/>
          </w:tcPr>
          <w:p>
            <w:pPr>
              <w:pStyle w:val="0"/>
            </w:pPr>
            <w:r>
              <w:rPr>
                <w:sz w:val="20"/>
              </w:rPr>
              <w:t xml:space="preserve">Приведение в автономном округе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p>
        </w:tc>
        <w:tc>
          <w:tcPr>
            <w:tcW w:w="3227" w:type="dxa"/>
          </w:tcPr>
          <w:p>
            <w:pPr>
              <w:pStyle w:val="0"/>
            </w:pPr>
            <w:r>
              <w:rPr>
                <w:sz w:val="20"/>
              </w:rPr>
              <w:t xml:space="preserve">до 31 декабря 2024 года</w:t>
            </w:r>
          </w:p>
        </w:tc>
        <w:tc>
          <w:tcPr>
            <w:tcW w:w="3155" w:type="dxa"/>
          </w:tcPr>
          <w:p>
            <w:pPr>
              <w:pStyle w:val="0"/>
            </w:pPr>
            <w:r>
              <w:rPr>
                <w:sz w:val="20"/>
              </w:rPr>
              <w:t xml:space="preserve">Депздрав Югры,</w:t>
            </w:r>
          </w:p>
          <w:p>
            <w:pPr>
              <w:pStyle w:val="0"/>
            </w:pPr>
            <w:r>
              <w:rPr>
                <w:sz w:val="20"/>
              </w:rPr>
              <w:t xml:space="preserve">БУ "Сургутская психоневрологическая больница" (по согласованию),</w:t>
            </w:r>
          </w:p>
          <w:p>
            <w:pPr>
              <w:pStyle w:val="0"/>
            </w:pPr>
            <w:r>
              <w:rPr>
                <w:sz w:val="20"/>
              </w:rPr>
              <w:t xml:space="preserve">медицинские организации автономного округа</w:t>
            </w:r>
          </w:p>
          <w:p>
            <w:pPr>
              <w:pStyle w:val="0"/>
            </w:pPr>
            <w:r>
              <w:rPr>
                <w:sz w:val="20"/>
              </w:rPr>
              <w:t xml:space="preserve">(по согласованию)</w:t>
            </w:r>
          </w:p>
        </w:tc>
      </w:tr>
      <w:tr>
        <w:tc>
          <w:tcPr>
            <w:tcW w:w="567" w:type="dxa"/>
          </w:tcPr>
          <w:p>
            <w:pPr>
              <w:pStyle w:val="0"/>
            </w:pPr>
            <w:r>
              <w:rPr>
                <w:sz w:val="20"/>
              </w:rPr>
              <w:t xml:space="preserve">32.</w:t>
            </w:r>
          </w:p>
        </w:tc>
        <w:tc>
          <w:tcPr>
            <w:tcW w:w="4309" w:type="dxa"/>
          </w:tcPr>
          <w:p>
            <w:pPr>
              <w:pStyle w:val="0"/>
            </w:pPr>
            <w:r>
              <w:rPr>
                <w:sz w:val="20"/>
              </w:rPr>
              <w:t xml:space="preserve">Поддержание в автономном округе деятельности отделений медицинской реабилитации для лиц с наркологическими расстройствами (реабилитационного наркологического центра) и развитие мер для осуществления медицинской реабилитации в амбулаторных и стационарных условиях (в соответствии с региональными особенностями, территориально-транспортной доступностью и потребностями населения, разработкой необходимых программ, регламентов по работе персонала, прохождение профессионального обучения, кадрового обеспечения)</w:t>
            </w:r>
          </w:p>
        </w:tc>
        <w:tc>
          <w:tcPr>
            <w:tcW w:w="3227" w:type="dxa"/>
          </w:tcPr>
          <w:p>
            <w:pPr>
              <w:pStyle w:val="0"/>
            </w:pPr>
            <w:r>
              <w:rPr>
                <w:sz w:val="20"/>
              </w:rPr>
              <w:t xml:space="preserve">до 31 декабря 2024 года</w:t>
            </w:r>
          </w:p>
        </w:tc>
        <w:tc>
          <w:tcPr>
            <w:tcW w:w="3155" w:type="dxa"/>
          </w:tcPr>
          <w:p>
            <w:pPr>
              <w:pStyle w:val="0"/>
            </w:pPr>
            <w:r>
              <w:rPr>
                <w:sz w:val="20"/>
              </w:rPr>
              <w:t xml:space="preserve">Депздрав Югры,</w:t>
            </w:r>
          </w:p>
          <w:p>
            <w:pPr>
              <w:pStyle w:val="0"/>
            </w:pPr>
            <w:r>
              <w:rPr>
                <w:sz w:val="20"/>
              </w:rPr>
              <w:t xml:space="preserve">БУ "Сургутская психоневрологическая больница" (по согласованию),</w:t>
            </w:r>
          </w:p>
          <w:p>
            <w:pPr>
              <w:pStyle w:val="0"/>
            </w:pPr>
            <w:r>
              <w:rPr>
                <w:sz w:val="20"/>
              </w:rPr>
              <w:t xml:space="preserve">медицинские организации автономного округа</w:t>
            </w:r>
          </w:p>
          <w:p>
            <w:pPr>
              <w:pStyle w:val="0"/>
            </w:pPr>
            <w:r>
              <w:rPr>
                <w:sz w:val="20"/>
              </w:rPr>
              <w:t xml:space="preserve">(по согласованию)</w:t>
            </w:r>
          </w:p>
        </w:tc>
      </w:tr>
      <w:tr>
        <w:tc>
          <w:tcPr>
            <w:tcW w:w="567" w:type="dxa"/>
          </w:tcPr>
          <w:p>
            <w:pPr>
              <w:pStyle w:val="0"/>
            </w:pPr>
            <w:r>
              <w:rPr>
                <w:sz w:val="20"/>
              </w:rPr>
              <w:t xml:space="preserve">33.</w:t>
            </w:r>
          </w:p>
        </w:tc>
        <w:tc>
          <w:tcPr>
            <w:tcW w:w="4309" w:type="dxa"/>
          </w:tcPr>
          <w:p>
            <w:pPr>
              <w:pStyle w:val="0"/>
            </w:pPr>
            <w:r>
              <w:rPr>
                <w:sz w:val="20"/>
              </w:rPr>
              <w:t xml:space="preserve">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а также проводящих медицинское освидетельствование на состояние опьянения, в соответствии с требованиями порядка оказания медицинской помощи по профилю "психиатрия-наркология" и порядка проведения медицинского освидетельствования на состояние опьянения,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психоактивных веществ, в том числе алкоголя</w:t>
            </w:r>
          </w:p>
        </w:tc>
        <w:tc>
          <w:tcPr>
            <w:tcW w:w="3227" w:type="dxa"/>
          </w:tcPr>
          <w:p>
            <w:pPr>
              <w:pStyle w:val="0"/>
            </w:pPr>
            <w:r>
              <w:rPr>
                <w:sz w:val="20"/>
              </w:rPr>
              <w:t xml:space="preserve">до 31 декабря 2024 года</w:t>
            </w:r>
          </w:p>
        </w:tc>
        <w:tc>
          <w:tcPr>
            <w:tcW w:w="3155" w:type="dxa"/>
          </w:tcPr>
          <w:p>
            <w:pPr>
              <w:pStyle w:val="0"/>
            </w:pPr>
            <w:r>
              <w:rPr>
                <w:sz w:val="20"/>
              </w:rPr>
              <w:t xml:space="preserve">Депздрав Югры,</w:t>
            </w:r>
          </w:p>
          <w:p>
            <w:pPr>
              <w:pStyle w:val="0"/>
            </w:pPr>
            <w:r>
              <w:rPr>
                <w:sz w:val="20"/>
              </w:rPr>
              <w:t xml:space="preserve">БУ "Сургутская психоневрологическая больница" (по согласованию),</w:t>
            </w:r>
          </w:p>
          <w:p>
            <w:pPr>
              <w:pStyle w:val="0"/>
            </w:pPr>
            <w:r>
              <w:rPr>
                <w:sz w:val="20"/>
              </w:rPr>
              <w:t xml:space="preserve">медицинские организации автономного округа</w:t>
            </w:r>
          </w:p>
          <w:p>
            <w:pPr>
              <w:pStyle w:val="0"/>
            </w:pPr>
            <w:r>
              <w:rPr>
                <w:sz w:val="20"/>
              </w:rPr>
              <w:t xml:space="preserve">(по согласованию)</w:t>
            </w:r>
          </w:p>
        </w:tc>
      </w:tr>
      <w:tr>
        <w:tc>
          <w:tcPr>
            <w:tcW w:w="567" w:type="dxa"/>
          </w:tcPr>
          <w:p>
            <w:pPr>
              <w:pStyle w:val="0"/>
            </w:pPr>
            <w:r>
              <w:rPr>
                <w:sz w:val="20"/>
              </w:rPr>
              <w:t xml:space="preserve">34.</w:t>
            </w:r>
          </w:p>
        </w:tc>
        <w:tc>
          <w:tcPr>
            <w:tcW w:w="4309" w:type="dxa"/>
          </w:tcPr>
          <w:p>
            <w:pPr>
              <w:pStyle w:val="0"/>
            </w:pPr>
            <w:r>
              <w:rPr>
                <w:sz w:val="20"/>
              </w:rPr>
              <w:t xml:space="preserve">Оказание медицинской помощи лицам, страдающим алкогольной зависимостью, и членам их семей в группах само- и взаимопомощи</w:t>
            </w:r>
          </w:p>
        </w:tc>
        <w:tc>
          <w:tcPr>
            <w:tcW w:w="3227" w:type="dxa"/>
          </w:tcPr>
          <w:p>
            <w:pPr>
              <w:pStyle w:val="0"/>
            </w:pPr>
            <w:r>
              <w:rPr>
                <w:sz w:val="20"/>
              </w:rPr>
              <w:t xml:space="preserve">до 31 декабря 2024 года</w:t>
            </w:r>
          </w:p>
        </w:tc>
        <w:tc>
          <w:tcPr>
            <w:tcW w:w="3155" w:type="dxa"/>
          </w:tcPr>
          <w:p>
            <w:pPr>
              <w:pStyle w:val="0"/>
            </w:pPr>
            <w:r>
              <w:rPr>
                <w:sz w:val="20"/>
              </w:rPr>
              <w:t xml:space="preserve">Депздрав Югры,</w:t>
            </w:r>
          </w:p>
          <w:p>
            <w:pPr>
              <w:pStyle w:val="0"/>
            </w:pPr>
            <w:r>
              <w:rPr>
                <w:sz w:val="20"/>
              </w:rPr>
              <w:t xml:space="preserve">БУ "Сургутская психоневрологическая больница" (по согласованию),</w:t>
            </w:r>
          </w:p>
          <w:p>
            <w:pPr>
              <w:pStyle w:val="0"/>
            </w:pPr>
            <w:r>
              <w:rPr>
                <w:sz w:val="20"/>
              </w:rPr>
              <w:t xml:space="preserve">медицинские организации автономного округа (по согласованию)</w:t>
            </w:r>
          </w:p>
        </w:tc>
      </w:tr>
      <w:tr>
        <w:tc>
          <w:tcPr>
            <w:tcW w:w="567" w:type="dxa"/>
          </w:tcPr>
          <w:p>
            <w:pPr>
              <w:pStyle w:val="0"/>
            </w:pPr>
            <w:r>
              <w:rPr>
                <w:sz w:val="20"/>
              </w:rPr>
              <w:t xml:space="preserve">35.</w:t>
            </w:r>
          </w:p>
        </w:tc>
        <w:tc>
          <w:tcPr>
            <w:tcW w:w="4309" w:type="dxa"/>
          </w:tcPr>
          <w:p>
            <w:pPr>
              <w:pStyle w:val="0"/>
            </w:pPr>
            <w:r>
              <w:rPr>
                <w:sz w:val="20"/>
              </w:rPr>
              <w:t xml:space="preserve">Оказание лицам, находящимся в трудной жизненной ситуации и прошедшим курс лечения от алкоголизма, помощи в трудоустройстве путем организации взаимодействия служб занятости с медицинскими организациями автономного округа</w:t>
            </w:r>
          </w:p>
        </w:tc>
        <w:tc>
          <w:tcPr>
            <w:tcW w:w="3227" w:type="dxa"/>
          </w:tcPr>
          <w:p>
            <w:pPr>
              <w:pStyle w:val="0"/>
            </w:pPr>
            <w:r>
              <w:rPr>
                <w:sz w:val="20"/>
              </w:rPr>
              <w:t xml:space="preserve">до 31 декабря 2024 года</w:t>
            </w:r>
          </w:p>
        </w:tc>
        <w:tc>
          <w:tcPr>
            <w:tcW w:w="3155" w:type="dxa"/>
          </w:tcPr>
          <w:p>
            <w:pPr>
              <w:pStyle w:val="0"/>
            </w:pPr>
            <w:r>
              <w:rPr>
                <w:sz w:val="20"/>
              </w:rPr>
              <w:t xml:space="preserve">Депздрав Югры,</w:t>
            </w:r>
          </w:p>
          <w:p>
            <w:pPr>
              <w:pStyle w:val="0"/>
            </w:pPr>
            <w:r>
              <w:rPr>
                <w:sz w:val="20"/>
              </w:rPr>
              <w:t xml:space="preserve">БУ "Сургутская психоневрологическая больница" (по согласованию),</w:t>
            </w:r>
          </w:p>
          <w:p>
            <w:pPr>
              <w:pStyle w:val="0"/>
            </w:pPr>
            <w:r>
              <w:rPr>
                <w:sz w:val="20"/>
              </w:rPr>
              <w:t xml:space="preserve">медицинские организации автономного округа</w:t>
            </w:r>
          </w:p>
          <w:p>
            <w:pPr>
              <w:pStyle w:val="0"/>
            </w:pPr>
            <w:r>
              <w:rPr>
                <w:sz w:val="20"/>
              </w:rPr>
              <w:t xml:space="preserve">(по согласованию)</w:t>
            </w:r>
          </w:p>
        </w:tc>
      </w:tr>
      <w:tr>
        <w:tc>
          <w:tcPr>
            <w:tcW w:w="567" w:type="dxa"/>
          </w:tcPr>
          <w:p>
            <w:pPr>
              <w:pStyle w:val="0"/>
            </w:pPr>
            <w:r>
              <w:rPr>
                <w:sz w:val="20"/>
              </w:rPr>
              <w:t xml:space="preserve">36.</w:t>
            </w:r>
          </w:p>
        </w:tc>
        <w:tc>
          <w:tcPr>
            <w:tcW w:w="4309" w:type="dxa"/>
          </w:tcPr>
          <w:p>
            <w:pPr>
              <w:pStyle w:val="0"/>
            </w:pPr>
            <w:r>
              <w:rPr>
                <w:sz w:val="20"/>
              </w:rPr>
              <w:t xml:space="preserve">Организация профилактики и раннего выявления алкоголь-ассоциированных расстройств в трудовых коллективах в рамках корпоративных программ укрепления здоровья работников</w:t>
            </w:r>
          </w:p>
        </w:tc>
        <w:tc>
          <w:tcPr>
            <w:tcW w:w="3227" w:type="dxa"/>
          </w:tcPr>
          <w:p>
            <w:pPr>
              <w:pStyle w:val="0"/>
            </w:pPr>
            <w:r>
              <w:rPr>
                <w:sz w:val="20"/>
              </w:rPr>
              <w:t xml:space="preserve">до 31 декабря 2024 года</w:t>
            </w:r>
          </w:p>
        </w:tc>
        <w:tc>
          <w:tcPr>
            <w:tcW w:w="3155" w:type="dxa"/>
          </w:tcPr>
          <w:p>
            <w:pPr>
              <w:pStyle w:val="0"/>
            </w:pPr>
            <w:r>
              <w:rPr>
                <w:sz w:val="20"/>
              </w:rPr>
              <w:t xml:space="preserve">БУ "Сургутская психоневрологическая больница" (по согласованию),</w:t>
            </w:r>
          </w:p>
          <w:p>
            <w:pPr>
              <w:pStyle w:val="0"/>
            </w:pPr>
            <w:r>
              <w:rPr>
                <w:sz w:val="20"/>
              </w:rPr>
              <w:t xml:space="preserve">медицинские организации автономного округа (по согласованию)</w:t>
            </w:r>
          </w:p>
        </w:tc>
      </w:tr>
      <w:tr>
        <w:tc>
          <w:tcPr>
            <w:tcW w:w="567" w:type="dxa"/>
          </w:tcPr>
          <w:p>
            <w:pPr>
              <w:pStyle w:val="0"/>
            </w:pPr>
            <w:r>
              <w:rPr>
                <w:sz w:val="20"/>
              </w:rPr>
              <w:t xml:space="preserve">37.</w:t>
            </w:r>
          </w:p>
        </w:tc>
        <w:tc>
          <w:tcPr>
            <w:tcW w:w="4309" w:type="dxa"/>
          </w:tcPr>
          <w:p>
            <w:pPr>
              <w:pStyle w:val="0"/>
            </w:pPr>
            <w:r>
              <w:rPr>
                <w:sz w:val="20"/>
              </w:rPr>
              <w:t xml:space="preserve">Выявление на площадках окружной и муниципальных комиссий по делам несовершеннолетних и защите их прав родителей с алкогольной зависимостью, находящихся под угрозой лишения родительских прав</w:t>
            </w:r>
          </w:p>
        </w:tc>
        <w:tc>
          <w:tcPr>
            <w:tcW w:w="3227" w:type="dxa"/>
          </w:tcPr>
          <w:p>
            <w:pPr>
              <w:pStyle w:val="0"/>
            </w:pPr>
            <w:r>
              <w:rPr>
                <w:sz w:val="20"/>
              </w:rPr>
              <w:t xml:space="preserve">до 31 декабря 2024 года</w:t>
            </w:r>
          </w:p>
        </w:tc>
        <w:tc>
          <w:tcPr>
            <w:tcW w:w="3155" w:type="dxa"/>
          </w:tcPr>
          <w:p>
            <w:pPr>
              <w:pStyle w:val="0"/>
            </w:pPr>
            <w:r>
              <w:rPr>
                <w:sz w:val="20"/>
              </w:rPr>
              <w:t xml:space="preserve">БУ "Сургутская психоневрологическая больница" (по согласованию), медицинские организации автономного округа</w:t>
            </w:r>
          </w:p>
          <w:p>
            <w:pPr>
              <w:pStyle w:val="0"/>
            </w:pPr>
            <w:r>
              <w:rPr>
                <w:sz w:val="20"/>
              </w:rPr>
              <w:t xml:space="preserve">(по согласованию)</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pPr>
      <w:r>
        <w:rPr>
          <w:sz w:val="20"/>
        </w:rPr>
      </w:r>
    </w:p>
    <w:p>
      <w:pPr>
        <w:pStyle w:val="0"/>
      </w:pPr>
      <w:r>
        <w:rPr>
          <w:sz w:val="20"/>
        </w:rPr>
      </w:r>
    </w:p>
    <w:p>
      <w:pPr>
        <w:pStyle w:val="0"/>
      </w:pPr>
      <w:r>
        <w:rPr>
          <w:sz w:val="20"/>
        </w:rPr>
      </w:r>
    </w:p>
    <w:p>
      <w:pPr>
        <w:pStyle w:val="0"/>
      </w:pPr>
      <w:r>
        <w:rPr>
          <w:sz w:val="20"/>
        </w:rPr>
      </w:r>
    </w:p>
    <w:p>
      <w:pPr>
        <w:pStyle w:val="0"/>
      </w:pPr>
      <w:r>
        <w:rPr>
          <w:sz w:val="20"/>
        </w:rPr>
      </w:r>
    </w:p>
    <w:p>
      <w:pPr>
        <w:pStyle w:val="0"/>
        <w:outlineLvl w:val="0"/>
        <w:jc w:val="right"/>
      </w:pPr>
      <w:r>
        <w:rPr>
          <w:sz w:val="20"/>
        </w:rPr>
        <w:t xml:space="preserve">Приложение 8</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pPr>
      <w:r>
        <w:rPr>
          <w:sz w:val="20"/>
        </w:rPr>
      </w:r>
    </w:p>
    <w:p>
      <w:pPr>
        <w:pStyle w:val="2"/>
        <w:jc w:val="center"/>
      </w:pPr>
      <w:r>
        <w:rPr>
          <w:sz w:val="20"/>
        </w:rPr>
        <w:t xml:space="preserve">ПЛАН</w:t>
      </w:r>
    </w:p>
    <w:p>
      <w:pPr>
        <w:pStyle w:val="2"/>
        <w:jc w:val="center"/>
      </w:pPr>
      <w:r>
        <w:rPr>
          <w:sz w:val="20"/>
        </w:rPr>
        <w:t xml:space="preserve">МЕРОПРИЯТИЙ ("ДОРОЖНАЯ КАРТА") ПО ПОВЫШЕНИЮ РОЖДАЕМОСТИ</w:t>
      </w:r>
    </w:p>
    <w:p>
      <w:pPr>
        <w:pStyle w:val="2"/>
        <w:jc w:val="center"/>
      </w:pPr>
      <w:r>
        <w:rPr>
          <w:sz w:val="20"/>
        </w:rPr>
        <w:t xml:space="preserve">В ХАНТЫ-МАНСИЙСКОМ АВТОНОМНОМ ОКРУГЕ - ЮГРЕ</w:t>
      </w:r>
    </w:p>
    <w:p>
      <w:pPr>
        <w:pStyle w:val="2"/>
        <w:jc w:val="center"/>
      </w:pPr>
      <w:r>
        <w:rPr>
          <w:sz w:val="20"/>
        </w:rPr>
        <w:t xml:space="preserve">НА 2022 - 2024 ГОДЫ</w:t>
      </w:r>
    </w:p>
    <w:p>
      <w:pPr>
        <w:pStyle w:val="0"/>
        <w:jc w:val="center"/>
      </w:pPr>
      <w:r>
        <w:rPr>
          <w:sz w:val="20"/>
        </w:rPr>
      </w:r>
    </w:p>
    <w:p>
      <w:pPr>
        <w:pStyle w:val="0"/>
        <w:ind w:firstLine="540"/>
        <w:jc w:val="both"/>
      </w:pPr>
      <w:r>
        <w:rPr>
          <w:sz w:val="20"/>
        </w:rPr>
        <w:t xml:space="preserve">Утратил силу. - </w:t>
      </w:r>
      <w:hyperlink w:history="0" r:id="rId187" w:tooltip="Постановление Правительства ХМАО - Югры от 04.08.2023 N 378-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w:t>
        </w:r>
      </w:hyperlink>
      <w:r>
        <w:rPr>
          <w:sz w:val="20"/>
        </w:rPr>
        <w:t xml:space="preserve"> Правительства ХМАО - Югры от 04.08.2023 N 378-п.</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9</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jc w:val="center"/>
      </w:pPr>
      <w:r>
        <w:rPr>
          <w:sz w:val="20"/>
        </w:rPr>
      </w:r>
    </w:p>
    <w:bookmarkStart w:id="24171" w:name="P24171"/>
    <w:bookmarkEnd w:id="24171"/>
    <w:p>
      <w:pPr>
        <w:pStyle w:val="2"/>
        <w:jc w:val="center"/>
      </w:pPr>
      <w:r>
        <w:rPr>
          <w:sz w:val="20"/>
        </w:rPr>
        <w:t xml:space="preserve">ПЛАН</w:t>
      </w:r>
    </w:p>
    <w:p>
      <w:pPr>
        <w:pStyle w:val="2"/>
        <w:jc w:val="center"/>
      </w:pPr>
      <w:r>
        <w:rPr>
          <w:sz w:val="20"/>
        </w:rPr>
        <w:t xml:space="preserve">МЕРОПРИЯТИЙ ПО ПРОВЕДЕНИЮ ГОДА ЗДОРОВЬЕСБЕРЕЖЕНИЯ</w:t>
      </w:r>
    </w:p>
    <w:p>
      <w:pPr>
        <w:pStyle w:val="2"/>
        <w:jc w:val="center"/>
      </w:pPr>
      <w:r>
        <w:rPr>
          <w:sz w:val="20"/>
        </w:rPr>
        <w:t xml:space="preserve">В ХАНТЫ-МАНСИЙСКОМ АВТОНОМНОМ ОКРУГЕ - ЮГРЕ В 2022 ГОДУ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188" w:tooltip="Постановление Правительства ХМАО - Югры от 20.05.2022 N 20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color w:val="392c69"/>
              </w:rPr>
              <w:t xml:space="preserve"> Правительства ХМАО - Югры от 20.05.2022 N 206-п)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4"/>
        <w:gridCol w:w="3685"/>
        <w:gridCol w:w="1587"/>
        <w:gridCol w:w="3742"/>
        <w:gridCol w:w="3458"/>
        <w:gridCol w:w="3458"/>
      </w:tblGrid>
      <w:tr>
        <w:tc>
          <w:tcPr>
            <w:tcW w:w="424" w:type="dxa"/>
          </w:tcPr>
          <w:p>
            <w:pPr>
              <w:pStyle w:val="0"/>
              <w:jc w:val="center"/>
            </w:pPr>
            <w:r>
              <w:rPr>
                <w:sz w:val="20"/>
              </w:rPr>
              <w:t xml:space="preserve">N</w:t>
            </w:r>
          </w:p>
        </w:tc>
        <w:tc>
          <w:tcPr>
            <w:tcW w:w="3685" w:type="dxa"/>
          </w:tcPr>
          <w:p>
            <w:pPr>
              <w:pStyle w:val="0"/>
              <w:jc w:val="center"/>
            </w:pPr>
            <w:r>
              <w:rPr>
                <w:sz w:val="20"/>
              </w:rPr>
              <w:t xml:space="preserve">Наименование мероприятия</w:t>
            </w:r>
          </w:p>
        </w:tc>
        <w:tc>
          <w:tcPr>
            <w:tcW w:w="1587" w:type="dxa"/>
          </w:tcPr>
          <w:p>
            <w:pPr>
              <w:pStyle w:val="0"/>
              <w:jc w:val="center"/>
            </w:pPr>
            <w:r>
              <w:rPr>
                <w:sz w:val="20"/>
              </w:rPr>
              <w:t xml:space="preserve">Срок исполнения</w:t>
            </w:r>
          </w:p>
        </w:tc>
        <w:tc>
          <w:tcPr>
            <w:tcW w:w="3742" w:type="dxa"/>
          </w:tcPr>
          <w:p>
            <w:pPr>
              <w:pStyle w:val="0"/>
              <w:jc w:val="center"/>
            </w:pPr>
            <w:r>
              <w:rPr>
                <w:sz w:val="20"/>
              </w:rPr>
              <w:t xml:space="preserve">Ответственные исполнители</w:t>
            </w:r>
          </w:p>
        </w:tc>
        <w:tc>
          <w:tcPr>
            <w:tcW w:w="3458" w:type="dxa"/>
          </w:tcPr>
          <w:p>
            <w:pPr>
              <w:pStyle w:val="0"/>
              <w:jc w:val="center"/>
            </w:pPr>
            <w:r>
              <w:rPr>
                <w:sz w:val="20"/>
              </w:rPr>
              <w:t xml:space="preserve">Источник финансирования</w:t>
            </w:r>
          </w:p>
        </w:tc>
        <w:tc>
          <w:tcPr>
            <w:tcW w:w="3458" w:type="dxa"/>
          </w:tcPr>
          <w:p>
            <w:pPr>
              <w:pStyle w:val="0"/>
              <w:jc w:val="center"/>
            </w:pPr>
            <w:r>
              <w:rPr>
                <w:sz w:val="20"/>
              </w:rPr>
              <w:t xml:space="preserve">Ожидаемый результат</w:t>
            </w:r>
          </w:p>
        </w:tc>
      </w:tr>
      <w:tr>
        <w:tc>
          <w:tcPr>
            <w:tcW w:w="424" w:type="dxa"/>
          </w:tcPr>
          <w:p>
            <w:pPr>
              <w:pStyle w:val="0"/>
            </w:pPr>
            <w:r>
              <w:rPr>
                <w:sz w:val="20"/>
              </w:rPr>
              <w:t xml:space="preserve">1.</w:t>
            </w:r>
          </w:p>
        </w:tc>
        <w:tc>
          <w:tcPr>
            <w:tcW w:w="3685" w:type="dxa"/>
          </w:tcPr>
          <w:p>
            <w:pPr>
              <w:pStyle w:val="0"/>
            </w:pPr>
            <w:r>
              <w:rPr>
                <w:sz w:val="20"/>
              </w:rPr>
              <w:t xml:space="preserve">Информирование населения Ханты-Мансийского автономного округа - Югры (далее - автономный округ) о медицинской профилактике неинфекционных заболеваний и формировании здорового образа жизни</w:t>
            </w:r>
          </w:p>
        </w:tc>
        <w:tc>
          <w:tcPr>
            <w:tcW w:w="1587" w:type="dxa"/>
          </w:tcPr>
          <w:p>
            <w:pPr>
              <w:pStyle w:val="0"/>
            </w:pPr>
            <w:r>
              <w:rPr>
                <w:sz w:val="20"/>
              </w:rPr>
              <w:t xml:space="preserve">до 31 декабря 2022 года</w:t>
            </w:r>
          </w:p>
        </w:tc>
        <w:tc>
          <w:tcPr>
            <w:tcW w:w="3742" w:type="dxa"/>
          </w:tcPr>
          <w:p>
            <w:pPr>
              <w:pStyle w:val="0"/>
            </w:pPr>
            <w:r>
              <w:rPr>
                <w:sz w:val="20"/>
              </w:rPr>
              <w:t xml:space="preserve">Департамент здравоохранения автономного округа (далее - Депздрав Югры), социально ориентированные некоммерческие организации</w:t>
            </w:r>
          </w:p>
          <w:p>
            <w:pPr>
              <w:pStyle w:val="0"/>
            </w:pPr>
            <w:r>
              <w:rPr>
                <w:sz w:val="20"/>
              </w:rPr>
              <w:t xml:space="preserve">(по согласованию)</w:t>
            </w:r>
          </w:p>
        </w:tc>
        <w:tc>
          <w:tcPr>
            <w:tcW w:w="3458" w:type="dxa"/>
          </w:tcPr>
          <w:p>
            <w:pPr>
              <w:pStyle w:val="0"/>
            </w:pPr>
            <w:r>
              <w:rPr>
                <w:sz w:val="20"/>
              </w:rPr>
              <w:t xml:space="preserve">Государственная </w:t>
            </w:r>
            <w:hyperlink w:history="0" r:id="rId189" w:tooltip="Постановление Правительства ХМАО - Югры от 31.10.2021 N 467-п (ред. от 13.10.2023) &quot;О государственной программе Ханты-Мансийского автономного округа - Югры &quot;Современное здравоохранение&quot; (с изм. и доп., вступающими в силу с 22.10.2023) {КонсультантПлюс}">
              <w:r>
                <w:rPr>
                  <w:sz w:val="20"/>
                  <w:color w:val="0000ff"/>
                </w:rPr>
                <w:t xml:space="preserve">программа</w:t>
              </w:r>
            </w:hyperlink>
            <w:r>
              <w:rPr>
                <w:sz w:val="20"/>
              </w:rPr>
              <w:t xml:space="preserve"> автономного округа "Современное здравоохранение", утвержденная постановлением Правительства автономного округа от 31 октября 2021 года N 467-п (далее - государственная программа "Современное здравоохранение")</w:t>
            </w:r>
          </w:p>
        </w:tc>
        <w:tc>
          <w:tcPr>
            <w:tcW w:w="3458" w:type="dxa"/>
          </w:tcPr>
          <w:p>
            <w:pPr>
              <w:pStyle w:val="0"/>
            </w:pPr>
            <w:r>
              <w:rPr>
                <w:sz w:val="20"/>
              </w:rPr>
              <w:t xml:space="preserve">размещено не менее 4000 сообщений, материалов в печатных СМИ, теле- и радиоэфире, а также сети Интернет</w:t>
            </w:r>
          </w:p>
        </w:tc>
      </w:tr>
      <w:tr>
        <w:tc>
          <w:tcPr>
            <w:tcW w:w="424" w:type="dxa"/>
          </w:tcPr>
          <w:p>
            <w:pPr>
              <w:pStyle w:val="0"/>
            </w:pPr>
            <w:r>
              <w:rPr>
                <w:sz w:val="20"/>
              </w:rPr>
              <w:t xml:space="preserve">2.</w:t>
            </w:r>
          </w:p>
        </w:tc>
        <w:tc>
          <w:tcPr>
            <w:tcW w:w="3685" w:type="dxa"/>
          </w:tcPr>
          <w:p>
            <w:pPr>
              <w:pStyle w:val="0"/>
            </w:pPr>
            <w:r>
              <w:rPr>
                <w:sz w:val="20"/>
              </w:rPr>
              <w:t xml:space="preserve">Привлечение медицинскими организациями автономного округа населения к прохождению профилактических медицинских осмотров</w:t>
            </w:r>
          </w:p>
        </w:tc>
        <w:tc>
          <w:tcPr>
            <w:tcW w:w="1587" w:type="dxa"/>
          </w:tcPr>
          <w:p>
            <w:pPr>
              <w:pStyle w:val="0"/>
            </w:pPr>
            <w:r>
              <w:rPr>
                <w:sz w:val="20"/>
              </w:rPr>
              <w:t xml:space="preserve">до 31 декабря 2022 года</w:t>
            </w:r>
          </w:p>
        </w:tc>
        <w:tc>
          <w:tcPr>
            <w:tcW w:w="3742" w:type="dxa"/>
          </w:tcPr>
          <w:p>
            <w:pPr>
              <w:pStyle w:val="0"/>
            </w:pPr>
            <w:r>
              <w:rPr>
                <w:sz w:val="20"/>
              </w:rPr>
              <w:t xml:space="preserve">Депздрав Югры</w:t>
            </w:r>
          </w:p>
        </w:tc>
        <w:tc>
          <w:tcPr>
            <w:tcW w:w="3458" w:type="dxa"/>
          </w:tcPr>
          <w:p>
            <w:pPr>
              <w:pStyle w:val="0"/>
            </w:pPr>
            <w:r>
              <w:rPr>
                <w:sz w:val="20"/>
              </w:rPr>
              <w:t xml:space="preserve">Государственная </w:t>
            </w:r>
            <w:hyperlink w:history="0" r:id="rId190" w:tooltip="Постановление Правительства ХМАО - Югры от 31.10.2021 N 467-п (ред. от 13.10.2023) &quot;О государственной программе Ханты-Мансийского автономного округа - Югры &quot;Современное здравоохранение&quot; (с изм. и доп., вступающими в силу с 22.10.2023) {КонсультантПлюс}">
              <w:r>
                <w:rPr>
                  <w:sz w:val="20"/>
                  <w:color w:val="0000ff"/>
                </w:rPr>
                <w:t xml:space="preserve">программа</w:t>
              </w:r>
            </w:hyperlink>
            <w:r>
              <w:rPr>
                <w:sz w:val="20"/>
              </w:rPr>
              <w:t xml:space="preserve"> "Современное здравоохранение"</w:t>
            </w:r>
          </w:p>
        </w:tc>
        <w:tc>
          <w:tcPr>
            <w:tcW w:w="3458" w:type="dxa"/>
          </w:tcPr>
          <w:p>
            <w:pPr>
              <w:pStyle w:val="0"/>
            </w:pPr>
            <w:r>
              <w:rPr>
                <w:sz w:val="20"/>
              </w:rPr>
              <w:t xml:space="preserve">доля граждан, прошедших профилактический медицинский осмотр, от общего числа населения, 59,9%</w:t>
            </w:r>
          </w:p>
        </w:tc>
      </w:tr>
      <w:tr>
        <w:tc>
          <w:tcPr>
            <w:tcW w:w="424" w:type="dxa"/>
          </w:tcPr>
          <w:p>
            <w:pPr>
              <w:pStyle w:val="0"/>
            </w:pPr>
            <w:r>
              <w:rPr>
                <w:sz w:val="20"/>
              </w:rPr>
              <w:t xml:space="preserve">3.</w:t>
            </w:r>
          </w:p>
        </w:tc>
        <w:tc>
          <w:tcPr>
            <w:tcW w:w="3685" w:type="dxa"/>
          </w:tcPr>
          <w:p>
            <w:pPr>
              <w:pStyle w:val="0"/>
            </w:pPr>
            <w:r>
              <w:rPr>
                <w:sz w:val="20"/>
              </w:rPr>
              <w:t xml:space="preserve">Организация учебно-образовательного проекта "Я могу спасти жизнь!" для школьников, обучающихся в старших классах</w:t>
            </w:r>
          </w:p>
        </w:tc>
        <w:tc>
          <w:tcPr>
            <w:tcW w:w="1587" w:type="dxa"/>
          </w:tcPr>
          <w:p>
            <w:pPr>
              <w:pStyle w:val="0"/>
            </w:pPr>
            <w:r>
              <w:rPr>
                <w:sz w:val="20"/>
              </w:rPr>
              <w:t xml:space="preserve">до 25 декабря 2022 года</w:t>
            </w:r>
          </w:p>
        </w:tc>
        <w:tc>
          <w:tcPr>
            <w:tcW w:w="3742" w:type="dxa"/>
          </w:tcPr>
          <w:p>
            <w:pPr>
              <w:pStyle w:val="0"/>
            </w:pPr>
            <w:r>
              <w:rPr>
                <w:sz w:val="20"/>
              </w:rPr>
              <w:t xml:space="preserve">Депздрав Югры</w:t>
            </w:r>
          </w:p>
        </w:tc>
        <w:tc>
          <w:tcPr>
            <w:tcW w:w="3458" w:type="dxa"/>
          </w:tcPr>
          <w:p>
            <w:pPr>
              <w:pStyle w:val="0"/>
            </w:pPr>
            <w:r>
              <w:rPr>
                <w:sz w:val="20"/>
              </w:rPr>
              <w:t xml:space="preserve">Государственная </w:t>
            </w:r>
            <w:hyperlink w:history="0" r:id="rId191" w:tooltip="Постановление Правительства ХМАО - Югры от 31.10.2021 N 467-п (ред. от 13.10.2023) &quot;О государственной программе Ханты-Мансийского автономного округа - Югры &quot;Современное здравоохранение&quot; (с изм. и доп., вступающими в силу с 22.10.2023) {КонсультантПлюс}">
              <w:r>
                <w:rPr>
                  <w:sz w:val="20"/>
                  <w:color w:val="0000ff"/>
                </w:rPr>
                <w:t xml:space="preserve">программа</w:t>
              </w:r>
            </w:hyperlink>
            <w:r>
              <w:rPr>
                <w:sz w:val="20"/>
              </w:rPr>
              <w:t xml:space="preserve"> "Современное здравоохранение"</w:t>
            </w:r>
          </w:p>
        </w:tc>
        <w:tc>
          <w:tcPr>
            <w:tcW w:w="3458" w:type="dxa"/>
          </w:tcPr>
          <w:p>
            <w:pPr>
              <w:pStyle w:val="0"/>
            </w:pPr>
            <w:r>
              <w:rPr>
                <w:sz w:val="20"/>
              </w:rPr>
              <w:t xml:space="preserve">обучение не менее 750 несовершеннолетних навыкам оказания первой помощи</w:t>
            </w:r>
          </w:p>
        </w:tc>
      </w:tr>
      <w:tr>
        <w:tc>
          <w:tcPr>
            <w:tcW w:w="424" w:type="dxa"/>
          </w:tcPr>
          <w:p>
            <w:pPr>
              <w:pStyle w:val="0"/>
            </w:pPr>
            <w:r>
              <w:rPr>
                <w:sz w:val="20"/>
              </w:rPr>
              <w:t xml:space="preserve">4.</w:t>
            </w:r>
          </w:p>
        </w:tc>
        <w:tc>
          <w:tcPr>
            <w:tcW w:w="3685" w:type="dxa"/>
          </w:tcPr>
          <w:p>
            <w:pPr>
              <w:pStyle w:val="0"/>
            </w:pPr>
            <w:r>
              <w:rPr>
                <w:sz w:val="20"/>
              </w:rPr>
              <w:t xml:space="preserve">Проведение спектакля "Что случилось с крокодилом" с элементами обучения детского населения двигательной активности (гимнастики)</w:t>
            </w:r>
          </w:p>
        </w:tc>
        <w:tc>
          <w:tcPr>
            <w:tcW w:w="1587" w:type="dxa"/>
          </w:tcPr>
          <w:p>
            <w:pPr>
              <w:pStyle w:val="0"/>
            </w:pPr>
            <w:r>
              <w:rPr>
                <w:sz w:val="20"/>
              </w:rPr>
              <w:t xml:space="preserve">до 31 декабря 2022 года</w:t>
            </w:r>
          </w:p>
        </w:tc>
        <w:tc>
          <w:tcPr>
            <w:tcW w:w="3742" w:type="dxa"/>
          </w:tcPr>
          <w:p>
            <w:pPr>
              <w:pStyle w:val="0"/>
            </w:pPr>
            <w:r>
              <w:rPr>
                <w:sz w:val="20"/>
              </w:rPr>
              <w:t xml:space="preserve">Департамент культуры автономного округа (далее - Депкультуры Югры), бюджетное учреждение автономного округа "Ханты-Мансийский театр кукол" (далее - БУ "Ханты-Мансийский театр кукол) (по согласованию)</w:t>
            </w:r>
          </w:p>
        </w:tc>
        <w:tc>
          <w:tcPr>
            <w:tcW w:w="3458" w:type="dxa"/>
          </w:tcPr>
          <w:p>
            <w:pPr>
              <w:pStyle w:val="0"/>
            </w:pPr>
            <w:r>
              <w:rPr>
                <w:sz w:val="20"/>
              </w:rPr>
              <w:t xml:space="preserve">Государственная </w:t>
            </w:r>
            <w:hyperlink w:history="0" r:id="rId192" w:tooltip="Постановление Правительства ХМАО - Югры от 31.10.2021 N 470-п (ред. от 13.10.2023) &quot;О государственной программе Ханты-Мансийского автономного округа - Югры &quot;Культурное пространство&quot; {КонсультантПлюс}">
              <w:r>
                <w:rPr>
                  <w:sz w:val="20"/>
                  <w:color w:val="0000ff"/>
                </w:rPr>
                <w:t xml:space="preserve">программа</w:t>
              </w:r>
            </w:hyperlink>
            <w:r>
              <w:rPr>
                <w:sz w:val="20"/>
              </w:rPr>
              <w:t xml:space="preserve"> автономного округа "Культурное пространство", утвержденная постановлением Правительства автономного округа от 31 октября 2021 года N 470-п (далее - Государственная программа "Культурное пространство")</w:t>
            </w:r>
          </w:p>
        </w:tc>
        <w:tc>
          <w:tcPr>
            <w:tcW w:w="3458" w:type="dxa"/>
          </w:tcPr>
          <w:p>
            <w:pPr>
              <w:pStyle w:val="0"/>
            </w:pPr>
            <w:r>
              <w:rPr>
                <w:sz w:val="20"/>
              </w:rPr>
              <w:t xml:space="preserve">показ 15 спектаклей, охват зрителей 600 человек</w:t>
            </w:r>
          </w:p>
        </w:tc>
      </w:tr>
      <w:tr>
        <w:tc>
          <w:tcPr>
            <w:tcW w:w="424" w:type="dxa"/>
          </w:tcPr>
          <w:p>
            <w:pPr>
              <w:pStyle w:val="0"/>
            </w:pPr>
            <w:r>
              <w:rPr>
                <w:sz w:val="20"/>
              </w:rPr>
              <w:t xml:space="preserve">5.</w:t>
            </w:r>
          </w:p>
        </w:tc>
        <w:tc>
          <w:tcPr>
            <w:tcW w:w="3685" w:type="dxa"/>
          </w:tcPr>
          <w:p>
            <w:pPr>
              <w:pStyle w:val="0"/>
            </w:pPr>
            <w:r>
              <w:rPr>
                <w:sz w:val="20"/>
              </w:rPr>
              <w:t xml:space="preserve">Проведение спектакля "Азбука БЕЗопасности" с элементами обучения детского населения основам поведения на улице</w:t>
            </w:r>
          </w:p>
        </w:tc>
        <w:tc>
          <w:tcPr>
            <w:tcW w:w="1587" w:type="dxa"/>
          </w:tcPr>
          <w:p>
            <w:pPr>
              <w:pStyle w:val="0"/>
            </w:pPr>
            <w:r>
              <w:rPr>
                <w:sz w:val="20"/>
              </w:rPr>
              <w:t xml:space="preserve">до 30 сентября 2022 года</w:t>
            </w:r>
          </w:p>
        </w:tc>
        <w:tc>
          <w:tcPr>
            <w:tcW w:w="3742" w:type="dxa"/>
          </w:tcPr>
          <w:p>
            <w:pPr>
              <w:pStyle w:val="0"/>
            </w:pPr>
            <w:r>
              <w:rPr>
                <w:sz w:val="20"/>
              </w:rPr>
              <w:t xml:space="preserve">Депкультуры Югры,</w:t>
            </w:r>
          </w:p>
          <w:p>
            <w:pPr>
              <w:pStyle w:val="0"/>
            </w:pPr>
            <w:r>
              <w:rPr>
                <w:sz w:val="20"/>
              </w:rPr>
              <w:t xml:space="preserve">БУ "Ханты-Мансийский театр кукол (по согласованию)</w:t>
            </w:r>
          </w:p>
        </w:tc>
        <w:tc>
          <w:tcPr>
            <w:tcW w:w="3458" w:type="dxa"/>
          </w:tcPr>
          <w:p>
            <w:pPr>
              <w:pStyle w:val="0"/>
            </w:pPr>
            <w:r>
              <w:rPr>
                <w:sz w:val="20"/>
              </w:rPr>
              <w:t xml:space="preserve">Государственная </w:t>
            </w:r>
            <w:hyperlink w:history="0" r:id="rId193" w:tooltip="Постановление Правительства ХМАО - Югры от 31.10.2021 N 470-п (ред. от 13.10.2023) &quot;О государственной программе Ханты-Мансийского автономного округа - Югры &quot;Культурное пространство&quot; {КонсультантПлюс}">
              <w:r>
                <w:rPr>
                  <w:sz w:val="20"/>
                  <w:color w:val="0000ff"/>
                </w:rPr>
                <w:t xml:space="preserve">программа</w:t>
              </w:r>
            </w:hyperlink>
            <w:r>
              <w:rPr>
                <w:sz w:val="20"/>
              </w:rPr>
              <w:t xml:space="preserve"> "Культурное пространство"</w:t>
            </w:r>
          </w:p>
        </w:tc>
        <w:tc>
          <w:tcPr>
            <w:tcW w:w="3458" w:type="dxa"/>
          </w:tcPr>
          <w:p>
            <w:pPr>
              <w:pStyle w:val="0"/>
            </w:pPr>
            <w:r>
              <w:rPr>
                <w:sz w:val="20"/>
              </w:rPr>
              <w:t xml:space="preserve">показ 10 спектаклей, охват зрителей 500 человек</w:t>
            </w:r>
          </w:p>
        </w:tc>
      </w:tr>
      <w:tr>
        <w:tc>
          <w:tcPr>
            <w:tcW w:w="424" w:type="dxa"/>
          </w:tcPr>
          <w:p>
            <w:pPr>
              <w:pStyle w:val="0"/>
            </w:pPr>
            <w:r>
              <w:rPr>
                <w:sz w:val="20"/>
              </w:rPr>
              <w:t xml:space="preserve">6.</w:t>
            </w:r>
          </w:p>
        </w:tc>
        <w:tc>
          <w:tcPr>
            <w:tcW w:w="3685" w:type="dxa"/>
          </w:tcPr>
          <w:p>
            <w:pPr>
              <w:pStyle w:val="0"/>
            </w:pPr>
            <w:r>
              <w:rPr>
                <w:sz w:val="20"/>
              </w:rPr>
              <w:t xml:space="preserve">Проведение Всероссийской научно-практической конференции "Теоретические и практические аспекты образования в сфере культуры и искусства" по направлению "Здоровьесберегающие технологии в организации учебно-воспитательного процесса в образовательных организациях культуры и искусства"</w:t>
            </w:r>
          </w:p>
        </w:tc>
        <w:tc>
          <w:tcPr>
            <w:tcW w:w="1587" w:type="dxa"/>
          </w:tcPr>
          <w:p>
            <w:pPr>
              <w:pStyle w:val="0"/>
            </w:pPr>
            <w:r>
              <w:rPr>
                <w:sz w:val="20"/>
              </w:rPr>
              <w:t xml:space="preserve">25 - 27 октября 2022 года</w:t>
            </w:r>
          </w:p>
        </w:tc>
        <w:tc>
          <w:tcPr>
            <w:tcW w:w="3742" w:type="dxa"/>
          </w:tcPr>
          <w:p>
            <w:pPr>
              <w:pStyle w:val="0"/>
            </w:pPr>
            <w:r>
              <w:rPr>
                <w:sz w:val="20"/>
              </w:rPr>
              <w:t xml:space="preserve">Депкультуры Югры,</w:t>
            </w:r>
          </w:p>
          <w:p>
            <w:pPr>
              <w:pStyle w:val="0"/>
            </w:pPr>
            <w:r>
              <w:rPr>
                <w:sz w:val="20"/>
              </w:rPr>
              <w:t xml:space="preserve">бюджетное профессиональное образовательное учреждение автономного округа "Сургутский музыкальный колледж" (по согласованию)</w:t>
            </w:r>
          </w:p>
        </w:tc>
        <w:tc>
          <w:tcPr>
            <w:tcW w:w="3458" w:type="dxa"/>
          </w:tcPr>
          <w:p>
            <w:pPr>
              <w:pStyle w:val="0"/>
            </w:pPr>
            <w:r>
              <w:rPr>
                <w:sz w:val="20"/>
              </w:rPr>
              <w:t xml:space="preserve">Государственная </w:t>
            </w:r>
            <w:hyperlink w:history="0" r:id="rId194" w:tooltip="Постановление Правительства ХМАО - Югры от 31.10.2021 N 470-п (ред. от 13.10.2023) &quot;О государственной программе Ханты-Мансийского автономного округа - Югры &quot;Культурное пространство&quot; {КонсультантПлюс}">
              <w:r>
                <w:rPr>
                  <w:sz w:val="20"/>
                  <w:color w:val="0000ff"/>
                </w:rPr>
                <w:t xml:space="preserve">программа</w:t>
              </w:r>
            </w:hyperlink>
            <w:r>
              <w:rPr>
                <w:sz w:val="20"/>
              </w:rPr>
              <w:t xml:space="preserve"> "Культурное пространство"</w:t>
            </w:r>
          </w:p>
        </w:tc>
        <w:tc>
          <w:tcPr>
            <w:tcW w:w="3458" w:type="dxa"/>
          </w:tcPr>
          <w:p>
            <w:pPr>
              <w:pStyle w:val="0"/>
            </w:pPr>
            <w:r>
              <w:rPr>
                <w:sz w:val="20"/>
              </w:rPr>
              <w:t xml:space="preserve">приняли участие не менее 600 участников</w:t>
            </w:r>
          </w:p>
        </w:tc>
      </w:tr>
      <w:tr>
        <w:tc>
          <w:tcPr>
            <w:tcW w:w="424" w:type="dxa"/>
          </w:tcPr>
          <w:p>
            <w:pPr>
              <w:pStyle w:val="0"/>
            </w:pPr>
            <w:r>
              <w:rPr>
                <w:sz w:val="20"/>
              </w:rPr>
              <w:t xml:space="preserve">7.</w:t>
            </w:r>
          </w:p>
        </w:tc>
        <w:tc>
          <w:tcPr>
            <w:tcW w:w="3685" w:type="dxa"/>
          </w:tcPr>
          <w:p>
            <w:pPr>
              <w:pStyle w:val="0"/>
            </w:pPr>
            <w:r>
              <w:rPr>
                <w:sz w:val="20"/>
              </w:rPr>
              <w:t xml:space="preserve">Проведение Всероссийского дня бега "Кросс нации"</w:t>
            </w:r>
          </w:p>
        </w:tc>
        <w:tc>
          <w:tcPr>
            <w:tcW w:w="1587" w:type="dxa"/>
          </w:tcPr>
          <w:p>
            <w:pPr>
              <w:pStyle w:val="0"/>
            </w:pPr>
            <w:r>
              <w:rPr>
                <w:sz w:val="20"/>
              </w:rPr>
              <w:t xml:space="preserve">17 сентября 2022 года</w:t>
            </w:r>
          </w:p>
        </w:tc>
        <w:tc>
          <w:tcPr>
            <w:tcW w:w="3742" w:type="dxa"/>
          </w:tcPr>
          <w:p>
            <w:pPr>
              <w:pStyle w:val="0"/>
            </w:pPr>
            <w:r>
              <w:rPr>
                <w:sz w:val="20"/>
              </w:rPr>
              <w:t xml:space="preserve">Департамент физической культуры и спорта автономного округа (далее - Депспорта Югры), автономное учреждение автономного округа "ЮграМегаСпорт" (по согласованию)</w:t>
            </w:r>
          </w:p>
        </w:tc>
        <w:tc>
          <w:tcPr>
            <w:tcW w:w="3458" w:type="dxa"/>
          </w:tcPr>
          <w:p>
            <w:pPr>
              <w:pStyle w:val="0"/>
            </w:pPr>
            <w:r>
              <w:rPr>
                <w:sz w:val="20"/>
              </w:rPr>
              <w:t xml:space="preserve">Государственная </w:t>
            </w:r>
            <w:hyperlink w:history="0" r:id="rId195" w:tooltip="Постановление Правительства ХМАО - Югры от 31.10.2021 N 471-п (ред. от 13.10.2023) &quot;О государственной программе Ханты-Мансийского автономного округа - Югры &quot;Развитие физической культуры и спорта&quot; {КонсультантПлюс}">
              <w:r>
                <w:rPr>
                  <w:sz w:val="20"/>
                  <w:color w:val="0000ff"/>
                </w:rPr>
                <w:t xml:space="preserve">программа</w:t>
              </w:r>
            </w:hyperlink>
            <w:r>
              <w:rPr>
                <w:sz w:val="20"/>
              </w:rPr>
              <w:t xml:space="preserve"> автономного округа "Развитие физической культуры и спорта", утвержденная постановлением Правительства автономного округа от 31 октября 2021 года N 471-п (далее - Государственная программа "Развитие физической культуры и спорта")</w:t>
            </w:r>
          </w:p>
        </w:tc>
        <w:tc>
          <w:tcPr>
            <w:tcW w:w="3458" w:type="dxa"/>
          </w:tcPr>
          <w:p>
            <w:pPr>
              <w:pStyle w:val="0"/>
            </w:pPr>
            <w:r>
              <w:rPr>
                <w:sz w:val="20"/>
              </w:rPr>
              <w:t xml:space="preserve">доля систематически занимающихся физической культурой и спортом, в общей численности детей и молодежи в 2022 году - 50,7%</w:t>
            </w:r>
          </w:p>
        </w:tc>
      </w:tr>
      <w:tr>
        <w:tc>
          <w:tcPr>
            <w:tcW w:w="424" w:type="dxa"/>
          </w:tcPr>
          <w:p>
            <w:pPr>
              <w:pStyle w:val="0"/>
            </w:pPr>
            <w:r>
              <w:rPr>
                <w:sz w:val="20"/>
              </w:rPr>
              <w:t xml:space="preserve">8.</w:t>
            </w:r>
          </w:p>
        </w:tc>
        <w:tc>
          <w:tcPr>
            <w:tcW w:w="3685" w:type="dxa"/>
          </w:tcPr>
          <w:p>
            <w:pPr>
              <w:pStyle w:val="0"/>
            </w:pPr>
            <w:r>
              <w:rPr>
                <w:sz w:val="20"/>
              </w:rPr>
              <w:t xml:space="preserve">Проведение II этапа фестиваля Всероссийского физкультурно-спортивного комплекса "Готов к труду и обороне" среди обучающихся образовательных организаций автономного округа</w:t>
            </w:r>
          </w:p>
        </w:tc>
        <w:tc>
          <w:tcPr>
            <w:tcW w:w="1587" w:type="dxa"/>
          </w:tcPr>
          <w:p>
            <w:pPr>
              <w:pStyle w:val="0"/>
            </w:pPr>
            <w:r>
              <w:rPr>
                <w:sz w:val="20"/>
              </w:rPr>
              <w:t xml:space="preserve">3 - 5 июня 2022 года</w:t>
            </w:r>
          </w:p>
        </w:tc>
        <w:tc>
          <w:tcPr>
            <w:tcW w:w="3742" w:type="dxa"/>
          </w:tcPr>
          <w:p>
            <w:pPr>
              <w:pStyle w:val="0"/>
            </w:pPr>
            <w:r>
              <w:rPr>
                <w:sz w:val="20"/>
              </w:rPr>
              <w:t xml:space="preserve">Депспорта Югры, автономное профессиональное образовательное учреждение автономного округа "Югорский колледж-интернат олимпийского резерва" (по согласованию)</w:t>
            </w:r>
          </w:p>
        </w:tc>
        <w:tc>
          <w:tcPr>
            <w:tcW w:w="3458" w:type="dxa"/>
          </w:tcPr>
          <w:p>
            <w:pPr>
              <w:pStyle w:val="0"/>
            </w:pPr>
            <w:r>
              <w:rPr>
                <w:sz w:val="20"/>
              </w:rPr>
              <w:t xml:space="preserve">Государственная </w:t>
            </w:r>
            <w:hyperlink w:history="0" r:id="rId196" w:tooltip="Постановление Правительства ХМАО - Югры от 31.10.2021 N 471-п (ред. от 13.10.2023) &quot;О государственной программе Ханты-Мансийского автономного округа - Югры &quot;Развитие физической культуры и спорта&quot; {КонсультантПлюс}">
              <w:r>
                <w:rPr>
                  <w:sz w:val="20"/>
                  <w:color w:val="0000ff"/>
                </w:rPr>
                <w:t xml:space="preserve">программа</w:t>
              </w:r>
            </w:hyperlink>
            <w:r>
              <w:rPr>
                <w:sz w:val="20"/>
              </w:rPr>
              <w:t xml:space="preserve"> "Развитие физической культуры и спорта"</w:t>
            </w:r>
          </w:p>
        </w:tc>
        <w:tc>
          <w:tcPr>
            <w:tcW w:w="3458" w:type="dxa"/>
          </w:tcPr>
          <w:p>
            <w:pPr>
              <w:pStyle w:val="0"/>
            </w:pPr>
            <w:r>
              <w:rPr>
                <w:sz w:val="20"/>
              </w:rPr>
              <w:t xml:space="preserve">доля систематически занимающихся физической культурой и спортом, в общей численности детей и молодежи, в 2022 году - 50,7%</w:t>
            </w:r>
          </w:p>
        </w:tc>
      </w:tr>
      <w:tr>
        <w:tc>
          <w:tcPr>
            <w:tcW w:w="424" w:type="dxa"/>
          </w:tcPr>
          <w:p>
            <w:pPr>
              <w:pStyle w:val="0"/>
            </w:pPr>
            <w:r>
              <w:rPr>
                <w:sz w:val="20"/>
              </w:rPr>
              <w:t xml:space="preserve">9.</w:t>
            </w:r>
          </w:p>
        </w:tc>
        <w:tc>
          <w:tcPr>
            <w:tcW w:w="3685" w:type="dxa"/>
          </w:tcPr>
          <w:p>
            <w:pPr>
              <w:pStyle w:val="0"/>
            </w:pPr>
            <w:r>
              <w:rPr>
                <w:sz w:val="20"/>
              </w:rPr>
              <w:t xml:space="preserve">Организация территории "Здоровый образ жизни" в ходе Экологического рандеву "Живем в стиле ЭКО" - программного мероприятия XIX Международной экологической акции "Спасти и сохранить"</w:t>
            </w:r>
          </w:p>
        </w:tc>
        <w:tc>
          <w:tcPr>
            <w:tcW w:w="1587" w:type="dxa"/>
          </w:tcPr>
          <w:p>
            <w:pPr>
              <w:pStyle w:val="0"/>
            </w:pPr>
            <w:r>
              <w:rPr>
                <w:sz w:val="20"/>
              </w:rPr>
              <w:t xml:space="preserve">28 мая 2022 года</w:t>
            </w:r>
          </w:p>
        </w:tc>
        <w:tc>
          <w:tcPr>
            <w:tcW w:w="3742" w:type="dxa"/>
          </w:tcPr>
          <w:p>
            <w:pPr>
              <w:pStyle w:val="0"/>
            </w:pPr>
            <w:r>
              <w:rPr>
                <w:sz w:val="20"/>
              </w:rPr>
              <w:t xml:space="preserve">Служба по контролю и надзору в сфере охраны окружающей среды, объектов животного мира и лесных отношений автономного округа</w:t>
            </w:r>
          </w:p>
          <w:p>
            <w:pPr>
              <w:pStyle w:val="0"/>
            </w:pPr>
            <w:r>
              <w:rPr>
                <w:sz w:val="20"/>
              </w:rPr>
              <w:t xml:space="preserve">(далее - Природнадзор Югры)</w:t>
            </w:r>
          </w:p>
        </w:tc>
        <w:tc>
          <w:tcPr>
            <w:tcW w:w="3458" w:type="dxa"/>
          </w:tcPr>
          <w:p>
            <w:pPr>
              <w:pStyle w:val="0"/>
            </w:pPr>
            <w:r>
              <w:rPr>
                <w:sz w:val="20"/>
              </w:rPr>
              <w:t xml:space="preserve">Государственная </w:t>
            </w:r>
            <w:hyperlink w:history="0" r:id="rId197" w:tooltip="Постановление Правительства ХМАО - Югры от 31.10.2021 N 482-п (ред. от 13.10.2023) &quot;О государственной программе Ханты-Мансийского автономного округа - Югры &quot;Экологическая безопасность&quot; {КонсультантПлюс}">
              <w:r>
                <w:rPr>
                  <w:sz w:val="20"/>
                  <w:color w:val="0000ff"/>
                </w:rPr>
                <w:t xml:space="preserve">программа</w:t>
              </w:r>
            </w:hyperlink>
            <w:r>
              <w:rPr>
                <w:sz w:val="20"/>
              </w:rPr>
              <w:t xml:space="preserve"> "Экологическая безопасность", утвержденная постановлением Правительства автономного округа от 31 октября 2021 года N 482-п (далее - Государственная программа "Экологическая безопасность")</w:t>
            </w:r>
          </w:p>
        </w:tc>
        <w:tc>
          <w:tcPr>
            <w:tcW w:w="3458" w:type="dxa"/>
          </w:tcPr>
          <w:p>
            <w:pPr>
              <w:pStyle w:val="0"/>
            </w:pPr>
            <w:r>
              <w:rPr>
                <w:sz w:val="20"/>
              </w:rPr>
              <w:t xml:space="preserve">позиционирование здорового образа жизни, вовлечение населения в спортивную жизнь, повышение уровня медицинских знаний и навыков самоконтроля по заболеваниям</w:t>
            </w:r>
          </w:p>
        </w:tc>
      </w:tr>
      <w:tr>
        <w:tc>
          <w:tcPr>
            <w:tcW w:w="424" w:type="dxa"/>
          </w:tcPr>
          <w:p>
            <w:pPr>
              <w:pStyle w:val="0"/>
            </w:pPr>
            <w:r>
              <w:rPr>
                <w:sz w:val="20"/>
              </w:rPr>
              <w:t xml:space="preserve">10.</w:t>
            </w:r>
          </w:p>
        </w:tc>
        <w:tc>
          <w:tcPr>
            <w:tcW w:w="3685" w:type="dxa"/>
          </w:tcPr>
          <w:p>
            <w:pPr>
              <w:pStyle w:val="0"/>
            </w:pPr>
            <w:r>
              <w:rPr>
                <w:sz w:val="20"/>
              </w:rPr>
              <w:t xml:space="preserve">Проведение XII Международного молодежного экологического форума "Одна планета - одно будущее!"</w:t>
            </w:r>
          </w:p>
        </w:tc>
        <w:tc>
          <w:tcPr>
            <w:tcW w:w="1587" w:type="dxa"/>
          </w:tcPr>
          <w:p>
            <w:pPr>
              <w:pStyle w:val="0"/>
            </w:pPr>
            <w:r>
              <w:rPr>
                <w:sz w:val="20"/>
              </w:rPr>
              <w:t xml:space="preserve">29 сентября - 2 октября 2022 года</w:t>
            </w:r>
          </w:p>
        </w:tc>
        <w:tc>
          <w:tcPr>
            <w:tcW w:w="3742" w:type="dxa"/>
          </w:tcPr>
          <w:p>
            <w:pPr>
              <w:pStyle w:val="0"/>
            </w:pPr>
            <w:r>
              <w:rPr>
                <w:sz w:val="20"/>
              </w:rPr>
              <w:t xml:space="preserve">Природнадзор Югры</w:t>
            </w:r>
          </w:p>
        </w:tc>
        <w:tc>
          <w:tcPr>
            <w:tcW w:w="3458" w:type="dxa"/>
          </w:tcPr>
          <w:p>
            <w:pPr>
              <w:pStyle w:val="0"/>
            </w:pPr>
            <w:r>
              <w:rPr>
                <w:sz w:val="20"/>
              </w:rPr>
              <w:t xml:space="preserve">Государственная </w:t>
            </w:r>
            <w:hyperlink w:history="0" r:id="rId198" w:tooltip="Постановление Правительства ХМАО - Югры от 31.10.2021 N 482-п (ред. от 13.10.2023) &quot;О государственной программе Ханты-Мансийского автономного округа - Югры &quot;Экологическая безопасность&quot; {КонсультантПлюс}">
              <w:r>
                <w:rPr>
                  <w:sz w:val="20"/>
                  <w:color w:val="0000ff"/>
                </w:rPr>
                <w:t xml:space="preserve">программа</w:t>
              </w:r>
            </w:hyperlink>
            <w:r>
              <w:rPr>
                <w:sz w:val="20"/>
              </w:rPr>
              <w:t xml:space="preserve"> "Экологическая безопасность"</w:t>
            </w:r>
          </w:p>
        </w:tc>
        <w:tc>
          <w:tcPr>
            <w:tcW w:w="3458" w:type="dxa"/>
          </w:tcPr>
          <w:p>
            <w:pPr>
              <w:pStyle w:val="0"/>
            </w:pPr>
            <w:r>
              <w:rPr>
                <w:sz w:val="20"/>
              </w:rPr>
              <w:t xml:space="preserve">формирование здорового образа жизни у молодежи посредством участия в спортивных мероприятиях, не менее 112 участников</w:t>
            </w:r>
          </w:p>
        </w:tc>
      </w:tr>
      <w:tr>
        <w:tc>
          <w:tcPr>
            <w:tcW w:w="424" w:type="dxa"/>
          </w:tcPr>
          <w:p>
            <w:pPr>
              <w:pStyle w:val="0"/>
            </w:pPr>
            <w:r>
              <w:rPr>
                <w:sz w:val="20"/>
              </w:rPr>
              <w:t xml:space="preserve">11.</w:t>
            </w:r>
          </w:p>
        </w:tc>
        <w:tc>
          <w:tcPr>
            <w:tcW w:w="3685" w:type="dxa"/>
          </w:tcPr>
          <w:p>
            <w:pPr>
              <w:pStyle w:val="0"/>
            </w:pPr>
            <w:r>
              <w:rPr>
                <w:sz w:val="20"/>
              </w:rPr>
              <w:t xml:space="preserve">Проведение форума экологических объединений "#ЭкоPRO"</w:t>
            </w:r>
          </w:p>
        </w:tc>
        <w:tc>
          <w:tcPr>
            <w:tcW w:w="1587" w:type="dxa"/>
          </w:tcPr>
          <w:p>
            <w:pPr>
              <w:pStyle w:val="0"/>
            </w:pPr>
            <w:r>
              <w:rPr>
                <w:sz w:val="20"/>
              </w:rPr>
              <w:t xml:space="preserve">24 - 25 сентября 2022 год</w:t>
            </w:r>
          </w:p>
        </w:tc>
        <w:tc>
          <w:tcPr>
            <w:tcW w:w="3742" w:type="dxa"/>
          </w:tcPr>
          <w:p>
            <w:pPr>
              <w:pStyle w:val="0"/>
            </w:pPr>
            <w:r>
              <w:rPr>
                <w:sz w:val="20"/>
              </w:rPr>
              <w:t xml:space="preserve">Природнадзор Югры,</w:t>
            </w:r>
          </w:p>
          <w:p>
            <w:pPr>
              <w:pStyle w:val="0"/>
            </w:pPr>
            <w:r>
              <w:rPr>
                <w:sz w:val="20"/>
              </w:rPr>
              <w:t xml:space="preserve">Региональное молодежное общественное экологическое движение автономного округа "Третья планета от Солнца" (по согласованию)</w:t>
            </w:r>
          </w:p>
        </w:tc>
        <w:tc>
          <w:tcPr>
            <w:tcW w:w="3458" w:type="dxa"/>
          </w:tcPr>
          <w:p>
            <w:pPr>
              <w:pStyle w:val="0"/>
            </w:pPr>
            <w:r>
              <w:rPr>
                <w:sz w:val="20"/>
              </w:rPr>
              <w:t xml:space="preserve">внебюджетные средства</w:t>
            </w:r>
          </w:p>
        </w:tc>
        <w:tc>
          <w:tcPr>
            <w:tcW w:w="3458" w:type="dxa"/>
          </w:tcPr>
          <w:p>
            <w:pPr>
              <w:pStyle w:val="0"/>
            </w:pPr>
            <w:r>
              <w:rPr>
                <w:sz w:val="20"/>
              </w:rPr>
              <w:t xml:space="preserve">развитие проектного мышления у молодого поколения, закрепление навыков проектирования и эффективного управления проектами;</w:t>
            </w:r>
          </w:p>
          <w:p>
            <w:pPr>
              <w:pStyle w:val="0"/>
            </w:pPr>
            <w:r>
              <w:rPr>
                <w:sz w:val="20"/>
              </w:rPr>
              <w:t xml:space="preserve">отбор наиболее эффективных и реалистичных молодежных социальных проектов, подготовка молодых лидеров, охват не менее 100 человек</w:t>
            </w:r>
          </w:p>
        </w:tc>
      </w:tr>
      <w:tr>
        <w:tc>
          <w:tcPr>
            <w:tcW w:w="424" w:type="dxa"/>
          </w:tcPr>
          <w:p>
            <w:pPr>
              <w:pStyle w:val="0"/>
            </w:pPr>
            <w:r>
              <w:rPr>
                <w:sz w:val="20"/>
              </w:rPr>
              <w:t xml:space="preserve">12.</w:t>
            </w:r>
          </w:p>
        </w:tc>
        <w:tc>
          <w:tcPr>
            <w:tcW w:w="3685" w:type="dxa"/>
          </w:tcPr>
          <w:p>
            <w:pPr>
              <w:pStyle w:val="0"/>
            </w:pPr>
            <w:r>
              <w:rPr>
                <w:sz w:val="20"/>
              </w:rPr>
              <w:t xml:space="preserve">Проведение регионального этапа Всероссийского конкурса "Российская организация высокой социальной эффективности" в номинации "За формирование здорового образа жизни в организациях производственной и непроизводственной сферы"</w:t>
            </w:r>
          </w:p>
        </w:tc>
        <w:tc>
          <w:tcPr>
            <w:tcW w:w="1587" w:type="dxa"/>
          </w:tcPr>
          <w:p>
            <w:pPr>
              <w:pStyle w:val="0"/>
            </w:pPr>
            <w:r>
              <w:rPr>
                <w:sz w:val="20"/>
              </w:rPr>
              <w:t xml:space="preserve">до 31 декабря 2022 года</w:t>
            </w:r>
          </w:p>
        </w:tc>
        <w:tc>
          <w:tcPr>
            <w:tcW w:w="3742" w:type="dxa"/>
          </w:tcPr>
          <w:p>
            <w:pPr>
              <w:pStyle w:val="0"/>
            </w:pPr>
            <w:r>
              <w:rPr>
                <w:sz w:val="20"/>
              </w:rPr>
              <w:t xml:space="preserve">Департамент труда и занятости населения автономного округа</w:t>
            </w:r>
          </w:p>
        </w:tc>
        <w:tc>
          <w:tcPr>
            <w:tcW w:w="3458" w:type="dxa"/>
          </w:tcPr>
          <w:p>
            <w:pPr>
              <w:pStyle w:val="0"/>
            </w:pPr>
            <w:r>
              <w:rPr>
                <w:sz w:val="20"/>
              </w:rPr>
              <w:t xml:space="preserve">Государственная </w:t>
            </w:r>
            <w:hyperlink w:history="0" r:id="rId199" w:tooltip="Постановление Правительства ХМАО - Югры от 31.10.2021 N 472-п (ред. от 13.10.2023) &quot;О государственной программе Ханты-Мансийского автономного округа - Югры &quot;Поддержка занятости населения&quot; {КонсультантПлюс}">
              <w:r>
                <w:rPr>
                  <w:sz w:val="20"/>
                  <w:color w:val="0000ff"/>
                </w:rPr>
                <w:t xml:space="preserve">программа</w:t>
              </w:r>
            </w:hyperlink>
            <w:r>
              <w:rPr>
                <w:sz w:val="20"/>
              </w:rPr>
              <w:t xml:space="preserve"> автономного округа "Поддержка занятости населения", утвержденная постановлением Правительства автономного округа от 31 октября 2021 года N 472-п</w:t>
            </w:r>
          </w:p>
        </w:tc>
        <w:tc>
          <w:tcPr>
            <w:tcW w:w="3458" w:type="dxa"/>
          </w:tcPr>
          <w:p>
            <w:pPr>
              <w:pStyle w:val="0"/>
            </w:pPr>
            <w:r>
              <w:rPr>
                <w:sz w:val="20"/>
              </w:rPr>
              <w:t xml:space="preserve">приняло участие не менее 4 организаций</w:t>
            </w:r>
          </w:p>
        </w:tc>
      </w:tr>
      <w:tr>
        <w:tc>
          <w:tcPr>
            <w:tcW w:w="424" w:type="dxa"/>
          </w:tcPr>
          <w:p>
            <w:pPr>
              <w:pStyle w:val="0"/>
            </w:pPr>
            <w:r>
              <w:rPr>
                <w:sz w:val="20"/>
              </w:rPr>
              <w:t xml:space="preserve">13.</w:t>
            </w:r>
          </w:p>
        </w:tc>
        <w:tc>
          <w:tcPr>
            <w:tcW w:w="3685" w:type="dxa"/>
          </w:tcPr>
          <w:p>
            <w:pPr>
              <w:pStyle w:val="0"/>
            </w:pPr>
            <w:r>
              <w:rPr>
                <w:sz w:val="20"/>
              </w:rPr>
              <w:t xml:space="preserve">Организация виртуальной выставки архивных документов "Вперед по дороге здоровья"</w:t>
            </w:r>
          </w:p>
        </w:tc>
        <w:tc>
          <w:tcPr>
            <w:tcW w:w="1587" w:type="dxa"/>
          </w:tcPr>
          <w:p>
            <w:pPr>
              <w:pStyle w:val="0"/>
            </w:pPr>
            <w:r>
              <w:rPr>
                <w:sz w:val="20"/>
              </w:rPr>
              <w:t xml:space="preserve">27 мая 2022 года</w:t>
            </w:r>
          </w:p>
        </w:tc>
        <w:tc>
          <w:tcPr>
            <w:tcW w:w="3742" w:type="dxa"/>
          </w:tcPr>
          <w:p>
            <w:pPr>
              <w:pStyle w:val="0"/>
            </w:pPr>
            <w:r>
              <w:rPr>
                <w:sz w:val="20"/>
              </w:rPr>
              <w:t xml:space="preserve">Служба по делам архивов автономного округа (далее - Архивная служба Югры), КУ "Государственный архив автономного округа" (по согласованию)</w:t>
            </w:r>
          </w:p>
        </w:tc>
        <w:tc>
          <w:tcPr>
            <w:tcW w:w="3458" w:type="dxa"/>
          </w:tcPr>
          <w:p>
            <w:pPr>
              <w:pStyle w:val="0"/>
            </w:pPr>
            <w:r>
              <w:rPr>
                <w:sz w:val="20"/>
              </w:rPr>
              <w:t xml:space="preserve">Государственная </w:t>
            </w:r>
            <w:hyperlink w:history="0" r:id="rId200" w:tooltip="Постановление Правительства ХМАО - Югры от 31.10.2021 N 470-п (ред. от 13.10.2023) &quot;О государственной программе Ханты-Мансийского автономного округа - Югры &quot;Культурное пространство&quot; {КонсультантПлюс}">
              <w:r>
                <w:rPr>
                  <w:sz w:val="20"/>
                  <w:color w:val="0000ff"/>
                </w:rPr>
                <w:t xml:space="preserve">программа</w:t>
              </w:r>
            </w:hyperlink>
            <w:r>
              <w:rPr>
                <w:sz w:val="20"/>
              </w:rPr>
              <w:t xml:space="preserve"> "Культурное пространство"</w:t>
            </w:r>
          </w:p>
        </w:tc>
        <w:tc>
          <w:tcPr>
            <w:tcW w:w="3458" w:type="dxa"/>
          </w:tcPr>
          <w:p>
            <w:pPr>
              <w:pStyle w:val="0"/>
            </w:pPr>
            <w:r>
              <w:rPr>
                <w:sz w:val="20"/>
              </w:rPr>
              <w:t xml:space="preserve">популяризация ретроспективной информации об истории развития здравоохранения в автономном округе. Увеличение цифрового контента архивов на 3%. Увеличение числа обращений к цифровым ресурсам архивов на 5%</w:t>
            </w:r>
          </w:p>
        </w:tc>
      </w:tr>
      <w:tr>
        <w:tc>
          <w:tcPr>
            <w:tcW w:w="424" w:type="dxa"/>
          </w:tcPr>
          <w:p>
            <w:pPr>
              <w:pStyle w:val="0"/>
            </w:pPr>
            <w:r>
              <w:rPr>
                <w:sz w:val="20"/>
              </w:rPr>
              <w:t xml:space="preserve">14.</w:t>
            </w:r>
          </w:p>
        </w:tc>
        <w:tc>
          <w:tcPr>
            <w:tcW w:w="3685" w:type="dxa"/>
          </w:tcPr>
          <w:p>
            <w:pPr>
              <w:pStyle w:val="0"/>
            </w:pPr>
            <w:r>
              <w:rPr>
                <w:sz w:val="20"/>
              </w:rPr>
              <w:t xml:space="preserve">Организация виртуальной выставки архивных документов "Сберегая жизни"</w:t>
            </w:r>
          </w:p>
        </w:tc>
        <w:tc>
          <w:tcPr>
            <w:tcW w:w="1587" w:type="dxa"/>
          </w:tcPr>
          <w:p>
            <w:pPr>
              <w:pStyle w:val="0"/>
            </w:pPr>
            <w:r>
              <w:rPr>
                <w:sz w:val="20"/>
              </w:rPr>
              <w:t xml:space="preserve">20 июня 2022 года</w:t>
            </w:r>
          </w:p>
        </w:tc>
        <w:tc>
          <w:tcPr>
            <w:tcW w:w="3742" w:type="dxa"/>
          </w:tcPr>
          <w:p>
            <w:pPr>
              <w:pStyle w:val="0"/>
            </w:pPr>
            <w:r>
              <w:rPr>
                <w:sz w:val="20"/>
              </w:rPr>
              <w:t xml:space="preserve">Архивная служба Югры, КУ "Государственный архив автономного округа" (по согласованию)</w:t>
            </w:r>
          </w:p>
        </w:tc>
        <w:tc>
          <w:tcPr>
            <w:tcW w:w="3458" w:type="dxa"/>
          </w:tcPr>
          <w:p>
            <w:pPr>
              <w:pStyle w:val="0"/>
            </w:pPr>
            <w:r>
              <w:rPr>
                <w:sz w:val="20"/>
              </w:rPr>
              <w:t xml:space="preserve">Государственная </w:t>
            </w:r>
            <w:hyperlink w:history="0" r:id="rId201" w:tooltip="Постановление Правительства ХМАО - Югры от 31.10.2021 N 470-п (ред. от 13.10.2023) &quot;О государственной программе Ханты-Мансийского автономного округа - Югры &quot;Культурное пространство&quot; {КонсультантПлюс}">
              <w:r>
                <w:rPr>
                  <w:sz w:val="20"/>
                  <w:color w:val="0000ff"/>
                </w:rPr>
                <w:t xml:space="preserve">программа</w:t>
              </w:r>
            </w:hyperlink>
            <w:r>
              <w:rPr>
                <w:sz w:val="20"/>
              </w:rPr>
              <w:t xml:space="preserve"> "Культурное пространство"</w:t>
            </w:r>
          </w:p>
        </w:tc>
        <w:tc>
          <w:tcPr>
            <w:tcW w:w="3458" w:type="dxa"/>
          </w:tcPr>
          <w:p>
            <w:pPr>
              <w:pStyle w:val="0"/>
            </w:pPr>
            <w:r>
              <w:rPr>
                <w:sz w:val="20"/>
              </w:rPr>
              <w:t xml:space="preserve">популяризация ретроспективной информации об истории развития здравоохранения в автономном округе. Увеличение цифрового контента архивов на 3%. Увеличение числа обращений к цифровым ресурсам архивов на 5%</w:t>
            </w:r>
          </w:p>
        </w:tc>
      </w:tr>
      <w:tr>
        <w:tc>
          <w:tcPr>
            <w:tcW w:w="424" w:type="dxa"/>
          </w:tcPr>
          <w:p>
            <w:pPr>
              <w:pStyle w:val="0"/>
            </w:pPr>
            <w:r>
              <w:rPr>
                <w:sz w:val="20"/>
              </w:rPr>
              <w:t xml:space="preserve">15.</w:t>
            </w:r>
          </w:p>
        </w:tc>
        <w:tc>
          <w:tcPr>
            <w:tcW w:w="3685" w:type="dxa"/>
          </w:tcPr>
          <w:p>
            <w:pPr>
              <w:pStyle w:val="0"/>
            </w:pPr>
            <w:r>
              <w:rPr>
                <w:sz w:val="20"/>
              </w:rPr>
              <w:t xml:space="preserve">Организация виртуальной выставки детского рисунка "Спасибо, доктор!"</w:t>
            </w:r>
          </w:p>
        </w:tc>
        <w:tc>
          <w:tcPr>
            <w:tcW w:w="1587" w:type="dxa"/>
          </w:tcPr>
          <w:p>
            <w:pPr>
              <w:pStyle w:val="0"/>
            </w:pPr>
            <w:r>
              <w:rPr>
                <w:sz w:val="20"/>
              </w:rPr>
              <w:t xml:space="preserve">12 июня 2022 года</w:t>
            </w:r>
          </w:p>
        </w:tc>
        <w:tc>
          <w:tcPr>
            <w:tcW w:w="3742" w:type="dxa"/>
          </w:tcPr>
          <w:p>
            <w:pPr>
              <w:pStyle w:val="0"/>
            </w:pPr>
            <w:r>
              <w:rPr>
                <w:sz w:val="20"/>
              </w:rPr>
              <w:t xml:space="preserve">Архивная служба Югры, КУ "Государственный архив автономного округа" (по согласованию)</w:t>
            </w:r>
          </w:p>
        </w:tc>
        <w:tc>
          <w:tcPr>
            <w:tcW w:w="3458" w:type="dxa"/>
          </w:tcPr>
          <w:p>
            <w:pPr>
              <w:pStyle w:val="0"/>
            </w:pPr>
            <w:r>
              <w:rPr>
                <w:sz w:val="20"/>
              </w:rPr>
              <w:t xml:space="preserve">Государственная </w:t>
            </w:r>
            <w:hyperlink w:history="0" r:id="rId202" w:tooltip="Постановление Правительства ХМАО - Югры от 31.10.2021 N 470-п (ред. от 13.10.2023) &quot;О государственной программе Ханты-Мансийского автономного округа - Югры &quot;Культурное пространство&quot; {КонсультантПлюс}">
              <w:r>
                <w:rPr>
                  <w:sz w:val="20"/>
                  <w:color w:val="0000ff"/>
                </w:rPr>
                <w:t xml:space="preserve">программа</w:t>
              </w:r>
            </w:hyperlink>
            <w:r>
              <w:rPr>
                <w:sz w:val="20"/>
              </w:rPr>
              <w:t xml:space="preserve"> "Культурное пространство"</w:t>
            </w:r>
          </w:p>
        </w:tc>
        <w:tc>
          <w:tcPr>
            <w:tcW w:w="3458" w:type="dxa"/>
          </w:tcPr>
          <w:p>
            <w:pPr>
              <w:pStyle w:val="0"/>
            </w:pPr>
            <w:r>
              <w:rPr>
                <w:sz w:val="20"/>
              </w:rPr>
              <w:t xml:space="preserve">Увеличение цифрового контента архивов на 3%.</w:t>
            </w:r>
          </w:p>
          <w:p>
            <w:pPr>
              <w:pStyle w:val="0"/>
            </w:pPr>
            <w:r>
              <w:rPr>
                <w:sz w:val="20"/>
              </w:rPr>
              <w:t xml:space="preserve">Увеличение числа обращений к цифровым ресурсам архивов на 5%</w:t>
            </w:r>
          </w:p>
        </w:tc>
      </w:tr>
      <w:tr>
        <w:tc>
          <w:tcPr>
            <w:tcW w:w="424" w:type="dxa"/>
          </w:tcPr>
          <w:p>
            <w:pPr>
              <w:pStyle w:val="0"/>
            </w:pPr>
            <w:r>
              <w:rPr>
                <w:sz w:val="20"/>
              </w:rPr>
              <w:t xml:space="preserve">16.</w:t>
            </w:r>
          </w:p>
        </w:tc>
        <w:tc>
          <w:tcPr>
            <w:tcW w:w="3685" w:type="dxa"/>
          </w:tcPr>
          <w:p>
            <w:pPr>
              <w:pStyle w:val="0"/>
            </w:pPr>
            <w:r>
              <w:rPr>
                <w:sz w:val="20"/>
              </w:rPr>
              <w:t xml:space="preserve">Организация документальной выставки "#ЗДРАВИЯЖЕЛАЮ"</w:t>
            </w:r>
          </w:p>
        </w:tc>
        <w:tc>
          <w:tcPr>
            <w:tcW w:w="1587" w:type="dxa"/>
          </w:tcPr>
          <w:p>
            <w:pPr>
              <w:pStyle w:val="0"/>
            </w:pPr>
            <w:r>
              <w:rPr>
                <w:sz w:val="20"/>
              </w:rPr>
              <w:t xml:space="preserve">28 октября 2022 года</w:t>
            </w:r>
          </w:p>
        </w:tc>
        <w:tc>
          <w:tcPr>
            <w:tcW w:w="3742" w:type="dxa"/>
          </w:tcPr>
          <w:p>
            <w:pPr>
              <w:pStyle w:val="0"/>
            </w:pPr>
            <w:r>
              <w:rPr>
                <w:sz w:val="20"/>
              </w:rPr>
              <w:t xml:space="preserve">Архивная служба Югры, КУ "Государственный архив автономного округа" (по согласованию)</w:t>
            </w:r>
          </w:p>
        </w:tc>
        <w:tc>
          <w:tcPr>
            <w:tcW w:w="3458" w:type="dxa"/>
          </w:tcPr>
          <w:p>
            <w:pPr>
              <w:pStyle w:val="0"/>
            </w:pPr>
            <w:r>
              <w:rPr>
                <w:sz w:val="20"/>
              </w:rPr>
              <w:t xml:space="preserve">Государственная </w:t>
            </w:r>
            <w:hyperlink w:history="0" r:id="rId203" w:tooltip="Постановление Правительства ХМАО - Югры от 31.10.2021 N 470-п (ред. от 13.10.2023) &quot;О государственной программе Ханты-Мансийского автономного округа - Югры &quot;Культурное пространство&quot; {КонсультантПлюс}">
              <w:r>
                <w:rPr>
                  <w:sz w:val="20"/>
                  <w:color w:val="0000ff"/>
                </w:rPr>
                <w:t xml:space="preserve">программа</w:t>
              </w:r>
            </w:hyperlink>
            <w:r>
              <w:rPr>
                <w:sz w:val="20"/>
              </w:rPr>
              <w:t xml:space="preserve"> "Культурное пространство"</w:t>
            </w:r>
          </w:p>
        </w:tc>
        <w:tc>
          <w:tcPr>
            <w:tcW w:w="3458" w:type="dxa"/>
          </w:tcPr>
          <w:p>
            <w:pPr>
              <w:pStyle w:val="0"/>
            </w:pPr>
            <w:r>
              <w:rPr>
                <w:sz w:val="20"/>
              </w:rPr>
              <w:t xml:space="preserve">Популяризация ретроспективной информации об истории развития здравоохранения в автономном округе.</w:t>
            </w:r>
          </w:p>
          <w:p>
            <w:pPr>
              <w:pStyle w:val="0"/>
            </w:pPr>
            <w:r>
              <w:rPr>
                <w:sz w:val="20"/>
              </w:rPr>
              <w:t xml:space="preserve">Увеличение количества пользователей архивной информацией на 10% к показателю 2021 года</w:t>
            </w:r>
          </w:p>
        </w:tc>
      </w:tr>
      <w:tr>
        <w:tc>
          <w:tcPr>
            <w:tcW w:w="424" w:type="dxa"/>
          </w:tcPr>
          <w:p>
            <w:pPr>
              <w:pStyle w:val="0"/>
            </w:pPr>
            <w:r>
              <w:rPr>
                <w:sz w:val="20"/>
              </w:rPr>
              <w:t xml:space="preserve">17.</w:t>
            </w:r>
          </w:p>
        </w:tc>
        <w:tc>
          <w:tcPr>
            <w:tcW w:w="3685" w:type="dxa"/>
          </w:tcPr>
          <w:p>
            <w:pPr>
              <w:pStyle w:val="0"/>
            </w:pPr>
            <w:r>
              <w:rPr>
                <w:sz w:val="20"/>
              </w:rPr>
              <w:t xml:space="preserve">Организация фотовыставки "Хорошая экология - хорошее здоровье"</w:t>
            </w:r>
          </w:p>
        </w:tc>
        <w:tc>
          <w:tcPr>
            <w:tcW w:w="1587" w:type="dxa"/>
          </w:tcPr>
          <w:p>
            <w:pPr>
              <w:pStyle w:val="0"/>
            </w:pPr>
            <w:r>
              <w:rPr>
                <w:sz w:val="20"/>
              </w:rPr>
              <w:t xml:space="preserve">1 октября - 9 декабря 2022 года</w:t>
            </w:r>
          </w:p>
        </w:tc>
        <w:tc>
          <w:tcPr>
            <w:tcW w:w="3742" w:type="dxa"/>
          </w:tcPr>
          <w:p>
            <w:pPr>
              <w:pStyle w:val="0"/>
            </w:pPr>
            <w:r>
              <w:rPr>
                <w:sz w:val="20"/>
              </w:rPr>
              <w:t xml:space="preserve">Архивная служба Югры</w:t>
            </w:r>
          </w:p>
        </w:tc>
        <w:tc>
          <w:tcPr>
            <w:tcW w:w="3458" w:type="dxa"/>
          </w:tcPr>
          <w:p>
            <w:pPr>
              <w:pStyle w:val="0"/>
            </w:pPr>
            <w:r>
              <w:rPr>
                <w:sz w:val="20"/>
              </w:rPr>
              <w:t xml:space="preserve">Государственная </w:t>
            </w:r>
            <w:hyperlink w:history="0" r:id="rId204" w:tooltip="Постановление Правительства ХМАО - Югры от 31.10.2021 N 470-п (ред. от 13.10.2023) &quot;О государственной программе Ханты-Мансийского автономного округа - Югры &quot;Культурное пространство&quot; {КонсультантПлюс}">
              <w:r>
                <w:rPr>
                  <w:sz w:val="20"/>
                  <w:color w:val="0000ff"/>
                </w:rPr>
                <w:t xml:space="preserve">программа</w:t>
              </w:r>
            </w:hyperlink>
            <w:r>
              <w:rPr>
                <w:sz w:val="20"/>
              </w:rPr>
              <w:t xml:space="preserve"> "Культурное пространство"</w:t>
            </w:r>
          </w:p>
        </w:tc>
        <w:tc>
          <w:tcPr>
            <w:tcW w:w="3458" w:type="dxa"/>
          </w:tcPr>
          <w:p>
            <w:pPr>
              <w:pStyle w:val="0"/>
            </w:pPr>
            <w:r>
              <w:rPr>
                <w:sz w:val="20"/>
              </w:rPr>
              <w:t xml:space="preserve">популяризация ретроспективной информации об истории развития здравоохранения в автономном округе. Увеличение количества пользователей архивной информацией на 10% к показателю 2021 года</w:t>
            </w:r>
          </w:p>
        </w:tc>
      </w:tr>
      <w:tr>
        <w:tc>
          <w:tcPr>
            <w:tcW w:w="424" w:type="dxa"/>
          </w:tcPr>
          <w:p>
            <w:pPr>
              <w:pStyle w:val="0"/>
            </w:pPr>
            <w:r>
              <w:rPr>
                <w:sz w:val="20"/>
              </w:rPr>
              <w:t xml:space="preserve">18.</w:t>
            </w:r>
          </w:p>
        </w:tc>
        <w:tc>
          <w:tcPr>
            <w:tcW w:w="3685" w:type="dxa"/>
          </w:tcPr>
          <w:p>
            <w:pPr>
              <w:pStyle w:val="0"/>
            </w:pPr>
            <w:r>
              <w:rPr>
                <w:sz w:val="20"/>
              </w:rPr>
              <w:t xml:space="preserve">Организация выставки архивных документов "90 лет на страже здоровья"</w:t>
            </w:r>
          </w:p>
        </w:tc>
        <w:tc>
          <w:tcPr>
            <w:tcW w:w="1587" w:type="dxa"/>
          </w:tcPr>
          <w:p>
            <w:pPr>
              <w:pStyle w:val="0"/>
            </w:pPr>
            <w:r>
              <w:rPr>
                <w:sz w:val="20"/>
              </w:rPr>
              <w:t xml:space="preserve">28 октября 2022 года</w:t>
            </w:r>
          </w:p>
        </w:tc>
        <w:tc>
          <w:tcPr>
            <w:tcW w:w="3742" w:type="dxa"/>
          </w:tcPr>
          <w:p>
            <w:pPr>
              <w:pStyle w:val="0"/>
            </w:pPr>
            <w:r>
              <w:rPr>
                <w:sz w:val="20"/>
              </w:rPr>
              <w:t xml:space="preserve">Архивная служба Югры, КУ "Государственный архив автономного округа" (по согласованию)</w:t>
            </w:r>
          </w:p>
        </w:tc>
        <w:tc>
          <w:tcPr>
            <w:tcW w:w="3458" w:type="dxa"/>
          </w:tcPr>
          <w:p>
            <w:pPr>
              <w:pStyle w:val="0"/>
            </w:pPr>
            <w:r>
              <w:rPr>
                <w:sz w:val="20"/>
              </w:rPr>
              <w:t xml:space="preserve">Государственная </w:t>
            </w:r>
            <w:hyperlink w:history="0" r:id="rId205" w:tooltip="Постановление Правительства ХМАО - Югры от 31.10.2021 N 470-п (ред. от 13.10.2023) &quot;О государственной программе Ханты-Мансийского автономного округа - Югры &quot;Культурное пространство&quot; {КонсультантПлюс}">
              <w:r>
                <w:rPr>
                  <w:sz w:val="20"/>
                  <w:color w:val="0000ff"/>
                </w:rPr>
                <w:t xml:space="preserve">программа</w:t>
              </w:r>
            </w:hyperlink>
            <w:r>
              <w:rPr>
                <w:sz w:val="20"/>
              </w:rPr>
              <w:t xml:space="preserve"> "Культурное пространство"</w:t>
            </w:r>
          </w:p>
        </w:tc>
        <w:tc>
          <w:tcPr>
            <w:tcW w:w="3458" w:type="dxa"/>
          </w:tcPr>
          <w:p>
            <w:pPr>
              <w:pStyle w:val="0"/>
            </w:pPr>
            <w:r>
              <w:rPr>
                <w:sz w:val="20"/>
              </w:rPr>
              <w:t xml:space="preserve">популяризация ретроспективной информации об истории развития здравоохранения в автономном округе.</w:t>
            </w:r>
          </w:p>
          <w:p>
            <w:pPr>
              <w:pStyle w:val="0"/>
            </w:pPr>
            <w:r>
              <w:rPr>
                <w:sz w:val="20"/>
              </w:rPr>
              <w:t xml:space="preserve">Увеличение количества пользователей архивной информацией на 10% к показателю 2021 года</w:t>
            </w:r>
          </w:p>
        </w:tc>
      </w:tr>
      <w:tr>
        <w:tc>
          <w:tcPr>
            <w:tcW w:w="424" w:type="dxa"/>
          </w:tcPr>
          <w:p>
            <w:pPr>
              <w:pStyle w:val="0"/>
            </w:pPr>
            <w:r>
              <w:rPr>
                <w:sz w:val="20"/>
              </w:rPr>
              <w:t xml:space="preserve">19.</w:t>
            </w:r>
          </w:p>
        </w:tc>
        <w:tc>
          <w:tcPr>
            <w:tcW w:w="3685" w:type="dxa"/>
          </w:tcPr>
          <w:p>
            <w:pPr>
              <w:pStyle w:val="0"/>
            </w:pPr>
            <w:r>
              <w:rPr>
                <w:sz w:val="20"/>
              </w:rPr>
              <w:t xml:space="preserve">Организация фотовыставки "Беречь здоровье - дело каждого!"</w:t>
            </w:r>
          </w:p>
        </w:tc>
        <w:tc>
          <w:tcPr>
            <w:tcW w:w="1587" w:type="dxa"/>
          </w:tcPr>
          <w:p>
            <w:pPr>
              <w:pStyle w:val="0"/>
            </w:pPr>
            <w:r>
              <w:rPr>
                <w:sz w:val="20"/>
              </w:rPr>
              <w:t xml:space="preserve">10 декабря - 31 декабря 2022 года</w:t>
            </w:r>
          </w:p>
        </w:tc>
        <w:tc>
          <w:tcPr>
            <w:tcW w:w="3742" w:type="dxa"/>
          </w:tcPr>
          <w:p>
            <w:pPr>
              <w:pStyle w:val="0"/>
            </w:pPr>
            <w:r>
              <w:rPr>
                <w:sz w:val="20"/>
              </w:rPr>
              <w:t xml:space="preserve">Архивная служба Югры</w:t>
            </w:r>
          </w:p>
        </w:tc>
        <w:tc>
          <w:tcPr>
            <w:tcW w:w="3458" w:type="dxa"/>
          </w:tcPr>
          <w:p>
            <w:pPr>
              <w:pStyle w:val="0"/>
            </w:pPr>
            <w:r>
              <w:rPr>
                <w:sz w:val="20"/>
              </w:rPr>
              <w:t xml:space="preserve">Государственная </w:t>
            </w:r>
            <w:hyperlink w:history="0" r:id="rId206" w:tooltip="Постановление Правительства ХМАО - Югры от 31.10.2021 N 470-п (ред. от 13.10.2023) &quot;О государственной программе Ханты-Мансийского автономного округа - Югры &quot;Культурное пространство&quot; {КонсультантПлюс}">
              <w:r>
                <w:rPr>
                  <w:sz w:val="20"/>
                  <w:color w:val="0000ff"/>
                </w:rPr>
                <w:t xml:space="preserve">программа</w:t>
              </w:r>
            </w:hyperlink>
            <w:r>
              <w:rPr>
                <w:sz w:val="20"/>
              </w:rPr>
              <w:t xml:space="preserve"> "Культурное пространство"</w:t>
            </w:r>
          </w:p>
        </w:tc>
        <w:tc>
          <w:tcPr>
            <w:tcW w:w="3458" w:type="dxa"/>
          </w:tcPr>
          <w:p>
            <w:pPr>
              <w:pStyle w:val="0"/>
            </w:pPr>
            <w:r>
              <w:rPr>
                <w:sz w:val="20"/>
              </w:rPr>
              <w:t xml:space="preserve">популяризация ретроспективной информации об истории развития здравоохранения в автономном округе. Увеличение количества пользователей архивной информацией на 10% к показателю 2021 года</w:t>
            </w:r>
          </w:p>
        </w:tc>
      </w:tr>
      <w:tr>
        <w:tc>
          <w:tcPr>
            <w:tcW w:w="424" w:type="dxa"/>
          </w:tcPr>
          <w:p>
            <w:pPr>
              <w:pStyle w:val="0"/>
            </w:pPr>
            <w:r>
              <w:rPr>
                <w:sz w:val="20"/>
              </w:rPr>
              <w:t xml:space="preserve">20.</w:t>
            </w:r>
          </w:p>
        </w:tc>
        <w:tc>
          <w:tcPr>
            <w:tcW w:w="3685" w:type="dxa"/>
          </w:tcPr>
          <w:p>
            <w:pPr>
              <w:pStyle w:val="0"/>
            </w:pPr>
            <w:r>
              <w:rPr>
                <w:sz w:val="20"/>
              </w:rPr>
              <w:t xml:space="preserve">Организация инклюзивных смен для детей с ограниченными возможностями здоровья в учреждениях социального обслуживания автономного округа</w:t>
            </w:r>
          </w:p>
        </w:tc>
        <w:tc>
          <w:tcPr>
            <w:tcW w:w="1587" w:type="dxa"/>
          </w:tcPr>
          <w:p>
            <w:pPr>
              <w:pStyle w:val="0"/>
            </w:pPr>
            <w:r>
              <w:rPr>
                <w:sz w:val="20"/>
              </w:rPr>
              <w:t xml:space="preserve">до 31 декабря 2022 года</w:t>
            </w:r>
          </w:p>
        </w:tc>
        <w:tc>
          <w:tcPr>
            <w:tcW w:w="3742" w:type="dxa"/>
          </w:tcPr>
          <w:p>
            <w:pPr>
              <w:pStyle w:val="0"/>
            </w:pPr>
            <w:r>
              <w:rPr>
                <w:sz w:val="20"/>
              </w:rPr>
              <w:t xml:space="preserve">Департамент социального развития автономного округа (далее - Депсоцразвития Югры), организации социального обслуживания (по согласованию)</w:t>
            </w:r>
          </w:p>
        </w:tc>
        <w:tc>
          <w:tcPr>
            <w:tcW w:w="3458" w:type="dxa"/>
          </w:tcPr>
          <w:p>
            <w:pPr>
              <w:pStyle w:val="0"/>
            </w:pPr>
            <w:r>
              <w:rPr>
                <w:sz w:val="20"/>
              </w:rPr>
              <w:t xml:space="preserve">Государственная </w:t>
            </w:r>
            <w:hyperlink w:history="0" r:id="rId207" w:tooltip="Постановление Правительства ХМАО - Югры от 31.10.2021 N 469-п (ред. от 13.10.2023) &quot;О государственной программе Ханты-Мансийского автономного округа - Югры &quot;Социальное и демографическое развитие&quot; (с изм. и доп., вступающими в силу с 22.10.2023) {КонсультантПлюс}">
              <w:r>
                <w:rPr>
                  <w:sz w:val="20"/>
                  <w:color w:val="0000ff"/>
                </w:rPr>
                <w:t xml:space="preserve">программа</w:t>
              </w:r>
            </w:hyperlink>
            <w:r>
              <w:rPr>
                <w:sz w:val="20"/>
              </w:rPr>
              <w:t xml:space="preserve"> автономного округа "Социальное и демографическое развитие", утвержденная постановлением Правительства автономного округа от 31 октября 2021 года N 469-п (далее - Государственная программа "Социальное и демографическое развитие")</w:t>
            </w:r>
          </w:p>
        </w:tc>
        <w:tc>
          <w:tcPr>
            <w:tcW w:w="3458" w:type="dxa"/>
          </w:tcPr>
          <w:p>
            <w:pPr>
              <w:pStyle w:val="0"/>
            </w:pPr>
            <w:r>
              <w:rPr>
                <w:sz w:val="20"/>
              </w:rPr>
              <w:t xml:space="preserve">охват не менее 40 детей с ограниченными возможностями здоровья</w:t>
            </w:r>
          </w:p>
        </w:tc>
      </w:tr>
      <w:tr>
        <w:tc>
          <w:tcPr>
            <w:tcW w:w="424" w:type="dxa"/>
          </w:tcPr>
          <w:p>
            <w:pPr>
              <w:pStyle w:val="0"/>
            </w:pPr>
            <w:r>
              <w:rPr>
                <w:sz w:val="20"/>
              </w:rPr>
              <w:t xml:space="preserve">21.</w:t>
            </w:r>
          </w:p>
        </w:tc>
        <w:tc>
          <w:tcPr>
            <w:tcW w:w="3685" w:type="dxa"/>
          </w:tcPr>
          <w:p>
            <w:pPr>
              <w:pStyle w:val="0"/>
            </w:pPr>
            <w:r>
              <w:rPr>
                <w:sz w:val="20"/>
              </w:rPr>
              <w:t xml:space="preserve">Проведение обучающих мероприятий для граждан пожилого возраста в ходе деятельности факультета "Здоровье и физическая активность" программы обучения "Университет третьего возраста"</w:t>
            </w:r>
          </w:p>
        </w:tc>
        <w:tc>
          <w:tcPr>
            <w:tcW w:w="1587" w:type="dxa"/>
          </w:tcPr>
          <w:p>
            <w:pPr>
              <w:pStyle w:val="0"/>
            </w:pPr>
            <w:r>
              <w:rPr>
                <w:sz w:val="20"/>
              </w:rPr>
              <w:t xml:space="preserve">до 31 декабря 2022 года</w:t>
            </w:r>
          </w:p>
        </w:tc>
        <w:tc>
          <w:tcPr>
            <w:tcW w:w="3742" w:type="dxa"/>
          </w:tcPr>
          <w:p>
            <w:pPr>
              <w:pStyle w:val="0"/>
            </w:pPr>
            <w:r>
              <w:rPr>
                <w:sz w:val="20"/>
              </w:rPr>
              <w:t xml:space="preserve">Депсоцразвития Югры, организации социального обслуживания (по согласованию)</w:t>
            </w:r>
          </w:p>
        </w:tc>
        <w:tc>
          <w:tcPr>
            <w:tcW w:w="3458" w:type="dxa"/>
          </w:tcPr>
          <w:p>
            <w:pPr>
              <w:pStyle w:val="0"/>
            </w:pPr>
            <w:r>
              <w:rPr>
                <w:sz w:val="20"/>
              </w:rPr>
              <w:t xml:space="preserve">Государственная </w:t>
            </w:r>
            <w:hyperlink w:history="0" r:id="rId208" w:tooltip="Постановление Правительства ХМАО - Югры от 31.10.2021 N 469-п (ред. от 13.10.2023) &quot;О государственной программе Ханты-Мансийского автономного округа - Югры &quot;Социальное и демографическое развитие&quot; (с изм. и доп., вступающими в силу с 22.10.2023) {КонсультантПлюс}">
              <w:r>
                <w:rPr>
                  <w:sz w:val="20"/>
                  <w:color w:val="0000ff"/>
                </w:rPr>
                <w:t xml:space="preserve">программа</w:t>
              </w:r>
            </w:hyperlink>
            <w:r>
              <w:rPr>
                <w:sz w:val="20"/>
              </w:rPr>
              <w:t xml:space="preserve"> "Социальное и демографическое развитие"</w:t>
            </w:r>
          </w:p>
        </w:tc>
        <w:tc>
          <w:tcPr>
            <w:tcW w:w="3458" w:type="dxa"/>
          </w:tcPr>
          <w:p>
            <w:pPr>
              <w:pStyle w:val="0"/>
            </w:pPr>
            <w:r>
              <w:rPr>
                <w:sz w:val="20"/>
              </w:rPr>
              <w:t xml:space="preserve">приняли участие не менее 1 800 граждан пожилого возраста</w:t>
            </w:r>
          </w:p>
        </w:tc>
      </w:tr>
      <w:tr>
        <w:tc>
          <w:tcPr>
            <w:tcW w:w="424" w:type="dxa"/>
          </w:tcPr>
          <w:p>
            <w:pPr>
              <w:pStyle w:val="0"/>
            </w:pPr>
            <w:r>
              <w:rPr>
                <w:sz w:val="20"/>
              </w:rPr>
              <w:t xml:space="preserve">22.</w:t>
            </w:r>
          </w:p>
        </w:tc>
        <w:tc>
          <w:tcPr>
            <w:tcW w:w="3685" w:type="dxa"/>
          </w:tcPr>
          <w:p>
            <w:pPr>
              <w:pStyle w:val="0"/>
            </w:pPr>
            <w:r>
              <w:rPr>
                <w:sz w:val="20"/>
              </w:rPr>
              <w:t xml:space="preserve">Предоставление гражданам пожилого возраста и инвалидам, прошедшим вакцинацию от новой коронавирусной инфекции (COVID-19), курса социальной реабилитации сроком 21 день в условиях дневного пребывания в комплексных центрах социального обслуживания населения</w:t>
            </w:r>
          </w:p>
        </w:tc>
        <w:tc>
          <w:tcPr>
            <w:tcW w:w="1587" w:type="dxa"/>
          </w:tcPr>
          <w:p>
            <w:pPr>
              <w:pStyle w:val="0"/>
            </w:pPr>
            <w:r>
              <w:rPr>
                <w:sz w:val="20"/>
              </w:rPr>
              <w:t xml:space="preserve">до 31 декабря 2022 года</w:t>
            </w:r>
          </w:p>
        </w:tc>
        <w:tc>
          <w:tcPr>
            <w:tcW w:w="3742" w:type="dxa"/>
          </w:tcPr>
          <w:p>
            <w:pPr>
              <w:pStyle w:val="0"/>
            </w:pPr>
            <w:r>
              <w:rPr>
                <w:sz w:val="20"/>
              </w:rPr>
              <w:t xml:space="preserve">Депсоцразвития Югры, организации социального обслуживания (по согласованию)</w:t>
            </w:r>
          </w:p>
        </w:tc>
        <w:tc>
          <w:tcPr>
            <w:tcW w:w="3458" w:type="dxa"/>
          </w:tcPr>
          <w:p>
            <w:pPr>
              <w:pStyle w:val="0"/>
            </w:pPr>
            <w:r>
              <w:rPr>
                <w:sz w:val="20"/>
              </w:rPr>
              <w:t xml:space="preserve">Государственная </w:t>
            </w:r>
            <w:hyperlink w:history="0" r:id="rId209" w:tooltip="Постановление Правительства ХМАО - Югры от 31.10.2021 N 469-п (ред. от 13.10.2023) &quot;О государственной программе Ханты-Мансийского автономного округа - Югры &quot;Социальное и демографическое развитие&quot; (с изм. и доп., вступающими в силу с 22.10.2023) {КонсультантПлюс}">
              <w:r>
                <w:rPr>
                  <w:sz w:val="20"/>
                  <w:color w:val="0000ff"/>
                </w:rPr>
                <w:t xml:space="preserve">программа</w:t>
              </w:r>
            </w:hyperlink>
            <w:r>
              <w:rPr>
                <w:sz w:val="20"/>
              </w:rPr>
              <w:t xml:space="preserve"> "Социальное и демографическое развитие"</w:t>
            </w:r>
          </w:p>
        </w:tc>
        <w:tc>
          <w:tcPr>
            <w:tcW w:w="3458" w:type="dxa"/>
          </w:tcPr>
          <w:p>
            <w:pPr>
              <w:pStyle w:val="0"/>
            </w:pPr>
            <w:r>
              <w:rPr>
                <w:sz w:val="20"/>
              </w:rPr>
              <w:t xml:space="preserve">приняли участие не менее 2 000 граждан пожилого возраста и инвалидов</w:t>
            </w:r>
          </w:p>
        </w:tc>
      </w:tr>
      <w:tr>
        <w:tc>
          <w:tcPr>
            <w:tcW w:w="424" w:type="dxa"/>
          </w:tcPr>
          <w:p>
            <w:pPr>
              <w:pStyle w:val="0"/>
            </w:pPr>
            <w:r>
              <w:rPr>
                <w:sz w:val="20"/>
              </w:rPr>
              <w:t xml:space="preserve">23.</w:t>
            </w:r>
          </w:p>
        </w:tc>
        <w:tc>
          <w:tcPr>
            <w:tcW w:w="3685" w:type="dxa"/>
          </w:tcPr>
          <w:p>
            <w:pPr>
              <w:pStyle w:val="0"/>
            </w:pPr>
            <w:r>
              <w:rPr>
                <w:sz w:val="20"/>
              </w:rPr>
              <w:t xml:space="preserve">Информирование граждан о мероприятиях по проведению Года здоровьесбережения</w:t>
            </w:r>
          </w:p>
        </w:tc>
        <w:tc>
          <w:tcPr>
            <w:tcW w:w="1587" w:type="dxa"/>
          </w:tcPr>
          <w:p>
            <w:pPr>
              <w:pStyle w:val="0"/>
            </w:pPr>
            <w:r>
              <w:rPr>
                <w:sz w:val="20"/>
              </w:rPr>
              <w:t xml:space="preserve">до 31 декабря 2022 года</w:t>
            </w:r>
          </w:p>
        </w:tc>
        <w:tc>
          <w:tcPr>
            <w:tcW w:w="3742" w:type="dxa"/>
          </w:tcPr>
          <w:p>
            <w:pPr>
              <w:pStyle w:val="0"/>
            </w:pPr>
            <w:r>
              <w:rPr>
                <w:sz w:val="20"/>
              </w:rPr>
              <w:t xml:space="preserve">Департамент общественных, внешних связей и молодежной политики автономного округа</w:t>
            </w:r>
          </w:p>
        </w:tc>
        <w:tc>
          <w:tcPr>
            <w:tcW w:w="3458" w:type="dxa"/>
          </w:tcPr>
          <w:p>
            <w:pPr>
              <w:pStyle w:val="0"/>
            </w:pPr>
            <w:r>
              <w:rPr>
                <w:sz w:val="20"/>
              </w:rPr>
              <w:t xml:space="preserve">Государственная </w:t>
            </w:r>
            <w:hyperlink w:history="0" r:id="rId210" w:tooltip="Постановление Правительства ХМАО - Югры от 31.10.2021 N 487-п (ред. от 13.10.2023) &quot;О государственной программе Ханты-Мансийского автономного округа - Югры &quot;Развитие гражданского общества&quot; {КонсультантПлюс}">
              <w:r>
                <w:rPr>
                  <w:sz w:val="20"/>
                  <w:color w:val="0000ff"/>
                </w:rPr>
                <w:t xml:space="preserve">программа</w:t>
              </w:r>
            </w:hyperlink>
            <w:r>
              <w:rPr>
                <w:sz w:val="20"/>
              </w:rPr>
              <w:t xml:space="preserve"> автономного округа "Развитие гражданского общества", утвержденная постановлением Правительства автономного округа от 31 октября 2021 года N 487-п</w:t>
            </w:r>
          </w:p>
        </w:tc>
        <w:tc>
          <w:tcPr>
            <w:tcW w:w="3458" w:type="dxa"/>
          </w:tcPr>
          <w:p>
            <w:pPr>
              <w:pStyle w:val="0"/>
            </w:pPr>
            <w:r>
              <w:rPr>
                <w:sz w:val="20"/>
              </w:rPr>
              <w:t xml:space="preserve">размещение материалов в печатных СМИ - 50, в сети Интернет - 300, в электронных СМИ (ТВ, радио) - 50, в социальных медиа - 600</w:t>
            </w:r>
          </w:p>
        </w:tc>
      </w:tr>
      <w:tr>
        <w:tc>
          <w:tcPr>
            <w:tcW w:w="424" w:type="dxa"/>
          </w:tcPr>
          <w:p>
            <w:pPr>
              <w:pStyle w:val="0"/>
            </w:pPr>
            <w:r>
              <w:rPr>
                <w:sz w:val="20"/>
              </w:rPr>
              <w:t xml:space="preserve">24.</w:t>
            </w:r>
          </w:p>
        </w:tc>
        <w:tc>
          <w:tcPr>
            <w:tcW w:w="3685" w:type="dxa"/>
          </w:tcPr>
          <w:p>
            <w:pPr>
              <w:pStyle w:val="0"/>
            </w:pPr>
            <w:r>
              <w:rPr>
                <w:sz w:val="20"/>
              </w:rPr>
              <w:t xml:space="preserve">Организация летней оздоровительной кампании</w:t>
            </w:r>
          </w:p>
        </w:tc>
        <w:tc>
          <w:tcPr>
            <w:tcW w:w="1587" w:type="dxa"/>
          </w:tcPr>
          <w:p>
            <w:pPr>
              <w:pStyle w:val="0"/>
            </w:pPr>
            <w:r>
              <w:rPr>
                <w:sz w:val="20"/>
              </w:rPr>
              <w:t xml:space="preserve">1 июня - 31 августа 2022 года</w:t>
            </w:r>
          </w:p>
        </w:tc>
        <w:tc>
          <w:tcPr>
            <w:tcW w:w="3742" w:type="dxa"/>
          </w:tcPr>
          <w:p>
            <w:pPr>
              <w:pStyle w:val="0"/>
            </w:pPr>
            <w:r>
              <w:rPr>
                <w:sz w:val="20"/>
              </w:rPr>
              <w:t xml:space="preserve">Департамент образования и науки автономного округа, муниципальные органы управления образованием (по согласованию), образовательные организации автономного округа (по согласованию)</w:t>
            </w:r>
          </w:p>
        </w:tc>
        <w:tc>
          <w:tcPr>
            <w:tcW w:w="3458" w:type="dxa"/>
          </w:tcPr>
          <w:p>
            <w:pPr>
              <w:pStyle w:val="0"/>
            </w:pPr>
            <w:r>
              <w:rPr>
                <w:sz w:val="20"/>
              </w:rPr>
              <w:t xml:space="preserve">Государственная </w:t>
            </w:r>
            <w:hyperlink w:history="0" r:id="rId211" w:tooltip="Постановление Правительства ХМАО - Югры от 31.10.2021 N 468-п (ред. от 13.10.2023) &quot;О государственной программе Ханты-Мансийского автономного округа - Югры &quot;Развитие образования&quot; {КонсультантПлюс}">
              <w:r>
                <w:rPr>
                  <w:sz w:val="20"/>
                  <w:color w:val="0000ff"/>
                </w:rPr>
                <w:t xml:space="preserve">программа</w:t>
              </w:r>
            </w:hyperlink>
            <w:r>
              <w:rPr>
                <w:sz w:val="20"/>
              </w:rPr>
              <w:t xml:space="preserve"> автономного округа "Развитие образования", утвержденная постановлением Правительства автономного округа от 31 октября 2021 года N 468-п</w:t>
            </w:r>
          </w:p>
        </w:tc>
        <w:tc>
          <w:tcPr>
            <w:tcW w:w="3458" w:type="dxa"/>
          </w:tcPr>
          <w:p>
            <w:pPr>
              <w:pStyle w:val="0"/>
            </w:pPr>
            <w:r>
              <w:rPr>
                <w:sz w:val="20"/>
              </w:rPr>
              <w:t xml:space="preserve">охват не менее 40000 детей</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10</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ind w:firstLine="540"/>
        <w:jc w:val="both"/>
      </w:pPr>
      <w:r>
        <w:rPr>
          <w:sz w:val="20"/>
        </w:rPr>
      </w:r>
    </w:p>
    <w:bookmarkStart w:id="24347" w:name="P24347"/>
    <w:bookmarkEnd w:id="24347"/>
    <w:p>
      <w:pPr>
        <w:pStyle w:val="2"/>
        <w:jc w:val="center"/>
      </w:pPr>
      <w:r>
        <w:rPr>
          <w:sz w:val="20"/>
        </w:rPr>
        <w:t xml:space="preserve">РЕГИОНАЛЬНАЯ ПРОГРАММА</w:t>
      </w:r>
    </w:p>
    <w:p>
      <w:pPr>
        <w:pStyle w:val="2"/>
        <w:jc w:val="center"/>
      </w:pPr>
      <w:r>
        <w:rPr>
          <w:sz w:val="20"/>
        </w:rPr>
        <w:t xml:space="preserve">"ОПТИМАЛЬНАЯ ДЛЯ ВОССТАНОВЛЕНИЯ ЗДОРОВЬЯ МЕДИЦИНСКАЯ</w:t>
      </w:r>
    </w:p>
    <w:p>
      <w:pPr>
        <w:pStyle w:val="2"/>
        <w:jc w:val="center"/>
      </w:pPr>
      <w:r>
        <w:rPr>
          <w:sz w:val="20"/>
        </w:rPr>
        <w:t xml:space="preserve">РЕАБИЛИТАЦИЯ В ХАНТЫ-МАНСИЙСКОМ АВТОНОМНОМ ОКРУГЕ - ЮГРЕ"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12" w:tooltip="Постановление Правительства ХМАО - Югры от 14.07.2023 N 332-п &quot;О внесении изменения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постановления</w:t>
              </w:r>
            </w:hyperlink>
            <w:r>
              <w:rPr>
                <w:sz w:val="20"/>
                <w:color w:val="392c69"/>
              </w:rPr>
              <w:t xml:space="preserve"> Правительства ХМАО - Югры от 14.07.2023 N 332-п)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1"/>
        <w:jc w:val="center"/>
      </w:pPr>
      <w:r>
        <w:rPr>
          <w:sz w:val="20"/>
        </w:rPr>
        <w:t xml:space="preserve">Введение</w:t>
      </w:r>
    </w:p>
    <w:p>
      <w:pPr>
        <w:pStyle w:val="0"/>
        <w:ind w:firstLine="540"/>
        <w:jc w:val="both"/>
      </w:pPr>
      <w:r>
        <w:rPr>
          <w:sz w:val="20"/>
        </w:rPr>
      </w:r>
    </w:p>
    <w:p>
      <w:pPr>
        <w:pStyle w:val="0"/>
        <w:ind w:firstLine="540"/>
        <w:jc w:val="both"/>
      </w:pPr>
      <w:r>
        <w:rPr>
          <w:sz w:val="20"/>
        </w:rPr>
        <w:t xml:space="preserve">Региональная программа "Оптимальная для восстановления здоровья медицинская реабилитация в Ханты-Мансийском автономном округе - Югре" (далее - Региональная программа, автономный округ, регион) разработана в соответствии со </w:t>
      </w:r>
      <w:hyperlink w:history="0" r:id="rId213"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статьей 40</w:t>
        </w:r>
      </w:hyperlink>
      <w:r>
        <w:rPr>
          <w:sz w:val="20"/>
        </w:rPr>
        <w:t xml:space="preserve"> Федерального закона от 21 ноября 2011 года N 323-ФЗ "Об основах охраны здоровья граждан в Российской Федерации", приказами Министерства здравоохранения Российской Федерации (далее - Минздрав России) от 23 октября 2019 года </w:t>
      </w:r>
      <w:hyperlink w:history="0" r:id="rId214"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0"/>
            <w:color w:val="0000ff"/>
          </w:rPr>
          <w:t xml:space="preserve">N 878н</w:t>
        </w:r>
      </w:hyperlink>
      <w:r>
        <w:rPr>
          <w:sz w:val="20"/>
        </w:rPr>
        <w:t xml:space="preserve"> "Об утверждении Порядка организации медицинской реабилитации детей", от 31 июля 2020 года </w:t>
      </w:r>
      <w:hyperlink w:history="0" r:id="rId215"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N 788н</w:t>
        </w:r>
      </w:hyperlink>
      <w:r>
        <w:rPr>
          <w:sz w:val="20"/>
        </w:rPr>
        <w:t xml:space="preserve"> "Об утверждении Порядка организации медицинской реабилитации взрослых", Требованиями к региональным программам "Оптимальная для восстановления здоровья медицинская реабилитация", утвержденными Минздравом России 31 января 2022 года.</w:t>
      </w:r>
    </w:p>
    <w:p>
      <w:pPr>
        <w:pStyle w:val="0"/>
        <w:spacing w:before="200" w:line-rule="auto"/>
        <w:ind w:firstLine="540"/>
        <w:jc w:val="both"/>
      </w:pPr>
      <w:r>
        <w:rPr>
          <w:sz w:val="20"/>
        </w:rPr>
        <w:t xml:space="preserve">Региональная программа направлена на совершенствование системы медицинской реабилитации на всех этапах, включая обеспечение доступности качественной медицинской помощи по медицинской реабилитации, в целях снижения уровня инвалидизации населения и увеличения продолжительности активной жизни граждан.</w:t>
      </w:r>
    </w:p>
    <w:p>
      <w:pPr>
        <w:pStyle w:val="0"/>
        <w:ind w:firstLine="540"/>
        <w:jc w:val="both"/>
      </w:pPr>
      <w:r>
        <w:rPr>
          <w:sz w:val="20"/>
        </w:rPr>
      </w:r>
    </w:p>
    <w:p>
      <w:pPr>
        <w:pStyle w:val="2"/>
        <w:outlineLvl w:val="1"/>
        <w:jc w:val="center"/>
      </w:pPr>
      <w:r>
        <w:rPr>
          <w:sz w:val="20"/>
        </w:rPr>
        <w:t xml:space="preserve">Раздел I. АНАЛИЗ ТЕКУЩЕГО СОСТОЯНИЯ СИСТЕМЫ МЕДИЦИНСКОЙ</w:t>
      </w:r>
    </w:p>
    <w:p>
      <w:pPr>
        <w:pStyle w:val="2"/>
        <w:jc w:val="center"/>
      </w:pPr>
      <w:r>
        <w:rPr>
          <w:sz w:val="20"/>
        </w:rPr>
        <w:t xml:space="preserve">РЕАБИЛИТАЦИИ В АВТОНОМНОМ ОКРУГЕ. ОСНОВНЫЕ ПОКАЗАТЕЛИ</w:t>
      </w:r>
    </w:p>
    <w:p>
      <w:pPr>
        <w:pStyle w:val="2"/>
        <w:jc w:val="center"/>
      </w:pPr>
      <w:r>
        <w:rPr>
          <w:sz w:val="20"/>
        </w:rPr>
        <w:t xml:space="preserve">ОКАЗАНИЯ МЕДИЦИНСКОЙ ПОМОЩИ ПО МЕДИЦИНСКОЙ РЕАБИЛИТАЦИИ</w:t>
      </w:r>
    </w:p>
    <w:p>
      <w:pPr>
        <w:pStyle w:val="2"/>
        <w:jc w:val="center"/>
      </w:pPr>
      <w:r>
        <w:rPr>
          <w:sz w:val="20"/>
        </w:rPr>
        <w:t xml:space="preserve">НАСЕЛЕНИЮ АВТОНОМНОГО ОКРУГА</w:t>
      </w:r>
    </w:p>
    <w:p>
      <w:pPr>
        <w:pStyle w:val="0"/>
        <w:ind w:firstLine="540"/>
        <w:jc w:val="both"/>
      </w:pPr>
      <w:r>
        <w:rPr>
          <w:sz w:val="20"/>
        </w:rPr>
      </w:r>
    </w:p>
    <w:p>
      <w:pPr>
        <w:pStyle w:val="2"/>
        <w:outlineLvl w:val="2"/>
        <w:jc w:val="center"/>
      </w:pPr>
      <w:r>
        <w:rPr>
          <w:sz w:val="20"/>
        </w:rPr>
        <w:t xml:space="preserve">1.1. Краткая характеристика автономного округа, анализ</w:t>
      </w:r>
    </w:p>
    <w:p>
      <w:pPr>
        <w:pStyle w:val="2"/>
        <w:jc w:val="center"/>
      </w:pPr>
      <w:r>
        <w:rPr>
          <w:sz w:val="20"/>
        </w:rPr>
        <w:t xml:space="preserve">особенностей региона, в том числе географических,</w:t>
      </w:r>
    </w:p>
    <w:p>
      <w:pPr>
        <w:pStyle w:val="2"/>
        <w:jc w:val="center"/>
      </w:pPr>
      <w:r>
        <w:rPr>
          <w:sz w:val="20"/>
        </w:rPr>
        <w:t xml:space="preserve">территориальных, экономических</w:t>
      </w:r>
    </w:p>
    <w:p>
      <w:pPr>
        <w:pStyle w:val="0"/>
        <w:jc w:val="center"/>
      </w:pPr>
      <w:r>
        <w:rPr>
          <w:sz w:val="20"/>
        </w:rPr>
      </w:r>
    </w:p>
    <w:p>
      <w:pPr>
        <w:pStyle w:val="0"/>
        <w:ind w:firstLine="540"/>
        <w:jc w:val="both"/>
      </w:pPr>
      <w:r>
        <w:rPr>
          <w:sz w:val="20"/>
        </w:rPr>
        <w:t xml:space="preserve">Автономный округ расположен в серединной части Российской Федерации (далее также - РФ) и Евразийского материка. С запада на восток территория региона простирается на 1 400 км от восточных склонов Северного Урала почти до берегов Енисея; с севера на юг - на 900 км от Сибирских Увалов до тайги Кондинского муниципального района. Протяженность границ автономного округа составляет 4 733 км.</w:t>
      </w:r>
    </w:p>
    <w:p>
      <w:pPr>
        <w:pStyle w:val="0"/>
        <w:spacing w:before="200" w:line-rule="auto"/>
        <w:ind w:firstLine="540"/>
        <w:jc w:val="both"/>
      </w:pPr>
      <w:r>
        <w:rPr>
          <w:sz w:val="20"/>
        </w:rPr>
        <w:t xml:space="preserve">Автономный округ граничит на севере с Ямало-Ненецким автономным округом, северо-западе - с Республикой Коми, юго-западе - со Свердловской областью, юге - с Тобольским и Уватским районами Тюменской области, юго-востоке и востоке - с Томской областью и Красноярским краем.</w:t>
      </w:r>
    </w:p>
    <w:p>
      <w:pPr>
        <w:pStyle w:val="0"/>
        <w:spacing w:before="200" w:line-rule="auto"/>
        <w:ind w:firstLine="540"/>
        <w:jc w:val="both"/>
      </w:pPr>
      <w:r>
        <w:rPr>
          <w:sz w:val="20"/>
        </w:rPr>
        <w:t xml:space="preserve">Площадь автономного округа составляет 534,8 тыс. кв. км. На территории автономного округа создано 105 муниципальных образований (13 городских округов, 9 муниципальных районов, 26 городских и 57 сельских поселений) и расположено 194 населенных пункта, из них: 16 городов (14 наделены статусом "город окружного значения"), 24 поселка городского типа, 58 поселков, 45 сел, 51 деревня.</w:t>
      </w:r>
    </w:p>
    <w:p>
      <w:pPr>
        <w:pStyle w:val="0"/>
        <w:spacing w:before="200" w:line-rule="auto"/>
        <w:ind w:firstLine="540"/>
        <w:jc w:val="both"/>
      </w:pPr>
      <w:r>
        <w:rPr>
          <w:sz w:val="20"/>
        </w:rPr>
        <w:t xml:space="preserve">Плотность населения составляет 3,2 человек на 1 кв. км. Данный факт обуславливает географические сложности оказания медицинской помощи жителям отдаленных территорий.</w:t>
      </w:r>
    </w:p>
    <w:p>
      <w:pPr>
        <w:pStyle w:val="0"/>
        <w:spacing w:before="200" w:line-rule="auto"/>
        <w:ind w:firstLine="540"/>
        <w:jc w:val="both"/>
      </w:pPr>
      <w:r>
        <w:rPr>
          <w:sz w:val="20"/>
        </w:rPr>
        <w:t xml:space="preserve">Приоритетным направлением экономики автономного округа является добыча углеводородного сырья, также развиваются энергетика, строительство, транспортная инфраструктура и другие отрасли. Автономный округ является основным нефтегазоносным регионом РФ и одним из крупнейших нефтедобывающих регионов мира, относится к регионам-донорам РФ. Автономный округ занимает лидирующие позиции по ряду основных экономических показателей в РФ:</w:t>
      </w:r>
    </w:p>
    <w:p>
      <w:pPr>
        <w:pStyle w:val="0"/>
        <w:spacing w:before="200" w:line-rule="auto"/>
        <w:ind w:firstLine="540"/>
        <w:jc w:val="both"/>
      </w:pPr>
      <w:r>
        <w:rPr>
          <w:sz w:val="20"/>
        </w:rPr>
        <w:t xml:space="preserve">I место - по добыче нефти;</w:t>
      </w:r>
    </w:p>
    <w:p>
      <w:pPr>
        <w:pStyle w:val="0"/>
        <w:spacing w:before="200" w:line-rule="auto"/>
        <w:ind w:firstLine="540"/>
        <w:jc w:val="both"/>
      </w:pPr>
      <w:r>
        <w:rPr>
          <w:sz w:val="20"/>
        </w:rPr>
        <w:t xml:space="preserve">I место - по производству электроэнергии;</w:t>
      </w:r>
    </w:p>
    <w:p>
      <w:pPr>
        <w:pStyle w:val="0"/>
        <w:spacing w:before="200" w:line-rule="auto"/>
        <w:ind w:firstLine="540"/>
        <w:jc w:val="both"/>
      </w:pPr>
      <w:r>
        <w:rPr>
          <w:sz w:val="20"/>
        </w:rPr>
        <w:t xml:space="preserve">II место - по объему промышленного производства;</w:t>
      </w:r>
    </w:p>
    <w:p>
      <w:pPr>
        <w:pStyle w:val="0"/>
        <w:spacing w:before="200" w:line-rule="auto"/>
        <w:ind w:firstLine="540"/>
        <w:jc w:val="both"/>
      </w:pPr>
      <w:r>
        <w:rPr>
          <w:sz w:val="20"/>
        </w:rPr>
        <w:t xml:space="preserve">II место - по добыче газа;</w:t>
      </w:r>
    </w:p>
    <w:p>
      <w:pPr>
        <w:pStyle w:val="0"/>
        <w:spacing w:before="200" w:line-rule="auto"/>
        <w:ind w:firstLine="540"/>
        <w:jc w:val="both"/>
      </w:pPr>
      <w:r>
        <w:rPr>
          <w:sz w:val="20"/>
        </w:rPr>
        <w:t xml:space="preserve">II место - по поступлению налогов в бюджетную систему;</w:t>
      </w:r>
    </w:p>
    <w:p>
      <w:pPr>
        <w:pStyle w:val="0"/>
        <w:spacing w:before="200" w:line-rule="auto"/>
        <w:ind w:firstLine="540"/>
        <w:jc w:val="both"/>
      </w:pPr>
      <w:r>
        <w:rPr>
          <w:sz w:val="20"/>
        </w:rPr>
        <w:t xml:space="preserve">III место - по объему инвестиций в основной капитал.</w:t>
      </w:r>
    </w:p>
    <w:p>
      <w:pPr>
        <w:pStyle w:val="0"/>
        <w:spacing w:before="200" w:line-rule="auto"/>
        <w:ind w:firstLine="540"/>
        <w:jc w:val="both"/>
      </w:pPr>
      <w:r>
        <w:rPr>
          <w:sz w:val="20"/>
        </w:rPr>
        <w:t xml:space="preserve">По данным Федеральной службы государственной статистики (далее - Росстат), на 1 января 2023 года численность населения автономного округа с учетом итогов Всероссийской переписи населения 2020 года составила 1 730 353 человека, из них сельских жителей - 134 587 человек (7,8% от общего числа населения автономного округа). Автономный округ - третий в Уральском федеральном округе (далее также - УрФО) по численности населения.</w:t>
      </w:r>
    </w:p>
    <w:p>
      <w:pPr>
        <w:pStyle w:val="0"/>
        <w:spacing w:before="200" w:line-rule="auto"/>
        <w:ind w:firstLine="540"/>
        <w:jc w:val="both"/>
      </w:pPr>
      <w:r>
        <w:rPr>
          <w:sz w:val="20"/>
        </w:rPr>
        <w:t xml:space="preserve">За 3 года численность населения региона увеличилась на 42,7 тыс. человек или на 2,5%, что обусловлено как миграционным, так и положительным естественным приростом.</w:t>
      </w:r>
    </w:p>
    <w:p>
      <w:pPr>
        <w:pStyle w:val="0"/>
        <w:spacing w:before="200" w:line-rule="auto"/>
        <w:ind w:firstLine="540"/>
        <w:jc w:val="both"/>
      </w:pPr>
      <w:r>
        <w:rPr>
          <w:sz w:val="20"/>
        </w:rPr>
        <w:t xml:space="preserve">В 2022 году абсолютное число естественного прироста +7 816 человек (2021 год - 5 297 человек, 2020 год - 7 739 человек).</w:t>
      </w:r>
    </w:p>
    <w:p>
      <w:pPr>
        <w:pStyle w:val="0"/>
        <w:ind w:firstLine="540"/>
        <w:jc w:val="both"/>
      </w:pPr>
      <w:r>
        <w:rPr>
          <w:sz w:val="20"/>
        </w:rPr>
      </w:r>
    </w:p>
    <w:p>
      <w:pPr>
        <w:pStyle w:val="0"/>
        <w:jc w:val="right"/>
      </w:pPr>
      <w:r>
        <w:rPr>
          <w:sz w:val="20"/>
        </w:rPr>
        <w:t xml:space="preserve">Таблица 1</w:t>
      </w:r>
    </w:p>
    <w:p>
      <w:pPr>
        <w:pStyle w:val="0"/>
        <w:jc w:val="right"/>
      </w:pPr>
      <w:r>
        <w:rPr>
          <w:sz w:val="20"/>
        </w:rPr>
      </w:r>
    </w:p>
    <w:p>
      <w:pPr>
        <w:pStyle w:val="0"/>
        <w:jc w:val="center"/>
      </w:pPr>
      <w:r>
        <w:rPr>
          <w:sz w:val="20"/>
        </w:rPr>
        <w:t xml:space="preserve">Медико-демографические показатели в автономном округе</w:t>
      </w:r>
    </w:p>
    <w:p>
      <w:pPr>
        <w:pStyle w:val="0"/>
        <w:jc w:val="center"/>
      </w:pPr>
      <w:r>
        <w:rPr>
          <w:sz w:val="20"/>
        </w:rPr>
        <w:t xml:space="preserve">за 2020 - 2022 годы (по данным Росстата, единой</w:t>
      </w:r>
    </w:p>
    <w:p>
      <w:pPr>
        <w:pStyle w:val="0"/>
        <w:jc w:val="center"/>
      </w:pPr>
      <w:r>
        <w:rPr>
          <w:sz w:val="20"/>
        </w:rPr>
        <w:t xml:space="preserve">межведомственной информационно-статистической системы)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984"/>
        <w:gridCol w:w="1871"/>
        <w:gridCol w:w="1984"/>
      </w:tblGrid>
      <w:tr>
        <w:tc>
          <w:tcPr>
            <w:tcW w:w="2721" w:type="dxa"/>
          </w:tcPr>
          <w:p>
            <w:pPr>
              <w:pStyle w:val="0"/>
              <w:jc w:val="center"/>
            </w:pPr>
            <w:r>
              <w:rPr>
                <w:sz w:val="20"/>
              </w:rPr>
              <w:t xml:space="preserve">Наименование показателя</w:t>
            </w:r>
          </w:p>
        </w:tc>
        <w:tc>
          <w:tcPr>
            <w:tcW w:w="1984" w:type="dxa"/>
          </w:tcPr>
          <w:p>
            <w:pPr>
              <w:pStyle w:val="0"/>
              <w:jc w:val="center"/>
            </w:pPr>
            <w:r>
              <w:rPr>
                <w:sz w:val="20"/>
              </w:rPr>
              <w:t xml:space="preserve">2020</w:t>
            </w:r>
          </w:p>
        </w:tc>
        <w:tc>
          <w:tcPr>
            <w:tcW w:w="1871" w:type="dxa"/>
          </w:tcPr>
          <w:p>
            <w:pPr>
              <w:pStyle w:val="0"/>
              <w:jc w:val="center"/>
            </w:pPr>
            <w:r>
              <w:rPr>
                <w:sz w:val="20"/>
              </w:rPr>
              <w:t xml:space="preserve">2021</w:t>
            </w:r>
          </w:p>
        </w:tc>
        <w:tc>
          <w:tcPr>
            <w:tcW w:w="1984" w:type="dxa"/>
          </w:tcPr>
          <w:p>
            <w:pPr>
              <w:pStyle w:val="0"/>
              <w:jc w:val="center"/>
            </w:pPr>
            <w:r>
              <w:rPr>
                <w:sz w:val="20"/>
              </w:rPr>
              <w:t xml:space="preserve">2022</w:t>
            </w:r>
          </w:p>
        </w:tc>
      </w:tr>
      <w:tr>
        <w:tc>
          <w:tcPr>
            <w:tcW w:w="2721" w:type="dxa"/>
          </w:tcPr>
          <w:p>
            <w:pPr>
              <w:pStyle w:val="0"/>
            </w:pPr>
            <w:r>
              <w:rPr>
                <w:sz w:val="20"/>
              </w:rPr>
              <w:t xml:space="preserve">Рождаемость</w:t>
            </w:r>
          </w:p>
          <w:p>
            <w:pPr>
              <w:pStyle w:val="0"/>
            </w:pPr>
            <w:r>
              <w:rPr>
                <w:sz w:val="20"/>
              </w:rPr>
              <w:t xml:space="preserve">(на 1 000 населения)</w:t>
            </w:r>
          </w:p>
        </w:tc>
        <w:tc>
          <w:tcPr>
            <w:tcW w:w="1984" w:type="dxa"/>
          </w:tcPr>
          <w:p>
            <w:pPr>
              <w:pStyle w:val="0"/>
            </w:pPr>
            <w:r>
              <w:rPr>
                <w:sz w:val="20"/>
              </w:rPr>
              <w:t xml:space="preserve">РФ - 9,8</w:t>
            </w:r>
          </w:p>
          <w:p>
            <w:pPr>
              <w:pStyle w:val="0"/>
            </w:pPr>
            <w:r>
              <w:rPr>
                <w:sz w:val="20"/>
              </w:rPr>
              <w:t xml:space="preserve">УрФО - 10,6</w:t>
            </w:r>
          </w:p>
          <w:p>
            <w:pPr>
              <w:pStyle w:val="0"/>
            </w:pPr>
            <w:r>
              <w:rPr>
                <w:sz w:val="20"/>
              </w:rPr>
              <w:t xml:space="preserve">автономный округ - 12,3</w:t>
            </w:r>
          </w:p>
        </w:tc>
        <w:tc>
          <w:tcPr>
            <w:tcW w:w="1871" w:type="dxa"/>
          </w:tcPr>
          <w:p>
            <w:pPr>
              <w:pStyle w:val="0"/>
            </w:pPr>
            <w:r>
              <w:rPr>
                <w:sz w:val="20"/>
              </w:rPr>
              <w:t xml:space="preserve">РФ - 9,6</w:t>
            </w:r>
          </w:p>
          <w:p>
            <w:pPr>
              <w:pStyle w:val="0"/>
            </w:pPr>
            <w:r>
              <w:rPr>
                <w:sz w:val="20"/>
              </w:rPr>
              <w:t xml:space="preserve">УрФО - 10,5</w:t>
            </w:r>
          </w:p>
          <w:p>
            <w:pPr>
              <w:pStyle w:val="0"/>
            </w:pPr>
            <w:r>
              <w:rPr>
                <w:sz w:val="20"/>
              </w:rPr>
              <w:t xml:space="preserve">автономный округ - 11,7</w:t>
            </w:r>
          </w:p>
        </w:tc>
        <w:tc>
          <w:tcPr>
            <w:tcW w:w="1984" w:type="dxa"/>
          </w:tcPr>
          <w:p>
            <w:pPr>
              <w:pStyle w:val="0"/>
            </w:pPr>
            <w:r>
              <w:rPr>
                <w:sz w:val="20"/>
              </w:rPr>
              <w:t xml:space="preserve">РФ - 9,0</w:t>
            </w:r>
          </w:p>
          <w:p>
            <w:pPr>
              <w:pStyle w:val="0"/>
            </w:pPr>
            <w:r>
              <w:rPr>
                <w:sz w:val="20"/>
              </w:rPr>
              <w:t xml:space="preserve">УрФО - 9,8</w:t>
            </w:r>
          </w:p>
          <w:p>
            <w:pPr>
              <w:pStyle w:val="0"/>
            </w:pPr>
            <w:r>
              <w:rPr>
                <w:sz w:val="20"/>
              </w:rPr>
              <w:t xml:space="preserve">автономный округ - 11,1</w:t>
            </w:r>
          </w:p>
        </w:tc>
      </w:tr>
      <w:tr>
        <w:tc>
          <w:tcPr>
            <w:tcW w:w="2721" w:type="dxa"/>
          </w:tcPr>
          <w:p>
            <w:pPr>
              <w:pStyle w:val="0"/>
            </w:pPr>
            <w:r>
              <w:rPr>
                <w:sz w:val="20"/>
              </w:rPr>
              <w:t xml:space="preserve">Смертность</w:t>
            </w:r>
          </w:p>
          <w:p>
            <w:pPr>
              <w:pStyle w:val="0"/>
            </w:pPr>
            <w:r>
              <w:rPr>
                <w:sz w:val="20"/>
              </w:rPr>
              <w:t xml:space="preserve">(на 1 000 населения)</w:t>
            </w:r>
          </w:p>
        </w:tc>
        <w:tc>
          <w:tcPr>
            <w:tcW w:w="1984" w:type="dxa"/>
          </w:tcPr>
          <w:p>
            <w:pPr>
              <w:pStyle w:val="0"/>
            </w:pPr>
            <w:r>
              <w:rPr>
                <w:sz w:val="20"/>
              </w:rPr>
              <w:t xml:space="preserve">РФ - 14,6</w:t>
            </w:r>
          </w:p>
          <w:p>
            <w:pPr>
              <w:pStyle w:val="0"/>
            </w:pPr>
            <w:r>
              <w:rPr>
                <w:sz w:val="20"/>
              </w:rPr>
              <w:t xml:space="preserve">УрФО - 13,9</w:t>
            </w:r>
          </w:p>
          <w:p>
            <w:pPr>
              <w:pStyle w:val="0"/>
            </w:pPr>
            <w:r>
              <w:rPr>
                <w:sz w:val="20"/>
              </w:rPr>
              <w:t xml:space="preserve">автономный округ - 7,6</w:t>
            </w:r>
          </w:p>
        </w:tc>
        <w:tc>
          <w:tcPr>
            <w:tcW w:w="1871" w:type="dxa"/>
          </w:tcPr>
          <w:p>
            <w:pPr>
              <w:pStyle w:val="0"/>
            </w:pPr>
            <w:r>
              <w:rPr>
                <w:sz w:val="20"/>
              </w:rPr>
              <w:t xml:space="preserve">РФ - 16,8</w:t>
            </w:r>
          </w:p>
          <w:p>
            <w:pPr>
              <w:pStyle w:val="0"/>
            </w:pPr>
            <w:r>
              <w:rPr>
                <w:sz w:val="20"/>
              </w:rPr>
              <w:t xml:space="preserve">УрФО - 15,7</w:t>
            </w:r>
          </w:p>
          <w:p>
            <w:pPr>
              <w:pStyle w:val="0"/>
            </w:pPr>
            <w:r>
              <w:rPr>
                <w:sz w:val="20"/>
              </w:rPr>
              <w:t xml:space="preserve">автономный округ - 8,5</w:t>
            </w:r>
          </w:p>
        </w:tc>
        <w:tc>
          <w:tcPr>
            <w:tcW w:w="1984" w:type="dxa"/>
          </w:tcPr>
          <w:p>
            <w:pPr>
              <w:pStyle w:val="0"/>
            </w:pPr>
            <w:r>
              <w:rPr>
                <w:sz w:val="20"/>
              </w:rPr>
              <w:t xml:space="preserve">РФ - 13,1</w:t>
            </w:r>
          </w:p>
          <w:p>
            <w:pPr>
              <w:pStyle w:val="0"/>
            </w:pPr>
            <w:r>
              <w:rPr>
                <w:sz w:val="20"/>
              </w:rPr>
              <w:t xml:space="preserve">УрФО - 12,1</w:t>
            </w:r>
          </w:p>
          <w:p>
            <w:pPr>
              <w:pStyle w:val="0"/>
            </w:pPr>
            <w:r>
              <w:rPr>
                <w:sz w:val="20"/>
              </w:rPr>
              <w:t xml:space="preserve">автономный округ - 6,5</w:t>
            </w:r>
          </w:p>
        </w:tc>
      </w:tr>
      <w:tr>
        <w:tc>
          <w:tcPr>
            <w:tcW w:w="2721" w:type="dxa"/>
          </w:tcPr>
          <w:p>
            <w:pPr>
              <w:pStyle w:val="0"/>
            </w:pPr>
            <w:r>
              <w:rPr>
                <w:sz w:val="20"/>
              </w:rPr>
              <w:t xml:space="preserve">Смертность населения в трудоспособном возрасте (число умерших на 100 000 чел. соответствующего возраста)</w:t>
            </w:r>
          </w:p>
        </w:tc>
        <w:tc>
          <w:tcPr>
            <w:tcW w:w="1984" w:type="dxa"/>
          </w:tcPr>
          <w:p>
            <w:pPr>
              <w:pStyle w:val="0"/>
            </w:pPr>
            <w:r>
              <w:rPr>
                <w:sz w:val="20"/>
              </w:rPr>
              <w:t xml:space="preserve">РФ - 548,2</w:t>
            </w:r>
          </w:p>
          <w:p>
            <w:pPr>
              <w:pStyle w:val="0"/>
            </w:pPr>
            <w:r>
              <w:rPr>
                <w:sz w:val="20"/>
              </w:rPr>
              <w:t xml:space="preserve">УрФО - 579,8</w:t>
            </w:r>
          </w:p>
          <w:p>
            <w:pPr>
              <w:pStyle w:val="0"/>
            </w:pPr>
            <w:r>
              <w:rPr>
                <w:sz w:val="20"/>
              </w:rPr>
              <w:t xml:space="preserve">автономный округ - 432,1</w:t>
            </w:r>
          </w:p>
        </w:tc>
        <w:tc>
          <w:tcPr>
            <w:tcW w:w="1871" w:type="dxa"/>
          </w:tcPr>
          <w:p>
            <w:pPr>
              <w:pStyle w:val="0"/>
            </w:pPr>
            <w:r>
              <w:rPr>
                <w:sz w:val="20"/>
              </w:rPr>
              <w:t xml:space="preserve">РФ - 604,4</w:t>
            </w:r>
          </w:p>
          <w:p>
            <w:pPr>
              <w:pStyle w:val="0"/>
            </w:pPr>
            <w:r>
              <w:rPr>
                <w:sz w:val="20"/>
              </w:rPr>
              <w:t xml:space="preserve">УрФО - 622,9</w:t>
            </w:r>
          </w:p>
          <w:p>
            <w:pPr>
              <w:pStyle w:val="0"/>
            </w:pPr>
            <w:r>
              <w:rPr>
                <w:sz w:val="20"/>
              </w:rPr>
              <w:t xml:space="preserve">автономный округ - 435,0</w:t>
            </w:r>
          </w:p>
        </w:tc>
        <w:tc>
          <w:tcPr>
            <w:tcW w:w="1984" w:type="dxa"/>
          </w:tcPr>
          <w:p>
            <w:pPr>
              <w:pStyle w:val="0"/>
            </w:pPr>
            <w:r>
              <w:rPr>
                <w:sz w:val="20"/>
              </w:rPr>
              <w:t xml:space="preserve">РФ - 604,6</w:t>
            </w:r>
          </w:p>
          <w:p>
            <w:pPr>
              <w:pStyle w:val="0"/>
            </w:pPr>
            <w:r>
              <w:rPr>
                <w:sz w:val="20"/>
              </w:rPr>
              <w:t xml:space="preserve">УрФО - нет данных</w:t>
            </w:r>
          </w:p>
          <w:p>
            <w:pPr>
              <w:pStyle w:val="0"/>
            </w:pPr>
            <w:r>
              <w:rPr>
                <w:sz w:val="20"/>
              </w:rPr>
              <w:t xml:space="preserve">автономный округ - 380,2</w:t>
            </w:r>
          </w:p>
        </w:tc>
      </w:tr>
      <w:tr>
        <w:tc>
          <w:tcPr>
            <w:tcW w:w="2721" w:type="dxa"/>
          </w:tcPr>
          <w:p>
            <w:pPr>
              <w:pStyle w:val="0"/>
            </w:pPr>
            <w:r>
              <w:rPr>
                <w:sz w:val="20"/>
              </w:rPr>
              <w:t xml:space="preserve">Естественный прирост, убыль (-) на 1 000 населения</w:t>
            </w:r>
          </w:p>
        </w:tc>
        <w:tc>
          <w:tcPr>
            <w:tcW w:w="1984" w:type="dxa"/>
          </w:tcPr>
          <w:p>
            <w:pPr>
              <w:pStyle w:val="0"/>
            </w:pPr>
            <w:r>
              <w:rPr>
                <w:sz w:val="20"/>
              </w:rPr>
              <w:t xml:space="preserve">РФ - 4,8</w:t>
            </w:r>
          </w:p>
          <w:p>
            <w:pPr>
              <w:pStyle w:val="0"/>
            </w:pPr>
            <w:r>
              <w:rPr>
                <w:sz w:val="20"/>
              </w:rPr>
              <w:t xml:space="preserve">УрФО - 3,3</w:t>
            </w:r>
          </w:p>
          <w:p>
            <w:pPr>
              <w:pStyle w:val="0"/>
            </w:pPr>
            <w:r>
              <w:rPr>
                <w:sz w:val="20"/>
              </w:rPr>
              <w:t xml:space="preserve">автономный округ +4,7</w:t>
            </w:r>
          </w:p>
        </w:tc>
        <w:tc>
          <w:tcPr>
            <w:tcW w:w="1871" w:type="dxa"/>
          </w:tcPr>
          <w:p>
            <w:pPr>
              <w:pStyle w:val="0"/>
            </w:pPr>
            <w:r>
              <w:rPr>
                <w:sz w:val="20"/>
              </w:rPr>
              <w:t xml:space="preserve">РФ - 7,2</w:t>
            </w:r>
          </w:p>
          <w:p>
            <w:pPr>
              <w:pStyle w:val="0"/>
            </w:pPr>
            <w:r>
              <w:rPr>
                <w:sz w:val="20"/>
              </w:rPr>
              <w:t xml:space="preserve">УрФО - 5,2</w:t>
            </w:r>
          </w:p>
          <w:p>
            <w:pPr>
              <w:pStyle w:val="0"/>
            </w:pPr>
            <w:r>
              <w:rPr>
                <w:sz w:val="20"/>
              </w:rPr>
              <w:t xml:space="preserve">автономный округ +3,2</w:t>
            </w:r>
          </w:p>
        </w:tc>
        <w:tc>
          <w:tcPr>
            <w:tcW w:w="1984" w:type="dxa"/>
          </w:tcPr>
          <w:p>
            <w:pPr>
              <w:pStyle w:val="0"/>
            </w:pPr>
            <w:r>
              <w:rPr>
                <w:sz w:val="20"/>
              </w:rPr>
              <w:t xml:space="preserve">РФ - 4,1</w:t>
            </w:r>
          </w:p>
          <w:p>
            <w:pPr>
              <w:pStyle w:val="0"/>
            </w:pPr>
            <w:r>
              <w:rPr>
                <w:sz w:val="20"/>
              </w:rPr>
              <w:t xml:space="preserve">УрФО - 2,3</w:t>
            </w:r>
          </w:p>
          <w:p>
            <w:pPr>
              <w:pStyle w:val="0"/>
            </w:pPr>
            <w:r>
              <w:rPr>
                <w:sz w:val="20"/>
              </w:rPr>
              <w:t xml:space="preserve">автономный округ +4,6</w:t>
            </w:r>
          </w:p>
        </w:tc>
      </w:tr>
      <w:tr>
        <w:tc>
          <w:tcPr>
            <w:tcW w:w="2721" w:type="dxa"/>
          </w:tcPr>
          <w:p>
            <w:pPr>
              <w:pStyle w:val="0"/>
            </w:pPr>
            <w:r>
              <w:rPr>
                <w:sz w:val="20"/>
              </w:rPr>
              <w:t xml:space="preserve">Ожидаемая продолжительность жизни при рождении, число лет</w:t>
            </w:r>
          </w:p>
        </w:tc>
        <w:tc>
          <w:tcPr>
            <w:tcW w:w="1984" w:type="dxa"/>
          </w:tcPr>
          <w:p>
            <w:pPr>
              <w:pStyle w:val="0"/>
            </w:pPr>
            <w:r>
              <w:rPr>
                <w:sz w:val="20"/>
              </w:rPr>
              <w:t xml:space="preserve">РФ - 71,54</w:t>
            </w:r>
          </w:p>
          <w:p>
            <w:pPr>
              <w:pStyle w:val="0"/>
            </w:pPr>
            <w:r>
              <w:rPr>
                <w:sz w:val="20"/>
              </w:rPr>
              <w:t xml:space="preserve">УрФО - 70,81</w:t>
            </w:r>
          </w:p>
          <w:p>
            <w:pPr>
              <w:pStyle w:val="0"/>
            </w:pPr>
            <w:r>
              <w:rPr>
                <w:sz w:val="20"/>
              </w:rPr>
              <w:t xml:space="preserve">автономный округ - 72,9</w:t>
            </w:r>
          </w:p>
        </w:tc>
        <w:tc>
          <w:tcPr>
            <w:tcW w:w="1871" w:type="dxa"/>
          </w:tcPr>
          <w:p>
            <w:pPr>
              <w:pStyle w:val="0"/>
            </w:pPr>
            <w:r>
              <w:rPr>
                <w:sz w:val="20"/>
              </w:rPr>
              <w:t xml:space="preserve">РФ - 70,06</w:t>
            </w:r>
          </w:p>
          <w:p>
            <w:pPr>
              <w:pStyle w:val="0"/>
            </w:pPr>
            <w:r>
              <w:rPr>
                <w:sz w:val="20"/>
              </w:rPr>
              <w:t xml:space="preserve">УрФО - 69,61</w:t>
            </w:r>
          </w:p>
          <w:p>
            <w:pPr>
              <w:pStyle w:val="0"/>
            </w:pPr>
            <w:r>
              <w:rPr>
                <w:sz w:val="20"/>
              </w:rPr>
              <w:t xml:space="preserve">автономный округ - 72,01</w:t>
            </w:r>
          </w:p>
        </w:tc>
        <w:tc>
          <w:tcPr>
            <w:tcW w:w="1984" w:type="dxa"/>
          </w:tcPr>
          <w:p>
            <w:pPr>
              <w:pStyle w:val="0"/>
            </w:pPr>
            <w:r>
              <w:rPr>
                <w:sz w:val="20"/>
              </w:rPr>
              <w:t xml:space="preserve">РФ - 72,76</w:t>
            </w:r>
          </w:p>
          <w:p>
            <w:pPr>
              <w:pStyle w:val="0"/>
            </w:pPr>
            <w:r>
              <w:rPr>
                <w:sz w:val="20"/>
              </w:rPr>
              <w:t xml:space="preserve">УрФО - 72,44</w:t>
            </w:r>
          </w:p>
          <w:p>
            <w:pPr>
              <w:pStyle w:val="0"/>
            </w:pPr>
            <w:r>
              <w:rPr>
                <w:sz w:val="20"/>
              </w:rPr>
              <w:t xml:space="preserve">автономный округ - 75,42</w:t>
            </w:r>
          </w:p>
        </w:tc>
      </w:tr>
    </w:tbl>
    <w:p>
      <w:pPr>
        <w:pStyle w:val="0"/>
        <w:ind w:firstLine="540"/>
        <w:jc w:val="both"/>
      </w:pPr>
      <w:r>
        <w:rPr>
          <w:sz w:val="20"/>
        </w:rPr>
      </w:r>
    </w:p>
    <w:p>
      <w:pPr>
        <w:pStyle w:val="0"/>
        <w:ind w:firstLine="540"/>
        <w:jc w:val="both"/>
      </w:pPr>
      <w:r>
        <w:rPr>
          <w:sz w:val="20"/>
        </w:rPr>
        <w:t xml:space="preserve">Для автономного округа характерна стабильная медико-демографическая ситуация, высокий коэффициент рождаемости (11,1) при низком показателе смертности (6,5) населения.</w:t>
      </w:r>
    </w:p>
    <w:p>
      <w:pPr>
        <w:pStyle w:val="0"/>
        <w:spacing w:before="200" w:line-rule="auto"/>
        <w:ind w:firstLine="540"/>
        <w:jc w:val="both"/>
      </w:pPr>
      <w:r>
        <w:rPr>
          <w:sz w:val="20"/>
        </w:rPr>
        <w:t xml:space="preserve">В 2022 году в регионе родился 18 991 ребенок (2021 год - 19 683 ребенка, 2020 год - 20 598 детей).</w:t>
      </w:r>
    </w:p>
    <w:p>
      <w:pPr>
        <w:pStyle w:val="0"/>
        <w:ind w:firstLine="540"/>
        <w:jc w:val="both"/>
      </w:pPr>
      <w:r>
        <w:rPr>
          <w:sz w:val="20"/>
        </w:rPr>
      </w:r>
    </w:p>
    <w:p>
      <w:pPr>
        <w:pStyle w:val="0"/>
        <w:jc w:val="right"/>
      </w:pPr>
      <w:r>
        <w:rPr>
          <w:sz w:val="20"/>
        </w:rPr>
        <w:t xml:space="preserve">Рисунок 1</w:t>
      </w:r>
    </w:p>
    <w:p>
      <w:pPr>
        <w:pStyle w:val="0"/>
        <w:jc w:val="right"/>
      </w:pPr>
      <w:r>
        <w:rPr>
          <w:sz w:val="20"/>
        </w:rPr>
      </w:r>
    </w:p>
    <w:p>
      <w:pPr>
        <w:pStyle w:val="0"/>
        <w:jc w:val="center"/>
      </w:pPr>
      <w:r>
        <w:rPr>
          <w:sz w:val="20"/>
        </w:rPr>
        <w:t xml:space="preserve">Рождаемость в Российской Федерации, Уральском федеральном</w:t>
      </w:r>
    </w:p>
    <w:p>
      <w:pPr>
        <w:pStyle w:val="0"/>
        <w:jc w:val="center"/>
      </w:pPr>
      <w:r>
        <w:rPr>
          <w:sz w:val="20"/>
        </w:rPr>
        <w:t xml:space="preserve">округе, автономном округе за 2020 - 2022 годы (на 1 тыс.</w:t>
      </w:r>
    </w:p>
    <w:p>
      <w:pPr>
        <w:pStyle w:val="0"/>
        <w:jc w:val="center"/>
      </w:pPr>
      <w:r>
        <w:rPr>
          <w:sz w:val="20"/>
        </w:rPr>
        <w:t xml:space="preserve">населения)</w:t>
      </w:r>
    </w:p>
    <w:p>
      <w:pPr>
        <w:pStyle w:val="0"/>
        <w:jc w:val="center"/>
      </w:pPr>
      <w:r>
        <w:rPr>
          <w:sz w:val="20"/>
        </w:rPr>
      </w:r>
    </w:p>
    <w:p>
      <w:pPr>
        <w:pStyle w:val="0"/>
        <w:jc w:val="center"/>
      </w:pPr>
      <w:r>
        <w:rPr>
          <w:position w:val="-132"/>
        </w:rPr>
        <w:drawing>
          <wp:inline distT="0" distB="0" distL="0" distR="0">
            <wp:extent cx="4523105" cy="18040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4523105" cy="180403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Снижение показателя рождаемости в 2022 году в сравнении с 2020 годом:</w:t>
      </w:r>
    </w:p>
    <w:p>
      <w:pPr>
        <w:pStyle w:val="0"/>
        <w:spacing w:before="200" w:line-rule="auto"/>
        <w:ind w:firstLine="540"/>
        <w:jc w:val="both"/>
      </w:pPr>
      <w:r>
        <w:rPr>
          <w:sz w:val="20"/>
        </w:rPr>
        <w:t xml:space="preserve">по Российской Федерации - на 8,2%;</w:t>
      </w:r>
    </w:p>
    <w:p>
      <w:pPr>
        <w:pStyle w:val="0"/>
        <w:spacing w:before="200" w:line-rule="auto"/>
        <w:ind w:firstLine="540"/>
        <w:jc w:val="both"/>
      </w:pPr>
      <w:r>
        <w:rPr>
          <w:sz w:val="20"/>
        </w:rPr>
        <w:t xml:space="preserve">по Уральскому федеральному округу - на 7,5%;</w:t>
      </w:r>
    </w:p>
    <w:p>
      <w:pPr>
        <w:pStyle w:val="0"/>
        <w:spacing w:before="200" w:line-rule="auto"/>
        <w:ind w:firstLine="540"/>
        <w:jc w:val="both"/>
      </w:pPr>
      <w:r>
        <w:rPr>
          <w:sz w:val="20"/>
        </w:rPr>
        <w:t xml:space="preserve">по автономному округу - на 9,8%.</w:t>
      </w:r>
    </w:p>
    <w:p>
      <w:pPr>
        <w:pStyle w:val="0"/>
        <w:spacing w:before="200" w:line-rule="auto"/>
        <w:ind w:firstLine="540"/>
        <w:jc w:val="both"/>
      </w:pPr>
      <w:r>
        <w:rPr>
          <w:sz w:val="20"/>
        </w:rPr>
        <w:t xml:space="preserve">По данным Единого государственного реестра органов записей актов гражданского состояния, за 2022 год в автономном округе зарегистрировано 11 175 случаев смерти (2021 год - 14 440 человек, 2020 год - 12 859 человек). Снижение абсолютного числа умерших в сравнении с 2020 годом составило минус 1 684 случая, в сравнении с 2021 годом - минус 3 265 случаев.</w:t>
      </w:r>
    </w:p>
    <w:p>
      <w:pPr>
        <w:pStyle w:val="0"/>
        <w:spacing w:before="200" w:line-rule="auto"/>
        <w:ind w:firstLine="540"/>
        <w:jc w:val="both"/>
      </w:pPr>
      <w:r>
        <w:rPr>
          <w:sz w:val="20"/>
        </w:rPr>
        <w:t xml:space="preserve">Уровень показателя смертности в автономном округе в 2 раза ниже уровня по Российской Федерации и Уральскому федеральному округу.</w:t>
      </w:r>
    </w:p>
    <w:p>
      <w:pPr>
        <w:pStyle w:val="0"/>
        <w:spacing w:before="200" w:line-rule="auto"/>
        <w:ind w:firstLine="540"/>
        <w:jc w:val="both"/>
      </w:pPr>
      <w:r>
        <w:rPr>
          <w:sz w:val="20"/>
        </w:rPr>
        <w:t xml:space="preserve">Ведущими классами заболеваний в структуре общей смертности в 2022 году, как и в предыдущие годы, являются болезни системы кровообращения (39,3%), новообразования (19,5%), внешние причины (7,6%). На смертность от болезней органов дыхания приходится 3,5%, от новой коронавирусной инфекции COVID-19 - 5,7% в структуре общей смертности.</w:t>
      </w:r>
    </w:p>
    <w:p>
      <w:pPr>
        <w:pStyle w:val="0"/>
        <w:jc w:val="center"/>
      </w:pPr>
      <w:r>
        <w:rPr>
          <w:sz w:val="20"/>
        </w:rPr>
      </w:r>
    </w:p>
    <w:p>
      <w:pPr>
        <w:pStyle w:val="2"/>
        <w:outlineLvl w:val="2"/>
        <w:jc w:val="center"/>
      </w:pPr>
      <w:r>
        <w:rPr>
          <w:sz w:val="20"/>
        </w:rPr>
        <w:t xml:space="preserve">1.2. Эпидемиологические показатели</w:t>
      </w:r>
    </w:p>
    <w:p>
      <w:pPr>
        <w:pStyle w:val="0"/>
        <w:ind w:firstLine="540"/>
        <w:jc w:val="both"/>
      </w:pPr>
      <w:r>
        <w:rPr>
          <w:sz w:val="20"/>
        </w:rPr>
      </w:r>
    </w:p>
    <w:p>
      <w:pPr>
        <w:pStyle w:val="0"/>
        <w:ind w:firstLine="540"/>
        <w:jc w:val="both"/>
      </w:pPr>
      <w:r>
        <w:rPr>
          <w:sz w:val="20"/>
        </w:rPr>
        <w:t xml:space="preserve">В 2022 году показатель общей заболеваемости населения автономного округа увеличился по всем классам болезней на 4,1% и составил 1 890,6 на 1 тыс. населения (в 2021 году - 1 816,8; по УрФО - 1 728,0; по РФ - 1 677,1 на 1 тыс. населения).</w:t>
      </w:r>
    </w:p>
    <w:p>
      <w:pPr>
        <w:pStyle w:val="0"/>
        <w:spacing w:before="200" w:line-rule="auto"/>
        <w:ind w:firstLine="540"/>
        <w:jc w:val="both"/>
      </w:pPr>
      <w:r>
        <w:rPr>
          <w:sz w:val="20"/>
        </w:rPr>
        <w:t xml:space="preserve">Показатель первичной заболеваемости населения автономного округа вырос на 3,7% (с 966,0 на 1 тыс. населения в 2022 году до 931,2 в 2021 году). Первичная заболеваемость населения в 2021 году по УрФО - 943,4, по РФ - 855,3 на 1 тыс. населения.</w:t>
      </w:r>
    </w:p>
    <w:p>
      <w:pPr>
        <w:pStyle w:val="0"/>
        <w:spacing w:before="200" w:line-rule="auto"/>
        <w:ind w:firstLine="540"/>
        <w:jc w:val="both"/>
      </w:pPr>
      <w:r>
        <w:rPr>
          <w:sz w:val="20"/>
        </w:rPr>
        <w:t xml:space="preserve">Рост общей и первичной заболеваемости обусловлен снятием ограничительных мер в деятельности амбулаторно-поликлинических медицинских организаций в 2022 году (возобновлением и проведением диспансеризации и диспансерного наблюдения) и, как следствие, увеличением количества обращений населения за получением медицинской помощи.</w:t>
      </w:r>
    </w:p>
    <w:p>
      <w:pPr>
        <w:pStyle w:val="0"/>
        <w:ind w:firstLine="540"/>
        <w:jc w:val="both"/>
      </w:pPr>
      <w:r>
        <w:rPr>
          <w:sz w:val="20"/>
        </w:rPr>
      </w:r>
    </w:p>
    <w:p>
      <w:pPr>
        <w:pStyle w:val="0"/>
        <w:jc w:val="right"/>
      </w:pPr>
      <w:r>
        <w:rPr>
          <w:sz w:val="20"/>
        </w:rPr>
        <w:t xml:space="preserve">Таблица 2</w:t>
      </w:r>
    </w:p>
    <w:p>
      <w:pPr>
        <w:pStyle w:val="0"/>
        <w:jc w:val="right"/>
      </w:pPr>
      <w:r>
        <w:rPr>
          <w:sz w:val="20"/>
        </w:rPr>
      </w:r>
    </w:p>
    <w:p>
      <w:pPr>
        <w:pStyle w:val="0"/>
        <w:jc w:val="center"/>
      </w:pPr>
      <w:r>
        <w:rPr>
          <w:sz w:val="20"/>
        </w:rPr>
        <w:t xml:space="preserve">Первичная заболеваемость населения автономного округа</w:t>
      </w:r>
    </w:p>
    <w:p>
      <w:pPr>
        <w:pStyle w:val="0"/>
        <w:jc w:val="center"/>
      </w:pPr>
      <w:r>
        <w:rPr>
          <w:sz w:val="20"/>
        </w:rPr>
        <w:t xml:space="preserve">по основным классам болезней за период 2020 - 2022 годы (на</w:t>
      </w:r>
    </w:p>
    <w:p>
      <w:pPr>
        <w:pStyle w:val="0"/>
        <w:jc w:val="center"/>
      </w:pPr>
      <w:r>
        <w:rPr>
          <w:sz w:val="20"/>
        </w:rPr>
        <w:t xml:space="preserve">1 тыс. чел.)</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12"/>
        <w:gridCol w:w="1077"/>
        <w:gridCol w:w="964"/>
        <w:gridCol w:w="1474"/>
        <w:gridCol w:w="784"/>
        <w:gridCol w:w="664"/>
      </w:tblGrid>
      <w:tr>
        <w:tc>
          <w:tcPr>
            <w:tcW w:w="3912" w:type="dxa"/>
            <w:vMerge w:val="restart"/>
          </w:tcPr>
          <w:p>
            <w:pPr>
              <w:pStyle w:val="0"/>
              <w:jc w:val="center"/>
            </w:pPr>
            <w:r>
              <w:rPr>
                <w:sz w:val="20"/>
              </w:rPr>
              <w:t xml:space="preserve">Классы болезней МКБ-10</w:t>
            </w:r>
          </w:p>
        </w:tc>
        <w:tc>
          <w:tcPr>
            <w:tcW w:w="1077" w:type="dxa"/>
            <w:vMerge w:val="restart"/>
          </w:tcPr>
          <w:p>
            <w:pPr>
              <w:pStyle w:val="0"/>
              <w:jc w:val="center"/>
            </w:pPr>
            <w:r>
              <w:rPr>
                <w:sz w:val="20"/>
              </w:rPr>
              <w:t xml:space="preserve">2020</w:t>
            </w:r>
          </w:p>
        </w:tc>
        <w:tc>
          <w:tcPr>
            <w:tcW w:w="964" w:type="dxa"/>
            <w:vMerge w:val="restart"/>
          </w:tcPr>
          <w:p>
            <w:pPr>
              <w:pStyle w:val="0"/>
              <w:jc w:val="center"/>
            </w:pPr>
            <w:r>
              <w:rPr>
                <w:sz w:val="20"/>
              </w:rPr>
              <w:t xml:space="preserve">2021</w:t>
            </w:r>
          </w:p>
        </w:tc>
        <w:tc>
          <w:tcPr>
            <w:gridSpan w:val="3"/>
            <w:tcW w:w="2922" w:type="dxa"/>
          </w:tcPr>
          <w:p>
            <w:pPr>
              <w:pStyle w:val="0"/>
              <w:jc w:val="center"/>
            </w:pPr>
            <w:r>
              <w:rPr>
                <w:sz w:val="20"/>
              </w:rPr>
              <w:t xml:space="preserve">2022</w:t>
            </w:r>
          </w:p>
        </w:tc>
      </w:tr>
      <w:tr>
        <w:tc>
          <w:tcPr>
            <w:vMerge w:val="continue"/>
          </w:tcPr>
          <w:p/>
        </w:tc>
        <w:tc>
          <w:tcPr>
            <w:vMerge w:val="continue"/>
          </w:tcPr>
          <w:p/>
        </w:tc>
        <w:tc>
          <w:tcPr>
            <w:vMerge w:val="continue"/>
          </w:tcPr>
          <w:p/>
        </w:tc>
        <w:tc>
          <w:tcPr>
            <w:tcW w:w="1474" w:type="dxa"/>
          </w:tcPr>
          <w:p>
            <w:pPr>
              <w:pStyle w:val="0"/>
              <w:jc w:val="center"/>
            </w:pPr>
            <w:r>
              <w:rPr>
                <w:sz w:val="20"/>
              </w:rPr>
              <w:t xml:space="preserve">Автономный округ</w:t>
            </w:r>
          </w:p>
        </w:tc>
        <w:tc>
          <w:tcPr>
            <w:tcW w:w="784" w:type="dxa"/>
          </w:tcPr>
          <w:p>
            <w:pPr>
              <w:pStyle w:val="0"/>
              <w:jc w:val="center"/>
            </w:pPr>
            <w:r>
              <w:rPr>
                <w:sz w:val="20"/>
              </w:rPr>
              <w:t xml:space="preserve">УрФО</w:t>
            </w:r>
          </w:p>
        </w:tc>
        <w:tc>
          <w:tcPr>
            <w:tcW w:w="664" w:type="dxa"/>
          </w:tcPr>
          <w:p>
            <w:pPr>
              <w:pStyle w:val="0"/>
              <w:jc w:val="center"/>
            </w:pPr>
            <w:r>
              <w:rPr>
                <w:sz w:val="20"/>
              </w:rPr>
              <w:t xml:space="preserve">РФ</w:t>
            </w:r>
          </w:p>
        </w:tc>
      </w:tr>
      <w:tr>
        <w:tc>
          <w:tcPr>
            <w:tcW w:w="3912" w:type="dxa"/>
          </w:tcPr>
          <w:p>
            <w:pPr>
              <w:pStyle w:val="0"/>
            </w:pPr>
            <w:r>
              <w:rPr>
                <w:sz w:val="20"/>
              </w:rPr>
              <w:t xml:space="preserve">Все болезни,</w:t>
            </w:r>
          </w:p>
          <w:p>
            <w:pPr>
              <w:pStyle w:val="0"/>
            </w:pPr>
            <w:r>
              <w:rPr>
                <w:sz w:val="20"/>
              </w:rPr>
              <w:t xml:space="preserve">из них:</w:t>
            </w:r>
          </w:p>
        </w:tc>
        <w:tc>
          <w:tcPr>
            <w:tcW w:w="1077" w:type="dxa"/>
          </w:tcPr>
          <w:p>
            <w:pPr>
              <w:pStyle w:val="0"/>
            </w:pPr>
            <w:r>
              <w:rPr>
                <w:sz w:val="20"/>
              </w:rPr>
              <w:t xml:space="preserve">845,7</w:t>
            </w:r>
          </w:p>
        </w:tc>
        <w:tc>
          <w:tcPr>
            <w:tcW w:w="964" w:type="dxa"/>
          </w:tcPr>
          <w:p>
            <w:pPr>
              <w:pStyle w:val="0"/>
            </w:pPr>
            <w:r>
              <w:rPr>
                <w:sz w:val="20"/>
              </w:rPr>
              <w:t xml:space="preserve">931,2</w:t>
            </w:r>
          </w:p>
        </w:tc>
        <w:tc>
          <w:tcPr>
            <w:tcW w:w="1474" w:type="dxa"/>
          </w:tcPr>
          <w:p>
            <w:pPr>
              <w:pStyle w:val="0"/>
            </w:pPr>
            <w:r>
              <w:rPr>
                <w:sz w:val="20"/>
              </w:rPr>
              <w:t xml:space="preserve">965,9</w:t>
            </w:r>
          </w:p>
        </w:tc>
        <w:tc>
          <w:tcPr>
            <w:tcW w:w="784" w:type="dxa"/>
          </w:tcPr>
          <w:p>
            <w:pPr>
              <w:pStyle w:val="0"/>
            </w:pPr>
            <w:r>
              <w:rPr>
                <w:sz w:val="20"/>
              </w:rPr>
              <w:t xml:space="preserve">943,4</w:t>
            </w:r>
          </w:p>
        </w:tc>
        <w:tc>
          <w:tcPr>
            <w:tcW w:w="664" w:type="dxa"/>
          </w:tcPr>
          <w:p>
            <w:pPr>
              <w:pStyle w:val="0"/>
            </w:pPr>
            <w:r>
              <w:rPr>
                <w:sz w:val="20"/>
              </w:rPr>
              <w:t xml:space="preserve">855,3</w:t>
            </w:r>
          </w:p>
        </w:tc>
      </w:tr>
      <w:tr>
        <w:tc>
          <w:tcPr>
            <w:tcW w:w="3912" w:type="dxa"/>
          </w:tcPr>
          <w:p>
            <w:pPr>
              <w:pStyle w:val="0"/>
            </w:pPr>
            <w:r>
              <w:rPr>
                <w:sz w:val="20"/>
              </w:rPr>
              <w:t xml:space="preserve">Некоторые инфекционные и паразитарные болезни</w:t>
            </w:r>
          </w:p>
        </w:tc>
        <w:tc>
          <w:tcPr>
            <w:tcW w:w="1077" w:type="dxa"/>
          </w:tcPr>
          <w:p>
            <w:pPr>
              <w:pStyle w:val="0"/>
            </w:pPr>
            <w:r>
              <w:rPr>
                <w:sz w:val="20"/>
              </w:rPr>
              <w:t xml:space="preserve">24,9</w:t>
            </w:r>
          </w:p>
        </w:tc>
        <w:tc>
          <w:tcPr>
            <w:tcW w:w="964" w:type="dxa"/>
          </w:tcPr>
          <w:p>
            <w:pPr>
              <w:pStyle w:val="0"/>
            </w:pPr>
            <w:r>
              <w:rPr>
                <w:sz w:val="20"/>
              </w:rPr>
              <w:t xml:space="preserve">28,0</w:t>
            </w:r>
          </w:p>
        </w:tc>
        <w:tc>
          <w:tcPr>
            <w:tcW w:w="1474" w:type="dxa"/>
          </w:tcPr>
          <w:p>
            <w:pPr>
              <w:pStyle w:val="0"/>
            </w:pPr>
            <w:r>
              <w:rPr>
                <w:sz w:val="20"/>
              </w:rPr>
              <w:t xml:space="preserve">28,8</w:t>
            </w:r>
          </w:p>
        </w:tc>
        <w:tc>
          <w:tcPr>
            <w:tcW w:w="784" w:type="dxa"/>
          </w:tcPr>
          <w:p>
            <w:pPr>
              <w:pStyle w:val="0"/>
            </w:pPr>
            <w:r>
              <w:rPr>
                <w:sz w:val="20"/>
              </w:rPr>
              <w:t xml:space="preserve">26,5</w:t>
            </w:r>
          </w:p>
        </w:tc>
        <w:tc>
          <w:tcPr>
            <w:tcW w:w="664" w:type="dxa"/>
          </w:tcPr>
          <w:p>
            <w:pPr>
              <w:pStyle w:val="0"/>
            </w:pPr>
            <w:r>
              <w:rPr>
                <w:sz w:val="20"/>
              </w:rPr>
              <w:t xml:space="preserve">21,3</w:t>
            </w:r>
          </w:p>
        </w:tc>
      </w:tr>
      <w:tr>
        <w:tc>
          <w:tcPr>
            <w:tcW w:w="3912" w:type="dxa"/>
          </w:tcPr>
          <w:p>
            <w:pPr>
              <w:pStyle w:val="0"/>
            </w:pPr>
            <w:r>
              <w:rPr>
                <w:sz w:val="20"/>
              </w:rPr>
              <w:t xml:space="preserve">Новообразования</w:t>
            </w:r>
          </w:p>
        </w:tc>
        <w:tc>
          <w:tcPr>
            <w:tcW w:w="1077" w:type="dxa"/>
          </w:tcPr>
          <w:p>
            <w:pPr>
              <w:pStyle w:val="0"/>
            </w:pPr>
            <w:r>
              <w:rPr>
                <w:sz w:val="20"/>
              </w:rPr>
              <w:t xml:space="preserve">8,4</w:t>
            </w:r>
          </w:p>
        </w:tc>
        <w:tc>
          <w:tcPr>
            <w:tcW w:w="964" w:type="dxa"/>
          </w:tcPr>
          <w:p>
            <w:pPr>
              <w:pStyle w:val="0"/>
            </w:pPr>
            <w:r>
              <w:rPr>
                <w:sz w:val="20"/>
              </w:rPr>
              <w:t xml:space="preserve">9,5</w:t>
            </w:r>
          </w:p>
        </w:tc>
        <w:tc>
          <w:tcPr>
            <w:tcW w:w="1474" w:type="dxa"/>
          </w:tcPr>
          <w:p>
            <w:pPr>
              <w:pStyle w:val="0"/>
            </w:pPr>
            <w:r>
              <w:rPr>
                <w:sz w:val="20"/>
              </w:rPr>
              <w:t xml:space="preserve">9,9</w:t>
            </w:r>
          </w:p>
        </w:tc>
        <w:tc>
          <w:tcPr>
            <w:tcW w:w="784" w:type="dxa"/>
          </w:tcPr>
          <w:p>
            <w:pPr>
              <w:pStyle w:val="0"/>
            </w:pPr>
            <w:r>
              <w:rPr>
                <w:sz w:val="20"/>
              </w:rPr>
              <w:t xml:space="preserve">9,4</w:t>
            </w:r>
          </w:p>
        </w:tc>
        <w:tc>
          <w:tcPr>
            <w:tcW w:w="664" w:type="dxa"/>
          </w:tcPr>
          <w:p>
            <w:pPr>
              <w:pStyle w:val="0"/>
            </w:pPr>
            <w:r>
              <w:rPr>
                <w:sz w:val="20"/>
              </w:rPr>
              <w:t xml:space="preserve">10,1</w:t>
            </w:r>
          </w:p>
        </w:tc>
      </w:tr>
      <w:tr>
        <w:tc>
          <w:tcPr>
            <w:tcW w:w="3912" w:type="dxa"/>
          </w:tcPr>
          <w:p>
            <w:pPr>
              <w:pStyle w:val="0"/>
            </w:pPr>
            <w:r>
              <w:rPr>
                <w:sz w:val="20"/>
              </w:rPr>
              <w:t xml:space="preserve">Болезни крови, кроветворных органов и отдельные нарушения, вовлекающие иммунный механизм</w:t>
            </w:r>
          </w:p>
        </w:tc>
        <w:tc>
          <w:tcPr>
            <w:tcW w:w="1077" w:type="dxa"/>
          </w:tcPr>
          <w:p>
            <w:pPr>
              <w:pStyle w:val="0"/>
            </w:pPr>
            <w:r>
              <w:rPr>
                <w:sz w:val="20"/>
              </w:rPr>
              <w:t xml:space="preserve">2,7</w:t>
            </w:r>
          </w:p>
        </w:tc>
        <w:tc>
          <w:tcPr>
            <w:tcW w:w="964" w:type="dxa"/>
          </w:tcPr>
          <w:p>
            <w:pPr>
              <w:pStyle w:val="0"/>
            </w:pPr>
            <w:r>
              <w:rPr>
                <w:sz w:val="20"/>
              </w:rPr>
              <w:t xml:space="preserve">3,2</w:t>
            </w:r>
          </w:p>
        </w:tc>
        <w:tc>
          <w:tcPr>
            <w:tcW w:w="1474" w:type="dxa"/>
          </w:tcPr>
          <w:p>
            <w:pPr>
              <w:pStyle w:val="0"/>
            </w:pPr>
            <w:r>
              <w:rPr>
                <w:sz w:val="20"/>
              </w:rPr>
              <w:t xml:space="preserve">3,8</w:t>
            </w:r>
          </w:p>
        </w:tc>
        <w:tc>
          <w:tcPr>
            <w:tcW w:w="784" w:type="dxa"/>
          </w:tcPr>
          <w:p>
            <w:pPr>
              <w:pStyle w:val="0"/>
            </w:pPr>
            <w:r>
              <w:rPr>
                <w:sz w:val="20"/>
              </w:rPr>
              <w:t xml:space="preserve">4,0</w:t>
            </w:r>
          </w:p>
        </w:tc>
        <w:tc>
          <w:tcPr>
            <w:tcW w:w="664" w:type="dxa"/>
          </w:tcPr>
          <w:p>
            <w:pPr>
              <w:pStyle w:val="0"/>
            </w:pPr>
            <w:r>
              <w:rPr>
                <w:sz w:val="20"/>
              </w:rPr>
              <w:t xml:space="preserve">3,5</w:t>
            </w:r>
          </w:p>
        </w:tc>
      </w:tr>
      <w:tr>
        <w:tc>
          <w:tcPr>
            <w:tcW w:w="3912" w:type="dxa"/>
          </w:tcPr>
          <w:p>
            <w:pPr>
              <w:pStyle w:val="0"/>
            </w:pPr>
            <w:r>
              <w:rPr>
                <w:sz w:val="20"/>
              </w:rPr>
              <w:t xml:space="preserve">Болезни эндокринной системы, расстройства питания и нарушения обмена веществ</w:t>
            </w:r>
          </w:p>
        </w:tc>
        <w:tc>
          <w:tcPr>
            <w:tcW w:w="1077" w:type="dxa"/>
          </w:tcPr>
          <w:p>
            <w:pPr>
              <w:pStyle w:val="0"/>
            </w:pPr>
            <w:r>
              <w:rPr>
                <w:sz w:val="20"/>
              </w:rPr>
              <w:t xml:space="preserve">12,5</w:t>
            </w:r>
          </w:p>
        </w:tc>
        <w:tc>
          <w:tcPr>
            <w:tcW w:w="964" w:type="dxa"/>
          </w:tcPr>
          <w:p>
            <w:pPr>
              <w:pStyle w:val="0"/>
            </w:pPr>
            <w:r>
              <w:rPr>
                <w:sz w:val="20"/>
              </w:rPr>
              <w:t xml:space="preserve">13,4</w:t>
            </w:r>
          </w:p>
        </w:tc>
        <w:tc>
          <w:tcPr>
            <w:tcW w:w="1474" w:type="dxa"/>
          </w:tcPr>
          <w:p>
            <w:pPr>
              <w:pStyle w:val="0"/>
            </w:pPr>
            <w:r>
              <w:rPr>
                <w:sz w:val="20"/>
              </w:rPr>
              <w:t xml:space="preserve">15,6</w:t>
            </w:r>
          </w:p>
        </w:tc>
        <w:tc>
          <w:tcPr>
            <w:tcW w:w="784" w:type="dxa"/>
          </w:tcPr>
          <w:p>
            <w:pPr>
              <w:pStyle w:val="0"/>
            </w:pPr>
            <w:r>
              <w:rPr>
                <w:sz w:val="20"/>
              </w:rPr>
              <w:t xml:space="preserve">14,7</w:t>
            </w:r>
          </w:p>
        </w:tc>
        <w:tc>
          <w:tcPr>
            <w:tcW w:w="664" w:type="dxa"/>
          </w:tcPr>
          <w:p>
            <w:pPr>
              <w:pStyle w:val="0"/>
            </w:pPr>
            <w:r>
              <w:rPr>
                <w:sz w:val="20"/>
              </w:rPr>
              <w:t xml:space="preserve">11,4</w:t>
            </w:r>
          </w:p>
        </w:tc>
      </w:tr>
      <w:tr>
        <w:tc>
          <w:tcPr>
            <w:tcW w:w="3912" w:type="dxa"/>
          </w:tcPr>
          <w:p>
            <w:pPr>
              <w:pStyle w:val="0"/>
            </w:pPr>
            <w:r>
              <w:rPr>
                <w:sz w:val="20"/>
              </w:rPr>
              <w:t xml:space="preserve">Психические расстройства и расстройства поведения</w:t>
            </w:r>
          </w:p>
        </w:tc>
        <w:tc>
          <w:tcPr>
            <w:tcW w:w="1077" w:type="dxa"/>
          </w:tcPr>
          <w:p>
            <w:pPr>
              <w:pStyle w:val="0"/>
            </w:pPr>
            <w:r>
              <w:rPr>
                <w:sz w:val="20"/>
              </w:rPr>
              <w:t xml:space="preserve">2,4</w:t>
            </w:r>
          </w:p>
        </w:tc>
        <w:tc>
          <w:tcPr>
            <w:tcW w:w="964" w:type="dxa"/>
          </w:tcPr>
          <w:p>
            <w:pPr>
              <w:pStyle w:val="0"/>
            </w:pPr>
            <w:r>
              <w:rPr>
                <w:sz w:val="20"/>
              </w:rPr>
              <w:t xml:space="preserve">2,7</w:t>
            </w:r>
          </w:p>
        </w:tc>
        <w:tc>
          <w:tcPr>
            <w:tcW w:w="1474" w:type="dxa"/>
          </w:tcPr>
          <w:p>
            <w:pPr>
              <w:pStyle w:val="0"/>
            </w:pPr>
            <w:r>
              <w:rPr>
                <w:sz w:val="20"/>
              </w:rPr>
              <w:t xml:space="preserve">3,3</w:t>
            </w:r>
          </w:p>
        </w:tc>
        <w:tc>
          <w:tcPr>
            <w:tcW w:w="784" w:type="dxa"/>
          </w:tcPr>
          <w:p>
            <w:pPr>
              <w:pStyle w:val="0"/>
            </w:pPr>
            <w:r>
              <w:rPr>
                <w:sz w:val="20"/>
              </w:rPr>
              <w:t xml:space="preserve">4,3</w:t>
            </w:r>
          </w:p>
        </w:tc>
        <w:tc>
          <w:tcPr>
            <w:tcW w:w="664" w:type="dxa"/>
          </w:tcPr>
          <w:p>
            <w:pPr>
              <w:pStyle w:val="0"/>
            </w:pPr>
            <w:r>
              <w:rPr>
                <w:sz w:val="20"/>
              </w:rPr>
              <w:t xml:space="preserve">4,0</w:t>
            </w:r>
          </w:p>
        </w:tc>
      </w:tr>
      <w:tr>
        <w:tc>
          <w:tcPr>
            <w:tcW w:w="3912" w:type="dxa"/>
          </w:tcPr>
          <w:p>
            <w:pPr>
              <w:pStyle w:val="0"/>
            </w:pPr>
            <w:r>
              <w:rPr>
                <w:sz w:val="20"/>
              </w:rPr>
              <w:t xml:space="preserve">Болезни нервной системы</w:t>
            </w:r>
          </w:p>
        </w:tc>
        <w:tc>
          <w:tcPr>
            <w:tcW w:w="1077" w:type="dxa"/>
          </w:tcPr>
          <w:p>
            <w:pPr>
              <w:pStyle w:val="0"/>
            </w:pPr>
            <w:r>
              <w:rPr>
                <w:sz w:val="20"/>
              </w:rPr>
              <w:t xml:space="preserve">12,5</w:t>
            </w:r>
          </w:p>
        </w:tc>
        <w:tc>
          <w:tcPr>
            <w:tcW w:w="964" w:type="dxa"/>
          </w:tcPr>
          <w:p>
            <w:pPr>
              <w:pStyle w:val="0"/>
            </w:pPr>
            <w:r>
              <w:rPr>
                <w:sz w:val="20"/>
              </w:rPr>
              <w:t xml:space="preserve">12,2</w:t>
            </w:r>
          </w:p>
        </w:tc>
        <w:tc>
          <w:tcPr>
            <w:tcW w:w="1474" w:type="dxa"/>
          </w:tcPr>
          <w:p>
            <w:pPr>
              <w:pStyle w:val="0"/>
            </w:pPr>
            <w:r>
              <w:rPr>
                <w:sz w:val="20"/>
              </w:rPr>
              <w:t xml:space="preserve">12,2</w:t>
            </w:r>
          </w:p>
        </w:tc>
        <w:tc>
          <w:tcPr>
            <w:tcW w:w="784" w:type="dxa"/>
          </w:tcPr>
          <w:p>
            <w:pPr>
              <w:pStyle w:val="0"/>
            </w:pPr>
            <w:r>
              <w:rPr>
                <w:sz w:val="20"/>
              </w:rPr>
              <w:t xml:space="preserve">13,1</w:t>
            </w:r>
          </w:p>
        </w:tc>
        <w:tc>
          <w:tcPr>
            <w:tcW w:w="664" w:type="dxa"/>
          </w:tcPr>
          <w:p>
            <w:pPr>
              <w:pStyle w:val="0"/>
            </w:pPr>
            <w:r>
              <w:rPr>
                <w:sz w:val="20"/>
              </w:rPr>
              <w:t xml:space="preserve">13,5</w:t>
            </w:r>
          </w:p>
        </w:tc>
      </w:tr>
      <w:tr>
        <w:tc>
          <w:tcPr>
            <w:tcW w:w="3912" w:type="dxa"/>
          </w:tcPr>
          <w:p>
            <w:pPr>
              <w:pStyle w:val="0"/>
            </w:pPr>
            <w:r>
              <w:rPr>
                <w:sz w:val="20"/>
              </w:rPr>
              <w:t xml:space="preserve">Болезни глаза и его придаточного аппарата</w:t>
            </w:r>
          </w:p>
        </w:tc>
        <w:tc>
          <w:tcPr>
            <w:tcW w:w="1077" w:type="dxa"/>
          </w:tcPr>
          <w:p>
            <w:pPr>
              <w:pStyle w:val="0"/>
            </w:pPr>
            <w:r>
              <w:rPr>
                <w:sz w:val="20"/>
              </w:rPr>
              <w:t xml:space="preserve">19,7</w:t>
            </w:r>
          </w:p>
        </w:tc>
        <w:tc>
          <w:tcPr>
            <w:tcW w:w="964" w:type="dxa"/>
          </w:tcPr>
          <w:p>
            <w:pPr>
              <w:pStyle w:val="0"/>
            </w:pPr>
            <w:r>
              <w:rPr>
                <w:sz w:val="20"/>
              </w:rPr>
              <w:t xml:space="preserve">19,5</w:t>
            </w:r>
          </w:p>
        </w:tc>
        <w:tc>
          <w:tcPr>
            <w:tcW w:w="1474" w:type="dxa"/>
          </w:tcPr>
          <w:p>
            <w:pPr>
              <w:pStyle w:val="0"/>
            </w:pPr>
            <w:r>
              <w:rPr>
                <w:sz w:val="20"/>
              </w:rPr>
              <w:t xml:space="preserve">18,2</w:t>
            </w:r>
          </w:p>
        </w:tc>
        <w:tc>
          <w:tcPr>
            <w:tcW w:w="784" w:type="dxa"/>
          </w:tcPr>
          <w:p>
            <w:pPr>
              <w:pStyle w:val="0"/>
            </w:pPr>
            <w:r>
              <w:rPr>
                <w:sz w:val="20"/>
              </w:rPr>
              <w:t xml:space="preserve">25,3</w:t>
            </w:r>
          </w:p>
        </w:tc>
        <w:tc>
          <w:tcPr>
            <w:tcW w:w="664" w:type="dxa"/>
          </w:tcPr>
          <w:p>
            <w:pPr>
              <w:pStyle w:val="0"/>
            </w:pPr>
            <w:r>
              <w:rPr>
                <w:sz w:val="20"/>
              </w:rPr>
              <w:t xml:space="preserve">24,9</w:t>
            </w:r>
          </w:p>
        </w:tc>
      </w:tr>
      <w:tr>
        <w:tc>
          <w:tcPr>
            <w:tcW w:w="3912" w:type="dxa"/>
          </w:tcPr>
          <w:p>
            <w:pPr>
              <w:pStyle w:val="0"/>
            </w:pPr>
            <w:r>
              <w:rPr>
                <w:sz w:val="20"/>
              </w:rPr>
              <w:t xml:space="preserve">Болезни уха и сосцевидного отростка</w:t>
            </w:r>
          </w:p>
        </w:tc>
        <w:tc>
          <w:tcPr>
            <w:tcW w:w="1077" w:type="dxa"/>
          </w:tcPr>
          <w:p>
            <w:pPr>
              <w:pStyle w:val="0"/>
            </w:pPr>
            <w:r>
              <w:rPr>
                <w:sz w:val="20"/>
              </w:rPr>
              <w:t xml:space="preserve">17,6</w:t>
            </w:r>
          </w:p>
        </w:tc>
        <w:tc>
          <w:tcPr>
            <w:tcW w:w="964" w:type="dxa"/>
          </w:tcPr>
          <w:p>
            <w:pPr>
              <w:pStyle w:val="0"/>
            </w:pPr>
            <w:r>
              <w:rPr>
                <w:sz w:val="20"/>
              </w:rPr>
              <w:t xml:space="preserve">19,5</w:t>
            </w:r>
          </w:p>
        </w:tc>
        <w:tc>
          <w:tcPr>
            <w:tcW w:w="1474" w:type="dxa"/>
          </w:tcPr>
          <w:p>
            <w:pPr>
              <w:pStyle w:val="0"/>
            </w:pPr>
            <w:r>
              <w:rPr>
                <w:sz w:val="20"/>
              </w:rPr>
              <w:t xml:space="preserve">22,2</w:t>
            </w:r>
          </w:p>
        </w:tc>
        <w:tc>
          <w:tcPr>
            <w:tcW w:w="784" w:type="dxa"/>
          </w:tcPr>
          <w:p>
            <w:pPr>
              <w:pStyle w:val="0"/>
            </w:pPr>
            <w:r>
              <w:rPr>
                <w:sz w:val="20"/>
              </w:rPr>
              <w:t xml:space="preserve">21,9</w:t>
            </w:r>
          </w:p>
        </w:tc>
        <w:tc>
          <w:tcPr>
            <w:tcW w:w="664" w:type="dxa"/>
          </w:tcPr>
          <w:p>
            <w:pPr>
              <w:pStyle w:val="0"/>
            </w:pPr>
            <w:r>
              <w:rPr>
                <w:sz w:val="20"/>
              </w:rPr>
              <w:t xml:space="preserve">21,3</w:t>
            </w:r>
          </w:p>
        </w:tc>
      </w:tr>
      <w:tr>
        <w:tc>
          <w:tcPr>
            <w:tcW w:w="3912" w:type="dxa"/>
          </w:tcPr>
          <w:p>
            <w:pPr>
              <w:pStyle w:val="0"/>
            </w:pPr>
            <w:r>
              <w:rPr>
                <w:sz w:val="20"/>
              </w:rPr>
              <w:t xml:space="preserve">Болезни системы кровообращения</w:t>
            </w:r>
          </w:p>
        </w:tc>
        <w:tc>
          <w:tcPr>
            <w:tcW w:w="1077" w:type="dxa"/>
          </w:tcPr>
          <w:p>
            <w:pPr>
              <w:pStyle w:val="0"/>
            </w:pPr>
            <w:r>
              <w:rPr>
                <w:sz w:val="20"/>
              </w:rPr>
              <w:t xml:space="preserve">16,8</w:t>
            </w:r>
          </w:p>
        </w:tc>
        <w:tc>
          <w:tcPr>
            <w:tcW w:w="964" w:type="dxa"/>
          </w:tcPr>
          <w:p>
            <w:pPr>
              <w:pStyle w:val="0"/>
            </w:pPr>
            <w:r>
              <w:rPr>
                <w:sz w:val="20"/>
              </w:rPr>
              <w:t xml:space="preserve">19,2</w:t>
            </w:r>
          </w:p>
        </w:tc>
        <w:tc>
          <w:tcPr>
            <w:tcW w:w="1474" w:type="dxa"/>
          </w:tcPr>
          <w:p>
            <w:pPr>
              <w:pStyle w:val="0"/>
            </w:pPr>
            <w:r>
              <w:rPr>
                <w:sz w:val="20"/>
              </w:rPr>
              <w:t xml:space="preserve">21,5</w:t>
            </w:r>
          </w:p>
        </w:tc>
        <w:tc>
          <w:tcPr>
            <w:tcW w:w="784" w:type="dxa"/>
          </w:tcPr>
          <w:p>
            <w:pPr>
              <w:pStyle w:val="0"/>
            </w:pPr>
            <w:r>
              <w:rPr>
                <w:sz w:val="20"/>
              </w:rPr>
              <w:t xml:space="preserve">29,5</w:t>
            </w:r>
          </w:p>
        </w:tc>
        <w:tc>
          <w:tcPr>
            <w:tcW w:w="664" w:type="dxa"/>
          </w:tcPr>
          <w:p>
            <w:pPr>
              <w:pStyle w:val="0"/>
            </w:pPr>
            <w:r>
              <w:rPr>
                <w:sz w:val="20"/>
              </w:rPr>
              <w:t xml:space="preserve">30,5</w:t>
            </w:r>
          </w:p>
        </w:tc>
      </w:tr>
      <w:tr>
        <w:tc>
          <w:tcPr>
            <w:tcW w:w="3912" w:type="dxa"/>
          </w:tcPr>
          <w:p>
            <w:pPr>
              <w:pStyle w:val="0"/>
            </w:pPr>
            <w:r>
              <w:rPr>
                <w:sz w:val="20"/>
              </w:rPr>
              <w:t xml:space="preserve">Болезни органов дыхания</w:t>
            </w:r>
          </w:p>
        </w:tc>
        <w:tc>
          <w:tcPr>
            <w:tcW w:w="1077" w:type="dxa"/>
          </w:tcPr>
          <w:p>
            <w:pPr>
              <w:pStyle w:val="0"/>
            </w:pPr>
            <w:r>
              <w:rPr>
                <w:sz w:val="20"/>
              </w:rPr>
              <w:t xml:space="preserve">433,5</w:t>
            </w:r>
          </w:p>
        </w:tc>
        <w:tc>
          <w:tcPr>
            <w:tcW w:w="964" w:type="dxa"/>
          </w:tcPr>
          <w:p>
            <w:pPr>
              <w:pStyle w:val="0"/>
            </w:pPr>
            <w:r>
              <w:rPr>
                <w:sz w:val="20"/>
              </w:rPr>
              <w:t xml:space="preserve">484,1</w:t>
            </w:r>
          </w:p>
        </w:tc>
        <w:tc>
          <w:tcPr>
            <w:tcW w:w="1474" w:type="dxa"/>
          </w:tcPr>
          <w:p>
            <w:pPr>
              <w:pStyle w:val="0"/>
            </w:pPr>
            <w:r>
              <w:rPr>
                <w:sz w:val="20"/>
              </w:rPr>
              <w:t xml:space="preserve">458,7</w:t>
            </w:r>
          </w:p>
        </w:tc>
        <w:tc>
          <w:tcPr>
            <w:tcW w:w="784" w:type="dxa"/>
          </w:tcPr>
          <w:p>
            <w:pPr>
              <w:pStyle w:val="0"/>
            </w:pPr>
            <w:r>
              <w:rPr>
                <w:sz w:val="20"/>
              </w:rPr>
              <w:t xml:space="preserve">467,6</w:t>
            </w:r>
          </w:p>
        </w:tc>
        <w:tc>
          <w:tcPr>
            <w:tcW w:w="664" w:type="dxa"/>
          </w:tcPr>
          <w:p>
            <w:pPr>
              <w:pStyle w:val="0"/>
            </w:pPr>
            <w:r>
              <w:rPr>
                <w:sz w:val="20"/>
              </w:rPr>
              <w:t xml:space="preserve">406,2</w:t>
            </w:r>
          </w:p>
        </w:tc>
      </w:tr>
      <w:tr>
        <w:tc>
          <w:tcPr>
            <w:tcW w:w="3912" w:type="dxa"/>
          </w:tcPr>
          <w:p>
            <w:pPr>
              <w:pStyle w:val="0"/>
            </w:pPr>
            <w:r>
              <w:rPr>
                <w:sz w:val="20"/>
              </w:rPr>
              <w:t xml:space="preserve">Болезни органов пищеварения</w:t>
            </w:r>
          </w:p>
        </w:tc>
        <w:tc>
          <w:tcPr>
            <w:tcW w:w="1077" w:type="dxa"/>
          </w:tcPr>
          <w:p>
            <w:pPr>
              <w:pStyle w:val="0"/>
            </w:pPr>
            <w:r>
              <w:rPr>
                <w:sz w:val="20"/>
              </w:rPr>
              <w:t xml:space="preserve">27,3</w:t>
            </w:r>
          </w:p>
        </w:tc>
        <w:tc>
          <w:tcPr>
            <w:tcW w:w="964" w:type="dxa"/>
          </w:tcPr>
          <w:p>
            <w:pPr>
              <w:pStyle w:val="0"/>
            </w:pPr>
            <w:r>
              <w:rPr>
                <w:sz w:val="20"/>
              </w:rPr>
              <w:t xml:space="preserve">25,8</w:t>
            </w:r>
          </w:p>
        </w:tc>
        <w:tc>
          <w:tcPr>
            <w:tcW w:w="1474" w:type="dxa"/>
          </w:tcPr>
          <w:p>
            <w:pPr>
              <w:pStyle w:val="0"/>
            </w:pPr>
            <w:r>
              <w:rPr>
                <w:sz w:val="20"/>
              </w:rPr>
              <w:t xml:space="preserve">25,9</w:t>
            </w:r>
          </w:p>
        </w:tc>
        <w:tc>
          <w:tcPr>
            <w:tcW w:w="784" w:type="dxa"/>
          </w:tcPr>
          <w:p>
            <w:pPr>
              <w:pStyle w:val="0"/>
            </w:pPr>
            <w:r>
              <w:rPr>
                <w:sz w:val="20"/>
              </w:rPr>
              <w:t xml:space="preserve">27,0</w:t>
            </w:r>
          </w:p>
        </w:tc>
        <w:tc>
          <w:tcPr>
            <w:tcW w:w="664" w:type="dxa"/>
          </w:tcPr>
          <w:p>
            <w:pPr>
              <w:pStyle w:val="0"/>
            </w:pPr>
            <w:r>
              <w:rPr>
                <w:sz w:val="20"/>
              </w:rPr>
              <w:t xml:space="preserve">26,8</w:t>
            </w:r>
          </w:p>
        </w:tc>
      </w:tr>
      <w:tr>
        <w:tc>
          <w:tcPr>
            <w:tcW w:w="3912" w:type="dxa"/>
          </w:tcPr>
          <w:p>
            <w:pPr>
              <w:pStyle w:val="0"/>
            </w:pPr>
            <w:r>
              <w:rPr>
                <w:sz w:val="20"/>
              </w:rPr>
              <w:t xml:space="preserve">Болезни кожи и подкожной клетчатки</w:t>
            </w:r>
          </w:p>
        </w:tc>
        <w:tc>
          <w:tcPr>
            <w:tcW w:w="1077" w:type="dxa"/>
          </w:tcPr>
          <w:p>
            <w:pPr>
              <w:pStyle w:val="0"/>
            </w:pPr>
            <w:r>
              <w:rPr>
                <w:sz w:val="20"/>
              </w:rPr>
              <w:t xml:space="preserve">42,2</w:t>
            </w:r>
          </w:p>
        </w:tc>
        <w:tc>
          <w:tcPr>
            <w:tcW w:w="964" w:type="dxa"/>
          </w:tcPr>
          <w:p>
            <w:pPr>
              <w:pStyle w:val="0"/>
            </w:pPr>
            <w:r>
              <w:rPr>
                <w:sz w:val="20"/>
              </w:rPr>
              <w:t xml:space="preserve">41,7</w:t>
            </w:r>
          </w:p>
        </w:tc>
        <w:tc>
          <w:tcPr>
            <w:tcW w:w="1474" w:type="dxa"/>
          </w:tcPr>
          <w:p>
            <w:pPr>
              <w:pStyle w:val="0"/>
            </w:pPr>
            <w:r>
              <w:rPr>
                <w:sz w:val="20"/>
              </w:rPr>
              <w:t xml:space="preserve">41,6</w:t>
            </w:r>
          </w:p>
        </w:tc>
        <w:tc>
          <w:tcPr>
            <w:tcW w:w="784" w:type="dxa"/>
          </w:tcPr>
          <w:p>
            <w:pPr>
              <w:pStyle w:val="0"/>
            </w:pPr>
            <w:r>
              <w:rPr>
                <w:sz w:val="20"/>
              </w:rPr>
              <w:t xml:space="preserve">34,8</w:t>
            </w:r>
          </w:p>
        </w:tc>
        <w:tc>
          <w:tcPr>
            <w:tcW w:w="664" w:type="dxa"/>
          </w:tcPr>
          <w:p>
            <w:pPr>
              <w:pStyle w:val="0"/>
            </w:pPr>
            <w:r>
              <w:rPr>
                <w:sz w:val="20"/>
              </w:rPr>
              <w:t xml:space="preserve">35,5</w:t>
            </w:r>
          </w:p>
        </w:tc>
      </w:tr>
      <w:tr>
        <w:tc>
          <w:tcPr>
            <w:tcW w:w="3912" w:type="dxa"/>
          </w:tcPr>
          <w:p>
            <w:pPr>
              <w:pStyle w:val="0"/>
            </w:pPr>
            <w:r>
              <w:rPr>
                <w:sz w:val="20"/>
              </w:rPr>
              <w:t xml:space="preserve">Болезни костно-мышечной системы и соединительной ткани</w:t>
            </w:r>
          </w:p>
        </w:tc>
        <w:tc>
          <w:tcPr>
            <w:tcW w:w="1077" w:type="dxa"/>
          </w:tcPr>
          <w:p>
            <w:pPr>
              <w:pStyle w:val="0"/>
            </w:pPr>
            <w:r>
              <w:rPr>
                <w:sz w:val="20"/>
              </w:rPr>
              <w:t xml:space="preserve">24,0</w:t>
            </w:r>
          </w:p>
        </w:tc>
        <w:tc>
          <w:tcPr>
            <w:tcW w:w="964" w:type="dxa"/>
          </w:tcPr>
          <w:p>
            <w:pPr>
              <w:pStyle w:val="0"/>
            </w:pPr>
            <w:r>
              <w:rPr>
                <w:sz w:val="20"/>
              </w:rPr>
              <w:t xml:space="preserve">27,8</w:t>
            </w:r>
          </w:p>
        </w:tc>
        <w:tc>
          <w:tcPr>
            <w:tcW w:w="1474" w:type="dxa"/>
          </w:tcPr>
          <w:p>
            <w:pPr>
              <w:pStyle w:val="0"/>
            </w:pPr>
            <w:r>
              <w:rPr>
                <w:sz w:val="20"/>
              </w:rPr>
              <w:t xml:space="preserve">28,0</w:t>
            </w:r>
          </w:p>
        </w:tc>
        <w:tc>
          <w:tcPr>
            <w:tcW w:w="784" w:type="dxa"/>
          </w:tcPr>
          <w:p>
            <w:pPr>
              <w:pStyle w:val="0"/>
            </w:pPr>
            <w:r>
              <w:rPr>
                <w:sz w:val="20"/>
              </w:rPr>
              <w:t xml:space="preserve">24,7</w:t>
            </w:r>
          </w:p>
        </w:tc>
        <w:tc>
          <w:tcPr>
            <w:tcW w:w="664" w:type="dxa"/>
          </w:tcPr>
          <w:p>
            <w:pPr>
              <w:pStyle w:val="0"/>
            </w:pPr>
            <w:r>
              <w:rPr>
                <w:sz w:val="20"/>
              </w:rPr>
              <w:t xml:space="preserve">26,6</w:t>
            </w:r>
          </w:p>
        </w:tc>
      </w:tr>
      <w:tr>
        <w:tc>
          <w:tcPr>
            <w:tcW w:w="3912" w:type="dxa"/>
          </w:tcPr>
          <w:p>
            <w:pPr>
              <w:pStyle w:val="0"/>
            </w:pPr>
            <w:r>
              <w:rPr>
                <w:sz w:val="20"/>
              </w:rPr>
              <w:t xml:space="preserve">Болезни мочеполовой системы</w:t>
            </w:r>
          </w:p>
        </w:tc>
        <w:tc>
          <w:tcPr>
            <w:tcW w:w="1077" w:type="dxa"/>
          </w:tcPr>
          <w:p>
            <w:pPr>
              <w:pStyle w:val="0"/>
            </w:pPr>
            <w:r>
              <w:rPr>
                <w:sz w:val="20"/>
              </w:rPr>
              <w:t xml:space="preserve">40,1</w:t>
            </w:r>
          </w:p>
        </w:tc>
        <w:tc>
          <w:tcPr>
            <w:tcW w:w="964" w:type="dxa"/>
          </w:tcPr>
          <w:p>
            <w:pPr>
              <w:pStyle w:val="0"/>
            </w:pPr>
            <w:r>
              <w:rPr>
                <w:sz w:val="20"/>
              </w:rPr>
              <w:t xml:space="preserve">40,9</w:t>
            </w:r>
          </w:p>
        </w:tc>
        <w:tc>
          <w:tcPr>
            <w:tcW w:w="1474" w:type="dxa"/>
          </w:tcPr>
          <w:p>
            <w:pPr>
              <w:pStyle w:val="0"/>
            </w:pPr>
            <w:r>
              <w:rPr>
                <w:sz w:val="20"/>
              </w:rPr>
              <w:t xml:space="preserve">39,2</w:t>
            </w:r>
          </w:p>
        </w:tc>
        <w:tc>
          <w:tcPr>
            <w:tcW w:w="784" w:type="dxa"/>
          </w:tcPr>
          <w:p>
            <w:pPr>
              <w:pStyle w:val="0"/>
            </w:pPr>
            <w:r>
              <w:rPr>
                <w:sz w:val="20"/>
              </w:rPr>
              <w:t xml:space="preserve">34,0</w:t>
            </w:r>
          </w:p>
        </w:tc>
        <w:tc>
          <w:tcPr>
            <w:tcW w:w="664" w:type="dxa"/>
          </w:tcPr>
          <w:p>
            <w:pPr>
              <w:pStyle w:val="0"/>
            </w:pPr>
            <w:r>
              <w:rPr>
                <w:sz w:val="20"/>
              </w:rPr>
              <w:t xml:space="preserve">36,8</w:t>
            </w:r>
          </w:p>
        </w:tc>
      </w:tr>
      <w:tr>
        <w:tc>
          <w:tcPr>
            <w:tcW w:w="3912" w:type="dxa"/>
          </w:tcPr>
          <w:p>
            <w:pPr>
              <w:pStyle w:val="0"/>
            </w:pPr>
            <w:r>
              <w:rPr>
                <w:sz w:val="20"/>
              </w:rPr>
              <w:t xml:space="preserve">Врожденные аномалии (пороки развития)</w:t>
            </w:r>
          </w:p>
        </w:tc>
        <w:tc>
          <w:tcPr>
            <w:tcW w:w="1077" w:type="dxa"/>
          </w:tcPr>
          <w:p>
            <w:pPr>
              <w:pStyle w:val="0"/>
            </w:pPr>
            <w:r>
              <w:rPr>
                <w:sz w:val="20"/>
              </w:rPr>
              <w:t xml:space="preserve">1,3</w:t>
            </w:r>
          </w:p>
        </w:tc>
        <w:tc>
          <w:tcPr>
            <w:tcW w:w="964" w:type="dxa"/>
          </w:tcPr>
          <w:p>
            <w:pPr>
              <w:pStyle w:val="0"/>
            </w:pPr>
            <w:r>
              <w:rPr>
                <w:sz w:val="20"/>
              </w:rPr>
              <w:t xml:space="preserve">1,2</w:t>
            </w:r>
          </w:p>
        </w:tc>
        <w:tc>
          <w:tcPr>
            <w:tcW w:w="1474" w:type="dxa"/>
          </w:tcPr>
          <w:p>
            <w:pPr>
              <w:pStyle w:val="0"/>
            </w:pPr>
            <w:r>
              <w:rPr>
                <w:sz w:val="20"/>
              </w:rPr>
              <w:t xml:space="preserve">1,2</w:t>
            </w:r>
          </w:p>
        </w:tc>
        <w:tc>
          <w:tcPr>
            <w:tcW w:w="784" w:type="dxa"/>
          </w:tcPr>
          <w:p>
            <w:pPr>
              <w:pStyle w:val="0"/>
            </w:pPr>
            <w:r>
              <w:rPr>
                <w:sz w:val="20"/>
              </w:rPr>
              <w:t xml:space="preserve">1,7</w:t>
            </w:r>
          </w:p>
        </w:tc>
        <w:tc>
          <w:tcPr>
            <w:tcW w:w="664" w:type="dxa"/>
          </w:tcPr>
          <w:p>
            <w:pPr>
              <w:pStyle w:val="0"/>
            </w:pPr>
            <w:r>
              <w:rPr>
                <w:sz w:val="20"/>
              </w:rPr>
              <w:t xml:space="preserve">1,7</w:t>
            </w:r>
          </w:p>
        </w:tc>
      </w:tr>
      <w:tr>
        <w:tc>
          <w:tcPr>
            <w:tcW w:w="3912" w:type="dxa"/>
          </w:tcPr>
          <w:p>
            <w:pPr>
              <w:pStyle w:val="0"/>
            </w:pPr>
            <w:r>
              <w:rPr>
                <w:sz w:val="20"/>
              </w:rPr>
              <w:t xml:space="preserve">Травмы, отравления и некоторые другие последствия внешних причин</w:t>
            </w:r>
          </w:p>
        </w:tc>
        <w:tc>
          <w:tcPr>
            <w:tcW w:w="1077" w:type="dxa"/>
          </w:tcPr>
          <w:p>
            <w:pPr>
              <w:pStyle w:val="0"/>
            </w:pPr>
            <w:r>
              <w:rPr>
                <w:sz w:val="20"/>
              </w:rPr>
              <w:t xml:space="preserve">86,9</w:t>
            </w:r>
          </w:p>
        </w:tc>
        <w:tc>
          <w:tcPr>
            <w:tcW w:w="964" w:type="dxa"/>
          </w:tcPr>
          <w:p>
            <w:pPr>
              <w:pStyle w:val="0"/>
            </w:pPr>
            <w:r>
              <w:rPr>
                <w:sz w:val="20"/>
              </w:rPr>
              <w:t xml:space="preserve">83,6</w:t>
            </w:r>
          </w:p>
        </w:tc>
        <w:tc>
          <w:tcPr>
            <w:tcW w:w="1474" w:type="dxa"/>
          </w:tcPr>
          <w:p>
            <w:pPr>
              <w:pStyle w:val="0"/>
            </w:pPr>
            <w:r>
              <w:rPr>
                <w:sz w:val="20"/>
              </w:rPr>
              <w:t xml:space="preserve">94,6</w:t>
            </w:r>
          </w:p>
        </w:tc>
        <w:tc>
          <w:tcPr>
            <w:tcW w:w="784" w:type="dxa"/>
          </w:tcPr>
          <w:p>
            <w:pPr>
              <w:pStyle w:val="0"/>
            </w:pPr>
            <w:r>
              <w:rPr>
                <w:sz w:val="20"/>
              </w:rPr>
              <w:t xml:space="preserve">89,7</w:t>
            </w:r>
          </w:p>
        </w:tc>
        <w:tc>
          <w:tcPr>
            <w:tcW w:w="664" w:type="dxa"/>
          </w:tcPr>
          <w:p>
            <w:pPr>
              <w:pStyle w:val="0"/>
            </w:pPr>
            <w:r>
              <w:rPr>
                <w:sz w:val="20"/>
              </w:rPr>
              <w:t xml:space="preserve">83,4</w:t>
            </w:r>
          </w:p>
        </w:tc>
      </w:tr>
    </w:tbl>
    <w:p>
      <w:pPr>
        <w:pStyle w:val="0"/>
        <w:ind w:firstLine="540"/>
        <w:jc w:val="both"/>
      </w:pPr>
      <w:r>
        <w:rPr>
          <w:sz w:val="20"/>
        </w:rPr>
      </w:r>
    </w:p>
    <w:p>
      <w:pPr>
        <w:pStyle w:val="0"/>
        <w:ind w:firstLine="540"/>
        <w:jc w:val="both"/>
      </w:pPr>
      <w:r>
        <w:rPr>
          <w:sz w:val="20"/>
        </w:rPr>
        <w:t xml:space="preserve">В структуре первичной заболеваемости населения автономного округа по убыванию распределились классы заболеваний: болезни органов дыхания - 50,3%, травмы, отравления и некоторые другие последствия воздействия внешних причин - 9,8%, болезни кожи и подкожной клетчатки - 4,3%, болезни мочеполовой системы - 4,1%, инфекционные и паразитарные болезни - 3,0%, болезни костно-мышечной системы и соединительной ткани - 2,9%, болезни органов пищеварения - 2,6%, болезни системы кровообращения - 2,2%, болезни глаза и его придаточного аппарата - 1,9%, болезни эндокринной системы, расстройства питания и нарушения обмена веществ - 1,6%, болезни нервной системы - 1,3%, новообразования - 1,0%, болезни уха и сосцевидного отростка - 0,9%. Показатель заболеваемости новой коронавирусной инфекцией COVID-19 составил 97,9 на 1 тыс. человек (доля среди первичной заболеваемости - 10,1%).</w:t>
      </w:r>
    </w:p>
    <w:p>
      <w:pPr>
        <w:pStyle w:val="0"/>
        <w:spacing w:before="200" w:line-rule="auto"/>
        <w:ind w:firstLine="540"/>
        <w:jc w:val="both"/>
      </w:pPr>
      <w:r>
        <w:rPr>
          <w:sz w:val="20"/>
        </w:rPr>
        <w:t xml:space="preserve">Показатель общей заболеваемости среди детского населения (0 - 14 лет) увеличился на 7,5% (с 2 440,2 на 1 тыс. населения в 2021 году до 2 611,1 в 2022 году). По УрФО в 2021 году показатель составил 2278,5, по РФ - 2125,3 на 1 тыс. населения. При этом значительный рост зарегистрирован по классу болезни травмы, отравления и некоторые другие последствия воздействия внешних причин на 32,3%, болезни эндокринной системы, расстройства питания и нарушения обмена веществ на 23,6%, болезни уха и сосцевидного отростка на 20,3%.</w:t>
      </w:r>
    </w:p>
    <w:p>
      <w:pPr>
        <w:pStyle w:val="0"/>
        <w:spacing w:before="200" w:line-rule="auto"/>
        <w:ind w:firstLine="540"/>
        <w:jc w:val="both"/>
      </w:pPr>
      <w:r>
        <w:rPr>
          <w:sz w:val="20"/>
        </w:rPr>
        <w:t xml:space="preserve">У детей от 0 до 14 лет снижение общей заболеваемости отмечается по классам: беременность, роды и послеродовой период - на 33,3%; отдельные состояния, возникающие в перинатальном периоде, - на 17,6%; болезни глаза и его придаточного аппарата - на 2,3%.</w:t>
      </w:r>
    </w:p>
    <w:p>
      <w:pPr>
        <w:pStyle w:val="0"/>
        <w:spacing w:before="200" w:line-rule="auto"/>
        <w:ind w:firstLine="540"/>
        <w:jc w:val="both"/>
      </w:pPr>
      <w:r>
        <w:rPr>
          <w:sz w:val="20"/>
        </w:rPr>
        <w:t xml:space="preserve">Особое отношение в 2022 году уделено регистрации редких заболеваний, требующих льготного обеспечения лекарствами. Всех детей, в том числе с ремиссией, поставили на учет для постоянного наблюдения специалистами медицинских организаций.</w:t>
      </w:r>
    </w:p>
    <w:p>
      <w:pPr>
        <w:pStyle w:val="0"/>
        <w:spacing w:before="200" w:line-rule="auto"/>
        <w:ind w:firstLine="540"/>
        <w:jc w:val="both"/>
      </w:pPr>
      <w:r>
        <w:rPr>
          <w:sz w:val="20"/>
        </w:rPr>
        <w:t xml:space="preserve">В структуре общей заболеваемости детей первое место занимают болезни органов дыхания (54,2%), далее следуют болезни глаза и его придаточного аппарата (5,6%), травмы, отравления и некоторые другие последствия воздействия внешних причин (5,0%), болезни органов пищеварения (4,8%), болезни нервной системы (4,7%), болезни кожи и подкожной клетчатки (4,2%), инфекционные и паразитарные болезни (3,6%), болезни костно-мышечной системы и соединительной ткани (3,2%), COVID-19 (3,1%), болезни эндокринной системы, расстройства питания и нарушения обмена веществ (2,7%), болезни мочеполовой системы (2,3%), врожденные аномалии (пороки развития), деформации и хромосомные нарушения (1,5%).</w:t>
      </w:r>
    </w:p>
    <w:p>
      <w:pPr>
        <w:pStyle w:val="0"/>
        <w:spacing w:before="200" w:line-rule="auto"/>
        <w:ind w:firstLine="540"/>
        <w:jc w:val="both"/>
      </w:pPr>
      <w:r>
        <w:rPr>
          <w:sz w:val="20"/>
        </w:rPr>
        <w:t xml:space="preserve">По остальным классам изменения незначительные.</w:t>
      </w:r>
    </w:p>
    <w:p>
      <w:pPr>
        <w:pStyle w:val="0"/>
        <w:spacing w:before="200" w:line-rule="auto"/>
        <w:ind w:firstLine="540"/>
        <w:jc w:val="both"/>
      </w:pPr>
      <w:r>
        <w:rPr>
          <w:sz w:val="20"/>
        </w:rPr>
        <w:t xml:space="preserve">В автономном округе имеет место рост первичной заболеваемости детского населения от 0 до 14 лет на 7,2% (с 1821,9 на 1 тыс. населения в 2021 году до 1952,2 в 2022 году). По УрФО в 2021 году этот показатель составил 1787,9, по РФ - 1662,9 на 1 тыс. населения.</w:t>
      </w:r>
    </w:p>
    <w:p>
      <w:pPr>
        <w:pStyle w:val="0"/>
        <w:spacing w:before="200" w:line-rule="auto"/>
        <w:ind w:firstLine="540"/>
        <w:jc w:val="both"/>
      </w:pPr>
      <w:r>
        <w:rPr>
          <w:sz w:val="20"/>
        </w:rPr>
        <w:t xml:space="preserve">В структуре первичной заболеваемости детского населения первое место занимают болезни органов дыхания (70,6%), далее следуют травмы, отравления и некоторые другие последствия воздействия внешних причин (6,9%), COVID-19 (4,2%), инфекционные и паразитарные болезни (3,9%), болезни кожи и подкожной клетчатки (3,4%).</w:t>
      </w:r>
    </w:p>
    <w:p>
      <w:pPr>
        <w:pStyle w:val="0"/>
        <w:ind w:firstLine="540"/>
        <w:jc w:val="both"/>
      </w:pPr>
      <w:r>
        <w:rPr>
          <w:sz w:val="20"/>
        </w:rPr>
      </w:r>
    </w:p>
    <w:p>
      <w:pPr>
        <w:pStyle w:val="2"/>
        <w:outlineLvl w:val="2"/>
        <w:jc w:val="center"/>
      </w:pPr>
      <w:r>
        <w:rPr>
          <w:sz w:val="20"/>
        </w:rPr>
        <w:t xml:space="preserve">1.3. Анализ показателей инвалидизации населения автономного</w:t>
      </w:r>
    </w:p>
    <w:p>
      <w:pPr>
        <w:pStyle w:val="2"/>
        <w:jc w:val="center"/>
      </w:pPr>
      <w:r>
        <w:rPr>
          <w:sz w:val="20"/>
        </w:rPr>
        <w:t xml:space="preserve">округа</w:t>
      </w:r>
    </w:p>
    <w:p>
      <w:pPr>
        <w:pStyle w:val="0"/>
        <w:jc w:val="center"/>
      </w:pPr>
      <w:r>
        <w:rPr>
          <w:sz w:val="20"/>
        </w:rPr>
      </w:r>
    </w:p>
    <w:p>
      <w:pPr>
        <w:pStyle w:val="0"/>
        <w:ind w:firstLine="540"/>
        <w:jc w:val="both"/>
      </w:pPr>
      <w:r>
        <w:rPr>
          <w:sz w:val="20"/>
        </w:rPr>
        <w:t xml:space="preserve">Численность инвалидов в автономном округе имеет тенденцию к увеличению с 59 434 человек в 2021 году до 60 301 человека в 2022 году (увеличение на 1,5%).</w:t>
      </w:r>
    </w:p>
    <w:p>
      <w:pPr>
        <w:pStyle w:val="0"/>
        <w:spacing w:before="200" w:line-rule="auto"/>
        <w:ind w:firstLine="540"/>
        <w:jc w:val="both"/>
      </w:pPr>
      <w:r>
        <w:rPr>
          <w:sz w:val="20"/>
        </w:rPr>
        <w:t xml:space="preserve">Увеличение численности инвалидов обусловлено приростом населения старше трудоспособного возраста, а также миграционным приростом населения за счет пациентов с тяжелой патологией, переезжающих в автономный округ в целях получения качественной медицинской помощи и социальных льгот автономного округа.</w:t>
      </w:r>
    </w:p>
    <w:p>
      <w:pPr>
        <w:pStyle w:val="0"/>
        <w:jc w:val="right"/>
      </w:pPr>
      <w:r>
        <w:rPr>
          <w:sz w:val="20"/>
        </w:rPr>
      </w:r>
    </w:p>
    <w:p>
      <w:pPr>
        <w:pStyle w:val="0"/>
        <w:jc w:val="right"/>
      </w:pPr>
      <w:r>
        <w:rPr>
          <w:sz w:val="20"/>
        </w:rPr>
        <w:t xml:space="preserve">Таблица 3</w:t>
      </w:r>
    </w:p>
    <w:p>
      <w:pPr>
        <w:pStyle w:val="0"/>
        <w:jc w:val="right"/>
      </w:pPr>
      <w:r>
        <w:rPr>
          <w:sz w:val="20"/>
        </w:rPr>
      </w:r>
    </w:p>
    <w:p>
      <w:pPr>
        <w:pStyle w:val="0"/>
        <w:jc w:val="center"/>
      </w:pPr>
      <w:r>
        <w:rPr>
          <w:sz w:val="20"/>
        </w:rPr>
        <w:t xml:space="preserve">Численность инвалидов по возрастным группам в автономном</w:t>
      </w:r>
    </w:p>
    <w:p>
      <w:pPr>
        <w:pStyle w:val="0"/>
        <w:jc w:val="center"/>
      </w:pPr>
      <w:r>
        <w:rPr>
          <w:sz w:val="20"/>
        </w:rPr>
        <w:t xml:space="preserve">округе по состоянию на 1 января 2020 - 2022 годов (по данным</w:t>
      </w:r>
    </w:p>
    <w:p>
      <w:pPr>
        <w:pStyle w:val="0"/>
        <w:jc w:val="center"/>
      </w:pPr>
      <w:r>
        <w:rPr>
          <w:sz w:val="20"/>
        </w:rPr>
        <w:t xml:space="preserve">ФГИС "Федеральный реестр инвалидов")</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084"/>
        <w:gridCol w:w="844"/>
        <w:gridCol w:w="844"/>
        <w:gridCol w:w="844"/>
        <w:gridCol w:w="844"/>
        <w:gridCol w:w="844"/>
        <w:gridCol w:w="844"/>
        <w:gridCol w:w="964"/>
        <w:gridCol w:w="844"/>
        <w:gridCol w:w="964"/>
        <w:gridCol w:w="844"/>
        <w:gridCol w:w="964"/>
        <w:gridCol w:w="844"/>
      </w:tblGrid>
      <w:tr>
        <w:tc>
          <w:tcPr>
            <w:tcW w:w="1474" w:type="dxa"/>
            <w:vMerge w:val="restart"/>
          </w:tcPr>
          <w:p>
            <w:pPr>
              <w:pStyle w:val="0"/>
              <w:jc w:val="center"/>
            </w:pPr>
            <w:r>
              <w:rPr>
                <w:sz w:val="20"/>
              </w:rPr>
              <w:t xml:space="preserve">Территория</w:t>
            </w:r>
          </w:p>
        </w:tc>
        <w:tc>
          <w:tcPr>
            <w:tcW w:w="1084" w:type="dxa"/>
            <w:vMerge w:val="restart"/>
          </w:tcPr>
          <w:p>
            <w:pPr>
              <w:pStyle w:val="0"/>
              <w:jc w:val="center"/>
            </w:pPr>
            <w:r>
              <w:rPr>
                <w:sz w:val="20"/>
              </w:rPr>
              <w:t xml:space="preserve">Всего</w:t>
            </w:r>
          </w:p>
        </w:tc>
        <w:tc>
          <w:tcPr>
            <w:gridSpan w:val="2"/>
            <w:tcW w:w="1688" w:type="dxa"/>
          </w:tcPr>
          <w:p>
            <w:pPr>
              <w:pStyle w:val="0"/>
              <w:jc w:val="center"/>
            </w:pPr>
            <w:r>
              <w:rPr>
                <w:sz w:val="20"/>
              </w:rPr>
              <w:t xml:space="preserve">Дети до 17 лет</w:t>
            </w:r>
          </w:p>
        </w:tc>
        <w:tc>
          <w:tcPr>
            <w:gridSpan w:val="2"/>
            <w:tcW w:w="1688" w:type="dxa"/>
          </w:tcPr>
          <w:p>
            <w:pPr>
              <w:pStyle w:val="0"/>
              <w:jc w:val="center"/>
            </w:pPr>
            <w:r>
              <w:rPr>
                <w:sz w:val="20"/>
              </w:rPr>
              <w:t xml:space="preserve">18 - 30 лет</w:t>
            </w:r>
          </w:p>
        </w:tc>
        <w:tc>
          <w:tcPr>
            <w:gridSpan w:val="2"/>
            <w:tcW w:w="1688" w:type="dxa"/>
          </w:tcPr>
          <w:p>
            <w:pPr>
              <w:pStyle w:val="0"/>
              <w:jc w:val="center"/>
            </w:pPr>
            <w:r>
              <w:rPr>
                <w:sz w:val="20"/>
              </w:rPr>
              <w:t xml:space="preserve">31 - 40 лет</w:t>
            </w:r>
          </w:p>
        </w:tc>
        <w:tc>
          <w:tcPr>
            <w:gridSpan w:val="2"/>
            <w:tcW w:w="1808" w:type="dxa"/>
          </w:tcPr>
          <w:p>
            <w:pPr>
              <w:pStyle w:val="0"/>
              <w:jc w:val="center"/>
            </w:pPr>
            <w:r>
              <w:rPr>
                <w:sz w:val="20"/>
              </w:rPr>
              <w:t xml:space="preserve">41 - 50 лет</w:t>
            </w:r>
          </w:p>
        </w:tc>
        <w:tc>
          <w:tcPr>
            <w:gridSpan w:val="2"/>
            <w:tcW w:w="1808" w:type="dxa"/>
          </w:tcPr>
          <w:p>
            <w:pPr>
              <w:pStyle w:val="0"/>
              <w:jc w:val="center"/>
            </w:pPr>
            <w:r>
              <w:rPr>
                <w:sz w:val="20"/>
              </w:rPr>
              <w:t xml:space="preserve">51 - 60 лет</w:t>
            </w:r>
          </w:p>
        </w:tc>
        <w:tc>
          <w:tcPr>
            <w:gridSpan w:val="2"/>
            <w:tcW w:w="1808" w:type="dxa"/>
          </w:tcPr>
          <w:p>
            <w:pPr>
              <w:pStyle w:val="0"/>
              <w:jc w:val="center"/>
            </w:pPr>
            <w:r>
              <w:rPr>
                <w:sz w:val="20"/>
              </w:rPr>
              <w:t xml:space="preserve">Свыше 60 лет</w:t>
            </w:r>
          </w:p>
        </w:tc>
      </w:tr>
      <w:tr>
        <w:tc>
          <w:tcPr>
            <w:vMerge w:val="continue"/>
          </w:tcPr>
          <w:p/>
        </w:tc>
        <w:tc>
          <w:tcPr>
            <w:vMerge w:val="continue"/>
          </w:tcPr>
          <w:p/>
        </w:tc>
        <w:tc>
          <w:tcPr>
            <w:tcW w:w="844" w:type="dxa"/>
          </w:tcPr>
          <w:p>
            <w:pPr>
              <w:pStyle w:val="0"/>
              <w:jc w:val="center"/>
            </w:pPr>
            <w:r>
              <w:rPr>
                <w:sz w:val="20"/>
              </w:rPr>
              <w:t xml:space="preserve">чел.</w:t>
            </w:r>
          </w:p>
        </w:tc>
        <w:tc>
          <w:tcPr>
            <w:tcW w:w="844" w:type="dxa"/>
          </w:tcPr>
          <w:p>
            <w:pPr>
              <w:pStyle w:val="0"/>
              <w:jc w:val="center"/>
            </w:pPr>
            <w:r>
              <w:rPr>
                <w:sz w:val="20"/>
              </w:rPr>
              <w:t xml:space="preserve">доля, %</w:t>
            </w:r>
          </w:p>
        </w:tc>
        <w:tc>
          <w:tcPr>
            <w:tcW w:w="844" w:type="dxa"/>
          </w:tcPr>
          <w:p>
            <w:pPr>
              <w:pStyle w:val="0"/>
              <w:jc w:val="center"/>
            </w:pPr>
            <w:r>
              <w:rPr>
                <w:sz w:val="20"/>
              </w:rPr>
              <w:t xml:space="preserve">чел.</w:t>
            </w:r>
          </w:p>
        </w:tc>
        <w:tc>
          <w:tcPr>
            <w:tcW w:w="844" w:type="dxa"/>
          </w:tcPr>
          <w:p>
            <w:pPr>
              <w:pStyle w:val="0"/>
              <w:jc w:val="center"/>
            </w:pPr>
            <w:r>
              <w:rPr>
                <w:sz w:val="20"/>
              </w:rPr>
              <w:t xml:space="preserve">доля, %</w:t>
            </w:r>
          </w:p>
        </w:tc>
        <w:tc>
          <w:tcPr>
            <w:tcW w:w="844" w:type="dxa"/>
          </w:tcPr>
          <w:p>
            <w:pPr>
              <w:pStyle w:val="0"/>
              <w:jc w:val="center"/>
            </w:pPr>
            <w:r>
              <w:rPr>
                <w:sz w:val="20"/>
              </w:rPr>
              <w:t xml:space="preserve">чел.</w:t>
            </w:r>
          </w:p>
        </w:tc>
        <w:tc>
          <w:tcPr>
            <w:tcW w:w="844" w:type="dxa"/>
          </w:tcPr>
          <w:p>
            <w:pPr>
              <w:pStyle w:val="0"/>
              <w:jc w:val="center"/>
            </w:pPr>
            <w:r>
              <w:rPr>
                <w:sz w:val="20"/>
              </w:rPr>
              <w:t xml:space="preserve">доля, %</w:t>
            </w:r>
          </w:p>
        </w:tc>
        <w:tc>
          <w:tcPr>
            <w:tcW w:w="964" w:type="dxa"/>
          </w:tcPr>
          <w:p>
            <w:pPr>
              <w:pStyle w:val="0"/>
              <w:jc w:val="center"/>
            </w:pPr>
            <w:r>
              <w:rPr>
                <w:sz w:val="20"/>
              </w:rPr>
              <w:t xml:space="preserve">чел.</w:t>
            </w:r>
          </w:p>
        </w:tc>
        <w:tc>
          <w:tcPr>
            <w:tcW w:w="844" w:type="dxa"/>
          </w:tcPr>
          <w:p>
            <w:pPr>
              <w:pStyle w:val="0"/>
              <w:jc w:val="center"/>
            </w:pPr>
            <w:r>
              <w:rPr>
                <w:sz w:val="20"/>
              </w:rPr>
              <w:t xml:space="preserve">доля, %</w:t>
            </w:r>
          </w:p>
        </w:tc>
        <w:tc>
          <w:tcPr>
            <w:tcW w:w="964" w:type="dxa"/>
          </w:tcPr>
          <w:p>
            <w:pPr>
              <w:pStyle w:val="0"/>
              <w:jc w:val="center"/>
            </w:pPr>
            <w:r>
              <w:rPr>
                <w:sz w:val="20"/>
              </w:rPr>
              <w:t xml:space="preserve">чел.</w:t>
            </w:r>
          </w:p>
        </w:tc>
        <w:tc>
          <w:tcPr>
            <w:tcW w:w="844" w:type="dxa"/>
          </w:tcPr>
          <w:p>
            <w:pPr>
              <w:pStyle w:val="0"/>
              <w:jc w:val="center"/>
            </w:pPr>
            <w:r>
              <w:rPr>
                <w:sz w:val="20"/>
              </w:rPr>
              <w:t xml:space="preserve">доля, %</w:t>
            </w:r>
          </w:p>
        </w:tc>
        <w:tc>
          <w:tcPr>
            <w:tcW w:w="964" w:type="dxa"/>
          </w:tcPr>
          <w:p>
            <w:pPr>
              <w:pStyle w:val="0"/>
              <w:jc w:val="center"/>
            </w:pPr>
            <w:r>
              <w:rPr>
                <w:sz w:val="20"/>
              </w:rPr>
              <w:t xml:space="preserve">чел.</w:t>
            </w:r>
          </w:p>
        </w:tc>
        <w:tc>
          <w:tcPr>
            <w:tcW w:w="844" w:type="dxa"/>
          </w:tcPr>
          <w:p>
            <w:pPr>
              <w:pStyle w:val="0"/>
              <w:jc w:val="center"/>
            </w:pPr>
            <w:r>
              <w:rPr>
                <w:sz w:val="20"/>
              </w:rPr>
              <w:t xml:space="preserve">доля, %</w:t>
            </w:r>
          </w:p>
        </w:tc>
      </w:tr>
      <w:tr>
        <w:tc>
          <w:tcPr>
            <w:gridSpan w:val="14"/>
            <w:tcW w:w="13046" w:type="dxa"/>
          </w:tcPr>
          <w:p>
            <w:pPr>
              <w:pStyle w:val="0"/>
            </w:pPr>
            <w:r>
              <w:rPr>
                <w:sz w:val="20"/>
              </w:rPr>
              <w:t xml:space="preserve">на 01.01.2022</w:t>
            </w:r>
          </w:p>
        </w:tc>
      </w:tr>
      <w:tr>
        <w:tc>
          <w:tcPr>
            <w:tcW w:w="1474" w:type="dxa"/>
          </w:tcPr>
          <w:p>
            <w:pPr>
              <w:pStyle w:val="0"/>
            </w:pPr>
            <w:r>
              <w:rPr>
                <w:sz w:val="20"/>
              </w:rPr>
              <w:t xml:space="preserve">РФ</w:t>
            </w:r>
          </w:p>
        </w:tc>
        <w:tc>
          <w:tcPr>
            <w:tcW w:w="1084" w:type="dxa"/>
          </w:tcPr>
          <w:p>
            <w:pPr>
              <w:pStyle w:val="0"/>
            </w:pPr>
            <w:r>
              <w:rPr>
                <w:sz w:val="20"/>
              </w:rPr>
              <w:t xml:space="preserve">11285488</w:t>
            </w:r>
          </w:p>
        </w:tc>
        <w:tc>
          <w:tcPr>
            <w:tcW w:w="844" w:type="dxa"/>
          </w:tcPr>
          <w:p>
            <w:pPr>
              <w:pStyle w:val="0"/>
            </w:pPr>
            <w:r>
              <w:rPr>
                <w:sz w:val="20"/>
              </w:rPr>
              <w:t xml:space="preserve">728858</w:t>
            </w:r>
          </w:p>
        </w:tc>
        <w:tc>
          <w:tcPr>
            <w:tcW w:w="844" w:type="dxa"/>
          </w:tcPr>
          <w:p>
            <w:pPr>
              <w:pStyle w:val="0"/>
            </w:pPr>
            <w:r>
              <w:rPr>
                <w:sz w:val="20"/>
              </w:rPr>
              <w:t xml:space="preserve">6,4</w:t>
            </w:r>
          </w:p>
        </w:tc>
        <w:tc>
          <w:tcPr>
            <w:tcW w:w="844" w:type="dxa"/>
          </w:tcPr>
          <w:p>
            <w:pPr>
              <w:pStyle w:val="0"/>
            </w:pPr>
            <w:r>
              <w:rPr>
                <w:sz w:val="20"/>
              </w:rPr>
              <w:t xml:space="preserve">489321</w:t>
            </w:r>
          </w:p>
        </w:tc>
        <w:tc>
          <w:tcPr>
            <w:tcW w:w="844" w:type="dxa"/>
          </w:tcPr>
          <w:p>
            <w:pPr>
              <w:pStyle w:val="0"/>
            </w:pPr>
            <w:r>
              <w:rPr>
                <w:sz w:val="20"/>
              </w:rPr>
              <w:t xml:space="preserve">4,6</w:t>
            </w:r>
          </w:p>
        </w:tc>
        <w:tc>
          <w:tcPr>
            <w:tcW w:w="844" w:type="dxa"/>
          </w:tcPr>
          <w:p>
            <w:pPr>
              <w:pStyle w:val="0"/>
            </w:pPr>
            <w:r>
              <w:rPr>
                <w:sz w:val="20"/>
              </w:rPr>
              <w:t xml:space="preserve">790353</w:t>
            </w:r>
          </w:p>
        </w:tc>
        <w:tc>
          <w:tcPr>
            <w:tcW w:w="844" w:type="dxa"/>
          </w:tcPr>
          <w:p>
            <w:pPr>
              <w:pStyle w:val="0"/>
            </w:pPr>
            <w:r>
              <w:rPr>
                <w:sz w:val="20"/>
              </w:rPr>
              <w:t xml:space="preserve">7,5</w:t>
            </w:r>
          </w:p>
        </w:tc>
        <w:tc>
          <w:tcPr>
            <w:tcW w:w="964" w:type="dxa"/>
          </w:tcPr>
          <w:p>
            <w:pPr>
              <w:pStyle w:val="0"/>
            </w:pPr>
            <w:r>
              <w:rPr>
                <w:sz w:val="20"/>
              </w:rPr>
              <w:t xml:space="preserve">1077203</w:t>
            </w:r>
          </w:p>
        </w:tc>
        <w:tc>
          <w:tcPr>
            <w:tcW w:w="844" w:type="dxa"/>
          </w:tcPr>
          <w:p>
            <w:pPr>
              <w:pStyle w:val="0"/>
            </w:pPr>
            <w:r>
              <w:rPr>
                <w:sz w:val="20"/>
              </w:rPr>
              <w:t xml:space="preserve">10,2</w:t>
            </w:r>
          </w:p>
        </w:tc>
        <w:tc>
          <w:tcPr>
            <w:tcW w:w="964" w:type="dxa"/>
          </w:tcPr>
          <w:p>
            <w:pPr>
              <w:pStyle w:val="0"/>
            </w:pPr>
            <w:r>
              <w:rPr>
                <w:sz w:val="20"/>
              </w:rPr>
              <w:t xml:space="preserve">1682866</w:t>
            </w:r>
          </w:p>
        </w:tc>
        <w:tc>
          <w:tcPr>
            <w:tcW w:w="844" w:type="dxa"/>
          </w:tcPr>
          <w:p>
            <w:pPr>
              <w:pStyle w:val="0"/>
            </w:pPr>
            <w:r>
              <w:rPr>
                <w:sz w:val="20"/>
              </w:rPr>
              <w:t xml:space="preserve">15,9</w:t>
            </w:r>
          </w:p>
        </w:tc>
        <w:tc>
          <w:tcPr>
            <w:tcW w:w="964" w:type="dxa"/>
          </w:tcPr>
          <w:p>
            <w:pPr>
              <w:pStyle w:val="0"/>
            </w:pPr>
            <w:r>
              <w:rPr>
                <w:sz w:val="20"/>
              </w:rPr>
              <w:t xml:space="preserve">6516887</w:t>
            </w:r>
          </w:p>
        </w:tc>
        <w:tc>
          <w:tcPr>
            <w:tcW w:w="844" w:type="dxa"/>
          </w:tcPr>
          <w:p>
            <w:pPr>
              <w:pStyle w:val="0"/>
            </w:pPr>
            <w:r>
              <w:rPr>
                <w:sz w:val="20"/>
              </w:rPr>
              <w:t xml:space="preserve">61,7</w:t>
            </w:r>
          </w:p>
        </w:tc>
      </w:tr>
      <w:tr>
        <w:tc>
          <w:tcPr>
            <w:tcW w:w="1474" w:type="dxa"/>
          </w:tcPr>
          <w:p>
            <w:pPr>
              <w:pStyle w:val="0"/>
            </w:pPr>
            <w:r>
              <w:rPr>
                <w:sz w:val="20"/>
              </w:rPr>
              <w:t xml:space="preserve">УрФО</w:t>
            </w:r>
          </w:p>
        </w:tc>
        <w:tc>
          <w:tcPr>
            <w:tcW w:w="1084" w:type="dxa"/>
          </w:tcPr>
          <w:p>
            <w:pPr>
              <w:pStyle w:val="0"/>
            </w:pPr>
            <w:r>
              <w:rPr>
                <w:sz w:val="20"/>
              </w:rPr>
              <w:t xml:space="preserve">749992</w:t>
            </w:r>
          </w:p>
        </w:tc>
        <w:tc>
          <w:tcPr>
            <w:tcW w:w="844" w:type="dxa"/>
          </w:tcPr>
          <w:p>
            <w:pPr>
              <w:pStyle w:val="0"/>
            </w:pPr>
            <w:r>
              <w:rPr>
                <w:sz w:val="20"/>
              </w:rPr>
              <w:t xml:space="preserve">59818</w:t>
            </w:r>
          </w:p>
        </w:tc>
        <w:tc>
          <w:tcPr>
            <w:tcW w:w="844" w:type="dxa"/>
          </w:tcPr>
          <w:p>
            <w:pPr>
              <w:pStyle w:val="0"/>
            </w:pPr>
            <w:r>
              <w:rPr>
                <w:sz w:val="20"/>
              </w:rPr>
              <w:t xml:space="preserve">7,9</w:t>
            </w:r>
          </w:p>
        </w:tc>
        <w:tc>
          <w:tcPr>
            <w:tcW w:w="844" w:type="dxa"/>
          </w:tcPr>
          <w:p>
            <w:pPr>
              <w:pStyle w:val="0"/>
            </w:pPr>
            <w:r>
              <w:rPr>
                <w:sz w:val="20"/>
              </w:rPr>
              <w:t xml:space="preserve">36665</w:t>
            </w:r>
          </w:p>
        </w:tc>
        <w:tc>
          <w:tcPr>
            <w:tcW w:w="844" w:type="dxa"/>
          </w:tcPr>
          <w:p>
            <w:pPr>
              <w:pStyle w:val="0"/>
            </w:pPr>
            <w:r>
              <w:rPr>
                <w:sz w:val="20"/>
              </w:rPr>
              <w:t xml:space="preserve">5,3</w:t>
            </w:r>
          </w:p>
        </w:tc>
        <w:tc>
          <w:tcPr>
            <w:tcW w:w="844" w:type="dxa"/>
          </w:tcPr>
          <w:p>
            <w:pPr>
              <w:pStyle w:val="0"/>
            </w:pPr>
            <w:r>
              <w:rPr>
                <w:sz w:val="20"/>
              </w:rPr>
              <w:t xml:space="preserve">57835</w:t>
            </w:r>
          </w:p>
        </w:tc>
        <w:tc>
          <w:tcPr>
            <w:tcW w:w="844" w:type="dxa"/>
          </w:tcPr>
          <w:p>
            <w:pPr>
              <w:pStyle w:val="0"/>
            </w:pPr>
            <w:r>
              <w:rPr>
                <w:sz w:val="20"/>
              </w:rPr>
              <w:t xml:space="preserve">8,4</w:t>
            </w:r>
          </w:p>
        </w:tc>
        <w:tc>
          <w:tcPr>
            <w:tcW w:w="964" w:type="dxa"/>
          </w:tcPr>
          <w:p>
            <w:pPr>
              <w:pStyle w:val="0"/>
            </w:pPr>
            <w:r>
              <w:rPr>
                <w:sz w:val="20"/>
              </w:rPr>
              <w:t xml:space="preserve">73895</w:t>
            </w:r>
          </w:p>
        </w:tc>
        <w:tc>
          <w:tcPr>
            <w:tcW w:w="844" w:type="dxa"/>
          </w:tcPr>
          <w:p>
            <w:pPr>
              <w:pStyle w:val="0"/>
            </w:pPr>
            <w:r>
              <w:rPr>
                <w:sz w:val="20"/>
              </w:rPr>
              <w:t xml:space="preserve">10,7</w:t>
            </w:r>
          </w:p>
        </w:tc>
        <w:tc>
          <w:tcPr>
            <w:tcW w:w="964" w:type="dxa"/>
          </w:tcPr>
          <w:p>
            <w:pPr>
              <w:pStyle w:val="0"/>
            </w:pPr>
            <w:r>
              <w:rPr>
                <w:sz w:val="20"/>
              </w:rPr>
              <w:t xml:space="preserve">104660</w:t>
            </w:r>
          </w:p>
        </w:tc>
        <w:tc>
          <w:tcPr>
            <w:tcW w:w="844" w:type="dxa"/>
          </w:tcPr>
          <w:p>
            <w:pPr>
              <w:pStyle w:val="0"/>
            </w:pPr>
            <w:r>
              <w:rPr>
                <w:sz w:val="20"/>
              </w:rPr>
              <w:t xml:space="preserve">15,2</w:t>
            </w:r>
          </w:p>
        </w:tc>
        <w:tc>
          <w:tcPr>
            <w:tcW w:w="964" w:type="dxa"/>
          </w:tcPr>
          <w:p>
            <w:pPr>
              <w:pStyle w:val="0"/>
            </w:pPr>
            <w:r>
              <w:rPr>
                <w:sz w:val="20"/>
              </w:rPr>
              <w:t xml:space="preserve">417119</w:t>
            </w:r>
          </w:p>
        </w:tc>
        <w:tc>
          <w:tcPr>
            <w:tcW w:w="844" w:type="dxa"/>
          </w:tcPr>
          <w:p>
            <w:pPr>
              <w:pStyle w:val="0"/>
            </w:pPr>
            <w:r>
              <w:rPr>
                <w:sz w:val="20"/>
              </w:rPr>
              <w:t xml:space="preserve">60,4</w:t>
            </w:r>
          </w:p>
        </w:tc>
      </w:tr>
      <w:tr>
        <w:tc>
          <w:tcPr>
            <w:tcW w:w="1474" w:type="dxa"/>
          </w:tcPr>
          <w:p>
            <w:pPr>
              <w:pStyle w:val="0"/>
            </w:pPr>
            <w:r>
              <w:rPr>
                <w:sz w:val="20"/>
              </w:rPr>
              <w:t xml:space="preserve">Автономный округ</w:t>
            </w:r>
          </w:p>
        </w:tc>
        <w:tc>
          <w:tcPr>
            <w:tcW w:w="1084" w:type="dxa"/>
          </w:tcPr>
          <w:p>
            <w:pPr>
              <w:pStyle w:val="0"/>
            </w:pPr>
            <w:r>
              <w:rPr>
                <w:sz w:val="20"/>
              </w:rPr>
              <w:t xml:space="preserve">60301</w:t>
            </w:r>
          </w:p>
        </w:tc>
        <w:tc>
          <w:tcPr>
            <w:tcW w:w="844" w:type="dxa"/>
          </w:tcPr>
          <w:p>
            <w:pPr>
              <w:pStyle w:val="0"/>
            </w:pPr>
            <w:r>
              <w:rPr>
                <w:sz w:val="20"/>
              </w:rPr>
              <w:t xml:space="preserve">7118</w:t>
            </w:r>
          </w:p>
        </w:tc>
        <w:tc>
          <w:tcPr>
            <w:tcW w:w="844" w:type="dxa"/>
          </w:tcPr>
          <w:p>
            <w:pPr>
              <w:pStyle w:val="0"/>
            </w:pPr>
            <w:r>
              <w:rPr>
                <w:sz w:val="20"/>
              </w:rPr>
              <w:t xml:space="preserve">11,8</w:t>
            </w:r>
          </w:p>
        </w:tc>
        <w:tc>
          <w:tcPr>
            <w:tcW w:w="844" w:type="dxa"/>
          </w:tcPr>
          <w:p>
            <w:pPr>
              <w:pStyle w:val="0"/>
            </w:pPr>
            <w:r>
              <w:rPr>
                <w:sz w:val="20"/>
              </w:rPr>
              <w:t xml:space="preserve">4007</w:t>
            </w:r>
          </w:p>
        </w:tc>
        <w:tc>
          <w:tcPr>
            <w:tcW w:w="844" w:type="dxa"/>
          </w:tcPr>
          <w:p>
            <w:pPr>
              <w:pStyle w:val="0"/>
            </w:pPr>
            <w:r>
              <w:rPr>
                <w:sz w:val="20"/>
              </w:rPr>
              <w:t xml:space="preserve">7,5</w:t>
            </w:r>
          </w:p>
        </w:tc>
        <w:tc>
          <w:tcPr>
            <w:tcW w:w="844" w:type="dxa"/>
          </w:tcPr>
          <w:p>
            <w:pPr>
              <w:pStyle w:val="0"/>
            </w:pPr>
            <w:r>
              <w:rPr>
                <w:sz w:val="20"/>
              </w:rPr>
              <w:t xml:space="preserve">5892</w:t>
            </w:r>
          </w:p>
        </w:tc>
        <w:tc>
          <w:tcPr>
            <w:tcW w:w="844" w:type="dxa"/>
          </w:tcPr>
          <w:p>
            <w:pPr>
              <w:pStyle w:val="0"/>
            </w:pPr>
            <w:r>
              <w:rPr>
                <w:sz w:val="20"/>
              </w:rPr>
              <w:t xml:space="preserve">11,1</w:t>
            </w:r>
          </w:p>
        </w:tc>
        <w:tc>
          <w:tcPr>
            <w:tcW w:w="964" w:type="dxa"/>
          </w:tcPr>
          <w:p>
            <w:pPr>
              <w:pStyle w:val="0"/>
            </w:pPr>
            <w:r>
              <w:rPr>
                <w:sz w:val="20"/>
              </w:rPr>
              <w:t xml:space="preserve">7217</w:t>
            </w:r>
          </w:p>
        </w:tc>
        <w:tc>
          <w:tcPr>
            <w:tcW w:w="844" w:type="dxa"/>
          </w:tcPr>
          <w:p>
            <w:pPr>
              <w:pStyle w:val="0"/>
            </w:pPr>
            <w:r>
              <w:rPr>
                <w:sz w:val="20"/>
              </w:rPr>
              <w:t xml:space="preserve">13,6</w:t>
            </w:r>
          </w:p>
        </w:tc>
        <w:tc>
          <w:tcPr>
            <w:tcW w:w="964" w:type="dxa"/>
          </w:tcPr>
          <w:p>
            <w:pPr>
              <w:pStyle w:val="0"/>
            </w:pPr>
            <w:r>
              <w:rPr>
                <w:sz w:val="20"/>
              </w:rPr>
              <w:t xml:space="preserve">10181</w:t>
            </w:r>
          </w:p>
        </w:tc>
        <w:tc>
          <w:tcPr>
            <w:tcW w:w="844" w:type="dxa"/>
          </w:tcPr>
          <w:p>
            <w:pPr>
              <w:pStyle w:val="0"/>
            </w:pPr>
            <w:r>
              <w:rPr>
                <w:sz w:val="20"/>
              </w:rPr>
              <w:t xml:space="preserve">19,1</w:t>
            </w:r>
          </w:p>
        </w:tc>
        <w:tc>
          <w:tcPr>
            <w:tcW w:w="964" w:type="dxa"/>
          </w:tcPr>
          <w:p>
            <w:pPr>
              <w:pStyle w:val="0"/>
            </w:pPr>
            <w:r>
              <w:rPr>
                <w:sz w:val="20"/>
              </w:rPr>
              <w:t xml:space="preserve">25886</w:t>
            </w:r>
          </w:p>
        </w:tc>
        <w:tc>
          <w:tcPr>
            <w:tcW w:w="844" w:type="dxa"/>
          </w:tcPr>
          <w:p>
            <w:pPr>
              <w:pStyle w:val="0"/>
            </w:pPr>
            <w:r>
              <w:rPr>
                <w:sz w:val="20"/>
              </w:rPr>
              <w:t xml:space="preserve">48,7</w:t>
            </w:r>
          </w:p>
        </w:tc>
      </w:tr>
      <w:tr>
        <w:tc>
          <w:tcPr>
            <w:gridSpan w:val="14"/>
            <w:tcW w:w="13046" w:type="dxa"/>
          </w:tcPr>
          <w:p>
            <w:pPr>
              <w:pStyle w:val="0"/>
            </w:pPr>
            <w:r>
              <w:rPr>
                <w:sz w:val="20"/>
              </w:rPr>
              <w:t xml:space="preserve">на 01.01.2021</w:t>
            </w:r>
          </w:p>
        </w:tc>
      </w:tr>
      <w:tr>
        <w:tc>
          <w:tcPr>
            <w:tcW w:w="1474" w:type="dxa"/>
          </w:tcPr>
          <w:p>
            <w:pPr>
              <w:pStyle w:val="0"/>
            </w:pPr>
            <w:r>
              <w:rPr>
                <w:sz w:val="20"/>
              </w:rPr>
              <w:t xml:space="preserve">РФ</w:t>
            </w:r>
          </w:p>
        </w:tc>
        <w:tc>
          <w:tcPr>
            <w:tcW w:w="1084" w:type="dxa"/>
          </w:tcPr>
          <w:p>
            <w:pPr>
              <w:pStyle w:val="0"/>
            </w:pPr>
            <w:r>
              <w:rPr>
                <w:sz w:val="20"/>
              </w:rPr>
              <w:t xml:space="preserve">11632958</w:t>
            </w:r>
          </w:p>
        </w:tc>
        <w:tc>
          <w:tcPr>
            <w:tcW w:w="844" w:type="dxa"/>
          </w:tcPr>
          <w:p>
            <w:pPr>
              <w:pStyle w:val="0"/>
            </w:pPr>
            <w:r>
              <w:rPr>
                <w:sz w:val="20"/>
              </w:rPr>
              <w:t xml:space="preserve">703969</w:t>
            </w:r>
          </w:p>
        </w:tc>
        <w:tc>
          <w:tcPr>
            <w:tcW w:w="844" w:type="dxa"/>
          </w:tcPr>
          <w:p>
            <w:pPr>
              <w:pStyle w:val="0"/>
            </w:pPr>
            <w:r>
              <w:rPr>
                <w:sz w:val="20"/>
              </w:rPr>
              <w:t xml:space="preserve">6</w:t>
            </w:r>
          </w:p>
        </w:tc>
        <w:tc>
          <w:tcPr>
            <w:tcW w:w="844" w:type="dxa"/>
          </w:tcPr>
          <w:p>
            <w:pPr>
              <w:pStyle w:val="0"/>
            </w:pPr>
            <w:r>
              <w:rPr>
                <w:sz w:val="20"/>
              </w:rPr>
              <w:t xml:space="preserve">485189</w:t>
            </w:r>
          </w:p>
        </w:tc>
        <w:tc>
          <w:tcPr>
            <w:tcW w:w="844" w:type="dxa"/>
          </w:tcPr>
          <w:p>
            <w:pPr>
              <w:pStyle w:val="0"/>
            </w:pPr>
            <w:r>
              <w:rPr>
                <w:sz w:val="20"/>
              </w:rPr>
              <w:t xml:space="preserve">4,2</w:t>
            </w:r>
          </w:p>
        </w:tc>
        <w:tc>
          <w:tcPr>
            <w:tcW w:w="844" w:type="dxa"/>
          </w:tcPr>
          <w:p>
            <w:pPr>
              <w:pStyle w:val="0"/>
            </w:pPr>
            <w:r>
              <w:rPr>
                <w:sz w:val="20"/>
              </w:rPr>
              <w:t xml:space="preserve">796087</w:t>
            </w:r>
          </w:p>
        </w:tc>
        <w:tc>
          <w:tcPr>
            <w:tcW w:w="844" w:type="dxa"/>
          </w:tcPr>
          <w:p>
            <w:pPr>
              <w:pStyle w:val="0"/>
            </w:pPr>
            <w:r>
              <w:rPr>
                <w:sz w:val="20"/>
              </w:rPr>
              <w:t xml:space="preserve">6,8</w:t>
            </w:r>
          </w:p>
        </w:tc>
        <w:tc>
          <w:tcPr>
            <w:tcW w:w="964" w:type="dxa"/>
          </w:tcPr>
          <w:p>
            <w:pPr>
              <w:pStyle w:val="0"/>
            </w:pPr>
            <w:r>
              <w:rPr>
                <w:sz w:val="20"/>
              </w:rPr>
              <w:t xml:space="preserve">1065956</w:t>
            </w:r>
          </w:p>
        </w:tc>
        <w:tc>
          <w:tcPr>
            <w:tcW w:w="844" w:type="dxa"/>
          </w:tcPr>
          <w:p>
            <w:pPr>
              <w:pStyle w:val="0"/>
            </w:pPr>
            <w:r>
              <w:rPr>
                <w:sz w:val="20"/>
              </w:rPr>
              <w:t xml:space="preserve">9,2</w:t>
            </w:r>
          </w:p>
        </w:tc>
        <w:tc>
          <w:tcPr>
            <w:tcW w:w="964" w:type="dxa"/>
          </w:tcPr>
          <w:p>
            <w:pPr>
              <w:pStyle w:val="0"/>
            </w:pPr>
            <w:r>
              <w:rPr>
                <w:sz w:val="20"/>
              </w:rPr>
              <w:t xml:space="preserve">1787254</w:t>
            </w:r>
          </w:p>
        </w:tc>
        <w:tc>
          <w:tcPr>
            <w:tcW w:w="844" w:type="dxa"/>
          </w:tcPr>
          <w:p>
            <w:pPr>
              <w:pStyle w:val="0"/>
            </w:pPr>
            <w:r>
              <w:rPr>
                <w:sz w:val="20"/>
              </w:rPr>
              <w:t xml:space="preserve">15,4</w:t>
            </w:r>
          </w:p>
        </w:tc>
        <w:tc>
          <w:tcPr>
            <w:tcW w:w="964" w:type="dxa"/>
          </w:tcPr>
          <w:p>
            <w:pPr>
              <w:pStyle w:val="0"/>
            </w:pPr>
            <w:r>
              <w:rPr>
                <w:sz w:val="20"/>
              </w:rPr>
              <w:t xml:space="preserve">6794503</w:t>
            </w:r>
          </w:p>
        </w:tc>
        <w:tc>
          <w:tcPr>
            <w:tcW w:w="844" w:type="dxa"/>
          </w:tcPr>
          <w:p>
            <w:pPr>
              <w:pStyle w:val="0"/>
            </w:pPr>
            <w:r>
              <w:rPr>
                <w:sz w:val="20"/>
              </w:rPr>
              <w:t xml:space="preserve">58,4</w:t>
            </w:r>
          </w:p>
        </w:tc>
      </w:tr>
      <w:tr>
        <w:tc>
          <w:tcPr>
            <w:tcW w:w="1474" w:type="dxa"/>
          </w:tcPr>
          <w:p>
            <w:pPr>
              <w:pStyle w:val="0"/>
            </w:pPr>
            <w:r>
              <w:rPr>
                <w:sz w:val="20"/>
              </w:rPr>
              <w:t xml:space="preserve">УрФО</w:t>
            </w:r>
          </w:p>
        </w:tc>
        <w:tc>
          <w:tcPr>
            <w:tcW w:w="1084" w:type="dxa"/>
          </w:tcPr>
          <w:p>
            <w:pPr>
              <w:pStyle w:val="0"/>
            </w:pPr>
            <w:r>
              <w:rPr>
                <w:sz w:val="20"/>
              </w:rPr>
              <w:t xml:space="preserve">765216</w:t>
            </w:r>
          </w:p>
        </w:tc>
        <w:tc>
          <w:tcPr>
            <w:tcW w:w="844" w:type="dxa"/>
          </w:tcPr>
          <w:p>
            <w:pPr>
              <w:pStyle w:val="0"/>
            </w:pPr>
            <w:r>
              <w:rPr>
                <w:sz w:val="20"/>
              </w:rPr>
              <w:t xml:space="preserve">56212</w:t>
            </w:r>
          </w:p>
        </w:tc>
        <w:tc>
          <w:tcPr>
            <w:tcW w:w="844" w:type="dxa"/>
          </w:tcPr>
          <w:p>
            <w:pPr>
              <w:pStyle w:val="0"/>
            </w:pPr>
            <w:r>
              <w:rPr>
                <w:sz w:val="20"/>
              </w:rPr>
              <w:t xml:space="preserve">7,3</w:t>
            </w:r>
          </w:p>
        </w:tc>
        <w:tc>
          <w:tcPr>
            <w:tcW w:w="844" w:type="dxa"/>
          </w:tcPr>
          <w:p>
            <w:pPr>
              <w:pStyle w:val="0"/>
            </w:pPr>
            <w:r>
              <w:rPr>
                <w:sz w:val="20"/>
              </w:rPr>
              <w:t xml:space="preserve">36276</w:t>
            </w:r>
          </w:p>
        </w:tc>
        <w:tc>
          <w:tcPr>
            <w:tcW w:w="844" w:type="dxa"/>
          </w:tcPr>
          <w:p>
            <w:pPr>
              <w:pStyle w:val="0"/>
            </w:pPr>
            <w:r>
              <w:rPr>
                <w:sz w:val="20"/>
              </w:rPr>
              <w:t xml:space="preserve">4,7</w:t>
            </w:r>
          </w:p>
        </w:tc>
        <w:tc>
          <w:tcPr>
            <w:tcW w:w="844" w:type="dxa"/>
          </w:tcPr>
          <w:p>
            <w:pPr>
              <w:pStyle w:val="0"/>
            </w:pPr>
            <w:r>
              <w:rPr>
                <w:sz w:val="20"/>
              </w:rPr>
              <w:t xml:space="preserve">58557</w:t>
            </w:r>
          </w:p>
        </w:tc>
        <w:tc>
          <w:tcPr>
            <w:tcW w:w="844" w:type="dxa"/>
          </w:tcPr>
          <w:p>
            <w:pPr>
              <w:pStyle w:val="0"/>
            </w:pPr>
            <w:r>
              <w:rPr>
                <w:sz w:val="20"/>
              </w:rPr>
              <w:t xml:space="preserve">7,7</w:t>
            </w:r>
          </w:p>
        </w:tc>
        <w:tc>
          <w:tcPr>
            <w:tcW w:w="964" w:type="dxa"/>
          </w:tcPr>
          <w:p>
            <w:pPr>
              <w:pStyle w:val="0"/>
            </w:pPr>
            <w:r>
              <w:rPr>
                <w:sz w:val="20"/>
              </w:rPr>
              <w:t xml:space="preserve">71356</w:t>
            </w:r>
          </w:p>
        </w:tc>
        <w:tc>
          <w:tcPr>
            <w:tcW w:w="844" w:type="dxa"/>
          </w:tcPr>
          <w:p>
            <w:pPr>
              <w:pStyle w:val="0"/>
            </w:pPr>
            <w:r>
              <w:rPr>
                <w:sz w:val="20"/>
              </w:rPr>
              <w:t xml:space="preserve">9,3</w:t>
            </w:r>
          </w:p>
        </w:tc>
        <w:tc>
          <w:tcPr>
            <w:tcW w:w="964" w:type="dxa"/>
          </w:tcPr>
          <w:p>
            <w:pPr>
              <w:pStyle w:val="0"/>
            </w:pPr>
            <w:r>
              <w:rPr>
                <w:sz w:val="20"/>
              </w:rPr>
              <w:t xml:space="preserve">110704</w:t>
            </w:r>
          </w:p>
        </w:tc>
        <w:tc>
          <w:tcPr>
            <w:tcW w:w="844" w:type="dxa"/>
          </w:tcPr>
          <w:p>
            <w:pPr>
              <w:pStyle w:val="0"/>
            </w:pPr>
            <w:r>
              <w:rPr>
                <w:sz w:val="20"/>
              </w:rPr>
              <w:t xml:space="preserve">14,5</w:t>
            </w:r>
          </w:p>
        </w:tc>
        <w:tc>
          <w:tcPr>
            <w:tcW w:w="964" w:type="dxa"/>
          </w:tcPr>
          <w:p>
            <w:pPr>
              <w:pStyle w:val="0"/>
            </w:pPr>
            <w:r>
              <w:rPr>
                <w:sz w:val="20"/>
              </w:rPr>
              <w:t xml:space="preserve">432111</w:t>
            </w:r>
          </w:p>
        </w:tc>
        <w:tc>
          <w:tcPr>
            <w:tcW w:w="844" w:type="dxa"/>
          </w:tcPr>
          <w:p>
            <w:pPr>
              <w:pStyle w:val="0"/>
            </w:pPr>
            <w:r>
              <w:rPr>
                <w:sz w:val="20"/>
              </w:rPr>
              <w:t xml:space="preserve">56,5</w:t>
            </w:r>
          </w:p>
        </w:tc>
      </w:tr>
      <w:tr>
        <w:tc>
          <w:tcPr>
            <w:tcW w:w="1474" w:type="dxa"/>
          </w:tcPr>
          <w:p>
            <w:pPr>
              <w:pStyle w:val="0"/>
            </w:pPr>
            <w:r>
              <w:rPr>
                <w:sz w:val="20"/>
              </w:rPr>
              <w:t xml:space="preserve">Автономный округ</w:t>
            </w:r>
          </w:p>
        </w:tc>
        <w:tc>
          <w:tcPr>
            <w:tcW w:w="1084" w:type="dxa"/>
          </w:tcPr>
          <w:p>
            <w:pPr>
              <w:pStyle w:val="0"/>
            </w:pPr>
            <w:r>
              <w:rPr>
                <w:sz w:val="20"/>
              </w:rPr>
              <w:t xml:space="preserve">59434</w:t>
            </w:r>
          </w:p>
        </w:tc>
        <w:tc>
          <w:tcPr>
            <w:tcW w:w="844" w:type="dxa"/>
          </w:tcPr>
          <w:p>
            <w:pPr>
              <w:pStyle w:val="0"/>
            </w:pPr>
            <w:r>
              <w:rPr>
                <w:sz w:val="20"/>
              </w:rPr>
              <w:t xml:space="preserve">6723</w:t>
            </w:r>
          </w:p>
        </w:tc>
        <w:tc>
          <w:tcPr>
            <w:tcW w:w="844" w:type="dxa"/>
          </w:tcPr>
          <w:p>
            <w:pPr>
              <w:pStyle w:val="0"/>
            </w:pPr>
            <w:r>
              <w:rPr>
                <w:sz w:val="20"/>
              </w:rPr>
              <w:t xml:space="preserve">11,3</w:t>
            </w:r>
          </w:p>
        </w:tc>
        <w:tc>
          <w:tcPr>
            <w:tcW w:w="844" w:type="dxa"/>
          </w:tcPr>
          <w:p>
            <w:pPr>
              <w:pStyle w:val="0"/>
            </w:pPr>
            <w:r>
              <w:rPr>
                <w:sz w:val="20"/>
              </w:rPr>
              <w:t xml:space="preserve">3921</w:t>
            </w:r>
          </w:p>
        </w:tc>
        <w:tc>
          <w:tcPr>
            <w:tcW w:w="844" w:type="dxa"/>
          </w:tcPr>
          <w:p>
            <w:pPr>
              <w:pStyle w:val="0"/>
            </w:pPr>
            <w:r>
              <w:rPr>
                <w:sz w:val="20"/>
              </w:rPr>
              <w:t xml:space="preserve">6,6</w:t>
            </w:r>
          </w:p>
        </w:tc>
        <w:tc>
          <w:tcPr>
            <w:tcW w:w="844" w:type="dxa"/>
          </w:tcPr>
          <w:p>
            <w:pPr>
              <w:pStyle w:val="0"/>
            </w:pPr>
            <w:r>
              <w:rPr>
                <w:sz w:val="20"/>
              </w:rPr>
              <w:t xml:space="preserve">5882</w:t>
            </w:r>
          </w:p>
        </w:tc>
        <w:tc>
          <w:tcPr>
            <w:tcW w:w="844" w:type="dxa"/>
          </w:tcPr>
          <w:p>
            <w:pPr>
              <w:pStyle w:val="0"/>
            </w:pPr>
            <w:r>
              <w:rPr>
                <w:sz w:val="20"/>
              </w:rPr>
              <w:t xml:space="preserve">9,9</w:t>
            </w:r>
          </w:p>
        </w:tc>
        <w:tc>
          <w:tcPr>
            <w:tcW w:w="964" w:type="dxa"/>
          </w:tcPr>
          <w:p>
            <w:pPr>
              <w:pStyle w:val="0"/>
            </w:pPr>
            <w:r>
              <w:rPr>
                <w:sz w:val="20"/>
              </w:rPr>
              <w:t xml:space="preserve">6831</w:t>
            </w:r>
          </w:p>
        </w:tc>
        <w:tc>
          <w:tcPr>
            <w:tcW w:w="844" w:type="dxa"/>
          </w:tcPr>
          <w:p>
            <w:pPr>
              <w:pStyle w:val="0"/>
            </w:pPr>
            <w:r>
              <w:rPr>
                <w:sz w:val="20"/>
              </w:rPr>
              <w:t xml:space="preserve">11,5</w:t>
            </w:r>
          </w:p>
        </w:tc>
        <w:tc>
          <w:tcPr>
            <w:tcW w:w="964" w:type="dxa"/>
          </w:tcPr>
          <w:p>
            <w:pPr>
              <w:pStyle w:val="0"/>
            </w:pPr>
            <w:r>
              <w:rPr>
                <w:sz w:val="20"/>
              </w:rPr>
              <w:t xml:space="preserve">10602</w:t>
            </w:r>
          </w:p>
        </w:tc>
        <w:tc>
          <w:tcPr>
            <w:tcW w:w="844" w:type="dxa"/>
          </w:tcPr>
          <w:p>
            <w:pPr>
              <w:pStyle w:val="0"/>
            </w:pPr>
            <w:r>
              <w:rPr>
                <w:sz w:val="20"/>
              </w:rPr>
              <w:t xml:space="preserve">17,9</w:t>
            </w:r>
          </w:p>
        </w:tc>
        <w:tc>
          <w:tcPr>
            <w:tcW w:w="964" w:type="dxa"/>
          </w:tcPr>
          <w:p>
            <w:pPr>
              <w:pStyle w:val="0"/>
            </w:pPr>
            <w:r>
              <w:rPr>
                <w:sz w:val="20"/>
              </w:rPr>
              <w:t xml:space="preserve">25475</w:t>
            </w:r>
          </w:p>
        </w:tc>
        <w:tc>
          <w:tcPr>
            <w:tcW w:w="844" w:type="dxa"/>
          </w:tcPr>
          <w:p>
            <w:pPr>
              <w:pStyle w:val="0"/>
            </w:pPr>
            <w:r>
              <w:rPr>
                <w:sz w:val="20"/>
              </w:rPr>
              <w:t xml:space="preserve">42,8</w:t>
            </w:r>
          </w:p>
        </w:tc>
      </w:tr>
      <w:tr>
        <w:tc>
          <w:tcPr>
            <w:gridSpan w:val="14"/>
            <w:tcW w:w="13046" w:type="dxa"/>
          </w:tcPr>
          <w:p>
            <w:pPr>
              <w:pStyle w:val="0"/>
            </w:pPr>
            <w:r>
              <w:rPr>
                <w:sz w:val="20"/>
              </w:rPr>
              <w:t xml:space="preserve">на 01.01.2020</w:t>
            </w:r>
          </w:p>
        </w:tc>
      </w:tr>
      <w:tr>
        <w:tc>
          <w:tcPr>
            <w:tcW w:w="1474" w:type="dxa"/>
          </w:tcPr>
          <w:p>
            <w:pPr>
              <w:pStyle w:val="0"/>
            </w:pPr>
            <w:r>
              <w:rPr>
                <w:sz w:val="20"/>
              </w:rPr>
              <w:t xml:space="preserve">РФ</w:t>
            </w:r>
          </w:p>
        </w:tc>
        <w:tc>
          <w:tcPr>
            <w:tcW w:w="1084" w:type="dxa"/>
          </w:tcPr>
          <w:p>
            <w:pPr>
              <w:pStyle w:val="0"/>
            </w:pPr>
            <w:r>
              <w:rPr>
                <w:sz w:val="20"/>
              </w:rPr>
              <w:t xml:space="preserve">11876925</w:t>
            </w:r>
          </w:p>
        </w:tc>
        <w:tc>
          <w:tcPr>
            <w:tcW w:w="844" w:type="dxa"/>
          </w:tcPr>
          <w:p>
            <w:pPr>
              <w:pStyle w:val="0"/>
            </w:pPr>
            <w:r>
              <w:rPr>
                <w:sz w:val="20"/>
              </w:rPr>
              <w:t xml:space="preserve">688023</w:t>
            </w:r>
          </w:p>
        </w:tc>
        <w:tc>
          <w:tcPr>
            <w:tcW w:w="844" w:type="dxa"/>
          </w:tcPr>
          <w:p>
            <w:pPr>
              <w:pStyle w:val="0"/>
            </w:pPr>
            <w:r>
              <w:rPr>
                <w:sz w:val="20"/>
              </w:rPr>
              <w:t xml:space="preserve">5,8</w:t>
            </w:r>
          </w:p>
        </w:tc>
        <w:tc>
          <w:tcPr>
            <w:tcW w:w="844" w:type="dxa"/>
          </w:tcPr>
          <w:p>
            <w:pPr>
              <w:pStyle w:val="0"/>
            </w:pPr>
            <w:r>
              <w:rPr>
                <w:sz w:val="20"/>
              </w:rPr>
              <w:t xml:space="preserve">486568</w:t>
            </w:r>
          </w:p>
        </w:tc>
        <w:tc>
          <w:tcPr>
            <w:tcW w:w="844" w:type="dxa"/>
          </w:tcPr>
          <w:p>
            <w:pPr>
              <w:pStyle w:val="0"/>
            </w:pPr>
            <w:r>
              <w:rPr>
                <w:sz w:val="20"/>
              </w:rPr>
              <w:t xml:space="preserve">4,1</w:t>
            </w:r>
          </w:p>
        </w:tc>
        <w:tc>
          <w:tcPr>
            <w:tcW w:w="844" w:type="dxa"/>
          </w:tcPr>
          <w:p>
            <w:pPr>
              <w:pStyle w:val="0"/>
            </w:pPr>
            <w:r>
              <w:rPr>
                <w:sz w:val="20"/>
              </w:rPr>
              <w:t xml:space="preserve">792675</w:t>
            </w:r>
          </w:p>
        </w:tc>
        <w:tc>
          <w:tcPr>
            <w:tcW w:w="844" w:type="dxa"/>
          </w:tcPr>
          <w:p>
            <w:pPr>
              <w:pStyle w:val="0"/>
            </w:pPr>
            <w:r>
              <w:rPr>
                <w:sz w:val="20"/>
              </w:rPr>
              <w:t xml:space="preserve">6,7</w:t>
            </w:r>
          </w:p>
        </w:tc>
        <w:tc>
          <w:tcPr>
            <w:tcW w:w="964" w:type="dxa"/>
          </w:tcPr>
          <w:p>
            <w:pPr>
              <w:pStyle w:val="0"/>
            </w:pPr>
            <w:r>
              <w:rPr>
                <w:sz w:val="20"/>
              </w:rPr>
              <w:t xml:space="preserve">1049869</w:t>
            </w:r>
          </w:p>
        </w:tc>
        <w:tc>
          <w:tcPr>
            <w:tcW w:w="844" w:type="dxa"/>
          </w:tcPr>
          <w:p>
            <w:pPr>
              <w:pStyle w:val="0"/>
            </w:pPr>
            <w:r>
              <w:rPr>
                <w:sz w:val="20"/>
              </w:rPr>
              <w:t xml:space="preserve">8,8</w:t>
            </w:r>
          </w:p>
        </w:tc>
        <w:tc>
          <w:tcPr>
            <w:tcW w:w="964" w:type="dxa"/>
          </w:tcPr>
          <w:p>
            <w:pPr>
              <w:pStyle w:val="0"/>
            </w:pPr>
            <w:r>
              <w:rPr>
                <w:sz w:val="20"/>
              </w:rPr>
              <w:t xml:space="preserve">1877577</w:t>
            </w:r>
          </w:p>
        </w:tc>
        <w:tc>
          <w:tcPr>
            <w:tcW w:w="844" w:type="dxa"/>
          </w:tcPr>
          <w:p>
            <w:pPr>
              <w:pStyle w:val="0"/>
            </w:pPr>
            <w:r>
              <w:rPr>
                <w:sz w:val="20"/>
              </w:rPr>
              <w:t xml:space="preserve">15,8</w:t>
            </w:r>
          </w:p>
        </w:tc>
        <w:tc>
          <w:tcPr>
            <w:tcW w:w="964" w:type="dxa"/>
          </w:tcPr>
          <w:p>
            <w:pPr>
              <w:pStyle w:val="0"/>
            </w:pPr>
            <w:r>
              <w:rPr>
                <w:sz w:val="20"/>
              </w:rPr>
              <w:t xml:space="preserve">6982213</w:t>
            </w:r>
          </w:p>
        </w:tc>
        <w:tc>
          <w:tcPr>
            <w:tcW w:w="844" w:type="dxa"/>
          </w:tcPr>
          <w:p>
            <w:pPr>
              <w:pStyle w:val="0"/>
            </w:pPr>
            <w:r>
              <w:rPr>
                <w:sz w:val="20"/>
              </w:rPr>
              <w:t xml:space="preserve">58,8</w:t>
            </w:r>
          </w:p>
        </w:tc>
      </w:tr>
      <w:tr>
        <w:tc>
          <w:tcPr>
            <w:tcW w:w="1474" w:type="dxa"/>
          </w:tcPr>
          <w:p>
            <w:pPr>
              <w:pStyle w:val="0"/>
            </w:pPr>
            <w:r>
              <w:rPr>
                <w:sz w:val="20"/>
              </w:rPr>
              <w:t xml:space="preserve">УрФО</w:t>
            </w:r>
          </w:p>
        </w:tc>
        <w:tc>
          <w:tcPr>
            <w:tcW w:w="1084" w:type="dxa"/>
          </w:tcPr>
          <w:p>
            <w:pPr>
              <w:pStyle w:val="0"/>
            </w:pPr>
            <w:r>
              <w:rPr>
                <w:sz w:val="20"/>
              </w:rPr>
              <w:t xml:space="preserve">777599</w:t>
            </w:r>
          </w:p>
        </w:tc>
        <w:tc>
          <w:tcPr>
            <w:tcW w:w="844" w:type="dxa"/>
          </w:tcPr>
          <w:p>
            <w:pPr>
              <w:pStyle w:val="0"/>
            </w:pPr>
            <w:r>
              <w:rPr>
                <w:sz w:val="20"/>
              </w:rPr>
              <w:t xml:space="preserve">54085</w:t>
            </w:r>
          </w:p>
        </w:tc>
        <w:tc>
          <w:tcPr>
            <w:tcW w:w="844" w:type="dxa"/>
          </w:tcPr>
          <w:p>
            <w:pPr>
              <w:pStyle w:val="0"/>
            </w:pPr>
            <w:r>
              <w:rPr>
                <w:sz w:val="20"/>
              </w:rPr>
              <w:t xml:space="preserve">7</w:t>
            </w:r>
          </w:p>
        </w:tc>
        <w:tc>
          <w:tcPr>
            <w:tcW w:w="844" w:type="dxa"/>
          </w:tcPr>
          <w:p>
            <w:pPr>
              <w:pStyle w:val="0"/>
            </w:pPr>
            <w:r>
              <w:rPr>
                <w:sz w:val="20"/>
              </w:rPr>
              <w:t xml:space="preserve">36209</w:t>
            </w:r>
          </w:p>
        </w:tc>
        <w:tc>
          <w:tcPr>
            <w:tcW w:w="844" w:type="dxa"/>
          </w:tcPr>
          <w:p>
            <w:pPr>
              <w:pStyle w:val="0"/>
            </w:pPr>
            <w:r>
              <w:rPr>
                <w:sz w:val="20"/>
              </w:rPr>
              <w:t xml:space="preserve">4,7</w:t>
            </w:r>
          </w:p>
        </w:tc>
        <w:tc>
          <w:tcPr>
            <w:tcW w:w="844" w:type="dxa"/>
          </w:tcPr>
          <w:p>
            <w:pPr>
              <w:pStyle w:val="0"/>
            </w:pPr>
            <w:r>
              <w:rPr>
                <w:sz w:val="20"/>
              </w:rPr>
              <w:t xml:space="preserve">58328</w:t>
            </w:r>
          </w:p>
        </w:tc>
        <w:tc>
          <w:tcPr>
            <w:tcW w:w="844" w:type="dxa"/>
          </w:tcPr>
          <w:p>
            <w:pPr>
              <w:pStyle w:val="0"/>
            </w:pPr>
            <w:r>
              <w:rPr>
                <w:sz w:val="20"/>
              </w:rPr>
              <w:t xml:space="preserve">7,5</w:t>
            </w:r>
          </w:p>
        </w:tc>
        <w:tc>
          <w:tcPr>
            <w:tcW w:w="964" w:type="dxa"/>
          </w:tcPr>
          <w:p>
            <w:pPr>
              <w:pStyle w:val="0"/>
            </w:pPr>
            <w:r>
              <w:rPr>
                <w:sz w:val="20"/>
              </w:rPr>
              <w:t xml:space="preserve">68995</w:t>
            </w:r>
          </w:p>
        </w:tc>
        <w:tc>
          <w:tcPr>
            <w:tcW w:w="844" w:type="dxa"/>
          </w:tcPr>
          <w:p>
            <w:pPr>
              <w:pStyle w:val="0"/>
            </w:pPr>
            <w:r>
              <w:rPr>
                <w:sz w:val="20"/>
              </w:rPr>
              <w:t xml:space="preserve">8,9</w:t>
            </w:r>
          </w:p>
        </w:tc>
        <w:tc>
          <w:tcPr>
            <w:tcW w:w="964" w:type="dxa"/>
          </w:tcPr>
          <w:p>
            <w:pPr>
              <w:pStyle w:val="0"/>
            </w:pPr>
            <w:r>
              <w:rPr>
                <w:sz w:val="20"/>
              </w:rPr>
              <w:t xml:space="preserve">116094</w:t>
            </w:r>
          </w:p>
        </w:tc>
        <w:tc>
          <w:tcPr>
            <w:tcW w:w="844" w:type="dxa"/>
          </w:tcPr>
          <w:p>
            <w:pPr>
              <w:pStyle w:val="0"/>
            </w:pPr>
            <w:r>
              <w:rPr>
                <w:sz w:val="20"/>
              </w:rPr>
              <w:t xml:space="preserve">14,9</w:t>
            </w:r>
          </w:p>
        </w:tc>
        <w:tc>
          <w:tcPr>
            <w:tcW w:w="964" w:type="dxa"/>
          </w:tcPr>
          <w:p>
            <w:pPr>
              <w:pStyle w:val="0"/>
            </w:pPr>
            <w:r>
              <w:rPr>
                <w:sz w:val="20"/>
              </w:rPr>
              <w:t xml:space="preserve">443888</w:t>
            </w:r>
          </w:p>
        </w:tc>
        <w:tc>
          <w:tcPr>
            <w:tcW w:w="844" w:type="dxa"/>
          </w:tcPr>
          <w:p>
            <w:pPr>
              <w:pStyle w:val="0"/>
            </w:pPr>
            <w:r>
              <w:rPr>
                <w:sz w:val="20"/>
              </w:rPr>
              <w:t xml:space="preserve">57</w:t>
            </w:r>
          </w:p>
        </w:tc>
      </w:tr>
      <w:tr>
        <w:tc>
          <w:tcPr>
            <w:tcW w:w="1474" w:type="dxa"/>
          </w:tcPr>
          <w:p>
            <w:pPr>
              <w:pStyle w:val="0"/>
            </w:pPr>
            <w:r>
              <w:rPr>
                <w:sz w:val="20"/>
              </w:rPr>
              <w:t xml:space="preserve">Автономный округ</w:t>
            </w:r>
          </w:p>
        </w:tc>
        <w:tc>
          <w:tcPr>
            <w:tcW w:w="1084" w:type="dxa"/>
          </w:tcPr>
          <w:p>
            <w:pPr>
              <w:pStyle w:val="0"/>
            </w:pPr>
            <w:r>
              <w:rPr>
                <w:sz w:val="20"/>
              </w:rPr>
              <w:t xml:space="preserve">59360</w:t>
            </w:r>
          </w:p>
        </w:tc>
        <w:tc>
          <w:tcPr>
            <w:tcW w:w="844" w:type="dxa"/>
          </w:tcPr>
          <w:p>
            <w:pPr>
              <w:pStyle w:val="0"/>
            </w:pPr>
            <w:r>
              <w:rPr>
                <w:sz w:val="20"/>
              </w:rPr>
              <w:t xml:space="preserve">6602</w:t>
            </w:r>
          </w:p>
        </w:tc>
        <w:tc>
          <w:tcPr>
            <w:tcW w:w="844" w:type="dxa"/>
          </w:tcPr>
          <w:p>
            <w:pPr>
              <w:pStyle w:val="0"/>
            </w:pPr>
            <w:r>
              <w:rPr>
                <w:sz w:val="20"/>
              </w:rPr>
              <w:t xml:space="preserve">11</w:t>
            </w:r>
          </w:p>
        </w:tc>
        <w:tc>
          <w:tcPr>
            <w:tcW w:w="844" w:type="dxa"/>
          </w:tcPr>
          <w:p>
            <w:pPr>
              <w:pStyle w:val="0"/>
            </w:pPr>
            <w:r>
              <w:rPr>
                <w:sz w:val="20"/>
              </w:rPr>
              <w:t xml:space="preserve">3886</w:t>
            </w:r>
          </w:p>
        </w:tc>
        <w:tc>
          <w:tcPr>
            <w:tcW w:w="844" w:type="dxa"/>
          </w:tcPr>
          <w:p>
            <w:pPr>
              <w:pStyle w:val="0"/>
            </w:pPr>
            <w:r>
              <w:rPr>
                <w:sz w:val="20"/>
              </w:rPr>
              <w:t xml:space="preserve">6,5</w:t>
            </w:r>
          </w:p>
        </w:tc>
        <w:tc>
          <w:tcPr>
            <w:tcW w:w="844" w:type="dxa"/>
          </w:tcPr>
          <w:p>
            <w:pPr>
              <w:pStyle w:val="0"/>
            </w:pPr>
            <w:r>
              <w:rPr>
                <w:sz w:val="20"/>
              </w:rPr>
              <w:t xml:space="preserve">5815</w:t>
            </w:r>
          </w:p>
        </w:tc>
        <w:tc>
          <w:tcPr>
            <w:tcW w:w="844" w:type="dxa"/>
          </w:tcPr>
          <w:p>
            <w:pPr>
              <w:pStyle w:val="0"/>
            </w:pPr>
            <w:r>
              <w:rPr>
                <w:sz w:val="20"/>
              </w:rPr>
              <w:t xml:space="preserve">9,8</w:t>
            </w:r>
          </w:p>
        </w:tc>
        <w:tc>
          <w:tcPr>
            <w:tcW w:w="964" w:type="dxa"/>
          </w:tcPr>
          <w:p>
            <w:pPr>
              <w:pStyle w:val="0"/>
            </w:pPr>
            <w:r>
              <w:rPr>
                <w:sz w:val="20"/>
              </w:rPr>
              <w:t xml:space="preserve">6576</w:t>
            </w:r>
          </w:p>
        </w:tc>
        <w:tc>
          <w:tcPr>
            <w:tcW w:w="844" w:type="dxa"/>
          </w:tcPr>
          <w:p>
            <w:pPr>
              <w:pStyle w:val="0"/>
            </w:pPr>
            <w:r>
              <w:rPr>
                <w:sz w:val="20"/>
              </w:rPr>
              <w:t xml:space="preserve">11,1</w:t>
            </w:r>
          </w:p>
        </w:tc>
        <w:tc>
          <w:tcPr>
            <w:tcW w:w="964" w:type="dxa"/>
          </w:tcPr>
          <w:p>
            <w:pPr>
              <w:pStyle w:val="0"/>
            </w:pPr>
            <w:r>
              <w:rPr>
                <w:sz w:val="20"/>
              </w:rPr>
              <w:t xml:space="preserve">11205</w:t>
            </w:r>
          </w:p>
        </w:tc>
        <w:tc>
          <w:tcPr>
            <w:tcW w:w="844" w:type="dxa"/>
          </w:tcPr>
          <w:p>
            <w:pPr>
              <w:pStyle w:val="0"/>
            </w:pPr>
            <w:r>
              <w:rPr>
                <w:sz w:val="20"/>
              </w:rPr>
              <w:t xml:space="preserve">18,9</w:t>
            </w:r>
          </w:p>
        </w:tc>
        <w:tc>
          <w:tcPr>
            <w:tcW w:w="964" w:type="dxa"/>
          </w:tcPr>
          <w:p>
            <w:pPr>
              <w:pStyle w:val="0"/>
            </w:pPr>
            <w:r>
              <w:rPr>
                <w:sz w:val="20"/>
              </w:rPr>
              <w:t xml:space="preserve">25276</w:t>
            </w:r>
          </w:p>
        </w:tc>
        <w:tc>
          <w:tcPr>
            <w:tcW w:w="844" w:type="dxa"/>
          </w:tcPr>
          <w:p>
            <w:pPr>
              <w:pStyle w:val="0"/>
            </w:pPr>
            <w:r>
              <w:rPr>
                <w:sz w:val="20"/>
              </w:rPr>
              <w:t xml:space="preserve">42,7</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Уровень первичной инвалидности во всех возрастных группах взрослого населения в 2022 году увеличился относительно 2021 года и составил: среди взрослого населения - 36,0 на 10 тыс. взрослого населения (в 2021 году - 31,5); среди взрослого населения трудоспособного возраста - 22,3 на 10 тыс. населения трудоспособного возраста (в 2021 году - 20,2); среди взрослого населения пенсионного возраста - 89,0 на 10 тыс. населения пенсионного возраста (в 2021 году - 67,1).</w:t>
      </w:r>
    </w:p>
    <w:p>
      <w:pPr>
        <w:pStyle w:val="0"/>
        <w:spacing w:before="200" w:line-rule="auto"/>
        <w:ind w:firstLine="540"/>
        <w:jc w:val="both"/>
      </w:pPr>
      <w:r>
        <w:rPr>
          <w:sz w:val="20"/>
        </w:rPr>
        <w:t xml:space="preserve">В автономном округе уровень первичной инвалидности среди взрослого населения (в 2021 году - 31,5 на 10 тыс. взрослого населения) ниже, чем в УрФО (в 2021 году - 45,8 на 10 тыс. взрослого населения) и РФ (в 2021 году - 46,3 на 10 тыс. взрослого населения).</w:t>
      </w:r>
    </w:p>
    <w:p>
      <w:pPr>
        <w:pStyle w:val="0"/>
        <w:spacing w:before="200" w:line-rule="auto"/>
        <w:ind w:firstLine="540"/>
        <w:jc w:val="both"/>
      </w:pPr>
      <w:r>
        <w:rPr>
          <w:sz w:val="20"/>
        </w:rPr>
        <w:t xml:space="preserve">В структуре численности инвалидов по возрастным группам, как в УрФО и РФ, существенных изменений не отмечается: преобладает возрастная группа старше 60 лет (48,7% в 2022 году, 42,8% в 2021 году, 24,7% в 2020 году), на втором месте возрастная группа с 51 до 60 лет (19,1% в 2022 году, 17,9% в 2021 году, 18,9% в 2022 году). Сопоставимое количество в структуре инвалидизации населения составляют лица в возрастной категории с 31 до 40 лет и дети до 17 лет - 11,1% и 11,8% соответственно.</w:t>
      </w:r>
    </w:p>
    <w:p>
      <w:pPr>
        <w:pStyle w:val="0"/>
        <w:spacing w:before="200" w:line-rule="auto"/>
        <w:ind w:firstLine="540"/>
        <w:jc w:val="both"/>
      </w:pPr>
      <w:r>
        <w:rPr>
          <w:sz w:val="20"/>
        </w:rPr>
        <w:t xml:space="preserve">В сравнении структуры инвалидности автономного округа и УрФО отмечается больший процент детей-инвалидов в сочетании с меньшим количеством лиц с инвалидностью в возрастной группе старше 60 лет.</w:t>
      </w:r>
    </w:p>
    <w:p>
      <w:pPr>
        <w:pStyle w:val="0"/>
        <w:spacing w:before="200" w:line-rule="auto"/>
        <w:ind w:firstLine="540"/>
        <w:jc w:val="both"/>
      </w:pPr>
      <w:r>
        <w:rPr>
          <w:sz w:val="20"/>
        </w:rPr>
        <w:t xml:space="preserve">В 2022 году среди впервые признанных инвалидами взрослых преобладает доля граждан пенсионного возраста (51,5%), в группе которых превалируют женщины - 54,2%, удельный вес мужчин составил 45,8%; среди впервые признанных инвалидами взрослых трудоспособного возраста (48,5%) преобладают мужчины - 61,7%, удельный вес женщин составил 38,3%.</w:t>
      </w:r>
    </w:p>
    <w:p>
      <w:pPr>
        <w:pStyle w:val="0"/>
        <w:spacing w:before="200" w:line-rule="auto"/>
        <w:ind w:firstLine="540"/>
        <w:jc w:val="both"/>
      </w:pPr>
      <w:r>
        <w:rPr>
          <w:sz w:val="20"/>
        </w:rPr>
        <w:t xml:space="preserve">В структуре первичной инвалидности взрослых по основным классам болезней в 2022 году, впервые признанной, места распределились следующим образом: злокачественные новообразования - 34,8%, болезни системы кровообращения - 19,7%, психические расстройства и расстройства поведения - 7,2%, болезни нервной системы - 5,5%, болезни костно-мышечной системы и соединительной ткани - 5,0%.</w:t>
      </w:r>
    </w:p>
    <w:p>
      <w:pPr>
        <w:pStyle w:val="0"/>
        <w:spacing w:before="200" w:line-rule="auto"/>
        <w:ind w:firstLine="540"/>
        <w:jc w:val="both"/>
      </w:pPr>
      <w:r>
        <w:rPr>
          <w:sz w:val="20"/>
        </w:rPr>
        <w:t xml:space="preserve">В 2022 году в автономном округе численность детей-инвалидов в возрасте до 18 лет составила 7 118, из них мальчиков - 4 305, девочек - 2 813.</w:t>
      </w:r>
    </w:p>
    <w:p>
      <w:pPr>
        <w:pStyle w:val="0"/>
        <w:spacing w:before="200" w:line-rule="auto"/>
        <w:ind w:firstLine="540"/>
        <w:jc w:val="both"/>
      </w:pPr>
      <w:r>
        <w:rPr>
          <w:sz w:val="20"/>
        </w:rPr>
        <w:t xml:space="preserve">Уровень первичной инвалидности детей в 2022 году: 22,7 на 10 тысяч детского населения. За 2018 - 2022 годы отмечается увеличение уровня первичной детской инвалидности с 19,6 до 22,7 на 10 тыс. детского населения.</w:t>
      </w:r>
    </w:p>
    <w:p>
      <w:pPr>
        <w:pStyle w:val="0"/>
        <w:spacing w:before="200" w:line-rule="auto"/>
        <w:ind w:firstLine="540"/>
        <w:jc w:val="both"/>
      </w:pPr>
      <w:r>
        <w:rPr>
          <w:sz w:val="20"/>
        </w:rPr>
        <w:t xml:space="preserve">В структуре по возрасту, полу преобладают дети возрастной группы от 0 - 7 лет - 36,7% мужского пола - 60,2%.</w:t>
      </w:r>
    </w:p>
    <w:p>
      <w:pPr>
        <w:pStyle w:val="0"/>
        <w:spacing w:before="200" w:line-rule="auto"/>
        <w:ind w:firstLine="540"/>
        <w:jc w:val="both"/>
      </w:pPr>
      <w:r>
        <w:rPr>
          <w:sz w:val="20"/>
        </w:rPr>
        <w:t xml:space="preserve">В структуре причин детской инвалидности, впервые признанной, лидирующие места занимают: психические расстройства - 29,2%, болезни нервной системы - 18,8%, болезни эндокринной системы - 13,0%, врожденные аномалии, деформации и хромосомные нарушения - 12,6%, болезни костно-мышечной системы и соединительной ткани - 6,8%.</w:t>
      </w:r>
    </w:p>
    <w:p>
      <w:pPr>
        <w:pStyle w:val="0"/>
        <w:spacing w:before="200" w:line-rule="auto"/>
        <w:ind w:firstLine="540"/>
        <w:jc w:val="both"/>
      </w:pPr>
      <w:r>
        <w:rPr>
          <w:sz w:val="20"/>
        </w:rPr>
        <w:t xml:space="preserve">Уровень повторной инвалидности среди детского населения в 2022 году увеличился и составил 56,0 на 10 тыс. детского населения (2021 год - 50,2 на 10 тыс. детского населения).</w:t>
      </w:r>
    </w:p>
    <w:p>
      <w:pPr>
        <w:pStyle w:val="0"/>
        <w:spacing w:before="200" w:line-rule="auto"/>
        <w:ind w:firstLine="540"/>
        <w:jc w:val="both"/>
      </w:pPr>
      <w:r>
        <w:rPr>
          <w:sz w:val="20"/>
        </w:rPr>
        <w:t xml:space="preserve">В структуре повторной детской инвалидности по возрасту и полу в 2022 году преобладают дети в возрасте от 8 до 14 лет (44,0%) мужского пола (61,5%).</w:t>
      </w:r>
    </w:p>
    <w:p>
      <w:pPr>
        <w:pStyle w:val="0"/>
        <w:spacing w:before="200" w:line-rule="auto"/>
        <w:ind w:firstLine="540"/>
        <w:jc w:val="both"/>
      </w:pPr>
      <w:r>
        <w:rPr>
          <w:sz w:val="20"/>
        </w:rPr>
        <w:t xml:space="preserve">В 2022 году в структуре повторной детской инвалидности распределение мест основных инвалидизирующих нозологических форм следующее: психические расстройства - 38,8%, болезни нервной системы - 19,5%, врожденные аномалии - 14,3%, болезни костно-мышечной системы и соединительной ткани - 8,2%, болезни глаза и его придаточного аппарата - 4,0%.</w:t>
      </w:r>
    </w:p>
    <w:p>
      <w:pPr>
        <w:pStyle w:val="0"/>
        <w:spacing w:before="200" w:line-rule="auto"/>
        <w:ind w:firstLine="540"/>
        <w:jc w:val="both"/>
      </w:pPr>
      <w:r>
        <w:rPr>
          <w:sz w:val="20"/>
        </w:rPr>
        <w:t xml:space="preserve">Согласно форме федерального статистического наблюдения N 30 в 2021 году доля инвалидов, направленных на медицинскую реабилитацию, от числа инвалидов, нуждающихся в проведении реабилитации, составила 91%, в том числе детей-инвалидов - 98%. В 2022 году доля таких инвалидов составила 91%, при этом изменилось соотношение взрослых и детей: уменьшилось количество детей - 84%, увеличилось количество взрослых - 92%.</w:t>
      </w:r>
    </w:p>
    <w:p>
      <w:pPr>
        <w:pStyle w:val="0"/>
        <w:spacing w:before="200" w:line-rule="auto"/>
        <w:ind w:firstLine="540"/>
        <w:jc w:val="both"/>
      </w:pPr>
      <w:r>
        <w:rPr>
          <w:sz w:val="20"/>
        </w:rPr>
        <w:t xml:space="preserve">Доля инвалидов, завершивших медицинскую реабилитацию, от числа направленных на медицинскую реабилитацию, составила 75%, в том числе детей-инвалидов - 80%.</w:t>
      </w:r>
    </w:p>
    <w:p>
      <w:pPr>
        <w:pStyle w:val="0"/>
        <w:ind w:firstLine="540"/>
        <w:jc w:val="both"/>
      </w:pPr>
      <w:r>
        <w:rPr>
          <w:sz w:val="20"/>
        </w:rPr>
      </w:r>
    </w:p>
    <w:p>
      <w:pPr>
        <w:pStyle w:val="2"/>
        <w:outlineLvl w:val="2"/>
        <w:jc w:val="center"/>
      </w:pPr>
      <w:r>
        <w:rPr>
          <w:sz w:val="20"/>
        </w:rPr>
        <w:t xml:space="preserve">1.4. Показатели деятельности реабилитационной службы</w:t>
      </w:r>
    </w:p>
    <w:p>
      <w:pPr>
        <w:pStyle w:val="2"/>
        <w:jc w:val="center"/>
      </w:pPr>
      <w:r>
        <w:rPr>
          <w:sz w:val="20"/>
        </w:rPr>
        <w:t xml:space="preserve">автономного округа (анализ за 2020 - 2022 годы)</w:t>
      </w:r>
    </w:p>
    <w:p>
      <w:pPr>
        <w:pStyle w:val="0"/>
        <w:jc w:val="center"/>
      </w:pPr>
      <w:r>
        <w:rPr>
          <w:sz w:val="20"/>
        </w:rPr>
      </w:r>
    </w:p>
    <w:p>
      <w:pPr>
        <w:pStyle w:val="0"/>
        <w:ind w:firstLine="540"/>
        <w:jc w:val="both"/>
      </w:pPr>
      <w:r>
        <w:rPr>
          <w:sz w:val="20"/>
        </w:rPr>
        <w:t xml:space="preserve">Медицинская реабилитация осуществляется в соответствии с Территориальной программой государственных гарантий бесплатного оказания гражданам медицинской помощи в автономном округе, ежегодно утверждаемой постановлением Правительства автономного округа (далее - территориальная программа).</w:t>
      </w:r>
    </w:p>
    <w:p>
      <w:pPr>
        <w:pStyle w:val="0"/>
        <w:spacing w:before="200" w:line-rule="auto"/>
        <w:ind w:firstLine="540"/>
        <w:jc w:val="both"/>
      </w:pPr>
      <w:r>
        <w:rPr>
          <w:sz w:val="20"/>
        </w:rPr>
        <w:t xml:space="preserve">Объемы оказания медицинской помощи по профилю "медицинская реабилитация" планируются в соответствии со средними нормативами объема оказания медицинской реабилитации.</w:t>
      </w:r>
    </w:p>
    <w:p>
      <w:pPr>
        <w:pStyle w:val="0"/>
        <w:spacing w:before="200" w:line-rule="auto"/>
        <w:ind w:firstLine="540"/>
        <w:jc w:val="both"/>
      </w:pPr>
      <w:r>
        <w:rPr>
          <w:sz w:val="20"/>
        </w:rPr>
        <w:t xml:space="preserve">В 2020 году средний норматив объема оказания медицинской реабилитации в условиях круглосуточного стационара - 0,005 на 1 застрахованное лицо (1 634 987 человек), что составляет 8 175 случаев госпитализации. Комиссией по разработке территориальной программы на 2020 год установлено 5 456 случаев госпитализации, исполнено 100%.</w:t>
      </w:r>
    </w:p>
    <w:p>
      <w:pPr>
        <w:pStyle w:val="0"/>
        <w:spacing w:before="200" w:line-rule="auto"/>
        <w:ind w:firstLine="540"/>
        <w:jc w:val="both"/>
      </w:pPr>
      <w:r>
        <w:rPr>
          <w:sz w:val="20"/>
        </w:rPr>
        <w:t xml:space="preserve">В 2021 году средний норматив объема оказания медицинской реабилитации в условиях круглосуточного стационара - 0,005 на 1 застрахованное лицо (1 577 493 человека), что составляет 7 888 случаев госпитализации. Комиссией по разработке территориальной программы на 2021 год установлено 7 043 случая госпитализации, исполнено 100%.</w:t>
      </w:r>
    </w:p>
    <w:p>
      <w:pPr>
        <w:pStyle w:val="0"/>
        <w:spacing w:before="200" w:line-rule="auto"/>
        <w:ind w:firstLine="540"/>
        <w:jc w:val="both"/>
      </w:pPr>
      <w:r>
        <w:rPr>
          <w:sz w:val="20"/>
        </w:rPr>
        <w:t xml:space="preserve">Плановые объемы оказания медицинской реабилитации в условиях круглосуточного стационара на 1 января 2020 и 2021 годов рассчитаны с учетом норматива, в течение 2020 и 2021 годов планы и фактическое исполнение объемов снижены в связи с перепрофилированием коек отделений медицинской реабилитации под оказание специализированной медицинской помощи пациентам с новой коронавирусной инфекцией COVID-19, а также эпидемиологическими ограничениями по работе отделений медицинской реабилитации.</w:t>
      </w:r>
    </w:p>
    <w:p>
      <w:pPr>
        <w:pStyle w:val="0"/>
        <w:spacing w:before="200" w:line-rule="auto"/>
        <w:ind w:firstLine="540"/>
        <w:jc w:val="both"/>
      </w:pPr>
      <w:r>
        <w:rPr>
          <w:sz w:val="20"/>
        </w:rPr>
        <w:t xml:space="preserve">В 2022 году средний норматив объема оказания медицинской реабилитации в условиях круглосуточного стационара - 0,004443 на 1 застрахованное лицо (1 625 041 человек), что составляет 7 220 случаев госпитализации; средний норматив объема оказания медицинской реабилитации в амбулаторных условиях (комплексных посещений) - 0,00287 на 1 застрахованное лицо (1 625 041 человек), что составляет 4 664 комплексных посещения.</w:t>
      </w:r>
    </w:p>
    <w:p>
      <w:pPr>
        <w:pStyle w:val="0"/>
        <w:spacing w:before="200" w:line-rule="auto"/>
        <w:ind w:firstLine="540"/>
        <w:jc w:val="both"/>
      </w:pPr>
      <w:r>
        <w:rPr>
          <w:sz w:val="20"/>
        </w:rPr>
        <w:t xml:space="preserve">Комиссией по разработке территориальной программы на 2022 год установлено 7 928 случаев госпитализации, что превышает норматив на 9,8%; 4 759 комплексных посещений, что превышает норматив на 2,04%.</w:t>
      </w:r>
    </w:p>
    <w:p>
      <w:pPr>
        <w:pStyle w:val="0"/>
        <w:spacing w:before="200" w:line-rule="auto"/>
        <w:ind w:firstLine="540"/>
        <w:jc w:val="both"/>
      </w:pPr>
      <w:r>
        <w:rPr>
          <w:sz w:val="20"/>
        </w:rPr>
        <w:t xml:space="preserve">Исполнено 7 928 случаев госпитализации и 4 759 комплексных посещений, что составляет 100%.</w:t>
      </w:r>
    </w:p>
    <w:p>
      <w:pPr>
        <w:pStyle w:val="0"/>
        <w:spacing w:before="200" w:line-rule="auto"/>
        <w:ind w:firstLine="540"/>
        <w:jc w:val="both"/>
      </w:pPr>
      <w:r>
        <w:rPr>
          <w:sz w:val="20"/>
        </w:rPr>
        <w:t xml:space="preserve">Показатель "Доля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в 2022 году достигнут на 105% (план - 95%, факт - 100%).</w:t>
      </w:r>
    </w:p>
    <w:p>
      <w:pPr>
        <w:pStyle w:val="0"/>
        <w:spacing w:before="200" w:line-rule="auto"/>
        <w:ind w:firstLine="540"/>
        <w:jc w:val="both"/>
      </w:pPr>
      <w:r>
        <w:rPr>
          <w:sz w:val="20"/>
        </w:rPr>
        <w:t xml:space="preserve">Показатель "Доля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в 2022 году достигнут на 109% (план - 34,5%, факт - 37,5%).</w:t>
      </w:r>
    </w:p>
    <w:p>
      <w:pPr>
        <w:pStyle w:val="0"/>
        <w:ind w:firstLine="540"/>
        <w:jc w:val="both"/>
      </w:pPr>
      <w:r>
        <w:rPr>
          <w:sz w:val="20"/>
        </w:rPr>
      </w:r>
    </w:p>
    <w:p>
      <w:pPr>
        <w:pStyle w:val="0"/>
        <w:jc w:val="right"/>
      </w:pPr>
      <w:r>
        <w:rPr>
          <w:sz w:val="20"/>
        </w:rPr>
        <w:t xml:space="preserve">Таблица 4</w:t>
      </w:r>
    </w:p>
    <w:p>
      <w:pPr>
        <w:pStyle w:val="0"/>
        <w:jc w:val="right"/>
      </w:pPr>
      <w:r>
        <w:rPr>
          <w:sz w:val="20"/>
        </w:rPr>
      </w:r>
    </w:p>
    <w:p>
      <w:pPr>
        <w:pStyle w:val="0"/>
        <w:jc w:val="center"/>
      </w:pPr>
      <w:r>
        <w:rPr>
          <w:sz w:val="20"/>
        </w:rPr>
        <w:t xml:space="preserve">Охват медицинской реабилитацией пациентов от числа</w:t>
      </w:r>
    </w:p>
    <w:p>
      <w:pPr>
        <w:pStyle w:val="0"/>
        <w:jc w:val="center"/>
      </w:pPr>
      <w:r>
        <w:rPr>
          <w:sz w:val="20"/>
        </w:rPr>
        <w:t xml:space="preserve">застрахованного населения в автономном округе</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195"/>
        <w:gridCol w:w="1474"/>
        <w:gridCol w:w="1417"/>
        <w:gridCol w:w="1417"/>
      </w:tblGrid>
      <w:tr>
        <w:tc>
          <w:tcPr>
            <w:tcW w:w="4195" w:type="dxa"/>
          </w:tcPr>
          <w:p>
            <w:pPr>
              <w:pStyle w:val="0"/>
              <w:jc w:val="center"/>
            </w:pPr>
            <w:r>
              <w:rPr>
                <w:sz w:val="20"/>
              </w:rPr>
            </w:r>
          </w:p>
        </w:tc>
        <w:tc>
          <w:tcPr>
            <w:tcW w:w="1474" w:type="dxa"/>
          </w:tcPr>
          <w:p>
            <w:pPr>
              <w:pStyle w:val="0"/>
              <w:jc w:val="center"/>
            </w:pPr>
            <w:r>
              <w:rPr>
                <w:sz w:val="20"/>
              </w:rPr>
              <w:t xml:space="preserve">2020</w:t>
            </w:r>
          </w:p>
        </w:tc>
        <w:tc>
          <w:tcPr>
            <w:tcW w:w="1417" w:type="dxa"/>
          </w:tcPr>
          <w:p>
            <w:pPr>
              <w:pStyle w:val="0"/>
              <w:jc w:val="center"/>
            </w:pPr>
            <w:r>
              <w:rPr>
                <w:sz w:val="20"/>
              </w:rPr>
              <w:t xml:space="preserve">2021</w:t>
            </w:r>
          </w:p>
        </w:tc>
        <w:tc>
          <w:tcPr>
            <w:tcW w:w="1417" w:type="dxa"/>
          </w:tcPr>
          <w:p>
            <w:pPr>
              <w:pStyle w:val="0"/>
              <w:jc w:val="center"/>
            </w:pPr>
            <w:r>
              <w:rPr>
                <w:sz w:val="20"/>
              </w:rPr>
              <w:t xml:space="preserve">2022</w:t>
            </w:r>
          </w:p>
        </w:tc>
      </w:tr>
      <w:tr>
        <w:tc>
          <w:tcPr>
            <w:tcW w:w="4195" w:type="dxa"/>
          </w:tcPr>
          <w:p>
            <w:pPr>
              <w:pStyle w:val="0"/>
            </w:pPr>
            <w:r>
              <w:rPr>
                <w:sz w:val="20"/>
              </w:rPr>
              <w:t xml:space="preserve">Численность застрахованных лиц в автономном округе по состоянию на 1 января, чел.</w:t>
            </w:r>
          </w:p>
        </w:tc>
        <w:tc>
          <w:tcPr>
            <w:tcW w:w="1474" w:type="dxa"/>
          </w:tcPr>
          <w:p>
            <w:pPr>
              <w:pStyle w:val="0"/>
            </w:pPr>
            <w:r>
              <w:rPr>
                <w:sz w:val="20"/>
              </w:rPr>
              <w:t xml:space="preserve">1634987</w:t>
            </w:r>
          </w:p>
        </w:tc>
        <w:tc>
          <w:tcPr>
            <w:tcW w:w="1417" w:type="dxa"/>
          </w:tcPr>
          <w:p>
            <w:pPr>
              <w:pStyle w:val="0"/>
            </w:pPr>
            <w:r>
              <w:rPr>
                <w:sz w:val="20"/>
              </w:rPr>
              <w:t xml:space="preserve">1577493</w:t>
            </w:r>
          </w:p>
        </w:tc>
        <w:tc>
          <w:tcPr>
            <w:tcW w:w="1417" w:type="dxa"/>
          </w:tcPr>
          <w:p>
            <w:pPr>
              <w:pStyle w:val="0"/>
            </w:pPr>
            <w:r>
              <w:rPr>
                <w:sz w:val="20"/>
              </w:rPr>
              <w:t xml:space="preserve">1625041</w:t>
            </w:r>
          </w:p>
        </w:tc>
      </w:tr>
      <w:tr>
        <w:tc>
          <w:tcPr>
            <w:tcW w:w="4195" w:type="dxa"/>
          </w:tcPr>
          <w:p>
            <w:pPr>
              <w:pStyle w:val="0"/>
            </w:pPr>
            <w:r>
              <w:rPr>
                <w:sz w:val="20"/>
              </w:rPr>
              <w:t xml:space="preserve">Число случаев оказания медицинской помощи по медицинской реабилитации в стационарных условиях</w:t>
            </w:r>
          </w:p>
        </w:tc>
        <w:tc>
          <w:tcPr>
            <w:tcW w:w="1474" w:type="dxa"/>
          </w:tcPr>
          <w:p>
            <w:pPr>
              <w:pStyle w:val="0"/>
            </w:pPr>
            <w:r>
              <w:rPr>
                <w:sz w:val="20"/>
              </w:rPr>
              <w:t xml:space="preserve">5456</w:t>
            </w:r>
          </w:p>
        </w:tc>
        <w:tc>
          <w:tcPr>
            <w:tcW w:w="1417" w:type="dxa"/>
          </w:tcPr>
          <w:p>
            <w:pPr>
              <w:pStyle w:val="0"/>
            </w:pPr>
            <w:r>
              <w:rPr>
                <w:sz w:val="20"/>
              </w:rPr>
              <w:t xml:space="preserve">7043</w:t>
            </w:r>
          </w:p>
        </w:tc>
        <w:tc>
          <w:tcPr>
            <w:tcW w:w="1417" w:type="dxa"/>
          </w:tcPr>
          <w:p>
            <w:pPr>
              <w:pStyle w:val="0"/>
            </w:pPr>
            <w:r>
              <w:rPr>
                <w:sz w:val="20"/>
              </w:rPr>
              <w:t xml:space="preserve">7928</w:t>
            </w:r>
          </w:p>
        </w:tc>
      </w:tr>
      <w:tr>
        <w:tc>
          <w:tcPr>
            <w:tcW w:w="4195" w:type="dxa"/>
          </w:tcPr>
          <w:p>
            <w:pPr>
              <w:pStyle w:val="0"/>
            </w:pPr>
            <w:r>
              <w:rPr>
                <w:sz w:val="20"/>
              </w:rPr>
              <w:t xml:space="preserve">Охват медицинской реабилитацией пациентов от числа застрахованного населения, %</w:t>
            </w:r>
          </w:p>
        </w:tc>
        <w:tc>
          <w:tcPr>
            <w:tcW w:w="1474" w:type="dxa"/>
          </w:tcPr>
          <w:p>
            <w:pPr>
              <w:pStyle w:val="0"/>
            </w:pPr>
            <w:r>
              <w:rPr>
                <w:sz w:val="20"/>
              </w:rPr>
              <w:t xml:space="preserve">0,0033</w:t>
            </w:r>
          </w:p>
        </w:tc>
        <w:tc>
          <w:tcPr>
            <w:tcW w:w="1417" w:type="dxa"/>
          </w:tcPr>
          <w:p>
            <w:pPr>
              <w:pStyle w:val="0"/>
            </w:pPr>
            <w:r>
              <w:rPr>
                <w:sz w:val="20"/>
              </w:rPr>
              <w:t xml:space="preserve">0,0045</w:t>
            </w:r>
          </w:p>
        </w:tc>
        <w:tc>
          <w:tcPr>
            <w:tcW w:w="1417" w:type="dxa"/>
          </w:tcPr>
          <w:p>
            <w:pPr>
              <w:pStyle w:val="0"/>
            </w:pPr>
            <w:r>
              <w:rPr>
                <w:sz w:val="20"/>
              </w:rPr>
              <w:t xml:space="preserve">0,0049</w:t>
            </w:r>
          </w:p>
        </w:tc>
      </w:tr>
    </w:tbl>
    <w:p>
      <w:pPr>
        <w:pStyle w:val="0"/>
        <w:ind w:firstLine="540"/>
        <w:jc w:val="both"/>
      </w:pPr>
      <w:r>
        <w:rPr>
          <w:sz w:val="20"/>
        </w:rPr>
      </w:r>
    </w:p>
    <w:p>
      <w:pPr>
        <w:pStyle w:val="0"/>
        <w:ind w:firstLine="540"/>
        <w:jc w:val="both"/>
      </w:pPr>
      <w:r>
        <w:rPr>
          <w:sz w:val="20"/>
        </w:rPr>
        <w:t xml:space="preserve">Количество случаев оказания медицинской помощи по медицинской реабилитации в стационарных условиях в 2022 году в сравнении с 2020 - 2021 годами увеличилось и составило 7 928 (в 2021 году - 7 043, в 2020 году - 5 456), в том числе детям - 750 (в 2021 году - 777, в 2020 году - 521).</w:t>
      </w:r>
    </w:p>
    <w:p>
      <w:pPr>
        <w:pStyle w:val="0"/>
        <w:spacing w:before="200" w:line-rule="auto"/>
        <w:ind w:firstLine="540"/>
        <w:jc w:val="both"/>
      </w:pPr>
      <w:r>
        <w:rPr>
          <w:sz w:val="20"/>
        </w:rPr>
        <w:t xml:space="preserve">Охват медицинской реабилитацией в стационарных условиях в автономном округе в 2022 году увеличился и составил 0,0049% от числа застрахованного населения (в 2021 году - 0,0045%, в 2020 году - 0,0033%).</w:t>
      </w:r>
    </w:p>
    <w:p>
      <w:pPr>
        <w:pStyle w:val="0"/>
        <w:spacing w:before="200" w:line-rule="auto"/>
        <w:ind w:firstLine="540"/>
        <w:jc w:val="both"/>
      </w:pPr>
      <w:r>
        <w:rPr>
          <w:sz w:val="20"/>
        </w:rPr>
        <w:t xml:space="preserve">В 2023 году средний норматив объема оказания медицинской реабилитации в условиях круглосуточного стационара - 0,005426 случаев на 1 застрахованное лицо (1 624 430 человек), что составляет 8 814 случаев госпитализации; в условиях дневного стационара - 0,002601 на 1 застрахованное лицо (1 624 430 человек), что составляет 4 225 случаев лечения; в амбулаторных условиях (комплексных посещений) - 0,002954 на 1 застрахованное лицо (1 624 430 человек), что составляет 4 799 комплексных посещений.</w:t>
      </w:r>
    </w:p>
    <w:p>
      <w:pPr>
        <w:pStyle w:val="0"/>
        <w:spacing w:before="200" w:line-rule="auto"/>
        <w:ind w:firstLine="540"/>
        <w:jc w:val="both"/>
      </w:pPr>
      <w:r>
        <w:rPr>
          <w:sz w:val="20"/>
        </w:rPr>
        <w:t xml:space="preserve">Комиссией по разработке территориальной программы на 2023 год установлено 8 820 случаев госпитализации по медицинской реабилитации, что превышает норматив на 0,1%; 4 610 случаев медицинской реабилитации в дневном стационаре, что превышает норматив на 9,1%; 7 250 комплексных посещений, что превышает норматив на 51,1%.</w:t>
      </w:r>
    </w:p>
    <w:p>
      <w:pPr>
        <w:pStyle w:val="0"/>
        <w:spacing w:before="200" w:line-rule="auto"/>
        <w:ind w:firstLine="540"/>
        <w:jc w:val="both"/>
      </w:pPr>
      <w:r>
        <w:rPr>
          <w:sz w:val="20"/>
        </w:rPr>
        <w:t xml:space="preserve">Значительное превышение норматива объема оказания медицинской реабилитации в амбулаторных условиях (на 51,1%) обусловлено необходимостью достижения значения целевого показателя "Доля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(план в 2023 году - 35%).</w:t>
      </w:r>
    </w:p>
    <w:p>
      <w:pPr>
        <w:pStyle w:val="0"/>
        <w:jc w:val="right"/>
      </w:pPr>
      <w:r>
        <w:rPr>
          <w:sz w:val="20"/>
        </w:rPr>
      </w:r>
    </w:p>
    <w:p>
      <w:pPr>
        <w:pStyle w:val="0"/>
        <w:jc w:val="right"/>
      </w:pPr>
      <w:r>
        <w:rPr>
          <w:sz w:val="20"/>
        </w:rPr>
        <w:t xml:space="preserve">Таблица 5</w:t>
      </w:r>
    </w:p>
    <w:p>
      <w:pPr>
        <w:pStyle w:val="0"/>
        <w:jc w:val="right"/>
      </w:pPr>
      <w:r>
        <w:rPr>
          <w:sz w:val="20"/>
        </w:rPr>
      </w:r>
    </w:p>
    <w:p>
      <w:pPr>
        <w:pStyle w:val="0"/>
        <w:jc w:val="center"/>
      </w:pPr>
      <w:r>
        <w:rPr>
          <w:sz w:val="20"/>
        </w:rPr>
        <w:t xml:space="preserve">Показатель доли случаев оказания медицинской помощи</w:t>
      </w:r>
    </w:p>
    <w:p>
      <w:pPr>
        <w:pStyle w:val="0"/>
        <w:jc w:val="center"/>
      </w:pPr>
      <w:r>
        <w:rPr>
          <w:sz w:val="20"/>
        </w:rPr>
        <w:t xml:space="preserve">медицинской реабилитации по профилям от общего числа случаев</w:t>
      </w:r>
    </w:p>
    <w:p>
      <w:pPr>
        <w:pStyle w:val="0"/>
        <w:jc w:val="center"/>
      </w:pPr>
      <w:r>
        <w:rPr>
          <w:sz w:val="20"/>
        </w:rPr>
        <w:t xml:space="preserve">оказания медицинской помощи по медицинской реабилитации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55"/>
        <w:gridCol w:w="1134"/>
        <w:gridCol w:w="794"/>
        <w:gridCol w:w="1134"/>
        <w:gridCol w:w="737"/>
        <w:gridCol w:w="724"/>
        <w:gridCol w:w="544"/>
      </w:tblGrid>
      <w:tr>
        <w:tc>
          <w:tcPr>
            <w:tcW w:w="3855" w:type="dxa"/>
            <w:vMerge w:val="restart"/>
          </w:tcPr>
          <w:p>
            <w:pPr>
              <w:pStyle w:val="0"/>
              <w:jc w:val="center"/>
            </w:pPr>
            <w:r>
              <w:rPr>
                <w:sz w:val="20"/>
              </w:rPr>
              <w:t xml:space="preserve">Профиль</w:t>
            </w:r>
          </w:p>
        </w:tc>
        <w:tc>
          <w:tcPr>
            <w:gridSpan w:val="2"/>
            <w:tcW w:w="1928" w:type="dxa"/>
          </w:tcPr>
          <w:p>
            <w:pPr>
              <w:pStyle w:val="0"/>
              <w:jc w:val="center"/>
            </w:pPr>
            <w:r>
              <w:rPr>
                <w:sz w:val="20"/>
              </w:rPr>
              <w:t xml:space="preserve">2020 г.</w:t>
            </w:r>
          </w:p>
        </w:tc>
        <w:tc>
          <w:tcPr>
            <w:gridSpan w:val="2"/>
            <w:tcW w:w="1871" w:type="dxa"/>
          </w:tcPr>
          <w:p>
            <w:pPr>
              <w:pStyle w:val="0"/>
              <w:jc w:val="center"/>
            </w:pPr>
            <w:r>
              <w:rPr>
                <w:sz w:val="20"/>
              </w:rPr>
              <w:t xml:space="preserve">2021 г.</w:t>
            </w:r>
          </w:p>
        </w:tc>
        <w:tc>
          <w:tcPr>
            <w:gridSpan w:val="2"/>
            <w:tcW w:w="1268" w:type="dxa"/>
          </w:tcPr>
          <w:p>
            <w:pPr>
              <w:pStyle w:val="0"/>
              <w:jc w:val="center"/>
            </w:pPr>
            <w:r>
              <w:rPr>
                <w:sz w:val="20"/>
              </w:rPr>
              <w:t xml:space="preserve">2022 г.</w:t>
            </w:r>
          </w:p>
        </w:tc>
      </w:tr>
      <w:tr>
        <w:tc>
          <w:tcPr>
            <w:vMerge w:val="continue"/>
          </w:tcPr>
          <w:p/>
        </w:tc>
        <w:tc>
          <w:tcPr>
            <w:tcW w:w="1134" w:type="dxa"/>
          </w:tcPr>
          <w:p>
            <w:pPr>
              <w:pStyle w:val="0"/>
              <w:jc w:val="center"/>
            </w:pPr>
            <w:r>
              <w:rPr>
                <w:sz w:val="20"/>
              </w:rPr>
              <w:t xml:space="preserve">абс.</w:t>
            </w:r>
          </w:p>
          <w:p>
            <w:pPr>
              <w:pStyle w:val="0"/>
              <w:jc w:val="center"/>
            </w:pPr>
            <w:r>
              <w:rPr>
                <w:sz w:val="20"/>
              </w:rPr>
              <w:t xml:space="preserve">число</w:t>
            </w:r>
          </w:p>
        </w:tc>
        <w:tc>
          <w:tcPr>
            <w:tcW w:w="794" w:type="dxa"/>
          </w:tcPr>
          <w:p>
            <w:pPr>
              <w:pStyle w:val="0"/>
              <w:jc w:val="center"/>
            </w:pPr>
            <w:r>
              <w:rPr>
                <w:sz w:val="20"/>
              </w:rPr>
              <w:t xml:space="preserve">%</w:t>
            </w:r>
          </w:p>
        </w:tc>
        <w:tc>
          <w:tcPr>
            <w:tcW w:w="1134" w:type="dxa"/>
          </w:tcPr>
          <w:p>
            <w:pPr>
              <w:pStyle w:val="0"/>
              <w:jc w:val="center"/>
            </w:pPr>
            <w:r>
              <w:rPr>
                <w:sz w:val="20"/>
              </w:rPr>
              <w:t xml:space="preserve">абс. число</w:t>
            </w:r>
          </w:p>
        </w:tc>
        <w:tc>
          <w:tcPr>
            <w:tcW w:w="737" w:type="dxa"/>
          </w:tcPr>
          <w:p>
            <w:pPr>
              <w:pStyle w:val="0"/>
              <w:jc w:val="center"/>
            </w:pPr>
            <w:r>
              <w:rPr>
                <w:sz w:val="20"/>
              </w:rPr>
              <w:t xml:space="preserve">%</w:t>
            </w:r>
          </w:p>
        </w:tc>
        <w:tc>
          <w:tcPr>
            <w:tcW w:w="724" w:type="dxa"/>
          </w:tcPr>
          <w:p>
            <w:pPr>
              <w:pStyle w:val="0"/>
              <w:jc w:val="center"/>
            </w:pPr>
            <w:r>
              <w:rPr>
                <w:sz w:val="20"/>
              </w:rPr>
              <w:t xml:space="preserve">абс. число</w:t>
            </w:r>
          </w:p>
        </w:tc>
        <w:tc>
          <w:tcPr>
            <w:tcW w:w="544" w:type="dxa"/>
          </w:tcPr>
          <w:p>
            <w:pPr>
              <w:pStyle w:val="0"/>
              <w:jc w:val="center"/>
            </w:pPr>
            <w:r>
              <w:rPr>
                <w:sz w:val="20"/>
              </w:rPr>
              <w:t xml:space="preserve">%</w:t>
            </w:r>
          </w:p>
        </w:tc>
      </w:tr>
      <w:tr>
        <w:tc>
          <w:tcPr>
            <w:tcW w:w="3855" w:type="dxa"/>
          </w:tcPr>
          <w:p>
            <w:pPr>
              <w:pStyle w:val="0"/>
            </w:pPr>
            <w:r>
              <w:rPr>
                <w:sz w:val="20"/>
              </w:rPr>
              <w:t xml:space="preserve">Медицинская реабилитация пациентов с заболеваниями центральной нервной системы</w:t>
            </w:r>
          </w:p>
        </w:tc>
        <w:tc>
          <w:tcPr>
            <w:tcW w:w="1134" w:type="dxa"/>
          </w:tcPr>
          <w:p>
            <w:pPr>
              <w:pStyle w:val="0"/>
            </w:pPr>
            <w:r>
              <w:rPr>
                <w:sz w:val="20"/>
              </w:rPr>
              <w:t xml:space="preserve">4092</w:t>
            </w:r>
          </w:p>
        </w:tc>
        <w:tc>
          <w:tcPr>
            <w:tcW w:w="794" w:type="dxa"/>
          </w:tcPr>
          <w:p>
            <w:pPr>
              <w:pStyle w:val="0"/>
            </w:pPr>
            <w:r>
              <w:rPr>
                <w:sz w:val="20"/>
              </w:rPr>
              <w:t xml:space="preserve">38,8</w:t>
            </w:r>
          </w:p>
        </w:tc>
        <w:tc>
          <w:tcPr>
            <w:tcW w:w="1134" w:type="dxa"/>
          </w:tcPr>
          <w:p>
            <w:pPr>
              <w:pStyle w:val="0"/>
            </w:pPr>
            <w:r>
              <w:rPr>
                <w:sz w:val="20"/>
              </w:rPr>
              <w:t xml:space="preserve">6503</w:t>
            </w:r>
          </w:p>
        </w:tc>
        <w:tc>
          <w:tcPr>
            <w:tcW w:w="737" w:type="dxa"/>
          </w:tcPr>
          <w:p>
            <w:pPr>
              <w:pStyle w:val="0"/>
            </w:pPr>
            <w:r>
              <w:rPr>
                <w:sz w:val="20"/>
              </w:rPr>
              <w:t xml:space="preserve">42,3</w:t>
            </w:r>
          </w:p>
        </w:tc>
        <w:tc>
          <w:tcPr>
            <w:tcW w:w="724" w:type="dxa"/>
          </w:tcPr>
          <w:p>
            <w:pPr>
              <w:pStyle w:val="0"/>
            </w:pPr>
            <w:r>
              <w:rPr>
                <w:sz w:val="20"/>
              </w:rPr>
              <w:t xml:space="preserve">8407</w:t>
            </w:r>
          </w:p>
        </w:tc>
        <w:tc>
          <w:tcPr>
            <w:tcW w:w="544" w:type="dxa"/>
          </w:tcPr>
          <w:p>
            <w:pPr>
              <w:pStyle w:val="0"/>
            </w:pPr>
            <w:r>
              <w:rPr>
                <w:sz w:val="20"/>
              </w:rPr>
              <w:t xml:space="preserve">39,9</w:t>
            </w:r>
          </w:p>
        </w:tc>
      </w:tr>
      <w:tr>
        <w:tc>
          <w:tcPr>
            <w:tcW w:w="3855" w:type="dxa"/>
          </w:tcPr>
          <w:p>
            <w:pPr>
              <w:pStyle w:val="0"/>
            </w:pPr>
            <w:r>
              <w:rPr>
                <w:sz w:val="20"/>
              </w:rPr>
              <w:t xml:space="preserve">Медицинская реабилитация пациентов с заболеваниями опорно-двигательного аппарата и периферической нервной системы</w:t>
            </w:r>
          </w:p>
        </w:tc>
        <w:tc>
          <w:tcPr>
            <w:tcW w:w="1134" w:type="dxa"/>
          </w:tcPr>
          <w:p>
            <w:pPr>
              <w:pStyle w:val="0"/>
            </w:pPr>
            <w:r>
              <w:rPr>
                <w:sz w:val="20"/>
              </w:rPr>
              <w:t xml:space="preserve">1430</w:t>
            </w:r>
          </w:p>
        </w:tc>
        <w:tc>
          <w:tcPr>
            <w:tcW w:w="794" w:type="dxa"/>
          </w:tcPr>
          <w:p>
            <w:pPr>
              <w:pStyle w:val="0"/>
            </w:pPr>
            <w:r>
              <w:rPr>
                <w:sz w:val="20"/>
              </w:rPr>
              <w:t xml:space="preserve">13,5</w:t>
            </w:r>
          </w:p>
        </w:tc>
        <w:tc>
          <w:tcPr>
            <w:tcW w:w="1134" w:type="dxa"/>
          </w:tcPr>
          <w:p>
            <w:pPr>
              <w:pStyle w:val="0"/>
            </w:pPr>
            <w:r>
              <w:rPr>
                <w:sz w:val="20"/>
              </w:rPr>
              <w:t xml:space="preserve">1845</w:t>
            </w:r>
          </w:p>
        </w:tc>
        <w:tc>
          <w:tcPr>
            <w:tcW w:w="737" w:type="dxa"/>
          </w:tcPr>
          <w:p>
            <w:pPr>
              <w:pStyle w:val="0"/>
            </w:pPr>
            <w:r>
              <w:rPr>
                <w:sz w:val="20"/>
              </w:rPr>
              <w:t xml:space="preserve">12,0</w:t>
            </w:r>
          </w:p>
        </w:tc>
        <w:tc>
          <w:tcPr>
            <w:tcW w:w="724" w:type="dxa"/>
          </w:tcPr>
          <w:p>
            <w:pPr>
              <w:pStyle w:val="0"/>
            </w:pPr>
            <w:r>
              <w:rPr>
                <w:sz w:val="20"/>
              </w:rPr>
              <w:t xml:space="preserve">4029</w:t>
            </w:r>
          </w:p>
        </w:tc>
        <w:tc>
          <w:tcPr>
            <w:tcW w:w="544" w:type="dxa"/>
          </w:tcPr>
          <w:p>
            <w:pPr>
              <w:pStyle w:val="0"/>
            </w:pPr>
            <w:r>
              <w:rPr>
                <w:sz w:val="20"/>
              </w:rPr>
              <w:t xml:space="preserve">19,1</w:t>
            </w:r>
          </w:p>
        </w:tc>
      </w:tr>
      <w:tr>
        <w:tc>
          <w:tcPr>
            <w:tcW w:w="3855" w:type="dxa"/>
          </w:tcPr>
          <w:p>
            <w:pPr>
              <w:pStyle w:val="0"/>
            </w:pPr>
            <w:r>
              <w:rPr>
                <w:sz w:val="20"/>
              </w:rPr>
              <w:t xml:space="preserve">Медицинская реабилитация пациентов с соматическими заболеваниями, в том числе:</w:t>
            </w:r>
          </w:p>
        </w:tc>
        <w:tc>
          <w:tcPr>
            <w:tcW w:w="1134" w:type="dxa"/>
          </w:tcPr>
          <w:p>
            <w:pPr>
              <w:pStyle w:val="0"/>
            </w:pPr>
            <w:r>
              <w:rPr>
                <w:sz w:val="20"/>
              </w:rPr>
              <w:t xml:space="preserve">5033</w:t>
            </w:r>
          </w:p>
        </w:tc>
        <w:tc>
          <w:tcPr>
            <w:tcW w:w="794" w:type="dxa"/>
          </w:tcPr>
          <w:p>
            <w:pPr>
              <w:pStyle w:val="0"/>
            </w:pPr>
            <w:r>
              <w:rPr>
                <w:sz w:val="20"/>
              </w:rPr>
              <w:t xml:space="preserve">47,7</w:t>
            </w:r>
          </w:p>
        </w:tc>
        <w:tc>
          <w:tcPr>
            <w:tcW w:w="1134" w:type="dxa"/>
          </w:tcPr>
          <w:p>
            <w:pPr>
              <w:pStyle w:val="0"/>
            </w:pPr>
            <w:r>
              <w:rPr>
                <w:sz w:val="20"/>
              </w:rPr>
              <w:t xml:space="preserve">7039</w:t>
            </w:r>
          </w:p>
        </w:tc>
        <w:tc>
          <w:tcPr>
            <w:tcW w:w="737" w:type="dxa"/>
          </w:tcPr>
          <w:p>
            <w:pPr>
              <w:pStyle w:val="0"/>
            </w:pPr>
            <w:r>
              <w:rPr>
                <w:sz w:val="20"/>
              </w:rPr>
              <w:t xml:space="preserve">45,7</w:t>
            </w:r>
          </w:p>
        </w:tc>
        <w:tc>
          <w:tcPr>
            <w:tcW w:w="724" w:type="dxa"/>
          </w:tcPr>
          <w:p>
            <w:pPr>
              <w:pStyle w:val="0"/>
            </w:pPr>
            <w:r>
              <w:rPr>
                <w:sz w:val="20"/>
              </w:rPr>
              <w:t xml:space="preserve">8661</w:t>
            </w:r>
          </w:p>
        </w:tc>
        <w:tc>
          <w:tcPr>
            <w:tcW w:w="544" w:type="dxa"/>
          </w:tcPr>
          <w:p>
            <w:pPr>
              <w:pStyle w:val="0"/>
            </w:pPr>
            <w:r>
              <w:rPr>
                <w:sz w:val="20"/>
              </w:rPr>
              <w:t xml:space="preserve">41,0</w:t>
            </w:r>
          </w:p>
        </w:tc>
      </w:tr>
      <w:tr>
        <w:tc>
          <w:tcPr>
            <w:tcW w:w="3855" w:type="dxa"/>
          </w:tcPr>
          <w:p>
            <w:pPr>
              <w:pStyle w:val="0"/>
            </w:pPr>
            <w:r>
              <w:rPr>
                <w:sz w:val="20"/>
              </w:rPr>
              <w:t xml:space="preserve">кардиореабилитация</w:t>
            </w:r>
          </w:p>
        </w:tc>
        <w:tc>
          <w:tcPr>
            <w:tcW w:w="1134" w:type="dxa"/>
          </w:tcPr>
          <w:p>
            <w:pPr>
              <w:pStyle w:val="0"/>
            </w:pPr>
            <w:r>
              <w:rPr>
                <w:sz w:val="20"/>
              </w:rPr>
              <w:t xml:space="preserve">889</w:t>
            </w:r>
          </w:p>
        </w:tc>
        <w:tc>
          <w:tcPr>
            <w:tcW w:w="794" w:type="dxa"/>
          </w:tcPr>
          <w:p>
            <w:pPr>
              <w:pStyle w:val="0"/>
            </w:pPr>
            <w:r>
              <w:rPr>
                <w:sz w:val="20"/>
              </w:rPr>
              <w:t xml:space="preserve">8,4</w:t>
            </w:r>
          </w:p>
        </w:tc>
        <w:tc>
          <w:tcPr>
            <w:tcW w:w="1134" w:type="dxa"/>
          </w:tcPr>
          <w:p>
            <w:pPr>
              <w:pStyle w:val="0"/>
            </w:pPr>
            <w:r>
              <w:rPr>
                <w:sz w:val="20"/>
              </w:rPr>
              <w:t xml:space="preserve">967</w:t>
            </w:r>
          </w:p>
        </w:tc>
        <w:tc>
          <w:tcPr>
            <w:tcW w:w="737" w:type="dxa"/>
          </w:tcPr>
          <w:p>
            <w:pPr>
              <w:pStyle w:val="0"/>
            </w:pPr>
            <w:r>
              <w:rPr>
                <w:sz w:val="20"/>
              </w:rPr>
              <w:t xml:space="preserve">6,3</w:t>
            </w:r>
          </w:p>
        </w:tc>
        <w:tc>
          <w:tcPr>
            <w:tcW w:w="724" w:type="dxa"/>
          </w:tcPr>
          <w:p>
            <w:pPr>
              <w:pStyle w:val="0"/>
            </w:pPr>
            <w:r>
              <w:rPr>
                <w:sz w:val="20"/>
              </w:rPr>
              <w:t xml:space="preserve">3432</w:t>
            </w:r>
          </w:p>
        </w:tc>
        <w:tc>
          <w:tcPr>
            <w:tcW w:w="544" w:type="dxa"/>
          </w:tcPr>
          <w:p>
            <w:pPr>
              <w:pStyle w:val="0"/>
            </w:pPr>
            <w:r>
              <w:rPr>
                <w:sz w:val="20"/>
              </w:rPr>
              <w:t xml:space="preserve">16,3</w:t>
            </w:r>
          </w:p>
        </w:tc>
      </w:tr>
      <w:tr>
        <w:tc>
          <w:tcPr>
            <w:tcW w:w="3855" w:type="dxa"/>
          </w:tcPr>
          <w:p>
            <w:pPr>
              <w:pStyle w:val="0"/>
            </w:pPr>
            <w:r>
              <w:rPr>
                <w:sz w:val="20"/>
              </w:rPr>
              <w:t xml:space="preserve">после перенесенной новой коронавирусной инфекции COVID-19</w:t>
            </w:r>
          </w:p>
        </w:tc>
        <w:tc>
          <w:tcPr>
            <w:tcW w:w="1134" w:type="dxa"/>
          </w:tcPr>
          <w:p>
            <w:pPr>
              <w:pStyle w:val="0"/>
            </w:pPr>
            <w:r>
              <w:rPr>
                <w:sz w:val="20"/>
              </w:rPr>
              <w:t xml:space="preserve">2653</w:t>
            </w:r>
          </w:p>
        </w:tc>
        <w:tc>
          <w:tcPr>
            <w:tcW w:w="794" w:type="dxa"/>
          </w:tcPr>
          <w:p>
            <w:pPr>
              <w:pStyle w:val="0"/>
            </w:pPr>
            <w:r>
              <w:rPr>
                <w:sz w:val="20"/>
              </w:rPr>
              <w:t xml:space="preserve">25,1</w:t>
            </w:r>
          </w:p>
        </w:tc>
        <w:tc>
          <w:tcPr>
            <w:tcW w:w="1134" w:type="dxa"/>
          </w:tcPr>
          <w:p>
            <w:pPr>
              <w:pStyle w:val="0"/>
            </w:pPr>
            <w:r>
              <w:rPr>
                <w:sz w:val="20"/>
              </w:rPr>
              <w:t xml:space="preserve">1965</w:t>
            </w:r>
          </w:p>
        </w:tc>
        <w:tc>
          <w:tcPr>
            <w:tcW w:w="737" w:type="dxa"/>
          </w:tcPr>
          <w:p>
            <w:pPr>
              <w:pStyle w:val="0"/>
            </w:pPr>
            <w:r>
              <w:rPr>
                <w:sz w:val="20"/>
              </w:rPr>
              <w:t xml:space="preserve">12,8</w:t>
            </w:r>
          </w:p>
        </w:tc>
        <w:tc>
          <w:tcPr>
            <w:tcW w:w="724" w:type="dxa"/>
          </w:tcPr>
          <w:p>
            <w:pPr>
              <w:pStyle w:val="0"/>
            </w:pPr>
            <w:r>
              <w:rPr>
                <w:sz w:val="20"/>
              </w:rPr>
              <w:t xml:space="preserve">1028</w:t>
            </w:r>
          </w:p>
        </w:tc>
        <w:tc>
          <w:tcPr>
            <w:tcW w:w="544" w:type="dxa"/>
          </w:tcPr>
          <w:p>
            <w:pPr>
              <w:pStyle w:val="0"/>
            </w:pPr>
            <w:r>
              <w:rPr>
                <w:sz w:val="20"/>
              </w:rPr>
              <w:t xml:space="preserve">4,9</w:t>
            </w:r>
          </w:p>
        </w:tc>
      </w:tr>
      <w:tr>
        <w:tc>
          <w:tcPr>
            <w:tcW w:w="3855" w:type="dxa"/>
          </w:tcPr>
          <w:p>
            <w:pPr>
              <w:pStyle w:val="0"/>
            </w:pPr>
            <w:r>
              <w:rPr>
                <w:sz w:val="20"/>
              </w:rPr>
              <w:t xml:space="preserve">Итого</w:t>
            </w:r>
          </w:p>
        </w:tc>
        <w:tc>
          <w:tcPr>
            <w:tcW w:w="1134" w:type="dxa"/>
          </w:tcPr>
          <w:p>
            <w:pPr>
              <w:pStyle w:val="0"/>
            </w:pPr>
            <w:r>
              <w:rPr>
                <w:sz w:val="20"/>
              </w:rPr>
              <w:t xml:space="preserve">10555</w:t>
            </w:r>
          </w:p>
        </w:tc>
        <w:tc>
          <w:tcPr>
            <w:tcW w:w="794" w:type="dxa"/>
          </w:tcPr>
          <w:p>
            <w:pPr>
              <w:pStyle w:val="0"/>
            </w:pPr>
            <w:r>
              <w:rPr>
                <w:sz w:val="20"/>
              </w:rPr>
            </w:r>
          </w:p>
        </w:tc>
        <w:tc>
          <w:tcPr>
            <w:tcW w:w="1134" w:type="dxa"/>
          </w:tcPr>
          <w:p>
            <w:pPr>
              <w:pStyle w:val="0"/>
            </w:pPr>
            <w:r>
              <w:rPr>
                <w:sz w:val="20"/>
              </w:rPr>
              <w:t xml:space="preserve">15387</w:t>
            </w:r>
          </w:p>
        </w:tc>
        <w:tc>
          <w:tcPr>
            <w:tcW w:w="737" w:type="dxa"/>
          </w:tcPr>
          <w:p>
            <w:pPr>
              <w:pStyle w:val="0"/>
            </w:pPr>
            <w:r>
              <w:rPr>
                <w:sz w:val="20"/>
              </w:rPr>
            </w:r>
          </w:p>
        </w:tc>
        <w:tc>
          <w:tcPr>
            <w:tcW w:w="724" w:type="dxa"/>
          </w:tcPr>
          <w:p>
            <w:pPr>
              <w:pStyle w:val="0"/>
            </w:pPr>
            <w:r>
              <w:rPr>
                <w:sz w:val="20"/>
              </w:rPr>
              <w:t xml:space="preserve">21097</w:t>
            </w:r>
          </w:p>
        </w:tc>
        <w:tc>
          <w:tcPr>
            <w:tcW w:w="544" w:type="dxa"/>
          </w:tcPr>
          <w:p>
            <w:pPr>
              <w:pStyle w:val="0"/>
            </w:pPr>
            <w:r>
              <w:rPr>
                <w:sz w:val="20"/>
              </w:rPr>
            </w:r>
          </w:p>
        </w:tc>
      </w:tr>
    </w:tbl>
    <w:p>
      <w:pPr>
        <w:pStyle w:val="0"/>
        <w:ind w:firstLine="540"/>
        <w:jc w:val="both"/>
      </w:pPr>
      <w:r>
        <w:rPr>
          <w:sz w:val="20"/>
        </w:rPr>
      </w:r>
    </w:p>
    <w:p>
      <w:pPr>
        <w:pStyle w:val="0"/>
        <w:ind w:firstLine="540"/>
        <w:jc w:val="both"/>
      </w:pPr>
      <w:r>
        <w:rPr>
          <w:sz w:val="20"/>
        </w:rPr>
        <w:t xml:space="preserve">В структуре пациентов, прошедших медицинскую реабилитацию, наибольшее количество в 2022 году составили пациенты с соматическими заболеваниями - 41,0% (в 2021 году - 45,7%, в 2020 году - 47,7%), на втором месте пациенты с заболеваниями центральной нервной системы - 39,9% (в 2021 году - 42,3%, в 2020 году - 38,8%), на третьем месте пациенты с заболеваниями опорно-двигательного аппарата и периферической нервной системы - 19,1% (в 2021 году - 12,0%, в 2020 году - 13,5%).</w:t>
      </w:r>
    </w:p>
    <w:p>
      <w:pPr>
        <w:pStyle w:val="0"/>
        <w:spacing w:before="200" w:line-rule="auto"/>
        <w:ind w:firstLine="540"/>
        <w:jc w:val="both"/>
      </w:pPr>
      <w:r>
        <w:rPr>
          <w:sz w:val="20"/>
        </w:rPr>
        <w:t xml:space="preserve">Доля медицинской реабилитации после перенесенной новой коронавирусной инфекции COVID-19 в общей структуре пролеченных пациентов в 2022 году составила 4,9%.</w:t>
      </w:r>
    </w:p>
    <w:p>
      <w:pPr>
        <w:pStyle w:val="0"/>
        <w:spacing w:before="200" w:line-rule="auto"/>
        <w:ind w:firstLine="540"/>
        <w:jc w:val="both"/>
      </w:pPr>
      <w:r>
        <w:rPr>
          <w:sz w:val="20"/>
        </w:rPr>
        <w:t xml:space="preserve">Доля кардиореабилитации в общей структуре пролеченных пациентов в 2022 году увеличилась и составила 16,3% (в 2021 году - 6,3%, в 2020 году - 8,4%).</w:t>
      </w:r>
    </w:p>
    <w:p>
      <w:pPr>
        <w:pStyle w:val="0"/>
        <w:ind w:firstLine="540"/>
        <w:jc w:val="both"/>
      </w:pPr>
      <w:r>
        <w:rPr>
          <w:sz w:val="20"/>
        </w:rPr>
      </w:r>
    </w:p>
    <w:p>
      <w:pPr>
        <w:pStyle w:val="2"/>
        <w:outlineLvl w:val="2"/>
        <w:jc w:val="center"/>
      </w:pPr>
      <w:r>
        <w:rPr>
          <w:sz w:val="20"/>
        </w:rPr>
        <w:t xml:space="preserve">1.5. Текущее состояние ресурсной базы реабилитационной</w:t>
      </w:r>
    </w:p>
    <w:p>
      <w:pPr>
        <w:pStyle w:val="2"/>
        <w:jc w:val="center"/>
      </w:pPr>
      <w:r>
        <w:rPr>
          <w:sz w:val="20"/>
        </w:rPr>
        <w:t xml:space="preserve">службы автономного округа (за исключением наркологии</w:t>
      </w:r>
    </w:p>
    <w:p>
      <w:pPr>
        <w:pStyle w:val="2"/>
        <w:jc w:val="center"/>
      </w:pPr>
      <w:r>
        <w:rPr>
          <w:sz w:val="20"/>
        </w:rPr>
        <w:t xml:space="preserve">и психиатрии) (анализ за 2020 - 2023 гг.)</w:t>
      </w:r>
    </w:p>
    <w:p>
      <w:pPr>
        <w:pStyle w:val="0"/>
        <w:ind w:firstLine="540"/>
        <w:jc w:val="both"/>
      </w:pPr>
      <w:r>
        <w:rPr>
          <w:sz w:val="20"/>
        </w:rPr>
      </w:r>
    </w:p>
    <w:p>
      <w:pPr>
        <w:pStyle w:val="0"/>
        <w:ind w:firstLine="540"/>
        <w:jc w:val="both"/>
      </w:pPr>
      <w:r>
        <w:rPr>
          <w:sz w:val="20"/>
        </w:rPr>
        <w:t xml:space="preserve">В автономном округе организована трехэтапная система медицинской реабилитации взрослых и детей, определен перечень медицинских организаций, осуществляющих оказание медицинской реабилитации с учетом этапов реабилитации, медицинских зон и профилей, разработана и утверждена маршрутизация пациентов при оказании медицинской помощи по медицинской реабилитации.</w:t>
      </w:r>
    </w:p>
    <w:p>
      <w:pPr>
        <w:pStyle w:val="0"/>
        <w:spacing w:before="200" w:line-rule="auto"/>
        <w:ind w:firstLine="540"/>
        <w:jc w:val="both"/>
      </w:pPr>
      <w:r>
        <w:rPr>
          <w:sz w:val="20"/>
        </w:rPr>
        <w:t xml:space="preserve">В целях соблюдения преемственности в оказании медицинской помощи и своевременного направления взрослых и детей на второй и третий этапы медицинской реабилитации в автономном округе определены 4 медицинские зоны с учетом территориальной отдаленности и ориентации на медицинские организации, оказывающие специализированную, в том числе высокотехнологичную, медицинскую помощь по основным профилям заболеваний.</w:t>
      </w:r>
    </w:p>
    <w:p>
      <w:pPr>
        <w:pStyle w:val="0"/>
        <w:spacing w:before="200" w:line-rule="auto"/>
        <w:ind w:firstLine="540"/>
        <w:jc w:val="both"/>
      </w:pPr>
      <w:r>
        <w:rPr>
          <w:sz w:val="20"/>
        </w:rPr>
        <w:t xml:space="preserve">Медицинская зона N 1 (г. Ханты-Мансийск) - городской округ Ханты-Мансийск, Ханты-Мансийский, Белоярский, Березовский муниципальные районы.</w:t>
      </w:r>
    </w:p>
    <w:p>
      <w:pPr>
        <w:pStyle w:val="0"/>
        <w:spacing w:before="200" w:line-rule="auto"/>
        <w:ind w:firstLine="540"/>
        <w:jc w:val="both"/>
      </w:pPr>
      <w:r>
        <w:rPr>
          <w:sz w:val="20"/>
        </w:rPr>
        <w:t xml:space="preserve">Медицинская зона N 2 (г. Сургут) - городские округа Сургут, Нефтеюганск, Когалым, Пыть-Ях, Сургутский, Нефтеюганский муниципальные районы.</w:t>
      </w:r>
    </w:p>
    <w:p>
      <w:pPr>
        <w:pStyle w:val="0"/>
        <w:spacing w:before="200" w:line-rule="auto"/>
        <w:ind w:firstLine="540"/>
        <w:jc w:val="both"/>
      </w:pPr>
      <w:r>
        <w:rPr>
          <w:sz w:val="20"/>
        </w:rPr>
        <w:t xml:space="preserve">Медицинская зона N 3 (г. Нижневартовск) - городские округа Нижневартовск, Мегион, Радужный, Покачи, Лангепас, Нижневартовский муниципальный район.</w:t>
      </w:r>
    </w:p>
    <w:p>
      <w:pPr>
        <w:pStyle w:val="0"/>
        <w:spacing w:before="200" w:line-rule="auto"/>
        <w:ind w:firstLine="540"/>
        <w:jc w:val="both"/>
      </w:pPr>
      <w:r>
        <w:rPr>
          <w:sz w:val="20"/>
        </w:rPr>
        <w:t xml:space="preserve">Медицинская зона N 4 (г. Урай) - городские округа Урай, Нягань, Югорск, Октябрьский, Советский, Кондинский муниципальные районы.</w:t>
      </w:r>
    </w:p>
    <w:p>
      <w:pPr>
        <w:pStyle w:val="0"/>
        <w:spacing w:before="200" w:line-rule="auto"/>
        <w:ind w:firstLine="540"/>
        <w:jc w:val="both"/>
      </w:pPr>
      <w:r>
        <w:rPr>
          <w:sz w:val="20"/>
        </w:rPr>
        <w:t xml:space="preserve">Медицинская реабилитация взрослых и детей на всех этапах осуществляется специалистами мультидисциплинарной реабилитационной команды.</w:t>
      </w:r>
    </w:p>
    <w:p>
      <w:pPr>
        <w:pStyle w:val="0"/>
        <w:spacing w:before="200" w:line-rule="auto"/>
        <w:ind w:firstLine="540"/>
        <w:jc w:val="both"/>
      </w:pPr>
      <w:r>
        <w:rPr>
          <w:sz w:val="20"/>
        </w:rPr>
        <w:t xml:space="preserve">Медицинская реабилитация взрослых на первом этапе осуществляется в структурных подразделениях, в том числе отделениях анестезиологии-реанимации и палатах реанимации и интенсивной терапии, медицинских организаций автономного округа, оказывающих специализированную, в том числе высокотехнологичную, медицинскую помощь в стационарных условиях по профилю заболевания.</w:t>
      </w:r>
    </w:p>
    <w:p>
      <w:pPr>
        <w:pStyle w:val="0"/>
        <w:spacing w:before="200" w:line-rule="auto"/>
        <w:ind w:firstLine="540"/>
        <w:jc w:val="both"/>
      </w:pPr>
      <w:r>
        <w:rPr>
          <w:sz w:val="20"/>
        </w:rPr>
        <w:t xml:space="preserve">Созданы 5 отделений ранней медицинской реабилитации взрослых в 5 медицинских организациях государственной системы здравоохранения автономного округа (в бюджетном учреждении автономного округа (далее - БУ) "Окружная клиническая больница", БУ "Сургутская клиническая травматологическая больница", БУ "Окружной кардиологический диспансер "Центр диагностики и сердечно-сосудистой хирургии", БУ "Няганская окружная больница", БУ "Сургутская окружная клиническая больница").</w:t>
      </w:r>
    </w:p>
    <w:p>
      <w:pPr>
        <w:pStyle w:val="0"/>
        <w:spacing w:before="200" w:line-rule="auto"/>
        <w:ind w:firstLine="540"/>
        <w:jc w:val="both"/>
      </w:pPr>
      <w:r>
        <w:rPr>
          <w:sz w:val="20"/>
        </w:rPr>
        <w:t xml:space="preserve">Медицинская реабилитация детей на первом этапе при V уровне курации осуществляется в стационарных условиях отделений анестезиологии-реанимации или палатах реанимации и интенсивной терапии медицинских организаций автономного округа по профилю основного заболевания, учреждений родовспоможения автономного округа.</w:t>
      </w:r>
    </w:p>
    <w:p>
      <w:pPr>
        <w:pStyle w:val="0"/>
        <w:spacing w:before="200" w:line-rule="auto"/>
        <w:ind w:firstLine="540"/>
        <w:jc w:val="both"/>
      </w:pPr>
      <w:r>
        <w:rPr>
          <w:sz w:val="20"/>
        </w:rPr>
        <w:t xml:space="preserve">Медицинская реабилитация детей на первом этапе при IV уровне курации осуществляется в стационарных условиях профильных отделений медицинских организаций автономного округа, оказывающих специализированную, в том числе высокотехнологичную, медицинскую помощь по профилю основного заболевания, учреждений родовспоможения автономного округа.</w:t>
      </w:r>
    </w:p>
    <w:p>
      <w:pPr>
        <w:pStyle w:val="0"/>
        <w:spacing w:before="200" w:line-rule="auto"/>
        <w:ind w:firstLine="540"/>
        <w:jc w:val="both"/>
      </w:pPr>
      <w:r>
        <w:rPr>
          <w:sz w:val="20"/>
        </w:rPr>
        <w:t xml:space="preserve">Медицинская реабилитация на втором этапе осуществляется в 13 медицинских организациях автономного округа (в 12 медицинских организациях государственной системы здравоохранения автономного округа и 1 медицинской организации частной формы собственности (частное учреждение здравоохранения "Клиническая больница "РЖД-Медицина" города Сургут")).</w:t>
      </w:r>
    </w:p>
    <w:p>
      <w:pPr>
        <w:pStyle w:val="0"/>
        <w:spacing w:before="200" w:line-rule="auto"/>
        <w:ind w:firstLine="540"/>
        <w:jc w:val="both"/>
      </w:pPr>
      <w:r>
        <w:rPr>
          <w:sz w:val="20"/>
        </w:rPr>
        <w:t xml:space="preserve">Медицинская реабилитация взрослых на втором этапе осуществляется в 9 медицинских организациях автономного округа.</w:t>
      </w:r>
    </w:p>
    <w:p>
      <w:pPr>
        <w:pStyle w:val="0"/>
        <w:spacing w:before="200" w:line-rule="auto"/>
        <w:ind w:firstLine="540"/>
        <w:jc w:val="both"/>
      </w:pPr>
      <w:r>
        <w:rPr>
          <w:sz w:val="20"/>
        </w:rPr>
        <w:t xml:space="preserve">При этом в 7 медицинских организациях автономного округа созданы 11 стационарных отделений медицинской реабилитации для взрослых (в БУ "Окружной клинический лечебно-реабилитационный центр", БУ "Сургутская клиническая травматологическая больница", БУ "Сургутская окружная клиническая больница", БУ "Окружной кардиологический диспансер "Центр диагностики и сердечно-сосудистой хирургии", БУ "Лангепасская городская больница", БУ "Урайская окружная больница медицинской реабилитации", БУ "Нижневартовская окружная клиническая больница"):</w:t>
      </w:r>
    </w:p>
    <w:p>
      <w:pPr>
        <w:pStyle w:val="0"/>
        <w:spacing w:before="200" w:line-rule="auto"/>
        <w:ind w:firstLine="540"/>
        <w:jc w:val="both"/>
      </w:pPr>
      <w:r>
        <w:rPr>
          <w:sz w:val="20"/>
        </w:rPr>
        <w:t xml:space="preserve">4 отделения для пациентов с нарушением функции центральной нервной системы;</w:t>
      </w:r>
    </w:p>
    <w:p>
      <w:pPr>
        <w:pStyle w:val="0"/>
        <w:spacing w:before="200" w:line-rule="auto"/>
        <w:ind w:firstLine="540"/>
        <w:jc w:val="both"/>
      </w:pPr>
      <w:r>
        <w:rPr>
          <w:sz w:val="20"/>
        </w:rPr>
        <w:t xml:space="preserve">2 отделения для пациентов с нарушением функции периферической нервной системы и костно-мышечной системы;</w:t>
      </w:r>
    </w:p>
    <w:p>
      <w:pPr>
        <w:pStyle w:val="0"/>
        <w:spacing w:before="200" w:line-rule="auto"/>
        <w:ind w:firstLine="540"/>
        <w:jc w:val="both"/>
      </w:pPr>
      <w:r>
        <w:rPr>
          <w:sz w:val="20"/>
        </w:rPr>
        <w:t xml:space="preserve">5 отделений для пациентов с соматическими заболеваниями.</w:t>
      </w:r>
    </w:p>
    <w:p>
      <w:pPr>
        <w:pStyle w:val="0"/>
        <w:spacing w:before="200" w:line-rule="auto"/>
        <w:ind w:firstLine="540"/>
        <w:jc w:val="both"/>
      </w:pPr>
      <w:r>
        <w:rPr>
          <w:sz w:val="20"/>
        </w:rPr>
        <w:t xml:space="preserve">Также в 2 медицинских организациях автономного округа развернуты реабилитационные койки для взрослых в специализированных отделениях (в БУ "Окружная клиническая больница", частном учреждении здравоохранения "Клиническая больница "РЖД-Медицина" города Сургут").</w:t>
      </w:r>
    </w:p>
    <w:p>
      <w:pPr>
        <w:pStyle w:val="0"/>
        <w:spacing w:before="200" w:line-rule="auto"/>
        <w:ind w:firstLine="540"/>
        <w:jc w:val="both"/>
      </w:pPr>
      <w:r>
        <w:rPr>
          <w:sz w:val="20"/>
        </w:rPr>
        <w:t xml:space="preserve">Медицинская реабилитация детей на втором этапе при IV, III уровнях курации осуществляется в 6 медицинских организациях автономного округа.</w:t>
      </w:r>
    </w:p>
    <w:p>
      <w:pPr>
        <w:pStyle w:val="0"/>
        <w:spacing w:before="200" w:line-rule="auto"/>
        <w:ind w:firstLine="540"/>
        <w:jc w:val="both"/>
      </w:pPr>
      <w:r>
        <w:rPr>
          <w:sz w:val="20"/>
        </w:rPr>
        <w:t xml:space="preserve">При этом в 3 медицинских организациях автономного округа созданы 3 стационарные отделения медицинской реабилитации для детей (в БУ "Сургутский окружной центр охраны материнства и детства", БУ "Нижневартовская окружная клиническая детская больница", БУ "Нижневартовский окружной клинический перинатальный центр").</w:t>
      </w:r>
    </w:p>
    <w:p>
      <w:pPr>
        <w:pStyle w:val="0"/>
        <w:spacing w:before="200" w:line-rule="auto"/>
        <w:ind w:firstLine="540"/>
        <w:jc w:val="both"/>
      </w:pPr>
      <w:r>
        <w:rPr>
          <w:sz w:val="20"/>
        </w:rPr>
        <w:t xml:space="preserve">Также в 3 медицинских организациях автономного округа развернуты реабилитационные койки для детей в специализированных отделениях (в БУ "Окружная клиническая больница", БУ "Няганская окружная больница", БУ "Сургутская клиническая травматологическая больница").</w:t>
      </w:r>
    </w:p>
    <w:p>
      <w:pPr>
        <w:pStyle w:val="0"/>
        <w:spacing w:before="200" w:line-rule="auto"/>
        <w:ind w:firstLine="540"/>
        <w:jc w:val="both"/>
      </w:pPr>
      <w:r>
        <w:rPr>
          <w:sz w:val="20"/>
        </w:rPr>
        <w:t xml:space="preserve">Учитывая значительную протяженность границ автономного округа при относительно низкой плотности населения, ограниченную транспортную доступность медицинских организаций, в целях повышения доступности и качества оказания медицинской помощи по медицинской реабилитации, обеспечения экономической эффективности функционирования системы здравоохранения в автономном округе созданы многопрофильные отделения медицинской реабилитации для детей, осуществляющие медицинскую реабилитацию по разным профилям.</w:t>
      </w:r>
    </w:p>
    <w:p>
      <w:pPr>
        <w:pStyle w:val="0"/>
        <w:spacing w:before="200" w:line-rule="auto"/>
        <w:ind w:firstLine="540"/>
        <w:jc w:val="both"/>
      </w:pPr>
      <w:r>
        <w:rPr>
          <w:sz w:val="20"/>
        </w:rPr>
        <w:t xml:space="preserve">Коечная мощность реабилитационных учреждений (отделений) автономного округа, осуществляющих медицинскую реабилитацию на втором этапе, в 2023 году увеличена и составляет 402 койки, в том числе 343 койки для взрослого населения, 59 коек для детского населения (в 2022 году - 392 койки, в том числе 343 койки для взрослого населения, 49 коек для детского населения, в 2021 - 2020 годах - 367 коек, в том числе 323 койки для взрослого населения, 44 койки для детского населения).</w:t>
      </w:r>
    </w:p>
    <w:p>
      <w:pPr>
        <w:pStyle w:val="0"/>
        <w:spacing w:before="200" w:line-rule="auto"/>
        <w:ind w:firstLine="540"/>
        <w:jc w:val="both"/>
      </w:pPr>
      <w:r>
        <w:rPr>
          <w:sz w:val="20"/>
        </w:rPr>
        <w:t xml:space="preserve">Обеспеченность круглосуточными реабилитационными койками на 10 тыс. населения в 2023 году составила 2,35 (2022 год - 2,29, 2021 год - 2,18, 2020 год - 2,19).</w:t>
      </w:r>
    </w:p>
    <w:p>
      <w:pPr>
        <w:pStyle w:val="0"/>
        <w:spacing w:before="200" w:line-rule="auto"/>
        <w:ind w:firstLine="540"/>
        <w:jc w:val="both"/>
      </w:pPr>
      <w:r>
        <w:rPr>
          <w:sz w:val="20"/>
        </w:rPr>
        <w:t xml:space="preserve">Третий этап медицинской реабилитации взрослых и детей осуществляется при оказании первичной медико-санитарной помощи в условиях дневного стационара и в амбулаторных условиях, в том числе на дому.</w:t>
      </w:r>
    </w:p>
    <w:p>
      <w:pPr>
        <w:pStyle w:val="0"/>
        <w:spacing w:before="200" w:line-rule="auto"/>
        <w:ind w:firstLine="540"/>
        <w:jc w:val="both"/>
      </w:pPr>
      <w:r>
        <w:rPr>
          <w:sz w:val="20"/>
        </w:rPr>
        <w:t xml:space="preserve">В условиях дневного стационара медицинская реабилитация организована в 9 медицинских организациях автономного округа, в том числе:</w:t>
      </w:r>
    </w:p>
    <w:p>
      <w:pPr>
        <w:pStyle w:val="0"/>
        <w:spacing w:before="200" w:line-rule="auto"/>
        <w:ind w:firstLine="540"/>
        <w:jc w:val="both"/>
      </w:pPr>
      <w:r>
        <w:rPr>
          <w:sz w:val="20"/>
        </w:rPr>
        <w:t xml:space="preserve">в 3 медицинских организациях созданы дневные стационары для взрослых (в БУ "Урайская окружная больница медицинской реабилитации", БУ "Окружной клинический лечебно-реабилитационный центр", БУ "Нижневартовская окружная клиническая больница");</w:t>
      </w:r>
    </w:p>
    <w:p>
      <w:pPr>
        <w:pStyle w:val="0"/>
        <w:spacing w:before="200" w:line-rule="auto"/>
        <w:ind w:firstLine="540"/>
        <w:jc w:val="both"/>
      </w:pPr>
      <w:r>
        <w:rPr>
          <w:sz w:val="20"/>
        </w:rPr>
        <w:t xml:space="preserve">в 6 медицинских организациях созданы дневные стационары для детей (в БУ "Сургутская городская клиническая поликлиника N 1", БУ "Сургутская городская клиническая поликлиника N 4", БУ "Сургутская городская клиническая поликлиника N 5", БУ "Нижневартовская окружная клиническая детская больница", БУ "Мегионская городская больница", БУ "Няганская городская детская поликлиника").</w:t>
      </w:r>
    </w:p>
    <w:p>
      <w:pPr>
        <w:pStyle w:val="0"/>
        <w:spacing w:before="200" w:line-rule="auto"/>
        <w:ind w:firstLine="540"/>
        <w:jc w:val="both"/>
      </w:pPr>
      <w:r>
        <w:rPr>
          <w:sz w:val="20"/>
        </w:rPr>
        <w:t xml:space="preserve">Коечный фонд дневного стационара по медицинской реабилитации в 2023 году увеличен и составляет 205 пациенто-мест, в том числе 95 пациенто-мест для взрослого населения, 110 пациенто-мест для детского населения (в 2022 году - 190 пациенто-мест, в том числе 135 пациенто-мест для взрослого населения, 55 пациенто-мест для детского населения, в 2021 - 2020 годах - 189 пациенто-мест, в том числе 134 пациенто-места для взрослого населения, 55 пациенто-мест для детского населения).</w:t>
      </w:r>
    </w:p>
    <w:p>
      <w:pPr>
        <w:pStyle w:val="0"/>
        <w:spacing w:before="200" w:line-rule="auto"/>
        <w:ind w:firstLine="540"/>
        <w:jc w:val="both"/>
      </w:pPr>
      <w:r>
        <w:rPr>
          <w:sz w:val="20"/>
        </w:rPr>
        <w:t xml:space="preserve">Обеспеченность реабилитационными койками дневного стационара с учетом сменности работы на 10 тыс. населения в 2023 году составила 1,19 (2022 год - 1,11, 2021 год - 1,12, 2020 год - 1,13).</w:t>
      </w:r>
    </w:p>
    <w:p>
      <w:pPr>
        <w:pStyle w:val="0"/>
        <w:spacing w:before="200" w:line-rule="auto"/>
        <w:ind w:firstLine="540"/>
        <w:jc w:val="both"/>
      </w:pPr>
      <w:r>
        <w:rPr>
          <w:sz w:val="20"/>
        </w:rPr>
        <w:t xml:space="preserve">Медицинская реабилитация в амбулаторных условиях осуществляется в 18 медицинских организациях автономного округа, в том числе:</w:t>
      </w:r>
    </w:p>
    <w:p>
      <w:pPr>
        <w:pStyle w:val="0"/>
        <w:spacing w:before="200" w:line-rule="auto"/>
        <w:ind w:firstLine="540"/>
        <w:jc w:val="both"/>
      </w:pPr>
      <w:r>
        <w:rPr>
          <w:sz w:val="20"/>
        </w:rPr>
        <w:t xml:space="preserve">взрослых - в 17 медицинских организациях (БУ "Окружной клинический лечебно-реабилитационный центр", БУ "Сургутская клиническая травматологическая больница", БУ "Окружной кардиологический диспансер "Центр диагностики и сердечно-сосудистой хирургии", БУ "Лангепасская городская больница", БУ "Сургутская городская клиническая поликлиника N 1", БУ "Сургутская городская клиническая поликлиника N 2", БУ "Сургутская городская клиническая поликлиника N 3", БУ "Сургутская городская клиническая поликлиника N 4", БУ "Мегионская городская больница", БУ "Урайская городская клиническая больница", БУ "Белоярская районная больница", БУ "Когалымская городская больница", БУ "Пыть-Яхская окружная клиническая больница", БУ "Нижневартовская городская поликлиника", БУ "Покачевская городская больница", БУ "Няганская городская поликлиника", БУ "Югорская городская больница");</w:t>
      </w:r>
    </w:p>
    <w:p>
      <w:pPr>
        <w:pStyle w:val="0"/>
        <w:spacing w:before="200" w:line-rule="auto"/>
        <w:ind w:firstLine="540"/>
        <w:jc w:val="both"/>
      </w:pPr>
      <w:r>
        <w:rPr>
          <w:sz w:val="20"/>
        </w:rPr>
        <w:t xml:space="preserve">детей - в 12 медицинских организациях БУ "Окружной клинический лечебно-реабилитационный центр", БУ "Сургутская клиническая травматологическая больница", БУ "Нижневартовский окружной клинический перинатальный центр, БУ "Сургутская городская клиническая поликлиника N 1", БУ "Сургутская городская клиническая поликлиника N 2", БУ "Сургутская городская клиническая поликлиника N 3", БУ "Сургутская городская клиническая поликлиника N 4", БУ "Мегионская городская больница", БУ "Урайская городская клиническая больница", БУ "Когалымская городская больница", БУ "Пыть-Яхская окружная клиническая больница", БУ "Югорская городская больница").</w:t>
      </w:r>
    </w:p>
    <w:p>
      <w:pPr>
        <w:pStyle w:val="0"/>
        <w:spacing w:before="200" w:line-rule="auto"/>
        <w:ind w:firstLine="540"/>
        <w:jc w:val="both"/>
      </w:pPr>
      <w:r>
        <w:rPr>
          <w:sz w:val="20"/>
        </w:rPr>
        <w:t xml:space="preserve">В 2022 году приобретено 275 единиц медицинского оборудования в 3 медицинские организации автономного округа:</w:t>
      </w:r>
    </w:p>
    <w:p>
      <w:pPr>
        <w:pStyle w:val="0"/>
        <w:spacing w:before="200" w:line-rule="auto"/>
        <w:ind w:firstLine="540"/>
        <w:jc w:val="both"/>
      </w:pPr>
      <w:r>
        <w:rPr>
          <w:sz w:val="20"/>
        </w:rPr>
        <w:t xml:space="preserve">в 2 отделения медицинской реабилитации БУ "Лангепасская городская больница" поставлено 90 единиц реабилитационного оборудования;</w:t>
      </w:r>
    </w:p>
    <w:p>
      <w:pPr>
        <w:pStyle w:val="0"/>
        <w:spacing w:before="200" w:line-rule="auto"/>
        <w:ind w:firstLine="540"/>
        <w:jc w:val="both"/>
      </w:pPr>
      <w:r>
        <w:rPr>
          <w:sz w:val="20"/>
        </w:rPr>
        <w:t xml:space="preserve">в 4 отделения медицинской реабилитации БУ "Нижневартовская окружная клиническая больница" поставлено 69 единиц реабилитационного оборудования;</w:t>
      </w:r>
    </w:p>
    <w:p>
      <w:pPr>
        <w:pStyle w:val="0"/>
        <w:spacing w:before="200" w:line-rule="auto"/>
        <w:ind w:firstLine="540"/>
        <w:jc w:val="both"/>
      </w:pPr>
      <w:r>
        <w:rPr>
          <w:sz w:val="20"/>
        </w:rPr>
        <w:t xml:space="preserve">в 4 отделения медицинской реабилитации БУ "Окружной клинический лечебно-реабилитационный центр" поставлено 116 единиц реабилитационного оборудования.</w:t>
      </w:r>
    </w:p>
    <w:p>
      <w:pPr>
        <w:pStyle w:val="0"/>
        <w:spacing w:before="200" w:line-rule="auto"/>
        <w:ind w:firstLine="540"/>
        <w:jc w:val="both"/>
      </w:pPr>
      <w:r>
        <w:rPr>
          <w:sz w:val="20"/>
        </w:rPr>
        <w:t xml:space="preserve">Показатель "Доля отделений медицинской реабилитации, оснащенных современным медицинским реабилитационным оборудованием (%)" в 2022 году достигнут на 100% (план - 45,5%, факт - 45,5%).</w:t>
      </w:r>
    </w:p>
    <w:p>
      <w:pPr>
        <w:pStyle w:val="0"/>
        <w:ind w:firstLine="540"/>
        <w:jc w:val="both"/>
      </w:pPr>
      <w:r>
        <w:rPr>
          <w:sz w:val="20"/>
        </w:rPr>
      </w:r>
    </w:p>
    <w:p>
      <w:pPr>
        <w:pStyle w:val="2"/>
        <w:outlineLvl w:val="3"/>
        <w:jc w:val="center"/>
      </w:pPr>
      <w:r>
        <w:rPr>
          <w:sz w:val="20"/>
        </w:rPr>
        <w:t xml:space="preserve">1.5.1. Анализ деятельности медицинских организаций,</w:t>
      </w:r>
    </w:p>
    <w:p>
      <w:pPr>
        <w:pStyle w:val="2"/>
        <w:jc w:val="center"/>
      </w:pPr>
      <w:r>
        <w:rPr>
          <w:sz w:val="20"/>
        </w:rPr>
        <w:t xml:space="preserve">оказывающих медицинскую помощь по медицинской реабилитации</w:t>
      </w:r>
    </w:p>
    <w:p>
      <w:pPr>
        <w:pStyle w:val="2"/>
        <w:jc w:val="center"/>
      </w:pPr>
      <w:r>
        <w:rPr>
          <w:sz w:val="20"/>
        </w:rPr>
        <w:t xml:space="preserve">в автономном округе</w:t>
      </w:r>
    </w:p>
    <w:p>
      <w:pPr>
        <w:pStyle w:val="0"/>
        <w:jc w:val="center"/>
      </w:pPr>
      <w:r>
        <w:rPr>
          <w:sz w:val="20"/>
        </w:rPr>
      </w:r>
    </w:p>
    <w:p>
      <w:pPr>
        <w:pStyle w:val="0"/>
        <w:jc w:val="right"/>
      </w:pPr>
      <w:r>
        <w:rPr>
          <w:sz w:val="20"/>
        </w:rPr>
        <w:t xml:space="preserve">Таблица 6</w:t>
      </w:r>
    </w:p>
    <w:p>
      <w:pPr>
        <w:pStyle w:val="0"/>
        <w:jc w:val="right"/>
      </w:pPr>
      <w:r>
        <w:rPr>
          <w:sz w:val="20"/>
        </w:rPr>
      </w:r>
    </w:p>
    <w:p>
      <w:pPr>
        <w:pStyle w:val="0"/>
        <w:jc w:val="center"/>
      </w:pPr>
      <w:r>
        <w:rPr>
          <w:sz w:val="20"/>
        </w:rPr>
        <w:t xml:space="preserve">Информация о структурных подразделениях медицинских</w:t>
      </w:r>
    </w:p>
    <w:p>
      <w:pPr>
        <w:pStyle w:val="0"/>
        <w:jc w:val="center"/>
      </w:pPr>
      <w:r>
        <w:rPr>
          <w:sz w:val="20"/>
        </w:rPr>
        <w:t xml:space="preserve">организаций, оказывающих медицинскую помощь по медицинской</w:t>
      </w:r>
    </w:p>
    <w:p>
      <w:pPr>
        <w:pStyle w:val="0"/>
        <w:jc w:val="center"/>
      </w:pPr>
      <w:r>
        <w:rPr>
          <w:sz w:val="20"/>
        </w:rPr>
        <w:t xml:space="preserve">реабилитации</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"Окружной клинический лечебно-реабилитационный центр"</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Л041-01193-86/00351239</w:t>
            </w:r>
          </w:p>
          <w:p>
            <w:pPr>
              <w:pStyle w:val="0"/>
            </w:pPr>
            <w:r>
              <w:rPr>
                <w:sz w:val="20"/>
              </w:rPr>
              <w:t xml:space="preserve">от 15.04.2019</w:t>
            </w:r>
          </w:p>
          <w:p>
            <w:pPr>
              <w:pStyle w:val="0"/>
            </w:pPr>
            <w:r>
              <w:rPr>
                <w:sz w:val="20"/>
              </w:rPr>
              <w:t xml:space="preserve">при оказании первичной специализированной медико-санитарной помощи в амбулаторных условиях,</w:t>
            </w:r>
          </w:p>
          <w:p>
            <w:pPr>
              <w:pStyle w:val="0"/>
            </w:pPr>
            <w:r>
              <w:rPr>
                <w:sz w:val="20"/>
              </w:rPr>
              <w:t xml:space="preserve">при оказании специализированной медицинской помощи в условиях дневного стационара, при оказании специализированной медицинской помощи в стационарных условиях по:</w:t>
            </w:r>
          </w:p>
          <w:p>
            <w:pPr>
              <w:pStyle w:val="0"/>
            </w:pPr>
            <w:r>
              <w:rPr>
                <w:sz w:val="20"/>
              </w:rPr>
              <w:t xml:space="preserve">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2</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да</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нет</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2022</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76,9</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да</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Стационарное отделение медицинской реабилитации пациентов с нарушениями функций центральной нервной системы</w:t>
            </w:r>
          </w:p>
        </w:tc>
      </w:tr>
      <w:tr>
        <w:tc>
          <w:tcPr>
            <w:tcW w:w="544" w:type="dxa"/>
          </w:tcPr>
          <w:p>
            <w:pPr>
              <w:pStyle w:val="0"/>
            </w:pPr>
            <w:r>
              <w:rPr>
                <w:sz w:val="20"/>
              </w:rPr>
              <w:t xml:space="preserve">10.1</w:t>
            </w:r>
          </w:p>
        </w:tc>
        <w:tc>
          <w:tcPr>
            <w:tcW w:w="3572" w:type="dxa"/>
          </w:tcPr>
          <w:p>
            <w:pPr>
              <w:pStyle w:val="0"/>
            </w:pPr>
            <w:r>
              <w:rPr>
                <w:sz w:val="20"/>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0"/>
              </w:rPr>
              <w:t xml:space="preserve">15</w:t>
            </w:r>
          </w:p>
        </w:tc>
      </w:tr>
      <w:tr>
        <w:tc>
          <w:tcPr>
            <w:tcW w:w="544" w:type="dxa"/>
          </w:tcPr>
          <w:p>
            <w:pPr>
              <w:pStyle w:val="0"/>
            </w:pPr>
            <w:r>
              <w:rPr>
                <w:sz w:val="20"/>
              </w:rPr>
              <w:t xml:space="preserve">10.2</w:t>
            </w:r>
          </w:p>
        </w:tc>
        <w:tc>
          <w:tcPr>
            <w:tcW w:w="3572" w:type="dxa"/>
          </w:tcPr>
          <w:p>
            <w:pPr>
              <w:pStyle w:val="0"/>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0"/>
              </w:rPr>
              <w:t xml:space="preserve">77</w:t>
            </w:r>
          </w:p>
        </w:tc>
      </w:tr>
      <w:tr>
        <w:tc>
          <w:tcPr>
            <w:tcW w:w="544" w:type="dxa"/>
          </w:tcPr>
          <w:p>
            <w:pPr>
              <w:pStyle w:val="0"/>
            </w:pPr>
            <w:r>
              <w:rPr>
                <w:sz w:val="20"/>
              </w:rPr>
              <w:t xml:space="preserve">10.3</w:t>
            </w:r>
          </w:p>
        </w:tc>
        <w:tc>
          <w:tcPr>
            <w:tcW w:w="3572" w:type="dxa"/>
          </w:tcPr>
          <w:p>
            <w:pPr>
              <w:pStyle w:val="0"/>
            </w:pPr>
            <w:r>
              <w:rPr>
                <w:sz w:val="20"/>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0"/>
              </w:rPr>
              <w:t xml:space="preserve">1,03</w:t>
            </w:r>
          </w:p>
        </w:tc>
      </w:tr>
      <w:tr>
        <w:tc>
          <w:tcPr>
            <w:tcW w:w="544" w:type="dxa"/>
          </w:tcPr>
          <w:p>
            <w:pPr>
              <w:pStyle w:val="0"/>
            </w:pPr>
            <w:r>
              <w:rPr>
                <w:sz w:val="20"/>
              </w:rPr>
              <w:t xml:space="preserve">10.4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82,6</w:t>
            </w:r>
          </w:p>
        </w:tc>
      </w:tr>
      <w:tr>
        <w:tblPrEx>
          <w:tblBorders>
            <w:insideH w:val="nil"/>
          </w:tblBorders>
        </w:tblPrEx>
        <w:tc>
          <w:tcPr>
            <w:gridSpan w:val="3"/>
            <w:tcW w:w="8651" w:type="dxa"/>
            <w:tcBorders>
              <w:bottom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544" w:type="dxa"/>
            <w:tcBorders>
              <w:top w:val="nil"/>
            </w:tcBorders>
          </w:tcPr>
          <w:p>
            <w:pPr>
              <w:pStyle w:val="0"/>
            </w:pPr>
            <w:r>
              <w:rPr>
                <w:sz w:val="20"/>
              </w:rPr>
              <w:t xml:space="preserve">10.</w:t>
            </w:r>
          </w:p>
        </w:tc>
        <w:tc>
          <w:tcPr>
            <w:tcW w:w="3572" w:type="dxa"/>
            <w:tcBorders>
              <w:top w:val="nil"/>
            </w:tcBorders>
          </w:tcPr>
          <w:p>
            <w:pPr>
              <w:pStyle w:val="0"/>
            </w:pPr>
            <w:r>
              <w:rPr>
                <w:sz w:val="20"/>
              </w:rPr>
              <w:t xml:space="preserve">Наименование стационарного отделения медицинской реабилитации (для взрослых)</w:t>
            </w:r>
          </w:p>
        </w:tc>
        <w:tc>
          <w:tcPr>
            <w:tcW w:w="4535" w:type="dxa"/>
            <w:tcBorders>
              <w:top w:val="nil"/>
            </w:tcBorders>
          </w:tcPr>
          <w:p>
            <w:pPr>
              <w:pStyle w:val="0"/>
            </w:pPr>
            <w:r>
              <w:rPr>
                <w:sz w:val="20"/>
              </w:rPr>
              <w:t xml:space="preserve">Стационарное отделение медицинской реабилитации пациентов с нарушениями функций периферической нервной системы и костно-мышечной системы</w:t>
            </w:r>
          </w:p>
        </w:tc>
      </w:tr>
      <w:tr>
        <w:tc>
          <w:tcPr>
            <w:tcW w:w="544" w:type="dxa"/>
          </w:tcPr>
          <w:p>
            <w:pPr>
              <w:pStyle w:val="0"/>
            </w:pPr>
            <w:r>
              <w:rPr>
                <w:sz w:val="20"/>
              </w:rPr>
              <w:t xml:space="preserve">10.1</w:t>
            </w:r>
          </w:p>
        </w:tc>
        <w:tc>
          <w:tcPr>
            <w:tcW w:w="3572" w:type="dxa"/>
          </w:tcPr>
          <w:p>
            <w:pPr>
              <w:pStyle w:val="0"/>
            </w:pPr>
            <w:r>
              <w:rPr>
                <w:sz w:val="20"/>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0"/>
              </w:rPr>
              <w:t xml:space="preserve">30</w:t>
            </w:r>
          </w:p>
        </w:tc>
      </w:tr>
      <w:tr>
        <w:tc>
          <w:tcPr>
            <w:tcW w:w="544" w:type="dxa"/>
          </w:tcPr>
          <w:p>
            <w:pPr>
              <w:pStyle w:val="0"/>
            </w:pPr>
            <w:r>
              <w:rPr>
                <w:sz w:val="20"/>
              </w:rPr>
              <w:t xml:space="preserve">10.2</w:t>
            </w:r>
          </w:p>
        </w:tc>
        <w:tc>
          <w:tcPr>
            <w:tcW w:w="3572" w:type="dxa"/>
          </w:tcPr>
          <w:p>
            <w:pPr>
              <w:pStyle w:val="0"/>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0"/>
              </w:rPr>
              <w:t xml:space="preserve">77</w:t>
            </w:r>
          </w:p>
        </w:tc>
      </w:tr>
      <w:tr>
        <w:tc>
          <w:tcPr>
            <w:tcW w:w="544" w:type="dxa"/>
          </w:tcPr>
          <w:p>
            <w:pPr>
              <w:pStyle w:val="0"/>
            </w:pPr>
            <w:r>
              <w:rPr>
                <w:sz w:val="20"/>
              </w:rPr>
              <w:t xml:space="preserve">10.3</w:t>
            </w:r>
          </w:p>
        </w:tc>
        <w:tc>
          <w:tcPr>
            <w:tcW w:w="3572" w:type="dxa"/>
          </w:tcPr>
          <w:p>
            <w:pPr>
              <w:pStyle w:val="0"/>
            </w:pPr>
            <w:r>
              <w:rPr>
                <w:sz w:val="20"/>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0"/>
              </w:rPr>
              <w:t xml:space="preserve">1,6</w:t>
            </w:r>
          </w:p>
        </w:tc>
      </w:tr>
      <w:tr>
        <w:tc>
          <w:tcPr>
            <w:tcW w:w="544" w:type="dxa"/>
          </w:tcPr>
          <w:p>
            <w:pPr>
              <w:pStyle w:val="0"/>
            </w:pPr>
            <w:r>
              <w:rPr>
                <w:sz w:val="20"/>
              </w:rPr>
              <w:t xml:space="preserve">10.4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85,6</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Стационарное отделение медицинской реабилитации пациентов с соматическими заболеваниями</w:t>
            </w:r>
          </w:p>
        </w:tc>
      </w:tr>
      <w:tr>
        <w:tc>
          <w:tcPr>
            <w:tcW w:w="544" w:type="dxa"/>
          </w:tcPr>
          <w:p>
            <w:pPr>
              <w:pStyle w:val="0"/>
            </w:pPr>
            <w:r>
              <w:rPr>
                <w:sz w:val="20"/>
              </w:rPr>
              <w:t xml:space="preserve">10.1</w:t>
            </w:r>
          </w:p>
        </w:tc>
        <w:tc>
          <w:tcPr>
            <w:tcW w:w="3572" w:type="dxa"/>
          </w:tcPr>
          <w:p>
            <w:pPr>
              <w:pStyle w:val="0"/>
            </w:pPr>
            <w:r>
              <w:rPr>
                <w:sz w:val="20"/>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0"/>
              </w:rPr>
              <w:t xml:space="preserve">20</w:t>
            </w:r>
          </w:p>
        </w:tc>
      </w:tr>
      <w:tr>
        <w:tc>
          <w:tcPr>
            <w:tcW w:w="544" w:type="dxa"/>
          </w:tcPr>
          <w:p>
            <w:pPr>
              <w:pStyle w:val="0"/>
            </w:pPr>
            <w:r>
              <w:rPr>
                <w:sz w:val="20"/>
              </w:rPr>
              <w:t xml:space="preserve">10.2</w:t>
            </w:r>
          </w:p>
        </w:tc>
        <w:tc>
          <w:tcPr>
            <w:tcW w:w="3572" w:type="dxa"/>
          </w:tcPr>
          <w:p>
            <w:pPr>
              <w:pStyle w:val="0"/>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0"/>
              </w:rPr>
              <w:t xml:space="preserve">74</w:t>
            </w:r>
          </w:p>
        </w:tc>
      </w:tr>
      <w:tr>
        <w:tc>
          <w:tcPr>
            <w:tcW w:w="544" w:type="dxa"/>
          </w:tcPr>
          <w:p>
            <w:pPr>
              <w:pStyle w:val="0"/>
            </w:pPr>
            <w:r>
              <w:rPr>
                <w:sz w:val="20"/>
              </w:rPr>
              <w:t xml:space="preserve">10.3</w:t>
            </w:r>
          </w:p>
        </w:tc>
        <w:tc>
          <w:tcPr>
            <w:tcW w:w="3572" w:type="dxa"/>
          </w:tcPr>
          <w:p>
            <w:pPr>
              <w:pStyle w:val="0"/>
            </w:pPr>
            <w:r>
              <w:rPr>
                <w:sz w:val="20"/>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0"/>
              </w:rPr>
              <w:t xml:space="preserve">1</w:t>
            </w:r>
          </w:p>
        </w:tc>
      </w:tr>
      <w:tr>
        <w:tc>
          <w:tcPr>
            <w:tcW w:w="544" w:type="dxa"/>
          </w:tcPr>
          <w:p>
            <w:pPr>
              <w:pStyle w:val="0"/>
            </w:pPr>
            <w:r>
              <w:rPr>
                <w:sz w:val="20"/>
              </w:rPr>
              <w:t xml:space="preserve">10.4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76</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да</w:t>
            </w:r>
          </w:p>
        </w:tc>
      </w:tr>
      <w:tr>
        <w:tc>
          <w:tcPr>
            <w:tcW w:w="544" w:type="dxa"/>
          </w:tcPr>
          <w:p>
            <w:pPr>
              <w:pStyle w:val="0"/>
            </w:pPr>
            <w:r>
              <w:rPr>
                <w:sz w:val="20"/>
              </w:rPr>
              <w:t xml:space="preserve">11.1</w:t>
            </w:r>
          </w:p>
        </w:tc>
        <w:tc>
          <w:tcPr>
            <w:tcW w:w="3572" w:type="dxa"/>
          </w:tcPr>
          <w:p>
            <w:pPr>
              <w:pStyle w:val="0"/>
            </w:pPr>
            <w:r>
              <w:rPr>
                <w:sz w:val="20"/>
              </w:rPr>
              <w:t xml:space="preserve">Коечная мощность (указать число реабилитационных коек дневного стационара по состоянию на 01.01.2023)</w:t>
            </w:r>
          </w:p>
        </w:tc>
        <w:tc>
          <w:tcPr>
            <w:tcW w:w="4535" w:type="dxa"/>
          </w:tcPr>
          <w:p>
            <w:pPr>
              <w:pStyle w:val="0"/>
            </w:pPr>
            <w:r>
              <w:rPr>
                <w:sz w:val="20"/>
              </w:rPr>
              <w:t xml:space="preserve">30</w:t>
            </w:r>
          </w:p>
        </w:tc>
      </w:tr>
      <w:tr>
        <w:tc>
          <w:tcPr>
            <w:tcW w:w="544" w:type="dxa"/>
          </w:tcPr>
          <w:p>
            <w:pPr>
              <w:pStyle w:val="0"/>
            </w:pPr>
            <w:r>
              <w:rPr>
                <w:sz w:val="20"/>
              </w:rPr>
              <w:t xml:space="preserve">11.2</w:t>
            </w:r>
          </w:p>
        </w:tc>
        <w:tc>
          <w:tcPr>
            <w:tcW w:w="3572" w:type="dxa"/>
          </w:tcPr>
          <w:p>
            <w:pPr>
              <w:pStyle w:val="0"/>
            </w:pPr>
            <w:r>
              <w:rPr>
                <w:sz w:val="20"/>
              </w:rPr>
              <w:t xml:space="preserve">Укомплектованность кадрами дневного стационара медицинской реабилитации (для взрослых), с учетом совместительства (%)</w:t>
            </w:r>
          </w:p>
        </w:tc>
        <w:tc>
          <w:tcPr>
            <w:tcW w:w="4535" w:type="dxa"/>
          </w:tcPr>
          <w:p>
            <w:pPr>
              <w:pStyle w:val="0"/>
            </w:pPr>
            <w:r>
              <w:rPr>
                <w:sz w:val="20"/>
              </w:rPr>
              <w:t xml:space="preserve">80</w:t>
            </w:r>
          </w:p>
        </w:tc>
      </w:tr>
      <w:tr>
        <w:tc>
          <w:tcPr>
            <w:tcW w:w="544" w:type="dxa"/>
          </w:tcPr>
          <w:p>
            <w:pPr>
              <w:pStyle w:val="0"/>
            </w:pPr>
            <w:r>
              <w:rPr>
                <w:sz w:val="20"/>
              </w:rPr>
              <w:t xml:space="preserve">11.3</w:t>
            </w:r>
          </w:p>
        </w:tc>
        <w:tc>
          <w:tcPr>
            <w:tcW w:w="3572" w:type="dxa"/>
          </w:tcPr>
          <w:p>
            <w:pPr>
              <w:pStyle w:val="0"/>
            </w:pPr>
            <w:r>
              <w:rPr>
                <w:sz w:val="20"/>
              </w:rPr>
              <w:t xml:space="preserve">Коэффициент совместительства в дневном стационаре медицинской реабилитации (для взрослых)</w:t>
            </w:r>
          </w:p>
        </w:tc>
        <w:tc>
          <w:tcPr>
            <w:tcW w:w="4535" w:type="dxa"/>
          </w:tcPr>
          <w:p>
            <w:pPr>
              <w:pStyle w:val="0"/>
            </w:pPr>
            <w:r>
              <w:rPr>
                <w:sz w:val="20"/>
              </w:rPr>
              <w:t xml:space="preserve">1</w:t>
            </w:r>
          </w:p>
        </w:tc>
      </w:tr>
      <w:tr>
        <w:tc>
          <w:tcPr>
            <w:tcW w:w="544" w:type="dxa"/>
          </w:tcPr>
          <w:p>
            <w:pPr>
              <w:pStyle w:val="0"/>
            </w:pPr>
            <w:r>
              <w:rPr>
                <w:sz w:val="20"/>
              </w:rPr>
              <w:t xml:space="preserve">11.4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63,5</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да</w:t>
            </w:r>
          </w:p>
        </w:tc>
      </w:tr>
      <w:tr>
        <w:tc>
          <w:tcPr>
            <w:tcW w:w="544" w:type="dxa"/>
          </w:tcPr>
          <w:p>
            <w:pPr>
              <w:pStyle w:val="0"/>
            </w:pPr>
            <w:r>
              <w:rPr>
                <w:sz w:val="20"/>
              </w:rPr>
              <w:t xml:space="preserve">13.1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125</w:t>
            </w:r>
          </w:p>
        </w:tc>
      </w:tr>
      <w:tr>
        <w:tc>
          <w:tcPr>
            <w:tcW w:w="544" w:type="dxa"/>
          </w:tcPr>
          <w:p>
            <w:pPr>
              <w:pStyle w:val="0"/>
            </w:pPr>
            <w:r>
              <w:rPr>
                <w:sz w:val="20"/>
              </w:rPr>
              <w:t xml:space="preserve">13.2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77</w:t>
            </w:r>
          </w:p>
        </w:tc>
      </w:tr>
      <w:tr>
        <w:tc>
          <w:tcPr>
            <w:tcW w:w="544" w:type="dxa"/>
          </w:tcPr>
          <w:p>
            <w:pPr>
              <w:pStyle w:val="0"/>
            </w:pPr>
            <w:r>
              <w:rPr>
                <w:sz w:val="20"/>
              </w:rPr>
              <w:t xml:space="preserve">13.3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1,25</w:t>
            </w:r>
          </w:p>
        </w:tc>
      </w:tr>
      <w:tr>
        <w:tc>
          <w:tcPr>
            <w:tcW w:w="544" w:type="dxa"/>
          </w:tcPr>
          <w:p>
            <w:pPr>
              <w:pStyle w:val="0"/>
            </w:pPr>
            <w:r>
              <w:rPr>
                <w:sz w:val="20"/>
              </w:rPr>
              <w:t xml:space="preserve">13.4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78,6</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"Лангепасская городская больница"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Л041-01193-86/00324185</w:t>
            </w:r>
          </w:p>
          <w:p>
            <w:pPr>
              <w:pStyle w:val="0"/>
            </w:pPr>
            <w:r>
              <w:rPr>
                <w:sz w:val="20"/>
              </w:rPr>
              <w:t xml:space="preserve">от 31.05.2019 при оказании первичной специализированной медико-санитарной помощи в амбулаторных условиях, при оказании специализированной медицинской помощи в стационарных условиях по:</w:t>
            </w:r>
          </w:p>
          <w:p>
            <w:pPr>
              <w:pStyle w:val="0"/>
            </w:pPr>
            <w:r>
              <w:rPr>
                <w:sz w:val="20"/>
              </w:rPr>
              <w:t xml:space="preserve">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2</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39,7</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2022</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2022 года (%)</w:t>
            </w:r>
          </w:p>
        </w:tc>
        <w:tc>
          <w:tcPr>
            <w:tcW w:w="4535" w:type="dxa"/>
          </w:tcPr>
          <w:p>
            <w:pPr>
              <w:pStyle w:val="0"/>
            </w:pPr>
            <w:r>
              <w:rPr>
                <w:sz w:val="20"/>
              </w:rPr>
              <w:t xml:space="preserve">99,0</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да</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Стационарное отделение медицинской реабилитации пациентов с соматическими заболеваниями</w:t>
            </w:r>
          </w:p>
        </w:tc>
      </w:tr>
      <w:tr>
        <w:tc>
          <w:tcPr>
            <w:tcW w:w="544" w:type="dxa"/>
          </w:tcPr>
          <w:p>
            <w:pPr>
              <w:pStyle w:val="0"/>
            </w:pPr>
            <w:r>
              <w:rPr>
                <w:sz w:val="20"/>
              </w:rPr>
              <w:t xml:space="preserve">10.1</w:t>
            </w:r>
          </w:p>
        </w:tc>
        <w:tc>
          <w:tcPr>
            <w:tcW w:w="3572" w:type="dxa"/>
          </w:tcPr>
          <w:p>
            <w:pPr>
              <w:pStyle w:val="0"/>
            </w:pPr>
            <w:r>
              <w:rPr>
                <w:sz w:val="20"/>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0"/>
              </w:rPr>
              <w:t xml:space="preserve">20</w:t>
            </w:r>
          </w:p>
        </w:tc>
      </w:tr>
      <w:tr>
        <w:tc>
          <w:tcPr>
            <w:tcW w:w="544" w:type="dxa"/>
          </w:tcPr>
          <w:p>
            <w:pPr>
              <w:pStyle w:val="0"/>
            </w:pPr>
            <w:r>
              <w:rPr>
                <w:sz w:val="20"/>
              </w:rPr>
              <w:t xml:space="preserve">10.2</w:t>
            </w:r>
          </w:p>
        </w:tc>
        <w:tc>
          <w:tcPr>
            <w:tcW w:w="3572" w:type="dxa"/>
          </w:tcPr>
          <w:p>
            <w:pPr>
              <w:pStyle w:val="0"/>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0"/>
              </w:rPr>
              <w:t xml:space="preserve">83,5</w:t>
            </w:r>
          </w:p>
        </w:tc>
      </w:tr>
      <w:tr>
        <w:tc>
          <w:tcPr>
            <w:tcW w:w="544" w:type="dxa"/>
          </w:tcPr>
          <w:p>
            <w:pPr>
              <w:pStyle w:val="0"/>
            </w:pPr>
            <w:r>
              <w:rPr>
                <w:sz w:val="20"/>
              </w:rPr>
              <w:t xml:space="preserve">10.3</w:t>
            </w:r>
          </w:p>
        </w:tc>
        <w:tc>
          <w:tcPr>
            <w:tcW w:w="3572" w:type="dxa"/>
          </w:tcPr>
          <w:p>
            <w:pPr>
              <w:pStyle w:val="0"/>
            </w:pPr>
            <w:r>
              <w:rPr>
                <w:sz w:val="20"/>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0"/>
              </w:rPr>
              <w:t xml:space="preserve">1,5</w:t>
            </w:r>
          </w:p>
        </w:tc>
      </w:tr>
      <w:tr>
        <w:tc>
          <w:tcPr>
            <w:tcW w:w="544" w:type="dxa"/>
          </w:tcPr>
          <w:p>
            <w:pPr>
              <w:pStyle w:val="0"/>
            </w:pPr>
            <w:r>
              <w:rPr>
                <w:sz w:val="20"/>
              </w:rPr>
              <w:t xml:space="preserve">10.4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99,0</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да</w:t>
            </w:r>
          </w:p>
        </w:tc>
      </w:tr>
      <w:tr>
        <w:tc>
          <w:tcPr>
            <w:tcW w:w="544" w:type="dxa"/>
          </w:tcPr>
          <w:p>
            <w:pPr>
              <w:pStyle w:val="0"/>
            </w:pPr>
            <w:r>
              <w:rPr>
                <w:sz w:val="20"/>
              </w:rPr>
              <w:t xml:space="preserve">13.1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12</w:t>
            </w:r>
          </w:p>
        </w:tc>
      </w:tr>
      <w:tr>
        <w:tc>
          <w:tcPr>
            <w:tcW w:w="544" w:type="dxa"/>
          </w:tcPr>
          <w:p>
            <w:pPr>
              <w:pStyle w:val="0"/>
            </w:pPr>
            <w:r>
              <w:rPr>
                <w:sz w:val="20"/>
              </w:rPr>
              <w:t xml:space="preserve">13.2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96,8</w:t>
            </w:r>
          </w:p>
        </w:tc>
      </w:tr>
      <w:tr>
        <w:tc>
          <w:tcPr>
            <w:tcW w:w="544" w:type="dxa"/>
          </w:tcPr>
          <w:p>
            <w:pPr>
              <w:pStyle w:val="0"/>
            </w:pPr>
            <w:r>
              <w:rPr>
                <w:sz w:val="20"/>
              </w:rPr>
              <w:t xml:space="preserve">13.3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1,2</w:t>
            </w:r>
          </w:p>
        </w:tc>
      </w:tr>
      <w:tr>
        <w:tc>
          <w:tcPr>
            <w:tcW w:w="544" w:type="dxa"/>
          </w:tcPr>
          <w:p>
            <w:pPr>
              <w:pStyle w:val="0"/>
            </w:pPr>
            <w:r>
              <w:rPr>
                <w:sz w:val="20"/>
              </w:rPr>
              <w:t xml:space="preserve">13.4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99,0</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"Нижневартовская окружная клиническая больница"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Л041-01193-86/00553275</w:t>
            </w:r>
          </w:p>
          <w:p>
            <w:pPr>
              <w:pStyle w:val="0"/>
            </w:pPr>
            <w:r>
              <w:rPr>
                <w:sz w:val="20"/>
              </w:rPr>
              <w:t xml:space="preserve">от 22.12.2020 при оказании специализированной медицинской помощи в условиях дневного стационара,</w:t>
            </w:r>
          </w:p>
          <w:p>
            <w:pPr>
              <w:pStyle w:val="0"/>
            </w:pPr>
            <w:r>
              <w:rPr>
                <w:sz w:val="20"/>
              </w:rPr>
              <w:t xml:space="preserve">при оказании специализированной медицинской помощи в стационарных условиях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3</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0</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2022</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78,66</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да</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Стационарное отделение медицинской реабилитации пациентов с нарушениями функций центральной нервной системы</w:t>
            </w:r>
          </w:p>
        </w:tc>
      </w:tr>
      <w:tr>
        <w:tc>
          <w:tcPr>
            <w:tcW w:w="544" w:type="dxa"/>
          </w:tcPr>
          <w:p>
            <w:pPr>
              <w:pStyle w:val="0"/>
            </w:pPr>
            <w:r>
              <w:rPr>
                <w:sz w:val="20"/>
              </w:rPr>
              <w:t xml:space="preserve">10.1</w:t>
            </w:r>
          </w:p>
        </w:tc>
        <w:tc>
          <w:tcPr>
            <w:tcW w:w="3572" w:type="dxa"/>
          </w:tcPr>
          <w:p>
            <w:pPr>
              <w:pStyle w:val="0"/>
            </w:pPr>
            <w:r>
              <w:rPr>
                <w:sz w:val="20"/>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0"/>
              </w:rPr>
              <w:t xml:space="preserve">30</w:t>
            </w:r>
          </w:p>
        </w:tc>
      </w:tr>
      <w:tr>
        <w:tc>
          <w:tcPr>
            <w:tcW w:w="544" w:type="dxa"/>
          </w:tcPr>
          <w:p>
            <w:pPr>
              <w:pStyle w:val="0"/>
            </w:pPr>
            <w:r>
              <w:rPr>
                <w:sz w:val="20"/>
              </w:rPr>
              <w:t xml:space="preserve">10.2</w:t>
            </w:r>
          </w:p>
        </w:tc>
        <w:tc>
          <w:tcPr>
            <w:tcW w:w="3572" w:type="dxa"/>
          </w:tcPr>
          <w:p>
            <w:pPr>
              <w:pStyle w:val="0"/>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0"/>
              </w:rPr>
              <w:t xml:space="preserve">97</w:t>
            </w:r>
          </w:p>
        </w:tc>
      </w:tr>
      <w:tr>
        <w:tc>
          <w:tcPr>
            <w:tcW w:w="544" w:type="dxa"/>
          </w:tcPr>
          <w:p>
            <w:pPr>
              <w:pStyle w:val="0"/>
            </w:pPr>
            <w:r>
              <w:rPr>
                <w:sz w:val="20"/>
              </w:rPr>
              <w:t xml:space="preserve">10.3</w:t>
            </w:r>
          </w:p>
        </w:tc>
        <w:tc>
          <w:tcPr>
            <w:tcW w:w="3572" w:type="dxa"/>
          </w:tcPr>
          <w:p>
            <w:pPr>
              <w:pStyle w:val="0"/>
            </w:pPr>
            <w:r>
              <w:rPr>
                <w:sz w:val="20"/>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0"/>
              </w:rPr>
              <w:t xml:space="preserve">1,1</w:t>
            </w:r>
          </w:p>
        </w:tc>
      </w:tr>
      <w:tr>
        <w:tc>
          <w:tcPr>
            <w:tcW w:w="544" w:type="dxa"/>
          </w:tcPr>
          <w:p>
            <w:pPr>
              <w:pStyle w:val="0"/>
            </w:pPr>
            <w:r>
              <w:rPr>
                <w:sz w:val="20"/>
              </w:rPr>
              <w:t xml:space="preserve">10.4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83,62</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Стационарное отделение медицинской реабилитации пациентов с нарушениями функций периферической нервной системы и костно-мышечной системы</w:t>
            </w:r>
          </w:p>
        </w:tc>
      </w:tr>
      <w:tr>
        <w:tc>
          <w:tcPr>
            <w:tcW w:w="544" w:type="dxa"/>
          </w:tcPr>
          <w:p>
            <w:pPr>
              <w:pStyle w:val="0"/>
            </w:pPr>
            <w:r>
              <w:rPr>
                <w:sz w:val="20"/>
              </w:rPr>
              <w:t xml:space="preserve">10.1</w:t>
            </w:r>
          </w:p>
        </w:tc>
        <w:tc>
          <w:tcPr>
            <w:tcW w:w="3572" w:type="dxa"/>
          </w:tcPr>
          <w:p>
            <w:pPr>
              <w:pStyle w:val="0"/>
            </w:pPr>
            <w:r>
              <w:rPr>
                <w:sz w:val="20"/>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0"/>
              </w:rPr>
              <w:t xml:space="preserve">35</w:t>
            </w:r>
          </w:p>
        </w:tc>
      </w:tr>
      <w:tr>
        <w:tc>
          <w:tcPr>
            <w:tcW w:w="544" w:type="dxa"/>
          </w:tcPr>
          <w:p>
            <w:pPr>
              <w:pStyle w:val="0"/>
            </w:pPr>
            <w:r>
              <w:rPr>
                <w:sz w:val="20"/>
              </w:rPr>
              <w:t xml:space="preserve">10.2</w:t>
            </w:r>
          </w:p>
        </w:tc>
        <w:tc>
          <w:tcPr>
            <w:tcW w:w="3572" w:type="dxa"/>
          </w:tcPr>
          <w:p>
            <w:pPr>
              <w:pStyle w:val="0"/>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0"/>
              </w:rPr>
              <w:t xml:space="preserve">97</w:t>
            </w:r>
          </w:p>
        </w:tc>
      </w:tr>
      <w:tr>
        <w:tc>
          <w:tcPr>
            <w:tcW w:w="544" w:type="dxa"/>
          </w:tcPr>
          <w:p>
            <w:pPr>
              <w:pStyle w:val="0"/>
            </w:pPr>
            <w:r>
              <w:rPr>
                <w:sz w:val="20"/>
              </w:rPr>
              <w:t xml:space="preserve">10.3</w:t>
            </w:r>
          </w:p>
        </w:tc>
        <w:tc>
          <w:tcPr>
            <w:tcW w:w="3572" w:type="dxa"/>
          </w:tcPr>
          <w:p>
            <w:pPr>
              <w:pStyle w:val="0"/>
            </w:pPr>
            <w:r>
              <w:rPr>
                <w:sz w:val="20"/>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0"/>
              </w:rPr>
              <w:t xml:space="preserve">1,0</w:t>
            </w:r>
          </w:p>
        </w:tc>
      </w:tr>
      <w:tr>
        <w:tc>
          <w:tcPr>
            <w:tcW w:w="544" w:type="dxa"/>
          </w:tcPr>
          <w:p>
            <w:pPr>
              <w:pStyle w:val="0"/>
            </w:pPr>
            <w:r>
              <w:rPr>
                <w:sz w:val="20"/>
              </w:rPr>
              <w:t xml:space="preserve">10.4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75</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Стационарное отделение медицинской реабилитации пациентов с соматическими заболеваниями</w:t>
            </w:r>
          </w:p>
        </w:tc>
      </w:tr>
      <w:tr>
        <w:tc>
          <w:tcPr>
            <w:tcW w:w="544" w:type="dxa"/>
          </w:tcPr>
          <w:p>
            <w:pPr>
              <w:pStyle w:val="0"/>
            </w:pPr>
            <w:r>
              <w:rPr>
                <w:sz w:val="20"/>
              </w:rPr>
              <w:t xml:space="preserve">10.1</w:t>
            </w:r>
          </w:p>
        </w:tc>
        <w:tc>
          <w:tcPr>
            <w:tcW w:w="3572" w:type="dxa"/>
          </w:tcPr>
          <w:p>
            <w:pPr>
              <w:pStyle w:val="0"/>
            </w:pPr>
            <w:r>
              <w:rPr>
                <w:sz w:val="20"/>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0"/>
              </w:rPr>
              <w:t xml:space="preserve">15</w:t>
            </w:r>
          </w:p>
        </w:tc>
      </w:tr>
      <w:tr>
        <w:tc>
          <w:tcPr>
            <w:tcW w:w="544" w:type="dxa"/>
          </w:tcPr>
          <w:p>
            <w:pPr>
              <w:pStyle w:val="0"/>
            </w:pPr>
            <w:r>
              <w:rPr>
                <w:sz w:val="20"/>
              </w:rPr>
              <w:t xml:space="preserve">10.2</w:t>
            </w:r>
          </w:p>
        </w:tc>
        <w:tc>
          <w:tcPr>
            <w:tcW w:w="3572" w:type="dxa"/>
          </w:tcPr>
          <w:p>
            <w:pPr>
              <w:pStyle w:val="0"/>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0"/>
              </w:rPr>
              <w:t xml:space="preserve">80</w:t>
            </w:r>
          </w:p>
        </w:tc>
      </w:tr>
      <w:tr>
        <w:tc>
          <w:tcPr>
            <w:tcW w:w="544" w:type="dxa"/>
          </w:tcPr>
          <w:p>
            <w:pPr>
              <w:pStyle w:val="0"/>
            </w:pPr>
            <w:r>
              <w:rPr>
                <w:sz w:val="20"/>
              </w:rPr>
              <w:t xml:space="preserve">10.3</w:t>
            </w:r>
          </w:p>
        </w:tc>
        <w:tc>
          <w:tcPr>
            <w:tcW w:w="3572" w:type="dxa"/>
          </w:tcPr>
          <w:p>
            <w:pPr>
              <w:pStyle w:val="0"/>
            </w:pPr>
            <w:r>
              <w:rPr>
                <w:sz w:val="20"/>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0"/>
              </w:rPr>
              <w:t xml:space="preserve">1,2</w:t>
            </w:r>
          </w:p>
        </w:tc>
      </w:tr>
      <w:tr>
        <w:tc>
          <w:tcPr>
            <w:tcW w:w="544" w:type="dxa"/>
          </w:tcPr>
          <w:p>
            <w:pPr>
              <w:pStyle w:val="0"/>
            </w:pPr>
            <w:r>
              <w:rPr>
                <w:sz w:val="20"/>
              </w:rPr>
              <w:t xml:space="preserve">10.4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74</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да</w:t>
            </w:r>
          </w:p>
        </w:tc>
      </w:tr>
      <w:tr>
        <w:tc>
          <w:tcPr>
            <w:tcW w:w="544" w:type="dxa"/>
          </w:tcPr>
          <w:p>
            <w:pPr>
              <w:pStyle w:val="0"/>
            </w:pPr>
            <w:r>
              <w:rPr>
                <w:sz w:val="20"/>
              </w:rPr>
              <w:t xml:space="preserve">11.1</w:t>
            </w:r>
          </w:p>
        </w:tc>
        <w:tc>
          <w:tcPr>
            <w:tcW w:w="3572" w:type="dxa"/>
          </w:tcPr>
          <w:p>
            <w:pPr>
              <w:pStyle w:val="0"/>
            </w:pPr>
            <w:r>
              <w:rPr>
                <w:sz w:val="20"/>
              </w:rPr>
              <w:t xml:space="preserve">Коечная мощность (указать число реабилитационных коек дневного стационара по состоянию на 01.01.2023)</w:t>
            </w:r>
          </w:p>
        </w:tc>
        <w:tc>
          <w:tcPr>
            <w:tcW w:w="4535" w:type="dxa"/>
          </w:tcPr>
          <w:p>
            <w:pPr>
              <w:pStyle w:val="0"/>
            </w:pPr>
            <w:r>
              <w:rPr>
                <w:sz w:val="20"/>
              </w:rPr>
              <w:t xml:space="preserve">40</w:t>
            </w:r>
          </w:p>
        </w:tc>
      </w:tr>
      <w:tr>
        <w:tc>
          <w:tcPr>
            <w:tcW w:w="544" w:type="dxa"/>
          </w:tcPr>
          <w:p>
            <w:pPr>
              <w:pStyle w:val="0"/>
            </w:pPr>
            <w:r>
              <w:rPr>
                <w:sz w:val="20"/>
              </w:rPr>
              <w:t xml:space="preserve">11.2</w:t>
            </w:r>
          </w:p>
        </w:tc>
        <w:tc>
          <w:tcPr>
            <w:tcW w:w="3572" w:type="dxa"/>
          </w:tcPr>
          <w:p>
            <w:pPr>
              <w:pStyle w:val="0"/>
            </w:pPr>
            <w:r>
              <w:rPr>
                <w:sz w:val="20"/>
              </w:rPr>
              <w:t xml:space="preserve">Укомплектованность кадрами дневного стационара медицинской реабилитации (для взрослых), с учетом совместительства (%)</w:t>
            </w:r>
          </w:p>
        </w:tc>
        <w:tc>
          <w:tcPr>
            <w:tcW w:w="4535" w:type="dxa"/>
          </w:tcPr>
          <w:p>
            <w:pPr>
              <w:pStyle w:val="0"/>
            </w:pPr>
            <w:r>
              <w:rPr>
                <w:sz w:val="20"/>
              </w:rPr>
              <w:t xml:space="preserve">100</w:t>
            </w:r>
          </w:p>
        </w:tc>
      </w:tr>
      <w:tr>
        <w:tc>
          <w:tcPr>
            <w:tcW w:w="544" w:type="dxa"/>
          </w:tcPr>
          <w:p>
            <w:pPr>
              <w:pStyle w:val="0"/>
            </w:pPr>
            <w:r>
              <w:rPr>
                <w:sz w:val="20"/>
              </w:rPr>
              <w:t xml:space="preserve">11.3</w:t>
            </w:r>
          </w:p>
        </w:tc>
        <w:tc>
          <w:tcPr>
            <w:tcW w:w="3572" w:type="dxa"/>
          </w:tcPr>
          <w:p>
            <w:pPr>
              <w:pStyle w:val="0"/>
            </w:pPr>
            <w:r>
              <w:rPr>
                <w:sz w:val="20"/>
              </w:rPr>
              <w:t xml:space="preserve">Коэффициент совместительства в дневном стационаре медицинской реабилитации (для взрослых)</w:t>
            </w:r>
          </w:p>
        </w:tc>
        <w:tc>
          <w:tcPr>
            <w:tcW w:w="4535" w:type="dxa"/>
          </w:tcPr>
          <w:p>
            <w:pPr>
              <w:pStyle w:val="0"/>
            </w:pPr>
            <w:r>
              <w:rPr>
                <w:sz w:val="20"/>
              </w:rPr>
              <w:t xml:space="preserve">1,0</w:t>
            </w:r>
          </w:p>
        </w:tc>
      </w:tr>
      <w:tr>
        <w:tc>
          <w:tcPr>
            <w:tcW w:w="544" w:type="dxa"/>
          </w:tcPr>
          <w:p>
            <w:pPr>
              <w:pStyle w:val="0"/>
            </w:pPr>
            <w:r>
              <w:rPr>
                <w:sz w:val="20"/>
              </w:rPr>
              <w:t xml:space="preserve">11.4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82</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нет</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"Урайская окружная больница медицинской реабилитации"</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Л041-01193-86/00344625</w:t>
            </w:r>
          </w:p>
          <w:p>
            <w:pPr>
              <w:pStyle w:val="0"/>
            </w:pPr>
            <w:r>
              <w:rPr>
                <w:sz w:val="20"/>
              </w:rPr>
              <w:t xml:space="preserve">от 21.02.2019 при оказании специализированной медицинской помощи в условиях дневного стационара, при оказании специализированной медицинской помощи в стационарных условиях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2</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нет</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2023</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2022 года (%)</w:t>
            </w:r>
          </w:p>
        </w:tc>
        <w:tc>
          <w:tcPr>
            <w:tcW w:w="4535" w:type="dxa"/>
          </w:tcPr>
          <w:p>
            <w:pPr>
              <w:pStyle w:val="0"/>
            </w:pPr>
            <w:r>
              <w:rPr>
                <w:sz w:val="20"/>
              </w:rPr>
              <w:t xml:space="preserve">70,0</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да</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Стационарное отделение медицинской реабилитации пациентов с нарушением функции центральной нервной системы</w:t>
            </w:r>
          </w:p>
        </w:tc>
      </w:tr>
      <w:tr>
        <w:tc>
          <w:tcPr>
            <w:tcW w:w="544" w:type="dxa"/>
          </w:tcPr>
          <w:p>
            <w:pPr>
              <w:pStyle w:val="0"/>
            </w:pPr>
            <w:r>
              <w:rPr>
                <w:sz w:val="20"/>
              </w:rPr>
              <w:t xml:space="preserve">10.1</w:t>
            </w:r>
          </w:p>
        </w:tc>
        <w:tc>
          <w:tcPr>
            <w:tcW w:w="3572" w:type="dxa"/>
          </w:tcPr>
          <w:p>
            <w:pPr>
              <w:pStyle w:val="0"/>
            </w:pPr>
            <w:r>
              <w:rPr>
                <w:sz w:val="20"/>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0"/>
              </w:rPr>
              <w:t xml:space="preserve">76</w:t>
            </w:r>
          </w:p>
        </w:tc>
      </w:tr>
      <w:tr>
        <w:tc>
          <w:tcPr>
            <w:tcW w:w="544" w:type="dxa"/>
          </w:tcPr>
          <w:p>
            <w:pPr>
              <w:pStyle w:val="0"/>
            </w:pPr>
            <w:r>
              <w:rPr>
                <w:sz w:val="20"/>
              </w:rPr>
              <w:t xml:space="preserve">10.2</w:t>
            </w:r>
          </w:p>
        </w:tc>
        <w:tc>
          <w:tcPr>
            <w:tcW w:w="3572" w:type="dxa"/>
          </w:tcPr>
          <w:p>
            <w:pPr>
              <w:pStyle w:val="0"/>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0"/>
              </w:rPr>
              <w:t xml:space="preserve">97</w:t>
            </w:r>
          </w:p>
        </w:tc>
      </w:tr>
      <w:tr>
        <w:tc>
          <w:tcPr>
            <w:tcW w:w="544" w:type="dxa"/>
          </w:tcPr>
          <w:p>
            <w:pPr>
              <w:pStyle w:val="0"/>
            </w:pPr>
            <w:r>
              <w:rPr>
                <w:sz w:val="20"/>
              </w:rPr>
              <w:t xml:space="preserve">10.3</w:t>
            </w:r>
          </w:p>
        </w:tc>
        <w:tc>
          <w:tcPr>
            <w:tcW w:w="3572" w:type="dxa"/>
          </w:tcPr>
          <w:p>
            <w:pPr>
              <w:pStyle w:val="0"/>
            </w:pPr>
            <w:r>
              <w:rPr>
                <w:sz w:val="20"/>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0"/>
              </w:rPr>
              <w:t xml:space="preserve">1,5</w:t>
            </w:r>
          </w:p>
        </w:tc>
      </w:tr>
      <w:tr>
        <w:tc>
          <w:tcPr>
            <w:tcW w:w="544" w:type="dxa"/>
          </w:tcPr>
          <w:p>
            <w:pPr>
              <w:pStyle w:val="0"/>
            </w:pPr>
            <w:r>
              <w:rPr>
                <w:sz w:val="20"/>
              </w:rPr>
              <w:t xml:space="preserve">10.4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70,0</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да</w:t>
            </w:r>
          </w:p>
        </w:tc>
      </w:tr>
      <w:tr>
        <w:tc>
          <w:tcPr>
            <w:tcW w:w="544" w:type="dxa"/>
          </w:tcPr>
          <w:p>
            <w:pPr>
              <w:pStyle w:val="0"/>
            </w:pPr>
            <w:r>
              <w:rPr>
                <w:sz w:val="20"/>
              </w:rPr>
              <w:t xml:space="preserve">11.1</w:t>
            </w:r>
          </w:p>
        </w:tc>
        <w:tc>
          <w:tcPr>
            <w:tcW w:w="3572" w:type="dxa"/>
          </w:tcPr>
          <w:p>
            <w:pPr>
              <w:pStyle w:val="0"/>
            </w:pPr>
            <w:r>
              <w:rPr>
                <w:sz w:val="20"/>
              </w:rPr>
              <w:t xml:space="preserve">Коечная мощность (указать число реабилитационных коек дневного стационара по состоянию на 01.01.2023)</w:t>
            </w:r>
          </w:p>
        </w:tc>
        <w:tc>
          <w:tcPr>
            <w:tcW w:w="4535" w:type="dxa"/>
          </w:tcPr>
          <w:p>
            <w:pPr>
              <w:pStyle w:val="0"/>
            </w:pPr>
            <w:r>
              <w:rPr>
                <w:sz w:val="20"/>
              </w:rPr>
              <w:t xml:space="preserve">25</w:t>
            </w:r>
          </w:p>
        </w:tc>
      </w:tr>
      <w:tr>
        <w:tc>
          <w:tcPr>
            <w:tcW w:w="544" w:type="dxa"/>
          </w:tcPr>
          <w:p>
            <w:pPr>
              <w:pStyle w:val="0"/>
            </w:pPr>
            <w:r>
              <w:rPr>
                <w:sz w:val="20"/>
              </w:rPr>
              <w:t xml:space="preserve">11.2</w:t>
            </w:r>
          </w:p>
        </w:tc>
        <w:tc>
          <w:tcPr>
            <w:tcW w:w="3572" w:type="dxa"/>
          </w:tcPr>
          <w:p>
            <w:pPr>
              <w:pStyle w:val="0"/>
            </w:pPr>
            <w:r>
              <w:rPr>
                <w:sz w:val="20"/>
              </w:rPr>
              <w:t xml:space="preserve">Укомплектованность кадрами дневного стационара медицинской реабилитации (для взрослых), с учетом совместительства (%)</w:t>
            </w:r>
          </w:p>
        </w:tc>
        <w:tc>
          <w:tcPr>
            <w:tcW w:w="4535" w:type="dxa"/>
          </w:tcPr>
          <w:p>
            <w:pPr>
              <w:pStyle w:val="0"/>
            </w:pPr>
            <w:r>
              <w:rPr>
                <w:sz w:val="20"/>
              </w:rPr>
              <w:t xml:space="preserve">100</w:t>
            </w:r>
          </w:p>
        </w:tc>
      </w:tr>
      <w:tr>
        <w:tc>
          <w:tcPr>
            <w:tcW w:w="544" w:type="dxa"/>
          </w:tcPr>
          <w:p>
            <w:pPr>
              <w:pStyle w:val="0"/>
            </w:pPr>
            <w:r>
              <w:rPr>
                <w:sz w:val="20"/>
              </w:rPr>
              <w:t xml:space="preserve">11.3</w:t>
            </w:r>
          </w:p>
        </w:tc>
        <w:tc>
          <w:tcPr>
            <w:tcW w:w="3572" w:type="dxa"/>
          </w:tcPr>
          <w:p>
            <w:pPr>
              <w:pStyle w:val="0"/>
            </w:pPr>
            <w:r>
              <w:rPr>
                <w:sz w:val="20"/>
              </w:rPr>
              <w:t xml:space="preserve">Коэффициент совместительства в дневном стационаре медицинской реабилитации (для взрослых)</w:t>
            </w:r>
          </w:p>
        </w:tc>
        <w:tc>
          <w:tcPr>
            <w:tcW w:w="4535" w:type="dxa"/>
          </w:tcPr>
          <w:p>
            <w:pPr>
              <w:pStyle w:val="0"/>
            </w:pPr>
            <w:r>
              <w:rPr>
                <w:sz w:val="20"/>
              </w:rPr>
              <w:t xml:space="preserve">1,25</w:t>
            </w:r>
          </w:p>
        </w:tc>
      </w:tr>
      <w:tr>
        <w:tc>
          <w:tcPr>
            <w:tcW w:w="544" w:type="dxa"/>
          </w:tcPr>
          <w:p>
            <w:pPr>
              <w:pStyle w:val="0"/>
            </w:pPr>
            <w:r>
              <w:rPr>
                <w:sz w:val="20"/>
              </w:rPr>
              <w:t xml:space="preserve">11.4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70,0</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нет</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"Окружной кардиологический диспансер "Центр диагностики и сердечно-сосудистой хирургии"</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Л041-01193-86/00562710</w:t>
            </w:r>
          </w:p>
          <w:p>
            <w:pPr>
              <w:pStyle w:val="0"/>
            </w:pPr>
            <w:r>
              <w:rPr>
                <w:sz w:val="20"/>
              </w:rPr>
              <w:t xml:space="preserve">от 27.06.2019 при оказании первичной специализированной медико-санитарной помощи в амбулаторных условиях,</w:t>
            </w:r>
          </w:p>
          <w:p>
            <w:pPr>
              <w:pStyle w:val="0"/>
            </w:pPr>
            <w:r>
              <w:rPr>
                <w:sz w:val="20"/>
              </w:rPr>
              <w:t xml:space="preserve">при оказании специализированной медицинской помощи в стационарных условиях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2</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нет</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2023</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2022 года (%)</w:t>
            </w:r>
          </w:p>
        </w:tc>
        <w:tc>
          <w:tcPr>
            <w:tcW w:w="4535" w:type="dxa"/>
          </w:tcPr>
          <w:p>
            <w:pPr>
              <w:pStyle w:val="0"/>
            </w:pPr>
            <w:r>
              <w:rPr>
                <w:sz w:val="20"/>
              </w:rPr>
              <w:t xml:space="preserve">41,00</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да</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Отделение ранней медицинской реабилитации</w:t>
            </w:r>
          </w:p>
        </w:tc>
      </w:tr>
      <w:tr>
        <w:tc>
          <w:tcPr>
            <w:tcW w:w="544" w:type="dxa"/>
          </w:tcPr>
          <w:p>
            <w:pPr>
              <w:pStyle w:val="0"/>
            </w:pPr>
            <w:r>
              <w:rPr>
                <w:sz w:val="20"/>
              </w:rPr>
              <w:t xml:space="preserve">9.1</w:t>
            </w:r>
          </w:p>
        </w:tc>
        <w:tc>
          <w:tcPr>
            <w:tcW w:w="3572" w:type="dxa"/>
          </w:tcPr>
          <w:p>
            <w:pPr>
              <w:pStyle w:val="0"/>
            </w:pPr>
            <w:r>
              <w:rPr>
                <w:sz w:val="20"/>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535" w:type="dxa"/>
          </w:tcPr>
          <w:p>
            <w:pPr>
              <w:pStyle w:val="0"/>
            </w:pPr>
            <w:r>
              <w:rPr>
                <w:sz w:val="20"/>
              </w:rPr>
              <w:t xml:space="preserve">70,0</w:t>
            </w:r>
          </w:p>
        </w:tc>
      </w:tr>
      <w:tr>
        <w:tc>
          <w:tcPr>
            <w:tcW w:w="544" w:type="dxa"/>
          </w:tcPr>
          <w:p>
            <w:pPr>
              <w:pStyle w:val="0"/>
            </w:pPr>
            <w:r>
              <w:rPr>
                <w:sz w:val="20"/>
              </w:rPr>
              <w:t xml:space="preserve">9.2</w:t>
            </w:r>
          </w:p>
        </w:tc>
        <w:tc>
          <w:tcPr>
            <w:tcW w:w="3572" w:type="dxa"/>
          </w:tcPr>
          <w:p>
            <w:pPr>
              <w:pStyle w:val="0"/>
            </w:pPr>
            <w:r>
              <w:rPr>
                <w:sz w:val="20"/>
              </w:rPr>
              <w:t xml:space="preserve">Коэффициент совместительства в отделении ранней медицинской реабилитации или детском реабилитационном отделении</w:t>
            </w:r>
          </w:p>
        </w:tc>
        <w:tc>
          <w:tcPr>
            <w:tcW w:w="4535" w:type="dxa"/>
          </w:tcPr>
          <w:p>
            <w:pPr>
              <w:pStyle w:val="0"/>
            </w:pPr>
            <w:r>
              <w:rPr>
                <w:sz w:val="20"/>
              </w:rPr>
              <w:t xml:space="preserve">1,0</w:t>
            </w:r>
          </w:p>
        </w:tc>
      </w:tr>
      <w:tr>
        <w:tc>
          <w:tcPr>
            <w:tcW w:w="544" w:type="dxa"/>
          </w:tcPr>
          <w:p>
            <w:pPr>
              <w:pStyle w:val="0"/>
            </w:pPr>
            <w:r>
              <w:rPr>
                <w:sz w:val="20"/>
              </w:rPr>
              <w:t xml:space="preserve">9.3</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64,0</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Стационарное отделение медицинской реабилитации пациентов с соматическими заболеваниями</w:t>
            </w:r>
          </w:p>
        </w:tc>
      </w:tr>
      <w:tr>
        <w:tc>
          <w:tcPr>
            <w:tcW w:w="544" w:type="dxa"/>
          </w:tcPr>
          <w:p>
            <w:pPr>
              <w:pStyle w:val="0"/>
            </w:pPr>
            <w:r>
              <w:rPr>
                <w:sz w:val="20"/>
              </w:rPr>
              <w:t xml:space="preserve">10.1</w:t>
            </w:r>
          </w:p>
        </w:tc>
        <w:tc>
          <w:tcPr>
            <w:tcW w:w="3572" w:type="dxa"/>
          </w:tcPr>
          <w:p>
            <w:pPr>
              <w:pStyle w:val="0"/>
            </w:pPr>
            <w:r>
              <w:rPr>
                <w:sz w:val="20"/>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0"/>
              </w:rPr>
              <w:t xml:space="preserve">25</w:t>
            </w:r>
          </w:p>
        </w:tc>
      </w:tr>
      <w:tr>
        <w:tc>
          <w:tcPr>
            <w:tcW w:w="544" w:type="dxa"/>
          </w:tcPr>
          <w:p>
            <w:pPr>
              <w:pStyle w:val="0"/>
            </w:pPr>
            <w:r>
              <w:rPr>
                <w:sz w:val="20"/>
              </w:rPr>
              <w:t xml:space="preserve">10.2</w:t>
            </w:r>
          </w:p>
        </w:tc>
        <w:tc>
          <w:tcPr>
            <w:tcW w:w="3572" w:type="dxa"/>
          </w:tcPr>
          <w:p>
            <w:pPr>
              <w:pStyle w:val="0"/>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0"/>
              </w:rPr>
              <w:t xml:space="preserve">70,0</w:t>
            </w:r>
          </w:p>
        </w:tc>
      </w:tr>
      <w:tr>
        <w:tc>
          <w:tcPr>
            <w:tcW w:w="544" w:type="dxa"/>
          </w:tcPr>
          <w:p>
            <w:pPr>
              <w:pStyle w:val="0"/>
            </w:pPr>
            <w:r>
              <w:rPr>
                <w:sz w:val="20"/>
              </w:rPr>
              <w:t xml:space="preserve">10.3</w:t>
            </w:r>
          </w:p>
        </w:tc>
        <w:tc>
          <w:tcPr>
            <w:tcW w:w="3572" w:type="dxa"/>
          </w:tcPr>
          <w:p>
            <w:pPr>
              <w:pStyle w:val="0"/>
            </w:pPr>
            <w:r>
              <w:rPr>
                <w:sz w:val="20"/>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0"/>
              </w:rPr>
              <w:t xml:space="preserve">1,3</w:t>
            </w:r>
          </w:p>
        </w:tc>
      </w:tr>
      <w:tr>
        <w:tc>
          <w:tcPr>
            <w:tcW w:w="544" w:type="dxa"/>
          </w:tcPr>
          <w:p>
            <w:pPr>
              <w:pStyle w:val="0"/>
            </w:pPr>
            <w:r>
              <w:rPr>
                <w:sz w:val="20"/>
              </w:rPr>
              <w:t xml:space="preserve">10.4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7,0</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Амбулаторное отделение медицинской реабилитации</w:t>
            </w:r>
          </w:p>
        </w:tc>
      </w:tr>
      <w:tr>
        <w:tc>
          <w:tcPr>
            <w:tcW w:w="544" w:type="dxa"/>
          </w:tcPr>
          <w:p>
            <w:pPr>
              <w:pStyle w:val="0"/>
            </w:pPr>
            <w:r>
              <w:rPr>
                <w:sz w:val="20"/>
              </w:rPr>
              <w:t xml:space="preserve">13.1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30</w:t>
            </w:r>
          </w:p>
        </w:tc>
      </w:tr>
      <w:tr>
        <w:tc>
          <w:tcPr>
            <w:tcW w:w="544" w:type="dxa"/>
          </w:tcPr>
          <w:p>
            <w:pPr>
              <w:pStyle w:val="0"/>
            </w:pPr>
            <w:r>
              <w:rPr>
                <w:sz w:val="20"/>
              </w:rPr>
              <w:t xml:space="preserve">13.2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70,0</w:t>
            </w:r>
          </w:p>
        </w:tc>
      </w:tr>
      <w:tr>
        <w:tc>
          <w:tcPr>
            <w:tcW w:w="544" w:type="dxa"/>
          </w:tcPr>
          <w:p>
            <w:pPr>
              <w:pStyle w:val="0"/>
            </w:pPr>
            <w:r>
              <w:rPr>
                <w:sz w:val="20"/>
              </w:rPr>
              <w:t xml:space="preserve">13.3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1,3</w:t>
            </w:r>
          </w:p>
        </w:tc>
      </w:tr>
      <w:tr>
        <w:tc>
          <w:tcPr>
            <w:tcW w:w="544" w:type="dxa"/>
          </w:tcPr>
          <w:p>
            <w:pPr>
              <w:pStyle w:val="0"/>
            </w:pPr>
            <w:r>
              <w:rPr>
                <w:sz w:val="20"/>
              </w:rPr>
              <w:t xml:space="preserve">13.4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52,0</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"Сургутская клиническая травматологическая больница"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Л041-01193-86/00562711</w:t>
            </w:r>
          </w:p>
          <w:p>
            <w:pPr>
              <w:pStyle w:val="0"/>
            </w:pPr>
            <w:r>
              <w:rPr>
                <w:sz w:val="20"/>
              </w:rPr>
              <w:t xml:space="preserve">от 07.07.2020 при оказании первичной специализированной медико-санитарной помощи в амбулаторных условиях, при оказании специализированной медицинской помощи в стационарных условиях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3</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нет</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2024</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48,6</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да</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Отделение ранней медицинской реабилитации</w:t>
            </w:r>
          </w:p>
        </w:tc>
      </w:tr>
      <w:tr>
        <w:tc>
          <w:tcPr>
            <w:tcW w:w="544" w:type="dxa"/>
          </w:tcPr>
          <w:p>
            <w:pPr>
              <w:pStyle w:val="0"/>
            </w:pPr>
            <w:r>
              <w:rPr>
                <w:sz w:val="20"/>
              </w:rPr>
              <w:t xml:space="preserve">9.1</w:t>
            </w:r>
          </w:p>
        </w:tc>
        <w:tc>
          <w:tcPr>
            <w:tcW w:w="3572" w:type="dxa"/>
          </w:tcPr>
          <w:p>
            <w:pPr>
              <w:pStyle w:val="0"/>
            </w:pPr>
            <w:r>
              <w:rPr>
                <w:sz w:val="20"/>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535" w:type="dxa"/>
          </w:tcPr>
          <w:p>
            <w:pPr>
              <w:pStyle w:val="0"/>
            </w:pPr>
            <w:r>
              <w:rPr>
                <w:sz w:val="20"/>
              </w:rPr>
              <w:t xml:space="preserve">81,4</w:t>
            </w:r>
          </w:p>
        </w:tc>
      </w:tr>
      <w:tr>
        <w:tc>
          <w:tcPr>
            <w:tcW w:w="544" w:type="dxa"/>
          </w:tcPr>
          <w:p>
            <w:pPr>
              <w:pStyle w:val="0"/>
            </w:pPr>
            <w:r>
              <w:rPr>
                <w:sz w:val="20"/>
              </w:rPr>
              <w:t xml:space="preserve">9.2</w:t>
            </w:r>
          </w:p>
        </w:tc>
        <w:tc>
          <w:tcPr>
            <w:tcW w:w="3572" w:type="dxa"/>
          </w:tcPr>
          <w:p>
            <w:pPr>
              <w:pStyle w:val="0"/>
            </w:pPr>
            <w:r>
              <w:rPr>
                <w:sz w:val="20"/>
              </w:rPr>
              <w:t xml:space="preserve">Коэффициент совместительства в отделении ранней медицинской реабилитации или детском реабилитационном отделении</w:t>
            </w:r>
          </w:p>
        </w:tc>
        <w:tc>
          <w:tcPr>
            <w:tcW w:w="4535" w:type="dxa"/>
          </w:tcPr>
          <w:p>
            <w:pPr>
              <w:pStyle w:val="0"/>
            </w:pPr>
            <w:r>
              <w:rPr>
                <w:sz w:val="20"/>
              </w:rPr>
              <w:t xml:space="preserve">0,7</w:t>
            </w:r>
          </w:p>
        </w:tc>
      </w:tr>
      <w:tr>
        <w:tc>
          <w:tcPr>
            <w:tcW w:w="544" w:type="dxa"/>
          </w:tcPr>
          <w:p>
            <w:pPr>
              <w:pStyle w:val="0"/>
            </w:pPr>
            <w:r>
              <w:rPr>
                <w:sz w:val="20"/>
              </w:rPr>
              <w:t xml:space="preserve">9.3</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77,27</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Стационарное отделение медицинской реабилитации пациентов с нарушением функции центральной нервной системы</w:t>
            </w:r>
          </w:p>
        </w:tc>
      </w:tr>
      <w:tr>
        <w:tc>
          <w:tcPr>
            <w:tcW w:w="544" w:type="dxa"/>
          </w:tcPr>
          <w:p>
            <w:pPr>
              <w:pStyle w:val="0"/>
            </w:pPr>
            <w:r>
              <w:rPr>
                <w:sz w:val="20"/>
              </w:rPr>
              <w:t xml:space="preserve">10.1</w:t>
            </w:r>
          </w:p>
        </w:tc>
        <w:tc>
          <w:tcPr>
            <w:tcW w:w="3572" w:type="dxa"/>
          </w:tcPr>
          <w:p>
            <w:pPr>
              <w:pStyle w:val="0"/>
            </w:pPr>
            <w:r>
              <w:rPr>
                <w:sz w:val="20"/>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0"/>
              </w:rPr>
              <w:t xml:space="preserve">45</w:t>
            </w:r>
          </w:p>
        </w:tc>
      </w:tr>
      <w:tr>
        <w:tc>
          <w:tcPr>
            <w:tcW w:w="544" w:type="dxa"/>
          </w:tcPr>
          <w:p>
            <w:pPr>
              <w:pStyle w:val="0"/>
            </w:pPr>
            <w:r>
              <w:rPr>
                <w:sz w:val="20"/>
              </w:rPr>
              <w:t xml:space="preserve">10.2</w:t>
            </w:r>
          </w:p>
        </w:tc>
        <w:tc>
          <w:tcPr>
            <w:tcW w:w="3572" w:type="dxa"/>
          </w:tcPr>
          <w:p>
            <w:pPr>
              <w:pStyle w:val="0"/>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0"/>
              </w:rPr>
              <w:t xml:space="preserve">84,2</w:t>
            </w:r>
          </w:p>
        </w:tc>
      </w:tr>
      <w:tr>
        <w:tc>
          <w:tcPr>
            <w:tcW w:w="544" w:type="dxa"/>
          </w:tcPr>
          <w:p>
            <w:pPr>
              <w:pStyle w:val="0"/>
            </w:pPr>
            <w:r>
              <w:rPr>
                <w:sz w:val="20"/>
              </w:rPr>
              <w:t xml:space="preserve">10.3</w:t>
            </w:r>
          </w:p>
        </w:tc>
        <w:tc>
          <w:tcPr>
            <w:tcW w:w="3572" w:type="dxa"/>
          </w:tcPr>
          <w:p>
            <w:pPr>
              <w:pStyle w:val="0"/>
            </w:pPr>
            <w:r>
              <w:rPr>
                <w:sz w:val="20"/>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0"/>
              </w:rPr>
              <w:t xml:space="preserve">0,7</w:t>
            </w:r>
          </w:p>
        </w:tc>
      </w:tr>
      <w:tr>
        <w:tc>
          <w:tcPr>
            <w:tcW w:w="544" w:type="dxa"/>
          </w:tcPr>
          <w:p>
            <w:pPr>
              <w:pStyle w:val="0"/>
            </w:pPr>
            <w:r>
              <w:rPr>
                <w:sz w:val="20"/>
              </w:rPr>
              <w:t xml:space="preserve">10.4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32,81</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Амбулаторное отделение медицинской реабилитации</w:t>
            </w:r>
          </w:p>
        </w:tc>
      </w:tr>
      <w:tr>
        <w:tc>
          <w:tcPr>
            <w:tcW w:w="544" w:type="dxa"/>
          </w:tcPr>
          <w:p>
            <w:pPr>
              <w:pStyle w:val="0"/>
            </w:pPr>
            <w:r>
              <w:rPr>
                <w:sz w:val="20"/>
              </w:rPr>
              <w:t xml:space="preserve">13.1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300</w:t>
            </w:r>
          </w:p>
        </w:tc>
      </w:tr>
      <w:tr>
        <w:tc>
          <w:tcPr>
            <w:tcW w:w="544" w:type="dxa"/>
          </w:tcPr>
          <w:p>
            <w:pPr>
              <w:pStyle w:val="0"/>
            </w:pPr>
            <w:r>
              <w:rPr>
                <w:sz w:val="20"/>
              </w:rPr>
              <w:t xml:space="preserve">13.2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93,6</w:t>
            </w:r>
          </w:p>
        </w:tc>
      </w:tr>
      <w:tr>
        <w:tc>
          <w:tcPr>
            <w:tcW w:w="544" w:type="dxa"/>
          </w:tcPr>
          <w:p>
            <w:pPr>
              <w:pStyle w:val="0"/>
            </w:pPr>
            <w:r>
              <w:rPr>
                <w:sz w:val="20"/>
              </w:rPr>
              <w:t xml:space="preserve">13.3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0,8</w:t>
            </w:r>
          </w:p>
        </w:tc>
      </w:tr>
      <w:tr>
        <w:tc>
          <w:tcPr>
            <w:tcW w:w="544" w:type="dxa"/>
          </w:tcPr>
          <w:p>
            <w:pPr>
              <w:pStyle w:val="0"/>
            </w:pPr>
            <w:r>
              <w:rPr>
                <w:sz w:val="20"/>
              </w:rPr>
              <w:t xml:space="preserve">13.4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35,63</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"Сургутская окружная клиническая больница"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Л041-00110-86/00589909</w:t>
            </w:r>
          </w:p>
          <w:p>
            <w:pPr>
              <w:pStyle w:val="0"/>
            </w:pPr>
            <w:r>
              <w:rPr>
                <w:sz w:val="20"/>
              </w:rPr>
              <w:t xml:space="preserve">от 19.03.2021 при оказании специализированной, в том числе высокотехнологичной, медицинской помощи в стационарных условиях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2</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нет</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2024</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74,1</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Отделение ранней медицинской реабилитации</w:t>
            </w:r>
          </w:p>
        </w:tc>
      </w:tr>
      <w:tr>
        <w:tc>
          <w:tcPr>
            <w:tcW w:w="544" w:type="dxa"/>
          </w:tcPr>
          <w:p>
            <w:pPr>
              <w:pStyle w:val="0"/>
            </w:pPr>
            <w:r>
              <w:rPr>
                <w:sz w:val="20"/>
              </w:rPr>
              <w:t xml:space="preserve">9.1</w:t>
            </w:r>
          </w:p>
        </w:tc>
        <w:tc>
          <w:tcPr>
            <w:tcW w:w="3572" w:type="dxa"/>
          </w:tcPr>
          <w:p>
            <w:pPr>
              <w:pStyle w:val="0"/>
            </w:pPr>
            <w:r>
              <w:rPr>
                <w:sz w:val="20"/>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535" w:type="dxa"/>
          </w:tcPr>
          <w:p>
            <w:pPr>
              <w:pStyle w:val="0"/>
            </w:pPr>
            <w:r>
              <w:rPr>
                <w:sz w:val="20"/>
              </w:rPr>
              <w:t xml:space="preserve">80</w:t>
            </w:r>
          </w:p>
        </w:tc>
      </w:tr>
      <w:tr>
        <w:tc>
          <w:tcPr>
            <w:tcW w:w="544" w:type="dxa"/>
          </w:tcPr>
          <w:p>
            <w:pPr>
              <w:pStyle w:val="0"/>
            </w:pPr>
            <w:r>
              <w:rPr>
                <w:sz w:val="20"/>
              </w:rPr>
              <w:t xml:space="preserve">9.2</w:t>
            </w:r>
          </w:p>
        </w:tc>
        <w:tc>
          <w:tcPr>
            <w:tcW w:w="3572" w:type="dxa"/>
          </w:tcPr>
          <w:p>
            <w:pPr>
              <w:pStyle w:val="0"/>
            </w:pPr>
            <w:r>
              <w:rPr>
                <w:sz w:val="20"/>
              </w:rPr>
              <w:t xml:space="preserve">Коэффициент совместительства в отделении ранней медицинской реабилитации или детском реабилитационном отделении</w:t>
            </w:r>
          </w:p>
        </w:tc>
        <w:tc>
          <w:tcPr>
            <w:tcW w:w="4535" w:type="dxa"/>
          </w:tcPr>
          <w:p>
            <w:pPr>
              <w:pStyle w:val="0"/>
            </w:pPr>
            <w:r>
              <w:rPr>
                <w:sz w:val="20"/>
              </w:rPr>
              <w:t xml:space="preserve">1,2</w:t>
            </w:r>
          </w:p>
        </w:tc>
      </w:tr>
      <w:tr>
        <w:tc>
          <w:tcPr>
            <w:tcW w:w="544" w:type="dxa"/>
          </w:tcPr>
          <w:p>
            <w:pPr>
              <w:pStyle w:val="0"/>
            </w:pPr>
            <w:r>
              <w:rPr>
                <w:sz w:val="20"/>
              </w:rPr>
              <w:t xml:space="preserve">9.3</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81,25</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Стационарное отделение медицинской реабилитации пациентов с соматическими заболеваниями</w:t>
            </w:r>
          </w:p>
        </w:tc>
      </w:tr>
      <w:tr>
        <w:tc>
          <w:tcPr>
            <w:tcW w:w="544" w:type="dxa"/>
          </w:tcPr>
          <w:p>
            <w:pPr>
              <w:pStyle w:val="0"/>
            </w:pPr>
            <w:r>
              <w:rPr>
                <w:sz w:val="20"/>
              </w:rPr>
              <w:t xml:space="preserve">10.1</w:t>
            </w:r>
          </w:p>
        </w:tc>
        <w:tc>
          <w:tcPr>
            <w:tcW w:w="3572" w:type="dxa"/>
          </w:tcPr>
          <w:p>
            <w:pPr>
              <w:pStyle w:val="0"/>
            </w:pPr>
            <w:r>
              <w:rPr>
                <w:sz w:val="20"/>
              </w:rPr>
              <w:t xml:space="preserve">Коечная мощность (указать профиль и число стационарных реабилитационных коек по состоянию на 01.01.2023)</w:t>
            </w:r>
          </w:p>
        </w:tc>
        <w:tc>
          <w:tcPr>
            <w:tcW w:w="4535" w:type="dxa"/>
          </w:tcPr>
          <w:p>
            <w:pPr>
              <w:pStyle w:val="0"/>
            </w:pPr>
            <w:r>
              <w:rPr>
                <w:sz w:val="20"/>
              </w:rPr>
              <w:t xml:space="preserve">20</w:t>
            </w:r>
          </w:p>
        </w:tc>
      </w:tr>
      <w:tr>
        <w:tc>
          <w:tcPr>
            <w:tcW w:w="544" w:type="dxa"/>
          </w:tcPr>
          <w:p>
            <w:pPr>
              <w:pStyle w:val="0"/>
            </w:pPr>
            <w:r>
              <w:rPr>
                <w:sz w:val="20"/>
              </w:rPr>
              <w:t xml:space="preserve">10.2</w:t>
            </w:r>
          </w:p>
        </w:tc>
        <w:tc>
          <w:tcPr>
            <w:tcW w:w="3572" w:type="dxa"/>
          </w:tcPr>
          <w:p>
            <w:pPr>
              <w:pStyle w:val="0"/>
            </w:pPr>
            <w:r>
              <w:rPr>
                <w:sz w:val="20"/>
              </w:rPr>
              <w:t xml:space="preserve">Укомплектованность кадрами стационарного отделения медицинской реабилитации (для взрослых), с учетом совместительства (%)</w:t>
            </w:r>
          </w:p>
        </w:tc>
        <w:tc>
          <w:tcPr>
            <w:tcW w:w="4535" w:type="dxa"/>
          </w:tcPr>
          <w:p>
            <w:pPr>
              <w:pStyle w:val="0"/>
            </w:pPr>
            <w:r>
              <w:rPr>
                <w:sz w:val="20"/>
              </w:rPr>
              <w:t xml:space="preserve">87</w:t>
            </w:r>
          </w:p>
        </w:tc>
      </w:tr>
      <w:tr>
        <w:tc>
          <w:tcPr>
            <w:tcW w:w="544" w:type="dxa"/>
          </w:tcPr>
          <w:p>
            <w:pPr>
              <w:pStyle w:val="0"/>
            </w:pPr>
            <w:r>
              <w:rPr>
                <w:sz w:val="20"/>
              </w:rPr>
              <w:t xml:space="preserve">10.3</w:t>
            </w:r>
          </w:p>
        </w:tc>
        <w:tc>
          <w:tcPr>
            <w:tcW w:w="3572" w:type="dxa"/>
          </w:tcPr>
          <w:p>
            <w:pPr>
              <w:pStyle w:val="0"/>
            </w:pPr>
            <w:r>
              <w:rPr>
                <w:sz w:val="20"/>
              </w:rPr>
              <w:t xml:space="preserve">Коэффициент совместительства в стационарном отделении медицинской реабилитации (для взрослых)</w:t>
            </w:r>
          </w:p>
        </w:tc>
        <w:tc>
          <w:tcPr>
            <w:tcW w:w="4535" w:type="dxa"/>
          </w:tcPr>
          <w:p>
            <w:pPr>
              <w:pStyle w:val="0"/>
            </w:pPr>
            <w:r>
              <w:rPr>
                <w:sz w:val="20"/>
              </w:rPr>
              <w:t xml:space="preserve">1,2</w:t>
            </w:r>
          </w:p>
        </w:tc>
      </w:tr>
      <w:tr>
        <w:tc>
          <w:tcPr>
            <w:tcW w:w="544" w:type="dxa"/>
          </w:tcPr>
          <w:p>
            <w:pPr>
              <w:pStyle w:val="0"/>
            </w:pPr>
            <w:r>
              <w:rPr>
                <w:sz w:val="20"/>
              </w:rPr>
              <w:t xml:space="preserve">10.4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67,01</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нет</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"Окружная клиническая больница"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Л041-01193-86/00574212</w:t>
            </w:r>
          </w:p>
          <w:p>
            <w:pPr>
              <w:pStyle w:val="0"/>
            </w:pPr>
            <w:r>
              <w:rPr>
                <w:sz w:val="20"/>
              </w:rPr>
              <w:t xml:space="preserve">от 27.11.2020 при оказании специализированной, в том числе высокотехнологичной, медицинской помощи в стационарных условиях</w:t>
            </w:r>
          </w:p>
          <w:p>
            <w:pPr>
              <w:pStyle w:val="0"/>
            </w:pPr>
            <w:r>
              <w:rPr>
                <w:sz w:val="20"/>
              </w:rPr>
              <w:t xml:space="preserve">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3</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96,004</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2024</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52,5</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Отделение ранней медицинской реабилитации</w:t>
            </w:r>
          </w:p>
        </w:tc>
      </w:tr>
      <w:tr>
        <w:tc>
          <w:tcPr>
            <w:tcW w:w="544" w:type="dxa"/>
          </w:tcPr>
          <w:p>
            <w:pPr>
              <w:pStyle w:val="0"/>
            </w:pPr>
            <w:r>
              <w:rPr>
                <w:sz w:val="20"/>
              </w:rPr>
              <w:t xml:space="preserve">9.1</w:t>
            </w:r>
          </w:p>
        </w:tc>
        <w:tc>
          <w:tcPr>
            <w:tcW w:w="3572" w:type="dxa"/>
          </w:tcPr>
          <w:p>
            <w:pPr>
              <w:pStyle w:val="0"/>
            </w:pPr>
            <w:r>
              <w:rPr>
                <w:sz w:val="20"/>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535" w:type="dxa"/>
          </w:tcPr>
          <w:p>
            <w:pPr>
              <w:pStyle w:val="0"/>
            </w:pPr>
            <w:r>
              <w:rPr>
                <w:sz w:val="20"/>
              </w:rPr>
              <w:t xml:space="preserve">70</w:t>
            </w:r>
          </w:p>
        </w:tc>
      </w:tr>
      <w:tr>
        <w:tc>
          <w:tcPr>
            <w:tcW w:w="544" w:type="dxa"/>
          </w:tcPr>
          <w:p>
            <w:pPr>
              <w:pStyle w:val="0"/>
            </w:pPr>
            <w:r>
              <w:rPr>
                <w:sz w:val="20"/>
              </w:rPr>
              <w:t xml:space="preserve">9.2</w:t>
            </w:r>
          </w:p>
        </w:tc>
        <w:tc>
          <w:tcPr>
            <w:tcW w:w="3572" w:type="dxa"/>
          </w:tcPr>
          <w:p>
            <w:pPr>
              <w:pStyle w:val="0"/>
            </w:pPr>
            <w:r>
              <w:rPr>
                <w:sz w:val="20"/>
              </w:rPr>
              <w:t xml:space="preserve">Коэффициент совместительства в отделении ранней медицинской реабилитации или детском реабилитационном отделении</w:t>
            </w:r>
          </w:p>
        </w:tc>
        <w:tc>
          <w:tcPr>
            <w:tcW w:w="4535" w:type="dxa"/>
          </w:tcPr>
          <w:p>
            <w:pPr>
              <w:pStyle w:val="0"/>
            </w:pPr>
            <w:r>
              <w:rPr>
                <w:sz w:val="20"/>
              </w:rPr>
              <w:t xml:space="preserve">1,4</w:t>
            </w:r>
          </w:p>
        </w:tc>
      </w:tr>
      <w:tr>
        <w:tc>
          <w:tcPr>
            <w:tcW w:w="544" w:type="dxa"/>
          </w:tcPr>
          <w:p>
            <w:pPr>
              <w:pStyle w:val="0"/>
            </w:pPr>
            <w:r>
              <w:rPr>
                <w:sz w:val="20"/>
              </w:rPr>
              <w:t xml:space="preserve">9.3</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52,5</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нет</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"Нижневартовская окружная клиническая детская больница"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Л041-00110-86/00554724</w:t>
            </w:r>
          </w:p>
          <w:p>
            <w:pPr>
              <w:pStyle w:val="0"/>
            </w:pPr>
            <w:r>
              <w:rPr>
                <w:sz w:val="20"/>
              </w:rPr>
              <w:t xml:space="preserve">от 02.11.2018 при оказании специализированной медицинской помощи в условиях дневного стационара, при оказании специализированной медицинской помощи в стационарных условиях по:</w:t>
            </w:r>
          </w:p>
          <w:p>
            <w:pPr>
              <w:pStyle w:val="0"/>
            </w:pPr>
            <w:r>
              <w:rPr>
                <w:sz w:val="20"/>
              </w:rPr>
              <w:t xml:space="preserve">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3</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да</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2024</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60</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Детское соматическое реабилитационное отделение</w:t>
            </w:r>
          </w:p>
        </w:tc>
      </w:tr>
      <w:tr>
        <w:tc>
          <w:tcPr>
            <w:tcW w:w="544" w:type="dxa"/>
          </w:tcPr>
          <w:p>
            <w:pPr>
              <w:pStyle w:val="0"/>
            </w:pPr>
            <w:r>
              <w:rPr>
                <w:sz w:val="20"/>
              </w:rPr>
              <w:t xml:space="preserve">12.1</w:t>
            </w:r>
          </w:p>
        </w:tc>
        <w:tc>
          <w:tcPr>
            <w:tcW w:w="3572" w:type="dxa"/>
          </w:tcPr>
          <w:p>
            <w:pPr>
              <w:pStyle w:val="0"/>
            </w:pPr>
            <w:r>
              <w:rPr>
                <w:sz w:val="20"/>
              </w:rPr>
              <w:t xml:space="preserve">Число и профиль круглосуточных коек (по состоянию на 01.01.2023)</w:t>
            </w:r>
          </w:p>
        </w:tc>
        <w:tc>
          <w:tcPr>
            <w:tcW w:w="4535" w:type="dxa"/>
          </w:tcPr>
          <w:p>
            <w:pPr>
              <w:pStyle w:val="0"/>
            </w:pPr>
            <w:r>
              <w:rPr>
                <w:sz w:val="20"/>
              </w:rPr>
              <w:t xml:space="preserve">15</w:t>
            </w:r>
          </w:p>
        </w:tc>
      </w:tr>
      <w:tr>
        <w:tc>
          <w:tcPr>
            <w:tcW w:w="544" w:type="dxa"/>
          </w:tcPr>
          <w:p>
            <w:pPr>
              <w:pStyle w:val="0"/>
            </w:pPr>
            <w:r>
              <w:rPr>
                <w:sz w:val="20"/>
              </w:rPr>
              <w:t xml:space="preserve">12.2</w:t>
            </w:r>
          </w:p>
        </w:tc>
        <w:tc>
          <w:tcPr>
            <w:tcW w:w="3572" w:type="dxa"/>
          </w:tcPr>
          <w:p>
            <w:pPr>
              <w:pStyle w:val="0"/>
            </w:pPr>
            <w:r>
              <w:rPr>
                <w:sz w:val="20"/>
              </w:rPr>
              <w:t xml:space="preserve">Число реабилитационных коек дневного стационара (по состоянию на 01.01.2023)</w:t>
            </w:r>
          </w:p>
        </w:tc>
        <w:tc>
          <w:tcPr>
            <w:tcW w:w="4535" w:type="dxa"/>
          </w:tcPr>
          <w:p>
            <w:pPr>
              <w:pStyle w:val="0"/>
            </w:pPr>
            <w:r>
              <w:rPr>
                <w:sz w:val="20"/>
              </w:rPr>
              <w:t xml:space="preserve">15</w:t>
            </w:r>
          </w:p>
        </w:tc>
      </w:tr>
      <w:tr>
        <w:tc>
          <w:tcPr>
            <w:tcW w:w="544" w:type="dxa"/>
          </w:tcPr>
          <w:p>
            <w:pPr>
              <w:pStyle w:val="0"/>
            </w:pPr>
            <w:r>
              <w:rPr>
                <w:sz w:val="20"/>
              </w:rPr>
              <w:t xml:space="preserve">12.3</w:t>
            </w:r>
          </w:p>
        </w:tc>
        <w:tc>
          <w:tcPr>
            <w:tcW w:w="3572" w:type="dxa"/>
          </w:tcPr>
          <w:p>
            <w:pPr>
              <w:pStyle w:val="0"/>
            </w:pPr>
            <w:r>
              <w:rPr>
                <w:sz w:val="20"/>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0"/>
              </w:rPr>
              <w:t xml:space="preserve">70</w:t>
            </w:r>
          </w:p>
        </w:tc>
      </w:tr>
      <w:tr>
        <w:tc>
          <w:tcPr>
            <w:tcW w:w="544" w:type="dxa"/>
          </w:tcPr>
          <w:p>
            <w:pPr>
              <w:pStyle w:val="0"/>
            </w:pPr>
            <w:r>
              <w:rPr>
                <w:sz w:val="20"/>
              </w:rPr>
              <w:t xml:space="preserve">12.4</w:t>
            </w:r>
          </w:p>
        </w:tc>
        <w:tc>
          <w:tcPr>
            <w:tcW w:w="3572" w:type="dxa"/>
          </w:tcPr>
          <w:p>
            <w:pPr>
              <w:pStyle w:val="0"/>
            </w:pPr>
            <w:r>
              <w:rPr>
                <w:sz w:val="20"/>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1,2</w:t>
            </w:r>
          </w:p>
        </w:tc>
      </w:tr>
      <w:tr>
        <w:tc>
          <w:tcPr>
            <w:tcW w:w="544" w:type="dxa"/>
          </w:tcPr>
          <w:p>
            <w:pPr>
              <w:pStyle w:val="0"/>
            </w:pPr>
            <w:r>
              <w:rPr>
                <w:sz w:val="20"/>
              </w:rPr>
              <w:t xml:space="preserve">12.5</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60</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нет</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"Урайская городская клиническая больница"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Л041-01193-86/00574675</w:t>
            </w:r>
          </w:p>
          <w:p>
            <w:pPr>
              <w:pStyle w:val="0"/>
            </w:pPr>
            <w:r>
              <w:rPr>
                <w:sz w:val="20"/>
              </w:rPr>
              <w:t xml:space="preserve">от 11.07.2019 при оказании первичной специализированной медико-санитарной помощи в амбулаторных условиях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1</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40,347</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2025</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39,5</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Амбулаторное отделение медицинской реабилитации</w:t>
            </w:r>
          </w:p>
        </w:tc>
      </w:tr>
      <w:tr>
        <w:tc>
          <w:tcPr>
            <w:tcW w:w="544" w:type="dxa"/>
          </w:tcPr>
          <w:p>
            <w:pPr>
              <w:pStyle w:val="0"/>
            </w:pPr>
            <w:r>
              <w:rPr>
                <w:sz w:val="20"/>
              </w:rPr>
              <w:t xml:space="preserve">13.1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20</w:t>
            </w:r>
          </w:p>
        </w:tc>
      </w:tr>
      <w:tr>
        <w:tc>
          <w:tcPr>
            <w:tcW w:w="544" w:type="dxa"/>
          </w:tcPr>
          <w:p>
            <w:pPr>
              <w:pStyle w:val="0"/>
            </w:pPr>
            <w:r>
              <w:rPr>
                <w:sz w:val="20"/>
              </w:rPr>
              <w:t xml:space="preserve">13.2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82</w:t>
            </w:r>
          </w:p>
        </w:tc>
      </w:tr>
      <w:tr>
        <w:tc>
          <w:tcPr>
            <w:tcW w:w="544" w:type="dxa"/>
          </w:tcPr>
          <w:p>
            <w:pPr>
              <w:pStyle w:val="0"/>
            </w:pPr>
            <w:r>
              <w:rPr>
                <w:sz w:val="20"/>
              </w:rPr>
              <w:t xml:space="preserve">13.3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1,2</w:t>
            </w:r>
          </w:p>
        </w:tc>
      </w:tr>
      <w:tr>
        <w:tc>
          <w:tcPr>
            <w:tcW w:w="544" w:type="dxa"/>
          </w:tcPr>
          <w:p>
            <w:pPr>
              <w:pStyle w:val="0"/>
            </w:pPr>
            <w:r>
              <w:rPr>
                <w:sz w:val="20"/>
              </w:rPr>
              <w:t xml:space="preserve">13.4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39,5</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"Няганская окружная больница"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Л041-01193-86/00573807</w:t>
            </w:r>
          </w:p>
          <w:p>
            <w:pPr>
              <w:pStyle w:val="0"/>
            </w:pPr>
            <w:r>
              <w:rPr>
                <w:sz w:val="20"/>
              </w:rPr>
              <w:t xml:space="preserve">от 17.12.2019 при оказании специализированной, в том числе высокотехнологичной, медицинской помощи в стационарных условиях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3</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нет</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2025</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26,3</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Отделение ранней медицинской реабилитации</w:t>
            </w:r>
          </w:p>
        </w:tc>
      </w:tr>
      <w:tr>
        <w:tc>
          <w:tcPr>
            <w:tcW w:w="544" w:type="dxa"/>
          </w:tcPr>
          <w:p>
            <w:pPr>
              <w:pStyle w:val="0"/>
            </w:pPr>
            <w:r>
              <w:rPr>
                <w:sz w:val="20"/>
              </w:rPr>
              <w:t xml:space="preserve">9.1</w:t>
            </w:r>
          </w:p>
        </w:tc>
        <w:tc>
          <w:tcPr>
            <w:tcW w:w="3572" w:type="dxa"/>
          </w:tcPr>
          <w:p>
            <w:pPr>
              <w:pStyle w:val="0"/>
            </w:pPr>
            <w:r>
              <w:rPr>
                <w:sz w:val="20"/>
              </w:rPr>
              <w:t xml:space="preserve">Укомплектованность кадрами отделения ранней медицинской реабилитации или детского реабилитационного отделения, с учетом совместительства (%)</w:t>
            </w:r>
          </w:p>
        </w:tc>
        <w:tc>
          <w:tcPr>
            <w:tcW w:w="4535" w:type="dxa"/>
          </w:tcPr>
          <w:p>
            <w:pPr>
              <w:pStyle w:val="0"/>
            </w:pPr>
            <w:r>
              <w:rPr>
                <w:sz w:val="20"/>
              </w:rPr>
              <w:t xml:space="preserve">100</w:t>
            </w:r>
          </w:p>
        </w:tc>
      </w:tr>
      <w:tr>
        <w:tc>
          <w:tcPr>
            <w:tcW w:w="544" w:type="dxa"/>
          </w:tcPr>
          <w:p>
            <w:pPr>
              <w:pStyle w:val="0"/>
            </w:pPr>
            <w:r>
              <w:rPr>
                <w:sz w:val="20"/>
              </w:rPr>
              <w:t xml:space="preserve">9.2</w:t>
            </w:r>
          </w:p>
        </w:tc>
        <w:tc>
          <w:tcPr>
            <w:tcW w:w="3572" w:type="dxa"/>
          </w:tcPr>
          <w:p>
            <w:pPr>
              <w:pStyle w:val="0"/>
            </w:pPr>
            <w:r>
              <w:rPr>
                <w:sz w:val="20"/>
              </w:rPr>
              <w:t xml:space="preserve">Коэффициент совместительства в отделении ранней медицинской реабилитации или детском реабилитационном отделении</w:t>
            </w:r>
          </w:p>
        </w:tc>
        <w:tc>
          <w:tcPr>
            <w:tcW w:w="4535" w:type="dxa"/>
          </w:tcPr>
          <w:p>
            <w:pPr>
              <w:pStyle w:val="0"/>
            </w:pPr>
            <w:r>
              <w:rPr>
                <w:sz w:val="20"/>
              </w:rPr>
              <w:t xml:space="preserve">1</w:t>
            </w:r>
          </w:p>
        </w:tc>
      </w:tr>
      <w:tr>
        <w:tc>
          <w:tcPr>
            <w:tcW w:w="544" w:type="dxa"/>
          </w:tcPr>
          <w:p>
            <w:pPr>
              <w:pStyle w:val="0"/>
            </w:pPr>
            <w:r>
              <w:rPr>
                <w:sz w:val="20"/>
              </w:rPr>
              <w:t xml:space="preserve">9.3</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26,3</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нет</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"Когалымская городская больница"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Л041-01193-86/0053649</w:t>
            </w:r>
          </w:p>
          <w:p>
            <w:pPr>
              <w:pStyle w:val="0"/>
            </w:pPr>
            <w:r>
              <w:rPr>
                <w:sz w:val="20"/>
              </w:rPr>
              <w:t xml:space="preserve">от 30.06.2020 при оказании первичной специализированной медико-санитарной помощи в амбулаторных условиях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1</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59,653</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2025</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37,2</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Амбулаторное отделение медицинской реабилитации</w:t>
            </w:r>
          </w:p>
        </w:tc>
      </w:tr>
      <w:tr>
        <w:tc>
          <w:tcPr>
            <w:tcW w:w="544" w:type="dxa"/>
          </w:tcPr>
          <w:p>
            <w:pPr>
              <w:pStyle w:val="0"/>
            </w:pPr>
            <w:r>
              <w:rPr>
                <w:sz w:val="20"/>
              </w:rPr>
              <w:t xml:space="preserve">13.1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10</w:t>
            </w:r>
          </w:p>
        </w:tc>
      </w:tr>
      <w:tr>
        <w:tc>
          <w:tcPr>
            <w:tcW w:w="544" w:type="dxa"/>
          </w:tcPr>
          <w:p>
            <w:pPr>
              <w:pStyle w:val="0"/>
            </w:pPr>
            <w:r>
              <w:rPr>
                <w:sz w:val="20"/>
              </w:rPr>
              <w:t xml:space="preserve">13.2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92</w:t>
            </w:r>
          </w:p>
        </w:tc>
      </w:tr>
      <w:tr>
        <w:tc>
          <w:tcPr>
            <w:tcW w:w="544" w:type="dxa"/>
          </w:tcPr>
          <w:p>
            <w:pPr>
              <w:pStyle w:val="0"/>
            </w:pPr>
            <w:r>
              <w:rPr>
                <w:sz w:val="20"/>
              </w:rPr>
              <w:t xml:space="preserve">13.3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1,2</w:t>
            </w:r>
          </w:p>
        </w:tc>
      </w:tr>
      <w:tr>
        <w:tc>
          <w:tcPr>
            <w:tcW w:w="544" w:type="dxa"/>
          </w:tcPr>
          <w:p>
            <w:pPr>
              <w:pStyle w:val="0"/>
            </w:pPr>
            <w:r>
              <w:rPr>
                <w:sz w:val="20"/>
              </w:rPr>
              <w:t xml:space="preserve">13.4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37,23</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"Сургутская городская клиническая поликлиника N 1"</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Л041-01193-86/00361148</w:t>
            </w:r>
          </w:p>
          <w:p>
            <w:pPr>
              <w:pStyle w:val="0"/>
            </w:pPr>
            <w:r>
              <w:rPr>
                <w:sz w:val="20"/>
              </w:rPr>
              <w:t xml:space="preserve">от 12.09.2019 при оказании первичной специализированной медико-санитарной помощи в амбулаторных условиях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1</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85,362</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2025 (амбулаторное отделение медицинской реабилитации)</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31,78</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Дневной педиатрический стационар </w:t>
            </w:r>
            <w:hyperlink w:history="0" w:anchor="P26596" w:tooltip="&lt;*&gt; Данное структурное подразделение не участвует в мероприятии федерального проекта &quot;Оптимальная для восстановления здоровья медицинская реабилитация&quot; по оснащению медицинскими изделиями.">
              <w:r>
                <w:rPr>
                  <w:sz w:val="20"/>
                  <w:color w:val="0000ff"/>
                </w:rPr>
                <w:t xml:space="preserve">&lt;*&gt;</w:t>
              </w:r>
            </w:hyperlink>
          </w:p>
        </w:tc>
      </w:tr>
      <w:tr>
        <w:tc>
          <w:tcPr>
            <w:tcW w:w="544" w:type="dxa"/>
          </w:tcPr>
          <w:p>
            <w:pPr>
              <w:pStyle w:val="0"/>
            </w:pPr>
            <w:r>
              <w:rPr>
                <w:sz w:val="20"/>
              </w:rPr>
              <w:t xml:space="preserve">12.1</w:t>
            </w:r>
          </w:p>
        </w:tc>
        <w:tc>
          <w:tcPr>
            <w:tcW w:w="3572" w:type="dxa"/>
          </w:tcPr>
          <w:p>
            <w:pPr>
              <w:pStyle w:val="0"/>
            </w:pPr>
            <w:r>
              <w:rPr>
                <w:sz w:val="20"/>
              </w:rPr>
              <w:t xml:space="preserve">Число и профиль круглосуточных коек (по состоянию на 01.01.2023)</w:t>
            </w:r>
          </w:p>
        </w:tc>
        <w:tc>
          <w:tcPr>
            <w:tcW w:w="4535" w:type="dxa"/>
          </w:tcPr>
          <w:p>
            <w:pPr>
              <w:pStyle w:val="0"/>
            </w:pPr>
            <w:r>
              <w:rPr>
                <w:sz w:val="20"/>
              </w:rPr>
              <w:t xml:space="preserve">0</w:t>
            </w:r>
          </w:p>
        </w:tc>
      </w:tr>
      <w:tr>
        <w:tc>
          <w:tcPr>
            <w:tcW w:w="544" w:type="dxa"/>
          </w:tcPr>
          <w:p>
            <w:pPr>
              <w:pStyle w:val="0"/>
            </w:pPr>
            <w:r>
              <w:rPr>
                <w:sz w:val="20"/>
              </w:rPr>
              <w:t xml:space="preserve">12.2</w:t>
            </w:r>
          </w:p>
        </w:tc>
        <w:tc>
          <w:tcPr>
            <w:tcW w:w="3572" w:type="dxa"/>
          </w:tcPr>
          <w:p>
            <w:pPr>
              <w:pStyle w:val="0"/>
            </w:pPr>
            <w:r>
              <w:rPr>
                <w:sz w:val="20"/>
              </w:rPr>
              <w:t xml:space="preserve">Число реабилитационных коек дневного стационара (по состоянию на 01.01.2023)</w:t>
            </w:r>
          </w:p>
        </w:tc>
        <w:tc>
          <w:tcPr>
            <w:tcW w:w="4535" w:type="dxa"/>
          </w:tcPr>
          <w:p>
            <w:pPr>
              <w:pStyle w:val="0"/>
            </w:pPr>
            <w:r>
              <w:rPr>
                <w:sz w:val="20"/>
              </w:rPr>
              <w:t xml:space="preserve">15</w:t>
            </w:r>
          </w:p>
        </w:tc>
      </w:tr>
      <w:tr>
        <w:tc>
          <w:tcPr>
            <w:tcW w:w="544" w:type="dxa"/>
          </w:tcPr>
          <w:p>
            <w:pPr>
              <w:pStyle w:val="0"/>
            </w:pPr>
            <w:r>
              <w:rPr>
                <w:sz w:val="20"/>
              </w:rPr>
              <w:t xml:space="preserve">12.3</w:t>
            </w:r>
          </w:p>
        </w:tc>
        <w:tc>
          <w:tcPr>
            <w:tcW w:w="3572" w:type="dxa"/>
          </w:tcPr>
          <w:p>
            <w:pPr>
              <w:pStyle w:val="0"/>
            </w:pPr>
            <w:r>
              <w:rPr>
                <w:sz w:val="20"/>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0"/>
              </w:rPr>
              <w:t xml:space="preserve">100</w:t>
            </w:r>
          </w:p>
        </w:tc>
      </w:tr>
      <w:tr>
        <w:tc>
          <w:tcPr>
            <w:tcW w:w="544" w:type="dxa"/>
          </w:tcPr>
          <w:p>
            <w:pPr>
              <w:pStyle w:val="0"/>
            </w:pPr>
            <w:r>
              <w:rPr>
                <w:sz w:val="20"/>
              </w:rPr>
              <w:t xml:space="preserve">12.4</w:t>
            </w:r>
          </w:p>
        </w:tc>
        <w:tc>
          <w:tcPr>
            <w:tcW w:w="3572" w:type="dxa"/>
          </w:tcPr>
          <w:p>
            <w:pPr>
              <w:pStyle w:val="0"/>
            </w:pPr>
            <w:r>
              <w:rPr>
                <w:sz w:val="20"/>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1,06</w:t>
            </w:r>
          </w:p>
        </w:tc>
      </w:tr>
      <w:tr>
        <w:tc>
          <w:tcPr>
            <w:tcW w:w="544" w:type="dxa"/>
          </w:tcPr>
          <w:p>
            <w:pPr>
              <w:pStyle w:val="0"/>
            </w:pPr>
            <w:r>
              <w:rPr>
                <w:sz w:val="20"/>
              </w:rPr>
              <w:t xml:space="preserve">12.5</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52</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Амбулаторное отделение медицинской реабилитации</w:t>
            </w:r>
          </w:p>
        </w:tc>
      </w:tr>
      <w:tr>
        <w:tc>
          <w:tcPr>
            <w:tcW w:w="544" w:type="dxa"/>
          </w:tcPr>
          <w:p>
            <w:pPr>
              <w:pStyle w:val="0"/>
            </w:pPr>
            <w:r>
              <w:rPr>
                <w:sz w:val="20"/>
              </w:rPr>
              <w:t xml:space="preserve">13.1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150</w:t>
            </w:r>
          </w:p>
        </w:tc>
      </w:tr>
      <w:tr>
        <w:tc>
          <w:tcPr>
            <w:tcW w:w="544" w:type="dxa"/>
          </w:tcPr>
          <w:p>
            <w:pPr>
              <w:pStyle w:val="0"/>
            </w:pPr>
            <w:r>
              <w:rPr>
                <w:sz w:val="20"/>
              </w:rPr>
              <w:t xml:space="preserve">13.2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70</w:t>
            </w:r>
          </w:p>
        </w:tc>
      </w:tr>
      <w:tr>
        <w:tc>
          <w:tcPr>
            <w:tcW w:w="544" w:type="dxa"/>
          </w:tcPr>
          <w:p>
            <w:pPr>
              <w:pStyle w:val="0"/>
            </w:pPr>
            <w:r>
              <w:rPr>
                <w:sz w:val="20"/>
              </w:rPr>
              <w:t xml:space="preserve">13.3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0,9</w:t>
            </w:r>
          </w:p>
        </w:tc>
      </w:tr>
      <w:tr>
        <w:tc>
          <w:tcPr>
            <w:tcW w:w="544" w:type="dxa"/>
          </w:tcPr>
          <w:p>
            <w:pPr>
              <w:pStyle w:val="0"/>
            </w:pPr>
            <w:r>
              <w:rPr>
                <w:sz w:val="20"/>
              </w:rPr>
              <w:t xml:space="preserve">13.4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31,78</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"Няганская городская поликлиника"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Л041-01193-86/00351245</w:t>
            </w:r>
          </w:p>
          <w:p>
            <w:pPr>
              <w:pStyle w:val="0"/>
            </w:pPr>
            <w:r>
              <w:rPr>
                <w:sz w:val="20"/>
              </w:rPr>
              <w:t xml:space="preserve">от 27.12.2019 при оказании первичной специализированной медико-санитарной помощи в амбулаторных условиях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1</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46,940</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2025</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61,8</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Амбулаторное отделение медицинской реабилитации</w:t>
            </w:r>
          </w:p>
        </w:tc>
      </w:tr>
      <w:tr>
        <w:tc>
          <w:tcPr>
            <w:tcW w:w="544" w:type="dxa"/>
          </w:tcPr>
          <w:p>
            <w:pPr>
              <w:pStyle w:val="0"/>
            </w:pPr>
            <w:r>
              <w:rPr>
                <w:sz w:val="20"/>
              </w:rPr>
              <w:t xml:space="preserve">13.1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18</w:t>
            </w:r>
          </w:p>
        </w:tc>
      </w:tr>
      <w:tr>
        <w:tc>
          <w:tcPr>
            <w:tcW w:w="544" w:type="dxa"/>
          </w:tcPr>
          <w:p>
            <w:pPr>
              <w:pStyle w:val="0"/>
            </w:pPr>
            <w:r>
              <w:rPr>
                <w:sz w:val="20"/>
              </w:rPr>
              <w:t xml:space="preserve">13.2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94,45</w:t>
            </w:r>
          </w:p>
        </w:tc>
      </w:tr>
      <w:tr>
        <w:tc>
          <w:tcPr>
            <w:tcW w:w="544" w:type="dxa"/>
          </w:tcPr>
          <w:p>
            <w:pPr>
              <w:pStyle w:val="0"/>
            </w:pPr>
            <w:r>
              <w:rPr>
                <w:sz w:val="20"/>
              </w:rPr>
              <w:t xml:space="preserve">13.3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1,1</w:t>
            </w:r>
          </w:p>
        </w:tc>
      </w:tr>
      <w:tr>
        <w:tc>
          <w:tcPr>
            <w:tcW w:w="544" w:type="dxa"/>
          </w:tcPr>
          <w:p>
            <w:pPr>
              <w:pStyle w:val="0"/>
            </w:pPr>
            <w:r>
              <w:rPr>
                <w:sz w:val="20"/>
              </w:rPr>
              <w:t xml:space="preserve">13.4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61,8</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"Нижневартовская городская поликлиника"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Л041-01193-86/00322920</w:t>
            </w:r>
          </w:p>
          <w:p>
            <w:pPr>
              <w:pStyle w:val="0"/>
            </w:pPr>
            <w:r>
              <w:rPr>
                <w:sz w:val="20"/>
              </w:rPr>
              <w:t xml:space="preserve">от 03.10.2019 при оказании первичной специализированной медико-санитарной помощи в амбулаторных условиях</w:t>
            </w:r>
          </w:p>
          <w:p>
            <w:pPr>
              <w:pStyle w:val="0"/>
            </w:pPr>
            <w:r>
              <w:rPr>
                <w:sz w:val="20"/>
              </w:rPr>
              <w:t xml:space="preserve">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1</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211,107</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2025</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25,0</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Амбулаторное отделение медицинской реабилитации</w:t>
            </w:r>
          </w:p>
        </w:tc>
      </w:tr>
      <w:tr>
        <w:tc>
          <w:tcPr>
            <w:tcW w:w="544" w:type="dxa"/>
          </w:tcPr>
          <w:p>
            <w:pPr>
              <w:pStyle w:val="0"/>
            </w:pPr>
            <w:r>
              <w:rPr>
                <w:sz w:val="20"/>
              </w:rPr>
              <w:t xml:space="preserve">13.1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30</w:t>
            </w:r>
          </w:p>
        </w:tc>
      </w:tr>
      <w:tr>
        <w:tc>
          <w:tcPr>
            <w:tcW w:w="544" w:type="dxa"/>
          </w:tcPr>
          <w:p>
            <w:pPr>
              <w:pStyle w:val="0"/>
            </w:pPr>
            <w:r>
              <w:rPr>
                <w:sz w:val="20"/>
              </w:rPr>
              <w:t xml:space="preserve">13.2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93,75</w:t>
            </w:r>
          </w:p>
        </w:tc>
      </w:tr>
      <w:tr>
        <w:tc>
          <w:tcPr>
            <w:tcW w:w="544" w:type="dxa"/>
          </w:tcPr>
          <w:p>
            <w:pPr>
              <w:pStyle w:val="0"/>
            </w:pPr>
            <w:r>
              <w:rPr>
                <w:sz w:val="20"/>
              </w:rPr>
              <w:t xml:space="preserve">13.3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1,07</w:t>
            </w:r>
          </w:p>
        </w:tc>
      </w:tr>
      <w:tr>
        <w:tc>
          <w:tcPr>
            <w:tcW w:w="544" w:type="dxa"/>
          </w:tcPr>
          <w:p>
            <w:pPr>
              <w:pStyle w:val="0"/>
            </w:pPr>
            <w:r>
              <w:rPr>
                <w:sz w:val="20"/>
              </w:rPr>
              <w:t xml:space="preserve">13.4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25,0</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"Сургутский окружной клинический центр охраны материнства и детства"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Л041-01193-86/00574473</w:t>
            </w:r>
          </w:p>
          <w:p>
            <w:pPr>
              <w:pStyle w:val="0"/>
            </w:pPr>
            <w:r>
              <w:rPr>
                <w:sz w:val="20"/>
              </w:rPr>
              <w:t xml:space="preserve">от 21.02.2020 при оказании специализированной медицинской помощи в стационарных условиях по:</w:t>
            </w:r>
          </w:p>
          <w:p>
            <w:pPr>
              <w:pStyle w:val="0"/>
            </w:pPr>
            <w:r>
              <w:rPr>
                <w:sz w:val="20"/>
              </w:rPr>
              <w:t xml:space="preserve">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3</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нет</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2026</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39</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Детское нейрореабилитационное отделение</w:t>
            </w:r>
          </w:p>
        </w:tc>
      </w:tr>
      <w:tr>
        <w:tc>
          <w:tcPr>
            <w:tcW w:w="544" w:type="dxa"/>
          </w:tcPr>
          <w:p>
            <w:pPr>
              <w:pStyle w:val="0"/>
            </w:pPr>
            <w:r>
              <w:rPr>
                <w:sz w:val="20"/>
              </w:rPr>
              <w:t xml:space="preserve">12.1</w:t>
            </w:r>
          </w:p>
        </w:tc>
        <w:tc>
          <w:tcPr>
            <w:tcW w:w="3572" w:type="dxa"/>
          </w:tcPr>
          <w:p>
            <w:pPr>
              <w:pStyle w:val="0"/>
            </w:pPr>
            <w:r>
              <w:rPr>
                <w:sz w:val="20"/>
              </w:rPr>
              <w:t xml:space="preserve">Число и профиль круглосуточных коек (по состоянию на 01.01.2023)</w:t>
            </w:r>
          </w:p>
        </w:tc>
        <w:tc>
          <w:tcPr>
            <w:tcW w:w="4535" w:type="dxa"/>
          </w:tcPr>
          <w:p>
            <w:pPr>
              <w:pStyle w:val="0"/>
            </w:pPr>
            <w:r>
              <w:rPr>
                <w:sz w:val="20"/>
              </w:rPr>
              <w:t xml:space="preserve">15</w:t>
            </w:r>
          </w:p>
        </w:tc>
      </w:tr>
      <w:tr>
        <w:tc>
          <w:tcPr>
            <w:tcW w:w="544" w:type="dxa"/>
          </w:tcPr>
          <w:p>
            <w:pPr>
              <w:pStyle w:val="0"/>
            </w:pPr>
            <w:r>
              <w:rPr>
                <w:sz w:val="20"/>
              </w:rPr>
              <w:t xml:space="preserve">12.2</w:t>
            </w:r>
          </w:p>
        </w:tc>
        <w:tc>
          <w:tcPr>
            <w:tcW w:w="3572" w:type="dxa"/>
          </w:tcPr>
          <w:p>
            <w:pPr>
              <w:pStyle w:val="0"/>
            </w:pPr>
            <w:r>
              <w:rPr>
                <w:sz w:val="20"/>
              </w:rPr>
              <w:t xml:space="preserve">Число реабилитационных коек дневного стационара (по состоянию на 01.01.2023)</w:t>
            </w:r>
          </w:p>
        </w:tc>
        <w:tc>
          <w:tcPr>
            <w:tcW w:w="4535" w:type="dxa"/>
          </w:tcPr>
          <w:p>
            <w:pPr>
              <w:pStyle w:val="0"/>
            </w:pPr>
            <w:r>
              <w:rPr>
                <w:sz w:val="20"/>
              </w:rPr>
              <w:t xml:space="preserve">0</w:t>
            </w:r>
          </w:p>
        </w:tc>
      </w:tr>
      <w:tr>
        <w:tc>
          <w:tcPr>
            <w:tcW w:w="544" w:type="dxa"/>
          </w:tcPr>
          <w:p>
            <w:pPr>
              <w:pStyle w:val="0"/>
            </w:pPr>
            <w:r>
              <w:rPr>
                <w:sz w:val="20"/>
              </w:rPr>
              <w:t xml:space="preserve">12.3</w:t>
            </w:r>
          </w:p>
        </w:tc>
        <w:tc>
          <w:tcPr>
            <w:tcW w:w="3572" w:type="dxa"/>
          </w:tcPr>
          <w:p>
            <w:pPr>
              <w:pStyle w:val="0"/>
            </w:pPr>
            <w:r>
              <w:rPr>
                <w:sz w:val="20"/>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0"/>
              </w:rPr>
              <w:t xml:space="preserve">72</w:t>
            </w:r>
          </w:p>
        </w:tc>
      </w:tr>
      <w:tr>
        <w:tc>
          <w:tcPr>
            <w:tcW w:w="544" w:type="dxa"/>
          </w:tcPr>
          <w:p>
            <w:pPr>
              <w:pStyle w:val="0"/>
            </w:pPr>
            <w:r>
              <w:rPr>
                <w:sz w:val="20"/>
              </w:rPr>
              <w:t xml:space="preserve">12.4</w:t>
            </w:r>
          </w:p>
        </w:tc>
        <w:tc>
          <w:tcPr>
            <w:tcW w:w="3572" w:type="dxa"/>
          </w:tcPr>
          <w:p>
            <w:pPr>
              <w:pStyle w:val="0"/>
            </w:pPr>
            <w:r>
              <w:rPr>
                <w:sz w:val="20"/>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2,3</w:t>
            </w:r>
          </w:p>
        </w:tc>
      </w:tr>
      <w:tr>
        <w:tc>
          <w:tcPr>
            <w:tcW w:w="544" w:type="dxa"/>
          </w:tcPr>
          <w:p>
            <w:pPr>
              <w:pStyle w:val="0"/>
            </w:pPr>
            <w:r>
              <w:rPr>
                <w:sz w:val="20"/>
              </w:rPr>
              <w:t xml:space="preserve">12.5</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39</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нет</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"Нижневартовский окружной клинический перинатальный центр"</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Л041-01193-86/00350892</w:t>
            </w:r>
          </w:p>
          <w:p>
            <w:pPr>
              <w:pStyle w:val="0"/>
            </w:pPr>
            <w:r>
              <w:rPr>
                <w:sz w:val="20"/>
              </w:rPr>
              <w:t xml:space="preserve">от 28.09.2020 при оказании первичной специализированной медико-санитарной помощи в амбулаторных условиях, при оказании специализированной медицинской помощи в стационарных условиях по:</w:t>
            </w:r>
          </w:p>
          <w:p>
            <w:pPr>
              <w:pStyle w:val="0"/>
            </w:pPr>
            <w:r>
              <w:rPr>
                <w:sz w:val="20"/>
              </w:rPr>
              <w:t xml:space="preserve">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3</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нет</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2026 (детское нейрореабилитационное отделение)</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23,56</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Детское нейрореабилитационное отделение</w:t>
            </w:r>
          </w:p>
        </w:tc>
      </w:tr>
      <w:tr>
        <w:tc>
          <w:tcPr>
            <w:tcW w:w="544" w:type="dxa"/>
          </w:tcPr>
          <w:p>
            <w:pPr>
              <w:pStyle w:val="0"/>
            </w:pPr>
            <w:r>
              <w:rPr>
                <w:sz w:val="20"/>
              </w:rPr>
              <w:t xml:space="preserve">12.1</w:t>
            </w:r>
          </w:p>
        </w:tc>
        <w:tc>
          <w:tcPr>
            <w:tcW w:w="3572" w:type="dxa"/>
          </w:tcPr>
          <w:p>
            <w:pPr>
              <w:pStyle w:val="0"/>
            </w:pPr>
            <w:r>
              <w:rPr>
                <w:sz w:val="20"/>
              </w:rPr>
              <w:t xml:space="preserve">Число и профиль круглосуточных коек (по состоянию на 01.01.2023)</w:t>
            </w:r>
          </w:p>
        </w:tc>
        <w:tc>
          <w:tcPr>
            <w:tcW w:w="4535" w:type="dxa"/>
          </w:tcPr>
          <w:p>
            <w:pPr>
              <w:pStyle w:val="0"/>
            </w:pPr>
            <w:r>
              <w:rPr>
                <w:sz w:val="20"/>
              </w:rPr>
              <w:t xml:space="preserve">0 (10 по состоянию на 01.02.2023)</w:t>
            </w:r>
          </w:p>
        </w:tc>
      </w:tr>
      <w:tr>
        <w:tc>
          <w:tcPr>
            <w:tcW w:w="544" w:type="dxa"/>
          </w:tcPr>
          <w:p>
            <w:pPr>
              <w:pStyle w:val="0"/>
            </w:pPr>
            <w:r>
              <w:rPr>
                <w:sz w:val="20"/>
              </w:rPr>
              <w:t xml:space="preserve">12.2</w:t>
            </w:r>
          </w:p>
        </w:tc>
        <w:tc>
          <w:tcPr>
            <w:tcW w:w="3572" w:type="dxa"/>
          </w:tcPr>
          <w:p>
            <w:pPr>
              <w:pStyle w:val="0"/>
            </w:pPr>
            <w:r>
              <w:rPr>
                <w:sz w:val="20"/>
              </w:rPr>
              <w:t xml:space="preserve">Число реабилитационных коек дневного стационара (по состоянию на 01.01.2023)</w:t>
            </w:r>
          </w:p>
        </w:tc>
        <w:tc>
          <w:tcPr>
            <w:tcW w:w="4535" w:type="dxa"/>
          </w:tcPr>
          <w:p>
            <w:pPr>
              <w:pStyle w:val="0"/>
            </w:pPr>
            <w:r>
              <w:rPr>
                <w:sz w:val="20"/>
              </w:rPr>
              <w:t xml:space="preserve">0</w:t>
            </w:r>
          </w:p>
        </w:tc>
      </w:tr>
      <w:tr>
        <w:tc>
          <w:tcPr>
            <w:tcW w:w="544" w:type="dxa"/>
          </w:tcPr>
          <w:p>
            <w:pPr>
              <w:pStyle w:val="0"/>
            </w:pPr>
            <w:r>
              <w:rPr>
                <w:sz w:val="20"/>
              </w:rPr>
              <w:t xml:space="preserve">12.3</w:t>
            </w:r>
          </w:p>
        </w:tc>
        <w:tc>
          <w:tcPr>
            <w:tcW w:w="3572" w:type="dxa"/>
          </w:tcPr>
          <w:p>
            <w:pPr>
              <w:pStyle w:val="0"/>
            </w:pPr>
            <w:r>
              <w:rPr>
                <w:sz w:val="20"/>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0"/>
              </w:rPr>
              <w:t xml:space="preserve">70,8</w:t>
            </w:r>
          </w:p>
        </w:tc>
      </w:tr>
      <w:tr>
        <w:tc>
          <w:tcPr>
            <w:tcW w:w="544" w:type="dxa"/>
          </w:tcPr>
          <w:p>
            <w:pPr>
              <w:pStyle w:val="0"/>
            </w:pPr>
            <w:r>
              <w:rPr>
                <w:sz w:val="20"/>
              </w:rPr>
              <w:t xml:space="preserve">12.4</w:t>
            </w:r>
          </w:p>
        </w:tc>
        <w:tc>
          <w:tcPr>
            <w:tcW w:w="3572" w:type="dxa"/>
          </w:tcPr>
          <w:p>
            <w:pPr>
              <w:pStyle w:val="0"/>
            </w:pPr>
            <w:r>
              <w:rPr>
                <w:sz w:val="20"/>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1,25</w:t>
            </w:r>
          </w:p>
        </w:tc>
      </w:tr>
      <w:tr>
        <w:tc>
          <w:tcPr>
            <w:tcW w:w="544" w:type="dxa"/>
          </w:tcPr>
          <w:p>
            <w:pPr>
              <w:pStyle w:val="0"/>
            </w:pPr>
            <w:r>
              <w:rPr>
                <w:sz w:val="20"/>
              </w:rPr>
              <w:t xml:space="preserve">12.5</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23,56</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да (для детей) </w:t>
            </w:r>
            <w:hyperlink w:history="0" w:anchor="P26596" w:tooltip="&lt;*&gt; Данное структурное подразделение не участвует в мероприятии федерального проекта &quot;Оптимальная для восстановления здоровья медицинская реабилитация&quot; по оснащению медицинскими изделиями.">
              <w:r>
                <w:rPr>
                  <w:sz w:val="20"/>
                  <w:color w:val="0000ff"/>
                </w:rPr>
                <w:t xml:space="preserve">&lt;*&gt;</w:t>
              </w:r>
            </w:hyperlink>
          </w:p>
        </w:tc>
      </w:tr>
      <w:tr>
        <w:tc>
          <w:tcPr>
            <w:tcW w:w="544" w:type="dxa"/>
          </w:tcPr>
          <w:p>
            <w:pPr>
              <w:pStyle w:val="0"/>
            </w:pPr>
            <w:r>
              <w:rPr>
                <w:sz w:val="20"/>
              </w:rPr>
              <w:t xml:space="preserve">13.1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11</w:t>
            </w:r>
          </w:p>
        </w:tc>
      </w:tr>
      <w:tr>
        <w:tc>
          <w:tcPr>
            <w:tcW w:w="544" w:type="dxa"/>
          </w:tcPr>
          <w:p>
            <w:pPr>
              <w:pStyle w:val="0"/>
            </w:pPr>
            <w:r>
              <w:rPr>
                <w:sz w:val="20"/>
              </w:rPr>
              <w:t xml:space="preserve">13.2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85,7</w:t>
            </w:r>
          </w:p>
        </w:tc>
      </w:tr>
      <w:tr>
        <w:tc>
          <w:tcPr>
            <w:tcW w:w="544" w:type="dxa"/>
          </w:tcPr>
          <w:p>
            <w:pPr>
              <w:pStyle w:val="0"/>
            </w:pPr>
            <w:r>
              <w:rPr>
                <w:sz w:val="20"/>
              </w:rPr>
              <w:t xml:space="preserve">13.3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1,25</w:t>
            </w:r>
          </w:p>
        </w:tc>
      </w:tr>
      <w:tr>
        <w:tc>
          <w:tcPr>
            <w:tcW w:w="544" w:type="dxa"/>
          </w:tcPr>
          <w:p>
            <w:pPr>
              <w:pStyle w:val="0"/>
            </w:pPr>
            <w:r>
              <w:rPr>
                <w:sz w:val="20"/>
              </w:rPr>
              <w:t xml:space="preserve">13.4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33,9</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"Сургутская городская клиническая поликлиника N 2"</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Л041-01193-86/00369404</w:t>
            </w:r>
          </w:p>
          <w:p>
            <w:pPr>
              <w:pStyle w:val="0"/>
            </w:pPr>
            <w:r>
              <w:rPr>
                <w:sz w:val="20"/>
              </w:rPr>
              <w:t xml:space="preserve">от 05.11.2020</w:t>
            </w:r>
          </w:p>
          <w:p>
            <w:pPr>
              <w:pStyle w:val="0"/>
            </w:pPr>
            <w:r>
              <w:rPr>
                <w:sz w:val="20"/>
              </w:rPr>
              <w:t xml:space="preserve">при оказании первичной специализированной медико-санитарной помощи в амбулаторных условиях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1</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70,237</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2026</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44,35</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Амбулаторное отделение медицинской реабилитации</w:t>
            </w:r>
          </w:p>
        </w:tc>
      </w:tr>
      <w:tr>
        <w:tc>
          <w:tcPr>
            <w:tcW w:w="544" w:type="dxa"/>
          </w:tcPr>
          <w:p>
            <w:pPr>
              <w:pStyle w:val="0"/>
            </w:pPr>
            <w:r>
              <w:rPr>
                <w:sz w:val="20"/>
              </w:rPr>
              <w:t xml:space="preserve">13.1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92</w:t>
            </w:r>
          </w:p>
        </w:tc>
      </w:tr>
      <w:tr>
        <w:tc>
          <w:tcPr>
            <w:tcW w:w="544" w:type="dxa"/>
          </w:tcPr>
          <w:p>
            <w:pPr>
              <w:pStyle w:val="0"/>
            </w:pPr>
            <w:r>
              <w:rPr>
                <w:sz w:val="20"/>
              </w:rPr>
              <w:t xml:space="preserve">13.2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82,3</w:t>
            </w:r>
          </w:p>
        </w:tc>
      </w:tr>
      <w:tr>
        <w:tc>
          <w:tcPr>
            <w:tcW w:w="544" w:type="dxa"/>
          </w:tcPr>
          <w:p>
            <w:pPr>
              <w:pStyle w:val="0"/>
            </w:pPr>
            <w:r>
              <w:rPr>
                <w:sz w:val="20"/>
              </w:rPr>
              <w:t xml:space="preserve">13.3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1,5</w:t>
            </w:r>
          </w:p>
        </w:tc>
      </w:tr>
      <w:tr>
        <w:tc>
          <w:tcPr>
            <w:tcW w:w="544" w:type="dxa"/>
          </w:tcPr>
          <w:p>
            <w:pPr>
              <w:pStyle w:val="0"/>
            </w:pPr>
            <w:r>
              <w:rPr>
                <w:sz w:val="20"/>
              </w:rPr>
              <w:t xml:space="preserve">13.4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44,35</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"Югорская городская больница"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Л041-01193-86/00345141</w:t>
            </w:r>
          </w:p>
          <w:p>
            <w:pPr>
              <w:pStyle w:val="0"/>
            </w:pPr>
            <w:r>
              <w:rPr>
                <w:sz w:val="20"/>
              </w:rPr>
              <w:t xml:space="preserve">от 15.07.2019 при оказании первичной специализированной медико-санитарной помощи в амбулаторных условиях</w:t>
            </w:r>
          </w:p>
          <w:p>
            <w:pPr>
              <w:pStyle w:val="0"/>
            </w:pPr>
            <w:r>
              <w:rPr>
                <w:sz w:val="20"/>
              </w:rPr>
              <w:t xml:space="preserve">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1</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40</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2026</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25,6</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Амбулаторное отделение медицинской реабилитации</w:t>
            </w:r>
          </w:p>
        </w:tc>
      </w:tr>
      <w:tr>
        <w:tc>
          <w:tcPr>
            <w:tcW w:w="544" w:type="dxa"/>
          </w:tcPr>
          <w:p>
            <w:pPr>
              <w:pStyle w:val="0"/>
            </w:pPr>
            <w:r>
              <w:rPr>
                <w:sz w:val="20"/>
              </w:rPr>
              <w:t xml:space="preserve">13.1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40</w:t>
            </w:r>
          </w:p>
        </w:tc>
      </w:tr>
      <w:tr>
        <w:tc>
          <w:tcPr>
            <w:tcW w:w="544" w:type="dxa"/>
          </w:tcPr>
          <w:p>
            <w:pPr>
              <w:pStyle w:val="0"/>
            </w:pPr>
            <w:r>
              <w:rPr>
                <w:sz w:val="20"/>
              </w:rPr>
              <w:t xml:space="preserve">13.2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85,7</w:t>
            </w:r>
          </w:p>
        </w:tc>
      </w:tr>
      <w:tr>
        <w:tc>
          <w:tcPr>
            <w:tcW w:w="544" w:type="dxa"/>
          </w:tcPr>
          <w:p>
            <w:pPr>
              <w:pStyle w:val="0"/>
            </w:pPr>
            <w:r>
              <w:rPr>
                <w:sz w:val="20"/>
              </w:rPr>
              <w:t xml:space="preserve">13.3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1,6</w:t>
            </w:r>
          </w:p>
        </w:tc>
      </w:tr>
      <w:tr>
        <w:tc>
          <w:tcPr>
            <w:tcW w:w="544" w:type="dxa"/>
          </w:tcPr>
          <w:p>
            <w:pPr>
              <w:pStyle w:val="0"/>
            </w:pPr>
            <w:r>
              <w:rPr>
                <w:sz w:val="20"/>
              </w:rPr>
              <w:t xml:space="preserve">13.4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25,6</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"Пыть-Яхская окружная клиническая больница"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Л041-01193-86/00563391</w:t>
            </w:r>
          </w:p>
          <w:p>
            <w:pPr>
              <w:pStyle w:val="0"/>
            </w:pPr>
            <w:r>
              <w:rPr>
                <w:sz w:val="20"/>
              </w:rPr>
              <w:t xml:space="preserve">от 22.10.2020 при оказании первичной специализированной медико-санитарной помощи в амбулаторных условиях</w:t>
            </w:r>
          </w:p>
          <w:p>
            <w:pPr>
              <w:pStyle w:val="0"/>
            </w:pPr>
            <w:r>
              <w:rPr>
                <w:sz w:val="20"/>
              </w:rPr>
              <w:t xml:space="preserve">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1</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39,621</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2026</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45,7</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Амбулаторное отделение медицинской реабилитации</w:t>
            </w:r>
          </w:p>
        </w:tc>
      </w:tr>
      <w:tr>
        <w:tc>
          <w:tcPr>
            <w:tcW w:w="544" w:type="dxa"/>
          </w:tcPr>
          <w:p>
            <w:pPr>
              <w:pStyle w:val="0"/>
            </w:pPr>
            <w:r>
              <w:rPr>
                <w:sz w:val="20"/>
              </w:rPr>
              <w:t xml:space="preserve">13.1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14</w:t>
            </w:r>
          </w:p>
        </w:tc>
      </w:tr>
      <w:tr>
        <w:tc>
          <w:tcPr>
            <w:tcW w:w="544" w:type="dxa"/>
          </w:tcPr>
          <w:p>
            <w:pPr>
              <w:pStyle w:val="0"/>
            </w:pPr>
            <w:r>
              <w:rPr>
                <w:sz w:val="20"/>
              </w:rPr>
              <w:t xml:space="preserve">13.2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85,0</w:t>
            </w:r>
          </w:p>
        </w:tc>
      </w:tr>
      <w:tr>
        <w:tc>
          <w:tcPr>
            <w:tcW w:w="544" w:type="dxa"/>
          </w:tcPr>
          <w:p>
            <w:pPr>
              <w:pStyle w:val="0"/>
            </w:pPr>
            <w:r>
              <w:rPr>
                <w:sz w:val="20"/>
              </w:rPr>
              <w:t xml:space="preserve">13.3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1,06</w:t>
            </w:r>
          </w:p>
        </w:tc>
      </w:tr>
      <w:tr>
        <w:tc>
          <w:tcPr>
            <w:tcW w:w="544" w:type="dxa"/>
          </w:tcPr>
          <w:p>
            <w:pPr>
              <w:pStyle w:val="0"/>
            </w:pPr>
            <w:r>
              <w:rPr>
                <w:sz w:val="20"/>
              </w:rPr>
              <w:t xml:space="preserve">13.4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45,7</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"Мегионская городская больница"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Л041-01193-86/00351090</w:t>
            </w:r>
          </w:p>
          <w:p>
            <w:pPr>
              <w:pStyle w:val="0"/>
            </w:pPr>
            <w:r>
              <w:rPr>
                <w:sz w:val="20"/>
              </w:rPr>
              <w:t xml:space="preserve">от 29.12.2020 при оказании первичной специализированной медико-санитарной помощи в амбулаторных условиях,</w:t>
            </w:r>
          </w:p>
          <w:p>
            <w:pPr>
              <w:pStyle w:val="0"/>
            </w:pPr>
            <w:r>
              <w:rPr>
                <w:sz w:val="20"/>
              </w:rPr>
              <w:t xml:space="preserve">при оказании специализированной медицинской помощи в условиях дневного стационара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1</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59,4</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2026 (амбулаторное отделение медицинской реабилитации)</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36,52</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Детское поликлиническое отделение </w:t>
            </w:r>
            <w:hyperlink w:history="0" w:anchor="P26596" w:tooltip="&lt;*&gt; Данное структурное подразделение не участвует в мероприятии федерального проекта &quot;Оптимальная для восстановления здоровья медицинская реабилитация&quot; по оснащению медицинскими изделиями.">
              <w:r>
                <w:rPr>
                  <w:sz w:val="20"/>
                  <w:color w:val="0000ff"/>
                </w:rPr>
                <w:t xml:space="preserve">&lt;*&gt;</w:t>
              </w:r>
            </w:hyperlink>
          </w:p>
        </w:tc>
      </w:tr>
      <w:tr>
        <w:tc>
          <w:tcPr>
            <w:tcW w:w="544" w:type="dxa"/>
          </w:tcPr>
          <w:p>
            <w:pPr>
              <w:pStyle w:val="0"/>
            </w:pPr>
            <w:r>
              <w:rPr>
                <w:sz w:val="20"/>
              </w:rPr>
              <w:t xml:space="preserve">12.1</w:t>
            </w:r>
          </w:p>
        </w:tc>
        <w:tc>
          <w:tcPr>
            <w:tcW w:w="3572" w:type="dxa"/>
          </w:tcPr>
          <w:p>
            <w:pPr>
              <w:pStyle w:val="0"/>
            </w:pPr>
            <w:r>
              <w:rPr>
                <w:sz w:val="20"/>
              </w:rPr>
              <w:t xml:space="preserve">Число и профиль круглосуточных коек (по состоянию на 01.01.2023)</w:t>
            </w:r>
          </w:p>
        </w:tc>
        <w:tc>
          <w:tcPr>
            <w:tcW w:w="4535" w:type="dxa"/>
          </w:tcPr>
          <w:p>
            <w:pPr>
              <w:pStyle w:val="0"/>
            </w:pPr>
            <w:r>
              <w:rPr>
                <w:sz w:val="20"/>
              </w:rPr>
              <w:t xml:space="preserve">0</w:t>
            </w:r>
          </w:p>
        </w:tc>
      </w:tr>
      <w:tr>
        <w:tc>
          <w:tcPr>
            <w:tcW w:w="544" w:type="dxa"/>
          </w:tcPr>
          <w:p>
            <w:pPr>
              <w:pStyle w:val="0"/>
            </w:pPr>
            <w:r>
              <w:rPr>
                <w:sz w:val="20"/>
              </w:rPr>
              <w:t xml:space="preserve">12.2</w:t>
            </w:r>
          </w:p>
        </w:tc>
        <w:tc>
          <w:tcPr>
            <w:tcW w:w="3572" w:type="dxa"/>
          </w:tcPr>
          <w:p>
            <w:pPr>
              <w:pStyle w:val="0"/>
            </w:pPr>
            <w:r>
              <w:rPr>
                <w:sz w:val="20"/>
              </w:rPr>
              <w:t xml:space="preserve">Число реабилитационных коек дневного стационара (по состоянию на 01.01.2023)</w:t>
            </w:r>
          </w:p>
        </w:tc>
        <w:tc>
          <w:tcPr>
            <w:tcW w:w="4535" w:type="dxa"/>
          </w:tcPr>
          <w:p>
            <w:pPr>
              <w:pStyle w:val="0"/>
            </w:pPr>
            <w:r>
              <w:rPr>
                <w:sz w:val="20"/>
              </w:rPr>
              <w:t xml:space="preserve">20</w:t>
            </w:r>
          </w:p>
        </w:tc>
      </w:tr>
      <w:tr>
        <w:tc>
          <w:tcPr>
            <w:tcW w:w="544" w:type="dxa"/>
          </w:tcPr>
          <w:p>
            <w:pPr>
              <w:pStyle w:val="0"/>
            </w:pPr>
            <w:r>
              <w:rPr>
                <w:sz w:val="20"/>
              </w:rPr>
              <w:t xml:space="preserve">12.3</w:t>
            </w:r>
          </w:p>
        </w:tc>
        <w:tc>
          <w:tcPr>
            <w:tcW w:w="3572" w:type="dxa"/>
          </w:tcPr>
          <w:p>
            <w:pPr>
              <w:pStyle w:val="0"/>
            </w:pPr>
            <w:r>
              <w:rPr>
                <w:sz w:val="20"/>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0"/>
              </w:rPr>
              <w:t xml:space="preserve">100</w:t>
            </w:r>
          </w:p>
        </w:tc>
      </w:tr>
      <w:tr>
        <w:tc>
          <w:tcPr>
            <w:tcW w:w="544" w:type="dxa"/>
          </w:tcPr>
          <w:p>
            <w:pPr>
              <w:pStyle w:val="0"/>
            </w:pPr>
            <w:r>
              <w:rPr>
                <w:sz w:val="20"/>
              </w:rPr>
              <w:t xml:space="preserve">12.4</w:t>
            </w:r>
          </w:p>
        </w:tc>
        <w:tc>
          <w:tcPr>
            <w:tcW w:w="3572" w:type="dxa"/>
          </w:tcPr>
          <w:p>
            <w:pPr>
              <w:pStyle w:val="0"/>
            </w:pPr>
            <w:r>
              <w:rPr>
                <w:sz w:val="20"/>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1,3</w:t>
            </w:r>
          </w:p>
        </w:tc>
      </w:tr>
      <w:tr>
        <w:tc>
          <w:tcPr>
            <w:tcW w:w="544" w:type="dxa"/>
          </w:tcPr>
          <w:p>
            <w:pPr>
              <w:pStyle w:val="0"/>
            </w:pPr>
            <w:r>
              <w:rPr>
                <w:sz w:val="20"/>
              </w:rPr>
              <w:t xml:space="preserve">12.5</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95</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Амбулаторное отделение медицинской реабилитации</w:t>
            </w:r>
          </w:p>
        </w:tc>
      </w:tr>
      <w:tr>
        <w:tc>
          <w:tcPr>
            <w:tcW w:w="544" w:type="dxa"/>
          </w:tcPr>
          <w:p>
            <w:pPr>
              <w:pStyle w:val="0"/>
            </w:pPr>
            <w:r>
              <w:rPr>
                <w:sz w:val="20"/>
              </w:rPr>
              <w:t xml:space="preserve">13.1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20</w:t>
            </w:r>
          </w:p>
        </w:tc>
      </w:tr>
      <w:tr>
        <w:tc>
          <w:tcPr>
            <w:tcW w:w="544" w:type="dxa"/>
          </w:tcPr>
          <w:p>
            <w:pPr>
              <w:pStyle w:val="0"/>
            </w:pPr>
            <w:r>
              <w:rPr>
                <w:sz w:val="20"/>
              </w:rPr>
              <w:t xml:space="preserve">13.2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98,6</w:t>
            </w:r>
          </w:p>
        </w:tc>
      </w:tr>
      <w:tr>
        <w:tc>
          <w:tcPr>
            <w:tcW w:w="544" w:type="dxa"/>
          </w:tcPr>
          <w:p>
            <w:pPr>
              <w:pStyle w:val="0"/>
            </w:pPr>
            <w:r>
              <w:rPr>
                <w:sz w:val="20"/>
              </w:rPr>
              <w:t xml:space="preserve">13.3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1,07</w:t>
            </w:r>
          </w:p>
        </w:tc>
      </w:tr>
      <w:tr>
        <w:tc>
          <w:tcPr>
            <w:tcW w:w="544" w:type="dxa"/>
          </w:tcPr>
          <w:p>
            <w:pPr>
              <w:pStyle w:val="0"/>
            </w:pPr>
            <w:r>
              <w:rPr>
                <w:sz w:val="20"/>
              </w:rPr>
              <w:t xml:space="preserve">13.4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36,52</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"Сургутская городская клиническая поликлиника N 3"</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Л041-01193-86/00351672</w:t>
            </w:r>
          </w:p>
          <w:p>
            <w:pPr>
              <w:pStyle w:val="0"/>
            </w:pPr>
            <w:r>
              <w:rPr>
                <w:sz w:val="20"/>
              </w:rPr>
              <w:t xml:space="preserve">от 08.07.2020 при оказании первичной специализированной медико-санитарной помощи в амбулаторных условиях</w:t>
            </w:r>
          </w:p>
          <w:p>
            <w:pPr>
              <w:pStyle w:val="0"/>
            </w:pPr>
            <w:r>
              <w:rPr>
                <w:sz w:val="20"/>
              </w:rPr>
              <w:t xml:space="preserve">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1</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43,05</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2026</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46,0</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Амбулаторное отделение медицинской реабилитации</w:t>
            </w:r>
          </w:p>
        </w:tc>
      </w:tr>
      <w:tr>
        <w:tc>
          <w:tcPr>
            <w:tcW w:w="544" w:type="dxa"/>
          </w:tcPr>
          <w:p>
            <w:pPr>
              <w:pStyle w:val="0"/>
            </w:pPr>
            <w:r>
              <w:rPr>
                <w:sz w:val="20"/>
              </w:rPr>
              <w:t xml:space="preserve">13.1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89</w:t>
            </w:r>
          </w:p>
        </w:tc>
      </w:tr>
      <w:tr>
        <w:tc>
          <w:tcPr>
            <w:tcW w:w="544" w:type="dxa"/>
          </w:tcPr>
          <w:p>
            <w:pPr>
              <w:pStyle w:val="0"/>
            </w:pPr>
            <w:r>
              <w:rPr>
                <w:sz w:val="20"/>
              </w:rPr>
              <w:t xml:space="preserve">13.2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95</w:t>
            </w:r>
          </w:p>
        </w:tc>
      </w:tr>
      <w:tr>
        <w:tc>
          <w:tcPr>
            <w:tcW w:w="544" w:type="dxa"/>
          </w:tcPr>
          <w:p>
            <w:pPr>
              <w:pStyle w:val="0"/>
            </w:pPr>
            <w:r>
              <w:rPr>
                <w:sz w:val="20"/>
              </w:rPr>
              <w:t xml:space="preserve">13.3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0,9</w:t>
            </w:r>
          </w:p>
        </w:tc>
      </w:tr>
      <w:tr>
        <w:tc>
          <w:tcPr>
            <w:tcW w:w="544" w:type="dxa"/>
          </w:tcPr>
          <w:p>
            <w:pPr>
              <w:pStyle w:val="0"/>
            </w:pPr>
            <w:r>
              <w:rPr>
                <w:sz w:val="20"/>
              </w:rPr>
              <w:t xml:space="preserve">13.4</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46,0</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"Сургутская городская клиническая поликлиника N 4"</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Л041-01193-86/00338254</w:t>
            </w:r>
          </w:p>
          <w:p>
            <w:pPr>
              <w:pStyle w:val="0"/>
            </w:pPr>
            <w:r>
              <w:rPr>
                <w:sz w:val="20"/>
              </w:rPr>
              <w:t xml:space="preserve">от 26.12.2019 при оказании первичной специализированной медико-санитарной помощи в амбулаторных условиях, при оказании первичной специализированной медико-санитарной помощи в условиях дневного стационара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1</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136,7</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w:t>
            </w:r>
          </w:p>
        </w:tc>
        <w:tc>
          <w:tcPr>
            <w:tcW w:w="4535" w:type="dxa"/>
          </w:tcPr>
          <w:p>
            <w:pPr>
              <w:pStyle w:val="0"/>
            </w:pPr>
            <w:r>
              <w:rPr>
                <w:sz w:val="20"/>
              </w:rPr>
              <w:t xml:space="preserve">нет</w:t>
            </w:r>
          </w:p>
        </w:tc>
      </w:tr>
      <w:tr>
        <w:tc>
          <w:tcPr>
            <w:tcW w:w="544" w:type="dxa"/>
          </w:tcPr>
          <w:p>
            <w:pPr>
              <w:pStyle w:val="0"/>
            </w:pPr>
            <w:r>
              <w:rPr>
                <w:sz w:val="20"/>
              </w:rPr>
              <w:t xml:space="preserve">7.</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8.</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Дневной стационар детской поликлиники</w:t>
            </w:r>
          </w:p>
        </w:tc>
      </w:tr>
      <w:tr>
        <w:tc>
          <w:tcPr>
            <w:tcW w:w="544" w:type="dxa"/>
          </w:tcPr>
          <w:p>
            <w:pPr>
              <w:pStyle w:val="0"/>
            </w:pPr>
            <w:r>
              <w:rPr>
                <w:sz w:val="20"/>
              </w:rPr>
              <w:t xml:space="preserve">10.1</w:t>
            </w:r>
          </w:p>
        </w:tc>
        <w:tc>
          <w:tcPr>
            <w:tcW w:w="3572" w:type="dxa"/>
          </w:tcPr>
          <w:p>
            <w:pPr>
              <w:pStyle w:val="0"/>
            </w:pPr>
            <w:r>
              <w:rPr>
                <w:sz w:val="20"/>
              </w:rPr>
              <w:t xml:space="preserve">Число и профиль круглосуточных коек (по состоянию на 01.01.2023)</w:t>
            </w:r>
          </w:p>
        </w:tc>
        <w:tc>
          <w:tcPr>
            <w:tcW w:w="4535" w:type="dxa"/>
          </w:tcPr>
          <w:p>
            <w:pPr>
              <w:pStyle w:val="0"/>
            </w:pPr>
            <w:r>
              <w:rPr>
                <w:sz w:val="20"/>
              </w:rPr>
              <w:t xml:space="preserve">0</w:t>
            </w:r>
          </w:p>
        </w:tc>
      </w:tr>
      <w:tr>
        <w:tc>
          <w:tcPr>
            <w:tcW w:w="544" w:type="dxa"/>
          </w:tcPr>
          <w:p>
            <w:pPr>
              <w:pStyle w:val="0"/>
            </w:pPr>
            <w:r>
              <w:rPr>
                <w:sz w:val="20"/>
              </w:rPr>
              <w:t xml:space="preserve">10.2</w:t>
            </w:r>
          </w:p>
        </w:tc>
        <w:tc>
          <w:tcPr>
            <w:tcW w:w="3572" w:type="dxa"/>
          </w:tcPr>
          <w:p>
            <w:pPr>
              <w:pStyle w:val="0"/>
            </w:pPr>
            <w:r>
              <w:rPr>
                <w:sz w:val="20"/>
              </w:rPr>
              <w:t xml:space="preserve">Число реабилитационных коек дневного стационара (по состоянию на 01.01.2023)</w:t>
            </w:r>
          </w:p>
        </w:tc>
        <w:tc>
          <w:tcPr>
            <w:tcW w:w="4535" w:type="dxa"/>
          </w:tcPr>
          <w:p>
            <w:pPr>
              <w:pStyle w:val="0"/>
            </w:pPr>
            <w:r>
              <w:rPr>
                <w:sz w:val="20"/>
              </w:rPr>
              <w:t xml:space="preserve">30</w:t>
            </w:r>
          </w:p>
        </w:tc>
      </w:tr>
      <w:tr>
        <w:tc>
          <w:tcPr>
            <w:tcW w:w="544" w:type="dxa"/>
          </w:tcPr>
          <w:p>
            <w:pPr>
              <w:pStyle w:val="0"/>
            </w:pPr>
            <w:r>
              <w:rPr>
                <w:sz w:val="20"/>
              </w:rPr>
              <w:t xml:space="preserve">10.3</w:t>
            </w:r>
          </w:p>
        </w:tc>
        <w:tc>
          <w:tcPr>
            <w:tcW w:w="3572" w:type="dxa"/>
          </w:tcPr>
          <w:p>
            <w:pPr>
              <w:pStyle w:val="0"/>
            </w:pPr>
            <w:r>
              <w:rPr>
                <w:sz w:val="20"/>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0"/>
              </w:rPr>
              <w:t xml:space="preserve">94,4</w:t>
            </w:r>
          </w:p>
        </w:tc>
      </w:tr>
      <w:tr>
        <w:tc>
          <w:tcPr>
            <w:tcW w:w="544" w:type="dxa"/>
          </w:tcPr>
          <w:p>
            <w:pPr>
              <w:pStyle w:val="0"/>
            </w:pPr>
            <w:r>
              <w:rPr>
                <w:sz w:val="20"/>
              </w:rPr>
              <w:t xml:space="preserve">10.4</w:t>
            </w:r>
          </w:p>
        </w:tc>
        <w:tc>
          <w:tcPr>
            <w:tcW w:w="3572" w:type="dxa"/>
          </w:tcPr>
          <w:p>
            <w:pPr>
              <w:pStyle w:val="0"/>
            </w:pPr>
            <w:r>
              <w:rPr>
                <w:sz w:val="20"/>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1,13</w:t>
            </w:r>
          </w:p>
        </w:tc>
      </w:tr>
      <w:tr>
        <w:tc>
          <w:tcPr>
            <w:tcW w:w="544" w:type="dxa"/>
          </w:tcPr>
          <w:p>
            <w:pPr>
              <w:pStyle w:val="0"/>
            </w:pPr>
            <w:r>
              <w:rPr>
                <w:sz w:val="20"/>
              </w:rPr>
              <w:t xml:space="preserve">10.5</w:t>
            </w:r>
          </w:p>
        </w:tc>
        <w:tc>
          <w:tcPr>
            <w:tcW w:w="3572" w:type="dxa"/>
          </w:tcPr>
          <w:p>
            <w:pPr>
              <w:pStyle w:val="0"/>
            </w:pPr>
            <w:r>
              <w:rPr>
                <w:sz w:val="20"/>
              </w:rPr>
              <w:t xml:space="preserve">Оснащенность медицинскими изделиями (%)</w:t>
            </w:r>
          </w:p>
        </w:tc>
        <w:tc>
          <w:tcPr>
            <w:tcW w:w="4535" w:type="dxa"/>
          </w:tcPr>
          <w:p>
            <w:pPr>
              <w:pStyle w:val="0"/>
            </w:pPr>
            <w:r>
              <w:rPr>
                <w:sz w:val="20"/>
              </w:rPr>
              <w:t xml:space="preserve">72</w:t>
            </w:r>
          </w:p>
        </w:tc>
      </w:tr>
      <w:tr>
        <w:tc>
          <w:tcPr>
            <w:tcW w:w="544" w:type="dxa"/>
          </w:tcPr>
          <w:p>
            <w:pPr>
              <w:pStyle w:val="0"/>
            </w:pPr>
            <w:r>
              <w:rPr>
                <w:sz w:val="20"/>
              </w:rPr>
              <w:t xml:space="preserve">11.</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да</w:t>
            </w:r>
          </w:p>
        </w:tc>
      </w:tr>
      <w:tr>
        <w:tc>
          <w:tcPr>
            <w:tcW w:w="544" w:type="dxa"/>
          </w:tcPr>
          <w:p>
            <w:pPr>
              <w:pStyle w:val="0"/>
            </w:pPr>
            <w:r>
              <w:rPr>
                <w:sz w:val="20"/>
              </w:rPr>
              <w:t xml:space="preserve">11.1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42</w:t>
            </w:r>
          </w:p>
        </w:tc>
      </w:tr>
      <w:tr>
        <w:tc>
          <w:tcPr>
            <w:tcW w:w="544" w:type="dxa"/>
          </w:tcPr>
          <w:p>
            <w:pPr>
              <w:pStyle w:val="0"/>
            </w:pPr>
            <w:r>
              <w:rPr>
                <w:sz w:val="20"/>
              </w:rPr>
              <w:t xml:space="preserve">11.2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89,5</w:t>
            </w:r>
          </w:p>
        </w:tc>
      </w:tr>
      <w:tr>
        <w:tc>
          <w:tcPr>
            <w:tcW w:w="544" w:type="dxa"/>
          </w:tcPr>
          <w:p>
            <w:pPr>
              <w:pStyle w:val="0"/>
            </w:pPr>
            <w:r>
              <w:rPr>
                <w:sz w:val="20"/>
              </w:rPr>
              <w:t xml:space="preserve">11.3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1,2</w:t>
            </w:r>
          </w:p>
        </w:tc>
      </w:tr>
      <w:tr>
        <w:tc>
          <w:tcPr>
            <w:tcW w:w="544" w:type="dxa"/>
          </w:tcPr>
          <w:p>
            <w:pPr>
              <w:pStyle w:val="0"/>
            </w:pPr>
            <w:r>
              <w:rPr>
                <w:sz w:val="20"/>
              </w:rPr>
              <w:t xml:space="preserve">11.4</w:t>
            </w:r>
          </w:p>
        </w:tc>
        <w:tc>
          <w:tcPr>
            <w:tcW w:w="3572" w:type="dxa"/>
          </w:tcPr>
          <w:p>
            <w:pPr>
              <w:pStyle w:val="0"/>
            </w:pPr>
            <w:r>
              <w:rPr>
                <w:sz w:val="20"/>
              </w:rPr>
              <w:t xml:space="preserve">Оснащенность медицинскими изделиями (%)</w:t>
            </w:r>
          </w:p>
        </w:tc>
        <w:tc>
          <w:tcPr>
            <w:tcW w:w="4535" w:type="dxa"/>
          </w:tcPr>
          <w:p>
            <w:pPr>
              <w:pStyle w:val="0"/>
            </w:pPr>
            <w:r>
              <w:rPr>
                <w:sz w:val="20"/>
              </w:rPr>
              <w:t xml:space="preserve">100</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"Сургутская городская клиническая поликлиника N 5"</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Л041-01193-86/00326682</w:t>
            </w:r>
          </w:p>
          <w:p>
            <w:pPr>
              <w:pStyle w:val="0"/>
            </w:pPr>
            <w:r>
              <w:rPr>
                <w:sz w:val="20"/>
              </w:rPr>
              <w:t xml:space="preserve">от 27.08.2018 при оказании первичной специализированной медико-санитарной помощи в условиях дневного стационара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1</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15,358</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w:t>
            </w:r>
          </w:p>
        </w:tc>
        <w:tc>
          <w:tcPr>
            <w:tcW w:w="4535" w:type="dxa"/>
          </w:tcPr>
          <w:p>
            <w:pPr>
              <w:pStyle w:val="0"/>
            </w:pPr>
            <w:r>
              <w:rPr>
                <w:sz w:val="20"/>
              </w:rPr>
              <w:t xml:space="preserve">нет</w:t>
            </w:r>
          </w:p>
        </w:tc>
      </w:tr>
      <w:tr>
        <w:tc>
          <w:tcPr>
            <w:tcW w:w="544" w:type="dxa"/>
          </w:tcPr>
          <w:p>
            <w:pPr>
              <w:pStyle w:val="0"/>
            </w:pPr>
            <w:r>
              <w:rPr>
                <w:sz w:val="20"/>
              </w:rPr>
              <w:t xml:space="preserve">7.</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8.</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Дневной стационар детской поликлиники</w:t>
            </w:r>
          </w:p>
        </w:tc>
      </w:tr>
      <w:tr>
        <w:tc>
          <w:tcPr>
            <w:tcW w:w="544" w:type="dxa"/>
          </w:tcPr>
          <w:p>
            <w:pPr>
              <w:pStyle w:val="0"/>
            </w:pPr>
            <w:r>
              <w:rPr>
                <w:sz w:val="20"/>
              </w:rPr>
              <w:t xml:space="preserve">10.1</w:t>
            </w:r>
          </w:p>
        </w:tc>
        <w:tc>
          <w:tcPr>
            <w:tcW w:w="3572" w:type="dxa"/>
          </w:tcPr>
          <w:p>
            <w:pPr>
              <w:pStyle w:val="0"/>
            </w:pPr>
            <w:r>
              <w:rPr>
                <w:sz w:val="20"/>
              </w:rPr>
              <w:t xml:space="preserve">Число и профиль круглосуточных коек (по состоянию на 01.01.2023)</w:t>
            </w:r>
          </w:p>
        </w:tc>
        <w:tc>
          <w:tcPr>
            <w:tcW w:w="4535" w:type="dxa"/>
          </w:tcPr>
          <w:p>
            <w:pPr>
              <w:pStyle w:val="0"/>
            </w:pPr>
            <w:r>
              <w:rPr>
                <w:sz w:val="20"/>
              </w:rPr>
              <w:t xml:space="preserve">0</w:t>
            </w:r>
          </w:p>
        </w:tc>
      </w:tr>
      <w:tr>
        <w:tc>
          <w:tcPr>
            <w:tcW w:w="544" w:type="dxa"/>
          </w:tcPr>
          <w:p>
            <w:pPr>
              <w:pStyle w:val="0"/>
            </w:pPr>
            <w:r>
              <w:rPr>
                <w:sz w:val="20"/>
              </w:rPr>
              <w:t xml:space="preserve">10.2</w:t>
            </w:r>
          </w:p>
        </w:tc>
        <w:tc>
          <w:tcPr>
            <w:tcW w:w="3572" w:type="dxa"/>
          </w:tcPr>
          <w:p>
            <w:pPr>
              <w:pStyle w:val="0"/>
            </w:pPr>
            <w:r>
              <w:rPr>
                <w:sz w:val="20"/>
              </w:rPr>
              <w:t xml:space="preserve">Число реабилитационных коек дневного стационара (по состоянию на 01.01.2023)</w:t>
            </w:r>
          </w:p>
        </w:tc>
        <w:tc>
          <w:tcPr>
            <w:tcW w:w="4535" w:type="dxa"/>
          </w:tcPr>
          <w:p>
            <w:pPr>
              <w:pStyle w:val="0"/>
            </w:pPr>
            <w:r>
              <w:rPr>
                <w:sz w:val="20"/>
              </w:rPr>
              <w:t xml:space="preserve">15</w:t>
            </w:r>
          </w:p>
        </w:tc>
      </w:tr>
      <w:tr>
        <w:tc>
          <w:tcPr>
            <w:tcW w:w="544" w:type="dxa"/>
          </w:tcPr>
          <w:p>
            <w:pPr>
              <w:pStyle w:val="0"/>
            </w:pPr>
            <w:r>
              <w:rPr>
                <w:sz w:val="20"/>
              </w:rPr>
              <w:t xml:space="preserve">10.3</w:t>
            </w:r>
          </w:p>
        </w:tc>
        <w:tc>
          <w:tcPr>
            <w:tcW w:w="3572" w:type="dxa"/>
          </w:tcPr>
          <w:p>
            <w:pPr>
              <w:pStyle w:val="0"/>
            </w:pPr>
            <w:r>
              <w:rPr>
                <w:sz w:val="20"/>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0"/>
              </w:rPr>
              <w:t xml:space="preserve">96</w:t>
            </w:r>
          </w:p>
        </w:tc>
      </w:tr>
      <w:tr>
        <w:tc>
          <w:tcPr>
            <w:tcW w:w="544" w:type="dxa"/>
          </w:tcPr>
          <w:p>
            <w:pPr>
              <w:pStyle w:val="0"/>
            </w:pPr>
            <w:r>
              <w:rPr>
                <w:sz w:val="20"/>
              </w:rPr>
              <w:t xml:space="preserve">10.4</w:t>
            </w:r>
          </w:p>
        </w:tc>
        <w:tc>
          <w:tcPr>
            <w:tcW w:w="3572" w:type="dxa"/>
          </w:tcPr>
          <w:p>
            <w:pPr>
              <w:pStyle w:val="0"/>
            </w:pPr>
            <w:r>
              <w:rPr>
                <w:sz w:val="20"/>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1,4</w:t>
            </w:r>
          </w:p>
        </w:tc>
      </w:tr>
      <w:tr>
        <w:tc>
          <w:tcPr>
            <w:tcW w:w="544" w:type="dxa"/>
          </w:tcPr>
          <w:p>
            <w:pPr>
              <w:pStyle w:val="0"/>
            </w:pPr>
            <w:r>
              <w:rPr>
                <w:sz w:val="20"/>
              </w:rPr>
              <w:t xml:space="preserve">10.5</w:t>
            </w:r>
          </w:p>
        </w:tc>
        <w:tc>
          <w:tcPr>
            <w:tcW w:w="3572" w:type="dxa"/>
          </w:tcPr>
          <w:p>
            <w:pPr>
              <w:pStyle w:val="0"/>
            </w:pPr>
            <w:r>
              <w:rPr>
                <w:sz w:val="20"/>
              </w:rPr>
              <w:t xml:space="preserve">Оснащенность медицинскими изделиями (%)</w:t>
            </w:r>
          </w:p>
        </w:tc>
        <w:tc>
          <w:tcPr>
            <w:tcW w:w="4535" w:type="dxa"/>
          </w:tcPr>
          <w:p>
            <w:pPr>
              <w:pStyle w:val="0"/>
            </w:pPr>
            <w:r>
              <w:rPr>
                <w:sz w:val="20"/>
              </w:rPr>
              <w:t xml:space="preserve">67</w:t>
            </w:r>
          </w:p>
        </w:tc>
      </w:tr>
      <w:tr>
        <w:tc>
          <w:tcPr>
            <w:tcW w:w="544" w:type="dxa"/>
          </w:tcPr>
          <w:p>
            <w:pPr>
              <w:pStyle w:val="0"/>
            </w:pPr>
            <w:r>
              <w:rPr>
                <w:sz w:val="20"/>
              </w:rPr>
              <w:t xml:space="preserve">11.</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нет</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"Белоярская районная больница"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Л041-01193-86/00572288</w:t>
            </w:r>
          </w:p>
          <w:p>
            <w:pPr>
              <w:pStyle w:val="0"/>
            </w:pPr>
            <w:r>
              <w:rPr>
                <w:sz w:val="20"/>
              </w:rPr>
              <w:t xml:space="preserve">от 26.03.2020 при оказании первичной специализированной медико-санитарной помощи в амбулаторных условиях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1</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26,6</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w:t>
            </w:r>
          </w:p>
        </w:tc>
        <w:tc>
          <w:tcPr>
            <w:tcW w:w="4535" w:type="dxa"/>
          </w:tcPr>
          <w:p>
            <w:pPr>
              <w:pStyle w:val="0"/>
            </w:pPr>
            <w:r>
              <w:rPr>
                <w:sz w:val="20"/>
              </w:rPr>
              <w:t xml:space="preserve">нет</w:t>
            </w:r>
          </w:p>
        </w:tc>
      </w:tr>
      <w:tr>
        <w:tc>
          <w:tcPr>
            <w:tcW w:w="544" w:type="dxa"/>
          </w:tcPr>
          <w:p>
            <w:pPr>
              <w:pStyle w:val="0"/>
            </w:pPr>
            <w:r>
              <w:rPr>
                <w:sz w:val="20"/>
              </w:rPr>
              <w:t xml:space="preserve">7.</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8.</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да</w:t>
            </w:r>
          </w:p>
        </w:tc>
      </w:tr>
      <w:tr>
        <w:tc>
          <w:tcPr>
            <w:tcW w:w="544" w:type="dxa"/>
          </w:tcPr>
          <w:p>
            <w:pPr>
              <w:pStyle w:val="0"/>
            </w:pPr>
            <w:r>
              <w:rPr>
                <w:sz w:val="20"/>
              </w:rPr>
              <w:t xml:space="preserve">11.1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120</w:t>
            </w:r>
          </w:p>
        </w:tc>
      </w:tr>
      <w:tr>
        <w:tc>
          <w:tcPr>
            <w:tcW w:w="544" w:type="dxa"/>
          </w:tcPr>
          <w:p>
            <w:pPr>
              <w:pStyle w:val="0"/>
            </w:pPr>
            <w:r>
              <w:rPr>
                <w:sz w:val="20"/>
              </w:rPr>
              <w:t xml:space="preserve">11.2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88,9</w:t>
            </w:r>
          </w:p>
        </w:tc>
      </w:tr>
      <w:tr>
        <w:tc>
          <w:tcPr>
            <w:tcW w:w="544" w:type="dxa"/>
          </w:tcPr>
          <w:p>
            <w:pPr>
              <w:pStyle w:val="0"/>
            </w:pPr>
            <w:r>
              <w:rPr>
                <w:sz w:val="20"/>
              </w:rPr>
              <w:t xml:space="preserve">11.3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1</w:t>
            </w:r>
          </w:p>
        </w:tc>
      </w:tr>
      <w:tr>
        <w:tc>
          <w:tcPr>
            <w:tcW w:w="544" w:type="dxa"/>
          </w:tcPr>
          <w:p>
            <w:pPr>
              <w:pStyle w:val="0"/>
            </w:pPr>
            <w:r>
              <w:rPr>
                <w:sz w:val="20"/>
              </w:rPr>
              <w:t xml:space="preserve">11.4</w:t>
            </w:r>
          </w:p>
        </w:tc>
        <w:tc>
          <w:tcPr>
            <w:tcW w:w="3572" w:type="dxa"/>
          </w:tcPr>
          <w:p>
            <w:pPr>
              <w:pStyle w:val="0"/>
            </w:pPr>
            <w:r>
              <w:rPr>
                <w:sz w:val="20"/>
              </w:rPr>
              <w:t xml:space="preserve">Оснащенность медицинскими изделиями (%)</w:t>
            </w:r>
          </w:p>
        </w:tc>
        <w:tc>
          <w:tcPr>
            <w:tcW w:w="4535" w:type="dxa"/>
          </w:tcPr>
          <w:p>
            <w:pPr>
              <w:pStyle w:val="0"/>
            </w:pPr>
            <w:r>
              <w:rPr>
                <w:sz w:val="20"/>
              </w:rPr>
              <w:t xml:space="preserve">85</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"Покачевская городская больница"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Л041-01193-86/00343595</w:t>
            </w:r>
          </w:p>
          <w:p>
            <w:pPr>
              <w:pStyle w:val="0"/>
            </w:pPr>
            <w:r>
              <w:rPr>
                <w:sz w:val="20"/>
              </w:rPr>
              <w:t xml:space="preserve">от 28.06.2019 при оказании первичной специализированной медико-санитарной помощи в амбулаторных условиях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1</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17,6</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w:t>
            </w:r>
          </w:p>
        </w:tc>
        <w:tc>
          <w:tcPr>
            <w:tcW w:w="4535" w:type="dxa"/>
          </w:tcPr>
          <w:p>
            <w:pPr>
              <w:pStyle w:val="0"/>
            </w:pPr>
            <w:r>
              <w:rPr>
                <w:sz w:val="20"/>
              </w:rPr>
              <w:t xml:space="preserve">нет</w:t>
            </w:r>
          </w:p>
        </w:tc>
      </w:tr>
      <w:tr>
        <w:tc>
          <w:tcPr>
            <w:tcW w:w="544" w:type="dxa"/>
          </w:tcPr>
          <w:p>
            <w:pPr>
              <w:pStyle w:val="0"/>
            </w:pPr>
            <w:r>
              <w:rPr>
                <w:sz w:val="20"/>
              </w:rPr>
              <w:t xml:space="preserve">7.</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8.</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да</w:t>
            </w:r>
          </w:p>
        </w:tc>
      </w:tr>
      <w:tr>
        <w:tc>
          <w:tcPr>
            <w:tcW w:w="544" w:type="dxa"/>
          </w:tcPr>
          <w:p>
            <w:pPr>
              <w:pStyle w:val="0"/>
            </w:pPr>
            <w:r>
              <w:rPr>
                <w:sz w:val="20"/>
              </w:rPr>
              <w:t xml:space="preserve">11.1</w:t>
            </w:r>
          </w:p>
        </w:tc>
        <w:tc>
          <w:tcPr>
            <w:tcW w:w="3572" w:type="dxa"/>
          </w:tcPr>
          <w:p>
            <w:pPr>
              <w:pStyle w:val="0"/>
            </w:pPr>
            <w:r>
              <w:rPr>
                <w:sz w:val="20"/>
              </w:rPr>
              <w:t xml:space="preserve">Число посещений в смену</w:t>
            </w:r>
          </w:p>
        </w:tc>
        <w:tc>
          <w:tcPr>
            <w:tcW w:w="4535" w:type="dxa"/>
          </w:tcPr>
          <w:p>
            <w:pPr>
              <w:pStyle w:val="0"/>
            </w:pPr>
            <w:r>
              <w:rPr>
                <w:sz w:val="20"/>
              </w:rPr>
              <w:t xml:space="preserve">64</w:t>
            </w:r>
          </w:p>
        </w:tc>
      </w:tr>
      <w:tr>
        <w:tc>
          <w:tcPr>
            <w:tcW w:w="544" w:type="dxa"/>
          </w:tcPr>
          <w:p>
            <w:pPr>
              <w:pStyle w:val="0"/>
            </w:pPr>
            <w:r>
              <w:rPr>
                <w:sz w:val="20"/>
              </w:rPr>
              <w:t xml:space="preserve">11.2</w:t>
            </w:r>
          </w:p>
        </w:tc>
        <w:tc>
          <w:tcPr>
            <w:tcW w:w="3572" w:type="dxa"/>
          </w:tcPr>
          <w:p>
            <w:pPr>
              <w:pStyle w:val="0"/>
            </w:pPr>
            <w:r>
              <w:rPr>
                <w:sz w:val="20"/>
              </w:rPr>
              <w:t xml:space="preserve">Укомплектованность кадрами амбулаторного отделения медицинской реабилитации, с учетом совместительства (%)</w:t>
            </w:r>
          </w:p>
        </w:tc>
        <w:tc>
          <w:tcPr>
            <w:tcW w:w="4535" w:type="dxa"/>
          </w:tcPr>
          <w:p>
            <w:pPr>
              <w:pStyle w:val="0"/>
            </w:pPr>
            <w:r>
              <w:rPr>
                <w:sz w:val="20"/>
              </w:rPr>
              <w:t xml:space="preserve">85,2</w:t>
            </w:r>
          </w:p>
        </w:tc>
      </w:tr>
      <w:tr>
        <w:tc>
          <w:tcPr>
            <w:tcW w:w="544" w:type="dxa"/>
          </w:tcPr>
          <w:p>
            <w:pPr>
              <w:pStyle w:val="0"/>
            </w:pPr>
            <w:r>
              <w:rPr>
                <w:sz w:val="20"/>
              </w:rPr>
              <w:t xml:space="preserve">11.3</w:t>
            </w:r>
          </w:p>
        </w:tc>
        <w:tc>
          <w:tcPr>
            <w:tcW w:w="3572" w:type="dxa"/>
          </w:tcPr>
          <w:p>
            <w:pPr>
              <w:pStyle w:val="0"/>
            </w:pPr>
            <w:r>
              <w:rPr>
                <w:sz w:val="20"/>
              </w:rPr>
              <w:t xml:space="preserve">Коэффициент совместительства в амбулаторном отделении медицинской реабилитации</w:t>
            </w:r>
          </w:p>
        </w:tc>
        <w:tc>
          <w:tcPr>
            <w:tcW w:w="4535" w:type="dxa"/>
          </w:tcPr>
          <w:p>
            <w:pPr>
              <w:pStyle w:val="0"/>
            </w:pPr>
            <w:r>
              <w:rPr>
                <w:sz w:val="20"/>
              </w:rPr>
              <w:t xml:space="preserve">1,64</w:t>
            </w:r>
          </w:p>
        </w:tc>
      </w:tr>
      <w:tr>
        <w:tc>
          <w:tcPr>
            <w:tcW w:w="544" w:type="dxa"/>
          </w:tcPr>
          <w:p>
            <w:pPr>
              <w:pStyle w:val="0"/>
            </w:pPr>
            <w:r>
              <w:rPr>
                <w:sz w:val="20"/>
              </w:rPr>
              <w:t xml:space="preserve">11.4</w:t>
            </w:r>
          </w:p>
        </w:tc>
        <w:tc>
          <w:tcPr>
            <w:tcW w:w="3572" w:type="dxa"/>
          </w:tcPr>
          <w:p>
            <w:pPr>
              <w:pStyle w:val="0"/>
            </w:pPr>
            <w:r>
              <w:rPr>
                <w:sz w:val="20"/>
              </w:rPr>
              <w:t xml:space="preserve">Оснащенность медицинскими изделиями (%)</w:t>
            </w:r>
          </w:p>
        </w:tc>
        <w:tc>
          <w:tcPr>
            <w:tcW w:w="4535" w:type="dxa"/>
          </w:tcPr>
          <w:p>
            <w:pPr>
              <w:pStyle w:val="0"/>
            </w:pPr>
            <w:r>
              <w:rPr>
                <w:sz w:val="20"/>
              </w:rPr>
              <w:t xml:space="preserve">40</w:t>
            </w:r>
          </w:p>
        </w:tc>
      </w:tr>
    </w:tbl>
    <w:p>
      <w:pPr>
        <w:pStyle w:val="0"/>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4"/>
        <w:gridCol w:w="3572"/>
        <w:gridCol w:w="4535"/>
      </w:tblGrid>
      <w:tr>
        <w:tc>
          <w:tcPr>
            <w:tcW w:w="544" w:type="dxa"/>
          </w:tcPr>
          <w:p>
            <w:pPr>
              <w:pStyle w:val="0"/>
            </w:pPr>
            <w:r>
              <w:rPr>
                <w:sz w:val="20"/>
              </w:rPr>
              <w:t xml:space="preserve">1.</w:t>
            </w:r>
          </w:p>
        </w:tc>
        <w:tc>
          <w:tcPr>
            <w:tcW w:w="3572" w:type="dxa"/>
          </w:tcPr>
          <w:p>
            <w:pPr>
              <w:pStyle w:val="0"/>
            </w:pPr>
            <w:r>
              <w:rPr>
                <w:sz w:val="20"/>
              </w:rPr>
              <w:t xml:space="preserve">Полное наименование медицинской организации</w:t>
            </w:r>
          </w:p>
        </w:tc>
        <w:tc>
          <w:tcPr>
            <w:tcW w:w="4535" w:type="dxa"/>
          </w:tcPr>
          <w:p>
            <w:pPr>
              <w:pStyle w:val="0"/>
            </w:pPr>
            <w:r>
              <w:rPr>
                <w:sz w:val="20"/>
              </w:rPr>
              <w:t xml:space="preserve">БУ "Няганская городская детская поликлиника"</w:t>
            </w:r>
          </w:p>
        </w:tc>
      </w:tr>
      <w:tr>
        <w:tc>
          <w:tcPr>
            <w:tcW w:w="544" w:type="dxa"/>
          </w:tcPr>
          <w:p>
            <w:pPr>
              <w:pStyle w:val="0"/>
            </w:pPr>
            <w:r>
              <w:rPr>
                <w:sz w:val="20"/>
              </w:rPr>
              <w:t xml:space="preserve">2.</w:t>
            </w:r>
          </w:p>
        </w:tc>
        <w:tc>
          <w:tcPr>
            <w:tcW w:w="3572" w:type="dxa"/>
          </w:tcPr>
          <w:p>
            <w:pPr>
              <w:pStyle w:val="0"/>
            </w:pPr>
            <w:r>
              <w:rPr>
                <w:sz w:val="20"/>
              </w:rPr>
              <w:t xml:space="preserve">Наличие лицензии (указать работы (услуги) по медицинской реабилитации)</w:t>
            </w:r>
          </w:p>
        </w:tc>
        <w:tc>
          <w:tcPr>
            <w:tcW w:w="4535" w:type="dxa"/>
          </w:tcPr>
          <w:p>
            <w:pPr>
              <w:pStyle w:val="0"/>
            </w:pPr>
            <w:r>
              <w:rPr>
                <w:sz w:val="20"/>
              </w:rPr>
              <w:t xml:space="preserve">Л041-01193-86/00363289</w:t>
            </w:r>
          </w:p>
          <w:p>
            <w:pPr>
              <w:pStyle w:val="0"/>
            </w:pPr>
            <w:r>
              <w:rPr>
                <w:sz w:val="20"/>
              </w:rPr>
              <w:t xml:space="preserve">от 24.08.2020 при оказании первичной специализированной медико-санитарной помощи в условиях дневного стационара по: медицинской реабилитации</w:t>
            </w:r>
          </w:p>
        </w:tc>
      </w:tr>
      <w:tr>
        <w:tc>
          <w:tcPr>
            <w:tcW w:w="544" w:type="dxa"/>
          </w:tcPr>
          <w:p>
            <w:pPr>
              <w:pStyle w:val="0"/>
            </w:pPr>
            <w:r>
              <w:rPr>
                <w:sz w:val="20"/>
              </w:rPr>
              <w:t xml:space="preserve">3.</w:t>
            </w:r>
          </w:p>
        </w:tc>
        <w:tc>
          <w:tcPr>
            <w:tcW w:w="3572" w:type="dxa"/>
          </w:tcPr>
          <w:p>
            <w:pPr>
              <w:pStyle w:val="0"/>
            </w:pPr>
            <w:r>
              <w:rPr>
                <w:sz w:val="20"/>
              </w:rPr>
              <w:t xml:space="preserve">Группа медицинской организации (1, 2, 3)</w:t>
            </w:r>
          </w:p>
        </w:tc>
        <w:tc>
          <w:tcPr>
            <w:tcW w:w="4535" w:type="dxa"/>
          </w:tcPr>
          <w:p>
            <w:pPr>
              <w:pStyle w:val="0"/>
            </w:pPr>
            <w:r>
              <w:rPr>
                <w:sz w:val="20"/>
              </w:rPr>
              <w:t xml:space="preserve">1</w:t>
            </w:r>
          </w:p>
        </w:tc>
      </w:tr>
      <w:tr>
        <w:tc>
          <w:tcPr>
            <w:tcW w:w="544" w:type="dxa"/>
          </w:tcPr>
          <w:p>
            <w:pPr>
              <w:pStyle w:val="0"/>
            </w:pPr>
            <w:r>
              <w:rPr>
                <w:sz w:val="20"/>
              </w:rPr>
              <w:t xml:space="preserve">4.</w:t>
            </w:r>
          </w:p>
        </w:tc>
        <w:tc>
          <w:tcPr>
            <w:tcW w:w="3572" w:type="dxa"/>
          </w:tcPr>
          <w:p>
            <w:pPr>
              <w:pStyle w:val="0"/>
            </w:pPr>
            <w:r>
              <w:rPr>
                <w:sz w:val="20"/>
              </w:rPr>
              <w:t xml:space="preserve">Медицинская организация является "якорной" по профилю "медицинская реабилитация" (да/нет)</w:t>
            </w:r>
          </w:p>
        </w:tc>
        <w:tc>
          <w:tcPr>
            <w:tcW w:w="4535" w:type="dxa"/>
          </w:tcPr>
          <w:p>
            <w:pPr>
              <w:pStyle w:val="0"/>
            </w:pPr>
            <w:r>
              <w:rPr>
                <w:sz w:val="20"/>
              </w:rPr>
              <w:t xml:space="preserve">нет</w:t>
            </w:r>
          </w:p>
        </w:tc>
      </w:tr>
      <w:tr>
        <w:tc>
          <w:tcPr>
            <w:tcW w:w="544" w:type="dxa"/>
          </w:tcPr>
          <w:p>
            <w:pPr>
              <w:pStyle w:val="0"/>
            </w:pPr>
            <w:r>
              <w:rPr>
                <w:sz w:val="20"/>
              </w:rPr>
              <w:t xml:space="preserve">5.</w:t>
            </w:r>
          </w:p>
        </w:tc>
        <w:tc>
          <w:tcPr>
            <w:tcW w:w="3572" w:type="dxa"/>
          </w:tcPr>
          <w:p>
            <w:pPr>
              <w:pStyle w:val="0"/>
            </w:pPr>
            <w:r>
              <w:rPr>
                <w:sz w:val="20"/>
              </w:rPr>
              <w:t xml:space="preserve">Число прикрепленного населения (тыс. чел.) (при наличии)</w:t>
            </w:r>
          </w:p>
        </w:tc>
        <w:tc>
          <w:tcPr>
            <w:tcW w:w="4535" w:type="dxa"/>
          </w:tcPr>
          <w:p>
            <w:pPr>
              <w:pStyle w:val="0"/>
            </w:pPr>
            <w:r>
              <w:rPr>
                <w:sz w:val="20"/>
              </w:rPr>
              <w:t xml:space="preserve">14,819</w:t>
            </w:r>
          </w:p>
        </w:tc>
      </w:tr>
      <w:tr>
        <w:tc>
          <w:tcPr>
            <w:tcW w:w="544" w:type="dxa"/>
          </w:tcPr>
          <w:p>
            <w:pPr>
              <w:pStyle w:val="0"/>
            </w:pPr>
            <w:r>
              <w:rPr>
                <w:sz w:val="20"/>
              </w:rPr>
              <w:t xml:space="preserve">6.</w:t>
            </w:r>
          </w:p>
        </w:tc>
        <w:tc>
          <w:tcPr>
            <w:tcW w:w="3572" w:type="dxa"/>
          </w:tcPr>
          <w:p>
            <w:pPr>
              <w:pStyle w:val="0"/>
            </w:pPr>
            <w:r>
              <w:rPr>
                <w:sz w:val="20"/>
              </w:rPr>
              <w:t xml:space="preserve">Участие в мероприятии федерального проекта "Оптимальная для восстановления здоровья медицинская реабилитация" по оснащению медицинскими изделиями (указать год оснащения)</w:t>
            </w:r>
          </w:p>
        </w:tc>
        <w:tc>
          <w:tcPr>
            <w:tcW w:w="4535" w:type="dxa"/>
          </w:tcPr>
          <w:p>
            <w:pPr>
              <w:pStyle w:val="0"/>
            </w:pPr>
            <w:r>
              <w:rPr>
                <w:sz w:val="20"/>
              </w:rPr>
              <w:t xml:space="preserve">нет</w:t>
            </w:r>
          </w:p>
        </w:tc>
      </w:tr>
      <w:tr>
        <w:tc>
          <w:tcPr>
            <w:tcW w:w="544" w:type="dxa"/>
          </w:tcPr>
          <w:p>
            <w:pPr>
              <w:pStyle w:val="0"/>
            </w:pPr>
            <w:r>
              <w:rPr>
                <w:sz w:val="20"/>
              </w:rPr>
              <w:t xml:space="preserve">7.</w:t>
            </w:r>
          </w:p>
        </w:tc>
        <w:tc>
          <w:tcPr>
            <w:tcW w:w="3572" w:type="dxa"/>
          </w:tcPr>
          <w:p>
            <w:pPr>
              <w:pStyle w:val="0"/>
            </w:pPr>
            <w:r>
              <w:rPr>
                <w:sz w:val="20"/>
              </w:rPr>
              <w:t xml:space="preserve">Коэффициент оснащенности медицинской организации на май 2023 года (%)</w:t>
            </w:r>
          </w:p>
        </w:tc>
        <w:tc>
          <w:tcPr>
            <w:tcW w:w="4535" w:type="dxa"/>
          </w:tcPr>
          <w:p>
            <w:pPr>
              <w:pStyle w:val="0"/>
            </w:pPr>
            <w:r>
              <w:rPr>
                <w:sz w:val="20"/>
              </w:rPr>
              <w:t xml:space="preserve">82,1</w:t>
            </w:r>
          </w:p>
        </w:tc>
      </w:tr>
      <w:tr>
        <w:tc>
          <w:tcPr>
            <w:tcW w:w="544" w:type="dxa"/>
          </w:tcPr>
          <w:p>
            <w:pPr>
              <w:pStyle w:val="0"/>
            </w:pPr>
            <w:r>
              <w:rPr>
                <w:sz w:val="20"/>
              </w:rPr>
              <w:t xml:space="preserve">8.</w:t>
            </w:r>
          </w:p>
        </w:tc>
        <w:tc>
          <w:tcPr>
            <w:tcW w:w="3572" w:type="dxa"/>
          </w:tcPr>
          <w:p>
            <w:pPr>
              <w:pStyle w:val="0"/>
            </w:pPr>
            <w:r>
              <w:rPr>
                <w:sz w:val="20"/>
              </w:rPr>
              <w:t xml:space="preserve">Используются ли в медицинской организации залы и кабинеты для осуществления медицинской реабилитации несколькими отделениями медицинской реабилитации (да/нет)</w:t>
            </w:r>
          </w:p>
        </w:tc>
        <w:tc>
          <w:tcPr>
            <w:tcW w:w="4535" w:type="dxa"/>
          </w:tcPr>
          <w:p>
            <w:pPr>
              <w:pStyle w:val="0"/>
            </w:pPr>
            <w:r>
              <w:rPr>
                <w:sz w:val="20"/>
              </w:rPr>
              <w:t xml:space="preserve">нет</w:t>
            </w:r>
          </w:p>
        </w:tc>
      </w:tr>
      <w:tr>
        <w:tc>
          <w:tcPr>
            <w:tcW w:w="544" w:type="dxa"/>
          </w:tcPr>
          <w:p>
            <w:pPr>
              <w:pStyle w:val="0"/>
            </w:pPr>
            <w:r>
              <w:rPr>
                <w:sz w:val="20"/>
              </w:rPr>
              <w:t xml:space="preserve">9.</w:t>
            </w:r>
          </w:p>
        </w:tc>
        <w:tc>
          <w:tcPr>
            <w:tcW w:w="3572" w:type="dxa"/>
          </w:tcPr>
          <w:p>
            <w:pPr>
              <w:pStyle w:val="0"/>
            </w:pPr>
            <w:r>
              <w:rPr>
                <w:sz w:val="20"/>
              </w:rPr>
              <w:t xml:space="preserve">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4535" w:type="dxa"/>
          </w:tcPr>
          <w:p>
            <w:pPr>
              <w:pStyle w:val="0"/>
            </w:pPr>
            <w:r>
              <w:rPr>
                <w:sz w:val="20"/>
              </w:rPr>
              <w:t xml:space="preserve">нет</w:t>
            </w:r>
          </w:p>
        </w:tc>
      </w:tr>
      <w:tr>
        <w:tc>
          <w:tcPr>
            <w:tcW w:w="544" w:type="dxa"/>
          </w:tcPr>
          <w:p>
            <w:pPr>
              <w:pStyle w:val="0"/>
            </w:pPr>
            <w:r>
              <w:rPr>
                <w:sz w:val="20"/>
              </w:rPr>
              <w:t xml:space="preserve">10.</w:t>
            </w:r>
          </w:p>
        </w:tc>
        <w:tc>
          <w:tcPr>
            <w:tcW w:w="3572" w:type="dxa"/>
          </w:tcPr>
          <w:p>
            <w:pPr>
              <w:pStyle w:val="0"/>
            </w:pPr>
            <w:r>
              <w:rPr>
                <w:sz w:val="20"/>
              </w:rPr>
              <w:t xml:space="preserve">Наименование стационарного отделения медицинской реабилитации (для взрослых)</w:t>
            </w:r>
          </w:p>
        </w:tc>
        <w:tc>
          <w:tcPr>
            <w:tcW w:w="4535" w:type="dxa"/>
          </w:tcPr>
          <w:p>
            <w:pPr>
              <w:pStyle w:val="0"/>
            </w:pPr>
            <w:r>
              <w:rPr>
                <w:sz w:val="20"/>
              </w:rPr>
              <w:t xml:space="preserve">нет</w:t>
            </w:r>
          </w:p>
        </w:tc>
      </w:tr>
      <w:tr>
        <w:tc>
          <w:tcPr>
            <w:tcW w:w="544" w:type="dxa"/>
          </w:tcPr>
          <w:p>
            <w:pPr>
              <w:pStyle w:val="0"/>
            </w:pPr>
            <w:r>
              <w:rPr>
                <w:sz w:val="20"/>
              </w:rPr>
              <w:t xml:space="preserve">11.</w:t>
            </w:r>
          </w:p>
        </w:tc>
        <w:tc>
          <w:tcPr>
            <w:tcW w:w="3572" w:type="dxa"/>
          </w:tcPr>
          <w:p>
            <w:pPr>
              <w:pStyle w:val="0"/>
            </w:pPr>
            <w:r>
              <w:rPr>
                <w:sz w:val="20"/>
              </w:rPr>
              <w:t xml:space="preserve">Наличие дневного стационара медицинской реабилитации (для взрослых) (да/нет)</w:t>
            </w:r>
          </w:p>
        </w:tc>
        <w:tc>
          <w:tcPr>
            <w:tcW w:w="4535" w:type="dxa"/>
          </w:tcPr>
          <w:p>
            <w:pPr>
              <w:pStyle w:val="0"/>
            </w:pPr>
            <w:r>
              <w:rPr>
                <w:sz w:val="20"/>
              </w:rPr>
              <w:t xml:space="preserve">нет</w:t>
            </w:r>
          </w:p>
        </w:tc>
      </w:tr>
      <w:tr>
        <w:tc>
          <w:tcPr>
            <w:tcW w:w="544" w:type="dxa"/>
          </w:tcPr>
          <w:p>
            <w:pPr>
              <w:pStyle w:val="0"/>
            </w:pPr>
            <w:r>
              <w:rPr>
                <w:sz w:val="20"/>
              </w:rPr>
              <w:t xml:space="preserve">12.</w:t>
            </w:r>
          </w:p>
        </w:tc>
        <w:tc>
          <w:tcPr>
            <w:tcW w:w="3572" w:type="dxa"/>
          </w:tcPr>
          <w:p>
            <w:pPr>
              <w:pStyle w:val="0"/>
            </w:pPr>
            <w:r>
              <w:rPr>
                <w:sz w:val="20"/>
              </w:rPr>
              <w:t xml:space="preserve">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Отделение медицинской реабилитации (дневной стационар детской поликлиники)</w:t>
            </w:r>
          </w:p>
        </w:tc>
      </w:tr>
      <w:tr>
        <w:tc>
          <w:tcPr>
            <w:tcW w:w="544" w:type="dxa"/>
          </w:tcPr>
          <w:p>
            <w:pPr>
              <w:pStyle w:val="0"/>
            </w:pPr>
            <w:r>
              <w:rPr>
                <w:sz w:val="20"/>
              </w:rPr>
              <w:t xml:space="preserve">12.1</w:t>
            </w:r>
          </w:p>
        </w:tc>
        <w:tc>
          <w:tcPr>
            <w:tcW w:w="3572" w:type="dxa"/>
          </w:tcPr>
          <w:p>
            <w:pPr>
              <w:pStyle w:val="0"/>
            </w:pPr>
            <w:r>
              <w:rPr>
                <w:sz w:val="20"/>
              </w:rPr>
              <w:t xml:space="preserve">Число и профиль круглосуточных коек (по состоянию на 01.01.2023)</w:t>
            </w:r>
          </w:p>
        </w:tc>
        <w:tc>
          <w:tcPr>
            <w:tcW w:w="4535" w:type="dxa"/>
          </w:tcPr>
          <w:p>
            <w:pPr>
              <w:pStyle w:val="0"/>
            </w:pPr>
            <w:r>
              <w:rPr>
                <w:sz w:val="20"/>
              </w:rPr>
              <w:t xml:space="preserve">0</w:t>
            </w:r>
          </w:p>
        </w:tc>
      </w:tr>
      <w:tr>
        <w:tc>
          <w:tcPr>
            <w:tcW w:w="544" w:type="dxa"/>
          </w:tcPr>
          <w:p>
            <w:pPr>
              <w:pStyle w:val="0"/>
            </w:pPr>
            <w:r>
              <w:rPr>
                <w:sz w:val="20"/>
              </w:rPr>
              <w:t xml:space="preserve">12.2</w:t>
            </w:r>
          </w:p>
        </w:tc>
        <w:tc>
          <w:tcPr>
            <w:tcW w:w="3572" w:type="dxa"/>
          </w:tcPr>
          <w:p>
            <w:pPr>
              <w:pStyle w:val="0"/>
            </w:pPr>
            <w:r>
              <w:rPr>
                <w:sz w:val="20"/>
              </w:rPr>
              <w:t xml:space="preserve">Число реабилитационных коек дневного стационара (по состоянию на 01.01.2023)</w:t>
            </w:r>
          </w:p>
        </w:tc>
        <w:tc>
          <w:tcPr>
            <w:tcW w:w="4535" w:type="dxa"/>
          </w:tcPr>
          <w:p>
            <w:pPr>
              <w:pStyle w:val="0"/>
            </w:pPr>
            <w:r>
              <w:rPr>
                <w:sz w:val="20"/>
              </w:rPr>
              <w:t xml:space="preserve">15</w:t>
            </w:r>
          </w:p>
        </w:tc>
      </w:tr>
      <w:tr>
        <w:tc>
          <w:tcPr>
            <w:tcW w:w="544" w:type="dxa"/>
          </w:tcPr>
          <w:p>
            <w:pPr>
              <w:pStyle w:val="0"/>
            </w:pPr>
            <w:r>
              <w:rPr>
                <w:sz w:val="20"/>
              </w:rPr>
              <w:t xml:space="preserve">12.3</w:t>
            </w:r>
          </w:p>
        </w:tc>
        <w:tc>
          <w:tcPr>
            <w:tcW w:w="3572" w:type="dxa"/>
          </w:tcPr>
          <w:p>
            <w:pPr>
              <w:pStyle w:val="0"/>
            </w:pPr>
            <w:r>
              <w:rPr>
                <w:sz w:val="20"/>
              </w:rPr>
              <w:t xml:space="preserve">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p>
        </w:tc>
        <w:tc>
          <w:tcPr>
            <w:tcW w:w="4535" w:type="dxa"/>
          </w:tcPr>
          <w:p>
            <w:pPr>
              <w:pStyle w:val="0"/>
            </w:pPr>
            <w:r>
              <w:rPr>
                <w:sz w:val="20"/>
              </w:rPr>
              <w:t xml:space="preserve">83</w:t>
            </w:r>
          </w:p>
        </w:tc>
      </w:tr>
      <w:tr>
        <w:tc>
          <w:tcPr>
            <w:tcW w:w="544" w:type="dxa"/>
          </w:tcPr>
          <w:p>
            <w:pPr>
              <w:pStyle w:val="0"/>
            </w:pPr>
            <w:r>
              <w:rPr>
                <w:sz w:val="20"/>
              </w:rPr>
              <w:t xml:space="preserve">12.4</w:t>
            </w:r>
          </w:p>
        </w:tc>
        <w:tc>
          <w:tcPr>
            <w:tcW w:w="3572" w:type="dxa"/>
          </w:tcPr>
          <w:p>
            <w:pPr>
              <w:pStyle w:val="0"/>
            </w:pPr>
            <w:r>
              <w:rPr>
                <w:sz w:val="20"/>
              </w:rPr>
              <w:t xml:space="preserve">Коэффициент совместительства в отделении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4535" w:type="dxa"/>
          </w:tcPr>
          <w:p>
            <w:pPr>
              <w:pStyle w:val="0"/>
            </w:pPr>
            <w:r>
              <w:rPr>
                <w:sz w:val="20"/>
              </w:rPr>
              <w:t xml:space="preserve">1,4</w:t>
            </w:r>
          </w:p>
        </w:tc>
      </w:tr>
      <w:tr>
        <w:tc>
          <w:tcPr>
            <w:tcW w:w="544" w:type="dxa"/>
          </w:tcPr>
          <w:p>
            <w:pPr>
              <w:pStyle w:val="0"/>
            </w:pPr>
            <w:r>
              <w:rPr>
                <w:sz w:val="20"/>
              </w:rPr>
              <w:t xml:space="preserve">12.5</w:t>
            </w:r>
          </w:p>
        </w:tc>
        <w:tc>
          <w:tcPr>
            <w:tcW w:w="3572" w:type="dxa"/>
          </w:tcPr>
          <w:p>
            <w:pPr>
              <w:pStyle w:val="0"/>
            </w:pPr>
            <w:r>
              <w:rPr>
                <w:sz w:val="20"/>
              </w:rPr>
              <w:t xml:space="preserve">Коэффициент оснащенности отделения (%)</w:t>
            </w:r>
          </w:p>
        </w:tc>
        <w:tc>
          <w:tcPr>
            <w:tcW w:w="4535" w:type="dxa"/>
          </w:tcPr>
          <w:p>
            <w:pPr>
              <w:pStyle w:val="0"/>
            </w:pPr>
            <w:r>
              <w:rPr>
                <w:sz w:val="20"/>
              </w:rPr>
              <w:t xml:space="preserve">82,1</w:t>
            </w:r>
          </w:p>
        </w:tc>
      </w:tr>
      <w:tr>
        <w:tc>
          <w:tcPr>
            <w:tcW w:w="544" w:type="dxa"/>
          </w:tcPr>
          <w:p>
            <w:pPr>
              <w:pStyle w:val="0"/>
            </w:pPr>
            <w:r>
              <w:rPr>
                <w:sz w:val="20"/>
              </w:rPr>
              <w:t xml:space="preserve">13.</w:t>
            </w:r>
          </w:p>
        </w:tc>
        <w:tc>
          <w:tcPr>
            <w:tcW w:w="3572" w:type="dxa"/>
          </w:tcPr>
          <w:p>
            <w:pPr>
              <w:pStyle w:val="0"/>
            </w:pPr>
            <w:r>
              <w:rPr>
                <w:sz w:val="20"/>
              </w:rPr>
              <w:t xml:space="preserve">Наличие амбулаторного отделения медицинской реабилитации</w:t>
            </w:r>
          </w:p>
        </w:tc>
        <w:tc>
          <w:tcPr>
            <w:tcW w:w="4535" w:type="dxa"/>
          </w:tcPr>
          <w:p>
            <w:pPr>
              <w:pStyle w:val="0"/>
            </w:pPr>
            <w:r>
              <w:rPr>
                <w:sz w:val="20"/>
              </w:rPr>
              <w:t xml:space="preserve">нет</w:t>
            </w:r>
          </w:p>
        </w:tc>
      </w:tr>
    </w:tbl>
    <w:p>
      <w:pPr>
        <w:pStyle w:val="0"/>
        <w:ind w:firstLine="540"/>
        <w:jc w:val="both"/>
      </w:pPr>
      <w:r>
        <w:rPr>
          <w:sz w:val="20"/>
        </w:rPr>
      </w:r>
    </w:p>
    <w:p>
      <w:pPr>
        <w:pStyle w:val="0"/>
        <w:ind w:firstLine="540"/>
        <w:jc w:val="both"/>
      </w:pPr>
      <w:r>
        <w:rPr>
          <w:sz w:val="20"/>
        </w:rPr>
        <w:t xml:space="preserve">--------------------------------</w:t>
      </w:r>
    </w:p>
    <w:bookmarkStart w:id="26596" w:name="P26596"/>
    <w:bookmarkEnd w:id="26596"/>
    <w:p>
      <w:pPr>
        <w:pStyle w:val="0"/>
        <w:spacing w:before="200" w:line-rule="auto"/>
        <w:ind w:firstLine="540"/>
        <w:jc w:val="both"/>
      </w:pPr>
      <w:r>
        <w:rPr>
          <w:sz w:val="20"/>
        </w:rPr>
        <w:t xml:space="preserve">&lt;*&gt; Данное структурное подразделение не участвует в мероприятии федерального проекта "Оптимальная для восстановления здоровья медицинская реабилитация" по оснащению медицинскими изделиями.</w:t>
      </w:r>
    </w:p>
    <w:p>
      <w:pPr>
        <w:pStyle w:val="0"/>
        <w:ind w:firstLine="540"/>
        <w:jc w:val="both"/>
      </w:pPr>
      <w:r>
        <w:rPr>
          <w:sz w:val="20"/>
        </w:rPr>
      </w:r>
    </w:p>
    <w:p>
      <w:pPr>
        <w:pStyle w:val="0"/>
        <w:jc w:val="right"/>
      </w:pPr>
      <w:r>
        <w:rPr>
          <w:sz w:val="20"/>
        </w:rPr>
        <w:t xml:space="preserve">Таблица 7</w:t>
      </w:r>
    </w:p>
    <w:p>
      <w:pPr>
        <w:pStyle w:val="0"/>
        <w:jc w:val="right"/>
      </w:pPr>
      <w:r>
        <w:rPr>
          <w:sz w:val="20"/>
        </w:rPr>
      </w:r>
    </w:p>
    <w:p>
      <w:pPr>
        <w:pStyle w:val="0"/>
        <w:jc w:val="center"/>
      </w:pPr>
      <w:r>
        <w:rPr>
          <w:sz w:val="20"/>
        </w:rPr>
        <w:t xml:space="preserve">Перечень приоритетных медицинских организаций, участвующих</w:t>
      </w:r>
    </w:p>
    <w:p>
      <w:pPr>
        <w:pStyle w:val="0"/>
        <w:jc w:val="center"/>
      </w:pPr>
      <w:r>
        <w:rPr>
          <w:sz w:val="20"/>
        </w:rPr>
        <w:t xml:space="preserve">в дооснащении и (или) переоснащении медицинскими изделиями,</w:t>
      </w:r>
    </w:p>
    <w:p>
      <w:pPr>
        <w:pStyle w:val="0"/>
        <w:jc w:val="center"/>
      </w:pPr>
      <w:r>
        <w:rPr>
          <w:sz w:val="20"/>
        </w:rPr>
        <w:t xml:space="preserve">имеющих в своей структуре подразделения, оказывающих</w:t>
      </w:r>
    </w:p>
    <w:p>
      <w:pPr>
        <w:pStyle w:val="0"/>
        <w:jc w:val="center"/>
      </w:pPr>
      <w:r>
        <w:rPr>
          <w:sz w:val="20"/>
        </w:rPr>
        <w:t xml:space="preserve">медицинскую помощь по медицинской реабилитации</w:t>
      </w:r>
    </w:p>
    <w:p>
      <w:pPr>
        <w:pStyle w:val="0"/>
        <w:jc w:val="center"/>
      </w:pPr>
      <w:r>
        <w:rPr>
          <w:sz w:val="20"/>
        </w:rPr>
        <w:t xml:space="preserve">в соответствии с порядками организации медицинской</w:t>
      </w:r>
    </w:p>
    <w:p>
      <w:pPr>
        <w:pStyle w:val="0"/>
        <w:jc w:val="center"/>
      </w:pPr>
      <w:r>
        <w:rPr>
          <w:sz w:val="20"/>
        </w:rPr>
        <w:t xml:space="preserve">реабилитации взрослых и детей, на 2023 - 2026 годы</w:t>
      </w:r>
    </w:p>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154"/>
        <w:gridCol w:w="2674"/>
        <w:gridCol w:w="1669"/>
        <w:gridCol w:w="1699"/>
        <w:gridCol w:w="1234"/>
        <w:gridCol w:w="1549"/>
        <w:gridCol w:w="1234"/>
        <w:gridCol w:w="1549"/>
      </w:tblGrid>
      <w:tr>
        <w:tc>
          <w:tcPr>
            <w:tcW w:w="454" w:type="dxa"/>
            <w:vMerge w:val="restart"/>
          </w:tcPr>
          <w:p>
            <w:pPr>
              <w:pStyle w:val="0"/>
              <w:jc w:val="center"/>
            </w:pPr>
            <w:r>
              <w:rPr>
                <w:sz w:val="20"/>
              </w:rPr>
              <w:t xml:space="preserve">N п/п</w:t>
            </w:r>
          </w:p>
        </w:tc>
        <w:tc>
          <w:tcPr>
            <w:tcW w:w="2154" w:type="dxa"/>
            <w:vMerge w:val="restart"/>
          </w:tcPr>
          <w:p>
            <w:pPr>
              <w:pStyle w:val="0"/>
              <w:jc w:val="center"/>
            </w:pPr>
            <w:r>
              <w:rPr>
                <w:sz w:val="20"/>
              </w:rPr>
              <w:t xml:space="preserve">Наименование медицинской организации, участвующей в дооснащении (или) переоснащении</w:t>
            </w:r>
          </w:p>
        </w:tc>
        <w:tc>
          <w:tcPr>
            <w:tcW w:w="2674" w:type="dxa"/>
            <w:vMerge w:val="restart"/>
          </w:tcPr>
          <w:p>
            <w:pPr>
              <w:pStyle w:val="0"/>
              <w:jc w:val="center"/>
            </w:pPr>
            <w:r>
              <w:rPr>
                <w:sz w:val="20"/>
              </w:rPr>
              <w:t xml:space="preserve">Полное наименование реабилитационного отделения, которое планируется к дооснащению и (или) переоснащению</w:t>
            </w:r>
          </w:p>
        </w:tc>
        <w:tc>
          <w:tcPr>
            <w:tcW w:w="1669" w:type="dxa"/>
            <w:vMerge w:val="restart"/>
          </w:tcPr>
          <w:p>
            <w:pPr>
              <w:pStyle w:val="0"/>
              <w:jc w:val="center"/>
            </w:pPr>
            <w:r>
              <w:rPr>
                <w:sz w:val="20"/>
              </w:rPr>
              <w:t xml:space="preserve">Категория пациентов (указать взрослые/дети)</w:t>
            </w:r>
          </w:p>
        </w:tc>
        <w:tc>
          <w:tcPr>
            <w:tcW w:w="1699" w:type="dxa"/>
            <w:vMerge w:val="restart"/>
          </w:tcPr>
          <w:p>
            <w:pPr>
              <w:pStyle w:val="0"/>
              <w:jc w:val="center"/>
            </w:pPr>
            <w:r>
              <w:rPr>
                <w:sz w:val="20"/>
              </w:rPr>
              <w:t xml:space="preserve">Год дооснащения и (или) переоснащения</w:t>
            </w:r>
          </w:p>
        </w:tc>
        <w:tc>
          <w:tcPr>
            <w:gridSpan w:val="2"/>
            <w:tcW w:w="2783" w:type="dxa"/>
          </w:tcPr>
          <w:p>
            <w:pPr>
              <w:pStyle w:val="0"/>
              <w:jc w:val="center"/>
            </w:pPr>
            <w:r>
              <w:rPr>
                <w:sz w:val="20"/>
              </w:rPr>
              <w:t xml:space="preserve">Коэффициент оснащенности отделения медицинской реабилитации на май 2023 года (%)</w:t>
            </w:r>
          </w:p>
        </w:tc>
        <w:tc>
          <w:tcPr>
            <w:gridSpan w:val="2"/>
            <w:tcW w:w="2783" w:type="dxa"/>
          </w:tcPr>
          <w:p>
            <w:pPr>
              <w:pStyle w:val="0"/>
              <w:jc w:val="center"/>
            </w:pPr>
            <w:r>
              <w:rPr>
                <w:sz w:val="20"/>
              </w:rPr>
              <w:t xml:space="preserve">Коэффициент оснащенности медицинской организации (%)</w:t>
            </w:r>
          </w:p>
          <w:p>
            <w:pPr>
              <w:pStyle w:val="0"/>
              <w:jc w:val="center"/>
            </w:pPr>
            <w:r>
              <w:rPr>
                <w:sz w:val="20"/>
              </w:rPr>
              <w:t xml:space="preserve">(как среднее между всеми коэффициентами оснащенности отделений медицинской реабилитации)</w:t>
            </w:r>
          </w:p>
        </w:tc>
      </w:tr>
      <w:tr>
        <w:tc>
          <w:tcPr>
            <w:vMerge w:val="continue"/>
          </w:tcPr>
          <w:p/>
        </w:tc>
        <w:tc>
          <w:tcPr>
            <w:vMerge w:val="continue"/>
          </w:tcPr>
          <w:p/>
        </w:tc>
        <w:tc>
          <w:tcPr>
            <w:vMerge w:val="continue"/>
          </w:tcPr>
          <w:p/>
        </w:tc>
        <w:tc>
          <w:tcPr>
            <w:vMerge w:val="continue"/>
          </w:tcPr>
          <w:p/>
        </w:tc>
        <w:tc>
          <w:tcPr>
            <w:vMerge w:val="continue"/>
          </w:tcPr>
          <w:p/>
        </w:tc>
        <w:tc>
          <w:tcPr>
            <w:tcW w:w="1234" w:type="dxa"/>
          </w:tcPr>
          <w:p>
            <w:pPr>
              <w:pStyle w:val="0"/>
              <w:jc w:val="center"/>
            </w:pPr>
            <w:r>
              <w:rPr>
                <w:sz w:val="20"/>
              </w:rPr>
              <w:t xml:space="preserve">До момента оснащения</w:t>
            </w:r>
          </w:p>
        </w:tc>
        <w:tc>
          <w:tcPr>
            <w:tcW w:w="1549" w:type="dxa"/>
          </w:tcPr>
          <w:p>
            <w:pPr>
              <w:pStyle w:val="0"/>
              <w:jc w:val="center"/>
            </w:pPr>
            <w:r>
              <w:rPr>
                <w:sz w:val="20"/>
              </w:rPr>
              <w:t xml:space="preserve">По итогам поставки оборудования в медицинскую организацию</w:t>
            </w:r>
          </w:p>
        </w:tc>
        <w:tc>
          <w:tcPr>
            <w:tcW w:w="1234" w:type="dxa"/>
          </w:tcPr>
          <w:p>
            <w:pPr>
              <w:pStyle w:val="0"/>
              <w:jc w:val="center"/>
            </w:pPr>
            <w:r>
              <w:rPr>
                <w:sz w:val="20"/>
              </w:rPr>
              <w:t xml:space="preserve">До момента оснащения</w:t>
            </w:r>
          </w:p>
        </w:tc>
        <w:tc>
          <w:tcPr>
            <w:tcW w:w="1549" w:type="dxa"/>
          </w:tcPr>
          <w:p>
            <w:pPr>
              <w:pStyle w:val="0"/>
              <w:jc w:val="center"/>
            </w:pPr>
            <w:r>
              <w:rPr>
                <w:sz w:val="20"/>
              </w:rPr>
              <w:t xml:space="preserve">По итогам поставки оборудования в медицинскую</w:t>
            </w:r>
          </w:p>
          <w:p>
            <w:pPr>
              <w:pStyle w:val="0"/>
              <w:jc w:val="center"/>
            </w:pPr>
            <w:r>
              <w:rPr>
                <w:sz w:val="20"/>
              </w:rPr>
              <w:t xml:space="preserve">организацию</w:t>
            </w:r>
          </w:p>
        </w:tc>
      </w:tr>
      <w:tr>
        <w:tc>
          <w:tcPr>
            <w:tcW w:w="454" w:type="dxa"/>
            <w:vMerge w:val="restart"/>
          </w:tcPr>
          <w:p>
            <w:pPr>
              <w:pStyle w:val="0"/>
            </w:pPr>
            <w:r>
              <w:rPr>
                <w:sz w:val="20"/>
              </w:rPr>
              <w:t xml:space="preserve">1</w:t>
            </w:r>
          </w:p>
        </w:tc>
        <w:tc>
          <w:tcPr>
            <w:tcW w:w="2154" w:type="dxa"/>
            <w:vMerge w:val="restart"/>
          </w:tcPr>
          <w:p>
            <w:pPr>
              <w:pStyle w:val="0"/>
            </w:pPr>
            <w:r>
              <w:rPr>
                <w:sz w:val="20"/>
              </w:rPr>
              <w:t xml:space="preserve">БУ "Окружной кардиологический диспансер "Центр диагностики и сердечно-сосудистой хирургии"</w:t>
            </w:r>
          </w:p>
        </w:tc>
        <w:tc>
          <w:tcPr>
            <w:tcW w:w="2674" w:type="dxa"/>
          </w:tcPr>
          <w:p>
            <w:pPr>
              <w:pStyle w:val="0"/>
            </w:pPr>
            <w:r>
              <w:rPr>
                <w:sz w:val="20"/>
              </w:rPr>
              <w:t xml:space="preserve">Отделение ранней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2023</w:t>
            </w:r>
          </w:p>
        </w:tc>
        <w:tc>
          <w:tcPr>
            <w:tcW w:w="1234" w:type="dxa"/>
          </w:tcPr>
          <w:p>
            <w:pPr>
              <w:pStyle w:val="0"/>
            </w:pPr>
            <w:r>
              <w:rPr>
                <w:sz w:val="20"/>
              </w:rPr>
              <w:t xml:space="preserve">64,00</w:t>
            </w:r>
          </w:p>
        </w:tc>
        <w:tc>
          <w:tcPr>
            <w:tcW w:w="1549" w:type="dxa"/>
          </w:tcPr>
          <w:p>
            <w:pPr>
              <w:pStyle w:val="0"/>
            </w:pPr>
            <w:r>
              <w:rPr>
                <w:sz w:val="20"/>
              </w:rPr>
              <w:t xml:space="preserve">90,3</w:t>
            </w:r>
          </w:p>
          <w:p>
            <w:pPr>
              <w:pStyle w:val="0"/>
            </w:pPr>
            <w:r>
              <w:rPr>
                <w:sz w:val="20"/>
              </w:rPr>
              <w:t xml:space="preserve">(прогнозная)</w:t>
            </w:r>
          </w:p>
        </w:tc>
        <w:tc>
          <w:tcPr>
            <w:tcW w:w="1234" w:type="dxa"/>
            <w:vMerge w:val="restart"/>
          </w:tcPr>
          <w:p>
            <w:pPr>
              <w:pStyle w:val="0"/>
            </w:pPr>
            <w:r>
              <w:rPr>
                <w:sz w:val="20"/>
              </w:rPr>
              <w:t xml:space="preserve">41,00</w:t>
            </w:r>
          </w:p>
        </w:tc>
        <w:tc>
          <w:tcPr>
            <w:tcW w:w="1549" w:type="dxa"/>
            <w:vMerge w:val="restart"/>
          </w:tcPr>
          <w:p>
            <w:pPr>
              <w:pStyle w:val="0"/>
            </w:pPr>
            <w:r>
              <w:rPr>
                <w:sz w:val="20"/>
              </w:rPr>
              <w:t xml:space="preserve">89,81</w:t>
            </w:r>
          </w:p>
          <w:p>
            <w:pPr>
              <w:pStyle w:val="0"/>
            </w:pPr>
            <w:r>
              <w:rPr>
                <w:sz w:val="20"/>
              </w:rPr>
              <w:t xml:space="preserve">(прогнозная)</w:t>
            </w:r>
          </w:p>
        </w:tc>
      </w:tr>
      <w:tr>
        <w:tc>
          <w:tcPr>
            <w:vMerge w:val="continue"/>
          </w:tcPr>
          <w:p/>
        </w:tc>
        <w:tc>
          <w:tcPr>
            <w:vMerge w:val="continue"/>
          </w:tcPr>
          <w:p/>
        </w:tc>
        <w:tc>
          <w:tcPr>
            <w:tcW w:w="2674" w:type="dxa"/>
          </w:tcPr>
          <w:p>
            <w:pPr>
              <w:pStyle w:val="0"/>
            </w:pPr>
            <w:r>
              <w:rPr>
                <w:sz w:val="20"/>
              </w:rPr>
              <w:t xml:space="preserve">Стационарное отделение медицинской реабилитации пациентов с соматическими заболеваниями</w:t>
            </w:r>
          </w:p>
        </w:tc>
        <w:tc>
          <w:tcPr>
            <w:tcW w:w="1669" w:type="dxa"/>
          </w:tcPr>
          <w:p>
            <w:pPr>
              <w:pStyle w:val="0"/>
            </w:pPr>
            <w:r>
              <w:rPr>
                <w:sz w:val="20"/>
              </w:rPr>
              <w:t xml:space="preserve">взрослые</w:t>
            </w:r>
          </w:p>
        </w:tc>
        <w:tc>
          <w:tcPr>
            <w:tcW w:w="1699" w:type="dxa"/>
          </w:tcPr>
          <w:p>
            <w:pPr>
              <w:pStyle w:val="0"/>
            </w:pPr>
            <w:r>
              <w:rPr>
                <w:sz w:val="20"/>
              </w:rPr>
              <w:t xml:space="preserve">2023</w:t>
            </w:r>
          </w:p>
        </w:tc>
        <w:tc>
          <w:tcPr>
            <w:tcW w:w="1234" w:type="dxa"/>
          </w:tcPr>
          <w:p>
            <w:pPr>
              <w:pStyle w:val="0"/>
            </w:pPr>
            <w:r>
              <w:rPr>
                <w:sz w:val="20"/>
              </w:rPr>
              <w:t xml:space="preserve">7,00</w:t>
            </w:r>
          </w:p>
        </w:tc>
        <w:tc>
          <w:tcPr>
            <w:tcW w:w="1549" w:type="dxa"/>
          </w:tcPr>
          <w:p>
            <w:pPr>
              <w:pStyle w:val="0"/>
            </w:pPr>
            <w:r>
              <w:rPr>
                <w:sz w:val="20"/>
              </w:rPr>
              <w:t xml:space="preserve">90,08</w:t>
            </w:r>
          </w:p>
          <w:p>
            <w:pPr>
              <w:pStyle w:val="0"/>
            </w:pPr>
            <w:r>
              <w:rPr>
                <w:sz w:val="20"/>
              </w:rPr>
              <w:t xml:space="preserve">(прогнозная)</w:t>
            </w:r>
          </w:p>
        </w:tc>
        <w:tc>
          <w:tcPr>
            <w:vMerge w:val="continue"/>
          </w:tcPr>
          <w:p/>
        </w:tc>
        <w:tc>
          <w:tcPr>
            <w:vMerge w:val="continue"/>
          </w:tcPr>
          <w:p/>
        </w:tc>
      </w:tr>
      <w:tr>
        <w:tc>
          <w:tcPr>
            <w:vMerge w:val="continue"/>
          </w:tcPr>
          <w:p/>
        </w:tc>
        <w:tc>
          <w:tcPr>
            <w:vMerge w:val="continue"/>
          </w:tcPr>
          <w:p/>
        </w:tc>
        <w:tc>
          <w:tcPr>
            <w:tcW w:w="2674" w:type="dxa"/>
          </w:tcPr>
          <w:p>
            <w:pPr>
              <w:pStyle w:val="0"/>
            </w:pPr>
            <w:r>
              <w:rPr>
                <w:sz w:val="20"/>
              </w:rPr>
              <w:t xml:space="preserve">Амбулаторное отделение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2023</w:t>
            </w:r>
          </w:p>
        </w:tc>
        <w:tc>
          <w:tcPr>
            <w:tcW w:w="1234" w:type="dxa"/>
          </w:tcPr>
          <w:p>
            <w:pPr>
              <w:pStyle w:val="0"/>
            </w:pPr>
            <w:r>
              <w:rPr>
                <w:sz w:val="20"/>
              </w:rPr>
              <w:t xml:space="preserve">52,00</w:t>
            </w:r>
          </w:p>
        </w:tc>
        <w:tc>
          <w:tcPr>
            <w:tcW w:w="1549" w:type="dxa"/>
          </w:tcPr>
          <w:p>
            <w:pPr>
              <w:pStyle w:val="0"/>
            </w:pPr>
            <w:r>
              <w:rPr>
                <w:sz w:val="20"/>
              </w:rPr>
              <w:t xml:space="preserve">89,06</w:t>
            </w:r>
          </w:p>
          <w:p>
            <w:pPr>
              <w:pStyle w:val="0"/>
            </w:pPr>
            <w:r>
              <w:rPr>
                <w:sz w:val="20"/>
              </w:rPr>
              <w:t xml:space="preserve">(прогнозная)</w:t>
            </w:r>
          </w:p>
        </w:tc>
        <w:tc>
          <w:tcPr>
            <w:vMerge w:val="continue"/>
          </w:tcPr>
          <w:p/>
        </w:tc>
        <w:tc>
          <w:tcPr>
            <w:vMerge w:val="continue"/>
          </w:tcPr>
          <w:p/>
        </w:tc>
      </w:tr>
      <w:tr>
        <w:tc>
          <w:tcPr>
            <w:tcW w:w="454" w:type="dxa"/>
            <w:vMerge w:val="restart"/>
          </w:tcPr>
          <w:p>
            <w:pPr>
              <w:pStyle w:val="0"/>
            </w:pPr>
            <w:r>
              <w:rPr>
                <w:sz w:val="20"/>
              </w:rPr>
              <w:t xml:space="preserve">2</w:t>
            </w:r>
          </w:p>
        </w:tc>
        <w:tc>
          <w:tcPr>
            <w:tcW w:w="2154" w:type="dxa"/>
            <w:vMerge w:val="restart"/>
          </w:tcPr>
          <w:p>
            <w:pPr>
              <w:pStyle w:val="0"/>
            </w:pPr>
            <w:r>
              <w:rPr>
                <w:sz w:val="20"/>
              </w:rPr>
              <w:t xml:space="preserve">БУ "Урайская окружная больница медицинской реабилитации"</w:t>
            </w:r>
          </w:p>
        </w:tc>
        <w:tc>
          <w:tcPr>
            <w:tcW w:w="2674" w:type="dxa"/>
          </w:tcPr>
          <w:p>
            <w:pPr>
              <w:pStyle w:val="0"/>
            </w:pPr>
            <w:r>
              <w:rPr>
                <w:sz w:val="20"/>
              </w:rPr>
              <w:t xml:space="preserve">Стационарное отделение медицинской реабилитации пациентов с нарушением функции центральной нервной системы</w:t>
            </w:r>
          </w:p>
        </w:tc>
        <w:tc>
          <w:tcPr>
            <w:tcW w:w="1669" w:type="dxa"/>
          </w:tcPr>
          <w:p>
            <w:pPr>
              <w:pStyle w:val="0"/>
            </w:pPr>
            <w:r>
              <w:rPr>
                <w:sz w:val="20"/>
              </w:rPr>
              <w:t xml:space="preserve">взрослые</w:t>
            </w:r>
          </w:p>
        </w:tc>
        <w:tc>
          <w:tcPr>
            <w:tcW w:w="1699" w:type="dxa"/>
          </w:tcPr>
          <w:p>
            <w:pPr>
              <w:pStyle w:val="0"/>
            </w:pPr>
            <w:r>
              <w:rPr>
                <w:sz w:val="20"/>
              </w:rPr>
              <w:t xml:space="preserve">2023</w:t>
            </w:r>
          </w:p>
        </w:tc>
        <w:tc>
          <w:tcPr>
            <w:tcW w:w="1234" w:type="dxa"/>
          </w:tcPr>
          <w:p>
            <w:pPr>
              <w:pStyle w:val="0"/>
            </w:pPr>
            <w:r>
              <w:rPr>
                <w:sz w:val="20"/>
              </w:rPr>
              <w:t xml:space="preserve">70,00</w:t>
            </w:r>
          </w:p>
        </w:tc>
        <w:tc>
          <w:tcPr>
            <w:tcW w:w="1549" w:type="dxa"/>
          </w:tcPr>
          <w:p>
            <w:pPr>
              <w:pStyle w:val="0"/>
            </w:pPr>
            <w:r>
              <w:rPr>
                <w:sz w:val="20"/>
              </w:rPr>
              <w:t xml:space="preserve">95,00</w:t>
            </w:r>
          </w:p>
          <w:p>
            <w:pPr>
              <w:pStyle w:val="0"/>
            </w:pPr>
            <w:r>
              <w:rPr>
                <w:sz w:val="20"/>
              </w:rPr>
              <w:t xml:space="preserve">(прогнозная)</w:t>
            </w:r>
          </w:p>
        </w:tc>
        <w:tc>
          <w:tcPr>
            <w:tcW w:w="1234" w:type="dxa"/>
            <w:vMerge w:val="restart"/>
          </w:tcPr>
          <w:p>
            <w:pPr>
              <w:pStyle w:val="0"/>
            </w:pPr>
            <w:r>
              <w:rPr>
                <w:sz w:val="20"/>
              </w:rPr>
              <w:t xml:space="preserve">70,0</w:t>
            </w:r>
          </w:p>
        </w:tc>
        <w:tc>
          <w:tcPr>
            <w:tcW w:w="1549" w:type="dxa"/>
            <w:vMerge w:val="restart"/>
          </w:tcPr>
          <w:p>
            <w:pPr>
              <w:pStyle w:val="0"/>
            </w:pPr>
            <w:r>
              <w:rPr>
                <w:sz w:val="20"/>
              </w:rPr>
              <w:t xml:space="preserve">92,00</w:t>
            </w:r>
          </w:p>
          <w:p>
            <w:pPr>
              <w:pStyle w:val="0"/>
            </w:pPr>
            <w:r>
              <w:rPr>
                <w:sz w:val="20"/>
              </w:rPr>
              <w:t xml:space="preserve">(прогнозная)</w:t>
            </w:r>
          </w:p>
        </w:tc>
      </w:tr>
      <w:tr>
        <w:tc>
          <w:tcPr>
            <w:vMerge w:val="continue"/>
          </w:tcPr>
          <w:p/>
        </w:tc>
        <w:tc>
          <w:tcPr>
            <w:vMerge w:val="continue"/>
          </w:tcPr>
          <w:p/>
        </w:tc>
        <w:tc>
          <w:tcPr>
            <w:tcW w:w="2674" w:type="dxa"/>
          </w:tcPr>
          <w:p>
            <w:pPr>
              <w:pStyle w:val="0"/>
            </w:pPr>
            <w:r>
              <w:rPr>
                <w:sz w:val="20"/>
              </w:rPr>
              <w:t xml:space="preserve">Дневной стационар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2023</w:t>
            </w:r>
          </w:p>
        </w:tc>
        <w:tc>
          <w:tcPr>
            <w:tcW w:w="1234" w:type="dxa"/>
          </w:tcPr>
          <w:p>
            <w:pPr>
              <w:pStyle w:val="0"/>
            </w:pPr>
            <w:r>
              <w:rPr>
                <w:sz w:val="20"/>
              </w:rPr>
              <w:t xml:space="preserve">70,00</w:t>
            </w:r>
          </w:p>
        </w:tc>
        <w:tc>
          <w:tcPr>
            <w:tcW w:w="1549" w:type="dxa"/>
          </w:tcPr>
          <w:p>
            <w:pPr>
              <w:pStyle w:val="0"/>
            </w:pPr>
            <w:r>
              <w:rPr>
                <w:sz w:val="20"/>
              </w:rPr>
              <w:t xml:space="preserve">89,00</w:t>
            </w:r>
          </w:p>
          <w:p>
            <w:pPr>
              <w:pStyle w:val="0"/>
            </w:pPr>
            <w:r>
              <w:rPr>
                <w:sz w:val="20"/>
              </w:rPr>
              <w:t xml:space="preserve">(прогнозная)</w:t>
            </w:r>
          </w:p>
        </w:tc>
        <w:tc>
          <w:tcPr>
            <w:vMerge w:val="continue"/>
          </w:tcPr>
          <w:p/>
        </w:tc>
        <w:tc>
          <w:tcPr>
            <w:vMerge w:val="continue"/>
          </w:tcPr>
          <w:p/>
        </w:tc>
      </w:tr>
      <w:tr>
        <w:tc>
          <w:tcPr>
            <w:tcW w:w="454" w:type="dxa"/>
            <w:vMerge w:val="restart"/>
          </w:tcPr>
          <w:p>
            <w:pPr>
              <w:pStyle w:val="0"/>
            </w:pPr>
            <w:r>
              <w:rPr>
                <w:sz w:val="20"/>
              </w:rPr>
              <w:t xml:space="preserve">3</w:t>
            </w:r>
          </w:p>
        </w:tc>
        <w:tc>
          <w:tcPr>
            <w:tcW w:w="2154" w:type="dxa"/>
            <w:vMerge w:val="restart"/>
          </w:tcPr>
          <w:p>
            <w:pPr>
              <w:pStyle w:val="0"/>
            </w:pPr>
            <w:r>
              <w:rPr>
                <w:sz w:val="20"/>
              </w:rPr>
              <w:t xml:space="preserve">БУ "Сургутская клиническая травматологическая больница"</w:t>
            </w:r>
          </w:p>
        </w:tc>
        <w:tc>
          <w:tcPr>
            <w:tcW w:w="2674" w:type="dxa"/>
          </w:tcPr>
          <w:p>
            <w:pPr>
              <w:pStyle w:val="0"/>
            </w:pPr>
            <w:r>
              <w:rPr>
                <w:sz w:val="20"/>
              </w:rPr>
              <w:t xml:space="preserve">Отделение ранней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2024</w:t>
            </w:r>
          </w:p>
        </w:tc>
        <w:tc>
          <w:tcPr>
            <w:tcW w:w="1234" w:type="dxa"/>
          </w:tcPr>
          <w:p>
            <w:pPr>
              <w:pStyle w:val="0"/>
            </w:pPr>
            <w:r>
              <w:rPr>
                <w:sz w:val="20"/>
              </w:rPr>
              <w:t xml:space="preserve">77,27</w:t>
            </w:r>
          </w:p>
        </w:tc>
        <w:tc>
          <w:tcPr>
            <w:tcW w:w="1549" w:type="dxa"/>
          </w:tcPr>
          <w:p>
            <w:pPr>
              <w:pStyle w:val="0"/>
            </w:pPr>
            <w:r>
              <w:rPr>
                <w:sz w:val="20"/>
              </w:rPr>
              <w:t xml:space="preserve">100,00</w:t>
            </w:r>
          </w:p>
          <w:p>
            <w:pPr>
              <w:pStyle w:val="0"/>
            </w:pPr>
            <w:r>
              <w:rPr>
                <w:sz w:val="20"/>
              </w:rPr>
              <w:t xml:space="preserve">(прогнозная)</w:t>
            </w:r>
          </w:p>
        </w:tc>
        <w:tc>
          <w:tcPr>
            <w:tcW w:w="1234" w:type="dxa"/>
            <w:vMerge w:val="restart"/>
          </w:tcPr>
          <w:p>
            <w:pPr>
              <w:pStyle w:val="0"/>
            </w:pPr>
            <w:r>
              <w:rPr>
                <w:sz w:val="20"/>
              </w:rPr>
              <w:t xml:space="preserve">48,6</w:t>
            </w:r>
          </w:p>
        </w:tc>
        <w:tc>
          <w:tcPr>
            <w:tcW w:w="1549" w:type="dxa"/>
            <w:vMerge w:val="restart"/>
          </w:tcPr>
          <w:p>
            <w:pPr>
              <w:pStyle w:val="0"/>
            </w:pPr>
            <w:r>
              <w:rPr>
                <w:sz w:val="20"/>
              </w:rPr>
              <w:t xml:space="preserve">100,00</w:t>
            </w:r>
          </w:p>
          <w:p>
            <w:pPr>
              <w:pStyle w:val="0"/>
            </w:pPr>
            <w:r>
              <w:rPr>
                <w:sz w:val="20"/>
              </w:rPr>
              <w:t xml:space="preserve">(прогнозная)</w:t>
            </w:r>
          </w:p>
        </w:tc>
      </w:tr>
      <w:tr>
        <w:tc>
          <w:tcPr>
            <w:vMerge w:val="continue"/>
          </w:tcPr>
          <w:p/>
        </w:tc>
        <w:tc>
          <w:tcPr>
            <w:vMerge w:val="continue"/>
          </w:tcPr>
          <w:p/>
        </w:tc>
        <w:tc>
          <w:tcPr>
            <w:tcW w:w="2674" w:type="dxa"/>
          </w:tcPr>
          <w:p>
            <w:pPr>
              <w:pStyle w:val="0"/>
            </w:pPr>
            <w:r>
              <w:rPr>
                <w:sz w:val="20"/>
              </w:rPr>
              <w:t xml:space="preserve">Стационарное отделение медицинской реабилитации пациентов с нарушением функции центральной нервной системы</w:t>
            </w:r>
          </w:p>
        </w:tc>
        <w:tc>
          <w:tcPr>
            <w:tcW w:w="1669" w:type="dxa"/>
          </w:tcPr>
          <w:p>
            <w:pPr>
              <w:pStyle w:val="0"/>
            </w:pPr>
            <w:r>
              <w:rPr>
                <w:sz w:val="20"/>
              </w:rPr>
              <w:t xml:space="preserve">взрослые</w:t>
            </w:r>
          </w:p>
        </w:tc>
        <w:tc>
          <w:tcPr>
            <w:tcW w:w="1699" w:type="dxa"/>
          </w:tcPr>
          <w:p>
            <w:pPr>
              <w:pStyle w:val="0"/>
            </w:pPr>
            <w:r>
              <w:rPr>
                <w:sz w:val="20"/>
              </w:rPr>
              <w:t xml:space="preserve">2024</w:t>
            </w:r>
          </w:p>
        </w:tc>
        <w:tc>
          <w:tcPr>
            <w:tcW w:w="1234" w:type="dxa"/>
          </w:tcPr>
          <w:p>
            <w:pPr>
              <w:pStyle w:val="0"/>
            </w:pPr>
            <w:r>
              <w:rPr>
                <w:sz w:val="20"/>
              </w:rPr>
              <w:t xml:space="preserve">32,81</w:t>
            </w:r>
          </w:p>
        </w:tc>
        <w:tc>
          <w:tcPr>
            <w:tcW w:w="1549" w:type="dxa"/>
          </w:tcPr>
          <w:p>
            <w:pPr>
              <w:pStyle w:val="0"/>
            </w:pPr>
            <w:r>
              <w:rPr>
                <w:sz w:val="20"/>
              </w:rPr>
              <w:t xml:space="preserve">100,00</w:t>
            </w:r>
          </w:p>
          <w:p>
            <w:pPr>
              <w:pStyle w:val="0"/>
            </w:pPr>
            <w:r>
              <w:rPr>
                <w:sz w:val="20"/>
              </w:rPr>
              <w:t xml:space="preserve">(прогнозная)</w:t>
            </w:r>
          </w:p>
        </w:tc>
        <w:tc>
          <w:tcPr>
            <w:vMerge w:val="continue"/>
          </w:tcPr>
          <w:p/>
        </w:tc>
        <w:tc>
          <w:tcPr>
            <w:vMerge w:val="continue"/>
          </w:tcPr>
          <w:p/>
        </w:tc>
      </w:tr>
      <w:tr>
        <w:tc>
          <w:tcPr>
            <w:vMerge w:val="continue"/>
          </w:tcPr>
          <w:p/>
        </w:tc>
        <w:tc>
          <w:tcPr>
            <w:vMerge w:val="continue"/>
          </w:tcPr>
          <w:p/>
        </w:tc>
        <w:tc>
          <w:tcPr>
            <w:tcW w:w="2674" w:type="dxa"/>
          </w:tcPr>
          <w:p>
            <w:pPr>
              <w:pStyle w:val="0"/>
            </w:pPr>
            <w:r>
              <w:rPr>
                <w:sz w:val="20"/>
              </w:rPr>
              <w:t xml:space="preserve">Амбулаторное отделение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2024</w:t>
            </w:r>
          </w:p>
        </w:tc>
        <w:tc>
          <w:tcPr>
            <w:tcW w:w="1234" w:type="dxa"/>
          </w:tcPr>
          <w:p>
            <w:pPr>
              <w:pStyle w:val="0"/>
            </w:pPr>
            <w:r>
              <w:rPr>
                <w:sz w:val="20"/>
              </w:rPr>
              <w:t xml:space="preserve">35,63</w:t>
            </w:r>
          </w:p>
        </w:tc>
        <w:tc>
          <w:tcPr>
            <w:tcW w:w="1549" w:type="dxa"/>
          </w:tcPr>
          <w:p>
            <w:pPr>
              <w:pStyle w:val="0"/>
            </w:pPr>
            <w:r>
              <w:rPr>
                <w:sz w:val="20"/>
              </w:rPr>
              <w:t xml:space="preserve">100,00</w:t>
            </w:r>
          </w:p>
          <w:p>
            <w:pPr>
              <w:pStyle w:val="0"/>
            </w:pPr>
            <w:r>
              <w:rPr>
                <w:sz w:val="20"/>
              </w:rPr>
              <w:t xml:space="preserve">(прогнозная)</w:t>
            </w:r>
          </w:p>
        </w:tc>
        <w:tc>
          <w:tcPr>
            <w:vMerge w:val="continue"/>
          </w:tcPr>
          <w:p/>
        </w:tc>
        <w:tc>
          <w:tcPr>
            <w:vMerge w:val="continue"/>
          </w:tcPr>
          <w:p/>
        </w:tc>
      </w:tr>
      <w:tr>
        <w:tc>
          <w:tcPr>
            <w:tcW w:w="454" w:type="dxa"/>
            <w:vMerge w:val="restart"/>
          </w:tcPr>
          <w:p>
            <w:pPr>
              <w:pStyle w:val="0"/>
            </w:pPr>
            <w:r>
              <w:rPr>
                <w:sz w:val="20"/>
              </w:rPr>
              <w:t xml:space="preserve">4</w:t>
            </w:r>
          </w:p>
        </w:tc>
        <w:tc>
          <w:tcPr>
            <w:tcW w:w="2154" w:type="dxa"/>
            <w:vMerge w:val="restart"/>
          </w:tcPr>
          <w:p>
            <w:pPr>
              <w:pStyle w:val="0"/>
            </w:pPr>
            <w:r>
              <w:rPr>
                <w:sz w:val="20"/>
              </w:rPr>
              <w:t xml:space="preserve">БУ "Сургутская окружная клиническая больница"</w:t>
            </w:r>
          </w:p>
        </w:tc>
        <w:tc>
          <w:tcPr>
            <w:tcW w:w="2674" w:type="dxa"/>
          </w:tcPr>
          <w:p>
            <w:pPr>
              <w:pStyle w:val="0"/>
            </w:pPr>
            <w:r>
              <w:rPr>
                <w:sz w:val="20"/>
              </w:rPr>
              <w:t xml:space="preserve">Отделение ранней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2024</w:t>
            </w:r>
          </w:p>
        </w:tc>
        <w:tc>
          <w:tcPr>
            <w:tcW w:w="1234" w:type="dxa"/>
          </w:tcPr>
          <w:p>
            <w:pPr>
              <w:pStyle w:val="0"/>
            </w:pPr>
            <w:r>
              <w:rPr>
                <w:sz w:val="20"/>
              </w:rPr>
              <w:t xml:space="preserve">81,25</w:t>
            </w:r>
          </w:p>
        </w:tc>
        <w:tc>
          <w:tcPr>
            <w:tcW w:w="1549" w:type="dxa"/>
          </w:tcPr>
          <w:p>
            <w:pPr>
              <w:pStyle w:val="0"/>
            </w:pPr>
            <w:r>
              <w:rPr>
                <w:sz w:val="20"/>
              </w:rPr>
              <w:t xml:space="preserve">100,00</w:t>
            </w:r>
          </w:p>
          <w:p>
            <w:pPr>
              <w:pStyle w:val="0"/>
            </w:pPr>
            <w:r>
              <w:rPr>
                <w:sz w:val="20"/>
              </w:rPr>
              <w:t xml:space="preserve">(прогнозная)</w:t>
            </w:r>
          </w:p>
        </w:tc>
        <w:tc>
          <w:tcPr>
            <w:tcW w:w="1234" w:type="dxa"/>
            <w:vMerge w:val="restart"/>
          </w:tcPr>
          <w:p>
            <w:pPr>
              <w:pStyle w:val="0"/>
            </w:pPr>
            <w:r>
              <w:rPr>
                <w:sz w:val="20"/>
              </w:rPr>
              <w:t xml:space="preserve">74,1</w:t>
            </w:r>
          </w:p>
        </w:tc>
        <w:tc>
          <w:tcPr>
            <w:tcW w:w="1549" w:type="dxa"/>
            <w:vMerge w:val="restart"/>
          </w:tcPr>
          <w:p>
            <w:pPr>
              <w:pStyle w:val="0"/>
            </w:pPr>
            <w:r>
              <w:rPr>
                <w:sz w:val="20"/>
              </w:rPr>
              <w:t xml:space="preserve">100,00</w:t>
            </w:r>
          </w:p>
          <w:p>
            <w:pPr>
              <w:pStyle w:val="0"/>
            </w:pPr>
            <w:r>
              <w:rPr>
                <w:sz w:val="20"/>
              </w:rPr>
              <w:t xml:space="preserve">(прогнозная)</w:t>
            </w:r>
          </w:p>
        </w:tc>
      </w:tr>
      <w:tr>
        <w:tc>
          <w:tcPr>
            <w:vMerge w:val="continue"/>
          </w:tcPr>
          <w:p/>
        </w:tc>
        <w:tc>
          <w:tcPr>
            <w:vMerge w:val="continue"/>
          </w:tcPr>
          <w:p/>
        </w:tc>
        <w:tc>
          <w:tcPr>
            <w:tcW w:w="2674" w:type="dxa"/>
          </w:tcPr>
          <w:p>
            <w:pPr>
              <w:pStyle w:val="0"/>
            </w:pPr>
            <w:r>
              <w:rPr>
                <w:sz w:val="20"/>
              </w:rPr>
              <w:t xml:space="preserve">Стационарное отделение медицинской реабилитации пациентов с соматическими заболеваниями</w:t>
            </w:r>
          </w:p>
        </w:tc>
        <w:tc>
          <w:tcPr>
            <w:tcW w:w="1669" w:type="dxa"/>
          </w:tcPr>
          <w:p>
            <w:pPr>
              <w:pStyle w:val="0"/>
            </w:pPr>
            <w:r>
              <w:rPr>
                <w:sz w:val="20"/>
              </w:rPr>
              <w:t xml:space="preserve">взрослые</w:t>
            </w:r>
          </w:p>
        </w:tc>
        <w:tc>
          <w:tcPr>
            <w:tcW w:w="1699" w:type="dxa"/>
          </w:tcPr>
          <w:p>
            <w:pPr>
              <w:pStyle w:val="0"/>
            </w:pPr>
            <w:r>
              <w:rPr>
                <w:sz w:val="20"/>
              </w:rPr>
              <w:t xml:space="preserve">2024</w:t>
            </w:r>
          </w:p>
        </w:tc>
        <w:tc>
          <w:tcPr>
            <w:tcW w:w="1234" w:type="dxa"/>
          </w:tcPr>
          <w:p>
            <w:pPr>
              <w:pStyle w:val="0"/>
            </w:pPr>
            <w:r>
              <w:rPr>
                <w:sz w:val="20"/>
              </w:rPr>
              <w:t xml:space="preserve">67,01</w:t>
            </w:r>
          </w:p>
        </w:tc>
        <w:tc>
          <w:tcPr>
            <w:tcW w:w="1549" w:type="dxa"/>
          </w:tcPr>
          <w:p>
            <w:pPr>
              <w:pStyle w:val="0"/>
            </w:pPr>
            <w:r>
              <w:rPr>
                <w:sz w:val="20"/>
              </w:rPr>
              <w:t xml:space="preserve">100,00</w:t>
            </w:r>
          </w:p>
          <w:p>
            <w:pPr>
              <w:pStyle w:val="0"/>
            </w:pPr>
            <w:r>
              <w:rPr>
                <w:sz w:val="20"/>
              </w:rPr>
              <w:t xml:space="preserve">(прогнозная)</w:t>
            </w:r>
          </w:p>
        </w:tc>
        <w:tc>
          <w:tcPr>
            <w:vMerge w:val="continue"/>
          </w:tcPr>
          <w:p/>
        </w:tc>
        <w:tc>
          <w:tcPr>
            <w:vMerge w:val="continue"/>
          </w:tcPr>
          <w:p/>
        </w:tc>
      </w:tr>
      <w:tr>
        <w:tc>
          <w:tcPr>
            <w:tcW w:w="454" w:type="dxa"/>
          </w:tcPr>
          <w:p>
            <w:pPr>
              <w:pStyle w:val="0"/>
            </w:pPr>
            <w:r>
              <w:rPr>
                <w:sz w:val="20"/>
              </w:rPr>
              <w:t xml:space="preserve">5</w:t>
            </w:r>
          </w:p>
        </w:tc>
        <w:tc>
          <w:tcPr>
            <w:tcW w:w="2154" w:type="dxa"/>
          </w:tcPr>
          <w:p>
            <w:pPr>
              <w:pStyle w:val="0"/>
            </w:pPr>
            <w:r>
              <w:rPr>
                <w:sz w:val="20"/>
              </w:rPr>
              <w:t xml:space="preserve">БУ "Окружная клиническая больница"</w:t>
            </w:r>
          </w:p>
        </w:tc>
        <w:tc>
          <w:tcPr>
            <w:tcW w:w="2674" w:type="dxa"/>
          </w:tcPr>
          <w:p>
            <w:pPr>
              <w:pStyle w:val="0"/>
            </w:pPr>
            <w:r>
              <w:rPr>
                <w:sz w:val="20"/>
              </w:rPr>
              <w:t xml:space="preserve">Отделение ранней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2024</w:t>
            </w:r>
          </w:p>
        </w:tc>
        <w:tc>
          <w:tcPr>
            <w:tcW w:w="1234" w:type="dxa"/>
          </w:tcPr>
          <w:p>
            <w:pPr>
              <w:pStyle w:val="0"/>
            </w:pPr>
            <w:r>
              <w:rPr>
                <w:sz w:val="20"/>
              </w:rPr>
              <w:t xml:space="preserve">52,5</w:t>
            </w:r>
          </w:p>
        </w:tc>
        <w:tc>
          <w:tcPr>
            <w:tcW w:w="1549" w:type="dxa"/>
          </w:tcPr>
          <w:p>
            <w:pPr>
              <w:pStyle w:val="0"/>
            </w:pPr>
            <w:r>
              <w:rPr>
                <w:sz w:val="20"/>
              </w:rPr>
              <w:t xml:space="preserve">100,00</w:t>
            </w:r>
          </w:p>
          <w:p>
            <w:pPr>
              <w:pStyle w:val="0"/>
            </w:pPr>
            <w:r>
              <w:rPr>
                <w:sz w:val="20"/>
              </w:rPr>
              <w:t xml:space="preserve">(прогнозная)</w:t>
            </w:r>
          </w:p>
        </w:tc>
        <w:tc>
          <w:tcPr>
            <w:tcW w:w="1234" w:type="dxa"/>
          </w:tcPr>
          <w:p>
            <w:pPr>
              <w:pStyle w:val="0"/>
            </w:pPr>
            <w:r>
              <w:rPr>
                <w:sz w:val="20"/>
              </w:rPr>
              <w:t xml:space="preserve">52,5</w:t>
            </w:r>
          </w:p>
        </w:tc>
        <w:tc>
          <w:tcPr>
            <w:tcW w:w="1549" w:type="dxa"/>
          </w:tcPr>
          <w:p>
            <w:pPr>
              <w:pStyle w:val="0"/>
            </w:pPr>
            <w:r>
              <w:rPr>
                <w:sz w:val="20"/>
              </w:rPr>
              <w:t xml:space="preserve">100,00</w:t>
            </w:r>
          </w:p>
          <w:p>
            <w:pPr>
              <w:pStyle w:val="0"/>
            </w:pPr>
            <w:r>
              <w:rPr>
                <w:sz w:val="20"/>
              </w:rPr>
              <w:t xml:space="preserve">(прогнозная)</w:t>
            </w:r>
          </w:p>
        </w:tc>
      </w:tr>
      <w:tr>
        <w:tc>
          <w:tcPr>
            <w:tcW w:w="454" w:type="dxa"/>
          </w:tcPr>
          <w:p>
            <w:pPr>
              <w:pStyle w:val="0"/>
            </w:pPr>
            <w:r>
              <w:rPr>
                <w:sz w:val="20"/>
              </w:rPr>
              <w:t xml:space="preserve">6</w:t>
            </w:r>
          </w:p>
        </w:tc>
        <w:tc>
          <w:tcPr>
            <w:tcW w:w="2154" w:type="dxa"/>
          </w:tcPr>
          <w:p>
            <w:pPr>
              <w:pStyle w:val="0"/>
            </w:pPr>
            <w:r>
              <w:rPr>
                <w:sz w:val="20"/>
              </w:rPr>
              <w:t xml:space="preserve">БУ "Нижневартовская окружная клиническая детская больница"</w:t>
            </w:r>
          </w:p>
        </w:tc>
        <w:tc>
          <w:tcPr>
            <w:tcW w:w="2674" w:type="dxa"/>
          </w:tcPr>
          <w:p>
            <w:pPr>
              <w:pStyle w:val="0"/>
            </w:pPr>
            <w:r>
              <w:rPr>
                <w:sz w:val="20"/>
              </w:rPr>
              <w:t xml:space="preserve">Детское соматическое реабилитационное отделение</w:t>
            </w:r>
          </w:p>
        </w:tc>
        <w:tc>
          <w:tcPr>
            <w:tcW w:w="1669" w:type="dxa"/>
          </w:tcPr>
          <w:p>
            <w:pPr>
              <w:pStyle w:val="0"/>
            </w:pPr>
            <w:r>
              <w:rPr>
                <w:sz w:val="20"/>
              </w:rPr>
              <w:t xml:space="preserve">дети</w:t>
            </w:r>
          </w:p>
        </w:tc>
        <w:tc>
          <w:tcPr>
            <w:tcW w:w="1699" w:type="dxa"/>
          </w:tcPr>
          <w:p>
            <w:pPr>
              <w:pStyle w:val="0"/>
            </w:pPr>
            <w:r>
              <w:rPr>
                <w:sz w:val="20"/>
              </w:rPr>
              <w:t xml:space="preserve">2024</w:t>
            </w:r>
          </w:p>
        </w:tc>
        <w:tc>
          <w:tcPr>
            <w:tcW w:w="1234" w:type="dxa"/>
          </w:tcPr>
          <w:p>
            <w:pPr>
              <w:pStyle w:val="0"/>
            </w:pPr>
            <w:r>
              <w:rPr>
                <w:sz w:val="20"/>
              </w:rPr>
              <w:t xml:space="preserve">60</w:t>
            </w:r>
          </w:p>
        </w:tc>
        <w:tc>
          <w:tcPr>
            <w:tcW w:w="1549" w:type="dxa"/>
          </w:tcPr>
          <w:p>
            <w:pPr>
              <w:pStyle w:val="0"/>
            </w:pPr>
            <w:r>
              <w:rPr>
                <w:sz w:val="20"/>
              </w:rPr>
              <w:t xml:space="preserve">100,00</w:t>
            </w:r>
          </w:p>
          <w:p>
            <w:pPr>
              <w:pStyle w:val="0"/>
            </w:pPr>
            <w:r>
              <w:rPr>
                <w:sz w:val="20"/>
              </w:rPr>
              <w:t xml:space="preserve">(прогнозная)</w:t>
            </w:r>
          </w:p>
        </w:tc>
        <w:tc>
          <w:tcPr>
            <w:tcW w:w="1234" w:type="dxa"/>
          </w:tcPr>
          <w:p>
            <w:pPr>
              <w:pStyle w:val="0"/>
            </w:pPr>
            <w:r>
              <w:rPr>
                <w:sz w:val="20"/>
              </w:rPr>
              <w:t xml:space="preserve">60</w:t>
            </w:r>
          </w:p>
        </w:tc>
        <w:tc>
          <w:tcPr>
            <w:tcW w:w="1549" w:type="dxa"/>
          </w:tcPr>
          <w:p>
            <w:pPr>
              <w:pStyle w:val="0"/>
            </w:pPr>
            <w:r>
              <w:rPr>
                <w:sz w:val="20"/>
              </w:rPr>
              <w:t xml:space="preserve">100,00</w:t>
            </w:r>
          </w:p>
          <w:p>
            <w:pPr>
              <w:pStyle w:val="0"/>
            </w:pPr>
            <w:r>
              <w:rPr>
                <w:sz w:val="20"/>
              </w:rPr>
              <w:t xml:space="preserve">(прогнозная)</w:t>
            </w:r>
          </w:p>
        </w:tc>
      </w:tr>
      <w:tr>
        <w:tc>
          <w:tcPr>
            <w:tcW w:w="454" w:type="dxa"/>
          </w:tcPr>
          <w:p>
            <w:pPr>
              <w:pStyle w:val="0"/>
            </w:pPr>
            <w:r>
              <w:rPr>
                <w:sz w:val="20"/>
              </w:rPr>
              <w:t xml:space="preserve">7</w:t>
            </w:r>
          </w:p>
        </w:tc>
        <w:tc>
          <w:tcPr>
            <w:tcW w:w="2154" w:type="dxa"/>
          </w:tcPr>
          <w:p>
            <w:pPr>
              <w:pStyle w:val="0"/>
            </w:pPr>
            <w:r>
              <w:rPr>
                <w:sz w:val="20"/>
              </w:rPr>
              <w:t xml:space="preserve">БУ "Урайская городская клиническая больница"</w:t>
            </w:r>
          </w:p>
        </w:tc>
        <w:tc>
          <w:tcPr>
            <w:tcW w:w="2674" w:type="dxa"/>
          </w:tcPr>
          <w:p>
            <w:pPr>
              <w:pStyle w:val="0"/>
            </w:pPr>
            <w:r>
              <w:rPr>
                <w:sz w:val="20"/>
              </w:rPr>
              <w:t xml:space="preserve">Амбулаторное отделение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2025</w:t>
            </w:r>
          </w:p>
        </w:tc>
        <w:tc>
          <w:tcPr>
            <w:tcW w:w="1234" w:type="dxa"/>
          </w:tcPr>
          <w:p>
            <w:pPr>
              <w:pStyle w:val="0"/>
            </w:pPr>
            <w:r>
              <w:rPr>
                <w:sz w:val="20"/>
              </w:rPr>
              <w:t xml:space="preserve">39,5</w:t>
            </w:r>
          </w:p>
        </w:tc>
        <w:tc>
          <w:tcPr>
            <w:tcW w:w="1549" w:type="dxa"/>
          </w:tcPr>
          <w:p>
            <w:pPr>
              <w:pStyle w:val="0"/>
            </w:pPr>
            <w:r>
              <w:rPr>
                <w:sz w:val="20"/>
              </w:rPr>
              <w:t xml:space="preserve">X</w:t>
            </w:r>
          </w:p>
        </w:tc>
        <w:tc>
          <w:tcPr>
            <w:tcW w:w="1234" w:type="dxa"/>
          </w:tcPr>
          <w:p>
            <w:pPr>
              <w:pStyle w:val="0"/>
            </w:pPr>
            <w:r>
              <w:rPr>
                <w:sz w:val="20"/>
              </w:rPr>
              <w:t xml:space="preserve">39,5</w:t>
            </w:r>
          </w:p>
        </w:tc>
        <w:tc>
          <w:tcPr>
            <w:tcW w:w="1549" w:type="dxa"/>
          </w:tcPr>
          <w:p>
            <w:pPr>
              <w:pStyle w:val="0"/>
            </w:pPr>
            <w:r>
              <w:rPr>
                <w:sz w:val="20"/>
              </w:rPr>
              <w:t xml:space="preserve">X</w:t>
            </w:r>
          </w:p>
        </w:tc>
      </w:tr>
      <w:tr>
        <w:tc>
          <w:tcPr>
            <w:tcW w:w="454" w:type="dxa"/>
          </w:tcPr>
          <w:p>
            <w:pPr>
              <w:pStyle w:val="0"/>
            </w:pPr>
            <w:r>
              <w:rPr>
                <w:sz w:val="20"/>
              </w:rPr>
              <w:t xml:space="preserve">8</w:t>
            </w:r>
          </w:p>
        </w:tc>
        <w:tc>
          <w:tcPr>
            <w:tcW w:w="2154" w:type="dxa"/>
          </w:tcPr>
          <w:p>
            <w:pPr>
              <w:pStyle w:val="0"/>
            </w:pPr>
            <w:r>
              <w:rPr>
                <w:sz w:val="20"/>
              </w:rPr>
              <w:t xml:space="preserve">БУ "Няганская окружная больница"</w:t>
            </w:r>
          </w:p>
        </w:tc>
        <w:tc>
          <w:tcPr>
            <w:tcW w:w="2674" w:type="dxa"/>
          </w:tcPr>
          <w:p>
            <w:pPr>
              <w:pStyle w:val="0"/>
            </w:pPr>
            <w:r>
              <w:rPr>
                <w:sz w:val="20"/>
              </w:rPr>
              <w:t xml:space="preserve">Отделение ранней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2025</w:t>
            </w:r>
          </w:p>
        </w:tc>
        <w:tc>
          <w:tcPr>
            <w:tcW w:w="1234" w:type="dxa"/>
          </w:tcPr>
          <w:p>
            <w:pPr>
              <w:pStyle w:val="0"/>
            </w:pPr>
            <w:r>
              <w:rPr>
                <w:sz w:val="20"/>
              </w:rPr>
              <w:t xml:space="preserve">26,3</w:t>
            </w:r>
          </w:p>
        </w:tc>
        <w:tc>
          <w:tcPr>
            <w:tcW w:w="1549" w:type="dxa"/>
          </w:tcPr>
          <w:p>
            <w:pPr>
              <w:pStyle w:val="0"/>
            </w:pPr>
            <w:r>
              <w:rPr>
                <w:sz w:val="20"/>
              </w:rPr>
              <w:t xml:space="preserve">X</w:t>
            </w:r>
          </w:p>
        </w:tc>
        <w:tc>
          <w:tcPr>
            <w:tcW w:w="1234" w:type="dxa"/>
          </w:tcPr>
          <w:p>
            <w:pPr>
              <w:pStyle w:val="0"/>
            </w:pPr>
            <w:r>
              <w:rPr>
                <w:sz w:val="20"/>
              </w:rPr>
              <w:t xml:space="preserve">26,3</w:t>
            </w:r>
          </w:p>
        </w:tc>
        <w:tc>
          <w:tcPr>
            <w:tcW w:w="1549" w:type="dxa"/>
          </w:tcPr>
          <w:p>
            <w:pPr>
              <w:pStyle w:val="0"/>
            </w:pPr>
            <w:r>
              <w:rPr>
                <w:sz w:val="20"/>
              </w:rPr>
              <w:t xml:space="preserve">X</w:t>
            </w:r>
          </w:p>
        </w:tc>
      </w:tr>
      <w:tr>
        <w:tc>
          <w:tcPr>
            <w:tcW w:w="454" w:type="dxa"/>
          </w:tcPr>
          <w:p>
            <w:pPr>
              <w:pStyle w:val="0"/>
            </w:pPr>
            <w:r>
              <w:rPr>
                <w:sz w:val="20"/>
              </w:rPr>
              <w:t xml:space="preserve">9</w:t>
            </w:r>
          </w:p>
        </w:tc>
        <w:tc>
          <w:tcPr>
            <w:tcW w:w="2154" w:type="dxa"/>
          </w:tcPr>
          <w:p>
            <w:pPr>
              <w:pStyle w:val="0"/>
            </w:pPr>
            <w:r>
              <w:rPr>
                <w:sz w:val="20"/>
              </w:rPr>
              <w:t xml:space="preserve">БУ "Когалымская городская больница"</w:t>
            </w:r>
          </w:p>
        </w:tc>
        <w:tc>
          <w:tcPr>
            <w:tcW w:w="2674" w:type="dxa"/>
          </w:tcPr>
          <w:p>
            <w:pPr>
              <w:pStyle w:val="0"/>
            </w:pPr>
            <w:r>
              <w:rPr>
                <w:sz w:val="20"/>
              </w:rPr>
              <w:t xml:space="preserve">Амбулаторное отделение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2025</w:t>
            </w:r>
          </w:p>
        </w:tc>
        <w:tc>
          <w:tcPr>
            <w:tcW w:w="1234" w:type="dxa"/>
          </w:tcPr>
          <w:p>
            <w:pPr>
              <w:pStyle w:val="0"/>
            </w:pPr>
            <w:r>
              <w:rPr>
                <w:sz w:val="20"/>
              </w:rPr>
              <w:t xml:space="preserve">37,23</w:t>
            </w:r>
          </w:p>
        </w:tc>
        <w:tc>
          <w:tcPr>
            <w:tcW w:w="1549" w:type="dxa"/>
          </w:tcPr>
          <w:p>
            <w:pPr>
              <w:pStyle w:val="0"/>
            </w:pPr>
            <w:r>
              <w:rPr>
                <w:sz w:val="20"/>
              </w:rPr>
              <w:t xml:space="preserve">X</w:t>
            </w:r>
          </w:p>
        </w:tc>
        <w:tc>
          <w:tcPr>
            <w:tcW w:w="1234" w:type="dxa"/>
          </w:tcPr>
          <w:p>
            <w:pPr>
              <w:pStyle w:val="0"/>
            </w:pPr>
            <w:r>
              <w:rPr>
                <w:sz w:val="20"/>
              </w:rPr>
              <w:t xml:space="preserve">37,23</w:t>
            </w:r>
          </w:p>
        </w:tc>
        <w:tc>
          <w:tcPr>
            <w:tcW w:w="1549" w:type="dxa"/>
          </w:tcPr>
          <w:p>
            <w:pPr>
              <w:pStyle w:val="0"/>
            </w:pPr>
            <w:r>
              <w:rPr>
                <w:sz w:val="20"/>
              </w:rPr>
              <w:t xml:space="preserve">X</w:t>
            </w:r>
          </w:p>
        </w:tc>
      </w:tr>
      <w:tr>
        <w:tc>
          <w:tcPr>
            <w:tcW w:w="454" w:type="dxa"/>
          </w:tcPr>
          <w:p>
            <w:pPr>
              <w:pStyle w:val="0"/>
            </w:pPr>
            <w:r>
              <w:rPr>
                <w:sz w:val="20"/>
              </w:rPr>
              <w:t xml:space="preserve">10</w:t>
            </w:r>
          </w:p>
        </w:tc>
        <w:tc>
          <w:tcPr>
            <w:tcW w:w="2154" w:type="dxa"/>
          </w:tcPr>
          <w:p>
            <w:pPr>
              <w:pStyle w:val="0"/>
            </w:pPr>
            <w:r>
              <w:rPr>
                <w:sz w:val="20"/>
              </w:rPr>
              <w:t xml:space="preserve">БУ "Сургутская городская клиническая поликлиника N 1"</w:t>
            </w:r>
          </w:p>
        </w:tc>
        <w:tc>
          <w:tcPr>
            <w:tcW w:w="2674" w:type="dxa"/>
          </w:tcPr>
          <w:p>
            <w:pPr>
              <w:pStyle w:val="0"/>
            </w:pPr>
            <w:r>
              <w:rPr>
                <w:sz w:val="20"/>
              </w:rPr>
              <w:t xml:space="preserve">Амбулаторное отделение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2025</w:t>
            </w:r>
          </w:p>
        </w:tc>
        <w:tc>
          <w:tcPr>
            <w:tcW w:w="1234" w:type="dxa"/>
          </w:tcPr>
          <w:p>
            <w:pPr>
              <w:pStyle w:val="0"/>
            </w:pPr>
            <w:r>
              <w:rPr>
                <w:sz w:val="20"/>
              </w:rPr>
              <w:t xml:space="preserve">31,78</w:t>
            </w:r>
          </w:p>
        </w:tc>
        <w:tc>
          <w:tcPr>
            <w:tcW w:w="1549" w:type="dxa"/>
          </w:tcPr>
          <w:p>
            <w:pPr>
              <w:pStyle w:val="0"/>
            </w:pPr>
            <w:r>
              <w:rPr>
                <w:sz w:val="20"/>
              </w:rPr>
              <w:t xml:space="preserve">X</w:t>
            </w:r>
          </w:p>
        </w:tc>
        <w:tc>
          <w:tcPr>
            <w:tcW w:w="1234" w:type="dxa"/>
          </w:tcPr>
          <w:p>
            <w:pPr>
              <w:pStyle w:val="0"/>
            </w:pPr>
            <w:r>
              <w:rPr>
                <w:sz w:val="20"/>
              </w:rPr>
              <w:t xml:space="preserve">31,78</w:t>
            </w:r>
          </w:p>
        </w:tc>
        <w:tc>
          <w:tcPr>
            <w:tcW w:w="1549" w:type="dxa"/>
          </w:tcPr>
          <w:p>
            <w:pPr>
              <w:pStyle w:val="0"/>
            </w:pPr>
            <w:r>
              <w:rPr>
                <w:sz w:val="20"/>
              </w:rPr>
              <w:t xml:space="preserve">X</w:t>
            </w:r>
          </w:p>
        </w:tc>
      </w:tr>
      <w:tr>
        <w:tc>
          <w:tcPr>
            <w:tcW w:w="454" w:type="dxa"/>
          </w:tcPr>
          <w:p>
            <w:pPr>
              <w:pStyle w:val="0"/>
            </w:pPr>
            <w:r>
              <w:rPr>
                <w:sz w:val="20"/>
              </w:rPr>
              <w:t xml:space="preserve">11</w:t>
            </w:r>
          </w:p>
        </w:tc>
        <w:tc>
          <w:tcPr>
            <w:tcW w:w="2154" w:type="dxa"/>
          </w:tcPr>
          <w:p>
            <w:pPr>
              <w:pStyle w:val="0"/>
            </w:pPr>
            <w:r>
              <w:rPr>
                <w:sz w:val="20"/>
              </w:rPr>
              <w:t xml:space="preserve">БУ "Няганская городская поликлиника"</w:t>
            </w:r>
          </w:p>
        </w:tc>
        <w:tc>
          <w:tcPr>
            <w:tcW w:w="2674" w:type="dxa"/>
          </w:tcPr>
          <w:p>
            <w:pPr>
              <w:pStyle w:val="0"/>
            </w:pPr>
            <w:r>
              <w:rPr>
                <w:sz w:val="20"/>
              </w:rPr>
              <w:t xml:space="preserve">Амбулаторное отделение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2025</w:t>
            </w:r>
          </w:p>
        </w:tc>
        <w:tc>
          <w:tcPr>
            <w:tcW w:w="1234" w:type="dxa"/>
          </w:tcPr>
          <w:p>
            <w:pPr>
              <w:pStyle w:val="0"/>
            </w:pPr>
            <w:r>
              <w:rPr>
                <w:sz w:val="20"/>
              </w:rPr>
              <w:t xml:space="preserve">61,8</w:t>
            </w:r>
          </w:p>
        </w:tc>
        <w:tc>
          <w:tcPr>
            <w:tcW w:w="1549" w:type="dxa"/>
          </w:tcPr>
          <w:p>
            <w:pPr>
              <w:pStyle w:val="0"/>
            </w:pPr>
            <w:r>
              <w:rPr>
                <w:sz w:val="20"/>
              </w:rPr>
              <w:t xml:space="preserve">X</w:t>
            </w:r>
          </w:p>
        </w:tc>
        <w:tc>
          <w:tcPr>
            <w:tcW w:w="1234" w:type="dxa"/>
          </w:tcPr>
          <w:p>
            <w:pPr>
              <w:pStyle w:val="0"/>
            </w:pPr>
            <w:r>
              <w:rPr>
                <w:sz w:val="20"/>
              </w:rPr>
              <w:t xml:space="preserve">61,8</w:t>
            </w:r>
          </w:p>
        </w:tc>
        <w:tc>
          <w:tcPr>
            <w:tcW w:w="1549" w:type="dxa"/>
          </w:tcPr>
          <w:p>
            <w:pPr>
              <w:pStyle w:val="0"/>
            </w:pPr>
            <w:r>
              <w:rPr>
                <w:sz w:val="20"/>
              </w:rPr>
              <w:t xml:space="preserve">X</w:t>
            </w:r>
          </w:p>
        </w:tc>
      </w:tr>
      <w:tr>
        <w:tc>
          <w:tcPr>
            <w:tcW w:w="454" w:type="dxa"/>
          </w:tcPr>
          <w:p>
            <w:pPr>
              <w:pStyle w:val="0"/>
            </w:pPr>
            <w:r>
              <w:rPr>
                <w:sz w:val="20"/>
              </w:rPr>
              <w:t xml:space="preserve">12</w:t>
            </w:r>
          </w:p>
        </w:tc>
        <w:tc>
          <w:tcPr>
            <w:tcW w:w="2154" w:type="dxa"/>
          </w:tcPr>
          <w:p>
            <w:pPr>
              <w:pStyle w:val="0"/>
            </w:pPr>
            <w:r>
              <w:rPr>
                <w:sz w:val="20"/>
              </w:rPr>
              <w:t xml:space="preserve">БУ "Нижневартовская городская поликлиника"</w:t>
            </w:r>
          </w:p>
        </w:tc>
        <w:tc>
          <w:tcPr>
            <w:tcW w:w="2674" w:type="dxa"/>
          </w:tcPr>
          <w:p>
            <w:pPr>
              <w:pStyle w:val="0"/>
            </w:pPr>
            <w:r>
              <w:rPr>
                <w:sz w:val="20"/>
              </w:rPr>
              <w:t xml:space="preserve">Амбулаторное отделение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2025</w:t>
            </w:r>
          </w:p>
        </w:tc>
        <w:tc>
          <w:tcPr>
            <w:tcW w:w="1234" w:type="dxa"/>
          </w:tcPr>
          <w:p>
            <w:pPr>
              <w:pStyle w:val="0"/>
            </w:pPr>
            <w:r>
              <w:rPr>
                <w:sz w:val="20"/>
              </w:rPr>
              <w:t xml:space="preserve">25,0</w:t>
            </w:r>
          </w:p>
        </w:tc>
        <w:tc>
          <w:tcPr>
            <w:tcW w:w="1549" w:type="dxa"/>
          </w:tcPr>
          <w:p>
            <w:pPr>
              <w:pStyle w:val="0"/>
            </w:pPr>
            <w:r>
              <w:rPr>
                <w:sz w:val="20"/>
              </w:rPr>
              <w:t xml:space="preserve">X</w:t>
            </w:r>
          </w:p>
        </w:tc>
        <w:tc>
          <w:tcPr>
            <w:tcW w:w="1234" w:type="dxa"/>
          </w:tcPr>
          <w:p>
            <w:pPr>
              <w:pStyle w:val="0"/>
            </w:pPr>
            <w:r>
              <w:rPr>
                <w:sz w:val="20"/>
              </w:rPr>
              <w:t xml:space="preserve">25,0</w:t>
            </w:r>
          </w:p>
        </w:tc>
        <w:tc>
          <w:tcPr>
            <w:tcW w:w="1549" w:type="dxa"/>
          </w:tcPr>
          <w:p>
            <w:pPr>
              <w:pStyle w:val="0"/>
            </w:pPr>
            <w:r>
              <w:rPr>
                <w:sz w:val="20"/>
              </w:rPr>
              <w:t xml:space="preserve">X</w:t>
            </w:r>
          </w:p>
        </w:tc>
      </w:tr>
      <w:tr>
        <w:tc>
          <w:tcPr>
            <w:tcW w:w="454" w:type="dxa"/>
          </w:tcPr>
          <w:p>
            <w:pPr>
              <w:pStyle w:val="0"/>
            </w:pPr>
            <w:r>
              <w:rPr>
                <w:sz w:val="20"/>
              </w:rPr>
              <w:t xml:space="preserve">13</w:t>
            </w:r>
          </w:p>
        </w:tc>
        <w:tc>
          <w:tcPr>
            <w:tcW w:w="2154" w:type="dxa"/>
          </w:tcPr>
          <w:p>
            <w:pPr>
              <w:pStyle w:val="0"/>
            </w:pPr>
            <w:r>
              <w:rPr>
                <w:sz w:val="20"/>
              </w:rPr>
              <w:t xml:space="preserve">БУ "Сургутский окружной клинический центр охраны материнства и детства"</w:t>
            </w:r>
          </w:p>
        </w:tc>
        <w:tc>
          <w:tcPr>
            <w:tcW w:w="2674" w:type="dxa"/>
          </w:tcPr>
          <w:p>
            <w:pPr>
              <w:pStyle w:val="0"/>
            </w:pPr>
            <w:r>
              <w:rPr>
                <w:sz w:val="20"/>
              </w:rPr>
              <w:t xml:space="preserve">Детское нейрореабилитационное отделение</w:t>
            </w:r>
          </w:p>
        </w:tc>
        <w:tc>
          <w:tcPr>
            <w:tcW w:w="1669" w:type="dxa"/>
          </w:tcPr>
          <w:p>
            <w:pPr>
              <w:pStyle w:val="0"/>
            </w:pPr>
            <w:r>
              <w:rPr>
                <w:sz w:val="20"/>
              </w:rPr>
              <w:t xml:space="preserve">дети</w:t>
            </w:r>
          </w:p>
        </w:tc>
        <w:tc>
          <w:tcPr>
            <w:tcW w:w="1699" w:type="dxa"/>
          </w:tcPr>
          <w:p>
            <w:pPr>
              <w:pStyle w:val="0"/>
            </w:pPr>
            <w:r>
              <w:rPr>
                <w:sz w:val="20"/>
              </w:rPr>
              <w:t xml:space="preserve">2026</w:t>
            </w:r>
          </w:p>
        </w:tc>
        <w:tc>
          <w:tcPr>
            <w:tcW w:w="1234" w:type="dxa"/>
          </w:tcPr>
          <w:p>
            <w:pPr>
              <w:pStyle w:val="0"/>
            </w:pPr>
            <w:r>
              <w:rPr>
                <w:sz w:val="20"/>
              </w:rPr>
              <w:t xml:space="preserve">39,0</w:t>
            </w:r>
          </w:p>
        </w:tc>
        <w:tc>
          <w:tcPr>
            <w:tcW w:w="1549" w:type="dxa"/>
          </w:tcPr>
          <w:p>
            <w:pPr>
              <w:pStyle w:val="0"/>
            </w:pPr>
            <w:r>
              <w:rPr>
                <w:sz w:val="20"/>
              </w:rPr>
              <w:t xml:space="preserve">X</w:t>
            </w:r>
          </w:p>
        </w:tc>
        <w:tc>
          <w:tcPr>
            <w:tcW w:w="1234" w:type="dxa"/>
          </w:tcPr>
          <w:p>
            <w:pPr>
              <w:pStyle w:val="0"/>
            </w:pPr>
            <w:r>
              <w:rPr>
                <w:sz w:val="20"/>
              </w:rPr>
              <w:t xml:space="preserve">39,0</w:t>
            </w:r>
          </w:p>
        </w:tc>
        <w:tc>
          <w:tcPr>
            <w:tcW w:w="1549" w:type="dxa"/>
          </w:tcPr>
          <w:p>
            <w:pPr>
              <w:pStyle w:val="0"/>
            </w:pPr>
            <w:r>
              <w:rPr>
                <w:sz w:val="20"/>
              </w:rPr>
              <w:t xml:space="preserve">X</w:t>
            </w:r>
          </w:p>
        </w:tc>
      </w:tr>
      <w:tr>
        <w:tc>
          <w:tcPr>
            <w:tcW w:w="454" w:type="dxa"/>
          </w:tcPr>
          <w:p>
            <w:pPr>
              <w:pStyle w:val="0"/>
            </w:pPr>
            <w:r>
              <w:rPr>
                <w:sz w:val="20"/>
              </w:rPr>
              <w:t xml:space="preserve">14</w:t>
            </w:r>
          </w:p>
        </w:tc>
        <w:tc>
          <w:tcPr>
            <w:tcW w:w="2154" w:type="dxa"/>
          </w:tcPr>
          <w:p>
            <w:pPr>
              <w:pStyle w:val="0"/>
            </w:pPr>
            <w:r>
              <w:rPr>
                <w:sz w:val="20"/>
              </w:rPr>
              <w:t xml:space="preserve">БУ "Нижневартовский окружной клинический перинатальный центр"</w:t>
            </w:r>
          </w:p>
        </w:tc>
        <w:tc>
          <w:tcPr>
            <w:tcW w:w="2674" w:type="dxa"/>
          </w:tcPr>
          <w:p>
            <w:pPr>
              <w:pStyle w:val="0"/>
            </w:pPr>
            <w:r>
              <w:rPr>
                <w:sz w:val="20"/>
              </w:rPr>
              <w:t xml:space="preserve">Детское нейрореабилитационное отделение</w:t>
            </w:r>
          </w:p>
        </w:tc>
        <w:tc>
          <w:tcPr>
            <w:tcW w:w="1669" w:type="dxa"/>
          </w:tcPr>
          <w:p>
            <w:pPr>
              <w:pStyle w:val="0"/>
            </w:pPr>
            <w:r>
              <w:rPr>
                <w:sz w:val="20"/>
              </w:rPr>
              <w:t xml:space="preserve">дети</w:t>
            </w:r>
          </w:p>
        </w:tc>
        <w:tc>
          <w:tcPr>
            <w:tcW w:w="1699" w:type="dxa"/>
          </w:tcPr>
          <w:p>
            <w:pPr>
              <w:pStyle w:val="0"/>
            </w:pPr>
            <w:r>
              <w:rPr>
                <w:sz w:val="20"/>
              </w:rPr>
              <w:t xml:space="preserve">2026</w:t>
            </w:r>
          </w:p>
        </w:tc>
        <w:tc>
          <w:tcPr>
            <w:tcW w:w="1234" w:type="dxa"/>
          </w:tcPr>
          <w:p>
            <w:pPr>
              <w:pStyle w:val="0"/>
            </w:pPr>
            <w:r>
              <w:rPr>
                <w:sz w:val="20"/>
              </w:rPr>
              <w:t xml:space="preserve">23,56</w:t>
            </w:r>
          </w:p>
        </w:tc>
        <w:tc>
          <w:tcPr>
            <w:tcW w:w="1549" w:type="dxa"/>
          </w:tcPr>
          <w:p>
            <w:pPr>
              <w:pStyle w:val="0"/>
            </w:pPr>
            <w:r>
              <w:rPr>
                <w:sz w:val="20"/>
              </w:rPr>
              <w:t xml:space="preserve">X</w:t>
            </w:r>
          </w:p>
        </w:tc>
        <w:tc>
          <w:tcPr>
            <w:tcW w:w="1234" w:type="dxa"/>
          </w:tcPr>
          <w:p>
            <w:pPr>
              <w:pStyle w:val="0"/>
            </w:pPr>
            <w:r>
              <w:rPr>
                <w:sz w:val="20"/>
              </w:rPr>
              <w:t xml:space="preserve">23,56</w:t>
            </w:r>
          </w:p>
        </w:tc>
        <w:tc>
          <w:tcPr>
            <w:tcW w:w="1549" w:type="dxa"/>
          </w:tcPr>
          <w:p>
            <w:pPr>
              <w:pStyle w:val="0"/>
            </w:pPr>
            <w:r>
              <w:rPr>
                <w:sz w:val="20"/>
              </w:rPr>
              <w:t xml:space="preserve">X</w:t>
            </w:r>
          </w:p>
        </w:tc>
      </w:tr>
      <w:tr>
        <w:tc>
          <w:tcPr>
            <w:tcW w:w="454" w:type="dxa"/>
          </w:tcPr>
          <w:p>
            <w:pPr>
              <w:pStyle w:val="0"/>
            </w:pPr>
            <w:r>
              <w:rPr>
                <w:sz w:val="20"/>
              </w:rPr>
              <w:t xml:space="preserve">15</w:t>
            </w:r>
          </w:p>
        </w:tc>
        <w:tc>
          <w:tcPr>
            <w:tcW w:w="2154" w:type="dxa"/>
          </w:tcPr>
          <w:p>
            <w:pPr>
              <w:pStyle w:val="0"/>
            </w:pPr>
            <w:r>
              <w:rPr>
                <w:sz w:val="20"/>
              </w:rPr>
              <w:t xml:space="preserve">БУ "Сургутская городская клиническая поликлиника N 2"</w:t>
            </w:r>
          </w:p>
        </w:tc>
        <w:tc>
          <w:tcPr>
            <w:tcW w:w="2674" w:type="dxa"/>
          </w:tcPr>
          <w:p>
            <w:pPr>
              <w:pStyle w:val="0"/>
            </w:pPr>
            <w:r>
              <w:rPr>
                <w:sz w:val="20"/>
              </w:rPr>
              <w:t xml:space="preserve">Амбулаторное отделение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2026</w:t>
            </w:r>
          </w:p>
        </w:tc>
        <w:tc>
          <w:tcPr>
            <w:tcW w:w="1234" w:type="dxa"/>
          </w:tcPr>
          <w:p>
            <w:pPr>
              <w:pStyle w:val="0"/>
            </w:pPr>
            <w:r>
              <w:rPr>
                <w:sz w:val="20"/>
              </w:rPr>
              <w:t xml:space="preserve">44,35</w:t>
            </w:r>
          </w:p>
        </w:tc>
        <w:tc>
          <w:tcPr>
            <w:tcW w:w="1549" w:type="dxa"/>
          </w:tcPr>
          <w:p>
            <w:pPr>
              <w:pStyle w:val="0"/>
            </w:pPr>
            <w:r>
              <w:rPr>
                <w:sz w:val="20"/>
              </w:rPr>
              <w:t xml:space="preserve">X</w:t>
            </w:r>
          </w:p>
        </w:tc>
        <w:tc>
          <w:tcPr>
            <w:tcW w:w="1234" w:type="dxa"/>
          </w:tcPr>
          <w:p>
            <w:pPr>
              <w:pStyle w:val="0"/>
            </w:pPr>
            <w:r>
              <w:rPr>
                <w:sz w:val="20"/>
              </w:rPr>
              <w:t xml:space="preserve">44,35</w:t>
            </w:r>
          </w:p>
        </w:tc>
        <w:tc>
          <w:tcPr>
            <w:tcW w:w="1549" w:type="dxa"/>
          </w:tcPr>
          <w:p>
            <w:pPr>
              <w:pStyle w:val="0"/>
            </w:pPr>
            <w:r>
              <w:rPr>
                <w:sz w:val="20"/>
              </w:rPr>
              <w:t xml:space="preserve">X</w:t>
            </w:r>
          </w:p>
        </w:tc>
      </w:tr>
      <w:tr>
        <w:tc>
          <w:tcPr>
            <w:tcW w:w="454" w:type="dxa"/>
          </w:tcPr>
          <w:p>
            <w:pPr>
              <w:pStyle w:val="0"/>
            </w:pPr>
            <w:r>
              <w:rPr>
                <w:sz w:val="20"/>
              </w:rPr>
              <w:t xml:space="preserve">16</w:t>
            </w:r>
          </w:p>
        </w:tc>
        <w:tc>
          <w:tcPr>
            <w:tcW w:w="2154" w:type="dxa"/>
          </w:tcPr>
          <w:p>
            <w:pPr>
              <w:pStyle w:val="0"/>
            </w:pPr>
            <w:r>
              <w:rPr>
                <w:sz w:val="20"/>
              </w:rPr>
              <w:t xml:space="preserve">БУ "Югорская городская больница"</w:t>
            </w:r>
          </w:p>
        </w:tc>
        <w:tc>
          <w:tcPr>
            <w:tcW w:w="2674" w:type="dxa"/>
          </w:tcPr>
          <w:p>
            <w:pPr>
              <w:pStyle w:val="0"/>
            </w:pPr>
            <w:r>
              <w:rPr>
                <w:sz w:val="20"/>
              </w:rPr>
              <w:t xml:space="preserve">Амбулаторное отделение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2026</w:t>
            </w:r>
          </w:p>
        </w:tc>
        <w:tc>
          <w:tcPr>
            <w:tcW w:w="1234" w:type="dxa"/>
          </w:tcPr>
          <w:p>
            <w:pPr>
              <w:pStyle w:val="0"/>
            </w:pPr>
            <w:r>
              <w:rPr>
                <w:sz w:val="20"/>
              </w:rPr>
              <w:t xml:space="preserve">25,6</w:t>
            </w:r>
          </w:p>
        </w:tc>
        <w:tc>
          <w:tcPr>
            <w:tcW w:w="1549" w:type="dxa"/>
          </w:tcPr>
          <w:p>
            <w:pPr>
              <w:pStyle w:val="0"/>
            </w:pPr>
            <w:r>
              <w:rPr>
                <w:sz w:val="20"/>
              </w:rPr>
              <w:t xml:space="preserve">X</w:t>
            </w:r>
          </w:p>
        </w:tc>
        <w:tc>
          <w:tcPr>
            <w:tcW w:w="1234" w:type="dxa"/>
          </w:tcPr>
          <w:p>
            <w:pPr>
              <w:pStyle w:val="0"/>
            </w:pPr>
            <w:r>
              <w:rPr>
                <w:sz w:val="20"/>
              </w:rPr>
              <w:t xml:space="preserve">25,6</w:t>
            </w:r>
          </w:p>
        </w:tc>
        <w:tc>
          <w:tcPr>
            <w:tcW w:w="1549" w:type="dxa"/>
          </w:tcPr>
          <w:p>
            <w:pPr>
              <w:pStyle w:val="0"/>
            </w:pPr>
            <w:r>
              <w:rPr>
                <w:sz w:val="20"/>
              </w:rPr>
              <w:t xml:space="preserve">X</w:t>
            </w:r>
          </w:p>
        </w:tc>
      </w:tr>
      <w:tr>
        <w:tc>
          <w:tcPr>
            <w:tcW w:w="454" w:type="dxa"/>
          </w:tcPr>
          <w:p>
            <w:pPr>
              <w:pStyle w:val="0"/>
            </w:pPr>
            <w:r>
              <w:rPr>
                <w:sz w:val="20"/>
              </w:rPr>
              <w:t xml:space="preserve">17</w:t>
            </w:r>
          </w:p>
        </w:tc>
        <w:tc>
          <w:tcPr>
            <w:tcW w:w="2154" w:type="dxa"/>
          </w:tcPr>
          <w:p>
            <w:pPr>
              <w:pStyle w:val="0"/>
            </w:pPr>
            <w:r>
              <w:rPr>
                <w:sz w:val="20"/>
              </w:rPr>
              <w:t xml:space="preserve">БУ "Пыть-Яхская окружная клиническая больница"</w:t>
            </w:r>
          </w:p>
        </w:tc>
        <w:tc>
          <w:tcPr>
            <w:tcW w:w="2674" w:type="dxa"/>
          </w:tcPr>
          <w:p>
            <w:pPr>
              <w:pStyle w:val="0"/>
            </w:pPr>
            <w:r>
              <w:rPr>
                <w:sz w:val="20"/>
              </w:rPr>
              <w:t xml:space="preserve">Амбулаторное отделение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2026</w:t>
            </w:r>
          </w:p>
        </w:tc>
        <w:tc>
          <w:tcPr>
            <w:tcW w:w="1234" w:type="dxa"/>
          </w:tcPr>
          <w:p>
            <w:pPr>
              <w:pStyle w:val="0"/>
            </w:pPr>
            <w:r>
              <w:rPr>
                <w:sz w:val="20"/>
              </w:rPr>
              <w:t xml:space="preserve">45,7</w:t>
            </w:r>
          </w:p>
        </w:tc>
        <w:tc>
          <w:tcPr>
            <w:tcW w:w="1549" w:type="dxa"/>
          </w:tcPr>
          <w:p>
            <w:pPr>
              <w:pStyle w:val="0"/>
            </w:pPr>
            <w:r>
              <w:rPr>
                <w:sz w:val="20"/>
              </w:rPr>
              <w:t xml:space="preserve">X</w:t>
            </w:r>
          </w:p>
        </w:tc>
        <w:tc>
          <w:tcPr>
            <w:tcW w:w="1234" w:type="dxa"/>
          </w:tcPr>
          <w:p>
            <w:pPr>
              <w:pStyle w:val="0"/>
            </w:pPr>
            <w:r>
              <w:rPr>
                <w:sz w:val="20"/>
              </w:rPr>
              <w:t xml:space="preserve">45,7</w:t>
            </w:r>
          </w:p>
        </w:tc>
        <w:tc>
          <w:tcPr>
            <w:tcW w:w="1549" w:type="dxa"/>
          </w:tcPr>
          <w:p>
            <w:pPr>
              <w:pStyle w:val="0"/>
            </w:pPr>
            <w:r>
              <w:rPr>
                <w:sz w:val="20"/>
              </w:rPr>
              <w:t xml:space="preserve">X</w:t>
            </w:r>
          </w:p>
        </w:tc>
      </w:tr>
      <w:tr>
        <w:tc>
          <w:tcPr>
            <w:tcW w:w="454" w:type="dxa"/>
          </w:tcPr>
          <w:p>
            <w:pPr>
              <w:pStyle w:val="0"/>
            </w:pPr>
            <w:r>
              <w:rPr>
                <w:sz w:val="20"/>
              </w:rPr>
              <w:t xml:space="preserve">18</w:t>
            </w:r>
          </w:p>
        </w:tc>
        <w:tc>
          <w:tcPr>
            <w:tcW w:w="2154" w:type="dxa"/>
          </w:tcPr>
          <w:p>
            <w:pPr>
              <w:pStyle w:val="0"/>
            </w:pPr>
            <w:r>
              <w:rPr>
                <w:sz w:val="20"/>
              </w:rPr>
              <w:t xml:space="preserve">БУ "Мегионская городская больница"</w:t>
            </w:r>
          </w:p>
        </w:tc>
        <w:tc>
          <w:tcPr>
            <w:tcW w:w="2674" w:type="dxa"/>
          </w:tcPr>
          <w:p>
            <w:pPr>
              <w:pStyle w:val="0"/>
            </w:pPr>
            <w:r>
              <w:rPr>
                <w:sz w:val="20"/>
              </w:rPr>
              <w:t xml:space="preserve">Амбулаторное отделение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2026</w:t>
            </w:r>
          </w:p>
        </w:tc>
        <w:tc>
          <w:tcPr>
            <w:tcW w:w="1234" w:type="dxa"/>
          </w:tcPr>
          <w:p>
            <w:pPr>
              <w:pStyle w:val="0"/>
            </w:pPr>
            <w:r>
              <w:rPr>
                <w:sz w:val="20"/>
              </w:rPr>
              <w:t xml:space="preserve">36,52</w:t>
            </w:r>
          </w:p>
        </w:tc>
        <w:tc>
          <w:tcPr>
            <w:tcW w:w="1549" w:type="dxa"/>
          </w:tcPr>
          <w:p>
            <w:pPr>
              <w:pStyle w:val="0"/>
            </w:pPr>
            <w:r>
              <w:rPr>
                <w:sz w:val="20"/>
              </w:rPr>
              <w:t xml:space="preserve">X</w:t>
            </w:r>
          </w:p>
        </w:tc>
        <w:tc>
          <w:tcPr>
            <w:tcW w:w="1234" w:type="dxa"/>
          </w:tcPr>
          <w:p>
            <w:pPr>
              <w:pStyle w:val="0"/>
            </w:pPr>
            <w:r>
              <w:rPr>
                <w:sz w:val="20"/>
              </w:rPr>
              <w:t xml:space="preserve">36,52</w:t>
            </w:r>
          </w:p>
        </w:tc>
        <w:tc>
          <w:tcPr>
            <w:tcW w:w="1549" w:type="dxa"/>
          </w:tcPr>
          <w:p>
            <w:pPr>
              <w:pStyle w:val="0"/>
            </w:pPr>
            <w:r>
              <w:rPr>
                <w:sz w:val="20"/>
              </w:rPr>
              <w:t xml:space="preserve">X</w:t>
            </w:r>
          </w:p>
        </w:tc>
      </w:tr>
      <w:tr>
        <w:tc>
          <w:tcPr>
            <w:tcW w:w="454" w:type="dxa"/>
          </w:tcPr>
          <w:p>
            <w:pPr>
              <w:pStyle w:val="0"/>
            </w:pPr>
            <w:r>
              <w:rPr>
                <w:sz w:val="20"/>
              </w:rPr>
              <w:t xml:space="preserve">19</w:t>
            </w:r>
          </w:p>
        </w:tc>
        <w:tc>
          <w:tcPr>
            <w:tcW w:w="2154" w:type="dxa"/>
          </w:tcPr>
          <w:p>
            <w:pPr>
              <w:pStyle w:val="0"/>
            </w:pPr>
            <w:r>
              <w:rPr>
                <w:sz w:val="20"/>
              </w:rPr>
              <w:t xml:space="preserve">БУ "Сургутская городская клиническая поликлиника N 3"</w:t>
            </w:r>
          </w:p>
        </w:tc>
        <w:tc>
          <w:tcPr>
            <w:tcW w:w="2674" w:type="dxa"/>
          </w:tcPr>
          <w:p>
            <w:pPr>
              <w:pStyle w:val="0"/>
            </w:pPr>
            <w:r>
              <w:rPr>
                <w:sz w:val="20"/>
              </w:rPr>
              <w:t xml:space="preserve">Амбулаторное отделение медицинской реабилитации</w:t>
            </w:r>
          </w:p>
        </w:tc>
        <w:tc>
          <w:tcPr>
            <w:tcW w:w="1669" w:type="dxa"/>
          </w:tcPr>
          <w:p>
            <w:pPr>
              <w:pStyle w:val="0"/>
            </w:pPr>
            <w:r>
              <w:rPr>
                <w:sz w:val="20"/>
              </w:rPr>
              <w:t xml:space="preserve">взрослые</w:t>
            </w:r>
          </w:p>
        </w:tc>
        <w:tc>
          <w:tcPr>
            <w:tcW w:w="1699" w:type="dxa"/>
          </w:tcPr>
          <w:p>
            <w:pPr>
              <w:pStyle w:val="0"/>
            </w:pPr>
            <w:r>
              <w:rPr>
                <w:sz w:val="20"/>
              </w:rPr>
              <w:t xml:space="preserve">2026</w:t>
            </w:r>
          </w:p>
        </w:tc>
        <w:tc>
          <w:tcPr>
            <w:tcW w:w="1234" w:type="dxa"/>
          </w:tcPr>
          <w:p>
            <w:pPr>
              <w:pStyle w:val="0"/>
            </w:pPr>
            <w:r>
              <w:rPr>
                <w:sz w:val="20"/>
              </w:rPr>
              <w:t xml:space="preserve">46,0</w:t>
            </w:r>
          </w:p>
        </w:tc>
        <w:tc>
          <w:tcPr>
            <w:tcW w:w="1549" w:type="dxa"/>
          </w:tcPr>
          <w:p>
            <w:pPr>
              <w:pStyle w:val="0"/>
            </w:pPr>
            <w:r>
              <w:rPr>
                <w:sz w:val="20"/>
              </w:rPr>
              <w:t xml:space="preserve">X</w:t>
            </w:r>
          </w:p>
        </w:tc>
        <w:tc>
          <w:tcPr>
            <w:tcW w:w="1234" w:type="dxa"/>
          </w:tcPr>
          <w:p>
            <w:pPr>
              <w:pStyle w:val="0"/>
            </w:pPr>
            <w:r>
              <w:rPr>
                <w:sz w:val="20"/>
              </w:rPr>
              <w:t xml:space="preserve">46,0</w:t>
            </w:r>
          </w:p>
        </w:tc>
        <w:tc>
          <w:tcPr>
            <w:tcW w:w="1549" w:type="dxa"/>
          </w:tcPr>
          <w:p>
            <w:pPr>
              <w:pStyle w:val="0"/>
            </w:pPr>
            <w:r>
              <w:rPr>
                <w:sz w:val="20"/>
              </w:rPr>
              <w:t xml:space="preserve">X</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2"/>
        <w:outlineLvl w:val="2"/>
        <w:jc w:val="center"/>
      </w:pPr>
      <w:r>
        <w:rPr>
          <w:sz w:val="20"/>
        </w:rPr>
        <w:t xml:space="preserve">1.6. Анализ кадрового обеспечения реабилитационной службы</w:t>
      </w:r>
    </w:p>
    <w:p>
      <w:pPr>
        <w:pStyle w:val="2"/>
        <w:jc w:val="center"/>
      </w:pPr>
      <w:r>
        <w:rPr>
          <w:sz w:val="20"/>
        </w:rPr>
        <w:t xml:space="preserve">автономного округа</w:t>
      </w:r>
    </w:p>
    <w:p>
      <w:pPr>
        <w:pStyle w:val="0"/>
        <w:ind w:firstLine="540"/>
        <w:jc w:val="both"/>
      </w:pPr>
      <w:r>
        <w:rPr>
          <w:sz w:val="20"/>
        </w:rPr>
      </w:r>
    </w:p>
    <w:p>
      <w:pPr>
        <w:pStyle w:val="0"/>
        <w:ind w:firstLine="540"/>
        <w:jc w:val="both"/>
      </w:pPr>
      <w:r>
        <w:rPr>
          <w:sz w:val="20"/>
        </w:rPr>
        <w:t xml:space="preserve">Согласно форме федерального статистического наблюдения N 30 в 2021 году укомплектованность кадрами медицинских организаций, осуществляющих медицинскую реабилитацию, в автономном округе составила 93,4% (укомплектованность врачами-специалистами - 90,2%, специалистами с высшим профессиональным (немедицинским) образованием - 92,7%, средним медицинским персоналом - 94,6%, младшим медицинским персоналом - 97,5%).</w:t>
      </w:r>
    </w:p>
    <w:p>
      <w:pPr>
        <w:pStyle w:val="0"/>
        <w:ind w:firstLine="540"/>
        <w:jc w:val="both"/>
      </w:pPr>
      <w:r>
        <w:rPr>
          <w:sz w:val="20"/>
        </w:rPr>
      </w:r>
    </w:p>
    <w:p>
      <w:pPr>
        <w:pStyle w:val="0"/>
        <w:jc w:val="right"/>
      </w:pPr>
      <w:r>
        <w:rPr>
          <w:sz w:val="20"/>
        </w:rPr>
        <w:t xml:space="preserve">Таблица 8</w:t>
      </w:r>
    </w:p>
    <w:p>
      <w:pPr>
        <w:pStyle w:val="0"/>
        <w:jc w:val="right"/>
      </w:pPr>
      <w:r>
        <w:rPr>
          <w:sz w:val="20"/>
        </w:rPr>
      </w:r>
    </w:p>
    <w:p>
      <w:pPr>
        <w:pStyle w:val="0"/>
        <w:jc w:val="center"/>
      </w:pPr>
      <w:r>
        <w:rPr>
          <w:sz w:val="20"/>
        </w:rPr>
        <w:t xml:space="preserve">Укомплектованность кадрами медицинских организаций,</w:t>
      </w:r>
    </w:p>
    <w:p>
      <w:pPr>
        <w:pStyle w:val="0"/>
        <w:jc w:val="center"/>
      </w:pPr>
      <w:r>
        <w:rPr>
          <w:sz w:val="20"/>
        </w:rPr>
        <w:t xml:space="preserve">осуществляющих медицинскую реабилитацию, в автономном округе</w:t>
      </w:r>
    </w:p>
    <w:p>
      <w:pPr>
        <w:pStyle w:val="0"/>
        <w:jc w:val="center"/>
      </w:pPr>
      <w:r>
        <w:rPr>
          <w:sz w:val="20"/>
        </w:rPr>
        <w:t xml:space="preserve">в 2022 году</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2"/>
        <w:gridCol w:w="3820"/>
      </w:tblGrid>
      <w:tr>
        <w:tc>
          <w:tcPr>
            <w:tcW w:w="5102" w:type="dxa"/>
          </w:tcPr>
          <w:p>
            <w:pPr>
              <w:pStyle w:val="0"/>
              <w:jc w:val="center"/>
            </w:pPr>
            <w:r>
              <w:rPr>
                <w:sz w:val="20"/>
              </w:rPr>
              <w:t xml:space="preserve">Наименование должности</w:t>
            </w:r>
          </w:p>
        </w:tc>
        <w:tc>
          <w:tcPr>
            <w:tcW w:w="3820" w:type="dxa"/>
          </w:tcPr>
          <w:p>
            <w:pPr>
              <w:pStyle w:val="0"/>
              <w:jc w:val="center"/>
            </w:pPr>
            <w:r>
              <w:rPr>
                <w:sz w:val="20"/>
              </w:rPr>
              <w:t xml:space="preserve">Укомплектованность, %</w:t>
            </w:r>
          </w:p>
        </w:tc>
      </w:tr>
      <w:tr>
        <w:tc>
          <w:tcPr>
            <w:tcW w:w="5102" w:type="dxa"/>
          </w:tcPr>
          <w:p>
            <w:pPr>
              <w:pStyle w:val="0"/>
            </w:pPr>
            <w:r>
              <w:rPr>
                <w:sz w:val="20"/>
              </w:rPr>
              <w:t xml:space="preserve">врач-анестезиолог-реаниматолог</w:t>
            </w:r>
          </w:p>
        </w:tc>
        <w:tc>
          <w:tcPr>
            <w:tcW w:w="3820" w:type="dxa"/>
          </w:tcPr>
          <w:p>
            <w:pPr>
              <w:pStyle w:val="0"/>
            </w:pPr>
            <w:r>
              <w:rPr>
                <w:sz w:val="20"/>
              </w:rPr>
              <w:t xml:space="preserve">85,8</w:t>
            </w:r>
          </w:p>
        </w:tc>
      </w:tr>
      <w:tr>
        <w:tc>
          <w:tcPr>
            <w:tcW w:w="5102" w:type="dxa"/>
          </w:tcPr>
          <w:p>
            <w:pPr>
              <w:pStyle w:val="0"/>
            </w:pPr>
            <w:r>
              <w:rPr>
                <w:sz w:val="20"/>
              </w:rPr>
              <w:t xml:space="preserve">врач-невролог</w:t>
            </w:r>
          </w:p>
        </w:tc>
        <w:tc>
          <w:tcPr>
            <w:tcW w:w="3820" w:type="dxa"/>
          </w:tcPr>
          <w:p>
            <w:pPr>
              <w:pStyle w:val="0"/>
            </w:pPr>
            <w:r>
              <w:rPr>
                <w:sz w:val="20"/>
              </w:rPr>
              <w:t xml:space="preserve">81,6</w:t>
            </w:r>
          </w:p>
        </w:tc>
      </w:tr>
      <w:tr>
        <w:tc>
          <w:tcPr>
            <w:tcW w:w="5102" w:type="dxa"/>
          </w:tcPr>
          <w:p>
            <w:pPr>
              <w:pStyle w:val="0"/>
            </w:pPr>
            <w:r>
              <w:rPr>
                <w:sz w:val="20"/>
              </w:rPr>
              <w:t xml:space="preserve">врач-нейрохирург</w:t>
            </w:r>
          </w:p>
        </w:tc>
        <w:tc>
          <w:tcPr>
            <w:tcW w:w="3820" w:type="dxa"/>
          </w:tcPr>
          <w:p>
            <w:pPr>
              <w:pStyle w:val="0"/>
            </w:pPr>
            <w:r>
              <w:rPr>
                <w:sz w:val="20"/>
              </w:rPr>
              <w:t xml:space="preserve">73,2</w:t>
            </w:r>
          </w:p>
        </w:tc>
      </w:tr>
      <w:tr>
        <w:tc>
          <w:tcPr>
            <w:tcW w:w="5102" w:type="dxa"/>
          </w:tcPr>
          <w:p>
            <w:pPr>
              <w:pStyle w:val="0"/>
            </w:pPr>
            <w:r>
              <w:rPr>
                <w:sz w:val="20"/>
              </w:rPr>
              <w:t xml:space="preserve">врач-кардиолог</w:t>
            </w:r>
          </w:p>
        </w:tc>
        <w:tc>
          <w:tcPr>
            <w:tcW w:w="3820" w:type="dxa"/>
          </w:tcPr>
          <w:p>
            <w:pPr>
              <w:pStyle w:val="0"/>
            </w:pPr>
            <w:r>
              <w:rPr>
                <w:sz w:val="20"/>
              </w:rPr>
              <w:t xml:space="preserve">81,7</w:t>
            </w:r>
          </w:p>
        </w:tc>
      </w:tr>
      <w:tr>
        <w:tc>
          <w:tcPr>
            <w:tcW w:w="5102" w:type="dxa"/>
          </w:tcPr>
          <w:p>
            <w:pPr>
              <w:pStyle w:val="0"/>
            </w:pPr>
            <w:r>
              <w:rPr>
                <w:sz w:val="20"/>
              </w:rPr>
              <w:t xml:space="preserve">врач по медицинской реабилитации</w:t>
            </w:r>
          </w:p>
        </w:tc>
        <w:tc>
          <w:tcPr>
            <w:tcW w:w="3820" w:type="dxa"/>
          </w:tcPr>
          <w:p>
            <w:pPr>
              <w:pStyle w:val="0"/>
            </w:pPr>
            <w:r>
              <w:rPr>
                <w:sz w:val="20"/>
              </w:rPr>
              <w:t xml:space="preserve">88,2</w:t>
            </w:r>
          </w:p>
        </w:tc>
      </w:tr>
      <w:tr>
        <w:tc>
          <w:tcPr>
            <w:tcW w:w="5102" w:type="dxa"/>
          </w:tcPr>
          <w:p>
            <w:pPr>
              <w:pStyle w:val="0"/>
            </w:pPr>
            <w:r>
              <w:rPr>
                <w:sz w:val="20"/>
              </w:rPr>
              <w:t xml:space="preserve">врач по физической и реабилитационной медицине</w:t>
            </w:r>
          </w:p>
        </w:tc>
        <w:tc>
          <w:tcPr>
            <w:tcW w:w="3820" w:type="dxa"/>
          </w:tcPr>
          <w:p>
            <w:pPr>
              <w:pStyle w:val="0"/>
            </w:pPr>
            <w:r>
              <w:rPr>
                <w:sz w:val="20"/>
              </w:rPr>
              <w:t xml:space="preserve">100</w:t>
            </w:r>
          </w:p>
        </w:tc>
      </w:tr>
      <w:tr>
        <w:tc>
          <w:tcPr>
            <w:tcW w:w="5102" w:type="dxa"/>
          </w:tcPr>
          <w:p>
            <w:pPr>
              <w:pStyle w:val="0"/>
            </w:pPr>
            <w:r>
              <w:rPr>
                <w:sz w:val="20"/>
              </w:rPr>
              <w:t xml:space="preserve">врач по рентгенэндоваскулярным диагностике и лечению</w:t>
            </w:r>
          </w:p>
        </w:tc>
        <w:tc>
          <w:tcPr>
            <w:tcW w:w="3820" w:type="dxa"/>
          </w:tcPr>
          <w:p>
            <w:pPr>
              <w:pStyle w:val="0"/>
            </w:pPr>
            <w:r>
              <w:rPr>
                <w:sz w:val="20"/>
              </w:rPr>
              <w:t xml:space="preserve">91,3</w:t>
            </w:r>
          </w:p>
        </w:tc>
      </w:tr>
      <w:tr>
        <w:tc>
          <w:tcPr>
            <w:tcW w:w="5102" w:type="dxa"/>
          </w:tcPr>
          <w:p>
            <w:pPr>
              <w:pStyle w:val="0"/>
            </w:pPr>
            <w:r>
              <w:rPr>
                <w:sz w:val="20"/>
              </w:rPr>
              <w:t xml:space="preserve">врач по лечебной физкультуре</w:t>
            </w:r>
          </w:p>
        </w:tc>
        <w:tc>
          <w:tcPr>
            <w:tcW w:w="3820" w:type="dxa"/>
          </w:tcPr>
          <w:p>
            <w:pPr>
              <w:pStyle w:val="0"/>
            </w:pPr>
            <w:r>
              <w:rPr>
                <w:sz w:val="20"/>
              </w:rPr>
              <w:t xml:space="preserve">68,4</w:t>
            </w:r>
          </w:p>
        </w:tc>
      </w:tr>
      <w:tr>
        <w:tc>
          <w:tcPr>
            <w:tcW w:w="5102" w:type="dxa"/>
          </w:tcPr>
          <w:p>
            <w:pPr>
              <w:pStyle w:val="0"/>
            </w:pPr>
            <w:r>
              <w:rPr>
                <w:sz w:val="20"/>
              </w:rPr>
              <w:t xml:space="preserve">врач-травматолог ортопед</w:t>
            </w:r>
          </w:p>
        </w:tc>
        <w:tc>
          <w:tcPr>
            <w:tcW w:w="3820" w:type="dxa"/>
          </w:tcPr>
          <w:p>
            <w:pPr>
              <w:pStyle w:val="0"/>
            </w:pPr>
            <w:r>
              <w:rPr>
                <w:sz w:val="20"/>
              </w:rPr>
              <w:t xml:space="preserve">79,6</w:t>
            </w:r>
          </w:p>
        </w:tc>
      </w:tr>
      <w:tr>
        <w:tc>
          <w:tcPr>
            <w:tcW w:w="5102" w:type="dxa"/>
          </w:tcPr>
          <w:p>
            <w:pPr>
              <w:pStyle w:val="0"/>
            </w:pPr>
            <w:r>
              <w:rPr>
                <w:sz w:val="20"/>
              </w:rPr>
              <w:t xml:space="preserve">врач-онколог</w:t>
            </w:r>
          </w:p>
        </w:tc>
        <w:tc>
          <w:tcPr>
            <w:tcW w:w="3820" w:type="dxa"/>
          </w:tcPr>
          <w:p>
            <w:pPr>
              <w:pStyle w:val="0"/>
            </w:pPr>
            <w:r>
              <w:rPr>
                <w:sz w:val="20"/>
              </w:rPr>
              <w:t xml:space="preserve">91,0</w:t>
            </w:r>
          </w:p>
        </w:tc>
      </w:tr>
      <w:tr>
        <w:tc>
          <w:tcPr>
            <w:tcW w:w="5102" w:type="dxa"/>
          </w:tcPr>
          <w:p>
            <w:pPr>
              <w:pStyle w:val="0"/>
            </w:pPr>
            <w:r>
              <w:rPr>
                <w:sz w:val="20"/>
              </w:rPr>
              <w:t xml:space="preserve">врач-пульмонолог</w:t>
            </w:r>
          </w:p>
        </w:tc>
        <w:tc>
          <w:tcPr>
            <w:tcW w:w="3820" w:type="dxa"/>
          </w:tcPr>
          <w:p>
            <w:pPr>
              <w:pStyle w:val="0"/>
            </w:pPr>
            <w:r>
              <w:rPr>
                <w:sz w:val="20"/>
              </w:rPr>
              <w:t xml:space="preserve">83,1</w:t>
            </w:r>
          </w:p>
        </w:tc>
      </w:tr>
      <w:tr>
        <w:tc>
          <w:tcPr>
            <w:tcW w:w="5102" w:type="dxa"/>
          </w:tcPr>
          <w:p>
            <w:pPr>
              <w:pStyle w:val="0"/>
            </w:pPr>
            <w:r>
              <w:rPr>
                <w:sz w:val="20"/>
              </w:rPr>
              <w:t xml:space="preserve">врач-психотерапевт</w:t>
            </w:r>
          </w:p>
        </w:tc>
        <w:tc>
          <w:tcPr>
            <w:tcW w:w="3820" w:type="dxa"/>
          </w:tcPr>
          <w:p>
            <w:pPr>
              <w:pStyle w:val="0"/>
            </w:pPr>
            <w:r>
              <w:rPr>
                <w:sz w:val="20"/>
              </w:rPr>
              <w:t xml:space="preserve">66,1</w:t>
            </w:r>
          </w:p>
        </w:tc>
      </w:tr>
      <w:tr>
        <w:tc>
          <w:tcPr>
            <w:tcW w:w="5102" w:type="dxa"/>
          </w:tcPr>
          <w:p>
            <w:pPr>
              <w:pStyle w:val="0"/>
            </w:pPr>
            <w:r>
              <w:rPr>
                <w:sz w:val="20"/>
              </w:rPr>
              <w:t xml:space="preserve">врач-рефлексотерапевт</w:t>
            </w:r>
          </w:p>
        </w:tc>
        <w:tc>
          <w:tcPr>
            <w:tcW w:w="3820" w:type="dxa"/>
          </w:tcPr>
          <w:p>
            <w:pPr>
              <w:pStyle w:val="0"/>
            </w:pPr>
            <w:r>
              <w:rPr>
                <w:sz w:val="20"/>
              </w:rPr>
              <w:t xml:space="preserve">55,0</w:t>
            </w:r>
          </w:p>
        </w:tc>
      </w:tr>
      <w:tr>
        <w:tc>
          <w:tcPr>
            <w:tcW w:w="5102" w:type="dxa"/>
          </w:tcPr>
          <w:p>
            <w:pPr>
              <w:pStyle w:val="0"/>
            </w:pPr>
            <w:r>
              <w:rPr>
                <w:sz w:val="20"/>
              </w:rPr>
              <w:t xml:space="preserve">врач-физиотерапевт</w:t>
            </w:r>
          </w:p>
        </w:tc>
        <w:tc>
          <w:tcPr>
            <w:tcW w:w="3820" w:type="dxa"/>
          </w:tcPr>
          <w:p>
            <w:pPr>
              <w:pStyle w:val="0"/>
            </w:pPr>
            <w:r>
              <w:rPr>
                <w:sz w:val="20"/>
              </w:rPr>
              <w:t xml:space="preserve">73,7</w:t>
            </w:r>
          </w:p>
        </w:tc>
      </w:tr>
      <w:tr>
        <w:tc>
          <w:tcPr>
            <w:tcW w:w="5102" w:type="dxa"/>
          </w:tcPr>
          <w:p>
            <w:pPr>
              <w:pStyle w:val="0"/>
            </w:pPr>
            <w:r>
              <w:rPr>
                <w:sz w:val="20"/>
              </w:rPr>
              <w:t xml:space="preserve">врач-терапевт</w:t>
            </w:r>
          </w:p>
        </w:tc>
        <w:tc>
          <w:tcPr>
            <w:tcW w:w="3820" w:type="dxa"/>
          </w:tcPr>
          <w:p>
            <w:pPr>
              <w:pStyle w:val="0"/>
            </w:pPr>
            <w:r>
              <w:rPr>
                <w:sz w:val="20"/>
              </w:rPr>
              <w:t xml:space="preserve">89,2</w:t>
            </w:r>
          </w:p>
        </w:tc>
      </w:tr>
      <w:tr>
        <w:tc>
          <w:tcPr>
            <w:tcW w:w="5102" w:type="dxa"/>
          </w:tcPr>
          <w:p>
            <w:pPr>
              <w:pStyle w:val="0"/>
            </w:pPr>
            <w:r>
              <w:rPr>
                <w:sz w:val="20"/>
              </w:rPr>
              <w:t xml:space="preserve">врач-педиатр</w:t>
            </w:r>
          </w:p>
        </w:tc>
        <w:tc>
          <w:tcPr>
            <w:tcW w:w="3820" w:type="dxa"/>
          </w:tcPr>
          <w:p>
            <w:pPr>
              <w:pStyle w:val="0"/>
            </w:pPr>
            <w:r>
              <w:rPr>
                <w:sz w:val="20"/>
              </w:rPr>
              <w:t xml:space="preserve">91,2</w:t>
            </w:r>
          </w:p>
        </w:tc>
      </w:tr>
      <w:tr>
        <w:tc>
          <w:tcPr>
            <w:tcW w:w="5102" w:type="dxa"/>
          </w:tcPr>
          <w:p>
            <w:pPr>
              <w:pStyle w:val="0"/>
            </w:pPr>
            <w:r>
              <w:rPr>
                <w:sz w:val="20"/>
              </w:rPr>
              <w:t xml:space="preserve">врач - сердечно-сосудистый хирург</w:t>
            </w:r>
          </w:p>
        </w:tc>
        <w:tc>
          <w:tcPr>
            <w:tcW w:w="3820" w:type="dxa"/>
          </w:tcPr>
          <w:p>
            <w:pPr>
              <w:pStyle w:val="0"/>
            </w:pPr>
            <w:r>
              <w:rPr>
                <w:sz w:val="20"/>
              </w:rPr>
              <w:t xml:space="preserve">84,0</w:t>
            </w:r>
          </w:p>
        </w:tc>
      </w:tr>
      <w:tr>
        <w:tc>
          <w:tcPr>
            <w:tcW w:w="5102" w:type="dxa"/>
          </w:tcPr>
          <w:p>
            <w:pPr>
              <w:pStyle w:val="0"/>
            </w:pPr>
            <w:r>
              <w:rPr>
                <w:sz w:val="20"/>
              </w:rPr>
              <w:t xml:space="preserve">инструктор по лечебной физкультуре</w:t>
            </w:r>
          </w:p>
        </w:tc>
        <w:tc>
          <w:tcPr>
            <w:tcW w:w="3820" w:type="dxa"/>
          </w:tcPr>
          <w:p>
            <w:pPr>
              <w:pStyle w:val="0"/>
            </w:pPr>
            <w:r>
              <w:rPr>
                <w:sz w:val="20"/>
              </w:rPr>
              <w:t xml:space="preserve">72,7</w:t>
            </w:r>
          </w:p>
        </w:tc>
      </w:tr>
      <w:tr>
        <w:tc>
          <w:tcPr>
            <w:tcW w:w="5102" w:type="dxa"/>
          </w:tcPr>
          <w:p>
            <w:pPr>
              <w:pStyle w:val="0"/>
            </w:pPr>
            <w:r>
              <w:rPr>
                <w:sz w:val="20"/>
              </w:rPr>
              <w:t xml:space="preserve">медицинская сестра по массажу</w:t>
            </w:r>
          </w:p>
        </w:tc>
        <w:tc>
          <w:tcPr>
            <w:tcW w:w="3820" w:type="dxa"/>
          </w:tcPr>
          <w:p>
            <w:pPr>
              <w:pStyle w:val="0"/>
            </w:pPr>
            <w:r>
              <w:rPr>
                <w:sz w:val="20"/>
              </w:rPr>
              <w:t xml:space="preserve">77,8</w:t>
            </w:r>
          </w:p>
        </w:tc>
      </w:tr>
      <w:tr>
        <w:tc>
          <w:tcPr>
            <w:tcW w:w="5102" w:type="dxa"/>
          </w:tcPr>
          <w:p>
            <w:pPr>
              <w:pStyle w:val="0"/>
            </w:pPr>
            <w:r>
              <w:rPr>
                <w:sz w:val="20"/>
              </w:rPr>
              <w:t xml:space="preserve">медицинская сестра по физиотерапии</w:t>
            </w:r>
          </w:p>
        </w:tc>
        <w:tc>
          <w:tcPr>
            <w:tcW w:w="3820" w:type="dxa"/>
          </w:tcPr>
          <w:p>
            <w:pPr>
              <w:pStyle w:val="0"/>
            </w:pPr>
            <w:r>
              <w:rPr>
                <w:sz w:val="20"/>
              </w:rPr>
              <w:t xml:space="preserve">87,7</w:t>
            </w:r>
          </w:p>
        </w:tc>
      </w:tr>
      <w:tr>
        <w:tc>
          <w:tcPr>
            <w:tcW w:w="5102" w:type="dxa"/>
          </w:tcPr>
          <w:p>
            <w:pPr>
              <w:pStyle w:val="0"/>
            </w:pPr>
            <w:r>
              <w:rPr>
                <w:sz w:val="20"/>
              </w:rPr>
              <w:t xml:space="preserve">инструктор-методист по лечебной физкультуре</w:t>
            </w:r>
          </w:p>
        </w:tc>
        <w:tc>
          <w:tcPr>
            <w:tcW w:w="3820" w:type="dxa"/>
          </w:tcPr>
          <w:p>
            <w:pPr>
              <w:pStyle w:val="0"/>
            </w:pPr>
            <w:r>
              <w:rPr>
                <w:sz w:val="20"/>
              </w:rPr>
              <w:t xml:space="preserve">85,4</w:t>
            </w:r>
          </w:p>
        </w:tc>
      </w:tr>
      <w:tr>
        <w:tc>
          <w:tcPr>
            <w:tcW w:w="5102" w:type="dxa"/>
          </w:tcPr>
          <w:p>
            <w:pPr>
              <w:pStyle w:val="0"/>
            </w:pPr>
            <w:r>
              <w:rPr>
                <w:sz w:val="20"/>
              </w:rPr>
              <w:t xml:space="preserve">логопед</w:t>
            </w:r>
          </w:p>
        </w:tc>
        <w:tc>
          <w:tcPr>
            <w:tcW w:w="3820" w:type="dxa"/>
          </w:tcPr>
          <w:p>
            <w:pPr>
              <w:pStyle w:val="0"/>
            </w:pPr>
            <w:r>
              <w:rPr>
                <w:sz w:val="20"/>
              </w:rPr>
              <w:t xml:space="preserve">85,4</w:t>
            </w:r>
          </w:p>
        </w:tc>
      </w:tr>
      <w:tr>
        <w:tc>
          <w:tcPr>
            <w:tcW w:w="5102" w:type="dxa"/>
          </w:tcPr>
          <w:p>
            <w:pPr>
              <w:pStyle w:val="0"/>
            </w:pPr>
            <w:r>
              <w:rPr>
                <w:sz w:val="20"/>
              </w:rPr>
              <w:t xml:space="preserve">медицинский психолог</w:t>
            </w:r>
          </w:p>
        </w:tc>
        <w:tc>
          <w:tcPr>
            <w:tcW w:w="3820" w:type="dxa"/>
          </w:tcPr>
          <w:p>
            <w:pPr>
              <w:pStyle w:val="0"/>
            </w:pPr>
            <w:r>
              <w:rPr>
                <w:sz w:val="20"/>
              </w:rPr>
              <w:t xml:space="preserve">89,0</w:t>
            </w:r>
          </w:p>
        </w:tc>
      </w:tr>
    </w:tbl>
    <w:p>
      <w:pPr>
        <w:pStyle w:val="0"/>
        <w:ind w:firstLine="540"/>
        <w:jc w:val="both"/>
      </w:pPr>
      <w:r>
        <w:rPr>
          <w:sz w:val="20"/>
        </w:rPr>
      </w:r>
    </w:p>
    <w:p>
      <w:pPr>
        <w:pStyle w:val="0"/>
        <w:ind w:firstLine="540"/>
        <w:jc w:val="both"/>
      </w:pPr>
      <w:r>
        <w:rPr>
          <w:sz w:val="20"/>
        </w:rPr>
        <w:t xml:space="preserve">В 2021 - 2022 годах первичную профессиональную переподготовку по специальности "физическая и реабилитационная медицина" прошли 52 врача, по специальности "медицинская сестра по медицинской реабилитации" - 72 медицинские сестры.</w:t>
      </w:r>
    </w:p>
    <w:p>
      <w:pPr>
        <w:pStyle w:val="0"/>
        <w:spacing w:before="200" w:line-rule="auto"/>
        <w:ind w:firstLine="540"/>
        <w:jc w:val="both"/>
      </w:pPr>
      <w:r>
        <w:rPr>
          <w:sz w:val="20"/>
        </w:rPr>
        <w:t xml:space="preserve">Запланирована в 2023 году первичная профессиональная переподготовка по специальности "физическая и реабилитационная медицина" 13 врачей, первичная профессиональная переподготовка по специальности "медицинская сестра по медицинской реабилитации" 5 медицинских сестер.</w:t>
      </w:r>
    </w:p>
    <w:p>
      <w:pPr>
        <w:pStyle w:val="0"/>
        <w:ind w:firstLine="540"/>
        <w:jc w:val="both"/>
      </w:pPr>
      <w:r>
        <w:rPr>
          <w:sz w:val="20"/>
        </w:rPr>
      </w:r>
    </w:p>
    <w:p>
      <w:pPr>
        <w:pStyle w:val="2"/>
        <w:outlineLvl w:val="2"/>
        <w:jc w:val="center"/>
      </w:pPr>
      <w:r>
        <w:rPr>
          <w:sz w:val="20"/>
        </w:rPr>
        <w:t xml:space="preserve">1.7. Региональные нормативные правовые акты,</w:t>
      </w:r>
    </w:p>
    <w:p>
      <w:pPr>
        <w:pStyle w:val="2"/>
        <w:jc w:val="center"/>
      </w:pPr>
      <w:r>
        <w:rPr>
          <w:sz w:val="20"/>
        </w:rPr>
        <w:t xml:space="preserve">регламентирующие организацию медицинской помощи по профилю</w:t>
      </w:r>
    </w:p>
    <w:p>
      <w:pPr>
        <w:pStyle w:val="2"/>
        <w:jc w:val="center"/>
      </w:pPr>
      <w:r>
        <w:rPr>
          <w:sz w:val="20"/>
        </w:rPr>
        <w:t xml:space="preserve">"медицинская реабилитация" в автономном округе</w:t>
      </w:r>
    </w:p>
    <w:p>
      <w:pPr>
        <w:pStyle w:val="0"/>
        <w:jc w:val="center"/>
      </w:pPr>
      <w:r>
        <w:rPr>
          <w:sz w:val="20"/>
        </w:rPr>
      </w:r>
    </w:p>
    <w:p>
      <w:pPr>
        <w:pStyle w:val="0"/>
        <w:ind w:firstLine="540"/>
        <w:jc w:val="both"/>
      </w:pPr>
      <w:r>
        <w:rPr>
          <w:sz w:val="20"/>
        </w:rPr>
        <w:t xml:space="preserve">Приказом Департамента здравоохранения автономного округа от 22 февраля 2023 года N 287 "Об организации медицинской реабилитации взрослых" сформирован и утвержден перечень медицинских организаций автономного округа, обеспечивающих оказание медицинской реабилитации взрослых с учетом этапов реабилитации, медицинских зон и профилей, разработана и утверждена маршрутизация пациентов при оказании медицинской помощи по медицинской реабилитации, предусмотрен мониторинг оказываемой медицинской помощи с использованием Автоматизированной системы мониторинга медицинской статистики АСММС.</w:t>
      </w:r>
    </w:p>
    <w:p>
      <w:pPr>
        <w:pStyle w:val="0"/>
        <w:spacing w:before="200" w:line-rule="auto"/>
        <w:ind w:firstLine="540"/>
        <w:jc w:val="both"/>
      </w:pPr>
      <w:r>
        <w:rPr>
          <w:sz w:val="20"/>
        </w:rPr>
        <w:t xml:space="preserve">Приказом Департамента здравоохранения автономного округа от 22 февраля 2023 года N 288 "Об организации медицинской реабилитации детей" сформирован и утвержден перечень медицинских организаций автономного округа, обеспечивающих оказание медицинской реабилитации детей с учетом этапов реабилитации, медицинских зон и профилей, разработана и утверждена маршрутизация пациентов при оказании медицинской помощи по медицинской реабилитации с учетом локализации и степени тяжести нарушений функций (уровень курации), предусмотрен мониторинг медицинской реабилитации детей.</w:t>
      </w:r>
    </w:p>
    <w:p>
      <w:pPr>
        <w:pStyle w:val="0"/>
        <w:spacing w:before="200" w:line-rule="auto"/>
        <w:ind w:firstLine="540"/>
        <w:jc w:val="both"/>
      </w:pPr>
      <w:r>
        <w:rPr>
          <w:sz w:val="20"/>
        </w:rPr>
        <w:t xml:space="preserve">Приказом Департамента здравоохранения автономного округа от 5 мая 2023 года N 686 "Об утверждении структуры коечного фонда по профилю "медицинская реабилитация" в медицинских организациях Ханты-Мансийского автономного округа - Югры" утверждена структура коечного фонда круглосуточного и дневного стационара по профилю "медицинская реабилитация" для взрослых и детей в медицинских организациях автономного округа.</w:t>
      </w:r>
    </w:p>
    <w:p>
      <w:pPr>
        <w:pStyle w:val="0"/>
        <w:ind w:firstLine="540"/>
        <w:jc w:val="both"/>
      </w:pPr>
      <w:r>
        <w:rPr>
          <w:sz w:val="20"/>
        </w:rPr>
      </w:r>
    </w:p>
    <w:p>
      <w:pPr>
        <w:pStyle w:val="2"/>
        <w:outlineLvl w:val="2"/>
        <w:jc w:val="center"/>
      </w:pPr>
      <w:r>
        <w:rPr>
          <w:sz w:val="20"/>
        </w:rPr>
        <w:t xml:space="preserve">1.8. Выводы</w:t>
      </w:r>
    </w:p>
    <w:p>
      <w:pPr>
        <w:pStyle w:val="0"/>
        <w:ind w:firstLine="540"/>
        <w:jc w:val="both"/>
      </w:pPr>
      <w:r>
        <w:rPr>
          <w:sz w:val="20"/>
        </w:rPr>
      </w:r>
    </w:p>
    <w:p>
      <w:pPr>
        <w:pStyle w:val="0"/>
        <w:ind w:firstLine="540"/>
        <w:jc w:val="both"/>
      </w:pPr>
      <w:r>
        <w:rPr>
          <w:sz w:val="20"/>
        </w:rPr>
        <w:t xml:space="preserve">Несмотря на объективные сложности работы, возникшие в 2020 и 2021 годах, региональная система здравоохранения автономного округа сохранила устойчивость и способность перенастройки в условиях меняющейся эпидобстановки, что позволило сохранить доступность и качество медицинской помощи по профилю медицинская реабилитация населению автономного округа. В 2022 и 2023 годах увеличен коечный фонд медицинской реабилитации, темп исполнения плановых объемов медицинской реабилитации удовлетворительный, осуществляется еженедельный контроль.</w:t>
      </w:r>
    </w:p>
    <w:p>
      <w:pPr>
        <w:pStyle w:val="0"/>
        <w:spacing w:before="200" w:line-rule="auto"/>
        <w:ind w:firstLine="540"/>
        <w:jc w:val="both"/>
      </w:pPr>
      <w:r>
        <w:rPr>
          <w:sz w:val="20"/>
        </w:rPr>
        <w:t xml:space="preserve">Имеющаяся материально-техническая база по медицинской реабилитации, ее территориальное планирование позволяет своевременно и качественно оказывать медицинскую помощь по медицинской реабилитации.</w:t>
      </w:r>
    </w:p>
    <w:p>
      <w:pPr>
        <w:pStyle w:val="0"/>
        <w:spacing w:before="200" w:line-rule="auto"/>
        <w:ind w:firstLine="540"/>
        <w:jc w:val="both"/>
      </w:pPr>
      <w:r>
        <w:rPr>
          <w:sz w:val="20"/>
        </w:rPr>
        <w:t xml:space="preserve">В то же время в реабилитационной службе автономного округа имеются проблемы, требующие решения:</w:t>
      </w:r>
    </w:p>
    <w:p>
      <w:pPr>
        <w:pStyle w:val="0"/>
        <w:spacing w:before="200" w:line-rule="auto"/>
        <w:ind w:firstLine="540"/>
        <w:jc w:val="both"/>
      </w:pPr>
      <w:r>
        <w:rPr>
          <w:sz w:val="20"/>
        </w:rPr>
        <w:t xml:space="preserve">1. В целях совершенствования структуры медицинских организаций, осуществляющих первый этап медицинской реабилитации, в 2024 году планируется открытие 2 отделений ранней медицинской реабилитации для взрослых (в БУ "Нижневартовская окружная клиническая больница", БУ "Нефтеюганская окружная клиническая больница им. В.И. Яцкив") и 2 детских реабилитационных отделений (в БУ "Нижневартовская окружная клиническая детская больница", БУ "Сургутский окружной клинический центр охраны материнства и детства").</w:t>
      </w:r>
    </w:p>
    <w:p>
      <w:pPr>
        <w:pStyle w:val="0"/>
        <w:spacing w:before="200" w:line-rule="auto"/>
        <w:ind w:firstLine="540"/>
        <w:jc w:val="both"/>
      </w:pPr>
      <w:r>
        <w:rPr>
          <w:sz w:val="20"/>
        </w:rPr>
        <w:t xml:space="preserve">2. В целях совершенствования организации медицинской реабилитации в амбулаторных условиях и условиях дневного стационара (третий этап) в 2023 году планируется открытие амбулаторного отделения медицинской реабилитации для взрослых в БУ "Пыть-Яхская окружная клиническая больница", в 2024 году планируется открытие дневного стационара медицинской реабилитации для детей (сурдологического профиля) в БУ "Сургутская окружная клиническая больница".</w:t>
      </w:r>
    </w:p>
    <w:p>
      <w:pPr>
        <w:pStyle w:val="0"/>
        <w:spacing w:before="200" w:line-rule="auto"/>
        <w:ind w:firstLine="540"/>
        <w:jc w:val="both"/>
      </w:pPr>
      <w:r>
        <w:rPr>
          <w:sz w:val="20"/>
        </w:rPr>
        <w:t xml:space="preserve">3. Повышение укомплектованности подразделений, оказывающих медицинскую помощь по медицинской реабилитации, врачами по специальности "физическая и реабилитационная медицина", медицинскими сестрами по специальности "медицинская сестра по медицинской реабилитации", специалистами по физической реабилитации, медицинскими логопедами, медицинскими психологами, специалистами по эргореабилитации.</w:t>
      </w:r>
    </w:p>
    <w:p>
      <w:pPr>
        <w:pStyle w:val="0"/>
        <w:spacing w:before="200" w:line-rule="auto"/>
        <w:ind w:firstLine="540"/>
        <w:jc w:val="both"/>
      </w:pPr>
      <w:r>
        <w:rPr>
          <w:sz w:val="20"/>
        </w:rPr>
        <w:t xml:space="preserve">4. Совершенствование системы мониторинга маршрутизации пациентов при оказании медицинской помощи по медицинской реабилитации, создание центров по маршрутизации пациентов при направлении на медицинскую реабилитацию на базе БУ "Окружной клинический лечебно-реабилитационный центр" (для взрослого населения), БУ "Нижневартовская окружная клиническая детская больница" (для детского населения), создание и ведение регистра пациентов (взрослых и детей), направленных на медицинскую реабилитацию и завершивших медицинскую реабилитацию.</w:t>
      </w:r>
    </w:p>
    <w:p>
      <w:pPr>
        <w:pStyle w:val="0"/>
        <w:spacing w:before="200" w:line-rule="auto"/>
        <w:ind w:firstLine="540"/>
        <w:jc w:val="both"/>
      </w:pPr>
      <w:r>
        <w:rPr>
          <w:sz w:val="20"/>
        </w:rPr>
        <w:t xml:space="preserve">5. Укрепление материально-технической базы медицинских организаций, оказывающих медицинскую помощь по медицинской реабилитации, в части оснащения медицинским оборудованием в соответствии с порядками организации медицинской реабилитации взрослых и детей.</w:t>
      </w:r>
    </w:p>
    <w:p>
      <w:pPr>
        <w:pStyle w:val="0"/>
        <w:ind w:firstLine="540"/>
        <w:jc w:val="both"/>
      </w:pPr>
      <w:r>
        <w:rPr>
          <w:sz w:val="20"/>
        </w:rPr>
      </w:r>
    </w:p>
    <w:p>
      <w:pPr>
        <w:pStyle w:val="2"/>
        <w:outlineLvl w:val="1"/>
        <w:jc w:val="center"/>
      </w:pPr>
      <w:r>
        <w:rPr>
          <w:sz w:val="20"/>
        </w:rPr>
        <w:t xml:space="preserve">Раздел II. ЦЕЛЬ, ПОКАЗАТЕЛИ И СРОКИ РЕАЛИЗАЦИИ РЕГИОНАЛЬНОЙ</w:t>
      </w:r>
    </w:p>
    <w:p>
      <w:pPr>
        <w:pStyle w:val="2"/>
        <w:jc w:val="center"/>
      </w:pPr>
      <w:r>
        <w:rPr>
          <w:sz w:val="20"/>
        </w:rPr>
        <w:t xml:space="preserve">ПРОГРАММЫ</w:t>
      </w:r>
    </w:p>
    <w:p>
      <w:pPr>
        <w:pStyle w:val="0"/>
        <w:ind w:firstLine="540"/>
        <w:jc w:val="both"/>
      </w:pPr>
      <w:r>
        <w:rPr>
          <w:sz w:val="20"/>
        </w:rPr>
      </w:r>
    </w:p>
    <w:p>
      <w:pPr>
        <w:pStyle w:val="0"/>
        <w:ind w:firstLine="540"/>
        <w:jc w:val="both"/>
      </w:pPr>
      <w:r>
        <w:rPr>
          <w:sz w:val="20"/>
        </w:rPr>
        <w:t xml:space="preserve">Цель 1: обеспечена доступность оказания медицинской помощи по медицинской реабилитации.</w:t>
      </w:r>
    </w:p>
    <w:p>
      <w:pPr>
        <w:pStyle w:val="0"/>
        <w:spacing w:before="200" w:line-rule="auto"/>
        <w:ind w:firstLine="540"/>
        <w:jc w:val="both"/>
      </w:pPr>
      <w:r>
        <w:rPr>
          <w:sz w:val="20"/>
        </w:rPr>
        <w:t xml:space="preserve">Цель 2: граждане информированы о возможностях медицинской реабилитации.</w:t>
      </w:r>
    </w:p>
    <w:p>
      <w:pPr>
        <w:pStyle w:val="0"/>
        <w:spacing w:before="200" w:line-rule="auto"/>
        <w:ind w:firstLine="540"/>
        <w:jc w:val="both"/>
      </w:pPr>
      <w:r>
        <w:rPr>
          <w:sz w:val="20"/>
        </w:rPr>
        <w:t xml:space="preserve">Региональная программа разработана на период с 2023 по 2030 год и направлена на достижение показателей национальной цели развития РФ "Сохранение населения, здоровья и благополучия людей".</w:t>
      </w:r>
    </w:p>
    <w:p>
      <w:pPr>
        <w:pStyle w:val="0"/>
        <w:jc w:val="right"/>
      </w:pPr>
      <w:r>
        <w:rPr>
          <w:sz w:val="20"/>
        </w:rPr>
      </w:r>
    </w:p>
    <w:p>
      <w:pPr>
        <w:pStyle w:val="0"/>
        <w:jc w:val="right"/>
      </w:pPr>
      <w:r>
        <w:rPr>
          <w:sz w:val="20"/>
        </w:rPr>
        <w:t xml:space="preserve">Таблица 9</w:t>
      </w:r>
    </w:p>
    <w:p>
      <w:pPr>
        <w:pStyle w:val="0"/>
        <w:jc w:val="right"/>
      </w:pPr>
      <w:r>
        <w:rPr>
          <w:sz w:val="20"/>
        </w:rPr>
      </w:r>
    </w:p>
    <w:p>
      <w:pPr>
        <w:pStyle w:val="0"/>
        <w:jc w:val="center"/>
      </w:pPr>
      <w:r>
        <w:rPr>
          <w:sz w:val="20"/>
        </w:rPr>
        <w:t xml:space="preserve">Показатели и результаты региональной программы</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268"/>
        <w:gridCol w:w="1054"/>
        <w:gridCol w:w="604"/>
        <w:gridCol w:w="664"/>
        <w:gridCol w:w="664"/>
        <w:gridCol w:w="664"/>
        <w:gridCol w:w="664"/>
        <w:gridCol w:w="664"/>
        <w:gridCol w:w="664"/>
        <w:gridCol w:w="664"/>
      </w:tblGrid>
      <w:tr>
        <w:tc>
          <w:tcPr>
            <w:tcW w:w="454" w:type="dxa"/>
            <w:vMerge w:val="restart"/>
          </w:tcPr>
          <w:p>
            <w:pPr>
              <w:pStyle w:val="0"/>
              <w:jc w:val="center"/>
            </w:pPr>
            <w:r>
              <w:rPr>
                <w:sz w:val="20"/>
              </w:rPr>
              <w:t xml:space="preserve">N п/п</w:t>
            </w:r>
          </w:p>
        </w:tc>
        <w:tc>
          <w:tcPr>
            <w:tcW w:w="2268" w:type="dxa"/>
            <w:vMerge w:val="restart"/>
          </w:tcPr>
          <w:p>
            <w:pPr>
              <w:pStyle w:val="0"/>
              <w:jc w:val="center"/>
            </w:pPr>
            <w:r>
              <w:rPr>
                <w:sz w:val="20"/>
              </w:rPr>
              <w:t xml:space="preserve">Наименование показателя</w:t>
            </w:r>
          </w:p>
        </w:tc>
        <w:tc>
          <w:tcPr>
            <w:tcW w:w="1054" w:type="dxa"/>
          </w:tcPr>
          <w:p>
            <w:pPr>
              <w:pStyle w:val="0"/>
              <w:jc w:val="center"/>
            </w:pPr>
            <w:r>
              <w:rPr>
                <w:sz w:val="20"/>
              </w:rPr>
              <w:t xml:space="preserve">Базовое значение</w:t>
            </w:r>
          </w:p>
        </w:tc>
        <w:tc>
          <w:tcPr>
            <w:gridSpan w:val="8"/>
            <w:tcW w:w="5252" w:type="dxa"/>
          </w:tcPr>
          <w:p>
            <w:pPr>
              <w:pStyle w:val="0"/>
              <w:jc w:val="center"/>
            </w:pPr>
            <w:r>
              <w:rPr>
                <w:sz w:val="20"/>
              </w:rPr>
              <w:t xml:space="preserve">Период, год</w:t>
            </w:r>
          </w:p>
        </w:tc>
      </w:tr>
      <w:tr>
        <w:tc>
          <w:tcPr>
            <w:vMerge w:val="continue"/>
          </w:tcPr>
          <w:p/>
        </w:tc>
        <w:tc>
          <w:tcPr>
            <w:vMerge w:val="continue"/>
          </w:tcPr>
          <w:p/>
        </w:tc>
        <w:tc>
          <w:tcPr>
            <w:tcW w:w="1054" w:type="dxa"/>
          </w:tcPr>
          <w:p>
            <w:pPr>
              <w:pStyle w:val="0"/>
              <w:jc w:val="center"/>
            </w:pPr>
            <w:r>
              <w:rPr>
                <w:sz w:val="20"/>
              </w:rPr>
              <w:t xml:space="preserve">(2022)</w:t>
            </w:r>
          </w:p>
        </w:tc>
        <w:tc>
          <w:tcPr>
            <w:tcW w:w="604" w:type="dxa"/>
          </w:tcPr>
          <w:p>
            <w:pPr>
              <w:pStyle w:val="0"/>
              <w:jc w:val="center"/>
            </w:pPr>
            <w:r>
              <w:rPr>
                <w:sz w:val="20"/>
              </w:rPr>
              <w:t xml:space="preserve">2023</w:t>
            </w:r>
          </w:p>
        </w:tc>
        <w:tc>
          <w:tcPr>
            <w:tcW w:w="664" w:type="dxa"/>
          </w:tcPr>
          <w:p>
            <w:pPr>
              <w:pStyle w:val="0"/>
              <w:jc w:val="center"/>
            </w:pPr>
            <w:r>
              <w:rPr>
                <w:sz w:val="20"/>
              </w:rPr>
              <w:t xml:space="preserve">2024</w:t>
            </w:r>
          </w:p>
        </w:tc>
        <w:tc>
          <w:tcPr>
            <w:tcW w:w="664" w:type="dxa"/>
          </w:tcPr>
          <w:p>
            <w:pPr>
              <w:pStyle w:val="0"/>
              <w:jc w:val="center"/>
            </w:pPr>
            <w:r>
              <w:rPr>
                <w:sz w:val="20"/>
              </w:rPr>
              <w:t xml:space="preserve">2025</w:t>
            </w:r>
          </w:p>
        </w:tc>
        <w:tc>
          <w:tcPr>
            <w:tcW w:w="664" w:type="dxa"/>
          </w:tcPr>
          <w:p>
            <w:pPr>
              <w:pStyle w:val="0"/>
              <w:jc w:val="center"/>
            </w:pPr>
            <w:r>
              <w:rPr>
                <w:sz w:val="20"/>
              </w:rPr>
              <w:t xml:space="preserve">2026</w:t>
            </w:r>
          </w:p>
        </w:tc>
        <w:tc>
          <w:tcPr>
            <w:tcW w:w="664" w:type="dxa"/>
          </w:tcPr>
          <w:p>
            <w:pPr>
              <w:pStyle w:val="0"/>
              <w:jc w:val="center"/>
            </w:pPr>
            <w:r>
              <w:rPr>
                <w:sz w:val="20"/>
              </w:rPr>
              <w:t xml:space="preserve">2027</w:t>
            </w:r>
          </w:p>
        </w:tc>
        <w:tc>
          <w:tcPr>
            <w:tcW w:w="664" w:type="dxa"/>
          </w:tcPr>
          <w:p>
            <w:pPr>
              <w:pStyle w:val="0"/>
              <w:jc w:val="center"/>
            </w:pPr>
            <w:r>
              <w:rPr>
                <w:sz w:val="20"/>
              </w:rPr>
              <w:t xml:space="preserve">2028</w:t>
            </w:r>
          </w:p>
        </w:tc>
        <w:tc>
          <w:tcPr>
            <w:tcW w:w="664" w:type="dxa"/>
          </w:tcPr>
          <w:p>
            <w:pPr>
              <w:pStyle w:val="0"/>
              <w:jc w:val="center"/>
            </w:pPr>
            <w:r>
              <w:rPr>
                <w:sz w:val="20"/>
              </w:rPr>
              <w:t xml:space="preserve">2029</w:t>
            </w:r>
          </w:p>
        </w:tc>
        <w:tc>
          <w:tcPr>
            <w:tcW w:w="664" w:type="dxa"/>
          </w:tcPr>
          <w:p>
            <w:pPr>
              <w:pStyle w:val="0"/>
              <w:jc w:val="center"/>
            </w:pPr>
            <w:r>
              <w:rPr>
                <w:sz w:val="20"/>
              </w:rPr>
              <w:t xml:space="preserve">2030</w:t>
            </w:r>
          </w:p>
        </w:tc>
      </w:tr>
      <w:tr>
        <w:tc>
          <w:tcPr>
            <w:gridSpan w:val="11"/>
            <w:tcW w:w="9028" w:type="dxa"/>
          </w:tcPr>
          <w:p>
            <w:pPr>
              <w:pStyle w:val="0"/>
            </w:pPr>
            <w:r>
              <w:rPr>
                <w:sz w:val="20"/>
              </w:rPr>
              <w:t xml:space="preserve">1. Обеспечена доступность оказания медицинской помощи по медицинской реабилитации</w:t>
            </w:r>
          </w:p>
        </w:tc>
      </w:tr>
      <w:tr>
        <w:tc>
          <w:tcPr>
            <w:tcW w:w="454" w:type="dxa"/>
          </w:tcPr>
          <w:p>
            <w:pPr>
              <w:pStyle w:val="0"/>
            </w:pPr>
            <w:r>
              <w:rPr>
                <w:sz w:val="20"/>
              </w:rPr>
              <w:t xml:space="preserve">1.1</w:t>
            </w:r>
          </w:p>
        </w:tc>
        <w:tc>
          <w:tcPr>
            <w:tcW w:w="2268" w:type="dxa"/>
          </w:tcPr>
          <w:p>
            <w:pPr>
              <w:pStyle w:val="0"/>
            </w:pPr>
            <w:r>
              <w:rPr>
                <w:sz w:val="20"/>
              </w:rPr>
              <w:t xml:space="preserve">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w:t>
            </w:r>
          </w:p>
        </w:tc>
        <w:tc>
          <w:tcPr>
            <w:tcW w:w="1054" w:type="dxa"/>
          </w:tcPr>
          <w:p>
            <w:pPr>
              <w:pStyle w:val="0"/>
            </w:pPr>
            <w:r>
              <w:rPr>
                <w:sz w:val="20"/>
              </w:rPr>
              <w:t xml:space="preserve">100,0</w:t>
            </w:r>
          </w:p>
        </w:tc>
        <w:tc>
          <w:tcPr>
            <w:tcW w:w="604" w:type="dxa"/>
          </w:tcPr>
          <w:p>
            <w:pPr>
              <w:pStyle w:val="0"/>
            </w:pPr>
            <w:r>
              <w:rPr>
                <w:sz w:val="20"/>
              </w:rPr>
              <w:t xml:space="preserve">95,0</w:t>
            </w:r>
          </w:p>
        </w:tc>
        <w:tc>
          <w:tcPr>
            <w:tcW w:w="664" w:type="dxa"/>
          </w:tcPr>
          <w:p>
            <w:pPr>
              <w:pStyle w:val="0"/>
            </w:pPr>
            <w:r>
              <w:rPr>
                <w:sz w:val="20"/>
              </w:rPr>
              <w:t xml:space="preserve">95,0</w:t>
            </w:r>
          </w:p>
        </w:tc>
        <w:tc>
          <w:tcPr>
            <w:tcW w:w="664" w:type="dxa"/>
          </w:tcPr>
          <w:p>
            <w:pPr>
              <w:pStyle w:val="0"/>
            </w:pPr>
            <w:r>
              <w:rPr>
                <w:sz w:val="20"/>
              </w:rPr>
              <w:t xml:space="preserve">95,0</w:t>
            </w:r>
          </w:p>
        </w:tc>
        <w:tc>
          <w:tcPr>
            <w:tcW w:w="664" w:type="dxa"/>
          </w:tcPr>
          <w:p>
            <w:pPr>
              <w:pStyle w:val="0"/>
            </w:pPr>
            <w:r>
              <w:rPr>
                <w:sz w:val="20"/>
              </w:rPr>
              <w:t xml:space="preserve">95,0</w:t>
            </w:r>
          </w:p>
        </w:tc>
        <w:tc>
          <w:tcPr>
            <w:tcW w:w="664" w:type="dxa"/>
          </w:tcPr>
          <w:p>
            <w:pPr>
              <w:pStyle w:val="0"/>
            </w:pPr>
            <w:r>
              <w:rPr>
                <w:sz w:val="20"/>
              </w:rPr>
              <w:t xml:space="preserve">95,0</w:t>
            </w:r>
          </w:p>
        </w:tc>
        <w:tc>
          <w:tcPr>
            <w:tcW w:w="664" w:type="dxa"/>
          </w:tcPr>
          <w:p>
            <w:pPr>
              <w:pStyle w:val="0"/>
            </w:pPr>
            <w:r>
              <w:rPr>
                <w:sz w:val="20"/>
              </w:rPr>
              <w:t xml:space="preserve">95,0</w:t>
            </w:r>
          </w:p>
        </w:tc>
        <w:tc>
          <w:tcPr>
            <w:tcW w:w="664" w:type="dxa"/>
          </w:tcPr>
          <w:p>
            <w:pPr>
              <w:pStyle w:val="0"/>
            </w:pPr>
            <w:r>
              <w:rPr>
                <w:sz w:val="20"/>
              </w:rPr>
              <w:t xml:space="preserve">95,0</w:t>
            </w:r>
          </w:p>
        </w:tc>
        <w:tc>
          <w:tcPr>
            <w:tcW w:w="664" w:type="dxa"/>
          </w:tcPr>
          <w:p>
            <w:pPr>
              <w:pStyle w:val="0"/>
            </w:pPr>
            <w:r>
              <w:rPr>
                <w:sz w:val="20"/>
              </w:rPr>
              <w:t xml:space="preserve">95,0</w:t>
            </w:r>
          </w:p>
        </w:tc>
      </w:tr>
      <w:tr>
        <w:tc>
          <w:tcPr>
            <w:tcW w:w="454" w:type="dxa"/>
          </w:tcPr>
          <w:p>
            <w:pPr>
              <w:pStyle w:val="0"/>
            </w:pPr>
            <w:r>
              <w:rPr>
                <w:sz w:val="20"/>
              </w:rPr>
              <w:t xml:space="preserve">1.2</w:t>
            </w:r>
          </w:p>
        </w:tc>
        <w:tc>
          <w:tcPr>
            <w:tcW w:w="2268" w:type="dxa"/>
          </w:tcPr>
          <w:p>
            <w:pPr>
              <w:pStyle w:val="0"/>
            </w:pPr>
            <w:r>
              <w:rPr>
                <w:sz w:val="20"/>
              </w:rPr>
              <w:t xml:space="preserve">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w:t>
            </w:r>
          </w:p>
        </w:tc>
        <w:tc>
          <w:tcPr>
            <w:tcW w:w="1054" w:type="dxa"/>
          </w:tcPr>
          <w:p>
            <w:pPr>
              <w:pStyle w:val="0"/>
            </w:pPr>
            <w:r>
              <w:rPr>
                <w:sz w:val="20"/>
              </w:rPr>
              <w:t xml:space="preserve">37,5</w:t>
            </w:r>
          </w:p>
        </w:tc>
        <w:tc>
          <w:tcPr>
            <w:tcW w:w="604" w:type="dxa"/>
          </w:tcPr>
          <w:p>
            <w:pPr>
              <w:pStyle w:val="0"/>
            </w:pPr>
            <w:r>
              <w:rPr>
                <w:sz w:val="20"/>
              </w:rPr>
              <w:t xml:space="preserve">35,0</w:t>
            </w:r>
          </w:p>
        </w:tc>
        <w:tc>
          <w:tcPr>
            <w:tcW w:w="664" w:type="dxa"/>
          </w:tcPr>
          <w:p>
            <w:pPr>
              <w:pStyle w:val="0"/>
            </w:pPr>
            <w:r>
              <w:rPr>
                <w:sz w:val="20"/>
              </w:rPr>
              <w:t xml:space="preserve">35,0</w:t>
            </w:r>
          </w:p>
        </w:tc>
        <w:tc>
          <w:tcPr>
            <w:tcW w:w="664" w:type="dxa"/>
          </w:tcPr>
          <w:p>
            <w:pPr>
              <w:pStyle w:val="0"/>
            </w:pPr>
            <w:r>
              <w:rPr>
                <w:sz w:val="20"/>
              </w:rPr>
              <w:t xml:space="preserve">35,0</w:t>
            </w:r>
          </w:p>
        </w:tc>
        <w:tc>
          <w:tcPr>
            <w:tcW w:w="664" w:type="dxa"/>
          </w:tcPr>
          <w:p>
            <w:pPr>
              <w:pStyle w:val="0"/>
            </w:pPr>
            <w:r>
              <w:rPr>
                <w:sz w:val="20"/>
              </w:rPr>
              <w:t xml:space="preserve">35,0</w:t>
            </w:r>
          </w:p>
        </w:tc>
        <w:tc>
          <w:tcPr>
            <w:tcW w:w="664" w:type="dxa"/>
          </w:tcPr>
          <w:p>
            <w:pPr>
              <w:pStyle w:val="0"/>
            </w:pPr>
            <w:r>
              <w:rPr>
                <w:sz w:val="20"/>
              </w:rPr>
              <w:t xml:space="preserve">35,0</w:t>
            </w:r>
          </w:p>
        </w:tc>
        <w:tc>
          <w:tcPr>
            <w:tcW w:w="664" w:type="dxa"/>
          </w:tcPr>
          <w:p>
            <w:pPr>
              <w:pStyle w:val="0"/>
            </w:pPr>
            <w:r>
              <w:rPr>
                <w:sz w:val="20"/>
              </w:rPr>
              <w:t xml:space="preserve">35,0</w:t>
            </w:r>
          </w:p>
        </w:tc>
        <w:tc>
          <w:tcPr>
            <w:tcW w:w="664" w:type="dxa"/>
          </w:tcPr>
          <w:p>
            <w:pPr>
              <w:pStyle w:val="0"/>
            </w:pPr>
            <w:r>
              <w:rPr>
                <w:sz w:val="20"/>
              </w:rPr>
              <w:t xml:space="preserve">35,0</w:t>
            </w:r>
          </w:p>
        </w:tc>
        <w:tc>
          <w:tcPr>
            <w:tcW w:w="664" w:type="dxa"/>
          </w:tcPr>
          <w:p>
            <w:pPr>
              <w:pStyle w:val="0"/>
            </w:pPr>
            <w:r>
              <w:rPr>
                <w:sz w:val="20"/>
              </w:rPr>
              <w:t xml:space="preserve">35,0</w:t>
            </w:r>
          </w:p>
        </w:tc>
      </w:tr>
      <w:tr>
        <w:tc>
          <w:tcPr>
            <w:tcW w:w="454" w:type="dxa"/>
          </w:tcPr>
          <w:p>
            <w:pPr>
              <w:pStyle w:val="0"/>
            </w:pPr>
            <w:r>
              <w:rPr>
                <w:sz w:val="20"/>
              </w:rPr>
              <w:t xml:space="preserve">1.3</w:t>
            </w:r>
          </w:p>
        </w:tc>
        <w:tc>
          <w:tcPr>
            <w:tcW w:w="2268" w:type="dxa"/>
          </w:tcPr>
          <w:p>
            <w:pPr>
              <w:pStyle w:val="0"/>
            </w:pPr>
            <w:r>
              <w:rPr>
                <w:sz w:val="20"/>
              </w:rPr>
              <w:t xml:space="preserve">Доля отделений медицинской реабилитации, оснащенных современным медицинским реабилитационным оборудованием (%)</w:t>
            </w:r>
          </w:p>
        </w:tc>
        <w:tc>
          <w:tcPr>
            <w:tcW w:w="1054" w:type="dxa"/>
          </w:tcPr>
          <w:p>
            <w:pPr>
              <w:pStyle w:val="0"/>
            </w:pPr>
            <w:r>
              <w:rPr>
                <w:sz w:val="20"/>
              </w:rPr>
              <w:t xml:space="preserve">45,5</w:t>
            </w:r>
          </w:p>
        </w:tc>
        <w:tc>
          <w:tcPr>
            <w:tcW w:w="604" w:type="dxa"/>
          </w:tcPr>
          <w:p>
            <w:pPr>
              <w:pStyle w:val="0"/>
            </w:pPr>
            <w:r>
              <w:rPr>
                <w:sz w:val="20"/>
              </w:rPr>
              <w:t xml:space="preserve">68,2</w:t>
            </w:r>
          </w:p>
        </w:tc>
        <w:tc>
          <w:tcPr>
            <w:tcW w:w="664" w:type="dxa"/>
          </w:tcPr>
          <w:p>
            <w:pPr>
              <w:pStyle w:val="0"/>
            </w:pPr>
            <w:r>
              <w:rPr>
                <w:sz w:val="20"/>
              </w:rPr>
              <w:t xml:space="preserve">100,0</w:t>
            </w:r>
          </w:p>
        </w:tc>
        <w:tc>
          <w:tcPr>
            <w:tcW w:w="664" w:type="dxa"/>
          </w:tcPr>
          <w:p>
            <w:pPr>
              <w:pStyle w:val="0"/>
            </w:pPr>
            <w:r>
              <w:rPr>
                <w:sz w:val="20"/>
              </w:rPr>
              <w:t xml:space="preserve">100,0</w:t>
            </w:r>
          </w:p>
        </w:tc>
        <w:tc>
          <w:tcPr>
            <w:tcW w:w="664" w:type="dxa"/>
          </w:tcPr>
          <w:p>
            <w:pPr>
              <w:pStyle w:val="0"/>
            </w:pPr>
            <w:r>
              <w:rPr>
                <w:sz w:val="20"/>
              </w:rPr>
              <w:t xml:space="preserve">100,0</w:t>
            </w:r>
          </w:p>
        </w:tc>
        <w:tc>
          <w:tcPr>
            <w:tcW w:w="664" w:type="dxa"/>
          </w:tcPr>
          <w:p>
            <w:pPr>
              <w:pStyle w:val="0"/>
            </w:pPr>
            <w:r>
              <w:rPr>
                <w:sz w:val="20"/>
              </w:rPr>
              <w:t xml:space="preserve">100,0</w:t>
            </w:r>
          </w:p>
        </w:tc>
        <w:tc>
          <w:tcPr>
            <w:tcW w:w="664" w:type="dxa"/>
          </w:tcPr>
          <w:p>
            <w:pPr>
              <w:pStyle w:val="0"/>
            </w:pPr>
            <w:r>
              <w:rPr>
                <w:sz w:val="20"/>
              </w:rPr>
              <w:t xml:space="preserve">100,0</w:t>
            </w:r>
          </w:p>
        </w:tc>
        <w:tc>
          <w:tcPr>
            <w:tcW w:w="664" w:type="dxa"/>
          </w:tcPr>
          <w:p>
            <w:pPr>
              <w:pStyle w:val="0"/>
            </w:pPr>
            <w:r>
              <w:rPr>
                <w:sz w:val="20"/>
              </w:rPr>
              <w:t xml:space="preserve">100,0</w:t>
            </w:r>
          </w:p>
        </w:tc>
        <w:tc>
          <w:tcPr>
            <w:tcW w:w="664" w:type="dxa"/>
          </w:tcPr>
          <w:p>
            <w:pPr>
              <w:pStyle w:val="0"/>
            </w:pPr>
            <w:r>
              <w:rPr>
                <w:sz w:val="20"/>
              </w:rPr>
              <w:t xml:space="preserve">100,0</w:t>
            </w:r>
          </w:p>
        </w:tc>
      </w:tr>
    </w:tbl>
    <w:p>
      <w:pPr>
        <w:pStyle w:val="0"/>
        <w:ind w:firstLine="540"/>
        <w:jc w:val="both"/>
      </w:pPr>
      <w:r>
        <w:rPr>
          <w:sz w:val="20"/>
        </w:rPr>
      </w:r>
    </w:p>
    <w:p>
      <w:pPr>
        <w:pStyle w:val="2"/>
        <w:outlineLvl w:val="1"/>
        <w:jc w:val="center"/>
      </w:pPr>
      <w:r>
        <w:rPr>
          <w:sz w:val="20"/>
        </w:rPr>
        <w:t xml:space="preserve">Раздел III. ЗАДАЧИ РЕГИОНАЛЬНОЙ ПРОГРАММЫ</w:t>
      </w:r>
    </w:p>
    <w:p>
      <w:pPr>
        <w:pStyle w:val="0"/>
        <w:ind w:firstLine="540"/>
        <w:jc w:val="both"/>
      </w:pPr>
      <w:r>
        <w:rPr>
          <w:sz w:val="20"/>
        </w:rPr>
      </w:r>
    </w:p>
    <w:p>
      <w:pPr>
        <w:pStyle w:val="0"/>
        <w:ind w:firstLine="540"/>
        <w:jc w:val="both"/>
      </w:pPr>
      <w:r>
        <w:rPr>
          <w:sz w:val="20"/>
        </w:rPr>
        <w:t xml:space="preserve">Основными задачами Региональной программы являются:</w:t>
      </w:r>
    </w:p>
    <w:p>
      <w:pPr>
        <w:pStyle w:val="0"/>
        <w:spacing w:before="200" w:line-rule="auto"/>
        <w:ind w:firstLine="540"/>
        <w:jc w:val="both"/>
      </w:pPr>
      <w:r>
        <w:rPr>
          <w:sz w:val="20"/>
        </w:rPr>
        <w:t xml:space="preserve">1. Обеспечение доступности оказания медицинской помощи по медицинской реабилитации взрослым и детям на всех этапах.</w:t>
      </w:r>
    </w:p>
    <w:p>
      <w:pPr>
        <w:pStyle w:val="0"/>
        <w:spacing w:before="200" w:line-rule="auto"/>
        <w:ind w:firstLine="540"/>
        <w:jc w:val="both"/>
      </w:pPr>
      <w:r>
        <w:rPr>
          <w:sz w:val="20"/>
        </w:rPr>
        <w:t xml:space="preserve">2. Совершенствование и развитие организации медицинской реабилитации при оказании специализированной, в том числе высокотехнологичной, медицинской помощи (первый, второй этап).</w:t>
      </w:r>
    </w:p>
    <w:p>
      <w:pPr>
        <w:pStyle w:val="0"/>
        <w:spacing w:before="200" w:line-rule="auto"/>
        <w:ind w:firstLine="540"/>
        <w:jc w:val="both"/>
      </w:pPr>
      <w:r>
        <w:rPr>
          <w:sz w:val="20"/>
        </w:rPr>
        <w:t xml:space="preserve">3. Совершенствование и развитие организации медицинской реабилитации при оказании первичной медико-санитарной помощи в амбулаторных условиях и условиях дневного стационара (третий этап).</w:t>
      </w:r>
    </w:p>
    <w:p>
      <w:pPr>
        <w:pStyle w:val="0"/>
        <w:spacing w:before="200" w:line-rule="auto"/>
        <w:ind w:firstLine="540"/>
        <w:jc w:val="both"/>
      </w:pPr>
      <w:r>
        <w:rPr>
          <w:sz w:val="20"/>
        </w:rPr>
        <w:t xml:space="preserve">4. Кадровое обеспечение реабилитационной службы автономного округа.</w:t>
      </w:r>
    </w:p>
    <w:p>
      <w:pPr>
        <w:pStyle w:val="0"/>
        <w:spacing w:before="200" w:line-rule="auto"/>
        <w:ind w:firstLine="540"/>
        <w:jc w:val="both"/>
      </w:pPr>
      <w:r>
        <w:rPr>
          <w:sz w:val="20"/>
        </w:rPr>
        <w:t xml:space="preserve">5. Организационно-методическое сопровождение деятельности реабилитационной службы автономного округа.</w:t>
      </w:r>
    </w:p>
    <w:p>
      <w:pPr>
        <w:pStyle w:val="0"/>
        <w:spacing w:before="200" w:line-rule="auto"/>
        <w:ind w:firstLine="540"/>
        <w:jc w:val="both"/>
      </w:pPr>
      <w:r>
        <w:rPr>
          <w:sz w:val="20"/>
        </w:rPr>
        <w:t xml:space="preserve">6. Предоставление гражданам объективной, актуальной информации о реабилитационных программах и возможностях медицинской реабилитации.</w:t>
      </w:r>
    </w:p>
    <w:p>
      <w:pPr>
        <w:pStyle w:val="0"/>
        <w:ind w:firstLine="540"/>
        <w:jc w:val="both"/>
      </w:pPr>
      <w:r>
        <w:rPr>
          <w:sz w:val="20"/>
        </w:rPr>
      </w:r>
    </w:p>
    <w:p>
      <w:pPr>
        <w:pStyle w:val="2"/>
        <w:outlineLvl w:val="1"/>
        <w:jc w:val="center"/>
      </w:pPr>
      <w:r>
        <w:rPr>
          <w:sz w:val="20"/>
        </w:rPr>
        <w:t xml:space="preserve">Раздел IV. ПЛАН МЕРОПРИЯТИЙ РЕГИОНАЛЬНОЙ ПРОГРАММЫ</w:t>
      </w:r>
    </w:p>
    <w:p>
      <w:pPr>
        <w:pStyle w:val="0"/>
        <w:jc w:val="center"/>
      </w:pPr>
      <w:r>
        <w:rPr>
          <w:sz w:val="20"/>
        </w:rPr>
      </w:r>
    </w:p>
    <w:p>
      <w:pPr>
        <w:pStyle w:val="0"/>
        <w:jc w:val="right"/>
      </w:pPr>
      <w:r>
        <w:rPr>
          <w:sz w:val="20"/>
        </w:rPr>
        <w:t xml:space="preserve">Таблица 10</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54"/>
        <w:gridCol w:w="1459"/>
        <w:gridCol w:w="3409"/>
        <w:gridCol w:w="1204"/>
        <w:gridCol w:w="1204"/>
        <w:gridCol w:w="3439"/>
        <w:gridCol w:w="3049"/>
        <w:gridCol w:w="3049"/>
        <w:gridCol w:w="1894"/>
      </w:tblGrid>
      <w:tr>
        <w:tc>
          <w:tcPr>
            <w:tcW w:w="2254" w:type="dxa"/>
            <w:vMerge w:val="restart"/>
          </w:tcPr>
          <w:p>
            <w:pPr>
              <w:pStyle w:val="0"/>
              <w:jc w:val="center"/>
            </w:pPr>
            <w:r>
              <w:rPr>
                <w:sz w:val="20"/>
              </w:rPr>
              <w:t xml:space="preserve">Наименование раздела</w:t>
            </w:r>
          </w:p>
        </w:tc>
        <w:tc>
          <w:tcPr>
            <w:tcW w:w="1459" w:type="dxa"/>
            <w:vMerge w:val="restart"/>
          </w:tcPr>
          <w:p>
            <w:pPr>
              <w:pStyle w:val="0"/>
              <w:jc w:val="center"/>
            </w:pPr>
            <w:r>
              <w:rPr>
                <w:sz w:val="20"/>
              </w:rPr>
              <w:t xml:space="preserve">N мероприятия</w:t>
            </w:r>
          </w:p>
        </w:tc>
        <w:tc>
          <w:tcPr>
            <w:tcW w:w="3409" w:type="dxa"/>
            <w:vMerge w:val="restart"/>
          </w:tcPr>
          <w:p>
            <w:pPr>
              <w:pStyle w:val="0"/>
              <w:jc w:val="center"/>
            </w:pPr>
            <w:r>
              <w:rPr>
                <w:sz w:val="20"/>
              </w:rPr>
              <w:t xml:space="preserve">Наименование мероприятия</w:t>
            </w:r>
          </w:p>
        </w:tc>
        <w:tc>
          <w:tcPr>
            <w:gridSpan w:val="2"/>
            <w:tcW w:w="2408" w:type="dxa"/>
          </w:tcPr>
          <w:p>
            <w:pPr>
              <w:pStyle w:val="0"/>
              <w:jc w:val="center"/>
            </w:pPr>
            <w:r>
              <w:rPr>
                <w:sz w:val="20"/>
              </w:rPr>
              <w:t xml:space="preserve">Сроки реализации</w:t>
            </w:r>
          </w:p>
        </w:tc>
        <w:tc>
          <w:tcPr>
            <w:tcW w:w="3439" w:type="dxa"/>
            <w:vMerge w:val="restart"/>
          </w:tcPr>
          <w:p>
            <w:pPr>
              <w:pStyle w:val="0"/>
              <w:jc w:val="center"/>
            </w:pPr>
            <w:r>
              <w:rPr>
                <w:sz w:val="20"/>
              </w:rPr>
              <w:t xml:space="preserve">Ответственный исполнитель</w:t>
            </w:r>
          </w:p>
        </w:tc>
        <w:tc>
          <w:tcPr>
            <w:tcW w:w="3049" w:type="dxa"/>
            <w:vMerge w:val="restart"/>
          </w:tcPr>
          <w:p>
            <w:pPr>
              <w:pStyle w:val="0"/>
              <w:jc w:val="center"/>
            </w:pPr>
            <w:r>
              <w:rPr>
                <w:sz w:val="20"/>
              </w:rPr>
              <w:t xml:space="preserve">Критерий исполнения мероприятия</w:t>
            </w:r>
          </w:p>
        </w:tc>
        <w:tc>
          <w:tcPr>
            <w:tcW w:w="3049" w:type="dxa"/>
            <w:vMerge w:val="restart"/>
          </w:tcPr>
          <w:p>
            <w:pPr>
              <w:pStyle w:val="0"/>
              <w:jc w:val="center"/>
            </w:pPr>
            <w:r>
              <w:rPr>
                <w:sz w:val="20"/>
              </w:rPr>
              <w:t xml:space="preserve">Характеристика результата</w:t>
            </w:r>
          </w:p>
        </w:tc>
        <w:tc>
          <w:tcPr>
            <w:tcW w:w="1894" w:type="dxa"/>
            <w:vMerge w:val="restart"/>
          </w:tcPr>
          <w:p>
            <w:pPr>
              <w:pStyle w:val="0"/>
              <w:jc w:val="center"/>
            </w:pPr>
            <w:r>
              <w:rPr>
                <w:sz w:val="20"/>
              </w:rPr>
              <w:t xml:space="preserve">Регулярность</w:t>
            </w:r>
          </w:p>
        </w:tc>
      </w:tr>
      <w:tr>
        <w:tc>
          <w:tcPr>
            <w:vMerge w:val="continue"/>
          </w:tcPr>
          <w:p/>
        </w:tc>
        <w:tc>
          <w:tcPr>
            <w:vMerge w:val="continue"/>
          </w:tcPr>
          <w:p/>
        </w:tc>
        <w:tc>
          <w:tcPr>
            <w:vMerge w:val="continue"/>
          </w:tcPr>
          <w:p/>
        </w:tc>
        <w:tc>
          <w:tcPr>
            <w:tcW w:w="1204" w:type="dxa"/>
          </w:tcPr>
          <w:p>
            <w:pPr>
              <w:pStyle w:val="0"/>
              <w:jc w:val="center"/>
            </w:pPr>
            <w:r>
              <w:rPr>
                <w:sz w:val="20"/>
              </w:rPr>
              <w:t xml:space="preserve">начало</w:t>
            </w:r>
          </w:p>
        </w:tc>
        <w:tc>
          <w:tcPr>
            <w:tcW w:w="1204" w:type="dxa"/>
          </w:tcPr>
          <w:p>
            <w:pPr>
              <w:pStyle w:val="0"/>
              <w:jc w:val="center"/>
            </w:pPr>
            <w:r>
              <w:rPr>
                <w:sz w:val="20"/>
              </w:rPr>
              <w:t xml:space="preserve">окончание</w:t>
            </w:r>
          </w:p>
        </w:tc>
        <w:tc>
          <w:tcPr>
            <w:vMerge w:val="continue"/>
          </w:tcPr>
          <w:p/>
        </w:tc>
        <w:tc>
          <w:tcPr>
            <w:vMerge w:val="continue"/>
          </w:tcPr>
          <w:p/>
        </w:tc>
        <w:tc>
          <w:tcPr>
            <w:vMerge w:val="continue"/>
          </w:tcPr>
          <w:p/>
        </w:tc>
        <w:tc>
          <w:tcPr>
            <w:vMerge w:val="continue"/>
          </w:tcPr>
          <w:p/>
        </w:tc>
      </w:tr>
      <w:tr>
        <w:tc>
          <w:tcPr>
            <w:tcW w:w="2254" w:type="dxa"/>
          </w:tcPr>
          <w:p>
            <w:pPr>
              <w:pStyle w:val="0"/>
              <w:jc w:val="center"/>
            </w:pPr>
            <w:r>
              <w:rPr>
                <w:sz w:val="20"/>
              </w:rPr>
              <w:t xml:space="preserve">1</w:t>
            </w:r>
          </w:p>
        </w:tc>
        <w:tc>
          <w:tcPr>
            <w:tcW w:w="1459" w:type="dxa"/>
          </w:tcPr>
          <w:p>
            <w:pPr>
              <w:pStyle w:val="0"/>
              <w:jc w:val="center"/>
            </w:pPr>
            <w:r>
              <w:rPr>
                <w:sz w:val="20"/>
              </w:rPr>
              <w:t xml:space="preserve">2</w:t>
            </w:r>
          </w:p>
        </w:tc>
        <w:tc>
          <w:tcPr>
            <w:tcW w:w="3409" w:type="dxa"/>
          </w:tcPr>
          <w:p>
            <w:pPr>
              <w:pStyle w:val="0"/>
              <w:jc w:val="center"/>
            </w:pPr>
            <w:r>
              <w:rPr>
                <w:sz w:val="20"/>
              </w:rPr>
              <w:t xml:space="preserve">3</w:t>
            </w:r>
          </w:p>
        </w:tc>
        <w:tc>
          <w:tcPr>
            <w:tcW w:w="1204" w:type="dxa"/>
          </w:tcPr>
          <w:p>
            <w:pPr>
              <w:pStyle w:val="0"/>
              <w:jc w:val="center"/>
            </w:pPr>
            <w:r>
              <w:rPr>
                <w:sz w:val="20"/>
              </w:rPr>
              <w:t xml:space="preserve">4</w:t>
            </w:r>
          </w:p>
        </w:tc>
        <w:tc>
          <w:tcPr>
            <w:tcW w:w="1204" w:type="dxa"/>
          </w:tcPr>
          <w:p>
            <w:pPr>
              <w:pStyle w:val="0"/>
              <w:jc w:val="center"/>
            </w:pPr>
            <w:r>
              <w:rPr>
                <w:sz w:val="20"/>
              </w:rPr>
              <w:t xml:space="preserve">5</w:t>
            </w:r>
          </w:p>
        </w:tc>
        <w:tc>
          <w:tcPr>
            <w:tcW w:w="3439" w:type="dxa"/>
          </w:tcPr>
          <w:p>
            <w:pPr>
              <w:pStyle w:val="0"/>
              <w:jc w:val="center"/>
            </w:pPr>
            <w:r>
              <w:rPr>
                <w:sz w:val="20"/>
              </w:rPr>
              <w:t xml:space="preserve">6</w:t>
            </w:r>
          </w:p>
        </w:tc>
        <w:tc>
          <w:tcPr>
            <w:tcW w:w="3049" w:type="dxa"/>
          </w:tcPr>
          <w:p>
            <w:pPr>
              <w:pStyle w:val="0"/>
              <w:jc w:val="center"/>
            </w:pPr>
            <w:r>
              <w:rPr>
                <w:sz w:val="20"/>
              </w:rPr>
              <w:t xml:space="preserve">7</w:t>
            </w:r>
          </w:p>
        </w:tc>
        <w:tc>
          <w:tcPr>
            <w:tcW w:w="3049" w:type="dxa"/>
          </w:tcPr>
          <w:p>
            <w:pPr>
              <w:pStyle w:val="0"/>
              <w:jc w:val="center"/>
            </w:pPr>
            <w:r>
              <w:rPr>
                <w:sz w:val="20"/>
              </w:rPr>
              <w:t xml:space="preserve">8</w:t>
            </w:r>
          </w:p>
        </w:tc>
        <w:tc>
          <w:tcPr>
            <w:tcW w:w="1894" w:type="dxa"/>
          </w:tcPr>
          <w:p>
            <w:pPr>
              <w:pStyle w:val="0"/>
              <w:jc w:val="center"/>
            </w:pPr>
            <w:r>
              <w:rPr>
                <w:sz w:val="20"/>
              </w:rPr>
              <w:t xml:space="preserve">9</w:t>
            </w:r>
          </w:p>
        </w:tc>
      </w:tr>
      <w:tr>
        <w:tc>
          <w:tcPr>
            <w:gridSpan w:val="9"/>
            <w:tcW w:w="20961" w:type="dxa"/>
          </w:tcPr>
          <w:p>
            <w:pPr>
              <w:pStyle w:val="0"/>
            </w:pPr>
            <w:r>
              <w:rPr>
                <w:sz w:val="20"/>
              </w:rPr>
              <w:t xml:space="preserve">1. Комплекс мер, направленных на совершенствование оказания медицинской помощи по медицинской реабилитации на всех этапах</w:t>
            </w:r>
          </w:p>
        </w:tc>
      </w:tr>
      <w:tr>
        <w:tc>
          <w:tcPr>
            <w:tcW w:w="2254" w:type="dxa"/>
            <w:vMerge w:val="restart"/>
          </w:tcPr>
          <w:p>
            <w:pPr>
              <w:pStyle w:val="0"/>
            </w:pPr>
            <w:r>
              <w:rPr>
                <w:sz w:val="20"/>
              </w:rPr>
              <w:t xml:space="preserve">1.1. Обеспечение доступности оказания медицинской помощи по медицинской реабилитации на всех этапах</w:t>
            </w:r>
          </w:p>
        </w:tc>
        <w:tc>
          <w:tcPr>
            <w:tcW w:w="1459" w:type="dxa"/>
          </w:tcPr>
          <w:p>
            <w:pPr>
              <w:pStyle w:val="0"/>
            </w:pPr>
            <w:r>
              <w:rPr>
                <w:sz w:val="20"/>
              </w:rPr>
              <w:t xml:space="preserve">1.1.1</w:t>
            </w:r>
          </w:p>
        </w:tc>
        <w:tc>
          <w:tcPr>
            <w:tcW w:w="3409" w:type="dxa"/>
          </w:tcPr>
          <w:p>
            <w:pPr>
              <w:pStyle w:val="0"/>
            </w:pPr>
            <w:r>
              <w:rPr>
                <w:sz w:val="20"/>
              </w:rPr>
              <w:t xml:space="preserve">Актуализация нормативных правовых актов, регламентирующих организацию медицинской реабилитации взрослым и детям на всех этапах с учетом оценки состояния по шкале реабилитационной маршрутизации (далее - ШРМ), уровня курации (дети), в том числе маршрутизацию пациентов в медицинские организации вне зависимости от форм собственности</w:t>
            </w:r>
          </w:p>
        </w:tc>
        <w:tc>
          <w:tcPr>
            <w:tcW w:w="1204" w:type="dxa"/>
          </w:tcPr>
          <w:p>
            <w:pPr>
              <w:pStyle w:val="0"/>
            </w:pPr>
            <w:r>
              <w:rPr>
                <w:sz w:val="20"/>
              </w:rPr>
              <w:t xml:space="preserve">01.08.2023</w:t>
            </w:r>
          </w:p>
        </w:tc>
        <w:tc>
          <w:tcPr>
            <w:tcW w:w="1204" w:type="dxa"/>
          </w:tcPr>
          <w:p>
            <w:pPr>
              <w:pStyle w:val="0"/>
            </w:pPr>
            <w:r>
              <w:rPr>
                <w:sz w:val="20"/>
              </w:rPr>
              <w:t xml:space="preserve">31.12.2024</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tc>
        <w:tc>
          <w:tcPr>
            <w:tcW w:w="3049" w:type="dxa"/>
          </w:tcPr>
          <w:p>
            <w:pPr>
              <w:pStyle w:val="0"/>
            </w:pPr>
            <w:r>
              <w:rPr>
                <w:sz w:val="20"/>
              </w:rPr>
              <w:t xml:space="preserve">Изданы соответствующие приказы Депздрава Югры</w:t>
            </w:r>
          </w:p>
        </w:tc>
        <w:tc>
          <w:tcPr>
            <w:tcW w:w="3049" w:type="dxa"/>
          </w:tcPr>
          <w:p>
            <w:pPr>
              <w:pStyle w:val="0"/>
            </w:pPr>
            <w:r>
              <w:rPr>
                <w:sz w:val="20"/>
              </w:rPr>
              <w:t xml:space="preserve">Нормативные правовые акты, регламентирующие организацию медицинской помощи по медицинской реабилитации взрослым и детям, приведены в соответствие с порядками организации медицинской реабилитации взрослых и детей, утвержденными приказами Минздрава России от 31.07.2020 </w:t>
            </w:r>
            <w:hyperlink w:history="0" r:id="rId217"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N 788н</w:t>
              </w:r>
            </w:hyperlink>
            <w:r>
              <w:rPr>
                <w:sz w:val="20"/>
              </w:rPr>
              <w:t xml:space="preserve">, от 23.10.2019 </w:t>
            </w:r>
            <w:hyperlink w:history="0" r:id="rId218"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0"/>
                  <w:color w:val="0000ff"/>
                </w:rPr>
                <w:t xml:space="preserve">N 878н</w:t>
              </w:r>
            </w:hyperlink>
          </w:p>
        </w:tc>
        <w:tc>
          <w:tcPr>
            <w:tcW w:w="1894" w:type="dxa"/>
          </w:tcPr>
          <w:p>
            <w:pPr>
              <w:pStyle w:val="0"/>
            </w:pPr>
            <w:r>
              <w:rPr>
                <w:sz w:val="20"/>
              </w:rPr>
              <w:t xml:space="preserve">Разовое (неделимое)</w:t>
            </w:r>
          </w:p>
        </w:tc>
      </w:tr>
      <w:tr>
        <w:tc>
          <w:tcPr>
            <w:vMerge w:val="continue"/>
          </w:tcPr>
          <w:p/>
        </w:tc>
        <w:tc>
          <w:tcPr>
            <w:tcW w:w="1459" w:type="dxa"/>
          </w:tcPr>
          <w:p>
            <w:pPr>
              <w:pStyle w:val="0"/>
            </w:pPr>
            <w:r>
              <w:rPr>
                <w:sz w:val="20"/>
              </w:rPr>
              <w:t xml:space="preserve">1.1.2</w:t>
            </w:r>
          </w:p>
        </w:tc>
        <w:tc>
          <w:tcPr>
            <w:tcW w:w="3409" w:type="dxa"/>
          </w:tcPr>
          <w:p>
            <w:pPr>
              <w:pStyle w:val="0"/>
            </w:pPr>
            <w:r>
              <w:rPr>
                <w:sz w:val="20"/>
              </w:rPr>
              <w:t xml:space="preserve">Ежегодное проведение анализа использования круглосуточного реабилитационного коечного фонда автономного округа (взрослые и дети) с учетом нормативов объемов и финансирования территориальной программы государственных гарантий бесплатного оказания гражданам медицинской помощи</w:t>
            </w:r>
          </w:p>
        </w:tc>
        <w:tc>
          <w:tcPr>
            <w:tcW w:w="1204" w:type="dxa"/>
          </w:tcPr>
          <w:p>
            <w:pPr>
              <w:pStyle w:val="0"/>
            </w:pPr>
            <w:r>
              <w:rPr>
                <w:sz w:val="20"/>
              </w:rPr>
              <w:t xml:space="preserve">01.08.2023</w:t>
            </w:r>
          </w:p>
        </w:tc>
        <w:tc>
          <w:tcPr>
            <w:tcW w:w="1204" w:type="dxa"/>
          </w:tcPr>
          <w:p>
            <w:pPr>
              <w:pStyle w:val="0"/>
            </w:pPr>
            <w:r>
              <w:rPr>
                <w:sz w:val="20"/>
              </w:rPr>
              <w:t xml:space="preserve">31.12.2024</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медицинских организаций, осуществляющих медицинскую реабилитацию (далее - МО) (по согласованию)</w:t>
            </w:r>
          </w:p>
        </w:tc>
        <w:tc>
          <w:tcPr>
            <w:tcW w:w="3049" w:type="dxa"/>
          </w:tcPr>
          <w:p>
            <w:pPr>
              <w:pStyle w:val="0"/>
            </w:pPr>
            <w:r>
              <w:rPr>
                <w:sz w:val="20"/>
              </w:rPr>
              <w:t xml:space="preserve">Депздравом Югры подготовлен ежегодный отчет по итогам проведенного анализа согласно утвержденной форме</w:t>
            </w:r>
          </w:p>
        </w:tc>
        <w:tc>
          <w:tcPr>
            <w:tcW w:w="3049" w:type="dxa"/>
          </w:tcPr>
          <w:p>
            <w:pPr>
              <w:pStyle w:val="0"/>
            </w:pPr>
            <w:r>
              <w:rPr>
                <w:sz w:val="20"/>
              </w:rPr>
              <w:t xml:space="preserve">Проведен ежегодный анализ использования круглосуточного реабилитационного коечного фонда по медицинской реабилитации в автономном округе с учетом оценки состояния пациентов по ШРМ (уровням курации), а также возможностей территориальной программы государственных гарантий бесплатного оказания гражданам медицинской помощи</w:t>
            </w:r>
          </w:p>
        </w:tc>
        <w:tc>
          <w:tcPr>
            <w:tcW w:w="1894" w:type="dxa"/>
          </w:tcPr>
          <w:p>
            <w:pPr>
              <w:pStyle w:val="0"/>
            </w:pPr>
            <w:r>
              <w:rPr>
                <w:sz w:val="20"/>
              </w:rPr>
              <w:t xml:space="preserve">Регулярное (ежегодное)</w:t>
            </w:r>
          </w:p>
        </w:tc>
      </w:tr>
      <w:tr>
        <w:tc>
          <w:tcPr>
            <w:vMerge w:val="continue"/>
          </w:tcPr>
          <w:p/>
        </w:tc>
        <w:tc>
          <w:tcPr>
            <w:tcW w:w="1459" w:type="dxa"/>
          </w:tcPr>
          <w:p>
            <w:pPr>
              <w:pStyle w:val="0"/>
            </w:pPr>
            <w:r>
              <w:rPr>
                <w:sz w:val="20"/>
              </w:rPr>
              <w:t xml:space="preserve">1.1.3</w:t>
            </w:r>
          </w:p>
        </w:tc>
        <w:tc>
          <w:tcPr>
            <w:tcW w:w="3409" w:type="dxa"/>
          </w:tcPr>
          <w:p>
            <w:pPr>
              <w:pStyle w:val="0"/>
            </w:pPr>
            <w:r>
              <w:rPr>
                <w:sz w:val="20"/>
              </w:rPr>
              <w:t xml:space="preserve">Проведение аудита оснащенности реабилитационным оборудованием отделений реабилитации медицинских организаций автономного округа на соответствие стандартам оснащения </w:t>
            </w:r>
            <w:hyperlink w:history="0" r:id="rId219"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Порядка</w:t>
              </w:r>
            </w:hyperlink>
            <w:r>
              <w:rPr>
                <w:sz w:val="20"/>
              </w:rPr>
              <w:t xml:space="preserve"> организации медицинской реабилитации взрослых, утвержденного приказом Минздрава России от 31.07.2020 N 788н, и </w:t>
            </w:r>
            <w:hyperlink w:history="0" r:id="rId220"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0"/>
                  <w:color w:val="0000ff"/>
                </w:rPr>
                <w:t xml:space="preserve">Порядка</w:t>
              </w:r>
            </w:hyperlink>
            <w:r>
              <w:rPr>
                <w:sz w:val="20"/>
              </w:rPr>
              <w:t xml:space="preserve"> организации медицинской реабилитации детей, утвержденного приказом Минздрава России от 23.10.2019 N 878н</w:t>
            </w:r>
          </w:p>
        </w:tc>
        <w:tc>
          <w:tcPr>
            <w:tcW w:w="1204" w:type="dxa"/>
          </w:tcPr>
          <w:p>
            <w:pPr>
              <w:pStyle w:val="0"/>
            </w:pPr>
            <w:r>
              <w:rPr>
                <w:sz w:val="20"/>
              </w:rPr>
              <w:t xml:space="preserve">01.08.2023</w:t>
            </w:r>
          </w:p>
        </w:tc>
        <w:tc>
          <w:tcPr>
            <w:tcW w:w="1204" w:type="dxa"/>
          </w:tcPr>
          <w:p>
            <w:pPr>
              <w:pStyle w:val="0"/>
            </w:pPr>
            <w:r>
              <w:rPr>
                <w:sz w:val="20"/>
              </w:rPr>
              <w:t xml:space="preserve">31.12.2024</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Депздравом Югры предоставлен отчет об аудите оснащенности (с рассчитанным коэффициентом недооснащенности по каждому из реабилитационных отделений (стационарного, дневного стационара, амбулаторного отделения)</w:t>
            </w:r>
          </w:p>
        </w:tc>
        <w:tc>
          <w:tcPr>
            <w:tcW w:w="3049" w:type="dxa"/>
          </w:tcPr>
          <w:p>
            <w:pPr>
              <w:pStyle w:val="0"/>
            </w:pPr>
            <w:r>
              <w:rPr>
                <w:sz w:val="20"/>
              </w:rPr>
              <w:t xml:space="preserve">Проведен аудит оснащенности реабилитационным оборудованием отделений реабилитации медицинских организаций автономного округа на соответствие стандартам оснащения </w:t>
            </w:r>
            <w:hyperlink w:history="0" r:id="rId221" w:tooltip="Приказ Минздрава России от 31.07.2020 N 788н (ред. от 07.11.2022) &quot;Об утверждении Порядка организации медицинской реабилитации взрослых&quot; (Зарегистрировано в Минюсте России 25.09.2020 N 60039) {КонсультантПлюс}">
              <w:r>
                <w:rPr>
                  <w:sz w:val="20"/>
                  <w:color w:val="0000ff"/>
                </w:rPr>
                <w:t xml:space="preserve">Порядка</w:t>
              </w:r>
            </w:hyperlink>
            <w:r>
              <w:rPr>
                <w:sz w:val="20"/>
              </w:rPr>
              <w:t xml:space="preserve"> организации медицинской реабилитации взрослых, утвержденного приказом Минздрава России от 31.07.2020 N 788н и </w:t>
            </w:r>
            <w:hyperlink w:history="0" r:id="rId222" w:tooltip="Приказ Минздрава России от 23.10.2019 N 878н &quot;Об утверждении Порядка организации медицинской реабилитации детей&quot; (Зарегистрировано в Минюсте России 23.12.2019 N 56954) {КонсультантПлюс}">
              <w:r>
                <w:rPr>
                  <w:sz w:val="20"/>
                  <w:color w:val="0000ff"/>
                </w:rPr>
                <w:t xml:space="preserve">Порядка</w:t>
              </w:r>
            </w:hyperlink>
            <w:r>
              <w:rPr>
                <w:sz w:val="20"/>
              </w:rPr>
              <w:t xml:space="preserve"> организации медицинской реабилитации детей, утвержденного приказом Минздрава России от 23.10.2019 N 878н</w:t>
            </w:r>
          </w:p>
        </w:tc>
        <w:tc>
          <w:tcPr>
            <w:tcW w:w="1894" w:type="dxa"/>
          </w:tcPr>
          <w:p>
            <w:pPr>
              <w:pStyle w:val="0"/>
            </w:pPr>
            <w:r>
              <w:rPr>
                <w:sz w:val="20"/>
              </w:rPr>
              <w:t xml:space="preserve">Регулярное</w:t>
            </w:r>
          </w:p>
          <w:p>
            <w:pPr>
              <w:pStyle w:val="0"/>
            </w:pPr>
            <w:r>
              <w:rPr>
                <w:sz w:val="20"/>
              </w:rPr>
              <w:t xml:space="preserve">(ежегодное)</w:t>
            </w:r>
          </w:p>
        </w:tc>
      </w:tr>
      <w:tr>
        <w:tc>
          <w:tcPr>
            <w:vMerge w:val="continue"/>
          </w:tcPr>
          <w:p/>
        </w:tc>
        <w:tc>
          <w:tcPr>
            <w:tcW w:w="1459" w:type="dxa"/>
          </w:tcPr>
          <w:p>
            <w:pPr>
              <w:pStyle w:val="0"/>
            </w:pPr>
            <w:r>
              <w:rPr>
                <w:sz w:val="20"/>
              </w:rPr>
              <w:t xml:space="preserve">1.1.4</w:t>
            </w:r>
          </w:p>
        </w:tc>
        <w:tc>
          <w:tcPr>
            <w:tcW w:w="3409" w:type="dxa"/>
          </w:tcPr>
          <w:p>
            <w:pPr>
              <w:pStyle w:val="0"/>
            </w:pPr>
            <w:r>
              <w:rPr>
                <w:sz w:val="20"/>
              </w:rPr>
              <w:t xml:space="preserve">Повышение эффективности использования реабилитационного оборудования в отделениях медицинской реабилитации</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Обеспечен двусменный режим работы (кабинетов/ отделений физиотерапии и (или) залов/ кабинетов ЛФК, тренажерных залов):</w:t>
            </w:r>
          </w:p>
          <w:p>
            <w:pPr>
              <w:pStyle w:val="0"/>
            </w:pPr>
            <w:r>
              <w:rPr>
                <w:sz w:val="20"/>
              </w:rPr>
              <w:t xml:space="preserve">в 2023 году - в 3 МО (БУ "Окружной клинический лечебно-реабилитационный центр", БУ "Нижневартовская окружная клиническая больница",</w:t>
            </w:r>
          </w:p>
          <w:p>
            <w:pPr>
              <w:pStyle w:val="0"/>
            </w:pPr>
            <w:r>
              <w:rPr>
                <w:sz w:val="20"/>
              </w:rPr>
              <w:t xml:space="preserve">БУ "Лангепасская городская больница");</w:t>
            </w:r>
          </w:p>
          <w:p>
            <w:pPr>
              <w:pStyle w:val="0"/>
            </w:pPr>
            <w:r>
              <w:rPr>
                <w:sz w:val="20"/>
              </w:rPr>
              <w:t xml:space="preserve">в 2024 году - в 2 МО</w:t>
            </w:r>
          </w:p>
          <w:p>
            <w:pPr>
              <w:pStyle w:val="0"/>
            </w:pPr>
            <w:r>
              <w:rPr>
                <w:sz w:val="20"/>
              </w:rPr>
              <w:t xml:space="preserve">(БУ "Урайская окружная больница медицинской реабилитации",</w:t>
            </w:r>
          </w:p>
          <w:p>
            <w:pPr>
              <w:pStyle w:val="0"/>
            </w:pPr>
            <w:r>
              <w:rPr>
                <w:sz w:val="20"/>
              </w:rPr>
              <w:t xml:space="preserve">БУ "Окружной кардиологический диспансер "Центр диагностики и сердечно-сосудистой хирургии");</w:t>
            </w:r>
          </w:p>
          <w:p>
            <w:pPr>
              <w:pStyle w:val="0"/>
            </w:pPr>
            <w:r>
              <w:rPr>
                <w:sz w:val="20"/>
              </w:rPr>
              <w:t xml:space="preserve">в 2025 году - в 4 МО</w:t>
            </w:r>
          </w:p>
          <w:p>
            <w:pPr>
              <w:pStyle w:val="0"/>
            </w:pPr>
            <w:r>
              <w:rPr>
                <w:sz w:val="20"/>
              </w:rPr>
              <w:t xml:space="preserve">(БУ "Сургутская окружная клиническая больница",</w:t>
            </w:r>
          </w:p>
          <w:p>
            <w:pPr>
              <w:pStyle w:val="0"/>
            </w:pPr>
            <w:r>
              <w:rPr>
                <w:sz w:val="20"/>
              </w:rPr>
              <w:t xml:space="preserve">БУ "Сургутская клиническая травматологическая больница", БУ "Окружная клиническая больница",</w:t>
            </w:r>
          </w:p>
          <w:p>
            <w:pPr>
              <w:pStyle w:val="0"/>
            </w:pPr>
            <w:r>
              <w:rPr>
                <w:sz w:val="20"/>
              </w:rPr>
              <w:t xml:space="preserve">БУ "Нижневартовская окружная клиническая детская больница");</w:t>
            </w:r>
          </w:p>
          <w:p>
            <w:pPr>
              <w:pStyle w:val="0"/>
            </w:pPr>
            <w:r>
              <w:rPr>
                <w:sz w:val="20"/>
              </w:rPr>
              <w:t xml:space="preserve">в 2026 году - в 6 МО</w:t>
            </w:r>
          </w:p>
          <w:p>
            <w:pPr>
              <w:pStyle w:val="0"/>
            </w:pPr>
            <w:r>
              <w:rPr>
                <w:sz w:val="20"/>
              </w:rPr>
              <w:t xml:space="preserve">(БУ "Урайская городская клиническая больница",</w:t>
            </w:r>
          </w:p>
          <w:p>
            <w:pPr>
              <w:pStyle w:val="0"/>
            </w:pPr>
            <w:r>
              <w:rPr>
                <w:sz w:val="20"/>
              </w:rPr>
              <w:t xml:space="preserve">БУ "Няганская окружная больница",</w:t>
            </w:r>
          </w:p>
          <w:p>
            <w:pPr>
              <w:pStyle w:val="0"/>
            </w:pPr>
            <w:r>
              <w:rPr>
                <w:sz w:val="20"/>
              </w:rPr>
              <w:t xml:space="preserve">БУ "Когалымская городская больница",</w:t>
            </w:r>
          </w:p>
          <w:p>
            <w:pPr>
              <w:pStyle w:val="0"/>
            </w:pPr>
            <w:r>
              <w:rPr>
                <w:sz w:val="20"/>
              </w:rPr>
              <w:t xml:space="preserve">БУ "Сургутская городская клиническая поликлиника N 1",</w:t>
            </w:r>
          </w:p>
          <w:p>
            <w:pPr>
              <w:pStyle w:val="0"/>
            </w:pPr>
            <w:r>
              <w:rPr>
                <w:sz w:val="20"/>
              </w:rPr>
              <w:t xml:space="preserve">БУ "Няганская городская поликлиника",</w:t>
            </w:r>
          </w:p>
          <w:p>
            <w:pPr>
              <w:pStyle w:val="0"/>
            </w:pPr>
            <w:r>
              <w:rPr>
                <w:sz w:val="20"/>
              </w:rPr>
              <w:t xml:space="preserve">БУ "Нижневартовская городская поликлиника");</w:t>
            </w:r>
          </w:p>
          <w:p>
            <w:pPr>
              <w:pStyle w:val="0"/>
            </w:pPr>
            <w:r>
              <w:rPr>
                <w:sz w:val="20"/>
              </w:rPr>
              <w:t xml:space="preserve">в 2027 году - в 7 МО</w:t>
            </w:r>
          </w:p>
          <w:p>
            <w:pPr>
              <w:pStyle w:val="0"/>
            </w:pPr>
            <w:r>
              <w:rPr>
                <w:sz w:val="20"/>
              </w:rPr>
              <w:t xml:space="preserve">(БУ "Сургутская городская клиническая поликлиника N 2";</w:t>
            </w:r>
          </w:p>
          <w:p>
            <w:pPr>
              <w:pStyle w:val="0"/>
            </w:pPr>
            <w:r>
              <w:rPr>
                <w:sz w:val="20"/>
              </w:rPr>
              <w:t xml:space="preserve">БУ "Сургутская городская клиническая поликлиника N 3",</w:t>
            </w:r>
          </w:p>
          <w:p>
            <w:pPr>
              <w:pStyle w:val="0"/>
            </w:pPr>
            <w:r>
              <w:rPr>
                <w:sz w:val="20"/>
              </w:rPr>
              <w:t xml:space="preserve">БУ "Мегионская городская больница",</w:t>
            </w:r>
          </w:p>
          <w:p>
            <w:pPr>
              <w:pStyle w:val="0"/>
            </w:pPr>
            <w:r>
              <w:rPr>
                <w:sz w:val="20"/>
              </w:rPr>
              <w:t xml:space="preserve">БУ "Пыть-Яхская окружная клиническая больница",</w:t>
            </w:r>
          </w:p>
          <w:p>
            <w:pPr>
              <w:pStyle w:val="0"/>
            </w:pPr>
            <w:r>
              <w:rPr>
                <w:sz w:val="20"/>
              </w:rPr>
              <w:t xml:space="preserve">БУ "Югорская городская больница",</w:t>
            </w:r>
          </w:p>
          <w:p>
            <w:pPr>
              <w:pStyle w:val="0"/>
            </w:pPr>
            <w:r>
              <w:rPr>
                <w:sz w:val="20"/>
              </w:rPr>
              <w:t xml:space="preserve">БУ "Сургутский окружной клинический центр охраны материнства и детства",</w:t>
            </w:r>
          </w:p>
          <w:p>
            <w:pPr>
              <w:pStyle w:val="0"/>
            </w:pPr>
            <w:r>
              <w:rPr>
                <w:sz w:val="20"/>
              </w:rPr>
              <w:t xml:space="preserve">БУ "Нижневартовский окружной клинический перинатальный центр");</w:t>
            </w:r>
          </w:p>
          <w:p>
            <w:pPr>
              <w:pStyle w:val="0"/>
            </w:pPr>
            <w:r>
              <w:rPr>
                <w:sz w:val="20"/>
              </w:rPr>
              <w:t xml:space="preserve">в 2028 году - в 3 МО</w:t>
            </w:r>
          </w:p>
          <w:p>
            <w:pPr>
              <w:pStyle w:val="0"/>
            </w:pPr>
            <w:r>
              <w:rPr>
                <w:sz w:val="20"/>
              </w:rPr>
              <w:t xml:space="preserve">(БУ "Сургутская городская клиническая поликлиника N 4",</w:t>
            </w:r>
          </w:p>
          <w:p>
            <w:pPr>
              <w:pStyle w:val="0"/>
            </w:pPr>
            <w:r>
              <w:rPr>
                <w:sz w:val="20"/>
              </w:rPr>
              <w:t xml:space="preserve">БУ "Сургутская городская клиническая поликлиника N 5",</w:t>
            </w:r>
          </w:p>
          <w:p>
            <w:pPr>
              <w:pStyle w:val="0"/>
            </w:pPr>
            <w:r>
              <w:rPr>
                <w:sz w:val="20"/>
              </w:rPr>
              <w:t xml:space="preserve">БУ "Няганская городская детская поликлиника");</w:t>
            </w:r>
          </w:p>
          <w:p>
            <w:pPr>
              <w:pStyle w:val="0"/>
            </w:pPr>
            <w:r>
              <w:rPr>
                <w:sz w:val="20"/>
              </w:rPr>
              <w:t xml:space="preserve">в 2029 году - в 3 МО</w:t>
            </w:r>
          </w:p>
          <w:p>
            <w:pPr>
              <w:pStyle w:val="0"/>
            </w:pPr>
            <w:r>
              <w:rPr>
                <w:sz w:val="20"/>
              </w:rPr>
              <w:t xml:space="preserve">(БУ "Белоярская районная больница",</w:t>
            </w:r>
          </w:p>
          <w:p>
            <w:pPr>
              <w:pStyle w:val="0"/>
            </w:pPr>
            <w:r>
              <w:rPr>
                <w:sz w:val="20"/>
              </w:rPr>
              <w:t xml:space="preserve">БУ "Покачевская городская больница",</w:t>
            </w:r>
          </w:p>
          <w:p>
            <w:pPr>
              <w:pStyle w:val="0"/>
            </w:pPr>
            <w:r>
              <w:rPr>
                <w:sz w:val="20"/>
              </w:rPr>
              <w:t xml:space="preserve">БУ "Лянторская городская больница");</w:t>
            </w:r>
          </w:p>
          <w:p>
            <w:pPr>
              <w:pStyle w:val="0"/>
            </w:pPr>
            <w:r>
              <w:rPr>
                <w:sz w:val="20"/>
              </w:rPr>
              <w:t xml:space="preserve">в 2030 году - в 2 МО</w:t>
            </w:r>
          </w:p>
          <w:p>
            <w:pPr>
              <w:pStyle w:val="0"/>
            </w:pPr>
            <w:r>
              <w:rPr>
                <w:sz w:val="20"/>
              </w:rPr>
              <w:t xml:space="preserve">БУ "Нефтеюганская окружная клиническая больница им. В.И.Яцкив",</w:t>
            </w:r>
          </w:p>
          <w:p>
            <w:pPr>
              <w:pStyle w:val="0"/>
            </w:pPr>
            <w:r>
              <w:rPr>
                <w:sz w:val="20"/>
              </w:rPr>
              <w:t xml:space="preserve">БУ "Нижневартовская городская детская поликлиника")</w:t>
            </w:r>
          </w:p>
        </w:tc>
        <w:tc>
          <w:tcPr>
            <w:tcW w:w="3049" w:type="dxa"/>
          </w:tcPr>
          <w:p>
            <w:pPr>
              <w:pStyle w:val="0"/>
            </w:pPr>
            <w:r>
              <w:rPr>
                <w:sz w:val="20"/>
              </w:rPr>
              <w:t xml:space="preserve">Увеличена эффективность использования реабилитационного оборудования в отделениях медицинской реабилитации</w:t>
            </w:r>
          </w:p>
        </w:tc>
        <w:tc>
          <w:tcPr>
            <w:tcW w:w="1894" w:type="dxa"/>
          </w:tcPr>
          <w:p>
            <w:pPr>
              <w:pStyle w:val="0"/>
            </w:pPr>
            <w:r>
              <w:rPr>
                <w:sz w:val="20"/>
              </w:rPr>
              <w:t xml:space="preserve">Регулярное (ежегодное)</w:t>
            </w:r>
          </w:p>
        </w:tc>
      </w:tr>
      <w:tr>
        <w:tc>
          <w:tcPr>
            <w:vMerge w:val="continue"/>
          </w:tcPr>
          <w:p/>
        </w:tc>
        <w:tc>
          <w:tcPr>
            <w:tcW w:w="1459" w:type="dxa"/>
          </w:tcPr>
          <w:p>
            <w:pPr>
              <w:pStyle w:val="0"/>
            </w:pPr>
            <w:r>
              <w:rPr>
                <w:sz w:val="20"/>
              </w:rPr>
              <w:t xml:space="preserve">1.1.5</w:t>
            </w:r>
          </w:p>
        </w:tc>
        <w:tc>
          <w:tcPr>
            <w:tcW w:w="3409" w:type="dxa"/>
          </w:tcPr>
          <w:p>
            <w:pPr>
              <w:pStyle w:val="0"/>
            </w:pPr>
            <w:r>
              <w:rPr>
                <w:sz w:val="20"/>
              </w:rPr>
              <w:t xml:space="preserve">Создание на функциональной основе центра (бюро) маршрутизации взрослых для направления на медицинскую реабилитацию на базе БУ "Окружной клинический лечебно-реабилитационный центр"</w:t>
            </w:r>
          </w:p>
        </w:tc>
        <w:tc>
          <w:tcPr>
            <w:tcW w:w="1204" w:type="dxa"/>
          </w:tcPr>
          <w:p>
            <w:pPr>
              <w:pStyle w:val="0"/>
            </w:pPr>
            <w:r>
              <w:rPr>
                <w:sz w:val="20"/>
              </w:rPr>
              <w:t xml:space="preserve">01.08.2023</w:t>
            </w:r>
          </w:p>
        </w:tc>
        <w:tc>
          <w:tcPr>
            <w:tcW w:w="1204" w:type="dxa"/>
          </w:tcPr>
          <w:p>
            <w:pPr>
              <w:pStyle w:val="0"/>
            </w:pPr>
            <w:r>
              <w:rPr>
                <w:sz w:val="20"/>
              </w:rPr>
              <w:t xml:space="preserve">31.12.2023</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tc>
        <w:tc>
          <w:tcPr>
            <w:tcW w:w="3049" w:type="dxa"/>
          </w:tcPr>
          <w:p>
            <w:pPr>
              <w:pStyle w:val="0"/>
            </w:pPr>
            <w:r>
              <w:rPr>
                <w:sz w:val="20"/>
              </w:rPr>
              <w:t xml:space="preserve">Приказ Депздрава Югры о создании центра (бюро) маршрутизации взрослых для направления на медицинскую реабилитацию на базе БУ "Окружной клинический лечебно-реабилитационный центр"</w:t>
            </w:r>
          </w:p>
        </w:tc>
        <w:tc>
          <w:tcPr>
            <w:tcW w:w="3049" w:type="dxa"/>
          </w:tcPr>
          <w:p>
            <w:pPr>
              <w:pStyle w:val="0"/>
            </w:pPr>
            <w:r>
              <w:rPr>
                <w:sz w:val="20"/>
              </w:rPr>
              <w:t xml:space="preserve">Создан центр (бюро) маршрутизации взрослых для направления на медицинскую реабилитацию на базе БУ "Окружной клинический лечебно-реабилитационный центр"</w:t>
            </w:r>
          </w:p>
        </w:tc>
        <w:tc>
          <w:tcPr>
            <w:tcW w:w="1894" w:type="dxa"/>
          </w:tcPr>
          <w:p>
            <w:pPr>
              <w:pStyle w:val="0"/>
            </w:pPr>
            <w:r>
              <w:rPr>
                <w:sz w:val="20"/>
              </w:rPr>
              <w:t xml:space="preserve">Разовое (неделимое)</w:t>
            </w:r>
          </w:p>
        </w:tc>
      </w:tr>
      <w:tr>
        <w:tc>
          <w:tcPr>
            <w:vMerge w:val="continue"/>
          </w:tcPr>
          <w:p/>
        </w:tc>
        <w:tc>
          <w:tcPr>
            <w:tcW w:w="1459" w:type="dxa"/>
          </w:tcPr>
          <w:p>
            <w:pPr>
              <w:pStyle w:val="0"/>
            </w:pPr>
            <w:r>
              <w:rPr>
                <w:sz w:val="20"/>
              </w:rPr>
              <w:t xml:space="preserve">1.1.6</w:t>
            </w:r>
          </w:p>
        </w:tc>
        <w:tc>
          <w:tcPr>
            <w:tcW w:w="3409" w:type="dxa"/>
          </w:tcPr>
          <w:p>
            <w:pPr>
              <w:pStyle w:val="0"/>
            </w:pPr>
            <w:r>
              <w:rPr>
                <w:sz w:val="20"/>
              </w:rPr>
              <w:t xml:space="preserve">Создание на функциональной основе центра (бюро) маршрутизации детей для направления на медицинскую реабилитацию на базе БУ "Нижневартовская окружная клиническая детская больница"</w:t>
            </w:r>
          </w:p>
        </w:tc>
        <w:tc>
          <w:tcPr>
            <w:tcW w:w="1204" w:type="dxa"/>
          </w:tcPr>
          <w:p>
            <w:pPr>
              <w:pStyle w:val="0"/>
            </w:pPr>
            <w:r>
              <w:rPr>
                <w:sz w:val="20"/>
              </w:rPr>
              <w:t xml:space="preserve">01.08.2023</w:t>
            </w:r>
          </w:p>
        </w:tc>
        <w:tc>
          <w:tcPr>
            <w:tcW w:w="1204" w:type="dxa"/>
          </w:tcPr>
          <w:p>
            <w:pPr>
              <w:pStyle w:val="0"/>
            </w:pPr>
            <w:r>
              <w:rPr>
                <w:sz w:val="20"/>
              </w:rPr>
              <w:t xml:space="preserve">31.12.2023</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руководитель БУ "Нижневартовская окружная клиническая детская больница" (по согласованию)</w:t>
            </w:r>
          </w:p>
        </w:tc>
        <w:tc>
          <w:tcPr>
            <w:tcW w:w="3049" w:type="dxa"/>
          </w:tcPr>
          <w:p>
            <w:pPr>
              <w:pStyle w:val="0"/>
            </w:pPr>
            <w:r>
              <w:rPr>
                <w:sz w:val="20"/>
              </w:rPr>
              <w:t xml:space="preserve">Приказ Депздрава Югры о создании центра (бюро) маршрутизации детей для направления на медицинскую реабилитацию на базе БУ "Нижневартовская окружная клиническая детская больница"</w:t>
            </w:r>
          </w:p>
        </w:tc>
        <w:tc>
          <w:tcPr>
            <w:tcW w:w="3049" w:type="dxa"/>
          </w:tcPr>
          <w:p>
            <w:pPr>
              <w:pStyle w:val="0"/>
            </w:pPr>
            <w:r>
              <w:rPr>
                <w:sz w:val="20"/>
              </w:rPr>
              <w:t xml:space="preserve">Создан центр (бюро) маршрутизации детей для направления на медицинскую реабилитацию на базе БУ "Нижневартовская окружная клиническая детская больница"</w:t>
            </w:r>
          </w:p>
        </w:tc>
        <w:tc>
          <w:tcPr>
            <w:tcW w:w="1894" w:type="dxa"/>
          </w:tcPr>
          <w:p>
            <w:pPr>
              <w:pStyle w:val="0"/>
            </w:pPr>
            <w:r>
              <w:rPr>
                <w:sz w:val="20"/>
              </w:rPr>
              <w:t xml:space="preserve">Разовое (неделимое)</w:t>
            </w:r>
          </w:p>
        </w:tc>
      </w:tr>
      <w:tr>
        <w:tc>
          <w:tcPr>
            <w:vMerge w:val="continue"/>
          </w:tcPr>
          <w:p/>
        </w:tc>
        <w:tc>
          <w:tcPr>
            <w:tcW w:w="1459" w:type="dxa"/>
          </w:tcPr>
          <w:p>
            <w:pPr>
              <w:pStyle w:val="0"/>
            </w:pPr>
            <w:r>
              <w:rPr>
                <w:sz w:val="20"/>
              </w:rPr>
              <w:t xml:space="preserve">1.1.7</w:t>
            </w:r>
          </w:p>
        </w:tc>
        <w:tc>
          <w:tcPr>
            <w:tcW w:w="3409" w:type="dxa"/>
          </w:tcPr>
          <w:p>
            <w:pPr>
              <w:pStyle w:val="0"/>
            </w:pPr>
            <w:r>
              <w:rPr>
                <w:sz w:val="20"/>
              </w:rPr>
              <w:t xml:space="preserve">Создание и ведение регистра пациентов (взрослых), направленных на медицинскую реабилитацию и завершивших ее</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 руководитель БУ "Медицинский информационно-аналитический центр" (далее - БУ "МИАЦ") (по согласованию); главный внештатный специалист по медицинской реабилитации Депздрава Югры (по согласованию)</w:t>
            </w:r>
          </w:p>
        </w:tc>
        <w:tc>
          <w:tcPr>
            <w:tcW w:w="3049" w:type="dxa"/>
          </w:tcPr>
          <w:p>
            <w:pPr>
              <w:pStyle w:val="0"/>
            </w:pPr>
            <w:r>
              <w:rPr>
                <w:sz w:val="20"/>
              </w:rPr>
              <w:t xml:space="preserve">Приказ Депздрава Югры о создании регистра пациентов, направленных на медицинскую реабилитацию и завершивших ее</w:t>
            </w:r>
          </w:p>
        </w:tc>
        <w:tc>
          <w:tcPr>
            <w:tcW w:w="3049" w:type="dxa"/>
          </w:tcPr>
          <w:p>
            <w:pPr>
              <w:pStyle w:val="0"/>
            </w:pPr>
            <w:r>
              <w:rPr>
                <w:sz w:val="20"/>
              </w:rPr>
              <w:t xml:space="preserve">Создан и ведется в режиме онлайн центром (бюро) маршрутизации взрослых регистр пациентов, направленных на медицинскую реабилитацию и завершивших ее</w:t>
            </w:r>
          </w:p>
        </w:tc>
        <w:tc>
          <w:tcPr>
            <w:tcW w:w="1894" w:type="dxa"/>
          </w:tcPr>
          <w:p>
            <w:pPr>
              <w:pStyle w:val="0"/>
            </w:pPr>
            <w:r>
              <w:rPr>
                <w:sz w:val="20"/>
              </w:rPr>
              <w:t xml:space="preserve">Регулярное (ежемесячно)</w:t>
            </w:r>
          </w:p>
        </w:tc>
      </w:tr>
      <w:tr>
        <w:tc>
          <w:tcPr>
            <w:vMerge w:val="continue"/>
          </w:tcPr>
          <w:p/>
        </w:tc>
        <w:tc>
          <w:tcPr>
            <w:tcW w:w="1459" w:type="dxa"/>
          </w:tcPr>
          <w:p>
            <w:pPr>
              <w:pStyle w:val="0"/>
            </w:pPr>
            <w:r>
              <w:rPr>
                <w:sz w:val="20"/>
              </w:rPr>
              <w:t xml:space="preserve">1.1.8</w:t>
            </w:r>
          </w:p>
        </w:tc>
        <w:tc>
          <w:tcPr>
            <w:tcW w:w="3409" w:type="dxa"/>
          </w:tcPr>
          <w:p>
            <w:pPr>
              <w:pStyle w:val="0"/>
            </w:pPr>
            <w:r>
              <w:rPr>
                <w:sz w:val="20"/>
              </w:rPr>
              <w:t xml:space="preserve">Создание и ведение регистра пациентов (детей), направленных на медицинскую реабилитацию и завершивших ее</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 руководитель БУ "МИАЦ" (по согласованию); главный внештатный детский специалист по медицинской реабилитации Депздрава Югры (по согласованию)</w:t>
            </w:r>
          </w:p>
        </w:tc>
        <w:tc>
          <w:tcPr>
            <w:tcW w:w="3049" w:type="dxa"/>
          </w:tcPr>
          <w:p>
            <w:pPr>
              <w:pStyle w:val="0"/>
            </w:pPr>
            <w:r>
              <w:rPr>
                <w:sz w:val="20"/>
              </w:rPr>
              <w:t xml:space="preserve">Приказ Депздрава Югры о создании регистра пациентов, направленных на медицинскую реабилитацию и завершивших ее</w:t>
            </w:r>
          </w:p>
        </w:tc>
        <w:tc>
          <w:tcPr>
            <w:tcW w:w="3049" w:type="dxa"/>
          </w:tcPr>
          <w:p>
            <w:pPr>
              <w:pStyle w:val="0"/>
            </w:pPr>
            <w:r>
              <w:rPr>
                <w:sz w:val="20"/>
              </w:rPr>
              <w:t xml:space="preserve">Создан и ведется в режиме онлайн в центре (бюро) маршрутизации детей регистр пациентов, направленных на медицинскую реабилитацию и завершивших ее</w:t>
            </w:r>
          </w:p>
        </w:tc>
        <w:tc>
          <w:tcPr>
            <w:tcW w:w="1894" w:type="dxa"/>
          </w:tcPr>
          <w:p>
            <w:pPr>
              <w:pStyle w:val="0"/>
            </w:pPr>
            <w:r>
              <w:rPr>
                <w:sz w:val="20"/>
              </w:rPr>
              <w:t xml:space="preserve">Регулярное (ежемесячно)</w:t>
            </w:r>
          </w:p>
        </w:tc>
      </w:tr>
      <w:tr>
        <w:tc>
          <w:tcPr>
            <w:vMerge w:val="continue"/>
          </w:tcPr>
          <w:p/>
        </w:tc>
        <w:tc>
          <w:tcPr>
            <w:tcW w:w="1459" w:type="dxa"/>
          </w:tcPr>
          <w:p>
            <w:pPr>
              <w:pStyle w:val="0"/>
            </w:pPr>
            <w:r>
              <w:rPr>
                <w:sz w:val="20"/>
              </w:rPr>
              <w:t xml:space="preserve">1.1.9</w:t>
            </w:r>
          </w:p>
        </w:tc>
        <w:tc>
          <w:tcPr>
            <w:tcW w:w="3409" w:type="dxa"/>
          </w:tcPr>
          <w:p>
            <w:pPr>
              <w:pStyle w:val="0"/>
            </w:pPr>
            <w:r>
              <w:rPr>
                <w:sz w:val="20"/>
              </w:rPr>
              <w:t xml:space="preserve">Сокращение срока ожидания пациентом (взрослые и дети) оказания медицинской помощи по медицинской реабилитации второго и третьего этапов</w:t>
            </w:r>
          </w:p>
        </w:tc>
        <w:tc>
          <w:tcPr>
            <w:tcW w:w="1204" w:type="dxa"/>
          </w:tcPr>
          <w:p>
            <w:pPr>
              <w:pStyle w:val="0"/>
            </w:pPr>
            <w:r>
              <w:rPr>
                <w:sz w:val="20"/>
              </w:rPr>
              <w:t xml:space="preserve">01.08.2023</w:t>
            </w:r>
          </w:p>
        </w:tc>
        <w:tc>
          <w:tcPr>
            <w:tcW w:w="1204" w:type="dxa"/>
          </w:tcPr>
          <w:p>
            <w:pPr>
              <w:pStyle w:val="0"/>
            </w:pPr>
            <w:r>
              <w:rPr>
                <w:sz w:val="20"/>
              </w:rPr>
              <w:t xml:space="preserve">31.12.2024</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tc>
        <w:tc>
          <w:tcPr>
            <w:tcW w:w="3049" w:type="dxa"/>
          </w:tcPr>
          <w:p>
            <w:pPr>
              <w:pStyle w:val="0"/>
            </w:pPr>
            <w:r>
              <w:rPr>
                <w:sz w:val="20"/>
              </w:rPr>
              <w:t xml:space="preserve">Длительность ожидания составляет: для госпитализации на второй этап:</w:t>
            </w:r>
          </w:p>
          <w:p>
            <w:pPr>
              <w:pStyle w:val="0"/>
            </w:pPr>
            <w:r>
              <w:rPr>
                <w:sz w:val="20"/>
              </w:rPr>
              <w:t xml:space="preserve">14 дней - в 2023 году;</w:t>
            </w:r>
          </w:p>
          <w:p>
            <w:pPr>
              <w:pStyle w:val="0"/>
            </w:pPr>
            <w:r>
              <w:rPr>
                <w:sz w:val="20"/>
              </w:rPr>
              <w:t xml:space="preserve">12 дней - в 2024 году;</w:t>
            </w:r>
          </w:p>
          <w:p>
            <w:pPr>
              <w:pStyle w:val="0"/>
            </w:pPr>
            <w:r>
              <w:rPr>
                <w:sz w:val="20"/>
              </w:rPr>
              <w:t xml:space="preserve">в целях реабилитации в амбулаторных условиях (условиях дневного стационара):</w:t>
            </w:r>
          </w:p>
          <w:p>
            <w:pPr>
              <w:pStyle w:val="0"/>
            </w:pPr>
            <w:r>
              <w:rPr>
                <w:sz w:val="20"/>
              </w:rPr>
              <w:t xml:space="preserve">18 дней - в 2023 году;</w:t>
            </w:r>
          </w:p>
          <w:p>
            <w:pPr>
              <w:pStyle w:val="0"/>
            </w:pPr>
            <w:r>
              <w:rPr>
                <w:sz w:val="20"/>
              </w:rPr>
              <w:t xml:space="preserve">14 дней - в 2024 году</w:t>
            </w:r>
          </w:p>
        </w:tc>
        <w:tc>
          <w:tcPr>
            <w:tcW w:w="3049" w:type="dxa"/>
          </w:tcPr>
          <w:p>
            <w:pPr>
              <w:pStyle w:val="0"/>
            </w:pPr>
            <w:r>
              <w:rPr>
                <w:sz w:val="20"/>
              </w:rPr>
              <w:t xml:space="preserve">Сокращены сроки ожидания пациентом реабилитационного лечения на втором и третьем этапах медицинской реабилитации</w:t>
            </w:r>
          </w:p>
        </w:tc>
        <w:tc>
          <w:tcPr>
            <w:tcW w:w="1894" w:type="dxa"/>
          </w:tcPr>
          <w:p>
            <w:pPr>
              <w:pStyle w:val="0"/>
            </w:pPr>
            <w:r>
              <w:rPr>
                <w:sz w:val="20"/>
              </w:rPr>
              <w:t xml:space="preserve">Регулярное (ежегодное)</w:t>
            </w:r>
          </w:p>
        </w:tc>
      </w:tr>
      <w:tr>
        <w:tc>
          <w:tcPr>
            <w:vMerge w:val="continue"/>
          </w:tcPr>
          <w:p/>
        </w:tc>
        <w:tc>
          <w:tcPr>
            <w:tcW w:w="1459" w:type="dxa"/>
          </w:tcPr>
          <w:p>
            <w:pPr>
              <w:pStyle w:val="0"/>
            </w:pPr>
            <w:r>
              <w:rPr>
                <w:sz w:val="20"/>
              </w:rPr>
              <w:t xml:space="preserve">1.1.10</w:t>
            </w:r>
          </w:p>
        </w:tc>
        <w:tc>
          <w:tcPr>
            <w:tcW w:w="3409" w:type="dxa"/>
          </w:tcPr>
          <w:p>
            <w:pPr>
              <w:pStyle w:val="0"/>
            </w:pPr>
            <w:r>
              <w:rPr>
                <w:sz w:val="20"/>
              </w:rPr>
              <w:t xml:space="preserve">Увеличение доли пациентов, имеющих оценку по ШРМ 4 - 5 - 6 баллов и направленных на второй этап медицинской реабилитации после завершения первого этапа</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Доля пациентов, имеющих оценку по ШРМ 4 - 5 - 6 баллов и направленных на второй этап медицинской реабилитации после завершения первого этапа составляет в:</w:t>
            </w:r>
          </w:p>
          <w:p>
            <w:pPr>
              <w:pStyle w:val="0"/>
            </w:pPr>
            <w:r>
              <w:rPr>
                <w:sz w:val="20"/>
              </w:rPr>
              <w:t xml:space="preserve">2023 году - не менее 70%;</w:t>
            </w:r>
          </w:p>
          <w:p>
            <w:pPr>
              <w:pStyle w:val="0"/>
            </w:pPr>
            <w:r>
              <w:rPr>
                <w:sz w:val="20"/>
              </w:rPr>
              <w:t xml:space="preserve">2024 году - не менее 75%;</w:t>
            </w:r>
          </w:p>
          <w:p>
            <w:pPr>
              <w:pStyle w:val="0"/>
            </w:pPr>
            <w:r>
              <w:rPr>
                <w:sz w:val="20"/>
              </w:rPr>
              <w:t xml:space="preserve">2025 году - не менее 75%;</w:t>
            </w:r>
          </w:p>
          <w:p>
            <w:pPr>
              <w:pStyle w:val="0"/>
            </w:pPr>
            <w:r>
              <w:rPr>
                <w:sz w:val="20"/>
              </w:rPr>
              <w:t xml:space="preserve">2026 году - не менее 78%;</w:t>
            </w:r>
          </w:p>
          <w:p>
            <w:pPr>
              <w:pStyle w:val="0"/>
            </w:pPr>
            <w:r>
              <w:rPr>
                <w:sz w:val="20"/>
              </w:rPr>
              <w:t xml:space="preserve">2027 году - не менее 80%;</w:t>
            </w:r>
          </w:p>
          <w:p>
            <w:pPr>
              <w:pStyle w:val="0"/>
            </w:pPr>
            <w:r>
              <w:rPr>
                <w:sz w:val="20"/>
              </w:rPr>
              <w:t xml:space="preserve">2028 году - не менее 80%;</w:t>
            </w:r>
          </w:p>
          <w:p>
            <w:pPr>
              <w:pStyle w:val="0"/>
            </w:pPr>
            <w:r>
              <w:rPr>
                <w:sz w:val="20"/>
              </w:rPr>
              <w:t xml:space="preserve">2029 году - не менее 85%;</w:t>
            </w:r>
          </w:p>
          <w:p>
            <w:pPr>
              <w:pStyle w:val="0"/>
            </w:pPr>
            <w:r>
              <w:rPr>
                <w:sz w:val="20"/>
              </w:rPr>
              <w:t xml:space="preserve">2030 году - не менее 90%</w:t>
            </w:r>
          </w:p>
        </w:tc>
        <w:tc>
          <w:tcPr>
            <w:tcW w:w="3049" w:type="dxa"/>
          </w:tcPr>
          <w:p>
            <w:pPr>
              <w:pStyle w:val="0"/>
            </w:pPr>
            <w:r>
              <w:rPr>
                <w:sz w:val="20"/>
              </w:rPr>
              <w:t xml:space="preserve">Увеличена доля пациентов, имеющих оценку по ШРМ 4 - 5 - 6 баллов и направленных на второй этап медицинской реабилитации после завершения первого этапа</w:t>
            </w:r>
          </w:p>
        </w:tc>
        <w:tc>
          <w:tcPr>
            <w:tcW w:w="1894" w:type="dxa"/>
          </w:tcPr>
          <w:p>
            <w:pPr>
              <w:pStyle w:val="0"/>
            </w:pPr>
            <w:r>
              <w:rPr>
                <w:sz w:val="20"/>
              </w:rPr>
              <w:t xml:space="preserve">Регулярное (ежегодное)</w:t>
            </w:r>
          </w:p>
        </w:tc>
      </w:tr>
      <w:tr>
        <w:tc>
          <w:tcPr>
            <w:vMerge w:val="continue"/>
          </w:tcPr>
          <w:p/>
        </w:tc>
        <w:tc>
          <w:tcPr>
            <w:tcW w:w="1459" w:type="dxa"/>
          </w:tcPr>
          <w:p>
            <w:pPr>
              <w:pStyle w:val="0"/>
            </w:pPr>
            <w:r>
              <w:rPr>
                <w:sz w:val="20"/>
              </w:rPr>
              <w:t xml:space="preserve">1.1.11</w:t>
            </w:r>
          </w:p>
        </w:tc>
        <w:tc>
          <w:tcPr>
            <w:tcW w:w="3409" w:type="dxa"/>
          </w:tcPr>
          <w:p>
            <w:pPr>
              <w:pStyle w:val="0"/>
            </w:pPr>
            <w:r>
              <w:rPr>
                <w:sz w:val="20"/>
              </w:rPr>
              <w:t xml:space="preserve">Увеличение доли пациентов, имеющих оценку по ШРМ 2 - 3 балла для взрослых пациентов либо второй, третий уровни курации для детей и направленных на третий этап медицинской реабилитации после завершения первого этапа и/или второго этапа</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 руководители МО (по согласованию)</w:t>
            </w:r>
          </w:p>
        </w:tc>
        <w:tc>
          <w:tcPr>
            <w:tcW w:w="3049" w:type="dxa"/>
          </w:tcPr>
          <w:p>
            <w:pPr>
              <w:pStyle w:val="0"/>
            </w:pPr>
            <w:r>
              <w:rPr>
                <w:sz w:val="20"/>
              </w:rPr>
              <w:t xml:space="preserve">Доля пациентов, закончивших лечение на первом или втором этапе и имеющих оценку по ШРМ 2 - 3 балла у взрослого населения второго, третьего уровня курации у детского населения, направленных на третий этап медицинской реабилитации составляет в:</w:t>
            </w:r>
          </w:p>
          <w:p>
            <w:pPr>
              <w:pStyle w:val="0"/>
            </w:pPr>
            <w:r>
              <w:rPr>
                <w:sz w:val="20"/>
              </w:rPr>
              <w:t xml:space="preserve">2023 году - не менее 15%;</w:t>
            </w:r>
          </w:p>
          <w:p>
            <w:pPr>
              <w:pStyle w:val="0"/>
            </w:pPr>
            <w:r>
              <w:rPr>
                <w:sz w:val="20"/>
              </w:rPr>
              <w:t xml:space="preserve">2024 году - не менее 20%;</w:t>
            </w:r>
          </w:p>
          <w:p>
            <w:pPr>
              <w:pStyle w:val="0"/>
            </w:pPr>
            <w:r>
              <w:rPr>
                <w:sz w:val="20"/>
              </w:rPr>
              <w:t xml:space="preserve">2025 году - не менее 25%;</w:t>
            </w:r>
          </w:p>
          <w:p>
            <w:pPr>
              <w:pStyle w:val="0"/>
            </w:pPr>
            <w:r>
              <w:rPr>
                <w:sz w:val="20"/>
              </w:rPr>
              <w:t xml:space="preserve">2026 году - не менее 30%;</w:t>
            </w:r>
          </w:p>
          <w:p>
            <w:pPr>
              <w:pStyle w:val="0"/>
            </w:pPr>
            <w:r>
              <w:rPr>
                <w:sz w:val="20"/>
              </w:rPr>
              <w:t xml:space="preserve">2027 году - не менее 35%;</w:t>
            </w:r>
          </w:p>
          <w:p>
            <w:pPr>
              <w:pStyle w:val="0"/>
            </w:pPr>
            <w:r>
              <w:rPr>
                <w:sz w:val="20"/>
              </w:rPr>
              <w:t xml:space="preserve">2028 году - не менее 40%;</w:t>
            </w:r>
          </w:p>
          <w:p>
            <w:pPr>
              <w:pStyle w:val="0"/>
            </w:pPr>
            <w:r>
              <w:rPr>
                <w:sz w:val="20"/>
              </w:rPr>
              <w:t xml:space="preserve">2029 году - не менее 45%;</w:t>
            </w:r>
          </w:p>
          <w:p>
            <w:pPr>
              <w:pStyle w:val="0"/>
            </w:pPr>
            <w:r>
              <w:rPr>
                <w:sz w:val="20"/>
              </w:rPr>
              <w:t xml:space="preserve">2030 году - не менее 50%</w:t>
            </w:r>
          </w:p>
        </w:tc>
        <w:tc>
          <w:tcPr>
            <w:tcW w:w="3049" w:type="dxa"/>
          </w:tcPr>
          <w:p>
            <w:pPr>
              <w:pStyle w:val="0"/>
            </w:pPr>
            <w:r>
              <w:rPr>
                <w:sz w:val="20"/>
              </w:rPr>
              <w:t xml:space="preserve">Увеличена доля пациентов, имеющих оценку по ШРМ 2 - 3 балла для взрослых пациентов либо второй, третий уровни курации для детей, направленных на третий этап медицинской реабилитации после завершения первого этапа и/или второго этапа</w:t>
            </w:r>
          </w:p>
        </w:tc>
        <w:tc>
          <w:tcPr>
            <w:tcW w:w="1894" w:type="dxa"/>
          </w:tcPr>
          <w:p>
            <w:pPr>
              <w:pStyle w:val="0"/>
            </w:pPr>
            <w:r>
              <w:rPr>
                <w:sz w:val="20"/>
              </w:rPr>
              <w:t xml:space="preserve">Регулярное (ежегодное)</w:t>
            </w:r>
          </w:p>
        </w:tc>
      </w:tr>
      <w:tr>
        <w:tc>
          <w:tcPr>
            <w:tcW w:w="2254" w:type="dxa"/>
          </w:tcPr>
          <w:p>
            <w:pPr>
              <w:pStyle w:val="0"/>
            </w:pPr>
            <w:r>
              <w:rPr>
                <w:sz w:val="20"/>
              </w:rPr>
            </w:r>
          </w:p>
        </w:tc>
        <w:tc>
          <w:tcPr>
            <w:tcW w:w="1459" w:type="dxa"/>
          </w:tcPr>
          <w:p>
            <w:pPr>
              <w:pStyle w:val="0"/>
            </w:pPr>
            <w:r>
              <w:rPr>
                <w:sz w:val="20"/>
              </w:rPr>
              <w:t xml:space="preserve">1.1.12</w:t>
            </w:r>
          </w:p>
        </w:tc>
        <w:tc>
          <w:tcPr>
            <w:tcW w:w="3409" w:type="dxa"/>
          </w:tcPr>
          <w:p>
            <w:pPr>
              <w:pStyle w:val="0"/>
            </w:pPr>
            <w:r>
              <w:rPr>
                <w:sz w:val="20"/>
              </w:rPr>
              <w:t xml:space="preserve">Увеличение доли случаев оказания амбулаторной медицинской помощи по медицинской реабилитации взрослых с использованием телемедицинских технологий</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tc>
        <w:tc>
          <w:tcPr>
            <w:tcW w:w="3049" w:type="dxa"/>
          </w:tcPr>
          <w:p>
            <w:pPr>
              <w:pStyle w:val="0"/>
            </w:pPr>
            <w:r>
              <w:rPr>
                <w:sz w:val="20"/>
              </w:rPr>
              <w:t xml:space="preserve">Доля случаев оказания амбулаторной медицинской помощи по медицинской реабилитации взрослых с применением телемедицинских технологий в форме "врач-пациент" составила в:</w:t>
            </w:r>
          </w:p>
          <w:p>
            <w:pPr>
              <w:pStyle w:val="0"/>
            </w:pPr>
            <w:r>
              <w:rPr>
                <w:sz w:val="20"/>
              </w:rPr>
              <w:t xml:space="preserve">2023 году - не менее 3%;</w:t>
            </w:r>
          </w:p>
          <w:p>
            <w:pPr>
              <w:pStyle w:val="0"/>
            </w:pPr>
            <w:r>
              <w:rPr>
                <w:sz w:val="20"/>
              </w:rPr>
              <w:t xml:space="preserve">2024 году - не менее 5%;</w:t>
            </w:r>
          </w:p>
          <w:p>
            <w:pPr>
              <w:pStyle w:val="0"/>
            </w:pPr>
            <w:r>
              <w:rPr>
                <w:sz w:val="20"/>
              </w:rPr>
              <w:t xml:space="preserve">2025 году - не менее 7%;</w:t>
            </w:r>
          </w:p>
          <w:p>
            <w:pPr>
              <w:pStyle w:val="0"/>
            </w:pPr>
            <w:r>
              <w:rPr>
                <w:sz w:val="20"/>
              </w:rPr>
              <w:t xml:space="preserve">2026 году - не менее 8%;</w:t>
            </w:r>
          </w:p>
          <w:p>
            <w:pPr>
              <w:pStyle w:val="0"/>
            </w:pPr>
            <w:r>
              <w:rPr>
                <w:sz w:val="20"/>
              </w:rPr>
              <w:t xml:space="preserve">2027 году - не менее 9%;</w:t>
            </w:r>
          </w:p>
          <w:p>
            <w:pPr>
              <w:pStyle w:val="0"/>
            </w:pPr>
            <w:r>
              <w:rPr>
                <w:sz w:val="20"/>
              </w:rPr>
              <w:t xml:space="preserve">2028 году - не менее 10%;</w:t>
            </w:r>
          </w:p>
          <w:p>
            <w:pPr>
              <w:pStyle w:val="0"/>
            </w:pPr>
            <w:r>
              <w:rPr>
                <w:sz w:val="20"/>
              </w:rPr>
              <w:t xml:space="preserve">2029 году - не менее 10%;</w:t>
            </w:r>
          </w:p>
          <w:p>
            <w:pPr>
              <w:pStyle w:val="0"/>
            </w:pPr>
            <w:r>
              <w:rPr>
                <w:sz w:val="20"/>
              </w:rPr>
              <w:t xml:space="preserve">2030 году - не менее 10%</w:t>
            </w:r>
          </w:p>
        </w:tc>
        <w:tc>
          <w:tcPr>
            <w:tcW w:w="3049" w:type="dxa"/>
          </w:tcPr>
          <w:p>
            <w:pPr>
              <w:pStyle w:val="0"/>
            </w:pPr>
            <w:r>
              <w:rPr>
                <w:sz w:val="20"/>
              </w:rPr>
              <w:t xml:space="preserve">Увеличена доля случаев оказания амбулаторной медицинской помощи по медицинской реабилитации взрослых с использованием телемедицинских технологий</w:t>
            </w:r>
          </w:p>
        </w:tc>
        <w:tc>
          <w:tcPr>
            <w:tcW w:w="1894" w:type="dxa"/>
          </w:tcPr>
          <w:p>
            <w:pPr>
              <w:pStyle w:val="0"/>
            </w:pPr>
            <w:r>
              <w:rPr>
                <w:sz w:val="20"/>
              </w:rPr>
              <w:t xml:space="preserve">Регулярное (ежегодное)</w:t>
            </w:r>
          </w:p>
        </w:tc>
      </w:tr>
      <w:tr>
        <w:tc>
          <w:tcPr>
            <w:tcW w:w="2254" w:type="dxa"/>
            <w:vMerge w:val="restart"/>
          </w:tcPr>
          <w:p>
            <w:pPr>
              <w:pStyle w:val="0"/>
            </w:pPr>
            <w:r>
              <w:rPr>
                <w:sz w:val="20"/>
              </w:rPr>
            </w:r>
          </w:p>
        </w:tc>
        <w:tc>
          <w:tcPr>
            <w:tcW w:w="1459" w:type="dxa"/>
          </w:tcPr>
          <w:p>
            <w:pPr>
              <w:pStyle w:val="0"/>
            </w:pPr>
            <w:r>
              <w:rPr>
                <w:sz w:val="20"/>
              </w:rPr>
              <w:t xml:space="preserve">1.1.13</w:t>
            </w:r>
          </w:p>
        </w:tc>
        <w:tc>
          <w:tcPr>
            <w:tcW w:w="3409" w:type="dxa"/>
          </w:tcPr>
          <w:p>
            <w:pPr>
              <w:pStyle w:val="0"/>
            </w:pPr>
            <w:r>
              <w:rPr>
                <w:sz w:val="20"/>
              </w:rPr>
              <w:t xml:space="preserve">Обеспечение исполнения объемов случаев и финансирования оказания медицинской помощи по профилю "медицинская реабилитация" в стационарных условиях, установленных Территориальной программой обязательного медицинского страхования (далее - ОМС)</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ОМС, и объем финансирования составили в:</w:t>
            </w:r>
          </w:p>
          <w:p>
            <w:pPr>
              <w:pStyle w:val="0"/>
            </w:pPr>
            <w:r>
              <w:rPr>
                <w:sz w:val="20"/>
              </w:rPr>
              <w:t xml:space="preserve">2023 году - не менее 95% случаев и не менее 95% объемов финансирования;</w:t>
            </w:r>
          </w:p>
          <w:p>
            <w:pPr>
              <w:pStyle w:val="0"/>
            </w:pPr>
            <w:r>
              <w:rPr>
                <w:sz w:val="20"/>
              </w:rPr>
              <w:t xml:space="preserve">2024 году - не менее 95% случаев и не менее 95% объемов финансирования;</w:t>
            </w:r>
          </w:p>
          <w:p>
            <w:pPr>
              <w:pStyle w:val="0"/>
            </w:pPr>
            <w:r>
              <w:rPr>
                <w:sz w:val="20"/>
              </w:rPr>
              <w:t xml:space="preserve">2025 году - не менее 95% случаев и не менее 95% объемов финансирования;</w:t>
            </w:r>
          </w:p>
          <w:p>
            <w:pPr>
              <w:pStyle w:val="0"/>
            </w:pPr>
            <w:r>
              <w:rPr>
                <w:sz w:val="20"/>
              </w:rPr>
              <w:t xml:space="preserve">2026 году - не менее 95% случаев и не менее 95% объемов финансирования;</w:t>
            </w:r>
          </w:p>
          <w:p>
            <w:pPr>
              <w:pStyle w:val="0"/>
            </w:pPr>
            <w:r>
              <w:rPr>
                <w:sz w:val="20"/>
              </w:rPr>
              <w:t xml:space="preserve">2027 году - не менее 95% случаев и не менее 95% объемов финансирования;</w:t>
            </w:r>
          </w:p>
          <w:p>
            <w:pPr>
              <w:pStyle w:val="0"/>
            </w:pPr>
            <w:r>
              <w:rPr>
                <w:sz w:val="20"/>
              </w:rPr>
              <w:t xml:space="preserve">2028 году - не менее 95% случаев и не менее 95% объемов финансирования;</w:t>
            </w:r>
          </w:p>
          <w:p>
            <w:pPr>
              <w:pStyle w:val="0"/>
            </w:pPr>
            <w:r>
              <w:rPr>
                <w:sz w:val="20"/>
              </w:rPr>
              <w:t xml:space="preserve">2029 году - не менее 95% случаев и не менее 95% объемов финансирования;</w:t>
            </w:r>
          </w:p>
          <w:p>
            <w:pPr>
              <w:pStyle w:val="0"/>
            </w:pPr>
            <w:r>
              <w:rPr>
                <w:sz w:val="20"/>
              </w:rPr>
              <w:t xml:space="preserve">2030 году - не менее 95% случаев и не менее 95% объемов финансирования</w:t>
            </w:r>
          </w:p>
        </w:tc>
        <w:tc>
          <w:tcPr>
            <w:tcW w:w="3049" w:type="dxa"/>
          </w:tcPr>
          <w:p>
            <w:pPr>
              <w:pStyle w:val="0"/>
            </w:pPr>
            <w:r>
              <w:rPr>
                <w:sz w:val="20"/>
              </w:rPr>
              <w:t xml:space="preserve">Выполнены объемы случаев и финансирования оказания медицинской помощи по профилю "медицинская реабилитация" в соответствии с Территориальной программой ОМС</w:t>
            </w:r>
          </w:p>
        </w:tc>
        <w:tc>
          <w:tcPr>
            <w:tcW w:w="1894" w:type="dxa"/>
          </w:tcPr>
          <w:p>
            <w:pPr>
              <w:pStyle w:val="0"/>
            </w:pPr>
            <w:r>
              <w:rPr>
                <w:sz w:val="20"/>
              </w:rPr>
              <w:t xml:space="preserve">Регулярное (ежегодное)</w:t>
            </w:r>
          </w:p>
        </w:tc>
      </w:tr>
      <w:tr>
        <w:tc>
          <w:tcPr>
            <w:vMerge w:val="continue"/>
          </w:tcPr>
          <w:p/>
        </w:tc>
        <w:tc>
          <w:tcPr>
            <w:tcW w:w="1459" w:type="dxa"/>
          </w:tcPr>
          <w:p>
            <w:pPr>
              <w:pStyle w:val="0"/>
            </w:pPr>
            <w:r>
              <w:rPr>
                <w:sz w:val="20"/>
              </w:rPr>
              <w:t xml:space="preserve">1.1.14</w:t>
            </w:r>
          </w:p>
        </w:tc>
        <w:tc>
          <w:tcPr>
            <w:tcW w:w="3409" w:type="dxa"/>
          </w:tcPr>
          <w:p>
            <w:pPr>
              <w:pStyle w:val="0"/>
            </w:pPr>
            <w:r>
              <w:rPr>
                <w:sz w:val="20"/>
              </w:rPr>
              <w:t xml:space="preserve">Обеспечение исполнения объемов случаев и финансирования оказания медицинской помощи по профилю "медицинская реабилитация" на третьем этапе в амбулаторных условиях, установленных Территориальной программой ОМС</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ОМС, и объем финансирования составили в:</w:t>
            </w:r>
          </w:p>
          <w:p>
            <w:pPr>
              <w:pStyle w:val="0"/>
            </w:pPr>
            <w:r>
              <w:rPr>
                <w:sz w:val="20"/>
              </w:rPr>
              <w:t xml:space="preserve">2023 году - не менее 95% случаев и не менее 95% объемов финансирования;</w:t>
            </w:r>
          </w:p>
          <w:p>
            <w:pPr>
              <w:pStyle w:val="0"/>
            </w:pPr>
            <w:r>
              <w:rPr>
                <w:sz w:val="20"/>
              </w:rPr>
              <w:t xml:space="preserve">2024 году - не менее 95% случаев и не менее 95% объемов финансирования;</w:t>
            </w:r>
          </w:p>
          <w:p>
            <w:pPr>
              <w:pStyle w:val="0"/>
            </w:pPr>
            <w:r>
              <w:rPr>
                <w:sz w:val="20"/>
              </w:rPr>
              <w:t xml:space="preserve">2025 году - не менее 95% случаев и не менее 95% объемов финансирования;</w:t>
            </w:r>
          </w:p>
          <w:p>
            <w:pPr>
              <w:pStyle w:val="0"/>
            </w:pPr>
            <w:r>
              <w:rPr>
                <w:sz w:val="20"/>
              </w:rPr>
              <w:t xml:space="preserve">2026 году - не менее 95% случаев и не менее 95% объемов финансирования;</w:t>
            </w:r>
          </w:p>
          <w:p>
            <w:pPr>
              <w:pStyle w:val="0"/>
            </w:pPr>
            <w:r>
              <w:rPr>
                <w:sz w:val="20"/>
              </w:rPr>
              <w:t xml:space="preserve">2027 году - не менее 95% случаев и не менее 95% объемов финансирования;</w:t>
            </w:r>
          </w:p>
          <w:p>
            <w:pPr>
              <w:pStyle w:val="0"/>
            </w:pPr>
            <w:r>
              <w:rPr>
                <w:sz w:val="20"/>
              </w:rPr>
              <w:t xml:space="preserve">2028 году - не менее 95% случаев и не менее 95% объемов финансирования;</w:t>
            </w:r>
          </w:p>
          <w:p>
            <w:pPr>
              <w:pStyle w:val="0"/>
            </w:pPr>
            <w:r>
              <w:rPr>
                <w:sz w:val="20"/>
              </w:rPr>
              <w:t xml:space="preserve">2029 году - не менее 95% случаев и не менее 95% объемов финансирования;</w:t>
            </w:r>
          </w:p>
          <w:p>
            <w:pPr>
              <w:pStyle w:val="0"/>
            </w:pPr>
            <w:r>
              <w:rPr>
                <w:sz w:val="20"/>
              </w:rPr>
              <w:t xml:space="preserve">2030 году - не менее 95% случаев и не менее 95% объемов финансирования</w:t>
            </w:r>
          </w:p>
        </w:tc>
        <w:tc>
          <w:tcPr>
            <w:tcW w:w="3049" w:type="dxa"/>
          </w:tcPr>
          <w:p>
            <w:pPr>
              <w:pStyle w:val="0"/>
            </w:pPr>
            <w:r>
              <w:rPr>
                <w:sz w:val="20"/>
              </w:rPr>
              <w:t xml:space="preserve">Выполнены объемы случаев и финансирования оказания медицинской помощи по профилю "медицинская реабилитация" в соответствии с Территориальной программой ОМС</w:t>
            </w:r>
          </w:p>
        </w:tc>
        <w:tc>
          <w:tcPr>
            <w:tcW w:w="1894" w:type="dxa"/>
          </w:tcPr>
          <w:p>
            <w:pPr>
              <w:pStyle w:val="0"/>
            </w:pPr>
            <w:r>
              <w:rPr>
                <w:sz w:val="20"/>
              </w:rPr>
              <w:t xml:space="preserve">Регулярное (ежегодное)</w:t>
            </w:r>
          </w:p>
        </w:tc>
      </w:tr>
      <w:tr>
        <w:tc>
          <w:tcPr>
            <w:tcW w:w="2254" w:type="dxa"/>
            <w:vMerge w:val="restart"/>
          </w:tcPr>
          <w:p>
            <w:pPr>
              <w:pStyle w:val="0"/>
            </w:pPr>
            <w:r>
              <w:rPr>
                <w:sz w:val="20"/>
              </w:rPr>
              <w:t xml:space="preserve">1.2. Совершенствование и развитие организации медицинской помощи по медицинской реабилитации в стационарных условиях (первый, второй этап)</w:t>
            </w:r>
          </w:p>
        </w:tc>
        <w:tc>
          <w:tcPr>
            <w:tcW w:w="1459" w:type="dxa"/>
          </w:tcPr>
          <w:p>
            <w:pPr>
              <w:pStyle w:val="0"/>
            </w:pPr>
            <w:r>
              <w:rPr>
                <w:sz w:val="20"/>
              </w:rPr>
              <w:t xml:space="preserve">1.2.1</w:t>
            </w:r>
          </w:p>
        </w:tc>
        <w:tc>
          <w:tcPr>
            <w:tcW w:w="3409" w:type="dxa"/>
          </w:tcPr>
          <w:p>
            <w:pPr>
              <w:pStyle w:val="0"/>
            </w:pPr>
            <w:r>
              <w:rPr>
                <w:sz w:val="20"/>
              </w:rPr>
              <w:t xml:space="preserve">Организация первого этапа медицинской реабилитации для взрослых путем открытия отделений ранней медицинской реабилитации для работы в условиях специализированных отделений по профилям медицинской помощи (анестезиология и реаниматология, неврология, нейрохирургия, кардиология, кардиохирургия, травматология и ортопедия, онкология, терапия)</w:t>
            </w:r>
          </w:p>
        </w:tc>
        <w:tc>
          <w:tcPr>
            <w:tcW w:w="1204" w:type="dxa"/>
          </w:tcPr>
          <w:p>
            <w:pPr>
              <w:pStyle w:val="0"/>
            </w:pPr>
            <w:r>
              <w:rPr>
                <w:sz w:val="20"/>
              </w:rPr>
              <w:t xml:space="preserve">01.08.2023</w:t>
            </w:r>
          </w:p>
        </w:tc>
        <w:tc>
          <w:tcPr>
            <w:tcW w:w="1204" w:type="dxa"/>
          </w:tcPr>
          <w:p>
            <w:pPr>
              <w:pStyle w:val="0"/>
            </w:pPr>
            <w:r>
              <w:rPr>
                <w:sz w:val="20"/>
              </w:rPr>
              <w:t xml:space="preserve">31.12.2024</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руководитель БУ "Нижневартовская окружная клиническая больница" (по согласованию);</w:t>
            </w:r>
          </w:p>
          <w:p>
            <w:pPr>
              <w:pStyle w:val="0"/>
            </w:pPr>
            <w:r>
              <w:rPr>
                <w:sz w:val="20"/>
              </w:rPr>
              <w:t xml:space="preserve">руководитель БУ "Нефтеюганская окружная клиническая больница им. В.И. Яцкив" (по согласованию)</w:t>
            </w:r>
          </w:p>
        </w:tc>
        <w:tc>
          <w:tcPr>
            <w:tcW w:w="3049" w:type="dxa"/>
          </w:tcPr>
          <w:p>
            <w:pPr>
              <w:pStyle w:val="0"/>
            </w:pPr>
            <w:r>
              <w:rPr>
                <w:sz w:val="20"/>
              </w:rPr>
              <w:t xml:space="preserve">Организованы отделения ранней медицинской реабилитации в 2024 году - 2 отделения (БУ "Нижневартовская окружная клиническая больница",</w:t>
            </w:r>
          </w:p>
          <w:p>
            <w:pPr>
              <w:pStyle w:val="0"/>
            </w:pPr>
            <w:r>
              <w:rPr>
                <w:sz w:val="20"/>
              </w:rPr>
              <w:t xml:space="preserve">БУ "Нефтеюганская окружная клиническая больница им. В.И. Яцкив")</w:t>
            </w:r>
          </w:p>
        </w:tc>
        <w:tc>
          <w:tcPr>
            <w:tcW w:w="3049" w:type="dxa"/>
          </w:tcPr>
          <w:p>
            <w:pPr>
              <w:pStyle w:val="0"/>
            </w:pPr>
            <w:r>
              <w:rPr>
                <w:sz w:val="20"/>
              </w:rPr>
              <w:t xml:space="preserve">В медицинских организациях, осуществляющих медицинскую реабилитацию на первом этапе, организованы отделения ранней медицинской реабилитации</w:t>
            </w:r>
          </w:p>
        </w:tc>
        <w:tc>
          <w:tcPr>
            <w:tcW w:w="1894" w:type="dxa"/>
          </w:tcPr>
          <w:p>
            <w:pPr>
              <w:pStyle w:val="0"/>
            </w:pPr>
            <w:r>
              <w:rPr>
                <w:sz w:val="20"/>
              </w:rPr>
              <w:t xml:space="preserve">Разовое (делимое)</w:t>
            </w:r>
          </w:p>
        </w:tc>
      </w:tr>
      <w:tr>
        <w:tc>
          <w:tcPr>
            <w:vMerge w:val="continue"/>
          </w:tcPr>
          <w:p/>
        </w:tc>
        <w:tc>
          <w:tcPr>
            <w:tcW w:w="1459" w:type="dxa"/>
          </w:tcPr>
          <w:p>
            <w:pPr>
              <w:pStyle w:val="0"/>
            </w:pPr>
            <w:r>
              <w:rPr>
                <w:sz w:val="20"/>
              </w:rPr>
              <w:t xml:space="preserve">1.2.2</w:t>
            </w:r>
          </w:p>
        </w:tc>
        <w:tc>
          <w:tcPr>
            <w:tcW w:w="3409" w:type="dxa"/>
          </w:tcPr>
          <w:p>
            <w:pPr>
              <w:pStyle w:val="0"/>
            </w:pPr>
            <w:r>
              <w:rPr>
                <w:sz w:val="20"/>
              </w:rPr>
              <w:t xml:space="preserve">Организация первого этапа медицинской реабилитации для детей путем открытия детских реабилитационных отделений</w:t>
            </w:r>
          </w:p>
        </w:tc>
        <w:tc>
          <w:tcPr>
            <w:tcW w:w="1204" w:type="dxa"/>
          </w:tcPr>
          <w:p>
            <w:pPr>
              <w:pStyle w:val="0"/>
            </w:pPr>
            <w:r>
              <w:rPr>
                <w:sz w:val="20"/>
              </w:rPr>
              <w:t xml:space="preserve">01.08.2023</w:t>
            </w:r>
          </w:p>
        </w:tc>
        <w:tc>
          <w:tcPr>
            <w:tcW w:w="1204" w:type="dxa"/>
          </w:tcPr>
          <w:p>
            <w:pPr>
              <w:pStyle w:val="0"/>
            </w:pPr>
            <w:r>
              <w:rPr>
                <w:sz w:val="20"/>
              </w:rPr>
              <w:t xml:space="preserve">31.12.2024</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руководитель БУ</w:t>
            </w:r>
          </w:p>
          <w:p>
            <w:pPr>
              <w:pStyle w:val="0"/>
            </w:pPr>
            <w:r>
              <w:rPr>
                <w:sz w:val="20"/>
              </w:rPr>
              <w:t xml:space="preserve">"Нижневартовская окружная клиническая детская больница" (по согласованию); руководитель БУ "Сургутский окружной клинический центр охраны материнства и детства" (по согласованию)</w:t>
            </w:r>
          </w:p>
        </w:tc>
        <w:tc>
          <w:tcPr>
            <w:tcW w:w="3049" w:type="dxa"/>
          </w:tcPr>
          <w:p>
            <w:pPr>
              <w:pStyle w:val="0"/>
            </w:pPr>
            <w:r>
              <w:rPr>
                <w:sz w:val="20"/>
              </w:rPr>
              <w:t xml:space="preserve">Организованы детские реабилитационные отделения в 2024 году - 2 отделения (БУ "Нижневартовская окружная клиническая детская больница", БУ "Сургутский окружной клинический центр охраны материнства и детства")</w:t>
            </w:r>
          </w:p>
        </w:tc>
        <w:tc>
          <w:tcPr>
            <w:tcW w:w="3049" w:type="dxa"/>
          </w:tcPr>
          <w:p>
            <w:pPr>
              <w:pStyle w:val="0"/>
            </w:pPr>
            <w:r>
              <w:rPr>
                <w:sz w:val="20"/>
              </w:rPr>
              <w:t xml:space="preserve">В медицинских организациях, осуществляющих медицинскую реабилитацию на первом этапе, организованы детские реабилитационные отделения</w:t>
            </w:r>
          </w:p>
        </w:tc>
        <w:tc>
          <w:tcPr>
            <w:tcW w:w="1894" w:type="dxa"/>
          </w:tcPr>
          <w:p>
            <w:pPr>
              <w:pStyle w:val="0"/>
            </w:pPr>
            <w:r>
              <w:rPr>
                <w:sz w:val="20"/>
              </w:rPr>
              <w:t xml:space="preserve">Разовое (делимое)</w:t>
            </w:r>
          </w:p>
        </w:tc>
      </w:tr>
      <w:tr>
        <w:tc>
          <w:tcPr>
            <w:vMerge w:val="continue"/>
          </w:tcPr>
          <w:p/>
        </w:tc>
        <w:tc>
          <w:tcPr>
            <w:tcW w:w="1459" w:type="dxa"/>
          </w:tcPr>
          <w:p>
            <w:pPr>
              <w:pStyle w:val="0"/>
            </w:pPr>
            <w:r>
              <w:rPr>
                <w:sz w:val="20"/>
              </w:rPr>
              <w:t xml:space="preserve">1.2.3</w:t>
            </w:r>
          </w:p>
        </w:tc>
        <w:tc>
          <w:tcPr>
            <w:tcW w:w="3409" w:type="dxa"/>
          </w:tcPr>
          <w:p>
            <w:pPr>
              <w:pStyle w:val="0"/>
            </w:pPr>
            <w:r>
              <w:rPr>
                <w:sz w:val="20"/>
              </w:rPr>
              <w:t xml:space="preserve">Оптимизация круглосуточного реабилитационного коечного фонда с учетом нормативов объемов, предусмотренных Территориальной программой ОМС, и потребности в медицинской помощи по медицинской реабилитации пациентов с сердечно-сосудистыми, неврологическими, кардиологическими, травматолого-ортопедическими и онкологическими заболеваниями</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Изданы приказы в МО об изменении реабилитационного коечного фонда</w:t>
            </w:r>
          </w:p>
        </w:tc>
        <w:tc>
          <w:tcPr>
            <w:tcW w:w="3049" w:type="dxa"/>
          </w:tcPr>
          <w:p>
            <w:pPr>
              <w:pStyle w:val="0"/>
            </w:pPr>
            <w:r>
              <w:rPr>
                <w:sz w:val="20"/>
              </w:rPr>
              <w:t xml:space="preserve">Определена потребность в медицинской помощи по медицинской реабилитации на втором этапе с учетом использования реабилитационного коечного фонда МО,</w:t>
            </w:r>
          </w:p>
          <w:p>
            <w:pPr>
              <w:pStyle w:val="0"/>
            </w:pPr>
            <w:r>
              <w:rPr>
                <w:sz w:val="20"/>
              </w:rPr>
              <w:t xml:space="preserve">который приведен в соответствие со сложившейся потребностью за счет дополнительного открытия, перепрофилирования существующего коечного фонда</w:t>
            </w:r>
          </w:p>
        </w:tc>
        <w:tc>
          <w:tcPr>
            <w:tcW w:w="1894" w:type="dxa"/>
          </w:tcPr>
          <w:p>
            <w:pPr>
              <w:pStyle w:val="0"/>
            </w:pPr>
            <w:r>
              <w:rPr>
                <w:sz w:val="20"/>
              </w:rPr>
              <w:t xml:space="preserve">Разовое (делимое)</w:t>
            </w:r>
          </w:p>
        </w:tc>
      </w:tr>
      <w:tr>
        <w:tc>
          <w:tcPr>
            <w:vMerge w:val="continue"/>
          </w:tcPr>
          <w:p/>
        </w:tc>
        <w:tc>
          <w:tcPr>
            <w:tcW w:w="1459" w:type="dxa"/>
          </w:tcPr>
          <w:p>
            <w:pPr>
              <w:pStyle w:val="0"/>
            </w:pPr>
            <w:r>
              <w:rPr>
                <w:sz w:val="20"/>
              </w:rPr>
              <w:t xml:space="preserve">1.2.4</w:t>
            </w:r>
          </w:p>
        </w:tc>
        <w:tc>
          <w:tcPr>
            <w:tcW w:w="3409" w:type="dxa"/>
          </w:tcPr>
          <w:p>
            <w:pPr>
              <w:pStyle w:val="0"/>
            </w:pPr>
            <w:r>
              <w:rPr>
                <w:sz w:val="20"/>
              </w:rPr>
              <w:t xml:space="preserve">Оснащение (переоснащение и (или) дооснащение) медицинскими изделиями отделений медицинской реабилитации в медицинских организациях, оказывающих медицинскую помощь по медицинской реабилитации взрослым и детям</w:t>
            </w:r>
          </w:p>
        </w:tc>
        <w:tc>
          <w:tcPr>
            <w:tcW w:w="1204" w:type="dxa"/>
          </w:tcPr>
          <w:p>
            <w:pPr>
              <w:pStyle w:val="0"/>
            </w:pPr>
            <w:r>
              <w:rPr>
                <w:sz w:val="20"/>
              </w:rPr>
              <w:t xml:space="preserve">01.08.2023</w:t>
            </w:r>
          </w:p>
        </w:tc>
        <w:tc>
          <w:tcPr>
            <w:tcW w:w="1204" w:type="dxa"/>
          </w:tcPr>
          <w:p>
            <w:pPr>
              <w:pStyle w:val="0"/>
            </w:pPr>
            <w:r>
              <w:rPr>
                <w:sz w:val="20"/>
              </w:rPr>
              <w:t xml:space="preserve">31.12.2026</w:t>
            </w:r>
          </w:p>
        </w:tc>
        <w:tc>
          <w:tcPr>
            <w:tcW w:w="3439" w:type="dxa"/>
          </w:tcPr>
          <w:p>
            <w:pPr>
              <w:pStyle w:val="0"/>
            </w:pPr>
            <w:r>
              <w:rPr>
                <w:sz w:val="20"/>
              </w:rPr>
              <w:t xml:space="preserve">Начальник управления развития системы здравоохранения Депздрава Югры; 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w:t>
            </w:r>
          </w:p>
          <w:p>
            <w:pPr>
              <w:pStyle w:val="0"/>
            </w:pPr>
            <w:r>
              <w:rPr>
                <w:sz w:val="20"/>
              </w:rPr>
              <w:t xml:space="preserve">(БУ "Урайская окружная больница медицинской реабилитации",</w:t>
            </w:r>
          </w:p>
          <w:p>
            <w:pPr>
              <w:pStyle w:val="0"/>
            </w:pPr>
            <w:r>
              <w:rPr>
                <w:sz w:val="20"/>
              </w:rPr>
              <w:t xml:space="preserve">БУ "Окружной кардиологический диспансер "Центр диагностики и сердечно-сосудистой хирургии",</w:t>
            </w:r>
          </w:p>
          <w:p>
            <w:pPr>
              <w:pStyle w:val="0"/>
            </w:pPr>
            <w:r>
              <w:rPr>
                <w:sz w:val="20"/>
              </w:rPr>
              <w:t xml:space="preserve">БУ "Сургутская клиническая травматологическая больница",</w:t>
            </w:r>
          </w:p>
          <w:p>
            <w:pPr>
              <w:pStyle w:val="0"/>
            </w:pPr>
            <w:r>
              <w:rPr>
                <w:sz w:val="20"/>
              </w:rPr>
              <w:t xml:space="preserve">БУ "Сургутская окружная клиническая больница",</w:t>
            </w:r>
          </w:p>
          <w:p>
            <w:pPr>
              <w:pStyle w:val="0"/>
            </w:pPr>
            <w:r>
              <w:rPr>
                <w:sz w:val="20"/>
              </w:rPr>
              <w:t xml:space="preserve">БУ "Окружная клиническая больница",</w:t>
            </w:r>
          </w:p>
          <w:p>
            <w:pPr>
              <w:pStyle w:val="0"/>
            </w:pPr>
            <w:r>
              <w:rPr>
                <w:sz w:val="20"/>
              </w:rPr>
              <w:t xml:space="preserve">БУ "Нижневартовская окружная клиническая детская больница",</w:t>
            </w:r>
          </w:p>
          <w:p>
            <w:pPr>
              <w:pStyle w:val="0"/>
            </w:pPr>
            <w:r>
              <w:rPr>
                <w:sz w:val="20"/>
              </w:rPr>
              <w:t xml:space="preserve">БУ "Няганская окружная больница",</w:t>
            </w:r>
          </w:p>
          <w:p>
            <w:pPr>
              <w:pStyle w:val="0"/>
            </w:pPr>
            <w:r>
              <w:rPr>
                <w:sz w:val="20"/>
              </w:rPr>
              <w:t xml:space="preserve">БУ "Сургутский окружной клинический центр охраны материнства и детства",</w:t>
            </w:r>
          </w:p>
          <w:p>
            <w:pPr>
              <w:pStyle w:val="0"/>
            </w:pPr>
            <w:r>
              <w:rPr>
                <w:sz w:val="20"/>
              </w:rPr>
              <w:t xml:space="preserve">БУ "Нижневартовский окружной клинический перинатальный центр") (по согласованию)</w:t>
            </w:r>
          </w:p>
        </w:tc>
        <w:tc>
          <w:tcPr>
            <w:tcW w:w="3049" w:type="dxa"/>
          </w:tcPr>
          <w:p>
            <w:pPr>
              <w:pStyle w:val="0"/>
            </w:pPr>
            <w:r>
              <w:rPr>
                <w:sz w:val="20"/>
              </w:rPr>
              <w:t xml:space="preserve">Оснащение отделений медицинской реабилитации медицинскими изделиями полностью приведено в соответствии с порядками организации медицинской реабилитации взрослым и детям:</w:t>
            </w:r>
          </w:p>
          <w:p>
            <w:pPr>
              <w:pStyle w:val="0"/>
            </w:pPr>
            <w:r>
              <w:rPr>
                <w:sz w:val="20"/>
              </w:rPr>
              <w:t xml:space="preserve">в 2023 году - 2 МО</w:t>
            </w:r>
          </w:p>
          <w:p>
            <w:pPr>
              <w:pStyle w:val="0"/>
            </w:pPr>
            <w:r>
              <w:rPr>
                <w:sz w:val="20"/>
              </w:rPr>
              <w:t xml:space="preserve">(БУ "Урайская окружная больница медицинской реабилитации",</w:t>
            </w:r>
          </w:p>
          <w:p>
            <w:pPr>
              <w:pStyle w:val="0"/>
            </w:pPr>
            <w:r>
              <w:rPr>
                <w:sz w:val="20"/>
              </w:rPr>
              <w:t xml:space="preserve">БУ "Окружной кардиологический диспансер "Центр диагностики и сердечно-сосудистой хирургии");</w:t>
            </w:r>
          </w:p>
          <w:p>
            <w:pPr>
              <w:pStyle w:val="0"/>
            </w:pPr>
            <w:r>
              <w:rPr>
                <w:sz w:val="20"/>
              </w:rPr>
              <w:t xml:space="preserve">в 2024 году - 4 МО</w:t>
            </w:r>
          </w:p>
          <w:p>
            <w:pPr>
              <w:pStyle w:val="0"/>
            </w:pPr>
            <w:r>
              <w:rPr>
                <w:sz w:val="20"/>
              </w:rPr>
              <w:t xml:space="preserve">(БУ "Сургутская клиническая травматологическая больница", БУ "Сургутская окружная клиническая больница",</w:t>
            </w:r>
          </w:p>
          <w:p>
            <w:pPr>
              <w:pStyle w:val="0"/>
            </w:pPr>
            <w:r>
              <w:rPr>
                <w:sz w:val="20"/>
              </w:rPr>
              <w:t xml:space="preserve">БУ "Окружная клиническая больница",</w:t>
            </w:r>
          </w:p>
          <w:p>
            <w:pPr>
              <w:pStyle w:val="0"/>
            </w:pPr>
            <w:r>
              <w:rPr>
                <w:sz w:val="20"/>
              </w:rPr>
              <w:t xml:space="preserve">БУ "Нижневартовская окружная клиническая детская больница");</w:t>
            </w:r>
          </w:p>
          <w:p>
            <w:pPr>
              <w:pStyle w:val="0"/>
            </w:pPr>
            <w:r>
              <w:rPr>
                <w:sz w:val="20"/>
              </w:rPr>
              <w:t xml:space="preserve">в 2025 году - в 1 МО</w:t>
            </w:r>
          </w:p>
          <w:p>
            <w:pPr>
              <w:pStyle w:val="0"/>
            </w:pPr>
            <w:r>
              <w:rPr>
                <w:sz w:val="20"/>
              </w:rPr>
              <w:t xml:space="preserve">(БУ "Няганская окружная больница");</w:t>
            </w:r>
          </w:p>
          <w:p>
            <w:pPr>
              <w:pStyle w:val="0"/>
            </w:pPr>
            <w:r>
              <w:rPr>
                <w:sz w:val="20"/>
              </w:rPr>
              <w:t xml:space="preserve">в 2026 году - в 2 МО</w:t>
            </w:r>
          </w:p>
          <w:p>
            <w:pPr>
              <w:pStyle w:val="0"/>
            </w:pPr>
            <w:r>
              <w:rPr>
                <w:sz w:val="20"/>
              </w:rPr>
              <w:t xml:space="preserve">(БУ "Сургутский окружной клинический центр охраны материнства и детства",</w:t>
            </w:r>
          </w:p>
          <w:p>
            <w:pPr>
              <w:pStyle w:val="0"/>
            </w:pPr>
            <w:r>
              <w:rPr>
                <w:sz w:val="20"/>
              </w:rPr>
              <w:t xml:space="preserve">БУ "Нижневартовский окружной клинический перинатальный центр")</w:t>
            </w:r>
          </w:p>
        </w:tc>
        <w:tc>
          <w:tcPr>
            <w:tcW w:w="3049" w:type="dxa"/>
          </w:tcPr>
          <w:p>
            <w:pPr>
              <w:pStyle w:val="0"/>
            </w:pPr>
            <w:r>
              <w:rPr>
                <w:sz w:val="20"/>
              </w:rPr>
              <w:t xml:space="preserve">Оснащены (переоснащены и (или) дооснащены) медицинскими изделиями в полном объеме в соответствии с порядками организации медицинской реабилитации взрослым и детям отделения медицинской реабилитации в медицинских организациях (БУ "Урайская окружная больница медицинской реабилитации",</w:t>
            </w:r>
          </w:p>
          <w:p>
            <w:pPr>
              <w:pStyle w:val="0"/>
            </w:pPr>
            <w:r>
              <w:rPr>
                <w:sz w:val="20"/>
              </w:rPr>
              <w:t xml:space="preserve">БУ "Окружной кардиологический диспансер "Центр диагностики и сердечно-сосудистой хирургии",</w:t>
            </w:r>
          </w:p>
          <w:p>
            <w:pPr>
              <w:pStyle w:val="0"/>
            </w:pPr>
            <w:r>
              <w:rPr>
                <w:sz w:val="20"/>
              </w:rPr>
              <w:t xml:space="preserve">БУ "Сургутская клиническая травматологическая больница",</w:t>
            </w:r>
          </w:p>
          <w:p>
            <w:pPr>
              <w:pStyle w:val="0"/>
            </w:pPr>
            <w:r>
              <w:rPr>
                <w:sz w:val="20"/>
              </w:rPr>
              <w:t xml:space="preserve">БУ "Сургутская окружная клиническая больница",</w:t>
            </w:r>
          </w:p>
          <w:p>
            <w:pPr>
              <w:pStyle w:val="0"/>
            </w:pPr>
            <w:r>
              <w:rPr>
                <w:sz w:val="20"/>
              </w:rPr>
              <w:t xml:space="preserve">БУ "Окружная клиническая больница",</w:t>
            </w:r>
          </w:p>
          <w:p>
            <w:pPr>
              <w:pStyle w:val="0"/>
            </w:pPr>
            <w:r>
              <w:rPr>
                <w:sz w:val="20"/>
              </w:rPr>
              <w:t xml:space="preserve">БУ "Нижневартовская окружная клиническая детская больница",</w:t>
            </w:r>
          </w:p>
          <w:p>
            <w:pPr>
              <w:pStyle w:val="0"/>
            </w:pPr>
            <w:r>
              <w:rPr>
                <w:sz w:val="20"/>
              </w:rPr>
              <w:t xml:space="preserve">БУ "Няганская окружная больница",</w:t>
            </w:r>
          </w:p>
          <w:p>
            <w:pPr>
              <w:pStyle w:val="0"/>
            </w:pPr>
            <w:r>
              <w:rPr>
                <w:sz w:val="20"/>
              </w:rPr>
              <w:t xml:space="preserve">БУ "Сургутский окружной клинический центр охраны материнства и детства",</w:t>
            </w:r>
          </w:p>
          <w:p>
            <w:pPr>
              <w:pStyle w:val="0"/>
            </w:pPr>
            <w:r>
              <w:rPr>
                <w:sz w:val="20"/>
              </w:rPr>
              <w:t xml:space="preserve">БУ "Нижневартовский окружной клинический перинатальный центр)</w:t>
            </w:r>
          </w:p>
        </w:tc>
        <w:tc>
          <w:tcPr>
            <w:tcW w:w="1894" w:type="dxa"/>
          </w:tcPr>
          <w:p>
            <w:pPr>
              <w:pStyle w:val="0"/>
            </w:pPr>
            <w:r>
              <w:rPr>
                <w:sz w:val="20"/>
              </w:rPr>
              <w:t xml:space="preserve">Регулярное (ежегодное)</w:t>
            </w:r>
          </w:p>
        </w:tc>
      </w:tr>
      <w:tr>
        <w:tc>
          <w:tcPr>
            <w:vMerge w:val="continue"/>
          </w:tcPr>
          <w:p/>
        </w:tc>
        <w:tc>
          <w:tcPr>
            <w:tcW w:w="1459" w:type="dxa"/>
          </w:tcPr>
          <w:p>
            <w:pPr>
              <w:pStyle w:val="0"/>
            </w:pPr>
            <w:r>
              <w:rPr>
                <w:sz w:val="20"/>
              </w:rPr>
              <w:t xml:space="preserve">1.2.5</w:t>
            </w:r>
          </w:p>
        </w:tc>
        <w:tc>
          <w:tcPr>
            <w:tcW w:w="3409" w:type="dxa"/>
          </w:tcPr>
          <w:p>
            <w:pPr>
              <w:pStyle w:val="0"/>
            </w:pPr>
            <w:r>
              <w:rPr>
                <w:sz w:val="20"/>
              </w:rPr>
              <w:t xml:space="preserve">Внедрение в практику отделений медицинской реабилитации медицинских организаций положений клинических/методических рекомендаций</w:t>
            </w:r>
          </w:p>
        </w:tc>
        <w:tc>
          <w:tcPr>
            <w:tcW w:w="1204" w:type="dxa"/>
          </w:tcPr>
          <w:p>
            <w:pPr>
              <w:pStyle w:val="0"/>
            </w:pPr>
            <w:r>
              <w:rPr>
                <w:sz w:val="20"/>
              </w:rPr>
              <w:t xml:space="preserve">01.08.2023</w:t>
            </w:r>
          </w:p>
        </w:tc>
        <w:tc>
          <w:tcPr>
            <w:tcW w:w="1204" w:type="dxa"/>
          </w:tcPr>
          <w:p>
            <w:pPr>
              <w:pStyle w:val="0"/>
            </w:pPr>
            <w:r>
              <w:rPr>
                <w:sz w:val="20"/>
              </w:rPr>
              <w:t xml:space="preserve">31.12.2024</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Число медицинских организаций, внедривших клинические/методические рекомендации в практику, составило в:</w:t>
            </w:r>
          </w:p>
          <w:p>
            <w:pPr>
              <w:pStyle w:val="0"/>
            </w:pPr>
            <w:r>
              <w:rPr>
                <w:sz w:val="20"/>
              </w:rPr>
              <w:t xml:space="preserve">2023 году - 14 МО</w:t>
            </w:r>
          </w:p>
          <w:p>
            <w:pPr>
              <w:pStyle w:val="0"/>
            </w:pPr>
            <w:r>
              <w:rPr>
                <w:sz w:val="20"/>
              </w:rPr>
              <w:t xml:space="preserve">(БУ "Окружная клиническая больница",</w:t>
            </w:r>
          </w:p>
          <w:p>
            <w:pPr>
              <w:pStyle w:val="0"/>
            </w:pPr>
            <w:r>
              <w:rPr>
                <w:sz w:val="20"/>
              </w:rPr>
              <w:t xml:space="preserve">БУ "Окружной клинический лечебно-реабилитационный центр",</w:t>
            </w:r>
          </w:p>
          <w:p>
            <w:pPr>
              <w:pStyle w:val="0"/>
            </w:pPr>
            <w:r>
              <w:rPr>
                <w:sz w:val="20"/>
              </w:rPr>
              <w:t xml:space="preserve">БУ "Урайская окружная больница медицинской реабилитации", БУ "Сургутская клиническая травматологическая больница", БУ "Сургутская окружная клиническая больница", БУ "Окружной кардиологический диспансер "Центр диагностики и сердечно-сосудистой хирургии",</w:t>
            </w:r>
          </w:p>
          <w:p>
            <w:pPr>
              <w:pStyle w:val="0"/>
            </w:pPr>
            <w:r>
              <w:rPr>
                <w:sz w:val="20"/>
              </w:rPr>
              <w:t xml:space="preserve">БУ "Когалымская городская больница",</w:t>
            </w:r>
          </w:p>
          <w:p>
            <w:pPr>
              <w:pStyle w:val="0"/>
            </w:pPr>
            <w:r>
              <w:rPr>
                <w:sz w:val="20"/>
              </w:rPr>
              <w:t xml:space="preserve">БУ "Сургутская городская клиническая поликлиника N 1", БУ "Сургутская городская клиническая поликлиника N 2", БУ "Сургутская городская клиническая поликлиника N 3", БУ "Сургутская городская клиническая поликлиника N 4",</w:t>
            </w:r>
          </w:p>
          <w:p>
            <w:pPr>
              <w:pStyle w:val="0"/>
            </w:pPr>
            <w:r>
              <w:rPr>
                <w:sz w:val="20"/>
              </w:rPr>
              <w:t xml:space="preserve">БУ "Лангепасская городская больница",</w:t>
            </w:r>
          </w:p>
          <w:p>
            <w:pPr>
              <w:pStyle w:val="0"/>
            </w:pPr>
            <w:r>
              <w:rPr>
                <w:sz w:val="20"/>
              </w:rPr>
              <w:t xml:space="preserve">БУ "Нижневартовская окружная клиническая больница", БУ "Нижневартовская окружная клиническая детская больница");</w:t>
            </w:r>
          </w:p>
          <w:p>
            <w:pPr>
              <w:pStyle w:val="0"/>
            </w:pPr>
            <w:r>
              <w:rPr>
                <w:sz w:val="20"/>
              </w:rPr>
              <w:t xml:space="preserve">2024 году - 16 МО</w:t>
            </w:r>
          </w:p>
          <w:p>
            <w:pPr>
              <w:pStyle w:val="0"/>
            </w:pPr>
            <w:r>
              <w:rPr>
                <w:sz w:val="20"/>
              </w:rPr>
              <w:t xml:space="preserve">(БУ "Лянторская городская больница", БУ "Сургутская городская клиническая поликлиника N 5",</w:t>
            </w:r>
          </w:p>
          <w:p>
            <w:pPr>
              <w:pStyle w:val="0"/>
            </w:pPr>
            <w:r>
              <w:rPr>
                <w:sz w:val="20"/>
              </w:rPr>
              <w:t xml:space="preserve">БУ "Нижневартовская городская поликлиника",</w:t>
            </w:r>
          </w:p>
          <w:p>
            <w:pPr>
              <w:pStyle w:val="0"/>
            </w:pPr>
            <w:r>
              <w:rPr>
                <w:sz w:val="20"/>
              </w:rPr>
              <w:t xml:space="preserve">БУ "Нижневартовская городская детская поликлиника", БУ "Мегионская городская больница", БУ "Покачевская городская больница", БУ "Няганская окружная больница",</w:t>
            </w:r>
          </w:p>
          <w:p>
            <w:pPr>
              <w:pStyle w:val="0"/>
            </w:pPr>
            <w:r>
              <w:rPr>
                <w:sz w:val="20"/>
              </w:rPr>
              <w:t xml:space="preserve">БУ "Няганская городская поликлиника", БУ "Няганская городская детская поликлиника",</w:t>
            </w:r>
          </w:p>
          <w:p>
            <w:pPr>
              <w:pStyle w:val="0"/>
            </w:pPr>
            <w:r>
              <w:rPr>
                <w:sz w:val="20"/>
              </w:rPr>
              <w:t xml:space="preserve">БУ "Белоярская районная больница", БУ "Пыть-Яхская окружная клиническая больница",</w:t>
            </w:r>
          </w:p>
          <w:p>
            <w:pPr>
              <w:pStyle w:val="0"/>
            </w:pPr>
            <w:r>
              <w:rPr>
                <w:sz w:val="20"/>
              </w:rPr>
              <w:t xml:space="preserve">БУ "Урайская городская клиническая больница",</w:t>
            </w:r>
          </w:p>
          <w:p>
            <w:pPr>
              <w:pStyle w:val="0"/>
            </w:pPr>
            <w:r>
              <w:rPr>
                <w:sz w:val="20"/>
              </w:rPr>
              <w:t xml:space="preserve">БУ "Сургутский окружной клинический центр охраны материнства и детства",</w:t>
            </w:r>
          </w:p>
          <w:p>
            <w:pPr>
              <w:pStyle w:val="0"/>
            </w:pPr>
            <w:r>
              <w:rPr>
                <w:sz w:val="20"/>
              </w:rPr>
              <w:t xml:space="preserve">БУ "Нижневартовский окружной клинический перинатальный центр, БУ "Югорская городская больница",</w:t>
            </w:r>
          </w:p>
          <w:p>
            <w:pPr>
              <w:pStyle w:val="0"/>
            </w:pPr>
            <w:r>
              <w:rPr>
                <w:sz w:val="20"/>
              </w:rPr>
              <w:t xml:space="preserve">БУ "Нефтеюганская окружная клиническая больница им. В.И. Яцкив")</w:t>
            </w:r>
          </w:p>
        </w:tc>
        <w:tc>
          <w:tcPr>
            <w:tcW w:w="3049" w:type="dxa"/>
          </w:tcPr>
          <w:p>
            <w:pPr>
              <w:pStyle w:val="0"/>
            </w:pPr>
            <w:r>
              <w:rPr>
                <w:sz w:val="20"/>
              </w:rPr>
              <w:t xml:space="preserve">В 29 медицинских организациях автономного округа, осуществляющих медицинскую реабилитацию, внедрены в практику положения клинических/ методических рекомендаций</w:t>
            </w:r>
          </w:p>
        </w:tc>
        <w:tc>
          <w:tcPr>
            <w:tcW w:w="1894" w:type="dxa"/>
          </w:tcPr>
          <w:p>
            <w:pPr>
              <w:pStyle w:val="0"/>
            </w:pPr>
            <w:r>
              <w:rPr>
                <w:sz w:val="20"/>
              </w:rPr>
              <w:t xml:space="preserve">Регулярное (ежегодное)</w:t>
            </w:r>
          </w:p>
        </w:tc>
      </w:tr>
      <w:tr>
        <w:tc>
          <w:tcPr>
            <w:tcW w:w="2254" w:type="dxa"/>
            <w:vMerge w:val="restart"/>
          </w:tcPr>
          <w:p>
            <w:pPr>
              <w:pStyle w:val="0"/>
            </w:pPr>
            <w:r>
              <w:rPr>
                <w:sz w:val="20"/>
              </w:rPr>
              <w:t xml:space="preserve">1.3 Совершенствование и развитие организации медицинской реабилитации в амбулаторных условиях и условиях дневного стационара (третий этап)</w:t>
            </w:r>
          </w:p>
        </w:tc>
        <w:tc>
          <w:tcPr>
            <w:tcW w:w="1459" w:type="dxa"/>
          </w:tcPr>
          <w:p>
            <w:pPr>
              <w:pStyle w:val="0"/>
            </w:pPr>
            <w:r>
              <w:rPr>
                <w:sz w:val="20"/>
              </w:rPr>
              <w:t xml:space="preserve">1.3.1</w:t>
            </w:r>
          </w:p>
        </w:tc>
        <w:tc>
          <w:tcPr>
            <w:tcW w:w="3409" w:type="dxa"/>
          </w:tcPr>
          <w:p>
            <w:pPr>
              <w:pStyle w:val="0"/>
            </w:pPr>
            <w:r>
              <w:rPr>
                <w:sz w:val="20"/>
              </w:rPr>
              <w:t xml:space="preserve">Открытие и обеспечение деятельности амбулаторных отделений медицинской реабилитации в медицинских организациях автономного округа с учетом сложившейся потребности и объемов, предусмотренных Территориальной программой ОМС</w:t>
            </w:r>
          </w:p>
        </w:tc>
        <w:tc>
          <w:tcPr>
            <w:tcW w:w="1204" w:type="dxa"/>
          </w:tcPr>
          <w:p>
            <w:pPr>
              <w:pStyle w:val="0"/>
            </w:pPr>
            <w:r>
              <w:rPr>
                <w:sz w:val="20"/>
              </w:rPr>
              <w:t xml:space="preserve">01.08.2023</w:t>
            </w:r>
          </w:p>
        </w:tc>
        <w:tc>
          <w:tcPr>
            <w:tcW w:w="1204" w:type="dxa"/>
          </w:tcPr>
          <w:p>
            <w:pPr>
              <w:pStyle w:val="0"/>
            </w:pPr>
            <w:r>
              <w:rPr>
                <w:sz w:val="20"/>
              </w:rPr>
              <w:t xml:space="preserve">31.12.2023</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 руководитель</w:t>
            </w:r>
          </w:p>
          <w:p>
            <w:pPr>
              <w:pStyle w:val="0"/>
            </w:pPr>
            <w:r>
              <w:rPr>
                <w:sz w:val="20"/>
              </w:rPr>
              <w:t xml:space="preserve">БУ "Пыть-Яхская окружная клиническая больница" (по согласованию)</w:t>
            </w:r>
          </w:p>
        </w:tc>
        <w:tc>
          <w:tcPr>
            <w:tcW w:w="3049" w:type="dxa"/>
          </w:tcPr>
          <w:p>
            <w:pPr>
              <w:pStyle w:val="0"/>
            </w:pPr>
            <w:r>
              <w:rPr>
                <w:sz w:val="20"/>
              </w:rPr>
              <w:t xml:space="preserve">Открыто 1 амбулаторное отделение медицинской реабилитации взрослых в 2023 году в БУ "Пыть-Яхская окружная клиническая больница"</w:t>
            </w:r>
          </w:p>
        </w:tc>
        <w:tc>
          <w:tcPr>
            <w:tcW w:w="3049" w:type="dxa"/>
          </w:tcPr>
          <w:p>
            <w:pPr>
              <w:pStyle w:val="0"/>
            </w:pPr>
            <w:r>
              <w:rPr>
                <w:sz w:val="20"/>
              </w:rPr>
              <w:t xml:space="preserve">Открыто амбулаторное отделение медицинской реабилитации взрослых в БУ "Пыть-Яхская окружная клиническая больница" с учетом сложившейся потребности и объемов, предусмотренных Территориальной программой ОМС</w:t>
            </w:r>
          </w:p>
        </w:tc>
        <w:tc>
          <w:tcPr>
            <w:tcW w:w="1894" w:type="dxa"/>
          </w:tcPr>
          <w:p>
            <w:pPr>
              <w:pStyle w:val="0"/>
            </w:pPr>
            <w:r>
              <w:rPr>
                <w:sz w:val="20"/>
              </w:rPr>
              <w:t xml:space="preserve">Регулярное (ежегодное)</w:t>
            </w:r>
          </w:p>
        </w:tc>
      </w:tr>
      <w:tr>
        <w:tc>
          <w:tcPr>
            <w:vMerge w:val="continue"/>
          </w:tcPr>
          <w:p/>
        </w:tc>
        <w:tc>
          <w:tcPr>
            <w:tcW w:w="1459" w:type="dxa"/>
          </w:tcPr>
          <w:p>
            <w:pPr>
              <w:pStyle w:val="0"/>
            </w:pPr>
            <w:r>
              <w:rPr>
                <w:sz w:val="20"/>
              </w:rPr>
              <w:t xml:space="preserve">1.3.2</w:t>
            </w:r>
          </w:p>
        </w:tc>
        <w:tc>
          <w:tcPr>
            <w:tcW w:w="3409" w:type="dxa"/>
          </w:tcPr>
          <w:p>
            <w:pPr>
              <w:pStyle w:val="0"/>
            </w:pPr>
            <w:r>
              <w:rPr>
                <w:sz w:val="20"/>
              </w:rPr>
              <w:t xml:space="preserve">Открытие и обеспечение деятельности дневных стационаров медицинской реабилитации в медицинских организациях автономного округа с учетом сложившейся потребности и объемов, предусмотренных Территориальной программой ОМС</w:t>
            </w:r>
          </w:p>
        </w:tc>
        <w:tc>
          <w:tcPr>
            <w:tcW w:w="1204" w:type="dxa"/>
          </w:tcPr>
          <w:p>
            <w:pPr>
              <w:pStyle w:val="0"/>
            </w:pPr>
            <w:r>
              <w:rPr>
                <w:sz w:val="20"/>
              </w:rPr>
              <w:t xml:space="preserve">01.08.2023</w:t>
            </w:r>
          </w:p>
        </w:tc>
        <w:tc>
          <w:tcPr>
            <w:tcW w:w="1204" w:type="dxa"/>
          </w:tcPr>
          <w:p>
            <w:pPr>
              <w:pStyle w:val="0"/>
            </w:pPr>
            <w:r>
              <w:rPr>
                <w:sz w:val="20"/>
              </w:rPr>
              <w:t xml:space="preserve">31.12.2024</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руководитель БУ "Сургутская окружная клиническая больница" (по согласованию)</w:t>
            </w:r>
          </w:p>
        </w:tc>
        <w:tc>
          <w:tcPr>
            <w:tcW w:w="3049" w:type="dxa"/>
          </w:tcPr>
          <w:p>
            <w:pPr>
              <w:pStyle w:val="0"/>
            </w:pPr>
            <w:r>
              <w:rPr>
                <w:sz w:val="20"/>
              </w:rPr>
              <w:t xml:space="preserve">Открыты дневные стационары медицинской реабилитации:</w:t>
            </w:r>
          </w:p>
          <w:p>
            <w:pPr>
              <w:pStyle w:val="0"/>
            </w:pPr>
            <w:r>
              <w:rPr>
                <w:sz w:val="20"/>
              </w:rPr>
              <w:t xml:space="preserve">в 2024 году - 1 дневной стационар медицинской реабилитации для детей (сурдологического профиля) (БУ "Сургутская окружная клиническая больница")</w:t>
            </w:r>
          </w:p>
        </w:tc>
        <w:tc>
          <w:tcPr>
            <w:tcW w:w="3049" w:type="dxa"/>
          </w:tcPr>
          <w:p>
            <w:pPr>
              <w:pStyle w:val="0"/>
            </w:pPr>
            <w:r>
              <w:rPr>
                <w:sz w:val="20"/>
              </w:rPr>
              <w:t xml:space="preserve">Организовано число реабилитационных коек дневных стационаров, обеспечивающих потребность в медицинской помощи по медицинской реабилитации всех категорий пациентов</w:t>
            </w:r>
          </w:p>
        </w:tc>
        <w:tc>
          <w:tcPr>
            <w:tcW w:w="1894" w:type="dxa"/>
          </w:tcPr>
          <w:p>
            <w:pPr>
              <w:pStyle w:val="0"/>
            </w:pPr>
            <w:r>
              <w:rPr>
                <w:sz w:val="20"/>
              </w:rPr>
              <w:t xml:space="preserve">Регулярное (ежегодное)</w:t>
            </w:r>
          </w:p>
        </w:tc>
      </w:tr>
      <w:tr>
        <w:tc>
          <w:tcPr>
            <w:vMerge w:val="continue"/>
          </w:tcPr>
          <w:p/>
        </w:tc>
        <w:tc>
          <w:tcPr>
            <w:tcW w:w="1459" w:type="dxa"/>
          </w:tcPr>
          <w:p>
            <w:pPr>
              <w:pStyle w:val="0"/>
            </w:pPr>
            <w:r>
              <w:rPr>
                <w:sz w:val="20"/>
              </w:rPr>
              <w:t xml:space="preserve">1.3.3</w:t>
            </w:r>
          </w:p>
        </w:tc>
        <w:tc>
          <w:tcPr>
            <w:tcW w:w="3409" w:type="dxa"/>
          </w:tcPr>
          <w:p>
            <w:pPr>
              <w:pStyle w:val="0"/>
            </w:pPr>
            <w:r>
              <w:rPr>
                <w:sz w:val="20"/>
              </w:rPr>
              <w:t xml:space="preserve">Оснащение (переоснащение и (или) дооснащение) медицинскими изделиями амбулаторных отделений медицинской реабилитации взрослых и дневных стационаров медицинской реабилитации (взрослых и/или детей) в медицинских организациях в соответствии с порядками организации медицинской реабилитации взрослым и детям</w:t>
            </w:r>
          </w:p>
        </w:tc>
        <w:tc>
          <w:tcPr>
            <w:tcW w:w="1204" w:type="dxa"/>
          </w:tcPr>
          <w:p>
            <w:pPr>
              <w:pStyle w:val="0"/>
            </w:pPr>
            <w:r>
              <w:rPr>
                <w:sz w:val="20"/>
              </w:rPr>
              <w:t xml:space="preserve">01.08.2023</w:t>
            </w:r>
          </w:p>
        </w:tc>
        <w:tc>
          <w:tcPr>
            <w:tcW w:w="1204" w:type="dxa"/>
          </w:tcPr>
          <w:p>
            <w:pPr>
              <w:pStyle w:val="0"/>
            </w:pPr>
            <w:r>
              <w:rPr>
                <w:sz w:val="20"/>
              </w:rPr>
              <w:t xml:space="preserve">31.12.2026</w:t>
            </w:r>
          </w:p>
        </w:tc>
        <w:tc>
          <w:tcPr>
            <w:tcW w:w="3439" w:type="dxa"/>
          </w:tcPr>
          <w:p>
            <w:pPr>
              <w:pStyle w:val="0"/>
            </w:pPr>
            <w:r>
              <w:rPr>
                <w:sz w:val="20"/>
              </w:rPr>
              <w:t xml:space="preserve">Начальник управления развития системы здравоохранения Депздрава Югры; 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w:t>
            </w:r>
          </w:p>
          <w:p>
            <w:pPr>
              <w:pStyle w:val="0"/>
            </w:pPr>
            <w:r>
              <w:rPr>
                <w:sz w:val="20"/>
              </w:rPr>
              <w:t xml:space="preserve">(БУ "Урайская окружная больница медицинской реабилитации",</w:t>
            </w:r>
          </w:p>
          <w:p>
            <w:pPr>
              <w:pStyle w:val="0"/>
            </w:pPr>
            <w:r>
              <w:rPr>
                <w:sz w:val="20"/>
              </w:rPr>
              <w:t xml:space="preserve">БУ "Окружной кардиологический диспансер "Центр диагностики и сердечно-сосудистой хирургии",</w:t>
            </w:r>
          </w:p>
          <w:p>
            <w:pPr>
              <w:pStyle w:val="0"/>
            </w:pPr>
            <w:r>
              <w:rPr>
                <w:sz w:val="20"/>
              </w:rPr>
              <w:t xml:space="preserve">БУ "Сургутская клиническая травматологическая больница",</w:t>
            </w:r>
          </w:p>
          <w:p>
            <w:pPr>
              <w:pStyle w:val="0"/>
            </w:pPr>
            <w:r>
              <w:rPr>
                <w:sz w:val="20"/>
              </w:rPr>
              <w:t xml:space="preserve">БУ "Нижневартовская окружная клиническая детская больница",</w:t>
            </w:r>
          </w:p>
          <w:p>
            <w:pPr>
              <w:pStyle w:val="0"/>
            </w:pPr>
            <w:r>
              <w:rPr>
                <w:sz w:val="20"/>
              </w:rPr>
              <w:t xml:space="preserve">БУ "Урайская городская клиническая больница",</w:t>
            </w:r>
          </w:p>
          <w:p>
            <w:pPr>
              <w:pStyle w:val="0"/>
            </w:pPr>
            <w:r>
              <w:rPr>
                <w:sz w:val="20"/>
              </w:rPr>
              <w:t xml:space="preserve">БУ "Когалымская городская больница",</w:t>
            </w:r>
          </w:p>
          <w:p>
            <w:pPr>
              <w:pStyle w:val="0"/>
            </w:pPr>
            <w:r>
              <w:rPr>
                <w:sz w:val="20"/>
              </w:rPr>
              <w:t xml:space="preserve">БУ "Сургутская городская клиническая поликлиника N 1",</w:t>
            </w:r>
          </w:p>
          <w:p>
            <w:pPr>
              <w:pStyle w:val="0"/>
            </w:pPr>
            <w:r>
              <w:rPr>
                <w:sz w:val="20"/>
              </w:rPr>
              <w:t xml:space="preserve">БУ "Няганская городская поликлиника",</w:t>
            </w:r>
          </w:p>
          <w:p>
            <w:pPr>
              <w:pStyle w:val="0"/>
            </w:pPr>
            <w:r>
              <w:rPr>
                <w:sz w:val="20"/>
              </w:rPr>
              <w:t xml:space="preserve">БУ "Нижневартовская городская поликлиника",</w:t>
            </w:r>
          </w:p>
          <w:p>
            <w:pPr>
              <w:pStyle w:val="0"/>
            </w:pPr>
            <w:r>
              <w:rPr>
                <w:sz w:val="20"/>
              </w:rPr>
              <w:t xml:space="preserve">БУ "Сургутская городская клиническая поликлиника N 2",</w:t>
            </w:r>
          </w:p>
          <w:p>
            <w:pPr>
              <w:pStyle w:val="0"/>
            </w:pPr>
            <w:r>
              <w:rPr>
                <w:sz w:val="20"/>
              </w:rPr>
              <w:t xml:space="preserve">БУ "Сургутская городская клиническая поликлиника N 3",</w:t>
            </w:r>
          </w:p>
          <w:p>
            <w:pPr>
              <w:pStyle w:val="0"/>
            </w:pPr>
            <w:r>
              <w:rPr>
                <w:sz w:val="20"/>
              </w:rPr>
              <w:t xml:space="preserve">БУ "Мегионская городская больница",</w:t>
            </w:r>
          </w:p>
          <w:p>
            <w:pPr>
              <w:pStyle w:val="0"/>
            </w:pPr>
            <w:r>
              <w:rPr>
                <w:sz w:val="20"/>
              </w:rPr>
              <w:t xml:space="preserve">БУ "Пыть-Яхская окружная клиническая больница",</w:t>
            </w:r>
          </w:p>
          <w:p>
            <w:pPr>
              <w:pStyle w:val="0"/>
            </w:pPr>
            <w:r>
              <w:rPr>
                <w:sz w:val="20"/>
              </w:rPr>
              <w:t xml:space="preserve">БУ "Югорская городская больница") (по согласованию)</w:t>
            </w:r>
          </w:p>
        </w:tc>
        <w:tc>
          <w:tcPr>
            <w:tcW w:w="3049" w:type="dxa"/>
          </w:tcPr>
          <w:p>
            <w:pPr>
              <w:pStyle w:val="0"/>
            </w:pPr>
            <w:r>
              <w:rPr>
                <w:sz w:val="20"/>
              </w:rPr>
              <w:t xml:space="preserve">Оснащение амбулаторных отделений и дневных стационаров медицинской реабилитации реабилитационным оборудованием полностью приведено в соответствии с порядками организации медицинской реабилитации взрослым и детям в:</w:t>
            </w:r>
          </w:p>
          <w:p>
            <w:pPr>
              <w:pStyle w:val="0"/>
            </w:pPr>
            <w:r>
              <w:rPr>
                <w:sz w:val="20"/>
              </w:rPr>
              <w:t xml:space="preserve">в 2023 году - 2 МО</w:t>
            </w:r>
          </w:p>
          <w:p>
            <w:pPr>
              <w:pStyle w:val="0"/>
            </w:pPr>
            <w:r>
              <w:rPr>
                <w:sz w:val="20"/>
              </w:rPr>
              <w:t xml:space="preserve">(БУ "Урайская окружная больница медицинской реабилитации",</w:t>
            </w:r>
          </w:p>
          <w:p>
            <w:pPr>
              <w:pStyle w:val="0"/>
            </w:pPr>
            <w:r>
              <w:rPr>
                <w:sz w:val="20"/>
              </w:rPr>
              <w:t xml:space="preserve">БУ "Окружной кардиологический диспансер "Центр диагностики и сердечно-сосудистой хирургии");</w:t>
            </w:r>
          </w:p>
          <w:p>
            <w:pPr>
              <w:pStyle w:val="0"/>
            </w:pPr>
            <w:r>
              <w:rPr>
                <w:sz w:val="20"/>
              </w:rPr>
              <w:t xml:space="preserve">в 2024 году - 2 МО</w:t>
            </w:r>
          </w:p>
          <w:p>
            <w:pPr>
              <w:pStyle w:val="0"/>
            </w:pPr>
            <w:r>
              <w:rPr>
                <w:sz w:val="20"/>
              </w:rPr>
              <w:t xml:space="preserve">(БУ "Сургутская клиническая травматологическая больница",</w:t>
            </w:r>
          </w:p>
          <w:p>
            <w:pPr>
              <w:pStyle w:val="0"/>
            </w:pPr>
            <w:r>
              <w:rPr>
                <w:sz w:val="20"/>
              </w:rPr>
              <w:t xml:space="preserve">БУ "Нижневартовская окружная клиническая детская больница");</w:t>
            </w:r>
          </w:p>
          <w:p>
            <w:pPr>
              <w:pStyle w:val="0"/>
            </w:pPr>
            <w:r>
              <w:rPr>
                <w:sz w:val="20"/>
              </w:rPr>
              <w:t xml:space="preserve">в 2025 году - в 5 МО</w:t>
            </w:r>
          </w:p>
          <w:p>
            <w:pPr>
              <w:pStyle w:val="0"/>
            </w:pPr>
            <w:r>
              <w:rPr>
                <w:sz w:val="20"/>
              </w:rPr>
              <w:t xml:space="preserve">(БУ "Урайская городская клиническая больница",</w:t>
            </w:r>
          </w:p>
          <w:p>
            <w:pPr>
              <w:pStyle w:val="0"/>
            </w:pPr>
            <w:r>
              <w:rPr>
                <w:sz w:val="20"/>
              </w:rPr>
              <w:t xml:space="preserve">БУ "Когалымская городская больница",</w:t>
            </w:r>
          </w:p>
          <w:p>
            <w:pPr>
              <w:pStyle w:val="0"/>
            </w:pPr>
            <w:r>
              <w:rPr>
                <w:sz w:val="20"/>
              </w:rPr>
              <w:t xml:space="preserve">БУ "Сургутская городская клиническая поликлиника N 1",</w:t>
            </w:r>
          </w:p>
          <w:p>
            <w:pPr>
              <w:pStyle w:val="0"/>
            </w:pPr>
            <w:r>
              <w:rPr>
                <w:sz w:val="20"/>
              </w:rPr>
              <w:t xml:space="preserve">БУ "Няганская городская поликлиника",</w:t>
            </w:r>
          </w:p>
          <w:p>
            <w:pPr>
              <w:pStyle w:val="0"/>
            </w:pPr>
            <w:r>
              <w:rPr>
                <w:sz w:val="20"/>
              </w:rPr>
              <w:t xml:space="preserve">БУ "Нижневартовская городская поликлиника");</w:t>
            </w:r>
          </w:p>
          <w:p>
            <w:pPr>
              <w:pStyle w:val="0"/>
            </w:pPr>
            <w:r>
              <w:rPr>
                <w:sz w:val="20"/>
              </w:rPr>
              <w:t xml:space="preserve">в 2026 году - в 5 МО</w:t>
            </w:r>
          </w:p>
          <w:p>
            <w:pPr>
              <w:pStyle w:val="0"/>
            </w:pPr>
            <w:r>
              <w:rPr>
                <w:sz w:val="20"/>
              </w:rPr>
              <w:t xml:space="preserve">(БУ "Сургутская городская клиническая поликлиника N 2",</w:t>
            </w:r>
          </w:p>
          <w:p>
            <w:pPr>
              <w:pStyle w:val="0"/>
            </w:pPr>
            <w:r>
              <w:rPr>
                <w:sz w:val="20"/>
              </w:rPr>
              <w:t xml:space="preserve">БУ "Сургутская городская клиническая поликлиника N 3", БУ "Мегионская городская больница", БУ "Пыть-Яхская окружная клиническая больница",</w:t>
            </w:r>
          </w:p>
          <w:p>
            <w:pPr>
              <w:pStyle w:val="0"/>
            </w:pPr>
            <w:r>
              <w:rPr>
                <w:sz w:val="20"/>
              </w:rPr>
              <w:t xml:space="preserve">БУ "Югорская городская больница")</w:t>
            </w:r>
          </w:p>
        </w:tc>
        <w:tc>
          <w:tcPr>
            <w:tcW w:w="3049" w:type="dxa"/>
          </w:tcPr>
          <w:p>
            <w:pPr>
              <w:pStyle w:val="0"/>
            </w:pPr>
            <w:r>
              <w:rPr>
                <w:sz w:val="20"/>
              </w:rPr>
              <w:t xml:space="preserve">Оснащены (переоснащены и (или) дооснащены) реабилитационным оборудованием амбулаторные отделения медицинской реабилитации взрослых и дневные стационары медицинской реабилитации (взрослые и дети) в медицинских организациях</w:t>
            </w:r>
          </w:p>
          <w:p>
            <w:pPr>
              <w:pStyle w:val="0"/>
            </w:pPr>
            <w:r>
              <w:rPr>
                <w:sz w:val="20"/>
              </w:rPr>
              <w:t xml:space="preserve">(БУ "Урайская окружная больница медицинской реабилитации",</w:t>
            </w:r>
          </w:p>
          <w:p>
            <w:pPr>
              <w:pStyle w:val="0"/>
            </w:pPr>
            <w:r>
              <w:rPr>
                <w:sz w:val="20"/>
              </w:rPr>
              <w:t xml:space="preserve">БУ "Окружной кардиологический диспансер "Центр диагностики и сердечно-сосудистой хирургии",</w:t>
            </w:r>
          </w:p>
          <w:p>
            <w:pPr>
              <w:pStyle w:val="0"/>
            </w:pPr>
            <w:r>
              <w:rPr>
                <w:sz w:val="20"/>
              </w:rPr>
              <w:t xml:space="preserve">БУ "Сургутская клиническая травматологическая больница",</w:t>
            </w:r>
          </w:p>
          <w:p>
            <w:pPr>
              <w:pStyle w:val="0"/>
            </w:pPr>
            <w:r>
              <w:rPr>
                <w:sz w:val="20"/>
              </w:rPr>
              <w:t xml:space="preserve">БУ "Нижневартовская окружная клиническая детская больница",</w:t>
            </w:r>
          </w:p>
          <w:p>
            <w:pPr>
              <w:pStyle w:val="0"/>
            </w:pPr>
            <w:r>
              <w:rPr>
                <w:sz w:val="20"/>
              </w:rPr>
              <w:t xml:space="preserve">БУ "Урайская городская клиническая больница",</w:t>
            </w:r>
          </w:p>
          <w:p>
            <w:pPr>
              <w:pStyle w:val="0"/>
            </w:pPr>
            <w:r>
              <w:rPr>
                <w:sz w:val="20"/>
              </w:rPr>
              <w:t xml:space="preserve">БУ "Когалымская городская больница",</w:t>
            </w:r>
          </w:p>
          <w:p>
            <w:pPr>
              <w:pStyle w:val="0"/>
            </w:pPr>
            <w:r>
              <w:rPr>
                <w:sz w:val="20"/>
              </w:rPr>
              <w:t xml:space="preserve">БУ "Сургутская городская клиническая поликлиника N 1",</w:t>
            </w:r>
          </w:p>
          <w:p>
            <w:pPr>
              <w:pStyle w:val="0"/>
            </w:pPr>
            <w:r>
              <w:rPr>
                <w:sz w:val="20"/>
              </w:rPr>
              <w:t xml:space="preserve">БУ "Няганская городская поликлиника",</w:t>
            </w:r>
          </w:p>
          <w:p>
            <w:pPr>
              <w:pStyle w:val="0"/>
            </w:pPr>
            <w:r>
              <w:rPr>
                <w:sz w:val="20"/>
              </w:rPr>
              <w:t xml:space="preserve">БУ "Нижневартовская городская поликлиника",</w:t>
            </w:r>
          </w:p>
          <w:p>
            <w:pPr>
              <w:pStyle w:val="0"/>
            </w:pPr>
            <w:r>
              <w:rPr>
                <w:sz w:val="20"/>
              </w:rPr>
              <w:t xml:space="preserve">БУ "Сургутская городская клиническая поликлиника N 2",</w:t>
            </w:r>
          </w:p>
          <w:p>
            <w:pPr>
              <w:pStyle w:val="0"/>
            </w:pPr>
            <w:r>
              <w:rPr>
                <w:sz w:val="20"/>
              </w:rPr>
              <w:t xml:space="preserve">БУ "Сургутская городская клиническая поликлиника N 3",</w:t>
            </w:r>
          </w:p>
          <w:p>
            <w:pPr>
              <w:pStyle w:val="0"/>
            </w:pPr>
            <w:r>
              <w:rPr>
                <w:sz w:val="20"/>
              </w:rPr>
              <w:t xml:space="preserve">БУ "Мегионская городская больница",</w:t>
            </w:r>
          </w:p>
          <w:p>
            <w:pPr>
              <w:pStyle w:val="0"/>
            </w:pPr>
            <w:r>
              <w:rPr>
                <w:sz w:val="20"/>
              </w:rPr>
              <w:t xml:space="preserve">БУ "Пыть-Яхская окружная клиническая больница",</w:t>
            </w:r>
          </w:p>
          <w:p>
            <w:pPr>
              <w:pStyle w:val="0"/>
            </w:pPr>
            <w:r>
              <w:rPr>
                <w:sz w:val="20"/>
              </w:rPr>
              <w:t xml:space="preserve">БУ "Югорская городская больница")</w:t>
            </w:r>
          </w:p>
          <w:p>
            <w:pPr>
              <w:pStyle w:val="0"/>
            </w:pPr>
            <w:r>
              <w:rPr>
                <w:sz w:val="20"/>
              </w:rPr>
              <w:t xml:space="preserve">в соответствии с Порядками организации медицинской реабилитации взрослым и детям</w:t>
            </w:r>
          </w:p>
        </w:tc>
        <w:tc>
          <w:tcPr>
            <w:tcW w:w="1894" w:type="dxa"/>
          </w:tcPr>
          <w:p>
            <w:pPr>
              <w:pStyle w:val="0"/>
            </w:pPr>
            <w:r>
              <w:rPr>
                <w:sz w:val="20"/>
              </w:rPr>
              <w:t xml:space="preserve">Регулярное</w:t>
            </w:r>
          </w:p>
          <w:p>
            <w:pPr>
              <w:pStyle w:val="0"/>
            </w:pPr>
            <w:r>
              <w:rPr>
                <w:sz w:val="20"/>
              </w:rPr>
              <w:t xml:space="preserve">(ежегодное)</w:t>
            </w:r>
          </w:p>
        </w:tc>
      </w:tr>
      <w:tr>
        <w:tc>
          <w:tcPr>
            <w:gridSpan w:val="9"/>
            <w:tcW w:w="20961" w:type="dxa"/>
          </w:tcPr>
          <w:p>
            <w:pPr>
              <w:pStyle w:val="0"/>
            </w:pPr>
            <w:r>
              <w:rPr>
                <w:sz w:val="20"/>
              </w:rPr>
              <w:t xml:space="preserve">2. Кадровое обеспечение реабилитационной службы</w:t>
            </w:r>
          </w:p>
        </w:tc>
      </w:tr>
      <w:tr>
        <w:tc>
          <w:tcPr>
            <w:tcW w:w="2254" w:type="dxa"/>
          </w:tcPr>
          <w:p>
            <w:pPr>
              <w:pStyle w:val="0"/>
            </w:pPr>
            <w:r>
              <w:rPr>
                <w:sz w:val="20"/>
              </w:rPr>
              <w:t xml:space="preserve">2.1. Повышение укомплектованности медицинских организаций кадрами специалистов, участвующих в медицинской реабилитации</w:t>
            </w:r>
          </w:p>
          <w:p>
            <w:pPr>
              <w:pStyle w:val="0"/>
            </w:pPr>
            <w:r>
              <w:rPr>
                <w:sz w:val="20"/>
              </w:rPr>
              <w:t xml:space="preserve">(не менее 70%)</w:t>
            </w:r>
          </w:p>
        </w:tc>
        <w:tc>
          <w:tcPr>
            <w:tcW w:w="1459" w:type="dxa"/>
          </w:tcPr>
          <w:p>
            <w:pPr>
              <w:pStyle w:val="0"/>
            </w:pPr>
            <w:r>
              <w:rPr>
                <w:sz w:val="20"/>
              </w:rPr>
              <w:t xml:space="preserve">2.1.1</w:t>
            </w:r>
          </w:p>
        </w:tc>
        <w:tc>
          <w:tcPr>
            <w:tcW w:w="3409" w:type="dxa"/>
          </w:tcPr>
          <w:p>
            <w:pPr>
              <w:pStyle w:val="0"/>
            </w:pPr>
            <w:r>
              <w:rPr>
                <w:sz w:val="20"/>
              </w:rPr>
              <w:t xml:space="preserve">Мониторинг кадрового состава и укомплектованности кадрами медицинских организаций, участвующих в оказании медицинской помощи по медицинской реабилитации в ходе реализации Территориальной программы ОМС</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Ежеквартальный отчет главного внештатного специалиста по медицинской реабилитации Депздрава Югры;</w:t>
            </w:r>
          </w:p>
          <w:p>
            <w:pPr>
              <w:pStyle w:val="0"/>
            </w:pPr>
            <w:r>
              <w:rPr>
                <w:sz w:val="20"/>
              </w:rPr>
              <w:t xml:space="preserve">ежеквартальный отчет главного внештатного детского специалиста по медицинской реабилитации Депздрава Югры</w:t>
            </w:r>
          </w:p>
        </w:tc>
        <w:tc>
          <w:tcPr>
            <w:tcW w:w="3049" w:type="dxa"/>
          </w:tcPr>
          <w:p>
            <w:pPr>
              <w:pStyle w:val="0"/>
            </w:pPr>
            <w:r>
              <w:rPr>
                <w:sz w:val="20"/>
              </w:rPr>
              <w:t xml:space="preserve">Ведение регионального сегмента Федерального регистра медицинских и фармацевтических работников.</w:t>
            </w:r>
          </w:p>
          <w:p>
            <w:pPr>
              <w:pStyle w:val="0"/>
            </w:pPr>
            <w:r>
              <w:rPr>
                <w:sz w:val="20"/>
              </w:rPr>
              <w:t xml:space="preserve">Создание электронной базы вакансий</w:t>
            </w:r>
          </w:p>
        </w:tc>
        <w:tc>
          <w:tcPr>
            <w:tcW w:w="1894" w:type="dxa"/>
          </w:tcPr>
          <w:p>
            <w:pPr>
              <w:pStyle w:val="0"/>
            </w:pPr>
            <w:r>
              <w:rPr>
                <w:sz w:val="20"/>
              </w:rPr>
              <w:t xml:space="preserve">Регулярное (ежеквартальное)</w:t>
            </w:r>
          </w:p>
        </w:tc>
      </w:tr>
      <w:tr>
        <w:tc>
          <w:tcPr>
            <w:tcW w:w="2254" w:type="dxa"/>
            <w:vMerge w:val="restart"/>
          </w:tcPr>
          <w:p>
            <w:pPr>
              <w:pStyle w:val="0"/>
            </w:pPr>
            <w:r>
              <w:rPr>
                <w:sz w:val="20"/>
              </w:rPr>
              <w:t xml:space="preserve">2.2. Профессиональная переподготовка и повышение квалификации специалистов, участвующих в оказании медицинской помощи по медицинской реабилитации</w:t>
            </w:r>
          </w:p>
        </w:tc>
        <w:tc>
          <w:tcPr>
            <w:tcW w:w="1459" w:type="dxa"/>
          </w:tcPr>
          <w:p>
            <w:pPr>
              <w:pStyle w:val="0"/>
            </w:pPr>
            <w:r>
              <w:rPr>
                <w:sz w:val="20"/>
              </w:rPr>
              <w:t xml:space="preserve">2.2.1</w:t>
            </w:r>
          </w:p>
        </w:tc>
        <w:tc>
          <w:tcPr>
            <w:tcW w:w="3409" w:type="dxa"/>
          </w:tcPr>
          <w:p>
            <w:pPr>
              <w:pStyle w:val="0"/>
            </w:pPr>
            <w:r>
              <w:rPr>
                <w:sz w:val="20"/>
              </w:rPr>
              <w:t xml:space="preserve">Профессиональная переподготовка врачей по специальности "Физическая и реабилитационная медицина"</w:t>
            </w:r>
          </w:p>
        </w:tc>
        <w:tc>
          <w:tcPr>
            <w:tcW w:w="1204" w:type="dxa"/>
          </w:tcPr>
          <w:p>
            <w:pPr>
              <w:pStyle w:val="0"/>
            </w:pPr>
            <w:r>
              <w:rPr>
                <w:sz w:val="20"/>
              </w:rPr>
              <w:t xml:space="preserve">01.08.2023</w:t>
            </w:r>
          </w:p>
        </w:tc>
        <w:tc>
          <w:tcPr>
            <w:tcW w:w="1204" w:type="dxa"/>
          </w:tcPr>
          <w:p>
            <w:pPr>
              <w:pStyle w:val="0"/>
            </w:pPr>
            <w:r>
              <w:rPr>
                <w:sz w:val="20"/>
              </w:rPr>
              <w:t xml:space="preserve">31.12.2024</w:t>
            </w:r>
          </w:p>
        </w:tc>
        <w:tc>
          <w:tcPr>
            <w:tcW w:w="3439" w:type="dxa"/>
          </w:tcPr>
          <w:p>
            <w:pPr>
              <w:pStyle w:val="0"/>
            </w:pPr>
            <w:r>
              <w:rPr>
                <w:sz w:val="20"/>
              </w:rPr>
              <w:t xml:space="preserve">Начальник административного управления Депздрава Югры; 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Врачи прошли первичную профессиональную переподготовку</w:t>
            </w:r>
          </w:p>
          <w:p>
            <w:pPr>
              <w:pStyle w:val="0"/>
            </w:pPr>
            <w:r>
              <w:rPr>
                <w:sz w:val="20"/>
              </w:rPr>
              <w:t xml:space="preserve">по специальности "Физическая и реабилитационная медицина" от числа запланированных в отчетном году:</w:t>
            </w:r>
          </w:p>
          <w:p>
            <w:pPr>
              <w:pStyle w:val="0"/>
            </w:pPr>
            <w:r>
              <w:rPr>
                <w:sz w:val="20"/>
              </w:rPr>
              <w:t xml:space="preserve">2023 году - не менее 65%;</w:t>
            </w:r>
          </w:p>
          <w:p>
            <w:pPr>
              <w:pStyle w:val="0"/>
            </w:pPr>
            <w:r>
              <w:rPr>
                <w:sz w:val="20"/>
              </w:rPr>
              <w:t xml:space="preserve">2024 году - не менее 70%</w:t>
            </w:r>
          </w:p>
        </w:tc>
        <w:tc>
          <w:tcPr>
            <w:tcW w:w="3049" w:type="dxa"/>
          </w:tcPr>
          <w:p>
            <w:pPr>
              <w:pStyle w:val="0"/>
            </w:pPr>
            <w:r>
              <w:rPr>
                <w:sz w:val="20"/>
              </w:rPr>
              <w:t xml:space="preserve">Определена потребность в профессиональной переподготовке врачей по специальности "Физическая и реабилитационная медицина" в медицинских организациях, участвующих в оказании медицинской помощи по медицинской реабилитации в ходе реализации Территориальной программы ОМС.</w:t>
            </w:r>
          </w:p>
          <w:p>
            <w:pPr>
              <w:pStyle w:val="0"/>
            </w:pPr>
            <w:r>
              <w:rPr>
                <w:sz w:val="20"/>
              </w:rPr>
              <w:t xml:space="preserve">Организовано направление врачей на первичную профессиональную переподготовку по специальности "Физическая и реабилитационная медицина" в соответствии с утвержденным планом-графиком</w:t>
            </w:r>
          </w:p>
        </w:tc>
        <w:tc>
          <w:tcPr>
            <w:tcW w:w="1894" w:type="dxa"/>
          </w:tcPr>
          <w:p>
            <w:pPr>
              <w:pStyle w:val="0"/>
            </w:pPr>
            <w:r>
              <w:rPr>
                <w:sz w:val="20"/>
              </w:rPr>
              <w:t xml:space="preserve">Регулярное (ежегодное)</w:t>
            </w:r>
          </w:p>
        </w:tc>
      </w:tr>
      <w:tr>
        <w:tc>
          <w:tcPr>
            <w:vMerge w:val="continue"/>
          </w:tcPr>
          <w:p/>
        </w:tc>
        <w:tc>
          <w:tcPr>
            <w:tcW w:w="1459" w:type="dxa"/>
          </w:tcPr>
          <w:p>
            <w:pPr>
              <w:pStyle w:val="0"/>
            </w:pPr>
            <w:r>
              <w:rPr>
                <w:sz w:val="20"/>
              </w:rPr>
              <w:t xml:space="preserve">2.2.2</w:t>
            </w:r>
          </w:p>
        </w:tc>
        <w:tc>
          <w:tcPr>
            <w:tcW w:w="3409" w:type="dxa"/>
          </w:tcPr>
          <w:p>
            <w:pPr>
              <w:pStyle w:val="0"/>
            </w:pPr>
            <w:r>
              <w:rPr>
                <w:sz w:val="20"/>
              </w:rPr>
              <w:t xml:space="preserve">Профессиональная переподготовка специалистов с высшим немедицинским образованием по специальности "Специалист по физической реабилитации", "Медицинский логопед", "Медицинский психолог", "Специалист по эргореабилитации"</w:t>
            </w:r>
          </w:p>
        </w:tc>
        <w:tc>
          <w:tcPr>
            <w:tcW w:w="1204" w:type="dxa"/>
          </w:tcPr>
          <w:p>
            <w:pPr>
              <w:pStyle w:val="0"/>
            </w:pPr>
            <w:r>
              <w:rPr>
                <w:sz w:val="20"/>
              </w:rPr>
              <w:t xml:space="preserve">01.08.2023</w:t>
            </w:r>
          </w:p>
        </w:tc>
        <w:tc>
          <w:tcPr>
            <w:tcW w:w="1204" w:type="dxa"/>
          </w:tcPr>
          <w:p>
            <w:pPr>
              <w:pStyle w:val="0"/>
            </w:pPr>
            <w:r>
              <w:rPr>
                <w:sz w:val="20"/>
              </w:rPr>
              <w:t xml:space="preserve">31.12.2025</w:t>
            </w:r>
          </w:p>
        </w:tc>
        <w:tc>
          <w:tcPr>
            <w:tcW w:w="3439" w:type="dxa"/>
          </w:tcPr>
          <w:p>
            <w:pPr>
              <w:pStyle w:val="0"/>
            </w:pPr>
            <w:r>
              <w:rPr>
                <w:sz w:val="20"/>
              </w:rPr>
              <w:t xml:space="preserve">Начальник административного управления Депздрава Югры; 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 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Специалисты с высшим немедицинским образованием прошли профессиональную переподготовку по специальности "Специалист по физической реабилитации", "Медицинский логопед", "Медицинский психолог", "Специалист по эргореабилитации" в:</w:t>
            </w:r>
          </w:p>
          <w:p>
            <w:pPr>
              <w:pStyle w:val="0"/>
            </w:pPr>
            <w:r>
              <w:rPr>
                <w:sz w:val="20"/>
              </w:rPr>
              <w:t xml:space="preserve">2023 году - не менее 30%;</w:t>
            </w:r>
          </w:p>
          <w:p>
            <w:pPr>
              <w:pStyle w:val="0"/>
            </w:pPr>
            <w:r>
              <w:rPr>
                <w:sz w:val="20"/>
              </w:rPr>
              <w:t xml:space="preserve">2024 году - не менее 45%</w:t>
            </w:r>
          </w:p>
          <w:p>
            <w:pPr>
              <w:pStyle w:val="0"/>
            </w:pPr>
            <w:r>
              <w:rPr>
                <w:sz w:val="20"/>
              </w:rPr>
              <w:t xml:space="preserve">2025 году - не менее 70%</w:t>
            </w:r>
          </w:p>
        </w:tc>
        <w:tc>
          <w:tcPr>
            <w:tcW w:w="3049" w:type="dxa"/>
          </w:tcPr>
          <w:p>
            <w:pPr>
              <w:pStyle w:val="0"/>
            </w:pPr>
            <w:r>
              <w:rPr>
                <w:sz w:val="20"/>
              </w:rPr>
              <w:t xml:space="preserve">Определена потребность в специалистах с высшим немедицинским образованием, входящих в состав МДРК. Организовано направление специалистов с высшим немедицинским образованием на профессиональную переподготовку по специальностям "Специалист по физической реабилитации", "Медицинский логопед", "Медицинский психолог", "Специалист по эргореабилитации"</w:t>
            </w:r>
          </w:p>
        </w:tc>
        <w:tc>
          <w:tcPr>
            <w:tcW w:w="1894" w:type="dxa"/>
          </w:tcPr>
          <w:p>
            <w:pPr>
              <w:pStyle w:val="0"/>
            </w:pPr>
            <w:r>
              <w:rPr>
                <w:sz w:val="20"/>
              </w:rPr>
              <w:t xml:space="preserve">Регулярное (ежегодное)</w:t>
            </w:r>
          </w:p>
        </w:tc>
      </w:tr>
      <w:tr>
        <w:tc>
          <w:tcPr>
            <w:vMerge w:val="continue"/>
          </w:tcPr>
          <w:p/>
        </w:tc>
        <w:tc>
          <w:tcPr>
            <w:tcW w:w="1459" w:type="dxa"/>
          </w:tcPr>
          <w:p>
            <w:pPr>
              <w:pStyle w:val="0"/>
            </w:pPr>
            <w:r>
              <w:rPr>
                <w:sz w:val="20"/>
              </w:rPr>
              <w:t xml:space="preserve">2.2.3</w:t>
            </w:r>
          </w:p>
        </w:tc>
        <w:tc>
          <w:tcPr>
            <w:tcW w:w="3409" w:type="dxa"/>
          </w:tcPr>
          <w:p>
            <w:pPr>
              <w:pStyle w:val="0"/>
            </w:pPr>
            <w:r>
              <w:rPr>
                <w:sz w:val="20"/>
              </w:rPr>
              <w:t xml:space="preserve">Профессиональная переподготовка специалистов со средним медицинским образованием по специальности "Реабилитационное сестринское дело"</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административного управления Депздрава Югры;</w:t>
            </w:r>
          </w:p>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Специалисты со средним медицинским образованием от числа запланированных прошли профессиональную переподготовку</w:t>
            </w:r>
          </w:p>
          <w:p>
            <w:pPr>
              <w:pStyle w:val="0"/>
            </w:pPr>
            <w:r>
              <w:rPr>
                <w:sz w:val="20"/>
              </w:rPr>
              <w:t xml:space="preserve">по специальности "Реабилитационное сестринское дело" в:</w:t>
            </w:r>
          </w:p>
          <w:p>
            <w:pPr>
              <w:pStyle w:val="0"/>
            </w:pPr>
            <w:r>
              <w:rPr>
                <w:sz w:val="20"/>
              </w:rPr>
              <w:t xml:space="preserve">2023 году - не менее 15%;</w:t>
            </w:r>
          </w:p>
          <w:p>
            <w:pPr>
              <w:pStyle w:val="0"/>
            </w:pPr>
            <w:r>
              <w:rPr>
                <w:sz w:val="20"/>
              </w:rPr>
              <w:t xml:space="preserve">2024 году - не менее 20%;</w:t>
            </w:r>
          </w:p>
          <w:p>
            <w:pPr>
              <w:pStyle w:val="0"/>
            </w:pPr>
            <w:r>
              <w:rPr>
                <w:sz w:val="20"/>
              </w:rPr>
              <w:t xml:space="preserve">2025 году - не менее 25%;</w:t>
            </w:r>
          </w:p>
          <w:p>
            <w:pPr>
              <w:pStyle w:val="0"/>
            </w:pPr>
            <w:r>
              <w:rPr>
                <w:sz w:val="20"/>
              </w:rPr>
              <w:t xml:space="preserve">2026 году - не менее 30%;</w:t>
            </w:r>
          </w:p>
          <w:p>
            <w:pPr>
              <w:pStyle w:val="0"/>
            </w:pPr>
            <w:r>
              <w:rPr>
                <w:sz w:val="20"/>
              </w:rPr>
              <w:t xml:space="preserve">2027 году - не менее 50%;</w:t>
            </w:r>
          </w:p>
          <w:p>
            <w:pPr>
              <w:pStyle w:val="0"/>
            </w:pPr>
            <w:r>
              <w:rPr>
                <w:sz w:val="20"/>
              </w:rPr>
              <w:t xml:space="preserve">2028 году - не менее 70%;</w:t>
            </w:r>
          </w:p>
          <w:p>
            <w:pPr>
              <w:pStyle w:val="0"/>
            </w:pPr>
            <w:r>
              <w:rPr>
                <w:sz w:val="20"/>
              </w:rPr>
              <w:t xml:space="preserve">2029 году - не менее 90%;</w:t>
            </w:r>
          </w:p>
          <w:p>
            <w:pPr>
              <w:pStyle w:val="0"/>
            </w:pPr>
            <w:r>
              <w:rPr>
                <w:sz w:val="20"/>
              </w:rPr>
              <w:t xml:space="preserve">2030 году - не менее 95%</w:t>
            </w:r>
          </w:p>
        </w:tc>
        <w:tc>
          <w:tcPr>
            <w:tcW w:w="3049" w:type="dxa"/>
          </w:tcPr>
          <w:p>
            <w:pPr>
              <w:pStyle w:val="0"/>
            </w:pPr>
            <w:r>
              <w:rPr>
                <w:sz w:val="20"/>
              </w:rPr>
              <w:t xml:space="preserve">Определена потребность в медицинских сестрах по реабилитации.</w:t>
            </w:r>
          </w:p>
          <w:p>
            <w:pPr>
              <w:pStyle w:val="0"/>
            </w:pPr>
            <w:r>
              <w:rPr>
                <w:sz w:val="20"/>
              </w:rPr>
              <w:t xml:space="preserve">Организована профессиональная переподготовка специалистов со средним медицинским образованием по специальности "Реабилитационное сестринское дело"</w:t>
            </w:r>
          </w:p>
        </w:tc>
        <w:tc>
          <w:tcPr>
            <w:tcW w:w="1894" w:type="dxa"/>
          </w:tcPr>
          <w:p>
            <w:pPr>
              <w:pStyle w:val="0"/>
            </w:pPr>
            <w:r>
              <w:rPr>
                <w:sz w:val="20"/>
              </w:rPr>
              <w:t xml:space="preserve">Регулярное (ежегодное)</w:t>
            </w:r>
          </w:p>
        </w:tc>
      </w:tr>
      <w:tr>
        <w:tc>
          <w:tcPr>
            <w:vMerge w:val="continue"/>
          </w:tcPr>
          <w:p/>
        </w:tc>
        <w:tc>
          <w:tcPr>
            <w:tcW w:w="1459" w:type="dxa"/>
          </w:tcPr>
          <w:p>
            <w:pPr>
              <w:pStyle w:val="0"/>
            </w:pPr>
            <w:r>
              <w:rPr>
                <w:sz w:val="20"/>
              </w:rPr>
              <w:t xml:space="preserve">2.2.4</w:t>
            </w:r>
          </w:p>
        </w:tc>
        <w:tc>
          <w:tcPr>
            <w:tcW w:w="3409" w:type="dxa"/>
          </w:tcPr>
          <w:p>
            <w:pPr>
              <w:pStyle w:val="0"/>
            </w:pPr>
            <w:r>
              <w:rPr>
                <w:sz w:val="20"/>
              </w:rPr>
              <w:t xml:space="preserve">Повышение уровня профессиональной грамотности и квалификации специалистов, участвующих в оказании медицинской помощи по медицинской реабилитации в ходе реализации Территориальной программы ОМС</w:t>
            </w:r>
          </w:p>
        </w:tc>
        <w:tc>
          <w:tcPr>
            <w:tcW w:w="1204" w:type="dxa"/>
          </w:tcPr>
          <w:p>
            <w:pPr>
              <w:pStyle w:val="0"/>
            </w:pPr>
            <w:r>
              <w:rPr>
                <w:sz w:val="20"/>
              </w:rPr>
              <w:t xml:space="preserve">01.08.2023</w:t>
            </w:r>
          </w:p>
        </w:tc>
        <w:tc>
          <w:tcPr>
            <w:tcW w:w="1204" w:type="dxa"/>
          </w:tcPr>
          <w:p>
            <w:pPr>
              <w:pStyle w:val="0"/>
            </w:pPr>
            <w:r>
              <w:rPr>
                <w:sz w:val="20"/>
              </w:rPr>
              <w:t xml:space="preserve">31.12.2024</w:t>
            </w:r>
          </w:p>
        </w:tc>
        <w:tc>
          <w:tcPr>
            <w:tcW w:w="3439" w:type="dxa"/>
          </w:tcPr>
          <w:p>
            <w:pPr>
              <w:pStyle w:val="0"/>
            </w:pPr>
            <w:r>
              <w:rPr>
                <w:sz w:val="20"/>
              </w:rPr>
              <w:t xml:space="preserve">Начальник административного управления Депздрава Югры; 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Доля специалистов с высшим медицинским и немедицинским образованием, средним медицинским образованием, подготовленных на тематических курсах повышения квалификации по медицинской реабилитации составила в:</w:t>
            </w:r>
          </w:p>
          <w:p>
            <w:pPr>
              <w:pStyle w:val="0"/>
            </w:pPr>
            <w:r>
              <w:rPr>
                <w:sz w:val="20"/>
              </w:rPr>
              <w:t xml:space="preserve">2023 году - не менее 75%;</w:t>
            </w:r>
          </w:p>
          <w:p>
            <w:pPr>
              <w:pStyle w:val="0"/>
            </w:pPr>
            <w:r>
              <w:rPr>
                <w:sz w:val="20"/>
              </w:rPr>
              <w:t xml:space="preserve">2024 году - не менее 95%</w:t>
            </w:r>
          </w:p>
        </w:tc>
        <w:tc>
          <w:tcPr>
            <w:tcW w:w="3049" w:type="dxa"/>
          </w:tcPr>
          <w:p>
            <w:pPr>
              <w:pStyle w:val="0"/>
            </w:pPr>
            <w:r>
              <w:rPr>
                <w:sz w:val="20"/>
              </w:rPr>
              <w:t xml:space="preserve">Повышен уровень профессиональной грамотности и квалификации специалистов, участвующих в оказании медицинской помощи по медицинской реабилитации в ходе реализации Территориальной программы ОМС</w:t>
            </w:r>
          </w:p>
        </w:tc>
        <w:tc>
          <w:tcPr>
            <w:tcW w:w="1894" w:type="dxa"/>
          </w:tcPr>
          <w:p>
            <w:pPr>
              <w:pStyle w:val="0"/>
            </w:pPr>
            <w:r>
              <w:rPr>
                <w:sz w:val="20"/>
              </w:rPr>
              <w:t xml:space="preserve">Регулярное (ежегодное)</w:t>
            </w:r>
          </w:p>
        </w:tc>
      </w:tr>
      <w:tr>
        <w:tc>
          <w:tcPr>
            <w:gridSpan w:val="9"/>
            <w:tcW w:w="20961" w:type="dxa"/>
          </w:tcPr>
          <w:p>
            <w:pPr>
              <w:pStyle w:val="0"/>
            </w:pPr>
            <w:r>
              <w:rPr>
                <w:sz w:val="20"/>
              </w:rPr>
              <w:t xml:space="preserve">3. Организационно-методическое сопровождение организации медицинской реабилитации в автономном округе</w:t>
            </w:r>
          </w:p>
        </w:tc>
      </w:tr>
      <w:tr>
        <w:tc>
          <w:tcPr>
            <w:tcW w:w="2254" w:type="dxa"/>
            <w:vMerge w:val="restart"/>
          </w:tcPr>
          <w:p>
            <w:pPr>
              <w:pStyle w:val="0"/>
            </w:pPr>
            <w:r>
              <w:rPr>
                <w:sz w:val="20"/>
              </w:rPr>
              <w:t xml:space="preserve">3.1 Формирование инфраструктуры системы оказания медицинской помощи по медицинской реабилитации с использованием телемедицинских технологий</w:t>
            </w:r>
          </w:p>
        </w:tc>
        <w:tc>
          <w:tcPr>
            <w:tcW w:w="1459" w:type="dxa"/>
          </w:tcPr>
          <w:p>
            <w:pPr>
              <w:pStyle w:val="0"/>
            </w:pPr>
            <w:r>
              <w:rPr>
                <w:sz w:val="20"/>
              </w:rPr>
              <w:t xml:space="preserve">3.1.1</w:t>
            </w:r>
          </w:p>
        </w:tc>
        <w:tc>
          <w:tcPr>
            <w:tcW w:w="3409" w:type="dxa"/>
          </w:tcPr>
          <w:p>
            <w:pPr>
              <w:pStyle w:val="0"/>
            </w:pPr>
            <w:r>
              <w:rPr>
                <w:sz w:val="20"/>
              </w:rPr>
              <w:t xml:space="preserve">Открытие кабинетов телемедицины в медицинских организациях, оказывающих медицинскую помощь по медицинской реабилитации в амбулаторных условиях по принципу "врач-пациент" в ходе реализации Территориальной программы ОМС</w:t>
            </w:r>
          </w:p>
        </w:tc>
        <w:tc>
          <w:tcPr>
            <w:tcW w:w="1204" w:type="dxa"/>
          </w:tcPr>
          <w:p>
            <w:pPr>
              <w:pStyle w:val="0"/>
            </w:pPr>
            <w:r>
              <w:rPr>
                <w:sz w:val="20"/>
              </w:rPr>
              <w:t xml:space="preserve">01.08.2023</w:t>
            </w:r>
          </w:p>
        </w:tc>
        <w:tc>
          <w:tcPr>
            <w:tcW w:w="1204" w:type="dxa"/>
          </w:tcPr>
          <w:p>
            <w:pPr>
              <w:pStyle w:val="0"/>
            </w:pPr>
            <w:r>
              <w:rPr>
                <w:sz w:val="20"/>
              </w:rPr>
              <w:t xml:space="preserve">31.12.2024</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(БУ "Окружной клинический лечебно-реабилитационный центр",</w:t>
            </w:r>
          </w:p>
          <w:p>
            <w:pPr>
              <w:pStyle w:val="0"/>
            </w:pPr>
            <w:r>
              <w:rPr>
                <w:sz w:val="20"/>
              </w:rPr>
              <w:t xml:space="preserve">БУ "Сургутская клиническая травматологическая больница") (по согласованию)</w:t>
            </w:r>
          </w:p>
        </w:tc>
        <w:tc>
          <w:tcPr>
            <w:tcW w:w="3049" w:type="dxa"/>
          </w:tcPr>
          <w:p>
            <w:pPr>
              <w:pStyle w:val="0"/>
            </w:pPr>
            <w:r>
              <w:rPr>
                <w:sz w:val="20"/>
              </w:rPr>
              <w:t xml:space="preserve">Открыты кабинеты телемедицины в:</w:t>
            </w:r>
          </w:p>
          <w:p>
            <w:pPr>
              <w:pStyle w:val="0"/>
            </w:pPr>
            <w:r>
              <w:rPr>
                <w:sz w:val="20"/>
              </w:rPr>
              <w:t xml:space="preserve">2023 году - 1 кабинет</w:t>
            </w:r>
          </w:p>
          <w:p>
            <w:pPr>
              <w:pStyle w:val="0"/>
            </w:pPr>
            <w:r>
              <w:rPr>
                <w:sz w:val="20"/>
              </w:rPr>
              <w:t xml:space="preserve">(БУ "Окружной клинический лечебно-реабилитационный центр");</w:t>
            </w:r>
          </w:p>
          <w:p>
            <w:pPr>
              <w:pStyle w:val="0"/>
            </w:pPr>
            <w:r>
              <w:rPr>
                <w:sz w:val="20"/>
              </w:rPr>
              <w:t xml:space="preserve">2024 году - 1 кабинет</w:t>
            </w:r>
          </w:p>
          <w:p>
            <w:pPr>
              <w:pStyle w:val="0"/>
            </w:pPr>
            <w:r>
              <w:rPr>
                <w:sz w:val="20"/>
              </w:rPr>
              <w:t xml:space="preserve">(БУ "Сургутская клиническая травматологическая больница")</w:t>
            </w:r>
          </w:p>
        </w:tc>
        <w:tc>
          <w:tcPr>
            <w:tcW w:w="3049" w:type="dxa"/>
          </w:tcPr>
          <w:p>
            <w:pPr>
              <w:pStyle w:val="0"/>
            </w:pPr>
            <w:r>
              <w:rPr>
                <w:sz w:val="20"/>
              </w:rPr>
              <w:t xml:space="preserve">Открыты кабинеты телемедицины в медицинских организациях, оказывающих медицинскую помощь по медицинской реабилитации в ходе реализации Территориальной программы ОМС</w:t>
            </w:r>
          </w:p>
        </w:tc>
        <w:tc>
          <w:tcPr>
            <w:tcW w:w="1894" w:type="dxa"/>
          </w:tcPr>
          <w:p>
            <w:pPr>
              <w:pStyle w:val="0"/>
            </w:pPr>
            <w:r>
              <w:rPr>
                <w:sz w:val="20"/>
              </w:rPr>
              <w:t xml:space="preserve">Регулярное (ежегодное)</w:t>
            </w:r>
          </w:p>
        </w:tc>
      </w:tr>
      <w:tr>
        <w:tc>
          <w:tcPr>
            <w:vMerge w:val="continue"/>
          </w:tcPr>
          <w:p/>
        </w:tc>
        <w:tc>
          <w:tcPr>
            <w:tcW w:w="1459" w:type="dxa"/>
          </w:tcPr>
          <w:p>
            <w:pPr>
              <w:pStyle w:val="0"/>
            </w:pPr>
            <w:r>
              <w:rPr>
                <w:sz w:val="20"/>
              </w:rPr>
              <w:t xml:space="preserve">3.1.2</w:t>
            </w:r>
          </w:p>
        </w:tc>
        <w:tc>
          <w:tcPr>
            <w:tcW w:w="3409" w:type="dxa"/>
          </w:tcPr>
          <w:p>
            <w:pPr>
              <w:pStyle w:val="0"/>
            </w:pPr>
            <w:r>
              <w:rPr>
                <w:sz w:val="20"/>
              </w:rPr>
              <w:t xml:space="preserve">Организация и проведение телемедицинских консультаций (далее - ТМК) по профилю "медицинская реабилитация" по принципу "врач-врач" между медицинскими организациями автономного округа и медицинской организацией 3-4 группы</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 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Проведены ТМК по принципу "врач-врач" между медицинскими организациями автономного округа и медицинской организацией 3-4 группы ежегодно в количестве 50 ТМК</w:t>
            </w:r>
          </w:p>
        </w:tc>
        <w:tc>
          <w:tcPr>
            <w:tcW w:w="3049" w:type="dxa"/>
          </w:tcPr>
          <w:p>
            <w:pPr>
              <w:pStyle w:val="0"/>
            </w:pPr>
            <w:r>
              <w:rPr>
                <w:sz w:val="20"/>
              </w:rPr>
              <w:t xml:space="preserve">Организованы и проводятся ТМК по принципу "врач-врач" между медицинскими организациями автономного округа и медицинской организацией 3-4 группы</w:t>
            </w:r>
          </w:p>
        </w:tc>
        <w:tc>
          <w:tcPr>
            <w:tcW w:w="1894" w:type="dxa"/>
          </w:tcPr>
          <w:p>
            <w:pPr>
              <w:pStyle w:val="0"/>
            </w:pPr>
            <w:r>
              <w:rPr>
                <w:sz w:val="20"/>
              </w:rPr>
              <w:t xml:space="preserve">Регулярное (ежегодное)</w:t>
            </w:r>
          </w:p>
        </w:tc>
      </w:tr>
      <w:tr>
        <w:tc>
          <w:tcPr>
            <w:tcW w:w="2254" w:type="dxa"/>
            <w:vMerge w:val="restart"/>
          </w:tcPr>
          <w:p>
            <w:pPr>
              <w:pStyle w:val="0"/>
            </w:pPr>
            <w:r>
              <w:rPr>
                <w:sz w:val="20"/>
              </w:rPr>
              <w:t xml:space="preserve">3.2. Обеспечение взаимодействия с научными медицинскими исследовательскими центрами</w:t>
            </w:r>
          </w:p>
        </w:tc>
        <w:tc>
          <w:tcPr>
            <w:tcW w:w="1459" w:type="dxa"/>
          </w:tcPr>
          <w:p>
            <w:pPr>
              <w:pStyle w:val="0"/>
            </w:pPr>
            <w:r>
              <w:rPr>
                <w:sz w:val="20"/>
              </w:rPr>
              <w:t xml:space="preserve">3.2.1</w:t>
            </w:r>
          </w:p>
        </w:tc>
        <w:tc>
          <w:tcPr>
            <w:tcW w:w="3409" w:type="dxa"/>
          </w:tcPr>
          <w:p>
            <w:pPr>
              <w:pStyle w:val="0"/>
            </w:pPr>
            <w:r>
              <w:rPr>
                <w:sz w:val="20"/>
              </w:rPr>
              <w:t xml:space="preserve">Увеличение дистанционных консультаций/ консилиумов по медицинской реабилитации с применением телемедицинских технологий с профильными Национальными медицинскими исследовательскими центрами (далее - НМИЦ)</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Число телемедицинских консультаций/консилиумов с национальным медицинским исследовательским центром по медицинской реабилитации (далее также - ТМК) составило в:</w:t>
            </w:r>
          </w:p>
          <w:p>
            <w:pPr>
              <w:pStyle w:val="0"/>
            </w:pPr>
            <w:r>
              <w:rPr>
                <w:sz w:val="20"/>
              </w:rPr>
              <w:t xml:space="preserve">2023 году - не менее 15</w:t>
            </w:r>
          </w:p>
          <w:p>
            <w:pPr>
              <w:pStyle w:val="0"/>
            </w:pPr>
            <w:r>
              <w:rPr>
                <w:sz w:val="20"/>
              </w:rPr>
              <w:t xml:space="preserve">ТМК;</w:t>
            </w:r>
          </w:p>
          <w:p>
            <w:pPr>
              <w:pStyle w:val="0"/>
            </w:pPr>
            <w:r>
              <w:rPr>
                <w:sz w:val="20"/>
              </w:rPr>
              <w:t xml:space="preserve">2024 году - не менее 25</w:t>
            </w:r>
          </w:p>
          <w:p>
            <w:pPr>
              <w:pStyle w:val="0"/>
            </w:pPr>
            <w:r>
              <w:rPr>
                <w:sz w:val="20"/>
              </w:rPr>
              <w:t xml:space="preserve">ТМК;</w:t>
            </w:r>
          </w:p>
          <w:p>
            <w:pPr>
              <w:pStyle w:val="0"/>
            </w:pPr>
            <w:r>
              <w:rPr>
                <w:sz w:val="20"/>
              </w:rPr>
              <w:t xml:space="preserve">2025 году - не менее 25</w:t>
            </w:r>
          </w:p>
          <w:p>
            <w:pPr>
              <w:pStyle w:val="0"/>
            </w:pPr>
            <w:r>
              <w:rPr>
                <w:sz w:val="20"/>
              </w:rPr>
              <w:t xml:space="preserve">ТМК;</w:t>
            </w:r>
          </w:p>
          <w:p>
            <w:pPr>
              <w:pStyle w:val="0"/>
            </w:pPr>
            <w:r>
              <w:rPr>
                <w:sz w:val="20"/>
              </w:rPr>
              <w:t xml:space="preserve">2026 году - не менее 25 ТМК;</w:t>
            </w:r>
          </w:p>
          <w:p>
            <w:pPr>
              <w:pStyle w:val="0"/>
            </w:pPr>
            <w:r>
              <w:rPr>
                <w:sz w:val="20"/>
              </w:rPr>
              <w:t xml:space="preserve">2027 году - не менее 25 ТМК;</w:t>
            </w:r>
          </w:p>
          <w:p>
            <w:pPr>
              <w:pStyle w:val="0"/>
            </w:pPr>
            <w:r>
              <w:rPr>
                <w:sz w:val="20"/>
              </w:rPr>
              <w:t xml:space="preserve">2028 году - не менее 25 ТМК;</w:t>
            </w:r>
          </w:p>
          <w:p>
            <w:pPr>
              <w:pStyle w:val="0"/>
            </w:pPr>
            <w:r>
              <w:rPr>
                <w:sz w:val="20"/>
              </w:rPr>
              <w:t xml:space="preserve">2029 году - не менее 25 ТМК;</w:t>
            </w:r>
          </w:p>
          <w:p>
            <w:pPr>
              <w:pStyle w:val="0"/>
            </w:pPr>
            <w:r>
              <w:rPr>
                <w:sz w:val="20"/>
              </w:rPr>
              <w:t xml:space="preserve">2030 году - не менее 25 ТМК</w:t>
            </w:r>
          </w:p>
        </w:tc>
        <w:tc>
          <w:tcPr>
            <w:tcW w:w="3049" w:type="dxa"/>
          </w:tcPr>
          <w:p>
            <w:pPr>
              <w:pStyle w:val="0"/>
            </w:pPr>
            <w:r>
              <w:rPr>
                <w:sz w:val="20"/>
              </w:rPr>
              <w:t xml:space="preserve">Осуществление "якорной" медицинской организацией по медицинской реабилитации</w:t>
            </w:r>
          </w:p>
          <w:p>
            <w:pPr>
              <w:pStyle w:val="0"/>
            </w:pPr>
            <w:r>
              <w:rPr>
                <w:sz w:val="20"/>
              </w:rPr>
              <w:t xml:space="preserve">и медицинскими организациями 3-й группы, осуществляющими медицинскую реабилитацию, телемедицинских консультаций/</w:t>
            </w:r>
          </w:p>
          <w:p>
            <w:pPr>
              <w:pStyle w:val="0"/>
            </w:pPr>
            <w:r>
              <w:rPr>
                <w:sz w:val="20"/>
              </w:rPr>
              <w:t xml:space="preserve">консилиумов с национальным медицинским исследовательским центром по медицинской реабилитации</w:t>
            </w:r>
          </w:p>
        </w:tc>
        <w:tc>
          <w:tcPr>
            <w:tcW w:w="1894" w:type="dxa"/>
          </w:tcPr>
          <w:p>
            <w:pPr>
              <w:pStyle w:val="0"/>
            </w:pPr>
            <w:r>
              <w:rPr>
                <w:sz w:val="20"/>
              </w:rPr>
              <w:t xml:space="preserve">Регулярное</w:t>
            </w:r>
          </w:p>
          <w:p>
            <w:pPr>
              <w:pStyle w:val="0"/>
            </w:pPr>
            <w:r>
              <w:rPr>
                <w:sz w:val="20"/>
              </w:rPr>
              <w:t xml:space="preserve">(ежегодное)</w:t>
            </w:r>
          </w:p>
        </w:tc>
      </w:tr>
      <w:tr>
        <w:tc>
          <w:tcPr>
            <w:vMerge w:val="continue"/>
          </w:tcPr>
          <w:p/>
        </w:tc>
        <w:tc>
          <w:tcPr>
            <w:tcW w:w="1459" w:type="dxa"/>
          </w:tcPr>
          <w:p>
            <w:pPr>
              <w:pStyle w:val="0"/>
            </w:pPr>
            <w:r>
              <w:rPr>
                <w:sz w:val="20"/>
              </w:rPr>
              <w:t xml:space="preserve">3.2.2</w:t>
            </w:r>
          </w:p>
        </w:tc>
        <w:tc>
          <w:tcPr>
            <w:tcW w:w="3409" w:type="dxa"/>
          </w:tcPr>
          <w:p>
            <w:pPr>
              <w:pStyle w:val="0"/>
            </w:pPr>
            <w:r>
              <w:rPr>
                <w:sz w:val="20"/>
              </w:rPr>
              <w:t xml:space="preserve">Увеличение доли специалистов, осуществляющих медицинскую реабилитацию, участвующих в научно-практических мероприятиях по медицинской реабилитации, проводимых профильными НМИЦ, Союзом Реабилитологов России и профессиональными профильными сообществами</w:t>
            </w:r>
          </w:p>
        </w:tc>
        <w:tc>
          <w:tcPr>
            <w:tcW w:w="1204" w:type="dxa"/>
          </w:tcPr>
          <w:p>
            <w:pPr>
              <w:pStyle w:val="0"/>
            </w:pPr>
            <w:r>
              <w:rPr>
                <w:sz w:val="20"/>
              </w:rPr>
              <w:t xml:space="preserve">01.08.2023</w:t>
            </w:r>
          </w:p>
        </w:tc>
        <w:tc>
          <w:tcPr>
            <w:tcW w:w="1204" w:type="dxa"/>
          </w:tcPr>
          <w:p>
            <w:pPr>
              <w:pStyle w:val="0"/>
            </w:pPr>
            <w:r>
              <w:rPr>
                <w:sz w:val="20"/>
              </w:rPr>
              <w:t xml:space="preserve">31.12.2024</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Доля специалистов, принимающих участие в проводимых профильными НМИЦ, Союзом Реабилитологов России и профильными сообществами научно-практических мероприятиях, из числа сотрудников, осуществляющих медицинскую реабилитацию, составила в:</w:t>
            </w:r>
          </w:p>
          <w:p>
            <w:pPr>
              <w:pStyle w:val="0"/>
            </w:pPr>
            <w:r>
              <w:rPr>
                <w:sz w:val="20"/>
              </w:rPr>
              <w:t xml:space="preserve">2023 году - не менее 35%;</w:t>
            </w:r>
          </w:p>
          <w:p>
            <w:pPr>
              <w:pStyle w:val="0"/>
            </w:pPr>
            <w:r>
              <w:rPr>
                <w:sz w:val="20"/>
              </w:rPr>
              <w:t xml:space="preserve">2024 году - не менее 65%</w:t>
            </w:r>
          </w:p>
        </w:tc>
        <w:tc>
          <w:tcPr>
            <w:tcW w:w="3049" w:type="dxa"/>
          </w:tcPr>
          <w:p>
            <w:pPr>
              <w:pStyle w:val="0"/>
            </w:pPr>
            <w:r>
              <w:rPr>
                <w:sz w:val="20"/>
              </w:rPr>
              <w:t xml:space="preserve">Специалисты, осуществляющие медицинскую реабилитацию, регулярно участвуют в научно-практических мероприятиях по медицинской реабилитации, проводимых профильными НМИЦ, Союзом Реабилитологов России и профессиональными профильными сообществами</w:t>
            </w:r>
          </w:p>
        </w:tc>
        <w:tc>
          <w:tcPr>
            <w:tcW w:w="1894" w:type="dxa"/>
          </w:tcPr>
          <w:p>
            <w:pPr>
              <w:pStyle w:val="0"/>
            </w:pPr>
            <w:r>
              <w:rPr>
                <w:sz w:val="20"/>
              </w:rPr>
              <w:t xml:space="preserve">Регулярное</w:t>
            </w:r>
          </w:p>
          <w:p>
            <w:pPr>
              <w:pStyle w:val="0"/>
            </w:pPr>
            <w:r>
              <w:rPr>
                <w:sz w:val="20"/>
              </w:rPr>
              <w:t xml:space="preserve">(ежегодное)</w:t>
            </w:r>
          </w:p>
        </w:tc>
      </w:tr>
      <w:tr>
        <w:tc>
          <w:tcPr>
            <w:gridSpan w:val="9"/>
            <w:tcW w:w="20961" w:type="dxa"/>
          </w:tcPr>
          <w:p>
            <w:pPr>
              <w:pStyle w:val="0"/>
            </w:pPr>
            <w:r>
              <w:rPr>
                <w:sz w:val="20"/>
              </w:rPr>
              <w:t xml:space="preserve">5. Мероприятия по совершенствованию организации внутреннего контроля качества медицинской помощи</w:t>
            </w:r>
          </w:p>
        </w:tc>
      </w:tr>
      <w:tr>
        <w:tc>
          <w:tcPr>
            <w:tcW w:w="2254" w:type="dxa"/>
            <w:vMerge w:val="restart"/>
          </w:tcPr>
          <w:p>
            <w:pPr>
              <w:pStyle w:val="0"/>
            </w:pPr>
            <w:r>
              <w:rPr>
                <w:sz w:val="20"/>
              </w:rPr>
              <w:t xml:space="preserve">5.1. Формирование и развитие цифрового контура</w:t>
            </w:r>
          </w:p>
        </w:tc>
        <w:tc>
          <w:tcPr>
            <w:tcW w:w="1459" w:type="dxa"/>
          </w:tcPr>
          <w:p>
            <w:pPr>
              <w:pStyle w:val="0"/>
            </w:pPr>
            <w:r>
              <w:rPr>
                <w:sz w:val="20"/>
              </w:rPr>
              <w:t xml:space="preserve">5.1.1</w:t>
            </w:r>
          </w:p>
        </w:tc>
        <w:tc>
          <w:tcPr>
            <w:tcW w:w="3409" w:type="dxa"/>
          </w:tcPr>
          <w:p>
            <w:pPr>
              <w:pStyle w:val="0"/>
            </w:pPr>
            <w:r>
              <w:rPr>
                <w:sz w:val="20"/>
              </w:rPr>
              <w:t xml:space="preserve">Унификация ведения в медицинских организациях, осуществляющих медицинскую реабилитацию, электронной медицинской документации по медицинской реабилитации (использование классификатора Международной классификации функционирования (далее - МКФ), единых электронных форм медицинской документации по медицинской реабилитации)</w:t>
            </w:r>
          </w:p>
        </w:tc>
        <w:tc>
          <w:tcPr>
            <w:tcW w:w="1204" w:type="dxa"/>
          </w:tcPr>
          <w:p>
            <w:pPr>
              <w:pStyle w:val="0"/>
            </w:pPr>
            <w:r>
              <w:rPr>
                <w:sz w:val="20"/>
              </w:rPr>
              <w:t xml:space="preserve">01.08.2023</w:t>
            </w:r>
          </w:p>
        </w:tc>
        <w:tc>
          <w:tcPr>
            <w:tcW w:w="1204" w:type="dxa"/>
          </w:tcPr>
          <w:p>
            <w:pPr>
              <w:pStyle w:val="0"/>
            </w:pPr>
            <w:r>
              <w:rPr>
                <w:sz w:val="20"/>
              </w:rPr>
              <w:t xml:space="preserve">31.12.2024</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начальник управления развития системы здравоохранения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БУ "МИАЦ"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Доля МО, где организовано ведение электронной медицинской документации по медицинской реабилитации (использование классификатора МКФ, единых электронных форм медицинской документации по медицинской реабилитации), от общего числа МО в:</w:t>
            </w:r>
          </w:p>
          <w:p>
            <w:pPr>
              <w:pStyle w:val="0"/>
            </w:pPr>
            <w:r>
              <w:rPr>
                <w:sz w:val="20"/>
              </w:rPr>
              <w:t xml:space="preserve">2023 году - 5 МО</w:t>
            </w:r>
          </w:p>
          <w:p>
            <w:pPr>
              <w:pStyle w:val="0"/>
            </w:pPr>
            <w:r>
              <w:rPr>
                <w:sz w:val="20"/>
              </w:rPr>
              <w:t xml:space="preserve">(БУ "Окружная клиническая больница",</w:t>
            </w:r>
          </w:p>
          <w:p>
            <w:pPr>
              <w:pStyle w:val="0"/>
            </w:pPr>
            <w:r>
              <w:rPr>
                <w:sz w:val="20"/>
              </w:rPr>
              <w:t xml:space="preserve">БУ "Сургутская клиническая травматологическая больница",</w:t>
            </w:r>
          </w:p>
          <w:p>
            <w:pPr>
              <w:pStyle w:val="0"/>
            </w:pPr>
            <w:r>
              <w:rPr>
                <w:sz w:val="20"/>
              </w:rPr>
              <w:t xml:space="preserve">БУ "Окружной кардиологический диспансер "Центр диагностики и сердечно-сосудистой хирургии",</w:t>
            </w:r>
          </w:p>
          <w:p>
            <w:pPr>
              <w:pStyle w:val="0"/>
            </w:pPr>
            <w:r>
              <w:rPr>
                <w:sz w:val="20"/>
              </w:rPr>
              <w:t xml:space="preserve">БУ "Нижневартовская окружная клиническая больница",</w:t>
            </w:r>
          </w:p>
          <w:p>
            <w:pPr>
              <w:pStyle w:val="0"/>
            </w:pPr>
            <w:r>
              <w:rPr>
                <w:sz w:val="20"/>
              </w:rPr>
              <w:t xml:space="preserve">БУ "Лангепасская городская больница");</w:t>
            </w:r>
          </w:p>
          <w:p>
            <w:pPr>
              <w:pStyle w:val="0"/>
            </w:pPr>
            <w:r>
              <w:rPr>
                <w:sz w:val="20"/>
              </w:rPr>
              <w:t xml:space="preserve">2024 году - 22 МО</w:t>
            </w:r>
          </w:p>
          <w:p>
            <w:pPr>
              <w:pStyle w:val="0"/>
            </w:pPr>
            <w:r>
              <w:rPr>
                <w:sz w:val="20"/>
              </w:rPr>
              <w:t xml:space="preserve">(БУ "Когалымская городская больница",</w:t>
            </w:r>
          </w:p>
          <w:p>
            <w:pPr>
              <w:pStyle w:val="0"/>
            </w:pPr>
            <w:r>
              <w:rPr>
                <w:sz w:val="20"/>
              </w:rPr>
              <w:t xml:space="preserve">БУ "Сургутская городская клиническая поликлиника N 1", БУ "Сургутская городская клиническая поликлиника N 2", БУ "Сургутская городская клиническая поликлиника N 3", БУ "Сургутская городская клиническая поликлиника N 4", БУ "Сургутская городская клиническая поликлиника N 5", БУ "Сургутский окружной клинический центр охраны материнства и детства",</w:t>
            </w:r>
          </w:p>
          <w:p>
            <w:pPr>
              <w:pStyle w:val="0"/>
            </w:pPr>
            <w:r>
              <w:rPr>
                <w:sz w:val="20"/>
              </w:rPr>
              <w:t xml:space="preserve">БУ "Лянторская городская больница", БУ "Нижневартовская городская поликлиника",</w:t>
            </w:r>
          </w:p>
          <w:p>
            <w:pPr>
              <w:pStyle w:val="0"/>
            </w:pPr>
            <w:r>
              <w:rPr>
                <w:sz w:val="20"/>
              </w:rPr>
              <w:t xml:space="preserve">БУ "Нижневартовская окружная клиническая детская больница", БУ "Нижневартовская городская детская поликлиника", БУ "Мегионская городская больница", БУ "Покачевская городская больница", БУ "Няганская окружная больница", БУ "Няганская городская поликлиника", БУ "Няганская городская детская поликлиника",</w:t>
            </w:r>
          </w:p>
          <w:p>
            <w:pPr>
              <w:pStyle w:val="0"/>
            </w:pPr>
            <w:r>
              <w:rPr>
                <w:sz w:val="20"/>
              </w:rPr>
              <w:t xml:space="preserve">БУ "Белоярская районная больница", БУ "Пыть-Яхская окружная клиническая больница",</w:t>
            </w:r>
          </w:p>
          <w:p>
            <w:pPr>
              <w:pStyle w:val="0"/>
            </w:pPr>
            <w:r>
              <w:rPr>
                <w:sz w:val="20"/>
              </w:rPr>
              <w:t xml:space="preserve">БУ "Урайская городская клиническая больница",</w:t>
            </w:r>
          </w:p>
          <w:p>
            <w:pPr>
              <w:pStyle w:val="0"/>
            </w:pPr>
            <w:r>
              <w:rPr>
                <w:sz w:val="20"/>
              </w:rPr>
              <w:t xml:space="preserve">БУ "Югорская городская больница",</w:t>
            </w:r>
          </w:p>
          <w:p>
            <w:pPr>
              <w:pStyle w:val="0"/>
            </w:pPr>
            <w:r>
              <w:rPr>
                <w:sz w:val="20"/>
              </w:rPr>
              <w:t xml:space="preserve">БУ "Нижневартовский окружной клинический перинатальный центр",</w:t>
            </w:r>
          </w:p>
          <w:p>
            <w:pPr>
              <w:pStyle w:val="0"/>
            </w:pPr>
            <w:r>
              <w:rPr>
                <w:sz w:val="20"/>
              </w:rPr>
              <w:t xml:space="preserve">БУ "Нефтеюганская окружная клиническая больница им. В.И.Яцкив")</w:t>
            </w:r>
          </w:p>
        </w:tc>
        <w:tc>
          <w:tcPr>
            <w:tcW w:w="3049" w:type="dxa"/>
          </w:tcPr>
          <w:p>
            <w:pPr>
              <w:pStyle w:val="0"/>
            </w:pPr>
            <w:r>
              <w:rPr>
                <w:sz w:val="20"/>
              </w:rPr>
              <w:t xml:space="preserve">Унифицировано ведение электронной медицинской документации по медицинской реабилитации (использование классификатора МКФ, единых электронных форм медицинской документации по медицинской реабилитации)</w:t>
            </w:r>
          </w:p>
        </w:tc>
        <w:tc>
          <w:tcPr>
            <w:tcW w:w="1894" w:type="dxa"/>
          </w:tcPr>
          <w:p>
            <w:pPr>
              <w:pStyle w:val="0"/>
            </w:pPr>
            <w:r>
              <w:rPr>
                <w:sz w:val="20"/>
              </w:rPr>
              <w:t xml:space="preserve">Регулярное (ежегодное)</w:t>
            </w:r>
          </w:p>
        </w:tc>
      </w:tr>
      <w:tr>
        <w:tc>
          <w:tcPr>
            <w:vMerge w:val="continue"/>
          </w:tcPr>
          <w:p/>
        </w:tc>
        <w:tc>
          <w:tcPr>
            <w:tcW w:w="1459" w:type="dxa"/>
          </w:tcPr>
          <w:p>
            <w:pPr>
              <w:pStyle w:val="0"/>
            </w:pPr>
            <w:r>
              <w:rPr>
                <w:sz w:val="20"/>
              </w:rPr>
              <w:t xml:space="preserve">5.1.2</w:t>
            </w:r>
          </w:p>
        </w:tc>
        <w:tc>
          <w:tcPr>
            <w:tcW w:w="3409" w:type="dxa"/>
          </w:tcPr>
          <w:p>
            <w:pPr>
              <w:pStyle w:val="0"/>
            </w:pPr>
            <w:r>
              <w:rPr>
                <w:sz w:val="20"/>
              </w:rPr>
              <w:t xml:space="preserve">Создание и внедрение управления потоками пациентов при оказании медицинской помощи по медицинской реабилитации</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начальник управления развития системы здравоохранения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руководитель</w:t>
            </w:r>
          </w:p>
          <w:p>
            <w:pPr>
              <w:pStyle w:val="0"/>
            </w:pPr>
            <w:r>
              <w:rPr>
                <w:sz w:val="20"/>
              </w:rPr>
              <w:t xml:space="preserve">БУ "МИАЦ"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Число медицинских организаций, использующих электронную систему управления потоками при направлении пациентов на медицинскую реабилитацию, составило в 2030 году - 30 МО (БУ "Окружной клинический лечебно-реабилитационный центр", БУ "Урайская окружная больница медицинской реабилитации", БУ "Сургутская клиническая травматологическая больница", БУ "Окружная клиническая больница",</w:t>
            </w:r>
          </w:p>
          <w:p>
            <w:pPr>
              <w:pStyle w:val="0"/>
            </w:pPr>
            <w:r>
              <w:rPr>
                <w:sz w:val="20"/>
              </w:rPr>
              <w:t xml:space="preserve">БУ "Сургутская окружная клиническая больница";</w:t>
            </w:r>
          </w:p>
          <w:p>
            <w:pPr>
              <w:pStyle w:val="0"/>
            </w:pPr>
            <w:r>
              <w:rPr>
                <w:sz w:val="20"/>
              </w:rPr>
              <w:t xml:space="preserve">БУ "Окружной кардиологический диспансер "Центр диагностики и сердечно-сосудистой хирургии", БУ "Когалымская городская больница", БУ "Сургутская городская клиническая поликлиника N 1", БУ "Сургутская городская клиническая поликлиника N 2", БУ "Сургутская городская клиническая поликлиника N 3", БУ "Сургутская городская клиническая поликлиника N 4", БУ "Сургутская городская клиническая поликлиника N 5", БУ "Сургутский окружной клинический центр охраны материнства и детства",</w:t>
            </w:r>
          </w:p>
          <w:p>
            <w:pPr>
              <w:pStyle w:val="0"/>
            </w:pPr>
            <w:r>
              <w:rPr>
                <w:sz w:val="20"/>
              </w:rPr>
              <w:t xml:space="preserve">БУ "Югорская городская больница",</w:t>
            </w:r>
          </w:p>
          <w:p>
            <w:pPr>
              <w:pStyle w:val="0"/>
            </w:pPr>
            <w:r>
              <w:rPr>
                <w:sz w:val="20"/>
              </w:rPr>
              <w:t xml:space="preserve">БУ "Лянторская городская больница", БУ "Нижневартовская окружная клиническая больница", БУ "Нижневартовская городская поликлиника", БУ "Нижневартовская окружная клиническая детская больница", БУ "Нижневартовская городская детская поликлиника",</w:t>
            </w:r>
          </w:p>
          <w:p>
            <w:pPr>
              <w:pStyle w:val="0"/>
            </w:pPr>
            <w:r>
              <w:rPr>
                <w:sz w:val="20"/>
              </w:rPr>
              <w:t xml:space="preserve">БУ "Нижневартовский окружной клинический перинатальный центр",</w:t>
            </w:r>
          </w:p>
          <w:p>
            <w:pPr>
              <w:pStyle w:val="0"/>
            </w:pPr>
            <w:r>
              <w:rPr>
                <w:sz w:val="20"/>
              </w:rPr>
              <w:t xml:space="preserve">БУ "Лангепасская городская больница", БУ "Мегионская городская больница", БУ "Покачевская городская больница", БУ "Няганская окружная больница",</w:t>
            </w:r>
          </w:p>
          <w:p>
            <w:pPr>
              <w:pStyle w:val="0"/>
            </w:pPr>
            <w:r>
              <w:rPr>
                <w:sz w:val="20"/>
              </w:rPr>
              <w:t xml:space="preserve">БУ "Няганская городская поликлиника", БУ "Няганская городская детская поликлиника",</w:t>
            </w:r>
          </w:p>
          <w:p>
            <w:pPr>
              <w:pStyle w:val="0"/>
            </w:pPr>
            <w:r>
              <w:rPr>
                <w:sz w:val="20"/>
              </w:rPr>
              <w:t xml:space="preserve">БУ "Белоярская районная больница", БУ "Нефтеюганская окружная клиническая больница им. В.И.Яцкив", БУ "Пыть-Яхская окружная клиническая больница",</w:t>
            </w:r>
          </w:p>
          <w:p>
            <w:pPr>
              <w:pStyle w:val="0"/>
            </w:pPr>
            <w:r>
              <w:rPr>
                <w:sz w:val="20"/>
              </w:rPr>
              <w:t xml:space="preserve">БУ "Урайская городская клиническая больница")</w:t>
            </w:r>
          </w:p>
        </w:tc>
        <w:tc>
          <w:tcPr>
            <w:tcW w:w="3049" w:type="dxa"/>
          </w:tcPr>
          <w:p>
            <w:pPr>
              <w:pStyle w:val="0"/>
            </w:pPr>
            <w:r>
              <w:rPr>
                <w:sz w:val="20"/>
              </w:rPr>
              <w:t xml:space="preserve">Внедрена электронная система управления потоками пациентов при оказании медицинской помощи по медицинской реабилитации</w:t>
            </w:r>
          </w:p>
        </w:tc>
        <w:tc>
          <w:tcPr>
            <w:tcW w:w="1894" w:type="dxa"/>
          </w:tcPr>
          <w:p>
            <w:pPr>
              <w:pStyle w:val="0"/>
            </w:pPr>
            <w:r>
              <w:rPr>
                <w:sz w:val="20"/>
              </w:rPr>
              <w:t xml:space="preserve">Разовое (делимое)</w:t>
            </w:r>
          </w:p>
        </w:tc>
      </w:tr>
      <w:tr>
        <w:tc>
          <w:tcPr>
            <w:vMerge w:val="continue"/>
          </w:tcPr>
          <w:p/>
        </w:tc>
        <w:tc>
          <w:tcPr>
            <w:tcW w:w="1459" w:type="dxa"/>
          </w:tcPr>
          <w:p>
            <w:pPr>
              <w:pStyle w:val="0"/>
            </w:pPr>
            <w:r>
              <w:rPr>
                <w:sz w:val="20"/>
              </w:rPr>
              <w:t xml:space="preserve">5.1.3</w:t>
            </w:r>
          </w:p>
        </w:tc>
        <w:tc>
          <w:tcPr>
            <w:tcW w:w="3409" w:type="dxa"/>
          </w:tcPr>
          <w:p>
            <w:pPr>
              <w:pStyle w:val="0"/>
            </w:pPr>
            <w:r>
              <w:rPr>
                <w:sz w:val="20"/>
              </w:rPr>
              <w:t xml:space="preserve">Внедрение автоматизации процессов управления качеством и контроля качества оказания медицинской помощи по медицинской реабилитации на основе данных электронной медицинской карты пациента в региональной медицинской информационной системе (далее - РМИС)</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начальник управления развития системы здравоохранения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руководитель</w:t>
            </w:r>
          </w:p>
          <w:p>
            <w:pPr>
              <w:pStyle w:val="0"/>
            </w:pPr>
            <w:r>
              <w:rPr>
                <w:sz w:val="20"/>
              </w:rPr>
              <w:t xml:space="preserve">БУ "МИАЦ"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Внедрена автоматизация процессов управления качеством и контроля качества оказания медицинской помощи по медицинской реабилитации на основе данных электронной медицинской карты пациента в РМИС.</w:t>
            </w:r>
          </w:p>
          <w:p>
            <w:pPr>
              <w:pStyle w:val="0"/>
            </w:pPr>
            <w:r>
              <w:rPr>
                <w:sz w:val="20"/>
              </w:rPr>
              <w:t xml:space="preserve">Доля медицинских организаций, внедривших автоматизацию процессов управления качеством и контроля качества оказания медицинской помощи по медицинской реабилитации, составила в:</w:t>
            </w:r>
          </w:p>
          <w:p>
            <w:pPr>
              <w:pStyle w:val="0"/>
            </w:pPr>
            <w:r>
              <w:rPr>
                <w:sz w:val="20"/>
              </w:rPr>
              <w:t xml:space="preserve">2024 году - 10;</w:t>
            </w:r>
          </w:p>
          <w:p>
            <w:pPr>
              <w:pStyle w:val="0"/>
            </w:pPr>
            <w:r>
              <w:rPr>
                <w:sz w:val="20"/>
              </w:rPr>
              <w:t xml:space="preserve">2025 году - 25;</w:t>
            </w:r>
          </w:p>
          <w:p>
            <w:pPr>
              <w:pStyle w:val="0"/>
            </w:pPr>
            <w:r>
              <w:rPr>
                <w:sz w:val="20"/>
              </w:rPr>
              <w:t xml:space="preserve">2026 году - 40;</w:t>
            </w:r>
          </w:p>
          <w:p>
            <w:pPr>
              <w:pStyle w:val="0"/>
            </w:pPr>
            <w:r>
              <w:rPr>
                <w:sz w:val="20"/>
              </w:rPr>
              <w:t xml:space="preserve">2027 году - 55;</w:t>
            </w:r>
          </w:p>
          <w:p>
            <w:pPr>
              <w:pStyle w:val="0"/>
            </w:pPr>
            <w:r>
              <w:rPr>
                <w:sz w:val="20"/>
              </w:rPr>
              <w:t xml:space="preserve">2028 году - 70;</w:t>
            </w:r>
          </w:p>
          <w:p>
            <w:pPr>
              <w:pStyle w:val="0"/>
            </w:pPr>
            <w:r>
              <w:rPr>
                <w:sz w:val="20"/>
              </w:rPr>
              <w:t xml:space="preserve">2029 году - 85;</w:t>
            </w:r>
          </w:p>
          <w:p>
            <w:pPr>
              <w:pStyle w:val="0"/>
            </w:pPr>
            <w:r>
              <w:rPr>
                <w:sz w:val="20"/>
              </w:rPr>
              <w:t xml:space="preserve">2030 году - 100</w:t>
            </w:r>
          </w:p>
        </w:tc>
        <w:tc>
          <w:tcPr>
            <w:tcW w:w="3049" w:type="dxa"/>
          </w:tcPr>
          <w:p>
            <w:pPr>
              <w:pStyle w:val="0"/>
            </w:pPr>
            <w:r>
              <w:rPr>
                <w:sz w:val="20"/>
              </w:rPr>
              <w:t xml:space="preserve">Модернизация действующей РМИС путем автоматизации процессов управления качеством и контроля качества оказания медицинской помощи по медицинской реабилитации</w:t>
            </w:r>
          </w:p>
        </w:tc>
        <w:tc>
          <w:tcPr>
            <w:tcW w:w="1894" w:type="dxa"/>
          </w:tcPr>
          <w:p>
            <w:pPr>
              <w:pStyle w:val="0"/>
            </w:pPr>
            <w:r>
              <w:rPr>
                <w:sz w:val="20"/>
              </w:rPr>
              <w:t xml:space="preserve">Разовое</w:t>
            </w:r>
          </w:p>
          <w:p>
            <w:pPr>
              <w:pStyle w:val="0"/>
            </w:pPr>
            <w:r>
              <w:rPr>
                <w:sz w:val="20"/>
              </w:rPr>
              <w:t xml:space="preserve">(делимое)</w:t>
            </w:r>
          </w:p>
        </w:tc>
      </w:tr>
      <w:tr>
        <w:tc>
          <w:tcPr>
            <w:tcW w:w="2254" w:type="dxa"/>
            <w:vMerge w:val="restart"/>
          </w:tcPr>
          <w:p>
            <w:pPr>
              <w:pStyle w:val="0"/>
            </w:pPr>
            <w:r>
              <w:rPr>
                <w:sz w:val="20"/>
              </w:rPr>
              <w:t xml:space="preserve">5.2. Внедрение передового опыта использования реабилитационных технологий, направленных на повышение качества оказания медицинской помощи по медицинской реабилитации</w:t>
            </w:r>
          </w:p>
        </w:tc>
        <w:tc>
          <w:tcPr>
            <w:tcW w:w="1459" w:type="dxa"/>
          </w:tcPr>
          <w:p>
            <w:pPr>
              <w:pStyle w:val="0"/>
            </w:pPr>
            <w:r>
              <w:rPr>
                <w:sz w:val="20"/>
              </w:rPr>
              <w:t xml:space="preserve">5.2.1</w:t>
            </w:r>
          </w:p>
        </w:tc>
        <w:tc>
          <w:tcPr>
            <w:tcW w:w="3409" w:type="dxa"/>
          </w:tcPr>
          <w:p>
            <w:pPr>
              <w:pStyle w:val="0"/>
            </w:pPr>
            <w:r>
              <w:rPr>
                <w:sz w:val="20"/>
              </w:rPr>
              <w:t xml:space="preserve">Проведение рабочих совещаний с медицинскими организациями, конференций по вопросам использования современных реабилитационных технологий, направленных на повышение качества оказания медицинской помощи по медицинской реабилитации</w:t>
            </w:r>
          </w:p>
        </w:tc>
        <w:tc>
          <w:tcPr>
            <w:tcW w:w="1204" w:type="dxa"/>
          </w:tcPr>
          <w:p>
            <w:pPr>
              <w:pStyle w:val="0"/>
            </w:pPr>
            <w:r>
              <w:rPr>
                <w:sz w:val="20"/>
              </w:rPr>
              <w:t xml:space="preserve">01.08.2023</w:t>
            </w:r>
          </w:p>
        </w:tc>
        <w:tc>
          <w:tcPr>
            <w:tcW w:w="1204" w:type="dxa"/>
          </w:tcPr>
          <w:p>
            <w:pPr>
              <w:pStyle w:val="0"/>
            </w:pPr>
            <w:r>
              <w:rPr>
                <w:sz w:val="20"/>
              </w:rPr>
              <w:t xml:space="preserve">31.12.2024</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На базе "якорной" медицинской организации (детской и взрослой)</w:t>
            </w:r>
          </w:p>
          <w:p>
            <w:pPr>
              <w:pStyle w:val="0"/>
            </w:pPr>
            <w:r>
              <w:rPr>
                <w:sz w:val="20"/>
              </w:rPr>
              <w:t xml:space="preserve">проведены по 4 рабочих совещаний 2023 году и</w:t>
            </w:r>
          </w:p>
          <w:p>
            <w:pPr>
              <w:pStyle w:val="0"/>
            </w:pPr>
            <w:r>
              <w:rPr>
                <w:sz w:val="20"/>
              </w:rPr>
              <w:t xml:space="preserve">2024 году</w:t>
            </w:r>
          </w:p>
        </w:tc>
        <w:tc>
          <w:tcPr>
            <w:tcW w:w="3049" w:type="dxa"/>
          </w:tcPr>
          <w:p>
            <w:pPr>
              <w:pStyle w:val="0"/>
            </w:pPr>
            <w:r>
              <w:rPr>
                <w:sz w:val="20"/>
              </w:rPr>
              <w:t xml:space="preserve">Проведены рабочие совещания с медицинскими организациями на базе "якорной" медицинской организации (детской и взрослой) по вопросам использования современных реабилитационных технологий, направленных на повышение качества оказания медицинской помощи по медицинской реабилитации</w:t>
            </w:r>
          </w:p>
        </w:tc>
        <w:tc>
          <w:tcPr>
            <w:tcW w:w="1894" w:type="dxa"/>
          </w:tcPr>
          <w:p>
            <w:pPr>
              <w:pStyle w:val="0"/>
            </w:pPr>
            <w:r>
              <w:rPr>
                <w:sz w:val="20"/>
              </w:rPr>
              <w:t xml:space="preserve">Регулярное</w:t>
            </w:r>
          </w:p>
          <w:p>
            <w:pPr>
              <w:pStyle w:val="0"/>
            </w:pPr>
            <w:r>
              <w:rPr>
                <w:sz w:val="20"/>
              </w:rPr>
              <w:t xml:space="preserve">(ежеквартально)</w:t>
            </w:r>
          </w:p>
        </w:tc>
      </w:tr>
      <w:tr>
        <w:tc>
          <w:tcPr>
            <w:vMerge w:val="continue"/>
          </w:tcPr>
          <w:p/>
        </w:tc>
        <w:tc>
          <w:tcPr>
            <w:tcW w:w="1459" w:type="dxa"/>
          </w:tcPr>
          <w:p>
            <w:pPr>
              <w:pStyle w:val="0"/>
            </w:pPr>
            <w:r>
              <w:rPr>
                <w:sz w:val="20"/>
              </w:rPr>
              <w:t xml:space="preserve">5.2.2</w:t>
            </w:r>
          </w:p>
        </w:tc>
        <w:tc>
          <w:tcPr>
            <w:tcW w:w="3409" w:type="dxa"/>
          </w:tcPr>
          <w:p>
            <w:pPr>
              <w:pStyle w:val="0"/>
            </w:pPr>
            <w:r>
              <w:rPr>
                <w:sz w:val="20"/>
              </w:rPr>
              <w:t xml:space="preserve">Проведение телеобходов, плановых выездов главных внештатных специалистов по медицинской реабилитации (детский, взрослый) в медицинские организации, участвующие в федеральном проекте "Оптимальная для восстановления здоровья медицинская реабилитация"</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 (по согласованию);</w:t>
            </w:r>
          </w:p>
          <w:p>
            <w:pPr>
              <w:pStyle w:val="0"/>
            </w:pPr>
            <w:r>
              <w:rPr>
                <w:sz w:val="20"/>
              </w:rPr>
              <w:t xml:space="preserve">главный внештатный специалист по медицинской реабилитации Депздрава Югры (по согласованию);</w:t>
            </w:r>
          </w:p>
          <w:p>
            <w:pPr>
              <w:pStyle w:val="0"/>
            </w:pPr>
            <w:r>
              <w:rPr>
                <w:sz w:val="20"/>
              </w:rPr>
              <w:t xml:space="preserve">главный внештатный детский специалист по медицинской реабилитации Депздрава Югры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В течение года проведено не менее 1 выезда в каждую из медицинских организаций, участвующих в реализации федерального проекта "Оптимальная для восстановления здоровья медицинская реабилитация"</w:t>
            </w:r>
          </w:p>
        </w:tc>
        <w:tc>
          <w:tcPr>
            <w:tcW w:w="3049" w:type="dxa"/>
          </w:tcPr>
          <w:p>
            <w:pPr>
              <w:pStyle w:val="0"/>
            </w:pPr>
            <w:r>
              <w:rPr>
                <w:sz w:val="20"/>
              </w:rPr>
              <w:t xml:space="preserve">Осуществляется мониторинг реализации медицинскими организациями федерального проекта "Оптимальная для восстановления здоровья медицинская реабилитация"</w:t>
            </w:r>
          </w:p>
        </w:tc>
        <w:tc>
          <w:tcPr>
            <w:tcW w:w="1894" w:type="dxa"/>
          </w:tcPr>
          <w:p>
            <w:pPr>
              <w:pStyle w:val="0"/>
            </w:pPr>
            <w:r>
              <w:rPr>
                <w:sz w:val="20"/>
              </w:rPr>
              <w:t xml:space="preserve">Регулярное (ежегодное)</w:t>
            </w:r>
          </w:p>
        </w:tc>
      </w:tr>
      <w:tr>
        <w:tc>
          <w:tcPr>
            <w:gridSpan w:val="9"/>
            <w:tcW w:w="20961" w:type="dxa"/>
          </w:tcPr>
          <w:p>
            <w:pPr>
              <w:pStyle w:val="0"/>
            </w:pPr>
            <w:r>
              <w:rPr>
                <w:sz w:val="20"/>
              </w:rPr>
              <w:t xml:space="preserve">6. Мероприятия по внедрению и соблюдению клинических рекомендаций</w:t>
            </w:r>
          </w:p>
        </w:tc>
      </w:tr>
      <w:tr>
        <w:tc>
          <w:tcPr>
            <w:tcW w:w="2254" w:type="dxa"/>
          </w:tcPr>
          <w:p>
            <w:pPr>
              <w:pStyle w:val="0"/>
            </w:pPr>
            <w:r>
              <w:rPr>
                <w:sz w:val="20"/>
              </w:rPr>
            </w:r>
          </w:p>
        </w:tc>
        <w:tc>
          <w:tcPr>
            <w:tcW w:w="1459" w:type="dxa"/>
          </w:tcPr>
          <w:p>
            <w:pPr>
              <w:pStyle w:val="0"/>
            </w:pPr>
            <w:r>
              <w:rPr>
                <w:sz w:val="20"/>
              </w:rPr>
              <w:t xml:space="preserve">6.1</w:t>
            </w:r>
          </w:p>
        </w:tc>
        <w:tc>
          <w:tcPr>
            <w:tcW w:w="3409" w:type="dxa"/>
          </w:tcPr>
          <w:p>
            <w:pPr>
              <w:pStyle w:val="0"/>
            </w:pPr>
            <w:r>
              <w:rPr>
                <w:sz w:val="20"/>
              </w:rPr>
              <w:t xml:space="preserve">Внедрение непрерывного медицинского образования врачей-специалистов, специалистов с высшим немедицинским образованием и специалистов со средним медицинским образованием</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административного управления Депздрава Югры;</w:t>
            </w:r>
          </w:p>
          <w:p>
            <w:pPr>
              <w:pStyle w:val="0"/>
            </w:pPr>
            <w:r>
              <w:rPr>
                <w:sz w:val="20"/>
              </w:rPr>
              <w:t xml:space="preserve">руководитель</w:t>
            </w:r>
          </w:p>
          <w:p>
            <w:pPr>
              <w:pStyle w:val="0"/>
            </w:pPr>
            <w:r>
              <w:rPr>
                <w:sz w:val="20"/>
              </w:rPr>
              <w:t xml:space="preserve">БУ "МИАЦ"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Повышение уровня компетенции специалистов, участвующих в медицинской реабилитации, по соблюдению клинических рекомендаций по профилю</w:t>
            </w:r>
          </w:p>
        </w:tc>
        <w:tc>
          <w:tcPr>
            <w:tcW w:w="3049" w:type="dxa"/>
          </w:tcPr>
          <w:p>
            <w:pPr>
              <w:pStyle w:val="0"/>
            </w:pPr>
            <w:r>
              <w:rPr>
                <w:sz w:val="20"/>
              </w:rPr>
              <w:t xml:space="preserve">Внедрено непрерывное медицинское образование врачей-специалистов, специалистов с высшим немедицинским образованием и специалистов со средним медицинским образованием по соблюдению клинических рекомендаций по профилю</w:t>
            </w:r>
          </w:p>
        </w:tc>
        <w:tc>
          <w:tcPr>
            <w:tcW w:w="1894" w:type="dxa"/>
          </w:tcPr>
          <w:p>
            <w:pPr>
              <w:pStyle w:val="0"/>
            </w:pPr>
            <w:r>
              <w:rPr>
                <w:sz w:val="20"/>
              </w:rPr>
              <w:t xml:space="preserve">Регулярное</w:t>
            </w:r>
          </w:p>
          <w:p>
            <w:pPr>
              <w:pStyle w:val="0"/>
            </w:pPr>
            <w:r>
              <w:rPr>
                <w:sz w:val="20"/>
              </w:rPr>
              <w:t xml:space="preserve">(ежегодное)</w:t>
            </w:r>
          </w:p>
        </w:tc>
      </w:tr>
      <w:tr>
        <w:tc>
          <w:tcPr>
            <w:gridSpan w:val="9"/>
            <w:tcW w:w="20961" w:type="dxa"/>
          </w:tcPr>
          <w:p>
            <w:pPr>
              <w:pStyle w:val="0"/>
            </w:pPr>
            <w:r>
              <w:rPr>
                <w:sz w:val="20"/>
              </w:rPr>
              <w:t xml:space="preserve">7. Информирование граждан о возможностях медицинской реабилитации</w:t>
            </w:r>
          </w:p>
        </w:tc>
      </w:tr>
      <w:tr>
        <w:tc>
          <w:tcPr>
            <w:tcW w:w="2254" w:type="dxa"/>
          </w:tcPr>
          <w:p>
            <w:pPr>
              <w:pStyle w:val="0"/>
            </w:pPr>
            <w:r>
              <w:rPr>
                <w:sz w:val="20"/>
              </w:rPr>
            </w:r>
          </w:p>
        </w:tc>
        <w:tc>
          <w:tcPr>
            <w:tcW w:w="1459" w:type="dxa"/>
          </w:tcPr>
          <w:p>
            <w:pPr>
              <w:pStyle w:val="0"/>
            </w:pPr>
            <w:r>
              <w:rPr>
                <w:sz w:val="20"/>
              </w:rPr>
              <w:t xml:space="preserve">7.1</w:t>
            </w:r>
          </w:p>
        </w:tc>
        <w:tc>
          <w:tcPr>
            <w:tcW w:w="3409" w:type="dxa"/>
          </w:tcPr>
          <w:p>
            <w:pPr>
              <w:pStyle w:val="0"/>
            </w:pPr>
            <w:r>
              <w:rPr>
                <w:sz w:val="20"/>
              </w:rPr>
              <w:t xml:space="preserve">Увеличение числа информационных материалов по медицинской реабилитации, размещенных на Региональном портале государственных и муниципальных услуг (далее - РПГУ)</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руководитель</w:t>
            </w:r>
          </w:p>
          <w:p>
            <w:pPr>
              <w:pStyle w:val="0"/>
            </w:pPr>
            <w:r>
              <w:rPr>
                <w:sz w:val="20"/>
              </w:rPr>
              <w:t xml:space="preserve">БУ "Центр общественного здоровья и медицинской профилактики" (по согласованию);</w:t>
            </w:r>
          </w:p>
          <w:p>
            <w:pPr>
              <w:pStyle w:val="0"/>
            </w:pPr>
            <w:r>
              <w:rPr>
                <w:sz w:val="20"/>
              </w:rPr>
              <w:t xml:space="preserve">руководитель</w:t>
            </w:r>
          </w:p>
          <w:p>
            <w:pPr>
              <w:pStyle w:val="0"/>
            </w:pPr>
            <w:r>
              <w:rPr>
                <w:sz w:val="20"/>
              </w:rPr>
              <w:t xml:space="preserve">БУ "МИАЦ"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Число информационных материалов по медицинской реабилитации, размещенных на РПГУ, ежегодно составляет не менее 4</w:t>
            </w:r>
          </w:p>
        </w:tc>
        <w:tc>
          <w:tcPr>
            <w:tcW w:w="3049" w:type="dxa"/>
          </w:tcPr>
          <w:p>
            <w:pPr>
              <w:pStyle w:val="0"/>
            </w:pPr>
            <w:r>
              <w:rPr>
                <w:sz w:val="20"/>
              </w:rPr>
              <w:t xml:space="preserve">Увеличена доступность граждан к информации по медицинской реабилитации, размещенной на РПГУ</w:t>
            </w:r>
          </w:p>
        </w:tc>
        <w:tc>
          <w:tcPr>
            <w:tcW w:w="1894" w:type="dxa"/>
          </w:tcPr>
          <w:p>
            <w:pPr>
              <w:pStyle w:val="0"/>
            </w:pPr>
            <w:r>
              <w:rPr>
                <w:sz w:val="20"/>
              </w:rPr>
              <w:t xml:space="preserve">Регулярное (ежегодное)</w:t>
            </w:r>
          </w:p>
        </w:tc>
      </w:tr>
      <w:tr>
        <w:tc>
          <w:tcPr>
            <w:tcW w:w="2254" w:type="dxa"/>
          </w:tcPr>
          <w:p>
            <w:pPr>
              <w:pStyle w:val="0"/>
            </w:pPr>
            <w:r>
              <w:rPr>
                <w:sz w:val="20"/>
              </w:rPr>
            </w:r>
          </w:p>
        </w:tc>
        <w:tc>
          <w:tcPr>
            <w:tcW w:w="1459" w:type="dxa"/>
          </w:tcPr>
          <w:p>
            <w:pPr>
              <w:pStyle w:val="0"/>
            </w:pPr>
            <w:r>
              <w:rPr>
                <w:sz w:val="20"/>
              </w:rPr>
              <w:t xml:space="preserve">7.2</w:t>
            </w:r>
          </w:p>
        </w:tc>
        <w:tc>
          <w:tcPr>
            <w:tcW w:w="3409" w:type="dxa"/>
          </w:tcPr>
          <w:p>
            <w:pPr>
              <w:pStyle w:val="0"/>
            </w:pPr>
            <w:r>
              <w:rPr>
                <w:sz w:val="20"/>
              </w:rPr>
              <w:t xml:space="preserve">Создание блока информации по медицинской реабилитации на сайте МО. Внедрение механизмов обратной связи по вопросам медицинской реабилитации и информирование пациентов об их наличии посредством сайта медицинской организации, инфоматов</w:t>
            </w:r>
          </w:p>
        </w:tc>
        <w:tc>
          <w:tcPr>
            <w:tcW w:w="1204" w:type="dxa"/>
          </w:tcPr>
          <w:p>
            <w:pPr>
              <w:pStyle w:val="0"/>
            </w:pPr>
            <w:r>
              <w:rPr>
                <w:sz w:val="20"/>
              </w:rPr>
              <w:t xml:space="preserve">01.08.2023</w:t>
            </w:r>
          </w:p>
        </w:tc>
        <w:tc>
          <w:tcPr>
            <w:tcW w:w="1204" w:type="dxa"/>
          </w:tcPr>
          <w:p>
            <w:pPr>
              <w:pStyle w:val="0"/>
            </w:pPr>
            <w:r>
              <w:rPr>
                <w:sz w:val="20"/>
              </w:rPr>
              <w:t xml:space="preserve">31.12.2024</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руководитель БУ "Центр общественного здоровья и медицинской профилактики" (по согласованию);</w:t>
            </w:r>
          </w:p>
          <w:p>
            <w:pPr>
              <w:pStyle w:val="0"/>
            </w:pPr>
            <w:r>
              <w:rPr>
                <w:sz w:val="20"/>
              </w:rPr>
              <w:t xml:space="preserve">руководитель БУ "МИАЦ" (по согласованию);</w:t>
            </w:r>
          </w:p>
          <w:p>
            <w:pPr>
              <w:pStyle w:val="0"/>
            </w:pPr>
            <w:r>
              <w:rPr>
                <w:sz w:val="20"/>
              </w:rPr>
              <w:t xml:space="preserve">руководители МО (по согласованию)</w:t>
            </w:r>
          </w:p>
        </w:tc>
        <w:tc>
          <w:tcPr>
            <w:tcW w:w="3049" w:type="dxa"/>
          </w:tcPr>
          <w:p>
            <w:pPr>
              <w:pStyle w:val="0"/>
            </w:pPr>
            <w:r>
              <w:rPr>
                <w:sz w:val="20"/>
              </w:rPr>
              <w:t xml:space="preserve">Число медицинских организаций, осуществляющих медицинскую реабилитацию, где создан информационный блок по медицинской реабилитации и внедрены механизмы обратной связи по вопросам медицинской реабилитации в:</w:t>
            </w:r>
          </w:p>
          <w:p>
            <w:pPr>
              <w:pStyle w:val="0"/>
            </w:pPr>
            <w:r>
              <w:rPr>
                <w:sz w:val="20"/>
              </w:rPr>
              <w:t xml:space="preserve">2023 году - в 2 МО (БУ "Сургутская городская клиническая поликлиника N 2", БУ "Сургутская городская клиническая поликлиника N 3");</w:t>
            </w:r>
          </w:p>
          <w:p>
            <w:pPr>
              <w:pStyle w:val="0"/>
            </w:pPr>
            <w:r>
              <w:rPr>
                <w:sz w:val="20"/>
              </w:rPr>
              <w:t xml:space="preserve">2024 году - в 17 МО</w:t>
            </w:r>
          </w:p>
          <w:p>
            <w:pPr>
              <w:pStyle w:val="0"/>
            </w:pPr>
            <w:r>
              <w:rPr>
                <w:sz w:val="20"/>
              </w:rPr>
              <w:t xml:space="preserve">(БУ "Сургутская городская клиническая поликлиника N 5", БУ "Сургутский окружной клинический центр охраны материнства и детства", БУ "Лянторская городская больница",</w:t>
            </w:r>
          </w:p>
          <w:p>
            <w:pPr>
              <w:pStyle w:val="0"/>
            </w:pPr>
            <w:r>
              <w:rPr>
                <w:sz w:val="20"/>
              </w:rPr>
              <w:t xml:space="preserve">БУ "Нижневартовская окружная клиническая детская больница", БУ "Нижневартовская городская детская поликлиника", БУ "Лангепасская городская больница", БУ "Мегионская городская больница", БУ "Покачевская городская больница", БУ "Няганская окружная больница".</w:t>
            </w:r>
          </w:p>
          <w:p>
            <w:pPr>
              <w:pStyle w:val="0"/>
            </w:pPr>
            <w:r>
              <w:rPr>
                <w:sz w:val="20"/>
              </w:rPr>
              <w:t xml:space="preserve">БУ "Няганская городская поликлиника", БУ "Няганская городская детская поликлиника",</w:t>
            </w:r>
          </w:p>
          <w:p>
            <w:pPr>
              <w:pStyle w:val="0"/>
            </w:pPr>
            <w:r>
              <w:rPr>
                <w:sz w:val="20"/>
              </w:rPr>
              <w:t xml:space="preserve">БУ "Белоярская районная больница", БУ "Нефтеюганская окружная клиническая больница им. В.И.Яцкив", БУ "Пыть-Яхская окружная клиническая больница",</w:t>
            </w:r>
          </w:p>
          <w:p>
            <w:pPr>
              <w:pStyle w:val="0"/>
            </w:pPr>
            <w:r>
              <w:rPr>
                <w:sz w:val="20"/>
              </w:rPr>
              <w:t xml:space="preserve">БУ "Урайская городская клиническая больница",</w:t>
            </w:r>
          </w:p>
          <w:p>
            <w:pPr>
              <w:pStyle w:val="0"/>
            </w:pPr>
            <w:r>
              <w:rPr>
                <w:sz w:val="20"/>
              </w:rPr>
              <w:t xml:space="preserve">БУ "Югорская городская больница",</w:t>
            </w:r>
          </w:p>
          <w:p>
            <w:pPr>
              <w:pStyle w:val="0"/>
            </w:pPr>
            <w:r>
              <w:rPr>
                <w:sz w:val="20"/>
              </w:rPr>
              <w:t xml:space="preserve">БУ "Нижневартовский окружной клинический перинатальный центр")</w:t>
            </w:r>
          </w:p>
        </w:tc>
        <w:tc>
          <w:tcPr>
            <w:tcW w:w="3049" w:type="dxa"/>
          </w:tcPr>
          <w:p>
            <w:pPr>
              <w:pStyle w:val="0"/>
            </w:pPr>
            <w:r>
              <w:rPr>
                <w:sz w:val="20"/>
              </w:rPr>
              <w:t xml:space="preserve">В медицинских организациях, осуществляющих медицинскую реабилитацию, внедрены механизмы обратной связи по вопросам медицинской реабилитации и информирование пациентов об их наличии посредством сайта медицинской организации, инфоматов</w:t>
            </w:r>
          </w:p>
        </w:tc>
        <w:tc>
          <w:tcPr>
            <w:tcW w:w="1894" w:type="dxa"/>
          </w:tcPr>
          <w:p>
            <w:pPr>
              <w:pStyle w:val="0"/>
            </w:pPr>
            <w:r>
              <w:rPr>
                <w:sz w:val="20"/>
              </w:rPr>
              <w:t xml:space="preserve">Регулярное (ежегодное)</w:t>
            </w:r>
          </w:p>
        </w:tc>
      </w:tr>
      <w:tr>
        <w:tc>
          <w:tcPr>
            <w:tcW w:w="2254" w:type="dxa"/>
          </w:tcPr>
          <w:p>
            <w:pPr>
              <w:pStyle w:val="0"/>
            </w:pPr>
            <w:r>
              <w:rPr>
                <w:sz w:val="20"/>
              </w:rPr>
            </w:r>
          </w:p>
        </w:tc>
        <w:tc>
          <w:tcPr>
            <w:tcW w:w="1459" w:type="dxa"/>
          </w:tcPr>
          <w:p>
            <w:pPr>
              <w:pStyle w:val="0"/>
            </w:pPr>
            <w:r>
              <w:rPr>
                <w:sz w:val="20"/>
              </w:rPr>
              <w:t xml:space="preserve">7.3</w:t>
            </w:r>
          </w:p>
        </w:tc>
        <w:tc>
          <w:tcPr>
            <w:tcW w:w="3409" w:type="dxa"/>
          </w:tcPr>
          <w:p>
            <w:pPr>
              <w:pStyle w:val="0"/>
            </w:pPr>
            <w:r>
              <w:rPr>
                <w:sz w:val="20"/>
              </w:rPr>
              <w:t xml:space="preserve">Информирование в средствах массовой информации населения о возможности пройти медицинскую реабилитацию</w:t>
            </w:r>
          </w:p>
        </w:tc>
        <w:tc>
          <w:tcPr>
            <w:tcW w:w="1204" w:type="dxa"/>
          </w:tcPr>
          <w:p>
            <w:pPr>
              <w:pStyle w:val="0"/>
            </w:pPr>
            <w:r>
              <w:rPr>
                <w:sz w:val="20"/>
              </w:rPr>
              <w:t xml:space="preserve">01.08.2023</w:t>
            </w:r>
          </w:p>
        </w:tc>
        <w:tc>
          <w:tcPr>
            <w:tcW w:w="1204" w:type="dxa"/>
          </w:tcPr>
          <w:p>
            <w:pPr>
              <w:pStyle w:val="0"/>
            </w:pPr>
            <w:r>
              <w:rPr>
                <w:sz w:val="20"/>
              </w:rPr>
              <w:t xml:space="preserve">31.12.2030</w:t>
            </w:r>
          </w:p>
        </w:tc>
        <w:tc>
          <w:tcPr>
            <w:tcW w:w="3439" w:type="dxa"/>
          </w:tcPr>
          <w:p>
            <w:pPr>
              <w:pStyle w:val="0"/>
            </w:pPr>
            <w:r>
              <w:rPr>
                <w:sz w:val="20"/>
              </w:rPr>
              <w:t xml:space="preserve">Начальник управления организации медицинской помощи Депздрава Югры;</w:t>
            </w:r>
          </w:p>
          <w:p>
            <w:pPr>
              <w:pStyle w:val="0"/>
            </w:pPr>
            <w:r>
              <w:rPr>
                <w:sz w:val="20"/>
              </w:rPr>
              <w:t xml:space="preserve">руководитель</w:t>
            </w:r>
          </w:p>
          <w:p>
            <w:pPr>
              <w:pStyle w:val="0"/>
            </w:pPr>
            <w:r>
              <w:rPr>
                <w:sz w:val="20"/>
              </w:rPr>
              <w:t xml:space="preserve">БУ "Центр общественного здоровья и медицинской профилактики" (по согласованию)</w:t>
            </w:r>
          </w:p>
        </w:tc>
        <w:tc>
          <w:tcPr>
            <w:tcW w:w="3049" w:type="dxa"/>
          </w:tcPr>
          <w:p>
            <w:pPr>
              <w:pStyle w:val="0"/>
            </w:pPr>
            <w:r>
              <w:rPr>
                <w:sz w:val="20"/>
              </w:rPr>
              <w:t xml:space="preserve">В средствах массовой информации ежегодно размещается не менее 4 роликов или статей о возможности населения пройти медицинскую реабилитацию</w:t>
            </w:r>
          </w:p>
        </w:tc>
        <w:tc>
          <w:tcPr>
            <w:tcW w:w="3049" w:type="dxa"/>
          </w:tcPr>
          <w:p>
            <w:pPr>
              <w:pStyle w:val="0"/>
            </w:pPr>
            <w:r>
              <w:rPr>
                <w:sz w:val="20"/>
              </w:rPr>
              <w:t xml:space="preserve">Осуществляется информирование в средствах массовой информации населения о возможности пройти медицинскую реабилитацию</w:t>
            </w:r>
          </w:p>
        </w:tc>
        <w:tc>
          <w:tcPr>
            <w:tcW w:w="1894" w:type="dxa"/>
          </w:tcPr>
          <w:p>
            <w:pPr>
              <w:pStyle w:val="0"/>
            </w:pPr>
            <w:r>
              <w:rPr>
                <w:sz w:val="20"/>
              </w:rPr>
              <w:t xml:space="preserve">Регулярное (ежегодное)</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jc w:val="right"/>
      </w:pPr>
      <w:r>
        <w:rPr>
          <w:sz w:val="20"/>
        </w:rPr>
      </w:r>
    </w:p>
    <w:p>
      <w:pPr>
        <w:pStyle w:val="2"/>
        <w:outlineLvl w:val="1"/>
        <w:jc w:val="center"/>
      </w:pPr>
      <w:r>
        <w:rPr>
          <w:sz w:val="20"/>
        </w:rPr>
        <w:t xml:space="preserve">Раздел V. ОЖИДАЕМЫЕ РЕЗУЛЬТАТЫ РЕГИОНАЛЬНОЙ ПРОГРАММЫ</w:t>
      </w:r>
    </w:p>
    <w:p>
      <w:pPr>
        <w:pStyle w:val="0"/>
        <w:ind w:firstLine="540"/>
        <w:jc w:val="both"/>
      </w:pPr>
      <w:r>
        <w:rPr>
          <w:sz w:val="20"/>
        </w:rPr>
      </w:r>
    </w:p>
    <w:p>
      <w:pPr>
        <w:pStyle w:val="0"/>
        <w:ind w:firstLine="540"/>
        <w:jc w:val="both"/>
      </w:pPr>
      <w:r>
        <w:rPr>
          <w:sz w:val="20"/>
        </w:rPr>
        <w:t xml:space="preserve">Выполнение мероприятий Региональной программы позволит достичь к 2030 году следующих результатов:</w:t>
      </w:r>
    </w:p>
    <w:p>
      <w:pPr>
        <w:pStyle w:val="0"/>
        <w:spacing w:before="200" w:line-rule="auto"/>
        <w:ind w:firstLine="540"/>
        <w:jc w:val="both"/>
      </w:pPr>
      <w:r>
        <w:rPr>
          <w:sz w:val="20"/>
        </w:rPr>
        <w:t xml:space="preserve">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составит не менее 95% в соответствующем году;</w:t>
      </w:r>
    </w:p>
    <w:p>
      <w:pPr>
        <w:pStyle w:val="0"/>
        <w:spacing w:before="200" w:line-rule="auto"/>
        <w:ind w:firstLine="540"/>
        <w:jc w:val="both"/>
      </w:pPr>
      <w:r>
        <w:rPr>
          <w:sz w:val="20"/>
        </w:rPr>
        <w:t xml:space="preserve">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составит не менее 35% в соответствующем году;</w:t>
      </w:r>
    </w:p>
    <w:p>
      <w:pPr>
        <w:pStyle w:val="0"/>
        <w:spacing w:before="200" w:line-rule="auto"/>
        <w:ind w:firstLine="540"/>
        <w:jc w:val="both"/>
      </w:pPr>
      <w:r>
        <w:rPr>
          <w:sz w:val="20"/>
        </w:rPr>
        <w:t xml:space="preserve">оснащены (переоснащены и (или) дооснащены) медицинскими изделиями 35 отделений медицинской реабилитации в 22 медицинских организациях автономного округа, оказывающих медицинскую помощь по медицинской реабилитации, в соответствии с порядками организации медицинской реабилитации взрослых и детей.</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11</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jc w:val="center"/>
      </w:pPr>
      <w:r>
        <w:rPr>
          <w:sz w:val="20"/>
        </w:rPr>
      </w:r>
    </w:p>
    <w:bookmarkStart w:id="27748" w:name="P27748"/>
    <w:bookmarkEnd w:id="27748"/>
    <w:p>
      <w:pPr>
        <w:pStyle w:val="2"/>
        <w:jc w:val="center"/>
      </w:pPr>
      <w:r>
        <w:rPr>
          <w:sz w:val="20"/>
        </w:rPr>
        <w:t xml:space="preserve">ПЛАН</w:t>
      </w:r>
    </w:p>
    <w:p>
      <w:pPr>
        <w:pStyle w:val="2"/>
        <w:jc w:val="center"/>
      </w:pPr>
      <w:r>
        <w:rPr>
          <w:sz w:val="20"/>
        </w:rPr>
        <w:t xml:space="preserve">МЕРОПРИЯТИЙ ПО СНИЖЕНИЮ СМЕРТНОСТИ СРЕДИ НЕСОВЕРШЕННОЛЕТНИХ</w:t>
      </w:r>
    </w:p>
    <w:p>
      <w:pPr>
        <w:pStyle w:val="2"/>
        <w:jc w:val="center"/>
      </w:pPr>
      <w:r>
        <w:rPr>
          <w:sz w:val="20"/>
        </w:rPr>
        <w:t xml:space="preserve">ОТ ВНЕШНИХ ПРИЧИН, В ТОМ ЧИСЛЕ ПО ПРОФИЛАКТИКЕ СУИЦИДОВ</w:t>
      </w:r>
    </w:p>
    <w:p>
      <w:pPr>
        <w:pStyle w:val="2"/>
        <w:jc w:val="center"/>
      </w:pPr>
      <w:r>
        <w:rPr>
          <w:sz w:val="20"/>
        </w:rPr>
        <w:t xml:space="preserve">СРЕДИ НЕСОВЕРШЕННОЛЕТНИХ, НА ПЕРИОД 2022 - 2025 ГОДЫ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23" w:tooltip="Постановление Правительства ХМАО - Югры от 18.11.2022 N 61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color w:val="392c69"/>
              </w:rPr>
              <w:t xml:space="preserve"> Правительства ХМАО - Югры от 18.11.2022 N 610-п)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1"/>
        <w:gridCol w:w="3402"/>
        <w:gridCol w:w="2551"/>
        <w:gridCol w:w="3402"/>
        <w:gridCol w:w="3798"/>
      </w:tblGrid>
      <w:tr>
        <w:tc>
          <w:tcPr>
            <w:tcW w:w="541" w:type="dxa"/>
          </w:tcPr>
          <w:p>
            <w:pPr>
              <w:pStyle w:val="0"/>
              <w:jc w:val="center"/>
            </w:pPr>
            <w:r>
              <w:rPr>
                <w:sz w:val="20"/>
              </w:rPr>
              <w:t xml:space="preserve">N п/п</w:t>
            </w:r>
          </w:p>
        </w:tc>
        <w:tc>
          <w:tcPr>
            <w:tcW w:w="3402" w:type="dxa"/>
          </w:tcPr>
          <w:p>
            <w:pPr>
              <w:pStyle w:val="0"/>
              <w:jc w:val="center"/>
            </w:pPr>
            <w:r>
              <w:rPr>
                <w:sz w:val="20"/>
              </w:rPr>
              <w:t xml:space="preserve">Наименование мероприятия</w:t>
            </w:r>
          </w:p>
        </w:tc>
        <w:tc>
          <w:tcPr>
            <w:tcW w:w="2551" w:type="dxa"/>
          </w:tcPr>
          <w:p>
            <w:pPr>
              <w:pStyle w:val="0"/>
              <w:jc w:val="center"/>
            </w:pPr>
            <w:r>
              <w:rPr>
                <w:sz w:val="20"/>
              </w:rPr>
              <w:t xml:space="preserve">Срок исполнения</w:t>
            </w:r>
          </w:p>
        </w:tc>
        <w:tc>
          <w:tcPr>
            <w:tcW w:w="3402" w:type="dxa"/>
          </w:tcPr>
          <w:p>
            <w:pPr>
              <w:pStyle w:val="0"/>
              <w:jc w:val="center"/>
            </w:pPr>
            <w:r>
              <w:rPr>
                <w:sz w:val="20"/>
              </w:rPr>
              <w:t xml:space="preserve">Ответственные исполнители</w:t>
            </w:r>
          </w:p>
        </w:tc>
        <w:tc>
          <w:tcPr>
            <w:tcW w:w="3798" w:type="dxa"/>
          </w:tcPr>
          <w:p>
            <w:pPr>
              <w:pStyle w:val="0"/>
              <w:jc w:val="center"/>
            </w:pPr>
            <w:r>
              <w:rPr>
                <w:sz w:val="20"/>
              </w:rPr>
              <w:t xml:space="preserve">Ожидаемый результат</w:t>
            </w:r>
          </w:p>
        </w:tc>
      </w:tr>
      <w:tr>
        <w:tc>
          <w:tcPr>
            <w:gridSpan w:val="5"/>
            <w:tcW w:w="13694" w:type="dxa"/>
          </w:tcPr>
          <w:p>
            <w:pPr>
              <w:pStyle w:val="0"/>
              <w:outlineLvl w:val="1"/>
              <w:jc w:val="center"/>
            </w:pPr>
            <w:r>
              <w:rPr>
                <w:sz w:val="20"/>
              </w:rPr>
              <w:t xml:space="preserve">I. Мероприятия, направленные на снижение смерти детей от внешних причин</w:t>
            </w:r>
          </w:p>
        </w:tc>
      </w:tr>
      <w:tr>
        <w:tc>
          <w:tcPr>
            <w:tcW w:w="541" w:type="dxa"/>
          </w:tcPr>
          <w:p>
            <w:pPr>
              <w:pStyle w:val="0"/>
            </w:pPr>
            <w:r>
              <w:rPr>
                <w:sz w:val="20"/>
              </w:rPr>
              <w:t xml:space="preserve">1.</w:t>
            </w:r>
          </w:p>
        </w:tc>
        <w:tc>
          <w:tcPr>
            <w:tcW w:w="3402" w:type="dxa"/>
          </w:tcPr>
          <w:p>
            <w:pPr>
              <w:pStyle w:val="0"/>
            </w:pPr>
            <w:r>
              <w:rPr>
                <w:sz w:val="20"/>
              </w:rPr>
              <w:t xml:space="preserve">Проведение информационной кампании среди несовершеннолетних, родителей (законных представителей) по предупреждению гибели несовершеннолетних от внешних причин (лекции, беседы, статьи в печатных изданиях, социальных сетях, на официальных сайтах медицинских организаций)</w:t>
            </w:r>
          </w:p>
        </w:tc>
        <w:tc>
          <w:tcPr>
            <w:tcW w:w="2551" w:type="dxa"/>
          </w:tcPr>
          <w:p>
            <w:pPr>
              <w:pStyle w:val="0"/>
            </w:pPr>
            <w:r>
              <w:rPr>
                <w:sz w:val="20"/>
              </w:rPr>
              <w:t xml:space="preserve">с 1 декабря 2022 года</w:t>
            </w:r>
          </w:p>
          <w:p>
            <w:pPr>
              <w:pStyle w:val="0"/>
            </w:pPr>
            <w:r>
              <w:rPr>
                <w:sz w:val="20"/>
              </w:rPr>
              <w:t xml:space="preserve">по 31 декабря 2025 года</w:t>
            </w:r>
          </w:p>
        </w:tc>
        <w:tc>
          <w:tcPr>
            <w:tcW w:w="3402" w:type="dxa"/>
          </w:tcPr>
          <w:p>
            <w:pPr>
              <w:pStyle w:val="0"/>
            </w:pPr>
            <w:r>
              <w:rPr>
                <w:sz w:val="20"/>
              </w:rPr>
              <w:t xml:space="preserve">Департамент здравоохранения Ханты-Мансийского автономного округа - Югры (далее - Депздрав Югры), Департамент социального развития Ханты-Мансийского автономного округа - Югры</w:t>
            </w:r>
          </w:p>
          <w:p>
            <w:pPr>
              <w:pStyle w:val="0"/>
            </w:pPr>
            <w:r>
              <w:rPr>
                <w:sz w:val="20"/>
              </w:rPr>
              <w:t xml:space="preserve">(далее - Депсоцразвития Югры), Департамент образования и науки Ханты-Мансийского автономного округа - Югры (далее - Депобразования и науки Югры),</w:t>
            </w:r>
          </w:p>
          <w:p>
            <w:pPr>
              <w:pStyle w:val="0"/>
            </w:pPr>
            <w:r>
              <w:rPr>
                <w:sz w:val="20"/>
              </w:rPr>
              <w:t xml:space="preserve">Комиссия по делам несовершеннолетних и защите их прав при Правительстве Ханты-Мансийского автономного округа - Югры (по согласованию)</w:t>
            </w:r>
          </w:p>
        </w:tc>
        <w:tc>
          <w:tcPr>
            <w:tcW w:w="3798" w:type="dxa"/>
          </w:tcPr>
          <w:p>
            <w:pPr>
              <w:pStyle w:val="0"/>
            </w:pPr>
            <w:r>
              <w:rPr>
                <w:sz w:val="20"/>
              </w:rPr>
              <w:t xml:space="preserve">повышение уровня знаний в области безопасного поведения, недопущение фактов гибели несовершеннолетних от внешних причин. Охват обучающихся, родителей (законных представителей) обучающихся 1 - 11 классов:</w:t>
            </w:r>
          </w:p>
          <w:p>
            <w:pPr>
              <w:pStyle w:val="0"/>
            </w:pPr>
            <w:r>
              <w:rPr>
                <w:sz w:val="20"/>
              </w:rPr>
              <w:t xml:space="preserve">в 2022 году - 50%;</w:t>
            </w:r>
          </w:p>
          <w:p>
            <w:pPr>
              <w:pStyle w:val="0"/>
            </w:pPr>
            <w:r>
              <w:rPr>
                <w:sz w:val="20"/>
              </w:rPr>
              <w:t xml:space="preserve">в 2023 году - 95%;</w:t>
            </w:r>
          </w:p>
          <w:p>
            <w:pPr>
              <w:pStyle w:val="0"/>
            </w:pPr>
            <w:r>
              <w:rPr>
                <w:sz w:val="20"/>
              </w:rPr>
              <w:t xml:space="preserve">в 2024 году - 95%;</w:t>
            </w:r>
          </w:p>
          <w:p>
            <w:pPr>
              <w:pStyle w:val="0"/>
            </w:pPr>
            <w:r>
              <w:rPr>
                <w:sz w:val="20"/>
              </w:rPr>
              <w:t xml:space="preserve">в 2025 году - 95%</w:t>
            </w:r>
          </w:p>
        </w:tc>
      </w:tr>
      <w:tr>
        <w:tc>
          <w:tcPr>
            <w:tcW w:w="541" w:type="dxa"/>
          </w:tcPr>
          <w:p>
            <w:pPr>
              <w:pStyle w:val="0"/>
            </w:pPr>
            <w:r>
              <w:rPr>
                <w:sz w:val="20"/>
              </w:rPr>
              <w:t xml:space="preserve">2.</w:t>
            </w:r>
          </w:p>
        </w:tc>
        <w:tc>
          <w:tcPr>
            <w:tcW w:w="3402" w:type="dxa"/>
          </w:tcPr>
          <w:p>
            <w:pPr>
              <w:pStyle w:val="0"/>
            </w:pPr>
            <w:r>
              <w:rPr>
                <w:sz w:val="20"/>
              </w:rPr>
              <w:t xml:space="preserve">Проведение мероприятий по формированию здорового образа жизни среди несовершеннолетних и их родителей (законных представителей) (лекции, беседы, статьи в печатных изданиях, социальных сетях)</w:t>
            </w:r>
          </w:p>
        </w:tc>
        <w:tc>
          <w:tcPr>
            <w:tcW w:w="2551" w:type="dxa"/>
          </w:tcPr>
          <w:p>
            <w:pPr>
              <w:pStyle w:val="0"/>
            </w:pPr>
            <w:r>
              <w:rPr>
                <w:sz w:val="20"/>
              </w:rPr>
              <w:t xml:space="preserve">с 1 декабря 2022 года</w:t>
            </w:r>
          </w:p>
          <w:p>
            <w:pPr>
              <w:pStyle w:val="0"/>
            </w:pPr>
            <w:r>
              <w:rPr>
                <w:sz w:val="20"/>
              </w:rPr>
              <w:t xml:space="preserve">по 31 декабря 2025 года</w:t>
            </w:r>
          </w:p>
        </w:tc>
        <w:tc>
          <w:tcPr>
            <w:tcW w:w="3402" w:type="dxa"/>
          </w:tcPr>
          <w:p>
            <w:pPr>
              <w:pStyle w:val="0"/>
            </w:pPr>
            <w:r>
              <w:rPr>
                <w:sz w:val="20"/>
              </w:rPr>
              <w:t xml:space="preserve">Депздрав Югры</w:t>
            </w:r>
          </w:p>
        </w:tc>
        <w:tc>
          <w:tcPr>
            <w:tcW w:w="3798" w:type="dxa"/>
          </w:tcPr>
          <w:p>
            <w:pPr>
              <w:pStyle w:val="0"/>
            </w:pPr>
            <w:r>
              <w:rPr>
                <w:sz w:val="20"/>
              </w:rPr>
              <w:t xml:space="preserve">повышение приверженности несовершеннолетних, родителей (законных представителей) к ведению здорового образа жизни. Охват обучающихся, родителей (законных представителей) обучающихся 1 - 11 классов:</w:t>
            </w:r>
          </w:p>
          <w:p>
            <w:pPr>
              <w:pStyle w:val="0"/>
            </w:pPr>
            <w:r>
              <w:rPr>
                <w:sz w:val="20"/>
              </w:rPr>
              <w:t xml:space="preserve">в 2022 году - 50%;</w:t>
            </w:r>
          </w:p>
          <w:p>
            <w:pPr>
              <w:pStyle w:val="0"/>
            </w:pPr>
            <w:r>
              <w:rPr>
                <w:sz w:val="20"/>
              </w:rPr>
              <w:t xml:space="preserve">в 2023 году - 95%;</w:t>
            </w:r>
          </w:p>
          <w:p>
            <w:pPr>
              <w:pStyle w:val="0"/>
            </w:pPr>
            <w:r>
              <w:rPr>
                <w:sz w:val="20"/>
              </w:rPr>
              <w:t xml:space="preserve">в 2024 году - 95%;</w:t>
            </w:r>
          </w:p>
          <w:p>
            <w:pPr>
              <w:pStyle w:val="0"/>
            </w:pPr>
            <w:r>
              <w:rPr>
                <w:sz w:val="20"/>
              </w:rPr>
              <w:t xml:space="preserve">в 2025 году - 95%</w:t>
            </w:r>
          </w:p>
        </w:tc>
      </w:tr>
      <w:tr>
        <w:tc>
          <w:tcPr>
            <w:tcW w:w="541" w:type="dxa"/>
          </w:tcPr>
          <w:p>
            <w:pPr>
              <w:pStyle w:val="0"/>
            </w:pPr>
            <w:r>
              <w:rPr>
                <w:sz w:val="20"/>
              </w:rPr>
              <w:t xml:space="preserve">3.</w:t>
            </w:r>
          </w:p>
        </w:tc>
        <w:tc>
          <w:tcPr>
            <w:tcW w:w="3402" w:type="dxa"/>
          </w:tcPr>
          <w:p>
            <w:pPr>
              <w:pStyle w:val="0"/>
            </w:pPr>
            <w:r>
              <w:rPr>
                <w:sz w:val="20"/>
              </w:rPr>
              <w:t xml:space="preserve">Привлечение несовершеннолетних к деятельности регионального отделения всероссийского общественного движения "Волонтеры-медики"</w:t>
            </w:r>
          </w:p>
        </w:tc>
        <w:tc>
          <w:tcPr>
            <w:tcW w:w="2551" w:type="dxa"/>
          </w:tcPr>
          <w:p>
            <w:pPr>
              <w:pStyle w:val="0"/>
            </w:pPr>
            <w:r>
              <w:rPr>
                <w:sz w:val="20"/>
              </w:rPr>
              <w:t xml:space="preserve">с 1 декабря 2022 года по 31 декабря 2025 года</w:t>
            </w:r>
          </w:p>
        </w:tc>
        <w:tc>
          <w:tcPr>
            <w:tcW w:w="3402" w:type="dxa"/>
          </w:tcPr>
          <w:p>
            <w:pPr>
              <w:pStyle w:val="0"/>
            </w:pPr>
            <w:r>
              <w:rPr>
                <w:sz w:val="20"/>
              </w:rPr>
              <w:t xml:space="preserve">Депздрав Югры</w:t>
            </w:r>
          </w:p>
        </w:tc>
        <w:tc>
          <w:tcPr>
            <w:tcW w:w="3798" w:type="dxa"/>
          </w:tcPr>
          <w:p>
            <w:pPr>
              <w:pStyle w:val="0"/>
            </w:pPr>
            <w:r>
              <w:rPr>
                <w:sz w:val="20"/>
              </w:rPr>
              <w:t xml:space="preserve">к движению привлечено:</w:t>
            </w:r>
          </w:p>
          <w:p>
            <w:pPr>
              <w:pStyle w:val="0"/>
            </w:pPr>
            <w:r>
              <w:rPr>
                <w:sz w:val="20"/>
              </w:rPr>
              <w:t xml:space="preserve">в 2022 году - 100 несовершеннолетних;</w:t>
            </w:r>
          </w:p>
          <w:p>
            <w:pPr>
              <w:pStyle w:val="0"/>
            </w:pPr>
            <w:r>
              <w:rPr>
                <w:sz w:val="20"/>
              </w:rPr>
              <w:t xml:space="preserve">в 2023 году - 125 несовершеннолетних;</w:t>
            </w:r>
          </w:p>
          <w:p>
            <w:pPr>
              <w:pStyle w:val="0"/>
            </w:pPr>
            <w:r>
              <w:rPr>
                <w:sz w:val="20"/>
              </w:rPr>
              <w:t xml:space="preserve">в 2024 году - 150 несовершеннолетних;</w:t>
            </w:r>
          </w:p>
          <w:p>
            <w:pPr>
              <w:pStyle w:val="0"/>
            </w:pPr>
            <w:r>
              <w:rPr>
                <w:sz w:val="20"/>
              </w:rPr>
              <w:t xml:space="preserve">в 2025 году - 175 несовершеннолетних</w:t>
            </w:r>
          </w:p>
        </w:tc>
      </w:tr>
      <w:tr>
        <w:tc>
          <w:tcPr>
            <w:tcW w:w="541" w:type="dxa"/>
          </w:tcPr>
          <w:p>
            <w:pPr>
              <w:pStyle w:val="0"/>
            </w:pPr>
            <w:r>
              <w:rPr>
                <w:sz w:val="20"/>
              </w:rPr>
              <w:t xml:space="preserve">4.</w:t>
            </w:r>
          </w:p>
        </w:tc>
        <w:tc>
          <w:tcPr>
            <w:tcW w:w="3402" w:type="dxa"/>
          </w:tcPr>
          <w:p>
            <w:pPr>
              <w:pStyle w:val="0"/>
            </w:pPr>
            <w:r>
              <w:rPr>
                <w:sz w:val="20"/>
              </w:rPr>
              <w:t xml:space="preserve">Информирование специалистами медицинских организаций органов и учреждений системы профилактики безнадзорности и правонарушений несовершеннолетних о фактах совершения в отношении несовершеннолетних противоправных деяний, влекущих причинение вреда их здоровью</w:t>
            </w:r>
          </w:p>
        </w:tc>
        <w:tc>
          <w:tcPr>
            <w:tcW w:w="2551" w:type="dxa"/>
          </w:tcPr>
          <w:p>
            <w:pPr>
              <w:pStyle w:val="0"/>
            </w:pPr>
            <w:r>
              <w:rPr>
                <w:sz w:val="20"/>
              </w:rPr>
              <w:t xml:space="preserve">с 1 декабря 2022 года по 31 декабря 2025 года</w:t>
            </w:r>
          </w:p>
        </w:tc>
        <w:tc>
          <w:tcPr>
            <w:tcW w:w="3402" w:type="dxa"/>
          </w:tcPr>
          <w:p>
            <w:pPr>
              <w:pStyle w:val="0"/>
            </w:pPr>
            <w:r>
              <w:rPr>
                <w:sz w:val="20"/>
              </w:rPr>
              <w:t xml:space="preserve">Депздрав Югры</w:t>
            </w:r>
          </w:p>
        </w:tc>
        <w:tc>
          <w:tcPr>
            <w:tcW w:w="3798" w:type="dxa"/>
          </w:tcPr>
          <w:p>
            <w:pPr>
              <w:pStyle w:val="0"/>
            </w:pPr>
            <w:r>
              <w:rPr>
                <w:sz w:val="20"/>
              </w:rPr>
              <w:t xml:space="preserve">информирование о фактах противоправных деяний в отношении несовершеннолетних:</w:t>
            </w:r>
          </w:p>
          <w:p>
            <w:pPr>
              <w:pStyle w:val="0"/>
            </w:pPr>
            <w:r>
              <w:rPr>
                <w:sz w:val="20"/>
              </w:rPr>
              <w:t xml:space="preserve">в 2022 году - 100% случаев;</w:t>
            </w:r>
          </w:p>
          <w:p>
            <w:pPr>
              <w:pStyle w:val="0"/>
            </w:pPr>
            <w:r>
              <w:rPr>
                <w:sz w:val="20"/>
              </w:rPr>
              <w:t xml:space="preserve">в 2023 году - 100% случаев;</w:t>
            </w:r>
          </w:p>
          <w:p>
            <w:pPr>
              <w:pStyle w:val="0"/>
            </w:pPr>
            <w:r>
              <w:rPr>
                <w:sz w:val="20"/>
              </w:rPr>
              <w:t xml:space="preserve">в 2024 году - 100% случаев;</w:t>
            </w:r>
          </w:p>
          <w:p>
            <w:pPr>
              <w:pStyle w:val="0"/>
            </w:pPr>
            <w:r>
              <w:rPr>
                <w:sz w:val="20"/>
              </w:rPr>
              <w:t xml:space="preserve">в 2025 году - 100% случаев</w:t>
            </w:r>
          </w:p>
        </w:tc>
      </w:tr>
      <w:tr>
        <w:tc>
          <w:tcPr>
            <w:tcW w:w="541" w:type="dxa"/>
          </w:tcPr>
          <w:p>
            <w:pPr>
              <w:pStyle w:val="0"/>
            </w:pPr>
            <w:r>
              <w:rPr>
                <w:sz w:val="20"/>
              </w:rPr>
              <w:t xml:space="preserve">5.</w:t>
            </w:r>
          </w:p>
        </w:tc>
        <w:tc>
          <w:tcPr>
            <w:tcW w:w="3402" w:type="dxa"/>
          </w:tcPr>
          <w:p>
            <w:pPr>
              <w:pStyle w:val="0"/>
            </w:pPr>
            <w:r>
              <w:rPr>
                <w:sz w:val="20"/>
              </w:rPr>
              <w:t xml:space="preserve">Размещение видеороликов, аудиороликов по профилактике детского дорожно-транспортного травматизма, информации по безопасности дорожного движения (на телевидении, на светодиодных экранах, в медицинских организациях)</w:t>
            </w:r>
          </w:p>
        </w:tc>
        <w:tc>
          <w:tcPr>
            <w:tcW w:w="2551" w:type="dxa"/>
          </w:tcPr>
          <w:p>
            <w:pPr>
              <w:pStyle w:val="0"/>
            </w:pPr>
            <w:r>
              <w:rPr>
                <w:sz w:val="20"/>
              </w:rPr>
              <w:t xml:space="preserve">с 1 декабря 2022 года по 31 декабря 2025 года</w:t>
            </w:r>
          </w:p>
        </w:tc>
        <w:tc>
          <w:tcPr>
            <w:tcW w:w="3402" w:type="dxa"/>
          </w:tcPr>
          <w:p>
            <w:pPr>
              <w:pStyle w:val="0"/>
            </w:pPr>
            <w:r>
              <w:rPr>
                <w:sz w:val="20"/>
              </w:rPr>
              <w:t xml:space="preserve">Депздрав Югры, УГИБДД УМВД России по Ханты-Мансийскому автономному округу - Югре</w:t>
            </w:r>
          </w:p>
          <w:p>
            <w:pPr>
              <w:pStyle w:val="0"/>
            </w:pPr>
            <w:r>
              <w:rPr>
                <w:sz w:val="20"/>
              </w:rPr>
              <w:t xml:space="preserve">(по согласованию)</w:t>
            </w:r>
          </w:p>
        </w:tc>
        <w:tc>
          <w:tcPr>
            <w:tcW w:w="3798" w:type="dxa"/>
          </w:tcPr>
          <w:p>
            <w:pPr>
              <w:pStyle w:val="0"/>
            </w:pPr>
            <w:r>
              <w:rPr>
                <w:sz w:val="20"/>
              </w:rPr>
              <w:t xml:space="preserve">повышение информированности участников дорожного движения о правилах безопасного поведения на дороге (вовлеченных в профилактическую работу)</w:t>
            </w:r>
          </w:p>
        </w:tc>
      </w:tr>
      <w:tr>
        <w:tc>
          <w:tcPr>
            <w:tcW w:w="541" w:type="dxa"/>
          </w:tcPr>
          <w:p>
            <w:pPr>
              <w:pStyle w:val="0"/>
            </w:pPr>
            <w:r>
              <w:rPr>
                <w:sz w:val="20"/>
              </w:rPr>
              <w:t xml:space="preserve">6.</w:t>
            </w:r>
          </w:p>
        </w:tc>
        <w:tc>
          <w:tcPr>
            <w:tcW w:w="3402" w:type="dxa"/>
          </w:tcPr>
          <w:p>
            <w:pPr>
              <w:pStyle w:val="0"/>
            </w:pPr>
            <w:r>
              <w:rPr>
                <w:sz w:val="20"/>
              </w:rPr>
              <w:t xml:space="preserve">Проведение открытых уроков по основам безопасности жизнедеятельности в рамках Дня знаний, Дня гражданской обороны (среди обучающихся 1 - 11 классов)</w:t>
            </w:r>
          </w:p>
        </w:tc>
        <w:tc>
          <w:tcPr>
            <w:tcW w:w="2551" w:type="dxa"/>
          </w:tcPr>
          <w:p>
            <w:pPr>
              <w:pStyle w:val="0"/>
            </w:pPr>
            <w:r>
              <w:rPr>
                <w:sz w:val="20"/>
              </w:rPr>
              <w:t xml:space="preserve">с 1 сентября 2023 года по 31 октября 2023 года,</w:t>
            </w:r>
          </w:p>
          <w:p>
            <w:pPr>
              <w:pStyle w:val="0"/>
            </w:pPr>
            <w:r>
              <w:rPr>
                <w:sz w:val="20"/>
              </w:rPr>
              <w:t xml:space="preserve">с 1 сентября 2024 года по 31 октября 2024 года,</w:t>
            </w:r>
          </w:p>
          <w:p>
            <w:pPr>
              <w:pStyle w:val="0"/>
            </w:pPr>
            <w:r>
              <w:rPr>
                <w:sz w:val="20"/>
              </w:rPr>
              <w:t xml:space="preserve">с 1 сентября 2025 года по 31 октября 2025 года</w:t>
            </w:r>
          </w:p>
        </w:tc>
        <w:tc>
          <w:tcPr>
            <w:tcW w:w="3402" w:type="dxa"/>
          </w:tcPr>
          <w:p>
            <w:pPr>
              <w:pStyle w:val="0"/>
            </w:pPr>
            <w:r>
              <w:rPr>
                <w:sz w:val="20"/>
              </w:rPr>
              <w:t xml:space="preserve">Депобразования и науки Югры,</w:t>
            </w:r>
          </w:p>
          <w:p>
            <w:pPr>
              <w:pStyle w:val="0"/>
            </w:pPr>
            <w:r>
              <w:rPr>
                <w:sz w:val="20"/>
              </w:rPr>
              <w:t xml:space="preserve">Главное управление МЧС России по Ханты-Мансийскому автономному округу - Югре (по согласованию)</w:t>
            </w:r>
          </w:p>
        </w:tc>
        <w:tc>
          <w:tcPr>
            <w:tcW w:w="3798" w:type="dxa"/>
          </w:tcPr>
          <w:p>
            <w:pPr>
              <w:pStyle w:val="0"/>
            </w:pPr>
            <w:r>
              <w:rPr>
                <w:sz w:val="20"/>
              </w:rPr>
              <w:t xml:space="preserve">разъяснение вопросов подготовки обучающихся к действиям в условиях экстремальных и чрезвычайных ситуаций. Охват обучающихся 1 - 11 классов:</w:t>
            </w:r>
          </w:p>
          <w:p>
            <w:pPr>
              <w:pStyle w:val="0"/>
            </w:pPr>
            <w:r>
              <w:rPr>
                <w:sz w:val="20"/>
              </w:rPr>
              <w:t xml:space="preserve">в 2022 году - 50%;</w:t>
            </w:r>
          </w:p>
          <w:p>
            <w:pPr>
              <w:pStyle w:val="0"/>
            </w:pPr>
            <w:r>
              <w:rPr>
                <w:sz w:val="20"/>
              </w:rPr>
              <w:t xml:space="preserve">в 2023 году - 95%;</w:t>
            </w:r>
          </w:p>
          <w:p>
            <w:pPr>
              <w:pStyle w:val="0"/>
            </w:pPr>
            <w:r>
              <w:rPr>
                <w:sz w:val="20"/>
              </w:rPr>
              <w:t xml:space="preserve">в 2024 году - 95%;</w:t>
            </w:r>
          </w:p>
          <w:p>
            <w:pPr>
              <w:pStyle w:val="0"/>
            </w:pPr>
            <w:r>
              <w:rPr>
                <w:sz w:val="20"/>
              </w:rPr>
              <w:t xml:space="preserve">в 2025 году - 95%</w:t>
            </w:r>
          </w:p>
        </w:tc>
      </w:tr>
      <w:tr>
        <w:tc>
          <w:tcPr>
            <w:tcW w:w="541" w:type="dxa"/>
          </w:tcPr>
          <w:p>
            <w:pPr>
              <w:pStyle w:val="0"/>
            </w:pPr>
            <w:r>
              <w:rPr>
                <w:sz w:val="20"/>
              </w:rPr>
              <w:t xml:space="preserve">7.</w:t>
            </w:r>
          </w:p>
        </w:tc>
        <w:tc>
          <w:tcPr>
            <w:tcW w:w="3402" w:type="dxa"/>
          </w:tcPr>
          <w:p>
            <w:pPr>
              <w:pStyle w:val="0"/>
            </w:pPr>
            <w:r>
              <w:rPr>
                <w:sz w:val="20"/>
              </w:rPr>
              <w:t xml:space="preserve">Проведение практических занятий специалистами Главного управления МЧС России по Ханты-Мансийскому автономному округу - Югре на базе общеобразовательных организаций (среди обучающихся 1 - 11 классов) для отработки практических действий в случае возникновения пожара</w:t>
            </w:r>
          </w:p>
        </w:tc>
        <w:tc>
          <w:tcPr>
            <w:tcW w:w="2551" w:type="dxa"/>
          </w:tcPr>
          <w:p>
            <w:pPr>
              <w:pStyle w:val="0"/>
            </w:pPr>
            <w:r>
              <w:rPr>
                <w:sz w:val="20"/>
              </w:rPr>
              <w:t xml:space="preserve">с 1 декабря 2022 года по 31 декабря 2025 года</w:t>
            </w:r>
          </w:p>
        </w:tc>
        <w:tc>
          <w:tcPr>
            <w:tcW w:w="3402" w:type="dxa"/>
          </w:tcPr>
          <w:p>
            <w:pPr>
              <w:pStyle w:val="0"/>
            </w:pPr>
            <w:r>
              <w:rPr>
                <w:sz w:val="20"/>
              </w:rPr>
              <w:t xml:space="preserve">Депобразования и науки Югры,</w:t>
            </w:r>
          </w:p>
          <w:p>
            <w:pPr>
              <w:pStyle w:val="0"/>
            </w:pPr>
            <w:r>
              <w:rPr>
                <w:sz w:val="20"/>
              </w:rPr>
              <w:t xml:space="preserve">Главное управление МЧС России по Ханты-Мансийскому автономному округу - Югре</w:t>
            </w:r>
          </w:p>
          <w:p>
            <w:pPr>
              <w:pStyle w:val="0"/>
            </w:pPr>
            <w:r>
              <w:rPr>
                <w:sz w:val="20"/>
              </w:rPr>
              <w:t xml:space="preserve">(по согласованию)</w:t>
            </w:r>
          </w:p>
        </w:tc>
        <w:tc>
          <w:tcPr>
            <w:tcW w:w="3798" w:type="dxa"/>
          </w:tcPr>
          <w:p>
            <w:pPr>
              <w:pStyle w:val="0"/>
            </w:pPr>
            <w:r>
              <w:rPr>
                <w:sz w:val="20"/>
              </w:rPr>
              <w:t xml:space="preserve">приобретение практических навыков действий при пожаре у обучающихся 1 - 11 классов, прошедших практические занятия</w:t>
            </w:r>
          </w:p>
        </w:tc>
      </w:tr>
      <w:tr>
        <w:tc>
          <w:tcPr>
            <w:tcW w:w="541" w:type="dxa"/>
          </w:tcPr>
          <w:p>
            <w:pPr>
              <w:pStyle w:val="0"/>
            </w:pPr>
            <w:r>
              <w:rPr>
                <w:sz w:val="20"/>
              </w:rPr>
              <w:t xml:space="preserve">8.</w:t>
            </w:r>
          </w:p>
        </w:tc>
        <w:tc>
          <w:tcPr>
            <w:tcW w:w="3402" w:type="dxa"/>
          </w:tcPr>
          <w:p>
            <w:pPr>
              <w:pStyle w:val="0"/>
            </w:pPr>
            <w:r>
              <w:rPr>
                <w:sz w:val="20"/>
              </w:rPr>
              <w:t xml:space="preserve">Информирование родителей (законных представителей) несовершеннолетних о безопасном поведении на водных объектах Ханты-Мансийского автономного округа - Югры в зимний, летний периоды (лекции, беседы, статьи в печатных изданиях, в социальных сетях)</w:t>
            </w:r>
          </w:p>
        </w:tc>
        <w:tc>
          <w:tcPr>
            <w:tcW w:w="2551" w:type="dxa"/>
          </w:tcPr>
          <w:p>
            <w:pPr>
              <w:pStyle w:val="0"/>
            </w:pPr>
            <w:r>
              <w:rPr>
                <w:sz w:val="20"/>
              </w:rPr>
              <w:t xml:space="preserve">с 1 декабря 2022 года по 31 декабря 2025 года</w:t>
            </w:r>
          </w:p>
        </w:tc>
        <w:tc>
          <w:tcPr>
            <w:tcW w:w="3402" w:type="dxa"/>
          </w:tcPr>
          <w:p>
            <w:pPr>
              <w:pStyle w:val="0"/>
            </w:pPr>
            <w:r>
              <w:rPr>
                <w:sz w:val="20"/>
              </w:rPr>
              <w:t xml:space="preserve">Депобразования и науки Югры,</w:t>
            </w:r>
          </w:p>
          <w:p>
            <w:pPr>
              <w:pStyle w:val="0"/>
            </w:pPr>
            <w:r>
              <w:rPr>
                <w:sz w:val="20"/>
              </w:rPr>
              <w:t xml:space="preserve">Главное управление МЧС России по Ханты-Мансийскому автономному округу - Югре (по согласованию), органы местного самоуправления муниципальных образований Ханты-Мансийского автономного округа - Югры</w:t>
            </w:r>
          </w:p>
          <w:p>
            <w:pPr>
              <w:pStyle w:val="0"/>
            </w:pPr>
            <w:r>
              <w:rPr>
                <w:sz w:val="20"/>
              </w:rPr>
              <w:t xml:space="preserve">(по согласованию)</w:t>
            </w:r>
          </w:p>
        </w:tc>
        <w:tc>
          <w:tcPr>
            <w:tcW w:w="3798" w:type="dxa"/>
          </w:tcPr>
          <w:p>
            <w:pPr>
              <w:pStyle w:val="0"/>
            </w:pPr>
            <w:r>
              <w:rPr>
                <w:sz w:val="20"/>
              </w:rPr>
              <w:t xml:space="preserve">охват обучающихся 1 - 11 классов, родителей (законных представителей) обучающихся просветительскими мероприятиями:</w:t>
            </w:r>
          </w:p>
          <w:p>
            <w:pPr>
              <w:pStyle w:val="0"/>
            </w:pPr>
            <w:r>
              <w:rPr>
                <w:sz w:val="20"/>
              </w:rPr>
              <w:t xml:space="preserve">в 2022 году - 75%;</w:t>
            </w:r>
          </w:p>
          <w:p>
            <w:pPr>
              <w:pStyle w:val="0"/>
            </w:pPr>
            <w:r>
              <w:rPr>
                <w:sz w:val="20"/>
              </w:rPr>
              <w:t xml:space="preserve">в 2023 году - 95%;</w:t>
            </w:r>
          </w:p>
          <w:p>
            <w:pPr>
              <w:pStyle w:val="0"/>
            </w:pPr>
            <w:r>
              <w:rPr>
                <w:sz w:val="20"/>
              </w:rPr>
              <w:t xml:space="preserve">в 2024 году - 95%;</w:t>
            </w:r>
          </w:p>
          <w:p>
            <w:pPr>
              <w:pStyle w:val="0"/>
            </w:pPr>
            <w:r>
              <w:rPr>
                <w:sz w:val="20"/>
              </w:rPr>
              <w:t xml:space="preserve">в 2025 году - 95%</w:t>
            </w:r>
          </w:p>
        </w:tc>
      </w:tr>
      <w:tr>
        <w:tc>
          <w:tcPr>
            <w:tcW w:w="541" w:type="dxa"/>
          </w:tcPr>
          <w:p>
            <w:pPr>
              <w:pStyle w:val="0"/>
            </w:pPr>
            <w:r>
              <w:rPr>
                <w:sz w:val="20"/>
              </w:rPr>
              <w:t xml:space="preserve">9.</w:t>
            </w:r>
          </w:p>
        </w:tc>
        <w:tc>
          <w:tcPr>
            <w:tcW w:w="3402" w:type="dxa"/>
          </w:tcPr>
          <w:p>
            <w:pPr>
              <w:pStyle w:val="0"/>
            </w:pPr>
            <w:r>
              <w:rPr>
                <w:sz w:val="20"/>
              </w:rPr>
              <w:t xml:space="preserve">Проведение окружных соревнований "Школа безопасности" на территории Ханты-Мансийского автономного округа - Югры</w:t>
            </w:r>
          </w:p>
        </w:tc>
        <w:tc>
          <w:tcPr>
            <w:tcW w:w="2551" w:type="dxa"/>
          </w:tcPr>
          <w:p>
            <w:pPr>
              <w:pStyle w:val="0"/>
            </w:pPr>
            <w:r>
              <w:rPr>
                <w:sz w:val="20"/>
              </w:rPr>
              <w:t xml:space="preserve">с 1 сентября 2023 года по 30 сентября 2023 года,</w:t>
            </w:r>
          </w:p>
          <w:p>
            <w:pPr>
              <w:pStyle w:val="0"/>
            </w:pPr>
            <w:r>
              <w:rPr>
                <w:sz w:val="20"/>
              </w:rPr>
              <w:t xml:space="preserve">с 1 сентября 2024 года по 30 сентября 2024 года,</w:t>
            </w:r>
          </w:p>
          <w:p>
            <w:pPr>
              <w:pStyle w:val="0"/>
            </w:pPr>
            <w:r>
              <w:rPr>
                <w:sz w:val="20"/>
              </w:rPr>
              <w:t xml:space="preserve">с 1 сентября 2025 года по 30 сентября 2025 года</w:t>
            </w:r>
          </w:p>
        </w:tc>
        <w:tc>
          <w:tcPr>
            <w:tcW w:w="3402" w:type="dxa"/>
          </w:tcPr>
          <w:p>
            <w:pPr>
              <w:pStyle w:val="0"/>
            </w:pPr>
            <w:r>
              <w:rPr>
                <w:sz w:val="20"/>
              </w:rPr>
              <w:t xml:space="preserve">Депобразования и науки Югры,</w:t>
            </w:r>
          </w:p>
          <w:p>
            <w:pPr>
              <w:pStyle w:val="0"/>
            </w:pPr>
            <w:r>
              <w:rPr>
                <w:sz w:val="20"/>
              </w:rPr>
              <w:t xml:space="preserve">Депздрав Югры, органы местного самоуправления муниципальных образований Ханты-Мансийского автономного округа - Югры (по согласованию), Главное управление МЧС России по Ханты-Мансийскому автономному округу - Югре</w:t>
            </w:r>
          </w:p>
          <w:p>
            <w:pPr>
              <w:pStyle w:val="0"/>
            </w:pPr>
            <w:r>
              <w:rPr>
                <w:sz w:val="20"/>
              </w:rPr>
              <w:t xml:space="preserve">(по согласованию)</w:t>
            </w:r>
          </w:p>
        </w:tc>
        <w:tc>
          <w:tcPr>
            <w:tcW w:w="3798" w:type="dxa"/>
          </w:tcPr>
          <w:p>
            <w:pPr>
              <w:pStyle w:val="0"/>
            </w:pPr>
            <w:r>
              <w:rPr>
                <w:sz w:val="20"/>
              </w:rPr>
              <w:t xml:space="preserve">участие в соревнованиях несовершеннолетних в возрасте 11 - 16 лет:</w:t>
            </w:r>
          </w:p>
          <w:p>
            <w:pPr>
              <w:pStyle w:val="0"/>
            </w:pPr>
            <w:r>
              <w:rPr>
                <w:sz w:val="20"/>
              </w:rPr>
              <w:t xml:space="preserve">в 2023 году - не менее 70 человек;</w:t>
            </w:r>
          </w:p>
          <w:p>
            <w:pPr>
              <w:pStyle w:val="0"/>
            </w:pPr>
            <w:r>
              <w:rPr>
                <w:sz w:val="20"/>
              </w:rPr>
              <w:t xml:space="preserve">в 2024 году - не менее 70 человек;</w:t>
            </w:r>
          </w:p>
          <w:p>
            <w:pPr>
              <w:pStyle w:val="0"/>
            </w:pPr>
            <w:r>
              <w:rPr>
                <w:sz w:val="20"/>
              </w:rPr>
              <w:t xml:space="preserve">в 2025 году - не менее 70 человек</w:t>
            </w:r>
          </w:p>
        </w:tc>
      </w:tr>
      <w:tr>
        <w:tc>
          <w:tcPr>
            <w:gridSpan w:val="5"/>
            <w:tcW w:w="13694" w:type="dxa"/>
          </w:tcPr>
          <w:p>
            <w:pPr>
              <w:pStyle w:val="0"/>
              <w:outlineLvl w:val="1"/>
              <w:jc w:val="center"/>
            </w:pPr>
            <w:r>
              <w:rPr>
                <w:sz w:val="20"/>
              </w:rPr>
              <w:t xml:space="preserve">II. Мероприятия, направленные на профилактику суицидов среди несовершеннолетних</w:t>
            </w:r>
          </w:p>
        </w:tc>
      </w:tr>
      <w:tr>
        <w:tc>
          <w:tcPr>
            <w:tcW w:w="541" w:type="dxa"/>
          </w:tcPr>
          <w:p>
            <w:pPr>
              <w:pStyle w:val="0"/>
            </w:pPr>
            <w:r>
              <w:rPr>
                <w:sz w:val="20"/>
              </w:rPr>
              <w:t xml:space="preserve">1.</w:t>
            </w:r>
          </w:p>
        </w:tc>
        <w:tc>
          <w:tcPr>
            <w:tcW w:w="3402" w:type="dxa"/>
          </w:tcPr>
          <w:p>
            <w:pPr>
              <w:pStyle w:val="0"/>
            </w:pPr>
            <w:r>
              <w:rPr>
                <w:sz w:val="20"/>
              </w:rPr>
              <w:t xml:space="preserve">Информирование родителей (законных представителей) несовершеннолетних о факторах риска суицидального поведения несовершеннолетних (выступления специалистов на телевидении, радио, видеосюжеты, публикации в печатных изданиях по проблемам депрессий, психологических дезадаптацией и кризисных состояний у несовершеннолетних) (информирование о мероприятиях в рамках родительских собраний)</w:t>
            </w:r>
          </w:p>
        </w:tc>
        <w:tc>
          <w:tcPr>
            <w:tcW w:w="2551" w:type="dxa"/>
          </w:tcPr>
          <w:p>
            <w:pPr>
              <w:pStyle w:val="0"/>
            </w:pPr>
            <w:r>
              <w:rPr>
                <w:sz w:val="20"/>
              </w:rPr>
              <w:t xml:space="preserve">с 1 декабря 2022 года по 31 декабря 2025 года</w:t>
            </w:r>
          </w:p>
        </w:tc>
        <w:tc>
          <w:tcPr>
            <w:tcW w:w="3402" w:type="dxa"/>
          </w:tcPr>
          <w:p>
            <w:pPr>
              <w:pStyle w:val="0"/>
            </w:pPr>
            <w:r>
              <w:rPr>
                <w:sz w:val="20"/>
              </w:rPr>
              <w:t xml:space="preserve">Депздрав Югры</w:t>
            </w:r>
          </w:p>
        </w:tc>
        <w:tc>
          <w:tcPr>
            <w:tcW w:w="3798" w:type="dxa"/>
          </w:tcPr>
          <w:p>
            <w:pPr>
              <w:pStyle w:val="0"/>
            </w:pPr>
            <w:r>
              <w:rPr>
                <w:sz w:val="20"/>
              </w:rPr>
              <w:t xml:space="preserve">повышение уровня информированности родителей (законных представителей) несовершеннолетних о принципах профилактики суицидального поведения несовершеннолетних:</w:t>
            </w:r>
          </w:p>
          <w:p>
            <w:pPr>
              <w:pStyle w:val="0"/>
            </w:pPr>
            <w:r>
              <w:rPr>
                <w:sz w:val="20"/>
              </w:rPr>
              <w:t xml:space="preserve">в 2022 году - не менее 50 мероприятий (беседы, публикации, статьи);</w:t>
            </w:r>
          </w:p>
          <w:p>
            <w:pPr>
              <w:pStyle w:val="0"/>
            </w:pPr>
            <w:r>
              <w:rPr>
                <w:sz w:val="20"/>
              </w:rPr>
              <w:t xml:space="preserve">в 2023 году - не менее 100 мероприятий (беседы, публикации, статьи);</w:t>
            </w:r>
          </w:p>
          <w:p>
            <w:pPr>
              <w:pStyle w:val="0"/>
            </w:pPr>
            <w:r>
              <w:rPr>
                <w:sz w:val="20"/>
              </w:rPr>
              <w:t xml:space="preserve">в 2024 году - не менее 125 мероприятий (беседы, публикации, статьи);</w:t>
            </w:r>
          </w:p>
          <w:p>
            <w:pPr>
              <w:pStyle w:val="0"/>
            </w:pPr>
            <w:r>
              <w:rPr>
                <w:sz w:val="20"/>
              </w:rPr>
              <w:t xml:space="preserve">в 2025 году - не менее 150 мероприятий (беседы, публикации, статьи)</w:t>
            </w:r>
          </w:p>
        </w:tc>
      </w:tr>
      <w:tr>
        <w:tc>
          <w:tcPr>
            <w:tcW w:w="541" w:type="dxa"/>
          </w:tcPr>
          <w:p>
            <w:pPr>
              <w:pStyle w:val="0"/>
            </w:pPr>
            <w:r>
              <w:rPr>
                <w:sz w:val="20"/>
              </w:rPr>
              <w:t xml:space="preserve">2.</w:t>
            </w:r>
          </w:p>
        </w:tc>
        <w:tc>
          <w:tcPr>
            <w:tcW w:w="3402" w:type="dxa"/>
          </w:tcPr>
          <w:p>
            <w:pPr>
              <w:pStyle w:val="0"/>
            </w:pPr>
            <w:r>
              <w:rPr>
                <w:sz w:val="20"/>
              </w:rPr>
              <w:t xml:space="preserve">Выявление факторов суицидального риска у несовершеннолетних обучающихся школ, колледжей, ВУЗов посредством тестирований, профилактических медицинских осмотров)</w:t>
            </w:r>
          </w:p>
        </w:tc>
        <w:tc>
          <w:tcPr>
            <w:tcW w:w="2551" w:type="dxa"/>
          </w:tcPr>
          <w:p>
            <w:pPr>
              <w:pStyle w:val="0"/>
            </w:pPr>
            <w:r>
              <w:rPr>
                <w:sz w:val="20"/>
              </w:rPr>
              <w:t xml:space="preserve">с 1 декабря 2022 года по 31 декабря 2025 года</w:t>
            </w:r>
          </w:p>
        </w:tc>
        <w:tc>
          <w:tcPr>
            <w:tcW w:w="3402" w:type="dxa"/>
          </w:tcPr>
          <w:p>
            <w:pPr>
              <w:pStyle w:val="0"/>
            </w:pPr>
            <w:r>
              <w:rPr>
                <w:sz w:val="20"/>
              </w:rPr>
              <w:t xml:space="preserve">Депобразования и науки Югры,</w:t>
            </w:r>
          </w:p>
          <w:p>
            <w:pPr>
              <w:pStyle w:val="0"/>
            </w:pPr>
            <w:r>
              <w:rPr>
                <w:sz w:val="20"/>
              </w:rPr>
              <w:t xml:space="preserve">Депздрав Югры</w:t>
            </w:r>
          </w:p>
        </w:tc>
        <w:tc>
          <w:tcPr>
            <w:tcW w:w="3798" w:type="dxa"/>
          </w:tcPr>
          <w:p>
            <w:pPr>
              <w:pStyle w:val="0"/>
            </w:pPr>
            <w:r>
              <w:rPr>
                <w:sz w:val="20"/>
              </w:rPr>
              <w:t xml:space="preserve">охват специализированной медицинской помощью 100% нуждающихся несовершеннолетних</w:t>
            </w:r>
          </w:p>
        </w:tc>
      </w:tr>
      <w:tr>
        <w:tc>
          <w:tcPr>
            <w:tcW w:w="541" w:type="dxa"/>
          </w:tcPr>
          <w:p>
            <w:pPr>
              <w:pStyle w:val="0"/>
            </w:pPr>
            <w:r>
              <w:rPr>
                <w:sz w:val="20"/>
              </w:rPr>
              <w:t xml:space="preserve">3.</w:t>
            </w:r>
          </w:p>
        </w:tc>
        <w:tc>
          <w:tcPr>
            <w:tcW w:w="3402" w:type="dxa"/>
          </w:tcPr>
          <w:p>
            <w:pPr>
              <w:pStyle w:val="0"/>
            </w:pPr>
            <w:r>
              <w:rPr>
                <w:sz w:val="20"/>
              </w:rPr>
              <w:t xml:space="preserve">Оказание экстренной психологической помощи детям посредством обращения на единую социально-психологическую службу "Телефон доверия"</w:t>
            </w:r>
          </w:p>
        </w:tc>
        <w:tc>
          <w:tcPr>
            <w:tcW w:w="2551" w:type="dxa"/>
          </w:tcPr>
          <w:p>
            <w:pPr>
              <w:pStyle w:val="0"/>
            </w:pPr>
            <w:r>
              <w:rPr>
                <w:sz w:val="20"/>
              </w:rPr>
              <w:t xml:space="preserve">с 1 декабря 2022 года по 31 декабря 2025 года</w:t>
            </w:r>
          </w:p>
        </w:tc>
        <w:tc>
          <w:tcPr>
            <w:tcW w:w="3402" w:type="dxa"/>
          </w:tcPr>
          <w:p>
            <w:pPr>
              <w:pStyle w:val="0"/>
            </w:pPr>
            <w:r>
              <w:rPr>
                <w:sz w:val="20"/>
              </w:rPr>
              <w:t xml:space="preserve">Депздрав Югры</w:t>
            </w:r>
          </w:p>
        </w:tc>
        <w:tc>
          <w:tcPr>
            <w:tcW w:w="3798" w:type="dxa"/>
          </w:tcPr>
          <w:p>
            <w:pPr>
              <w:pStyle w:val="0"/>
            </w:pPr>
            <w:r>
              <w:rPr>
                <w:sz w:val="20"/>
              </w:rPr>
              <w:t xml:space="preserve">предоставление психологической помощи несовершеннолетним с кризисными состояниями (обратившимся к специалистам единой социально-психологической службы "Телефон доверия") - 100% обратившихся</w:t>
            </w:r>
          </w:p>
        </w:tc>
      </w:tr>
      <w:tr>
        <w:tc>
          <w:tcPr>
            <w:tcW w:w="541" w:type="dxa"/>
          </w:tcPr>
          <w:p>
            <w:pPr>
              <w:pStyle w:val="0"/>
            </w:pPr>
            <w:r>
              <w:rPr>
                <w:sz w:val="20"/>
              </w:rPr>
              <w:t xml:space="preserve">4.</w:t>
            </w:r>
          </w:p>
        </w:tc>
        <w:tc>
          <w:tcPr>
            <w:tcW w:w="3402" w:type="dxa"/>
          </w:tcPr>
          <w:p>
            <w:pPr>
              <w:pStyle w:val="0"/>
            </w:pPr>
            <w:r>
              <w:rPr>
                <w:sz w:val="20"/>
              </w:rPr>
              <w:t xml:space="preserve">Распространение памяток для законных представителей (родителей) несовершеннолетних по вопросам выявления ранних признаков суицидального поведения у несовершеннолетних</w:t>
            </w:r>
          </w:p>
        </w:tc>
        <w:tc>
          <w:tcPr>
            <w:tcW w:w="2551" w:type="dxa"/>
          </w:tcPr>
          <w:p>
            <w:pPr>
              <w:pStyle w:val="0"/>
            </w:pPr>
            <w:r>
              <w:rPr>
                <w:sz w:val="20"/>
              </w:rPr>
              <w:t xml:space="preserve">с 1 декабря 2022 года по 31 декабря 2025 года</w:t>
            </w:r>
          </w:p>
        </w:tc>
        <w:tc>
          <w:tcPr>
            <w:tcW w:w="3402" w:type="dxa"/>
          </w:tcPr>
          <w:p>
            <w:pPr>
              <w:pStyle w:val="0"/>
            </w:pPr>
            <w:r>
              <w:rPr>
                <w:sz w:val="20"/>
              </w:rPr>
              <w:t xml:space="preserve">Депсоцразвития Югры</w:t>
            </w:r>
          </w:p>
        </w:tc>
        <w:tc>
          <w:tcPr>
            <w:tcW w:w="3798" w:type="dxa"/>
          </w:tcPr>
          <w:p>
            <w:pPr>
              <w:pStyle w:val="0"/>
            </w:pPr>
            <w:r>
              <w:rPr>
                <w:sz w:val="20"/>
              </w:rPr>
              <w:t xml:space="preserve">распределено памяток:</w:t>
            </w:r>
          </w:p>
          <w:p>
            <w:pPr>
              <w:pStyle w:val="0"/>
            </w:pPr>
            <w:r>
              <w:rPr>
                <w:sz w:val="20"/>
              </w:rPr>
              <w:t xml:space="preserve">в 2022 году - не менее 750 штук;</w:t>
            </w:r>
          </w:p>
          <w:p>
            <w:pPr>
              <w:pStyle w:val="0"/>
            </w:pPr>
            <w:r>
              <w:rPr>
                <w:sz w:val="20"/>
              </w:rPr>
              <w:t xml:space="preserve">в 2023 году - не менее 1000 штук;</w:t>
            </w:r>
          </w:p>
          <w:p>
            <w:pPr>
              <w:pStyle w:val="0"/>
            </w:pPr>
            <w:r>
              <w:rPr>
                <w:sz w:val="20"/>
              </w:rPr>
              <w:t xml:space="preserve">в 2024 году - не менее 1500 штук;</w:t>
            </w:r>
          </w:p>
          <w:p>
            <w:pPr>
              <w:pStyle w:val="0"/>
            </w:pPr>
            <w:r>
              <w:rPr>
                <w:sz w:val="20"/>
              </w:rPr>
              <w:t xml:space="preserve">в 2025 году - не менее 1750 штук</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12</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jc w:val="center"/>
      </w:pPr>
      <w:r>
        <w:rPr>
          <w:sz w:val="20"/>
        </w:rPr>
      </w:r>
    </w:p>
    <w:bookmarkStart w:id="27890" w:name="P27890"/>
    <w:bookmarkEnd w:id="27890"/>
    <w:p>
      <w:pPr>
        <w:pStyle w:val="2"/>
        <w:jc w:val="center"/>
      </w:pPr>
      <w:r>
        <w:rPr>
          <w:sz w:val="20"/>
        </w:rPr>
        <w:t xml:space="preserve">РЕГИОНАЛЬНАЯ ПРОГРАММА</w:t>
      </w:r>
    </w:p>
    <w:p>
      <w:pPr>
        <w:pStyle w:val="2"/>
        <w:jc w:val="center"/>
      </w:pPr>
      <w:r>
        <w:rPr>
          <w:sz w:val="20"/>
        </w:rPr>
        <w:t xml:space="preserve">ХАНТЫ-МАНСИЙСКОГО АВТОНОМНОГО ОКРУГА - ЮГРЫ "ОБЕСПЕЧЕНИЕ</w:t>
      </w:r>
    </w:p>
    <w:p>
      <w:pPr>
        <w:pStyle w:val="2"/>
        <w:jc w:val="center"/>
      </w:pPr>
      <w:r>
        <w:rPr>
          <w:sz w:val="20"/>
        </w:rPr>
        <w:t xml:space="preserve">РАСШИРЕННОГО НЕОНАТАЛЬНОГО СКРИНИНГА"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(введена </w:t>
            </w:r>
            <w:hyperlink w:history="0" r:id="rId224" w:tooltip="Постановление Правительства ХМАО - Югры от 23.12.2022 N 69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color w:val="392c69"/>
              </w:rPr>
              <w:t xml:space="preserve"> Правительства ХМАО - Югры от 23.12.2022 N 692-п)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1"/>
        <w:jc w:val="center"/>
      </w:pPr>
      <w:r>
        <w:rPr>
          <w:sz w:val="20"/>
        </w:rPr>
        <w:t xml:space="preserve">Введение</w:t>
      </w:r>
    </w:p>
    <w:p>
      <w:pPr>
        <w:pStyle w:val="0"/>
        <w:ind w:firstLine="540"/>
        <w:jc w:val="both"/>
      </w:pPr>
      <w:r>
        <w:rPr>
          <w:sz w:val="20"/>
        </w:rPr>
      </w:r>
    </w:p>
    <w:p>
      <w:pPr>
        <w:pStyle w:val="0"/>
        <w:ind w:firstLine="540"/>
        <w:jc w:val="both"/>
      </w:pPr>
      <w:r>
        <w:rPr>
          <w:sz w:val="20"/>
        </w:rPr>
        <w:t xml:space="preserve">Региональная программа Ханты-Мансийского автономного округа - Югры "Обеспечение расширенного неонатального скрининга" (далее - региональная программа, автономный округ) разработана в соответствии с </w:t>
      </w:r>
      <w:hyperlink w:history="0" r:id="rId225"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0"/>
            <w:color w:val="0000ff"/>
          </w:rPr>
          <w:t xml:space="preserve">приказом</w:t>
        </w:r>
      </w:hyperlink>
      <w:r>
        <w:rPr>
          <w:sz w:val="20"/>
        </w:rPr>
        <w:t xml:space="preserve"> Министерства здравоохранения Российской Федерации (далее - Минздрав России) от 21 апреля 2022 года N 274н "Об утверждении Порядка оказания медицинской помощи пациентам с врожденными и (или) наследственными заболеваниями" (далее - Приказ N 274н), методическими рекомендациями по формированию региональных программ "Обеспечение расширенного неонатального скрининга" от 24 октября 2022 года, утвержденными Минздравом России.</w:t>
      </w:r>
    </w:p>
    <w:p>
      <w:pPr>
        <w:pStyle w:val="0"/>
        <w:spacing w:before="200" w:line-rule="auto"/>
        <w:ind w:firstLine="540"/>
        <w:jc w:val="both"/>
      </w:pPr>
      <w:r>
        <w:rPr>
          <w:sz w:val="20"/>
        </w:rPr>
        <w:t xml:space="preserve">Региональная программа направлена на раннее выявление врожденных и (или) наследственных заболеваний, совершенствование медицинской помощи пациентам с врожденными и (или) наследственными заболеваниями, снижение младенческой смертности в автономном округе до 3,7 </w:t>
      </w:r>
      <w:r>
        <w:rPr>
          <w:sz w:val="20"/>
          <w:vertAlign w:val="superscript"/>
        </w:rPr>
        <w:t xml:space="preserve">0</w:t>
      </w:r>
      <w:r>
        <w:rPr>
          <w:sz w:val="20"/>
        </w:rPr>
        <w:t xml:space="preserve">/</w:t>
      </w:r>
      <w:r>
        <w:rPr>
          <w:sz w:val="20"/>
          <w:vertAlign w:val="subscript"/>
        </w:rPr>
        <w:t xml:space="preserve">00</w:t>
      </w:r>
      <w:r>
        <w:rPr>
          <w:sz w:val="20"/>
        </w:rPr>
        <w:t xml:space="preserve"> к 2025 году.</w:t>
      </w:r>
    </w:p>
    <w:p>
      <w:pPr>
        <w:pStyle w:val="0"/>
        <w:ind w:firstLine="540"/>
        <w:jc w:val="both"/>
      </w:pPr>
      <w:r>
        <w:rPr>
          <w:sz w:val="20"/>
        </w:rPr>
      </w:r>
    </w:p>
    <w:p>
      <w:pPr>
        <w:pStyle w:val="2"/>
        <w:outlineLvl w:val="1"/>
        <w:jc w:val="center"/>
      </w:pPr>
      <w:r>
        <w:rPr>
          <w:sz w:val="20"/>
        </w:rPr>
        <w:t xml:space="preserve">Исполнители региональной программы:</w:t>
      </w:r>
    </w:p>
    <w:p>
      <w:pPr>
        <w:pStyle w:val="0"/>
        <w:jc w:val="center"/>
      </w:pPr>
      <w:r>
        <w:rPr>
          <w:sz w:val="20"/>
        </w:rPr>
      </w:r>
    </w:p>
    <w:p>
      <w:pPr>
        <w:pStyle w:val="0"/>
        <w:ind w:firstLine="540"/>
        <w:jc w:val="both"/>
      </w:pPr>
      <w:r>
        <w:rPr>
          <w:sz w:val="20"/>
        </w:rPr>
        <w:t xml:space="preserve">Ответственным исполнителем региональной программы является Департамент здравоохранения автономного округа.</w:t>
      </w:r>
    </w:p>
    <w:p>
      <w:pPr>
        <w:pStyle w:val="0"/>
        <w:spacing w:before="200" w:line-rule="auto"/>
        <w:ind w:firstLine="540"/>
        <w:jc w:val="both"/>
      </w:pPr>
      <w:r>
        <w:rPr>
          <w:sz w:val="20"/>
        </w:rPr>
        <w:t xml:space="preserve">Соисполнителями региональной программы:</w:t>
      </w:r>
    </w:p>
    <w:p>
      <w:pPr>
        <w:pStyle w:val="0"/>
        <w:spacing w:before="200" w:line-rule="auto"/>
        <w:ind w:firstLine="540"/>
        <w:jc w:val="both"/>
      </w:pPr>
      <w:r>
        <w:rPr>
          <w:sz w:val="20"/>
        </w:rPr>
        <w:t xml:space="preserve">главный врач бюджетного учреждения автономного округа "Сургутский окружной клинический центр охраны материнства и детства";</w:t>
      </w:r>
    </w:p>
    <w:p>
      <w:pPr>
        <w:pStyle w:val="0"/>
        <w:spacing w:before="200" w:line-rule="auto"/>
        <w:ind w:firstLine="540"/>
        <w:jc w:val="both"/>
      </w:pPr>
      <w:r>
        <w:rPr>
          <w:sz w:val="20"/>
        </w:rPr>
        <w:t xml:space="preserve">заведующий медико-генетической консультацией бюджетного учреждения автономного округа "Сургутский окружной клинический центр охраны материнства и детства", главный внештатный специалист по медицинской генетике Департамента здравоохранения автономного округа.</w:t>
      </w:r>
    </w:p>
    <w:p>
      <w:pPr>
        <w:pStyle w:val="0"/>
        <w:spacing w:before="200" w:line-rule="auto"/>
        <w:ind w:firstLine="540"/>
        <w:jc w:val="both"/>
      </w:pPr>
      <w:r>
        <w:rPr>
          <w:sz w:val="20"/>
        </w:rPr>
        <w:t xml:space="preserve">Ответственный за подготовку региональной программы - начальник Управления медицинской помощи детям и службы родовспоможения Департамента здравоохранения автономного округа.</w:t>
      </w:r>
    </w:p>
    <w:p>
      <w:pPr>
        <w:pStyle w:val="0"/>
        <w:ind w:firstLine="540"/>
        <w:jc w:val="both"/>
      </w:pPr>
      <w:r>
        <w:rPr>
          <w:sz w:val="20"/>
        </w:rPr>
      </w:r>
    </w:p>
    <w:bookmarkStart w:id="27909" w:name="P27909"/>
    <w:bookmarkEnd w:id="27909"/>
    <w:p>
      <w:pPr>
        <w:pStyle w:val="2"/>
        <w:outlineLvl w:val="1"/>
        <w:jc w:val="center"/>
      </w:pPr>
      <w:r>
        <w:rPr>
          <w:sz w:val="20"/>
        </w:rPr>
        <w:t xml:space="preserve">Раздел 1. АНАЛИЗ ТЕКУЩЕГО СОСТОЯНИЯ ОКАЗАНИЯ МЕДИЦИНСКОЙ</w:t>
      </w:r>
    </w:p>
    <w:p>
      <w:pPr>
        <w:pStyle w:val="2"/>
        <w:jc w:val="center"/>
      </w:pPr>
      <w:r>
        <w:rPr>
          <w:sz w:val="20"/>
        </w:rPr>
        <w:t xml:space="preserve">ПОМОЩИ ПАЦИЕНТАМ С ВРОЖДЕННЫМИ И (ИЛИ) НАСЛЕДСТВЕННЫМИ</w:t>
      </w:r>
    </w:p>
    <w:p>
      <w:pPr>
        <w:pStyle w:val="2"/>
        <w:jc w:val="center"/>
      </w:pPr>
      <w:r>
        <w:rPr>
          <w:sz w:val="20"/>
        </w:rPr>
        <w:t xml:space="preserve">ЗАБОЛЕВАНИЯМИ В ХОДЕ НЕОНАТАЛЬНОГО СКРИНИНГА</w:t>
      </w:r>
    </w:p>
    <w:p>
      <w:pPr>
        <w:pStyle w:val="0"/>
        <w:ind w:firstLine="540"/>
        <w:jc w:val="both"/>
      </w:pPr>
      <w:r>
        <w:rPr>
          <w:sz w:val="20"/>
        </w:rPr>
      </w:r>
    </w:p>
    <w:p>
      <w:pPr>
        <w:pStyle w:val="2"/>
        <w:outlineLvl w:val="2"/>
        <w:jc w:val="center"/>
      </w:pPr>
      <w:r>
        <w:rPr>
          <w:sz w:val="20"/>
        </w:rPr>
        <w:t xml:space="preserve">1.1. Краткая характеристика автономного округа</w:t>
      </w:r>
    </w:p>
    <w:p>
      <w:pPr>
        <w:pStyle w:val="0"/>
        <w:ind w:firstLine="540"/>
        <w:jc w:val="both"/>
      </w:pPr>
      <w:r>
        <w:rPr>
          <w:sz w:val="20"/>
        </w:rPr>
      </w:r>
    </w:p>
    <w:p>
      <w:pPr>
        <w:pStyle w:val="0"/>
        <w:ind w:firstLine="540"/>
        <w:jc w:val="both"/>
      </w:pPr>
      <w:r>
        <w:rPr>
          <w:sz w:val="20"/>
        </w:rPr>
        <w:t xml:space="preserve">Автономный округ расположен в серединной части России и Евразийского материка. Его территория раскинулась с запада на восток почти на 1 400 км, с севера на юг - на 900 км. Протяженность границ автономного округа составляет 4 733 км.</w:t>
      </w:r>
    </w:p>
    <w:p>
      <w:pPr>
        <w:pStyle w:val="0"/>
        <w:spacing w:before="200" w:line-rule="auto"/>
        <w:ind w:firstLine="540"/>
        <w:jc w:val="both"/>
      </w:pPr>
      <w:r>
        <w:rPr>
          <w:sz w:val="20"/>
        </w:rPr>
        <w:t xml:space="preserve">Автономный округ граничит на севере с Ямало-Ненецким автономным округом, северо-западе - с Республикой Коми, юго-западе - со Свердловской областью, юге - с Тобольским и Уватским районами Тюменской области, юго-востоке и востоке - с Томской областью и Красноярским краем.</w:t>
      </w:r>
    </w:p>
    <w:p>
      <w:pPr>
        <w:pStyle w:val="0"/>
        <w:spacing w:before="200" w:line-rule="auto"/>
        <w:ind w:firstLine="540"/>
        <w:jc w:val="both"/>
      </w:pPr>
      <w:r>
        <w:rPr>
          <w:sz w:val="20"/>
        </w:rPr>
        <w:t xml:space="preserve">Площадь автономного округа составляет 534,8 тыс. кв. км (автономный округ занимает 9-е место по площади среди субъектов Российской Федерации (далее - РФ)).</w:t>
      </w:r>
    </w:p>
    <w:p>
      <w:pPr>
        <w:pStyle w:val="0"/>
        <w:spacing w:before="200" w:line-rule="auto"/>
        <w:ind w:firstLine="540"/>
        <w:jc w:val="both"/>
      </w:pPr>
      <w:r>
        <w:rPr>
          <w:sz w:val="20"/>
        </w:rPr>
        <w:t xml:space="preserve">По состоянию на 1 января 2022 года на территории автономного округа создано 105 муниципальных образований (13 городских округов, 9 муниципальных районов, 26 городских и 57 сельских поселений) и расположено 194 населенных пункта, из них: 16 городов (14 наделены статусом "город окружного значения"), 24 поселка городского типа, 58 поселков, 45 сел, 51 деревня.</w:t>
      </w:r>
    </w:p>
    <w:p>
      <w:pPr>
        <w:pStyle w:val="0"/>
        <w:spacing w:before="200" w:line-rule="auto"/>
        <w:ind w:firstLine="540"/>
        <w:jc w:val="both"/>
      </w:pPr>
      <w:r>
        <w:rPr>
          <w:sz w:val="20"/>
        </w:rPr>
        <w:t xml:space="preserve">Плотность населения составляет 3,16 человек на 1 кв. км, 7 районов автономного округа относятся к труднодоступным территориям. Данный факт обуславливает географические сложности оказания медицинской помощи жителям отдаленных территорий.</w:t>
      </w:r>
    </w:p>
    <w:p>
      <w:pPr>
        <w:pStyle w:val="0"/>
        <w:spacing w:before="200" w:line-rule="auto"/>
        <w:ind w:firstLine="540"/>
        <w:jc w:val="both"/>
      </w:pPr>
      <w:r>
        <w:rPr>
          <w:sz w:val="20"/>
        </w:rPr>
        <w:t xml:space="preserve">По данным на 1 января 2022 численность населения автономного округа 1 702 240 человек, из них городское население - 1 578 390 человек (92,7%), сельское население - 123 850 человек (7,3%).</w:t>
      </w:r>
    </w:p>
    <w:p>
      <w:pPr>
        <w:pStyle w:val="0"/>
        <w:spacing w:before="200" w:line-rule="auto"/>
        <w:ind w:firstLine="540"/>
        <w:jc w:val="both"/>
      </w:pPr>
      <w:r>
        <w:rPr>
          <w:sz w:val="20"/>
        </w:rPr>
        <w:t xml:space="preserve">Приоритетным направлением экономики автономного округа является добыча углеводородного сырья, также развиваются энергетика, строительство, транспортная инфраструктура и другие отрасли. Автономный округ является основным нефтегазоносным регионом РФ и одним из крупнейших нефтедобывающих регионов мира.</w:t>
      </w:r>
    </w:p>
    <w:p>
      <w:pPr>
        <w:pStyle w:val="0"/>
        <w:jc w:val="right"/>
      </w:pPr>
      <w:r>
        <w:rPr>
          <w:sz w:val="20"/>
        </w:rPr>
      </w:r>
    </w:p>
    <w:p>
      <w:pPr>
        <w:pStyle w:val="2"/>
        <w:outlineLvl w:val="2"/>
        <w:jc w:val="center"/>
      </w:pPr>
      <w:r>
        <w:rPr>
          <w:sz w:val="20"/>
        </w:rPr>
        <w:t xml:space="preserve">1.2. Анализ основных демографических показателей автономного</w:t>
      </w:r>
    </w:p>
    <w:p>
      <w:pPr>
        <w:pStyle w:val="2"/>
        <w:jc w:val="center"/>
      </w:pPr>
      <w:r>
        <w:rPr>
          <w:sz w:val="20"/>
        </w:rPr>
        <w:t xml:space="preserve">округа</w:t>
      </w:r>
    </w:p>
    <w:p>
      <w:pPr>
        <w:pStyle w:val="0"/>
        <w:ind w:firstLine="540"/>
        <w:jc w:val="both"/>
      </w:pPr>
      <w:r>
        <w:rPr>
          <w:sz w:val="20"/>
        </w:rPr>
      </w:r>
    </w:p>
    <w:p>
      <w:pPr>
        <w:pStyle w:val="0"/>
        <w:jc w:val="center"/>
      </w:pPr>
      <w:r>
        <w:rPr>
          <w:sz w:val="20"/>
        </w:rPr>
        <w:t xml:space="preserve">Демографические показатели в автономном округе</w:t>
      </w:r>
    </w:p>
    <w:p>
      <w:pPr>
        <w:pStyle w:val="0"/>
        <w:jc w:val="center"/>
      </w:pPr>
      <w:r>
        <w:rPr>
          <w:sz w:val="20"/>
        </w:rPr>
        <w:t xml:space="preserve">за период 2018 - 2022 гг. (данные Росстат)</w:t>
      </w:r>
    </w:p>
    <w:p>
      <w:pPr>
        <w:pStyle w:val="0"/>
        <w:jc w:val="center"/>
      </w:pPr>
      <w:r>
        <w:rPr>
          <w:sz w:val="20"/>
        </w:rPr>
      </w:r>
    </w:p>
    <w:p>
      <w:pPr>
        <w:pStyle w:val="0"/>
        <w:jc w:val="right"/>
      </w:pPr>
      <w:r>
        <w:rPr>
          <w:sz w:val="20"/>
        </w:rPr>
        <w:t xml:space="preserve">Таблица 1</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604"/>
        <w:gridCol w:w="604"/>
        <w:gridCol w:w="604"/>
        <w:gridCol w:w="604"/>
        <w:gridCol w:w="949"/>
      </w:tblGrid>
      <w:tr>
        <w:tc>
          <w:tcPr>
            <w:tcW w:w="3628" w:type="dxa"/>
          </w:tcPr>
          <w:p>
            <w:pPr>
              <w:pStyle w:val="0"/>
              <w:jc w:val="center"/>
            </w:pPr>
            <w:r>
              <w:rPr>
                <w:sz w:val="20"/>
              </w:rPr>
              <w:t xml:space="preserve">Наименование показателя</w:t>
            </w:r>
          </w:p>
        </w:tc>
        <w:tc>
          <w:tcPr>
            <w:tcW w:w="604" w:type="dxa"/>
          </w:tcPr>
          <w:p>
            <w:pPr>
              <w:pStyle w:val="0"/>
              <w:jc w:val="center"/>
            </w:pPr>
            <w:r>
              <w:rPr>
                <w:sz w:val="20"/>
              </w:rPr>
              <w:t xml:space="preserve">2018 год</w:t>
            </w:r>
          </w:p>
        </w:tc>
        <w:tc>
          <w:tcPr>
            <w:tcW w:w="604" w:type="dxa"/>
          </w:tcPr>
          <w:p>
            <w:pPr>
              <w:pStyle w:val="0"/>
              <w:jc w:val="center"/>
            </w:pPr>
            <w:r>
              <w:rPr>
                <w:sz w:val="20"/>
              </w:rPr>
              <w:t xml:space="preserve">2019</w:t>
            </w:r>
          </w:p>
          <w:p>
            <w:pPr>
              <w:pStyle w:val="0"/>
              <w:jc w:val="center"/>
            </w:pPr>
            <w:r>
              <w:rPr>
                <w:sz w:val="20"/>
              </w:rPr>
              <w:t xml:space="preserve">год</w:t>
            </w:r>
          </w:p>
        </w:tc>
        <w:tc>
          <w:tcPr>
            <w:tcW w:w="604" w:type="dxa"/>
          </w:tcPr>
          <w:p>
            <w:pPr>
              <w:pStyle w:val="0"/>
              <w:jc w:val="center"/>
            </w:pPr>
            <w:r>
              <w:rPr>
                <w:sz w:val="20"/>
              </w:rPr>
              <w:t xml:space="preserve">2020 год</w:t>
            </w:r>
          </w:p>
        </w:tc>
        <w:tc>
          <w:tcPr>
            <w:tcW w:w="604" w:type="dxa"/>
          </w:tcPr>
          <w:p>
            <w:pPr>
              <w:pStyle w:val="0"/>
              <w:jc w:val="center"/>
            </w:pPr>
            <w:r>
              <w:rPr>
                <w:sz w:val="20"/>
              </w:rPr>
              <w:t xml:space="preserve">2021 год</w:t>
            </w:r>
          </w:p>
        </w:tc>
        <w:tc>
          <w:tcPr>
            <w:tcW w:w="949" w:type="dxa"/>
          </w:tcPr>
          <w:p>
            <w:pPr>
              <w:pStyle w:val="0"/>
              <w:jc w:val="center"/>
            </w:pPr>
            <w:r>
              <w:rPr>
                <w:sz w:val="20"/>
              </w:rPr>
              <w:t xml:space="preserve">Данные за</w:t>
            </w:r>
          </w:p>
          <w:p>
            <w:pPr>
              <w:pStyle w:val="0"/>
              <w:jc w:val="center"/>
            </w:pPr>
            <w:r>
              <w:rPr>
                <w:sz w:val="20"/>
              </w:rPr>
              <w:t xml:space="preserve">9 месяцев 2022 года</w:t>
            </w:r>
          </w:p>
        </w:tc>
      </w:tr>
      <w:tr>
        <w:tc>
          <w:tcPr>
            <w:tcW w:w="3628" w:type="dxa"/>
          </w:tcPr>
          <w:p>
            <w:pPr>
              <w:pStyle w:val="0"/>
            </w:pPr>
            <w:r>
              <w:rPr>
                <w:sz w:val="20"/>
              </w:rPr>
              <w:t xml:space="preserve">Коэффициент рождаемости на 1000 населения</w:t>
            </w:r>
          </w:p>
        </w:tc>
        <w:tc>
          <w:tcPr>
            <w:tcW w:w="604" w:type="dxa"/>
          </w:tcPr>
          <w:p>
            <w:pPr>
              <w:pStyle w:val="0"/>
            </w:pPr>
            <w:r>
              <w:rPr>
                <w:sz w:val="20"/>
              </w:rPr>
              <w:t xml:space="preserve">13,6</w:t>
            </w:r>
          </w:p>
        </w:tc>
        <w:tc>
          <w:tcPr>
            <w:tcW w:w="604" w:type="dxa"/>
          </w:tcPr>
          <w:p>
            <w:pPr>
              <w:pStyle w:val="0"/>
            </w:pPr>
            <w:r>
              <w:rPr>
                <w:sz w:val="20"/>
              </w:rPr>
              <w:t xml:space="preserve">12,4</w:t>
            </w:r>
          </w:p>
        </w:tc>
        <w:tc>
          <w:tcPr>
            <w:tcW w:w="604" w:type="dxa"/>
          </w:tcPr>
          <w:p>
            <w:pPr>
              <w:pStyle w:val="0"/>
            </w:pPr>
            <w:r>
              <w:rPr>
                <w:sz w:val="20"/>
              </w:rPr>
              <w:t xml:space="preserve">12,3</w:t>
            </w:r>
          </w:p>
        </w:tc>
        <w:tc>
          <w:tcPr>
            <w:tcW w:w="604" w:type="dxa"/>
          </w:tcPr>
          <w:p>
            <w:pPr>
              <w:pStyle w:val="0"/>
            </w:pPr>
            <w:r>
              <w:rPr>
                <w:sz w:val="20"/>
              </w:rPr>
              <w:t xml:space="preserve">11,6</w:t>
            </w:r>
          </w:p>
        </w:tc>
        <w:tc>
          <w:tcPr>
            <w:tcW w:w="949" w:type="dxa"/>
          </w:tcPr>
          <w:p>
            <w:pPr>
              <w:pStyle w:val="0"/>
            </w:pPr>
            <w:r>
              <w:rPr>
                <w:sz w:val="20"/>
              </w:rPr>
              <w:t xml:space="preserve">11,2</w:t>
            </w:r>
          </w:p>
        </w:tc>
      </w:tr>
      <w:tr>
        <w:tc>
          <w:tcPr>
            <w:tcW w:w="3628" w:type="dxa"/>
          </w:tcPr>
          <w:p>
            <w:pPr>
              <w:pStyle w:val="0"/>
            </w:pPr>
            <w:r>
              <w:rPr>
                <w:sz w:val="20"/>
              </w:rPr>
              <w:t xml:space="preserve">Общий коэффициент смертности на 1000 населения</w:t>
            </w:r>
          </w:p>
        </w:tc>
        <w:tc>
          <w:tcPr>
            <w:tcW w:w="604" w:type="dxa"/>
          </w:tcPr>
          <w:p>
            <w:pPr>
              <w:pStyle w:val="0"/>
            </w:pPr>
            <w:r>
              <w:rPr>
                <w:sz w:val="20"/>
              </w:rPr>
              <w:t xml:space="preserve">6,3</w:t>
            </w:r>
          </w:p>
        </w:tc>
        <w:tc>
          <w:tcPr>
            <w:tcW w:w="604" w:type="dxa"/>
          </w:tcPr>
          <w:p>
            <w:pPr>
              <w:pStyle w:val="0"/>
            </w:pPr>
            <w:r>
              <w:rPr>
                <w:sz w:val="20"/>
              </w:rPr>
              <w:t xml:space="preserve">6,0</w:t>
            </w:r>
          </w:p>
        </w:tc>
        <w:tc>
          <w:tcPr>
            <w:tcW w:w="604" w:type="dxa"/>
          </w:tcPr>
          <w:p>
            <w:pPr>
              <w:pStyle w:val="0"/>
            </w:pPr>
            <w:r>
              <w:rPr>
                <w:sz w:val="20"/>
              </w:rPr>
              <w:t xml:space="preserve">7,6</w:t>
            </w:r>
          </w:p>
        </w:tc>
        <w:tc>
          <w:tcPr>
            <w:tcW w:w="604" w:type="dxa"/>
          </w:tcPr>
          <w:p>
            <w:pPr>
              <w:pStyle w:val="0"/>
            </w:pPr>
            <w:r>
              <w:rPr>
                <w:sz w:val="20"/>
              </w:rPr>
              <w:t xml:space="preserve">8,5</w:t>
            </w:r>
          </w:p>
        </w:tc>
        <w:tc>
          <w:tcPr>
            <w:tcW w:w="949" w:type="dxa"/>
          </w:tcPr>
          <w:p>
            <w:pPr>
              <w:pStyle w:val="0"/>
            </w:pPr>
            <w:r>
              <w:rPr>
                <w:sz w:val="20"/>
              </w:rPr>
              <w:t xml:space="preserve">6,5</w:t>
            </w:r>
          </w:p>
        </w:tc>
      </w:tr>
      <w:tr>
        <w:tc>
          <w:tcPr>
            <w:tcW w:w="3628" w:type="dxa"/>
          </w:tcPr>
          <w:p>
            <w:pPr>
              <w:pStyle w:val="0"/>
            </w:pPr>
            <w:r>
              <w:rPr>
                <w:sz w:val="20"/>
              </w:rPr>
              <w:t xml:space="preserve">Коэффициент естественного прироста населения</w:t>
            </w:r>
          </w:p>
        </w:tc>
        <w:tc>
          <w:tcPr>
            <w:tcW w:w="604" w:type="dxa"/>
          </w:tcPr>
          <w:p>
            <w:pPr>
              <w:pStyle w:val="0"/>
            </w:pPr>
            <w:r>
              <w:rPr>
                <w:sz w:val="20"/>
              </w:rPr>
              <w:t xml:space="preserve">7,3</w:t>
            </w:r>
          </w:p>
        </w:tc>
        <w:tc>
          <w:tcPr>
            <w:tcW w:w="604" w:type="dxa"/>
          </w:tcPr>
          <w:p>
            <w:pPr>
              <w:pStyle w:val="0"/>
            </w:pPr>
            <w:r>
              <w:rPr>
                <w:sz w:val="20"/>
              </w:rPr>
              <w:t xml:space="preserve">6,4</w:t>
            </w:r>
          </w:p>
        </w:tc>
        <w:tc>
          <w:tcPr>
            <w:tcW w:w="604" w:type="dxa"/>
          </w:tcPr>
          <w:p>
            <w:pPr>
              <w:pStyle w:val="0"/>
            </w:pPr>
            <w:r>
              <w:rPr>
                <w:sz w:val="20"/>
              </w:rPr>
              <w:t xml:space="preserve">4,7</w:t>
            </w:r>
          </w:p>
        </w:tc>
        <w:tc>
          <w:tcPr>
            <w:tcW w:w="604" w:type="dxa"/>
          </w:tcPr>
          <w:p>
            <w:pPr>
              <w:pStyle w:val="0"/>
            </w:pPr>
            <w:r>
              <w:rPr>
                <w:sz w:val="20"/>
              </w:rPr>
              <w:t xml:space="preserve">3,1</w:t>
            </w:r>
          </w:p>
        </w:tc>
        <w:tc>
          <w:tcPr>
            <w:tcW w:w="949" w:type="dxa"/>
          </w:tcPr>
          <w:p>
            <w:pPr>
              <w:pStyle w:val="0"/>
            </w:pPr>
            <w:r>
              <w:rPr>
                <w:sz w:val="20"/>
              </w:rPr>
              <w:t xml:space="preserve">4,7</w:t>
            </w:r>
          </w:p>
        </w:tc>
      </w:tr>
    </w:tbl>
    <w:p>
      <w:pPr>
        <w:pStyle w:val="0"/>
        <w:ind w:firstLine="540"/>
        <w:jc w:val="both"/>
      </w:pPr>
      <w:r>
        <w:rPr>
          <w:sz w:val="20"/>
        </w:rPr>
      </w:r>
    </w:p>
    <w:p>
      <w:pPr>
        <w:pStyle w:val="0"/>
        <w:jc w:val="center"/>
      </w:pPr>
      <w:r>
        <w:rPr>
          <w:sz w:val="20"/>
        </w:rPr>
        <w:t xml:space="preserve">Численность населения в автономном округе за период</w:t>
      </w:r>
    </w:p>
    <w:p>
      <w:pPr>
        <w:pStyle w:val="0"/>
        <w:jc w:val="center"/>
      </w:pPr>
      <w:r>
        <w:rPr>
          <w:sz w:val="20"/>
        </w:rPr>
        <w:t xml:space="preserve">2018 - 2022 гг. (данные Росстат)</w:t>
      </w:r>
    </w:p>
    <w:p>
      <w:pPr>
        <w:pStyle w:val="0"/>
        <w:jc w:val="center"/>
      </w:pPr>
      <w:r>
        <w:rPr>
          <w:sz w:val="20"/>
        </w:rPr>
      </w:r>
    </w:p>
    <w:p>
      <w:pPr>
        <w:pStyle w:val="0"/>
        <w:jc w:val="right"/>
      </w:pPr>
      <w:r>
        <w:rPr>
          <w:sz w:val="20"/>
        </w:rPr>
        <w:t xml:space="preserve">Таблица 2</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1204"/>
        <w:gridCol w:w="1204"/>
        <w:gridCol w:w="1204"/>
        <w:gridCol w:w="1204"/>
        <w:gridCol w:w="1204"/>
      </w:tblGrid>
      <w:tr>
        <w:tc>
          <w:tcPr>
            <w:tcW w:w="2494" w:type="dxa"/>
          </w:tcPr>
          <w:p>
            <w:pPr>
              <w:pStyle w:val="0"/>
              <w:jc w:val="center"/>
            </w:pPr>
            <w:r>
              <w:rPr>
                <w:sz w:val="20"/>
              </w:rPr>
              <w:t xml:space="preserve">Наименование показателя</w:t>
            </w:r>
          </w:p>
        </w:tc>
        <w:tc>
          <w:tcPr>
            <w:tcW w:w="1204" w:type="dxa"/>
          </w:tcPr>
          <w:p>
            <w:pPr>
              <w:pStyle w:val="0"/>
              <w:jc w:val="center"/>
            </w:pPr>
            <w:r>
              <w:rPr>
                <w:sz w:val="20"/>
              </w:rPr>
              <w:t xml:space="preserve">На 01.01.2018</w:t>
            </w:r>
          </w:p>
        </w:tc>
        <w:tc>
          <w:tcPr>
            <w:tcW w:w="1204" w:type="dxa"/>
          </w:tcPr>
          <w:p>
            <w:pPr>
              <w:pStyle w:val="0"/>
              <w:jc w:val="center"/>
            </w:pPr>
            <w:r>
              <w:rPr>
                <w:sz w:val="20"/>
              </w:rPr>
              <w:t xml:space="preserve">На 01.01.2019</w:t>
            </w:r>
          </w:p>
        </w:tc>
        <w:tc>
          <w:tcPr>
            <w:tcW w:w="1204" w:type="dxa"/>
          </w:tcPr>
          <w:p>
            <w:pPr>
              <w:pStyle w:val="0"/>
              <w:jc w:val="center"/>
            </w:pPr>
            <w:r>
              <w:rPr>
                <w:sz w:val="20"/>
              </w:rPr>
              <w:t xml:space="preserve">На 01.01.2020</w:t>
            </w:r>
          </w:p>
        </w:tc>
        <w:tc>
          <w:tcPr>
            <w:tcW w:w="1204" w:type="dxa"/>
          </w:tcPr>
          <w:p>
            <w:pPr>
              <w:pStyle w:val="0"/>
              <w:jc w:val="center"/>
            </w:pPr>
            <w:r>
              <w:rPr>
                <w:sz w:val="20"/>
              </w:rPr>
              <w:t xml:space="preserve">На 01.01.2021</w:t>
            </w:r>
          </w:p>
        </w:tc>
        <w:tc>
          <w:tcPr>
            <w:tcW w:w="1204" w:type="dxa"/>
          </w:tcPr>
          <w:p>
            <w:pPr>
              <w:pStyle w:val="0"/>
              <w:jc w:val="center"/>
            </w:pPr>
            <w:r>
              <w:rPr>
                <w:sz w:val="20"/>
              </w:rPr>
              <w:t xml:space="preserve">На 01.01.2022</w:t>
            </w:r>
          </w:p>
        </w:tc>
      </w:tr>
      <w:tr>
        <w:tc>
          <w:tcPr>
            <w:tcW w:w="2494" w:type="dxa"/>
          </w:tcPr>
          <w:p>
            <w:pPr>
              <w:pStyle w:val="0"/>
            </w:pPr>
            <w:r>
              <w:rPr>
                <w:sz w:val="20"/>
              </w:rPr>
              <w:t xml:space="preserve">Численность населения, всего</w:t>
            </w:r>
          </w:p>
        </w:tc>
        <w:tc>
          <w:tcPr>
            <w:tcW w:w="1204" w:type="dxa"/>
          </w:tcPr>
          <w:p>
            <w:pPr>
              <w:pStyle w:val="0"/>
            </w:pPr>
            <w:r>
              <w:rPr>
                <w:sz w:val="20"/>
              </w:rPr>
              <w:t xml:space="preserve">1655074</w:t>
            </w:r>
          </w:p>
        </w:tc>
        <w:tc>
          <w:tcPr>
            <w:tcW w:w="1204" w:type="dxa"/>
          </w:tcPr>
          <w:p>
            <w:pPr>
              <w:pStyle w:val="0"/>
            </w:pPr>
            <w:r>
              <w:rPr>
                <w:sz w:val="20"/>
              </w:rPr>
              <w:t xml:space="preserve">1663795</w:t>
            </w:r>
          </w:p>
        </w:tc>
        <w:tc>
          <w:tcPr>
            <w:tcW w:w="1204" w:type="dxa"/>
          </w:tcPr>
          <w:p>
            <w:pPr>
              <w:pStyle w:val="0"/>
            </w:pPr>
            <w:r>
              <w:rPr>
                <w:sz w:val="20"/>
              </w:rPr>
              <w:t xml:space="preserve">1674676</w:t>
            </w:r>
          </w:p>
        </w:tc>
        <w:tc>
          <w:tcPr>
            <w:tcW w:w="1204" w:type="dxa"/>
          </w:tcPr>
          <w:p>
            <w:pPr>
              <w:pStyle w:val="0"/>
            </w:pPr>
            <w:r>
              <w:rPr>
                <w:sz w:val="20"/>
              </w:rPr>
              <w:t xml:space="preserve">1687654</w:t>
            </w:r>
          </w:p>
        </w:tc>
        <w:tc>
          <w:tcPr>
            <w:tcW w:w="1204" w:type="dxa"/>
          </w:tcPr>
          <w:p>
            <w:pPr>
              <w:pStyle w:val="0"/>
            </w:pPr>
            <w:r>
              <w:rPr>
                <w:sz w:val="20"/>
              </w:rPr>
              <w:t xml:space="preserve">1702240</w:t>
            </w:r>
          </w:p>
        </w:tc>
      </w:tr>
      <w:tr>
        <w:tc>
          <w:tcPr>
            <w:tcW w:w="2494" w:type="dxa"/>
          </w:tcPr>
          <w:p>
            <w:pPr>
              <w:pStyle w:val="0"/>
            </w:pPr>
            <w:r>
              <w:rPr>
                <w:sz w:val="20"/>
              </w:rPr>
              <w:t xml:space="preserve">Из общего числа</w:t>
            </w:r>
          </w:p>
          <w:p>
            <w:pPr>
              <w:pStyle w:val="0"/>
            </w:pPr>
            <w:r>
              <w:rPr>
                <w:sz w:val="20"/>
              </w:rPr>
              <w:t xml:space="preserve">Дети 0 - 17, всего</w:t>
            </w:r>
          </w:p>
        </w:tc>
        <w:tc>
          <w:tcPr>
            <w:tcW w:w="1204" w:type="dxa"/>
          </w:tcPr>
          <w:p>
            <w:pPr>
              <w:pStyle w:val="0"/>
            </w:pPr>
            <w:r>
              <w:rPr>
                <w:sz w:val="20"/>
              </w:rPr>
              <w:t xml:space="preserve">420653</w:t>
            </w:r>
          </w:p>
        </w:tc>
        <w:tc>
          <w:tcPr>
            <w:tcW w:w="1204" w:type="dxa"/>
          </w:tcPr>
          <w:p>
            <w:pPr>
              <w:pStyle w:val="0"/>
            </w:pPr>
            <w:r>
              <w:rPr>
                <w:sz w:val="20"/>
              </w:rPr>
              <w:t xml:space="preserve">424791</w:t>
            </w:r>
          </w:p>
        </w:tc>
        <w:tc>
          <w:tcPr>
            <w:tcW w:w="1204" w:type="dxa"/>
          </w:tcPr>
          <w:p>
            <w:pPr>
              <w:pStyle w:val="0"/>
            </w:pPr>
            <w:r>
              <w:rPr>
                <w:sz w:val="20"/>
              </w:rPr>
              <w:t xml:space="preserve">426532</w:t>
            </w:r>
          </w:p>
        </w:tc>
        <w:tc>
          <w:tcPr>
            <w:tcW w:w="1204" w:type="dxa"/>
          </w:tcPr>
          <w:p>
            <w:pPr>
              <w:pStyle w:val="0"/>
            </w:pPr>
            <w:r>
              <w:rPr>
                <w:sz w:val="20"/>
              </w:rPr>
              <w:t xml:space="preserve">428063</w:t>
            </w:r>
          </w:p>
        </w:tc>
        <w:tc>
          <w:tcPr>
            <w:tcW w:w="1204" w:type="dxa"/>
          </w:tcPr>
          <w:p>
            <w:pPr>
              <w:pStyle w:val="0"/>
            </w:pPr>
            <w:r>
              <w:rPr>
                <w:sz w:val="20"/>
              </w:rPr>
              <w:t xml:space="preserve">428145</w:t>
            </w:r>
          </w:p>
        </w:tc>
      </w:tr>
      <w:tr>
        <w:tc>
          <w:tcPr>
            <w:tcW w:w="2494" w:type="dxa"/>
          </w:tcPr>
          <w:p>
            <w:pPr>
              <w:pStyle w:val="0"/>
            </w:pPr>
            <w:r>
              <w:rPr>
                <w:sz w:val="20"/>
              </w:rPr>
              <w:t xml:space="preserve">из них городское население</w:t>
            </w:r>
          </w:p>
        </w:tc>
        <w:tc>
          <w:tcPr>
            <w:tcW w:w="1204" w:type="dxa"/>
          </w:tcPr>
          <w:p>
            <w:pPr>
              <w:pStyle w:val="0"/>
            </w:pPr>
            <w:r>
              <w:rPr>
                <w:sz w:val="20"/>
              </w:rPr>
              <w:t xml:space="preserve">1528299</w:t>
            </w:r>
          </w:p>
        </w:tc>
        <w:tc>
          <w:tcPr>
            <w:tcW w:w="1204" w:type="dxa"/>
          </w:tcPr>
          <w:p>
            <w:pPr>
              <w:pStyle w:val="0"/>
            </w:pPr>
            <w:r>
              <w:rPr>
                <w:sz w:val="20"/>
              </w:rPr>
              <w:t xml:space="preserve">1538039</w:t>
            </w:r>
          </w:p>
        </w:tc>
        <w:tc>
          <w:tcPr>
            <w:tcW w:w="1204" w:type="dxa"/>
          </w:tcPr>
          <w:p>
            <w:pPr>
              <w:pStyle w:val="0"/>
            </w:pPr>
            <w:r>
              <w:rPr>
                <w:sz w:val="20"/>
              </w:rPr>
              <w:t xml:space="preserve">1549313</w:t>
            </w:r>
          </w:p>
        </w:tc>
        <w:tc>
          <w:tcPr>
            <w:tcW w:w="1204" w:type="dxa"/>
          </w:tcPr>
          <w:p>
            <w:pPr>
              <w:pStyle w:val="0"/>
            </w:pPr>
            <w:r>
              <w:rPr>
                <w:sz w:val="20"/>
              </w:rPr>
              <w:t xml:space="preserve">1563020</w:t>
            </w:r>
          </w:p>
        </w:tc>
        <w:tc>
          <w:tcPr>
            <w:tcW w:w="1204" w:type="dxa"/>
          </w:tcPr>
          <w:p>
            <w:pPr>
              <w:pStyle w:val="0"/>
            </w:pPr>
            <w:r>
              <w:rPr>
                <w:sz w:val="20"/>
              </w:rPr>
              <w:t xml:space="preserve">1578390</w:t>
            </w:r>
          </w:p>
        </w:tc>
      </w:tr>
      <w:tr>
        <w:tc>
          <w:tcPr>
            <w:tcW w:w="2494" w:type="dxa"/>
          </w:tcPr>
          <w:p>
            <w:pPr>
              <w:pStyle w:val="0"/>
            </w:pPr>
            <w:r>
              <w:rPr>
                <w:sz w:val="20"/>
              </w:rPr>
              <w:t xml:space="preserve">из них сельское население</w:t>
            </w:r>
          </w:p>
        </w:tc>
        <w:tc>
          <w:tcPr>
            <w:tcW w:w="1204" w:type="dxa"/>
          </w:tcPr>
          <w:p>
            <w:pPr>
              <w:pStyle w:val="0"/>
            </w:pPr>
            <w:r>
              <w:rPr>
                <w:sz w:val="20"/>
              </w:rPr>
              <w:t xml:space="preserve">126775</w:t>
            </w:r>
          </w:p>
        </w:tc>
        <w:tc>
          <w:tcPr>
            <w:tcW w:w="1204" w:type="dxa"/>
          </w:tcPr>
          <w:p>
            <w:pPr>
              <w:pStyle w:val="0"/>
            </w:pPr>
            <w:r>
              <w:rPr>
                <w:sz w:val="20"/>
              </w:rPr>
              <w:t xml:space="preserve">125756</w:t>
            </w:r>
          </w:p>
        </w:tc>
        <w:tc>
          <w:tcPr>
            <w:tcW w:w="1204" w:type="dxa"/>
          </w:tcPr>
          <w:p>
            <w:pPr>
              <w:pStyle w:val="0"/>
            </w:pPr>
            <w:r>
              <w:rPr>
                <w:sz w:val="20"/>
              </w:rPr>
              <w:t xml:space="preserve">125363</w:t>
            </w:r>
          </w:p>
        </w:tc>
        <w:tc>
          <w:tcPr>
            <w:tcW w:w="1204" w:type="dxa"/>
          </w:tcPr>
          <w:p>
            <w:pPr>
              <w:pStyle w:val="0"/>
            </w:pPr>
            <w:r>
              <w:rPr>
                <w:sz w:val="20"/>
              </w:rPr>
              <w:t xml:space="preserve">124634</w:t>
            </w:r>
          </w:p>
        </w:tc>
        <w:tc>
          <w:tcPr>
            <w:tcW w:w="1204" w:type="dxa"/>
          </w:tcPr>
          <w:p>
            <w:pPr>
              <w:pStyle w:val="0"/>
            </w:pPr>
            <w:r>
              <w:rPr>
                <w:sz w:val="20"/>
              </w:rPr>
              <w:t xml:space="preserve">123850</w:t>
            </w:r>
          </w:p>
        </w:tc>
      </w:tr>
      <w:tr>
        <w:tc>
          <w:tcPr>
            <w:tcW w:w="2494" w:type="dxa"/>
          </w:tcPr>
          <w:p>
            <w:pPr>
              <w:pStyle w:val="0"/>
            </w:pPr>
            <w:r>
              <w:rPr>
                <w:sz w:val="20"/>
              </w:rPr>
              <w:t xml:space="preserve">из них 0 - 1 год</w:t>
            </w:r>
          </w:p>
        </w:tc>
        <w:tc>
          <w:tcPr>
            <w:tcW w:w="1204" w:type="dxa"/>
          </w:tcPr>
          <w:p>
            <w:pPr>
              <w:pStyle w:val="0"/>
            </w:pPr>
            <w:r>
              <w:rPr>
                <w:sz w:val="20"/>
              </w:rPr>
              <w:t xml:space="preserve">23244</w:t>
            </w:r>
          </w:p>
        </w:tc>
        <w:tc>
          <w:tcPr>
            <w:tcW w:w="1204" w:type="dxa"/>
          </w:tcPr>
          <w:p>
            <w:pPr>
              <w:pStyle w:val="0"/>
            </w:pPr>
            <w:r>
              <w:rPr>
                <w:sz w:val="20"/>
              </w:rPr>
              <w:t xml:space="preserve">22546</w:t>
            </w:r>
          </w:p>
        </w:tc>
        <w:tc>
          <w:tcPr>
            <w:tcW w:w="1204" w:type="dxa"/>
          </w:tcPr>
          <w:p>
            <w:pPr>
              <w:pStyle w:val="0"/>
            </w:pPr>
            <w:r>
              <w:rPr>
                <w:sz w:val="20"/>
              </w:rPr>
              <w:t xml:space="preserve">20696</w:t>
            </w:r>
          </w:p>
        </w:tc>
        <w:tc>
          <w:tcPr>
            <w:tcW w:w="1204" w:type="dxa"/>
          </w:tcPr>
          <w:p>
            <w:pPr>
              <w:pStyle w:val="0"/>
            </w:pPr>
            <w:r>
              <w:rPr>
                <w:sz w:val="20"/>
              </w:rPr>
              <w:t xml:space="preserve">20593</w:t>
            </w:r>
          </w:p>
        </w:tc>
        <w:tc>
          <w:tcPr>
            <w:tcW w:w="1204" w:type="dxa"/>
          </w:tcPr>
          <w:p>
            <w:pPr>
              <w:pStyle w:val="0"/>
            </w:pPr>
            <w:r>
              <w:rPr>
                <w:sz w:val="20"/>
              </w:rPr>
              <w:t xml:space="preserve">19637</w:t>
            </w:r>
          </w:p>
        </w:tc>
      </w:tr>
    </w:tbl>
    <w:p>
      <w:pPr>
        <w:pStyle w:val="0"/>
        <w:jc w:val="right"/>
      </w:pPr>
      <w:r>
        <w:rPr>
          <w:sz w:val="20"/>
        </w:rPr>
      </w:r>
    </w:p>
    <w:p>
      <w:pPr>
        <w:pStyle w:val="0"/>
        <w:jc w:val="center"/>
      </w:pPr>
      <w:r>
        <w:rPr>
          <w:sz w:val="20"/>
        </w:rPr>
        <w:t xml:space="preserve">Основные показатели перинатальной, младенческой, детской</w:t>
      </w:r>
    </w:p>
    <w:p>
      <w:pPr>
        <w:pStyle w:val="0"/>
        <w:jc w:val="center"/>
      </w:pPr>
      <w:r>
        <w:rPr>
          <w:sz w:val="20"/>
        </w:rPr>
        <w:t xml:space="preserve">смертности в автономном округе за период 2018 - 2022 гг.</w:t>
      </w:r>
    </w:p>
    <w:p>
      <w:pPr>
        <w:pStyle w:val="0"/>
        <w:jc w:val="center"/>
      </w:pPr>
      <w:r>
        <w:rPr>
          <w:sz w:val="20"/>
        </w:rPr>
        <w:t xml:space="preserve">(данные Росстат, управления федеральной службы</w:t>
      </w:r>
    </w:p>
    <w:p>
      <w:pPr>
        <w:pStyle w:val="0"/>
        <w:jc w:val="center"/>
      </w:pPr>
      <w:r>
        <w:rPr>
          <w:sz w:val="20"/>
        </w:rPr>
        <w:t xml:space="preserve">государственной статистики по Тюменской области, автономному</w:t>
      </w:r>
    </w:p>
    <w:p>
      <w:pPr>
        <w:pStyle w:val="0"/>
        <w:jc w:val="center"/>
      </w:pPr>
      <w:r>
        <w:rPr>
          <w:sz w:val="20"/>
        </w:rPr>
        <w:t xml:space="preserve">округу и Ямало-Ненецкому автономному округу)</w:t>
      </w:r>
    </w:p>
    <w:p>
      <w:pPr>
        <w:pStyle w:val="0"/>
        <w:jc w:val="center"/>
      </w:pPr>
      <w:r>
        <w:rPr>
          <w:sz w:val="20"/>
        </w:rPr>
      </w:r>
    </w:p>
    <w:p>
      <w:pPr>
        <w:pStyle w:val="0"/>
        <w:jc w:val="right"/>
      </w:pPr>
      <w:r>
        <w:rPr>
          <w:sz w:val="20"/>
        </w:rPr>
        <w:t xml:space="preserve">Таблица 3</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574"/>
        <w:gridCol w:w="829"/>
        <w:gridCol w:w="574"/>
        <w:gridCol w:w="829"/>
        <w:gridCol w:w="574"/>
        <w:gridCol w:w="829"/>
        <w:gridCol w:w="574"/>
        <w:gridCol w:w="829"/>
        <w:gridCol w:w="574"/>
        <w:gridCol w:w="829"/>
      </w:tblGrid>
      <w:tr>
        <w:tc>
          <w:tcPr>
            <w:tcW w:w="1928" w:type="dxa"/>
            <w:vMerge w:val="restart"/>
          </w:tcPr>
          <w:p>
            <w:pPr>
              <w:pStyle w:val="0"/>
              <w:jc w:val="center"/>
            </w:pPr>
            <w:r>
              <w:rPr>
                <w:sz w:val="20"/>
              </w:rPr>
              <w:t xml:space="preserve">Показатель</w:t>
            </w:r>
          </w:p>
        </w:tc>
        <w:tc>
          <w:tcPr>
            <w:gridSpan w:val="2"/>
            <w:tcW w:w="1403" w:type="dxa"/>
          </w:tcPr>
          <w:p>
            <w:pPr>
              <w:pStyle w:val="0"/>
              <w:jc w:val="center"/>
            </w:pPr>
            <w:r>
              <w:rPr>
                <w:sz w:val="20"/>
              </w:rPr>
              <w:t xml:space="preserve">2018 год</w:t>
            </w:r>
          </w:p>
        </w:tc>
        <w:tc>
          <w:tcPr>
            <w:gridSpan w:val="2"/>
            <w:tcW w:w="1403" w:type="dxa"/>
          </w:tcPr>
          <w:p>
            <w:pPr>
              <w:pStyle w:val="0"/>
              <w:jc w:val="center"/>
            </w:pPr>
            <w:r>
              <w:rPr>
                <w:sz w:val="20"/>
              </w:rPr>
              <w:t xml:space="preserve">2019 год</w:t>
            </w:r>
          </w:p>
        </w:tc>
        <w:tc>
          <w:tcPr>
            <w:gridSpan w:val="2"/>
            <w:tcW w:w="1403" w:type="dxa"/>
          </w:tcPr>
          <w:p>
            <w:pPr>
              <w:pStyle w:val="0"/>
              <w:jc w:val="center"/>
            </w:pPr>
            <w:r>
              <w:rPr>
                <w:sz w:val="20"/>
              </w:rPr>
              <w:t xml:space="preserve">2020 год</w:t>
            </w:r>
          </w:p>
        </w:tc>
        <w:tc>
          <w:tcPr>
            <w:gridSpan w:val="2"/>
            <w:tcW w:w="1403" w:type="dxa"/>
          </w:tcPr>
          <w:p>
            <w:pPr>
              <w:pStyle w:val="0"/>
              <w:jc w:val="center"/>
            </w:pPr>
            <w:r>
              <w:rPr>
                <w:sz w:val="20"/>
              </w:rPr>
              <w:t xml:space="preserve">2021 год</w:t>
            </w:r>
          </w:p>
        </w:tc>
        <w:tc>
          <w:tcPr>
            <w:gridSpan w:val="2"/>
            <w:tcW w:w="1403" w:type="dxa"/>
          </w:tcPr>
          <w:p>
            <w:pPr>
              <w:pStyle w:val="0"/>
              <w:jc w:val="center"/>
            </w:pPr>
            <w:r>
              <w:rPr>
                <w:sz w:val="20"/>
              </w:rPr>
              <w:t xml:space="preserve">9 мес. 2022</w:t>
            </w:r>
          </w:p>
        </w:tc>
      </w:tr>
      <w:tr>
        <w:tc>
          <w:tcPr>
            <w:vMerge w:val="continue"/>
          </w:tcPr>
          <w:p/>
        </w:tc>
        <w:tc>
          <w:tcPr>
            <w:tcW w:w="574" w:type="dxa"/>
          </w:tcPr>
          <w:p>
            <w:pPr>
              <w:pStyle w:val="0"/>
              <w:jc w:val="center"/>
            </w:pPr>
            <w:r>
              <w:rPr>
                <w:sz w:val="20"/>
              </w:rPr>
              <w:t xml:space="preserve">Абс.</w:t>
            </w:r>
          </w:p>
        </w:tc>
        <w:tc>
          <w:tcPr>
            <w:tcW w:w="829" w:type="dxa"/>
          </w:tcPr>
          <w:p>
            <w:pPr>
              <w:pStyle w:val="0"/>
              <w:jc w:val="center"/>
            </w:pPr>
            <w:r>
              <w:rPr>
                <w:sz w:val="20"/>
              </w:rPr>
              <w:t xml:space="preserve">Пок-ль</w:t>
            </w:r>
          </w:p>
        </w:tc>
        <w:tc>
          <w:tcPr>
            <w:tcW w:w="574" w:type="dxa"/>
          </w:tcPr>
          <w:p>
            <w:pPr>
              <w:pStyle w:val="0"/>
              <w:jc w:val="center"/>
            </w:pPr>
            <w:r>
              <w:rPr>
                <w:sz w:val="20"/>
              </w:rPr>
              <w:t xml:space="preserve">Абс.</w:t>
            </w:r>
          </w:p>
        </w:tc>
        <w:tc>
          <w:tcPr>
            <w:tcW w:w="829" w:type="dxa"/>
          </w:tcPr>
          <w:p>
            <w:pPr>
              <w:pStyle w:val="0"/>
              <w:jc w:val="center"/>
            </w:pPr>
            <w:r>
              <w:rPr>
                <w:sz w:val="20"/>
              </w:rPr>
              <w:t xml:space="preserve">Пок-ль</w:t>
            </w:r>
          </w:p>
        </w:tc>
        <w:tc>
          <w:tcPr>
            <w:tcW w:w="574" w:type="dxa"/>
          </w:tcPr>
          <w:p>
            <w:pPr>
              <w:pStyle w:val="0"/>
              <w:jc w:val="center"/>
            </w:pPr>
            <w:r>
              <w:rPr>
                <w:sz w:val="20"/>
              </w:rPr>
              <w:t xml:space="preserve">Абс.</w:t>
            </w:r>
          </w:p>
        </w:tc>
        <w:tc>
          <w:tcPr>
            <w:tcW w:w="829" w:type="dxa"/>
          </w:tcPr>
          <w:p>
            <w:pPr>
              <w:pStyle w:val="0"/>
              <w:jc w:val="center"/>
            </w:pPr>
            <w:r>
              <w:rPr>
                <w:sz w:val="20"/>
              </w:rPr>
              <w:t xml:space="preserve">Пок-ль</w:t>
            </w:r>
          </w:p>
        </w:tc>
        <w:tc>
          <w:tcPr>
            <w:tcW w:w="574" w:type="dxa"/>
          </w:tcPr>
          <w:p>
            <w:pPr>
              <w:pStyle w:val="0"/>
              <w:jc w:val="center"/>
            </w:pPr>
            <w:r>
              <w:rPr>
                <w:sz w:val="20"/>
              </w:rPr>
              <w:t xml:space="preserve">Абс.</w:t>
            </w:r>
          </w:p>
        </w:tc>
        <w:tc>
          <w:tcPr>
            <w:tcW w:w="829" w:type="dxa"/>
          </w:tcPr>
          <w:p>
            <w:pPr>
              <w:pStyle w:val="0"/>
              <w:jc w:val="center"/>
            </w:pPr>
            <w:r>
              <w:rPr>
                <w:sz w:val="20"/>
              </w:rPr>
              <w:t xml:space="preserve">Пок-ль</w:t>
            </w:r>
          </w:p>
        </w:tc>
        <w:tc>
          <w:tcPr>
            <w:tcW w:w="574" w:type="dxa"/>
          </w:tcPr>
          <w:p>
            <w:pPr>
              <w:pStyle w:val="0"/>
              <w:jc w:val="center"/>
            </w:pPr>
            <w:r>
              <w:rPr>
                <w:sz w:val="20"/>
              </w:rPr>
              <w:t xml:space="preserve">Абс.</w:t>
            </w:r>
          </w:p>
        </w:tc>
        <w:tc>
          <w:tcPr>
            <w:tcW w:w="829" w:type="dxa"/>
          </w:tcPr>
          <w:p>
            <w:pPr>
              <w:pStyle w:val="0"/>
              <w:jc w:val="center"/>
            </w:pPr>
            <w:r>
              <w:rPr>
                <w:sz w:val="20"/>
              </w:rPr>
              <w:t xml:space="preserve">Пок-ль</w:t>
            </w:r>
          </w:p>
        </w:tc>
      </w:tr>
      <w:tr>
        <w:tc>
          <w:tcPr>
            <w:tcW w:w="1928" w:type="dxa"/>
          </w:tcPr>
          <w:p>
            <w:pPr>
              <w:pStyle w:val="0"/>
            </w:pPr>
            <w:r>
              <w:rPr>
                <w:sz w:val="20"/>
              </w:rPr>
              <w:t xml:space="preserve">Перинатальная смертность</w:t>
            </w:r>
          </w:p>
        </w:tc>
        <w:tc>
          <w:tcPr>
            <w:tcW w:w="574" w:type="dxa"/>
          </w:tcPr>
          <w:p>
            <w:pPr>
              <w:pStyle w:val="0"/>
            </w:pPr>
            <w:r>
              <w:rPr>
                <w:sz w:val="20"/>
              </w:rPr>
              <w:t xml:space="preserve">97</w:t>
            </w:r>
          </w:p>
        </w:tc>
        <w:tc>
          <w:tcPr>
            <w:tcW w:w="829" w:type="dxa"/>
          </w:tcPr>
          <w:p>
            <w:pPr>
              <w:pStyle w:val="0"/>
            </w:pPr>
            <w:r>
              <w:rPr>
                <w:sz w:val="20"/>
              </w:rPr>
              <w:t xml:space="preserve">4,29</w:t>
            </w:r>
          </w:p>
        </w:tc>
        <w:tc>
          <w:tcPr>
            <w:tcW w:w="574" w:type="dxa"/>
          </w:tcPr>
          <w:p>
            <w:pPr>
              <w:pStyle w:val="0"/>
            </w:pPr>
            <w:r>
              <w:rPr>
                <w:sz w:val="20"/>
              </w:rPr>
              <w:t xml:space="preserve">97</w:t>
            </w:r>
          </w:p>
        </w:tc>
        <w:tc>
          <w:tcPr>
            <w:tcW w:w="829" w:type="dxa"/>
          </w:tcPr>
          <w:p>
            <w:pPr>
              <w:pStyle w:val="0"/>
            </w:pPr>
            <w:r>
              <w:rPr>
                <w:sz w:val="20"/>
              </w:rPr>
              <w:t xml:space="preserve">4,67</w:t>
            </w:r>
          </w:p>
        </w:tc>
        <w:tc>
          <w:tcPr>
            <w:tcW w:w="574" w:type="dxa"/>
          </w:tcPr>
          <w:p>
            <w:pPr>
              <w:pStyle w:val="0"/>
            </w:pPr>
            <w:r>
              <w:rPr>
                <w:sz w:val="20"/>
              </w:rPr>
              <w:t xml:space="preserve">98</w:t>
            </w:r>
          </w:p>
        </w:tc>
        <w:tc>
          <w:tcPr>
            <w:tcW w:w="829" w:type="dxa"/>
          </w:tcPr>
          <w:p>
            <w:pPr>
              <w:pStyle w:val="0"/>
            </w:pPr>
            <w:r>
              <w:rPr>
                <w:sz w:val="20"/>
              </w:rPr>
              <w:t xml:space="preserve">4,74</w:t>
            </w:r>
          </w:p>
        </w:tc>
        <w:tc>
          <w:tcPr>
            <w:tcW w:w="574" w:type="dxa"/>
          </w:tcPr>
          <w:p>
            <w:pPr>
              <w:pStyle w:val="0"/>
            </w:pPr>
            <w:r>
              <w:rPr>
                <w:sz w:val="20"/>
              </w:rPr>
              <w:t xml:space="preserve">103</w:t>
            </w:r>
          </w:p>
        </w:tc>
        <w:tc>
          <w:tcPr>
            <w:tcW w:w="829" w:type="dxa"/>
          </w:tcPr>
          <w:p>
            <w:pPr>
              <w:pStyle w:val="0"/>
            </w:pPr>
            <w:r>
              <w:rPr>
                <w:sz w:val="20"/>
              </w:rPr>
              <w:t xml:space="preserve">5,21</w:t>
            </w:r>
          </w:p>
        </w:tc>
        <w:tc>
          <w:tcPr>
            <w:tcW w:w="574" w:type="dxa"/>
          </w:tcPr>
          <w:p>
            <w:pPr>
              <w:pStyle w:val="0"/>
            </w:pPr>
            <w:r>
              <w:rPr>
                <w:sz w:val="20"/>
              </w:rPr>
              <w:t xml:space="preserve">61</w:t>
            </w:r>
          </w:p>
        </w:tc>
        <w:tc>
          <w:tcPr>
            <w:tcW w:w="829" w:type="dxa"/>
          </w:tcPr>
          <w:p>
            <w:pPr>
              <w:pStyle w:val="0"/>
            </w:pPr>
            <w:r>
              <w:rPr>
                <w:sz w:val="20"/>
              </w:rPr>
              <w:t xml:space="preserve">4,40</w:t>
            </w:r>
          </w:p>
        </w:tc>
      </w:tr>
      <w:tr>
        <w:tc>
          <w:tcPr>
            <w:tcW w:w="1928" w:type="dxa"/>
          </w:tcPr>
          <w:p>
            <w:pPr>
              <w:pStyle w:val="0"/>
            </w:pPr>
            <w:r>
              <w:rPr>
                <w:sz w:val="20"/>
              </w:rPr>
              <w:t xml:space="preserve">Неонатальная смертность</w:t>
            </w:r>
          </w:p>
        </w:tc>
        <w:tc>
          <w:tcPr>
            <w:tcW w:w="574" w:type="dxa"/>
          </w:tcPr>
          <w:p>
            <w:pPr>
              <w:pStyle w:val="0"/>
            </w:pPr>
            <w:r>
              <w:rPr>
                <w:sz w:val="20"/>
              </w:rPr>
              <w:t xml:space="preserve">38</w:t>
            </w:r>
          </w:p>
        </w:tc>
        <w:tc>
          <w:tcPr>
            <w:tcW w:w="829" w:type="dxa"/>
          </w:tcPr>
          <w:p>
            <w:pPr>
              <w:pStyle w:val="0"/>
            </w:pPr>
            <w:r>
              <w:rPr>
                <w:sz w:val="20"/>
              </w:rPr>
              <w:t xml:space="preserve">1,70</w:t>
            </w:r>
          </w:p>
        </w:tc>
        <w:tc>
          <w:tcPr>
            <w:tcW w:w="574" w:type="dxa"/>
          </w:tcPr>
          <w:p>
            <w:pPr>
              <w:pStyle w:val="0"/>
            </w:pPr>
            <w:r>
              <w:rPr>
                <w:sz w:val="20"/>
              </w:rPr>
              <w:t xml:space="preserve">46</w:t>
            </w:r>
          </w:p>
        </w:tc>
        <w:tc>
          <w:tcPr>
            <w:tcW w:w="829" w:type="dxa"/>
          </w:tcPr>
          <w:p>
            <w:pPr>
              <w:pStyle w:val="0"/>
            </w:pPr>
            <w:r>
              <w:rPr>
                <w:sz w:val="20"/>
              </w:rPr>
              <w:t xml:space="preserve">2,22</w:t>
            </w:r>
          </w:p>
        </w:tc>
        <w:tc>
          <w:tcPr>
            <w:tcW w:w="574" w:type="dxa"/>
          </w:tcPr>
          <w:p>
            <w:pPr>
              <w:pStyle w:val="0"/>
            </w:pPr>
            <w:r>
              <w:rPr>
                <w:sz w:val="20"/>
              </w:rPr>
              <w:t xml:space="preserve">31</w:t>
            </w:r>
          </w:p>
        </w:tc>
        <w:tc>
          <w:tcPr>
            <w:tcW w:w="829" w:type="dxa"/>
          </w:tcPr>
          <w:p>
            <w:pPr>
              <w:pStyle w:val="0"/>
            </w:pPr>
            <w:r>
              <w:rPr>
                <w:sz w:val="20"/>
              </w:rPr>
              <w:t xml:space="preserve">1,51</w:t>
            </w:r>
          </w:p>
        </w:tc>
        <w:tc>
          <w:tcPr>
            <w:tcW w:w="574" w:type="dxa"/>
          </w:tcPr>
          <w:p>
            <w:pPr>
              <w:pStyle w:val="0"/>
            </w:pPr>
            <w:r>
              <w:rPr>
                <w:sz w:val="20"/>
              </w:rPr>
              <w:t xml:space="preserve">37</w:t>
            </w:r>
          </w:p>
        </w:tc>
        <w:tc>
          <w:tcPr>
            <w:tcW w:w="829" w:type="dxa"/>
          </w:tcPr>
          <w:p>
            <w:pPr>
              <w:pStyle w:val="0"/>
            </w:pPr>
            <w:r>
              <w:rPr>
                <w:sz w:val="20"/>
              </w:rPr>
              <w:t xml:space="preserve">1,88</w:t>
            </w:r>
          </w:p>
        </w:tc>
        <w:tc>
          <w:tcPr>
            <w:tcW w:w="574" w:type="dxa"/>
          </w:tcPr>
          <w:p>
            <w:pPr>
              <w:pStyle w:val="0"/>
            </w:pPr>
            <w:r>
              <w:rPr>
                <w:sz w:val="20"/>
              </w:rPr>
              <w:t xml:space="preserve">15</w:t>
            </w:r>
          </w:p>
        </w:tc>
        <w:tc>
          <w:tcPr>
            <w:tcW w:w="829" w:type="dxa"/>
          </w:tcPr>
          <w:p>
            <w:pPr>
              <w:pStyle w:val="0"/>
            </w:pPr>
            <w:r>
              <w:rPr>
                <w:sz w:val="20"/>
              </w:rPr>
              <w:t xml:space="preserve">1,20</w:t>
            </w:r>
          </w:p>
        </w:tc>
      </w:tr>
      <w:tr>
        <w:tc>
          <w:tcPr>
            <w:tcW w:w="1928" w:type="dxa"/>
          </w:tcPr>
          <w:p>
            <w:pPr>
              <w:pStyle w:val="0"/>
            </w:pPr>
            <w:r>
              <w:rPr>
                <w:sz w:val="20"/>
              </w:rPr>
              <w:t xml:space="preserve">Ранняя неонатальная смертность</w:t>
            </w:r>
          </w:p>
        </w:tc>
        <w:tc>
          <w:tcPr>
            <w:tcW w:w="574" w:type="dxa"/>
          </w:tcPr>
          <w:p>
            <w:pPr>
              <w:pStyle w:val="0"/>
            </w:pPr>
            <w:r>
              <w:rPr>
                <w:sz w:val="20"/>
              </w:rPr>
              <w:t xml:space="preserve">24</w:t>
            </w:r>
          </w:p>
        </w:tc>
        <w:tc>
          <w:tcPr>
            <w:tcW w:w="829" w:type="dxa"/>
          </w:tcPr>
          <w:p>
            <w:pPr>
              <w:pStyle w:val="0"/>
            </w:pPr>
            <w:r>
              <w:rPr>
                <w:sz w:val="20"/>
              </w:rPr>
              <w:t xml:space="preserve">1,06</w:t>
            </w:r>
          </w:p>
        </w:tc>
        <w:tc>
          <w:tcPr>
            <w:tcW w:w="574" w:type="dxa"/>
          </w:tcPr>
          <w:p>
            <w:pPr>
              <w:pStyle w:val="0"/>
            </w:pPr>
            <w:r>
              <w:rPr>
                <w:sz w:val="20"/>
              </w:rPr>
              <w:t xml:space="preserve">26</w:t>
            </w:r>
          </w:p>
        </w:tc>
        <w:tc>
          <w:tcPr>
            <w:tcW w:w="829" w:type="dxa"/>
          </w:tcPr>
          <w:p>
            <w:pPr>
              <w:pStyle w:val="0"/>
            </w:pPr>
            <w:r>
              <w:rPr>
                <w:sz w:val="20"/>
              </w:rPr>
              <w:t xml:space="preserve">1,25</w:t>
            </w:r>
          </w:p>
        </w:tc>
        <w:tc>
          <w:tcPr>
            <w:tcW w:w="574" w:type="dxa"/>
          </w:tcPr>
          <w:p>
            <w:pPr>
              <w:pStyle w:val="0"/>
            </w:pPr>
            <w:r>
              <w:rPr>
                <w:sz w:val="20"/>
              </w:rPr>
              <w:t xml:space="preserve">22</w:t>
            </w:r>
          </w:p>
        </w:tc>
        <w:tc>
          <w:tcPr>
            <w:tcW w:w="829" w:type="dxa"/>
          </w:tcPr>
          <w:p>
            <w:pPr>
              <w:pStyle w:val="0"/>
            </w:pPr>
            <w:r>
              <w:rPr>
                <w:sz w:val="20"/>
              </w:rPr>
              <w:t xml:space="preserve">1,07</w:t>
            </w:r>
          </w:p>
        </w:tc>
        <w:tc>
          <w:tcPr>
            <w:tcW w:w="574" w:type="dxa"/>
          </w:tcPr>
          <w:p>
            <w:pPr>
              <w:pStyle w:val="0"/>
            </w:pPr>
            <w:r>
              <w:rPr>
                <w:sz w:val="20"/>
              </w:rPr>
              <w:t xml:space="preserve">24</w:t>
            </w:r>
          </w:p>
        </w:tc>
        <w:tc>
          <w:tcPr>
            <w:tcW w:w="829" w:type="dxa"/>
          </w:tcPr>
          <w:p>
            <w:pPr>
              <w:pStyle w:val="0"/>
            </w:pPr>
            <w:r>
              <w:rPr>
                <w:sz w:val="20"/>
              </w:rPr>
              <w:t xml:space="preserve">1,22</w:t>
            </w:r>
          </w:p>
        </w:tc>
        <w:tc>
          <w:tcPr>
            <w:tcW w:w="574" w:type="dxa"/>
          </w:tcPr>
          <w:p>
            <w:pPr>
              <w:pStyle w:val="0"/>
            </w:pPr>
            <w:r>
              <w:rPr>
                <w:sz w:val="20"/>
              </w:rPr>
              <w:t xml:space="preserve">9</w:t>
            </w:r>
          </w:p>
        </w:tc>
        <w:tc>
          <w:tcPr>
            <w:tcW w:w="829" w:type="dxa"/>
          </w:tcPr>
          <w:p>
            <w:pPr>
              <w:pStyle w:val="0"/>
            </w:pPr>
            <w:r>
              <w:rPr>
                <w:sz w:val="20"/>
              </w:rPr>
              <w:t xml:space="preserve">0,63</w:t>
            </w:r>
          </w:p>
        </w:tc>
      </w:tr>
      <w:tr>
        <w:tc>
          <w:tcPr>
            <w:tcW w:w="1928" w:type="dxa"/>
          </w:tcPr>
          <w:p>
            <w:pPr>
              <w:pStyle w:val="0"/>
            </w:pPr>
            <w:r>
              <w:rPr>
                <w:sz w:val="20"/>
              </w:rPr>
              <w:t xml:space="preserve">Младенческая смертность</w:t>
            </w:r>
          </w:p>
        </w:tc>
        <w:tc>
          <w:tcPr>
            <w:tcW w:w="574" w:type="dxa"/>
          </w:tcPr>
          <w:p>
            <w:pPr>
              <w:pStyle w:val="0"/>
            </w:pPr>
            <w:r>
              <w:rPr>
                <w:sz w:val="20"/>
              </w:rPr>
              <w:t xml:space="preserve">67</w:t>
            </w:r>
          </w:p>
        </w:tc>
        <w:tc>
          <w:tcPr>
            <w:tcW w:w="829" w:type="dxa"/>
          </w:tcPr>
          <w:p>
            <w:pPr>
              <w:pStyle w:val="0"/>
            </w:pPr>
            <w:r>
              <w:rPr>
                <w:sz w:val="20"/>
              </w:rPr>
              <w:t xml:space="preserve">2,86</w:t>
            </w:r>
          </w:p>
        </w:tc>
        <w:tc>
          <w:tcPr>
            <w:tcW w:w="574" w:type="dxa"/>
          </w:tcPr>
          <w:p>
            <w:pPr>
              <w:pStyle w:val="0"/>
            </w:pPr>
            <w:r>
              <w:rPr>
                <w:sz w:val="20"/>
              </w:rPr>
              <w:t xml:space="preserve">87</w:t>
            </w:r>
          </w:p>
        </w:tc>
        <w:tc>
          <w:tcPr>
            <w:tcW w:w="829" w:type="dxa"/>
          </w:tcPr>
          <w:p>
            <w:pPr>
              <w:pStyle w:val="0"/>
            </w:pPr>
            <w:r>
              <w:rPr>
                <w:sz w:val="20"/>
              </w:rPr>
              <w:t xml:space="preserve">4,13</w:t>
            </w:r>
          </w:p>
        </w:tc>
        <w:tc>
          <w:tcPr>
            <w:tcW w:w="574" w:type="dxa"/>
          </w:tcPr>
          <w:p>
            <w:pPr>
              <w:pStyle w:val="0"/>
            </w:pPr>
            <w:r>
              <w:rPr>
                <w:sz w:val="20"/>
              </w:rPr>
              <w:t xml:space="preserve">75</w:t>
            </w:r>
          </w:p>
        </w:tc>
        <w:tc>
          <w:tcPr>
            <w:tcW w:w="829" w:type="dxa"/>
          </w:tcPr>
          <w:p>
            <w:pPr>
              <w:pStyle w:val="0"/>
            </w:pPr>
            <w:r>
              <w:rPr>
                <w:sz w:val="20"/>
              </w:rPr>
              <w:t xml:space="preserve">3,64</w:t>
            </w:r>
          </w:p>
        </w:tc>
        <w:tc>
          <w:tcPr>
            <w:tcW w:w="574" w:type="dxa"/>
          </w:tcPr>
          <w:p>
            <w:pPr>
              <w:pStyle w:val="0"/>
            </w:pPr>
            <w:r>
              <w:rPr>
                <w:sz w:val="20"/>
              </w:rPr>
              <w:t xml:space="preserve">75</w:t>
            </w:r>
          </w:p>
        </w:tc>
        <w:tc>
          <w:tcPr>
            <w:tcW w:w="829" w:type="dxa"/>
          </w:tcPr>
          <w:p>
            <w:pPr>
              <w:pStyle w:val="0"/>
            </w:pPr>
            <w:r>
              <w:rPr>
                <w:sz w:val="20"/>
              </w:rPr>
              <w:t xml:space="preserve">3,79</w:t>
            </w:r>
          </w:p>
        </w:tc>
        <w:tc>
          <w:tcPr>
            <w:tcW w:w="574" w:type="dxa"/>
          </w:tcPr>
          <w:p>
            <w:pPr>
              <w:pStyle w:val="0"/>
            </w:pPr>
            <w:r>
              <w:rPr>
                <w:sz w:val="20"/>
              </w:rPr>
              <w:t xml:space="preserve">44</w:t>
            </w:r>
          </w:p>
        </w:tc>
        <w:tc>
          <w:tcPr>
            <w:tcW w:w="829" w:type="dxa"/>
          </w:tcPr>
          <w:p>
            <w:pPr>
              <w:pStyle w:val="0"/>
            </w:pPr>
            <w:r>
              <w:rPr>
                <w:sz w:val="20"/>
              </w:rPr>
              <w:t xml:space="preserve">3,08</w:t>
            </w:r>
          </w:p>
        </w:tc>
      </w:tr>
    </w:tbl>
    <w:p>
      <w:pPr>
        <w:pStyle w:val="0"/>
        <w:ind w:firstLine="540"/>
        <w:jc w:val="both"/>
      </w:pPr>
      <w:r>
        <w:rPr>
          <w:sz w:val="20"/>
        </w:rPr>
      </w:r>
    </w:p>
    <w:p>
      <w:pPr>
        <w:pStyle w:val="0"/>
        <w:jc w:val="center"/>
      </w:pPr>
      <w:r>
        <w:rPr>
          <w:sz w:val="20"/>
        </w:rPr>
        <w:t xml:space="preserve">Структура младенческой смертности в автономном округе</w:t>
      </w:r>
    </w:p>
    <w:p>
      <w:pPr>
        <w:pStyle w:val="0"/>
        <w:jc w:val="center"/>
      </w:pPr>
      <w:r>
        <w:rPr>
          <w:sz w:val="20"/>
        </w:rPr>
        <w:t xml:space="preserve">за период 2018 - 2022 гг. (данные управления федеральной</w:t>
      </w:r>
    </w:p>
    <w:p>
      <w:pPr>
        <w:pStyle w:val="0"/>
        <w:jc w:val="center"/>
      </w:pPr>
      <w:r>
        <w:rPr>
          <w:sz w:val="20"/>
        </w:rPr>
        <w:t xml:space="preserve">службы государственной статистики по Тюменской области,</w:t>
      </w:r>
    </w:p>
    <w:p>
      <w:pPr>
        <w:pStyle w:val="0"/>
        <w:jc w:val="center"/>
      </w:pPr>
      <w:r>
        <w:rPr>
          <w:sz w:val="20"/>
        </w:rPr>
        <w:t xml:space="preserve">автономному округу и Ямало-Ненецкому автономному округу)</w:t>
      </w:r>
    </w:p>
    <w:p>
      <w:pPr>
        <w:pStyle w:val="0"/>
        <w:jc w:val="center"/>
      </w:pPr>
      <w:r>
        <w:rPr>
          <w:sz w:val="20"/>
        </w:rPr>
      </w:r>
    </w:p>
    <w:p>
      <w:pPr>
        <w:pStyle w:val="0"/>
        <w:jc w:val="right"/>
      </w:pPr>
      <w:r>
        <w:rPr>
          <w:sz w:val="20"/>
        </w:rPr>
        <w:t xml:space="preserve">Таблица 4</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44"/>
        <w:gridCol w:w="574"/>
        <w:gridCol w:w="829"/>
        <w:gridCol w:w="574"/>
        <w:gridCol w:w="829"/>
        <w:gridCol w:w="574"/>
        <w:gridCol w:w="829"/>
        <w:gridCol w:w="574"/>
        <w:gridCol w:w="829"/>
        <w:gridCol w:w="574"/>
        <w:gridCol w:w="829"/>
      </w:tblGrid>
      <w:tr>
        <w:tc>
          <w:tcPr>
            <w:tcW w:w="2344" w:type="dxa"/>
            <w:vMerge w:val="restart"/>
          </w:tcPr>
          <w:p>
            <w:pPr>
              <w:pStyle w:val="0"/>
              <w:jc w:val="center"/>
            </w:pPr>
            <w:r>
              <w:rPr>
                <w:sz w:val="20"/>
              </w:rPr>
              <w:t xml:space="preserve">Наименование показателя</w:t>
            </w:r>
          </w:p>
        </w:tc>
        <w:tc>
          <w:tcPr>
            <w:gridSpan w:val="2"/>
            <w:tcW w:w="1403" w:type="dxa"/>
          </w:tcPr>
          <w:p>
            <w:pPr>
              <w:pStyle w:val="0"/>
              <w:jc w:val="center"/>
            </w:pPr>
            <w:r>
              <w:rPr>
                <w:sz w:val="20"/>
              </w:rPr>
              <w:t xml:space="preserve">2018 год</w:t>
            </w:r>
          </w:p>
        </w:tc>
        <w:tc>
          <w:tcPr>
            <w:gridSpan w:val="2"/>
            <w:tcW w:w="1403" w:type="dxa"/>
          </w:tcPr>
          <w:p>
            <w:pPr>
              <w:pStyle w:val="0"/>
              <w:jc w:val="center"/>
            </w:pPr>
            <w:r>
              <w:rPr>
                <w:sz w:val="20"/>
              </w:rPr>
              <w:t xml:space="preserve">2019 год</w:t>
            </w:r>
          </w:p>
        </w:tc>
        <w:tc>
          <w:tcPr>
            <w:gridSpan w:val="2"/>
            <w:tcW w:w="1403" w:type="dxa"/>
          </w:tcPr>
          <w:p>
            <w:pPr>
              <w:pStyle w:val="0"/>
              <w:jc w:val="center"/>
            </w:pPr>
            <w:r>
              <w:rPr>
                <w:sz w:val="20"/>
              </w:rPr>
              <w:t xml:space="preserve">2020 год</w:t>
            </w:r>
          </w:p>
        </w:tc>
        <w:tc>
          <w:tcPr>
            <w:gridSpan w:val="2"/>
            <w:tcW w:w="1403" w:type="dxa"/>
          </w:tcPr>
          <w:p>
            <w:pPr>
              <w:pStyle w:val="0"/>
              <w:jc w:val="center"/>
            </w:pPr>
            <w:r>
              <w:rPr>
                <w:sz w:val="20"/>
              </w:rPr>
              <w:t xml:space="preserve">2021 год</w:t>
            </w:r>
          </w:p>
        </w:tc>
        <w:tc>
          <w:tcPr>
            <w:gridSpan w:val="2"/>
            <w:tcW w:w="1403" w:type="dxa"/>
          </w:tcPr>
          <w:p>
            <w:pPr>
              <w:pStyle w:val="0"/>
              <w:jc w:val="center"/>
            </w:pPr>
            <w:r>
              <w:rPr>
                <w:sz w:val="20"/>
              </w:rPr>
              <w:t xml:space="preserve">Данные за 9 месяцев 2022 года</w:t>
            </w:r>
          </w:p>
        </w:tc>
      </w:tr>
      <w:tr>
        <w:tc>
          <w:tcPr>
            <w:vMerge w:val="continue"/>
          </w:tcPr>
          <w:p/>
        </w:tc>
        <w:tc>
          <w:tcPr>
            <w:tcW w:w="574" w:type="dxa"/>
          </w:tcPr>
          <w:p>
            <w:pPr>
              <w:pStyle w:val="0"/>
              <w:jc w:val="center"/>
            </w:pPr>
            <w:r>
              <w:rPr>
                <w:sz w:val="20"/>
              </w:rPr>
              <w:t xml:space="preserve">Абс.</w:t>
            </w:r>
          </w:p>
        </w:tc>
        <w:tc>
          <w:tcPr>
            <w:tcW w:w="829" w:type="dxa"/>
          </w:tcPr>
          <w:p>
            <w:pPr>
              <w:pStyle w:val="0"/>
              <w:jc w:val="center"/>
            </w:pPr>
            <w:r>
              <w:rPr>
                <w:sz w:val="20"/>
              </w:rPr>
              <w:t xml:space="preserve">Пок-ль</w:t>
            </w:r>
          </w:p>
        </w:tc>
        <w:tc>
          <w:tcPr>
            <w:tcW w:w="574" w:type="dxa"/>
          </w:tcPr>
          <w:p>
            <w:pPr>
              <w:pStyle w:val="0"/>
              <w:jc w:val="center"/>
            </w:pPr>
            <w:r>
              <w:rPr>
                <w:sz w:val="20"/>
              </w:rPr>
              <w:t xml:space="preserve">Абс.</w:t>
            </w:r>
          </w:p>
        </w:tc>
        <w:tc>
          <w:tcPr>
            <w:tcW w:w="829" w:type="dxa"/>
          </w:tcPr>
          <w:p>
            <w:pPr>
              <w:pStyle w:val="0"/>
              <w:jc w:val="center"/>
            </w:pPr>
            <w:r>
              <w:rPr>
                <w:sz w:val="20"/>
              </w:rPr>
              <w:t xml:space="preserve">Пок-ль</w:t>
            </w:r>
          </w:p>
        </w:tc>
        <w:tc>
          <w:tcPr>
            <w:tcW w:w="574" w:type="dxa"/>
          </w:tcPr>
          <w:p>
            <w:pPr>
              <w:pStyle w:val="0"/>
              <w:jc w:val="center"/>
            </w:pPr>
            <w:r>
              <w:rPr>
                <w:sz w:val="20"/>
              </w:rPr>
              <w:t xml:space="preserve">Абс.</w:t>
            </w:r>
          </w:p>
        </w:tc>
        <w:tc>
          <w:tcPr>
            <w:tcW w:w="829" w:type="dxa"/>
          </w:tcPr>
          <w:p>
            <w:pPr>
              <w:pStyle w:val="0"/>
              <w:jc w:val="center"/>
            </w:pPr>
            <w:r>
              <w:rPr>
                <w:sz w:val="20"/>
              </w:rPr>
              <w:t xml:space="preserve">Пок-ль</w:t>
            </w:r>
          </w:p>
        </w:tc>
        <w:tc>
          <w:tcPr>
            <w:tcW w:w="574" w:type="dxa"/>
          </w:tcPr>
          <w:p>
            <w:pPr>
              <w:pStyle w:val="0"/>
              <w:jc w:val="center"/>
            </w:pPr>
            <w:r>
              <w:rPr>
                <w:sz w:val="20"/>
              </w:rPr>
              <w:t xml:space="preserve">Абс.</w:t>
            </w:r>
          </w:p>
        </w:tc>
        <w:tc>
          <w:tcPr>
            <w:tcW w:w="829" w:type="dxa"/>
          </w:tcPr>
          <w:p>
            <w:pPr>
              <w:pStyle w:val="0"/>
              <w:jc w:val="center"/>
            </w:pPr>
            <w:r>
              <w:rPr>
                <w:sz w:val="20"/>
              </w:rPr>
              <w:t xml:space="preserve">Пок-ль</w:t>
            </w:r>
          </w:p>
        </w:tc>
        <w:tc>
          <w:tcPr>
            <w:tcW w:w="574" w:type="dxa"/>
          </w:tcPr>
          <w:p>
            <w:pPr>
              <w:pStyle w:val="0"/>
              <w:jc w:val="center"/>
            </w:pPr>
            <w:r>
              <w:rPr>
                <w:sz w:val="20"/>
              </w:rPr>
              <w:t xml:space="preserve">Абс.</w:t>
            </w:r>
          </w:p>
        </w:tc>
        <w:tc>
          <w:tcPr>
            <w:tcW w:w="829" w:type="dxa"/>
          </w:tcPr>
          <w:p>
            <w:pPr>
              <w:pStyle w:val="0"/>
              <w:jc w:val="center"/>
            </w:pPr>
            <w:r>
              <w:rPr>
                <w:sz w:val="20"/>
              </w:rPr>
              <w:t xml:space="preserve">Пок-ль</w:t>
            </w:r>
          </w:p>
        </w:tc>
      </w:tr>
      <w:tr>
        <w:tc>
          <w:tcPr>
            <w:tcW w:w="2344" w:type="dxa"/>
          </w:tcPr>
          <w:p>
            <w:pPr>
              <w:pStyle w:val="0"/>
            </w:pPr>
            <w:r>
              <w:rPr>
                <w:sz w:val="20"/>
              </w:rPr>
              <w:t xml:space="preserve">Всего умерших от всех причин, на 1000 родившихся живыми</w:t>
            </w:r>
          </w:p>
        </w:tc>
        <w:tc>
          <w:tcPr>
            <w:tcW w:w="574" w:type="dxa"/>
          </w:tcPr>
          <w:p>
            <w:pPr>
              <w:pStyle w:val="0"/>
            </w:pPr>
            <w:r>
              <w:rPr>
                <w:sz w:val="20"/>
              </w:rPr>
              <w:t xml:space="preserve">67</w:t>
            </w:r>
          </w:p>
        </w:tc>
        <w:tc>
          <w:tcPr>
            <w:tcW w:w="829" w:type="dxa"/>
          </w:tcPr>
          <w:p>
            <w:pPr>
              <w:pStyle w:val="0"/>
            </w:pPr>
            <w:r>
              <w:rPr>
                <w:sz w:val="20"/>
              </w:rPr>
              <w:t xml:space="preserve">2,9</w:t>
            </w:r>
          </w:p>
        </w:tc>
        <w:tc>
          <w:tcPr>
            <w:tcW w:w="574" w:type="dxa"/>
          </w:tcPr>
          <w:p>
            <w:pPr>
              <w:pStyle w:val="0"/>
            </w:pPr>
            <w:r>
              <w:rPr>
                <w:sz w:val="20"/>
              </w:rPr>
              <w:t xml:space="preserve">87</w:t>
            </w:r>
          </w:p>
        </w:tc>
        <w:tc>
          <w:tcPr>
            <w:tcW w:w="829" w:type="dxa"/>
          </w:tcPr>
          <w:p>
            <w:pPr>
              <w:pStyle w:val="0"/>
            </w:pPr>
            <w:r>
              <w:rPr>
                <w:sz w:val="20"/>
              </w:rPr>
              <w:t xml:space="preserve">4,1</w:t>
            </w:r>
          </w:p>
        </w:tc>
        <w:tc>
          <w:tcPr>
            <w:tcW w:w="574" w:type="dxa"/>
          </w:tcPr>
          <w:p>
            <w:pPr>
              <w:pStyle w:val="0"/>
            </w:pPr>
            <w:r>
              <w:rPr>
                <w:sz w:val="20"/>
              </w:rPr>
              <w:t xml:space="preserve">75</w:t>
            </w:r>
          </w:p>
        </w:tc>
        <w:tc>
          <w:tcPr>
            <w:tcW w:w="829" w:type="dxa"/>
          </w:tcPr>
          <w:p>
            <w:pPr>
              <w:pStyle w:val="0"/>
            </w:pPr>
            <w:r>
              <w:rPr>
                <w:sz w:val="20"/>
              </w:rPr>
              <w:t xml:space="preserve">3,6</w:t>
            </w:r>
          </w:p>
        </w:tc>
        <w:tc>
          <w:tcPr>
            <w:tcW w:w="574" w:type="dxa"/>
          </w:tcPr>
          <w:p>
            <w:pPr>
              <w:pStyle w:val="0"/>
            </w:pPr>
            <w:r>
              <w:rPr>
                <w:sz w:val="20"/>
              </w:rPr>
              <w:t xml:space="preserve">75</w:t>
            </w:r>
          </w:p>
        </w:tc>
        <w:tc>
          <w:tcPr>
            <w:tcW w:w="829" w:type="dxa"/>
          </w:tcPr>
          <w:p>
            <w:pPr>
              <w:pStyle w:val="0"/>
            </w:pPr>
            <w:r>
              <w:rPr>
                <w:sz w:val="20"/>
              </w:rPr>
              <w:t xml:space="preserve">3,8</w:t>
            </w:r>
          </w:p>
        </w:tc>
        <w:tc>
          <w:tcPr>
            <w:tcW w:w="574" w:type="dxa"/>
          </w:tcPr>
          <w:p>
            <w:pPr>
              <w:pStyle w:val="0"/>
            </w:pPr>
            <w:r>
              <w:rPr>
                <w:sz w:val="20"/>
              </w:rPr>
              <w:t xml:space="preserve">44</w:t>
            </w:r>
          </w:p>
        </w:tc>
        <w:tc>
          <w:tcPr>
            <w:tcW w:w="829" w:type="dxa"/>
          </w:tcPr>
          <w:p>
            <w:pPr>
              <w:pStyle w:val="0"/>
            </w:pPr>
            <w:r>
              <w:rPr>
                <w:sz w:val="20"/>
              </w:rPr>
              <w:t xml:space="preserve">3,0</w:t>
            </w:r>
          </w:p>
        </w:tc>
      </w:tr>
      <w:tr>
        <w:tc>
          <w:tcPr>
            <w:tcW w:w="2344" w:type="dxa"/>
          </w:tcPr>
          <w:p>
            <w:pPr>
              <w:pStyle w:val="0"/>
            </w:pPr>
            <w:r>
              <w:rPr>
                <w:sz w:val="20"/>
              </w:rPr>
              <w:t xml:space="preserve">в том числе на 10000 родившихся живыми</w:t>
            </w:r>
          </w:p>
        </w:tc>
        <w:tc>
          <w:tcPr>
            <w:tcW w:w="574" w:type="dxa"/>
          </w:tcPr>
          <w:p>
            <w:pPr>
              <w:pStyle w:val="0"/>
            </w:pPr>
            <w:r>
              <w:rPr>
                <w:sz w:val="20"/>
              </w:rPr>
              <w:t xml:space="preserve">67</w:t>
            </w:r>
          </w:p>
        </w:tc>
        <w:tc>
          <w:tcPr>
            <w:tcW w:w="829" w:type="dxa"/>
          </w:tcPr>
          <w:p>
            <w:pPr>
              <w:pStyle w:val="0"/>
            </w:pPr>
            <w:r>
              <w:rPr>
                <w:sz w:val="20"/>
              </w:rPr>
              <w:t xml:space="preserve">2,86</w:t>
            </w:r>
          </w:p>
        </w:tc>
        <w:tc>
          <w:tcPr>
            <w:tcW w:w="574" w:type="dxa"/>
          </w:tcPr>
          <w:p>
            <w:pPr>
              <w:pStyle w:val="0"/>
            </w:pPr>
            <w:r>
              <w:rPr>
                <w:sz w:val="20"/>
              </w:rPr>
              <w:t xml:space="preserve">87</w:t>
            </w:r>
          </w:p>
        </w:tc>
        <w:tc>
          <w:tcPr>
            <w:tcW w:w="829" w:type="dxa"/>
          </w:tcPr>
          <w:p>
            <w:pPr>
              <w:pStyle w:val="0"/>
            </w:pPr>
            <w:r>
              <w:rPr>
                <w:sz w:val="20"/>
              </w:rPr>
              <w:t xml:space="preserve">41,29</w:t>
            </w:r>
          </w:p>
        </w:tc>
        <w:tc>
          <w:tcPr>
            <w:tcW w:w="574" w:type="dxa"/>
          </w:tcPr>
          <w:p>
            <w:pPr>
              <w:pStyle w:val="0"/>
            </w:pPr>
            <w:r>
              <w:rPr>
                <w:sz w:val="20"/>
              </w:rPr>
              <w:t xml:space="preserve">75</w:t>
            </w:r>
          </w:p>
        </w:tc>
        <w:tc>
          <w:tcPr>
            <w:tcW w:w="829" w:type="dxa"/>
          </w:tcPr>
          <w:p>
            <w:pPr>
              <w:pStyle w:val="0"/>
            </w:pPr>
            <w:r>
              <w:rPr>
                <w:sz w:val="20"/>
              </w:rPr>
              <w:t xml:space="preserve">36,37</w:t>
            </w:r>
          </w:p>
        </w:tc>
        <w:tc>
          <w:tcPr>
            <w:tcW w:w="574" w:type="dxa"/>
          </w:tcPr>
          <w:p>
            <w:pPr>
              <w:pStyle w:val="0"/>
            </w:pPr>
            <w:r>
              <w:rPr>
                <w:sz w:val="20"/>
              </w:rPr>
              <w:t xml:space="preserve">75</w:t>
            </w:r>
          </w:p>
        </w:tc>
        <w:tc>
          <w:tcPr>
            <w:tcW w:w="829" w:type="dxa"/>
          </w:tcPr>
          <w:p>
            <w:pPr>
              <w:pStyle w:val="0"/>
            </w:pPr>
            <w:r>
              <w:rPr>
                <w:sz w:val="20"/>
              </w:rPr>
              <w:t xml:space="preserve">37,90</w:t>
            </w:r>
          </w:p>
        </w:tc>
        <w:tc>
          <w:tcPr>
            <w:tcW w:w="574" w:type="dxa"/>
          </w:tcPr>
          <w:p>
            <w:pPr>
              <w:pStyle w:val="0"/>
            </w:pPr>
            <w:r>
              <w:rPr>
                <w:sz w:val="20"/>
              </w:rPr>
              <w:t xml:space="preserve">44</w:t>
            </w:r>
          </w:p>
        </w:tc>
        <w:tc>
          <w:tcPr>
            <w:tcW w:w="829" w:type="dxa"/>
          </w:tcPr>
          <w:p>
            <w:pPr>
              <w:pStyle w:val="0"/>
            </w:pPr>
            <w:r>
              <w:rPr>
                <w:sz w:val="20"/>
              </w:rPr>
              <w:t xml:space="preserve">31,5</w:t>
            </w:r>
          </w:p>
        </w:tc>
      </w:tr>
      <w:tr>
        <w:tc>
          <w:tcPr>
            <w:tcW w:w="2344" w:type="dxa"/>
          </w:tcPr>
          <w:p>
            <w:pPr>
              <w:pStyle w:val="0"/>
            </w:pPr>
            <w:r>
              <w:rPr>
                <w:sz w:val="20"/>
              </w:rPr>
              <w:t xml:space="preserve">от некоторых инфекционных и паразитарных болезней</w:t>
            </w:r>
          </w:p>
        </w:tc>
        <w:tc>
          <w:tcPr>
            <w:tcW w:w="574" w:type="dxa"/>
          </w:tcPr>
          <w:p>
            <w:pPr>
              <w:pStyle w:val="0"/>
            </w:pPr>
            <w:r>
              <w:rPr>
                <w:sz w:val="20"/>
              </w:rPr>
              <w:t xml:space="preserve">2</w:t>
            </w:r>
          </w:p>
        </w:tc>
        <w:tc>
          <w:tcPr>
            <w:tcW w:w="829" w:type="dxa"/>
          </w:tcPr>
          <w:p>
            <w:pPr>
              <w:pStyle w:val="0"/>
            </w:pPr>
            <w:r>
              <w:rPr>
                <w:sz w:val="20"/>
              </w:rPr>
              <w:t xml:space="preserve">0,88</w:t>
            </w:r>
          </w:p>
        </w:tc>
        <w:tc>
          <w:tcPr>
            <w:tcW w:w="574" w:type="dxa"/>
          </w:tcPr>
          <w:p>
            <w:pPr>
              <w:pStyle w:val="0"/>
            </w:pPr>
            <w:r>
              <w:rPr>
                <w:sz w:val="20"/>
              </w:rPr>
              <w:t xml:space="preserve">1</w:t>
            </w:r>
          </w:p>
        </w:tc>
        <w:tc>
          <w:tcPr>
            <w:tcW w:w="829" w:type="dxa"/>
          </w:tcPr>
          <w:p>
            <w:pPr>
              <w:pStyle w:val="0"/>
            </w:pPr>
            <w:r>
              <w:rPr>
                <w:sz w:val="20"/>
              </w:rPr>
              <w:t xml:space="preserve">0,48</w:t>
            </w:r>
          </w:p>
        </w:tc>
        <w:tc>
          <w:tcPr>
            <w:tcW w:w="574" w:type="dxa"/>
          </w:tcPr>
          <w:p>
            <w:pPr>
              <w:pStyle w:val="0"/>
            </w:pPr>
            <w:r>
              <w:rPr>
                <w:sz w:val="20"/>
              </w:rPr>
              <w:t xml:space="preserve">1</w:t>
            </w:r>
          </w:p>
        </w:tc>
        <w:tc>
          <w:tcPr>
            <w:tcW w:w="829" w:type="dxa"/>
          </w:tcPr>
          <w:p>
            <w:pPr>
              <w:pStyle w:val="0"/>
            </w:pPr>
            <w:r>
              <w:rPr>
                <w:sz w:val="20"/>
              </w:rPr>
              <w:t xml:space="preserve">0,49</w:t>
            </w:r>
          </w:p>
        </w:tc>
        <w:tc>
          <w:tcPr>
            <w:tcW w:w="574" w:type="dxa"/>
          </w:tcPr>
          <w:p>
            <w:pPr>
              <w:pStyle w:val="0"/>
            </w:pPr>
            <w:r>
              <w:rPr>
                <w:sz w:val="20"/>
              </w:rPr>
              <w:t xml:space="preserve">1</w:t>
            </w:r>
          </w:p>
        </w:tc>
        <w:tc>
          <w:tcPr>
            <w:tcW w:w="829" w:type="dxa"/>
          </w:tcPr>
          <w:p>
            <w:pPr>
              <w:pStyle w:val="0"/>
            </w:pPr>
            <w:r>
              <w:rPr>
                <w:sz w:val="20"/>
              </w:rPr>
              <w:t xml:space="preserve">0,51</w:t>
            </w:r>
          </w:p>
        </w:tc>
        <w:tc>
          <w:tcPr>
            <w:tcW w:w="574" w:type="dxa"/>
          </w:tcPr>
          <w:p>
            <w:pPr>
              <w:pStyle w:val="0"/>
            </w:pPr>
            <w:r>
              <w:rPr>
                <w:sz w:val="20"/>
              </w:rPr>
              <w:t xml:space="preserve">1</w:t>
            </w:r>
          </w:p>
        </w:tc>
        <w:tc>
          <w:tcPr>
            <w:tcW w:w="829" w:type="dxa"/>
          </w:tcPr>
          <w:p>
            <w:pPr>
              <w:pStyle w:val="0"/>
            </w:pPr>
            <w:r>
              <w:rPr>
                <w:sz w:val="20"/>
              </w:rPr>
              <w:t xml:space="preserve">0,72</w:t>
            </w:r>
          </w:p>
        </w:tc>
      </w:tr>
      <w:tr>
        <w:tc>
          <w:tcPr>
            <w:tcW w:w="2344" w:type="dxa"/>
          </w:tcPr>
          <w:p>
            <w:pPr>
              <w:pStyle w:val="0"/>
            </w:pPr>
            <w:r>
              <w:rPr>
                <w:sz w:val="20"/>
              </w:rPr>
              <w:t xml:space="preserve">от болезней эндокринной системы, расстройства питания и нарушения обмена веществ</w:t>
            </w:r>
          </w:p>
        </w:tc>
        <w:tc>
          <w:tcPr>
            <w:tcW w:w="574" w:type="dxa"/>
          </w:tcPr>
          <w:p>
            <w:pPr>
              <w:pStyle w:val="0"/>
            </w:pPr>
            <w:r>
              <w:rPr>
                <w:sz w:val="20"/>
              </w:rPr>
              <w:t xml:space="preserve">-</w:t>
            </w:r>
          </w:p>
        </w:tc>
        <w:tc>
          <w:tcPr>
            <w:tcW w:w="829" w:type="dxa"/>
          </w:tcPr>
          <w:p>
            <w:pPr>
              <w:pStyle w:val="0"/>
            </w:pPr>
            <w:r>
              <w:rPr>
                <w:sz w:val="20"/>
              </w:rPr>
              <w:t xml:space="preserve">-</w:t>
            </w:r>
          </w:p>
        </w:tc>
        <w:tc>
          <w:tcPr>
            <w:tcW w:w="574" w:type="dxa"/>
          </w:tcPr>
          <w:p>
            <w:pPr>
              <w:pStyle w:val="0"/>
            </w:pPr>
            <w:r>
              <w:rPr>
                <w:sz w:val="20"/>
              </w:rPr>
              <w:t xml:space="preserve">-</w:t>
            </w:r>
          </w:p>
        </w:tc>
        <w:tc>
          <w:tcPr>
            <w:tcW w:w="829" w:type="dxa"/>
          </w:tcPr>
          <w:p>
            <w:pPr>
              <w:pStyle w:val="0"/>
            </w:pPr>
            <w:r>
              <w:rPr>
                <w:sz w:val="20"/>
              </w:rPr>
            </w:r>
          </w:p>
        </w:tc>
        <w:tc>
          <w:tcPr>
            <w:tcW w:w="574" w:type="dxa"/>
          </w:tcPr>
          <w:p>
            <w:pPr>
              <w:pStyle w:val="0"/>
            </w:pPr>
            <w:r>
              <w:rPr>
                <w:sz w:val="20"/>
              </w:rPr>
              <w:t xml:space="preserve">-</w:t>
            </w:r>
          </w:p>
        </w:tc>
        <w:tc>
          <w:tcPr>
            <w:tcW w:w="829" w:type="dxa"/>
          </w:tcPr>
          <w:p>
            <w:pPr>
              <w:pStyle w:val="0"/>
            </w:pPr>
            <w:r>
              <w:rPr>
                <w:sz w:val="20"/>
              </w:rPr>
              <w:t xml:space="preserve">-</w:t>
            </w:r>
          </w:p>
        </w:tc>
        <w:tc>
          <w:tcPr>
            <w:tcW w:w="574" w:type="dxa"/>
          </w:tcPr>
          <w:p>
            <w:pPr>
              <w:pStyle w:val="0"/>
            </w:pPr>
            <w:r>
              <w:rPr>
                <w:sz w:val="20"/>
              </w:rPr>
              <w:t xml:space="preserve">-</w:t>
            </w:r>
          </w:p>
        </w:tc>
        <w:tc>
          <w:tcPr>
            <w:tcW w:w="829" w:type="dxa"/>
          </w:tcPr>
          <w:p>
            <w:pPr>
              <w:pStyle w:val="0"/>
            </w:pPr>
            <w:r>
              <w:rPr>
                <w:sz w:val="20"/>
              </w:rPr>
              <w:t xml:space="preserve">-</w:t>
            </w:r>
          </w:p>
        </w:tc>
        <w:tc>
          <w:tcPr>
            <w:tcW w:w="574" w:type="dxa"/>
          </w:tcPr>
          <w:p>
            <w:pPr>
              <w:pStyle w:val="0"/>
            </w:pPr>
            <w:r>
              <w:rPr>
                <w:sz w:val="20"/>
              </w:rPr>
              <w:t xml:space="preserve">-</w:t>
            </w:r>
          </w:p>
        </w:tc>
        <w:tc>
          <w:tcPr>
            <w:tcW w:w="829" w:type="dxa"/>
          </w:tcPr>
          <w:p>
            <w:pPr>
              <w:pStyle w:val="0"/>
            </w:pPr>
            <w:r>
              <w:rPr>
                <w:sz w:val="20"/>
              </w:rPr>
              <w:t xml:space="preserve">-</w:t>
            </w:r>
          </w:p>
        </w:tc>
      </w:tr>
      <w:tr>
        <w:tc>
          <w:tcPr>
            <w:tcW w:w="2344" w:type="dxa"/>
          </w:tcPr>
          <w:p>
            <w:pPr>
              <w:pStyle w:val="0"/>
            </w:pPr>
            <w:r>
              <w:rPr>
                <w:sz w:val="20"/>
              </w:rPr>
              <w:t xml:space="preserve">от болезней нервной системы</w:t>
            </w:r>
          </w:p>
        </w:tc>
        <w:tc>
          <w:tcPr>
            <w:tcW w:w="574" w:type="dxa"/>
          </w:tcPr>
          <w:p>
            <w:pPr>
              <w:pStyle w:val="0"/>
            </w:pPr>
            <w:r>
              <w:rPr>
                <w:sz w:val="20"/>
              </w:rPr>
              <w:t xml:space="preserve">2</w:t>
            </w:r>
          </w:p>
        </w:tc>
        <w:tc>
          <w:tcPr>
            <w:tcW w:w="829" w:type="dxa"/>
          </w:tcPr>
          <w:p>
            <w:pPr>
              <w:pStyle w:val="0"/>
            </w:pPr>
            <w:r>
              <w:rPr>
                <w:sz w:val="20"/>
              </w:rPr>
              <w:t xml:space="preserve">0,88</w:t>
            </w:r>
          </w:p>
        </w:tc>
        <w:tc>
          <w:tcPr>
            <w:tcW w:w="574" w:type="dxa"/>
          </w:tcPr>
          <w:p>
            <w:pPr>
              <w:pStyle w:val="0"/>
            </w:pPr>
            <w:r>
              <w:rPr>
                <w:sz w:val="20"/>
              </w:rPr>
              <w:t xml:space="preserve">3</w:t>
            </w:r>
          </w:p>
        </w:tc>
        <w:tc>
          <w:tcPr>
            <w:tcW w:w="829" w:type="dxa"/>
          </w:tcPr>
          <w:p>
            <w:pPr>
              <w:pStyle w:val="0"/>
            </w:pPr>
            <w:r>
              <w:rPr>
                <w:sz w:val="20"/>
              </w:rPr>
              <w:t xml:space="preserve">1,42</w:t>
            </w:r>
          </w:p>
        </w:tc>
        <w:tc>
          <w:tcPr>
            <w:tcW w:w="574" w:type="dxa"/>
          </w:tcPr>
          <w:p>
            <w:pPr>
              <w:pStyle w:val="0"/>
            </w:pPr>
            <w:r>
              <w:rPr>
                <w:sz w:val="20"/>
              </w:rPr>
              <w:t xml:space="preserve">3</w:t>
            </w:r>
          </w:p>
        </w:tc>
        <w:tc>
          <w:tcPr>
            <w:tcW w:w="829" w:type="dxa"/>
          </w:tcPr>
          <w:p>
            <w:pPr>
              <w:pStyle w:val="0"/>
            </w:pPr>
            <w:r>
              <w:rPr>
                <w:sz w:val="20"/>
              </w:rPr>
              <w:t xml:space="preserve">1,45</w:t>
            </w:r>
          </w:p>
        </w:tc>
        <w:tc>
          <w:tcPr>
            <w:tcW w:w="574" w:type="dxa"/>
          </w:tcPr>
          <w:p>
            <w:pPr>
              <w:pStyle w:val="0"/>
            </w:pPr>
            <w:r>
              <w:rPr>
                <w:sz w:val="20"/>
              </w:rPr>
              <w:t xml:space="preserve">5</w:t>
            </w:r>
          </w:p>
        </w:tc>
        <w:tc>
          <w:tcPr>
            <w:tcW w:w="829" w:type="dxa"/>
          </w:tcPr>
          <w:p>
            <w:pPr>
              <w:pStyle w:val="0"/>
            </w:pPr>
            <w:r>
              <w:rPr>
                <w:sz w:val="20"/>
              </w:rPr>
              <w:t xml:space="preserve">2,53</w:t>
            </w:r>
          </w:p>
        </w:tc>
        <w:tc>
          <w:tcPr>
            <w:tcW w:w="574" w:type="dxa"/>
          </w:tcPr>
          <w:p>
            <w:pPr>
              <w:pStyle w:val="0"/>
            </w:pPr>
            <w:r>
              <w:rPr>
                <w:sz w:val="20"/>
              </w:rPr>
              <w:t xml:space="preserve">2</w:t>
            </w:r>
          </w:p>
        </w:tc>
        <w:tc>
          <w:tcPr>
            <w:tcW w:w="829" w:type="dxa"/>
          </w:tcPr>
          <w:p>
            <w:pPr>
              <w:pStyle w:val="0"/>
            </w:pPr>
            <w:r>
              <w:rPr>
                <w:sz w:val="20"/>
              </w:rPr>
              <w:t xml:space="preserve">1,43</w:t>
            </w:r>
          </w:p>
        </w:tc>
      </w:tr>
      <w:tr>
        <w:tc>
          <w:tcPr>
            <w:tcW w:w="2344" w:type="dxa"/>
          </w:tcPr>
          <w:p>
            <w:pPr>
              <w:pStyle w:val="0"/>
            </w:pPr>
            <w:r>
              <w:rPr>
                <w:sz w:val="20"/>
              </w:rPr>
              <w:t xml:space="preserve">от болезней органов дыхания</w:t>
            </w:r>
          </w:p>
        </w:tc>
        <w:tc>
          <w:tcPr>
            <w:tcW w:w="574" w:type="dxa"/>
          </w:tcPr>
          <w:p>
            <w:pPr>
              <w:pStyle w:val="0"/>
            </w:pPr>
            <w:r>
              <w:rPr>
                <w:sz w:val="20"/>
              </w:rPr>
              <w:t xml:space="preserve">-</w:t>
            </w:r>
          </w:p>
        </w:tc>
        <w:tc>
          <w:tcPr>
            <w:tcW w:w="829" w:type="dxa"/>
          </w:tcPr>
          <w:p>
            <w:pPr>
              <w:pStyle w:val="0"/>
            </w:pPr>
            <w:r>
              <w:rPr>
                <w:sz w:val="20"/>
              </w:rPr>
              <w:t xml:space="preserve">-</w:t>
            </w:r>
          </w:p>
        </w:tc>
        <w:tc>
          <w:tcPr>
            <w:tcW w:w="574" w:type="dxa"/>
          </w:tcPr>
          <w:p>
            <w:pPr>
              <w:pStyle w:val="0"/>
            </w:pPr>
            <w:r>
              <w:rPr>
                <w:sz w:val="20"/>
              </w:rPr>
              <w:t xml:space="preserve">4</w:t>
            </w:r>
          </w:p>
        </w:tc>
        <w:tc>
          <w:tcPr>
            <w:tcW w:w="829" w:type="dxa"/>
          </w:tcPr>
          <w:p>
            <w:pPr>
              <w:pStyle w:val="0"/>
            </w:pPr>
            <w:r>
              <w:rPr>
                <w:sz w:val="20"/>
              </w:rPr>
              <w:t xml:space="preserve">1,90</w:t>
            </w:r>
          </w:p>
        </w:tc>
        <w:tc>
          <w:tcPr>
            <w:tcW w:w="574" w:type="dxa"/>
          </w:tcPr>
          <w:p>
            <w:pPr>
              <w:pStyle w:val="0"/>
            </w:pPr>
            <w:r>
              <w:rPr>
                <w:sz w:val="20"/>
              </w:rPr>
              <w:t xml:space="preserve">-</w:t>
            </w:r>
          </w:p>
        </w:tc>
        <w:tc>
          <w:tcPr>
            <w:tcW w:w="829" w:type="dxa"/>
          </w:tcPr>
          <w:p>
            <w:pPr>
              <w:pStyle w:val="0"/>
            </w:pPr>
            <w:r>
              <w:rPr>
                <w:sz w:val="20"/>
              </w:rPr>
              <w:t xml:space="preserve">-</w:t>
            </w:r>
          </w:p>
        </w:tc>
        <w:tc>
          <w:tcPr>
            <w:tcW w:w="574" w:type="dxa"/>
          </w:tcPr>
          <w:p>
            <w:pPr>
              <w:pStyle w:val="0"/>
            </w:pPr>
            <w:r>
              <w:rPr>
                <w:sz w:val="20"/>
              </w:rPr>
              <w:t xml:space="preserve">4</w:t>
            </w:r>
          </w:p>
        </w:tc>
        <w:tc>
          <w:tcPr>
            <w:tcW w:w="829" w:type="dxa"/>
          </w:tcPr>
          <w:p>
            <w:pPr>
              <w:pStyle w:val="0"/>
            </w:pPr>
            <w:r>
              <w:rPr>
                <w:sz w:val="20"/>
              </w:rPr>
              <w:t xml:space="preserve">2,02</w:t>
            </w:r>
          </w:p>
        </w:tc>
        <w:tc>
          <w:tcPr>
            <w:tcW w:w="574" w:type="dxa"/>
          </w:tcPr>
          <w:p>
            <w:pPr>
              <w:pStyle w:val="0"/>
            </w:pPr>
            <w:r>
              <w:rPr>
                <w:sz w:val="20"/>
              </w:rPr>
              <w:t xml:space="preserve">-</w:t>
            </w:r>
          </w:p>
        </w:tc>
        <w:tc>
          <w:tcPr>
            <w:tcW w:w="829" w:type="dxa"/>
          </w:tcPr>
          <w:p>
            <w:pPr>
              <w:pStyle w:val="0"/>
            </w:pPr>
            <w:r>
              <w:rPr>
                <w:sz w:val="20"/>
              </w:rPr>
              <w:t xml:space="preserve">-</w:t>
            </w:r>
          </w:p>
        </w:tc>
      </w:tr>
      <w:tr>
        <w:tc>
          <w:tcPr>
            <w:tcW w:w="2344" w:type="dxa"/>
          </w:tcPr>
          <w:p>
            <w:pPr>
              <w:pStyle w:val="0"/>
            </w:pPr>
            <w:r>
              <w:rPr>
                <w:sz w:val="20"/>
              </w:rPr>
              <w:t xml:space="preserve">от болезней органов пищеварения</w:t>
            </w:r>
          </w:p>
        </w:tc>
        <w:tc>
          <w:tcPr>
            <w:tcW w:w="574" w:type="dxa"/>
          </w:tcPr>
          <w:p>
            <w:pPr>
              <w:pStyle w:val="0"/>
            </w:pPr>
            <w:r>
              <w:rPr>
                <w:sz w:val="20"/>
              </w:rPr>
              <w:t xml:space="preserve">-</w:t>
            </w:r>
          </w:p>
        </w:tc>
        <w:tc>
          <w:tcPr>
            <w:tcW w:w="829" w:type="dxa"/>
          </w:tcPr>
          <w:p>
            <w:pPr>
              <w:pStyle w:val="0"/>
            </w:pPr>
            <w:r>
              <w:rPr>
                <w:sz w:val="20"/>
              </w:rPr>
              <w:t xml:space="preserve">-</w:t>
            </w:r>
          </w:p>
        </w:tc>
        <w:tc>
          <w:tcPr>
            <w:tcW w:w="574" w:type="dxa"/>
          </w:tcPr>
          <w:p>
            <w:pPr>
              <w:pStyle w:val="0"/>
            </w:pPr>
            <w:r>
              <w:rPr>
                <w:sz w:val="20"/>
              </w:rPr>
              <w:t xml:space="preserve">-</w:t>
            </w:r>
          </w:p>
        </w:tc>
        <w:tc>
          <w:tcPr>
            <w:tcW w:w="829" w:type="dxa"/>
          </w:tcPr>
          <w:p>
            <w:pPr>
              <w:pStyle w:val="0"/>
            </w:pPr>
            <w:r>
              <w:rPr>
                <w:sz w:val="20"/>
              </w:rPr>
            </w:r>
          </w:p>
        </w:tc>
        <w:tc>
          <w:tcPr>
            <w:tcW w:w="574" w:type="dxa"/>
          </w:tcPr>
          <w:p>
            <w:pPr>
              <w:pStyle w:val="0"/>
            </w:pPr>
            <w:r>
              <w:rPr>
                <w:sz w:val="20"/>
              </w:rPr>
              <w:t xml:space="preserve">-</w:t>
            </w:r>
          </w:p>
        </w:tc>
        <w:tc>
          <w:tcPr>
            <w:tcW w:w="829" w:type="dxa"/>
          </w:tcPr>
          <w:p>
            <w:pPr>
              <w:pStyle w:val="0"/>
            </w:pPr>
            <w:r>
              <w:rPr>
                <w:sz w:val="20"/>
              </w:rPr>
              <w:t xml:space="preserve">-</w:t>
            </w:r>
          </w:p>
        </w:tc>
        <w:tc>
          <w:tcPr>
            <w:tcW w:w="574" w:type="dxa"/>
          </w:tcPr>
          <w:p>
            <w:pPr>
              <w:pStyle w:val="0"/>
            </w:pPr>
            <w:r>
              <w:rPr>
                <w:sz w:val="20"/>
              </w:rPr>
              <w:t xml:space="preserve">-</w:t>
            </w:r>
          </w:p>
        </w:tc>
        <w:tc>
          <w:tcPr>
            <w:tcW w:w="829" w:type="dxa"/>
          </w:tcPr>
          <w:p>
            <w:pPr>
              <w:pStyle w:val="0"/>
            </w:pPr>
            <w:r>
              <w:rPr>
                <w:sz w:val="20"/>
              </w:rPr>
              <w:t xml:space="preserve">-</w:t>
            </w:r>
          </w:p>
        </w:tc>
        <w:tc>
          <w:tcPr>
            <w:tcW w:w="574" w:type="dxa"/>
          </w:tcPr>
          <w:p>
            <w:pPr>
              <w:pStyle w:val="0"/>
            </w:pPr>
            <w:r>
              <w:rPr>
                <w:sz w:val="20"/>
              </w:rPr>
              <w:t xml:space="preserve">1</w:t>
            </w:r>
          </w:p>
        </w:tc>
        <w:tc>
          <w:tcPr>
            <w:tcW w:w="829" w:type="dxa"/>
          </w:tcPr>
          <w:p>
            <w:pPr>
              <w:pStyle w:val="0"/>
            </w:pPr>
            <w:r>
              <w:rPr>
                <w:sz w:val="20"/>
              </w:rPr>
              <w:t xml:space="preserve">0,72</w:t>
            </w:r>
          </w:p>
        </w:tc>
      </w:tr>
      <w:tr>
        <w:tc>
          <w:tcPr>
            <w:tcW w:w="2344" w:type="dxa"/>
          </w:tcPr>
          <w:p>
            <w:pPr>
              <w:pStyle w:val="0"/>
            </w:pPr>
            <w:r>
              <w:rPr>
                <w:sz w:val="20"/>
              </w:rPr>
              <w:t xml:space="preserve">от врожденных аномалий (пороков развития), деформаций и хромосомных нарушений</w:t>
            </w:r>
          </w:p>
        </w:tc>
        <w:tc>
          <w:tcPr>
            <w:tcW w:w="574" w:type="dxa"/>
          </w:tcPr>
          <w:p>
            <w:pPr>
              <w:pStyle w:val="0"/>
            </w:pPr>
            <w:r>
              <w:rPr>
                <w:sz w:val="20"/>
              </w:rPr>
              <w:t xml:space="preserve">11</w:t>
            </w:r>
          </w:p>
        </w:tc>
        <w:tc>
          <w:tcPr>
            <w:tcW w:w="829" w:type="dxa"/>
          </w:tcPr>
          <w:p>
            <w:pPr>
              <w:pStyle w:val="0"/>
            </w:pPr>
            <w:r>
              <w:rPr>
                <w:sz w:val="20"/>
              </w:rPr>
              <w:t xml:space="preserve">4,85</w:t>
            </w:r>
          </w:p>
        </w:tc>
        <w:tc>
          <w:tcPr>
            <w:tcW w:w="574" w:type="dxa"/>
          </w:tcPr>
          <w:p>
            <w:pPr>
              <w:pStyle w:val="0"/>
            </w:pPr>
            <w:r>
              <w:rPr>
                <w:sz w:val="20"/>
              </w:rPr>
              <w:t xml:space="preserve">20</w:t>
            </w:r>
          </w:p>
        </w:tc>
        <w:tc>
          <w:tcPr>
            <w:tcW w:w="829" w:type="dxa"/>
          </w:tcPr>
          <w:p>
            <w:pPr>
              <w:pStyle w:val="0"/>
            </w:pPr>
            <w:r>
              <w:rPr>
                <w:sz w:val="20"/>
              </w:rPr>
              <w:t xml:space="preserve">9,49</w:t>
            </w:r>
          </w:p>
        </w:tc>
        <w:tc>
          <w:tcPr>
            <w:tcW w:w="574" w:type="dxa"/>
          </w:tcPr>
          <w:p>
            <w:pPr>
              <w:pStyle w:val="0"/>
            </w:pPr>
            <w:r>
              <w:rPr>
                <w:sz w:val="20"/>
              </w:rPr>
              <w:t xml:space="preserve">18</w:t>
            </w:r>
          </w:p>
        </w:tc>
        <w:tc>
          <w:tcPr>
            <w:tcW w:w="829" w:type="dxa"/>
          </w:tcPr>
          <w:p>
            <w:pPr>
              <w:pStyle w:val="0"/>
            </w:pPr>
            <w:r>
              <w:rPr>
                <w:sz w:val="20"/>
              </w:rPr>
              <w:t xml:space="preserve">8,73</w:t>
            </w:r>
          </w:p>
        </w:tc>
        <w:tc>
          <w:tcPr>
            <w:tcW w:w="574" w:type="dxa"/>
          </w:tcPr>
          <w:p>
            <w:pPr>
              <w:pStyle w:val="0"/>
            </w:pPr>
            <w:r>
              <w:rPr>
                <w:sz w:val="20"/>
              </w:rPr>
              <w:t xml:space="preserve">14</w:t>
            </w:r>
          </w:p>
        </w:tc>
        <w:tc>
          <w:tcPr>
            <w:tcW w:w="829" w:type="dxa"/>
          </w:tcPr>
          <w:p>
            <w:pPr>
              <w:pStyle w:val="0"/>
            </w:pPr>
            <w:r>
              <w:rPr>
                <w:sz w:val="20"/>
              </w:rPr>
              <w:t xml:space="preserve">7,08</w:t>
            </w:r>
          </w:p>
        </w:tc>
        <w:tc>
          <w:tcPr>
            <w:tcW w:w="574" w:type="dxa"/>
          </w:tcPr>
          <w:p>
            <w:pPr>
              <w:pStyle w:val="0"/>
            </w:pPr>
            <w:r>
              <w:rPr>
                <w:sz w:val="20"/>
              </w:rPr>
              <w:t xml:space="preserve">4</w:t>
            </w:r>
          </w:p>
        </w:tc>
        <w:tc>
          <w:tcPr>
            <w:tcW w:w="829" w:type="dxa"/>
          </w:tcPr>
          <w:p>
            <w:pPr>
              <w:pStyle w:val="0"/>
            </w:pPr>
            <w:r>
              <w:rPr>
                <w:sz w:val="20"/>
              </w:rPr>
              <w:t xml:space="preserve">2,87</w:t>
            </w:r>
          </w:p>
        </w:tc>
      </w:tr>
      <w:tr>
        <w:tc>
          <w:tcPr>
            <w:tcW w:w="2344" w:type="dxa"/>
          </w:tcPr>
          <w:p>
            <w:pPr>
              <w:pStyle w:val="0"/>
            </w:pPr>
            <w:r>
              <w:rPr>
                <w:sz w:val="20"/>
              </w:rPr>
              <w:t xml:space="preserve">от отдельных состояний, возникающих в перинатальном периоде, в том числе:</w:t>
            </w:r>
          </w:p>
        </w:tc>
        <w:tc>
          <w:tcPr>
            <w:tcW w:w="574" w:type="dxa"/>
          </w:tcPr>
          <w:p>
            <w:pPr>
              <w:pStyle w:val="0"/>
            </w:pPr>
            <w:r>
              <w:rPr>
                <w:sz w:val="20"/>
              </w:rPr>
              <w:t xml:space="preserve">38</w:t>
            </w:r>
          </w:p>
        </w:tc>
        <w:tc>
          <w:tcPr>
            <w:tcW w:w="829" w:type="dxa"/>
          </w:tcPr>
          <w:p>
            <w:pPr>
              <w:pStyle w:val="0"/>
            </w:pPr>
            <w:r>
              <w:rPr>
                <w:sz w:val="20"/>
              </w:rPr>
              <w:t xml:space="preserve">15,42</w:t>
            </w:r>
          </w:p>
        </w:tc>
        <w:tc>
          <w:tcPr>
            <w:tcW w:w="574" w:type="dxa"/>
          </w:tcPr>
          <w:p>
            <w:pPr>
              <w:pStyle w:val="0"/>
            </w:pPr>
            <w:r>
              <w:rPr>
                <w:sz w:val="20"/>
              </w:rPr>
              <w:t xml:space="preserve">46</w:t>
            </w:r>
          </w:p>
        </w:tc>
        <w:tc>
          <w:tcPr>
            <w:tcW w:w="829" w:type="dxa"/>
          </w:tcPr>
          <w:p>
            <w:pPr>
              <w:pStyle w:val="0"/>
            </w:pPr>
            <w:r>
              <w:rPr>
                <w:sz w:val="20"/>
              </w:rPr>
              <w:t xml:space="preserve">21,83</w:t>
            </w:r>
          </w:p>
        </w:tc>
        <w:tc>
          <w:tcPr>
            <w:tcW w:w="574" w:type="dxa"/>
          </w:tcPr>
          <w:p>
            <w:pPr>
              <w:pStyle w:val="0"/>
            </w:pPr>
            <w:r>
              <w:rPr>
                <w:sz w:val="20"/>
              </w:rPr>
              <w:t xml:space="preserve">40</w:t>
            </w:r>
          </w:p>
        </w:tc>
        <w:tc>
          <w:tcPr>
            <w:tcW w:w="829" w:type="dxa"/>
          </w:tcPr>
          <w:p>
            <w:pPr>
              <w:pStyle w:val="0"/>
            </w:pPr>
            <w:r>
              <w:rPr>
                <w:sz w:val="20"/>
              </w:rPr>
              <w:t xml:space="preserve">19,40</w:t>
            </w:r>
          </w:p>
        </w:tc>
        <w:tc>
          <w:tcPr>
            <w:tcW w:w="574" w:type="dxa"/>
          </w:tcPr>
          <w:p>
            <w:pPr>
              <w:pStyle w:val="0"/>
            </w:pPr>
            <w:r>
              <w:rPr>
                <w:sz w:val="20"/>
              </w:rPr>
              <w:t xml:space="preserve">39</w:t>
            </w:r>
          </w:p>
        </w:tc>
        <w:tc>
          <w:tcPr>
            <w:tcW w:w="829" w:type="dxa"/>
          </w:tcPr>
          <w:p>
            <w:pPr>
              <w:pStyle w:val="0"/>
            </w:pPr>
            <w:r>
              <w:rPr>
                <w:sz w:val="20"/>
              </w:rPr>
              <w:t xml:space="preserve">11,12</w:t>
            </w:r>
          </w:p>
        </w:tc>
        <w:tc>
          <w:tcPr>
            <w:tcW w:w="574" w:type="dxa"/>
          </w:tcPr>
          <w:p>
            <w:pPr>
              <w:pStyle w:val="0"/>
            </w:pPr>
            <w:r>
              <w:rPr>
                <w:sz w:val="20"/>
              </w:rPr>
              <w:t xml:space="preserve">26</w:t>
            </w:r>
          </w:p>
        </w:tc>
        <w:tc>
          <w:tcPr>
            <w:tcW w:w="829" w:type="dxa"/>
          </w:tcPr>
          <w:p>
            <w:pPr>
              <w:pStyle w:val="0"/>
            </w:pPr>
            <w:r>
              <w:rPr>
                <w:sz w:val="20"/>
              </w:rPr>
              <w:t xml:space="preserve">18,63</w:t>
            </w:r>
          </w:p>
        </w:tc>
      </w:tr>
      <w:tr>
        <w:tc>
          <w:tcPr>
            <w:tcW w:w="2344" w:type="dxa"/>
          </w:tcPr>
          <w:p>
            <w:pPr>
              <w:pStyle w:val="0"/>
            </w:pPr>
            <w:r>
              <w:rPr>
                <w:sz w:val="20"/>
              </w:rPr>
              <w:t xml:space="preserve">геморрагических нарушений у плода и новорожденного</w:t>
            </w:r>
          </w:p>
        </w:tc>
        <w:tc>
          <w:tcPr>
            <w:tcW w:w="574" w:type="dxa"/>
          </w:tcPr>
          <w:p>
            <w:pPr>
              <w:pStyle w:val="0"/>
            </w:pPr>
            <w:r>
              <w:rPr>
                <w:sz w:val="20"/>
              </w:rPr>
              <w:t xml:space="preserve">3</w:t>
            </w:r>
          </w:p>
        </w:tc>
        <w:tc>
          <w:tcPr>
            <w:tcW w:w="829" w:type="dxa"/>
          </w:tcPr>
          <w:p>
            <w:pPr>
              <w:pStyle w:val="0"/>
            </w:pPr>
            <w:r>
              <w:rPr>
                <w:sz w:val="20"/>
              </w:rPr>
              <w:t xml:space="preserve">1,32</w:t>
            </w:r>
          </w:p>
        </w:tc>
        <w:tc>
          <w:tcPr>
            <w:tcW w:w="574" w:type="dxa"/>
          </w:tcPr>
          <w:p>
            <w:pPr>
              <w:pStyle w:val="0"/>
            </w:pPr>
            <w:r>
              <w:rPr>
                <w:sz w:val="20"/>
              </w:rPr>
              <w:t xml:space="preserve">3</w:t>
            </w:r>
          </w:p>
        </w:tc>
        <w:tc>
          <w:tcPr>
            <w:tcW w:w="829" w:type="dxa"/>
          </w:tcPr>
          <w:p>
            <w:pPr>
              <w:pStyle w:val="0"/>
            </w:pPr>
            <w:r>
              <w:rPr>
                <w:sz w:val="20"/>
              </w:rPr>
              <w:t xml:space="preserve">1,42</w:t>
            </w:r>
          </w:p>
        </w:tc>
        <w:tc>
          <w:tcPr>
            <w:tcW w:w="574" w:type="dxa"/>
          </w:tcPr>
          <w:p>
            <w:pPr>
              <w:pStyle w:val="0"/>
            </w:pPr>
            <w:r>
              <w:rPr>
                <w:sz w:val="20"/>
              </w:rPr>
              <w:t xml:space="preserve">3</w:t>
            </w:r>
          </w:p>
        </w:tc>
        <w:tc>
          <w:tcPr>
            <w:tcW w:w="829" w:type="dxa"/>
          </w:tcPr>
          <w:p>
            <w:pPr>
              <w:pStyle w:val="0"/>
            </w:pPr>
            <w:r>
              <w:rPr>
                <w:sz w:val="20"/>
              </w:rPr>
              <w:t xml:space="preserve">1,45</w:t>
            </w:r>
          </w:p>
        </w:tc>
        <w:tc>
          <w:tcPr>
            <w:tcW w:w="574" w:type="dxa"/>
          </w:tcPr>
          <w:p>
            <w:pPr>
              <w:pStyle w:val="0"/>
            </w:pPr>
            <w:r>
              <w:rPr>
                <w:sz w:val="20"/>
              </w:rPr>
              <w:t xml:space="preserve">1</w:t>
            </w:r>
          </w:p>
        </w:tc>
        <w:tc>
          <w:tcPr>
            <w:tcW w:w="829" w:type="dxa"/>
          </w:tcPr>
          <w:p>
            <w:pPr>
              <w:pStyle w:val="0"/>
            </w:pPr>
            <w:r>
              <w:rPr>
                <w:sz w:val="20"/>
              </w:rPr>
              <w:t xml:space="preserve">0,51</w:t>
            </w:r>
          </w:p>
        </w:tc>
        <w:tc>
          <w:tcPr>
            <w:tcW w:w="574" w:type="dxa"/>
          </w:tcPr>
          <w:p>
            <w:pPr>
              <w:pStyle w:val="0"/>
            </w:pPr>
            <w:r>
              <w:rPr>
                <w:sz w:val="20"/>
              </w:rPr>
              <w:t xml:space="preserve">-</w:t>
            </w:r>
          </w:p>
        </w:tc>
        <w:tc>
          <w:tcPr>
            <w:tcW w:w="829" w:type="dxa"/>
          </w:tcPr>
          <w:p>
            <w:pPr>
              <w:pStyle w:val="0"/>
            </w:pPr>
            <w:r>
              <w:rPr>
                <w:sz w:val="20"/>
              </w:rPr>
              <w:t xml:space="preserve">-</w:t>
            </w:r>
          </w:p>
        </w:tc>
      </w:tr>
      <w:tr>
        <w:tc>
          <w:tcPr>
            <w:tcW w:w="2344" w:type="dxa"/>
          </w:tcPr>
          <w:p>
            <w:pPr>
              <w:pStyle w:val="0"/>
            </w:pPr>
            <w:r>
              <w:rPr>
                <w:sz w:val="20"/>
              </w:rPr>
              <w:t xml:space="preserve">от внешних причин</w:t>
            </w:r>
          </w:p>
        </w:tc>
        <w:tc>
          <w:tcPr>
            <w:tcW w:w="574" w:type="dxa"/>
          </w:tcPr>
          <w:p>
            <w:pPr>
              <w:pStyle w:val="0"/>
            </w:pPr>
            <w:r>
              <w:rPr>
                <w:sz w:val="20"/>
              </w:rPr>
              <w:t xml:space="preserve">7</w:t>
            </w:r>
          </w:p>
        </w:tc>
        <w:tc>
          <w:tcPr>
            <w:tcW w:w="829" w:type="dxa"/>
          </w:tcPr>
          <w:p>
            <w:pPr>
              <w:pStyle w:val="0"/>
            </w:pPr>
            <w:r>
              <w:rPr>
                <w:sz w:val="20"/>
              </w:rPr>
              <w:t xml:space="preserve">3,08</w:t>
            </w:r>
          </w:p>
        </w:tc>
        <w:tc>
          <w:tcPr>
            <w:tcW w:w="574" w:type="dxa"/>
          </w:tcPr>
          <w:p>
            <w:pPr>
              <w:pStyle w:val="0"/>
            </w:pPr>
            <w:r>
              <w:rPr>
                <w:sz w:val="20"/>
              </w:rPr>
              <w:t xml:space="preserve">5</w:t>
            </w:r>
          </w:p>
        </w:tc>
        <w:tc>
          <w:tcPr>
            <w:tcW w:w="829" w:type="dxa"/>
          </w:tcPr>
          <w:p>
            <w:pPr>
              <w:pStyle w:val="0"/>
            </w:pPr>
            <w:r>
              <w:rPr>
                <w:sz w:val="20"/>
              </w:rPr>
              <w:t xml:space="preserve">2,37</w:t>
            </w:r>
          </w:p>
        </w:tc>
        <w:tc>
          <w:tcPr>
            <w:tcW w:w="574" w:type="dxa"/>
          </w:tcPr>
          <w:p>
            <w:pPr>
              <w:pStyle w:val="0"/>
            </w:pPr>
            <w:r>
              <w:rPr>
                <w:sz w:val="20"/>
              </w:rPr>
              <w:t xml:space="preserve">2</w:t>
            </w:r>
          </w:p>
        </w:tc>
        <w:tc>
          <w:tcPr>
            <w:tcW w:w="829" w:type="dxa"/>
          </w:tcPr>
          <w:p>
            <w:pPr>
              <w:pStyle w:val="0"/>
            </w:pPr>
            <w:r>
              <w:rPr>
                <w:sz w:val="20"/>
              </w:rPr>
              <w:t xml:space="preserve">0,70</w:t>
            </w:r>
          </w:p>
        </w:tc>
        <w:tc>
          <w:tcPr>
            <w:tcW w:w="574" w:type="dxa"/>
          </w:tcPr>
          <w:p>
            <w:pPr>
              <w:pStyle w:val="0"/>
            </w:pPr>
            <w:r>
              <w:rPr>
                <w:sz w:val="20"/>
              </w:rPr>
              <w:t xml:space="preserve">5</w:t>
            </w:r>
          </w:p>
        </w:tc>
        <w:tc>
          <w:tcPr>
            <w:tcW w:w="829" w:type="dxa"/>
          </w:tcPr>
          <w:p>
            <w:pPr>
              <w:pStyle w:val="0"/>
            </w:pPr>
            <w:r>
              <w:rPr>
                <w:sz w:val="20"/>
              </w:rPr>
              <w:t xml:space="preserve">2,53</w:t>
            </w:r>
          </w:p>
        </w:tc>
        <w:tc>
          <w:tcPr>
            <w:tcW w:w="574" w:type="dxa"/>
          </w:tcPr>
          <w:p>
            <w:pPr>
              <w:pStyle w:val="0"/>
            </w:pPr>
            <w:r>
              <w:rPr>
                <w:sz w:val="20"/>
              </w:rPr>
              <w:t xml:space="preserve">4</w:t>
            </w:r>
          </w:p>
        </w:tc>
        <w:tc>
          <w:tcPr>
            <w:tcW w:w="829" w:type="dxa"/>
          </w:tcPr>
          <w:p>
            <w:pPr>
              <w:pStyle w:val="0"/>
            </w:pPr>
            <w:r>
              <w:rPr>
                <w:sz w:val="20"/>
              </w:rPr>
              <w:t xml:space="preserve">2,87</w:t>
            </w:r>
          </w:p>
        </w:tc>
      </w:tr>
      <w:tr>
        <w:tc>
          <w:tcPr>
            <w:tcW w:w="2344" w:type="dxa"/>
          </w:tcPr>
          <w:p>
            <w:pPr>
              <w:pStyle w:val="0"/>
            </w:pPr>
            <w:r>
              <w:rPr>
                <w:sz w:val="20"/>
              </w:rPr>
              <w:t xml:space="preserve">от новой коронавирусной инфекции (COVID-19)</w:t>
            </w:r>
          </w:p>
        </w:tc>
        <w:tc>
          <w:tcPr>
            <w:tcW w:w="574" w:type="dxa"/>
          </w:tcPr>
          <w:p>
            <w:pPr>
              <w:pStyle w:val="0"/>
            </w:pPr>
            <w:r>
              <w:rPr>
                <w:sz w:val="20"/>
              </w:rPr>
              <w:t xml:space="preserve">-</w:t>
            </w:r>
          </w:p>
        </w:tc>
        <w:tc>
          <w:tcPr>
            <w:tcW w:w="829" w:type="dxa"/>
          </w:tcPr>
          <w:p>
            <w:pPr>
              <w:pStyle w:val="0"/>
            </w:pPr>
            <w:r>
              <w:rPr>
                <w:sz w:val="20"/>
              </w:rPr>
              <w:t xml:space="preserve">-</w:t>
            </w:r>
          </w:p>
        </w:tc>
        <w:tc>
          <w:tcPr>
            <w:tcW w:w="574" w:type="dxa"/>
          </w:tcPr>
          <w:p>
            <w:pPr>
              <w:pStyle w:val="0"/>
            </w:pPr>
            <w:r>
              <w:rPr>
                <w:sz w:val="20"/>
              </w:rPr>
              <w:t xml:space="preserve">-</w:t>
            </w:r>
          </w:p>
        </w:tc>
        <w:tc>
          <w:tcPr>
            <w:tcW w:w="829" w:type="dxa"/>
          </w:tcPr>
          <w:p>
            <w:pPr>
              <w:pStyle w:val="0"/>
            </w:pPr>
            <w:r>
              <w:rPr>
                <w:sz w:val="20"/>
              </w:rPr>
              <w:t xml:space="preserve">-</w:t>
            </w:r>
          </w:p>
        </w:tc>
        <w:tc>
          <w:tcPr>
            <w:tcW w:w="574" w:type="dxa"/>
          </w:tcPr>
          <w:p>
            <w:pPr>
              <w:pStyle w:val="0"/>
            </w:pPr>
            <w:r>
              <w:rPr>
                <w:sz w:val="20"/>
              </w:rPr>
              <w:t xml:space="preserve">-</w:t>
            </w:r>
          </w:p>
        </w:tc>
        <w:tc>
          <w:tcPr>
            <w:tcW w:w="829" w:type="dxa"/>
          </w:tcPr>
          <w:p>
            <w:pPr>
              <w:pStyle w:val="0"/>
            </w:pPr>
            <w:r>
              <w:rPr>
                <w:sz w:val="20"/>
              </w:rPr>
              <w:t xml:space="preserve">-</w:t>
            </w:r>
          </w:p>
        </w:tc>
        <w:tc>
          <w:tcPr>
            <w:tcW w:w="574" w:type="dxa"/>
          </w:tcPr>
          <w:p>
            <w:pPr>
              <w:pStyle w:val="0"/>
            </w:pPr>
            <w:r>
              <w:rPr>
                <w:sz w:val="20"/>
              </w:rPr>
              <w:t xml:space="preserve">1</w:t>
            </w:r>
          </w:p>
        </w:tc>
        <w:tc>
          <w:tcPr>
            <w:tcW w:w="829" w:type="dxa"/>
          </w:tcPr>
          <w:p>
            <w:pPr>
              <w:pStyle w:val="0"/>
            </w:pPr>
            <w:r>
              <w:rPr>
                <w:sz w:val="20"/>
              </w:rPr>
              <w:t xml:space="preserve">0,51</w:t>
            </w:r>
          </w:p>
        </w:tc>
        <w:tc>
          <w:tcPr>
            <w:tcW w:w="574" w:type="dxa"/>
          </w:tcPr>
          <w:p>
            <w:pPr>
              <w:pStyle w:val="0"/>
            </w:pPr>
            <w:r>
              <w:rPr>
                <w:sz w:val="20"/>
              </w:rPr>
            </w:r>
          </w:p>
        </w:tc>
        <w:tc>
          <w:tcPr>
            <w:tcW w:w="829" w:type="dxa"/>
          </w:tcPr>
          <w:p>
            <w:pPr>
              <w:pStyle w:val="0"/>
            </w:pPr>
            <w:r>
              <w:rPr>
                <w:sz w:val="20"/>
              </w:rPr>
            </w:r>
          </w:p>
        </w:tc>
      </w:tr>
      <w:tr>
        <w:tc>
          <w:tcPr>
            <w:tcW w:w="2344" w:type="dxa"/>
          </w:tcPr>
          <w:p>
            <w:pPr>
              <w:pStyle w:val="0"/>
            </w:pPr>
            <w:r>
              <w:rPr>
                <w:sz w:val="20"/>
              </w:rPr>
              <w:t xml:space="preserve">новообразования</w:t>
            </w:r>
          </w:p>
        </w:tc>
        <w:tc>
          <w:tcPr>
            <w:tcW w:w="574" w:type="dxa"/>
          </w:tcPr>
          <w:p>
            <w:pPr>
              <w:pStyle w:val="0"/>
            </w:pPr>
            <w:r>
              <w:rPr>
                <w:sz w:val="20"/>
              </w:rPr>
            </w:r>
          </w:p>
        </w:tc>
        <w:tc>
          <w:tcPr>
            <w:tcW w:w="829" w:type="dxa"/>
          </w:tcPr>
          <w:p>
            <w:pPr>
              <w:pStyle w:val="0"/>
            </w:pPr>
            <w:r>
              <w:rPr>
                <w:sz w:val="20"/>
              </w:rPr>
            </w:r>
          </w:p>
        </w:tc>
        <w:tc>
          <w:tcPr>
            <w:tcW w:w="574" w:type="dxa"/>
          </w:tcPr>
          <w:p>
            <w:pPr>
              <w:pStyle w:val="0"/>
            </w:pPr>
            <w:r>
              <w:rPr>
                <w:sz w:val="20"/>
              </w:rPr>
            </w:r>
          </w:p>
        </w:tc>
        <w:tc>
          <w:tcPr>
            <w:tcW w:w="829" w:type="dxa"/>
          </w:tcPr>
          <w:p>
            <w:pPr>
              <w:pStyle w:val="0"/>
            </w:pPr>
            <w:r>
              <w:rPr>
                <w:sz w:val="20"/>
              </w:rPr>
            </w:r>
          </w:p>
        </w:tc>
        <w:tc>
          <w:tcPr>
            <w:tcW w:w="574" w:type="dxa"/>
          </w:tcPr>
          <w:p>
            <w:pPr>
              <w:pStyle w:val="0"/>
            </w:pPr>
            <w:r>
              <w:rPr>
                <w:sz w:val="20"/>
              </w:rPr>
            </w:r>
          </w:p>
        </w:tc>
        <w:tc>
          <w:tcPr>
            <w:tcW w:w="829" w:type="dxa"/>
          </w:tcPr>
          <w:p>
            <w:pPr>
              <w:pStyle w:val="0"/>
            </w:pPr>
            <w:r>
              <w:rPr>
                <w:sz w:val="20"/>
              </w:rPr>
            </w:r>
          </w:p>
        </w:tc>
        <w:tc>
          <w:tcPr>
            <w:tcW w:w="574" w:type="dxa"/>
          </w:tcPr>
          <w:p>
            <w:pPr>
              <w:pStyle w:val="0"/>
            </w:pPr>
            <w:r>
              <w:rPr>
                <w:sz w:val="20"/>
              </w:rPr>
            </w:r>
          </w:p>
        </w:tc>
        <w:tc>
          <w:tcPr>
            <w:tcW w:w="829" w:type="dxa"/>
          </w:tcPr>
          <w:p>
            <w:pPr>
              <w:pStyle w:val="0"/>
            </w:pPr>
            <w:r>
              <w:rPr>
                <w:sz w:val="20"/>
              </w:rPr>
            </w:r>
          </w:p>
        </w:tc>
        <w:tc>
          <w:tcPr>
            <w:tcW w:w="574" w:type="dxa"/>
          </w:tcPr>
          <w:p>
            <w:pPr>
              <w:pStyle w:val="0"/>
            </w:pPr>
            <w:r>
              <w:rPr>
                <w:sz w:val="20"/>
              </w:rPr>
              <w:t xml:space="preserve">1</w:t>
            </w:r>
          </w:p>
        </w:tc>
        <w:tc>
          <w:tcPr>
            <w:tcW w:w="829" w:type="dxa"/>
          </w:tcPr>
          <w:p>
            <w:pPr>
              <w:pStyle w:val="0"/>
            </w:pPr>
            <w:r>
              <w:rPr>
                <w:sz w:val="20"/>
              </w:rPr>
              <w:t xml:space="preserve">0,70</w:t>
            </w:r>
          </w:p>
        </w:tc>
      </w:tr>
      <w:tr>
        <w:tc>
          <w:tcPr>
            <w:tcW w:w="2344" w:type="dxa"/>
          </w:tcPr>
          <w:p>
            <w:pPr>
              <w:pStyle w:val="0"/>
            </w:pPr>
            <w:r>
              <w:rPr>
                <w:sz w:val="20"/>
              </w:rPr>
              <w:t xml:space="preserve">от болезней системы кровообращения</w:t>
            </w:r>
          </w:p>
        </w:tc>
        <w:tc>
          <w:tcPr>
            <w:tcW w:w="574" w:type="dxa"/>
          </w:tcPr>
          <w:p>
            <w:pPr>
              <w:pStyle w:val="0"/>
            </w:pPr>
            <w:r>
              <w:rPr>
                <w:sz w:val="20"/>
              </w:rPr>
              <w:t xml:space="preserve">1</w:t>
            </w:r>
          </w:p>
        </w:tc>
        <w:tc>
          <w:tcPr>
            <w:tcW w:w="829" w:type="dxa"/>
          </w:tcPr>
          <w:p>
            <w:pPr>
              <w:pStyle w:val="0"/>
            </w:pPr>
            <w:r>
              <w:rPr>
                <w:sz w:val="20"/>
              </w:rPr>
              <w:t xml:space="preserve">0,44</w:t>
            </w:r>
          </w:p>
        </w:tc>
        <w:tc>
          <w:tcPr>
            <w:tcW w:w="574" w:type="dxa"/>
          </w:tcPr>
          <w:p>
            <w:pPr>
              <w:pStyle w:val="0"/>
            </w:pPr>
            <w:r>
              <w:rPr>
                <w:sz w:val="20"/>
              </w:rPr>
              <w:t xml:space="preserve">3</w:t>
            </w:r>
          </w:p>
        </w:tc>
        <w:tc>
          <w:tcPr>
            <w:tcW w:w="829" w:type="dxa"/>
          </w:tcPr>
          <w:p>
            <w:pPr>
              <w:pStyle w:val="0"/>
            </w:pPr>
            <w:r>
              <w:rPr>
                <w:sz w:val="20"/>
              </w:rPr>
              <w:t xml:space="preserve">1,42</w:t>
            </w:r>
          </w:p>
        </w:tc>
        <w:tc>
          <w:tcPr>
            <w:tcW w:w="574" w:type="dxa"/>
          </w:tcPr>
          <w:p>
            <w:pPr>
              <w:pStyle w:val="0"/>
            </w:pPr>
            <w:r>
              <w:rPr>
                <w:sz w:val="20"/>
              </w:rPr>
              <w:t xml:space="preserve">2</w:t>
            </w:r>
          </w:p>
        </w:tc>
        <w:tc>
          <w:tcPr>
            <w:tcW w:w="829" w:type="dxa"/>
          </w:tcPr>
          <w:p>
            <w:pPr>
              <w:pStyle w:val="0"/>
            </w:pPr>
            <w:r>
              <w:rPr>
                <w:sz w:val="20"/>
              </w:rPr>
              <w:t xml:space="preserve">0,97</w:t>
            </w:r>
          </w:p>
        </w:tc>
        <w:tc>
          <w:tcPr>
            <w:tcW w:w="574" w:type="dxa"/>
          </w:tcPr>
          <w:p>
            <w:pPr>
              <w:pStyle w:val="0"/>
            </w:pPr>
            <w:r>
              <w:rPr>
                <w:sz w:val="20"/>
              </w:rPr>
            </w:r>
          </w:p>
        </w:tc>
        <w:tc>
          <w:tcPr>
            <w:tcW w:w="829" w:type="dxa"/>
          </w:tcPr>
          <w:p>
            <w:pPr>
              <w:pStyle w:val="0"/>
            </w:pPr>
            <w:r>
              <w:rPr>
                <w:sz w:val="20"/>
              </w:rPr>
            </w:r>
          </w:p>
        </w:tc>
        <w:tc>
          <w:tcPr>
            <w:tcW w:w="574" w:type="dxa"/>
          </w:tcPr>
          <w:p>
            <w:pPr>
              <w:pStyle w:val="0"/>
            </w:pPr>
            <w:r>
              <w:rPr>
                <w:sz w:val="20"/>
              </w:rPr>
              <w:t xml:space="preserve">1</w:t>
            </w:r>
          </w:p>
        </w:tc>
        <w:tc>
          <w:tcPr>
            <w:tcW w:w="829" w:type="dxa"/>
          </w:tcPr>
          <w:p>
            <w:pPr>
              <w:pStyle w:val="0"/>
            </w:pPr>
            <w:r>
              <w:rPr>
                <w:sz w:val="20"/>
              </w:rPr>
              <w:t xml:space="preserve">0,70</w:t>
            </w:r>
          </w:p>
        </w:tc>
      </w:tr>
      <w:tr>
        <w:tc>
          <w:tcPr>
            <w:tcW w:w="2344" w:type="dxa"/>
          </w:tcPr>
          <w:p>
            <w:pPr>
              <w:pStyle w:val="0"/>
            </w:pPr>
            <w:r>
              <w:rPr>
                <w:sz w:val="20"/>
              </w:rPr>
              <w:t xml:space="preserve">от болезней крови и кроветворных органов</w:t>
            </w:r>
          </w:p>
        </w:tc>
        <w:tc>
          <w:tcPr>
            <w:tcW w:w="574" w:type="dxa"/>
          </w:tcPr>
          <w:p>
            <w:pPr>
              <w:pStyle w:val="0"/>
            </w:pPr>
            <w:r>
              <w:rPr>
                <w:sz w:val="20"/>
              </w:rPr>
            </w:r>
          </w:p>
        </w:tc>
        <w:tc>
          <w:tcPr>
            <w:tcW w:w="829" w:type="dxa"/>
          </w:tcPr>
          <w:p>
            <w:pPr>
              <w:pStyle w:val="0"/>
            </w:pPr>
            <w:r>
              <w:rPr>
                <w:sz w:val="20"/>
              </w:rPr>
            </w:r>
          </w:p>
        </w:tc>
        <w:tc>
          <w:tcPr>
            <w:tcW w:w="574" w:type="dxa"/>
          </w:tcPr>
          <w:p>
            <w:pPr>
              <w:pStyle w:val="0"/>
            </w:pPr>
            <w:r>
              <w:rPr>
                <w:sz w:val="20"/>
              </w:rPr>
            </w:r>
          </w:p>
        </w:tc>
        <w:tc>
          <w:tcPr>
            <w:tcW w:w="829" w:type="dxa"/>
          </w:tcPr>
          <w:p>
            <w:pPr>
              <w:pStyle w:val="0"/>
            </w:pPr>
            <w:r>
              <w:rPr>
                <w:sz w:val="20"/>
              </w:rPr>
            </w:r>
          </w:p>
        </w:tc>
        <w:tc>
          <w:tcPr>
            <w:tcW w:w="574" w:type="dxa"/>
          </w:tcPr>
          <w:p>
            <w:pPr>
              <w:pStyle w:val="0"/>
            </w:pPr>
            <w:r>
              <w:rPr>
                <w:sz w:val="20"/>
              </w:rPr>
              <w:t xml:space="preserve">1</w:t>
            </w:r>
          </w:p>
        </w:tc>
        <w:tc>
          <w:tcPr>
            <w:tcW w:w="829" w:type="dxa"/>
          </w:tcPr>
          <w:p>
            <w:pPr>
              <w:pStyle w:val="0"/>
            </w:pPr>
            <w:r>
              <w:rPr>
                <w:sz w:val="20"/>
              </w:rPr>
              <w:t xml:space="preserve">0,49</w:t>
            </w:r>
          </w:p>
        </w:tc>
        <w:tc>
          <w:tcPr>
            <w:tcW w:w="574" w:type="dxa"/>
          </w:tcPr>
          <w:p>
            <w:pPr>
              <w:pStyle w:val="0"/>
            </w:pPr>
            <w:r>
              <w:rPr>
                <w:sz w:val="20"/>
              </w:rPr>
            </w:r>
          </w:p>
        </w:tc>
        <w:tc>
          <w:tcPr>
            <w:tcW w:w="829" w:type="dxa"/>
          </w:tcPr>
          <w:p>
            <w:pPr>
              <w:pStyle w:val="0"/>
            </w:pPr>
            <w:r>
              <w:rPr>
                <w:sz w:val="20"/>
              </w:rPr>
            </w:r>
          </w:p>
        </w:tc>
        <w:tc>
          <w:tcPr>
            <w:tcW w:w="574" w:type="dxa"/>
          </w:tcPr>
          <w:p>
            <w:pPr>
              <w:pStyle w:val="0"/>
            </w:pPr>
            <w:r>
              <w:rPr>
                <w:sz w:val="20"/>
              </w:rPr>
            </w:r>
          </w:p>
        </w:tc>
        <w:tc>
          <w:tcPr>
            <w:tcW w:w="829" w:type="dxa"/>
          </w:tcPr>
          <w:p>
            <w:pPr>
              <w:pStyle w:val="0"/>
            </w:pPr>
            <w:r>
              <w:rPr>
                <w:sz w:val="20"/>
              </w:rPr>
            </w:r>
          </w:p>
        </w:tc>
      </w:tr>
      <w:tr>
        <w:tc>
          <w:tcPr>
            <w:tcW w:w="2344" w:type="dxa"/>
          </w:tcPr>
          <w:p>
            <w:pPr>
              <w:pStyle w:val="0"/>
            </w:pPr>
            <w:r>
              <w:rPr>
                <w:sz w:val="20"/>
              </w:rPr>
              <w:t xml:space="preserve">от болезней костно-мышечной системы</w:t>
            </w:r>
          </w:p>
        </w:tc>
        <w:tc>
          <w:tcPr>
            <w:tcW w:w="574" w:type="dxa"/>
          </w:tcPr>
          <w:p>
            <w:pPr>
              <w:pStyle w:val="0"/>
            </w:pPr>
            <w:r>
              <w:rPr>
                <w:sz w:val="20"/>
              </w:rPr>
            </w:r>
          </w:p>
        </w:tc>
        <w:tc>
          <w:tcPr>
            <w:tcW w:w="829" w:type="dxa"/>
          </w:tcPr>
          <w:p>
            <w:pPr>
              <w:pStyle w:val="0"/>
            </w:pPr>
            <w:r>
              <w:rPr>
                <w:sz w:val="20"/>
              </w:rPr>
            </w:r>
          </w:p>
        </w:tc>
        <w:tc>
          <w:tcPr>
            <w:tcW w:w="574" w:type="dxa"/>
          </w:tcPr>
          <w:p>
            <w:pPr>
              <w:pStyle w:val="0"/>
            </w:pPr>
            <w:r>
              <w:rPr>
                <w:sz w:val="20"/>
              </w:rPr>
            </w:r>
          </w:p>
        </w:tc>
        <w:tc>
          <w:tcPr>
            <w:tcW w:w="829" w:type="dxa"/>
          </w:tcPr>
          <w:p>
            <w:pPr>
              <w:pStyle w:val="0"/>
            </w:pPr>
            <w:r>
              <w:rPr>
                <w:sz w:val="20"/>
              </w:rPr>
            </w:r>
          </w:p>
        </w:tc>
        <w:tc>
          <w:tcPr>
            <w:tcW w:w="574" w:type="dxa"/>
          </w:tcPr>
          <w:p>
            <w:pPr>
              <w:pStyle w:val="0"/>
            </w:pPr>
            <w:r>
              <w:rPr>
                <w:sz w:val="20"/>
              </w:rPr>
            </w:r>
          </w:p>
        </w:tc>
        <w:tc>
          <w:tcPr>
            <w:tcW w:w="829" w:type="dxa"/>
          </w:tcPr>
          <w:p>
            <w:pPr>
              <w:pStyle w:val="0"/>
            </w:pPr>
            <w:r>
              <w:rPr>
                <w:sz w:val="20"/>
              </w:rPr>
            </w:r>
          </w:p>
        </w:tc>
        <w:tc>
          <w:tcPr>
            <w:tcW w:w="574" w:type="dxa"/>
          </w:tcPr>
          <w:p>
            <w:pPr>
              <w:pStyle w:val="0"/>
            </w:pPr>
            <w:r>
              <w:rPr>
                <w:sz w:val="20"/>
              </w:rPr>
              <w:t xml:space="preserve">1</w:t>
            </w:r>
          </w:p>
        </w:tc>
        <w:tc>
          <w:tcPr>
            <w:tcW w:w="829" w:type="dxa"/>
          </w:tcPr>
          <w:p>
            <w:pPr>
              <w:pStyle w:val="0"/>
            </w:pPr>
            <w:r>
              <w:rPr>
                <w:sz w:val="20"/>
              </w:rPr>
              <w:t xml:space="preserve">0,51</w:t>
            </w:r>
          </w:p>
        </w:tc>
        <w:tc>
          <w:tcPr>
            <w:tcW w:w="574" w:type="dxa"/>
          </w:tcPr>
          <w:p>
            <w:pPr>
              <w:pStyle w:val="0"/>
            </w:pPr>
            <w:r>
              <w:rPr>
                <w:sz w:val="20"/>
              </w:rPr>
            </w:r>
          </w:p>
        </w:tc>
        <w:tc>
          <w:tcPr>
            <w:tcW w:w="829" w:type="dxa"/>
          </w:tcPr>
          <w:p>
            <w:pPr>
              <w:pStyle w:val="0"/>
            </w:pPr>
            <w:r>
              <w:rPr>
                <w:sz w:val="20"/>
              </w:rPr>
            </w:r>
          </w:p>
        </w:tc>
      </w:tr>
      <w:tr>
        <w:tc>
          <w:tcPr>
            <w:tcW w:w="2344" w:type="dxa"/>
          </w:tcPr>
          <w:p>
            <w:pPr>
              <w:pStyle w:val="0"/>
            </w:pPr>
            <w:r>
              <w:rPr>
                <w:sz w:val="20"/>
              </w:rPr>
              <w:t xml:space="preserve">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574" w:type="dxa"/>
          </w:tcPr>
          <w:p>
            <w:pPr>
              <w:pStyle w:val="0"/>
            </w:pPr>
            <w:r>
              <w:rPr>
                <w:sz w:val="20"/>
              </w:rPr>
              <w:t xml:space="preserve">6</w:t>
            </w:r>
          </w:p>
        </w:tc>
        <w:tc>
          <w:tcPr>
            <w:tcW w:w="829" w:type="dxa"/>
          </w:tcPr>
          <w:p>
            <w:pPr>
              <w:pStyle w:val="0"/>
            </w:pPr>
            <w:r>
              <w:rPr>
                <w:sz w:val="20"/>
              </w:rPr>
              <w:t xml:space="preserve">2,64</w:t>
            </w:r>
          </w:p>
        </w:tc>
        <w:tc>
          <w:tcPr>
            <w:tcW w:w="574" w:type="dxa"/>
          </w:tcPr>
          <w:p>
            <w:pPr>
              <w:pStyle w:val="0"/>
            </w:pPr>
            <w:r>
              <w:rPr>
                <w:sz w:val="20"/>
              </w:rPr>
              <w:t xml:space="preserve">5</w:t>
            </w:r>
          </w:p>
        </w:tc>
        <w:tc>
          <w:tcPr>
            <w:tcW w:w="829" w:type="dxa"/>
          </w:tcPr>
          <w:p>
            <w:pPr>
              <w:pStyle w:val="0"/>
            </w:pPr>
            <w:r>
              <w:rPr>
                <w:sz w:val="20"/>
              </w:rPr>
              <w:t xml:space="preserve">2,37</w:t>
            </w:r>
          </w:p>
        </w:tc>
        <w:tc>
          <w:tcPr>
            <w:tcW w:w="574" w:type="dxa"/>
          </w:tcPr>
          <w:p>
            <w:pPr>
              <w:pStyle w:val="0"/>
            </w:pPr>
            <w:r>
              <w:rPr>
                <w:sz w:val="20"/>
              </w:rPr>
              <w:t xml:space="preserve">8</w:t>
            </w:r>
          </w:p>
        </w:tc>
        <w:tc>
          <w:tcPr>
            <w:tcW w:w="829" w:type="dxa"/>
          </w:tcPr>
          <w:p>
            <w:pPr>
              <w:pStyle w:val="0"/>
            </w:pPr>
            <w:r>
              <w:rPr>
                <w:sz w:val="20"/>
              </w:rPr>
              <w:t xml:space="preserve">3,88</w:t>
            </w:r>
          </w:p>
        </w:tc>
        <w:tc>
          <w:tcPr>
            <w:tcW w:w="574" w:type="dxa"/>
          </w:tcPr>
          <w:p>
            <w:pPr>
              <w:pStyle w:val="0"/>
            </w:pPr>
            <w:r>
              <w:rPr>
                <w:sz w:val="20"/>
              </w:rPr>
              <w:t xml:space="preserve">5</w:t>
            </w:r>
          </w:p>
        </w:tc>
        <w:tc>
          <w:tcPr>
            <w:tcW w:w="829" w:type="dxa"/>
          </w:tcPr>
          <w:p>
            <w:pPr>
              <w:pStyle w:val="0"/>
            </w:pPr>
            <w:r>
              <w:rPr>
                <w:sz w:val="20"/>
              </w:rPr>
              <w:t xml:space="preserve">2,53</w:t>
            </w:r>
          </w:p>
        </w:tc>
        <w:tc>
          <w:tcPr>
            <w:tcW w:w="574" w:type="dxa"/>
          </w:tcPr>
          <w:p>
            <w:pPr>
              <w:pStyle w:val="0"/>
            </w:pPr>
            <w:r>
              <w:rPr>
                <w:sz w:val="20"/>
              </w:rPr>
              <w:t xml:space="preserve">4</w:t>
            </w:r>
          </w:p>
        </w:tc>
        <w:tc>
          <w:tcPr>
            <w:tcW w:w="829" w:type="dxa"/>
          </w:tcPr>
          <w:p>
            <w:pPr>
              <w:pStyle w:val="0"/>
            </w:pPr>
            <w:r>
              <w:rPr>
                <w:sz w:val="20"/>
              </w:rPr>
              <w:t xml:space="preserve">2,79</w:t>
            </w:r>
          </w:p>
        </w:tc>
      </w:tr>
    </w:tbl>
    <w:p>
      <w:pPr>
        <w:pStyle w:val="0"/>
        <w:ind w:firstLine="540"/>
        <w:jc w:val="both"/>
      </w:pPr>
      <w:r>
        <w:rPr>
          <w:sz w:val="20"/>
        </w:rPr>
      </w:r>
    </w:p>
    <w:p>
      <w:pPr>
        <w:pStyle w:val="0"/>
        <w:ind w:firstLine="540"/>
        <w:jc w:val="both"/>
      </w:pPr>
      <w:r>
        <w:rPr>
          <w:sz w:val="20"/>
        </w:rPr>
        <w:t xml:space="preserve">Численность постоянного населения автономного округа, по данным Федеральной службы государственной статистики, на 1 января 2022 года составила 1 702 240 человек, увеличившись на 14 586 человек или на 0,9% (на 1 января 2021 года - 1 687 654 человека).</w:t>
      </w:r>
    </w:p>
    <w:p>
      <w:pPr>
        <w:pStyle w:val="0"/>
        <w:spacing w:before="200" w:line-rule="auto"/>
        <w:ind w:firstLine="540"/>
        <w:jc w:val="both"/>
      </w:pPr>
      <w:r>
        <w:rPr>
          <w:sz w:val="20"/>
        </w:rPr>
        <w:t xml:space="preserve">Коэффициент рождаемости на 1000 населения в автономном округе за период 2018 - 2022 гг. в динамике снижается с 13,6 в 2018 году до 11,2 за 9 месяцев 2022 года.</w:t>
      </w:r>
    </w:p>
    <w:p>
      <w:pPr>
        <w:pStyle w:val="0"/>
        <w:spacing w:before="200" w:line-rule="auto"/>
        <w:ind w:firstLine="540"/>
        <w:jc w:val="both"/>
      </w:pPr>
      <w:r>
        <w:rPr>
          <w:sz w:val="20"/>
        </w:rPr>
        <w:t xml:space="preserve">В автономном округе отмечаются стабильно низкие показатели по перинатальной смертности (в 2018 году - 4,3, за 9 месяцев 2022 года - 4,4), неонатальная смертность в динамике снижается с 1,7 в 2018 году до 1,2 за 9 месяцев 2022 года, ранняя неонатальная смертность в динамике снижается с 1,1 в 2018 году до 0,6 за 9 месяцев 2022 года.</w:t>
      </w:r>
    </w:p>
    <w:p>
      <w:pPr>
        <w:pStyle w:val="0"/>
        <w:spacing w:before="200" w:line-rule="auto"/>
        <w:ind w:firstLine="540"/>
        <w:jc w:val="both"/>
      </w:pPr>
      <w:r>
        <w:rPr>
          <w:sz w:val="20"/>
        </w:rPr>
        <w:t xml:space="preserve">Стабильно низкие показатели младенческой смертности: в 2018 году показатель младенческой смертности составлял 2,9% в динамике за 9 месяцев 2022 года показатель младенческой смертности составил 3,0%. В структуре младенческой смертности за 9 месяцев 2022 года на 1 месте отдельные состояния, возникающие в перинатальном периоде (18,63), на 2 месте врожденные аномалии (пороки развития), деформации и хромосомные нарушения (2,87), внешние причины (2,87), на 3 месте болезни нервной системы (1,43).</w:t>
      </w:r>
    </w:p>
    <w:p>
      <w:pPr>
        <w:pStyle w:val="0"/>
        <w:spacing w:before="200" w:line-rule="auto"/>
        <w:ind w:firstLine="540"/>
        <w:jc w:val="both"/>
      </w:pPr>
      <w:r>
        <w:rPr>
          <w:sz w:val="20"/>
        </w:rPr>
        <w:t xml:space="preserve">В структуре младенческой смертности от врожденных аномалий (пороков развития), деформаций и хромосомных нарушений за 9 месяцев 2022 года следующее распределение: 1 случай смерти от врожденной аномалии системы кровообращения (МКБ-Х: Q20-Q28) (в динамике за период 2018 год - 9 месяцев 2022 года отмечается снижение числа случаев смерти с 7 до 1, темп снижения составил 86%), 1 случай смерти от врожденной аномалии и деформации костно-мышечной системы (МКБ-Х: Q65-Q79) (в динамике за период 2018 год - 9 месяцев 2022 года отмечается снижение числа случаев смерти с 3 до 1 случая, темп снижения составил 67%), 2 случая смерти от других врожденных аномалий (МКБ-Х: Q80-Q89) (в динамике за период 2018 год - 9 месяцев 2022 года отмечается снижение числа случаев смерти с 3 до 2 случаев, темп снижения составил 50%).</w:t>
      </w:r>
    </w:p>
    <w:p>
      <w:pPr>
        <w:pStyle w:val="0"/>
        <w:ind w:firstLine="540"/>
        <w:jc w:val="both"/>
      </w:pPr>
      <w:r>
        <w:rPr>
          <w:sz w:val="20"/>
        </w:rPr>
      </w:r>
    </w:p>
    <w:p>
      <w:pPr>
        <w:pStyle w:val="2"/>
        <w:outlineLvl w:val="2"/>
        <w:jc w:val="center"/>
      </w:pPr>
      <w:r>
        <w:rPr>
          <w:sz w:val="20"/>
        </w:rPr>
        <w:t xml:space="preserve">1.3. Анализ показателей заболеваемости врожденными и (или)</w:t>
      </w:r>
    </w:p>
    <w:p>
      <w:pPr>
        <w:pStyle w:val="2"/>
        <w:jc w:val="center"/>
      </w:pPr>
      <w:r>
        <w:rPr>
          <w:sz w:val="20"/>
        </w:rPr>
        <w:t xml:space="preserve">наследственными заболеваниями, обследование на которые</w:t>
      </w:r>
    </w:p>
    <w:p>
      <w:pPr>
        <w:pStyle w:val="2"/>
        <w:jc w:val="center"/>
      </w:pPr>
      <w:r>
        <w:rPr>
          <w:sz w:val="20"/>
        </w:rPr>
        <w:t xml:space="preserve">проводится в ходе неонатального скрининга и расширенного</w:t>
      </w:r>
    </w:p>
    <w:p>
      <w:pPr>
        <w:pStyle w:val="2"/>
        <w:jc w:val="center"/>
      </w:pPr>
      <w:r>
        <w:rPr>
          <w:sz w:val="20"/>
        </w:rPr>
        <w:t xml:space="preserve">неонатального скрининга (далее - НС, РНС, НС и РНС),</w:t>
      </w:r>
    </w:p>
    <w:p>
      <w:pPr>
        <w:pStyle w:val="2"/>
        <w:jc w:val="center"/>
      </w:pPr>
      <w:r>
        <w:rPr>
          <w:sz w:val="20"/>
        </w:rPr>
        <w:t xml:space="preserve">структура инвалидности и смертности от указанных заболеваний</w:t>
      </w:r>
    </w:p>
    <w:p>
      <w:pPr>
        <w:pStyle w:val="2"/>
        <w:jc w:val="center"/>
      </w:pPr>
      <w:r>
        <w:rPr>
          <w:sz w:val="20"/>
        </w:rPr>
        <w:t xml:space="preserve">в автономном округе с 2018 года</w:t>
      </w:r>
    </w:p>
    <w:p>
      <w:pPr>
        <w:pStyle w:val="0"/>
        <w:ind w:firstLine="540"/>
        <w:jc w:val="both"/>
      </w:pPr>
      <w:r>
        <w:rPr>
          <w:sz w:val="20"/>
        </w:rPr>
      </w:r>
    </w:p>
    <w:p>
      <w:pPr>
        <w:pStyle w:val="0"/>
        <w:jc w:val="center"/>
      </w:pPr>
      <w:r>
        <w:rPr>
          <w:sz w:val="20"/>
        </w:rPr>
        <w:t xml:space="preserve">Число детей с впервые выявленными врожденными и (или)</w:t>
      </w:r>
    </w:p>
    <w:p>
      <w:pPr>
        <w:pStyle w:val="0"/>
        <w:jc w:val="center"/>
      </w:pPr>
      <w:r>
        <w:rPr>
          <w:sz w:val="20"/>
        </w:rPr>
        <w:t xml:space="preserve">наследственными заболеваниями за период 2018 - 2022 гг.</w:t>
      </w:r>
    </w:p>
    <w:p>
      <w:pPr>
        <w:pStyle w:val="0"/>
        <w:jc w:val="center"/>
      </w:pPr>
      <w:r>
        <w:rPr>
          <w:sz w:val="20"/>
        </w:rPr>
        <w:t xml:space="preserve">(данные формы федерального статистического наблюдения N 12</w:t>
      </w:r>
    </w:p>
    <w:p>
      <w:pPr>
        <w:pStyle w:val="0"/>
        <w:jc w:val="center"/>
      </w:pPr>
      <w:r>
        <w:rPr>
          <w:sz w:val="20"/>
        </w:rPr>
        <w:t xml:space="preserve">"Сведения о числе заболеваний, зарегистрированных</w:t>
      </w:r>
    </w:p>
    <w:p>
      <w:pPr>
        <w:pStyle w:val="0"/>
        <w:jc w:val="center"/>
      </w:pPr>
      <w:r>
        <w:rPr>
          <w:sz w:val="20"/>
        </w:rPr>
        <w:t xml:space="preserve">у пациентов, проживающих в районе обслуживания медицинской</w:t>
      </w:r>
    </w:p>
    <w:p>
      <w:pPr>
        <w:pStyle w:val="0"/>
        <w:jc w:val="center"/>
      </w:pPr>
      <w:r>
        <w:rPr>
          <w:sz w:val="20"/>
        </w:rPr>
        <w:t xml:space="preserve">организации")</w:t>
      </w:r>
    </w:p>
    <w:p>
      <w:pPr>
        <w:pStyle w:val="0"/>
        <w:jc w:val="center"/>
      </w:pPr>
      <w:r>
        <w:rPr>
          <w:sz w:val="20"/>
        </w:rPr>
      </w:r>
    </w:p>
    <w:p>
      <w:pPr>
        <w:pStyle w:val="0"/>
        <w:jc w:val="right"/>
      </w:pPr>
      <w:r>
        <w:rPr>
          <w:sz w:val="20"/>
        </w:rPr>
        <w:t xml:space="preserve">Таблица 5</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216"/>
        <w:gridCol w:w="604"/>
        <w:gridCol w:w="604"/>
        <w:gridCol w:w="604"/>
        <w:gridCol w:w="604"/>
        <w:gridCol w:w="949"/>
      </w:tblGrid>
      <w:tr>
        <w:tc>
          <w:tcPr>
            <w:tcW w:w="5216" w:type="dxa"/>
          </w:tcPr>
          <w:p>
            <w:pPr>
              <w:pStyle w:val="0"/>
              <w:jc w:val="center"/>
            </w:pPr>
            <w:r>
              <w:rPr>
                <w:sz w:val="20"/>
              </w:rPr>
              <w:t xml:space="preserve">Наименование показателя</w:t>
            </w:r>
          </w:p>
        </w:tc>
        <w:tc>
          <w:tcPr>
            <w:tcW w:w="604" w:type="dxa"/>
          </w:tcPr>
          <w:p>
            <w:pPr>
              <w:pStyle w:val="0"/>
              <w:jc w:val="center"/>
            </w:pPr>
            <w:r>
              <w:rPr>
                <w:sz w:val="20"/>
              </w:rPr>
              <w:t xml:space="preserve">2018 год</w:t>
            </w:r>
          </w:p>
        </w:tc>
        <w:tc>
          <w:tcPr>
            <w:tcW w:w="604" w:type="dxa"/>
          </w:tcPr>
          <w:p>
            <w:pPr>
              <w:pStyle w:val="0"/>
              <w:jc w:val="center"/>
            </w:pPr>
            <w:r>
              <w:rPr>
                <w:sz w:val="20"/>
              </w:rPr>
              <w:t xml:space="preserve">2019 год</w:t>
            </w:r>
          </w:p>
        </w:tc>
        <w:tc>
          <w:tcPr>
            <w:tcW w:w="604" w:type="dxa"/>
          </w:tcPr>
          <w:p>
            <w:pPr>
              <w:pStyle w:val="0"/>
              <w:jc w:val="center"/>
            </w:pPr>
            <w:r>
              <w:rPr>
                <w:sz w:val="20"/>
              </w:rPr>
              <w:t xml:space="preserve">2020 год</w:t>
            </w:r>
          </w:p>
        </w:tc>
        <w:tc>
          <w:tcPr>
            <w:tcW w:w="604" w:type="dxa"/>
          </w:tcPr>
          <w:p>
            <w:pPr>
              <w:pStyle w:val="0"/>
              <w:jc w:val="center"/>
            </w:pPr>
            <w:r>
              <w:rPr>
                <w:sz w:val="20"/>
              </w:rPr>
              <w:t xml:space="preserve">2021 год</w:t>
            </w:r>
          </w:p>
        </w:tc>
        <w:tc>
          <w:tcPr>
            <w:tcW w:w="949" w:type="dxa"/>
          </w:tcPr>
          <w:p>
            <w:pPr>
              <w:pStyle w:val="0"/>
              <w:jc w:val="center"/>
            </w:pPr>
            <w:r>
              <w:rPr>
                <w:sz w:val="20"/>
              </w:rPr>
              <w:t xml:space="preserve">Данные за</w:t>
            </w:r>
          </w:p>
          <w:p>
            <w:pPr>
              <w:pStyle w:val="0"/>
              <w:jc w:val="center"/>
            </w:pPr>
            <w:r>
              <w:rPr>
                <w:sz w:val="20"/>
              </w:rPr>
              <w:t xml:space="preserve">9 месяцев 2022 года</w:t>
            </w:r>
          </w:p>
        </w:tc>
      </w:tr>
      <w:tr>
        <w:tc>
          <w:tcPr>
            <w:tcW w:w="5216" w:type="dxa"/>
          </w:tcPr>
          <w:p>
            <w:pPr>
              <w:pStyle w:val="0"/>
            </w:pPr>
            <w:r>
              <w:rPr>
                <w:sz w:val="20"/>
              </w:rPr>
              <w:t xml:space="preserve">Врожденный гипотиреоз</w:t>
            </w:r>
          </w:p>
        </w:tc>
        <w:tc>
          <w:tcPr>
            <w:tcW w:w="604" w:type="dxa"/>
          </w:tcPr>
          <w:p>
            <w:pPr>
              <w:pStyle w:val="0"/>
            </w:pPr>
            <w:r>
              <w:rPr>
                <w:sz w:val="20"/>
              </w:rPr>
              <w:t xml:space="preserve">10</w:t>
            </w:r>
          </w:p>
        </w:tc>
        <w:tc>
          <w:tcPr>
            <w:tcW w:w="604" w:type="dxa"/>
          </w:tcPr>
          <w:p>
            <w:pPr>
              <w:pStyle w:val="0"/>
            </w:pPr>
            <w:r>
              <w:rPr>
                <w:sz w:val="20"/>
              </w:rPr>
              <w:t xml:space="preserve">5</w:t>
            </w:r>
          </w:p>
        </w:tc>
        <w:tc>
          <w:tcPr>
            <w:tcW w:w="604" w:type="dxa"/>
          </w:tcPr>
          <w:p>
            <w:pPr>
              <w:pStyle w:val="0"/>
            </w:pPr>
            <w:r>
              <w:rPr>
                <w:sz w:val="20"/>
              </w:rPr>
              <w:t xml:space="preserve">8</w:t>
            </w:r>
          </w:p>
        </w:tc>
        <w:tc>
          <w:tcPr>
            <w:tcW w:w="604" w:type="dxa"/>
          </w:tcPr>
          <w:p>
            <w:pPr>
              <w:pStyle w:val="0"/>
            </w:pPr>
            <w:r>
              <w:rPr>
                <w:sz w:val="20"/>
              </w:rPr>
              <w:t xml:space="preserve">9</w:t>
            </w:r>
          </w:p>
        </w:tc>
        <w:tc>
          <w:tcPr>
            <w:tcW w:w="949" w:type="dxa"/>
          </w:tcPr>
          <w:p>
            <w:pPr>
              <w:pStyle w:val="0"/>
            </w:pPr>
            <w:r>
              <w:rPr>
                <w:sz w:val="20"/>
              </w:rPr>
              <w:t xml:space="preserve">3</w:t>
            </w:r>
          </w:p>
        </w:tc>
      </w:tr>
      <w:tr>
        <w:tc>
          <w:tcPr>
            <w:tcW w:w="5216" w:type="dxa"/>
          </w:tcPr>
          <w:p>
            <w:pPr>
              <w:pStyle w:val="0"/>
            </w:pPr>
            <w:r>
              <w:rPr>
                <w:sz w:val="20"/>
              </w:rPr>
              <w:t xml:space="preserve">Галактоземия</w:t>
            </w:r>
          </w:p>
        </w:tc>
        <w:tc>
          <w:tcPr>
            <w:tcW w:w="604" w:type="dxa"/>
          </w:tcPr>
          <w:p>
            <w:pPr>
              <w:pStyle w:val="0"/>
            </w:pPr>
            <w:r>
              <w:rPr>
                <w:sz w:val="20"/>
              </w:rPr>
              <w:t xml:space="preserve">6</w:t>
            </w:r>
          </w:p>
        </w:tc>
        <w:tc>
          <w:tcPr>
            <w:tcW w:w="604" w:type="dxa"/>
          </w:tcPr>
          <w:p>
            <w:pPr>
              <w:pStyle w:val="0"/>
            </w:pPr>
            <w:r>
              <w:rPr>
                <w:sz w:val="20"/>
              </w:rPr>
              <w:t xml:space="preserve">0</w:t>
            </w:r>
          </w:p>
        </w:tc>
        <w:tc>
          <w:tcPr>
            <w:tcW w:w="604" w:type="dxa"/>
          </w:tcPr>
          <w:p>
            <w:pPr>
              <w:pStyle w:val="0"/>
            </w:pPr>
            <w:r>
              <w:rPr>
                <w:sz w:val="20"/>
              </w:rPr>
              <w:t xml:space="preserve">1</w:t>
            </w:r>
          </w:p>
        </w:tc>
        <w:tc>
          <w:tcPr>
            <w:tcW w:w="604" w:type="dxa"/>
          </w:tcPr>
          <w:p>
            <w:pPr>
              <w:pStyle w:val="0"/>
            </w:pPr>
            <w:r>
              <w:rPr>
                <w:sz w:val="20"/>
              </w:rPr>
              <w:t xml:space="preserve">0</w:t>
            </w:r>
          </w:p>
        </w:tc>
        <w:tc>
          <w:tcPr>
            <w:tcW w:w="949" w:type="dxa"/>
          </w:tcPr>
          <w:p>
            <w:pPr>
              <w:pStyle w:val="0"/>
            </w:pPr>
            <w:r>
              <w:rPr>
                <w:sz w:val="20"/>
              </w:rPr>
              <w:t xml:space="preserve">3</w:t>
            </w:r>
          </w:p>
        </w:tc>
      </w:tr>
      <w:tr>
        <w:tc>
          <w:tcPr>
            <w:tcW w:w="5216" w:type="dxa"/>
          </w:tcPr>
          <w:p>
            <w:pPr>
              <w:pStyle w:val="0"/>
            </w:pPr>
            <w:r>
              <w:rPr>
                <w:sz w:val="20"/>
              </w:rPr>
              <w:t xml:space="preserve">Фенилкетонурия</w:t>
            </w:r>
          </w:p>
        </w:tc>
        <w:tc>
          <w:tcPr>
            <w:tcW w:w="604" w:type="dxa"/>
          </w:tcPr>
          <w:p>
            <w:pPr>
              <w:pStyle w:val="0"/>
            </w:pPr>
            <w:r>
              <w:rPr>
                <w:sz w:val="20"/>
              </w:rPr>
              <w:t xml:space="preserve">4</w:t>
            </w:r>
          </w:p>
        </w:tc>
        <w:tc>
          <w:tcPr>
            <w:tcW w:w="604" w:type="dxa"/>
          </w:tcPr>
          <w:p>
            <w:pPr>
              <w:pStyle w:val="0"/>
            </w:pPr>
            <w:r>
              <w:rPr>
                <w:sz w:val="20"/>
              </w:rPr>
              <w:t xml:space="preserve">7</w:t>
            </w:r>
          </w:p>
        </w:tc>
        <w:tc>
          <w:tcPr>
            <w:tcW w:w="604" w:type="dxa"/>
          </w:tcPr>
          <w:p>
            <w:pPr>
              <w:pStyle w:val="0"/>
            </w:pPr>
            <w:r>
              <w:rPr>
                <w:sz w:val="20"/>
              </w:rPr>
              <w:t xml:space="preserve">1</w:t>
            </w:r>
          </w:p>
        </w:tc>
        <w:tc>
          <w:tcPr>
            <w:tcW w:w="604" w:type="dxa"/>
          </w:tcPr>
          <w:p>
            <w:pPr>
              <w:pStyle w:val="0"/>
            </w:pPr>
            <w:r>
              <w:rPr>
                <w:sz w:val="20"/>
              </w:rPr>
              <w:t xml:space="preserve">2</w:t>
            </w:r>
          </w:p>
        </w:tc>
        <w:tc>
          <w:tcPr>
            <w:tcW w:w="949" w:type="dxa"/>
          </w:tcPr>
          <w:p>
            <w:pPr>
              <w:pStyle w:val="0"/>
            </w:pPr>
            <w:r>
              <w:rPr>
                <w:sz w:val="20"/>
              </w:rPr>
              <w:t xml:space="preserve">7</w:t>
            </w:r>
          </w:p>
        </w:tc>
      </w:tr>
      <w:tr>
        <w:tc>
          <w:tcPr>
            <w:tcW w:w="5216" w:type="dxa"/>
          </w:tcPr>
          <w:p>
            <w:pPr>
              <w:pStyle w:val="0"/>
            </w:pPr>
            <w:r>
              <w:rPr>
                <w:sz w:val="20"/>
              </w:rPr>
              <w:t xml:space="preserve">Адреногенитальный синдром</w:t>
            </w:r>
          </w:p>
        </w:tc>
        <w:tc>
          <w:tcPr>
            <w:tcW w:w="604" w:type="dxa"/>
          </w:tcPr>
          <w:p>
            <w:pPr>
              <w:pStyle w:val="0"/>
            </w:pPr>
            <w:r>
              <w:rPr>
                <w:sz w:val="20"/>
              </w:rPr>
              <w:t xml:space="preserve">7</w:t>
            </w:r>
          </w:p>
        </w:tc>
        <w:tc>
          <w:tcPr>
            <w:tcW w:w="604" w:type="dxa"/>
          </w:tcPr>
          <w:p>
            <w:pPr>
              <w:pStyle w:val="0"/>
            </w:pPr>
            <w:r>
              <w:rPr>
                <w:sz w:val="20"/>
              </w:rPr>
              <w:t xml:space="preserve">21</w:t>
            </w:r>
          </w:p>
        </w:tc>
        <w:tc>
          <w:tcPr>
            <w:tcW w:w="604" w:type="dxa"/>
          </w:tcPr>
          <w:p>
            <w:pPr>
              <w:pStyle w:val="0"/>
            </w:pPr>
            <w:r>
              <w:rPr>
                <w:sz w:val="20"/>
              </w:rPr>
              <w:t xml:space="preserve">17</w:t>
            </w:r>
          </w:p>
        </w:tc>
        <w:tc>
          <w:tcPr>
            <w:tcW w:w="604" w:type="dxa"/>
          </w:tcPr>
          <w:p>
            <w:pPr>
              <w:pStyle w:val="0"/>
            </w:pPr>
            <w:r>
              <w:rPr>
                <w:sz w:val="20"/>
              </w:rPr>
              <w:t xml:space="preserve">11</w:t>
            </w:r>
          </w:p>
        </w:tc>
        <w:tc>
          <w:tcPr>
            <w:tcW w:w="949" w:type="dxa"/>
          </w:tcPr>
          <w:p>
            <w:pPr>
              <w:pStyle w:val="0"/>
            </w:pPr>
            <w:r>
              <w:rPr>
                <w:sz w:val="20"/>
              </w:rPr>
              <w:t xml:space="preserve">6</w:t>
            </w:r>
          </w:p>
        </w:tc>
      </w:tr>
      <w:tr>
        <w:tc>
          <w:tcPr>
            <w:tcW w:w="5216" w:type="dxa"/>
          </w:tcPr>
          <w:p>
            <w:pPr>
              <w:pStyle w:val="0"/>
            </w:pPr>
            <w:r>
              <w:rPr>
                <w:sz w:val="20"/>
              </w:rPr>
              <w:t xml:space="preserve">Муковисцидоз</w:t>
            </w:r>
          </w:p>
        </w:tc>
        <w:tc>
          <w:tcPr>
            <w:tcW w:w="604" w:type="dxa"/>
          </w:tcPr>
          <w:p>
            <w:pPr>
              <w:pStyle w:val="0"/>
            </w:pPr>
            <w:r>
              <w:rPr>
                <w:sz w:val="20"/>
              </w:rPr>
              <w:t xml:space="preserve">4</w:t>
            </w:r>
          </w:p>
        </w:tc>
        <w:tc>
          <w:tcPr>
            <w:tcW w:w="604" w:type="dxa"/>
          </w:tcPr>
          <w:p>
            <w:pPr>
              <w:pStyle w:val="0"/>
            </w:pPr>
            <w:r>
              <w:rPr>
                <w:sz w:val="20"/>
              </w:rPr>
              <w:t xml:space="preserve">7</w:t>
            </w:r>
          </w:p>
        </w:tc>
        <w:tc>
          <w:tcPr>
            <w:tcW w:w="604" w:type="dxa"/>
          </w:tcPr>
          <w:p>
            <w:pPr>
              <w:pStyle w:val="0"/>
            </w:pPr>
            <w:r>
              <w:rPr>
                <w:sz w:val="20"/>
              </w:rPr>
              <w:t xml:space="preserve">7</w:t>
            </w:r>
          </w:p>
        </w:tc>
        <w:tc>
          <w:tcPr>
            <w:tcW w:w="604" w:type="dxa"/>
          </w:tcPr>
          <w:p>
            <w:pPr>
              <w:pStyle w:val="0"/>
            </w:pPr>
            <w:r>
              <w:rPr>
                <w:sz w:val="20"/>
              </w:rPr>
              <w:t xml:space="preserve">2</w:t>
            </w:r>
          </w:p>
        </w:tc>
        <w:tc>
          <w:tcPr>
            <w:tcW w:w="949" w:type="dxa"/>
          </w:tcPr>
          <w:p>
            <w:pPr>
              <w:pStyle w:val="0"/>
            </w:pPr>
            <w:r>
              <w:rPr>
                <w:sz w:val="20"/>
              </w:rPr>
              <w:t xml:space="preserve">1</w:t>
            </w:r>
          </w:p>
        </w:tc>
      </w:tr>
      <w:tr>
        <w:tc>
          <w:tcPr>
            <w:tcW w:w="5216" w:type="dxa"/>
          </w:tcPr>
          <w:p>
            <w:pPr>
              <w:pStyle w:val="0"/>
            </w:pPr>
            <w:r>
              <w:rPr>
                <w:sz w:val="20"/>
              </w:rPr>
              <w:t xml:space="preserve">Наследственные болезни обмена, в т.ч.:</w:t>
            </w:r>
          </w:p>
        </w:tc>
        <w:tc>
          <w:tcPr>
            <w:tcW w:w="604" w:type="dxa"/>
          </w:tcPr>
          <w:p>
            <w:pPr>
              <w:pStyle w:val="0"/>
            </w:pPr>
            <w:r>
              <w:rPr>
                <w:sz w:val="20"/>
              </w:rPr>
              <w:t xml:space="preserve">1</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2</w:t>
            </w:r>
          </w:p>
        </w:tc>
        <w:tc>
          <w:tcPr>
            <w:tcW w:w="949" w:type="dxa"/>
          </w:tcPr>
          <w:p>
            <w:pPr>
              <w:pStyle w:val="0"/>
            </w:pPr>
            <w:r>
              <w:rPr>
                <w:sz w:val="20"/>
              </w:rPr>
              <w:t xml:space="preserve">2</w:t>
            </w:r>
          </w:p>
        </w:tc>
      </w:tr>
      <w:tr>
        <w:tc>
          <w:tcPr>
            <w:tcW w:w="5216" w:type="dxa"/>
          </w:tcPr>
          <w:p>
            <w:pPr>
              <w:pStyle w:val="0"/>
            </w:pPr>
            <w:r>
              <w:rPr>
                <w:sz w:val="20"/>
              </w:rPr>
              <w:t xml:space="preserve">Тирозинемия</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1</w:t>
            </w:r>
          </w:p>
        </w:tc>
        <w:tc>
          <w:tcPr>
            <w:tcW w:w="949" w:type="dxa"/>
          </w:tcPr>
          <w:p>
            <w:pPr>
              <w:pStyle w:val="0"/>
            </w:pPr>
            <w:r>
              <w:rPr>
                <w:sz w:val="20"/>
              </w:rPr>
              <w:t xml:space="preserve">1</w:t>
            </w:r>
          </w:p>
        </w:tc>
      </w:tr>
      <w:tr>
        <w:tc>
          <w:tcPr>
            <w:tcW w:w="5216" w:type="dxa"/>
          </w:tcPr>
          <w:p>
            <w:pPr>
              <w:pStyle w:val="0"/>
            </w:pPr>
            <w:r>
              <w:rPr>
                <w:sz w:val="20"/>
              </w:rPr>
              <w:t xml:space="preserve">Пропионовая ацидемия</w:t>
            </w:r>
          </w:p>
        </w:tc>
        <w:tc>
          <w:tcPr>
            <w:tcW w:w="604" w:type="dxa"/>
          </w:tcPr>
          <w:p>
            <w:pPr>
              <w:pStyle w:val="0"/>
            </w:pPr>
            <w:r>
              <w:rPr>
                <w:sz w:val="20"/>
              </w:rPr>
              <w:t xml:space="preserve">1</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949" w:type="dxa"/>
          </w:tcPr>
          <w:p>
            <w:pPr>
              <w:pStyle w:val="0"/>
            </w:pPr>
            <w:r>
              <w:rPr>
                <w:sz w:val="20"/>
              </w:rPr>
              <w:t xml:space="preserve">0</w:t>
            </w:r>
          </w:p>
        </w:tc>
      </w:tr>
      <w:tr>
        <w:tc>
          <w:tcPr>
            <w:tcW w:w="5216" w:type="dxa"/>
          </w:tcPr>
          <w:p>
            <w:pPr>
              <w:pStyle w:val="0"/>
            </w:pPr>
            <w:r>
              <w:rPr>
                <w:sz w:val="20"/>
              </w:rPr>
              <w:t xml:space="preserve">Глутаровая ацидемея, тип I</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1</w:t>
            </w:r>
          </w:p>
        </w:tc>
        <w:tc>
          <w:tcPr>
            <w:tcW w:w="949" w:type="dxa"/>
          </w:tcPr>
          <w:p>
            <w:pPr>
              <w:pStyle w:val="0"/>
            </w:pPr>
            <w:r>
              <w:rPr>
                <w:sz w:val="20"/>
              </w:rPr>
              <w:t xml:space="preserve">1</w:t>
            </w:r>
          </w:p>
        </w:tc>
      </w:tr>
      <w:tr>
        <w:tc>
          <w:tcPr>
            <w:tcW w:w="5216" w:type="dxa"/>
          </w:tcPr>
          <w:p>
            <w:pPr>
              <w:pStyle w:val="0"/>
            </w:pPr>
            <w:r>
              <w:rPr>
                <w:sz w:val="20"/>
              </w:rPr>
              <w:t xml:space="preserve">Спинальная мышечная атрофия</w:t>
            </w:r>
          </w:p>
        </w:tc>
        <w:tc>
          <w:tcPr>
            <w:tcW w:w="604" w:type="dxa"/>
          </w:tcPr>
          <w:p>
            <w:pPr>
              <w:pStyle w:val="0"/>
            </w:pPr>
            <w:r>
              <w:rPr>
                <w:sz w:val="20"/>
              </w:rPr>
              <w:t xml:space="preserve">2</w:t>
            </w:r>
          </w:p>
        </w:tc>
        <w:tc>
          <w:tcPr>
            <w:tcW w:w="604" w:type="dxa"/>
          </w:tcPr>
          <w:p>
            <w:pPr>
              <w:pStyle w:val="0"/>
            </w:pPr>
            <w:r>
              <w:rPr>
                <w:sz w:val="20"/>
              </w:rPr>
              <w:t xml:space="preserve">2</w:t>
            </w:r>
          </w:p>
        </w:tc>
        <w:tc>
          <w:tcPr>
            <w:tcW w:w="604" w:type="dxa"/>
          </w:tcPr>
          <w:p>
            <w:pPr>
              <w:pStyle w:val="0"/>
            </w:pPr>
            <w:r>
              <w:rPr>
                <w:sz w:val="20"/>
              </w:rPr>
              <w:t xml:space="preserve">2</w:t>
            </w:r>
          </w:p>
        </w:tc>
        <w:tc>
          <w:tcPr>
            <w:tcW w:w="604" w:type="dxa"/>
          </w:tcPr>
          <w:p>
            <w:pPr>
              <w:pStyle w:val="0"/>
            </w:pPr>
            <w:r>
              <w:rPr>
                <w:sz w:val="20"/>
              </w:rPr>
              <w:t xml:space="preserve">2</w:t>
            </w:r>
          </w:p>
        </w:tc>
        <w:tc>
          <w:tcPr>
            <w:tcW w:w="949" w:type="dxa"/>
          </w:tcPr>
          <w:p>
            <w:pPr>
              <w:pStyle w:val="0"/>
            </w:pPr>
            <w:r>
              <w:rPr>
                <w:sz w:val="20"/>
              </w:rPr>
              <w:t xml:space="preserve">1</w:t>
            </w:r>
          </w:p>
        </w:tc>
      </w:tr>
      <w:tr>
        <w:tc>
          <w:tcPr>
            <w:tcW w:w="5216" w:type="dxa"/>
          </w:tcPr>
          <w:p>
            <w:pPr>
              <w:pStyle w:val="0"/>
            </w:pPr>
            <w:r>
              <w:rPr>
                <w:sz w:val="20"/>
              </w:rPr>
              <w:t xml:space="preserve">Первичные иммунодефициты</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949" w:type="dxa"/>
          </w:tcPr>
          <w:p>
            <w:pPr>
              <w:pStyle w:val="0"/>
            </w:pPr>
            <w:r>
              <w:rPr>
                <w:sz w:val="20"/>
              </w:rPr>
              <w:t xml:space="preserve">0</w:t>
            </w:r>
          </w:p>
        </w:tc>
      </w:tr>
      <w:tr>
        <w:tc>
          <w:tcPr>
            <w:tcW w:w="5216" w:type="dxa"/>
          </w:tcPr>
          <w:p>
            <w:pPr>
              <w:pStyle w:val="0"/>
            </w:pPr>
            <w:r>
              <w:rPr>
                <w:sz w:val="20"/>
              </w:rPr>
              <w:t xml:space="preserve">Итого</w:t>
            </w:r>
          </w:p>
        </w:tc>
        <w:tc>
          <w:tcPr>
            <w:tcW w:w="604" w:type="dxa"/>
          </w:tcPr>
          <w:p>
            <w:pPr>
              <w:pStyle w:val="0"/>
            </w:pPr>
            <w:r>
              <w:rPr>
                <w:sz w:val="20"/>
              </w:rPr>
              <w:t xml:space="preserve">34</w:t>
            </w:r>
          </w:p>
        </w:tc>
        <w:tc>
          <w:tcPr>
            <w:tcW w:w="604" w:type="dxa"/>
          </w:tcPr>
          <w:p>
            <w:pPr>
              <w:pStyle w:val="0"/>
            </w:pPr>
            <w:r>
              <w:rPr>
                <w:sz w:val="20"/>
              </w:rPr>
              <w:t xml:space="preserve">42</w:t>
            </w:r>
          </w:p>
        </w:tc>
        <w:tc>
          <w:tcPr>
            <w:tcW w:w="604" w:type="dxa"/>
          </w:tcPr>
          <w:p>
            <w:pPr>
              <w:pStyle w:val="0"/>
            </w:pPr>
            <w:r>
              <w:rPr>
                <w:sz w:val="20"/>
              </w:rPr>
              <w:t xml:space="preserve">36</w:t>
            </w:r>
          </w:p>
        </w:tc>
        <w:tc>
          <w:tcPr>
            <w:tcW w:w="604" w:type="dxa"/>
          </w:tcPr>
          <w:p>
            <w:pPr>
              <w:pStyle w:val="0"/>
            </w:pPr>
            <w:r>
              <w:rPr>
                <w:sz w:val="20"/>
              </w:rPr>
              <w:t xml:space="preserve">28</w:t>
            </w:r>
          </w:p>
        </w:tc>
        <w:tc>
          <w:tcPr>
            <w:tcW w:w="949" w:type="dxa"/>
          </w:tcPr>
          <w:p>
            <w:pPr>
              <w:pStyle w:val="0"/>
            </w:pPr>
            <w:r>
              <w:rPr>
                <w:sz w:val="20"/>
              </w:rPr>
              <w:t xml:space="preserve">23</w:t>
            </w:r>
          </w:p>
        </w:tc>
      </w:tr>
    </w:tbl>
    <w:p>
      <w:pPr>
        <w:pStyle w:val="0"/>
        <w:ind w:firstLine="540"/>
        <w:jc w:val="both"/>
      </w:pPr>
      <w:r>
        <w:rPr>
          <w:sz w:val="20"/>
        </w:rPr>
      </w:r>
    </w:p>
    <w:p>
      <w:pPr>
        <w:pStyle w:val="0"/>
        <w:ind w:firstLine="540"/>
        <w:jc w:val="both"/>
      </w:pPr>
      <w:r>
        <w:rPr>
          <w:sz w:val="20"/>
        </w:rPr>
        <w:t xml:space="preserve">Дети с впервые выявленными врожденными и (или) наследственными заболеваниями обеспечены медицинской помощью в соответствии с порядками, стандартами, утвержденными Минздравом России, на основе клинических рекомендаций.</w:t>
      </w:r>
    </w:p>
    <w:p>
      <w:pPr>
        <w:pStyle w:val="0"/>
        <w:spacing w:before="200" w:line-rule="auto"/>
        <w:ind w:firstLine="540"/>
        <w:jc w:val="both"/>
      </w:pPr>
      <w:r>
        <w:rPr>
          <w:sz w:val="20"/>
        </w:rPr>
        <w:t xml:space="preserve">Своевременно оказанная медицинская помощь позволяет стабилизировать состояние ребенка и предупредить развитие жизнеугрожающих состояний, повысить качество жизни.</w:t>
      </w:r>
    </w:p>
    <w:p>
      <w:pPr>
        <w:pStyle w:val="0"/>
        <w:jc w:val="center"/>
      </w:pPr>
      <w:r>
        <w:rPr>
          <w:sz w:val="20"/>
        </w:rPr>
      </w:r>
    </w:p>
    <w:p>
      <w:pPr>
        <w:pStyle w:val="0"/>
        <w:jc w:val="center"/>
      </w:pPr>
      <w:r>
        <w:rPr>
          <w:sz w:val="20"/>
        </w:rPr>
        <w:t xml:space="preserve">Число детей с врожденными и (или) наследственными</w:t>
      </w:r>
    </w:p>
    <w:p>
      <w:pPr>
        <w:pStyle w:val="0"/>
        <w:jc w:val="center"/>
      </w:pPr>
      <w:r>
        <w:rPr>
          <w:sz w:val="20"/>
        </w:rPr>
        <w:t xml:space="preserve">заболеваниями с впервые установленной инвалидностью</w:t>
      </w:r>
    </w:p>
    <w:p>
      <w:pPr>
        <w:pStyle w:val="0"/>
        <w:jc w:val="center"/>
      </w:pPr>
      <w:r>
        <w:rPr>
          <w:sz w:val="20"/>
        </w:rPr>
        <w:t xml:space="preserve">в возрасте 0 - 1 год за период 2018 - 2022 гг. (данные</w:t>
      </w:r>
    </w:p>
    <w:p>
      <w:pPr>
        <w:pStyle w:val="0"/>
        <w:jc w:val="center"/>
      </w:pPr>
      <w:r>
        <w:rPr>
          <w:sz w:val="20"/>
        </w:rPr>
        <w:t xml:space="preserve">федерального казенного учреждения "Главное бюро</w:t>
      </w:r>
    </w:p>
    <w:p>
      <w:pPr>
        <w:pStyle w:val="0"/>
        <w:jc w:val="center"/>
      </w:pPr>
      <w:r>
        <w:rPr>
          <w:sz w:val="20"/>
        </w:rPr>
        <w:t xml:space="preserve">медико-социальной экспертизы по Ханты-Мансийскому</w:t>
      </w:r>
    </w:p>
    <w:p>
      <w:pPr>
        <w:pStyle w:val="0"/>
        <w:jc w:val="center"/>
      </w:pPr>
      <w:r>
        <w:rPr>
          <w:sz w:val="20"/>
        </w:rPr>
        <w:t xml:space="preserve">автономному округу - Югре" Министерства труда и социальной</w:t>
      </w:r>
    </w:p>
    <w:p>
      <w:pPr>
        <w:pStyle w:val="0"/>
        <w:jc w:val="center"/>
      </w:pPr>
      <w:r>
        <w:rPr>
          <w:sz w:val="20"/>
        </w:rPr>
        <w:t xml:space="preserve">защиты Российской Федерации)</w:t>
      </w:r>
    </w:p>
    <w:p>
      <w:pPr>
        <w:pStyle w:val="0"/>
        <w:jc w:val="center"/>
      </w:pPr>
      <w:r>
        <w:rPr>
          <w:sz w:val="20"/>
        </w:rPr>
      </w:r>
    </w:p>
    <w:p>
      <w:pPr>
        <w:pStyle w:val="0"/>
        <w:jc w:val="right"/>
      </w:pPr>
      <w:r>
        <w:rPr>
          <w:sz w:val="20"/>
        </w:rPr>
        <w:t xml:space="preserve">Таблица 6</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92"/>
        <w:gridCol w:w="604"/>
        <w:gridCol w:w="604"/>
        <w:gridCol w:w="604"/>
        <w:gridCol w:w="604"/>
        <w:gridCol w:w="949"/>
      </w:tblGrid>
      <w:tr>
        <w:tc>
          <w:tcPr>
            <w:tcW w:w="4592" w:type="dxa"/>
          </w:tcPr>
          <w:p>
            <w:pPr>
              <w:pStyle w:val="0"/>
              <w:jc w:val="center"/>
            </w:pPr>
            <w:r>
              <w:rPr>
                <w:sz w:val="20"/>
              </w:rPr>
              <w:t xml:space="preserve">Показатель</w:t>
            </w:r>
          </w:p>
        </w:tc>
        <w:tc>
          <w:tcPr>
            <w:tcW w:w="604" w:type="dxa"/>
          </w:tcPr>
          <w:p>
            <w:pPr>
              <w:pStyle w:val="0"/>
              <w:jc w:val="center"/>
            </w:pPr>
            <w:r>
              <w:rPr>
                <w:sz w:val="20"/>
              </w:rPr>
              <w:t xml:space="preserve">2018</w:t>
            </w:r>
          </w:p>
          <w:p>
            <w:pPr>
              <w:pStyle w:val="0"/>
              <w:jc w:val="center"/>
            </w:pPr>
            <w:r>
              <w:rPr>
                <w:sz w:val="20"/>
              </w:rPr>
              <w:t xml:space="preserve">год</w:t>
            </w:r>
          </w:p>
        </w:tc>
        <w:tc>
          <w:tcPr>
            <w:tcW w:w="604" w:type="dxa"/>
          </w:tcPr>
          <w:p>
            <w:pPr>
              <w:pStyle w:val="0"/>
              <w:jc w:val="center"/>
            </w:pPr>
            <w:r>
              <w:rPr>
                <w:sz w:val="20"/>
              </w:rPr>
              <w:t xml:space="preserve">2019</w:t>
            </w:r>
          </w:p>
          <w:p>
            <w:pPr>
              <w:pStyle w:val="0"/>
              <w:jc w:val="center"/>
            </w:pPr>
            <w:r>
              <w:rPr>
                <w:sz w:val="20"/>
              </w:rPr>
              <w:t xml:space="preserve">год</w:t>
            </w:r>
          </w:p>
        </w:tc>
        <w:tc>
          <w:tcPr>
            <w:tcW w:w="604" w:type="dxa"/>
          </w:tcPr>
          <w:p>
            <w:pPr>
              <w:pStyle w:val="0"/>
              <w:jc w:val="center"/>
            </w:pPr>
            <w:r>
              <w:rPr>
                <w:sz w:val="20"/>
              </w:rPr>
              <w:t xml:space="preserve">2020</w:t>
            </w:r>
          </w:p>
          <w:p>
            <w:pPr>
              <w:pStyle w:val="0"/>
              <w:jc w:val="center"/>
            </w:pPr>
            <w:r>
              <w:rPr>
                <w:sz w:val="20"/>
              </w:rPr>
              <w:t xml:space="preserve">год</w:t>
            </w:r>
          </w:p>
        </w:tc>
        <w:tc>
          <w:tcPr>
            <w:tcW w:w="604" w:type="dxa"/>
          </w:tcPr>
          <w:p>
            <w:pPr>
              <w:pStyle w:val="0"/>
              <w:jc w:val="center"/>
            </w:pPr>
            <w:r>
              <w:rPr>
                <w:sz w:val="20"/>
              </w:rPr>
              <w:t xml:space="preserve">2021</w:t>
            </w:r>
          </w:p>
          <w:p>
            <w:pPr>
              <w:pStyle w:val="0"/>
              <w:jc w:val="center"/>
            </w:pPr>
            <w:r>
              <w:rPr>
                <w:sz w:val="20"/>
              </w:rPr>
              <w:t xml:space="preserve">год</w:t>
            </w:r>
          </w:p>
        </w:tc>
        <w:tc>
          <w:tcPr>
            <w:tcW w:w="949" w:type="dxa"/>
          </w:tcPr>
          <w:p>
            <w:pPr>
              <w:pStyle w:val="0"/>
              <w:jc w:val="center"/>
            </w:pPr>
            <w:r>
              <w:rPr>
                <w:sz w:val="20"/>
              </w:rPr>
              <w:t xml:space="preserve">9 месяцев 2022 года</w:t>
            </w:r>
          </w:p>
        </w:tc>
      </w:tr>
      <w:tr>
        <w:tc>
          <w:tcPr>
            <w:tcW w:w="4592" w:type="dxa"/>
          </w:tcPr>
          <w:p>
            <w:pPr>
              <w:pStyle w:val="0"/>
            </w:pPr>
            <w:r>
              <w:rPr>
                <w:sz w:val="20"/>
              </w:rPr>
              <w:t xml:space="preserve">Врожденный гипотиреоз</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949" w:type="dxa"/>
          </w:tcPr>
          <w:p>
            <w:pPr>
              <w:pStyle w:val="0"/>
            </w:pPr>
            <w:r>
              <w:rPr>
                <w:sz w:val="20"/>
              </w:rPr>
              <w:t xml:space="preserve">0</w:t>
            </w:r>
          </w:p>
        </w:tc>
      </w:tr>
      <w:tr>
        <w:tc>
          <w:tcPr>
            <w:tcW w:w="4592" w:type="dxa"/>
          </w:tcPr>
          <w:p>
            <w:pPr>
              <w:pStyle w:val="0"/>
            </w:pPr>
            <w:r>
              <w:rPr>
                <w:sz w:val="20"/>
              </w:rPr>
              <w:t xml:space="preserve">Галактоземия</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1</w:t>
            </w:r>
          </w:p>
        </w:tc>
        <w:tc>
          <w:tcPr>
            <w:tcW w:w="949" w:type="dxa"/>
          </w:tcPr>
          <w:p>
            <w:pPr>
              <w:pStyle w:val="0"/>
            </w:pPr>
            <w:r>
              <w:rPr>
                <w:sz w:val="20"/>
              </w:rPr>
              <w:t xml:space="preserve">0</w:t>
            </w:r>
          </w:p>
        </w:tc>
      </w:tr>
      <w:tr>
        <w:tc>
          <w:tcPr>
            <w:tcW w:w="4592" w:type="dxa"/>
          </w:tcPr>
          <w:p>
            <w:pPr>
              <w:pStyle w:val="0"/>
            </w:pPr>
            <w:r>
              <w:rPr>
                <w:sz w:val="20"/>
              </w:rPr>
              <w:t xml:space="preserve">Фенилкетонурия</w:t>
            </w:r>
          </w:p>
        </w:tc>
        <w:tc>
          <w:tcPr>
            <w:tcW w:w="604" w:type="dxa"/>
          </w:tcPr>
          <w:p>
            <w:pPr>
              <w:pStyle w:val="0"/>
            </w:pPr>
            <w:r>
              <w:rPr>
                <w:sz w:val="20"/>
              </w:rPr>
              <w:t xml:space="preserve">2</w:t>
            </w:r>
          </w:p>
        </w:tc>
        <w:tc>
          <w:tcPr>
            <w:tcW w:w="604" w:type="dxa"/>
          </w:tcPr>
          <w:p>
            <w:pPr>
              <w:pStyle w:val="0"/>
            </w:pPr>
            <w:r>
              <w:rPr>
                <w:sz w:val="20"/>
              </w:rPr>
              <w:t xml:space="preserve">3</w:t>
            </w:r>
          </w:p>
        </w:tc>
        <w:tc>
          <w:tcPr>
            <w:tcW w:w="604" w:type="dxa"/>
          </w:tcPr>
          <w:p>
            <w:pPr>
              <w:pStyle w:val="0"/>
            </w:pPr>
            <w:r>
              <w:rPr>
                <w:sz w:val="20"/>
              </w:rPr>
              <w:t xml:space="preserve">3</w:t>
            </w:r>
          </w:p>
        </w:tc>
        <w:tc>
          <w:tcPr>
            <w:tcW w:w="604" w:type="dxa"/>
          </w:tcPr>
          <w:p>
            <w:pPr>
              <w:pStyle w:val="0"/>
            </w:pPr>
            <w:r>
              <w:rPr>
                <w:sz w:val="20"/>
              </w:rPr>
              <w:t xml:space="preserve">1</w:t>
            </w:r>
          </w:p>
        </w:tc>
        <w:tc>
          <w:tcPr>
            <w:tcW w:w="949" w:type="dxa"/>
          </w:tcPr>
          <w:p>
            <w:pPr>
              <w:pStyle w:val="0"/>
            </w:pPr>
            <w:r>
              <w:rPr>
                <w:sz w:val="20"/>
              </w:rPr>
              <w:t xml:space="preserve">0</w:t>
            </w:r>
          </w:p>
        </w:tc>
      </w:tr>
      <w:tr>
        <w:tc>
          <w:tcPr>
            <w:tcW w:w="4592" w:type="dxa"/>
          </w:tcPr>
          <w:p>
            <w:pPr>
              <w:pStyle w:val="0"/>
            </w:pPr>
            <w:r>
              <w:rPr>
                <w:sz w:val="20"/>
              </w:rPr>
              <w:t xml:space="preserve">Адреногенитальный синдром</w:t>
            </w:r>
          </w:p>
        </w:tc>
        <w:tc>
          <w:tcPr>
            <w:tcW w:w="604" w:type="dxa"/>
          </w:tcPr>
          <w:p>
            <w:pPr>
              <w:pStyle w:val="0"/>
            </w:pPr>
            <w:r>
              <w:rPr>
                <w:sz w:val="20"/>
              </w:rPr>
              <w:t xml:space="preserve">1</w:t>
            </w:r>
          </w:p>
        </w:tc>
        <w:tc>
          <w:tcPr>
            <w:tcW w:w="604" w:type="dxa"/>
          </w:tcPr>
          <w:p>
            <w:pPr>
              <w:pStyle w:val="0"/>
            </w:pPr>
            <w:r>
              <w:rPr>
                <w:sz w:val="20"/>
              </w:rPr>
              <w:t xml:space="preserve">1</w:t>
            </w:r>
          </w:p>
        </w:tc>
        <w:tc>
          <w:tcPr>
            <w:tcW w:w="604" w:type="dxa"/>
          </w:tcPr>
          <w:p>
            <w:pPr>
              <w:pStyle w:val="0"/>
            </w:pPr>
            <w:r>
              <w:rPr>
                <w:sz w:val="20"/>
              </w:rPr>
              <w:t xml:space="preserve">0</w:t>
            </w:r>
          </w:p>
        </w:tc>
        <w:tc>
          <w:tcPr>
            <w:tcW w:w="604" w:type="dxa"/>
          </w:tcPr>
          <w:p>
            <w:pPr>
              <w:pStyle w:val="0"/>
            </w:pPr>
            <w:r>
              <w:rPr>
                <w:sz w:val="20"/>
              </w:rPr>
              <w:t xml:space="preserve">2</w:t>
            </w:r>
          </w:p>
        </w:tc>
        <w:tc>
          <w:tcPr>
            <w:tcW w:w="949" w:type="dxa"/>
          </w:tcPr>
          <w:p>
            <w:pPr>
              <w:pStyle w:val="0"/>
            </w:pPr>
            <w:r>
              <w:rPr>
                <w:sz w:val="20"/>
              </w:rPr>
              <w:t xml:space="preserve">1</w:t>
            </w:r>
          </w:p>
        </w:tc>
      </w:tr>
      <w:tr>
        <w:tc>
          <w:tcPr>
            <w:tcW w:w="4592" w:type="dxa"/>
          </w:tcPr>
          <w:p>
            <w:pPr>
              <w:pStyle w:val="0"/>
            </w:pPr>
            <w:r>
              <w:rPr>
                <w:sz w:val="20"/>
              </w:rPr>
              <w:t xml:space="preserve">Муковисцидоз</w:t>
            </w:r>
          </w:p>
        </w:tc>
        <w:tc>
          <w:tcPr>
            <w:tcW w:w="604" w:type="dxa"/>
          </w:tcPr>
          <w:p>
            <w:pPr>
              <w:pStyle w:val="0"/>
            </w:pPr>
            <w:r>
              <w:rPr>
                <w:sz w:val="20"/>
              </w:rPr>
              <w:t xml:space="preserve">3</w:t>
            </w:r>
          </w:p>
        </w:tc>
        <w:tc>
          <w:tcPr>
            <w:tcW w:w="604" w:type="dxa"/>
          </w:tcPr>
          <w:p>
            <w:pPr>
              <w:pStyle w:val="0"/>
            </w:pPr>
            <w:r>
              <w:rPr>
                <w:sz w:val="20"/>
              </w:rPr>
              <w:t xml:space="preserve">8</w:t>
            </w:r>
          </w:p>
        </w:tc>
        <w:tc>
          <w:tcPr>
            <w:tcW w:w="604" w:type="dxa"/>
          </w:tcPr>
          <w:p>
            <w:pPr>
              <w:pStyle w:val="0"/>
            </w:pPr>
            <w:r>
              <w:rPr>
                <w:sz w:val="20"/>
              </w:rPr>
              <w:t xml:space="preserve">2</w:t>
            </w:r>
          </w:p>
        </w:tc>
        <w:tc>
          <w:tcPr>
            <w:tcW w:w="604" w:type="dxa"/>
          </w:tcPr>
          <w:p>
            <w:pPr>
              <w:pStyle w:val="0"/>
            </w:pPr>
            <w:r>
              <w:rPr>
                <w:sz w:val="20"/>
              </w:rPr>
              <w:t xml:space="preserve">2</w:t>
            </w:r>
          </w:p>
        </w:tc>
        <w:tc>
          <w:tcPr>
            <w:tcW w:w="949" w:type="dxa"/>
          </w:tcPr>
          <w:p>
            <w:pPr>
              <w:pStyle w:val="0"/>
            </w:pPr>
            <w:r>
              <w:rPr>
                <w:sz w:val="20"/>
              </w:rPr>
              <w:t xml:space="preserve">0</w:t>
            </w:r>
          </w:p>
        </w:tc>
      </w:tr>
      <w:tr>
        <w:tc>
          <w:tcPr>
            <w:tcW w:w="4592" w:type="dxa"/>
          </w:tcPr>
          <w:p>
            <w:pPr>
              <w:pStyle w:val="0"/>
            </w:pPr>
            <w:r>
              <w:rPr>
                <w:sz w:val="20"/>
              </w:rPr>
              <w:t xml:space="preserve">Наследственные болезни обмена</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949" w:type="dxa"/>
          </w:tcPr>
          <w:p>
            <w:pPr>
              <w:pStyle w:val="0"/>
            </w:pPr>
            <w:r>
              <w:rPr>
                <w:sz w:val="20"/>
              </w:rPr>
              <w:t xml:space="preserve">0</w:t>
            </w:r>
          </w:p>
        </w:tc>
      </w:tr>
      <w:tr>
        <w:tc>
          <w:tcPr>
            <w:tcW w:w="4592" w:type="dxa"/>
          </w:tcPr>
          <w:p>
            <w:pPr>
              <w:pStyle w:val="0"/>
            </w:pPr>
            <w:r>
              <w:rPr>
                <w:sz w:val="20"/>
              </w:rPr>
              <w:t xml:space="preserve">Спинальная мышечная атрофия</w:t>
            </w:r>
          </w:p>
        </w:tc>
        <w:tc>
          <w:tcPr>
            <w:tcW w:w="604" w:type="dxa"/>
          </w:tcPr>
          <w:p>
            <w:pPr>
              <w:pStyle w:val="0"/>
            </w:pPr>
            <w:r>
              <w:rPr>
                <w:sz w:val="20"/>
              </w:rPr>
              <w:t xml:space="preserve">2</w:t>
            </w:r>
          </w:p>
        </w:tc>
        <w:tc>
          <w:tcPr>
            <w:tcW w:w="604" w:type="dxa"/>
          </w:tcPr>
          <w:p>
            <w:pPr>
              <w:pStyle w:val="0"/>
            </w:pPr>
            <w:r>
              <w:rPr>
                <w:sz w:val="20"/>
              </w:rPr>
              <w:t xml:space="preserve">4</w:t>
            </w:r>
          </w:p>
        </w:tc>
        <w:tc>
          <w:tcPr>
            <w:tcW w:w="604" w:type="dxa"/>
          </w:tcPr>
          <w:p>
            <w:pPr>
              <w:pStyle w:val="0"/>
            </w:pPr>
            <w:r>
              <w:rPr>
                <w:sz w:val="20"/>
              </w:rPr>
              <w:t xml:space="preserve">1</w:t>
            </w:r>
          </w:p>
        </w:tc>
        <w:tc>
          <w:tcPr>
            <w:tcW w:w="604" w:type="dxa"/>
          </w:tcPr>
          <w:p>
            <w:pPr>
              <w:pStyle w:val="0"/>
            </w:pPr>
            <w:r>
              <w:rPr>
                <w:sz w:val="20"/>
              </w:rPr>
              <w:t xml:space="preserve">0</w:t>
            </w:r>
          </w:p>
        </w:tc>
        <w:tc>
          <w:tcPr>
            <w:tcW w:w="949" w:type="dxa"/>
          </w:tcPr>
          <w:p>
            <w:pPr>
              <w:pStyle w:val="0"/>
            </w:pPr>
            <w:r>
              <w:rPr>
                <w:sz w:val="20"/>
              </w:rPr>
              <w:t xml:space="preserve">0</w:t>
            </w:r>
          </w:p>
        </w:tc>
      </w:tr>
      <w:tr>
        <w:tc>
          <w:tcPr>
            <w:tcW w:w="4592" w:type="dxa"/>
          </w:tcPr>
          <w:p>
            <w:pPr>
              <w:pStyle w:val="0"/>
            </w:pPr>
            <w:r>
              <w:rPr>
                <w:sz w:val="20"/>
              </w:rPr>
              <w:t xml:space="preserve">Первичные иммунодефициты</w:t>
            </w:r>
          </w:p>
        </w:tc>
        <w:tc>
          <w:tcPr>
            <w:tcW w:w="604" w:type="dxa"/>
          </w:tcPr>
          <w:p>
            <w:pPr>
              <w:pStyle w:val="0"/>
            </w:pPr>
            <w:r>
              <w:rPr>
                <w:sz w:val="20"/>
              </w:rPr>
              <w:t xml:space="preserve">1</w:t>
            </w:r>
          </w:p>
        </w:tc>
        <w:tc>
          <w:tcPr>
            <w:tcW w:w="604" w:type="dxa"/>
          </w:tcPr>
          <w:p>
            <w:pPr>
              <w:pStyle w:val="0"/>
            </w:pPr>
            <w:r>
              <w:rPr>
                <w:sz w:val="20"/>
              </w:rPr>
              <w:t xml:space="preserve">1</w:t>
            </w:r>
          </w:p>
        </w:tc>
        <w:tc>
          <w:tcPr>
            <w:tcW w:w="604" w:type="dxa"/>
          </w:tcPr>
          <w:p>
            <w:pPr>
              <w:pStyle w:val="0"/>
            </w:pPr>
            <w:r>
              <w:rPr>
                <w:sz w:val="20"/>
              </w:rPr>
              <w:t xml:space="preserve">0</w:t>
            </w:r>
          </w:p>
        </w:tc>
        <w:tc>
          <w:tcPr>
            <w:tcW w:w="604" w:type="dxa"/>
          </w:tcPr>
          <w:p>
            <w:pPr>
              <w:pStyle w:val="0"/>
            </w:pPr>
            <w:r>
              <w:rPr>
                <w:sz w:val="20"/>
              </w:rPr>
              <w:t xml:space="preserve">0</w:t>
            </w:r>
          </w:p>
        </w:tc>
        <w:tc>
          <w:tcPr>
            <w:tcW w:w="949" w:type="dxa"/>
          </w:tcPr>
          <w:p>
            <w:pPr>
              <w:pStyle w:val="0"/>
            </w:pPr>
            <w:r>
              <w:rPr>
                <w:sz w:val="20"/>
              </w:rPr>
              <w:t xml:space="preserve">0</w:t>
            </w:r>
          </w:p>
        </w:tc>
      </w:tr>
      <w:tr>
        <w:tc>
          <w:tcPr>
            <w:tcW w:w="4592" w:type="dxa"/>
          </w:tcPr>
          <w:p>
            <w:pPr>
              <w:pStyle w:val="0"/>
            </w:pPr>
            <w:r>
              <w:rPr>
                <w:sz w:val="20"/>
              </w:rPr>
              <w:t xml:space="preserve">Итого</w:t>
            </w:r>
          </w:p>
        </w:tc>
        <w:tc>
          <w:tcPr>
            <w:tcW w:w="604" w:type="dxa"/>
          </w:tcPr>
          <w:p>
            <w:pPr>
              <w:pStyle w:val="0"/>
            </w:pPr>
            <w:r>
              <w:rPr>
                <w:sz w:val="20"/>
              </w:rPr>
              <w:t xml:space="preserve">9</w:t>
            </w:r>
          </w:p>
        </w:tc>
        <w:tc>
          <w:tcPr>
            <w:tcW w:w="604" w:type="dxa"/>
          </w:tcPr>
          <w:p>
            <w:pPr>
              <w:pStyle w:val="0"/>
            </w:pPr>
            <w:r>
              <w:rPr>
                <w:sz w:val="20"/>
              </w:rPr>
              <w:t xml:space="preserve">17</w:t>
            </w:r>
          </w:p>
        </w:tc>
        <w:tc>
          <w:tcPr>
            <w:tcW w:w="604" w:type="dxa"/>
          </w:tcPr>
          <w:p>
            <w:pPr>
              <w:pStyle w:val="0"/>
            </w:pPr>
            <w:r>
              <w:rPr>
                <w:sz w:val="20"/>
              </w:rPr>
              <w:t xml:space="preserve">6</w:t>
            </w:r>
          </w:p>
        </w:tc>
        <w:tc>
          <w:tcPr>
            <w:tcW w:w="604" w:type="dxa"/>
          </w:tcPr>
          <w:p>
            <w:pPr>
              <w:pStyle w:val="0"/>
            </w:pPr>
            <w:r>
              <w:rPr>
                <w:sz w:val="20"/>
              </w:rPr>
              <w:t xml:space="preserve">6</w:t>
            </w:r>
          </w:p>
        </w:tc>
        <w:tc>
          <w:tcPr>
            <w:tcW w:w="949" w:type="dxa"/>
          </w:tcPr>
          <w:p>
            <w:pPr>
              <w:pStyle w:val="0"/>
            </w:pPr>
            <w:r>
              <w:rPr>
                <w:sz w:val="20"/>
              </w:rPr>
              <w:t xml:space="preserve">1</w:t>
            </w:r>
          </w:p>
        </w:tc>
      </w:tr>
    </w:tbl>
    <w:p>
      <w:pPr>
        <w:pStyle w:val="0"/>
        <w:ind w:firstLine="540"/>
        <w:jc w:val="both"/>
      </w:pPr>
      <w:r>
        <w:rPr>
          <w:sz w:val="20"/>
        </w:rPr>
      </w:r>
    </w:p>
    <w:p>
      <w:pPr>
        <w:pStyle w:val="0"/>
        <w:ind w:firstLine="540"/>
        <w:jc w:val="both"/>
      </w:pPr>
      <w:r>
        <w:rPr>
          <w:sz w:val="20"/>
        </w:rPr>
        <w:t xml:space="preserve">При анализе числа детей с врожденными и (или) наследственными заболеваниями с впервые установленной инвалидностью в возрасте 0 - 1 год за период 2018 - 2022 гг. установлено, что не все дети с врожденными и (или) наследственными заболеваниями имеют статус "ребенок-инвалид". Так, за 9 месяцев 2022 года врожденные и (или) наследственные заболевания диагностированы у 23 детей, при этом статус "ребенок-инвалид" (в возрасте 0 - 1 год) присвоен 1 ребенку с заболеванием "адреногенитальный синдром".</w:t>
      </w:r>
    </w:p>
    <w:p>
      <w:pPr>
        <w:pStyle w:val="0"/>
        <w:spacing w:before="200" w:line-rule="auto"/>
        <w:ind w:firstLine="540"/>
        <w:jc w:val="both"/>
      </w:pPr>
      <w:r>
        <w:rPr>
          <w:sz w:val="20"/>
        </w:rPr>
        <w:t xml:space="preserve">Необходимо отметить, что дети с впервые выявленными врожденными и (или) наследственными заболеваниями обеспечены медицинской помощью в соответствии с порядками, стандартами, утвержденными Минздравом России, на основе клинических рекомендаций. Своевременно оказанная медицинская помощь позволяет стабилизировать состояние ребенка и предупредить развитие жизнеугрожающих состояний, повысить качество жизни. В динамике за период с 2018 года - 9 месяцев 2022 года отмечается снижение числа детей с впервые выявленными врожденными и (или) наследственными заболеваниями с 34 до 23 (темп снижения составил 32,4%).</w:t>
      </w:r>
    </w:p>
    <w:p>
      <w:pPr>
        <w:pStyle w:val="0"/>
        <w:spacing w:before="200" w:line-rule="auto"/>
        <w:ind w:firstLine="540"/>
        <w:jc w:val="both"/>
      </w:pPr>
      <w:r>
        <w:rPr>
          <w:sz w:val="20"/>
        </w:rPr>
        <w:t xml:space="preserve">Направление на медико-социальную экспертизу осуществляется в соответствии с </w:t>
      </w:r>
      <w:hyperlink w:history="0" r:id="rId226" w:tooltip="Постановление Правительства РФ от 05.04.2022 N 588 (ред. от 24.01.2023) &quot;О признании лица инвалидом&quot; (вместе с &quot;Правилами признания лица инвалидом&quot;) (с изм. и доп., вступ. в силу с 01.06.2023) ------------ Недействующая редакция {КонсультантПлюс}">
        <w:r>
          <w:rPr>
            <w:sz w:val="20"/>
            <w:color w:val="0000ff"/>
          </w:rPr>
          <w:t xml:space="preserve">постановлением</w:t>
        </w:r>
      </w:hyperlink>
      <w:r>
        <w:rPr>
          <w:sz w:val="20"/>
        </w:rPr>
        <w:t xml:space="preserve"> Правительства Российской Федерации от 5 апреля 2022 года N 588 "О признании лица инвалидом".</w:t>
      </w:r>
    </w:p>
    <w:p>
      <w:pPr>
        <w:pStyle w:val="0"/>
        <w:spacing w:before="200" w:line-rule="auto"/>
        <w:ind w:firstLine="540"/>
        <w:jc w:val="both"/>
      </w:pPr>
      <w:r>
        <w:rPr>
          <w:sz w:val="20"/>
        </w:rPr>
        <w:t xml:space="preserve">Согласно указанному постановлению условиями признания гражданина инвалидом, вызывающими необходимость его социальной защиты, являются нарушение здоровья со стойким расстройством функций организма, обусловленное заболеваниями, последствиями травм или дефектами, ограничение жизнедеятельности (полная или частичная утрата гражданином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или заниматься трудовой деятельностью), необходимость в мероприятиях по реабилитации и абилитации.</w:t>
      </w:r>
    </w:p>
    <w:p>
      <w:pPr>
        <w:pStyle w:val="0"/>
        <w:spacing w:before="200" w:line-rule="auto"/>
        <w:ind w:firstLine="540"/>
        <w:jc w:val="both"/>
      </w:pPr>
      <w:r>
        <w:rPr>
          <w:sz w:val="20"/>
        </w:rPr>
        <w:t xml:space="preserve">Таким образом, своевременно оказанная медицинская помощь детям с врожденными и (или) наследственными заболеваниями предупреждает развитие стойких расстройств функций организма, и они не имеют показаний для присвоения статуса "ребенок-инвалид".</w:t>
      </w:r>
    </w:p>
    <w:p>
      <w:pPr>
        <w:pStyle w:val="0"/>
        <w:jc w:val="right"/>
      </w:pPr>
      <w:r>
        <w:rPr>
          <w:sz w:val="20"/>
        </w:rPr>
      </w:r>
    </w:p>
    <w:p>
      <w:pPr>
        <w:pStyle w:val="0"/>
        <w:jc w:val="center"/>
      </w:pPr>
      <w:r>
        <w:rPr>
          <w:sz w:val="20"/>
        </w:rPr>
        <w:t xml:space="preserve">Число детей с врожденными и (или) наследственными</w:t>
      </w:r>
    </w:p>
    <w:p>
      <w:pPr>
        <w:pStyle w:val="0"/>
        <w:jc w:val="center"/>
      </w:pPr>
      <w:r>
        <w:rPr>
          <w:sz w:val="20"/>
        </w:rPr>
        <w:t xml:space="preserve">заболеваниями, умерших в возрасте 0 - 1 год за период</w:t>
      </w:r>
    </w:p>
    <w:p>
      <w:pPr>
        <w:pStyle w:val="0"/>
        <w:jc w:val="center"/>
      </w:pPr>
      <w:r>
        <w:rPr>
          <w:sz w:val="20"/>
        </w:rPr>
        <w:t xml:space="preserve">2018 - 2022 гг. (данные управления федеральной службы</w:t>
      </w:r>
    </w:p>
    <w:p>
      <w:pPr>
        <w:pStyle w:val="0"/>
        <w:jc w:val="center"/>
      </w:pPr>
      <w:r>
        <w:rPr>
          <w:sz w:val="20"/>
        </w:rPr>
        <w:t xml:space="preserve">государственной статистики по Тюменской области, автономному</w:t>
      </w:r>
    </w:p>
    <w:p>
      <w:pPr>
        <w:pStyle w:val="0"/>
        <w:jc w:val="center"/>
      </w:pPr>
      <w:r>
        <w:rPr>
          <w:sz w:val="20"/>
        </w:rPr>
        <w:t xml:space="preserve">округу и Ямало-Ненецкому автономному округу)</w:t>
      </w:r>
    </w:p>
    <w:p>
      <w:pPr>
        <w:pStyle w:val="0"/>
        <w:jc w:val="center"/>
      </w:pPr>
      <w:r>
        <w:rPr>
          <w:sz w:val="20"/>
        </w:rPr>
      </w:r>
    </w:p>
    <w:p>
      <w:pPr>
        <w:pStyle w:val="0"/>
        <w:jc w:val="right"/>
      </w:pPr>
      <w:r>
        <w:rPr>
          <w:sz w:val="20"/>
        </w:rPr>
        <w:t xml:space="preserve">Таблица 7</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49"/>
        <w:gridCol w:w="604"/>
        <w:gridCol w:w="604"/>
        <w:gridCol w:w="604"/>
        <w:gridCol w:w="604"/>
        <w:gridCol w:w="949"/>
      </w:tblGrid>
      <w:tr>
        <w:tc>
          <w:tcPr>
            <w:tcW w:w="4649" w:type="dxa"/>
          </w:tcPr>
          <w:p>
            <w:pPr>
              <w:pStyle w:val="0"/>
              <w:jc w:val="center"/>
            </w:pPr>
            <w:r>
              <w:rPr>
                <w:sz w:val="20"/>
              </w:rPr>
              <w:t xml:space="preserve">Показатель</w:t>
            </w:r>
          </w:p>
        </w:tc>
        <w:tc>
          <w:tcPr>
            <w:tcW w:w="604" w:type="dxa"/>
          </w:tcPr>
          <w:p>
            <w:pPr>
              <w:pStyle w:val="0"/>
              <w:jc w:val="center"/>
            </w:pPr>
            <w:r>
              <w:rPr>
                <w:sz w:val="20"/>
              </w:rPr>
              <w:t xml:space="preserve">2018 год</w:t>
            </w:r>
          </w:p>
        </w:tc>
        <w:tc>
          <w:tcPr>
            <w:tcW w:w="604" w:type="dxa"/>
          </w:tcPr>
          <w:p>
            <w:pPr>
              <w:pStyle w:val="0"/>
              <w:jc w:val="center"/>
            </w:pPr>
            <w:r>
              <w:rPr>
                <w:sz w:val="20"/>
              </w:rPr>
              <w:t xml:space="preserve">2019 год</w:t>
            </w:r>
          </w:p>
        </w:tc>
        <w:tc>
          <w:tcPr>
            <w:tcW w:w="604" w:type="dxa"/>
          </w:tcPr>
          <w:p>
            <w:pPr>
              <w:pStyle w:val="0"/>
              <w:jc w:val="center"/>
            </w:pPr>
            <w:r>
              <w:rPr>
                <w:sz w:val="20"/>
              </w:rPr>
              <w:t xml:space="preserve">2020 год</w:t>
            </w:r>
          </w:p>
        </w:tc>
        <w:tc>
          <w:tcPr>
            <w:tcW w:w="604" w:type="dxa"/>
          </w:tcPr>
          <w:p>
            <w:pPr>
              <w:pStyle w:val="0"/>
              <w:jc w:val="center"/>
            </w:pPr>
            <w:r>
              <w:rPr>
                <w:sz w:val="20"/>
              </w:rPr>
              <w:t xml:space="preserve">2021 год</w:t>
            </w:r>
          </w:p>
        </w:tc>
        <w:tc>
          <w:tcPr>
            <w:tcW w:w="949" w:type="dxa"/>
          </w:tcPr>
          <w:p>
            <w:pPr>
              <w:pStyle w:val="0"/>
              <w:jc w:val="center"/>
            </w:pPr>
            <w:r>
              <w:rPr>
                <w:sz w:val="20"/>
              </w:rPr>
              <w:t xml:space="preserve">9 месяцев 2022 года</w:t>
            </w:r>
          </w:p>
        </w:tc>
      </w:tr>
      <w:tr>
        <w:tc>
          <w:tcPr>
            <w:tcW w:w="4649" w:type="dxa"/>
          </w:tcPr>
          <w:p>
            <w:pPr>
              <w:pStyle w:val="0"/>
            </w:pPr>
            <w:r>
              <w:rPr>
                <w:sz w:val="20"/>
              </w:rPr>
              <w:t xml:space="preserve">Врожденный гипотиреоз</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949" w:type="dxa"/>
          </w:tcPr>
          <w:p>
            <w:pPr>
              <w:pStyle w:val="0"/>
            </w:pPr>
            <w:r>
              <w:rPr>
                <w:sz w:val="20"/>
              </w:rPr>
              <w:t xml:space="preserve">0</w:t>
            </w:r>
          </w:p>
        </w:tc>
      </w:tr>
      <w:tr>
        <w:tc>
          <w:tcPr>
            <w:tcW w:w="4649" w:type="dxa"/>
          </w:tcPr>
          <w:p>
            <w:pPr>
              <w:pStyle w:val="0"/>
            </w:pPr>
            <w:r>
              <w:rPr>
                <w:sz w:val="20"/>
              </w:rPr>
              <w:t xml:space="preserve">Галактоземия</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949" w:type="dxa"/>
          </w:tcPr>
          <w:p>
            <w:pPr>
              <w:pStyle w:val="0"/>
            </w:pPr>
            <w:r>
              <w:rPr>
                <w:sz w:val="20"/>
              </w:rPr>
              <w:t xml:space="preserve">0</w:t>
            </w:r>
          </w:p>
        </w:tc>
      </w:tr>
      <w:tr>
        <w:tc>
          <w:tcPr>
            <w:tcW w:w="4649" w:type="dxa"/>
          </w:tcPr>
          <w:p>
            <w:pPr>
              <w:pStyle w:val="0"/>
            </w:pPr>
            <w:r>
              <w:rPr>
                <w:sz w:val="20"/>
              </w:rPr>
              <w:t xml:space="preserve">Фенилкетонурия</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949" w:type="dxa"/>
          </w:tcPr>
          <w:p>
            <w:pPr>
              <w:pStyle w:val="0"/>
            </w:pPr>
            <w:r>
              <w:rPr>
                <w:sz w:val="20"/>
              </w:rPr>
              <w:t xml:space="preserve">0</w:t>
            </w:r>
          </w:p>
        </w:tc>
      </w:tr>
      <w:tr>
        <w:tc>
          <w:tcPr>
            <w:tcW w:w="4649" w:type="dxa"/>
          </w:tcPr>
          <w:p>
            <w:pPr>
              <w:pStyle w:val="0"/>
            </w:pPr>
            <w:r>
              <w:rPr>
                <w:sz w:val="20"/>
              </w:rPr>
              <w:t xml:space="preserve">Адреногенитальный синдром</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949" w:type="dxa"/>
          </w:tcPr>
          <w:p>
            <w:pPr>
              <w:pStyle w:val="0"/>
            </w:pPr>
            <w:r>
              <w:rPr>
                <w:sz w:val="20"/>
              </w:rPr>
              <w:t xml:space="preserve">0</w:t>
            </w:r>
          </w:p>
        </w:tc>
      </w:tr>
      <w:tr>
        <w:tc>
          <w:tcPr>
            <w:tcW w:w="4649" w:type="dxa"/>
          </w:tcPr>
          <w:p>
            <w:pPr>
              <w:pStyle w:val="0"/>
            </w:pPr>
            <w:r>
              <w:rPr>
                <w:sz w:val="20"/>
              </w:rPr>
              <w:t xml:space="preserve">Муковисцидоз</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949" w:type="dxa"/>
          </w:tcPr>
          <w:p>
            <w:pPr>
              <w:pStyle w:val="0"/>
            </w:pPr>
            <w:r>
              <w:rPr>
                <w:sz w:val="20"/>
              </w:rPr>
              <w:t xml:space="preserve">0</w:t>
            </w:r>
          </w:p>
        </w:tc>
      </w:tr>
      <w:tr>
        <w:tc>
          <w:tcPr>
            <w:tcW w:w="4649" w:type="dxa"/>
          </w:tcPr>
          <w:p>
            <w:pPr>
              <w:pStyle w:val="0"/>
            </w:pPr>
            <w:r>
              <w:rPr>
                <w:sz w:val="20"/>
              </w:rPr>
              <w:t xml:space="preserve">Наследственные болезни обмена</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949" w:type="dxa"/>
          </w:tcPr>
          <w:p>
            <w:pPr>
              <w:pStyle w:val="0"/>
            </w:pPr>
            <w:r>
              <w:rPr>
                <w:sz w:val="20"/>
              </w:rPr>
              <w:t xml:space="preserve">0</w:t>
            </w:r>
          </w:p>
        </w:tc>
      </w:tr>
      <w:tr>
        <w:tc>
          <w:tcPr>
            <w:tcW w:w="4649" w:type="dxa"/>
          </w:tcPr>
          <w:p>
            <w:pPr>
              <w:pStyle w:val="0"/>
            </w:pPr>
            <w:r>
              <w:rPr>
                <w:sz w:val="20"/>
              </w:rPr>
              <w:t xml:space="preserve">Спинальная мышечная атрофия</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949" w:type="dxa"/>
          </w:tcPr>
          <w:p>
            <w:pPr>
              <w:pStyle w:val="0"/>
            </w:pPr>
            <w:r>
              <w:rPr>
                <w:sz w:val="20"/>
              </w:rPr>
              <w:t xml:space="preserve">0</w:t>
            </w:r>
          </w:p>
        </w:tc>
      </w:tr>
      <w:tr>
        <w:tc>
          <w:tcPr>
            <w:tcW w:w="4649" w:type="dxa"/>
          </w:tcPr>
          <w:p>
            <w:pPr>
              <w:pStyle w:val="0"/>
            </w:pPr>
            <w:r>
              <w:rPr>
                <w:sz w:val="20"/>
              </w:rPr>
              <w:t xml:space="preserve">Первичные иммунодефициты</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949" w:type="dxa"/>
          </w:tcPr>
          <w:p>
            <w:pPr>
              <w:pStyle w:val="0"/>
            </w:pPr>
            <w:r>
              <w:rPr>
                <w:sz w:val="20"/>
              </w:rPr>
              <w:t xml:space="preserve">0</w:t>
            </w:r>
          </w:p>
        </w:tc>
      </w:tr>
      <w:tr>
        <w:tc>
          <w:tcPr>
            <w:tcW w:w="4649" w:type="dxa"/>
          </w:tcPr>
          <w:p>
            <w:pPr>
              <w:pStyle w:val="0"/>
            </w:pPr>
            <w:r>
              <w:rPr>
                <w:sz w:val="20"/>
              </w:rPr>
              <w:t xml:space="preserve">Итого</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604" w:type="dxa"/>
          </w:tcPr>
          <w:p>
            <w:pPr>
              <w:pStyle w:val="0"/>
            </w:pPr>
            <w:r>
              <w:rPr>
                <w:sz w:val="20"/>
              </w:rPr>
              <w:t xml:space="preserve">0</w:t>
            </w:r>
          </w:p>
        </w:tc>
        <w:tc>
          <w:tcPr>
            <w:tcW w:w="949" w:type="dxa"/>
          </w:tcPr>
          <w:p>
            <w:pPr>
              <w:pStyle w:val="0"/>
            </w:pPr>
            <w:r>
              <w:rPr>
                <w:sz w:val="20"/>
              </w:rPr>
              <w:t xml:space="preserve">0</w:t>
            </w:r>
          </w:p>
        </w:tc>
      </w:tr>
    </w:tbl>
    <w:p>
      <w:pPr>
        <w:pStyle w:val="0"/>
        <w:ind w:firstLine="540"/>
        <w:jc w:val="both"/>
      </w:pPr>
      <w:r>
        <w:rPr>
          <w:sz w:val="20"/>
        </w:rPr>
      </w:r>
    </w:p>
    <w:p>
      <w:pPr>
        <w:pStyle w:val="0"/>
        <w:ind w:firstLine="540"/>
        <w:jc w:val="both"/>
      </w:pPr>
      <w:r>
        <w:rPr>
          <w:sz w:val="20"/>
        </w:rPr>
        <w:t xml:space="preserve">За период с 2018 года - 9 месяцев 2022 года отмечается снижение числа детей с заболеванием "врожденный гипотиреоз" с 10 до 3 случаев, с заболеванием "галактоземия" - с 6 до 3 случаев, с заболеванием "адреногенитальный синдром" - с 7 до 6 случаев, с заболеванием "муковисцидоз" - с 4 до 1 случая, с заболеванием "спинальная мышечная атрофия" - с 2 до 1 случая. Рост числа впервые выявленных детей с заболеванием "фенилкетонурия" с 4 до 7 случаев, с наследственными болезнями обмена - с 1 до 2 случаев.</w:t>
      </w:r>
    </w:p>
    <w:p>
      <w:pPr>
        <w:pStyle w:val="0"/>
        <w:spacing w:before="200" w:line-rule="auto"/>
        <w:ind w:firstLine="540"/>
        <w:jc w:val="both"/>
      </w:pPr>
      <w:r>
        <w:rPr>
          <w:sz w:val="20"/>
        </w:rPr>
        <w:t xml:space="preserve">За анализируемый период 2018 года - 9 месяцев 2022 года отмечено снижение числа детей с врожденными и (или) наследственными заболеваниями с впервые установленной инвалидностью в возрасте 0 - 1 год с 9 человек в 2018 году до 1 человека за 9 месяцев 2022 года (темп снижения составил 89%).</w:t>
      </w:r>
    </w:p>
    <w:p>
      <w:pPr>
        <w:pStyle w:val="0"/>
        <w:spacing w:before="200" w:line-rule="auto"/>
        <w:ind w:firstLine="540"/>
        <w:jc w:val="both"/>
      </w:pPr>
      <w:r>
        <w:rPr>
          <w:sz w:val="20"/>
        </w:rPr>
        <w:t xml:space="preserve">Детей с врожденными и (или) наследственными заболеваниями, умерших в возрасте 0 - 1 год, за период 2018 года - 9 месяцев 2022 года не зарегистрировано.</w:t>
      </w:r>
    </w:p>
    <w:p>
      <w:pPr>
        <w:pStyle w:val="0"/>
        <w:spacing w:before="200" w:line-rule="auto"/>
        <w:ind w:firstLine="540"/>
        <w:jc w:val="both"/>
      </w:pPr>
      <w:r>
        <w:rPr>
          <w:sz w:val="20"/>
        </w:rPr>
        <w:t xml:space="preserve">Дети с врожденными и (или) наследственными заболеваниями в автономном округе обеспечены медицинской помощью согласно порядкам, стандартам, утвержденным Минздравом России, на основе клинических рекомендаций и протоколов, в связи с чем отмечается снижение числа детей с врожденными и (или) наследственными заболеваниями, которым присвоен статус "ребенок-инвалид", летальных исходов среди детей в возрасте 0 - 1 год за период 2018 года - 9 месяцев 2022 года не зарегистрировано.</w:t>
      </w:r>
    </w:p>
    <w:p>
      <w:pPr>
        <w:pStyle w:val="0"/>
        <w:ind w:firstLine="540"/>
        <w:jc w:val="both"/>
      </w:pPr>
      <w:r>
        <w:rPr>
          <w:sz w:val="20"/>
        </w:rPr>
      </w:r>
    </w:p>
    <w:p>
      <w:pPr>
        <w:pStyle w:val="2"/>
        <w:outlineLvl w:val="2"/>
        <w:jc w:val="center"/>
      </w:pPr>
      <w:r>
        <w:rPr>
          <w:sz w:val="20"/>
        </w:rPr>
        <w:t xml:space="preserve">1.4. Нормативные правовые документы автономного округа,</w:t>
      </w:r>
    </w:p>
    <w:p>
      <w:pPr>
        <w:pStyle w:val="2"/>
        <w:jc w:val="center"/>
      </w:pPr>
      <w:r>
        <w:rPr>
          <w:sz w:val="20"/>
        </w:rPr>
        <w:t xml:space="preserve">регламентирующие оказание медицинской помощи пациентам</w:t>
      </w:r>
    </w:p>
    <w:p>
      <w:pPr>
        <w:pStyle w:val="2"/>
        <w:jc w:val="center"/>
      </w:pPr>
      <w:r>
        <w:rPr>
          <w:sz w:val="20"/>
        </w:rPr>
        <w:t xml:space="preserve">с врожденными и (или) наследственными заболеваниями</w:t>
      </w:r>
    </w:p>
    <w:p>
      <w:pPr>
        <w:pStyle w:val="0"/>
        <w:ind w:firstLine="540"/>
        <w:jc w:val="both"/>
      </w:pPr>
      <w:r>
        <w:rPr>
          <w:sz w:val="20"/>
        </w:rPr>
      </w:r>
    </w:p>
    <w:p>
      <w:pPr>
        <w:pStyle w:val="0"/>
        <w:jc w:val="center"/>
      </w:pPr>
      <w:r>
        <w:rPr>
          <w:sz w:val="20"/>
        </w:rPr>
        <w:t xml:space="preserve">Нормативные правовые акты, регламентирующие оказание</w:t>
      </w:r>
    </w:p>
    <w:p>
      <w:pPr>
        <w:pStyle w:val="0"/>
        <w:jc w:val="center"/>
      </w:pPr>
      <w:r>
        <w:rPr>
          <w:sz w:val="20"/>
        </w:rPr>
        <w:t xml:space="preserve">медицинской помощи детям с врожденными и (или)</w:t>
      </w:r>
    </w:p>
    <w:p>
      <w:pPr>
        <w:pStyle w:val="0"/>
        <w:jc w:val="center"/>
      </w:pPr>
      <w:r>
        <w:rPr>
          <w:sz w:val="20"/>
        </w:rPr>
        <w:t xml:space="preserve">наследственными заболеваниями в автономном округе</w:t>
      </w:r>
    </w:p>
    <w:p>
      <w:pPr>
        <w:pStyle w:val="0"/>
        <w:jc w:val="center"/>
      </w:pPr>
      <w:r>
        <w:rPr>
          <w:sz w:val="20"/>
        </w:rPr>
      </w:r>
    </w:p>
    <w:p>
      <w:pPr>
        <w:pStyle w:val="0"/>
        <w:jc w:val="right"/>
      </w:pPr>
      <w:r>
        <w:rPr>
          <w:sz w:val="20"/>
        </w:rPr>
        <w:t xml:space="preserve">Таблица 8</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4479"/>
        <w:gridCol w:w="1219"/>
        <w:gridCol w:w="2665"/>
      </w:tblGrid>
      <w:tr>
        <w:tc>
          <w:tcPr>
            <w:tcW w:w="454" w:type="dxa"/>
          </w:tcPr>
          <w:p>
            <w:pPr>
              <w:pStyle w:val="0"/>
              <w:jc w:val="center"/>
            </w:pPr>
            <w:r>
              <w:rPr>
                <w:sz w:val="20"/>
              </w:rPr>
              <w:t xml:space="preserve">N п/п</w:t>
            </w:r>
          </w:p>
        </w:tc>
        <w:tc>
          <w:tcPr>
            <w:tcW w:w="4479" w:type="dxa"/>
          </w:tcPr>
          <w:p>
            <w:pPr>
              <w:pStyle w:val="0"/>
              <w:jc w:val="center"/>
            </w:pPr>
            <w:r>
              <w:rPr>
                <w:sz w:val="20"/>
              </w:rPr>
              <w:t xml:space="preserve">Нормативный правовой акт</w:t>
            </w:r>
          </w:p>
        </w:tc>
        <w:tc>
          <w:tcPr>
            <w:tcW w:w="1219" w:type="dxa"/>
          </w:tcPr>
          <w:p>
            <w:pPr>
              <w:pStyle w:val="0"/>
              <w:jc w:val="center"/>
            </w:pPr>
            <w:r>
              <w:rPr>
                <w:sz w:val="20"/>
              </w:rPr>
              <w:t xml:space="preserve">Реквизиты</w:t>
            </w:r>
          </w:p>
        </w:tc>
        <w:tc>
          <w:tcPr>
            <w:tcW w:w="2665" w:type="dxa"/>
          </w:tcPr>
          <w:p>
            <w:pPr>
              <w:pStyle w:val="0"/>
              <w:jc w:val="center"/>
            </w:pPr>
            <w:r>
              <w:rPr>
                <w:sz w:val="20"/>
              </w:rPr>
              <w:t xml:space="preserve">Утвердивший орган</w:t>
            </w:r>
          </w:p>
        </w:tc>
      </w:tr>
      <w:tr>
        <w:tc>
          <w:tcPr>
            <w:tcW w:w="454" w:type="dxa"/>
          </w:tcPr>
          <w:p>
            <w:pPr>
              <w:pStyle w:val="0"/>
            </w:pPr>
            <w:r>
              <w:rPr>
                <w:sz w:val="20"/>
              </w:rPr>
              <w:t xml:space="preserve">1.</w:t>
            </w:r>
          </w:p>
        </w:tc>
        <w:tc>
          <w:tcPr>
            <w:tcW w:w="4479" w:type="dxa"/>
          </w:tcPr>
          <w:p>
            <w:pPr>
              <w:pStyle w:val="0"/>
            </w:pPr>
            <w:r>
              <w:rPr>
                <w:sz w:val="20"/>
              </w:rPr>
              <w:t xml:space="preserve">приказ "О массовом обследовании новорожденных детей на наследственные заболевания в Ханты-Мансийском автономном округе - Югре"</w:t>
            </w:r>
          </w:p>
        </w:tc>
        <w:tc>
          <w:tcPr>
            <w:tcW w:w="1219" w:type="dxa"/>
          </w:tcPr>
          <w:p>
            <w:pPr>
              <w:pStyle w:val="0"/>
            </w:pPr>
            <w:r>
              <w:rPr>
                <w:sz w:val="20"/>
              </w:rPr>
              <w:t xml:space="preserve">от 12 апреля 2022 года N 622</w:t>
            </w:r>
          </w:p>
        </w:tc>
        <w:tc>
          <w:tcPr>
            <w:tcW w:w="2665" w:type="dxa"/>
          </w:tcPr>
          <w:p>
            <w:pPr>
              <w:pStyle w:val="0"/>
            </w:pPr>
            <w:r>
              <w:rPr>
                <w:sz w:val="20"/>
              </w:rPr>
              <w:t xml:space="preserve">Департамент здравоохранения автономного округа</w:t>
            </w:r>
          </w:p>
        </w:tc>
      </w:tr>
      <w:tr>
        <w:tc>
          <w:tcPr>
            <w:tcW w:w="454" w:type="dxa"/>
          </w:tcPr>
          <w:p>
            <w:pPr>
              <w:pStyle w:val="0"/>
            </w:pPr>
            <w:r>
              <w:rPr>
                <w:sz w:val="20"/>
              </w:rPr>
              <w:t xml:space="preserve">2.</w:t>
            </w:r>
          </w:p>
        </w:tc>
        <w:tc>
          <w:tcPr>
            <w:tcW w:w="4479" w:type="dxa"/>
          </w:tcPr>
          <w:p>
            <w:pPr>
              <w:pStyle w:val="0"/>
            </w:pPr>
            <w:r>
              <w:rPr>
                <w:sz w:val="20"/>
              </w:rPr>
              <w:t xml:space="preserve">приказ "Об утверждении алгоритма оказания специализированной медицинской помощи детям с диагнозом "Спинальная мышечная атрофия"</w:t>
            </w:r>
          </w:p>
        </w:tc>
        <w:tc>
          <w:tcPr>
            <w:tcW w:w="1219" w:type="dxa"/>
          </w:tcPr>
          <w:p>
            <w:pPr>
              <w:pStyle w:val="0"/>
            </w:pPr>
            <w:r>
              <w:rPr>
                <w:sz w:val="20"/>
              </w:rPr>
              <w:t xml:space="preserve">от 11 декабря 2019 года N 1528</w:t>
            </w:r>
          </w:p>
        </w:tc>
        <w:tc>
          <w:tcPr>
            <w:tcW w:w="2665" w:type="dxa"/>
          </w:tcPr>
          <w:p>
            <w:pPr>
              <w:pStyle w:val="0"/>
            </w:pPr>
            <w:r>
              <w:rPr>
                <w:sz w:val="20"/>
              </w:rPr>
              <w:t xml:space="preserve">Департамент здравоохранения автономного округа</w:t>
            </w:r>
          </w:p>
        </w:tc>
      </w:tr>
      <w:tr>
        <w:tc>
          <w:tcPr>
            <w:tcW w:w="454" w:type="dxa"/>
          </w:tcPr>
          <w:p>
            <w:pPr>
              <w:pStyle w:val="0"/>
            </w:pPr>
            <w:r>
              <w:rPr>
                <w:sz w:val="20"/>
              </w:rPr>
              <w:t xml:space="preserve">3.</w:t>
            </w:r>
          </w:p>
        </w:tc>
        <w:tc>
          <w:tcPr>
            <w:tcW w:w="4479" w:type="dxa"/>
          </w:tcPr>
          <w:p>
            <w:pPr>
              <w:pStyle w:val="0"/>
            </w:pPr>
            <w:r>
              <w:rPr>
                <w:sz w:val="20"/>
              </w:rPr>
              <w:t xml:space="preserve">приказ "Об организации оказания медицинской помощи по профилю "детская эндокринология" в Ханты-Мансийском автономном округе - Югре"</w:t>
            </w:r>
          </w:p>
        </w:tc>
        <w:tc>
          <w:tcPr>
            <w:tcW w:w="1219" w:type="dxa"/>
          </w:tcPr>
          <w:p>
            <w:pPr>
              <w:pStyle w:val="0"/>
            </w:pPr>
            <w:r>
              <w:rPr>
                <w:sz w:val="20"/>
              </w:rPr>
              <w:t xml:space="preserve">от 13 мая 2022 года N 783</w:t>
            </w:r>
          </w:p>
        </w:tc>
        <w:tc>
          <w:tcPr>
            <w:tcW w:w="2665" w:type="dxa"/>
          </w:tcPr>
          <w:p>
            <w:pPr>
              <w:pStyle w:val="0"/>
            </w:pPr>
            <w:r>
              <w:rPr>
                <w:sz w:val="20"/>
              </w:rPr>
              <w:t xml:space="preserve">Департамент здравоохранения автономного округа</w:t>
            </w:r>
          </w:p>
        </w:tc>
      </w:tr>
      <w:tr>
        <w:tc>
          <w:tcPr>
            <w:tcW w:w="454" w:type="dxa"/>
          </w:tcPr>
          <w:p>
            <w:pPr>
              <w:pStyle w:val="0"/>
            </w:pPr>
            <w:r>
              <w:rPr>
                <w:sz w:val="20"/>
              </w:rPr>
              <w:t xml:space="preserve">4.</w:t>
            </w:r>
          </w:p>
        </w:tc>
        <w:tc>
          <w:tcPr>
            <w:tcW w:w="4479" w:type="dxa"/>
          </w:tcPr>
          <w:p>
            <w:pPr>
              <w:pStyle w:val="0"/>
            </w:pPr>
            <w:r>
              <w:rPr>
                <w:sz w:val="20"/>
              </w:rPr>
              <w:t xml:space="preserve">приказ "Об организации специализированной медицинской помощи несовершеннолетним с врожденными пороками сердца и нарушениями ритма сердца в Ханты-Мансийском автономном округе - Югре"</w:t>
            </w:r>
          </w:p>
        </w:tc>
        <w:tc>
          <w:tcPr>
            <w:tcW w:w="1219" w:type="dxa"/>
          </w:tcPr>
          <w:p>
            <w:pPr>
              <w:pStyle w:val="0"/>
            </w:pPr>
            <w:r>
              <w:rPr>
                <w:sz w:val="20"/>
              </w:rPr>
              <w:t xml:space="preserve">от 21 января 2022 года N 101</w:t>
            </w:r>
          </w:p>
        </w:tc>
        <w:tc>
          <w:tcPr>
            <w:tcW w:w="2665" w:type="dxa"/>
          </w:tcPr>
          <w:p>
            <w:pPr>
              <w:pStyle w:val="0"/>
            </w:pPr>
            <w:r>
              <w:rPr>
                <w:sz w:val="20"/>
              </w:rPr>
              <w:t xml:space="preserve">Департамент здравоохранения автономного округа</w:t>
            </w:r>
          </w:p>
        </w:tc>
      </w:tr>
      <w:tr>
        <w:tc>
          <w:tcPr>
            <w:tcW w:w="454" w:type="dxa"/>
          </w:tcPr>
          <w:p>
            <w:pPr>
              <w:pStyle w:val="0"/>
            </w:pPr>
            <w:r>
              <w:rPr>
                <w:sz w:val="20"/>
              </w:rPr>
              <w:t xml:space="preserve">5.</w:t>
            </w:r>
          </w:p>
        </w:tc>
        <w:tc>
          <w:tcPr>
            <w:tcW w:w="4479" w:type="dxa"/>
          </w:tcPr>
          <w:p>
            <w:pPr>
              <w:pStyle w:val="0"/>
            </w:pPr>
            <w:r>
              <w:rPr>
                <w:sz w:val="20"/>
              </w:rPr>
              <w:t xml:space="preserve">приказ "Об организации оказания специализированной, в том числе высокотехнологичной, медицинской помощи детскому населению Ханты-Мансийского автономного округа - Югры"</w:t>
            </w:r>
          </w:p>
        </w:tc>
        <w:tc>
          <w:tcPr>
            <w:tcW w:w="1219" w:type="dxa"/>
          </w:tcPr>
          <w:p>
            <w:pPr>
              <w:pStyle w:val="0"/>
            </w:pPr>
            <w:r>
              <w:rPr>
                <w:sz w:val="20"/>
              </w:rPr>
              <w:t xml:space="preserve">от 6 декабря 2021 года N 1970</w:t>
            </w:r>
          </w:p>
        </w:tc>
        <w:tc>
          <w:tcPr>
            <w:tcW w:w="2665" w:type="dxa"/>
          </w:tcPr>
          <w:p>
            <w:pPr>
              <w:pStyle w:val="0"/>
            </w:pPr>
            <w:r>
              <w:rPr>
                <w:sz w:val="20"/>
              </w:rPr>
              <w:t xml:space="preserve">Департамент здравоохранения автономного округа</w:t>
            </w:r>
          </w:p>
        </w:tc>
      </w:tr>
      <w:tr>
        <w:tc>
          <w:tcPr>
            <w:tcW w:w="454" w:type="dxa"/>
          </w:tcPr>
          <w:p>
            <w:pPr>
              <w:pStyle w:val="0"/>
            </w:pPr>
            <w:r>
              <w:rPr>
                <w:sz w:val="20"/>
              </w:rPr>
              <w:t xml:space="preserve">6.</w:t>
            </w:r>
          </w:p>
        </w:tc>
        <w:tc>
          <w:tcPr>
            <w:tcW w:w="4479" w:type="dxa"/>
          </w:tcPr>
          <w:p>
            <w:pPr>
              <w:pStyle w:val="0"/>
            </w:pPr>
            <w:r>
              <w:rPr>
                <w:sz w:val="20"/>
              </w:rPr>
              <w:t xml:space="preserve">приказ "Об организации первичной специализированной медицинской помощи детскому населению Ханты-Мансийского автономного округа - Югры"</w:t>
            </w:r>
          </w:p>
        </w:tc>
        <w:tc>
          <w:tcPr>
            <w:tcW w:w="1219" w:type="dxa"/>
          </w:tcPr>
          <w:p>
            <w:pPr>
              <w:pStyle w:val="0"/>
            </w:pPr>
            <w:r>
              <w:rPr>
                <w:sz w:val="20"/>
              </w:rPr>
              <w:t xml:space="preserve">от 9 апреля 2020 года N 467</w:t>
            </w:r>
          </w:p>
        </w:tc>
        <w:tc>
          <w:tcPr>
            <w:tcW w:w="2665" w:type="dxa"/>
          </w:tcPr>
          <w:p>
            <w:pPr>
              <w:pStyle w:val="0"/>
            </w:pPr>
            <w:r>
              <w:rPr>
                <w:sz w:val="20"/>
              </w:rPr>
              <w:t xml:space="preserve">Департамент здравоохранения автономного округа</w:t>
            </w:r>
          </w:p>
        </w:tc>
      </w:tr>
      <w:tr>
        <w:tc>
          <w:tcPr>
            <w:tcW w:w="454" w:type="dxa"/>
          </w:tcPr>
          <w:p>
            <w:pPr>
              <w:pStyle w:val="0"/>
            </w:pPr>
            <w:r>
              <w:rPr>
                <w:sz w:val="20"/>
              </w:rPr>
              <w:t xml:space="preserve">7.</w:t>
            </w:r>
          </w:p>
        </w:tc>
        <w:tc>
          <w:tcPr>
            <w:tcW w:w="4479" w:type="dxa"/>
          </w:tcPr>
          <w:p>
            <w:pPr>
              <w:pStyle w:val="0"/>
            </w:pPr>
            <w:hyperlink w:history="0" r:id="rId227" w:tooltip="Постановление Правительства ХМАО - Югры от 27.02.2010 N 85-п (ред. от 29.04.2022) &quot;Об обеспечении отдельных категорий граждан, проживающих в Ханты-Мансийском автономном округе - Югре, лекарственными препаратами, медицинскими изделиями и специализированными продуктами лечебного питания, отпускаемыми по рецептам врачей бесплатно или со скидкой, за счет средств бюджета автономного округа&quot; (вместе с &quot;Порядком обеспечения отдельных категорий граждан лекарственными препаратами, медицинскими изделиями и специализи ------------ Утратил силу или отменен {КонсультантПлюс}">
              <w:r>
                <w:rPr>
                  <w:sz w:val="20"/>
                  <w:color w:val="0000ff"/>
                </w:rPr>
                <w:t xml:space="preserve">постановление</w:t>
              </w:r>
            </w:hyperlink>
            <w:r>
              <w:rPr>
                <w:sz w:val="20"/>
              </w:rPr>
              <w:t xml:space="preserve"> "Об обеспечении отдельных категорий граждан, проживающих в Ханты-Мансийском автономном округе - Югре, лекарственными препаратами, медицинскими изделиями и специализированными продуктами лечебного питания, отпускаемыми по рецептам врачей бесплатно или со скидкой, за счет средств бюджета автономного округа"</w:t>
            </w:r>
          </w:p>
        </w:tc>
        <w:tc>
          <w:tcPr>
            <w:tcW w:w="1219" w:type="dxa"/>
          </w:tcPr>
          <w:p>
            <w:pPr>
              <w:pStyle w:val="0"/>
            </w:pPr>
            <w:r>
              <w:rPr>
                <w:sz w:val="20"/>
              </w:rPr>
              <w:t xml:space="preserve">от 27 февраля 2010 года N 85-п</w:t>
            </w:r>
          </w:p>
        </w:tc>
        <w:tc>
          <w:tcPr>
            <w:tcW w:w="2665" w:type="dxa"/>
          </w:tcPr>
          <w:p>
            <w:pPr>
              <w:pStyle w:val="0"/>
            </w:pPr>
            <w:r>
              <w:rPr>
                <w:sz w:val="20"/>
              </w:rPr>
              <w:t xml:space="preserve">Правительство автономного округа</w:t>
            </w:r>
          </w:p>
        </w:tc>
      </w:tr>
      <w:tr>
        <w:tc>
          <w:tcPr>
            <w:tcW w:w="454" w:type="dxa"/>
          </w:tcPr>
          <w:p>
            <w:pPr>
              <w:pStyle w:val="0"/>
            </w:pPr>
            <w:r>
              <w:rPr>
                <w:sz w:val="20"/>
              </w:rPr>
              <w:t xml:space="preserve">8.</w:t>
            </w:r>
          </w:p>
        </w:tc>
        <w:tc>
          <w:tcPr>
            <w:tcW w:w="4479" w:type="dxa"/>
          </w:tcPr>
          <w:p>
            <w:pPr>
              <w:pStyle w:val="0"/>
            </w:pPr>
            <w:r>
              <w:rPr>
                <w:sz w:val="20"/>
              </w:rPr>
              <w:t xml:space="preserve">приказ "О порядке организации лекарственного обеспечения граждан, проживающих на территории Ханты-Мансийского автономного округа - Югры и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w:t>
            </w:r>
          </w:p>
        </w:tc>
        <w:tc>
          <w:tcPr>
            <w:tcW w:w="1219" w:type="dxa"/>
          </w:tcPr>
          <w:p>
            <w:pPr>
              <w:pStyle w:val="0"/>
            </w:pPr>
            <w:r>
              <w:rPr>
                <w:sz w:val="20"/>
              </w:rPr>
              <w:t xml:space="preserve">от 21 октября 2013 года N 468</w:t>
            </w:r>
          </w:p>
        </w:tc>
        <w:tc>
          <w:tcPr>
            <w:tcW w:w="2665" w:type="dxa"/>
          </w:tcPr>
          <w:p>
            <w:pPr>
              <w:pStyle w:val="0"/>
            </w:pPr>
            <w:r>
              <w:rPr>
                <w:sz w:val="20"/>
              </w:rPr>
              <w:t xml:space="preserve">Департамент здравоохранения автономного округа</w:t>
            </w:r>
          </w:p>
        </w:tc>
      </w:tr>
      <w:tr>
        <w:tc>
          <w:tcPr>
            <w:tcW w:w="454" w:type="dxa"/>
          </w:tcPr>
          <w:p>
            <w:pPr>
              <w:pStyle w:val="0"/>
            </w:pPr>
            <w:r>
              <w:rPr>
                <w:sz w:val="20"/>
              </w:rPr>
              <w:t xml:space="preserve">9.</w:t>
            </w:r>
          </w:p>
        </w:tc>
        <w:tc>
          <w:tcPr>
            <w:tcW w:w="4479" w:type="dxa"/>
          </w:tcPr>
          <w:p>
            <w:pPr>
              <w:pStyle w:val="0"/>
            </w:pPr>
            <w:r>
              <w:rPr>
                <w:sz w:val="20"/>
              </w:rPr>
              <w:t xml:space="preserve">приказ "Об организации работы по формированию и ведению регионального сегмента информационного ресурса Фонда поддержки детей с тяжелыми жизнеугрожающими и хроническими заболеваниями, в том числе редкими (орфанными) заболеваниями, "Круг добра",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w:t>
            </w:r>
          </w:p>
        </w:tc>
        <w:tc>
          <w:tcPr>
            <w:tcW w:w="1219" w:type="dxa"/>
          </w:tcPr>
          <w:p>
            <w:pPr>
              <w:pStyle w:val="0"/>
            </w:pPr>
            <w:r>
              <w:rPr>
                <w:sz w:val="20"/>
              </w:rPr>
              <w:t xml:space="preserve">от 18 января 2022 года N 63</w:t>
            </w:r>
          </w:p>
        </w:tc>
        <w:tc>
          <w:tcPr>
            <w:tcW w:w="2665" w:type="dxa"/>
          </w:tcPr>
          <w:p>
            <w:pPr>
              <w:pStyle w:val="0"/>
            </w:pPr>
            <w:r>
              <w:rPr>
                <w:sz w:val="20"/>
              </w:rPr>
              <w:t xml:space="preserve">Департамент здравоохранения автономного округа</w:t>
            </w:r>
          </w:p>
        </w:tc>
      </w:tr>
      <w:tr>
        <w:tc>
          <w:tcPr>
            <w:tcW w:w="454" w:type="dxa"/>
          </w:tcPr>
          <w:p>
            <w:pPr>
              <w:pStyle w:val="0"/>
            </w:pPr>
            <w:r>
              <w:rPr>
                <w:sz w:val="20"/>
              </w:rPr>
              <w:t xml:space="preserve">10.</w:t>
            </w:r>
          </w:p>
        </w:tc>
        <w:tc>
          <w:tcPr>
            <w:tcW w:w="4479" w:type="dxa"/>
          </w:tcPr>
          <w:p>
            <w:pPr>
              <w:pStyle w:val="0"/>
            </w:pPr>
            <w:r>
              <w:rPr>
                <w:sz w:val="20"/>
              </w:rPr>
              <w:t xml:space="preserve">приказ "Об организации медицинской реабилитации детей"</w:t>
            </w:r>
          </w:p>
        </w:tc>
        <w:tc>
          <w:tcPr>
            <w:tcW w:w="1219" w:type="dxa"/>
          </w:tcPr>
          <w:p>
            <w:pPr>
              <w:pStyle w:val="0"/>
            </w:pPr>
            <w:r>
              <w:rPr>
                <w:sz w:val="20"/>
              </w:rPr>
              <w:t xml:space="preserve">от 2 марта 2022 года N 369</w:t>
            </w:r>
          </w:p>
        </w:tc>
        <w:tc>
          <w:tcPr>
            <w:tcW w:w="2665" w:type="dxa"/>
          </w:tcPr>
          <w:p>
            <w:pPr>
              <w:pStyle w:val="0"/>
            </w:pPr>
            <w:r>
              <w:rPr>
                <w:sz w:val="20"/>
              </w:rPr>
              <w:t xml:space="preserve">Департамент здравоохранения автономного округа</w:t>
            </w:r>
          </w:p>
        </w:tc>
      </w:tr>
      <w:tr>
        <w:tc>
          <w:tcPr>
            <w:tcW w:w="454" w:type="dxa"/>
          </w:tcPr>
          <w:p>
            <w:pPr>
              <w:pStyle w:val="0"/>
            </w:pPr>
            <w:r>
              <w:rPr>
                <w:sz w:val="20"/>
              </w:rPr>
              <w:t xml:space="preserve">11.</w:t>
            </w:r>
          </w:p>
        </w:tc>
        <w:tc>
          <w:tcPr>
            <w:tcW w:w="4479" w:type="dxa"/>
          </w:tcPr>
          <w:p>
            <w:pPr>
              <w:pStyle w:val="0"/>
            </w:pPr>
            <w:r>
              <w:rPr>
                <w:sz w:val="20"/>
              </w:rPr>
              <w:t xml:space="preserve">приказ "Об организации работы регионального регистра детей с тяжелыми жизнеугрожающими и хроническими заболеваниями, в том числе редкими (орфанными) заболеваниями"</w:t>
            </w:r>
          </w:p>
        </w:tc>
        <w:tc>
          <w:tcPr>
            <w:tcW w:w="1219" w:type="dxa"/>
          </w:tcPr>
          <w:p>
            <w:pPr>
              <w:pStyle w:val="0"/>
            </w:pPr>
            <w:r>
              <w:rPr>
                <w:sz w:val="20"/>
              </w:rPr>
              <w:t xml:space="preserve">от 25 июля 2022 года N 1157</w:t>
            </w:r>
          </w:p>
        </w:tc>
        <w:tc>
          <w:tcPr>
            <w:tcW w:w="2665" w:type="dxa"/>
          </w:tcPr>
          <w:p>
            <w:pPr>
              <w:pStyle w:val="0"/>
            </w:pPr>
            <w:r>
              <w:rPr>
                <w:sz w:val="20"/>
              </w:rPr>
              <w:t xml:space="preserve">Департамент здравоохранения автономного округа</w:t>
            </w:r>
          </w:p>
        </w:tc>
      </w:tr>
      <w:tr>
        <w:tc>
          <w:tcPr>
            <w:tcW w:w="454" w:type="dxa"/>
          </w:tcPr>
          <w:p>
            <w:pPr>
              <w:pStyle w:val="0"/>
            </w:pPr>
            <w:r>
              <w:rPr>
                <w:sz w:val="20"/>
              </w:rPr>
              <w:t xml:space="preserve">12.</w:t>
            </w:r>
          </w:p>
        </w:tc>
        <w:tc>
          <w:tcPr>
            <w:tcW w:w="4479" w:type="dxa"/>
          </w:tcPr>
          <w:p>
            <w:pPr>
              <w:pStyle w:val="0"/>
            </w:pPr>
            <w:r>
              <w:rPr>
                <w:sz w:val="20"/>
              </w:rPr>
              <w:t xml:space="preserve">приказ "Об организации работы дистанционного реанимационно-консультативного центра с выездной анестезиолого-реанимационной педиатрической (неонатальной) бригадой"</w:t>
            </w:r>
          </w:p>
        </w:tc>
        <w:tc>
          <w:tcPr>
            <w:tcW w:w="1219" w:type="dxa"/>
          </w:tcPr>
          <w:p>
            <w:pPr>
              <w:pStyle w:val="0"/>
            </w:pPr>
            <w:r>
              <w:rPr>
                <w:sz w:val="20"/>
              </w:rPr>
              <w:t xml:space="preserve">от 11 февраля 2022 года N 248</w:t>
            </w:r>
          </w:p>
        </w:tc>
        <w:tc>
          <w:tcPr>
            <w:tcW w:w="2665" w:type="dxa"/>
          </w:tcPr>
          <w:p>
            <w:pPr>
              <w:pStyle w:val="0"/>
            </w:pPr>
            <w:r>
              <w:rPr>
                <w:sz w:val="20"/>
              </w:rPr>
              <w:t xml:space="preserve">Департамент здравоохранения автономного округа</w:t>
            </w:r>
          </w:p>
        </w:tc>
      </w:tr>
      <w:tr>
        <w:tc>
          <w:tcPr>
            <w:tcW w:w="454" w:type="dxa"/>
          </w:tcPr>
          <w:p>
            <w:pPr>
              <w:pStyle w:val="0"/>
            </w:pPr>
            <w:r>
              <w:rPr>
                <w:sz w:val="20"/>
              </w:rPr>
              <w:t xml:space="preserve">13.</w:t>
            </w:r>
          </w:p>
        </w:tc>
        <w:tc>
          <w:tcPr>
            <w:tcW w:w="4479" w:type="dxa"/>
          </w:tcPr>
          <w:p>
            <w:pPr>
              <w:pStyle w:val="0"/>
            </w:pPr>
            <w:r>
              <w:rPr>
                <w:sz w:val="20"/>
              </w:rPr>
              <w:t xml:space="preserve">приказ "О подключении медицинских организаций Ханты-Мансийского автономного округа - Югры к подсистеме "Телемедицинские консультации" Единой государственной информационной системы в сфере здравоохранения"</w:t>
            </w:r>
          </w:p>
        </w:tc>
        <w:tc>
          <w:tcPr>
            <w:tcW w:w="1219" w:type="dxa"/>
          </w:tcPr>
          <w:p>
            <w:pPr>
              <w:pStyle w:val="0"/>
            </w:pPr>
            <w:r>
              <w:rPr>
                <w:sz w:val="20"/>
              </w:rPr>
              <w:t xml:space="preserve">от 14 ноября 2018 года N 1198</w:t>
            </w:r>
          </w:p>
        </w:tc>
        <w:tc>
          <w:tcPr>
            <w:tcW w:w="2665" w:type="dxa"/>
          </w:tcPr>
          <w:p>
            <w:pPr>
              <w:pStyle w:val="0"/>
            </w:pPr>
            <w:r>
              <w:rPr>
                <w:sz w:val="20"/>
              </w:rPr>
              <w:t xml:space="preserve">Департамент здравоохранения автономного округа</w:t>
            </w:r>
          </w:p>
        </w:tc>
      </w:tr>
      <w:tr>
        <w:tc>
          <w:tcPr>
            <w:tcW w:w="454" w:type="dxa"/>
          </w:tcPr>
          <w:p>
            <w:pPr>
              <w:pStyle w:val="0"/>
            </w:pPr>
            <w:r>
              <w:rPr>
                <w:sz w:val="20"/>
              </w:rPr>
              <w:t xml:space="preserve">14.</w:t>
            </w:r>
          </w:p>
        </w:tc>
        <w:tc>
          <w:tcPr>
            <w:tcW w:w="4479" w:type="dxa"/>
          </w:tcPr>
          <w:p>
            <w:pPr>
              <w:pStyle w:val="0"/>
            </w:pPr>
            <w:r>
              <w:rPr>
                <w:sz w:val="20"/>
              </w:rPr>
              <w:t xml:space="preserve">приказ "О порядке организации оказания медицинских услуг с использованием телемедицинских технологий в Ханты-Мансийском автономном округе - Югре"</w:t>
            </w:r>
          </w:p>
        </w:tc>
        <w:tc>
          <w:tcPr>
            <w:tcW w:w="1219" w:type="dxa"/>
          </w:tcPr>
          <w:p>
            <w:pPr>
              <w:pStyle w:val="0"/>
            </w:pPr>
            <w:r>
              <w:rPr>
                <w:sz w:val="20"/>
              </w:rPr>
              <w:t xml:space="preserve">от 19 мая 2021 года</w:t>
            </w:r>
          </w:p>
          <w:p>
            <w:pPr>
              <w:pStyle w:val="0"/>
            </w:pPr>
            <w:r>
              <w:rPr>
                <w:sz w:val="20"/>
              </w:rPr>
              <w:t xml:space="preserve">N 719</w:t>
            </w:r>
          </w:p>
        </w:tc>
        <w:tc>
          <w:tcPr>
            <w:tcW w:w="2665" w:type="dxa"/>
          </w:tcPr>
          <w:p>
            <w:pPr>
              <w:pStyle w:val="0"/>
            </w:pPr>
            <w:r>
              <w:rPr>
                <w:sz w:val="20"/>
              </w:rPr>
              <w:t xml:space="preserve">Департамент здравоохранения автономного округа</w:t>
            </w:r>
          </w:p>
        </w:tc>
      </w:tr>
    </w:tbl>
    <w:p>
      <w:pPr>
        <w:pStyle w:val="0"/>
        <w:jc w:val="center"/>
      </w:pPr>
      <w:r>
        <w:rPr>
          <w:sz w:val="20"/>
        </w:rPr>
      </w:r>
    </w:p>
    <w:p>
      <w:pPr>
        <w:pStyle w:val="0"/>
        <w:ind w:firstLine="540"/>
        <w:jc w:val="both"/>
      </w:pPr>
      <w:r>
        <w:rPr>
          <w:sz w:val="20"/>
        </w:rPr>
        <w:t xml:space="preserve">Утверждена схема обследования пациентов из группы риска по заболеванию "врожденный гипотиреоз", алгоритм их обследования и наблюдения, схема обследования пациентов из группы риска по заболеванию "врожденная дисфункция коры надпочечников", алгоритм их обследования и наблюдения, схема обследования пациентов из группы риска по врожденному заболеванию "фенилкетонурия", алгоритм их наблюдения, алгоритм их тестирования на чувствительность к сапроптерина дигидрохлориду, схема обследования пациентов из группы риска по врожденному заболеванию "муковисцидоз", алгоритм их наблюдения, схема обследования пациентов из группы риска по врожденному заболеванию "галактоземия", алгоритм их наблюдения.</w:t>
      </w:r>
    </w:p>
    <w:p>
      <w:pPr>
        <w:pStyle w:val="0"/>
        <w:spacing w:before="200" w:line-rule="auto"/>
        <w:ind w:firstLine="540"/>
        <w:jc w:val="both"/>
      </w:pPr>
      <w:r>
        <w:rPr>
          <w:sz w:val="20"/>
        </w:rPr>
        <w:t xml:space="preserve">Утвержден алгоритм оказания специализированной медицинской помощи детям с диагнозом "Спинальная мышечная атрофия" (приказ Департамента здравоохранения автономного округа от 11 декабря 2019 года N 1528).</w:t>
      </w:r>
    </w:p>
    <w:p>
      <w:pPr>
        <w:pStyle w:val="0"/>
        <w:spacing w:before="200" w:line-rule="auto"/>
        <w:ind w:firstLine="540"/>
        <w:jc w:val="both"/>
      </w:pPr>
      <w:r>
        <w:rPr>
          <w:sz w:val="20"/>
        </w:rPr>
        <w:t xml:space="preserve">Организована работа дистанционного реанимационно-консультативного центра с выездной анестезиолого-реанимационной педиатрической (неонатальной) бригадой на базе бюджетного учреждения (далее - БУ) автономного округа "Нижневартовская окружная клиническая детская больница".</w:t>
      </w:r>
    </w:p>
    <w:p>
      <w:pPr>
        <w:pStyle w:val="0"/>
        <w:spacing w:before="200" w:line-rule="auto"/>
        <w:ind w:firstLine="540"/>
        <w:jc w:val="both"/>
      </w:pPr>
      <w:r>
        <w:rPr>
          <w:sz w:val="20"/>
        </w:rPr>
        <w:t xml:space="preserve">Лекарственное обеспечение детей с наследственными и (или) врожденными заболеваниями осуществляется в том числе за счет Фонда поддержки детей с тяжелыми жизнеугрожающими и хроническими заболеваниями, в том числе редкими (орфанными) заболеваниями, "Круг добра".</w:t>
      </w:r>
    </w:p>
    <w:p>
      <w:pPr>
        <w:pStyle w:val="0"/>
        <w:spacing w:before="200" w:line-rule="auto"/>
        <w:ind w:firstLine="540"/>
        <w:jc w:val="both"/>
      </w:pPr>
      <w:r>
        <w:rPr>
          <w:sz w:val="20"/>
        </w:rPr>
        <w:t xml:space="preserve">Лекарственными препаратами обеспечен 41 ребенок, из них: 6 детей с заболеванием "Спинальная мышечная атрофия" получают лекарственный препарат "Нусинерсен", 2 ребенка с заболеванием "Спинальная мышечная атрофия" - "Рисдиплам", 2 ребенка - "Аталурен", 5 детей - "Ивакафтор+Лумакафтор", 11 детей - "Элексакафтор+Тезакафтор +Ивакафтор/Ивакафтор", 1 ребенок - "Асфотаза альфа", 1 ребенок - "Карглумовая кислота", 1 ребенок - "Канакинумаб", 2 ребенка - "Селуметиниб", 1 ребенок - "Мараликсибат", 1 ребенок - "Ланаделумаб", 1 ребенок - "Этеплирсен", 3 ребенка - "Восоритид", 2 ребенка - "Кьютаквиг", 1 ребенок - "Тедуглутид", 1 ребенок - "Эверолимус".</w:t>
      </w:r>
    </w:p>
    <w:p>
      <w:pPr>
        <w:pStyle w:val="0"/>
        <w:spacing w:before="200" w:line-rule="auto"/>
        <w:ind w:firstLine="540"/>
        <w:jc w:val="both"/>
      </w:pPr>
      <w:r>
        <w:rPr>
          <w:sz w:val="20"/>
        </w:rPr>
        <w:t xml:space="preserve">Дети с тяжелыми жизнеугрожающими и хроническими заболеваниями, в том числе редкими (орфанными) заболеваниями, необходимыми лекарственными препаратами, поставляемыми централизованно и закупленными за счет средств федерального бюджета, обеспечиваются в полном объеме.</w:t>
      </w:r>
    </w:p>
    <w:p>
      <w:pPr>
        <w:pStyle w:val="0"/>
        <w:jc w:val="center"/>
      </w:pPr>
      <w:r>
        <w:rPr>
          <w:sz w:val="20"/>
        </w:rPr>
      </w:r>
    </w:p>
    <w:p>
      <w:pPr>
        <w:pStyle w:val="2"/>
        <w:outlineLvl w:val="2"/>
        <w:jc w:val="center"/>
      </w:pPr>
      <w:r>
        <w:rPr>
          <w:sz w:val="20"/>
        </w:rPr>
        <w:t xml:space="preserve">1.5. Ресурсы, задействованные в автономном округе</w:t>
      </w:r>
    </w:p>
    <w:p>
      <w:pPr>
        <w:pStyle w:val="2"/>
        <w:jc w:val="center"/>
      </w:pPr>
      <w:r>
        <w:rPr>
          <w:sz w:val="20"/>
        </w:rPr>
        <w:t xml:space="preserve">для проведения НС и оказания медицинской помощи пациентам</w:t>
      </w:r>
    </w:p>
    <w:p>
      <w:pPr>
        <w:pStyle w:val="2"/>
        <w:jc w:val="center"/>
      </w:pPr>
      <w:r>
        <w:rPr>
          <w:sz w:val="20"/>
        </w:rPr>
        <w:t xml:space="preserve">с врожденными и (или) наследственными заболеваниями</w:t>
      </w:r>
    </w:p>
    <w:p>
      <w:pPr>
        <w:pStyle w:val="0"/>
        <w:jc w:val="center"/>
      </w:pPr>
      <w:r>
        <w:rPr>
          <w:sz w:val="20"/>
        </w:rPr>
      </w:r>
    </w:p>
    <w:p>
      <w:pPr>
        <w:pStyle w:val="0"/>
        <w:ind w:firstLine="540"/>
        <w:jc w:val="both"/>
      </w:pPr>
      <w:r>
        <w:rPr>
          <w:sz w:val="20"/>
        </w:rPr>
        <w:t xml:space="preserve">В автономном округе НС на 5 заболеваний проводится централизованно на базе медико-генетической консультации БУ "Сургутский окружной клинический центр охраны материнства и детства" (далее также - МГК).</w:t>
      </w:r>
    </w:p>
    <w:p>
      <w:pPr>
        <w:pStyle w:val="0"/>
        <w:spacing w:before="200" w:line-rule="auto"/>
        <w:ind w:firstLine="540"/>
        <w:jc w:val="both"/>
      </w:pPr>
      <w:r>
        <w:rPr>
          <w:sz w:val="20"/>
        </w:rPr>
        <w:t xml:space="preserve">Забор проб крови для проведения НС осуществляется на базе 19 родовспомогательных учреждений, на базе 35 детских поликлиник/детских поликлинических отделений, из них 23 детские поликлиники (2 уровень), 12 поликлинических отделений (1 уровень), на базе 5 структурных подразделений БУ "Нижневартовская окружная клиническая детская больница", БУ "Сургутская клиническая травматологическая больница, БУ "Окружной кардиологический диспансер "Центр диагностики и сердечно-сосудистой хирургии", казенного учреждения (далее - КУ) "Урайский специализированный Дом ребенка" </w:t>
      </w:r>
      <w:hyperlink w:history="0" w:anchor="P29261" w:tooltip="Число медицинских организаций, осуществляющих забор проб">
        <w:r>
          <w:rPr>
            <w:sz w:val="20"/>
            <w:color w:val="0000ff"/>
          </w:rPr>
          <w:t xml:space="preserve">(таблица 14)</w:t>
        </w:r>
      </w:hyperlink>
      <w:r>
        <w:rPr>
          <w:sz w:val="20"/>
        </w:rPr>
        <w:t xml:space="preserve">.</w:t>
      </w:r>
    </w:p>
    <w:p>
      <w:pPr>
        <w:pStyle w:val="0"/>
        <w:spacing w:before="200" w:line-rule="auto"/>
        <w:ind w:firstLine="540"/>
        <w:jc w:val="both"/>
      </w:pPr>
      <w:r>
        <w:rPr>
          <w:sz w:val="20"/>
        </w:rPr>
        <w:t xml:space="preserve">Оснащение оборудованием указанных медицинских организаций осуществляется в соответствии с порядками оказания медицинской помощи несовершеннолетним, утвержденными Минздравом России. Оснащение оборудованием МГК проведено с учетом </w:t>
      </w:r>
      <w:hyperlink w:history="0" r:id="rId228" w:tooltip="Приказ Минздрава России от 15.11.2012 N 917н (ред. от 21.02.2020) &quot;Об утверждении Порядка оказания медицинской помощи больным с врожденными и (или) наследственными заболеваниями&quot; (Зарегистрировано в Минюсте России 21.12.2012 N 26301) ------------ Утратил силу или отменен {КонсультантПлюс}">
        <w:r>
          <w:rPr>
            <w:sz w:val="20"/>
            <w:color w:val="0000ff"/>
          </w:rPr>
          <w:t xml:space="preserve">приказа</w:t>
        </w:r>
      </w:hyperlink>
      <w:r>
        <w:rPr>
          <w:sz w:val="20"/>
        </w:rPr>
        <w:t xml:space="preserve"> Министерства здравоохранения Российской Федерации от 15 ноября 2012 года N 917н "Об утверждении Порядка оказания медицинской помощи больным с врожденными и (или) наследственными заболеваниями". Оснащение оборудованием МГК в настоящее время </w:t>
      </w:r>
      <w:hyperlink w:history="0" w:anchor="P29382" w:tooltip="Оснащение лаборатории неонатального скрининга, в том числе">
        <w:r>
          <w:rPr>
            <w:sz w:val="20"/>
            <w:color w:val="0000ff"/>
          </w:rPr>
          <w:t xml:space="preserve">(таблица 16)</w:t>
        </w:r>
      </w:hyperlink>
      <w:r>
        <w:rPr>
          <w:sz w:val="20"/>
        </w:rPr>
        <w:t xml:space="preserve">. Укомплектованность медицинским персоналом МГК </w:t>
      </w:r>
      <w:hyperlink w:history="0" w:anchor="P29661" w:tooltip="Укомплектованность медицинским персоналом лаборатории">
        <w:r>
          <w:rPr>
            <w:sz w:val="20"/>
            <w:color w:val="0000ff"/>
          </w:rPr>
          <w:t xml:space="preserve">(таблица 17)</w:t>
        </w:r>
      </w:hyperlink>
      <w:r>
        <w:rPr>
          <w:sz w:val="20"/>
        </w:rPr>
        <w:t xml:space="preserve">.</w:t>
      </w:r>
    </w:p>
    <w:p>
      <w:pPr>
        <w:pStyle w:val="0"/>
        <w:ind w:firstLine="540"/>
        <w:jc w:val="both"/>
      </w:pPr>
      <w:r>
        <w:rPr>
          <w:sz w:val="20"/>
        </w:rPr>
      </w:r>
    </w:p>
    <w:p>
      <w:pPr>
        <w:pStyle w:val="2"/>
        <w:outlineLvl w:val="3"/>
        <w:jc w:val="center"/>
      </w:pPr>
      <w:r>
        <w:rPr>
          <w:sz w:val="20"/>
        </w:rPr>
        <w:t xml:space="preserve">1.5.1. Маршрутизация в ходе НС, направленная</w:t>
      </w:r>
    </w:p>
    <w:p>
      <w:pPr>
        <w:pStyle w:val="2"/>
        <w:jc w:val="center"/>
      </w:pPr>
      <w:r>
        <w:rPr>
          <w:sz w:val="20"/>
        </w:rPr>
        <w:t xml:space="preserve">на своевременное выявление врожденных и (или) наследственных</w:t>
      </w:r>
    </w:p>
    <w:p>
      <w:pPr>
        <w:pStyle w:val="2"/>
        <w:jc w:val="center"/>
      </w:pPr>
      <w:r>
        <w:rPr>
          <w:sz w:val="20"/>
        </w:rPr>
        <w:t xml:space="preserve">заболеваний и постановку на диспансерное наблюдение</w:t>
      </w:r>
    </w:p>
    <w:p>
      <w:pPr>
        <w:pStyle w:val="2"/>
        <w:jc w:val="center"/>
      </w:pPr>
      <w:r>
        <w:rPr>
          <w:sz w:val="20"/>
        </w:rPr>
        <w:t xml:space="preserve">пациентов</w:t>
      </w:r>
    </w:p>
    <w:p>
      <w:pPr>
        <w:pStyle w:val="0"/>
        <w:ind w:firstLine="540"/>
        <w:jc w:val="both"/>
      </w:pPr>
      <w:r>
        <w:rPr>
          <w:sz w:val="20"/>
        </w:rPr>
      </w:r>
    </w:p>
    <w:p>
      <w:pPr>
        <w:pStyle w:val="0"/>
        <w:ind w:firstLine="540"/>
        <w:jc w:val="both"/>
      </w:pPr>
      <w:r>
        <w:rPr>
          <w:sz w:val="20"/>
        </w:rPr>
        <w:t xml:space="preserve">На основании </w:t>
      </w:r>
      <w:hyperlink w:history="0" r:id="rId229" w:tooltip="Приказ Минздравсоцразвития РФ от 22.03.2006 N 185 &quot;О массовом обследовании новорожденных детей на наследственные заболевания&quot; (вместе с &quot;Положением об организации проведения массового обследования новорожденных детей на наследственные заболевания&quot;, &quot;Рекомендациями по забору образцов крови при проведении массового обследования новорожденных детей на наследственные заболевания&quot;) {КонсультантПлюс}">
        <w:r>
          <w:rPr>
            <w:sz w:val="20"/>
            <w:color w:val="0000ff"/>
          </w:rPr>
          <w:t xml:space="preserve">приказа</w:t>
        </w:r>
      </w:hyperlink>
      <w:r>
        <w:rPr>
          <w:sz w:val="20"/>
        </w:rPr>
        <w:t xml:space="preserve"> Министерства здравоохранения и социального развития Российской Федерации от 22 марта 2006 года N 185 "О массовом обследовании новорожденных детей на наследственные заболевания", </w:t>
      </w:r>
      <w:hyperlink w:history="0" r:id="rId230" w:tooltip="Приказ Минздрава России от 15.11.2012 N 917н (ред. от 21.02.2020) &quot;Об утверждении Порядка оказания медицинской помощи больным с врожденными и (или) наследственными заболеваниями&quot; (Зарегистрировано в Минюсте России 21.12.2012 N 26301) ------------ Утратил силу или отменен {КонсультантПлюс}">
        <w:r>
          <w:rPr>
            <w:sz w:val="20"/>
            <w:color w:val="0000ff"/>
          </w:rPr>
          <w:t xml:space="preserve">приказом</w:t>
        </w:r>
      </w:hyperlink>
      <w:r>
        <w:rPr>
          <w:sz w:val="20"/>
        </w:rPr>
        <w:t xml:space="preserve"> Минздрава России от 15 ноября 2012 года N 917н "Об утверждении Порядка оказания медицинской помощи больным с врожденными и (или) наследственными заболеваниями" издан приказ Департамента здравоохранения автономного округа от 12 апреля 2022 года N 622 "О массовом обследовании новорожденных детей на наследственные заболевания в Ханты-Мансийском автономном округе - Югре".</w:t>
      </w:r>
    </w:p>
    <w:p>
      <w:pPr>
        <w:pStyle w:val="0"/>
        <w:spacing w:before="200" w:line-rule="auto"/>
        <w:ind w:firstLine="540"/>
        <w:jc w:val="both"/>
      </w:pPr>
      <w:r>
        <w:rPr>
          <w:sz w:val="20"/>
        </w:rPr>
        <w:t xml:space="preserve">Указанным приказом утвержден: регламент проведения массового обследования новорожденных детей на наследственные заболевания, рекомендации по забору образцов крови при проведении массового обследования новорожденных детей на наследственные заболевания, схема доставки тест-бланков новорожденных детей для неонатального скрининга в МГК. Перед забором законных представителей ребенка информируют о планирующемся исследовании по НС, берут информированное согласие на обработку персональных данных, а также согласие на медицинское вмешательство.</w:t>
      </w:r>
    </w:p>
    <w:p>
      <w:pPr>
        <w:pStyle w:val="0"/>
        <w:spacing w:before="200" w:line-rule="auto"/>
        <w:ind w:firstLine="540"/>
        <w:jc w:val="both"/>
      </w:pPr>
      <w:r>
        <w:rPr>
          <w:sz w:val="20"/>
        </w:rPr>
        <w:t xml:space="preserve">Маршрутизация НС в автономном округе выстроена следующим образом.</w:t>
      </w:r>
    </w:p>
    <w:p>
      <w:pPr>
        <w:pStyle w:val="0"/>
        <w:spacing w:before="200" w:line-rule="auto"/>
        <w:ind w:firstLine="540"/>
        <w:jc w:val="both"/>
      </w:pPr>
      <w:r>
        <w:rPr>
          <w:sz w:val="20"/>
        </w:rPr>
        <w:t xml:space="preserve">1. Взятие крови: образец крови берут из пятки новорожденного ребенка через 3 часа после кормления на 4 день жизни у доношенного и на 7 день - у недоношенного ребенка на специальные фильтровальные бумажные тест-бланки (далее - тест-бланк), которые высушиваются в горизонтальном положении на чистой обезжиренной поверхности не менее 2 часов без применения дополнительной тепловой обработки и попадания прямых солнечных лучей.</w:t>
      </w:r>
    </w:p>
    <w:p>
      <w:pPr>
        <w:pStyle w:val="0"/>
        <w:spacing w:before="200" w:line-rule="auto"/>
        <w:ind w:firstLine="540"/>
        <w:jc w:val="both"/>
      </w:pPr>
      <w:r>
        <w:rPr>
          <w:sz w:val="20"/>
        </w:rPr>
        <w:t xml:space="preserve">Забор крови осуществляют 414 медицинских работников, обученных правилам забора проб для проведения НС </w:t>
      </w:r>
      <w:hyperlink w:history="0" w:anchor="P29261" w:tooltip="Число медицинских организаций, осуществляющих забор проб">
        <w:r>
          <w:rPr>
            <w:sz w:val="20"/>
            <w:color w:val="0000ff"/>
          </w:rPr>
          <w:t xml:space="preserve">(таблица 14)</w:t>
        </w:r>
      </w:hyperlink>
      <w:r>
        <w:rPr>
          <w:sz w:val="20"/>
        </w:rPr>
        <w:t xml:space="preserve">.</w:t>
      </w:r>
    </w:p>
    <w:p>
      <w:pPr>
        <w:pStyle w:val="0"/>
        <w:spacing w:before="200" w:line-rule="auto"/>
        <w:ind w:firstLine="540"/>
        <w:jc w:val="both"/>
      </w:pPr>
      <w:r>
        <w:rPr>
          <w:sz w:val="20"/>
        </w:rPr>
        <w:t xml:space="preserve">2. Отправка тест-бланков в МГК для выполнения НС.</w:t>
      </w:r>
    </w:p>
    <w:p>
      <w:pPr>
        <w:pStyle w:val="0"/>
        <w:spacing w:before="200" w:line-rule="auto"/>
        <w:ind w:firstLine="540"/>
        <w:jc w:val="both"/>
      </w:pPr>
      <w:r>
        <w:rPr>
          <w:sz w:val="20"/>
        </w:rPr>
        <w:t xml:space="preserve">Логистические схемы доставки тест-бланков в МГК для проведения неонатального скрининга в автономном округе сформированы в соответствии с зональным принципом.</w:t>
      </w:r>
    </w:p>
    <w:p>
      <w:pPr>
        <w:pStyle w:val="0"/>
        <w:spacing w:before="200" w:line-rule="auto"/>
        <w:ind w:firstLine="540"/>
        <w:jc w:val="both"/>
      </w:pPr>
      <w:r>
        <w:rPr>
          <w:sz w:val="20"/>
        </w:rPr>
        <w:t xml:space="preserve">Медицинские организации, отнесенные к западной медицинской зоне (Белоярский, Березовский, Советский, Кондинский, Ханты-Мансийский, Октябрьский муниципальные районы, городские округа Нягань, Урай, Югорск, Ханты-Мансийск), осуществляют доставку тест-бланков в перинатальный центр БУ "Окружная клиническая больница" (г. Ханты-Мансийск), медицинские организации, отнесенные к восточной медицинской зоне (Нижневартовский муниципальный район, городские округа Лангепас, Покачи, Радужный, Мегион, Нижневартовск), - в БУ "Нижневартовский окружной клинический перинатальный центр" (г. Нижневартовск), медицинские организации, отнесенные к центральной медицинской зоне (Нефтеюганский, Сургутский муниципальные районы, городские округа Нефтеюганск, Пыть-Ях, Когалым, Сургут), - в МГК (г. Сургут).</w:t>
      </w:r>
    </w:p>
    <w:p>
      <w:pPr>
        <w:pStyle w:val="0"/>
        <w:spacing w:before="200" w:line-rule="auto"/>
        <w:ind w:firstLine="540"/>
        <w:jc w:val="both"/>
      </w:pPr>
      <w:r>
        <w:rPr>
          <w:sz w:val="20"/>
        </w:rPr>
        <w:t xml:space="preserve">В свою очередь, БУ "Окружная клиническая больница" (г. Ханты-Мансийск), БУ "Нижневартовский окружной клинический перинатальный центр" (г. Нижневартовск) осуществляют централизованную доставку тест-бланков в МГК (г. Сургут).</w:t>
      </w:r>
    </w:p>
    <w:p>
      <w:pPr>
        <w:pStyle w:val="0"/>
        <w:spacing w:before="200" w:line-rule="auto"/>
        <w:ind w:firstLine="540"/>
        <w:jc w:val="both"/>
      </w:pPr>
      <w:r>
        <w:rPr>
          <w:sz w:val="20"/>
        </w:rPr>
        <w:t xml:space="preserve">Зональный принцип позволяет осуществлять доставку тест-бланков и других биологических образцов (в том числе для проведения ретестов и подтверждающей диагностики) при проведении НС с учетом климатогеографических особенностей автономного округа </w:t>
      </w:r>
      <w:hyperlink w:history="0" w:anchor="P30425" w:tooltip="Схема доставки биоматериала в автономном округе">
        <w:r>
          <w:rPr>
            <w:sz w:val="20"/>
            <w:color w:val="0000ff"/>
          </w:rPr>
          <w:t xml:space="preserve">(схема 1)</w:t>
        </w:r>
      </w:hyperlink>
      <w:r>
        <w:rPr>
          <w:sz w:val="20"/>
        </w:rPr>
        <w:t xml:space="preserve">.</w:t>
      </w:r>
    </w:p>
    <w:p>
      <w:pPr>
        <w:pStyle w:val="0"/>
        <w:ind w:firstLine="540"/>
        <w:jc w:val="both"/>
      </w:pPr>
      <w:r>
        <w:rPr>
          <w:sz w:val="20"/>
        </w:rPr>
      </w:r>
    </w:p>
    <w:p>
      <w:pPr>
        <w:pStyle w:val="0"/>
        <w:jc w:val="center"/>
      </w:pPr>
      <w:r>
        <w:rPr>
          <w:sz w:val="20"/>
        </w:rPr>
        <w:t xml:space="preserve">Схема доставки тест-бланков для НС и РНС на врожденные</w:t>
      </w:r>
    </w:p>
    <w:p>
      <w:pPr>
        <w:pStyle w:val="0"/>
        <w:jc w:val="center"/>
      </w:pPr>
      <w:r>
        <w:rPr>
          <w:sz w:val="20"/>
        </w:rPr>
        <w:t xml:space="preserve">и (или) наследственные заболевания в автономном округе</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344"/>
        <w:gridCol w:w="2891"/>
        <w:gridCol w:w="4932"/>
        <w:gridCol w:w="2835"/>
      </w:tblGrid>
      <w:tr>
        <w:tc>
          <w:tcPr>
            <w:tcW w:w="454" w:type="dxa"/>
          </w:tcPr>
          <w:p>
            <w:pPr>
              <w:pStyle w:val="0"/>
              <w:jc w:val="center"/>
            </w:pPr>
            <w:r>
              <w:rPr>
                <w:sz w:val="20"/>
              </w:rPr>
              <w:t xml:space="preserve">N</w:t>
            </w:r>
          </w:p>
          <w:p>
            <w:pPr>
              <w:pStyle w:val="0"/>
              <w:jc w:val="center"/>
            </w:pPr>
            <w:r>
              <w:rPr>
                <w:sz w:val="20"/>
              </w:rPr>
              <w:t xml:space="preserve">п/п</w:t>
            </w:r>
          </w:p>
        </w:tc>
        <w:tc>
          <w:tcPr>
            <w:tcW w:w="2344" w:type="dxa"/>
          </w:tcPr>
          <w:p>
            <w:pPr>
              <w:pStyle w:val="0"/>
              <w:jc w:val="center"/>
            </w:pPr>
            <w:r>
              <w:rPr>
                <w:sz w:val="20"/>
              </w:rPr>
              <w:t xml:space="preserve">Медицинская организация, ответственная за проведение неонатального скрининга</w:t>
            </w:r>
          </w:p>
        </w:tc>
        <w:tc>
          <w:tcPr>
            <w:tcW w:w="2891" w:type="dxa"/>
          </w:tcPr>
          <w:p>
            <w:pPr>
              <w:pStyle w:val="0"/>
              <w:jc w:val="center"/>
            </w:pPr>
            <w:r>
              <w:rPr>
                <w:sz w:val="20"/>
              </w:rPr>
              <w:t xml:space="preserve">Медицинская организация, ответственная за прием, хранение и транспортировку тест-бланков новорожденных в адрес медико-генетической консультации БУ "Сургутский окружной клинический центр охраны материнства и детства"</w:t>
            </w:r>
          </w:p>
        </w:tc>
        <w:tc>
          <w:tcPr>
            <w:tcW w:w="4932" w:type="dxa"/>
          </w:tcPr>
          <w:p>
            <w:pPr>
              <w:pStyle w:val="0"/>
              <w:jc w:val="center"/>
            </w:pPr>
            <w:r>
              <w:rPr>
                <w:sz w:val="20"/>
              </w:rPr>
              <w:t xml:space="preserve">Медицинская организация, ответственная за забор крови новорожденных на тест-бланк, отправку тест-бланков в адрес перинатальных центров</w:t>
            </w:r>
          </w:p>
          <w:p>
            <w:pPr>
              <w:pStyle w:val="0"/>
              <w:jc w:val="center"/>
            </w:pPr>
            <w:r>
              <w:rPr>
                <w:sz w:val="20"/>
              </w:rPr>
              <w:t xml:space="preserve">(по зональному принципу)</w:t>
            </w:r>
          </w:p>
        </w:tc>
        <w:tc>
          <w:tcPr>
            <w:tcW w:w="2835" w:type="dxa"/>
          </w:tcPr>
          <w:p>
            <w:pPr>
              <w:pStyle w:val="0"/>
              <w:jc w:val="center"/>
            </w:pPr>
            <w:r>
              <w:rPr>
                <w:sz w:val="20"/>
              </w:rPr>
              <w:t xml:space="preserve">Прикрепленная территория</w:t>
            </w:r>
          </w:p>
        </w:tc>
      </w:tr>
      <w:tr>
        <w:tc>
          <w:tcPr>
            <w:tcW w:w="454" w:type="dxa"/>
          </w:tcPr>
          <w:p>
            <w:pPr>
              <w:pStyle w:val="0"/>
            </w:pPr>
            <w:r>
              <w:rPr>
                <w:sz w:val="20"/>
              </w:rPr>
              <w:t xml:space="preserve">1.</w:t>
            </w:r>
          </w:p>
        </w:tc>
        <w:tc>
          <w:tcPr>
            <w:tcW w:w="2344" w:type="dxa"/>
            <w:vMerge w:val="restart"/>
          </w:tcPr>
          <w:p>
            <w:pPr>
              <w:pStyle w:val="0"/>
            </w:pPr>
            <w:r>
              <w:rPr>
                <w:sz w:val="20"/>
              </w:rPr>
              <w:t xml:space="preserve">БУ "Сургутский окружной клинический центр охраны материнства и детства" (медико-генетическая консультация)</w:t>
            </w:r>
          </w:p>
          <w:p>
            <w:pPr>
              <w:pStyle w:val="0"/>
            </w:pPr>
            <w:r>
              <w:rPr>
                <w:sz w:val="20"/>
              </w:rPr>
              <w:t xml:space="preserve">(г. Сургут)</w:t>
            </w:r>
          </w:p>
        </w:tc>
        <w:tc>
          <w:tcPr>
            <w:tcW w:w="2891" w:type="dxa"/>
          </w:tcPr>
          <w:p>
            <w:pPr>
              <w:pStyle w:val="0"/>
            </w:pPr>
            <w:r>
              <w:rPr>
                <w:sz w:val="20"/>
              </w:rPr>
              <w:t xml:space="preserve">БУ "Окружная клиническая больница"</w:t>
            </w:r>
          </w:p>
          <w:p>
            <w:pPr>
              <w:pStyle w:val="0"/>
            </w:pPr>
            <w:r>
              <w:rPr>
                <w:sz w:val="20"/>
              </w:rPr>
              <w:t xml:space="preserve">(г. Ханты-Мансийск)</w:t>
            </w:r>
          </w:p>
        </w:tc>
        <w:tc>
          <w:tcPr>
            <w:tcW w:w="4932" w:type="dxa"/>
          </w:tcPr>
          <w:p>
            <w:pPr>
              <w:pStyle w:val="0"/>
            </w:pPr>
            <w:r>
              <w:rPr>
                <w:sz w:val="20"/>
              </w:rPr>
              <w:t xml:space="preserve">БУ "Няганская городская детская поликлиника"</w:t>
            </w:r>
          </w:p>
          <w:p>
            <w:pPr>
              <w:pStyle w:val="0"/>
            </w:pPr>
            <w:r>
              <w:rPr>
                <w:sz w:val="20"/>
              </w:rPr>
              <w:t xml:space="preserve">БУ "Няганская окружная больница"</w:t>
            </w:r>
          </w:p>
          <w:p>
            <w:pPr>
              <w:pStyle w:val="0"/>
            </w:pPr>
            <w:r>
              <w:rPr>
                <w:sz w:val="20"/>
              </w:rPr>
              <w:t xml:space="preserve">БУ "Урайская городская клиническая больница"</w:t>
            </w:r>
          </w:p>
          <w:p>
            <w:pPr>
              <w:pStyle w:val="0"/>
            </w:pPr>
            <w:r>
              <w:rPr>
                <w:sz w:val="20"/>
              </w:rPr>
              <w:t xml:space="preserve">КУ "Урайский специализированный Дом ребенка"</w:t>
            </w:r>
          </w:p>
          <w:p>
            <w:pPr>
              <w:pStyle w:val="0"/>
            </w:pPr>
            <w:r>
              <w:rPr>
                <w:sz w:val="20"/>
              </w:rPr>
              <w:t xml:space="preserve">БУ "Окружная клиническая больница"</w:t>
            </w:r>
          </w:p>
          <w:p>
            <w:pPr>
              <w:pStyle w:val="0"/>
            </w:pPr>
            <w:r>
              <w:rPr>
                <w:sz w:val="20"/>
              </w:rPr>
              <w:t xml:space="preserve">БУ "Югорская городская больница"</w:t>
            </w:r>
          </w:p>
          <w:p>
            <w:pPr>
              <w:pStyle w:val="0"/>
            </w:pPr>
            <w:r>
              <w:rPr>
                <w:sz w:val="20"/>
              </w:rPr>
              <w:t xml:space="preserve">БУ "Белоярская районная больница"</w:t>
            </w:r>
          </w:p>
          <w:p>
            <w:pPr>
              <w:pStyle w:val="0"/>
            </w:pPr>
            <w:r>
              <w:rPr>
                <w:sz w:val="20"/>
              </w:rPr>
              <w:t xml:space="preserve">БУ "Березовская районная больница"</w:t>
            </w:r>
          </w:p>
          <w:p>
            <w:pPr>
              <w:pStyle w:val="0"/>
            </w:pPr>
            <w:r>
              <w:rPr>
                <w:sz w:val="20"/>
              </w:rPr>
              <w:t xml:space="preserve">БУ "Игримская районная больница"</w:t>
            </w:r>
          </w:p>
          <w:p>
            <w:pPr>
              <w:pStyle w:val="0"/>
            </w:pPr>
            <w:r>
              <w:rPr>
                <w:sz w:val="20"/>
              </w:rPr>
              <w:t xml:space="preserve">БУ "Кондинская районная больница"</w:t>
            </w:r>
          </w:p>
          <w:p>
            <w:pPr>
              <w:pStyle w:val="0"/>
            </w:pPr>
            <w:r>
              <w:rPr>
                <w:sz w:val="20"/>
              </w:rPr>
              <w:t xml:space="preserve">БУ "Центр общей врачебной практики"</w:t>
            </w:r>
          </w:p>
          <w:p>
            <w:pPr>
              <w:pStyle w:val="0"/>
            </w:pPr>
            <w:r>
              <w:rPr>
                <w:sz w:val="20"/>
              </w:rPr>
              <w:t xml:space="preserve">БУ "Октябрьская районная больница"</w:t>
            </w:r>
          </w:p>
          <w:p>
            <w:pPr>
              <w:pStyle w:val="0"/>
            </w:pPr>
            <w:r>
              <w:rPr>
                <w:sz w:val="20"/>
              </w:rPr>
              <w:t xml:space="preserve">БУ "Няганская городская поликлиника" (п.г.т. Талинка)</w:t>
            </w:r>
          </w:p>
          <w:p>
            <w:pPr>
              <w:pStyle w:val="0"/>
            </w:pPr>
            <w:r>
              <w:rPr>
                <w:sz w:val="20"/>
              </w:rPr>
              <w:t xml:space="preserve">АУ "Советская районная больница"</w:t>
            </w:r>
          </w:p>
          <w:p>
            <w:pPr>
              <w:pStyle w:val="0"/>
            </w:pPr>
            <w:r>
              <w:rPr>
                <w:sz w:val="20"/>
              </w:rPr>
              <w:t xml:space="preserve">БУ "Пионерская районная больница"</w:t>
            </w:r>
          </w:p>
          <w:p>
            <w:pPr>
              <w:pStyle w:val="0"/>
            </w:pPr>
            <w:r>
              <w:rPr>
                <w:sz w:val="20"/>
              </w:rPr>
              <w:t xml:space="preserve">БУ "Ханты-Мансийская районная больница"</w:t>
            </w:r>
          </w:p>
        </w:tc>
        <w:tc>
          <w:tcPr>
            <w:tcW w:w="2835" w:type="dxa"/>
          </w:tcPr>
          <w:p>
            <w:pPr>
              <w:pStyle w:val="0"/>
            </w:pPr>
            <w:r>
              <w:rPr>
                <w:sz w:val="20"/>
              </w:rPr>
              <w:t xml:space="preserve">Муниципальные районы: Белоярский </w:t>
            </w:r>
            <w:hyperlink w:history="0" w:anchor="P28713" w:tooltip="&lt;1&gt; Медицинские организации Белоярского, Березовского муниципальных районов доставляют тест-бланки в БУ &quot;Окружная клиническая больница&quot; (г. Ханты-Мансийск) или в МГК БУ &quot;Сургутский окружной клинический центр охраны материнства и детства&quot; самостоятельно в максимально короткие сроки.">
              <w:r>
                <w:rPr>
                  <w:sz w:val="20"/>
                  <w:color w:val="0000ff"/>
                </w:rPr>
                <w:t xml:space="preserve">&lt;1&gt;</w:t>
              </w:r>
            </w:hyperlink>
            <w:r>
              <w:rPr>
                <w:sz w:val="20"/>
              </w:rPr>
              <w:t xml:space="preserve">, Березовский </w:t>
            </w:r>
            <w:hyperlink w:history="0" w:anchor="P28713" w:tooltip="&lt;1&gt; Медицинские организации Белоярского, Березовского муниципальных районов доставляют тест-бланки в БУ &quot;Окружная клиническая больница&quot; (г. Ханты-Мансийск) или в МГК БУ &quot;Сургутский окружной клинический центр охраны материнства и детства&quot; самостоятельно в максимально короткие сроки.">
              <w:r>
                <w:rPr>
                  <w:sz w:val="20"/>
                  <w:color w:val="0000ff"/>
                </w:rPr>
                <w:t xml:space="preserve">&lt;1&gt;</w:t>
              </w:r>
            </w:hyperlink>
            <w:r>
              <w:rPr>
                <w:sz w:val="20"/>
              </w:rPr>
              <w:t xml:space="preserve">, Кондинский, Октябрьский, Советский, Ханты-Мансийский;</w:t>
            </w:r>
          </w:p>
          <w:p>
            <w:pPr>
              <w:pStyle w:val="0"/>
            </w:pPr>
            <w:r>
              <w:rPr>
                <w:sz w:val="20"/>
              </w:rPr>
              <w:t xml:space="preserve">городские округа Нягань, Урай, Ханты-Мансийск, Югорск</w:t>
            </w:r>
          </w:p>
        </w:tc>
      </w:tr>
      <w:tr>
        <w:tc>
          <w:tcPr>
            <w:tcW w:w="454" w:type="dxa"/>
          </w:tcPr>
          <w:p>
            <w:pPr>
              <w:pStyle w:val="0"/>
            </w:pPr>
            <w:r>
              <w:rPr>
                <w:sz w:val="20"/>
              </w:rPr>
              <w:t xml:space="preserve">2.</w:t>
            </w:r>
          </w:p>
        </w:tc>
        <w:tc>
          <w:tcPr>
            <w:vMerge w:val="continue"/>
          </w:tcPr>
          <w:p/>
        </w:tc>
        <w:tc>
          <w:tcPr>
            <w:tcW w:w="2891" w:type="dxa"/>
          </w:tcPr>
          <w:p>
            <w:pPr>
              <w:pStyle w:val="0"/>
            </w:pPr>
            <w:r>
              <w:rPr>
                <w:sz w:val="20"/>
              </w:rPr>
              <w:t xml:space="preserve">БУ "Нижневартовский окружной клинический перинатальный центр"</w:t>
            </w:r>
          </w:p>
          <w:p>
            <w:pPr>
              <w:pStyle w:val="0"/>
            </w:pPr>
            <w:r>
              <w:rPr>
                <w:sz w:val="20"/>
              </w:rPr>
              <w:t xml:space="preserve">(г. Нижневартовск)</w:t>
            </w:r>
          </w:p>
        </w:tc>
        <w:tc>
          <w:tcPr>
            <w:tcW w:w="4932" w:type="dxa"/>
          </w:tcPr>
          <w:p>
            <w:pPr>
              <w:pStyle w:val="0"/>
            </w:pPr>
            <w:r>
              <w:rPr>
                <w:sz w:val="20"/>
              </w:rPr>
              <w:t xml:space="preserve">БУ "Нижневартовская городская детская поликлиника"</w:t>
            </w:r>
          </w:p>
          <w:p>
            <w:pPr>
              <w:pStyle w:val="0"/>
            </w:pPr>
            <w:r>
              <w:rPr>
                <w:sz w:val="20"/>
              </w:rPr>
              <w:t xml:space="preserve">БУ "Нижневартовский окружной клинический перинатальный центр"</w:t>
            </w:r>
          </w:p>
          <w:p>
            <w:pPr>
              <w:pStyle w:val="0"/>
            </w:pPr>
            <w:r>
              <w:rPr>
                <w:sz w:val="20"/>
              </w:rPr>
              <w:t xml:space="preserve">БУ "Нижневартовская окружная клиническая детская больница"</w:t>
            </w:r>
          </w:p>
          <w:p>
            <w:pPr>
              <w:pStyle w:val="0"/>
            </w:pPr>
            <w:r>
              <w:rPr>
                <w:sz w:val="20"/>
              </w:rPr>
              <w:t xml:space="preserve">БУ "Лангепасская городская больница"</w:t>
            </w:r>
          </w:p>
          <w:p>
            <w:pPr>
              <w:pStyle w:val="0"/>
            </w:pPr>
            <w:r>
              <w:rPr>
                <w:sz w:val="20"/>
              </w:rPr>
              <w:t xml:space="preserve">БУ "Мегионская городская больница"</w:t>
            </w:r>
          </w:p>
          <w:p>
            <w:pPr>
              <w:pStyle w:val="0"/>
            </w:pPr>
            <w:r>
              <w:rPr>
                <w:sz w:val="20"/>
              </w:rPr>
              <w:t xml:space="preserve">БУ "Покачевская городская больница"</w:t>
            </w:r>
          </w:p>
          <w:p>
            <w:pPr>
              <w:pStyle w:val="0"/>
            </w:pPr>
            <w:r>
              <w:rPr>
                <w:sz w:val="20"/>
              </w:rPr>
              <w:t xml:space="preserve">БУ "Радужнинская городская больница"</w:t>
            </w:r>
          </w:p>
          <w:p>
            <w:pPr>
              <w:pStyle w:val="0"/>
            </w:pPr>
            <w:r>
              <w:rPr>
                <w:sz w:val="20"/>
              </w:rPr>
              <w:t xml:space="preserve">БУ "Нижневартовская районная больница"</w:t>
            </w:r>
          </w:p>
          <w:p>
            <w:pPr>
              <w:pStyle w:val="0"/>
            </w:pPr>
            <w:r>
              <w:rPr>
                <w:sz w:val="20"/>
              </w:rPr>
              <w:t xml:space="preserve">БУ "Новоаганская районная больница"</w:t>
            </w:r>
          </w:p>
        </w:tc>
        <w:tc>
          <w:tcPr>
            <w:tcW w:w="2835" w:type="dxa"/>
          </w:tcPr>
          <w:p>
            <w:pPr>
              <w:pStyle w:val="0"/>
            </w:pPr>
            <w:r>
              <w:rPr>
                <w:sz w:val="20"/>
              </w:rPr>
              <w:t xml:space="preserve">Городские округа Лангепас, Мегион, Нижневартовск, Покачи, Радужный;</w:t>
            </w:r>
          </w:p>
          <w:p>
            <w:pPr>
              <w:pStyle w:val="0"/>
            </w:pPr>
            <w:r>
              <w:rPr>
                <w:sz w:val="20"/>
              </w:rPr>
              <w:t xml:space="preserve">Нижневартовский муниципальный район</w:t>
            </w:r>
          </w:p>
        </w:tc>
      </w:tr>
      <w:tr>
        <w:tc>
          <w:tcPr>
            <w:tcW w:w="454" w:type="dxa"/>
          </w:tcPr>
          <w:p>
            <w:pPr>
              <w:pStyle w:val="0"/>
            </w:pPr>
            <w:r>
              <w:rPr>
                <w:sz w:val="20"/>
              </w:rPr>
              <w:t xml:space="preserve">3.</w:t>
            </w:r>
          </w:p>
        </w:tc>
        <w:tc>
          <w:tcPr>
            <w:vMerge w:val="continue"/>
          </w:tcPr>
          <w:p/>
        </w:tc>
        <w:tc>
          <w:tcPr>
            <w:gridSpan w:val="2"/>
            <w:tcW w:w="7823" w:type="dxa"/>
          </w:tcPr>
          <w:p>
            <w:pPr>
              <w:pStyle w:val="0"/>
            </w:pPr>
            <w:r>
              <w:rPr>
                <w:sz w:val="20"/>
              </w:rPr>
              <w:t xml:space="preserve">БУ "Сургутская городская клиническая поликлиника N 1"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"Сургутская городская клиническая поликлиника N 2"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"Сургутская городская клиническая поликлиника N 3"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"Сургутская городская клиническая поликлиника N 4"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"Сургутская городская клиническая поликлиника N 5"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"Сургутский окружной клинический центр охраны материнства и детства"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"Сургутская клиническая травматологическая больница"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"Окружной кардиологический диспансер "Центр диагностики и сердечно-сосудистой хирургии"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"Когалымская городская больница"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"Пыть-Яхская окружная клиническая больница"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"Нефтеюганская районная больница"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"Угутская участковая больница"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"Сургутская районная поликлиника"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"Нижнесортымская участковая больница"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"Федоровская городская больница"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"Лянторская городская больница"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p>
            <w:pPr>
              <w:pStyle w:val="0"/>
            </w:pPr>
            <w:r>
              <w:rPr>
                <w:sz w:val="20"/>
              </w:rPr>
              <w:t xml:space="preserve">БУ "Нефтеюганская окружная клиническая больница имени В.И. Яцкив" </w:t>
            </w:r>
            <w:hyperlink w:history="0" w:anchor="P28714" w:tooltip="&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quot;Сургутский окружной клинический центр охраны материнства и детства&quot;.">
              <w:r>
                <w:rPr>
                  <w:sz w:val="20"/>
                  <w:color w:val="0000ff"/>
                </w:rPr>
                <w:t xml:space="preserve">&lt;2&gt;</w:t>
              </w:r>
            </w:hyperlink>
          </w:p>
        </w:tc>
        <w:tc>
          <w:tcPr>
            <w:tcW w:w="2835" w:type="dxa"/>
          </w:tcPr>
          <w:p>
            <w:pPr>
              <w:pStyle w:val="0"/>
            </w:pPr>
            <w:r>
              <w:rPr>
                <w:sz w:val="20"/>
              </w:rPr>
              <w:t xml:space="preserve">Городские округа Когалым, Нефтеюганск, Пыть-Ях, Сургут; Сургутский, Нефтеюганский муниципальные районы</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Примечание:</w:t>
      </w:r>
    </w:p>
    <w:bookmarkStart w:id="28713" w:name="P28713"/>
    <w:bookmarkEnd w:id="28713"/>
    <w:p>
      <w:pPr>
        <w:pStyle w:val="0"/>
        <w:spacing w:before="200" w:line-rule="auto"/>
        <w:ind w:firstLine="540"/>
        <w:jc w:val="both"/>
      </w:pPr>
      <w:r>
        <w:rPr>
          <w:sz w:val="20"/>
        </w:rPr>
        <w:t xml:space="preserve">&lt;1&gt; Медицинские организации Белоярского, Березовского муниципальных районов доставляют тест-бланки в БУ "Окружная клиническая больница" (г. Ханты-Мансийск) или в МГК БУ "Сургутский окружной клинический центр охраны материнства и детства" самостоятельно в максимально короткие сроки.</w:t>
      </w:r>
    </w:p>
    <w:bookmarkStart w:id="28714" w:name="P28714"/>
    <w:bookmarkEnd w:id="28714"/>
    <w:p>
      <w:pPr>
        <w:pStyle w:val="0"/>
        <w:spacing w:before="200" w:line-rule="auto"/>
        <w:ind w:firstLine="540"/>
        <w:jc w:val="both"/>
      </w:pPr>
      <w:r>
        <w:rPr>
          <w:sz w:val="20"/>
        </w:rPr>
        <w:t xml:space="preserve">&lt;2&gt; Медицинские организации городских округов Когалым, Нефтеюганск, Пыть-Ях, Сургут, Сургутского и Нефтеюганского муниципальных районов доставляют тест-бланки в МГК БУ "Сургутский окружной клинический центр охраны материнства и детства".</w:t>
      </w:r>
    </w:p>
    <w:p>
      <w:pPr>
        <w:pStyle w:val="0"/>
        <w:ind w:firstLine="540"/>
        <w:jc w:val="both"/>
      </w:pPr>
      <w:r>
        <w:rPr>
          <w:sz w:val="20"/>
        </w:rPr>
      </w:r>
    </w:p>
    <w:p>
      <w:pPr>
        <w:pStyle w:val="0"/>
        <w:ind w:firstLine="540"/>
        <w:jc w:val="both"/>
      </w:pPr>
      <w:r>
        <w:rPr>
          <w:sz w:val="20"/>
        </w:rPr>
        <w:t xml:space="preserve">При получении первичного положительного результата неонатального скрининга специалисты МГК информируют медицинские организации о необходимости проведения повторного обследования. После получения вызова ответственный за НС медицинский работник медицинской организации обязан обеспечить направление образца крови новорожденного ребенка, независимо от места его пребывания, на повторное исследование (ретест) в срок до 48 часов. В соответствии с медицинскими показаниями проводится уточняющая (подтверждающая) диагностика. По итогам обследования при установлении диагноза дети обеспечиваются лечением, специализированными продуктами питания, осуществляется взятие на диспансерный учет специалистами медицинских организаций по месту жительства пациента.</w:t>
      </w:r>
    </w:p>
    <w:p>
      <w:pPr>
        <w:pStyle w:val="0"/>
        <w:spacing w:before="200" w:line-rule="auto"/>
        <w:ind w:firstLine="540"/>
        <w:jc w:val="both"/>
      </w:pPr>
      <w:r>
        <w:rPr>
          <w:sz w:val="20"/>
        </w:rPr>
        <w:t xml:space="preserve">3. Прием тест-бланков у курьеров медицинских организаций осуществляют фельдшеры-лаборанты лаборатории массового и селективного скрининга лабораторного отделения МГК ежедневно с понедельника по субботу в течение рабочего дня с 08:00 до 18:00 в специально отведенном помещении в приемном отделении БУ "Сургутский окружной клинический центр охраны материнства и детства" (фиксируется количество тест-бланков, оценивается качество забора биологического материала (крови) на тест-бланк согласно стандартной операционной процедуре (далее - СОП) "Доставка биологического материала в лабораторное отделение медико-генетической консультации, регистрация каждого тест-бланка в журнале, регистратор вносит персональные данные пациента (матери пациента) в медицинскую информационную систему).</w:t>
      </w:r>
    </w:p>
    <w:p>
      <w:pPr>
        <w:pStyle w:val="0"/>
        <w:spacing w:before="200" w:line-rule="auto"/>
        <w:ind w:firstLine="540"/>
        <w:jc w:val="both"/>
      </w:pPr>
      <w:r>
        <w:rPr>
          <w:sz w:val="20"/>
        </w:rPr>
        <w:t xml:space="preserve">4. Проведение исследований по НС осуществляется в лабораторном отделении МГК в лаборатории массового и селективного скрининга. После поступления тест-бланки (биологический материал в виде высушенных сухих пятен крови) проверяет на качество забора крови и правильность их заполнения ответственное лицо, назначенное руководителем медицинской организации, присваивает порядковый номер с дальнейшей регистрацией тест-бланка в журнале "Регистрация анализов и их результатов на неонатальный скрининг". Проведение исследования НС по каждой нозологии проводится согласно СОП.</w:t>
      </w:r>
    </w:p>
    <w:p>
      <w:pPr>
        <w:pStyle w:val="0"/>
        <w:spacing w:before="200" w:line-rule="auto"/>
        <w:ind w:firstLine="540"/>
        <w:jc w:val="both"/>
      </w:pPr>
      <w:r>
        <w:rPr>
          <w:sz w:val="20"/>
        </w:rPr>
        <w:t xml:space="preserve">После проведения исследования на НС полученные результаты скрининговых исследований фиксирует врач лабораторный генетик/врач клинической лабораторной диагностики/биолог в журнале "Регистрация анализов и их результатов на неонатальный скрининг", в результате чего формируется группа детей "условно здоровых" по всем исследуемым заболеваниям и группа высокого риска (отклонение значений от "отрезной точки") врожденных и (или) наследственных заболеваний. Дети из группы "условно здоровые" не требуют дополнительных исследований, в отношении них не нужно информировать медицинские организации о результатах. Новорожденным из группы высокого риска необходимо проведение повторного скринингового исследования (ретеста), о чем врач лабораторный генетик/врач клинической лабораторной диагностики/биолог МГК информирует медицинские организации телефонограммой.</w:t>
      </w:r>
    </w:p>
    <w:p>
      <w:pPr>
        <w:pStyle w:val="0"/>
        <w:spacing w:before="200" w:line-rule="auto"/>
        <w:ind w:firstLine="540"/>
        <w:jc w:val="both"/>
      </w:pPr>
      <w:r>
        <w:rPr>
          <w:sz w:val="20"/>
        </w:rPr>
        <w:t xml:space="preserve">5. Информирование законных представителей (родителей) ребенка и медицинской организации, оказывающей первичную медико-санитарную помощь детям, о результатах НС.</w:t>
      </w:r>
    </w:p>
    <w:p>
      <w:pPr>
        <w:pStyle w:val="0"/>
        <w:spacing w:before="200" w:line-rule="auto"/>
        <w:ind w:firstLine="540"/>
        <w:jc w:val="both"/>
      </w:pPr>
      <w:r>
        <w:rPr>
          <w:sz w:val="20"/>
        </w:rPr>
        <w:t xml:space="preserve">После выполнения исследований по НС в случае выявления изменений в первичных результатах медицинский работник (биолог) МГК информирует ответственного за НС медицинского работника медицинской организации, в которой в данное время находится или состоит на учете ребенок (акушерский или педиатрический стационар, детская поликлиника, фельдшерско-акушерский пункт), с использованием телефонной связи о необходимости его повторного обследования и фиксирует эту информацию в журнале.</w:t>
      </w:r>
    </w:p>
    <w:p>
      <w:pPr>
        <w:pStyle w:val="0"/>
        <w:spacing w:before="200" w:line-rule="auto"/>
        <w:ind w:firstLine="540"/>
        <w:jc w:val="both"/>
      </w:pPr>
      <w:r>
        <w:rPr>
          <w:sz w:val="20"/>
        </w:rPr>
        <w:t xml:space="preserve">После получения вызова из МГК ответственный за НС медицинский работник медицинской организации обязан обеспечить направление образца крови новорожденного ребенка, независимо от места его пребывания, на подтверждающую диагностику в срок до 48 часов. Кровь берется на чистый тест-бланк и заполняется в соответствии с рекомендациями (на тест-бланке обязательно делается пометка "повтор на (указывается сокращенное наименование предполагаемого заболевания)", о чем информирует законного представителя (родителя) ребенка. В случае выявления изменений в повторных анализах медицинский работник (биолог) МГК, ответственный за проведение НС, информирует заведующего МГК и ответственного за НС медицинского работника медицинской организации, в которой в данное время находится или состоит на учете ребенок (акушерский или педиатрический стационар, детская поликлиника, фельдшерско-акушерский пункт), с использованием телефонной связи и/или официальным письмом о необходимости проведения очного консультирования в МГК с последующей подтверждающей диагностикой наследственного заболевания у новорожденного ребенка, с указанием даты и времени консультации специалистов МГК (врач - детский эндокринолог, врач-генетик, врач-диетолог). Перед очным консультированием в консультативно-диагностическом отделении МГК законные представители подписывают информированное согласие на обработку персональных данных, информированное согласие на медицинское вмешательство. В процессе очного консультирования им предоставляются результаты проведенного НС, разъясняется их значение, объясняется необходимость и значимость подтверждающей диагностики, выдается направление на ее проведение в случае их согласия. После получения результатов подтверждающей диагностики законных представителей (родителей) приглашают с ребенком на повторный прием специалиста МГК, где им выдается результат исследования и заключение с рекомендациями. Медицинскую организацию, в которой наблюдается ребенок по месту жительства, информируют об установлении заключительного диагноза официальным письмом, направляемым по защищенному каналу связи.</w:t>
      </w:r>
    </w:p>
    <w:p>
      <w:pPr>
        <w:pStyle w:val="0"/>
        <w:spacing w:before="200" w:line-rule="auto"/>
        <w:ind w:firstLine="540"/>
        <w:jc w:val="both"/>
      </w:pPr>
      <w:r>
        <w:rPr>
          <w:sz w:val="20"/>
        </w:rPr>
        <w:t xml:space="preserve">6. Порядок направления для проведения подтверждающей диагностики.</w:t>
      </w:r>
    </w:p>
    <w:p>
      <w:pPr>
        <w:pStyle w:val="0"/>
        <w:spacing w:before="200" w:line-rule="auto"/>
        <w:ind w:firstLine="540"/>
        <w:jc w:val="both"/>
      </w:pPr>
      <w:r>
        <w:rPr>
          <w:sz w:val="20"/>
        </w:rPr>
        <w:t xml:space="preserve">Все пациенты, попавшие в группу риска по результатам повторного исследования по НС, согласно действующим алгоритмам обследования по каждой конкретной нозологии подлежат уточняющей (подтверждающей) диагностики. В зависимости от нозологии она может быть проведена: в клинико-диагностической лаборатории МГК, сертифицированных молекулярно-генетических лабораториях за пределами автономного округа.</w:t>
      </w:r>
    </w:p>
    <w:p>
      <w:pPr>
        <w:pStyle w:val="0"/>
        <w:spacing w:before="200" w:line-rule="auto"/>
        <w:ind w:firstLine="540"/>
        <w:jc w:val="both"/>
      </w:pPr>
      <w:r>
        <w:rPr>
          <w:sz w:val="20"/>
        </w:rPr>
        <w:t xml:space="preserve">При выявлении отклонений в повторных анализах ответственного специалиста медицинской организации по месту жительства ребенка информируют о необходимости проведения очного консультирования в МГК с последующей подтверждающей диагностикой с указанием даты и времени консультации специалистов медико-генетической консультации (врач-детский эндокринолог, врач-генетик, врач-диетолог).</w:t>
      </w:r>
    </w:p>
    <w:p>
      <w:pPr>
        <w:pStyle w:val="0"/>
        <w:spacing w:before="200" w:line-rule="auto"/>
        <w:ind w:firstLine="540"/>
        <w:jc w:val="both"/>
      </w:pPr>
      <w:r>
        <w:rPr>
          <w:sz w:val="20"/>
        </w:rPr>
        <w:t xml:space="preserve">Специалисты МГК в процессе консультирования объясняют необходимость и значимость подтверждающей диагностики, выдают направление на ее проведение в случае согласия законных представителей (родителей) ребенка. Забор биологического материала для уточняющей (подтверждающей) диагностики проводится в МГК (в день назначения).</w:t>
      </w:r>
    </w:p>
    <w:p>
      <w:pPr>
        <w:pStyle w:val="0"/>
        <w:spacing w:before="200" w:line-rule="auto"/>
        <w:ind w:firstLine="540"/>
        <w:jc w:val="both"/>
      </w:pPr>
      <w:r>
        <w:rPr>
          <w:sz w:val="20"/>
        </w:rPr>
        <w:t xml:space="preserve">Биохимические и иммуноферментные исследования выполняются в срочном порядке, молекулярно-генетические - в отсроченном (при выполнении за пределами автономного округа). При наличии врача-специалиста (врач-детский эндокринолог) в медицинской организации по месту наблюдения ребенка очное консультирование, подтверждающая диагностика и назначение заместительной терапии заболеваний "врожденный гипотиреоз", "врожденная дисфункция коры надпочечников" проводится по месту наблюдения, о чем информируется письменно МГК. Для молекулярно-генетической подтверждающей диагностики заболевания "врожденная дисфункция коры надпочечников" образец цельной крови в пробирке доставляется из медицинской организации, наблюдающей ребенка, в лабораторное отделение МГК для последующей отправки в лицензированную лабораторию за пределы автономного округа.</w:t>
      </w:r>
    </w:p>
    <w:p>
      <w:pPr>
        <w:pStyle w:val="0"/>
        <w:spacing w:before="200" w:line-rule="auto"/>
        <w:ind w:firstLine="540"/>
        <w:jc w:val="both"/>
      </w:pPr>
      <w:r>
        <w:rPr>
          <w:sz w:val="20"/>
        </w:rPr>
        <w:t xml:space="preserve">7. Проведение подтверждающей диагностики с указанием отделений (лабораторий), в которых это осуществляется, фиксация результата положительного/отрицательного.</w:t>
      </w:r>
    </w:p>
    <w:p>
      <w:pPr>
        <w:pStyle w:val="0"/>
        <w:spacing w:before="200" w:line-rule="auto"/>
        <w:ind w:firstLine="540"/>
        <w:jc w:val="both"/>
      </w:pPr>
      <w:r>
        <w:rPr>
          <w:sz w:val="20"/>
        </w:rPr>
        <w:t xml:space="preserve">Уточняющая (подтверждающая) диагностика выполняется по всем 5 нозологиям НС. При заболевании "фенилкетонурия" проводится оценка уровня фенилаланина, поиск частых мутации гена фенилаланингидроксилазы (далее - гена РАН) в МГК (при наличии зарегистрированных в РФ реактивов), секвенирование гена РАН, генов ВН4 - в лицензированных лабораториях РФ за пределами автономного округа. При заболевании "врожденный гипотиреоз" проводится оценка тиреоидного статуса (уровней тиреотропного гормона, свободного тироксина) в условиях медицинских организаций автономного округа. При заболевании "муковисцидоз" проводится выполнение потового теста на приборе "Нанодакт" (оценка проводимости) на базе МГК (при наличии зарегистрированных в РФ реактивов), секвенирование гена CFTR - в лицензированных лабораториях РФ за пределами автономного округа. При заболевании "врожденная дисфункция коры надпочечников" проводится оценка стероидного статуса (оценка уровня 17-ОН-прогестерон, дигидроэпиандростерон, тестостерон, кортизол, адренокортикотропный гормон), уровня электролитов, выполнение ультразвукового исследования надпочечников в условиях медицинских организаций автономного округа, оценка частых мутаций, секвенирование гена CYP21 - в лицензированных лабораториях РФ за пределами автономного округа. При заболевании "галактоземия" проводится оценка уровня общей галактозы, активности фермента GALT на базе МГК, оценка частых мутаций, секвенирование гена GALT - в лицензированных лабораториях РФ за пределами автономного округа.</w:t>
      </w:r>
    </w:p>
    <w:p>
      <w:pPr>
        <w:pStyle w:val="0"/>
        <w:spacing w:before="200" w:line-rule="auto"/>
        <w:ind w:firstLine="540"/>
        <w:jc w:val="both"/>
      </w:pPr>
      <w:r>
        <w:rPr>
          <w:sz w:val="20"/>
        </w:rPr>
        <w:t xml:space="preserve">8. Порядок информирования законных представителей (родителей) ребенка и медицинской организации, оказывающей первичную медико-санитарную помощь о выявленном заболевании.</w:t>
      </w:r>
    </w:p>
    <w:p>
      <w:pPr>
        <w:pStyle w:val="0"/>
        <w:spacing w:before="200" w:line-rule="auto"/>
        <w:ind w:firstLine="540"/>
        <w:jc w:val="both"/>
      </w:pPr>
      <w:r>
        <w:rPr>
          <w:sz w:val="20"/>
        </w:rPr>
        <w:t xml:space="preserve">При установленном заболевании ответственный за проведение НС МГК информирует руководителя и ответственного за НС медицинского работника медицинской организации, в которой в данное время находится или состоит на учете ребенок (акушерский или педиатрический стационар, детская поликлиника, фельдшерско-акушерский пункт), официальным письмом о факте установления заболевания, необходимости назначения лечения, направления данных ребенка для внесения их в региональный сегмент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(в случае установления диагноза заболевания, входящего в </w:t>
      </w:r>
      <w:hyperlink w:history="0" r:id="rId231" w:tooltip="Постановление Правительства РФ от 26.04.2012 N 403 (ред. от 05.06.2020) &quot;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quot; (вместе с &quot;Правилами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 {КонсультантПлюс}">
        <w:r>
          <w:rPr>
            <w:sz w:val="20"/>
            <w:color w:val="0000ff"/>
          </w:rPr>
          <w:t xml:space="preserve">Перечень</w:t>
        </w:r>
      </w:hyperlink>
      <w:r>
        <w:rPr>
          <w:sz w:val="20"/>
        </w:rPr>
        <w:t xml:space="preserve"> жизнеугрожающих и хронических прогрессирующих редких (орфанных) заболеваний, приводящих к сокращению продолжительности жизни граждан или их инвалидности, который утвержден постановлением Правительства Российской Федерации от 26 апреля 2012 года N 403 (далее - Перечень) (фенилкетонурия, галактоземия)).</w:t>
      </w:r>
    </w:p>
    <w:p>
      <w:pPr>
        <w:pStyle w:val="0"/>
        <w:spacing w:before="200" w:line-rule="auto"/>
        <w:ind w:firstLine="540"/>
        <w:jc w:val="both"/>
      </w:pPr>
      <w:r>
        <w:rPr>
          <w:sz w:val="20"/>
        </w:rPr>
        <w:t xml:space="preserve">Специалисты медицинской организации (по месту жительства ребенка) информируют законных представителей (родителей) ребенка о результатах НС и направляют на повторное консультирование в МГК (врач-детский эндокринолог, врач-генетик, врач-диетолог) для разъяснения информации о заболевании, его течении, возможностях терапии, льготном лекарственном обеспечении и прогнозе.</w:t>
      </w:r>
    </w:p>
    <w:p>
      <w:pPr>
        <w:pStyle w:val="0"/>
        <w:spacing w:before="200" w:line-rule="auto"/>
        <w:ind w:firstLine="540"/>
        <w:jc w:val="both"/>
      </w:pPr>
      <w:r>
        <w:rPr>
          <w:sz w:val="20"/>
        </w:rPr>
        <w:t xml:space="preserve">9. Ведение регистров (реестров, сводных списков) пациентов с выявленными врожденными и (или) наследственными заболеваниями в ходе НС.</w:t>
      </w:r>
    </w:p>
    <w:p>
      <w:pPr>
        <w:pStyle w:val="0"/>
        <w:spacing w:before="200" w:line-rule="auto"/>
        <w:ind w:firstLine="540"/>
        <w:jc w:val="both"/>
      </w:pPr>
      <w:r>
        <w:rPr>
          <w:sz w:val="20"/>
        </w:rPr>
        <w:t xml:space="preserve">Ведение генетических регистров регламентировано приказом Минздрава России от 30 декабря 1993 года N 316 "О дальнейшем развитии медико-генетической службы Министерства здравоохранения Российской Федерации", приказом Департамента здравоохранения автономного округа от 25 июля 2022 года N 1157. В автономном округе ведется регистр по неонатальному скринингу, в который вносятся данные о пациентах, определенных скрининговыми мероприятиями в группу повышенного риска одного или нескольких из 5 скринируемых нозологий, данные проведенной уточняющей диагностики, о впервые выявленной врожденной и (или) наследственной патологии.</w:t>
      </w:r>
    </w:p>
    <w:p>
      <w:pPr>
        <w:pStyle w:val="0"/>
        <w:spacing w:before="200" w:line-rule="auto"/>
        <w:ind w:firstLine="540"/>
        <w:jc w:val="both"/>
      </w:pPr>
      <w:r>
        <w:rPr>
          <w:sz w:val="20"/>
        </w:rPr>
        <w:t xml:space="preserve">В регистре "Аудит неонатального скрининга", который ведет некоммерческая организация "Ассоциация медицинских генетиков" по согласованию с Минздравом России с января 2017 года в виде отдельного всероссийского регистра орфанных болезней, по состоянию на 1 октября 2022 года по автономному округу представлены данные о 138 пациентах.</w:t>
      </w:r>
    </w:p>
    <w:p>
      <w:pPr>
        <w:pStyle w:val="0"/>
        <w:spacing w:before="200" w:line-rule="auto"/>
        <w:ind w:firstLine="540"/>
        <w:jc w:val="both"/>
      </w:pPr>
      <w:r>
        <w:rPr>
          <w:sz w:val="20"/>
        </w:rPr>
        <w:t xml:space="preserve">В региональном сегменте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в который вносятся данные пациентов, страдающих заболеваниями, входящими в Перечень, по состоянию на 1 октября 2022 года представлены данные о 313 пациентах.</w:t>
      </w:r>
    </w:p>
    <w:p>
      <w:pPr>
        <w:pStyle w:val="0"/>
        <w:spacing w:before="200" w:line-rule="auto"/>
        <w:ind w:firstLine="540"/>
        <w:jc w:val="both"/>
      </w:pPr>
      <w:r>
        <w:rPr>
          <w:sz w:val="20"/>
        </w:rPr>
        <w:t xml:space="preserve">10. Проведение МГК, в том числе с применением телемедицинских технологий (при наличии), консультирование врачом-генетиком медико-генетического кабинета/центра с указанием графика работы данных медицинских организаций.</w:t>
      </w:r>
    </w:p>
    <w:p>
      <w:pPr>
        <w:pStyle w:val="0"/>
        <w:spacing w:before="200" w:line-rule="auto"/>
        <w:ind w:firstLine="540"/>
        <w:jc w:val="both"/>
      </w:pPr>
      <w:r>
        <w:rPr>
          <w:sz w:val="20"/>
        </w:rPr>
        <w:t xml:space="preserve">МГК осуществляет по шестидневной рабочей неделе в две смены с 08:00 до 20:00 часов, в субботу - с 08:00 до 16:00 часов: как очные, так и заочные консультации с использованием телемедицинских технологий. В 2018 году проведено 980 консультаций, в 2019 году - 1064, в 2020 году - 1161, в 2021 году - 1022, за 9 месяцев 2022 года - 773 консультации.</w:t>
      </w:r>
    </w:p>
    <w:p>
      <w:pPr>
        <w:pStyle w:val="0"/>
        <w:spacing w:before="200" w:line-rule="auto"/>
        <w:ind w:firstLine="540"/>
        <w:jc w:val="both"/>
      </w:pPr>
      <w:r>
        <w:rPr>
          <w:sz w:val="20"/>
        </w:rPr>
        <w:t xml:space="preserve">11. Постановка на диспансерное наблюдение детей с выявленными врожденными и (или) наследственными заболеваниями по каждому заболеванию </w:t>
      </w:r>
      <w:hyperlink w:history="0" w:anchor="P28744" w:tooltip="Диспансерное наблюдение детей с врожденными и (или)">
        <w:r>
          <w:rPr>
            <w:sz w:val="20"/>
            <w:color w:val="0000ff"/>
          </w:rPr>
          <w:t xml:space="preserve">(таблица 9)</w:t>
        </w:r>
      </w:hyperlink>
      <w:r>
        <w:rPr>
          <w:sz w:val="20"/>
        </w:rPr>
        <w:t xml:space="preserve">.</w:t>
      </w:r>
    </w:p>
    <w:p>
      <w:pPr>
        <w:pStyle w:val="0"/>
        <w:spacing w:before="200" w:line-rule="auto"/>
        <w:ind w:firstLine="540"/>
        <w:jc w:val="both"/>
      </w:pPr>
      <w:r>
        <w:rPr>
          <w:sz w:val="20"/>
        </w:rPr>
        <w:t xml:space="preserve">Диспансерное наблюдение осуществляют специалисты МГК и профильные специалисты медицинских организаций по месту жительства детей на базе 23 детских поликлиник (2 уровень), 12 поликлинических отделений (1 уровень). Организована работа детских консультативно-диагностических центров на базе БУ "Нижневартовская окружная клиническая детская больница" (городские округа Лангепас, Мегион, Нижневартовск, Покачи, Радужный; Нижневартовский муниципальный район), "Окружная клиническая больница" (городские округа Нягань, Урай, Ханты-Мансийск, Югорск; Ханты-Мансийский, Березовский, Белоярский, Кондинский, Октябрьский, Советский муниципальные районы), "Сургутская городская клиническая больница", "Сургутский окружной клинический центр охраны материнства и детства" (городские округа Когалым, Нефтеюганск, Пыть-Ях, Сургут; Сургутский, Нефтеюганский муниципальные районы).</w:t>
      </w:r>
    </w:p>
    <w:p>
      <w:pPr>
        <w:pStyle w:val="0"/>
        <w:spacing w:before="200" w:line-rule="auto"/>
        <w:ind w:firstLine="540"/>
        <w:jc w:val="both"/>
      </w:pPr>
      <w:r>
        <w:rPr>
          <w:sz w:val="20"/>
        </w:rPr>
        <w:t xml:space="preserve">12. Консультирование специалистов по профилю заболевания.</w:t>
      </w:r>
    </w:p>
    <w:p>
      <w:pPr>
        <w:pStyle w:val="0"/>
        <w:spacing w:before="200" w:line-rule="auto"/>
        <w:ind w:firstLine="540"/>
        <w:jc w:val="both"/>
      </w:pPr>
      <w:r>
        <w:rPr>
          <w:sz w:val="20"/>
        </w:rPr>
        <w:t xml:space="preserve">Консультирование детей с врожденными и (или) наследственными заболеваниями специалистами по профилю заболевания (врач-генетик, врач-детский эндокринолог, врач-диетолог, медицинский психолог) осуществляется как в МГК, так и в медицинских организациях автономного округа по показаниям согласно действующим клиническим рекомендациям (протоколам).</w:t>
      </w:r>
    </w:p>
    <w:p>
      <w:pPr>
        <w:pStyle w:val="0"/>
        <w:ind w:firstLine="540"/>
        <w:jc w:val="both"/>
      </w:pPr>
      <w:r>
        <w:rPr>
          <w:sz w:val="20"/>
        </w:rPr>
      </w:r>
    </w:p>
    <w:bookmarkStart w:id="28744" w:name="P28744"/>
    <w:bookmarkEnd w:id="28744"/>
    <w:p>
      <w:pPr>
        <w:pStyle w:val="0"/>
        <w:jc w:val="center"/>
      </w:pPr>
      <w:r>
        <w:rPr>
          <w:sz w:val="20"/>
        </w:rPr>
        <w:t xml:space="preserve">Диспансерное наблюдение детей с врожденными и (или)</w:t>
      </w:r>
    </w:p>
    <w:p>
      <w:pPr>
        <w:pStyle w:val="0"/>
        <w:jc w:val="center"/>
      </w:pPr>
      <w:r>
        <w:rPr>
          <w:sz w:val="20"/>
        </w:rPr>
        <w:t xml:space="preserve">наследственными заболеваниями в 2021 году &lt;1&gt;</w:t>
      </w:r>
    </w:p>
    <w:p>
      <w:pPr>
        <w:pStyle w:val="0"/>
        <w:jc w:val="center"/>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Данные формы федерального статистического наблюдения N 12 "Сведения о числе заболеваний, зарегистрированных у пациентов, проживающих в районе обслуживания медицинской организации".</w:t>
      </w:r>
    </w:p>
    <w:p>
      <w:pPr>
        <w:pStyle w:val="0"/>
        <w:jc w:val="center"/>
      </w:pPr>
      <w:r>
        <w:rPr>
          <w:sz w:val="20"/>
        </w:rPr>
      </w:r>
    </w:p>
    <w:p>
      <w:pPr>
        <w:pStyle w:val="0"/>
        <w:jc w:val="right"/>
      </w:pPr>
      <w:r>
        <w:rPr>
          <w:sz w:val="20"/>
        </w:rPr>
        <w:t xml:space="preserve">Таблица 9</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24"/>
        <w:gridCol w:w="1669"/>
        <w:gridCol w:w="1669"/>
        <w:gridCol w:w="1699"/>
        <w:gridCol w:w="2389"/>
        <w:gridCol w:w="2059"/>
        <w:gridCol w:w="1594"/>
        <w:gridCol w:w="1669"/>
      </w:tblGrid>
      <w:tr>
        <w:tc>
          <w:tcPr>
            <w:tcW w:w="2224" w:type="dxa"/>
            <w:vMerge w:val="restart"/>
          </w:tcPr>
          <w:p>
            <w:pPr>
              <w:pStyle w:val="0"/>
              <w:jc w:val="center"/>
            </w:pPr>
            <w:r>
              <w:rPr>
                <w:sz w:val="20"/>
              </w:rPr>
              <w:t xml:space="preserve">Наименование заболеваний</w:t>
            </w:r>
          </w:p>
        </w:tc>
        <w:tc>
          <w:tcPr>
            <w:tcW w:w="1669" w:type="dxa"/>
            <w:vMerge w:val="restart"/>
          </w:tcPr>
          <w:p>
            <w:pPr>
              <w:pStyle w:val="0"/>
              <w:jc w:val="center"/>
            </w:pPr>
            <w:r>
              <w:rPr>
                <w:sz w:val="20"/>
              </w:rPr>
              <w:t xml:space="preserve">Число пациентов с впервые выявленными заболеваниями в 2021 г.</w:t>
            </w:r>
          </w:p>
        </w:tc>
        <w:tc>
          <w:tcPr>
            <w:tcW w:w="1669" w:type="dxa"/>
            <w:vMerge w:val="restart"/>
          </w:tcPr>
          <w:p>
            <w:pPr>
              <w:pStyle w:val="0"/>
              <w:jc w:val="center"/>
            </w:pPr>
            <w:r>
              <w:rPr>
                <w:sz w:val="20"/>
              </w:rPr>
              <w:t xml:space="preserve">Из числа пациентов с впервые выявленными заболеваниями в 2021 г., взято на диспансерное наблюдение</w:t>
            </w:r>
          </w:p>
        </w:tc>
        <w:tc>
          <w:tcPr>
            <w:gridSpan w:val="2"/>
            <w:tcW w:w="4088" w:type="dxa"/>
          </w:tcPr>
          <w:p>
            <w:pPr>
              <w:pStyle w:val="0"/>
              <w:jc w:val="center"/>
            </w:pPr>
            <w:r>
              <w:rPr>
                <w:sz w:val="20"/>
              </w:rPr>
              <w:t xml:space="preserve">Из числа пациентов состоящих на диспансерном наблюдении назначены</w:t>
            </w:r>
          </w:p>
        </w:tc>
        <w:tc>
          <w:tcPr>
            <w:tcW w:w="2059" w:type="dxa"/>
            <w:vMerge w:val="restart"/>
          </w:tcPr>
          <w:p>
            <w:pPr>
              <w:pStyle w:val="0"/>
              <w:jc w:val="center"/>
            </w:pPr>
            <w:r>
              <w:rPr>
                <w:sz w:val="20"/>
              </w:rPr>
              <w:t xml:space="preserve">Врач-специалист, осуществляющий диспансерное наблюдение</w:t>
            </w:r>
          </w:p>
        </w:tc>
        <w:tc>
          <w:tcPr>
            <w:tcW w:w="1594" w:type="dxa"/>
            <w:vMerge w:val="restart"/>
          </w:tcPr>
          <w:p>
            <w:pPr>
              <w:pStyle w:val="0"/>
              <w:jc w:val="center"/>
            </w:pPr>
            <w:r>
              <w:rPr>
                <w:sz w:val="20"/>
              </w:rPr>
              <w:t xml:space="preserve">Средняя частота консультаций врачом-генетиком 1 пациента, состоящего на диспансерном наблюдении, в год</w:t>
            </w:r>
          </w:p>
        </w:tc>
        <w:tc>
          <w:tcPr>
            <w:tcW w:w="1669" w:type="dxa"/>
            <w:vMerge w:val="restart"/>
          </w:tcPr>
          <w:p>
            <w:pPr>
              <w:pStyle w:val="0"/>
              <w:jc w:val="center"/>
            </w:pPr>
            <w:r>
              <w:rPr>
                <w:sz w:val="20"/>
              </w:rPr>
              <w:t xml:space="preserve">Общее число консультаций врача-генетика в 2021 г., из них с применением ТМК</w:t>
            </w:r>
          </w:p>
        </w:tc>
      </w:tr>
      <w:tr>
        <w:tc>
          <w:tcPr>
            <w:vMerge w:val="continue"/>
          </w:tcPr>
          <w:p/>
        </w:tc>
        <w:tc>
          <w:tcPr>
            <w:vMerge w:val="continue"/>
          </w:tcPr>
          <w:p/>
        </w:tc>
        <w:tc>
          <w:tcPr>
            <w:vMerge w:val="continue"/>
          </w:tcPr>
          <w:p/>
        </w:tc>
        <w:tc>
          <w:tcPr>
            <w:tcW w:w="1699" w:type="dxa"/>
          </w:tcPr>
          <w:p>
            <w:pPr>
              <w:pStyle w:val="0"/>
              <w:jc w:val="center"/>
            </w:pPr>
            <w:r>
              <w:rPr>
                <w:sz w:val="20"/>
              </w:rPr>
              <w:t xml:space="preserve">Лекарственные препараты</w:t>
            </w:r>
          </w:p>
        </w:tc>
        <w:tc>
          <w:tcPr>
            <w:tcW w:w="2389" w:type="dxa"/>
          </w:tcPr>
          <w:p>
            <w:pPr>
              <w:pStyle w:val="0"/>
              <w:jc w:val="center"/>
            </w:pPr>
            <w:r>
              <w:rPr>
                <w:sz w:val="20"/>
              </w:rPr>
              <w:t xml:space="preserve">Специализированные продукты лечебного питания</w:t>
            </w:r>
          </w:p>
        </w:tc>
        <w:tc>
          <w:tcPr>
            <w:vMerge w:val="continue"/>
          </w:tcPr>
          <w:p/>
        </w:tc>
        <w:tc>
          <w:tcPr>
            <w:vMerge w:val="continue"/>
          </w:tcPr>
          <w:p/>
        </w:tc>
        <w:tc>
          <w:tcPr>
            <w:vMerge w:val="continue"/>
          </w:tcPr>
          <w:p/>
        </w:tc>
      </w:tr>
      <w:tr>
        <w:tc>
          <w:tcPr>
            <w:tcW w:w="2224" w:type="dxa"/>
          </w:tcPr>
          <w:p>
            <w:pPr>
              <w:pStyle w:val="0"/>
            </w:pPr>
            <w:r>
              <w:rPr>
                <w:sz w:val="20"/>
              </w:rPr>
              <w:t xml:space="preserve">Врожденный</w:t>
            </w:r>
          </w:p>
          <w:p>
            <w:pPr>
              <w:pStyle w:val="0"/>
            </w:pPr>
            <w:r>
              <w:rPr>
                <w:sz w:val="20"/>
              </w:rPr>
              <w:t xml:space="preserve">гипотиреоз</w:t>
            </w:r>
          </w:p>
        </w:tc>
        <w:tc>
          <w:tcPr>
            <w:tcW w:w="1669" w:type="dxa"/>
          </w:tcPr>
          <w:p>
            <w:pPr>
              <w:pStyle w:val="0"/>
            </w:pPr>
            <w:r>
              <w:rPr>
                <w:sz w:val="20"/>
              </w:rPr>
              <w:t xml:space="preserve">9</w:t>
            </w:r>
          </w:p>
        </w:tc>
        <w:tc>
          <w:tcPr>
            <w:tcW w:w="1669" w:type="dxa"/>
          </w:tcPr>
          <w:p>
            <w:pPr>
              <w:pStyle w:val="0"/>
            </w:pPr>
            <w:r>
              <w:rPr>
                <w:sz w:val="20"/>
              </w:rPr>
              <w:t xml:space="preserve">9</w:t>
            </w:r>
          </w:p>
        </w:tc>
        <w:tc>
          <w:tcPr>
            <w:tcW w:w="1699" w:type="dxa"/>
          </w:tcPr>
          <w:p>
            <w:pPr>
              <w:pStyle w:val="0"/>
            </w:pPr>
            <w:r>
              <w:rPr>
                <w:sz w:val="20"/>
              </w:rPr>
              <w:t xml:space="preserve">9</w:t>
            </w:r>
          </w:p>
        </w:tc>
        <w:tc>
          <w:tcPr>
            <w:tcW w:w="2389" w:type="dxa"/>
          </w:tcPr>
          <w:p>
            <w:pPr>
              <w:pStyle w:val="0"/>
            </w:pPr>
            <w:r>
              <w:rPr>
                <w:sz w:val="20"/>
              </w:rPr>
              <w:t xml:space="preserve">0</w:t>
            </w:r>
          </w:p>
        </w:tc>
        <w:tc>
          <w:tcPr>
            <w:tcW w:w="2059" w:type="dxa"/>
          </w:tcPr>
          <w:p>
            <w:pPr>
              <w:pStyle w:val="0"/>
            </w:pPr>
            <w:r>
              <w:rPr>
                <w:sz w:val="20"/>
              </w:rPr>
              <w:t xml:space="preserve">врач - детский эндокринолог, врач-педиатр</w:t>
            </w:r>
          </w:p>
        </w:tc>
        <w:tc>
          <w:tcPr>
            <w:tcW w:w="1594" w:type="dxa"/>
          </w:tcPr>
          <w:p>
            <w:pPr>
              <w:pStyle w:val="0"/>
            </w:pPr>
            <w:r>
              <w:rPr>
                <w:sz w:val="20"/>
              </w:rPr>
              <w:t xml:space="preserve">1</w:t>
            </w:r>
          </w:p>
        </w:tc>
        <w:tc>
          <w:tcPr>
            <w:tcW w:w="1669" w:type="dxa"/>
          </w:tcPr>
          <w:p>
            <w:pPr>
              <w:pStyle w:val="0"/>
            </w:pPr>
            <w:r>
              <w:rPr>
                <w:sz w:val="20"/>
              </w:rPr>
              <w:t xml:space="preserve">1</w:t>
            </w:r>
          </w:p>
          <w:p>
            <w:pPr>
              <w:pStyle w:val="0"/>
            </w:pPr>
            <w:r>
              <w:rPr>
                <w:sz w:val="20"/>
              </w:rPr>
              <w:t xml:space="preserve">(очно)</w:t>
            </w:r>
          </w:p>
        </w:tc>
      </w:tr>
      <w:tr>
        <w:tc>
          <w:tcPr>
            <w:tcW w:w="2224" w:type="dxa"/>
          </w:tcPr>
          <w:p>
            <w:pPr>
              <w:pStyle w:val="0"/>
            </w:pPr>
            <w:r>
              <w:rPr>
                <w:sz w:val="20"/>
              </w:rPr>
              <w:t xml:space="preserve">Галактоземия</w:t>
            </w:r>
          </w:p>
        </w:tc>
        <w:tc>
          <w:tcPr>
            <w:tcW w:w="1669" w:type="dxa"/>
          </w:tcPr>
          <w:p>
            <w:pPr>
              <w:pStyle w:val="0"/>
            </w:pPr>
            <w:r>
              <w:rPr>
                <w:sz w:val="20"/>
              </w:rPr>
              <w:t xml:space="preserve">0</w:t>
            </w:r>
          </w:p>
        </w:tc>
        <w:tc>
          <w:tcPr>
            <w:tcW w:w="1669" w:type="dxa"/>
          </w:tcPr>
          <w:p>
            <w:pPr>
              <w:pStyle w:val="0"/>
            </w:pPr>
            <w:r>
              <w:rPr>
                <w:sz w:val="20"/>
              </w:rPr>
              <w:t xml:space="preserve">0</w:t>
            </w:r>
          </w:p>
        </w:tc>
        <w:tc>
          <w:tcPr>
            <w:tcW w:w="1699" w:type="dxa"/>
          </w:tcPr>
          <w:p>
            <w:pPr>
              <w:pStyle w:val="0"/>
            </w:pPr>
            <w:r>
              <w:rPr>
                <w:sz w:val="20"/>
              </w:rPr>
              <w:t xml:space="preserve">0</w:t>
            </w:r>
          </w:p>
        </w:tc>
        <w:tc>
          <w:tcPr>
            <w:tcW w:w="2389" w:type="dxa"/>
          </w:tcPr>
          <w:p>
            <w:pPr>
              <w:pStyle w:val="0"/>
            </w:pPr>
            <w:r>
              <w:rPr>
                <w:sz w:val="20"/>
              </w:rPr>
              <w:t xml:space="preserve">0</w:t>
            </w:r>
          </w:p>
        </w:tc>
        <w:tc>
          <w:tcPr>
            <w:tcW w:w="2059" w:type="dxa"/>
          </w:tcPr>
          <w:p>
            <w:pPr>
              <w:pStyle w:val="0"/>
            </w:pPr>
            <w:r>
              <w:rPr>
                <w:sz w:val="20"/>
              </w:rPr>
              <w:t xml:space="preserve">0</w:t>
            </w:r>
          </w:p>
        </w:tc>
        <w:tc>
          <w:tcPr>
            <w:tcW w:w="1594" w:type="dxa"/>
          </w:tcPr>
          <w:p>
            <w:pPr>
              <w:pStyle w:val="0"/>
            </w:pPr>
            <w:r>
              <w:rPr>
                <w:sz w:val="20"/>
              </w:rPr>
              <w:t xml:space="preserve">0</w:t>
            </w:r>
          </w:p>
        </w:tc>
        <w:tc>
          <w:tcPr>
            <w:tcW w:w="1669" w:type="dxa"/>
          </w:tcPr>
          <w:p>
            <w:pPr>
              <w:pStyle w:val="0"/>
            </w:pPr>
            <w:r>
              <w:rPr>
                <w:sz w:val="20"/>
              </w:rPr>
              <w:t xml:space="preserve">0</w:t>
            </w:r>
          </w:p>
        </w:tc>
      </w:tr>
      <w:tr>
        <w:tc>
          <w:tcPr>
            <w:tcW w:w="2224" w:type="dxa"/>
          </w:tcPr>
          <w:p>
            <w:pPr>
              <w:pStyle w:val="0"/>
            </w:pPr>
            <w:r>
              <w:rPr>
                <w:sz w:val="20"/>
              </w:rPr>
              <w:t xml:space="preserve">Фенилкетонурия</w:t>
            </w:r>
          </w:p>
        </w:tc>
        <w:tc>
          <w:tcPr>
            <w:tcW w:w="1669" w:type="dxa"/>
          </w:tcPr>
          <w:p>
            <w:pPr>
              <w:pStyle w:val="0"/>
            </w:pPr>
            <w:r>
              <w:rPr>
                <w:sz w:val="20"/>
              </w:rPr>
              <w:t xml:space="preserve">2</w:t>
            </w:r>
          </w:p>
        </w:tc>
        <w:tc>
          <w:tcPr>
            <w:tcW w:w="1669" w:type="dxa"/>
          </w:tcPr>
          <w:p>
            <w:pPr>
              <w:pStyle w:val="0"/>
            </w:pPr>
            <w:r>
              <w:rPr>
                <w:sz w:val="20"/>
              </w:rPr>
              <w:t xml:space="preserve">2</w:t>
            </w:r>
          </w:p>
        </w:tc>
        <w:tc>
          <w:tcPr>
            <w:tcW w:w="1699" w:type="dxa"/>
          </w:tcPr>
          <w:p>
            <w:pPr>
              <w:pStyle w:val="0"/>
            </w:pPr>
            <w:r>
              <w:rPr>
                <w:sz w:val="20"/>
              </w:rPr>
              <w:t xml:space="preserve">0</w:t>
            </w:r>
          </w:p>
        </w:tc>
        <w:tc>
          <w:tcPr>
            <w:tcW w:w="2389" w:type="dxa"/>
          </w:tcPr>
          <w:p>
            <w:pPr>
              <w:pStyle w:val="0"/>
            </w:pPr>
            <w:r>
              <w:rPr>
                <w:sz w:val="20"/>
              </w:rPr>
              <w:t xml:space="preserve">2</w:t>
            </w:r>
          </w:p>
        </w:tc>
        <w:tc>
          <w:tcPr>
            <w:tcW w:w="2059" w:type="dxa"/>
          </w:tcPr>
          <w:p>
            <w:pPr>
              <w:pStyle w:val="0"/>
            </w:pPr>
            <w:r>
              <w:rPr>
                <w:sz w:val="20"/>
              </w:rPr>
              <w:t xml:space="preserve">врач-педиатр, врач-генетик</w:t>
            </w:r>
          </w:p>
        </w:tc>
        <w:tc>
          <w:tcPr>
            <w:tcW w:w="1594" w:type="dxa"/>
          </w:tcPr>
          <w:p>
            <w:pPr>
              <w:pStyle w:val="0"/>
            </w:pPr>
            <w:r>
              <w:rPr>
                <w:sz w:val="20"/>
              </w:rPr>
              <w:t xml:space="preserve">12</w:t>
            </w:r>
          </w:p>
        </w:tc>
        <w:tc>
          <w:tcPr>
            <w:tcW w:w="1669" w:type="dxa"/>
          </w:tcPr>
          <w:p>
            <w:pPr>
              <w:pStyle w:val="0"/>
            </w:pPr>
            <w:r>
              <w:rPr>
                <w:sz w:val="20"/>
              </w:rPr>
              <w:t xml:space="preserve">36,</w:t>
            </w:r>
          </w:p>
          <w:p>
            <w:pPr>
              <w:pStyle w:val="0"/>
            </w:pPr>
            <w:r>
              <w:rPr>
                <w:sz w:val="20"/>
              </w:rPr>
              <w:t xml:space="preserve">в том числе 24 с применением ТМК</w:t>
            </w:r>
          </w:p>
        </w:tc>
      </w:tr>
      <w:tr>
        <w:tc>
          <w:tcPr>
            <w:tcW w:w="2224" w:type="dxa"/>
          </w:tcPr>
          <w:p>
            <w:pPr>
              <w:pStyle w:val="0"/>
            </w:pPr>
            <w:r>
              <w:rPr>
                <w:sz w:val="20"/>
              </w:rPr>
              <w:t xml:space="preserve">Адреногенитальный синдром</w:t>
            </w:r>
          </w:p>
        </w:tc>
        <w:tc>
          <w:tcPr>
            <w:tcW w:w="1669" w:type="dxa"/>
          </w:tcPr>
          <w:p>
            <w:pPr>
              <w:pStyle w:val="0"/>
            </w:pPr>
            <w:r>
              <w:rPr>
                <w:sz w:val="20"/>
              </w:rPr>
              <w:t xml:space="preserve">11</w:t>
            </w:r>
          </w:p>
        </w:tc>
        <w:tc>
          <w:tcPr>
            <w:tcW w:w="1669" w:type="dxa"/>
          </w:tcPr>
          <w:p>
            <w:pPr>
              <w:pStyle w:val="0"/>
            </w:pPr>
            <w:r>
              <w:rPr>
                <w:sz w:val="20"/>
              </w:rPr>
              <w:t xml:space="preserve">11</w:t>
            </w:r>
          </w:p>
        </w:tc>
        <w:tc>
          <w:tcPr>
            <w:tcW w:w="1699" w:type="dxa"/>
          </w:tcPr>
          <w:p>
            <w:pPr>
              <w:pStyle w:val="0"/>
            </w:pPr>
            <w:r>
              <w:rPr>
                <w:sz w:val="20"/>
              </w:rPr>
              <w:t xml:space="preserve">11</w:t>
            </w:r>
          </w:p>
        </w:tc>
        <w:tc>
          <w:tcPr>
            <w:tcW w:w="2389" w:type="dxa"/>
          </w:tcPr>
          <w:p>
            <w:pPr>
              <w:pStyle w:val="0"/>
            </w:pPr>
            <w:r>
              <w:rPr>
                <w:sz w:val="20"/>
              </w:rPr>
              <w:t xml:space="preserve">0</w:t>
            </w:r>
          </w:p>
        </w:tc>
        <w:tc>
          <w:tcPr>
            <w:tcW w:w="2059" w:type="dxa"/>
          </w:tcPr>
          <w:p>
            <w:pPr>
              <w:pStyle w:val="0"/>
            </w:pPr>
            <w:r>
              <w:rPr>
                <w:sz w:val="20"/>
              </w:rPr>
              <w:t xml:space="preserve">врач - детский эндокринолог, врач-педиатр</w:t>
            </w:r>
          </w:p>
        </w:tc>
        <w:tc>
          <w:tcPr>
            <w:tcW w:w="1594" w:type="dxa"/>
          </w:tcPr>
          <w:p>
            <w:pPr>
              <w:pStyle w:val="0"/>
            </w:pPr>
            <w:r>
              <w:rPr>
                <w:sz w:val="20"/>
              </w:rPr>
              <w:t xml:space="preserve">2</w:t>
            </w:r>
          </w:p>
        </w:tc>
        <w:tc>
          <w:tcPr>
            <w:tcW w:w="1669" w:type="dxa"/>
          </w:tcPr>
          <w:p>
            <w:pPr>
              <w:pStyle w:val="0"/>
            </w:pPr>
            <w:r>
              <w:rPr>
                <w:sz w:val="20"/>
              </w:rPr>
              <w:t xml:space="preserve">11</w:t>
            </w:r>
          </w:p>
          <w:p>
            <w:pPr>
              <w:pStyle w:val="0"/>
            </w:pPr>
            <w:r>
              <w:rPr>
                <w:sz w:val="20"/>
              </w:rPr>
              <w:t xml:space="preserve">(очно)</w:t>
            </w:r>
          </w:p>
        </w:tc>
      </w:tr>
      <w:tr>
        <w:tc>
          <w:tcPr>
            <w:tcW w:w="2224" w:type="dxa"/>
          </w:tcPr>
          <w:p>
            <w:pPr>
              <w:pStyle w:val="0"/>
            </w:pPr>
            <w:r>
              <w:rPr>
                <w:sz w:val="20"/>
              </w:rPr>
              <w:t xml:space="preserve">Муковисцидоз</w:t>
            </w:r>
          </w:p>
        </w:tc>
        <w:tc>
          <w:tcPr>
            <w:tcW w:w="1669" w:type="dxa"/>
          </w:tcPr>
          <w:p>
            <w:pPr>
              <w:pStyle w:val="0"/>
            </w:pPr>
            <w:r>
              <w:rPr>
                <w:sz w:val="20"/>
              </w:rPr>
              <w:t xml:space="preserve">2</w:t>
            </w:r>
          </w:p>
        </w:tc>
        <w:tc>
          <w:tcPr>
            <w:tcW w:w="1669" w:type="dxa"/>
          </w:tcPr>
          <w:p>
            <w:pPr>
              <w:pStyle w:val="0"/>
            </w:pPr>
            <w:r>
              <w:rPr>
                <w:sz w:val="20"/>
              </w:rPr>
              <w:t xml:space="preserve">2</w:t>
            </w:r>
          </w:p>
        </w:tc>
        <w:tc>
          <w:tcPr>
            <w:tcW w:w="1699" w:type="dxa"/>
          </w:tcPr>
          <w:p>
            <w:pPr>
              <w:pStyle w:val="0"/>
            </w:pPr>
            <w:r>
              <w:rPr>
                <w:sz w:val="20"/>
              </w:rPr>
              <w:t xml:space="preserve">2</w:t>
            </w:r>
          </w:p>
        </w:tc>
        <w:tc>
          <w:tcPr>
            <w:tcW w:w="2389" w:type="dxa"/>
          </w:tcPr>
          <w:p>
            <w:pPr>
              <w:pStyle w:val="0"/>
            </w:pPr>
            <w:r>
              <w:rPr>
                <w:sz w:val="20"/>
              </w:rPr>
              <w:t xml:space="preserve">0</w:t>
            </w:r>
          </w:p>
        </w:tc>
        <w:tc>
          <w:tcPr>
            <w:tcW w:w="2059" w:type="dxa"/>
          </w:tcPr>
          <w:p>
            <w:pPr>
              <w:pStyle w:val="0"/>
            </w:pPr>
            <w:r>
              <w:rPr>
                <w:sz w:val="20"/>
              </w:rPr>
              <w:t xml:space="preserve">врач-пульмонолог, врач-педиатр</w:t>
            </w:r>
          </w:p>
        </w:tc>
        <w:tc>
          <w:tcPr>
            <w:tcW w:w="1594" w:type="dxa"/>
          </w:tcPr>
          <w:p>
            <w:pPr>
              <w:pStyle w:val="0"/>
            </w:pPr>
            <w:r>
              <w:rPr>
                <w:sz w:val="20"/>
              </w:rPr>
              <w:t xml:space="preserve">3</w:t>
            </w:r>
          </w:p>
        </w:tc>
        <w:tc>
          <w:tcPr>
            <w:tcW w:w="1669" w:type="dxa"/>
          </w:tcPr>
          <w:p>
            <w:pPr>
              <w:pStyle w:val="0"/>
            </w:pPr>
            <w:r>
              <w:rPr>
                <w:sz w:val="20"/>
              </w:rPr>
              <w:t xml:space="preserve">3</w:t>
            </w:r>
          </w:p>
          <w:p>
            <w:pPr>
              <w:pStyle w:val="0"/>
            </w:pPr>
            <w:r>
              <w:rPr>
                <w:sz w:val="20"/>
              </w:rPr>
              <w:t xml:space="preserve">(очно)</w:t>
            </w:r>
          </w:p>
        </w:tc>
      </w:tr>
      <w:tr>
        <w:tc>
          <w:tcPr>
            <w:tcW w:w="2224" w:type="dxa"/>
          </w:tcPr>
          <w:p>
            <w:pPr>
              <w:pStyle w:val="0"/>
            </w:pPr>
            <w:r>
              <w:rPr>
                <w:sz w:val="20"/>
              </w:rPr>
              <w:t xml:space="preserve">Наследственные болезни обмена </w:t>
            </w:r>
            <w:hyperlink w:history="0" w:anchor="P28852" w:tooltip="&lt;2&gt; Наследственные болезни обмена (дефицит синтеза биоптерина (тетрагидробиоптерина); дефицит реактивации биоптерина (тетрагидробиоптерина); тирозинемия, тип I; болезнь с запахом кленового сиропа мочи; гомоцистинурия; пропионовая ацидемия; метилмалоновая ацидемия (метилмалонил КоА-мутазы недостаточность); метилмалоновая ацидемия (недостаточность кобаламина С); метилмалоновая ацидемия (недостаточность кобаламина А); метилмалоновая ацидемия (недостаточность кобаламина В); метилмалоновая ацидемия (дефицит м...">
              <w:r>
                <w:rPr>
                  <w:sz w:val="20"/>
                  <w:color w:val="0000ff"/>
                </w:rPr>
                <w:t xml:space="preserve">&lt;2&gt;</w:t>
              </w:r>
            </w:hyperlink>
          </w:p>
        </w:tc>
        <w:tc>
          <w:tcPr>
            <w:tcW w:w="1669" w:type="dxa"/>
          </w:tcPr>
          <w:p>
            <w:pPr>
              <w:pStyle w:val="0"/>
            </w:pPr>
            <w:r>
              <w:rPr>
                <w:sz w:val="20"/>
              </w:rPr>
              <w:t xml:space="preserve">2</w:t>
            </w:r>
          </w:p>
        </w:tc>
        <w:tc>
          <w:tcPr>
            <w:tcW w:w="1669" w:type="dxa"/>
          </w:tcPr>
          <w:p>
            <w:pPr>
              <w:pStyle w:val="0"/>
            </w:pPr>
            <w:r>
              <w:rPr>
                <w:sz w:val="20"/>
              </w:rPr>
              <w:t xml:space="preserve">2</w:t>
            </w:r>
          </w:p>
        </w:tc>
        <w:tc>
          <w:tcPr>
            <w:tcW w:w="1699" w:type="dxa"/>
          </w:tcPr>
          <w:p>
            <w:pPr>
              <w:pStyle w:val="0"/>
            </w:pPr>
            <w:r>
              <w:rPr>
                <w:sz w:val="20"/>
              </w:rPr>
              <w:t xml:space="preserve">1</w:t>
            </w:r>
          </w:p>
        </w:tc>
        <w:tc>
          <w:tcPr>
            <w:tcW w:w="2389" w:type="dxa"/>
          </w:tcPr>
          <w:p>
            <w:pPr>
              <w:pStyle w:val="0"/>
            </w:pPr>
            <w:r>
              <w:rPr>
                <w:sz w:val="20"/>
              </w:rPr>
              <w:t xml:space="preserve">2</w:t>
            </w:r>
          </w:p>
        </w:tc>
        <w:tc>
          <w:tcPr>
            <w:tcW w:w="2059" w:type="dxa"/>
          </w:tcPr>
          <w:p>
            <w:pPr>
              <w:pStyle w:val="0"/>
            </w:pPr>
            <w:r>
              <w:rPr>
                <w:sz w:val="20"/>
              </w:rPr>
              <w:t xml:space="preserve">врач-педиатр, врач-генетик</w:t>
            </w:r>
          </w:p>
        </w:tc>
        <w:tc>
          <w:tcPr>
            <w:tcW w:w="1594" w:type="dxa"/>
          </w:tcPr>
          <w:p>
            <w:pPr>
              <w:pStyle w:val="0"/>
            </w:pPr>
            <w:r>
              <w:rPr>
                <w:sz w:val="20"/>
              </w:rPr>
              <w:t xml:space="preserve">5</w:t>
            </w:r>
          </w:p>
        </w:tc>
        <w:tc>
          <w:tcPr>
            <w:tcW w:w="1669" w:type="dxa"/>
          </w:tcPr>
          <w:p>
            <w:pPr>
              <w:pStyle w:val="0"/>
            </w:pPr>
            <w:r>
              <w:rPr>
                <w:sz w:val="20"/>
              </w:rPr>
              <w:t xml:space="preserve">12,</w:t>
            </w:r>
          </w:p>
          <w:p>
            <w:pPr>
              <w:pStyle w:val="0"/>
            </w:pPr>
            <w:r>
              <w:rPr>
                <w:sz w:val="20"/>
              </w:rPr>
              <w:t xml:space="preserve">в том числе 8 с применением ТМК</w:t>
            </w:r>
          </w:p>
        </w:tc>
      </w:tr>
      <w:tr>
        <w:tc>
          <w:tcPr>
            <w:tcW w:w="2224" w:type="dxa"/>
          </w:tcPr>
          <w:p>
            <w:pPr>
              <w:pStyle w:val="0"/>
            </w:pPr>
            <w:r>
              <w:rPr>
                <w:sz w:val="20"/>
              </w:rPr>
              <w:t xml:space="preserve">Спинальная мышечная атрофия</w:t>
            </w:r>
          </w:p>
        </w:tc>
        <w:tc>
          <w:tcPr>
            <w:tcW w:w="1669" w:type="dxa"/>
          </w:tcPr>
          <w:p>
            <w:pPr>
              <w:pStyle w:val="0"/>
            </w:pPr>
            <w:r>
              <w:rPr>
                <w:sz w:val="20"/>
              </w:rPr>
              <w:t xml:space="preserve">2</w:t>
            </w:r>
          </w:p>
        </w:tc>
        <w:tc>
          <w:tcPr>
            <w:tcW w:w="1669" w:type="dxa"/>
          </w:tcPr>
          <w:p>
            <w:pPr>
              <w:pStyle w:val="0"/>
            </w:pPr>
            <w:r>
              <w:rPr>
                <w:sz w:val="20"/>
              </w:rPr>
              <w:t xml:space="preserve">2</w:t>
            </w:r>
          </w:p>
        </w:tc>
        <w:tc>
          <w:tcPr>
            <w:tcW w:w="1699" w:type="dxa"/>
          </w:tcPr>
          <w:p>
            <w:pPr>
              <w:pStyle w:val="0"/>
            </w:pPr>
            <w:r>
              <w:rPr>
                <w:sz w:val="20"/>
              </w:rPr>
              <w:t xml:space="preserve">2</w:t>
            </w:r>
          </w:p>
        </w:tc>
        <w:tc>
          <w:tcPr>
            <w:tcW w:w="2389" w:type="dxa"/>
          </w:tcPr>
          <w:p>
            <w:pPr>
              <w:pStyle w:val="0"/>
            </w:pPr>
            <w:r>
              <w:rPr>
                <w:sz w:val="20"/>
              </w:rPr>
              <w:t xml:space="preserve">0</w:t>
            </w:r>
          </w:p>
        </w:tc>
        <w:tc>
          <w:tcPr>
            <w:tcW w:w="2059" w:type="dxa"/>
          </w:tcPr>
          <w:p>
            <w:pPr>
              <w:pStyle w:val="0"/>
            </w:pPr>
            <w:r>
              <w:rPr>
                <w:sz w:val="20"/>
              </w:rPr>
              <w:t xml:space="preserve">врач-педиатр, врач-невролог, врач-генетик</w:t>
            </w:r>
          </w:p>
        </w:tc>
        <w:tc>
          <w:tcPr>
            <w:tcW w:w="1594" w:type="dxa"/>
          </w:tcPr>
          <w:p>
            <w:pPr>
              <w:pStyle w:val="0"/>
            </w:pPr>
            <w:r>
              <w:rPr>
                <w:sz w:val="20"/>
              </w:rPr>
              <w:t xml:space="preserve">3</w:t>
            </w:r>
          </w:p>
        </w:tc>
        <w:tc>
          <w:tcPr>
            <w:tcW w:w="1669" w:type="dxa"/>
          </w:tcPr>
          <w:p>
            <w:pPr>
              <w:pStyle w:val="0"/>
            </w:pPr>
            <w:r>
              <w:rPr>
                <w:sz w:val="20"/>
              </w:rPr>
              <w:t xml:space="preserve">6</w:t>
            </w:r>
          </w:p>
          <w:p>
            <w:pPr>
              <w:pStyle w:val="0"/>
            </w:pPr>
            <w:r>
              <w:rPr>
                <w:sz w:val="20"/>
              </w:rPr>
              <w:t xml:space="preserve">(очно)</w:t>
            </w:r>
          </w:p>
        </w:tc>
      </w:tr>
      <w:tr>
        <w:tc>
          <w:tcPr>
            <w:tcW w:w="2224" w:type="dxa"/>
          </w:tcPr>
          <w:p>
            <w:pPr>
              <w:pStyle w:val="0"/>
            </w:pPr>
            <w:r>
              <w:rPr>
                <w:sz w:val="20"/>
              </w:rPr>
              <w:t xml:space="preserve">Первичные иммунодефициты</w:t>
            </w:r>
          </w:p>
        </w:tc>
        <w:tc>
          <w:tcPr>
            <w:tcW w:w="1669" w:type="dxa"/>
          </w:tcPr>
          <w:p>
            <w:pPr>
              <w:pStyle w:val="0"/>
            </w:pPr>
            <w:r>
              <w:rPr>
                <w:sz w:val="20"/>
              </w:rPr>
              <w:t xml:space="preserve">-</w:t>
            </w:r>
          </w:p>
        </w:tc>
        <w:tc>
          <w:tcPr>
            <w:tcW w:w="1669" w:type="dxa"/>
          </w:tcPr>
          <w:p>
            <w:pPr>
              <w:pStyle w:val="0"/>
            </w:pPr>
            <w:r>
              <w:rPr>
                <w:sz w:val="20"/>
              </w:rPr>
              <w:t xml:space="preserve">-</w:t>
            </w:r>
          </w:p>
        </w:tc>
        <w:tc>
          <w:tcPr>
            <w:tcW w:w="1699" w:type="dxa"/>
          </w:tcPr>
          <w:p>
            <w:pPr>
              <w:pStyle w:val="0"/>
            </w:pPr>
            <w:r>
              <w:rPr>
                <w:sz w:val="20"/>
              </w:rPr>
              <w:t xml:space="preserve">-</w:t>
            </w:r>
          </w:p>
        </w:tc>
        <w:tc>
          <w:tcPr>
            <w:tcW w:w="2389" w:type="dxa"/>
          </w:tcPr>
          <w:p>
            <w:pPr>
              <w:pStyle w:val="0"/>
            </w:pPr>
            <w:r>
              <w:rPr>
                <w:sz w:val="20"/>
              </w:rPr>
              <w:t xml:space="preserve">-</w:t>
            </w:r>
          </w:p>
        </w:tc>
        <w:tc>
          <w:tcPr>
            <w:tcW w:w="2059" w:type="dxa"/>
          </w:tcPr>
          <w:p>
            <w:pPr>
              <w:pStyle w:val="0"/>
            </w:pPr>
            <w:r>
              <w:rPr>
                <w:sz w:val="20"/>
              </w:rPr>
              <w:t xml:space="preserve">-</w:t>
            </w:r>
          </w:p>
        </w:tc>
        <w:tc>
          <w:tcPr>
            <w:tcW w:w="1594" w:type="dxa"/>
          </w:tcPr>
          <w:p>
            <w:pPr>
              <w:pStyle w:val="0"/>
            </w:pPr>
            <w:r>
              <w:rPr>
                <w:sz w:val="20"/>
              </w:rPr>
              <w:t xml:space="preserve">-</w:t>
            </w:r>
          </w:p>
        </w:tc>
        <w:tc>
          <w:tcPr>
            <w:tcW w:w="1669" w:type="dxa"/>
          </w:tcPr>
          <w:p>
            <w:pPr>
              <w:pStyle w:val="0"/>
            </w:pPr>
            <w:r>
              <w:rPr>
                <w:sz w:val="20"/>
              </w:rPr>
              <w:t xml:space="preserve">-</w:t>
            </w:r>
          </w:p>
        </w:tc>
      </w:tr>
      <w:tr>
        <w:tc>
          <w:tcPr>
            <w:tcW w:w="2224" w:type="dxa"/>
          </w:tcPr>
          <w:p>
            <w:pPr>
              <w:pStyle w:val="0"/>
            </w:pPr>
            <w:r>
              <w:rPr>
                <w:sz w:val="20"/>
              </w:rPr>
              <w:t xml:space="preserve">Иные заболевания</w:t>
            </w:r>
          </w:p>
        </w:tc>
        <w:tc>
          <w:tcPr>
            <w:tcW w:w="1669" w:type="dxa"/>
          </w:tcPr>
          <w:p>
            <w:pPr>
              <w:pStyle w:val="0"/>
            </w:pPr>
            <w:r>
              <w:rPr>
                <w:sz w:val="20"/>
              </w:rPr>
              <w:t xml:space="preserve">0</w:t>
            </w:r>
          </w:p>
        </w:tc>
        <w:tc>
          <w:tcPr>
            <w:tcW w:w="1669" w:type="dxa"/>
          </w:tcPr>
          <w:p>
            <w:pPr>
              <w:pStyle w:val="0"/>
            </w:pPr>
            <w:r>
              <w:rPr>
                <w:sz w:val="20"/>
              </w:rPr>
              <w:t xml:space="preserve">0</w:t>
            </w:r>
          </w:p>
        </w:tc>
        <w:tc>
          <w:tcPr>
            <w:tcW w:w="1699" w:type="dxa"/>
          </w:tcPr>
          <w:p>
            <w:pPr>
              <w:pStyle w:val="0"/>
            </w:pPr>
            <w:r>
              <w:rPr>
                <w:sz w:val="20"/>
              </w:rPr>
              <w:t xml:space="preserve">0</w:t>
            </w:r>
          </w:p>
        </w:tc>
        <w:tc>
          <w:tcPr>
            <w:tcW w:w="2389" w:type="dxa"/>
          </w:tcPr>
          <w:p>
            <w:pPr>
              <w:pStyle w:val="0"/>
            </w:pPr>
            <w:r>
              <w:rPr>
                <w:sz w:val="20"/>
              </w:rPr>
              <w:t xml:space="preserve">0</w:t>
            </w:r>
          </w:p>
        </w:tc>
        <w:tc>
          <w:tcPr>
            <w:tcW w:w="2059" w:type="dxa"/>
          </w:tcPr>
          <w:p>
            <w:pPr>
              <w:pStyle w:val="0"/>
            </w:pPr>
            <w:r>
              <w:rPr>
                <w:sz w:val="20"/>
              </w:rPr>
              <w:t xml:space="preserve">-</w:t>
            </w:r>
          </w:p>
        </w:tc>
        <w:tc>
          <w:tcPr>
            <w:tcW w:w="1594" w:type="dxa"/>
          </w:tcPr>
          <w:p>
            <w:pPr>
              <w:pStyle w:val="0"/>
            </w:pPr>
            <w:r>
              <w:rPr>
                <w:sz w:val="20"/>
              </w:rPr>
            </w:r>
          </w:p>
        </w:tc>
        <w:tc>
          <w:tcPr>
            <w:tcW w:w="1669" w:type="dxa"/>
          </w:tcPr>
          <w:p>
            <w:pPr>
              <w:pStyle w:val="0"/>
            </w:pPr>
            <w:r>
              <w:rPr>
                <w:sz w:val="20"/>
              </w:rPr>
            </w:r>
          </w:p>
        </w:tc>
      </w:tr>
      <w:tr>
        <w:tc>
          <w:tcPr>
            <w:tcW w:w="2224" w:type="dxa"/>
          </w:tcPr>
          <w:p>
            <w:pPr>
              <w:pStyle w:val="0"/>
            </w:pPr>
            <w:r>
              <w:rPr>
                <w:sz w:val="20"/>
              </w:rPr>
              <w:t xml:space="preserve">Итого</w:t>
            </w:r>
          </w:p>
        </w:tc>
        <w:tc>
          <w:tcPr>
            <w:tcW w:w="1669" w:type="dxa"/>
          </w:tcPr>
          <w:p>
            <w:pPr>
              <w:pStyle w:val="0"/>
            </w:pPr>
            <w:r>
              <w:rPr>
                <w:sz w:val="20"/>
              </w:rPr>
              <w:t xml:space="preserve">28</w:t>
            </w:r>
          </w:p>
        </w:tc>
        <w:tc>
          <w:tcPr>
            <w:tcW w:w="1669" w:type="dxa"/>
          </w:tcPr>
          <w:p>
            <w:pPr>
              <w:pStyle w:val="0"/>
            </w:pPr>
            <w:r>
              <w:rPr>
                <w:sz w:val="20"/>
              </w:rPr>
              <w:t xml:space="preserve">28</w:t>
            </w:r>
          </w:p>
        </w:tc>
        <w:tc>
          <w:tcPr>
            <w:tcW w:w="1699" w:type="dxa"/>
          </w:tcPr>
          <w:p>
            <w:pPr>
              <w:pStyle w:val="0"/>
            </w:pPr>
            <w:r>
              <w:rPr>
                <w:sz w:val="20"/>
              </w:rPr>
              <w:t xml:space="preserve">25</w:t>
            </w:r>
          </w:p>
        </w:tc>
        <w:tc>
          <w:tcPr>
            <w:tcW w:w="2389" w:type="dxa"/>
          </w:tcPr>
          <w:p>
            <w:pPr>
              <w:pStyle w:val="0"/>
            </w:pPr>
            <w:r>
              <w:rPr>
                <w:sz w:val="20"/>
              </w:rPr>
              <w:t xml:space="preserve">4</w:t>
            </w:r>
          </w:p>
        </w:tc>
        <w:tc>
          <w:tcPr>
            <w:tcW w:w="2059" w:type="dxa"/>
          </w:tcPr>
          <w:p>
            <w:pPr>
              <w:pStyle w:val="0"/>
            </w:pPr>
            <w:r>
              <w:rPr>
                <w:sz w:val="20"/>
              </w:rPr>
              <w:t xml:space="preserve">врач - детский эндокринолог, врач-педиатр,</w:t>
            </w:r>
          </w:p>
          <w:p>
            <w:pPr>
              <w:pStyle w:val="0"/>
            </w:pPr>
            <w:r>
              <w:rPr>
                <w:sz w:val="20"/>
              </w:rPr>
              <w:t xml:space="preserve">врач-невролог, врач-генетик,</w:t>
            </w:r>
          </w:p>
          <w:p>
            <w:pPr>
              <w:pStyle w:val="0"/>
            </w:pPr>
            <w:r>
              <w:rPr>
                <w:sz w:val="20"/>
              </w:rPr>
              <w:t xml:space="preserve">врач-пульмонолог</w:t>
            </w:r>
          </w:p>
        </w:tc>
        <w:tc>
          <w:tcPr>
            <w:tcW w:w="1594" w:type="dxa"/>
          </w:tcPr>
          <w:p>
            <w:pPr>
              <w:pStyle w:val="0"/>
            </w:pPr>
            <w:r>
              <w:rPr>
                <w:sz w:val="20"/>
              </w:rPr>
              <w:t xml:space="preserve">26</w:t>
            </w:r>
          </w:p>
        </w:tc>
        <w:tc>
          <w:tcPr>
            <w:tcW w:w="1669" w:type="dxa"/>
          </w:tcPr>
          <w:p>
            <w:pPr>
              <w:pStyle w:val="0"/>
            </w:pPr>
            <w:r>
              <w:rPr>
                <w:sz w:val="20"/>
              </w:rPr>
              <w:t xml:space="preserve">69, в том числе 32 ТМК</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jc w:val="center"/>
      </w:pPr>
      <w:r>
        <w:rPr>
          <w:sz w:val="20"/>
        </w:rPr>
      </w:r>
    </w:p>
    <w:p>
      <w:pPr>
        <w:pStyle w:val="0"/>
        <w:ind w:firstLine="540"/>
        <w:jc w:val="both"/>
      </w:pPr>
      <w:r>
        <w:rPr>
          <w:sz w:val="20"/>
        </w:rPr>
        <w:t xml:space="preserve">--------------------------------</w:t>
      </w:r>
    </w:p>
    <w:bookmarkStart w:id="28852" w:name="P28852"/>
    <w:bookmarkEnd w:id="28852"/>
    <w:p>
      <w:pPr>
        <w:pStyle w:val="0"/>
        <w:spacing w:before="200" w:line-rule="auto"/>
        <w:ind w:firstLine="540"/>
        <w:jc w:val="both"/>
      </w:pPr>
      <w:r>
        <w:rPr>
          <w:sz w:val="20"/>
        </w:rPr>
        <w:t xml:space="preserve">&lt;2&gt; Наследственные болезни обмена (дефицит синтеза биоптерина (тетрагидробиоптерина); дефицит реактивации биоптерина (тетрагидробиоптерина); тирозинемия, тип I; болезнь с запахом кленового сиропа мочи; гомоцистинурия; пропионовая ацидемия; метилмалоновая ацидемия (метилмалонил КоА-мутазы недостаточность); метилмалоновая ацидемия (недостаточность кобаламина С); метилмалоновая ацидемия (недостаточность кобаламина А); метилмалоновая ацидемия (недостаточность кобаламина В); метилмалоновая ацидемия (дефицит метилмалонил КоА-эпимеразы); метилмалоновая ацидемия (недостаточность кобаламина D); изовалериановая ацидемия; глутаровая ацидемия, тип I; 3-гидрокси-3-метилглутаровая недостаточность; глутаровая ацидемия, тип II; первичная карнитиновая недостаточность; среднецепочечная ацил-КoА дегидрогеназная недостаточность; длинноцепочечная 3-ОН ацил-КoА дегидрогеназная недостаточность; очень длинноцепочечная ацил-КоА дегидрогеназная недостаточность; недостаточность митохондриального трифункционального белка; недостаточность арнитинпальмитоилтрансферазы, тип I; недостаточность карнитин/ пальмитоилтрансферазы, тип II; недостаточность карнитин/ацилкарнитинтранслоказы; цитруллинемия, тип I; аргиназная недостаточность; недостаточность синтетазы голокарбоксилаз; бета-кетотиолазная недостаточность; дефицит биотинидазы).</w:t>
      </w:r>
    </w:p>
    <w:p>
      <w:pPr>
        <w:pStyle w:val="0"/>
        <w:ind w:firstLine="540"/>
        <w:jc w:val="both"/>
      </w:pPr>
      <w:r>
        <w:rPr>
          <w:sz w:val="20"/>
        </w:rPr>
      </w:r>
    </w:p>
    <w:p>
      <w:pPr>
        <w:pStyle w:val="0"/>
        <w:ind w:firstLine="540"/>
        <w:jc w:val="both"/>
      </w:pPr>
      <w:r>
        <w:rPr>
          <w:sz w:val="20"/>
        </w:rPr>
        <w:t xml:space="preserve">13. Количество консультаций/консилиумов, проведенных с профильными учреждениями, МГЦ 3А и 3Б уровней, национальными медицинскими исследовательскими центрами (далее - НМИЦ) с их указанием (таблица 10).</w:t>
      </w:r>
    </w:p>
    <w:p>
      <w:pPr>
        <w:pStyle w:val="0"/>
        <w:ind w:firstLine="540"/>
        <w:jc w:val="both"/>
      </w:pPr>
      <w:r>
        <w:rPr>
          <w:sz w:val="20"/>
        </w:rPr>
      </w:r>
    </w:p>
    <w:p>
      <w:pPr>
        <w:pStyle w:val="0"/>
        <w:jc w:val="center"/>
      </w:pPr>
      <w:r>
        <w:rPr>
          <w:sz w:val="20"/>
        </w:rPr>
        <w:t xml:space="preserve">Количество проведенных телемедицинских консультаций</w:t>
      </w:r>
    </w:p>
    <w:p>
      <w:pPr>
        <w:pStyle w:val="0"/>
        <w:jc w:val="center"/>
      </w:pPr>
      <w:r>
        <w:rPr>
          <w:sz w:val="20"/>
        </w:rPr>
        <w:t xml:space="preserve">за период в 2018 - 2022 гг.</w:t>
      </w:r>
    </w:p>
    <w:p>
      <w:pPr>
        <w:pStyle w:val="0"/>
        <w:jc w:val="center"/>
      </w:pPr>
      <w:r>
        <w:rPr>
          <w:sz w:val="20"/>
        </w:rPr>
      </w:r>
    </w:p>
    <w:p>
      <w:pPr>
        <w:pStyle w:val="0"/>
        <w:jc w:val="right"/>
      </w:pPr>
      <w:r>
        <w:rPr>
          <w:sz w:val="20"/>
        </w:rPr>
        <w:t xml:space="preserve">Таблица 10</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32"/>
        <w:gridCol w:w="724"/>
        <w:gridCol w:w="784"/>
        <w:gridCol w:w="784"/>
        <w:gridCol w:w="784"/>
        <w:gridCol w:w="949"/>
      </w:tblGrid>
      <w:tr>
        <w:tc>
          <w:tcPr>
            <w:tcW w:w="4932" w:type="dxa"/>
          </w:tcPr>
          <w:p>
            <w:pPr>
              <w:pStyle w:val="0"/>
              <w:jc w:val="center"/>
            </w:pPr>
            <w:r>
              <w:rPr>
                <w:sz w:val="20"/>
              </w:rPr>
              <w:t xml:space="preserve">Показатель</w:t>
            </w:r>
          </w:p>
        </w:tc>
        <w:tc>
          <w:tcPr>
            <w:tcW w:w="724" w:type="dxa"/>
          </w:tcPr>
          <w:p>
            <w:pPr>
              <w:pStyle w:val="0"/>
              <w:jc w:val="center"/>
            </w:pPr>
            <w:r>
              <w:rPr>
                <w:sz w:val="20"/>
              </w:rPr>
              <w:t xml:space="preserve">2018 год</w:t>
            </w:r>
          </w:p>
        </w:tc>
        <w:tc>
          <w:tcPr>
            <w:tcW w:w="784" w:type="dxa"/>
          </w:tcPr>
          <w:p>
            <w:pPr>
              <w:pStyle w:val="0"/>
              <w:jc w:val="center"/>
            </w:pPr>
            <w:r>
              <w:rPr>
                <w:sz w:val="20"/>
              </w:rPr>
              <w:t xml:space="preserve">2019 год</w:t>
            </w:r>
          </w:p>
        </w:tc>
        <w:tc>
          <w:tcPr>
            <w:tcW w:w="784" w:type="dxa"/>
          </w:tcPr>
          <w:p>
            <w:pPr>
              <w:pStyle w:val="0"/>
              <w:jc w:val="center"/>
            </w:pPr>
            <w:r>
              <w:rPr>
                <w:sz w:val="20"/>
              </w:rPr>
              <w:t xml:space="preserve">2020 год</w:t>
            </w:r>
          </w:p>
        </w:tc>
        <w:tc>
          <w:tcPr>
            <w:tcW w:w="784" w:type="dxa"/>
          </w:tcPr>
          <w:p>
            <w:pPr>
              <w:pStyle w:val="0"/>
              <w:jc w:val="center"/>
            </w:pPr>
            <w:r>
              <w:rPr>
                <w:sz w:val="20"/>
              </w:rPr>
              <w:t xml:space="preserve">2021 год</w:t>
            </w:r>
          </w:p>
        </w:tc>
        <w:tc>
          <w:tcPr>
            <w:tcW w:w="949" w:type="dxa"/>
          </w:tcPr>
          <w:p>
            <w:pPr>
              <w:pStyle w:val="0"/>
              <w:jc w:val="center"/>
            </w:pPr>
            <w:r>
              <w:rPr>
                <w:sz w:val="20"/>
              </w:rPr>
              <w:t xml:space="preserve">Данные за 9 месяцев 2022</w:t>
            </w:r>
          </w:p>
        </w:tc>
      </w:tr>
      <w:tr>
        <w:tc>
          <w:tcPr>
            <w:tcW w:w="4932" w:type="dxa"/>
          </w:tcPr>
          <w:p>
            <w:pPr>
              <w:pStyle w:val="0"/>
            </w:pPr>
            <w:r>
              <w:rPr>
                <w:sz w:val="20"/>
              </w:rPr>
              <w:t xml:space="preserve">Количество консультаций / консилиумов, проведенных с МГК/Ц автономного округа (при наличии) / другого субъекта (при отсутствии в автономном округе)</w:t>
            </w:r>
          </w:p>
        </w:tc>
        <w:tc>
          <w:tcPr>
            <w:tcW w:w="724" w:type="dxa"/>
          </w:tcPr>
          <w:p>
            <w:pPr>
              <w:pStyle w:val="0"/>
            </w:pPr>
            <w:r>
              <w:rPr>
                <w:sz w:val="20"/>
              </w:rPr>
              <w:t xml:space="preserve">30747 /0</w:t>
            </w:r>
          </w:p>
        </w:tc>
        <w:tc>
          <w:tcPr>
            <w:tcW w:w="784" w:type="dxa"/>
          </w:tcPr>
          <w:p>
            <w:pPr>
              <w:pStyle w:val="0"/>
            </w:pPr>
            <w:r>
              <w:rPr>
                <w:sz w:val="20"/>
              </w:rPr>
              <w:t xml:space="preserve">32965 /0</w:t>
            </w:r>
          </w:p>
        </w:tc>
        <w:tc>
          <w:tcPr>
            <w:tcW w:w="784" w:type="dxa"/>
          </w:tcPr>
          <w:p>
            <w:pPr>
              <w:pStyle w:val="0"/>
            </w:pPr>
            <w:r>
              <w:rPr>
                <w:sz w:val="20"/>
              </w:rPr>
              <w:t xml:space="preserve">34413 /0</w:t>
            </w:r>
          </w:p>
        </w:tc>
        <w:tc>
          <w:tcPr>
            <w:tcW w:w="784" w:type="dxa"/>
          </w:tcPr>
          <w:p>
            <w:pPr>
              <w:pStyle w:val="0"/>
            </w:pPr>
            <w:r>
              <w:rPr>
                <w:sz w:val="20"/>
              </w:rPr>
              <w:t xml:space="preserve">34007</w:t>
            </w:r>
          </w:p>
          <w:p>
            <w:pPr>
              <w:pStyle w:val="0"/>
            </w:pPr>
            <w:r>
              <w:rPr>
                <w:sz w:val="20"/>
              </w:rPr>
              <w:t xml:space="preserve">/0</w:t>
            </w:r>
          </w:p>
        </w:tc>
        <w:tc>
          <w:tcPr>
            <w:tcW w:w="949" w:type="dxa"/>
          </w:tcPr>
          <w:p>
            <w:pPr>
              <w:pStyle w:val="0"/>
            </w:pPr>
            <w:r>
              <w:rPr>
                <w:sz w:val="20"/>
              </w:rPr>
              <w:t xml:space="preserve">19064</w:t>
            </w:r>
          </w:p>
          <w:p>
            <w:pPr>
              <w:pStyle w:val="0"/>
            </w:pPr>
            <w:r>
              <w:rPr>
                <w:sz w:val="20"/>
              </w:rPr>
              <w:t xml:space="preserve">/0</w:t>
            </w:r>
          </w:p>
        </w:tc>
      </w:tr>
      <w:tr>
        <w:tc>
          <w:tcPr>
            <w:tcW w:w="4932" w:type="dxa"/>
          </w:tcPr>
          <w:p>
            <w:pPr>
              <w:pStyle w:val="0"/>
            </w:pPr>
            <w:r>
              <w:rPr>
                <w:sz w:val="20"/>
              </w:rPr>
              <w:t xml:space="preserve">из них с применением телемедицинских консультаций</w:t>
            </w:r>
          </w:p>
        </w:tc>
        <w:tc>
          <w:tcPr>
            <w:tcW w:w="724" w:type="dxa"/>
          </w:tcPr>
          <w:p>
            <w:pPr>
              <w:pStyle w:val="0"/>
            </w:pPr>
            <w:r>
              <w:rPr>
                <w:sz w:val="20"/>
              </w:rPr>
              <w:t xml:space="preserve">980/0</w:t>
            </w:r>
          </w:p>
        </w:tc>
        <w:tc>
          <w:tcPr>
            <w:tcW w:w="784" w:type="dxa"/>
          </w:tcPr>
          <w:p>
            <w:pPr>
              <w:pStyle w:val="0"/>
            </w:pPr>
            <w:r>
              <w:rPr>
                <w:sz w:val="20"/>
              </w:rPr>
              <w:t xml:space="preserve">1064/0</w:t>
            </w:r>
          </w:p>
        </w:tc>
        <w:tc>
          <w:tcPr>
            <w:tcW w:w="784" w:type="dxa"/>
          </w:tcPr>
          <w:p>
            <w:pPr>
              <w:pStyle w:val="0"/>
            </w:pPr>
            <w:r>
              <w:rPr>
                <w:sz w:val="20"/>
              </w:rPr>
              <w:t xml:space="preserve">1161/0</w:t>
            </w:r>
          </w:p>
        </w:tc>
        <w:tc>
          <w:tcPr>
            <w:tcW w:w="784" w:type="dxa"/>
          </w:tcPr>
          <w:p>
            <w:pPr>
              <w:pStyle w:val="0"/>
            </w:pPr>
            <w:r>
              <w:rPr>
                <w:sz w:val="20"/>
              </w:rPr>
              <w:t xml:space="preserve">1022/0</w:t>
            </w:r>
          </w:p>
        </w:tc>
        <w:tc>
          <w:tcPr>
            <w:tcW w:w="949" w:type="dxa"/>
          </w:tcPr>
          <w:p>
            <w:pPr>
              <w:pStyle w:val="0"/>
            </w:pPr>
            <w:r>
              <w:rPr>
                <w:sz w:val="20"/>
              </w:rPr>
              <w:t xml:space="preserve">773/0</w:t>
            </w:r>
          </w:p>
        </w:tc>
      </w:tr>
      <w:tr>
        <w:tc>
          <w:tcPr>
            <w:tcW w:w="4932" w:type="dxa"/>
          </w:tcPr>
          <w:p>
            <w:pPr>
              <w:pStyle w:val="0"/>
            </w:pPr>
            <w:r>
              <w:rPr>
                <w:sz w:val="20"/>
              </w:rPr>
              <w:t xml:space="preserve">Количество консультаций / консилиумов, проведенных с учреждениями 3А уровней</w:t>
            </w:r>
          </w:p>
        </w:tc>
        <w:tc>
          <w:tcPr>
            <w:tcW w:w="724" w:type="dxa"/>
          </w:tcPr>
          <w:p>
            <w:pPr>
              <w:pStyle w:val="0"/>
            </w:pPr>
            <w:r>
              <w:rPr>
                <w:sz w:val="20"/>
              </w:rPr>
              <w:t xml:space="preserve">651</w:t>
            </w:r>
          </w:p>
        </w:tc>
        <w:tc>
          <w:tcPr>
            <w:tcW w:w="784" w:type="dxa"/>
          </w:tcPr>
          <w:p>
            <w:pPr>
              <w:pStyle w:val="0"/>
            </w:pPr>
            <w:r>
              <w:rPr>
                <w:sz w:val="20"/>
              </w:rPr>
              <w:t xml:space="preserve">924</w:t>
            </w:r>
          </w:p>
        </w:tc>
        <w:tc>
          <w:tcPr>
            <w:tcW w:w="784" w:type="dxa"/>
          </w:tcPr>
          <w:p>
            <w:pPr>
              <w:pStyle w:val="0"/>
            </w:pPr>
            <w:r>
              <w:rPr>
                <w:sz w:val="20"/>
              </w:rPr>
              <w:t xml:space="preserve">1025</w:t>
            </w:r>
          </w:p>
        </w:tc>
        <w:tc>
          <w:tcPr>
            <w:tcW w:w="784" w:type="dxa"/>
          </w:tcPr>
          <w:p>
            <w:pPr>
              <w:pStyle w:val="0"/>
            </w:pPr>
            <w:r>
              <w:rPr>
                <w:sz w:val="20"/>
              </w:rPr>
              <w:t xml:space="preserve">874</w:t>
            </w:r>
          </w:p>
        </w:tc>
        <w:tc>
          <w:tcPr>
            <w:tcW w:w="949" w:type="dxa"/>
          </w:tcPr>
          <w:p>
            <w:pPr>
              <w:pStyle w:val="0"/>
            </w:pPr>
            <w:r>
              <w:rPr>
                <w:sz w:val="20"/>
              </w:rPr>
              <w:t xml:space="preserve">754</w:t>
            </w:r>
          </w:p>
        </w:tc>
      </w:tr>
      <w:tr>
        <w:tc>
          <w:tcPr>
            <w:tcW w:w="4932" w:type="dxa"/>
          </w:tcPr>
          <w:p>
            <w:pPr>
              <w:pStyle w:val="0"/>
            </w:pPr>
            <w:r>
              <w:rPr>
                <w:sz w:val="20"/>
              </w:rPr>
              <w:t xml:space="preserve">из них с применением телемедицинских консультаций</w:t>
            </w:r>
          </w:p>
        </w:tc>
        <w:tc>
          <w:tcPr>
            <w:tcW w:w="724" w:type="dxa"/>
          </w:tcPr>
          <w:p>
            <w:pPr>
              <w:pStyle w:val="0"/>
            </w:pPr>
            <w:r>
              <w:rPr>
                <w:sz w:val="20"/>
              </w:rPr>
              <w:t xml:space="preserve">651</w:t>
            </w:r>
          </w:p>
        </w:tc>
        <w:tc>
          <w:tcPr>
            <w:tcW w:w="784" w:type="dxa"/>
          </w:tcPr>
          <w:p>
            <w:pPr>
              <w:pStyle w:val="0"/>
            </w:pPr>
            <w:r>
              <w:rPr>
                <w:sz w:val="20"/>
              </w:rPr>
              <w:t xml:space="preserve">924</w:t>
            </w:r>
          </w:p>
        </w:tc>
        <w:tc>
          <w:tcPr>
            <w:tcW w:w="784" w:type="dxa"/>
          </w:tcPr>
          <w:p>
            <w:pPr>
              <w:pStyle w:val="0"/>
            </w:pPr>
            <w:r>
              <w:rPr>
                <w:sz w:val="20"/>
              </w:rPr>
              <w:t xml:space="preserve">1025</w:t>
            </w:r>
          </w:p>
        </w:tc>
        <w:tc>
          <w:tcPr>
            <w:tcW w:w="784" w:type="dxa"/>
          </w:tcPr>
          <w:p>
            <w:pPr>
              <w:pStyle w:val="0"/>
            </w:pPr>
            <w:r>
              <w:rPr>
                <w:sz w:val="20"/>
              </w:rPr>
              <w:t xml:space="preserve">874</w:t>
            </w:r>
          </w:p>
        </w:tc>
        <w:tc>
          <w:tcPr>
            <w:tcW w:w="949" w:type="dxa"/>
          </w:tcPr>
          <w:p>
            <w:pPr>
              <w:pStyle w:val="0"/>
            </w:pPr>
            <w:r>
              <w:rPr>
                <w:sz w:val="20"/>
              </w:rPr>
              <w:t xml:space="preserve">754</w:t>
            </w:r>
          </w:p>
        </w:tc>
      </w:tr>
      <w:tr>
        <w:tc>
          <w:tcPr>
            <w:tcW w:w="4932" w:type="dxa"/>
          </w:tcPr>
          <w:p>
            <w:pPr>
              <w:pStyle w:val="0"/>
            </w:pPr>
            <w:r>
              <w:rPr>
                <w:sz w:val="20"/>
              </w:rPr>
              <w:t xml:space="preserve">Количество консультаций / консилиумов, проведенных с учреждениями 3Б уровней</w:t>
            </w:r>
          </w:p>
        </w:tc>
        <w:tc>
          <w:tcPr>
            <w:tcW w:w="724" w:type="dxa"/>
          </w:tcPr>
          <w:p>
            <w:pPr>
              <w:pStyle w:val="0"/>
            </w:pPr>
            <w:r>
              <w:rPr>
                <w:sz w:val="20"/>
              </w:rPr>
              <w:t xml:space="preserve">22</w:t>
            </w:r>
          </w:p>
        </w:tc>
        <w:tc>
          <w:tcPr>
            <w:tcW w:w="784" w:type="dxa"/>
          </w:tcPr>
          <w:p>
            <w:pPr>
              <w:pStyle w:val="0"/>
            </w:pPr>
            <w:r>
              <w:rPr>
                <w:sz w:val="20"/>
              </w:rPr>
              <w:t xml:space="preserve">57</w:t>
            </w:r>
          </w:p>
        </w:tc>
        <w:tc>
          <w:tcPr>
            <w:tcW w:w="784" w:type="dxa"/>
          </w:tcPr>
          <w:p>
            <w:pPr>
              <w:pStyle w:val="0"/>
            </w:pPr>
            <w:r>
              <w:rPr>
                <w:sz w:val="20"/>
              </w:rPr>
              <w:t xml:space="preserve">98</w:t>
            </w:r>
          </w:p>
        </w:tc>
        <w:tc>
          <w:tcPr>
            <w:tcW w:w="784" w:type="dxa"/>
          </w:tcPr>
          <w:p>
            <w:pPr>
              <w:pStyle w:val="0"/>
            </w:pPr>
            <w:r>
              <w:rPr>
                <w:sz w:val="20"/>
              </w:rPr>
              <w:t xml:space="preserve">119</w:t>
            </w:r>
          </w:p>
        </w:tc>
        <w:tc>
          <w:tcPr>
            <w:tcW w:w="949" w:type="dxa"/>
          </w:tcPr>
          <w:p>
            <w:pPr>
              <w:pStyle w:val="0"/>
            </w:pPr>
            <w:r>
              <w:rPr>
                <w:sz w:val="20"/>
              </w:rPr>
              <w:t xml:space="preserve">130</w:t>
            </w:r>
          </w:p>
        </w:tc>
      </w:tr>
      <w:tr>
        <w:tc>
          <w:tcPr>
            <w:tcW w:w="4932" w:type="dxa"/>
          </w:tcPr>
          <w:p>
            <w:pPr>
              <w:pStyle w:val="0"/>
            </w:pPr>
            <w:r>
              <w:rPr>
                <w:sz w:val="20"/>
              </w:rPr>
              <w:t xml:space="preserve">из них с применением телемедицинских консультаций</w:t>
            </w:r>
          </w:p>
        </w:tc>
        <w:tc>
          <w:tcPr>
            <w:tcW w:w="724" w:type="dxa"/>
          </w:tcPr>
          <w:p>
            <w:pPr>
              <w:pStyle w:val="0"/>
            </w:pPr>
            <w:r>
              <w:rPr>
                <w:sz w:val="20"/>
              </w:rPr>
              <w:t xml:space="preserve">22</w:t>
            </w:r>
          </w:p>
        </w:tc>
        <w:tc>
          <w:tcPr>
            <w:tcW w:w="784" w:type="dxa"/>
          </w:tcPr>
          <w:p>
            <w:pPr>
              <w:pStyle w:val="0"/>
            </w:pPr>
            <w:r>
              <w:rPr>
                <w:sz w:val="20"/>
              </w:rPr>
              <w:t xml:space="preserve">57</w:t>
            </w:r>
          </w:p>
        </w:tc>
        <w:tc>
          <w:tcPr>
            <w:tcW w:w="784" w:type="dxa"/>
          </w:tcPr>
          <w:p>
            <w:pPr>
              <w:pStyle w:val="0"/>
            </w:pPr>
            <w:r>
              <w:rPr>
                <w:sz w:val="20"/>
              </w:rPr>
              <w:t xml:space="preserve">98</w:t>
            </w:r>
          </w:p>
        </w:tc>
        <w:tc>
          <w:tcPr>
            <w:tcW w:w="784" w:type="dxa"/>
          </w:tcPr>
          <w:p>
            <w:pPr>
              <w:pStyle w:val="0"/>
            </w:pPr>
            <w:r>
              <w:rPr>
                <w:sz w:val="20"/>
              </w:rPr>
              <w:t xml:space="preserve">119</w:t>
            </w:r>
          </w:p>
        </w:tc>
        <w:tc>
          <w:tcPr>
            <w:tcW w:w="949" w:type="dxa"/>
          </w:tcPr>
          <w:p>
            <w:pPr>
              <w:pStyle w:val="0"/>
            </w:pPr>
            <w:r>
              <w:rPr>
                <w:sz w:val="20"/>
              </w:rPr>
              <w:t xml:space="preserve">130</w:t>
            </w:r>
          </w:p>
        </w:tc>
      </w:tr>
      <w:tr>
        <w:tc>
          <w:tcPr>
            <w:tcW w:w="4932" w:type="dxa"/>
          </w:tcPr>
          <w:p>
            <w:pPr>
              <w:pStyle w:val="0"/>
            </w:pPr>
            <w:r>
              <w:rPr>
                <w:sz w:val="20"/>
              </w:rPr>
              <w:t xml:space="preserve">Количество консультаций / консилиумов, проведенных с НМИЦ</w:t>
            </w:r>
          </w:p>
        </w:tc>
        <w:tc>
          <w:tcPr>
            <w:tcW w:w="724" w:type="dxa"/>
          </w:tcPr>
          <w:p>
            <w:pPr>
              <w:pStyle w:val="0"/>
            </w:pPr>
            <w:r>
              <w:rPr>
                <w:sz w:val="20"/>
              </w:rPr>
              <w:t xml:space="preserve">520</w:t>
            </w:r>
          </w:p>
        </w:tc>
        <w:tc>
          <w:tcPr>
            <w:tcW w:w="784" w:type="dxa"/>
          </w:tcPr>
          <w:p>
            <w:pPr>
              <w:pStyle w:val="0"/>
            </w:pPr>
            <w:r>
              <w:rPr>
                <w:sz w:val="20"/>
              </w:rPr>
              <w:t xml:space="preserve">593</w:t>
            </w:r>
          </w:p>
        </w:tc>
        <w:tc>
          <w:tcPr>
            <w:tcW w:w="784" w:type="dxa"/>
          </w:tcPr>
          <w:p>
            <w:pPr>
              <w:pStyle w:val="0"/>
            </w:pPr>
            <w:r>
              <w:rPr>
                <w:sz w:val="20"/>
              </w:rPr>
              <w:t xml:space="preserve">614</w:t>
            </w:r>
          </w:p>
        </w:tc>
        <w:tc>
          <w:tcPr>
            <w:tcW w:w="784" w:type="dxa"/>
          </w:tcPr>
          <w:p>
            <w:pPr>
              <w:pStyle w:val="0"/>
            </w:pPr>
            <w:r>
              <w:rPr>
                <w:sz w:val="20"/>
              </w:rPr>
              <w:t xml:space="preserve">824</w:t>
            </w:r>
          </w:p>
        </w:tc>
        <w:tc>
          <w:tcPr>
            <w:tcW w:w="949" w:type="dxa"/>
          </w:tcPr>
          <w:p>
            <w:pPr>
              <w:pStyle w:val="0"/>
            </w:pPr>
            <w:r>
              <w:rPr>
                <w:sz w:val="20"/>
              </w:rPr>
              <w:t xml:space="preserve">753</w:t>
            </w:r>
          </w:p>
        </w:tc>
      </w:tr>
      <w:tr>
        <w:tc>
          <w:tcPr>
            <w:tcW w:w="4932" w:type="dxa"/>
          </w:tcPr>
          <w:p>
            <w:pPr>
              <w:pStyle w:val="0"/>
            </w:pPr>
            <w:r>
              <w:rPr>
                <w:sz w:val="20"/>
              </w:rPr>
              <w:t xml:space="preserve">из них с применением телемедицинских консультаций</w:t>
            </w:r>
          </w:p>
        </w:tc>
        <w:tc>
          <w:tcPr>
            <w:tcW w:w="724" w:type="dxa"/>
          </w:tcPr>
          <w:p>
            <w:pPr>
              <w:pStyle w:val="0"/>
            </w:pPr>
            <w:r>
              <w:rPr>
                <w:sz w:val="20"/>
              </w:rPr>
              <w:t xml:space="preserve">450</w:t>
            </w:r>
          </w:p>
        </w:tc>
        <w:tc>
          <w:tcPr>
            <w:tcW w:w="784" w:type="dxa"/>
          </w:tcPr>
          <w:p>
            <w:pPr>
              <w:pStyle w:val="0"/>
            </w:pPr>
            <w:r>
              <w:rPr>
                <w:sz w:val="20"/>
              </w:rPr>
              <w:t xml:space="preserve">494</w:t>
            </w:r>
          </w:p>
        </w:tc>
        <w:tc>
          <w:tcPr>
            <w:tcW w:w="784" w:type="dxa"/>
          </w:tcPr>
          <w:p>
            <w:pPr>
              <w:pStyle w:val="0"/>
            </w:pPr>
            <w:r>
              <w:rPr>
                <w:sz w:val="20"/>
              </w:rPr>
              <w:t xml:space="preserve">447</w:t>
            </w:r>
          </w:p>
        </w:tc>
        <w:tc>
          <w:tcPr>
            <w:tcW w:w="784" w:type="dxa"/>
          </w:tcPr>
          <w:p>
            <w:pPr>
              <w:pStyle w:val="0"/>
            </w:pPr>
            <w:r>
              <w:rPr>
                <w:sz w:val="20"/>
              </w:rPr>
              <w:t xml:space="preserve">749</w:t>
            </w:r>
          </w:p>
        </w:tc>
        <w:tc>
          <w:tcPr>
            <w:tcW w:w="949" w:type="dxa"/>
          </w:tcPr>
          <w:p>
            <w:pPr>
              <w:pStyle w:val="0"/>
            </w:pPr>
            <w:r>
              <w:rPr>
                <w:sz w:val="20"/>
              </w:rPr>
              <w:t xml:space="preserve">622</w:t>
            </w:r>
          </w:p>
        </w:tc>
      </w:tr>
      <w:tr>
        <w:tc>
          <w:tcPr>
            <w:tcW w:w="4932" w:type="dxa"/>
          </w:tcPr>
          <w:p>
            <w:pPr>
              <w:pStyle w:val="0"/>
            </w:pPr>
            <w:r>
              <w:rPr>
                <w:sz w:val="20"/>
              </w:rPr>
              <w:t xml:space="preserve">Всего проведенных консультаций / консилиумов</w:t>
            </w:r>
          </w:p>
        </w:tc>
        <w:tc>
          <w:tcPr>
            <w:tcW w:w="724" w:type="dxa"/>
          </w:tcPr>
          <w:p>
            <w:pPr>
              <w:pStyle w:val="0"/>
            </w:pPr>
            <w:r>
              <w:rPr>
                <w:sz w:val="20"/>
              </w:rPr>
              <w:t xml:space="preserve">31940</w:t>
            </w:r>
          </w:p>
        </w:tc>
        <w:tc>
          <w:tcPr>
            <w:tcW w:w="784" w:type="dxa"/>
          </w:tcPr>
          <w:p>
            <w:pPr>
              <w:pStyle w:val="0"/>
            </w:pPr>
            <w:r>
              <w:rPr>
                <w:sz w:val="20"/>
              </w:rPr>
              <w:t xml:space="preserve">34539</w:t>
            </w:r>
          </w:p>
        </w:tc>
        <w:tc>
          <w:tcPr>
            <w:tcW w:w="784" w:type="dxa"/>
          </w:tcPr>
          <w:p>
            <w:pPr>
              <w:pStyle w:val="0"/>
            </w:pPr>
            <w:r>
              <w:rPr>
                <w:sz w:val="20"/>
              </w:rPr>
              <w:t xml:space="preserve">36150</w:t>
            </w:r>
          </w:p>
        </w:tc>
        <w:tc>
          <w:tcPr>
            <w:tcW w:w="784" w:type="dxa"/>
          </w:tcPr>
          <w:p>
            <w:pPr>
              <w:pStyle w:val="0"/>
            </w:pPr>
            <w:r>
              <w:rPr>
                <w:sz w:val="20"/>
              </w:rPr>
              <w:t xml:space="preserve">35824</w:t>
            </w:r>
          </w:p>
        </w:tc>
        <w:tc>
          <w:tcPr>
            <w:tcW w:w="949" w:type="dxa"/>
          </w:tcPr>
          <w:p>
            <w:pPr>
              <w:pStyle w:val="0"/>
            </w:pPr>
            <w:r>
              <w:rPr>
                <w:sz w:val="20"/>
              </w:rPr>
              <w:t xml:space="preserve">20701</w:t>
            </w:r>
          </w:p>
        </w:tc>
      </w:tr>
      <w:tr>
        <w:tc>
          <w:tcPr>
            <w:tcW w:w="4932" w:type="dxa"/>
          </w:tcPr>
          <w:p>
            <w:pPr>
              <w:pStyle w:val="0"/>
            </w:pPr>
            <w:r>
              <w:rPr>
                <w:sz w:val="20"/>
              </w:rPr>
              <w:t xml:space="preserve">из них с применением телемедицинских консультаций</w:t>
            </w:r>
          </w:p>
        </w:tc>
        <w:tc>
          <w:tcPr>
            <w:tcW w:w="724" w:type="dxa"/>
          </w:tcPr>
          <w:p>
            <w:pPr>
              <w:pStyle w:val="0"/>
            </w:pPr>
            <w:r>
              <w:rPr>
                <w:sz w:val="20"/>
              </w:rPr>
              <w:t xml:space="preserve">2103</w:t>
            </w:r>
          </w:p>
        </w:tc>
        <w:tc>
          <w:tcPr>
            <w:tcW w:w="784" w:type="dxa"/>
          </w:tcPr>
          <w:p>
            <w:pPr>
              <w:pStyle w:val="0"/>
            </w:pPr>
            <w:r>
              <w:rPr>
                <w:sz w:val="20"/>
              </w:rPr>
              <w:t xml:space="preserve">2539</w:t>
            </w:r>
          </w:p>
        </w:tc>
        <w:tc>
          <w:tcPr>
            <w:tcW w:w="784" w:type="dxa"/>
          </w:tcPr>
          <w:p>
            <w:pPr>
              <w:pStyle w:val="0"/>
            </w:pPr>
            <w:r>
              <w:rPr>
                <w:sz w:val="20"/>
              </w:rPr>
              <w:t xml:space="preserve">2731</w:t>
            </w:r>
          </w:p>
        </w:tc>
        <w:tc>
          <w:tcPr>
            <w:tcW w:w="784" w:type="dxa"/>
          </w:tcPr>
          <w:p>
            <w:pPr>
              <w:pStyle w:val="0"/>
            </w:pPr>
            <w:r>
              <w:rPr>
                <w:sz w:val="20"/>
              </w:rPr>
              <w:t xml:space="preserve">2764</w:t>
            </w:r>
          </w:p>
        </w:tc>
        <w:tc>
          <w:tcPr>
            <w:tcW w:w="949" w:type="dxa"/>
          </w:tcPr>
          <w:p>
            <w:pPr>
              <w:pStyle w:val="0"/>
            </w:pPr>
            <w:r>
              <w:rPr>
                <w:sz w:val="20"/>
              </w:rPr>
              <w:t xml:space="preserve">2279</w:t>
            </w:r>
          </w:p>
        </w:tc>
      </w:tr>
    </w:tbl>
    <w:p>
      <w:pPr>
        <w:pStyle w:val="0"/>
        <w:ind w:firstLine="540"/>
        <w:jc w:val="both"/>
      </w:pPr>
      <w:r>
        <w:rPr>
          <w:sz w:val="20"/>
        </w:rPr>
      </w:r>
    </w:p>
    <w:p>
      <w:pPr>
        <w:pStyle w:val="0"/>
        <w:ind w:firstLine="540"/>
        <w:jc w:val="both"/>
      </w:pPr>
      <w:r>
        <w:rPr>
          <w:sz w:val="20"/>
        </w:rPr>
        <w:t xml:space="preserve">14. Проведение видеоселекторных совещаний, образовательных и научно-практических мероприятий и прочих форм взаимодействия с МГК/Ц 3А, 3Б уровня, НМИЦ, а также контроль выполнения рекомендаций профильных учреждений.</w:t>
      </w:r>
    </w:p>
    <w:p>
      <w:pPr>
        <w:pStyle w:val="0"/>
        <w:spacing w:before="200" w:line-rule="auto"/>
        <w:ind w:firstLine="540"/>
        <w:jc w:val="both"/>
      </w:pPr>
      <w:r>
        <w:rPr>
          <w:sz w:val="20"/>
        </w:rPr>
        <w:t xml:space="preserve">Специалисты МГК проводят образовательную работу в виде чтения лекций по актуальным темам в течение года. Так, в 2021 году лекции читались в режиме видеоконференцсвязи по следующим темам: медико-генетическое консультирование, орфанные болезни, методы диагностики наследственных болезней, неонатальный скрининг в России: нормативная база, алгоритм, перспективы развития, болезни, выявляемые в ходе НС: галактоземия, орфанные болезни: мукополисахаридозы с гурлерподобным фенотипом (I, II, VI типы), орфанные болезни: дефицит лизосомной кислой липазы, гипофосфатазия, болезнь Помпе, болезнь Фабри, нарушения цикла мочевины, нарушения обмена меди (болезнь Вильсона-Коновалова), методические аспекты преаналитического этапа скрининговых программ обследования новорожденных и беременных.</w:t>
      </w:r>
    </w:p>
    <w:p>
      <w:pPr>
        <w:pStyle w:val="0"/>
        <w:spacing w:before="200" w:line-rule="auto"/>
        <w:ind w:firstLine="540"/>
        <w:jc w:val="both"/>
      </w:pPr>
      <w:r>
        <w:rPr>
          <w:sz w:val="20"/>
        </w:rPr>
        <w:t xml:space="preserve">На базе МГК ежегодно проводится стажировка на рабочем месте специалистов детских поликлиник и родовспомогательных учреждений по вопросам проведения НС, в том числе по правилам забора крови на тест-бланки у новорожденных.</w:t>
      </w:r>
    </w:p>
    <w:p>
      <w:pPr>
        <w:pStyle w:val="0"/>
        <w:spacing w:before="200" w:line-rule="auto"/>
        <w:ind w:firstLine="540"/>
        <w:jc w:val="both"/>
      </w:pPr>
      <w:r>
        <w:rPr>
          <w:sz w:val="20"/>
        </w:rPr>
        <w:t xml:space="preserve">Регулярный мониторинг соблюдения требований приказов об организации НС, особенно в части соблюдения требований по забору и доставке образцов крови новорожденных.</w:t>
      </w:r>
    </w:p>
    <w:p>
      <w:pPr>
        <w:pStyle w:val="0"/>
        <w:spacing w:before="200" w:line-rule="auto"/>
        <w:ind w:firstLine="540"/>
        <w:jc w:val="both"/>
      </w:pPr>
      <w:r>
        <w:rPr>
          <w:sz w:val="20"/>
        </w:rPr>
        <w:t xml:space="preserve">В автономном округе функционирует консультативно-экспертный совет по охране материнства и детства, курирующий вопросы оказания медицинской помощи женщинам и детям (далее - КЭС), в состав которого включены ведущие специалисты автономного округа. Проводятся выездные заседания с оценкой деятельности медицинских организаций автономного округа и оказанием им консультативной экспертной помощи. В 2021 году КЭС проводил экспертную оценку организации работы акушерско-гинекологической и педиатрической служб БУ "Нефтеюганская окружная клиническая больница имени В.И. Яцкив", БУ "Урайская городская клиническая больница", БУ "Кондинская районная больница", в 2022 году - БУ "Нижневартовский окружной клинический перинатальный центр". Замечаний не зафиксировано.</w:t>
      </w:r>
    </w:p>
    <w:p>
      <w:pPr>
        <w:pStyle w:val="0"/>
        <w:spacing w:before="200" w:line-rule="auto"/>
        <w:ind w:firstLine="540"/>
        <w:jc w:val="both"/>
      </w:pPr>
      <w:r>
        <w:rPr>
          <w:sz w:val="20"/>
        </w:rPr>
        <w:t xml:space="preserve">Таким образом, в автономном округе создана инфраструктура для проведения НС, действует схема доставки тест-бланков новорожденных для неонатального скрининга в МГК (логистика), имеются обученные специалисты по забору крови у новорожденных, работает медико-генетическая консультация в составе БУ "Сургутский окружной клинический центр охраны материнства и детства", систематически проводятся образовательные мероприятия по проведению НС, оказанию медицинской помощи пациентам с врожденными и (или) наследственными заболеваниями, имеющаяся инфраструктура в автономном округе готова для проведения РНС.</w:t>
      </w:r>
    </w:p>
    <w:p>
      <w:pPr>
        <w:pStyle w:val="0"/>
        <w:ind w:firstLine="540"/>
        <w:jc w:val="both"/>
      </w:pPr>
      <w:r>
        <w:rPr>
          <w:sz w:val="20"/>
        </w:rPr>
      </w:r>
    </w:p>
    <w:p>
      <w:pPr>
        <w:pStyle w:val="2"/>
        <w:outlineLvl w:val="2"/>
        <w:jc w:val="center"/>
      </w:pPr>
      <w:r>
        <w:rPr>
          <w:sz w:val="20"/>
        </w:rPr>
        <w:t xml:space="preserve">1.6. Информационное взаимодействие</w:t>
      </w:r>
    </w:p>
    <w:p>
      <w:pPr>
        <w:pStyle w:val="0"/>
        <w:ind w:firstLine="540"/>
        <w:jc w:val="both"/>
      </w:pPr>
      <w:r>
        <w:rPr>
          <w:sz w:val="20"/>
        </w:rPr>
      </w:r>
    </w:p>
    <w:p>
      <w:pPr>
        <w:pStyle w:val="0"/>
        <w:ind w:firstLine="540"/>
        <w:jc w:val="both"/>
      </w:pPr>
      <w:r>
        <w:rPr>
          <w:sz w:val="20"/>
        </w:rPr>
        <w:t xml:space="preserve">Внедрение и использование информационно-коммуникационных технологий в медицинских организациях автономного округа проводится в соответствии с </w:t>
      </w:r>
      <w:hyperlink w:history="0" r:id="rId232" w:tooltip="Приказ Минздравсоцразвития России от 28.04.2011 N 364 (ред. от 12.04.2012) &quot;Об утверждении Концепции создания единой государственной информационной системы в сфере здравоохранения&quot; {КонсультантПлюс}">
        <w:r>
          <w:rPr>
            <w:sz w:val="20"/>
            <w:color w:val="0000ff"/>
          </w:rPr>
          <w:t xml:space="preserve">Концепцией</w:t>
        </w:r>
      </w:hyperlink>
      <w:r>
        <w:rPr>
          <w:sz w:val="20"/>
        </w:rPr>
        <w:t xml:space="preserve"> создания единой государственной информационной системы в сфере здравоохранения, утвержденной приказом Министерства здравоохранения и социального развития Российской Федерации от 28 апреля 2011 года N 364, и региональным проектом "Создание единого цифрового контура в здравоохранении на основе единой государственной информационной системы в сфере здравоохранения (ЕГИСЗ)" (далее - цифровой контур).</w:t>
      </w:r>
    </w:p>
    <w:p>
      <w:pPr>
        <w:pStyle w:val="0"/>
        <w:spacing w:before="200" w:line-rule="auto"/>
        <w:ind w:firstLine="540"/>
        <w:jc w:val="both"/>
      </w:pPr>
      <w:r>
        <w:rPr>
          <w:sz w:val="20"/>
        </w:rPr>
        <w:t xml:space="preserve">Цифровой контур направлен на повышение эффективности функционирования системы здравоохранения автономного округа путем создания механизмов взаимодействия медицинских организаций на основе единой государственной системы в сфере здравоохранения и внедрения цифровых технологий и платформенных решений до 2024 года, формирующих единый цифровой контур здравоохранения.</w:t>
      </w:r>
    </w:p>
    <w:p>
      <w:pPr>
        <w:pStyle w:val="0"/>
        <w:spacing w:before="200" w:line-rule="auto"/>
        <w:ind w:firstLine="540"/>
        <w:jc w:val="both"/>
      </w:pPr>
      <w:r>
        <w:rPr>
          <w:sz w:val="20"/>
        </w:rPr>
        <w:t xml:space="preserve">Информатизация отрасли здравоохранения в части оказания медицинской помощи матерям и детям осуществляется по следующим основным направлениям:</w:t>
      </w:r>
    </w:p>
    <w:p>
      <w:pPr>
        <w:pStyle w:val="0"/>
        <w:spacing w:before="200" w:line-rule="auto"/>
        <w:ind w:firstLine="540"/>
        <w:jc w:val="both"/>
      </w:pPr>
      <w:r>
        <w:rPr>
          <w:sz w:val="20"/>
        </w:rPr>
        <w:t xml:space="preserve">подключение медицинских организаций к защищенной сети передачи данных, оснащение информационно-телекоммуникационным оборудованием;</w:t>
      </w:r>
    </w:p>
    <w:p>
      <w:pPr>
        <w:pStyle w:val="0"/>
        <w:spacing w:before="200" w:line-rule="auto"/>
        <w:ind w:firstLine="540"/>
        <w:jc w:val="both"/>
      </w:pPr>
      <w:r>
        <w:rPr>
          <w:sz w:val="20"/>
        </w:rPr>
        <w:t xml:space="preserve">персонифицированный учет оказанных медицинских услуг, запись к врачу и на вакцинацию в электронном виде, вызов врача на дом, предоставление доступа к электронным медицинским документам в "Личном кабинете" пациента "Мое здоровье";</w:t>
      </w:r>
    </w:p>
    <w:p>
      <w:pPr>
        <w:pStyle w:val="0"/>
        <w:spacing w:before="200" w:line-rule="auto"/>
        <w:ind w:firstLine="540"/>
        <w:jc w:val="both"/>
      </w:pPr>
      <w:r>
        <w:rPr>
          <w:sz w:val="20"/>
        </w:rPr>
        <w:t xml:space="preserve">развитие и обеспечение бесперебойной работы региональной телемедицинской сети;</w:t>
      </w:r>
    </w:p>
    <w:p>
      <w:pPr>
        <w:pStyle w:val="0"/>
        <w:spacing w:before="200" w:line-rule="auto"/>
        <w:ind w:firstLine="540"/>
        <w:jc w:val="both"/>
      </w:pPr>
      <w:r>
        <w:rPr>
          <w:sz w:val="20"/>
        </w:rPr>
        <w:t xml:space="preserve">работа в вертикально-интегрированной медицинской информационной системе (далее - ВИМИС) "АКиНЕО";</w:t>
      </w:r>
    </w:p>
    <w:p>
      <w:pPr>
        <w:pStyle w:val="0"/>
        <w:spacing w:before="200" w:line-rule="auto"/>
        <w:ind w:firstLine="540"/>
        <w:jc w:val="both"/>
      </w:pPr>
      <w:r>
        <w:rPr>
          <w:sz w:val="20"/>
        </w:rPr>
        <w:t xml:space="preserve">работа в информационной системе "Геном Эксперт";</w:t>
      </w:r>
    </w:p>
    <w:p>
      <w:pPr>
        <w:pStyle w:val="0"/>
        <w:spacing w:before="200" w:line-rule="auto"/>
        <w:ind w:firstLine="540"/>
        <w:jc w:val="both"/>
      </w:pPr>
      <w:r>
        <w:rPr>
          <w:sz w:val="20"/>
        </w:rPr>
        <w:t xml:space="preserve">информационная система "Учет смертности и рождаемости";</w:t>
      </w:r>
    </w:p>
    <w:p>
      <w:pPr>
        <w:pStyle w:val="0"/>
        <w:spacing w:before="200" w:line-rule="auto"/>
        <w:ind w:firstLine="540"/>
        <w:jc w:val="both"/>
      </w:pPr>
      <w:r>
        <w:rPr>
          <w:sz w:val="20"/>
        </w:rPr>
        <w:t xml:space="preserve">межведомственное электронное взаимодействие с бюро Медико-социальной экспертизы, Единым государственным реестром ЗАГС.</w:t>
      </w:r>
    </w:p>
    <w:p>
      <w:pPr>
        <w:pStyle w:val="0"/>
        <w:spacing w:before="200" w:line-rule="auto"/>
        <w:ind w:firstLine="540"/>
        <w:jc w:val="both"/>
      </w:pPr>
      <w:r>
        <w:rPr>
          <w:sz w:val="20"/>
        </w:rPr>
        <w:t xml:space="preserve">Информационное взаимодействие при проведении НС и РНС в ходе обеспечения оформления учреждениями родовспоможения (19 медицинских организаций, указанных в </w:t>
      </w:r>
      <w:hyperlink w:history="0" w:anchor="P29261" w:tooltip="Число медицинских организаций, осуществляющих забор проб">
        <w:r>
          <w:rPr>
            <w:sz w:val="20"/>
            <w:color w:val="0000ff"/>
          </w:rPr>
          <w:t xml:space="preserve">таблице 14</w:t>
        </w:r>
      </w:hyperlink>
      <w:r>
        <w:rPr>
          <w:sz w:val="20"/>
        </w:rPr>
        <w:t xml:space="preserve">) структурированного электронного медицинского документа "Медицинское свидетельство о рождении" (далее - СЭМД "МСР"). Передача сведений о факте рождения СЭМД "МСР" в Реестр электронных медицинских документов в 100% случаев. СЭМД "МСР" формируется с использованием информационной системы "Учет смертности и рождаемости". Оформление СЭМД "МСР" в течение 1 суток после рождения.</w:t>
      </w:r>
    </w:p>
    <w:p>
      <w:pPr>
        <w:pStyle w:val="0"/>
        <w:spacing w:before="200" w:line-rule="auto"/>
        <w:ind w:firstLine="540"/>
        <w:jc w:val="both"/>
      </w:pPr>
      <w:r>
        <w:rPr>
          <w:sz w:val="20"/>
        </w:rPr>
        <w:t xml:space="preserve">Медицинские организации, осуществляющие забор крови на НС и РНС осуществляют оформление СЭМД "Направление на неонатальный скрининг" (19 учреждений родовспоможения, 35 детских поликлиник/детских поликлинических отделений, из них 23 детские поликлиники (2 уровень), 12 поликлинических отделений (1 уровень), на базе 5 структурных подразделений БУ "Нижневартовская окружная клиническая детская больница", БУ "Сургутская клиническая травматологическая больница, БУ "Окружной кардиологический диспансер "Центр диагностики и сердечно-сосудистой хирургии", казенного учреждения автономного округа "Урайский специализированный Дом ребенка" </w:t>
      </w:r>
      <w:hyperlink w:history="0" w:anchor="P29261" w:tooltip="Число медицинских организаций, осуществляющих забор проб">
        <w:r>
          <w:rPr>
            <w:sz w:val="20"/>
            <w:color w:val="0000ff"/>
          </w:rPr>
          <w:t xml:space="preserve">(таблица 14)</w:t>
        </w:r>
      </w:hyperlink>
      <w:r>
        <w:rPr>
          <w:sz w:val="20"/>
        </w:rPr>
        <w:t xml:space="preserve">.</w:t>
      </w:r>
    </w:p>
    <w:p>
      <w:pPr>
        <w:pStyle w:val="0"/>
        <w:spacing w:before="200" w:line-rule="auto"/>
        <w:ind w:firstLine="540"/>
        <w:jc w:val="both"/>
      </w:pPr>
      <w:r>
        <w:rPr>
          <w:sz w:val="20"/>
        </w:rPr>
        <w:t xml:space="preserve">Оформление СЭМД "Направление на неонатальный скрининг" с 1 января 2023 года планируется в 100% случаев.</w:t>
      </w:r>
    </w:p>
    <w:p>
      <w:pPr>
        <w:pStyle w:val="0"/>
        <w:spacing w:before="200" w:line-rule="auto"/>
        <w:ind w:firstLine="540"/>
        <w:jc w:val="both"/>
      </w:pPr>
      <w:r>
        <w:rPr>
          <w:sz w:val="20"/>
        </w:rPr>
        <w:t xml:space="preserve">Медицинские организации, осуществляющие лабораторную диагностику (МГК) осуществляют передачу сведений о результате исследования (СЭМД "Протокол лабораторного исследования").</w:t>
      </w:r>
    </w:p>
    <w:p>
      <w:pPr>
        <w:pStyle w:val="0"/>
        <w:spacing w:before="200" w:line-rule="auto"/>
        <w:ind w:firstLine="540"/>
        <w:jc w:val="both"/>
      </w:pPr>
      <w:r>
        <w:rPr>
          <w:sz w:val="20"/>
        </w:rPr>
        <w:t xml:space="preserve">Передача СЭМД "Протокол лабораторного исследования" в ВИМИС "АКиНЕО" с 1 января 2023 года планируется в 100% случаев.</w:t>
      </w:r>
    </w:p>
    <w:p>
      <w:pPr>
        <w:pStyle w:val="0"/>
        <w:spacing w:before="200" w:line-rule="auto"/>
        <w:ind w:firstLine="540"/>
        <w:jc w:val="both"/>
      </w:pPr>
      <w:r>
        <w:rPr>
          <w:sz w:val="20"/>
        </w:rPr>
        <w:t xml:space="preserve">Также в ходе информационного взаимодействия осуществляется интеграция медицинских информационных систем (МИС), лабораторных информационных систем (ЛИС), систем передачи и архивации изображений медицинских организаций с государственной информационной системой в сфере здравоохранения автономного округа (ГИС СЗ), Единой государственной информационной системы в сфере здравоохранения (ЕГИСЗ) и компонентом федеральной государственной информационной системы "Платформа вертикально интегрированных медицинских информационных систем" по профилям "Акушерство и гинекология" и "Неонатология" (ВИМИС "АКиНЕО"), ведение регионального сегмента федерального регистра новорожденных с выявленными наследственными (или) врожденными заболеваниями, выявленными при проведении РНС.</w:t>
      </w:r>
    </w:p>
    <w:p>
      <w:pPr>
        <w:pStyle w:val="0"/>
        <w:spacing w:before="200" w:line-rule="auto"/>
        <w:ind w:firstLine="540"/>
        <w:jc w:val="both"/>
      </w:pPr>
      <w:r>
        <w:rPr>
          <w:sz w:val="20"/>
        </w:rPr>
        <w:t xml:space="preserve">В части получения информации об оказании медицинской помощи пациентам с врожденными и (или) наследственными заболеваниями в соответствии с </w:t>
      </w:r>
      <w:hyperlink w:history="0" r:id="rId233" w:tooltip="Постановление Правительства РФ от 26.04.2012 N 403 (ред. от 05.06.2020) &quot;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quot; (вместе с &quot;Правилами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 {КонсультантПлюс}">
        <w:r>
          <w:rPr>
            <w:sz w:val="20"/>
            <w:color w:val="0000ff"/>
          </w:rPr>
          <w:t xml:space="preserve">постановлением</w:t>
        </w:r>
      </w:hyperlink>
      <w:r>
        <w:rPr>
          <w:sz w:val="20"/>
        </w:rPr>
        <w:t xml:space="preserve"> Правительства Российской Федерации от 26 апреля 2012 года N 403 "О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 в автономном округе ведется региональный сегмент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(далее - региональный сегмент федерального регистра).</w:t>
      </w:r>
    </w:p>
    <w:p>
      <w:pPr>
        <w:pStyle w:val="0"/>
        <w:spacing w:before="200" w:line-rule="auto"/>
        <w:ind w:firstLine="540"/>
        <w:jc w:val="both"/>
      </w:pPr>
      <w:r>
        <w:rPr>
          <w:sz w:val="20"/>
        </w:rPr>
        <w:t xml:space="preserve">В соответствии с </w:t>
      </w:r>
      <w:hyperlink w:history="0" r:id="rId234" w:tooltip="Постановление Правительства РФ от 08.04.2021 N 555 (ред. от 26.12.2022) &quot;Об утверждении Правил ведения информационного ресурс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quot; (с изм. и доп., вст {КонсультантПлюс}">
        <w:r>
          <w:rPr>
            <w:sz w:val="20"/>
            <w:color w:val="0000ff"/>
          </w:rPr>
          <w:t xml:space="preserve">постановлением</w:t>
        </w:r>
      </w:hyperlink>
      <w:r>
        <w:rPr>
          <w:sz w:val="20"/>
        </w:rPr>
        <w:t xml:space="preserve"> Правительства Российской Федерации от 8 апреля 2021 года N 555 "Об утверждении Правил ведения информационного ресурса,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 в автономном округе осуществляется ведение информационного ресурса.</w:t>
      </w:r>
    </w:p>
    <w:p>
      <w:pPr>
        <w:pStyle w:val="0"/>
        <w:spacing w:before="200" w:line-rule="auto"/>
        <w:ind w:firstLine="540"/>
        <w:jc w:val="both"/>
      </w:pPr>
      <w:r>
        <w:rPr>
          <w:sz w:val="20"/>
        </w:rPr>
        <w:t xml:space="preserve">Информационный ресурс ведется в электронном виде в составе единой государственной информационной системы в сфере здравоохранения в целях реализации дополнительного механизма оказания таким детям медицинской помощи, обеспечения их лекарственными препаратами, медицинскими изделиями, техническими средствами реабилитации.</w:t>
      </w:r>
    </w:p>
    <w:p>
      <w:pPr>
        <w:pStyle w:val="0"/>
        <w:spacing w:before="200" w:line-rule="auto"/>
        <w:ind w:firstLine="540"/>
        <w:jc w:val="both"/>
      </w:pPr>
      <w:r>
        <w:rPr>
          <w:sz w:val="20"/>
        </w:rPr>
        <w:t xml:space="preserve">Информационный ресурс включает в себя федеральный и региональные сегменты. Посредством информационного ресурса обеспечиваются обработка и хранение заявок Департамента здравоохранения автономного округа, поданных в целях обеспечения оказания медицинской помощи конкретному ребенку, размещение утвержденных попечительским советом Фонда перечня лекарственных препаратов, закупаемых для оказания медицинской помощи детям с тяжелыми жизнеугрожающими и хроническими заболеваниями, в том числе редкими (орфанными) заболеваниями, а также сведений о предложениях, на основании которых сформированы указанные перечни, сбор и анализ сведений об обеспечении детей лекарственными препаратами, медицинскими изделиями, техническими средствами реабилитации.</w:t>
      </w:r>
    </w:p>
    <w:p>
      <w:pPr>
        <w:pStyle w:val="0"/>
        <w:ind w:firstLine="540"/>
        <w:jc w:val="both"/>
      </w:pPr>
      <w:r>
        <w:rPr>
          <w:sz w:val="20"/>
        </w:rPr>
      </w:r>
    </w:p>
    <w:p>
      <w:pPr>
        <w:pStyle w:val="0"/>
        <w:jc w:val="center"/>
      </w:pPr>
      <w:r>
        <w:rPr>
          <w:sz w:val="20"/>
        </w:rPr>
        <w:t xml:space="preserve">Оценка региональных систем информатизации здравоохранения,</w:t>
      </w:r>
    </w:p>
    <w:p>
      <w:pPr>
        <w:pStyle w:val="0"/>
        <w:jc w:val="center"/>
      </w:pPr>
      <w:r>
        <w:rPr>
          <w:sz w:val="20"/>
        </w:rPr>
        <w:t xml:space="preserve">необходимых для обеспечения НС и РНС</w:t>
      </w:r>
    </w:p>
    <w:p>
      <w:pPr>
        <w:pStyle w:val="0"/>
        <w:jc w:val="center"/>
      </w:pPr>
      <w:r>
        <w:rPr>
          <w:sz w:val="20"/>
        </w:rPr>
      </w:r>
    </w:p>
    <w:p>
      <w:pPr>
        <w:pStyle w:val="0"/>
        <w:jc w:val="right"/>
      </w:pPr>
      <w:r>
        <w:rPr>
          <w:sz w:val="20"/>
        </w:rPr>
        <w:t xml:space="preserve">Таблица 11</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69"/>
        <w:gridCol w:w="4535"/>
        <w:gridCol w:w="2494"/>
      </w:tblGrid>
      <w:tr>
        <w:tc>
          <w:tcPr>
            <w:tcW w:w="1969" w:type="dxa"/>
          </w:tcPr>
          <w:p>
            <w:pPr>
              <w:pStyle w:val="0"/>
              <w:jc w:val="center"/>
            </w:pPr>
            <w:r>
              <w:rPr>
                <w:sz w:val="20"/>
              </w:rPr>
              <w:t xml:space="preserve">Наименование</w:t>
            </w:r>
          </w:p>
        </w:tc>
        <w:tc>
          <w:tcPr>
            <w:tcW w:w="4535" w:type="dxa"/>
          </w:tcPr>
          <w:p>
            <w:pPr>
              <w:pStyle w:val="0"/>
              <w:jc w:val="center"/>
            </w:pPr>
            <w:r>
              <w:rPr>
                <w:sz w:val="20"/>
              </w:rPr>
              <w:t xml:space="preserve">Указать наличие (да/нет)</w:t>
            </w:r>
          </w:p>
          <w:p>
            <w:pPr>
              <w:pStyle w:val="0"/>
              <w:jc w:val="center"/>
            </w:pPr>
            <w:r>
              <w:rPr>
                <w:sz w:val="20"/>
              </w:rPr>
              <w:t xml:space="preserve">название</w:t>
            </w:r>
          </w:p>
        </w:tc>
        <w:tc>
          <w:tcPr>
            <w:tcW w:w="2494" w:type="dxa"/>
          </w:tcPr>
          <w:p>
            <w:pPr>
              <w:pStyle w:val="0"/>
              <w:jc w:val="center"/>
            </w:pPr>
            <w:r>
              <w:rPr>
                <w:sz w:val="20"/>
              </w:rPr>
              <w:t xml:space="preserve">Чем утверждено</w:t>
            </w:r>
          </w:p>
          <w:p>
            <w:pPr>
              <w:pStyle w:val="0"/>
              <w:jc w:val="center"/>
            </w:pPr>
            <w:r>
              <w:rPr>
                <w:sz w:val="20"/>
              </w:rPr>
              <w:t xml:space="preserve">внедрение и работа</w:t>
            </w:r>
          </w:p>
        </w:tc>
      </w:tr>
      <w:tr>
        <w:tc>
          <w:tcPr>
            <w:tcW w:w="1969" w:type="dxa"/>
          </w:tcPr>
          <w:p>
            <w:pPr>
              <w:pStyle w:val="0"/>
            </w:pPr>
            <w:r>
              <w:rPr>
                <w:sz w:val="20"/>
              </w:rPr>
              <w:t xml:space="preserve">ЕГИСЗ</w:t>
            </w:r>
          </w:p>
        </w:tc>
        <w:tc>
          <w:tcPr>
            <w:tcW w:w="4535" w:type="dxa"/>
          </w:tcPr>
          <w:p>
            <w:pPr>
              <w:pStyle w:val="0"/>
            </w:pPr>
            <w:r>
              <w:rPr>
                <w:sz w:val="20"/>
              </w:rPr>
              <w:t xml:space="preserve">Да,</w:t>
            </w:r>
          </w:p>
          <w:p>
            <w:pPr>
              <w:pStyle w:val="0"/>
            </w:pPr>
            <w:r>
              <w:rPr>
                <w:sz w:val="20"/>
              </w:rPr>
              <w:t xml:space="preserve">ВИМИС "АКиНЕО"</w:t>
            </w:r>
          </w:p>
        </w:tc>
        <w:tc>
          <w:tcPr>
            <w:tcW w:w="2494" w:type="dxa"/>
          </w:tcPr>
          <w:p>
            <w:pPr>
              <w:pStyle w:val="0"/>
            </w:pPr>
            <w:r>
              <w:rPr>
                <w:sz w:val="20"/>
              </w:rPr>
              <w:t xml:space="preserve">Приказ Департамента здравоохранения автономного округа от 19 апреля 2021 года N 540</w:t>
            </w:r>
          </w:p>
        </w:tc>
      </w:tr>
      <w:tr>
        <w:tc>
          <w:tcPr>
            <w:tcW w:w="1969" w:type="dxa"/>
          </w:tcPr>
          <w:p>
            <w:pPr>
              <w:pStyle w:val="0"/>
            </w:pPr>
            <w:r>
              <w:rPr>
                <w:sz w:val="20"/>
              </w:rPr>
              <w:t xml:space="preserve">Электронный документооборот</w:t>
            </w:r>
          </w:p>
        </w:tc>
        <w:tc>
          <w:tcPr>
            <w:tcW w:w="4535" w:type="dxa"/>
          </w:tcPr>
          <w:p>
            <w:pPr>
              <w:pStyle w:val="0"/>
            </w:pPr>
            <w:r>
              <w:rPr>
                <w:sz w:val="20"/>
              </w:rPr>
              <w:t xml:space="preserve">Да,</w:t>
            </w:r>
          </w:p>
          <w:p>
            <w:pPr>
              <w:pStyle w:val="0"/>
            </w:pPr>
            <w:r>
              <w:rPr>
                <w:sz w:val="20"/>
              </w:rPr>
              <w:t xml:space="preserve">ВИМИС "АКиНЕО"</w:t>
            </w:r>
          </w:p>
        </w:tc>
        <w:tc>
          <w:tcPr>
            <w:tcW w:w="2494" w:type="dxa"/>
          </w:tcPr>
          <w:p>
            <w:pPr>
              <w:pStyle w:val="0"/>
            </w:pPr>
            <w:r>
              <w:rPr>
                <w:sz w:val="20"/>
              </w:rPr>
              <w:t xml:space="preserve">Приказ Департамента здравоохранения автономного округа от 19 апреля 2021 года N 540</w:t>
            </w:r>
          </w:p>
        </w:tc>
      </w:tr>
      <w:tr>
        <w:tc>
          <w:tcPr>
            <w:tcW w:w="1969" w:type="dxa"/>
          </w:tcPr>
          <w:p>
            <w:pPr>
              <w:pStyle w:val="0"/>
            </w:pPr>
            <w:r>
              <w:rPr>
                <w:sz w:val="20"/>
              </w:rPr>
              <w:t xml:space="preserve">Работа сервиса выписки медицинских свидетельств о рождении</w:t>
            </w:r>
          </w:p>
        </w:tc>
        <w:tc>
          <w:tcPr>
            <w:tcW w:w="4535" w:type="dxa"/>
          </w:tcPr>
          <w:p>
            <w:pPr>
              <w:pStyle w:val="0"/>
            </w:pPr>
            <w:r>
              <w:rPr>
                <w:sz w:val="20"/>
              </w:rPr>
              <w:t xml:space="preserve">Да,</w:t>
            </w:r>
          </w:p>
          <w:p>
            <w:pPr>
              <w:pStyle w:val="0"/>
            </w:pPr>
            <w:r>
              <w:rPr>
                <w:sz w:val="20"/>
              </w:rPr>
              <w:t xml:space="preserve">информационная система "Учет смертности и рождаемости"</w:t>
            </w:r>
          </w:p>
        </w:tc>
        <w:tc>
          <w:tcPr>
            <w:tcW w:w="2494" w:type="dxa"/>
          </w:tcPr>
          <w:p>
            <w:pPr>
              <w:pStyle w:val="0"/>
            </w:pPr>
            <w:r>
              <w:rPr>
                <w:sz w:val="20"/>
              </w:rPr>
              <w:t xml:space="preserve">Приказ Департамента здравоохранения автономного округа от 14 марта 2022 года N 443</w:t>
            </w:r>
          </w:p>
        </w:tc>
      </w:tr>
      <w:tr>
        <w:tc>
          <w:tcPr>
            <w:tcW w:w="1969" w:type="dxa"/>
          </w:tcPr>
          <w:p>
            <w:pPr>
              <w:pStyle w:val="0"/>
            </w:pPr>
            <w:r>
              <w:rPr>
                <w:sz w:val="20"/>
              </w:rPr>
              <w:t xml:space="preserve">Наличие и ведение баз данных детей с врожденными и (или) наследственными заболеваниями</w:t>
            </w:r>
          </w:p>
        </w:tc>
        <w:tc>
          <w:tcPr>
            <w:tcW w:w="4535" w:type="dxa"/>
          </w:tcPr>
          <w:p>
            <w:pPr>
              <w:pStyle w:val="0"/>
            </w:pPr>
            <w:r>
              <w:rPr>
                <w:sz w:val="20"/>
              </w:rPr>
              <w:t xml:space="preserve">да</w:t>
            </w:r>
          </w:p>
        </w:tc>
        <w:tc>
          <w:tcPr>
            <w:tcW w:w="2494" w:type="dxa"/>
          </w:tcPr>
          <w:p>
            <w:pPr>
              <w:pStyle w:val="0"/>
            </w:pPr>
            <w:hyperlink w:history="0" r:id="rId235" w:tooltip="Постановление Правительства РФ от 26.04.2012 N 403 (ред. от 05.06.2020) &quot;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quot; (вместе с &quot;Правилами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 {КонсультантПлюс}">
              <w:r>
                <w:rPr>
                  <w:sz w:val="20"/>
                  <w:color w:val="0000ff"/>
                </w:rPr>
                <w:t xml:space="preserve">Постановление</w:t>
              </w:r>
            </w:hyperlink>
            <w:r>
              <w:rPr>
                <w:sz w:val="20"/>
              </w:rPr>
              <w:t xml:space="preserve"> Правительства Российской Федерации от 26 апреля 2012 года N 403,</w:t>
            </w:r>
          </w:p>
          <w:p>
            <w:pPr>
              <w:pStyle w:val="0"/>
            </w:pPr>
            <w:hyperlink w:history="0" r:id="rId236" w:tooltip="Постановление Правительства РФ от 08.04.2021 N 555 (ред. от 26.12.2022) &quot;Об утверждении Правил ведения информационного ресурс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quot; (с изм. и доп., вст {КонсультантПлюс}">
              <w:r>
                <w:rPr>
                  <w:sz w:val="20"/>
                  <w:color w:val="0000ff"/>
                </w:rPr>
                <w:t xml:space="preserve">постановление</w:t>
              </w:r>
            </w:hyperlink>
            <w:r>
              <w:rPr>
                <w:sz w:val="20"/>
              </w:rPr>
              <w:t xml:space="preserve"> Правительства Российской Федерации от 8 апреля 2021 года N 555,</w:t>
            </w:r>
          </w:p>
          <w:p>
            <w:pPr>
              <w:pStyle w:val="0"/>
            </w:pPr>
            <w:r>
              <w:rPr>
                <w:sz w:val="20"/>
              </w:rPr>
              <w:t xml:space="preserve">приказ Департамента здравоохранения автономного округа от 25 июля 2022 года N 1157</w:t>
            </w:r>
          </w:p>
        </w:tc>
      </w:tr>
      <w:tr>
        <w:tc>
          <w:tcPr>
            <w:tcW w:w="1969" w:type="dxa"/>
          </w:tcPr>
          <w:p>
            <w:pPr>
              <w:pStyle w:val="0"/>
            </w:pPr>
            <w:r>
              <w:rPr>
                <w:sz w:val="20"/>
              </w:rPr>
              <w:t xml:space="preserve">регистры</w:t>
            </w:r>
          </w:p>
        </w:tc>
        <w:tc>
          <w:tcPr>
            <w:tcW w:w="4535" w:type="dxa"/>
          </w:tcPr>
          <w:p>
            <w:pPr>
              <w:pStyle w:val="0"/>
            </w:pPr>
            <w:r>
              <w:rPr>
                <w:sz w:val="20"/>
              </w:rPr>
              <w:t xml:space="preserve">Да,</w:t>
            </w:r>
          </w:p>
          <w:p>
            <w:pPr>
              <w:pStyle w:val="0"/>
            </w:pPr>
            <w:r>
              <w:rPr>
                <w:sz w:val="20"/>
              </w:rPr>
              <w:t xml:space="preserve">региональный сегмент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w:t>
            </w:r>
          </w:p>
          <w:p>
            <w:pPr>
              <w:pStyle w:val="0"/>
            </w:pPr>
            <w:r>
              <w:rPr>
                <w:sz w:val="20"/>
              </w:rPr>
              <w:t xml:space="preserve">информационный ресурс, содержащий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w:t>
            </w:r>
          </w:p>
          <w:p>
            <w:pPr>
              <w:pStyle w:val="0"/>
            </w:pPr>
            <w:r>
              <w:rPr>
                <w:sz w:val="20"/>
              </w:rPr>
              <w:t xml:space="preserve">региональный регистр</w:t>
            </w:r>
          </w:p>
          <w:p>
            <w:pPr>
              <w:pStyle w:val="0"/>
            </w:pPr>
            <w:r>
              <w:rPr>
                <w:sz w:val="20"/>
              </w:rPr>
              <w:t xml:space="preserve">детей с тяжелыми жизнеугрожающими и хроническими заболеваниями, в том числе редкими (орфанными) заболеваниями</w:t>
            </w:r>
          </w:p>
        </w:tc>
        <w:tc>
          <w:tcPr>
            <w:tcW w:w="2494" w:type="dxa"/>
          </w:tcPr>
          <w:p>
            <w:pPr>
              <w:pStyle w:val="0"/>
            </w:pPr>
            <w:hyperlink w:history="0" r:id="rId237" w:tooltip="Постановление Правительства РФ от 26.04.2012 N 403 (ред. от 05.06.2020) &quot;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quot; (вместе с &quot;Правилами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 {КонсультантПлюс}">
              <w:r>
                <w:rPr>
                  <w:sz w:val="20"/>
                  <w:color w:val="0000ff"/>
                </w:rPr>
                <w:t xml:space="preserve">Постановление</w:t>
              </w:r>
            </w:hyperlink>
            <w:r>
              <w:rPr>
                <w:sz w:val="20"/>
              </w:rPr>
              <w:t xml:space="preserve"> Правительства Российской Федерации от 26 апреля 2012 года N 403,</w:t>
            </w:r>
          </w:p>
          <w:p>
            <w:pPr>
              <w:pStyle w:val="0"/>
            </w:pPr>
            <w:hyperlink w:history="0" r:id="rId238" w:tooltip="Постановление Правительства РФ от 08.04.2021 N 555 (ред. от 26.12.2022) &quot;Об утверждении Правил ведения информационного ресурса, содержащего сведения о детях с тяжелыми жизнеугрожающими и хроническими заболеваниями, в том числе редкими (орфанными) заболеваниями, включая информацию о закупке для таких детей лекарственных препаратов и медицинских изделий, в том числе не зарегистрированных в Российской Федерации, технических средств реабилитации, и сведения о результатах лечения таких детей&quot; (с изм. и доп., вст {КонсультантПлюс}">
              <w:r>
                <w:rPr>
                  <w:sz w:val="20"/>
                  <w:color w:val="0000ff"/>
                </w:rPr>
                <w:t xml:space="preserve">постановление</w:t>
              </w:r>
            </w:hyperlink>
            <w:r>
              <w:rPr>
                <w:sz w:val="20"/>
              </w:rPr>
              <w:t xml:space="preserve"> Правительства Российской Федерации от 8 апреля 2021 года N 555,</w:t>
            </w:r>
          </w:p>
          <w:p>
            <w:pPr>
              <w:pStyle w:val="0"/>
            </w:pPr>
            <w:r>
              <w:rPr>
                <w:sz w:val="20"/>
              </w:rPr>
              <w:t xml:space="preserve">приказ Департамента здравоохранения автономного округа от 25 июля 2022 года N 1157</w:t>
            </w:r>
          </w:p>
        </w:tc>
      </w:tr>
    </w:tbl>
    <w:p>
      <w:pPr>
        <w:pStyle w:val="0"/>
        <w:ind w:firstLine="540"/>
        <w:jc w:val="both"/>
      </w:pPr>
      <w:r>
        <w:rPr>
          <w:sz w:val="20"/>
        </w:rPr>
      </w:r>
    </w:p>
    <w:p>
      <w:pPr>
        <w:pStyle w:val="0"/>
        <w:ind w:firstLine="540"/>
        <w:jc w:val="both"/>
      </w:pPr>
      <w:r>
        <w:rPr>
          <w:sz w:val="20"/>
        </w:rPr>
        <w:t xml:space="preserve">Таким образом, в медицинских организациях автономного округа внедрена информационная система "Учет смертности и рождаемости" оформляются "Медицинские свидетельства о рождении", осуществляется работа в ВИМИС "АКиНЕО".</w:t>
      </w:r>
    </w:p>
    <w:p>
      <w:pPr>
        <w:pStyle w:val="0"/>
        <w:ind w:firstLine="540"/>
        <w:jc w:val="both"/>
      </w:pPr>
      <w:r>
        <w:rPr>
          <w:sz w:val="20"/>
        </w:rPr>
      </w:r>
    </w:p>
    <w:p>
      <w:pPr>
        <w:pStyle w:val="2"/>
        <w:outlineLvl w:val="2"/>
        <w:jc w:val="center"/>
      </w:pPr>
      <w:r>
        <w:rPr>
          <w:sz w:val="20"/>
        </w:rPr>
        <w:t xml:space="preserve">1.7. Выводы</w:t>
      </w:r>
    </w:p>
    <w:p>
      <w:pPr>
        <w:pStyle w:val="0"/>
        <w:ind w:firstLine="540"/>
        <w:jc w:val="both"/>
      </w:pPr>
      <w:r>
        <w:rPr>
          <w:sz w:val="20"/>
        </w:rPr>
      </w:r>
    </w:p>
    <w:p>
      <w:pPr>
        <w:pStyle w:val="0"/>
        <w:ind w:firstLine="540"/>
        <w:jc w:val="both"/>
      </w:pPr>
      <w:r>
        <w:rPr>
          <w:sz w:val="20"/>
        </w:rPr>
        <w:t xml:space="preserve">Таким образом, в автономном округе создана инфраструктура для проведения НС, действует схема доставки тест-бланков новорожденных для НС в МГК (логистика с учетом климатогеографических особенностей автономного округа), имеются обученные специалисты по забору крови у новорожденных, работает МГК в составе БУ "Сургутский окружной клинический центр охраны материнства и детства", систематически проводятся образовательные мероприятия по проведению НС, оказанию медицинской помощи пациентам с врожденными и (или) наследственными заболеваниями.</w:t>
      </w:r>
    </w:p>
    <w:p>
      <w:pPr>
        <w:pStyle w:val="0"/>
        <w:spacing w:before="200" w:line-rule="auto"/>
        <w:ind w:firstLine="540"/>
        <w:jc w:val="both"/>
      </w:pPr>
      <w:r>
        <w:rPr>
          <w:sz w:val="20"/>
        </w:rPr>
        <w:t xml:space="preserve">Приказами Департамента здравоохранения автономного округа от 6 декабря 2021 года N 1970, от 11 февраля 2022 года N 248 утверждена маршрутизация при оказании специализированной, в том числе высокотехнологичной, медицинской помощи детскому населению автономного округа, в том числе при врожденных и (или) наследственных заболеваниях, организована работа дистанционного реанимационно-консультативного центра с выездной анестезиолого-реанимационной педиатрической (неонатальной) бригадой.</w:t>
      </w:r>
    </w:p>
    <w:p>
      <w:pPr>
        <w:pStyle w:val="0"/>
        <w:spacing w:before="200" w:line-rule="auto"/>
        <w:ind w:firstLine="540"/>
        <w:jc w:val="both"/>
      </w:pPr>
      <w:r>
        <w:rPr>
          <w:sz w:val="20"/>
        </w:rPr>
        <w:t xml:space="preserve">Дети с наследственными и (или) врожденными заболеваниями обеспечены лекарственными препаратами (в том числе за счет Фонда поддержки детей с тяжелыми жизнеугрожающими и хроническими заболеваниями, в том числе редкими (орфанными) заболеваниями, "Круг добра"), специализированной медицинской помощью как в плановой, так и в экстренной форме.</w:t>
      </w:r>
    </w:p>
    <w:p>
      <w:pPr>
        <w:pStyle w:val="0"/>
        <w:spacing w:before="200" w:line-rule="auto"/>
        <w:ind w:firstLine="540"/>
        <w:jc w:val="both"/>
      </w:pPr>
      <w:r>
        <w:rPr>
          <w:sz w:val="20"/>
        </w:rPr>
        <w:t xml:space="preserve">Сформирована информационная инфраструктура, обеспечивающая процессы информационного обмена, взаимодействия, функционирования акушерско-гинекологической, неонатологической, педиатрической, и медико-генетической служб региона.</w:t>
      </w:r>
    </w:p>
    <w:p>
      <w:pPr>
        <w:pStyle w:val="0"/>
        <w:ind w:firstLine="540"/>
        <w:jc w:val="both"/>
      </w:pPr>
      <w:r>
        <w:rPr>
          <w:sz w:val="20"/>
        </w:rPr>
      </w:r>
    </w:p>
    <w:p>
      <w:pPr>
        <w:pStyle w:val="2"/>
        <w:outlineLvl w:val="1"/>
        <w:jc w:val="center"/>
      </w:pPr>
      <w:r>
        <w:rPr>
          <w:sz w:val="20"/>
        </w:rPr>
        <w:t xml:space="preserve">Раздел 2. ОРГАНИЗАЦИЯ ПРОВЕДЕНИЯ РАСШИРЕННОГО НЕОНАТАЛЬНОГО</w:t>
      </w:r>
    </w:p>
    <w:p>
      <w:pPr>
        <w:pStyle w:val="2"/>
        <w:jc w:val="center"/>
      </w:pPr>
      <w:r>
        <w:rPr>
          <w:sz w:val="20"/>
        </w:rPr>
        <w:t xml:space="preserve">СКРИНИНГА</w:t>
      </w:r>
    </w:p>
    <w:p>
      <w:pPr>
        <w:pStyle w:val="0"/>
        <w:ind w:firstLine="540"/>
        <w:jc w:val="both"/>
      </w:pPr>
      <w:r>
        <w:rPr>
          <w:sz w:val="20"/>
        </w:rPr>
      </w:r>
    </w:p>
    <w:p>
      <w:pPr>
        <w:pStyle w:val="2"/>
        <w:outlineLvl w:val="2"/>
        <w:jc w:val="center"/>
      </w:pPr>
      <w:r>
        <w:rPr>
          <w:sz w:val="20"/>
        </w:rPr>
        <w:t xml:space="preserve">2.1. Цели реализации региональной программы</w:t>
      </w:r>
    </w:p>
    <w:p>
      <w:pPr>
        <w:pStyle w:val="0"/>
        <w:jc w:val="center"/>
      </w:pPr>
      <w:r>
        <w:rPr>
          <w:sz w:val="20"/>
        </w:rPr>
      </w:r>
    </w:p>
    <w:p>
      <w:pPr>
        <w:pStyle w:val="0"/>
        <w:ind w:firstLine="540"/>
        <w:jc w:val="both"/>
      </w:pPr>
      <w:r>
        <w:rPr>
          <w:sz w:val="20"/>
        </w:rPr>
        <w:t xml:space="preserve">Снижение младенческой смертности до 3,7 </w:t>
      </w:r>
      <w:r>
        <w:rPr>
          <w:sz w:val="20"/>
          <w:vertAlign w:val="superscript"/>
        </w:rPr>
        <w:t xml:space="preserve">0</w:t>
      </w:r>
      <w:r>
        <w:rPr>
          <w:sz w:val="20"/>
        </w:rPr>
        <w:t xml:space="preserve">/</w:t>
      </w:r>
      <w:r>
        <w:rPr>
          <w:sz w:val="20"/>
          <w:vertAlign w:val="subscript"/>
        </w:rPr>
        <w:t xml:space="preserve">00</w:t>
      </w:r>
      <w:r>
        <w:rPr>
          <w:sz w:val="20"/>
        </w:rPr>
        <w:t xml:space="preserve"> к 2025 году посредством реализации мероприятий массового обследования новорожденных на врожденные и (или) наследственные заболевания в ходе РНС.</w:t>
      </w:r>
    </w:p>
    <w:p>
      <w:pPr>
        <w:pStyle w:val="0"/>
        <w:jc w:val="center"/>
      </w:pPr>
      <w:r>
        <w:rPr>
          <w:sz w:val="20"/>
        </w:rPr>
      </w:r>
    </w:p>
    <w:p>
      <w:pPr>
        <w:pStyle w:val="2"/>
        <w:outlineLvl w:val="3"/>
        <w:jc w:val="center"/>
      </w:pPr>
      <w:r>
        <w:rPr>
          <w:sz w:val="20"/>
        </w:rPr>
        <w:t xml:space="preserve">Задачи региональной программы</w:t>
      </w:r>
    </w:p>
    <w:p>
      <w:pPr>
        <w:pStyle w:val="0"/>
        <w:jc w:val="center"/>
      </w:pPr>
      <w:r>
        <w:rPr>
          <w:sz w:val="20"/>
        </w:rPr>
      </w:r>
    </w:p>
    <w:p>
      <w:pPr>
        <w:pStyle w:val="0"/>
        <w:ind w:firstLine="540"/>
        <w:jc w:val="both"/>
      </w:pPr>
      <w:r>
        <w:rPr>
          <w:sz w:val="20"/>
        </w:rPr>
        <w:t xml:space="preserve">Задача 1. Обеспечение нормативного правового регулирования РНС в автономном округе.</w:t>
      </w:r>
    </w:p>
    <w:p>
      <w:pPr>
        <w:pStyle w:val="0"/>
        <w:spacing w:before="200" w:line-rule="auto"/>
        <w:ind w:firstLine="540"/>
        <w:jc w:val="both"/>
      </w:pPr>
      <w:r>
        <w:rPr>
          <w:sz w:val="20"/>
        </w:rPr>
        <w:t xml:space="preserve">Задача 2. Формирование оптимальной маршрутизации, обеспечивающей проведение РНС, в соответствии с </w:t>
      </w:r>
      <w:hyperlink w:history="0" r:id="rId239"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0"/>
            <w:color w:val="0000ff"/>
          </w:rPr>
          <w:t xml:space="preserve">Порядком</w:t>
        </w:r>
      </w:hyperlink>
      <w:r>
        <w:rPr>
          <w:sz w:val="20"/>
        </w:rPr>
        <w:t xml:space="preserve"> оказания медицинской помощи пациентам с врожденными и (или) наследственными заболеваниями, утвержденным Приказом N 274н.</w:t>
      </w:r>
    </w:p>
    <w:p>
      <w:pPr>
        <w:pStyle w:val="0"/>
        <w:spacing w:before="200" w:line-rule="auto"/>
        <w:ind w:firstLine="540"/>
        <w:jc w:val="both"/>
      </w:pPr>
      <w:r>
        <w:rPr>
          <w:sz w:val="20"/>
        </w:rPr>
        <w:t xml:space="preserve">Задача 3. Совершенствование материально-технической базы медико-генетической консультации БУ "Сургутский окружной клинический центр охраны материнства и детства", оказывающей медицинскую помощь пациентам с врожденными и (или) наследственными заболеваниями, выявленными в ходе РНС.</w:t>
      </w:r>
    </w:p>
    <w:p>
      <w:pPr>
        <w:pStyle w:val="0"/>
        <w:spacing w:before="200" w:line-rule="auto"/>
        <w:ind w:firstLine="540"/>
        <w:jc w:val="both"/>
      </w:pPr>
      <w:r>
        <w:rPr>
          <w:sz w:val="20"/>
        </w:rPr>
        <w:t xml:space="preserve">Задача 4. Обеспечение квалифицированными кадрами медицинских организаций, оказывающих медицинскую помощь детям с врожденными и (или) наследственными заболеваниями, выявленными в ходе РНС.</w:t>
      </w:r>
    </w:p>
    <w:p>
      <w:pPr>
        <w:pStyle w:val="0"/>
        <w:spacing w:before="200" w:line-rule="auto"/>
        <w:ind w:firstLine="540"/>
        <w:jc w:val="both"/>
      </w:pPr>
      <w:r>
        <w:rPr>
          <w:sz w:val="20"/>
        </w:rPr>
        <w:t xml:space="preserve">Задача 5. Интеграция медицинских информационных систем для обеспечения непрерывного информационного взаимодействия, сопровождающего оказание медицинской помощи детям с врожденными и (или) наследственными заболеваниями, выявленными при РНС.</w:t>
      </w:r>
    </w:p>
    <w:p>
      <w:pPr>
        <w:pStyle w:val="0"/>
        <w:spacing w:before="200" w:line-rule="auto"/>
        <w:ind w:firstLine="540"/>
        <w:jc w:val="both"/>
      </w:pPr>
      <w:r>
        <w:rPr>
          <w:sz w:val="20"/>
        </w:rPr>
        <w:t xml:space="preserve">Задача 6. Обеспечение своевременного диспансерного наблюдения лиц с врожденными и (или) наследственными заболеваниями, выявленными при РНС, включая обеспечение лекарственными препаратами, специализированными продуктами лечебного питания и медицинскими изделиями.</w:t>
      </w:r>
    </w:p>
    <w:p>
      <w:pPr>
        <w:pStyle w:val="0"/>
        <w:spacing w:before="200" w:line-rule="auto"/>
        <w:ind w:firstLine="540"/>
        <w:jc w:val="both"/>
      </w:pPr>
      <w:r>
        <w:rPr>
          <w:sz w:val="20"/>
        </w:rPr>
        <w:t xml:space="preserve">Задача 7. Внедрение клинических рекомендаций и стандартов медицинской помощи, утвержденных Минздравом России, по профилактике, диагностике, лечению и реабилитации детей с врожденными и (или) наследственными заболеваниями, выявленными при РНС.</w:t>
      </w:r>
    </w:p>
    <w:p>
      <w:pPr>
        <w:pStyle w:val="0"/>
        <w:spacing w:before="200" w:line-rule="auto"/>
        <w:ind w:firstLine="540"/>
        <w:jc w:val="both"/>
      </w:pPr>
      <w:r>
        <w:rPr>
          <w:sz w:val="20"/>
        </w:rPr>
        <w:t xml:space="preserve">Задача 8. Методическое обеспечение качества оказания медицинской помощи детям с врожденными и (или) наследственными заболеваниями.</w:t>
      </w:r>
    </w:p>
    <w:p>
      <w:pPr>
        <w:pStyle w:val="0"/>
        <w:spacing w:before="200" w:line-rule="auto"/>
        <w:ind w:firstLine="540"/>
        <w:jc w:val="both"/>
      </w:pPr>
      <w:r>
        <w:rPr>
          <w:sz w:val="20"/>
        </w:rPr>
        <w:t xml:space="preserve">Задача 9. Внедрение новых технологий диагностики, лечения и профилактики врожденных и (или) наследственных заболеваний.</w:t>
      </w:r>
    </w:p>
    <w:p>
      <w:pPr>
        <w:pStyle w:val="0"/>
        <w:spacing w:before="200" w:line-rule="auto"/>
        <w:ind w:firstLine="540"/>
        <w:jc w:val="both"/>
      </w:pPr>
      <w:r>
        <w:rPr>
          <w:sz w:val="20"/>
        </w:rPr>
        <w:t xml:space="preserve">Задача 10. Организация сбора достоверных статистических данных по заболеваемости, смертности и инвалидности пациентов с врожденными и (или) наследственными заболеваниями, в том числе с использованием региональных информационных сервисов.</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подразделов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jc w:val="center"/>
      </w:pPr>
      <w:r>
        <w:rPr>
          <w:sz w:val="20"/>
        </w:rPr>
        <w:t xml:space="preserve">2.3. Показатели региональной программы</w:t>
      </w:r>
    </w:p>
    <w:p>
      <w:pPr>
        <w:pStyle w:val="0"/>
        <w:ind w:firstLine="540"/>
        <w:jc w:val="both"/>
      </w:pPr>
      <w:r>
        <w:rPr>
          <w:sz w:val="20"/>
        </w:rPr>
      </w:r>
    </w:p>
    <w:p>
      <w:pPr>
        <w:pStyle w:val="0"/>
        <w:ind w:firstLine="540"/>
        <w:jc w:val="both"/>
      </w:pPr>
      <w:r>
        <w:rPr>
          <w:sz w:val="20"/>
        </w:rPr>
        <w:t xml:space="preserve">Показатель 1. Доля новорожденных, обследованных на врожденные и (или) наследственные заболевания (РНС), от общего числа новорожденных, родившихся живыми (%).</w:t>
      </w:r>
    </w:p>
    <w:p>
      <w:pPr>
        <w:pStyle w:val="0"/>
        <w:spacing w:before="200" w:line-rule="auto"/>
        <w:ind w:firstLine="540"/>
        <w:jc w:val="both"/>
      </w:pPr>
      <w:r>
        <w:rPr>
          <w:sz w:val="20"/>
        </w:rPr>
        <w:t xml:space="preserve">Показатель 2. Доля новорожденных группы высокого риска, направленных для проведения подтверждающей диагностики в ходе РНС (%).</w:t>
      </w:r>
    </w:p>
    <w:p>
      <w:pPr>
        <w:pStyle w:val="0"/>
        <w:spacing w:before="200" w:line-rule="auto"/>
        <w:ind w:firstLine="540"/>
        <w:jc w:val="both"/>
      </w:pPr>
      <w:r>
        <w:rPr>
          <w:sz w:val="20"/>
        </w:rPr>
        <w:t xml:space="preserve">Показатель 3. Доля новорожденных с впервые в жизни установленными врожденными и (или) наследственными заболеваниями, выявленными при проведении РНС, от общего числа новорожденных, обследованных на РНС (%).</w:t>
      </w:r>
    </w:p>
    <w:p>
      <w:pPr>
        <w:pStyle w:val="0"/>
        <w:spacing w:before="200" w:line-rule="auto"/>
        <w:ind w:firstLine="540"/>
        <w:jc w:val="both"/>
      </w:pPr>
      <w:r>
        <w:rPr>
          <w:sz w:val="20"/>
        </w:rPr>
        <w:t xml:space="preserve">Показатель 4. Доля новорожденных с впервые в жизни установленными врожденными и (или) наследственными заболеваниями, выявленными при проведении РНС, в отношении которых установлено диспансерное наблюдение, от общего числа новорожденных с впервые в жизни установленными врожденными и (или) наследственными заболеваниями (%).</w:t>
      </w:r>
    </w:p>
    <w:p>
      <w:pPr>
        <w:pStyle w:val="0"/>
        <w:spacing w:before="200" w:line-rule="auto"/>
        <w:ind w:firstLine="540"/>
        <w:jc w:val="both"/>
      </w:pPr>
      <w:r>
        <w:rPr>
          <w:sz w:val="20"/>
        </w:rPr>
        <w:t xml:space="preserve">Показатель 5. Доля новорожденных с установленными врожденными и (или) наследственными заболеваниями, выявленными при проведении РНС, получающих патогенетическую терапию, от общего числа детей, которым установлено диспансерное наблюдение (%).</w:t>
      </w:r>
    </w:p>
    <w:p>
      <w:pPr>
        <w:pStyle w:val="0"/>
        <w:ind w:firstLine="540"/>
        <w:jc w:val="both"/>
      </w:pPr>
      <w:r>
        <w:rPr>
          <w:sz w:val="20"/>
        </w:rPr>
      </w:r>
    </w:p>
    <w:p>
      <w:pPr>
        <w:pStyle w:val="2"/>
        <w:outlineLvl w:val="2"/>
        <w:jc w:val="center"/>
      </w:pPr>
      <w:r>
        <w:rPr>
          <w:sz w:val="20"/>
        </w:rPr>
        <w:t xml:space="preserve">2.4. Мероприятия региональной программы</w:t>
      </w:r>
    </w:p>
    <w:p>
      <w:pPr>
        <w:pStyle w:val="0"/>
        <w:ind w:firstLine="540"/>
        <w:jc w:val="both"/>
      </w:pPr>
      <w:r>
        <w:rPr>
          <w:sz w:val="20"/>
        </w:rPr>
      </w:r>
    </w:p>
    <w:p>
      <w:pPr>
        <w:pStyle w:val="0"/>
        <w:ind w:firstLine="540"/>
        <w:jc w:val="both"/>
      </w:pPr>
      <w:r>
        <w:rPr>
          <w:sz w:val="20"/>
        </w:rPr>
        <w:t xml:space="preserve">Мероприятия региональной программы основываются на анализе результатов оказания медицинской помощи пациентам с врожденными и (или) наследственными заболеваниями, в том числе, выявленными при проведении РНС, анализе доступности медицинской помощи при проведении НС, анализе маршрутизации при обеспечении РНС, анализе кадровой обеспеченности с учетом возможности использования ресурсов профильных медицинских организаций других субъектов и федеральных медицинских центров, изложенных в </w:t>
      </w:r>
      <w:hyperlink w:history="0" w:anchor="P27909" w:tooltip="Раздел 1. АНАЛИЗ ТЕКУЩЕГО СОСТОЯНИЯ ОКАЗАНИЯ МЕДИЦИНСКОЙ">
        <w:r>
          <w:rPr>
            <w:sz w:val="20"/>
            <w:color w:val="0000ff"/>
          </w:rPr>
          <w:t xml:space="preserve">Разделе 1</w:t>
        </w:r>
      </w:hyperlink>
      <w:r>
        <w:rPr>
          <w:sz w:val="20"/>
        </w:rPr>
        <w:t xml:space="preserve">. "Анализ текущего состояния оказания медицинской помощи пациентам с врожденными и (или) наследственными заболеваниями в ходе неонатального скрининга в автономном округе".</w:t>
      </w:r>
    </w:p>
    <w:p>
      <w:pPr>
        <w:pStyle w:val="0"/>
        <w:ind w:firstLine="540"/>
        <w:jc w:val="both"/>
      </w:pPr>
      <w:r>
        <w:rPr>
          <w:sz w:val="20"/>
        </w:rPr>
      </w:r>
    </w:p>
    <w:p>
      <w:pPr>
        <w:pStyle w:val="2"/>
        <w:outlineLvl w:val="3"/>
        <w:jc w:val="center"/>
      </w:pPr>
      <w:r>
        <w:rPr>
          <w:sz w:val="20"/>
        </w:rPr>
        <w:t xml:space="preserve">Перечень мероприятий региональной программы</w:t>
      </w:r>
    </w:p>
    <w:p>
      <w:pPr>
        <w:pStyle w:val="0"/>
        <w:ind w:firstLine="540"/>
        <w:jc w:val="both"/>
      </w:pPr>
      <w:r>
        <w:rPr>
          <w:sz w:val="20"/>
        </w:rPr>
      </w:r>
    </w:p>
    <w:p>
      <w:pPr>
        <w:pStyle w:val="2"/>
        <w:outlineLvl w:val="4"/>
        <w:jc w:val="center"/>
      </w:pPr>
      <w:r>
        <w:rPr>
          <w:sz w:val="20"/>
        </w:rPr>
        <w:t xml:space="preserve">2.4.1. Обеспечение нормативного правового регулирования РНС</w:t>
      </w:r>
    </w:p>
    <w:p>
      <w:pPr>
        <w:pStyle w:val="2"/>
        <w:jc w:val="center"/>
      </w:pPr>
      <w:r>
        <w:rPr>
          <w:sz w:val="20"/>
        </w:rPr>
        <w:t xml:space="preserve">в автономном округе</w:t>
      </w:r>
    </w:p>
    <w:p>
      <w:pPr>
        <w:pStyle w:val="0"/>
        <w:ind w:firstLine="540"/>
        <w:jc w:val="both"/>
      </w:pPr>
      <w:r>
        <w:rPr>
          <w:sz w:val="20"/>
        </w:rPr>
      </w:r>
    </w:p>
    <w:p>
      <w:pPr>
        <w:pStyle w:val="0"/>
        <w:ind w:firstLine="540"/>
        <w:jc w:val="both"/>
      </w:pPr>
      <w:r>
        <w:rPr>
          <w:sz w:val="20"/>
        </w:rPr>
        <w:t xml:space="preserve">Совершенствование нормативной правовой базы по организации медицинской помощи пациентам с врожденными и (или) наследственными заболеваниями, диагностированными в ходе проведения РНС (региональная программа "Обеспечение расширенного неонатального скрининга", приказ Департамента здравоохранения автономного округа по маршрутизации, регламентирующий этапы проведения РНС в соответствии с </w:t>
      </w:r>
      <w:hyperlink w:history="0" r:id="rId240"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0"/>
            <w:color w:val="0000ff"/>
          </w:rPr>
          <w:t xml:space="preserve">Порядком</w:t>
        </w:r>
      </w:hyperlink>
      <w:r>
        <w:rPr>
          <w:sz w:val="20"/>
        </w:rPr>
        <w:t xml:space="preserve"> оказания медицинской помощи пациентам с врожденными и (или) наследственными заболеваниями, утвержденным Приказом N 274н, диспансерное наблюдение, оказание экстренной и плановой медицинской помощи детям с наследственными и (или) врожденными заболеваниями, выявленными в ходе РНС, региональные документы по реализации льготного лекарственного обеспечения пациентов с врожденными и (или) наследственными заболеваниями, выявленными в ходе РНС, о взаимодействии с Фондом "Круг добра", перечень стандартов операционных процедур при проведении НС и РНС).</w:t>
      </w:r>
    </w:p>
    <w:p>
      <w:pPr>
        <w:pStyle w:val="0"/>
        <w:ind w:firstLine="540"/>
        <w:jc w:val="both"/>
      </w:pPr>
      <w:r>
        <w:rPr>
          <w:sz w:val="20"/>
        </w:rPr>
      </w:r>
    </w:p>
    <w:p>
      <w:pPr>
        <w:pStyle w:val="2"/>
        <w:outlineLvl w:val="4"/>
        <w:jc w:val="center"/>
      </w:pPr>
      <w:r>
        <w:rPr>
          <w:sz w:val="20"/>
        </w:rPr>
        <w:t xml:space="preserve">2.4.2. Формирование оптимальной маршрутизации,</w:t>
      </w:r>
    </w:p>
    <w:p>
      <w:pPr>
        <w:pStyle w:val="2"/>
        <w:jc w:val="center"/>
      </w:pPr>
      <w:r>
        <w:rPr>
          <w:sz w:val="20"/>
        </w:rPr>
        <w:t xml:space="preserve">обеспечивающей проведение РНС</w:t>
      </w:r>
    </w:p>
    <w:p>
      <w:pPr>
        <w:pStyle w:val="0"/>
        <w:ind w:firstLine="540"/>
        <w:jc w:val="both"/>
      </w:pPr>
      <w:r>
        <w:rPr>
          <w:sz w:val="20"/>
        </w:rPr>
      </w:r>
    </w:p>
    <w:p>
      <w:pPr>
        <w:pStyle w:val="0"/>
        <w:ind w:firstLine="540"/>
        <w:jc w:val="both"/>
      </w:pPr>
      <w:r>
        <w:rPr>
          <w:sz w:val="20"/>
        </w:rPr>
        <w:t xml:space="preserve">Маршрутизация в ходе РНС в соответствии с </w:t>
      </w:r>
      <w:hyperlink w:history="0" r:id="rId241"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0"/>
            <w:color w:val="0000ff"/>
          </w:rPr>
          <w:t xml:space="preserve">Приказом</w:t>
        </w:r>
      </w:hyperlink>
      <w:r>
        <w:rPr>
          <w:sz w:val="20"/>
        </w:rPr>
        <w:t xml:space="preserve"> N 274н "Об утверждении Порядка оказания медицинской помощи пациентам с врожденными и (или) наследственными заболеваниями", направленная на своевременное выявление наследственных и (или) врожденных заболеваний и постановку на диспансерное наблюдение в пределах существующей инфраструктуры.</w:t>
      </w:r>
    </w:p>
    <w:p>
      <w:pPr>
        <w:pStyle w:val="0"/>
        <w:spacing w:before="200" w:line-rule="auto"/>
        <w:ind w:firstLine="540"/>
        <w:jc w:val="both"/>
      </w:pPr>
      <w:r>
        <w:rPr>
          <w:sz w:val="20"/>
        </w:rPr>
        <w:t xml:space="preserve">Маршрутизация выстраивается следующим образом:</w:t>
      </w:r>
    </w:p>
    <w:p>
      <w:pPr>
        <w:pStyle w:val="0"/>
        <w:spacing w:before="200" w:line-rule="auto"/>
        <w:ind w:firstLine="540"/>
        <w:jc w:val="both"/>
      </w:pPr>
      <w:r>
        <w:rPr>
          <w:sz w:val="20"/>
        </w:rPr>
        <w:t xml:space="preserve">1. Информирование родителей (законного представителя) о проведении РНС, заполнение информированных согласий и/или отказа от проведения РНС.</w:t>
      </w:r>
    </w:p>
    <w:p>
      <w:pPr>
        <w:pStyle w:val="0"/>
        <w:spacing w:before="200" w:line-rule="auto"/>
        <w:ind w:firstLine="540"/>
        <w:jc w:val="both"/>
      </w:pPr>
      <w:r>
        <w:rPr>
          <w:sz w:val="20"/>
        </w:rPr>
        <w:t xml:space="preserve">2. Формирование направления на проведение забора крови на тест-бланки в ходе РНС.</w:t>
      </w:r>
    </w:p>
    <w:p>
      <w:pPr>
        <w:pStyle w:val="0"/>
        <w:spacing w:before="200" w:line-rule="auto"/>
        <w:ind w:firstLine="540"/>
        <w:jc w:val="both"/>
      </w:pPr>
      <w:r>
        <w:rPr>
          <w:sz w:val="20"/>
        </w:rPr>
        <w:t xml:space="preserve">3. Взятие крови обученными сотрудниками на проведение НС и РНС в медицинских организациях автономного округа </w:t>
      </w:r>
      <w:hyperlink w:history="0" w:anchor="P29261" w:tooltip="Число медицинских организаций, осуществляющих забор проб">
        <w:r>
          <w:rPr>
            <w:sz w:val="20"/>
            <w:color w:val="0000ff"/>
          </w:rPr>
          <w:t xml:space="preserve">(таблица 14)</w:t>
        </w:r>
      </w:hyperlink>
      <w:r>
        <w:rPr>
          <w:sz w:val="20"/>
        </w:rPr>
        <w:t xml:space="preserve">, формирование необходимого запаса соответствующих тест-бланков.</w:t>
      </w:r>
    </w:p>
    <w:p>
      <w:pPr>
        <w:pStyle w:val="0"/>
        <w:spacing w:before="200" w:line-rule="auto"/>
        <w:ind w:firstLine="540"/>
        <w:jc w:val="both"/>
      </w:pPr>
      <w:r>
        <w:rPr>
          <w:sz w:val="20"/>
        </w:rPr>
        <w:t xml:space="preserve">4. МГК БУ "Сургутский окружной клинический центр охраны материнства и детства" осуществляет сортировку и дальнейшую отправку указанных тест-бланков в медицинские организации 3А и 3Б групп, заключает договоры на оказание услуг по проведению РНС и подтверждающей диагностики.</w:t>
      </w:r>
    </w:p>
    <w:p>
      <w:pPr>
        <w:pStyle w:val="0"/>
        <w:spacing w:before="200" w:line-rule="auto"/>
        <w:ind w:firstLine="540"/>
        <w:jc w:val="both"/>
      </w:pPr>
      <w:r>
        <w:rPr>
          <w:sz w:val="20"/>
        </w:rPr>
        <w:t xml:space="preserve">5. Логистическая схема проведения РНС в автономном округе включает: отправку тест-бланков в учреждения 3А группы (государственное автономное учреждение здравоохранения Свердловской области "Клинико-диагностический центр "Охрана здоровья матери и ребенка") из МГК БУ "Сургутский окружной клинический центр охраны материнства и детства". Направление биологического материала и пациента для проведения подтверждающей диагностики и консультирования, в том числе с применением телемедицинских технологий, в учреждение 3Б группы (федеральное государственное бюджетное научное учреждение "Медико-генетический научный центр имени академика Н.П. Бочкова") (</w:t>
      </w:r>
      <w:hyperlink w:history="0" w:anchor="P30425" w:tooltip="Схема доставки биоматериала в автономном округе">
        <w:r>
          <w:rPr>
            <w:sz w:val="20"/>
            <w:color w:val="0000ff"/>
          </w:rPr>
          <w:t xml:space="preserve">схемы 1</w:t>
        </w:r>
      </w:hyperlink>
      <w:r>
        <w:rPr>
          <w:sz w:val="20"/>
        </w:rPr>
        <w:t xml:space="preserve">, </w:t>
      </w:r>
      <w:hyperlink w:history="0" w:anchor="P30432" w:tooltip="Схема доставки биоматериала в автономном округе">
        <w:r>
          <w:rPr>
            <w:sz w:val="20"/>
            <w:color w:val="0000ff"/>
          </w:rPr>
          <w:t xml:space="preserve">2</w:t>
        </w:r>
      </w:hyperlink>
      <w:r>
        <w:rPr>
          <w:sz w:val="20"/>
        </w:rPr>
        <w:t xml:space="preserve">).</w:t>
      </w:r>
    </w:p>
    <w:p>
      <w:pPr>
        <w:pStyle w:val="0"/>
        <w:spacing w:before="200" w:line-rule="auto"/>
        <w:ind w:firstLine="540"/>
        <w:jc w:val="both"/>
      </w:pPr>
      <w:r>
        <w:rPr>
          <w:sz w:val="20"/>
        </w:rPr>
        <w:t xml:space="preserve">6. Информирование законных представителей ребенка и медицинской организации, оказывающей первичную медико-санитарную помощь детям, о результатах РНС, подтверждающей диагностики.</w:t>
      </w:r>
    </w:p>
    <w:p>
      <w:pPr>
        <w:pStyle w:val="0"/>
        <w:spacing w:before="200" w:line-rule="auto"/>
        <w:ind w:firstLine="540"/>
        <w:jc w:val="both"/>
      </w:pPr>
      <w:r>
        <w:rPr>
          <w:sz w:val="20"/>
        </w:rPr>
        <w:t xml:space="preserve">Информирование законных представителей и медицинской организации, оказывающей первичную медико-санитарную помощь детям, осуществляется как о положительных, так и об отрицательных результатах РНС, подтверждающей диагностики.</w:t>
      </w:r>
    </w:p>
    <w:p>
      <w:pPr>
        <w:pStyle w:val="0"/>
        <w:spacing w:before="200" w:line-rule="auto"/>
        <w:ind w:firstLine="540"/>
        <w:jc w:val="both"/>
      </w:pPr>
      <w:r>
        <w:rPr>
          <w:sz w:val="20"/>
        </w:rPr>
        <w:t xml:space="preserve">Сформированная маршрутизация, обеспечивающая проведение РНС, позволяет обеспечить охват новорожденных РНС, от общего числа новорожденных, родившихся живыми: в 2023 году - не менее 80%, в 2024 году - не менее 95%, в 2025 году - 95%.</w:t>
      </w:r>
    </w:p>
    <w:p>
      <w:pPr>
        <w:pStyle w:val="0"/>
        <w:ind w:firstLine="540"/>
        <w:jc w:val="both"/>
      </w:pPr>
      <w:r>
        <w:rPr>
          <w:sz w:val="20"/>
        </w:rPr>
      </w:r>
    </w:p>
    <w:p>
      <w:pPr>
        <w:pStyle w:val="2"/>
        <w:outlineLvl w:val="4"/>
        <w:jc w:val="center"/>
      </w:pPr>
      <w:r>
        <w:rPr>
          <w:sz w:val="20"/>
        </w:rPr>
        <w:t xml:space="preserve">2.4.3. Совершенствование материально-технической базы МГК БУ</w:t>
      </w:r>
    </w:p>
    <w:p>
      <w:pPr>
        <w:pStyle w:val="2"/>
        <w:jc w:val="center"/>
      </w:pPr>
      <w:r>
        <w:rPr>
          <w:sz w:val="20"/>
        </w:rPr>
        <w:t xml:space="preserve">"Сургутский окружной клинический центр охраны материнства</w:t>
      </w:r>
    </w:p>
    <w:p>
      <w:pPr>
        <w:pStyle w:val="2"/>
        <w:jc w:val="center"/>
      </w:pPr>
      <w:r>
        <w:rPr>
          <w:sz w:val="20"/>
        </w:rPr>
        <w:t xml:space="preserve">и детства"</w:t>
      </w:r>
    </w:p>
    <w:p>
      <w:pPr>
        <w:pStyle w:val="0"/>
        <w:ind w:firstLine="540"/>
        <w:jc w:val="both"/>
      </w:pPr>
      <w:r>
        <w:rPr>
          <w:sz w:val="20"/>
        </w:rPr>
      </w:r>
    </w:p>
    <w:p>
      <w:pPr>
        <w:pStyle w:val="0"/>
        <w:ind w:firstLine="540"/>
        <w:jc w:val="both"/>
      </w:pPr>
      <w:r>
        <w:rPr>
          <w:sz w:val="20"/>
        </w:rPr>
        <w:t xml:space="preserve">Реализация за счет подготовки "дорожной карты по дооснащению оборудованием МГК БУ "Сургутский окружной клинический центр охраны материнства и детства" согласно </w:t>
      </w:r>
      <w:hyperlink w:history="0" r:id="rId242"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0"/>
            <w:color w:val="0000ff"/>
          </w:rPr>
          <w:t xml:space="preserve">Порядку</w:t>
        </w:r>
      </w:hyperlink>
      <w:r>
        <w:rPr>
          <w:sz w:val="20"/>
        </w:rPr>
        <w:t xml:space="preserve"> оказания медицинской помощи пациентам с врожденными и (или) наследственными заболеваниями, утвержденному Приказом N 274н (формирование перечня необходимого оборудования, организация мероприятий по закупке оборудования).</w:t>
      </w:r>
    </w:p>
    <w:p>
      <w:pPr>
        <w:pStyle w:val="0"/>
        <w:spacing w:before="200" w:line-rule="auto"/>
        <w:ind w:firstLine="540"/>
        <w:jc w:val="both"/>
      </w:pPr>
      <w:r>
        <w:rPr>
          <w:sz w:val="20"/>
        </w:rPr>
        <w:t xml:space="preserve">За период 2023 - 2025 гг. планируется дооснащение медико-генетической консультации БУ "Сургутский окружной клинический центр охраны материнства и детства" 61 единицей оборудования (оборудование, включенное в стандарт оснащения медицинских организаций второй группы, </w:t>
      </w:r>
      <w:hyperlink w:history="0" r:id="rId243"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0"/>
            <w:color w:val="0000ff"/>
          </w:rPr>
          <w:t xml:space="preserve">порядка</w:t>
        </w:r>
      </w:hyperlink>
      <w:r>
        <w:rPr>
          <w:sz w:val="20"/>
        </w:rPr>
        <w:t xml:space="preserve"> оказания медицинской помощи пациентам с врожденными и (или) наследственными заболеваниями, утвержденному Приказом N 274н).</w:t>
      </w:r>
    </w:p>
    <w:p>
      <w:pPr>
        <w:pStyle w:val="0"/>
        <w:ind w:firstLine="540"/>
        <w:jc w:val="both"/>
      </w:pPr>
      <w:r>
        <w:rPr>
          <w:sz w:val="20"/>
        </w:rPr>
      </w:r>
    </w:p>
    <w:p>
      <w:pPr>
        <w:pStyle w:val="2"/>
        <w:outlineLvl w:val="4"/>
        <w:jc w:val="center"/>
      </w:pPr>
      <w:r>
        <w:rPr>
          <w:sz w:val="20"/>
        </w:rPr>
        <w:t xml:space="preserve">2.4.4. Обеспечение квалифицированными кадрами медицинских</w:t>
      </w:r>
    </w:p>
    <w:p>
      <w:pPr>
        <w:pStyle w:val="2"/>
        <w:jc w:val="center"/>
      </w:pPr>
      <w:r>
        <w:rPr>
          <w:sz w:val="20"/>
        </w:rPr>
        <w:t xml:space="preserve">организаций, оказывающих медицинскую помощь детям</w:t>
      </w:r>
    </w:p>
    <w:p>
      <w:pPr>
        <w:pStyle w:val="2"/>
        <w:jc w:val="center"/>
      </w:pPr>
      <w:r>
        <w:rPr>
          <w:sz w:val="20"/>
        </w:rPr>
        <w:t xml:space="preserve">с врожденными и (или) наследственными заболеваниями,</w:t>
      </w:r>
    </w:p>
    <w:p>
      <w:pPr>
        <w:pStyle w:val="2"/>
        <w:jc w:val="center"/>
      </w:pPr>
      <w:r>
        <w:rPr>
          <w:sz w:val="20"/>
        </w:rPr>
        <w:t xml:space="preserve">выявленными в ходе РНС</w:t>
      </w:r>
    </w:p>
    <w:p>
      <w:pPr>
        <w:pStyle w:val="0"/>
        <w:ind w:firstLine="540"/>
        <w:jc w:val="both"/>
      </w:pPr>
      <w:r>
        <w:rPr>
          <w:sz w:val="20"/>
        </w:rPr>
      </w:r>
    </w:p>
    <w:p>
      <w:pPr>
        <w:pStyle w:val="0"/>
        <w:ind w:firstLine="540"/>
        <w:jc w:val="both"/>
      </w:pPr>
      <w:r>
        <w:rPr>
          <w:sz w:val="20"/>
        </w:rPr>
        <w:t xml:space="preserve">Определение потребности в медицинских кадрах МГК БУ "Сургутский окружной клинический центр охраны материнства и детства", формирование контрольных цифр приема на целевое обучение для подготовки специалистов с учетом реальной потребности автономного округа в медицинских кадрах, участвующих в оказании медицинской помощи пациентам с врожденными и (или) наследственными заболеваниями, в том числе выявляемых с помощью РНС, обучение персонала медицинских организаций, осуществляющих проведение НС и РНС, повышение квалификации медицинских работников, участвующих в оказании медицинской помощи пациентам с врожденными и (или) наследственными заболеваниями, в том числе в системе непрерывного медицинского образования.</w:t>
      </w:r>
    </w:p>
    <w:p>
      <w:pPr>
        <w:pStyle w:val="0"/>
        <w:spacing w:before="200" w:line-rule="auto"/>
        <w:ind w:firstLine="540"/>
        <w:jc w:val="both"/>
      </w:pPr>
      <w:r>
        <w:rPr>
          <w:sz w:val="20"/>
        </w:rPr>
        <w:t xml:space="preserve">За период 2023 - 2024 годов планируется доукомплектование медико-генетической консультации БУ автономного округа "Сургутский окружной клинический центр охраны материнства и детства" 1 врачом - лабораторным генетиком, 1 врачом клинической лабораторной диагностики (биолог) и 6 медицинскими лабораторными техниками.</w:t>
      </w:r>
    </w:p>
    <w:p>
      <w:pPr>
        <w:pStyle w:val="0"/>
        <w:ind w:firstLine="540"/>
        <w:jc w:val="both"/>
      </w:pPr>
      <w:r>
        <w:rPr>
          <w:sz w:val="20"/>
        </w:rPr>
      </w:r>
    </w:p>
    <w:p>
      <w:pPr>
        <w:pStyle w:val="2"/>
        <w:outlineLvl w:val="4"/>
        <w:jc w:val="center"/>
      </w:pPr>
      <w:r>
        <w:rPr>
          <w:sz w:val="20"/>
        </w:rPr>
        <w:t xml:space="preserve">2.4.5. Информационное взаимодействие между медицинскими</w:t>
      </w:r>
    </w:p>
    <w:p>
      <w:pPr>
        <w:pStyle w:val="2"/>
        <w:jc w:val="center"/>
      </w:pPr>
      <w:r>
        <w:rPr>
          <w:sz w:val="20"/>
        </w:rPr>
        <w:t xml:space="preserve">организациями, сопровождающее оказание медицинской помощи</w:t>
      </w:r>
    </w:p>
    <w:p>
      <w:pPr>
        <w:pStyle w:val="2"/>
        <w:jc w:val="center"/>
      </w:pPr>
      <w:r>
        <w:rPr>
          <w:sz w:val="20"/>
        </w:rPr>
        <w:t xml:space="preserve">детям с врожденными и (или) наследственными заболеваниями,</w:t>
      </w:r>
    </w:p>
    <w:p>
      <w:pPr>
        <w:pStyle w:val="2"/>
        <w:jc w:val="center"/>
      </w:pPr>
      <w:r>
        <w:rPr>
          <w:sz w:val="20"/>
        </w:rPr>
        <w:t xml:space="preserve">выявленными при НС и РНС</w:t>
      </w:r>
    </w:p>
    <w:p>
      <w:pPr>
        <w:pStyle w:val="0"/>
        <w:ind w:firstLine="540"/>
        <w:jc w:val="both"/>
      </w:pPr>
      <w:r>
        <w:rPr>
          <w:sz w:val="20"/>
        </w:rPr>
      </w:r>
    </w:p>
    <w:p>
      <w:pPr>
        <w:pStyle w:val="0"/>
        <w:ind w:firstLine="540"/>
        <w:jc w:val="both"/>
      </w:pPr>
      <w:r>
        <w:rPr>
          <w:sz w:val="20"/>
        </w:rPr>
        <w:t xml:space="preserve">Обеспечение учреждениями родовспоможения (19 медицинских организаций, указанных в </w:t>
      </w:r>
      <w:hyperlink w:history="0" w:anchor="P29261" w:tooltip="Число медицинских организаций, осуществляющих забор проб">
        <w:r>
          <w:rPr>
            <w:sz w:val="20"/>
            <w:color w:val="0000ff"/>
          </w:rPr>
          <w:t xml:space="preserve">таблице 14</w:t>
        </w:r>
      </w:hyperlink>
      <w:r>
        <w:rPr>
          <w:sz w:val="20"/>
        </w:rPr>
        <w:t xml:space="preserve">) СЭМД "МСР" в течение 1 суток после рождения с использованием информационной системы "Учет смертности и рождаемости".</w:t>
      </w:r>
    </w:p>
    <w:p>
      <w:pPr>
        <w:pStyle w:val="0"/>
        <w:spacing w:before="200" w:line-rule="auto"/>
        <w:ind w:firstLine="540"/>
        <w:jc w:val="both"/>
      </w:pPr>
      <w:r>
        <w:rPr>
          <w:sz w:val="20"/>
        </w:rPr>
        <w:t xml:space="preserve">Передача сведений о факте рождения СЭМД "МСР" в Реестр электронных медицинских документов в 100% случаев с 1 января 2023 года.</w:t>
      </w:r>
    </w:p>
    <w:p>
      <w:pPr>
        <w:pStyle w:val="0"/>
        <w:spacing w:before="200" w:line-rule="auto"/>
        <w:ind w:firstLine="540"/>
        <w:jc w:val="both"/>
      </w:pPr>
      <w:r>
        <w:rPr>
          <w:sz w:val="20"/>
        </w:rPr>
        <w:t xml:space="preserve">Медицинские организации, осуществляющие забор крови на НС и РНС, осуществляют оформление СЭМД "Направление на неонатальный скрининг" (19 учреждений родовспоможения, 35 детских поликлиник/детских поликлинических отделений, из них 23 детские поликлиники (2 уровень), 12 поликлинических отделений (1 уровень), на базе 5 структурных подразделений БУ "Нижневартовская окружная клиническая детская больница", БУ "Сургутская клиническая травматологическая больница, БУ "Окружной кардиологический диспансер "Центр диагностики и сердечно-сосудистой хирургии", казенного учреждения автономного округа "Урайский специализированный Дом ребенка" </w:t>
      </w:r>
      <w:hyperlink w:history="0" w:anchor="P29261" w:tooltip="Число медицинских организаций, осуществляющих забор проб">
        <w:r>
          <w:rPr>
            <w:sz w:val="20"/>
            <w:color w:val="0000ff"/>
          </w:rPr>
          <w:t xml:space="preserve">(таблица 14)</w:t>
        </w:r>
      </w:hyperlink>
      <w:r>
        <w:rPr>
          <w:sz w:val="20"/>
        </w:rPr>
        <w:t xml:space="preserve">).</w:t>
      </w:r>
    </w:p>
    <w:p>
      <w:pPr>
        <w:pStyle w:val="0"/>
        <w:spacing w:before="200" w:line-rule="auto"/>
        <w:ind w:firstLine="540"/>
        <w:jc w:val="both"/>
      </w:pPr>
      <w:r>
        <w:rPr>
          <w:sz w:val="20"/>
        </w:rPr>
        <w:t xml:space="preserve">Оформление СЭМД "Направление на неонатальный скрининг" в 100% случаев с 1 января 2023 года.</w:t>
      </w:r>
    </w:p>
    <w:p>
      <w:pPr>
        <w:pStyle w:val="0"/>
        <w:spacing w:before="200" w:line-rule="auto"/>
        <w:ind w:firstLine="540"/>
        <w:jc w:val="both"/>
      </w:pPr>
      <w:r>
        <w:rPr>
          <w:sz w:val="20"/>
        </w:rPr>
        <w:t xml:space="preserve">Медицинские организации, осуществляющие лабораторную диагностику (МГК), передают сведения о результатах исследования (СЭМД "Протокол лабораторного исследования").</w:t>
      </w:r>
    </w:p>
    <w:p>
      <w:pPr>
        <w:pStyle w:val="0"/>
        <w:spacing w:before="200" w:line-rule="auto"/>
        <w:ind w:firstLine="540"/>
        <w:jc w:val="both"/>
      </w:pPr>
      <w:r>
        <w:rPr>
          <w:sz w:val="20"/>
        </w:rPr>
        <w:t xml:space="preserve">Передача СЭМД "Протокол лабораторного исследования" в ВИМИС "АКиНЕО" в 100% случаев с 1 января 2023 года.</w:t>
      </w:r>
    </w:p>
    <w:p>
      <w:pPr>
        <w:pStyle w:val="0"/>
        <w:spacing w:before="200" w:line-rule="auto"/>
        <w:ind w:firstLine="540"/>
        <w:jc w:val="both"/>
      </w:pPr>
      <w:r>
        <w:rPr>
          <w:sz w:val="20"/>
        </w:rPr>
        <w:t xml:space="preserve">В ходе информационного взаимодействия осуществляется интеграция медицинских информационных систем (МИС), лабораторных информационных систем (ЛИС), систем передачи и архивации изображений медицинских организаций с государственной информационной системой в сфере здравоохранения автономного округа (ГИС СЗ), Единой государственной информационной системы в сфере здравоохранения (ЕГИСЗ) и компонентом федеральной государственной информационной системы "Платформа вертикально интегрированных медицинских информационных систем" по профилям "Акушерство и гинекология" и "Неонатология" (ВИМИС "АКиНЕО"), ведение регионального сегмента федерального регистра новорожденных с выявленными наследственными (или) врожденными заболеваниями, выявленными при проведении РНС.</w:t>
      </w:r>
    </w:p>
    <w:p>
      <w:pPr>
        <w:pStyle w:val="0"/>
        <w:ind w:firstLine="540"/>
        <w:jc w:val="both"/>
      </w:pPr>
      <w:r>
        <w:rPr>
          <w:sz w:val="20"/>
        </w:rPr>
      </w:r>
    </w:p>
    <w:p>
      <w:pPr>
        <w:pStyle w:val="2"/>
        <w:outlineLvl w:val="4"/>
        <w:jc w:val="center"/>
      </w:pPr>
      <w:r>
        <w:rPr>
          <w:sz w:val="20"/>
        </w:rPr>
        <w:t xml:space="preserve">2.4.6. Обеспечение своевременного диспансерного наблюдения</w:t>
      </w:r>
    </w:p>
    <w:p>
      <w:pPr>
        <w:pStyle w:val="2"/>
        <w:jc w:val="center"/>
      </w:pPr>
      <w:r>
        <w:rPr>
          <w:sz w:val="20"/>
        </w:rPr>
        <w:t xml:space="preserve">пациентов с врожденными и (или) наследственными</w:t>
      </w:r>
    </w:p>
    <w:p>
      <w:pPr>
        <w:pStyle w:val="2"/>
        <w:jc w:val="center"/>
      </w:pPr>
      <w:r>
        <w:rPr>
          <w:sz w:val="20"/>
        </w:rPr>
        <w:t xml:space="preserve">заболеваниями, выявленными, в том числе в ходе РНС</w:t>
      </w:r>
    </w:p>
    <w:p>
      <w:pPr>
        <w:pStyle w:val="0"/>
        <w:ind w:firstLine="540"/>
        <w:jc w:val="both"/>
      </w:pPr>
      <w:r>
        <w:rPr>
          <w:sz w:val="20"/>
        </w:rPr>
      </w:r>
    </w:p>
    <w:p>
      <w:pPr>
        <w:pStyle w:val="0"/>
        <w:ind w:firstLine="540"/>
        <w:jc w:val="both"/>
      </w:pPr>
      <w:r>
        <w:rPr>
          <w:sz w:val="20"/>
        </w:rPr>
        <w:t xml:space="preserve">Обеспечение своевременного диспансерного наблюдения пациентов с врожденными и (или) наследственными заболеваниями осуществляется за счет незамедлительного информирования родителей (законных представителей) ребенка о факте заболевания специалистами МГК и профильными специалистами медицинских организаций по месту жительства ребенка. В соответствии с диагнозом формируется план диспансерного наблюдения, лечения и реабилитации.</w:t>
      </w:r>
    </w:p>
    <w:p>
      <w:pPr>
        <w:pStyle w:val="0"/>
        <w:ind w:firstLine="540"/>
        <w:jc w:val="both"/>
      </w:pPr>
      <w:r>
        <w:rPr>
          <w:sz w:val="20"/>
        </w:rPr>
      </w:r>
    </w:p>
    <w:p>
      <w:pPr>
        <w:pStyle w:val="2"/>
        <w:outlineLvl w:val="4"/>
        <w:jc w:val="center"/>
      </w:pPr>
      <w:r>
        <w:rPr>
          <w:sz w:val="20"/>
        </w:rPr>
        <w:t xml:space="preserve">2.4.7. Внедрение клинических рекомендаций и стандартов</w:t>
      </w:r>
    </w:p>
    <w:p>
      <w:pPr>
        <w:pStyle w:val="2"/>
        <w:jc w:val="center"/>
      </w:pPr>
      <w:r>
        <w:rPr>
          <w:sz w:val="20"/>
        </w:rPr>
        <w:t xml:space="preserve">оказания медицинской помощи по профилактике, диагностике,</w:t>
      </w:r>
    </w:p>
    <w:p>
      <w:pPr>
        <w:pStyle w:val="2"/>
        <w:jc w:val="center"/>
      </w:pPr>
      <w:r>
        <w:rPr>
          <w:sz w:val="20"/>
        </w:rPr>
        <w:t xml:space="preserve">лечению и реабилитации пациентов с врожденными и (или)</w:t>
      </w:r>
    </w:p>
    <w:p>
      <w:pPr>
        <w:pStyle w:val="2"/>
        <w:jc w:val="center"/>
      </w:pPr>
      <w:r>
        <w:rPr>
          <w:sz w:val="20"/>
        </w:rPr>
        <w:t xml:space="preserve">наследственными заболеваниями, в том числе выявленными</w:t>
      </w:r>
    </w:p>
    <w:p>
      <w:pPr>
        <w:pStyle w:val="2"/>
        <w:jc w:val="center"/>
      </w:pPr>
      <w:r>
        <w:rPr>
          <w:sz w:val="20"/>
        </w:rPr>
        <w:t xml:space="preserve">при РНС</w:t>
      </w:r>
    </w:p>
    <w:p>
      <w:pPr>
        <w:pStyle w:val="0"/>
        <w:ind w:firstLine="540"/>
        <w:jc w:val="both"/>
      </w:pPr>
      <w:r>
        <w:rPr>
          <w:sz w:val="20"/>
        </w:rPr>
      </w:r>
    </w:p>
    <w:p>
      <w:pPr>
        <w:pStyle w:val="0"/>
        <w:ind w:firstLine="540"/>
        <w:jc w:val="both"/>
      </w:pPr>
      <w:r>
        <w:rPr>
          <w:sz w:val="20"/>
        </w:rPr>
        <w:t xml:space="preserve">Действующие клинические рекомендации по оказанию медицинской помощи пациентам с врожденными и (или) наследственными заболеваниями, в том числе выявленными при РНС, утвержденные Минздравом России: "Врожденный гипотиреоз у детей", "Кистозный фиброз (муковисцидоз)", "Классическая фенилкетонурия и другие виды гиперфенилаланинемии", "Нарушения обмена галактозы (Галактоземия)", "Проксимальная спинальная мышечная атрофия 5q", "Первичные иммунодефициты с преимущественной недостаточностью синтеза антител", "Наследственная тирозинемия 1 типа", "Болезнь "кленового сиропа", "Другие виды нарушения обмена аминокислот с разветвленной цепью (Пропионовая ацидемия/ацидурия)", "Другие виды нарушения обмена аминокислот с разветвленной цепью (Метилмалоновая ацидемия/ацидурия)", "Нарушение обмена серосодержащих аминокислот (гомоцистинурия)", "Изовалериановая ацидемия/ацидурия".</w:t>
      </w:r>
    </w:p>
    <w:p>
      <w:pPr>
        <w:pStyle w:val="0"/>
        <w:spacing w:before="200" w:line-rule="auto"/>
        <w:ind w:firstLine="540"/>
        <w:jc w:val="both"/>
      </w:pPr>
      <w:r>
        <w:rPr>
          <w:sz w:val="20"/>
        </w:rPr>
        <w:t xml:space="preserve">Новые клинические рекомендации по соответствующим профилям реализуются по мере их утверждения Минздравом России.</w:t>
      </w:r>
    </w:p>
    <w:p>
      <w:pPr>
        <w:pStyle w:val="0"/>
        <w:ind w:firstLine="540"/>
        <w:jc w:val="both"/>
      </w:pPr>
      <w:r>
        <w:rPr>
          <w:sz w:val="20"/>
        </w:rPr>
      </w:r>
    </w:p>
    <w:p>
      <w:pPr>
        <w:pStyle w:val="2"/>
        <w:outlineLvl w:val="4"/>
        <w:jc w:val="center"/>
      </w:pPr>
      <w:r>
        <w:rPr>
          <w:sz w:val="20"/>
        </w:rPr>
        <w:t xml:space="preserve">2.4.8. Методическое обеспечение качества оказания</w:t>
      </w:r>
    </w:p>
    <w:p>
      <w:pPr>
        <w:pStyle w:val="2"/>
        <w:jc w:val="center"/>
      </w:pPr>
      <w:r>
        <w:rPr>
          <w:sz w:val="20"/>
        </w:rPr>
        <w:t xml:space="preserve">медицинской помощи</w:t>
      </w:r>
    </w:p>
    <w:p>
      <w:pPr>
        <w:pStyle w:val="0"/>
        <w:ind w:firstLine="540"/>
        <w:jc w:val="both"/>
      </w:pPr>
      <w:r>
        <w:rPr>
          <w:sz w:val="20"/>
        </w:rPr>
      </w:r>
    </w:p>
    <w:p>
      <w:pPr>
        <w:pStyle w:val="0"/>
        <w:ind w:firstLine="540"/>
        <w:jc w:val="both"/>
      </w:pPr>
      <w:r>
        <w:rPr>
          <w:sz w:val="20"/>
        </w:rPr>
        <w:t xml:space="preserve">Организация внутреннего контроля качества и безопасности (в медицинских организациях автономного округа, участвующих в проведении РНС, оказании медицинской помощи пациентам с врожденными и (или) наследственными заболеваниями), включающего принятие мер организационного характера, направленных на обеспечение правильного выполнения медицинских технологий, снижения риска ухудшения состояния пациентов, проведение мероприятий по оценке внутреннего контроля качества оказания медицинской помощи на основе клинических рекомендаций, в том числе с использованием информации страховых компаний.</w:t>
      </w:r>
    </w:p>
    <w:p>
      <w:pPr>
        <w:pStyle w:val="0"/>
        <w:spacing w:before="200" w:line-rule="auto"/>
        <w:ind w:firstLine="540"/>
        <w:jc w:val="both"/>
      </w:pPr>
      <w:r>
        <w:rPr>
          <w:sz w:val="20"/>
        </w:rPr>
        <w:t xml:space="preserve">Организация внутреннего контроля качества и безопасности проведения РНС, оказания медицинской помощи пациентам с врожденными и (или) наследственными заболеваниями согласно </w:t>
      </w:r>
      <w:hyperlink w:history="0" r:id="rId244" w:tooltip="Приказ Минздрава России от 31.07.2020 N 785н &quot;Об утверждении Требований к организации и проведению внутреннего контроля качества и безопасности медицинской деятельности&quot; (Зарегистрировано в Минюсте России 02.10.2020 N 60192) {КонсультантПлюс}">
        <w:r>
          <w:rPr>
            <w:sz w:val="20"/>
            <w:color w:val="0000ff"/>
          </w:rPr>
          <w:t xml:space="preserve">приказу</w:t>
        </w:r>
      </w:hyperlink>
      <w:r>
        <w:rPr>
          <w:sz w:val="20"/>
        </w:rPr>
        <w:t xml:space="preserve"> Минздрава России от 31 июля 2020 года N 785н "Об утверждении Требований к организации и проведению внутреннего контроля качества и безопасности медицинской деятельности".</w:t>
      </w:r>
    </w:p>
    <w:p>
      <w:pPr>
        <w:pStyle w:val="0"/>
        <w:spacing w:before="200" w:line-rule="auto"/>
        <w:ind w:firstLine="540"/>
        <w:jc w:val="both"/>
      </w:pPr>
      <w:r>
        <w:rPr>
          <w:sz w:val="20"/>
        </w:rPr>
        <w:t xml:space="preserve">Проведение медицинскими организациями автономного округа внутреннего контроля качества и безопасности не реже 1 раза в квартал ежегодно в период реализации региональной программы (2023 - 2025 гг.).</w:t>
      </w:r>
    </w:p>
    <w:p>
      <w:pPr>
        <w:pStyle w:val="0"/>
        <w:ind w:firstLine="540"/>
        <w:jc w:val="both"/>
      </w:pPr>
      <w:r>
        <w:rPr>
          <w:sz w:val="20"/>
        </w:rPr>
      </w:r>
    </w:p>
    <w:p>
      <w:pPr>
        <w:pStyle w:val="2"/>
        <w:outlineLvl w:val="4"/>
        <w:jc w:val="center"/>
      </w:pPr>
      <w:r>
        <w:rPr>
          <w:sz w:val="20"/>
        </w:rPr>
        <w:t xml:space="preserve">2.4.9. Внедрение новых технологий диагностики, лечения</w:t>
      </w:r>
    </w:p>
    <w:p>
      <w:pPr>
        <w:pStyle w:val="2"/>
        <w:jc w:val="center"/>
      </w:pPr>
      <w:r>
        <w:rPr>
          <w:sz w:val="20"/>
        </w:rPr>
        <w:t xml:space="preserve">и профилактики врожденных и (или) наследственных заболеваний</w:t>
      </w:r>
    </w:p>
    <w:p>
      <w:pPr>
        <w:pStyle w:val="0"/>
        <w:ind w:firstLine="540"/>
        <w:jc w:val="both"/>
      </w:pPr>
      <w:r>
        <w:rPr>
          <w:sz w:val="20"/>
        </w:rPr>
      </w:r>
    </w:p>
    <w:p>
      <w:pPr>
        <w:pStyle w:val="0"/>
        <w:ind w:firstLine="540"/>
        <w:jc w:val="both"/>
      </w:pPr>
      <w:r>
        <w:rPr>
          <w:sz w:val="20"/>
        </w:rPr>
        <w:t xml:space="preserve">Внедрение эффективных практик по организации процесса оказания медицинской помощи пациентам с врожденными и (или) наследственными заболеваниями, в том числе лечению с использованием инновационных лекарственных препаратов в ходе взаимодействия с Фондом "Круг добра".</w:t>
      </w:r>
    </w:p>
    <w:p>
      <w:pPr>
        <w:pStyle w:val="0"/>
        <w:spacing w:before="200" w:line-rule="auto"/>
        <w:ind w:firstLine="540"/>
        <w:jc w:val="both"/>
      </w:pPr>
      <w:r>
        <w:rPr>
          <w:sz w:val="20"/>
        </w:rPr>
        <w:t xml:space="preserve">Внедрение новых технологий диагностики, лечения и профилактики врожденных и (или) наследственных заболеваний при участии главных внештатных профильных специалистов Департамента здравоохранения автономного округа на основе клинических рекомендаций, утвержденных Минздравом России.</w:t>
      </w:r>
    </w:p>
    <w:p>
      <w:pPr>
        <w:pStyle w:val="0"/>
        <w:spacing w:before="200" w:line-rule="auto"/>
        <w:ind w:firstLine="540"/>
        <w:jc w:val="both"/>
      </w:pPr>
      <w:r>
        <w:rPr>
          <w:sz w:val="20"/>
        </w:rPr>
        <w:t xml:space="preserve">Внедрение не менее 1 новой технологии диагностики, лечения и профилактики врожденных и (или) наследственных заболеваний ежегодно в период реализации региональной программы (2023 - 2025 гг.).</w:t>
      </w:r>
    </w:p>
    <w:p>
      <w:pPr>
        <w:pStyle w:val="0"/>
        <w:ind w:firstLine="540"/>
        <w:jc w:val="both"/>
      </w:pPr>
      <w:r>
        <w:rPr>
          <w:sz w:val="20"/>
        </w:rPr>
      </w:r>
    </w:p>
    <w:p>
      <w:pPr>
        <w:pStyle w:val="2"/>
        <w:outlineLvl w:val="4"/>
        <w:jc w:val="center"/>
      </w:pPr>
      <w:r>
        <w:rPr>
          <w:sz w:val="20"/>
        </w:rPr>
        <w:t xml:space="preserve">2.4.10. Организация сбора достоверных статистических данных</w:t>
      </w:r>
    </w:p>
    <w:p>
      <w:pPr>
        <w:pStyle w:val="2"/>
        <w:jc w:val="center"/>
      </w:pPr>
      <w:r>
        <w:rPr>
          <w:sz w:val="20"/>
        </w:rPr>
        <w:t xml:space="preserve">по заболеваемости, смертности и инвалидности среди пациентов</w:t>
      </w:r>
    </w:p>
    <w:p>
      <w:pPr>
        <w:pStyle w:val="2"/>
        <w:jc w:val="center"/>
      </w:pPr>
      <w:r>
        <w:rPr>
          <w:sz w:val="20"/>
        </w:rPr>
        <w:t xml:space="preserve">с врожденными и (или) наследственными заболеваниями</w:t>
      </w:r>
    </w:p>
    <w:p>
      <w:pPr>
        <w:pStyle w:val="0"/>
        <w:jc w:val="center"/>
      </w:pPr>
      <w:r>
        <w:rPr>
          <w:sz w:val="20"/>
        </w:rPr>
      </w:r>
    </w:p>
    <w:p>
      <w:pPr>
        <w:pStyle w:val="0"/>
        <w:ind w:firstLine="540"/>
        <w:jc w:val="both"/>
      </w:pPr>
      <w:r>
        <w:rPr>
          <w:sz w:val="20"/>
        </w:rPr>
        <w:t xml:space="preserve">Ежеквартальный сбор форм федерального статистического наблюдения N 12 "Сведения о числе заболеваний, зарегистрированных у пациентов, проживающих в районе обслуживания медицинской организации", N 19 "Сведения о детях-инвалидах", N 32 "Сведения о медицинской помощи беременным, роженицам и родильницам", анализ данных Росстата по смертности от врожденных и (или) наследственных заболеваний в период реализации региональной программы (2023 - 2025 гг.).</w:t>
      </w:r>
    </w:p>
    <w:p>
      <w:pPr>
        <w:pStyle w:val="0"/>
        <w:ind w:firstLine="540"/>
        <w:jc w:val="both"/>
      </w:pPr>
      <w:r>
        <w:rPr>
          <w:sz w:val="20"/>
        </w:rPr>
      </w:r>
    </w:p>
    <w:p>
      <w:pPr>
        <w:pStyle w:val="2"/>
        <w:outlineLvl w:val="4"/>
        <w:jc w:val="center"/>
      </w:pPr>
      <w:r>
        <w:rPr>
          <w:sz w:val="20"/>
        </w:rPr>
        <w:t xml:space="preserve">2.4.11. Разработка и реализация системы информационной</w:t>
      </w:r>
    </w:p>
    <w:p>
      <w:pPr>
        <w:pStyle w:val="2"/>
        <w:jc w:val="center"/>
      </w:pPr>
      <w:r>
        <w:rPr>
          <w:sz w:val="20"/>
        </w:rPr>
        <w:t xml:space="preserve">поддержки НС и РНС для населения</w:t>
      </w:r>
    </w:p>
    <w:p>
      <w:pPr>
        <w:pStyle w:val="0"/>
        <w:ind w:firstLine="540"/>
        <w:jc w:val="both"/>
      </w:pPr>
      <w:r>
        <w:rPr>
          <w:sz w:val="20"/>
        </w:rPr>
      </w:r>
    </w:p>
    <w:p>
      <w:pPr>
        <w:pStyle w:val="0"/>
        <w:ind w:firstLine="540"/>
        <w:jc w:val="both"/>
      </w:pPr>
      <w:r>
        <w:rPr>
          <w:sz w:val="20"/>
        </w:rPr>
        <w:t xml:space="preserve">Разработка, распространение макетов листовок, плакатов, рассказывающих о РНС родителям (законным представителям) ребенка, размещение информационных материалов в медицинских организациях (на официальных сайтах).</w:t>
      </w:r>
    </w:p>
    <w:p>
      <w:pPr>
        <w:pStyle w:val="0"/>
        <w:spacing w:before="200" w:line-rule="auto"/>
        <w:ind w:firstLine="540"/>
        <w:jc w:val="both"/>
      </w:pPr>
      <w:r>
        <w:rPr>
          <w:sz w:val="20"/>
        </w:rPr>
        <w:t xml:space="preserve">Проведение информационной кампании на базе 19 учреждений родовспоможения, в том числе в ходе проведения школы молодой матери, 23 детских поликлиник, 12 поликлинических отделений участковых и районных больниц при участии главного внештатного специалиста по медицинской генетике Департамента здравоохранения автономного округа, БУ автономного округа "Центр общественного здоровья и медицинской профилактики".</w:t>
      </w:r>
    </w:p>
    <w:p>
      <w:pPr>
        <w:pStyle w:val="0"/>
        <w:spacing w:before="200" w:line-rule="auto"/>
        <w:ind w:firstLine="540"/>
        <w:jc w:val="both"/>
      </w:pPr>
      <w:r>
        <w:rPr>
          <w:sz w:val="20"/>
        </w:rPr>
        <w:t xml:space="preserve">Осуществление информационно-коммуникационных мероприятий о проведении в автономном округе РНС не менее 500 ежегодно в период реализации региональной программы (2023 - 2025 гг.).</w:t>
      </w:r>
    </w:p>
    <w:p>
      <w:pPr>
        <w:pStyle w:val="0"/>
        <w:ind w:firstLine="540"/>
        <w:jc w:val="both"/>
      </w:pPr>
      <w:r>
        <w:rPr>
          <w:sz w:val="20"/>
        </w:rPr>
      </w:r>
    </w:p>
    <w:p>
      <w:pPr>
        <w:pStyle w:val="2"/>
        <w:outlineLvl w:val="1"/>
        <w:jc w:val="center"/>
      </w:pPr>
      <w:r>
        <w:rPr>
          <w:sz w:val="20"/>
        </w:rPr>
        <w:t xml:space="preserve">Раздел 3. РЕЗУЛЬТАТЫ РЕГИОНАЛЬНОЙ ПРОГРАММЫ</w:t>
      </w:r>
    </w:p>
    <w:p>
      <w:pPr>
        <w:pStyle w:val="0"/>
        <w:jc w:val="right"/>
      </w:pPr>
      <w:r>
        <w:rPr>
          <w:sz w:val="20"/>
        </w:rPr>
      </w:r>
    </w:p>
    <w:p>
      <w:pPr>
        <w:pStyle w:val="0"/>
        <w:jc w:val="center"/>
      </w:pPr>
      <w:r>
        <w:rPr>
          <w:sz w:val="20"/>
        </w:rPr>
        <w:t xml:space="preserve">Индикативные показатели региональной программы в автономном</w:t>
      </w:r>
    </w:p>
    <w:p>
      <w:pPr>
        <w:pStyle w:val="0"/>
        <w:jc w:val="center"/>
      </w:pPr>
      <w:r>
        <w:rPr>
          <w:sz w:val="20"/>
        </w:rPr>
        <w:t xml:space="preserve">округе</w:t>
      </w:r>
    </w:p>
    <w:p>
      <w:pPr>
        <w:pStyle w:val="0"/>
        <w:jc w:val="right"/>
      </w:pPr>
      <w:r>
        <w:rPr>
          <w:sz w:val="20"/>
        </w:rPr>
      </w:r>
    </w:p>
    <w:p>
      <w:pPr>
        <w:pStyle w:val="0"/>
        <w:jc w:val="right"/>
      </w:pPr>
      <w:r>
        <w:rPr>
          <w:sz w:val="20"/>
        </w:rPr>
        <w:t xml:space="preserve">Таблица 12</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5783"/>
        <w:gridCol w:w="794"/>
        <w:gridCol w:w="850"/>
        <w:gridCol w:w="964"/>
      </w:tblGrid>
      <w:tr>
        <w:tc>
          <w:tcPr>
            <w:tcW w:w="454" w:type="dxa"/>
          </w:tcPr>
          <w:p>
            <w:pPr>
              <w:pStyle w:val="0"/>
              <w:jc w:val="center"/>
            </w:pPr>
            <w:r>
              <w:rPr>
                <w:sz w:val="20"/>
              </w:rPr>
              <w:t xml:space="preserve">N п/п</w:t>
            </w:r>
          </w:p>
        </w:tc>
        <w:tc>
          <w:tcPr>
            <w:tcW w:w="5783" w:type="dxa"/>
          </w:tcPr>
          <w:p>
            <w:pPr>
              <w:pStyle w:val="0"/>
              <w:jc w:val="center"/>
            </w:pPr>
            <w:r>
              <w:rPr>
                <w:sz w:val="20"/>
              </w:rPr>
              <w:t xml:space="preserve">Наименование индикативного показателя</w:t>
            </w:r>
          </w:p>
        </w:tc>
        <w:tc>
          <w:tcPr>
            <w:tcW w:w="794" w:type="dxa"/>
          </w:tcPr>
          <w:p>
            <w:pPr>
              <w:pStyle w:val="0"/>
              <w:jc w:val="center"/>
            </w:pPr>
            <w:r>
              <w:rPr>
                <w:sz w:val="20"/>
              </w:rPr>
              <w:t xml:space="preserve">2023 год</w:t>
            </w:r>
          </w:p>
        </w:tc>
        <w:tc>
          <w:tcPr>
            <w:tcW w:w="850" w:type="dxa"/>
          </w:tcPr>
          <w:p>
            <w:pPr>
              <w:pStyle w:val="0"/>
              <w:jc w:val="center"/>
            </w:pPr>
            <w:r>
              <w:rPr>
                <w:sz w:val="20"/>
              </w:rPr>
              <w:t xml:space="preserve">2024</w:t>
            </w:r>
          </w:p>
          <w:p>
            <w:pPr>
              <w:pStyle w:val="0"/>
              <w:jc w:val="center"/>
            </w:pPr>
            <w:r>
              <w:rPr>
                <w:sz w:val="20"/>
              </w:rPr>
              <w:t xml:space="preserve">год</w:t>
            </w:r>
          </w:p>
        </w:tc>
        <w:tc>
          <w:tcPr>
            <w:tcW w:w="964" w:type="dxa"/>
          </w:tcPr>
          <w:p>
            <w:pPr>
              <w:pStyle w:val="0"/>
              <w:jc w:val="center"/>
            </w:pPr>
            <w:r>
              <w:rPr>
                <w:sz w:val="20"/>
              </w:rPr>
              <w:t xml:space="preserve">2025 год</w:t>
            </w:r>
          </w:p>
        </w:tc>
      </w:tr>
      <w:tr>
        <w:tc>
          <w:tcPr>
            <w:tcW w:w="454" w:type="dxa"/>
          </w:tcPr>
          <w:p>
            <w:pPr>
              <w:pStyle w:val="0"/>
            </w:pPr>
            <w:r>
              <w:rPr>
                <w:sz w:val="20"/>
              </w:rPr>
              <w:t xml:space="preserve">1.</w:t>
            </w:r>
          </w:p>
        </w:tc>
        <w:tc>
          <w:tcPr>
            <w:tcW w:w="5783" w:type="dxa"/>
          </w:tcPr>
          <w:p>
            <w:pPr>
              <w:pStyle w:val="0"/>
            </w:pPr>
            <w:r>
              <w:rPr>
                <w:sz w:val="20"/>
              </w:rPr>
              <w:t xml:space="preserve">Доля новорожденных, обследованных на врожденные и (или) наследственные заболевания (РНС), от общего числа новорожденных, родившихся живыми, не менее (%)</w:t>
            </w:r>
          </w:p>
        </w:tc>
        <w:tc>
          <w:tcPr>
            <w:tcW w:w="794" w:type="dxa"/>
          </w:tcPr>
          <w:p>
            <w:pPr>
              <w:pStyle w:val="0"/>
            </w:pPr>
            <w:r>
              <w:rPr>
                <w:sz w:val="20"/>
              </w:rPr>
              <w:t xml:space="preserve">80%</w:t>
            </w:r>
          </w:p>
        </w:tc>
        <w:tc>
          <w:tcPr>
            <w:tcW w:w="850" w:type="dxa"/>
          </w:tcPr>
          <w:p>
            <w:pPr>
              <w:pStyle w:val="0"/>
            </w:pPr>
            <w:r>
              <w:rPr>
                <w:sz w:val="20"/>
              </w:rPr>
              <w:t xml:space="preserve">95%</w:t>
            </w:r>
          </w:p>
        </w:tc>
        <w:tc>
          <w:tcPr>
            <w:tcW w:w="964" w:type="dxa"/>
          </w:tcPr>
          <w:p>
            <w:pPr>
              <w:pStyle w:val="0"/>
            </w:pPr>
            <w:r>
              <w:rPr>
                <w:sz w:val="20"/>
              </w:rPr>
              <w:t xml:space="preserve">95%</w:t>
            </w:r>
          </w:p>
        </w:tc>
      </w:tr>
      <w:tr>
        <w:tc>
          <w:tcPr>
            <w:tcW w:w="454" w:type="dxa"/>
          </w:tcPr>
          <w:p>
            <w:pPr>
              <w:pStyle w:val="0"/>
            </w:pPr>
            <w:r>
              <w:rPr>
                <w:sz w:val="20"/>
              </w:rPr>
              <w:t xml:space="preserve">2.</w:t>
            </w:r>
          </w:p>
        </w:tc>
        <w:tc>
          <w:tcPr>
            <w:tcW w:w="5783" w:type="dxa"/>
          </w:tcPr>
          <w:p>
            <w:pPr>
              <w:pStyle w:val="0"/>
            </w:pPr>
            <w:r>
              <w:rPr>
                <w:sz w:val="20"/>
              </w:rPr>
              <w:t xml:space="preserve">Доля новорожденных группы высокого риска, направленных для проведения подтверждающей диагностики в ходе РНС, не менее (%)</w:t>
            </w:r>
          </w:p>
        </w:tc>
        <w:tc>
          <w:tcPr>
            <w:tcW w:w="794" w:type="dxa"/>
          </w:tcPr>
          <w:p>
            <w:pPr>
              <w:pStyle w:val="0"/>
            </w:pPr>
            <w:r>
              <w:rPr>
                <w:sz w:val="20"/>
              </w:rPr>
              <w:t xml:space="preserve">90%</w:t>
            </w:r>
          </w:p>
        </w:tc>
        <w:tc>
          <w:tcPr>
            <w:tcW w:w="850" w:type="dxa"/>
          </w:tcPr>
          <w:p>
            <w:pPr>
              <w:pStyle w:val="0"/>
            </w:pPr>
            <w:r>
              <w:rPr>
                <w:sz w:val="20"/>
              </w:rPr>
              <w:t xml:space="preserve">95%</w:t>
            </w:r>
          </w:p>
        </w:tc>
        <w:tc>
          <w:tcPr>
            <w:tcW w:w="964" w:type="dxa"/>
          </w:tcPr>
          <w:p>
            <w:pPr>
              <w:pStyle w:val="0"/>
            </w:pPr>
            <w:r>
              <w:rPr>
                <w:sz w:val="20"/>
              </w:rPr>
              <w:t xml:space="preserve">95%</w:t>
            </w:r>
          </w:p>
        </w:tc>
      </w:tr>
      <w:tr>
        <w:tc>
          <w:tcPr>
            <w:tcW w:w="454" w:type="dxa"/>
          </w:tcPr>
          <w:p>
            <w:pPr>
              <w:pStyle w:val="0"/>
            </w:pPr>
            <w:r>
              <w:rPr>
                <w:sz w:val="20"/>
              </w:rPr>
              <w:t xml:space="preserve">3.</w:t>
            </w:r>
          </w:p>
        </w:tc>
        <w:tc>
          <w:tcPr>
            <w:tcW w:w="5783" w:type="dxa"/>
          </w:tcPr>
          <w:p>
            <w:pPr>
              <w:pStyle w:val="0"/>
            </w:pPr>
            <w:r>
              <w:rPr>
                <w:sz w:val="20"/>
              </w:rPr>
              <w:t xml:space="preserve">Доля новорожденных с впервые в жизни установленными врожденными и (или) наследственными заболеваниями, выявленными при проведении РНС, от общего числа новорожденных, обследованных на РНС (%)</w:t>
            </w:r>
          </w:p>
        </w:tc>
        <w:tc>
          <w:tcPr>
            <w:tcW w:w="794" w:type="dxa"/>
          </w:tcPr>
          <w:p>
            <w:pPr>
              <w:pStyle w:val="0"/>
            </w:pPr>
            <w:r>
              <w:rPr>
                <w:sz w:val="20"/>
              </w:rPr>
              <w:t xml:space="preserve">0,1%</w:t>
            </w:r>
          </w:p>
        </w:tc>
        <w:tc>
          <w:tcPr>
            <w:tcW w:w="850" w:type="dxa"/>
          </w:tcPr>
          <w:p>
            <w:pPr>
              <w:pStyle w:val="0"/>
            </w:pPr>
            <w:r>
              <w:rPr>
                <w:sz w:val="20"/>
              </w:rPr>
              <w:t xml:space="preserve">0,1%</w:t>
            </w:r>
          </w:p>
        </w:tc>
        <w:tc>
          <w:tcPr>
            <w:tcW w:w="964" w:type="dxa"/>
          </w:tcPr>
          <w:p>
            <w:pPr>
              <w:pStyle w:val="0"/>
            </w:pPr>
            <w:r>
              <w:rPr>
                <w:sz w:val="20"/>
              </w:rPr>
              <w:t xml:space="preserve">0,1%</w:t>
            </w:r>
          </w:p>
        </w:tc>
      </w:tr>
      <w:tr>
        <w:tc>
          <w:tcPr>
            <w:tcW w:w="454" w:type="dxa"/>
          </w:tcPr>
          <w:p>
            <w:pPr>
              <w:pStyle w:val="0"/>
            </w:pPr>
            <w:r>
              <w:rPr>
                <w:sz w:val="20"/>
              </w:rPr>
              <w:t xml:space="preserve">4.</w:t>
            </w:r>
          </w:p>
        </w:tc>
        <w:tc>
          <w:tcPr>
            <w:tcW w:w="5783" w:type="dxa"/>
          </w:tcPr>
          <w:p>
            <w:pPr>
              <w:pStyle w:val="0"/>
            </w:pPr>
            <w:r>
              <w:rPr>
                <w:sz w:val="20"/>
              </w:rPr>
              <w:t xml:space="preserve">Доля новорожденных с впервые в жизни установленными врожденными и (или) наследственными заболеваниями, выявленными при проведении РНС, в отношении которых установлено диспансерное наблюдение, от общего числа новорожденных с впервые в жизни установленными врожденными и (или) наследственными заболеваниями, не менее (%)</w:t>
            </w:r>
          </w:p>
        </w:tc>
        <w:tc>
          <w:tcPr>
            <w:tcW w:w="794" w:type="dxa"/>
          </w:tcPr>
          <w:p>
            <w:pPr>
              <w:pStyle w:val="0"/>
            </w:pPr>
            <w:r>
              <w:rPr>
                <w:sz w:val="20"/>
              </w:rPr>
              <w:t xml:space="preserve">90%</w:t>
            </w:r>
          </w:p>
        </w:tc>
        <w:tc>
          <w:tcPr>
            <w:tcW w:w="850" w:type="dxa"/>
          </w:tcPr>
          <w:p>
            <w:pPr>
              <w:pStyle w:val="0"/>
            </w:pPr>
            <w:r>
              <w:rPr>
                <w:sz w:val="20"/>
              </w:rPr>
              <w:t xml:space="preserve">95%</w:t>
            </w:r>
          </w:p>
        </w:tc>
        <w:tc>
          <w:tcPr>
            <w:tcW w:w="964" w:type="dxa"/>
          </w:tcPr>
          <w:p>
            <w:pPr>
              <w:pStyle w:val="0"/>
            </w:pPr>
            <w:r>
              <w:rPr>
                <w:sz w:val="20"/>
              </w:rPr>
              <w:t xml:space="preserve">95%</w:t>
            </w:r>
          </w:p>
        </w:tc>
      </w:tr>
      <w:tr>
        <w:tc>
          <w:tcPr>
            <w:tcW w:w="454" w:type="dxa"/>
          </w:tcPr>
          <w:p>
            <w:pPr>
              <w:pStyle w:val="0"/>
            </w:pPr>
            <w:r>
              <w:rPr>
                <w:sz w:val="20"/>
              </w:rPr>
              <w:t xml:space="preserve">5.</w:t>
            </w:r>
          </w:p>
        </w:tc>
        <w:tc>
          <w:tcPr>
            <w:tcW w:w="5783" w:type="dxa"/>
          </w:tcPr>
          <w:p>
            <w:pPr>
              <w:pStyle w:val="0"/>
            </w:pPr>
            <w:r>
              <w:rPr>
                <w:sz w:val="20"/>
              </w:rPr>
              <w:t xml:space="preserve">Доля новорожденных с установленными врожденными и (или) наследственными заболеваниями, выявленными при проведении РНС, получающих патогенетическую терапию ЛП и СПЛП, от общего числа детей, которым установлено диспансерное наблюдение (%)</w:t>
            </w:r>
          </w:p>
        </w:tc>
        <w:tc>
          <w:tcPr>
            <w:tcW w:w="794" w:type="dxa"/>
          </w:tcPr>
          <w:p>
            <w:pPr>
              <w:pStyle w:val="0"/>
            </w:pPr>
            <w:r>
              <w:rPr>
                <w:sz w:val="20"/>
              </w:rPr>
              <w:t xml:space="preserve">95%</w:t>
            </w:r>
          </w:p>
        </w:tc>
        <w:tc>
          <w:tcPr>
            <w:tcW w:w="850" w:type="dxa"/>
          </w:tcPr>
          <w:p>
            <w:pPr>
              <w:pStyle w:val="0"/>
            </w:pPr>
            <w:r>
              <w:rPr>
                <w:sz w:val="20"/>
              </w:rPr>
              <w:t xml:space="preserve">95%</w:t>
            </w:r>
          </w:p>
        </w:tc>
        <w:tc>
          <w:tcPr>
            <w:tcW w:w="964" w:type="dxa"/>
          </w:tcPr>
          <w:p>
            <w:pPr>
              <w:pStyle w:val="0"/>
            </w:pPr>
            <w:r>
              <w:rPr>
                <w:sz w:val="20"/>
              </w:rPr>
              <w:t xml:space="preserve">95%</w:t>
            </w:r>
          </w:p>
        </w:tc>
      </w:tr>
    </w:tbl>
    <w:p>
      <w:pPr>
        <w:pStyle w:val="0"/>
        <w:ind w:firstLine="540"/>
        <w:jc w:val="both"/>
      </w:pPr>
      <w:r>
        <w:rPr>
          <w:sz w:val="20"/>
        </w:rPr>
      </w:r>
    </w:p>
    <w:p>
      <w:pPr>
        <w:pStyle w:val="0"/>
        <w:ind w:firstLine="540"/>
        <w:jc w:val="both"/>
      </w:pPr>
      <w:r>
        <w:rPr>
          <w:sz w:val="20"/>
        </w:rPr>
        <w:t xml:space="preserve">Результатами региональной программы являются:</w:t>
      </w:r>
    </w:p>
    <w:p>
      <w:pPr>
        <w:pStyle w:val="0"/>
        <w:spacing w:before="200" w:line-rule="auto"/>
        <w:ind w:firstLine="540"/>
        <w:jc w:val="both"/>
      </w:pPr>
      <w:r>
        <w:rPr>
          <w:sz w:val="20"/>
        </w:rPr>
        <w:t xml:space="preserve">1. Разработана региональная программа "Обеспечение расширенного неонатального скрининга" для обеспечения массового обследования новорожденных на врожденные и (или) наследственные заболевания в ходе РНС.</w:t>
      </w:r>
    </w:p>
    <w:p>
      <w:pPr>
        <w:pStyle w:val="0"/>
        <w:spacing w:before="200" w:line-rule="auto"/>
        <w:ind w:firstLine="540"/>
        <w:jc w:val="both"/>
      </w:pPr>
      <w:r>
        <w:rPr>
          <w:sz w:val="20"/>
        </w:rPr>
        <w:t xml:space="preserve">2. Сформирована и утверждена региональным приказом оптимальная маршрутизация в автономном округе, основанная на существующей инфраструктуре автономного округа, обеспечивающей проведение РНС, в соответствии с </w:t>
      </w:r>
      <w:hyperlink w:history="0" r:id="rId245"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0"/>
            <w:color w:val="0000ff"/>
          </w:rPr>
          <w:t xml:space="preserve">Порядком</w:t>
        </w:r>
      </w:hyperlink>
      <w:r>
        <w:rPr>
          <w:sz w:val="20"/>
        </w:rPr>
        <w:t xml:space="preserve"> оказания медицинской помощи пациентам с врожденными и (или) наследственными заболеваниями, утвержденным Приказом N 274н.</w:t>
      </w:r>
    </w:p>
    <w:p>
      <w:pPr>
        <w:pStyle w:val="0"/>
        <w:spacing w:before="200" w:line-rule="auto"/>
        <w:ind w:firstLine="540"/>
        <w:jc w:val="both"/>
      </w:pPr>
      <w:r>
        <w:rPr>
          <w:sz w:val="20"/>
        </w:rPr>
        <w:t xml:space="preserve">3. Созданы условия для ведения регионального сегмента федерального регистра новорожденных с выявленными наследственными и (или) врожденными заболеваниями в результате проведения РНС. Проведена интеграция МИС, ЛИС, систем передачи и архивации изображений медицинских организаций с ГИС СЗ, ЕГИСЗ и ВИМИС "АКиНЕО".</w:t>
      </w:r>
    </w:p>
    <w:p>
      <w:pPr>
        <w:pStyle w:val="0"/>
        <w:spacing w:before="200" w:line-rule="auto"/>
        <w:ind w:firstLine="540"/>
        <w:jc w:val="both"/>
      </w:pPr>
      <w:r>
        <w:rPr>
          <w:sz w:val="20"/>
        </w:rPr>
        <w:t xml:space="preserve">4. Внедрены клинические рекомендации и стандарты медицинской помощи, утвержденные Минздравом России, по ведению пациентов с врожденными и (или) наследственными заболеваниями, в 100% профильных медицинских организациях.</w:t>
      </w:r>
    </w:p>
    <w:p>
      <w:pPr>
        <w:pStyle w:val="0"/>
        <w:spacing w:before="200" w:line-rule="auto"/>
        <w:ind w:firstLine="540"/>
        <w:jc w:val="both"/>
      </w:pPr>
      <w:r>
        <w:rPr>
          <w:sz w:val="20"/>
        </w:rPr>
        <w:t xml:space="preserve">5. Сформированы мероприятия по повышению квалификации средних медицинских работников, осуществляющих отбор проб у новорожденных, медицинских сотрудников лабораторий, осуществляющих НС и РНС, а также врачей-специалистов, осуществляющих диспансерное наблюдение за пациентами с наследственными и (или) врожденными заболеваниями.</w:t>
      </w:r>
    </w:p>
    <w:p>
      <w:pPr>
        <w:pStyle w:val="0"/>
        <w:spacing w:before="200" w:line-rule="auto"/>
        <w:ind w:firstLine="540"/>
        <w:jc w:val="both"/>
      </w:pPr>
      <w:r>
        <w:rPr>
          <w:sz w:val="20"/>
        </w:rPr>
        <w:t xml:space="preserve">6. Внедрены новые технологии диагностики, лечения и профилактики врожденных и (или) наследственных заболеваний.</w:t>
      </w:r>
    </w:p>
    <w:p>
      <w:pPr>
        <w:pStyle w:val="0"/>
        <w:spacing w:before="200" w:line-rule="auto"/>
        <w:ind w:firstLine="540"/>
        <w:jc w:val="both"/>
      </w:pPr>
      <w:r>
        <w:rPr>
          <w:sz w:val="20"/>
        </w:rPr>
        <w:t xml:space="preserve">7. Организован сбор достоверных статистических данных по заболеваемости, смертности и инвалидности среди пациентов с врожденными и (или) наследственными заболеваниями, в том числе с использованием региональных информационных сервисов.</w:t>
      </w:r>
    </w:p>
    <w:p>
      <w:pPr>
        <w:pStyle w:val="0"/>
        <w:ind w:firstLine="540"/>
        <w:jc w:val="both"/>
      </w:pPr>
      <w:r>
        <w:rPr>
          <w:sz w:val="20"/>
        </w:rPr>
      </w:r>
    </w:p>
    <w:p>
      <w:pPr>
        <w:pStyle w:val="2"/>
        <w:outlineLvl w:val="1"/>
        <w:jc w:val="center"/>
      </w:pPr>
      <w:r>
        <w:rPr>
          <w:sz w:val="20"/>
        </w:rPr>
        <w:t xml:space="preserve">Раздел 4. СРОКИ РЕАЛИЗАЦИИ РЕГИОНАЛЬНОЙ ПРОГРАММЫ</w:t>
      </w:r>
    </w:p>
    <w:p>
      <w:pPr>
        <w:pStyle w:val="0"/>
        <w:ind w:firstLine="540"/>
        <w:jc w:val="both"/>
      </w:pPr>
      <w:r>
        <w:rPr>
          <w:sz w:val="20"/>
        </w:rPr>
      </w:r>
    </w:p>
    <w:p>
      <w:pPr>
        <w:pStyle w:val="0"/>
        <w:ind w:firstLine="540"/>
        <w:jc w:val="both"/>
      </w:pPr>
      <w:r>
        <w:rPr>
          <w:sz w:val="20"/>
        </w:rPr>
        <w:t xml:space="preserve">Региональная программа реализуется в период 2023 - 2025 годов.</w:t>
      </w:r>
    </w:p>
    <w:p>
      <w:pPr>
        <w:pStyle w:val="0"/>
        <w:ind w:firstLine="540"/>
        <w:jc w:val="both"/>
      </w:pPr>
      <w:r>
        <w:rPr>
          <w:sz w:val="20"/>
        </w:rPr>
      </w:r>
    </w:p>
    <w:p>
      <w:pPr>
        <w:pStyle w:val="2"/>
        <w:outlineLvl w:val="1"/>
        <w:jc w:val="center"/>
      </w:pPr>
      <w:r>
        <w:rPr>
          <w:sz w:val="20"/>
        </w:rPr>
        <w:t xml:space="preserve">Раздел 5. ФИНАНСОВО-ЭКОНОМИЧЕСКОЕ ОБОСНОВАНИЕ РЕГИОНАЛЬНОЙ</w:t>
      </w:r>
    </w:p>
    <w:p>
      <w:pPr>
        <w:pStyle w:val="2"/>
        <w:jc w:val="center"/>
      </w:pPr>
      <w:r>
        <w:rPr>
          <w:sz w:val="20"/>
        </w:rPr>
        <w:t xml:space="preserve">ПРОГРАММЫ</w:t>
      </w:r>
    </w:p>
    <w:p>
      <w:pPr>
        <w:pStyle w:val="0"/>
        <w:ind w:firstLine="540"/>
        <w:jc w:val="both"/>
      </w:pPr>
      <w:r>
        <w:rPr>
          <w:sz w:val="20"/>
        </w:rPr>
      </w:r>
    </w:p>
    <w:p>
      <w:pPr>
        <w:pStyle w:val="0"/>
        <w:ind w:firstLine="540"/>
        <w:jc w:val="both"/>
      </w:pPr>
      <w:r>
        <w:rPr>
          <w:sz w:val="20"/>
        </w:rPr>
        <w:t xml:space="preserve">Финансирование РНС осуществляется по государственной программе автономного округа "Современное здравоохранение" за счет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реализации мероприятий по проведению массового обследования новорожденных на врожденные и (или) наследственные заболевания (РНС), в ходе федерального проекта "Обеспечение расширенного неонатального скрининга" на 2023 год и плановый период 2024 и 2025 годов.</w:t>
      </w:r>
    </w:p>
    <w:p>
      <w:pPr>
        <w:pStyle w:val="0"/>
        <w:spacing w:before="200" w:line-rule="auto"/>
        <w:ind w:firstLine="540"/>
        <w:jc w:val="both"/>
      </w:pPr>
      <w:r>
        <w:rPr>
          <w:sz w:val="20"/>
        </w:rPr>
        <w:t xml:space="preserve">Финансирование из бюджета автономного округа доставки тест-бланков до учреждения 3А уровня (государственное автономное учреждение здравоохранения Свердловской области "Клинико-диагностический центр "Охрана здоровья матери и ребенка", г. Екатеринбург), обеспечивающего проведение РНС, доставки биологического материала до учреждения 3Б уровня (федеральное государственное бюджетное научное учреждение "Медико-генетический научный центр имени академика Н.П. Бочкова", г. Москва), обеспечивающего проведение подтверждающей диагностики, закупку тест-бланков (таблица 13).</w:t>
      </w:r>
    </w:p>
    <w:p>
      <w:pPr>
        <w:pStyle w:val="0"/>
        <w:jc w:val="center"/>
      </w:pPr>
      <w:r>
        <w:rPr>
          <w:sz w:val="20"/>
        </w:rPr>
      </w:r>
    </w:p>
    <w:p>
      <w:pPr>
        <w:pStyle w:val="0"/>
        <w:jc w:val="center"/>
      </w:pPr>
      <w:r>
        <w:rPr>
          <w:sz w:val="20"/>
        </w:rPr>
        <w:t xml:space="preserve">Планируемый бюджет региональной программы по проведению</w:t>
      </w:r>
    </w:p>
    <w:p>
      <w:pPr>
        <w:pStyle w:val="0"/>
        <w:jc w:val="center"/>
      </w:pPr>
      <w:r>
        <w:rPr>
          <w:sz w:val="20"/>
        </w:rPr>
        <w:t xml:space="preserve">массового обследования новорожденных на врожденные и (или)</w:t>
      </w:r>
    </w:p>
    <w:p>
      <w:pPr>
        <w:pStyle w:val="0"/>
        <w:jc w:val="center"/>
      </w:pPr>
      <w:r>
        <w:rPr>
          <w:sz w:val="20"/>
        </w:rPr>
        <w:t xml:space="preserve">наследственные заболевания (РНС) в ходе федерального проекта</w:t>
      </w:r>
    </w:p>
    <w:p>
      <w:pPr>
        <w:pStyle w:val="0"/>
        <w:jc w:val="center"/>
      </w:pPr>
      <w:r>
        <w:rPr>
          <w:sz w:val="20"/>
        </w:rPr>
        <w:t xml:space="preserve">"Обеспечение расширенного неонатального скрининга"</w:t>
      </w:r>
    </w:p>
    <w:p>
      <w:pPr>
        <w:pStyle w:val="0"/>
        <w:jc w:val="center"/>
      </w:pPr>
      <w:r>
        <w:rPr>
          <w:sz w:val="20"/>
        </w:rPr>
      </w:r>
    </w:p>
    <w:p>
      <w:pPr>
        <w:pStyle w:val="0"/>
        <w:jc w:val="right"/>
      </w:pPr>
      <w:r>
        <w:rPr>
          <w:sz w:val="20"/>
        </w:rPr>
        <w:t xml:space="preserve">Таблица 13</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98"/>
        <w:gridCol w:w="1304"/>
        <w:gridCol w:w="1304"/>
        <w:gridCol w:w="1361"/>
        <w:gridCol w:w="1144"/>
      </w:tblGrid>
      <w:tr>
        <w:tc>
          <w:tcPr>
            <w:tcW w:w="3798" w:type="dxa"/>
          </w:tcPr>
          <w:p>
            <w:pPr>
              <w:pStyle w:val="0"/>
              <w:jc w:val="center"/>
            </w:pPr>
            <w:r>
              <w:rPr>
                <w:sz w:val="20"/>
              </w:rPr>
              <w:t xml:space="preserve">Наименование</w:t>
            </w:r>
          </w:p>
        </w:tc>
        <w:tc>
          <w:tcPr>
            <w:tcW w:w="1304" w:type="dxa"/>
          </w:tcPr>
          <w:p>
            <w:pPr>
              <w:pStyle w:val="0"/>
              <w:jc w:val="center"/>
            </w:pPr>
            <w:r>
              <w:rPr>
                <w:sz w:val="20"/>
              </w:rPr>
              <w:t xml:space="preserve">2023</w:t>
            </w:r>
          </w:p>
          <w:p>
            <w:pPr>
              <w:pStyle w:val="0"/>
              <w:jc w:val="center"/>
            </w:pPr>
            <w:r>
              <w:rPr>
                <w:sz w:val="20"/>
              </w:rPr>
              <w:t xml:space="preserve">год</w:t>
            </w:r>
          </w:p>
        </w:tc>
        <w:tc>
          <w:tcPr>
            <w:tcW w:w="1304" w:type="dxa"/>
          </w:tcPr>
          <w:p>
            <w:pPr>
              <w:pStyle w:val="0"/>
              <w:jc w:val="center"/>
            </w:pPr>
            <w:r>
              <w:rPr>
                <w:sz w:val="20"/>
              </w:rPr>
              <w:t xml:space="preserve">2024</w:t>
            </w:r>
          </w:p>
          <w:p>
            <w:pPr>
              <w:pStyle w:val="0"/>
              <w:jc w:val="center"/>
            </w:pPr>
            <w:r>
              <w:rPr>
                <w:sz w:val="20"/>
              </w:rPr>
              <w:t xml:space="preserve">год</w:t>
            </w:r>
          </w:p>
        </w:tc>
        <w:tc>
          <w:tcPr>
            <w:tcW w:w="1361" w:type="dxa"/>
          </w:tcPr>
          <w:p>
            <w:pPr>
              <w:pStyle w:val="0"/>
              <w:jc w:val="center"/>
            </w:pPr>
            <w:r>
              <w:rPr>
                <w:sz w:val="20"/>
              </w:rPr>
              <w:t xml:space="preserve">2025</w:t>
            </w:r>
          </w:p>
          <w:p>
            <w:pPr>
              <w:pStyle w:val="0"/>
              <w:jc w:val="center"/>
            </w:pPr>
            <w:r>
              <w:rPr>
                <w:sz w:val="20"/>
              </w:rPr>
              <w:t xml:space="preserve">год</w:t>
            </w:r>
          </w:p>
        </w:tc>
        <w:tc>
          <w:tcPr>
            <w:tcW w:w="1144" w:type="dxa"/>
          </w:tcPr>
          <w:p>
            <w:pPr>
              <w:pStyle w:val="0"/>
              <w:jc w:val="center"/>
            </w:pPr>
            <w:r>
              <w:rPr>
                <w:sz w:val="20"/>
              </w:rPr>
              <w:t xml:space="preserve">Итого</w:t>
            </w:r>
          </w:p>
        </w:tc>
      </w:tr>
      <w:tr>
        <w:tc>
          <w:tcPr>
            <w:gridSpan w:val="5"/>
            <w:tcW w:w="8911" w:type="dxa"/>
          </w:tcPr>
          <w:p>
            <w:pPr>
              <w:pStyle w:val="0"/>
            </w:pPr>
            <w:r>
              <w:rPr>
                <w:sz w:val="20"/>
              </w:rPr>
              <w:t xml:space="preserve">1. Финансовые средства для проведения массового обследования новорожденных на врожденные и (или) наследственные заболевания (РНС)</w:t>
            </w:r>
          </w:p>
        </w:tc>
      </w:tr>
      <w:tr>
        <w:tc>
          <w:tcPr>
            <w:tcW w:w="3798" w:type="dxa"/>
          </w:tcPr>
          <w:p>
            <w:pPr>
              <w:pStyle w:val="0"/>
            </w:pPr>
            <w:r>
              <w:rPr>
                <w:sz w:val="20"/>
              </w:rPr>
              <w:t xml:space="preserve">Федеральный бюджет (тыс. руб.)</w:t>
            </w:r>
          </w:p>
        </w:tc>
        <w:tc>
          <w:tcPr>
            <w:tcW w:w="1304" w:type="dxa"/>
          </w:tcPr>
          <w:p>
            <w:pPr>
              <w:pStyle w:val="0"/>
            </w:pPr>
            <w:r>
              <w:rPr>
                <w:sz w:val="20"/>
              </w:rPr>
              <w:t xml:space="preserve">20655,3</w:t>
            </w:r>
          </w:p>
        </w:tc>
        <w:tc>
          <w:tcPr>
            <w:tcW w:w="1304" w:type="dxa"/>
          </w:tcPr>
          <w:p>
            <w:pPr>
              <w:pStyle w:val="0"/>
            </w:pPr>
            <w:r>
              <w:rPr>
                <w:sz w:val="20"/>
              </w:rPr>
              <w:t xml:space="preserve">20708,1</w:t>
            </w:r>
          </w:p>
        </w:tc>
        <w:tc>
          <w:tcPr>
            <w:tcW w:w="1361" w:type="dxa"/>
          </w:tcPr>
          <w:p>
            <w:pPr>
              <w:pStyle w:val="0"/>
            </w:pPr>
            <w:r>
              <w:rPr>
                <w:sz w:val="20"/>
              </w:rPr>
              <w:t xml:space="preserve">19923,0</w:t>
            </w:r>
          </w:p>
        </w:tc>
        <w:tc>
          <w:tcPr>
            <w:tcW w:w="1144" w:type="dxa"/>
          </w:tcPr>
          <w:p>
            <w:pPr>
              <w:pStyle w:val="0"/>
            </w:pPr>
            <w:r>
              <w:rPr>
                <w:sz w:val="20"/>
              </w:rPr>
              <w:t xml:space="preserve">61286,4</w:t>
            </w:r>
          </w:p>
        </w:tc>
      </w:tr>
      <w:tr>
        <w:tc>
          <w:tcPr>
            <w:tcW w:w="3798" w:type="dxa"/>
          </w:tcPr>
          <w:p>
            <w:pPr>
              <w:pStyle w:val="0"/>
            </w:pPr>
            <w:r>
              <w:rPr>
                <w:sz w:val="20"/>
              </w:rPr>
              <w:t xml:space="preserve">Бюджет автономного округа (тыс. руб.)</w:t>
            </w:r>
          </w:p>
        </w:tc>
        <w:tc>
          <w:tcPr>
            <w:tcW w:w="1304" w:type="dxa"/>
          </w:tcPr>
          <w:p>
            <w:pPr>
              <w:pStyle w:val="0"/>
            </w:pPr>
            <w:r>
              <w:rPr>
                <w:sz w:val="20"/>
              </w:rPr>
              <w:t xml:space="preserve">25245,4</w:t>
            </w:r>
          </w:p>
        </w:tc>
        <w:tc>
          <w:tcPr>
            <w:tcW w:w="1304" w:type="dxa"/>
          </w:tcPr>
          <w:p>
            <w:pPr>
              <w:pStyle w:val="0"/>
            </w:pPr>
            <w:r>
              <w:rPr>
                <w:sz w:val="20"/>
              </w:rPr>
              <w:t xml:space="preserve">25309,9</w:t>
            </w:r>
          </w:p>
        </w:tc>
        <w:tc>
          <w:tcPr>
            <w:tcW w:w="1361" w:type="dxa"/>
          </w:tcPr>
          <w:p>
            <w:pPr>
              <w:pStyle w:val="0"/>
            </w:pPr>
            <w:r>
              <w:rPr>
                <w:sz w:val="20"/>
              </w:rPr>
              <w:t xml:space="preserve">26409,6</w:t>
            </w:r>
          </w:p>
        </w:tc>
        <w:tc>
          <w:tcPr>
            <w:tcW w:w="1144" w:type="dxa"/>
          </w:tcPr>
          <w:p>
            <w:pPr>
              <w:pStyle w:val="0"/>
            </w:pPr>
            <w:r>
              <w:rPr>
                <w:sz w:val="20"/>
              </w:rPr>
              <w:t xml:space="preserve">76964,9</w:t>
            </w:r>
          </w:p>
        </w:tc>
      </w:tr>
      <w:tr>
        <w:tc>
          <w:tcPr>
            <w:tcW w:w="3798" w:type="dxa"/>
          </w:tcPr>
          <w:p>
            <w:pPr>
              <w:pStyle w:val="0"/>
            </w:pPr>
            <w:r>
              <w:rPr>
                <w:sz w:val="20"/>
              </w:rPr>
              <w:t xml:space="preserve">Итого (тыс. руб.)</w:t>
            </w:r>
          </w:p>
        </w:tc>
        <w:tc>
          <w:tcPr>
            <w:tcW w:w="1304" w:type="dxa"/>
          </w:tcPr>
          <w:p>
            <w:pPr>
              <w:pStyle w:val="0"/>
            </w:pPr>
            <w:r>
              <w:rPr>
                <w:sz w:val="20"/>
              </w:rPr>
              <w:t xml:space="preserve">45900,7</w:t>
            </w:r>
          </w:p>
        </w:tc>
        <w:tc>
          <w:tcPr>
            <w:tcW w:w="1304" w:type="dxa"/>
          </w:tcPr>
          <w:p>
            <w:pPr>
              <w:pStyle w:val="0"/>
            </w:pPr>
            <w:r>
              <w:rPr>
                <w:sz w:val="20"/>
              </w:rPr>
              <w:t xml:space="preserve">46018,0</w:t>
            </w:r>
          </w:p>
        </w:tc>
        <w:tc>
          <w:tcPr>
            <w:tcW w:w="1361" w:type="dxa"/>
          </w:tcPr>
          <w:p>
            <w:pPr>
              <w:pStyle w:val="0"/>
            </w:pPr>
            <w:r>
              <w:rPr>
                <w:sz w:val="20"/>
              </w:rPr>
              <w:t xml:space="preserve">46332,6</w:t>
            </w:r>
          </w:p>
        </w:tc>
        <w:tc>
          <w:tcPr>
            <w:tcW w:w="1144" w:type="dxa"/>
          </w:tcPr>
          <w:p>
            <w:pPr>
              <w:pStyle w:val="0"/>
            </w:pPr>
            <w:r>
              <w:rPr>
                <w:sz w:val="20"/>
              </w:rPr>
              <w:t xml:space="preserve">138251,3</w:t>
            </w:r>
          </w:p>
        </w:tc>
      </w:tr>
      <w:tr>
        <w:tc>
          <w:tcPr>
            <w:gridSpan w:val="5"/>
            <w:tcW w:w="8911" w:type="dxa"/>
          </w:tcPr>
          <w:p>
            <w:pPr>
              <w:pStyle w:val="0"/>
            </w:pPr>
            <w:r>
              <w:rPr>
                <w:sz w:val="20"/>
              </w:rPr>
              <w:t xml:space="preserve">2. Финансовые средства для доставки тест-бланков до учреждения 3А уровня, обеспечивающего проведение РНС</w:t>
            </w:r>
          </w:p>
        </w:tc>
      </w:tr>
      <w:tr>
        <w:tc>
          <w:tcPr>
            <w:tcW w:w="3798" w:type="dxa"/>
          </w:tcPr>
          <w:p>
            <w:pPr>
              <w:pStyle w:val="0"/>
            </w:pPr>
            <w:r>
              <w:rPr>
                <w:sz w:val="20"/>
              </w:rPr>
              <w:t xml:space="preserve">Бюджет автономного округа (тыс. руб.)</w:t>
            </w:r>
          </w:p>
        </w:tc>
        <w:tc>
          <w:tcPr>
            <w:tcW w:w="1304" w:type="dxa"/>
          </w:tcPr>
          <w:p>
            <w:pPr>
              <w:pStyle w:val="0"/>
            </w:pPr>
            <w:r>
              <w:rPr>
                <w:sz w:val="20"/>
              </w:rPr>
              <w:t xml:space="preserve">1825,00</w:t>
            </w:r>
          </w:p>
        </w:tc>
        <w:tc>
          <w:tcPr>
            <w:tcW w:w="1304" w:type="dxa"/>
          </w:tcPr>
          <w:p>
            <w:pPr>
              <w:pStyle w:val="0"/>
            </w:pPr>
            <w:r>
              <w:rPr>
                <w:sz w:val="20"/>
              </w:rPr>
              <w:t xml:space="preserve">2196,00</w:t>
            </w:r>
          </w:p>
        </w:tc>
        <w:tc>
          <w:tcPr>
            <w:tcW w:w="1361" w:type="dxa"/>
          </w:tcPr>
          <w:p>
            <w:pPr>
              <w:pStyle w:val="0"/>
            </w:pPr>
            <w:r>
              <w:rPr>
                <w:sz w:val="20"/>
              </w:rPr>
              <w:t xml:space="preserve">2628,00</w:t>
            </w:r>
          </w:p>
        </w:tc>
        <w:tc>
          <w:tcPr>
            <w:tcW w:w="1144" w:type="dxa"/>
          </w:tcPr>
          <w:p>
            <w:pPr>
              <w:pStyle w:val="0"/>
            </w:pPr>
            <w:r>
              <w:rPr>
                <w:sz w:val="20"/>
              </w:rPr>
              <w:t xml:space="preserve">6649,00</w:t>
            </w:r>
          </w:p>
        </w:tc>
      </w:tr>
      <w:tr>
        <w:tc>
          <w:tcPr>
            <w:gridSpan w:val="5"/>
            <w:tcW w:w="8911" w:type="dxa"/>
          </w:tcPr>
          <w:p>
            <w:pPr>
              <w:pStyle w:val="0"/>
            </w:pPr>
            <w:r>
              <w:rPr>
                <w:sz w:val="20"/>
              </w:rPr>
              <w:t xml:space="preserve">3. Финансовые средства для доставки биологического материала до учреждения 3Б уровня, обеспечивающего проведение подтверждающей диагностики</w:t>
            </w:r>
          </w:p>
        </w:tc>
      </w:tr>
      <w:tr>
        <w:tc>
          <w:tcPr>
            <w:tcW w:w="3798" w:type="dxa"/>
          </w:tcPr>
          <w:p>
            <w:pPr>
              <w:pStyle w:val="0"/>
            </w:pPr>
            <w:r>
              <w:rPr>
                <w:sz w:val="20"/>
              </w:rPr>
              <w:t xml:space="preserve">Бюджет автономного округа (тыс. руб.)</w:t>
            </w:r>
          </w:p>
        </w:tc>
        <w:tc>
          <w:tcPr>
            <w:tcW w:w="1304" w:type="dxa"/>
          </w:tcPr>
          <w:p>
            <w:pPr>
              <w:pStyle w:val="0"/>
            </w:pPr>
            <w:r>
              <w:rPr>
                <w:sz w:val="20"/>
              </w:rPr>
              <w:t xml:space="preserve">260,00</w:t>
            </w:r>
          </w:p>
        </w:tc>
        <w:tc>
          <w:tcPr>
            <w:tcW w:w="1304" w:type="dxa"/>
          </w:tcPr>
          <w:p>
            <w:pPr>
              <w:pStyle w:val="0"/>
            </w:pPr>
            <w:r>
              <w:rPr>
                <w:sz w:val="20"/>
              </w:rPr>
              <w:t xml:space="preserve">312,00</w:t>
            </w:r>
          </w:p>
        </w:tc>
        <w:tc>
          <w:tcPr>
            <w:tcW w:w="1361" w:type="dxa"/>
          </w:tcPr>
          <w:p>
            <w:pPr>
              <w:pStyle w:val="0"/>
            </w:pPr>
            <w:r>
              <w:rPr>
                <w:sz w:val="20"/>
              </w:rPr>
              <w:t xml:space="preserve">374,40</w:t>
            </w:r>
          </w:p>
        </w:tc>
        <w:tc>
          <w:tcPr>
            <w:tcW w:w="1144" w:type="dxa"/>
          </w:tcPr>
          <w:p>
            <w:pPr>
              <w:pStyle w:val="0"/>
            </w:pPr>
            <w:r>
              <w:rPr>
                <w:sz w:val="20"/>
              </w:rPr>
              <w:t xml:space="preserve">946,40</w:t>
            </w:r>
          </w:p>
        </w:tc>
      </w:tr>
      <w:tr>
        <w:tc>
          <w:tcPr>
            <w:gridSpan w:val="5"/>
            <w:tcW w:w="8911" w:type="dxa"/>
          </w:tcPr>
          <w:p>
            <w:pPr>
              <w:pStyle w:val="0"/>
            </w:pPr>
            <w:r>
              <w:rPr>
                <w:sz w:val="20"/>
              </w:rPr>
              <w:t xml:space="preserve">4. Финансовые средства на закупку тест-бланков</w:t>
            </w:r>
          </w:p>
        </w:tc>
      </w:tr>
      <w:tr>
        <w:tc>
          <w:tcPr>
            <w:tcW w:w="3798" w:type="dxa"/>
          </w:tcPr>
          <w:p>
            <w:pPr>
              <w:pStyle w:val="0"/>
            </w:pPr>
            <w:r>
              <w:rPr>
                <w:sz w:val="20"/>
              </w:rPr>
              <w:t xml:space="preserve">Бюджет автономного округа (тыс. руб.)</w:t>
            </w:r>
          </w:p>
        </w:tc>
        <w:tc>
          <w:tcPr>
            <w:tcW w:w="1304" w:type="dxa"/>
          </w:tcPr>
          <w:p>
            <w:pPr>
              <w:pStyle w:val="0"/>
            </w:pPr>
            <w:r>
              <w:rPr>
                <w:sz w:val="20"/>
              </w:rPr>
              <w:t xml:space="preserve">1333,85</w:t>
            </w:r>
          </w:p>
        </w:tc>
        <w:tc>
          <w:tcPr>
            <w:tcW w:w="1304" w:type="dxa"/>
          </w:tcPr>
          <w:p>
            <w:pPr>
              <w:pStyle w:val="0"/>
            </w:pPr>
            <w:r>
              <w:rPr>
                <w:sz w:val="20"/>
              </w:rPr>
              <w:t xml:space="preserve">1429,13</w:t>
            </w:r>
          </w:p>
        </w:tc>
        <w:tc>
          <w:tcPr>
            <w:tcW w:w="1361" w:type="dxa"/>
          </w:tcPr>
          <w:p>
            <w:pPr>
              <w:pStyle w:val="0"/>
            </w:pPr>
            <w:r>
              <w:rPr>
                <w:sz w:val="20"/>
              </w:rPr>
              <w:t xml:space="preserve">1524,00</w:t>
            </w:r>
          </w:p>
        </w:tc>
        <w:tc>
          <w:tcPr>
            <w:tcW w:w="1144" w:type="dxa"/>
          </w:tcPr>
          <w:p>
            <w:pPr>
              <w:pStyle w:val="0"/>
            </w:pPr>
            <w:r>
              <w:rPr>
                <w:sz w:val="20"/>
              </w:rPr>
              <w:t xml:space="preserve">4286,98</w:t>
            </w:r>
          </w:p>
        </w:tc>
      </w:tr>
      <w:tr>
        <w:tc>
          <w:tcPr>
            <w:gridSpan w:val="5"/>
            <w:tcW w:w="8911" w:type="dxa"/>
          </w:tcPr>
          <w:p>
            <w:pPr>
              <w:pStyle w:val="0"/>
            </w:pPr>
            <w:r>
              <w:rPr>
                <w:sz w:val="20"/>
              </w:rPr>
              <w:t xml:space="preserve">5. Консолидированный бюджет</w:t>
            </w:r>
          </w:p>
          <w:p>
            <w:pPr>
              <w:pStyle w:val="0"/>
            </w:pPr>
            <w:r>
              <w:rPr>
                <w:sz w:val="20"/>
              </w:rPr>
              <w:t xml:space="preserve">(для проведения массового обследования новорожденных на врожденные и (или) наследственные заболевания (РНС), для доставки тест-бланков до учреждения 3А уровня, обеспечивающего проведение РНС, доставки биологического материала до учреждения 3Б уровня, обеспечивающего проведение подтверждающей диагностики, закупку тест-бланков)</w:t>
            </w:r>
          </w:p>
        </w:tc>
      </w:tr>
      <w:tr>
        <w:tc>
          <w:tcPr>
            <w:tcW w:w="3798" w:type="dxa"/>
          </w:tcPr>
          <w:p>
            <w:pPr>
              <w:pStyle w:val="0"/>
            </w:pPr>
            <w:r>
              <w:rPr>
                <w:sz w:val="20"/>
              </w:rPr>
              <w:t xml:space="preserve">Федеральный бюджет (тыс. руб.)</w:t>
            </w:r>
          </w:p>
        </w:tc>
        <w:tc>
          <w:tcPr>
            <w:tcW w:w="1304" w:type="dxa"/>
          </w:tcPr>
          <w:p>
            <w:pPr>
              <w:pStyle w:val="0"/>
            </w:pPr>
            <w:r>
              <w:rPr>
                <w:sz w:val="20"/>
              </w:rPr>
              <w:t xml:space="preserve">20655,3</w:t>
            </w:r>
          </w:p>
        </w:tc>
        <w:tc>
          <w:tcPr>
            <w:tcW w:w="1304" w:type="dxa"/>
          </w:tcPr>
          <w:p>
            <w:pPr>
              <w:pStyle w:val="0"/>
            </w:pPr>
            <w:r>
              <w:rPr>
                <w:sz w:val="20"/>
              </w:rPr>
              <w:t xml:space="preserve">20708,1</w:t>
            </w:r>
          </w:p>
        </w:tc>
        <w:tc>
          <w:tcPr>
            <w:tcW w:w="1361" w:type="dxa"/>
          </w:tcPr>
          <w:p>
            <w:pPr>
              <w:pStyle w:val="0"/>
            </w:pPr>
            <w:r>
              <w:rPr>
                <w:sz w:val="20"/>
              </w:rPr>
              <w:t xml:space="preserve">19923,0</w:t>
            </w:r>
          </w:p>
        </w:tc>
        <w:tc>
          <w:tcPr>
            <w:tcW w:w="1144" w:type="dxa"/>
          </w:tcPr>
          <w:p>
            <w:pPr>
              <w:pStyle w:val="0"/>
            </w:pPr>
            <w:r>
              <w:rPr>
                <w:sz w:val="20"/>
              </w:rPr>
              <w:t xml:space="preserve">61286,4</w:t>
            </w:r>
          </w:p>
        </w:tc>
      </w:tr>
      <w:tr>
        <w:tc>
          <w:tcPr>
            <w:tcW w:w="3798" w:type="dxa"/>
          </w:tcPr>
          <w:p>
            <w:pPr>
              <w:pStyle w:val="0"/>
            </w:pPr>
            <w:r>
              <w:rPr>
                <w:sz w:val="20"/>
              </w:rPr>
              <w:t xml:space="preserve">Бюджет автономного округа (тыс. руб.)</w:t>
            </w:r>
          </w:p>
        </w:tc>
        <w:tc>
          <w:tcPr>
            <w:tcW w:w="1304" w:type="dxa"/>
          </w:tcPr>
          <w:p>
            <w:pPr>
              <w:pStyle w:val="0"/>
            </w:pPr>
            <w:r>
              <w:rPr>
                <w:sz w:val="20"/>
              </w:rPr>
              <w:t xml:space="preserve">28664,25</w:t>
            </w:r>
          </w:p>
        </w:tc>
        <w:tc>
          <w:tcPr>
            <w:tcW w:w="1304" w:type="dxa"/>
          </w:tcPr>
          <w:p>
            <w:pPr>
              <w:pStyle w:val="0"/>
            </w:pPr>
            <w:r>
              <w:rPr>
                <w:sz w:val="20"/>
              </w:rPr>
              <w:t xml:space="preserve">29247,03</w:t>
            </w:r>
          </w:p>
        </w:tc>
        <w:tc>
          <w:tcPr>
            <w:tcW w:w="1361" w:type="dxa"/>
          </w:tcPr>
          <w:p>
            <w:pPr>
              <w:pStyle w:val="0"/>
            </w:pPr>
            <w:r>
              <w:rPr>
                <w:sz w:val="20"/>
              </w:rPr>
              <w:t xml:space="preserve">30936,00</w:t>
            </w:r>
          </w:p>
        </w:tc>
        <w:tc>
          <w:tcPr>
            <w:tcW w:w="1144" w:type="dxa"/>
          </w:tcPr>
          <w:p>
            <w:pPr>
              <w:pStyle w:val="0"/>
            </w:pPr>
            <w:r>
              <w:rPr>
                <w:sz w:val="20"/>
              </w:rPr>
              <w:t xml:space="preserve">88847,28</w:t>
            </w:r>
          </w:p>
        </w:tc>
      </w:tr>
      <w:tr>
        <w:tc>
          <w:tcPr>
            <w:tcW w:w="3798" w:type="dxa"/>
          </w:tcPr>
          <w:p>
            <w:pPr>
              <w:pStyle w:val="0"/>
            </w:pPr>
            <w:r>
              <w:rPr>
                <w:sz w:val="20"/>
              </w:rPr>
              <w:t xml:space="preserve">Итого:</w:t>
            </w:r>
          </w:p>
        </w:tc>
        <w:tc>
          <w:tcPr>
            <w:tcW w:w="1304" w:type="dxa"/>
          </w:tcPr>
          <w:p>
            <w:pPr>
              <w:pStyle w:val="0"/>
            </w:pPr>
            <w:r>
              <w:rPr>
                <w:sz w:val="20"/>
              </w:rPr>
              <w:t xml:space="preserve">49319,55</w:t>
            </w:r>
          </w:p>
        </w:tc>
        <w:tc>
          <w:tcPr>
            <w:tcW w:w="1304" w:type="dxa"/>
          </w:tcPr>
          <w:p>
            <w:pPr>
              <w:pStyle w:val="0"/>
            </w:pPr>
            <w:r>
              <w:rPr>
                <w:sz w:val="20"/>
              </w:rPr>
              <w:t xml:space="preserve">49955,13</w:t>
            </w:r>
          </w:p>
        </w:tc>
        <w:tc>
          <w:tcPr>
            <w:tcW w:w="1361" w:type="dxa"/>
          </w:tcPr>
          <w:p>
            <w:pPr>
              <w:pStyle w:val="0"/>
            </w:pPr>
            <w:r>
              <w:rPr>
                <w:sz w:val="20"/>
              </w:rPr>
              <w:t xml:space="preserve">50859,0</w:t>
            </w:r>
          </w:p>
        </w:tc>
        <w:tc>
          <w:tcPr>
            <w:tcW w:w="1144" w:type="dxa"/>
          </w:tcPr>
          <w:p>
            <w:pPr>
              <w:pStyle w:val="0"/>
            </w:pPr>
            <w:r>
              <w:rPr>
                <w:sz w:val="20"/>
              </w:rPr>
              <w:t xml:space="preserve">150133,68</w:t>
            </w:r>
          </w:p>
        </w:tc>
      </w:tr>
    </w:tbl>
    <w:p>
      <w:pPr>
        <w:pStyle w:val="0"/>
        <w:ind w:firstLine="540"/>
        <w:jc w:val="both"/>
      </w:pPr>
      <w:r>
        <w:rPr>
          <w:sz w:val="20"/>
        </w:rPr>
      </w:r>
    </w:p>
    <w:p>
      <w:pPr>
        <w:pStyle w:val="2"/>
        <w:outlineLvl w:val="1"/>
        <w:jc w:val="center"/>
      </w:pPr>
      <w:r>
        <w:rPr>
          <w:sz w:val="20"/>
        </w:rPr>
        <w:t xml:space="preserve">Раздел 6. СОЦИАЛЬНО ЗНАЧИМЫЙ РЕЗУЛЬТАТ РЕГИОНАЛЬНОЙ</w:t>
      </w:r>
    </w:p>
    <w:p>
      <w:pPr>
        <w:pStyle w:val="2"/>
        <w:jc w:val="center"/>
      </w:pPr>
      <w:r>
        <w:rPr>
          <w:sz w:val="20"/>
        </w:rPr>
        <w:t xml:space="preserve">ПРОГРАММЫ В АВТОНОМНОМ ОКРУГЕ</w:t>
      </w:r>
    </w:p>
    <w:p>
      <w:pPr>
        <w:pStyle w:val="0"/>
        <w:ind w:firstLine="540"/>
        <w:jc w:val="both"/>
      </w:pPr>
      <w:r>
        <w:rPr>
          <w:sz w:val="20"/>
        </w:rPr>
      </w:r>
    </w:p>
    <w:p>
      <w:pPr>
        <w:pStyle w:val="0"/>
        <w:ind w:firstLine="540"/>
        <w:jc w:val="both"/>
      </w:pPr>
      <w:r>
        <w:rPr>
          <w:sz w:val="20"/>
        </w:rPr>
        <w:t xml:space="preserve">Внедрение региональной программы позволит совершенствовать существующий уровень организации работы детям с наследственными и (или) врожденными заболеваниями, обеспечить преемственность акушерско-гинекологической, неонатологической, педиатрической, и медико-генетической служб от организации забора биологических проб, их доставки, проведения исследования, в том числе подтверждающей диагностики, и создания информационного обеспечения всех этапов, что приведет к сокращению сроков постановки диагноза и начала лечения, повысит качество медицинской помощи при данной патологии, обеспечит дальнейшее снижение перинатальной, младенческой и детской смертности. В итоге в автономном округе будет достигнут показатель младенческой смертности 3,7 на 1000 новорожденных, родившихся живыми к 2025 году.</w:t>
      </w:r>
    </w:p>
    <w:p>
      <w:pPr>
        <w:pStyle w:val="0"/>
        <w:jc w:val="center"/>
      </w:pPr>
      <w:r>
        <w:rPr>
          <w:sz w:val="20"/>
        </w:rPr>
      </w:r>
    </w:p>
    <w:bookmarkStart w:id="29261" w:name="P29261"/>
    <w:bookmarkEnd w:id="29261"/>
    <w:p>
      <w:pPr>
        <w:pStyle w:val="0"/>
        <w:jc w:val="center"/>
      </w:pPr>
      <w:r>
        <w:rPr>
          <w:sz w:val="20"/>
        </w:rPr>
        <w:t xml:space="preserve">Число медицинских организаций, осуществляющих забор проб</w:t>
      </w:r>
    </w:p>
    <w:p>
      <w:pPr>
        <w:pStyle w:val="0"/>
        <w:jc w:val="center"/>
      </w:pPr>
      <w:r>
        <w:rPr>
          <w:sz w:val="20"/>
        </w:rPr>
        <w:t xml:space="preserve">на проведение НС</w:t>
      </w:r>
    </w:p>
    <w:p>
      <w:pPr>
        <w:pStyle w:val="0"/>
        <w:jc w:val="center"/>
      </w:pPr>
      <w:r>
        <w:rPr>
          <w:sz w:val="20"/>
        </w:rPr>
      </w:r>
    </w:p>
    <w:p>
      <w:pPr>
        <w:pStyle w:val="0"/>
        <w:jc w:val="right"/>
      </w:pPr>
      <w:r>
        <w:rPr>
          <w:sz w:val="20"/>
        </w:rPr>
        <w:t xml:space="preserve">Таблица 14</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674"/>
        <w:gridCol w:w="1489"/>
        <w:gridCol w:w="1669"/>
        <w:gridCol w:w="1579"/>
        <w:gridCol w:w="1849"/>
      </w:tblGrid>
      <w:tr>
        <w:tc>
          <w:tcPr>
            <w:tcW w:w="454" w:type="dxa"/>
          </w:tcPr>
          <w:p>
            <w:pPr>
              <w:pStyle w:val="0"/>
              <w:jc w:val="center"/>
            </w:pPr>
            <w:r>
              <w:rPr>
                <w:sz w:val="20"/>
              </w:rPr>
              <w:t xml:space="preserve">N п/п</w:t>
            </w:r>
          </w:p>
        </w:tc>
        <w:tc>
          <w:tcPr>
            <w:tcW w:w="2674" w:type="dxa"/>
          </w:tcPr>
          <w:p>
            <w:pPr>
              <w:pStyle w:val="0"/>
              <w:jc w:val="center"/>
            </w:pPr>
            <w:r>
              <w:rPr>
                <w:sz w:val="20"/>
              </w:rPr>
              <w:t xml:space="preserve">Медицинские организации</w:t>
            </w:r>
          </w:p>
        </w:tc>
        <w:tc>
          <w:tcPr>
            <w:tcW w:w="1489" w:type="dxa"/>
          </w:tcPr>
          <w:p>
            <w:pPr>
              <w:pStyle w:val="0"/>
              <w:jc w:val="center"/>
            </w:pPr>
            <w:r>
              <w:rPr>
                <w:sz w:val="20"/>
              </w:rPr>
              <w:t xml:space="preserve">Уровень медицинских организаций</w:t>
            </w:r>
          </w:p>
        </w:tc>
        <w:tc>
          <w:tcPr>
            <w:tcW w:w="1669" w:type="dxa"/>
          </w:tcPr>
          <w:p>
            <w:pPr>
              <w:pStyle w:val="0"/>
              <w:jc w:val="center"/>
            </w:pPr>
            <w:r>
              <w:rPr>
                <w:sz w:val="20"/>
              </w:rPr>
              <w:t xml:space="preserve">Число медицинских организаций /структурных подразделений</w:t>
            </w:r>
          </w:p>
        </w:tc>
        <w:tc>
          <w:tcPr>
            <w:tcW w:w="1579" w:type="dxa"/>
          </w:tcPr>
          <w:p>
            <w:pPr>
              <w:pStyle w:val="0"/>
              <w:jc w:val="center"/>
            </w:pPr>
            <w:r>
              <w:rPr>
                <w:sz w:val="20"/>
              </w:rPr>
              <w:t xml:space="preserve">Наличие медицинского персонала, прошедшего подготовку по проведению отбора проб (число)</w:t>
            </w:r>
          </w:p>
        </w:tc>
        <w:tc>
          <w:tcPr>
            <w:tcW w:w="1849" w:type="dxa"/>
          </w:tcPr>
          <w:p>
            <w:pPr>
              <w:pStyle w:val="0"/>
              <w:jc w:val="center"/>
            </w:pPr>
            <w:r>
              <w:rPr>
                <w:sz w:val="20"/>
              </w:rPr>
              <w:t xml:space="preserve">Число новорожденных, у которых взята проба для неонатального скрининга на наследственные заболевания, по данным 2021 года</w:t>
            </w:r>
          </w:p>
        </w:tc>
      </w:tr>
      <w:tr>
        <w:tc>
          <w:tcPr>
            <w:tcW w:w="454" w:type="dxa"/>
            <w:vMerge w:val="restart"/>
          </w:tcPr>
          <w:p>
            <w:pPr>
              <w:pStyle w:val="0"/>
            </w:pPr>
            <w:r>
              <w:rPr>
                <w:sz w:val="20"/>
              </w:rPr>
              <w:t xml:space="preserve">1.</w:t>
            </w:r>
          </w:p>
        </w:tc>
        <w:tc>
          <w:tcPr>
            <w:tcW w:w="2674" w:type="dxa"/>
            <w:vMerge w:val="restart"/>
          </w:tcPr>
          <w:p>
            <w:pPr>
              <w:pStyle w:val="0"/>
            </w:pPr>
            <w:r>
              <w:rPr>
                <w:sz w:val="20"/>
              </w:rPr>
              <w:t xml:space="preserve">Число медицинских организаций родовспомогательных учреждений, осуществляющих забор проб для проведения НС</w:t>
            </w:r>
          </w:p>
        </w:tc>
        <w:tc>
          <w:tcPr>
            <w:tcW w:w="1489" w:type="dxa"/>
          </w:tcPr>
          <w:p>
            <w:pPr>
              <w:pStyle w:val="0"/>
            </w:pPr>
            <w:r>
              <w:rPr>
                <w:sz w:val="20"/>
              </w:rPr>
              <w:t xml:space="preserve">1 уровень</w:t>
            </w:r>
          </w:p>
        </w:tc>
        <w:tc>
          <w:tcPr>
            <w:tcW w:w="1669" w:type="dxa"/>
          </w:tcPr>
          <w:p>
            <w:pPr>
              <w:pStyle w:val="0"/>
            </w:pPr>
            <w:r>
              <w:rPr>
                <w:sz w:val="20"/>
              </w:rPr>
              <w:t xml:space="preserve">5/6</w:t>
            </w:r>
          </w:p>
        </w:tc>
        <w:tc>
          <w:tcPr>
            <w:tcW w:w="1579" w:type="dxa"/>
          </w:tcPr>
          <w:p>
            <w:pPr>
              <w:pStyle w:val="0"/>
            </w:pPr>
            <w:r>
              <w:rPr>
                <w:sz w:val="20"/>
              </w:rPr>
              <w:t xml:space="preserve">12</w:t>
            </w:r>
          </w:p>
        </w:tc>
        <w:tc>
          <w:tcPr>
            <w:tcW w:w="1849" w:type="dxa"/>
          </w:tcPr>
          <w:p>
            <w:pPr>
              <w:pStyle w:val="0"/>
            </w:pPr>
            <w:r>
              <w:rPr>
                <w:sz w:val="20"/>
              </w:rPr>
              <w:t xml:space="preserve">290 </w:t>
            </w:r>
            <w:hyperlink w:history="0" w:anchor="P29354" w:tooltip="&lt;1&gt; Общее число новорожденных, у которых взята проба для неонатального скрининга на наследственные заболевания, по данным 2021 года (равно показателю 3 формы N 32 таблицы 2246 за 2021 год).">
              <w:r>
                <w:rPr>
                  <w:sz w:val="20"/>
                  <w:color w:val="0000ff"/>
                </w:rPr>
                <w:t xml:space="preserve">&lt;1&gt;</w:t>
              </w:r>
            </w:hyperlink>
          </w:p>
        </w:tc>
      </w:tr>
      <w:tr>
        <w:tc>
          <w:tcPr>
            <w:vMerge w:val="continue"/>
          </w:tcPr>
          <w:p/>
        </w:tc>
        <w:tc>
          <w:tcPr>
            <w:vMerge w:val="continue"/>
          </w:tcPr>
          <w:p/>
        </w:tc>
        <w:tc>
          <w:tcPr>
            <w:tcW w:w="1489" w:type="dxa"/>
          </w:tcPr>
          <w:p>
            <w:pPr>
              <w:pStyle w:val="0"/>
            </w:pPr>
            <w:r>
              <w:rPr>
                <w:sz w:val="20"/>
              </w:rPr>
              <w:t xml:space="preserve">2 уровень</w:t>
            </w:r>
          </w:p>
        </w:tc>
        <w:tc>
          <w:tcPr>
            <w:tcW w:w="1669" w:type="dxa"/>
          </w:tcPr>
          <w:p>
            <w:pPr>
              <w:pStyle w:val="0"/>
            </w:pPr>
            <w:r>
              <w:rPr>
                <w:sz w:val="20"/>
              </w:rPr>
              <w:t xml:space="preserve">11/16</w:t>
            </w:r>
          </w:p>
        </w:tc>
        <w:tc>
          <w:tcPr>
            <w:tcW w:w="1579" w:type="dxa"/>
          </w:tcPr>
          <w:p>
            <w:pPr>
              <w:pStyle w:val="0"/>
            </w:pPr>
            <w:r>
              <w:rPr>
                <w:sz w:val="20"/>
              </w:rPr>
              <w:t xml:space="preserve">32</w:t>
            </w:r>
          </w:p>
        </w:tc>
        <w:tc>
          <w:tcPr>
            <w:tcW w:w="1849" w:type="dxa"/>
          </w:tcPr>
          <w:p>
            <w:pPr>
              <w:pStyle w:val="0"/>
            </w:pPr>
            <w:r>
              <w:rPr>
                <w:sz w:val="20"/>
              </w:rPr>
              <w:t xml:space="preserve">4492 </w:t>
            </w:r>
            <w:hyperlink w:history="0" w:anchor="P29354" w:tooltip="&lt;1&gt; Общее число новорожденных, у которых взята проба для неонатального скрининга на наследственные заболевания, по данным 2021 года (равно показателю 3 формы N 32 таблицы 2246 за 2021 год).">
              <w:r>
                <w:rPr>
                  <w:sz w:val="20"/>
                  <w:color w:val="0000ff"/>
                </w:rPr>
                <w:t xml:space="preserve">&lt;1&gt;</w:t>
              </w:r>
            </w:hyperlink>
          </w:p>
        </w:tc>
      </w:tr>
      <w:tr>
        <w:tc>
          <w:tcPr>
            <w:vMerge w:val="continue"/>
          </w:tcPr>
          <w:p/>
        </w:tc>
        <w:tc>
          <w:tcPr>
            <w:vMerge w:val="continue"/>
          </w:tcPr>
          <w:p/>
        </w:tc>
        <w:tc>
          <w:tcPr>
            <w:tcW w:w="1489" w:type="dxa"/>
          </w:tcPr>
          <w:p>
            <w:pPr>
              <w:pStyle w:val="0"/>
            </w:pPr>
            <w:r>
              <w:rPr>
                <w:sz w:val="20"/>
              </w:rPr>
              <w:t xml:space="preserve">3 А уровень</w:t>
            </w:r>
          </w:p>
        </w:tc>
        <w:tc>
          <w:tcPr>
            <w:tcW w:w="1669" w:type="dxa"/>
          </w:tcPr>
          <w:p>
            <w:pPr>
              <w:pStyle w:val="0"/>
            </w:pPr>
            <w:r>
              <w:rPr>
                <w:sz w:val="20"/>
              </w:rPr>
              <w:t xml:space="preserve">3/14</w:t>
            </w:r>
          </w:p>
        </w:tc>
        <w:tc>
          <w:tcPr>
            <w:tcW w:w="1579" w:type="dxa"/>
          </w:tcPr>
          <w:p>
            <w:pPr>
              <w:pStyle w:val="0"/>
            </w:pPr>
            <w:r>
              <w:rPr>
                <w:sz w:val="20"/>
              </w:rPr>
              <w:t xml:space="preserve">28</w:t>
            </w:r>
          </w:p>
        </w:tc>
        <w:tc>
          <w:tcPr>
            <w:tcW w:w="1849" w:type="dxa"/>
          </w:tcPr>
          <w:p>
            <w:pPr>
              <w:pStyle w:val="0"/>
            </w:pPr>
            <w:r>
              <w:rPr>
                <w:sz w:val="20"/>
              </w:rPr>
              <w:t xml:space="preserve">5462 </w:t>
            </w:r>
            <w:hyperlink w:history="0" w:anchor="P29354" w:tooltip="&lt;1&gt; Общее число новорожденных, у которых взята проба для неонатального скрининга на наследственные заболевания, по данным 2021 года (равно показателю 3 формы N 32 таблицы 2246 за 2021 год).">
              <w:r>
                <w:rPr>
                  <w:sz w:val="20"/>
                  <w:color w:val="0000ff"/>
                </w:rPr>
                <w:t xml:space="preserve">&lt;1&gt;</w:t>
              </w:r>
            </w:hyperlink>
          </w:p>
        </w:tc>
      </w:tr>
      <w:tr>
        <w:tc>
          <w:tcPr>
            <w:vMerge w:val="continue"/>
          </w:tcPr>
          <w:p/>
        </w:tc>
        <w:tc>
          <w:tcPr>
            <w:vMerge w:val="continue"/>
          </w:tcPr>
          <w:p/>
        </w:tc>
        <w:tc>
          <w:tcPr>
            <w:tcW w:w="1489" w:type="dxa"/>
          </w:tcPr>
          <w:p>
            <w:pPr>
              <w:pStyle w:val="0"/>
            </w:pPr>
            <w:r>
              <w:rPr>
                <w:sz w:val="20"/>
              </w:rPr>
              <w:t xml:space="preserve">3 Б уровень</w:t>
            </w:r>
          </w:p>
        </w:tc>
        <w:tc>
          <w:tcPr>
            <w:tcW w:w="1669" w:type="dxa"/>
          </w:tcPr>
          <w:p>
            <w:pPr>
              <w:pStyle w:val="0"/>
            </w:pPr>
            <w:r>
              <w:rPr>
                <w:sz w:val="20"/>
              </w:rPr>
              <w:t xml:space="preserve">-</w:t>
            </w:r>
          </w:p>
        </w:tc>
        <w:tc>
          <w:tcPr>
            <w:tcW w:w="1579" w:type="dxa"/>
          </w:tcPr>
          <w:p>
            <w:pPr>
              <w:pStyle w:val="0"/>
            </w:pPr>
            <w:r>
              <w:rPr>
                <w:sz w:val="20"/>
              </w:rPr>
              <w:t xml:space="preserve">-</w:t>
            </w:r>
          </w:p>
        </w:tc>
        <w:tc>
          <w:tcPr>
            <w:tcW w:w="1849" w:type="dxa"/>
          </w:tcPr>
          <w:p>
            <w:pPr>
              <w:pStyle w:val="0"/>
            </w:pPr>
            <w:r>
              <w:rPr>
                <w:sz w:val="20"/>
              </w:rPr>
            </w:r>
          </w:p>
        </w:tc>
      </w:tr>
      <w:tr>
        <w:tc>
          <w:tcPr>
            <w:tcW w:w="454" w:type="dxa"/>
            <w:vMerge w:val="restart"/>
          </w:tcPr>
          <w:p>
            <w:pPr>
              <w:pStyle w:val="0"/>
            </w:pPr>
            <w:r>
              <w:rPr>
                <w:sz w:val="20"/>
              </w:rPr>
              <w:t xml:space="preserve">2.</w:t>
            </w:r>
          </w:p>
        </w:tc>
        <w:tc>
          <w:tcPr>
            <w:tcW w:w="2674" w:type="dxa"/>
            <w:vMerge w:val="restart"/>
          </w:tcPr>
          <w:p>
            <w:pPr>
              <w:pStyle w:val="0"/>
            </w:pPr>
            <w:r>
              <w:rPr>
                <w:sz w:val="20"/>
              </w:rPr>
              <w:t xml:space="preserve">Число детских поликлиник/детских поликлинических отделений, осуществляющих забор проб для проведения НС</w:t>
            </w:r>
          </w:p>
        </w:tc>
        <w:tc>
          <w:tcPr>
            <w:tcW w:w="1489" w:type="dxa"/>
          </w:tcPr>
          <w:p>
            <w:pPr>
              <w:pStyle w:val="0"/>
            </w:pPr>
            <w:r>
              <w:rPr>
                <w:sz w:val="20"/>
              </w:rPr>
              <w:t xml:space="preserve">1 уровень</w:t>
            </w:r>
          </w:p>
        </w:tc>
        <w:tc>
          <w:tcPr>
            <w:tcW w:w="1669" w:type="dxa"/>
          </w:tcPr>
          <w:p>
            <w:pPr>
              <w:pStyle w:val="0"/>
            </w:pPr>
            <w:r>
              <w:rPr>
                <w:sz w:val="20"/>
              </w:rPr>
              <w:t xml:space="preserve">12/56</w:t>
            </w:r>
          </w:p>
        </w:tc>
        <w:tc>
          <w:tcPr>
            <w:tcW w:w="1579" w:type="dxa"/>
          </w:tcPr>
          <w:p>
            <w:pPr>
              <w:pStyle w:val="0"/>
            </w:pPr>
            <w:r>
              <w:rPr>
                <w:sz w:val="20"/>
              </w:rPr>
              <w:t xml:space="preserve">112</w:t>
            </w:r>
          </w:p>
        </w:tc>
        <w:tc>
          <w:tcPr>
            <w:tcW w:w="1849" w:type="dxa"/>
          </w:tcPr>
          <w:p>
            <w:pPr>
              <w:pStyle w:val="0"/>
            </w:pPr>
            <w:r>
              <w:rPr>
                <w:sz w:val="20"/>
              </w:rPr>
              <w:t xml:space="preserve">2793 </w:t>
            </w:r>
            <w:hyperlink w:history="0" w:anchor="P29355" w:tooltip="&lt;2&gt; Общее число новорожденных, у которых взята проба для неонатального скрининга на наследственные заболевания, по данным 2021 года (равно показателю формы N 12 таблицы 1900 за 2021 год)">
              <w:r>
                <w:rPr>
                  <w:sz w:val="20"/>
                  <w:color w:val="0000ff"/>
                </w:rPr>
                <w:t xml:space="preserve">&lt;2&gt;</w:t>
              </w:r>
            </w:hyperlink>
          </w:p>
        </w:tc>
      </w:tr>
      <w:tr>
        <w:tc>
          <w:tcPr>
            <w:vMerge w:val="continue"/>
          </w:tcPr>
          <w:p/>
        </w:tc>
        <w:tc>
          <w:tcPr>
            <w:vMerge w:val="continue"/>
          </w:tcPr>
          <w:p/>
        </w:tc>
        <w:tc>
          <w:tcPr>
            <w:tcW w:w="1489" w:type="dxa"/>
          </w:tcPr>
          <w:p>
            <w:pPr>
              <w:pStyle w:val="0"/>
            </w:pPr>
            <w:r>
              <w:rPr>
                <w:sz w:val="20"/>
              </w:rPr>
              <w:t xml:space="preserve">2 уровень</w:t>
            </w:r>
          </w:p>
        </w:tc>
        <w:tc>
          <w:tcPr>
            <w:tcW w:w="1669" w:type="dxa"/>
          </w:tcPr>
          <w:p>
            <w:pPr>
              <w:pStyle w:val="0"/>
            </w:pPr>
            <w:r>
              <w:rPr>
                <w:sz w:val="20"/>
              </w:rPr>
              <w:t xml:space="preserve">23/106</w:t>
            </w:r>
          </w:p>
        </w:tc>
        <w:tc>
          <w:tcPr>
            <w:tcW w:w="1579" w:type="dxa"/>
          </w:tcPr>
          <w:p>
            <w:pPr>
              <w:pStyle w:val="0"/>
            </w:pPr>
            <w:r>
              <w:rPr>
                <w:sz w:val="20"/>
              </w:rPr>
              <w:t xml:space="preserve">212</w:t>
            </w:r>
          </w:p>
        </w:tc>
        <w:tc>
          <w:tcPr>
            <w:tcW w:w="1849" w:type="dxa"/>
          </w:tcPr>
          <w:p>
            <w:pPr>
              <w:pStyle w:val="0"/>
            </w:pPr>
            <w:r>
              <w:rPr>
                <w:sz w:val="20"/>
              </w:rPr>
              <w:t xml:space="preserve">5350 </w:t>
            </w:r>
            <w:hyperlink w:history="0" w:anchor="P29355" w:tooltip="&lt;2&gt; Общее число новорожденных, у которых взята проба для неонатального скрининга на наследственные заболевания, по данным 2021 года (равно показателю формы N 12 таблицы 1900 за 2021 год)">
              <w:r>
                <w:rPr>
                  <w:sz w:val="20"/>
                  <w:color w:val="0000ff"/>
                </w:rPr>
                <w:t xml:space="preserve">&lt;2&gt;</w:t>
              </w:r>
            </w:hyperlink>
          </w:p>
        </w:tc>
      </w:tr>
      <w:tr>
        <w:tc>
          <w:tcPr>
            <w:vMerge w:val="continue"/>
          </w:tcPr>
          <w:p/>
        </w:tc>
        <w:tc>
          <w:tcPr>
            <w:vMerge w:val="continue"/>
          </w:tcPr>
          <w:p/>
        </w:tc>
        <w:tc>
          <w:tcPr>
            <w:tcW w:w="1489" w:type="dxa"/>
          </w:tcPr>
          <w:p>
            <w:pPr>
              <w:pStyle w:val="0"/>
            </w:pPr>
            <w:r>
              <w:rPr>
                <w:sz w:val="20"/>
              </w:rPr>
              <w:t xml:space="preserve">3 А уровень</w:t>
            </w:r>
          </w:p>
        </w:tc>
        <w:tc>
          <w:tcPr>
            <w:tcW w:w="1669" w:type="dxa"/>
          </w:tcPr>
          <w:p>
            <w:pPr>
              <w:pStyle w:val="0"/>
            </w:pPr>
            <w:r>
              <w:rPr>
                <w:sz w:val="20"/>
              </w:rPr>
              <w:t xml:space="preserve">-</w:t>
            </w:r>
          </w:p>
        </w:tc>
        <w:tc>
          <w:tcPr>
            <w:tcW w:w="1579" w:type="dxa"/>
          </w:tcPr>
          <w:p>
            <w:pPr>
              <w:pStyle w:val="0"/>
            </w:pPr>
            <w:r>
              <w:rPr>
                <w:sz w:val="20"/>
              </w:rPr>
            </w:r>
          </w:p>
        </w:tc>
        <w:tc>
          <w:tcPr>
            <w:tcW w:w="1849" w:type="dxa"/>
          </w:tcPr>
          <w:p>
            <w:pPr>
              <w:pStyle w:val="0"/>
            </w:pPr>
            <w:r>
              <w:rPr>
                <w:sz w:val="20"/>
              </w:rPr>
              <w:t xml:space="preserve">0</w:t>
            </w:r>
          </w:p>
        </w:tc>
      </w:tr>
      <w:tr>
        <w:tc>
          <w:tcPr>
            <w:vMerge w:val="continue"/>
          </w:tcPr>
          <w:p/>
        </w:tc>
        <w:tc>
          <w:tcPr>
            <w:vMerge w:val="continue"/>
          </w:tcPr>
          <w:p/>
        </w:tc>
        <w:tc>
          <w:tcPr>
            <w:tcW w:w="1489" w:type="dxa"/>
          </w:tcPr>
          <w:p>
            <w:pPr>
              <w:pStyle w:val="0"/>
            </w:pPr>
            <w:r>
              <w:rPr>
                <w:sz w:val="20"/>
              </w:rPr>
              <w:t xml:space="preserve">3 Б уровень</w:t>
            </w:r>
          </w:p>
        </w:tc>
        <w:tc>
          <w:tcPr>
            <w:tcW w:w="1669" w:type="dxa"/>
          </w:tcPr>
          <w:p>
            <w:pPr>
              <w:pStyle w:val="0"/>
            </w:pPr>
            <w:r>
              <w:rPr>
                <w:sz w:val="20"/>
              </w:rPr>
            </w:r>
          </w:p>
        </w:tc>
        <w:tc>
          <w:tcPr>
            <w:tcW w:w="1579" w:type="dxa"/>
          </w:tcPr>
          <w:p>
            <w:pPr>
              <w:pStyle w:val="0"/>
            </w:pPr>
            <w:r>
              <w:rPr>
                <w:sz w:val="20"/>
              </w:rPr>
            </w:r>
          </w:p>
        </w:tc>
        <w:tc>
          <w:tcPr>
            <w:tcW w:w="1849" w:type="dxa"/>
          </w:tcPr>
          <w:p>
            <w:pPr>
              <w:pStyle w:val="0"/>
            </w:pPr>
            <w:r>
              <w:rPr>
                <w:sz w:val="20"/>
              </w:rPr>
              <w:t xml:space="preserve">0</w:t>
            </w:r>
          </w:p>
        </w:tc>
      </w:tr>
      <w:tr>
        <w:tc>
          <w:tcPr>
            <w:tcW w:w="454" w:type="dxa"/>
            <w:vMerge w:val="restart"/>
          </w:tcPr>
          <w:p>
            <w:pPr>
              <w:pStyle w:val="0"/>
            </w:pPr>
            <w:r>
              <w:rPr>
                <w:sz w:val="20"/>
              </w:rPr>
              <w:t xml:space="preserve">3.</w:t>
            </w:r>
          </w:p>
        </w:tc>
        <w:tc>
          <w:tcPr>
            <w:tcW w:w="2674" w:type="dxa"/>
            <w:vMerge w:val="restart"/>
          </w:tcPr>
          <w:p>
            <w:pPr>
              <w:pStyle w:val="0"/>
            </w:pPr>
            <w:r>
              <w:rPr>
                <w:sz w:val="20"/>
              </w:rPr>
              <w:t xml:space="preserve">Число отделений патологии новорожденных/педиатрических детских больниц, осуществляющих забор проб для проведения НС</w:t>
            </w:r>
          </w:p>
        </w:tc>
        <w:tc>
          <w:tcPr>
            <w:tcW w:w="1489" w:type="dxa"/>
          </w:tcPr>
          <w:p>
            <w:pPr>
              <w:pStyle w:val="0"/>
            </w:pPr>
            <w:r>
              <w:rPr>
                <w:sz w:val="20"/>
              </w:rPr>
              <w:t xml:space="preserve">1 уровень</w:t>
            </w:r>
          </w:p>
        </w:tc>
        <w:tc>
          <w:tcPr>
            <w:tcW w:w="1669" w:type="dxa"/>
          </w:tcPr>
          <w:p>
            <w:pPr>
              <w:pStyle w:val="0"/>
            </w:pPr>
            <w:r>
              <w:rPr>
                <w:sz w:val="20"/>
              </w:rPr>
            </w:r>
          </w:p>
        </w:tc>
        <w:tc>
          <w:tcPr>
            <w:tcW w:w="1579" w:type="dxa"/>
          </w:tcPr>
          <w:p>
            <w:pPr>
              <w:pStyle w:val="0"/>
            </w:pPr>
            <w:r>
              <w:rPr>
                <w:sz w:val="20"/>
              </w:rPr>
            </w:r>
          </w:p>
        </w:tc>
        <w:tc>
          <w:tcPr>
            <w:tcW w:w="1849" w:type="dxa"/>
          </w:tcPr>
          <w:p>
            <w:pPr>
              <w:pStyle w:val="0"/>
            </w:pPr>
            <w:r>
              <w:rPr>
                <w:sz w:val="20"/>
              </w:rPr>
              <w:t xml:space="preserve">0</w:t>
            </w:r>
          </w:p>
        </w:tc>
      </w:tr>
      <w:tr>
        <w:tc>
          <w:tcPr>
            <w:vMerge w:val="continue"/>
          </w:tcPr>
          <w:p/>
        </w:tc>
        <w:tc>
          <w:tcPr>
            <w:vMerge w:val="continue"/>
          </w:tcPr>
          <w:p/>
        </w:tc>
        <w:tc>
          <w:tcPr>
            <w:tcW w:w="1489" w:type="dxa"/>
          </w:tcPr>
          <w:p>
            <w:pPr>
              <w:pStyle w:val="0"/>
            </w:pPr>
            <w:r>
              <w:rPr>
                <w:sz w:val="20"/>
              </w:rPr>
              <w:t xml:space="preserve">2 уровень</w:t>
            </w:r>
          </w:p>
        </w:tc>
        <w:tc>
          <w:tcPr>
            <w:tcW w:w="1669" w:type="dxa"/>
          </w:tcPr>
          <w:p>
            <w:pPr>
              <w:pStyle w:val="0"/>
            </w:pPr>
            <w:r>
              <w:rPr>
                <w:sz w:val="20"/>
              </w:rPr>
            </w:r>
          </w:p>
        </w:tc>
        <w:tc>
          <w:tcPr>
            <w:tcW w:w="1579" w:type="dxa"/>
          </w:tcPr>
          <w:p>
            <w:pPr>
              <w:pStyle w:val="0"/>
            </w:pPr>
            <w:r>
              <w:rPr>
                <w:sz w:val="20"/>
              </w:rPr>
            </w:r>
          </w:p>
        </w:tc>
        <w:tc>
          <w:tcPr>
            <w:tcW w:w="1849" w:type="dxa"/>
          </w:tcPr>
          <w:p>
            <w:pPr>
              <w:pStyle w:val="0"/>
            </w:pPr>
            <w:r>
              <w:rPr>
                <w:sz w:val="20"/>
              </w:rPr>
              <w:t xml:space="preserve">0</w:t>
            </w:r>
          </w:p>
        </w:tc>
      </w:tr>
      <w:tr>
        <w:tc>
          <w:tcPr>
            <w:vMerge w:val="continue"/>
          </w:tcPr>
          <w:p/>
        </w:tc>
        <w:tc>
          <w:tcPr>
            <w:vMerge w:val="continue"/>
          </w:tcPr>
          <w:p/>
        </w:tc>
        <w:tc>
          <w:tcPr>
            <w:tcW w:w="1489" w:type="dxa"/>
          </w:tcPr>
          <w:p>
            <w:pPr>
              <w:pStyle w:val="0"/>
            </w:pPr>
            <w:r>
              <w:rPr>
                <w:sz w:val="20"/>
              </w:rPr>
              <w:t xml:space="preserve">3 уровень</w:t>
            </w:r>
          </w:p>
        </w:tc>
        <w:tc>
          <w:tcPr>
            <w:tcW w:w="1669" w:type="dxa"/>
          </w:tcPr>
          <w:p>
            <w:pPr>
              <w:pStyle w:val="0"/>
            </w:pPr>
            <w:r>
              <w:rPr>
                <w:sz w:val="20"/>
              </w:rPr>
              <w:t xml:space="preserve">1/5</w:t>
            </w:r>
          </w:p>
        </w:tc>
        <w:tc>
          <w:tcPr>
            <w:tcW w:w="1579" w:type="dxa"/>
          </w:tcPr>
          <w:p>
            <w:pPr>
              <w:pStyle w:val="0"/>
            </w:pPr>
            <w:r>
              <w:rPr>
                <w:sz w:val="20"/>
              </w:rPr>
              <w:t xml:space="preserve">10</w:t>
            </w:r>
          </w:p>
        </w:tc>
        <w:tc>
          <w:tcPr>
            <w:tcW w:w="1849" w:type="dxa"/>
          </w:tcPr>
          <w:p>
            <w:pPr>
              <w:pStyle w:val="0"/>
            </w:pPr>
            <w:r>
              <w:rPr>
                <w:sz w:val="20"/>
              </w:rPr>
              <w:t xml:space="preserve">0</w:t>
            </w:r>
          </w:p>
        </w:tc>
      </w:tr>
      <w:tr>
        <w:tc>
          <w:tcPr>
            <w:tcW w:w="454" w:type="dxa"/>
          </w:tcPr>
          <w:p>
            <w:pPr>
              <w:pStyle w:val="0"/>
            </w:pPr>
            <w:r>
              <w:rPr>
                <w:sz w:val="20"/>
              </w:rPr>
              <w:t xml:space="preserve">4.</w:t>
            </w:r>
          </w:p>
        </w:tc>
        <w:tc>
          <w:tcPr>
            <w:tcW w:w="2674" w:type="dxa"/>
          </w:tcPr>
          <w:p>
            <w:pPr>
              <w:pStyle w:val="0"/>
            </w:pPr>
            <w:r>
              <w:rPr>
                <w:sz w:val="20"/>
              </w:rPr>
              <w:t xml:space="preserve">Иные медицинские организации, осуществляющие отбор проб для проведения НС (указать какие)</w:t>
            </w:r>
          </w:p>
        </w:tc>
        <w:tc>
          <w:tcPr>
            <w:tcW w:w="1489" w:type="dxa"/>
          </w:tcPr>
          <w:p>
            <w:pPr>
              <w:pStyle w:val="0"/>
            </w:pPr>
            <w:r>
              <w:rPr>
                <w:sz w:val="20"/>
              </w:rPr>
            </w:r>
          </w:p>
        </w:tc>
        <w:tc>
          <w:tcPr>
            <w:tcW w:w="1669" w:type="dxa"/>
          </w:tcPr>
          <w:p>
            <w:pPr>
              <w:pStyle w:val="0"/>
            </w:pPr>
            <w:r>
              <w:rPr>
                <w:sz w:val="20"/>
              </w:rPr>
              <w:t xml:space="preserve">3/4</w:t>
            </w:r>
          </w:p>
        </w:tc>
        <w:tc>
          <w:tcPr>
            <w:tcW w:w="1579" w:type="dxa"/>
          </w:tcPr>
          <w:p>
            <w:pPr>
              <w:pStyle w:val="0"/>
            </w:pPr>
            <w:r>
              <w:rPr>
                <w:sz w:val="20"/>
              </w:rPr>
              <w:t xml:space="preserve">8</w:t>
            </w:r>
          </w:p>
        </w:tc>
        <w:tc>
          <w:tcPr>
            <w:tcW w:w="1849" w:type="dxa"/>
          </w:tcPr>
          <w:p>
            <w:pPr>
              <w:pStyle w:val="0"/>
            </w:pPr>
            <w:r>
              <w:rPr>
                <w:sz w:val="20"/>
              </w:rPr>
              <w:t xml:space="preserve">0</w:t>
            </w:r>
          </w:p>
        </w:tc>
      </w:tr>
      <w:tr>
        <w:tc>
          <w:tcPr>
            <w:tcW w:w="454" w:type="dxa"/>
          </w:tcPr>
          <w:p>
            <w:pPr>
              <w:pStyle w:val="0"/>
            </w:pPr>
            <w:r>
              <w:rPr>
                <w:sz w:val="20"/>
              </w:rPr>
              <w:t xml:space="preserve">4.1</w:t>
            </w:r>
          </w:p>
        </w:tc>
        <w:tc>
          <w:tcPr>
            <w:tcW w:w="2674" w:type="dxa"/>
          </w:tcPr>
          <w:p>
            <w:pPr>
              <w:pStyle w:val="0"/>
            </w:pPr>
            <w:r>
              <w:rPr>
                <w:sz w:val="20"/>
              </w:rPr>
              <w:t xml:space="preserve">БУ автономного округа "Сургутская клиническая травматологическая больница"</w:t>
            </w:r>
          </w:p>
        </w:tc>
        <w:tc>
          <w:tcPr>
            <w:tcW w:w="1489" w:type="dxa"/>
          </w:tcPr>
          <w:p>
            <w:pPr>
              <w:pStyle w:val="0"/>
            </w:pPr>
            <w:r>
              <w:rPr>
                <w:sz w:val="20"/>
              </w:rPr>
              <w:t xml:space="preserve">3 уровень</w:t>
            </w:r>
          </w:p>
        </w:tc>
        <w:tc>
          <w:tcPr>
            <w:tcW w:w="1669" w:type="dxa"/>
          </w:tcPr>
          <w:p>
            <w:pPr>
              <w:pStyle w:val="0"/>
            </w:pPr>
            <w:r>
              <w:rPr>
                <w:sz w:val="20"/>
              </w:rPr>
              <w:t xml:space="preserve">1/1</w:t>
            </w:r>
          </w:p>
        </w:tc>
        <w:tc>
          <w:tcPr>
            <w:tcW w:w="1579" w:type="dxa"/>
          </w:tcPr>
          <w:p>
            <w:pPr>
              <w:pStyle w:val="0"/>
            </w:pPr>
            <w:r>
              <w:rPr>
                <w:sz w:val="20"/>
              </w:rPr>
              <w:t xml:space="preserve">2</w:t>
            </w:r>
          </w:p>
        </w:tc>
        <w:tc>
          <w:tcPr>
            <w:tcW w:w="1849" w:type="dxa"/>
          </w:tcPr>
          <w:p>
            <w:pPr>
              <w:pStyle w:val="0"/>
            </w:pPr>
            <w:r>
              <w:rPr>
                <w:sz w:val="20"/>
              </w:rPr>
              <w:t xml:space="preserve">0</w:t>
            </w:r>
          </w:p>
        </w:tc>
      </w:tr>
      <w:tr>
        <w:tc>
          <w:tcPr>
            <w:tcW w:w="454" w:type="dxa"/>
          </w:tcPr>
          <w:p>
            <w:pPr>
              <w:pStyle w:val="0"/>
            </w:pPr>
            <w:r>
              <w:rPr>
                <w:sz w:val="20"/>
              </w:rPr>
              <w:t xml:space="preserve">4.2</w:t>
            </w:r>
          </w:p>
        </w:tc>
        <w:tc>
          <w:tcPr>
            <w:tcW w:w="2674" w:type="dxa"/>
          </w:tcPr>
          <w:p>
            <w:pPr>
              <w:pStyle w:val="0"/>
            </w:pPr>
            <w:r>
              <w:rPr>
                <w:sz w:val="20"/>
              </w:rPr>
              <w:t xml:space="preserve">БУ автономного округа "Окружной кардиологический диспансер "Центр диагностики и сердечно-сосудистой хирургии"</w:t>
            </w:r>
          </w:p>
        </w:tc>
        <w:tc>
          <w:tcPr>
            <w:tcW w:w="1489" w:type="dxa"/>
          </w:tcPr>
          <w:p>
            <w:pPr>
              <w:pStyle w:val="0"/>
            </w:pPr>
            <w:r>
              <w:rPr>
                <w:sz w:val="20"/>
              </w:rPr>
              <w:t xml:space="preserve">3 уровень</w:t>
            </w:r>
          </w:p>
        </w:tc>
        <w:tc>
          <w:tcPr>
            <w:tcW w:w="1669" w:type="dxa"/>
          </w:tcPr>
          <w:p>
            <w:pPr>
              <w:pStyle w:val="0"/>
            </w:pPr>
            <w:r>
              <w:rPr>
                <w:sz w:val="20"/>
              </w:rPr>
              <w:t xml:space="preserve">1/2</w:t>
            </w:r>
          </w:p>
        </w:tc>
        <w:tc>
          <w:tcPr>
            <w:tcW w:w="1579" w:type="dxa"/>
          </w:tcPr>
          <w:p>
            <w:pPr>
              <w:pStyle w:val="0"/>
            </w:pPr>
            <w:r>
              <w:rPr>
                <w:sz w:val="20"/>
              </w:rPr>
              <w:t xml:space="preserve">4</w:t>
            </w:r>
          </w:p>
        </w:tc>
        <w:tc>
          <w:tcPr>
            <w:tcW w:w="1849" w:type="dxa"/>
          </w:tcPr>
          <w:p>
            <w:pPr>
              <w:pStyle w:val="0"/>
            </w:pPr>
            <w:r>
              <w:rPr>
                <w:sz w:val="20"/>
              </w:rPr>
              <w:t xml:space="preserve">0</w:t>
            </w:r>
          </w:p>
        </w:tc>
      </w:tr>
      <w:tr>
        <w:tc>
          <w:tcPr>
            <w:tcW w:w="454" w:type="dxa"/>
          </w:tcPr>
          <w:p>
            <w:pPr>
              <w:pStyle w:val="0"/>
            </w:pPr>
            <w:r>
              <w:rPr>
                <w:sz w:val="20"/>
              </w:rPr>
              <w:t xml:space="preserve">4.3</w:t>
            </w:r>
          </w:p>
        </w:tc>
        <w:tc>
          <w:tcPr>
            <w:tcW w:w="2674" w:type="dxa"/>
          </w:tcPr>
          <w:p>
            <w:pPr>
              <w:pStyle w:val="0"/>
            </w:pPr>
            <w:r>
              <w:rPr>
                <w:sz w:val="20"/>
              </w:rPr>
              <w:t xml:space="preserve">казенное учреждение автономного округа "Урайский специализированный Дом ребенка"</w:t>
            </w:r>
          </w:p>
        </w:tc>
        <w:tc>
          <w:tcPr>
            <w:tcW w:w="1489" w:type="dxa"/>
          </w:tcPr>
          <w:p>
            <w:pPr>
              <w:pStyle w:val="0"/>
            </w:pPr>
            <w:r>
              <w:rPr>
                <w:sz w:val="20"/>
              </w:rPr>
              <w:t xml:space="preserve">-</w:t>
            </w:r>
          </w:p>
        </w:tc>
        <w:tc>
          <w:tcPr>
            <w:tcW w:w="1669" w:type="dxa"/>
          </w:tcPr>
          <w:p>
            <w:pPr>
              <w:pStyle w:val="0"/>
            </w:pPr>
            <w:r>
              <w:rPr>
                <w:sz w:val="20"/>
              </w:rPr>
              <w:t xml:space="preserve">1/1</w:t>
            </w:r>
          </w:p>
        </w:tc>
        <w:tc>
          <w:tcPr>
            <w:tcW w:w="1579" w:type="dxa"/>
          </w:tcPr>
          <w:p>
            <w:pPr>
              <w:pStyle w:val="0"/>
            </w:pPr>
            <w:r>
              <w:rPr>
                <w:sz w:val="20"/>
              </w:rPr>
              <w:t xml:space="preserve">2</w:t>
            </w:r>
          </w:p>
        </w:tc>
        <w:tc>
          <w:tcPr>
            <w:tcW w:w="1849" w:type="dxa"/>
          </w:tcPr>
          <w:p>
            <w:pPr>
              <w:pStyle w:val="0"/>
            </w:pPr>
            <w:r>
              <w:rPr>
                <w:sz w:val="20"/>
              </w:rPr>
              <w:t xml:space="preserve">0</w:t>
            </w:r>
          </w:p>
        </w:tc>
      </w:tr>
      <w:tr>
        <w:tc>
          <w:tcPr>
            <w:tcW w:w="454" w:type="dxa"/>
          </w:tcPr>
          <w:p>
            <w:pPr>
              <w:pStyle w:val="0"/>
            </w:pPr>
            <w:r>
              <w:rPr>
                <w:sz w:val="20"/>
              </w:rPr>
            </w:r>
          </w:p>
        </w:tc>
        <w:tc>
          <w:tcPr>
            <w:tcW w:w="2674" w:type="dxa"/>
          </w:tcPr>
          <w:p>
            <w:pPr>
              <w:pStyle w:val="0"/>
            </w:pPr>
            <w:r>
              <w:rPr>
                <w:sz w:val="20"/>
              </w:rPr>
              <w:t xml:space="preserve">Итого</w:t>
            </w:r>
          </w:p>
        </w:tc>
        <w:tc>
          <w:tcPr>
            <w:tcW w:w="1489" w:type="dxa"/>
          </w:tcPr>
          <w:p>
            <w:pPr>
              <w:pStyle w:val="0"/>
            </w:pPr>
            <w:r>
              <w:rPr>
                <w:sz w:val="20"/>
              </w:rPr>
            </w:r>
          </w:p>
        </w:tc>
        <w:tc>
          <w:tcPr>
            <w:tcW w:w="1669" w:type="dxa"/>
          </w:tcPr>
          <w:p>
            <w:pPr>
              <w:pStyle w:val="0"/>
            </w:pPr>
            <w:r>
              <w:rPr>
                <w:sz w:val="20"/>
              </w:rPr>
              <w:t xml:space="preserve">58/207</w:t>
            </w:r>
          </w:p>
        </w:tc>
        <w:tc>
          <w:tcPr>
            <w:tcW w:w="1579" w:type="dxa"/>
          </w:tcPr>
          <w:p>
            <w:pPr>
              <w:pStyle w:val="0"/>
            </w:pPr>
            <w:r>
              <w:rPr>
                <w:sz w:val="20"/>
              </w:rPr>
              <w:t xml:space="preserve">414</w:t>
            </w:r>
          </w:p>
        </w:tc>
        <w:tc>
          <w:tcPr>
            <w:tcW w:w="1849" w:type="dxa"/>
          </w:tcPr>
          <w:p>
            <w:pPr>
              <w:pStyle w:val="0"/>
            </w:pPr>
            <w:r>
              <w:rPr>
                <w:sz w:val="20"/>
              </w:rPr>
              <w:t xml:space="preserve">18387 </w:t>
            </w:r>
            <w:hyperlink w:history="0" w:anchor="P29355" w:tooltip="&lt;2&gt; Общее число новорожденных, у которых взята проба для неонатального скрининга на наследственные заболевания, по данным 2021 года (равно показателю формы N 12 таблицы 1900 за 2021 год)">
              <w:r>
                <w:rPr>
                  <w:sz w:val="20"/>
                  <w:color w:val="0000ff"/>
                </w:rPr>
                <w:t xml:space="preserve">&lt;2&gt;</w:t>
              </w:r>
            </w:hyperlink>
          </w:p>
        </w:tc>
      </w:tr>
    </w:tbl>
    <w:p>
      <w:pPr>
        <w:pStyle w:val="0"/>
        <w:ind w:firstLine="540"/>
        <w:jc w:val="both"/>
      </w:pPr>
      <w:r>
        <w:rPr>
          <w:sz w:val="20"/>
        </w:rPr>
      </w:r>
    </w:p>
    <w:p>
      <w:pPr>
        <w:pStyle w:val="0"/>
        <w:ind w:firstLine="540"/>
        <w:jc w:val="both"/>
      </w:pPr>
      <w:r>
        <w:rPr>
          <w:sz w:val="20"/>
        </w:rPr>
        <w:t xml:space="preserve">--------------------------------</w:t>
      </w:r>
    </w:p>
    <w:bookmarkStart w:id="29354" w:name="P29354"/>
    <w:bookmarkEnd w:id="29354"/>
    <w:p>
      <w:pPr>
        <w:pStyle w:val="0"/>
        <w:spacing w:before="200" w:line-rule="auto"/>
        <w:ind w:firstLine="540"/>
        <w:jc w:val="both"/>
      </w:pPr>
      <w:r>
        <w:rPr>
          <w:sz w:val="20"/>
        </w:rPr>
        <w:t xml:space="preserve">&lt;1&gt; Общее число новорожденных, у которых взята проба для неонатального скрининга на наследственные заболевания, по данным 2021 года (равно показателю 3 формы N 32 таблицы 2246 за 2021 год).</w:t>
      </w:r>
    </w:p>
    <w:bookmarkStart w:id="29355" w:name="P29355"/>
    <w:bookmarkEnd w:id="29355"/>
    <w:p>
      <w:pPr>
        <w:pStyle w:val="0"/>
        <w:spacing w:before="200" w:line-rule="auto"/>
        <w:ind w:firstLine="540"/>
        <w:jc w:val="both"/>
      </w:pPr>
      <w:r>
        <w:rPr>
          <w:sz w:val="20"/>
        </w:rPr>
        <w:t xml:space="preserve">&lt;2&gt; Общее число новорожденных, у которых взята проба для неонатального скрининга на наследственные заболевания, по данным 2021 года (равно показателю формы N 12 таблицы 1900 за 2021 год)</w:t>
      </w:r>
    </w:p>
    <w:p>
      <w:pPr>
        <w:pStyle w:val="0"/>
        <w:jc w:val="right"/>
      </w:pPr>
      <w:r>
        <w:rPr>
          <w:sz w:val="20"/>
        </w:rPr>
      </w:r>
    </w:p>
    <w:p>
      <w:pPr>
        <w:pStyle w:val="0"/>
        <w:jc w:val="center"/>
      </w:pPr>
      <w:r>
        <w:rPr>
          <w:sz w:val="20"/>
        </w:rPr>
        <w:t xml:space="preserve">Перечень медицинских организаций, осуществляющих НС и РНС</w:t>
      </w:r>
    </w:p>
    <w:p>
      <w:pPr>
        <w:pStyle w:val="0"/>
        <w:jc w:val="center"/>
      </w:pPr>
      <w:r>
        <w:rPr>
          <w:sz w:val="20"/>
        </w:rPr>
        <w:t xml:space="preserve">(при наличии) в автономном округе</w:t>
      </w:r>
    </w:p>
    <w:p>
      <w:pPr>
        <w:pStyle w:val="0"/>
        <w:jc w:val="center"/>
      </w:pPr>
      <w:r>
        <w:rPr>
          <w:sz w:val="20"/>
        </w:rPr>
      </w:r>
    </w:p>
    <w:p>
      <w:pPr>
        <w:pStyle w:val="0"/>
        <w:jc w:val="right"/>
      </w:pPr>
      <w:r>
        <w:rPr>
          <w:sz w:val="20"/>
        </w:rPr>
        <w:t xml:space="preserve">Таблица 15</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269"/>
        <w:gridCol w:w="1894"/>
        <w:gridCol w:w="1714"/>
        <w:gridCol w:w="1609"/>
        <w:gridCol w:w="1564"/>
        <w:gridCol w:w="724"/>
        <w:gridCol w:w="1564"/>
      </w:tblGrid>
      <w:tr>
        <w:tc>
          <w:tcPr>
            <w:tcW w:w="454" w:type="dxa"/>
            <w:vMerge w:val="restart"/>
          </w:tcPr>
          <w:p>
            <w:pPr>
              <w:pStyle w:val="0"/>
              <w:jc w:val="center"/>
            </w:pPr>
            <w:r>
              <w:rPr>
                <w:sz w:val="20"/>
              </w:rPr>
              <w:t xml:space="preserve">N п/п</w:t>
            </w:r>
          </w:p>
        </w:tc>
        <w:tc>
          <w:tcPr>
            <w:tcW w:w="2269" w:type="dxa"/>
            <w:vMerge w:val="restart"/>
          </w:tcPr>
          <w:p>
            <w:pPr>
              <w:pStyle w:val="0"/>
              <w:jc w:val="center"/>
            </w:pPr>
            <w:r>
              <w:rPr>
                <w:sz w:val="20"/>
              </w:rPr>
              <w:t xml:space="preserve">Полное наименование медицинской организации/ структурного подразделения, осуществляющей проведение НС</w:t>
            </w:r>
          </w:p>
        </w:tc>
        <w:tc>
          <w:tcPr>
            <w:tcW w:w="1894" w:type="dxa"/>
            <w:vMerge w:val="restart"/>
          </w:tcPr>
          <w:p>
            <w:pPr>
              <w:pStyle w:val="0"/>
              <w:jc w:val="center"/>
            </w:pPr>
            <w:r>
              <w:rPr>
                <w:sz w:val="20"/>
              </w:rPr>
              <w:t xml:space="preserve">Адрес, тел, e-mail</w:t>
            </w:r>
          </w:p>
        </w:tc>
        <w:tc>
          <w:tcPr>
            <w:tcW w:w="1714" w:type="dxa"/>
            <w:vMerge w:val="restart"/>
          </w:tcPr>
          <w:p>
            <w:pPr>
              <w:pStyle w:val="0"/>
              <w:jc w:val="center"/>
            </w:pPr>
            <w:r>
              <w:rPr>
                <w:sz w:val="20"/>
              </w:rPr>
              <w:t xml:space="preserve">Должность ответственного лица</w:t>
            </w:r>
          </w:p>
        </w:tc>
        <w:tc>
          <w:tcPr>
            <w:gridSpan w:val="2"/>
            <w:tcW w:w="3173" w:type="dxa"/>
          </w:tcPr>
          <w:p>
            <w:pPr>
              <w:pStyle w:val="0"/>
              <w:jc w:val="center"/>
            </w:pPr>
            <w:r>
              <w:rPr>
                <w:sz w:val="20"/>
              </w:rPr>
              <w:t xml:space="preserve">Проведено исследований в год (НС) по данным 2021 года</w:t>
            </w:r>
          </w:p>
        </w:tc>
        <w:tc>
          <w:tcPr>
            <w:gridSpan w:val="2"/>
            <w:tcW w:w="2288" w:type="dxa"/>
          </w:tcPr>
          <w:p>
            <w:pPr>
              <w:pStyle w:val="0"/>
              <w:jc w:val="center"/>
            </w:pPr>
            <w:r>
              <w:rPr>
                <w:sz w:val="20"/>
              </w:rPr>
              <w:t xml:space="preserve">Проведено исследований в год (РНС) по данным 2021 года</w:t>
            </w:r>
          </w:p>
        </w:tc>
      </w:tr>
      <w:tr>
        <w:tc>
          <w:tcPr>
            <w:vMerge w:val="continue"/>
          </w:tcPr>
          <w:p/>
        </w:tc>
        <w:tc>
          <w:tcPr>
            <w:vMerge w:val="continue"/>
          </w:tcPr>
          <w:p/>
        </w:tc>
        <w:tc>
          <w:tcPr>
            <w:vMerge w:val="continue"/>
          </w:tcPr>
          <w:p/>
        </w:tc>
        <w:tc>
          <w:tcPr>
            <w:vMerge w:val="continue"/>
          </w:tcPr>
          <w:p/>
        </w:tc>
        <w:tc>
          <w:tcPr>
            <w:tcW w:w="1609" w:type="dxa"/>
          </w:tcPr>
          <w:p>
            <w:pPr>
              <w:pStyle w:val="0"/>
              <w:jc w:val="center"/>
            </w:pPr>
            <w:r>
              <w:rPr>
                <w:sz w:val="20"/>
              </w:rPr>
              <w:t xml:space="preserve">число</w:t>
            </w:r>
          </w:p>
        </w:tc>
        <w:tc>
          <w:tcPr>
            <w:tcW w:w="1564" w:type="dxa"/>
          </w:tcPr>
          <w:p>
            <w:pPr>
              <w:pStyle w:val="0"/>
              <w:jc w:val="center"/>
            </w:pPr>
            <w:r>
              <w:rPr>
                <w:sz w:val="20"/>
              </w:rPr>
              <w:t xml:space="preserve">Доля всех выполненных в автономном округе</w:t>
            </w:r>
          </w:p>
        </w:tc>
        <w:tc>
          <w:tcPr>
            <w:tcW w:w="724" w:type="dxa"/>
          </w:tcPr>
          <w:p>
            <w:pPr>
              <w:pStyle w:val="0"/>
              <w:jc w:val="center"/>
            </w:pPr>
            <w:r>
              <w:rPr>
                <w:sz w:val="20"/>
              </w:rPr>
              <w:t xml:space="preserve">число</w:t>
            </w:r>
          </w:p>
        </w:tc>
        <w:tc>
          <w:tcPr>
            <w:tcW w:w="1564" w:type="dxa"/>
          </w:tcPr>
          <w:p>
            <w:pPr>
              <w:pStyle w:val="0"/>
              <w:jc w:val="center"/>
            </w:pPr>
            <w:r>
              <w:rPr>
                <w:sz w:val="20"/>
              </w:rPr>
              <w:t xml:space="preserve">Доля всех выполненных в автономном округе</w:t>
            </w:r>
          </w:p>
        </w:tc>
      </w:tr>
      <w:tr>
        <w:tc>
          <w:tcPr>
            <w:gridSpan w:val="8"/>
            <w:tcW w:w="11792" w:type="dxa"/>
          </w:tcPr>
          <w:p>
            <w:pPr>
              <w:pStyle w:val="0"/>
            </w:pPr>
            <w:r>
              <w:rPr>
                <w:sz w:val="20"/>
              </w:rPr>
              <w:t xml:space="preserve">Медики - генетические консультанты (центры) 2 уровня</w:t>
            </w:r>
          </w:p>
        </w:tc>
      </w:tr>
      <w:tr>
        <w:tc>
          <w:tcPr>
            <w:tcW w:w="454" w:type="dxa"/>
          </w:tcPr>
          <w:p>
            <w:pPr>
              <w:pStyle w:val="0"/>
            </w:pPr>
            <w:r>
              <w:rPr>
                <w:sz w:val="20"/>
              </w:rPr>
              <w:t xml:space="preserve">1.</w:t>
            </w:r>
          </w:p>
        </w:tc>
        <w:tc>
          <w:tcPr>
            <w:tcW w:w="2269" w:type="dxa"/>
          </w:tcPr>
          <w:p>
            <w:pPr>
              <w:pStyle w:val="0"/>
            </w:pPr>
            <w:r>
              <w:rPr>
                <w:sz w:val="20"/>
              </w:rPr>
              <w:t xml:space="preserve">БУ автономного округа "Сургутский окружной клинический центр охраны материнства и детства" / медико-генетическая консультация / лабораторное отделение</w:t>
            </w:r>
          </w:p>
        </w:tc>
        <w:tc>
          <w:tcPr>
            <w:tcW w:w="1894" w:type="dxa"/>
          </w:tcPr>
          <w:p>
            <w:pPr>
              <w:pStyle w:val="0"/>
            </w:pPr>
            <w:r>
              <w:rPr>
                <w:sz w:val="20"/>
              </w:rPr>
              <w:t xml:space="preserve">628405, г. Сургут, проспект Пролетарский, д. 15, info@surgut-kpc.ru</w:t>
            </w:r>
          </w:p>
        </w:tc>
        <w:tc>
          <w:tcPr>
            <w:tcW w:w="1714" w:type="dxa"/>
          </w:tcPr>
          <w:p>
            <w:pPr>
              <w:pStyle w:val="0"/>
            </w:pPr>
            <w:r>
              <w:rPr>
                <w:sz w:val="20"/>
              </w:rPr>
              <w:t xml:space="preserve">Главный врач</w:t>
            </w:r>
          </w:p>
        </w:tc>
        <w:tc>
          <w:tcPr>
            <w:tcW w:w="1609" w:type="dxa"/>
          </w:tcPr>
          <w:p>
            <w:pPr>
              <w:pStyle w:val="0"/>
            </w:pPr>
            <w:r>
              <w:rPr>
                <w:sz w:val="20"/>
              </w:rPr>
              <w:t xml:space="preserve">96526 (8845 - уточняющие исследования)</w:t>
            </w:r>
          </w:p>
        </w:tc>
        <w:tc>
          <w:tcPr>
            <w:tcW w:w="1564" w:type="dxa"/>
          </w:tcPr>
          <w:p>
            <w:pPr>
              <w:pStyle w:val="0"/>
            </w:pPr>
            <w:r>
              <w:rPr>
                <w:sz w:val="20"/>
              </w:rPr>
              <w:t xml:space="preserve">100%</w:t>
            </w:r>
          </w:p>
        </w:tc>
        <w:tc>
          <w:tcPr>
            <w:tcW w:w="724" w:type="dxa"/>
          </w:tcPr>
          <w:p>
            <w:pPr>
              <w:pStyle w:val="0"/>
            </w:pPr>
            <w:r>
              <w:rPr>
                <w:sz w:val="20"/>
              </w:rPr>
              <w:t xml:space="preserve">0</w:t>
            </w:r>
          </w:p>
        </w:tc>
        <w:tc>
          <w:tcPr>
            <w:tcW w:w="1564" w:type="dxa"/>
          </w:tcPr>
          <w:p>
            <w:pPr>
              <w:pStyle w:val="0"/>
            </w:pPr>
            <w:r>
              <w:rPr>
                <w:sz w:val="20"/>
              </w:rPr>
              <w:t xml:space="preserve">0</w:t>
            </w:r>
          </w:p>
        </w:tc>
      </w:tr>
    </w:tbl>
    <w:p>
      <w:pPr>
        <w:pStyle w:val="0"/>
        <w:ind w:firstLine="540"/>
        <w:jc w:val="both"/>
      </w:pPr>
      <w:r>
        <w:rPr>
          <w:sz w:val="20"/>
        </w:rPr>
      </w:r>
    </w:p>
    <w:bookmarkStart w:id="29382" w:name="P29382"/>
    <w:bookmarkEnd w:id="29382"/>
    <w:p>
      <w:pPr>
        <w:pStyle w:val="0"/>
        <w:jc w:val="center"/>
      </w:pPr>
      <w:r>
        <w:rPr>
          <w:sz w:val="20"/>
        </w:rPr>
        <w:t xml:space="preserve">Оснащение лаборатории неонатального скрининга, в том числе</w:t>
      </w:r>
    </w:p>
    <w:p>
      <w:pPr>
        <w:pStyle w:val="0"/>
        <w:jc w:val="center"/>
      </w:pPr>
      <w:r>
        <w:rPr>
          <w:sz w:val="20"/>
        </w:rPr>
        <w:t xml:space="preserve">расширенного неонатального скрининга</w:t>
      </w:r>
    </w:p>
    <w:p>
      <w:pPr>
        <w:pStyle w:val="0"/>
        <w:jc w:val="center"/>
      </w:pPr>
      <w:r>
        <w:rPr>
          <w:sz w:val="20"/>
        </w:rPr>
      </w:r>
    </w:p>
    <w:p>
      <w:pPr>
        <w:pStyle w:val="0"/>
        <w:jc w:val="right"/>
      </w:pPr>
      <w:r>
        <w:rPr>
          <w:sz w:val="20"/>
        </w:rPr>
        <w:t xml:space="preserve">Таблица 16</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1819"/>
        <w:gridCol w:w="3184"/>
        <w:gridCol w:w="1127"/>
        <w:gridCol w:w="1127"/>
        <w:gridCol w:w="778"/>
        <w:gridCol w:w="742"/>
        <w:gridCol w:w="638"/>
        <w:gridCol w:w="702"/>
        <w:gridCol w:w="2389"/>
      </w:tblGrid>
      <w:tr>
        <w:tc>
          <w:tcPr>
            <w:tcW w:w="454" w:type="dxa"/>
          </w:tcPr>
          <w:p>
            <w:pPr>
              <w:pStyle w:val="0"/>
              <w:jc w:val="center"/>
            </w:pPr>
            <w:r>
              <w:rPr>
                <w:sz w:val="20"/>
              </w:rPr>
              <w:t xml:space="preserve">N п/п</w:t>
            </w:r>
          </w:p>
        </w:tc>
        <w:tc>
          <w:tcPr>
            <w:tcW w:w="1819" w:type="dxa"/>
          </w:tcPr>
          <w:p>
            <w:pPr>
              <w:pStyle w:val="0"/>
              <w:jc w:val="center"/>
            </w:pPr>
            <w:r>
              <w:rPr>
                <w:sz w:val="20"/>
              </w:rPr>
              <w:t xml:space="preserve">Код вида номенклатурной классификации медицинских изделий &lt;1&gt;</w:t>
            </w:r>
          </w:p>
        </w:tc>
        <w:tc>
          <w:tcPr>
            <w:tcW w:w="3184" w:type="dxa"/>
          </w:tcPr>
          <w:p>
            <w:pPr>
              <w:pStyle w:val="0"/>
              <w:jc w:val="center"/>
            </w:pPr>
            <w:r>
              <w:rPr>
                <w:sz w:val="20"/>
              </w:rPr>
              <w:t xml:space="preserve">Наименование вида медицинского изделия в соответствии с номенклатурной классификацией медицинских изделий</w:t>
            </w:r>
          </w:p>
        </w:tc>
        <w:tc>
          <w:tcPr>
            <w:gridSpan w:val="2"/>
            <w:tcW w:w="2254" w:type="dxa"/>
          </w:tcPr>
          <w:p>
            <w:pPr>
              <w:pStyle w:val="0"/>
              <w:jc w:val="center"/>
            </w:pPr>
            <w:r>
              <w:rPr>
                <w:sz w:val="20"/>
              </w:rPr>
              <w:t xml:space="preserve">Наименование оборудования (оснащения)</w:t>
            </w:r>
          </w:p>
        </w:tc>
        <w:tc>
          <w:tcPr>
            <w:gridSpan w:val="2"/>
            <w:tcW w:w="1520" w:type="dxa"/>
          </w:tcPr>
          <w:p>
            <w:pPr>
              <w:pStyle w:val="0"/>
              <w:jc w:val="center"/>
            </w:pPr>
            <w:r>
              <w:rPr>
                <w:sz w:val="20"/>
              </w:rPr>
              <w:t xml:space="preserve">Требуемое количеств о, шт.</w:t>
            </w:r>
          </w:p>
        </w:tc>
        <w:tc>
          <w:tcPr>
            <w:gridSpan w:val="2"/>
            <w:tcW w:w="1340" w:type="dxa"/>
          </w:tcPr>
          <w:p>
            <w:pPr>
              <w:pStyle w:val="0"/>
              <w:jc w:val="center"/>
            </w:pPr>
            <w:r>
              <w:rPr>
                <w:sz w:val="20"/>
              </w:rPr>
              <w:t xml:space="preserve">Имеющееся в наличии количество, шт.</w:t>
            </w:r>
          </w:p>
        </w:tc>
        <w:tc>
          <w:tcPr>
            <w:tcW w:w="2389" w:type="dxa"/>
          </w:tcPr>
          <w:p>
            <w:pPr>
              <w:pStyle w:val="0"/>
              <w:jc w:val="center"/>
            </w:pPr>
            <w:r>
              <w:rPr>
                <w:sz w:val="20"/>
              </w:rPr>
              <w:t xml:space="preserve">Укомплектованность, %</w:t>
            </w:r>
          </w:p>
        </w:tc>
      </w:tr>
      <w:tr>
        <w:tc>
          <w:tcPr>
            <w:tcW w:w="454" w:type="dxa"/>
          </w:tcPr>
          <w:p>
            <w:pPr>
              <w:pStyle w:val="0"/>
            </w:pPr>
            <w:r>
              <w:rPr>
                <w:sz w:val="20"/>
              </w:rPr>
              <w:t xml:space="preserve">1.</w:t>
            </w:r>
          </w:p>
        </w:tc>
        <w:tc>
          <w:tcPr>
            <w:tcW w:w="1819" w:type="dxa"/>
          </w:tcPr>
          <w:p>
            <w:pPr>
              <w:pStyle w:val="0"/>
            </w:pPr>
            <w:r>
              <w:rPr>
                <w:sz w:val="20"/>
              </w:rPr>
              <w:t xml:space="preserve">341870</w:t>
            </w:r>
          </w:p>
        </w:tc>
        <w:tc>
          <w:tcPr>
            <w:tcW w:w="3184" w:type="dxa"/>
          </w:tcPr>
          <w:p>
            <w:pPr>
              <w:pStyle w:val="0"/>
            </w:pPr>
            <w:r>
              <w:rPr>
                <w:sz w:val="20"/>
              </w:rPr>
              <w:t xml:space="preserve">Автоматическое устройство для подготовки образцов сухих пятен крови</w:t>
            </w:r>
          </w:p>
        </w:tc>
        <w:tc>
          <w:tcPr>
            <w:gridSpan w:val="2"/>
            <w:tcW w:w="2254" w:type="dxa"/>
          </w:tcPr>
          <w:p>
            <w:pPr>
              <w:pStyle w:val="0"/>
            </w:pPr>
            <w:r>
              <w:rPr>
                <w:sz w:val="20"/>
              </w:rPr>
              <w:t xml:space="preserve">Панчер для выбивания высушенных образцов крови из тест-бланков &lt;3&gt;, &lt;4А&gt;, &lt;4Б&gt;</w:t>
            </w:r>
          </w:p>
        </w:tc>
        <w:tc>
          <w:tcPr>
            <w:gridSpan w:val="2"/>
            <w:tcW w:w="1520" w:type="dxa"/>
          </w:tcPr>
          <w:p>
            <w:pPr>
              <w:pStyle w:val="0"/>
            </w:pPr>
            <w:r>
              <w:rPr>
                <w:sz w:val="20"/>
              </w:rPr>
              <w:t xml:space="preserve">Не менее 2</w:t>
            </w:r>
          </w:p>
        </w:tc>
        <w:tc>
          <w:tcPr>
            <w:gridSpan w:val="2"/>
            <w:tcW w:w="1340" w:type="dxa"/>
          </w:tcPr>
          <w:p>
            <w:pPr>
              <w:pStyle w:val="0"/>
            </w:pPr>
            <w:r>
              <w:rPr>
                <w:sz w:val="20"/>
              </w:rPr>
              <w:t xml:space="preserve">0</w:t>
            </w:r>
          </w:p>
        </w:tc>
        <w:tc>
          <w:tcPr>
            <w:tcW w:w="2389" w:type="dxa"/>
          </w:tcPr>
          <w:p>
            <w:pPr>
              <w:pStyle w:val="0"/>
            </w:pPr>
            <w:r>
              <w:rPr>
                <w:sz w:val="20"/>
              </w:rPr>
              <w:t xml:space="preserve">0</w:t>
            </w:r>
          </w:p>
          <w:p>
            <w:pPr>
              <w:pStyle w:val="0"/>
            </w:pPr>
            <w:r>
              <w:rPr>
                <w:sz w:val="20"/>
              </w:rPr>
              <w:t xml:space="preserve">(доукомплектация)</w:t>
            </w:r>
          </w:p>
        </w:tc>
      </w:tr>
      <w:tr>
        <w:tc>
          <w:tcPr>
            <w:tcW w:w="454" w:type="dxa"/>
            <w:vMerge w:val="restart"/>
          </w:tcPr>
          <w:p>
            <w:pPr>
              <w:pStyle w:val="0"/>
            </w:pPr>
            <w:r>
              <w:rPr>
                <w:sz w:val="20"/>
              </w:rPr>
              <w:t xml:space="preserve">2.</w:t>
            </w:r>
          </w:p>
        </w:tc>
        <w:tc>
          <w:tcPr>
            <w:tcW w:w="1819" w:type="dxa"/>
          </w:tcPr>
          <w:p>
            <w:pPr>
              <w:pStyle w:val="0"/>
            </w:pPr>
            <w:r>
              <w:rPr>
                <w:sz w:val="20"/>
              </w:rPr>
              <w:t xml:space="preserve">261550</w:t>
            </w:r>
          </w:p>
        </w:tc>
        <w:tc>
          <w:tcPr>
            <w:tcW w:w="3184" w:type="dxa"/>
          </w:tcPr>
          <w:p>
            <w:pPr>
              <w:pStyle w:val="0"/>
            </w:pPr>
            <w:r>
              <w:rPr>
                <w:sz w:val="20"/>
              </w:rPr>
              <w:t xml:space="preserve">Анализатор биохимический множественных аналитов клинической химии ИВД, лабораторный, автоматический</w:t>
            </w:r>
          </w:p>
        </w:tc>
        <w:tc>
          <w:tcPr>
            <w:gridSpan w:val="2"/>
            <w:tcW w:w="2254" w:type="dxa"/>
          </w:tcPr>
          <w:p>
            <w:pPr>
              <w:pStyle w:val="0"/>
            </w:pPr>
            <w:r>
              <w:rPr>
                <w:sz w:val="20"/>
              </w:rPr>
              <w:t xml:space="preserve">Биохимический анализатор с программным обеспечением и комплектом вспомогательного оборудования для скрининга недостаточности биотинидазы, врожденного гипотиреоза, адреногенитального синдрома, муковисцидоза галактоземии &lt;3&gt;, &lt;4А&gt;, &lt;4Б&gt;</w:t>
            </w:r>
          </w:p>
        </w:tc>
        <w:tc>
          <w:tcPr>
            <w:gridSpan w:val="2"/>
            <w:tcW w:w="1520" w:type="dxa"/>
            <w:vMerge w:val="restart"/>
          </w:tcPr>
          <w:p>
            <w:pPr>
              <w:pStyle w:val="0"/>
            </w:pPr>
            <w:r>
              <w:rPr>
                <w:sz w:val="20"/>
              </w:rPr>
              <w:t xml:space="preserve">Не менее 2</w:t>
            </w:r>
          </w:p>
        </w:tc>
        <w:tc>
          <w:tcPr>
            <w:gridSpan w:val="2"/>
            <w:tcW w:w="1340" w:type="dxa"/>
          </w:tcPr>
          <w:p>
            <w:pPr>
              <w:pStyle w:val="0"/>
            </w:pPr>
            <w:r>
              <w:rPr>
                <w:sz w:val="20"/>
              </w:rPr>
              <w:t xml:space="preserve">0</w:t>
            </w:r>
          </w:p>
        </w:tc>
        <w:tc>
          <w:tcPr>
            <w:tcW w:w="2389" w:type="dxa"/>
          </w:tcPr>
          <w:p>
            <w:pPr>
              <w:pStyle w:val="0"/>
            </w:pPr>
            <w:r>
              <w:rPr>
                <w:sz w:val="20"/>
              </w:rPr>
              <w:t xml:space="preserve">0</w:t>
            </w:r>
          </w:p>
          <w:p>
            <w:pPr>
              <w:pStyle w:val="0"/>
            </w:pPr>
            <w:r>
              <w:rPr>
                <w:sz w:val="20"/>
              </w:rPr>
              <w:t xml:space="preserve">(доукомплектация)</w:t>
            </w:r>
          </w:p>
        </w:tc>
      </w:tr>
      <w:tr>
        <w:tc>
          <w:tcPr>
            <w:vMerge w:val="continue"/>
          </w:tcPr>
          <w:p/>
        </w:tc>
        <w:tc>
          <w:tcPr>
            <w:tcW w:w="1819" w:type="dxa"/>
          </w:tcPr>
          <w:p>
            <w:pPr>
              <w:pStyle w:val="0"/>
            </w:pPr>
            <w:r>
              <w:rPr>
                <w:sz w:val="20"/>
              </w:rPr>
              <w:t xml:space="preserve">261770</w:t>
            </w:r>
          </w:p>
        </w:tc>
        <w:tc>
          <w:tcPr>
            <w:tcW w:w="3184" w:type="dxa"/>
          </w:tcPr>
          <w:p>
            <w:pPr>
              <w:pStyle w:val="0"/>
            </w:pPr>
            <w:r>
              <w:rPr>
                <w:sz w:val="20"/>
              </w:rPr>
              <w:t xml:space="preserve">Анализатор биохимический множественных аналитов клинической химии ИВД, лабораторный, полуавтоматический</w:t>
            </w:r>
          </w:p>
        </w:tc>
        <w:tc>
          <w:tcPr>
            <w:gridSpan w:val="2"/>
            <w:tcW w:w="2254" w:type="dxa"/>
          </w:tcPr>
          <w:p>
            <w:pPr>
              <w:pStyle w:val="0"/>
            </w:pPr>
            <w:r>
              <w:rPr>
                <w:sz w:val="20"/>
              </w:rPr>
              <w:t xml:space="preserve">Анализатор биохимический множественных аналитов клинической химии ИВД, лабораторный, полуавтоматический &lt;3&gt;, &lt;4А&gt;, &lt;4Б&gt;</w:t>
            </w:r>
          </w:p>
        </w:tc>
        <w:tc>
          <w:tcPr>
            <w:gridSpan w:val="2"/>
            <w:vMerge w:val="continue"/>
          </w:tcPr>
          <w:p/>
        </w:tc>
        <w:tc>
          <w:tcPr>
            <w:gridSpan w:val="2"/>
            <w:tcW w:w="1340" w:type="dxa"/>
          </w:tcPr>
          <w:p>
            <w:pPr>
              <w:pStyle w:val="0"/>
            </w:pPr>
            <w:r>
              <w:rPr>
                <w:sz w:val="20"/>
              </w:rPr>
              <w:t xml:space="preserve">2</w:t>
            </w:r>
          </w:p>
        </w:tc>
        <w:tc>
          <w:tcPr>
            <w:tcW w:w="2389" w:type="dxa"/>
          </w:tcPr>
          <w:p>
            <w:pPr>
              <w:pStyle w:val="0"/>
            </w:pPr>
            <w:r>
              <w:rPr>
                <w:sz w:val="20"/>
              </w:rPr>
              <w:t xml:space="preserve">100</w:t>
            </w:r>
          </w:p>
        </w:tc>
      </w:tr>
      <w:tr>
        <w:tc>
          <w:tcPr>
            <w:tcW w:w="454" w:type="dxa"/>
            <w:vMerge w:val="restart"/>
          </w:tcPr>
          <w:p>
            <w:pPr>
              <w:pStyle w:val="0"/>
            </w:pPr>
            <w:r>
              <w:rPr>
                <w:sz w:val="20"/>
              </w:rPr>
              <w:t xml:space="preserve">3.</w:t>
            </w:r>
          </w:p>
        </w:tc>
        <w:tc>
          <w:tcPr>
            <w:tcW w:w="1819" w:type="dxa"/>
          </w:tcPr>
          <w:p>
            <w:pPr>
              <w:pStyle w:val="0"/>
            </w:pPr>
            <w:r>
              <w:rPr>
                <w:sz w:val="20"/>
              </w:rPr>
              <w:t xml:space="preserve">107660</w:t>
            </w:r>
          </w:p>
        </w:tc>
        <w:tc>
          <w:tcPr>
            <w:tcW w:w="3184" w:type="dxa"/>
          </w:tcPr>
          <w:p>
            <w:pPr>
              <w:pStyle w:val="0"/>
            </w:pPr>
            <w:r>
              <w:rPr>
                <w:sz w:val="20"/>
              </w:rPr>
              <w:t xml:space="preserve">Анализатор масс-спектрометрический ИВД автоматический</w:t>
            </w:r>
          </w:p>
        </w:tc>
        <w:tc>
          <w:tcPr>
            <w:gridSpan w:val="2"/>
            <w:tcW w:w="2254" w:type="dxa"/>
            <w:vMerge w:val="restart"/>
          </w:tcPr>
          <w:p>
            <w:pPr>
              <w:pStyle w:val="0"/>
            </w:pPr>
            <w:r>
              <w:rPr>
                <w:sz w:val="20"/>
              </w:rPr>
              <w:t xml:space="preserve">Тандемный масс-спектрометр с программным обеспечением для проведения расширенного неонатального скрининга методом тандемной масс-спектрометрии для определения концентрации аминокислот и ацилкарнитинов &lt;4А&gt;, &lt;4Б&gt;</w:t>
            </w:r>
          </w:p>
        </w:tc>
        <w:tc>
          <w:tcPr>
            <w:gridSpan w:val="2"/>
            <w:tcW w:w="1520" w:type="dxa"/>
            <w:vMerge w:val="restart"/>
          </w:tcPr>
          <w:p>
            <w:pPr>
              <w:pStyle w:val="0"/>
            </w:pPr>
            <w:r>
              <w:rPr>
                <w:sz w:val="20"/>
              </w:rPr>
              <w:t xml:space="preserve">Не менее 2</w:t>
            </w:r>
          </w:p>
        </w:tc>
        <w:tc>
          <w:tcPr>
            <w:gridSpan w:val="2"/>
            <w:tcW w:w="1340" w:type="dxa"/>
          </w:tcPr>
          <w:p>
            <w:pPr>
              <w:pStyle w:val="0"/>
            </w:pPr>
            <w:r>
              <w:rPr>
                <w:sz w:val="20"/>
              </w:rPr>
              <w:t xml:space="preserve">-</w:t>
            </w:r>
          </w:p>
        </w:tc>
        <w:tc>
          <w:tcPr>
            <w:tcW w:w="2389" w:type="dxa"/>
          </w:tcPr>
          <w:p>
            <w:pPr>
              <w:pStyle w:val="0"/>
            </w:pPr>
            <w:r>
              <w:rPr>
                <w:sz w:val="20"/>
              </w:rPr>
              <w:t xml:space="preserve">-</w:t>
            </w:r>
          </w:p>
        </w:tc>
      </w:tr>
      <w:tr>
        <w:tc>
          <w:tcPr>
            <w:vMerge w:val="continue"/>
          </w:tcPr>
          <w:p/>
        </w:tc>
        <w:tc>
          <w:tcPr>
            <w:tcW w:w="1819" w:type="dxa"/>
          </w:tcPr>
          <w:p>
            <w:pPr>
              <w:pStyle w:val="0"/>
            </w:pPr>
            <w:r>
              <w:rPr>
                <w:sz w:val="20"/>
              </w:rPr>
              <w:t xml:space="preserve">107670</w:t>
            </w:r>
          </w:p>
        </w:tc>
        <w:tc>
          <w:tcPr>
            <w:tcW w:w="3184" w:type="dxa"/>
          </w:tcPr>
          <w:p>
            <w:pPr>
              <w:pStyle w:val="0"/>
            </w:pPr>
            <w:r>
              <w:rPr>
                <w:sz w:val="20"/>
              </w:rPr>
              <w:t xml:space="preserve">Анализатор масс-спектрометрический ИВД, полуавтоматический</w:t>
            </w:r>
          </w:p>
        </w:tc>
        <w:tc>
          <w:tcPr>
            <w:gridSpan w:val="2"/>
            <w:vMerge w:val="continue"/>
          </w:tcPr>
          <w:p/>
        </w:tc>
        <w:tc>
          <w:tcPr>
            <w:gridSpan w:val="2"/>
            <w:vMerge w:val="continue"/>
          </w:tcPr>
          <w:p/>
        </w:tc>
        <w:tc>
          <w:tcPr>
            <w:gridSpan w:val="2"/>
            <w:tcW w:w="1340" w:type="dxa"/>
          </w:tcPr>
          <w:p>
            <w:pPr>
              <w:pStyle w:val="0"/>
            </w:pPr>
            <w:r>
              <w:rPr>
                <w:sz w:val="20"/>
              </w:rPr>
              <w:t xml:space="preserve">-</w:t>
            </w:r>
          </w:p>
        </w:tc>
        <w:tc>
          <w:tcPr>
            <w:tcW w:w="2389" w:type="dxa"/>
          </w:tcPr>
          <w:p>
            <w:pPr>
              <w:pStyle w:val="0"/>
            </w:pPr>
            <w:r>
              <w:rPr>
                <w:sz w:val="20"/>
              </w:rPr>
              <w:t xml:space="preserve">-</w:t>
            </w:r>
          </w:p>
        </w:tc>
      </w:tr>
      <w:tr>
        <w:tc>
          <w:tcPr>
            <w:vMerge w:val="continue"/>
          </w:tcPr>
          <w:p/>
        </w:tc>
        <w:tc>
          <w:tcPr>
            <w:tcW w:w="1819" w:type="dxa"/>
          </w:tcPr>
          <w:p>
            <w:pPr>
              <w:pStyle w:val="0"/>
            </w:pPr>
            <w:r>
              <w:rPr>
                <w:sz w:val="20"/>
              </w:rPr>
              <w:t xml:space="preserve">350330</w:t>
            </w:r>
          </w:p>
        </w:tc>
        <w:tc>
          <w:tcPr>
            <w:tcW w:w="3184" w:type="dxa"/>
          </w:tcPr>
          <w:p>
            <w:pPr>
              <w:pStyle w:val="0"/>
            </w:pPr>
            <w:r>
              <w:rPr>
                <w:sz w:val="20"/>
              </w:rPr>
              <w:t xml:space="preserve">Жидкостный хроматограф/анализатор масс-спектрометрический ИВД, автоматический</w:t>
            </w:r>
          </w:p>
        </w:tc>
        <w:tc>
          <w:tcPr>
            <w:gridSpan w:val="2"/>
            <w:vMerge w:val="continue"/>
          </w:tcPr>
          <w:p/>
        </w:tc>
        <w:tc>
          <w:tcPr>
            <w:gridSpan w:val="2"/>
            <w:vMerge w:val="continue"/>
          </w:tcPr>
          <w:p/>
        </w:tc>
        <w:tc>
          <w:tcPr>
            <w:gridSpan w:val="2"/>
            <w:tcW w:w="1340" w:type="dxa"/>
          </w:tcPr>
          <w:p>
            <w:pPr>
              <w:pStyle w:val="0"/>
            </w:pPr>
            <w:r>
              <w:rPr>
                <w:sz w:val="20"/>
              </w:rPr>
              <w:t xml:space="preserve">-</w:t>
            </w:r>
          </w:p>
        </w:tc>
        <w:tc>
          <w:tcPr>
            <w:tcW w:w="2389" w:type="dxa"/>
          </w:tcPr>
          <w:p>
            <w:pPr>
              <w:pStyle w:val="0"/>
            </w:pPr>
            <w:r>
              <w:rPr>
                <w:sz w:val="20"/>
              </w:rPr>
              <w:t xml:space="preserve">-</w:t>
            </w:r>
          </w:p>
        </w:tc>
      </w:tr>
      <w:tr>
        <w:tc>
          <w:tcPr>
            <w:vMerge w:val="continue"/>
          </w:tcPr>
          <w:p/>
        </w:tc>
        <w:tc>
          <w:tcPr>
            <w:tcW w:w="1819" w:type="dxa"/>
          </w:tcPr>
          <w:p>
            <w:pPr>
              <w:pStyle w:val="0"/>
            </w:pPr>
            <w:r>
              <w:rPr>
                <w:sz w:val="20"/>
              </w:rPr>
              <w:t xml:space="preserve">382270</w:t>
            </w:r>
          </w:p>
        </w:tc>
        <w:tc>
          <w:tcPr>
            <w:tcW w:w="3184" w:type="dxa"/>
          </w:tcPr>
          <w:p>
            <w:pPr>
              <w:pStyle w:val="0"/>
            </w:pPr>
            <w:r>
              <w:rPr>
                <w:sz w:val="20"/>
              </w:rPr>
              <w:t xml:space="preserve">Газовый хроматограф/анализатор масс-спектрометрический ИВД, автоматический</w:t>
            </w:r>
          </w:p>
        </w:tc>
        <w:tc>
          <w:tcPr>
            <w:gridSpan w:val="2"/>
            <w:vMerge w:val="continue"/>
          </w:tcPr>
          <w:p/>
        </w:tc>
        <w:tc>
          <w:tcPr>
            <w:gridSpan w:val="2"/>
            <w:vMerge w:val="continue"/>
          </w:tcPr>
          <w:p/>
        </w:tc>
        <w:tc>
          <w:tcPr>
            <w:gridSpan w:val="2"/>
            <w:tcW w:w="1340" w:type="dxa"/>
          </w:tcPr>
          <w:p>
            <w:pPr>
              <w:pStyle w:val="0"/>
            </w:pPr>
            <w:r>
              <w:rPr>
                <w:sz w:val="20"/>
              </w:rPr>
              <w:t xml:space="preserve">-</w:t>
            </w:r>
          </w:p>
        </w:tc>
        <w:tc>
          <w:tcPr>
            <w:tcW w:w="2389" w:type="dxa"/>
          </w:tcPr>
          <w:p>
            <w:pPr>
              <w:pStyle w:val="0"/>
            </w:pPr>
            <w:r>
              <w:rPr>
                <w:sz w:val="20"/>
              </w:rPr>
              <w:t xml:space="preserve">-</w:t>
            </w:r>
          </w:p>
        </w:tc>
      </w:tr>
      <w:tr>
        <w:tc>
          <w:tcPr>
            <w:tcW w:w="454" w:type="dxa"/>
          </w:tcPr>
          <w:p>
            <w:pPr>
              <w:pStyle w:val="0"/>
            </w:pPr>
            <w:r>
              <w:rPr>
                <w:sz w:val="20"/>
              </w:rPr>
              <w:t xml:space="preserve">4.</w:t>
            </w:r>
          </w:p>
        </w:tc>
        <w:tc>
          <w:tcPr>
            <w:tcW w:w="1819" w:type="dxa"/>
          </w:tcPr>
          <w:p>
            <w:pPr>
              <w:pStyle w:val="0"/>
            </w:pPr>
            <w:r>
              <w:rPr>
                <w:sz w:val="20"/>
              </w:rPr>
              <w:t xml:space="preserve">335060</w:t>
            </w:r>
          </w:p>
        </w:tc>
        <w:tc>
          <w:tcPr>
            <w:tcW w:w="3184" w:type="dxa"/>
          </w:tcPr>
          <w:p>
            <w:pPr>
              <w:pStyle w:val="0"/>
            </w:pPr>
            <w:r>
              <w:rPr>
                <w:sz w:val="20"/>
              </w:rPr>
              <w:t xml:space="preserve">Перемешиватель термостатируемый лабораторный</w:t>
            </w:r>
          </w:p>
        </w:tc>
        <w:tc>
          <w:tcPr>
            <w:gridSpan w:val="2"/>
            <w:tcW w:w="2254" w:type="dxa"/>
          </w:tcPr>
          <w:p>
            <w:pPr>
              <w:pStyle w:val="0"/>
            </w:pPr>
            <w:r>
              <w:rPr>
                <w:sz w:val="20"/>
              </w:rPr>
              <w:t xml:space="preserve">Шейкер-инкубатор для планшет &lt;3&gt;, &lt;4А&gt;, &lt;4Б&gt;</w:t>
            </w:r>
          </w:p>
        </w:tc>
        <w:tc>
          <w:tcPr>
            <w:gridSpan w:val="2"/>
            <w:tcW w:w="1520" w:type="dxa"/>
          </w:tcPr>
          <w:p>
            <w:pPr>
              <w:pStyle w:val="0"/>
            </w:pPr>
            <w:r>
              <w:rPr>
                <w:sz w:val="20"/>
              </w:rPr>
              <w:t xml:space="preserve">Не менее 2</w:t>
            </w:r>
          </w:p>
        </w:tc>
        <w:tc>
          <w:tcPr>
            <w:gridSpan w:val="2"/>
            <w:tcW w:w="1340" w:type="dxa"/>
          </w:tcPr>
          <w:p>
            <w:pPr>
              <w:pStyle w:val="0"/>
            </w:pPr>
            <w:r>
              <w:rPr>
                <w:sz w:val="20"/>
              </w:rPr>
              <w:t xml:space="preserve">0</w:t>
            </w:r>
          </w:p>
        </w:tc>
        <w:tc>
          <w:tcPr>
            <w:tcW w:w="2389" w:type="dxa"/>
          </w:tcPr>
          <w:p>
            <w:pPr>
              <w:pStyle w:val="0"/>
            </w:pPr>
            <w:r>
              <w:rPr>
                <w:sz w:val="20"/>
              </w:rPr>
              <w:t xml:space="preserve">0</w:t>
            </w:r>
          </w:p>
          <w:p>
            <w:pPr>
              <w:pStyle w:val="0"/>
            </w:pPr>
            <w:r>
              <w:rPr>
                <w:sz w:val="20"/>
              </w:rPr>
              <w:t xml:space="preserve">(доукомплектация)</w:t>
            </w:r>
          </w:p>
        </w:tc>
      </w:tr>
      <w:tr>
        <w:tc>
          <w:tcPr>
            <w:tcW w:w="454" w:type="dxa"/>
          </w:tcPr>
          <w:p>
            <w:pPr>
              <w:pStyle w:val="0"/>
            </w:pPr>
            <w:r>
              <w:rPr>
                <w:sz w:val="20"/>
              </w:rPr>
              <w:t xml:space="preserve">5.</w:t>
            </w:r>
          </w:p>
        </w:tc>
        <w:tc>
          <w:tcPr>
            <w:tcW w:w="1819" w:type="dxa"/>
          </w:tcPr>
          <w:p>
            <w:pPr>
              <w:pStyle w:val="0"/>
            </w:pPr>
            <w:r>
              <w:rPr>
                <w:sz w:val="20"/>
              </w:rPr>
              <w:t xml:space="preserve">260410</w:t>
            </w:r>
          </w:p>
        </w:tc>
        <w:tc>
          <w:tcPr>
            <w:tcW w:w="3184" w:type="dxa"/>
          </w:tcPr>
          <w:p>
            <w:pPr>
              <w:pStyle w:val="0"/>
            </w:pPr>
            <w:r>
              <w:rPr>
                <w:sz w:val="20"/>
              </w:rPr>
              <w:t xml:space="preserve">Шкаф сушильный общего назначения</w:t>
            </w:r>
          </w:p>
        </w:tc>
        <w:tc>
          <w:tcPr>
            <w:gridSpan w:val="2"/>
            <w:tcW w:w="2254" w:type="dxa"/>
          </w:tcPr>
          <w:p>
            <w:pPr>
              <w:pStyle w:val="0"/>
            </w:pPr>
            <w:r>
              <w:rPr>
                <w:sz w:val="20"/>
              </w:rPr>
              <w:t xml:space="preserve">Сушильный шкаф лабораторный до 150 °C &lt;4А&gt;, &lt;4Б&gt;</w:t>
            </w:r>
          </w:p>
        </w:tc>
        <w:tc>
          <w:tcPr>
            <w:gridSpan w:val="2"/>
            <w:tcW w:w="1520" w:type="dxa"/>
          </w:tcPr>
          <w:p>
            <w:pPr>
              <w:pStyle w:val="0"/>
            </w:pPr>
            <w:r>
              <w:rPr>
                <w:sz w:val="20"/>
              </w:rPr>
              <w:t xml:space="preserve">Не менее 2</w:t>
            </w:r>
          </w:p>
        </w:tc>
        <w:tc>
          <w:tcPr>
            <w:gridSpan w:val="2"/>
            <w:tcW w:w="1340" w:type="dxa"/>
          </w:tcPr>
          <w:p>
            <w:pPr>
              <w:pStyle w:val="0"/>
            </w:pPr>
            <w:r>
              <w:rPr>
                <w:sz w:val="20"/>
              </w:rPr>
              <w:t xml:space="preserve">-</w:t>
            </w:r>
          </w:p>
        </w:tc>
        <w:tc>
          <w:tcPr>
            <w:tcW w:w="2389" w:type="dxa"/>
          </w:tcPr>
          <w:p>
            <w:pPr>
              <w:pStyle w:val="0"/>
            </w:pPr>
            <w:r>
              <w:rPr>
                <w:sz w:val="20"/>
              </w:rPr>
              <w:t xml:space="preserve">-</w:t>
            </w:r>
          </w:p>
        </w:tc>
      </w:tr>
      <w:tr>
        <w:tc>
          <w:tcPr>
            <w:tcW w:w="454" w:type="dxa"/>
          </w:tcPr>
          <w:p>
            <w:pPr>
              <w:pStyle w:val="0"/>
            </w:pPr>
            <w:r>
              <w:rPr>
                <w:sz w:val="20"/>
              </w:rPr>
              <w:t xml:space="preserve">6.</w:t>
            </w:r>
          </w:p>
        </w:tc>
        <w:tc>
          <w:tcPr>
            <w:tcW w:w="1819" w:type="dxa"/>
          </w:tcPr>
          <w:p>
            <w:pPr>
              <w:pStyle w:val="0"/>
            </w:pPr>
            <w:r>
              <w:rPr>
                <w:sz w:val="20"/>
              </w:rPr>
              <w:t xml:space="preserve">261750</w:t>
            </w:r>
          </w:p>
        </w:tc>
        <w:tc>
          <w:tcPr>
            <w:tcW w:w="3184" w:type="dxa"/>
          </w:tcPr>
          <w:p>
            <w:pPr>
              <w:pStyle w:val="0"/>
            </w:pPr>
            <w:r>
              <w:rPr>
                <w:sz w:val="20"/>
              </w:rPr>
              <w:t xml:space="preserve">Испаритель лабораторный</w:t>
            </w:r>
          </w:p>
        </w:tc>
        <w:tc>
          <w:tcPr>
            <w:gridSpan w:val="2"/>
            <w:tcW w:w="2254" w:type="dxa"/>
          </w:tcPr>
          <w:p>
            <w:pPr>
              <w:pStyle w:val="0"/>
            </w:pPr>
            <w:r>
              <w:rPr>
                <w:sz w:val="20"/>
              </w:rPr>
              <w:t xml:space="preserve">Эвапоратор с насосом для планшет &lt;4А&gt;, &lt;4Б&gt;</w:t>
            </w:r>
          </w:p>
        </w:tc>
        <w:tc>
          <w:tcPr>
            <w:gridSpan w:val="2"/>
            <w:tcW w:w="1520" w:type="dxa"/>
          </w:tcPr>
          <w:p>
            <w:pPr>
              <w:pStyle w:val="0"/>
            </w:pPr>
            <w:r>
              <w:rPr>
                <w:sz w:val="20"/>
              </w:rPr>
              <w:t xml:space="preserve">Не менее 2</w:t>
            </w:r>
          </w:p>
        </w:tc>
        <w:tc>
          <w:tcPr>
            <w:gridSpan w:val="2"/>
            <w:tcW w:w="1340" w:type="dxa"/>
          </w:tcPr>
          <w:p>
            <w:pPr>
              <w:pStyle w:val="0"/>
            </w:pPr>
            <w:r>
              <w:rPr>
                <w:sz w:val="20"/>
              </w:rPr>
              <w:t xml:space="preserve">-</w:t>
            </w:r>
          </w:p>
        </w:tc>
        <w:tc>
          <w:tcPr>
            <w:tcW w:w="2389" w:type="dxa"/>
          </w:tcPr>
          <w:p>
            <w:pPr>
              <w:pStyle w:val="0"/>
            </w:pPr>
            <w:r>
              <w:rPr>
                <w:sz w:val="20"/>
              </w:rPr>
              <w:t xml:space="preserve">-</w:t>
            </w:r>
          </w:p>
        </w:tc>
      </w:tr>
      <w:tr>
        <w:tc>
          <w:tcPr>
            <w:tcW w:w="454" w:type="dxa"/>
          </w:tcPr>
          <w:p>
            <w:pPr>
              <w:pStyle w:val="0"/>
            </w:pPr>
            <w:r>
              <w:rPr>
                <w:sz w:val="20"/>
              </w:rPr>
              <w:t xml:space="preserve">7.</w:t>
            </w:r>
          </w:p>
        </w:tc>
        <w:tc>
          <w:tcPr>
            <w:tcW w:w="1819" w:type="dxa"/>
          </w:tcPr>
          <w:p>
            <w:pPr>
              <w:pStyle w:val="0"/>
            </w:pPr>
            <w:r>
              <w:rPr>
                <w:sz w:val="20"/>
              </w:rPr>
              <w:t xml:space="preserve">260430</w:t>
            </w:r>
          </w:p>
        </w:tc>
        <w:tc>
          <w:tcPr>
            <w:tcW w:w="3184" w:type="dxa"/>
          </w:tcPr>
          <w:p>
            <w:pPr>
              <w:pStyle w:val="0"/>
            </w:pPr>
            <w:r>
              <w:rPr>
                <w:sz w:val="20"/>
              </w:rPr>
              <w:t xml:space="preserve">Центрифуга настольная общего назначения</w:t>
            </w:r>
          </w:p>
        </w:tc>
        <w:tc>
          <w:tcPr>
            <w:gridSpan w:val="2"/>
            <w:tcW w:w="2254" w:type="dxa"/>
          </w:tcPr>
          <w:p>
            <w:pPr>
              <w:pStyle w:val="0"/>
            </w:pPr>
            <w:r>
              <w:rPr>
                <w:sz w:val="20"/>
              </w:rPr>
              <w:t xml:space="preserve">Центрифуга настольная - с ротором для пробирок от 15 до 50 мл и вакутейнеров, для планшет &lt;3&gt;, &lt;4А&gt;, &lt;4Б&gt;</w:t>
            </w:r>
          </w:p>
        </w:tc>
        <w:tc>
          <w:tcPr>
            <w:gridSpan w:val="2"/>
            <w:tcW w:w="1520" w:type="dxa"/>
          </w:tcPr>
          <w:p>
            <w:pPr>
              <w:pStyle w:val="0"/>
            </w:pPr>
            <w:r>
              <w:rPr>
                <w:sz w:val="20"/>
              </w:rPr>
              <w:t xml:space="preserve">Не менее 2</w:t>
            </w:r>
          </w:p>
        </w:tc>
        <w:tc>
          <w:tcPr>
            <w:gridSpan w:val="2"/>
            <w:tcW w:w="1340" w:type="dxa"/>
          </w:tcPr>
          <w:p>
            <w:pPr>
              <w:pStyle w:val="0"/>
            </w:pPr>
            <w:r>
              <w:rPr>
                <w:sz w:val="20"/>
              </w:rPr>
              <w:t xml:space="preserve">1</w:t>
            </w:r>
          </w:p>
        </w:tc>
        <w:tc>
          <w:tcPr>
            <w:tcW w:w="2389" w:type="dxa"/>
          </w:tcPr>
          <w:p>
            <w:pPr>
              <w:pStyle w:val="0"/>
            </w:pPr>
            <w:r>
              <w:rPr>
                <w:sz w:val="20"/>
              </w:rPr>
              <w:t xml:space="preserve">50</w:t>
            </w:r>
          </w:p>
          <w:p>
            <w:pPr>
              <w:pStyle w:val="0"/>
            </w:pPr>
            <w:r>
              <w:rPr>
                <w:sz w:val="20"/>
              </w:rPr>
              <w:t xml:space="preserve">(доукомплектация)</w:t>
            </w:r>
          </w:p>
        </w:tc>
      </w:tr>
      <w:tr>
        <w:tc>
          <w:tcPr>
            <w:tcW w:w="454" w:type="dxa"/>
          </w:tcPr>
          <w:p>
            <w:pPr>
              <w:pStyle w:val="0"/>
            </w:pPr>
            <w:r>
              <w:rPr>
                <w:sz w:val="20"/>
              </w:rPr>
              <w:t xml:space="preserve">8.</w:t>
            </w:r>
          </w:p>
        </w:tc>
        <w:tc>
          <w:tcPr>
            <w:tcW w:w="1819" w:type="dxa"/>
          </w:tcPr>
          <w:p>
            <w:pPr>
              <w:pStyle w:val="0"/>
            </w:pPr>
            <w:r>
              <w:rPr>
                <w:sz w:val="20"/>
              </w:rPr>
              <w:t xml:space="preserve">261700</w:t>
            </w:r>
          </w:p>
        </w:tc>
        <w:tc>
          <w:tcPr>
            <w:tcW w:w="3184" w:type="dxa"/>
          </w:tcPr>
          <w:p>
            <w:pPr>
              <w:pStyle w:val="0"/>
            </w:pPr>
            <w:r>
              <w:rPr>
                <w:sz w:val="20"/>
              </w:rPr>
              <w:t xml:space="preserve">Встряхиватель лабораторный</w:t>
            </w:r>
          </w:p>
        </w:tc>
        <w:tc>
          <w:tcPr>
            <w:gridSpan w:val="2"/>
            <w:tcW w:w="2254" w:type="dxa"/>
          </w:tcPr>
          <w:p>
            <w:pPr>
              <w:pStyle w:val="0"/>
            </w:pPr>
            <w:r>
              <w:rPr>
                <w:sz w:val="20"/>
              </w:rPr>
              <w:t xml:space="preserve">Вортекс (встряхиватель) для пробоподготовки &lt;3&gt;, &lt;4А&gt;, &lt;4Б&gt;</w:t>
            </w:r>
          </w:p>
        </w:tc>
        <w:tc>
          <w:tcPr>
            <w:gridSpan w:val="2"/>
            <w:tcW w:w="1520" w:type="dxa"/>
          </w:tcPr>
          <w:p>
            <w:pPr>
              <w:pStyle w:val="0"/>
            </w:pPr>
            <w:r>
              <w:rPr>
                <w:sz w:val="20"/>
              </w:rPr>
              <w:t xml:space="preserve">По количеству рабочих мест</w:t>
            </w:r>
          </w:p>
        </w:tc>
        <w:tc>
          <w:tcPr>
            <w:gridSpan w:val="2"/>
            <w:tcW w:w="1340" w:type="dxa"/>
          </w:tcPr>
          <w:p>
            <w:pPr>
              <w:pStyle w:val="0"/>
            </w:pPr>
            <w:r>
              <w:rPr>
                <w:sz w:val="20"/>
              </w:rPr>
              <w:t xml:space="preserve">3</w:t>
            </w:r>
          </w:p>
        </w:tc>
        <w:tc>
          <w:tcPr>
            <w:tcW w:w="2389" w:type="dxa"/>
          </w:tcPr>
          <w:p>
            <w:pPr>
              <w:pStyle w:val="0"/>
            </w:pPr>
            <w:r>
              <w:rPr>
                <w:sz w:val="20"/>
              </w:rPr>
              <w:t xml:space="preserve">100</w:t>
            </w:r>
          </w:p>
        </w:tc>
      </w:tr>
      <w:tr>
        <w:tc>
          <w:tcPr>
            <w:tcW w:w="454" w:type="dxa"/>
          </w:tcPr>
          <w:p>
            <w:pPr>
              <w:pStyle w:val="0"/>
            </w:pPr>
            <w:r>
              <w:rPr>
                <w:sz w:val="20"/>
              </w:rPr>
              <w:t xml:space="preserve">9.</w:t>
            </w:r>
          </w:p>
        </w:tc>
        <w:tc>
          <w:tcPr>
            <w:tcW w:w="1819" w:type="dxa"/>
          </w:tcPr>
          <w:p>
            <w:pPr>
              <w:pStyle w:val="0"/>
            </w:pPr>
            <w:r>
              <w:rPr>
                <w:sz w:val="20"/>
              </w:rPr>
              <w:t xml:space="preserve">145580</w:t>
            </w:r>
          </w:p>
        </w:tc>
        <w:tc>
          <w:tcPr>
            <w:tcW w:w="3184" w:type="dxa"/>
          </w:tcPr>
          <w:p>
            <w:pPr>
              <w:pStyle w:val="0"/>
            </w:pPr>
            <w:r>
              <w:rPr>
                <w:sz w:val="20"/>
              </w:rPr>
              <w:t xml:space="preserve">Перемешивающее устройство для пробирок с пробами крови ИВД</w:t>
            </w:r>
          </w:p>
        </w:tc>
        <w:tc>
          <w:tcPr>
            <w:gridSpan w:val="2"/>
            <w:tcW w:w="2254" w:type="dxa"/>
          </w:tcPr>
          <w:p>
            <w:pPr>
              <w:pStyle w:val="0"/>
            </w:pPr>
            <w:r>
              <w:rPr>
                <w:sz w:val="20"/>
              </w:rPr>
              <w:t xml:space="preserve">Роллер лабораторный &lt;3&gt;, &lt;4А&gt;, &lt;4Б&gt;</w:t>
            </w:r>
          </w:p>
        </w:tc>
        <w:tc>
          <w:tcPr>
            <w:gridSpan w:val="2"/>
            <w:tcW w:w="1520" w:type="dxa"/>
          </w:tcPr>
          <w:p>
            <w:pPr>
              <w:pStyle w:val="0"/>
            </w:pPr>
            <w:r>
              <w:rPr>
                <w:sz w:val="20"/>
              </w:rPr>
              <w:t xml:space="preserve">Не менее 2</w:t>
            </w:r>
          </w:p>
        </w:tc>
        <w:tc>
          <w:tcPr>
            <w:gridSpan w:val="2"/>
            <w:tcW w:w="1340" w:type="dxa"/>
          </w:tcPr>
          <w:p>
            <w:pPr>
              <w:pStyle w:val="0"/>
            </w:pPr>
            <w:r>
              <w:rPr>
                <w:sz w:val="20"/>
              </w:rPr>
              <w:t xml:space="preserve">0</w:t>
            </w:r>
          </w:p>
        </w:tc>
        <w:tc>
          <w:tcPr>
            <w:tcW w:w="2389" w:type="dxa"/>
          </w:tcPr>
          <w:p>
            <w:pPr>
              <w:pStyle w:val="0"/>
            </w:pPr>
            <w:r>
              <w:rPr>
                <w:sz w:val="20"/>
              </w:rPr>
              <w:t xml:space="preserve">0</w:t>
            </w:r>
          </w:p>
          <w:p>
            <w:pPr>
              <w:pStyle w:val="0"/>
            </w:pPr>
            <w:r>
              <w:rPr>
                <w:sz w:val="20"/>
              </w:rPr>
              <w:t xml:space="preserve">(доукомплектация)</w:t>
            </w:r>
          </w:p>
        </w:tc>
      </w:tr>
      <w:tr>
        <w:tc>
          <w:tcPr>
            <w:tcW w:w="454" w:type="dxa"/>
          </w:tcPr>
          <w:p>
            <w:pPr>
              <w:pStyle w:val="0"/>
            </w:pPr>
            <w:r>
              <w:rPr>
                <w:sz w:val="20"/>
              </w:rPr>
              <w:t xml:space="preserve">10.</w:t>
            </w:r>
          </w:p>
        </w:tc>
        <w:tc>
          <w:tcPr>
            <w:tcW w:w="1819" w:type="dxa"/>
          </w:tcPr>
          <w:p>
            <w:pPr>
              <w:pStyle w:val="0"/>
            </w:pPr>
            <w:r>
              <w:rPr>
                <w:sz w:val="20"/>
              </w:rPr>
              <w:t xml:space="preserve">152690</w:t>
            </w:r>
          </w:p>
        </w:tc>
        <w:tc>
          <w:tcPr>
            <w:tcW w:w="3184" w:type="dxa"/>
          </w:tcPr>
          <w:p>
            <w:pPr>
              <w:pStyle w:val="0"/>
            </w:pPr>
            <w:r>
              <w:rPr>
                <w:sz w:val="20"/>
              </w:rPr>
              <w:t xml:space="preserve">Очиститель воздуха фильтрующий высокоэффективный, передвижной</w:t>
            </w:r>
          </w:p>
        </w:tc>
        <w:tc>
          <w:tcPr>
            <w:gridSpan w:val="2"/>
            <w:tcW w:w="2254" w:type="dxa"/>
          </w:tcPr>
          <w:p>
            <w:pPr>
              <w:pStyle w:val="0"/>
            </w:pPr>
            <w:r>
              <w:rPr>
                <w:sz w:val="20"/>
              </w:rPr>
              <w:t xml:space="preserve">Очиститель воздуха фильтрующий высокоэффективный, передвижной &lt;3&gt;, &lt;4А&gt;, &lt;4Б&gt;</w:t>
            </w:r>
          </w:p>
        </w:tc>
        <w:tc>
          <w:tcPr>
            <w:gridSpan w:val="2"/>
            <w:tcW w:w="1520" w:type="dxa"/>
          </w:tcPr>
          <w:p>
            <w:pPr>
              <w:pStyle w:val="0"/>
            </w:pPr>
            <w:r>
              <w:rPr>
                <w:sz w:val="20"/>
              </w:rPr>
              <w:t xml:space="preserve">Из расчета мощности и площади</w:t>
            </w:r>
          </w:p>
        </w:tc>
        <w:tc>
          <w:tcPr>
            <w:gridSpan w:val="2"/>
            <w:tcW w:w="1340" w:type="dxa"/>
          </w:tcPr>
          <w:p>
            <w:pPr>
              <w:pStyle w:val="0"/>
            </w:pPr>
            <w:r>
              <w:rPr>
                <w:sz w:val="20"/>
              </w:rPr>
              <w:t xml:space="preserve">0</w:t>
            </w:r>
          </w:p>
        </w:tc>
        <w:tc>
          <w:tcPr>
            <w:tcW w:w="2389" w:type="dxa"/>
          </w:tcPr>
          <w:p>
            <w:pPr>
              <w:pStyle w:val="0"/>
            </w:pPr>
            <w:r>
              <w:rPr>
                <w:sz w:val="20"/>
              </w:rPr>
              <w:t xml:space="preserve">0</w:t>
            </w:r>
          </w:p>
          <w:p>
            <w:pPr>
              <w:pStyle w:val="0"/>
            </w:pPr>
            <w:r>
              <w:rPr>
                <w:sz w:val="20"/>
              </w:rPr>
              <w:t xml:space="preserve">(доукомплектация)</w:t>
            </w:r>
          </w:p>
        </w:tc>
      </w:tr>
      <w:tr>
        <w:tc>
          <w:tcPr>
            <w:tcW w:w="454" w:type="dxa"/>
            <w:vMerge w:val="restart"/>
          </w:tcPr>
          <w:p>
            <w:pPr>
              <w:pStyle w:val="0"/>
            </w:pPr>
            <w:r>
              <w:rPr>
                <w:sz w:val="20"/>
              </w:rPr>
              <w:t xml:space="preserve">11.</w:t>
            </w:r>
          </w:p>
        </w:tc>
        <w:tc>
          <w:tcPr>
            <w:tcW w:w="1819" w:type="dxa"/>
          </w:tcPr>
          <w:p>
            <w:pPr>
              <w:pStyle w:val="0"/>
            </w:pPr>
            <w:r>
              <w:rPr>
                <w:sz w:val="20"/>
              </w:rPr>
              <w:t xml:space="preserve">131980</w:t>
            </w:r>
          </w:p>
        </w:tc>
        <w:tc>
          <w:tcPr>
            <w:tcW w:w="3184" w:type="dxa"/>
          </w:tcPr>
          <w:p>
            <w:pPr>
              <w:pStyle w:val="0"/>
            </w:pPr>
            <w:r>
              <w:rPr>
                <w:sz w:val="20"/>
              </w:rPr>
              <w:t xml:space="preserve">Облучатель ультрафиолетовый бактерицидный</w:t>
            </w:r>
          </w:p>
        </w:tc>
        <w:tc>
          <w:tcPr>
            <w:gridSpan w:val="2"/>
            <w:tcW w:w="2254" w:type="dxa"/>
            <w:vMerge w:val="restart"/>
          </w:tcPr>
          <w:p>
            <w:pPr>
              <w:pStyle w:val="0"/>
            </w:pPr>
            <w:r>
              <w:rPr>
                <w:sz w:val="20"/>
              </w:rPr>
              <w:t xml:space="preserve">Облучатель ультрафиолетовый бактерицидный &lt;3&gt;, &lt;4А&gt;, &lt;4Б&gt;</w:t>
            </w:r>
          </w:p>
        </w:tc>
        <w:tc>
          <w:tcPr>
            <w:gridSpan w:val="2"/>
            <w:tcW w:w="1520" w:type="dxa"/>
            <w:vMerge w:val="restart"/>
          </w:tcPr>
          <w:p>
            <w:pPr>
              <w:pStyle w:val="0"/>
            </w:pPr>
            <w:r>
              <w:rPr>
                <w:sz w:val="20"/>
              </w:rPr>
              <w:t xml:space="preserve">Из расчета мощности и площади на 34,3 м</w:t>
            </w:r>
            <w:r>
              <w:rPr>
                <w:sz w:val="20"/>
                <w:vertAlign w:val="superscript"/>
              </w:rPr>
              <w:t xml:space="preserve">2</w:t>
            </w:r>
          </w:p>
        </w:tc>
        <w:tc>
          <w:tcPr>
            <w:gridSpan w:val="2"/>
            <w:tcW w:w="1340" w:type="dxa"/>
          </w:tcPr>
          <w:p>
            <w:pPr>
              <w:pStyle w:val="0"/>
            </w:pPr>
            <w:r>
              <w:rPr>
                <w:sz w:val="20"/>
              </w:rPr>
              <w:t xml:space="preserve">-</w:t>
            </w:r>
          </w:p>
        </w:tc>
        <w:tc>
          <w:tcPr>
            <w:tcW w:w="2389" w:type="dxa"/>
          </w:tcPr>
          <w:p>
            <w:pPr>
              <w:pStyle w:val="0"/>
            </w:pPr>
            <w:r>
              <w:rPr>
                <w:sz w:val="20"/>
              </w:rPr>
              <w:t xml:space="preserve">-</w:t>
            </w:r>
          </w:p>
        </w:tc>
      </w:tr>
      <w:tr>
        <w:tc>
          <w:tcPr>
            <w:vMerge w:val="continue"/>
          </w:tcPr>
          <w:p/>
        </w:tc>
        <w:tc>
          <w:tcPr>
            <w:tcW w:w="1819" w:type="dxa"/>
          </w:tcPr>
          <w:p>
            <w:pPr>
              <w:pStyle w:val="0"/>
            </w:pPr>
            <w:r>
              <w:rPr>
                <w:sz w:val="20"/>
              </w:rPr>
              <w:t xml:space="preserve">347590</w:t>
            </w:r>
          </w:p>
        </w:tc>
        <w:tc>
          <w:tcPr>
            <w:tcW w:w="3184" w:type="dxa"/>
          </w:tcPr>
          <w:p>
            <w:pPr>
              <w:pStyle w:val="0"/>
            </w:pPr>
            <w:r>
              <w:rPr>
                <w:sz w:val="20"/>
              </w:rPr>
              <w:t xml:space="preserve">Система дезинфекции помещения ультрафиолетовым светом</w:t>
            </w:r>
          </w:p>
        </w:tc>
        <w:tc>
          <w:tcPr>
            <w:gridSpan w:val="2"/>
            <w:vMerge w:val="continue"/>
          </w:tcPr>
          <w:p/>
        </w:tc>
        <w:tc>
          <w:tcPr>
            <w:gridSpan w:val="2"/>
            <w:vMerge w:val="continue"/>
          </w:tcPr>
          <w:p/>
        </w:tc>
        <w:tc>
          <w:tcPr>
            <w:gridSpan w:val="2"/>
            <w:tcW w:w="1340" w:type="dxa"/>
          </w:tcPr>
          <w:p>
            <w:pPr>
              <w:pStyle w:val="0"/>
            </w:pPr>
            <w:r>
              <w:rPr>
                <w:sz w:val="20"/>
              </w:rPr>
              <w:t xml:space="preserve">-</w:t>
            </w:r>
          </w:p>
        </w:tc>
        <w:tc>
          <w:tcPr>
            <w:tcW w:w="2389" w:type="dxa"/>
          </w:tcPr>
          <w:p>
            <w:pPr>
              <w:pStyle w:val="0"/>
            </w:pPr>
            <w:r>
              <w:rPr>
                <w:sz w:val="20"/>
              </w:rPr>
              <w:t xml:space="preserve">-</w:t>
            </w:r>
          </w:p>
        </w:tc>
      </w:tr>
      <w:tr>
        <w:tc>
          <w:tcPr>
            <w:vMerge w:val="continue"/>
          </w:tcPr>
          <w:p/>
        </w:tc>
        <w:tc>
          <w:tcPr>
            <w:tcW w:w="1819" w:type="dxa"/>
          </w:tcPr>
          <w:p>
            <w:pPr>
              <w:pStyle w:val="0"/>
            </w:pPr>
            <w:r>
              <w:rPr>
                <w:sz w:val="20"/>
              </w:rPr>
              <w:t xml:space="preserve">361300</w:t>
            </w:r>
          </w:p>
        </w:tc>
        <w:tc>
          <w:tcPr>
            <w:tcW w:w="3184" w:type="dxa"/>
          </w:tcPr>
          <w:p>
            <w:pPr>
              <w:pStyle w:val="0"/>
            </w:pPr>
            <w:r>
              <w:rPr>
                <w:sz w:val="20"/>
              </w:rPr>
              <w:t xml:space="preserve">Облучатель ультрафиолетовый для фототерапии/дезинфекции окружающей среды</w:t>
            </w:r>
          </w:p>
        </w:tc>
        <w:tc>
          <w:tcPr>
            <w:gridSpan w:val="2"/>
            <w:vMerge w:val="continue"/>
          </w:tcPr>
          <w:p/>
        </w:tc>
        <w:tc>
          <w:tcPr>
            <w:gridSpan w:val="2"/>
            <w:vMerge w:val="continue"/>
          </w:tcPr>
          <w:p/>
        </w:tc>
        <w:tc>
          <w:tcPr>
            <w:gridSpan w:val="2"/>
            <w:tcW w:w="1340" w:type="dxa"/>
          </w:tcPr>
          <w:p>
            <w:pPr>
              <w:pStyle w:val="0"/>
            </w:pPr>
            <w:r>
              <w:rPr>
                <w:sz w:val="20"/>
              </w:rPr>
              <w:t xml:space="preserve">-</w:t>
            </w:r>
          </w:p>
        </w:tc>
        <w:tc>
          <w:tcPr>
            <w:tcW w:w="2389" w:type="dxa"/>
          </w:tcPr>
          <w:p>
            <w:pPr>
              <w:pStyle w:val="0"/>
            </w:pPr>
            <w:r>
              <w:rPr>
                <w:sz w:val="20"/>
              </w:rPr>
              <w:t xml:space="preserve">-</w:t>
            </w:r>
          </w:p>
        </w:tc>
      </w:tr>
      <w:tr>
        <w:tc>
          <w:tcPr>
            <w:vMerge w:val="continue"/>
          </w:tcPr>
          <w:p/>
        </w:tc>
        <w:tc>
          <w:tcPr>
            <w:tcW w:w="1819" w:type="dxa"/>
          </w:tcPr>
          <w:p>
            <w:pPr>
              <w:pStyle w:val="0"/>
            </w:pPr>
            <w:r>
              <w:rPr>
                <w:sz w:val="20"/>
              </w:rPr>
              <w:t xml:space="preserve">375930</w:t>
            </w:r>
          </w:p>
        </w:tc>
        <w:tc>
          <w:tcPr>
            <w:tcW w:w="3184" w:type="dxa"/>
          </w:tcPr>
          <w:p>
            <w:pPr>
              <w:pStyle w:val="0"/>
            </w:pPr>
            <w:r>
              <w:rPr>
                <w:sz w:val="20"/>
              </w:rPr>
              <w:t xml:space="preserve">Очиститель воздуха ультрафиолетовый</w:t>
            </w:r>
          </w:p>
        </w:tc>
        <w:tc>
          <w:tcPr>
            <w:gridSpan w:val="2"/>
            <w:vMerge w:val="continue"/>
          </w:tcPr>
          <w:p/>
        </w:tc>
        <w:tc>
          <w:tcPr>
            <w:gridSpan w:val="2"/>
            <w:vMerge w:val="continue"/>
          </w:tcPr>
          <w:p/>
        </w:tc>
        <w:tc>
          <w:tcPr>
            <w:gridSpan w:val="2"/>
            <w:tcW w:w="1340" w:type="dxa"/>
          </w:tcPr>
          <w:p>
            <w:pPr>
              <w:pStyle w:val="0"/>
            </w:pPr>
            <w:r>
              <w:rPr>
                <w:sz w:val="20"/>
              </w:rPr>
              <w:t xml:space="preserve">1</w:t>
            </w:r>
          </w:p>
        </w:tc>
        <w:tc>
          <w:tcPr>
            <w:tcW w:w="2389" w:type="dxa"/>
          </w:tcPr>
          <w:p>
            <w:pPr>
              <w:pStyle w:val="0"/>
            </w:pPr>
            <w:r>
              <w:rPr>
                <w:sz w:val="20"/>
              </w:rPr>
              <w:t xml:space="preserve">100</w:t>
            </w:r>
          </w:p>
        </w:tc>
      </w:tr>
      <w:tr>
        <w:tc>
          <w:tcPr>
            <w:tcW w:w="454" w:type="dxa"/>
          </w:tcPr>
          <w:p>
            <w:pPr>
              <w:pStyle w:val="0"/>
            </w:pPr>
            <w:r>
              <w:rPr>
                <w:sz w:val="20"/>
              </w:rPr>
              <w:t xml:space="preserve">12.</w:t>
            </w:r>
          </w:p>
        </w:tc>
        <w:tc>
          <w:tcPr>
            <w:tcW w:w="1819" w:type="dxa"/>
          </w:tcPr>
          <w:p>
            <w:pPr>
              <w:pStyle w:val="0"/>
            </w:pPr>
            <w:r>
              <w:rPr>
                <w:sz w:val="20"/>
              </w:rPr>
              <w:t xml:space="preserve">352570</w:t>
            </w:r>
          </w:p>
        </w:tc>
        <w:tc>
          <w:tcPr>
            <w:tcW w:w="3184" w:type="dxa"/>
          </w:tcPr>
          <w:p>
            <w:pPr>
              <w:pStyle w:val="0"/>
            </w:pPr>
            <w:r>
              <w:rPr>
                <w:sz w:val="20"/>
              </w:rPr>
              <w:t xml:space="preserve">Холодильник/морозильная камера для лаборатории</w:t>
            </w:r>
          </w:p>
        </w:tc>
        <w:tc>
          <w:tcPr>
            <w:gridSpan w:val="2"/>
            <w:tcW w:w="2254" w:type="dxa"/>
          </w:tcPr>
          <w:p>
            <w:pPr>
              <w:pStyle w:val="0"/>
            </w:pPr>
            <w:r>
              <w:rPr>
                <w:sz w:val="20"/>
              </w:rPr>
              <w:t xml:space="preserve">Холодильник двухкамерный &lt;3&gt;, &lt;4А&gt;, &lt;4Б&gt;</w:t>
            </w:r>
          </w:p>
        </w:tc>
        <w:tc>
          <w:tcPr>
            <w:gridSpan w:val="2"/>
            <w:tcW w:w="1520" w:type="dxa"/>
          </w:tcPr>
          <w:p>
            <w:pPr>
              <w:pStyle w:val="0"/>
            </w:pPr>
            <w:r>
              <w:rPr>
                <w:sz w:val="20"/>
              </w:rPr>
              <w:t xml:space="preserve">Не менее 2</w:t>
            </w:r>
          </w:p>
        </w:tc>
        <w:tc>
          <w:tcPr>
            <w:gridSpan w:val="2"/>
            <w:tcW w:w="1340" w:type="dxa"/>
          </w:tcPr>
          <w:p>
            <w:pPr>
              <w:pStyle w:val="0"/>
            </w:pPr>
            <w:r>
              <w:rPr>
                <w:sz w:val="20"/>
              </w:rPr>
              <w:t xml:space="preserve">2</w:t>
            </w:r>
          </w:p>
        </w:tc>
        <w:tc>
          <w:tcPr>
            <w:tcW w:w="2389" w:type="dxa"/>
          </w:tcPr>
          <w:p>
            <w:pPr>
              <w:pStyle w:val="0"/>
            </w:pPr>
            <w:r>
              <w:rPr>
                <w:sz w:val="20"/>
              </w:rPr>
              <w:t xml:space="preserve">100</w:t>
            </w:r>
          </w:p>
        </w:tc>
      </w:tr>
      <w:tr>
        <w:tc>
          <w:tcPr>
            <w:tcW w:w="454" w:type="dxa"/>
            <w:vMerge w:val="restart"/>
          </w:tcPr>
          <w:p>
            <w:pPr>
              <w:pStyle w:val="0"/>
            </w:pPr>
            <w:r>
              <w:rPr>
                <w:sz w:val="20"/>
              </w:rPr>
              <w:t xml:space="preserve">13.</w:t>
            </w:r>
          </w:p>
        </w:tc>
        <w:tc>
          <w:tcPr>
            <w:tcW w:w="1819" w:type="dxa"/>
          </w:tcPr>
          <w:p>
            <w:pPr>
              <w:pStyle w:val="0"/>
            </w:pPr>
            <w:r>
              <w:rPr>
                <w:sz w:val="20"/>
              </w:rPr>
              <w:t xml:space="preserve">215850</w:t>
            </w:r>
          </w:p>
        </w:tc>
        <w:tc>
          <w:tcPr>
            <w:tcW w:w="3184" w:type="dxa"/>
          </w:tcPr>
          <w:p>
            <w:pPr>
              <w:pStyle w:val="0"/>
            </w:pPr>
            <w:r>
              <w:rPr>
                <w:sz w:val="20"/>
              </w:rPr>
              <w:t xml:space="preserve">Холодильник фармацевтический</w:t>
            </w:r>
          </w:p>
        </w:tc>
        <w:tc>
          <w:tcPr>
            <w:gridSpan w:val="2"/>
            <w:tcW w:w="2254" w:type="dxa"/>
          </w:tcPr>
          <w:p>
            <w:pPr>
              <w:pStyle w:val="0"/>
            </w:pPr>
            <w:r>
              <w:rPr>
                <w:sz w:val="20"/>
              </w:rPr>
              <w:t xml:space="preserve">Холодильник фармацевтический для хранения тест-систем &lt;3&gt;, &lt;4А&gt;, &lt;4Б&gt;</w:t>
            </w:r>
          </w:p>
        </w:tc>
        <w:tc>
          <w:tcPr>
            <w:gridSpan w:val="2"/>
            <w:tcW w:w="1520" w:type="dxa"/>
          </w:tcPr>
          <w:p>
            <w:pPr>
              <w:pStyle w:val="0"/>
            </w:pPr>
            <w:r>
              <w:rPr>
                <w:sz w:val="20"/>
              </w:rPr>
              <w:t xml:space="preserve">Не менее 2</w:t>
            </w:r>
          </w:p>
        </w:tc>
        <w:tc>
          <w:tcPr>
            <w:gridSpan w:val="2"/>
            <w:tcW w:w="1340" w:type="dxa"/>
          </w:tcPr>
          <w:p>
            <w:pPr>
              <w:pStyle w:val="0"/>
            </w:pPr>
            <w:r>
              <w:rPr>
                <w:sz w:val="20"/>
              </w:rPr>
              <w:t xml:space="preserve">3</w:t>
            </w:r>
          </w:p>
        </w:tc>
        <w:tc>
          <w:tcPr>
            <w:tcW w:w="2389" w:type="dxa"/>
          </w:tcPr>
          <w:p>
            <w:pPr>
              <w:pStyle w:val="0"/>
            </w:pPr>
            <w:r>
              <w:rPr>
                <w:sz w:val="20"/>
              </w:rPr>
              <w:t xml:space="preserve">100</w:t>
            </w:r>
          </w:p>
        </w:tc>
      </w:tr>
      <w:tr>
        <w:tc>
          <w:tcPr>
            <w:vMerge w:val="continue"/>
          </w:tcPr>
          <w:p/>
        </w:tc>
        <w:tc>
          <w:tcPr>
            <w:tcW w:w="1819" w:type="dxa"/>
          </w:tcPr>
          <w:p>
            <w:pPr>
              <w:pStyle w:val="0"/>
            </w:pPr>
            <w:r>
              <w:rPr>
                <w:sz w:val="20"/>
              </w:rPr>
              <w:t xml:space="preserve">261620</w:t>
            </w:r>
          </w:p>
        </w:tc>
        <w:tc>
          <w:tcPr>
            <w:tcW w:w="3184" w:type="dxa"/>
          </w:tcPr>
          <w:p>
            <w:pPr>
              <w:pStyle w:val="0"/>
            </w:pPr>
            <w:r>
              <w:rPr>
                <w:sz w:val="20"/>
              </w:rPr>
              <w:t xml:space="preserve">Холодильник лабораторный, стандартный</w:t>
            </w:r>
          </w:p>
        </w:tc>
        <w:tc>
          <w:tcPr>
            <w:gridSpan w:val="2"/>
            <w:tcW w:w="2254" w:type="dxa"/>
          </w:tcPr>
          <w:p>
            <w:pPr>
              <w:pStyle w:val="0"/>
            </w:pPr>
            <w:r>
              <w:rPr>
                <w:sz w:val="20"/>
              </w:rPr>
              <w:t xml:space="preserve">Холодильник лабораторный, стандартный &lt;3&gt;, &lt;4А&gt;, &lt;4Б&gt;</w:t>
            </w:r>
          </w:p>
        </w:tc>
        <w:tc>
          <w:tcPr>
            <w:gridSpan w:val="2"/>
            <w:tcW w:w="1520" w:type="dxa"/>
          </w:tcPr>
          <w:p>
            <w:pPr>
              <w:pStyle w:val="0"/>
            </w:pPr>
            <w:r>
              <w:rPr>
                <w:sz w:val="20"/>
              </w:rPr>
              <w:t xml:space="preserve">Не менее 2</w:t>
            </w:r>
          </w:p>
        </w:tc>
        <w:tc>
          <w:tcPr>
            <w:gridSpan w:val="2"/>
            <w:tcW w:w="1340" w:type="dxa"/>
          </w:tcPr>
          <w:p>
            <w:pPr>
              <w:pStyle w:val="0"/>
            </w:pPr>
            <w:r>
              <w:rPr>
                <w:sz w:val="20"/>
              </w:rPr>
              <w:t xml:space="preserve">0</w:t>
            </w:r>
          </w:p>
        </w:tc>
        <w:tc>
          <w:tcPr>
            <w:tcW w:w="2389" w:type="dxa"/>
          </w:tcPr>
          <w:p>
            <w:pPr>
              <w:pStyle w:val="0"/>
            </w:pPr>
            <w:r>
              <w:rPr>
                <w:sz w:val="20"/>
              </w:rPr>
              <w:t xml:space="preserve">0</w:t>
            </w:r>
          </w:p>
          <w:p>
            <w:pPr>
              <w:pStyle w:val="0"/>
            </w:pPr>
            <w:r>
              <w:rPr>
                <w:sz w:val="20"/>
              </w:rPr>
              <w:t xml:space="preserve">(доукомплектация)</w:t>
            </w:r>
          </w:p>
        </w:tc>
      </w:tr>
      <w:tr>
        <w:tc>
          <w:tcPr>
            <w:tcW w:w="454" w:type="dxa"/>
            <w:vMerge w:val="restart"/>
          </w:tcPr>
          <w:p>
            <w:pPr>
              <w:pStyle w:val="0"/>
            </w:pPr>
            <w:r>
              <w:rPr>
                <w:sz w:val="20"/>
              </w:rPr>
              <w:t xml:space="preserve">14.</w:t>
            </w:r>
          </w:p>
        </w:tc>
        <w:tc>
          <w:tcPr>
            <w:tcW w:w="1819" w:type="dxa"/>
          </w:tcPr>
          <w:p>
            <w:pPr>
              <w:pStyle w:val="0"/>
            </w:pPr>
            <w:r>
              <w:rPr>
                <w:sz w:val="20"/>
              </w:rPr>
              <w:t xml:space="preserve">318570</w:t>
            </w:r>
          </w:p>
        </w:tc>
        <w:tc>
          <w:tcPr>
            <w:tcW w:w="3184" w:type="dxa"/>
          </w:tcPr>
          <w:p>
            <w:pPr>
              <w:pStyle w:val="0"/>
            </w:pPr>
            <w:r>
              <w:rPr>
                <w:sz w:val="20"/>
              </w:rPr>
              <w:t xml:space="preserve">Скрининг метаболизма новорожденных/врожденные заболевания ИВД, калибратор</w:t>
            </w:r>
          </w:p>
        </w:tc>
        <w:tc>
          <w:tcPr>
            <w:gridSpan w:val="2"/>
            <w:tcW w:w="2254" w:type="dxa"/>
            <w:vMerge w:val="restart"/>
          </w:tcPr>
          <w:p>
            <w:pPr>
              <w:pStyle w:val="0"/>
            </w:pPr>
            <w:r>
              <w:rPr>
                <w:sz w:val="20"/>
              </w:rPr>
              <w:t xml:space="preserve">Тест-системы для неонатального скрининга на адреногенитальный синдром, врожденный гипотиреоз, муковисцидоз, галактоземию и дефицит биотинидазы &lt;3&gt;, &lt;4А&gt;, &lt;4Б&gt;</w:t>
            </w:r>
          </w:p>
        </w:tc>
        <w:tc>
          <w:tcPr>
            <w:gridSpan w:val="2"/>
            <w:tcW w:w="1520" w:type="dxa"/>
            <w:vMerge w:val="restart"/>
          </w:tcPr>
          <w:p>
            <w:pPr>
              <w:pStyle w:val="0"/>
            </w:pPr>
            <w:r>
              <w:rPr>
                <w:sz w:val="20"/>
              </w:rPr>
              <w:t xml:space="preserve">Из расчета числа рождений</w:t>
            </w:r>
          </w:p>
        </w:tc>
        <w:tc>
          <w:tcPr>
            <w:gridSpan w:val="2"/>
            <w:tcW w:w="1340" w:type="dxa"/>
            <w:vMerge w:val="restart"/>
          </w:tcPr>
          <w:p>
            <w:pPr>
              <w:pStyle w:val="0"/>
            </w:pPr>
            <w:r>
              <w:rPr>
                <w:sz w:val="20"/>
              </w:rPr>
              <w:t xml:space="preserve">На 20 000 родов в год</w:t>
            </w:r>
          </w:p>
        </w:tc>
        <w:tc>
          <w:tcPr>
            <w:tcW w:w="2389" w:type="dxa"/>
            <w:vMerge w:val="restart"/>
          </w:tcPr>
          <w:p>
            <w:pPr>
              <w:pStyle w:val="0"/>
            </w:pPr>
            <w:r>
              <w:rPr>
                <w:sz w:val="20"/>
              </w:rPr>
              <w:t xml:space="preserve">100</w:t>
            </w:r>
          </w:p>
        </w:tc>
      </w:tr>
      <w:tr>
        <w:tc>
          <w:tcPr>
            <w:vMerge w:val="continue"/>
          </w:tcPr>
          <w:p/>
        </w:tc>
        <w:tc>
          <w:tcPr>
            <w:tcW w:w="1819" w:type="dxa"/>
          </w:tcPr>
          <w:p>
            <w:pPr>
              <w:pStyle w:val="0"/>
            </w:pPr>
            <w:r>
              <w:rPr>
                <w:sz w:val="20"/>
              </w:rPr>
              <w:t xml:space="preserve">318580</w:t>
            </w:r>
          </w:p>
        </w:tc>
        <w:tc>
          <w:tcPr>
            <w:tcW w:w="3184" w:type="dxa"/>
          </w:tcPr>
          <w:p>
            <w:pPr>
              <w:pStyle w:val="0"/>
            </w:pPr>
            <w:r>
              <w:rPr>
                <w:sz w:val="20"/>
              </w:rPr>
              <w:t xml:space="preserve">Скрининг метаболизма новорожденных/врожденных заболеваний ИВД, контрольный материал</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0"/>
              </w:rPr>
              <w:t xml:space="preserve">318600</w:t>
            </w:r>
          </w:p>
        </w:tc>
        <w:tc>
          <w:tcPr>
            <w:tcW w:w="3184" w:type="dxa"/>
          </w:tcPr>
          <w:p>
            <w:pPr>
              <w:pStyle w:val="0"/>
            </w:pPr>
            <w:r>
              <w:rPr>
                <w:sz w:val="20"/>
              </w:rPr>
              <w:t xml:space="preserve">Скрининг метаболизма новорожденных/врожденные заболевания ИВД, набор, мультиплексный анализ</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0"/>
              </w:rPr>
              <w:t xml:space="preserve">318610</w:t>
            </w:r>
          </w:p>
        </w:tc>
        <w:tc>
          <w:tcPr>
            <w:tcW w:w="3184" w:type="dxa"/>
          </w:tcPr>
          <w:p>
            <w:pPr>
              <w:pStyle w:val="0"/>
            </w:pPr>
            <w:r>
              <w:rPr>
                <w:sz w:val="20"/>
              </w:rPr>
              <w:t xml:space="preserve">Скрининг метаболизма новорожденных/врожденные заболевания ИВД, реагент</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0"/>
              </w:rPr>
              <w:t xml:space="preserve">318590</w:t>
            </w:r>
          </w:p>
        </w:tc>
        <w:tc>
          <w:tcPr>
            <w:tcW w:w="3184" w:type="dxa"/>
          </w:tcPr>
          <w:p>
            <w:pPr>
              <w:pStyle w:val="0"/>
            </w:pPr>
            <w:r>
              <w:rPr>
                <w:sz w:val="20"/>
              </w:rPr>
              <w:t xml:space="preserve">Скрининг метаболизма новорожденных/врожденные заболевания ИВД, набор, масс-спектрофотометрический анализ</w:t>
            </w:r>
          </w:p>
        </w:tc>
        <w:tc>
          <w:tcPr>
            <w:gridSpan w:val="2"/>
            <w:vMerge w:val="continue"/>
          </w:tcPr>
          <w:p/>
        </w:tc>
        <w:tc>
          <w:tcPr>
            <w:gridSpan w:val="2"/>
            <w:vMerge w:val="continue"/>
          </w:tcPr>
          <w:p/>
        </w:tc>
        <w:tc>
          <w:tcPr>
            <w:gridSpan w:val="2"/>
            <w:vMerge w:val="continue"/>
          </w:tcPr>
          <w:p/>
        </w:tc>
        <w:tc>
          <w:tcPr>
            <w:vMerge w:val="continue"/>
          </w:tcPr>
          <w:p/>
        </w:tc>
      </w:tr>
      <w:tr>
        <w:tc>
          <w:tcPr>
            <w:tcW w:w="454" w:type="dxa"/>
            <w:vMerge w:val="restart"/>
          </w:tcPr>
          <w:p>
            <w:pPr>
              <w:pStyle w:val="0"/>
            </w:pPr>
            <w:r>
              <w:rPr>
                <w:sz w:val="20"/>
              </w:rPr>
              <w:t xml:space="preserve">15.</w:t>
            </w:r>
          </w:p>
        </w:tc>
        <w:tc>
          <w:tcPr>
            <w:tcW w:w="1819" w:type="dxa"/>
          </w:tcPr>
          <w:p>
            <w:pPr>
              <w:pStyle w:val="0"/>
            </w:pPr>
            <w:r>
              <w:rPr>
                <w:sz w:val="20"/>
              </w:rPr>
              <w:t xml:space="preserve">192300</w:t>
            </w:r>
          </w:p>
        </w:tc>
        <w:tc>
          <w:tcPr>
            <w:tcW w:w="3184" w:type="dxa"/>
          </w:tcPr>
          <w:p>
            <w:pPr>
              <w:pStyle w:val="0"/>
            </w:pPr>
            <w:r>
              <w:rPr>
                <w:sz w:val="20"/>
              </w:rPr>
              <w:t xml:space="preserve">Множественные аминокислоты/метаболиты карнитина ИВД, набор, масс-спектрометрический анализ</w:t>
            </w:r>
          </w:p>
        </w:tc>
        <w:tc>
          <w:tcPr>
            <w:gridSpan w:val="2"/>
            <w:tcW w:w="2254" w:type="dxa"/>
            <w:vMerge w:val="restart"/>
          </w:tcPr>
          <w:p>
            <w:pPr>
              <w:pStyle w:val="0"/>
            </w:pPr>
            <w:r>
              <w:rPr>
                <w:sz w:val="20"/>
              </w:rPr>
              <w:t xml:space="preserve">Тест-системы для расширенного неонатального скрининга методом тандемной масс-спектрометрии &lt;4А&gt;, &lt;4Б&gt;</w:t>
            </w:r>
          </w:p>
        </w:tc>
        <w:tc>
          <w:tcPr>
            <w:gridSpan w:val="2"/>
            <w:tcW w:w="1520" w:type="dxa"/>
            <w:vMerge w:val="restart"/>
          </w:tcPr>
          <w:p>
            <w:pPr>
              <w:pStyle w:val="0"/>
            </w:pPr>
            <w:r>
              <w:rPr>
                <w:sz w:val="20"/>
              </w:rPr>
              <w:t xml:space="preserve">-</w:t>
            </w:r>
          </w:p>
        </w:tc>
        <w:tc>
          <w:tcPr>
            <w:gridSpan w:val="2"/>
            <w:tcW w:w="1340" w:type="dxa"/>
          </w:tcPr>
          <w:p>
            <w:pPr>
              <w:pStyle w:val="0"/>
            </w:pPr>
            <w:r>
              <w:rPr>
                <w:sz w:val="20"/>
              </w:rPr>
              <w:t xml:space="preserve">-</w:t>
            </w:r>
          </w:p>
        </w:tc>
        <w:tc>
          <w:tcPr>
            <w:tcW w:w="2389" w:type="dxa"/>
          </w:tcPr>
          <w:p>
            <w:pPr>
              <w:pStyle w:val="0"/>
            </w:pPr>
            <w:r>
              <w:rPr>
                <w:sz w:val="20"/>
              </w:rPr>
              <w:t xml:space="preserve">-</w:t>
            </w:r>
          </w:p>
        </w:tc>
      </w:tr>
      <w:tr>
        <w:tc>
          <w:tcPr>
            <w:vMerge w:val="continue"/>
          </w:tcPr>
          <w:p/>
        </w:tc>
        <w:tc>
          <w:tcPr>
            <w:tcW w:w="1819" w:type="dxa"/>
          </w:tcPr>
          <w:p>
            <w:pPr>
              <w:pStyle w:val="0"/>
            </w:pPr>
            <w:r>
              <w:rPr>
                <w:sz w:val="20"/>
              </w:rPr>
              <w:t xml:space="preserve">339500</w:t>
            </w:r>
          </w:p>
        </w:tc>
        <w:tc>
          <w:tcPr>
            <w:tcW w:w="3184" w:type="dxa"/>
          </w:tcPr>
          <w:p>
            <w:pPr>
              <w:pStyle w:val="0"/>
            </w:pPr>
            <w:r>
              <w:rPr>
                <w:sz w:val="20"/>
              </w:rPr>
              <w:t xml:space="preserve">Множественные аминокислоты/метаболиты карнитина ИВД, набор, масс-спектрометрический анализ/жидкостная хроматография</w:t>
            </w:r>
          </w:p>
        </w:tc>
        <w:tc>
          <w:tcPr>
            <w:gridSpan w:val="2"/>
            <w:vMerge w:val="continue"/>
          </w:tcPr>
          <w:p/>
        </w:tc>
        <w:tc>
          <w:tcPr>
            <w:gridSpan w:val="2"/>
            <w:vMerge w:val="continue"/>
          </w:tcPr>
          <w:p/>
        </w:tc>
        <w:tc>
          <w:tcPr>
            <w:gridSpan w:val="2"/>
            <w:tcW w:w="1340" w:type="dxa"/>
          </w:tcPr>
          <w:p>
            <w:pPr>
              <w:pStyle w:val="0"/>
            </w:pPr>
            <w:r>
              <w:rPr>
                <w:sz w:val="20"/>
              </w:rPr>
              <w:t xml:space="preserve">-</w:t>
            </w:r>
          </w:p>
        </w:tc>
        <w:tc>
          <w:tcPr>
            <w:tcW w:w="2389" w:type="dxa"/>
          </w:tcPr>
          <w:p>
            <w:pPr>
              <w:pStyle w:val="0"/>
            </w:pPr>
            <w:r>
              <w:rPr>
                <w:sz w:val="20"/>
              </w:rPr>
              <w:t xml:space="preserve">-</w:t>
            </w:r>
          </w:p>
        </w:tc>
      </w:tr>
      <w:tr>
        <w:tc>
          <w:tcPr>
            <w:tcW w:w="454" w:type="dxa"/>
          </w:tcPr>
          <w:p>
            <w:pPr>
              <w:pStyle w:val="0"/>
            </w:pPr>
            <w:r>
              <w:rPr>
                <w:sz w:val="20"/>
              </w:rPr>
              <w:t xml:space="preserve">16.</w:t>
            </w:r>
          </w:p>
        </w:tc>
        <w:tc>
          <w:tcPr>
            <w:tcW w:w="1819" w:type="dxa"/>
          </w:tcPr>
          <w:p>
            <w:pPr>
              <w:pStyle w:val="0"/>
            </w:pPr>
            <w:r>
              <w:rPr>
                <w:sz w:val="20"/>
              </w:rPr>
              <w:t xml:space="preserve">350660</w:t>
            </w:r>
          </w:p>
        </w:tc>
        <w:tc>
          <w:tcPr>
            <w:tcW w:w="3184" w:type="dxa"/>
          </w:tcPr>
          <w:p>
            <w:pPr>
              <w:pStyle w:val="0"/>
            </w:pPr>
            <w:r>
              <w:rPr>
                <w:sz w:val="20"/>
              </w:rPr>
              <w:t xml:space="preserve">Набор для забора крови методом сухой капли ИВД</w:t>
            </w:r>
          </w:p>
        </w:tc>
        <w:tc>
          <w:tcPr>
            <w:gridSpan w:val="2"/>
            <w:tcW w:w="2254" w:type="dxa"/>
          </w:tcPr>
          <w:p>
            <w:pPr>
              <w:pStyle w:val="0"/>
            </w:pPr>
            <w:r>
              <w:rPr>
                <w:sz w:val="20"/>
              </w:rPr>
              <w:t xml:space="preserve">Тест-бланки для забора образцов крови для неонатального скрининга новорожденных &lt;3&gt;, &lt;4А&gt;, &lt;4Б&gt;</w:t>
            </w:r>
          </w:p>
        </w:tc>
        <w:tc>
          <w:tcPr>
            <w:gridSpan w:val="2"/>
            <w:tcW w:w="1520" w:type="dxa"/>
          </w:tcPr>
          <w:p>
            <w:pPr>
              <w:pStyle w:val="0"/>
            </w:pPr>
            <w:r>
              <w:rPr>
                <w:sz w:val="20"/>
              </w:rPr>
              <w:t xml:space="preserve">Из расчета числа рождений</w:t>
            </w:r>
          </w:p>
        </w:tc>
        <w:tc>
          <w:tcPr>
            <w:gridSpan w:val="2"/>
            <w:tcW w:w="1340" w:type="dxa"/>
          </w:tcPr>
          <w:p>
            <w:pPr>
              <w:pStyle w:val="0"/>
            </w:pPr>
            <w:r>
              <w:rPr>
                <w:sz w:val="20"/>
              </w:rPr>
              <w:t xml:space="preserve">На 20000 родов в год</w:t>
            </w:r>
          </w:p>
        </w:tc>
        <w:tc>
          <w:tcPr>
            <w:tcW w:w="2389" w:type="dxa"/>
          </w:tcPr>
          <w:p>
            <w:pPr>
              <w:pStyle w:val="0"/>
            </w:pPr>
            <w:r>
              <w:rPr>
                <w:sz w:val="20"/>
              </w:rPr>
              <w:t xml:space="preserve">100</w:t>
            </w:r>
          </w:p>
        </w:tc>
      </w:tr>
      <w:tr>
        <w:tc>
          <w:tcPr>
            <w:tcW w:w="454" w:type="dxa"/>
          </w:tcPr>
          <w:p>
            <w:pPr>
              <w:pStyle w:val="0"/>
            </w:pPr>
            <w:r>
              <w:rPr>
                <w:sz w:val="20"/>
              </w:rPr>
              <w:t xml:space="preserve">17.</w:t>
            </w:r>
          </w:p>
        </w:tc>
        <w:tc>
          <w:tcPr>
            <w:tcW w:w="1819" w:type="dxa"/>
          </w:tcPr>
          <w:p>
            <w:pPr>
              <w:pStyle w:val="0"/>
            </w:pPr>
            <w:r>
              <w:rPr>
                <w:sz w:val="20"/>
              </w:rPr>
              <w:t xml:space="preserve">108730</w:t>
            </w:r>
          </w:p>
        </w:tc>
        <w:tc>
          <w:tcPr>
            <w:tcW w:w="3184" w:type="dxa"/>
          </w:tcPr>
          <w:p>
            <w:pPr>
              <w:pStyle w:val="0"/>
            </w:pPr>
            <w:r>
              <w:rPr>
                <w:sz w:val="20"/>
              </w:rPr>
              <w:t xml:space="preserve">Штатив для пробирок</w:t>
            </w:r>
          </w:p>
        </w:tc>
        <w:tc>
          <w:tcPr>
            <w:gridSpan w:val="2"/>
            <w:tcW w:w="2254" w:type="dxa"/>
          </w:tcPr>
          <w:p>
            <w:pPr>
              <w:pStyle w:val="0"/>
            </w:pPr>
            <w:r>
              <w:rPr>
                <w:sz w:val="20"/>
              </w:rPr>
              <w:t xml:space="preserve">Штатив для пробирок &lt;3&gt;, &lt;4А&gt; &lt;4Б&gt;</w:t>
            </w:r>
          </w:p>
        </w:tc>
        <w:tc>
          <w:tcPr>
            <w:gridSpan w:val="2"/>
            <w:tcW w:w="1520" w:type="dxa"/>
          </w:tcPr>
          <w:p>
            <w:pPr>
              <w:pStyle w:val="0"/>
            </w:pPr>
            <w:r>
              <w:rPr>
                <w:sz w:val="20"/>
              </w:rPr>
              <w:t xml:space="preserve">По количеству рабочих мест</w:t>
            </w:r>
          </w:p>
        </w:tc>
        <w:tc>
          <w:tcPr>
            <w:gridSpan w:val="2"/>
            <w:tcW w:w="1340" w:type="dxa"/>
          </w:tcPr>
          <w:p>
            <w:pPr>
              <w:pStyle w:val="0"/>
            </w:pPr>
            <w:r>
              <w:rPr>
                <w:sz w:val="20"/>
              </w:rPr>
              <w:t xml:space="preserve">На 4 рабочих места</w:t>
            </w:r>
          </w:p>
        </w:tc>
        <w:tc>
          <w:tcPr>
            <w:tcW w:w="2389" w:type="dxa"/>
          </w:tcPr>
          <w:p>
            <w:pPr>
              <w:pStyle w:val="0"/>
            </w:pPr>
            <w:r>
              <w:rPr>
                <w:sz w:val="20"/>
              </w:rPr>
              <w:t xml:space="preserve">100</w:t>
            </w:r>
          </w:p>
        </w:tc>
      </w:tr>
      <w:tr>
        <w:tc>
          <w:tcPr>
            <w:tcW w:w="454" w:type="dxa"/>
            <w:vMerge w:val="restart"/>
          </w:tcPr>
          <w:p>
            <w:pPr>
              <w:pStyle w:val="0"/>
            </w:pPr>
            <w:r>
              <w:rPr>
                <w:sz w:val="20"/>
              </w:rPr>
              <w:t xml:space="preserve">18.</w:t>
            </w:r>
          </w:p>
        </w:tc>
        <w:tc>
          <w:tcPr>
            <w:tcW w:w="1819" w:type="dxa"/>
          </w:tcPr>
          <w:p>
            <w:pPr>
              <w:pStyle w:val="0"/>
            </w:pPr>
            <w:r>
              <w:rPr>
                <w:sz w:val="20"/>
              </w:rPr>
              <w:t xml:space="preserve">124480</w:t>
            </w:r>
          </w:p>
        </w:tc>
        <w:tc>
          <w:tcPr>
            <w:tcW w:w="3184" w:type="dxa"/>
          </w:tcPr>
          <w:p>
            <w:pPr>
              <w:pStyle w:val="0"/>
            </w:pPr>
            <w:r>
              <w:rPr>
                <w:sz w:val="20"/>
              </w:rPr>
              <w:t xml:space="preserve">Пипетка механическая</w:t>
            </w:r>
          </w:p>
        </w:tc>
        <w:tc>
          <w:tcPr>
            <w:gridSpan w:val="2"/>
            <w:tcW w:w="2254" w:type="dxa"/>
            <w:vMerge w:val="restart"/>
          </w:tcPr>
          <w:p>
            <w:pPr>
              <w:pStyle w:val="0"/>
            </w:pPr>
            <w:r>
              <w:rPr>
                <w:sz w:val="20"/>
              </w:rPr>
              <w:t xml:space="preserve">Комплект автоматических дозаторов переменного объема (автоматических пипеток) &lt;3&gt;, &lt;4А&gt;, &lt;4Б&gt;</w:t>
            </w:r>
          </w:p>
        </w:tc>
        <w:tc>
          <w:tcPr>
            <w:gridSpan w:val="2"/>
            <w:tcW w:w="1520" w:type="dxa"/>
            <w:vMerge w:val="restart"/>
          </w:tcPr>
          <w:p>
            <w:pPr>
              <w:pStyle w:val="0"/>
            </w:pPr>
            <w:r>
              <w:rPr>
                <w:sz w:val="20"/>
              </w:rPr>
              <w:t xml:space="preserve">По количеству рабочих мест</w:t>
            </w:r>
          </w:p>
        </w:tc>
        <w:tc>
          <w:tcPr>
            <w:gridSpan w:val="2"/>
            <w:tcW w:w="1340" w:type="dxa"/>
            <w:vMerge w:val="restart"/>
          </w:tcPr>
          <w:p>
            <w:pPr>
              <w:pStyle w:val="0"/>
            </w:pPr>
            <w:r>
              <w:rPr>
                <w:sz w:val="20"/>
              </w:rPr>
              <w:t xml:space="preserve">На 4 рабочих места</w:t>
            </w:r>
          </w:p>
        </w:tc>
        <w:tc>
          <w:tcPr>
            <w:tcW w:w="2389" w:type="dxa"/>
            <w:vMerge w:val="restart"/>
          </w:tcPr>
          <w:p>
            <w:pPr>
              <w:pStyle w:val="0"/>
            </w:pPr>
            <w:r>
              <w:rPr>
                <w:sz w:val="20"/>
              </w:rPr>
              <w:t xml:space="preserve">100</w:t>
            </w:r>
          </w:p>
        </w:tc>
      </w:tr>
      <w:tr>
        <w:tc>
          <w:tcPr>
            <w:vMerge w:val="continue"/>
          </w:tcPr>
          <w:p/>
        </w:tc>
        <w:tc>
          <w:tcPr>
            <w:tcW w:w="1819" w:type="dxa"/>
          </w:tcPr>
          <w:p>
            <w:pPr>
              <w:pStyle w:val="0"/>
            </w:pPr>
            <w:r>
              <w:rPr>
                <w:sz w:val="20"/>
              </w:rPr>
              <w:t xml:space="preserve">292310</w:t>
            </w:r>
          </w:p>
        </w:tc>
        <w:tc>
          <w:tcPr>
            <w:tcW w:w="3184" w:type="dxa"/>
          </w:tcPr>
          <w:p>
            <w:pPr>
              <w:pStyle w:val="0"/>
            </w:pPr>
            <w:r>
              <w:rPr>
                <w:sz w:val="20"/>
              </w:rPr>
              <w:t xml:space="preserve">Пипетка электронная</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0"/>
              </w:rPr>
              <w:t xml:space="preserve">292320</w:t>
            </w:r>
          </w:p>
        </w:tc>
        <w:tc>
          <w:tcPr>
            <w:tcW w:w="3184" w:type="dxa"/>
          </w:tcPr>
          <w:p>
            <w:pPr>
              <w:pStyle w:val="0"/>
            </w:pPr>
            <w:r>
              <w:rPr>
                <w:sz w:val="20"/>
              </w:rPr>
              <w:t xml:space="preserve">Пипетка электронная, однофункциональная</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0"/>
              </w:rPr>
              <w:t xml:space="preserve">292390</w:t>
            </w:r>
          </w:p>
        </w:tc>
        <w:tc>
          <w:tcPr>
            <w:tcW w:w="3184" w:type="dxa"/>
          </w:tcPr>
          <w:p>
            <w:pPr>
              <w:pStyle w:val="0"/>
            </w:pPr>
            <w:r>
              <w:rPr>
                <w:sz w:val="20"/>
              </w:rPr>
              <w:t xml:space="preserve">Микропипетка электронная</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0"/>
              </w:rPr>
              <w:t xml:space="preserve">380120</w:t>
            </w:r>
          </w:p>
        </w:tc>
        <w:tc>
          <w:tcPr>
            <w:tcW w:w="3184" w:type="dxa"/>
          </w:tcPr>
          <w:p>
            <w:pPr>
              <w:pStyle w:val="0"/>
            </w:pPr>
            <w:r>
              <w:rPr>
                <w:sz w:val="20"/>
              </w:rPr>
              <w:t xml:space="preserve">Микропипетка механическая ИВД</w:t>
            </w:r>
          </w:p>
        </w:tc>
        <w:tc>
          <w:tcPr>
            <w:gridSpan w:val="2"/>
            <w:vMerge w:val="continue"/>
          </w:tcPr>
          <w:p/>
        </w:tc>
        <w:tc>
          <w:tcPr>
            <w:gridSpan w:val="2"/>
            <w:vMerge w:val="continue"/>
          </w:tcPr>
          <w:p/>
        </w:tc>
        <w:tc>
          <w:tcPr>
            <w:gridSpan w:val="2"/>
            <w:vMerge w:val="continue"/>
          </w:tcPr>
          <w:p/>
        </w:tc>
        <w:tc>
          <w:tcPr>
            <w:vMerge w:val="continue"/>
          </w:tcPr>
          <w:p/>
        </w:tc>
      </w:tr>
      <w:tr>
        <w:tc>
          <w:tcPr>
            <w:vMerge w:val="continue"/>
          </w:tcPr>
          <w:p/>
        </w:tc>
        <w:tc>
          <w:tcPr>
            <w:tcW w:w="1819" w:type="dxa"/>
          </w:tcPr>
          <w:p>
            <w:pPr>
              <w:pStyle w:val="0"/>
            </w:pPr>
            <w:r>
              <w:rPr>
                <w:sz w:val="20"/>
              </w:rPr>
              <w:t xml:space="preserve">124540</w:t>
            </w:r>
          </w:p>
        </w:tc>
        <w:tc>
          <w:tcPr>
            <w:tcW w:w="3184" w:type="dxa"/>
          </w:tcPr>
          <w:p>
            <w:pPr>
              <w:pStyle w:val="0"/>
            </w:pPr>
            <w:r>
              <w:rPr>
                <w:sz w:val="20"/>
              </w:rPr>
              <w:t xml:space="preserve">Микропипетка механическая</w:t>
            </w:r>
          </w:p>
        </w:tc>
        <w:tc>
          <w:tcPr>
            <w:gridSpan w:val="2"/>
            <w:vMerge w:val="continue"/>
          </w:tcPr>
          <w:p/>
        </w:tc>
        <w:tc>
          <w:tcPr>
            <w:gridSpan w:val="2"/>
            <w:vMerge w:val="continue"/>
          </w:tcPr>
          <w:p/>
        </w:tc>
        <w:tc>
          <w:tcPr>
            <w:gridSpan w:val="2"/>
            <w:vMerge w:val="continue"/>
          </w:tcPr>
          <w:p/>
        </w:tc>
        <w:tc>
          <w:tcPr>
            <w:vMerge w:val="continue"/>
          </w:tcPr>
          <w:p/>
        </w:tc>
      </w:tr>
      <w:tr>
        <w:tc>
          <w:tcPr>
            <w:tcW w:w="454" w:type="dxa"/>
          </w:tcPr>
          <w:p>
            <w:pPr>
              <w:pStyle w:val="0"/>
            </w:pPr>
            <w:r>
              <w:rPr>
                <w:sz w:val="20"/>
              </w:rPr>
              <w:t xml:space="preserve">19.</w:t>
            </w:r>
          </w:p>
        </w:tc>
        <w:tc>
          <w:tcPr>
            <w:tcW w:w="1819" w:type="dxa"/>
          </w:tcPr>
          <w:p>
            <w:pPr>
              <w:pStyle w:val="0"/>
            </w:pPr>
            <w:r>
              <w:rPr>
                <w:sz w:val="20"/>
              </w:rPr>
              <w:t xml:space="preserve">181470</w:t>
            </w:r>
          </w:p>
        </w:tc>
        <w:tc>
          <w:tcPr>
            <w:tcW w:w="3184" w:type="dxa"/>
          </w:tcPr>
          <w:p>
            <w:pPr>
              <w:pStyle w:val="0"/>
            </w:pPr>
            <w:r>
              <w:rPr>
                <w:sz w:val="20"/>
              </w:rPr>
              <w:t xml:space="preserve">Шкаф вытяжной</w:t>
            </w:r>
          </w:p>
        </w:tc>
        <w:tc>
          <w:tcPr>
            <w:gridSpan w:val="2"/>
            <w:tcW w:w="2254" w:type="dxa"/>
          </w:tcPr>
          <w:p>
            <w:pPr>
              <w:pStyle w:val="0"/>
            </w:pPr>
            <w:r>
              <w:rPr>
                <w:sz w:val="20"/>
              </w:rPr>
              <w:t xml:space="preserve">Шкаф вытяжной &lt;3&gt;, &lt;4А&gt;, &lt;4Б&gt;</w:t>
            </w:r>
          </w:p>
        </w:tc>
        <w:tc>
          <w:tcPr>
            <w:gridSpan w:val="2"/>
            <w:tcW w:w="1520" w:type="dxa"/>
          </w:tcPr>
          <w:p>
            <w:pPr>
              <w:pStyle w:val="0"/>
            </w:pPr>
            <w:r>
              <w:rPr>
                <w:sz w:val="20"/>
              </w:rPr>
              <w:t xml:space="preserve">Не менее 1</w:t>
            </w:r>
          </w:p>
        </w:tc>
        <w:tc>
          <w:tcPr>
            <w:gridSpan w:val="2"/>
            <w:tcW w:w="1340" w:type="dxa"/>
          </w:tcPr>
          <w:p>
            <w:pPr>
              <w:pStyle w:val="0"/>
            </w:pPr>
            <w:r>
              <w:rPr>
                <w:sz w:val="20"/>
              </w:rPr>
              <w:t xml:space="preserve">0</w:t>
            </w:r>
          </w:p>
        </w:tc>
        <w:tc>
          <w:tcPr>
            <w:tcW w:w="2389" w:type="dxa"/>
          </w:tcPr>
          <w:p>
            <w:pPr>
              <w:pStyle w:val="0"/>
            </w:pPr>
            <w:r>
              <w:rPr>
                <w:sz w:val="20"/>
              </w:rPr>
              <w:t xml:space="preserve">0</w:t>
            </w:r>
          </w:p>
          <w:p>
            <w:pPr>
              <w:pStyle w:val="0"/>
            </w:pPr>
            <w:r>
              <w:rPr>
                <w:sz w:val="20"/>
              </w:rPr>
            </w:r>
          </w:p>
          <w:p>
            <w:pPr>
              <w:pStyle w:val="0"/>
            </w:pPr>
            <w:r>
              <w:rPr>
                <w:sz w:val="20"/>
              </w:rPr>
              <w:t xml:space="preserve">(доукомплектация)</w:t>
            </w:r>
          </w:p>
        </w:tc>
      </w:tr>
      <w:tr>
        <w:tc>
          <w:tcPr>
            <w:tcW w:w="454" w:type="dxa"/>
          </w:tcPr>
          <w:p>
            <w:pPr>
              <w:pStyle w:val="0"/>
            </w:pPr>
            <w:r>
              <w:rPr>
                <w:sz w:val="20"/>
              </w:rPr>
              <w:t xml:space="preserve">20.</w:t>
            </w:r>
          </w:p>
        </w:tc>
        <w:tc>
          <w:tcPr>
            <w:tcW w:w="1819" w:type="dxa"/>
          </w:tcPr>
          <w:p>
            <w:pPr>
              <w:pStyle w:val="0"/>
            </w:pPr>
            <w:r>
              <w:rPr>
                <w:sz w:val="20"/>
              </w:rPr>
              <w:t xml:space="preserve">123680</w:t>
            </w:r>
          </w:p>
        </w:tc>
        <w:tc>
          <w:tcPr>
            <w:tcW w:w="3184" w:type="dxa"/>
          </w:tcPr>
          <w:p>
            <w:pPr>
              <w:pStyle w:val="0"/>
            </w:pPr>
            <w:r>
              <w:rPr>
                <w:sz w:val="20"/>
              </w:rPr>
              <w:t xml:space="preserve">Контейнер для отходов с биологическими загрязнениями</w:t>
            </w:r>
          </w:p>
        </w:tc>
        <w:tc>
          <w:tcPr>
            <w:gridSpan w:val="2"/>
            <w:tcW w:w="2254" w:type="dxa"/>
          </w:tcPr>
          <w:p>
            <w:pPr>
              <w:pStyle w:val="0"/>
            </w:pPr>
            <w:r>
              <w:rPr>
                <w:sz w:val="20"/>
              </w:rPr>
              <w:t xml:space="preserve">Контейнер &lt;3&gt;, &lt;4А&gt;, &lt;4Б&gt;</w:t>
            </w:r>
          </w:p>
        </w:tc>
        <w:tc>
          <w:tcPr>
            <w:gridSpan w:val="2"/>
            <w:tcW w:w="1520" w:type="dxa"/>
          </w:tcPr>
          <w:p>
            <w:pPr>
              <w:pStyle w:val="0"/>
            </w:pPr>
            <w:r>
              <w:rPr>
                <w:sz w:val="20"/>
              </w:rPr>
              <w:t xml:space="preserve">Не менее 1</w:t>
            </w:r>
          </w:p>
        </w:tc>
        <w:tc>
          <w:tcPr>
            <w:gridSpan w:val="2"/>
            <w:tcW w:w="1340" w:type="dxa"/>
          </w:tcPr>
          <w:p>
            <w:pPr>
              <w:pStyle w:val="0"/>
            </w:pPr>
            <w:r>
              <w:rPr>
                <w:sz w:val="20"/>
              </w:rPr>
              <w:t xml:space="preserve">1</w:t>
            </w:r>
          </w:p>
        </w:tc>
        <w:tc>
          <w:tcPr>
            <w:tcW w:w="2389" w:type="dxa"/>
          </w:tcPr>
          <w:p>
            <w:pPr>
              <w:pStyle w:val="0"/>
            </w:pPr>
            <w:r>
              <w:rPr>
                <w:sz w:val="20"/>
              </w:rPr>
              <w:t xml:space="preserve">100</w:t>
            </w:r>
          </w:p>
        </w:tc>
      </w:tr>
      <w:tr>
        <w:tc>
          <w:tcPr>
            <w:tcW w:w="454" w:type="dxa"/>
          </w:tcPr>
          <w:p>
            <w:pPr>
              <w:pStyle w:val="0"/>
            </w:pPr>
            <w:r>
              <w:rPr>
                <w:sz w:val="20"/>
              </w:rPr>
              <w:t xml:space="preserve">21.</w:t>
            </w:r>
          </w:p>
        </w:tc>
        <w:tc>
          <w:tcPr>
            <w:tcW w:w="1819" w:type="dxa"/>
          </w:tcPr>
          <w:p>
            <w:pPr>
              <w:pStyle w:val="0"/>
            </w:pPr>
            <w:r>
              <w:rPr>
                <w:sz w:val="20"/>
              </w:rPr>
              <w:t xml:space="preserve">185890</w:t>
            </w:r>
          </w:p>
        </w:tc>
        <w:tc>
          <w:tcPr>
            <w:tcW w:w="3184" w:type="dxa"/>
          </w:tcPr>
          <w:p>
            <w:pPr>
              <w:pStyle w:val="0"/>
            </w:pPr>
            <w:r>
              <w:rPr>
                <w:sz w:val="20"/>
              </w:rPr>
              <w:t xml:space="preserve">Контейнер для стерилизации/дезинфекции, многоразового использования</w:t>
            </w:r>
          </w:p>
        </w:tc>
        <w:tc>
          <w:tcPr>
            <w:gridSpan w:val="2"/>
            <w:tcW w:w="2254" w:type="dxa"/>
          </w:tcPr>
          <w:p>
            <w:pPr>
              <w:pStyle w:val="0"/>
            </w:pPr>
            <w:r>
              <w:rPr>
                <w:sz w:val="20"/>
              </w:rPr>
              <w:t xml:space="preserve">Контейнер &lt;3&gt;, &lt;4А&gt;, &lt;4Б&gt;</w:t>
            </w:r>
          </w:p>
        </w:tc>
        <w:tc>
          <w:tcPr>
            <w:gridSpan w:val="2"/>
            <w:tcW w:w="1520" w:type="dxa"/>
          </w:tcPr>
          <w:p>
            <w:pPr>
              <w:pStyle w:val="0"/>
            </w:pPr>
            <w:r>
              <w:rPr>
                <w:sz w:val="20"/>
              </w:rPr>
              <w:t xml:space="preserve">Не менее 1</w:t>
            </w:r>
          </w:p>
        </w:tc>
        <w:tc>
          <w:tcPr>
            <w:gridSpan w:val="2"/>
            <w:tcW w:w="1340" w:type="dxa"/>
          </w:tcPr>
          <w:p>
            <w:pPr>
              <w:pStyle w:val="0"/>
            </w:pPr>
            <w:r>
              <w:rPr>
                <w:sz w:val="20"/>
              </w:rPr>
              <w:t xml:space="preserve">1</w:t>
            </w:r>
          </w:p>
        </w:tc>
        <w:tc>
          <w:tcPr>
            <w:tcW w:w="2389" w:type="dxa"/>
          </w:tcPr>
          <w:p>
            <w:pPr>
              <w:pStyle w:val="0"/>
            </w:pPr>
            <w:r>
              <w:rPr>
                <w:sz w:val="20"/>
              </w:rPr>
              <w:t xml:space="preserve">100</w:t>
            </w:r>
          </w:p>
        </w:tc>
      </w:tr>
      <w:tr>
        <w:tc>
          <w:tcPr>
            <w:tcW w:w="454" w:type="dxa"/>
          </w:tcPr>
          <w:p>
            <w:pPr>
              <w:pStyle w:val="0"/>
            </w:pPr>
            <w:r>
              <w:rPr>
                <w:sz w:val="20"/>
              </w:rPr>
              <w:t xml:space="preserve">22.</w:t>
            </w:r>
          </w:p>
        </w:tc>
        <w:tc>
          <w:tcPr>
            <w:tcW w:w="1819" w:type="dxa"/>
          </w:tcPr>
          <w:p>
            <w:pPr>
              <w:pStyle w:val="0"/>
            </w:pPr>
            <w:r>
              <w:rPr>
                <w:sz w:val="20"/>
              </w:rPr>
              <w:t xml:space="preserve">231020</w:t>
            </w:r>
          </w:p>
        </w:tc>
        <w:tc>
          <w:tcPr>
            <w:tcW w:w="3184" w:type="dxa"/>
          </w:tcPr>
          <w:p>
            <w:pPr>
              <w:pStyle w:val="0"/>
            </w:pPr>
            <w:r>
              <w:rPr>
                <w:sz w:val="20"/>
              </w:rPr>
              <w:t xml:space="preserve">Система деионизационной очистки воды</w:t>
            </w:r>
          </w:p>
        </w:tc>
        <w:tc>
          <w:tcPr>
            <w:gridSpan w:val="2"/>
            <w:tcW w:w="2254" w:type="dxa"/>
          </w:tcPr>
          <w:p>
            <w:pPr>
              <w:pStyle w:val="0"/>
            </w:pPr>
            <w:r>
              <w:rPr>
                <w:sz w:val="20"/>
              </w:rPr>
              <w:t xml:space="preserve">Деионизатор воды &lt;3&gt;, &lt;4А&gt;, &lt;4Б&gt;</w:t>
            </w:r>
          </w:p>
        </w:tc>
        <w:tc>
          <w:tcPr>
            <w:gridSpan w:val="2"/>
            <w:tcW w:w="1520" w:type="dxa"/>
          </w:tcPr>
          <w:p>
            <w:pPr>
              <w:pStyle w:val="0"/>
            </w:pPr>
            <w:r>
              <w:rPr>
                <w:sz w:val="20"/>
              </w:rPr>
              <w:t xml:space="preserve">1</w:t>
            </w:r>
          </w:p>
        </w:tc>
        <w:tc>
          <w:tcPr>
            <w:gridSpan w:val="2"/>
            <w:tcW w:w="1340" w:type="dxa"/>
          </w:tcPr>
          <w:p>
            <w:pPr>
              <w:pStyle w:val="0"/>
            </w:pPr>
            <w:r>
              <w:rPr>
                <w:sz w:val="20"/>
              </w:rPr>
              <w:t xml:space="preserve">0</w:t>
            </w:r>
          </w:p>
        </w:tc>
        <w:tc>
          <w:tcPr>
            <w:tcW w:w="2389" w:type="dxa"/>
          </w:tcPr>
          <w:p>
            <w:pPr>
              <w:pStyle w:val="0"/>
            </w:pPr>
            <w:r>
              <w:rPr>
                <w:sz w:val="20"/>
              </w:rPr>
              <w:t xml:space="preserve">0</w:t>
            </w:r>
          </w:p>
          <w:p>
            <w:pPr>
              <w:pStyle w:val="0"/>
            </w:pPr>
            <w:r>
              <w:rPr>
                <w:sz w:val="20"/>
              </w:rPr>
              <w:t xml:space="preserve">(доукомплектация)</w:t>
            </w:r>
          </w:p>
        </w:tc>
      </w:tr>
      <w:tr>
        <w:tc>
          <w:tcPr>
            <w:tcW w:w="454" w:type="dxa"/>
            <w:vMerge w:val="restart"/>
          </w:tcPr>
          <w:p>
            <w:pPr>
              <w:pStyle w:val="0"/>
            </w:pPr>
            <w:r>
              <w:rPr>
                <w:sz w:val="20"/>
              </w:rPr>
              <w:t xml:space="preserve">23.</w:t>
            </w:r>
          </w:p>
        </w:tc>
        <w:tc>
          <w:tcPr>
            <w:tcW w:w="1819" w:type="dxa"/>
            <w:vMerge w:val="restart"/>
          </w:tcPr>
          <w:p>
            <w:pPr>
              <w:pStyle w:val="0"/>
            </w:pPr>
            <w:r>
              <w:rPr>
                <w:sz w:val="20"/>
              </w:rPr>
              <w:t xml:space="preserve">185950</w:t>
            </w:r>
          </w:p>
        </w:tc>
        <w:tc>
          <w:tcPr>
            <w:tcW w:w="3184" w:type="dxa"/>
            <w:vMerge w:val="restart"/>
          </w:tcPr>
          <w:p>
            <w:pPr>
              <w:pStyle w:val="0"/>
            </w:pPr>
            <w:r>
              <w:rPr>
                <w:sz w:val="20"/>
              </w:rPr>
              <w:t xml:space="preserve">Система дистилляционной очистки воды</w:t>
            </w:r>
          </w:p>
        </w:tc>
        <w:tc>
          <w:tcPr>
            <w:gridSpan w:val="2"/>
            <w:tcW w:w="2254" w:type="dxa"/>
          </w:tcPr>
          <w:p>
            <w:pPr>
              <w:pStyle w:val="0"/>
            </w:pPr>
            <w:r>
              <w:rPr>
                <w:sz w:val="20"/>
              </w:rPr>
              <w:t xml:space="preserve">Дистиллятор &lt;3&gt;, &lt;4А&gt;, &lt;4Б&gt;</w:t>
            </w:r>
          </w:p>
        </w:tc>
        <w:tc>
          <w:tcPr>
            <w:gridSpan w:val="2"/>
            <w:tcW w:w="1520" w:type="dxa"/>
          </w:tcPr>
          <w:p>
            <w:pPr>
              <w:pStyle w:val="0"/>
            </w:pPr>
            <w:r>
              <w:rPr>
                <w:sz w:val="20"/>
              </w:rPr>
              <w:t xml:space="preserve">1</w:t>
            </w:r>
          </w:p>
        </w:tc>
        <w:tc>
          <w:tcPr>
            <w:gridSpan w:val="2"/>
            <w:tcW w:w="1340" w:type="dxa"/>
          </w:tcPr>
          <w:p>
            <w:pPr>
              <w:pStyle w:val="0"/>
            </w:pPr>
            <w:r>
              <w:rPr>
                <w:sz w:val="20"/>
              </w:rPr>
              <w:t xml:space="preserve">1</w:t>
            </w:r>
          </w:p>
        </w:tc>
        <w:tc>
          <w:tcPr>
            <w:tcW w:w="2389" w:type="dxa"/>
          </w:tcPr>
          <w:p>
            <w:pPr>
              <w:pStyle w:val="0"/>
            </w:pPr>
            <w:r>
              <w:rPr>
                <w:sz w:val="20"/>
              </w:rPr>
              <w:t xml:space="preserve">100</w:t>
            </w:r>
          </w:p>
        </w:tc>
      </w:tr>
      <w:tr>
        <w:tc>
          <w:tcPr>
            <w:vMerge w:val="continue"/>
          </w:tcPr>
          <w:p/>
        </w:tc>
        <w:tc>
          <w:tcPr>
            <w:vMerge w:val="continue"/>
          </w:tcPr>
          <w:p/>
        </w:tc>
        <w:tc>
          <w:tcPr>
            <w:vMerge w:val="continue"/>
          </w:tcPr>
          <w:p/>
        </w:tc>
        <w:tc>
          <w:tcPr>
            <w:gridSpan w:val="2"/>
            <w:tcW w:w="2254" w:type="dxa"/>
          </w:tcPr>
          <w:p>
            <w:pPr>
              <w:pStyle w:val="0"/>
            </w:pPr>
            <w:r>
              <w:rPr>
                <w:sz w:val="20"/>
              </w:rPr>
              <w:t xml:space="preserve">Бидистиллятор &lt;3&gt;, &lt;4А&gt;, &lt;4Б&gt;</w:t>
            </w:r>
          </w:p>
        </w:tc>
        <w:tc>
          <w:tcPr>
            <w:gridSpan w:val="2"/>
            <w:tcW w:w="1520" w:type="dxa"/>
          </w:tcPr>
          <w:p>
            <w:pPr>
              <w:pStyle w:val="0"/>
            </w:pPr>
            <w:r>
              <w:rPr>
                <w:sz w:val="20"/>
              </w:rPr>
              <w:t xml:space="preserve">1</w:t>
            </w:r>
          </w:p>
        </w:tc>
        <w:tc>
          <w:tcPr>
            <w:gridSpan w:val="2"/>
            <w:tcW w:w="1340" w:type="dxa"/>
          </w:tcPr>
          <w:p>
            <w:pPr>
              <w:pStyle w:val="0"/>
            </w:pPr>
            <w:r>
              <w:rPr>
                <w:sz w:val="20"/>
              </w:rPr>
              <w:t xml:space="preserve">0</w:t>
            </w:r>
          </w:p>
        </w:tc>
        <w:tc>
          <w:tcPr>
            <w:tcW w:w="2389" w:type="dxa"/>
          </w:tcPr>
          <w:p>
            <w:pPr>
              <w:pStyle w:val="0"/>
            </w:pPr>
            <w:r>
              <w:rPr>
                <w:sz w:val="20"/>
              </w:rPr>
              <w:t xml:space="preserve">0</w:t>
            </w:r>
          </w:p>
          <w:p>
            <w:pPr>
              <w:pStyle w:val="0"/>
            </w:pPr>
            <w:r>
              <w:rPr>
                <w:sz w:val="20"/>
              </w:rPr>
              <w:t xml:space="preserve">(доукомплектация)</w:t>
            </w:r>
          </w:p>
        </w:tc>
      </w:tr>
      <w:tr>
        <w:tc>
          <w:tcPr>
            <w:gridSpan w:val="10"/>
            <w:tcW w:w="12960" w:type="dxa"/>
          </w:tcPr>
          <w:p>
            <w:pPr>
              <w:pStyle w:val="0"/>
            </w:pPr>
            <w:r>
              <w:rPr>
                <w:sz w:val="20"/>
              </w:rPr>
              <w:t xml:space="preserve">Дополнительное оснащение</w:t>
            </w:r>
          </w:p>
        </w:tc>
      </w:tr>
      <w:tr>
        <w:tc>
          <w:tcPr>
            <w:tcW w:w="454" w:type="dxa"/>
          </w:tcPr>
          <w:p>
            <w:pPr>
              <w:pStyle w:val="0"/>
              <w:jc w:val="center"/>
            </w:pPr>
            <w:r>
              <w:rPr>
                <w:sz w:val="20"/>
              </w:rPr>
              <w:t xml:space="preserve">N п/п</w:t>
            </w:r>
          </w:p>
        </w:tc>
        <w:tc>
          <w:tcPr>
            <w:gridSpan w:val="3"/>
            <w:tcW w:w="6130" w:type="dxa"/>
          </w:tcPr>
          <w:p>
            <w:pPr>
              <w:pStyle w:val="0"/>
              <w:jc w:val="center"/>
            </w:pPr>
            <w:r>
              <w:rPr>
                <w:sz w:val="20"/>
              </w:rPr>
              <w:t xml:space="preserve">Наименование оборудования (оснащения)</w:t>
            </w:r>
          </w:p>
        </w:tc>
        <w:tc>
          <w:tcPr>
            <w:gridSpan w:val="2"/>
            <w:tcW w:w="1905" w:type="dxa"/>
          </w:tcPr>
          <w:p>
            <w:pPr>
              <w:pStyle w:val="0"/>
              <w:jc w:val="center"/>
            </w:pPr>
            <w:r>
              <w:rPr>
                <w:sz w:val="20"/>
              </w:rPr>
              <w:t xml:space="preserve">Требуемое количество, шт.</w:t>
            </w:r>
          </w:p>
        </w:tc>
        <w:tc>
          <w:tcPr>
            <w:gridSpan w:val="2"/>
            <w:tcW w:w="1380" w:type="dxa"/>
          </w:tcPr>
          <w:p>
            <w:pPr>
              <w:pStyle w:val="0"/>
              <w:jc w:val="center"/>
            </w:pPr>
            <w:r>
              <w:rPr>
                <w:sz w:val="20"/>
              </w:rPr>
              <w:t xml:space="preserve">Имеющееся в наличии количество, шт.</w:t>
            </w:r>
          </w:p>
        </w:tc>
        <w:tc>
          <w:tcPr>
            <w:gridSpan w:val="2"/>
            <w:tcW w:w="3091" w:type="dxa"/>
          </w:tcPr>
          <w:p>
            <w:pPr>
              <w:pStyle w:val="0"/>
              <w:jc w:val="center"/>
            </w:pPr>
            <w:r>
              <w:rPr>
                <w:sz w:val="20"/>
              </w:rPr>
              <w:t xml:space="preserve">Укомплектованность, %</w:t>
            </w:r>
          </w:p>
        </w:tc>
      </w:tr>
      <w:tr>
        <w:tc>
          <w:tcPr>
            <w:tcW w:w="454" w:type="dxa"/>
          </w:tcPr>
          <w:p>
            <w:pPr>
              <w:pStyle w:val="0"/>
            </w:pPr>
            <w:r>
              <w:rPr>
                <w:sz w:val="20"/>
              </w:rPr>
              <w:t xml:space="preserve">1.</w:t>
            </w:r>
          </w:p>
        </w:tc>
        <w:tc>
          <w:tcPr>
            <w:gridSpan w:val="3"/>
            <w:tcW w:w="6130" w:type="dxa"/>
          </w:tcPr>
          <w:p>
            <w:pPr>
              <w:pStyle w:val="0"/>
            </w:pPr>
            <w:r>
              <w:rPr>
                <w:sz w:val="20"/>
              </w:rPr>
              <w:t xml:space="preserve">Автоматизированное рабочее место врача, оснащенное персональным компьютером с выходом в информационно-телекоммуникационную сеть "Интернет" и источником бесперебойного питания &lt;2&gt;, &lt;3&gt;, &lt;4А&gt;, &lt;4Б&gt;</w:t>
            </w:r>
          </w:p>
        </w:tc>
        <w:tc>
          <w:tcPr>
            <w:gridSpan w:val="2"/>
            <w:tcW w:w="1905" w:type="dxa"/>
          </w:tcPr>
          <w:p>
            <w:pPr>
              <w:pStyle w:val="0"/>
            </w:pPr>
            <w:r>
              <w:rPr>
                <w:sz w:val="20"/>
              </w:rPr>
              <w:t xml:space="preserve">4</w:t>
            </w:r>
          </w:p>
        </w:tc>
        <w:tc>
          <w:tcPr>
            <w:gridSpan w:val="2"/>
            <w:tcW w:w="1380" w:type="dxa"/>
          </w:tcPr>
          <w:p>
            <w:pPr>
              <w:pStyle w:val="0"/>
            </w:pPr>
            <w:r>
              <w:rPr>
                <w:sz w:val="20"/>
              </w:rPr>
              <w:t xml:space="preserve">4</w:t>
            </w:r>
          </w:p>
        </w:tc>
        <w:tc>
          <w:tcPr>
            <w:gridSpan w:val="2"/>
            <w:tcW w:w="3091" w:type="dxa"/>
          </w:tcPr>
          <w:p>
            <w:pPr>
              <w:pStyle w:val="0"/>
            </w:pPr>
            <w:r>
              <w:rPr>
                <w:sz w:val="20"/>
              </w:rPr>
              <w:t xml:space="preserve">100</w:t>
            </w:r>
          </w:p>
        </w:tc>
      </w:tr>
      <w:tr>
        <w:tc>
          <w:tcPr>
            <w:tcW w:w="454" w:type="dxa"/>
          </w:tcPr>
          <w:p>
            <w:pPr>
              <w:pStyle w:val="0"/>
            </w:pPr>
            <w:r>
              <w:rPr>
                <w:sz w:val="20"/>
              </w:rPr>
              <w:t xml:space="preserve">2.</w:t>
            </w:r>
          </w:p>
        </w:tc>
        <w:tc>
          <w:tcPr>
            <w:gridSpan w:val="3"/>
            <w:tcW w:w="6130" w:type="dxa"/>
          </w:tcPr>
          <w:p>
            <w:pPr>
              <w:pStyle w:val="0"/>
            </w:pPr>
            <w:r>
              <w:rPr>
                <w:sz w:val="20"/>
              </w:rPr>
              <w:t xml:space="preserve">Программное обеспечение для учета и анализа неонатального скрининга &lt;3&gt;, &lt;4А&gt;, &lt;4Б&gt;</w:t>
            </w:r>
          </w:p>
        </w:tc>
        <w:tc>
          <w:tcPr>
            <w:gridSpan w:val="2"/>
            <w:tcW w:w="1905" w:type="dxa"/>
          </w:tcPr>
          <w:p>
            <w:pPr>
              <w:pStyle w:val="0"/>
            </w:pPr>
            <w:r>
              <w:rPr>
                <w:sz w:val="20"/>
              </w:rPr>
              <w:t xml:space="preserve">1</w:t>
            </w:r>
          </w:p>
        </w:tc>
        <w:tc>
          <w:tcPr>
            <w:gridSpan w:val="2"/>
            <w:tcW w:w="1380" w:type="dxa"/>
          </w:tcPr>
          <w:p>
            <w:pPr>
              <w:pStyle w:val="0"/>
            </w:pPr>
            <w:r>
              <w:rPr>
                <w:sz w:val="20"/>
              </w:rPr>
              <w:t xml:space="preserve">0</w:t>
            </w:r>
          </w:p>
        </w:tc>
        <w:tc>
          <w:tcPr>
            <w:gridSpan w:val="2"/>
            <w:tcW w:w="3091" w:type="dxa"/>
          </w:tcPr>
          <w:p>
            <w:pPr>
              <w:pStyle w:val="0"/>
            </w:pPr>
            <w:r>
              <w:rPr>
                <w:sz w:val="20"/>
              </w:rPr>
              <w:t xml:space="preserve">0</w:t>
            </w:r>
          </w:p>
          <w:p>
            <w:pPr>
              <w:pStyle w:val="0"/>
            </w:pPr>
            <w:r>
              <w:rPr>
                <w:sz w:val="20"/>
              </w:rPr>
              <w:t xml:space="preserve">(доукомплектация)</w:t>
            </w:r>
          </w:p>
        </w:tc>
      </w:tr>
      <w:tr>
        <w:tc>
          <w:tcPr>
            <w:tcW w:w="454" w:type="dxa"/>
          </w:tcPr>
          <w:p>
            <w:pPr>
              <w:pStyle w:val="0"/>
            </w:pPr>
            <w:r>
              <w:rPr>
                <w:sz w:val="20"/>
              </w:rPr>
              <w:t xml:space="preserve">3.</w:t>
            </w:r>
          </w:p>
        </w:tc>
        <w:tc>
          <w:tcPr>
            <w:gridSpan w:val="3"/>
            <w:tcW w:w="6130" w:type="dxa"/>
          </w:tcPr>
          <w:p>
            <w:pPr>
              <w:pStyle w:val="0"/>
            </w:pPr>
            <w:r>
              <w:rPr>
                <w:sz w:val="20"/>
              </w:rPr>
              <w:t xml:space="preserve">Источник бесперебойного питания &lt;3&gt;, &lt;4А&gt;, &lt;4Б&gt;</w:t>
            </w:r>
          </w:p>
        </w:tc>
        <w:tc>
          <w:tcPr>
            <w:gridSpan w:val="2"/>
            <w:tcW w:w="1905" w:type="dxa"/>
          </w:tcPr>
          <w:p>
            <w:pPr>
              <w:pStyle w:val="0"/>
            </w:pPr>
            <w:r>
              <w:rPr>
                <w:sz w:val="20"/>
              </w:rPr>
              <w:t xml:space="preserve">3</w:t>
            </w:r>
          </w:p>
        </w:tc>
        <w:tc>
          <w:tcPr>
            <w:gridSpan w:val="2"/>
            <w:tcW w:w="1380" w:type="dxa"/>
          </w:tcPr>
          <w:p>
            <w:pPr>
              <w:pStyle w:val="0"/>
            </w:pPr>
            <w:r>
              <w:rPr>
                <w:sz w:val="20"/>
              </w:rPr>
              <w:t xml:space="preserve">0</w:t>
            </w:r>
          </w:p>
        </w:tc>
        <w:tc>
          <w:tcPr>
            <w:gridSpan w:val="2"/>
            <w:tcW w:w="3091" w:type="dxa"/>
          </w:tcPr>
          <w:p>
            <w:pPr>
              <w:pStyle w:val="0"/>
            </w:pPr>
            <w:r>
              <w:rPr>
                <w:sz w:val="20"/>
              </w:rPr>
              <w:t xml:space="preserve">0</w:t>
            </w:r>
          </w:p>
          <w:p>
            <w:pPr>
              <w:pStyle w:val="0"/>
            </w:pPr>
            <w:r>
              <w:rPr>
                <w:sz w:val="20"/>
              </w:rPr>
              <w:t xml:space="preserve">(доукомплектация)</w:t>
            </w:r>
          </w:p>
        </w:tc>
      </w:tr>
      <w:tr>
        <w:tc>
          <w:tcPr>
            <w:tcW w:w="454" w:type="dxa"/>
          </w:tcPr>
          <w:p>
            <w:pPr>
              <w:pStyle w:val="0"/>
            </w:pPr>
            <w:r>
              <w:rPr>
                <w:sz w:val="20"/>
              </w:rPr>
              <w:t xml:space="preserve">4.</w:t>
            </w:r>
          </w:p>
        </w:tc>
        <w:tc>
          <w:tcPr>
            <w:gridSpan w:val="3"/>
            <w:tcW w:w="6130" w:type="dxa"/>
          </w:tcPr>
          <w:p>
            <w:pPr>
              <w:pStyle w:val="0"/>
            </w:pPr>
            <w:r>
              <w:rPr>
                <w:sz w:val="20"/>
              </w:rPr>
              <w:t xml:space="preserve">Мебель лабораторная (комплект) &lt;3&gt;, &lt;4А&gt;, &lt;4Б&gt;</w:t>
            </w:r>
          </w:p>
        </w:tc>
        <w:tc>
          <w:tcPr>
            <w:gridSpan w:val="2"/>
            <w:tcW w:w="1905" w:type="dxa"/>
          </w:tcPr>
          <w:p>
            <w:pPr>
              <w:pStyle w:val="0"/>
            </w:pPr>
            <w:r>
              <w:rPr>
                <w:sz w:val="20"/>
              </w:rPr>
              <w:t xml:space="preserve">4</w:t>
            </w:r>
          </w:p>
        </w:tc>
        <w:tc>
          <w:tcPr>
            <w:gridSpan w:val="2"/>
            <w:tcW w:w="1380" w:type="dxa"/>
          </w:tcPr>
          <w:p>
            <w:pPr>
              <w:pStyle w:val="0"/>
            </w:pPr>
            <w:r>
              <w:rPr>
                <w:sz w:val="20"/>
              </w:rPr>
              <w:t xml:space="preserve">4</w:t>
            </w:r>
          </w:p>
        </w:tc>
        <w:tc>
          <w:tcPr>
            <w:gridSpan w:val="2"/>
            <w:tcW w:w="3091" w:type="dxa"/>
          </w:tcPr>
          <w:p>
            <w:pPr>
              <w:pStyle w:val="0"/>
            </w:pPr>
            <w:r>
              <w:rPr>
                <w:sz w:val="20"/>
              </w:rPr>
              <w:t xml:space="preserve">100</w:t>
            </w:r>
          </w:p>
        </w:tc>
      </w:tr>
      <w:tr>
        <w:tc>
          <w:tcPr>
            <w:tcW w:w="454" w:type="dxa"/>
          </w:tcPr>
          <w:p>
            <w:pPr>
              <w:pStyle w:val="0"/>
            </w:pPr>
            <w:r>
              <w:rPr>
                <w:sz w:val="20"/>
              </w:rPr>
              <w:t xml:space="preserve">5.</w:t>
            </w:r>
          </w:p>
        </w:tc>
        <w:tc>
          <w:tcPr>
            <w:gridSpan w:val="3"/>
            <w:tcW w:w="6130" w:type="dxa"/>
          </w:tcPr>
          <w:p>
            <w:pPr>
              <w:pStyle w:val="0"/>
            </w:pPr>
            <w:r>
              <w:rPr>
                <w:sz w:val="20"/>
              </w:rPr>
              <w:t xml:space="preserve">Кондиционер &lt;3&gt;, &lt;4А&gt;, &lt;4Б&gt;</w:t>
            </w:r>
          </w:p>
        </w:tc>
        <w:tc>
          <w:tcPr>
            <w:gridSpan w:val="2"/>
            <w:tcW w:w="1905" w:type="dxa"/>
          </w:tcPr>
          <w:p>
            <w:pPr>
              <w:pStyle w:val="0"/>
            </w:pPr>
            <w:r>
              <w:rPr>
                <w:sz w:val="20"/>
              </w:rPr>
              <w:t xml:space="preserve">1</w:t>
            </w:r>
          </w:p>
        </w:tc>
        <w:tc>
          <w:tcPr>
            <w:gridSpan w:val="2"/>
            <w:tcW w:w="1380" w:type="dxa"/>
          </w:tcPr>
          <w:p>
            <w:pPr>
              <w:pStyle w:val="0"/>
            </w:pPr>
            <w:r>
              <w:rPr>
                <w:sz w:val="20"/>
              </w:rPr>
              <w:t xml:space="preserve">1</w:t>
            </w:r>
          </w:p>
        </w:tc>
        <w:tc>
          <w:tcPr>
            <w:gridSpan w:val="2"/>
            <w:tcW w:w="3091" w:type="dxa"/>
          </w:tcPr>
          <w:p>
            <w:pPr>
              <w:pStyle w:val="0"/>
            </w:pPr>
            <w:r>
              <w:rPr>
                <w:sz w:val="20"/>
              </w:rPr>
              <w:t xml:space="preserve">100</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jc w:val="center"/>
      </w:pPr>
      <w:r>
        <w:rPr>
          <w:sz w:val="20"/>
        </w:rPr>
      </w:r>
    </w:p>
    <w:bookmarkStart w:id="29661" w:name="P29661"/>
    <w:bookmarkEnd w:id="29661"/>
    <w:p>
      <w:pPr>
        <w:pStyle w:val="0"/>
        <w:jc w:val="center"/>
      </w:pPr>
      <w:r>
        <w:rPr>
          <w:sz w:val="20"/>
        </w:rPr>
        <w:t xml:space="preserve">Укомплектованность медицинским персоналом лаборатории</w:t>
      </w:r>
    </w:p>
    <w:p>
      <w:pPr>
        <w:pStyle w:val="0"/>
        <w:jc w:val="center"/>
      </w:pPr>
      <w:r>
        <w:rPr>
          <w:sz w:val="20"/>
        </w:rPr>
        <w:t xml:space="preserve">неонатального скрининга и расширенного неонатального</w:t>
      </w:r>
    </w:p>
    <w:p>
      <w:pPr>
        <w:pStyle w:val="0"/>
        <w:jc w:val="center"/>
      </w:pPr>
      <w:r>
        <w:rPr>
          <w:sz w:val="20"/>
        </w:rPr>
        <w:t xml:space="preserve">скрининга (при наличии) указанных медицинских организаций</w:t>
      </w:r>
    </w:p>
    <w:p>
      <w:pPr>
        <w:pStyle w:val="0"/>
        <w:jc w:val="center"/>
      </w:pPr>
      <w:r>
        <w:rPr>
          <w:sz w:val="20"/>
        </w:rPr>
        <w:t xml:space="preserve">(заполняется по каждой лаборатории НС и/или РНС)</w:t>
      </w:r>
    </w:p>
    <w:p>
      <w:pPr>
        <w:pStyle w:val="0"/>
        <w:jc w:val="center"/>
      </w:pPr>
      <w:r>
        <w:rPr>
          <w:sz w:val="20"/>
        </w:rPr>
      </w:r>
    </w:p>
    <w:p>
      <w:pPr>
        <w:pStyle w:val="0"/>
        <w:jc w:val="right"/>
      </w:pPr>
      <w:r>
        <w:rPr>
          <w:sz w:val="20"/>
        </w:rPr>
        <w:t xml:space="preserve">Таблица 17</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826"/>
        <w:gridCol w:w="1290"/>
        <w:gridCol w:w="1400"/>
        <w:gridCol w:w="1354"/>
        <w:gridCol w:w="2284"/>
      </w:tblGrid>
      <w:tr>
        <w:tc>
          <w:tcPr>
            <w:gridSpan w:val="6"/>
            <w:tcW w:w="9608" w:type="dxa"/>
          </w:tcPr>
          <w:p>
            <w:pPr>
              <w:pStyle w:val="0"/>
              <w:jc w:val="center"/>
            </w:pPr>
            <w:r>
              <w:rPr>
                <w:sz w:val="20"/>
              </w:rPr>
              <w:t xml:space="preserve">Медико-генетическая консультация</w:t>
            </w:r>
          </w:p>
          <w:p>
            <w:pPr>
              <w:pStyle w:val="0"/>
              <w:jc w:val="center"/>
            </w:pPr>
            <w:r>
              <w:rPr>
                <w:sz w:val="20"/>
              </w:rPr>
              <w:t xml:space="preserve">Консультативно-диагностическое отделение</w:t>
            </w:r>
          </w:p>
        </w:tc>
      </w:tr>
      <w:tr>
        <w:tc>
          <w:tcPr>
            <w:tcW w:w="454" w:type="dxa"/>
            <w:vMerge w:val="restart"/>
          </w:tcPr>
          <w:p>
            <w:pPr>
              <w:pStyle w:val="0"/>
              <w:jc w:val="center"/>
            </w:pPr>
            <w:r>
              <w:rPr>
                <w:sz w:val="20"/>
              </w:rPr>
              <w:t xml:space="preserve">N п/п</w:t>
            </w:r>
          </w:p>
        </w:tc>
        <w:tc>
          <w:tcPr>
            <w:tcW w:w="2826" w:type="dxa"/>
            <w:vMerge w:val="restart"/>
          </w:tcPr>
          <w:p>
            <w:pPr>
              <w:pStyle w:val="0"/>
              <w:jc w:val="center"/>
            </w:pPr>
            <w:r>
              <w:rPr>
                <w:sz w:val="20"/>
              </w:rPr>
              <w:t xml:space="preserve">Наименование должности врачебного и среднего медицинского персонала, в том числе специалистов с высшим профессиональным (немедицинским) образованием</w:t>
            </w:r>
          </w:p>
        </w:tc>
        <w:tc>
          <w:tcPr>
            <w:gridSpan w:val="2"/>
            <w:tcW w:w="2690" w:type="dxa"/>
          </w:tcPr>
          <w:p>
            <w:pPr>
              <w:pStyle w:val="0"/>
              <w:jc w:val="center"/>
            </w:pPr>
            <w:r>
              <w:rPr>
                <w:sz w:val="20"/>
              </w:rPr>
              <w:t xml:space="preserve">Штатных единиц</w:t>
            </w:r>
          </w:p>
        </w:tc>
        <w:tc>
          <w:tcPr>
            <w:tcW w:w="1354" w:type="dxa"/>
            <w:vMerge w:val="restart"/>
          </w:tcPr>
          <w:p>
            <w:pPr>
              <w:pStyle w:val="0"/>
              <w:jc w:val="center"/>
            </w:pPr>
            <w:r>
              <w:rPr>
                <w:sz w:val="20"/>
              </w:rPr>
              <w:t xml:space="preserve">Физических лиц</w:t>
            </w:r>
          </w:p>
        </w:tc>
        <w:tc>
          <w:tcPr>
            <w:tcW w:w="2284" w:type="dxa"/>
            <w:vMerge w:val="restart"/>
          </w:tcPr>
          <w:p>
            <w:pPr>
              <w:pStyle w:val="0"/>
              <w:jc w:val="center"/>
            </w:pPr>
            <w:r>
              <w:rPr>
                <w:sz w:val="20"/>
              </w:rPr>
              <w:t xml:space="preserve">Укомплектованность</w:t>
            </w:r>
          </w:p>
        </w:tc>
      </w:tr>
      <w:tr>
        <w:tc>
          <w:tcPr>
            <w:vMerge w:val="continue"/>
          </w:tcPr>
          <w:p/>
        </w:tc>
        <w:tc>
          <w:tcPr>
            <w:vMerge w:val="continue"/>
          </w:tcPr>
          <w:p/>
        </w:tc>
        <w:tc>
          <w:tcPr>
            <w:tcW w:w="1290" w:type="dxa"/>
          </w:tcPr>
          <w:p>
            <w:pPr>
              <w:pStyle w:val="0"/>
              <w:jc w:val="center"/>
            </w:pPr>
            <w:r>
              <w:rPr>
                <w:sz w:val="20"/>
              </w:rPr>
              <w:t xml:space="preserve">Утверждено</w:t>
            </w:r>
          </w:p>
        </w:tc>
        <w:tc>
          <w:tcPr>
            <w:tcW w:w="1400" w:type="dxa"/>
          </w:tcPr>
          <w:p>
            <w:pPr>
              <w:pStyle w:val="0"/>
              <w:jc w:val="center"/>
            </w:pPr>
            <w:r>
              <w:rPr>
                <w:sz w:val="20"/>
              </w:rPr>
              <w:t xml:space="preserve">Занято с учетом совместительства, без учета находящихся в декретном отпуске (отпуске по уходу за ребенком)</w:t>
            </w:r>
          </w:p>
        </w:tc>
        <w:tc>
          <w:tcPr>
            <w:vMerge w:val="continue"/>
          </w:tcPr>
          <w:p/>
        </w:tc>
        <w:tc>
          <w:tcPr>
            <w:vMerge w:val="continue"/>
          </w:tcPr>
          <w:p/>
        </w:tc>
      </w:tr>
      <w:tr>
        <w:tc>
          <w:tcPr>
            <w:tcW w:w="454" w:type="dxa"/>
          </w:tcPr>
          <w:p>
            <w:pPr>
              <w:pStyle w:val="0"/>
            </w:pPr>
            <w:r>
              <w:rPr>
                <w:sz w:val="20"/>
              </w:rPr>
              <w:t xml:space="preserve">1.</w:t>
            </w:r>
          </w:p>
        </w:tc>
        <w:tc>
          <w:tcPr>
            <w:tcW w:w="2826" w:type="dxa"/>
          </w:tcPr>
          <w:p>
            <w:pPr>
              <w:pStyle w:val="0"/>
            </w:pPr>
            <w:r>
              <w:rPr>
                <w:sz w:val="20"/>
              </w:rPr>
              <w:t xml:space="preserve">Врач-генетик</w:t>
            </w:r>
          </w:p>
        </w:tc>
        <w:tc>
          <w:tcPr>
            <w:tcW w:w="1290" w:type="dxa"/>
          </w:tcPr>
          <w:p>
            <w:pPr>
              <w:pStyle w:val="0"/>
            </w:pPr>
            <w:r>
              <w:rPr>
                <w:sz w:val="20"/>
              </w:rPr>
              <w:t xml:space="preserve">6</w:t>
            </w:r>
          </w:p>
        </w:tc>
        <w:tc>
          <w:tcPr>
            <w:tcW w:w="1400" w:type="dxa"/>
          </w:tcPr>
          <w:p>
            <w:pPr>
              <w:pStyle w:val="0"/>
            </w:pPr>
            <w:r>
              <w:rPr>
                <w:sz w:val="20"/>
              </w:rPr>
              <w:t xml:space="preserve">5</w:t>
            </w:r>
          </w:p>
        </w:tc>
        <w:tc>
          <w:tcPr>
            <w:tcW w:w="1354" w:type="dxa"/>
          </w:tcPr>
          <w:p>
            <w:pPr>
              <w:pStyle w:val="0"/>
            </w:pPr>
            <w:r>
              <w:rPr>
                <w:sz w:val="20"/>
              </w:rPr>
              <w:t xml:space="preserve">5</w:t>
            </w:r>
          </w:p>
        </w:tc>
        <w:tc>
          <w:tcPr>
            <w:tcW w:w="2284" w:type="dxa"/>
          </w:tcPr>
          <w:p>
            <w:pPr>
              <w:pStyle w:val="0"/>
            </w:pPr>
            <w:r>
              <w:rPr>
                <w:sz w:val="20"/>
              </w:rPr>
              <w:t xml:space="preserve">84%</w:t>
            </w:r>
          </w:p>
        </w:tc>
      </w:tr>
      <w:tr>
        <w:tc>
          <w:tcPr>
            <w:tcW w:w="454" w:type="dxa"/>
          </w:tcPr>
          <w:p>
            <w:pPr>
              <w:pStyle w:val="0"/>
            </w:pPr>
            <w:r>
              <w:rPr>
                <w:sz w:val="20"/>
              </w:rPr>
              <w:t xml:space="preserve">2.</w:t>
            </w:r>
          </w:p>
        </w:tc>
        <w:tc>
          <w:tcPr>
            <w:tcW w:w="2826" w:type="dxa"/>
          </w:tcPr>
          <w:p>
            <w:pPr>
              <w:pStyle w:val="0"/>
            </w:pPr>
            <w:r>
              <w:rPr>
                <w:sz w:val="20"/>
              </w:rPr>
              <w:t xml:space="preserve">Врач-диетолог</w:t>
            </w:r>
          </w:p>
        </w:tc>
        <w:tc>
          <w:tcPr>
            <w:tcW w:w="1290" w:type="dxa"/>
          </w:tcPr>
          <w:p>
            <w:pPr>
              <w:pStyle w:val="0"/>
            </w:pPr>
            <w:r>
              <w:rPr>
                <w:sz w:val="20"/>
              </w:rPr>
              <w:t xml:space="preserve">1</w:t>
            </w:r>
          </w:p>
        </w:tc>
        <w:tc>
          <w:tcPr>
            <w:tcW w:w="1400" w:type="dxa"/>
          </w:tcPr>
          <w:p>
            <w:pPr>
              <w:pStyle w:val="0"/>
            </w:pPr>
            <w:r>
              <w:rPr>
                <w:sz w:val="20"/>
              </w:rPr>
              <w:t xml:space="preserve">1</w:t>
            </w:r>
          </w:p>
        </w:tc>
        <w:tc>
          <w:tcPr>
            <w:tcW w:w="1354" w:type="dxa"/>
          </w:tcPr>
          <w:p>
            <w:pPr>
              <w:pStyle w:val="0"/>
            </w:pPr>
            <w:r>
              <w:rPr>
                <w:sz w:val="20"/>
              </w:rPr>
              <w:t xml:space="preserve">1</w:t>
            </w:r>
          </w:p>
        </w:tc>
        <w:tc>
          <w:tcPr>
            <w:tcW w:w="2284" w:type="dxa"/>
          </w:tcPr>
          <w:p>
            <w:pPr>
              <w:pStyle w:val="0"/>
            </w:pPr>
            <w:r>
              <w:rPr>
                <w:sz w:val="20"/>
              </w:rPr>
              <w:t xml:space="preserve">100%</w:t>
            </w:r>
          </w:p>
        </w:tc>
      </w:tr>
      <w:tr>
        <w:tc>
          <w:tcPr>
            <w:tcW w:w="454" w:type="dxa"/>
          </w:tcPr>
          <w:p>
            <w:pPr>
              <w:pStyle w:val="0"/>
            </w:pPr>
            <w:r>
              <w:rPr>
                <w:sz w:val="20"/>
              </w:rPr>
              <w:t xml:space="preserve">3.</w:t>
            </w:r>
          </w:p>
        </w:tc>
        <w:tc>
          <w:tcPr>
            <w:tcW w:w="2826" w:type="dxa"/>
          </w:tcPr>
          <w:p>
            <w:pPr>
              <w:pStyle w:val="0"/>
            </w:pPr>
            <w:r>
              <w:rPr>
                <w:sz w:val="20"/>
              </w:rPr>
              <w:t xml:space="preserve">Врач-эндокринолог (врач - детский эндокринолог)</w:t>
            </w:r>
          </w:p>
        </w:tc>
        <w:tc>
          <w:tcPr>
            <w:tcW w:w="1290" w:type="dxa"/>
          </w:tcPr>
          <w:p>
            <w:pPr>
              <w:pStyle w:val="0"/>
            </w:pPr>
            <w:r>
              <w:rPr>
                <w:sz w:val="20"/>
              </w:rPr>
              <w:t xml:space="preserve">1</w:t>
            </w:r>
          </w:p>
        </w:tc>
        <w:tc>
          <w:tcPr>
            <w:tcW w:w="1400" w:type="dxa"/>
          </w:tcPr>
          <w:p>
            <w:pPr>
              <w:pStyle w:val="0"/>
            </w:pPr>
            <w:r>
              <w:rPr>
                <w:sz w:val="20"/>
              </w:rPr>
              <w:t xml:space="preserve">1</w:t>
            </w:r>
          </w:p>
        </w:tc>
        <w:tc>
          <w:tcPr>
            <w:tcW w:w="1354" w:type="dxa"/>
          </w:tcPr>
          <w:p>
            <w:pPr>
              <w:pStyle w:val="0"/>
            </w:pPr>
            <w:r>
              <w:rPr>
                <w:sz w:val="20"/>
              </w:rPr>
              <w:t xml:space="preserve">1</w:t>
            </w:r>
          </w:p>
        </w:tc>
        <w:tc>
          <w:tcPr>
            <w:tcW w:w="2284" w:type="dxa"/>
          </w:tcPr>
          <w:p>
            <w:pPr>
              <w:pStyle w:val="0"/>
            </w:pPr>
            <w:r>
              <w:rPr>
                <w:sz w:val="20"/>
              </w:rPr>
              <w:t xml:space="preserve">100%</w:t>
            </w:r>
          </w:p>
        </w:tc>
      </w:tr>
      <w:tr>
        <w:tc>
          <w:tcPr>
            <w:tcW w:w="454" w:type="dxa"/>
          </w:tcPr>
          <w:p>
            <w:pPr>
              <w:pStyle w:val="0"/>
            </w:pPr>
            <w:r>
              <w:rPr>
                <w:sz w:val="20"/>
              </w:rPr>
              <w:t xml:space="preserve">4.</w:t>
            </w:r>
          </w:p>
        </w:tc>
        <w:tc>
          <w:tcPr>
            <w:tcW w:w="2826" w:type="dxa"/>
          </w:tcPr>
          <w:p>
            <w:pPr>
              <w:pStyle w:val="0"/>
            </w:pPr>
            <w:r>
              <w:rPr>
                <w:sz w:val="20"/>
              </w:rPr>
              <w:t xml:space="preserve">Врач-невролог</w:t>
            </w:r>
          </w:p>
        </w:tc>
        <w:tc>
          <w:tcPr>
            <w:tcW w:w="1290" w:type="dxa"/>
          </w:tcPr>
          <w:p>
            <w:pPr>
              <w:pStyle w:val="0"/>
            </w:pPr>
            <w:r>
              <w:rPr>
                <w:sz w:val="20"/>
              </w:rPr>
              <w:t xml:space="preserve">1</w:t>
            </w:r>
          </w:p>
        </w:tc>
        <w:tc>
          <w:tcPr>
            <w:tcW w:w="1400" w:type="dxa"/>
          </w:tcPr>
          <w:p>
            <w:pPr>
              <w:pStyle w:val="0"/>
            </w:pPr>
            <w:r>
              <w:rPr>
                <w:sz w:val="20"/>
              </w:rPr>
              <w:t xml:space="preserve">1</w:t>
            </w:r>
          </w:p>
        </w:tc>
        <w:tc>
          <w:tcPr>
            <w:tcW w:w="1354" w:type="dxa"/>
          </w:tcPr>
          <w:p>
            <w:pPr>
              <w:pStyle w:val="0"/>
            </w:pPr>
            <w:r>
              <w:rPr>
                <w:sz w:val="20"/>
              </w:rPr>
              <w:t xml:space="preserve">1</w:t>
            </w:r>
          </w:p>
        </w:tc>
        <w:tc>
          <w:tcPr>
            <w:tcW w:w="2284" w:type="dxa"/>
          </w:tcPr>
          <w:p>
            <w:pPr>
              <w:pStyle w:val="0"/>
            </w:pPr>
            <w:r>
              <w:rPr>
                <w:sz w:val="20"/>
              </w:rPr>
              <w:t xml:space="preserve">100%</w:t>
            </w:r>
          </w:p>
        </w:tc>
      </w:tr>
      <w:tr>
        <w:tc>
          <w:tcPr>
            <w:tcW w:w="454" w:type="dxa"/>
          </w:tcPr>
          <w:p>
            <w:pPr>
              <w:pStyle w:val="0"/>
            </w:pPr>
            <w:r>
              <w:rPr>
                <w:sz w:val="20"/>
              </w:rPr>
              <w:t xml:space="preserve">5.</w:t>
            </w:r>
          </w:p>
        </w:tc>
        <w:tc>
          <w:tcPr>
            <w:tcW w:w="2826" w:type="dxa"/>
          </w:tcPr>
          <w:p>
            <w:pPr>
              <w:pStyle w:val="0"/>
            </w:pPr>
            <w:r>
              <w:rPr>
                <w:sz w:val="20"/>
              </w:rPr>
              <w:t xml:space="preserve">Медицинский психолог (психолог)</w:t>
            </w:r>
          </w:p>
        </w:tc>
        <w:tc>
          <w:tcPr>
            <w:tcW w:w="1290" w:type="dxa"/>
          </w:tcPr>
          <w:p>
            <w:pPr>
              <w:pStyle w:val="0"/>
            </w:pPr>
            <w:r>
              <w:rPr>
                <w:sz w:val="20"/>
              </w:rPr>
              <w:t xml:space="preserve">1</w:t>
            </w:r>
          </w:p>
        </w:tc>
        <w:tc>
          <w:tcPr>
            <w:tcW w:w="1400" w:type="dxa"/>
          </w:tcPr>
          <w:p>
            <w:pPr>
              <w:pStyle w:val="0"/>
            </w:pPr>
            <w:r>
              <w:rPr>
                <w:sz w:val="20"/>
              </w:rPr>
              <w:t xml:space="preserve">1</w:t>
            </w:r>
          </w:p>
        </w:tc>
        <w:tc>
          <w:tcPr>
            <w:tcW w:w="1354" w:type="dxa"/>
          </w:tcPr>
          <w:p>
            <w:pPr>
              <w:pStyle w:val="0"/>
            </w:pPr>
            <w:r>
              <w:rPr>
                <w:sz w:val="20"/>
              </w:rPr>
              <w:t xml:space="preserve">2</w:t>
            </w:r>
          </w:p>
        </w:tc>
        <w:tc>
          <w:tcPr>
            <w:tcW w:w="2284" w:type="dxa"/>
          </w:tcPr>
          <w:p>
            <w:pPr>
              <w:pStyle w:val="0"/>
            </w:pPr>
            <w:r>
              <w:rPr>
                <w:sz w:val="20"/>
              </w:rPr>
              <w:t xml:space="preserve">100%</w:t>
            </w:r>
          </w:p>
        </w:tc>
      </w:tr>
      <w:tr>
        <w:tc>
          <w:tcPr>
            <w:tcW w:w="454" w:type="dxa"/>
          </w:tcPr>
          <w:p>
            <w:pPr>
              <w:pStyle w:val="0"/>
            </w:pPr>
            <w:r>
              <w:rPr>
                <w:sz w:val="20"/>
              </w:rPr>
              <w:t xml:space="preserve">6.</w:t>
            </w:r>
          </w:p>
        </w:tc>
        <w:tc>
          <w:tcPr>
            <w:tcW w:w="2826" w:type="dxa"/>
          </w:tcPr>
          <w:p>
            <w:pPr>
              <w:pStyle w:val="0"/>
            </w:pPr>
            <w:r>
              <w:rPr>
                <w:sz w:val="20"/>
              </w:rPr>
              <w:t xml:space="preserve">Врач ультразвуковой диагностики</w:t>
            </w:r>
          </w:p>
        </w:tc>
        <w:tc>
          <w:tcPr>
            <w:tcW w:w="1290" w:type="dxa"/>
          </w:tcPr>
          <w:p>
            <w:pPr>
              <w:pStyle w:val="0"/>
            </w:pPr>
            <w:r>
              <w:rPr>
                <w:sz w:val="20"/>
              </w:rPr>
              <w:t xml:space="preserve">4</w:t>
            </w:r>
          </w:p>
        </w:tc>
        <w:tc>
          <w:tcPr>
            <w:tcW w:w="1400" w:type="dxa"/>
          </w:tcPr>
          <w:p>
            <w:pPr>
              <w:pStyle w:val="0"/>
            </w:pPr>
            <w:r>
              <w:rPr>
                <w:sz w:val="20"/>
              </w:rPr>
              <w:t xml:space="preserve">3</w:t>
            </w:r>
          </w:p>
        </w:tc>
        <w:tc>
          <w:tcPr>
            <w:tcW w:w="1354" w:type="dxa"/>
          </w:tcPr>
          <w:p>
            <w:pPr>
              <w:pStyle w:val="0"/>
            </w:pPr>
            <w:r>
              <w:rPr>
                <w:sz w:val="20"/>
              </w:rPr>
              <w:t xml:space="preserve">3</w:t>
            </w:r>
          </w:p>
        </w:tc>
        <w:tc>
          <w:tcPr>
            <w:tcW w:w="2284" w:type="dxa"/>
          </w:tcPr>
          <w:p>
            <w:pPr>
              <w:pStyle w:val="0"/>
            </w:pPr>
            <w:r>
              <w:rPr>
                <w:sz w:val="20"/>
              </w:rPr>
              <w:t xml:space="preserve">75%</w:t>
            </w:r>
          </w:p>
        </w:tc>
      </w:tr>
      <w:tr>
        <w:tc>
          <w:tcPr>
            <w:tcW w:w="454" w:type="dxa"/>
          </w:tcPr>
          <w:p>
            <w:pPr>
              <w:pStyle w:val="0"/>
            </w:pPr>
            <w:r>
              <w:rPr>
                <w:sz w:val="20"/>
              </w:rPr>
              <w:t xml:space="preserve">7.</w:t>
            </w:r>
          </w:p>
        </w:tc>
        <w:tc>
          <w:tcPr>
            <w:tcW w:w="2826" w:type="dxa"/>
          </w:tcPr>
          <w:p>
            <w:pPr>
              <w:pStyle w:val="0"/>
            </w:pPr>
            <w:r>
              <w:rPr>
                <w:sz w:val="20"/>
              </w:rPr>
              <w:t xml:space="preserve">Врач - акушер-гинеколог</w:t>
            </w:r>
          </w:p>
        </w:tc>
        <w:tc>
          <w:tcPr>
            <w:tcW w:w="1290" w:type="dxa"/>
          </w:tcPr>
          <w:p>
            <w:pPr>
              <w:pStyle w:val="0"/>
            </w:pPr>
            <w:r>
              <w:rPr>
                <w:sz w:val="20"/>
              </w:rPr>
              <w:t xml:space="preserve">0,5</w:t>
            </w:r>
          </w:p>
        </w:tc>
        <w:tc>
          <w:tcPr>
            <w:tcW w:w="1400" w:type="dxa"/>
          </w:tcPr>
          <w:p>
            <w:pPr>
              <w:pStyle w:val="0"/>
            </w:pPr>
            <w:r>
              <w:rPr>
                <w:sz w:val="20"/>
              </w:rPr>
              <w:t xml:space="preserve">0</w:t>
            </w:r>
          </w:p>
        </w:tc>
        <w:tc>
          <w:tcPr>
            <w:tcW w:w="1354" w:type="dxa"/>
          </w:tcPr>
          <w:p>
            <w:pPr>
              <w:pStyle w:val="0"/>
            </w:pPr>
            <w:r>
              <w:rPr>
                <w:sz w:val="20"/>
              </w:rPr>
              <w:t xml:space="preserve">0</w:t>
            </w:r>
          </w:p>
        </w:tc>
        <w:tc>
          <w:tcPr>
            <w:tcW w:w="2284" w:type="dxa"/>
          </w:tcPr>
          <w:p>
            <w:pPr>
              <w:pStyle w:val="0"/>
            </w:pPr>
            <w:r>
              <w:rPr>
                <w:sz w:val="20"/>
              </w:rPr>
              <w:t xml:space="preserve">0%</w:t>
            </w:r>
          </w:p>
        </w:tc>
      </w:tr>
      <w:tr>
        <w:tc>
          <w:tcPr>
            <w:tcW w:w="454" w:type="dxa"/>
          </w:tcPr>
          <w:p>
            <w:pPr>
              <w:pStyle w:val="0"/>
            </w:pPr>
            <w:r>
              <w:rPr>
                <w:sz w:val="20"/>
              </w:rPr>
              <w:t xml:space="preserve">8.</w:t>
            </w:r>
          </w:p>
        </w:tc>
        <w:tc>
          <w:tcPr>
            <w:tcW w:w="2826" w:type="dxa"/>
          </w:tcPr>
          <w:p>
            <w:pPr>
              <w:pStyle w:val="0"/>
            </w:pPr>
            <w:r>
              <w:rPr>
                <w:sz w:val="20"/>
              </w:rPr>
              <w:t xml:space="preserve">Старшая медицинская сестра</w:t>
            </w:r>
          </w:p>
        </w:tc>
        <w:tc>
          <w:tcPr>
            <w:tcW w:w="1290" w:type="dxa"/>
          </w:tcPr>
          <w:p>
            <w:pPr>
              <w:pStyle w:val="0"/>
            </w:pPr>
            <w:r>
              <w:rPr>
                <w:sz w:val="20"/>
              </w:rPr>
              <w:t xml:space="preserve">1</w:t>
            </w:r>
          </w:p>
        </w:tc>
        <w:tc>
          <w:tcPr>
            <w:tcW w:w="1400" w:type="dxa"/>
          </w:tcPr>
          <w:p>
            <w:pPr>
              <w:pStyle w:val="0"/>
            </w:pPr>
            <w:r>
              <w:rPr>
                <w:sz w:val="20"/>
              </w:rPr>
              <w:t xml:space="preserve">1</w:t>
            </w:r>
          </w:p>
        </w:tc>
        <w:tc>
          <w:tcPr>
            <w:tcW w:w="1354" w:type="dxa"/>
          </w:tcPr>
          <w:p>
            <w:pPr>
              <w:pStyle w:val="0"/>
            </w:pPr>
            <w:r>
              <w:rPr>
                <w:sz w:val="20"/>
              </w:rPr>
              <w:t xml:space="preserve">1</w:t>
            </w:r>
          </w:p>
        </w:tc>
        <w:tc>
          <w:tcPr>
            <w:tcW w:w="2284" w:type="dxa"/>
          </w:tcPr>
          <w:p>
            <w:pPr>
              <w:pStyle w:val="0"/>
            </w:pPr>
            <w:r>
              <w:rPr>
                <w:sz w:val="20"/>
              </w:rPr>
              <w:t xml:space="preserve">100%</w:t>
            </w:r>
          </w:p>
        </w:tc>
      </w:tr>
      <w:tr>
        <w:tc>
          <w:tcPr>
            <w:tcW w:w="454" w:type="dxa"/>
          </w:tcPr>
          <w:p>
            <w:pPr>
              <w:pStyle w:val="0"/>
            </w:pPr>
            <w:r>
              <w:rPr>
                <w:sz w:val="20"/>
              </w:rPr>
              <w:t xml:space="preserve">9.</w:t>
            </w:r>
          </w:p>
        </w:tc>
        <w:tc>
          <w:tcPr>
            <w:tcW w:w="2826" w:type="dxa"/>
          </w:tcPr>
          <w:p>
            <w:pPr>
              <w:pStyle w:val="0"/>
            </w:pPr>
            <w:r>
              <w:rPr>
                <w:sz w:val="20"/>
              </w:rPr>
              <w:t xml:space="preserve">Медицинская сестра</w:t>
            </w:r>
          </w:p>
        </w:tc>
        <w:tc>
          <w:tcPr>
            <w:tcW w:w="1290" w:type="dxa"/>
          </w:tcPr>
          <w:p>
            <w:pPr>
              <w:pStyle w:val="0"/>
            </w:pPr>
            <w:r>
              <w:rPr>
                <w:sz w:val="20"/>
              </w:rPr>
              <w:t xml:space="preserve">13,5</w:t>
            </w:r>
          </w:p>
        </w:tc>
        <w:tc>
          <w:tcPr>
            <w:tcW w:w="1400" w:type="dxa"/>
          </w:tcPr>
          <w:p>
            <w:pPr>
              <w:pStyle w:val="0"/>
            </w:pPr>
            <w:r>
              <w:rPr>
                <w:sz w:val="20"/>
              </w:rPr>
              <w:t xml:space="preserve">12,25</w:t>
            </w:r>
          </w:p>
        </w:tc>
        <w:tc>
          <w:tcPr>
            <w:tcW w:w="1354" w:type="dxa"/>
          </w:tcPr>
          <w:p>
            <w:pPr>
              <w:pStyle w:val="0"/>
            </w:pPr>
            <w:r>
              <w:rPr>
                <w:sz w:val="20"/>
              </w:rPr>
              <w:t xml:space="preserve">11</w:t>
            </w:r>
          </w:p>
        </w:tc>
        <w:tc>
          <w:tcPr>
            <w:tcW w:w="2284" w:type="dxa"/>
          </w:tcPr>
          <w:p>
            <w:pPr>
              <w:pStyle w:val="0"/>
            </w:pPr>
            <w:r>
              <w:rPr>
                <w:sz w:val="20"/>
              </w:rPr>
              <w:t xml:space="preserve">81%</w:t>
            </w:r>
          </w:p>
        </w:tc>
      </w:tr>
      <w:tr>
        <w:tc>
          <w:tcPr>
            <w:tcW w:w="454" w:type="dxa"/>
          </w:tcPr>
          <w:p>
            <w:pPr>
              <w:pStyle w:val="0"/>
            </w:pPr>
            <w:r>
              <w:rPr>
                <w:sz w:val="20"/>
              </w:rPr>
              <w:t xml:space="preserve">10.</w:t>
            </w:r>
          </w:p>
        </w:tc>
        <w:tc>
          <w:tcPr>
            <w:tcW w:w="2826" w:type="dxa"/>
          </w:tcPr>
          <w:p>
            <w:pPr>
              <w:pStyle w:val="0"/>
            </w:pPr>
            <w:r>
              <w:rPr>
                <w:sz w:val="20"/>
              </w:rPr>
              <w:t xml:space="preserve">Медицинская сестра процедурной</w:t>
            </w:r>
          </w:p>
        </w:tc>
        <w:tc>
          <w:tcPr>
            <w:tcW w:w="1290" w:type="dxa"/>
          </w:tcPr>
          <w:p>
            <w:pPr>
              <w:pStyle w:val="0"/>
            </w:pPr>
            <w:r>
              <w:rPr>
                <w:sz w:val="20"/>
              </w:rPr>
              <w:t xml:space="preserve">2</w:t>
            </w:r>
          </w:p>
        </w:tc>
        <w:tc>
          <w:tcPr>
            <w:tcW w:w="1400" w:type="dxa"/>
          </w:tcPr>
          <w:p>
            <w:pPr>
              <w:pStyle w:val="0"/>
            </w:pPr>
            <w:r>
              <w:rPr>
                <w:sz w:val="20"/>
              </w:rPr>
              <w:t xml:space="preserve">1</w:t>
            </w:r>
          </w:p>
        </w:tc>
        <w:tc>
          <w:tcPr>
            <w:tcW w:w="1354" w:type="dxa"/>
          </w:tcPr>
          <w:p>
            <w:pPr>
              <w:pStyle w:val="0"/>
            </w:pPr>
            <w:r>
              <w:rPr>
                <w:sz w:val="20"/>
              </w:rPr>
              <w:t xml:space="preserve">1</w:t>
            </w:r>
          </w:p>
        </w:tc>
        <w:tc>
          <w:tcPr>
            <w:tcW w:w="2284" w:type="dxa"/>
          </w:tcPr>
          <w:p>
            <w:pPr>
              <w:pStyle w:val="0"/>
            </w:pPr>
            <w:r>
              <w:rPr>
                <w:sz w:val="20"/>
              </w:rPr>
              <w:t xml:space="preserve">50%</w:t>
            </w:r>
          </w:p>
        </w:tc>
      </w:tr>
      <w:tr>
        <w:tc>
          <w:tcPr>
            <w:tcW w:w="454" w:type="dxa"/>
          </w:tcPr>
          <w:p>
            <w:pPr>
              <w:pStyle w:val="0"/>
            </w:pPr>
            <w:r>
              <w:rPr>
                <w:sz w:val="20"/>
              </w:rPr>
              <w:t xml:space="preserve">11.</w:t>
            </w:r>
          </w:p>
        </w:tc>
        <w:tc>
          <w:tcPr>
            <w:tcW w:w="2826" w:type="dxa"/>
          </w:tcPr>
          <w:p>
            <w:pPr>
              <w:pStyle w:val="0"/>
            </w:pPr>
            <w:r>
              <w:rPr>
                <w:sz w:val="20"/>
              </w:rPr>
              <w:t xml:space="preserve">Акушерка</w:t>
            </w:r>
          </w:p>
        </w:tc>
        <w:tc>
          <w:tcPr>
            <w:tcW w:w="1290" w:type="dxa"/>
          </w:tcPr>
          <w:p>
            <w:pPr>
              <w:pStyle w:val="0"/>
            </w:pPr>
            <w:r>
              <w:rPr>
                <w:sz w:val="20"/>
              </w:rPr>
              <w:t xml:space="preserve">0,5</w:t>
            </w:r>
          </w:p>
        </w:tc>
        <w:tc>
          <w:tcPr>
            <w:tcW w:w="1400" w:type="dxa"/>
          </w:tcPr>
          <w:p>
            <w:pPr>
              <w:pStyle w:val="0"/>
            </w:pPr>
            <w:r>
              <w:rPr>
                <w:sz w:val="20"/>
              </w:rPr>
              <w:t xml:space="preserve">0</w:t>
            </w:r>
          </w:p>
        </w:tc>
        <w:tc>
          <w:tcPr>
            <w:tcW w:w="1354" w:type="dxa"/>
          </w:tcPr>
          <w:p>
            <w:pPr>
              <w:pStyle w:val="0"/>
            </w:pPr>
            <w:r>
              <w:rPr>
                <w:sz w:val="20"/>
              </w:rPr>
              <w:t xml:space="preserve">0</w:t>
            </w:r>
          </w:p>
        </w:tc>
        <w:tc>
          <w:tcPr>
            <w:tcW w:w="2284" w:type="dxa"/>
          </w:tcPr>
          <w:p>
            <w:pPr>
              <w:pStyle w:val="0"/>
            </w:pPr>
            <w:r>
              <w:rPr>
                <w:sz w:val="20"/>
              </w:rPr>
              <w:t xml:space="preserve">0%</w:t>
            </w:r>
          </w:p>
        </w:tc>
      </w:tr>
      <w:tr>
        <w:tc>
          <w:tcPr>
            <w:tcW w:w="454" w:type="dxa"/>
          </w:tcPr>
          <w:p>
            <w:pPr>
              <w:pStyle w:val="0"/>
            </w:pPr>
            <w:r>
              <w:rPr>
                <w:sz w:val="20"/>
              </w:rPr>
              <w:t xml:space="preserve">12.</w:t>
            </w:r>
          </w:p>
        </w:tc>
        <w:tc>
          <w:tcPr>
            <w:tcW w:w="2826" w:type="dxa"/>
          </w:tcPr>
          <w:p>
            <w:pPr>
              <w:pStyle w:val="0"/>
            </w:pPr>
            <w:r>
              <w:rPr>
                <w:sz w:val="20"/>
              </w:rPr>
              <w:t xml:space="preserve">Медицинский статистик</w:t>
            </w:r>
          </w:p>
        </w:tc>
        <w:tc>
          <w:tcPr>
            <w:tcW w:w="1290" w:type="dxa"/>
          </w:tcPr>
          <w:p>
            <w:pPr>
              <w:pStyle w:val="0"/>
            </w:pPr>
            <w:r>
              <w:rPr>
                <w:sz w:val="20"/>
              </w:rPr>
              <w:t xml:space="preserve">2</w:t>
            </w:r>
          </w:p>
        </w:tc>
        <w:tc>
          <w:tcPr>
            <w:tcW w:w="1400" w:type="dxa"/>
          </w:tcPr>
          <w:p>
            <w:pPr>
              <w:pStyle w:val="0"/>
            </w:pPr>
            <w:r>
              <w:rPr>
                <w:sz w:val="20"/>
              </w:rPr>
              <w:t xml:space="preserve">2</w:t>
            </w:r>
          </w:p>
        </w:tc>
        <w:tc>
          <w:tcPr>
            <w:tcW w:w="1354" w:type="dxa"/>
          </w:tcPr>
          <w:p>
            <w:pPr>
              <w:pStyle w:val="0"/>
            </w:pPr>
            <w:r>
              <w:rPr>
                <w:sz w:val="20"/>
              </w:rPr>
              <w:t xml:space="preserve">2</w:t>
            </w:r>
          </w:p>
        </w:tc>
        <w:tc>
          <w:tcPr>
            <w:tcW w:w="2284" w:type="dxa"/>
          </w:tcPr>
          <w:p>
            <w:pPr>
              <w:pStyle w:val="0"/>
            </w:pPr>
            <w:r>
              <w:rPr>
                <w:sz w:val="20"/>
              </w:rPr>
              <w:t xml:space="preserve">100%</w:t>
            </w:r>
          </w:p>
        </w:tc>
      </w:tr>
      <w:tr>
        <w:tc>
          <w:tcPr>
            <w:tcW w:w="454" w:type="dxa"/>
          </w:tcPr>
          <w:p>
            <w:pPr>
              <w:pStyle w:val="0"/>
            </w:pPr>
            <w:r>
              <w:rPr>
                <w:sz w:val="20"/>
              </w:rPr>
              <w:t xml:space="preserve">13.</w:t>
            </w:r>
          </w:p>
        </w:tc>
        <w:tc>
          <w:tcPr>
            <w:tcW w:w="2826" w:type="dxa"/>
          </w:tcPr>
          <w:p>
            <w:pPr>
              <w:pStyle w:val="0"/>
            </w:pPr>
            <w:r>
              <w:rPr>
                <w:sz w:val="20"/>
              </w:rPr>
              <w:t xml:space="preserve">Сестра-хозяйка/ Кастелянша</w:t>
            </w:r>
          </w:p>
        </w:tc>
        <w:tc>
          <w:tcPr>
            <w:tcW w:w="1290" w:type="dxa"/>
          </w:tcPr>
          <w:p>
            <w:pPr>
              <w:pStyle w:val="0"/>
            </w:pPr>
            <w:r>
              <w:rPr>
                <w:sz w:val="20"/>
              </w:rPr>
              <w:t xml:space="preserve">1</w:t>
            </w:r>
          </w:p>
        </w:tc>
        <w:tc>
          <w:tcPr>
            <w:tcW w:w="1400" w:type="dxa"/>
          </w:tcPr>
          <w:p>
            <w:pPr>
              <w:pStyle w:val="0"/>
            </w:pPr>
            <w:r>
              <w:rPr>
                <w:sz w:val="20"/>
              </w:rPr>
              <w:t xml:space="preserve">1</w:t>
            </w:r>
          </w:p>
        </w:tc>
        <w:tc>
          <w:tcPr>
            <w:tcW w:w="1354" w:type="dxa"/>
          </w:tcPr>
          <w:p>
            <w:pPr>
              <w:pStyle w:val="0"/>
            </w:pPr>
            <w:r>
              <w:rPr>
                <w:sz w:val="20"/>
              </w:rPr>
              <w:t xml:space="preserve">1</w:t>
            </w:r>
          </w:p>
        </w:tc>
        <w:tc>
          <w:tcPr>
            <w:tcW w:w="2284" w:type="dxa"/>
          </w:tcPr>
          <w:p>
            <w:pPr>
              <w:pStyle w:val="0"/>
            </w:pPr>
            <w:r>
              <w:rPr>
                <w:sz w:val="20"/>
              </w:rPr>
              <w:t xml:space="preserve">100%</w:t>
            </w:r>
          </w:p>
        </w:tc>
      </w:tr>
      <w:tr>
        <w:tc>
          <w:tcPr>
            <w:gridSpan w:val="6"/>
            <w:tcW w:w="9608" w:type="dxa"/>
          </w:tcPr>
          <w:p>
            <w:pPr>
              <w:pStyle w:val="0"/>
            </w:pPr>
            <w:r>
              <w:rPr>
                <w:sz w:val="20"/>
              </w:rPr>
              <w:t xml:space="preserve">Медико-генетическая консультация Лабораторное отделение</w:t>
            </w:r>
          </w:p>
        </w:tc>
      </w:tr>
      <w:tr>
        <w:tc>
          <w:tcPr>
            <w:tcW w:w="454" w:type="dxa"/>
          </w:tcPr>
          <w:p>
            <w:pPr>
              <w:pStyle w:val="0"/>
            </w:pPr>
            <w:r>
              <w:rPr>
                <w:sz w:val="20"/>
              </w:rPr>
              <w:t xml:space="preserve">1.</w:t>
            </w:r>
          </w:p>
        </w:tc>
        <w:tc>
          <w:tcPr>
            <w:tcW w:w="2826" w:type="dxa"/>
          </w:tcPr>
          <w:p>
            <w:pPr>
              <w:pStyle w:val="0"/>
            </w:pPr>
            <w:r>
              <w:rPr>
                <w:sz w:val="20"/>
              </w:rPr>
              <w:t xml:space="preserve">Врач - лабораторный генетик</w:t>
            </w:r>
          </w:p>
        </w:tc>
        <w:tc>
          <w:tcPr>
            <w:tcW w:w="1290" w:type="dxa"/>
          </w:tcPr>
          <w:p>
            <w:pPr>
              <w:pStyle w:val="0"/>
            </w:pPr>
            <w:r>
              <w:rPr>
                <w:sz w:val="20"/>
              </w:rPr>
              <w:t xml:space="preserve">5</w:t>
            </w:r>
          </w:p>
        </w:tc>
        <w:tc>
          <w:tcPr>
            <w:tcW w:w="1400" w:type="dxa"/>
          </w:tcPr>
          <w:p>
            <w:pPr>
              <w:pStyle w:val="0"/>
            </w:pPr>
            <w:r>
              <w:rPr>
                <w:sz w:val="20"/>
              </w:rPr>
              <w:t xml:space="preserve">2</w:t>
            </w:r>
          </w:p>
        </w:tc>
        <w:tc>
          <w:tcPr>
            <w:tcW w:w="1354" w:type="dxa"/>
          </w:tcPr>
          <w:p>
            <w:pPr>
              <w:pStyle w:val="0"/>
            </w:pPr>
            <w:r>
              <w:rPr>
                <w:sz w:val="20"/>
              </w:rPr>
              <w:t xml:space="preserve">3</w:t>
            </w:r>
          </w:p>
        </w:tc>
        <w:tc>
          <w:tcPr>
            <w:tcW w:w="2284" w:type="dxa"/>
          </w:tcPr>
          <w:p>
            <w:pPr>
              <w:pStyle w:val="0"/>
            </w:pPr>
            <w:r>
              <w:rPr>
                <w:sz w:val="20"/>
              </w:rPr>
              <w:t xml:space="preserve">60%</w:t>
            </w:r>
          </w:p>
        </w:tc>
      </w:tr>
      <w:tr>
        <w:tc>
          <w:tcPr>
            <w:tcW w:w="454" w:type="dxa"/>
          </w:tcPr>
          <w:p>
            <w:pPr>
              <w:pStyle w:val="0"/>
            </w:pPr>
            <w:r>
              <w:rPr>
                <w:sz w:val="20"/>
              </w:rPr>
              <w:t xml:space="preserve">2.</w:t>
            </w:r>
          </w:p>
        </w:tc>
        <w:tc>
          <w:tcPr>
            <w:tcW w:w="2826" w:type="dxa"/>
          </w:tcPr>
          <w:p>
            <w:pPr>
              <w:pStyle w:val="0"/>
            </w:pPr>
            <w:r>
              <w:rPr>
                <w:sz w:val="20"/>
              </w:rPr>
              <w:t xml:space="preserve">Врач клинической лабораторной диагностики</w:t>
            </w:r>
          </w:p>
        </w:tc>
        <w:tc>
          <w:tcPr>
            <w:tcW w:w="1290" w:type="dxa"/>
          </w:tcPr>
          <w:p>
            <w:pPr>
              <w:pStyle w:val="0"/>
            </w:pPr>
            <w:r>
              <w:rPr>
                <w:sz w:val="20"/>
              </w:rPr>
              <w:t xml:space="preserve">5,5</w:t>
            </w:r>
          </w:p>
        </w:tc>
        <w:tc>
          <w:tcPr>
            <w:tcW w:w="1400" w:type="dxa"/>
          </w:tcPr>
          <w:p>
            <w:pPr>
              <w:pStyle w:val="0"/>
            </w:pPr>
            <w:r>
              <w:rPr>
                <w:sz w:val="20"/>
              </w:rPr>
              <w:t xml:space="preserve">3,75</w:t>
            </w:r>
          </w:p>
        </w:tc>
        <w:tc>
          <w:tcPr>
            <w:tcW w:w="1354" w:type="dxa"/>
          </w:tcPr>
          <w:p>
            <w:pPr>
              <w:pStyle w:val="0"/>
            </w:pPr>
            <w:r>
              <w:rPr>
                <w:sz w:val="20"/>
              </w:rPr>
              <w:t xml:space="preserve">4</w:t>
            </w:r>
          </w:p>
        </w:tc>
        <w:tc>
          <w:tcPr>
            <w:tcW w:w="2284" w:type="dxa"/>
          </w:tcPr>
          <w:p>
            <w:pPr>
              <w:pStyle w:val="0"/>
            </w:pPr>
            <w:r>
              <w:rPr>
                <w:sz w:val="20"/>
              </w:rPr>
              <w:t xml:space="preserve">73%</w:t>
            </w:r>
          </w:p>
        </w:tc>
      </w:tr>
      <w:tr>
        <w:tc>
          <w:tcPr>
            <w:tcW w:w="454" w:type="dxa"/>
          </w:tcPr>
          <w:p>
            <w:pPr>
              <w:pStyle w:val="0"/>
            </w:pPr>
            <w:r>
              <w:rPr>
                <w:sz w:val="20"/>
              </w:rPr>
              <w:t xml:space="preserve">3.</w:t>
            </w:r>
          </w:p>
        </w:tc>
        <w:tc>
          <w:tcPr>
            <w:tcW w:w="2826" w:type="dxa"/>
          </w:tcPr>
          <w:p>
            <w:pPr>
              <w:pStyle w:val="0"/>
            </w:pPr>
            <w:r>
              <w:rPr>
                <w:sz w:val="20"/>
              </w:rPr>
              <w:t xml:space="preserve">Биолог</w:t>
            </w:r>
          </w:p>
        </w:tc>
        <w:tc>
          <w:tcPr>
            <w:tcW w:w="1290" w:type="dxa"/>
          </w:tcPr>
          <w:p>
            <w:pPr>
              <w:pStyle w:val="0"/>
            </w:pPr>
            <w:r>
              <w:rPr>
                <w:sz w:val="20"/>
              </w:rPr>
              <w:t xml:space="preserve">5,5</w:t>
            </w:r>
          </w:p>
        </w:tc>
        <w:tc>
          <w:tcPr>
            <w:tcW w:w="1400" w:type="dxa"/>
          </w:tcPr>
          <w:p>
            <w:pPr>
              <w:pStyle w:val="0"/>
            </w:pPr>
            <w:r>
              <w:rPr>
                <w:sz w:val="20"/>
              </w:rPr>
              <w:t xml:space="preserve">5</w:t>
            </w:r>
          </w:p>
        </w:tc>
        <w:tc>
          <w:tcPr>
            <w:tcW w:w="1354" w:type="dxa"/>
          </w:tcPr>
          <w:p>
            <w:pPr>
              <w:pStyle w:val="0"/>
            </w:pPr>
            <w:r>
              <w:rPr>
                <w:sz w:val="20"/>
              </w:rPr>
              <w:t xml:space="preserve">4</w:t>
            </w:r>
          </w:p>
        </w:tc>
        <w:tc>
          <w:tcPr>
            <w:tcW w:w="2284" w:type="dxa"/>
          </w:tcPr>
          <w:p>
            <w:pPr>
              <w:pStyle w:val="0"/>
            </w:pPr>
            <w:r>
              <w:rPr>
                <w:sz w:val="20"/>
              </w:rPr>
              <w:t xml:space="preserve">73%</w:t>
            </w:r>
          </w:p>
        </w:tc>
      </w:tr>
      <w:tr>
        <w:tc>
          <w:tcPr>
            <w:tcW w:w="454" w:type="dxa"/>
          </w:tcPr>
          <w:p>
            <w:pPr>
              <w:pStyle w:val="0"/>
            </w:pPr>
            <w:r>
              <w:rPr>
                <w:sz w:val="20"/>
              </w:rPr>
              <w:t xml:space="preserve">4.</w:t>
            </w:r>
          </w:p>
        </w:tc>
        <w:tc>
          <w:tcPr>
            <w:tcW w:w="2826" w:type="dxa"/>
          </w:tcPr>
          <w:p>
            <w:pPr>
              <w:pStyle w:val="0"/>
            </w:pPr>
            <w:r>
              <w:rPr>
                <w:sz w:val="20"/>
              </w:rPr>
              <w:t xml:space="preserve">Химик-эксперт медицинской организации</w:t>
            </w:r>
          </w:p>
        </w:tc>
        <w:tc>
          <w:tcPr>
            <w:tcW w:w="1290" w:type="dxa"/>
          </w:tcPr>
          <w:p>
            <w:pPr>
              <w:pStyle w:val="0"/>
            </w:pPr>
            <w:r>
              <w:rPr>
                <w:sz w:val="20"/>
              </w:rPr>
            </w:r>
          </w:p>
        </w:tc>
        <w:tc>
          <w:tcPr>
            <w:tcW w:w="1400" w:type="dxa"/>
          </w:tcPr>
          <w:p>
            <w:pPr>
              <w:pStyle w:val="0"/>
            </w:pPr>
            <w:r>
              <w:rPr>
                <w:sz w:val="20"/>
              </w:rPr>
            </w:r>
          </w:p>
        </w:tc>
        <w:tc>
          <w:tcPr>
            <w:tcW w:w="1354" w:type="dxa"/>
          </w:tcPr>
          <w:p>
            <w:pPr>
              <w:pStyle w:val="0"/>
            </w:pPr>
            <w:r>
              <w:rPr>
                <w:sz w:val="20"/>
              </w:rPr>
            </w:r>
          </w:p>
        </w:tc>
        <w:tc>
          <w:tcPr>
            <w:tcW w:w="2284" w:type="dxa"/>
          </w:tcPr>
          <w:p>
            <w:pPr>
              <w:pStyle w:val="0"/>
            </w:pPr>
            <w:r>
              <w:rPr>
                <w:sz w:val="20"/>
              </w:rPr>
            </w:r>
          </w:p>
        </w:tc>
      </w:tr>
      <w:tr>
        <w:tc>
          <w:tcPr>
            <w:tcW w:w="454" w:type="dxa"/>
          </w:tcPr>
          <w:p>
            <w:pPr>
              <w:pStyle w:val="0"/>
            </w:pPr>
            <w:r>
              <w:rPr>
                <w:sz w:val="20"/>
              </w:rPr>
              <w:t xml:space="preserve">5.</w:t>
            </w:r>
          </w:p>
        </w:tc>
        <w:tc>
          <w:tcPr>
            <w:tcW w:w="2826" w:type="dxa"/>
          </w:tcPr>
          <w:p>
            <w:pPr>
              <w:pStyle w:val="0"/>
            </w:pPr>
            <w:r>
              <w:rPr>
                <w:sz w:val="20"/>
              </w:rPr>
              <w:t xml:space="preserve">Медицинский лабораторный техник (фельдшер-лаборант)</w:t>
            </w:r>
          </w:p>
        </w:tc>
        <w:tc>
          <w:tcPr>
            <w:tcW w:w="1290" w:type="dxa"/>
          </w:tcPr>
          <w:p>
            <w:pPr>
              <w:pStyle w:val="0"/>
            </w:pPr>
            <w:r>
              <w:rPr>
                <w:sz w:val="20"/>
              </w:rPr>
              <w:t xml:space="preserve">10,5</w:t>
            </w:r>
          </w:p>
        </w:tc>
        <w:tc>
          <w:tcPr>
            <w:tcW w:w="1400" w:type="dxa"/>
          </w:tcPr>
          <w:p>
            <w:pPr>
              <w:pStyle w:val="0"/>
            </w:pPr>
            <w:r>
              <w:rPr>
                <w:sz w:val="20"/>
              </w:rPr>
              <w:t xml:space="preserve">8,5</w:t>
            </w:r>
          </w:p>
        </w:tc>
        <w:tc>
          <w:tcPr>
            <w:tcW w:w="1354" w:type="dxa"/>
          </w:tcPr>
          <w:p>
            <w:pPr>
              <w:pStyle w:val="0"/>
            </w:pPr>
            <w:r>
              <w:rPr>
                <w:sz w:val="20"/>
              </w:rPr>
              <w:t xml:space="preserve">7</w:t>
            </w:r>
          </w:p>
        </w:tc>
        <w:tc>
          <w:tcPr>
            <w:tcW w:w="2284" w:type="dxa"/>
          </w:tcPr>
          <w:p>
            <w:pPr>
              <w:pStyle w:val="0"/>
            </w:pPr>
            <w:r>
              <w:rPr>
                <w:sz w:val="20"/>
              </w:rPr>
              <w:t xml:space="preserve">67%</w:t>
            </w:r>
          </w:p>
        </w:tc>
      </w:tr>
      <w:tr>
        <w:tc>
          <w:tcPr>
            <w:tcW w:w="454" w:type="dxa"/>
          </w:tcPr>
          <w:p>
            <w:pPr>
              <w:pStyle w:val="0"/>
            </w:pPr>
            <w:r>
              <w:rPr>
                <w:sz w:val="20"/>
              </w:rPr>
              <w:t xml:space="preserve">6.</w:t>
            </w:r>
          </w:p>
        </w:tc>
        <w:tc>
          <w:tcPr>
            <w:tcW w:w="2826" w:type="dxa"/>
          </w:tcPr>
          <w:p>
            <w:pPr>
              <w:pStyle w:val="0"/>
            </w:pPr>
            <w:r>
              <w:rPr>
                <w:sz w:val="20"/>
              </w:rPr>
              <w:t xml:space="preserve">Медицинский регистратор</w:t>
            </w:r>
          </w:p>
        </w:tc>
        <w:tc>
          <w:tcPr>
            <w:tcW w:w="1290" w:type="dxa"/>
          </w:tcPr>
          <w:p>
            <w:pPr>
              <w:pStyle w:val="0"/>
            </w:pPr>
            <w:r>
              <w:rPr>
                <w:sz w:val="20"/>
              </w:rPr>
              <w:t xml:space="preserve">4</w:t>
            </w:r>
          </w:p>
        </w:tc>
        <w:tc>
          <w:tcPr>
            <w:tcW w:w="1400" w:type="dxa"/>
          </w:tcPr>
          <w:p>
            <w:pPr>
              <w:pStyle w:val="0"/>
            </w:pPr>
            <w:r>
              <w:rPr>
                <w:sz w:val="20"/>
              </w:rPr>
              <w:t xml:space="preserve">3</w:t>
            </w:r>
          </w:p>
        </w:tc>
        <w:tc>
          <w:tcPr>
            <w:tcW w:w="1354" w:type="dxa"/>
          </w:tcPr>
          <w:p>
            <w:pPr>
              <w:pStyle w:val="0"/>
            </w:pPr>
            <w:r>
              <w:rPr>
                <w:sz w:val="20"/>
              </w:rPr>
              <w:t xml:space="preserve">3</w:t>
            </w:r>
          </w:p>
        </w:tc>
        <w:tc>
          <w:tcPr>
            <w:tcW w:w="2284" w:type="dxa"/>
          </w:tcPr>
          <w:p>
            <w:pPr>
              <w:pStyle w:val="0"/>
            </w:pPr>
            <w:r>
              <w:rPr>
                <w:sz w:val="20"/>
              </w:rPr>
              <w:t xml:space="preserve">75%</w:t>
            </w:r>
          </w:p>
        </w:tc>
      </w:tr>
      <w:tr>
        <w:tc>
          <w:tcPr>
            <w:tcW w:w="454" w:type="dxa"/>
          </w:tcPr>
          <w:p>
            <w:pPr>
              <w:pStyle w:val="0"/>
            </w:pPr>
            <w:r>
              <w:rPr>
                <w:sz w:val="20"/>
              </w:rPr>
              <w:t xml:space="preserve">7.</w:t>
            </w:r>
          </w:p>
        </w:tc>
        <w:tc>
          <w:tcPr>
            <w:tcW w:w="2826" w:type="dxa"/>
          </w:tcPr>
          <w:p>
            <w:pPr>
              <w:pStyle w:val="0"/>
            </w:pPr>
            <w:r>
              <w:rPr>
                <w:sz w:val="20"/>
              </w:rPr>
              <w:t xml:space="preserve">Санитар/уборщик служебных помещений</w:t>
            </w:r>
          </w:p>
        </w:tc>
        <w:tc>
          <w:tcPr>
            <w:tcW w:w="1290" w:type="dxa"/>
          </w:tcPr>
          <w:p>
            <w:pPr>
              <w:pStyle w:val="0"/>
            </w:pPr>
            <w:r>
              <w:rPr>
                <w:sz w:val="20"/>
              </w:rPr>
              <w:t xml:space="preserve">4,5</w:t>
            </w:r>
          </w:p>
        </w:tc>
        <w:tc>
          <w:tcPr>
            <w:tcW w:w="1400" w:type="dxa"/>
          </w:tcPr>
          <w:p>
            <w:pPr>
              <w:pStyle w:val="0"/>
            </w:pPr>
            <w:r>
              <w:rPr>
                <w:sz w:val="20"/>
              </w:rPr>
              <w:t xml:space="preserve">4</w:t>
            </w:r>
          </w:p>
        </w:tc>
        <w:tc>
          <w:tcPr>
            <w:tcW w:w="1354" w:type="dxa"/>
          </w:tcPr>
          <w:p>
            <w:pPr>
              <w:pStyle w:val="0"/>
            </w:pPr>
            <w:r>
              <w:rPr>
                <w:sz w:val="20"/>
              </w:rPr>
              <w:t xml:space="preserve">3</w:t>
            </w:r>
          </w:p>
        </w:tc>
        <w:tc>
          <w:tcPr>
            <w:tcW w:w="2284" w:type="dxa"/>
          </w:tcPr>
          <w:p>
            <w:pPr>
              <w:pStyle w:val="0"/>
            </w:pPr>
            <w:r>
              <w:rPr>
                <w:sz w:val="20"/>
              </w:rPr>
              <w:t xml:space="preserve">67%</w:t>
            </w:r>
          </w:p>
        </w:tc>
      </w:tr>
    </w:tbl>
    <w:p>
      <w:pPr>
        <w:pStyle w:val="0"/>
        <w:ind w:firstLine="540"/>
        <w:jc w:val="both"/>
      </w:pPr>
      <w:r>
        <w:rPr>
          <w:sz w:val="20"/>
        </w:rPr>
      </w:r>
    </w:p>
    <w:p>
      <w:pPr>
        <w:pStyle w:val="0"/>
        <w:jc w:val="center"/>
      </w:pPr>
      <w:r>
        <w:rPr>
          <w:sz w:val="20"/>
        </w:rPr>
        <w:t xml:space="preserve">Паспорт медико-генетической консультации БУ автономного</w:t>
      </w:r>
    </w:p>
    <w:p>
      <w:pPr>
        <w:pStyle w:val="0"/>
        <w:jc w:val="center"/>
      </w:pPr>
      <w:r>
        <w:rPr>
          <w:sz w:val="20"/>
        </w:rPr>
        <w:t xml:space="preserve">округа "Сургутский окружной клинический центр охраны</w:t>
      </w:r>
    </w:p>
    <w:p>
      <w:pPr>
        <w:pStyle w:val="0"/>
        <w:jc w:val="center"/>
      </w:pPr>
      <w:r>
        <w:rPr>
          <w:sz w:val="20"/>
        </w:rPr>
        <w:t xml:space="preserve">материнства и детства"</w:t>
      </w:r>
    </w:p>
    <w:p>
      <w:pPr>
        <w:pStyle w:val="0"/>
        <w:jc w:val="center"/>
      </w:pPr>
      <w:r>
        <w:rPr>
          <w:sz w:val="20"/>
        </w:rPr>
      </w:r>
    </w:p>
    <w:p>
      <w:pPr>
        <w:pStyle w:val="0"/>
        <w:jc w:val="right"/>
      </w:pPr>
      <w:r>
        <w:rPr>
          <w:sz w:val="20"/>
        </w:rPr>
        <w:t xml:space="preserve">Таблица 18</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9"/>
        <w:gridCol w:w="857"/>
        <w:gridCol w:w="5329"/>
      </w:tblGrid>
      <w:tr>
        <w:tc>
          <w:tcPr>
            <w:gridSpan w:val="3"/>
            <w:tcW w:w="8965" w:type="dxa"/>
          </w:tcPr>
          <w:p>
            <w:pPr>
              <w:pStyle w:val="0"/>
              <w:jc w:val="center"/>
            </w:pPr>
            <w:r>
              <w:rPr>
                <w:sz w:val="20"/>
              </w:rPr>
              <w:t xml:space="preserve">Общая информация</w:t>
            </w:r>
          </w:p>
        </w:tc>
      </w:tr>
      <w:tr>
        <w:tc>
          <w:tcPr>
            <w:tcW w:w="2779" w:type="dxa"/>
          </w:tcPr>
          <w:p>
            <w:pPr>
              <w:pStyle w:val="0"/>
            </w:pPr>
            <w:r>
              <w:rPr>
                <w:sz w:val="20"/>
              </w:rPr>
              <w:t xml:space="preserve">Наименование:</w:t>
            </w:r>
          </w:p>
        </w:tc>
        <w:tc>
          <w:tcPr>
            <w:gridSpan w:val="2"/>
            <w:tcW w:w="6186" w:type="dxa"/>
          </w:tcPr>
          <w:p>
            <w:pPr>
              <w:pStyle w:val="0"/>
            </w:pPr>
            <w:r>
              <w:rPr>
                <w:sz w:val="20"/>
              </w:rPr>
              <w:t xml:space="preserve">медико-генетическая консультация</w:t>
            </w:r>
          </w:p>
        </w:tc>
      </w:tr>
      <w:tr>
        <w:tc>
          <w:tcPr>
            <w:tcW w:w="2779" w:type="dxa"/>
          </w:tcPr>
          <w:p>
            <w:pPr>
              <w:pStyle w:val="0"/>
            </w:pPr>
            <w:r>
              <w:rPr>
                <w:sz w:val="20"/>
              </w:rPr>
              <w:t xml:space="preserve">Располагается на базе:</w:t>
            </w:r>
          </w:p>
        </w:tc>
        <w:tc>
          <w:tcPr>
            <w:gridSpan w:val="2"/>
            <w:tcW w:w="6186" w:type="dxa"/>
          </w:tcPr>
          <w:p>
            <w:pPr>
              <w:pStyle w:val="0"/>
            </w:pPr>
            <w:r>
              <w:rPr>
                <w:sz w:val="20"/>
              </w:rPr>
              <w:t xml:space="preserve">БУ автономного округа "Сургутский окружной клинический центр охраны материнства и детства"</w:t>
            </w:r>
          </w:p>
        </w:tc>
      </w:tr>
      <w:tr>
        <w:tc>
          <w:tcPr>
            <w:tcW w:w="2779" w:type="dxa"/>
          </w:tcPr>
          <w:p>
            <w:pPr>
              <w:pStyle w:val="0"/>
            </w:pPr>
            <w:r>
              <w:rPr>
                <w:sz w:val="20"/>
              </w:rPr>
              <w:t xml:space="preserve">Руководитель:</w:t>
            </w:r>
          </w:p>
        </w:tc>
        <w:tc>
          <w:tcPr>
            <w:gridSpan w:val="2"/>
            <w:tcW w:w="6186" w:type="dxa"/>
          </w:tcPr>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 - Колбасин Лев Николаевич</w:t>
            </w:r>
          </w:p>
        </w:tc>
      </w:tr>
      <w:tr>
        <w:tc>
          <w:tcPr>
            <w:tcW w:w="2779" w:type="dxa"/>
          </w:tcPr>
          <w:p>
            <w:pPr>
              <w:pStyle w:val="0"/>
            </w:pPr>
            <w:r>
              <w:rPr>
                <w:sz w:val="20"/>
              </w:rPr>
              <w:t xml:space="preserve">Адрес:</w:t>
            </w:r>
          </w:p>
        </w:tc>
        <w:tc>
          <w:tcPr>
            <w:gridSpan w:val="2"/>
            <w:tcW w:w="6186" w:type="dxa"/>
          </w:tcPr>
          <w:p>
            <w:pPr>
              <w:pStyle w:val="0"/>
            </w:pPr>
            <w:r>
              <w:rPr>
                <w:sz w:val="20"/>
              </w:rPr>
              <w:t xml:space="preserve">628405, Тюменская область, автономный округ, г. Сургут, проспект Пролетарский, д. 15, e-mail: info@surgut-kpc.ru</w:t>
            </w:r>
          </w:p>
        </w:tc>
      </w:tr>
      <w:tr>
        <w:tc>
          <w:tcPr>
            <w:tcW w:w="2779" w:type="dxa"/>
          </w:tcPr>
          <w:p>
            <w:pPr>
              <w:pStyle w:val="0"/>
            </w:pPr>
            <w:r>
              <w:rPr>
                <w:sz w:val="20"/>
              </w:rPr>
              <w:t xml:space="preserve">Телефон:</w:t>
            </w:r>
          </w:p>
        </w:tc>
        <w:tc>
          <w:tcPr>
            <w:gridSpan w:val="2"/>
            <w:tcW w:w="6186" w:type="dxa"/>
          </w:tcPr>
          <w:p>
            <w:pPr>
              <w:pStyle w:val="0"/>
            </w:pPr>
            <w:r>
              <w:rPr>
                <w:sz w:val="20"/>
              </w:rPr>
              <w:t xml:space="preserve">+7-3462-58-90-30, доб. 3125</w:t>
            </w:r>
          </w:p>
        </w:tc>
      </w:tr>
      <w:tr>
        <w:tc>
          <w:tcPr>
            <w:tcW w:w="2779" w:type="dxa"/>
          </w:tcPr>
          <w:p>
            <w:pPr>
              <w:pStyle w:val="0"/>
            </w:pPr>
            <w:r>
              <w:rPr>
                <w:sz w:val="20"/>
              </w:rPr>
              <w:t xml:space="preserve">Электронная почта:</w:t>
            </w:r>
          </w:p>
        </w:tc>
        <w:tc>
          <w:tcPr>
            <w:gridSpan w:val="2"/>
            <w:tcW w:w="6186" w:type="dxa"/>
          </w:tcPr>
          <w:p>
            <w:pPr>
              <w:pStyle w:val="0"/>
            </w:pPr>
            <w:r>
              <w:rPr>
                <w:sz w:val="20"/>
              </w:rPr>
              <w:t xml:space="preserve">l.kolbasin@surgut-kpc.ru</w:t>
            </w:r>
          </w:p>
        </w:tc>
      </w:tr>
      <w:tr>
        <w:tc>
          <w:tcPr>
            <w:tcW w:w="2779" w:type="dxa"/>
          </w:tcPr>
          <w:p>
            <w:pPr>
              <w:pStyle w:val="0"/>
            </w:pPr>
            <w:r>
              <w:rPr>
                <w:sz w:val="20"/>
              </w:rPr>
              <w:t xml:space="preserve">Количество сотрудников:</w:t>
            </w:r>
          </w:p>
        </w:tc>
        <w:tc>
          <w:tcPr>
            <w:gridSpan w:val="2"/>
            <w:tcW w:w="6186" w:type="dxa"/>
          </w:tcPr>
          <w:p>
            <w:pPr>
              <w:pStyle w:val="0"/>
            </w:pPr>
            <w:r>
              <w:rPr>
                <w:sz w:val="20"/>
              </w:rPr>
              <w:t xml:space="preserve">69,5 штатной единицы / 55 физических лиц</w:t>
            </w:r>
          </w:p>
        </w:tc>
      </w:tr>
      <w:tr>
        <w:tc>
          <w:tcPr>
            <w:tcW w:w="2779" w:type="dxa"/>
          </w:tcPr>
          <w:p>
            <w:pPr>
              <w:pStyle w:val="0"/>
            </w:pPr>
            <w:r>
              <w:rPr>
                <w:sz w:val="20"/>
              </w:rPr>
              <w:t xml:space="preserve">в том числе врачей-генетиков:</w:t>
            </w:r>
          </w:p>
        </w:tc>
        <w:tc>
          <w:tcPr>
            <w:gridSpan w:val="2"/>
            <w:tcW w:w="6186" w:type="dxa"/>
          </w:tcPr>
          <w:p>
            <w:pPr>
              <w:pStyle w:val="0"/>
            </w:pPr>
            <w:r>
              <w:rPr>
                <w:sz w:val="20"/>
              </w:rPr>
              <w:t xml:space="preserve">6</w:t>
            </w:r>
          </w:p>
        </w:tc>
      </w:tr>
      <w:tr>
        <w:tc>
          <w:tcPr>
            <w:tcW w:w="2779" w:type="dxa"/>
          </w:tcPr>
          <w:p>
            <w:pPr>
              <w:pStyle w:val="0"/>
            </w:pPr>
            <w:r>
              <w:rPr>
                <w:sz w:val="20"/>
              </w:rPr>
              <w:t xml:space="preserve">в т.ч. врачей-лабораторных генетиков:</w:t>
            </w:r>
          </w:p>
        </w:tc>
        <w:tc>
          <w:tcPr>
            <w:gridSpan w:val="2"/>
            <w:tcW w:w="6186" w:type="dxa"/>
          </w:tcPr>
          <w:p>
            <w:pPr>
              <w:pStyle w:val="0"/>
            </w:pPr>
            <w:r>
              <w:rPr>
                <w:sz w:val="20"/>
              </w:rPr>
              <w:t xml:space="preserve">3</w:t>
            </w:r>
          </w:p>
        </w:tc>
      </w:tr>
      <w:tr>
        <w:tc>
          <w:tcPr>
            <w:tcW w:w="2779" w:type="dxa"/>
          </w:tcPr>
          <w:p>
            <w:pPr>
              <w:pStyle w:val="0"/>
            </w:pPr>
            <w:r>
              <w:rPr>
                <w:sz w:val="20"/>
              </w:rPr>
              <w:t xml:space="preserve">1. Клиническая деятельность</w:t>
            </w:r>
          </w:p>
        </w:tc>
        <w:tc>
          <w:tcPr>
            <w:tcW w:w="857" w:type="dxa"/>
          </w:tcPr>
          <w:p>
            <w:pPr>
              <w:pStyle w:val="0"/>
            </w:pPr>
            <w:r>
              <w:rPr>
                <w:sz w:val="20"/>
              </w:rPr>
              <w:t xml:space="preserve">Да/нет</w:t>
            </w:r>
          </w:p>
        </w:tc>
        <w:tc>
          <w:tcPr>
            <w:tcW w:w="5329" w:type="dxa"/>
          </w:tcPr>
          <w:p>
            <w:pPr>
              <w:pStyle w:val="0"/>
            </w:pPr>
            <w:r>
              <w:rPr>
                <w:sz w:val="20"/>
              </w:rPr>
              <w:t xml:space="preserve">Количество в год</w:t>
            </w:r>
          </w:p>
        </w:tc>
      </w:tr>
      <w:tr>
        <w:tc>
          <w:tcPr>
            <w:tcW w:w="2779" w:type="dxa"/>
          </w:tcPr>
          <w:p>
            <w:pPr>
              <w:pStyle w:val="0"/>
            </w:pPr>
            <w:r>
              <w:rPr>
                <w:sz w:val="20"/>
              </w:rPr>
              <w:t xml:space="preserve">Консультирование пациентов с наследственными (генетическими) заболеваниями</w:t>
            </w:r>
          </w:p>
        </w:tc>
        <w:tc>
          <w:tcPr>
            <w:tcW w:w="857" w:type="dxa"/>
          </w:tcPr>
          <w:p>
            <w:pPr>
              <w:pStyle w:val="0"/>
            </w:pPr>
            <w:r>
              <w:rPr>
                <w:sz w:val="20"/>
              </w:rPr>
              <w:t xml:space="preserve">да</w:t>
            </w:r>
          </w:p>
        </w:tc>
        <w:tc>
          <w:tcPr>
            <w:tcW w:w="5329" w:type="dxa"/>
          </w:tcPr>
          <w:p>
            <w:pPr>
              <w:pStyle w:val="0"/>
            </w:pPr>
            <w:r>
              <w:rPr>
                <w:sz w:val="20"/>
              </w:rPr>
              <w:t xml:space="preserve">3302</w:t>
            </w:r>
          </w:p>
        </w:tc>
      </w:tr>
      <w:tr>
        <w:tc>
          <w:tcPr>
            <w:tcW w:w="2779" w:type="dxa"/>
          </w:tcPr>
          <w:p>
            <w:pPr>
              <w:pStyle w:val="0"/>
            </w:pPr>
            <w:r>
              <w:rPr>
                <w:sz w:val="20"/>
              </w:rPr>
              <w:t xml:space="preserve">Профилактика наследственных (генетических) заболеваний:</w:t>
            </w:r>
          </w:p>
        </w:tc>
        <w:tc>
          <w:tcPr>
            <w:tcW w:w="857" w:type="dxa"/>
          </w:tcPr>
          <w:p>
            <w:pPr>
              <w:pStyle w:val="0"/>
            </w:pPr>
            <w:r>
              <w:rPr>
                <w:sz w:val="20"/>
              </w:rPr>
            </w:r>
          </w:p>
        </w:tc>
        <w:tc>
          <w:tcPr>
            <w:tcW w:w="5329" w:type="dxa"/>
          </w:tcPr>
          <w:p>
            <w:pPr>
              <w:pStyle w:val="0"/>
            </w:pPr>
            <w:r>
              <w:rPr>
                <w:sz w:val="20"/>
              </w:rPr>
            </w:r>
          </w:p>
        </w:tc>
      </w:tr>
      <w:tr>
        <w:tc>
          <w:tcPr>
            <w:tcW w:w="2779" w:type="dxa"/>
          </w:tcPr>
          <w:p>
            <w:pPr>
              <w:pStyle w:val="0"/>
            </w:pPr>
            <w:r>
              <w:rPr>
                <w:sz w:val="20"/>
              </w:rPr>
              <w:t xml:space="preserve">Преконцепционное консультирование и диагностика в семьях с отягощенным генетическим анамнезом</w:t>
            </w:r>
          </w:p>
        </w:tc>
        <w:tc>
          <w:tcPr>
            <w:tcW w:w="857" w:type="dxa"/>
          </w:tcPr>
          <w:p>
            <w:pPr>
              <w:pStyle w:val="0"/>
            </w:pPr>
            <w:r>
              <w:rPr>
                <w:sz w:val="20"/>
              </w:rPr>
              <w:t xml:space="preserve">да</w:t>
            </w:r>
          </w:p>
        </w:tc>
        <w:tc>
          <w:tcPr>
            <w:tcW w:w="5329" w:type="dxa"/>
          </w:tcPr>
          <w:p>
            <w:pPr>
              <w:pStyle w:val="0"/>
            </w:pPr>
            <w:r>
              <w:rPr>
                <w:sz w:val="20"/>
              </w:rPr>
              <w:t xml:space="preserve">460</w:t>
            </w:r>
          </w:p>
        </w:tc>
      </w:tr>
      <w:tr>
        <w:tc>
          <w:tcPr>
            <w:tcW w:w="2779" w:type="dxa"/>
          </w:tcPr>
          <w:p>
            <w:pPr>
              <w:pStyle w:val="0"/>
            </w:pPr>
            <w:r>
              <w:rPr>
                <w:sz w:val="20"/>
              </w:rPr>
              <w:t xml:space="preserve">Преконцепционное консультирование семей без отягощенного генетического анамнеза (в т.ч. скрининг на гетерозиготное носительство патогенных мутаций)</w:t>
            </w:r>
          </w:p>
        </w:tc>
        <w:tc>
          <w:tcPr>
            <w:tcW w:w="857" w:type="dxa"/>
          </w:tcPr>
          <w:p>
            <w:pPr>
              <w:pStyle w:val="0"/>
            </w:pPr>
            <w:r>
              <w:rPr>
                <w:sz w:val="20"/>
              </w:rPr>
              <w:t xml:space="preserve">да</w:t>
            </w:r>
          </w:p>
        </w:tc>
        <w:tc>
          <w:tcPr>
            <w:tcW w:w="5329" w:type="dxa"/>
          </w:tcPr>
          <w:p>
            <w:pPr>
              <w:pStyle w:val="0"/>
            </w:pPr>
            <w:r>
              <w:rPr>
                <w:sz w:val="20"/>
              </w:rPr>
              <w:t xml:space="preserve">20</w:t>
            </w:r>
          </w:p>
        </w:tc>
      </w:tr>
      <w:tr>
        <w:tc>
          <w:tcPr>
            <w:tcW w:w="2779" w:type="dxa"/>
          </w:tcPr>
          <w:p>
            <w:pPr>
              <w:pStyle w:val="0"/>
            </w:pPr>
            <w:r>
              <w:rPr>
                <w:sz w:val="20"/>
              </w:rPr>
              <w:t xml:space="preserve">Пренатальный скрининг на хромосомные нарушения. Скрининг I триместра (расчет риска на основе данных биохимии и УЗИ)</w:t>
            </w:r>
          </w:p>
        </w:tc>
        <w:tc>
          <w:tcPr>
            <w:tcW w:w="857" w:type="dxa"/>
          </w:tcPr>
          <w:p>
            <w:pPr>
              <w:pStyle w:val="0"/>
            </w:pPr>
            <w:r>
              <w:rPr>
                <w:sz w:val="20"/>
              </w:rPr>
              <w:t xml:space="preserve">да</w:t>
            </w:r>
          </w:p>
        </w:tc>
        <w:tc>
          <w:tcPr>
            <w:tcW w:w="5329" w:type="dxa"/>
          </w:tcPr>
          <w:p>
            <w:pPr>
              <w:pStyle w:val="0"/>
            </w:pPr>
            <w:r>
              <w:rPr>
                <w:sz w:val="20"/>
              </w:rPr>
              <w:t xml:space="preserve">16938</w:t>
            </w:r>
          </w:p>
        </w:tc>
      </w:tr>
      <w:tr>
        <w:tc>
          <w:tcPr>
            <w:tcW w:w="2779" w:type="dxa"/>
          </w:tcPr>
          <w:p>
            <w:pPr>
              <w:pStyle w:val="0"/>
            </w:pPr>
            <w:r>
              <w:rPr>
                <w:sz w:val="20"/>
              </w:rPr>
              <w:t xml:space="preserve">Пренатальный скрининг на хромосомные нарушения. Неинвазивный пренатальный скрининг по внеклеточной ДНК плода в крови матери (НИПС)</w:t>
            </w:r>
          </w:p>
        </w:tc>
        <w:tc>
          <w:tcPr>
            <w:tcW w:w="857" w:type="dxa"/>
          </w:tcPr>
          <w:p>
            <w:pPr>
              <w:pStyle w:val="0"/>
            </w:pPr>
            <w:r>
              <w:rPr>
                <w:sz w:val="20"/>
              </w:rPr>
              <w:t xml:space="preserve">нет</w:t>
            </w:r>
          </w:p>
        </w:tc>
        <w:tc>
          <w:tcPr>
            <w:tcW w:w="5329" w:type="dxa"/>
          </w:tcPr>
          <w:p>
            <w:pPr>
              <w:pStyle w:val="0"/>
            </w:pPr>
            <w:r>
              <w:rPr>
                <w:sz w:val="20"/>
              </w:rPr>
              <w:t xml:space="preserve">0</w:t>
            </w:r>
          </w:p>
        </w:tc>
      </w:tr>
      <w:tr>
        <w:tc>
          <w:tcPr>
            <w:tcW w:w="2779" w:type="dxa"/>
          </w:tcPr>
          <w:p>
            <w:pPr>
              <w:pStyle w:val="0"/>
            </w:pPr>
            <w:r>
              <w:rPr>
                <w:sz w:val="20"/>
              </w:rPr>
              <w:t xml:space="preserve">Ранняя инвазивная пренатальная диагностика (решение вопроса о пролонгировании беременности)</w:t>
            </w:r>
          </w:p>
        </w:tc>
        <w:tc>
          <w:tcPr>
            <w:tcW w:w="857" w:type="dxa"/>
          </w:tcPr>
          <w:p>
            <w:pPr>
              <w:pStyle w:val="0"/>
            </w:pPr>
            <w:r>
              <w:rPr>
                <w:sz w:val="20"/>
              </w:rPr>
              <w:t xml:space="preserve">да</w:t>
            </w:r>
          </w:p>
        </w:tc>
        <w:tc>
          <w:tcPr>
            <w:tcW w:w="5329" w:type="dxa"/>
          </w:tcPr>
          <w:p>
            <w:pPr>
              <w:pStyle w:val="0"/>
            </w:pPr>
            <w:r>
              <w:rPr>
                <w:sz w:val="20"/>
              </w:rPr>
              <w:t xml:space="preserve">319</w:t>
            </w:r>
          </w:p>
        </w:tc>
      </w:tr>
      <w:tr>
        <w:tc>
          <w:tcPr>
            <w:tcW w:w="2779" w:type="dxa"/>
          </w:tcPr>
          <w:p>
            <w:pPr>
              <w:pStyle w:val="0"/>
            </w:pPr>
            <w:r>
              <w:rPr>
                <w:sz w:val="20"/>
              </w:rPr>
              <w:t xml:space="preserve">Инвазивная пренатальная диагностика на поздних сроках беременности с целью постановки диагноза и раннего начала терапии (в т.ч. в пренатальном периоде)</w:t>
            </w:r>
          </w:p>
        </w:tc>
        <w:tc>
          <w:tcPr>
            <w:tcW w:w="857" w:type="dxa"/>
          </w:tcPr>
          <w:p>
            <w:pPr>
              <w:pStyle w:val="0"/>
            </w:pPr>
            <w:r>
              <w:rPr>
                <w:sz w:val="20"/>
              </w:rPr>
              <w:t xml:space="preserve">нет</w:t>
            </w:r>
          </w:p>
        </w:tc>
        <w:tc>
          <w:tcPr>
            <w:tcW w:w="5329" w:type="dxa"/>
          </w:tcPr>
          <w:p>
            <w:pPr>
              <w:pStyle w:val="0"/>
            </w:pPr>
            <w:r>
              <w:rPr>
                <w:sz w:val="20"/>
              </w:rPr>
              <w:t xml:space="preserve">0</w:t>
            </w:r>
          </w:p>
        </w:tc>
      </w:tr>
      <w:tr>
        <w:tc>
          <w:tcPr>
            <w:tcW w:w="2779" w:type="dxa"/>
          </w:tcPr>
          <w:p>
            <w:pPr>
              <w:pStyle w:val="0"/>
            </w:pPr>
            <w:r>
              <w:rPr>
                <w:sz w:val="20"/>
              </w:rPr>
              <w:t xml:space="preserve">Инвазивные диагностические процедуры:</w:t>
            </w:r>
          </w:p>
        </w:tc>
        <w:tc>
          <w:tcPr>
            <w:tcW w:w="857" w:type="dxa"/>
          </w:tcPr>
          <w:p>
            <w:pPr>
              <w:pStyle w:val="0"/>
            </w:pPr>
            <w:r>
              <w:rPr>
                <w:sz w:val="20"/>
              </w:rPr>
            </w:r>
          </w:p>
        </w:tc>
        <w:tc>
          <w:tcPr>
            <w:tcW w:w="5329" w:type="dxa"/>
          </w:tcPr>
          <w:p>
            <w:pPr>
              <w:pStyle w:val="0"/>
            </w:pPr>
            <w:r>
              <w:rPr>
                <w:sz w:val="20"/>
              </w:rPr>
            </w:r>
          </w:p>
        </w:tc>
      </w:tr>
      <w:tr>
        <w:tc>
          <w:tcPr>
            <w:tcW w:w="2779" w:type="dxa"/>
          </w:tcPr>
          <w:p>
            <w:pPr>
              <w:pStyle w:val="0"/>
            </w:pPr>
            <w:r>
              <w:rPr>
                <w:sz w:val="20"/>
              </w:rPr>
              <w:t xml:space="preserve">биопсия хориона</w:t>
            </w:r>
          </w:p>
        </w:tc>
        <w:tc>
          <w:tcPr>
            <w:tcW w:w="857" w:type="dxa"/>
          </w:tcPr>
          <w:p>
            <w:pPr>
              <w:pStyle w:val="0"/>
            </w:pPr>
            <w:r>
              <w:rPr>
                <w:sz w:val="20"/>
              </w:rPr>
              <w:t xml:space="preserve">да</w:t>
            </w:r>
          </w:p>
        </w:tc>
        <w:tc>
          <w:tcPr>
            <w:tcW w:w="5329" w:type="dxa"/>
          </w:tcPr>
          <w:p>
            <w:pPr>
              <w:pStyle w:val="0"/>
            </w:pPr>
            <w:r>
              <w:rPr>
                <w:sz w:val="20"/>
              </w:rPr>
              <w:t xml:space="preserve">173</w:t>
            </w:r>
          </w:p>
        </w:tc>
      </w:tr>
      <w:tr>
        <w:tc>
          <w:tcPr>
            <w:tcW w:w="2779" w:type="dxa"/>
          </w:tcPr>
          <w:p>
            <w:pPr>
              <w:pStyle w:val="0"/>
            </w:pPr>
            <w:r>
              <w:rPr>
                <w:sz w:val="20"/>
              </w:rPr>
              <w:t xml:space="preserve">плацентоцентез</w:t>
            </w:r>
          </w:p>
        </w:tc>
        <w:tc>
          <w:tcPr>
            <w:tcW w:w="857" w:type="dxa"/>
          </w:tcPr>
          <w:p>
            <w:pPr>
              <w:pStyle w:val="0"/>
            </w:pPr>
            <w:r>
              <w:rPr>
                <w:sz w:val="20"/>
              </w:rPr>
              <w:t xml:space="preserve">да</w:t>
            </w:r>
          </w:p>
        </w:tc>
        <w:tc>
          <w:tcPr>
            <w:tcW w:w="5329" w:type="dxa"/>
          </w:tcPr>
          <w:p>
            <w:pPr>
              <w:pStyle w:val="0"/>
            </w:pPr>
            <w:r>
              <w:rPr>
                <w:sz w:val="20"/>
              </w:rPr>
              <w:t xml:space="preserve">78</w:t>
            </w:r>
          </w:p>
        </w:tc>
      </w:tr>
      <w:tr>
        <w:tc>
          <w:tcPr>
            <w:tcW w:w="2779" w:type="dxa"/>
          </w:tcPr>
          <w:p>
            <w:pPr>
              <w:pStyle w:val="0"/>
            </w:pPr>
            <w:r>
              <w:rPr>
                <w:sz w:val="20"/>
              </w:rPr>
              <w:t xml:space="preserve">амниоцентез</w:t>
            </w:r>
          </w:p>
        </w:tc>
        <w:tc>
          <w:tcPr>
            <w:tcW w:w="857" w:type="dxa"/>
          </w:tcPr>
          <w:p>
            <w:pPr>
              <w:pStyle w:val="0"/>
            </w:pPr>
            <w:r>
              <w:rPr>
                <w:sz w:val="20"/>
              </w:rPr>
              <w:t xml:space="preserve">да</w:t>
            </w:r>
          </w:p>
        </w:tc>
        <w:tc>
          <w:tcPr>
            <w:tcW w:w="5329" w:type="dxa"/>
          </w:tcPr>
          <w:p>
            <w:pPr>
              <w:pStyle w:val="0"/>
            </w:pPr>
            <w:r>
              <w:rPr>
                <w:sz w:val="20"/>
              </w:rPr>
              <w:t xml:space="preserve">42</w:t>
            </w:r>
          </w:p>
        </w:tc>
      </w:tr>
      <w:tr>
        <w:tc>
          <w:tcPr>
            <w:tcW w:w="2779" w:type="dxa"/>
          </w:tcPr>
          <w:p>
            <w:pPr>
              <w:pStyle w:val="0"/>
            </w:pPr>
            <w:r>
              <w:rPr>
                <w:sz w:val="20"/>
              </w:rPr>
              <w:t xml:space="preserve">кордоцентез</w:t>
            </w:r>
          </w:p>
        </w:tc>
        <w:tc>
          <w:tcPr>
            <w:tcW w:w="857" w:type="dxa"/>
          </w:tcPr>
          <w:p>
            <w:pPr>
              <w:pStyle w:val="0"/>
            </w:pPr>
            <w:r>
              <w:rPr>
                <w:sz w:val="20"/>
              </w:rPr>
              <w:t xml:space="preserve">да</w:t>
            </w:r>
          </w:p>
        </w:tc>
        <w:tc>
          <w:tcPr>
            <w:tcW w:w="5329" w:type="dxa"/>
          </w:tcPr>
          <w:p>
            <w:pPr>
              <w:pStyle w:val="0"/>
            </w:pPr>
            <w:r>
              <w:rPr>
                <w:sz w:val="20"/>
              </w:rPr>
              <w:t xml:space="preserve">26</w:t>
            </w:r>
          </w:p>
        </w:tc>
      </w:tr>
      <w:tr>
        <w:tc>
          <w:tcPr>
            <w:tcW w:w="2779" w:type="dxa"/>
          </w:tcPr>
          <w:p>
            <w:pPr>
              <w:pStyle w:val="0"/>
            </w:pPr>
            <w:r>
              <w:rPr>
                <w:sz w:val="20"/>
              </w:rPr>
              <w:t xml:space="preserve">Исследование биоматериала плода при замерших/прерванных беременностях (включая антенатальную гибель) с целью выявления причин для планирования следующих беременностей</w:t>
            </w:r>
          </w:p>
        </w:tc>
        <w:tc>
          <w:tcPr>
            <w:tcW w:w="857" w:type="dxa"/>
          </w:tcPr>
          <w:p>
            <w:pPr>
              <w:pStyle w:val="0"/>
            </w:pPr>
            <w:r>
              <w:rPr>
                <w:sz w:val="20"/>
              </w:rPr>
              <w:t xml:space="preserve">да</w:t>
            </w:r>
          </w:p>
        </w:tc>
        <w:tc>
          <w:tcPr>
            <w:tcW w:w="5329" w:type="dxa"/>
          </w:tcPr>
          <w:p>
            <w:pPr>
              <w:pStyle w:val="0"/>
            </w:pPr>
            <w:r>
              <w:rPr>
                <w:sz w:val="20"/>
              </w:rPr>
              <w:t xml:space="preserve">117</w:t>
            </w:r>
          </w:p>
        </w:tc>
      </w:tr>
      <w:tr>
        <w:tc>
          <w:tcPr>
            <w:tcW w:w="2779" w:type="dxa"/>
          </w:tcPr>
          <w:p>
            <w:pPr>
              <w:pStyle w:val="0"/>
            </w:pPr>
            <w:r>
              <w:rPr>
                <w:sz w:val="20"/>
              </w:rPr>
              <w:t xml:space="preserve">Консультирование супружеских пар с бесплодием</w:t>
            </w:r>
          </w:p>
          <w:p>
            <w:pPr>
              <w:pStyle w:val="0"/>
            </w:pPr>
            <w:r>
              <w:rPr>
                <w:sz w:val="20"/>
              </w:rPr>
              <w:t xml:space="preserve">(и) в пределах программ ВРТ</w:t>
            </w:r>
          </w:p>
        </w:tc>
        <w:tc>
          <w:tcPr>
            <w:tcW w:w="857" w:type="dxa"/>
          </w:tcPr>
          <w:p>
            <w:pPr>
              <w:pStyle w:val="0"/>
            </w:pPr>
            <w:r>
              <w:rPr>
                <w:sz w:val="20"/>
              </w:rPr>
              <w:t xml:space="preserve">да</w:t>
            </w:r>
          </w:p>
        </w:tc>
        <w:tc>
          <w:tcPr>
            <w:tcW w:w="5329" w:type="dxa"/>
          </w:tcPr>
          <w:p>
            <w:pPr>
              <w:pStyle w:val="0"/>
            </w:pPr>
            <w:r>
              <w:rPr>
                <w:sz w:val="20"/>
              </w:rPr>
              <w:t xml:space="preserve">487</w:t>
            </w:r>
          </w:p>
        </w:tc>
      </w:tr>
      <w:tr>
        <w:tc>
          <w:tcPr>
            <w:tcW w:w="2779" w:type="dxa"/>
          </w:tcPr>
          <w:p>
            <w:pPr>
              <w:pStyle w:val="0"/>
            </w:pPr>
            <w:r>
              <w:rPr>
                <w:sz w:val="20"/>
              </w:rPr>
              <w:t xml:space="preserve">Неонатальный генетический скрининг</w:t>
            </w:r>
          </w:p>
        </w:tc>
        <w:tc>
          <w:tcPr>
            <w:tcW w:w="857" w:type="dxa"/>
          </w:tcPr>
          <w:p>
            <w:pPr>
              <w:pStyle w:val="0"/>
            </w:pPr>
            <w:r>
              <w:rPr>
                <w:sz w:val="20"/>
              </w:rPr>
              <w:t xml:space="preserve">нет</w:t>
            </w:r>
          </w:p>
        </w:tc>
        <w:tc>
          <w:tcPr>
            <w:tcW w:w="5329" w:type="dxa"/>
          </w:tcPr>
          <w:p>
            <w:pPr>
              <w:pStyle w:val="0"/>
            </w:pPr>
            <w:r>
              <w:rPr>
                <w:sz w:val="20"/>
              </w:rPr>
              <w:t xml:space="preserve">0</w:t>
            </w:r>
          </w:p>
        </w:tc>
      </w:tr>
      <w:tr>
        <w:tc>
          <w:tcPr>
            <w:tcW w:w="2779" w:type="dxa"/>
          </w:tcPr>
          <w:p>
            <w:pPr>
              <w:pStyle w:val="0"/>
            </w:pPr>
            <w:r>
              <w:rPr>
                <w:sz w:val="20"/>
              </w:rPr>
              <w:t xml:space="preserve">Прочее:</w:t>
            </w:r>
          </w:p>
        </w:tc>
        <w:tc>
          <w:tcPr>
            <w:tcW w:w="857" w:type="dxa"/>
          </w:tcPr>
          <w:p>
            <w:pPr>
              <w:pStyle w:val="0"/>
            </w:pPr>
            <w:r>
              <w:rPr>
                <w:sz w:val="20"/>
              </w:rPr>
            </w:r>
          </w:p>
        </w:tc>
        <w:tc>
          <w:tcPr>
            <w:tcW w:w="5329" w:type="dxa"/>
          </w:tcPr>
          <w:p>
            <w:pPr>
              <w:pStyle w:val="0"/>
            </w:pPr>
            <w:r>
              <w:rPr>
                <w:sz w:val="20"/>
              </w:rPr>
            </w:r>
          </w:p>
        </w:tc>
      </w:tr>
      <w:tr>
        <w:tc>
          <w:tcPr>
            <w:tcW w:w="2779" w:type="dxa"/>
          </w:tcPr>
          <w:p>
            <w:pPr>
              <w:pStyle w:val="0"/>
            </w:pPr>
            <w:r>
              <w:rPr>
                <w:sz w:val="20"/>
              </w:rPr>
              <w:t xml:space="preserve">консультативные приемы детского эндокринолога</w:t>
            </w:r>
          </w:p>
        </w:tc>
        <w:tc>
          <w:tcPr>
            <w:tcW w:w="857" w:type="dxa"/>
          </w:tcPr>
          <w:p>
            <w:pPr>
              <w:pStyle w:val="0"/>
            </w:pPr>
            <w:r>
              <w:rPr>
                <w:sz w:val="20"/>
              </w:rPr>
              <w:t xml:space="preserve">да</w:t>
            </w:r>
          </w:p>
        </w:tc>
        <w:tc>
          <w:tcPr>
            <w:tcW w:w="5329" w:type="dxa"/>
          </w:tcPr>
          <w:p>
            <w:pPr>
              <w:pStyle w:val="0"/>
            </w:pPr>
            <w:r>
              <w:rPr>
                <w:sz w:val="20"/>
              </w:rPr>
              <w:t xml:space="preserve">3419</w:t>
            </w:r>
          </w:p>
        </w:tc>
      </w:tr>
      <w:tr>
        <w:tc>
          <w:tcPr>
            <w:tcW w:w="2779" w:type="dxa"/>
          </w:tcPr>
          <w:p>
            <w:pPr>
              <w:pStyle w:val="0"/>
            </w:pPr>
            <w:r>
              <w:rPr>
                <w:sz w:val="20"/>
              </w:rPr>
              <w:t xml:space="preserve">консультативные приемы диетолога</w:t>
            </w:r>
          </w:p>
        </w:tc>
        <w:tc>
          <w:tcPr>
            <w:tcW w:w="857" w:type="dxa"/>
          </w:tcPr>
          <w:p>
            <w:pPr>
              <w:pStyle w:val="0"/>
            </w:pPr>
            <w:r>
              <w:rPr>
                <w:sz w:val="20"/>
              </w:rPr>
              <w:t xml:space="preserve">да</w:t>
            </w:r>
          </w:p>
        </w:tc>
        <w:tc>
          <w:tcPr>
            <w:tcW w:w="5329" w:type="dxa"/>
          </w:tcPr>
          <w:p>
            <w:pPr>
              <w:pStyle w:val="0"/>
            </w:pPr>
            <w:r>
              <w:rPr>
                <w:sz w:val="20"/>
              </w:rPr>
              <w:t xml:space="preserve">4029</w:t>
            </w:r>
          </w:p>
        </w:tc>
      </w:tr>
      <w:tr>
        <w:tc>
          <w:tcPr>
            <w:tcW w:w="2779" w:type="dxa"/>
          </w:tcPr>
          <w:p>
            <w:pPr>
              <w:pStyle w:val="0"/>
            </w:pPr>
            <w:r>
              <w:rPr>
                <w:sz w:val="20"/>
              </w:rPr>
              <w:t xml:space="preserve">консультативные приемы медицинского психолога</w:t>
            </w:r>
          </w:p>
        </w:tc>
        <w:tc>
          <w:tcPr>
            <w:tcW w:w="857" w:type="dxa"/>
          </w:tcPr>
          <w:p>
            <w:pPr>
              <w:pStyle w:val="0"/>
            </w:pPr>
            <w:r>
              <w:rPr>
                <w:sz w:val="20"/>
              </w:rPr>
              <w:t xml:space="preserve">да</w:t>
            </w:r>
          </w:p>
        </w:tc>
        <w:tc>
          <w:tcPr>
            <w:tcW w:w="5329" w:type="dxa"/>
          </w:tcPr>
          <w:p>
            <w:pPr>
              <w:pStyle w:val="0"/>
            </w:pPr>
            <w:r>
              <w:rPr>
                <w:sz w:val="20"/>
              </w:rPr>
              <w:t xml:space="preserve">1964</w:t>
            </w:r>
          </w:p>
        </w:tc>
      </w:tr>
      <w:tr>
        <w:tc>
          <w:tcPr>
            <w:tcW w:w="2779" w:type="dxa"/>
          </w:tcPr>
          <w:p>
            <w:pPr>
              <w:pStyle w:val="0"/>
            </w:pPr>
            <w:r>
              <w:rPr>
                <w:sz w:val="20"/>
              </w:rPr>
              <w:t xml:space="preserve">консультативные приемы акушера-гинеколога</w:t>
            </w:r>
          </w:p>
        </w:tc>
        <w:tc>
          <w:tcPr>
            <w:tcW w:w="857" w:type="dxa"/>
          </w:tcPr>
          <w:p>
            <w:pPr>
              <w:pStyle w:val="0"/>
            </w:pPr>
            <w:r>
              <w:rPr>
                <w:sz w:val="20"/>
              </w:rPr>
              <w:t xml:space="preserve">да</w:t>
            </w:r>
          </w:p>
        </w:tc>
        <w:tc>
          <w:tcPr>
            <w:tcW w:w="5329" w:type="dxa"/>
          </w:tcPr>
          <w:p>
            <w:pPr>
              <w:pStyle w:val="0"/>
            </w:pPr>
            <w:r>
              <w:rPr>
                <w:sz w:val="20"/>
              </w:rPr>
              <w:t xml:space="preserve">2628</w:t>
            </w:r>
          </w:p>
        </w:tc>
      </w:tr>
      <w:tr>
        <w:tc>
          <w:tcPr>
            <w:tcW w:w="2779" w:type="dxa"/>
          </w:tcPr>
          <w:p>
            <w:pPr>
              <w:pStyle w:val="0"/>
            </w:pPr>
            <w:r>
              <w:rPr>
                <w:sz w:val="20"/>
              </w:rPr>
              <w:t xml:space="preserve">консультативные приемы невролога (дети)</w:t>
            </w:r>
          </w:p>
        </w:tc>
        <w:tc>
          <w:tcPr>
            <w:tcW w:w="857" w:type="dxa"/>
          </w:tcPr>
          <w:p>
            <w:pPr>
              <w:pStyle w:val="0"/>
            </w:pPr>
            <w:r>
              <w:rPr>
                <w:sz w:val="20"/>
              </w:rPr>
              <w:t xml:space="preserve">да</w:t>
            </w:r>
          </w:p>
        </w:tc>
        <w:tc>
          <w:tcPr>
            <w:tcW w:w="5329" w:type="dxa"/>
          </w:tcPr>
          <w:p>
            <w:pPr>
              <w:pStyle w:val="0"/>
            </w:pPr>
            <w:r>
              <w:rPr>
                <w:sz w:val="20"/>
              </w:rPr>
              <w:t xml:space="preserve">3351</w:t>
            </w:r>
          </w:p>
        </w:tc>
      </w:tr>
      <w:tr>
        <w:tc>
          <w:tcPr>
            <w:tcW w:w="2779" w:type="dxa"/>
          </w:tcPr>
          <w:p>
            <w:pPr>
              <w:pStyle w:val="0"/>
            </w:pPr>
            <w:r>
              <w:rPr>
                <w:sz w:val="20"/>
              </w:rPr>
              <w:t xml:space="preserve">2. Лабораторная деятельность / методическая</w:t>
            </w:r>
          </w:p>
          <w:p>
            <w:pPr>
              <w:pStyle w:val="0"/>
            </w:pPr>
            <w:r>
              <w:rPr>
                <w:sz w:val="20"/>
              </w:rPr>
              <w:t xml:space="preserve">оснащенность</w:t>
            </w:r>
          </w:p>
        </w:tc>
        <w:tc>
          <w:tcPr>
            <w:tcW w:w="857" w:type="dxa"/>
          </w:tcPr>
          <w:p>
            <w:pPr>
              <w:pStyle w:val="0"/>
            </w:pPr>
            <w:r>
              <w:rPr>
                <w:sz w:val="20"/>
              </w:rPr>
              <w:t xml:space="preserve">да/нет</w:t>
            </w:r>
          </w:p>
        </w:tc>
        <w:tc>
          <w:tcPr>
            <w:tcW w:w="5329" w:type="dxa"/>
          </w:tcPr>
          <w:p>
            <w:pPr>
              <w:pStyle w:val="0"/>
            </w:pPr>
            <w:r>
              <w:rPr>
                <w:sz w:val="20"/>
              </w:rPr>
              <w:t xml:space="preserve">Количество в год</w:t>
            </w:r>
          </w:p>
        </w:tc>
      </w:tr>
      <w:tr>
        <w:tc>
          <w:tcPr>
            <w:tcW w:w="2779" w:type="dxa"/>
          </w:tcPr>
          <w:p>
            <w:pPr>
              <w:pStyle w:val="0"/>
            </w:pPr>
            <w:r>
              <w:rPr>
                <w:sz w:val="20"/>
              </w:rPr>
              <w:t xml:space="preserve">Кариотипирование (цитогенетика)</w:t>
            </w:r>
          </w:p>
        </w:tc>
        <w:tc>
          <w:tcPr>
            <w:tcW w:w="857" w:type="dxa"/>
          </w:tcPr>
          <w:p>
            <w:pPr>
              <w:pStyle w:val="0"/>
            </w:pPr>
            <w:r>
              <w:rPr>
                <w:sz w:val="20"/>
              </w:rPr>
              <w:t xml:space="preserve">да</w:t>
            </w:r>
          </w:p>
        </w:tc>
        <w:tc>
          <w:tcPr>
            <w:tcW w:w="5329" w:type="dxa"/>
          </w:tcPr>
          <w:p>
            <w:pPr>
              <w:pStyle w:val="0"/>
            </w:pPr>
            <w:r>
              <w:rPr>
                <w:sz w:val="20"/>
              </w:rPr>
              <w:t xml:space="preserve">2108</w:t>
            </w:r>
          </w:p>
        </w:tc>
      </w:tr>
      <w:tr>
        <w:tc>
          <w:tcPr>
            <w:tcW w:w="2779" w:type="dxa"/>
          </w:tcPr>
          <w:p>
            <w:pPr>
              <w:pStyle w:val="0"/>
            </w:pPr>
            <w:r>
              <w:rPr>
                <w:sz w:val="20"/>
              </w:rPr>
              <w:t xml:space="preserve">в том числе супружеские пары</w:t>
            </w:r>
          </w:p>
        </w:tc>
        <w:tc>
          <w:tcPr>
            <w:tcW w:w="857" w:type="dxa"/>
          </w:tcPr>
          <w:p>
            <w:pPr>
              <w:pStyle w:val="0"/>
            </w:pPr>
            <w:r>
              <w:rPr>
                <w:sz w:val="20"/>
              </w:rPr>
              <w:t xml:space="preserve">да</w:t>
            </w:r>
          </w:p>
        </w:tc>
        <w:tc>
          <w:tcPr>
            <w:tcW w:w="5329" w:type="dxa"/>
          </w:tcPr>
          <w:p>
            <w:pPr>
              <w:pStyle w:val="0"/>
            </w:pPr>
            <w:r>
              <w:rPr>
                <w:sz w:val="20"/>
              </w:rPr>
              <w:t xml:space="preserve">351</w:t>
            </w:r>
          </w:p>
        </w:tc>
      </w:tr>
      <w:tr>
        <w:tc>
          <w:tcPr>
            <w:tcW w:w="2779" w:type="dxa"/>
          </w:tcPr>
          <w:p>
            <w:pPr>
              <w:pStyle w:val="0"/>
            </w:pPr>
            <w:r>
              <w:rPr>
                <w:sz w:val="20"/>
              </w:rPr>
              <w:t xml:space="preserve">в том числе пренатально</w:t>
            </w:r>
          </w:p>
        </w:tc>
        <w:tc>
          <w:tcPr>
            <w:tcW w:w="857" w:type="dxa"/>
          </w:tcPr>
          <w:p>
            <w:pPr>
              <w:pStyle w:val="0"/>
            </w:pPr>
            <w:r>
              <w:rPr>
                <w:sz w:val="20"/>
              </w:rPr>
              <w:t xml:space="preserve">да</w:t>
            </w:r>
          </w:p>
        </w:tc>
        <w:tc>
          <w:tcPr>
            <w:tcW w:w="5329" w:type="dxa"/>
          </w:tcPr>
          <w:p>
            <w:pPr>
              <w:pStyle w:val="0"/>
            </w:pPr>
            <w:r>
              <w:rPr>
                <w:sz w:val="20"/>
              </w:rPr>
              <w:t xml:space="preserve">311</w:t>
            </w:r>
          </w:p>
        </w:tc>
      </w:tr>
      <w:tr>
        <w:tc>
          <w:tcPr>
            <w:tcW w:w="2779" w:type="dxa"/>
          </w:tcPr>
          <w:p>
            <w:pPr>
              <w:pStyle w:val="0"/>
            </w:pPr>
            <w:r>
              <w:rPr>
                <w:sz w:val="20"/>
              </w:rPr>
              <w:t xml:space="preserve">в том числе новорожденные</w:t>
            </w:r>
          </w:p>
        </w:tc>
        <w:tc>
          <w:tcPr>
            <w:tcW w:w="857" w:type="dxa"/>
          </w:tcPr>
          <w:p>
            <w:pPr>
              <w:pStyle w:val="0"/>
            </w:pPr>
            <w:r>
              <w:rPr>
                <w:sz w:val="20"/>
              </w:rPr>
              <w:t xml:space="preserve">да</w:t>
            </w:r>
          </w:p>
        </w:tc>
        <w:tc>
          <w:tcPr>
            <w:tcW w:w="5329" w:type="dxa"/>
          </w:tcPr>
          <w:p>
            <w:pPr>
              <w:pStyle w:val="0"/>
            </w:pPr>
            <w:r>
              <w:rPr>
                <w:sz w:val="20"/>
              </w:rPr>
              <w:t xml:space="preserve">71</w:t>
            </w:r>
          </w:p>
        </w:tc>
      </w:tr>
      <w:tr>
        <w:tc>
          <w:tcPr>
            <w:tcW w:w="2779" w:type="dxa"/>
          </w:tcPr>
          <w:p>
            <w:pPr>
              <w:pStyle w:val="0"/>
            </w:pPr>
            <w:r>
              <w:rPr>
                <w:sz w:val="20"/>
              </w:rPr>
              <w:t xml:space="preserve">FISH</w:t>
            </w:r>
          </w:p>
        </w:tc>
        <w:tc>
          <w:tcPr>
            <w:tcW w:w="857" w:type="dxa"/>
          </w:tcPr>
          <w:p>
            <w:pPr>
              <w:pStyle w:val="0"/>
            </w:pPr>
            <w:r>
              <w:rPr>
                <w:sz w:val="20"/>
              </w:rPr>
              <w:t xml:space="preserve">да</w:t>
            </w:r>
          </w:p>
        </w:tc>
        <w:tc>
          <w:tcPr>
            <w:tcW w:w="5329" w:type="dxa"/>
          </w:tcPr>
          <w:p>
            <w:pPr>
              <w:pStyle w:val="0"/>
            </w:pPr>
            <w:r>
              <w:rPr>
                <w:sz w:val="20"/>
              </w:rPr>
              <w:t xml:space="preserve">26</w:t>
            </w:r>
          </w:p>
        </w:tc>
      </w:tr>
      <w:tr>
        <w:tc>
          <w:tcPr>
            <w:tcW w:w="2779" w:type="dxa"/>
          </w:tcPr>
          <w:p>
            <w:pPr>
              <w:pStyle w:val="0"/>
            </w:pPr>
            <w:r>
              <w:rPr>
                <w:sz w:val="20"/>
              </w:rPr>
              <w:t xml:space="preserve">в том числе супружеские пары</w:t>
            </w:r>
          </w:p>
        </w:tc>
        <w:tc>
          <w:tcPr>
            <w:tcW w:w="857" w:type="dxa"/>
          </w:tcPr>
          <w:p>
            <w:pPr>
              <w:pStyle w:val="0"/>
            </w:pPr>
            <w:r>
              <w:rPr>
                <w:sz w:val="20"/>
              </w:rPr>
              <w:t xml:space="preserve">да</w:t>
            </w:r>
          </w:p>
        </w:tc>
        <w:tc>
          <w:tcPr>
            <w:tcW w:w="5329" w:type="dxa"/>
          </w:tcPr>
          <w:p>
            <w:pPr>
              <w:pStyle w:val="0"/>
            </w:pPr>
            <w:r>
              <w:rPr>
                <w:sz w:val="20"/>
              </w:rPr>
              <w:t xml:space="preserve">6</w:t>
            </w:r>
          </w:p>
        </w:tc>
      </w:tr>
      <w:tr>
        <w:tc>
          <w:tcPr>
            <w:tcW w:w="2779" w:type="dxa"/>
          </w:tcPr>
          <w:p>
            <w:pPr>
              <w:pStyle w:val="0"/>
            </w:pPr>
            <w:r>
              <w:rPr>
                <w:sz w:val="20"/>
              </w:rPr>
              <w:t xml:space="preserve">в том числе пренатально</w:t>
            </w:r>
          </w:p>
        </w:tc>
        <w:tc>
          <w:tcPr>
            <w:tcW w:w="857" w:type="dxa"/>
          </w:tcPr>
          <w:p>
            <w:pPr>
              <w:pStyle w:val="0"/>
            </w:pPr>
            <w:r>
              <w:rPr>
                <w:sz w:val="20"/>
              </w:rPr>
              <w:t xml:space="preserve">да</w:t>
            </w:r>
          </w:p>
        </w:tc>
        <w:tc>
          <w:tcPr>
            <w:tcW w:w="5329" w:type="dxa"/>
          </w:tcPr>
          <w:p>
            <w:pPr>
              <w:pStyle w:val="0"/>
            </w:pPr>
            <w:r>
              <w:rPr>
                <w:sz w:val="20"/>
              </w:rPr>
              <w:t xml:space="preserve">0</w:t>
            </w:r>
          </w:p>
        </w:tc>
      </w:tr>
      <w:tr>
        <w:tc>
          <w:tcPr>
            <w:tcW w:w="2779" w:type="dxa"/>
          </w:tcPr>
          <w:p>
            <w:pPr>
              <w:pStyle w:val="0"/>
            </w:pPr>
            <w:r>
              <w:rPr>
                <w:sz w:val="20"/>
              </w:rPr>
              <w:t xml:space="preserve">в том числе новорожденные</w:t>
            </w:r>
          </w:p>
        </w:tc>
        <w:tc>
          <w:tcPr>
            <w:tcW w:w="857" w:type="dxa"/>
          </w:tcPr>
          <w:p>
            <w:pPr>
              <w:pStyle w:val="0"/>
            </w:pPr>
            <w:r>
              <w:rPr>
                <w:sz w:val="20"/>
              </w:rPr>
              <w:t xml:space="preserve">да</w:t>
            </w:r>
          </w:p>
        </w:tc>
        <w:tc>
          <w:tcPr>
            <w:tcW w:w="5329" w:type="dxa"/>
          </w:tcPr>
          <w:p>
            <w:pPr>
              <w:pStyle w:val="0"/>
            </w:pPr>
            <w:r>
              <w:rPr>
                <w:sz w:val="20"/>
              </w:rPr>
              <w:t xml:space="preserve">20</w:t>
            </w:r>
          </w:p>
        </w:tc>
      </w:tr>
      <w:tr>
        <w:tc>
          <w:tcPr>
            <w:tcW w:w="2779" w:type="dxa"/>
          </w:tcPr>
          <w:p>
            <w:pPr>
              <w:pStyle w:val="0"/>
            </w:pPr>
            <w:r>
              <w:rPr>
                <w:sz w:val="20"/>
              </w:rPr>
              <w:t xml:space="preserve">в том числе в ходе ПГТ</w:t>
            </w:r>
          </w:p>
        </w:tc>
        <w:tc>
          <w:tcPr>
            <w:tcW w:w="857" w:type="dxa"/>
          </w:tcPr>
          <w:p>
            <w:pPr>
              <w:pStyle w:val="0"/>
            </w:pPr>
            <w:r>
              <w:rPr>
                <w:sz w:val="20"/>
              </w:rPr>
              <w:t xml:space="preserve">нет</w:t>
            </w:r>
          </w:p>
        </w:tc>
        <w:tc>
          <w:tcPr>
            <w:tcW w:w="5329" w:type="dxa"/>
          </w:tcPr>
          <w:p>
            <w:pPr>
              <w:pStyle w:val="0"/>
            </w:pPr>
            <w:r>
              <w:rPr>
                <w:sz w:val="20"/>
              </w:rPr>
            </w:r>
          </w:p>
        </w:tc>
      </w:tr>
      <w:tr>
        <w:tc>
          <w:tcPr>
            <w:tcW w:w="2779" w:type="dxa"/>
          </w:tcPr>
          <w:p>
            <w:pPr>
              <w:pStyle w:val="0"/>
            </w:pPr>
            <w:r>
              <w:rPr>
                <w:sz w:val="20"/>
              </w:rPr>
              <w:t xml:space="preserve">ПЦР диагностика наследственных заболеваний</w:t>
            </w:r>
          </w:p>
        </w:tc>
        <w:tc>
          <w:tcPr>
            <w:tcW w:w="857" w:type="dxa"/>
          </w:tcPr>
          <w:p>
            <w:pPr>
              <w:pStyle w:val="0"/>
            </w:pPr>
            <w:r>
              <w:rPr>
                <w:sz w:val="20"/>
              </w:rPr>
              <w:t xml:space="preserve">да</w:t>
            </w:r>
          </w:p>
        </w:tc>
        <w:tc>
          <w:tcPr>
            <w:tcW w:w="5329" w:type="dxa"/>
          </w:tcPr>
          <w:p>
            <w:pPr>
              <w:pStyle w:val="0"/>
            </w:pPr>
            <w:r>
              <w:rPr>
                <w:sz w:val="20"/>
              </w:rPr>
              <w:t xml:space="preserve">1296</w:t>
            </w:r>
          </w:p>
        </w:tc>
      </w:tr>
      <w:tr>
        <w:tc>
          <w:tcPr>
            <w:tcW w:w="2779" w:type="dxa"/>
          </w:tcPr>
          <w:p>
            <w:pPr>
              <w:pStyle w:val="0"/>
            </w:pPr>
            <w:r>
              <w:rPr>
                <w:sz w:val="20"/>
              </w:rPr>
              <w:t xml:space="preserve">Молекулярное кариотипирование (ХМА)</w:t>
            </w:r>
          </w:p>
        </w:tc>
        <w:tc>
          <w:tcPr>
            <w:tcW w:w="857" w:type="dxa"/>
          </w:tcPr>
          <w:p>
            <w:pPr>
              <w:pStyle w:val="0"/>
            </w:pPr>
            <w:r>
              <w:rPr>
                <w:sz w:val="20"/>
              </w:rPr>
              <w:t xml:space="preserve">нет</w:t>
            </w:r>
          </w:p>
        </w:tc>
        <w:tc>
          <w:tcPr>
            <w:tcW w:w="5329" w:type="dxa"/>
          </w:tcPr>
          <w:p>
            <w:pPr>
              <w:pStyle w:val="0"/>
            </w:pPr>
            <w:r>
              <w:rPr>
                <w:sz w:val="20"/>
              </w:rPr>
            </w:r>
          </w:p>
        </w:tc>
      </w:tr>
      <w:tr>
        <w:tc>
          <w:tcPr>
            <w:tcW w:w="2779" w:type="dxa"/>
          </w:tcPr>
          <w:p>
            <w:pPr>
              <w:pStyle w:val="0"/>
            </w:pPr>
            <w:r>
              <w:rPr>
                <w:sz w:val="20"/>
              </w:rPr>
              <w:t xml:space="preserve">в том числе супружеские пары</w:t>
            </w:r>
          </w:p>
        </w:tc>
        <w:tc>
          <w:tcPr>
            <w:tcW w:w="857" w:type="dxa"/>
          </w:tcPr>
          <w:p>
            <w:pPr>
              <w:pStyle w:val="0"/>
            </w:pPr>
            <w:r>
              <w:rPr>
                <w:sz w:val="20"/>
              </w:rPr>
              <w:t xml:space="preserve">нет</w:t>
            </w:r>
          </w:p>
        </w:tc>
        <w:tc>
          <w:tcPr>
            <w:tcW w:w="5329" w:type="dxa"/>
          </w:tcPr>
          <w:p>
            <w:pPr>
              <w:pStyle w:val="0"/>
            </w:pPr>
            <w:r>
              <w:rPr>
                <w:sz w:val="20"/>
              </w:rPr>
            </w:r>
          </w:p>
        </w:tc>
      </w:tr>
      <w:tr>
        <w:tc>
          <w:tcPr>
            <w:tcW w:w="2779" w:type="dxa"/>
          </w:tcPr>
          <w:p>
            <w:pPr>
              <w:pStyle w:val="0"/>
            </w:pPr>
            <w:r>
              <w:rPr>
                <w:sz w:val="20"/>
              </w:rPr>
              <w:t xml:space="preserve">в том числе пренатально</w:t>
            </w:r>
          </w:p>
        </w:tc>
        <w:tc>
          <w:tcPr>
            <w:tcW w:w="857" w:type="dxa"/>
          </w:tcPr>
          <w:p>
            <w:pPr>
              <w:pStyle w:val="0"/>
            </w:pPr>
            <w:r>
              <w:rPr>
                <w:sz w:val="20"/>
              </w:rPr>
              <w:t xml:space="preserve">нет</w:t>
            </w:r>
          </w:p>
        </w:tc>
        <w:tc>
          <w:tcPr>
            <w:tcW w:w="5329" w:type="dxa"/>
          </w:tcPr>
          <w:p>
            <w:pPr>
              <w:pStyle w:val="0"/>
            </w:pPr>
            <w:r>
              <w:rPr>
                <w:sz w:val="20"/>
              </w:rPr>
            </w:r>
          </w:p>
        </w:tc>
      </w:tr>
      <w:tr>
        <w:tc>
          <w:tcPr>
            <w:tcW w:w="2779" w:type="dxa"/>
          </w:tcPr>
          <w:p>
            <w:pPr>
              <w:pStyle w:val="0"/>
            </w:pPr>
            <w:r>
              <w:rPr>
                <w:sz w:val="20"/>
              </w:rPr>
              <w:t xml:space="preserve">в том числе новорожденные</w:t>
            </w:r>
          </w:p>
        </w:tc>
        <w:tc>
          <w:tcPr>
            <w:tcW w:w="857" w:type="dxa"/>
          </w:tcPr>
          <w:p>
            <w:pPr>
              <w:pStyle w:val="0"/>
            </w:pPr>
            <w:r>
              <w:rPr>
                <w:sz w:val="20"/>
              </w:rPr>
              <w:t xml:space="preserve">нет</w:t>
            </w:r>
          </w:p>
        </w:tc>
        <w:tc>
          <w:tcPr>
            <w:tcW w:w="5329" w:type="dxa"/>
          </w:tcPr>
          <w:p>
            <w:pPr>
              <w:pStyle w:val="0"/>
            </w:pPr>
            <w:r>
              <w:rPr>
                <w:sz w:val="20"/>
              </w:rPr>
            </w:r>
          </w:p>
        </w:tc>
      </w:tr>
      <w:tr>
        <w:tc>
          <w:tcPr>
            <w:tcW w:w="2779" w:type="dxa"/>
          </w:tcPr>
          <w:p>
            <w:pPr>
              <w:pStyle w:val="0"/>
            </w:pPr>
            <w:r>
              <w:rPr>
                <w:sz w:val="20"/>
              </w:rPr>
              <w:t xml:space="preserve">Секвенирование по Сэнгеру</w:t>
            </w:r>
          </w:p>
        </w:tc>
        <w:tc>
          <w:tcPr>
            <w:tcW w:w="857" w:type="dxa"/>
          </w:tcPr>
          <w:p>
            <w:pPr>
              <w:pStyle w:val="0"/>
            </w:pPr>
            <w:r>
              <w:rPr>
                <w:sz w:val="20"/>
              </w:rPr>
              <w:t xml:space="preserve">нет</w:t>
            </w:r>
          </w:p>
        </w:tc>
        <w:tc>
          <w:tcPr>
            <w:tcW w:w="5329" w:type="dxa"/>
          </w:tcPr>
          <w:p>
            <w:pPr>
              <w:pStyle w:val="0"/>
            </w:pPr>
            <w:r>
              <w:rPr>
                <w:sz w:val="20"/>
              </w:rPr>
            </w:r>
          </w:p>
        </w:tc>
      </w:tr>
      <w:tr>
        <w:tc>
          <w:tcPr>
            <w:tcW w:w="2779" w:type="dxa"/>
          </w:tcPr>
          <w:p>
            <w:pPr>
              <w:pStyle w:val="0"/>
            </w:pPr>
            <w:r>
              <w:rPr>
                <w:sz w:val="20"/>
              </w:rPr>
              <w:t xml:space="preserve">Высокопроизводительное секвенирование (NGS),</w:t>
            </w:r>
          </w:p>
          <w:p>
            <w:pPr>
              <w:pStyle w:val="0"/>
            </w:pPr>
            <w:r>
              <w:rPr>
                <w:sz w:val="20"/>
              </w:rPr>
              <w:t xml:space="preserve">панели/экзом</w:t>
            </w:r>
          </w:p>
        </w:tc>
        <w:tc>
          <w:tcPr>
            <w:tcW w:w="857" w:type="dxa"/>
          </w:tcPr>
          <w:p>
            <w:pPr>
              <w:pStyle w:val="0"/>
            </w:pPr>
            <w:r>
              <w:rPr>
                <w:sz w:val="20"/>
              </w:rPr>
              <w:t xml:space="preserve">нет</w:t>
            </w:r>
          </w:p>
        </w:tc>
        <w:tc>
          <w:tcPr>
            <w:tcW w:w="5329" w:type="dxa"/>
          </w:tcPr>
          <w:p>
            <w:pPr>
              <w:pStyle w:val="0"/>
            </w:pPr>
            <w:r>
              <w:rPr>
                <w:sz w:val="20"/>
              </w:rPr>
            </w:r>
          </w:p>
        </w:tc>
      </w:tr>
      <w:tr>
        <w:tc>
          <w:tcPr>
            <w:tcW w:w="2779" w:type="dxa"/>
          </w:tcPr>
          <w:p>
            <w:pPr>
              <w:pStyle w:val="0"/>
            </w:pPr>
            <w:r>
              <w:rPr>
                <w:sz w:val="20"/>
              </w:rPr>
              <w:t xml:space="preserve">Преимплантационное генетическое тестирование</w:t>
            </w:r>
          </w:p>
          <w:p>
            <w:pPr>
              <w:pStyle w:val="0"/>
            </w:pPr>
            <w:r>
              <w:rPr>
                <w:sz w:val="20"/>
              </w:rPr>
              <w:t xml:space="preserve">(ПГТ)</w:t>
            </w:r>
          </w:p>
        </w:tc>
        <w:tc>
          <w:tcPr>
            <w:tcW w:w="857" w:type="dxa"/>
          </w:tcPr>
          <w:p>
            <w:pPr>
              <w:pStyle w:val="0"/>
            </w:pPr>
            <w:r>
              <w:rPr>
                <w:sz w:val="20"/>
              </w:rPr>
              <w:t xml:space="preserve">нет</w:t>
            </w:r>
          </w:p>
        </w:tc>
        <w:tc>
          <w:tcPr>
            <w:tcW w:w="5329" w:type="dxa"/>
          </w:tcPr>
          <w:p>
            <w:pPr>
              <w:pStyle w:val="0"/>
            </w:pPr>
            <w:r>
              <w:rPr>
                <w:sz w:val="20"/>
              </w:rPr>
            </w:r>
          </w:p>
        </w:tc>
      </w:tr>
      <w:tr>
        <w:tc>
          <w:tcPr>
            <w:tcW w:w="2779" w:type="dxa"/>
          </w:tcPr>
          <w:p>
            <w:pPr>
              <w:pStyle w:val="0"/>
            </w:pPr>
            <w:r>
              <w:rPr>
                <w:sz w:val="20"/>
              </w:rPr>
              <w:t xml:space="preserve">в том числе ПГТ-А</w:t>
            </w:r>
          </w:p>
        </w:tc>
        <w:tc>
          <w:tcPr>
            <w:tcW w:w="857" w:type="dxa"/>
          </w:tcPr>
          <w:p>
            <w:pPr>
              <w:pStyle w:val="0"/>
            </w:pPr>
            <w:r>
              <w:rPr>
                <w:sz w:val="20"/>
              </w:rPr>
              <w:t xml:space="preserve">нет</w:t>
            </w:r>
          </w:p>
        </w:tc>
        <w:tc>
          <w:tcPr>
            <w:tcW w:w="5329" w:type="dxa"/>
          </w:tcPr>
          <w:p>
            <w:pPr>
              <w:pStyle w:val="0"/>
            </w:pPr>
            <w:r>
              <w:rPr>
                <w:sz w:val="20"/>
              </w:rPr>
            </w:r>
          </w:p>
        </w:tc>
      </w:tr>
      <w:tr>
        <w:tc>
          <w:tcPr>
            <w:tcW w:w="2779" w:type="dxa"/>
          </w:tcPr>
          <w:p>
            <w:pPr>
              <w:pStyle w:val="0"/>
            </w:pPr>
            <w:r>
              <w:rPr>
                <w:sz w:val="20"/>
              </w:rPr>
              <w:t xml:space="preserve">в том числе ПГТ-М и ПГТ-СП</w:t>
            </w:r>
          </w:p>
        </w:tc>
        <w:tc>
          <w:tcPr>
            <w:tcW w:w="857" w:type="dxa"/>
          </w:tcPr>
          <w:p>
            <w:pPr>
              <w:pStyle w:val="0"/>
            </w:pPr>
            <w:r>
              <w:rPr>
                <w:sz w:val="20"/>
              </w:rPr>
              <w:t xml:space="preserve">нет</w:t>
            </w:r>
          </w:p>
        </w:tc>
        <w:tc>
          <w:tcPr>
            <w:tcW w:w="5329" w:type="dxa"/>
          </w:tcPr>
          <w:p>
            <w:pPr>
              <w:pStyle w:val="0"/>
            </w:pPr>
            <w:r>
              <w:rPr>
                <w:sz w:val="20"/>
              </w:rPr>
            </w:r>
          </w:p>
        </w:tc>
      </w:tr>
      <w:tr>
        <w:tc>
          <w:tcPr>
            <w:tcW w:w="2779" w:type="dxa"/>
          </w:tcPr>
          <w:p>
            <w:pPr>
              <w:pStyle w:val="0"/>
            </w:pPr>
            <w:r>
              <w:rPr>
                <w:sz w:val="20"/>
              </w:rPr>
              <w:t xml:space="preserve">Неонатальный скрининг</w:t>
            </w:r>
          </w:p>
        </w:tc>
        <w:tc>
          <w:tcPr>
            <w:tcW w:w="857" w:type="dxa"/>
          </w:tcPr>
          <w:p>
            <w:pPr>
              <w:pStyle w:val="0"/>
            </w:pPr>
            <w:r>
              <w:rPr>
                <w:sz w:val="20"/>
              </w:rPr>
              <w:t xml:space="preserve">да</w:t>
            </w:r>
          </w:p>
        </w:tc>
        <w:tc>
          <w:tcPr>
            <w:tcW w:w="5329" w:type="dxa"/>
          </w:tcPr>
          <w:p>
            <w:pPr>
              <w:pStyle w:val="0"/>
            </w:pPr>
            <w:r>
              <w:rPr>
                <w:sz w:val="20"/>
              </w:rPr>
            </w:r>
          </w:p>
        </w:tc>
      </w:tr>
      <w:tr>
        <w:tc>
          <w:tcPr>
            <w:tcW w:w="2779" w:type="dxa"/>
          </w:tcPr>
          <w:p>
            <w:pPr>
              <w:pStyle w:val="0"/>
            </w:pPr>
            <w:r>
              <w:rPr>
                <w:sz w:val="20"/>
              </w:rPr>
              <w:t xml:space="preserve">Биохимия</w:t>
            </w:r>
          </w:p>
        </w:tc>
        <w:tc>
          <w:tcPr>
            <w:tcW w:w="857" w:type="dxa"/>
          </w:tcPr>
          <w:p>
            <w:pPr>
              <w:pStyle w:val="0"/>
            </w:pPr>
            <w:r>
              <w:rPr>
                <w:sz w:val="20"/>
              </w:rPr>
              <w:t xml:space="preserve">да</w:t>
            </w:r>
          </w:p>
        </w:tc>
        <w:tc>
          <w:tcPr>
            <w:tcW w:w="5329" w:type="dxa"/>
          </w:tcPr>
          <w:p>
            <w:pPr>
              <w:pStyle w:val="0"/>
            </w:pPr>
            <w:r>
              <w:rPr>
                <w:sz w:val="20"/>
              </w:rPr>
              <w:t xml:space="preserve">96526 (первичные исследования) (вместе с ретестами - 105371)</w:t>
            </w:r>
          </w:p>
        </w:tc>
      </w:tr>
      <w:tr>
        <w:tc>
          <w:tcPr>
            <w:tcW w:w="2779" w:type="dxa"/>
          </w:tcPr>
          <w:p>
            <w:pPr>
              <w:pStyle w:val="0"/>
            </w:pPr>
            <w:r>
              <w:rPr>
                <w:sz w:val="20"/>
              </w:rPr>
              <w:t xml:space="preserve">Масс-спектрометрия</w:t>
            </w:r>
          </w:p>
        </w:tc>
        <w:tc>
          <w:tcPr>
            <w:tcW w:w="857" w:type="dxa"/>
          </w:tcPr>
          <w:p>
            <w:pPr>
              <w:pStyle w:val="0"/>
            </w:pPr>
            <w:r>
              <w:rPr>
                <w:sz w:val="20"/>
              </w:rPr>
              <w:t xml:space="preserve">нет</w:t>
            </w:r>
          </w:p>
        </w:tc>
        <w:tc>
          <w:tcPr>
            <w:tcW w:w="5329" w:type="dxa"/>
          </w:tcPr>
          <w:p>
            <w:pPr>
              <w:pStyle w:val="0"/>
            </w:pPr>
            <w:r>
              <w:rPr>
                <w:sz w:val="20"/>
              </w:rPr>
            </w:r>
          </w:p>
        </w:tc>
      </w:tr>
      <w:tr>
        <w:tc>
          <w:tcPr>
            <w:tcW w:w="2779" w:type="dxa"/>
          </w:tcPr>
          <w:p>
            <w:pPr>
              <w:pStyle w:val="0"/>
            </w:pPr>
            <w:r>
              <w:rPr>
                <w:sz w:val="20"/>
              </w:rPr>
              <w:t xml:space="preserve">ПЦР</w:t>
            </w:r>
          </w:p>
        </w:tc>
        <w:tc>
          <w:tcPr>
            <w:tcW w:w="857" w:type="dxa"/>
          </w:tcPr>
          <w:p>
            <w:pPr>
              <w:pStyle w:val="0"/>
            </w:pPr>
            <w:r>
              <w:rPr>
                <w:sz w:val="20"/>
              </w:rPr>
              <w:t xml:space="preserve">нет</w:t>
            </w:r>
          </w:p>
        </w:tc>
        <w:tc>
          <w:tcPr>
            <w:tcW w:w="5329" w:type="dxa"/>
          </w:tcPr>
          <w:p>
            <w:pPr>
              <w:pStyle w:val="0"/>
            </w:pPr>
            <w:r>
              <w:rPr>
                <w:sz w:val="20"/>
              </w:rPr>
            </w:r>
          </w:p>
        </w:tc>
      </w:tr>
      <w:tr>
        <w:tc>
          <w:tcPr>
            <w:tcW w:w="2779" w:type="dxa"/>
          </w:tcPr>
          <w:p>
            <w:pPr>
              <w:pStyle w:val="0"/>
            </w:pPr>
            <w:r>
              <w:rPr>
                <w:sz w:val="20"/>
              </w:rPr>
              <w:t xml:space="preserve">3. Оборудование (основное)</w:t>
            </w:r>
          </w:p>
        </w:tc>
        <w:tc>
          <w:tcPr>
            <w:gridSpan w:val="2"/>
            <w:tcW w:w="6186" w:type="dxa"/>
          </w:tcPr>
          <w:p>
            <w:pPr>
              <w:pStyle w:val="0"/>
            </w:pPr>
            <w:r>
              <w:rPr>
                <w:sz w:val="20"/>
              </w:rPr>
            </w:r>
          </w:p>
        </w:tc>
      </w:tr>
      <w:tr>
        <w:tc>
          <w:tcPr>
            <w:tcW w:w="2779" w:type="dxa"/>
          </w:tcPr>
          <w:p>
            <w:pPr>
              <w:pStyle w:val="0"/>
            </w:pPr>
            <w:r>
              <w:rPr>
                <w:sz w:val="20"/>
              </w:rPr>
              <w:t xml:space="preserve">Кариотипирование:</w:t>
            </w:r>
          </w:p>
        </w:tc>
        <w:tc>
          <w:tcPr>
            <w:gridSpan w:val="2"/>
            <w:tcW w:w="6186" w:type="dxa"/>
          </w:tcPr>
          <w:p>
            <w:pPr>
              <w:pStyle w:val="0"/>
            </w:pPr>
            <w:r>
              <w:rPr>
                <w:sz w:val="20"/>
              </w:rPr>
              <w:t xml:space="preserve">Микроскоп Zeiss Imadger A1,</w:t>
            </w:r>
          </w:p>
          <w:p>
            <w:pPr>
              <w:pStyle w:val="0"/>
            </w:pPr>
            <w:r>
              <w:rPr>
                <w:sz w:val="20"/>
              </w:rPr>
              <w:t xml:space="preserve">микроскоп Zeiss Imadger Z2, микроскоп Zeiss Axioscope 40</w:t>
            </w:r>
          </w:p>
        </w:tc>
      </w:tr>
      <w:tr>
        <w:tc>
          <w:tcPr>
            <w:tcW w:w="2779" w:type="dxa"/>
          </w:tcPr>
          <w:p>
            <w:pPr>
              <w:pStyle w:val="0"/>
            </w:pPr>
            <w:r>
              <w:rPr>
                <w:sz w:val="20"/>
              </w:rPr>
              <w:t xml:space="preserve">FISH:</w:t>
            </w:r>
          </w:p>
        </w:tc>
        <w:tc>
          <w:tcPr>
            <w:gridSpan w:val="2"/>
            <w:tcW w:w="6186" w:type="dxa"/>
          </w:tcPr>
          <w:p>
            <w:pPr>
              <w:pStyle w:val="0"/>
            </w:pPr>
            <w:r>
              <w:rPr>
                <w:sz w:val="20"/>
              </w:rPr>
              <w:t xml:space="preserve">Гибридайзер Thermobrite</w:t>
            </w:r>
          </w:p>
        </w:tc>
      </w:tr>
      <w:tr>
        <w:tc>
          <w:tcPr>
            <w:tcW w:w="2779" w:type="dxa"/>
          </w:tcPr>
          <w:p>
            <w:pPr>
              <w:pStyle w:val="0"/>
            </w:pPr>
            <w:r>
              <w:rPr>
                <w:sz w:val="20"/>
              </w:rPr>
              <w:t xml:space="preserve">ПЦР:</w:t>
            </w:r>
          </w:p>
        </w:tc>
        <w:tc>
          <w:tcPr>
            <w:gridSpan w:val="2"/>
            <w:tcW w:w="6186" w:type="dxa"/>
          </w:tcPr>
          <w:p>
            <w:pPr>
              <w:pStyle w:val="0"/>
            </w:pPr>
            <w:r>
              <w:rPr>
                <w:sz w:val="20"/>
              </w:rPr>
              <w:t xml:space="preserve">Амплификатор Bio-rad CFX96,</w:t>
            </w:r>
          </w:p>
          <w:p>
            <w:pPr>
              <w:pStyle w:val="0"/>
            </w:pPr>
            <w:r>
              <w:rPr>
                <w:sz w:val="20"/>
              </w:rPr>
              <w:t xml:space="preserve">аплификатор AppliedBiosystemsQantStudio, амплификатор Veriti Applied Biosystems</w:t>
            </w:r>
          </w:p>
        </w:tc>
      </w:tr>
      <w:tr>
        <w:tc>
          <w:tcPr>
            <w:tcW w:w="2779" w:type="dxa"/>
          </w:tcPr>
          <w:p>
            <w:pPr>
              <w:pStyle w:val="0"/>
            </w:pPr>
            <w:r>
              <w:rPr>
                <w:sz w:val="20"/>
              </w:rPr>
              <w:t xml:space="preserve">Молекулярное кариотипирование (ХМА):</w:t>
            </w:r>
          </w:p>
        </w:tc>
        <w:tc>
          <w:tcPr>
            <w:gridSpan w:val="2"/>
            <w:tcW w:w="6186" w:type="dxa"/>
          </w:tcPr>
          <w:p>
            <w:pPr>
              <w:pStyle w:val="0"/>
            </w:pPr>
            <w:r>
              <w:rPr>
                <w:sz w:val="20"/>
              </w:rPr>
              <w:t xml:space="preserve">нет</w:t>
            </w:r>
          </w:p>
        </w:tc>
      </w:tr>
      <w:tr>
        <w:tc>
          <w:tcPr>
            <w:tcW w:w="2779" w:type="dxa"/>
          </w:tcPr>
          <w:p>
            <w:pPr>
              <w:pStyle w:val="0"/>
            </w:pPr>
            <w:r>
              <w:rPr>
                <w:sz w:val="20"/>
              </w:rPr>
              <w:t xml:space="preserve">Секвенирование по Сэнгеру:</w:t>
            </w:r>
          </w:p>
        </w:tc>
        <w:tc>
          <w:tcPr>
            <w:gridSpan w:val="2"/>
            <w:tcW w:w="6186" w:type="dxa"/>
          </w:tcPr>
          <w:p>
            <w:pPr>
              <w:pStyle w:val="0"/>
            </w:pPr>
            <w:r>
              <w:rPr>
                <w:sz w:val="20"/>
              </w:rPr>
              <w:t xml:space="preserve">нет</w:t>
            </w:r>
          </w:p>
        </w:tc>
      </w:tr>
      <w:tr>
        <w:tc>
          <w:tcPr>
            <w:tcW w:w="2779" w:type="dxa"/>
          </w:tcPr>
          <w:p>
            <w:pPr>
              <w:pStyle w:val="0"/>
            </w:pPr>
            <w:r>
              <w:rPr>
                <w:sz w:val="20"/>
              </w:rPr>
              <w:t xml:space="preserve">Высокопроизводительное секвенирование (NGS):</w:t>
            </w:r>
          </w:p>
        </w:tc>
        <w:tc>
          <w:tcPr>
            <w:gridSpan w:val="2"/>
            <w:tcW w:w="6186" w:type="dxa"/>
          </w:tcPr>
          <w:p>
            <w:pPr>
              <w:pStyle w:val="0"/>
            </w:pPr>
            <w:r>
              <w:rPr>
                <w:sz w:val="20"/>
              </w:rPr>
              <w:t xml:space="preserve">нет</w:t>
            </w:r>
          </w:p>
        </w:tc>
      </w:tr>
      <w:tr>
        <w:tc>
          <w:tcPr>
            <w:tcW w:w="2779" w:type="dxa"/>
          </w:tcPr>
          <w:p>
            <w:pPr>
              <w:pStyle w:val="0"/>
            </w:pPr>
            <w:r>
              <w:rPr>
                <w:sz w:val="20"/>
              </w:rPr>
              <w:t xml:space="preserve">Биохимический скрининг:</w:t>
            </w:r>
          </w:p>
        </w:tc>
        <w:tc>
          <w:tcPr>
            <w:gridSpan w:val="2"/>
            <w:tcW w:w="6186" w:type="dxa"/>
          </w:tcPr>
          <w:p>
            <w:pPr>
              <w:pStyle w:val="0"/>
            </w:pPr>
            <w:r>
              <w:rPr>
                <w:sz w:val="20"/>
              </w:rPr>
              <w:t xml:space="preserve">Анализатор "VICTOR" с комплектом принадлежностей,</w:t>
            </w:r>
          </w:p>
          <w:p>
            <w:pPr>
              <w:pStyle w:val="0"/>
            </w:pPr>
            <w:r>
              <w:rPr>
                <w:sz w:val="20"/>
              </w:rPr>
              <w:t xml:space="preserve">автоматический - 2 шт., анализатор "Autodelfia" - 1 шт. - неонатальный скрининг, биохимический анализатор "DELFIA Xpress" - 2 шт. - пренатальный скрининг</w:t>
            </w:r>
          </w:p>
        </w:tc>
      </w:tr>
      <w:tr>
        <w:tc>
          <w:tcPr>
            <w:tcW w:w="2779" w:type="dxa"/>
          </w:tcPr>
          <w:p>
            <w:pPr>
              <w:pStyle w:val="0"/>
            </w:pPr>
            <w:r>
              <w:rPr>
                <w:sz w:val="20"/>
              </w:rPr>
              <w:t xml:space="preserve">Масс-спектрометрия:</w:t>
            </w:r>
          </w:p>
        </w:tc>
        <w:tc>
          <w:tcPr>
            <w:gridSpan w:val="2"/>
            <w:tcW w:w="6186" w:type="dxa"/>
          </w:tcPr>
          <w:p>
            <w:pPr>
              <w:pStyle w:val="0"/>
            </w:pPr>
            <w:r>
              <w:rPr>
                <w:sz w:val="20"/>
              </w:rPr>
              <w:t xml:space="preserve">нет</w:t>
            </w:r>
          </w:p>
        </w:tc>
      </w:tr>
    </w:tbl>
    <w:p>
      <w:pPr>
        <w:pStyle w:val="0"/>
        <w:ind w:firstLine="540"/>
        <w:jc w:val="both"/>
      </w:pPr>
      <w:r>
        <w:rPr>
          <w:sz w:val="20"/>
        </w:rPr>
      </w:r>
    </w:p>
    <w:p>
      <w:pPr>
        <w:pStyle w:val="0"/>
        <w:jc w:val="center"/>
      </w:pPr>
      <w:r>
        <w:rPr>
          <w:sz w:val="20"/>
        </w:rPr>
        <w:t xml:space="preserve">План мероприятий региональной программы "Обеспечение</w:t>
      </w:r>
    </w:p>
    <w:p>
      <w:pPr>
        <w:pStyle w:val="0"/>
        <w:jc w:val="center"/>
      </w:pPr>
      <w:r>
        <w:rPr>
          <w:sz w:val="20"/>
        </w:rPr>
        <w:t xml:space="preserve">расширенного неонатального скрининга"</w:t>
      </w:r>
    </w:p>
    <w:p>
      <w:pPr>
        <w:pStyle w:val="0"/>
        <w:jc w:val="center"/>
      </w:pPr>
      <w:r>
        <w:rPr>
          <w:sz w:val="20"/>
        </w:rPr>
      </w:r>
    </w:p>
    <w:p>
      <w:pPr>
        <w:pStyle w:val="0"/>
        <w:jc w:val="right"/>
      </w:pPr>
      <w:r>
        <w:rPr>
          <w:sz w:val="20"/>
        </w:rPr>
        <w:t xml:space="preserve">Таблица 19</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4"/>
        <w:gridCol w:w="2944"/>
        <w:gridCol w:w="1154"/>
        <w:gridCol w:w="1244"/>
        <w:gridCol w:w="4078"/>
        <w:gridCol w:w="2314"/>
        <w:gridCol w:w="3304"/>
        <w:gridCol w:w="3934"/>
      </w:tblGrid>
      <w:tr>
        <w:tc>
          <w:tcPr>
            <w:tcW w:w="484" w:type="dxa"/>
            <w:vMerge w:val="restart"/>
          </w:tcPr>
          <w:p>
            <w:pPr>
              <w:pStyle w:val="0"/>
              <w:jc w:val="center"/>
            </w:pPr>
            <w:r>
              <w:rPr>
                <w:sz w:val="20"/>
              </w:rPr>
              <w:t xml:space="preserve">N п/п</w:t>
            </w:r>
          </w:p>
        </w:tc>
        <w:tc>
          <w:tcPr>
            <w:tcW w:w="2944" w:type="dxa"/>
            <w:vMerge w:val="restart"/>
          </w:tcPr>
          <w:p>
            <w:pPr>
              <w:pStyle w:val="0"/>
              <w:jc w:val="center"/>
            </w:pPr>
            <w:r>
              <w:rPr>
                <w:sz w:val="20"/>
              </w:rPr>
              <w:t xml:space="preserve">Наименование мероприятия</w:t>
            </w:r>
          </w:p>
        </w:tc>
        <w:tc>
          <w:tcPr>
            <w:gridSpan w:val="2"/>
            <w:tcW w:w="2398" w:type="dxa"/>
          </w:tcPr>
          <w:p>
            <w:pPr>
              <w:pStyle w:val="0"/>
              <w:jc w:val="center"/>
            </w:pPr>
            <w:r>
              <w:rPr>
                <w:sz w:val="20"/>
              </w:rPr>
              <w:t xml:space="preserve">Сроки реализации</w:t>
            </w:r>
          </w:p>
        </w:tc>
        <w:tc>
          <w:tcPr>
            <w:tcW w:w="4078" w:type="dxa"/>
            <w:vMerge w:val="restart"/>
          </w:tcPr>
          <w:p>
            <w:pPr>
              <w:pStyle w:val="0"/>
              <w:jc w:val="center"/>
            </w:pPr>
            <w:r>
              <w:rPr>
                <w:sz w:val="20"/>
              </w:rPr>
              <w:t xml:space="preserve">Ответственный исполнитель</w:t>
            </w:r>
          </w:p>
        </w:tc>
        <w:tc>
          <w:tcPr>
            <w:tcW w:w="2314" w:type="dxa"/>
            <w:vMerge w:val="restart"/>
          </w:tcPr>
          <w:p>
            <w:pPr>
              <w:pStyle w:val="0"/>
              <w:jc w:val="center"/>
            </w:pPr>
            <w:r>
              <w:rPr>
                <w:sz w:val="20"/>
              </w:rPr>
              <w:t xml:space="preserve">Наименование результата, на достижение которого направлено мероприятие</w:t>
            </w:r>
          </w:p>
        </w:tc>
        <w:tc>
          <w:tcPr>
            <w:tcW w:w="3304" w:type="dxa"/>
            <w:vMerge w:val="restart"/>
          </w:tcPr>
          <w:p>
            <w:pPr>
              <w:pStyle w:val="0"/>
              <w:jc w:val="center"/>
            </w:pPr>
            <w:r>
              <w:rPr>
                <w:sz w:val="20"/>
              </w:rPr>
              <w:t xml:space="preserve">Вид документа (источник, на основании которого фиксируется достижение результата)</w:t>
            </w:r>
          </w:p>
        </w:tc>
        <w:tc>
          <w:tcPr>
            <w:tcW w:w="3934" w:type="dxa"/>
            <w:vMerge w:val="restart"/>
          </w:tcPr>
          <w:p>
            <w:pPr>
              <w:pStyle w:val="0"/>
              <w:jc w:val="center"/>
            </w:pPr>
            <w:r>
              <w:rPr>
                <w:sz w:val="20"/>
              </w:rPr>
              <w:t xml:space="preserve">Результат в указанном периоде</w:t>
            </w:r>
          </w:p>
        </w:tc>
      </w:tr>
      <w:tr>
        <w:tc>
          <w:tcPr>
            <w:vMerge w:val="continue"/>
          </w:tcPr>
          <w:p/>
        </w:tc>
        <w:tc>
          <w:tcPr>
            <w:vMerge w:val="continue"/>
          </w:tcPr>
          <w:p/>
        </w:tc>
        <w:tc>
          <w:tcPr>
            <w:tcW w:w="1154" w:type="dxa"/>
          </w:tcPr>
          <w:p>
            <w:pPr>
              <w:pStyle w:val="0"/>
              <w:jc w:val="center"/>
            </w:pPr>
            <w:r>
              <w:rPr>
                <w:sz w:val="20"/>
              </w:rPr>
              <w:t xml:space="preserve">начало</w:t>
            </w:r>
          </w:p>
        </w:tc>
        <w:tc>
          <w:tcPr>
            <w:tcW w:w="1244" w:type="dxa"/>
          </w:tcPr>
          <w:p>
            <w:pPr>
              <w:pStyle w:val="0"/>
              <w:jc w:val="center"/>
            </w:pPr>
            <w:r>
              <w:rPr>
                <w:sz w:val="20"/>
              </w:rPr>
              <w:t xml:space="preserve">окончание</w:t>
            </w:r>
          </w:p>
        </w:tc>
        <w:tc>
          <w:tcPr>
            <w:vMerge w:val="continue"/>
          </w:tcPr>
          <w:p/>
        </w:tc>
        <w:tc>
          <w:tcPr>
            <w:vMerge w:val="continue"/>
          </w:tcPr>
          <w:p/>
        </w:tc>
        <w:tc>
          <w:tcPr>
            <w:vMerge w:val="continue"/>
          </w:tcPr>
          <w:p/>
        </w:tc>
        <w:tc>
          <w:tcPr>
            <w:vMerge w:val="continue"/>
          </w:tcPr>
          <w:p/>
        </w:tc>
      </w:tr>
      <w:tr>
        <w:tc>
          <w:tcPr>
            <w:tcW w:w="484" w:type="dxa"/>
          </w:tcPr>
          <w:p>
            <w:pPr>
              <w:pStyle w:val="0"/>
            </w:pPr>
            <w:r>
              <w:rPr>
                <w:sz w:val="20"/>
              </w:rPr>
              <w:t xml:space="preserve">1.</w:t>
            </w:r>
          </w:p>
        </w:tc>
        <w:tc>
          <w:tcPr>
            <w:gridSpan w:val="7"/>
            <w:tcW w:w="18972" w:type="dxa"/>
          </w:tcPr>
          <w:p>
            <w:pPr>
              <w:pStyle w:val="0"/>
            </w:pPr>
            <w:r>
              <w:rPr>
                <w:sz w:val="20"/>
              </w:rPr>
              <w:t xml:space="preserve">Обеспечение нормативно-правового регулирования расширения неонатального скрининга (РНС) в автономном округе</w:t>
            </w:r>
          </w:p>
        </w:tc>
      </w:tr>
      <w:tr>
        <w:tc>
          <w:tcPr>
            <w:tcW w:w="484" w:type="dxa"/>
          </w:tcPr>
          <w:p>
            <w:pPr>
              <w:pStyle w:val="0"/>
            </w:pPr>
            <w:r>
              <w:rPr>
                <w:sz w:val="20"/>
              </w:rPr>
              <w:t xml:space="preserve">1.1.</w:t>
            </w:r>
          </w:p>
        </w:tc>
        <w:tc>
          <w:tcPr>
            <w:tcW w:w="2944" w:type="dxa"/>
          </w:tcPr>
          <w:p>
            <w:pPr>
              <w:pStyle w:val="0"/>
            </w:pPr>
            <w:r>
              <w:rPr>
                <w:sz w:val="20"/>
              </w:rPr>
              <w:t xml:space="preserve">Разработка маршрутизации, регламентирующей все этапы проведения РНС в соответствии с </w:t>
            </w:r>
            <w:hyperlink w:history="0" r:id="rId246"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0"/>
                  <w:color w:val="0000ff"/>
                </w:rPr>
                <w:t xml:space="preserve">Порядком</w:t>
              </w:r>
            </w:hyperlink>
            <w:r>
              <w:rPr>
                <w:sz w:val="20"/>
              </w:rPr>
              <w:t xml:space="preserve"> оказания медицинской помощи пациентам с врожденными и (или) наследственными заболеваниями, утвержденным Приказом N 274н</w:t>
            </w:r>
          </w:p>
        </w:tc>
        <w:tc>
          <w:tcPr>
            <w:tcW w:w="1154" w:type="dxa"/>
          </w:tcPr>
          <w:p>
            <w:pPr>
              <w:pStyle w:val="0"/>
            </w:pPr>
            <w:r>
              <w:rPr>
                <w:sz w:val="20"/>
              </w:rPr>
              <w:t xml:space="preserve">1 января 2023 года</w:t>
            </w:r>
          </w:p>
        </w:tc>
        <w:tc>
          <w:tcPr>
            <w:tcW w:w="1244" w:type="dxa"/>
          </w:tcPr>
          <w:p>
            <w:pPr>
              <w:pStyle w:val="0"/>
            </w:pPr>
            <w:r>
              <w:rPr>
                <w:sz w:val="20"/>
              </w:rPr>
              <w:t xml:space="preserve">30 января 2023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главный внештатный специалист по медицинской генетике</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tc>
        <w:tc>
          <w:tcPr>
            <w:tcW w:w="2314" w:type="dxa"/>
          </w:tcPr>
          <w:p>
            <w:pPr>
              <w:pStyle w:val="0"/>
            </w:pPr>
            <w:r>
              <w:rPr>
                <w:sz w:val="20"/>
              </w:rPr>
              <w:t xml:space="preserve">Подготовка маршрутизации этапов проведения РНС в автономном округе</w:t>
            </w:r>
          </w:p>
        </w:tc>
        <w:tc>
          <w:tcPr>
            <w:tcW w:w="3304" w:type="dxa"/>
          </w:tcPr>
          <w:p>
            <w:pPr>
              <w:pStyle w:val="0"/>
            </w:pPr>
            <w:r>
              <w:rPr>
                <w:sz w:val="20"/>
              </w:rPr>
              <w:t xml:space="preserve">Приказ Департамента здравоохранения</w:t>
            </w:r>
          </w:p>
          <w:p>
            <w:pPr>
              <w:pStyle w:val="0"/>
            </w:pPr>
            <w:r>
              <w:rPr>
                <w:sz w:val="20"/>
              </w:rPr>
              <w:t xml:space="preserve">автономного округа</w:t>
            </w:r>
          </w:p>
        </w:tc>
        <w:tc>
          <w:tcPr>
            <w:tcW w:w="3934" w:type="dxa"/>
          </w:tcPr>
          <w:p>
            <w:pPr>
              <w:pStyle w:val="0"/>
            </w:pPr>
            <w:r>
              <w:rPr>
                <w:sz w:val="20"/>
              </w:rPr>
              <w:t xml:space="preserve">Раннее выявление врожденных, наследственных заболеваний у новорожденных</w:t>
            </w:r>
          </w:p>
        </w:tc>
      </w:tr>
      <w:tr>
        <w:tc>
          <w:tcPr>
            <w:tcW w:w="484" w:type="dxa"/>
          </w:tcPr>
          <w:p>
            <w:pPr>
              <w:pStyle w:val="0"/>
            </w:pPr>
            <w:r>
              <w:rPr>
                <w:sz w:val="20"/>
              </w:rPr>
              <w:t xml:space="preserve">1.2.</w:t>
            </w:r>
          </w:p>
        </w:tc>
        <w:tc>
          <w:tcPr>
            <w:tcW w:w="2944" w:type="dxa"/>
          </w:tcPr>
          <w:p>
            <w:pPr>
              <w:pStyle w:val="0"/>
            </w:pPr>
            <w:r>
              <w:rPr>
                <w:sz w:val="20"/>
              </w:rPr>
              <w:t xml:space="preserve">Подготовка региональных документов по реализации льготного лекарственного обеспечения, обеспечения специализированными продуктами лечебного питания пациентов, в том числе новорожденных с врожденными и (или) наследственными заболеваниями, выявленными в ходе РНС, взаимодействию с Фондом "Круг добра"</w:t>
            </w:r>
          </w:p>
        </w:tc>
        <w:tc>
          <w:tcPr>
            <w:tcW w:w="1154" w:type="dxa"/>
          </w:tcPr>
          <w:p>
            <w:pPr>
              <w:pStyle w:val="0"/>
            </w:pPr>
            <w:r>
              <w:rPr>
                <w:sz w:val="20"/>
              </w:rPr>
              <w:t xml:space="preserve">1 января 2023 года</w:t>
            </w:r>
          </w:p>
        </w:tc>
        <w:tc>
          <w:tcPr>
            <w:tcW w:w="1244" w:type="dxa"/>
          </w:tcPr>
          <w:p>
            <w:pPr>
              <w:pStyle w:val="0"/>
            </w:pPr>
            <w:r>
              <w:rPr>
                <w:sz w:val="20"/>
              </w:rPr>
              <w:t xml:space="preserve">31 декабря 2025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главный внештатный специалист по медицинской генетике 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специалист - аллерголог-иммунолог 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детский специалист-невролог 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специалист-педиатр 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детский специалист-эндокринолог Департамента здравоохранения автономного округа</w:t>
            </w:r>
          </w:p>
          <w:p>
            <w:pPr>
              <w:pStyle w:val="0"/>
            </w:pPr>
            <w:r>
              <w:rPr>
                <w:sz w:val="20"/>
              </w:rPr>
              <w:t xml:space="preserve">(по согласованию)</w:t>
            </w:r>
          </w:p>
        </w:tc>
        <w:tc>
          <w:tcPr>
            <w:tcW w:w="2314" w:type="dxa"/>
          </w:tcPr>
          <w:p>
            <w:pPr>
              <w:pStyle w:val="0"/>
            </w:pPr>
            <w:r>
              <w:rPr>
                <w:sz w:val="20"/>
              </w:rPr>
              <w:t xml:space="preserve">Обеспечение новорожденных с врожденными и (или) наследственными заболеваниями лекарственными препаратами (ЛП), специализированными продуктами лечебного питания (СПЛП) не менее 95% к 2025 году</w:t>
            </w:r>
          </w:p>
        </w:tc>
        <w:tc>
          <w:tcPr>
            <w:tcW w:w="3304" w:type="dxa"/>
          </w:tcPr>
          <w:p>
            <w:pPr>
              <w:pStyle w:val="0"/>
            </w:pPr>
            <w:r>
              <w:rPr>
                <w:sz w:val="20"/>
              </w:rPr>
              <w:t xml:space="preserve">Приказ Департамента здравоохранения автономного округа</w:t>
            </w:r>
          </w:p>
        </w:tc>
        <w:tc>
          <w:tcPr>
            <w:tcW w:w="3934" w:type="dxa"/>
          </w:tcPr>
          <w:p>
            <w:pPr>
              <w:pStyle w:val="0"/>
            </w:pPr>
            <w:r>
              <w:rPr>
                <w:sz w:val="20"/>
              </w:rPr>
              <w:t xml:space="preserve">Доля новорожденных с установленными врожденными и (или) наследственными заболеваниями, выявленными при проведении РНС, получающих патогенетическую терапию ЛП и СПЛП от общего числа детей, которым установлено диспансерное наблюдение (%):</w:t>
            </w:r>
          </w:p>
          <w:p>
            <w:pPr>
              <w:pStyle w:val="0"/>
            </w:pPr>
            <w:r>
              <w:rPr>
                <w:sz w:val="20"/>
              </w:rPr>
              <w:t xml:space="preserve">в 2023 году - 95%;</w:t>
            </w:r>
          </w:p>
          <w:p>
            <w:pPr>
              <w:pStyle w:val="0"/>
            </w:pPr>
            <w:r>
              <w:rPr>
                <w:sz w:val="20"/>
              </w:rPr>
              <w:t xml:space="preserve">в 2024 году - 95%;</w:t>
            </w:r>
          </w:p>
          <w:p>
            <w:pPr>
              <w:pStyle w:val="0"/>
            </w:pPr>
            <w:r>
              <w:rPr>
                <w:sz w:val="20"/>
              </w:rPr>
              <w:t xml:space="preserve">в 2025 году - 95%</w:t>
            </w:r>
          </w:p>
        </w:tc>
      </w:tr>
      <w:tr>
        <w:tc>
          <w:tcPr>
            <w:tcW w:w="484" w:type="dxa"/>
          </w:tcPr>
          <w:p>
            <w:pPr>
              <w:pStyle w:val="0"/>
            </w:pPr>
            <w:r>
              <w:rPr>
                <w:sz w:val="20"/>
              </w:rPr>
              <w:t xml:space="preserve">1.3.</w:t>
            </w:r>
          </w:p>
        </w:tc>
        <w:tc>
          <w:tcPr>
            <w:tcW w:w="2944" w:type="dxa"/>
          </w:tcPr>
          <w:p>
            <w:pPr>
              <w:pStyle w:val="0"/>
            </w:pPr>
            <w:r>
              <w:rPr>
                <w:sz w:val="20"/>
              </w:rPr>
              <w:t xml:space="preserve">Утверждение перечня стандартов операционных процедур (СОП) при проведении НС и РНС</w:t>
            </w:r>
          </w:p>
        </w:tc>
        <w:tc>
          <w:tcPr>
            <w:tcW w:w="1154" w:type="dxa"/>
          </w:tcPr>
          <w:p>
            <w:pPr>
              <w:pStyle w:val="0"/>
            </w:pPr>
            <w:r>
              <w:rPr>
                <w:sz w:val="20"/>
              </w:rPr>
              <w:t xml:space="preserve">1 января 2023 года</w:t>
            </w:r>
          </w:p>
        </w:tc>
        <w:tc>
          <w:tcPr>
            <w:tcW w:w="1244" w:type="dxa"/>
          </w:tcPr>
          <w:p>
            <w:pPr>
              <w:pStyle w:val="0"/>
            </w:pPr>
            <w:r>
              <w:rPr>
                <w:sz w:val="20"/>
              </w:rPr>
              <w:t xml:space="preserve">31 декабря 2025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главный врач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главный внештатный специалист по медицинской генетике</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tc>
        <w:tc>
          <w:tcPr>
            <w:tcW w:w="2314" w:type="dxa"/>
          </w:tcPr>
          <w:p>
            <w:pPr>
              <w:pStyle w:val="0"/>
            </w:pPr>
            <w:r>
              <w:rPr>
                <w:sz w:val="20"/>
              </w:rPr>
              <w:t xml:space="preserve">Разработка перечня СОП при проведении НС и РНС</w:t>
            </w:r>
          </w:p>
        </w:tc>
        <w:tc>
          <w:tcPr>
            <w:tcW w:w="3304" w:type="dxa"/>
          </w:tcPr>
          <w:p>
            <w:pPr>
              <w:pStyle w:val="0"/>
            </w:pPr>
            <w:r>
              <w:rPr>
                <w:sz w:val="20"/>
              </w:rPr>
              <w:t xml:space="preserve">Приказ Департамента здравоохранения</w:t>
            </w:r>
          </w:p>
          <w:p>
            <w:pPr>
              <w:pStyle w:val="0"/>
            </w:pPr>
            <w:r>
              <w:rPr>
                <w:sz w:val="20"/>
              </w:rPr>
              <w:t xml:space="preserve">автономного округа</w:t>
            </w:r>
          </w:p>
        </w:tc>
        <w:tc>
          <w:tcPr>
            <w:tcW w:w="3934" w:type="dxa"/>
          </w:tcPr>
          <w:p>
            <w:pPr>
              <w:pStyle w:val="0"/>
            </w:pPr>
            <w:r>
              <w:rPr>
                <w:sz w:val="20"/>
              </w:rPr>
              <w:t xml:space="preserve">Наличие в автономном округе перечня СОП при проведении НС и РНС:</w:t>
            </w:r>
          </w:p>
          <w:p>
            <w:pPr>
              <w:pStyle w:val="0"/>
            </w:pPr>
            <w:r>
              <w:rPr>
                <w:sz w:val="20"/>
              </w:rPr>
              <w:t xml:space="preserve">в 2023 году не менее 3 СОП;</w:t>
            </w:r>
          </w:p>
          <w:p>
            <w:pPr>
              <w:pStyle w:val="0"/>
            </w:pPr>
            <w:r>
              <w:rPr>
                <w:sz w:val="20"/>
              </w:rPr>
              <w:t xml:space="preserve">в 2024 году не менее 4 СОП;</w:t>
            </w:r>
          </w:p>
          <w:p>
            <w:pPr>
              <w:pStyle w:val="0"/>
            </w:pPr>
            <w:r>
              <w:rPr>
                <w:sz w:val="20"/>
              </w:rPr>
              <w:t xml:space="preserve">в 2025 году не менее 6 СОП</w:t>
            </w:r>
          </w:p>
        </w:tc>
      </w:tr>
      <w:tr>
        <w:tc>
          <w:tcPr>
            <w:tcW w:w="484" w:type="dxa"/>
          </w:tcPr>
          <w:p>
            <w:pPr>
              <w:pStyle w:val="0"/>
            </w:pPr>
            <w:r>
              <w:rPr>
                <w:sz w:val="20"/>
              </w:rPr>
              <w:t xml:space="preserve">2.</w:t>
            </w:r>
          </w:p>
        </w:tc>
        <w:tc>
          <w:tcPr>
            <w:gridSpan w:val="7"/>
            <w:tcW w:w="18972" w:type="dxa"/>
          </w:tcPr>
          <w:p>
            <w:pPr>
              <w:pStyle w:val="0"/>
            </w:pPr>
            <w:r>
              <w:rPr>
                <w:sz w:val="20"/>
              </w:rPr>
              <w:t xml:space="preserve">Формирование оптимальной маршрутизации, обеспечивающей проведение РНС, в том числе проведение повторных скрининговых исследований, подтверждающей диагностики</w:t>
            </w:r>
          </w:p>
        </w:tc>
      </w:tr>
      <w:tr>
        <w:tc>
          <w:tcPr>
            <w:tcW w:w="484" w:type="dxa"/>
          </w:tcPr>
          <w:p>
            <w:pPr>
              <w:pStyle w:val="0"/>
            </w:pPr>
            <w:r>
              <w:rPr>
                <w:sz w:val="20"/>
              </w:rPr>
              <w:t xml:space="preserve">2.1.</w:t>
            </w:r>
          </w:p>
        </w:tc>
        <w:tc>
          <w:tcPr>
            <w:tcW w:w="2944" w:type="dxa"/>
          </w:tcPr>
          <w:p>
            <w:pPr>
              <w:pStyle w:val="0"/>
            </w:pPr>
            <w:r>
              <w:rPr>
                <w:sz w:val="20"/>
              </w:rPr>
              <w:t xml:space="preserve">Формирование маршрутизации, обеспечивающей проведение РНС в автономном округе (информирование законных представителей новорожденных о проведении РНС, забор крови на тест-бланки, формирование направления на РНС, направление тест-бланков в адрес медико-генетической консультации БУ автономного округа "Сургутский окружной клинический центр охраны материнства и детства", отправка тест-бланков, биологического материала в медицинские организации 3А и 3Б групп)</w:t>
            </w:r>
          </w:p>
        </w:tc>
        <w:tc>
          <w:tcPr>
            <w:tcW w:w="1154" w:type="dxa"/>
          </w:tcPr>
          <w:p>
            <w:pPr>
              <w:pStyle w:val="0"/>
            </w:pPr>
            <w:r>
              <w:rPr>
                <w:sz w:val="20"/>
              </w:rPr>
              <w:t xml:space="preserve">1 января 2023 года</w:t>
            </w:r>
          </w:p>
        </w:tc>
        <w:tc>
          <w:tcPr>
            <w:tcW w:w="1244" w:type="dxa"/>
          </w:tcPr>
          <w:p>
            <w:pPr>
              <w:pStyle w:val="0"/>
            </w:pPr>
            <w:r>
              <w:rPr>
                <w:sz w:val="20"/>
              </w:rPr>
              <w:t xml:space="preserve">31 декабря 2025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главный врач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главный внештатный специалист по медицинской генетике</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tc>
        <w:tc>
          <w:tcPr>
            <w:tcW w:w="2314" w:type="dxa"/>
          </w:tcPr>
          <w:p>
            <w:pPr>
              <w:pStyle w:val="0"/>
            </w:pPr>
            <w:r>
              <w:rPr>
                <w:sz w:val="20"/>
              </w:rPr>
              <w:t xml:space="preserve">Обеспечение охвата новорожденных РНС не менее 95%</w:t>
            </w:r>
          </w:p>
          <w:p>
            <w:pPr>
              <w:pStyle w:val="0"/>
            </w:pPr>
            <w:r>
              <w:rPr>
                <w:sz w:val="20"/>
              </w:rPr>
              <w:t xml:space="preserve">к 2025 году</w:t>
            </w:r>
          </w:p>
        </w:tc>
        <w:tc>
          <w:tcPr>
            <w:tcW w:w="3304" w:type="dxa"/>
          </w:tcPr>
          <w:p>
            <w:pPr>
              <w:pStyle w:val="0"/>
            </w:pPr>
            <w:r>
              <w:rPr>
                <w:sz w:val="20"/>
              </w:rPr>
              <w:t xml:space="preserve">Приказ Департамента здравоохранения автономного округа, аналитический отчет главного внештатного специалиста по медицинской генетике Департамента здравоохранения автономного округа</w:t>
            </w:r>
          </w:p>
        </w:tc>
        <w:tc>
          <w:tcPr>
            <w:tcW w:w="3934" w:type="dxa"/>
          </w:tcPr>
          <w:p>
            <w:pPr>
              <w:pStyle w:val="0"/>
            </w:pPr>
            <w:r>
              <w:rPr>
                <w:sz w:val="20"/>
              </w:rPr>
              <w:t xml:space="preserve">Доля новорожденных, обследованных на врожденные и (или) наследственные заболевания (РНС), от общего числа новорожденных, родившихся живыми, не менее:</w:t>
            </w:r>
          </w:p>
          <w:p>
            <w:pPr>
              <w:pStyle w:val="0"/>
            </w:pPr>
            <w:r>
              <w:rPr>
                <w:sz w:val="20"/>
              </w:rPr>
              <w:t xml:space="preserve">в 2023 году - 80%;</w:t>
            </w:r>
          </w:p>
          <w:p>
            <w:pPr>
              <w:pStyle w:val="0"/>
            </w:pPr>
            <w:r>
              <w:rPr>
                <w:sz w:val="20"/>
              </w:rPr>
              <w:t xml:space="preserve">в 2024 году - 95%;</w:t>
            </w:r>
          </w:p>
          <w:p>
            <w:pPr>
              <w:pStyle w:val="0"/>
            </w:pPr>
            <w:r>
              <w:rPr>
                <w:sz w:val="20"/>
              </w:rPr>
              <w:t xml:space="preserve">в 2025 году - 95%</w:t>
            </w:r>
          </w:p>
        </w:tc>
      </w:tr>
      <w:tr>
        <w:tc>
          <w:tcPr>
            <w:tcW w:w="484" w:type="dxa"/>
          </w:tcPr>
          <w:p>
            <w:pPr>
              <w:pStyle w:val="0"/>
            </w:pPr>
            <w:r>
              <w:rPr>
                <w:sz w:val="20"/>
              </w:rPr>
              <w:t xml:space="preserve">2.2.</w:t>
            </w:r>
          </w:p>
        </w:tc>
        <w:tc>
          <w:tcPr>
            <w:tcW w:w="2944" w:type="dxa"/>
          </w:tcPr>
          <w:p>
            <w:pPr>
              <w:pStyle w:val="0"/>
            </w:pPr>
            <w:r>
              <w:rPr>
                <w:sz w:val="20"/>
              </w:rPr>
              <w:t xml:space="preserve">Проведение повторных скрининговых исследований, подтверждающей диагностики новорожденных группы высокого риска, сформированной по результатам РНС</w:t>
            </w:r>
          </w:p>
        </w:tc>
        <w:tc>
          <w:tcPr>
            <w:tcW w:w="1154" w:type="dxa"/>
          </w:tcPr>
          <w:p>
            <w:pPr>
              <w:pStyle w:val="0"/>
            </w:pPr>
            <w:r>
              <w:rPr>
                <w:sz w:val="20"/>
              </w:rPr>
              <w:t xml:space="preserve">1 января 2023 года</w:t>
            </w:r>
          </w:p>
        </w:tc>
        <w:tc>
          <w:tcPr>
            <w:tcW w:w="1244" w:type="dxa"/>
          </w:tcPr>
          <w:p>
            <w:pPr>
              <w:pStyle w:val="0"/>
            </w:pPr>
            <w:r>
              <w:rPr>
                <w:sz w:val="20"/>
              </w:rPr>
              <w:t xml:space="preserve">31 декабря 2025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главный врач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главный внештатный специалист по медицинской генетике</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tc>
        <w:tc>
          <w:tcPr>
            <w:tcW w:w="2314" w:type="dxa"/>
          </w:tcPr>
          <w:p>
            <w:pPr>
              <w:pStyle w:val="0"/>
            </w:pPr>
            <w:r>
              <w:rPr>
                <w:sz w:val="20"/>
              </w:rPr>
              <w:t xml:space="preserve">Обеспечение охвата новорожденных группы высокого риска, направленных для</w:t>
            </w:r>
          </w:p>
          <w:p>
            <w:pPr>
              <w:pStyle w:val="0"/>
            </w:pPr>
            <w:r>
              <w:rPr>
                <w:sz w:val="20"/>
              </w:rPr>
              <w:t xml:space="preserve">проведения подтверждающей диагностики в ходе РНС, не менее</w:t>
            </w:r>
          </w:p>
          <w:p>
            <w:pPr>
              <w:pStyle w:val="0"/>
            </w:pPr>
            <w:r>
              <w:rPr>
                <w:sz w:val="20"/>
              </w:rPr>
              <w:t xml:space="preserve">95% к 2025 году</w:t>
            </w:r>
          </w:p>
        </w:tc>
        <w:tc>
          <w:tcPr>
            <w:tcW w:w="3304" w:type="dxa"/>
          </w:tcPr>
          <w:p>
            <w:pPr>
              <w:pStyle w:val="0"/>
            </w:pPr>
            <w:r>
              <w:rPr>
                <w:sz w:val="20"/>
              </w:rPr>
              <w:t xml:space="preserve">Приказ Департамента здравоохранения автономного округа, аналитический отчет главного внештатного специалиста по медицинской генетике Департамента здравоохранения автономного округа</w:t>
            </w:r>
          </w:p>
        </w:tc>
        <w:tc>
          <w:tcPr>
            <w:tcW w:w="3934" w:type="dxa"/>
          </w:tcPr>
          <w:p>
            <w:pPr>
              <w:pStyle w:val="0"/>
            </w:pPr>
            <w:r>
              <w:rPr>
                <w:sz w:val="20"/>
              </w:rPr>
              <w:t xml:space="preserve">Доля новорожденных группы высокого риска, направленных для проведения подтверждающей диагностики в ходе РНС,</w:t>
            </w:r>
          </w:p>
          <w:p>
            <w:pPr>
              <w:pStyle w:val="0"/>
            </w:pPr>
            <w:r>
              <w:rPr>
                <w:sz w:val="20"/>
              </w:rPr>
              <w:t xml:space="preserve">не менее:</w:t>
            </w:r>
          </w:p>
          <w:p>
            <w:pPr>
              <w:pStyle w:val="0"/>
            </w:pPr>
            <w:r>
              <w:rPr>
                <w:sz w:val="20"/>
              </w:rPr>
              <w:t xml:space="preserve">в 2023 году - 90%;</w:t>
            </w:r>
          </w:p>
          <w:p>
            <w:pPr>
              <w:pStyle w:val="0"/>
            </w:pPr>
            <w:r>
              <w:rPr>
                <w:sz w:val="20"/>
              </w:rPr>
              <w:t xml:space="preserve">в 2024 году - 95%;</w:t>
            </w:r>
          </w:p>
          <w:p>
            <w:pPr>
              <w:pStyle w:val="0"/>
            </w:pPr>
            <w:r>
              <w:rPr>
                <w:sz w:val="20"/>
              </w:rPr>
              <w:t xml:space="preserve">в 2025 году - 95%</w:t>
            </w:r>
          </w:p>
        </w:tc>
      </w:tr>
      <w:tr>
        <w:tc>
          <w:tcPr>
            <w:tcW w:w="484" w:type="dxa"/>
          </w:tcPr>
          <w:p>
            <w:pPr>
              <w:pStyle w:val="0"/>
            </w:pPr>
            <w:r>
              <w:rPr>
                <w:sz w:val="20"/>
              </w:rPr>
              <w:t xml:space="preserve">2.3.</w:t>
            </w:r>
          </w:p>
        </w:tc>
        <w:tc>
          <w:tcPr>
            <w:tcW w:w="2944" w:type="dxa"/>
          </w:tcPr>
          <w:p>
            <w:pPr>
              <w:pStyle w:val="0"/>
            </w:pPr>
            <w:r>
              <w:rPr>
                <w:sz w:val="20"/>
              </w:rPr>
              <w:t xml:space="preserve">Информирование родителей (законных представителей) новорожденных, специалистов медицинских организаций по месту жительства новорожденных о результатах РНС, повторного скринингового исследования подтверждающей диагностики</w:t>
            </w:r>
          </w:p>
        </w:tc>
        <w:tc>
          <w:tcPr>
            <w:tcW w:w="1154" w:type="dxa"/>
          </w:tcPr>
          <w:p>
            <w:pPr>
              <w:pStyle w:val="0"/>
            </w:pPr>
            <w:r>
              <w:rPr>
                <w:sz w:val="20"/>
              </w:rPr>
              <w:t xml:space="preserve">1 января 2023 года</w:t>
            </w:r>
          </w:p>
        </w:tc>
        <w:tc>
          <w:tcPr>
            <w:tcW w:w="1244" w:type="dxa"/>
          </w:tcPr>
          <w:p>
            <w:pPr>
              <w:pStyle w:val="0"/>
            </w:pPr>
            <w:r>
              <w:rPr>
                <w:sz w:val="20"/>
              </w:rPr>
              <w:t xml:space="preserve">31 декабря 2025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главный врач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главный внештатный специалист по медицинской генетике</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tc>
        <w:tc>
          <w:tcPr>
            <w:tcW w:w="2314" w:type="dxa"/>
          </w:tcPr>
          <w:p>
            <w:pPr>
              <w:pStyle w:val="0"/>
            </w:pPr>
            <w:r>
              <w:rPr>
                <w:sz w:val="20"/>
              </w:rPr>
              <w:t xml:space="preserve">Обеспечение выявления новорожденных с впервые в жизни установленными</w:t>
            </w:r>
          </w:p>
          <w:p>
            <w:pPr>
              <w:pStyle w:val="0"/>
            </w:pPr>
            <w:r>
              <w:rPr>
                <w:sz w:val="20"/>
              </w:rPr>
              <w:t xml:space="preserve">врожденными и (или) наследственными заболеваниями,</w:t>
            </w:r>
          </w:p>
          <w:p>
            <w:pPr>
              <w:pStyle w:val="0"/>
            </w:pPr>
            <w:r>
              <w:rPr>
                <w:sz w:val="20"/>
              </w:rPr>
              <w:t xml:space="preserve">выявленными при проведении РНС, от общего числа</w:t>
            </w:r>
          </w:p>
          <w:p>
            <w:pPr>
              <w:pStyle w:val="0"/>
            </w:pPr>
            <w:r>
              <w:rPr>
                <w:sz w:val="20"/>
              </w:rPr>
              <w:t xml:space="preserve">новорожденных, обследованных на РНС, к 2025 году - 0,1%</w:t>
            </w:r>
          </w:p>
        </w:tc>
        <w:tc>
          <w:tcPr>
            <w:tcW w:w="3304" w:type="dxa"/>
          </w:tcPr>
          <w:p>
            <w:pPr>
              <w:pStyle w:val="0"/>
            </w:pPr>
            <w:r>
              <w:rPr>
                <w:sz w:val="20"/>
              </w:rPr>
              <w:t xml:space="preserve">Приказ Департамента здравоохранения автономного округа,</w:t>
            </w:r>
          </w:p>
          <w:p>
            <w:pPr>
              <w:pStyle w:val="0"/>
            </w:pPr>
            <w:r>
              <w:rPr>
                <w:sz w:val="20"/>
              </w:rPr>
              <w:t xml:space="preserve">аналитический отчет</w:t>
            </w:r>
          </w:p>
          <w:p>
            <w:pPr>
              <w:pStyle w:val="0"/>
            </w:pPr>
            <w:r>
              <w:rPr>
                <w:sz w:val="20"/>
              </w:rPr>
              <w:t xml:space="preserve">главного внештатного специалиста по медицинской генетике</w:t>
            </w:r>
          </w:p>
          <w:p>
            <w:pPr>
              <w:pStyle w:val="0"/>
            </w:pPr>
            <w:r>
              <w:rPr>
                <w:sz w:val="20"/>
              </w:rPr>
              <w:t xml:space="preserve">Департамента здравоохранения автономного округа</w:t>
            </w:r>
          </w:p>
        </w:tc>
        <w:tc>
          <w:tcPr>
            <w:tcW w:w="3934" w:type="dxa"/>
          </w:tcPr>
          <w:p>
            <w:pPr>
              <w:pStyle w:val="0"/>
            </w:pPr>
            <w:r>
              <w:rPr>
                <w:sz w:val="20"/>
              </w:rPr>
              <w:t xml:space="preserve">Доля новорожденных с впервые в жизни установленными</w:t>
            </w:r>
          </w:p>
          <w:p>
            <w:pPr>
              <w:pStyle w:val="0"/>
            </w:pPr>
            <w:r>
              <w:rPr>
                <w:sz w:val="20"/>
              </w:rPr>
              <w:t xml:space="preserve">врожденными и (или) наследственными заболеваниями,</w:t>
            </w:r>
          </w:p>
          <w:p>
            <w:pPr>
              <w:pStyle w:val="0"/>
            </w:pPr>
            <w:r>
              <w:rPr>
                <w:sz w:val="20"/>
              </w:rPr>
              <w:t xml:space="preserve">выявленными при проведении РНС, от общего числа</w:t>
            </w:r>
          </w:p>
          <w:p>
            <w:pPr>
              <w:pStyle w:val="0"/>
            </w:pPr>
            <w:r>
              <w:rPr>
                <w:sz w:val="20"/>
              </w:rPr>
              <w:t xml:space="preserve">новорожденных, обследованных на РНС:</w:t>
            </w:r>
          </w:p>
          <w:p>
            <w:pPr>
              <w:pStyle w:val="0"/>
            </w:pPr>
            <w:r>
              <w:rPr>
                <w:sz w:val="20"/>
              </w:rPr>
              <w:t xml:space="preserve">в 2023 году - 0,1%;</w:t>
            </w:r>
          </w:p>
          <w:p>
            <w:pPr>
              <w:pStyle w:val="0"/>
            </w:pPr>
            <w:r>
              <w:rPr>
                <w:sz w:val="20"/>
              </w:rPr>
              <w:t xml:space="preserve">в 2024 году - 0,1%;</w:t>
            </w:r>
          </w:p>
          <w:p>
            <w:pPr>
              <w:pStyle w:val="0"/>
            </w:pPr>
            <w:r>
              <w:rPr>
                <w:sz w:val="20"/>
              </w:rPr>
              <w:t xml:space="preserve">в 2025 году - 0,1%</w:t>
            </w:r>
          </w:p>
        </w:tc>
      </w:tr>
      <w:tr>
        <w:tc>
          <w:tcPr>
            <w:tcW w:w="484" w:type="dxa"/>
          </w:tcPr>
          <w:p>
            <w:pPr>
              <w:pStyle w:val="0"/>
            </w:pPr>
            <w:r>
              <w:rPr>
                <w:sz w:val="20"/>
              </w:rPr>
              <w:t xml:space="preserve">3.</w:t>
            </w:r>
          </w:p>
        </w:tc>
        <w:tc>
          <w:tcPr>
            <w:gridSpan w:val="7"/>
            <w:tcW w:w="18972" w:type="dxa"/>
          </w:tcPr>
          <w:p>
            <w:pPr>
              <w:pStyle w:val="0"/>
            </w:pPr>
            <w:r>
              <w:rPr>
                <w:sz w:val="20"/>
              </w:rPr>
              <w:t xml:space="preserve">Совершенствование материально-технической базы медико-генетической консультации БУ автономного округа "Сургутский окружной клинический центр охраны материнства и детства"</w:t>
            </w:r>
          </w:p>
        </w:tc>
      </w:tr>
      <w:tr>
        <w:tc>
          <w:tcPr>
            <w:tcW w:w="484" w:type="dxa"/>
          </w:tcPr>
          <w:p>
            <w:pPr>
              <w:pStyle w:val="0"/>
            </w:pPr>
            <w:r>
              <w:rPr>
                <w:sz w:val="20"/>
              </w:rPr>
              <w:t xml:space="preserve">3.1.</w:t>
            </w:r>
          </w:p>
        </w:tc>
        <w:tc>
          <w:tcPr>
            <w:tcW w:w="2944" w:type="dxa"/>
          </w:tcPr>
          <w:p>
            <w:pPr>
              <w:pStyle w:val="0"/>
            </w:pPr>
            <w:r>
              <w:rPr>
                <w:sz w:val="20"/>
              </w:rPr>
              <w:t xml:space="preserve">Подготовка "дорожной карты" по дооснащению медицинским оборудованием медико-генетической консультации БУ автономного округа "Сургутский окружной клинический центр охраны материнства и детства"</w:t>
            </w:r>
          </w:p>
        </w:tc>
        <w:tc>
          <w:tcPr>
            <w:tcW w:w="1154" w:type="dxa"/>
          </w:tcPr>
          <w:p>
            <w:pPr>
              <w:pStyle w:val="0"/>
            </w:pPr>
            <w:r>
              <w:rPr>
                <w:sz w:val="20"/>
              </w:rPr>
              <w:t xml:space="preserve">1 января 2023 года</w:t>
            </w:r>
          </w:p>
        </w:tc>
        <w:tc>
          <w:tcPr>
            <w:tcW w:w="1244" w:type="dxa"/>
          </w:tcPr>
          <w:p>
            <w:pPr>
              <w:pStyle w:val="0"/>
            </w:pPr>
            <w:r>
              <w:rPr>
                <w:sz w:val="20"/>
              </w:rPr>
              <w:t xml:space="preserve">31 декабря 2025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главный врач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главный внештатный специалист по медицинской генетике</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tc>
        <w:tc>
          <w:tcPr>
            <w:tcW w:w="2314" w:type="dxa"/>
          </w:tcPr>
          <w:p>
            <w:pPr>
              <w:pStyle w:val="0"/>
            </w:pPr>
            <w:r>
              <w:rPr>
                <w:sz w:val="20"/>
              </w:rPr>
              <w:t xml:space="preserve">Дооснащение медико-генетической консультации БУ автономного округа "Сургутский окружной клинический центр охраны материнства и детства" в соответствии с </w:t>
            </w:r>
            <w:hyperlink w:history="0" r:id="rId247"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0"/>
                  <w:color w:val="0000ff"/>
                </w:rPr>
                <w:t xml:space="preserve">Порядком</w:t>
              </w:r>
            </w:hyperlink>
            <w:r>
              <w:rPr>
                <w:sz w:val="20"/>
              </w:rPr>
              <w:t xml:space="preserve"> оказания медицинской помощи пациентам с врожденными</w:t>
            </w:r>
          </w:p>
          <w:p>
            <w:pPr>
              <w:pStyle w:val="0"/>
            </w:pPr>
            <w:r>
              <w:rPr>
                <w:sz w:val="20"/>
              </w:rPr>
              <w:t xml:space="preserve">и (или) наследственными заболеваниями, утвержденным Приказом N 274н</w:t>
            </w:r>
          </w:p>
        </w:tc>
        <w:tc>
          <w:tcPr>
            <w:tcW w:w="3304" w:type="dxa"/>
          </w:tcPr>
          <w:p>
            <w:pPr>
              <w:pStyle w:val="0"/>
            </w:pPr>
            <w:r>
              <w:rPr>
                <w:sz w:val="20"/>
              </w:rPr>
              <w:t xml:space="preserve">Приказ Департамента здравоохранения</w:t>
            </w:r>
          </w:p>
          <w:p>
            <w:pPr>
              <w:pStyle w:val="0"/>
            </w:pPr>
            <w:r>
              <w:rPr>
                <w:sz w:val="20"/>
              </w:rPr>
              <w:t xml:space="preserve">автономного округа</w:t>
            </w:r>
          </w:p>
        </w:tc>
        <w:tc>
          <w:tcPr>
            <w:tcW w:w="3934" w:type="dxa"/>
          </w:tcPr>
          <w:p>
            <w:pPr>
              <w:pStyle w:val="0"/>
            </w:pPr>
            <w:r>
              <w:rPr>
                <w:sz w:val="20"/>
              </w:rPr>
              <w:t xml:space="preserve">Дооснащение оборудованием в 2023 - 2025 гг.</w:t>
            </w:r>
          </w:p>
          <w:p>
            <w:pPr>
              <w:pStyle w:val="0"/>
            </w:pPr>
            <w:r>
              <w:rPr>
                <w:sz w:val="20"/>
              </w:rPr>
              <w:t xml:space="preserve">в количестве 61 единицы</w:t>
            </w:r>
          </w:p>
          <w:p>
            <w:pPr>
              <w:pStyle w:val="0"/>
            </w:pPr>
            <w:r>
              <w:rPr>
                <w:sz w:val="20"/>
              </w:rPr>
              <w:t xml:space="preserve">(в соответствии со сроками, указанными в "дорожной карте")</w:t>
            </w:r>
          </w:p>
        </w:tc>
      </w:tr>
      <w:tr>
        <w:tc>
          <w:tcPr>
            <w:tcW w:w="484" w:type="dxa"/>
          </w:tcPr>
          <w:p>
            <w:pPr>
              <w:pStyle w:val="0"/>
            </w:pPr>
            <w:r>
              <w:rPr>
                <w:sz w:val="20"/>
              </w:rPr>
              <w:t xml:space="preserve">4.</w:t>
            </w:r>
          </w:p>
        </w:tc>
        <w:tc>
          <w:tcPr>
            <w:gridSpan w:val="7"/>
            <w:tcW w:w="18972" w:type="dxa"/>
          </w:tcPr>
          <w:p>
            <w:pPr>
              <w:pStyle w:val="0"/>
            </w:pPr>
            <w:r>
              <w:rPr>
                <w:sz w:val="20"/>
              </w:rPr>
              <w:t xml:space="preserve">Обеспечение квалифицированными кадрами медицинских организаций, оказывающих медицинскую помощь детям с врожденными и (или) наследственными заболеваниями, выявленными в ходе РНС</w:t>
            </w:r>
          </w:p>
        </w:tc>
      </w:tr>
      <w:tr>
        <w:tc>
          <w:tcPr>
            <w:tcW w:w="484" w:type="dxa"/>
          </w:tcPr>
          <w:p>
            <w:pPr>
              <w:pStyle w:val="0"/>
            </w:pPr>
            <w:r>
              <w:rPr>
                <w:sz w:val="20"/>
              </w:rPr>
              <w:t xml:space="preserve">4.1.</w:t>
            </w:r>
          </w:p>
        </w:tc>
        <w:tc>
          <w:tcPr>
            <w:tcW w:w="2944" w:type="dxa"/>
          </w:tcPr>
          <w:p>
            <w:pPr>
              <w:pStyle w:val="0"/>
            </w:pPr>
            <w:r>
              <w:rPr>
                <w:sz w:val="20"/>
              </w:rPr>
              <w:t xml:space="preserve">Обеспечение квалифицированными медицинскими кадрами медико-генетической консультации БУ автономного округа "Сургутский окружной клинический центр охраны материнства и детства"</w:t>
            </w:r>
          </w:p>
        </w:tc>
        <w:tc>
          <w:tcPr>
            <w:tcW w:w="1154" w:type="dxa"/>
          </w:tcPr>
          <w:p>
            <w:pPr>
              <w:pStyle w:val="0"/>
            </w:pPr>
            <w:r>
              <w:rPr>
                <w:sz w:val="20"/>
              </w:rPr>
              <w:t xml:space="preserve">1 января 2023 года</w:t>
            </w:r>
          </w:p>
        </w:tc>
        <w:tc>
          <w:tcPr>
            <w:tcW w:w="1244" w:type="dxa"/>
          </w:tcPr>
          <w:p>
            <w:pPr>
              <w:pStyle w:val="0"/>
            </w:pPr>
            <w:r>
              <w:rPr>
                <w:sz w:val="20"/>
              </w:rPr>
              <w:t xml:space="preserve">31 декабря 2025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главный врач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главный внештатный специалист по медицинской генетике</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tc>
        <w:tc>
          <w:tcPr>
            <w:tcW w:w="2314" w:type="dxa"/>
          </w:tcPr>
          <w:p>
            <w:pPr>
              <w:pStyle w:val="0"/>
            </w:pPr>
            <w:r>
              <w:rPr>
                <w:sz w:val="20"/>
              </w:rPr>
              <w:t xml:space="preserve">Обеспечение медицинскими кадрами медико-генетической консультации БУ автономного округа "Сургутский окружной клинический центр охраны материнства и детства" в соответствии с </w:t>
            </w:r>
            <w:hyperlink w:history="0" r:id="rId248" w:tooltip="Приказ Минздрава России от 21.04.2022 N 274н &quot;Об утверждении Порядка оказания медицинской помощи пациентам с врожденными и (или) наследственными заболеваниями&quot; (Зарегистрировано в Минюсте России 13.07.2022 N 69251) {КонсультантПлюс}">
              <w:r>
                <w:rPr>
                  <w:sz w:val="20"/>
                  <w:color w:val="0000ff"/>
                </w:rPr>
                <w:t xml:space="preserve">Приказом</w:t>
              </w:r>
            </w:hyperlink>
            <w:r>
              <w:rPr>
                <w:sz w:val="20"/>
              </w:rPr>
              <w:t xml:space="preserve"> N 274н</w:t>
            </w:r>
          </w:p>
        </w:tc>
        <w:tc>
          <w:tcPr>
            <w:tcW w:w="3304" w:type="dxa"/>
          </w:tcPr>
          <w:p>
            <w:pPr>
              <w:pStyle w:val="0"/>
            </w:pPr>
            <w:r>
              <w:rPr>
                <w:sz w:val="20"/>
              </w:rPr>
              <w:t xml:space="preserve">Приказ Департамента здравоохранения автономного округа,</w:t>
            </w:r>
          </w:p>
          <w:p>
            <w:pPr>
              <w:pStyle w:val="0"/>
            </w:pPr>
            <w:r>
              <w:rPr>
                <w:sz w:val="20"/>
              </w:rPr>
              <w:t xml:space="preserve">отчеты руководителей БУ автономного округа "Сургутский окружной клинический центр охраны материнства и детства", "Нижневартовская окружная клиническая детская больница"</w:t>
            </w:r>
          </w:p>
        </w:tc>
        <w:tc>
          <w:tcPr>
            <w:tcW w:w="3934" w:type="dxa"/>
          </w:tcPr>
          <w:p>
            <w:pPr>
              <w:pStyle w:val="0"/>
            </w:pPr>
            <w:r>
              <w:rPr>
                <w:sz w:val="20"/>
              </w:rPr>
              <w:t xml:space="preserve">Доукомплектование медицинскими кадрами:</w:t>
            </w:r>
          </w:p>
          <w:p>
            <w:pPr>
              <w:pStyle w:val="0"/>
            </w:pPr>
            <w:r>
              <w:rPr>
                <w:sz w:val="20"/>
              </w:rPr>
              <w:t xml:space="preserve">в 2023 году: 1 врач - лабораторный генетик,</w:t>
            </w:r>
          </w:p>
          <w:p>
            <w:pPr>
              <w:pStyle w:val="0"/>
            </w:pPr>
            <w:r>
              <w:rPr>
                <w:sz w:val="20"/>
              </w:rPr>
              <w:t xml:space="preserve">3 медицинских лабораторных техников;</w:t>
            </w:r>
          </w:p>
          <w:p>
            <w:pPr>
              <w:pStyle w:val="0"/>
            </w:pPr>
            <w:r>
              <w:rPr>
                <w:sz w:val="20"/>
              </w:rPr>
              <w:t xml:space="preserve">в 2024 году:</w:t>
            </w:r>
          </w:p>
          <w:p>
            <w:pPr>
              <w:pStyle w:val="0"/>
            </w:pPr>
            <w:r>
              <w:rPr>
                <w:sz w:val="20"/>
              </w:rPr>
              <w:t xml:space="preserve">1 врач клинической лабораторной диагностики (биолог),</w:t>
            </w:r>
          </w:p>
          <w:p>
            <w:pPr>
              <w:pStyle w:val="0"/>
            </w:pPr>
            <w:r>
              <w:rPr>
                <w:sz w:val="20"/>
              </w:rPr>
              <w:t xml:space="preserve">3 медицинских лабораторных техников</w:t>
            </w:r>
          </w:p>
        </w:tc>
      </w:tr>
      <w:tr>
        <w:tc>
          <w:tcPr>
            <w:tcW w:w="484" w:type="dxa"/>
          </w:tcPr>
          <w:p>
            <w:pPr>
              <w:pStyle w:val="0"/>
            </w:pPr>
            <w:r>
              <w:rPr>
                <w:sz w:val="20"/>
              </w:rPr>
              <w:t xml:space="preserve">4.2.</w:t>
            </w:r>
          </w:p>
        </w:tc>
        <w:tc>
          <w:tcPr>
            <w:tcW w:w="2944" w:type="dxa"/>
          </w:tcPr>
          <w:p>
            <w:pPr>
              <w:pStyle w:val="0"/>
            </w:pPr>
            <w:r>
              <w:rPr>
                <w:sz w:val="20"/>
              </w:rPr>
              <w:t xml:space="preserve">Повышение квалификации медицинских работников, участвующих в оказании медицинской помощи пациентам с врожденными и (или) наследственными заболеваниями, проведении НС и РНС, в том числе в ходе системы непрерывного медицинского образования</w:t>
            </w:r>
          </w:p>
        </w:tc>
        <w:tc>
          <w:tcPr>
            <w:tcW w:w="1154" w:type="dxa"/>
          </w:tcPr>
          <w:p>
            <w:pPr>
              <w:pStyle w:val="0"/>
            </w:pPr>
            <w:r>
              <w:rPr>
                <w:sz w:val="20"/>
              </w:rPr>
              <w:t xml:space="preserve">1 января 2023 года</w:t>
            </w:r>
          </w:p>
        </w:tc>
        <w:tc>
          <w:tcPr>
            <w:tcW w:w="1244" w:type="dxa"/>
          </w:tcPr>
          <w:p>
            <w:pPr>
              <w:pStyle w:val="0"/>
            </w:pPr>
            <w:r>
              <w:rPr>
                <w:sz w:val="20"/>
              </w:rPr>
              <w:t xml:space="preserve">31 декабря 2025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главный врач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главный внештатный специалист по медицинской генетике</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врач БУ автономного округа</w:t>
            </w:r>
          </w:p>
          <w:p>
            <w:pPr>
              <w:pStyle w:val="0"/>
            </w:pPr>
            <w:r>
              <w:rPr>
                <w:sz w:val="20"/>
              </w:rPr>
              <w:t xml:space="preserve">"Нижневартовская окружная клиническая детская больница"</w:t>
            </w:r>
          </w:p>
          <w:p>
            <w:pPr>
              <w:pStyle w:val="0"/>
            </w:pPr>
            <w:r>
              <w:rPr>
                <w:sz w:val="20"/>
              </w:rPr>
              <w:t xml:space="preserve">(по согласованию)</w:t>
            </w:r>
          </w:p>
        </w:tc>
        <w:tc>
          <w:tcPr>
            <w:tcW w:w="2314" w:type="dxa"/>
          </w:tcPr>
          <w:p>
            <w:pPr>
              <w:pStyle w:val="0"/>
            </w:pPr>
            <w:r>
              <w:rPr>
                <w:sz w:val="20"/>
              </w:rPr>
              <w:t xml:space="preserve">Повышение квалификации медицинских работников, участвующих в оказании медицинской помощи пациентам с врожденными и (или) наследственными заболеваниями, проведении НС и РНС</w:t>
            </w:r>
          </w:p>
        </w:tc>
        <w:tc>
          <w:tcPr>
            <w:tcW w:w="3304" w:type="dxa"/>
          </w:tcPr>
          <w:p>
            <w:pPr>
              <w:pStyle w:val="0"/>
            </w:pPr>
            <w:r>
              <w:rPr>
                <w:sz w:val="20"/>
              </w:rPr>
              <w:t xml:space="preserve">Приказ Департамента здравоохранения автономного округа,</w:t>
            </w:r>
          </w:p>
          <w:p>
            <w:pPr>
              <w:pStyle w:val="0"/>
            </w:pPr>
            <w:r>
              <w:rPr>
                <w:sz w:val="20"/>
              </w:rPr>
              <w:t xml:space="preserve">отчеты руководителей БУ автономного округа "Сургутский окружной клинический центр охраны материнства и детства", "Нижневартовская окружная клиническая детская больница"</w:t>
            </w:r>
          </w:p>
        </w:tc>
        <w:tc>
          <w:tcPr>
            <w:tcW w:w="3934" w:type="dxa"/>
          </w:tcPr>
          <w:p>
            <w:pPr>
              <w:pStyle w:val="0"/>
            </w:pPr>
            <w:r>
              <w:rPr>
                <w:sz w:val="20"/>
              </w:rPr>
              <w:t xml:space="preserve">Повышена квалификация медицинских работников:</w:t>
            </w:r>
          </w:p>
          <w:p>
            <w:pPr>
              <w:pStyle w:val="0"/>
            </w:pPr>
            <w:r>
              <w:rPr>
                <w:sz w:val="20"/>
              </w:rPr>
              <w:t xml:space="preserve">в 2023 году - 100 чел;</w:t>
            </w:r>
          </w:p>
          <w:p>
            <w:pPr>
              <w:pStyle w:val="0"/>
            </w:pPr>
            <w:r>
              <w:rPr>
                <w:sz w:val="20"/>
              </w:rPr>
              <w:t xml:space="preserve">в 2024 году - 150;</w:t>
            </w:r>
          </w:p>
          <w:p>
            <w:pPr>
              <w:pStyle w:val="0"/>
            </w:pPr>
            <w:r>
              <w:rPr>
                <w:sz w:val="20"/>
              </w:rPr>
              <w:t xml:space="preserve">в 2025 году - 200</w:t>
            </w:r>
          </w:p>
        </w:tc>
      </w:tr>
      <w:tr>
        <w:tc>
          <w:tcPr>
            <w:tcW w:w="484" w:type="dxa"/>
          </w:tcPr>
          <w:p>
            <w:pPr>
              <w:pStyle w:val="0"/>
            </w:pPr>
            <w:r>
              <w:rPr>
                <w:sz w:val="20"/>
              </w:rPr>
              <w:t xml:space="preserve">5.</w:t>
            </w:r>
          </w:p>
        </w:tc>
        <w:tc>
          <w:tcPr>
            <w:gridSpan w:val="7"/>
            <w:tcW w:w="18972" w:type="dxa"/>
          </w:tcPr>
          <w:p>
            <w:pPr>
              <w:pStyle w:val="0"/>
            </w:pPr>
            <w:r>
              <w:rPr>
                <w:sz w:val="20"/>
              </w:rPr>
              <w:t xml:space="preserve">Информационное взаимодействие, сопровождающее оказание медицинской помощи детям с врожденными и (или) наследственными заболеваниями, выявленными при РНС</w:t>
            </w:r>
          </w:p>
        </w:tc>
      </w:tr>
      <w:tr>
        <w:tc>
          <w:tcPr>
            <w:tcW w:w="484" w:type="dxa"/>
          </w:tcPr>
          <w:p>
            <w:pPr>
              <w:pStyle w:val="0"/>
            </w:pPr>
            <w:r>
              <w:rPr>
                <w:sz w:val="20"/>
              </w:rPr>
              <w:t xml:space="preserve">5.1.</w:t>
            </w:r>
          </w:p>
        </w:tc>
        <w:tc>
          <w:tcPr>
            <w:tcW w:w="2944" w:type="dxa"/>
          </w:tcPr>
          <w:p>
            <w:pPr>
              <w:pStyle w:val="0"/>
            </w:pPr>
            <w:r>
              <w:rPr>
                <w:sz w:val="20"/>
              </w:rPr>
              <w:t xml:space="preserve">Организация информационного взаимодействия при проведении РНС (оформление СЭМД "Медицинского свидетельства о рождении", СЭМД "Направление на неонатальный скрининг", СЭМД "Протокол лабораторного исследования", интеграция МИС медицинских организаций с ГИС СЗ, ЕГИСЗ и ВИМИС "АКиНЕО", ведение регионального сегмента федерального регистра новорожденных с выявленными наследственными и (или) врожденными заболеваниями в результате проведения РНС)</w:t>
            </w:r>
          </w:p>
        </w:tc>
        <w:tc>
          <w:tcPr>
            <w:tcW w:w="1154" w:type="dxa"/>
          </w:tcPr>
          <w:p>
            <w:pPr>
              <w:pStyle w:val="0"/>
            </w:pPr>
            <w:r>
              <w:rPr>
                <w:sz w:val="20"/>
              </w:rPr>
              <w:t xml:space="preserve">1 января 2023 года</w:t>
            </w:r>
          </w:p>
        </w:tc>
        <w:tc>
          <w:tcPr>
            <w:tcW w:w="1244" w:type="dxa"/>
          </w:tcPr>
          <w:p>
            <w:pPr>
              <w:pStyle w:val="0"/>
            </w:pPr>
            <w:r>
              <w:rPr>
                <w:sz w:val="20"/>
              </w:rPr>
              <w:t xml:space="preserve">31 декабря 2025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главный врач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главный внештатный специалист по медицинской генетике 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врач БУ автономного округа "Нижневартовская окружная клиническая детская больница"</w:t>
            </w:r>
          </w:p>
          <w:p>
            <w:pPr>
              <w:pStyle w:val="0"/>
            </w:pPr>
            <w:r>
              <w:rPr>
                <w:sz w:val="20"/>
              </w:rPr>
              <w:t xml:space="preserve">(по согласованию),</w:t>
            </w:r>
          </w:p>
          <w:p>
            <w:pPr>
              <w:pStyle w:val="0"/>
            </w:pPr>
            <w:r>
              <w:rPr>
                <w:sz w:val="20"/>
              </w:rPr>
              <w:t xml:space="preserve">главный врач БУ автономного округа</w:t>
            </w:r>
          </w:p>
          <w:p>
            <w:pPr>
              <w:pStyle w:val="0"/>
            </w:pPr>
            <w:r>
              <w:rPr>
                <w:sz w:val="20"/>
              </w:rPr>
              <w:t xml:space="preserve">"Окружная клиническая больница"</w:t>
            </w:r>
          </w:p>
          <w:p>
            <w:pPr>
              <w:pStyle w:val="0"/>
            </w:pPr>
            <w:r>
              <w:rPr>
                <w:sz w:val="20"/>
              </w:rPr>
              <w:t xml:space="preserve">(по согласованию),</w:t>
            </w:r>
          </w:p>
          <w:p>
            <w:pPr>
              <w:pStyle w:val="0"/>
            </w:pPr>
            <w:r>
              <w:rPr>
                <w:sz w:val="20"/>
              </w:rPr>
              <w:t xml:space="preserve">главный врач БУ автономного округа "Нижневартовский окружной клинический перинатальный центр"</w:t>
            </w:r>
          </w:p>
          <w:p>
            <w:pPr>
              <w:pStyle w:val="0"/>
            </w:pPr>
            <w:r>
              <w:rPr>
                <w:sz w:val="20"/>
              </w:rPr>
              <w:t xml:space="preserve">(по согласованию),</w:t>
            </w:r>
          </w:p>
          <w:p>
            <w:pPr>
              <w:pStyle w:val="0"/>
            </w:pPr>
            <w:r>
              <w:rPr>
                <w:sz w:val="20"/>
              </w:rPr>
              <w:t xml:space="preserve">директор БУ автономного округа "Медицинский информационно-аналитический центр"</w:t>
            </w:r>
          </w:p>
          <w:p>
            <w:pPr>
              <w:pStyle w:val="0"/>
            </w:pPr>
            <w:r>
              <w:rPr>
                <w:sz w:val="20"/>
              </w:rPr>
              <w:t xml:space="preserve">(по согласованию)</w:t>
            </w:r>
          </w:p>
        </w:tc>
        <w:tc>
          <w:tcPr>
            <w:tcW w:w="2314" w:type="dxa"/>
          </w:tcPr>
          <w:p>
            <w:pPr>
              <w:pStyle w:val="0"/>
            </w:pPr>
            <w:r>
              <w:rPr>
                <w:sz w:val="20"/>
              </w:rPr>
              <w:t xml:space="preserve">100% оформление</w:t>
            </w:r>
          </w:p>
          <w:p>
            <w:pPr>
              <w:pStyle w:val="0"/>
            </w:pPr>
            <w:r>
              <w:rPr>
                <w:sz w:val="20"/>
              </w:rPr>
              <w:t xml:space="preserve">СЭМД "Медицинского свидетельства о рождении", СЭМД "Направление на неонатальный скрининг",</w:t>
            </w:r>
          </w:p>
          <w:p>
            <w:pPr>
              <w:pStyle w:val="0"/>
            </w:pPr>
            <w:r>
              <w:rPr>
                <w:sz w:val="20"/>
              </w:rPr>
              <w:t xml:space="preserve">СЭМД "Протокол лабораторного исследования"</w:t>
            </w:r>
          </w:p>
        </w:tc>
        <w:tc>
          <w:tcPr>
            <w:tcW w:w="3304" w:type="dxa"/>
          </w:tcPr>
          <w:p>
            <w:pPr>
              <w:pStyle w:val="0"/>
            </w:pPr>
            <w:r>
              <w:rPr>
                <w:sz w:val="20"/>
              </w:rPr>
              <w:t xml:space="preserve">Приказ Департамента здравоохранения автономного округа</w:t>
            </w:r>
          </w:p>
        </w:tc>
        <w:tc>
          <w:tcPr>
            <w:tcW w:w="3934" w:type="dxa"/>
          </w:tcPr>
          <w:p>
            <w:pPr>
              <w:pStyle w:val="0"/>
            </w:pPr>
            <w:r>
              <w:rPr>
                <w:sz w:val="20"/>
              </w:rPr>
              <w:t xml:space="preserve">Оформление</w:t>
            </w:r>
          </w:p>
          <w:p>
            <w:pPr>
              <w:pStyle w:val="0"/>
            </w:pPr>
            <w:r>
              <w:rPr>
                <w:sz w:val="20"/>
              </w:rPr>
              <w:t xml:space="preserve">СЭМД "Медицинского свидетельства о рождении", СЭМД "Направление на неонатальный скрининг",</w:t>
            </w:r>
          </w:p>
          <w:p>
            <w:pPr>
              <w:pStyle w:val="0"/>
            </w:pPr>
            <w:r>
              <w:rPr>
                <w:sz w:val="20"/>
              </w:rPr>
              <w:t xml:space="preserve">СЭМД "Протокол лабораторного исследования":</w:t>
            </w:r>
          </w:p>
          <w:p>
            <w:pPr>
              <w:pStyle w:val="0"/>
            </w:pPr>
            <w:r>
              <w:rPr>
                <w:sz w:val="20"/>
              </w:rPr>
              <w:t xml:space="preserve">в 2023 году - 100%;</w:t>
            </w:r>
          </w:p>
          <w:p>
            <w:pPr>
              <w:pStyle w:val="0"/>
            </w:pPr>
            <w:r>
              <w:rPr>
                <w:sz w:val="20"/>
              </w:rPr>
              <w:t xml:space="preserve">в 2024 году - 100%;</w:t>
            </w:r>
          </w:p>
          <w:p>
            <w:pPr>
              <w:pStyle w:val="0"/>
            </w:pPr>
            <w:r>
              <w:rPr>
                <w:sz w:val="20"/>
              </w:rPr>
              <w:t xml:space="preserve">в 2025 году - 100%</w:t>
            </w:r>
          </w:p>
        </w:tc>
      </w:tr>
      <w:tr>
        <w:tc>
          <w:tcPr>
            <w:tcW w:w="484" w:type="dxa"/>
          </w:tcPr>
          <w:p>
            <w:pPr>
              <w:pStyle w:val="0"/>
            </w:pPr>
            <w:r>
              <w:rPr>
                <w:sz w:val="20"/>
              </w:rPr>
              <w:t xml:space="preserve">5.2.</w:t>
            </w:r>
          </w:p>
        </w:tc>
        <w:tc>
          <w:tcPr>
            <w:tcW w:w="2944" w:type="dxa"/>
          </w:tcPr>
          <w:p>
            <w:pPr>
              <w:pStyle w:val="0"/>
            </w:pPr>
            <w:r>
              <w:rPr>
                <w:sz w:val="20"/>
              </w:rPr>
              <w:t xml:space="preserve">Обеспечение функционирования телемедицинского центра для консультаций пациентов, проведение консультаций/консилиумов пациентов с профильными национальными медицинскими исследовательскими центрами)</w:t>
            </w:r>
          </w:p>
        </w:tc>
        <w:tc>
          <w:tcPr>
            <w:tcW w:w="1154" w:type="dxa"/>
          </w:tcPr>
          <w:p>
            <w:pPr>
              <w:pStyle w:val="0"/>
            </w:pPr>
            <w:r>
              <w:rPr>
                <w:sz w:val="20"/>
              </w:rPr>
              <w:t xml:space="preserve">1 января 2023 года</w:t>
            </w:r>
          </w:p>
        </w:tc>
        <w:tc>
          <w:tcPr>
            <w:tcW w:w="1244" w:type="dxa"/>
          </w:tcPr>
          <w:p>
            <w:pPr>
              <w:pStyle w:val="0"/>
            </w:pPr>
            <w:r>
              <w:rPr>
                <w:sz w:val="20"/>
              </w:rPr>
              <w:t xml:space="preserve">31 декабря 2025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главный врач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главный внештатный специалист по медицинской генетике</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врач БУ автономного округа</w:t>
            </w:r>
          </w:p>
          <w:p>
            <w:pPr>
              <w:pStyle w:val="0"/>
            </w:pPr>
            <w:r>
              <w:rPr>
                <w:sz w:val="20"/>
              </w:rPr>
              <w:t xml:space="preserve">"Нижневартовская окружная клиническая детская больница"</w:t>
            </w:r>
          </w:p>
          <w:p>
            <w:pPr>
              <w:pStyle w:val="0"/>
            </w:pPr>
            <w:r>
              <w:rPr>
                <w:sz w:val="20"/>
              </w:rPr>
              <w:t xml:space="preserve">(по согласованию),</w:t>
            </w:r>
          </w:p>
          <w:p>
            <w:pPr>
              <w:pStyle w:val="0"/>
            </w:pPr>
            <w:r>
              <w:rPr>
                <w:sz w:val="20"/>
              </w:rPr>
              <w:t xml:space="preserve">главный врач БУ автономного округа</w:t>
            </w:r>
          </w:p>
          <w:p>
            <w:pPr>
              <w:pStyle w:val="0"/>
            </w:pPr>
            <w:r>
              <w:rPr>
                <w:sz w:val="20"/>
              </w:rPr>
              <w:t xml:space="preserve">"Окружная клиническая больница"</w:t>
            </w:r>
          </w:p>
          <w:p>
            <w:pPr>
              <w:pStyle w:val="0"/>
            </w:pPr>
            <w:r>
              <w:rPr>
                <w:sz w:val="20"/>
              </w:rPr>
              <w:t xml:space="preserve">(по согласованию),</w:t>
            </w:r>
          </w:p>
          <w:p>
            <w:pPr>
              <w:pStyle w:val="0"/>
            </w:pPr>
            <w:r>
              <w:rPr>
                <w:sz w:val="20"/>
              </w:rPr>
              <w:t xml:space="preserve">директор БУ автономного округа</w:t>
            </w:r>
          </w:p>
          <w:p>
            <w:pPr>
              <w:pStyle w:val="0"/>
            </w:pPr>
            <w:r>
              <w:rPr>
                <w:sz w:val="20"/>
              </w:rPr>
              <w:t xml:space="preserve">"Медицинский информационно-аналитический центр"</w:t>
            </w:r>
          </w:p>
          <w:p>
            <w:pPr>
              <w:pStyle w:val="0"/>
            </w:pPr>
            <w:r>
              <w:rPr>
                <w:sz w:val="20"/>
              </w:rPr>
              <w:t xml:space="preserve">(по согласованию)</w:t>
            </w:r>
          </w:p>
        </w:tc>
        <w:tc>
          <w:tcPr>
            <w:tcW w:w="2314" w:type="dxa"/>
          </w:tcPr>
          <w:p>
            <w:pPr>
              <w:pStyle w:val="0"/>
            </w:pPr>
            <w:r>
              <w:rPr>
                <w:sz w:val="20"/>
              </w:rPr>
              <w:t xml:space="preserve">Организация медицинской помощи пациентам с врожденными</w:t>
            </w:r>
          </w:p>
          <w:p>
            <w:pPr>
              <w:pStyle w:val="0"/>
            </w:pPr>
            <w:r>
              <w:rPr>
                <w:sz w:val="20"/>
              </w:rPr>
              <w:t xml:space="preserve">и (или) наследственными заболеваниями с привлечением специалистов профильных национальных медицинских исследовательских</w:t>
            </w:r>
          </w:p>
          <w:p>
            <w:pPr>
              <w:pStyle w:val="0"/>
            </w:pPr>
            <w:r>
              <w:rPr>
                <w:sz w:val="20"/>
              </w:rPr>
              <w:t xml:space="preserve">центров с использованием телемедицинских технологий</w:t>
            </w:r>
          </w:p>
        </w:tc>
        <w:tc>
          <w:tcPr>
            <w:tcW w:w="3304" w:type="dxa"/>
          </w:tcPr>
          <w:p>
            <w:pPr>
              <w:pStyle w:val="0"/>
            </w:pPr>
            <w:r>
              <w:rPr>
                <w:sz w:val="20"/>
              </w:rPr>
              <w:t xml:space="preserve">Приказ Департамента здравоохранения автономного округа</w:t>
            </w:r>
          </w:p>
        </w:tc>
        <w:tc>
          <w:tcPr>
            <w:tcW w:w="3934" w:type="dxa"/>
          </w:tcPr>
          <w:p>
            <w:pPr>
              <w:pStyle w:val="0"/>
            </w:pPr>
            <w:r>
              <w:rPr>
                <w:sz w:val="20"/>
              </w:rPr>
              <w:t xml:space="preserve">Охват телемедицинским консультированием пациентов с врожденными</w:t>
            </w:r>
          </w:p>
          <w:p>
            <w:pPr>
              <w:pStyle w:val="0"/>
            </w:pPr>
            <w:r>
              <w:rPr>
                <w:sz w:val="20"/>
              </w:rPr>
              <w:t xml:space="preserve">и (или) наследственными заболеваниями, выявленными при проведении РНС:</w:t>
            </w:r>
          </w:p>
          <w:p>
            <w:pPr>
              <w:pStyle w:val="0"/>
            </w:pPr>
            <w:r>
              <w:rPr>
                <w:sz w:val="20"/>
              </w:rPr>
              <w:t xml:space="preserve">в 2023 году - 90%;</w:t>
            </w:r>
          </w:p>
          <w:p>
            <w:pPr>
              <w:pStyle w:val="0"/>
            </w:pPr>
            <w:r>
              <w:rPr>
                <w:sz w:val="20"/>
              </w:rPr>
              <w:t xml:space="preserve">в 2024 году - 90%;</w:t>
            </w:r>
          </w:p>
          <w:p>
            <w:pPr>
              <w:pStyle w:val="0"/>
            </w:pPr>
            <w:r>
              <w:rPr>
                <w:sz w:val="20"/>
              </w:rPr>
              <w:t xml:space="preserve">в 2025 году - 90%</w:t>
            </w:r>
          </w:p>
        </w:tc>
      </w:tr>
      <w:tr>
        <w:tc>
          <w:tcPr>
            <w:tcW w:w="484" w:type="dxa"/>
          </w:tcPr>
          <w:p>
            <w:pPr>
              <w:pStyle w:val="0"/>
            </w:pPr>
            <w:r>
              <w:rPr>
                <w:sz w:val="20"/>
              </w:rPr>
              <w:t xml:space="preserve">6.</w:t>
            </w:r>
          </w:p>
        </w:tc>
        <w:tc>
          <w:tcPr>
            <w:gridSpan w:val="7"/>
            <w:tcW w:w="18972" w:type="dxa"/>
          </w:tcPr>
          <w:p>
            <w:pPr>
              <w:pStyle w:val="0"/>
            </w:pPr>
            <w:r>
              <w:rPr>
                <w:sz w:val="20"/>
              </w:rPr>
              <w:t xml:space="preserve">Обеспечение своевременного диспансерного наблюдения пациентов с врожденными и (или) наследственными заболеваниями, с врожденными и (или) наследственными заболеваниями, выявленными при РНС</w:t>
            </w:r>
          </w:p>
        </w:tc>
      </w:tr>
      <w:tr>
        <w:tc>
          <w:tcPr>
            <w:tcW w:w="484" w:type="dxa"/>
          </w:tcPr>
          <w:p>
            <w:pPr>
              <w:pStyle w:val="0"/>
            </w:pPr>
            <w:r>
              <w:rPr>
                <w:sz w:val="20"/>
              </w:rPr>
              <w:t xml:space="preserve">6.1.</w:t>
            </w:r>
          </w:p>
        </w:tc>
        <w:tc>
          <w:tcPr>
            <w:tcW w:w="2944" w:type="dxa"/>
          </w:tcPr>
          <w:p>
            <w:pPr>
              <w:pStyle w:val="0"/>
            </w:pPr>
            <w:r>
              <w:rPr>
                <w:sz w:val="20"/>
              </w:rPr>
              <w:t xml:space="preserve">Организация диспансерного наблюдения пациентов с врожденными и (или) наследственными заболеваниями, в том числе выявленными при проведении РНС (преемственность лечения в амбулаторных и стационарных условиях, при оказании скорой, в том числе скорой специализированной помощи, при оказании специализированной, в том числе высокотехнологичной, медицинской помощи, с привлечением профильных национальных медицинских исследовательских центров, использование телемедицинских технологий)</w:t>
            </w:r>
          </w:p>
        </w:tc>
        <w:tc>
          <w:tcPr>
            <w:tcW w:w="1154" w:type="dxa"/>
          </w:tcPr>
          <w:p>
            <w:pPr>
              <w:pStyle w:val="0"/>
            </w:pPr>
            <w:r>
              <w:rPr>
                <w:sz w:val="20"/>
              </w:rPr>
              <w:t xml:space="preserve">1 января 2023 года</w:t>
            </w:r>
          </w:p>
        </w:tc>
        <w:tc>
          <w:tcPr>
            <w:tcW w:w="1244" w:type="dxa"/>
          </w:tcPr>
          <w:p>
            <w:pPr>
              <w:pStyle w:val="0"/>
            </w:pPr>
            <w:r>
              <w:rPr>
                <w:sz w:val="20"/>
              </w:rPr>
              <w:t xml:space="preserve">31 декабря 2025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главный внештатный специалист по медицинской генетике</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специалист - аллерголог-иммунолог</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детский специалист-невролог</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специалист-педиатр 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детский специалист-эндокринолог</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руководители медицинских организаций, оказывающих</w:t>
            </w:r>
          </w:p>
          <w:p>
            <w:pPr>
              <w:pStyle w:val="0"/>
            </w:pPr>
            <w:r>
              <w:rPr>
                <w:sz w:val="20"/>
              </w:rPr>
              <w:t xml:space="preserve">первичную специализированную</w:t>
            </w:r>
          </w:p>
          <w:p>
            <w:pPr>
              <w:pStyle w:val="0"/>
            </w:pPr>
            <w:r>
              <w:rPr>
                <w:sz w:val="20"/>
              </w:rPr>
              <w:t xml:space="preserve">медико-санитарную</w:t>
            </w:r>
          </w:p>
          <w:p>
            <w:pPr>
              <w:pStyle w:val="0"/>
            </w:pPr>
            <w:r>
              <w:rPr>
                <w:sz w:val="20"/>
              </w:rPr>
              <w:t xml:space="preserve">помощь</w:t>
            </w:r>
          </w:p>
          <w:p>
            <w:pPr>
              <w:pStyle w:val="0"/>
            </w:pPr>
            <w:r>
              <w:rPr>
                <w:sz w:val="20"/>
              </w:rPr>
              <w:t xml:space="preserve">(по согласованию)</w:t>
            </w:r>
          </w:p>
        </w:tc>
        <w:tc>
          <w:tcPr>
            <w:tcW w:w="2314" w:type="dxa"/>
          </w:tcPr>
          <w:p>
            <w:pPr>
              <w:pStyle w:val="0"/>
            </w:pPr>
            <w:r>
              <w:rPr>
                <w:sz w:val="20"/>
              </w:rPr>
              <w:t xml:space="preserve">Достижение охвата диспансерным наблюдением новорожденных с впервые в жизни установленными</w:t>
            </w:r>
          </w:p>
          <w:p>
            <w:pPr>
              <w:pStyle w:val="0"/>
            </w:pPr>
            <w:r>
              <w:rPr>
                <w:sz w:val="20"/>
              </w:rPr>
              <w:t xml:space="preserve">врожденными и (или) наследственными заболеваниями,</w:t>
            </w:r>
          </w:p>
          <w:p>
            <w:pPr>
              <w:pStyle w:val="0"/>
            </w:pPr>
            <w:r>
              <w:rPr>
                <w:sz w:val="20"/>
              </w:rPr>
              <w:t xml:space="preserve">выявленными при проведении РНС, от общего числа новорожденных с</w:t>
            </w:r>
          </w:p>
          <w:p>
            <w:pPr>
              <w:pStyle w:val="0"/>
            </w:pPr>
            <w:r>
              <w:rPr>
                <w:sz w:val="20"/>
              </w:rPr>
              <w:t xml:space="preserve">впервые в жизни установленными врожденными и (или)</w:t>
            </w:r>
          </w:p>
          <w:p>
            <w:pPr>
              <w:pStyle w:val="0"/>
            </w:pPr>
            <w:r>
              <w:rPr>
                <w:sz w:val="20"/>
              </w:rPr>
              <w:t xml:space="preserve">наследственными заболеваниями, не менее 95% к 2025 году</w:t>
            </w:r>
          </w:p>
        </w:tc>
        <w:tc>
          <w:tcPr>
            <w:tcW w:w="3304" w:type="dxa"/>
          </w:tcPr>
          <w:p>
            <w:pPr>
              <w:pStyle w:val="0"/>
            </w:pPr>
            <w:r>
              <w:rPr>
                <w:sz w:val="20"/>
              </w:rPr>
              <w:t xml:space="preserve">Приказ Департамента здравоохранения автономного округа</w:t>
            </w:r>
          </w:p>
        </w:tc>
        <w:tc>
          <w:tcPr>
            <w:tcW w:w="3934" w:type="dxa"/>
          </w:tcPr>
          <w:p>
            <w:pPr>
              <w:pStyle w:val="0"/>
            </w:pPr>
            <w:r>
              <w:rPr>
                <w:sz w:val="20"/>
              </w:rPr>
              <w:t xml:space="preserve">Доля новорожденных с впервые в жизни установленными</w:t>
            </w:r>
          </w:p>
          <w:p>
            <w:pPr>
              <w:pStyle w:val="0"/>
            </w:pPr>
            <w:r>
              <w:rPr>
                <w:sz w:val="20"/>
              </w:rPr>
              <w:t xml:space="preserve">врожденными и (или) наследственными заболеваниями,</w:t>
            </w:r>
          </w:p>
          <w:p>
            <w:pPr>
              <w:pStyle w:val="0"/>
            </w:pPr>
            <w:r>
              <w:rPr>
                <w:sz w:val="20"/>
              </w:rPr>
              <w:t xml:space="preserve">выявленными при проведении РНС, в отношении которых</w:t>
            </w:r>
          </w:p>
          <w:p>
            <w:pPr>
              <w:pStyle w:val="0"/>
            </w:pPr>
            <w:r>
              <w:rPr>
                <w:sz w:val="20"/>
              </w:rPr>
              <w:t xml:space="preserve">установлено диспансерное наблюдение, от общего числа новорожденных с</w:t>
            </w:r>
          </w:p>
          <w:p>
            <w:pPr>
              <w:pStyle w:val="0"/>
            </w:pPr>
            <w:r>
              <w:rPr>
                <w:sz w:val="20"/>
              </w:rPr>
              <w:t xml:space="preserve">впервые в жизни установленными врожденными и (или)</w:t>
            </w:r>
          </w:p>
          <w:p>
            <w:pPr>
              <w:pStyle w:val="0"/>
            </w:pPr>
            <w:r>
              <w:rPr>
                <w:sz w:val="20"/>
              </w:rPr>
              <w:t xml:space="preserve">наследственными заболеваниями, не менее:</w:t>
            </w:r>
          </w:p>
          <w:p>
            <w:pPr>
              <w:pStyle w:val="0"/>
            </w:pPr>
            <w:r>
              <w:rPr>
                <w:sz w:val="20"/>
              </w:rPr>
              <w:t xml:space="preserve">в 2023 году - 90%;</w:t>
            </w:r>
          </w:p>
          <w:p>
            <w:pPr>
              <w:pStyle w:val="0"/>
            </w:pPr>
            <w:r>
              <w:rPr>
                <w:sz w:val="20"/>
              </w:rPr>
              <w:t xml:space="preserve">в 2024 году - 95%;</w:t>
            </w:r>
          </w:p>
          <w:p>
            <w:pPr>
              <w:pStyle w:val="0"/>
            </w:pPr>
            <w:r>
              <w:rPr>
                <w:sz w:val="20"/>
              </w:rPr>
              <w:t xml:space="preserve">в 2025 году - 95%</w:t>
            </w:r>
          </w:p>
        </w:tc>
      </w:tr>
      <w:tr>
        <w:tc>
          <w:tcPr>
            <w:tcW w:w="484" w:type="dxa"/>
          </w:tcPr>
          <w:p>
            <w:pPr>
              <w:pStyle w:val="0"/>
            </w:pPr>
            <w:r>
              <w:rPr>
                <w:sz w:val="20"/>
              </w:rPr>
              <w:t xml:space="preserve">6.2.</w:t>
            </w:r>
          </w:p>
        </w:tc>
        <w:tc>
          <w:tcPr>
            <w:tcW w:w="2944" w:type="dxa"/>
          </w:tcPr>
          <w:p>
            <w:pPr>
              <w:pStyle w:val="0"/>
            </w:pPr>
            <w:r>
              <w:rPr>
                <w:sz w:val="20"/>
              </w:rPr>
              <w:t xml:space="preserve">Обеспечение лекарственными препаратами (ЛП) и специализированными продуктами лечебного питания (СПЛП) новорожденных с установленными врожденными и (или) наследственными заболеваниями, выявленными при проведении РНС</w:t>
            </w:r>
          </w:p>
        </w:tc>
        <w:tc>
          <w:tcPr>
            <w:tcW w:w="1154" w:type="dxa"/>
          </w:tcPr>
          <w:p>
            <w:pPr>
              <w:pStyle w:val="0"/>
            </w:pPr>
            <w:r>
              <w:rPr>
                <w:sz w:val="20"/>
              </w:rPr>
              <w:t xml:space="preserve">1 января 2023 года</w:t>
            </w:r>
          </w:p>
        </w:tc>
        <w:tc>
          <w:tcPr>
            <w:tcW w:w="1244" w:type="dxa"/>
          </w:tcPr>
          <w:p>
            <w:pPr>
              <w:pStyle w:val="0"/>
            </w:pPr>
            <w:r>
              <w:rPr>
                <w:sz w:val="20"/>
              </w:rPr>
              <w:t xml:space="preserve">31 декабря 2025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главный внештатный специалист по медицинской генетике</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специалист - аллерголог-иммунолог</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детский специалист-невролог</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специалист-педиатр 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детский специалист-эндокринолог</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руководители медицинских организаций, оказывающих</w:t>
            </w:r>
          </w:p>
          <w:p>
            <w:pPr>
              <w:pStyle w:val="0"/>
            </w:pPr>
            <w:r>
              <w:rPr>
                <w:sz w:val="20"/>
              </w:rPr>
              <w:t xml:space="preserve">первичную специализированную</w:t>
            </w:r>
          </w:p>
          <w:p>
            <w:pPr>
              <w:pStyle w:val="0"/>
            </w:pPr>
            <w:r>
              <w:rPr>
                <w:sz w:val="20"/>
              </w:rPr>
              <w:t xml:space="preserve">медико-санитарную</w:t>
            </w:r>
          </w:p>
          <w:p>
            <w:pPr>
              <w:pStyle w:val="0"/>
            </w:pPr>
            <w:r>
              <w:rPr>
                <w:sz w:val="20"/>
              </w:rPr>
              <w:t xml:space="preserve">помощь</w:t>
            </w:r>
          </w:p>
          <w:p>
            <w:pPr>
              <w:pStyle w:val="0"/>
            </w:pPr>
            <w:r>
              <w:rPr>
                <w:sz w:val="20"/>
              </w:rPr>
              <w:t xml:space="preserve">(по согласованию)</w:t>
            </w:r>
          </w:p>
        </w:tc>
        <w:tc>
          <w:tcPr>
            <w:tcW w:w="2314" w:type="dxa"/>
          </w:tcPr>
          <w:p>
            <w:pPr>
              <w:pStyle w:val="0"/>
            </w:pPr>
            <w:r>
              <w:rPr>
                <w:sz w:val="20"/>
              </w:rPr>
              <w:t xml:space="preserve">Обеспечение новорожденных патогенетической терапией (ЛП, СПЛП) не менее 95% к 2025 году</w:t>
            </w:r>
          </w:p>
        </w:tc>
        <w:tc>
          <w:tcPr>
            <w:tcW w:w="3304" w:type="dxa"/>
          </w:tcPr>
          <w:p>
            <w:pPr>
              <w:pStyle w:val="0"/>
            </w:pPr>
            <w:r>
              <w:rPr>
                <w:sz w:val="20"/>
              </w:rPr>
              <w:t xml:space="preserve">Приказ Департамента здравоохранения автономного округа</w:t>
            </w:r>
          </w:p>
        </w:tc>
        <w:tc>
          <w:tcPr>
            <w:tcW w:w="3934" w:type="dxa"/>
          </w:tcPr>
          <w:p>
            <w:pPr>
              <w:pStyle w:val="0"/>
            </w:pPr>
            <w:r>
              <w:rPr>
                <w:sz w:val="20"/>
              </w:rPr>
              <w:t xml:space="preserve">Доля новорожденных с установленными врожденными и (или)</w:t>
            </w:r>
          </w:p>
          <w:p>
            <w:pPr>
              <w:pStyle w:val="0"/>
            </w:pPr>
            <w:r>
              <w:rPr>
                <w:sz w:val="20"/>
              </w:rPr>
              <w:t xml:space="preserve">наследственными заболеваниями, выявленными при проведении</w:t>
            </w:r>
          </w:p>
          <w:p>
            <w:pPr>
              <w:pStyle w:val="0"/>
            </w:pPr>
            <w:r>
              <w:rPr>
                <w:sz w:val="20"/>
              </w:rPr>
              <w:t xml:space="preserve">РНС, получающих патогенетическую терапию ЛП и СПЛП от</w:t>
            </w:r>
          </w:p>
          <w:p>
            <w:pPr>
              <w:pStyle w:val="0"/>
            </w:pPr>
            <w:r>
              <w:rPr>
                <w:sz w:val="20"/>
              </w:rPr>
              <w:t xml:space="preserve">общего числа детей, которым установлено диспансерное наблюдение:</w:t>
            </w:r>
          </w:p>
          <w:p>
            <w:pPr>
              <w:pStyle w:val="0"/>
            </w:pPr>
            <w:r>
              <w:rPr>
                <w:sz w:val="20"/>
              </w:rPr>
              <w:t xml:space="preserve">в 2023 году - 95%;</w:t>
            </w:r>
          </w:p>
          <w:p>
            <w:pPr>
              <w:pStyle w:val="0"/>
            </w:pPr>
            <w:r>
              <w:rPr>
                <w:sz w:val="20"/>
              </w:rPr>
              <w:t xml:space="preserve">в 2024 году - 95%;</w:t>
            </w:r>
          </w:p>
          <w:p>
            <w:pPr>
              <w:pStyle w:val="0"/>
            </w:pPr>
            <w:r>
              <w:rPr>
                <w:sz w:val="20"/>
              </w:rPr>
              <w:t xml:space="preserve">в 2025 году - 95%</w:t>
            </w:r>
          </w:p>
        </w:tc>
      </w:tr>
      <w:tr>
        <w:tc>
          <w:tcPr>
            <w:tcW w:w="484" w:type="dxa"/>
          </w:tcPr>
          <w:p>
            <w:pPr>
              <w:pStyle w:val="0"/>
            </w:pPr>
            <w:r>
              <w:rPr>
                <w:sz w:val="20"/>
              </w:rPr>
              <w:t xml:space="preserve">7.</w:t>
            </w:r>
          </w:p>
        </w:tc>
        <w:tc>
          <w:tcPr>
            <w:gridSpan w:val="7"/>
            <w:tcW w:w="18972" w:type="dxa"/>
          </w:tcPr>
          <w:p>
            <w:pPr>
              <w:pStyle w:val="0"/>
            </w:pPr>
            <w:r>
              <w:rPr>
                <w:sz w:val="20"/>
              </w:rPr>
              <w:t xml:space="preserve">Внедрение клинических рекомендаций и стандартов медицинской помощи по профилактике, диагностике, лечению и реабилитации детей с врожденными и (или) наследственными заболеваниями, выявленными в ходе РНС</w:t>
            </w:r>
          </w:p>
        </w:tc>
      </w:tr>
      <w:tr>
        <w:tc>
          <w:tcPr>
            <w:tcW w:w="484" w:type="dxa"/>
          </w:tcPr>
          <w:p>
            <w:pPr>
              <w:pStyle w:val="0"/>
            </w:pPr>
            <w:r>
              <w:rPr>
                <w:sz w:val="20"/>
              </w:rPr>
              <w:t xml:space="preserve">7.1.</w:t>
            </w:r>
          </w:p>
        </w:tc>
        <w:tc>
          <w:tcPr>
            <w:tcW w:w="2944" w:type="dxa"/>
          </w:tcPr>
          <w:p>
            <w:pPr>
              <w:pStyle w:val="0"/>
            </w:pPr>
            <w:r>
              <w:rPr>
                <w:sz w:val="20"/>
              </w:rPr>
              <w:t xml:space="preserve">Распространение клинических рекомендаций и протоколов по вопросам профилактики, диагностики, лечения и реабилитации пациентов с врожденными и (или) наследственными заболеваниями</w:t>
            </w:r>
          </w:p>
        </w:tc>
        <w:tc>
          <w:tcPr>
            <w:tcW w:w="1154" w:type="dxa"/>
          </w:tcPr>
          <w:p>
            <w:pPr>
              <w:pStyle w:val="0"/>
            </w:pPr>
            <w:r>
              <w:rPr>
                <w:sz w:val="20"/>
              </w:rPr>
              <w:t xml:space="preserve">1 января 2023 года</w:t>
            </w:r>
          </w:p>
        </w:tc>
        <w:tc>
          <w:tcPr>
            <w:tcW w:w="1244" w:type="dxa"/>
          </w:tcPr>
          <w:p>
            <w:pPr>
              <w:pStyle w:val="0"/>
            </w:pPr>
            <w:r>
              <w:rPr>
                <w:sz w:val="20"/>
              </w:rPr>
              <w:t xml:space="preserve">31 декабря 2025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главный внештатный специалист по медицинской генетике</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специалист - аллерголог-иммунолог</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детский специалист-невролог</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специалист-педиатр 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детский специалист-эндокринолог</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tc>
        <w:tc>
          <w:tcPr>
            <w:tcW w:w="2314" w:type="dxa"/>
          </w:tcPr>
          <w:p>
            <w:pPr>
              <w:pStyle w:val="0"/>
            </w:pPr>
            <w:r>
              <w:rPr>
                <w:sz w:val="20"/>
              </w:rPr>
              <w:t xml:space="preserve">Внедрение клинических рекомендаций и протоколов по вопросам профилактики, диагностики, лечения и реабилитации пациентов с врожденными</w:t>
            </w:r>
          </w:p>
          <w:p>
            <w:pPr>
              <w:pStyle w:val="0"/>
            </w:pPr>
            <w:r>
              <w:rPr>
                <w:sz w:val="20"/>
              </w:rPr>
              <w:t xml:space="preserve">и (или) наследственными заболеваниями в медицинских организациях автономного округа</w:t>
            </w:r>
          </w:p>
        </w:tc>
        <w:tc>
          <w:tcPr>
            <w:tcW w:w="3304" w:type="dxa"/>
          </w:tcPr>
          <w:p>
            <w:pPr>
              <w:pStyle w:val="0"/>
            </w:pPr>
            <w:r>
              <w:rPr>
                <w:sz w:val="20"/>
              </w:rPr>
              <w:t xml:space="preserve">Приказ Департамента здравоохранения автономного округа</w:t>
            </w:r>
          </w:p>
        </w:tc>
        <w:tc>
          <w:tcPr>
            <w:tcW w:w="3934" w:type="dxa"/>
          </w:tcPr>
          <w:p>
            <w:pPr>
              <w:pStyle w:val="0"/>
            </w:pPr>
            <w:r>
              <w:rPr>
                <w:sz w:val="20"/>
              </w:rPr>
              <w:t xml:space="preserve">Повышение качества медицинской помощи новорожденным с врожденными, наследственными заболеваниями</w:t>
            </w:r>
          </w:p>
        </w:tc>
      </w:tr>
      <w:tr>
        <w:tc>
          <w:tcPr>
            <w:tcW w:w="484" w:type="dxa"/>
          </w:tcPr>
          <w:p>
            <w:pPr>
              <w:pStyle w:val="0"/>
            </w:pPr>
            <w:r>
              <w:rPr>
                <w:sz w:val="20"/>
              </w:rPr>
              <w:t xml:space="preserve">8.</w:t>
            </w:r>
          </w:p>
        </w:tc>
        <w:tc>
          <w:tcPr>
            <w:gridSpan w:val="7"/>
            <w:tcW w:w="18972" w:type="dxa"/>
          </w:tcPr>
          <w:p>
            <w:pPr>
              <w:pStyle w:val="0"/>
            </w:pPr>
            <w:r>
              <w:rPr>
                <w:sz w:val="20"/>
              </w:rPr>
              <w:t xml:space="preserve">Внедрение новых технологий диагностики, лечения и профилактики у пациентов с врожденными и (или) наследственными заболеваниями</w:t>
            </w:r>
          </w:p>
        </w:tc>
      </w:tr>
      <w:tr>
        <w:tc>
          <w:tcPr>
            <w:tcW w:w="484" w:type="dxa"/>
          </w:tcPr>
          <w:p>
            <w:pPr>
              <w:pStyle w:val="0"/>
            </w:pPr>
            <w:r>
              <w:rPr>
                <w:sz w:val="20"/>
              </w:rPr>
              <w:t xml:space="preserve">8.1.</w:t>
            </w:r>
          </w:p>
        </w:tc>
        <w:tc>
          <w:tcPr>
            <w:tcW w:w="2944" w:type="dxa"/>
          </w:tcPr>
          <w:p>
            <w:pPr>
              <w:pStyle w:val="0"/>
            </w:pPr>
            <w:r>
              <w:rPr>
                <w:sz w:val="20"/>
              </w:rPr>
              <w:t xml:space="preserve">Внедрение эффективных практик по организации процесса оказания медицинской помощи пациентам с врожденными и (или) наследственными заболеваниями с доказанной эффективностью (при участии главных внештатных профильных специалистов Департамента здравоохранения автономного округа, на основе клинических рекомендаций)</w:t>
            </w:r>
          </w:p>
        </w:tc>
        <w:tc>
          <w:tcPr>
            <w:tcW w:w="1154" w:type="dxa"/>
          </w:tcPr>
          <w:p>
            <w:pPr>
              <w:pStyle w:val="0"/>
            </w:pPr>
            <w:r>
              <w:rPr>
                <w:sz w:val="20"/>
              </w:rPr>
              <w:t xml:space="preserve">1 января 2023 года</w:t>
            </w:r>
          </w:p>
        </w:tc>
        <w:tc>
          <w:tcPr>
            <w:tcW w:w="1244" w:type="dxa"/>
          </w:tcPr>
          <w:p>
            <w:pPr>
              <w:pStyle w:val="0"/>
            </w:pPr>
            <w:r>
              <w:rPr>
                <w:sz w:val="20"/>
              </w:rPr>
              <w:t xml:space="preserve">31 декабря 2025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главный внештатный специалист по медицинской генетике</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специалист - аллерголог-иммунолог</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детский специалист-невролог</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специалист-педиатр 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внештатный детский специалист-эндокринолог</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tc>
        <w:tc>
          <w:tcPr>
            <w:tcW w:w="2314" w:type="dxa"/>
          </w:tcPr>
          <w:p>
            <w:pPr>
              <w:pStyle w:val="0"/>
            </w:pPr>
            <w:r>
              <w:rPr>
                <w:sz w:val="20"/>
              </w:rPr>
              <w:t xml:space="preserve">Повышение качества медицинской помощи</w:t>
            </w:r>
          </w:p>
          <w:p>
            <w:pPr>
              <w:pStyle w:val="0"/>
            </w:pPr>
            <w:r>
              <w:rPr>
                <w:sz w:val="20"/>
              </w:rPr>
              <w:t xml:space="preserve">пациентам с врожденными и (или) наследственными заболеваниями с использованием новых технологий диагностики, лечения и профилактики</w:t>
            </w:r>
          </w:p>
          <w:p>
            <w:pPr>
              <w:pStyle w:val="0"/>
            </w:pPr>
            <w:r>
              <w:rPr>
                <w:sz w:val="20"/>
              </w:rPr>
              <w:t xml:space="preserve">врожденных и (или) наследственных заболеваний</w:t>
            </w:r>
          </w:p>
        </w:tc>
        <w:tc>
          <w:tcPr>
            <w:tcW w:w="3304" w:type="dxa"/>
          </w:tcPr>
          <w:p>
            <w:pPr>
              <w:pStyle w:val="0"/>
            </w:pPr>
            <w:r>
              <w:rPr>
                <w:sz w:val="20"/>
              </w:rPr>
              <w:t xml:space="preserve">Аналитические отчеты</w:t>
            </w:r>
          </w:p>
          <w:p>
            <w:pPr>
              <w:pStyle w:val="0"/>
            </w:pPr>
            <w:r>
              <w:rPr>
                <w:sz w:val="20"/>
              </w:rPr>
              <w:t xml:space="preserve">главного внештатного специалиста по медицинской генетике</w:t>
            </w:r>
          </w:p>
          <w:p>
            <w:pPr>
              <w:pStyle w:val="0"/>
            </w:pPr>
            <w:r>
              <w:rPr>
                <w:sz w:val="20"/>
              </w:rPr>
              <w:t xml:space="preserve">Департамента здравоохранения автономного округа,</w:t>
            </w:r>
          </w:p>
          <w:p>
            <w:pPr>
              <w:pStyle w:val="0"/>
            </w:pPr>
            <w:r>
              <w:rPr>
                <w:sz w:val="20"/>
              </w:rPr>
              <w:t xml:space="preserve">главного внештатного специалиста - аллерголога-иммунолога</w:t>
            </w:r>
          </w:p>
          <w:p>
            <w:pPr>
              <w:pStyle w:val="0"/>
            </w:pPr>
            <w:r>
              <w:rPr>
                <w:sz w:val="20"/>
              </w:rPr>
              <w:t xml:space="preserve">Департамента здравоохранения автономного округа,</w:t>
            </w:r>
          </w:p>
          <w:p>
            <w:pPr>
              <w:pStyle w:val="0"/>
            </w:pPr>
            <w:r>
              <w:rPr>
                <w:sz w:val="20"/>
              </w:rPr>
              <w:t xml:space="preserve">главного внештатного детского специалиста-невролога</w:t>
            </w:r>
          </w:p>
          <w:p>
            <w:pPr>
              <w:pStyle w:val="0"/>
            </w:pPr>
            <w:r>
              <w:rPr>
                <w:sz w:val="20"/>
              </w:rPr>
              <w:t xml:space="preserve">Департамента здравоохранения автономного округа,</w:t>
            </w:r>
          </w:p>
          <w:p>
            <w:pPr>
              <w:pStyle w:val="0"/>
            </w:pPr>
            <w:r>
              <w:rPr>
                <w:sz w:val="20"/>
              </w:rPr>
              <w:t xml:space="preserve">главного внештатного специалиста-педиатра Департамента здравоохранения автономного округа,</w:t>
            </w:r>
          </w:p>
          <w:p>
            <w:pPr>
              <w:pStyle w:val="0"/>
            </w:pPr>
            <w:r>
              <w:rPr>
                <w:sz w:val="20"/>
              </w:rPr>
              <w:t xml:space="preserve">главного внештатного детского специалиста-эндокринолога</w:t>
            </w:r>
          </w:p>
          <w:p>
            <w:pPr>
              <w:pStyle w:val="0"/>
            </w:pPr>
            <w:r>
              <w:rPr>
                <w:sz w:val="20"/>
              </w:rPr>
              <w:t xml:space="preserve">Департамента здравоохранения автономного округа</w:t>
            </w:r>
          </w:p>
        </w:tc>
        <w:tc>
          <w:tcPr>
            <w:tcW w:w="3934" w:type="dxa"/>
          </w:tcPr>
          <w:p>
            <w:pPr>
              <w:pStyle w:val="0"/>
            </w:pPr>
            <w:r>
              <w:rPr>
                <w:sz w:val="20"/>
              </w:rPr>
              <w:t xml:space="preserve">Снижение младенческой смертности, инвалидизации среди детей</w:t>
            </w:r>
          </w:p>
        </w:tc>
      </w:tr>
      <w:tr>
        <w:tc>
          <w:tcPr>
            <w:tcW w:w="484" w:type="dxa"/>
          </w:tcPr>
          <w:p>
            <w:pPr>
              <w:pStyle w:val="0"/>
            </w:pPr>
            <w:r>
              <w:rPr>
                <w:sz w:val="20"/>
              </w:rPr>
              <w:t xml:space="preserve">9.</w:t>
            </w:r>
          </w:p>
        </w:tc>
        <w:tc>
          <w:tcPr>
            <w:gridSpan w:val="7"/>
            <w:tcW w:w="18972" w:type="dxa"/>
          </w:tcPr>
          <w:p>
            <w:pPr>
              <w:pStyle w:val="0"/>
            </w:pPr>
            <w:r>
              <w:rPr>
                <w:sz w:val="20"/>
              </w:rPr>
              <w:t xml:space="preserve">Разработка и реализация системы информационной поддержки НС и РНС для населения</w:t>
            </w:r>
          </w:p>
        </w:tc>
      </w:tr>
      <w:tr>
        <w:tc>
          <w:tcPr>
            <w:tcW w:w="484" w:type="dxa"/>
          </w:tcPr>
          <w:p>
            <w:pPr>
              <w:pStyle w:val="0"/>
            </w:pPr>
            <w:r>
              <w:rPr>
                <w:sz w:val="20"/>
              </w:rPr>
              <w:t xml:space="preserve">9.1.</w:t>
            </w:r>
          </w:p>
        </w:tc>
        <w:tc>
          <w:tcPr>
            <w:tcW w:w="2944" w:type="dxa"/>
          </w:tcPr>
          <w:p>
            <w:pPr>
              <w:pStyle w:val="0"/>
            </w:pPr>
            <w:r>
              <w:rPr>
                <w:sz w:val="20"/>
              </w:rPr>
              <w:t xml:space="preserve">Информирование населения о целях, сроках, задачах НС и РНС, заболеваниях, на которые проводится исследования, реализации РНС в автономном округе (проведение просветительской работы среди населения при активном использовании средств массовой информации о необходимости и пользе РНС, разработка макетов листовок, плакатов, рассказывающих о РНС родителям (законным представителям) ребенка, размещение информационных материалов в медицинских организациях)</w:t>
            </w:r>
          </w:p>
        </w:tc>
        <w:tc>
          <w:tcPr>
            <w:tcW w:w="1154" w:type="dxa"/>
          </w:tcPr>
          <w:p>
            <w:pPr>
              <w:pStyle w:val="0"/>
            </w:pPr>
            <w:r>
              <w:rPr>
                <w:sz w:val="20"/>
              </w:rPr>
              <w:t xml:space="preserve">1 января 2023 года</w:t>
            </w:r>
          </w:p>
        </w:tc>
        <w:tc>
          <w:tcPr>
            <w:tcW w:w="1244" w:type="dxa"/>
          </w:tcPr>
          <w:p>
            <w:pPr>
              <w:pStyle w:val="0"/>
            </w:pPr>
            <w:r>
              <w:rPr>
                <w:sz w:val="20"/>
              </w:rPr>
              <w:t xml:space="preserve">31 декабря 2025 года</w:t>
            </w:r>
          </w:p>
        </w:tc>
        <w:tc>
          <w:tcPr>
            <w:tcW w:w="4078" w:type="dxa"/>
          </w:tcPr>
          <w:p>
            <w:pPr>
              <w:pStyle w:val="0"/>
            </w:pPr>
            <w:r>
              <w:rPr>
                <w:sz w:val="20"/>
              </w:rPr>
              <w:t xml:space="preserve">Департамент здравоохранения автономного округа,</w:t>
            </w:r>
          </w:p>
          <w:p>
            <w:pPr>
              <w:pStyle w:val="0"/>
            </w:pPr>
            <w:r>
              <w:rPr>
                <w:sz w:val="20"/>
              </w:rPr>
              <w:t xml:space="preserve">заведующий медико-генетической консультацией БУ автономного округа "Сургутский окружной клинический центр охраны материнства и детства"</w:t>
            </w:r>
          </w:p>
          <w:p>
            <w:pPr>
              <w:pStyle w:val="0"/>
            </w:pPr>
            <w:r>
              <w:rPr>
                <w:sz w:val="20"/>
              </w:rPr>
              <w:t xml:space="preserve">(по согласованию),</w:t>
            </w:r>
          </w:p>
          <w:p>
            <w:pPr>
              <w:pStyle w:val="0"/>
            </w:pPr>
            <w:r>
              <w:rPr>
                <w:sz w:val="20"/>
              </w:rPr>
              <w:t xml:space="preserve">главный внештатный специалист по медицинской генетике</w:t>
            </w:r>
          </w:p>
          <w:p>
            <w:pPr>
              <w:pStyle w:val="0"/>
            </w:pPr>
            <w:r>
              <w:rPr>
                <w:sz w:val="20"/>
              </w:rPr>
              <w:t xml:space="preserve">Департамента здравоохранения автономного округа</w:t>
            </w:r>
          </w:p>
          <w:p>
            <w:pPr>
              <w:pStyle w:val="0"/>
            </w:pPr>
            <w:r>
              <w:rPr>
                <w:sz w:val="20"/>
              </w:rPr>
              <w:t xml:space="preserve">(по согласованию),</w:t>
            </w:r>
          </w:p>
          <w:p>
            <w:pPr>
              <w:pStyle w:val="0"/>
            </w:pPr>
            <w:r>
              <w:rPr>
                <w:sz w:val="20"/>
              </w:rPr>
              <w:t xml:space="preserve">главный врач</w:t>
            </w:r>
          </w:p>
          <w:p>
            <w:pPr>
              <w:pStyle w:val="0"/>
            </w:pPr>
            <w:r>
              <w:rPr>
                <w:sz w:val="20"/>
              </w:rPr>
              <w:t xml:space="preserve">БУ автономного округа "Центр общественного здоровья и медицинской профилактики"</w:t>
            </w:r>
          </w:p>
          <w:p>
            <w:pPr>
              <w:pStyle w:val="0"/>
            </w:pPr>
            <w:r>
              <w:rPr>
                <w:sz w:val="20"/>
              </w:rPr>
              <w:t xml:space="preserve">(по согласованию)</w:t>
            </w:r>
          </w:p>
        </w:tc>
        <w:tc>
          <w:tcPr>
            <w:tcW w:w="2314" w:type="dxa"/>
          </w:tcPr>
          <w:p>
            <w:pPr>
              <w:pStyle w:val="0"/>
            </w:pPr>
            <w:r>
              <w:rPr>
                <w:sz w:val="20"/>
              </w:rPr>
              <w:t xml:space="preserve">Повышение уровня информированности населения о целях, сроках, задачах НС и РНС</w:t>
            </w:r>
          </w:p>
        </w:tc>
        <w:tc>
          <w:tcPr>
            <w:tcW w:w="3304" w:type="dxa"/>
          </w:tcPr>
          <w:p>
            <w:pPr>
              <w:pStyle w:val="0"/>
            </w:pPr>
            <w:r>
              <w:rPr>
                <w:sz w:val="20"/>
              </w:rPr>
              <w:t xml:space="preserve">Приказ</w:t>
            </w:r>
          </w:p>
          <w:p>
            <w:pPr>
              <w:pStyle w:val="0"/>
            </w:pPr>
            <w:r>
              <w:rPr>
                <w:sz w:val="20"/>
              </w:rPr>
              <w:t xml:space="preserve">Департамента здравоохранения автономного округа</w:t>
            </w:r>
          </w:p>
        </w:tc>
        <w:tc>
          <w:tcPr>
            <w:tcW w:w="3934" w:type="dxa"/>
          </w:tcPr>
          <w:p>
            <w:pPr>
              <w:pStyle w:val="0"/>
            </w:pPr>
            <w:r>
              <w:rPr>
                <w:sz w:val="20"/>
              </w:rPr>
              <w:t xml:space="preserve">Проведение информационно-коммуникационных мероприятий о проведении в автономном округе НС и РНС:</w:t>
            </w:r>
          </w:p>
          <w:p>
            <w:pPr>
              <w:pStyle w:val="0"/>
            </w:pPr>
            <w:r>
              <w:rPr>
                <w:sz w:val="20"/>
              </w:rPr>
              <w:t xml:space="preserve">в 2023 году - не менее 500;</w:t>
            </w:r>
          </w:p>
          <w:p>
            <w:pPr>
              <w:pStyle w:val="0"/>
            </w:pPr>
            <w:r>
              <w:rPr>
                <w:sz w:val="20"/>
              </w:rPr>
              <w:t xml:space="preserve">в 2024 году - не менее 500;</w:t>
            </w:r>
          </w:p>
          <w:p>
            <w:pPr>
              <w:pStyle w:val="0"/>
            </w:pPr>
            <w:r>
              <w:rPr>
                <w:sz w:val="20"/>
              </w:rPr>
              <w:t xml:space="preserve">в 2025 году - не менее 500</w:t>
            </w:r>
          </w:p>
        </w:tc>
      </w:tr>
    </w:tbl>
    <w:p>
      <w:pPr>
        <w:pStyle w:val="0"/>
        <w:ind w:firstLine="540"/>
        <w:jc w:val="both"/>
      </w:pPr>
      <w:r>
        <w:rPr>
          <w:sz w:val="20"/>
        </w:rPr>
      </w:r>
    </w:p>
    <w:p>
      <w:pPr>
        <w:pStyle w:val="0"/>
        <w:jc w:val="right"/>
      </w:pPr>
      <w:r>
        <w:rPr>
          <w:sz w:val="20"/>
        </w:rPr>
        <w:t xml:space="preserve">Схема 1</w:t>
      </w:r>
    </w:p>
    <w:p>
      <w:pPr>
        <w:pStyle w:val="0"/>
        <w:jc w:val="center"/>
      </w:pPr>
      <w:r>
        <w:rPr>
          <w:sz w:val="20"/>
        </w:rPr>
      </w:r>
    </w:p>
    <w:bookmarkStart w:id="30425" w:name="P30425"/>
    <w:bookmarkEnd w:id="30425"/>
    <w:p>
      <w:pPr>
        <w:pStyle w:val="0"/>
        <w:jc w:val="center"/>
      </w:pPr>
      <w:r>
        <w:rPr>
          <w:sz w:val="20"/>
        </w:rPr>
        <w:t xml:space="preserve">Схема доставки биоматериала в автономном округе</w:t>
      </w:r>
    </w:p>
    <w:p>
      <w:pPr>
        <w:pStyle w:val="0"/>
        <w:jc w:val="center"/>
      </w:pPr>
      <w:r>
        <w:rPr>
          <w:sz w:val="20"/>
        </w:rPr>
        <w:t xml:space="preserve">для проведения НС</w:t>
      </w:r>
    </w:p>
    <w:p>
      <w:pPr>
        <w:pStyle w:val="0"/>
        <w:jc w:val="center"/>
      </w:pPr>
      <w:r>
        <w:rPr>
          <w:sz w:val="20"/>
        </w:rPr>
      </w:r>
    </w:p>
    <w:p>
      <w:pPr>
        <w:pStyle w:val="0"/>
        <w:jc w:val="center"/>
      </w:pPr>
      <w:r>
        <w:rPr>
          <w:position w:val="-305"/>
        </w:rPr>
        <w:drawing>
          <wp:inline distT="0" distB="0" distL="0" distR="0">
            <wp:extent cx="7595235" cy="400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7595235" cy="4004945"/>
                    </a:xfrm>
                    <a:prstGeom prst="rect">
                      <a:avLst/>
                    </a:prstGeom>
                    <a:noFill/>
                    <a:ln>
                      <a:noFill/>
                    </a:ln>
                  </pic:spPr>
                </pic:pic>
              </a:graphicData>
            </a:graphic>
          </wp:inline>
        </w:drawing>
      </w:r>
    </w:p>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jc w:val="right"/>
      </w:pPr>
      <w:r>
        <w:rPr>
          <w:sz w:val="20"/>
        </w:rPr>
        <w:t xml:space="preserve">Схема 2</w:t>
      </w:r>
    </w:p>
    <w:p>
      <w:pPr>
        <w:pStyle w:val="0"/>
        <w:ind w:firstLine="540"/>
        <w:jc w:val="both"/>
      </w:pPr>
      <w:r>
        <w:rPr>
          <w:sz w:val="20"/>
        </w:rPr>
      </w:r>
    </w:p>
    <w:bookmarkStart w:id="30432" w:name="P30432"/>
    <w:bookmarkEnd w:id="30432"/>
    <w:p>
      <w:pPr>
        <w:pStyle w:val="0"/>
        <w:jc w:val="center"/>
      </w:pPr>
      <w:r>
        <w:rPr>
          <w:sz w:val="20"/>
        </w:rPr>
        <w:t xml:space="preserve">Схема доставки биоматериала в автономном округе</w:t>
      </w:r>
    </w:p>
    <w:p>
      <w:pPr>
        <w:pStyle w:val="0"/>
        <w:jc w:val="center"/>
      </w:pPr>
      <w:r>
        <w:rPr>
          <w:sz w:val="20"/>
        </w:rPr>
        <w:t xml:space="preserve">для проведения РНС</w:t>
      </w:r>
    </w:p>
    <w:p>
      <w:pPr>
        <w:pStyle w:val="0"/>
        <w:jc w:val="center"/>
      </w:pPr>
      <w:r>
        <w:rPr>
          <w:sz w:val="20"/>
        </w:rPr>
      </w:r>
    </w:p>
    <w:p>
      <w:pPr>
        <w:pStyle w:val="0"/>
        <w:jc w:val="center"/>
      </w:pPr>
      <w:r>
        <w:rPr>
          <w:position w:val="-245"/>
        </w:rPr>
        <w:drawing>
          <wp:inline distT="0" distB="0" distL="0" distR="0">
            <wp:extent cx="5004435" cy="3248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5004435" cy="324866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Примечание:</w:t>
      </w:r>
    </w:p>
    <w:p>
      <w:pPr>
        <w:pStyle w:val="0"/>
        <w:spacing w:before="200" w:line-rule="auto"/>
        <w:ind w:firstLine="540"/>
        <w:jc w:val="both"/>
      </w:pPr>
      <w:r>
        <w:rPr>
          <w:sz w:val="20"/>
        </w:rPr>
        <w:t xml:space="preserve">1 - ежедневная доставка (самолет) тест-бланков из медико-генетической консультации БУ автономного округа "Сургутский окружной клинический центр охраны материнства и детства" в межрегиональный центр расширенного неонатального скрининга - государственное автономное учреждение здравоохранения Свердловской области "Клинико-диагностический центр "Охрана здоровья матери и ребенка" для проведения расширенного неонатального скрининга;</w:t>
      </w:r>
    </w:p>
    <w:p>
      <w:pPr>
        <w:pStyle w:val="0"/>
        <w:spacing w:before="200" w:line-rule="auto"/>
        <w:ind w:firstLine="540"/>
        <w:jc w:val="both"/>
      </w:pPr>
      <w:r>
        <w:rPr>
          <w:sz w:val="20"/>
        </w:rPr>
        <w:t xml:space="preserve">2 - доставка (самолет) биологического материала из медико-генетической консультации БУ автономного округа "Сургутский окружной клинический центр охраны материнства и детства" в референс-центр - федеральное государственное бюджетное научное учреждение "Медико-генетический научный центр имени академика Н.П. Бочкова" для проведения подтверждающей диагностики.</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13</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jc w:val="right"/>
      </w:pPr>
      <w:r>
        <w:rPr>
          <w:sz w:val="20"/>
        </w:rPr>
      </w:r>
    </w:p>
    <w:bookmarkStart w:id="30451" w:name="P30451"/>
    <w:bookmarkEnd w:id="30451"/>
    <w:p>
      <w:pPr>
        <w:pStyle w:val="2"/>
        <w:jc w:val="center"/>
      </w:pPr>
      <w:r>
        <w:rPr>
          <w:sz w:val="20"/>
        </w:rPr>
        <w:t xml:space="preserve">ПЛАН</w:t>
      </w:r>
    </w:p>
    <w:p>
      <w:pPr>
        <w:pStyle w:val="2"/>
        <w:jc w:val="center"/>
      </w:pPr>
      <w:r>
        <w:rPr>
          <w:sz w:val="20"/>
        </w:rPr>
        <w:t xml:space="preserve">МЕРОПРИЯТИЙ ПО ПРОФИЛАКТИКЕ И ЛЕЧЕНИЮ ХРОНИЧЕСКОГО ВИРУСНОГО</w:t>
      </w:r>
    </w:p>
    <w:p>
      <w:pPr>
        <w:pStyle w:val="2"/>
        <w:jc w:val="center"/>
      </w:pPr>
      <w:r>
        <w:rPr>
          <w:sz w:val="20"/>
        </w:rPr>
        <w:t xml:space="preserve">ГЕПАТИТА C В ХАНТЫ-МАНСИЙСКОМ АВТОНОМНОМ ОКРУГЕ - ЮГРЕ</w:t>
      </w:r>
    </w:p>
    <w:p>
      <w:pPr>
        <w:pStyle w:val="2"/>
        <w:jc w:val="center"/>
      </w:pPr>
      <w:r>
        <w:rPr>
          <w:sz w:val="20"/>
        </w:rPr>
        <w:t xml:space="preserve">ДО 2030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51" w:tooltip="Постановление Правительства ХМАО - Югры от 25.08.2023 N 421-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color w:val="392c69"/>
              </w:rPr>
              <w:t xml:space="preserve"> Правительства ХМАО - Югры от 25.08.2023 N 421-п)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4"/>
        <w:gridCol w:w="3559"/>
        <w:gridCol w:w="1984"/>
        <w:gridCol w:w="3559"/>
        <w:gridCol w:w="2179"/>
        <w:gridCol w:w="2254"/>
      </w:tblGrid>
      <w:tr>
        <w:tc>
          <w:tcPr>
            <w:tcW w:w="604" w:type="dxa"/>
          </w:tcPr>
          <w:p>
            <w:pPr>
              <w:pStyle w:val="0"/>
              <w:jc w:val="center"/>
            </w:pPr>
            <w:r>
              <w:rPr>
                <w:sz w:val="20"/>
              </w:rPr>
              <w:t xml:space="preserve">N п/п</w:t>
            </w:r>
          </w:p>
        </w:tc>
        <w:tc>
          <w:tcPr>
            <w:tcW w:w="3559" w:type="dxa"/>
          </w:tcPr>
          <w:p>
            <w:pPr>
              <w:pStyle w:val="0"/>
              <w:jc w:val="center"/>
            </w:pPr>
            <w:r>
              <w:rPr>
                <w:sz w:val="20"/>
              </w:rPr>
              <w:t xml:space="preserve">Наименование мероприятия</w:t>
            </w:r>
          </w:p>
        </w:tc>
        <w:tc>
          <w:tcPr>
            <w:tcW w:w="1984" w:type="dxa"/>
          </w:tcPr>
          <w:p>
            <w:pPr>
              <w:pStyle w:val="0"/>
              <w:jc w:val="center"/>
            </w:pPr>
            <w:r>
              <w:rPr>
                <w:sz w:val="20"/>
              </w:rPr>
              <w:t xml:space="preserve">Сроки исполнения</w:t>
            </w:r>
          </w:p>
        </w:tc>
        <w:tc>
          <w:tcPr>
            <w:tcW w:w="3559" w:type="dxa"/>
          </w:tcPr>
          <w:p>
            <w:pPr>
              <w:pStyle w:val="0"/>
              <w:jc w:val="center"/>
            </w:pPr>
            <w:r>
              <w:rPr>
                <w:sz w:val="20"/>
              </w:rPr>
              <w:t xml:space="preserve">Правовая база</w:t>
            </w:r>
          </w:p>
        </w:tc>
        <w:tc>
          <w:tcPr>
            <w:tcW w:w="2179" w:type="dxa"/>
          </w:tcPr>
          <w:p>
            <w:pPr>
              <w:pStyle w:val="0"/>
              <w:jc w:val="center"/>
            </w:pPr>
            <w:r>
              <w:rPr>
                <w:sz w:val="20"/>
              </w:rPr>
              <w:t xml:space="preserve">Ответственные исполнители</w:t>
            </w:r>
          </w:p>
        </w:tc>
        <w:tc>
          <w:tcPr>
            <w:tcW w:w="2254" w:type="dxa"/>
          </w:tcPr>
          <w:p>
            <w:pPr>
              <w:pStyle w:val="0"/>
              <w:jc w:val="center"/>
            </w:pPr>
            <w:r>
              <w:rPr>
                <w:sz w:val="20"/>
              </w:rPr>
              <w:t xml:space="preserve">Ожидаемый результат</w:t>
            </w:r>
          </w:p>
        </w:tc>
      </w:tr>
      <w:tr>
        <w:tc>
          <w:tcPr>
            <w:gridSpan w:val="6"/>
            <w:tcW w:w="14139" w:type="dxa"/>
          </w:tcPr>
          <w:p>
            <w:pPr>
              <w:pStyle w:val="0"/>
              <w:outlineLvl w:val="1"/>
            </w:pPr>
            <w:r>
              <w:rPr>
                <w:sz w:val="20"/>
              </w:rPr>
              <w:t xml:space="preserve">1. Решение проблемных вопросов по профилактике и лечению хронического вирусного гепатита C</w:t>
            </w:r>
          </w:p>
        </w:tc>
      </w:tr>
      <w:tr>
        <w:tc>
          <w:tcPr>
            <w:tcW w:w="604" w:type="dxa"/>
          </w:tcPr>
          <w:p>
            <w:pPr>
              <w:pStyle w:val="0"/>
            </w:pPr>
            <w:r>
              <w:rPr>
                <w:sz w:val="20"/>
              </w:rPr>
              <w:t xml:space="preserve">1.1.</w:t>
            </w:r>
          </w:p>
        </w:tc>
        <w:tc>
          <w:tcPr>
            <w:tcW w:w="3559" w:type="dxa"/>
          </w:tcPr>
          <w:p>
            <w:pPr>
              <w:pStyle w:val="0"/>
            </w:pPr>
            <w:r>
              <w:rPr>
                <w:sz w:val="20"/>
              </w:rPr>
              <w:t xml:space="preserve">Проведение заседаний Межведомственной комиссии при Правительстве Ханты-Мансийского автономного округа - Югры (далее - автономный округ) по профилактике и борьбе с социально значимыми заболеваниями и заболеваниями, представляющими опасность для окружающих (далее - Межведомственная комиссия), с целью рассмотрения вопросов по профилактике и лечению хронического вирусного гепатита C</w:t>
            </w:r>
          </w:p>
        </w:tc>
        <w:tc>
          <w:tcPr>
            <w:tcW w:w="1984" w:type="dxa"/>
          </w:tcPr>
          <w:p>
            <w:pPr>
              <w:pStyle w:val="0"/>
            </w:pPr>
            <w:r>
              <w:rPr>
                <w:sz w:val="20"/>
              </w:rPr>
              <w:t xml:space="preserve">до 31 декабря</w:t>
            </w:r>
          </w:p>
          <w:p>
            <w:pPr>
              <w:pStyle w:val="0"/>
            </w:pPr>
            <w:r>
              <w:rPr>
                <w:sz w:val="20"/>
              </w:rPr>
              <w:t xml:space="preserve">2023 года,</w:t>
            </w:r>
          </w:p>
          <w:p>
            <w:pPr>
              <w:pStyle w:val="0"/>
            </w:pPr>
            <w:r>
              <w:rPr>
                <w:sz w:val="20"/>
              </w:rPr>
              <w:t xml:space="preserve">до 31 декабря</w:t>
            </w:r>
          </w:p>
          <w:p>
            <w:pPr>
              <w:pStyle w:val="0"/>
            </w:pPr>
            <w:r>
              <w:rPr>
                <w:sz w:val="20"/>
              </w:rPr>
              <w:t xml:space="preserve">2024 года,</w:t>
            </w:r>
          </w:p>
          <w:p>
            <w:pPr>
              <w:pStyle w:val="0"/>
            </w:pPr>
            <w:r>
              <w:rPr>
                <w:sz w:val="20"/>
              </w:rPr>
              <w:t xml:space="preserve">до 31 декабря</w:t>
            </w:r>
          </w:p>
          <w:p>
            <w:pPr>
              <w:pStyle w:val="0"/>
            </w:pPr>
            <w:r>
              <w:rPr>
                <w:sz w:val="20"/>
              </w:rPr>
              <w:t xml:space="preserve">2025 года,</w:t>
            </w:r>
          </w:p>
          <w:p>
            <w:pPr>
              <w:pStyle w:val="0"/>
            </w:pPr>
            <w:r>
              <w:rPr>
                <w:sz w:val="20"/>
              </w:rPr>
              <w:t xml:space="preserve">до 31 декабря</w:t>
            </w:r>
          </w:p>
          <w:p>
            <w:pPr>
              <w:pStyle w:val="0"/>
            </w:pPr>
            <w:r>
              <w:rPr>
                <w:sz w:val="20"/>
              </w:rPr>
              <w:t xml:space="preserve">2026 года,</w:t>
            </w:r>
          </w:p>
          <w:p>
            <w:pPr>
              <w:pStyle w:val="0"/>
            </w:pPr>
            <w:r>
              <w:rPr>
                <w:sz w:val="20"/>
              </w:rPr>
              <w:t xml:space="preserve">до 31 декабря</w:t>
            </w:r>
          </w:p>
          <w:p>
            <w:pPr>
              <w:pStyle w:val="0"/>
            </w:pPr>
            <w:r>
              <w:rPr>
                <w:sz w:val="20"/>
              </w:rPr>
              <w:t xml:space="preserve">2027 года,</w:t>
            </w:r>
          </w:p>
          <w:p>
            <w:pPr>
              <w:pStyle w:val="0"/>
            </w:pPr>
            <w:r>
              <w:rPr>
                <w:sz w:val="20"/>
              </w:rPr>
              <w:t xml:space="preserve">до 31 декабря</w:t>
            </w:r>
          </w:p>
          <w:p>
            <w:pPr>
              <w:pStyle w:val="0"/>
            </w:pPr>
            <w:r>
              <w:rPr>
                <w:sz w:val="20"/>
              </w:rPr>
              <w:t xml:space="preserve">2028 года,</w:t>
            </w:r>
          </w:p>
          <w:p>
            <w:pPr>
              <w:pStyle w:val="0"/>
            </w:pPr>
            <w:r>
              <w:rPr>
                <w:sz w:val="20"/>
              </w:rPr>
              <w:t xml:space="preserve">до 31 декабря</w:t>
            </w:r>
          </w:p>
          <w:p>
            <w:pPr>
              <w:pStyle w:val="0"/>
            </w:pPr>
            <w:r>
              <w:rPr>
                <w:sz w:val="20"/>
              </w:rPr>
              <w:t xml:space="preserve">2029 года,</w:t>
            </w:r>
          </w:p>
          <w:p>
            <w:pPr>
              <w:pStyle w:val="0"/>
            </w:pPr>
            <w:r>
              <w:rPr>
                <w:sz w:val="20"/>
              </w:rPr>
              <w:t xml:space="preserve">до 31 декабря</w:t>
            </w:r>
          </w:p>
          <w:p>
            <w:pPr>
              <w:pStyle w:val="0"/>
            </w:pPr>
            <w:r>
              <w:rPr>
                <w:sz w:val="20"/>
              </w:rPr>
              <w:t xml:space="preserve">2030 года</w:t>
            </w:r>
          </w:p>
        </w:tc>
        <w:tc>
          <w:tcPr>
            <w:tcW w:w="3559" w:type="dxa"/>
          </w:tcPr>
          <w:p>
            <w:pPr>
              <w:pStyle w:val="0"/>
            </w:pPr>
            <w:hyperlink w:history="0" r:id="rId252" w:tooltip="Постановление Правительства ХМАО - Югры от 12.12.2007 N 317-п (ред. от 21.09.2018) &quot;О Межведомственной комиссии при Правительстве Ханты-Мансийского автономного округа - Югры по профилактике и борьбе с социально значимыми заболеваниями и заболеваниями, представляющими опасность для окружающих&quot; (вместе с &quot;Положением о Межведомственной комиссии при Правительстве Ханты-Мансийского автономного округа - Югры по профилактике и борьбе с социально значимыми заболеваниями и заболеваниями, представляющими опасность дл {КонсультантПлюс}">
              <w:r>
                <w:rPr>
                  <w:sz w:val="20"/>
                  <w:color w:val="0000ff"/>
                </w:rPr>
                <w:t xml:space="preserve">постановление</w:t>
              </w:r>
            </w:hyperlink>
            <w:r>
              <w:rPr>
                <w:sz w:val="20"/>
              </w:rPr>
              <w:t xml:space="preserve"> Правительства автономного округа от 12 декабря 2007 года N 317-п "О Межведомственной комиссии при Правительстве Ханты-Мансийского автономного округа - Югры по профилактике и борьбе с социально значимыми заболеваниями и заболеваниями, представляющими опасность для окружающих"</w:t>
            </w:r>
          </w:p>
        </w:tc>
        <w:tc>
          <w:tcPr>
            <w:tcW w:w="2179" w:type="dxa"/>
          </w:tcPr>
          <w:p>
            <w:pPr>
              <w:pStyle w:val="0"/>
            </w:pPr>
            <w:r>
              <w:rPr>
                <w:sz w:val="20"/>
              </w:rPr>
              <w:t xml:space="preserve">Департамент здравоохранения автономного округа, исполнительные органы автономного округа, входящие в состав Межведомственной комиссии</w:t>
            </w:r>
          </w:p>
        </w:tc>
        <w:tc>
          <w:tcPr>
            <w:tcW w:w="2254" w:type="dxa"/>
          </w:tcPr>
          <w:p>
            <w:pPr>
              <w:pStyle w:val="0"/>
            </w:pPr>
            <w:r>
              <w:rPr>
                <w:sz w:val="20"/>
              </w:rPr>
              <w:t xml:space="preserve">оперативное решение вопросов профилактики и лечения вирусного гепатита C в муниципальных образованиях автономного округа</w:t>
            </w:r>
          </w:p>
        </w:tc>
      </w:tr>
      <w:tr>
        <w:tc>
          <w:tcPr>
            <w:gridSpan w:val="6"/>
            <w:tcW w:w="14139" w:type="dxa"/>
          </w:tcPr>
          <w:p>
            <w:pPr>
              <w:pStyle w:val="0"/>
              <w:outlineLvl w:val="1"/>
            </w:pPr>
            <w:r>
              <w:rPr>
                <w:sz w:val="20"/>
              </w:rPr>
              <w:t xml:space="preserve">2. Освещение актуальных вопросов по профилактике хронического вирусного гепатита C среди населения автономного округа</w:t>
            </w:r>
          </w:p>
        </w:tc>
      </w:tr>
      <w:tr>
        <w:tc>
          <w:tcPr>
            <w:tcW w:w="604" w:type="dxa"/>
          </w:tcPr>
          <w:p>
            <w:pPr>
              <w:pStyle w:val="0"/>
            </w:pPr>
            <w:r>
              <w:rPr>
                <w:sz w:val="20"/>
              </w:rPr>
              <w:t xml:space="preserve">2.1.</w:t>
            </w:r>
          </w:p>
        </w:tc>
        <w:tc>
          <w:tcPr>
            <w:tcW w:w="3559" w:type="dxa"/>
          </w:tcPr>
          <w:p>
            <w:pPr>
              <w:pStyle w:val="0"/>
            </w:pPr>
            <w:r>
              <w:rPr>
                <w:sz w:val="20"/>
              </w:rPr>
              <w:t xml:space="preserve">Обеспечение освещения вопросов профилактики инфицирования, распространения вирусного гепатита C среди населения в СМИ (телепередач и радиовещаний), распространение наглядных материалов среди населения</w:t>
            </w:r>
          </w:p>
        </w:tc>
        <w:tc>
          <w:tcPr>
            <w:tcW w:w="1984" w:type="dxa"/>
          </w:tcPr>
          <w:p>
            <w:pPr>
              <w:pStyle w:val="0"/>
            </w:pPr>
            <w:r>
              <w:rPr>
                <w:sz w:val="20"/>
              </w:rPr>
              <w:t xml:space="preserve">до 31 декабря</w:t>
            </w:r>
          </w:p>
          <w:p>
            <w:pPr>
              <w:pStyle w:val="0"/>
            </w:pPr>
            <w:r>
              <w:rPr>
                <w:sz w:val="20"/>
              </w:rPr>
              <w:t xml:space="preserve">2023 года,</w:t>
            </w:r>
          </w:p>
          <w:p>
            <w:pPr>
              <w:pStyle w:val="0"/>
            </w:pPr>
            <w:r>
              <w:rPr>
                <w:sz w:val="20"/>
              </w:rPr>
              <w:t xml:space="preserve">до 31 декабря</w:t>
            </w:r>
          </w:p>
          <w:p>
            <w:pPr>
              <w:pStyle w:val="0"/>
            </w:pPr>
            <w:r>
              <w:rPr>
                <w:sz w:val="20"/>
              </w:rPr>
              <w:t xml:space="preserve">2024 года,</w:t>
            </w:r>
          </w:p>
          <w:p>
            <w:pPr>
              <w:pStyle w:val="0"/>
            </w:pPr>
            <w:r>
              <w:rPr>
                <w:sz w:val="20"/>
              </w:rPr>
              <w:t xml:space="preserve">до 31 декабря</w:t>
            </w:r>
          </w:p>
          <w:p>
            <w:pPr>
              <w:pStyle w:val="0"/>
            </w:pPr>
            <w:r>
              <w:rPr>
                <w:sz w:val="20"/>
              </w:rPr>
              <w:t xml:space="preserve">2025 года,</w:t>
            </w:r>
          </w:p>
          <w:p>
            <w:pPr>
              <w:pStyle w:val="0"/>
            </w:pPr>
            <w:r>
              <w:rPr>
                <w:sz w:val="20"/>
              </w:rPr>
              <w:t xml:space="preserve">до 31 декабря</w:t>
            </w:r>
          </w:p>
          <w:p>
            <w:pPr>
              <w:pStyle w:val="0"/>
            </w:pPr>
            <w:r>
              <w:rPr>
                <w:sz w:val="20"/>
              </w:rPr>
              <w:t xml:space="preserve">2026 года,</w:t>
            </w:r>
          </w:p>
          <w:p>
            <w:pPr>
              <w:pStyle w:val="0"/>
            </w:pPr>
            <w:r>
              <w:rPr>
                <w:sz w:val="20"/>
              </w:rPr>
              <w:t xml:space="preserve">до 31 декабря</w:t>
            </w:r>
          </w:p>
          <w:p>
            <w:pPr>
              <w:pStyle w:val="0"/>
            </w:pPr>
            <w:r>
              <w:rPr>
                <w:sz w:val="20"/>
              </w:rPr>
              <w:t xml:space="preserve">2027 года,</w:t>
            </w:r>
          </w:p>
          <w:p>
            <w:pPr>
              <w:pStyle w:val="0"/>
            </w:pPr>
            <w:r>
              <w:rPr>
                <w:sz w:val="20"/>
              </w:rPr>
              <w:t xml:space="preserve">до 31 декабря</w:t>
            </w:r>
          </w:p>
          <w:p>
            <w:pPr>
              <w:pStyle w:val="0"/>
            </w:pPr>
            <w:r>
              <w:rPr>
                <w:sz w:val="20"/>
              </w:rPr>
              <w:t xml:space="preserve">2028 года,</w:t>
            </w:r>
          </w:p>
          <w:p>
            <w:pPr>
              <w:pStyle w:val="0"/>
            </w:pPr>
            <w:r>
              <w:rPr>
                <w:sz w:val="20"/>
              </w:rPr>
              <w:t xml:space="preserve">до 31 декабря</w:t>
            </w:r>
          </w:p>
          <w:p>
            <w:pPr>
              <w:pStyle w:val="0"/>
            </w:pPr>
            <w:r>
              <w:rPr>
                <w:sz w:val="20"/>
              </w:rPr>
              <w:t xml:space="preserve">2029 года,</w:t>
            </w:r>
          </w:p>
          <w:p>
            <w:pPr>
              <w:pStyle w:val="0"/>
            </w:pPr>
            <w:r>
              <w:rPr>
                <w:sz w:val="20"/>
              </w:rPr>
              <w:t xml:space="preserve">до 31 декабря</w:t>
            </w:r>
          </w:p>
          <w:p>
            <w:pPr>
              <w:pStyle w:val="0"/>
            </w:pPr>
            <w:r>
              <w:rPr>
                <w:sz w:val="20"/>
              </w:rPr>
              <w:t xml:space="preserve">2030 года</w:t>
            </w:r>
          </w:p>
        </w:tc>
        <w:tc>
          <w:tcPr>
            <w:tcW w:w="3559" w:type="dxa"/>
          </w:tcPr>
          <w:p>
            <w:pPr>
              <w:pStyle w:val="0"/>
            </w:pPr>
            <w:r>
              <w:rPr>
                <w:sz w:val="20"/>
              </w:rPr>
              <w:t xml:space="preserve">приказ Департамента здравоохранения автономного округа от 24 сентября 2019 года N 1123 "Об утверждении Порядка взаимодействия Департамента здравоохранения Ханты-Мансийского автономного округа - Югры с подведомственными медицинскими организациями и средствами массовой информации по информационному сопровождению деятельности системы здравоохранения Ханты-Мансийского автономного округа - Югры, в том числе в социальных сетях и сервисах, обеспечивающих открытость государственного управления"</w:t>
            </w:r>
          </w:p>
        </w:tc>
        <w:tc>
          <w:tcPr>
            <w:tcW w:w="2179"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c>
          <w:tcPr>
            <w:tcW w:w="2254" w:type="dxa"/>
            <w:vMerge w:val="restart"/>
          </w:tcPr>
          <w:p>
            <w:pPr>
              <w:pStyle w:val="0"/>
            </w:pPr>
            <w:r>
              <w:rPr>
                <w:sz w:val="20"/>
              </w:rPr>
              <w:t xml:space="preserve">повышение информированности населения автономного округа о путях инфицирования, профилактике передачи и распространении вирусного гепатита C</w:t>
            </w:r>
          </w:p>
        </w:tc>
      </w:tr>
      <w:tr>
        <w:tc>
          <w:tcPr>
            <w:tcW w:w="604" w:type="dxa"/>
          </w:tcPr>
          <w:p>
            <w:pPr>
              <w:pStyle w:val="0"/>
            </w:pPr>
            <w:r>
              <w:rPr>
                <w:sz w:val="20"/>
              </w:rPr>
              <w:t xml:space="preserve">2.2.</w:t>
            </w:r>
          </w:p>
        </w:tc>
        <w:tc>
          <w:tcPr>
            <w:tcW w:w="3559" w:type="dxa"/>
          </w:tcPr>
          <w:p>
            <w:pPr>
              <w:pStyle w:val="0"/>
            </w:pPr>
            <w:r>
              <w:rPr>
                <w:sz w:val="20"/>
              </w:rPr>
              <w:t xml:space="preserve">Проведение недели борьбы с заражением и распространением хронического вирусного гепатита C</w:t>
            </w:r>
          </w:p>
        </w:tc>
        <w:tc>
          <w:tcPr>
            <w:tcW w:w="1984" w:type="dxa"/>
          </w:tcPr>
          <w:p>
            <w:pPr>
              <w:pStyle w:val="0"/>
            </w:pPr>
            <w:r>
              <w:rPr>
                <w:sz w:val="20"/>
              </w:rPr>
              <w:t xml:space="preserve">до 31 декабря</w:t>
            </w:r>
          </w:p>
          <w:p>
            <w:pPr>
              <w:pStyle w:val="0"/>
            </w:pPr>
            <w:r>
              <w:rPr>
                <w:sz w:val="20"/>
              </w:rPr>
              <w:t xml:space="preserve">2023 года,</w:t>
            </w:r>
          </w:p>
          <w:p>
            <w:pPr>
              <w:pStyle w:val="0"/>
            </w:pPr>
            <w:r>
              <w:rPr>
                <w:sz w:val="20"/>
              </w:rPr>
              <w:t xml:space="preserve">до 31 декабря</w:t>
            </w:r>
          </w:p>
          <w:p>
            <w:pPr>
              <w:pStyle w:val="0"/>
            </w:pPr>
            <w:r>
              <w:rPr>
                <w:sz w:val="20"/>
              </w:rPr>
              <w:t xml:space="preserve">2024 года,</w:t>
            </w:r>
          </w:p>
          <w:p>
            <w:pPr>
              <w:pStyle w:val="0"/>
            </w:pPr>
            <w:r>
              <w:rPr>
                <w:sz w:val="20"/>
              </w:rPr>
              <w:t xml:space="preserve">до 31 декабря</w:t>
            </w:r>
          </w:p>
          <w:p>
            <w:pPr>
              <w:pStyle w:val="0"/>
            </w:pPr>
            <w:r>
              <w:rPr>
                <w:sz w:val="20"/>
              </w:rPr>
              <w:t xml:space="preserve">2025 года,</w:t>
            </w:r>
          </w:p>
          <w:p>
            <w:pPr>
              <w:pStyle w:val="0"/>
            </w:pPr>
            <w:r>
              <w:rPr>
                <w:sz w:val="20"/>
              </w:rPr>
              <w:t xml:space="preserve">до 31 декабря</w:t>
            </w:r>
          </w:p>
          <w:p>
            <w:pPr>
              <w:pStyle w:val="0"/>
            </w:pPr>
            <w:r>
              <w:rPr>
                <w:sz w:val="20"/>
              </w:rPr>
              <w:t xml:space="preserve">2026 года,</w:t>
            </w:r>
          </w:p>
          <w:p>
            <w:pPr>
              <w:pStyle w:val="0"/>
            </w:pPr>
            <w:r>
              <w:rPr>
                <w:sz w:val="20"/>
              </w:rPr>
              <w:t xml:space="preserve">до 31 декабря</w:t>
            </w:r>
          </w:p>
          <w:p>
            <w:pPr>
              <w:pStyle w:val="0"/>
            </w:pPr>
            <w:r>
              <w:rPr>
                <w:sz w:val="20"/>
              </w:rPr>
              <w:t xml:space="preserve">2027 года,</w:t>
            </w:r>
          </w:p>
          <w:p>
            <w:pPr>
              <w:pStyle w:val="0"/>
            </w:pPr>
            <w:r>
              <w:rPr>
                <w:sz w:val="20"/>
              </w:rPr>
              <w:t xml:space="preserve">до 31 декабря</w:t>
            </w:r>
          </w:p>
          <w:p>
            <w:pPr>
              <w:pStyle w:val="0"/>
            </w:pPr>
            <w:r>
              <w:rPr>
                <w:sz w:val="20"/>
              </w:rPr>
              <w:t xml:space="preserve">2028 года,</w:t>
            </w:r>
          </w:p>
          <w:p>
            <w:pPr>
              <w:pStyle w:val="0"/>
            </w:pPr>
            <w:r>
              <w:rPr>
                <w:sz w:val="20"/>
              </w:rPr>
              <w:t xml:space="preserve">до 31 декабря</w:t>
            </w:r>
          </w:p>
          <w:p>
            <w:pPr>
              <w:pStyle w:val="0"/>
            </w:pPr>
            <w:r>
              <w:rPr>
                <w:sz w:val="20"/>
              </w:rPr>
              <w:t xml:space="preserve">2029 года,</w:t>
            </w:r>
          </w:p>
          <w:p>
            <w:pPr>
              <w:pStyle w:val="0"/>
            </w:pPr>
            <w:r>
              <w:rPr>
                <w:sz w:val="20"/>
              </w:rPr>
              <w:t xml:space="preserve">до 31 декабря</w:t>
            </w:r>
          </w:p>
          <w:p>
            <w:pPr>
              <w:pStyle w:val="0"/>
            </w:pPr>
            <w:r>
              <w:rPr>
                <w:sz w:val="20"/>
              </w:rPr>
              <w:t xml:space="preserve">2030 года</w:t>
            </w:r>
          </w:p>
        </w:tc>
        <w:tc>
          <w:tcPr>
            <w:tcW w:w="3559" w:type="dxa"/>
          </w:tcPr>
          <w:p>
            <w:pPr>
              <w:pStyle w:val="0"/>
            </w:pPr>
            <w:r>
              <w:rPr>
                <w:sz w:val="20"/>
              </w:rPr>
              <w:t xml:space="preserve">приказ Департамента здравоохранения автономного округа об утверждении плана основных мероприятий, реализуемых Департаментом здравоохранения автономного округа</w:t>
            </w:r>
          </w:p>
        </w:tc>
        <w:tc>
          <w:tcPr>
            <w:tcW w:w="2179"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c>
          <w:tcPr>
            <w:vMerge w:val="continue"/>
          </w:tcPr>
          <w:p/>
        </w:tc>
      </w:tr>
      <w:tr>
        <w:tc>
          <w:tcPr>
            <w:gridSpan w:val="6"/>
            <w:tcW w:w="14139" w:type="dxa"/>
          </w:tcPr>
          <w:p>
            <w:pPr>
              <w:pStyle w:val="0"/>
              <w:outlineLvl w:val="1"/>
            </w:pPr>
            <w:r>
              <w:rPr>
                <w:sz w:val="20"/>
              </w:rPr>
              <w:t xml:space="preserve">3. Раннее выявление лиц, инфицированных вирусом гепатита C</w:t>
            </w:r>
          </w:p>
        </w:tc>
      </w:tr>
      <w:tr>
        <w:tc>
          <w:tcPr>
            <w:tcW w:w="604" w:type="dxa"/>
          </w:tcPr>
          <w:p>
            <w:pPr>
              <w:pStyle w:val="0"/>
            </w:pPr>
            <w:r>
              <w:rPr>
                <w:sz w:val="20"/>
              </w:rPr>
              <w:t xml:space="preserve">3.1.</w:t>
            </w:r>
          </w:p>
        </w:tc>
        <w:tc>
          <w:tcPr>
            <w:tcW w:w="3559" w:type="dxa"/>
          </w:tcPr>
          <w:p>
            <w:pPr>
              <w:pStyle w:val="0"/>
            </w:pPr>
            <w:r>
              <w:rPr>
                <w:sz w:val="20"/>
              </w:rPr>
              <w:t xml:space="preserve">Проведение скринингового обследования граждан автономного округа на вирусные гепатиты B, C в соответствии с </w:t>
            </w:r>
            <w:hyperlink w:history="0" r:id="rId253"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0"/>
                  <w:color w:val="0000ff"/>
                </w:rPr>
                <w:t xml:space="preserve">СанПиН</w:t>
              </w:r>
            </w:hyperlink>
            <w:r>
              <w:rPr>
                <w:sz w:val="20"/>
              </w:rPr>
              <w:t xml:space="preserve"> 3.3686-21 от 28 января 2021 года "Санитарно-эпидемиологические требования по профилактике инфекционных болезней" (далее - </w:t>
            </w:r>
            <w:hyperlink w:history="0" r:id="rId254"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0"/>
                  <w:color w:val="0000ff"/>
                </w:rPr>
                <w:t xml:space="preserve">СанПиН</w:t>
              </w:r>
            </w:hyperlink>
            <w:r>
              <w:rPr>
                <w:sz w:val="20"/>
              </w:rPr>
              <w:t xml:space="preserve"> 3.3686-21)</w:t>
            </w:r>
          </w:p>
        </w:tc>
        <w:tc>
          <w:tcPr>
            <w:tcW w:w="1984" w:type="dxa"/>
          </w:tcPr>
          <w:p>
            <w:pPr>
              <w:pStyle w:val="0"/>
            </w:pPr>
            <w:r>
              <w:rPr>
                <w:sz w:val="20"/>
              </w:rPr>
              <w:t xml:space="preserve">до 31 декабря</w:t>
            </w:r>
          </w:p>
          <w:p>
            <w:pPr>
              <w:pStyle w:val="0"/>
            </w:pPr>
            <w:r>
              <w:rPr>
                <w:sz w:val="20"/>
              </w:rPr>
              <w:t xml:space="preserve">2023 года,</w:t>
            </w:r>
          </w:p>
          <w:p>
            <w:pPr>
              <w:pStyle w:val="0"/>
            </w:pPr>
            <w:r>
              <w:rPr>
                <w:sz w:val="20"/>
              </w:rPr>
              <w:t xml:space="preserve">до 31 декабря</w:t>
            </w:r>
          </w:p>
          <w:p>
            <w:pPr>
              <w:pStyle w:val="0"/>
            </w:pPr>
            <w:r>
              <w:rPr>
                <w:sz w:val="20"/>
              </w:rPr>
              <w:t xml:space="preserve">2024 года,</w:t>
            </w:r>
          </w:p>
          <w:p>
            <w:pPr>
              <w:pStyle w:val="0"/>
            </w:pPr>
            <w:r>
              <w:rPr>
                <w:sz w:val="20"/>
              </w:rPr>
              <w:t xml:space="preserve">до 31 декабря</w:t>
            </w:r>
          </w:p>
          <w:p>
            <w:pPr>
              <w:pStyle w:val="0"/>
            </w:pPr>
            <w:r>
              <w:rPr>
                <w:sz w:val="20"/>
              </w:rPr>
              <w:t xml:space="preserve">2025 года,</w:t>
            </w:r>
          </w:p>
          <w:p>
            <w:pPr>
              <w:pStyle w:val="0"/>
            </w:pPr>
            <w:r>
              <w:rPr>
                <w:sz w:val="20"/>
              </w:rPr>
              <w:t xml:space="preserve">до 31 декабря</w:t>
            </w:r>
          </w:p>
          <w:p>
            <w:pPr>
              <w:pStyle w:val="0"/>
            </w:pPr>
            <w:r>
              <w:rPr>
                <w:sz w:val="20"/>
              </w:rPr>
              <w:t xml:space="preserve">2026 года,</w:t>
            </w:r>
          </w:p>
          <w:p>
            <w:pPr>
              <w:pStyle w:val="0"/>
            </w:pPr>
            <w:r>
              <w:rPr>
                <w:sz w:val="20"/>
              </w:rPr>
              <w:t xml:space="preserve">до 31 декабря</w:t>
            </w:r>
          </w:p>
          <w:p>
            <w:pPr>
              <w:pStyle w:val="0"/>
            </w:pPr>
            <w:r>
              <w:rPr>
                <w:sz w:val="20"/>
              </w:rPr>
              <w:t xml:space="preserve">2027 года,</w:t>
            </w:r>
          </w:p>
          <w:p>
            <w:pPr>
              <w:pStyle w:val="0"/>
            </w:pPr>
            <w:r>
              <w:rPr>
                <w:sz w:val="20"/>
              </w:rPr>
              <w:t xml:space="preserve">до 31 декабря</w:t>
            </w:r>
          </w:p>
          <w:p>
            <w:pPr>
              <w:pStyle w:val="0"/>
            </w:pPr>
            <w:r>
              <w:rPr>
                <w:sz w:val="20"/>
              </w:rPr>
              <w:t xml:space="preserve">2028 года,</w:t>
            </w:r>
          </w:p>
          <w:p>
            <w:pPr>
              <w:pStyle w:val="0"/>
            </w:pPr>
            <w:r>
              <w:rPr>
                <w:sz w:val="20"/>
              </w:rPr>
              <w:t xml:space="preserve">до 31 декабря</w:t>
            </w:r>
          </w:p>
          <w:p>
            <w:pPr>
              <w:pStyle w:val="0"/>
            </w:pPr>
            <w:r>
              <w:rPr>
                <w:sz w:val="20"/>
              </w:rPr>
              <w:t xml:space="preserve">2029 года,</w:t>
            </w:r>
          </w:p>
          <w:p>
            <w:pPr>
              <w:pStyle w:val="0"/>
            </w:pPr>
            <w:r>
              <w:rPr>
                <w:sz w:val="20"/>
              </w:rPr>
              <w:t xml:space="preserve">до 31 декабря</w:t>
            </w:r>
          </w:p>
          <w:p>
            <w:pPr>
              <w:pStyle w:val="0"/>
            </w:pPr>
            <w:r>
              <w:rPr>
                <w:sz w:val="20"/>
              </w:rPr>
              <w:t xml:space="preserve">2030 года</w:t>
            </w:r>
          </w:p>
        </w:tc>
        <w:tc>
          <w:tcPr>
            <w:tcW w:w="3559" w:type="dxa"/>
          </w:tcPr>
          <w:p>
            <w:pPr>
              <w:pStyle w:val="0"/>
            </w:pPr>
            <w:r>
              <w:rPr>
                <w:sz w:val="20"/>
              </w:rPr>
              <w:t xml:space="preserve">СанПиН 3.3686-21 "Санитарно-эпидемиологические требования по профилактике инфекционных болезней"</w:t>
            </w:r>
          </w:p>
          <w:p>
            <w:pPr>
              <w:pStyle w:val="0"/>
            </w:pPr>
            <w:r>
              <w:rPr>
                <w:sz w:val="20"/>
              </w:rPr>
              <w:t xml:space="preserve">(</w:t>
            </w:r>
            <w:hyperlink w:history="0" r:id="rId255"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0"/>
                  <w:color w:val="0000ff"/>
                </w:rPr>
                <w:t xml:space="preserve">приложения 16</w:t>
              </w:r>
            </w:hyperlink>
            <w:r>
              <w:rPr>
                <w:sz w:val="20"/>
              </w:rPr>
              <w:t xml:space="preserve"> - </w:t>
            </w:r>
            <w:hyperlink w:history="0" r:id="rId256"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0"/>
                  <w:color w:val="0000ff"/>
                </w:rPr>
                <w:t xml:space="preserve">18</w:t>
              </w:r>
            </w:hyperlink>
            <w:r>
              <w:rPr>
                <w:sz w:val="20"/>
              </w:rPr>
              <w:t xml:space="preserve">)</w:t>
            </w:r>
          </w:p>
        </w:tc>
        <w:tc>
          <w:tcPr>
            <w:tcW w:w="2179"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0"/>
              </w:rPr>
              <w:t xml:space="preserve">реализованы требования </w:t>
            </w:r>
            <w:hyperlink w:history="0" r:id="rId257" w:tooltip="Постановление Главного государственного санитарного врача РФ от 28.01.2021 N 4 (ред. от 25.05.2022) &quot;Об утверждении санитарных правил и норм СанПиН 3.3686-21 &quot;Санитарно-эпидемиологические требования по профилактике инфекционных болезней&quot; (вместе с &quot;СанПиН 3.3686-21. Санитарные правила и нормы...&quot;) (Зарегистрировано в Минюсте России 15.02.2021 N 62500) {КонсультантПлюс}">
              <w:r>
                <w:rPr>
                  <w:sz w:val="20"/>
                  <w:color w:val="0000ff"/>
                </w:rPr>
                <w:t xml:space="preserve">СанПиН</w:t>
              </w:r>
            </w:hyperlink>
            <w:r>
              <w:rPr>
                <w:sz w:val="20"/>
              </w:rPr>
              <w:t xml:space="preserve"> 3.3686-21 в автономном округе, увеличена ранняя выявляемость вирусных гепатитов B, C у граждан автономного округа</w:t>
            </w:r>
          </w:p>
        </w:tc>
      </w:tr>
      <w:tr>
        <w:tc>
          <w:tcPr>
            <w:tcW w:w="604" w:type="dxa"/>
          </w:tcPr>
          <w:p>
            <w:pPr>
              <w:pStyle w:val="0"/>
            </w:pPr>
            <w:r>
              <w:rPr>
                <w:sz w:val="20"/>
              </w:rPr>
              <w:t xml:space="preserve">3.2.</w:t>
            </w:r>
          </w:p>
        </w:tc>
        <w:tc>
          <w:tcPr>
            <w:tcW w:w="3559" w:type="dxa"/>
          </w:tcPr>
          <w:p>
            <w:pPr>
              <w:pStyle w:val="0"/>
            </w:pPr>
            <w:r>
              <w:rPr>
                <w:sz w:val="20"/>
              </w:rPr>
              <w:t xml:space="preserve">Внесение данных о впервые выявленных пациентах с парентеральными вирусными гепатитами (B, C, Д) в Федеральный регистр больных вирусными гепатитами, проживающих в автономном округе</w:t>
            </w:r>
          </w:p>
        </w:tc>
        <w:tc>
          <w:tcPr>
            <w:tcW w:w="1984" w:type="dxa"/>
          </w:tcPr>
          <w:p>
            <w:pPr>
              <w:pStyle w:val="0"/>
            </w:pPr>
            <w:r>
              <w:rPr>
                <w:sz w:val="20"/>
              </w:rPr>
              <w:t xml:space="preserve">до 31 декабря</w:t>
            </w:r>
          </w:p>
          <w:p>
            <w:pPr>
              <w:pStyle w:val="0"/>
            </w:pPr>
            <w:r>
              <w:rPr>
                <w:sz w:val="20"/>
              </w:rPr>
              <w:t xml:space="preserve">2023 года,</w:t>
            </w:r>
          </w:p>
          <w:p>
            <w:pPr>
              <w:pStyle w:val="0"/>
            </w:pPr>
            <w:r>
              <w:rPr>
                <w:sz w:val="20"/>
              </w:rPr>
              <w:t xml:space="preserve">до 31 декабря</w:t>
            </w:r>
          </w:p>
          <w:p>
            <w:pPr>
              <w:pStyle w:val="0"/>
            </w:pPr>
            <w:r>
              <w:rPr>
                <w:sz w:val="20"/>
              </w:rPr>
              <w:t xml:space="preserve">2024 года,</w:t>
            </w:r>
          </w:p>
          <w:p>
            <w:pPr>
              <w:pStyle w:val="0"/>
            </w:pPr>
            <w:r>
              <w:rPr>
                <w:sz w:val="20"/>
              </w:rPr>
              <w:t xml:space="preserve">до 31 декабря</w:t>
            </w:r>
          </w:p>
          <w:p>
            <w:pPr>
              <w:pStyle w:val="0"/>
            </w:pPr>
            <w:r>
              <w:rPr>
                <w:sz w:val="20"/>
              </w:rPr>
              <w:t xml:space="preserve">2025 года,</w:t>
            </w:r>
          </w:p>
          <w:p>
            <w:pPr>
              <w:pStyle w:val="0"/>
            </w:pPr>
            <w:r>
              <w:rPr>
                <w:sz w:val="20"/>
              </w:rPr>
              <w:t xml:space="preserve">до 31 декабря</w:t>
            </w:r>
          </w:p>
          <w:p>
            <w:pPr>
              <w:pStyle w:val="0"/>
            </w:pPr>
            <w:r>
              <w:rPr>
                <w:sz w:val="20"/>
              </w:rPr>
              <w:t xml:space="preserve">2026 года,</w:t>
            </w:r>
          </w:p>
          <w:p>
            <w:pPr>
              <w:pStyle w:val="0"/>
            </w:pPr>
            <w:r>
              <w:rPr>
                <w:sz w:val="20"/>
              </w:rPr>
              <w:t xml:space="preserve">до 31 декабря</w:t>
            </w:r>
          </w:p>
          <w:p>
            <w:pPr>
              <w:pStyle w:val="0"/>
            </w:pPr>
            <w:r>
              <w:rPr>
                <w:sz w:val="20"/>
              </w:rPr>
              <w:t xml:space="preserve">2027 года,</w:t>
            </w:r>
          </w:p>
          <w:p>
            <w:pPr>
              <w:pStyle w:val="0"/>
            </w:pPr>
            <w:r>
              <w:rPr>
                <w:sz w:val="20"/>
              </w:rPr>
              <w:t xml:space="preserve">до 31 декабря</w:t>
            </w:r>
          </w:p>
          <w:p>
            <w:pPr>
              <w:pStyle w:val="0"/>
            </w:pPr>
            <w:r>
              <w:rPr>
                <w:sz w:val="20"/>
              </w:rPr>
              <w:t xml:space="preserve">2028 года,</w:t>
            </w:r>
          </w:p>
          <w:p>
            <w:pPr>
              <w:pStyle w:val="0"/>
            </w:pPr>
            <w:r>
              <w:rPr>
                <w:sz w:val="20"/>
              </w:rPr>
              <w:t xml:space="preserve">до 31 декабря</w:t>
            </w:r>
          </w:p>
          <w:p>
            <w:pPr>
              <w:pStyle w:val="0"/>
            </w:pPr>
            <w:r>
              <w:rPr>
                <w:sz w:val="20"/>
              </w:rPr>
              <w:t xml:space="preserve">2029 года,</w:t>
            </w:r>
          </w:p>
          <w:p>
            <w:pPr>
              <w:pStyle w:val="0"/>
            </w:pPr>
            <w:r>
              <w:rPr>
                <w:sz w:val="20"/>
              </w:rPr>
              <w:t xml:space="preserve">до 31 декабря</w:t>
            </w:r>
          </w:p>
          <w:p>
            <w:pPr>
              <w:pStyle w:val="0"/>
            </w:pPr>
            <w:r>
              <w:rPr>
                <w:sz w:val="20"/>
              </w:rPr>
              <w:t xml:space="preserve">2030 года</w:t>
            </w:r>
          </w:p>
        </w:tc>
        <w:tc>
          <w:tcPr>
            <w:tcW w:w="3559" w:type="dxa"/>
          </w:tcPr>
          <w:p>
            <w:pPr>
              <w:pStyle w:val="0"/>
            </w:pPr>
            <w:r>
              <w:rPr>
                <w:sz w:val="20"/>
              </w:rPr>
              <w:t xml:space="preserve">приказ Департамента здравоохранения автономного округа от 10 июня 2021 года N 840 "О совершенствовании оказания медицинской помощи больным вирусными гепатитами (за исключением коинфицированных ВИЧ) в Ханты-Мансийском автономном округе - Югре" (далее - приказ N 840)</w:t>
            </w:r>
          </w:p>
        </w:tc>
        <w:tc>
          <w:tcPr>
            <w:tcW w:w="2179"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0"/>
              </w:rPr>
              <w:t xml:space="preserve">обеспечены условия для проведения мониторинга впервые выявленных пациентов с парентеральными вирусными гепатитами в автономном округе</w:t>
            </w:r>
          </w:p>
        </w:tc>
      </w:tr>
      <w:tr>
        <w:tc>
          <w:tcPr>
            <w:tcW w:w="604" w:type="dxa"/>
          </w:tcPr>
          <w:p>
            <w:pPr>
              <w:pStyle w:val="0"/>
            </w:pPr>
            <w:r>
              <w:rPr>
                <w:sz w:val="20"/>
              </w:rPr>
              <w:t xml:space="preserve">3.3.</w:t>
            </w:r>
          </w:p>
        </w:tc>
        <w:tc>
          <w:tcPr>
            <w:tcW w:w="3559" w:type="dxa"/>
          </w:tcPr>
          <w:p>
            <w:pPr>
              <w:pStyle w:val="0"/>
            </w:pPr>
            <w:r>
              <w:rPr>
                <w:sz w:val="20"/>
              </w:rPr>
              <w:t xml:space="preserve">Проведение вакцинации против вирусного гепатита B лиц с хроническим вирусным гепатитом C при отсутствии у них маркеров инфицирования вирусом гепатита B и антител к поверхностному антигену вируса гепатита B (анти-HBs)</w:t>
            </w:r>
          </w:p>
        </w:tc>
        <w:tc>
          <w:tcPr>
            <w:tcW w:w="1984" w:type="dxa"/>
          </w:tcPr>
          <w:p>
            <w:pPr>
              <w:pStyle w:val="0"/>
            </w:pPr>
            <w:r>
              <w:rPr>
                <w:sz w:val="20"/>
              </w:rPr>
              <w:t xml:space="preserve">до 31 декабря</w:t>
            </w:r>
          </w:p>
          <w:p>
            <w:pPr>
              <w:pStyle w:val="0"/>
            </w:pPr>
            <w:r>
              <w:rPr>
                <w:sz w:val="20"/>
              </w:rPr>
              <w:t xml:space="preserve">2023 года,</w:t>
            </w:r>
          </w:p>
          <w:p>
            <w:pPr>
              <w:pStyle w:val="0"/>
            </w:pPr>
            <w:r>
              <w:rPr>
                <w:sz w:val="20"/>
              </w:rPr>
              <w:t xml:space="preserve">до 31 декабря</w:t>
            </w:r>
          </w:p>
          <w:p>
            <w:pPr>
              <w:pStyle w:val="0"/>
            </w:pPr>
            <w:r>
              <w:rPr>
                <w:sz w:val="20"/>
              </w:rPr>
              <w:t xml:space="preserve">2024 года,</w:t>
            </w:r>
          </w:p>
          <w:p>
            <w:pPr>
              <w:pStyle w:val="0"/>
            </w:pPr>
            <w:r>
              <w:rPr>
                <w:sz w:val="20"/>
              </w:rPr>
              <w:t xml:space="preserve">до 31 декабря</w:t>
            </w:r>
          </w:p>
          <w:p>
            <w:pPr>
              <w:pStyle w:val="0"/>
            </w:pPr>
            <w:r>
              <w:rPr>
                <w:sz w:val="20"/>
              </w:rPr>
              <w:t xml:space="preserve">2025 года,</w:t>
            </w:r>
          </w:p>
          <w:p>
            <w:pPr>
              <w:pStyle w:val="0"/>
            </w:pPr>
            <w:r>
              <w:rPr>
                <w:sz w:val="20"/>
              </w:rPr>
              <w:t xml:space="preserve">до 31 декабря</w:t>
            </w:r>
          </w:p>
          <w:p>
            <w:pPr>
              <w:pStyle w:val="0"/>
            </w:pPr>
            <w:r>
              <w:rPr>
                <w:sz w:val="20"/>
              </w:rPr>
              <w:t xml:space="preserve">2026 года,</w:t>
            </w:r>
          </w:p>
          <w:p>
            <w:pPr>
              <w:pStyle w:val="0"/>
            </w:pPr>
            <w:r>
              <w:rPr>
                <w:sz w:val="20"/>
              </w:rPr>
              <w:t xml:space="preserve">до 31 декабря</w:t>
            </w:r>
          </w:p>
          <w:p>
            <w:pPr>
              <w:pStyle w:val="0"/>
            </w:pPr>
            <w:r>
              <w:rPr>
                <w:sz w:val="20"/>
              </w:rPr>
              <w:t xml:space="preserve">2027 года,</w:t>
            </w:r>
          </w:p>
          <w:p>
            <w:pPr>
              <w:pStyle w:val="0"/>
            </w:pPr>
            <w:r>
              <w:rPr>
                <w:sz w:val="20"/>
              </w:rPr>
              <w:t xml:space="preserve">до 31 декабря</w:t>
            </w:r>
          </w:p>
          <w:p>
            <w:pPr>
              <w:pStyle w:val="0"/>
            </w:pPr>
            <w:r>
              <w:rPr>
                <w:sz w:val="20"/>
              </w:rPr>
              <w:t xml:space="preserve">2028 года,</w:t>
            </w:r>
          </w:p>
          <w:p>
            <w:pPr>
              <w:pStyle w:val="0"/>
            </w:pPr>
            <w:r>
              <w:rPr>
                <w:sz w:val="20"/>
              </w:rPr>
              <w:t xml:space="preserve">до 31 декабря</w:t>
            </w:r>
          </w:p>
          <w:p>
            <w:pPr>
              <w:pStyle w:val="0"/>
            </w:pPr>
            <w:r>
              <w:rPr>
                <w:sz w:val="20"/>
              </w:rPr>
              <w:t xml:space="preserve">2029 года,</w:t>
            </w:r>
          </w:p>
          <w:p>
            <w:pPr>
              <w:pStyle w:val="0"/>
            </w:pPr>
            <w:r>
              <w:rPr>
                <w:sz w:val="20"/>
              </w:rPr>
              <w:t xml:space="preserve">до 31 декабря</w:t>
            </w:r>
          </w:p>
          <w:p>
            <w:pPr>
              <w:pStyle w:val="0"/>
            </w:pPr>
            <w:r>
              <w:rPr>
                <w:sz w:val="20"/>
              </w:rPr>
              <w:t xml:space="preserve">2030 года</w:t>
            </w:r>
          </w:p>
        </w:tc>
        <w:tc>
          <w:tcPr>
            <w:tcW w:w="3559" w:type="dxa"/>
          </w:tcPr>
          <w:p>
            <w:pPr>
              <w:pStyle w:val="0"/>
            </w:pPr>
            <w:r>
              <w:rPr>
                <w:sz w:val="20"/>
              </w:rPr>
              <w:t xml:space="preserve">клинические </w:t>
            </w:r>
            <w:hyperlink w:history="0" r:id="rId258" w:tooltip="&quot;Клинические рекомендации &quot;Хронический вирусный гепатит C&quot; (утв. Минздравом России) {КонсультантПлюс}">
              <w:r>
                <w:rPr>
                  <w:sz w:val="20"/>
                  <w:color w:val="0000ff"/>
                </w:rPr>
                <w:t xml:space="preserve">рекомендации</w:t>
              </w:r>
            </w:hyperlink>
            <w:r>
              <w:rPr>
                <w:sz w:val="20"/>
              </w:rPr>
              <w:t xml:space="preserve"> "Хронический вирусный гепатит C" от 2021 года (КР 516), утвержденные Министерством здравоохранения Российской Федерации</w:t>
            </w:r>
          </w:p>
        </w:tc>
        <w:tc>
          <w:tcPr>
            <w:tcW w:w="2179"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0"/>
              </w:rPr>
              <w:t xml:space="preserve">увеличен охват населения автономного округа вакцинацией против вирусного гепатита C, снижен риск заражения и распространения вирусных гепатитов среди населения автономного округа</w:t>
            </w:r>
          </w:p>
        </w:tc>
      </w:tr>
      <w:tr>
        <w:tc>
          <w:tcPr>
            <w:tcW w:w="604" w:type="dxa"/>
          </w:tcPr>
          <w:p>
            <w:pPr>
              <w:pStyle w:val="0"/>
            </w:pPr>
            <w:r>
              <w:rPr>
                <w:sz w:val="20"/>
              </w:rPr>
              <w:t xml:space="preserve">3.4.</w:t>
            </w:r>
          </w:p>
        </w:tc>
        <w:tc>
          <w:tcPr>
            <w:tcW w:w="3559" w:type="dxa"/>
          </w:tcPr>
          <w:p>
            <w:pPr>
              <w:pStyle w:val="0"/>
            </w:pPr>
            <w:r>
              <w:rPr>
                <w:sz w:val="20"/>
              </w:rPr>
              <w:t xml:space="preserve">Расширение охвата противовирусной терапией при оказании медицинской помощи пациентам с хроническим вирусным гепатитом C</w:t>
            </w:r>
          </w:p>
        </w:tc>
        <w:tc>
          <w:tcPr>
            <w:tcW w:w="1984" w:type="dxa"/>
          </w:tcPr>
          <w:p>
            <w:pPr>
              <w:pStyle w:val="0"/>
            </w:pPr>
            <w:r>
              <w:rPr>
                <w:sz w:val="20"/>
              </w:rPr>
              <w:t xml:space="preserve">до 31 декабря</w:t>
            </w:r>
          </w:p>
          <w:p>
            <w:pPr>
              <w:pStyle w:val="0"/>
            </w:pPr>
            <w:r>
              <w:rPr>
                <w:sz w:val="20"/>
              </w:rPr>
              <w:t xml:space="preserve">2023 года,</w:t>
            </w:r>
          </w:p>
          <w:p>
            <w:pPr>
              <w:pStyle w:val="0"/>
            </w:pPr>
            <w:r>
              <w:rPr>
                <w:sz w:val="20"/>
              </w:rPr>
              <w:t xml:space="preserve">до 31 декабря</w:t>
            </w:r>
          </w:p>
          <w:p>
            <w:pPr>
              <w:pStyle w:val="0"/>
            </w:pPr>
            <w:r>
              <w:rPr>
                <w:sz w:val="20"/>
              </w:rPr>
              <w:t xml:space="preserve">2024 года,</w:t>
            </w:r>
          </w:p>
          <w:p>
            <w:pPr>
              <w:pStyle w:val="0"/>
            </w:pPr>
            <w:r>
              <w:rPr>
                <w:sz w:val="20"/>
              </w:rPr>
              <w:t xml:space="preserve">до 31 декабря</w:t>
            </w:r>
          </w:p>
          <w:p>
            <w:pPr>
              <w:pStyle w:val="0"/>
            </w:pPr>
            <w:r>
              <w:rPr>
                <w:sz w:val="20"/>
              </w:rPr>
              <w:t xml:space="preserve">2025 года,</w:t>
            </w:r>
          </w:p>
          <w:p>
            <w:pPr>
              <w:pStyle w:val="0"/>
            </w:pPr>
            <w:r>
              <w:rPr>
                <w:sz w:val="20"/>
              </w:rPr>
              <w:t xml:space="preserve">до 31 декабря</w:t>
            </w:r>
          </w:p>
          <w:p>
            <w:pPr>
              <w:pStyle w:val="0"/>
            </w:pPr>
            <w:r>
              <w:rPr>
                <w:sz w:val="20"/>
              </w:rPr>
              <w:t xml:space="preserve">2026 года,</w:t>
            </w:r>
          </w:p>
          <w:p>
            <w:pPr>
              <w:pStyle w:val="0"/>
            </w:pPr>
            <w:r>
              <w:rPr>
                <w:sz w:val="20"/>
              </w:rPr>
              <w:t xml:space="preserve">до 31 декабря</w:t>
            </w:r>
          </w:p>
          <w:p>
            <w:pPr>
              <w:pStyle w:val="0"/>
            </w:pPr>
            <w:r>
              <w:rPr>
                <w:sz w:val="20"/>
              </w:rPr>
              <w:t xml:space="preserve">2027 года,</w:t>
            </w:r>
          </w:p>
          <w:p>
            <w:pPr>
              <w:pStyle w:val="0"/>
            </w:pPr>
            <w:r>
              <w:rPr>
                <w:sz w:val="20"/>
              </w:rPr>
              <w:t xml:space="preserve">до 31 декабря</w:t>
            </w:r>
          </w:p>
          <w:p>
            <w:pPr>
              <w:pStyle w:val="0"/>
            </w:pPr>
            <w:r>
              <w:rPr>
                <w:sz w:val="20"/>
              </w:rPr>
              <w:t xml:space="preserve">2028 года,</w:t>
            </w:r>
          </w:p>
          <w:p>
            <w:pPr>
              <w:pStyle w:val="0"/>
            </w:pPr>
            <w:r>
              <w:rPr>
                <w:sz w:val="20"/>
              </w:rPr>
              <w:t xml:space="preserve">до 31 декабря</w:t>
            </w:r>
          </w:p>
          <w:p>
            <w:pPr>
              <w:pStyle w:val="0"/>
            </w:pPr>
            <w:r>
              <w:rPr>
                <w:sz w:val="20"/>
              </w:rPr>
              <w:t xml:space="preserve">2029 года,</w:t>
            </w:r>
          </w:p>
          <w:p>
            <w:pPr>
              <w:pStyle w:val="0"/>
            </w:pPr>
            <w:r>
              <w:rPr>
                <w:sz w:val="20"/>
              </w:rPr>
              <w:t xml:space="preserve">до 31 декабря</w:t>
            </w:r>
          </w:p>
          <w:p>
            <w:pPr>
              <w:pStyle w:val="0"/>
            </w:pPr>
            <w:r>
              <w:rPr>
                <w:sz w:val="20"/>
              </w:rPr>
              <w:t xml:space="preserve">2030 года</w:t>
            </w:r>
          </w:p>
        </w:tc>
        <w:tc>
          <w:tcPr>
            <w:tcW w:w="3559" w:type="dxa"/>
          </w:tcPr>
          <w:p>
            <w:pPr>
              <w:pStyle w:val="0"/>
            </w:pPr>
            <w:r>
              <w:rPr>
                <w:sz w:val="20"/>
              </w:rPr>
              <w:t xml:space="preserve">приказ N 840</w:t>
            </w:r>
          </w:p>
        </w:tc>
        <w:tc>
          <w:tcPr>
            <w:tcW w:w="2179"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c>
          <w:tcPr>
            <w:tcW w:w="2254" w:type="dxa"/>
            <w:vMerge w:val="restart"/>
          </w:tcPr>
          <w:p>
            <w:pPr>
              <w:pStyle w:val="0"/>
            </w:pPr>
            <w:r>
              <w:rPr>
                <w:sz w:val="20"/>
              </w:rPr>
              <w:t xml:space="preserve">увеличен охват противовирусной терапией пациентов с хроническим гепатитом C, снижен уровень летальности, обусловленной хроническим вирусным гепатитом C</w:t>
            </w:r>
          </w:p>
        </w:tc>
      </w:tr>
      <w:tr>
        <w:tc>
          <w:tcPr>
            <w:tcW w:w="604" w:type="dxa"/>
          </w:tcPr>
          <w:p>
            <w:pPr>
              <w:pStyle w:val="0"/>
            </w:pPr>
            <w:r>
              <w:rPr>
                <w:sz w:val="20"/>
              </w:rPr>
              <w:t xml:space="preserve">3.5.</w:t>
            </w:r>
          </w:p>
        </w:tc>
        <w:tc>
          <w:tcPr>
            <w:tcW w:w="3559" w:type="dxa"/>
          </w:tcPr>
          <w:p>
            <w:pPr>
              <w:pStyle w:val="0"/>
            </w:pPr>
            <w:r>
              <w:rPr>
                <w:sz w:val="20"/>
              </w:rPr>
              <w:t xml:space="preserve">Увеличение коечного фонда дневного стационара в медицинских организациях автономного округа для лечения больных с вирусными гепатитами</w:t>
            </w:r>
          </w:p>
        </w:tc>
        <w:tc>
          <w:tcPr>
            <w:tcW w:w="1984" w:type="dxa"/>
          </w:tcPr>
          <w:p>
            <w:pPr>
              <w:pStyle w:val="0"/>
            </w:pPr>
            <w:r>
              <w:rPr>
                <w:sz w:val="20"/>
              </w:rPr>
              <w:t xml:space="preserve">до 31 декабря</w:t>
            </w:r>
          </w:p>
          <w:p>
            <w:pPr>
              <w:pStyle w:val="0"/>
            </w:pPr>
            <w:r>
              <w:rPr>
                <w:sz w:val="20"/>
              </w:rPr>
              <w:t xml:space="preserve">2023 года,</w:t>
            </w:r>
          </w:p>
          <w:p>
            <w:pPr>
              <w:pStyle w:val="0"/>
            </w:pPr>
            <w:r>
              <w:rPr>
                <w:sz w:val="20"/>
              </w:rPr>
              <w:t xml:space="preserve">до 31 декабря</w:t>
            </w:r>
          </w:p>
          <w:p>
            <w:pPr>
              <w:pStyle w:val="0"/>
            </w:pPr>
            <w:r>
              <w:rPr>
                <w:sz w:val="20"/>
              </w:rPr>
              <w:t xml:space="preserve">2024 года,</w:t>
            </w:r>
          </w:p>
          <w:p>
            <w:pPr>
              <w:pStyle w:val="0"/>
            </w:pPr>
            <w:r>
              <w:rPr>
                <w:sz w:val="20"/>
              </w:rPr>
              <w:t xml:space="preserve">до 31 декабря</w:t>
            </w:r>
          </w:p>
          <w:p>
            <w:pPr>
              <w:pStyle w:val="0"/>
            </w:pPr>
            <w:r>
              <w:rPr>
                <w:sz w:val="20"/>
              </w:rPr>
              <w:t xml:space="preserve">2025 года</w:t>
            </w:r>
          </w:p>
        </w:tc>
        <w:tc>
          <w:tcPr>
            <w:tcW w:w="3559" w:type="dxa"/>
          </w:tcPr>
          <w:p>
            <w:pPr>
              <w:pStyle w:val="0"/>
            </w:pPr>
            <w:r>
              <w:rPr>
                <w:sz w:val="20"/>
              </w:rPr>
              <w:t xml:space="preserve">приказ N 840</w:t>
            </w:r>
          </w:p>
        </w:tc>
        <w:tc>
          <w:tcPr>
            <w:tcW w:w="2179"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c>
          <w:tcPr>
            <w:vMerge w:val="continue"/>
          </w:tcPr>
          <w:p/>
        </w:tc>
      </w:tr>
      <w:tr>
        <w:tc>
          <w:tcPr>
            <w:tcW w:w="604" w:type="dxa"/>
          </w:tcPr>
          <w:p>
            <w:pPr>
              <w:pStyle w:val="0"/>
            </w:pPr>
            <w:r>
              <w:rPr>
                <w:sz w:val="20"/>
              </w:rPr>
              <w:t xml:space="preserve">3.6.</w:t>
            </w:r>
          </w:p>
        </w:tc>
        <w:tc>
          <w:tcPr>
            <w:tcW w:w="3559" w:type="dxa"/>
          </w:tcPr>
          <w:p>
            <w:pPr>
              <w:pStyle w:val="0"/>
            </w:pPr>
            <w:r>
              <w:rPr>
                <w:sz w:val="20"/>
              </w:rPr>
              <w:t xml:space="preserve">Обеспечение противовирусными лекарственными препаратами пациентов с хроническим вирусным гепатитом в пределах Регионального льготного обеспечения (РЛО)</w:t>
            </w:r>
          </w:p>
        </w:tc>
        <w:tc>
          <w:tcPr>
            <w:tcW w:w="1984" w:type="dxa"/>
          </w:tcPr>
          <w:p>
            <w:pPr>
              <w:pStyle w:val="0"/>
            </w:pPr>
            <w:r>
              <w:rPr>
                <w:sz w:val="20"/>
              </w:rPr>
              <w:t xml:space="preserve">до 31 декабря</w:t>
            </w:r>
          </w:p>
          <w:p>
            <w:pPr>
              <w:pStyle w:val="0"/>
            </w:pPr>
            <w:r>
              <w:rPr>
                <w:sz w:val="20"/>
              </w:rPr>
              <w:t xml:space="preserve">2023 года,</w:t>
            </w:r>
          </w:p>
          <w:p>
            <w:pPr>
              <w:pStyle w:val="0"/>
            </w:pPr>
            <w:r>
              <w:rPr>
                <w:sz w:val="20"/>
              </w:rPr>
              <w:t xml:space="preserve">до 31 декабря</w:t>
            </w:r>
          </w:p>
          <w:p>
            <w:pPr>
              <w:pStyle w:val="0"/>
            </w:pPr>
            <w:r>
              <w:rPr>
                <w:sz w:val="20"/>
              </w:rPr>
              <w:t xml:space="preserve">2024 года,</w:t>
            </w:r>
          </w:p>
          <w:p>
            <w:pPr>
              <w:pStyle w:val="0"/>
            </w:pPr>
            <w:r>
              <w:rPr>
                <w:sz w:val="20"/>
              </w:rPr>
              <w:t xml:space="preserve">до 31 декабря</w:t>
            </w:r>
          </w:p>
          <w:p>
            <w:pPr>
              <w:pStyle w:val="0"/>
            </w:pPr>
            <w:r>
              <w:rPr>
                <w:sz w:val="20"/>
              </w:rPr>
              <w:t xml:space="preserve">2025 года,</w:t>
            </w:r>
          </w:p>
          <w:p>
            <w:pPr>
              <w:pStyle w:val="0"/>
            </w:pPr>
            <w:r>
              <w:rPr>
                <w:sz w:val="20"/>
              </w:rPr>
              <w:t xml:space="preserve">до 31 декабря</w:t>
            </w:r>
          </w:p>
          <w:p>
            <w:pPr>
              <w:pStyle w:val="0"/>
            </w:pPr>
            <w:r>
              <w:rPr>
                <w:sz w:val="20"/>
              </w:rPr>
              <w:t xml:space="preserve">2026 года,</w:t>
            </w:r>
          </w:p>
          <w:p>
            <w:pPr>
              <w:pStyle w:val="0"/>
            </w:pPr>
            <w:r>
              <w:rPr>
                <w:sz w:val="20"/>
              </w:rPr>
              <w:t xml:space="preserve">до 31 декабря</w:t>
            </w:r>
          </w:p>
          <w:p>
            <w:pPr>
              <w:pStyle w:val="0"/>
            </w:pPr>
            <w:r>
              <w:rPr>
                <w:sz w:val="20"/>
              </w:rPr>
              <w:t xml:space="preserve">2027 года,</w:t>
            </w:r>
          </w:p>
          <w:p>
            <w:pPr>
              <w:pStyle w:val="0"/>
            </w:pPr>
            <w:r>
              <w:rPr>
                <w:sz w:val="20"/>
              </w:rPr>
              <w:t xml:space="preserve">до 31 декабря</w:t>
            </w:r>
          </w:p>
          <w:p>
            <w:pPr>
              <w:pStyle w:val="0"/>
            </w:pPr>
            <w:r>
              <w:rPr>
                <w:sz w:val="20"/>
              </w:rPr>
              <w:t xml:space="preserve">2028 года,</w:t>
            </w:r>
          </w:p>
          <w:p>
            <w:pPr>
              <w:pStyle w:val="0"/>
            </w:pPr>
            <w:r>
              <w:rPr>
                <w:sz w:val="20"/>
              </w:rPr>
              <w:t xml:space="preserve">до 31 декабря</w:t>
            </w:r>
          </w:p>
          <w:p>
            <w:pPr>
              <w:pStyle w:val="0"/>
            </w:pPr>
            <w:r>
              <w:rPr>
                <w:sz w:val="20"/>
              </w:rPr>
              <w:t xml:space="preserve">2029 года,</w:t>
            </w:r>
          </w:p>
          <w:p>
            <w:pPr>
              <w:pStyle w:val="0"/>
            </w:pPr>
            <w:r>
              <w:rPr>
                <w:sz w:val="20"/>
              </w:rPr>
              <w:t xml:space="preserve">до 31 декабря</w:t>
            </w:r>
          </w:p>
          <w:p>
            <w:pPr>
              <w:pStyle w:val="0"/>
            </w:pPr>
            <w:r>
              <w:rPr>
                <w:sz w:val="20"/>
              </w:rPr>
              <w:t xml:space="preserve">2030 года</w:t>
            </w:r>
          </w:p>
        </w:tc>
        <w:tc>
          <w:tcPr>
            <w:tcW w:w="3559" w:type="dxa"/>
          </w:tcPr>
          <w:p>
            <w:pPr>
              <w:pStyle w:val="0"/>
            </w:pPr>
            <w:r>
              <w:rPr>
                <w:sz w:val="20"/>
              </w:rPr>
              <w:t xml:space="preserve">постановление Правительства автономного округа о Территориальной программе государственных гарантий оказания гражданам Российской Федерации бесплатной медицинской помощи в автономном округе</w:t>
            </w:r>
          </w:p>
        </w:tc>
        <w:tc>
          <w:tcPr>
            <w:tcW w:w="2179"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0"/>
              </w:rPr>
              <w:t xml:space="preserve">увеличено обеспечение противовирусными лекарственными препаратами пациентов с хроническим вирусным гепатитом в пределах Регионального льготного обеспечения (РЛО)</w:t>
            </w:r>
          </w:p>
        </w:tc>
      </w:tr>
      <w:tr>
        <w:tc>
          <w:tcPr>
            <w:tcW w:w="604" w:type="dxa"/>
          </w:tcPr>
          <w:p>
            <w:pPr>
              <w:pStyle w:val="0"/>
            </w:pPr>
            <w:r>
              <w:rPr>
                <w:sz w:val="20"/>
              </w:rPr>
              <w:t xml:space="preserve">3.7.</w:t>
            </w:r>
          </w:p>
        </w:tc>
        <w:tc>
          <w:tcPr>
            <w:tcW w:w="3559" w:type="dxa"/>
          </w:tcPr>
          <w:p>
            <w:pPr>
              <w:pStyle w:val="0"/>
            </w:pPr>
            <w:r>
              <w:rPr>
                <w:sz w:val="20"/>
              </w:rPr>
              <w:t xml:space="preserve">Обеспечение объемов оказания медицинской помощи в дневных стационарах при проведении курса противовирусной терапии гепатита C в соответствии с федеральными нормативами</w:t>
            </w:r>
          </w:p>
        </w:tc>
        <w:tc>
          <w:tcPr>
            <w:tcW w:w="1984" w:type="dxa"/>
          </w:tcPr>
          <w:p>
            <w:pPr>
              <w:pStyle w:val="0"/>
            </w:pPr>
            <w:r>
              <w:rPr>
                <w:sz w:val="20"/>
              </w:rPr>
              <w:t xml:space="preserve">до 31 декабря</w:t>
            </w:r>
          </w:p>
          <w:p>
            <w:pPr>
              <w:pStyle w:val="0"/>
            </w:pPr>
            <w:r>
              <w:rPr>
                <w:sz w:val="20"/>
              </w:rPr>
              <w:t xml:space="preserve">2023 года,</w:t>
            </w:r>
          </w:p>
          <w:p>
            <w:pPr>
              <w:pStyle w:val="0"/>
            </w:pPr>
            <w:r>
              <w:rPr>
                <w:sz w:val="20"/>
              </w:rPr>
              <w:t xml:space="preserve">до 31 декабря</w:t>
            </w:r>
          </w:p>
          <w:p>
            <w:pPr>
              <w:pStyle w:val="0"/>
            </w:pPr>
            <w:r>
              <w:rPr>
                <w:sz w:val="20"/>
              </w:rPr>
              <w:t xml:space="preserve">2024 года,</w:t>
            </w:r>
          </w:p>
          <w:p>
            <w:pPr>
              <w:pStyle w:val="0"/>
            </w:pPr>
            <w:r>
              <w:rPr>
                <w:sz w:val="20"/>
              </w:rPr>
              <w:t xml:space="preserve">до 31 декабря</w:t>
            </w:r>
          </w:p>
          <w:p>
            <w:pPr>
              <w:pStyle w:val="0"/>
            </w:pPr>
            <w:r>
              <w:rPr>
                <w:sz w:val="20"/>
              </w:rPr>
              <w:t xml:space="preserve">2025 года,</w:t>
            </w:r>
          </w:p>
          <w:p>
            <w:pPr>
              <w:pStyle w:val="0"/>
            </w:pPr>
            <w:r>
              <w:rPr>
                <w:sz w:val="20"/>
              </w:rPr>
              <w:t xml:space="preserve">до 31 декабря</w:t>
            </w:r>
          </w:p>
          <w:p>
            <w:pPr>
              <w:pStyle w:val="0"/>
            </w:pPr>
            <w:r>
              <w:rPr>
                <w:sz w:val="20"/>
              </w:rPr>
              <w:t xml:space="preserve">2026 года,</w:t>
            </w:r>
          </w:p>
          <w:p>
            <w:pPr>
              <w:pStyle w:val="0"/>
            </w:pPr>
            <w:r>
              <w:rPr>
                <w:sz w:val="20"/>
              </w:rPr>
              <w:t xml:space="preserve">до 31 декабря</w:t>
            </w:r>
          </w:p>
          <w:p>
            <w:pPr>
              <w:pStyle w:val="0"/>
            </w:pPr>
            <w:r>
              <w:rPr>
                <w:sz w:val="20"/>
              </w:rPr>
              <w:t xml:space="preserve">2027 года,</w:t>
            </w:r>
          </w:p>
          <w:p>
            <w:pPr>
              <w:pStyle w:val="0"/>
            </w:pPr>
            <w:r>
              <w:rPr>
                <w:sz w:val="20"/>
              </w:rPr>
              <w:t xml:space="preserve">до 31 декабря</w:t>
            </w:r>
          </w:p>
          <w:p>
            <w:pPr>
              <w:pStyle w:val="0"/>
            </w:pPr>
            <w:r>
              <w:rPr>
                <w:sz w:val="20"/>
              </w:rPr>
              <w:t xml:space="preserve">2028 года,</w:t>
            </w:r>
          </w:p>
          <w:p>
            <w:pPr>
              <w:pStyle w:val="0"/>
            </w:pPr>
            <w:r>
              <w:rPr>
                <w:sz w:val="20"/>
              </w:rPr>
              <w:t xml:space="preserve">до 31 декабря</w:t>
            </w:r>
          </w:p>
          <w:p>
            <w:pPr>
              <w:pStyle w:val="0"/>
            </w:pPr>
            <w:r>
              <w:rPr>
                <w:sz w:val="20"/>
              </w:rPr>
              <w:t xml:space="preserve">2029 года,</w:t>
            </w:r>
          </w:p>
          <w:p>
            <w:pPr>
              <w:pStyle w:val="0"/>
            </w:pPr>
            <w:r>
              <w:rPr>
                <w:sz w:val="20"/>
              </w:rPr>
              <w:t xml:space="preserve">до 31 декабря</w:t>
            </w:r>
          </w:p>
          <w:p>
            <w:pPr>
              <w:pStyle w:val="0"/>
            </w:pPr>
            <w:r>
              <w:rPr>
                <w:sz w:val="20"/>
              </w:rPr>
              <w:t xml:space="preserve">2030 года</w:t>
            </w:r>
          </w:p>
        </w:tc>
        <w:tc>
          <w:tcPr>
            <w:tcW w:w="3559" w:type="dxa"/>
          </w:tcPr>
          <w:p>
            <w:pPr>
              <w:pStyle w:val="0"/>
            </w:pPr>
            <w:r>
              <w:rPr>
                <w:sz w:val="20"/>
              </w:rPr>
              <w:t xml:space="preserve">постановление Правительства автономного округа о Территориальной программе государственных гарантий оказания гражданам Российской Федерации бесплатной медицинской помощи в автономном округе</w:t>
            </w:r>
          </w:p>
        </w:tc>
        <w:tc>
          <w:tcPr>
            <w:tcW w:w="2179"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0"/>
              </w:rPr>
              <w:t xml:space="preserve">медицинская помощь в дневных стационарах при проведении курса противовирусной терапии гепатита C в автономном округе осуществляется в соответствии с федеральными нормативами</w:t>
            </w:r>
          </w:p>
        </w:tc>
      </w:tr>
      <w:tr>
        <w:tc>
          <w:tcPr>
            <w:tcW w:w="604" w:type="dxa"/>
          </w:tcPr>
          <w:p>
            <w:pPr>
              <w:pStyle w:val="0"/>
            </w:pPr>
            <w:r>
              <w:rPr>
                <w:sz w:val="20"/>
              </w:rPr>
              <w:t xml:space="preserve">3.8.</w:t>
            </w:r>
          </w:p>
        </w:tc>
        <w:tc>
          <w:tcPr>
            <w:tcW w:w="3559" w:type="dxa"/>
          </w:tcPr>
          <w:p>
            <w:pPr>
              <w:pStyle w:val="0"/>
            </w:pPr>
            <w:r>
              <w:rPr>
                <w:sz w:val="20"/>
              </w:rPr>
              <w:t xml:space="preserve">Проведение оценки эффективности лечения пациентов с хроническим вирусным гепатитом C</w:t>
            </w:r>
          </w:p>
        </w:tc>
        <w:tc>
          <w:tcPr>
            <w:tcW w:w="1984" w:type="dxa"/>
          </w:tcPr>
          <w:p>
            <w:pPr>
              <w:pStyle w:val="0"/>
            </w:pPr>
            <w:r>
              <w:rPr>
                <w:sz w:val="20"/>
              </w:rPr>
              <w:t xml:space="preserve">до 31 декабря</w:t>
            </w:r>
          </w:p>
          <w:p>
            <w:pPr>
              <w:pStyle w:val="0"/>
            </w:pPr>
            <w:r>
              <w:rPr>
                <w:sz w:val="20"/>
              </w:rPr>
              <w:t xml:space="preserve">2023 года,</w:t>
            </w:r>
          </w:p>
          <w:p>
            <w:pPr>
              <w:pStyle w:val="0"/>
            </w:pPr>
            <w:r>
              <w:rPr>
                <w:sz w:val="20"/>
              </w:rPr>
              <w:t xml:space="preserve">до 31 декабря</w:t>
            </w:r>
          </w:p>
          <w:p>
            <w:pPr>
              <w:pStyle w:val="0"/>
            </w:pPr>
            <w:r>
              <w:rPr>
                <w:sz w:val="20"/>
              </w:rPr>
              <w:t xml:space="preserve">2024 года,</w:t>
            </w:r>
          </w:p>
          <w:p>
            <w:pPr>
              <w:pStyle w:val="0"/>
            </w:pPr>
            <w:r>
              <w:rPr>
                <w:sz w:val="20"/>
              </w:rPr>
              <w:t xml:space="preserve">до 31 декабря</w:t>
            </w:r>
          </w:p>
          <w:p>
            <w:pPr>
              <w:pStyle w:val="0"/>
            </w:pPr>
            <w:r>
              <w:rPr>
                <w:sz w:val="20"/>
              </w:rPr>
              <w:t xml:space="preserve">2025 года,</w:t>
            </w:r>
          </w:p>
          <w:p>
            <w:pPr>
              <w:pStyle w:val="0"/>
            </w:pPr>
            <w:r>
              <w:rPr>
                <w:sz w:val="20"/>
              </w:rPr>
              <w:t xml:space="preserve">до 31 декабря</w:t>
            </w:r>
          </w:p>
          <w:p>
            <w:pPr>
              <w:pStyle w:val="0"/>
            </w:pPr>
            <w:r>
              <w:rPr>
                <w:sz w:val="20"/>
              </w:rPr>
              <w:t xml:space="preserve">2026 года,</w:t>
            </w:r>
          </w:p>
          <w:p>
            <w:pPr>
              <w:pStyle w:val="0"/>
            </w:pPr>
            <w:r>
              <w:rPr>
                <w:sz w:val="20"/>
              </w:rPr>
              <w:t xml:space="preserve">до 31 декабря</w:t>
            </w:r>
          </w:p>
          <w:p>
            <w:pPr>
              <w:pStyle w:val="0"/>
            </w:pPr>
            <w:r>
              <w:rPr>
                <w:sz w:val="20"/>
              </w:rPr>
              <w:t xml:space="preserve">2027 года,</w:t>
            </w:r>
          </w:p>
          <w:p>
            <w:pPr>
              <w:pStyle w:val="0"/>
            </w:pPr>
            <w:r>
              <w:rPr>
                <w:sz w:val="20"/>
              </w:rPr>
              <w:t xml:space="preserve">до 31 декабря</w:t>
            </w:r>
          </w:p>
          <w:p>
            <w:pPr>
              <w:pStyle w:val="0"/>
            </w:pPr>
            <w:r>
              <w:rPr>
                <w:sz w:val="20"/>
              </w:rPr>
              <w:t xml:space="preserve">2028 года,</w:t>
            </w:r>
          </w:p>
          <w:p>
            <w:pPr>
              <w:pStyle w:val="0"/>
            </w:pPr>
            <w:r>
              <w:rPr>
                <w:sz w:val="20"/>
              </w:rPr>
              <w:t xml:space="preserve">до 31 декабря</w:t>
            </w:r>
          </w:p>
          <w:p>
            <w:pPr>
              <w:pStyle w:val="0"/>
            </w:pPr>
            <w:r>
              <w:rPr>
                <w:sz w:val="20"/>
              </w:rPr>
              <w:t xml:space="preserve">2029 года,</w:t>
            </w:r>
          </w:p>
          <w:p>
            <w:pPr>
              <w:pStyle w:val="0"/>
            </w:pPr>
            <w:r>
              <w:rPr>
                <w:sz w:val="20"/>
              </w:rPr>
              <w:t xml:space="preserve">до 31 декабря</w:t>
            </w:r>
          </w:p>
          <w:p>
            <w:pPr>
              <w:pStyle w:val="0"/>
            </w:pPr>
            <w:r>
              <w:rPr>
                <w:sz w:val="20"/>
              </w:rPr>
              <w:t xml:space="preserve">2030 года</w:t>
            </w:r>
          </w:p>
        </w:tc>
        <w:tc>
          <w:tcPr>
            <w:tcW w:w="3559" w:type="dxa"/>
          </w:tcPr>
          <w:p>
            <w:pPr>
              <w:pStyle w:val="0"/>
            </w:pPr>
            <w:r>
              <w:rPr>
                <w:sz w:val="20"/>
              </w:rPr>
              <w:t xml:space="preserve">приказ N 840, приказ Департамента здравоохранения автономного округа от 15 сентября 2021 года N 1350 "О главных внештатных специалистах Департамента здравоохранения Ханты-Мансийского автономного округа - Югры", отчет главного внештатного специалиста Департамента здравоохранения автономного округа по инфекционным болезням</w:t>
            </w:r>
          </w:p>
        </w:tc>
        <w:tc>
          <w:tcPr>
            <w:tcW w:w="2179"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c>
          <w:tcPr>
            <w:tcW w:w="2254" w:type="dxa"/>
          </w:tcPr>
          <w:p>
            <w:pPr>
              <w:pStyle w:val="0"/>
            </w:pPr>
            <w:r>
              <w:rPr>
                <w:sz w:val="20"/>
              </w:rPr>
              <w:t xml:space="preserve">улучшено качество оказания медицинской помощи пациентам с хроническим вирусным гепатитом C, снижена частота развития осложнений, снижен показатель смертности среди лиц с хроническим вирусным гепатитом C</w:t>
            </w:r>
          </w:p>
        </w:tc>
      </w:tr>
      <w:tr>
        <w:tc>
          <w:tcPr>
            <w:tcW w:w="604" w:type="dxa"/>
          </w:tcPr>
          <w:p>
            <w:pPr>
              <w:pStyle w:val="0"/>
            </w:pPr>
            <w:r>
              <w:rPr>
                <w:sz w:val="20"/>
              </w:rPr>
              <w:t xml:space="preserve">3.9.</w:t>
            </w:r>
          </w:p>
        </w:tc>
        <w:tc>
          <w:tcPr>
            <w:tcW w:w="3559" w:type="dxa"/>
          </w:tcPr>
          <w:p>
            <w:pPr>
              <w:pStyle w:val="0"/>
            </w:pPr>
            <w:r>
              <w:rPr>
                <w:sz w:val="20"/>
              </w:rPr>
              <w:t xml:space="preserve">Организация дополнительного профессионального образования медицинских работников, оказывающих медицинскую помощь пациентам с вирусным гепатитом C</w:t>
            </w:r>
          </w:p>
        </w:tc>
        <w:tc>
          <w:tcPr>
            <w:tcW w:w="1984" w:type="dxa"/>
          </w:tcPr>
          <w:p>
            <w:pPr>
              <w:pStyle w:val="0"/>
            </w:pPr>
            <w:r>
              <w:rPr>
                <w:sz w:val="20"/>
              </w:rPr>
              <w:t xml:space="preserve">до 31 декабря</w:t>
            </w:r>
          </w:p>
          <w:p>
            <w:pPr>
              <w:pStyle w:val="0"/>
            </w:pPr>
            <w:r>
              <w:rPr>
                <w:sz w:val="20"/>
              </w:rPr>
              <w:t xml:space="preserve">2023 года,</w:t>
            </w:r>
          </w:p>
          <w:p>
            <w:pPr>
              <w:pStyle w:val="0"/>
            </w:pPr>
            <w:r>
              <w:rPr>
                <w:sz w:val="20"/>
              </w:rPr>
              <w:t xml:space="preserve">до 31 декабря</w:t>
            </w:r>
          </w:p>
          <w:p>
            <w:pPr>
              <w:pStyle w:val="0"/>
            </w:pPr>
            <w:r>
              <w:rPr>
                <w:sz w:val="20"/>
              </w:rPr>
              <w:t xml:space="preserve">2024 года,</w:t>
            </w:r>
          </w:p>
          <w:p>
            <w:pPr>
              <w:pStyle w:val="0"/>
            </w:pPr>
            <w:r>
              <w:rPr>
                <w:sz w:val="20"/>
              </w:rPr>
              <w:t xml:space="preserve">до 31 декабря</w:t>
            </w:r>
          </w:p>
          <w:p>
            <w:pPr>
              <w:pStyle w:val="0"/>
            </w:pPr>
            <w:r>
              <w:rPr>
                <w:sz w:val="20"/>
              </w:rPr>
              <w:t xml:space="preserve">2025 года,</w:t>
            </w:r>
          </w:p>
          <w:p>
            <w:pPr>
              <w:pStyle w:val="0"/>
            </w:pPr>
            <w:r>
              <w:rPr>
                <w:sz w:val="20"/>
              </w:rPr>
              <w:t xml:space="preserve">до 31 декабря</w:t>
            </w:r>
          </w:p>
          <w:p>
            <w:pPr>
              <w:pStyle w:val="0"/>
            </w:pPr>
            <w:r>
              <w:rPr>
                <w:sz w:val="20"/>
              </w:rPr>
              <w:t xml:space="preserve">2026 года,</w:t>
            </w:r>
          </w:p>
          <w:p>
            <w:pPr>
              <w:pStyle w:val="0"/>
            </w:pPr>
            <w:r>
              <w:rPr>
                <w:sz w:val="20"/>
              </w:rPr>
              <w:t xml:space="preserve">до 31 декабря</w:t>
            </w:r>
          </w:p>
          <w:p>
            <w:pPr>
              <w:pStyle w:val="0"/>
            </w:pPr>
            <w:r>
              <w:rPr>
                <w:sz w:val="20"/>
              </w:rPr>
              <w:t xml:space="preserve">2027 года,</w:t>
            </w:r>
          </w:p>
          <w:p>
            <w:pPr>
              <w:pStyle w:val="0"/>
            </w:pPr>
            <w:r>
              <w:rPr>
                <w:sz w:val="20"/>
              </w:rPr>
              <w:t xml:space="preserve">до 31 декабря</w:t>
            </w:r>
          </w:p>
          <w:p>
            <w:pPr>
              <w:pStyle w:val="0"/>
            </w:pPr>
            <w:r>
              <w:rPr>
                <w:sz w:val="20"/>
              </w:rPr>
              <w:t xml:space="preserve">2028 года,</w:t>
            </w:r>
          </w:p>
          <w:p>
            <w:pPr>
              <w:pStyle w:val="0"/>
            </w:pPr>
            <w:r>
              <w:rPr>
                <w:sz w:val="20"/>
              </w:rPr>
              <w:t xml:space="preserve">до 31 декабря</w:t>
            </w:r>
          </w:p>
          <w:p>
            <w:pPr>
              <w:pStyle w:val="0"/>
            </w:pPr>
            <w:r>
              <w:rPr>
                <w:sz w:val="20"/>
              </w:rPr>
              <w:t xml:space="preserve">2029 года,</w:t>
            </w:r>
          </w:p>
          <w:p>
            <w:pPr>
              <w:pStyle w:val="0"/>
            </w:pPr>
            <w:r>
              <w:rPr>
                <w:sz w:val="20"/>
              </w:rPr>
              <w:t xml:space="preserve">до 31 декабря</w:t>
            </w:r>
          </w:p>
          <w:p>
            <w:pPr>
              <w:pStyle w:val="0"/>
            </w:pPr>
            <w:r>
              <w:rPr>
                <w:sz w:val="20"/>
              </w:rPr>
              <w:t xml:space="preserve">2030 года</w:t>
            </w:r>
          </w:p>
        </w:tc>
        <w:tc>
          <w:tcPr>
            <w:tcW w:w="3559" w:type="dxa"/>
          </w:tcPr>
          <w:p>
            <w:pPr>
              <w:pStyle w:val="0"/>
            </w:pPr>
            <w:r>
              <w:rPr>
                <w:sz w:val="20"/>
              </w:rPr>
              <w:t xml:space="preserve">приказ N 840</w:t>
            </w:r>
          </w:p>
        </w:tc>
        <w:tc>
          <w:tcPr>
            <w:tcW w:w="2179"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c>
          <w:tcPr>
            <w:tcW w:w="2254" w:type="dxa"/>
            <w:vMerge w:val="restart"/>
          </w:tcPr>
          <w:p>
            <w:pPr>
              <w:pStyle w:val="0"/>
            </w:pPr>
            <w:r>
              <w:rPr>
                <w:sz w:val="20"/>
              </w:rPr>
              <w:t xml:space="preserve">повышена профессиональная компетентность специалистов, участвующих в оказании медицинской помощи лицам с хроническими вирусными гепатитами</w:t>
            </w:r>
          </w:p>
        </w:tc>
      </w:tr>
      <w:tr>
        <w:tc>
          <w:tcPr>
            <w:tcW w:w="604" w:type="dxa"/>
          </w:tcPr>
          <w:p>
            <w:pPr>
              <w:pStyle w:val="0"/>
            </w:pPr>
            <w:r>
              <w:rPr>
                <w:sz w:val="20"/>
              </w:rPr>
              <w:t xml:space="preserve">3.10.</w:t>
            </w:r>
          </w:p>
        </w:tc>
        <w:tc>
          <w:tcPr>
            <w:tcW w:w="3559" w:type="dxa"/>
          </w:tcPr>
          <w:p>
            <w:pPr>
              <w:pStyle w:val="0"/>
            </w:pPr>
            <w:r>
              <w:rPr>
                <w:sz w:val="20"/>
              </w:rPr>
              <w:t xml:space="preserve">Проведение образовательных мероприятий (окружных научно-практических конференций) по вопросам диагностики, лечения, диспансерного наблюдения и профилактики вирусных гепатитов</w:t>
            </w:r>
          </w:p>
        </w:tc>
        <w:tc>
          <w:tcPr>
            <w:tcW w:w="1984" w:type="dxa"/>
          </w:tcPr>
          <w:p>
            <w:pPr>
              <w:pStyle w:val="0"/>
            </w:pPr>
            <w:r>
              <w:rPr>
                <w:sz w:val="20"/>
              </w:rPr>
              <w:t xml:space="preserve">до 31 декабря</w:t>
            </w:r>
          </w:p>
          <w:p>
            <w:pPr>
              <w:pStyle w:val="0"/>
            </w:pPr>
            <w:r>
              <w:rPr>
                <w:sz w:val="20"/>
              </w:rPr>
              <w:t xml:space="preserve">2023 года,</w:t>
            </w:r>
          </w:p>
          <w:p>
            <w:pPr>
              <w:pStyle w:val="0"/>
            </w:pPr>
            <w:r>
              <w:rPr>
                <w:sz w:val="20"/>
              </w:rPr>
              <w:t xml:space="preserve">до 31 декабря</w:t>
            </w:r>
          </w:p>
          <w:p>
            <w:pPr>
              <w:pStyle w:val="0"/>
            </w:pPr>
            <w:r>
              <w:rPr>
                <w:sz w:val="20"/>
              </w:rPr>
              <w:t xml:space="preserve">2024 года,</w:t>
            </w:r>
          </w:p>
          <w:p>
            <w:pPr>
              <w:pStyle w:val="0"/>
            </w:pPr>
            <w:r>
              <w:rPr>
                <w:sz w:val="20"/>
              </w:rPr>
              <w:t xml:space="preserve">до 31 декабря</w:t>
            </w:r>
          </w:p>
          <w:p>
            <w:pPr>
              <w:pStyle w:val="0"/>
            </w:pPr>
            <w:r>
              <w:rPr>
                <w:sz w:val="20"/>
              </w:rPr>
              <w:t xml:space="preserve">2025 года,</w:t>
            </w:r>
          </w:p>
          <w:p>
            <w:pPr>
              <w:pStyle w:val="0"/>
            </w:pPr>
            <w:r>
              <w:rPr>
                <w:sz w:val="20"/>
              </w:rPr>
              <w:t xml:space="preserve">до 31 декабря</w:t>
            </w:r>
          </w:p>
          <w:p>
            <w:pPr>
              <w:pStyle w:val="0"/>
            </w:pPr>
            <w:r>
              <w:rPr>
                <w:sz w:val="20"/>
              </w:rPr>
              <w:t xml:space="preserve">2026 года,</w:t>
            </w:r>
          </w:p>
          <w:p>
            <w:pPr>
              <w:pStyle w:val="0"/>
            </w:pPr>
            <w:r>
              <w:rPr>
                <w:sz w:val="20"/>
              </w:rPr>
              <w:t xml:space="preserve">до 31 декабря</w:t>
            </w:r>
          </w:p>
          <w:p>
            <w:pPr>
              <w:pStyle w:val="0"/>
            </w:pPr>
            <w:r>
              <w:rPr>
                <w:sz w:val="20"/>
              </w:rPr>
              <w:t xml:space="preserve">2027 года,</w:t>
            </w:r>
          </w:p>
          <w:p>
            <w:pPr>
              <w:pStyle w:val="0"/>
            </w:pPr>
            <w:r>
              <w:rPr>
                <w:sz w:val="20"/>
              </w:rPr>
              <w:t xml:space="preserve">до 31 декабря</w:t>
            </w:r>
          </w:p>
          <w:p>
            <w:pPr>
              <w:pStyle w:val="0"/>
            </w:pPr>
            <w:r>
              <w:rPr>
                <w:sz w:val="20"/>
              </w:rPr>
              <w:t xml:space="preserve">2028 года,</w:t>
            </w:r>
          </w:p>
          <w:p>
            <w:pPr>
              <w:pStyle w:val="0"/>
            </w:pPr>
            <w:r>
              <w:rPr>
                <w:sz w:val="20"/>
              </w:rPr>
              <w:t xml:space="preserve">до 31 декабря</w:t>
            </w:r>
          </w:p>
          <w:p>
            <w:pPr>
              <w:pStyle w:val="0"/>
            </w:pPr>
            <w:r>
              <w:rPr>
                <w:sz w:val="20"/>
              </w:rPr>
              <w:t xml:space="preserve">2029 года,</w:t>
            </w:r>
          </w:p>
          <w:p>
            <w:pPr>
              <w:pStyle w:val="0"/>
            </w:pPr>
            <w:r>
              <w:rPr>
                <w:sz w:val="20"/>
              </w:rPr>
              <w:t xml:space="preserve">до 31 декабря</w:t>
            </w:r>
          </w:p>
          <w:p>
            <w:pPr>
              <w:pStyle w:val="0"/>
            </w:pPr>
            <w:r>
              <w:rPr>
                <w:sz w:val="20"/>
              </w:rPr>
              <w:t xml:space="preserve">2030 года</w:t>
            </w:r>
          </w:p>
        </w:tc>
        <w:tc>
          <w:tcPr>
            <w:tcW w:w="3559" w:type="dxa"/>
          </w:tcPr>
          <w:p>
            <w:pPr>
              <w:pStyle w:val="0"/>
            </w:pPr>
            <w:r>
              <w:rPr>
                <w:sz w:val="20"/>
              </w:rPr>
              <w:t xml:space="preserve">приказ Департамента здравоохранения Ханты-Мансийского автономного округа - Югры от 20 ноября 2014 года N 1158 "О формировании плана основных мероприятий, реализуемых Департаментом здравоохранения Ханты-Мансийского автономного округа - Югры"</w:t>
            </w:r>
          </w:p>
        </w:tc>
        <w:tc>
          <w:tcPr>
            <w:tcW w:w="2179" w:type="dxa"/>
          </w:tcPr>
          <w:p>
            <w:pPr>
              <w:pStyle w:val="0"/>
            </w:pPr>
            <w:r>
              <w:rPr>
                <w:sz w:val="20"/>
              </w:rPr>
              <w:t xml:space="preserve">Департамент здравоохранения автономного округа</w:t>
            </w:r>
          </w:p>
        </w:tc>
        <w:tc>
          <w:tcPr>
            <w:vMerge w:val="continue"/>
          </w:tcP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14</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jc w:val="right"/>
      </w:pPr>
      <w:r>
        <w:rPr>
          <w:sz w:val="20"/>
        </w:rPr>
      </w:r>
    </w:p>
    <w:bookmarkStart w:id="30739" w:name="P30739"/>
    <w:bookmarkEnd w:id="30739"/>
    <w:p>
      <w:pPr>
        <w:pStyle w:val="2"/>
        <w:jc w:val="center"/>
      </w:pPr>
      <w:r>
        <w:rPr>
          <w:sz w:val="20"/>
        </w:rPr>
        <w:t xml:space="preserve">ПЛАН</w:t>
      </w:r>
    </w:p>
    <w:p>
      <w:pPr>
        <w:pStyle w:val="2"/>
        <w:jc w:val="center"/>
      </w:pPr>
      <w:r>
        <w:rPr>
          <w:sz w:val="20"/>
        </w:rPr>
        <w:t xml:space="preserve">МЕРОПРИЯТИЙ ("ДОРОЖНАЯ КАРТА") ПО ПРИВЛЕЧЕНИЮ СПЕЦИАЛИСТОВ</w:t>
      </w:r>
    </w:p>
    <w:p>
      <w:pPr>
        <w:pStyle w:val="2"/>
        <w:jc w:val="center"/>
      </w:pPr>
      <w:r>
        <w:rPr>
          <w:sz w:val="20"/>
        </w:rPr>
        <w:t xml:space="preserve">В СИСТЕМУ ЗДРАВООХРАНЕНИЯ ХАНТЫ-МАНСИЙСКОГО АВТОНОМНОГО</w:t>
      </w:r>
    </w:p>
    <w:p>
      <w:pPr>
        <w:pStyle w:val="2"/>
        <w:jc w:val="center"/>
      </w:pPr>
      <w:r>
        <w:rPr>
          <w:sz w:val="20"/>
        </w:rPr>
        <w:t xml:space="preserve">ОКРУГА - ЮГРЫ НА 2023 - 2026 ГОДЫ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59" w:tooltip="Постановление Правительства ХМАО - Югры от 28.09.2023 N 472-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color w:val="392c69"/>
              </w:rPr>
              <w:t xml:space="preserve"> Правительства ХМАО - Югры от 28.09.2023 N 472-п)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3345"/>
        <w:gridCol w:w="4195"/>
        <w:gridCol w:w="3855"/>
        <w:gridCol w:w="1474"/>
      </w:tblGrid>
      <w:tr>
        <w:tc>
          <w:tcPr>
            <w:tcW w:w="454" w:type="dxa"/>
          </w:tcPr>
          <w:p>
            <w:pPr>
              <w:pStyle w:val="0"/>
              <w:jc w:val="center"/>
            </w:pPr>
            <w:r>
              <w:rPr>
                <w:sz w:val="20"/>
              </w:rPr>
              <w:t xml:space="preserve">N п/п</w:t>
            </w:r>
          </w:p>
        </w:tc>
        <w:tc>
          <w:tcPr>
            <w:tcW w:w="3345" w:type="dxa"/>
          </w:tcPr>
          <w:p>
            <w:pPr>
              <w:pStyle w:val="0"/>
              <w:jc w:val="center"/>
            </w:pPr>
            <w:r>
              <w:rPr>
                <w:sz w:val="20"/>
              </w:rPr>
              <w:t xml:space="preserve">Наименование мероприятия</w:t>
            </w:r>
          </w:p>
        </w:tc>
        <w:tc>
          <w:tcPr>
            <w:tcW w:w="4195" w:type="dxa"/>
          </w:tcPr>
          <w:p>
            <w:pPr>
              <w:pStyle w:val="0"/>
              <w:jc w:val="center"/>
            </w:pPr>
            <w:r>
              <w:rPr>
                <w:sz w:val="20"/>
              </w:rPr>
              <w:t xml:space="preserve">Ожидаемый результат</w:t>
            </w:r>
          </w:p>
        </w:tc>
        <w:tc>
          <w:tcPr>
            <w:tcW w:w="3855" w:type="dxa"/>
          </w:tcPr>
          <w:p>
            <w:pPr>
              <w:pStyle w:val="0"/>
              <w:jc w:val="center"/>
            </w:pPr>
            <w:r>
              <w:rPr>
                <w:sz w:val="20"/>
              </w:rPr>
              <w:t xml:space="preserve">Ответственные исполнители</w:t>
            </w:r>
          </w:p>
        </w:tc>
        <w:tc>
          <w:tcPr>
            <w:tcW w:w="1474" w:type="dxa"/>
          </w:tcPr>
          <w:p>
            <w:pPr>
              <w:pStyle w:val="0"/>
              <w:jc w:val="center"/>
            </w:pPr>
            <w:r>
              <w:rPr>
                <w:sz w:val="20"/>
              </w:rPr>
              <w:t xml:space="preserve">Сроки реализации</w:t>
            </w:r>
          </w:p>
        </w:tc>
      </w:tr>
      <w:tr>
        <w:tc>
          <w:tcPr>
            <w:tcW w:w="454" w:type="dxa"/>
          </w:tcPr>
          <w:p>
            <w:pPr>
              <w:pStyle w:val="0"/>
            </w:pPr>
            <w:r>
              <w:rPr>
                <w:sz w:val="20"/>
              </w:rPr>
              <w:t xml:space="preserve">1.</w:t>
            </w:r>
          </w:p>
        </w:tc>
        <w:tc>
          <w:tcPr>
            <w:tcW w:w="3345" w:type="dxa"/>
          </w:tcPr>
          <w:p>
            <w:pPr>
              <w:pStyle w:val="0"/>
            </w:pPr>
            <w:r>
              <w:rPr>
                <w:sz w:val="20"/>
              </w:rPr>
              <w:t xml:space="preserve">Усиление общественного признания труда врачей с целью повышения престижа данной профессии, достижения высокой осведомленности пациентского сообщества об интенсивности и рисках труда медицинских работников, пропаганды уважительного отношения пациентов к ним</w:t>
            </w:r>
          </w:p>
        </w:tc>
        <w:tc>
          <w:tcPr>
            <w:tcW w:w="4195" w:type="dxa"/>
          </w:tcPr>
          <w:p>
            <w:pPr>
              <w:pStyle w:val="0"/>
            </w:pPr>
            <w:r>
              <w:rPr>
                <w:sz w:val="20"/>
              </w:rPr>
              <w:t xml:space="preserve">размещена информация о труде врачей в средствах массовой информации Ханты-Мансийского автономного округа - Югры (далее - автономный округ, СМИ); реализованы медиапроекты в СМИ и социальных сетях</w:t>
            </w:r>
          </w:p>
        </w:tc>
        <w:tc>
          <w:tcPr>
            <w:tcW w:w="3855" w:type="dxa"/>
          </w:tcPr>
          <w:p>
            <w:pPr>
              <w:pStyle w:val="0"/>
            </w:pPr>
            <w:r>
              <w:rPr>
                <w:sz w:val="20"/>
              </w:rPr>
              <w:t xml:space="preserve">Департамент здравоохранения автономного округа,</w:t>
            </w:r>
          </w:p>
          <w:p>
            <w:pPr>
              <w:pStyle w:val="0"/>
            </w:pPr>
            <w:r>
              <w:rPr>
                <w:sz w:val="20"/>
              </w:rPr>
              <w:t xml:space="preserve">бюджетное учреждение автономного округа "Центр общественного здоровья и медицинской профилактики" (по согласованию),</w:t>
            </w:r>
          </w:p>
          <w:p>
            <w:pPr>
              <w:pStyle w:val="0"/>
            </w:pPr>
            <w:r>
              <w:rPr>
                <w:sz w:val="20"/>
              </w:rPr>
              <w:t xml:space="preserve">медицинские организации, подведомственные Департаменту здравоохранения автономного округа (далее - медицинские организации) (по согласованию)</w:t>
            </w:r>
          </w:p>
        </w:tc>
        <w:tc>
          <w:tcPr>
            <w:tcW w:w="1474" w:type="dxa"/>
          </w:tcPr>
          <w:p>
            <w:pPr>
              <w:pStyle w:val="0"/>
            </w:pPr>
            <w:r>
              <w:rPr>
                <w:sz w:val="20"/>
              </w:rPr>
              <w:t xml:space="preserve">до 31 декабря 2023 года,</w:t>
            </w:r>
          </w:p>
          <w:p>
            <w:pPr>
              <w:pStyle w:val="0"/>
            </w:pPr>
            <w:r>
              <w:rPr>
                <w:sz w:val="20"/>
              </w:rPr>
              <w:t xml:space="preserve">до 31 декабря 2024 года,</w:t>
            </w:r>
          </w:p>
          <w:p>
            <w:pPr>
              <w:pStyle w:val="0"/>
            </w:pPr>
            <w:r>
              <w:rPr>
                <w:sz w:val="20"/>
              </w:rPr>
              <w:t xml:space="preserve">до 31 декабря 2025 года</w:t>
            </w:r>
          </w:p>
        </w:tc>
      </w:tr>
      <w:tr>
        <w:tc>
          <w:tcPr>
            <w:tcW w:w="454" w:type="dxa"/>
          </w:tcPr>
          <w:p>
            <w:pPr>
              <w:pStyle w:val="0"/>
            </w:pPr>
            <w:r>
              <w:rPr>
                <w:sz w:val="20"/>
              </w:rPr>
              <w:t xml:space="preserve">2.</w:t>
            </w:r>
          </w:p>
        </w:tc>
        <w:tc>
          <w:tcPr>
            <w:tcW w:w="3345" w:type="dxa"/>
          </w:tcPr>
          <w:p>
            <w:pPr>
              <w:pStyle w:val="0"/>
            </w:pPr>
            <w:r>
              <w:rPr>
                <w:sz w:val="20"/>
              </w:rPr>
              <w:t xml:space="preserve">Обеспечение предоставления доступа специалистов по кадрам медицинских организаций к административной составляющей государственной информационной системы управления кадрами автономного округа (https://ugrateam.admhmao.ru) (далее - Портал) с целью укомплектования медицинских организаций квалифицированными кадрами в сокращенные сроки</w:t>
            </w:r>
          </w:p>
        </w:tc>
        <w:tc>
          <w:tcPr>
            <w:tcW w:w="4195" w:type="dxa"/>
          </w:tcPr>
          <w:p>
            <w:pPr>
              <w:pStyle w:val="0"/>
            </w:pPr>
            <w:r>
              <w:rPr>
                <w:sz w:val="20"/>
              </w:rPr>
              <w:t xml:space="preserve">размещена информация об имеющихся в медицинских организациях вакантных должностях на Портале; увеличен доступ к информации об актуальных вакантных должностях в медицинских организациях</w:t>
            </w:r>
          </w:p>
        </w:tc>
        <w:tc>
          <w:tcPr>
            <w:tcW w:w="3855" w:type="dxa"/>
          </w:tcPr>
          <w:p>
            <w:pPr>
              <w:pStyle w:val="0"/>
            </w:pPr>
            <w:r>
              <w:rPr>
                <w:sz w:val="20"/>
              </w:rPr>
              <w:t xml:space="preserve">Департамент государственной гражданской службы, кадровой политики и профилактики коррупции автономного округа,</w:t>
            </w:r>
          </w:p>
          <w:p>
            <w:pPr>
              <w:pStyle w:val="0"/>
            </w:pPr>
            <w:r>
              <w:rPr>
                <w:sz w:val="20"/>
              </w:rPr>
              <w:t xml:space="preserve">Департамент здравоохранения автономного округа,</w:t>
            </w:r>
          </w:p>
          <w:p>
            <w:pPr>
              <w:pStyle w:val="0"/>
            </w:pPr>
            <w:r>
              <w:rPr>
                <w:sz w:val="20"/>
              </w:rPr>
              <w:t xml:space="preserve">медицинские организации (по согласованию)</w:t>
            </w:r>
          </w:p>
        </w:tc>
        <w:tc>
          <w:tcPr>
            <w:tcW w:w="1474" w:type="dxa"/>
          </w:tcPr>
          <w:p>
            <w:pPr>
              <w:pStyle w:val="0"/>
            </w:pPr>
            <w:r>
              <w:rPr>
                <w:sz w:val="20"/>
              </w:rPr>
              <w:t xml:space="preserve">до 31 декабря 2024 года</w:t>
            </w:r>
          </w:p>
        </w:tc>
      </w:tr>
      <w:tr>
        <w:tc>
          <w:tcPr>
            <w:tcW w:w="454" w:type="dxa"/>
          </w:tcPr>
          <w:p>
            <w:pPr>
              <w:pStyle w:val="0"/>
            </w:pPr>
            <w:r>
              <w:rPr>
                <w:sz w:val="20"/>
              </w:rPr>
              <w:t xml:space="preserve">3.</w:t>
            </w:r>
          </w:p>
        </w:tc>
        <w:tc>
          <w:tcPr>
            <w:tcW w:w="3345" w:type="dxa"/>
          </w:tcPr>
          <w:p>
            <w:pPr>
              <w:pStyle w:val="0"/>
            </w:pPr>
            <w:r>
              <w:rPr>
                <w:sz w:val="20"/>
              </w:rPr>
              <w:t xml:space="preserve">Организация взаимодействия сотрудников медицинских организаций посредством чатов в системе мгновенного обмена сообщениями (Telegram) "Главный врач и его коллектив" с целью оперативного обмена информацией по совершенствованию организации оказания медицинской помощи, выравнивания психологического климата в коллективах, сокращения дистанции между руководителями и подчиненными</w:t>
            </w:r>
          </w:p>
        </w:tc>
        <w:tc>
          <w:tcPr>
            <w:tcW w:w="4195" w:type="dxa"/>
          </w:tcPr>
          <w:p>
            <w:pPr>
              <w:pStyle w:val="0"/>
            </w:pPr>
            <w:r>
              <w:rPr>
                <w:sz w:val="20"/>
              </w:rPr>
              <w:t xml:space="preserve">не менее 100% представителей структурных подразделений медицинских организаций вовлечены в процесс улучшения качества и доступности медицинской помощи</w:t>
            </w:r>
          </w:p>
        </w:tc>
        <w:tc>
          <w:tcPr>
            <w:tcW w:w="3855" w:type="dxa"/>
          </w:tcPr>
          <w:p>
            <w:pPr>
              <w:pStyle w:val="0"/>
            </w:pPr>
            <w:r>
              <w:rPr>
                <w:sz w:val="20"/>
              </w:rPr>
              <w:t xml:space="preserve">Департамент здравоохранения автономного округа,</w:t>
            </w:r>
          </w:p>
          <w:p>
            <w:pPr>
              <w:pStyle w:val="0"/>
            </w:pPr>
            <w:r>
              <w:rPr>
                <w:sz w:val="20"/>
              </w:rPr>
              <w:t xml:space="preserve">медицинские организации (по согласованию)</w:t>
            </w:r>
          </w:p>
        </w:tc>
        <w:tc>
          <w:tcPr>
            <w:tcW w:w="1474" w:type="dxa"/>
          </w:tcPr>
          <w:p>
            <w:pPr>
              <w:pStyle w:val="0"/>
            </w:pPr>
            <w:r>
              <w:rPr>
                <w:sz w:val="20"/>
              </w:rPr>
              <w:t xml:space="preserve">до 31 декабря 2023 года</w:t>
            </w:r>
          </w:p>
        </w:tc>
      </w:tr>
      <w:tr>
        <w:tc>
          <w:tcPr>
            <w:tcW w:w="454" w:type="dxa"/>
          </w:tcPr>
          <w:p>
            <w:pPr>
              <w:pStyle w:val="0"/>
            </w:pPr>
            <w:r>
              <w:rPr>
                <w:sz w:val="20"/>
              </w:rPr>
              <w:t xml:space="preserve">4.</w:t>
            </w:r>
          </w:p>
        </w:tc>
        <w:tc>
          <w:tcPr>
            <w:tcW w:w="3345" w:type="dxa"/>
          </w:tcPr>
          <w:p>
            <w:pPr>
              <w:pStyle w:val="0"/>
            </w:pPr>
            <w:r>
              <w:rPr>
                <w:sz w:val="20"/>
              </w:rPr>
              <w:t xml:space="preserve">Обучение специалистов по программам ординатуры по направлениям подготовки (специальностям) "офтальмология", "терапия" в пределах квоты приема на целевое обучение по договорам о целевом обучении по образовательным программам высшего образования</w:t>
            </w:r>
          </w:p>
        </w:tc>
        <w:tc>
          <w:tcPr>
            <w:tcW w:w="4195" w:type="dxa"/>
          </w:tcPr>
          <w:p>
            <w:pPr>
              <w:pStyle w:val="0"/>
            </w:pPr>
            <w:r>
              <w:rPr>
                <w:sz w:val="20"/>
              </w:rPr>
              <w:t xml:space="preserve">не менее 5 специалистов, обученных по программе ординатуры по направлению подготовки (специальности) "офтальмология", не менее 5 специалистов, обученных по программе ординатуры по направлению подготовки (специальности) "терапия" трудоустроены в медицинские организации в соответствии с полученной квалификацией на срок не менее 3 лет согласно договорам о целевом обучении на должности по дефицитным специальностям в соответствии с </w:t>
            </w:r>
            <w:hyperlink w:history="0" r:id="rId260" w:tooltip="Приказ Минздрава России от 29.11.2019 N 974 &quot;Об утверждении методики расчета потребности во врачебных кадрах&quot; {КонсультантПлюс}">
              <w:r>
                <w:rPr>
                  <w:sz w:val="20"/>
                  <w:color w:val="0000ff"/>
                </w:rPr>
                <w:t xml:space="preserve">методикой</w:t>
              </w:r>
            </w:hyperlink>
            <w:r>
              <w:rPr>
                <w:sz w:val="20"/>
              </w:rPr>
              <w:t xml:space="preserve"> расчета потребности во врачебных кадрах, утвержденной приказом Министерства здравоохранения Российской Федерации от 29 ноября 2019 года N 974</w:t>
            </w:r>
          </w:p>
        </w:tc>
        <w:tc>
          <w:tcPr>
            <w:tcW w:w="3855" w:type="dxa"/>
          </w:tcPr>
          <w:p>
            <w:pPr>
              <w:pStyle w:val="0"/>
            </w:pPr>
            <w:r>
              <w:rPr>
                <w:sz w:val="20"/>
              </w:rPr>
              <w:t xml:space="preserve">Департамент здравоохранения автономного округа</w:t>
            </w:r>
          </w:p>
        </w:tc>
        <w:tc>
          <w:tcPr>
            <w:tcW w:w="1474" w:type="dxa"/>
          </w:tcPr>
          <w:p>
            <w:pPr>
              <w:pStyle w:val="0"/>
            </w:pPr>
            <w:r>
              <w:rPr>
                <w:sz w:val="20"/>
              </w:rPr>
              <w:t xml:space="preserve">до 31 марта 2026 года</w:t>
            </w:r>
          </w:p>
        </w:tc>
      </w:tr>
      <w:tr>
        <w:tc>
          <w:tcPr>
            <w:tcW w:w="454" w:type="dxa"/>
          </w:tcPr>
          <w:p>
            <w:pPr>
              <w:pStyle w:val="0"/>
            </w:pPr>
            <w:r>
              <w:rPr>
                <w:sz w:val="20"/>
              </w:rPr>
              <w:t xml:space="preserve">5.</w:t>
            </w:r>
          </w:p>
        </w:tc>
        <w:tc>
          <w:tcPr>
            <w:tcW w:w="3345" w:type="dxa"/>
          </w:tcPr>
          <w:p>
            <w:pPr>
              <w:pStyle w:val="0"/>
            </w:pPr>
            <w:r>
              <w:rPr>
                <w:sz w:val="20"/>
              </w:rPr>
              <w:t xml:space="preserve">Содействие в решении вопросов трудоустройства супругов медицинских работников медицинских организаций, профессиональной переподготовки супругов медицинских работников медицинских организаций, приема их детей в дошкольные образовательные организации</w:t>
            </w:r>
          </w:p>
        </w:tc>
        <w:tc>
          <w:tcPr>
            <w:tcW w:w="4195" w:type="dxa"/>
          </w:tcPr>
          <w:p>
            <w:pPr>
              <w:pStyle w:val="0"/>
            </w:pPr>
            <w:r>
              <w:rPr>
                <w:sz w:val="20"/>
              </w:rPr>
              <w:t xml:space="preserve">обеспечено трудоустройство супругов медицинских работников медицинских организаций, организована профессиональная переподготовка супругов медицинских работников медицинских организаций; обеспечен прием их детей в дошкольные образовательные организации, расположенные в муниципальном образовании по месту нахождения медицинской организации, в которой они осуществляют трудовую деятельность</w:t>
            </w:r>
          </w:p>
        </w:tc>
        <w:tc>
          <w:tcPr>
            <w:tcW w:w="3855" w:type="dxa"/>
          </w:tcPr>
          <w:p>
            <w:pPr>
              <w:pStyle w:val="0"/>
            </w:pPr>
            <w:r>
              <w:rPr>
                <w:sz w:val="20"/>
              </w:rPr>
              <w:t xml:space="preserve">Департамент здравоохранения автономного округа,</w:t>
            </w:r>
          </w:p>
          <w:p>
            <w:pPr>
              <w:pStyle w:val="0"/>
            </w:pPr>
            <w:r>
              <w:rPr>
                <w:sz w:val="20"/>
              </w:rPr>
              <w:t xml:space="preserve">Департамент образования и науки автономного округа,</w:t>
            </w:r>
          </w:p>
          <w:p>
            <w:pPr>
              <w:pStyle w:val="0"/>
            </w:pPr>
            <w:r>
              <w:rPr>
                <w:sz w:val="20"/>
              </w:rPr>
              <w:t xml:space="preserve">Департамент труда и занятости населения автономного округа, медицинские организации (по согласованию)</w:t>
            </w:r>
          </w:p>
        </w:tc>
        <w:tc>
          <w:tcPr>
            <w:tcW w:w="1474" w:type="dxa"/>
          </w:tcPr>
          <w:p>
            <w:pPr>
              <w:pStyle w:val="0"/>
            </w:pPr>
            <w:r>
              <w:rPr>
                <w:sz w:val="20"/>
              </w:rPr>
              <w:t xml:space="preserve">до 31 декабря 2024 года,</w:t>
            </w:r>
          </w:p>
          <w:p>
            <w:pPr>
              <w:pStyle w:val="0"/>
            </w:pPr>
            <w:r>
              <w:rPr>
                <w:sz w:val="20"/>
              </w:rPr>
              <w:t xml:space="preserve">до 31 декабря 2025 года,</w:t>
            </w:r>
          </w:p>
          <w:p>
            <w:pPr>
              <w:pStyle w:val="0"/>
            </w:pPr>
            <w:r>
              <w:rPr>
                <w:sz w:val="20"/>
              </w:rPr>
              <w:t xml:space="preserve">до 31 декабря 2026 года</w:t>
            </w:r>
          </w:p>
        </w:tc>
      </w:tr>
      <w:tr>
        <w:tc>
          <w:tcPr>
            <w:tcW w:w="454" w:type="dxa"/>
          </w:tcPr>
          <w:p>
            <w:pPr>
              <w:pStyle w:val="0"/>
            </w:pPr>
            <w:r>
              <w:rPr>
                <w:sz w:val="20"/>
              </w:rPr>
              <w:t xml:space="preserve">6.</w:t>
            </w:r>
          </w:p>
        </w:tc>
        <w:tc>
          <w:tcPr>
            <w:tcW w:w="3345" w:type="dxa"/>
          </w:tcPr>
          <w:p>
            <w:pPr>
              <w:pStyle w:val="0"/>
            </w:pPr>
            <w:r>
              <w:rPr>
                <w:sz w:val="20"/>
              </w:rPr>
              <w:t xml:space="preserve">Создание посредством системы мгновенного обмена сообщениями (Telegram) онлайн-сервиса "электронной биржи" вакантных должностей медицинских и фармацевтических работников в медицинских организациях</w:t>
            </w:r>
          </w:p>
        </w:tc>
        <w:tc>
          <w:tcPr>
            <w:tcW w:w="4195" w:type="dxa"/>
          </w:tcPr>
          <w:p>
            <w:pPr>
              <w:pStyle w:val="0"/>
            </w:pPr>
            <w:r>
              <w:rPr>
                <w:sz w:val="20"/>
              </w:rPr>
              <w:t xml:space="preserve">обеспечен доступ неограниченного круга лиц к информации о вакантных должностях медицинских и фармацевтических работников в медицинских организациях о предоставляемых им мерах социальной поддержки при трудоустройстве; расширен круг потенциальных кандидатов для трудоустройства; обеспечено позиционирование автономного округа как привлекательного для трудоустройства региона, а также информирование об "электронной бирже" через СМИ и социальные сети</w:t>
            </w:r>
          </w:p>
        </w:tc>
        <w:tc>
          <w:tcPr>
            <w:tcW w:w="3855" w:type="dxa"/>
          </w:tcPr>
          <w:p>
            <w:pPr>
              <w:pStyle w:val="0"/>
            </w:pPr>
            <w:r>
              <w:rPr>
                <w:sz w:val="20"/>
              </w:rPr>
              <w:t xml:space="preserve">Департамент здравоохранения автономного округа,</w:t>
            </w:r>
          </w:p>
          <w:p>
            <w:pPr>
              <w:pStyle w:val="0"/>
            </w:pPr>
            <w:r>
              <w:rPr>
                <w:sz w:val="20"/>
              </w:rPr>
              <w:t xml:space="preserve">бюджетное учреждение автономного округа "Медицинский информационно-аналитический центр" (по согласованию),</w:t>
            </w:r>
          </w:p>
          <w:p>
            <w:pPr>
              <w:pStyle w:val="0"/>
            </w:pPr>
            <w:r>
              <w:rPr>
                <w:sz w:val="20"/>
              </w:rPr>
              <w:t xml:space="preserve">медицинские организации (по согласованию)</w:t>
            </w:r>
          </w:p>
        </w:tc>
        <w:tc>
          <w:tcPr>
            <w:tcW w:w="1474" w:type="dxa"/>
          </w:tcPr>
          <w:p>
            <w:pPr>
              <w:pStyle w:val="0"/>
            </w:pPr>
            <w:r>
              <w:rPr>
                <w:sz w:val="20"/>
              </w:rPr>
              <w:t xml:space="preserve">до 15 октября 2023 года</w:t>
            </w:r>
          </w:p>
        </w:tc>
      </w:tr>
      <w:tr>
        <w:tc>
          <w:tcPr>
            <w:tcW w:w="454" w:type="dxa"/>
          </w:tcPr>
          <w:p>
            <w:pPr>
              <w:pStyle w:val="0"/>
            </w:pPr>
            <w:r>
              <w:rPr>
                <w:sz w:val="20"/>
              </w:rPr>
              <w:t xml:space="preserve">7.</w:t>
            </w:r>
          </w:p>
        </w:tc>
        <w:tc>
          <w:tcPr>
            <w:tcW w:w="3345" w:type="dxa"/>
          </w:tcPr>
          <w:p>
            <w:pPr>
              <w:pStyle w:val="0"/>
            </w:pPr>
            <w:r>
              <w:rPr>
                <w:sz w:val="20"/>
              </w:rPr>
              <w:t xml:space="preserve">Создание централизованной рекрутинговой службы в сфере здравоохранения автономного округа с целью обеспечения укомплектованности медицинских организаций в сокращенные сроки, снижения коэффициента совместительства</w:t>
            </w:r>
          </w:p>
        </w:tc>
        <w:tc>
          <w:tcPr>
            <w:tcW w:w="4195" w:type="dxa"/>
          </w:tcPr>
          <w:p>
            <w:pPr>
              <w:pStyle w:val="0"/>
            </w:pPr>
            <w:r>
              <w:rPr>
                <w:sz w:val="20"/>
              </w:rPr>
              <w:t xml:space="preserve">сформирован поток специалистов для работы в медицинских организациях; проводится первичное собеседование с соискателями</w:t>
            </w:r>
          </w:p>
        </w:tc>
        <w:tc>
          <w:tcPr>
            <w:tcW w:w="3855" w:type="dxa"/>
          </w:tcPr>
          <w:p>
            <w:pPr>
              <w:pStyle w:val="0"/>
            </w:pPr>
            <w:r>
              <w:rPr>
                <w:sz w:val="20"/>
              </w:rPr>
              <w:t xml:space="preserve">Департамент здравоохранения автономного округа,</w:t>
            </w:r>
          </w:p>
          <w:p>
            <w:pPr>
              <w:pStyle w:val="0"/>
            </w:pPr>
            <w:r>
              <w:rPr>
                <w:sz w:val="20"/>
              </w:rPr>
              <w:t xml:space="preserve">бюджетное учреждение автономного округа "Медицинский информационно-аналитический центр" (по согласованию)</w:t>
            </w:r>
          </w:p>
        </w:tc>
        <w:tc>
          <w:tcPr>
            <w:tcW w:w="1474" w:type="dxa"/>
          </w:tcPr>
          <w:p>
            <w:pPr>
              <w:pStyle w:val="0"/>
            </w:pPr>
            <w:r>
              <w:rPr>
                <w:sz w:val="20"/>
              </w:rPr>
              <w:t xml:space="preserve">до 31 декабря 2024 года</w:t>
            </w:r>
          </w:p>
        </w:tc>
      </w:tr>
      <w:tr>
        <w:tc>
          <w:tcPr>
            <w:tcW w:w="454" w:type="dxa"/>
          </w:tcPr>
          <w:p>
            <w:pPr>
              <w:pStyle w:val="0"/>
            </w:pPr>
            <w:r>
              <w:rPr>
                <w:sz w:val="20"/>
              </w:rPr>
              <w:t xml:space="preserve">8.</w:t>
            </w:r>
          </w:p>
        </w:tc>
        <w:tc>
          <w:tcPr>
            <w:tcW w:w="3345" w:type="dxa"/>
          </w:tcPr>
          <w:p>
            <w:pPr>
              <w:pStyle w:val="0"/>
            </w:pPr>
            <w:r>
              <w:rPr>
                <w:sz w:val="20"/>
              </w:rPr>
              <w:t xml:space="preserve">Проведение мероприятий по профессиональной ориентации обучающихся 10 - 11 классов общеобразовательных организаций автономного округа</w:t>
            </w:r>
          </w:p>
        </w:tc>
        <w:tc>
          <w:tcPr>
            <w:tcW w:w="4195" w:type="dxa"/>
          </w:tcPr>
          <w:p>
            <w:pPr>
              <w:pStyle w:val="0"/>
            </w:pPr>
            <w:r>
              <w:rPr>
                <w:sz w:val="20"/>
              </w:rPr>
              <w:t xml:space="preserve">в общеобразовательных организациях городов Нефтеюганск, Нягань созданы не менее 2 дополнительных (медицинских) классов, реализующих учебный план по профилю - естественнонаучный; проведены дни открытых дверей (интерактивные площадки, родительские собрания по вопросам поступления и обучения в медицинских образовательных организациях) в образовательных организациях высшего образования автономного округа; проведены семинары, научно-ознакомительные экскурсии в медицинских организациях</w:t>
            </w:r>
          </w:p>
        </w:tc>
        <w:tc>
          <w:tcPr>
            <w:tcW w:w="3855" w:type="dxa"/>
          </w:tcPr>
          <w:p>
            <w:pPr>
              <w:pStyle w:val="0"/>
            </w:pPr>
            <w:r>
              <w:rPr>
                <w:sz w:val="20"/>
              </w:rPr>
              <w:t xml:space="preserve">Департамент образования и науки автономного округа,</w:t>
            </w:r>
          </w:p>
          <w:p>
            <w:pPr>
              <w:pStyle w:val="0"/>
            </w:pPr>
            <w:r>
              <w:rPr>
                <w:sz w:val="20"/>
              </w:rPr>
              <w:t xml:space="preserve">Департамент труда и занятости населения автономного округа,</w:t>
            </w:r>
          </w:p>
          <w:p>
            <w:pPr>
              <w:pStyle w:val="0"/>
            </w:pPr>
            <w:r>
              <w:rPr>
                <w:sz w:val="20"/>
              </w:rPr>
              <w:t xml:space="preserve">Департамент здравоохранения автономного округа,</w:t>
            </w:r>
          </w:p>
          <w:p>
            <w:pPr>
              <w:pStyle w:val="0"/>
            </w:pPr>
            <w:r>
              <w:rPr>
                <w:sz w:val="20"/>
              </w:rPr>
              <w:t xml:space="preserve">медицинские организации (по согласованию), образовательные организации высшего образования автономного округа (по согласованию),</w:t>
            </w:r>
          </w:p>
          <w:p>
            <w:pPr>
              <w:pStyle w:val="0"/>
            </w:pPr>
            <w:r>
              <w:rPr>
                <w:sz w:val="20"/>
              </w:rPr>
              <w:t xml:space="preserve">органы местного самоуправления муниципальных образований автономного округа (по согласованию)</w:t>
            </w:r>
          </w:p>
        </w:tc>
        <w:tc>
          <w:tcPr>
            <w:tcW w:w="1474" w:type="dxa"/>
          </w:tcPr>
          <w:p>
            <w:pPr>
              <w:pStyle w:val="0"/>
            </w:pPr>
            <w:r>
              <w:rPr>
                <w:sz w:val="20"/>
              </w:rPr>
              <w:t xml:space="preserve">до 31 декабря 2024 года</w:t>
            </w:r>
          </w:p>
        </w:tc>
      </w:tr>
      <w:tr>
        <w:tc>
          <w:tcPr>
            <w:tcW w:w="454" w:type="dxa"/>
          </w:tcPr>
          <w:p>
            <w:pPr>
              <w:pStyle w:val="0"/>
            </w:pPr>
            <w:r>
              <w:rPr>
                <w:sz w:val="20"/>
              </w:rPr>
              <w:t xml:space="preserve">9.</w:t>
            </w:r>
          </w:p>
        </w:tc>
        <w:tc>
          <w:tcPr>
            <w:tcW w:w="3345" w:type="dxa"/>
          </w:tcPr>
          <w:p>
            <w:pPr>
              <w:pStyle w:val="0"/>
            </w:pPr>
            <w:r>
              <w:rPr>
                <w:sz w:val="20"/>
              </w:rPr>
              <w:t xml:space="preserve">Увеличение квоты приема на целевое обучение по образовательным программам ординатуры за счет бюджетных ассигнований автономного округа в образовательных организациях высшего образования автономного округа с целью исключения оттока молодых специалистов в другие регионы Российской Федерации в связи с предусмотренным договором о целевом обучении обязательством по трудоустройству в медицинские организации на срок не менее 3 лет</w:t>
            </w:r>
          </w:p>
        </w:tc>
        <w:tc>
          <w:tcPr>
            <w:tcW w:w="4195" w:type="dxa"/>
          </w:tcPr>
          <w:p>
            <w:pPr>
              <w:pStyle w:val="0"/>
            </w:pPr>
            <w:r>
              <w:rPr>
                <w:sz w:val="20"/>
              </w:rPr>
              <w:t xml:space="preserve">квота приема на целевое обучение по образовательным программам ординатуры за счет бюджетных ассигнований автономного округа в образовательных организациях высшего образования автономного округа увеличена до 90%</w:t>
            </w:r>
          </w:p>
        </w:tc>
        <w:tc>
          <w:tcPr>
            <w:tcW w:w="3855" w:type="dxa"/>
          </w:tcPr>
          <w:p>
            <w:pPr>
              <w:pStyle w:val="0"/>
            </w:pPr>
            <w:r>
              <w:rPr>
                <w:sz w:val="20"/>
              </w:rPr>
              <w:t xml:space="preserve">Департамент образования и науки автономного округа,</w:t>
            </w:r>
          </w:p>
          <w:p>
            <w:pPr>
              <w:pStyle w:val="0"/>
            </w:pPr>
            <w:r>
              <w:rPr>
                <w:sz w:val="20"/>
              </w:rPr>
              <w:t xml:space="preserve">Департамент здравоохранения автономного округа</w:t>
            </w:r>
          </w:p>
        </w:tc>
        <w:tc>
          <w:tcPr>
            <w:tcW w:w="1474" w:type="dxa"/>
          </w:tcPr>
          <w:p>
            <w:pPr>
              <w:pStyle w:val="0"/>
            </w:pPr>
            <w:r>
              <w:rPr>
                <w:sz w:val="20"/>
              </w:rPr>
              <w:t xml:space="preserve">до 31 декабря 2025 года</w:t>
            </w:r>
          </w:p>
        </w:tc>
      </w:tr>
      <w:tr>
        <w:tc>
          <w:tcPr>
            <w:tcW w:w="454" w:type="dxa"/>
          </w:tcPr>
          <w:p>
            <w:pPr>
              <w:pStyle w:val="0"/>
            </w:pPr>
            <w:r>
              <w:rPr>
                <w:sz w:val="20"/>
              </w:rPr>
              <w:t xml:space="preserve">10.</w:t>
            </w:r>
          </w:p>
        </w:tc>
        <w:tc>
          <w:tcPr>
            <w:tcW w:w="3345" w:type="dxa"/>
          </w:tcPr>
          <w:p>
            <w:pPr>
              <w:pStyle w:val="0"/>
            </w:pPr>
            <w:r>
              <w:rPr>
                <w:sz w:val="20"/>
              </w:rPr>
              <w:t xml:space="preserve">Создание регионального образовательного проекта по стабилизации кадрового потенциала учреждений первичного звена здравоохранения в автономном округе "Учим дома"</w:t>
            </w:r>
          </w:p>
        </w:tc>
        <w:tc>
          <w:tcPr>
            <w:tcW w:w="4195" w:type="dxa"/>
          </w:tcPr>
          <w:p>
            <w:pPr>
              <w:pStyle w:val="0"/>
            </w:pPr>
            <w:r>
              <w:rPr>
                <w:sz w:val="20"/>
              </w:rPr>
              <w:t xml:space="preserve">организовано обучение по образовательным программам ординатуры на базе медицинских организаций, заключивших договоры о целевом обучении по образовательным программам высшего образования с обучающимися в образовательных организациях автономного округа; закрепление молодых специалистов за медицинскими организациями первичного звена здравоохранения не менее чем на 4 - 5 лет с учетом осуществления трудовых функций, совмещая их с продолжением образования;</w:t>
            </w:r>
          </w:p>
          <w:p>
            <w:pPr>
              <w:pStyle w:val="0"/>
            </w:pPr>
            <w:r>
              <w:rPr>
                <w:sz w:val="20"/>
              </w:rPr>
              <w:t xml:space="preserve">снижен отток кадров;</w:t>
            </w:r>
          </w:p>
          <w:p>
            <w:pPr>
              <w:pStyle w:val="0"/>
            </w:pPr>
            <w:r>
              <w:rPr>
                <w:sz w:val="20"/>
              </w:rPr>
              <w:t xml:space="preserve">организована или расширена подготовка специалистов среднего звена по медицинским направлениям в городах Лангепас, Урай, Нягань, Когалым, Советский на базе профессиональных образовательных организаций автономного округа</w:t>
            </w:r>
          </w:p>
        </w:tc>
        <w:tc>
          <w:tcPr>
            <w:tcW w:w="3855" w:type="dxa"/>
          </w:tcPr>
          <w:p>
            <w:pPr>
              <w:pStyle w:val="0"/>
            </w:pPr>
            <w:r>
              <w:rPr>
                <w:sz w:val="20"/>
              </w:rPr>
              <w:t xml:space="preserve">Департамент образования и науки автономного округа,</w:t>
            </w:r>
          </w:p>
          <w:p>
            <w:pPr>
              <w:pStyle w:val="0"/>
            </w:pPr>
            <w:r>
              <w:rPr>
                <w:sz w:val="20"/>
              </w:rPr>
              <w:t xml:space="preserve">Департамент здравоохранения автономного округа,</w:t>
            </w:r>
          </w:p>
          <w:p>
            <w:pPr>
              <w:pStyle w:val="0"/>
            </w:pPr>
            <w:r>
              <w:rPr>
                <w:sz w:val="20"/>
              </w:rPr>
              <w:t xml:space="preserve">образовательные организации автономного округа (по согласованию), медицинские организации (по согласованию)</w:t>
            </w:r>
          </w:p>
        </w:tc>
        <w:tc>
          <w:tcPr>
            <w:tcW w:w="1474" w:type="dxa"/>
          </w:tcPr>
          <w:p>
            <w:pPr>
              <w:pStyle w:val="0"/>
            </w:pPr>
            <w:r>
              <w:rPr>
                <w:sz w:val="20"/>
              </w:rPr>
              <w:t xml:space="preserve">до 31 августа 2024 года</w:t>
            </w:r>
          </w:p>
        </w:tc>
      </w:tr>
      <w:tr>
        <w:tc>
          <w:tcPr>
            <w:tcW w:w="454" w:type="dxa"/>
          </w:tcPr>
          <w:p>
            <w:pPr>
              <w:pStyle w:val="0"/>
            </w:pPr>
            <w:r>
              <w:rPr>
                <w:sz w:val="20"/>
              </w:rPr>
              <w:t xml:space="preserve">11.</w:t>
            </w:r>
          </w:p>
        </w:tc>
        <w:tc>
          <w:tcPr>
            <w:tcW w:w="3345" w:type="dxa"/>
          </w:tcPr>
          <w:p>
            <w:pPr>
              <w:pStyle w:val="0"/>
            </w:pPr>
            <w:r>
              <w:rPr>
                <w:sz w:val="20"/>
              </w:rPr>
              <w:t xml:space="preserve">Размещение сведений о вакантных должностях в сфере здравоохранения на Единой цифровой платформе в сфере занятости и трудовых отношений "Работа в России"</w:t>
            </w:r>
          </w:p>
        </w:tc>
        <w:tc>
          <w:tcPr>
            <w:tcW w:w="4195" w:type="dxa"/>
          </w:tcPr>
          <w:p>
            <w:pPr>
              <w:pStyle w:val="0"/>
            </w:pPr>
            <w:r>
              <w:rPr>
                <w:sz w:val="20"/>
              </w:rPr>
              <w:t xml:space="preserve">соискатели с медицинским образованием, в том числе проживающие за пределами автономного округа, информированы об имеющихся вакантных должностях; обеспечен открытый доступ к резюме соискателей с возможностью электронного приглашения на собеседование, проведения собеседования в дистанционной форме</w:t>
            </w:r>
          </w:p>
        </w:tc>
        <w:tc>
          <w:tcPr>
            <w:tcW w:w="3855" w:type="dxa"/>
          </w:tcPr>
          <w:p>
            <w:pPr>
              <w:pStyle w:val="0"/>
            </w:pPr>
            <w:r>
              <w:rPr>
                <w:sz w:val="20"/>
              </w:rPr>
              <w:t xml:space="preserve">Департамент здравоохранения автономного округа,</w:t>
            </w:r>
          </w:p>
          <w:p>
            <w:pPr>
              <w:pStyle w:val="0"/>
            </w:pPr>
            <w:r>
              <w:rPr>
                <w:sz w:val="20"/>
              </w:rPr>
              <w:t xml:space="preserve">Департамент труда и занятости населения автономного округа,</w:t>
            </w:r>
          </w:p>
          <w:p>
            <w:pPr>
              <w:pStyle w:val="0"/>
            </w:pPr>
            <w:r>
              <w:rPr>
                <w:sz w:val="20"/>
              </w:rPr>
              <w:t xml:space="preserve">медицинские организации (по согласованию)</w:t>
            </w:r>
          </w:p>
        </w:tc>
        <w:tc>
          <w:tcPr>
            <w:tcW w:w="1474" w:type="dxa"/>
          </w:tcPr>
          <w:p>
            <w:pPr>
              <w:pStyle w:val="0"/>
            </w:pPr>
            <w:r>
              <w:rPr>
                <w:sz w:val="20"/>
              </w:rPr>
              <w:t xml:space="preserve">до 31 декабря 2024 года,</w:t>
            </w:r>
          </w:p>
          <w:p>
            <w:pPr>
              <w:pStyle w:val="0"/>
            </w:pPr>
            <w:r>
              <w:rPr>
                <w:sz w:val="20"/>
              </w:rPr>
              <w:t xml:space="preserve">до 31 декабря 2025 года,</w:t>
            </w:r>
          </w:p>
          <w:p>
            <w:pPr>
              <w:pStyle w:val="0"/>
            </w:pPr>
            <w:r>
              <w:rPr>
                <w:sz w:val="20"/>
              </w:rPr>
              <w:t xml:space="preserve">до 31 декабря 2026 года</w:t>
            </w:r>
          </w:p>
        </w:tc>
      </w:tr>
      <w:tr>
        <w:tc>
          <w:tcPr>
            <w:tcW w:w="454" w:type="dxa"/>
          </w:tcPr>
          <w:p>
            <w:pPr>
              <w:pStyle w:val="0"/>
            </w:pPr>
            <w:r>
              <w:rPr>
                <w:sz w:val="20"/>
              </w:rPr>
              <w:t xml:space="preserve">12.</w:t>
            </w:r>
          </w:p>
        </w:tc>
        <w:tc>
          <w:tcPr>
            <w:tcW w:w="3345" w:type="dxa"/>
          </w:tcPr>
          <w:p>
            <w:pPr>
              <w:pStyle w:val="0"/>
            </w:pPr>
            <w:r>
              <w:rPr>
                <w:sz w:val="20"/>
              </w:rPr>
              <w:t xml:space="preserve">Обучение по инновационным направлениям деятельности специалистов ведущих медицинских организаций в федеральных учреждениях, а также за пределами Российской Федерации</w:t>
            </w:r>
          </w:p>
        </w:tc>
        <w:tc>
          <w:tcPr>
            <w:tcW w:w="4195" w:type="dxa"/>
          </w:tcPr>
          <w:p>
            <w:pPr>
              <w:pStyle w:val="0"/>
            </w:pPr>
            <w:r>
              <w:rPr>
                <w:sz w:val="20"/>
              </w:rPr>
              <w:t xml:space="preserve">специалисты ведущих медицинских организаций обучены по инновационным направлениям деятельности и осуществляют взаимодействие с медицинскими работниками медицинских организаций по соответствующему направлению медицинской деятельности с целью передачи опыта, закрепления молодых специалистов на местах</w:t>
            </w:r>
          </w:p>
        </w:tc>
        <w:tc>
          <w:tcPr>
            <w:tcW w:w="3855" w:type="dxa"/>
          </w:tcPr>
          <w:p>
            <w:pPr>
              <w:pStyle w:val="0"/>
            </w:pPr>
            <w:r>
              <w:rPr>
                <w:sz w:val="20"/>
              </w:rPr>
              <w:t xml:space="preserve">Департамент здравоохранения автономного округа,</w:t>
            </w:r>
          </w:p>
          <w:p>
            <w:pPr>
              <w:pStyle w:val="0"/>
            </w:pPr>
            <w:r>
              <w:rPr>
                <w:sz w:val="20"/>
              </w:rPr>
              <w:t xml:space="preserve">медицинские организации (по согласованию)</w:t>
            </w:r>
          </w:p>
        </w:tc>
        <w:tc>
          <w:tcPr>
            <w:tcW w:w="1474" w:type="dxa"/>
          </w:tcPr>
          <w:p>
            <w:pPr>
              <w:pStyle w:val="0"/>
            </w:pPr>
            <w:r>
              <w:rPr>
                <w:sz w:val="20"/>
              </w:rPr>
              <w:t xml:space="preserve">до 31 декабря 2024 года,</w:t>
            </w:r>
          </w:p>
          <w:p>
            <w:pPr>
              <w:pStyle w:val="0"/>
            </w:pPr>
            <w:r>
              <w:rPr>
                <w:sz w:val="20"/>
              </w:rPr>
              <w:t xml:space="preserve">до 31 декабря 2025 года,</w:t>
            </w:r>
          </w:p>
          <w:p>
            <w:pPr>
              <w:pStyle w:val="0"/>
            </w:pPr>
            <w:r>
              <w:rPr>
                <w:sz w:val="20"/>
              </w:rPr>
              <w:t xml:space="preserve">до 31 декабря 2026 года</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15</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ind w:firstLine="540"/>
        <w:jc w:val="both"/>
      </w:pPr>
      <w:r>
        <w:rPr>
          <w:sz w:val="20"/>
        </w:rPr>
      </w:r>
    </w:p>
    <w:bookmarkStart w:id="30852" w:name="P30852"/>
    <w:bookmarkEnd w:id="30852"/>
    <w:p>
      <w:pPr>
        <w:pStyle w:val="2"/>
        <w:jc w:val="center"/>
      </w:pPr>
      <w:r>
        <w:rPr>
          <w:sz w:val="20"/>
        </w:rPr>
        <w:t xml:space="preserve">ПЛАН</w:t>
      </w:r>
    </w:p>
    <w:p>
      <w:pPr>
        <w:pStyle w:val="2"/>
        <w:jc w:val="center"/>
      </w:pPr>
      <w:r>
        <w:rPr>
          <w:sz w:val="20"/>
        </w:rPr>
        <w:t xml:space="preserve">МЕРОПРИЯТИЙ ("ДОРОЖНАЯ КАРТА") ПО ПОДДЕРЖАНИЮ СВОБОДНОГО</w:t>
      </w:r>
    </w:p>
    <w:p>
      <w:pPr>
        <w:pStyle w:val="2"/>
        <w:jc w:val="center"/>
      </w:pPr>
      <w:r>
        <w:rPr>
          <w:sz w:val="20"/>
        </w:rPr>
        <w:t xml:space="preserve">ОТ ПОЛИОМИЕЛИТА СТАТУСА ХАНТЫ-МАНСИЙСКОГО АВТОНОМНОГО</w:t>
      </w:r>
    </w:p>
    <w:p>
      <w:pPr>
        <w:pStyle w:val="2"/>
        <w:jc w:val="center"/>
      </w:pPr>
      <w:r>
        <w:rPr>
          <w:sz w:val="20"/>
        </w:rPr>
        <w:t xml:space="preserve">ОКРУГА - ЮГРЫ В 2023 - 2024 ГОДАХ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 </w:t>
            </w:r>
            <w:hyperlink w:history="0" r:id="rId261" w:tooltip="Постановление Правительства ХМАО - Югры от 06.10.2023 N 490-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color w:val="392c69"/>
              </w:rPr>
              <w:t xml:space="preserve"> Правительства ХМАО - Югры от 06.10.2023 N 490-п)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2254"/>
        <w:gridCol w:w="2254"/>
        <w:gridCol w:w="1309"/>
        <w:gridCol w:w="2194"/>
        <w:gridCol w:w="2044"/>
        <w:gridCol w:w="1204"/>
        <w:gridCol w:w="604"/>
        <w:gridCol w:w="604"/>
      </w:tblGrid>
      <w:tr>
        <w:tc>
          <w:tcPr>
            <w:tcW w:w="454" w:type="dxa"/>
            <w:vMerge w:val="restart"/>
          </w:tcPr>
          <w:p>
            <w:pPr>
              <w:pStyle w:val="0"/>
              <w:jc w:val="center"/>
            </w:pPr>
            <w:r>
              <w:rPr>
                <w:sz w:val="20"/>
              </w:rPr>
              <w:t xml:space="preserve">N п/п</w:t>
            </w:r>
          </w:p>
        </w:tc>
        <w:tc>
          <w:tcPr>
            <w:tcW w:w="2254" w:type="dxa"/>
            <w:vMerge w:val="restart"/>
          </w:tcPr>
          <w:p>
            <w:pPr>
              <w:pStyle w:val="0"/>
              <w:jc w:val="center"/>
            </w:pPr>
            <w:r>
              <w:rPr>
                <w:sz w:val="20"/>
              </w:rPr>
              <w:t xml:space="preserve">Наименование мероприятия</w:t>
            </w:r>
          </w:p>
        </w:tc>
        <w:tc>
          <w:tcPr>
            <w:tcW w:w="2254" w:type="dxa"/>
            <w:vMerge w:val="restart"/>
          </w:tcPr>
          <w:p>
            <w:pPr>
              <w:pStyle w:val="0"/>
              <w:jc w:val="center"/>
            </w:pPr>
            <w:r>
              <w:rPr>
                <w:sz w:val="20"/>
              </w:rPr>
              <w:t xml:space="preserve">Исполнители</w:t>
            </w:r>
          </w:p>
        </w:tc>
        <w:tc>
          <w:tcPr>
            <w:tcW w:w="1309" w:type="dxa"/>
            <w:vMerge w:val="restart"/>
          </w:tcPr>
          <w:p>
            <w:pPr>
              <w:pStyle w:val="0"/>
              <w:jc w:val="center"/>
            </w:pPr>
            <w:r>
              <w:rPr>
                <w:sz w:val="20"/>
              </w:rPr>
              <w:t xml:space="preserve">Срок реализации</w:t>
            </w:r>
          </w:p>
        </w:tc>
        <w:tc>
          <w:tcPr>
            <w:tcW w:w="2194" w:type="dxa"/>
            <w:vMerge w:val="restart"/>
          </w:tcPr>
          <w:p>
            <w:pPr>
              <w:pStyle w:val="0"/>
              <w:jc w:val="center"/>
            </w:pPr>
            <w:r>
              <w:rPr>
                <w:sz w:val="20"/>
              </w:rPr>
              <w:t xml:space="preserve">Результат реализации мероприятия</w:t>
            </w:r>
          </w:p>
        </w:tc>
        <w:tc>
          <w:tcPr>
            <w:tcW w:w="2044" w:type="dxa"/>
            <w:vMerge w:val="restart"/>
          </w:tcPr>
          <w:p>
            <w:pPr>
              <w:pStyle w:val="0"/>
              <w:jc w:val="center"/>
            </w:pPr>
            <w:r>
              <w:rPr>
                <w:sz w:val="20"/>
              </w:rPr>
              <w:t xml:space="preserve">Показатель эффективности реализации мероприятия</w:t>
            </w:r>
          </w:p>
        </w:tc>
        <w:tc>
          <w:tcPr>
            <w:tcW w:w="1204" w:type="dxa"/>
            <w:vMerge w:val="restart"/>
          </w:tcPr>
          <w:p>
            <w:pPr>
              <w:pStyle w:val="0"/>
              <w:jc w:val="center"/>
            </w:pPr>
            <w:r>
              <w:rPr>
                <w:sz w:val="20"/>
              </w:rPr>
              <w:t xml:space="preserve">Единицы измерения</w:t>
            </w:r>
          </w:p>
        </w:tc>
        <w:tc>
          <w:tcPr>
            <w:gridSpan w:val="2"/>
            <w:tcW w:w="1208" w:type="dxa"/>
          </w:tcPr>
          <w:p>
            <w:pPr>
              <w:pStyle w:val="0"/>
              <w:jc w:val="center"/>
            </w:pPr>
            <w:r>
              <w:rPr>
                <w:sz w:val="20"/>
              </w:rPr>
              <w:t xml:space="preserve">Конечный результат</w:t>
            </w:r>
          </w:p>
        </w:tc>
      </w:tr>
      <w:tr>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604" w:type="dxa"/>
          </w:tcPr>
          <w:p>
            <w:pPr>
              <w:pStyle w:val="0"/>
              <w:jc w:val="center"/>
            </w:pPr>
            <w:r>
              <w:rPr>
                <w:sz w:val="20"/>
              </w:rPr>
              <w:t xml:space="preserve">2023 год</w:t>
            </w:r>
          </w:p>
        </w:tc>
        <w:tc>
          <w:tcPr>
            <w:tcW w:w="604" w:type="dxa"/>
          </w:tcPr>
          <w:p>
            <w:pPr>
              <w:pStyle w:val="0"/>
              <w:jc w:val="center"/>
            </w:pPr>
            <w:r>
              <w:rPr>
                <w:sz w:val="20"/>
              </w:rPr>
              <w:t xml:space="preserve">2024 год</w:t>
            </w:r>
          </w:p>
        </w:tc>
      </w:tr>
      <w:tr>
        <w:tc>
          <w:tcPr>
            <w:tcW w:w="454" w:type="dxa"/>
          </w:tcPr>
          <w:p>
            <w:pPr>
              <w:pStyle w:val="0"/>
            </w:pPr>
            <w:r>
              <w:rPr>
                <w:sz w:val="20"/>
              </w:rPr>
              <w:t xml:space="preserve">1.</w:t>
            </w:r>
          </w:p>
        </w:tc>
        <w:tc>
          <w:tcPr>
            <w:tcW w:w="2254" w:type="dxa"/>
          </w:tcPr>
          <w:p>
            <w:pPr>
              <w:pStyle w:val="0"/>
            </w:pPr>
            <w:r>
              <w:rPr>
                <w:sz w:val="20"/>
              </w:rPr>
              <w:t xml:space="preserve">Анализ показателей иммунизации медицинских организаций Ханты-Мансийского автономного округа - Югры против полиомиелита детского населения</w:t>
            </w:r>
          </w:p>
        </w:tc>
        <w:tc>
          <w:tcPr>
            <w:tcW w:w="2254" w:type="dxa"/>
          </w:tcPr>
          <w:p>
            <w:pPr>
              <w:pStyle w:val="0"/>
            </w:pPr>
            <w:r>
              <w:rPr>
                <w:sz w:val="20"/>
              </w:rPr>
              <w:t xml:space="preserve">Департамент здравоохранения Ханты-Мансийского автономного округа - Югры (далее - автономный округ),</w:t>
            </w:r>
          </w:p>
          <w:p>
            <w:pPr>
              <w:pStyle w:val="0"/>
            </w:pPr>
            <w:r>
              <w:rPr>
                <w:sz w:val="20"/>
              </w:rPr>
              <w:t xml:space="preserve">медицинские организации автономного округа (по согласованию)</w:t>
            </w:r>
          </w:p>
        </w:tc>
        <w:tc>
          <w:tcPr>
            <w:tcW w:w="1309" w:type="dxa"/>
          </w:tcPr>
          <w:p>
            <w:pPr>
              <w:pStyle w:val="0"/>
            </w:pPr>
            <w:r>
              <w:rPr>
                <w:sz w:val="20"/>
              </w:rPr>
              <w:t xml:space="preserve">до 31 декабря 2023 года,</w:t>
            </w:r>
          </w:p>
          <w:p>
            <w:pPr>
              <w:pStyle w:val="0"/>
            </w:pPr>
            <w:r>
              <w:rPr>
                <w:sz w:val="20"/>
              </w:rPr>
              <w:t xml:space="preserve">до 31 декабря 2024 года</w:t>
            </w:r>
          </w:p>
        </w:tc>
        <w:tc>
          <w:tcPr>
            <w:tcW w:w="2194" w:type="dxa"/>
          </w:tcPr>
          <w:p>
            <w:pPr>
              <w:pStyle w:val="0"/>
            </w:pPr>
            <w:r>
              <w:rPr>
                <w:sz w:val="20"/>
              </w:rPr>
              <w:t xml:space="preserve">выявление детей, привитых против полиомиелита или не завершивших курс иммунизации в соответствии с национальным календарем профилактических прививок</w:t>
            </w:r>
          </w:p>
        </w:tc>
        <w:tc>
          <w:tcPr>
            <w:tcW w:w="2044" w:type="dxa"/>
          </w:tcPr>
          <w:p>
            <w:pPr>
              <w:pStyle w:val="0"/>
            </w:pPr>
            <w:r>
              <w:rPr>
                <w:sz w:val="20"/>
              </w:rPr>
              <w:t xml:space="preserve">доля детей, не привитых против полиомиелита в соответствии с национальным календарем профилактических прививок</w:t>
            </w:r>
          </w:p>
        </w:tc>
        <w:tc>
          <w:tcPr>
            <w:tcW w:w="1204" w:type="dxa"/>
          </w:tcPr>
          <w:p>
            <w:pPr>
              <w:pStyle w:val="0"/>
            </w:pPr>
            <w:r>
              <w:rPr>
                <w:sz w:val="20"/>
              </w:rPr>
              <w:t xml:space="preserve">%</w:t>
            </w:r>
          </w:p>
        </w:tc>
        <w:tc>
          <w:tcPr>
            <w:tcW w:w="604" w:type="dxa"/>
          </w:tcPr>
          <w:p>
            <w:pPr>
              <w:pStyle w:val="0"/>
            </w:pPr>
            <w:r>
              <w:rPr>
                <w:sz w:val="20"/>
              </w:rPr>
              <w:t xml:space="preserve">4</w:t>
            </w:r>
          </w:p>
        </w:tc>
        <w:tc>
          <w:tcPr>
            <w:tcW w:w="604" w:type="dxa"/>
          </w:tcPr>
          <w:p>
            <w:pPr>
              <w:pStyle w:val="0"/>
            </w:pPr>
            <w:r>
              <w:rPr>
                <w:sz w:val="20"/>
              </w:rPr>
              <w:t xml:space="preserve">3</w:t>
            </w:r>
          </w:p>
        </w:tc>
      </w:tr>
      <w:tr>
        <w:tc>
          <w:tcPr>
            <w:tcW w:w="454" w:type="dxa"/>
          </w:tcPr>
          <w:p>
            <w:pPr>
              <w:pStyle w:val="0"/>
            </w:pPr>
            <w:r>
              <w:rPr>
                <w:sz w:val="20"/>
              </w:rPr>
              <w:t xml:space="preserve">2.</w:t>
            </w:r>
          </w:p>
        </w:tc>
        <w:tc>
          <w:tcPr>
            <w:tcW w:w="2254" w:type="dxa"/>
          </w:tcPr>
          <w:p>
            <w:pPr>
              <w:pStyle w:val="0"/>
            </w:pPr>
            <w:r>
              <w:rPr>
                <w:sz w:val="20"/>
              </w:rPr>
              <w:t xml:space="preserve">Регистрация заболеваний у детей в возрасте до 15 лет, клинически схожих с полиомиелитом</w:t>
            </w:r>
          </w:p>
        </w:tc>
        <w:tc>
          <w:tcPr>
            <w:tcW w:w="2254"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c>
          <w:tcPr>
            <w:tcW w:w="1309" w:type="dxa"/>
          </w:tcPr>
          <w:p>
            <w:pPr>
              <w:pStyle w:val="0"/>
            </w:pPr>
            <w:r>
              <w:rPr>
                <w:sz w:val="20"/>
              </w:rPr>
              <w:t xml:space="preserve">до 31 декабря 2023 года,</w:t>
            </w:r>
          </w:p>
          <w:p>
            <w:pPr>
              <w:pStyle w:val="0"/>
            </w:pPr>
            <w:r>
              <w:rPr>
                <w:sz w:val="20"/>
              </w:rPr>
              <w:t xml:space="preserve">до 31 декабря 2024 года</w:t>
            </w:r>
          </w:p>
        </w:tc>
        <w:tc>
          <w:tcPr>
            <w:tcW w:w="2194" w:type="dxa"/>
          </w:tcPr>
          <w:p>
            <w:pPr>
              <w:pStyle w:val="0"/>
            </w:pPr>
            <w:r>
              <w:rPr>
                <w:sz w:val="20"/>
              </w:rPr>
              <w:t xml:space="preserve">предотвращение появления и распространения полиомиелита у детей, снижение числа заболевших полиомиелитом</w:t>
            </w:r>
          </w:p>
        </w:tc>
        <w:tc>
          <w:tcPr>
            <w:tcW w:w="2044" w:type="dxa"/>
          </w:tcPr>
          <w:p>
            <w:pPr>
              <w:pStyle w:val="0"/>
            </w:pPr>
            <w:r>
              <w:rPr>
                <w:sz w:val="20"/>
              </w:rPr>
              <w:t xml:space="preserve">число детей с заболеваниями, клинически схожими с полиомиелитом</w:t>
            </w:r>
          </w:p>
        </w:tc>
        <w:tc>
          <w:tcPr>
            <w:tcW w:w="1204" w:type="dxa"/>
          </w:tcPr>
          <w:p>
            <w:pPr>
              <w:pStyle w:val="0"/>
            </w:pPr>
            <w:r>
              <w:rPr>
                <w:sz w:val="20"/>
              </w:rPr>
              <w:t xml:space="preserve">на 100 тысяч детей до 15 лет</w:t>
            </w:r>
          </w:p>
        </w:tc>
        <w:tc>
          <w:tcPr>
            <w:tcW w:w="604" w:type="dxa"/>
          </w:tcPr>
          <w:p>
            <w:pPr>
              <w:pStyle w:val="0"/>
            </w:pPr>
            <w:r>
              <w:rPr>
                <w:sz w:val="20"/>
              </w:rPr>
              <w:t xml:space="preserve">5</w:t>
            </w:r>
          </w:p>
        </w:tc>
        <w:tc>
          <w:tcPr>
            <w:tcW w:w="604" w:type="dxa"/>
          </w:tcPr>
          <w:p>
            <w:pPr>
              <w:pStyle w:val="0"/>
            </w:pPr>
            <w:r>
              <w:rPr>
                <w:sz w:val="20"/>
              </w:rPr>
              <w:t xml:space="preserve">6</w:t>
            </w:r>
          </w:p>
        </w:tc>
      </w:tr>
      <w:tr>
        <w:tc>
          <w:tcPr>
            <w:tcW w:w="454" w:type="dxa"/>
          </w:tcPr>
          <w:p>
            <w:pPr>
              <w:pStyle w:val="0"/>
            </w:pPr>
            <w:r>
              <w:rPr>
                <w:sz w:val="20"/>
              </w:rPr>
              <w:t xml:space="preserve">3.</w:t>
            </w:r>
          </w:p>
        </w:tc>
        <w:tc>
          <w:tcPr>
            <w:tcW w:w="2254" w:type="dxa"/>
          </w:tcPr>
          <w:p>
            <w:pPr>
              <w:pStyle w:val="0"/>
            </w:pPr>
            <w:r>
              <w:rPr>
                <w:sz w:val="20"/>
              </w:rPr>
              <w:t xml:space="preserve">Коллегиальный пересмотр медицинских противопоказаний, медицинских отводов к вакцинации против полиомиелита на заседаниях иммунологических комиссий</w:t>
            </w:r>
          </w:p>
        </w:tc>
        <w:tc>
          <w:tcPr>
            <w:tcW w:w="2254" w:type="dxa"/>
          </w:tcPr>
          <w:p>
            <w:pPr>
              <w:pStyle w:val="0"/>
            </w:pPr>
            <w:r>
              <w:rPr>
                <w:sz w:val="20"/>
              </w:rPr>
              <w:t xml:space="preserve">Департамент здравоохранения автономного округа,</w:t>
            </w:r>
          </w:p>
          <w:p>
            <w:pPr>
              <w:pStyle w:val="0"/>
            </w:pPr>
            <w:r>
              <w:rPr>
                <w:sz w:val="20"/>
              </w:rPr>
              <w:t xml:space="preserve">медицинские организации автономного округа (по согласованию)</w:t>
            </w:r>
          </w:p>
        </w:tc>
        <w:tc>
          <w:tcPr>
            <w:tcW w:w="1309" w:type="dxa"/>
          </w:tcPr>
          <w:p>
            <w:pPr>
              <w:pStyle w:val="0"/>
            </w:pPr>
            <w:r>
              <w:rPr>
                <w:sz w:val="20"/>
              </w:rPr>
              <w:t xml:space="preserve">до 31 декабря 2023 года,</w:t>
            </w:r>
          </w:p>
          <w:p>
            <w:pPr>
              <w:pStyle w:val="0"/>
            </w:pPr>
            <w:r>
              <w:rPr>
                <w:sz w:val="20"/>
              </w:rPr>
              <w:t xml:space="preserve">до 31 декабря 2024 года</w:t>
            </w:r>
          </w:p>
        </w:tc>
        <w:tc>
          <w:tcPr>
            <w:tcW w:w="2194" w:type="dxa"/>
          </w:tcPr>
          <w:p>
            <w:pPr>
              <w:pStyle w:val="0"/>
            </w:pPr>
            <w:r>
              <w:rPr>
                <w:sz w:val="20"/>
              </w:rPr>
              <w:t xml:space="preserve">снятие необоснованных медицинских отводов, пересмотр медицинских противопоказаний от вакцинации против полиомиелита</w:t>
            </w:r>
          </w:p>
        </w:tc>
        <w:tc>
          <w:tcPr>
            <w:tcW w:w="2044" w:type="dxa"/>
          </w:tcPr>
          <w:p>
            <w:pPr>
              <w:pStyle w:val="0"/>
            </w:pPr>
            <w:r>
              <w:rPr>
                <w:sz w:val="20"/>
              </w:rPr>
              <w:t xml:space="preserve">доля детей, привитых против полиомиелита после пересмотра медицинских отводов и противопоказаний</w:t>
            </w:r>
          </w:p>
        </w:tc>
        <w:tc>
          <w:tcPr>
            <w:tcW w:w="1204" w:type="dxa"/>
          </w:tcPr>
          <w:p>
            <w:pPr>
              <w:pStyle w:val="0"/>
            </w:pPr>
            <w:r>
              <w:rPr>
                <w:sz w:val="20"/>
              </w:rPr>
              <w:t xml:space="preserve">%</w:t>
            </w:r>
          </w:p>
        </w:tc>
        <w:tc>
          <w:tcPr>
            <w:tcW w:w="604" w:type="dxa"/>
          </w:tcPr>
          <w:p>
            <w:pPr>
              <w:pStyle w:val="0"/>
            </w:pPr>
            <w:r>
              <w:rPr>
                <w:sz w:val="20"/>
              </w:rPr>
              <w:t xml:space="preserve">96</w:t>
            </w:r>
          </w:p>
        </w:tc>
        <w:tc>
          <w:tcPr>
            <w:tcW w:w="604" w:type="dxa"/>
          </w:tcPr>
          <w:p>
            <w:pPr>
              <w:pStyle w:val="0"/>
            </w:pPr>
            <w:r>
              <w:rPr>
                <w:sz w:val="20"/>
              </w:rPr>
              <w:t xml:space="preserve">97</w:t>
            </w:r>
          </w:p>
        </w:tc>
      </w:tr>
      <w:tr>
        <w:tc>
          <w:tcPr>
            <w:tcW w:w="454" w:type="dxa"/>
          </w:tcPr>
          <w:p>
            <w:pPr>
              <w:pStyle w:val="0"/>
            </w:pPr>
            <w:r>
              <w:rPr>
                <w:sz w:val="20"/>
              </w:rPr>
              <w:t xml:space="preserve">4.</w:t>
            </w:r>
          </w:p>
        </w:tc>
        <w:tc>
          <w:tcPr>
            <w:tcW w:w="2254" w:type="dxa"/>
          </w:tcPr>
          <w:p>
            <w:pPr>
              <w:pStyle w:val="0"/>
            </w:pPr>
            <w:r>
              <w:rPr>
                <w:sz w:val="20"/>
              </w:rPr>
              <w:t xml:space="preserve">Вирусологическое обследование на полиовирусы детей групп риска, здоровых детей по эпидемическим показаниям</w:t>
            </w:r>
          </w:p>
        </w:tc>
        <w:tc>
          <w:tcPr>
            <w:tcW w:w="2254" w:type="dxa"/>
          </w:tcPr>
          <w:p>
            <w:pPr>
              <w:pStyle w:val="0"/>
            </w:pPr>
            <w:r>
              <w:rPr>
                <w:sz w:val="20"/>
              </w:rPr>
              <w:t xml:space="preserve">Департамент здравоохранения автономного округа, медицинские организации автономного округа (по согласованию)</w:t>
            </w:r>
          </w:p>
        </w:tc>
        <w:tc>
          <w:tcPr>
            <w:tcW w:w="1309" w:type="dxa"/>
          </w:tcPr>
          <w:p>
            <w:pPr>
              <w:pStyle w:val="0"/>
            </w:pPr>
            <w:r>
              <w:rPr>
                <w:sz w:val="20"/>
              </w:rPr>
              <w:t xml:space="preserve">до 31 декабря 2023 года,</w:t>
            </w:r>
          </w:p>
          <w:p>
            <w:pPr>
              <w:pStyle w:val="0"/>
            </w:pPr>
            <w:r>
              <w:rPr>
                <w:sz w:val="20"/>
              </w:rPr>
              <w:t xml:space="preserve">до 31 декабря 2024 года</w:t>
            </w:r>
          </w:p>
        </w:tc>
        <w:tc>
          <w:tcPr>
            <w:tcW w:w="2194" w:type="dxa"/>
          </w:tcPr>
          <w:p>
            <w:pPr>
              <w:pStyle w:val="0"/>
            </w:pPr>
            <w:r>
              <w:rPr>
                <w:sz w:val="20"/>
              </w:rPr>
              <w:t xml:space="preserve">раннее выявление детей, выделяющих эпидемически значимые вирусы полиомиелита, снижение роста заболеваемости</w:t>
            </w:r>
          </w:p>
        </w:tc>
        <w:tc>
          <w:tcPr>
            <w:tcW w:w="2044" w:type="dxa"/>
          </w:tcPr>
          <w:p>
            <w:pPr>
              <w:pStyle w:val="0"/>
            </w:pPr>
            <w:r>
              <w:rPr>
                <w:sz w:val="20"/>
              </w:rPr>
              <w:t xml:space="preserve">доля детей, обследованных на полиомиелит</w:t>
            </w:r>
          </w:p>
        </w:tc>
        <w:tc>
          <w:tcPr>
            <w:tcW w:w="1204" w:type="dxa"/>
          </w:tcPr>
          <w:p>
            <w:pPr>
              <w:pStyle w:val="0"/>
            </w:pPr>
            <w:r>
              <w:rPr>
                <w:sz w:val="20"/>
              </w:rPr>
              <w:t xml:space="preserve">%</w:t>
            </w:r>
          </w:p>
        </w:tc>
        <w:tc>
          <w:tcPr>
            <w:tcW w:w="604" w:type="dxa"/>
          </w:tcPr>
          <w:p>
            <w:pPr>
              <w:pStyle w:val="0"/>
            </w:pPr>
            <w:r>
              <w:rPr>
                <w:sz w:val="20"/>
              </w:rPr>
              <w:t xml:space="preserve">96</w:t>
            </w:r>
          </w:p>
        </w:tc>
        <w:tc>
          <w:tcPr>
            <w:tcW w:w="604" w:type="dxa"/>
          </w:tcPr>
          <w:p>
            <w:pPr>
              <w:pStyle w:val="0"/>
            </w:pPr>
            <w:r>
              <w:rPr>
                <w:sz w:val="20"/>
              </w:rPr>
              <w:t xml:space="preserve">97</w:t>
            </w:r>
          </w:p>
        </w:tc>
      </w:tr>
      <w:tr>
        <w:tc>
          <w:tcPr>
            <w:tcW w:w="454" w:type="dxa"/>
          </w:tcPr>
          <w:p>
            <w:pPr>
              <w:pStyle w:val="0"/>
            </w:pPr>
            <w:r>
              <w:rPr>
                <w:sz w:val="20"/>
              </w:rPr>
              <w:t xml:space="preserve">5.</w:t>
            </w:r>
          </w:p>
        </w:tc>
        <w:tc>
          <w:tcPr>
            <w:tcW w:w="2254" w:type="dxa"/>
          </w:tcPr>
          <w:p>
            <w:pPr>
              <w:pStyle w:val="0"/>
            </w:pPr>
            <w:r>
              <w:rPr>
                <w:sz w:val="20"/>
              </w:rPr>
              <w:t xml:space="preserve">Иммунизация детей, не привитых против полиомиелита, в соответствии с национальным календарем профилактических прививок</w:t>
            </w:r>
          </w:p>
        </w:tc>
        <w:tc>
          <w:tcPr>
            <w:tcW w:w="2254" w:type="dxa"/>
          </w:tcPr>
          <w:p>
            <w:pPr>
              <w:pStyle w:val="0"/>
            </w:pPr>
            <w:r>
              <w:rPr>
                <w:sz w:val="20"/>
              </w:rPr>
              <w:t xml:space="preserve">Департамент здравоохранения автономного округа,</w:t>
            </w:r>
          </w:p>
          <w:p>
            <w:pPr>
              <w:pStyle w:val="0"/>
            </w:pPr>
            <w:r>
              <w:rPr>
                <w:sz w:val="20"/>
              </w:rPr>
              <w:t xml:space="preserve">медицинские организации автономного округа (по согласованию)</w:t>
            </w:r>
          </w:p>
        </w:tc>
        <w:tc>
          <w:tcPr>
            <w:tcW w:w="1309" w:type="dxa"/>
          </w:tcPr>
          <w:p>
            <w:pPr>
              <w:pStyle w:val="0"/>
            </w:pPr>
            <w:r>
              <w:rPr>
                <w:sz w:val="20"/>
              </w:rPr>
              <w:t xml:space="preserve">до 31 декабря 2023 года,</w:t>
            </w:r>
          </w:p>
          <w:p>
            <w:pPr>
              <w:pStyle w:val="0"/>
            </w:pPr>
            <w:r>
              <w:rPr>
                <w:sz w:val="20"/>
              </w:rPr>
              <w:t xml:space="preserve">до 31 декабря 2024 года</w:t>
            </w:r>
          </w:p>
        </w:tc>
        <w:tc>
          <w:tcPr>
            <w:tcW w:w="2194" w:type="dxa"/>
          </w:tcPr>
          <w:p>
            <w:pPr>
              <w:pStyle w:val="0"/>
            </w:pPr>
            <w:r>
              <w:rPr>
                <w:sz w:val="20"/>
              </w:rPr>
              <w:t xml:space="preserve">достижение нормируемого уровня документированной привитости против полиомиелита, рекомендованного всемирной организацией здравоохранения</w:t>
            </w:r>
          </w:p>
        </w:tc>
        <w:tc>
          <w:tcPr>
            <w:tcW w:w="2044" w:type="dxa"/>
          </w:tcPr>
          <w:p>
            <w:pPr>
              <w:pStyle w:val="0"/>
            </w:pPr>
            <w:r>
              <w:rPr>
                <w:sz w:val="20"/>
              </w:rPr>
              <w:t xml:space="preserve">иммунизация детей, привитых против полиомиелита, в соответствии с национальным календарем профилактических прививок</w:t>
            </w:r>
          </w:p>
        </w:tc>
        <w:tc>
          <w:tcPr>
            <w:tcW w:w="1204" w:type="dxa"/>
          </w:tcPr>
          <w:p>
            <w:pPr>
              <w:pStyle w:val="0"/>
            </w:pPr>
            <w:r>
              <w:rPr>
                <w:sz w:val="20"/>
              </w:rPr>
              <w:t xml:space="preserve">%</w:t>
            </w:r>
          </w:p>
        </w:tc>
        <w:tc>
          <w:tcPr>
            <w:tcW w:w="604" w:type="dxa"/>
          </w:tcPr>
          <w:p>
            <w:pPr>
              <w:pStyle w:val="0"/>
            </w:pPr>
            <w:r>
              <w:rPr>
                <w:sz w:val="20"/>
              </w:rPr>
              <w:t xml:space="preserve">96</w:t>
            </w:r>
          </w:p>
        </w:tc>
        <w:tc>
          <w:tcPr>
            <w:tcW w:w="604" w:type="dxa"/>
          </w:tcPr>
          <w:p>
            <w:pPr>
              <w:pStyle w:val="0"/>
            </w:pPr>
            <w:r>
              <w:rPr>
                <w:sz w:val="20"/>
              </w:rPr>
              <w:t xml:space="preserve">97</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16</w:t>
      </w:r>
    </w:p>
    <w:p>
      <w:pPr>
        <w:pStyle w:val="0"/>
        <w:jc w:val="right"/>
      </w:pPr>
      <w:r>
        <w:rPr>
          <w:sz w:val="20"/>
        </w:rPr>
        <w:t xml:space="preserve">к постановлению Правительства</w:t>
      </w:r>
    </w:p>
    <w:p>
      <w:pPr>
        <w:pStyle w:val="0"/>
        <w:jc w:val="right"/>
      </w:pPr>
      <w:r>
        <w:rPr>
          <w:sz w:val="20"/>
        </w:rPr>
        <w:t xml:space="preserve">Ханты-Мансийского</w:t>
      </w:r>
    </w:p>
    <w:p>
      <w:pPr>
        <w:pStyle w:val="0"/>
        <w:jc w:val="right"/>
      </w:pPr>
      <w:r>
        <w:rPr>
          <w:sz w:val="20"/>
        </w:rPr>
        <w:t xml:space="preserve">автономного округа - Югры</w:t>
      </w:r>
    </w:p>
    <w:p>
      <w:pPr>
        <w:pStyle w:val="0"/>
        <w:jc w:val="right"/>
      </w:pPr>
      <w:r>
        <w:rPr>
          <w:sz w:val="20"/>
        </w:rPr>
        <w:t xml:space="preserve">от 27 декабря 2021 года N 594-п</w:t>
      </w:r>
    </w:p>
    <w:p>
      <w:pPr>
        <w:pStyle w:val="0"/>
        <w:jc w:val="right"/>
      </w:pPr>
      <w:r>
        <w:rPr>
          <w:sz w:val="20"/>
        </w:rPr>
      </w:r>
    </w:p>
    <w:bookmarkStart w:id="30933" w:name="P30933"/>
    <w:bookmarkEnd w:id="30933"/>
    <w:p>
      <w:pPr>
        <w:pStyle w:val="2"/>
        <w:jc w:val="center"/>
      </w:pPr>
      <w:r>
        <w:rPr>
          <w:sz w:val="20"/>
        </w:rPr>
        <w:t xml:space="preserve">МЕЖВЕДОМСТВЕННАЯ ПРОГРАММА</w:t>
      </w:r>
    </w:p>
    <w:p>
      <w:pPr>
        <w:pStyle w:val="2"/>
        <w:jc w:val="center"/>
      </w:pPr>
      <w:r>
        <w:rPr>
          <w:sz w:val="20"/>
        </w:rPr>
        <w:t xml:space="preserve">ХАНТЫ-МАНСИЙСКОГО АВТОНОМНОГО ОКРУГА - ЮГРЫ, НАПРАВЛЕННАЯ</w:t>
      </w:r>
    </w:p>
    <w:p>
      <w:pPr>
        <w:pStyle w:val="2"/>
        <w:jc w:val="center"/>
      </w:pPr>
      <w:r>
        <w:rPr>
          <w:sz w:val="20"/>
        </w:rPr>
        <w:t xml:space="preserve">НА СНИЖЕНИЕ МЛАДЕНЧЕСКОЙ И ДЕТСКОЙ СМЕРТНОСТИ ОТ ВНЕШНИХ</w:t>
      </w:r>
    </w:p>
    <w:p>
      <w:pPr>
        <w:pStyle w:val="2"/>
        <w:jc w:val="center"/>
      </w:pPr>
      <w:r>
        <w:rPr>
          <w:sz w:val="20"/>
        </w:rPr>
        <w:t xml:space="preserve">ПРИЧИН (ДАЛЕЕ - ПРОГРАММА)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(введена </w:t>
            </w:r>
            <w:hyperlink w:history="0" r:id="rId262" w:tooltip="Постановление Правительства ХМАО - Югры от 20.10.2023 N 516-п &quot;О внесении изменений в постановление Правительства Ханты-Мансийского автономного округа - Югры от 27 декабря 2021 года N 594-п &quot;О мерах по реализации государственной программы Ханты-Мансийского автономного округа - Югры &quot;Современное здравоохранение&quot; {КонсультантПлюс}">
              <w:r>
                <w:rPr>
                  <w:sz w:val="20"/>
                  <w:color w:val="0000ff"/>
                </w:rPr>
                <w:t xml:space="preserve">постановлением</w:t>
              </w:r>
            </w:hyperlink>
            <w:r>
              <w:rPr>
                <w:sz w:val="20"/>
                <w:color w:val="392c69"/>
              </w:rPr>
              <w:t xml:space="preserve"> Правительства ХМАО - Югры от 20.10.2023 N 516-п)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2"/>
        <w:outlineLvl w:val="1"/>
        <w:jc w:val="center"/>
      </w:pPr>
      <w:r>
        <w:rPr>
          <w:sz w:val="20"/>
        </w:rPr>
        <w:t xml:space="preserve">Раздел I. ВВЕДЕНИЕ</w:t>
      </w:r>
    </w:p>
    <w:p>
      <w:pPr>
        <w:pStyle w:val="0"/>
        <w:ind w:firstLine="540"/>
        <w:jc w:val="both"/>
      </w:pPr>
      <w:r>
        <w:rPr>
          <w:sz w:val="20"/>
        </w:rPr>
      </w:r>
    </w:p>
    <w:p>
      <w:pPr>
        <w:pStyle w:val="0"/>
        <w:ind w:firstLine="540"/>
        <w:jc w:val="both"/>
      </w:pPr>
      <w:r>
        <w:rPr>
          <w:sz w:val="20"/>
        </w:rPr>
        <w:t xml:space="preserve">Программа предусматривает реализацию мероприятий по работе с несовершеннолетними, их родителями (законными представителями), информирование их о рисках смертности несовершеннолетних от внешних причин, по профилактике жестокого обращения с несовершеннолетними и работе с семьями социального риска, по осуществлению межведомственного взаимодействия органов системы профилактики безнадзорности и правонарушений несовершеннолетних.</w:t>
      </w:r>
    </w:p>
    <w:p>
      <w:pPr>
        <w:pStyle w:val="0"/>
        <w:spacing w:before="200" w:line-rule="auto"/>
        <w:ind w:firstLine="540"/>
        <w:jc w:val="both"/>
      </w:pPr>
      <w:r>
        <w:rPr>
          <w:sz w:val="20"/>
        </w:rPr>
        <w:t xml:space="preserve">Программа направлена на снижение младенческой смертности в автономном округе до 3,7%, смертности детей в возрасте 0 - 4 года на 1000 родившихся живыми до 4,0%, смертности детей в возрасте 0 - 17 лет на 100 000 детей соответствующего возраста до 39,0 на 100 000 детей соответствующего возраста к 2026 году.</w:t>
      </w:r>
    </w:p>
    <w:p>
      <w:pPr>
        <w:pStyle w:val="0"/>
        <w:spacing w:before="200" w:line-rule="auto"/>
        <w:ind w:firstLine="540"/>
        <w:jc w:val="both"/>
      </w:pPr>
      <w:r>
        <w:rPr>
          <w:sz w:val="20"/>
        </w:rPr>
        <w:t xml:space="preserve">Ответственным исполнителем Программы является Департамент здравоохранения Ханты-Мансийского автономного округа - Югры (далее также - автономный округ).</w:t>
      </w:r>
    </w:p>
    <w:p>
      <w:pPr>
        <w:pStyle w:val="0"/>
        <w:spacing w:before="200" w:line-rule="auto"/>
        <w:ind w:firstLine="540"/>
        <w:jc w:val="both"/>
      </w:pPr>
      <w:r>
        <w:rPr>
          <w:sz w:val="20"/>
        </w:rPr>
        <w:t xml:space="preserve">Соисполнителями Программы являются:</w:t>
      </w:r>
    </w:p>
    <w:p>
      <w:pPr>
        <w:pStyle w:val="0"/>
        <w:spacing w:before="200" w:line-rule="auto"/>
        <w:ind w:firstLine="540"/>
        <w:jc w:val="both"/>
      </w:pPr>
      <w:r>
        <w:rPr>
          <w:sz w:val="20"/>
        </w:rPr>
        <w:t xml:space="preserve">Департамент социального развития автономного округа;</w:t>
      </w:r>
    </w:p>
    <w:p>
      <w:pPr>
        <w:pStyle w:val="0"/>
        <w:spacing w:before="200" w:line-rule="auto"/>
        <w:ind w:firstLine="540"/>
        <w:jc w:val="both"/>
      </w:pPr>
      <w:r>
        <w:rPr>
          <w:sz w:val="20"/>
        </w:rPr>
        <w:t xml:space="preserve">Департамент образования и науки автономного округа;</w:t>
      </w:r>
    </w:p>
    <w:p>
      <w:pPr>
        <w:pStyle w:val="0"/>
        <w:spacing w:before="200" w:line-rule="auto"/>
        <w:ind w:firstLine="540"/>
        <w:jc w:val="both"/>
      </w:pPr>
      <w:r>
        <w:rPr>
          <w:sz w:val="20"/>
        </w:rPr>
        <w:t xml:space="preserve">Департамент физической культуры и спорта автономного округа;</w:t>
      </w:r>
    </w:p>
    <w:p>
      <w:pPr>
        <w:pStyle w:val="0"/>
        <w:spacing w:before="200" w:line-rule="auto"/>
        <w:ind w:firstLine="540"/>
        <w:jc w:val="both"/>
      </w:pPr>
      <w:r>
        <w:rPr>
          <w:sz w:val="20"/>
        </w:rPr>
        <w:t xml:space="preserve">Департамент культуры автономного округа;</w:t>
      </w:r>
    </w:p>
    <w:p>
      <w:pPr>
        <w:pStyle w:val="0"/>
        <w:spacing w:before="200" w:line-rule="auto"/>
        <w:ind w:firstLine="540"/>
        <w:jc w:val="both"/>
      </w:pPr>
      <w:r>
        <w:rPr>
          <w:sz w:val="20"/>
        </w:rPr>
        <w:t xml:space="preserve">Департамент молодежной политики, гражданских инициатив и внешних связей автономного округа;</w:t>
      </w:r>
    </w:p>
    <w:p>
      <w:pPr>
        <w:pStyle w:val="0"/>
        <w:spacing w:before="200" w:line-rule="auto"/>
        <w:ind w:firstLine="540"/>
        <w:jc w:val="both"/>
      </w:pPr>
      <w:r>
        <w:rPr>
          <w:sz w:val="20"/>
        </w:rPr>
        <w:t xml:space="preserve">Департамент труда и занятости населения автономного округа;</w:t>
      </w:r>
    </w:p>
    <w:p>
      <w:pPr>
        <w:pStyle w:val="0"/>
        <w:spacing w:before="200" w:line-rule="auto"/>
        <w:ind w:firstLine="540"/>
        <w:jc w:val="both"/>
      </w:pPr>
      <w:r>
        <w:rPr>
          <w:sz w:val="20"/>
        </w:rPr>
        <w:t xml:space="preserve">Департамент региональной безопасности автономного округа;</w:t>
      </w:r>
    </w:p>
    <w:p>
      <w:pPr>
        <w:pStyle w:val="0"/>
        <w:spacing w:before="200" w:line-rule="auto"/>
        <w:ind w:firstLine="540"/>
        <w:jc w:val="both"/>
      </w:pPr>
      <w:r>
        <w:rPr>
          <w:sz w:val="20"/>
        </w:rPr>
        <w:t xml:space="preserve">Комиссия по делам несовершеннолетних и защите их прав при Правительстве автономного округа;</w:t>
      </w:r>
    </w:p>
    <w:p>
      <w:pPr>
        <w:pStyle w:val="0"/>
        <w:spacing w:before="200" w:line-rule="auto"/>
        <w:ind w:firstLine="540"/>
        <w:jc w:val="both"/>
      </w:pPr>
      <w:r>
        <w:rPr>
          <w:sz w:val="20"/>
        </w:rPr>
        <w:t xml:space="preserve">Управление Министерства внутренних дел Российской Федерации по автономному округу (далее - УГИБДД УМВД России по автономному округу) (по согласованию);</w:t>
      </w:r>
    </w:p>
    <w:p>
      <w:pPr>
        <w:pStyle w:val="0"/>
        <w:spacing w:before="200" w:line-rule="auto"/>
        <w:ind w:firstLine="540"/>
        <w:jc w:val="both"/>
      </w:pPr>
      <w:r>
        <w:rPr>
          <w:sz w:val="20"/>
        </w:rPr>
        <w:t xml:space="preserve">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автономному округу (далее - Главное управление МЧС России по автономному округу) (по согласованию).</w:t>
      </w:r>
    </w:p>
    <w:p>
      <w:pPr>
        <w:pStyle w:val="0"/>
        <w:ind w:firstLine="540"/>
        <w:jc w:val="both"/>
      </w:pPr>
      <w:r>
        <w:rPr>
          <w:sz w:val="20"/>
        </w:rPr>
      </w:r>
    </w:p>
    <w:p>
      <w:pPr>
        <w:pStyle w:val="2"/>
        <w:outlineLvl w:val="1"/>
        <w:jc w:val="center"/>
      </w:pPr>
      <w:r>
        <w:rPr>
          <w:sz w:val="20"/>
        </w:rPr>
        <w:t xml:space="preserve">Раздел II. АНАЛИЗ ТЕКУЩЕГО СОСТОЯНИЯ ДЕТСКОЙ СМЕРТНОСТИ,</w:t>
      </w:r>
    </w:p>
    <w:p>
      <w:pPr>
        <w:pStyle w:val="2"/>
        <w:jc w:val="center"/>
      </w:pPr>
      <w:r>
        <w:rPr>
          <w:sz w:val="20"/>
        </w:rPr>
        <w:t xml:space="preserve">В ТОМ ЧИСЛЕ ОТ ВНЕШНИХ ПРИЧИН, В АВТОНОМНОМ ОКРУГЕ</w:t>
      </w:r>
    </w:p>
    <w:p>
      <w:pPr>
        <w:pStyle w:val="0"/>
        <w:ind w:firstLine="540"/>
        <w:jc w:val="both"/>
      </w:pPr>
      <w:r>
        <w:rPr>
          <w:sz w:val="20"/>
        </w:rPr>
      </w:r>
    </w:p>
    <w:p>
      <w:pPr>
        <w:pStyle w:val="2"/>
        <w:outlineLvl w:val="2"/>
        <w:jc w:val="center"/>
      </w:pPr>
      <w:r>
        <w:rPr>
          <w:sz w:val="20"/>
        </w:rPr>
        <w:t xml:space="preserve">2.1. Краткая характеристика автономного округа</w:t>
      </w:r>
    </w:p>
    <w:p>
      <w:pPr>
        <w:pStyle w:val="0"/>
        <w:ind w:firstLine="540"/>
        <w:jc w:val="both"/>
      </w:pPr>
      <w:r>
        <w:rPr>
          <w:sz w:val="20"/>
        </w:rPr>
      </w:r>
    </w:p>
    <w:p>
      <w:pPr>
        <w:pStyle w:val="0"/>
        <w:ind w:firstLine="540"/>
        <w:jc w:val="both"/>
      </w:pPr>
      <w:r>
        <w:rPr>
          <w:sz w:val="20"/>
        </w:rPr>
        <w:t xml:space="preserve">Ханты-Мансийский автономный округ - Югра входит в состав Уральского федерального округа и располагается в центральной части Западной Сибири. Площадь автономного округа составляет 534,8 тыс. кв. км.</w:t>
      </w:r>
    </w:p>
    <w:p>
      <w:pPr>
        <w:pStyle w:val="0"/>
        <w:spacing w:before="200" w:line-rule="auto"/>
        <w:ind w:firstLine="540"/>
        <w:jc w:val="both"/>
      </w:pPr>
      <w:r>
        <w:rPr>
          <w:sz w:val="20"/>
        </w:rPr>
        <w:t xml:space="preserve">Автономный округ является одним из устойчивых лидеров (5-е место) среди субъектов Российской Федерации по ключевым параметрам социально-экономического развития.</w:t>
      </w:r>
    </w:p>
    <w:p>
      <w:pPr>
        <w:pStyle w:val="0"/>
        <w:spacing w:before="200" w:line-rule="auto"/>
        <w:ind w:firstLine="540"/>
        <w:jc w:val="both"/>
      </w:pPr>
      <w:r>
        <w:rPr>
          <w:sz w:val="20"/>
        </w:rPr>
        <w:t xml:space="preserve">В автономном округе создано 105 муниципальных образований (9 муниципальных районов, 13 городских округов, 26 городских и 57 сельских поселений) и расположено 193 населенных пункта: 16 городов (из них 14 наделены статусом "город окружного значения"), 24 поселка городского типа, 57 поселков, 45 сел и 51 деревня. Административный центр автономного округа - город Ханты-Мансийск.</w:t>
      </w:r>
    </w:p>
    <w:p>
      <w:pPr>
        <w:pStyle w:val="0"/>
        <w:spacing w:before="200" w:line-rule="auto"/>
        <w:ind w:firstLine="540"/>
        <w:jc w:val="both"/>
      </w:pPr>
      <w:r>
        <w:rPr>
          <w:sz w:val="20"/>
        </w:rPr>
        <w:t xml:space="preserve">Плотность населения составляет 3,16 человек на 1 кв. км, 7 районов автономного округа относятся к труднодоступным территориям. Данный факт обуславливает географические сложности оказания медицинской помощи жителям отдаленных территорий.</w:t>
      </w:r>
    </w:p>
    <w:p>
      <w:pPr>
        <w:pStyle w:val="0"/>
        <w:ind w:firstLine="540"/>
        <w:jc w:val="both"/>
      </w:pPr>
      <w:r>
        <w:rPr>
          <w:sz w:val="20"/>
        </w:rPr>
      </w:r>
    </w:p>
    <w:p>
      <w:pPr>
        <w:pStyle w:val="2"/>
        <w:outlineLvl w:val="2"/>
        <w:jc w:val="center"/>
      </w:pPr>
      <w:r>
        <w:rPr>
          <w:sz w:val="20"/>
        </w:rPr>
        <w:t xml:space="preserve">2.2. Анализ основных демографических показателей</w:t>
      </w:r>
    </w:p>
    <w:p>
      <w:pPr>
        <w:pStyle w:val="2"/>
        <w:jc w:val="center"/>
      </w:pPr>
      <w:r>
        <w:rPr>
          <w:sz w:val="20"/>
        </w:rPr>
        <w:t xml:space="preserve">автономного округа</w:t>
      </w:r>
    </w:p>
    <w:p>
      <w:pPr>
        <w:pStyle w:val="0"/>
        <w:jc w:val="right"/>
      </w:pPr>
      <w:r>
        <w:rPr>
          <w:sz w:val="20"/>
        </w:rPr>
      </w:r>
    </w:p>
    <w:p>
      <w:pPr>
        <w:pStyle w:val="0"/>
        <w:jc w:val="right"/>
      </w:pPr>
      <w:r>
        <w:rPr>
          <w:sz w:val="20"/>
        </w:rPr>
        <w:t xml:space="preserve">Таблица 1</w:t>
      </w:r>
    </w:p>
    <w:p>
      <w:pPr>
        <w:pStyle w:val="0"/>
        <w:jc w:val="right"/>
      </w:pPr>
      <w:r>
        <w:rPr>
          <w:sz w:val="20"/>
        </w:rPr>
      </w:r>
    </w:p>
    <w:p>
      <w:pPr>
        <w:pStyle w:val="0"/>
        <w:jc w:val="center"/>
      </w:pPr>
      <w:r>
        <w:rPr>
          <w:sz w:val="20"/>
        </w:rPr>
        <w:t xml:space="preserve">Демографические показатели</w:t>
      </w:r>
    </w:p>
    <w:p>
      <w:pPr>
        <w:pStyle w:val="0"/>
        <w:jc w:val="center"/>
      </w:pPr>
      <w:r>
        <w:rPr>
          <w:sz w:val="20"/>
        </w:rPr>
        <w:t xml:space="preserve">в автономном округе за период 2019 - 2023 гг.</w:t>
      </w:r>
    </w:p>
    <w:p>
      <w:pPr>
        <w:pStyle w:val="0"/>
        <w:jc w:val="center"/>
      </w:pPr>
      <w:r>
        <w:rPr>
          <w:sz w:val="20"/>
        </w:rPr>
        <w:t xml:space="preserve">(данные Федеральной службы государственной статистики)</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95"/>
        <w:gridCol w:w="1236"/>
        <w:gridCol w:w="960"/>
        <w:gridCol w:w="1098"/>
        <w:gridCol w:w="962"/>
        <w:gridCol w:w="1510"/>
      </w:tblGrid>
      <w:tr>
        <w:tc>
          <w:tcPr>
            <w:tcW w:w="3295" w:type="dxa"/>
          </w:tcPr>
          <w:p>
            <w:pPr>
              <w:pStyle w:val="0"/>
              <w:jc w:val="center"/>
            </w:pPr>
            <w:r>
              <w:rPr>
                <w:sz w:val="20"/>
              </w:rPr>
              <w:t xml:space="preserve">Наименование показателя</w:t>
            </w:r>
          </w:p>
        </w:tc>
        <w:tc>
          <w:tcPr>
            <w:tcW w:w="1236" w:type="dxa"/>
          </w:tcPr>
          <w:p>
            <w:pPr>
              <w:pStyle w:val="0"/>
              <w:jc w:val="center"/>
            </w:pPr>
            <w:r>
              <w:rPr>
                <w:sz w:val="20"/>
              </w:rPr>
              <w:t xml:space="preserve">2019 год</w:t>
            </w:r>
          </w:p>
        </w:tc>
        <w:tc>
          <w:tcPr>
            <w:tcW w:w="960" w:type="dxa"/>
          </w:tcPr>
          <w:p>
            <w:pPr>
              <w:pStyle w:val="0"/>
              <w:jc w:val="center"/>
            </w:pPr>
            <w:r>
              <w:rPr>
                <w:sz w:val="20"/>
              </w:rPr>
              <w:t xml:space="preserve">2020 год</w:t>
            </w:r>
          </w:p>
        </w:tc>
        <w:tc>
          <w:tcPr>
            <w:tcW w:w="1098" w:type="dxa"/>
          </w:tcPr>
          <w:p>
            <w:pPr>
              <w:pStyle w:val="0"/>
              <w:jc w:val="center"/>
            </w:pPr>
            <w:r>
              <w:rPr>
                <w:sz w:val="20"/>
              </w:rPr>
              <w:t xml:space="preserve">2021 год</w:t>
            </w:r>
          </w:p>
        </w:tc>
        <w:tc>
          <w:tcPr>
            <w:tcW w:w="962" w:type="dxa"/>
          </w:tcPr>
          <w:p>
            <w:pPr>
              <w:pStyle w:val="0"/>
              <w:jc w:val="center"/>
            </w:pPr>
            <w:r>
              <w:rPr>
                <w:sz w:val="20"/>
              </w:rPr>
              <w:t xml:space="preserve">2022 год</w:t>
            </w:r>
          </w:p>
        </w:tc>
        <w:tc>
          <w:tcPr>
            <w:tcW w:w="1510" w:type="dxa"/>
          </w:tcPr>
          <w:p>
            <w:pPr>
              <w:pStyle w:val="0"/>
              <w:jc w:val="center"/>
            </w:pPr>
            <w:r>
              <w:rPr>
                <w:sz w:val="20"/>
              </w:rPr>
              <w:t xml:space="preserve">6 месяцев 2023 года</w:t>
            </w:r>
          </w:p>
        </w:tc>
      </w:tr>
      <w:tr>
        <w:tc>
          <w:tcPr>
            <w:tcW w:w="3295" w:type="dxa"/>
          </w:tcPr>
          <w:p>
            <w:pPr>
              <w:pStyle w:val="0"/>
            </w:pPr>
            <w:r>
              <w:rPr>
                <w:sz w:val="20"/>
              </w:rPr>
              <w:t xml:space="preserve">Коэффициент рождаемости на 1000 населения</w:t>
            </w:r>
          </w:p>
        </w:tc>
        <w:tc>
          <w:tcPr>
            <w:tcW w:w="1236" w:type="dxa"/>
          </w:tcPr>
          <w:p>
            <w:pPr>
              <w:pStyle w:val="0"/>
              <w:jc w:val="center"/>
            </w:pPr>
            <w:r>
              <w:rPr>
                <w:sz w:val="20"/>
              </w:rPr>
              <w:t xml:space="preserve">12,4</w:t>
            </w:r>
          </w:p>
        </w:tc>
        <w:tc>
          <w:tcPr>
            <w:tcW w:w="960" w:type="dxa"/>
          </w:tcPr>
          <w:p>
            <w:pPr>
              <w:pStyle w:val="0"/>
              <w:jc w:val="center"/>
            </w:pPr>
            <w:r>
              <w:rPr>
                <w:sz w:val="20"/>
              </w:rPr>
              <w:t xml:space="preserve">12,3</w:t>
            </w:r>
          </w:p>
        </w:tc>
        <w:tc>
          <w:tcPr>
            <w:tcW w:w="1098" w:type="dxa"/>
          </w:tcPr>
          <w:p>
            <w:pPr>
              <w:pStyle w:val="0"/>
              <w:jc w:val="center"/>
            </w:pPr>
            <w:r>
              <w:rPr>
                <w:sz w:val="20"/>
              </w:rPr>
              <w:t xml:space="preserve">11,6</w:t>
            </w:r>
          </w:p>
        </w:tc>
        <w:tc>
          <w:tcPr>
            <w:tcW w:w="962" w:type="dxa"/>
          </w:tcPr>
          <w:p>
            <w:pPr>
              <w:pStyle w:val="0"/>
              <w:jc w:val="center"/>
            </w:pPr>
            <w:r>
              <w:rPr>
                <w:sz w:val="20"/>
              </w:rPr>
              <w:t xml:space="preserve">11,1</w:t>
            </w:r>
          </w:p>
        </w:tc>
        <w:tc>
          <w:tcPr>
            <w:tcW w:w="1510" w:type="dxa"/>
          </w:tcPr>
          <w:p>
            <w:pPr>
              <w:pStyle w:val="0"/>
              <w:jc w:val="center"/>
            </w:pPr>
            <w:r>
              <w:rPr>
                <w:sz w:val="20"/>
              </w:rPr>
              <w:t xml:space="preserve">10,8</w:t>
            </w:r>
          </w:p>
        </w:tc>
      </w:tr>
      <w:tr>
        <w:tc>
          <w:tcPr>
            <w:tcW w:w="3295" w:type="dxa"/>
          </w:tcPr>
          <w:p>
            <w:pPr>
              <w:pStyle w:val="0"/>
            </w:pPr>
            <w:r>
              <w:rPr>
                <w:sz w:val="20"/>
              </w:rPr>
              <w:t xml:space="preserve">Общий коэффициент смертности на 1000 населения</w:t>
            </w:r>
          </w:p>
        </w:tc>
        <w:tc>
          <w:tcPr>
            <w:tcW w:w="1236" w:type="dxa"/>
          </w:tcPr>
          <w:p>
            <w:pPr>
              <w:pStyle w:val="0"/>
              <w:jc w:val="center"/>
            </w:pPr>
            <w:r>
              <w:rPr>
                <w:sz w:val="20"/>
              </w:rPr>
              <w:t xml:space="preserve">6,0</w:t>
            </w:r>
          </w:p>
        </w:tc>
        <w:tc>
          <w:tcPr>
            <w:tcW w:w="960" w:type="dxa"/>
          </w:tcPr>
          <w:p>
            <w:pPr>
              <w:pStyle w:val="0"/>
              <w:jc w:val="center"/>
            </w:pPr>
            <w:r>
              <w:rPr>
                <w:sz w:val="20"/>
              </w:rPr>
              <w:t xml:space="preserve">7,6</w:t>
            </w:r>
          </w:p>
        </w:tc>
        <w:tc>
          <w:tcPr>
            <w:tcW w:w="1098" w:type="dxa"/>
          </w:tcPr>
          <w:p>
            <w:pPr>
              <w:pStyle w:val="0"/>
              <w:jc w:val="center"/>
            </w:pPr>
            <w:r>
              <w:rPr>
                <w:sz w:val="20"/>
              </w:rPr>
              <w:t xml:space="preserve">8,5</w:t>
            </w:r>
          </w:p>
        </w:tc>
        <w:tc>
          <w:tcPr>
            <w:tcW w:w="962" w:type="dxa"/>
          </w:tcPr>
          <w:p>
            <w:pPr>
              <w:pStyle w:val="0"/>
              <w:jc w:val="center"/>
            </w:pPr>
            <w:r>
              <w:rPr>
                <w:sz w:val="20"/>
              </w:rPr>
              <w:t xml:space="preserve">6,5</w:t>
            </w:r>
          </w:p>
        </w:tc>
        <w:tc>
          <w:tcPr>
            <w:tcW w:w="1510" w:type="dxa"/>
          </w:tcPr>
          <w:p>
            <w:pPr>
              <w:pStyle w:val="0"/>
              <w:jc w:val="center"/>
            </w:pPr>
            <w:r>
              <w:rPr>
                <w:sz w:val="20"/>
              </w:rPr>
              <w:t xml:space="preserve">6,2</w:t>
            </w:r>
          </w:p>
        </w:tc>
      </w:tr>
      <w:tr>
        <w:tc>
          <w:tcPr>
            <w:tcW w:w="3295" w:type="dxa"/>
          </w:tcPr>
          <w:p>
            <w:pPr>
              <w:pStyle w:val="0"/>
            </w:pPr>
            <w:r>
              <w:rPr>
                <w:sz w:val="20"/>
              </w:rPr>
              <w:t xml:space="preserve">Коэффициент естественного прироста населения</w:t>
            </w:r>
          </w:p>
        </w:tc>
        <w:tc>
          <w:tcPr>
            <w:tcW w:w="1236" w:type="dxa"/>
          </w:tcPr>
          <w:p>
            <w:pPr>
              <w:pStyle w:val="0"/>
              <w:jc w:val="center"/>
            </w:pPr>
            <w:r>
              <w:rPr>
                <w:sz w:val="20"/>
              </w:rPr>
              <w:t xml:space="preserve">6,4</w:t>
            </w:r>
          </w:p>
        </w:tc>
        <w:tc>
          <w:tcPr>
            <w:tcW w:w="960" w:type="dxa"/>
          </w:tcPr>
          <w:p>
            <w:pPr>
              <w:pStyle w:val="0"/>
              <w:jc w:val="center"/>
            </w:pPr>
            <w:r>
              <w:rPr>
                <w:sz w:val="20"/>
              </w:rPr>
              <w:t xml:space="preserve">4,7</w:t>
            </w:r>
          </w:p>
        </w:tc>
        <w:tc>
          <w:tcPr>
            <w:tcW w:w="1098" w:type="dxa"/>
          </w:tcPr>
          <w:p>
            <w:pPr>
              <w:pStyle w:val="0"/>
              <w:jc w:val="center"/>
            </w:pPr>
            <w:r>
              <w:rPr>
                <w:sz w:val="20"/>
              </w:rPr>
              <w:t xml:space="preserve">3,1</w:t>
            </w:r>
          </w:p>
        </w:tc>
        <w:tc>
          <w:tcPr>
            <w:tcW w:w="962" w:type="dxa"/>
          </w:tcPr>
          <w:p>
            <w:pPr>
              <w:pStyle w:val="0"/>
              <w:jc w:val="center"/>
            </w:pPr>
            <w:r>
              <w:rPr>
                <w:sz w:val="20"/>
              </w:rPr>
              <w:t xml:space="preserve">+4,6</w:t>
            </w:r>
          </w:p>
        </w:tc>
        <w:tc>
          <w:tcPr>
            <w:tcW w:w="1510" w:type="dxa"/>
          </w:tcPr>
          <w:p>
            <w:pPr>
              <w:pStyle w:val="0"/>
              <w:jc w:val="center"/>
            </w:pPr>
            <w:r>
              <w:rPr>
                <w:sz w:val="20"/>
              </w:rPr>
              <w:t xml:space="preserve">+4,6</w:t>
            </w:r>
          </w:p>
        </w:tc>
      </w:tr>
    </w:tbl>
    <w:p>
      <w:pPr>
        <w:pStyle w:val="0"/>
        <w:jc w:val="center"/>
      </w:pPr>
      <w:r>
        <w:rPr>
          <w:sz w:val="20"/>
        </w:rPr>
      </w:r>
    </w:p>
    <w:p>
      <w:pPr>
        <w:pStyle w:val="0"/>
        <w:jc w:val="right"/>
      </w:pPr>
      <w:r>
        <w:rPr>
          <w:sz w:val="20"/>
        </w:rPr>
        <w:t xml:space="preserve">Таблица 2</w:t>
      </w:r>
    </w:p>
    <w:p>
      <w:pPr>
        <w:pStyle w:val="0"/>
        <w:jc w:val="right"/>
      </w:pPr>
      <w:r>
        <w:rPr>
          <w:sz w:val="20"/>
        </w:rPr>
      </w:r>
    </w:p>
    <w:p>
      <w:pPr>
        <w:pStyle w:val="0"/>
        <w:jc w:val="center"/>
      </w:pPr>
      <w:r>
        <w:rPr>
          <w:sz w:val="20"/>
        </w:rPr>
        <w:t xml:space="preserve">Численность населения в автономном округе за период</w:t>
      </w:r>
    </w:p>
    <w:p>
      <w:pPr>
        <w:pStyle w:val="0"/>
        <w:jc w:val="center"/>
      </w:pPr>
      <w:r>
        <w:rPr>
          <w:sz w:val="20"/>
        </w:rPr>
        <w:t xml:space="preserve">2019 - 2023 гг.</w:t>
      </w:r>
    </w:p>
    <w:p>
      <w:pPr>
        <w:pStyle w:val="0"/>
        <w:jc w:val="center"/>
      </w:pPr>
      <w:r>
        <w:rPr>
          <w:sz w:val="20"/>
        </w:rPr>
        <w:t xml:space="preserve">(данные Федеральной службы государственной статистики)</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59"/>
        <w:gridCol w:w="1372"/>
        <w:gridCol w:w="1510"/>
        <w:gridCol w:w="1374"/>
        <w:gridCol w:w="1372"/>
        <w:gridCol w:w="1374"/>
      </w:tblGrid>
      <w:tr>
        <w:tc>
          <w:tcPr>
            <w:tcW w:w="2059" w:type="dxa"/>
            <w:vAlign w:val="center"/>
          </w:tcPr>
          <w:p>
            <w:pPr>
              <w:pStyle w:val="0"/>
              <w:jc w:val="center"/>
            </w:pPr>
            <w:r>
              <w:rPr>
                <w:sz w:val="20"/>
              </w:rPr>
              <w:t xml:space="preserve">Наименование показателя</w:t>
            </w:r>
          </w:p>
        </w:tc>
        <w:tc>
          <w:tcPr>
            <w:tcW w:w="1372" w:type="dxa"/>
            <w:vAlign w:val="center"/>
          </w:tcPr>
          <w:p>
            <w:pPr>
              <w:pStyle w:val="0"/>
              <w:jc w:val="center"/>
            </w:pPr>
            <w:r>
              <w:rPr>
                <w:sz w:val="20"/>
              </w:rPr>
              <w:t xml:space="preserve">На 1 января 2019 года</w:t>
            </w:r>
          </w:p>
        </w:tc>
        <w:tc>
          <w:tcPr>
            <w:tcW w:w="1510" w:type="dxa"/>
            <w:vAlign w:val="center"/>
          </w:tcPr>
          <w:p>
            <w:pPr>
              <w:pStyle w:val="0"/>
              <w:jc w:val="center"/>
            </w:pPr>
            <w:r>
              <w:rPr>
                <w:sz w:val="20"/>
              </w:rPr>
              <w:t xml:space="preserve">На 1 января 2020 года</w:t>
            </w:r>
          </w:p>
        </w:tc>
        <w:tc>
          <w:tcPr>
            <w:tcW w:w="1374" w:type="dxa"/>
            <w:vAlign w:val="center"/>
          </w:tcPr>
          <w:p>
            <w:pPr>
              <w:pStyle w:val="0"/>
              <w:jc w:val="center"/>
            </w:pPr>
            <w:r>
              <w:rPr>
                <w:sz w:val="20"/>
              </w:rPr>
              <w:t xml:space="preserve">На 1 января 2021 года</w:t>
            </w:r>
          </w:p>
        </w:tc>
        <w:tc>
          <w:tcPr>
            <w:tcW w:w="1372" w:type="dxa"/>
            <w:vAlign w:val="center"/>
          </w:tcPr>
          <w:p>
            <w:pPr>
              <w:pStyle w:val="0"/>
              <w:jc w:val="center"/>
            </w:pPr>
            <w:r>
              <w:rPr>
                <w:sz w:val="20"/>
              </w:rPr>
              <w:t xml:space="preserve">На 1 января 2022 года</w:t>
            </w:r>
          </w:p>
        </w:tc>
        <w:tc>
          <w:tcPr>
            <w:tcW w:w="1374" w:type="dxa"/>
            <w:vAlign w:val="center"/>
          </w:tcPr>
          <w:p>
            <w:pPr>
              <w:pStyle w:val="0"/>
              <w:jc w:val="center"/>
            </w:pPr>
            <w:r>
              <w:rPr>
                <w:sz w:val="20"/>
              </w:rPr>
              <w:t xml:space="preserve">На 1 января 2023 года</w:t>
            </w:r>
          </w:p>
        </w:tc>
      </w:tr>
      <w:tr>
        <w:tc>
          <w:tcPr>
            <w:tcW w:w="2059" w:type="dxa"/>
            <w:vAlign w:val="center"/>
          </w:tcPr>
          <w:p>
            <w:pPr>
              <w:pStyle w:val="0"/>
              <w:jc w:val="center"/>
            </w:pPr>
            <w:r>
              <w:rPr>
                <w:sz w:val="20"/>
              </w:rPr>
              <w:t xml:space="preserve">Численность населения, всего</w:t>
            </w:r>
          </w:p>
        </w:tc>
        <w:tc>
          <w:tcPr>
            <w:tcW w:w="1372" w:type="dxa"/>
            <w:vAlign w:val="center"/>
          </w:tcPr>
          <w:p>
            <w:pPr>
              <w:pStyle w:val="0"/>
              <w:jc w:val="center"/>
            </w:pPr>
            <w:r>
              <w:rPr>
                <w:sz w:val="20"/>
              </w:rPr>
              <w:t xml:space="preserve">1 663 795</w:t>
            </w:r>
          </w:p>
        </w:tc>
        <w:tc>
          <w:tcPr>
            <w:tcW w:w="1510" w:type="dxa"/>
            <w:vAlign w:val="center"/>
          </w:tcPr>
          <w:p>
            <w:pPr>
              <w:pStyle w:val="0"/>
              <w:jc w:val="center"/>
            </w:pPr>
            <w:r>
              <w:rPr>
                <w:sz w:val="20"/>
              </w:rPr>
              <w:t xml:space="preserve">1 674 676</w:t>
            </w:r>
          </w:p>
        </w:tc>
        <w:tc>
          <w:tcPr>
            <w:tcW w:w="1374" w:type="dxa"/>
            <w:vAlign w:val="center"/>
          </w:tcPr>
          <w:p>
            <w:pPr>
              <w:pStyle w:val="0"/>
              <w:jc w:val="center"/>
            </w:pPr>
            <w:r>
              <w:rPr>
                <w:sz w:val="20"/>
              </w:rPr>
              <w:t xml:space="preserve">1 687 654</w:t>
            </w:r>
          </w:p>
        </w:tc>
        <w:tc>
          <w:tcPr>
            <w:tcW w:w="1372" w:type="dxa"/>
            <w:vAlign w:val="center"/>
          </w:tcPr>
          <w:p>
            <w:pPr>
              <w:pStyle w:val="0"/>
              <w:jc w:val="center"/>
            </w:pPr>
            <w:r>
              <w:rPr>
                <w:sz w:val="20"/>
              </w:rPr>
              <w:t xml:space="preserve">1 713 763</w:t>
            </w:r>
          </w:p>
        </w:tc>
        <w:tc>
          <w:tcPr>
            <w:tcW w:w="1374" w:type="dxa"/>
            <w:vAlign w:val="center"/>
          </w:tcPr>
          <w:p>
            <w:pPr>
              <w:pStyle w:val="0"/>
              <w:jc w:val="center"/>
            </w:pPr>
            <w:r>
              <w:rPr>
                <w:sz w:val="20"/>
              </w:rPr>
              <w:t xml:space="preserve">1 730 353</w:t>
            </w:r>
          </w:p>
        </w:tc>
      </w:tr>
      <w:tr>
        <w:tc>
          <w:tcPr>
            <w:tcW w:w="2059" w:type="dxa"/>
            <w:vAlign w:val="center"/>
          </w:tcPr>
          <w:p>
            <w:pPr>
              <w:pStyle w:val="0"/>
              <w:jc w:val="center"/>
            </w:pPr>
            <w:r>
              <w:rPr>
                <w:sz w:val="20"/>
              </w:rPr>
              <w:t xml:space="preserve">Из общего числа дети 0 - 17, всего</w:t>
            </w:r>
          </w:p>
        </w:tc>
        <w:tc>
          <w:tcPr>
            <w:tcW w:w="1372" w:type="dxa"/>
            <w:vAlign w:val="center"/>
          </w:tcPr>
          <w:p>
            <w:pPr>
              <w:pStyle w:val="0"/>
              <w:jc w:val="center"/>
            </w:pPr>
            <w:r>
              <w:rPr>
                <w:sz w:val="20"/>
              </w:rPr>
              <w:t xml:space="preserve">424 791</w:t>
            </w:r>
          </w:p>
        </w:tc>
        <w:tc>
          <w:tcPr>
            <w:tcW w:w="1510" w:type="dxa"/>
            <w:vAlign w:val="center"/>
          </w:tcPr>
          <w:p>
            <w:pPr>
              <w:pStyle w:val="0"/>
              <w:jc w:val="center"/>
            </w:pPr>
            <w:r>
              <w:rPr>
                <w:sz w:val="20"/>
              </w:rPr>
              <w:t xml:space="preserve">426 532</w:t>
            </w:r>
          </w:p>
        </w:tc>
        <w:tc>
          <w:tcPr>
            <w:tcW w:w="1374" w:type="dxa"/>
            <w:vAlign w:val="center"/>
          </w:tcPr>
          <w:p>
            <w:pPr>
              <w:pStyle w:val="0"/>
              <w:jc w:val="center"/>
            </w:pPr>
            <w:r>
              <w:rPr>
                <w:sz w:val="20"/>
              </w:rPr>
              <w:t xml:space="preserve">428 063</w:t>
            </w:r>
          </w:p>
        </w:tc>
        <w:tc>
          <w:tcPr>
            <w:tcW w:w="1372" w:type="dxa"/>
            <w:vAlign w:val="center"/>
          </w:tcPr>
          <w:p>
            <w:pPr>
              <w:pStyle w:val="0"/>
              <w:jc w:val="center"/>
            </w:pPr>
            <w:r>
              <w:rPr>
                <w:sz w:val="20"/>
              </w:rPr>
              <w:t xml:space="preserve">430 598</w:t>
            </w:r>
          </w:p>
        </w:tc>
        <w:tc>
          <w:tcPr>
            <w:tcW w:w="1374" w:type="dxa"/>
            <w:vAlign w:val="center"/>
          </w:tcPr>
          <w:p>
            <w:pPr>
              <w:pStyle w:val="0"/>
              <w:jc w:val="center"/>
            </w:pPr>
            <w:r>
              <w:rPr>
                <w:sz w:val="20"/>
              </w:rPr>
              <w:t xml:space="preserve">433 003</w:t>
            </w:r>
          </w:p>
        </w:tc>
      </w:tr>
      <w:tr>
        <w:tc>
          <w:tcPr>
            <w:tcW w:w="2059" w:type="dxa"/>
            <w:vAlign w:val="center"/>
          </w:tcPr>
          <w:p>
            <w:pPr>
              <w:pStyle w:val="0"/>
              <w:jc w:val="center"/>
            </w:pPr>
            <w:r>
              <w:rPr>
                <w:sz w:val="20"/>
              </w:rPr>
              <w:t xml:space="preserve">из них городское население</w:t>
            </w:r>
          </w:p>
        </w:tc>
        <w:tc>
          <w:tcPr>
            <w:tcW w:w="1372" w:type="dxa"/>
            <w:vAlign w:val="center"/>
          </w:tcPr>
          <w:p>
            <w:pPr>
              <w:pStyle w:val="0"/>
              <w:jc w:val="center"/>
            </w:pPr>
            <w:r>
              <w:rPr>
                <w:sz w:val="20"/>
              </w:rPr>
              <w:t xml:space="preserve">1 538 039</w:t>
            </w:r>
          </w:p>
        </w:tc>
        <w:tc>
          <w:tcPr>
            <w:tcW w:w="1510" w:type="dxa"/>
            <w:vAlign w:val="center"/>
          </w:tcPr>
          <w:p>
            <w:pPr>
              <w:pStyle w:val="0"/>
              <w:jc w:val="center"/>
            </w:pPr>
            <w:r>
              <w:rPr>
                <w:sz w:val="20"/>
              </w:rPr>
              <w:t xml:space="preserve">1 549 313</w:t>
            </w:r>
          </w:p>
        </w:tc>
        <w:tc>
          <w:tcPr>
            <w:tcW w:w="1374" w:type="dxa"/>
            <w:vAlign w:val="center"/>
          </w:tcPr>
          <w:p>
            <w:pPr>
              <w:pStyle w:val="0"/>
              <w:jc w:val="center"/>
            </w:pPr>
            <w:r>
              <w:rPr>
                <w:sz w:val="20"/>
              </w:rPr>
              <w:t xml:space="preserve">1 563 020</w:t>
            </w:r>
          </w:p>
        </w:tc>
        <w:tc>
          <w:tcPr>
            <w:tcW w:w="1372" w:type="dxa"/>
            <w:vAlign w:val="center"/>
          </w:tcPr>
          <w:p>
            <w:pPr>
              <w:pStyle w:val="0"/>
              <w:jc w:val="center"/>
            </w:pPr>
            <w:r>
              <w:rPr>
                <w:sz w:val="20"/>
              </w:rPr>
              <w:t xml:space="preserve">1 577 963</w:t>
            </w:r>
          </w:p>
        </w:tc>
        <w:tc>
          <w:tcPr>
            <w:tcW w:w="1374" w:type="dxa"/>
            <w:vAlign w:val="center"/>
          </w:tcPr>
          <w:p>
            <w:pPr>
              <w:pStyle w:val="0"/>
              <w:jc w:val="center"/>
            </w:pPr>
            <w:r>
              <w:rPr>
                <w:sz w:val="20"/>
              </w:rPr>
              <w:t xml:space="preserve">1 595 766</w:t>
            </w:r>
          </w:p>
        </w:tc>
      </w:tr>
      <w:tr>
        <w:tc>
          <w:tcPr>
            <w:tcW w:w="2059" w:type="dxa"/>
            <w:vAlign w:val="center"/>
          </w:tcPr>
          <w:p>
            <w:pPr>
              <w:pStyle w:val="0"/>
              <w:jc w:val="center"/>
            </w:pPr>
            <w:r>
              <w:rPr>
                <w:sz w:val="20"/>
              </w:rPr>
              <w:t xml:space="preserve">из них сельское население</w:t>
            </w:r>
          </w:p>
        </w:tc>
        <w:tc>
          <w:tcPr>
            <w:tcW w:w="1372" w:type="dxa"/>
            <w:vAlign w:val="center"/>
          </w:tcPr>
          <w:p>
            <w:pPr>
              <w:pStyle w:val="0"/>
              <w:jc w:val="center"/>
            </w:pPr>
            <w:r>
              <w:rPr>
                <w:sz w:val="20"/>
              </w:rPr>
              <w:t xml:space="preserve">125 756</w:t>
            </w:r>
          </w:p>
        </w:tc>
        <w:tc>
          <w:tcPr>
            <w:tcW w:w="1510" w:type="dxa"/>
            <w:vAlign w:val="center"/>
          </w:tcPr>
          <w:p>
            <w:pPr>
              <w:pStyle w:val="0"/>
              <w:jc w:val="center"/>
            </w:pPr>
            <w:r>
              <w:rPr>
                <w:sz w:val="20"/>
              </w:rPr>
              <w:t xml:space="preserve">125 363</w:t>
            </w:r>
          </w:p>
        </w:tc>
        <w:tc>
          <w:tcPr>
            <w:tcW w:w="1374" w:type="dxa"/>
            <w:vAlign w:val="center"/>
          </w:tcPr>
          <w:p>
            <w:pPr>
              <w:pStyle w:val="0"/>
              <w:jc w:val="center"/>
            </w:pPr>
            <w:r>
              <w:rPr>
                <w:sz w:val="20"/>
              </w:rPr>
              <w:t xml:space="preserve">124 634</w:t>
            </w:r>
          </w:p>
        </w:tc>
        <w:tc>
          <w:tcPr>
            <w:tcW w:w="1372" w:type="dxa"/>
            <w:vAlign w:val="center"/>
          </w:tcPr>
          <w:p>
            <w:pPr>
              <w:pStyle w:val="0"/>
              <w:jc w:val="center"/>
            </w:pPr>
            <w:r>
              <w:rPr>
                <w:sz w:val="20"/>
              </w:rPr>
              <w:t xml:space="preserve">135 800</w:t>
            </w:r>
          </w:p>
        </w:tc>
        <w:tc>
          <w:tcPr>
            <w:tcW w:w="1374" w:type="dxa"/>
            <w:vAlign w:val="center"/>
          </w:tcPr>
          <w:p>
            <w:pPr>
              <w:pStyle w:val="0"/>
              <w:jc w:val="center"/>
            </w:pPr>
            <w:r>
              <w:rPr>
                <w:sz w:val="20"/>
              </w:rPr>
              <w:t xml:space="preserve">134 587</w:t>
            </w:r>
          </w:p>
        </w:tc>
      </w:tr>
      <w:tr>
        <w:tc>
          <w:tcPr>
            <w:tcW w:w="2059" w:type="dxa"/>
            <w:vAlign w:val="center"/>
          </w:tcPr>
          <w:p>
            <w:pPr>
              <w:pStyle w:val="0"/>
              <w:jc w:val="center"/>
            </w:pPr>
            <w:r>
              <w:rPr>
                <w:sz w:val="20"/>
              </w:rPr>
              <w:t xml:space="preserve">из них 0 - 1 год</w:t>
            </w:r>
          </w:p>
        </w:tc>
        <w:tc>
          <w:tcPr>
            <w:tcW w:w="1372" w:type="dxa"/>
            <w:vAlign w:val="center"/>
          </w:tcPr>
          <w:p>
            <w:pPr>
              <w:pStyle w:val="0"/>
              <w:jc w:val="center"/>
            </w:pPr>
            <w:r>
              <w:rPr>
                <w:sz w:val="20"/>
              </w:rPr>
              <w:t xml:space="preserve">22 546</w:t>
            </w:r>
          </w:p>
        </w:tc>
        <w:tc>
          <w:tcPr>
            <w:tcW w:w="1510" w:type="dxa"/>
            <w:vAlign w:val="center"/>
          </w:tcPr>
          <w:p>
            <w:pPr>
              <w:pStyle w:val="0"/>
              <w:jc w:val="center"/>
            </w:pPr>
            <w:r>
              <w:rPr>
                <w:sz w:val="20"/>
              </w:rPr>
              <w:t xml:space="preserve">20 696</w:t>
            </w:r>
          </w:p>
        </w:tc>
        <w:tc>
          <w:tcPr>
            <w:tcW w:w="1374" w:type="dxa"/>
            <w:vAlign w:val="center"/>
          </w:tcPr>
          <w:p>
            <w:pPr>
              <w:pStyle w:val="0"/>
              <w:jc w:val="center"/>
            </w:pPr>
            <w:r>
              <w:rPr>
                <w:sz w:val="20"/>
              </w:rPr>
              <w:t xml:space="preserve">20 593</w:t>
            </w:r>
          </w:p>
        </w:tc>
        <w:tc>
          <w:tcPr>
            <w:tcW w:w="1372" w:type="dxa"/>
            <w:vAlign w:val="center"/>
          </w:tcPr>
          <w:p>
            <w:pPr>
              <w:pStyle w:val="0"/>
              <w:jc w:val="center"/>
            </w:pPr>
            <w:r>
              <w:rPr>
                <w:sz w:val="20"/>
              </w:rPr>
              <w:t xml:space="preserve">19 637</w:t>
            </w:r>
          </w:p>
        </w:tc>
        <w:tc>
          <w:tcPr>
            <w:tcW w:w="1374" w:type="dxa"/>
            <w:vAlign w:val="center"/>
          </w:tcPr>
          <w:p>
            <w:pPr>
              <w:pStyle w:val="0"/>
              <w:jc w:val="center"/>
            </w:pPr>
            <w:r>
              <w:rPr>
                <w:sz w:val="20"/>
              </w:rPr>
              <w:t xml:space="preserve">19 054</w:t>
            </w:r>
          </w:p>
        </w:tc>
      </w:tr>
    </w:tbl>
    <w:p>
      <w:pPr>
        <w:pStyle w:val="0"/>
        <w:ind w:firstLine="540"/>
        <w:jc w:val="both"/>
      </w:pPr>
      <w:r>
        <w:rPr>
          <w:sz w:val="20"/>
        </w:rPr>
      </w:r>
    </w:p>
    <w:p>
      <w:pPr>
        <w:pStyle w:val="0"/>
        <w:jc w:val="right"/>
      </w:pPr>
      <w:r>
        <w:rPr>
          <w:sz w:val="20"/>
        </w:rPr>
        <w:t xml:space="preserve">Таблица 3</w:t>
      </w:r>
    </w:p>
    <w:p>
      <w:pPr>
        <w:pStyle w:val="0"/>
        <w:jc w:val="right"/>
      </w:pPr>
      <w:r>
        <w:rPr>
          <w:sz w:val="20"/>
        </w:rPr>
      </w:r>
    </w:p>
    <w:p>
      <w:pPr>
        <w:pStyle w:val="0"/>
        <w:jc w:val="center"/>
      </w:pPr>
      <w:r>
        <w:rPr>
          <w:sz w:val="20"/>
        </w:rPr>
        <w:t xml:space="preserve">Показатель младенческой смертности в автономном округе</w:t>
      </w:r>
    </w:p>
    <w:p>
      <w:pPr>
        <w:pStyle w:val="0"/>
        <w:jc w:val="center"/>
      </w:pPr>
      <w:r>
        <w:rPr>
          <w:sz w:val="20"/>
        </w:rPr>
        <w:t xml:space="preserve">за период 2019 - 2023 гг.</w:t>
      </w:r>
    </w:p>
    <w:p>
      <w:pPr>
        <w:pStyle w:val="0"/>
        <w:jc w:val="center"/>
      </w:pPr>
      <w:r>
        <w:rPr>
          <w:sz w:val="20"/>
        </w:rPr>
        <w:t xml:space="preserve">(данные Федеральной службы государственной статистики)</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26"/>
        <w:gridCol w:w="574"/>
        <w:gridCol w:w="671"/>
        <w:gridCol w:w="666"/>
        <w:gridCol w:w="723"/>
        <w:gridCol w:w="666"/>
        <w:gridCol w:w="671"/>
        <w:gridCol w:w="772"/>
        <w:gridCol w:w="989"/>
        <w:gridCol w:w="808"/>
        <w:gridCol w:w="811"/>
      </w:tblGrid>
      <w:tr>
        <w:tc>
          <w:tcPr>
            <w:tcW w:w="1626" w:type="dxa"/>
            <w:vMerge w:val="restart"/>
          </w:tcPr>
          <w:p>
            <w:pPr>
              <w:pStyle w:val="0"/>
              <w:jc w:val="center"/>
            </w:pPr>
            <w:r>
              <w:rPr>
                <w:sz w:val="20"/>
              </w:rPr>
              <w:t xml:space="preserve">Показатель</w:t>
            </w:r>
          </w:p>
        </w:tc>
        <w:tc>
          <w:tcPr>
            <w:gridSpan w:val="2"/>
            <w:tcW w:w="1245" w:type="dxa"/>
            <w:vAlign w:val="center"/>
          </w:tcPr>
          <w:p>
            <w:pPr>
              <w:pStyle w:val="0"/>
              <w:jc w:val="center"/>
            </w:pPr>
            <w:r>
              <w:rPr>
                <w:sz w:val="20"/>
              </w:rPr>
              <w:t xml:space="preserve">2019 год</w:t>
            </w:r>
          </w:p>
        </w:tc>
        <w:tc>
          <w:tcPr>
            <w:gridSpan w:val="2"/>
            <w:tcW w:w="1389" w:type="dxa"/>
            <w:vAlign w:val="center"/>
          </w:tcPr>
          <w:p>
            <w:pPr>
              <w:pStyle w:val="0"/>
              <w:jc w:val="center"/>
            </w:pPr>
            <w:r>
              <w:rPr>
                <w:sz w:val="20"/>
              </w:rPr>
              <w:t xml:space="preserve">2020 год</w:t>
            </w:r>
          </w:p>
        </w:tc>
        <w:tc>
          <w:tcPr>
            <w:gridSpan w:val="2"/>
            <w:tcW w:w="1337" w:type="dxa"/>
            <w:vAlign w:val="center"/>
          </w:tcPr>
          <w:p>
            <w:pPr>
              <w:pStyle w:val="0"/>
              <w:jc w:val="center"/>
            </w:pPr>
            <w:r>
              <w:rPr>
                <w:sz w:val="20"/>
              </w:rPr>
              <w:t xml:space="preserve">2021 год</w:t>
            </w:r>
          </w:p>
        </w:tc>
        <w:tc>
          <w:tcPr>
            <w:gridSpan w:val="2"/>
            <w:tcW w:w="1761" w:type="dxa"/>
            <w:vAlign w:val="center"/>
          </w:tcPr>
          <w:p>
            <w:pPr>
              <w:pStyle w:val="0"/>
              <w:jc w:val="center"/>
            </w:pPr>
            <w:r>
              <w:rPr>
                <w:sz w:val="20"/>
              </w:rPr>
              <w:t xml:space="preserve">2022 год</w:t>
            </w:r>
          </w:p>
        </w:tc>
        <w:tc>
          <w:tcPr>
            <w:gridSpan w:val="2"/>
            <w:tcW w:w="1619" w:type="dxa"/>
            <w:vAlign w:val="center"/>
          </w:tcPr>
          <w:p>
            <w:pPr>
              <w:pStyle w:val="0"/>
              <w:jc w:val="center"/>
            </w:pPr>
            <w:r>
              <w:rPr>
                <w:sz w:val="20"/>
              </w:rPr>
              <w:t xml:space="preserve">6 месяцев 2023 года</w:t>
            </w:r>
          </w:p>
        </w:tc>
      </w:tr>
      <w:tr>
        <w:tc>
          <w:tcPr>
            <w:vMerge w:val="continue"/>
          </w:tcPr>
          <w:p/>
        </w:tc>
        <w:tc>
          <w:tcPr>
            <w:tcW w:w="574" w:type="dxa"/>
          </w:tcPr>
          <w:p>
            <w:pPr>
              <w:pStyle w:val="0"/>
              <w:jc w:val="center"/>
            </w:pPr>
            <w:r>
              <w:rPr>
                <w:sz w:val="20"/>
              </w:rPr>
              <w:t xml:space="preserve">Абс.</w:t>
            </w:r>
          </w:p>
        </w:tc>
        <w:tc>
          <w:tcPr>
            <w:tcW w:w="671" w:type="dxa"/>
            <w:vAlign w:val="center"/>
          </w:tcPr>
          <w:p>
            <w:pPr>
              <w:pStyle w:val="0"/>
              <w:jc w:val="center"/>
            </w:pPr>
            <w:r>
              <w:rPr>
                <w:sz w:val="20"/>
              </w:rPr>
              <w:t xml:space="preserve">Пок-ль</w:t>
            </w:r>
          </w:p>
        </w:tc>
        <w:tc>
          <w:tcPr>
            <w:tcW w:w="666" w:type="dxa"/>
            <w:vAlign w:val="center"/>
          </w:tcPr>
          <w:p>
            <w:pPr>
              <w:pStyle w:val="0"/>
              <w:jc w:val="center"/>
            </w:pPr>
            <w:r>
              <w:rPr>
                <w:sz w:val="20"/>
              </w:rPr>
              <w:t xml:space="preserve">Абс.</w:t>
            </w:r>
          </w:p>
        </w:tc>
        <w:tc>
          <w:tcPr>
            <w:tcW w:w="723" w:type="dxa"/>
            <w:vAlign w:val="center"/>
          </w:tcPr>
          <w:p>
            <w:pPr>
              <w:pStyle w:val="0"/>
              <w:jc w:val="center"/>
            </w:pPr>
            <w:r>
              <w:rPr>
                <w:sz w:val="20"/>
              </w:rPr>
              <w:t xml:space="preserve">Пок-ль</w:t>
            </w:r>
          </w:p>
        </w:tc>
        <w:tc>
          <w:tcPr>
            <w:tcW w:w="666" w:type="dxa"/>
            <w:vAlign w:val="center"/>
          </w:tcPr>
          <w:p>
            <w:pPr>
              <w:pStyle w:val="0"/>
              <w:jc w:val="center"/>
            </w:pPr>
            <w:r>
              <w:rPr>
                <w:sz w:val="20"/>
              </w:rPr>
              <w:t xml:space="preserve">Абс.</w:t>
            </w:r>
          </w:p>
        </w:tc>
        <w:tc>
          <w:tcPr>
            <w:tcW w:w="671" w:type="dxa"/>
            <w:vAlign w:val="center"/>
          </w:tcPr>
          <w:p>
            <w:pPr>
              <w:pStyle w:val="0"/>
              <w:jc w:val="center"/>
            </w:pPr>
            <w:r>
              <w:rPr>
                <w:sz w:val="20"/>
              </w:rPr>
              <w:t xml:space="preserve">Пок-ль</w:t>
            </w:r>
          </w:p>
        </w:tc>
        <w:tc>
          <w:tcPr>
            <w:tcW w:w="772" w:type="dxa"/>
            <w:vAlign w:val="center"/>
          </w:tcPr>
          <w:p>
            <w:pPr>
              <w:pStyle w:val="0"/>
              <w:jc w:val="center"/>
            </w:pPr>
            <w:r>
              <w:rPr>
                <w:sz w:val="20"/>
              </w:rPr>
              <w:t xml:space="preserve">Абс.</w:t>
            </w:r>
          </w:p>
        </w:tc>
        <w:tc>
          <w:tcPr>
            <w:tcW w:w="989" w:type="dxa"/>
            <w:vAlign w:val="center"/>
          </w:tcPr>
          <w:p>
            <w:pPr>
              <w:pStyle w:val="0"/>
              <w:jc w:val="center"/>
            </w:pPr>
            <w:r>
              <w:rPr>
                <w:sz w:val="20"/>
              </w:rPr>
              <w:t xml:space="preserve">Пок-ль</w:t>
            </w:r>
          </w:p>
        </w:tc>
        <w:tc>
          <w:tcPr>
            <w:tcW w:w="808" w:type="dxa"/>
            <w:vAlign w:val="center"/>
          </w:tcPr>
          <w:p>
            <w:pPr>
              <w:pStyle w:val="0"/>
              <w:jc w:val="center"/>
            </w:pPr>
            <w:r>
              <w:rPr>
                <w:sz w:val="20"/>
              </w:rPr>
              <w:t xml:space="preserve">Абс.</w:t>
            </w:r>
          </w:p>
        </w:tc>
        <w:tc>
          <w:tcPr>
            <w:tcW w:w="811" w:type="dxa"/>
            <w:vAlign w:val="center"/>
          </w:tcPr>
          <w:p>
            <w:pPr>
              <w:pStyle w:val="0"/>
              <w:jc w:val="center"/>
            </w:pPr>
            <w:r>
              <w:rPr>
                <w:sz w:val="20"/>
              </w:rPr>
              <w:t xml:space="preserve">Пок-ль</w:t>
            </w:r>
          </w:p>
        </w:tc>
      </w:tr>
      <w:tr>
        <w:tc>
          <w:tcPr>
            <w:tcW w:w="1626" w:type="dxa"/>
          </w:tcPr>
          <w:p>
            <w:pPr>
              <w:pStyle w:val="0"/>
              <w:jc w:val="center"/>
            </w:pPr>
            <w:r>
              <w:rPr>
                <w:sz w:val="20"/>
              </w:rPr>
              <w:t xml:space="preserve">Младенческая смертность</w:t>
            </w:r>
          </w:p>
        </w:tc>
        <w:tc>
          <w:tcPr>
            <w:tcW w:w="574" w:type="dxa"/>
            <w:vAlign w:val="center"/>
          </w:tcPr>
          <w:p>
            <w:pPr>
              <w:pStyle w:val="0"/>
              <w:jc w:val="center"/>
            </w:pPr>
            <w:r>
              <w:rPr>
                <w:sz w:val="20"/>
              </w:rPr>
              <w:t xml:space="preserve">87</w:t>
            </w:r>
          </w:p>
        </w:tc>
        <w:tc>
          <w:tcPr>
            <w:tcW w:w="671" w:type="dxa"/>
            <w:vAlign w:val="center"/>
          </w:tcPr>
          <w:p>
            <w:pPr>
              <w:pStyle w:val="0"/>
              <w:jc w:val="center"/>
            </w:pPr>
            <w:r>
              <w:rPr>
                <w:sz w:val="20"/>
              </w:rPr>
              <w:t xml:space="preserve">4,1</w:t>
            </w:r>
          </w:p>
        </w:tc>
        <w:tc>
          <w:tcPr>
            <w:tcW w:w="666" w:type="dxa"/>
            <w:vAlign w:val="center"/>
          </w:tcPr>
          <w:p>
            <w:pPr>
              <w:pStyle w:val="0"/>
              <w:jc w:val="center"/>
            </w:pPr>
            <w:r>
              <w:rPr>
                <w:sz w:val="20"/>
              </w:rPr>
              <w:t xml:space="preserve">75</w:t>
            </w:r>
          </w:p>
        </w:tc>
        <w:tc>
          <w:tcPr>
            <w:tcW w:w="723" w:type="dxa"/>
            <w:vAlign w:val="center"/>
          </w:tcPr>
          <w:p>
            <w:pPr>
              <w:pStyle w:val="0"/>
              <w:jc w:val="center"/>
            </w:pPr>
            <w:r>
              <w:rPr>
                <w:sz w:val="20"/>
              </w:rPr>
              <w:t xml:space="preserve">3,6</w:t>
            </w:r>
          </w:p>
        </w:tc>
        <w:tc>
          <w:tcPr>
            <w:tcW w:w="666" w:type="dxa"/>
            <w:vAlign w:val="center"/>
          </w:tcPr>
          <w:p>
            <w:pPr>
              <w:pStyle w:val="0"/>
              <w:jc w:val="center"/>
            </w:pPr>
            <w:r>
              <w:rPr>
                <w:sz w:val="20"/>
              </w:rPr>
              <w:t xml:space="preserve">75</w:t>
            </w:r>
          </w:p>
        </w:tc>
        <w:tc>
          <w:tcPr>
            <w:tcW w:w="671" w:type="dxa"/>
            <w:vAlign w:val="center"/>
          </w:tcPr>
          <w:p>
            <w:pPr>
              <w:pStyle w:val="0"/>
              <w:jc w:val="center"/>
            </w:pPr>
            <w:r>
              <w:rPr>
                <w:sz w:val="20"/>
              </w:rPr>
              <w:t xml:space="preserve">3,8</w:t>
            </w:r>
          </w:p>
        </w:tc>
        <w:tc>
          <w:tcPr>
            <w:tcW w:w="772" w:type="dxa"/>
            <w:vAlign w:val="center"/>
          </w:tcPr>
          <w:p>
            <w:pPr>
              <w:pStyle w:val="0"/>
              <w:jc w:val="center"/>
            </w:pPr>
            <w:r>
              <w:rPr>
                <w:sz w:val="20"/>
              </w:rPr>
              <w:t xml:space="preserve">61</w:t>
            </w:r>
          </w:p>
        </w:tc>
        <w:tc>
          <w:tcPr>
            <w:tcW w:w="989" w:type="dxa"/>
            <w:vAlign w:val="center"/>
          </w:tcPr>
          <w:p>
            <w:pPr>
              <w:pStyle w:val="0"/>
              <w:jc w:val="center"/>
            </w:pPr>
            <w:r>
              <w:rPr>
                <w:sz w:val="20"/>
              </w:rPr>
              <w:t xml:space="preserve">3,2</w:t>
            </w:r>
          </w:p>
        </w:tc>
        <w:tc>
          <w:tcPr>
            <w:tcW w:w="808" w:type="dxa"/>
            <w:vAlign w:val="center"/>
          </w:tcPr>
          <w:p>
            <w:pPr>
              <w:pStyle w:val="0"/>
              <w:jc w:val="center"/>
            </w:pPr>
            <w:r>
              <w:rPr>
                <w:sz w:val="20"/>
              </w:rPr>
              <w:t xml:space="preserve">24</w:t>
            </w:r>
          </w:p>
        </w:tc>
        <w:tc>
          <w:tcPr>
            <w:tcW w:w="811" w:type="dxa"/>
            <w:vAlign w:val="center"/>
          </w:tcPr>
          <w:p>
            <w:pPr>
              <w:pStyle w:val="0"/>
              <w:jc w:val="center"/>
            </w:pPr>
            <w:r>
              <w:rPr>
                <w:sz w:val="20"/>
              </w:rPr>
              <w:t xml:space="preserve">2,5</w:t>
            </w:r>
          </w:p>
        </w:tc>
      </w:tr>
    </w:tbl>
    <w:p>
      <w:pPr>
        <w:pStyle w:val="0"/>
        <w:jc w:val="right"/>
      </w:pPr>
      <w:r>
        <w:rPr>
          <w:sz w:val="20"/>
        </w:rPr>
      </w:r>
    </w:p>
    <w:p>
      <w:pPr>
        <w:pStyle w:val="0"/>
        <w:jc w:val="right"/>
      </w:pPr>
      <w:r>
        <w:rPr>
          <w:sz w:val="20"/>
        </w:rPr>
        <w:t xml:space="preserve">Таблица 4</w:t>
      </w:r>
    </w:p>
    <w:p>
      <w:pPr>
        <w:pStyle w:val="0"/>
        <w:jc w:val="right"/>
      </w:pPr>
      <w:r>
        <w:rPr>
          <w:sz w:val="20"/>
        </w:rPr>
      </w:r>
    </w:p>
    <w:p>
      <w:pPr>
        <w:pStyle w:val="0"/>
        <w:jc w:val="center"/>
      </w:pPr>
      <w:r>
        <w:rPr>
          <w:sz w:val="20"/>
        </w:rPr>
        <w:t xml:space="preserve">Структура младенческой смертности в автономном округе</w:t>
      </w:r>
    </w:p>
    <w:p>
      <w:pPr>
        <w:pStyle w:val="0"/>
        <w:jc w:val="center"/>
      </w:pPr>
      <w:r>
        <w:rPr>
          <w:sz w:val="20"/>
        </w:rPr>
        <w:t xml:space="preserve">за период 2019 - 2023 гг.</w:t>
      </w:r>
    </w:p>
    <w:p>
      <w:pPr>
        <w:pStyle w:val="0"/>
        <w:jc w:val="center"/>
      </w:pPr>
      <w:r>
        <w:rPr>
          <w:sz w:val="20"/>
        </w:rPr>
        <w:t xml:space="preserve">(данные Управления федеральной службы государственной</w:t>
      </w:r>
    </w:p>
    <w:p>
      <w:pPr>
        <w:pStyle w:val="0"/>
        <w:jc w:val="center"/>
      </w:pPr>
      <w:r>
        <w:rPr>
          <w:sz w:val="20"/>
        </w:rPr>
        <w:t xml:space="preserve">статистики по Тюменской области, автономному округу</w:t>
      </w:r>
    </w:p>
    <w:p>
      <w:pPr>
        <w:pStyle w:val="0"/>
        <w:jc w:val="center"/>
      </w:pPr>
      <w:r>
        <w:rPr>
          <w:sz w:val="20"/>
        </w:rPr>
        <w:t xml:space="preserve">и Ямало-Ненецкому автономному округу)</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020"/>
        <w:gridCol w:w="1020"/>
        <w:gridCol w:w="1020"/>
        <w:gridCol w:w="1020"/>
        <w:gridCol w:w="1020"/>
        <w:gridCol w:w="1020"/>
        <w:gridCol w:w="1020"/>
        <w:gridCol w:w="1020"/>
        <w:gridCol w:w="1020"/>
        <w:gridCol w:w="1020"/>
      </w:tblGrid>
      <w:tr>
        <w:tc>
          <w:tcPr>
            <w:tcW w:w="2721" w:type="dxa"/>
            <w:vMerge w:val="restart"/>
          </w:tcPr>
          <w:p>
            <w:pPr>
              <w:pStyle w:val="0"/>
              <w:jc w:val="center"/>
            </w:pPr>
            <w:r>
              <w:rPr>
                <w:sz w:val="20"/>
              </w:rPr>
              <w:t xml:space="preserve">Наименование показателя</w:t>
            </w:r>
          </w:p>
        </w:tc>
        <w:tc>
          <w:tcPr>
            <w:gridSpan w:val="2"/>
            <w:tcW w:w="2040" w:type="dxa"/>
          </w:tcPr>
          <w:p>
            <w:pPr>
              <w:pStyle w:val="0"/>
              <w:jc w:val="center"/>
            </w:pPr>
            <w:r>
              <w:rPr>
                <w:sz w:val="20"/>
              </w:rPr>
              <w:t xml:space="preserve">2019 год</w:t>
            </w:r>
          </w:p>
        </w:tc>
        <w:tc>
          <w:tcPr>
            <w:gridSpan w:val="2"/>
            <w:tcW w:w="2040" w:type="dxa"/>
          </w:tcPr>
          <w:p>
            <w:pPr>
              <w:pStyle w:val="0"/>
              <w:jc w:val="center"/>
            </w:pPr>
            <w:r>
              <w:rPr>
                <w:sz w:val="20"/>
              </w:rPr>
              <w:t xml:space="preserve">2020 год</w:t>
            </w:r>
          </w:p>
        </w:tc>
        <w:tc>
          <w:tcPr>
            <w:gridSpan w:val="2"/>
            <w:tcW w:w="2040" w:type="dxa"/>
          </w:tcPr>
          <w:p>
            <w:pPr>
              <w:pStyle w:val="0"/>
              <w:jc w:val="center"/>
            </w:pPr>
            <w:r>
              <w:rPr>
                <w:sz w:val="20"/>
              </w:rPr>
              <w:t xml:space="preserve">2021 год</w:t>
            </w:r>
          </w:p>
        </w:tc>
        <w:tc>
          <w:tcPr>
            <w:gridSpan w:val="2"/>
            <w:tcW w:w="2040" w:type="dxa"/>
          </w:tcPr>
          <w:p>
            <w:pPr>
              <w:pStyle w:val="0"/>
              <w:jc w:val="center"/>
            </w:pPr>
            <w:r>
              <w:rPr>
                <w:sz w:val="20"/>
              </w:rPr>
              <w:t xml:space="preserve">2022 год</w:t>
            </w:r>
          </w:p>
        </w:tc>
        <w:tc>
          <w:tcPr>
            <w:gridSpan w:val="2"/>
            <w:tcW w:w="2040" w:type="dxa"/>
          </w:tcPr>
          <w:p>
            <w:pPr>
              <w:pStyle w:val="0"/>
              <w:jc w:val="center"/>
            </w:pPr>
            <w:r>
              <w:rPr>
                <w:sz w:val="20"/>
              </w:rPr>
              <w:t xml:space="preserve">6 месяцев 2023 года</w:t>
            </w:r>
          </w:p>
        </w:tc>
      </w:tr>
      <w:tr>
        <w:tc>
          <w:tcPr>
            <w:vMerge w:val="continue"/>
          </w:tcPr>
          <w:p/>
        </w:tc>
        <w:tc>
          <w:tcPr>
            <w:tcW w:w="1020" w:type="dxa"/>
          </w:tcPr>
          <w:p>
            <w:pPr>
              <w:pStyle w:val="0"/>
              <w:jc w:val="center"/>
            </w:pPr>
            <w:r>
              <w:rPr>
                <w:sz w:val="20"/>
              </w:rPr>
              <w:t xml:space="preserve">Абс.</w:t>
            </w:r>
          </w:p>
        </w:tc>
        <w:tc>
          <w:tcPr>
            <w:tcW w:w="1020" w:type="dxa"/>
          </w:tcPr>
          <w:p>
            <w:pPr>
              <w:pStyle w:val="0"/>
              <w:jc w:val="center"/>
            </w:pPr>
            <w:r>
              <w:rPr>
                <w:sz w:val="20"/>
              </w:rPr>
              <w:t xml:space="preserve">Пок-ль</w:t>
            </w:r>
          </w:p>
        </w:tc>
        <w:tc>
          <w:tcPr>
            <w:tcW w:w="1020" w:type="dxa"/>
          </w:tcPr>
          <w:p>
            <w:pPr>
              <w:pStyle w:val="0"/>
              <w:jc w:val="center"/>
            </w:pPr>
            <w:r>
              <w:rPr>
                <w:sz w:val="20"/>
              </w:rPr>
              <w:t xml:space="preserve">Абс.</w:t>
            </w:r>
          </w:p>
        </w:tc>
        <w:tc>
          <w:tcPr>
            <w:tcW w:w="1020" w:type="dxa"/>
          </w:tcPr>
          <w:p>
            <w:pPr>
              <w:pStyle w:val="0"/>
              <w:jc w:val="center"/>
            </w:pPr>
            <w:r>
              <w:rPr>
                <w:sz w:val="20"/>
              </w:rPr>
              <w:t xml:space="preserve">Пок-ль</w:t>
            </w:r>
          </w:p>
        </w:tc>
        <w:tc>
          <w:tcPr>
            <w:tcW w:w="1020" w:type="dxa"/>
          </w:tcPr>
          <w:p>
            <w:pPr>
              <w:pStyle w:val="0"/>
              <w:jc w:val="center"/>
            </w:pPr>
            <w:r>
              <w:rPr>
                <w:sz w:val="20"/>
              </w:rPr>
              <w:t xml:space="preserve">Абс.</w:t>
            </w:r>
          </w:p>
        </w:tc>
        <w:tc>
          <w:tcPr>
            <w:tcW w:w="1020" w:type="dxa"/>
          </w:tcPr>
          <w:p>
            <w:pPr>
              <w:pStyle w:val="0"/>
              <w:jc w:val="center"/>
            </w:pPr>
            <w:r>
              <w:rPr>
                <w:sz w:val="20"/>
              </w:rPr>
              <w:t xml:space="preserve">Пок-ль</w:t>
            </w:r>
          </w:p>
        </w:tc>
        <w:tc>
          <w:tcPr>
            <w:tcW w:w="1020" w:type="dxa"/>
          </w:tcPr>
          <w:p>
            <w:pPr>
              <w:pStyle w:val="0"/>
              <w:jc w:val="center"/>
            </w:pPr>
            <w:r>
              <w:rPr>
                <w:sz w:val="20"/>
              </w:rPr>
              <w:t xml:space="preserve">Абс.</w:t>
            </w:r>
          </w:p>
        </w:tc>
        <w:tc>
          <w:tcPr>
            <w:tcW w:w="1020" w:type="dxa"/>
          </w:tcPr>
          <w:p>
            <w:pPr>
              <w:pStyle w:val="0"/>
              <w:jc w:val="center"/>
            </w:pPr>
            <w:r>
              <w:rPr>
                <w:sz w:val="20"/>
              </w:rPr>
              <w:t xml:space="preserve">Пок-ль</w:t>
            </w:r>
          </w:p>
        </w:tc>
        <w:tc>
          <w:tcPr>
            <w:tcW w:w="1020" w:type="dxa"/>
          </w:tcPr>
          <w:p>
            <w:pPr>
              <w:pStyle w:val="0"/>
              <w:jc w:val="center"/>
            </w:pPr>
            <w:r>
              <w:rPr>
                <w:sz w:val="20"/>
              </w:rPr>
              <w:t xml:space="preserve">Абс.</w:t>
            </w:r>
          </w:p>
        </w:tc>
        <w:tc>
          <w:tcPr>
            <w:tcW w:w="1020" w:type="dxa"/>
          </w:tcPr>
          <w:p>
            <w:pPr>
              <w:pStyle w:val="0"/>
              <w:jc w:val="center"/>
            </w:pPr>
            <w:r>
              <w:rPr>
                <w:sz w:val="20"/>
              </w:rPr>
              <w:t xml:space="preserve">Пок-ль</w:t>
            </w:r>
          </w:p>
        </w:tc>
      </w:tr>
      <w:tr>
        <w:tc>
          <w:tcPr>
            <w:tcW w:w="2721" w:type="dxa"/>
          </w:tcPr>
          <w:p>
            <w:pPr>
              <w:pStyle w:val="0"/>
            </w:pPr>
            <w:r>
              <w:rPr>
                <w:sz w:val="20"/>
              </w:rPr>
              <w:t xml:space="preserve">Всего умерших от всех причин, на 1000 родившихся живыми</w:t>
            </w:r>
          </w:p>
        </w:tc>
        <w:tc>
          <w:tcPr>
            <w:tcW w:w="1020" w:type="dxa"/>
          </w:tcPr>
          <w:p>
            <w:pPr>
              <w:pStyle w:val="0"/>
            </w:pPr>
            <w:r>
              <w:rPr>
                <w:sz w:val="20"/>
              </w:rPr>
              <w:t xml:space="preserve">87</w:t>
            </w:r>
          </w:p>
        </w:tc>
        <w:tc>
          <w:tcPr>
            <w:tcW w:w="1020" w:type="dxa"/>
          </w:tcPr>
          <w:p>
            <w:pPr>
              <w:pStyle w:val="0"/>
            </w:pPr>
            <w:r>
              <w:rPr>
                <w:sz w:val="20"/>
              </w:rPr>
              <w:t xml:space="preserve">4,1</w:t>
            </w:r>
          </w:p>
        </w:tc>
        <w:tc>
          <w:tcPr>
            <w:tcW w:w="1020" w:type="dxa"/>
          </w:tcPr>
          <w:p>
            <w:pPr>
              <w:pStyle w:val="0"/>
            </w:pPr>
            <w:r>
              <w:rPr>
                <w:sz w:val="20"/>
              </w:rPr>
              <w:t xml:space="preserve">75</w:t>
            </w:r>
          </w:p>
        </w:tc>
        <w:tc>
          <w:tcPr>
            <w:tcW w:w="1020" w:type="dxa"/>
          </w:tcPr>
          <w:p>
            <w:pPr>
              <w:pStyle w:val="0"/>
            </w:pPr>
            <w:r>
              <w:rPr>
                <w:sz w:val="20"/>
              </w:rPr>
              <w:t xml:space="preserve">3,6</w:t>
            </w:r>
          </w:p>
        </w:tc>
        <w:tc>
          <w:tcPr>
            <w:tcW w:w="1020" w:type="dxa"/>
          </w:tcPr>
          <w:p>
            <w:pPr>
              <w:pStyle w:val="0"/>
            </w:pPr>
            <w:r>
              <w:rPr>
                <w:sz w:val="20"/>
              </w:rPr>
              <w:t xml:space="preserve">75</w:t>
            </w:r>
          </w:p>
        </w:tc>
        <w:tc>
          <w:tcPr>
            <w:tcW w:w="1020" w:type="dxa"/>
          </w:tcPr>
          <w:p>
            <w:pPr>
              <w:pStyle w:val="0"/>
            </w:pPr>
            <w:r>
              <w:rPr>
                <w:sz w:val="20"/>
              </w:rPr>
              <w:t xml:space="preserve">3,8</w:t>
            </w:r>
          </w:p>
        </w:tc>
        <w:tc>
          <w:tcPr>
            <w:tcW w:w="1020" w:type="dxa"/>
          </w:tcPr>
          <w:p>
            <w:pPr>
              <w:pStyle w:val="0"/>
            </w:pPr>
            <w:r>
              <w:rPr>
                <w:sz w:val="20"/>
              </w:rPr>
              <w:t xml:space="preserve">61</w:t>
            </w:r>
          </w:p>
        </w:tc>
        <w:tc>
          <w:tcPr>
            <w:tcW w:w="1020" w:type="dxa"/>
          </w:tcPr>
          <w:p>
            <w:pPr>
              <w:pStyle w:val="0"/>
            </w:pPr>
            <w:r>
              <w:rPr>
                <w:sz w:val="20"/>
              </w:rPr>
              <w:t xml:space="preserve">3,2</w:t>
            </w:r>
          </w:p>
        </w:tc>
        <w:tc>
          <w:tcPr>
            <w:tcW w:w="1020" w:type="dxa"/>
          </w:tcPr>
          <w:p>
            <w:pPr>
              <w:pStyle w:val="0"/>
            </w:pPr>
            <w:r>
              <w:rPr>
                <w:sz w:val="20"/>
              </w:rPr>
              <w:t xml:space="preserve">24</w:t>
            </w:r>
          </w:p>
        </w:tc>
        <w:tc>
          <w:tcPr>
            <w:tcW w:w="1020" w:type="dxa"/>
          </w:tcPr>
          <w:p>
            <w:pPr>
              <w:pStyle w:val="0"/>
            </w:pPr>
            <w:r>
              <w:rPr>
                <w:sz w:val="20"/>
              </w:rPr>
              <w:t xml:space="preserve">2,5</w:t>
            </w:r>
          </w:p>
        </w:tc>
      </w:tr>
      <w:tr>
        <w:tc>
          <w:tcPr>
            <w:tcW w:w="2721" w:type="dxa"/>
          </w:tcPr>
          <w:p>
            <w:pPr>
              <w:pStyle w:val="0"/>
            </w:pPr>
            <w:r>
              <w:rPr>
                <w:sz w:val="20"/>
              </w:rPr>
              <w:t xml:space="preserve">в том числе на 10000 родившихся живыми</w:t>
            </w:r>
          </w:p>
        </w:tc>
        <w:tc>
          <w:tcPr>
            <w:tcW w:w="1020" w:type="dxa"/>
          </w:tcPr>
          <w:p>
            <w:pPr>
              <w:pStyle w:val="0"/>
            </w:pPr>
            <w:r>
              <w:rPr>
                <w:sz w:val="20"/>
              </w:rPr>
              <w:t xml:space="preserve">87</w:t>
            </w:r>
          </w:p>
        </w:tc>
        <w:tc>
          <w:tcPr>
            <w:tcW w:w="1020" w:type="dxa"/>
          </w:tcPr>
          <w:p>
            <w:pPr>
              <w:pStyle w:val="0"/>
            </w:pPr>
            <w:r>
              <w:rPr>
                <w:sz w:val="20"/>
              </w:rPr>
              <w:t xml:space="preserve">41,29</w:t>
            </w:r>
          </w:p>
        </w:tc>
        <w:tc>
          <w:tcPr>
            <w:tcW w:w="1020" w:type="dxa"/>
          </w:tcPr>
          <w:p>
            <w:pPr>
              <w:pStyle w:val="0"/>
            </w:pPr>
            <w:r>
              <w:rPr>
                <w:sz w:val="20"/>
              </w:rPr>
              <w:t xml:space="preserve">75</w:t>
            </w:r>
          </w:p>
        </w:tc>
        <w:tc>
          <w:tcPr>
            <w:tcW w:w="1020" w:type="dxa"/>
          </w:tcPr>
          <w:p>
            <w:pPr>
              <w:pStyle w:val="0"/>
            </w:pPr>
            <w:r>
              <w:rPr>
                <w:sz w:val="20"/>
              </w:rPr>
              <w:t xml:space="preserve">36,37</w:t>
            </w:r>
          </w:p>
        </w:tc>
        <w:tc>
          <w:tcPr>
            <w:tcW w:w="1020" w:type="dxa"/>
          </w:tcPr>
          <w:p>
            <w:pPr>
              <w:pStyle w:val="0"/>
            </w:pPr>
            <w:r>
              <w:rPr>
                <w:sz w:val="20"/>
              </w:rPr>
              <w:t xml:space="preserve">75</w:t>
            </w:r>
          </w:p>
        </w:tc>
        <w:tc>
          <w:tcPr>
            <w:tcW w:w="1020" w:type="dxa"/>
          </w:tcPr>
          <w:p>
            <w:pPr>
              <w:pStyle w:val="0"/>
            </w:pPr>
            <w:r>
              <w:rPr>
                <w:sz w:val="20"/>
              </w:rPr>
              <w:t xml:space="preserve">37,90</w:t>
            </w:r>
          </w:p>
        </w:tc>
        <w:tc>
          <w:tcPr>
            <w:tcW w:w="1020" w:type="dxa"/>
          </w:tcPr>
          <w:p>
            <w:pPr>
              <w:pStyle w:val="0"/>
            </w:pPr>
            <w:r>
              <w:rPr>
                <w:sz w:val="20"/>
              </w:rPr>
              <w:t xml:space="preserve">61</w:t>
            </w:r>
          </w:p>
        </w:tc>
        <w:tc>
          <w:tcPr>
            <w:tcW w:w="1020" w:type="dxa"/>
          </w:tcPr>
          <w:p>
            <w:pPr>
              <w:pStyle w:val="0"/>
            </w:pPr>
            <w:r>
              <w:rPr>
                <w:sz w:val="20"/>
              </w:rPr>
              <w:t xml:space="preserve">31,9</w:t>
            </w:r>
          </w:p>
        </w:tc>
        <w:tc>
          <w:tcPr>
            <w:tcW w:w="1020" w:type="dxa"/>
          </w:tcPr>
          <w:p>
            <w:pPr>
              <w:pStyle w:val="0"/>
            </w:pPr>
            <w:r>
              <w:rPr>
                <w:sz w:val="20"/>
              </w:rPr>
              <w:t xml:space="preserve">24</w:t>
            </w:r>
          </w:p>
        </w:tc>
        <w:tc>
          <w:tcPr>
            <w:tcW w:w="1020" w:type="dxa"/>
          </w:tcPr>
          <w:p>
            <w:pPr>
              <w:pStyle w:val="0"/>
            </w:pPr>
            <w:r>
              <w:rPr>
                <w:sz w:val="20"/>
              </w:rPr>
              <w:t xml:space="preserve">26,72</w:t>
            </w:r>
          </w:p>
        </w:tc>
      </w:tr>
      <w:tr>
        <w:tc>
          <w:tcPr>
            <w:tcW w:w="2721" w:type="dxa"/>
          </w:tcPr>
          <w:p>
            <w:pPr>
              <w:pStyle w:val="0"/>
            </w:pPr>
            <w:r>
              <w:rPr>
                <w:sz w:val="20"/>
              </w:rPr>
              <w:t xml:space="preserve">от некоторых инфекционных и паразитарных болезней</w:t>
            </w:r>
          </w:p>
        </w:tc>
        <w:tc>
          <w:tcPr>
            <w:tcW w:w="1020" w:type="dxa"/>
          </w:tcPr>
          <w:p>
            <w:pPr>
              <w:pStyle w:val="0"/>
            </w:pPr>
            <w:r>
              <w:rPr>
                <w:sz w:val="20"/>
              </w:rPr>
              <w:t xml:space="preserve">1</w:t>
            </w:r>
          </w:p>
        </w:tc>
        <w:tc>
          <w:tcPr>
            <w:tcW w:w="1020" w:type="dxa"/>
          </w:tcPr>
          <w:p>
            <w:pPr>
              <w:pStyle w:val="0"/>
            </w:pPr>
            <w:r>
              <w:rPr>
                <w:sz w:val="20"/>
              </w:rPr>
              <w:t xml:space="preserve">0,48</w:t>
            </w:r>
          </w:p>
        </w:tc>
        <w:tc>
          <w:tcPr>
            <w:tcW w:w="1020" w:type="dxa"/>
          </w:tcPr>
          <w:p>
            <w:pPr>
              <w:pStyle w:val="0"/>
            </w:pPr>
            <w:r>
              <w:rPr>
                <w:sz w:val="20"/>
              </w:rPr>
              <w:t xml:space="preserve">1</w:t>
            </w:r>
          </w:p>
        </w:tc>
        <w:tc>
          <w:tcPr>
            <w:tcW w:w="1020" w:type="dxa"/>
          </w:tcPr>
          <w:p>
            <w:pPr>
              <w:pStyle w:val="0"/>
            </w:pPr>
            <w:r>
              <w:rPr>
                <w:sz w:val="20"/>
              </w:rPr>
              <w:t xml:space="preserve">0,49</w:t>
            </w:r>
          </w:p>
        </w:tc>
        <w:tc>
          <w:tcPr>
            <w:tcW w:w="1020" w:type="dxa"/>
          </w:tcPr>
          <w:p>
            <w:pPr>
              <w:pStyle w:val="0"/>
            </w:pPr>
            <w:r>
              <w:rPr>
                <w:sz w:val="20"/>
              </w:rPr>
              <w:t xml:space="preserve">1</w:t>
            </w:r>
          </w:p>
        </w:tc>
        <w:tc>
          <w:tcPr>
            <w:tcW w:w="1020" w:type="dxa"/>
          </w:tcPr>
          <w:p>
            <w:pPr>
              <w:pStyle w:val="0"/>
            </w:pPr>
            <w:r>
              <w:rPr>
                <w:sz w:val="20"/>
              </w:rPr>
              <w:t xml:space="preserve">0,51</w:t>
            </w:r>
          </w:p>
        </w:tc>
        <w:tc>
          <w:tcPr>
            <w:tcW w:w="1020" w:type="dxa"/>
          </w:tcPr>
          <w:p>
            <w:pPr>
              <w:pStyle w:val="0"/>
            </w:pPr>
            <w:r>
              <w:rPr>
                <w:sz w:val="20"/>
              </w:rPr>
              <w:t xml:space="preserve">2</w:t>
            </w:r>
          </w:p>
        </w:tc>
        <w:tc>
          <w:tcPr>
            <w:tcW w:w="1020" w:type="dxa"/>
          </w:tcPr>
          <w:p>
            <w:pPr>
              <w:pStyle w:val="0"/>
            </w:pPr>
            <w:r>
              <w:rPr>
                <w:sz w:val="20"/>
              </w:rPr>
              <w:t xml:space="preserve">1,045</w:t>
            </w:r>
          </w:p>
        </w:tc>
        <w:tc>
          <w:tcPr>
            <w:tcW w:w="1020" w:type="dxa"/>
          </w:tcPr>
          <w:p>
            <w:pPr>
              <w:pStyle w:val="0"/>
            </w:pPr>
            <w:r>
              <w:rPr>
                <w:sz w:val="20"/>
              </w:rPr>
            </w:r>
          </w:p>
        </w:tc>
        <w:tc>
          <w:tcPr>
            <w:tcW w:w="1020" w:type="dxa"/>
          </w:tcPr>
          <w:p>
            <w:pPr>
              <w:pStyle w:val="0"/>
            </w:pPr>
            <w:r>
              <w:rPr>
                <w:sz w:val="20"/>
              </w:rPr>
            </w:r>
          </w:p>
        </w:tc>
      </w:tr>
      <w:tr>
        <w:tc>
          <w:tcPr>
            <w:tcW w:w="2721" w:type="dxa"/>
          </w:tcPr>
          <w:p>
            <w:pPr>
              <w:pStyle w:val="0"/>
            </w:pPr>
            <w:r>
              <w:rPr>
                <w:sz w:val="20"/>
              </w:rPr>
              <w:t xml:space="preserve">от болезней эндокринной системы, расстройства питания и нарушения обмена веществ</w:t>
            </w:r>
          </w:p>
        </w:tc>
        <w:tc>
          <w:tcPr>
            <w:tcW w:w="1020" w:type="dxa"/>
          </w:tcPr>
          <w:p>
            <w:pPr>
              <w:pStyle w:val="0"/>
            </w:pPr>
            <w:r>
              <w:rPr>
                <w:sz w:val="20"/>
              </w:rPr>
              <w:t xml:space="preserve">-</w:t>
            </w:r>
          </w:p>
        </w:tc>
        <w:tc>
          <w:tcPr>
            <w:tcW w:w="1020" w:type="dxa"/>
          </w:tcPr>
          <w:p>
            <w:pPr>
              <w:pStyle w:val="0"/>
            </w:pPr>
            <w:r>
              <w:rPr>
                <w:sz w:val="20"/>
              </w:rPr>
            </w:r>
          </w:p>
        </w:tc>
        <w:tc>
          <w:tcPr>
            <w:tcW w:w="1020" w:type="dxa"/>
          </w:tcPr>
          <w:p>
            <w:pPr>
              <w:pStyle w:val="0"/>
            </w:pPr>
            <w:r>
              <w:rPr>
                <w:sz w:val="20"/>
              </w:rPr>
              <w:t xml:space="preserve">-</w:t>
            </w:r>
          </w:p>
        </w:tc>
        <w:tc>
          <w:tcPr>
            <w:tcW w:w="1020" w:type="dxa"/>
          </w:tcPr>
          <w:p>
            <w:pPr>
              <w:pStyle w:val="0"/>
            </w:pPr>
            <w:r>
              <w:rPr>
                <w:sz w:val="20"/>
              </w:rPr>
              <w:t xml:space="preserve">-</w:t>
            </w:r>
          </w:p>
        </w:tc>
        <w:tc>
          <w:tcPr>
            <w:tcW w:w="1020" w:type="dxa"/>
          </w:tcPr>
          <w:p>
            <w:pPr>
              <w:pStyle w:val="0"/>
            </w:pPr>
            <w:r>
              <w:rPr>
                <w:sz w:val="20"/>
              </w:rPr>
              <w:t xml:space="preserve">-</w:t>
            </w:r>
          </w:p>
        </w:tc>
        <w:tc>
          <w:tcPr>
            <w:tcW w:w="1020" w:type="dxa"/>
          </w:tcPr>
          <w:p>
            <w:pPr>
              <w:pStyle w:val="0"/>
            </w:pPr>
            <w:r>
              <w:rPr>
                <w:sz w:val="20"/>
              </w:rPr>
              <w:t xml:space="preserve">-</w:t>
            </w:r>
          </w:p>
        </w:tc>
        <w:tc>
          <w:tcPr>
            <w:tcW w:w="1020" w:type="dxa"/>
          </w:tcPr>
          <w:p>
            <w:pPr>
              <w:pStyle w:val="0"/>
            </w:pPr>
            <w:r>
              <w:rPr>
                <w:sz w:val="20"/>
              </w:rPr>
              <w:t xml:space="preserve">-</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2721" w:type="dxa"/>
          </w:tcPr>
          <w:p>
            <w:pPr>
              <w:pStyle w:val="0"/>
            </w:pPr>
            <w:r>
              <w:rPr>
                <w:sz w:val="20"/>
              </w:rPr>
              <w:t xml:space="preserve">от болезней нервной системы</w:t>
            </w:r>
          </w:p>
        </w:tc>
        <w:tc>
          <w:tcPr>
            <w:tcW w:w="1020" w:type="dxa"/>
          </w:tcPr>
          <w:p>
            <w:pPr>
              <w:pStyle w:val="0"/>
            </w:pPr>
            <w:r>
              <w:rPr>
                <w:sz w:val="20"/>
              </w:rPr>
              <w:t xml:space="preserve">3</w:t>
            </w:r>
          </w:p>
        </w:tc>
        <w:tc>
          <w:tcPr>
            <w:tcW w:w="1020" w:type="dxa"/>
          </w:tcPr>
          <w:p>
            <w:pPr>
              <w:pStyle w:val="0"/>
            </w:pPr>
            <w:r>
              <w:rPr>
                <w:sz w:val="20"/>
              </w:rPr>
              <w:t xml:space="preserve">1,42</w:t>
            </w:r>
          </w:p>
        </w:tc>
        <w:tc>
          <w:tcPr>
            <w:tcW w:w="1020" w:type="dxa"/>
          </w:tcPr>
          <w:p>
            <w:pPr>
              <w:pStyle w:val="0"/>
            </w:pPr>
            <w:r>
              <w:rPr>
                <w:sz w:val="20"/>
              </w:rPr>
              <w:t xml:space="preserve">3</w:t>
            </w:r>
          </w:p>
        </w:tc>
        <w:tc>
          <w:tcPr>
            <w:tcW w:w="1020" w:type="dxa"/>
          </w:tcPr>
          <w:p>
            <w:pPr>
              <w:pStyle w:val="0"/>
            </w:pPr>
            <w:r>
              <w:rPr>
                <w:sz w:val="20"/>
              </w:rPr>
              <w:t xml:space="preserve">1,45</w:t>
            </w:r>
          </w:p>
        </w:tc>
        <w:tc>
          <w:tcPr>
            <w:tcW w:w="1020" w:type="dxa"/>
          </w:tcPr>
          <w:p>
            <w:pPr>
              <w:pStyle w:val="0"/>
            </w:pPr>
            <w:r>
              <w:rPr>
                <w:sz w:val="20"/>
              </w:rPr>
              <w:t xml:space="preserve">5</w:t>
            </w:r>
          </w:p>
        </w:tc>
        <w:tc>
          <w:tcPr>
            <w:tcW w:w="1020" w:type="dxa"/>
          </w:tcPr>
          <w:p>
            <w:pPr>
              <w:pStyle w:val="0"/>
            </w:pPr>
            <w:r>
              <w:rPr>
                <w:sz w:val="20"/>
              </w:rPr>
              <w:t xml:space="preserve">2,53</w:t>
            </w:r>
          </w:p>
        </w:tc>
        <w:tc>
          <w:tcPr>
            <w:tcW w:w="1020" w:type="dxa"/>
          </w:tcPr>
          <w:p>
            <w:pPr>
              <w:pStyle w:val="0"/>
            </w:pPr>
            <w:r>
              <w:rPr>
                <w:sz w:val="20"/>
              </w:rPr>
              <w:t xml:space="preserve">4</w:t>
            </w:r>
          </w:p>
        </w:tc>
        <w:tc>
          <w:tcPr>
            <w:tcW w:w="1020" w:type="dxa"/>
          </w:tcPr>
          <w:p>
            <w:pPr>
              <w:pStyle w:val="0"/>
            </w:pPr>
            <w:r>
              <w:rPr>
                <w:sz w:val="20"/>
              </w:rPr>
              <w:t xml:space="preserve">2,09</w:t>
            </w:r>
          </w:p>
        </w:tc>
        <w:tc>
          <w:tcPr>
            <w:tcW w:w="1020" w:type="dxa"/>
          </w:tcPr>
          <w:p>
            <w:pPr>
              <w:pStyle w:val="0"/>
            </w:pPr>
            <w:r>
              <w:rPr>
                <w:sz w:val="20"/>
              </w:rPr>
            </w:r>
          </w:p>
        </w:tc>
        <w:tc>
          <w:tcPr>
            <w:tcW w:w="1020" w:type="dxa"/>
          </w:tcPr>
          <w:p>
            <w:pPr>
              <w:pStyle w:val="0"/>
            </w:pPr>
            <w:r>
              <w:rPr>
                <w:sz w:val="20"/>
              </w:rPr>
            </w:r>
          </w:p>
        </w:tc>
      </w:tr>
      <w:tr>
        <w:tc>
          <w:tcPr>
            <w:tcW w:w="2721" w:type="dxa"/>
          </w:tcPr>
          <w:p>
            <w:pPr>
              <w:pStyle w:val="0"/>
            </w:pPr>
            <w:r>
              <w:rPr>
                <w:sz w:val="20"/>
              </w:rPr>
              <w:t xml:space="preserve">от болезней органов дыхания</w:t>
            </w:r>
          </w:p>
        </w:tc>
        <w:tc>
          <w:tcPr>
            <w:tcW w:w="1020" w:type="dxa"/>
          </w:tcPr>
          <w:p>
            <w:pPr>
              <w:pStyle w:val="0"/>
            </w:pPr>
            <w:r>
              <w:rPr>
                <w:sz w:val="20"/>
              </w:rPr>
              <w:t xml:space="preserve">4</w:t>
            </w:r>
          </w:p>
        </w:tc>
        <w:tc>
          <w:tcPr>
            <w:tcW w:w="1020" w:type="dxa"/>
          </w:tcPr>
          <w:p>
            <w:pPr>
              <w:pStyle w:val="0"/>
            </w:pPr>
            <w:r>
              <w:rPr>
                <w:sz w:val="20"/>
              </w:rPr>
              <w:t xml:space="preserve">1,90</w:t>
            </w:r>
          </w:p>
        </w:tc>
        <w:tc>
          <w:tcPr>
            <w:tcW w:w="1020" w:type="dxa"/>
          </w:tcPr>
          <w:p>
            <w:pPr>
              <w:pStyle w:val="0"/>
            </w:pPr>
            <w:r>
              <w:rPr>
                <w:sz w:val="20"/>
              </w:rPr>
              <w:t xml:space="preserve">-</w:t>
            </w:r>
          </w:p>
        </w:tc>
        <w:tc>
          <w:tcPr>
            <w:tcW w:w="1020" w:type="dxa"/>
          </w:tcPr>
          <w:p>
            <w:pPr>
              <w:pStyle w:val="0"/>
            </w:pPr>
            <w:r>
              <w:rPr>
                <w:sz w:val="20"/>
              </w:rPr>
              <w:t xml:space="preserve">-</w:t>
            </w:r>
          </w:p>
        </w:tc>
        <w:tc>
          <w:tcPr>
            <w:tcW w:w="1020" w:type="dxa"/>
          </w:tcPr>
          <w:p>
            <w:pPr>
              <w:pStyle w:val="0"/>
            </w:pPr>
            <w:r>
              <w:rPr>
                <w:sz w:val="20"/>
              </w:rPr>
              <w:t xml:space="preserve">4</w:t>
            </w:r>
          </w:p>
        </w:tc>
        <w:tc>
          <w:tcPr>
            <w:tcW w:w="1020" w:type="dxa"/>
          </w:tcPr>
          <w:p>
            <w:pPr>
              <w:pStyle w:val="0"/>
            </w:pPr>
            <w:r>
              <w:rPr>
                <w:sz w:val="20"/>
              </w:rPr>
              <w:t xml:space="preserve">2,02</w:t>
            </w:r>
          </w:p>
        </w:tc>
        <w:tc>
          <w:tcPr>
            <w:tcW w:w="1020" w:type="dxa"/>
          </w:tcPr>
          <w:p>
            <w:pPr>
              <w:pStyle w:val="0"/>
            </w:pPr>
            <w:r>
              <w:rPr>
                <w:sz w:val="20"/>
              </w:rPr>
              <w:t xml:space="preserve">2</w:t>
            </w:r>
          </w:p>
        </w:tc>
        <w:tc>
          <w:tcPr>
            <w:tcW w:w="1020" w:type="dxa"/>
          </w:tcPr>
          <w:p>
            <w:pPr>
              <w:pStyle w:val="0"/>
            </w:pPr>
            <w:r>
              <w:rPr>
                <w:sz w:val="20"/>
              </w:rPr>
              <w:t xml:space="preserve">1,05</w:t>
            </w:r>
          </w:p>
        </w:tc>
        <w:tc>
          <w:tcPr>
            <w:tcW w:w="1020" w:type="dxa"/>
          </w:tcPr>
          <w:p>
            <w:pPr>
              <w:pStyle w:val="0"/>
            </w:pPr>
            <w:r>
              <w:rPr>
                <w:sz w:val="20"/>
              </w:rPr>
              <w:t xml:space="preserve">3</w:t>
            </w:r>
          </w:p>
        </w:tc>
        <w:tc>
          <w:tcPr>
            <w:tcW w:w="1020" w:type="dxa"/>
          </w:tcPr>
          <w:p>
            <w:pPr>
              <w:pStyle w:val="0"/>
            </w:pPr>
            <w:r>
              <w:rPr>
                <w:sz w:val="20"/>
              </w:rPr>
              <w:t xml:space="preserve">3,34</w:t>
            </w:r>
          </w:p>
        </w:tc>
      </w:tr>
      <w:tr>
        <w:tc>
          <w:tcPr>
            <w:tcW w:w="2721" w:type="dxa"/>
          </w:tcPr>
          <w:p>
            <w:pPr>
              <w:pStyle w:val="0"/>
            </w:pPr>
            <w:r>
              <w:rPr>
                <w:sz w:val="20"/>
              </w:rPr>
              <w:t xml:space="preserve">от болезней органов пищеварения</w:t>
            </w:r>
          </w:p>
        </w:tc>
        <w:tc>
          <w:tcPr>
            <w:tcW w:w="1020" w:type="dxa"/>
          </w:tcPr>
          <w:p>
            <w:pPr>
              <w:pStyle w:val="0"/>
            </w:pPr>
            <w:r>
              <w:rPr>
                <w:sz w:val="20"/>
              </w:rPr>
              <w:t xml:space="preserve">-</w:t>
            </w:r>
          </w:p>
        </w:tc>
        <w:tc>
          <w:tcPr>
            <w:tcW w:w="1020" w:type="dxa"/>
          </w:tcPr>
          <w:p>
            <w:pPr>
              <w:pStyle w:val="0"/>
            </w:pPr>
            <w:r>
              <w:rPr>
                <w:sz w:val="20"/>
              </w:rPr>
            </w:r>
          </w:p>
        </w:tc>
        <w:tc>
          <w:tcPr>
            <w:tcW w:w="1020" w:type="dxa"/>
          </w:tcPr>
          <w:p>
            <w:pPr>
              <w:pStyle w:val="0"/>
            </w:pPr>
            <w:r>
              <w:rPr>
                <w:sz w:val="20"/>
              </w:rPr>
              <w:t xml:space="preserve">-</w:t>
            </w:r>
          </w:p>
        </w:tc>
        <w:tc>
          <w:tcPr>
            <w:tcW w:w="1020" w:type="dxa"/>
          </w:tcPr>
          <w:p>
            <w:pPr>
              <w:pStyle w:val="0"/>
            </w:pPr>
            <w:r>
              <w:rPr>
                <w:sz w:val="20"/>
              </w:rPr>
              <w:t xml:space="preserve">-</w:t>
            </w:r>
          </w:p>
        </w:tc>
        <w:tc>
          <w:tcPr>
            <w:tcW w:w="1020" w:type="dxa"/>
          </w:tcPr>
          <w:p>
            <w:pPr>
              <w:pStyle w:val="0"/>
            </w:pPr>
            <w:r>
              <w:rPr>
                <w:sz w:val="20"/>
              </w:rPr>
              <w:t xml:space="preserve">-</w:t>
            </w:r>
          </w:p>
        </w:tc>
        <w:tc>
          <w:tcPr>
            <w:tcW w:w="1020" w:type="dxa"/>
          </w:tcPr>
          <w:p>
            <w:pPr>
              <w:pStyle w:val="0"/>
            </w:pPr>
            <w:r>
              <w:rPr>
                <w:sz w:val="20"/>
              </w:rPr>
              <w:t xml:space="preserve">-</w:t>
            </w:r>
          </w:p>
        </w:tc>
        <w:tc>
          <w:tcPr>
            <w:tcW w:w="1020" w:type="dxa"/>
          </w:tcPr>
          <w:p>
            <w:pPr>
              <w:pStyle w:val="0"/>
            </w:pPr>
            <w:r>
              <w:rPr>
                <w:sz w:val="20"/>
              </w:rPr>
              <w:t xml:space="preserve">1</w:t>
            </w:r>
          </w:p>
        </w:tc>
        <w:tc>
          <w:tcPr>
            <w:tcW w:w="1020" w:type="dxa"/>
          </w:tcPr>
          <w:p>
            <w:pPr>
              <w:pStyle w:val="0"/>
            </w:pPr>
            <w:r>
              <w:rPr>
                <w:sz w:val="20"/>
              </w:rPr>
              <w:t xml:space="preserve">0,52</w:t>
            </w:r>
          </w:p>
        </w:tc>
        <w:tc>
          <w:tcPr>
            <w:tcW w:w="1020" w:type="dxa"/>
          </w:tcPr>
          <w:p>
            <w:pPr>
              <w:pStyle w:val="0"/>
            </w:pPr>
            <w:r>
              <w:rPr>
                <w:sz w:val="20"/>
              </w:rPr>
            </w:r>
          </w:p>
        </w:tc>
        <w:tc>
          <w:tcPr>
            <w:tcW w:w="1020" w:type="dxa"/>
          </w:tcPr>
          <w:p>
            <w:pPr>
              <w:pStyle w:val="0"/>
            </w:pPr>
            <w:r>
              <w:rPr>
                <w:sz w:val="20"/>
              </w:rPr>
            </w:r>
          </w:p>
        </w:tc>
      </w:tr>
      <w:tr>
        <w:tc>
          <w:tcPr>
            <w:tcW w:w="2721" w:type="dxa"/>
          </w:tcPr>
          <w:p>
            <w:pPr>
              <w:pStyle w:val="0"/>
            </w:pPr>
            <w:r>
              <w:rPr>
                <w:sz w:val="20"/>
              </w:rPr>
              <w:t xml:space="preserve">от врожденных аномалий (пороков развития), деформаций и хромосомных нарушений</w:t>
            </w:r>
          </w:p>
        </w:tc>
        <w:tc>
          <w:tcPr>
            <w:tcW w:w="1020" w:type="dxa"/>
          </w:tcPr>
          <w:p>
            <w:pPr>
              <w:pStyle w:val="0"/>
            </w:pPr>
            <w:r>
              <w:rPr>
                <w:sz w:val="20"/>
              </w:rPr>
              <w:t xml:space="preserve">20</w:t>
            </w:r>
          </w:p>
        </w:tc>
        <w:tc>
          <w:tcPr>
            <w:tcW w:w="1020" w:type="dxa"/>
          </w:tcPr>
          <w:p>
            <w:pPr>
              <w:pStyle w:val="0"/>
            </w:pPr>
            <w:r>
              <w:rPr>
                <w:sz w:val="20"/>
              </w:rPr>
              <w:t xml:space="preserve">9,49</w:t>
            </w:r>
          </w:p>
        </w:tc>
        <w:tc>
          <w:tcPr>
            <w:tcW w:w="1020" w:type="dxa"/>
          </w:tcPr>
          <w:p>
            <w:pPr>
              <w:pStyle w:val="0"/>
            </w:pPr>
            <w:r>
              <w:rPr>
                <w:sz w:val="20"/>
              </w:rPr>
              <w:t xml:space="preserve">18</w:t>
            </w:r>
          </w:p>
        </w:tc>
        <w:tc>
          <w:tcPr>
            <w:tcW w:w="1020" w:type="dxa"/>
          </w:tcPr>
          <w:p>
            <w:pPr>
              <w:pStyle w:val="0"/>
            </w:pPr>
            <w:r>
              <w:rPr>
                <w:sz w:val="20"/>
              </w:rPr>
              <w:t xml:space="preserve">8,73</w:t>
            </w:r>
          </w:p>
        </w:tc>
        <w:tc>
          <w:tcPr>
            <w:tcW w:w="1020" w:type="dxa"/>
          </w:tcPr>
          <w:p>
            <w:pPr>
              <w:pStyle w:val="0"/>
            </w:pPr>
            <w:r>
              <w:rPr>
                <w:sz w:val="20"/>
              </w:rPr>
              <w:t xml:space="preserve">14</w:t>
            </w:r>
          </w:p>
        </w:tc>
        <w:tc>
          <w:tcPr>
            <w:tcW w:w="1020" w:type="dxa"/>
          </w:tcPr>
          <w:p>
            <w:pPr>
              <w:pStyle w:val="0"/>
            </w:pPr>
            <w:r>
              <w:rPr>
                <w:sz w:val="20"/>
              </w:rPr>
              <w:t xml:space="preserve">7,08</w:t>
            </w:r>
          </w:p>
        </w:tc>
        <w:tc>
          <w:tcPr>
            <w:tcW w:w="1020" w:type="dxa"/>
          </w:tcPr>
          <w:p>
            <w:pPr>
              <w:pStyle w:val="0"/>
            </w:pPr>
            <w:r>
              <w:rPr>
                <w:sz w:val="20"/>
              </w:rPr>
              <w:t xml:space="preserve">8</w:t>
            </w:r>
          </w:p>
        </w:tc>
        <w:tc>
          <w:tcPr>
            <w:tcW w:w="1020" w:type="dxa"/>
          </w:tcPr>
          <w:p>
            <w:pPr>
              <w:pStyle w:val="0"/>
            </w:pPr>
            <w:r>
              <w:rPr>
                <w:sz w:val="20"/>
              </w:rPr>
              <w:t xml:space="preserve">4,18</w:t>
            </w:r>
          </w:p>
        </w:tc>
        <w:tc>
          <w:tcPr>
            <w:tcW w:w="1020" w:type="dxa"/>
          </w:tcPr>
          <w:p>
            <w:pPr>
              <w:pStyle w:val="0"/>
            </w:pPr>
            <w:r>
              <w:rPr>
                <w:sz w:val="20"/>
              </w:rPr>
              <w:t xml:space="preserve">3</w:t>
            </w:r>
          </w:p>
        </w:tc>
        <w:tc>
          <w:tcPr>
            <w:tcW w:w="1020" w:type="dxa"/>
          </w:tcPr>
          <w:p>
            <w:pPr>
              <w:pStyle w:val="0"/>
            </w:pPr>
            <w:r>
              <w:rPr>
                <w:sz w:val="20"/>
              </w:rPr>
              <w:t xml:space="preserve">3,34</w:t>
            </w:r>
          </w:p>
        </w:tc>
      </w:tr>
      <w:tr>
        <w:tc>
          <w:tcPr>
            <w:tcW w:w="2721" w:type="dxa"/>
          </w:tcPr>
          <w:p>
            <w:pPr>
              <w:pStyle w:val="0"/>
            </w:pPr>
            <w:r>
              <w:rPr>
                <w:sz w:val="20"/>
              </w:rPr>
              <w:t xml:space="preserve">от отдельных состояний, возникающих в перинатальном периоде, в том числе:</w:t>
            </w:r>
          </w:p>
        </w:tc>
        <w:tc>
          <w:tcPr>
            <w:tcW w:w="1020" w:type="dxa"/>
          </w:tcPr>
          <w:p>
            <w:pPr>
              <w:pStyle w:val="0"/>
            </w:pPr>
            <w:r>
              <w:rPr>
                <w:sz w:val="20"/>
              </w:rPr>
              <w:t xml:space="preserve">46</w:t>
            </w:r>
          </w:p>
        </w:tc>
        <w:tc>
          <w:tcPr>
            <w:tcW w:w="1020" w:type="dxa"/>
          </w:tcPr>
          <w:p>
            <w:pPr>
              <w:pStyle w:val="0"/>
            </w:pPr>
            <w:r>
              <w:rPr>
                <w:sz w:val="20"/>
              </w:rPr>
              <w:t xml:space="preserve">21,83</w:t>
            </w:r>
          </w:p>
        </w:tc>
        <w:tc>
          <w:tcPr>
            <w:tcW w:w="1020" w:type="dxa"/>
          </w:tcPr>
          <w:p>
            <w:pPr>
              <w:pStyle w:val="0"/>
            </w:pPr>
            <w:r>
              <w:rPr>
                <w:sz w:val="20"/>
              </w:rPr>
              <w:t xml:space="preserve">40</w:t>
            </w:r>
          </w:p>
        </w:tc>
        <w:tc>
          <w:tcPr>
            <w:tcW w:w="1020" w:type="dxa"/>
          </w:tcPr>
          <w:p>
            <w:pPr>
              <w:pStyle w:val="0"/>
            </w:pPr>
            <w:r>
              <w:rPr>
                <w:sz w:val="20"/>
              </w:rPr>
              <w:t xml:space="preserve">19,40</w:t>
            </w:r>
          </w:p>
        </w:tc>
        <w:tc>
          <w:tcPr>
            <w:tcW w:w="1020" w:type="dxa"/>
          </w:tcPr>
          <w:p>
            <w:pPr>
              <w:pStyle w:val="0"/>
            </w:pPr>
            <w:r>
              <w:rPr>
                <w:sz w:val="20"/>
              </w:rPr>
              <w:t xml:space="preserve">39</w:t>
            </w:r>
          </w:p>
        </w:tc>
        <w:tc>
          <w:tcPr>
            <w:tcW w:w="1020" w:type="dxa"/>
          </w:tcPr>
          <w:p>
            <w:pPr>
              <w:pStyle w:val="0"/>
            </w:pPr>
            <w:r>
              <w:rPr>
                <w:sz w:val="20"/>
              </w:rPr>
              <w:t xml:space="preserve">11,12</w:t>
            </w:r>
          </w:p>
        </w:tc>
        <w:tc>
          <w:tcPr>
            <w:tcW w:w="1020" w:type="dxa"/>
          </w:tcPr>
          <w:p>
            <w:pPr>
              <w:pStyle w:val="0"/>
            </w:pPr>
            <w:r>
              <w:rPr>
                <w:sz w:val="20"/>
              </w:rPr>
              <w:t xml:space="preserve">33</w:t>
            </w:r>
          </w:p>
        </w:tc>
        <w:tc>
          <w:tcPr>
            <w:tcW w:w="1020" w:type="dxa"/>
          </w:tcPr>
          <w:p>
            <w:pPr>
              <w:pStyle w:val="0"/>
            </w:pPr>
            <w:r>
              <w:rPr>
                <w:sz w:val="20"/>
              </w:rPr>
              <w:t xml:space="preserve">17,23</w:t>
            </w:r>
          </w:p>
        </w:tc>
        <w:tc>
          <w:tcPr>
            <w:tcW w:w="1020" w:type="dxa"/>
          </w:tcPr>
          <w:p>
            <w:pPr>
              <w:pStyle w:val="0"/>
            </w:pPr>
            <w:r>
              <w:rPr>
                <w:sz w:val="20"/>
              </w:rPr>
              <w:t xml:space="preserve">13</w:t>
            </w:r>
          </w:p>
        </w:tc>
        <w:tc>
          <w:tcPr>
            <w:tcW w:w="1020" w:type="dxa"/>
          </w:tcPr>
          <w:p>
            <w:pPr>
              <w:pStyle w:val="0"/>
            </w:pPr>
            <w:r>
              <w:rPr>
                <w:sz w:val="20"/>
              </w:rPr>
              <w:t xml:space="preserve">12,24</w:t>
            </w:r>
          </w:p>
        </w:tc>
      </w:tr>
      <w:tr>
        <w:tc>
          <w:tcPr>
            <w:tcW w:w="2721" w:type="dxa"/>
          </w:tcPr>
          <w:p>
            <w:pPr>
              <w:pStyle w:val="0"/>
            </w:pPr>
            <w:r>
              <w:rPr>
                <w:sz w:val="20"/>
              </w:rPr>
              <w:t xml:space="preserve">геморрагических нарушений у плода и новорожденного</w:t>
            </w:r>
          </w:p>
        </w:tc>
        <w:tc>
          <w:tcPr>
            <w:tcW w:w="1020" w:type="dxa"/>
          </w:tcPr>
          <w:p>
            <w:pPr>
              <w:pStyle w:val="0"/>
            </w:pPr>
            <w:r>
              <w:rPr>
                <w:sz w:val="20"/>
              </w:rPr>
              <w:t xml:space="preserve">3</w:t>
            </w:r>
          </w:p>
        </w:tc>
        <w:tc>
          <w:tcPr>
            <w:tcW w:w="1020" w:type="dxa"/>
          </w:tcPr>
          <w:p>
            <w:pPr>
              <w:pStyle w:val="0"/>
            </w:pPr>
            <w:r>
              <w:rPr>
                <w:sz w:val="20"/>
              </w:rPr>
              <w:t xml:space="preserve">1,42</w:t>
            </w:r>
          </w:p>
        </w:tc>
        <w:tc>
          <w:tcPr>
            <w:tcW w:w="1020" w:type="dxa"/>
          </w:tcPr>
          <w:p>
            <w:pPr>
              <w:pStyle w:val="0"/>
            </w:pPr>
            <w:r>
              <w:rPr>
                <w:sz w:val="20"/>
              </w:rPr>
              <w:t xml:space="preserve">3</w:t>
            </w:r>
          </w:p>
        </w:tc>
        <w:tc>
          <w:tcPr>
            <w:tcW w:w="1020" w:type="dxa"/>
          </w:tcPr>
          <w:p>
            <w:pPr>
              <w:pStyle w:val="0"/>
            </w:pPr>
            <w:r>
              <w:rPr>
                <w:sz w:val="20"/>
              </w:rPr>
              <w:t xml:space="preserve">1,45</w:t>
            </w:r>
          </w:p>
        </w:tc>
        <w:tc>
          <w:tcPr>
            <w:tcW w:w="1020" w:type="dxa"/>
          </w:tcPr>
          <w:p>
            <w:pPr>
              <w:pStyle w:val="0"/>
            </w:pPr>
            <w:r>
              <w:rPr>
                <w:sz w:val="20"/>
              </w:rPr>
              <w:t xml:space="preserve">1</w:t>
            </w:r>
          </w:p>
        </w:tc>
        <w:tc>
          <w:tcPr>
            <w:tcW w:w="1020" w:type="dxa"/>
          </w:tcPr>
          <w:p>
            <w:pPr>
              <w:pStyle w:val="0"/>
            </w:pPr>
            <w:r>
              <w:rPr>
                <w:sz w:val="20"/>
              </w:rPr>
              <w:t xml:space="preserve">0,51</w:t>
            </w:r>
          </w:p>
        </w:tc>
        <w:tc>
          <w:tcPr>
            <w:tcW w:w="1020" w:type="dxa"/>
          </w:tcPr>
          <w:p>
            <w:pPr>
              <w:pStyle w:val="0"/>
            </w:pPr>
            <w:r>
              <w:rPr>
                <w:sz w:val="20"/>
              </w:rPr>
              <w:t xml:space="preserve">-</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2721" w:type="dxa"/>
          </w:tcPr>
          <w:p>
            <w:pPr>
              <w:pStyle w:val="0"/>
            </w:pPr>
            <w:r>
              <w:rPr>
                <w:sz w:val="20"/>
              </w:rPr>
              <w:t xml:space="preserve">травмы, отравления и некоторые другие последствия воздействия внешних причин</w:t>
            </w:r>
          </w:p>
        </w:tc>
        <w:tc>
          <w:tcPr>
            <w:tcW w:w="1020" w:type="dxa"/>
          </w:tcPr>
          <w:p>
            <w:pPr>
              <w:pStyle w:val="0"/>
            </w:pPr>
            <w:r>
              <w:rPr>
                <w:sz w:val="20"/>
              </w:rPr>
              <w:t xml:space="preserve">5</w:t>
            </w:r>
          </w:p>
        </w:tc>
        <w:tc>
          <w:tcPr>
            <w:tcW w:w="1020" w:type="dxa"/>
          </w:tcPr>
          <w:p>
            <w:pPr>
              <w:pStyle w:val="0"/>
            </w:pPr>
            <w:r>
              <w:rPr>
                <w:sz w:val="20"/>
              </w:rPr>
              <w:t xml:space="preserve">2,37</w:t>
            </w:r>
          </w:p>
        </w:tc>
        <w:tc>
          <w:tcPr>
            <w:tcW w:w="1020" w:type="dxa"/>
          </w:tcPr>
          <w:p>
            <w:pPr>
              <w:pStyle w:val="0"/>
            </w:pPr>
            <w:r>
              <w:rPr>
                <w:sz w:val="20"/>
              </w:rPr>
              <w:t xml:space="preserve">2</w:t>
            </w:r>
          </w:p>
        </w:tc>
        <w:tc>
          <w:tcPr>
            <w:tcW w:w="1020" w:type="dxa"/>
          </w:tcPr>
          <w:p>
            <w:pPr>
              <w:pStyle w:val="0"/>
            </w:pPr>
            <w:r>
              <w:rPr>
                <w:sz w:val="20"/>
              </w:rPr>
              <w:t xml:space="preserve">0,70</w:t>
            </w:r>
          </w:p>
        </w:tc>
        <w:tc>
          <w:tcPr>
            <w:tcW w:w="1020" w:type="dxa"/>
          </w:tcPr>
          <w:p>
            <w:pPr>
              <w:pStyle w:val="0"/>
            </w:pPr>
            <w:r>
              <w:rPr>
                <w:sz w:val="20"/>
              </w:rPr>
              <w:t xml:space="preserve">5</w:t>
            </w:r>
          </w:p>
        </w:tc>
        <w:tc>
          <w:tcPr>
            <w:tcW w:w="1020" w:type="dxa"/>
          </w:tcPr>
          <w:p>
            <w:pPr>
              <w:pStyle w:val="0"/>
            </w:pPr>
            <w:r>
              <w:rPr>
                <w:sz w:val="20"/>
              </w:rPr>
              <w:t xml:space="preserve">2,53</w:t>
            </w:r>
          </w:p>
        </w:tc>
        <w:tc>
          <w:tcPr>
            <w:tcW w:w="1020" w:type="dxa"/>
          </w:tcPr>
          <w:p>
            <w:pPr>
              <w:pStyle w:val="0"/>
            </w:pPr>
            <w:r>
              <w:rPr>
                <w:sz w:val="20"/>
              </w:rPr>
              <w:t xml:space="preserve">5</w:t>
            </w:r>
          </w:p>
        </w:tc>
        <w:tc>
          <w:tcPr>
            <w:tcW w:w="1020" w:type="dxa"/>
          </w:tcPr>
          <w:p>
            <w:pPr>
              <w:pStyle w:val="0"/>
            </w:pPr>
            <w:r>
              <w:rPr>
                <w:sz w:val="20"/>
              </w:rPr>
              <w:t xml:space="preserve">2,61</w:t>
            </w:r>
          </w:p>
        </w:tc>
        <w:tc>
          <w:tcPr>
            <w:tcW w:w="1020" w:type="dxa"/>
          </w:tcPr>
          <w:p>
            <w:pPr>
              <w:pStyle w:val="0"/>
            </w:pPr>
            <w:r>
              <w:rPr>
                <w:sz w:val="20"/>
              </w:rPr>
            </w:r>
          </w:p>
        </w:tc>
        <w:tc>
          <w:tcPr>
            <w:tcW w:w="1020" w:type="dxa"/>
          </w:tcPr>
          <w:p>
            <w:pPr>
              <w:pStyle w:val="0"/>
            </w:pPr>
            <w:r>
              <w:rPr>
                <w:sz w:val="20"/>
              </w:rPr>
            </w:r>
          </w:p>
        </w:tc>
      </w:tr>
      <w:tr>
        <w:tc>
          <w:tcPr>
            <w:tcW w:w="2721" w:type="dxa"/>
          </w:tcPr>
          <w:p>
            <w:pPr>
              <w:pStyle w:val="0"/>
            </w:pPr>
            <w:r>
              <w:rPr>
                <w:sz w:val="20"/>
              </w:rPr>
              <w:t xml:space="preserve">от новой коронавирусной инфекции (COVID-19)</w:t>
            </w:r>
          </w:p>
        </w:tc>
        <w:tc>
          <w:tcPr>
            <w:tcW w:w="1020" w:type="dxa"/>
          </w:tcPr>
          <w:p>
            <w:pPr>
              <w:pStyle w:val="0"/>
            </w:pPr>
            <w:r>
              <w:rPr>
                <w:sz w:val="20"/>
              </w:rPr>
              <w:t xml:space="preserve">-</w:t>
            </w:r>
          </w:p>
        </w:tc>
        <w:tc>
          <w:tcPr>
            <w:tcW w:w="1020" w:type="dxa"/>
          </w:tcPr>
          <w:p>
            <w:pPr>
              <w:pStyle w:val="0"/>
            </w:pPr>
            <w:r>
              <w:rPr>
                <w:sz w:val="20"/>
              </w:rPr>
              <w:t xml:space="preserve">-</w:t>
            </w:r>
          </w:p>
        </w:tc>
        <w:tc>
          <w:tcPr>
            <w:tcW w:w="1020" w:type="dxa"/>
          </w:tcPr>
          <w:p>
            <w:pPr>
              <w:pStyle w:val="0"/>
            </w:pPr>
            <w:r>
              <w:rPr>
                <w:sz w:val="20"/>
              </w:rPr>
              <w:t xml:space="preserve">-</w:t>
            </w:r>
          </w:p>
        </w:tc>
        <w:tc>
          <w:tcPr>
            <w:tcW w:w="1020" w:type="dxa"/>
          </w:tcPr>
          <w:p>
            <w:pPr>
              <w:pStyle w:val="0"/>
            </w:pPr>
            <w:r>
              <w:rPr>
                <w:sz w:val="20"/>
              </w:rPr>
              <w:t xml:space="preserve">-</w:t>
            </w:r>
          </w:p>
        </w:tc>
        <w:tc>
          <w:tcPr>
            <w:tcW w:w="1020" w:type="dxa"/>
          </w:tcPr>
          <w:p>
            <w:pPr>
              <w:pStyle w:val="0"/>
            </w:pPr>
            <w:r>
              <w:rPr>
                <w:sz w:val="20"/>
              </w:rPr>
              <w:t xml:space="preserve">1</w:t>
            </w:r>
          </w:p>
        </w:tc>
        <w:tc>
          <w:tcPr>
            <w:tcW w:w="1020" w:type="dxa"/>
          </w:tcPr>
          <w:p>
            <w:pPr>
              <w:pStyle w:val="0"/>
            </w:pPr>
            <w:r>
              <w:rPr>
                <w:sz w:val="20"/>
              </w:rPr>
              <w:t xml:space="preserve">0,51</w:t>
            </w:r>
          </w:p>
        </w:tc>
        <w:tc>
          <w:tcPr>
            <w:tcW w:w="1020" w:type="dxa"/>
          </w:tcPr>
          <w:p>
            <w:pPr>
              <w:pStyle w:val="0"/>
            </w:pPr>
            <w:r>
              <w:rPr>
                <w:sz w:val="20"/>
              </w:rPr>
              <w:t xml:space="preserve">-</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2721" w:type="dxa"/>
          </w:tcPr>
          <w:p>
            <w:pPr>
              <w:pStyle w:val="0"/>
            </w:pPr>
            <w:r>
              <w:rPr>
                <w:sz w:val="20"/>
              </w:rPr>
              <w:t xml:space="preserve">новообразования</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1</w:t>
            </w:r>
          </w:p>
        </w:tc>
        <w:tc>
          <w:tcPr>
            <w:tcW w:w="1020" w:type="dxa"/>
          </w:tcPr>
          <w:p>
            <w:pPr>
              <w:pStyle w:val="0"/>
            </w:pPr>
            <w:r>
              <w:rPr>
                <w:sz w:val="20"/>
              </w:rPr>
              <w:t xml:space="preserve">0,52</w:t>
            </w:r>
          </w:p>
        </w:tc>
        <w:tc>
          <w:tcPr>
            <w:tcW w:w="1020" w:type="dxa"/>
          </w:tcPr>
          <w:p>
            <w:pPr>
              <w:pStyle w:val="0"/>
            </w:pPr>
            <w:r>
              <w:rPr>
                <w:sz w:val="20"/>
              </w:rPr>
              <w:t xml:space="preserve">1</w:t>
            </w:r>
          </w:p>
        </w:tc>
        <w:tc>
          <w:tcPr>
            <w:tcW w:w="1020" w:type="dxa"/>
          </w:tcPr>
          <w:p>
            <w:pPr>
              <w:pStyle w:val="0"/>
            </w:pPr>
            <w:r>
              <w:rPr>
                <w:sz w:val="20"/>
              </w:rPr>
              <w:t xml:space="preserve">1,11</w:t>
            </w:r>
          </w:p>
        </w:tc>
      </w:tr>
      <w:tr>
        <w:tc>
          <w:tcPr>
            <w:tcW w:w="2721" w:type="dxa"/>
          </w:tcPr>
          <w:p>
            <w:pPr>
              <w:pStyle w:val="0"/>
            </w:pPr>
            <w:r>
              <w:rPr>
                <w:sz w:val="20"/>
              </w:rPr>
              <w:t xml:space="preserve">от болезней системы кровообращения</w:t>
            </w:r>
          </w:p>
        </w:tc>
        <w:tc>
          <w:tcPr>
            <w:tcW w:w="1020" w:type="dxa"/>
          </w:tcPr>
          <w:p>
            <w:pPr>
              <w:pStyle w:val="0"/>
            </w:pPr>
            <w:r>
              <w:rPr>
                <w:sz w:val="20"/>
              </w:rPr>
              <w:t xml:space="preserve">3</w:t>
            </w:r>
          </w:p>
        </w:tc>
        <w:tc>
          <w:tcPr>
            <w:tcW w:w="1020" w:type="dxa"/>
          </w:tcPr>
          <w:p>
            <w:pPr>
              <w:pStyle w:val="0"/>
            </w:pPr>
            <w:r>
              <w:rPr>
                <w:sz w:val="20"/>
              </w:rPr>
              <w:t xml:space="preserve">1,42</w:t>
            </w:r>
          </w:p>
        </w:tc>
        <w:tc>
          <w:tcPr>
            <w:tcW w:w="1020" w:type="dxa"/>
          </w:tcPr>
          <w:p>
            <w:pPr>
              <w:pStyle w:val="0"/>
            </w:pPr>
            <w:r>
              <w:rPr>
                <w:sz w:val="20"/>
              </w:rPr>
              <w:t xml:space="preserve">2</w:t>
            </w:r>
          </w:p>
        </w:tc>
        <w:tc>
          <w:tcPr>
            <w:tcW w:w="1020" w:type="dxa"/>
          </w:tcPr>
          <w:p>
            <w:pPr>
              <w:pStyle w:val="0"/>
            </w:pPr>
            <w:r>
              <w:rPr>
                <w:sz w:val="20"/>
              </w:rPr>
              <w:t xml:space="preserve">0,97</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1</w:t>
            </w:r>
          </w:p>
        </w:tc>
        <w:tc>
          <w:tcPr>
            <w:tcW w:w="1020" w:type="dxa"/>
          </w:tcPr>
          <w:p>
            <w:pPr>
              <w:pStyle w:val="0"/>
            </w:pPr>
            <w:r>
              <w:rPr>
                <w:sz w:val="20"/>
              </w:rPr>
              <w:t xml:space="preserve">0,52</w:t>
            </w:r>
          </w:p>
        </w:tc>
        <w:tc>
          <w:tcPr>
            <w:tcW w:w="1020" w:type="dxa"/>
          </w:tcPr>
          <w:p>
            <w:pPr>
              <w:pStyle w:val="0"/>
            </w:pPr>
            <w:r>
              <w:rPr>
                <w:sz w:val="20"/>
              </w:rPr>
            </w:r>
          </w:p>
        </w:tc>
        <w:tc>
          <w:tcPr>
            <w:tcW w:w="1020" w:type="dxa"/>
          </w:tcPr>
          <w:p>
            <w:pPr>
              <w:pStyle w:val="0"/>
            </w:pPr>
            <w:r>
              <w:rPr>
                <w:sz w:val="20"/>
              </w:rPr>
            </w:r>
          </w:p>
        </w:tc>
      </w:tr>
      <w:tr>
        <w:tc>
          <w:tcPr>
            <w:tcW w:w="2721" w:type="dxa"/>
          </w:tcPr>
          <w:p>
            <w:pPr>
              <w:pStyle w:val="0"/>
            </w:pPr>
            <w:r>
              <w:rPr>
                <w:sz w:val="20"/>
              </w:rPr>
              <w:t xml:space="preserve">от болезней крови и кроветворных органов</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1</w:t>
            </w:r>
          </w:p>
        </w:tc>
        <w:tc>
          <w:tcPr>
            <w:tcW w:w="1020" w:type="dxa"/>
          </w:tcPr>
          <w:p>
            <w:pPr>
              <w:pStyle w:val="0"/>
            </w:pPr>
            <w:r>
              <w:rPr>
                <w:sz w:val="20"/>
              </w:rPr>
              <w:t xml:space="preserve">0,49</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2721" w:type="dxa"/>
          </w:tcPr>
          <w:p>
            <w:pPr>
              <w:pStyle w:val="0"/>
            </w:pPr>
            <w:r>
              <w:rPr>
                <w:sz w:val="20"/>
              </w:rPr>
              <w:t xml:space="preserve">от болезней костно-мышечной системы</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1</w:t>
            </w:r>
          </w:p>
        </w:tc>
        <w:tc>
          <w:tcPr>
            <w:tcW w:w="1020" w:type="dxa"/>
          </w:tcPr>
          <w:p>
            <w:pPr>
              <w:pStyle w:val="0"/>
            </w:pPr>
            <w:r>
              <w:rPr>
                <w:sz w:val="20"/>
              </w:rPr>
              <w:t xml:space="preserve">0,51</w:t>
            </w:r>
          </w:p>
        </w:tc>
        <w:tc>
          <w:tcPr>
            <w:tcW w:w="1020" w:type="dxa"/>
          </w:tcPr>
          <w:p>
            <w:pPr>
              <w:pStyle w:val="0"/>
            </w:pPr>
            <w:r>
              <w:rPr>
                <w:sz w:val="20"/>
              </w:rPr>
              <w:t xml:space="preserve">-</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2721" w:type="dxa"/>
          </w:tcPr>
          <w:p>
            <w:pPr>
              <w:pStyle w:val="0"/>
            </w:pPr>
            <w:r>
              <w:rPr>
                <w:sz w:val="20"/>
              </w:rPr>
              <w:t xml:space="preserve">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1020" w:type="dxa"/>
          </w:tcPr>
          <w:p>
            <w:pPr>
              <w:pStyle w:val="0"/>
            </w:pPr>
            <w:r>
              <w:rPr>
                <w:sz w:val="20"/>
              </w:rPr>
              <w:t xml:space="preserve">5</w:t>
            </w:r>
          </w:p>
        </w:tc>
        <w:tc>
          <w:tcPr>
            <w:tcW w:w="1020" w:type="dxa"/>
          </w:tcPr>
          <w:p>
            <w:pPr>
              <w:pStyle w:val="0"/>
            </w:pPr>
            <w:r>
              <w:rPr>
                <w:sz w:val="20"/>
              </w:rPr>
              <w:t xml:space="preserve">2,37</w:t>
            </w:r>
          </w:p>
        </w:tc>
        <w:tc>
          <w:tcPr>
            <w:tcW w:w="1020" w:type="dxa"/>
          </w:tcPr>
          <w:p>
            <w:pPr>
              <w:pStyle w:val="0"/>
            </w:pPr>
            <w:r>
              <w:rPr>
                <w:sz w:val="20"/>
              </w:rPr>
              <w:t xml:space="preserve">8</w:t>
            </w:r>
          </w:p>
        </w:tc>
        <w:tc>
          <w:tcPr>
            <w:tcW w:w="1020" w:type="dxa"/>
          </w:tcPr>
          <w:p>
            <w:pPr>
              <w:pStyle w:val="0"/>
            </w:pPr>
            <w:r>
              <w:rPr>
                <w:sz w:val="20"/>
              </w:rPr>
              <w:t xml:space="preserve">3,88</w:t>
            </w:r>
          </w:p>
        </w:tc>
        <w:tc>
          <w:tcPr>
            <w:tcW w:w="1020" w:type="dxa"/>
          </w:tcPr>
          <w:p>
            <w:pPr>
              <w:pStyle w:val="0"/>
            </w:pPr>
            <w:r>
              <w:rPr>
                <w:sz w:val="20"/>
              </w:rPr>
              <w:t xml:space="preserve">5</w:t>
            </w:r>
          </w:p>
        </w:tc>
        <w:tc>
          <w:tcPr>
            <w:tcW w:w="1020" w:type="dxa"/>
          </w:tcPr>
          <w:p>
            <w:pPr>
              <w:pStyle w:val="0"/>
            </w:pPr>
            <w:r>
              <w:rPr>
                <w:sz w:val="20"/>
              </w:rPr>
              <w:t xml:space="preserve">2,53</w:t>
            </w:r>
          </w:p>
        </w:tc>
        <w:tc>
          <w:tcPr>
            <w:tcW w:w="1020" w:type="dxa"/>
          </w:tcPr>
          <w:p>
            <w:pPr>
              <w:pStyle w:val="0"/>
            </w:pPr>
            <w:r>
              <w:rPr>
                <w:sz w:val="20"/>
              </w:rPr>
              <w:t xml:space="preserve">4</w:t>
            </w:r>
          </w:p>
        </w:tc>
        <w:tc>
          <w:tcPr>
            <w:tcW w:w="1020" w:type="dxa"/>
          </w:tcPr>
          <w:p>
            <w:pPr>
              <w:pStyle w:val="0"/>
            </w:pPr>
            <w:r>
              <w:rPr>
                <w:sz w:val="20"/>
              </w:rPr>
              <w:t xml:space="preserve">2,09</w:t>
            </w:r>
          </w:p>
        </w:tc>
        <w:tc>
          <w:tcPr>
            <w:tcW w:w="1020" w:type="dxa"/>
          </w:tcPr>
          <w:p>
            <w:pPr>
              <w:pStyle w:val="0"/>
            </w:pPr>
            <w:r>
              <w:rPr>
                <w:sz w:val="20"/>
              </w:rPr>
              <w:t xml:space="preserve">4</w:t>
            </w:r>
          </w:p>
        </w:tc>
        <w:tc>
          <w:tcPr>
            <w:tcW w:w="1020" w:type="dxa"/>
          </w:tcPr>
          <w:p>
            <w:pPr>
              <w:pStyle w:val="0"/>
            </w:pPr>
            <w:r>
              <w:rPr>
                <w:sz w:val="20"/>
              </w:rPr>
              <w:t xml:space="preserve">4,45</w:t>
            </w:r>
          </w:p>
        </w:tc>
      </w:tr>
    </w:tbl>
    <w:p>
      <w:pPr>
        <w:pStyle w:val="0"/>
        <w:ind w:firstLine="540"/>
        <w:jc w:val="both"/>
      </w:pPr>
      <w:r>
        <w:rPr>
          <w:sz w:val="20"/>
        </w:rPr>
      </w:r>
    </w:p>
    <w:p>
      <w:pPr>
        <w:pStyle w:val="0"/>
        <w:jc w:val="right"/>
      </w:pPr>
      <w:r>
        <w:rPr>
          <w:sz w:val="20"/>
        </w:rPr>
        <w:t xml:space="preserve">Таблица 5</w:t>
      </w:r>
    </w:p>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jc w:val="right"/>
      </w:pPr>
      <w:r>
        <w:rPr>
          <w:sz w:val="20"/>
        </w:rPr>
      </w:r>
    </w:p>
    <w:p>
      <w:pPr>
        <w:pStyle w:val="0"/>
        <w:jc w:val="center"/>
      </w:pPr>
      <w:r>
        <w:rPr>
          <w:sz w:val="20"/>
        </w:rPr>
        <w:t xml:space="preserve">Показатели детской смертности в возрасте 0 - 4 года на 1000</w:t>
      </w:r>
    </w:p>
    <w:p>
      <w:pPr>
        <w:pStyle w:val="0"/>
        <w:jc w:val="center"/>
      </w:pPr>
      <w:r>
        <w:rPr>
          <w:sz w:val="20"/>
        </w:rPr>
        <w:t xml:space="preserve">родившихся живыми в автономном округе за период</w:t>
      </w:r>
    </w:p>
    <w:p>
      <w:pPr>
        <w:pStyle w:val="0"/>
        <w:jc w:val="center"/>
      </w:pPr>
      <w:r>
        <w:rPr>
          <w:sz w:val="20"/>
        </w:rPr>
        <w:t xml:space="preserve">2019 - 2023 гг.</w:t>
      </w:r>
    </w:p>
    <w:p>
      <w:pPr>
        <w:pStyle w:val="0"/>
        <w:jc w:val="center"/>
      </w:pPr>
      <w:r>
        <w:rPr>
          <w:sz w:val="20"/>
        </w:rPr>
        <w:t xml:space="preserve">(данные Федеральной службы государственной статистики)</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82"/>
        <w:gridCol w:w="1763"/>
        <w:gridCol w:w="951"/>
        <w:gridCol w:w="950"/>
        <w:gridCol w:w="950"/>
        <w:gridCol w:w="814"/>
        <w:gridCol w:w="951"/>
      </w:tblGrid>
      <w:tr>
        <w:tc>
          <w:tcPr>
            <w:tcW w:w="2682" w:type="dxa"/>
          </w:tcPr>
          <w:p>
            <w:pPr>
              <w:pStyle w:val="0"/>
              <w:jc w:val="center"/>
            </w:pPr>
            <w:r>
              <w:rPr>
                <w:sz w:val="20"/>
              </w:rPr>
              <w:t xml:space="preserve">Наименование показателей</w:t>
            </w:r>
          </w:p>
        </w:tc>
        <w:tc>
          <w:tcPr>
            <w:tcW w:w="1763" w:type="dxa"/>
          </w:tcPr>
          <w:p>
            <w:pPr>
              <w:pStyle w:val="0"/>
              <w:jc w:val="center"/>
            </w:pPr>
            <w:r>
              <w:rPr>
                <w:sz w:val="20"/>
              </w:rPr>
              <w:t xml:space="preserve">Единица измерения</w:t>
            </w:r>
          </w:p>
        </w:tc>
        <w:tc>
          <w:tcPr>
            <w:tcW w:w="951" w:type="dxa"/>
          </w:tcPr>
          <w:p>
            <w:pPr>
              <w:pStyle w:val="0"/>
              <w:jc w:val="center"/>
            </w:pPr>
            <w:r>
              <w:rPr>
                <w:sz w:val="20"/>
              </w:rPr>
              <w:t xml:space="preserve">2019 год</w:t>
            </w:r>
          </w:p>
        </w:tc>
        <w:tc>
          <w:tcPr>
            <w:tcW w:w="950" w:type="dxa"/>
          </w:tcPr>
          <w:p>
            <w:pPr>
              <w:pStyle w:val="0"/>
              <w:jc w:val="center"/>
            </w:pPr>
            <w:r>
              <w:rPr>
                <w:sz w:val="20"/>
              </w:rPr>
              <w:t xml:space="preserve">2020 год</w:t>
            </w:r>
          </w:p>
        </w:tc>
        <w:tc>
          <w:tcPr>
            <w:tcW w:w="950" w:type="dxa"/>
          </w:tcPr>
          <w:p>
            <w:pPr>
              <w:pStyle w:val="0"/>
              <w:jc w:val="center"/>
            </w:pPr>
            <w:r>
              <w:rPr>
                <w:sz w:val="20"/>
              </w:rPr>
              <w:t xml:space="preserve">2021 год</w:t>
            </w:r>
          </w:p>
        </w:tc>
        <w:tc>
          <w:tcPr>
            <w:tcW w:w="814" w:type="dxa"/>
          </w:tcPr>
          <w:p>
            <w:pPr>
              <w:pStyle w:val="0"/>
              <w:jc w:val="center"/>
            </w:pPr>
            <w:r>
              <w:rPr>
                <w:sz w:val="20"/>
              </w:rPr>
              <w:t xml:space="preserve">2022 год</w:t>
            </w:r>
          </w:p>
        </w:tc>
        <w:tc>
          <w:tcPr>
            <w:tcW w:w="951" w:type="dxa"/>
          </w:tcPr>
          <w:p>
            <w:pPr>
              <w:pStyle w:val="0"/>
              <w:jc w:val="center"/>
            </w:pPr>
            <w:r>
              <w:rPr>
                <w:sz w:val="20"/>
              </w:rPr>
              <w:t xml:space="preserve">6 месяцев 2023 года</w:t>
            </w:r>
          </w:p>
        </w:tc>
      </w:tr>
      <w:tr>
        <w:tc>
          <w:tcPr>
            <w:tcW w:w="2682" w:type="dxa"/>
          </w:tcPr>
          <w:p>
            <w:pPr>
              <w:pStyle w:val="0"/>
            </w:pPr>
            <w:r>
              <w:rPr>
                <w:sz w:val="20"/>
              </w:rPr>
              <w:t xml:space="preserve">Смертность детей в возрасте 0 - 4 года на 1000 родившихся живыми</w:t>
            </w:r>
          </w:p>
        </w:tc>
        <w:tc>
          <w:tcPr>
            <w:tcW w:w="1763" w:type="dxa"/>
          </w:tcPr>
          <w:p>
            <w:pPr>
              <w:pStyle w:val="0"/>
            </w:pPr>
            <w:r>
              <w:rPr>
                <w:sz w:val="20"/>
              </w:rPr>
              <w:t xml:space="preserve">промилле</w:t>
            </w:r>
          </w:p>
        </w:tc>
        <w:tc>
          <w:tcPr>
            <w:tcW w:w="951" w:type="dxa"/>
          </w:tcPr>
          <w:p>
            <w:pPr>
              <w:pStyle w:val="0"/>
            </w:pPr>
            <w:r>
              <w:rPr>
                <w:sz w:val="20"/>
              </w:rPr>
              <w:t xml:space="preserve">5,26</w:t>
            </w:r>
          </w:p>
        </w:tc>
        <w:tc>
          <w:tcPr>
            <w:tcW w:w="950" w:type="dxa"/>
          </w:tcPr>
          <w:p>
            <w:pPr>
              <w:pStyle w:val="0"/>
            </w:pPr>
            <w:r>
              <w:rPr>
                <w:sz w:val="20"/>
              </w:rPr>
              <w:t xml:space="preserve">4,42</w:t>
            </w:r>
          </w:p>
        </w:tc>
        <w:tc>
          <w:tcPr>
            <w:tcW w:w="950" w:type="dxa"/>
          </w:tcPr>
          <w:p>
            <w:pPr>
              <w:pStyle w:val="0"/>
            </w:pPr>
            <w:r>
              <w:rPr>
                <w:sz w:val="20"/>
              </w:rPr>
              <w:t xml:space="preserve">4,62</w:t>
            </w:r>
          </w:p>
        </w:tc>
        <w:tc>
          <w:tcPr>
            <w:tcW w:w="814" w:type="dxa"/>
          </w:tcPr>
          <w:p>
            <w:pPr>
              <w:pStyle w:val="0"/>
            </w:pPr>
            <w:r>
              <w:rPr>
                <w:sz w:val="20"/>
              </w:rPr>
              <w:t xml:space="preserve">4,06</w:t>
            </w:r>
          </w:p>
        </w:tc>
        <w:tc>
          <w:tcPr>
            <w:tcW w:w="951" w:type="dxa"/>
          </w:tcPr>
          <w:p>
            <w:pPr>
              <w:pStyle w:val="0"/>
            </w:pPr>
            <w:r>
              <w:rPr>
                <w:sz w:val="20"/>
              </w:rPr>
              <w:t xml:space="preserve">3,23</w:t>
            </w:r>
          </w:p>
        </w:tc>
      </w:tr>
    </w:tbl>
    <w:p>
      <w:pPr>
        <w:pStyle w:val="0"/>
        <w:ind w:firstLine="540"/>
        <w:jc w:val="both"/>
      </w:pPr>
      <w:r>
        <w:rPr>
          <w:sz w:val="20"/>
        </w:rPr>
      </w:r>
    </w:p>
    <w:p>
      <w:pPr>
        <w:pStyle w:val="0"/>
        <w:jc w:val="right"/>
      </w:pPr>
      <w:r>
        <w:rPr>
          <w:sz w:val="20"/>
        </w:rPr>
        <w:t xml:space="preserve">Таблица 6</w:t>
      </w:r>
    </w:p>
    <w:p>
      <w:pPr>
        <w:pStyle w:val="0"/>
        <w:jc w:val="right"/>
      </w:pPr>
      <w:r>
        <w:rPr>
          <w:sz w:val="20"/>
        </w:rPr>
      </w:r>
    </w:p>
    <w:p>
      <w:pPr>
        <w:pStyle w:val="0"/>
        <w:jc w:val="center"/>
      </w:pPr>
      <w:r>
        <w:rPr>
          <w:sz w:val="20"/>
        </w:rPr>
        <w:t xml:space="preserve">Структура детской смертности в возрасте 0 - 4 года на 1000</w:t>
      </w:r>
    </w:p>
    <w:p>
      <w:pPr>
        <w:pStyle w:val="0"/>
        <w:jc w:val="center"/>
      </w:pPr>
      <w:r>
        <w:rPr>
          <w:sz w:val="20"/>
        </w:rPr>
        <w:t xml:space="preserve">родившихся живыми в автономном округе за период</w:t>
      </w:r>
    </w:p>
    <w:p>
      <w:pPr>
        <w:pStyle w:val="0"/>
        <w:jc w:val="center"/>
      </w:pPr>
      <w:r>
        <w:rPr>
          <w:sz w:val="20"/>
        </w:rPr>
        <w:t xml:space="preserve">2019 - 2023 гг.</w:t>
      </w:r>
    </w:p>
    <w:p>
      <w:pPr>
        <w:pStyle w:val="0"/>
        <w:jc w:val="center"/>
      </w:pPr>
      <w:r>
        <w:rPr>
          <w:sz w:val="20"/>
        </w:rPr>
        <w:t xml:space="preserve">(данные Управления федеральной службы государственной</w:t>
      </w:r>
    </w:p>
    <w:p>
      <w:pPr>
        <w:pStyle w:val="0"/>
        <w:jc w:val="center"/>
      </w:pPr>
      <w:r>
        <w:rPr>
          <w:sz w:val="20"/>
        </w:rPr>
        <w:t xml:space="preserve">статистики по Тюменской области, автономному округу</w:t>
      </w:r>
    </w:p>
    <w:p>
      <w:pPr>
        <w:pStyle w:val="0"/>
        <w:jc w:val="center"/>
      </w:pPr>
      <w:r>
        <w:rPr>
          <w:sz w:val="20"/>
        </w:rPr>
        <w:t xml:space="preserve">и Ямало-Ненецкому автономному округу)</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1020"/>
        <w:gridCol w:w="1020"/>
        <w:gridCol w:w="1020"/>
        <w:gridCol w:w="1020"/>
        <w:gridCol w:w="1020"/>
        <w:gridCol w:w="1020"/>
        <w:gridCol w:w="1020"/>
        <w:gridCol w:w="1020"/>
        <w:gridCol w:w="1020"/>
        <w:gridCol w:w="1020"/>
      </w:tblGrid>
      <w:tr>
        <w:tc>
          <w:tcPr>
            <w:tcW w:w="2891" w:type="dxa"/>
            <w:vMerge w:val="restart"/>
          </w:tcPr>
          <w:p>
            <w:pPr>
              <w:pStyle w:val="0"/>
              <w:jc w:val="center"/>
            </w:pPr>
            <w:r>
              <w:rPr>
                <w:sz w:val="20"/>
              </w:rPr>
              <w:t xml:space="preserve">Наименование показателя</w:t>
            </w:r>
          </w:p>
        </w:tc>
        <w:tc>
          <w:tcPr>
            <w:gridSpan w:val="2"/>
            <w:tcW w:w="2040" w:type="dxa"/>
          </w:tcPr>
          <w:p>
            <w:pPr>
              <w:pStyle w:val="0"/>
              <w:jc w:val="center"/>
            </w:pPr>
            <w:r>
              <w:rPr>
                <w:sz w:val="20"/>
              </w:rPr>
              <w:t xml:space="preserve">2019 год</w:t>
            </w:r>
          </w:p>
        </w:tc>
        <w:tc>
          <w:tcPr>
            <w:gridSpan w:val="2"/>
            <w:tcW w:w="2040" w:type="dxa"/>
          </w:tcPr>
          <w:p>
            <w:pPr>
              <w:pStyle w:val="0"/>
              <w:jc w:val="center"/>
            </w:pPr>
            <w:r>
              <w:rPr>
                <w:sz w:val="20"/>
              </w:rPr>
              <w:t xml:space="preserve">2020 год</w:t>
            </w:r>
          </w:p>
        </w:tc>
        <w:tc>
          <w:tcPr>
            <w:gridSpan w:val="2"/>
            <w:tcW w:w="2040" w:type="dxa"/>
          </w:tcPr>
          <w:p>
            <w:pPr>
              <w:pStyle w:val="0"/>
              <w:jc w:val="center"/>
            </w:pPr>
            <w:r>
              <w:rPr>
                <w:sz w:val="20"/>
              </w:rPr>
              <w:t xml:space="preserve">2021 год</w:t>
            </w:r>
          </w:p>
        </w:tc>
        <w:tc>
          <w:tcPr>
            <w:gridSpan w:val="2"/>
            <w:tcW w:w="2040" w:type="dxa"/>
          </w:tcPr>
          <w:p>
            <w:pPr>
              <w:pStyle w:val="0"/>
              <w:jc w:val="center"/>
            </w:pPr>
            <w:r>
              <w:rPr>
                <w:sz w:val="20"/>
              </w:rPr>
              <w:t xml:space="preserve">2022 год</w:t>
            </w:r>
          </w:p>
        </w:tc>
        <w:tc>
          <w:tcPr>
            <w:gridSpan w:val="2"/>
            <w:tcW w:w="2040" w:type="dxa"/>
          </w:tcPr>
          <w:p>
            <w:pPr>
              <w:pStyle w:val="0"/>
              <w:jc w:val="center"/>
            </w:pPr>
            <w:r>
              <w:rPr>
                <w:sz w:val="20"/>
              </w:rPr>
              <w:t xml:space="preserve">6 месяцев 2023 года</w:t>
            </w:r>
          </w:p>
        </w:tc>
      </w:tr>
      <w:tr>
        <w:tc>
          <w:tcPr>
            <w:vMerge w:val="continue"/>
          </w:tcPr>
          <w:p/>
        </w:tc>
        <w:tc>
          <w:tcPr>
            <w:tcW w:w="1020" w:type="dxa"/>
          </w:tcPr>
          <w:p>
            <w:pPr>
              <w:pStyle w:val="0"/>
              <w:jc w:val="center"/>
            </w:pPr>
            <w:r>
              <w:rPr>
                <w:sz w:val="20"/>
              </w:rPr>
              <w:t xml:space="preserve">Абс.</w:t>
            </w:r>
          </w:p>
        </w:tc>
        <w:tc>
          <w:tcPr>
            <w:tcW w:w="1020" w:type="dxa"/>
          </w:tcPr>
          <w:p>
            <w:pPr>
              <w:pStyle w:val="0"/>
              <w:jc w:val="center"/>
            </w:pPr>
            <w:r>
              <w:rPr>
                <w:sz w:val="20"/>
              </w:rPr>
              <w:t xml:space="preserve">Пок-ль</w:t>
            </w:r>
          </w:p>
        </w:tc>
        <w:tc>
          <w:tcPr>
            <w:tcW w:w="1020" w:type="dxa"/>
          </w:tcPr>
          <w:p>
            <w:pPr>
              <w:pStyle w:val="0"/>
              <w:jc w:val="center"/>
            </w:pPr>
            <w:r>
              <w:rPr>
                <w:sz w:val="20"/>
              </w:rPr>
              <w:t xml:space="preserve">Абс.</w:t>
            </w:r>
          </w:p>
        </w:tc>
        <w:tc>
          <w:tcPr>
            <w:tcW w:w="1020" w:type="dxa"/>
          </w:tcPr>
          <w:p>
            <w:pPr>
              <w:pStyle w:val="0"/>
              <w:jc w:val="center"/>
            </w:pPr>
            <w:r>
              <w:rPr>
                <w:sz w:val="20"/>
              </w:rPr>
              <w:t xml:space="preserve">Пок-ль</w:t>
            </w:r>
          </w:p>
        </w:tc>
        <w:tc>
          <w:tcPr>
            <w:tcW w:w="1020" w:type="dxa"/>
          </w:tcPr>
          <w:p>
            <w:pPr>
              <w:pStyle w:val="0"/>
              <w:jc w:val="center"/>
            </w:pPr>
            <w:r>
              <w:rPr>
                <w:sz w:val="20"/>
              </w:rPr>
              <w:t xml:space="preserve">Абс.</w:t>
            </w:r>
          </w:p>
        </w:tc>
        <w:tc>
          <w:tcPr>
            <w:tcW w:w="1020" w:type="dxa"/>
          </w:tcPr>
          <w:p>
            <w:pPr>
              <w:pStyle w:val="0"/>
              <w:jc w:val="center"/>
            </w:pPr>
            <w:r>
              <w:rPr>
                <w:sz w:val="20"/>
              </w:rPr>
              <w:t xml:space="preserve">Пок-ль</w:t>
            </w:r>
          </w:p>
        </w:tc>
        <w:tc>
          <w:tcPr>
            <w:tcW w:w="1020" w:type="dxa"/>
          </w:tcPr>
          <w:p>
            <w:pPr>
              <w:pStyle w:val="0"/>
              <w:jc w:val="center"/>
            </w:pPr>
            <w:r>
              <w:rPr>
                <w:sz w:val="20"/>
              </w:rPr>
              <w:t xml:space="preserve">Абс.</w:t>
            </w:r>
          </w:p>
        </w:tc>
        <w:tc>
          <w:tcPr>
            <w:tcW w:w="1020" w:type="dxa"/>
          </w:tcPr>
          <w:p>
            <w:pPr>
              <w:pStyle w:val="0"/>
              <w:jc w:val="center"/>
            </w:pPr>
            <w:r>
              <w:rPr>
                <w:sz w:val="20"/>
              </w:rPr>
              <w:t xml:space="preserve">Пок-ль</w:t>
            </w:r>
          </w:p>
        </w:tc>
        <w:tc>
          <w:tcPr>
            <w:tcW w:w="1020" w:type="dxa"/>
          </w:tcPr>
          <w:p>
            <w:pPr>
              <w:pStyle w:val="0"/>
              <w:jc w:val="center"/>
            </w:pPr>
            <w:r>
              <w:rPr>
                <w:sz w:val="20"/>
              </w:rPr>
              <w:t xml:space="preserve">Абс.</w:t>
            </w:r>
          </w:p>
        </w:tc>
        <w:tc>
          <w:tcPr>
            <w:tcW w:w="1020" w:type="dxa"/>
          </w:tcPr>
          <w:p>
            <w:pPr>
              <w:pStyle w:val="0"/>
              <w:jc w:val="center"/>
            </w:pPr>
            <w:r>
              <w:rPr>
                <w:sz w:val="20"/>
              </w:rPr>
              <w:t xml:space="preserve">Пок-ль</w:t>
            </w:r>
          </w:p>
        </w:tc>
      </w:tr>
      <w:tr>
        <w:tc>
          <w:tcPr>
            <w:tcW w:w="2891" w:type="dxa"/>
          </w:tcPr>
          <w:p>
            <w:pPr>
              <w:pStyle w:val="0"/>
            </w:pPr>
            <w:r>
              <w:rPr>
                <w:sz w:val="20"/>
              </w:rPr>
              <w:t xml:space="preserve">Всего умерших от всех причин, на 1000 родившихся живыми</w:t>
            </w:r>
          </w:p>
        </w:tc>
        <w:tc>
          <w:tcPr>
            <w:tcW w:w="1020" w:type="dxa"/>
          </w:tcPr>
          <w:p>
            <w:pPr>
              <w:pStyle w:val="0"/>
            </w:pPr>
            <w:r>
              <w:rPr>
                <w:sz w:val="20"/>
              </w:rPr>
              <w:t xml:space="preserve">109</w:t>
            </w:r>
          </w:p>
        </w:tc>
        <w:tc>
          <w:tcPr>
            <w:tcW w:w="1020" w:type="dxa"/>
          </w:tcPr>
          <w:p>
            <w:pPr>
              <w:pStyle w:val="0"/>
            </w:pPr>
            <w:r>
              <w:rPr>
                <w:sz w:val="20"/>
              </w:rPr>
              <w:t xml:space="preserve">5,26</w:t>
            </w:r>
          </w:p>
        </w:tc>
        <w:tc>
          <w:tcPr>
            <w:tcW w:w="1020" w:type="dxa"/>
          </w:tcPr>
          <w:p>
            <w:pPr>
              <w:pStyle w:val="0"/>
            </w:pPr>
            <w:r>
              <w:rPr>
                <w:sz w:val="20"/>
              </w:rPr>
              <w:t xml:space="preserve">91</w:t>
            </w:r>
          </w:p>
        </w:tc>
        <w:tc>
          <w:tcPr>
            <w:tcW w:w="1020" w:type="dxa"/>
          </w:tcPr>
          <w:p>
            <w:pPr>
              <w:pStyle w:val="0"/>
            </w:pPr>
            <w:r>
              <w:rPr>
                <w:sz w:val="20"/>
              </w:rPr>
              <w:t xml:space="preserve">4,42</w:t>
            </w:r>
          </w:p>
        </w:tc>
        <w:tc>
          <w:tcPr>
            <w:tcW w:w="1020" w:type="dxa"/>
          </w:tcPr>
          <w:p>
            <w:pPr>
              <w:pStyle w:val="0"/>
            </w:pPr>
            <w:r>
              <w:rPr>
                <w:sz w:val="20"/>
              </w:rPr>
              <w:t xml:space="preserve">91</w:t>
            </w:r>
          </w:p>
        </w:tc>
        <w:tc>
          <w:tcPr>
            <w:tcW w:w="1020" w:type="dxa"/>
          </w:tcPr>
          <w:p>
            <w:pPr>
              <w:pStyle w:val="0"/>
            </w:pPr>
            <w:r>
              <w:rPr>
                <w:sz w:val="20"/>
              </w:rPr>
              <w:t xml:space="preserve">4,62</w:t>
            </w:r>
          </w:p>
        </w:tc>
        <w:tc>
          <w:tcPr>
            <w:tcW w:w="1020" w:type="dxa"/>
          </w:tcPr>
          <w:p>
            <w:pPr>
              <w:pStyle w:val="0"/>
            </w:pPr>
            <w:r>
              <w:rPr>
                <w:sz w:val="20"/>
              </w:rPr>
              <w:t xml:space="preserve">80</w:t>
            </w:r>
          </w:p>
        </w:tc>
        <w:tc>
          <w:tcPr>
            <w:tcW w:w="1020" w:type="dxa"/>
          </w:tcPr>
          <w:p>
            <w:pPr>
              <w:pStyle w:val="0"/>
            </w:pPr>
            <w:r>
              <w:rPr>
                <w:sz w:val="20"/>
              </w:rPr>
              <w:t xml:space="preserve">4,06</w:t>
            </w:r>
          </w:p>
        </w:tc>
        <w:tc>
          <w:tcPr>
            <w:tcW w:w="1020" w:type="dxa"/>
          </w:tcPr>
          <w:p>
            <w:pPr>
              <w:pStyle w:val="0"/>
            </w:pPr>
            <w:r>
              <w:rPr>
                <w:sz w:val="20"/>
              </w:rPr>
              <w:t xml:space="preserve">30</w:t>
            </w:r>
          </w:p>
        </w:tc>
        <w:tc>
          <w:tcPr>
            <w:tcW w:w="1020" w:type="dxa"/>
          </w:tcPr>
          <w:p>
            <w:pPr>
              <w:pStyle w:val="0"/>
            </w:pPr>
            <w:r>
              <w:rPr>
                <w:sz w:val="20"/>
              </w:rPr>
              <w:t xml:space="preserve">3,23</w:t>
            </w:r>
          </w:p>
        </w:tc>
      </w:tr>
      <w:tr>
        <w:tc>
          <w:tcPr>
            <w:tcW w:w="2891" w:type="dxa"/>
          </w:tcPr>
          <w:p>
            <w:pPr>
              <w:pStyle w:val="0"/>
            </w:pPr>
            <w:r>
              <w:rPr>
                <w:sz w:val="20"/>
              </w:rPr>
              <w:t xml:space="preserve">в том числе на 10000 родившихся живыми</w:t>
            </w:r>
          </w:p>
        </w:tc>
        <w:tc>
          <w:tcPr>
            <w:tcW w:w="1020" w:type="dxa"/>
          </w:tcPr>
          <w:p>
            <w:pPr>
              <w:pStyle w:val="0"/>
            </w:pPr>
            <w:r>
              <w:rPr>
                <w:sz w:val="20"/>
              </w:rPr>
              <w:t xml:space="preserve">109</w:t>
            </w:r>
          </w:p>
        </w:tc>
        <w:tc>
          <w:tcPr>
            <w:tcW w:w="1020" w:type="dxa"/>
          </w:tcPr>
          <w:p>
            <w:pPr>
              <w:pStyle w:val="0"/>
            </w:pPr>
            <w:r>
              <w:rPr>
                <w:sz w:val="20"/>
              </w:rPr>
              <w:t xml:space="preserve">52,61</w:t>
            </w:r>
          </w:p>
        </w:tc>
        <w:tc>
          <w:tcPr>
            <w:tcW w:w="1020" w:type="dxa"/>
          </w:tcPr>
          <w:p>
            <w:pPr>
              <w:pStyle w:val="0"/>
            </w:pPr>
            <w:r>
              <w:rPr>
                <w:sz w:val="20"/>
              </w:rPr>
              <w:t xml:space="preserve">91</w:t>
            </w:r>
          </w:p>
        </w:tc>
        <w:tc>
          <w:tcPr>
            <w:tcW w:w="1020" w:type="dxa"/>
          </w:tcPr>
          <w:p>
            <w:pPr>
              <w:pStyle w:val="0"/>
            </w:pPr>
            <w:r>
              <w:rPr>
                <w:sz w:val="20"/>
              </w:rPr>
              <w:t xml:space="preserve">44,18</w:t>
            </w:r>
          </w:p>
        </w:tc>
        <w:tc>
          <w:tcPr>
            <w:tcW w:w="1020" w:type="dxa"/>
          </w:tcPr>
          <w:p>
            <w:pPr>
              <w:pStyle w:val="0"/>
            </w:pPr>
            <w:r>
              <w:rPr>
                <w:sz w:val="20"/>
              </w:rPr>
              <w:t xml:space="preserve">91</w:t>
            </w:r>
          </w:p>
        </w:tc>
        <w:tc>
          <w:tcPr>
            <w:tcW w:w="1020" w:type="dxa"/>
          </w:tcPr>
          <w:p>
            <w:pPr>
              <w:pStyle w:val="0"/>
            </w:pPr>
            <w:r>
              <w:rPr>
                <w:sz w:val="20"/>
              </w:rPr>
              <w:t xml:space="preserve">46,23</w:t>
            </w:r>
          </w:p>
        </w:tc>
        <w:tc>
          <w:tcPr>
            <w:tcW w:w="1020" w:type="dxa"/>
          </w:tcPr>
          <w:p>
            <w:pPr>
              <w:pStyle w:val="0"/>
            </w:pPr>
            <w:r>
              <w:rPr>
                <w:sz w:val="20"/>
              </w:rPr>
              <w:t xml:space="preserve">80</w:t>
            </w:r>
          </w:p>
        </w:tc>
        <w:tc>
          <w:tcPr>
            <w:tcW w:w="1020" w:type="dxa"/>
          </w:tcPr>
          <w:p>
            <w:pPr>
              <w:pStyle w:val="0"/>
            </w:pPr>
            <w:r>
              <w:rPr>
                <w:sz w:val="20"/>
              </w:rPr>
              <w:t xml:space="preserve">40,64</w:t>
            </w:r>
          </w:p>
        </w:tc>
        <w:tc>
          <w:tcPr>
            <w:tcW w:w="1020" w:type="dxa"/>
          </w:tcPr>
          <w:p>
            <w:pPr>
              <w:pStyle w:val="0"/>
            </w:pPr>
            <w:r>
              <w:rPr>
                <w:sz w:val="20"/>
              </w:rPr>
              <w:t xml:space="preserve">30</w:t>
            </w:r>
          </w:p>
        </w:tc>
        <w:tc>
          <w:tcPr>
            <w:tcW w:w="1020" w:type="dxa"/>
          </w:tcPr>
          <w:p>
            <w:pPr>
              <w:pStyle w:val="0"/>
            </w:pPr>
            <w:r>
              <w:rPr>
                <w:sz w:val="20"/>
              </w:rPr>
              <w:t xml:space="preserve">32,25</w:t>
            </w:r>
          </w:p>
        </w:tc>
      </w:tr>
      <w:tr>
        <w:tc>
          <w:tcPr>
            <w:tcW w:w="2891" w:type="dxa"/>
          </w:tcPr>
          <w:p>
            <w:pPr>
              <w:pStyle w:val="0"/>
            </w:pPr>
            <w:r>
              <w:rPr>
                <w:sz w:val="20"/>
              </w:rPr>
              <w:t xml:space="preserve">от некоторых инфекционных и паразитарных болезней</w:t>
            </w:r>
          </w:p>
        </w:tc>
        <w:tc>
          <w:tcPr>
            <w:tcW w:w="1020" w:type="dxa"/>
          </w:tcPr>
          <w:p>
            <w:pPr>
              <w:pStyle w:val="0"/>
            </w:pPr>
            <w:r>
              <w:rPr>
                <w:sz w:val="20"/>
              </w:rPr>
              <w:t xml:space="preserve">4</w:t>
            </w:r>
          </w:p>
        </w:tc>
        <w:tc>
          <w:tcPr>
            <w:tcW w:w="1020" w:type="dxa"/>
          </w:tcPr>
          <w:p>
            <w:pPr>
              <w:pStyle w:val="0"/>
            </w:pPr>
            <w:r>
              <w:rPr>
                <w:sz w:val="20"/>
              </w:rPr>
              <w:t xml:space="preserve">1,93</w:t>
            </w:r>
          </w:p>
        </w:tc>
        <w:tc>
          <w:tcPr>
            <w:tcW w:w="1020" w:type="dxa"/>
          </w:tcPr>
          <w:p>
            <w:pPr>
              <w:pStyle w:val="0"/>
            </w:pPr>
            <w:r>
              <w:rPr>
                <w:sz w:val="20"/>
              </w:rPr>
              <w:t xml:space="preserve">2</w:t>
            </w:r>
          </w:p>
        </w:tc>
        <w:tc>
          <w:tcPr>
            <w:tcW w:w="1020" w:type="dxa"/>
          </w:tcPr>
          <w:p>
            <w:pPr>
              <w:pStyle w:val="0"/>
            </w:pPr>
            <w:r>
              <w:rPr>
                <w:sz w:val="20"/>
              </w:rPr>
              <w:t xml:space="preserve">0,97</w:t>
            </w:r>
          </w:p>
        </w:tc>
        <w:tc>
          <w:tcPr>
            <w:tcW w:w="1020" w:type="dxa"/>
          </w:tcPr>
          <w:p>
            <w:pPr>
              <w:pStyle w:val="0"/>
            </w:pPr>
            <w:r>
              <w:rPr>
                <w:sz w:val="20"/>
              </w:rPr>
              <w:t xml:space="preserve">2</w:t>
            </w:r>
          </w:p>
        </w:tc>
        <w:tc>
          <w:tcPr>
            <w:tcW w:w="1020" w:type="dxa"/>
          </w:tcPr>
          <w:p>
            <w:pPr>
              <w:pStyle w:val="0"/>
            </w:pPr>
            <w:r>
              <w:rPr>
                <w:sz w:val="20"/>
              </w:rPr>
              <w:t xml:space="preserve">1,02</w:t>
            </w:r>
          </w:p>
        </w:tc>
        <w:tc>
          <w:tcPr>
            <w:tcW w:w="1020" w:type="dxa"/>
          </w:tcPr>
          <w:p>
            <w:pPr>
              <w:pStyle w:val="0"/>
            </w:pPr>
            <w:r>
              <w:rPr>
                <w:sz w:val="20"/>
              </w:rPr>
              <w:t xml:space="preserve">3</w:t>
            </w:r>
          </w:p>
        </w:tc>
        <w:tc>
          <w:tcPr>
            <w:tcW w:w="1020" w:type="dxa"/>
          </w:tcPr>
          <w:p>
            <w:pPr>
              <w:pStyle w:val="0"/>
            </w:pPr>
            <w:r>
              <w:rPr>
                <w:sz w:val="20"/>
              </w:rPr>
              <w:t xml:space="preserve">1,52</w:t>
            </w:r>
          </w:p>
        </w:tc>
        <w:tc>
          <w:tcPr>
            <w:tcW w:w="1020" w:type="dxa"/>
          </w:tcPr>
          <w:p>
            <w:pPr>
              <w:pStyle w:val="0"/>
            </w:pPr>
            <w:r>
              <w:rPr>
                <w:sz w:val="20"/>
              </w:rPr>
            </w:r>
          </w:p>
        </w:tc>
        <w:tc>
          <w:tcPr>
            <w:tcW w:w="1020" w:type="dxa"/>
          </w:tcPr>
          <w:p>
            <w:pPr>
              <w:pStyle w:val="0"/>
            </w:pPr>
            <w:r>
              <w:rPr>
                <w:sz w:val="20"/>
              </w:rPr>
            </w:r>
          </w:p>
        </w:tc>
      </w:tr>
      <w:tr>
        <w:tc>
          <w:tcPr>
            <w:tcW w:w="2891" w:type="dxa"/>
          </w:tcPr>
          <w:p>
            <w:pPr>
              <w:pStyle w:val="0"/>
            </w:pPr>
            <w:r>
              <w:rPr>
                <w:sz w:val="20"/>
              </w:rPr>
              <w:t xml:space="preserve">от болезней эндокринной системы, расстройства питания и нарушения обмена веществ</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1</w:t>
            </w:r>
          </w:p>
        </w:tc>
        <w:tc>
          <w:tcPr>
            <w:tcW w:w="1020" w:type="dxa"/>
          </w:tcPr>
          <w:p>
            <w:pPr>
              <w:pStyle w:val="0"/>
            </w:pPr>
            <w:r>
              <w:rPr>
                <w:sz w:val="20"/>
              </w:rPr>
              <w:t xml:space="preserve">0,51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2891" w:type="dxa"/>
          </w:tcPr>
          <w:p>
            <w:pPr>
              <w:pStyle w:val="0"/>
            </w:pPr>
            <w:r>
              <w:rPr>
                <w:sz w:val="20"/>
              </w:rPr>
              <w:t xml:space="preserve">от болезней нервной системы</w:t>
            </w:r>
          </w:p>
        </w:tc>
        <w:tc>
          <w:tcPr>
            <w:tcW w:w="1020" w:type="dxa"/>
          </w:tcPr>
          <w:p>
            <w:pPr>
              <w:pStyle w:val="0"/>
            </w:pPr>
            <w:r>
              <w:rPr>
                <w:sz w:val="20"/>
              </w:rPr>
              <w:t xml:space="preserve">6</w:t>
            </w:r>
          </w:p>
        </w:tc>
        <w:tc>
          <w:tcPr>
            <w:tcW w:w="1020" w:type="dxa"/>
          </w:tcPr>
          <w:p>
            <w:pPr>
              <w:pStyle w:val="0"/>
            </w:pPr>
            <w:r>
              <w:rPr>
                <w:sz w:val="20"/>
              </w:rPr>
              <w:t xml:space="preserve">2,90</w:t>
            </w:r>
          </w:p>
        </w:tc>
        <w:tc>
          <w:tcPr>
            <w:tcW w:w="1020" w:type="dxa"/>
          </w:tcPr>
          <w:p>
            <w:pPr>
              <w:pStyle w:val="0"/>
            </w:pPr>
            <w:r>
              <w:rPr>
                <w:sz w:val="20"/>
              </w:rPr>
              <w:t xml:space="preserve">8</w:t>
            </w:r>
          </w:p>
        </w:tc>
        <w:tc>
          <w:tcPr>
            <w:tcW w:w="1020" w:type="dxa"/>
          </w:tcPr>
          <w:p>
            <w:pPr>
              <w:pStyle w:val="0"/>
            </w:pPr>
            <w:r>
              <w:rPr>
                <w:sz w:val="20"/>
              </w:rPr>
              <w:t xml:space="preserve">3,88</w:t>
            </w:r>
          </w:p>
        </w:tc>
        <w:tc>
          <w:tcPr>
            <w:tcW w:w="1020" w:type="dxa"/>
          </w:tcPr>
          <w:p>
            <w:pPr>
              <w:pStyle w:val="0"/>
            </w:pPr>
            <w:r>
              <w:rPr>
                <w:sz w:val="20"/>
              </w:rPr>
              <w:t xml:space="preserve">6</w:t>
            </w:r>
          </w:p>
        </w:tc>
        <w:tc>
          <w:tcPr>
            <w:tcW w:w="1020" w:type="dxa"/>
          </w:tcPr>
          <w:p>
            <w:pPr>
              <w:pStyle w:val="0"/>
            </w:pPr>
            <w:r>
              <w:rPr>
                <w:sz w:val="20"/>
              </w:rPr>
              <w:t xml:space="preserve">3,05</w:t>
            </w:r>
          </w:p>
        </w:tc>
        <w:tc>
          <w:tcPr>
            <w:tcW w:w="1020" w:type="dxa"/>
          </w:tcPr>
          <w:p>
            <w:pPr>
              <w:pStyle w:val="0"/>
            </w:pPr>
            <w:r>
              <w:rPr>
                <w:sz w:val="20"/>
              </w:rPr>
              <w:t xml:space="preserve">9</w:t>
            </w:r>
          </w:p>
        </w:tc>
        <w:tc>
          <w:tcPr>
            <w:tcW w:w="1020" w:type="dxa"/>
          </w:tcPr>
          <w:p>
            <w:pPr>
              <w:pStyle w:val="0"/>
            </w:pPr>
            <w:r>
              <w:rPr>
                <w:sz w:val="20"/>
              </w:rPr>
              <w:t xml:space="preserve">4,57</w:t>
            </w:r>
          </w:p>
        </w:tc>
        <w:tc>
          <w:tcPr>
            <w:tcW w:w="1020" w:type="dxa"/>
          </w:tcPr>
          <w:p>
            <w:pPr>
              <w:pStyle w:val="0"/>
            </w:pPr>
            <w:r>
              <w:rPr>
                <w:sz w:val="20"/>
              </w:rPr>
              <w:t xml:space="preserve">1</w:t>
            </w:r>
          </w:p>
        </w:tc>
        <w:tc>
          <w:tcPr>
            <w:tcW w:w="1020" w:type="dxa"/>
          </w:tcPr>
          <w:p>
            <w:pPr>
              <w:pStyle w:val="0"/>
            </w:pPr>
            <w:r>
              <w:rPr>
                <w:sz w:val="20"/>
              </w:rPr>
              <w:t xml:space="preserve">1,08</w:t>
            </w:r>
          </w:p>
        </w:tc>
      </w:tr>
      <w:tr>
        <w:tc>
          <w:tcPr>
            <w:tcW w:w="2891" w:type="dxa"/>
          </w:tcPr>
          <w:p>
            <w:pPr>
              <w:pStyle w:val="0"/>
            </w:pPr>
            <w:r>
              <w:rPr>
                <w:sz w:val="20"/>
              </w:rPr>
              <w:t xml:space="preserve">от болезней органов дыхания</w:t>
            </w:r>
          </w:p>
        </w:tc>
        <w:tc>
          <w:tcPr>
            <w:tcW w:w="1020" w:type="dxa"/>
          </w:tcPr>
          <w:p>
            <w:pPr>
              <w:pStyle w:val="0"/>
            </w:pPr>
            <w:r>
              <w:rPr>
                <w:sz w:val="20"/>
              </w:rPr>
              <w:t xml:space="preserve">3</w:t>
            </w:r>
          </w:p>
        </w:tc>
        <w:tc>
          <w:tcPr>
            <w:tcW w:w="1020" w:type="dxa"/>
          </w:tcPr>
          <w:p>
            <w:pPr>
              <w:pStyle w:val="0"/>
            </w:pPr>
            <w:r>
              <w:rPr>
                <w:sz w:val="20"/>
              </w:rPr>
              <w:t xml:space="preserve">1,45</w:t>
            </w:r>
          </w:p>
        </w:tc>
        <w:tc>
          <w:tcPr>
            <w:tcW w:w="1020" w:type="dxa"/>
          </w:tcPr>
          <w:p>
            <w:pPr>
              <w:pStyle w:val="0"/>
            </w:pPr>
            <w:r>
              <w:rPr>
                <w:sz w:val="20"/>
              </w:rPr>
              <w:t xml:space="preserve">1</w:t>
            </w:r>
          </w:p>
        </w:tc>
        <w:tc>
          <w:tcPr>
            <w:tcW w:w="1020" w:type="dxa"/>
          </w:tcPr>
          <w:p>
            <w:pPr>
              <w:pStyle w:val="0"/>
            </w:pPr>
            <w:r>
              <w:rPr>
                <w:sz w:val="20"/>
              </w:rPr>
              <w:t xml:space="preserve">0,49</w:t>
            </w:r>
          </w:p>
        </w:tc>
        <w:tc>
          <w:tcPr>
            <w:tcW w:w="1020" w:type="dxa"/>
          </w:tcPr>
          <w:p>
            <w:pPr>
              <w:pStyle w:val="0"/>
            </w:pPr>
            <w:r>
              <w:rPr>
                <w:sz w:val="20"/>
              </w:rPr>
              <w:t xml:space="preserve">5</w:t>
            </w:r>
          </w:p>
        </w:tc>
        <w:tc>
          <w:tcPr>
            <w:tcW w:w="1020" w:type="dxa"/>
          </w:tcPr>
          <w:p>
            <w:pPr>
              <w:pStyle w:val="0"/>
            </w:pPr>
            <w:r>
              <w:rPr>
                <w:sz w:val="20"/>
              </w:rPr>
              <w:t xml:space="preserve">2,54</w:t>
            </w:r>
          </w:p>
        </w:tc>
        <w:tc>
          <w:tcPr>
            <w:tcW w:w="1020" w:type="dxa"/>
          </w:tcPr>
          <w:p>
            <w:pPr>
              <w:pStyle w:val="0"/>
            </w:pPr>
            <w:r>
              <w:rPr>
                <w:sz w:val="20"/>
              </w:rPr>
              <w:t xml:space="preserve">4</w:t>
            </w:r>
          </w:p>
        </w:tc>
        <w:tc>
          <w:tcPr>
            <w:tcW w:w="1020" w:type="dxa"/>
          </w:tcPr>
          <w:p>
            <w:pPr>
              <w:pStyle w:val="0"/>
            </w:pPr>
            <w:r>
              <w:rPr>
                <w:sz w:val="20"/>
              </w:rPr>
              <w:t xml:space="preserve">2,03</w:t>
            </w:r>
          </w:p>
        </w:tc>
        <w:tc>
          <w:tcPr>
            <w:tcW w:w="1020" w:type="dxa"/>
          </w:tcPr>
          <w:p>
            <w:pPr>
              <w:pStyle w:val="0"/>
            </w:pPr>
            <w:r>
              <w:rPr>
                <w:sz w:val="20"/>
              </w:rPr>
              <w:t xml:space="preserve">4</w:t>
            </w:r>
          </w:p>
        </w:tc>
        <w:tc>
          <w:tcPr>
            <w:tcW w:w="1020" w:type="dxa"/>
          </w:tcPr>
          <w:p>
            <w:pPr>
              <w:pStyle w:val="0"/>
            </w:pPr>
            <w:r>
              <w:rPr>
                <w:sz w:val="20"/>
              </w:rPr>
              <w:t xml:space="preserve">4,30</w:t>
            </w:r>
          </w:p>
        </w:tc>
      </w:tr>
      <w:tr>
        <w:tc>
          <w:tcPr>
            <w:tcW w:w="2891" w:type="dxa"/>
          </w:tcPr>
          <w:p>
            <w:pPr>
              <w:pStyle w:val="0"/>
            </w:pPr>
            <w:r>
              <w:rPr>
                <w:sz w:val="20"/>
              </w:rPr>
              <w:t xml:space="preserve">от болезней органов пищеварения</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2</w:t>
            </w:r>
          </w:p>
        </w:tc>
        <w:tc>
          <w:tcPr>
            <w:tcW w:w="1020" w:type="dxa"/>
          </w:tcPr>
          <w:p>
            <w:pPr>
              <w:pStyle w:val="0"/>
            </w:pPr>
            <w:r>
              <w:rPr>
                <w:sz w:val="20"/>
              </w:rPr>
              <w:t xml:space="preserve">1,02</w:t>
            </w:r>
          </w:p>
        </w:tc>
        <w:tc>
          <w:tcPr>
            <w:tcW w:w="1020" w:type="dxa"/>
          </w:tcPr>
          <w:p>
            <w:pPr>
              <w:pStyle w:val="0"/>
            </w:pPr>
            <w:r>
              <w:rPr>
                <w:sz w:val="20"/>
              </w:rPr>
            </w:r>
          </w:p>
        </w:tc>
        <w:tc>
          <w:tcPr>
            <w:tcW w:w="1020" w:type="dxa"/>
          </w:tcPr>
          <w:p>
            <w:pPr>
              <w:pStyle w:val="0"/>
            </w:pPr>
            <w:r>
              <w:rPr>
                <w:sz w:val="20"/>
              </w:rPr>
            </w:r>
          </w:p>
        </w:tc>
      </w:tr>
      <w:tr>
        <w:tc>
          <w:tcPr>
            <w:tcW w:w="2891" w:type="dxa"/>
          </w:tcPr>
          <w:p>
            <w:pPr>
              <w:pStyle w:val="0"/>
            </w:pPr>
            <w:r>
              <w:rPr>
                <w:sz w:val="20"/>
              </w:rPr>
              <w:t xml:space="preserve">от врожденных аномалий (пороков развития), деформаций и хромосомных нарушений</w:t>
            </w:r>
          </w:p>
        </w:tc>
        <w:tc>
          <w:tcPr>
            <w:tcW w:w="1020" w:type="dxa"/>
          </w:tcPr>
          <w:p>
            <w:pPr>
              <w:pStyle w:val="0"/>
            </w:pPr>
            <w:r>
              <w:rPr>
                <w:sz w:val="20"/>
              </w:rPr>
              <w:t xml:space="preserve">22</w:t>
            </w:r>
          </w:p>
        </w:tc>
        <w:tc>
          <w:tcPr>
            <w:tcW w:w="1020" w:type="dxa"/>
          </w:tcPr>
          <w:p>
            <w:pPr>
              <w:pStyle w:val="0"/>
            </w:pPr>
            <w:r>
              <w:rPr>
                <w:sz w:val="20"/>
              </w:rPr>
              <w:t xml:space="preserve">10,62</w:t>
            </w:r>
          </w:p>
        </w:tc>
        <w:tc>
          <w:tcPr>
            <w:tcW w:w="1020" w:type="dxa"/>
          </w:tcPr>
          <w:p>
            <w:pPr>
              <w:pStyle w:val="0"/>
            </w:pPr>
            <w:r>
              <w:rPr>
                <w:sz w:val="20"/>
              </w:rPr>
              <w:t xml:space="preserve">18</w:t>
            </w:r>
          </w:p>
        </w:tc>
        <w:tc>
          <w:tcPr>
            <w:tcW w:w="1020" w:type="dxa"/>
          </w:tcPr>
          <w:p>
            <w:pPr>
              <w:pStyle w:val="0"/>
            </w:pPr>
            <w:r>
              <w:rPr>
                <w:sz w:val="20"/>
              </w:rPr>
              <w:t xml:space="preserve">8,74</w:t>
            </w:r>
          </w:p>
        </w:tc>
        <w:tc>
          <w:tcPr>
            <w:tcW w:w="1020" w:type="dxa"/>
          </w:tcPr>
          <w:p>
            <w:pPr>
              <w:pStyle w:val="0"/>
            </w:pPr>
            <w:r>
              <w:rPr>
                <w:sz w:val="20"/>
              </w:rPr>
              <w:t xml:space="preserve">17</w:t>
            </w:r>
          </w:p>
        </w:tc>
        <w:tc>
          <w:tcPr>
            <w:tcW w:w="1020" w:type="dxa"/>
          </w:tcPr>
          <w:p>
            <w:pPr>
              <w:pStyle w:val="0"/>
            </w:pPr>
            <w:r>
              <w:rPr>
                <w:sz w:val="20"/>
              </w:rPr>
              <w:t xml:space="preserve">8,64</w:t>
            </w:r>
          </w:p>
        </w:tc>
        <w:tc>
          <w:tcPr>
            <w:tcW w:w="1020" w:type="dxa"/>
          </w:tcPr>
          <w:p>
            <w:pPr>
              <w:pStyle w:val="0"/>
            </w:pPr>
            <w:r>
              <w:rPr>
                <w:sz w:val="20"/>
              </w:rPr>
              <w:t xml:space="preserve">9</w:t>
            </w:r>
          </w:p>
        </w:tc>
        <w:tc>
          <w:tcPr>
            <w:tcW w:w="1020" w:type="dxa"/>
          </w:tcPr>
          <w:p>
            <w:pPr>
              <w:pStyle w:val="0"/>
            </w:pPr>
            <w:r>
              <w:rPr>
                <w:sz w:val="20"/>
              </w:rPr>
              <w:t xml:space="preserve">4,57</w:t>
            </w:r>
          </w:p>
        </w:tc>
        <w:tc>
          <w:tcPr>
            <w:tcW w:w="1020" w:type="dxa"/>
          </w:tcPr>
          <w:p>
            <w:pPr>
              <w:pStyle w:val="0"/>
            </w:pPr>
            <w:r>
              <w:rPr>
                <w:sz w:val="20"/>
              </w:rPr>
              <w:t xml:space="preserve">4</w:t>
            </w:r>
          </w:p>
        </w:tc>
        <w:tc>
          <w:tcPr>
            <w:tcW w:w="1020" w:type="dxa"/>
          </w:tcPr>
          <w:p>
            <w:pPr>
              <w:pStyle w:val="0"/>
            </w:pPr>
            <w:r>
              <w:rPr>
                <w:sz w:val="20"/>
              </w:rPr>
              <w:t xml:space="preserve">4,30</w:t>
            </w:r>
          </w:p>
        </w:tc>
      </w:tr>
      <w:tr>
        <w:tc>
          <w:tcPr>
            <w:tcW w:w="2891" w:type="dxa"/>
          </w:tcPr>
          <w:p>
            <w:pPr>
              <w:pStyle w:val="0"/>
            </w:pPr>
            <w:r>
              <w:rPr>
                <w:sz w:val="20"/>
              </w:rPr>
              <w:t xml:space="preserve">от отдельных состояний, возникающих в перинатальном периоде, в том числе:</w:t>
            </w:r>
          </w:p>
        </w:tc>
        <w:tc>
          <w:tcPr>
            <w:tcW w:w="1020" w:type="dxa"/>
          </w:tcPr>
          <w:p>
            <w:pPr>
              <w:pStyle w:val="0"/>
            </w:pPr>
            <w:r>
              <w:rPr>
                <w:sz w:val="20"/>
              </w:rPr>
              <w:t xml:space="preserve">45</w:t>
            </w:r>
          </w:p>
        </w:tc>
        <w:tc>
          <w:tcPr>
            <w:tcW w:w="1020" w:type="dxa"/>
          </w:tcPr>
          <w:p>
            <w:pPr>
              <w:pStyle w:val="0"/>
            </w:pPr>
            <w:r>
              <w:rPr>
                <w:sz w:val="20"/>
              </w:rPr>
              <w:t xml:space="preserve">21,72</w:t>
            </w:r>
          </w:p>
        </w:tc>
        <w:tc>
          <w:tcPr>
            <w:tcW w:w="1020" w:type="dxa"/>
          </w:tcPr>
          <w:p>
            <w:pPr>
              <w:pStyle w:val="0"/>
            </w:pPr>
            <w:r>
              <w:rPr>
                <w:sz w:val="20"/>
              </w:rPr>
              <w:t xml:space="preserve">40</w:t>
            </w:r>
          </w:p>
        </w:tc>
        <w:tc>
          <w:tcPr>
            <w:tcW w:w="1020" w:type="dxa"/>
          </w:tcPr>
          <w:p>
            <w:pPr>
              <w:pStyle w:val="0"/>
            </w:pPr>
            <w:r>
              <w:rPr>
                <w:sz w:val="20"/>
              </w:rPr>
              <w:t xml:space="preserve">19,42</w:t>
            </w:r>
          </w:p>
        </w:tc>
        <w:tc>
          <w:tcPr>
            <w:tcW w:w="1020" w:type="dxa"/>
          </w:tcPr>
          <w:p>
            <w:pPr>
              <w:pStyle w:val="0"/>
            </w:pPr>
            <w:r>
              <w:rPr>
                <w:sz w:val="20"/>
              </w:rPr>
              <w:t xml:space="preserve">39</w:t>
            </w:r>
          </w:p>
        </w:tc>
        <w:tc>
          <w:tcPr>
            <w:tcW w:w="1020" w:type="dxa"/>
          </w:tcPr>
          <w:p>
            <w:pPr>
              <w:pStyle w:val="0"/>
            </w:pPr>
            <w:r>
              <w:rPr>
                <w:sz w:val="20"/>
              </w:rPr>
              <w:t xml:space="preserve">19,81</w:t>
            </w:r>
          </w:p>
        </w:tc>
        <w:tc>
          <w:tcPr>
            <w:tcW w:w="1020" w:type="dxa"/>
          </w:tcPr>
          <w:p>
            <w:pPr>
              <w:pStyle w:val="0"/>
            </w:pPr>
            <w:r>
              <w:rPr>
                <w:sz w:val="20"/>
              </w:rPr>
              <w:t xml:space="preserve">33</w:t>
            </w:r>
          </w:p>
        </w:tc>
        <w:tc>
          <w:tcPr>
            <w:tcW w:w="1020" w:type="dxa"/>
          </w:tcPr>
          <w:p>
            <w:pPr>
              <w:pStyle w:val="0"/>
            </w:pPr>
            <w:r>
              <w:rPr>
                <w:sz w:val="20"/>
              </w:rPr>
              <w:t xml:space="preserve">16,77</w:t>
            </w:r>
          </w:p>
        </w:tc>
        <w:tc>
          <w:tcPr>
            <w:tcW w:w="1020" w:type="dxa"/>
          </w:tcPr>
          <w:p>
            <w:pPr>
              <w:pStyle w:val="0"/>
            </w:pPr>
            <w:r>
              <w:rPr>
                <w:sz w:val="20"/>
              </w:rPr>
              <w:t xml:space="preserve">13</w:t>
            </w:r>
          </w:p>
        </w:tc>
        <w:tc>
          <w:tcPr>
            <w:tcW w:w="1020" w:type="dxa"/>
          </w:tcPr>
          <w:p>
            <w:pPr>
              <w:pStyle w:val="0"/>
            </w:pPr>
            <w:r>
              <w:rPr>
                <w:sz w:val="20"/>
              </w:rPr>
              <w:t xml:space="preserve">13,98</w:t>
            </w:r>
          </w:p>
        </w:tc>
      </w:tr>
      <w:tr>
        <w:tc>
          <w:tcPr>
            <w:tcW w:w="2891" w:type="dxa"/>
          </w:tcPr>
          <w:p>
            <w:pPr>
              <w:pStyle w:val="0"/>
            </w:pPr>
            <w:r>
              <w:rPr>
                <w:sz w:val="20"/>
              </w:rPr>
              <w:t xml:space="preserve">геморрагических нарушений у плода и новорожденного</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2891" w:type="dxa"/>
          </w:tcPr>
          <w:p>
            <w:pPr>
              <w:pStyle w:val="0"/>
            </w:pPr>
            <w:r>
              <w:rPr>
                <w:sz w:val="20"/>
              </w:rPr>
              <w:t xml:space="preserve">травмы, отравления и некоторые другие последствия воздействия внешних причин</w:t>
            </w:r>
          </w:p>
        </w:tc>
        <w:tc>
          <w:tcPr>
            <w:tcW w:w="1020" w:type="dxa"/>
          </w:tcPr>
          <w:p>
            <w:pPr>
              <w:pStyle w:val="0"/>
            </w:pPr>
            <w:r>
              <w:rPr>
                <w:sz w:val="20"/>
              </w:rPr>
              <w:t xml:space="preserve">12</w:t>
            </w:r>
          </w:p>
        </w:tc>
        <w:tc>
          <w:tcPr>
            <w:tcW w:w="1020" w:type="dxa"/>
          </w:tcPr>
          <w:p>
            <w:pPr>
              <w:pStyle w:val="0"/>
            </w:pPr>
            <w:r>
              <w:rPr>
                <w:sz w:val="20"/>
              </w:rPr>
              <w:t xml:space="preserve">5,79</w:t>
            </w:r>
          </w:p>
        </w:tc>
        <w:tc>
          <w:tcPr>
            <w:tcW w:w="1020" w:type="dxa"/>
          </w:tcPr>
          <w:p>
            <w:pPr>
              <w:pStyle w:val="0"/>
            </w:pPr>
            <w:r>
              <w:rPr>
                <w:sz w:val="20"/>
              </w:rPr>
              <w:t xml:space="preserve">8</w:t>
            </w:r>
          </w:p>
        </w:tc>
        <w:tc>
          <w:tcPr>
            <w:tcW w:w="1020" w:type="dxa"/>
          </w:tcPr>
          <w:p>
            <w:pPr>
              <w:pStyle w:val="0"/>
            </w:pPr>
            <w:r>
              <w:rPr>
                <w:sz w:val="20"/>
              </w:rPr>
              <w:t xml:space="preserve">3,88</w:t>
            </w:r>
          </w:p>
        </w:tc>
        <w:tc>
          <w:tcPr>
            <w:tcW w:w="1020" w:type="dxa"/>
          </w:tcPr>
          <w:p>
            <w:pPr>
              <w:pStyle w:val="0"/>
            </w:pPr>
            <w:r>
              <w:rPr>
                <w:sz w:val="20"/>
              </w:rPr>
              <w:t xml:space="preserve">12</w:t>
            </w:r>
          </w:p>
        </w:tc>
        <w:tc>
          <w:tcPr>
            <w:tcW w:w="1020" w:type="dxa"/>
          </w:tcPr>
          <w:p>
            <w:pPr>
              <w:pStyle w:val="0"/>
            </w:pPr>
            <w:r>
              <w:rPr>
                <w:sz w:val="20"/>
              </w:rPr>
              <w:t xml:space="preserve">6,10</w:t>
            </w:r>
          </w:p>
        </w:tc>
        <w:tc>
          <w:tcPr>
            <w:tcW w:w="1020" w:type="dxa"/>
          </w:tcPr>
          <w:p>
            <w:pPr>
              <w:pStyle w:val="0"/>
            </w:pPr>
            <w:r>
              <w:rPr>
                <w:sz w:val="20"/>
              </w:rPr>
              <w:t xml:space="preserve">10</w:t>
            </w:r>
          </w:p>
        </w:tc>
        <w:tc>
          <w:tcPr>
            <w:tcW w:w="1020" w:type="dxa"/>
          </w:tcPr>
          <w:p>
            <w:pPr>
              <w:pStyle w:val="0"/>
            </w:pPr>
            <w:r>
              <w:rPr>
                <w:sz w:val="20"/>
              </w:rPr>
              <w:t xml:space="preserve">5,08</w:t>
            </w:r>
          </w:p>
        </w:tc>
        <w:tc>
          <w:tcPr>
            <w:tcW w:w="1020" w:type="dxa"/>
          </w:tcPr>
          <w:p>
            <w:pPr>
              <w:pStyle w:val="0"/>
            </w:pPr>
            <w:r>
              <w:rPr>
                <w:sz w:val="20"/>
              </w:rPr>
              <w:t xml:space="preserve">2</w:t>
            </w:r>
          </w:p>
        </w:tc>
        <w:tc>
          <w:tcPr>
            <w:tcW w:w="1020" w:type="dxa"/>
          </w:tcPr>
          <w:p>
            <w:pPr>
              <w:pStyle w:val="0"/>
            </w:pPr>
            <w:r>
              <w:rPr>
                <w:sz w:val="20"/>
              </w:rPr>
              <w:t xml:space="preserve">2,15</w:t>
            </w:r>
          </w:p>
        </w:tc>
      </w:tr>
      <w:tr>
        <w:tc>
          <w:tcPr>
            <w:tcW w:w="2891" w:type="dxa"/>
          </w:tcPr>
          <w:p>
            <w:pPr>
              <w:pStyle w:val="0"/>
            </w:pPr>
            <w:r>
              <w:rPr>
                <w:sz w:val="20"/>
              </w:rPr>
              <w:t xml:space="preserve">от новой коронавирусной инфекции (COVID-19)</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1</w:t>
            </w:r>
          </w:p>
        </w:tc>
        <w:tc>
          <w:tcPr>
            <w:tcW w:w="1020" w:type="dxa"/>
          </w:tcPr>
          <w:p>
            <w:pPr>
              <w:pStyle w:val="0"/>
            </w:pPr>
            <w:r>
              <w:rPr>
                <w:sz w:val="20"/>
              </w:rPr>
              <w:t xml:space="preserve">0,51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2891" w:type="dxa"/>
          </w:tcPr>
          <w:p>
            <w:pPr>
              <w:pStyle w:val="0"/>
            </w:pPr>
            <w:r>
              <w:rPr>
                <w:sz w:val="20"/>
              </w:rPr>
              <w:t xml:space="preserve">новообразования</w:t>
            </w:r>
          </w:p>
        </w:tc>
        <w:tc>
          <w:tcPr>
            <w:tcW w:w="1020" w:type="dxa"/>
          </w:tcPr>
          <w:p>
            <w:pPr>
              <w:pStyle w:val="0"/>
            </w:pPr>
            <w:r>
              <w:rPr>
                <w:sz w:val="20"/>
              </w:rPr>
              <w:t xml:space="preserve">2</w:t>
            </w:r>
          </w:p>
        </w:tc>
        <w:tc>
          <w:tcPr>
            <w:tcW w:w="1020" w:type="dxa"/>
          </w:tcPr>
          <w:p>
            <w:pPr>
              <w:pStyle w:val="0"/>
            </w:pPr>
            <w:r>
              <w:rPr>
                <w:sz w:val="20"/>
              </w:rPr>
              <w:t xml:space="preserve">0,97</w:t>
            </w:r>
          </w:p>
        </w:tc>
        <w:tc>
          <w:tcPr>
            <w:tcW w:w="1020" w:type="dxa"/>
          </w:tcPr>
          <w:p>
            <w:pPr>
              <w:pStyle w:val="0"/>
            </w:pPr>
            <w:r>
              <w:rPr>
                <w:sz w:val="20"/>
              </w:rPr>
              <w:t xml:space="preserve">1</w:t>
            </w:r>
          </w:p>
        </w:tc>
        <w:tc>
          <w:tcPr>
            <w:tcW w:w="1020" w:type="dxa"/>
          </w:tcPr>
          <w:p>
            <w:pPr>
              <w:pStyle w:val="0"/>
            </w:pPr>
            <w:r>
              <w:rPr>
                <w:sz w:val="20"/>
              </w:rPr>
              <w:t xml:space="preserve">0,49</w:t>
            </w:r>
          </w:p>
        </w:tc>
        <w:tc>
          <w:tcPr>
            <w:tcW w:w="1020" w:type="dxa"/>
          </w:tcPr>
          <w:p>
            <w:pPr>
              <w:pStyle w:val="0"/>
            </w:pPr>
            <w:r>
              <w:rPr>
                <w:sz w:val="20"/>
              </w:rPr>
              <w:t xml:space="preserve">1</w:t>
            </w:r>
          </w:p>
        </w:tc>
        <w:tc>
          <w:tcPr>
            <w:tcW w:w="1020" w:type="dxa"/>
          </w:tcPr>
          <w:p>
            <w:pPr>
              <w:pStyle w:val="0"/>
            </w:pPr>
            <w:r>
              <w:rPr>
                <w:sz w:val="20"/>
              </w:rPr>
              <w:t xml:space="preserve">0,51</w:t>
            </w:r>
          </w:p>
        </w:tc>
        <w:tc>
          <w:tcPr>
            <w:tcW w:w="1020" w:type="dxa"/>
          </w:tcPr>
          <w:p>
            <w:pPr>
              <w:pStyle w:val="0"/>
            </w:pPr>
            <w:r>
              <w:rPr>
                <w:sz w:val="20"/>
              </w:rPr>
              <w:t xml:space="preserve">1</w:t>
            </w:r>
          </w:p>
        </w:tc>
        <w:tc>
          <w:tcPr>
            <w:tcW w:w="1020" w:type="dxa"/>
          </w:tcPr>
          <w:p>
            <w:pPr>
              <w:pStyle w:val="0"/>
            </w:pPr>
            <w:r>
              <w:rPr>
                <w:sz w:val="20"/>
              </w:rPr>
              <w:t xml:space="preserve">0,51</w:t>
            </w:r>
          </w:p>
        </w:tc>
        <w:tc>
          <w:tcPr>
            <w:tcW w:w="1020" w:type="dxa"/>
          </w:tcPr>
          <w:p>
            <w:pPr>
              <w:pStyle w:val="0"/>
            </w:pPr>
            <w:r>
              <w:rPr>
                <w:sz w:val="20"/>
              </w:rPr>
              <w:t xml:space="preserve">1</w:t>
            </w:r>
          </w:p>
        </w:tc>
        <w:tc>
          <w:tcPr>
            <w:tcW w:w="1020" w:type="dxa"/>
          </w:tcPr>
          <w:p>
            <w:pPr>
              <w:pStyle w:val="0"/>
            </w:pPr>
            <w:r>
              <w:rPr>
                <w:sz w:val="20"/>
              </w:rPr>
              <w:t xml:space="preserve">1,08</w:t>
            </w:r>
          </w:p>
        </w:tc>
      </w:tr>
      <w:tr>
        <w:tc>
          <w:tcPr>
            <w:tcW w:w="2891" w:type="dxa"/>
          </w:tcPr>
          <w:p>
            <w:pPr>
              <w:pStyle w:val="0"/>
            </w:pPr>
            <w:r>
              <w:rPr>
                <w:sz w:val="20"/>
              </w:rPr>
              <w:t xml:space="preserve">от болезней системы кровообращения</w:t>
            </w:r>
          </w:p>
        </w:tc>
        <w:tc>
          <w:tcPr>
            <w:tcW w:w="1020" w:type="dxa"/>
          </w:tcPr>
          <w:p>
            <w:pPr>
              <w:pStyle w:val="0"/>
            </w:pPr>
            <w:r>
              <w:rPr>
                <w:sz w:val="20"/>
              </w:rPr>
              <w:t xml:space="preserve">5</w:t>
            </w:r>
          </w:p>
        </w:tc>
        <w:tc>
          <w:tcPr>
            <w:tcW w:w="1020" w:type="dxa"/>
          </w:tcPr>
          <w:p>
            <w:pPr>
              <w:pStyle w:val="0"/>
            </w:pPr>
            <w:r>
              <w:rPr>
                <w:sz w:val="20"/>
              </w:rPr>
              <w:t xml:space="preserve">2,41</w:t>
            </w:r>
          </w:p>
        </w:tc>
        <w:tc>
          <w:tcPr>
            <w:tcW w:w="1020" w:type="dxa"/>
          </w:tcPr>
          <w:p>
            <w:pPr>
              <w:pStyle w:val="0"/>
            </w:pPr>
            <w:r>
              <w:rPr>
                <w:sz w:val="20"/>
              </w:rPr>
              <w:t xml:space="preserve">2</w:t>
            </w:r>
          </w:p>
        </w:tc>
        <w:tc>
          <w:tcPr>
            <w:tcW w:w="1020" w:type="dxa"/>
          </w:tcPr>
          <w:p>
            <w:pPr>
              <w:pStyle w:val="0"/>
            </w:pPr>
            <w:r>
              <w:rPr>
                <w:sz w:val="20"/>
              </w:rPr>
              <w:t xml:space="preserve">0,97</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2</w:t>
            </w:r>
          </w:p>
        </w:tc>
        <w:tc>
          <w:tcPr>
            <w:tcW w:w="1020" w:type="dxa"/>
          </w:tcPr>
          <w:p>
            <w:pPr>
              <w:pStyle w:val="0"/>
            </w:pPr>
            <w:r>
              <w:rPr>
                <w:sz w:val="20"/>
              </w:rPr>
              <w:t xml:space="preserve">1,02</w:t>
            </w:r>
          </w:p>
        </w:tc>
        <w:tc>
          <w:tcPr>
            <w:tcW w:w="1020" w:type="dxa"/>
          </w:tcPr>
          <w:p>
            <w:pPr>
              <w:pStyle w:val="0"/>
            </w:pPr>
            <w:r>
              <w:rPr>
                <w:sz w:val="20"/>
              </w:rPr>
              <w:t xml:space="preserve">1</w:t>
            </w:r>
          </w:p>
        </w:tc>
        <w:tc>
          <w:tcPr>
            <w:tcW w:w="1020" w:type="dxa"/>
          </w:tcPr>
          <w:p>
            <w:pPr>
              <w:pStyle w:val="0"/>
            </w:pPr>
            <w:r>
              <w:rPr>
                <w:sz w:val="20"/>
              </w:rPr>
              <w:t xml:space="preserve">1,08</w:t>
            </w:r>
          </w:p>
        </w:tc>
      </w:tr>
      <w:tr>
        <w:tc>
          <w:tcPr>
            <w:tcW w:w="2891" w:type="dxa"/>
          </w:tcPr>
          <w:p>
            <w:pPr>
              <w:pStyle w:val="0"/>
            </w:pPr>
            <w:r>
              <w:rPr>
                <w:sz w:val="20"/>
              </w:rPr>
              <w:t xml:space="preserve">от болезней крови и кроветворных органов</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2</w:t>
            </w:r>
          </w:p>
        </w:tc>
        <w:tc>
          <w:tcPr>
            <w:tcW w:w="1020" w:type="dxa"/>
          </w:tcPr>
          <w:p>
            <w:pPr>
              <w:pStyle w:val="0"/>
            </w:pPr>
            <w:r>
              <w:rPr>
                <w:sz w:val="20"/>
              </w:rPr>
            </w:r>
          </w:p>
        </w:tc>
        <w:tc>
          <w:tcPr>
            <w:tcW w:w="1020" w:type="dxa"/>
          </w:tcPr>
          <w:p>
            <w:pPr>
              <w:pStyle w:val="0"/>
            </w:pPr>
            <w:r>
              <w:rPr>
                <w:sz w:val="20"/>
              </w:rPr>
              <w:t xml:space="preserve">1</w:t>
            </w:r>
          </w:p>
        </w:tc>
        <w:tc>
          <w:tcPr>
            <w:tcW w:w="1020" w:type="dxa"/>
          </w:tcPr>
          <w:p>
            <w:pPr>
              <w:pStyle w:val="0"/>
            </w:pPr>
            <w:r>
              <w:rPr>
                <w:sz w:val="20"/>
              </w:rPr>
              <w:t xml:space="preserve">0,51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2891" w:type="dxa"/>
          </w:tcPr>
          <w:p>
            <w:pPr>
              <w:pStyle w:val="0"/>
            </w:pPr>
            <w:r>
              <w:rPr>
                <w:sz w:val="20"/>
              </w:rPr>
              <w:t xml:space="preserve">от болезней костно-мышечной системы</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1</w:t>
            </w:r>
          </w:p>
        </w:tc>
        <w:tc>
          <w:tcPr>
            <w:tcW w:w="1020" w:type="dxa"/>
          </w:tcPr>
          <w:p>
            <w:pPr>
              <w:pStyle w:val="0"/>
            </w:pPr>
            <w:r>
              <w:rPr>
                <w:sz w:val="20"/>
              </w:rPr>
              <w:t xml:space="preserve">1,08</w:t>
            </w:r>
          </w:p>
        </w:tc>
      </w:tr>
      <w:tr>
        <w:tc>
          <w:tcPr>
            <w:tcW w:w="2891" w:type="dxa"/>
          </w:tcPr>
          <w:p>
            <w:pPr>
              <w:pStyle w:val="0"/>
            </w:pPr>
            <w:r>
              <w:rPr>
                <w:sz w:val="20"/>
              </w:rPr>
              <w:t xml:space="preserve">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1020" w:type="dxa"/>
          </w:tcPr>
          <w:p>
            <w:pPr>
              <w:pStyle w:val="0"/>
            </w:pPr>
            <w:r>
              <w:rPr>
                <w:sz w:val="20"/>
              </w:rPr>
              <w:t xml:space="preserve">10</w:t>
            </w:r>
          </w:p>
        </w:tc>
        <w:tc>
          <w:tcPr>
            <w:tcW w:w="1020" w:type="dxa"/>
          </w:tcPr>
          <w:p>
            <w:pPr>
              <w:pStyle w:val="0"/>
            </w:pPr>
            <w:r>
              <w:rPr>
                <w:sz w:val="20"/>
              </w:rPr>
              <w:t xml:space="preserve">4,83</w:t>
            </w:r>
          </w:p>
        </w:tc>
        <w:tc>
          <w:tcPr>
            <w:tcW w:w="1020" w:type="dxa"/>
          </w:tcPr>
          <w:p>
            <w:pPr>
              <w:pStyle w:val="0"/>
            </w:pPr>
            <w:r>
              <w:rPr>
                <w:sz w:val="20"/>
              </w:rPr>
              <w:t xml:space="preserve">8</w:t>
            </w:r>
          </w:p>
        </w:tc>
        <w:tc>
          <w:tcPr>
            <w:tcW w:w="1020" w:type="dxa"/>
          </w:tcPr>
          <w:p>
            <w:pPr>
              <w:pStyle w:val="0"/>
            </w:pPr>
            <w:r>
              <w:rPr>
                <w:sz w:val="20"/>
              </w:rPr>
              <w:t xml:space="preserve">3,88</w:t>
            </w:r>
          </w:p>
        </w:tc>
        <w:tc>
          <w:tcPr>
            <w:tcW w:w="1020" w:type="dxa"/>
          </w:tcPr>
          <w:p>
            <w:pPr>
              <w:pStyle w:val="0"/>
            </w:pPr>
            <w:r>
              <w:rPr>
                <w:sz w:val="20"/>
              </w:rPr>
              <w:t xml:space="preserve">6</w:t>
            </w:r>
          </w:p>
        </w:tc>
        <w:tc>
          <w:tcPr>
            <w:tcW w:w="1020" w:type="dxa"/>
          </w:tcPr>
          <w:p>
            <w:pPr>
              <w:pStyle w:val="0"/>
            </w:pPr>
            <w:r>
              <w:rPr>
                <w:sz w:val="20"/>
              </w:rPr>
              <w:t xml:space="preserve">3,05</w:t>
            </w:r>
          </w:p>
        </w:tc>
        <w:tc>
          <w:tcPr>
            <w:tcW w:w="1020" w:type="dxa"/>
          </w:tcPr>
          <w:p>
            <w:pPr>
              <w:pStyle w:val="0"/>
            </w:pPr>
            <w:r>
              <w:rPr>
                <w:sz w:val="20"/>
              </w:rPr>
              <w:t xml:space="preserve">7</w:t>
            </w:r>
          </w:p>
        </w:tc>
        <w:tc>
          <w:tcPr>
            <w:tcW w:w="1020" w:type="dxa"/>
          </w:tcPr>
          <w:p>
            <w:pPr>
              <w:pStyle w:val="0"/>
            </w:pPr>
            <w:r>
              <w:rPr>
                <w:sz w:val="20"/>
              </w:rPr>
              <w:t xml:space="preserve">3,56</w:t>
            </w:r>
          </w:p>
        </w:tc>
        <w:tc>
          <w:tcPr>
            <w:tcW w:w="1020" w:type="dxa"/>
          </w:tcPr>
          <w:p>
            <w:pPr>
              <w:pStyle w:val="0"/>
            </w:pPr>
            <w:r>
              <w:rPr>
                <w:sz w:val="20"/>
              </w:rPr>
              <w:t xml:space="preserve">3</w:t>
            </w:r>
          </w:p>
        </w:tc>
        <w:tc>
          <w:tcPr>
            <w:tcW w:w="1020" w:type="dxa"/>
          </w:tcPr>
          <w:p>
            <w:pPr>
              <w:pStyle w:val="0"/>
            </w:pPr>
            <w:r>
              <w:rPr>
                <w:sz w:val="20"/>
              </w:rPr>
              <w:t xml:space="preserve">3,23</w:t>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jc w:val="right"/>
      </w:pPr>
      <w:r>
        <w:rPr>
          <w:sz w:val="20"/>
        </w:rPr>
        <w:t xml:space="preserve">Таблица 7</w:t>
      </w:r>
    </w:p>
    <w:p>
      <w:pPr>
        <w:pStyle w:val="0"/>
        <w:jc w:val="right"/>
      </w:pPr>
      <w:r>
        <w:rPr>
          <w:sz w:val="20"/>
        </w:rPr>
      </w:r>
    </w:p>
    <w:p>
      <w:pPr>
        <w:pStyle w:val="0"/>
        <w:jc w:val="center"/>
      </w:pPr>
      <w:r>
        <w:rPr>
          <w:sz w:val="20"/>
        </w:rPr>
        <w:t xml:space="preserve">Показатели детской смертности в возрасте 0 - 17 лет на 100</w:t>
      </w:r>
    </w:p>
    <w:p>
      <w:pPr>
        <w:pStyle w:val="0"/>
        <w:jc w:val="center"/>
      </w:pPr>
      <w:r>
        <w:rPr>
          <w:sz w:val="20"/>
        </w:rPr>
        <w:t xml:space="preserve">000 детей соответствующего возраста в автономном округе</w:t>
      </w:r>
    </w:p>
    <w:p>
      <w:pPr>
        <w:pStyle w:val="0"/>
        <w:jc w:val="center"/>
      </w:pPr>
      <w:r>
        <w:rPr>
          <w:sz w:val="20"/>
        </w:rPr>
        <w:t xml:space="preserve">за период 2019 - 2023 гг. (данные Федеральной службы</w:t>
      </w:r>
    </w:p>
    <w:p>
      <w:pPr>
        <w:pStyle w:val="0"/>
        <w:jc w:val="center"/>
      </w:pPr>
      <w:r>
        <w:rPr>
          <w:sz w:val="20"/>
        </w:rPr>
        <w:t xml:space="preserve">государственной статистики)</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53"/>
        <w:gridCol w:w="1808"/>
        <w:gridCol w:w="919"/>
        <w:gridCol w:w="784"/>
        <w:gridCol w:w="920"/>
        <w:gridCol w:w="920"/>
        <w:gridCol w:w="1057"/>
      </w:tblGrid>
      <w:tr>
        <w:tc>
          <w:tcPr>
            <w:tcW w:w="2653" w:type="dxa"/>
          </w:tcPr>
          <w:p>
            <w:pPr>
              <w:pStyle w:val="0"/>
              <w:jc w:val="center"/>
            </w:pPr>
            <w:r>
              <w:rPr>
                <w:sz w:val="20"/>
              </w:rPr>
              <w:t xml:space="preserve">Наименование показателей</w:t>
            </w:r>
          </w:p>
        </w:tc>
        <w:tc>
          <w:tcPr>
            <w:tcW w:w="1808" w:type="dxa"/>
          </w:tcPr>
          <w:p>
            <w:pPr>
              <w:pStyle w:val="0"/>
              <w:jc w:val="center"/>
            </w:pPr>
            <w:r>
              <w:rPr>
                <w:sz w:val="20"/>
              </w:rPr>
              <w:t xml:space="preserve">Единица измерения</w:t>
            </w:r>
          </w:p>
        </w:tc>
        <w:tc>
          <w:tcPr>
            <w:tcW w:w="919" w:type="dxa"/>
          </w:tcPr>
          <w:p>
            <w:pPr>
              <w:pStyle w:val="0"/>
              <w:jc w:val="center"/>
            </w:pPr>
            <w:r>
              <w:rPr>
                <w:sz w:val="20"/>
              </w:rPr>
              <w:t xml:space="preserve">2019 год</w:t>
            </w:r>
          </w:p>
        </w:tc>
        <w:tc>
          <w:tcPr>
            <w:tcW w:w="784" w:type="dxa"/>
          </w:tcPr>
          <w:p>
            <w:pPr>
              <w:pStyle w:val="0"/>
              <w:jc w:val="center"/>
            </w:pPr>
            <w:r>
              <w:rPr>
                <w:sz w:val="20"/>
              </w:rPr>
              <w:t xml:space="preserve">2020 год</w:t>
            </w:r>
          </w:p>
        </w:tc>
        <w:tc>
          <w:tcPr>
            <w:tcW w:w="920" w:type="dxa"/>
          </w:tcPr>
          <w:p>
            <w:pPr>
              <w:pStyle w:val="0"/>
              <w:jc w:val="center"/>
            </w:pPr>
            <w:r>
              <w:rPr>
                <w:sz w:val="20"/>
              </w:rPr>
              <w:t xml:space="preserve">2021 год</w:t>
            </w:r>
          </w:p>
        </w:tc>
        <w:tc>
          <w:tcPr>
            <w:tcW w:w="920" w:type="dxa"/>
          </w:tcPr>
          <w:p>
            <w:pPr>
              <w:pStyle w:val="0"/>
              <w:jc w:val="center"/>
            </w:pPr>
            <w:r>
              <w:rPr>
                <w:sz w:val="20"/>
              </w:rPr>
              <w:t xml:space="preserve">2022 год</w:t>
            </w:r>
          </w:p>
        </w:tc>
        <w:tc>
          <w:tcPr>
            <w:tcW w:w="1057" w:type="dxa"/>
          </w:tcPr>
          <w:p>
            <w:pPr>
              <w:pStyle w:val="0"/>
              <w:jc w:val="center"/>
            </w:pPr>
            <w:r>
              <w:rPr>
                <w:sz w:val="20"/>
              </w:rPr>
              <w:t xml:space="preserve">6 месяцев 2023 года</w:t>
            </w:r>
          </w:p>
        </w:tc>
      </w:tr>
      <w:tr>
        <w:tc>
          <w:tcPr>
            <w:tcW w:w="2653" w:type="dxa"/>
          </w:tcPr>
          <w:p>
            <w:pPr>
              <w:pStyle w:val="0"/>
            </w:pPr>
            <w:r>
              <w:rPr>
                <w:sz w:val="20"/>
              </w:rPr>
              <w:t xml:space="preserve">Смертность детей в возрасте 0 - 17 лет на 100 000 детей соответствующего возраста</w:t>
            </w:r>
          </w:p>
        </w:tc>
        <w:tc>
          <w:tcPr>
            <w:tcW w:w="1808" w:type="dxa"/>
          </w:tcPr>
          <w:p>
            <w:pPr>
              <w:pStyle w:val="0"/>
            </w:pPr>
            <w:r>
              <w:rPr>
                <w:sz w:val="20"/>
              </w:rPr>
              <w:t xml:space="preserve">число случаев на 100 000 детей соответствующего возраста</w:t>
            </w:r>
          </w:p>
        </w:tc>
        <w:tc>
          <w:tcPr>
            <w:tcW w:w="919" w:type="dxa"/>
          </w:tcPr>
          <w:p>
            <w:pPr>
              <w:pStyle w:val="0"/>
            </w:pPr>
            <w:r>
              <w:rPr>
                <w:sz w:val="20"/>
              </w:rPr>
              <w:t xml:space="preserve">39,39</w:t>
            </w:r>
          </w:p>
        </w:tc>
        <w:tc>
          <w:tcPr>
            <w:tcW w:w="784" w:type="dxa"/>
          </w:tcPr>
          <w:p>
            <w:pPr>
              <w:pStyle w:val="0"/>
            </w:pPr>
            <w:r>
              <w:rPr>
                <w:sz w:val="20"/>
              </w:rPr>
              <w:t xml:space="preserve">30,84</w:t>
            </w:r>
          </w:p>
        </w:tc>
        <w:tc>
          <w:tcPr>
            <w:tcW w:w="920" w:type="dxa"/>
          </w:tcPr>
          <w:p>
            <w:pPr>
              <w:pStyle w:val="0"/>
            </w:pPr>
            <w:r>
              <w:rPr>
                <w:sz w:val="20"/>
              </w:rPr>
              <w:t xml:space="preserve">35,74</w:t>
            </w:r>
          </w:p>
        </w:tc>
        <w:tc>
          <w:tcPr>
            <w:tcW w:w="920" w:type="dxa"/>
          </w:tcPr>
          <w:p>
            <w:pPr>
              <w:pStyle w:val="0"/>
            </w:pPr>
            <w:r>
              <w:rPr>
                <w:sz w:val="20"/>
              </w:rPr>
              <w:t xml:space="preserve">32,28</w:t>
            </w:r>
          </w:p>
        </w:tc>
        <w:tc>
          <w:tcPr>
            <w:tcW w:w="1057" w:type="dxa"/>
          </w:tcPr>
          <w:p>
            <w:pPr>
              <w:pStyle w:val="0"/>
            </w:pPr>
            <w:r>
              <w:rPr>
                <w:sz w:val="20"/>
              </w:rPr>
              <w:t xml:space="preserve">23,76</w:t>
            </w:r>
          </w:p>
        </w:tc>
      </w:tr>
    </w:tbl>
    <w:p>
      <w:pPr>
        <w:pStyle w:val="0"/>
        <w:ind w:firstLine="540"/>
        <w:jc w:val="both"/>
      </w:pPr>
      <w:r>
        <w:rPr>
          <w:sz w:val="20"/>
        </w:rPr>
      </w:r>
    </w:p>
    <w:p>
      <w:pPr>
        <w:pStyle w:val="0"/>
        <w:jc w:val="right"/>
      </w:pPr>
      <w:r>
        <w:rPr>
          <w:sz w:val="20"/>
        </w:rPr>
        <w:t xml:space="preserve">Таблица 8</w:t>
      </w:r>
    </w:p>
    <w:p>
      <w:pPr>
        <w:pStyle w:val="0"/>
        <w:jc w:val="right"/>
      </w:pPr>
      <w:r>
        <w:rPr>
          <w:sz w:val="20"/>
        </w:rPr>
      </w:r>
    </w:p>
    <w:p>
      <w:pPr>
        <w:pStyle w:val="0"/>
        <w:jc w:val="center"/>
      </w:pPr>
      <w:r>
        <w:rPr>
          <w:sz w:val="20"/>
        </w:rPr>
        <w:t xml:space="preserve">Структура детской смертности в возрасте 0 - 17 лет на 100</w:t>
      </w:r>
    </w:p>
    <w:p>
      <w:pPr>
        <w:pStyle w:val="0"/>
        <w:jc w:val="center"/>
      </w:pPr>
      <w:r>
        <w:rPr>
          <w:sz w:val="20"/>
        </w:rPr>
        <w:t xml:space="preserve">000 детей соответствующего возраста в автономном округе</w:t>
      </w:r>
    </w:p>
    <w:p>
      <w:pPr>
        <w:pStyle w:val="0"/>
        <w:jc w:val="center"/>
      </w:pPr>
      <w:r>
        <w:rPr>
          <w:sz w:val="20"/>
        </w:rPr>
        <w:t xml:space="preserve">за период 2019 - 2023 гг. (данные Управления федеральной</w:t>
      </w:r>
    </w:p>
    <w:p>
      <w:pPr>
        <w:pStyle w:val="0"/>
        <w:jc w:val="center"/>
      </w:pPr>
      <w:r>
        <w:rPr>
          <w:sz w:val="20"/>
        </w:rPr>
        <w:t xml:space="preserve">службы государственной статистики по Тюменской области,</w:t>
      </w:r>
    </w:p>
    <w:p>
      <w:pPr>
        <w:pStyle w:val="0"/>
        <w:jc w:val="center"/>
      </w:pPr>
      <w:r>
        <w:rPr>
          <w:sz w:val="20"/>
        </w:rPr>
        <w:t xml:space="preserve">автономному округу и Ямало-Ненецкому автономному округу)</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1020"/>
        <w:gridCol w:w="1020"/>
        <w:gridCol w:w="1020"/>
        <w:gridCol w:w="1020"/>
        <w:gridCol w:w="1020"/>
        <w:gridCol w:w="1020"/>
        <w:gridCol w:w="1020"/>
        <w:gridCol w:w="1020"/>
        <w:gridCol w:w="1020"/>
        <w:gridCol w:w="1020"/>
      </w:tblGrid>
      <w:tr>
        <w:tc>
          <w:tcPr>
            <w:tcW w:w="3118" w:type="dxa"/>
            <w:vMerge w:val="restart"/>
          </w:tcPr>
          <w:p>
            <w:pPr>
              <w:pStyle w:val="0"/>
              <w:jc w:val="center"/>
            </w:pPr>
            <w:r>
              <w:rPr>
                <w:sz w:val="20"/>
              </w:rPr>
              <w:t xml:space="preserve">Наименование показателя</w:t>
            </w:r>
          </w:p>
        </w:tc>
        <w:tc>
          <w:tcPr>
            <w:gridSpan w:val="2"/>
            <w:tcW w:w="2040" w:type="dxa"/>
          </w:tcPr>
          <w:p>
            <w:pPr>
              <w:pStyle w:val="0"/>
              <w:jc w:val="center"/>
            </w:pPr>
            <w:r>
              <w:rPr>
                <w:sz w:val="20"/>
              </w:rPr>
              <w:t xml:space="preserve">2019 год</w:t>
            </w:r>
          </w:p>
        </w:tc>
        <w:tc>
          <w:tcPr>
            <w:gridSpan w:val="2"/>
            <w:tcW w:w="2040" w:type="dxa"/>
          </w:tcPr>
          <w:p>
            <w:pPr>
              <w:pStyle w:val="0"/>
              <w:jc w:val="center"/>
            </w:pPr>
            <w:r>
              <w:rPr>
                <w:sz w:val="20"/>
              </w:rPr>
              <w:t xml:space="preserve">2020 год</w:t>
            </w:r>
          </w:p>
        </w:tc>
        <w:tc>
          <w:tcPr>
            <w:gridSpan w:val="2"/>
            <w:tcW w:w="2040" w:type="dxa"/>
          </w:tcPr>
          <w:p>
            <w:pPr>
              <w:pStyle w:val="0"/>
              <w:jc w:val="center"/>
            </w:pPr>
            <w:r>
              <w:rPr>
                <w:sz w:val="20"/>
              </w:rPr>
              <w:t xml:space="preserve">2021 год</w:t>
            </w:r>
          </w:p>
        </w:tc>
        <w:tc>
          <w:tcPr>
            <w:gridSpan w:val="2"/>
            <w:tcW w:w="2040" w:type="dxa"/>
          </w:tcPr>
          <w:p>
            <w:pPr>
              <w:pStyle w:val="0"/>
              <w:jc w:val="center"/>
            </w:pPr>
            <w:r>
              <w:rPr>
                <w:sz w:val="20"/>
              </w:rPr>
              <w:t xml:space="preserve">2022 год</w:t>
            </w:r>
          </w:p>
        </w:tc>
        <w:tc>
          <w:tcPr>
            <w:gridSpan w:val="2"/>
            <w:tcW w:w="2040" w:type="dxa"/>
          </w:tcPr>
          <w:p>
            <w:pPr>
              <w:pStyle w:val="0"/>
              <w:jc w:val="center"/>
            </w:pPr>
            <w:r>
              <w:rPr>
                <w:sz w:val="20"/>
              </w:rPr>
              <w:t xml:space="preserve">6 месяцев 2023 года</w:t>
            </w:r>
          </w:p>
        </w:tc>
      </w:tr>
      <w:tr>
        <w:tc>
          <w:tcPr>
            <w:vMerge w:val="continue"/>
          </w:tcPr>
          <w:p/>
        </w:tc>
        <w:tc>
          <w:tcPr>
            <w:tcW w:w="1020" w:type="dxa"/>
          </w:tcPr>
          <w:p>
            <w:pPr>
              <w:pStyle w:val="0"/>
              <w:jc w:val="center"/>
            </w:pPr>
            <w:r>
              <w:rPr>
                <w:sz w:val="20"/>
              </w:rPr>
              <w:t xml:space="preserve">Абс.</w:t>
            </w:r>
          </w:p>
        </w:tc>
        <w:tc>
          <w:tcPr>
            <w:tcW w:w="1020" w:type="dxa"/>
          </w:tcPr>
          <w:p>
            <w:pPr>
              <w:pStyle w:val="0"/>
              <w:jc w:val="center"/>
            </w:pPr>
            <w:r>
              <w:rPr>
                <w:sz w:val="20"/>
              </w:rPr>
              <w:t xml:space="preserve">Пок-ль</w:t>
            </w:r>
          </w:p>
        </w:tc>
        <w:tc>
          <w:tcPr>
            <w:tcW w:w="1020" w:type="dxa"/>
          </w:tcPr>
          <w:p>
            <w:pPr>
              <w:pStyle w:val="0"/>
              <w:jc w:val="center"/>
            </w:pPr>
            <w:r>
              <w:rPr>
                <w:sz w:val="20"/>
              </w:rPr>
              <w:t xml:space="preserve">Абс.</w:t>
            </w:r>
          </w:p>
        </w:tc>
        <w:tc>
          <w:tcPr>
            <w:tcW w:w="1020" w:type="dxa"/>
          </w:tcPr>
          <w:p>
            <w:pPr>
              <w:pStyle w:val="0"/>
              <w:jc w:val="center"/>
            </w:pPr>
            <w:r>
              <w:rPr>
                <w:sz w:val="20"/>
              </w:rPr>
              <w:t xml:space="preserve">Пок-ль</w:t>
            </w:r>
          </w:p>
        </w:tc>
        <w:tc>
          <w:tcPr>
            <w:tcW w:w="1020" w:type="dxa"/>
          </w:tcPr>
          <w:p>
            <w:pPr>
              <w:pStyle w:val="0"/>
              <w:jc w:val="center"/>
            </w:pPr>
            <w:r>
              <w:rPr>
                <w:sz w:val="20"/>
              </w:rPr>
              <w:t xml:space="preserve">Абс.</w:t>
            </w:r>
          </w:p>
        </w:tc>
        <w:tc>
          <w:tcPr>
            <w:tcW w:w="1020" w:type="dxa"/>
          </w:tcPr>
          <w:p>
            <w:pPr>
              <w:pStyle w:val="0"/>
              <w:jc w:val="center"/>
            </w:pPr>
            <w:r>
              <w:rPr>
                <w:sz w:val="20"/>
              </w:rPr>
              <w:t xml:space="preserve">Пок-ль</w:t>
            </w:r>
          </w:p>
        </w:tc>
        <w:tc>
          <w:tcPr>
            <w:tcW w:w="1020" w:type="dxa"/>
          </w:tcPr>
          <w:p>
            <w:pPr>
              <w:pStyle w:val="0"/>
              <w:jc w:val="center"/>
            </w:pPr>
            <w:r>
              <w:rPr>
                <w:sz w:val="20"/>
              </w:rPr>
              <w:t xml:space="preserve">Абс.</w:t>
            </w:r>
          </w:p>
        </w:tc>
        <w:tc>
          <w:tcPr>
            <w:tcW w:w="1020" w:type="dxa"/>
          </w:tcPr>
          <w:p>
            <w:pPr>
              <w:pStyle w:val="0"/>
              <w:jc w:val="center"/>
            </w:pPr>
            <w:r>
              <w:rPr>
                <w:sz w:val="20"/>
              </w:rPr>
              <w:t xml:space="preserve">Пок-ль</w:t>
            </w:r>
          </w:p>
        </w:tc>
        <w:tc>
          <w:tcPr>
            <w:tcW w:w="1020" w:type="dxa"/>
          </w:tcPr>
          <w:p>
            <w:pPr>
              <w:pStyle w:val="0"/>
              <w:jc w:val="center"/>
            </w:pPr>
            <w:r>
              <w:rPr>
                <w:sz w:val="20"/>
              </w:rPr>
              <w:t xml:space="preserve">Абс.</w:t>
            </w:r>
          </w:p>
        </w:tc>
        <w:tc>
          <w:tcPr>
            <w:tcW w:w="1020" w:type="dxa"/>
          </w:tcPr>
          <w:p>
            <w:pPr>
              <w:pStyle w:val="0"/>
              <w:jc w:val="center"/>
            </w:pPr>
            <w:r>
              <w:rPr>
                <w:sz w:val="20"/>
              </w:rPr>
              <w:t xml:space="preserve">Пок-ль</w:t>
            </w:r>
          </w:p>
        </w:tc>
      </w:tr>
      <w:tr>
        <w:tc>
          <w:tcPr>
            <w:tcW w:w="3118" w:type="dxa"/>
          </w:tcPr>
          <w:p>
            <w:pPr>
              <w:pStyle w:val="0"/>
            </w:pPr>
            <w:r>
              <w:rPr>
                <w:sz w:val="20"/>
              </w:rPr>
              <w:t xml:space="preserve">Всего умерших от всех причин</w:t>
            </w:r>
          </w:p>
        </w:tc>
        <w:tc>
          <w:tcPr>
            <w:tcW w:w="1020" w:type="dxa"/>
          </w:tcPr>
          <w:p>
            <w:pPr>
              <w:pStyle w:val="0"/>
            </w:pPr>
            <w:r>
              <w:rPr>
                <w:sz w:val="20"/>
              </w:rPr>
              <w:t xml:space="preserve">168</w:t>
            </w:r>
          </w:p>
        </w:tc>
        <w:tc>
          <w:tcPr>
            <w:tcW w:w="1020" w:type="dxa"/>
          </w:tcPr>
          <w:p>
            <w:pPr>
              <w:pStyle w:val="0"/>
            </w:pPr>
            <w:r>
              <w:rPr>
                <w:sz w:val="20"/>
              </w:rPr>
              <w:t xml:space="preserve">39,39</w:t>
            </w:r>
          </w:p>
        </w:tc>
        <w:tc>
          <w:tcPr>
            <w:tcW w:w="1020" w:type="dxa"/>
          </w:tcPr>
          <w:p>
            <w:pPr>
              <w:pStyle w:val="0"/>
            </w:pPr>
            <w:r>
              <w:rPr>
                <w:sz w:val="20"/>
              </w:rPr>
              <w:t xml:space="preserve">132</w:t>
            </w:r>
          </w:p>
        </w:tc>
        <w:tc>
          <w:tcPr>
            <w:tcW w:w="1020" w:type="dxa"/>
          </w:tcPr>
          <w:p>
            <w:pPr>
              <w:pStyle w:val="0"/>
            </w:pPr>
            <w:r>
              <w:rPr>
                <w:sz w:val="20"/>
              </w:rPr>
              <w:t xml:space="preserve">30,84</w:t>
            </w:r>
          </w:p>
        </w:tc>
        <w:tc>
          <w:tcPr>
            <w:tcW w:w="1020" w:type="dxa"/>
          </w:tcPr>
          <w:p>
            <w:pPr>
              <w:pStyle w:val="0"/>
            </w:pPr>
            <w:r>
              <w:rPr>
                <w:sz w:val="20"/>
              </w:rPr>
              <w:t xml:space="preserve">153</w:t>
            </w:r>
          </w:p>
        </w:tc>
        <w:tc>
          <w:tcPr>
            <w:tcW w:w="1020" w:type="dxa"/>
          </w:tcPr>
          <w:p>
            <w:pPr>
              <w:pStyle w:val="0"/>
            </w:pPr>
            <w:r>
              <w:rPr>
                <w:sz w:val="20"/>
              </w:rPr>
              <w:t xml:space="preserve">35,74</w:t>
            </w:r>
          </w:p>
        </w:tc>
        <w:tc>
          <w:tcPr>
            <w:tcW w:w="1020" w:type="dxa"/>
          </w:tcPr>
          <w:p>
            <w:pPr>
              <w:pStyle w:val="0"/>
            </w:pPr>
            <w:r>
              <w:rPr>
                <w:sz w:val="20"/>
              </w:rPr>
              <w:t xml:space="preserve">139</w:t>
            </w:r>
          </w:p>
        </w:tc>
        <w:tc>
          <w:tcPr>
            <w:tcW w:w="1020" w:type="dxa"/>
          </w:tcPr>
          <w:p>
            <w:pPr>
              <w:pStyle w:val="0"/>
            </w:pPr>
            <w:r>
              <w:rPr>
                <w:sz w:val="20"/>
              </w:rPr>
              <w:t xml:space="preserve">32,28</w:t>
            </w:r>
          </w:p>
        </w:tc>
        <w:tc>
          <w:tcPr>
            <w:tcW w:w="1020" w:type="dxa"/>
          </w:tcPr>
          <w:p>
            <w:pPr>
              <w:pStyle w:val="0"/>
            </w:pPr>
            <w:r>
              <w:rPr>
                <w:sz w:val="20"/>
              </w:rPr>
              <w:t xml:space="preserve">51</w:t>
            </w:r>
          </w:p>
        </w:tc>
        <w:tc>
          <w:tcPr>
            <w:tcW w:w="1020" w:type="dxa"/>
          </w:tcPr>
          <w:p>
            <w:pPr>
              <w:pStyle w:val="0"/>
            </w:pPr>
            <w:r>
              <w:rPr>
                <w:sz w:val="20"/>
              </w:rPr>
              <w:t xml:space="preserve">23,76</w:t>
            </w:r>
          </w:p>
        </w:tc>
      </w:tr>
      <w:tr>
        <w:tc>
          <w:tcPr>
            <w:tcW w:w="3118" w:type="dxa"/>
          </w:tcPr>
          <w:p>
            <w:pPr>
              <w:pStyle w:val="0"/>
            </w:pPr>
            <w:r>
              <w:rPr>
                <w:sz w:val="20"/>
              </w:rPr>
              <w:t xml:space="preserve">от некоторых инфекционных и паразитарных болезней</w:t>
            </w:r>
          </w:p>
        </w:tc>
        <w:tc>
          <w:tcPr>
            <w:tcW w:w="1020" w:type="dxa"/>
          </w:tcPr>
          <w:p>
            <w:pPr>
              <w:pStyle w:val="0"/>
            </w:pPr>
            <w:r>
              <w:rPr>
                <w:sz w:val="20"/>
              </w:rPr>
              <w:t xml:space="preserve">6</w:t>
            </w:r>
          </w:p>
        </w:tc>
        <w:tc>
          <w:tcPr>
            <w:tcW w:w="1020" w:type="dxa"/>
          </w:tcPr>
          <w:p>
            <w:pPr>
              <w:pStyle w:val="0"/>
            </w:pPr>
            <w:r>
              <w:rPr>
                <w:sz w:val="20"/>
              </w:rPr>
              <w:t xml:space="preserve">1,41</w:t>
            </w:r>
          </w:p>
        </w:tc>
        <w:tc>
          <w:tcPr>
            <w:tcW w:w="1020" w:type="dxa"/>
          </w:tcPr>
          <w:p>
            <w:pPr>
              <w:pStyle w:val="0"/>
            </w:pPr>
            <w:r>
              <w:rPr>
                <w:sz w:val="20"/>
              </w:rPr>
              <w:t xml:space="preserve">2</w:t>
            </w:r>
          </w:p>
        </w:tc>
        <w:tc>
          <w:tcPr>
            <w:tcW w:w="1020" w:type="dxa"/>
          </w:tcPr>
          <w:p>
            <w:pPr>
              <w:pStyle w:val="0"/>
            </w:pPr>
            <w:r>
              <w:rPr>
                <w:sz w:val="20"/>
              </w:rPr>
              <w:t xml:space="preserve">0,47</w:t>
            </w:r>
          </w:p>
        </w:tc>
        <w:tc>
          <w:tcPr>
            <w:tcW w:w="1020" w:type="dxa"/>
          </w:tcPr>
          <w:p>
            <w:pPr>
              <w:pStyle w:val="0"/>
            </w:pPr>
            <w:r>
              <w:rPr>
                <w:sz w:val="20"/>
              </w:rPr>
              <w:t xml:space="preserve">2</w:t>
            </w:r>
          </w:p>
        </w:tc>
        <w:tc>
          <w:tcPr>
            <w:tcW w:w="1020" w:type="dxa"/>
          </w:tcPr>
          <w:p>
            <w:pPr>
              <w:pStyle w:val="0"/>
            </w:pPr>
            <w:r>
              <w:rPr>
                <w:sz w:val="20"/>
              </w:rPr>
              <w:t xml:space="preserve">0,47</w:t>
            </w:r>
          </w:p>
        </w:tc>
        <w:tc>
          <w:tcPr>
            <w:tcW w:w="1020" w:type="dxa"/>
          </w:tcPr>
          <w:p>
            <w:pPr>
              <w:pStyle w:val="0"/>
            </w:pPr>
            <w:r>
              <w:rPr>
                <w:sz w:val="20"/>
              </w:rPr>
              <w:t xml:space="preserve">4</w:t>
            </w:r>
          </w:p>
        </w:tc>
        <w:tc>
          <w:tcPr>
            <w:tcW w:w="1020" w:type="dxa"/>
          </w:tcPr>
          <w:p>
            <w:pPr>
              <w:pStyle w:val="0"/>
            </w:pPr>
            <w:r>
              <w:rPr>
                <w:sz w:val="20"/>
              </w:rPr>
              <w:t xml:space="preserve">0,93</w:t>
            </w:r>
          </w:p>
        </w:tc>
        <w:tc>
          <w:tcPr>
            <w:tcW w:w="1020" w:type="dxa"/>
          </w:tcPr>
          <w:p>
            <w:pPr>
              <w:pStyle w:val="0"/>
            </w:pPr>
            <w:r>
              <w:rPr>
                <w:sz w:val="20"/>
              </w:rPr>
              <w:t xml:space="preserve">1</w:t>
            </w:r>
          </w:p>
        </w:tc>
        <w:tc>
          <w:tcPr>
            <w:tcW w:w="1020" w:type="dxa"/>
          </w:tcPr>
          <w:p>
            <w:pPr>
              <w:pStyle w:val="0"/>
            </w:pPr>
            <w:r>
              <w:rPr>
                <w:sz w:val="20"/>
              </w:rPr>
              <w:t xml:space="preserve">0,47</w:t>
            </w:r>
          </w:p>
        </w:tc>
      </w:tr>
      <w:tr>
        <w:tc>
          <w:tcPr>
            <w:tcW w:w="3118" w:type="dxa"/>
          </w:tcPr>
          <w:p>
            <w:pPr>
              <w:pStyle w:val="0"/>
            </w:pPr>
            <w:r>
              <w:rPr>
                <w:sz w:val="20"/>
              </w:rPr>
              <w:t xml:space="preserve">от болезней эндокринной системы, расстройства питания и нарушения обмена веществ</w:t>
            </w:r>
          </w:p>
        </w:tc>
        <w:tc>
          <w:tcPr>
            <w:tcW w:w="1020" w:type="dxa"/>
          </w:tcPr>
          <w:p>
            <w:pPr>
              <w:pStyle w:val="0"/>
            </w:pPr>
            <w:r>
              <w:rPr>
                <w:sz w:val="20"/>
              </w:rPr>
              <w:t xml:space="preserve">1</w:t>
            </w:r>
          </w:p>
        </w:tc>
        <w:tc>
          <w:tcPr>
            <w:tcW w:w="1020" w:type="dxa"/>
          </w:tcPr>
          <w:p>
            <w:pPr>
              <w:pStyle w:val="0"/>
            </w:pPr>
            <w:r>
              <w:rPr>
                <w:sz w:val="20"/>
              </w:rPr>
              <w:t xml:space="preserve">0,23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1</w:t>
            </w:r>
          </w:p>
        </w:tc>
        <w:tc>
          <w:tcPr>
            <w:tcW w:w="1020" w:type="dxa"/>
          </w:tcPr>
          <w:p>
            <w:pPr>
              <w:pStyle w:val="0"/>
            </w:pPr>
            <w:r>
              <w:rPr>
                <w:sz w:val="20"/>
              </w:rPr>
              <w:t xml:space="preserve">0,23</w:t>
            </w:r>
          </w:p>
        </w:tc>
        <w:tc>
          <w:tcPr>
            <w:tcW w:w="1020" w:type="dxa"/>
          </w:tcPr>
          <w:p>
            <w:pPr>
              <w:pStyle w:val="0"/>
            </w:pPr>
            <w:r>
              <w:rPr>
                <w:sz w:val="20"/>
              </w:rPr>
              <w:t xml:space="preserve">3</w:t>
            </w:r>
          </w:p>
        </w:tc>
        <w:tc>
          <w:tcPr>
            <w:tcW w:w="1020" w:type="dxa"/>
          </w:tcPr>
          <w:p>
            <w:pPr>
              <w:pStyle w:val="0"/>
            </w:pPr>
            <w:r>
              <w:rPr>
                <w:sz w:val="20"/>
              </w:rPr>
              <w:t xml:space="preserve">0,70</w:t>
            </w:r>
          </w:p>
        </w:tc>
        <w:tc>
          <w:tcPr>
            <w:tcW w:w="1020" w:type="dxa"/>
          </w:tcPr>
          <w:p>
            <w:pPr>
              <w:pStyle w:val="0"/>
            </w:pPr>
            <w:r>
              <w:rPr>
                <w:sz w:val="20"/>
              </w:rPr>
            </w:r>
          </w:p>
        </w:tc>
        <w:tc>
          <w:tcPr>
            <w:tcW w:w="1020" w:type="dxa"/>
          </w:tcPr>
          <w:p>
            <w:pPr>
              <w:pStyle w:val="0"/>
            </w:pPr>
            <w:r>
              <w:rPr>
                <w:sz w:val="20"/>
              </w:rPr>
            </w:r>
          </w:p>
        </w:tc>
      </w:tr>
      <w:tr>
        <w:tc>
          <w:tcPr>
            <w:tcW w:w="3118" w:type="dxa"/>
          </w:tcPr>
          <w:p>
            <w:pPr>
              <w:pStyle w:val="0"/>
            </w:pPr>
            <w:r>
              <w:rPr>
                <w:sz w:val="20"/>
              </w:rPr>
              <w:t xml:space="preserve">от болезней нервной системы</w:t>
            </w:r>
          </w:p>
        </w:tc>
        <w:tc>
          <w:tcPr>
            <w:tcW w:w="1020" w:type="dxa"/>
          </w:tcPr>
          <w:p>
            <w:pPr>
              <w:pStyle w:val="0"/>
            </w:pPr>
            <w:r>
              <w:rPr>
                <w:sz w:val="20"/>
              </w:rPr>
              <w:t xml:space="preserve">15</w:t>
            </w:r>
          </w:p>
        </w:tc>
        <w:tc>
          <w:tcPr>
            <w:tcW w:w="1020" w:type="dxa"/>
          </w:tcPr>
          <w:p>
            <w:pPr>
              <w:pStyle w:val="0"/>
            </w:pPr>
            <w:r>
              <w:rPr>
                <w:sz w:val="20"/>
              </w:rPr>
              <w:t xml:space="preserve">3,52</w:t>
            </w:r>
          </w:p>
        </w:tc>
        <w:tc>
          <w:tcPr>
            <w:tcW w:w="1020" w:type="dxa"/>
          </w:tcPr>
          <w:p>
            <w:pPr>
              <w:pStyle w:val="0"/>
            </w:pPr>
            <w:r>
              <w:rPr>
                <w:sz w:val="20"/>
              </w:rPr>
              <w:t xml:space="preserve">14</w:t>
            </w:r>
          </w:p>
        </w:tc>
        <w:tc>
          <w:tcPr>
            <w:tcW w:w="1020" w:type="dxa"/>
          </w:tcPr>
          <w:p>
            <w:pPr>
              <w:pStyle w:val="0"/>
            </w:pPr>
            <w:r>
              <w:rPr>
                <w:sz w:val="20"/>
              </w:rPr>
              <w:t xml:space="preserve">3,27</w:t>
            </w:r>
          </w:p>
        </w:tc>
        <w:tc>
          <w:tcPr>
            <w:tcW w:w="1020" w:type="dxa"/>
          </w:tcPr>
          <w:p>
            <w:pPr>
              <w:pStyle w:val="0"/>
            </w:pPr>
            <w:r>
              <w:rPr>
                <w:sz w:val="20"/>
              </w:rPr>
              <w:t xml:space="preserve">16</w:t>
            </w:r>
          </w:p>
        </w:tc>
        <w:tc>
          <w:tcPr>
            <w:tcW w:w="1020" w:type="dxa"/>
          </w:tcPr>
          <w:p>
            <w:pPr>
              <w:pStyle w:val="0"/>
            </w:pPr>
            <w:r>
              <w:rPr>
                <w:sz w:val="20"/>
              </w:rPr>
              <w:t xml:space="preserve">3,74</w:t>
            </w:r>
          </w:p>
        </w:tc>
        <w:tc>
          <w:tcPr>
            <w:tcW w:w="1020" w:type="dxa"/>
          </w:tcPr>
          <w:p>
            <w:pPr>
              <w:pStyle w:val="0"/>
            </w:pPr>
            <w:r>
              <w:rPr>
                <w:sz w:val="20"/>
              </w:rPr>
              <w:t xml:space="preserve">15</w:t>
            </w:r>
          </w:p>
        </w:tc>
        <w:tc>
          <w:tcPr>
            <w:tcW w:w="1020" w:type="dxa"/>
          </w:tcPr>
          <w:p>
            <w:pPr>
              <w:pStyle w:val="0"/>
            </w:pPr>
            <w:r>
              <w:rPr>
                <w:sz w:val="20"/>
              </w:rPr>
              <w:t xml:space="preserve">3,48</w:t>
            </w:r>
          </w:p>
        </w:tc>
        <w:tc>
          <w:tcPr>
            <w:tcW w:w="1020" w:type="dxa"/>
          </w:tcPr>
          <w:p>
            <w:pPr>
              <w:pStyle w:val="0"/>
            </w:pPr>
            <w:r>
              <w:rPr>
                <w:sz w:val="20"/>
              </w:rPr>
              <w:t xml:space="preserve">4</w:t>
            </w:r>
          </w:p>
        </w:tc>
        <w:tc>
          <w:tcPr>
            <w:tcW w:w="1020" w:type="dxa"/>
          </w:tcPr>
          <w:p>
            <w:pPr>
              <w:pStyle w:val="0"/>
            </w:pPr>
            <w:r>
              <w:rPr>
                <w:sz w:val="20"/>
              </w:rPr>
              <w:t xml:space="preserve">1,86</w:t>
            </w:r>
          </w:p>
        </w:tc>
      </w:tr>
      <w:tr>
        <w:tc>
          <w:tcPr>
            <w:tcW w:w="3118" w:type="dxa"/>
          </w:tcPr>
          <w:p>
            <w:pPr>
              <w:pStyle w:val="0"/>
            </w:pPr>
            <w:r>
              <w:rPr>
                <w:sz w:val="20"/>
              </w:rPr>
              <w:t xml:space="preserve">от болезней органов дыхания</w:t>
            </w:r>
          </w:p>
        </w:tc>
        <w:tc>
          <w:tcPr>
            <w:tcW w:w="1020" w:type="dxa"/>
          </w:tcPr>
          <w:p>
            <w:pPr>
              <w:pStyle w:val="0"/>
            </w:pPr>
            <w:r>
              <w:rPr>
                <w:sz w:val="20"/>
              </w:rPr>
              <w:t xml:space="preserve">7</w:t>
            </w:r>
          </w:p>
        </w:tc>
        <w:tc>
          <w:tcPr>
            <w:tcW w:w="1020" w:type="dxa"/>
          </w:tcPr>
          <w:p>
            <w:pPr>
              <w:pStyle w:val="0"/>
            </w:pPr>
            <w:r>
              <w:rPr>
                <w:sz w:val="20"/>
              </w:rPr>
              <w:t xml:space="preserve">1,64</w:t>
            </w:r>
          </w:p>
        </w:tc>
        <w:tc>
          <w:tcPr>
            <w:tcW w:w="1020" w:type="dxa"/>
          </w:tcPr>
          <w:p>
            <w:pPr>
              <w:pStyle w:val="0"/>
            </w:pPr>
            <w:r>
              <w:rPr>
                <w:sz w:val="20"/>
              </w:rPr>
              <w:t xml:space="preserve">3</w:t>
            </w:r>
          </w:p>
        </w:tc>
        <w:tc>
          <w:tcPr>
            <w:tcW w:w="1020" w:type="dxa"/>
          </w:tcPr>
          <w:p>
            <w:pPr>
              <w:pStyle w:val="0"/>
            </w:pPr>
            <w:r>
              <w:rPr>
                <w:sz w:val="20"/>
              </w:rPr>
              <w:t xml:space="preserve">0,70</w:t>
            </w:r>
          </w:p>
        </w:tc>
        <w:tc>
          <w:tcPr>
            <w:tcW w:w="1020" w:type="dxa"/>
          </w:tcPr>
          <w:p>
            <w:pPr>
              <w:pStyle w:val="0"/>
            </w:pPr>
            <w:r>
              <w:rPr>
                <w:sz w:val="20"/>
              </w:rPr>
              <w:t xml:space="preserve">8</w:t>
            </w:r>
          </w:p>
        </w:tc>
        <w:tc>
          <w:tcPr>
            <w:tcW w:w="1020" w:type="dxa"/>
          </w:tcPr>
          <w:p>
            <w:pPr>
              <w:pStyle w:val="0"/>
            </w:pPr>
            <w:r>
              <w:rPr>
                <w:sz w:val="20"/>
              </w:rPr>
              <w:t xml:space="preserve">1,87</w:t>
            </w:r>
          </w:p>
        </w:tc>
        <w:tc>
          <w:tcPr>
            <w:tcW w:w="1020" w:type="dxa"/>
          </w:tcPr>
          <w:p>
            <w:pPr>
              <w:pStyle w:val="0"/>
            </w:pPr>
            <w:r>
              <w:rPr>
                <w:sz w:val="20"/>
              </w:rPr>
              <w:t xml:space="preserve">4</w:t>
            </w:r>
          </w:p>
        </w:tc>
        <w:tc>
          <w:tcPr>
            <w:tcW w:w="1020" w:type="dxa"/>
          </w:tcPr>
          <w:p>
            <w:pPr>
              <w:pStyle w:val="0"/>
            </w:pPr>
            <w:r>
              <w:rPr>
                <w:sz w:val="20"/>
              </w:rPr>
              <w:t xml:space="preserve">0,93</w:t>
            </w:r>
          </w:p>
        </w:tc>
        <w:tc>
          <w:tcPr>
            <w:tcW w:w="1020" w:type="dxa"/>
          </w:tcPr>
          <w:p>
            <w:pPr>
              <w:pStyle w:val="0"/>
            </w:pPr>
            <w:r>
              <w:rPr>
                <w:sz w:val="20"/>
              </w:rPr>
              <w:t xml:space="preserve">4</w:t>
            </w:r>
          </w:p>
        </w:tc>
        <w:tc>
          <w:tcPr>
            <w:tcW w:w="1020" w:type="dxa"/>
          </w:tcPr>
          <w:p>
            <w:pPr>
              <w:pStyle w:val="0"/>
            </w:pPr>
            <w:r>
              <w:rPr>
                <w:sz w:val="20"/>
              </w:rPr>
              <w:t xml:space="preserve">1,86</w:t>
            </w:r>
          </w:p>
        </w:tc>
      </w:tr>
      <w:tr>
        <w:tc>
          <w:tcPr>
            <w:tcW w:w="3118" w:type="dxa"/>
          </w:tcPr>
          <w:p>
            <w:pPr>
              <w:pStyle w:val="0"/>
            </w:pPr>
            <w:r>
              <w:rPr>
                <w:sz w:val="20"/>
              </w:rPr>
              <w:t xml:space="preserve">от болезней органов пищеварения</w:t>
            </w:r>
          </w:p>
        </w:tc>
        <w:tc>
          <w:tcPr>
            <w:tcW w:w="1020" w:type="dxa"/>
          </w:tcPr>
          <w:p>
            <w:pPr>
              <w:pStyle w:val="0"/>
            </w:pPr>
            <w:r>
              <w:rPr>
                <w:sz w:val="20"/>
              </w:rPr>
              <w:t xml:space="preserve">2</w:t>
            </w:r>
          </w:p>
        </w:tc>
        <w:tc>
          <w:tcPr>
            <w:tcW w:w="1020" w:type="dxa"/>
          </w:tcPr>
          <w:p>
            <w:pPr>
              <w:pStyle w:val="0"/>
            </w:pPr>
            <w:r>
              <w:rPr>
                <w:sz w:val="20"/>
              </w:rPr>
              <w:t xml:space="preserve">0,47</w:t>
            </w:r>
          </w:p>
        </w:tc>
        <w:tc>
          <w:tcPr>
            <w:tcW w:w="1020" w:type="dxa"/>
          </w:tcPr>
          <w:p>
            <w:pPr>
              <w:pStyle w:val="0"/>
            </w:pPr>
            <w:r>
              <w:rPr>
                <w:sz w:val="20"/>
              </w:rPr>
              <w:t xml:space="preserve">1</w:t>
            </w:r>
          </w:p>
        </w:tc>
        <w:tc>
          <w:tcPr>
            <w:tcW w:w="1020" w:type="dxa"/>
          </w:tcPr>
          <w:p>
            <w:pPr>
              <w:pStyle w:val="0"/>
            </w:pPr>
            <w:r>
              <w:rPr>
                <w:sz w:val="20"/>
              </w:rPr>
              <w:t xml:space="preserve">0,23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3</w:t>
            </w:r>
          </w:p>
        </w:tc>
        <w:tc>
          <w:tcPr>
            <w:tcW w:w="1020" w:type="dxa"/>
          </w:tcPr>
          <w:p>
            <w:pPr>
              <w:pStyle w:val="0"/>
            </w:pPr>
            <w:r>
              <w:rPr>
                <w:sz w:val="20"/>
              </w:rPr>
              <w:t xml:space="preserve">0,70</w:t>
            </w:r>
          </w:p>
        </w:tc>
        <w:tc>
          <w:tcPr>
            <w:tcW w:w="1020" w:type="dxa"/>
          </w:tcPr>
          <w:p>
            <w:pPr>
              <w:pStyle w:val="0"/>
            </w:pPr>
            <w:r>
              <w:rPr>
                <w:sz w:val="20"/>
              </w:rPr>
            </w:r>
          </w:p>
        </w:tc>
        <w:tc>
          <w:tcPr>
            <w:tcW w:w="1020" w:type="dxa"/>
          </w:tcPr>
          <w:p>
            <w:pPr>
              <w:pStyle w:val="0"/>
            </w:pPr>
            <w:r>
              <w:rPr>
                <w:sz w:val="20"/>
              </w:rPr>
            </w:r>
          </w:p>
        </w:tc>
      </w:tr>
      <w:tr>
        <w:tc>
          <w:tcPr>
            <w:tcW w:w="3118" w:type="dxa"/>
          </w:tcPr>
          <w:p>
            <w:pPr>
              <w:pStyle w:val="0"/>
            </w:pPr>
            <w:r>
              <w:rPr>
                <w:sz w:val="20"/>
              </w:rPr>
              <w:t xml:space="preserve">от врожденных аномалий (пороков развития), деформаций и хромосомных нарушений</w:t>
            </w:r>
          </w:p>
        </w:tc>
        <w:tc>
          <w:tcPr>
            <w:tcW w:w="1020" w:type="dxa"/>
          </w:tcPr>
          <w:p>
            <w:pPr>
              <w:pStyle w:val="0"/>
            </w:pPr>
            <w:r>
              <w:rPr>
                <w:sz w:val="20"/>
              </w:rPr>
              <w:t xml:space="preserve">25</w:t>
            </w:r>
          </w:p>
        </w:tc>
        <w:tc>
          <w:tcPr>
            <w:tcW w:w="1020" w:type="dxa"/>
          </w:tcPr>
          <w:p>
            <w:pPr>
              <w:pStyle w:val="0"/>
            </w:pPr>
            <w:r>
              <w:rPr>
                <w:sz w:val="20"/>
              </w:rPr>
              <w:t xml:space="preserve">5,86</w:t>
            </w:r>
          </w:p>
        </w:tc>
        <w:tc>
          <w:tcPr>
            <w:tcW w:w="1020" w:type="dxa"/>
          </w:tcPr>
          <w:p>
            <w:pPr>
              <w:pStyle w:val="0"/>
            </w:pPr>
            <w:r>
              <w:rPr>
                <w:sz w:val="20"/>
              </w:rPr>
              <w:t xml:space="preserve">18</w:t>
            </w:r>
          </w:p>
        </w:tc>
        <w:tc>
          <w:tcPr>
            <w:tcW w:w="1020" w:type="dxa"/>
          </w:tcPr>
          <w:p>
            <w:pPr>
              <w:pStyle w:val="0"/>
            </w:pPr>
            <w:r>
              <w:rPr>
                <w:sz w:val="20"/>
              </w:rPr>
              <w:t xml:space="preserve">4,20</w:t>
            </w:r>
          </w:p>
        </w:tc>
        <w:tc>
          <w:tcPr>
            <w:tcW w:w="1020" w:type="dxa"/>
          </w:tcPr>
          <w:p>
            <w:pPr>
              <w:pStyle w:val="0"/>
            </w:pPr>
            <w:r>
              <w:rPr>
                <w:sz w:val="20"/>
              </w:rPr>
              <w:t xml:space="preserve">17</w:t>
            </w:r>
          </w:p>
        </w:tc>
        <w:tc>
          <w:tcPr>
            <w:tcW w:w="1020" w:type="dxa"/>
          </w:tcPr>
          <w:p>
            <w:pPr>
              <w:pStyle w:val="0"/>
            </w:pPr>
            <w:r>
              <w:rPr>
                <w:sz w:val="20"/>
              </w:rPr>
              <w:t xml:space="preserve">3,97</w:t>
            </w:r>
          </w:p>
        </w:tc>
        <w:tc>
          <w:tcPr>
            <w:tcW w:w="1020" w:type="dxa"/>
          </w:tcPr>
          <w:p>
            <w:pPr>
              <w:pStyle w:val="0"/>
            </w:pPr>
            <w:r>
              <w:rPr>
                <w:sz w:val="20"/>
              </w:rPr>
              <w:t xml:space="preserve">13</w:t>
            </w:r>
          </w:p>
        </w:tc>
        <w:tc>
          <w:tcPr>
            <w:tcW w:w="1020" w:type="dxa"/>
          </w:tcPr>
          <w:p>
            <w:pPr>
              <w:pStyle w:val="0"/>
            </w:pPr>
            <w:r>
              <w:rPr>
                <w:sz w:val="20"/>
              </w:rPr>
              <w:t xml:space="preserve">3,02</w:t>
            </w:r>
          </w:p>
        </w:tc>
        <w:tc>
          <w:tcPr>
            <w:tcW w:w="1020" w:type="dxa"/>
          </w:tcPr>
          <w:p>
            <w:pPr>
              <w:pStyle w:val="0"/>
            </w:pPr>
            <w:r>
              <w:rPr>
                <w:sz w:val="20"/>
              </w:rPr>
              <w:t xml:space="preserve">5</w:t>
            </w:r>
          </w:p>
        </w:tc>
        <w:tc>
          <w:tcPr>
            <w:tcW w:w="1020" w:type="dxa"/>
          </w:tcPr>
          <w:p>
            <w:pPr>
              <w:pStyle w:val="0"/>
            </w:pPr>
            <w:r>
              <w:rPr>
                <w:sz w:val="20"/>
              </w:rPr>
              <w:t xml:space="preserve">2,33</w:t>
            </w:r>
          </w:p>
        </w:tc>
      </w:tr>
      <w:tr>
        <w:tc>
          <w:tcPr>
            <w:tcW w:w="3118" w:type="dxa"/>
          </w:tcPr>
          <w:p>
            <w:pPr>
              <w:pStyle w:val="0"/>
            </w:pPr>
            <w:r>
              <w:rPr>
                <w:sz w:val="20"/>
              </w:rPr>
              <w:t xml:space="preserve">от отдельных состояний, возникающих в перинатальном периоде, в том числе:</w:t>
            </w:r>
          </w:p>
        </w:tc>
        <w:tc>
          <w:tcPr>
            <w:tcW w:w="1020" w:type="dxa"/>
          </w:tcPr>
          <w:p>
            <w:pPr>
              <w:pStyle w:val="0"/>
            </w:pPr>
            <w:r>
              <w:rPr>
                <w:sz w:val="20"/>
              </w:rPr>
              <w:t xml:space="preserve">44</w:t>
            </w:r>
          </w:p>
        </w:tc>
        <w:tc>
          <w:tcPr>
            <w:tcW w:w="1020" w:type="dxa"/>
          </w:tcPr>
          <w:p>
            <w:pPr>
              <w:pStyle w:val="0"/>
            </w:pPr>
            <w:r>
              <w:rPr>
                <w:sz w:val="20"/>
              </w:rPr>
              <w:t xml:space="preserve">10,32</w:t>
            </w:r>
          </w:p>
        </w:tc>
        <w:tc>
          <w:tcPr>
            <w:tcW w:w="1020" w:type="dxa"/>
          </w:tcPr>
          <w:p>
            <w:pPr>
              <w:pStyle w:val="0"/>
            </w:pPr>
            <w:r>
              <w:rPr>
                <w:sz w:val="20"/>
              </w:rPr>
              <w:t xml:space="preserve">40</w:t>
            </w:r>
          </w:p>
        </w:tc>
        <w:tc>
          <w:tcPr>
            <w:tcW w:w="1020" w:type="dxa"/>
          </w:tcPr>
          <w:p>
            <w:pPr>
              <w:pStyle w:val="0"/>
            </w:pPr>
            <w:r>
              <w:rPr>
                <w:sz w:val="20"/>
              </w:rPr>
              <w:t xml:space="preserve">9,34</w:t>
            </w:r>
          </w:p>
        </w:tc>
        <w:tc>
          <w:tcPr>
            <w:tcW w:w="1020" w:type="dxa"/>
          </w:tcPr>
          <w:p>
            <w:pPr>
              <w:pStyle w:val="0"/>
            </w:pPr>
            <w:r>
              <w:rPr>
                <w:sz w:val="20"/>
              </w:rPr>
              <w:t xml:space="preserve">40</w:t>
            </w:r>
          </w:p>
        </w:tc>
        <w:tc>
          <w:tcPr>
            <w:tcW w:w="1020" w:type="dxa"/>
          </w:tcPr>
          <w:p>
            <w:pPr>
              <w:pStyle w:val="0"/>
            </w:pPr>
            <w:r>
              <w:rPr>
                <w:sz w:val="20"/>
              </w:rPr>
              <w:t xml:space="preserve">9,34</w:t>
            </w:r>
          </w:p>
        </w:tc>
        <w:tc>
          <w:tcPr>
            <w:tcW w:w="1020" w:type="dxa"/>
          </w:tcPr>
          <w:p>
            <w:pPr>
              <w:pStyle w:val="0"/>
            </w:pPr>
            <w:r>
              <w:rPr>
                <w:sz w:val="20"/>
              </w:rPr>
              <w:t xml:space="preserve">33</w:t>
            </w:r>
          </w:p>
        </w:tc>
        <w:tc>
          <w:tcPr>
            <w:tcW w:w="1020" w:type="dxa"/>
          </w:tcPr>
          <w:p>
            <w:pPr>
              <w:pStyle w:val="0"/>
            </w:pPr>
            <w:r>
              <w:rPr>
                <w:sz w:val="20"/>
              </w:rPr>
              <w:t xml:space="preserve">7,66</w:t>
            </w:r>
          </w:p>
        </w:tc>
        <w:tc>
          <w:tcPr>
            <w:tcW w:w="1020" w:type="dxa"/>
          </w:tcPr>
          <w:p>
            <w:pPr>
              <w:pStyle w:val="0"/>
            </w:pPr>
            <w:r>
              <w:rPr>
                <w:sz w:val="20"/>
              </w:rPr>
              <w:t xml:space="preserve">13</w:t>
            </w:r>
          </w:p>
        </w:tc>
        <w:tc>
          <w:tcPr>
            <w:tcW w:w="1020" w:type="dxa"/>
          </w:tcPr>
          <w:p>
            <w:pPr>
              <w:pStyle w:val="0"/>
            </w:pPr>
            <w:r>
              <w:rPr>
                <w:sz w:val="20"/>
              </w:rPr>
              <w:t xml:space="preserve">6,06</w:t>
            </w:r>
          </w:p>
        </w:tc>
      </w:tr>
      <w:tr>
        <w:tc>
          <w:tcPr>
            <w:tcW w:w="3118" w:type="dxa"/>
          </w:tcPr>
          <w:p>
            <w:pPr>
              <w:pStyle w:val="0"/>
            </w:pPr>
            <w:r>
              <w:rPr>
                <w:sz w:val="20"/>
              </w:rPr>
              <w:t xml:space="preserve">геморрагических нарушений у плода и новорожденного</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3118" w:type="dxa"/>
          </w:tcPr>
          <w:p>
            <w:pPr>
              <w:pStyle w:val="0"/>
            </w:pPr>
            <w:r>
              <w:rPr>
                <w:sz w:val="20"/>
              </w:rPr>
              <w:t xml:space="preserve">травмы, отравления и некоторые другие последствия воздействия внешних причин</w:t>
            </w:r>
          </w:p>
        </w:tc>
        <w:tc>
          <w:tcPr>
            <w:tcW w:w="1020" w:type="dxa"/>
          </w:tcPr>
          <w:p>
            <w:pPr>
              <w:pStyle w:val="0"/>
            </w:pPr>
            <w:r>
              <w:rPr>
                <w:sz w:val="20"/>
              </w:rPr>
              <w:t xml:space="preserve">35</w:t>
            </w:r>
          </w:p>
        </w:tc>
        <w:tc>
          <w:tcPr>
            <w:tcW w:w="1020" w:type="dxa"/>
          </w:tcPr>
          <w:p>
            <w:pPr>
              <w:pStyle w:val="0"/>
            </w:pPr>
            <w:r>
              <w:rPr>
                <w:sz w:val="20"/>
              </w:rPr>
              <w:t xml:space="preserve">8,21</w:t>
            </w:r>
          </w:p>
        </w:tc>
        <w:tc>
          <w:tcPr>
            <w:tcW w:w="1020" w:type="dxa"/>
          </w:tcPr>
          <w:p>
            <w:pPr>
              <w:pStyle w:val="0"/>
            </w:pPr>
            <w:r>
              <w:rPr>
                <w:sz w:val="20"/>
              </w:rPr>
              <w:t xml:space="preserve">33</w:t>
            </w:r>
          </w:p>
        </w:tc>
        <w:tc>
          <w:tcPr>
            <w:tcW w:w="1020" w:type="dxa"/>
          </w:tcPr>
          <w:p>
            <w:pPr>
              <w:pStyle w:val="0"/>
            </w:pPr>
            <w:r>
              <w:rPr>
                <w:sz w:val="20"/>
              </w:rPr>
              <w:t xml:space="preserve">7,71</w:t>
            </w:r>
          </w:p>
        </w:tc>
        <w:tc>
          <w:tcPr>
            <w:tcW w:w="1020" w:type="dxa"/>
          </w:tcPr>
          <w:p>
            <w:pPr>
              <w:pStyle w:val="0"/>
            </w:pPr>
            <w:r>
              <w:rPr>
                <w:sz w:val="20"/>
              </w:rPr>
              <w:t xml:space="preserve">44</w:t>
            </w:r>
          </w:p>
        </w:tc>
        <w:tc>
          <w:tcPr>
            <w:tcW w:w="1020" w:type="dxa"/>
          </w:tcPr>
          <w:p>
            <w:pPr>
              <w:pStyle w:val="0"/>
            </w:pPr>
            <w:r>
              <w:rPr>
                <w:sz w:val="20"/>
              </w:rPr>
              <w:t xml:space="preserve">10,28</w:t>
            </w:r>
          </w:p>
        </w:tc>
        <w:tc>
          <w:tcPr>
            <w:tcW w:w="1020" w:type="dxa"/>
          </w:tcPr>
          <w:p>
            <w:pPr>
              <w:pStyle w:val="0"/>
            </w:pPr>
            <w:r>
              <w:rPr>
                <w:sz w:val="20"/>
              </w:rPr>
              <w:t xml:space="preserve">35</w:t>
            </w:r>
          </w:p>
        </w:tc>
        <w:tc>
          <w:tcPr>
            <w:tcW w:w="1020" w:type="dxa"/>
          </w:tcPr>
          <w:p>
            <w:pPr>
              <w:pStyle w:val="0"/>
            </w:pPr>
            <w:r>
              <w:rPr>
                <w:sz w:val="20"/>
              </w:rPr>
              <w:t xml:space="preserve">8,13</w:t>
            </w:r>
          </w:p>
        </w:tc>
        <w:tc>
          <w:tcPr>
            <w:tcW w:w="1020" w:type="dxa"/>
          </w:tcPr>
          <w:p>
            <w:pPr>
              <w:pStyle w:val="0"/>
            </w:pPr>
            <w:r>
              <w:rPr>
                <w:sz w:val="20"/>
              </w:rPr>
              <w:t xml:space="preserve">11</w:t>
            </w:r>
          </w:p>
        </w:tc>
        <w:tc>
          <w:tcPr>
            <w:tcW w:w="1020" w:type="dxa"/>
          </w:tcPr>
          <w:p>
            <w:pPr>
              <w:pStyle w:val="0"/>
            </w:pPr>
            <w:r>
              <w:rPr>
                <w:sz w:val="20"/>
              </w:rPr>
              <w:t xml:space="preserve">5,12</w:t>
            </w:r>
          </w:p>
        </w:tc>
      </w:tr>
      <w:tr>
        <w:tc>
          <w:tcPr>
            <w:tcW w:w="3118" w:type="dxa"/>
          </w:tcPr>
          <w:p>
            <w:pPr>
              <w:pStyle w:val="0"/>
            </w:pPr>
            <w:r>
              <w:rPr>
                <w:sz w:val="20"/>
              </w:rPr>
              <w:t xml:space="preserve">от новой коронавирусной инфекции (COVID-19)</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2</w:t>
            </w:r>
          </w:p>
        </w:tc>
        <w:tc>
          <w:tcPr>
            <w:tcW w:w="1020" w:type="dxa"/>
          </w:tcPr>
          <w:p>
            <w:pPr>
              <w:pStyle w:val="0"/>
            </w:pPr>
            <w:r>
              <w:rPr>
                <w:sz w:val="20"/>
              </w:rPr>
              <w:t xml:space="preserve">0,47</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3118" w:type="dxa"/>
          </w:tcPr>
          <w:p>
            <w:pPr>
              <w:pStyle w:val="0"/>
            </w:pPr>
            <w:r>
              <w:rPr>
                <w:sz w:val="20"/>
              </w:rPr>
              <w:t xml:space="preserve">новообразования</w:t>
            </w:r>
          </w:p>
        </w:tc>
        <w:tc>
          <w:tcPr>
            <w:tcW w:w="1020" w:type="dxa"/>
          </w:tcPr>
          <w:p>
            <w:pPr>
              <w:pStyle w:val="0"/>
            </w:pPr>
            <w:r>
              <w:rPr>
                <w:sz w:val="20"/>
              </w:rPr>
              <w:t xml:space="preserve">12</w:t>
            </w:r>
          </w:p>
        </w:tc>
        <w:tc>
          <w:tcPr>
            <w:tcW w:w="1020" w:type="dxa"/>
          </w:tcPr>
          <w:p>
            <w:pPr>
              <w:pStyle w:val="0"/>
            </w:pPr>
            <w:r>
              <w:rPr>
                <w:sz w:val="20"/>
              </w:rPr>
              <w:t xml:space="preserve">2,81</w:t>
            </w:r>
          </w:p>
        </w:tc>
        <w:tc>
          <w:tcPr>
            <w:tcW w:w="1020" w:type="dxa"/>
          </w:tcPr>
          <w:p>
            <w:pPr>
              <w:pStyle w:val="0"/>
            </w:pPr>
            <w:r>
              <w:rPr>
                <w:sz w:val="20"/>
              </w:rPr>
              <w:t xml:space="preserve">4</w:t>
            </w:r>
          </w:p>
        </w:tc>
        <w:tc>
          <w:tcPr>
            <w:tcW w:w="1020" w:type="dxa"/>
          </w:tcPr>
          <w:p>
            <w:pPr>
              <w:pStyle w:val="0"/>
            </w:pPr>
            <w:r>
              <w:rPr>
                <w:sz w:val="20"/>
              </w:rPr>
              <w:t xml:space="preserve">0,93</w:t>
            </w:r>
          </w:p>
        </w:tc>
        <w:tc>
          <w:tcPr>
            <w:tcW w:w="1020" w:type="dxa"/>
          </w:tcPr>
          <w:p>
            <w:pPr>
              <w:pStyle w:val="0"/>
            </w:pPr>
            <w:r>
              <w:rPr>
                <w:sz w:val="20"/>
              </w:rPr>
              <w:t xml:space="preserve">7</w:t>
            </w:r>
          </w:p>
        </w:tc>
        <w:tc>
          <w:tcPr>
            <w:tcW w:w="1020" w:type="dxa"/>
          </w:tcPr>
          <w:p>
            <w:pPr>
              <w:pStyle w:val="0"/>
            </w:pPr>
            <w:r>
              <w:rPr>
                <w:sz w:val="20"/>
              </w:rPr>
              <w:t xml:space="preserve">1,63</w:t>
            </w:r>
          </w:p>
        </w:tc>
        <w:tc>
          <w:tcPr>
            <w:tcW w:w="1020" w:type="dxa"/>
          </w:tcPr>
          <w:p>
            <w:pPr>
              <w:pStyle w:val="0"/>
            </w:pPr>
            <w:r>
              <w:rPr>
                <w:sz w:val="20"/>
              </w:rPr>
              <w:t xml:space="preserve">9</w:t>
            </w:r>
          </w:p>
        </w:tc>
        <w:tc>
          <w:tcPr>
            <w:tcW w:w="1020" w:type="dxa"/>
          </w:tcPr>
          <w:p>
            <w:pPr>
              <w:pStyle w:val="0"/>
            </w:pPr>
            <w:r>
              <w:rPr>
                <w:sz w:val="20"/>
              </w:rPr>
              <w:t xml:space="preserve">2,09</w:t>
            </w:r>
          </w:p>
        </w:tc>
        <w:tc>
          <w:tcPr>
            <w:tcW w:w="1020" w:type="dxa"/>
          </w:tcPr>
          <w:p>
            <w:pPr>
              <w:pStyle w:val="0"/>
            </w:pPr>
            <w:r>
              <w:rPr>
                <w:sz w:val="20"/>
              </w:rPr>
              <w:t xml:space="preserve">6</w:t>
            </w:r>
          </w:p>
        </w:tc>
        <w:tc>
          <w:tcPr>
            <w:tcW w:w="1020" w:type="dxa"/>
          </w:tcPr>
          <w:p>
            <w:pPr>
              <w:pStyle w:val="0"/>
            </w:pPr>
            <w:r>
              <w:rPr>
                <w:sz w:val="20"/>
              </w:rPr>
              <w:t xml:space="preserve">2,79</w:t>
            </w:r>
          </w:p>
        </w:tc>
      </w:tr>
      <w:tr>
        <w:tc>
          <w:tcPr>
            <w:tcW w:w="3118" w:type="dxa"/>
          </w:tcPr>
          <w:p>
            <w:pPr>
              <w:pStyle w:val="0"/>
            </w:pPr>
            <w:r>
              <w:rPr>
                <w:sz w:val="20"/>
              </w:rPr>
              <w:t xml:space="preserve">от болезней системы кровообращения</w:t>
            </w:r>
          </w:p>
        </w:tc>
        <w:tc>
          <w:tcPr>
            <w:tcW w:w="1020" w:type="dxa"/>
          </w:tcPr>
          <w:p>
            <w:pPr>
              <w:pStyle w:val="0"/>
            </w:pPr>
            <w:r>
              <w:rPr>
                <w:sz w:val="20"/>
              </w:rPr>
              <w:t xml:space="preserve">8</w:t>
            </w:r>
          </w:p>
        </w:tc>
        <w:tc>
          <w:tcPr>
            <w:tcW w:w="1020" w:type="dxa"/>
          </w:tcPr>
          <w:p>
            <w:pPr>
              <w:pStyle w:val="0"/>
            </w:pPr>
            <w:r>
              <w:rPr>
                <w:sz w:val="20"/>
              </w:rPr>
              <w:t xml:space="preserve">1,88</w:t>
            </w:r>
          </w:p>
        </w:tc>
        <w:tc>
          <w:tcPr>
            <w:tcW w:w="1020" w:type="dxa"/>
          </w:tcPr>
          <w:p>
            <w:pPr>
              <w:pStyle w:val="0"/>
            </w:pPr>
            <w:r>
              <w:rPr>
                <w:sz w:val="20"/>
              </w:rPr>
              <w:t xml:space="preserve">4</w:t>
            </w:r>
          </w:p>
        </w:tc>
        <w:tc>
          <w:tcPr>
            <w:tcW w:w="1020" w:type="dxa"/>
          </w:tcPr>
          <w:p>
            <w:pPr>
              <w:pStyle w:val="0"/>
            </w:pPr>
            <w:r>
              <w:rPr>
                <w:sz w:val="20"/>
              </w:rPr>
              <w:t xml:space="preserve">0,93</w:t>
            </w:r>
          </w:p>
        </w:tc>
        <w:tc>
          <w:tcPr>
            <w:tcW w:w="1020" w:type="dxa"/>
          </w:tcPr>
          <w:p>
            <w:pPr>
              <w:pStyle w:val="0"/>
            </w:pPr>
            <w:r>
              <w:rPr>
                <w:sz w:val="20"/>
              </w:rPr>
              <w:t xml:space="preserve">6</w:t>
            </w:r>
          </w:p>
        </w:tc>
        <w:tc>
          <w:tcPr>
            <w:tcW w:w="1020" w:type="dxa"/>
          </w:tcPr>
          <w:p>
            <w:pPr>
              <w:pStyle w:val="0"/>
            </w:pPr>
            <w:r>
              <w:rPr>
                <w:sz w:val="20"/>
              </w:rPr>
              <w:t xml:space="preserve">1,40</w:t>
            </w:r>
          </w:p>
        </w:tc>
        <w:tc>
          <w:tcPr>
            <w:tcW w:w="1020" w:type="dxa"/>
          </w:tcPr>
          <w:p>
            <w:pPr>
              <w:pStyle w:val="0"/>
            </w:pPr>
            <w:r>
              <w:rPr>
                <w:sz w:val="20"/>
              </w:rPr>
              <w:t xml:space="preserve">4</w:t>
            </w:r>
          </w:p>
        </w:tc>
        <w:tc>
          <w:tcPr>
            <w:tcW w:w="1020" w:type="dxa"/>
          </w:tcPr>
          <w:p>
            <w:pPr>
              <w:pStyle w:val="0"/>
            </w:pPr>
            <w:r>
              <w:rPr>
                <w:sz w:val="20"/>
              </w:rPr>
              <w:t xml:space="preserve">0,93</w:t>
            </w:r>
          </w:p>
        </w:tc>
        <w:tc>
          <w:tcPr>
            <w:tcW w:w="1020" w:type="dxa"/>
          </w:tcPr>
          <w:p>
            <w:pPr>
              <w:pStyle w:val="0"/>
            </w:pPr>
            <w:r>
              <w:rPr>
                <w:sz w:val="20"/>
              </w:rPr>
              <w:t xml:space="preserve">1</w:t>
            </w:r>
          </w:p>
        </w:tc>
        <w:tc>
          <w:tcPr>
            <w:tcW w:w="1020" w:type="dxa"/>
          </w:tcPr>
          <w:p>
            <w:pPr>
              <w:pStyle w:val="0"/>
            </w:pPr>
            <w:r>
              <w:rPr>
                <w:sz w:val="20"/>
              </w:rPr>
              <w:t xml:space="preserve">0,47</w:t>
            </w:r>
          </w:p>
        </w:tc>
      </w:tr>
      <w:tr>
        <w:tc>
          <w:tcPr>
            <w:tcW w:w="3118" w:type="dxa"/>
          </w:tcPr>
          <w:p>
            <w:pPr>
              <w:pStyle w:val="0"/>
            </w:pPr>
            <w:r>
              <w:rPr>
                <w:sz w:val="20"/>
              </w:rPr>
              <w:t xml:space="preserve">от болезней крови и кроветворных органов</w:t>
            </w:r>
          </w:p>
        </w:tc>
        <w:tc>
          <w:tcPr>
            <w:tcW w:w="1020" w:type="dxa"/>
          </w:tcPr>
          <w:p>
            <w:pPr>
              <w:pStyle w:val="0"/>
            </w:pPr>
            <w:r>
              <w:rPr>
                <w:sz w:val="20"/>
              </w:rPr>
              <w:t xml:space="preserve">8</w:t>
            </w:r>
          </w:p>
        </w:tc>
        <w:tc>
          <w:tcPr>
            <w:tcW w:w="1020" w:type="dxa"/>
          </w:tcPr>
          <w:p>
            <w:pPr>
              <w:pStyle w:val="0"/>
            </w:pPr>
            <w:r>
              <w:rPr>
                <w:sz w:val="20"/>
              </w:rPr>
              <w:t xml:space="preserve">1,88</w:t>
            </w:r>
          </w:p>
        </w:tc>
        <w:tc>
          <w:tcPr>
            <w:tcW w:w="1020" w:type="dxa"/>
          </w:tcPr>
          <w:p>
            <w:pPr>
              <w:pStyle w:val="0"/>
            </w:pPr>
            <w:r>
              <w:rPr>
                <w:sz w:val="20"/>
              </w:rPr>
              <w:t xml:space="preserve">2</w:t>
            </w:r>
          </w:p>
        </w:tc>
        <w:tc>
          <w:tcPr>
            <w:tcW w:w="1020" w:type="dxa"/>
          </w:tcPr>
          <w:p>
            <w:pPr>
              <w:pStyle w:val="0"/>
            </w:pPr>
            <w:r>
              <w:rPr>
                <w:sz w:val="20"/>
              </w:rPr>
              <w:t xml:space="preserve">0,47</w:t>
            </w:r>
          </w:p>
        </w:tc>
        <w:tc>
          <w:tcPr>
            <w:tcW w:w="1020" w:type="dxa"/>
          </w:tcPr>
          <w:p>
            <w:pPr>
              <w:pStyle w:val="0"/>
            </w:pPr>
            <w:r>
              <w:rPr>
                <w:sz w:val="20"/>
              </w:rPr>
              <w:t xml:space="preserve">1</w:t>
            </w:r>
          </w:p>
        </w:tc>
        <w:tc>
          <w:tcPr>
            <w:tcW w:w="1020" w:type="dxa"/>
          </w:tcPr>
          <w:p>
            <w:pPr>
              <w:pStyle w:val="0"/>
            </w:pPr>
            <w:r>
              <w:rPr>
                <w:sz w:val="20"/>
              </w:rPr>
              <w:t xml:space="preserve">0,23</w:t>
            </w:r>
          </w:p>
        </w:tc>
        <w:tc>
          <w:tcPr>
            <w:tcW w:w="1020" w:type="dxa"/>
          </w:tcPr>
          <w:p>
            <w:pPr>
              <w:pStyle w:val="0"/>
            </w:pPr>
            <w:r>
              <w:rPr>
                <w:sz w:val="20"/>
              </w:rPr>
              <w:t xml:space="preserve">1</w:t>
            </w:r>
          </w:p>
        </w:tc>
        <w:tc>
          <w:tcPr>
            <w:tcW w:w="1020" w:type="dxa"/>
          </w:tcPr>
          <w:p>
            <w:pPr>
              <w:pStyle w:val="0"/>
            </w:pPr>
            <w:r>
              <w:rPr>
                <w:sz w:val="20"/>
              </w:rPr>
              <w:t xml:space="preserve">0,23</w:t>
            </w:r>
          </w:p>
        </w:tc>
        <w:tc>
          <w:tcPr>
            <w:tcW w:w="1020" w:type="dxa"/>
          </w:tcPr>
          <w:p>
            <w:pPr>
              <w:pStyle w:val="0"/>
            </w:pPr>
            <w:r>
              <w:rPr>
                <w:sz w:val="20"/>
              </w:rPr>
            </w:r>
          </w:p>
        </w:tc>
        <w:tc>
          <w:tcPr>
            <w:tcW w:w="1020" w:type="dxa"/>
          </w:tcPr>
          <w:p>
            <w:pPr>
              <w:pStyle w:val="0"/>
            </w:pPr>
            <w:r>
              <w:rPr>
                <w:sz w:val="20"/>
              </w:rPr>
              <w:t xml:space="preserve">0,00</w:t>
            </w:r>
          </w:p>
        </w:tc>
      </w:tr>
      <w:tr>
        <w:tc>
          <w:tcPr>
            <w:tcW w:w="3118" w:type="dxa"/>
          </w:tcPr>
          <w:p>
            <w:pPr>
              <w:pStyle w:val="0"/>
            </w:pPr>
            <w:r>
              <w:rPr>
                <w:sz w:val="20"/>
              </w:rPr>
              <w:t xml:space="preserve">от болезней костно-мышечной системы</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1</w:t>
            </w:r>
          </w:p>
        </w:tc>
        <w:tc>
          <w:tcPr>
            <w:tcW w:w="1020" w:type="dxa"/>
          </w:tcPr>
          <w:p>
            <w:pPr>
              <w:pStyle w:val="0"/>
            </w:pPr>
            <w:r>
              <w:rPr>
                <w:sz w:val="20"/>
              </w:rPr>
              <w:t xml:space="preserve">0,23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2</w:t>
            </w:r>
          </w:p>
        </w:tc>
        <w:tc>
          <w:tcPr>
            <w:tcW w:w="1020" w:type="dxa"/>
          </w:tcPr>
          <w:p>
            <w:pPr>
              <w:pStyle w:val="0"/>
            </w:pPr>
            <w:r>
              <w:rPr>
                <w:sz w:val="20"/>
              </w:rPr>
              <w:t xml:space="preserve">0,93</w:t>
            </w:r>
          </w:p>
        </w:tc>
      </w:tr>
      <w:tr>
        <w:tc>
          <w:tcPr>
            <w:tcW w:w="3118" w:type="dxa"/>
          </w:tcPr>
          <w:p>
            <w:pPr>
              <w:pStyle w:val="0"/>
            </w:pPr>
            <w:r>
              <w:rPr>
                <w:sz w:val="20"/>
              </w:rPr>
              <w:t xml:space="preserve">Симптомы, признаки и отклонения от нормы, выявленные при клинических и лабораторных исследованиях, не классифицированные в других рубриках</w:t>
            </w:r>
          </w:p>
        </w:tc>
        <w:tc>
          <w:tcPr>
            <w:tcW w:w="1020" w:type="dxa"/>
          </w:tcPr>
          <w:p>
            <w:pPr>
              <w:pStyle w:val="0"/>
            </w:pPr>
            <w:r>
              <w:rPr>
                <w:sz w:val="20"/>
              </w:rPr>
              <w:t xml:space="preserve">11</w:t>
            </w:r>
          </w:p>
        </w:tc>
        <w:tc>
          <w:tcPr>
            <w:tcW w:w="1020" w:type="dxa"/>
          </w:tcPr>
          <w:p>
            <w:pPr>
              <w:pStyle w:val="0"/>
            </w:pPr>
            <w:r>
              <w:rPr>
                <w:sz w:val="20"/>
              </w:rPr>
              <w:t xml:space="preserve">2,58</w:t>
            </w:r>
          </w:p>
        </w:tc>
        <w:tc>
          <w:tcPr>
            <w:tcW w:w="1020" w:type="dxa"/>
          </w:tcPr>
          <w:p>
            <w:pPr>
              <w:pStyle w:val="0"/>
            </w:pPr>
            <w:r>
              <w:rPr>
                <w:sz w:val="20"/>
              </w:rPr>
              <w:t xml:space="preserve">10</w:t>
            </w:r>
          </w:p>
        </w:tc>
        <w:tc>
          <w:tcPr>
            <w:tcW w:w="1020" w:type="dxa"/>
          </w:tcPr>
          <w:p>
            <w:pPr>
              <w:pStyle w:val="0"/>
            </w:pPr>
            <w:r>
              <w:rPr>
                <w:sz w:val="20"/>
              </w:rPr>
              <w:t xml:space="preserve">2,34</w:t>
            </w:r>
          </w:p>
        </w:tc>
        <w:tc>
          <w:tcPr>
            <w:tcW w:w="1020" w:type="dxa"/>
          </w:tcPr>
          <w:p>
            <w:pPr>
              <w:pStyle w:val="0"/>
            </w:pPr>
            <w:r>
              <w:rPr>
                <w:sz w:val="20"/>
              </w:rPr>
              <w:t xml:space="preserve">13</w:t>
            </w:r>
          </w:p>
        </w:tc>
        <w:tc>
          <w:tcPr>
            <w:tcW w:w="1020" w:type="dxa"/>
          </w:tcPr>
          <w:p>
            <w:pPr>
              <w:pStyle w:val="0"/>
            </w:pPr>
            <w:r>
              <w:rPr>
                <w:sz w:val="20"/>
              </w:rPr>
              <w:t xml:space="preserve">3,04</w:t>
            </w:r>
          </w:p>
        </w:tc>
        <w:tc>
          <w:tcPr>
            <w:tcW w:w="1020" w:type="dxa"/>
          </w:tcPr>
          <w:p>
            <w:pPr>
              <w:pStyle w:val="0"/>
            </w:pPr>
            <w:r>
              <w:rPr>
                <w:sz w:val="20"/>
              </w:rPr>
              <w:t xml:space="preserve">13</w:t>
            </w:r>
          </w:p>
        </w:tc>
        <w:tc>
          <w:tcPr>
            <w:tcW w:w="1020" w:type="dxa"/>
          </w:tcPr>
          <w:p>
            <w:pPr>
              <w:pStyle w:val="0"/>
            </w:pPr>
            <w:r>
              <w:rPr>
                <w:sz w:val="20"/>
              </w:rPr>
              <w:t xml:space="preserve">3,02</w:t>
            </w:r>
          </w:p>
        </w:tc>
        <w:tc>
          <w:tcPr>
            <w:tcW w:w="1020" w:type="dxa"/>
          </w:tcPr>
          <w:p>
            <w:pPr>
              <w:pStyle w:val="0"/>
            </w:pPr>
            <w:r>
              <w:rPr>
                <w:sz w:val="20"/>
              </w:rPr>
              <w:t xml:space="preserve">4</w:t>
            </w:r>
          </w:p>
        </w:tc>
        <w:tc>
          <w:tcPr>
            <w:tcW w:w="1020" w:type="dxa"/>
          </w:tcPr>
          <w:p>
            <w:pPr>
              <w:pStyle w:val="0"/>
            </w:pPr>
            <w:r>
              <w:rPr>
                <w:sz w:val="20"/>
              </w:rPr>
              <w:t xml:space="preserve">1,86</w:t>
            </w:r>
          </w:p>
        </w:tc>
      </w:tr>
      <w:tr>
        <w:tc>
          <w:tcPr>
            <w:tcW w:w="3118" w:type="dxa"/>
          </w:tcPr>
          <w:p>
            <w:pPr>
              <w:pStyle w:val="0"/>
            </w:pPr>
            <w:r>
              <w:rPr>
                <w:sz w:val="20"/>
              </w:rPr>
              <w:t xml:space="preserve">Болезни мочеполовой системы</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t xml:space="preserve">1</w:t>
            </w:r>
          </w:p>
        </w:tc>
        <w:tc>
          <w:tcPr>
            <w:tcW w:w="1020" w:type="dxa"/>
          </w:tcPr>
          <w:p>
            <w:pPr>
              <w:pStyle w:val="0"/>
            </w:pPr>
            <w:r>
              <w:rPr>
                <w:sz w:val="20"/>
              </w:rPr>
              <w:t xml:space="preserve">0,23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3118" w:type="dxa"/>
          </w:tcPr>
          <w:p>
            <w:pPr>
              <w:pStyle w:val="0"/>
            </w:pPr>
            <w:r>
              <w:rPr>
                <w:sz w:val="20"/>
              </w:rPr>
              <w:t xml:space="preserve">Другие уточненные иммунодефицитные нарушения</w:t>
            </w:r>
          </w:p>
        </w:tc>
        <w:tc>
          <w:tcPr>
            <w:tcW w:w="1020" w:type="dxa"/>
          </w:tcPr>
          <w:p>
            <w:pPr>
              <w:pStyle w:val="0"/>
            </w:pPr>
            <w:r>
              <w:rPr>
                <w:sz w:val="20"/>
              </w:rPr>
              <w:t xml:space="preserve">1</w:t>
            </w:r>
          </w:p>
        </w:tc>
        <w:tc>
          <w:tcPr>
            <w:tcW w:w="1020" w:type="dxa"/>
          </w:tcPr>
          <w:p>
            <w:pPr>
              <w:pStyle w:val="0"/>
            </w:pPr>
            <w:r>
              <w:rPr>
                <w:sz w:val="20"/>
              </w:rPr>
              <w:t xml:space="preserve">0,23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bl>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Численность постоянного населения автономного округа, по данным Федеральной службы государственной статистики, на 1 января 2023 года составила 1 730 353 человека, увеличившись на 16 590 человек (на 1 января 2022 года - 1 713 763 человека), из них детей от 0 до 17 лет 433 003 человека (25%).</w:t>
      </w:r>
    </w:p>
    <w:p>
      <w:pPr>
        <w:pStyle w:val="0"/>
        <w:spacing w:before="200" w:line-rule="auto"/>
        <w:ind w:firstLine="540"/>
        <w:jc w:val="both"/>
      </w:pPr>
      <w:r>
        <w:rPr>
          <w:sz w:val="20"/>
        </w:rPr>
        <w:t xml:space="preserve">Коэффициент рождаемости на 1 000 населения в автономном округе за период 2019 - 2022 гг. в динамике снижается с 12,4 в 2019 году до 11,1 за 2022 год.</w:t>
      </w:r>
    </w:p>
    <w:p>
      <w:pPr>
        <w:pStyle w:val="0"/>
        <w:spacing w:before="200" w:line-rule="auto"/>
        <w:ind w:firstLine="540"/>
        <w:jc w:val="both"/>
      </w:pPr>
      <w:r>
        <w:rPr>
          <w:sz w:val="20"/>
        </w:rPr>
        <w:t xml:space="preserve">Младенческая смертность на протяжении многих лет сохраняется на низких уровнях (значительно ниже среднероссийского показателя). В 2022 году абсолютное число умерших на первом году жизни - 61 человек (2021 год и 2020 год по 75 человек). Показатель уменьшился на 11,1% в сравнении с 2020 годом и составил в 2022 году 3,2 на 1 тыс. родившихся живыми (2021 год - 3,79 на 1 тыс. родившихся живыми, 2020 год - 3,64 на 1 тыс. родившихся живыми).</w:t>
      </w:r>
    </w:p>
    <w:p>
      <w:pPr>
        <w:pStyle w:val="0"/>
        <w:spacing w:before="200" w:line-rule="auto"/>
        <w:ind w:firstLine="540"/>
        <w:jc w:val="both"/>
      </w:pPr>
      <w:r>
        <w:rPr>
          <w:sz w:val="20"/>
        </w:rPr>
        <w:t xml:space="preserve">В структуре младенческой смертности по итогам 2022 года по классу заболеваний "отдельные состояния, возникающие в перинатальном периоде" показатель смертности составил 17,23 (первое место); по классу "врожденные аномалии (пороки развития), деформации и хромосомные нарушения" показатель смертности составил 4,18 (второе место); по классу "травмы, отравления и некоторые другие последствия воздействия внешних причин" показатель смертности составил 2,61 (третье место); по классам "болезни нервной системы", "симптомы, признаки и отклонения от нормы, выявленные при клинических и лабораторных исследованиях, не классифицированные в других рубриках" показатель смертности составил 2,09 (четвертое место).</w:t>
      </w:r>
    </w:p>
    <w:p>
      <w:pPr>
        <w:pStyle w:val="0"/>
        <w:spacing w:before="200" w:line-rule="auto"/>
        <w:ind w:firstLine="540"/>
        <w:jc w:val="both"/>
      </w:pPr>
      <w:r>
        <w:rPr>
          <w:sz w:val="20"/>
        </w:rPr>
        <w:t xml:space="preserve">В структуре детской смертности в возрасте от 0 до 4 лет по итогам 2022 года по классу заболеваний "отдельные состояния, возникающие в перинатальном периоде" показатель смертности составил 16,77 (первое место); по классу "травмы, отравления и некоторые другие последствия воздействия внешних причин" показатель смертности составил 5,08 (второе место), по классам "болезни нервной системы", "врожденные аномалии (пороки развития), деформации и хромосомные нарушения" показатель смертности составил 4,57 (третье место); по классу "симптомы, признаки и отклонения от нормы, выявленные при клинических и лабораторных исследованиях, не классифицированные в других рубриках" показатель смертности составил 3,56 (четвертое место).</w:t>
      </w:r>
    </w:p>
    <w:p>
      <w:pPr>
        <w:pStyle w:val="0"/>
        <w:spacing w:before="200" w:line-rule="auto"/>
        <w:ind w:firstLine="540"/>
        <w:jc w:val="both"/>
      </w:pPr>
      <w:r>
        <w:rPr>
          <w:sz w:val="20"/>
        </w:rPr>
        <w:t xml:space="preserve">В структуре детской смертности в возрасте от 0 до 17 лет по итогам 2022 года по классу "травмы, отравления и некоторые другие последствия воздействия внешних причин" показатель смертности составил 8,13 (первое место); по классу заболеваний "отдельные состояния, возникающие в перинатальном периоде" показатель смертности составил 7,66 (второе место); по классу "болезни нервной системы" показатель смертности составил 3,48 (третье место); по классам "врожденные аномалии (пороки развития), деформации и хромосомные нарушения", "симптомы, признаки и отклонения от нормы, выявленные при клинических и лабораторных исследованиях, не классифицированные в других рубриках" показатель смертности составил 3,02 (четвертое место).</w:t>
      </w:r>
    </w:p>
    <w:p>
      <w:pPr>
        <w:pStyle w:val="0"/>
        <w:spacing w:before="200" w:line-rule="auto"/>
        <w:ind w:firstLine="540"/>
        <w:jc w:val="both"/>
      </w:pPr>
      <w:r>
        <w:rPr>
          <w:sz w:val="20"/>
        </w:rPr>
        <w:t xml:space="preserve">Таким образом, в структуре детской смертности в разных возрастных периодах отмечается наличие детей, умерших в результате воздействия внешних причин.</w:t>
      </w:r>
    </w:p>
    <w:p>
      <w:pPr>
        <w:pStyle w:val="0"/>
        <w:ind w:firstLine="540"/>
        <w:jc w:val="both"/>
      </w:pPr>
      <w:r>
        <w:rPr>
          <w:sz w:val="20"/>
        </w:rPr>
      </w:r>
    </w:p>
    <w:p>
      <w:pPr>
        <w:pStyle w:val="2"/>
        <w:outlineLvl w:val="2"/>
        <w:jc w:val="center"/>
      </w:pPr>
      <w:r>
        <w:rPr>
          <w:sz w:val="20"/>
        </w:rPr>
        <w:t xml:space="preserve">2.3. Регламентация работы по профилактике детской смертности</w:t>
      </w:r>
    </w:p>
    <w:p>
      <w:pPr>
        <w:pStyle w:val="2"/>
        <w:jc w:val="center"/>
      </w:pPr>
      <w:r>
        <w:rPr>
          <w:sz w:val="20"/>
        </w:rPr>
        <w:t xml:space="preserve">от внешних причин</w:t>
      </w:r>
    </w:p>
    <w:p>
      <w:pPr>
        <w:pStyle w:val="0"/>
        <w:ind w:firstLine="540"/>
        <w:jc w:val="both"/>
      </w:pPr>
      <w:r>
        <w:rPr>
          <w:sz w:val="20"/>
        </w:rPr>
      </w:r>
    </w:p>
    <w:p>
      <w:pPr>
        <w:pStyle w:val="0"/>
        <w:ind w:firstLine="540"/>
        <w:jc w:val="both"/>
      </w:pPr>
      <w:r>
        <w:rPr>
          <w:sz w:val="20"/>
        </w:rPr>
        <w:t xml:space="preserve">Профилактика детской смертности от внешних причин в автономном округе организована на основании соответствующих нормативно-правовых актов, регламентирующих работу в этом направлении.</w:t>
      </w:r>
    </w:p>
    <w:p>
      <w:pPr>
        <w:pStyle w:val="0"/>
        <w:spacing w:before="200" w:line-rule="auto"/>
        <w:ind w:firstLine="540"/>
        <w:jc w:val="both"/>
      </w:pPr>
      <w:r>
        <w:rPr>
          <w:sz w:val="20"/>
        </w:rPr>
        <w:t xml:space="preserve">Приказами Департамента здравоохранения автономного округа утверждена маршрутизация несовершеннолетних для оказания первичной специализированной медико-санитарной помощи, специализированной, в том числе высокотехнологичной, медицинской помощи, медицинской реабилитации, используются телемедицинские технологии.</w:t>
      </w:r>
    </w:p>
    <w:p>
      <w:pPr>
        <w:pStyle w:val="0"/>
        <w:spacing w:before="200" w:line-rule="auto"/>
        <w:ind w:firstLine="540"/>
        <w:jc w:val="both"/>
      </w:pPr>
      <w:r>
        <w:rPr>
          <w:sz w:val="20"/>
        </w:rPr>
        <w:t xml:space="preserve">Организована работа дистанционного реанимационно-консультативного центра с выездной анестезиолого-реанимационной педиатрической (неонатальной) бригадой на базе бюджетного учреждения автономного округа "Нижневартовская окружная клиническая детская больница".</w:t>
      </w:r>
    </w:p>
    <w:p>
      <w:pPr>
        <w:pStyle w:val="0"/>
        <w:spacing w:before="200" w:line-rule="auto"/>
        <w:ind w:firstLine="540"/>
        <w:jc w:val="both"/>
      </w:pPr>
      <w:r>
        <w:rPr>
          <w:sz w:val="20"/>
        </w:rPr>
        <w:t xml:space="preserve">Приказами Департамента здравоохранения автономного округа утверждены планы мероприятий, направленных на снижение детской, младенческой смертности, на 2023 год (далее - планы мероприятий), которые согласованы главным внештатным неонатологом Минздрава России, главным внештатным педиатром Минздрава России, главным внештатным детским специалистом по профилактической медицине Минздрава России.</w:t>
      </w:r>
    </w:p>
    <w:p>
      <w:pPr>
        <w:pStyle w:val="0"/>
        <w:spacing w:before="200" w:line-rule="auto"/>
        <w:ind w:firstLine="540"/>
        <w:jc w:val="both"/>
      </w:pPr>
      <w:r>
        <w:rPr>
          <w:sz w:val="20"/>
        </w:rPr>
        <w:t xml:space="preserve">Осуществляется межведомственное взаимодействие с Департаментом социального развития автономного округа, Департаментом образования и науки автономного округа, Комиссией по делам несовершеннолетних и защите их прав при Правительстве автономного округа, УГИБДД УМВД России по автономному округу, Главным управлением МЧС России по автономному округу.</w:t>
      </w:r>
    </w:p>
    <w:p>
      <w:pPr>
        <w:pStyle w:val="0"/>
        <w:jc w:val="center"/>
      </w:pPr>
      <w:r>
        <w:rPr>
          <w:sz w:val="20"/>
        </w:rPr>
      </w:r>
    </w:p>
    <w:p>
      <w:pPr>
        <w:pStyle w:val="2"/>
        <w:outlineLvl w:val="2"/>
        <w:jc w:val="center"/>
      </w:pPr>
      <w:r>
        <w:rPr>
          <w:sz w:val="20"/>
        </w:rPr>
        <w:t xml:space="preserve">2.4. Ресурсы, задействованные в автономном округе</w:t>
      </w:r>
    </w:p>
    <w:p>
      <w:pPr>
        <w:pStyle w:val="2"/>
        <w:jc w:val="center"/>
      </w:pPr>
      <w:r>
        <w:rPr>
          <w:sz w:val="20"/>
        </w:rPr>
        <w:t xml:space="preserve">для реализации мероприятий по профилактике детской</w:t>
      </w:r>
    </w:p>
    <w:p>
      <w:pPr>
        <w:pStyle w:val="2"/>
        <w:jc w:val="center"/>
      </w:pPr>
      <w:r>
        <w:rPr>
          <w:sz w:val="20"/>
        </w:rPr>
        <w:t xml:space="preserve">смертности от внешних причин</w:t>
      </w:r>
    </w:p>
    <w:p>
      <w:pPr>
        <w:pStyle w:val="0"/>
        <w:jc w:val="center"/>
      </w:pPr>
      <w:r>
        <w:rPr>
          <w:sz w:val="20"/>
        </w:rPr>
      </w:r>
    </w:p>
    <w:p>
      <w:pPr>
        <w:pStyle w:val="0"/>
        <w:ind w:firstLine="540"/>
        <w:jc w:val="both"/>
      </w:pPr>
      <w:r>
        <w:rPr>
          <w:sz w:val="20"/>
        </w:rPr>
        <w:t xml:space="preserve">В автономном округе первичная медико-санитарная помощь детям оказывается на базе 35 медицинских организаций государственной системы здравоохранения автономного округа (кабинеты врача-педиатра участкового, детские поликлиники), 3 консультативно-диагностических центров для детей бюджетных учреждений автономного округа "Нижневартовская окружная клиническая детская больница", "Сургутский окружной клинический центр охраны материнства и детства", "Окружная клиническая больница".</w:t>
      </w:r>
    </w:p>
    <w:p>
      <w:pPr>
        <w:pStyle w:val="0"/>
        <w:ind w:firstLine="540"/>
        <w:jc w:val="both"/>
      </w:pPr>
      <w:r>
        <w:rPr>
          <w:sz w:val="20"/>
        </w:rPr>
      </w:r>
    </w:p>
    <w:p>
      <w:pPr>
        <w:pStyle w:val="0"/>
        <w:jc w:val="right"/>
      </w:pPr>
      <w:r>
        <w:rPr>
          <w:sz w:val="20"/>
        </w:rPr>
        <w:t xml:space="preserve">Таблица 9</w:t>
      </w:r>
    </w:p>
    <w:p>
      <w:pPr>
        <w:pStyle w:val="0"/>
        <w:jc w:val="right"/>
      </w:pPr>
      <w:r>
        <w:rPr>
          <w:sz w:val="20"/>
        </w:rPr>
      </w:r>
    </w:p>
    <w:p>
      <w:pPr>
        <w:pStyle w:val="0"/>
        <w:jc w:val="center"/>
      </w:pPr>
      <w:r>
        <w:rPr>
          <w:sz w:val="20"/>
        </w:rPr>
        <w:t xml:space="preserve">Перечень медицинских организаций, обеспечивающих оказание</w:t>
      </w:r>
    </w:p>
    <w:p>
      <w:pPr>
        <w:pStyle w:val="0"/>
        <w:jc w:val="center"/>
      </w:pPr>
      <w:r>
        <w:rPr>
          <w:sz w:val="20"/>
        </w:rPr>
        <w:t xml:space="preserve">первичной медико-санитарной помощи детскому населению</w:t>
      </w:r>
    </w:p>
    <w:p>
      <w:pPr>
        <w:pStyle w:val="0"/>
        <w:jc w:val="center"/>
      </w:pPr>
      <w:r>
        <w:rPr>
          <w:sz w:val="20"/>
        </w:rPr>
        <w:t xml:space="preserve">автономного округа</w:t>
      </w:r>
    </w:p>
    <w:p>
      <w:pPr>
        <w:pStyle w:val="0"/>
        <w:jc w:val="right"/>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61"/>
      </w:tblGrid>
      <w:tr>
        <w:tc>
          <w:tcPr>
            <w:tcW w:w="9061" w:type="dxa"/>
            <w:tcBorders>
              <w:left w:val="single" w:sz="4"/>
              <w:right w:val="single" w:sz="4"/>
            </w:tcBorders>
          </w:tcPr>
          <w:p>
            <w:pPr>
              <w:pStyle w:val="0"/>
              <w:jc w:val="center"/>
            </w:pPr>
            <w:r>
              <w:rPr>
                <w:sz w:val="20"/>
              </w:rPr>
              <w:t xml:space="preserve">Медицинские организации,</w:t>
            </w:r>
          </w:p>
          <w:p>
            <w:pPr>
              <w:pStyle w:val="0"/>
              <w:jc w:val="center"/>
            </w:pPr>
            <w:r>
              <w:rPr>
                <w:sz w:val="20"/>
              </w:rPr>
              <w:t xml:space="preserve">оказывающие первичную медико-санитарную помощь детям &lt;*&gt;</w:t>
            </w:r>
          </w:p>
        </w:tc>
      </w:tr>
      <w:tr>
        <w:tc>
          <w:tcPr>
            <w:tcW w:w="9061" w:type="dxa"/>
            <w:tcBorders>
              <w:left w:val="single" w:sz="4"/>
              <w:right w:val="single" w:sz="4"/>
            </w:tcBorders>
          </w:tcPr>
          <w:p>
            <w:pPr>
              <w:pStyle w:val="0"/>
              <w:jc w:val="center"/>
            </w:pPr>
            <w:r>
              <w:rPr>
                <w:sz w:val="20"/>
              </w:rPr>
              <w:t xml:space="preserve">1. Медицинские организации первой группы</w:t>
            </w:r>
          </w:p>
        </w:tc>
      </w:tr>
      <w:tr>
        <w:tc>
          <w:tcPr>
            <w:tcW w:w="9061" w:type="dxa"/>
            <w:tcBorders>
              <w:left w:val="single" w:sz="4"/>
              <w:right w:val="single" w:sz="4"/>
            </w:tcBorders>
          </w:tcPr>
          <w:p>
            <w:pPr>
              <w:pStyle w:val="0"/>
              <w:jc w:val="center"/>
            </w:pPr>
            <w:r>
              <w:rPr>
                <w:sz w:val="20"/>
              </w:rPr>
              <w:t xml:space="preserve">бюджетное учреждение автономного округа</w:t>
            </w:r>
          </w:p>
          <w:p>
            <w:pPr>
              <w:pStyle w:val="0"/>
              <w:jc w:val="center"/>
            </w:pPr>
            <w:r>
              <w:rPr>
                <w:sz w:val="20"/>
              </w:rPr>
              <w:t xml:space="preserve">"Березовская районная больница"</w:t>
            </w:r>
          </w:p>
        </w:tc>
      </w:tr>
      <w:tr>
        <w:tc>
          <w:tcPr>
            <w:tcW w:w="9061" w:type="dxa"/>
            <w:tcBorders>
              <w:left w:val="single" w:sz="4"/>
              <w:right w:val="single" w:sz="4"/>
            </w:tcBorders>
          </w:tcPr>
          <w:p>
            <w:pPr>
              <w:pStyle w:val="0"/>
              <w:jc w:val="center"/>
            </w:pPr>
            <w:r>
              <w:rPr>
                <w:sz w:val="20"/>
              </w:rPr>
              <w:t xml:space="preserve">бюджетное учреждение автономного округа</w:t>
            </w:r>
          </w:p>
          <w:p>
            <w:pPr>
              <w:pStyle w:val="0"/>
              <w:jc w:val="center"/>
            </w:pPr>
            <w:r>
              <w:rPr>
                <w:sz w:val="20"/>
              </w:rPr>
              <w:t xml:space="preserve">"Игримская районная больница"</w:t>
            </w:r>
          </w:p>
        </w:tc>
      </w:tr>
      <w:tr>
        <w:tc>
          <w:tcPr>
            <w:tcW w:w="9061" w:type="dxa"/>
            <w:tcBorders>
              <w:left w:val="single" w:sz="4"/>
              <w:right w:val="single" w:sz="4"/>
            </w:tcBorders>
          </w:tcPr>
          <w:p>
            <w:pPr>
              <w:pStyle w:val="0"/>
              <w:jc w:val="center"/>
            </w:pPr>
            <w:r>
              <w:rPr>
                <w:sz w:val="20"/>
              </w:rPr>
              <w:t xml:space="preserve">бюджетное учреждение автономного округа</w:t>
            </w:r>
          </w:p>
          <w:p>
            <w:pPr>
              <w:pStyle w:val="0"/>
              <w:jc w:val="center"/>
            </w:pPr>
            <w:r>
              <w:rPr>
                <w:sz w:val="20"/>
              </w:rPr>
              <w:t xml:space="preserve">"Центр общей врачебной практики"</w:t>
            </w:r>
          </w:p>
        </w:tc>
      </w:tr>
      <w:tr>
        <w:tc>
          <w:tcPr>
            <w:tcW w:w="9061" w:type="dxa"/>
            <w:tcBorders>
              <w:left w:val="single" w:sz="4"/>
              <w:right w:val="single" w:sz="4"/>
            </w:tcBorders>
          </w:tcPr>
          <w:p>
            <w:pPr>
              <w:pStyle w:val="0"/>
              <w:jc w:val="center"/>
            </w:pPr>
            <w:r>
              <w:rPr>
                <w:sz w:val="20"/>
              </w:rPr>
              <w:t xml:space="preserve">бюджетное учреждение автономного округа</w:t>
            </w:r>
          </w:p>
          <w:p>
            <w:pPr>
              <w:pStyle w:val="0"/>
              <w:jc w:val="center"/>
            </w:pPr>
            <w:r>
              <w:rPr>
                <w:sz w:val="20"/>
              </w:rPr>
              <w:t xml:space="preserve">"Ханты-Мансийская районная больница"</w:t>
            </w:r>
          </w:p>
        </w:tc>
      </w:tr>
      <w:tr>
        <w:tc>
          <w:tcPr>
            <w:tcW w:w="9061" w:type="dxa"/>
            <w:tcBorders>
              <w:left w:val="single" w:sz="4"/>
              <w:right w:val="single" w:sz="4"/>
            </w:tcBorders>
          </w:tcPr>
          <w:p>
            <w:pPr>
              <w:pStyle w:val="0"/>
              <w:jc w:val="center"/>
            </w:pPr>
            <w:r>
              <w:rPr>
                <w:sz w:val="20"/>
              </w:rPr>
              <w:t xml:space="preserve">бюджетное учреждение автономного округа</w:t>
            </w:r>
          </w:p>
          <w:p>
            <w:pPr>
              <w:pStyle w:val="0"/>
              <w:jc w:val="center"/>
            </w:pPr>
            <w:r>
              <w:rPr>
                <w:sz w:val="20"/>
              </w:rPr>
              <w:t xml:space="preserve">"Октябрьская районная больница"</w:t>
            </w:r>
          </w:p>
        </w:tc>
      </w:tr>
      <w:tr>
        <w:tc>
          <w:tcPr>
            <w:tcW w:w="9061" w:type="dxa"/>
            <w:tcBorders>
              <w:left w:val="single" w:sz="4"/>
              <w:right w:val="single" w:sz="4"/>
            </w:tcBorders>
          </w:tcPr>
          <w:p>
            <w:pPr>
              <w:pStyle w:val="0"/>
              <w:jc w:val="center"/>
            </w:pPr>
            <w:r>
              <w:rPr>
                <w:sz w:val="20"/>
              </w:rPr>
              <w:t xml:space="preserve">бюджетное учреждение автономного округа</w:t>
            </w:r>
          </w:p>
          <w:p>
            <w:pPr>
              <w:pStyle w:val="0"/>
              <w:jc w:val="center"/>
            </w:pPr>
            <w:r>
              <w:rPr>
                <w:sz w:val="20"/>
              </w:rPr>
              <w:t xml:space="preserve">"Няганская городская поликлиника"</w:t>
            </w:r>
          </w:p>
        </w:tc>
      </w:tr>
      <w:tr>
        <w:tc>
          <w:tcPr>
            <w:tcW w:w="9061" w:type="dxa"/>
            <w:tcBorders>
              <w:left w:val="single" w:sz="4"/>
              <w:right w:val="single" w:sz="4"/>
            </w:tcBorders>
          </w:tcPr>
          <w:p>
            <w:pPr>
              <w:pStyle w:val="0"/>
              <w:jc w:val="center"/>
            </w:pPr>
            <w:r>
              <w:rPr>
                <w:sz w:val="20"/>
              </w:rPr>
              <w:t xml:space="preserve">бюджетное учреждение автономного округа</w:t>
            </w:r>
          </w:p>
          <w:p>
            <w:pPr>
              <w:pStyle w:val="0"/>
              <w:jc w:val="center"/>
            </w:pPr>
            <w:r>
              <w:rPr>
                <w:sz w:val="20"/>
              </w:rPr>
              <w:t xml:space="preserve">"Пионерская районная больница"</w:t>
            </w:r>
          </w:p>
        </w:tc>
      </w:tr>
      <w:tr>
        <w:tc>
          <w:tcPr>
            <w:tcW w:w="9061" w:type="dxa"/>
            <w:tcBorders>
              <w:left w:val="single" w:sz="4"/>
              <w:right w:val="single" w:sz="4"/>
            </w:tcBorders>
          </w:tcPr>
          <w:p>
            <w:pPr>
              <w:pStyle w:val="0"/>
              <w:jc w:val="center"/>
            </w:pPr>
            <w:r>
              <w:rPr>
                <w:sz w:val="20"/>
              </w:rPr>
              <w:t xml:space="preserve">бюджетное учреждение автономного округа</w:t>
            </w:r>
          </w:p>
          <w:p>
            <w:pPr>
              <w:pStyle w:val="0"/>
              <w:jc w:val="center"/>
            </w:pPr>
            <w:r>
              <w:rPr>
                <w:sz w:val="20"/>
              </w:rPr>
              <w:t xml:space="preserve">"Сургутская районная поликлиника"</w:t>
            </w:r>
          </w:p>
        </w:tc>
      </w:tr>
      <w:tr>
        <w:tc>
          <w:tcPr>
            <w:tcW w:w="9061" w:type="dxa"/>
            <w:tcBorders>
              <w:left w:val="single" w:sz="4"/>
              <w:right w:val="single" w:sz="4"/>
            </w:tcBorders>
          </w:tcPr>
          <w:p>
            <w:pPr>
              <w:pStyle w:val="0"/>
              <w:jc w:val="center"/>
            </w:pPr>
            <w:r>
              <w:rPr>
                <w:sz w:val="20"/>
              </w:rPr>
              <w:t xml:space="preserve">бюджетное учреждение автономного округа</w:t>
            </w:r>
          </w:p>
          <w:p>
            <w:pPr>
              <w:pStyle w:val="0"/>
              <w:jc w:val="center"/>
            </w:pPr>
            <w:r>
              <w:rPr>
                <w:sz w:val="20"/>
              </w:rPr>
              <w:t xml:space="preserve">"Федоровская городская больница"</w:t>
            </w:r>
          </w:p>
        </w:tc>
      </w:tr>
      <w:tr>
        <w:tc>
          <w:tcPr>
            <w:tcW w:w="9061" w:type="dxa"/>
            <w:tcBorders>
              <w:left w:val="single" w:sz="4"/>
              <w:right w:val="single" w:sz="4"/>
            </w:tcBorders>
          </w:tcPr>
          <w:p>
            <w:pPr>
              <w:pStyle w:val="0"/>
              <w:jc w:val="center"/>
            </w:pPr>
            <w:r>
              <w:rPr>
                <w:sz w:val="20"/>
              </w:rPr>
              <w:t xml:space="preserve">бюджетное учреждение автономного округа</w:t>
            </w:r>
          </w:p>
          <w:p>
            <w:pPr>
              <w:pStyle w:val="0"/>
              <w:jc w:val="center"/>
            </w:pPr>
            <w:r>
              <w:rPr>
                <w:sz w:val="20"/>
              </w:rPr>
              <w:t xml:space="preserve">"Угутская участковая больница"</w:t>
            </w:r>
          </w:p>
        </w:tc>
      </w:tr>
      <w:tr>
        <w:tc>
          <w:tcPr>
            <w:tcW w:w="9061" w:type="dxa"/>
            <w:tcBorders>
              <w:left w:val="single" w:sz="4"/>
              <w:right w:val="single" w:sz="4"/>
            </w:tcBorders>
          </w:tcPr>
          <w:p>
            <w:pPr>
              <w:pStyle w:val="0"/>
              <w:jc w:val="center"/>
            </w:pPr>
            <w:r>
              <w:rPr>
                <w:sz w:val="20"/>
              </w:rPr>
              <w:t xml:space="preserve">бюджетное учреждение автономного округа</w:t>
            </w:r>
          </w:p>
          <w:p>
            <w:pPr>
              <w:pStyle w:val="0"/>
              <w:jc w:val="center"/>
            </w:pPr>
            <w:r>
              <w:rPr>
                <w:sz w:val="20"/>
              </w:rPr>
              <w:t xml:space="preserve">"Нижнесортымская участковая больница"</w:t>
            </w:r>
          </w:p>
        </w:tc>
      </w:tr>
      <w:tr>
        <w:tc>
          <w:tcPr>
            <w:tcW w:w="9061" w:type="dxa"/>
            <w:tcBorders>
              <w:left w:val="single" w:sz="4"/>
              <w:right w:val="single" w:sz="4"/>
            </w:tcBorders>
          </w:tcPr>
          <w:p>
            <w:pPr>
              <w:pStyle w:val="0"/>
              <w:jc w:val="center"/>
            </w:pPr>
            <w:r>
              <w:rPr>
                <w:sz w:val="20"/>
              </w:rPr>
              <w:t xml:space="preserve">бюджетное учреждение автономного округа</w:t>
            </w:r>
          </w:p>
          <w:p>
            <w:pPr>
              <w:pStyle w:val="0"/>
              <w:jc w:val="center"/>
            </w:pPr>
            <w:r>
              <w:rPr>
                <w:sz w:val="20"/>
              </w:rPr>
              <w:t xml:space="preserve">"Новоаганская районная больница"</w:t>
            </w:r>
          </w:p>
        </w:tc>
      </w:tr>
      <w:tr>
        <w:tc>
          <w:tcPr>
            <w:tcW w:w="9061" w:type="dxa"/>
            <w:tcBorders>
              <w:left w:val="single" w:sz="4"/>
              <w:right w:val="single" w:sz="4"/>
            </w:tcBorders>
          </w:tcPr>
          <w:p>
            <w:pPr>
              <w:pStyle w:val="0"/>
              <w:jc w:val="center"/>
            </w:pPr>
            <w:r>
              <w:rPr>
                <w:sz w:val="20"/>
              </w:rPr>
              <w:t xml:space="preserve">2. Медицинские организации второй группы</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"Белоярская районная больница"</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"Кондинская районная больница"</w:t>
            </w:r>
          </w:p>
        </w:tc>
      </w:tr>
      <w:tr>
        <w:tc>
          <w:tcPr>
            <w:tcW w:w="9061" w:type="dxa"/>
            <w:tcBorders>
              <w:left w:val="single" w:sz="4"/>
              <w:right w:val="single" w:sz="4"/>
            </w:tcBorders>
          </w:tcPr>
          <w:p>
            <w:pPr>
              <w:pStyle w:val="0"/>
              <w:jc w:val="center"/>
            </w:pPr>
            <w:r>
              <w:rPr>
                <w:sz w:val="20"/>
              </w:rPr>
              <w:t xml:space="preserve">бюджетное учреждение автономного округа "Няганская городская детская поликлиника"</w:t>
            </w:r>
          </w:p>
        </w:tc>
      </w:tr>
      <w:tr>
        <w:tc>
          <w:tcPr>
            <w:tcW w:w="9061" w:type="dxa"/>
            <w:tcBorders>
              <w:left w:val="single" w:sz="4"/>
              <w:right w:val="single" w:sz="4"/>
            </w:tcBorders>
          </w:tcPr>
          <w:p>
            <w:pPr>
              <w:pStyle w:val="0"/>
              <w:jc w:val="center"/>
            </w:pPr>
            <w:r>
              <w:rPr>
                <w:sz w:val="20"/>
              </w:rPr>
              <w:t xml:space="preserve">детская поликлиника автономного учреждения автономного округа</w:t>
            </w:r>
          </w:p>
          <w:p>
            <w:pPr>
              <w:pStyle w:val="0"/>
              <w:jc w:val="center"/>
            </w:pPr>
            <w:r>
              <w:rPr>
                <w:sz w:val="20"/>
              </w:rPr>
              <w:t xml:space="preserve">"Советская районная больница"</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"Урайская городская клиническая больница"</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"Югорская городская больница"</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"Окружная клиническая больница"</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"Лянторская городская больница"</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"Пыть-Яхская окружная клиническая больница"</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"Нефтеюганская районная больница"</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"Нефтеюганская окружная клиническая больница им. В.И. Яцкив"</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"Когалымская городская больница"</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"Сургутская городская клиническая поликлиника N 1"</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"Сургутская городская клиническая поликлиника N 2"</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"Сургутская городская клиническая поликлиника N 3"</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"Сургутская городская клиническая поликлиника N 4"</w:t>
            </w:r>
          </w:p>
        </w:tc>
      </w:tr>
      <w:tr>
        <w:tc>
          <w:tcPr>
            <w:tcW w:w="9061" w:type="dxa"/>
            <w:tcBorders>
              <w:left w:val="single" w:sz="4"/>
              <w:right w:val="single" w:sz="4"/>
            </w:tcBorders>
          </w:tcPr>
          <w:p>
            <w:pPr>
              <w:pStyle w:val="0"/>
              <w:jc w:val="center"/>
            </w:pPr>
            <w:r>
              <w:rPr>
                <w:sz w:val="20"/>
              </w:rPr>
              <w:t xml:space="preserve">бюджетное учреждение автономного округа Сургутская городская клиническая поликлиника N 5"</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 "Нижневартовская районная больница"</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"Мегионская городская больница"</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 "Радужнинская городская больница"</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"Лангепасская городская больница"</w:t>
            </w:r>
          </w:p>
        </w:tc>
      </w:tr>
      <w:tr>
        <w:tc>
          <w:tcPr>
            <w:tcW w:w="9061" w:type="dxa"/>
            <w:tcBorders>
              <w:left w:val="single" w:sz="4"/>
              <w:right w:val="single" w:sz="4"/>
            </w:tcBorders>
          </w:tcPr>
          <w:p>
            <w:pPr>
              <w:pStyle w:val="0"/>
              <w:jc w:val="center"/>
            </w:pPr>
            <w:r>
              <w:rPr>
                <w:sz w:val="20"/>
              </w:rPr>
              <w:t xml:space="preserve">детская поликлиника бюджетного учреждения автономного округа</w:t>
            </w:r>
          </w:p>
          <w:p>
            <w:pPr>
              <w:pStyle w:val="0"/>
              <w:jc w:val="center"/>
            </w:pPr>
            <w:r>
              <w:rPr>
                <w:sz w:val="20"/>
              </w:rPr>
              <w:t xml:space="preserve">"Покачевская городская больница"</w:t>
            </w:r>
          </w:p>
        </w:tc>
      </w:tr>
      <w:tr>
        <w:tc>
          <w:tcPr>
            <w:tcW w:w="9061" w:type="dxa"/>
            <w:tcBorders>
              <w:left w:val="single" w:sz="4"/>
              <w:right w:val="single" w:sz="4"/>
            </w:tcBorders>
          </w:tcPr>
          <w:p>
            <w:pPr>
              <w:pStyle w:val="0"/>
              <w:jc w:val="center"/>
            </w:pPr>
            <w:r>
              <w:rPr>
                <w:sz w:val="20"/>
              </w:rPr>
              <w:t xml:space="preserve">бюджетное учреждение автономного округа "Нижневартовская городская детская поликлиника"</w:t>
            </w:r>
          </w:p>
        </w:tc>
      </w:tr>
      <w:tr>
        <w:tc>
          <w:tcPr>
            <w:tcW w:w="9061" w:type="dxa"/>
            <w:tcBorders>
              <w:left w:val="single" w:sz="4"/>
              <w:right w:val="single" w:sz="4"/>
            </w:tcBorders>
          </w:tcPr>
          <w:p>
            <w:pPr>
              <w:pStyle w:val="0"/>
              <w:jc w:val="center"/>
            </w:pPr>
            <w:r>
              <w:rPr>
                <w:sz w:val="20"/>
              </w:rPr>
              <w:t xml:space="preserve">3. Медицинские организации третьей группы</w:t>
            </w:r>
          </w:p>
        </w:tc>
      </w:tr>
      <w:tr>
        <w:tc>
          <w:tcPr>
            <w:tcW w:w="9061" w:type="dxa"/>
            <w:tcBorders>
              <w:left w:val="single" w:sz="4"/>
              <w:right w:val="single" w:sz="4"/>
            </w:tcBorders>
          </w:tcPr>
          <w:p>
            <w:pPr>
              <w:pStyle w:val="0"/>
              <w:jc w:val="center"/>
            </w:pPr>
            <w:r>
              <w:rPr>
                <w:sz w:val="20"/>
              </w:rPr>
              <w:t xml:space="preserve">консультативно-диагностический центр для детей бюджетного учреждения автономного округа "Нижневартовская окружная клиническая детская больница"</w:t>
            </w:r>
          </w:p>
        </w:tc>
      </w:tr>
      <w:tr>
        <w:tc>
          <w:tcPr>
            <w:tcW w:w="9061" w:type="dxa"/>
            <w:tcBorders>
              <w:left w:val="single" w:sz="4"/>
              <w:right w:val="single" w:sz="4"/>
            </w:tcBorders>
          </w:tcPr>
          <w:p>
            <w:pPr>
              <w:pStyle w:val="0"/>
              <w:jc w:val="center"/>
            </w:pPr>
            <w:r>
              <w:rPr>
                <w:sz w:val="20"/>
              </w:rPr>
              <w:t xml:space="preserve">консультативно-диагностический центр для детей бюджетного учреждения автономного округа "Сургутский окружной клинический центр охраны материнства и детства"</w:t>
            </w:r>
          </w:p>
        </w:tc>
      </w:tr>
      <w:tr>
        <w:tc>
          <w:tcPr>
            <w:tcW w:w="9061" w:type="dxa"/>
            <w:tcBorders>
              <w:left w:val="single" w:sz="4"/>
              <w:right w:val="single" w:sz="4"/>
            </w:tcBorders>
          </w:tcPr>
          <w:p>
            <w:pPr>
              <w:pStyle w:val="0"/>
              <w:jc w:val="center"/>
            </w:pPr>
            <w:r>
              <w:rPr>
                <w:sz w:val="20"/>
              </w:rPr>
              <w:t xml:space="preserve">консультативно-диагностический центр для детей бюджетного учреждения автономного округа "Окружная клиническая больница"</w:t>
            </w:r>
          </w:p>
        </w:tc>
      </w:tr>
    </w:tbl>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В соответствии с </w:t>
      </w:r>
      <w:hyperlink w:history="0" r:id="rId263"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приказом</w:t>
        </w:r>
      </w:hyperlink>
      <w:r>
        <w:rPr>
          <w:sz w:val="20"/>
        </w:rPr>
        <w:t xml:space="preserve"> Министерства здравоохранения Российской Федерации от 7 марта 2018 года N 92н "Об утверждении Положения об организации оказания первичной медико-санитарной помощи детям" (далее также - Минздрав России).</w:t>
      </w:r>
    </w:p>
    <w:p>
      <w:pPr>
        <w:pStyle w:val="0"/>
        <w:ind w:firstLine="540"/>
        <w:jc w:val="both"/>
      </w:pPr>
      <w:r>
        <w:rPr>
          <w:sz w:val="20"/>
        </w:rPr>
      </w:r>
    </w:p>
    <w:p>
      <w:pPr>
        <w:pStyle w:val="0"/>
        <w:jc w:val="right"/>
      </w:pPr>
      <w:r>
        <w:rPr>
          <w:sz w:val="20"/>
        </w:rPr>
        <w:t xml:space="preserve">Таблица 10</w:t>
      </w:r>
    </w:p>
    <w:p>
      <w:pPr>
        <w:pStyle w:val="0"/>
        <w:jc w:val="right"/>
      </w:pPr>
      <w:r>
        <w:rPr>
          <w:sz w:val="20"/>
        </w:rPr>
      </w:r>
    </w:p>
    <w:p>
      <w:pPr>
        <w:pStyle w:val="0"/>
        <w:jc w:val="center"/>
      </w:pPr>
      <w:r>
        <w:rPr>
          <w:sz w:val="20"/>
        </w:rPr>
        <w:t xml:space="preserve">Укомплектованность врачами-педиатрами подразделений,</w:t>
      </w:r>
    </w:p>
    <w:p>
      <w:pPr>
        <w:pStyle w:val="0"/>
        <w:jc w:val="center"/>
      </w:pPr>
      <w:r>
        <w:rPr>
          <w:sz w:val="20"/>
        </w:rPr>
        <w:t xml:space="preserve">оказывающих медицинскую помощь в амбулаторных условиях,</w:t>
      </w:r>
    </w:p>
    <w:p>
      <w:pPr>
        <w:pStyle w:val="0"/>
        <w:jc w:val="center"/>
      </w:pPr>
      <w:r>
        <w:rPr>
          <w:sz w:val="20"/>
        </w:rPr>
        <w:t xml:space="preserve">за период 2019 - 2023 гг.</w:t>
      </w:r>
    </w:p>
    <w:p>
      <w:pPr>
        <w:pStyle w:val="0"/>
        <w:jc w:val="center"/>
      </w:pPr>
      <w:r>
        <w:rPr>
          <w:sz w:val="20"/>
        </w:rPr>
        <w:t xml:space="preserve">(данные Федеральной службы государственной статистики)</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19"/>
        <w:gridCol w:w="1343"/>
        <w:gridCol w:w="1341"/>
        <w:gridCol w:w="1073"/>
        <w:gridCol w:w="1093"/>
        <w:gridCol w:w="1292"/>
      </w:tblGrid>
      <w:tr>
        <w:tc>
          <w:tcPr>
            <w:tcW w:w="2919" w:type="dxa"/>
          </w:tcPr>
          <w:p>
            <w:pPr>
              <w:pStyle w:val="0"/>
              <w:jc w:val="center"/>
            </w:pPr>
            <w:r>
              <w:rPr>
                <w:sz w:val="20"/>
              </w:rPr>
              <w:t xml:space="preserve">Наименование</w:t>
            </w:r>
          </w:p>
        </w:tc>
        <w:tc>
          <w:tcPr>
            <w:tcW w:w="1343" w:type="dxa"/>
          </w:tcPr>
          <w:p>
            <w:pPr>
              <w:pStyle w:val="0"/>
              <w:jc w:val="center"/>
            </w:pPr>
            <w:r>
              <w:rPr>
                <w:sz w:val="20"/>
              </w:rPr>
              <w:t xml:space="preserve">2019 год</w:t>
            </w:r>
          </w:p>
        </w:tc>
        <w:tc>
          <w:tcPr>
            <w:tcW w:w="1341" w:type="dxa"/>
          </w:tcPr>
          <w:p>
            <w:pPr>
              <w:pStyle w:val="0"/>
              <w:jc w:val="center"/>
            </w:pPr>
            <w:r>
              <w:rPr>
                <w:sz w:val="20"/>
              </w:rPr>
              <w:t xml:space="preserve">2020 год</w:t>
            </w:r>
          </w:p>
        </w:tc>
        <w:tc>
          <w:tcPr>
            <w:tcW w:w="1073" w:type="dxa"/>
          </w:tcPr>
          <w:p>
            <w:pPr>
              <w:pStyle w:val="0"/>
              <w:jc w:val="center"/>
            </w:pPr>
            <w:r>
              <w:rPr>
                <w:sz w:val="20"/>
              </w:rPr>
              <w:t xml:space="preserve">2021 год</w:t>
            </w:r>
          </w:p>
        </w:tc>
        <w:tc>
          <w:tcPr>
            <w:tcW w:w="1093" w:type="dxa"/>
          </w:tcPr>
          <w:p>
            <w:pPr>
              <w:pStyle w:val="0"/>
              <w:jc w:val="center"/>
            </w:pPr>
            <w:r>
              <w:rPr>
                <w:sz w:val="20"/>
              </w:rPr>
              <w:t xml:space="preserve">2022 год</w:t>
            </w:r>
          </w:p>
        </w:tc>
        <w:tc>
          <w:tcPr>
            <w:tcW w:w="1292" w:type="dxa"/>
          </w:tcPr>
          <w:p>
            <w:pPr>
              <w:pStyle w:val="0"/>
              <w:jc w:val="center"/>
            </w:pPr>
            <w:r>
              <w:rPr>
                <w:sz w:val="20"/>
              </w:rPr>
              <w:t xml:space="preserve">6 месяцев 2023 года</w:t>
            </w:r>
          </w:p>
        </w:tc>
      </w:tr>
      <w:tr>
        <w:tc>
          <w:tcPr>
            <w:tcW w:w="2919" w:type="dxa"/>
          </w:tcPr>
          <w:p>
            <w:pPr>
              <w:pStyle w:val="0"/>
            </w:pPr>
            <w:r>
              <w:rPr>
                <w:sz w:val="20"/>
              </w:rPr>
              <w:t xml:space="preserve">Укомплектованность врачами-педиатрами подразделений, оказывающих медицинскую помощь в амбулаторных условиях</w:t>
            </w:r>
          </w:p>
        </w:tc>
        <w:tc>
          <w:tcPr>
            <w:tcW w:w="1343" w:type="dxa"/>
          </w:tcPr>
          <w:p>
            <w:pPr>
              <w:pStyle w:val="0"/>
              <w:jc w:val="center"/>
            </w:pPr>
            <w:r>
              <w:rPr>
                <w:sz w:val="20"/>
              </w:rPr>
              <w:t xml:space="preserve">95%</w:t>
            </w:r>
          </w:p>
        </w:tc>
        <w:tc>
          <w:tcPr>
            <w:tcW w:w="1341" w:type="dxa"/>
          </w:tcPr>
          <w:p>
            <w:pPr>
              <w:pStyle w:val="0"/>
              <w:jc w:val="center"/>
            </w:pPr>
            <w:r>
              <w:rPr>
                <w:sz w:val="20"/>
              </w:rPr>
              <w:t xml:space="preserve">96,4%</w:t>
            </w:r>
          </w:p>
        </w:tc>
        <w:tc>
          <w:tcPr>
            <w:tcW w:w="1073" w:type="dxa"/>
          </w:tcPr>
          <w:p>
            <w:pPr>
              <w:pStyle w:val="0"/>
              <w:jc w:val="center"/>
            </w:pPr>
            <w:r>
              <w:rPr>
                <w:sz w:val="20"/>
              </w:rPr>
              <w:t xml:space="preserve">95,1%</w:t>
            </w:r>
          </w:p>
        </w:tc>
        <w:tc>
          <w:tcPr>
            <w:tcW w:w="1093" w:type="dxa"/>
          </w:tcPr>
          <w:p>
            <w:pPr>
              <w:pStyle w:val="0"/>
              <w:jc w:val="center"/>
            </w:pPr>
            <w:r>
              <w:rPr>
                <w:sz w:val="20"/>
              </w:rPr>
              <w:t xml:space="preserve">95,2%</w:t>
            </w:r>
          </w:p>
        </w:tc>
        <w:tc>
          <w:tcPr>
            <w:tcW w:w="1292" w:type="dxa"/>
          </w:tcPr>
          <w:p>
            <w:pPr>
              <w:pStyle w:val="0"/>
              <w:jc w:val="center"/>
            </w:pPr>
            <w:r>
              <w:rPr>
                <w:sz w:val="20"/>
              </w:rPr>
              <w:t xml:space="preserve">97,6%</w:t>
            </w:r>
          </w:p>
        </w:tc>
      </w:tr>
    </w:tbl>
    <w:p>
      <w:pPr>
        <w:pStyle w:val="0"/>
        <w:ind w:firstLine="540"/>
        <w:jc w:val="both"/>
      </w:pPr>
      <w:r>
        <w:rPr>
          <w:sz w:val="20"/>
        </w:rPr>
      </w:r>
    </w:p>
    <w:p>
      <w:pPr>
        <w:pStyle w:val="0"/>
        <w:ind w:firstLine="540"/>
        <w:jc w:val="both"/>
      </w:pPr>
      <w:r>
        <w:rPr>
          <w:sz w:val="20"/>
        </w:rPr>
        <w:t xml:space="preserve">Специализированная, в том числе высокотехнологичная, медицинская помощь детскому населению оказывается на базе бюджетных учреждений автономного округа: "Окружная клиническая больница", "Няганская окружная больница", "Сургутская клиническая травматологическая больница", "Сургутская окружная клиническая больница", "Нижневартовская окружная клиническая детская больница", "Сургутская городская клиническая больница", "Нефтеюганская окружная клиническая больница им. В.И. Яцкив", "Окружной кардиологический диспансер "Центр диагностики и сердечно-сосудистой хирургии", "Сургутский окружной клинический центр охраны материнства и детства", "Нижневартовский окружной клинический перинатальный центр", а также на базе медицинских организаций, оказывающих специализированную медицинскую помощь по профилям "фтизиатрия" (бюджетные учреждения автономного округа: "Нижневартовский противотуберкулезный диспансер", "Сургутский клинический противотуберкулезный диспансер", "Березовский противотуберкулезный диспансер", "Ханты-Мансийский клинический противотуберкулезный диспансер"), "дерматовенерология" (бюджетные учреждения автономного округа: "Нижневартовский кожно-венерологический диспансер", "Сургутский клинический кожно-венерологический диспансер", "Ханты-Мансийский клинический кожно-венерологический диспансер", "психиатрия" (бюджетные учреждения автономного округа: "Ханты-Мансийская клиническая психоневрологическая больница", "Советская психоневрологическая больница", "Сургутская клиническая психоневрологическая больница", "Нижневартовская психоневрологическая больница", "Психоневрологическая больница им. Святой Преподобномученицы Елизаветы"), "психиатрия-наркология" (бюджетные учреждения автономного округа: "Ханты-Мансийская клиническая психоневрологическая больница", "Советская психоневрологическая больница", "Сургутская клиническая психоневрологическая больница", "Нижневартовская психоневрологическая больница", "Психоневрологическая больница им. Святой Преподобномученицы Елизаветы") </w:t>
      </w:r>
      <w:hyperlink w:history="0" w:anchor="P32426" w:tooltip="Схема размещения медицинских зон оказания">
        <w:r>
          <w:rPr>
            <w:sz w:val="20"/>
            <w:color w:val="0000ff"/>
          </w:rPr>
          <w:t xml:space="preserve">(схема 1)</w:t>
        </w:r>
      </w:hyperlink>
      <w:r>
        <w:rPr>
          <w:sz w:val="20"/>
        </w:rPr>
        <w:t xml:space="preserve">.</w:t>
      </w:r>
    </w:p>
    <w:p>
      <w:pPr>
        <w:pStyle w:val="0"/>
        <w:spacing w:before="200" w:line-rule="auto"/>
        <w:ind w:firstLine="540"/>
        <w:jc w:val="both"/>
      </w:pPr>
      <w:r>
        <w:rPr>
          <w:sz w:val="20"/>
        </w:rPr>
        <w:t xml:space="preserve">Маршрутизация детей для оказания медицинской помощи утверждена приказами Департамента здравоохранения автономного округа от 29 августа 2023 года N 1283 "Об организации первичной медико-санитарной помощи детскому населению Ханты-Мансийского автономного округа - Югры", от 6 декабря 2021 года N 1970 "Об организации оказания специализированной, в том числе высокотехнологичной, медицинской помощи детскому населению Ханты-Мансийского автономного округа - Югры".</w:t>
      </w:r>
    </w:p>
    <w:p>
      <w:pPr>
        <w:pStyle w:val="0"/>
        <w:spacing w:before="200" w:line-rule="auto"/>
        <w:ind w:firstLine="540"/>
        <w:jc w:val="both"/>
      </w:pPr>
      <w:r>
        <w:rPr>
          <w:sz w:val="20"/>
        </w:rPr>
        <w:t xml:space="preserve">Маршрутизация детей по профилям заболеваний для оказания специализированной медицинской помощи определена по 3 уровням оказания медицинской помощи в 5 медицинских зонах. По профилям медицинской помощи определены медицинские организации, оказывающие специализированную, в том числе высокотехнологичную, медицинскую помощь детям.</w:t>
      </w:r>
    </w:p>
    <w:p>
      <w:pPr>
        <w:pStyle w:val="0"/>
        <w:spacing w:before="200" w:line-rule="auto"/>
        <w:ind w:firstLine="540"/>
        <w:jc w:val="both"/>
      </w:pPr>
      <w:r>
        <w:rPr>
          <w:sz w:val="20"/>
        </w:rPr>
        <w:t xml:space="preserve">Так, бюджетное учреждение автономного округа "Нижневартовская окружная клиническая детская больница" - многопрофильная медицинская организация, оказывающая специализированную, в том числе высокотехнологичную, медицинскую помощь детям от 0 до 17 лет включительно в амбулаторных и стационарных условиях.</w:t>
      </w:r>
    </w:p>
    <w:p>
      <w:pPr>
        <w:pStyle w:val="0"/>
        <w:spacing w:before="200" w:line-rule="auto"/>
        <w:ind w:firstLine="540"/>
        <w:jc w:val="both"/>
      </w:pPr>
      <w:r>
        <w:rPr>
          <w:sz w:val="20"/>
        </w:rPr>
        <w:t xml:space="preserve">Система оказания психиатрической, наркологической помощи несовершеннолетним в автономном округе выстроена по зональному принципу с учетом транспортной доступности и представлена 5 специализированными медицинским организациями: (бюджетные учреждения автономного округа: "Ханты-Мансийская клиническая психоневрологическая больница", "Советская психоневрологическая больница", "Сургутская клиническая психоневрологическая больница", "Нижневартовская психоневрологическая больница", "Психоневрологическая больница им. Святой Преподобномученицы Елизаветы") и многопрофильными медицинскими организациями, оказывающими медицинскую помощь несовершеннолетним.</w:t>
      </w:r>
    </w:p>
    <w:p>
      <w:pPr>
        <w:pStyle w:val="0"/>
        <w:spacing w:before="200" w:line-rule="auto"/>
        <w:ind w:firstLine="540"/>
        <w:jc w:val="both"/>
      </w:pPr>
      <w:r>
        <w:rPr>
          <w:sz w:val="20"/>
        </w:rPr>
        <w:t xml:space="preserve">К оказанию медицинской помощи несовершеннолетним, пострадавшим от воздействия внешних причин также привлекается казенное учреждение автономного округа "Центр медицины катастроф" (далее - Центр медицины катастроф), являющееся региональным центром экстренной медицинской помощи и медицинской эвакуации, выполняющим функции единой региональной диспетчерской, централизованного управления вызовами во всех медицинских округах.</w:t>
      </w:r>
    </w:p>
    <w:p>
      <w:pPr>
        <w:pStyle w:val="0"/>
        <w:spacing w:before="200" w:line-rule="auto"/>
        <w:ind w:firstLine="540"/>
        <w:jc w:val="both"/>
      </w:pPr>
      <w:r>
        <w:rPr>
          <w:sz w:val="20"/>
        </w:rPr>
        <w:t xml:space="preserve">Филиальная структура учреждения (в городах Ханты-Мансийск, Сургут, Березово, Нижневартовск, Нягань) обеспечивает оказание скорой, в том числе скорой специализированной, медицинской помощи населению, проживающему в отдаленных и труднодоступных населенных пунктах автономного округа.</w:t>
      </w:r>
    </w:p>
    <w:p>
      <w:pPr>
        <w:pStyle w:val="0"/>
        <w:spacing w:before="200" w:line-rule="auto"/>
        <w:ind w:firstLine="540"/>
        <w:jc w:val="both"/>
      </w:pPr>
      <w:r>
        <w:rPr>
          <w:sz w:val="20"/>
        </w:rPr>
        <w:t xml:space="preserve">В зоне ответственности отделений экстренной консультативной медицинской помощи и медицинской эвакуации Центра медицины катастроф находятся 13 городских округов, 8 муниципальных районов, 26 городских и 57 сельских поселений, в том числе вахтовые поселки.</w:t>
      </w:r>
    </w:p>
    <w:p>
      <w:pPr>
        <w:pStyle w:val="0"/>
        <w:spacing w:before="200" w:line-rule="auto"/>
        <w:ind w:firstLine="540"/>
        <w:jc w:val="both"/>
      </w:pPr>
      <w:r>
        <w:rPr>
          <w:sz w:val="20"/>
        </w:rPr>
        <w:t xml:space="preserve">Выбор вида транспорта зависит от транспортной доступности, удаленности медицинских организаций, состояния пациента.</w:t>
      </w:r>
    </w:p>
    <w:p>
      <w:pPr>
        <w:pStyle w:val="0"/>
        <w:spacing w:before="200" w:line-rule="auto"/>
        <w:ind w:firstLine="540"/>
        <w:jc w:val="both"/>
      </w:pPr>
      <w:r>
        <w:rPr>
          <w:sz w:val="20"/>
        </w:rPr>
        <w:t xml:space="preserve">Сроки вылета бригад с момента поступления заявок: на вертолете Ми-8 - в летнее время не более 30 минут, зимнее время - не более 60 минут, на самолете - не более 60 минут.</w:t>
      </w:r>
    </w:p>
    <w:p>
      <w:pPr>
        <w:pStyle w:val="0"/>
        <w:spacing w:before="200" w:line-rule="auto"/>
        <w:ind w:firstLine="540"/>
        <w:jc w:val="both"/>
      </w:pPr>
      <w:r>
        <w:rPr>
          <w:sz w:val="20"/>
        </w:rPr>
        <w:t xml:space="preserve">При поступлении вызова от населения и должностных лиц фельдшерско-акушерских пунктов, врачебных амбулаторий, участковых больниц на оказание скорой, в том числе скорой специализированной, медицинской помощи диспетчер по приему вызовов направляет выездные бригады по месту вызова, информирует заведующего (дежурного врача) отделения соответствующего профиля ближайшей больницы, расположенной внутри медицинской зоны, куда планируется госпитализация пациента. В период подготовки воздушного судна к вылету согласовываются вопросы, связанные с госпитализацией.</w:t>
      </w:r>
    </w:p>
    <w:p>
      <w:pPr>
        <w:pStyle w:val="0"/>
        <w:spacing w:before="200" w:line-rule="auto"/>
        <w:ind w:firstLine="540"/>
        <w:jc w:val="both"/>
      </w:pPr>
      <w:r>
        <w:rPr>
          <w:sz w:val="20"/>
        </w:rPr>
        <w:t xml:space="preserve">Для реализации мероприятий по формированию здорового образа жизни сформирована система медицинской профилактики, включающая бюджетное учреждение автономного округа "Центр общественного здоровья и медицинской профилактики" с 3 филиалами в городах Сургут, Нижневартовск и Нефтеюганск. Кроме того, в автономном округе функционирует 3 центра здоровья для детского населения в городах Сургут, Нижневартовск и Нефтеюганск.</w:t>
      </w:r>
    </w:p>
    <w:p>
      <w:pPr>
        <w:pStyle w:val="0"/>
        <w:spacing w:before="200" w:line-rule="auto"/>
        <w:ind w:firstLine="540"/>
        <w:jc w:val="both"/>
      </w:pPr>
      <w:r>
        <w:rPr>
          <w:sz w:val="20"/>
        </w:rPr>
        <w:t xml:space="preserve">В реализации мероприятий по снижению младенческой и детской смертности от внешних причин, работе с законными представителями в части информирования их о рисках смертности от внешних причин, по профилактике жестокого обращения с детьми и работе с семьями социального риска в условиях межведомственного взаимодействия принимают участие также специалисты организаций социального обслуживания автономного округа, образовательных организаций автономного округа, муниципальных комиссий по делам несовершеннолетних и защите их прав автономного округа, Главного управления МЧС России по автономному округу, УГИБДД УМВД России по автономному округу.</w:t>
      </w:r>
    </w:p>
    <w:p>
      <w:pPr>
        <w:pStyle w:val="0"/>
        <w:jc w:val="center"/>
      </w:pPr>
      <w:r>
        <w:rPr>
          <w:sz w:val="20"/>
        </w:rPr>
      </w:r>
    </w:p>
    <w:p>
      <w:pPr>
        <w:pStyle w:val="2"/>
        <w:outlineLvl w:val="3"/>
        <w:jc w:val="center"/>
      </w:pPr>
      <w:r>
        <w:rPr>
          <w:sz w:val="20"/>
        </w:rPr>
        <w:t xml:space="preserve">2.4.1. Реализуемые в автономном округе мероприятия</w:t>
      </w:r>
    </w:p>
    <w:p>
      <w:pPr>
        <w:pStyle w:val="2"/>
        <w:jc w:val="center"/>
      </w:pPr>
      <w:r>
        <w:rPr>
          <w:sz w:val="20"/>
        </w:rPr>
        <w:t xml:space="preserve">по профилактике детской смертности от внешних причин</w:t>
      </w:r>
    </w:p>
    <w:p>
      <w:pPr>
        <w:pStyle w:val="0"/>
        <w:ind w:firstLine="540"/>
        <w:jc w:val="both"/>
      </w:pPr>
      <w:r>
        <w:rPr>
          <w:sz w:val="20"/>
        </w:rPr>
      </w:r>
    </w:p>
    <w:p>
      <w:pPr>
        <w:pStyle w:val="0"/>
        <w:ind w:firstLine="540"/>
        <w:jc w:val="both"/>
      </w:pPr>
      <w:r>
        <w:rPr>
          <w:sz w:val="20"/>
        </w:rPr>
        <w:t xml:space="preserve">1. Обеспечение несовершеннолетних, подвергшихся воздействию внешних причин (травмы, отравления, утопления, асфиксия и т.д.), медицинской помощью в соответствии с имеющимися медицинскими показаниями.</w:t>
      </w:r>
    </w:p>
    <w:p>
      <w:pPr>
        <w:pStyle w:val="0"/>
        <w:spacing w:before="200" w:line-rule="auto"/>
        <w:ind w:firstLine="540"/>
        <w:jc w:val="both"/>
      </w:pPr>
      <w:r>
        <w:rPr>
          <w:sz w:val="20"/>
        </w:rPr>
        <w:t xml:space="preserve">В структуре бюджетного учреждения автономного округа "Нижневартовская окружная клиническая детская больница" работают 13 специализированных отделений круглосуточного стационара на 430 коек хирургического и педиатрического профиля, отделение анестезиологии и реанимации на 18 коек с блоком эфферентных методов лечения, дневной стационар на 15 коек, консультативно-диагностический центр для детей на 150 посещений, центр амбулаторного диализа, реанимационно-консультативный центр, травмпункт, отделение выездной патронажной паллиативной медицинской помощи детям, другие диагностические и вспомогательные подразделения.</w:t>
      </w:r>
    </w:p>
    <w:p>
      <w:pPr>
        <w:pStyle w:val="0"/>
        <w:spacing w:before="200" w:line-rule="auto"/>
        <w:ind w:firstLine="540"/>
        <w:jc w:val="both"/>
      </w:pPr>
      <w:r>
        <w:rPr>
          <w:sz w:val="20"/>
        </w:rPr>
        <w:t xml:space="preserve">Так, в 2022 году специалисты оказали телемедицинские консультации медицинским организациям автономного округа первого и второго уровней в отношении более 2 900 детей, 848 детей получили консультации на федеральном уровне.</w:t>
      </w:r>
    </w:p>
    <w:p>
      <w:pPr>
        <w:pStyle w:val="0"/>
        <w:spacing w:before="200" w:line-rule="auto"/>
        <w:ind w:firstLine="540"/>
        <w:jc w:val="both"/>
      </w:pPr>
      <w:r>
        <w:rPr>
          <w:sz w:val="20"/>
        </w:rPr>
        <w:t xml:space="preserve">В условиях круглосуточного стационара специализированную медицинскую помощь получили 12 952 ребенка (в 2021 году - 10 547 детей, в 2020 году - 10 628 детей). Госпитализаций детей из отдаленных территорий автономного округа - 51,1% (в 2021 году - 52,8%, в 2020 году - 47,8%).</w:t>
      </w:r>
    </w:p>
    <w:p>
      <w:pPr>
        <w:pStyle w:val="0"/>
        <w:spacing w:before="200" w:line-rule="auto"/>
        <w:ind w:firstLine="540"/>
        <w:jc w:val="both"/>
      </w:pPr>
      <w:r>
        <w:rPr>
          <w:sz w:val="20"/>
        </w:rPr>
        <w:t xml:space="preserve">В реанимационно-консультативном центре в 2022 году под динамическим наблюдением специалистов пребывали 446 детей, находящихся в тяжелом состоянии в медицинских организациях автономного округа, в 2021 году - 775 детей, в 2020 - 732 детей. Специалисты в круглосуточном режиме осуществляют консультирование "тяжелых" пациентов.</w:t>
      </w:r>
    </w:p>
    <w:p>
      <w:pPr>
        <w:pStyle w:val="0"/>
        <w:spacing w:before="200" w:line-rule="auto"/>
        <w:ind w:firstLine="540"/>
        <w:jc w:val="both"/>
      </w:pPr>
      <w:r>
        <w:rPr>
          <w:sz w:val="20"/>
        </w:rPr>
        <w:t xml:space="preserve">Выполнено более 225 выездов реанимационной бригады для очных консультаций и транспортировки детей в медицинские организации третьего уровня.</w:t>
      </w:r>
    </w:p>
    <w:p>
      <w:pPr>
        <w:pStyle w:val="0"/>
        <w:spacing w:before="200" w:line-rule="auto"/>
        <w:ind w:firstLine="540"/>
        <w:jc w:val="both"/>
      </w:pPr>
      <w:r>
        <w:rPr>
          <w:sz w:val="20"/>
        </w:rPr>
        <w:t xml:space="preserve">2. Реализация мероприятий, направленных на профилактику совершения несовершеннолетними суицидальных попыток.</w:t>
      </w:r>
    </w:p>
    <w:p>
      <w:pPr>
        <w:pStyle w:val="0"/>
        <w:spacing w:before="200" w:line-rule="auto"/>
        <w:ind w:firstLine="540"/>
        <w:jc w:val="both"/>
      </w:pPr>
      <w:r>
        <w:rPr>
          <w:sz w:val="20"/>
        </w:rPr>
        <w:t xml:space="preserve">Организована работа единой службы "Телефон доверия": 8-800-101-12-12, 8-800-101-12-00, единой службы "Детский телефон доверия": 8-800-200-01-22. По указанным телефонам оказывается бесплатно, анонимно, круглосуточно социально-психологическая помощь гражданам, оказавшимся в кризисной ситуации.</w:t>
      </w:r>
    </w:p>
    <w:p>
      <w:pPr>
        <w:pStyle w:val="0"/>
        <w:spacing w:before="200" w:line-rule="auto"/>
        <w:ind w:firstLine="540"/>
        <w:jc w:val="both"/>
      </w:pPr>
      <w:r>
        <w:rPr>
          <w:sz w:val="20"/>
        </w:rPr>
        <w:t xml:space="preserve">В 2022 году "Телефон доверия" принял 7 476 звонков (что на 3,6% меньше чем в 2021 году, 7 758 звонков): из них от несовершеннолетних - 248 обращений.</w:t>
      </w:r>
    </w:p>
    <w:p>
      <w:pPr>
        <w:pStyle w:val="0"/>
        <w:spacing w:before="200" w:line-rule="auto"/>
        <w:ind w:firstLine="540"/>
        <w:jc w:val="both"/>
      </w:pPr>
      <w:r>
        <w:rPr>
          <w:sz w:val="20"/>
        </w:rPr>
        <w:t xml:space="preserve">В 2022 году в медицинских организациях автономного округа специалистами кабинетов медико-психологического консультирования приняты 1 857 граждан. Из них консультации несовершеннолетних составили 34% (632 человека), что на 14,1% меньше аналогичного периода 2021 года (736 человек).</w:t>
      </w:r>
    </w:p>
    <w:p>
      <w:pPr>
        <w:pStyle w:val="0"/>
        <w:spacing w:before="200" w:line-rule="auto"/>
        <w:ind w:firstLine="540"/>
        <w:jc w:val="both"/>
      </w:pPr>
      <w:r>
        <w:rPr>
          <w:sz w:val="20"/>
        </w:rPr>
        <w:t xml:space="preserve">Анализ социального статуса обратившихся за психологической помощью показывает, что самыми активными были студенты высших и средних специальных учебных заведений, они составили 40,5%. Группа рабочих и служащих составила 39,6% от всех обращений. Доля лиц, являющихся безработными, - 10,6%. Доля пенсионеров, обратившихся к помощи психологов, - 9,3%.</w:t>
      </w:r>
    </w:p>
    <w:p>
      <w:pPr>
        <w:pStyle w:val="0"/>
        <w:spacing w:before="200" w:line-rule="auto"/>
        <w:ind w:firstLine="540"/>
        <w:jc w:val="both"/>
      </w:pPr>
      <w:r>
        <w:rPr>
          <w:sz w:val="20"/>
        </w:rPr>
        <w:t xml:space="preserve">Основной причиной обращения за консультативной помощью психические расстройства - 61,8%. На втором месте стала проблема внутрисемейных отношений - 27%. Неудовлетворенность работой - 7,7% от всех обратившихся, проблемы с учебой у несовершеннолетних - 3%.</w:t>
      </w:r>
    </w:p>
    <w:p>
      <w:pPr>
        <w:pStyle w:val="0"/>
        <w:spacing w:before="200" w:line-rule="auto"/>
        <w:ind w:firstLine="540"/>
        <w:jc w:val="both"/>
      </w:pPr>
      <w:r>
        <w:rPr>
          <w:sz w:val="20"/>
        </w:rPr>
        <w:t xml:space="preserve">С целью снижения смертности от суицидов, разработки комплекса профилактических мероприятий, ранней диагностики и своевременной специализированной помощи при аутоагрессивных нарушениях населению автономного округа Департаментом здравоохранения автономного округа издан приказ от 17 марта 2022 года N 478 "О совершенствовании кризисной помощи в Ханты-Мансийском автономном округе - Югре", которым регламентирована работа Центра суицидальной превенции на базе бюджетного учреждения автономного округа "Ханты-Мансийская клиническая психоневрологическая больница".</w:t>
      </w:r>
    </w:p>
    <w:p>
      <w:pPr>
        <w:pStyle w:val="0"/>
        <w:spacing w:before="200" w:line-rule="auto"/>
        <w:ind w:firstLine="540"/>
        <w:jc w:val="both"/>
      </w:pPr>
      <w:r>
        <w:rPr>
          <w:sz w:val="20"/>
        </w:rPr>
        <w:t xml:space="preserve">Основными направлениями его работы являются:</w:t>
      </w:r>
    </w:p>
    <w:p>
      <w:pPr>
        <w:pStyle w:val="0"/>
        <w:spacing w:before="200" w:line-rule="auto"/>
        <w:ind w:firstLine="540"/>
        <w:jc w:val="both"/>
      </w:pPr>
      <w:r>
        <w:rPr>
          <w:sz w:val="20"/>
        </w:rPr>
        <w:t xml:space="preserve">создание специализированной системы регистрации и учета суицидальной активности в автономном округе;</w:t>
      </w:r>
    </w:p>
    <w:p>
      <w:pPr>
        <w:pStyle w:val="0"/>
        <w:spacing w:before="200" w:line-rule="auto"/>
        <w:ind w:firstLine="540"/>
        <w:jc w:val="both"/>
      </w:pPr>
      <w:r>
        <w:rPr>
          <w:sz w:val="20"/>
        </w:rPr>
        <w:t xml:space="preserve">ведение талона уточненной регистрации суицидальной попытки;</w:t>
      </w:r>
    </w:p>
    <w:p>
      <w:pPr>
        <w:pStyle w:val="0"/>
        <w:spacing w:before="200" w:line-rule="auto"/>
        <w:ind w:firstLine="540"/>
        <w:jc w:val="both"/>
      </w:pPr>
      <w:r>
        <w:rPr>
          <w:sz w:val="20"/>
        </w:rPr>
        <w:t xml:space="preserve">ведение экспертной карты оценки качества оказания медицинской помощи на лиц, совершивших суицидальную попытку либо завершенный суицид;</w:t>
      </w:r>
    </w:p>
    <w:p>
      <w:pPr>
        <w:pStyle w:val="0"/>
        <w:spacing w:before="200" w:line-rule="auto"/>
        <w:ind w:firstLine="540"/>
        <w:jc w:val="both"/>
      </w:pPr>
      <w:r>
        <w:rPr>
          <w:sz w:val="20"/>
        </w:rPr>
        <w:t xml:space="preserve">организация работы комиссии по разбору случаев суицидов;</w:t>
      </w:r>
    </w:p>
    <w:p>
      <w:pPr>
        <w:pStyle w:val="0"/>
        <w:spacing w:before="200" w:line-rule="auto"/>
        <w:ind w:firstLine="540"/>
        <w:jc w:val="both"/>
      </w:pPr>
      <w:r>
        <w:rPr>
          <w:sz w:val="20"/>
        </w:rPr>
        <w:t xml:space="preserve">организация координирующей деятельности по своевременному распознаванию и купированию кризисных состояний, проведению профилактической работы с населением; разработка современных форм профилактики и реализация мероприятий, направленных на профилактику суицидов.</w:t>
      </w:r>
    </w:p>
    <w:p>
      <w:pPr>
        <w:pStyle w:val="0"/>
        <w:spacing w:before="200" w:line-rule="auto"/>
        <w:ind w:firstLine="540"/>
        <w:jc w:val="both"/>
      </w:pPr>
      <w:r>
        <w:rPr>
          <w:sz w:val="20"/>
        </w:rPr>
        <w:t xml:space="preserve">Обеспечение межведомственного взаимодействия субъектов, участвующих в профилактике суицидального поведения несовершеннолетних.</w:t>
      </w:r>
    </w:p>
    <w:p>
      <w:pPr>
        <w:pStyle w:val="0"/>
        <w:spacing w:before="200" w:line-rule="auto"/>
        <w:ind w:firstLine="540"/>
        <w:jc w:val="both"/>
      </w:pPr>
      <w:r>
        <w:rPr>
          <w:sz w:val="20"/>
        </w:rPr>
        <w:t xml:space="preserve">Приказом Департамента здравоохранения автономного округа, Департамента образования и молодежной политики автономного округа от 18 февраля 2021 года N 213/10-п-225 "Об утверждении комплекса профилактических мероприятий, направленных на повышение стрессоустойчивости несовершеннолетних, в Ханты-Мансийском автономном округе - Югре на 2021 - 2023 годы" утвержден комплекс профилактических мероприятий, направленных на повышение стрессоустойчивости несовершеннолетних на 2021 - 2023 годы, алгоритм взаимодействия специалистов медицинских и образовательных организаций при проведении таких мероприятий. Руководители медицинских организаций, участвующих в таких мероприятиях, оказывают содействие общеобразовательным организациям автономного округа в проведении профилактических мероприятий, а также комплексную медико-психологическую помощь несовершеннолетним, нуждающимся в консультации врачей-специалистов (врача-психиатра, врача-психотерапевта, медицинского психолога).</w:t>
      </w:r>
    </w:p>
    <w:p>
      <w:pPr>
        <w:pStyle w:val="0"/>
        <w:spacing w:before="200" w:line-rule="auto"/>
        <w:ind w:firstLine="540"/>
        <w:jc w:val="both"/>
      </w:pPr>
      <w:r>
        <w:rPr>
          <w:sz w:val="20"/>
        </w:rPr>
        <w:t xml:space="preserve">По данным за 2022 - 2023 учебный год количество обучающихся с высоким уровнем тревожности составило 268 человек, 122 обучающихся с выявленными суицидальными намерениями. Нуждающимся детям оказана медицинская помощь.</w:t>
      </w:r>
    </w:p>
    <w:p>
      <w:pPr>
        <w:pStyle w:val="0"/>
        <w:spacing w:before="200" w:line-rule="auto"/>
        <w:ind w:firstLine="540"/>
        <w:jc w:val="both"/>
      </w:pPr>
      <w:r>
        <w:rPr>
          <w:sz w:val="20"/>
        </w:rPr>
        <w:t xml:space="preserve">3. Реализация мероприятий, направленных на профилактику и раннее выявление незаконного потребления наркотических средств и психотропных веществ.</w:t>
      </w:r>
    </w:p>
    <w:p>
      <w:pPr>
        <w:pStyle w:val="0"/>
        <w:spacing w:before="200" w:line-rule="auto"/>
        <w:ind w:firstLine="540"/>
        <w:jc w:val="both"/>
      </w:pPr>
      <w:r>
        <w:rPr>
          <w:sz w:val="20"/>
        </w:rPr>
        <w:t xml:space="preserve">Меры, направленные на профилактику и снижение потребления психоактивных веществ среди несовершеннолетних и молодежи, обеспечиваются путем проведения мероприятий, направленных на информирование о факторах риска для их здоровья, формирование мотивации к ведению здорового образа жизни и создание условий для ведения здорового образа жизни.</w:t>
      </w:r>
    </w:p>
    <w:p>
      <w:pPr>
        <w:pStyle w:val="0"/>
        <w:spacing w:before="200" w:line-rule="auto"/>
        <w:ind w:firstLine="540"/>
        <w:jc w:val="both"/>
      </w:pPr>
      <w:r>
        <w:rPr>
          <w:sz w:val="20"/>
        </w:rPr>
        <w:t xml:space="preserve">Эту деятельность осуществляет окружной Центр медицинской профилактики и общественного здоровья совместно с медицинскими организациями, оказывающими специализированную медицинскую помощь по профилю "психиатрия-наркология", а также медицинские организации системы здравоохранения автономного округа в межведомственном взаимодействии с образовательными, социальными организациями автономного округа, муниципальными комиссиями по делам несовершеннолетних и защите их прав.</w:t>
      </w:r>
    </w:p>
    <w:p>
      <w:pPr>
        <w:pStyle w:val="0"/>
        <w:spacing w:before="200" w:line-rule="auto"/>
        <w:ind w:firstLine="540"/>
        <w:jc w:val="both"/>
      </w:pPr>
      <w:r>
        <w:rPr>
          <w:sz w:val="20"/>
        </w:rPr>
        <w:t xml:space="preserve">Система оказания наркологической помощи несовершеннолетним в автономном округе выстроена по зональному принципу с учетом транспортной доступности и представлена 5 государственными специализированными медицинскими организациями - психоневрологическими больницами (города Ханты-Мансийск, Сургут, Нижневартовск, Мегион, Советский), также медицинская помощь оказывается на базе поликлинических отделений многопрофильных медицинских организаций.</w:t>
      </w:r>
    </w:p>
    <w:p>
      <w:pPr>
        <w:pStyle w:val="0"/>
        <w:spacing w:before="200" w:line-rule="auto"/>
        <w:ind w:firstLine="540"/>
        <w:jc w:val="both"/>
      </w:pPr>
      <w:r>
        <w:rPr>
          <w:sz w:val="20"/>
        </w:rPr>
        <w:t xml:space="preserve">В медицинских организациях автономного округа развернуто 52 койки для оказания медицинской помощи при психических и наркологических расстройствах несовершеннолетних (30 коек - бюджетное учреждение автономного округа "Сургутская клиническая психоневрологическая больница", 22 койки - бюджетное учреждение автономного округа "Советская психоневрологическая больница").</w:t>
      </w:r>
    </w:p>
    <w:p>
      <w:pPr>
        <w:pStyle w:val="0"/>
        <w:spacing w:before="200" w:line-rule="auto"/>
        <w:ind w:firstLine="540"/>
        <w:jc w:val="both"/>
      </w:pPr>
      <w:r>
        <w:rPr>
          <w:sz w:val="20"/>
        </w:rPr>
        <w:t xml:space="preserve">При оказании медицинской помощи несовершеннолетним по профилю "психиатрия-наркология" проводятся лечебно-реабилитационные мероприятия по медицинским показаниям, после прохождения медицинского этапа несовершеннолетним в большей степени требуется социальная реабилитация и мероприятия по образовательной деятельности, т.е. абилитационно-реабилитационные мероприятия в системе образования и социального развития населения. Реализуются обучающие программы (групповые и индивидуальные занятия); программы психокоррекции; занятия спортом и творчеством; профессионального обучения; образования и воспитания; трудовой деятельности.</w:t>
      </w:r>
    </w:p>
    <w:p>
      <w:pPr>
        <w:pStyle w:val="0"/>
        <w:spacing w:before="200" w:line-rule="auto"/>
        <w:ind w:firstLine="540"/>
        <w:jc w:val="both"/>
      </w:pPr>
      <w:r>
        <w:rPr>
          <w:sz w:val="20"/>
        </w:rPr>
        <w:t xml:space="preserve">Основными мероприятиями межведомственного взаимодействия с учреждениями образования являются:</w:t>
      </w:r>
    </w:p>
    <w:p>
      <w:pPr>
        <w:pStyle w:val="0"/>
        <w:spacing w:before="200" w:line-rule="auto"/>
        <w:ind w:firstLine="540"/>
        <w:jc w:val="both"/>
      </w:pPr>
      <w:r>
        <w:rPr>
          <w:sz w:val="20"/>
        </w:rPr>
        <w:t xml:space="preserve">мотивационные и семейные консультирования лиц группы риска по направлению образовательных учреждений; включающие в себя консультирование полипрофессиональными бригадами (врач - психиатр-нарколог, медицинский психолог, специалист по социальной работе и иные медицинские специалисты, привлекаемые по мере необходимости) детей, молодежи и их родителей по вопросам наркологических расстройств;</w:t>
      </w:r>
    </w:p>
    <w:p>
      <w:pPr>
        <w:pStyle w:val="0"/>
        <w:spacing w:before="200" w:line-rule="auto"/>
        <w:ind w:firstLine="540"/>
        <w:jc w:val="both"/>
      </w:pPr>
      <w:r>
        <w:rPr>
          <w:sz w:val="20"/>
        </w:rPr>
        <w:t xml:space="preserve">обучающие тренинги по формированию мотивации отказа от потребления психоактивных веществ; организация волонтерской деятельности: создано волонтерское объединение "Будь здоров", внесенное в феврале 2015 года в реестр окружных общественных детских и молодежных организаций и объединений. В него входят учащиеся общеобразовательных школ, студенты среднего профессионального образования, высших учебных заведений. Волонтеры при медицинских организациях автономного округа участвуют в массовых мероприятиях, акциях, передают информацию профилактической направленности по принципу "равный равному", пропагандируют здоровый образ жизни в среде сверстников;</w:t>
      </w:r>
    </w:p>
    <w:p>
      <w:pPr>
        <w:pStyle w:val="0"/>
        <w:spacing w:before="200" w:line-rule="auto"/>
        <w:ind w:firstLine="540"/>
        <w:jc w:val="both"/>
      </w:pPr>
      <w:r>
        <w:rPr>
          <w:sz w:val="20"/>
        </w:rPr>
        <w:t xml:space="preserve">информационно-методическое обеспечение профилактической работы в системе образования (буклеты, методические рекомендации и пособия, лекции и другие формы работы).</w:t>
      </w:r>
    </w:p>
    <w:p>
      <w:pPr>
        <w:pStyle w:val="0"/>
        <w:spacing w:before="200" w:line-rule="auto"/>
        <w:ind w:firstLine="540"/>
        <w:jc w:val="both"/>
      </w:pPr>
      <w:r>
        <w:rPr>
          <w:sz w:val="20"/>
        </w:rPr>
        <w:t xml:space="preserve">Также следует отметить, что взаимодействие системы здравоохранения с системой образования в соответствии с современной нормативной базой включает раннее выявление незаконного потребления наркотических средств и психотропных веществ среди обучающихся. Оно содержит следующие мероприятия: проведение социально-психологического тестирования обучающихся системой образования и профилактических медицинских осмотров обучающихся системой здравоохранения.</w:t>
      </w:r>
    </w:p>
    <w:p>
      <w:pPr>
        <w:pStyle w:val="0"/>
        <w:spacing w:before="200" w:line-rule="auto"/>
        <w:ind w:firstLine="540"/>
        <w:jc w:val="both"/>
      </w:pPr>
      <w:r>
        <w:rPr>
          <w:sz w:val="20"/>
        </w:rPr>
        <w:t xml:space="preserve">По результатам социально-психологического тестирования в 2021 - 2022 учебном году профилактическим медицинским осмотрам подлежали 919 человек - группа рискогенного поведения, в отношении которых составлены календарные планы прохождения профилактических медицинских осмотров. Охвачены профилактическими медицинскими осмотрами 634 человек (69,0%) от числа обучающихся из группы рискогенного поведения.</w:t>
      </w:r>
    </w:p>
    <w:p>
      <w:pPr>
        <w:pStyle w:val="0"/>
        <w:spacing w:before="200" w:line-rule="auto"/>
        <w:ind w:firstLine="540"/>
        <w:jc w:val="both"/>
      </w:pPr>
      <w:r>
        <w:rPr>
          <w:sz w:val="20"/>
        </w:rPr>
        <w:t xml:space="preserve">При этом количество обучающихся, не прошедших профилактические медицинские осмотры по уважительным причинам, составило 27 человек (2,9%). Отказались от прохождения профилактических медицинских осмотров 258 человек (28,1%).</w:t>
      </w:r>
    </w:p>
    <w:p>
      <w:pPr>
        <w:pStyle w:val="0"/>
        <w:spacing w:before="200" w:line-rule="auto"/>
        <w:ind w:firstLine="540"/>
        <w:jc w:val="both"/>
      </w:pPr>
      <w:r>
        <w:rPr>
          <w:sz w:val="20"/>
        </w:rPr>
        <w:t xml:space="preserve">Из числа прошедших профилактические медицинские осмотры в 2 случаях (0,3%) на этапе подтверждающих химико-токсикологических исследованиях выявлено потребление нескольких наркотических средств - 1 случай, барбитуратов - 1 случай. В обоих случаях проведена профилактическая беседа, в 1 случае получен отказ от наблюдения у врача - психиатра-нарколога, наблюдается врачом-психиатром по коморбидности психического состояния, в другом случае обучающийся получил профильное лечение у врача-психотерапевта, в наблюдении врача - психиатра-нарколога не нуждается.</w:t>
      </w:r>
    </w:p>
    <w:p>
      <w:pPr>
        <w:pStyle w:val="0"/>
        <w:spacing w:before="200" w:line-rule="auto"/>
        <w:ind w:firstLine="540"/>
        <w:jc w:val="both"/>
      </w:pPr>
      <w:r>
        <w:rPr>
          <w:sz w:val="20"/>
        </w:rPr>
        <w:t xml:space="preserve">При проведении профилактического медицинского осмотра с каждым тестируемым проводилась разъяснительная работа по вопросам потребления психоактивных веществ и ведению здорового образа жизни.</w:t>
      </w:r>
    </w:p>
    <w:p>
      <w:pPr>
        <w:pStyle w:val="0"/>
        <w:spacing w:before="200" w:line-rule="auto"/>
        <w:ind w:firstLine="540"/>
        <w:jc w:val="both"/>
      </w:pPr>
      <w:r>
        <w:rPr>
          <w:sz w:val="20"/>
        </w:rPr>
        <w:t xml:space="preserve">Основными направлениями, реализуемыми системой здравоохранения автономного округа в условиях профилактики и снижения потребления психоактивных веществ среди несовершеннолетних и молодежи на принципах здорового образа жизни, являются:</w:t>
      </w:r>
    </w:p>
    <w:p>
      <w:pPr>
        <w:pStyle w:val="0"/>
        <w:spacing w:before="200" w:line-rule="auto"/>
        <w:ind w:firstLine="540"/>
        <w:jc w:val="both"/>
      </w:pPr>
      <w:r>
        <w:rPr>
          <w:sz w:val="20"/>
        </w:rPr>
        <w:t xml:space="preserve">повышение уровня осведомленности населения о негативных последствиях потребления психоактивных веществ;</w:t>
      </w:r>
    </w:p>
    <w:p>
      <w:pPr>
        <w:pStyle w:val="0"/>
        <w:spacing w:before="200" w:line-rule="auto"/>
        <w:ind w:firstLine="540"/>
        <w:jc w:val="both"/>
      </w:pPr>
      <w:r>
        <w:rPr>
          <w:sz w:val="20"/>
        </w:rPr>
        <w:t xml:space="preserve">развитие системы раннего выявления потребителей наркотических средств и психотропных веществ;</w:t>
      </w:r>
    </w:p>
    <w:p>
      <w:pPr>
        <w:pStyle w:val="0"/>
        <w:spacing w:before="200" w:line-rule="auto"/>
        <w:ind w:firstLine="540"/>
        <w:jc w:val="both"/>
      </w:pPr>
      <w:r>
        <w:rPr>
          <w:sz w:val="20"/>
        </w:rPr>
        <w:t xml:space="preserve">организация и проведение профилактических мероприятий с группами риска возникновения наркологических заболеваний;</w:t>
      </w:r>
    </w:p>
    <w:p>
      <w:pPr>
        <w:pStyle w:val="0"/>
        <w:spacing w:before="200" w:line-rule="auto"/>
        <w:ind w:firstLine="540"/>
        <w:jc w:val="both"/>
      </w:pPr>
      <w:r>
        <w:rPr>
          <w:sz w:val="20"/>
        </w:rPr>
        <w:t xml:space="preserve">организация профилактической работы в организованных (образовательных) коллективах;</w:t>
      </w:r>
    </w:p>
    <w:p>
      <w:pPr>
        <w:pStyle w:val="0"/>
        <w:spacing w:before="200" w:line-rule="auto"/>
        <w:ind w:firstLine="540"/>
        <w:jc w:val="both"/>
      </w:pPr>
      <w:r>
        <w:rPr>
          <w:sz w:val="20"/>
        </w:rPr>
        <w:t xml:space="preserve">формирование навыков здорового образа жизни.</w:t>
      </w:r>
    </w:p>
    <w:p>
      <w:pPr>
        <w:pStyle w:val="0"/>
        <w:spacing w:before="200" w:line-rule="auto"/>
        <w:ind w:firstLine="540"/>
        <w:jc w:val="both"/>
      </w:pPr>
      <w:r>
        <w:rPr>
          <w:sz w:val="20"/>
        </w:rPr>
        <w:t xml:space="preserve">4. Реализация мероприятий по работе с законными представителями несовершеннолетних в части информирования их о рисках детской смертности от внешних причин, о профилактике жестокого обращения с детьми и работе с семьями социального риска.</w:t>
      </w:r>
    </w:p>
    <w:p>
      <w:pPr>
        <w:pStyle w:val="0"/>
        <w:spacing w:before="200" w:line-rule="auto"/>
        <w:ind w:firstLine="540"/>
        <w:jc w:val="both"/>
      </w:pPr>
      <w:r>
        <w:rPr>
          <w:sz w:val="20"/>
        </w:rPr>
        <w:t xml:space="preserve">В медицинских организациях автономного округа при выписке новорожденного выдается памятка родителям по профилактике детской смертности. На занятиях в школах беременных и молодых матерей проводится разъяснительная работа по профилактике младенческой смертности от внешних причин.</w:t>
      </w:r>
    </w:p>
    <w:p>
      <w:pPr>
        <w:pStyle w:val="0"/>
        <w:spacing w:before="200" w:line-rule="auto"/>
        <w:ind w:firstLine="540"/>
        <w:jc w:val="both"/>
      </w:pPr>
      <w:r>
        <w:rPr>
          <w:sz w:val="20"/>
        </w:rPr>
        <w:t xml:space="preserve">Ежегодно проводится информационная кампания по профилактике детского травматизма (распространение информации в СМИ, наглядного печатного материала (лифлеты, брошюры, листовки, памятки), тематические лекции, беседы с несовершеннолетними, показы видеофильмов, учебно-профилактических фильмов по пропаганде здорового образа жизни.</w:t>
      </w:r>
    </w:p>
    <w:p>
      <w:pPr>
        <w:pStyle w:val="0"/>
        <w:spacing w:before="200" w:line-rule="auto"/>
        <w:ind w:firstLine="540"/>
        <w:jc w:val="both"/>
      </w:pPr>
      <w:r>
        <w:rPr>
          <w:sz w:val="20"/>
        </w:rPr>
        <w:t xml:space="preserve">Главным внештатным специалистом-педиатром Департамента здравоохранения автономного округа разработаны и направлены в адрес медицинских организаций методические материалы по профилактике детской смертности для проведения ими информационной кампании.</w:t>
      </w:r>
    </w:p>
    <w:p>
      <w:pPr>
        <w:pStyle w:val="0"/>
        <w:spacing w:before="200" w:line-rule="auto"/>
        <w:ind w:firstLine="540"/>
        <w:jc w:val="both"/>
      </w:pPr>
      <w:r>
        <w:rPr>
          <w:sz w:val="20"/>
        </w:rPr>
        <w:t xml:space="preserve">В медицинских организациях автономного округа профилактическая работа с несовершеннолетними и семьями, находящимися в социально опасном положении и иной трудной жизненной ситуации, осуществляется в соответствии с </w:t>
      </w:r>
      <w:hyperlink w:history="0" r:id="rId264" w:tooltip="Приказ Минздравсоцразвития России от 16.04.2012 N 366н (ред. от 21.02.2020) &quot;Об утверждении Порядка оказания педиатрической помощи&quot; (Зарегистрировано в Минюсте России 29.05.2012 N 24361) {КонсультантПлюс}">
        <w:r>
          <w:rPr>
            <w:sz w:val="20"/>
            <w:color w:val="0000ff"/>
          </w:rPr>
          <w:t xml:space="preserve">приказом</w:t>
        </w:r>
      </w:hyperlink>
      <w:r>
        <w:rPr>
          <w:sz w:val="20"/>
        </w:rPr>
        <w:t xml:space="preserve"> Министерства здравоохранения и социального развития Российской Федерации от 16 апреля 2012 года N 366н "Об утверждении Порядка оказания педиатрической помощи", </w:t>
      </w:r>
      <w:hyperlink w:history="0" r:id="rId265" w:tooltip="Приказ Минздрава России от 07.03.2018 N 92н &quot;Об утверждении Положения об организации оказания первичной медико-санитарной помощи детям&quot; (Зарегистрировано в Минюсте России 17.04.2018 N 50801) {КонсультантПлюс}">
        <w:r>
          <w:rPr>
            <w:sz w:val="20"/>
            <w:color w:val="0000ff"/>
          </w:rPr>
          <w:t xml:space="preserve">приказом</w:t>
        </w:r>
      </w:hyperlink>
      <w:r>
        <w:rPr>
          <w:sz w:val="20"/>
        </w:rPr>
        <w:t xml:space="preserve"> Министерства здравоохранения Российской Федерации от 7 марта 2018 года N 92н "Об утверждении Положения об организации оказания первичной медико-санитарной помощи детям", приказом Департамента здравоохранения автономного округа от 10 мая 2023 года N 698 "О порядке действий медицинских организаций Ханты-Мансийского автономного округа - Югры по выявлению, учету и организации индивидуальной профилактической работы с несовершеннолетними и семьями, находящимися в социально опасном положении и иной трудной жизненной ситуации".</w:t>
      </w:r>
    </w:p>
    <w:p>
      <w:pPr>
        <w:pStyle w:val="0"/>
        <w:spacing w:before="200" w:line-rule="auto"/>
        <w:ind w:firstLine="540"/>
        <w:jc w:val="both"/>
      </w:pPr>
      <w:r>
        <w:rPr>
          <w:sz w:val="20"/>
        </w:rPr>
        <w:t xml:space="preserve">В соответствии с вышеуказанными документами специалисты медицинских организаций автономного округа передают информацию о детях и семьях, отнесенных к группам социального риска, в отделение медико-социальной помощи медицинской организации (детской поликлиники), органы опеки и попечительства, а также органы и учреждения системы профилактики безнадзорности и правонарушений несовершеннолетних согласно требованиям Федерального </w:t>
      </w:r>
      <w:hyperlink w:history="0" r:id="rId266" w:tooltip="Федеральный закон от 24.06.1999 N 120-ФЗ (ред. от 21.11.2022) &quot;Об основах системы профилактики безнадзорности и правонарушений несовершеннолетних&quot; {КонсультантПлюс}">
        <w:r>
          <w:rPr>
            <w:sz w:val="20"/>
            <w:color w:val="0000ff"/>
          </w:rPr>
          <w:t xml:space="preserve">закона</w:t>
        </w:r>
      </w:hyperlink>
      <w:r>
        <w:rPr>
          <w:sz w:val="20"/>
        </w:rPr>
        <w:t xml:space="preserve"> от 24 июня 1999 года N 120-ФЗ "Об основах системы профилактики безнадзорности и правонарушений несовершеннолетних". Также специалисты медицинских организаций автономного округа оказывают медико-социальную и психологическую помощь детям и семьям, имеющим детей.</w:t>
      </w:r>
    </w:p>
    <w:p>
      <w:pPr>
        <w:pStyle w:val="0"/>
        <w:spacing w:before="200" w:line-rule="auto"/>
        <w:ind w:firstLine="540"/>
        <w:jc w:val="both"/>
      </w:pPr>
      <w:r>
        <w:rPr>
          <w:sz w:val="20"/>
        </w:rPr>
        <w:t xml:space="preserve">Согласно </w:t>
      </w:r>
      <w:hyperlink w:history="0" r:id="rId267" w:tooltip="Приказ Минздрава России от 24.06.2021 N 664н &quot;Об утверждении Порядка информирования медицинскими организациями органов внутренних дел в случаях, установленных пунктом 5 части 4 статьи 13 Федерального закона &quot;Об основах охраны здоровья граждан в Российской Федерации&quot; (Зарегистрировано в Минюсте России 19.08.2021 N 64702) {КонсультантПлюс}">
        <w:r>
          <w:rPr>
            <w:sz w:val="20"/>
            <w:color w:val="0000ff"/>
          </w:rPr>
          <w:t xml:space="preserve">приказу</w:t>
        </w:r>
      </w:hyperlink>
      <w:r>
        <w:rPr>
          <w:sz w:val="20"/>
        </w:rPr>
        <w:t xml:space="preserve"> Министерства здравоохранения Российской Федерации от 24 июня 2021 года N 664н "Об утверждении Порядка информирования медицинскими организациями органов внутренних дел в случаях, установленных </w:t>
      </w:r>
      <w:hyperlink w:history="0" r:id="rId268"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пунктом 5 части 4 статьи 13</w:t>
        </w:r>
      </w:hyperlink>
      <w:r>
        <w:rPr>
          <w:sz w:val="20"/>
        </w:rPr>
        <w:t xml:space="preserve"> Федерального закона "Об основах охраны здоровья граждан в Российской Федерации", приказу Департамента здравоохранения автономного округа от 16 ноября 2021 года N 1811 "Об информировании медицинскими организациями, подведомственными Департаменту здравоохранения Ханты-Мансийского автономного округа - Югры органов и учреждений системы профилактики безнадзорности и правонарушений несовершеннолетних о фактах обращения за медицинской помощью в случае заболевания несовершеннолетнего социально значимой болезнью, а также совершения в отношении несовершеннолетних противоправных деяний, влекущих причинение вреда их здоровью, и иных нарушениях их прав" специалисты медицинских организаций автономного округа передают сведения в территориальные органы Министерства внутренних дел Российской Федерации по месту нахождения медицинской организации о поступлении (обращении) пациентов в случаях наличия у них признаков причинения вреда здоровью в результате совершения противоправных действий.</w:t>
      </w:r>
    </w:p>
    <w:p>
      <w:pPr>
        <w:pStyle w:val="0"/>
        <w:spacing w:before="200" w:line-rule="auto"/>
        <w:ind w:firstLine="540"/>
        <w:jc w:val="both"/>
      </w:pPr>
      <w:r>
        <w:rPr>
          <w:sz w:val="20"/>
        </w:rPr>
        <w:t xml:space="preserve">5. Вовлечение несовершеннолетних в социально позитивную деятельность</w:t>
      </w:r>
    </w:p>
    <w:p>
      <w:pPr>
        <w:pStyle w:val="0"/>
        <w:spacing w:before="200" w:line-rule="auto"/>
        <w:ind w:firstLine="540"/>
        <w:jc w:val="both"/>
      </w:pPr>
      <w:r>
        <w:rPr>
          <w:sz w:val="20"/>
        </w:rPr>
        <w:t xml:space="preserve">С этой целью в соответствии с приказом Департамента здравоохранения автономного округа, Департамента образования и науки автономного округа от 5 апреля 2021 года N 463/455 "О реализации учебно-образовательного проекта "Я могу спасти жизнь!" в медицинских организациях Ханты-Мансийского автономного округа - Югры" специалисты медицинских организаций учат обучающихся старших классов навыкам оказания первой помощи при неотложных состояниях.</w:t>
      </w:r>
    </w:p>
    <w:p>
      <w:pPr>
        <w:pStyle w:val="0"/>
        <w:spacing w:before="200" w:line-rule="auto"/>
        <w:ind w:firstLine="540"/>
        <w:jc w:val="both"/>
      </w:pPr>
      <w:r>
        <w:rPr>
          <w:sz w:val="20"/>
        </w:rPr>
        <w:t xml:space="preserve">Медицинские организации, подведомственные Департаменту здравоохранения автономного округа, при участии волонтеров-медиков Ханты-Мансийского регионального отделения Всероссийского общественного движения "Волонтеры-медики" регулярно реализуются совместные акции и мероприятия.</w:t>
      </w:r>
    </w:p>
    <w:p>
      <w:pPr>
        <w:pStyle w:val="0"/>
        <w:spacing w:before="200" w:line-rule="auto"/>
        <w:ind w:firstLine="540"/>
        <w:jc w:val="both"/>
      </w:pPr>
      <w:r>
        <w:rPr>
          <w:sz w:val="20"/>
        </w:rPr>
        <w:t xml:space="preserve">С 2019 года в автономном округе количество школьных отрядов волонтеров-медиков увеличилось с 18 до 49, местных отделений в составе регионального отделения - с 3 до 8.</w:t>
      </w:r>
    </w:p>
    <w:p>
      <w:pPr>
        <w:pStyle w:val="0"/>
        <w:spacing w:before="200" w:line-rule="auto"/>
        <w:ind w:firstLine="540"/>
        <w:jc w:val="both"/>
      </w:pPr>
      <w:r>
        <w:rPr>
          <w:sz w:val="20"/>
        </w:rPr>
        <w:t xml:space="preserve">Несовершеннолетние в возрасте от 14 до 18 лет и активная молодежь являются как участниками и целевой аудиторией мероприятий, направленных на пропаганду здорового образа жизни, так и лекторами, спикерами и ведущими многих акций, популяризирующих рациональный подход к здоровью и заботу о нем. Обучающиеся средних общеобразовательных школ автономного округа - участники школьных отрядов ВОД "Волонтеры-Медики" являются примером активных граждан, увлеченных волонтерской деятельностью, благодаря чему формируется устойчивое правосознание и неприятие противоправного поведения.</w:t>
      </w:r>
    </w:p>
    <w:p>
      <w:pPr>
        <w:pStyle w:val="0"/>
        <w:spacing w:before="200" w:line-rule="auto"/>
        <w:ind w:firstLine="540"/>
        <w:jc w:val="both"/>
      </w:pPr>
      <w:r>
        <w:rPr>
          <w:sz w:val="20"/>
        </w:rPr>
        <w:t xml:space="preserve">Количество несовершеннолетних среди волонтеров-медиков в 2022 году составило 1 021 человек.</w:t>
      </w:r>
    </w:p>
    <w:p>
      <w:pPr>
        <w:pStyle w:val="0"/>
        <w:spacing w:before="200" w:line-rule="auto"/>
        <w:ind w:firstLine="540"/>
        <w:jc w:val="both"/>
      </w:pPr>
      <w:r>
        <w:rPr>
          <w:sz w:val="20"/>
        </w:rPr>
        <w:t xml:space="preserve">6. Мероприятия, направленные на формирование приверженности к здоровому образу жизни среди несовершеннолетних и родителей (законных представителей).</w:t>
      </w:r>
    </w:p>
    <w:p>
      <w:pPr>
        <w:pStyle w:val="0"/>
        <w:spacing w:before="200" w:line-rule="auto"/>
        <w:ind w:firstLine="540"/>
        <w:jc w:val="both"/>
      </w:pPr>
      <w:r>
        <w:rPr>
          <w:sz w:val="20"/>
        </w:rPr>
        <w:t xml:space="preserve">На сайте бюджетного учреждения автономного округа "Центр общественного здоровья и медицинской профилактики" (далее - Центр) медицинские организации публикуют материалы на актуальные темы о здоровом образе жизни.</w:t>
      </w:r>
    </w:p>
    <w:p>
      <w:pPr>
        <w:pStyle w:val="0"/>
        <w:spacing w:before="200" w:line-rule="auto"/>
        <w:ind w:firstLine="540"/>
        <w:jc w:val="both"/>
      </w:pPr>
      <w:r>
        <w:rPr>
          <w:sz w:val="20"/>
        </w:rPr>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Центр с 3 филиалами в городах Сургут, Нижневартовск и Нефтеюганск. Кроме того, в автономном округе функционирует 3 центра здоровья для детского населения в городах Сургут, Нижневартовск и Нефтеюганск.</w:t>
      </w:r>
    </w:p>
    <w:p>
      <w:pPr>
        <w:pStyle w:val="0"/>
        <w:spacing w:before="200" w:line-rule="auto"/>
        <w:ind w:firstLine="540"/>
        <w:jc w:val="both"/>
      </w:pPr>
      <w:r>
        <w:rPr>
          <w:sz w:val="20"/>
        </w:rPr>
        <w:t xml:space="preserve">В 2022 году в центры здоровья обратились 18 915 человек (2021 год - 35 068 человек, 2020 год - 25 620 человек, 2019 год - 47 503 человека), из них 5 261 ребенок (2021 год - 5 299 человек, 2020 год - 4 175 человек, 2019 год - 8 460 человек). Индивидуальные планы оздоровления назначены в 100% случаев обращений.</w:t>
      </w:r>
    </w:p>
    <w:p>
      <w:pPr>
        <w:pStyle w:val="0"/>
        <w:spacing w:before="200" w:line-rule="auto"/>
        <w:ind w:firstLine="540"/>
        <w:jc w:val="both"/>
      </w:pPr>
      <w:r>
        <w:rPr>
          <w:sz w:val="20"/>
        </w:rPr>
        <w:t xml:space="preserve">Из числа обратившихся здоровых граждан 7 595 человек (2021 год - 22 330 человек, 2020 год - 8 129 человек, 2019 год - 13 697 человек), в том числе 1 967 детей (2021 год - 2 693 человека, 2020 год - 1 612 человек, 2019 год - 3 232 человека);</w:t>
      </w:r>
    </w:p>
    <w:p>
      <w:pPr>
        <w:pStyle w:val="0"/>
        <w:spacing w:before="200" w:line-rule="auto"/>
        <w:ind w:firstLine="540"/>
        <w:jc w:val="both"/>
      </w:pPr>
      <w:r>
        <w:rPr>
          <w:sz w:val="20"/>
        </w:rPr>
        <w:t xml:space="preserve">к группе риска отнесены 11 320 человек (2021 год - 12 738 человек, 2020 год - 17 491 человек, 2019 год - 33 806 человек), в том числе 3 294 ребенка (2021 год - 2 606 человек, 2020 год - 2 563 человека, 2019 год - 5 288 человек);</w:t>
      </w:r>
    </w:p>
    <w:p>
      <w:pPr>
        <w:pStyle w:val="0"/>
        <w:spacing w:before="200" w:line-rule="auto"/>
        <w:ind w:firstLine="540"/>
        <w:jc w:val="both"/>
      </w:pPr>
      <w:r>
        <w:rPr>
          <w:sz w:val="20"/>
        </w:rPr>
        <w:t xml:space="preserve">направлены в медицинские организации для дополнительного обследования и лечения 1 184 человека (2021 год - 2 703 человека, 2020 год - 2 111 человек, 2019 год - 4 402 человека), в том числе 769 детей (2021 год - 777 человек, 2020 год - 602 человека, 2019 год - 1357 человек).</w:t>
      </w:r>
    </w:p>
    <w:p>
      <w:pPr>
        <w:pStyle w:val="0"/>
        <w:spacing w:before="200" w:line-rule="auto"/>
        <w:ind w:firstLine="540"/>
        <w:jc w:val="both"/>
      </w:pPr>
      <w:r>
        <w:rPr>
          <w:sz w:val="20"/>
        </w:rPr>
        <w:t xml:space="preserve">Кроме того, в медицинских организациях работают 22 отделения и 31 кабинет медицинской профилактики, на базе 26 медицинских организаций созданы и функционируют кабинеты помощи при отказе от курения.</w:t>
      </w:r>
    </w:p>
    <w:p>
      <w:pPr>
        <w:pStyle w:val="0"/>
        <w:spacing w:before="200" w:line-rule="auto"/>
        <w:ind w:firstLine="540"/>
        <w:jc w:val="both"/>
      </w:pPr>
      <w:r>
        <w:rPr>
          <w:sz w:val="20"/>
        </w:rPr>
        <w:t xml:space="preserve">В 2022 году Центром в СМИ размещено 10 106 публикаций (2021 год - 7 998, 2020 год - 9 286, 2019 - 12 630).</w:t>
      </w:r>
    </w:p>
    <w:p>
      <w:pPr>
        <w:pStyle w:val="0"/>
        <w:spacing w:before="200" w:line-rule="auto"/>
        <w:ind w:firstLine="540"/>
        <w:jc w:val="both"/>
      </w:pPr>
      <w:r>
        <w:rPr>
          <w:sz w:val="20"/>
        </w:rPr>
        <w:t xml:space="preserve">Основными площадками по распространению информации выступают официальные сайты и группы Департамента здравоохранения автономного округа и подведомственных медицинских организаций в социальных сетях, в числе которых 166 официальных публичных страниц, из них ВКонтакте - 89, Одноклассники - 36, Телеграм - 41.</w:t>
      </w:r>
    </w:p>
    <w:p>
      <w:pPr>
        <w:pStyle w:val="0"/>
        <w:spacing w:before="200" w:line-rule="auto"/>
        <w:ind w:firstLine="540"/>
        <w:jc w:val="both"/>
      </w:pPr>
      <w:r>
        <w:rPr>
          <w:sz w:val="20"/>
        </w:rPr>
        <w:t xml:space="preserve">Одной из самых популярных площадок в системе здравоохранения с 2018 года является группа "Послушайте, доктор. ХМАО - Югра" в социальной сети "ВКонтакте". Ежедневно группу посещают более тысячи человек. Подписчики обращаются с личными вопросами о порядке оказания медицинской помощи. Учитывая, что группа имеет 52 тысячи подписчиков, информирование населения осуществляется через прямые эфиры по пятницам "Спросите у врача" и по средам "Вопрос эксперту".</w:t>
      </w:r>
    </w:p>
    <w:p>
      <w:pPr>
        <w:pStyle w:val="0"/>
        <w:spacing w:before="200" w:line-rule="auto"/>
        <w:ind w:firstLine="540"/>
        <w:jc w:val="both"/>
      </w:pPr>
      <w:r>
        <w:rPr>
          <w:sz w:val="20"/>
        </w:rPr>
        <w:t xml:space="preserve">С целью формирования в обществе здоровой модели поведения, ответственного отношения к своему здоровью, профилактике заболеваний Центр имеет собственные проекты в СМИ. Например, на радиостанции "Югра" еженедельно выходит радиопередача "Семейный доктор". Территория вещания передачи включает автономный округ и г. Тюмень. Количество потенциальных слушателей около 1,5 млн человек.</w:t>
      </w:r>
    </w:p>
    <w:p>
      <w:pPr>
        <w:pStyle w:val="0"/>
        <w:spacing w:before="200" w:line-rule="auto"/>
        <w:ind w:firstLine="540"/>
        <w:jc w:val="both"/>
      </w:pPr>
      <w:r>
        <w:rPr>
          <w:sz w:val="20"/>
        </w:rPr>
        <w:t xml:space="preserve">Ежегодно в эфир выходит около 100 передач. Тематика соответствует запланированным месячникам: профилактика инфекционных и неинфекционных заболеваний, формирование устойчивой привычки правильного питания, отказ от вредных привычек, мотивирование к участию в профилактических мероприятиях (диспансеризация, скрининги).</w:t>
      </w:r>
    </w:p>
    <w:p>
      <w:pPr>
        <w:pStyle w:val="0"/>
        <w:spacing w:before="200" w:line-rule="auto"/>
        <w:ind w:firstLine="540"/>
        <w:jc w:val="both"/>
      </w:pPr>
      <w:r>
        <w:rPr>
          <w:sz w:val="20"/>
        </w:rPr>
        <w:t xml:space="preserve">На официальном сайте Центра регулярно обновляется информация о вопросах сохранения здоровья с использованием различных форм. Материалы подготавливаются и проходят рецензирование у квалифицированных специалистов в сфере здравоохранения. Площадка является интерактивной. На сайте Центра размещаются макеты выпускаемой печатной продукции, в том числе собственные средства массовой информации, журнал "Регион здоровья", газета "Здравоохранение Югры".</w:t>
      </w:r>
    </w:p>
    <w:p>
      <w:pPr>
        <w:pStyle w:val="0"/>
        <w:spacing w:before="200" w:line-rule="auto"/>
        <w:ind w:firstLine="540"/>
        <w:jc w:val="both"/>
      </w:pPr>
      <w:r>
        <w:rPr>
          <w:sz w:val="20"/>
        </w:rPr>
        <w:t xml:space="preserve">Центр является учредителем средств массовой информации: ежеквартально для молодежной аудитории автономного округа издается журнал "Регион здоровья" тиражом 1200 экземпляров.</w:t>
      </w:r>
    </w:p>
    <w:p>
      <w:pPr>
        <w:pStyle w:val="0"/>
        <w:spacing w:before="200" w:line-rule="auto"/>
        <w:ind w:firstLine="540"/>
        <w:jc w:val="both"/>
      </w:pPr>
      <w:r>
        <w:rPr>
          <w:sz w:val="20"/>
        </w:rPr>
        <w:t xml:space="preserve">Ежегодно Центр издает и распространяет по муниципальным образованиям автономного округа полиграфическую продукцию профилактической направленности. Так, в 2022 году напечатано 29 наименований полиграфической продукции общим тиражом 211 700 экземпляров (2021 год - 36 наименований, 464 600 экземпляров, 2020 год - 27 наименований, 576 700 экземпляров, 2019 год - 26 наименований, 992 218 экземпляров).</w:t>
      </w:r>
    </w:p>
    <w:p>
      <w:pPr>
        <w:pStyle w:val="0"/>
        <w:spacing w:before="200" w:line-rule="auto"/>
        <w:ind w:firstLine="540"/>
        <w:jc w:val="both"/>
      </w:pPr>
      <w:r>
        <w:rPr>
          <w:sz w:val="20"/>
        </w:rPr>
        <w:t xml:space="preserve">За отчетный период 2022 года проведены месячники: профилактики развития зависимостей (потребления никотина, алкоголя, наркотических средств и психоактивных веществ), профилактики детского травматизма, пропаганды физической активности, пропаганды здорового питания.</w:t>
      </w:r>
    </w:p>
    <w:p>
      <w:pPr>
        <w:pStyle w:val="0"/>
        <w:spacing w:before="200" w:line-rule="auto"/>
        <w:ind w:firstLine="540"/>
        <w:jc w:val="both"/>
      </w:pPr>
      <w:r>
        <w:rPr>
          <w:sz w:val="20"/>
        </w:rPr>
        <w:t xml:space="preserve">Кроме того, специалисты Центра в целях формирования здорового образа жизни у подрастающего поколения на регулярной основе проводят групповые занятия с детьми и подростками ("Уроки здоровья", занятия с элементами тренинга, тренинги и др.), читают лекции для школьников среднего и старшего звена, демонстрируют фильмы с обсуждением на тему профилактики вредных привычек.</w:t>
      </w:r>
    </w:p>
    <w:p>
      <w:pPr>
        <w:pStyle w:val="0"/>
        <w:spacing w:before="200" w:line-rule="auto"/>
        <w:ind w:firstLine="540"/>
        <w:jc w:val="both"/>
      </w:pPr>
      <w:r>
        <w:rPr>
          <w:sz w:val="20"/>
        </w:rPr>
        <w:t xml:space="preserve">Так, в 2022 году проведено 330 "Уроков здоровья", в которых приняли участие 7 701 человек (2021 год - 517, участников 12 839 человек, 2020 год - 370, участников 11 500 человек, 2019 год - 780, участников - 19 457 человек). Темы "Уроков здоровья": "Здоровое питание", "Физическая активность", "Психическое здоровье", "Личная гигиена", "Режим дня", "Закаливание", "Профилактика курения", "Профилактика употребления алкоголя", "Профилактика детского травматизма", "Профилактика стоматологических заболеваний", "Профилактика острых желудочно-кишечных инфекций", "Профилактика гриппа и ОРВИ" и др.</w:t>
      </w:r>
    </w:p>
    <w:p>
      <w:pPr>
        <w:pStyle w:val="0"/>
        <w:spacing w:before="200" w:line-rule="auto"/>
        <w:ind w:firstLine="540"/>
        <w:jc w:val="both"/>
      </w:pPr>
      <w:r>
        <w:rPr>
          <w:sz w:val="20"/>
        </w:rPr>
        <w:t xml:space="preserve">Основными направлениями деятельности волонтеров-медиков регионального отделения являются помощь в медицинских организациях, обучение навыкам первой помощи, сопровождение спортивных и массовых мероприятий, системная работа и масштабные информационные кампании, направленные на профилактику неинфекционных и социально значимых заболеваний, популяризация и здоровый образ жизни, профориентационная работа среди обучающихся.</w:t>
      </w:r>
    </w:p>
    <w:p>
      <w:pPr>
        <w:pStyle w:val="0"/>
        <w:spacing w:before="200" w:line-rule="auto"/>
        <w:ind w:firstLine="540"/>
        <w:jc w:val="both"/>
      </w:pPr>
      <w:r>
        <w:rPr>
          <w:sz w:val="20"/>
        </w:rPr>
        <w:t xml:space="preserve">При участии волонтеров-медиков медицинские организации автономного округа в 2022 году провели 436 мероприятий (2021 год - 358, 2020 год - 267, 2019 год - 644).</w:t>
      </w:r>
    </w:p>
    <w:p>
      <w:pPr>
        <w:pStyle w:val="0"/>
        <w:spacing w:before="200" w:line-rule="auto"/>
        <w:ind w:firstLine="540"/>
        <w:jc w:val="both"/>
      </w:pPr>
      <w:r>
        <w:rPr>
          <w:sz w:val="20"/>
        </w:rPr>
        <w:t xml:space="preserve">Департамент здравоохранения автономного округа ведет ежемесячный мониторинг оперативной обстановки среди несовершеннолетних по случаям детского травматизма, детской, в том числе младенческой, смертности, по случаям совершения несовершеннолетними суицидальных попыток, по случаям алкогольных и наркотических отравлений несовершеннолетних (далее - мониторинг).</w:t>
      </w:r>
    </w:p>
    <w:p>
      <w:pPr>
        <w:pStyle w:val="0"/>
        <w:spacing w:before="200" w:line-rule="auto"/>
        <w:ind w:firstLine="540"/>
        <w:jc w:val="both"/>
      </w:pPr>
      <w:r>
        <w:rPr>
          <w:sz w:val="20"/>
        </w:rPr>
        <w:t xml:space="preserve">Результаты мониторинга предоставляет в адрес комиссии по делам несовершеннолетних и защите их прав при Правительстве автономного округа для анализа оперативной обстановки в отношении несовершеннолетних и принятия мер, направленных на снижение случаев детского травматизма, детской смертности от внешних причин (травматизм, отравления, суицидальные попытки).</w:t>
      </w:r>
    </w:p>
    <w:p>
      <w:pPr>
        <w:pStyle w:val="0"/>
        <w:ind w:firstLine="540"/>
        <w:jc w:val="both"/>
      </w:pPr>
      <w:r>
        <w:rPr>
          <w:sz w:val="20"/>
        </w:rPr>
      </w:r>
    </w:p>
    <w:p>
      <w:pPr>
        <w:pStyle w:val="2"/>
        <w:outlineLvl w:val="2"/>
        <w:jc w:val="center"/>
      </w:pPr>
      <w:r>
        <w:rPr>
          <w:sz w:val="20"/>
        </w:rPr>
        <w:t xml:space="preserve">2.5. Выводы</w:t>
      </w:r>
    </w:p>
    <w:p>
      <w:pPr>
        <w:pStyle w:val="0"/>
        <w:ind w:firstLine="540"/>
        <w:jc w:val="both"/>
      </w:pPr>
      <w:r>
        <w:rPr>
          <w:sz w:val="20"/>
        </w:rPr>
      </w:r>
    </w:p>
    <w:p>
      <w:pPr>
        <w:pStyle w:val="0"/>
        <w:ind w:firstLine="540"/>
        <w:jc w:val="both"/>
      </w:pPr>
      <w:r>
        <w:rPr>
          <w:sz w:val="20"/>
        </w:rPr>
        <w:t xml:space="preserve">Таким образом, в автономном округе создана инфраструктура, имеются специалисты для реализации мероприятий по профилактике детской смертности от внешних причин, в том числе реализации мероприятий по работе с родителями (законными представителями) в части информирования их о рисках детской смертности от внешних причин, по профилактике жестокого обращения с детьми и работе с семьями социального риска.</w:t>
      </w:r>
    </w:p>
    <w:p>
      <w:pPr>
        <w:pStyle w:val="0"/>
        <w:spacing w:before="200" w:line-rule="auto"/>
        <w:ind w:firstLine="540"/>
        <w:jc w:val="both"/>
      </w:pPr>
      <w:r>
        <w:rPr>
          <w:sz w:val="20"/>
        </w:rPr>
        <w:t xml:space="preserve">Приказами Департамента здравоохранения автономного округа утверждена маршрутизация несовершеннолетних, в том числе пострадавших от воздействия внешних причин, для получения медицинской помощи. Организована работа дистанционного реанимационно-консультативного центра с выездной анестезиолого-реанимационной педиатрической (неонатальной) бригадой. В соответствии с медицинскими показаниями проводятся консультации несовершеннолетних, пострадавших от воздействия внешних причин, с главными внештатными специалистами Департамента здравоохранения автономного округа, федеральными медицинскими организациями.</w:t>
      </w:r>
    </w:p>
    <w:p>
      <w:pPr>
        <w:pStyle w:val="0"/>
        <w:spacing w:before="200" w:line-rule="auto"/>
        <w:ind w:firstLine="540"/>
        <w:jc w:val="both"/>
      </w:pPr>
      <w:r>
        <w:rPr>
          <w:sz w:val="20"/>
        </w:rPr>
        <w:t xml:space="preserve">Реализуются мероприятия по профилактике совершения суицидальных попыток среди несовершеннолетних, профилактике и раннему выявлению незаконного потребления наркотических средств и психотропных веществ.</w:t>
      </w:r>
    </w:p>
    <w:p>
      <w:pPr>
        <w:pStyle w:val="0"/>
        <w:spacing w:before="200" w:line-rule="auto"/>
        <w:ind w:firstLine="540"/>
        <w:jc w:val="both"/>
      </w:pPr>
      <w:r>
        <w:rPr>
          <w:sz w:val="20"/>
        </w:rPr>
        <w:t xml:space="preserve">Вовлекаются несовершеннолетние в социально позитивную деятельность, проводятся мероприятия, направленные на формирование приверженности к здоровому образу жизни среди несовершеннолетних и родителей (законных представителей).</w:t>
      </w:r>
    </w:p>
    <w:p>
      <w:pPr>
        <w:pStyle w:val="0"/>
        <w:spacing w:before="200" w:line-rule="auto"/>
        <w:ind w:firstLine="540"/>
        <w:jc w:val="both"/>
      </w:pPr>
      <w:r>
        <w:rPr>
          <w:sz w:val="20"/>
        </w:rPr>
        <w:t xml:space="preserve">Организовано межведомственное взаимодействие медицинских организаций автономного округа с органами и учреждениями системы профилактики безнадзорности и правонарушений несовершеннолетних по профилактике жестокого обращения с детьми, совершения противоправных действий в отношении детей и работе с семьями социального риска.</w:t>
      </w:r>
    </w:p>
    <w:p>
      <w:pPr>
        <w:pStyle w:val="0"/>
        <w:ind w:firstLine="540"/>
        <w:jc w:val="both"/>
      </w:pPr>
      <w:r>
        <w:rPr>
          <w:sz w:val="20"/>
        </w:rPr>
      </w:r>
    </w:p>
    <w:p>
      <w:pPr>
        <w:pStyle w:val="2"/>
        <w:outlineLvl w:val="1"/>
        <w:jc w:val="center"/>
      </w:pPr>
      <w:r>
        <w:rPr>
          <w:sz w:val="20"/>
        </w:rPr>
        <w:t xml:space="preserve">Раздел III. ОРГАНИЗАЦИЯ МЕРОПРИЯТИЙ ПРОГРАММЫ</w:t>
      </w:r>
    </w:p>
    <w:p>
      <w:pPr>
        <w:pStyle w:val="0"/>
        <w:ind w:firstLine="540"/>
        <w:jc w:val="both"/>
      </w:pPr>
      <w:r>
        <w:rPr>
          <w:sz w:val="20"/>
        </w:rPr>
      </w:r>
    </w:p>
    <w:p>
      <w:pPr>
        <w:pStyle w:val="2"/>
        <w:outlineLvl w:val="2"/>
        <w:jc w:val="center"/>
      </w:pPr>
      <w:r>
        <w:rPr>
          <w:sz w:val="20"/>
        </w:rPr>
        <w:t xml:space="preserve">3.1. Цели реализации Программы</w:t>
      </w:r>
    </w:p>
    <w:p>
      <w:pPr>
        <w:pStyle w:val="0"/>
        <w:jc w:val="center"/>
      </w:pPr>
      <w:r>
        <w:rPr>
          <w:sz w:val="20"/>
        </w:rPr>
      </w:r>
    </w:p>
    <w:p>
      <w:pPr>
        <w:pStyle w:val="0"/>
        <w:ind w:firstLine="540"/>
        <w:jc w:val="both"/>
      </w:pPr>
      <w:r>
        <w:rPr>
          <w:sz w:val="20"/>
        </w:rPr>
        <w:t xml:space="preserve">Снижение младенческой смертности до 3,7%, смертности детей в возрасте 0 - 4 года на 1000 родившихся живыми до 4,0%, смертности детей в возрасте 0 - 17 лет на 100 000 детей соответствующего возраста до 39,0 на 100 000 детей соответствующего возраста к 2026 году путем реализации мероприятий Программы.</w:t>
      </w:r>
    </w:p>
    <w:p>
      <w:pPr>
        <w:pStyle w:val="0"/>
        <w:jc w:val="center"/>
      </w:pPr>
      <w:r>
        <w:rPr>
          <w:sz w:val="20"/>
        </w:rPr>
      </w:r>
    </w:p>
    <w:p>
      <w:pPr>
        <w:pStyle w:val="2"/>
        <w:outlineLvl w:val="2"/>
        <w:jc w:val="center"/>
      </w:pPr>
      <w:r>
        <w:rPr>
          <w:sz w:val="20"/>
        </w:rPr>
        <w:t xml:space="preserve">3.2. Задачи Программы</w:t>
      </w:r>
    </w:p>
    <w:p>
      <w:pPr>
        <w:pStyle w:val="0"/>
        <w:jc w:val="center"/>
      </w:pPr>
      <w:r>
        <w:rPr>
          <w:sz w:val="20"/>
        </w:rPr>
      </w:r>
    </w:p>
    <w:p>
      <w:pPr>
        <w:pStyle w:val="0"/>
        <w:ind w:firstLine="540"/>
        <w:jc w:val="both"/>
      </w:pPr>
      <w:r>
        <w:rPr>
          <w:sz w:val="20"/>
        </w:rPr>
        <w:t xml:space="preserve">Задача 1. Обеспечение нормативного правового регулирования мероприятий по снижению детской смертности от внешних причин в автономном округе.</w:t>
      </w:r>
    </w:p>
    <w:p>
      <w:pPr>
        <w:pStyle w:val="0"/>
        <w:spacing w:before="200" w:line-rule="auto"/>
        <w:ind w:firstLine="540"/>
        <w:jc w:val="both"/>
      </w:pPr>
      <w:r>
        <w:rPr>
          <w:sz w:val="20"/>
        </w:rPr>
        <w:t xml:space="preserve">Задача 2. Формирование оптимальной маршрутизации, обеспечивающей медицинской помощью детей, пострадавших от воздействия внешних причин (травмы, отравления, утопления, асфиксия).</w:t>
      </w:r>
    </w:p>
    <w:p>
      <w:pPr>
        <w:pStyle w:val="0"/>
        <w:spacing w:before="200" w:line-rule="auto"/>
        <w:ind w:firstLine="540"/>
        <w:jc w:val="both"/>
      </w:pPr>
      <w:r>
        <w:rPr>
          <w:sz w:val="20"/>
        </w:rPr>
        <w:t xml:space="preserve">Задача 3. Реализация мероприятий, направленных на профилактику совершения несовершеннолетними суицидальных попыток.</w:t>
      </w:r>
    </w:p>
    <w:p>
      <w:pPr>
        <w:pStyle w:val="0"/>
        <w:spacing w:before="200" w:line-rule="auto"/>
        <w:ind w:firstLine="540"/>
        <w:jc w:val="both"/>
      </w:pPr>
      <w:r>
        <w:rPr>
          <w:sz w:val="20"/>
        </w:rPr>
        <w:t xml:space="preserve">Задача 4. Реализация мероприятий, направленных на профилактику и раннее выявление незаконного потребления наркотических средств и психотропных веществ несовершеннолетними.</w:t>
      </w:r>
    </w:p>
    <w:p>
      <w:pPr>
        <w:pStyle w:val="0"/>
        <w:spacing w:before="200" w:line-rule="auto"/>
        <w:ind w:firstLine="540"/>
        <w:jc w:val="both"/>
      </w:pPr>
      <w:r>
        <w:rPr>
          <w:sz w:val="20"/>
        </w:rPr>
        <w:t xml:space="preserve">Задача 5. Реализация мероприятий по работе с несовершеннолетними и родителями (законными представителями) в части информирования их о рисках детской смертности от внешних причин (травмы, отравления, утопления, асфиксия, пожары), о профилактике жестокого обращения с детьми и работе с семьями социального риска, в том числе в условиях межведомственного взаимодействия с органами и учреждениями системы профилактики безнадзорности и правонарушений несовершеннолетних.</w:t>
      </w:r>
    </w:p>
    <w:p>
      <w:pPr>
        <w:pStyle w:val="0"/>
        <w:spacing w:before="200" w:line-rule="auto"/>
        <w:ind w:firstLine="540"/>
        <w:jc w:val="both"/>
      </w:pPr>
      <w:r>
        <w:rPr>
          <w:sz w:val="20"/>
        </w:rPr>
        <w:t xml:space="preserve">Задача 6. Реализация мероприятий, направленных на формирование приверженности к здоровому образу жизни среди несовершеннолетних и их родителей (законных представителей).</w:t>
      </w:r>
    </w:p>
    <w:p>
      <w:pPr>
        <w:pStyle w:val="0"/>
        <w:spacing w:before="200" w:line-rule="auto"/>
        <w:ind w:firstLine="540"/>
        <w:jc w:val="both"/>
      </w:pPr>
      <w:r>
        <w:rPr>
          <w:sz w:val="20"/>
        </w:rPr>
        <w:t xml:space="preserve">Задача 7. Реализация мероприятий по вовлечению несовершеннолетних в социально позитивную деятельность.</w:t>
      </w:r>
    </w:p>
    <w:p>
      <w:pPr>
        <w:pStyle w:val="0"/>
        <w:ind w:firstLine="540"/>
        <w:jc w:val="both"/>
      </w:pPr>
      <w:r>
        <w:rPr>
          <w:sz w:val="20"/>
        </w:rPr>
      </w:r>
    </w:p>
    <w:p>
      <w:pPr>
        <w:pStyle w:val="2"/>
        <w:outlineLvl w:val="2"/>
        <w:jc w:val="center"/>
      </w:pPr>
      <w:r>
        <w:rPr>
          <w:sz w:val="20"/>
        </w:rPr>
        <w:t xml:space="preserve">3.3. Показатели Программы</w:t>
      </w:r>
    </w:p>
    <w:p>
      <w:pPr>
        <w:pStyle w:val="0"/>
        <w:ind w:firstLine="540"/>
        <w:jc w:val="both"/>
      </w:pPr>
      <w:r>
        <w:rPr>
          <w:sz w:val="20"/>
        </w:rPr>
      </w:r>
    </w:p>
    <w:p>
      <w:pPr>
        <w:pStyle w:val="0"/>
        <w:ind w:firstLine="540"/>
        <w:jc w:val="both"/>
      </w:pPr>
      <w:r>
        <w:rPr>
          <w:sz w:val="20"/>
        </w:rPr>
        <w:t xml:space="preserve">Показатель 1. "Младенческая смертность на 1000 родившихся живыми" (%).</w:t>
      </w:r>
    </w:p>
    <w:p>
      <w:pPr>
        <w:pStyle w:val="0"/>
        <w:spacing w:before="200" w:line-rule="auto"/>
        <w:ind w:firstLine="540"/>
        <w:jc w:val="both"/>
      </w:pPr>
      <w:r>
        <w:rPr>
          <w:sz w:val="20"/>
        </w:rPr>
        <w:t xml:space="preserve">Показатель 2. "Смертность детей в возрасте 0 - 4 года на 1000 родившихся живыми" (%).</w:t>
      </w:r>
    </w:p>
    <w:p>
      <w:pPr>
        <w:pStyle w:val="0"/>
        <w:spacing w:before="200" w:line-rule="auto"/>
        <w:ind w:firstLine="540"/>
        <w:jc w:val="both"/>
      </w:pPr>
      <w:r>
        <w:rPr>
          <w:sz w:val="20"/>
        </w:rPr>
        <w:t xml:space="preserve">Показатель 3. "Смертность детей в возрасте 0 - 17 лет на 100 000 детей соответствующего возраста".</w:t>
      </w:r>
    </w:p>
    <w:p>
      <w:pPr>
        <w:pStyle w:val="0"/>
        <w:ind w:firstLine="540"/>
        <w:jc w:val="both"/>
      </w:pPr>
      <w:r>
        <w:rPr>
          <w:sz w:val="20"/>
        </w:rPr>
      </w:r>
    </w:p>
    <w:p>
      <w:pPr>
        <w:pStyle w:val="2"/>
        <w:outlineLvl w:val="2"/>
        <w:jc w:val="center"/>
      </w:pPr>
      <w:r>
        <w:rPr>
          <w:sz w:val="20"/>
        </w:rPr>
        <w:t xml:space="preserve">3.4. Мероприятия Программы</w:t>
      </w:r>
    </w:p>
    <w:p>
      <w:pPr>
        <w:pStyle w:val="0"/>
        <w:ind w:firstLine="540"/>
        <w:jc w:val="both"/>
      </w:pPr>
      <w:r>
        <w:rPr>
          <w:sz w:val="20"/>
        </w:rPr>
      </w:r>
    </w:p>
    <w:p>
      <w:pPr>
        <w:pStyle w:val="0"/>
        <w:ind w:firstLine="540"/>
        <w:jc w:val="both"/>
      </w:pPr>
      <w:r>
        <w:rPr>
          <w:sz w:val="20"/>
        </w:rPr>
        <w:t xml:space="preserve">Мероприятия Программы основываются на анализе показателей детской смертности, структуры детской смертности, в том числе младенческой, анализе доступности медицинской помощи несовершеннолетним, пострадавшим от воздействия внешних причин, комплекса мероприятий, направленных на предупреждение детской смертности от внешних причин, мероприятий, направленных на формирование приверженности к здоровому образу жизни среди несовершеннолетних и их родителей (законных представителей), изложенных в Разделе 1 "Анализ текущего состояния детской смертности, в том числе от внешних причин, в автономном округе".</w:t>
      </w:r>
    </w:p>
    <w:p>
      <w:pPr>
        <w:pStyle w:val="0"/>
        <w:ind w:firstLine="540"/>
        <w:jc w:val="both"/>
      </w:pPr>
      <w:r>
        <w:rPr>
          <w:sz w:val="20"/>
        </w:rPr>
      </w:r>
    </w:p>
    <w:p>
      <w:pPr>
        <w:pStyle w:val="2"/>
        <w:outlineLvl w:val="3"/>
        <w:jc w:val="center"/>
      </w:pPr>
      <w:r>
        <w:rPr>
          <w:sz w:val="20"/>
        </w:rPr>
        <w:t xml:space="preserve">Перечень мероприятий Программы</w:t>
      </w:r>
    </w:p>
    <w:p>
      <w:pPr>
        <w:pStyle w:val="0"/>
        <w:ind w:firstLine="540"/>
        <w:jc w:val="both"/>
      </w:pPr>
      <w:r>
        <w:rPr>
          <w:sz w:val="20"/>
        </w:rPr>
      </w:r>
    </w:p>
    <w:p>
      <w:pPr>
        <w:pStyle w:val="2"/>
        <w:outlineLvl w:val="4"/>
        <w:jc w:val="center"/>
      </w:pPr>
      <w:r>
        <w:rPr>
          <w:sz w:val="20"/>
        </w:rPr>
        <w:t xml:space="preserve">3.4.1. Обеспечение нормативного правового регулирования</w:t>
      </w:r>
    </w:p>
    <w:p>
      <w:pPr>
        <w:pStyle w:val="2"/>
        <w:jc w:val="center"/>
      </w:pPr>
      <w:r>
        <w:rPr>
          <w:sz w:val="20"/>
        </w:rPr>
        <w:t xml:space="preserve">мероприятий по снижению детской смертности от внешних причин</w:t>
      </w:r>
    </w:p>
    <w:p>
      <w:pPr>
        <w:pStyle w:val="2"/>
        <w:jc w:val="center"/>
      </w:pPr>
      <w:r>
        <w:rPr>
          <w:sz w:val="20"/>
        </w:rPr>
        <w:t xml:space="preserve">в автономном округе</w:t>
      </w:r>
    </w:p>
    <w:p>
      <w:pPr>
        <w:pStyle w:val="0"/>
        <w:ind w:firstLine="540"/>
        <w:jc w:val="both"/>
      </w:pPr>
      <w:r>
        <w:rPr>
          <w:sz w:val="20"/>
        </w:rPr>
      </w:r>
    </w:p>
    <w:p>
      <w:pPr>
        <w:pStyle w:val="0"/>
        <w:ind w:firstLine="540"/>
        <w:jc w:val="both"/>
      </w:pPr>
      <w:r>
        <w:rPr>
          <w:sz w:val="20"/>
        </w:rPr>
        <w:t xml:space="preserve">Совершенствование нормативной правовой базы по организации мероприятий по снижению детской смертности от внешних причин в автономном округе (Программа по снижению смертности среди несовершеннолетних от внешних причин на период 2023 - 2026 годы, актуализация приказа Департамента здравоохранения автономного округа по маршрутизации пациентов для получения медицинской помощи, региональные документы по профилактике совершения суицидальных попыток несовершеннолетними, по профилактике и раннему выявлению незаконного потребления наркотических средств и психотропных веществ несовершеннолетними, по работе с несовершеннолетними и родителями (законными представителями) в части информирования их о рисках детской смертности от внешних причин (травмы, отравления, утопления, асфиксия), по профилактике жестокого обращения с детьми и работе с семьями социального риска, в том числе в условиях межведомственного взаимодействия с органами и учреждениями системы профилактики безнадзорности и правонарушений несовершеннолетних, о формировании приверженности к здоровому образу жизни среди несовершеннолетних и их родителей (законных представителей), вовлечению несовершеннолетних в социально позитивную деятельность).</w:t>
      </w:r>
    </w:p>
    <w:p>
      <w:pPr>
        <w:pStyle w:val="0"/>
        <w:ind w:firstLine="540"/>
        <w:jc w:val="both"/>
      </w:pPr>
      <w:r>
        <w:rPr>
          <w:sz w:val="20"/>
        </w:rPr>
      </w:r>
    </w:p>
    <w:p>
      <w:pPr>
        <w:pStyle w:val="2"/>
        <w:outlineLvl w:val="4"/>
        <w:jc w:val="center"/>
      </w:pPr>
      <w:r>
        <w:rPr>
          <w:sz w:val="20"/>
        </w:rPr>
        <w:t xml:space="preserve">3.4.2. Формирование оптимальной маршрутизации,</w:t>
      </w:r>
    </w:p>
    <w:p>
      <w:pPr>
        <w:pStyle w:val="2"/>
        <w:jc w:val="center"/>
      </w:pPr>
      <w:r>
        <w:rPr>
          <w:sz w:val="20"/>
        </w:rPr>
        <w:t xml:space="preserve">обеспечивающей медицинской помощью несовершеннолетних,</w:t>
      </w:r>
    </w:p>
    <w:p>
      <w:pPr>
        <w:pStyle w:val="2"/>
        <w:jc w:val="center"/>
      </w:pPr>
      <w:r>
        <w:rPr>
          <w:sz w:val="20"/>
        </w:rPr>
        <w:t xml:space="preserve">пострадавших от воздействия внешних причин (травмы,</w:t>
      </w:r>
    </w:p>
    <w:p>
      <w:pPr>
        <w:pStyle w:val="2"/>
        <w:jc w:val="center"/>
      </w:pPr>
      <w:r>
        <w:rPr>
          <w:sz w:val="20"/>
        </w:rPr>
        <w:t xml:space="preserve">отравления, утопления, асфиксия, пожары)</w:t>
      </w:r>
    </w:p>
    <w:p>
      <w:pPr>
        <w:pStyle w:val="0"/>
        <w:ind w:firstLine="540"/>
        <w:jc w:val="both"/>
      </w:pPr>
      <w:r>
        <w:rPr>
          <w:sz w:val="20"/>
        </w:rPr>
      </w:r>
    </w:p>
    <w:p>
      <w:pPr>
        <w:pStyle w:val="0"/>
        <w:ind w:firstLine="540"/>
        <w:jc w:val="both"/>
      </w:pPr>
      <w:r>
        <w:rPr>
          <w:sz w:val="20"/>
        </w:rPr>
        <w:t xml:space="preserve">Деятельность медицинских организаций автономного округа организована в соответствии с законодательством Российской Федерации.</w:t>
      </w:r>
    </w:p>
    <w:p>
      <w:pPr>
        <w:pStyle w:val="0"/>
        <w:spacing w:before="200" w:line-rule="auto"/>
        <w:ind w:firstLine="540"/>
        <w:jc w:val="both"/>
      </w:pPr>
      <w:r>
        <w:rPr>
          <w:sz w:val="20"/>
        </w:rPr>
        <w:t xml:space="preserve">Согласно Федеральному </w:t>
      </w:r>
      <w:hyperlink w:history="0" r:id="rId269"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закону</w:t>
        </w:r>
      </w:hyperlink>
      <w:r>
        <w:rPr>
          <w:sz w:val="20"/>
        </w:rPr>
        <w:t xml:space="preserve"> от 21 ноября 2011 года N 323-ФЗ "Об основах охраны здоровья граждан в Российской Федерации" медицинская помощь несовершеннолетним оказывается в соответствии с порядками, положениями, стандартами медицинской помощи, на основе клинических рекомендаций, утвержденных Минздравом России.</w:t>
      </w:r>
    </w:p>
    <w:p>
      <w:pPr>
        <w:pStyle w:val="0"/>
        <w:spacing w:before="200" w:line-rule="auto"/>
        <w:ind w:firstLine="540"/>
        <w:jc w:val="both"/>
      </w:pPr>
      <w:r>
        <w:rPr>
          <w:sz w:val="20"/>
        </w:rPr>
        <w:t xml:space="preserve">Приказами Департамента здравоохранения автономного округа утверждена маршрутизация несовершеннолетних для оказания медицинской помощи, которая сформирована с учетом труднодоступных территорий автономного округа.</w:t>
      </w:r>
    </w:p>
    <w:p>
      <w:pPr>
        <w:pStyle w:val="0"/>
        <w:spacing w:before="200" w:line-rule="auto"/>
        <w:ind w:firstLine="540"/>
        <w:jc w:val="both"/>
      </w:pPr>
      <w:r>
        <w:rPr>
          <w:sz w:val="20"/>
        </w:rPr>
        <w:t xml:space="preserve">Маршрутизация несовершеннолетних, пострадавших от воздействия внешних причин, определена по профилям заболеваний и направлена на своевременную диагностику, оказание медицинской помощи.</w:t>
      </w:r>
    </w:p>
    <w:p>
      <w:pPr>
        <w:pStyle w:val="0"/>
        <w:spacing w:before="200" w:line-rule="auto"/>
        <w:ind w:firstLine="540"/>
        <w:jc w:val="both"/>
      </w:pPr>
      <w:r>
        <w:rPr>
          <w:sz w:val="20"/>
        </w:rPr>
        <w:t xml:space="preserve">Выделены 5 медицинских зон, 3 уровня оказания медицинской помощи. По профилям медицинской помощи определены медицинские организации, оказывающие специализированную, в том числе высокотехнологичную, медицинскую помощь детям: бюджетные учреждения автономного округа "Окружная клиническая больница", "Няганская окружная больница", "Сургутская клиническая травматологическая больница", "Сургутская окружная клиническая больница", "Нижневартовская окружная клиническая детская больница", "Сургутская городская клиническая больница", "Нефтеюганская окружная клиническая больница им. В.И. Яцкив", "Окружной кардиологический диспансер "Центр диагностики и сердечно-сосудистой хирургии", "Сургутский окружной клинический центр охраны материнства и детства" </w:t>
      </w:r>
      <w:hyperlink w:history="0" w:anchor="P32426" w:tooltip="Схема размещения медицинских зон оказания">
        <w:r>
          <w:rPr>
            <w:sz w:val="20"/>
            <w:color w:val="0000ff"/>
          </w:rPr>
          <w:t xml:space="preserve">(схема 1)</w:t>
        </w:r>
      </w:hyperlink>
      <w:r>
        <w:rPr>
          <w:sz w:val="20"/>
        </w:rPr>
        <w:t xml:space="preserve">.</w:t>
      </w:r>
    </w:p>
    <w:p>
      <w:pPr>
        <w:pStyle w:val="0"/>
        <w:spacing w:before="200" w:line-rule="auto"/>
        <w:ind w:firstLine="540"/>
        <w:jc w:val="both"/>
      </w:pPr>
      <w:r>
        <w:rPr>
          <w:sz w:val="20"/>
        </w:rPr>
        <w:t xml:space="preserve">Сформированная маршрутизация позволяет обеспечить 100% охват несовершеннолетних медицинской помощью.</w:t>
      </w:r>
    </w:p>
    <w:p>
      <w:pPr>
        <w:pStyle w:val="0"/>
        <w:ind w:firstLine="540"/>
        <w:jc w:val="both"/>
      </w:pPr>
      <w:r>
        <w:rPr>
          <w:sz w:val="20"/>
        </w:rPr>
      </w:r>
    </w:p>
    <w:p>
      <w:pPr>
        <w:pStyle w:val="2"/>
        <w:outlineLvl w:val="4"/>
        <w:jc w:val="center"/>
      </w:pPr>
      <w:r>
        <w:rPr>
          <w:sz w:val="20"/>
        </w:rPr>
        <w:t xml:space="preserve">3.4.3. Реализация мероприятий, направленных на профилактику</w:t>
      </w:r>
    </w:p>
    <w:p>
      <w:pPr>
        <w:pStyle w:val="2"/>
        <w:jc w:val="center"/>
      </w:pPr>
      <w:r>
        <w:rPr>
          <w:sz w:val="20"/>
        </w:rPr>
        <w:t xml:space="preserve">совершения несовершеннолетними суицидальных попыток</w:t>
      </w:r>
    </w:p>
    <w:p>
      <w:pPr>
        <w:pStyle w:val="0"/>
        <w:ind w:firstLine="540"/>
        <w:jc w:val="both"/>
      </w:pPr>
      <w:r>
        <w:rPr>
          <w:sz w:val="20"/>
        </w:rPr>
      </w:r>
    </w:p>
    <w:p>
      <w:pPr>
        <w:pStyle w:val="0"/>
        <w:ind w:firstLine="540"/>
        <w:jc w:val="both"/>
      </w:pPr>
      <w:r>
        <w:rPr>
          <w:sz w:val="20"/>
        </w:rPr>
        <w:t xml:space="preserve">Мероприятия реализуются посредством следующих действий: информирование родителей (законных представителей) в условиях о факторах риска суицидального поведения несовершеннолетних (выступления специалистов на телевидении, радио, видеосюжеты, публикации в печатных изданиях по проблемам депрессий, психологических дезадаптацией и кризисных состояний у несовершеннолетних), выявление факторов суицидального риска у несовершеннолетних обучающихся школ, колледжей, вузов посредством тестирований, профилактических медицинских осмотров), оказание экстренной психологической помощи детям через единую социально-психологическую службу "Телефон доверия", консультации психологов, врачей-психиатров, распространение памяток для родителей (законных представителей) по вопросам выявления ранних признаков суицидального поведения у несовершеннолетних.</w:t>
      </w:r>
    </w:p>
    <w:p>
      <w:pPr>
        <w:pStyle w:val="0"/>
        <w:ind w:firstLine="540"/>
        <w:jc w:val="both"/>
      </w:pPr>
      <w:r>
        <w:rPr>
          <w:sz w:val="20"/>
        </w:rPr>
      </w:r>
    </w:p>
    <w:p>
      <w:pPr>
        <w:pStyle w:val="2"/>
        <w:outlineLvl w:val="4"/>
        <w:jc w:val="center"/>
      </w:pPr>
      <w:r>
        <w:rPr>
          <w:sz w:val="20"/>
        </w:rPr>
        <w:t xml:space="preserve">3.4.4. Реализация мероприятий, направленных на профилактику</w:t>
      </w:r>
    </w:p>
    <w:p>
      <w:pPr>
        <w:pStyle w:val="2"/>
        <w:jc w:val="center"/>
      </w:pPr>
      <w:r>
        <w:rPr>
          <w:sz w:val="20"/>
        </w:rPr>
        <w:t xml:space="preserve">и раннее выявление незаконного потребления наркотических</w:t>
      </w:r>
    </w:p>
    <w:p>
      <w:pPr>
        <w:pStyle w:val="2"/>
        <w:jc w:val="center"/>
      </w:pPr>
      <w:r>
        <w:rPr>
          <w:sz w:val="20"/>
        </w:rPr>
        <w:t xml:space="preserve">средств и психотропных веществ несовершеннолетними</w:t>
      </w:r>
    </w:p>
    <w:p>
      <w:pPr>
        <w:pStyle w:val="0"/>
        <w:ind w:firstLine="540"/>
        <w:jc w:val="both"/>
      </w:pPr>
      <w:r>
        <w:rPr>
          <w:sz w:val="20"/>
        </w:rPr>
      </w:r>
    </w:p>
    <w:p>
      <w:pPr>
        <w:pStyle w:val="0"/>
        <w:ind w:firstLine="540"/>
        <w:jc w:val="both"/>
      </w:pPr>
      <w:r>
        <w:rPr>
          <w:sz w:val="20"/>
        </w:rPr>
        <w:t xml:space="preserve">В соответствии с </w:t>
      </w:r>
      <w:hyperlink w:history="0" r:id="rId270" w:tooltip="Приказ Минздрава России от 06.10.2014 N 581н (ред. от 19.11.2020) &quot;О Порядке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quot; (Зарегистрировано в Минюсте России 24.12.2014 N 35345) {КонсультантПлюс}">
        <w:r>
          <w:rPr>
            <w:sz w:val="20"/>
            <w:color w:val="0000ff"/>
          </w:rPr>
          <w:t xml:space="preserve">приказом</w:t>
        </w:r>
      </w:hyperlink>
      <w:r>
        <w:rPr>
          <w:sz w:val="20"/>
        </w:rPr>
        <w:t xml:space="preserve"> Минздрава России от 6 октября 2014 года N 581н "О Порядке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 в образовательных организациях автономного округа проводятся профилактические медицинские осмотры обучающихся.</w:t>
      </w:r>
    </w:p>
    <w:p>
      <w:pPr>
        <w:pStyle w:val="0"/>
        <w:spacing w:before="200" w:line-rule="auto"/>
        <w:ind w:firstLine="540"/>
        <w:jc w:val="both"/>
      </w:pPr>
      <w:r>
        <w:rPr>
          <w:sz w:val="20"/>
        </w:rPr>
        <w:t xml:space="preserve">По результатам социально-психологического тестирования, проводимого в общеобразовательных организациях, профессиональных образовательных организациях, образовательных организациях высшего образования автономного округа, формируется группа обучающихся, в отношении которых составляются календарные планы прохождения профилактических медицинских осмотров.</w:t>
      </w:r>
    </w:p>
    <w:p>
      <w:pPr>
        <w:pStyle w:val="0"/>
        <w:spacing w:before="200" w:line-rule="auto"/>
        <w:ind w:firstLine="540"/>
        <w:jc w:val="both"/>
      </w:pPr>
      <w:r>
        <w:rPr>
          <w:sz w:val="20"/>
        </w:rPr>
        <w:t xml:space="preserve">Проведение профилактических информационно-разъяснительных бесед с обучающимися, родителями (законными представителями) по вопросам незаконного потребления наркотических средств и психотропных веществ.</w:t>
      </w:r>
    </w:p>
    <w:p>
      <w:pPr>
        <w:pStyle w:val="0"/>
        <w:spacing w:before="200" w:line-rule="auto"/>
        <w:ind w:firstLine="540"/>
        <w:jc w:val="both"/>
      </w:pPr>
      <w:r>
        <w:rPr>
          <w:sz w:val="20"/>
        </w:rPr>
        <w:t xml:space="preserve">Реализация мероприятия позволит осуществлять раннее выявление незаконного потребления наркотических средств и психотропных веществ несовершеннолетними, а также повысить уровень информированности несовершеннолетних, родителей (законных представителей) по вопросам незаконного потребления наркотических средств и психотропных веществ.</w:t>
      </w:r>
    </w:p>
    <w:p>
      <w:pPr>
        <w:pStyle w:val="0"/>
        <w:spacing w:before="200" w:line-rule="auto"/>
        <w:ind w:firstLine="540"/>
        <w:jc w:val="both"/>
      </w:pPr>
      <w:r>
        <w:rPr>
          <w:sz w:val="20"/>
        </w:rPr>
        <w:t xml:space="preserve">Осуществление информационно-коммуникационных мероприятий не менее 500 ежегодно в период реализации Программы (2023 - 2026 гг.).</w:t>
      </w:r>
    </w:p>
    <w:p>
      <w:pPr>
        <w:pStyle w:val="0"/>
        <w:ind w:firstLine="540"/>
        <w:jc w:val="both"/>
      </w:pPr>
      <w:r>
        <w:rPr>
          <w:sz w:val="20"/>
        </w:rPr>
      </w:r>
    </w:p>
    <w:p>
      <w:pPr>
        <w:pStyle w:val="2"/>
        <w:outlineLvl w:val="4"/>
        <w:jc w:val="center"/>
      </w:pPr>
      <w:r>
        <w:rPr>
          <w:sz w:val="20"/>
        </w:rPr>
        <w:t xml:space="preserve">3.4.5. Реализация мероприятий по работе</w:t>
      </w:r>
    </w:p>
    <w:p>
      <w:pPr>
        <w:pStyle w:val="2"/>
        <w:jc w:val="center"/>
      </w:pPr>
      <w:r>
        <w:rPr>
          <w:sz w:val="20"/>
        </w:rPr>
        <w:t xml:space="preserve">с несовершеннолетними и родителями (законными</w:t>
      </w:r>
    </w:p>
    <w:p>
      <w:pPr>
        <w:pStyle w:val="2"/>
        <w:jc w:val="center"/>
      </w:pPr>
      <w:r>
        <w:rPr>
          <w:sz w:val="20"/>
        </w:rPr>
        <w:t xml:space="preserve">представителями) несовершеннолетних в части информирования</w:t>
      </w:r>
    </w:p>
    <w:p>
      <w:pPr>
        <w:pStyle w:val="2"/>
        <w:jc w:val="center"/>
      </w:pPr>
      <w:r>
        <w:rPr>
          <w:sz w:val="20"/>
        </w:rPr>
        <w:t xml:space="preserve">их о рисках детской смертности от внешних причин (травмы,</w:t>
      </w:r>
    </w:p>
    <w:p>
      <w:pPr>
        <w:pStyle w:val="2"/>
        <w:jc w:val="center"/>
      </w:pPr>
      <w:r>
        <w:rPr>
          <w:sz w:val="20"/>
        </w:rPr>
        <w:t xml:space="preserve">отравления, утопления, асфиксия), о профилактике жестокого</w:t>
      </w:r>
    </w:p>
    <w:p>
      <w:pPr>
        <w:pStyle w:val="2"/>
        <w:jc w:val="center"/>
      </w:pPr>
      <w:r>
        <w:rPr>
          <w:sz w:val="20"/>
        </w:rPr>
        <w:t xml:space="preserve">обращения с детьми и работе с семьями социального риска,</w:t>
      </w:r>
    </w:p>
    <w:p>
      <w:pPr>
        <w:pStyle w:val="2"/>
        <w:jc w:val="center"/>
      </w:pPr>
      <w:r>
        <w:rPr>
          <w:sz w:val="20"/>
        </w:rPr>
        <w:t xml:space="preserve">в том числе в рамках межведомственного взаимодействия</w:t>
      </w:r>
    </w:p>
    <w:p>
      <w:pPr>
        <w:pStyle w:val="2"/>
        <w:jc w:val="center"/>
      </w:pPr>
      <w:r>
        <w:rPr>
          <w:sz w:val="20"/>
        </w:rPr>
        <w:t xml:space="preserve">с органами и учреждениями системы профилактики</w:t>
      </w:r>
    </w:p>
    <w:p>
      <w:pPr>
        <w:pStyle w:val="2"/>
        <w:jc w:val="center"/>
      </w:pPr>
      <w:r>
        <w:rPr>
          <w:sz w:val="20"/>
        </w:rPr>
        <w:t xml:space="preserve">безнадзорности и правонарушений несовершеннолетних</w:t>
      </w:r>
    </w:p>
    <w:p>
      <w:pPr>
        <w:pStyle w:val="0"/>
        <w:ind w:firstLine="540"/>
        <w:jc w:val="both"/>
      </w:pPr>
      <w:r>
        <w:rPr>
          <w:sz w:val="20"/>
        </w:rPr>
      </w:r>
    </w:p>
    <w:p>
      <w:pPr>
        <w:pStyle w:val="0"/>
        <w:ind w:firstLine="540"/>
        <w:jc w:val="both"/>
      </w:pPr>
      <w:r>
        <w:rPr>
          <w:sz w:val="20"/>
        </w:rPr>
        <w:t xml:space="preserve">Предусмотрено: проведение информационной кампании среди несовершеннолетних, родителей (законных представителей) по предупреждению гибели несовершеннолетних от внешних причин (лекции, беседы, статьи в печатных изданиях, в социальных сетях, на официальных сайтах медицинских организаций), информирование специалистами медицинских организаций автономного округа органов и учреждений системы профилактики безнадзорности и правонарушений несовершеннолетних о фактах совершения в отношении несовершеннолетних противоправных деяний, влекущих причинение вреда их здоровью, работа с семьями социального риска, в том числе в условиях межведомственного взаимодействия с органами и учреждениями системы профилактики безнадзорности и правонарушений несовершеннолетних.</w:t>
      </w:r>
    </w:p>
    <w:p>
      <w:pPr>
        <w:pStyle w:val="0"/>
        <w:jc w:val="center"/>
      </w:pPr>
      <w:r>
        <w:rPr>
          <w:sz w:val="20"/>
        </w:rPr>
      </w:r>
    </w:p>
    <w:p>
      <w:pPr>
        <w:pStyle w:val="2"/>
        <w:outlineLvl w:val="4"/>
        <w:jc w:val="center"/>
      </w:pPr>
      <w:r>
        <w:rPr>
          <w:sz w:val="20"/>
        </w:rPr>
        <w:t xml:space="preserve">3.4.6. Реализация мероприятий, направленных на формирование</w:t>
      </w:r>
    </w:p>
    <w:p>
      <w:pPr>
        <w:pStyle w:val="2"/>
        <w:jc w:val="center"/>
      </w:pPr>
      <w:r>
        <w:rPr>
          <w:sz w:val="20"/>
        </w:rPr>
        <w:t xml:space="preserve">приверженности к здоровому образу жизни</w:t>
      </w:r>
    </w:p>
    <w:p>
      <w:pPr>
        <w:pStyle w:val="2"/>
        <w:jc w:val="center"/>
      </w:pPr>
      <w:r>
        <w:rPr>
          <w:sz w:val="20"/>
        </w:rPr>
        <w:t xml:space="preserve">среди несовершеннолетних и их родителей (законных</w:t>
      </w:r>
    </w:p>
    <w:p>
      <w:pPr>
        <w:pStyle w:val="2"/>
        <w:jc w:val="center"/>
      </w:pPr>
      <w:r>
        <w:rPr>
          <w:sz w:val="20"/>
        </w:rPr>
        <w:t xml:space="preserve">представителей)</w:t>
      </w:r>
    </w:p>
    <w:p>
      <w:pPr>
        <w:pStyle w:val="0"/>
        <w:ind w:firstLine="540"/>
        <w:jc w:val="both"/>
      </w:pPr>
      <w:r>
        <w:rPr>
          <w:sz w:val="20"/>
        </w:rPr>
      </w:r>
    </w:p>
    <w:p>
      <w:pPr>
        <w:pStyle w:val="0"/>
        <w:ind w:firstLine="540"/>
        <w:jc w:val="both"/>
      </w:pPr>
      <w:r>
        <w:rPr>
          <w:sz w:val="20"/>
        </w:rPr>
        <w:t xml:space="preserve">Предусмотрено проведение: мероприятий по формированию здорового образа жизни среди несовершеннолетних и их родителей (законных представителей) (лекции, беседы, статьи в печатных изданиях, в социальных сетях), окружного конкурса художественного творчества "Здоровым быть - здорово!", уроков здоровья "Будь здоров!", издание и распространение полиграфической продукции профилактической направленности, месячников профилактической направленности (профилактика детского травматизма, пропаганда здорового образа жизни).</w:t>
      </w:r>
    </w:p>
    <w:p>
      <w:pPr>
        <w:pStyle w:val="0"/>
        <w:ind w:firstLine="540"/>
        <w:jc w:val="both"/>
      </w:pPr>
      <w:r>
        <w:rPr>
          <w:sz w:val="20"/>
        </w:rPr>
      </w:r>
    </w:p>
    <w:p>
      <w:pPr>
        <w:pStyle w:val="2"/>
        <w:outlineLvl w:val="4"/>
        <w:jc w:val="center"/>
      </w:pPr>
      <w:r>
        <w:rPr>
          <w:sz w:val="20"/>
        </w:rPr>
        <w:t xml:space="preserve">3.4.7. Реализация мероприятий по вовлечению</w:t>
      </w:r>
    </w:p>
    <w:p>
      <w:pPr>
        <w:pStyle w:val="2"/>
        <w:jc w:val="center"/>
      </w:pPr>
      <w:r>
        <w:rPr>
          <w:sz w:val="20"/>
        </w:rPr>
        <w:t xml:space="preserve">несовершеннолетних в социально позитивную деятельность</w:t>
      </w:r>
    </w:p>
    <w:p>
      <w:pPr>
        <w:pStyle w:val="0"/>
        <w:ind w:firstLine="540"/>
        <w:jc w:val="both"/>
      </w:pPr>
      <w:r>
        <w:rPr>
          <w:sz w:val="20"/>
        </w:rPr>
      </w:r>
    </w:p>
    <w:p>
      <w:pPr>
        <w:pStyle w:val="0"/>
        <w:ind w:firstLine="540"/>
        <w:jc w:val="both"/>
      </w:pPr>
      <w:r>
        <w:rPr>
          <w:sz w:val="20"/>
        </w:rPr>
        <w:t xml:space="preserve">Предусмотрено вовлечение несовершеннолетних в волонтерское движение, участие несовершеннолетних в реализации учебно-образовательного проекта "Я могу спасти жизнь!".</w:t>
      </w:r>
    </w:p>
    <w:p>
      <w:pPr>
        <w:pStyle w:val="0"/>
        <w:ind w:firstLine="540"/>
        <w:jc w:val="both"/>
      </w:pPr>
      <w:r>
        <w:rPr>
          <w:sz w:val="20"/>
        </w:rPr>
      </w:r>
    </w:p>
    <w:p>
      <w:pPr>
        <w:pStyle w:val="2"/>
        <w:outlineLvl w:val="4"/>
        <w:jc w:val="center"/>
      </w:pPr>
      <w:r>
        <w:rPr>
          <w:sz w:val="20"/>
        </w:rPr>
        <w:t xml:space="preserve">3.4.8. Организация сбора и анализа статистических данных</w:t>
      </w:r>
    </w:p>
    <w:p>
      <w:pPr>
        <w:pStyle w:val="2"/>
        <w:jc w:val="center"/>
      </w:pPr>
      <w:r>
        <w:rPr>
          <w:sz w:val="20"/>
        </w:rPr>
        <w:t xml:space="preserve">по заболеваемости, смертности детского населения</w:t>
      </w:r>
    </w:p>
    <w:p>
      <w:pPr>
        <w:pStyle w:val="0"/>
        <w:jc w:val="center"/>
      </w:pPr>
      <w:r>
        <w:rPr>
          <w:sz w:val="20"/>
        </w:rPr>
      </w:r>
    </w:p>
    <w:p>
      <w:pPr>
        <w:pStyle w:val="0"/>
        <w:ind w:firstLine="540"/>
        <w:jc w:val="both"/>
      </w:pPr>
      <w:r>
        <w:rPr>
          <w:sz w:val="20"/>
        </w:rPr>
        <w:t xml:space="preserve">Ежеквартальный сбор форм федерального статистического наблюдения N 12 "Сведения о числе заболеваний, зарегистрированных у пациентов, проживающих в районе обслуживания медицинской организации", анализ данных Росстата по детской смертности от внешних причин в период реализации Программы (2023 - 2026 гг.).</w:t>
      </w:r>
    </w:p>
    <w:p>
      <w:pPr>
        <w:pStyle w:val="0"/>
        <w:ind w:firstLine="540"/>
        <w:jc w:val="both"/>
      </w:pPr>
      <w:r>
        <w:rPr>
          <w:sz w:val="20"/>
        </w:rPr>
      </w:r>
    </w:p>
    <w:p>
      <w:pPr>
        <w:pStyle w:val="2"/>
        <w:outlineLvl w:val="1"/>
        <w:jc w:val="center"/>
      </w:pPr>
      <w:r>
        <w:rPr>
          <w:sz w:val="20"/>
        </w:rPr>
        <w:t xml:space="preserve">Раздел IV. РЕЗУЛЬТАТЫ ПРОГРАММЫ</w:t>
      </w:r>
    </w:p>
    <w:p>
      <w:pPr>
        <w:pStyle w:val="0"/>
        <w:jc w:val="right"/>
      </w:pPr>
      <w:r>
        <w:rPr>
          <w:sz w:val="20"/>
        </w:rPr>
      </w:r>
    </w:p>
    <w:p>
      <w:pPr>
        <w:pStyle w:val="0"/>
        <w:jc w:val="right"/>
      </w:pPr>
      <w:r>
        <w:rPr>
          <w:sz w:val="20"/>
        </w:rPr>
        <w:t xml:space="preserve">Таблица 11</w:t>
      </w:r>
    </w:p>
    <w:p>
      <w:pPr>
        <w:pStyle w:val="0"/>
        <w:jc w:val="right"/>
      </w:pPr>
      <w:r>
        <w:rPr>
          <w:sz w:val="20"/>
        </w:rPr>
      </w:r>
    </w:p>
    <w:p>
      <w:pPr>
        <w:pStyle w:val="0"/>
        <w:jc w:val="center"/>
      </w:pPr>
      <w:r>
        <w:rPr>
          <w:sz w:val="20"/>
        </w:rPr>
        <w:t xml:space="preserve">Индикативные показатели Программы в автономном округе</w:t>
      </w:r>
    </w:p>
    <w:p>
      <w:pPr>
        <w:pStyle w:val="0"/>
        <w:jc w:val="right"/>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75"/>
        <w:gridCol w:w="4819"/>
        <w:gridCol w:w="848"/>
        <w:gridCol w:w="990"/>
        <w:gridCol w:w="848"/>
        <w:gridCol w:w="846"/>
      </w:tblGrid>
      <w:tr>
        <w:tc>
          <w:tcPr>
            <w:tcW w:w="675" w:type="dxa"/>
          </w:tcPr>
          <w:p>
            <w:pPr>
              <w:pStyle w:val="0"/>
              <w:jc w:val="center"/>
            </w:pPr>
            <w:r>
              <w:rPr>
                <w:sz w:val="20"/>
              </w:rPr>
              <w:t xml:space="preserve">N п/п</w:t>
            </w:r>
          </w:p>
        </w:tc>
        <w:tc>
          <w:tcPr>
            <w:tcW w:w="4819" w:type="dxa"/>
          </w:tcPr>
          <w:p>
            <w:pPr>
              <w:pStyle w:val="0"/>
              <w:jc w:val="center"/>
            </w:pPr>
            <w:r>
              <w:rPr>
                <w:sz w:val="20"/>
              </w:rPr>
              <w:t xml:space="preserve">Наименование индикативного показателя</w:t>
            </w:r>
          </w:p>
        </w:tc>
        <w:tc>
          <w:tcPr>
            <w:tcW w:w="848" w:type="dxa"/>
          </w:tcPr>
          <w:p>
            <w:pPr>
              <w:pStyle w:val="0"/>
              <w:jc w:val="center"/>
            </w:pPr>
            <w:r>
              <w:rPr>
                <w:sz w:val="20"/>
              </w:rPr>
              <w:t xml:space="preserve">2023 год</w:t>
            </w:r>
          </w:p>
        </w:tc>
        <w:tc>
          <w:tcPr>
            <w:tcW w:w="990" w:type="dxa"/>
          </w:tcPr>
          <w:p>
            <w:pPr>
              <w:pStyle w:val="0"/>
              <w:jc w:val="center"/>
            </w:pPr>
            <w:r>
              <w:rPr>
                <w:sz w:val="20"/>
              </w:rPr>
              <w:t xml:space="preserve">2024 год</w:t>
            </w:r>
          </w:p>
        </w:tc>
        <w:tc>
          <w:tcPr>
            <w:tcW w:w="848" w:type="dxa"/>
          </w:tcPr>
          <w:p>
            <w:pPr>
              <w:pStyle w:val="0"/>
              <w:jc w:val="center"/>
            </w:pPr>
            <w:r>
              <w:rPr>
                <w:sz w:val="20"/>
              </w:rPr>
              <w:t xml:space="preserve">2025 год</w:t>
            </w:r>
          </w:p>
        </w:tc>
        <w:tc>
          <w:tcPr>
            <w:tcW w:w="846" w:type="dxa"/>
          </w:tcPr>
          <w:p>
            <w:pPr>
              <w:pStyle w:val="0"/>
              <w:jc w:val="center"/>
            </w:pPr>
            <w:r>
              <w:rPr>
                <w:sz w:val="20"/>
              </w:rPr>
              <w:t xml:space="preserve">2026 год</w:t>
            </w:r>
          </w:p>
        </w:tc>
      </w:tr>
      <w:tr>
        <w:tc>
          <w:tcPr>
            <w:tcW w:w="675" w:type="dxa"/>
          </w:tcPr>
          <w:p>
            <w:pPr>
              <w:pStyle w:val="0"/>
              <w:jc w:val="center"/>
            </w:pPr>
            <w:r>
              <w:rPr>
                <w:sz w:val="20"/>
              </w:rPr>
              <w:t xml:space="preserve">1.</w:t>
            </w:r>
          </w:p>
        </w:tc>
        <w:tc>
          <w:tcPr>
            <w:tcW w:w="4819" w:type="dxa"/>
          </w:tcPr>
          <w:p>
            <w:pPr>
              <w:pStyle w:val="0"/>
            </w:pPr>
            <w:r>
              <w:rPr>
                <w:sz w:val="20"/>
              </w:rPr>
              <w:t xml:space="preserve">Показатель "Младенческая смертность на 1000 родившихся живыми" (%)</w:t>
            </w:r>
          </w:p>
        </w:tc>
        <w:tc>
          <w:tcPr>
            <w:tcW w:w="848" w:type="dxa"/>
          </w:tcPr>
          <w:p>
            <w:pPr>
              <w:pStyle w:val="0"/>
              <w:jc w:val="center"/>
            </w:pPr>
            <w:r>
              <w:rPr>
                <w:sz w:val="20"/>
              </w:rPr>
              <w:t xml:space="preserve">3,8</w:t>
            </w:r>
          </w:p>
        </w:tc>
        <w:tc>
          <w:tcPr>
            <w:tcW w:w="990" w:type="dxa"/>
          </w:tcPr>
          <w:p>
            <w:pPr>
              <w:pStyle w:val="0"/>
              <w:jc w:val="center"/>
            </w:pPr>
            <w:r>
              <w:rPr>
                <w:sz w:val="20"/>
              </w:rPr>
              <w:t xml:space="preserve">3,7</w:t>
            </w:r>
          </w:p>
        </w:tc>
        <w:tc>
          <w:tcPr>
            <w:tcW w:w="848" w:type="dxa"/>
          </w:tcPr>
          <w:p>
            <w:pPr>
              <w:pStyle w:val="0"/>
              <w:jc w:val="center"/>
            </w:pPr>
            <w:r>
              <w:rPr>
                <w:sz w:val="20"/>
              </w:rPr>
              <w:t xml:space="preserve">3,7</w:t>
            </w:r>
          </w:p>
        </w:tc>
        <w:tc>
          <w:tcPr>
            <w:tcW w:w="846" w:type="dxa"/>
          </w:tcPr>
          <w:p>
            <w:pPr>
              <w:pStyle w:val="0"/>
              <w:jc w:val="center"/>
            </w:pPr>
            <w:r>
              <w:rPr>
                <w:sz w:val="20"/>
              </w:rPr>
              <w:t xml:space="preserve">3,7</w:t>
            </w:r>
          </w:p>
        </w:tc>
      </w:tr>
      <w:tr>
        <w:tc>
          <w:tcPr>
            <w:tcW w:w="675" w:type="dxa"/>
          </w:tcPr>
          <w:p>
            <w:pPr>
              <w:pStyle w:val="0"/>
              <w:jc w:val="center"/>
            </w:pPr>
            <w:r>
              <w:rPr>
                <w:sz w:val="20"/>
              </w:rPr>
              <w:t xml:space="preserve">2.</w:t>
            </w:r>
          </w:p>
        </w:tc>
        <w:tc>
          <w:tcPr>
            <w:tcW w:w="4819" w:type="dxa"/>
          </w:tcPr>
          <w:p>
            <w:pPr>
              <w:pStyle w:val="0"/>
            </w:pPr>
            <w:r>
              <w:rPr>
                <w:sz w:val="20"/>
              </w:rPr>
              <w:t xml:space="preserve">Показатель "Смертность детей в возрасте 0 - 4 года на 1000 родившихся живыми" (%)</w:t>
            </w:r>
          </w:p>
        </w:tc>
        <w:tc>
          <w:tcPr>
            <w:tcW w:w="848" w:type="dxa"/>
          </w:tcPr>
          <w:p>
            <w:pPr>
              <w:pStyle w:val="0"/>
              <w:jc w:val="center"/>
            </w:pPr>
            <w:r>
              <w:rPr>
                <w:sz w:val="20"/>
              </w:rPr>
              <w:t xml:space="preserve">4,5</w:t>
            </w:r>
          </w:p>
        </w:tc>
        <w:tc>
          <w:tcPr>
            <w:tcW w:w="990" w:type="dxa"/>
          </w:tcPr>
          <w:p>
            <w:pPr>
              <w:pStyle w:val="0"/>
              <w:jc w:val="center"/>
            </w:pPr>
            <w:r>
              <w:rPr>
                <w:sz w:val="20"/>
              </w:rPr>
              <w:t xml:space="preserve">4,0</w:t>
            </w:r>
          </w:p>
        </w:tc>
        <w:tc>
          <w:tcPr>
            <w:tcW w:w="848" w:type="dxa"/>
          </w:tcPr>
          <w:p>
            <w:pPr>
              <w:pStyle w:val="0"/>
              <w:jc w:val="center"/>
            </w:pPr>
            <w:r>
              <w:rPr>
                <w:sz w:val="20"/>
              </w:rPr>
              <w:t xml:space="preserve">4,0</w:t>
            </w:r>
          </w:p>
        </w:tc>
        <w:tc>
          <w:tcPr>
            <w:tcW w:w="846" w:type="dxa"/>
          </w:tcPr>
          <w:p>
            <w:pPr>
              <w:pStyle w:val="0"/>
              <w:jc w:val="center"/>
            </w:pPr>
            <w:r>
              <w:rPr>
                <w:sz w:val="20"/>
              </w:rPr>
              <w:t xml:space="preserve">4,0</w:t>
            </w:r>
          </w:p>
        </w:tc>
      </w:tr>
      <w:tr>
        <w:tc>
          <w:tcPr>
            <w:tcW w:w="675" w:type="dxa"/>
          </w:tcPr>
          <w:p>
            <w:pPr>
              <w:pStyle w:val="0"/>
              <w:jc w:val="center"/>
            </w:pPr>
            <w:r>
              <w:rPr>
                <w:sz w:val="20"/>
              </w:rPr>
              <w:t xml:space="preserve">3.</w:t>
            </w:r>
          </w:p>
        </w:tc>
        <w:tc>
          <w:tcPr>
            <w:tcW w:w="4819" w:type="dxa"/>
          </w:tcPr>
          <w:p>
            <w:pPr>
              <w:pStyle w:val="0"/>
            </w:pPr>
            <w:r>
              <w:rPr>
                <w:sz w:val="20"/>
              </w:rPr>
              <w:t xml:space="preserve">Показатель "Смертности детей в возрасте 0 - 17 лет на 100 000 детей соответствующего возраста"</w:t>
            </w:r>
          </w:p>
        </w:tc>
        <w:tc>
          <w:tcPr>
            <w:tcW w:w="848" w:type="dxa"/>
          </w:tcPr>
          <w:p>
            <w:pPr>
              <w:pStyle w:val="0"/>
              <w:jc w:val="center"/>
            </w:pPr>
            <w:r>
              <w:rPr>
                <w:sz w:val="20"/>
              </w:rPr>
              <w:t xml:space="preserve">41,0</w:t>
            </w:r>
          </w:p>
        </w:tc>
        <w:tc>
          <w:tcPr>
            <w:tcW w:w="990" w:type="dxa"/>
          </w:tcPr>
          <w:p>
            <w:pPr>
              <w:pStyle w:val="0"/>
              <w:jc w:val="center"/>
            </w:pPr>
            <w:r>
              <w:rPr>
                <w:sz w:val="20"/>
              </w:rPr>
              <w:t xml:space="preserve">39,0</w:t>
            </w:r>
          </w:p>
        </w:tc>
        <w:tc>
          <w:tcPr>
            <w:tcW w:w="848" w:type="dxa"/>
          </w:tcPr>
          <w:p>
            <w:pPr>
              <w:pStyle w:val="0"/>
              <w:jc w:val="center"/>
            </w:pPr>
            <w:r>
              <w:rPr>
                <w:sz w:val="20"/>
              </w:rPr>
              <w:t xml:space="preserve">39,0</w:t>
            </w:r>
          </w:p>
        </w:tc>
        <w:tc>
          <w:tcPr>
            <w:tcW w:w="846" w:type="dxa"/>
          </w:tcPr>
          <w:p>
            <w:pPr>
              <w:pStyle w:val="0"/>
              <w:jc w:val="center"/>
            </w:pPr>
            <w:r>
              <w:rPr>
                <w:sz w:val="20"/>
              </w:rPr>
              <w:t xml:space="preserve">39,0</w:t>
            </w:r>
          </w:p>
        </w:tc>
      </w:tr>
    </w:tbl>
    <w:p>
      <w:pPr>
        <w:pStyle w:val="0"/>
        <w:ind w:firstLine="540"/>
        <w:jc w:val="both"/>
      </w:pPr>
      <w:r>
        <w:rPr>
          <w:sz w:val="20"/>
        </w:rPr>
      </w:r>
    </w:p>
    <w:p>
      <w:pPr>
        <w:pStyle w:val="0"/>
        <w:ind w:firstLine="540"/>
        <w:jc w:val="both"/>
      </w:pPr>
      <w:r>
        <w:rPr>
          <w:sz w:val="20"/>
        </w:rPr>
        <w:t xml:space="preserve">Результатами Программы являются:</w:t>
      </w:r>
    </w:p>
    <w:p>
      <w:pPr>
        <w:pStyle w:val="0"/>
        <w:spacing w:before="200" w:line-rule="auto"/>
        <w:ind w:firstLine="540"/>
        <w:jc w:val="both"/>
      </w:pPr>
      <w:r>
        <w:rPr>
          <w:sz w:val="20"/>
        </w:rPr>
        <w:t xml:space="preserve">1. Актуализирована региональным приказом оптимальная маршрутизация, основанная на существующей инфраструктуре автономного округа, обеспечивающей оказание медицинской помощи несовершеннолетним.</w:t>
      </w:r>
    </w:p>
    <w:p>
      <w:pPr>
        <w:pStyle w:val="0"/>
        <w:spacing w:before="200" w:line-rule="auto"/>
        <w:ind w:firstLine="540"/>
        <w:jc w:val="both"/>
      </w:pPr>
      <w:r>
        <w:rPr>
          <w:sz w:val="20"/>
        </w:rPr>
        <w:t xml:space="preserve">2. Созданы условия для проведения мероприятий, направленных на профилактику совершения несовершеннолетними суицидальных попыток.</w:t>
      </w:r>
    </w:p>
    <w:p>
      <w:pPr>
        <w:pStyle w:val="0"/>
        <w:spacing w:before="200" w:line-rule="auto"/>
        <w:ind w:firstLine="540"/>
        <w:jc w:val="both"/>
      </w:pPr>
      <w:r>
        <w:rPr>
          <w:sz w:val="20"/>
        </w:rPr>
        <w:t xml:space="preserve">3. Проводятся профилактические медицинские осмотры обучающихся в целях раннего выявления незаконного потребления наркотических средств и психотропных веществ, ведутся профилактические информационно-разъяснительные беседы с обучающимися, родителями (законными представителями) по вопросам незаконного потребления наркотических средств и психотропных веществ.</w:t>
      </w:r>
    </w:p>
    <w:p>
      <w:pPr>
        <w:pStyle w:val="0"/>
        <w:spacing w:before="200" w:line-rule="auto"/>
        <w:ind w:firstLine="540"/>
        <w:jc w:val="both"/>
      </w:pPr>
      <w:r>
        <w:rPr>
          <w:sz w:val="20"/>
        </w:rPr>
        <w:t xml:space="preserve">4. Проводится информационная кампания среди несовершеннолетних, родителей (законных представителей) по предупреждению гибели несовершеннолетних от внешних причин, среди органов и учреждений системы профилактики безнадзорности и правонарушений несовершеннолетних о фактах совершения в отношении несовершеннолетних противоправных деяний, влекущих причинение вреда их здоровью, профилактическая работа с семьями социального риска, в том числе в условиях межведомственного взаимодействия с органами и учреждениями системы профилактики безнадзорности и правонарушений несовершеннолетних.</w:t>
      </w:r>
    </w:p>
    <w:p>
      <w:pPr>
        <w:pStyle w:val="0"/>
        <w:spacing w:before="200" w:line-rule="auto"/>
        <w:ind w:firstLine="540"/>
        <w:jc w:val="both"/>
      </w:pPr>
      <w:r>
        <w:rPr>
          <w:sz w:val="20"/>
        </w:rPr>
        <w:t xml:space="preserve">5. Сформирована приверженность несовершеннолетних к ведению здорового образа жизни, они вовлечены в социально позитивную деятельность.</w:t>
      </w:r>
    </w:p>
    <w:p>
      <w:pPr>
        <w:pStyle w:val="0"/>
        <w:spacing w:before="200" w:line-rule="auto"/>
        <w:ind w:firstLine="540"/>
        <w:jc w:val="both"/>
      </w:pPr>
      <w:r>
        <w:rPr>
          <w:sz w:val="20"/>
        </w:rPr>
        <w:t xml:space="preserve">6. Организован сбор достоверных статистических данных по заболеваемости (класс по МКБ-Х: S00-T98: травмы, отравления и некоторые другие последствия воздействия внешних причин), детской смертности, в том числе от внешних причин.</w:t>
      </w:r>
    </w:p>
    <w:p>
      <w:pPr>
        <w:pStyle w:val="0"/>
        <w:ind w:firstLine="540"/>
        <w:jc w:val="both"/>
      </w:pPr>
      <w:r>
        <w:rPr>
          <w:sz w:val="20"/>
        </w:rPr>
      </w:r>
    </w:p>
    <w:p>
      <w:pPr>
        <w:pStyle w:val="2"/>
        <w:outlineLvl w:val="1"/>
        <w:jc w:val="center"/>
      </w:pPr>
      <w:r>
        <w:rPr>
          <w:sz w:val="20"/>
        </w:rPr>
        <w:t xml:space="preserve">Раздел V. СРОКИ РЕАЛИЗАЦИИ ПРОГРАММЫ</w:t>
      </w:r>
    </w:p>
    <w:p>
      <w:pPr>
        <w:pStyle w:val="0"/>
        <w:ind w:firstLine="540"/>
        <w:jc w:val="both"/>
      </w:pPr>
      <w:r>
        <w:rPr>
          <w:sz w:val="20"/>
        </w:rPr>
      </w:r>
    </w:p>
    <w:p>
      <w:pPr>
        <w:pStyle w:val="0"/>
        <w:ind w:firstLine="540"/>
        <w:jc w:val="both"/>
      </w:pPr>
      <w:r>
        <w:rPr>
          <w:sz w:val="20"/>
        </w:rPr>
        <w:t xml:space="preserve">Программа реализуется в период 2023 - 2026 годов.</w:t>
      </w:r>
    </w:p>
    <w:p>
      <w:pPr>
        <w:pStyle w:val="0"/>
        <w:ind w:firstLine="540"/>
        <w:jc w:val="both"/>
      </w:pPr>
      <w:r>
        <w:rPr>
          <w:sz w:val="20"/>
        </w:rPr>
      </w:r>
    </w:p>
    <w:p>
      <w:pPr>
        <w:pStyle w:val="2"/>
        <w:outlineLvl w:val="1"/>
        <w:jc w:val="center"/>
      </w:pPr>
      <w:r>
        <w:rPr>
          <w:sz w:val="20"/>
        </w:rPr>
        <w:t xml:space="preserve">Раздел VI. ФИНАНСОВО-ЭКОНОМИЧЕСКОЕ ОБОСНОВАНИЕ ПРОГРАММЫ</w:t>
      </w:r>
    </w:p>
    <w:p>
      <w:pPr>
        <w:pStyle w:val="0"/>
        <w:ind w:firstLine="540"/>
        <w:jc w:val="both"/>
      </w:pPr>
      <w:r>
        <w:rPr>
          <w:sz w:val="20"/>
        </w:rPr>
      </w:r>
    </w:p>
    <w:p>
      <w:pPr>
        <w:pStyle w:val="0"/>
        <w:ind w:firstLine="540"/>
        <w:jc w:val="both"/>
      </w:pPr>
      <w:r>
        <w:rPr>
          <w:sz w:val="20"/>
        </w:rPr>
        <w:t xml:space="preserve">Финансирование осуществляется в пределах текущего финансирования, предусмотренного государственной программой автономного округа "Современное здравоохранение" (мероприятия по компетенции Департамента здравоохранения автономного округа).</w:t>
      </w:r>
    </w:p>
    <w:p>
      <w:pPr>
        <w:pStyle w:val="0"/>
        <w:jc w:val="center"/>
      </w:pPr>
      <w:r>
        <w:rPr>
          <w:sz w:val="20"/>
        </w:rPr>
      </w:r>
    </w:p>
    <w:p>
      <w:pPr>
        <w:pStyle w:val="2"/>
        <w:outlineLvl w:val="1"/>
        <w:jc w:val="center"/>
      </w:pPr>
      <w:r>
        <w:rPr>
          <w:sz w:val="20"/>
        </w:rPr>
        <w:t xml:space="preserve">Раздел VII. СОЦИАЛЬНО ЗНАЧИМЫЙ РЕЗУЛЬТАТ ПРОГРАММЫ</w:t>
      </w:r>
    </w:p>
    <w:p>
      <w:pPr>
        <w:pStyle w:val="2"/>
        <w:jc w:val="center"/>
      </w:pPr>
      <w:r>
        <w:rPr>
          <w:sz w:val="20"/>
        </w:rPr>
        <w:t xml:space="preserve">В АВТОНОМНОМ ОКРУГЕ</w:t>
      </w:r>
    </w:p>
    <w:p>
      <w:pPr>
        <w:pStyle w:val="0"/>
        <w:ind w:firstLine="540"/>
        <w:jc w:val="both"/>
      </w:pPr>
      <w:r>
        <w:rPr>
          <w:sz w:val="20"/>
        </w:rPr>
      </w:r>
    </w:p>
    <w:p>
      <w:pPr>
        <w:pStyle w:val="0"/>
        <w:ind w:firstLine="540"/>
        <w:jc w:val="both"/>
      </w:pPr>
      <w:r>
        <w:rPr>
          <w:sz w:val="20"/>
        </w:rPr>
        <w:t xml:space="preserve">Реализация Программы позволит совершенствовать существующий уровень организации работы в части профилактики детской смертности от внешних причин: от организации информационной кампании по предупреждению гибели несовершеннолетних от внешних причин, пропаганды здорового образа жизни, раннего выявления незаконного потребления несовершеннолетними наркотических средств и психотропных веществ, выявления детей группы риска по совершению суицидальных попыток, выявления детей, подвергшихся противоправным действиям, выявления семей, относящихся к группе социального риска до оказания медицинской помощи несовершеннолетним, пострадавшим от внешних причин, и проведения профилактической межведомственной работы с участием органов и учреждений системы профилактики безнадзорности и правонарушений несовершеннолетних, что обеспечит дальнейшее снижение младенческой и детской смертности.</w:t>
      </w:r>
    </w:p>
    <w:p>
      <w:pPr>
        <w:pStyle w:val="0"/>
        <w:spacing w:before="200" w:line-rule="auto"/>
        <w:ind w:firstLine="540"/>
        <w:jc w:val="both"/>
      </w:pPr>
      <w:r>
        <w:rPr>
          <w:sz w:val="20"/>
        </w:rPr>
        <w:t xml:space="preserve">В итоге в автономном округе будет достигнут показатель младенческой смертности 3,7 на 1000 новорожденных, родившихся живыми, смертности детей в возрасте 0 - 4 года на 1000 родившихся живыми до 4,0 </w:t>
      </w:r>
      <w:r>
        <w:rPr>
          <w:sz w:val="20"/>
          <w:vertAlign w:val="superscript"/>
        </w:rPr>
        <w:t xml:space="preserve">0</w:t>
      </w:r>
      <w:r>
        <w:rPr>
          <w:sz w:val="20"/>
        </w:rPr>
        <w:t xml:space="preserve">/</w:t>
      </w:r>
      <w:r>
        <w:rPr>
          <w:sz w:val="20"/>
          <w:vertAlign w:val="subscript"/>
        </w:rPr>
        <w:t xml:space="preserve">00</w:t>
      </w:r>
      <w:r>
        <w:rPr>
          <w:sz w:val="20"/>
        </w:rPr>
        <w:t xml:space="preserve">, смертности детей в возрасте 0 - 17 лет на 100 000 детей соответствующего возраста до 39,0 на 100 000 детей соответствующего возраста к 2026 году.</w:t>
      </w:r>
    </w:p>
    <w:p>
      <w:pPr>
        <w:pStyle w:val="0"/>
        <w:ind w:firstLine="540"/>
        <w:jc w:val="both"/>
      </w:pPr>
      <w:r>
        <w:rPr>
          <w:sz w:val="20"/>
        </w:rPr>
      </w:r>
    </w:p>
    <w:p>
      <w:pPr>
        <w:pStyle w:val="0"/>
        <w:jc w:val="right"/>
      </w:pPr>
      <w:r>
        <w:rPr>
          <w:sz w:val="20"/>
        </w:rPr>
        <w:t xml:space="preserve">Таблица 12</w:t>
      </w:r>
    </w:p>
    <w:p>
      <w:pPr>
        <w:pStyle w:val="0"/>
        <w:jc w:val="right"/>
      </w:pPr>
      <w:r>
        <w:rPr>
          <w:sz w:val="20"/>
        </w:rPr>
      </w:r>
    </w:p>
    <w:p>
      <w:pPr>
        <w:pStyle w:val="0"/>
        <w:jc w:val="center"/>
      </w:pPr>
      <w:r>
        <w:rPr>
          <w:sz w:val="20"/>
        </w:rPr>
        <w:t xml:space="preserve">План мероприятий Программы автономного округа по снижению</w:t>
      </w:r>
    </w:p>
    <w:p>
      <w:pPr>
        <w:pStyle w:val="0"/>
        <w:jc w:val="center"/>
      </w:pPr>
      <w:r>
        <w:rPr>
          <w:sz w:val="20"/>
        </w:rPr>
        <w:t xml:space="preserve">смертности среди несовершеннолетних от внешних причин</w:t>
      </w:r>
    </w:p>
    <w:p>
      <w:pPr>
        <w:pStyle w:val="0"/>
        <w:jc w:val="center"/>
      </w:pPr>
      <w:r>
        <w:rPr>
          <w:sz w:val="20"/>
        </w:rPr>
        <w:t xml:space="preserve">на период 2023 - 2026 годов</w:t>
      </w:r>
    </w:p>
    <w:p>
      <w:pPr>
        <w:pStyle w:val="0"/>
        <w:jc w:val="right"/>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4"/>
        <w:gridCol w:w="3649"/>
        <w:gridCol w:w="1077"/>
        <w:gridCol w:w="1204"/>
        <w:gridCol w:w="2891"/>
        <w:gridCol w:w="3572"/>
        <w:gridCol w:w="2948"/>
        <w:gridCol w:w="3458"/>
      </w:tblGrid>
      <w:tr>
        <w:tc>
          <w:tcPr>
            <w:tcW w:w="484" w:type="dxa"/>
            <w:vMerge w:val="restart"/>
          </w:tcPr>
          <w:p>
            <w:pPr>
              <w:pStyle w:val="0"/>
              <w:jc w:val="center"/>
            </w:pPr>
            <w:r>
              <w:rPr>
                <w:sz w:val="20"/>
              </w:rPr>
              <w:t xml:space="preserve">N п/п</w:t>
            </w:r>
          </w:p>
        </w:tc>
        <w:tc>
          <w:tcPr>
            <w:tcW w:w="3649" w:type="dxa"/>
            <w:vMerge w:val="restart"/>
          </w:tcPr>
          <w:p>
            <w:pPr>
              <w:pStyle w:val="0"/>
              <w:jc w:val="center"/>
            </w:pPr>
            <w:r>
              <w:rPr>
                <w:sz w:val="20"/>
              </w:rPr>
              <w:t xml:space="preserve">Наименование мероприятия</w:t>
            </w:r>
          </w:p>
        </w:tc>
        <w:tc>
          <w:tcPr>
            <w:gridSpan w:val="2"/>
            <w:tcW w:w="2281" w:type="dxa"/>
          </w:tcPr>
          <w:p>
            <w:pPr>
              <w:pStyle w:val="0"/>
              <w:jc w:val="center"/>
            </w:pPr>
            <w:r>
              <w:rPr>
                <w:sz w:val="20"/>
              </w:rPr>
              <w:t xml:space="preserve">Сроки реализации</w:t>
            </w:r>
          </w:p>
        </w:tc>
        <w:tc>
          <w:tcPr>
            <w:tcW w:w="2891" w:type="dxa"/>
            <w:vMerge w:val="restart"/>
          </w:tcPr>
          <w:p>
            <w:pPr>
              <w:pStyle w:val="0"/>
              <w:jc w:val="center"/>
            </w:pPr>
            <w:r>
              <w:rPr>
                <w:sz w:val="20"/>
              </w:rPr>
              <w:t xml:space="preserve">Ответственный исполнитель</w:t>
            </w:r>
          </w:p>
        </w:tc>
        <w:tc>
          <w:tcPr>
            <w:tcW w:w="3572" w:type="dxa"/>
            <w:vMerge w:val="restart"/>
          </w:tcPr>
          <w:p>
            <w:pPr>
              <w:pStyle w:val="0"/>
              <w:jc w:val="center"/>
            </w:pPr>
            <w:r>
              <w:rPr>
                <w:sz w:val="20"/>
              </w:rPr>
              <w:t xml:space="preserve">Наименование результата, на достижение которого направлено мероприятие</w:t>
            </w:r>
          </w:p>
        </w:tc>
        <w:tc>
          <w:tcPr>
            <w:tcW w:w="2948" w:type="dxa"/>
            <w:vMerge w:val="restart"/>
          </w:tcPr>
          <w:p>
            <w:pPr>
              <w:pStyle w:val="0"/>
              <w:jc w:val="center"/>
            </w:pPr>
            <w:r>
              <w:rPr>
                <w:sz w:val="20"/>
              </w:rPr>
              <w:t xml:space="preserve">Вид документа (источник, на основании которого фиксируется достижение результата)</w:t>
            </w:r>
          </w:p>
        </w:tc>
        <w:tc>
          <w:tcPr>
            <w:tcW w:w="3458" w:type="dxa"/>
            <w:vMerge w:val="restart"/>
          </w:tcPr>
          <w:p>
            <w:pPr>
              <w:pStyle w:val="0"/>
              <w:jc w:val="center"/>
            </w:pPr>
            <w:r>
              <w:rPr>
                <w:sz w:val="20"/>
              </w:rPr>
              <w:t xml:space="preserve">Результат в указанном периоде</w:t>
            </w:r>
          </w:p>
        </w:tc>
      </w:tr>
      <w:tr>
        <w:tc>
          <w:tcPr>
            <w:vMerge w:val="continue"/>
          </w:tcPr>
          <w:p/>
        </w:tc>
        <w:tc>
          <w:tcPr>
            <w:vMerge w:val="continue"/>
          </w:tcPr>
          <w:p/>
        </w:tc>
        <w:tc>
          <w:tcPr>
            <w:tcW w:w="1077" w:type="dxa"/>
          </w:tcPr>
          <w:p>
            <w:pPr>
              <w:pStyle w:val="0"/>
              <w:jc w:val="center"/>
            </w:pPr>
            <w:r>
              <w:rPr>
                <w:sz w:val="20"/>
              </w:rPr>
              <w:t xml:space="preserve">начало</w:t>
            </w:r>
          </w:p>
        </w:tc>
        <w:tc>
          <w:tcPr>
            <w:tcW w:w="1204" w:type="dxa"/>
          </w:tcPr>
          <w:p>
            <w:pPr>
              <w:pStyle w:val="0"/>
              <w:jc w:val="center"/>
            </w:pPr>
            <w:r>
              <w:rPr>
                <w:sz w:val="20"/>
              </w:rPr>
              <w:t xml:space="preserve">окончание</w:t>
            </w:r>
          </w:p>
        </w:tc>
        <w:tc>
          <w:tcPr>
            <w:vMerge w:val="continue"/>
          </w:tcPr>
          <w:p/>
        </w:tc>
        <w:tc>
          <w:tcPr>
            <w:vMerge w:val="continue"/>
          </w:tcPr>
          <w:p/>
        </w:tc>
        <w:tc>
          <w:tcPr>
            <w:vMerge w:val="continue"/>
          </w:tcPr>
          <w:p/>
        </w:tc>
        <w:tc>
          <w:tcPr>
            <w:vMerge w:val="continue"/>
          </w:tcPr>
          <w:p/>
        </w:tc>
      </w:tr>
      <w:tr>
        <w:tc>
          <w:tcPr>
            <w:tcW w:w="484" w:type="dxa"/>
          </w:tcPr>
          <w:p>
            <w:pPr>
              <w:pStyle w:val="0"/>
            </w:pPr>
            <w:r>
              <w:rPr>
                <w:sz w:val="20"/>
              </w:rPr>
              <w:t xml:space="preserve">1.</w:t>
            </w:r>
          </w:p>
        </w:tc>
        <w:tc>
          <w:tcPr>
            <w:gridSpan w:val="7"/>
            <w:tcW w:w="18799" w:type="dxa"/>
          </w:tcPr>
          <w:p>
            <w:pPr>
              <w:pStyle w:val="0"/>
            </w:pPr>
            <w:r>
              <w:rPr>
                <w:sz w:val="20"/>
              </w:rPr>
              <w:t xml:space="preserve">Обеспечение нормативного правового регулирования мероприятий по снижению детской смертности от внешних причин в автономном округе</w:t>
            </w:r>
          </w:p>
        </w:tc>
      </w:tr>
      <w:tr>
        <w:tc>
          <w:tcPr>
            <w:tcW w:w="484" w:type="dxa"/>
          </w:tcPr>
          <w:p>
            <w:pPr>
              <w:pStyle w:val="0"/>
            </w:pPr>
            <w:r>
              <w:rPr>
                <w:sz w:val="20"/>
              </w:rPr>
              <w:t xml:space="preserve">1.1.</w:t>
            </w:r>
          </w:p>
        </w:tc>
        <w:tc>
          <w:tcPr>
            <w:tcW w:w="3649" w:type="dxa"/>
          </w:tcPr>
          <w:p>
            <w:pPr>
              <w:pStyle w:val="0"/>
            </w:pPr>
            <w:r>
              <w:rPr>
                <w:sz w:val="20"/>
              </w:rPr>
              <w:t xml:space="preserve">Принятие регионального документа по реализации комплекса профилактических мероприятий, направленных на повышение стрессоустойчивости несовершеннолетних</w:t>
            </w:r>
          </w:p>
        </w:tc>
        <w:tc>
          <w:tcPr>
            <w:tcW w:w="1077" w:type="dxa"/>
          </w:tcPr>
          <w:p>
            <w:pPr>
              <w:pStyle w:val="0"/>
            </w:pPr>
            <w:r>
              <w:rPr>
                <w:sz w:val="20"/>
              </w:rPr>
              <w:t xml:space="preserve">1 декабря 2023 года</w:t>
            </w:r>
          </w:p>
        </w:tc>
        <w:tc>
          <w:tcPr>
            <w:tcW w:w="1204" w:type="dxa"/>
          </w:tcPr>
          <w:p>
            <w:pPr>
              <w:pStyle w:val="0"/>
            </w:pPr>
            <w:r>
              <w:rPr>
                <w:sz w:val="20"/>
              </w:rPr>
              <w:t xml:space="preserve">1 июня 2024 года</w:t>
            </w:r>
          </w:p>
        </w:tc>
        <w:tc>
          <w:tcPr>
            <w:tcW w:w="2891" w:type="dxa"/>
          </w:tcPr>
          <w:p>
            <w:pPr>
              <w:pStyle w:val="0"/>
            </w:pPr>
            <w:r>
              <w:rPr>
                <w:sz w:val="20"/>
              </w:rPr>
              <w:t xml:space="preserve">Департамент здравоохранения автономного округа,</w:t>
            </w:r>
          </w:p>
          <w:p>
            <w:pPr>
              <w:pStyle w:val="0"/>
            </w:pPr>
            <w:r>
              <w:rPr>
                <w:sz w:val="20"/>
              </w:rPr>
              <w:t xml:space="preserve">Департамент образования и науки автономного округа</w:t>
            </w:r>
          </w:p>
        </w:tc>
        <w:tc>
          <w:tcPr>
            <w:tcW w:w="3572" w:type="dxa"/>
          </w:tcPr>
          <w:p>
            <w:pPr>
              <w:pStyle w:val="0"/>
            </w:pPr>
            <w:r>
              <w:rPr>
                <w:sz w:val="20"/>
              </w:rPr>
              <w:t xml:space="preserve">Обеспечение медицинской, психологической помощью несовершеннолетних с повышенным уровнем стресса, тревожности</w:t>
            </w:r>
          </w:p>
        </w:tc>
        <w:tc>
          <w:tcPr>
            <w:tcW w:w="2948" w:type="dxa"/>
          </w:tcPr>
          <w:p>
            <w:pPr>
              <w:pStyle w:val="0"/>
            </w:pPr>
            <w:r>
              <w:rPr>
                <w:sz w:val="20"/>
              </w:rPr>
              <w:t xml:space="preserve">Приказ Департамента здравоохранения автономного округа,</w:t>
            </w:r>
          </w:p>
          <w:p>
            <w:pPr>
              <w:pStyle w:val="0"/>
            </w:pPr>
            <w:r>
              <w:rPr>
                <w:sz w:val="20"/>
              </w:rPr>
              <w:t xml:space="preserve">Департамент образования и науки автономного округа</w:t>
            </w:r>
          </w:p>
        </w:tc>
        <w:tc>
          <w:tcPr>
            <w:tcW w:w="3458" w:type="dxa"/>
          </w:tcPr>
          <w:p>
            <w:pPr>
              <w:pStyle w:val="0"/>
            </w:pPr>
            <w:r>
              <w:rPr>
                <w:sz w:val="20"/>
              </w:rPr>
              <w:t xml:space="preserve">Доля выявленных несовершеннолетних с повышенным уровнем стресса, тревожности, обеспеченных медицинской и психологической помощью:</w:t>
            </w:r>
          </w:p>
          <w:p>
            <w:pPr>
              <w:pStyle w:val="0"/>
            </w:pPr>
            <w:r>
              <w:rPr>
                <w:sz w:val="20"/>
              </w:rPr>
              <w:t xml:space="preserve">не менее 95% ежегодно</w:t>
            </w:r>
          </w:p>
        </w:tc>
      </w:tr>
      <w:tr>
        <w:tc>
          <w:tcPr>
            <w:tcW w:w="484" w:type="dxa"/>
          </w:tcPr>
          <w:p>
            <w:pPr>
              <w:pStyle w:val="0"/>
            </w:pPr>
            <w:r>
              <w:rPr>
                <w:sz w:val="20"/>
              </w:rPr>
              <w:t xml:space="preserve">1.2.</w:t>
            </w:r>
          </w:p>
        </w:tc>
        <w:tc>
          <w:tcPr>
            <w:tcW w:w="3649" w:type="dxa"/>
          </w:tcPr>
          <w:p>
            <w:pPr>
              <w:pStyle w:val="0"/>
            </w:pPr>
            <w:r>
              <w:rPr>
                <w:sz w:val="20"/>
              </w:rPr>
              <w:t xml:space="preserve">Принятие регионального документа по проведению с несовершеннолетними и их родителями (законными представителями информационной кампании по работе с несовершеннолетними) в части информирования о рисках детской смертности от внешних причин, о формировании приверженности к здоровому образу жизни, вовлечению несовершеннолетних в социально позитивную деятельность</w:t>
            </w:r>
          </w:p>
        </w:tc>
        <w:tc>
          <w:tcPr>
            <w:tcW w:w="1077" w:type="dxa"/>
          </w:tcPr>
          <w:p>
            <w:pPr>
              <w:pStyle w:val="0"/>
            </w:pPr>
            <w:r>
              <w:rPr>
                <w:sz w:val="20"/>
              </w:rPr>
              <w:t xml:space="preserve">1 декабря 2023 года</w:t>
            </w:r>
          </w:p>
        </w:tc>
        <w:tc>
          <w:tcPr>
            <w:tcW w:w="1204" w:type="dxa"/>
          </w:tcPr>
          <w:p>
            <w:pPr>
              <w:pStyle w:val="0"/>
            </w:pPr>
            <w:r>
              <w:rPr>
                <w:sz w:val="20"/>
              </w:rPr>
              <w:t xml:space="preserve">1 июня 2024 года</w:t>
            </w:r>
          </w:p>
        </w:tc>
        <w:tc>
          <w:tcPr>
            <w:tcW w:w="2891" w:type="dxa"/>
          </w:tcPr>
          <w:p>
            <w:pPr>
              <w:pStyle w:val="0"/>
            </w:pPr>
            <w:r>
              <w:rPr>
                <w:sz w:val="20"/>
              </w:rPr>
              <w:t xml:space="preserve">Департамент здравоохранения автономного округа</w:t>
            </w:r>
          </w:p>
          <w:p>
            <w:pPr>
              <w:pStyle w:val="0"/>
            </w:pPr>
            <w:r>
              <w:rPr>
                <w:sz w:val="20"/>
              </w:rPr>
              <w:t xml:space="preserve">Департамент образования и науки автономного округа</w:t>
            </w:r>
          </w:p>
        </w:tc>
        <w:tc>
          <w:tcPr>
            <w:tcW w:w="3572" w:type="dxa"/>
          </w:tcPr>
          <w:p>
            <w:pPr>
              <w:pStyle w:val="0"/>
            </w:pPr>
            <w:r>
              <w:rPr>
                <w:sz w:val="20"/>
              </w:rPr>
              <w:t xml:space="preserve">Профилактика факторов риска развития заболеваний, вредных привычек и пропаганда здорового образа жизни среди несовершеннолетних, родителей (законных представителей)</w:t>
            </w:r>
          </w:p>
        </w:tc>
        <w:tc>
          <w:tcPr>
            <w:tcW w:w="2948" w:type="dxa"/>
          </w:tcPr>
          <w:p>
            <w:pPr>
              <w:pStyle w:val="0"/>
            </w:pPr>
            <w:r>
              <w:rPr>
                <w:sz w:val="20"/>
              </w:rPr>
              <w:t xml:space="preserve">Приказ Департамента здравоохранения автономного округа</w:t>
            </w:r>
          </w:p>
        </w:tc>
        <w:tc>
          <w:tcPr>
            <w:tcW w:w="3458" w:type="dxa"/>
          </w:tcPr>
          <w:p>
            <w:pPr>
              <w:pStyle w:val="0"/>
            </w:pPr>
            <w:r>
              <w:rPr>
                <w:sz w:val="20"/>
              </w:rPr>
              <w:t xml:space="preserve">Охват информационными мероприятиями обучающихся 1 - 11 классов, родителей (законных представителей) (повышение приверженности несовершеннолетних, родителей (законных представителей) к ведению здорового образа жизни):</w:t>
            </w:r>
          </w:p>
          <w:p>
            <w:pPr>
              <w:pStyle w:val="0"/>
            </w:pPr>
            <w:r>
              <w:rPr>
                <w:sz w:val="20"/>
              </w:rPr>
              <w:t xml:space="preserve">в 2023 году - не менее 80%;</w:t>
            </w:r>
          </w:p>
          <w:p>
            <w:pPr>
              <w:pStyle w:val="0"/>
            </w:pPr>
            <w:r>
              <w:rPr>
                <w:sz w:val="20"/>
              </w:rPr>
              <w:t xml:space="preserve">в 2024 году - не менее 95%;</w:t>
            </w:r>
          </w:p>
          <w:p>
            <w:pPr>
              <w:pStyle w:val="0"/>
            </w:pPr>
            <w:r>
              <w:rPr>
                <w:sz w:val="20"/>
              </w:rPr>
              <w:t xml:space="preserve">в 2025 году - не менее 95%;</w:t>
            </w:r>
          </w:p>
          <w:p>
            <w:pPr>
              <w:pStyle w:val="0"/>
            </w:pPr>
            <w:r>
              <w:rPr>
                <w:sz w:val="20"/>
              </w:rPr>
              <w:t xml:space="preserve">в 2025 году - не менее 95%</w:t>
            </w:r>
          </w:p>
        </w:tc>
      </w:tr>
      <w:tr>
        <w:tc>
          <w:tcPr>
            <w:tcW w:w="484" w:type="dxa"/>
          </w:tcPr>
          <w:p>
            <w:pPr>
              <w:pStyle w:val="0"/>
            </w:pPr>
            <w:r>
              <w:rPr>
                <w:sz w:val="20"/>
              </w:rPr>
              <w:t xml:space="preserve">2.</w:t>
            </w:r>
          </w:p>
        </w:tc>
        <w:tc>
          <w:tcPr>
            <w:gridSpan w:val="7"/>
            <w:tcW w:w="18799" w:type="dxa"/>
          </w:tcPr>
          <w:p>
            <w:pPr>
              <w:pStyle w:val="0"/>
            </w:pPr>
            <w:r>
              <w:rPr>
                <w:sz w:val="20"/>
              </w:rPr>
              <w:t xml:space="preserve">Реализация мероприятий, направленных на профилактику совершения несовершеннолетними суицидальных попыток</w:t>
            </w:r>
          </w:p>
        </w:tc>
      </w:tr>
      <w:tr>
        <w:tc>
          <w:tcPr>
            <w:tcW w:w="484" w:type="dxa"/>
          </w:tcPr>
          <w:p>
            <w:pPr>
              <w:pStyle w:val="0"/>
            </w:pPr>
            <w:r>
              <w:rPr>
                <w:sz w:val="20"/>
              </w:rPr>
              <w:t xml:space="preserve">2.1.</w:t>
            </w:r>
          </w:p>
        </w:tc>
        <w:tc>
          <w:tcPr>
            <w:tcW w:w="3649" w:type="dxa"/>
          </w:tcPr>
          <w:p>
            <w:pPr>
              <w:pStyle w:val="0"/>
            </w:pPr>
            <w:r>
              <w:rPr>
                <w:sz w:val="20"/>
              </w:rPr>
              <w:t xml:space="preserve">Информирование родителей (законных представителей) в условиях родительских собраний о факторах риска суицидального поведения несовершеннолетних</w:t>
            </w:r>
          </w:p>
          <w:p>
            <w:pPr>
              <w:pStyle w:val="0"/>
            </w:pPr>
            <w:r>
              <w:rPr>
                <w:sz w:val="20"/>
              </w:rPr>
              <w:t xml:space="preserve">(выступления специалистов на телевидении, радио, видеосюжеты, публикации в печатных изданиях по проблемам депрессий, психологических дезадаптацией и кризисных состояний у несовершеннолетних)</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здравоохранения автономного округа</w:t>
            </w:r>
          </w:p>
        </w:tc>
        <w:tc>
          <w:tcPr>
            <w:tcW w:w="3572" w:type="dxa"/>
          </w:tcPr>
          <w:p>
            <w:pPr>
              <w:pStyle w:val="0"/>
            </w:pPr>
            <w:r>
              <w:rPr>
                <w:sz w:val="20"/>
              </w:rPr>
              <w:t xml:space="preserve">Повышение уровня информированности родителей (законных представителей) несовершеннолетних о принципах профилактики суицидального поведения несовершеннолетних</w:t>
            </w:r>
          </w:p>
        </w:tc>
        <w:tc>
          <w:tcPr>
            <w:tcW w:w="2948" w:type="dxa"/>
          </w:tcPr>
          <w:p>
            <w:pPr>
              <w:pStyle w:val="0"/>
            </w:pPr>
            <w:r>
              <w:rPr>
                <w:sz w:val="20"/>
              </w:rPr>
              <w:t xml:space="preserve">Приказ Департамента здравоохранения автономного округа</w:t>
            </w:r>
          </w:p>
        </w:tc>
        <w:tc>
          <w:tcPr>
            <w:tcW w:w="3458" w:type="dxa"/>
          </w:tcPr>
          <w:p>
            <w:pPr>
              <w:pStyle w:val="0"/>
            </w:pPr>
            <w:r>
              <w:rPr>
                <w:sz w:val="20"/>
              </w:rPr>
              <w:t xml:space="preserve">Число просветительских мероприятий (беседы, публикации, статьи) для родителей (законных представителей) несовершеннолетних</w:t>
            </w:r>
          </w:p>
          <w:p>
            <w:pPr>
              <w:pStyle w:val="0"/>
            </w:pPr>
            <w:r>
              <w:rPr>
                <w:sz w:val="20"/>
              </w:rPr>
              <w:t xml:space="preserve">в 2023 году - не менее 100;</w:t>
            </w:r>
          </w:p>
          <w:p>
            <w:pPr>
              <w:pStyle w:val="0"/>
            </w:pPr>
            <w:r>
              <w:rPr>
                <w:sz w:val="20"/>
              </w:rPr>
              <w:t xml:space="preserve">в 2024 году - не менее 125;</w:t>
            </w:r>
          </w:p>
          <w:p>
            <w:pPr>
              <w:pStyle w:val="0"/>
            </w:pPr>
            <w:r>
              <w:rPr>
                <w:sz w:val="20"/>
              </w:rPr>
              <w:t xml:space="preserve">в 2025 году - не менее 150;</w:t>
            </w:r>
          </w:p>
          <w:p>
            <w:pPr>
              <w:pStyle w:val="0"/>
            </w:pPr>
            <w:r>
              <w:rPr>
                <w:sz w:val="20"/>
              </w:rPr>
              <w:t xml:space="preserve">в 2026 году - не менее 150</w:t>
            </w:r>
          </w:p>
        </w:tc>
      </w:tr>
      <w:tr>
        <w:tc>
          <w:tcPr>
            <w:tcW w:w="484" w:type="dxa"/>
          </w:tcPr>
          <w:p>
            <w:pPr>
              <w:pStyle w:val="0"/>
            </w:pPr>
            <w:r>
              <w:rPr>
                <w:sz w:val="20"/>
              </w:rPr>
              <w:t xml:space="preserve">2.2.</w:t>
            </w:r>
          </w:p>
        </w:tc>
        <w:tc>
          <w:tcPr>
            <w:tcW w:w="3649" w:type="dxa"/>
          </w:tcPr>
          <w:p>
            <w:pPr>
              <w:pStyle w:val="0"/>
            </w:pPr>
            <w:r>
              <w:rPr>
                <w:sz w:val="20"/>
              </w:rPr>
              <w:t xml:space="preserve">Распространение памяток для родителей (законных представителей) несовершеннолетних по вопросам выявления ранних признаков суицидального поведения у несовершеннолетних</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социального развития автономного округа</w:t>
            </w:r>
          </w:p>
        </w:tc>
        <w:tc>
          <w:tcPr>
            <w:tcW w:w="3572" w:type="dxa"/>
          </w:tcPr>
          <w:p>
            <w:pPr>
              <w:pStyle w:val="0"/>
            </w:pPr>
            <w:r>
              <w:rPr>
                <w:sz w:val="20"/>
              </w:rPr>
              <w:t xml:space="preserve">Повышение уровня информированности родителей (законных представителей) о принципах профилактики суицидального поведения несовершеннолетних</w:t>
            </w:r>
          </w:p>
        </w:tc>
        <w:tc>
          <w:tcPr>
            <w:tcW w:w="2948" w:type="dxa"/>
          </w:tcPr>
          <w:p>
            <w:pPr>
              <w:pStyle w:val="0"/>
            </w:pPr>
            <w:r>
              <w:rPr>
                <w:sz w:val="20"/>
              </w:rPr>
              <w:t xml:space="preserve">Отчет Департамента социального развития автономного округа</w:t>
            </w:r>
          </w:p>
        </w:tc>
        <w:tc>
          <w:tcPr>
            <w:tcW w:w="3458" w:type="dxa"/>
          </w:tcPr>
          <w:p>
            <w:pPr>
              <w:pStyle w:val="0"/>
            </w:pPr>
            <w:r>
              <w:rPr>
                <w:sz w:val="20"/>
              </w:rPr>
              <w:t xml:space="preserve">Распределено памяток:</w:t>
            </w:r>
          </w:p>
          <w:p>
            <w:pPr>
              <w:pStyle w:val="0"/>
            </w:pPr>
            <w:r>
              <w:rPr>
                <w:sz w:val="20"/>
              </w:rPr>
              <w:t xml:space="preserve">2023 год - не менее 1000 шт.;</w:t>
            </w:r>
          </w:p>
          <w:p>
            <w:pPr>
              <w:pStyle w:val="0"/>
            </w:pPr>
            <w:r>
              <w:rPr>
                <w:sz w:val="20"/>
              </w:rPr>
              <w:t xml:space="preserve">2024 год - не менее 1500 шт.;</w:t>
            </w:r>
          </w:p>
          <w:p>
            <w:pPr>
              <w:pStyle w:val="0"/>
            </w:pPr>
            <w:r>
              <w:rPr>
                <w:sz w:val="20"/>
              </w:rPr>
              <w:t xml:space="preserve">2025 год - не менее 1750 шт.;</w:t>
            </w:r>
          </w:p>
          <w:p>
            <w:pPr>
              <w:pStyle w:val="0"/>
            </w:pPr>
            <w:r>
              <w:rPr>
                <w:sz w:val="20"/>
              </w:rPr>
              <w:t xml:space="preserve">2026 год - не менее 1750 шт.</w:t>
            </w:r>
          </w:p>
        </w:tc>
      </w:tr>
      <w:tr>
        <w:tc>
          <w:tcPr>
            <w:tcW w:w="484" w:type="dxa"/>
          </w:tcPr>
          <w:p>
            <w:pPr>
              <w:pStyle w:val="0"/>
            </w:pPr>
            <w:r>
              <w:rPr>
                <w:sz w:val="20"/>
              </w:rPr>
              <w:t xml:space="preserve">3.</w:t>
            </w:r>
          </w:p>
        </w:tc>
        <w:tc>
          <w:tcPr>
            <w:gridSpan w:val="7"/>
            <w:tcW w:w="18799" w:type="dxa"/>
          </w:tcPr>
          <w:p>
            <w:pPr>
              <w:pStyle w:val="0"/>
            </w:pPr>
            <w:r>
              <w:rPr>
                <w:sz w:val="20"/>
              </w:rPr>
              <w:t xml:space="preserve">Реализация мероприятий, направленных на профилактику и раннее выявление незаконного потребления наркотических средств и психотропных веществ несовершеннолетними</w:t>
            </w:r>
          </w:p>
        </w:tc>
      </w:tr>
      <w:tr>
        <w:tc>
          <w:tcPr>
            <w:tcW w:w="484" w:type="dxa"/>
          </w:tcPr>
          <w:p>
            <w:pPr>
              <w:pStyle w:val="0"/>
            </w:pPr>
            <w:r>
              <w:rPr>
                <w:sz w:val="20"/>
              </w:rPr>
              <w:t xml:space="preserve">3.1.</w:t>
            </w:r>
          </w:p>
        </w:tc>
        <w:tc>
          <w:tcPr>
            <w:tcW w:w="3649" w:type="dxa"/>
          </w:tcPr>
          <w:p>
            <w:pPr>
              <w:pStyle w:val="0"/>
            </w:pPr>
            <w:r>
              <w:rPr>
                <w:sz w:val="20"/>
              </w:rPr>
              <w:t xml:space="preserve">Проведение профилактических медицинских осмотров обучающихся в целях раннего выявления незаконного потребления наркотических средств и психотропных веществ.</w:t>
            </w:r>
          </w:p>
          <w:p>
            <w:pPr>
              <w:pStyle w:val="0"/>
            </w:pPr>
            <w:r>
              <w:rPr>
                <w:sz w:val="20"/>
              </w:rPr>
              <w:t xml:space="preserve">(по результатам социально-психологического тестирования, проводимого в общеобразовательных организациях, профессиональных образовательных организациях, образовательных организациях высшего образования автономного округа)</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здравоохранения автономного округа,</w:t>
            </w:r>
          </w:p>
          <w:p>
            <w:pPr>
              <w:pStyle w:val="0"/>
            </w:pPr>
            <w:r>
              <w:rPr>
                <w:sz w:val="20"/>
              </w:rPr>
              <w:t xml:space="preserve">Департамент образования и науки автономного округа</w:t>
            </w:r>
          </w:p>
        </w:tc>
        <w:tc>
          <w:tcPr>
            <w:tcW w:w="3572" w:type="dxa"/>
          </w:tcPr>
          <w:p>
            <w:pPr>
              <w:pStyle w:val="0"/>
            </w:pPr>
            <w:r>
              <w:rPr>
                <w:sz w:val="20"/>
              </w:rPr>
              <w:t xml:space="preserve">Раннее выявление несовершеннолетних, незаконно употребляющих наркотические средства и психотропные вещества</w:t>
            </w:r>
          </w:p>
        </w:tc>
        <w:tc>
          <w:tcPr>
            <w:tcW w:w="2948" w:type="dxa"/>
          </w:tcPr>
          <w:p>
            <w:pPr>
              <w:pStyle w:val="0"/>
            </w:pPr>
            <w:r>
              <w:rPr>
                <w:sz w:val="20"/>
              </w:rPr>
              <w:t xml:space="preserve">Приказ Департамента здравоохранения автономного округа,</w:t>
            </w:r>
          </w:p>
          <w:p>
            <w:pPr>
              <w:pStyle w:val="0"/>
            </w:pPr>
            <w:r>
              <w:rPr>
                <w:sz w:val="20"/>
              </w:rPr>
              <w:t xml:space="preserve">Департамент образования и науки автономного округа</w:t>
            </w:r>
          </w:p>
        </w:tc>
        <w:tc>
          <w:tcPr>
            <w:tcW w:w="3458" w:type="dxa"/>
          </w:tcPr>
          <w:p>
            <w:pPr>
              <w:pStyle w:val="0"/>
            </w:pPr>
            <w:r>
              <w:rPr>
                <w:sz w:val="20"/>
              </w:rPr>
              <w:t xml:space="preserve">Охват специализированной медицинской помощью нуждающихся несовершеннолетних, незаконно употребляющих наркотические средства и психотропные вещества:</w:t>
            </w:r>
          </w:p>
          <w:p>
            <w:pPr>
              <w:pStyle w:val="0"/>
            </w:pPr>
            <w:r>
              <w:rPr>
                <w:sz w:val="20"/>
              </w:rPr>
              <w:t xml:space="preserve">не менее 95% ежегодно</w:t>
            </w:r>
          </w:p>
        </w:tc>
      </w:tr>
      <w:tr>
        <w:tc>
          <w:tcPr>
            <w:tcW w:w="484" w:type="dxa"/>
          </w:tcPr>
          <w:p>
            <w:pPr>
              <w:pStyle w:val="0"/>
            </w:pPr>
            <w:r>
              <w:rPr>
                <w:sz w:val="20"/>
              </w:rPr>
              <w:t xml:space="preserve">3.2.</w:t>
            </w:r>
          </w:p>
        </w:tc>
        <w:tc>
          <w:tcPr>
            <w:tcW w:w="3649" w:type="dxa"/>
          </w:tcPr>
          <w:p>
            <w:pPr>
              <w:pStyle w:val="0"/>
            </w:pPr>
            <w:r>
              <w:rPr>
                <w:sz w:val="20"/>
              </w:rPr>
              <w:t xml:space="preserve">Проведение профилактических информационно-разъяснительных бесед с обучающимися, родителями (законными представителями) по вопросам незаконного потребления наркотических средств и психотропных веществ</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здравоохранения автономного округа</w:t>
            </w:r>
          </w:p>
        </w:tc>
        <w:tc>
          <w:tcPr>
            <w:tcW w:w="3572" w:type="dxa"/>
          </w:tcPr>
          <w:p>
            <w:pPr>
              <w:pStyle w:val="0"/>
            </w:pPr>
            <w:r>
              <w:rPr>
                <w:sz w:val="20"/>
              </w:rPr>
              <w:t xml:space="preserve">Повышение уровня информированности родителей (законных представителей)</w:t>
            </w:r>
          </w:p>
          <w:p>
            <w:pPr>
              <w:pStyle w:val="0"/>
            </w:pPr>
            <w:r>
              <w:rPr>
                <w:sz w:val="20"/>
              </w:rPr>
              <w:t xml:space="preserve">по вопросам незаконного потребления наркотических средств и психотропных веществ</w:t>
            </w:r>
          </w:p>
        </w:tc>
        <w:tc>
          <w:tcPr>
            <w:tcW w:w="2948" w:type="dxa"/>
          </w:tcPr>
          <w:p>
            <w:pPr>
              <w:pStyle w:val="0"/>
            </w:pPr>
            <w:r>
              <w:rPr>
                <w:sz w:val="20"/>
              </w:rPr>
              <w:t xml:space="preserve">Приказ Департамента здравоохранения автономного округа</w:t>
            </w:r>
          </w:p>
        </w:tc>
        <w:tc>
          <w:tcPr>
            <w:tcW w:w="3458" w:type="dxa"/>
          </w:tcPr>
          <w:p>
            <w:pPr>
              <w:pStyle w:val="0"/>
            </w:pPr>
            <w:r>
              <w:rPr>
                <w:sz w:val="20"/>
              </w:rPr>
              <w:t xml:space="preserve">Проведение информационно-коммуникационных мероприятий по вопросам незаконного потребления наркотических средств и психотропных веществ:</w:t>
            </w:r>
          </w:p>
          <w:p>
            <w:pPr>
              <w:pStyle w:val="0"/>
            </w:pPr>
            <w:r>
              <w:rPr>
                <w:sz w:val="20"/>
              </w:rPr>
              <w:t xml:space="preserve">не менее 500 ежегодно</w:t>
            </w:r>
          </w:p>
        </w:tc>
      </w:tr>
      <w:tr>
        <w:tc>
          <w:tcPr>
            <w:tcW w:w="484" w:type="dxa"/>
          </w:tcPr>
          <w:p>
            <w:pPr>
              <w:pStyle w:val="0"/>
            </w:pPr>
            <w:r>
              <w:rPr>
                <w:sz w:val="20"/>
              </w:rPr>
              <w:t xml:space="preserve">4.</w:t>
            </w:r>
          </w:p>
        </w:tc>
        <w:tc>
          <w:tcPr>
            <w:gridSpan w:val="7"/>
            <w:tcW w:w="18799" w:type="dxa"/>
          </w:tcPr>
          <w:p>
            <w:pPr>
              <w:pStyle w:val="0"/>
            </w:pPr>
            <w:r>
              <w:rPr>
                <w:sz w:val="20"/>
              </w:rPr>
              <w:t xml:space="preserve">Реализация мероприятий по работе с несовершеннолетними и родителями (законными представителями) в части информирования их о рисках детской смертности от внешних причин (травмы, отравления, утопления, асфиксия), о профилактике жестокого обращения с детьми и работе с семьями социального риска, в том числе в условиях межведомственного взаимодействия с органами и учреждениями системы профилактики безнадзорности и правонарушений несовершеннолетних</w:t>
            </w:r>
          </w:p>
        </w:tc>
      </w:tr>
      <w:tr>
        <w:tc>
          <w:tcPr>
            <w:tcW w:w="484" w:type="dxa"/>
          </w:tcPr>
          <w:p>
            <w:pPr>
              <w:pStyle w:val="0"/>
            </w:pPr>
            <w:r>
              <w:rPr>
                <w:sz w:val="20"/>
              </w:rPr>
              <w:t xml:space="preserve">4.1.</w:t>
            </w:r>
          </w:p>
        </w:tc>
        <w:tc>
          <w:tcPr>
            <w:tcW w:w="3649" w:type="dxa"/>
          </w:tcPr>
          <w:p>
            <w:pPr>
              <w:pStyle w:val="0"/>
            </w:pPr>
            <w:r>
              <w:rPr>
                <w:sz w:val="20"/>
              </w:rPr>
              <w:t xml:space="preserve">Проведение профилактических обходов жилых домов, в первую очередь мест проживания многодетных семей, семей в трудной жизненной ситуации, на предмет пожарной безопасности помещений</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региональной безопасности автономного округа,</w:t>
            </w:r>
          </w:p>
          <w:p>
            <w:pPr>
              <w:pStyle w:val="0"/>
            </w:pPr>
            <w:r>
              <w:rPr>
                <w:sz w:val="20"/>
              </w:rPr>
              <w:t xml:space="preserve">Департамент социального развития автономного округа,</w:t>
            </w:r>
          </w:p>
          <w:p>
            <w:pPr>
              <w:pStyle w:val="0"/>
            </w:pPr>
            <w:r>
              <w:rPr>
                <w:sz w:val="20"/>
              </w:rPr>
              <w:t xml:space="preserve">Главное управление МЧС России по автономному округу</w:t>
            </w:r>
          </w:p>
          <w:p>
            <w:pPr>
              <w:pStyle w:val="0"/>
            </w:pPr>
            <w:r>
              <w:rPr>
                <w:sz w:val="20"/>
              </w:rPr>
              <w:t xml:space="preserve">(по согласованию)</w:t>
            </w:r>
          </w:p>
        </w:tc>
        <w:tc>
          <w:tcPr>
            <w:tcW w:w="3572" w:type="dxa"/>
          </w:tcPr>
          <w:p>
            <w:pPr>
              <w:pStyle w:val="0"/>
            </w:pPr>
            <w:r>
              <w:rPr>
                <w:sz w:val="20"/>
              </w:rPr>
              <w:t xml:space="preserve">Недопущение фактов гибели несовершеннолетних от внешних причин</w:t>
            </w:r>
          </w:p>
        </w:tc>
        <w:tc>
          <w:tcPr>
            <w:tcW w:w="2948" w:type="dxa"/>
          </w:tcPr>
          <w:p>
            <w:pPr>
              <w:pStyle w:val="0"/>
            </w:pPr>
            <w:r>
              <w:rPr>
                <w:sz w:val="20"/>
              </w:rPr>
              <w:t xml:space="preserve">Отчет Департамента региональной безопасности автономного округа,</w:t>
            </w:r>
          </w:p>
          <w:p>
            <w:pPr>
              <w:pStyle w:val="0"/>
            </w:pPr>
            <w:r>
              <w:rPr>
                <w:sz w:val="20"/>
              </w:rPr>
              <w:t xml:space="preserve">Главного управления МЧС России по автономному округу</w:t>
            </w:r>
          </w:p>
        </w:tc>
        <w:tc>
          <w:tcPr>
            <w:tcW w:w="3458" w:type="dxa"/>
          </w:tcPr>
          <w:p>
            <w:pPr>
              <w:pStyle w:val="0"/>
            </w:pPr>
            <w:r>
              <w:rPr>
                <w:sz w:val="20"/>
              </w:rPr>
              <w:t xml:space="preserve">Проведение профилактических обходов:</w:t>
            </w:r>
          </w:p>
          <w:p>
            <w:pPr>
              <w:pStyle w:val="0"/>
            </w:pPr>
            <w:r>
              <w:rPr>
                <w:sz w:val="20"/>
              </w:rPr>
              <w:t xml:space="preserve">2023 год - не менее 7000 семей;</w:t>
            </w:r>
          </w:p>
          <w:p>
            <w:pPr>
              <w:pStyle w:val="0"/>
            </w:pPr>
            <w:r>
              <w:rPr>
                <w:sz w:val="20"/>
              </w:rPr>
              <w:t xml:space="preserve">2024 год - не менее 8000 семей;</w:t>
            </w:r>
          </w:p>
          <w:p>
            <w:pPr>
              <w:pStyle w:val="0"/>
            </w:pPr>
            <w:r>
              <w:rPr>
                <w:sz w:val="20"/>
              </w:rPr>
              <w:t xml:space="preserve">2025 год - не менее 9000 семей;</w:t>
            </w:r>
          </w:p>
          <w:p>
            <w:pPr>
              <w:pStyle w:val="0"/>
            </w:pPr>
            <w:r>
              <w:rPr>
                <w:sz w:val="20"/>
              </w:rPr>
              <w:t xml:space="preserve">2026 год - не менее 10000 семей</w:t>
            </w:r>
          </w:p>
        </w:tc>
      </w:tr>
      <w:tr>
        <w:tc>
          <w:tcPr>
            <w:tcW w:w="484" w:type="dxa"/>
          </w:tcPr>
          <w:p>
            <w:pPr>
              <w:pStyle w:val="0"/>
            </w:pPr>
            <w:r>
              <w:rPr>
                <w:sz w:val="20"/>
              </w:rPr>
              <w:t xml:space="preserve">4.2.</w:t>
            </w:r>
          </w:p>
        </w:tc>
        <w:tc>
          <w:tcPr>
            <w:tcW w:w="3649" w:type="dxa"/>
          </w:tcPr>
          <w:p>
            <w:pPr>
              <w:pStyle w:val="0"/>
            </w:pPr>
            <w:r>
              <w:rPr>
                <w:sz w:val="20"/>
              </w:rPr>
              <w:t xml:space="preserve">Проведение занятий с воспитанниками дошкольных образовательных учреждений, обучающимися образовательных учреждений о мерах пожарной безопасности и о последствиях неосторожного обращения с огнем</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образования и науки автономного округа,</w:t>
            </w:r>
          </w:p>
          <w:p>
            <w:pPr>
              <w:pStyle w:val="0"/>
            </w:pPr>
            <w:r>
              <w:rPr>
                <w:sz w:val="20"/>
              </w:rPr>
              <w:t xml:space="preserve">Департамент региональной безопасности автономного округа,</w:t>
            </w:r>
          </w:p>
          <w:p>
            <w:pPr>
              <w:pStyle w:val="0"/>
            </w:pPr>
            <w:r>
              <w:rPr>
                <w:sz w:val="20"/>
              </w:rPr>
              <w:t xml:space="preserve">Главное управление МЧС России по автономному округу</w:t>
            </w:r>
          </w:p>
          <w:p>
            <w:pPr>
              <w:pStyle w:val="0"/>
            </w:pPr>
            <w:r>
              <w:rPr>
                <w:sz w:val="20"/>
              </w:rPr>
              <w:t xml:space="preserve">(по согласованию)</w:t>
            </w:r>
          </w:p>
        </w:tc>
        <w:tc>
          <w:tcPr>
            <w:tcW w:w="3572" w:type="dxa"/>
          </w:tcPr>
          <w:p>
            <w:pPr>
              <w:pStyle w:val="0"/>
            </w:pPr>
            <w:r>
              <w:rPr>
                <w:sz w:val="20"/>
              </w:rPr>
              <w:t xml:space="preserve">подготовка обучающихся к действиям в условиях экстремальных и чрезвычайных ситуаций</w:t>
            </w:r>
          </w:p>
        </w:tc>
        <w:tc>
          <w:tcPr>
            <w:tcW w:w="2948" w:type="dxa"/>
          </w:tcPr>
          <w:p>
            <w:pPr>
              <w:pStyle w:val="0"/>
            </w:pPr>
            <w:r>
              <w:rPr>
                <w:sz w:val="20"/>
              </w:rPr>
              <w:t xml:space="preserve">Отчеты Департамента образования и науки автономного округа,</w:t>
            </w:r>
          </w:p>
          <w:p>
            <w:pPr>
              <w:pStyle w:val="0"/>
            </w:pPr>
            <w:r>
              <w:rPr>
                <w:sz w:val="20"/>
              </w:rPr>
              <w:t xml:space="preserve">Департамента региональной безопасности автономного округа,</w:t>
            </w:r>
          </w:p>
          <w:p>
            <w:pPr>
              <w:pStyle w:val="0"/>
            </w:pPr>
            <w:r>
              <w:rPr>
                <w:sz w:val="20"/>
              </w:rPr>
              <w:t xml:space="preserve">Главного управления МЧС России по автономному округу</w:t>
            </w:r>
          </w:p>
        </w:tc>
        <w:tc>
          <w:tcPr>
            <w:tcW w:w="3458" w:type="dxa"/>
          </w:tcPr>
          <w:p>
            <w:pPr>
              <w:pStyle w:val="0"/>
            </w:pPr>
            <w:r>
              <w:rPr>
                <w:sz w:val="20"/>
              </w:rPr>
              <w:t xml:space="preserve">Охват воспитанников дошкольных образовательных учреждений, обучающихся 1 - 11 классов:</w:t>
            </w:r>
          </w:p>
          <w:p>
            <w:pPr>
              <w:pStyle w:val="0"/>
            </w:pPr>
            <w:r>
              <w:rPr>
                <w:sz w:val="20"/>
              </w:rPr>
              <w:t xml:space="preserve">в 2023 году - не менее 80%;</w:t>
            </w:r>
          </w:p>
          <w:p>
            <w:pPr>
              <w:pStyle w:val="0"/>
            </w:pPr>
            <w:r>
              <w:rPr>
                <w:sz w:val="20"/>
              </w:rPr>
              <w:t xml:space="preserve">в 2024 году - не менее 95%;</w:t>
            </w:r>
          </w:p>
          <w:p>
            <w:pPr>
              <w:pStyle w:val="0"/>
            </w:pPr>
            <w:r>
              <w:rPr>
                <w:sz w:val="20"/>
              </w:rPr>
              <w:t xml:space="preserve">в 2025 году - не менее 95%;</w:t>
            </w:r>
          </w:p>
          <w:p>
            <w:pPr>
              <w:pStyle w:val="0"/>
            </w:pPr>
            <w:r>
              <w:rPr>
                <w:sz w:val="20"/>
              </w:rPr>
              <w:t xml:space="preserve">в 2026 году - не менее 95%</w:t>
            </w:r>
          </w:p>
        </w:tc>
      </w:tr>
      <w:tr>
        <w:tc>
          <w:tcPr>
            <w:tcW w:w="484" w:type="dxa"/>
          </w:tcPr>
          <w:p>
            <w:pPr>
              <w:pStyle w:val="0"/>
            </w:pPr>
            <w:r>
              <w:rPr>
                <w:sz w:val="20"/>
              </w:rPr>
              <w:t xml:space="preserve">4. 3.</w:t>
            </w:r>
          </w:p>
        </w:tc>
        <w:tc>
          <w:tcPr>
            <w:tcW w:w="3649" w:type="dxa"/>
          </w:tcPr>
          <w:p>
            <w:pPr>
              <w:pStyle w:val="0"/>
            </w:pPr>
            <w:r>
              <w:rPr>
                <w:sz w:val="20"/>
              </w:rPr>
              <w:t xml:space="preserve">Проведение конкурсов среди обучающихся образовательных организаций по вопросу знаний о правилах пожарной безопасности и поведения при возникновении чрезвычайной ситуации</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образования и науки автономного округа,</w:t>
            </w:r>
          </w:p>
          <w:p>
            <w:pPr>
              <w:pStyle w:val="0"/>
            </w:pPr>
            <w:r>
              <w:rPr>
                <w:sz w:val="20"/>
              </w:rPr>
              <w:t xml:space="preserve">Главное управление МЧС России по автономному округу</w:t>
            </w:r>
          </w:p>
          <w:p>
            <w:pPr>
              <w:pStyle w:val="0"/>
            </w:pPr>
            <w:r>
              <w:rPr>
                <w:sz w:val="20"/>
              </w:rPr>
              <w:t xml:space="preserve">(по согласованию)</w:t>
            </w:r>
          </w:p>
        </w:tc>
        <w:tc>
          <w:tcPr>
            <w:tcW w:w="3572" w:type="dxa"/>
          </w:tcPr>
          <w:p>
            <w:pPr>
              <w:pStyle w:val="0"/>
            </w:pPr>
            <w:r>
              <w:rPr>
                <w:sz w:val="20"/>
              </w:rPr>
              <w:t xml:space="preserve">Повышение уровня подготовленности обучающихся к чрезвычайным ситуациям при возникновении пожара</w:t>
            </w:r>
          </w:p>
        </w:tc>
        <w:tc>
          <w:tcPr>
            <w:tcW w:w="2948" w:type="dxa"/>
          </w:tcPr>
          <w:p>
            <w:pPr>
              <w:pStyle w:val="0"/>
            </w:pPr>
            <w:r>
              <w:rPr>
                <w:sz w:val="20"/>
              </w:rPr>
              <w:t xml:space="preserve">Отчеты</w:t>
            </w:r>
          </w:p>
          <w:p>
            <w:pPr>
              <w:pStyle w:val="0"/>
            </w:pPr>
            <w:r>
              <w:rPr>
                <w:sz w:val="20"/>
              </w:rPr>
              <w:t xml:space="preserve">Департамента образования и науки автономного округа,</w:t>
            </w:r>
          </w:p>
          <w:p>
            <w:pPr>
              <w:pStyle w:val="0"/>
            </w:pPr>
            <w:r>
              <w:rPr>
                <w:sz w:val="20"/>
              </w:rPr>
              <w:t xml:space="preserve">Главного управления МЧС России по автономному округу</w:t>
            </w:r>
          </w:p>
        </w:tc>
        <w:tc>
          <w:tcPr>
            <w:tcW w:w="3458" w:type="dxa"/>
          </w:tcPr>
          <w:p>
            <w:pPr>
              <w:pStyle w:val="0"/>
            </w:pPr>
            <w:r>
              <w:rPr>
                <w:sz w:val="20"/>
              </w:rPr>
              <w:t xml:space="preserve">Ежегодное проведение конкурсов:</w:t>
            </w:r>
          </w:p>
          <w:p>
            <w:pPr>
              <w:pStyle w:val="0"/>
            </w:pPr>
            <w:r>
              <w:rPr>
                <w:sz w:val="20"/>
              </w:rPr>
              <w:t xml:space="preserve">в 2023 году - не менее 1;</w:t>
            </w:r>
          </w:p>
          <w:p>
            <w:pPr>
              <w:pStyle w:val="0"/>
            </w:pPr>
            <w:r>
              <w:rPr>
                <w:sz w:val="20"/>
              </w:rPr>
              <w:t xml:space="preserve">в 2024 году - не менее 1;</w:t>
            </w:r>
          </w:p>
          <w:p>
            <w:pPr>
              <w:pStyle w:val="0"/>
            </w:pPr>
            <w:r>
              <w:rPr>
                <w:sz w:val="20"/>
              </w:rPr>
              <w:t xml:space="preserve">в 2025 году - не менее 1;</w:t>
            </w:r>
          </w:p>
          <w:p>
            <w:pPr>
              <w:pStyle w:val="0"/>
            </w:pPr>
            <w:r>
              <w:rPr>
                <w:sz w:val="20"/>
              </w:rPr>
              <w:t xml:space="preserve">в 2026 году - не менее 1</w:t>
            </w:r>
          </w:p>
        </w:tc>
      </w:tr>
      <w:tr>
        <w:tc>
          <w:tcPr>
            <w:tcW w:w="484" w:type="dxa"/>
          </w:tcPr>
          <w:p>
            <w:pPr>
              <w:pStyle w:val="0"/>
            </w:pPr>
            <w:r>
              <w:rPr>
                <w:sz w:val="20"/>
              </w:rPr>
              <w:t xml:space="preserve">4. 4.</w:t>
            </w:r>
          </w:p>
        </w:tc>
        <w:tc>
          <w:tcPr>
            <w:tcW w:w="3649" w:type="dxa"/>
          </w:tcPr>
          <w:p>
            <w:pPr>
              <w:pStyle w:val="0"/>
            </w:pPr>
            <w:r>
              <w:rPr>
                <w:sz w:val="20"/>
              </w:rPr>
              <w:t xml:space="preserve">Привлечение несовершеннолетних к занятиям на базе классов-тренажеров, учебно-тренировочных площадок (в виде жилых квартир) для отработки навыков поведения в случаях возникновения пожара</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образования и науки автономного округа,</w:t>
            </w:r>
          </w:p>
          <w:p>
            <w:pPr>
              <w:pStyle w:val="0"/>
            </w:pPr>
            <w:r>
              <w:rPr>
                <w:sz w:val="20"/>
              </w:rPr>
              <w:t xml:space="preserve">Департамент региональной безопасности автономного округа,</w:t>
            </w:r>
          </w:p>
          <w:p>
            <w:pPr>
              <w:pStyle w:val="0"/>
            </w:pPr>
            <w:r>
              <w:rPr>
                <w:sz w:val="20"/>
              </w:rPr>
              <w:t xml:space="preserve">Главное управление МЧС России по автономному округу</w:t>
            </w:r>
          </w:p>
          <w:p>
            <w:pPr>
              <w:pStyle w:val="0"/>
            </w:pPr>
            <w:r>
              <w:rPr>
                <w:sz w:val="20"/>
              </w:rPr>
              <w:t xml:space="preserve">(по согласованию)</w:t>
            </w:r>
          </w:p>
        </w:tc>
        <w:tc>
          <w:tcPr>
            <w:tcW w:w="3572" w:type="dxa"/>
          </w:tcPr>
          <w:p>
            <w:pPr>
              <w:pStyle w:val="0"/>
            </w:pPr>
            <w:r>
              <w:rPr>
                <w:sz w:val="20"/>
              </w:rPr>
              <w:t xml:space="preserve">Приобретение практических навыков действий при пожаре у обучающихся 1 - 11 классов, прошедших практические занятия</w:t>
            </w:r>
          </w:p>
        </w:tc>
        <w:tc>
          <w:tcPr>
            <w:tcW w:w="2948" w:type="dxa"/>
          </w:tcPr>
          <w:p>
            <w:pPr>
              <w:pStyle w:val="0"/>
            </w:pPr>
            <w:r>
              <w:rPr>
                <w:sz w:val="20"/>
              </w:rPr>
              <w:t xml:space="preserve">Отчеты Департамента образования и науки автономного округа,</w:t>
            </w:r>
          </w:p>
          <w:p>
            <w:pPr>
              <w:pStyle w:val="0"/>
            </w:pPr>
            <w:r>
              <w:rPr>
                <w:sz w:val="20"/>
              </w:rPr>
              <w:t xml:space="preserve">Департамента региональной безопасности автономного округа,</w:t>
            </w:r>
          </w:p>
          <w:p>
            <w:pPr>
              <w:pStyle w:val="0"/>
            </w:pPr>
            <w:r>
              <w:rPr>
                <w:sz w:val="20"/>
              </w:rPr>
              <w:t xml:space="preserve">Главного управления МЧС России по автономному округу</w:t>
            </w:r>
          </w:p>
        </w:tc>
        <w:tc>
          <w:tcPr>
            <w:tcW w:w="3458" w:type="dxa"/>
          </w:tcPr>
          <w:p>
            <w:pPr>
              <w:pStyle w:val="0"/>
            </w:pPr>
            <w:r>
              <w:rPr>
                <w:sz w:val="20"/>
              </w:rPr>
              <w:t xml:space="preserve">Охват обучающихся 1 - 11 классов:</w:t>
            </w:r>
          </w:p>
          <w:p>
            <w:pPr>
              <w:pStyle w:val="0"/>
            </w:pPr>
            <w:r>
              <w:rPr>
                <w:sz w:val="20"/>
              </w:rPr>
              <w:t xml:space="preserve">в 2023 году - не менее 75%;</w:t>
            </w:r>
          </w:p>
          <w:p>
            <w:pPr>
              <w:pStyle w:val="0"/>
            </w:pPr>
            <w:r>
              <w:rPr>
                <w:sz w:val="20"/>
              </w:rPr>
              <w:t xml:space="preserve">в 2024 году - не менее 95%;</w:t>
            </w:r>
          </w:p>
          <w:p>
            <w:pPr>
              <w:pStyle w:val="0"/>
            </w:pPr>
            <w:r>
              <w:rPr>
                <w:sz w:val="20"/>
              </w:rPr>
              <w:t xml:space="preserve">в 2025 году - не менее 95%;</w:t>
            </w:r>
          </w:p>
          <w:p>
            <w:pPr>
              <w:pStyle w:val="0"/>
            </w:pPr>
            <w:r>
              <w:rPr>
                <w:sz w:val="20"/>
              </w:rPr>
              <w:t xml:space="preserve">в 2026 году - не менее 95%</w:t>
            </w:r>
          </w:p>
        </w:tc>
      </w:tr>
      <w:tr>
        <w:tc>
          <w:tcPr>
            <w:tcW w:w="484" w:type="dxa"/>
          </w:tcPr>
          <w:p>
            <w:pPr>
              <w:pStyle w:val="0"/>
            </w:pPr>
            <w:r>
              <w:rPr>
                <w:sz w:val="20"/>
              </w:rPr>
              <w:t xml:space="preserve">4. 5.</w:t>
            </w:r>
          </w:p>
        </w:tc>
        <w:tc>
          <w:tcPr>
            <w:tcW w:w="3649" w:type="dxa"/>
          </w:tcPr>
          <w:p>
            <w:pPr>
              <w:pStyle w:val="0"/>
            </w:pPr>
            <w:r>
              <w:rPr>
                <w:sz w:val="20"/>
              </w:rPr>
              <w:t xml:space="preserve">Проведение инструктажей о необходимости соблюдения требований пожарной безопасности и предупреждения оставления ребенка без присмотра (оставления в опасности) для опекунов, усыновителей</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социального развития автономного округа,</w:t>
            </w:r>
          </w:p>
          <w:p>
            <w:pPr>
              <w:pStyle w:val="0"/>
            </w:pPr>
            <w:r>
              <w:rPr>
                <w:sz w:val="20"/>
              </w:rPr>
              <w:t xml:space="preserve">Департамент региональной безопасности автономного округа,</w:t>
            </w:r>
          </w:p>
          <w:p>
            <w:pPr>
              <w:pStyle w:val="0"/>
            </w:pPr>
            <w:r>
              <w:rPr>
                <w:sz w:val="20"/>
              </w:rPr>
              <w:t xml:space="preserve">Главное управление МЧС России по автономному округу</w:t>
            </w:r>
          </w:p>
          <w:p>
            <w:pPr>
              <w:pStyle w:val="0"/>
            </w:pPr>
            <w:r>
              <w:rPr>
                <w:sz w:val="20"/>
              </w:rPr>
              <w:t xml:space="preserve">(по согласованию)</w:t>
            </w:r>
          </w:p>
        </w:tc>
        <w:tc>
          <w:tcPr>
            <w:tcW w:w="3572" w:type="dxa"/>
          </w:tcPr>
          <w:p>
            <w:pPr>
              <w:pStyle w:val="0"/>
            </w:pPr>
            <w:r>
              <w:rPr>
                <w:sz w:val="20"/>
              </w:rPr>
              <w:t xml:space="preserve">Предупреждение детского травматизма, детской смертности при пожарах</w:t>
            </w:r>
          </w:p>
        </w:tc>
        <w:tc>
          <w:tcPr>
            <w:tcW w:w="2948" w:type="dxa"/>
          </w:tcPr>
          <w:p>
            <w:pPr>
              <w:pStyle w:val="0"/>
            </w:pPr>
            <w:r>
              <w:rPr>
                <w:sz w:val="20"/>
              </w:rPr>
              <w:t xml:space="preserve">Отчеты Департамента социального развития автономного округа,</w:t>
            </w:r>
          </w:p>
          <w:p>
            <w:pPr>
              <w:pStyle w:val="0"/>
            </w:pPr>
            <w:r>
              <w:rPr>
                <w:sz w:val="20"/>
              </w:rPr>
              <w:t xml:space="preserve">Департамента региональной безопасности автономного округа,</w:t>
            </w:r>
          </w:p>
          <w:p>
            <w:pPr>
              <w:pStyle w:val="0"/>
            </w:pPr>
            <w:r>
              <w:rPr>
                <w:sz w:val="20"/>
              </w:rPr>
              <w:t xml:space="preserve">Главного управления МЧС России по автономному округу</w:t>
            </w:r>
          </w:p>
          <w:p>
            <w:pPr>
              <w:pStyle w:val="0"/>
            </w:pPr>
            <w:r>
              <w:rPr>
                <w:sz w:val="20"/>
              </w:rPr>
              <w:t xml:space="preserve">(по согласованию)</w:t>
            </w:r>
          </w:p>
        </w:tc>
        <w:tc>
          <w:tcPr>
            <w:tcW w:w="3458" w:type="dxa"/>
          </w:tcPr>
          <w:p>
            <w:pPr>
              <w:pStyle w:val="0"/>
            </w:pPr>
            <w:r>
              <w:rPr>
                <w:sz w:val="20"/>
              </w:rPr>
              <w:t xml:space="preserve">Охват инструктажами опекунов, усыновителей:</w:t>
            </w:r>
          </w:p>
          <w:p>
            <w:pPr>
              <w:pStyle w:val="0"/>
            </w:pPr>
            <w:r>
              <w:rPr>
                <w:sz w:val="20"/>
              </w:rPr>
              <w:t xml:space="preserve">в 2023 году - не менее 75%;</w:t>
            </w:r>
          </w:p>
          <w:p>
            <w:pPr>
              <w:pStyle w:val="0"/>
            </w:pPr>
            <w:r>
              <w:rPr>
                <w:sz w:val="20"/>
              </w:rPr>
              <w:t xml:space="preserve">в 2024 году - не менее 95%;</w:t>
            </w:r>
          </w:p>
          <w:p>
            <w:pPr>
              <w:pStyle w:val="0"/>
            </w:pPr>
            <w:r>
              <w:rPr>
                <w:sz w:val="20"/>
              </w:rPr>
              <w:t xml:space="preserve">в 2025 году - не менее 95%;</w:t>
            </w:r>
          </w:p>
          <w:p>
            <w:pPr>
              <w:pStyle w:val="0"/>
            </w:pPr>
            <w:r>
              <w:rPr>
                <w:sz w:val="20"/>
              </w:rPr>
              <w:t xml:space="preserve">в 2026 году - не менее 95%</w:t>
            </w:r>
          </w:p>
        </w:tc>
      </w:tr>
      <w:tr>
        <w:tc>
          <w:tcPr>
            <w:tcW w:w="484" w:type="dxa"/>
          </w:tcPr>
          <w:p>
            <w:pPr>
              <w:pStyle w:val="0"/>
            </w:pPr>
            <w:r>
              <w:rPr>
                <w:sz w:val="20"/>
              </w:rPr>
              <w:t xml:space="preserve">4. 6.</w:t>
            </w:r>
          </w:p>
        </w:tc>
        <w:tc>
          <w:tcPr>
            <w:tcW w:w="3649" w:type="dxa"/>
          </w:tcPr>
          <w:p>
            <w:pPr>
              <w:pStyle w:val="0"/>
            </w:pPr>
            <w:r>
              <w:rPr>
                <w:sz w:val="20"/>
              </w:rPr>
              <w:t xml:space="preserve">Проведение окружных соревнований "Школа безопасности" в автономном округе</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образования и науки автономного округа,</w:t>
            </w:r>
          </w:p>
          <w:p>
            <w:pPr>
              <w:pStyle w:val="0"/>
            </w:pPr>
            <w:r>
              <w:rPr>
                <w:sz w:val="20"/>
              </w:rPr>
              <w:t xml:space="preserve">Департамент здравоохранения автономного округа,</w:t>
            </w:r>
          </w:p>
          <w:p>
            <w:pPr>
              <w:pStyle w:val="0"/>
            </w:pPr>
            <w:r>
              <w:rPr>
                <w:sz w:val="20"/>
              </w:rPr>
              <w:t xml:space="preserve">главное управление МЧС России по автономному округу (по согласованию)</w:t>
            </w:r>
          </w:p>
        </w:tc>
        <w:tc>
          <w:tcPr>
            <w:tcW w:w="3572" w:type="dxa"/>
          </w:tcPr>
          <w:p>
            <w:pPr>
              <w:pStyle w:val="0"/>
            </w:pPr>
            <w:r>
              <w:rPr>
                <w:sz w:val="20"/>
              </w:rPr>
              <w:t xml:space="preserve">Повышение информированности несовершеннолетних об основах безопасного поведения, а также приобретение практических навыков</w:t>
            </w:r>
          </w:p>
        </w:tc>
        <w:tc>
          <w:tcPr>
            <w:tcW w:w="2948" w:type="dxa"/>
          </w:tcPr>
          <w:p>
            <w:pPr>
              <w:pStyle w:val="0"/>
            </w:pPr>
            <w:r>
              <w:rPr>
                <w:sz w:val="20"/>
              </w:rPr>
              <w:t xml:space="preserve">Отчеты</w:t>
            </w:r>
          </w:p>
          <w:p>
            <w:pPr>
              <w:pStyle w:val="0"/>
            </w:pPr>
            <w:r>
              <w:rPr>
                <w:sz w:val="20"/>
              </w:rPr>
              <w:t xml:space="preserve">Департамента образования и науки автономного округа,</w:t>
            </w:r>
          </w:p>
          <w:p>
            <w:pPr>
              <w:pStyle w:val="0"/>
            </w:pPr>
            <w:r>
              <w:rPr>
                <w:sz w:val="20"/>
              </w:rPr>
              <w:t xml:space="preserve">Департамента здравоохранения автономного округа,</w:t>
            </w:r>
          </w:p>
          <w:p>
            <w:pPr>
              <w:pStyle w:val="0"/>
            </w:pPr>
            <w:r>
              <w:rPr>
                <w:sz w:val="20"/>
              </w:rPr>
              <w:t xml:space="preserve">главного управления МЧС России по автономному округу</w:t>
            </w:r>
          </w:p>
        </w:tc>
        <w:tc>
          <w:tcPr>
            <w:tcW w:w="3458" w:type="dxa"/>
          </w:tcPr>
          <w:p>
            <w:pPr>
              <w:pStyle w:val="0"/>
            </w:pPr>
            <w:r>
              <w:rPr>
                <w:sz w:val="20"/>
              </w:rPr>
              <w:t xml:space="preserve">Участие в соревнованиях несовершеннолетних в возрасте 11 - 16 лет:</w:t>
            </w:r>
          </w:p>
          <w:p>
            <w:pPr>
              <w:pStyle w:val="0"/>
            </w:pPr>
            <w:r>
              <w:rPr>
                <w:sz w:val="20"/>
              </w:rPr>
              <w:t xml:space="preserve">не менее 70 человек до 1 октября 2024 года; до 1 октября 2025 года; до 1 октября 2026 года</w:t>
            </w:r>
          </w:p>
        </w:tc>
      </w:tr>
      <w:tr>
        <w:tc>
          <w:tcPr>
            <w:tcW w:w="484" w:type="dxa"/>
          </w:tcPr>
          <w:p>
            <w:pPr>
              <w:pStyle w:val="0"/>
            </w:pPr>
            <w:r>
              <w:rPr>
                <w:sz w:val="20"/>
              </w:rPr>
              <w:t xml:space="preserve">4. 7.</w:t>
            </w:r>
          </w:p>
        </w:tc>
        <w:tc>
          <w:tcPr>
            <w:tcW w:w="3649" w:type="dxa"/>
          </w:tcPr>
          <w:p>
            <w:pPr>
              <w:pStyle w:val="0"/>
            </w:pPr>
            <w:r>
              <w:rPr>
                <w:sz w:val="20"/>
              </w:rPr>
              <w:t xml:space="preserve">Предоставление сертификата на оплату социальных услуг по повышению родительских компетенций "Академия родителей" лицам, принявшим на воспитание в свою семью ребенка (детей), оставшегося без попечения родителей, в том числе членам семьи, находящейся в социально опасном положении, трудной жизненной ситуации, воспитывающий ребенка (детей)</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социального развития автономного округа</w:t>
            </w:r>
          </w:p>
        </w:tc>
        <w:tc>
          <w:tcPr>
            <w:tcW w:w="3572" w:type="dxa"/>
          </w:tcPr>
          <w:p>
            <w:pPr>
              <w:pStyle w:val="0"/>
            </w:pPr>
            <w:r>
              <w:rPr>
                <w:sz w:val="20"/>
              </w:rPr>
              <w:t xml:space="preserve">Повышение информированности родителей (законных представителей) по вопросам детской безопасности в жизни и информационно-телекоммуникационной сети Интернет, психологического развития ребенка, адаптации в образовательной организации, получение необходимых компетенций и знаний</w:t>
            </w:r>
          </w:p>
        </w:tc>
        <w:tc>
          <w:tcPr>
            <w:tcW w:w="2948" w:type="dxa"/>
          </w:tcPr>
          <w:p>
            <w:pPr>
              <w:pStyle w:val="0"/>
            </w:pPr>
            <w:r>
              <w:rPr>
                <w:sz w:val="20"/>
              </w:rPr>
              <w:t xml:space="preserve">Отчет</w:t>
            </w:r>
          </w:p>
          <w:p>
            <w:pPr>
              <w:pStyle w:val="0"/>
            </w:pPr>
            <w:r>
              <w:rPr>
                <w:sz w:val="20"/>
              </w:rPr>
              <w:t xml:space="preserve">Департамента социального развития автономного округа</w:t>
            </w:r>
          </w:p>
        </w:tc>
        <w:tc>
          <w:tcPr>
            <w:tcW w:w="3458" w:type="dxa"/>
          </w:tcPr>
          <w:p>
            <w:pPr>
              <w:pStyle w:val="0"/>
            </w:pPr>
            <w:r>
              <w:rPr>
                <w:sz w:val="20"/>
              </w:rPr>
              <w:t xml:space="preserve">Выдача сертификатов на оплату социальных услуг по повышению родительских компетенций "Академия родителей":</w:t>
            </w:r>
          </w:p>
          <w:p>
            <w:pPr>
              <w:pStyle w:val="0"/>
            </w:pPr>
            <w:r>
              <w:rPr>
                <w:sz w:val="20"/>
              </w:rPr>
              <w:t xml:space="preserve">в 2024 году - не менее 700 сертификатов;</w:t>
            </w:r>
          </w:p>
          <w:p>
            <w:pPr>
              <w:pStyle w:val="0"/>
            </w:pPr>
            <w:r>
              <w:rPr>
                <w:sz w:val="20"/>
              </w:rPr>
              <w:t xml:space="preserve">в 2025 году - не менее 700 сертификатов;</w:t>
            </w:r>
          </w:p>
          <w:p>
            <w:pPr>
              <w:pStyle w:val="0"/>
            </w:pPr>
            <w:r>
              <w:rPr>
                <w:sz w:val="20"/>
              </w:rPr>
              <w:t xml:space="preserve">в 2026 году - не менее 700 сертификатов</w:t>
            </w:r>
          </w:p>
        </w:tc>
      </w:tr>
      <w:tr>
        <w:tc>
          <w:tcPr>
            <w:tcW w:w="484" w:type="dxa"/>
          </w:tcPr>
          <w:p>
            <w:pPr>
              <w:pStyle w:val="0"/>
            </w:pPr>
            <w:r>
              <w:rPr>
                <w:sz w:val="20"/>
              </w:rPr>
              <w:t xml:space="preserve">5.</w:t>
            </w:r>
          </w:p>
        </w:tc>
        <w:tc>
          <w:tcPr>
            <w:gridSpan w:val="7"/>
            <w:tcW w:w="18799" w:type="dxa"/>
          </w:tcPr>
          <w:p>
            <w:pPr>
              <w:pStyle w:val="0"/>
            </w:pPr>
            <w:r>
              <w:rPr>
                <w:sz w:val="20"/>
              </w:rPr>
              <w:t xml:space="preserve">Реализация мероприятий, направленных на формирование приверженности к здоровому образу жизни среди несовершеннолетних и их родителей (законных представителей)</w:t>
            </w:r>
          </w:p>
        </w:tc>
      </w:tr>
      <w:tr>
        <w:tc>
          <w:tcPr>
            <w:tcW w:w="484" w:type="dxa"/>
          </w:tcPr>
          <w:p>
            <w:pPr>
              <w:pStyle w:val="0"/>
            </w:pPr>
            <w:r>
              <w:rPr>
                <w:sz w:val="20"/>
              </w:rPr>
              <w:t xml:space="preserve">5.1.</w:t>
            </w:r>
          </w:p>
        </w:tc>
        <w:tc>
          <w:tcPr>
            <w:tcW w:w="3649" w:type="dxa"/>
          </w:tcPr>
          <w:p>
            <w:pPr>
              <w:pStyle w:val="0"/>
            </w:pPr>
            <w:r>
              <w:rPr>
                <w:sz w:val="20"/>
              </w:rPr>
              <w:t xml:space="preserve">Проведение мероприятий (лекции, беседы, статьи в печатных изданиях, в социальных сетях) по формированию здорового образа жизни среди несовершеннолетних и их родителей (законных представителей)</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здравоохранения автономного округа, бюджетное учреждение автономного округа "Центр общественного здоровья и медицинской профилактики" (по согласованию)</w:t>
            </w:r>
          </w:p>
        </w:tc>
        <w:tc>
          <w:tcPr>
            <w:tcW w:w="3572" w:type="dxa"/>
          </w:tcPr>
          <w:p>
            <w:pPr>
              <w:pStyle w:val="0"/>
            </w:pPr>
            <w:r>
              <w:rPr>
                <w:sz w:val="20"/>
              </w:rPr>
              <w:t xml:space="preserve">Профилактика факторов риска развития заболеваний, вредных привычек и пропаганда здорового образа жизни среди несовершеннолетних, родителей (законных представителей)</w:t>
            </w:r>
          </w:p>
        </w:tc>
        <w:tc>
          <w:tcPr>
            <w:tcW w:w="2948" w:type="dxa"/>
          </w:tcPr>
          <w:p>
            <w:pPr>
              <w:pStyle w:val="0"/>
            </w:pPr>
            <w:r>
              <w:rPr>
                <w:sz w:val="20"/>
              </w:rPr>
              <w:t xml:space="preserve">Приказ Департамента здравоохранения автономного округа</w:t>
            </w:r>
          </w:p>
        </w:tc>
        <w:tc>
          <w:tcPr>
            <w:tcW w:w="3458" w:type="dxa"/>
          </w:tcPr>
          <w:p>
            <w:pPr>
              <w:pStyle w:val="0"/>
            </w:pPr>
            <w:r>
              <w:rPr>
                <w:sz w:val="20"/>
              </w:rPr>
              <w:t xml:space="preserve">Охват обучающихся 1 - 11 классов, родителей (законных представителей) (повышение приверженности к ведению здорового образа жизни):</w:t>
            </w:r>
          </w:p>
          <w:p>
            <w:pPr>
              <w:pStyle w:val="0"/>
            </w:pPr>
            <w:r>
              <w:rPr>
                <w:sz w:val="20"/>
              </w:rPr>
              <w:t xml:space="preserve">в 2023 году - не менее 80%;</w:t>
            </w:r>
          </w:p>
          <w:p>
            <w:pPr>
              <w:pStyle w:val="0"/>
            </w:pPr>
            <w:r>
              <w:rPr>
                <w:sz w:val="20"/>
              </w:rPr>
              <w:t xml:space="preserve">в 2024 году - не менее 95%;</w:t>
            </w:r>
          </w:p>
          <w:p>
            <w:pPr>
              <w:pStyle w:val="0"/>
            </w:pPr>
            <w:r>
              <w:rPr>
                <w:sz w:val="20"/>
              </w:rPr>
              <w:t xml:space="preserve">в 2025 году - не менее 95%;</w:t>
            </w:r>
          </w:p>
          <w:p>
            <w:pPr>
              <w:pStyle w:val="0"/>
            </w:pPr>
            <w:r>
              <w:rPr>
                <w:sz w:val="20"/>
              </w:rPr>
              <w:t xml:space="preserve">в 2026 году - не менее 95%</w:t>
            </w:r>
          </w:p>
        </w:tc>
      </w:tr>
      <w:tr>
        <w:tc>
          <w:tcPr>
            <w:tcW w:w="484" w:type="dxa"/>
          </w:tcPr>
          <w:p>
            <w:pPr>
              <w:pStyle w:val="0"/>
            </w:pPr>
            <w:r>
              <w:rPr>
                <w:sz w:val="20"/>
              </w:rPr>
              <w:t xml:space="preserve">5.2.</w:t>
            </w:r>
          </w:p>
        </w:tc>
        <w:tc>
          <w:tcPr>
            <w:tcW w:w="3649" w:type="dxa"/>
          </w:tcPr>
          <w:p>
            <w:pPr>
              <w:pStyle w:val="0"/>
            </w:pPr>
            <w:r>
              <w:rPr>
                <w:sz w:val="20"/>
              </w:rPr>
              <w:t xml:space="preserve">Издание и распространение полиграфической продукции профилактической направленности</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здравоохранения автономного округа,</w:t>
            </w:r>
          </w:p>
          <w:p>
            <w:pPr>
              <w:pStyle w:val="0"/>
            </w:pPr>
            <w:r>
              <w:rPr>
                <w:sz w:val="20"/>
              </w:rPr>
              <w:t xml:space="preserve">бюджетное учреждение автономного округа "Центр общественного здоровья и медицинской профилактики" (по согласованию)</w:t>
            </w:r>
          </w:p>
        </w:tc>
        <w:tc>
          <w:tcPr>
            <w:tcW w:w="3572" w:type="dxa"/>
          </w:tcPr>
          <w:p>
            <w:pPr>
              <w:pStyle w:val="0"/>
            </w:pPr>
            <w:r>
              <w:rPr>
                <w:sz w:val="20"/>
              </w:rPr>
              <w:t xml:space="preserve">Повышение приверженности несовершеннолетних, родителей (законных представителей) к ведению здорового образа жизни</w:t>
            </w:r>
          </w:p>
        </w:tc>
        <w:tc>
          <w:tcPr>
            <w:tcW w:w="2948" w:type="dxa"/>
          </w:tcPr>
          <w:p>
            <w:pPr>
              <w:pStyle w:val="0"/>
            </w:pPr>
            <w:r>
              <w:rPr>
                <w:sz w:val="20"/>
              </w:rPr>
              <w:t xml:space="preserve">Приказ Департамента здравоохранения автономного округа</w:t>
            </w:r>
          </w:p>
        </w:tc>
        <w:tc>
          <w:tcPr>
            <w:tcW w:w="3458" w:type="dxa"/>
          </w:tcPr>
          <w:p>
            <w:pPr>
              <w:pStyle w:val="0"/>
            </w:pPr>
            <w:r>
              <w:rPr>
                <w:sz w:val="20"/>
              </w:rPr>
              <w:t xml:space="preserve">Издание полиграфической продукции профилактической направленности:</w:t>
            </w:r>
          </w:p>
          <w:p>
            <w:pPr>
              <w:pStyle w:val="0"/>
            </w:pPr>
            <w:r>
              <w:rPr>
                <w:sz w:val="20"/>
              </w:rPr>
              <w:t xml:space="preserve">не менее 1000 экз. до 31 декабря 2023 года; до 31 декабря 2024 года; до 31 декабря 2025 года; 31 декабря 2026 года</w:t>
            </w:r>
          </w:p>
        </w:tc>
      </w:tr>
      <w:tr>
        <w:tc>
          <w:tcPr>
            <w:tcW w:w="484" w:type="dxa"/>
          </w:tcPr>
          <w:p>
            <w:pPr>
              <w:pStyle w:val="0"/>
            </w:pPr>
            <w:r>
              <w:rPr>
                <w:sz w:val="20"/>
              </w:rPr>
              <w:t xml:space="preserve">6.</w:t>
            </w:r>
          </w:p>
        </w:tc>
        <w:tc>
          <w:tcPr>
            <w:gridSpan w:val="7"/>
            <w:tcW w:w="18799" w:type="dxa"/>
          </w:tcPr>
          <w:p>
            <w:pPr>
              <w:pStyle w:val="0"/>
            </w:pPr>
            <w:r>
              <w:rPr>
                <w:sz w:val="20"/>
              </w:rPr>
              <w:t xml:space="preserve">Реализация мероприятий по вовлечению несовершеннолетних в социально позитивную деятельность</w:t>
            </w:r>
          </w:p>
        </w:tc>
      </w:tr>
      <w:tr>
        <w:tc>
          <w:tcPr>
            <w:tcW w:w="484" w:type="dxa"/>
          </w:tcPr>
          <w:p>
            <w:pPr>
              <w:pStyle w:val="0"/>
            </w:pPr>
            <w:r>
              <w:rPr>
                <w:sz w:val="20"/>
              </w:rPr>
              <w:t xml:space="preserve">6.1.</w:t>
            </w:r>
          </w:p>
        </w:tc>
        <w:tc>
          <w:tcPr>
            <w:tcW w:w="3649" w:type="dxa"/>
          </w:tcPr>
          <w:p>
            <w:pPr>
              <w:pStyle w:val="0"/>
            </w:pPr>
            <w:r>
              <w:rPr>
                <w:sz w:val="20"/>
              </w:rPr>
              <w:t xml:space="preserve">Привлечение несовершеннолетних к деятельности регионального отделения всероссийского общественного движения "Волонтеры-медики"</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здравоохранения автономного округа,</w:t>
            </w:r>
          </w:p>
          <w:p>
            <w:pPr>
              <w:pStyle w:val="0"/>
            </w:pPr>
            <w:r>
              <w:rPr>
                <w:sz w:val="20"/>
              </w:rPr>
              <w:t xml:space="preserve">бюджетное учреждение автономного округа "Центр общественного здоровья и медицинской профилактики" (по согласованию)</w:t>
            </w:r>
          </w:p>
        </w:tc>
        <w:tc>
          <w:tcPr>
            <w:tcW w:w="3572" w:type="dxa"/>
          </w:tcPr>
          <w:p>
            <w:pPr>
              <w:pStyle w:val="0"/>
            </w:pPr>
            <w:r>
              <w:rPr>
                <w:sz w:val="20"/>
              </w:rPr>
              <w:t xml:space="preserve">Формирование чувства социальной ответственности, взаимопомощи и милосердия в обществе</w:t>
            </w:r>
          </w:p>
        </w:tc>
        <w:tc>
          <w:tcPr>
            <w:tcW w:w="2948" w:type="dxa"/>
          </w:tcPr>
          <w:p>
            <w:pPr>
              <w:pStyle w:val="0"/>
            </w:pPr>
            <w:r>
              <w:rPr>
                <w:sz w:val="20"/>
              </w:rPr>
              <w:t xml:space="preserve">Отчет Департамента здравоохранения автономного округа,</w:t>
            </w:r>
          </w:p>
          <w:p>
            <w:pPr>
              <w:pStyle w:val="0"/>
            </w:pPr>
            <w:r>
              <w:rPr>
                <w:sz w:val="20"/>
              </w:rPr>
              <w:t xml:space="preserve">бюджетного учреждения автономного округа "Центр общественного здоровья и медицинской профилактики"</w:t>
            </w:r>
          </w:p>
        </w:tc>
        <w:tc>
          <w:tcPr>
            <w:tcW w:w="3458" w:type="dxa"/>
          </w:tcPr>
          <w:p>
            <w:pPr>
              <w:pStyle w:val="0"/>
            </w:pPr>
            <w:r>
              <w:rPr>
                <w:sz w:val="20"/>
              </w:rPr>
              <w:t xml:space="preserve">К движению привлечено 50 несовершеннолетних до 31 декабря 2023 года; до 31 декабря 2024 года; до 31 декабря 2025 года; 31 декабря 2026 года</w:t>
            </w:r>
          </w:p>
        </w:tc>
      </w:tr>
      <w:tr>
        <w:tc>
          <w:tcPr>
            <w:tcW w:w="484" w:type="dxa"/>
          </w:tcPr>
          <w:p>
            <w:pPr>
              <w:pStyle w:val="0"/>
            </w:pPr>
            <w:r>
              <w:rPr>
                <w:sz w:val="20"/>
              </w:rPr>
              <w:t xml:space="preserve">6.2.</w:t>
            </w:r>
          </w:p>
        </w:tc>
        <w:tc>
          <w:tcPr>
            <w:tcW w:w="3649" w:type="dxa"/>
          </w:tcPr>
          <w:p>
            <w:pPr>
              <w:pStyle w:val="0"/>
            </w:pPr>
            <w:r>
              <w:rPr>
                <w:sz w:val="20"/>
              </w:rPr>
              <w:t xml:space="preserve">Реализация учебно-образовательного проекта "Я могу спасти жизнь!"</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здравоохранения автономного округа,</w:t>
            </w:r>
          </w:p>
          <w:p>
            <w:pPr>
              <w:pStyle w:val="0"/>
            </w:pPr>
            <w:r>
              <w:rPr>
                <w:sz w:val="20"/>
              </w:rPr>
              <w:t xml:space="preserve">бюджетное учреждение автономного округа "Окружной кардиологический диспансер "Центр диагностики и сердечно-сосудистой хирургии" (по согласованию)</w:t>
            </w:r>
          </w:p>
        </w:tc>
        <w:tc>
          <w:tcPr>
            <w:tcW w:w="3572" w:type="dxa"/>
          </w:tcPr>
          <w:p>
            <w:pPr>
              <w:pStyle w:val="0"/>
            </w:pPr>
            <w:r>
              <w:rPr>
                <w:sz w:val="20"/>
              </w:rPr>
              <w:t xml:space="preserve">Формирование чувства социальной ответственности, взаимопомощи и милосердия в обществе</w:t>
            </w:r>
          </w:p>
        </w:tc>
        <w:tc>
          <w:tcPr>
            <w:tcW w:w="2948" w:type="dxa"/>
          </w:tcPr>
          <w:p>
            <w:pPr>
              <w:pStyle w:val="0"/>
            </w:pPr>
            <w:r>
              <w:rPr>
                <w:sz w:val="20"/>
              </w:rPr>
              <w:t xml:space="preserve">Отчет Департамента здравоохранения автономного округа,</w:t>
            </w:r>
          </w:p>
          <w:p>
            <w:pPr>
              <w:pStyle w:val="0"/>
            </w:pPr>
            <w:r>
              <w:rPr>
                <w:sz w:val="20"/>
              </w:rPr>
              <w:t xml:space="preserve">бюджетного учреждения автономного округа "Окружной кардиологический диспансер "Центр диагностики и сердечно-сосудистой хирургии"</w:t>
            </w:r>
          </w:p>
        </w:tc>
        <w:tc>
          <w:tcPr>
            <w:tcW w:w="3458" w:type="dxa"/>
          </w:tcPr>
          <w:p>
            <w:pPr>
              <w:pStyle w:val="0"/>
            </w:pPr>
            <w:r>
              <w:rPr>
                <w:sz w:val="20"/>
              </w:rPr>
              <w:t xml:space="preserve">Обучение обучающихся 10 - 11 классов навыкам оказания первой помощи:</w:t>
            </w:r>
          </w:p>
          <w:p>
            <w:pPr>
              <w:pStyle w:val="0"/>
            </w:pPr>
            <w:r>
              <w:rPr>
                <w:sz w:val="20"/>
              </w:rPr>
              <w:t xml:space="preserve">100 человек до 31 декабря 2023 года; до 31 декабря 2024 года; до 31 декабря 2025 года; 31 декабря 2026 года</w:t>
            </w:r>
          </w:p>
        </w:tc>
      </w:tr>
      <w:tr>
        <w:tc>
          <w:tcPr>
            <w:tcW w:w="484" w:type="dxa"/>
          </w:tcPr>
          <w:p>
            <w:pPr>
              <w:pStyle w:val="0"/>
            </w:pPr>
            <w:r>
              <w:rPr>
                <w:sz w:val="20"/>
              </w:rPr>
              <w:t xml:space="preserve">6.3.</w:t>
            </w:r>
          </w:p>
        </w:tc>
        <w:tc>
          <w:tcPr>
            <w:tcW w:w="3649" w:type="dxa"/>
          </w:tcPr>
          <w:p>
            <w:pPr>
              <w:pStyle w:val="0"/>
            </w:pPr>
            <w:r>
              <w:rPr>
                <w:sz w:val="20"/>
              </w:rPr>
              <w:t xml:space="preserve">Реализация мер по вовлечению несовершеннолетних в позитивную социально значимую среду, занятия культурой, трудом, в том числе в условиях работы детских и молодежных общественных организаций, осуществления культурно-просветительских мероприятий</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образования и науки автономного округа,</w:t>
            </w:r>
          </w:p>
          <w:p>
            <w:pPr>
              <w:pStyle w:val="0"/>
            </w:pPr>
            <w:r>
              <w:rPr>
                <w:sz w:val="20"/>
              </w:rPr>
              <w:t xml:space="preserve">Департамент культуры автономного округа,</w:t>
            </w:r>
          </w:p>
          <w:p>
            <w:pPr>
              <w:pStyle w:val="0"/>
            </w:pPr>
            <w:r>
              <w:rPr>
                <w:sz w:val="20"/>
              </w:rPr>
              <w:t xml:space="preserve">Департамент молодежной политики, гражданских инициатив и внешних связей автономного округа, Департамент труда и занятости населения автономного округа</w:t>
            </w:r>
          </w:p>
        </w:tc>
        <w:tc>
          <w:tcPr>
            <w:tcW w:w="3572" w:type="dxa"/>
          </w:tcPr>
          <w:p>
            <w:pPr>
              <w:pStyle w:val="0"/>
            </w:pPr>
            <w:r>
              <w:rPr>
                <w:sz w:val="20"/>
              </w:rPr>
              <w:t xml:space="preserve">Обеспечение занятостью несовершеннолетних</w:t>
            </w:r>
          </w:p>
        </w:tc>
        <w:tc>
          <w:tcPr>
            <w:tcW w:w="2948" w:type="dxa"/>
          </w:tcPr>
          <w:p>
            <w:pPr>
              <w:pStyle w:val="0"/>
            </w:pPr>
            <w:r>
              <w:rPr>
                <w:sz w:val="20"/>
              </w:rPr>
              <w:t xml:space="preserve">Отчет Департамента образования и науки автономного округа,</w:t>
            </w:r>
          </w:p>
          <w:p>
            <w:pPr>
              <w:pStyle w:val="0"/>
            </w:pPr>
            <w:r>
              <w:rPr>
                <w:sz w:val="20"/>
              </w:rPr>
              <w:t xml:space="preserve">Департамента культуры автономного округа,</w:t>
            </w:r>
          </w:p>
          <w:p>
            <w:pPr>
              <w:pStyle w:val="0"/>
            </w:pPr>
            <w:r>
              <w:rPr>
                <w:sz w:val="20"/>
              </w:rPr>
              <w:t xml:space="preserve">Департамента молодежной политики, гражданских инициатив и внешних связей автономного округа, Департамента труда и занятости населения автономного округа</w:t>
            </w:r>
          </w:p>
        </w:tc>
        <w:tc>
          <w:tcPr>
            <w:tcW w:w="3458" w:type="dxa"/>
          </w:tcPr>
          <w:p>
            <w:pPr>
              <w:pStyle w:val="0"/>
            </w:pPr>
            <w:r>
              <w:rPr>
                <w:sz w:val="20"/>
              </w:rPr>
              <w:t xml:space="preserve">Охват занятостью несовершеннолетних:</w:t>
            </w:r>
          </w:p>
          <w:p>
            <w:pPr>
              <w:pStyle w:val="0"/>
            </w:pPr>
            <w:r>
              <w:rPr>
                <w:sz w:val="20"/>
              </w:rPr>
              <w:t xml:space="preserve">в 2023 году - не менее 15 000 человек;</w:t>
            </w:r>
          </w:p>
          <w:p>
            <w:pPr>
              <w:pStyle w:val="0"/>
            </w:pPr>
            <w:r>
              <w:rPr>
                <w:sz w:val="20"/>
              </w:rPr>
              <w:t xml:space="preserve">в 2024 году - не менее 15 300 человек;</w:t>
            </w:r>
          </w:p>
          <w:p>
            <w:pPr>
              <w:pStyle w:val="0"/>
            </w:pPr>
            <w:r>
              <w:rPr>
                <w:sz w:val="20"/>
              </w:rPr>
              <w:t xml:space="preserve">в 2025 году - не менее 15 400 человек;</w:t>
            </w:r>
          </w:p>
          <w:p>
            <w:pPr>
              <w:pStyle w:val="0"/>
            </w:pPr>
            <w:r>
              <w:rPr>
                <w:sz w:val="20"/>
              </w:rPr>
              <w:t xml:space="preserve">в 2026 году - не менее 15 500 человек</w:t>
            </w:r>
          </w:p>
        </w:tc>
      </w:tr>
      <w:tr>
        <w:tc>
          <w:tcPr>
            <w:tcW w:w="484" w:type="dxa"/>
          </w:tcPr>
          <w:p>
            <w:pPr>
              <w:pStyle w:val="0"/>
            </w:pPr>
            <w:r>
              <w:rPr>
                <w:sz w:val="20"/>
              </w:rPr>
              <w:t xml:space="preserve">6.4.</w:t>
            </w:r>
          </w:p>
        </w:tc>
        <w:tc>
          <w:tcPr>
            <w:tcW w:w="3649" w:type="dxa"/>
          </w:tcPr>
          <w:p>
            <w:pPr>
              <w:pStyle w:val="0"/>
            </w:pPr>
            <w:r>
              <w:rPr>
                <w:sz w:val="20"/>
              </w:rPr>
              <w:t xml:space="preserve">Реализация мер по организации дополнительных общеобразовательных программ в области физической культуры и спорта</w:t>
            </w:r>
          </w:p>
        </w:tc>
        <w:tc>
          <w:tcPr>
            <w:tcW w:w="1077" w:type="dxa"/>
          </w:tcPr>
          <w:p>
            <w:pPr>
              <w:pStyle w:val="0"/>
            </w:pPr>
            <w:r>
              <w:rPr>
                <w:sz w:val="20"/>
              </w:rPr>
              <w:t xml:space="preserve">1 декабря 2023 года</w:t>
            </w:r>
          </w:p>
        </w:tc>
        <w:tc>
          <w:tcPr>
            <w:tcW w:w="1204" w:type="dxa"/>
          </w:tcPr>
          <w:p>
            <w:pPr>
              <w:pStyle w:val="0"/>
            </w:pPr>
            <w:r>
              <w:rPr>
                <w:sz w:val="20"/>
              </w:rPr>
              <w:t xml:space="preserve">31 декабря 2026 года</w:t>
            </w:r>
          </w:p>
        </w:tc>
        <w:tc>
          <w:tcPr>
            <w:tcW w:w="2891" w:type="dxa"/>
          </w:tcPr>
          <w:p>
            <w:pPr>
              <w:pStyle w:val="0"/>
            </w:pPr>
            <w:r>
              <w:rPr>
                <w:sz w:val="20"/>
              </w:rPr>
              <w:t xml:space="preserve">Департамент физической культуры и спорта автономного округа</w:t>
            </w:r>
          </w:p>
        </w:tc>
        <w:tc>
          <w:tcPr>
            <w:tcW w:w="3572" w:type="dxa"/>
          </w:tcPr>
          <w:p>
            <w:pPr>
              <w:pStyle w:val="0"/>
            </w:pPr>
            <w:r>
              <w:rPr>
                <w:sz w:val="20"/>
              </w:rPr>
              <w:t xml:space="preserve">Увеличение числа лиц, занимающихся по дополнительным общеобразовательным программам в области физической культуры и спорта</w:t>
            </w:r>
          </w:p>
        </w:tc>
        <w:tc>
          <w:tcPr>
            <w:tcW w:w="2948" w:type="dxa"/>
          </w:tcPr>
          <w:p>
            <w:pPr>
              <w:pStyle w:val="0"/>
            </w:pPr>
            <w:r>
              <w:rPr>
                <w:sz w:val="20"/>
              </w:rPr>
              <w:t xml:space="preserve">Отчет Департамента физической культуры и спорта автономного округа</w:t>
            </w:r>
          </w:p>
        </w:tc>
        <w:tc>
          <w:tcPr>
            <w:tcW w:w="3458" w:type="dxa"/>
          </w:tcPr>
          <w:p>
            <w:pPr>
              <w:pStyle w:val="0"/>
            </w:pPr>
            <w:r>
              <w:rPr>
                <w:sz w:val="20"/>
              </w:rPr>
              <w:t xml:space="preserve">Численность занимающихся по дополнительным общеобразовательным программам в области физической культуры и спорта:</w:t>
            </w:r>
          </w:p>
          <w:p>
            <w:pPr>
              <w:pStyle w:val="0"/>
            </w:pPr>
            <w:r>
              <w:rPr>
                <w:sz w:val="20"/>
              </w:rPr>
              <w:t xml:space="preserve">2023 год - не менее 49 350 человек;</w:t>
            </w:r>
          </w:p>
          <w:p>
            <w:pPr>
              <w:pStyle w:val="0"/>
            </w:pPr>
            <w:r>
              <w:rPr>
                <w:sz w:val="20"/>
              </w:rPr>
              <w:t xml:space="preserve">2024 год - не менее 49 400 человек;</w:t>
            </w:r>
          </w:p>
          <w:p>
            <w:pPr>
              <w:pStyle w:val="0"/>
            </w:pPr>
            <w:r>
              <w:rPr>
                <w:sz w:val="20"/>
              </w:rPr>
              <w:t xml:space="preserve">2025 год - не менее 49 450 человек;</w:t>
            </w:r>
          </w:p>
          <w:p>
            <w:pPr>
              <w:pStyle w:val="0"/>
            </w:pPr>
            <w:r>
              <w:rPr>
                <w:sz w:val="20"/>
              </w:rPr>
              <w:t xml:space="preserve">2026 год - не менее 49 500 чел.</w:t>
            </w:r>
          </w:p>
        </w:tc>
      </w:tr>
    </w:tbl>
    <w:p>
      <w:pPr>
        <w:pStyle w:val="0"/>
        <w:ind w:firstLine="540"/>
        <w:jc w:val="both"/>
      </w:pPr>
      <w:r>
        <w:rPr>
          <w:sz w:val="20"/>
        </w:rPr>
      </w:r>
    </w:p>
    <w:p>
      <w:pPr>
        <w:pStyle w:val="0"/>
        <w:jc w:val="right"/>
      </w:pPr>
      <w:r>
        <w:rPr>
          <w:sz w:val="20"/>
        </w:rPr>
        <w:t xml:space="preserve">Схема 1</w:t>
      </w:r>
    </w:p>
    <w:p>
      <w:pPr>
        <w:pStyle w:val="0"/>
        <w:jc w:val="right"/>
      </w:pPr>
      <w:r>
        <w:rPr>
          <w:sz w:val="20"/>
        </w:rPr>
      </w:r>
    </w:p>
    <w:bookmarkStart w:id="32426" w:name="P32426"/>
    <w:bookmarkEnd w:id="32426"/>
    <w:p>
      <w:pPr>
        <w:pStyle w:val="0"/>
        <w:jc w:val="center"/>
      </w:pPr>
      <w:r>
        <w:rPr>
          <w:sz w:val="20"/>
        </w:rPr>
        <w:t xml:space="preserve">Схема размещения медицинских зон оказания</w:t>
      </w:r>
    </w:p>
    <w:p>
      <w:pPr>
        <w:pStyle w:val="0"/>
        <w:jc w:val="center"/>
      </w:pPr>
      <w:r>
        <w:rPr>
          <w:sz w:val="20"/>
        </w:rPr>
        <w:t xml:space="preserve">специализированной, в том числе высокотехнологичной,</w:t>
      </w:r>
    </w:p>
    <w:p>
      <w:pPr>
        <w:pStyle w:val="0"/>
        <w:jc w:val="center"/>
      </w:pPr>
      <w:r>
        <w:rPr>
          <w:sz w:val="20"/>
        </w:rPr>
        <w:t xml:space="preserve">медицинской помощи детскому населению Ханты-Мансийского</w:t>
      </w:r>
    </w:p>
    <w:p>
      <w:pPr>
        <w:pStyle w:val="0"/>
        <w:jc w:val="center"/>
      </w:pPr>
      <w:r>
        <w:rPr>
          <w:sz w:val="20"/>
        </w:rPr>
        <w:t xml:space="preserve">автономного округа - Югры</w:t>
      </w:r>
    </w:p>
    <w:p>
      <w:pPr>
        <w:pStyle w:val="0"/>
        <w:jc w:val="right"/>
      </w:pPr>
      <w:r>
        <w:rPr>
          <w:sz w:val="20"/>
        </w:rPr>
      </w:r>
    </w:p>
    <w:p>
      <w:pPr>
        <w:pStyle w:val="0"/>
        <w:jc w:val="center"/>
      </w:pPr>
      <w:r>
        <w:rPr>
          <w:position w:val="-237"/>
        </w:rPr>
        <w:drawing>
          <wp:inline distT="0" distB="0" distL="0" distR="0">
            <wp:extent cx="6619875" cy="31451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6619875" cy="3145155"/>
                    </a:xfrm>
                    <a:prstGeom prst="rect">
                      <a:avLst/>
                    </a:prstGeom>
                    <a:noFill/>
                    <a:ln>
                      <a:noFill/>
                    </a:ln>
                  </pic:spPr>
                </pic:pic>
              </a:graphicData>
            </a:graphic>
          </wp:inline>
        </w:drawing>
      </w:r>
    </w:p>
    <w:p>
      <w:pPr>
        <w:sectPr>
          <w:headerReference w:type="default" r:id="rId81"/>
          <w:headerReference w:type="first" r:id="rId81"/>
          <w:footerReference w:type="default" r:id="rId82"/>
          <w:footerReference w:type="first" r:id="rId82"/>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position w:val="-13"/>
        </w:rPr>
        <w:drawing>
          <wp:inline distT="0" distB="0" distL="0" distR="0">
            <wp:extent cx="194945"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194945" cy="298450"/>
                    </a:xfrm>
                    <a:prstGeom prst="rect">
                      <a:avLst/>
                    </a:prstGeom>
                    <a:noFill/>
                    <a:ln>
                      <a:noFill/>
                    </a:ln>
                  </pic:spPr>
                </pic:pic>
              </a:graphicData>
            </a:graphic>
          </wp:inline>
        </w:drawing>
      </w:r>
      <w:r>
        <w:rPr>
          <w:sz w:val="20"/>
        </w:rPr>
        <w:t xml:space="preserve"> Основные медицинские организации третьего уровня:</w:t>
      </w:r>
    </w:p>
    <w:p>
      <w:pPr>
        <w:pStyle w:val="0"/>
        <w:spacing w:before="200" w:line-rule="auto"/>
        <w:ind w:firstLine="540"/>
        <w:jc w:val="both"/>
      </w:pPr>
      <w:r>
        <w:rPr>
          <w:sz w:val="20"/>
        </w:rPr>
        <w:t xml:space="preserve">БУ "Сургутский окружной клинический центр охраны материнства и детства", БУ "Окружная клиническая больница", БУ "Сургутская окружная клиническая больница", БУ "Окружной кардиологический диспансер "Центр диагностики и сердечно-сосудистой хирургии", БУ "Окружная клиническая травматологическая больница", БУ "Нефтеюганская окружная клиническая больница им. В.И. Яцкив", БУ "Нижневартовская окружная клиническая детская больница", БУ "Няганская окружная больница".</w:t>
      </w:r>
    </w:p>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Постановление Правительства ХМАО - Югры от 27.12.2021 N 594-п</w:t>
            <w:br/>
            <w:t>(ред. от 27.10.2023)</w:t>
            <w:br/>
            <w:t>"О мерах по реализации государственно...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26.11.2023</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Постановление Правительства ХМАО - Югры от 27.12.2021 N 594-п</w:t>
            <w:br/>
            <w:t>(ред. от 27.10.2023)</w:t>
            <w:br/>
            <w:t>"О мерах по реализации государственно...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26.11.2023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963EB849293FF789AB3B4EF65B2DB6AE4DC4CB2DA0E1B2A4FED6B41B05C05A39565B806A39BD5DE415E7291675A185D315E000FAA1F93DF1954928ECz7D7L" TargetMode = "External"/>
	<Relationship Id="rId8" Type="http://schemas.openxmlformats.org/officeDocument/2006/relationships/hyperlink" Target="consultantplus://offline/ref=963EB849293FF789AB3B4EF65B2DB6AE4DC4CB2DA0E1B1A3FEDCB41B05C05A39565B806A39BD5DE415E7291675A185D315E000FAA1F93DF1954928ECz7D7L" TargetMode = "External"/>
	<Relationship Id="rId9" Type="http://schemas.openxmlformats.org/officeDocument/2006/relationships/hyperlink" Target="consultantplus://offline/ref=963EB849293FF789AB3B4EF65B2DB6AE4DC4CB2DA0E1B1A7F3D2B41B05C05A39565B806A39BD5DE415E7291675A185D315E000FAA1F93DF1954928ECz7D7L" TargetMode = "External"/>
	<Relationship Id="rId10" Type="http://schemas.openxmlformats.org/officeDocument/2006/relationships/hyperlink" Target="consultantplus://offline/ref=963EB849293FF789AB3B4EF65B2DB6AE4DC4CB2DA0E2B3A6F4D4B41B05C05A39565B806A39BD5DE415E7291675A185D315E000FAA1F93DF1954928ECz7D7L" TargetMode = "External"/>
	<Relationship Id="rId11" Type="http://schemas.openxmlformats.org/officeDocument/2006/relationships/hyperlink" Target="consultantplus://offline/ref=963EB849293FF789AB3B4EF65B2DB6AE4DC4CB2DA0E2B0A3F1D4B41B05C05A39565B806A39BD5DE415E7291675A185D315E000FAA1F93DF1954928ECz7D7L" TargetMode = "External"/>
	<Relationship Id="rId12" Type="http://schemas.openxmlformats.org/officeDocument/2006/relationships/hyperlink" Target="consultantplus://offline/ref=963EB849293FF789AB3B4EF65B2DB6AE4DC4CB2DA0E2BEA9F0DDB41B05C05A39565B806A39BD5DE415E7291675A185D315E000FAA1F93DF1954928ECz7D7L" TargetMode = "External"/>
	<Relationship Id="rId13" Type="http://schemas.openxmlformats.org/officeDocument/2006/relationships/hyperlink" Target="consultantplus://offline/ref=963EB849293FF789AB3B4EF65B2DB6AE4DC4CB2DA0E3B7A5F3D5B41B05C05A39565B806A39BD5DE415E7291675A185D315E000FAA1F93DF1954928ECz7D7L" TargetMode = "External"/>
	<Relationship Id="rId14" Type="http://schemas.openxmlformats.org/officeDocument/2006/relationships/hyperlink" Target="consultantplus://offline/ref=963EB849293FF789AB3B4EF65B2DB6AE4DC4CB2DA0E3B0A0F1D5B41B05C05A39565B806A39BD5DE415E7291676A185D315E000FAA1F93DF1954928ECz7D7L" TargetMode = "External"/>
	<Relationship Id="rId15" Type="http://schemas.openxmlformats.org/officeDocument/2006/relationships/hyperlink" Target="consultantplus://offline/ref=963EB849293FF789AB3B4EF65B2DB6AE4DC4CB2DA0ECB7A8FEDDB41B05C05A39565B806A39BD5DE415E7291675A185D315E000FAA1F93DF1954928ECz7D7L" TargetMode = "External"/>
	<Relationship Id="rId16" Type="http://schemas.openxmlformats.org/officeDocument/2006/relationships/hyperlink" Target="consultantplus://offline/ref=963EB849293FF789AB3B4EF65B2DB6AE4DC4CB2DA0ECB4A2FFD6B41B05C05A39565B806A39BD5DE415E7291675A185D315E000FAA1F93DF1954928ECz7D7L" TargetMode = "External"/>
	<Relationship Id="rId17" Type="http://schemas.openxmlformats.org/officeDocument/2006/relationships/hyperlink" Target="consultantplus://offline/ref=963EB849293FF789AB3B4EF65B2DB6AE4DC4CB2DA0ECB4A6F1D0B41B05C05A39565B806A39BD5DE415E7291675A185D315E000FAA1F93DF1954928ECz7D7L" TargetMode = "External"/>
	<Relationship Id="rId18" Type="http://schemas.openxmlformats.org/officeDocument/2006/relationships/hyperlink" Target="consultantplus://offline/ref=963EB849293FF789AB3B4EF65B2DB6AE4DC4CB2DA0ECB3A7F3DDB41B05C05A39565B806A39BD5DE415E7291675A185D315E000FAA1F93DF1954928ECz7D7L" TargetMode = "External"/>
	<Relationship Id="rId19" Type="http://schemas.openxmlformats.org/officeDocument/2006/relationships/hyperlink" Target="consultantplus://offline/ref=963EB849293FF789AB3B4EF65B2DB6AE4DC4CB2DA0ECB2A0F7D2B41B05C05A39565B806A39BD5DE415E7291675A185D315E000FAA1F93DF1954928ECz7D7L" TargetMode = "External"/>
	<Relationship Id="rId20" Type="http://schemas.openxmlformats.org/officeDocument/2006/relationships/hyperlink" Target="consultantplus://offline/ref=963EB849293FF789AB3B4EF65B2DB6AE4DC4CB2DA0ECB1A1F3D2B41B05C05A39565B806A39BD5DE415E7291675A185D315E000FAA1F93DF1954928ECz7D7L" TargetMode = "External"/>
	<Relationship Id="rId21" Type="http://schemas.openxmlformats.org/officeDocument/2006/relationships/hyperlink" Target="consultantplus://offline/ref=963EB849293FF789AB3B4EF65B2DB6AE4DC4CB2DA0ECB0A9FED2B41B05C05A39565B806A39BD5DE415E7291675A185D315E000FAA1F93DF1954928ECz7D7L" TargetMode = "External"/>
	<Relationship Id="rId22" Type="http://schemas.openxmlformats.org/officeDocument/2006/relationships/hyperlink" Target="consultantplus://offline/ref=963EB849293FF789AB3B4EF65B2DB6AE4DC4CB2DA0ECBFA4F3D0B41B05C05A39565B806A39BD5DE415E7291675A185D315E000FAA1F93DF1954928ECz7D7L" TargetMode = "External"/>
	<Relationship Id="rId23" Type="http://schemas.openxmlformats.org/officeDocument/2006/relationships/hyperlink" Target="consultantplus://offline/ref=963EB849293FF789AB3B4EF65B2DB6AE4DC4CB2DA0ECBEA2F5D5B41B05C05A39565B806A39BD5DE415E7291675A185D315E000FAA1F93DF1954928ECz7D7L" TargetMode = "External"/>
	<Relationship Id="rId24" Type="http://schemas.openxmlformats.org/officeDocument/2006/relationships/hyperlink" Target="consultantplus://offline/ref=963EB849293FF789AB3B4EF65B2DB6AE4DC4CB2DA0ECBEA7F5D7B41B05C05A39565B806A39BD5DE415E7291675A185D315E000FAA1F93DF1954928ECz7D7L" TargetMode = "External"/>
	<Relationship Id="rId25" Type="http://schemas.openxmlformats.org/officeDocument/2006/relationships/hyperlink" Target="consultantplus://offline/ref=963EB849293FF789AB3B50FB4D41E1A14FC99420AAE1BCF7AA81B24C5A905C6C161B863B7DF159EE41B66D437DA8D79C50B413FAA7E5z3DFL" TargetMode = "External"/>
	<Relationship Id="rId26" Type="http://schemas.openxmlformats.org/officeDocument/2006/relationships/hyperlink" Target="consultantplus://offline/ref=963EB849293FF789AB3B4EF65B2DB6AE4DC4CB2DA0ECB7A2FFDDB41B05C05A39565B806A39BD5DE617EC7D4734FFDC8057AB0CF9B9E53CF2z8D8L" TargetMode = "External"/>
	<Relationship Id="rId27" Type="http://schemas.openxmlformats.org/officeDocument/2006/relationships/hyperlink" Target="consultantplus://offline/ref=963EB849293FF789AB3B4EF65B2DB6AE4DC4CB2DA0ECBFA8F4D2B41B05C05A39565B806A2BBD05E817E1371771B4D38253zBD6L" TargetMode = "External"/>
	<Relationship Id="rId28" Type="http://schemas.openxmlformats.org/officeDocument/2006/relationships/hyperlink" Target="consultantplus://offline/ref=963EB849293FF789AB3B4EF65B2DB6AE4DC4CB2DA0E3B0A0F1D5B41B05C05A39565B806A39BD5DE415E7291676A185D315E000FAA1F93DF1954928ECz7D7L" TargetMode = "External"/>
	<Relationship Id="rId29" Type="http://schemas.openxmlformats.org/officeDocument/2006/relationships/hyperlink" Target="consultantplus://offline/ref=963EB849293FF789AB3B4EF65B2DB6AE4DC4CB2DA0ECB3A7F3DDB41B05C05A39565B806A39BD5DE415E7291675A185D315E000FAA1F93DF1954928ECz7D7L" TargetMode = "External"/>
	<Relationship Id="rId30" Type="http://schemas.openxmlformats.org/officeDocument/2006/relationships/hyperlink" Target="consultantplus://offline/ref=963EB849293FF789AB3B4EF65B2DB6AE4DC4CB2DA0E1B2A4FED6B41B05C05A39565B806A39BD5DE415E7291676A185D315E000FAA1F93DF1954928ECz7D7L" TargetMode = "External"/>
	<Relationship Id="rId31" Type="http://schemas.openxmlformats.org/officeDocument/2006/relationships/hyperlink" Target="consultantplus://offline/ref=963EB849293FF789AB3B4EF65B2DB6AE4DC4CB2DA0E1B1A3FEDCB41B05C05A39565B806A39BD5DE415E7291676A185D315E000FAA1F93DF1954928ECz7D7L" TargetMode = "External"/>
	<Relationship Id="rId32" Type="http://schemas.openxmlformats.org/officeDocument/2006/relationships/hyperlink" Target="consultantplus://offline/ref=963EB849293FF789AB3B4EF65B2DB6AE4DC4CB2DA0E2B0A3F1D4B41B05C05A39565B806A39BD5DE415E7291676A185D315E000FAA1F93DF1954928ECz7D7L" TargetMode = "External"/>
	<Relationship Id="rId33" Type="http://schemas.openxmlformats.org/officeDocument/2006/relationships/hyperlink" Target="consultantplus://offline/ref=963EB849293FF789AB3B4EF65B2DB6AE4DC4CB2DA0E2BEA9F0DDB41B05C05A39565B806A39BD5DE415E7291676A185D315E000FAA1F93DF1954928ECz7D7L" TargetMode = "External"/>
	<Relationship Id="rId34" Type="http://schemas.openxmlformats.org/officeDocument/2006/relationships/hyperlink" Target="consultantplus://offline/ref=963EB849293FF789AB3B4EF65B2DB6AE4DC4CB2DA0ECB1A1F3D2B41B05C05A39565B806A39BD5DE415E7291676A185D315E000FAA1F93DF1954928ECz7D7L" TargetMode = "External"/>
	<Relationship Id="rId35" Type="http://schemas.openxmlformats.org/officeDocument/2006/relationships/hyperlink" Target="consultantplus://offline/ref=963EB849293FF789AB3B4EF65B2DB6AE4DC4CB2DA0ECB0A9FED2B41B05C05A39565B806A39BD5DE415E7291676A185D315E000FAA1F93DF1954928ECz7D7L" TargetMode = "External"/>
	<Relationship Id="rId36" Type="http://schemas.openxmlformats.org/officeDocument/2006/relationships/hyperlink" Target="consultantplus://offline/ref=963EB849293FF789AB3B4EF65B2DB6AE4DC4CB2DA0ECBFA4F3D0B41B05C05A39565B806A39BD5DE415E7291676A185D315E000FAA1F93DF1954928ECz7D7L" TargetMode = "External"/>
	<Relationship Id="rId37" Type="http://schemas.openxmlformats.org/officeDocument/2006/relationships/hyperlink" Target="consultantplus://offline/ref=963EB849293FF789AB3B4EF65B2DB6AE4DC4CB2DA0ECBEA2F5D5B41B05C05A39565B806A39BD5DE415E7291676A185D315E000FAA1F93DF1954928ECz7D7L" TargetMode = "External"/>
	<Relationship Id="rId38" Type="http://schemas.openxmlformats.org/officeDocument/2006/relationships/hyperlink" Target="consultantplus://offline/ref=963EB849293FF789AB3B4EF65B2DB6AE4DC4CB2DA0ECBFA8F4D2B41B05C05A39565B806A39BD5DE415E7291772A185D315E000FAA1F93DF1954928ECz7D7L" TargetMode = "External"/>
	<Relationship Id="rId39" Type="http://schemas.openxmlformats.org/officeDocument/2006/relationships/hyperlink" Target="consultantplus://offline/ref=963EB849293FF789AB3B4EF65B2DB6AE4DC4CB2DA0E0B2A6F2DDB41B05C05A39565B806A2BBD05E817E1371771B4D38253zBD6L" TargetMode = "External"/>
	<Relationship Id="rId40" Type="http://schemas.openxmlformats.org/officeDocument/2006/relationships/hyperlink" Target="consultantplus://offline/ref=963EB849293FF789AB3B4EF65B2DB6AE4DC4CB2DA3ECB1A7F0DCB41B05C05A39565B806A2BBD05E817E1371771B4D38253zBD6L" TargetMode = "External"/>
	<Relationship Id="rId41" Type="http://schemas.openxmlformats.org/officeDocument/2006/relationships/hyperlink" Target="consultantplus://offline/ref=963EB849293FF789AB3B4EF65B2DB6AE4DC4CB2DA3ECBEA8F4D7B41B05C05A39565B806A2BBD05E817E1371771B4D38253zBD6L" TargetMode = "External"/>
	<Relationship Id="rId42" Type="http://schemas.openxmlformats.org/officeDocument/2006/relationships/hyperlink" Target="consultantplus://offline/ref=963EB849293FF789AB3B4EF65B2DB6AE4DC4CB2DA3EDB3A2F6D2B41B05C05A39565B806A2BBD05E817E1371771B4D38253zBD6L" TargetMode = "External"/>
	<Relationship Id="rId43" Type="http://schemas.openxmlformats.org/officeDocument/2006/relationships/hyperlink" Target="consultantplus://offline/ref=963EB849293FF789AB3B4EF65B2DB6AE4DC4CB2DA3EDB1A9F1D4B41B05C05A39565B806A2BBD05E817E1371771B4D38253zBD6L" TargetMode = "External"/>
	<Relationship Id="rId44" Type="http://schemas.openxmlformats.org/officeDocument/2006/relationships/hyperlink" Target="consultantplus://offline/ref=963EB849293FF789AB3B4EF65B2DB6AE4DC4CB2DA3EDB0A5F7D1B41B05C05A39565B806A2BBD05E817E1371771B4D38253zBD6L" TargetMode = "External"/>
	<Relationship Id="rId45" Type="http://schemas.openxmlformats.org/officeDocument/2006/relationships/hyperlink" Target="consultantplus://offline/ref=963EB849293FF789AB3B4EF65B2DB6AE4DC4CB2DA3EDBEA4FED0B41B05C05A39565B806A2BBD05E817E1371771B4D38253zBD6L" TargetMode = "External"/>
	<Relationship Id="rId46" Type="http://schemas.openxmlformats.org/officeDocument/2006/relationships/hyperlink" Target="consultantplus://offline/ref=963EB849293FF789AB3B4EF65B2DB6AE4DC4CB2DA0E4B7A0F7D6B41B05C05A39565B806A2BBD05E817E1371771B4D38253zBD6L" TargetMode = "External"/>
	<Relationship Id="rId47" Type="http://schemas.openxmlformats.org/officeDocument/2006/relationships/hyperlink" Target="consultantplus://offline/ref=963EB849293FF789AB3B4EF65B2DB6AE4DC4CB2DA0E4B6A7F4D2B41B05C05A39565B806A2BBD05E817E1371771B4D38253zBD6L" TargetMode = "External"/>
	<Relationship Id="rId48" Type="http://schemas.openxmlformats.org/officeDocument/2006/relationships/hyperlink" Target="consultantplus://offline/ref=963EB849293FF789AB3B4EF65B2DB6AE4DC4CB2DA0E4B6A8F0DDB41B05C05A39565B806A2BBD05E817E1371771B4D38253zBD6L" TargetMode = "External"/>
	<Relationship Id="rId49" Type="http://schemas.openxmlformats.org/officeDocument/2006/relationships/hyperlink" Target="consultantplus://offline/ref=8FA0903205F1E193D7C4C247A1F6453CC0B18408EE845F90A56A1900A67D58497D8152C5DC47A4185674466B119EBDDD2106DAL" TargetMode = "External"/>
	<Relationship Id="rId50" Type="http://schemas.openxmlformats.org/officeDocument/2006/relationships/hyperlink" Target="consultantplus://offline/ref=8FA0903205F1E193D7C4C247A1F6453CC0B18408EE855B96AF6B1900A67D58497D8152C5DC47A4185674466B119EBDDD2106DAL" TargetMode = "External"/>
	<Relationship Id="rId51" Type="http://schemas.openxmlformats.org/officeDocument/2006/relationships/hyperlink" Target="consultantplus://offline/ref=8FA0903205F1E193D7C4C247A1F6453CC0B18408EE855B9FA76C1900A67D58497D8152C5DC47A4185674466B119EBDDD2106DAL" TargetMode = "External"/>
	<Relationship Id="rId52" Type="http://schemas.openxmlformats.org/officeDocument/2006/relationships/hyperlink" Target="consultantplus://offline/ref=8FA0903205F1E193D7C4C247A1F6453CC0B18408EE855A95A5691900A67D58497D8152C5DC47A4185674466B119EBDDD2106DAL" TargetMode = "External"/>
	<Relationship Id="rId53" Type="http://schemas.openxmlformats.org/officeDocument/2006/relationships/hyperlink" Target="consultantplus://offline/ref=8FA0903205F1E193D7C4C247A1F6453CC0B18408EE855892A26F1900A67D58497D8152C5DC47A4185674466B119EBDDD2106DAL" TargetMode = "External"/>
	<Relationship Id="rId54" Type="http://schemas.openxmlformats.org/officeDocument/2006/relationships/hyperlink" Target="consultantplus://offline/ref=8FA0903205F1E193D7C4C247A1F6453CC0B18408EE855395A66A1900A67D58497D8152C5DC47A4185674466B119EBDDD2106DAL" TargetMode = "External"/>
	<Relationship Id="rId55" Type="http://schemas.openxmlformats.org/officeDocument/2006/relationships/hyperlink" Target="consultantplus://offline/ref=8FA0903205F1E193D7C4C247A1F6453CC0B18408EE855295A36D1900A67D58497D8152C5DC47A4185674466B119EBDDD2106DAL" TargetMode = "External"/>
	<Relationship Id="rId56" Type="http://schemas.openxmlformats.org/officeDocument/2006/relationships/hyperlink" Target="consultantplus://offline/ref=8FA0903205F1E193D7C4C247A1F6453CC0B18408EE865B97A36C1900A67D58497D8152C5DC47A4185674466B119EBDDD2106DAL" TargetMode = "External"/>
	<Relationship Id="rId57" Type="http://schemas.openxmlformats.org/officeDocument/2006/relationships/hyperlink" Target="consultantplus://offline/ref=8FA0903205F1E193D7C4C247A1F6453CC0B18408EE865B9EA66A1900A67D58497D8152C5DC47A4185674466B119EBDDD2106DAL" TargetMode = "External"/>
	<Relationship Id="rId58" Type="http://schemas.openxmlformats.org/officeDocument/2006/relationships/hyperlink" Target="consultantplus://offline/ref=8FA0903205F1E193D7C4C247A1F6453CC0B18408EE865A90A16C1900A67D58497D8152C5DC47A4185674466B119EBDDD2106DAL" TargetMode = "External"/>
	<Relationship Id="rId59" Type="http://schemas.openxmlformats.org/officeDocument/2006/relationships/hyperlink" Target="consultantplus://offline/ref=8FA0903205F1E193D7C4C247A1F6453CC0B18408EE865892A46C1900A67D58497D8152C5DC47A4185674466B119EBDDD2106DAL" TargetMode = "External"/>
	<Relationship Id="rId60" Type="http://schemas.openxmlformats.org/officeDocument/2006/relationships/hyperlink" Target="consultantplus://offline/ref=8FA0903205F1E193D7C4C247A1F6453CC0B18408EE865396A46E1900A67D58497D8152C5DC47A4185674466B119EBDDD2106DAL" TargetMode = "External"/>
	<Relationship Id="rId61" Type="http://schemas.openxmlformats.org/officeDocument/2006/relationships/hyperlink" Target="consultantplus://offline/ref=8FA0903205F1E193D7C4C247A1F6453CC0B18408EE865291A0681900A67D58497D8152C5DC47A4185674466B119EBDDD2106DAL" TargetMode = "External"/>
	<Relationship Id="rId62" Type="http://schemas.openxmlformats.org/officeDocument/2006/relationships/hyperlink" Target="consultantplus://offline/ref=8FA0903205F1E193D7C4C247A1F6453CC0B18408EE875A9FA6611900A67D58497D8152C5DC47A4185674466B119EBDDD2106DAL" TargetMode = "External"/>
	<Relationship Id="rId63" Type="http://schemas.openxmlformats.org/officeDocument/2006/relationships/hyperlink" Target="consultantplus://offline/ref=8FA0903205F1E193D7C4C247A1F6453CC0B18408EE875F90A76F1900A67D58497D8152C5DC47A4185674466B119EBDDD2106DAL" TargetMode = "External"/>
	<Relationship Id="rId64" Type="http://schemas.openxmlformats.org/officeDocument/2006/relationships/hyperlink" Target="consultantplus://offline/ref=8FA0903205F1E193D7C4C247A1F6453CC0B18408EE875F9EAF6B1900A67D58497D8152C5DC47A4185674466B119EBDDD2106DAL" TargetMode = "External"/>
	<Relationship Id="rId65" Type="http://schemas.openxmlformats.org/officeDocument/2006/relationships/hyperlink" Target="consultantplus://offline/ref=8FA0903205F1E193D7C4C247A1F6453CC0B18408EE875E90A56C1900A67D58497D8152C5DC47A4185674466B119EBDDD2106DAL" TargetMode = "External"/>
	<Relationship Id="rId66" Type="http://schemas.openxmlformats.org/officeDocument/2006/relationships/hyperlink" Target="consultantplus://offline/ref=8FA0903205F1E193D7C4C247A1F6453CC0B18408EE875C9FA56C1900A67D58497D8152C5DC47A4185674466B119EBDDD2106DAL" TargetMode = "External"/>
	<Relationship Id="rId67" Type="http://schemas.openxmlformats.org/officeDocument/2006/relationships/hyperlink" Target="consultantplus://offline/ref=8FA0903205F1E193D7C4C247A1F6453CC0B18408EE875291A76C1900A67D58497D8152C5DC47A4185674466B119EBDDD2106DAL" TargetMode = "External"/>
	<Relationship Id="rId68" Type="http://schemas.openxmlformats.org/officeDocument/2006/relationships/hyperlink" Target="consultantplus://offline/ref=8FA0903205F1E193D7C4C247A1F6453CC0B18408EE805B96A6691900A67D58497D8152C5DC47A4185674466B119EBDDD2106DAL" TargetMode = "External"/>
	<Relationship Id="rId69" Type="http://schemas.openxmlformats.org/officeDocument/2006/relationships/hyperlink" Target="consultantplus://offline/ref=8FA0903205F1E193D7C4C247A1F6453CC0B18408EE805A93A2611900A67D58497D8152C5DC47A4185674466B119EBDDD2106DAL" TargetMode = "External"/>
	<Relationship Id="rId70" Type="http://schemas.openxmlformats.org/officeDocument/2006/relationships/hyperlink" Target="consultantplus://offline/ref=8FA0903205F1E193D7C4C247A1F6453CC0B18408EE805994A66E1900A67D58497D8152C5DC47A4185674466B119EBDDD2106DAL" TargetMode = "External"/>
	<Relationship Id="rId71" Type="http://schemas.openxmlformats.org/officeDocument/2006/relationships/hyperlink" Target="consultantplus://offline/ref=8FA0903205F1E193D7C4C247A1F6453CC0B18408EE805E95A06E1900A67D58497D8152C5DC47A4185674466B119EBDDD2106DAL" TargetMode = "External"/>
	<Relationship Id="rId72" Type="http://schemas.openxmlformats.org/officeDocument/2006/relationships/hyperlink" Target="consultantplus://offline/ref=8FA0903205F1E193D7C4C247A1F6453CC0B18408EE805D95AE6B1900A67D58497D8152C5DC47A4185674466B119EBDDD2106DAL" TargetMode = "External"/>
	<Relationship Id="rId73" Type="http://schemas.openxmlformats.org/officeDocument/2006/relationships/hyperlink" Target="consultantplus://offline/ref=8FA0903205F1E193D7C4C247A1F6453CC0B18408EE835C96A0691900A67D58497D8152C5CE47FC145472586A168BEB8C673CF9DD953358D5687DB30C04DBL" TargetMode = "External"/>
	<Relationship Id="rId74" Type="http://schemas.openxmlformats.org/officeDocument/2006/relationships/hyperlink" Target="consultantplus://offline/ref=8FA0903205F1E193D7C4DC4AB79A1233C4B3DC04ED8C50C1FB3D1F57F92D5E1C2FC10C9C8F05EF14556C5A6A1208D3L" TargetMode = "External"/>
	<Relationship Id="rId75" Type="http://schemas.openxmlformats.org/officeDocument/2006/relationships/hyperlink" Target="consultantplus://offline/ref=8FA0903205F1E193D7C4DC4AB79A1233C5BDDA05EB8150C1FB3D1F57F92D5E1C2FC10C9C8F05EF14556C5A6A1208D3L" TargetMode = "External"/>
	<Relationship Id="rId76" Type="http://schemas.openxmlformats.org/officeDocument/2006/relationships/hyperlink" Target="consultantplus://offline/ref=8FA0903205F1E193D7C4DC4AB79A1233C4B3DC04ED8C50C1FB3D1F57F92D5E1C2FC10C9C8F05EF14556C5A6A1208D3L" TargetMode = "External"/>
	<Relationship Id="rId77" Type="http://schemas.openxmlformats.org/officeDocument/2006/relationships/hyperlink" Target="consultantplus://offline/ref=8FA0903205F1E193D7C4DC4AB79A1233C7B8D305E98150C1FB3D1F57F92D5E1C3DC154908D03F1155C790C3B54D5B2DF2577F5DE8D2F59D607D5L" TargetMode = "External"/>
	<Relationship Id="rId78" Type="http://schemas.openxmlformats.org/officeDocument/2006/relationships/hyperlink" Target="consultantplus://offline/ref=8FA0903205F1E193D7C4DC4AB79A1233C5BCDD02EA8750C1FB3D1F57F92D5E1C3DC154908D03F11755790C3B54D5B2DF2577F5DE8D2F59D607D5L" TargetMode = "External"/>
	<Relationship Id="rId79" Type="http://schemas.openxmlformats.org/officeDocument/2006/relationships/hyperlink" Target="consultantplus://offline/ref=8FA0903205F1E193D7C4DC4AB79A1233C5BDDA05EB8150C1FB3D1F57F92D5E1C2FC10C9C8F05EF14556C5A6A1208D3L" TargetMode = "External"/>
	<Relationship Id="rId80" Type="http://schemas.openxmlformats.org/officeDocument/2006/relationships/hyperlink" Target="consultantplus://offline/ref=8FA0903205F1E193D7C4DC4AB79A1233C4B3DC04ED8C50C1FB3D1F57F92D5E1C2FC10C9C8F05EF14556C5A6A1208D3L" TargetMode = "External"/>
	<Relationship Id="rId81" Type="http://schemas.openxmlformats.org/officeDocument/2006/relationships/header" Target="header2.xml"/>
	<Relationship Id="rId82" Type="http://schemas.openxmlformats.org/officeDocument/2006/relationships/footer" Target="footer2.xml"/>
	<Relationship Id="rId83" Type="http://schemas.openxmlformats.org/officeDocument/2006/relationships/hyperlink" Target="consultantplus://offline/ref=8FA0903205F1E193D7C4DC4AB79A1233C4B3DC04ED8C50C1FB3D1F57F92D5E1C2FC10C9C8F05EF14556C5A6A1208D3L" TargetMode = "External"/>
	<Relationship Id="rId84" Type="http://schemas.openxmlformats.org/officeDocument/2006/relationships/hyperlink" Target="consultantplus://offline/ref=8FA0903205F1E193D7C4DC4AB79A1233C4B3DC04ED8C50C1FB3D1F57F92D5E1C2FC10C9C8F05EF14556C5A6A1208D3L" TargetMode = "External"/>
	<Relationship Id="rId85" Type="http://schemas.openxmlformats.org/officeDocument/2006/relationships/hyperlink" Target="consultantplus://offline/ref=8FA0903205F1E193D7C4DC4AB79A1233C2BEDB04EF8150C1FB3D1F57F92D5E1C2FC10C9C8F05EF14556C5A6A1208D3L" TargetMode = "External"/>
	<Relationship Id="rId86" Type="http://schemas.openxmlformats.org/officeDocument/2006/relationships/hyperlink" Target="consultantplus://offline/ref=8FA0903205F1E193D7C4DC4AB79A1233C2BEDB04EF8150C1FB3D1F57F92D5E1C3DC154908D01F01256790C3B54D5B2DF2577F5DE8D2F59D607D5L" TargetMode = "External"/>
	<Relationship Id="rId87" Type="http://schemas.openxmlformats.org/officeDocument/2006/relationships/hyperlink" Target="consultantplus://offline/ref=8FA0903205F1E193D7C4DC4AB79A1233C2BEDB04EF8150C1FB3D1F57F92D5E1C3DC154908D01F01256790C3B54D5B2DF2577F5DE8D2F59D607D5L" TargetMode = "External"/>
	<Relationship Id="rId88" Type="http://schemas.openxmlformats.org/officeDocument/2006/relationships/hyperlink" Target="consultantplus://offline/ref=8FA0903205F1E193D7C4DC4AB79A1233C2BEDB04EF8150C1FB3D1F57F92D5E1C3DC154908D01F01256790C3B54D5B2DF2577F5DE8D2F59D607D5L" TargetMode = "External"/>
	<Relationship Id="rId89" Type="http://schemas.openxmlformats.org/officeDocument/2006/relationships/hyperlink" Target="consultantplus://offline/ref=8FA0903205F1E193D7C4DC4AB79A1233C2BEDB04EF8150C1FB3D1F57F92D5E1C3DC154908D01F01252790C3B54D5B2DF2577F5DE8D2F59D607D5L" TargetMode = "External"/>
	<Relationship Id="rId90" Type="http://schemas.openxmlformats.org/officeDocument/2006/relationships/hyperlink" Target="consultantplus://offline/ref=8FA0903205F1E193D7C4DC4AB79A1233C2BEDB04EF8150C1FB3D1F57F92D5E1C3DC154908D01F01256790C3B54D5B2DF2577F5DE8D2F59D607D5L" TargetMode = "External"/>
	<Relationship Id="rId91" Type="http://schemas.openxmlformats.org/officeDocument/2006/relationships/hyperlink" Target="consultantplus://offline/ref=8FA0903205F1E193D7C4DC4AB79A1233C2BEDB04EF8150C1FB3D1F57F92D5E1C3DC154908D01F01256790C3B54D5B2DF2577F5DE8D2F59D607D5L" TargetMode = "External"/>
	<Relationship Id="rId92" Type="http://schemas.openxmlformats.org/officeDocument/2006/relationships/hyperlink" Target="consultantplus://offline/ref=8FA0903205F1E193D7C4DC4AB79A1233C2BEDB04EF8150C1FB3D1F57F92D5E1C3DC154908D01F01252790C3B54D5B2DF2577F5DE8D2F59D607D5L" TargetMode = "External"/>
	<Relationship Id="rId93" Type="http://schemas.openxmlformats.org/officeDocument/2006/relationships/hyperlink" Target="consultantplus://offline/ref=8FA0903205F1E193D7C4DC4AB79A1233C2BEDB04EF8150C1FB3D1F57F92D5E1C3DC154908D01F01256790C3B54D5B2DF2577F5DE8D2F59D607D5L" TargetMode = "External"/>
	<Relationship Id="rId94" Type="http://schemas.openxmlformats.org/officeDocument/2006/relationships/hyperlink" Target="consultantplus://offline/ref=8FA0903205F1E193D7C4DC4AB79A1233C2BEDB04EF8150C1FB3D1F57F92D5E1C3DC154908D01F01256790C3B54D5B2DF2577F5DE8D2F59D607D5L" TargetMode = "External"/>
	<Relationship Id="rId95" Type="http://schemas.openxmlformats.org/officeDocument/2006/relationships/hyperlink" Target="consultantplus://offline/ref=8FA0903205F1E193D7C4DC4AB79A1233C2BEDB04EF8150C1FB3D1F57F92D5E1C3DC154908D01F01256790C3B54D5B2DF2577F5DE8D2F59D607D5L" TargetMode = "External"/>
	<Relationship Id="rId96" Type="http://schemas.openxmlformats.org/officeDocument/2006/relationships/hyperlink" Target="consultantplus://offline/ref=8FA0903205F1E193D7C4DC4AB79A1233C2BEDB04EF8150C1FB3D1F57F92D5E1C3DC154908D01F01256790C3B54D5B2DF2577F5DE8D2F59D607D5L" TargetMode = "External"/>
	<Relationship Id="rId97" Type="http://schemas.openxmlformats.org/officeDocument/2006/relationships/hyperlink" Target="consultantplus://offline/ref=8FA0903205F1E193D7C4DC4AB79A1233C2BEDB04EF8150C1FB3D1F57F92D5E1C3DC154908D01F01256790C3B54D5B2DF2577F5DE8D2F59D607D5L" TargetMode = "External"/>
	<Relationship Id="rId98" Type="http://schemas.openxmlformats.org/officeDocument/2006/relationships/hyperlink" Target="consultantplus://offline/ref=8FA0903205F1E193D7C4C247A1F6453CC0B18408EE8C5890A06C1900A67D58497D8152C5CE47FC145472586A158BEB8C673CF9DD953358D5687DB30C04DBL" TargetMode = "External"/>
	<Relationship Id="rId99" Type="http://schemas.openxmlformats.org/officeDocument/2006/relationships/hyperlink" Target="consultantplus://offline/ref=8FA0903205F1E193D7C4C247A1F6453CC0B18408EE8C5291A46B1900A67D58497D8152C5CE47FC145472586A168BEB8C673CF9DD953358D5687DB30C04DBL" TargetMode = "External"/>
	<Relationship Id="rId100" Type="http://schemas.openxmlformats.org/officeDocument/2006/relationships/image" Target="media/image2.png"/>
	<Relationship Id="rId101" Type="http://schemas.openxmlformats.org/officeDocument/2006/relationships/image" Target="media/image3.png"/>
	<Relationship Id="rId102" Type="http://schemas.openxmlformats.org/officeDocument/2006/relationships/image" Target="media/image4.png"/>
	<Relationship Id="rId103" Type="http://schemas.openxmlformats.org/officeDocument/2006/relationships/image" Target="media/image5.png"/>
	<Relationship Id="rId104" Type="http://schemas.openxmlformats.org/officeDocument/2006/relationships/hyperlink" Target="consultantplus://offline/ref=8FA0903205F1E193D7C4DC4AB79A1233C2BFD80CE48D50C1FB3D1F57F92D5E1C2FC10C9C8F05EF14556C5A6A1208D3L" TargetMode = "External"/>
	<Relationship Id="rId105" Type="http://schemas.openxmlformats.org/officeDocument/2006/relationships/hyperlink" Target="consultantplus://offline/ref=8FA0903205F1E193D7C4DC4AB79A1233C2BCDA0CEA8550C1FB3D1F57F92D5E1C2FC10C9C8F05EF14556C5A6A1208D3L" TargetMode = "External"/>
	<Relationship Id="rId106" Type="http://schemas.openxmlformats.org/officeDocument/2006/relationships/hyperlink" Target="consultantplus://offline/ref=8FA0903205F1E193D7C4DC4AB79A1233C2BFD30CE48750C1FB3D1F57F92D5E1C2FC10C9C8F05EF14556C5A6A1208D3L" TargetMode = "External"/>
	<Relationship Id="rId107" Type="http://schemas.openxmlformats.org/officeDocument/2006/relationships/image" Target="media/image6.png"/>
	<Relationship Id="rId108" Type="http://schemas.openxmlformats.org/officeDocument/2006/relationships/image" Target="media/image7.png"/>
	<Relationship Id="rId109" Type="http://schemas.openxmlformats.org/officeDocument/2006/relationships/image" Target="media/image8.png"/>
	<Relationship Id="rId110" Type="http://schemas.openxmlformats.org/officeDocument/2006/relationships/image" Target="media/image9.png"/>
	<Relationship Id="rId111" Type="http://schemas.openxmlformats.org/officeDocument/2006/relationships/hyperlink" Target="consultantplus://offline/ref=8FA0903205F1E193D7C4DC4AB79A1233C5B8D802EB8D50C1FB3D1F57F92D5E1C2FC10C9C8F05EF14556C5A6A1208D3L" TargetMode = "External"/>
	<Relationship Id="rId112" Type="http://schemas.openxmlformats.org/officeDocument/2006/relationships/image" Target="media/image10.png"/>
	<Relationship Id="rId113" Type="http://schemas.openxmlformats.org/officeDocument/2006/relationships/image" Target="media/image11.png"/>
	<Relationship Id="rId114" Type="http://schemas.openxmlformats.org/officeDocument/2006/relationships/hyperlink" Target="consultantplus://offline/ref=8FA0903205F1E193D7C4C247A1F6453CC0B18408EE8C539EA56E1900A67D58497D8152C5CE47FC1454735D6E1BD4EE997664F6D98D2C58CA747FB100DDL" TargetMode = "External"/>
	<Relationship Id="rId115" Type="http://schemas.openxmlformats.org/officeDocument/2006/relationships/hyperlink" Target="consultantplus://offline/ref=8FA0903205F1E193D7C4DC4AB79A1233C2BBDA03EF8150C1FB3D1F57F92D5E1C2FC10C9C8F05EF14556C5A6A1208D3L" TargetMode = "External"/>
	<Relationship Id="rId116" Type="http://schemas.openxmlformats.org/officeDocument/2006/relationships/hyperlink" Target="consultantplus://offline/ref=8FA0903205F1E193D7C4DC4AB79A1233C2BBDA03EF8150C1FB3D1F57F92D5E1C2FC10C9C8F05EF14556C5A6A1208D3L" TargetMode = "External"/>
	<Relationship Id="rId117" Type="http://schemas.openxmlformats.org/officeDocument/2006/relationships/hyperlink" Target="consultantplus://offline/ref=8FA0903205F1E193D7C4DC4AB79A1233C5BFDC04EB8650C1FB3D1F57F92D5E1C2FC10C9C8F05EF14556C5A6A1208D3L" TargetMode = "External"/>
	<Relationship Id="rId118" Type="http://schemas.openxmlformats.org/officeDocument/2006/relationships/hyperlink" Target="consultantplus://offline/ref=8FA0903205F1E193D7C4DC4AB79A1233C2BBDA03EF8150C1FB3D1F57F92D5E1C3DC154908D03F1145D790C3B54D5B2DF2577F5DE8D2F59D607D5L" TargetMode = "External"/>
	<Relationship Id="rId119" Type="http://schemas.openxmlformats.org/officeDocument/2006/relationships/hyperlink" Target="consultantplus://offline/ref=8FA0903205F1E193D7C4DC4AB79A1233C2BBDA03EF8150C1FB3D1F57F92D5E1C2FC10C9C8F05EF14556C5A6A1208D3L" TargetMode = "External"/>
	<Relationship Id="rId120" Type="http://schemas.openxmlformats.org/officeDocument/2006/relationships/hyperlink" Target="consultantplus://offline/ref=8FA0903205F1E193D7C4DC4AB79A1233C2BBDA03EF8150C1FB3D1F57F92D5E1C2FC10C9C8F05EF14556C5A6A1208D3L" TargetMode = "External"/>
	<Relationship Id="rId121" Type="http://schemas.openxmlformats.org/officeDocument/2006/relationships/hyperlink" Target="consultantplus://offline/ref=8FA0903205F1E193D7C4C247A1F6453CC0B18408EE8C5291A46B1900A67D58497D8152C5CE47FC145472586A168BEB8C673CF9DD953358D5687DB30C04DBL" TargetMode = "External"/>
	<Relationship Id="rId122" Type="http://schemas.openxmlformats.org/officeDocument/2006/relationships/hyperlink" Target="consultantplus://offline/ref=8FA0903205F1E193D7C4C247A1F6453CC0B18408EE8C5291A46B1900A67D58497D8152C5CE47FC145472586B158BEB8C673CF9DD953358D5687DB30C04DBL" TargetMode = "External"/>
	<Relationship Id="rId123" Type="http://schemas.openxmlformats.org/officeDocument/2006/relationships/hyperlink" Target="consultantplus://offline/ref=8FA0903205F1E193D7C4C247A1F6453CC0B18408EE8C5291A46B1900A67D58497D8152C5CE47FC1454725868128BEB8C673CF9DD953358D5687DB30C04DBL" TargetMode = "External"/>
	<Relationship Id="rId124" Type="http://schemas.openxmlformats.org/officeDocument/2006/relationships/hyperlink" Target="consultantplus://offline/ref=8FA0903205F1E193D7C4C247A1F6453CC0B18408EE8C5B9EAF611900A67D58497D8152C5CE47FC145472586A158BEB8C673CF9DD953358D5687DB30C04DBL" TargetMode = "External"/>
	<Relationship Id="rId125" Type="http://schemas.openxmlformats.org/officeDocument/2006/relationships/hyperlink" Target="consultantplus://offline/ref=8FA0903205F1E193D7C4C247A1F6453CC0B18408EE8C5291A46B1900A67D58497D8152C5CE47FC1454725869108BEB8C673CF9DD953358D5687DB30C04DBL" TargetMode = "External"/>
	<Relationship Id="rId126" Type="http://schemas.openxmlformats.org/officeDocument/2006/relationships/image" Target="media/image12.png"/>
	<Relationship Id="rId127" Type="http://schemas.openxmlformats.org/officeDocument/2006/relationships/image" Target="media/image13.png"/>
	<Relationship Id="rId128" Type="http://schemas.openxmlformats.org/officeDocument/2006/relationships/image" Target="media/image14.png"/>
	<Relationship Id="rId129" Type="http://schemas.openxmlformats.org/officeDocument/2006/relationships/image" Target="media/image15.png"/>
	<Relationship Id="rId130" Type="http://schemas.openxmlformats.org/officeDocument/2006/relationships/image" Target="media/image16.png"/>
	<Relationship Id="rId131" Type="http://schemas.openxmlformats.org/officeDocument/2006/relationships/image" Target="media/image17.png"/>
	<Relationship Id="rId132" Type="http://schemas.openxmlformats.org/officeDocument/2006/relationships/image" Target="media/image18.png"/>
	<Relationship Id="rId133" Type="http://schemas.openxmlformats.org/officeDocument/2006/relationships/image" Target="media/image19.png"/>
	<Relationship Id="rId134" Type="http://schemas.openxmlformats.org/officeDocument/2006/relationships/hyperlink" Target="consultantplus://offline/ref=8FA0903205F1E193D7C4C247A1F6453CC0B18408EE8C539EA56E1900A67D58497D8152C5CE47FC1454735D6E1BD4EE997664F6D98D2C58CA747FB100DDL" TargetMode = "External"/>
	<Relationship Id="rId135" Type="http://schemas.openxmlformats.org/officeDocument/2006/relationships/image" Target="media/image20.png"/>
	<Relationship Id="rId136" Type="http://schemas.openxmlformats.org/officeDocument/2006/relationships/hyperlink" Target="consultantplus://offline/ref=8FA0903205F1E193D7C4C247A1F6453CC0B18408EE815D95AF601900A67D58497D8152C5DC47A4185674466B119EBDDD2106DAL" TargetMode = "External"/>
	<Relationship Id="rId137" Type="http://schemas.openxmlformats.org/officeDocument/2006/relationships/image" Target="media/image21.png"/>
	<Relationship Id="rId138" Type="http://schemas.openxmlformats.org/officeDocument/2006/relationships/image" Target="media/image22.png"/>
	<Relationship Id="rId139" Type="http://schemas.openxmlformats.org/officeDocument/2006/relationships/image" Target="media/image23.png"/>
	<Relationship Id="rId140" Type="http://schemas.openxmlformats.org/officeDocument/2006/relationships/image" Target="media/image24.png"/>
	<Relationship Id="rId141" Type="http://schemas.openxmlformats.org/officeDocument/2006/relationships/image" Target="media/image25.png"/>
	<Relationship Id="rId142" Type="http://schemas.openxmlformats.org/officeDocument/2006/relationships/image" Target="media/image26.png"/>
	<Relationship Id="rId143" Type="http://schemas.openxmlformats.org/officeDocument/2006/relationships/image" Target="media/image27.png"/>
	<Relationship Id="rId144" Type="http://schemas.openxmlformats.org/officeDocument/2006/relationships/image" Target="media/image28.png"/>
	<Relationship Id="rId145" Type="http://schemas.openxmlformats.org/officeDocument/2006/relationships/image" Target="media/image29.png"/>
	<Relationship Id="rId146" Type="http://schemas.openxmlformats.org/officeDocument/2006/relationships/image" Target="media/image30.png"/>
	<Relationship Id="rId147" Type="http://schemas.openxmlformats.org/officeDocument/2006/relationships/image" Target="media/image31.png"/>
	<Relationship Id="rId148" Type="http://schemas.openxmlformats.org/officeDocument/2006/relationships/hyperlink" Target="consultantplus://offline/ref=8FA0903205F1E193D7C4C247A1F6453CC0B18408EE805C97A26C1900A67D58497D8152C5DC47A4185674466B119EBDDD2106DAL" TargetMode = "External"/>
	<Relationship Id="rId149" Type="http://schemas.openxmlformats.org/officeDocument/2006/relationships/hyperlink" Target="consultantplus://offline/ref=4A581D090A0BB0F310B52549703B75F5E0FC6EF94144DB832B240A9B06391A7C8491F57428DA4B0C4F648DABFB1CD1L" TargetMode = "External"/>
	<Relationship Id="rId150" Type="http://schemas.openxmlformats.org/officeDocument/2006/relationships/hyperlink" Target="consultantplus://offline/ref=4A581D090A0BB0F310B52549703B75F5E7FD66FD4446DB832B240A9B06391A7C8491F57428DA4B0C4F648DABFB1CD1L" TargetMode = "External"/>
	<Relationship Id="rId151" Type="http://schemas.openxmlformats.org/officeDocument/2006/relationships/hyperlink" Target="consultantplus://offline/ref=4A581D090A0BB0F310B52549703B75F5E7FA66FE4645DB832B240A9B06391A7C9691AD782ADC550C4E71DBFABD97C5B5ECF6080358266E0C16D4L" TargetMode = "External"/>
	<Relationship Id="rId152" Type="http://schemas.openxmlformats.org/officeDocument/2006/relationships/hyperlink" Target="consultantplus://offline/ref=4A581D090A0BB0F310B52549703B75F5E0FF67F74948DB832B240A9B06391A7C8491F57428DA4B0C4F648DABFB1CD1L" TargetMode = "External"/>
	<Relationship Id="rId153" Type="http://schemas.openxmlformats.org/officeDocument/2006/relationships/hyperlink" Target="consultantplus://offline/ref=4A581D090A0BB0F310B53B44665722FAE5F238F34340D2D370770CCC59691C29D6D1AB2D7B9800004C7C91AAF8DCCAB7E81EDBL" TargetMode = "External"/>
	<Relationship Id="rId154" Type="http://schemas.openxmlformats.org/officeDocument/2006/relationships/hyperlink" Target="consultantplus://offline/ref=4A581D090A0BB0F310B53B44665722FAE5F238F34349D8DC75770CCC59691C29D6D1AB2D7B9800004C7C91AAF8DCCAB7E81EDBL" TargetMode = "External"/>
	<Relationship Id="rId155" Type="http://schemas.openxmlformats.org/officeDocument/2006/relationships/hyperlink" Target="consultantplus://offline/ref=4A581D090A0BB0F310B53B44665722FAE5F238F34346D7DD74790CCC59691C29D6D1AB2D7B9800004C7C91AAF8DCCAB7E81EDBL" TargetMode = "External"/>
	<Relationship Id="rId156" Type="http://schemas.openxmlformats.org/officeDocument/2006/relationships/hyperlink" Target="consultantplus://offline/ref=4A581D090A0BB0F310B53B44665722FAE5F238F34349D8D071760CCC59691C29D6D1AB2D7B9800004C7C91AAF8DCCAB7E81EDBL" TargetMode = "External"/>
	<Relationship Id="rId157" Type="http://schemas.openxmlformats.org/officeDocument/2006/relationships/hyperlink" Target="consultantplus://offline/ref=4A581D090A0BB0F310B53B44665722FAE5F238F34344D3D277720CCC59691C29D6D1AB2D7B9800004C7C91AAF8DCCAB7E81EDBL" TargetMode = "External"/>
	<Relationship Id="rId158" Type="http://schemas.openxmlformats.org/officeDocument/2006/relationships/hyperlink" Target="consultantplus://offline/ref=4A581D090A0BB0F310B52549703B75F5E0FC6EF94144DB832B240A9B06391A7C9691AD782ADC550C4D71DBFABD97C5B5ECF6080358266E0C16D4L" TargetMode = "External"/>
	<Relationship Id="rId159" Type="http://schemas.openxmlformats.org/officeDocument/2006/relationships/hyperlink" Target="consultantplus://offline/ref=4A581D090A0BB0F310B52549703B75F5E0FC6EF84941DB832B240A9B06391A7C8491F57428DA4B0C4F648DABFB1CD1L" TargetMode = "External"/>
	<Relationship Id="rId160" Type="http://schemas.openxmlformats.org/officeDocument/2006/relationships/hyperlink" Target="consultantplus://offline/ref=4A581D090A0BB0F310B53B44665722FAE5F238F34349D9D374720CCC59691C29D6D1AB2D6998580C4E7A8FA8F8C99CE6AEBD0400403A6F0F796F8BF915D1L" TargetMode = "External"/>
	<Relationship Id="rId161" Type="http://schemas.openxmlformats.org/officeDocument/2006/relationships/hyperlink" Target="consultantplus://offline/ref=4A581D090A0BB0F310B53B44665722FAE5F238F34349D9D374720CCC59691C29D6D1AB2D6998580C4E7A8FAFF8C99CE6AEBD0400403A6F0F796F8BF915D1L" TargetMode = "External"/>
	<Relationship Id="rId162" Type="http://schemas.openxmlformats.org/officeDocument/2006/relationships/hyperlink" Target="consultantplus://offline/ref=4A581D090A0BB0F310B53B44665722FAE5F238F34349D9D374720CCC59691C29D6D1AB2D6998580C4E7A8FAFF0C99CE6AEBD0400403A6F0F796F8BF915D1L" TargetMode = "External"/>
	<Relationship Id="rId163" Type="http://schemas.openxmlformats.org/officeDocument/2006/relationships/hyperlink" Target="consultantplus://offline/ref=4A581D090A0BB0F310B52549703B75F5E7F863FA4243DB832B240A9B06391A7C9691AD782ADC550C4C71DBFABD97C5B5ECF6080358266E0C16D4L" TargetMode = "External"/>
	<Relationship Id="rId164" Type="http://schemas.openxmlformats.org/officeDocument/2006/relationships/hyperlink" Target="consultantplus://offline/ref=4A581D090A0BB0F310B52549703B75F5E0FC6EF94340DB832B240A9B06391A7C8491F57428DA4B0C4F648DABFB1CD1L" TargetMode = "External"/>
	<Relationship Id="rId165" Type="http://schemas.openxmlformats.org/officeDocument/2006/relationships/hyperlink" Target="consultantplus://offline/ref=4A581D090A0BB0F310B52549703B75F5E0FC6EF94340DB832B240A9B06391A7C8491F57428DA4B0C4F648DABFB1CD1L" TargetMode = "External"/>
	<Relationship Id="rId166" Type="http://schemas.openxmlformats.org/officeDocument/2006/relationships/hyperlink" Target="consultantplus://offline/ref=4A581D090A0BB0F310B53B44665722FAE5F238F34349D9D374720CCC59691C29D6D1AB2D6998580C4E7A8FAEF1C99CE6AEBD0400403A6F0F796F8BF915D1L" TargetMode = "External"/>
	<Relationship Id="rId167" Type="http://schemas.openxmlformats.org/officeDocument/2006/relationships/hyperlink" Target="consultantplus://offline/ref=4A581D090A0BB0F310B52549703B75F5E0FC6EF94144DB832B240A9B06391A7C8491F57428DA4B0C4F648DABFB1CD1L" TargetMode = "External"/>
	<Relationship Id="rId168" Type="http://schemas.openxmlformats.org/officeDocument/2006/relationships/hyperlink" Target="consultantplus://offline/ref=4A581D090A0BB0F310B52549703B75F5E0FC6EF84941DB832B240A9B06391A7C8491F57428DA4B0C4F648DABFB1CD1L" TargetMode = "External"/>
	<Relationship Id="rId169" Type="http://schemas.openxmlformats.org/officeDocument/2006/relationships/image" Target="media/image32.png"/>
	<Relationship Id="rId170" Type="http://schemas.openxmlformats.org/officeDocument/2006/relationships/hyperlink" Target="consultantplus://offline/ref=4A581D090A0BB0F310B53B44665722FAE5F238F34347D9DD71780CCC59691C29D6D1AB2D6998580C4E7A8FABF1C99CE6AEBD0400403A6F0F796F8BF915D1L" TargetMode = "External"/>
	<Relationship Id="rId171" Type="http://schemas.openxmlformats.org/officeDocument/2006/relationships/hyperlink" Target="consultantplus://offline/ref=4A581D090A0BB0F310B52549703B75F5E7FA60FD4542DB832B240A9B06391A7C9691AD7D2BDD5E591F3EDAA6FBC4D6B6EBF60B024412D7L" TargetMode = "External"/>
	<Relationship Id="rId172" Type="http://schemas.openxmlformats.org/officeDocument/2006/relationships/hyperlink" Target="consultantplus://offline/ref=4A581D090A0BB0F310B52549703B75F5E0FB61F94542DB832B240A9B06391A7C8491F57428DA4B0C4F648DABFB1CD1L" TargetMode = "External"/>
	<Relationship Id="rId173" Type="http://schemas.openxmlformats.org/officeDocument/2006/relationships/hyperlink" Target="consultantplus://offline/ref=4A581D090A0BB0F310B53B44665722FAE5F238F34345D2D674790CCC59691C29D6D1AB2D7B9800004C7C91AAF8DCCAB7E81EDBL" TargetMode = "External"/>
	<Relationship Id="rId174" Type="http://schemas.openxmlformats.org/officeDocument/2006/relationships/hyperlink" Target="consultantplus://offline/ref=4A581D090A0BB0F310B52549703B75F5E7FA60FD4542DB832B240A9B06391A7C9691AD782ADC550B4771DBFABD97C5B5ECF6080358266E0C16D4L" TargetMode = "External"/>
	<Relationship Id="rId175" Type="http://schemas.openxmlformats.org/officeDocument/2006/relationships/hyperlink" Target="consultantplus://offline/ref=4A581D090A0BB0F310B53B44665722FAE5F238F34349D5D476770CCC59691C29D6D1AB2D6998580C4E7A8FABFCC99CE6AEBD0400403A6F0F796F8BF915D1L" TargetMode = "External"/>
	<Relationship Id="rId176" Type="http://schemas.openxmlformats.org/officeDocument/2006/relationships/hyperlink" Target="consultantplus://offline/ref=4A581D090A0BB0F310B52549703B75F5E7FA60FD4542DB832B240A9B06391A7C9691AD7D2BDD5E591F3EDAA6FBC4D6B6EBF60B024412D7L" TargetMode = "External"/>
	<Relationship Id="rId177" Type="http://schemas.openxmlformats.org/officeDocument/2006/relationships/hyperlink" Target="consultantplus://offline/ref=4A581D090A0BB0F310B52549703B75F5E0FC6EF84946DB832B240A9B06391A7C8491F57428DA4B0C4F648DABFB1CD1L" TargetMode = "External"/>
	<Relationship Id="rId178" Type="http://schemas.openxmlformats.org/officeDocument/2006/relationships/hyperlink" Target="consultantplus://offline/ref=4A581D090A0BB0F310B52549703B75F5E0FA63F64247DB832B240A9B06391A7C8491F57428DA4B0C4F648DABFB1CD1L" TargetMode = "External"/>
	<Relationship Id="rId179" Type="http://schemas.openxmlformats.org/officeDocument/2006/relationships/hyperlink" Target="consultantplus://offline/ref=4A581D090A0BB0F310B52549703B75F5E7FC6FF74942DB832B240A9B06391A7C8491F57428DA4B0C4F648DABFB1CD1L" TargetMode = "External"/>
	<Relationship Id="rId180" Type="http://schemas.openxmlformats.org/officeDocument/2006/relationships/hyperlink" Target="consultantplus://offline/ref=4A581D090A0BB0F310B53B44665722FAE5F238F34347D4D275710CCC59691C29D6D1AB2D6998580C4E7A8FABFCC99CE6AEBD0400403A6F0F796F8BF915D1L" TargetMode = "External"/>
	<Relationship Id="rId181" Type="http://schemas.openxmlformats.org/officeDocument/2006/relationships/hyperlink" Target="consultantplus://offline/ref=4A581D090A0BB0F310B53B44665722FAE5F238F34340D8D276710CCC59691C29D6D1AB2D7B9800004C7C91AAF8DCCAB7E81EDBL" TargetMode = "External"/>
	<Relationship Id="rId182" Type="http://schemas.openxmlformats.org/officeDocument/2006/relationships/image" Target="media/image33.png"/>
	<Relationship Id="rId183" Type="http://schemas.openxmlformats.org/officeDocument/2006/relationships/image" Target="media/image34.png"/>
	<Relationship Id="rId184" Type="http://schemas.openxmlformats.org/officeDocument/2006/relationships/image" Target="media/image35.png"/>
	<Relationship Id="rId185" Type="http://schemas.openxmlformats.org/officeDocument/2006/relationships/hyperlink" Target="consultantplus://offline/ref=4A581D090A0BB0F310B52549703B75F5E7FD60FD4745DB832B240A9B06391A7C8491F57428DA4B0C4F648DABFB1CD1L" TargetMode = "External"/>
	<Relationship Id="rId186" Type="http://schemas.openxmlformats.org/officeDocument/2006/relationships/hyperlink" Target="consultantplus://offline/ref=4A581D090A0BB0F310B53B44665722FAE5F238F34347D4D275710CCC59691C29D6D1AB2D6998580C4E7A8FABFCC99CE6AEBD0400403A6F0F796F8BF915D1L" TargetMode = "External"/>
	<Relationship Id="rId187" Type="http://schemas.openxmlformats.org/officeDocument/2006/relationships/hyperlink" Target="consultantplus://offline/ref=4A581D090A0BB0F310B53B44665722FAE5F238F34349D4D372780CCC59691C29D6D1AB2D6998580C4E7A8FABFCC99CE6AEBD0400403A6F0F796F8BF915D1L" TargetMode = "External"/>
	<Relationship Id="rId188" Type="http://schemas.openxmlformats.org/officeDocument/2006/relationships/hyperlink" Target="consultantplus://offline/ref=4A581D090A0BB0F310B53B44665722FAE5F238F34344D5D07F730CCC59691C29D6D1AB2D6998580C4E7A8FABF1C99CE6AEBD0400403A6F0F796F8BF915D1L" TargetMode = "External"/>
	<Relationship Id="rId189" Type="http://schemas.openxmlformats.org/officeDocument/2006/relationships/hyperlink" Target="consultantplus://offline/ref=4A581D090A0BB0F310B53B44665722FAE5F238F34349D8DC75770CCC59691C29D6D1AB2D6998580C4E7A8FAAFBC99CE6AEBD0400403A6F0F796F8BF915D1L" TargetMode = "External"/>
	<Relationship Id="rId190" Type="http://schemas.openxmlformats.org/officeDocument/2006/relationships/hyperlink" Target="consultantplus://offline/ref=4A581D090A0BB0F310B53B44665722FAE5F238F34349D8DC75770CCC59691C29D6D1AB2D6998580C4E7A8FAAFBC99CE6AEBD0400403A6F0F796F8BF915D1L" TargetMode = "External"/>
	<Relationship Id="rId191" Type="http://schemas.openxmlformats.org/officeDocument/2006/relationships/hyperlink" Target="consultantplus://offline/ref=4A581D090A0BB0F310B53B44665722FAE5F238F34349D8DC75770CCC59691C29D6D1AB2D6998580C4E7A8FAAFBC99CE6AEBD0400403A6F0F796F8BF915D1L" TargetMode = "External"/>
	<Relationship Id="rId192" Type="http://schemas.openxmlformats.org/officeDocument/2006/relationships/hyperlink" Target="consultantplus://offline/ref=4A581D090A0BB0F310B53B44665722FAE5F238F34349D9D471730CCC59691C29D6D1AB2D6998580C4E7A8FAAFBC99CE6AEBD0400403A6F0F796F8BF915D1L" TargetMode = "External"/>
	<Relationship Id="rId193" Type="http://schemas.openxmlformats.org/officeDocument/2006/relationships/hyperlink" Target="consultantplus://offline/ref=4A581D090A0BB0F310B53B44665722FAE5F238F34349D9D471730CCC59691C29D6D1AB2D6998580C4E7A8FAAFBC99CE6AEBD0400403A6F0F796F8BF915D1L" TargetMode = "External"/>
	<Relationship Id="rId194" Type="http://schemas.openxmlformats.org/officeDocument/2006/relationships/hyperlink" Target="consultantplus://offline/ref=4A581D090A0BB0F310B53B44665722FAE5F238F34349D9D471730CCC59691C29D6D1AB2D6998580C4E7A8FAAFBC99CE6AEBD0400403A6F0F796F8BF915D1L" TargetMode = "External"/>
	<Relationship Id="rId195" Type="http://schemas.openxmlformats.org/officeDocument/2006/relationships/hyperlink" Target="consultantplus://offline/ref=4A581D090A0BB0F310B53B44665722FAE5F238F34349D9D770740CCC59691C29D6D1AB2D6998580C4E7A8FAAFBC99CE6AEBD0400403A6F0F796F8BF915D1L" TargetMode = "External"/>
	<Relationship Id="rId196" Type="http://schemas.openxmlformats.org/officeDocument/2006/relationships/hyperlink" Target="consultantplus://offline/ref=4A581D090A0BB0F310B53B44665722FAE5F238F34349D9D770740CCC59691C29D6D1AB2D6998580C4E7A8FAAFBC99CE6AEBD0400403A6F0F796F8BF915D1L" TargetMode = "External"/>
	<Relationship Id="rId197" Type="http://schemas.openxmlformats.org/officeDocument/2006/relationships/hyperlink" Target="consultantplus://offline/ref=4A581D090A0BB0F310B53B44665722FAE5F238F34349D9D47E740CCC59691C29D6D1AB2D6998580C4E7A8FAAFBC99CE6AEBD0400403A6F0F796F8BF915D1L" TargetMode = "External"/>
	<Relationship Id="rId198" Type="http://schemas.openxmlformats.org/officeDocument/2006/relationships/hyperlink" Target="consultantplus://offline/ref=4A581D090A0BB0F310B53B44665722FAE5F238F34349D9D47E740CCC59691C29D6D1AB2D6998580C4E7A8FAAFBC99CE6AEBD0400403A6F0F796F8BF915D1L" TargetMode = "External"/>
	<Relationship Id="rId199" Type="http://schemas.openxmlformats.org/officeDocument/2006/relationships/hyperlink" Target="consultantplus://offline/ref=4A581D090A0BB0F310B53B44665722FAE5F238F34349D9D47F780CCC59691C29D6D1AB2D6998580C4E7A8FAAFBC99CE6AEBD0400403A6F0F796F8BF915D1L" TargetMode = "External"/>
	<Relationship Id="rId200" Type="http://schemas.openxmlformats.org/officeDocument/2006/relationships/hyperlink" Target="consultantplus://offline/ref=4A581D090A0BB0F310B53B44665722FAE5F238F34349D9D471730CCC59691C29D6D1AB2D6998580C4E7A8FAAFBC99CE6AEBD0400403A6F0F796F8BF915D1L" TargetMode = "External"/>
	<Relationship Id="rId201" Type="http://schemas.openxmlformats.org/officeDocument/2006/relationships/hyperlink" Target="consultantplus://offline/ref=4A581D090A0BB0F310B53B44665722FAE5F238F34349D9D471730CCC59691C29D6D1AB2D6998580C4E7A8FAAFBC99CE6AEBD0400403A6F0F796F8BF915D1L" TargetMode = "External"/>
	<Relationship Id="rId202" Type="http://schemas.openxmlformats.org/officeDocument/2006/relationships/hyperlink" Target="consultantplus://offline/ref=4A581D090A0BB0F310B53B44665722FAE5F238F34349D9D471730CCC59691C29D6D1AB2D6998580C4E7A8FAAFBC99CE6AEBD0400403A6F0F796F8BF915D1L" TargetMode = "External"/>
	<Relationship Id="rId203" Type="http://schemas.openxmlformats.org/officeDocument/2006/relationships/hyperlink" Target="consultantplus://offline/ref=4A581D090A0BB0F310B53B44665722FAE5F238F34349D9D471730CCC59691C29D6D1AB2D6998580C4E7A8FAAFBC99CE6AEBD0400403A6F0F796F8BF915D1L" TargetMode = "External"/>
	<Relationship Id="rId204" Type="http://schemas.openxmlformats.org/officeDocument/2006/relationships/hyperlink" Target="consultantplus://offline/ref=4A581D090A0BB0F310B53B44665722FAE5F238F34349D9D471730CCC59691C29D6D1AB2D6998580C4E7A8FAAFBC99CE6AEBD0400403A6F0F796F8BF915D1L" TargetMode = "External"/>
	<Relationship Id="rId205" Type="http://schemas.openxmlformats.org/officeDocument/2006/relationships/hyperlink" Target="consultantplus://offline/ref=4A581D090A0BB0F310B53B44665722FAE5F238F34349D9D471730CCC59691C29D6D1AB2D6998580C4E7A8FAAFBC99CE6AEBD0400403A6F0F796F8BF915D1L" TargetMode = "External"/>
	<Relationship Id="rId206" Type="http://schemas.openxmlformats.org/officeDocument/2006/relationships/hyperlink" Target="consultantplus://offline/ref=4A581D090A0BB0F310B53B44665722FAE5F238F34349D9D471730CCC59691C29D6D1AB2D6998580C4E7A8FAAFBC99CE6AEBD0400403A6F0F796F8BF915D1L" TargetMode = "External"/>
	<Relationship Id="rId207" Type="http://schemas.openxmlformats.org/officeDocument/2006/relationships/hyperlink" Target="consultantplus://offline/ref=4A581D090A0BB0F310B53B44665722FAE5F238F34349D8DC74700CCC59691C29D6D1AB2D6998580C4E7A8FAAFBC99CE6AEBD0400403A6F0F796F8BF915D1L" TargetMode = "External"/>
	<Relationship Id="rId208" Type="http://schemas.openxmlformats.org/officeDocument/2006/relationships/hyperlink" Target="consultantplus://offline/ref=4A581D090A0BB0F310B53B44665722FAE5F238F34349D8DC74700CCC59691C29D6D1AB2D6998580C4E7A8FAAFBC99CE6AEBD0400403A6F0F796F8BF915D1L" TargetMode = "External"/>
	<Relationship Id="rId209" Type="http://schemas.openxmlformats.org/officeDocument/2006/relationships/hyperlink" Target="consultantplus://offline/ref=4A581D090A0BB0F310B53B44665722FAE5F238F34349D8DC74700CCC59691C29D6D1AB2D6998580C4E7A8FAAFBC99CE6AEBD0400403A6F0F796F8BF915D1L" TargetMode = "External"/>
	<Relationship Id="rId210" Type="http://schemas.openxmlformats.org/officeDocument/2006/relationships/hyperlink" Target="consultantplus://offline/ref=4A581D090A0BB0F310B53B44665722FAE5F238F34349D9D770700CCC59691C29D6D1AB2D6998580C4E7A8FAAF9C99CE6AEBD0400403A6F0F796F8BF915D1L" TargetMode = "External"/>
	<Relationship Id="rId211" Type="http://schemas.openxmlformats.org/officeDocument/2006/relationships/hyperlink" Target="consultantplus://offline/ref=4A581D090A0BB0F310B53B44665722FAE5F238F34349D9D471750CCC59691C29D6D1AB2D6998580C4E7A8FAAFBC99CE6AEBD0400403A6F0F796F8BF915D1L" TargetMode = "External"/>
	<Relationship Id="rId212" Type="http://schemas.openxmlformats.org/officeDocument/2006/relationships/hyperlink" Target="consultantplus://offline/ref=4A581D090A0BB0F310B53B44665722FAE5F238F34349D3D67E730CCC59691C29D6D1AB2D6998580C4E7A8FABFCC99CE6AEBD0400403A6F0F796F8BF915D1L" TargetMode = "External"/>
	<Relationship Id="rId213" Type="http://schemas.openxmlformats.org/officeDocument/2006/relationships/hyperlink" Target="consultantplus://offline/ref=4A581D090A0BB0F310B52549703B75F5E7FA60FD4542DB832B240A9B06391A7C9691AD782ADC51094E71DBFABD97C5B5ECF6080358266E0C16D4L" TargetMode = "External"/>
	<Relationship Id="rId214" Type="http://schemas.openxmlformats.org/officeDocument/2006/relationships/hyperlink" Target="consultantplus://offline/ref=4A581D090A0BB0F310B52549703B75F5E0FD67FD4145DB832B240A9B06391A7C8491F57428DA4B0C4F648DABFB1CD1L" TargetMode = "External"/>
	<Relationship Id="rId215" Type="http://schemas.openxmlformats.org/officeDocument/2006/relationships/hyperlink" Target="consultantplus://offline/ref=4A581D090A0BB0F310B52549703B75F5E7FA65F64443DB832B240A9B06391A7C8491F57428DA4B0C4F648DABFB1CD1L" TargetMode = "External"/>
	<Relationship Id="rId216" Type="http://schemas.openxmlformats.org/officeDocument/2006/relationships/image" Target="media/image36.png"/>
	<Relationship Id="rId217" Type="http://schemas.openxmlformats.org/officeDocument/2006/relationships/hyperlink" Target="consultantplus://offline/ref=4A581D090A0BB0F310B52549703B75F5E7FA65F64443DB832B240A9B06391A7C9691AD782ADC550C4F71DBFABD97C5B5ECF6080358266E0C16D4L" TargetMode = "External"/>
	<Relationship Id="rId218" Type="http://schemas.openxmlformats.org/officeDocument/2006/relationships/hyperlink" Target="consultantplus://offline/ref=4A581D090A0BB0F310B52549703B75F5E0FD67FD4145DB832B240A9B06391A7C9691AD782ADC550C4E71DBFABD97C5B5ECF6080358266E0C16D4L" TargetMode = "External"/>
	<Relationship Id="rId219" Type="http://schemas.openxmlformats.org/officeDocument/2006/relationships/hyperlink" Target="consultantplus://offline/ref=4A581D090A0BB0F310B52549703B75F5E7FA65F64443DB832B240A9B06391A7C9691AD782ADC550C4F71DBFABD97C5B5ECF6080358266E0C16D4L" TargetMode = "External"/>
	<Relationship Id="rId220" Type="http://schemas.openxmlformats.org/officeDocument/2006/relationships/hyperlink" Target="consultantplus://offline/ref=4A581D090A0BB0F310B52549703B75F5E0FD67FD4145DB832B240A9B06391A7C9691AD782ADC550C4E71DBFABD97C5B5ECF6080358266E0C16D4L" TargetMode = "External"/>
	<Relationship Id="rId221" Type="http://schemas.openxmlformats.org/officeDocument/2006/relationships/hyperlink" Target="consultantplus://offline/ref=4A581D090A0BB0F310B52549703B75F5E7FA65F64443DB832B240A9B06391A7C9691AD782ADC550C4F71DBFABD97C5B5ECF6080358266E0C16D4L" TargetMode = "External"/>
	<Relationship Id="rId222" Type="http://schemas.openxmlformats.org/officeDocument/2006/relationships/hyperlink" Target="consultantplus://offline/ref=4A581D090A0BB0F310B52549703B75F5E0FD67FD4145DB832B240A9B06391A7C9691AD782ADC550C4E71DBFABD97C5B5ECF6080358266E0C16D4L" TargetMode = "External"/>
	<Relationship Id="rId223" Type="http://schemas.openxmlformats.org/officeDocument/2006/relationships/hyperlink" Target="consultantplus://offline/ref=4A581D090A0BB0F310B53B44665722FAE5F238F34347D7D770710CCC59691C29D6D1AB2D6998580C4E7A8FABF1C99CE6AEBD0400403A6F0F796F8BF915D1L" TargetMode = "External"/>
	<Relationship Id="rId224" Type="http://schemas.openxmlformats.org/officeDocument/2006/relationships/hyperlink" Target="consultantplus://offline/ref=4A581D090A0BB0F310B53B44665722FAE5F238F34347D9DD71780CCC59691C29D6D1AB2D6998580C4E7A8AADF1C99CE6AEBD0400403A6F0F796F8BF915D1L" TargetMode = "External"/>
	<Relationship Id="rId225" Type="http://schemas.openxmlformats.org/officeDocument/2006/relationships/hyperlink" Target="consultantplus://offline/ref=4A581D090A0BB0F310B52549703B75F5E7FB64FC4649DB832B240A9B06391A7C8491F57428DA4B0C4F648DABFB1CD1L" TargetMode = "External"/>
	<Relationship Id="rId226" Type="http://schemas.openxmlformats.org/officeDocument/2006/relationships/hyperlink" Target="consultantplus://offline/ref=4A581D090A0BB0F310B52549703B75F5E7FA64F84942DB832B240A9B06391A7C8491F57428DA4B0C4F648DABFB1CD1L" TargetMode = "External"/>
	<Relationship Id="rId227" Type="http://schemas.openxmlformats.org/officeDocument/2006/relationships/hyperlink" Target="consultantplus://offline/ref=4A581D090A0BB0F310B53B44665722FAE5F238F34344D4D274780CCC59691C29D6D1AB2D7B9800004C7C91AAF8DCCAB7E81EDBL" TargetMode = "External"/>
	<Relationship Id="rId228" Type="http://schemas.openxmlformats.org/officeDocument/2006/relationships/hyperlink" Target="consultantplus://offline/ref=4A581D090A0BB0F310B52549703B75F5E0FC6EF94341DB832B240A9B06391A7C8491F57428DA4B0C4F648DABFB1CD1L" TargetMode = "External"/>
	<Relationship Id="rId229" Type="http://schemas.openxmlformats.org/officeDocument/2006/relationships/hyperlink" Target="consultantplus://offline/ref=4A581D090A0BB0F310B52549703B75F5E2F965FC4246DB832B240A9B06391A7C8491F57428DA4B0C4F648DABFB1CD1L" TargetMode = "External"/>
	<Relationship Id="rId230" Type="http://schemas.openxmlformats.org/officeDocument/2006/relationships/hyperlink" Target="consultantplus://offline/ref=4A581D090A0BB0F310B52549703B75F5E0FC6EF94341DB832B240A9B06391A7C8491F57428DA4B0C4F648DABFB1CD1L" TargetMode = "External"/>
	<Relationship Id="rId231" Type="http://schemas.openxmlformats.org/officeDocument/2006/relationships/hyperlink" Target="consultantplus://offline/ref=4A581D090A0BB0F310B52549703B75F5E0FC62F84747DB832B240A9B06391A7C9691AD782ADC55084F71DBFABD97C5B5ECF6080358266E0C16D4L" TargetMode = "External"/>
	<Relationship Id="rId232" Type="http://schemas.openxmlformats.org/officeDocument/2006/relationships/hyperlink" Target="consultantplus://offline/ref=4A581D090A0BB0F310B52549703B75F5E2FB6FFE4444DB832B240A9B06391A7C9691AD782ADC550D4671DBFABD97C5B5ECF6080358266E0C16D4L" TargetMode = "External"/>
	<Relationship Id="rId233" Type="http://schemas.openxmlformats.org/officeDocument/2006/relationships/hyperlink" Target="consultantplus://offline/ref=4A581D090A0BB0F310B52549703B75F5E0FC62F84747DB832B240A9B06391A7C8491F57428DA4B0C4F648DABFB1CD1L" TargetMode = "External"/>
	<Relationship Id="rId234" Type="http://schemas.openxmlformats.org/officeDocument/2006/relationships/hyperlink" Target="consultantplus://offline/ref=4A581D090A0BB0F310B52549703B75F5E7FA60FE4244DB832B240A9B06391A7C8491F57428DA4B0C4F648DABFB1CD1L" TargetMode = "External"/>
	<Relationship Id="rId235" Type="http://schemas.openxmlformats.org/officeDocument/2006/relationships/hyperlink" Target="consultantplus://offline/ref=4A581D090A0BB0F310B52549703B75F5E0FC62F84747DB832B240A9B06391A7C8491F57428DA4B0C4F648DABFB1CD1L" TargetMode = "External"/>
	<Relationship Id="rId236" Type="http://schemas.openxmlformats.org/officeDocument/2006/relationships/hyperlink" Target="consultantplus://offline/ref=4A581D090A0BB0F310B52549703B75F5E7FA60FE4244DB832B240A9B06391A7C8491F57428DA4B0C4F648DABFB1CD1L" TargetMode = "External"/>
	<Relationship Id="rId237" Type="http://schemas.openxmlformats.org/officeDocument/2006/relationships/hyperlink" Target="consultantplus://offline/ref=4A581D090A0BB0F310B52549703B75F5E0FC62F84747DB832B240A9B06391A7C8491F57428DA4B0C4F648DABFB1CD1L" TargetMode = "External"/>
	<Relationship Id="rId238" Type="http://schemas.openxmlformats.org/officeDocument/2006/relationships/hyperlink" Target="consultantplus://offline/ref=4A581D090A0BB0F310B52549703B75F5E7FA60FE4244DB832B240A9B06391A7C8491F57428DA4B0C4F648DABFB1CD1L" TargetMode = "External"/>
	<Relationship Id="rId239" Type="http://schemas.openxmlformats.org/officeDocument/2006/relationships/hyperlink" Target="consultantplus://offline/ref=4A581D090A0BB0F310B52549703B75F5E7FB64FC4649DB832B240A9B06391A7C9691AD782ADC550C4A71DBFABD97C5B5ECF6080358266E0C16D4L" TargetMode = "External"/>
	<Relationship Id="rId240" Type="http://schemas.openxmlformats.org/officeDocument/2006/relationships/hyperlink" Target="consultantplus://offline/ref=4A581D090A0BB0F310B52549703B75F5E7FB64FC4649DB832B240A9B06391A7C9691AD782ADC550C4A71DBFABD97C5B5ECF6080358266E0C16D4L" TargetMode = "External"/>
	<Relationship Id="rId241" Type="http://schemas.openxmlformats.org/officeDocument/2006/relationships/hyperlink" Target="consultantplus://offline/ref=4A581D090A0BB0F310B52549703B75F5E7FB64FC4649DB832B240A9B06391A7C8491F57428DA4B0C4F648DABFB1CD1L" TargetMode = "External"/>
	<Relationship Id="rId242" Type="http://schemas.openxmlformats.org/officeDocument/2006/relationships/hyperlink" Target="consultantplus://offline/ref=4A581D090A0BB0F310B52549703B75F5E7FB64FC4649DB832B240A9B06391A7C9691AD782ADC550C4A71DBFABD97C5B5ECF6080358266E0C16D4L" TargetMode = "External"/>
	<Relationship Id="rId243" Type="http://schemas.openxmlformats.org/officeDocument/2006/relationships/hyperlink" Target="consultantplus://offline/ref=4A581D090A0BB0F310B52549703B75F5E7FB64FC4649DB832B240A9B06391A7C9691AD782ADC550C4A71DBFABD97C5B5ECF6080358266E0C16D4L" TargetMode = "External"/>
	<Relationship Id="rId244" Type="http://schemas.openxmlformats.org/officeDocument/2006/relationships/hyperlink" Target="consultantplus://offline/ref=4A581D090A0BB0F310B52549703B75F5E0FF65F64746DB832B240A9B06391A7C8491F57428DA4B0C4F648DABFB1CD1L" TargetMode = "External"/>
	<Relationship Id="rId245" Type="http://schemas.openxmlformats.org/officeDocument/2006/relationships/hyperlink" Target="consultantplus://offline/ref=4A581D090A0BB0F310B52549703B75F5E7FB64FC4649DB832B240A9B06391A7C9691AD782ADC550C4A71DBFABD97C5B5ECF6080358266E0C16D4L" TargetMode = "External"/>
	<Relationship Id="rId246" Type="http://schemas.openxmlformats.org/officeDocument/2006/relationships/hyperlink" Target="consultantplus://offline/ref=4A581D090A0BB0F310B52549703B75F5E7FB64FC4649DB832B240A9B06391A7C9691AD782ADC550C4A71DBFABD97C5B5ECF6080358266E0C16D4L" TargetMode = "External"/>
	<Relationship Id="rId247" Type="http://schemas.openxmlformats.org/officeDocument/2006/relationships/hyperlink" Target="consultantplus://offline/ref=4A581D090A0BB0F310B52549703B75F5E7FB64FC4649DB832B240A9B06391A7C9691AD782ADC550C4A71DBFABD97C5B5ECF6080358266E0C16D4L" TargetMode = "External"/>
	<Relationship Id="rId248" Type="http://schemas.openxmlformats.org/officeDocument/2006/relationships/hyperlink" Target="consultantplus://offline/ref=4A581D090A0BB0F310B52549703B75F5E7FB64FC4649DB832B240A9B06391A7C8491F57428DA4B0C4F648DABFB1CD1L" TargetMode = "External"/>
	<Relationship Id="rId249" Type="http://schemas.openxmlformats.org/officeDocument/2006/relationships/image" Target="media/image37.png"/>
	<Relationship Id="rId250" Type="http://schemas.openxmlformats.org/officeDocument/2006/relationships/image" Target="media/image38.png"/>
	<Relationship Id="rId251" Type="http://schemas.openxmlformats.org/officeDocument/2006/relationships/hyperlink" Target="consultantplus://offline/ref=4A581D090A0BB0F310B53B44665722FAE5F238F34349D6D572770CCC59691C29D6D1AB2D6998580C4E7A8FABF1C99CE6AEBD0400403A6F0F796F8BF915D1L" TargetMode = "External"/>
	<Relationship Id="rId252" Type="http://schemas.openxmlformats.org/officeDocument/2006/relationships/hyperlink" Target="consultantplus://offline/ref=4A581D090A0BB0F310B53B44665722FAE5F238F34340D0D177790CCC59691C29D6D1AB2D7B9800004C7C91AAF8DCCAB7E81EDBL" TargetMode = "External"/>
	<Relationship Id="rId253" Type="http://schemas.openxmlformats.org/officeDocument/2006/relationships/hyperlink" Target="consultantplus://offline/ref=4A581D090A0BB0F310B52549703B75F5E7F86FF64946DB832B240A9B06391A7C9691AD782ADC55054F71DBFABD97C5B5ECF6080358266E0C16D4L" TargetMode = "External"/>
	<Relationship Id="rId254" Type="http://schemas.openxmlformats.org/officeDocument/2006/relationships/hyperlink" Target="consultantplus://offline/ref=4A581D090A0BB0F310B52549703B75F5E7F86FF64946DB832B240A9B06391A7C9691AD782ADC55054F71DBFABD97C5B5ECF6080358266E0C16D4L" TargetMode = "External"/>
	<Relationship Id="rId255" Type="http://schemas.openxmlformats.org/officeDocument/2006/relationships/hyperlink" Target="consultantplus://offline/ref=4A581D090A0BB0F310B52549703B75F5E7F86FF64946DB832B240A9B06391A7C9691AD782AD5560A4771DBFABD97C5B5ECF6080358266E0C16D4L" TargetMode = "External"/>
	<Relationship Id="rId256" Type="http://schemas.openxmlformats.org/officeDocument/2006/relationships/hyperlink" Target="consultantplus://offline/ref=4A581D090A0BB0F310B52549703B75F5E7F86FF64946DB832B240A9B06391A7C9691AD782AD5510A4E71DBFABD97C5B5ECF6080358266E0C16D4L" TargetMode = "External"/>
	<Relationship Id="rId257" Type="http://schemas.openxmlformats.org/officeDocument/2006/relationships/hyperlink" Target="consultantplus://offline/ref=4A581D090A0BB0F310B52549703B75F5E7F86FF64946DB832B240A9B06391A7C9691AD782ADC55054F71DBFABD97C5B5ECF6080358266E0C16D4L" TargetMode = "External"/>
	<Relationship Id="rId258" Type="http://schemas.openxmlformats.org/officeDocument/2006/relationships/hyperlink" Target="consultantplus://offline/ref=4A581D090A0BB0F310B52549703B75F5E7F96FFB4044DB832B240A9B06391A7C8491F57428DA4B0C4F648DABFB1CD1L" TargetMode = "External"/>
	<Relationship Id="rId259" Type="http://schemas.openxmlformats.org/officeDocument/2006/relationships/hyperlink" Target="consultantplus://offline/ref=4A581D090A0BB0F310B53B44665722FAE5F238F34349D7DD7F770CCC59691C29D6D1AB2D6998580C4E7A8FABF1C99CE6AEBD0400403A6F0F796F8BF915D1L" TargetMode = "External"/>
	<Relationship Id="rId260" Type="http://schemas.openxmlformats.org/officeDocument/2006/relationships/hyperlink" Target="consultantplus://offline/ref=4A581D090A0BB0F310B52549703B75F5E0FD66FF4144DB832B240A9B06391A7C9691AD782ADC550D4771DBFABD97C5B5ECF6080358266E0C16D4L" TargetMode = "External"/>
	<Relationship Id="rId261" Type="http://schemas.openxmlformats.org/officeDocument/2006/relationships/hyperlink" Target="consultantplus://offline/ref=4A581D090A0BB0F310B53B44665722FAE5F238F34349D8D072750CCC59691C29D6D1AB2D6998580C4E7A8FABF1C99CE6AEBD0400403A6F0F796F8BF915D1L" TargetMode = "External"/>
	<Relationship Id="rId262" Type="http://schemas.openxmlformats.org/officeDocument/2006/relationships/hyperlink" Target="consultantplus://offline/ref=4A581D090A0BB0F310B53B44665722FAE5F238F34349D9D674700CCC59691C29D6D1AB2D6998580C4E7A8FABF1C99CE6AEBD0400403A6F0F796F8BF915D1L" TargetMode = "External"/>
	<Relationship Id="rId263" Type="http://schemas.openxmlformats.org/officeDocument/2006/relationships/hyperlink" Target="consultantplus://offline/ref=4A581D090A0BB0F310B52549703B75F5E1F060FF4049DB832B240A9B06391A7C8491F57428DA4B0C4F648DABFB1CD1L" TargetMode = "External"/>
	<Relationship Id="rId264" Type="http://schemas.openxmlformats.org/officeDocument/2006/relationships/hyperlink" Target="consultantplus://offline/ref=4A581D090A0BB0F310B52549703B75F5E0FC6EF94040DB832B240A9B06391A7C8491F57428DA4B0C4F648DABFB1CD1L" TargetMode = "External"/>
	<Relationship Id="rId265" Type="http://schemas.openxmlformats.org/officeDocument/2006/relationships/hyperlink" Target="consultantplus://offline/ref=4A581D090A0BB0F310B52549703B75F5E1F060FF4049DB832B240A9B06391A7C8491F57428DA4B0C4F648DABFB1CD1L" TargetMode = "External"/>
	<Relationship Id="rId266" Type="http://schemas.openxmlformats.org/officeDocument/2006/relationships/hyperlink" Target="consultantplus://offline/ref=4A581D090A0BB0F310B52549703B75F5E7FA67F64641DB832B240A9B06391A7C8491F57428DA4B0C4F648DABFB1CD1L" TargetMode = "External"/>
	<Relationship Id="rId267" Type="http://schemas.openxmlformats.org/officeDocument/2006/relationships/hyperlink" Target="consultantplus://offline/ref=4A581D090A0BB0F310B52549703B75F5E0F065FC4645DB832B240A9B06391A7C8491F57428DA4B0C4F648DABFB1CD1L" TargetMode = "External"/>
	<Relationship Id="rId268" Type="http://schemas.openxmlformats.org/officeDocument/2006/relationships/hyperlink" Target="consultantplus://offline/ref=4A581D090A0BB0F310B52549703B75F5E7FA60FD4542DB832B240A9B06391A7C9691AD7D2CDE5E591F3EDAA6FBC4D6B6EBF60B024412D7L" TargetMode = "External"/>
	<Relationship Id="rId269" Type="http://schemas.openxmlformats.org/officeDocument/2006/relationships/hyperlink" Target="consultantplus://offline/ref=4A581D090A0BB0F310B52549703B75F5E7FA60FD4542DB832B240A9B06391A7C8491F57428DA4B0C4F648DABFB1CD1L" TargetMode = "External"/>
	<Relationship Id="rId270" Type="http://schemas.openxmlformats.org/officeDocument/2006/relationships/hyperlink" Target="consultantplus://offline/ref=4A581D090A0BB0F310B52549703B75F5E0FE66FE4645DB832B240A9B06391A7C8491F57428DA4B0C4F648DABFB1CD1L" TargetMode = "External"/>
	<Relationship Id="rId271" Type="http://schemas.openxmlformats.org/officeDocument/2006/relationships/image" Target="media/image39.png"/>
	<Relationship Id="rId272" Type="http://schemas.openxmlformats.org/officeDocument/2006/relationships/image" Target="media/image40.png"/>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4023.00.09</Application>
  <Company>КонсультантПлюс Версия 4023.00.09</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ХМАО - Югры от 27.12.2021 N 594-п
(ред. от 27.10.2023)
"О мерах по реализации государственной программы Ханты-Мансийского автономного округа - Югры "Современное здравоохранение"
(вместе с "Программой развития детского здравоохранения, включая создание современной инфраструктуры оказания медицинской помощи детям Ханты-Мансийского автономного округа - Югры", "Региональной программой Ханты-Мансийского автономного округа - Югры "Борьба с онкологическими заболеваниями", "Региональной </dc:title>
  <dcterms:created xsi:type="dcterms:W3CDTF">2023-11-26T11:03:50Z</dcterms:created>
</cp:coreProperties>
</file>